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51DF" w14:textId="77777777" w:rsidR="008E5DE4" w:rsidRDefault="008E5DE4">
      <w:pPr>
        <w:widowControl w:val="0"/>
        <w:pBdr>
          <w:top w:val="nil"/>
          <w:left w:val="nil"/>
          <w:bottom w:val="nil"/>
          <w:right w:val="nil"/>
          <w:between w:val="nil"/>
        </w:pBdr>
        <w:spacing w:line="276" w:lineRule="auto"/>
      </w:pPr>
    </w:p>
    <w:p w14:paraId="55F8BFA3" w14:textId="77777777" w:rsidR="008E5DE4" w:rsidRDefault="00780368">
      <w:pPr>
        <w:pBdr>
          <w:top w:val="nil"/>
          <w:left w:val="nil"/>
          <w:bottom w:val="none" w:sz="0" w:space="0" w:color="000000"/>
          <w:right w:val="nil"/>
          <w:between w:val="nil"/>
        </w:pBdr>
        <w:tabs>
          <w:tab w:val="center" w:pos="4153"/>
          <w:tab w:val="right" w:pos="8306"/>
        </w:tabs>
        <w:spacing w:before="240" w:after="240"/>
        <w:rPr>
          <w:b/>
          <w:color w:val="000000"/>
          <w:sz w:val="20"/>
          <w:szCs w:val="20"/>
        </w:rPr>
      </w:pPr>
      <w:r>
        <w:rPr>
          <w:noProof/>
        </w:rPr>
        <mc:AlternateContent>
          <mc:Choice Requires="wps">
            <w:drawing>
              <wp:anchor distT="0" distB="0" distL="114300" distR="114300" simplePos="0" relativeHeight="251658240" behindDoc="0" locked="0" layoutInCell="1" hidden="0" allowOverlap="1" wp14:anchorId="0356FB20" wp14:editId="3AECB778">
                <wp:simplePos x="0" y="0"/>
                <wp:positionH relativeFrom="column">
                  <wp:posOffset>114300</wp:posOffset>
                </wp:positionH>
                <wp:positionV relativeFrom="paragraph">
                  <wp:posOffset>254000</wp:posOffset>
                </wp:positionV>
                <wp:extent cx="5824855" cy="1285240"/>
                <wp:effectExtent l="0" t="0" r="0" b="0"/>
                <wp:wrapNone/>
                <wp:docPr id="1" name="Freeform: Shape 1"/>
                <wp:cNvGraphicFramePr/>
                <a:graphic xmlns:a="http://schemas.openxmlformats.org/drawingml/2006/main">
                  <a:graphicData uri="http://schemas.microsoft.com/office/word/2010/wordprocessingShape">
                    <wps:wsp>
                      <wps:cNvSpPr/>
                      <wps:spPr>
                        <a:xfrm>
                          <a:off x="2452623" y="3156430"/>
                          <a:ext cx="5786755" cy="1247140"/>
                        </a:xfrm>
                        <a:custGeom>
                          <a:avLst/>
                          <a:gdLst/>
                          <a:ahLst/>
                          <a:cxnLst/>
                          <a:rect l="l" t="t" r="r" b="b"/>
                          <a:pathLst>
                            <a:path w="5786755" h="1247140" extrusionOk="0">
                              <a:moveTo>
                                <a:pt x="0" y="0"/>
                              </a:moveTo>
                              <a:lnTo>
                                <a:pt x="0" y="1247140"/>
                              </a:lnTo>
                              <a:lnTo>
                                <a:pt x="5786755" y="1247140"/>
                              </a:lnTo>
                              <a:lnTo>
                                <a:pt x="5786755" y="0"/>
                              </a:lnTo>
                              <a:close/>
                            </a:path>
                          </a:pathLst>
                        </a:custGeom>
                        <a:solidFill>
                          <a:srgbClr val="C0504D"/>
                        </a:solidFill>
                        <a:ln w="38100" cap="flat" cmpd="sng">
                          <a:solidFill>
                            <a:srgbClr val="622423"/>
                          </a:solidFill>
                          <a:prstDash val="solid"/>
                          <a:miter lim="8000"/>
                          <a:headEnd type="none" w="sm" len="sm"/>
                          <a:tailEnd type="none" w="sm" len="sm"/>
                        </a:ln>
                      </wps:spPr>
                      <wps:txbx>
                        <w:txbxContent>
                          <w:p w14:paraId="42D44F80" w14:textId="77777777" w:rsidR="008A5D34" w:rsidRDefault="008A5D34">
                            <w:pPr>
                              <w:jc w:val="center"/>
                              <w:textDirection w:val="btLr"/>
                            </w:pPr>
                          </w:p>
                          <w:p w14:paraId="65FAB498" w14:textId="77777777" w:rsidR="008A5D34" w:rsidRDefault="008A5D34">
                            <w:pPr>
                              <w:jc w:val="center"/>
                              <w:textDirection w:val="btLr"/>
                            </w:pPr>
                          </w:p>
                          <w:p w14:paraId="5DEF15EA" w14:textId="77777777" w:rsidR="008A5D34" w:rsidRDefault="008A5D34">
                            <w:pPr>
                              <w:jc w:val="center"/>
                              <w:textDirection w:val="btLr"/>
                            </w:pPr>
                            <w:r>
                              <w:rPr>
                                <w:color w:val="FFFFFF"/>
                                <w:sz w:val="32"/>
                              </w:rPr>
                              <w:t>PLEASE FIRST READ APPENDICES A to G</w:t>
                            </w:r>
                          </w:p>
                          <w:p w14:paraId="3828A506" w14:textId="77777777" w:rsidR="008A5D34" w:rsidRDefault="008A5D34">
                            <w:pPr>
                              <w:jc w:val="center"/>
                              <w:textDirection w:val="btLr"/>
                            </w:pPr>
                          </w:p>
                        </w:txbxContent>
                      </wps:txbx>
                      <wps:bodyPr spcFirstLastPara="1" wrap="square" lIns="88900" tIns="38100" rIns="88900" bIns="38100" anchor="t" anchorCtr="0">
                        <a:noAutofit/>
                      </wps:bodyPr>
                    </wps:wsp>
                  </a:graphicData>
                </a:graphic>
              </wp:anchor>
            </w:drawing>
          </mc:Choice>
          <mc:Fallback>
            <w:pict>
              <v:shape w14:anchorId="0356FB20" id="Freeform: Shape 1" o:spid="_x0000_s1026" style="position:absolute;margin-left:9pt;margin-top:20pt;width:458.65pt;height:101.2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786755,1247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" adj="-11796480,,5400" path="m,l,1247140r5786755,l5786755,,,xe" fillcolor="#c0504d" strokecolor="#622423" strokeweight="3pt">
                <v:stroke startarrowwidth="narrow" startarrowlength="short" endarrowwidth="narrow" endarrowlength="short" miterlimit="5243f" joinstyle="miter"/>
                <v:formulas/>
                <v:path arrowok="t" o:extrusionok="f" o:connecttype="custom" textboxrect="0,0,5786755,1247140"/>
                <v:textbox inset="7pt,3pt,7pt,3pt">
                  <w:txbxContent>
                    <w:p w14:paraId="42D44F80" w14:textId="77777777" w:rsidR="008A5D34" w:rsidRDefault="008A5D34">
                      <w:pPr>
                        <w:jc w:val="center"/>
                        <w:textDirection w:val="btLr"/>
                      </w:pPr>
                    </w:p>
                    <w:p w14:paraId="65FAB498" w14:textId="77777777" w:rsidR="008A5D34" w:rsidRDefault="008A5D34">
                      <w:pPr>
                        <w:jc w:val="center"/>
                        <w:textDirection w:val="btLr"/>
                      </w:pPr>
                    </w:p>
                    <w:p w14:paraId="5DEF15EA" w14:textId="77777777" w:rsidR="008A5D34" w:rsidRDefault="008A5D34">
                      <w:pPr>
                        <w:jc w:val="center"/>
                        <w:textDirection w:val="btLr"/>
                      </w:pPr>
                      <w:r>
                        <w:rPr>
                          <w:color w:val="FFFFFF"/>
                          <w:sz w:val="32"/>
                        </w:rPr>
                        <w:t>PLEASE FIRST READ APPENDICES A to G</w:t>
                      </w:r>
                    </w:p>
                    <w:p w14:paraId="3828A506" w14:textId="77777777" w:rsidR="008A5D34" w:rsidRDefault="008A5D34">
                      <w:pPr>
                        <w:jc w:val="center"/>
                        <w:textDirection w:val="btLr"/>
                      </w:pPr>
                    </w:p>
                  </w:txbxContent>
                </v:textbox>
              </v:shape>
            </w:pict>
          </mc:Fallback>
        </mc:AlternateContent>
      </w:r>
    </w:p>
    <w:p w14:paraId="42DCB212" w14:textId="77777777" w:rsidR="008E5DE4" w:rsidRDefault="008E5DE4">
      <w:pPr>
        <w:pBdr>
          <w:top w:val="nil"/>
          <w:left w:val="nil"/>
          <w:bottom w:val="none" w:sz="0" w:space="0" w:color="000000"/>
          <w:right w:val="nil"/>
          <w:between w:val="nil"/>
        </w:pBdr>
        <w:tabs>
          <w:tab w:val="center" w:pos="4153"/>
          <w:tab w:val="right" w:pos="8306"/>
        </w:tabs>
        <w:spacing w:before="240" w:after="240"/>
        <w:rPr>
          <w:b/>
          <w:color w:val="000000"/>
          <w:sz w:val="20"/>
          <w:szCs w:val="20"/>
        </w:rPr>
      </w:pPr>
    </w:p>
    <w:p w14:paraId="27A83EEC" w14:textId="77777777" w:rsidR="008E5DE4" w:rsidRDefault="008E5DE4">
      <w:pPr>
        <w:pBdr>
          <w:top w:val="nil"/>
          <w:left w:val="nil"/>
          <w:bottom w:val="none" w:sz="0" w:space="0" w:color="000000"/>
          <w:right w:val="nil"/>
          <w:between w:val="nil"/>
        </w:pBdr>
        <w:tabs>
          <w:tab w:val="center" w:pos="4153"/>
          <w:tab w:val="right" w:pos="8306"/>
        </w:tabs>
        <w:spacing w:before="240" w:after="240"/>
        <w:rPr>
          <w:b/>
          <w:color w:val="000000"/>
          <w:sz w:val="20"/>
          <w:szCs w:val="20"/>
        </w:rPr>
      </w:pPr>
    </w:p>
    <w:p w14:paraId="7C82AA2A" w14:textId="77777777" w:rsidR="008E5DE4" w:rsidRDefault="008E5DE4">
      <w:pPr>
        <w:pBdr>
          <w:top w:val="nil"/>
          <w:left w:val="nil"/>
          <w:bottom w:val="none" w:sz="0" w:space="0" w:color="000000"/>
          <w:right w:val="nil"/>
          <w:between w:val="nil"/>
        </w:pBdr>
        <w:tabs>
          <w:tab w:val="center" w:pos="4153"/>
          <w:tab w:val="right" w:pos="8306"/>
        </w:tabs>
        <w:spacing w:before="240" w:after="240"/>
        <w:rPr>
          <w:b/>
          <w:color w:val="000000"/>
          <w:sz w:val="20"/>
          <w:szCs w:val="20"/>
        </w:rPr>
      </w:pPr>
    </w:p>
    <w:p w14:paraId="3BC70392" w14:textId="77777777" w:rsidR="008E5DE4" w:rsidRDefault="008E5DE4">
      <w:pPr>
        <w:pBdr>
          <w:top w:val="nil"/>
          <w:left w:val="nil"/>
          <w:bottom w:val="none" w:sz="0" w:space="0" w:color="000000"/>
          <w:right w:val="nil"/>
          <w:between w:val="nil"/>
        </w:pBdr>
        <w:tabs>
          <w:tab w:val="center" w:pos="4153"/>
          <w:tab w:val="right" w:pos="8306"/>
        </w:tabs>
        <w:spacing w:before="240" w:after="240"/>
        <w:rPr>
          <w:b/>
          <w:color w:val="000000"/>
          <w:sz w:val="20"/>
          <w:szCs w:val="20"/>
        </w:rPr>
      </w:pPr>
    </w:p>
    <w:p w14:paraId="5CE0CAAF" w14:textId="77777777" w:rsidR="008E5DE4" w:rsidRDefault="008E5DE4">
      <w:pPr>
        <w:pBdr>
          <w:top w:val="nil"/>
          <w:left w:val="nil"/>
          <w:bottom w:val="none" w:sz="0" w:space="0" w:color="000000"/>
          <w:right w:val="nil"/>
          <w:between w:val="nil"/>
        </w:pBdr>
        <w:tabs>
          <w:tab w:val="center" w:pos="4153"/>
          <w:tab w:val="right" w:pos="8306"/>
        </w:tabs>
        <w:spacing w:before="240" w:after="240"/>
        <w:rPr>
          <w:b/>
          <w:color w:val="000000"/>
          <w:sz w:val="20"/>
          <w:szCs w:val="20"/>
        </w:rPr>
      </w:pPr>
    </w:p>
    <w:p w14:paraId="36CC82D4" w14:textId="77777777" w:rsidR="008E5DE4" w:rsidRDefault="00780368">
      <w:pPr>
        <w:pBdr>
          <w:top w:val="nil"/>
          <w:left w:val="nil"/>
          <w:bottom w:val="none" w:sz="0" w:space="0" w:color="000000"/>
          <w:right w:val="nil"/>
          <w:between w:val="nil"/>
        </w:pBdr>
        <w:tabs>
          <w:tab w:val="center" w:pos="4153"/>
          <w:tab w:val="right" w:pos="8306"/>
        </w:tabs>
        <w:rPr>
          <w:b/>
          <w:color w:val="000000"/>
          <w:sz w:val="20"/>
          <w:szCs w:val="20"/>
        </w:rPr>
      </w:pPr>
      <w:r>
        <w:rPr>
          <w:b/>
          <w:color w:val="000000"/>
          <w:sz w:val="20"/>
          <w:szCs w:val="20"/>
        </w:rPr>
        <w:t>ABC Group</w:t>
      </w:r>
    </w:p>
    <w:p w14:paraId="5EC3BE07" w14:textId="77777777" w:rsidR="008E5DE4" w:rsidRDefault="008E5DE4">
      <w:pPr>
        <w:pBdr>
          <w:top w:val="nil"/>
          <w:left w:val="nil"/>
          <w:bottom w:val="none" w:sz="0" w:space="0" w:color="000000"/>
          <w:right w:val="nil"/>
          <w:between w:val="nil"/>
        </w:pBdr>
        <w:tabs>
          <w:tab w:val="center" w:pos="4153"/>
          <w:tab w:val="right" w:pos="8306"/>
        </w:tabs>
        <w:rPr>
          <w:b/>
          <w:color w:val="000000"/>
          <w:sz w:val="20"/>
          <w:szCs w:val="20"/>
        </w:rPr>
      </w:pPr>
    </w:p>
    <w:p w14:paraId="165E0988" w14:textId="77777777" w:rsidR="008E5DE4" w:rsidRDefault="00780368">
      <w:pPr>
        <w:pBdr>
          <w:top w:val="nil"/>
          <w:left w:val="nil"/>
          <w:bottom w:val="none" w:sz="0" w:space="0" w:color="000000"/>
          <w:right w:val="nil"/>
          <w:between w:val="nil"/>
        </w:pBdr>
        <w:tabs>
          <w:tab w:val="center" w:pos="4153"/>
          <w:tab w:val="right" w:pos="8306"/>
        </w:tabs>
        <w:rPr>
          <w:b/>
          <w:color w:val="000000"/>
          <w:sz w:val="20"/>
          <w:szCs w:val="20"/>
        </w:rPr>
      </w:pPr>
      <w:r>
        <w:rPr>
          <w:b/>
          <w:color w:val="000000"/>
          <w:sz w:val="20"/>
          <w:szCs w:val="20"/>
        </w:rPr>
        <w:t xml:space="preserve">International Financial Reporting Standards </w:t>
      </w:r>
    </w:p>
    <w:p w14:paraId="30A06AF8" w14:textId="77777777" w:rsidR="008E5DE4" w:rsidRDefault="00780368">
      <w:pPr>
        <w:pBdr>
          <w:top w:val="nil"/>
          <w:left w:val="nil"/>
          <w:bottom w:val="none" w:sz="0" w:space="0" w:color="000000"/>
          <w:right w:val="nil"/>
          <w:between w:val="nil"/>
        </w:pBdr>
        <w:tabs>
          <w:tab w:val="center" w:pos="4153"/>
          <w:tab w:val="right" w:pos="8306"/>
        </w:tabs>
        <w:rPr>
          <w:b/>
          <w:color w:val="000000"/>
          <w:sz w:val="20"/>
          <w:szCs w:val="20"/>
        </w:rPr>
      </w:pPr>
      <w:r>
        <w:rPr>
          <w:b/>
          <w:color w:val="000000"/>
          <w:sz w:val="20"/>
          <w:szCs w:val="20"/>
        </w:rPr>
        <w:t xml:space="preserve">Consolidated Financial Statements and </w:t>
      </w:r>
    </w:p>
    <w:p w14:paraId="1534674A" w14:textId="77777777" w:rsidR="008E5DE4" w:rsidRDefault="00780368">
      <w:pPr>
        <w:pBdr>
          <w:top w:val="nil"/>
          <w:left w:val="nil"/>
          <w:bottom w:val="none" w:sz="0" w:space="0" w:color="000000"/>
          <w:right w:val="nil"/>
          <w:between w:val="nil"/>
        </w:pBdr>
        <w:tabs>
          <w:tab w:val="center" w:pos="4153"/>
          <w:tab w:val="right" w:pos="8306"/>
        </w:tabs>
        <w:rPr>
          <w:b/>
          <w:color w:val="000000"/>
          <w:sz w:val="20"/>
          <w:szCs w:val="20"/>
        </w:rPr>
      </w:pPr>
      <w:r>
        <w:rPr>
          <w:b/>
          <w:color w:val="000000"/>
          <w:sz w:val="20"/>
          <w:szCs w:val="20"/>
        </w:rPr>
        <w:t>Independent Auditor’s Report</w:t>
      </w:r>
    </w:p>
    <w:p w14:paraId="166B4865" w14:textId="77777777" w:rsidR="008E5DE4" w:rsidRDefault="008E5DE4">
      <w:pPr>
        <w:pBdr>
          <w:top w:val="nil"/>
          <w:left w:val="nil"/>
          <w:bottom w:val="none" w:sz="0" w:space="0" w:color="000000"/>
          <w:right w:val="nil"/>
          <w:between w:val="nil"/>
        </w:pBdr>
        <w:tabs>
          <w:tab w:val="center" w:pos="4153"/>
          <w:tab w:val="right" w:pos="8306"/>
        </w:tabs>
        <w:rPr>
          <w:b/>
          <w:color w:val="000000"/>
          <w:sz w:val="20"/>
          <w:szCs w:val="20"/>
        </w:rPr>
      </w:pPr>
    </w:p>
    <w:p w14:paraId="2CC4FB3F" w14:textId="34A3109A" w:rsidR="008E5DE4" w:rsidRDefault="00780368">
      <w:pPr>
        <w:pBdr>
          <w:top w:val="nil"/>
          <w:left w:val="nil"/>
          <w:bottom w:val="none" w:sz="0" w:space="0" w:color="000000"/>
          <w:right w:val="nil"/>
          <w:between w:val="nil"/>
        </w:pBdr>
        <w:tabs>
          <w:tab w:val="center" w:pos="4153"/>
          <w:tab w:val="right" w:pos="8306"/>
        </w:tabs>
        <w:rPr>
          <w:b/>
          <w:color w:val="000000"/>
          <w:sz w:val="20"/>
          <w:szCs w:val="20"/>
        </w:rPr>
      </w:pPr>
      <w:r>
        <w:rPr>
          <w:b/>
          <w:color w:val="000000"/>
          <w:sz w:val="20"/>
          <w:szCs w:val="20"/>
        </w:rPr>
        <w:t xml:space="preserve">31 December </w:t>
      </w:r>
      <w:r w:rsidR="008614F8">
        <w:rPr>
          <w:b/>
          <w:color w:val="000000"/>
          <w:sz w:val="20"/>
          <w:szCs w:val="20"/>
        </w:rPr>
        <w:t>2025</w:t>
      </w:r>
    </w:p>
    <w:p w14:paraId="1BE76E57" w14:textId="77777777" w:rsidR="008E5DE4" w:rsidRDefault="008E5DE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before="240" w:after="240"/>
        <w:jc w:val="both"/>
        <w:rPr>
          <w:color w:val="000000"/>
          <w:sz w:val="20"/>
          <w:szCs w:val="20"/>
        </w:rPr>
      </w:pPr>
    </w:p>
    <w:p w14:paraId="1880B9E7" w14:textId="77777777" w:rsidR="008E5DE4" w:rsidRDefault="008E5DE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before="240" w:after="240"/>
        <w:jc w:val="both"/>
        <w:rPr>
          <w:color w:val="000000"/>
          <w:sz w:val="20"/>
          <w:szCs w:val="20"/>
        </w:rPr>
      </w:pPr>
    </w:p>
    <w:p w14:paraId="1D689289" w14:textId="77777777" w:rsidR="008E5DE4" w:rsidRDefault="008E5DE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before="240" w:after="240"/>
        <w:jc w:val="both"/>
        <w:rPr>
          <w:color w:val="000000"/>
          <w:sz w:val="20"/>
          <w:szCs w:val="20"/>
        </w:rPr>
      </w:pPr>
    </w:p>
    <w:p w14:paraId="4FCA4D69" w14:textId="77777777" w:rsidR="008E5DE4" w:rsidRDefault="008E5DE4">
      <w:pPr>
        <w:tabs>
          <w:tab w:val="left" w:pos="1804"/>
        </w:tabs>
        <w:spacing w:before="240" w:after="240"/>
        <w:rPr>
          <w:sz w:val="20"/>
          <w:szCs w:val="20"/>
        </w:rPr>
      </w:pPr>
    </w:p>
    <w:p w14:paraId="573318C2" w14:textId="5964813D" w:rsidR="00EF5651" w:rsidRPr="00150BDF" w:rsidRDefault="00EF5651" w:rsidP="007F5C08">
      <w:pPr>
        <w:pStyle w:val="ListParagraph"/>
        <w:numPr>
          <w:ilvl w:val="0"/>
          <w:numId w:val="47"/>
        </w:numPr>
        <w:ind w:left="720"/>
        <w:rPr>
          <w:i/>
          <w:color w:val="FF0000"/>
          <w:sz w:val="20"/>
          <w:szCs w:val="20"/>
        </w:rPr>
        <w:sectPr w:rsidR="00EF5651" w:rsidRPr="00150BDF">
          <w:headerReference w:type="even" r:id="rId12"/>
          <w:headerReference w:type="default" r:id="rId13"/>
          <w:footerReference w:type="even" r:id="rId14"/>
          <w:footerReference w:type="default" r:id="rId15"/>
          <w:headerReference w:type="first" r:id="rId16"/>
          <w:footerReference w:type="first" r:id="rId17"/>
          <w:pgSz w:w="11907" w:h="16840"/>
          <w:pgMar w:top="442" w:right="851" w:bottom="426" w:left="1701" w:header="442" w:footer="567" w:gutter="0"/>
          <w:pgNumType w:start="1"/>
          <w:cols w:space="708"/>
        </w:sectPr>
      </w:pPr>
    </w:p>
    <w:p w14:paraId="30AB7231" w14:textId="77777777" w:rsidR="008E5DE4" w:rsidRDefault="00780368">
      <w:pPr>
        <w:pBdr>
          <w:top w:val="nil"/>
          <w:left w:val="nil"/>
          <w:bottom w:val="nil"/>
          <w:right w:val="nil"/>
          <w:between w:val="nil"/>
        </w:pBdr>
        <w:spacing w:after="240"/>
        <w:jc w:val="both"/>
        <w:rPr>
          <w:b/>
          <w:smallCaps/>
          <w:color w:val="000000"/>
        </w:rPr>
      </w:pPr>
      <w:r>
        <w:rPr>
          <w:b/>
          <w:color w:val="000000"/>
        </w:rPr>
        <w:lastRenderedPageBreak/>
        <w:t xml:space="preserve">Contents </w:t>
      </w:r>
    </w:p>
    <w:p w14:paraId="3C487CC5" w14:textId="77777777" w:rsidR="008E5DE4" w:rsidRDefault="00780368">
      <w:pPr>
        <w:pBdr>
          <w:top w:val="nil"/>
          <w:left w:val="nil"/>
          <w:bottom w:val="nil"/>
          <w:right w:val="nil"/>
          <w:between w:val="nil"/>
        </w:pBdr>
        <w:tabs>
          <w:tab w:val="right" w:pos="9345"/>
        </w:tabs>
        <w:ind w:left="567" w:hanging="567"/>
        <w:rPr>
          <w:color w:val="000000"/>
          <w:sz w:val="20"/>
          <w:szCs w:val="20"/>
        </w:rPr>
      </w:pPr>
      <w:r>
        <w:rPr>
          <w:color w:val="000000"/>
          <w:sz w:val="20"/>
          <w:szCs w:val="20"/>
        </w:rPr>
        <w:t>Independent Auditor’s report</w:t>
      </w:r>
    </w:p>
    <w:p w14:paraId="43E76988" w14:textId="77777777" w:rsidR="008E5DE4" w:rsidRDefault="008E5DE4">
      <w:pPr>
        <w:pBdr>
          <w:top w:val="nil"/>
          <w:left w:val="nil"/>
          <w:bottom w:val="nil"/>
          <w:right w:val="nil"/>
          <w:between w:val="nil"/>
        </w:pBdr>
        <w:tabs>
          <w:tab w:val="right" w:pos="9345"/>
        </w:tabs>
        <w:ind w:left="567" w:hanging="567"/>
        <w:rPr>
          <w:color w:val="000000"/>
          <w:sz w:val="20"/>
          <w:szCs w:val="20"/>
        </w:rPr>
      </w:pPr>
    </w:p>
    <w:p w14:paraId="1FC869B0" w14:textId="77777777" w:rsidR="008E5DE4" w:rsidRDefault="00780368">
      <w:pPr>
        <w:pBdr>
          <w:top w:val="nil"/>
          <w:left w:val="nil"/>
          <w:bottom w:val="nil"/>
          <w:right w:val="nil"/>
          <w:between w:val="nil"/>
        </w:pBdr>
        <w:tabs>
          <w:tab w:val="right" w:pos="9345"/>
        </w:tabs>
        <w:ind w:left="567" w:hanging="567"/>
        <w:rPr>
          <w:color w:val="000000"/>
          <w:sz w:val="20"/>
          <w:szCs w:val="20"/>
        </w:rPr>
      </w:pPr>
      <w:r>
        <w:rPr>
          <w:color w:val="000000"/>
          <w:sz w:val="20"/>
          <w:szCs w:val="20"/>
        </w:rPr>
        <w:t>Consolidated Financial Statements</w:t>
      </w:r>
    </w:p>
    <w:p w14:paraId="668B5243" w14:textId="77777777" w:rsidR="008E5DE4" w:rsidRDefault="008E5DE4">
      <w:pPr>
        <w:widowControl w:val="0"/>
        <w:pBdr>
          <w:top w:val="nil"/>
          <w:left w:val="nil"/>
          <w:bottom w:val="nil"/>
          <w:right w:val="nil"/>
          <w:between w:val="nil"/>
        </w:pBdr>
        <w:jc w:val="both"/>
        <w:rPr>
          <w:b/>
          <w:smallCaps/>
          <w:color w:val="000000"/>
          <w:sz w:val="8"/>
          <w:szCs w:val="8"/>
        </w:rPr>
      </w:pPr>
    </w:p>
    <w:p w14:paraId="09DFBF91" w14:textId="77777777" w:rsidR="008E5DE4" w:rsidRDefault="00780368">
      <w:pPr>
        <w:pBdr>
          <w:top w:val="nil"/>
          <w:left w:val="nil"/>
          <w:bottom w:val="nil"/>
          <w:right w:val="nil"/>
          <w:between w:val="nil"/>
        </w:pBdr>
        <w:tabs>
          <w:tab w:val="right" w:pos="9345"/>
        </w:tabs>
        <w:ind w:left="567" w:hanging="567"/>
        <w:rPr>
          <w:color w:val="000000"/>
        </w:rPr>
      </w:pPr>
      <w:r>
        <w:rPr>
          <w:color w:val="000000"/>
          <w:sz w:val="20"/>
          <w:szCs w:val="20"/>
        </w:rPr>
        <w:t>Consolidated Statement of Financial Position</w:t>
      </w:r>
      <w:r>
        <w:rPr>
          <w:color w:val="000000"/>
          <w:sz w:val="20"/>
          <w:szCs w:val="20"/>
        </w:rPr>
        <w:tab/>
        <w:t>1</w:t>
      </w:r>
    </w:p>
    <w:p w14:paraId="67C4CE61" w14:textId="77777777" w:rsidR="008E5DE4" w:rsidRDefault="00780368">
      <w:pPr>
        <w:pBdr>
          <w:top w:val="nil"/>
          <w:left w:val="nil"/>
          <w:bottom w:val="nil"/>
          <w:right w:val="nil"/>
          <w:between w:val="nil"/>
        </w:pBdr>
        <w:tabs>
          <w:tab w:val="right" w:pos="9345"/>
        </w:tabs>
        <w:ind w:left="567" w:hanging="567"/>
        <w:rPr>
          <w:color w:val="000000"/>
          <w:sz w:val="20"/>
          <w:szCs w:val="20"/>
        </w:rPr>
      </w:pPr>
      <w:r>
        <w:rPr>
          <w:color w:val="000000"/>
          <w:sz w:val="20"/>
          <w:szCs w:val="20"/>
        </w:rPr>
        <w:t>Consolidated Statement of Profit or Loss and Other Comprehensive Income</w:t>
      </w:r>
      <w:r>
        <w:rPr>
          <w:color w:val="000000"/>
          <w:sz w:val="20"/>
          <w:szCs w:val="20"/>
        </w:rPr>
        <w:tab/>
        <w:t>3</w:t>
      </w:r>
    </w:p>
    <w:p w14:paraId="042E3BA1" w14:textId="77777777" w:rsidR="008E5DE4" w:rsidRDefault="00780368">
      <w:pPr>
        <w:pBdr>
          <w:top w:val="nil"/>
          <w:left w:val="nil"/>
          <w:bottom w:val="nil"/>
          <w:right w:val="nil"/>
          <w:between w:val="nil"/>
        </w:pBdr>
        <w:tabs>
          <w:tab w:val="right" w:pos="9345"/>
        </w:tabs>
        <w:ind w:left="567" w:hanging="567"/>
        <w:rPr>
          <w:color w:val="000000"/>
          <w:sz w:val="20"/>
          <w:szCs w:val="20"/>
        </w:rPr>
      </w:pPr>
      <w:r>
        <w:rPr>
          <w:color w:val="000000"/>
          <w:sz w:val="20"/>
          <w:szCs w:val="20"/>
        </w:rPr>
        <w:t>Consolidated Statement of Changes in Equity</w:t>
      </w:r>
      <w:r>
        <w:rPr>
          <w:color w:val="000000"/>
          <w:sz w:val="20"/>
          <w:szCs w:val="20"/>
        </w:rPr>
        <w:tab/>
        <w:t>9</w:t>
      </w:r>
    </w:p>
    <w:p w14:paraId="7CB24189" w14:textId="77777777" w:rsidR="008E5DE4" w:rsidRDefault="00780368">
      <w:pPr>
        <w:pBdr>
          <w:top w:val="nil"/>
          <w:left w:val="nil"/>
          <w:bottom w:val="nil"/>
          <w:right w:val="nil"/>
          <w:between w:val="nil"/>
        </w:pBdr>
        <w:tabs>
          <w:tab w:val="right" w:pos="9345"/>
        </w:tabs>
        <w:ind w:left="567" w:hanging="567"/>
        <w:rPr>
          <w:color w:val="000000"/>
          <w:sz w:val="20"/>
          <w:szCs w:val="20"/>
        </w:rPr>
      </w:pPr>
      <w:r>
        <w:rPr>
          <w:color w:val="000000"/>
          <w:sz w:val="20"/>
          <w:szCs w:val="20"/>
        </w:rPr>
        <w:t>Consolidated Statement of Cash Flows</w:t>
      </w:r>
      <w:r>
        <w:rPr>
          <w:color w:val="000000"/>
          <w:sz w:val="20"/>
          <w:szCs w:val="20"/>
        </w:rPr>
        <w:tab/>
        <w:t>12</w:t>
      </w:r>
    </w:p>
    <w:p w14:paraId="5D8931DC" w14:textId="77777777" w:rsidR="008E5DE4" w:rsidRDefault="008E5DE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528"/>
          <w:tab w:val="left" w:pos="993"/>
          <w:tab w:val="right" w:pos="9356"/>
        </w:tabs>
        <w:ind w:left="993" w:right="1984" w:hanging="993"/>
        <w:jc w:val="both"/>
        <w:rPr>
          <w:color w:val="000000"/>
          <w:sz w:val="20"/>
          <w:szCs w:val="20"/>
        </w:rPr>
      </w:pPr>
    </w:p>
    <w:p w14:paraId="734A9FF5" w14:textId="77777777" w:rsidR="008E5DE4" w:rsidRDefault="00780368">
      <w:pPr>
        <w:pBdr>
          <w:top w:val="nil"/>
          <w:left w:val="nil"/>
          <w:bottom w:val="nil"/>
          <w:right w:val="nil"/>
          <w:between w:val="nil"/>
        </w:pBdr>
        <w:tabs>
          <w:tab w:val="right" w:pos="9345"/>
        </w:tabs>
        <w:ind w:left="567" w:hanging="567"/>
        <w:rPr>
          <w:color w:val="000000"/>
          <w:sz w:val="20"/>
          <w:szCs w:val="20"/>
        </w:rPr>
      </w:pPr>
      <w:r>
        <w:rPr>
          <w:color w:val="000000"/>
          <w:sz w:val="20"/>
          <w:szCs w:val="20"/>
        </w:rPr>
        <w:t>Notes to the Consolidated Financial Statements</w:t>
      </w:r>
    </w:p>
    <w:p w14:paraId="10E76E72" w14:textId="77777777" w:rsidR="008E5DE4" w:rsidRDefault="008E5DE4">
      <w:pPr>
        <w:widowControl w:val="0"/>
        <w:pBdr>
          <w:top w:val="nil"/>
          <w:left w:val="nil"/>
          <w:bottom w:val="nil"/>
          <w:right w:val="nil"/>
          <w:between w:val="nil"/>
        </w:pBdr>
        <w:jc w:val="both"/>
        <w:rPr>
          <w:b/>
          <w:smallCaps/>
          <w:color w:val="000000"/>
          <w:sz w:val="8"/>
          <w:szCs w:val="8"/>
        </w:rPr>
      </w:pPr>
    </w:p>
    <w:bookmarkStart w:id="0" w:name="_heading=h.gjdgxs" w:colFirst="0" w:colLast="0" w:displacedByCustomXml="next"/>
    <w:bookmarkEnd w:id="0" w:displacedByCustomXml="next"/>
    <w:sdt>
      <w:sdtPr>
        <w:rPr>
          <w:sz w:val="18"/>
        </w:rPr>
        <w:id w:val="222878178"/>
        <w:docPartObj>
          <w:docPartGallery w:val="Table of Contents"/>
          <w:docPartUnique/>
        </w:docPartObj>
      </w:sdtPr>
      <w:sdtContent>
        <w:p w14:paraId="4881EC5F" w14:textId="7ABF8F42" w:rsidR="00BB1486" w:rsidRDefault="00780368">
          <w:pPr>
            <w:pStyle w:val="TOC1"/>
            <w:rPr>
              <w:rFonts w:asciiTheme="minorHAnsi" w:eastAsiaTheme="minorEastAsia" w:hAnsiTheme="minorHAnsi" w:cstheme="minorBidi"/>
              <w:noProof/>
              <w:sz w:val="22"/>
              <w:szCs w:val="22"/>
              <w:lang w:eastAsia="en-GB"/>
            </w:rPr>
          </w:pPr>
          <w:r>
            <w:fldChar w:fldCharType="begin"/>
          </w:r>
          <w:r>
            <w:instrText xml:space="preserve"> TOC \h \u \z \t "Heading 1,1,"</w:instrText>
          </w:r>
          <w:r>
            <w:fldChar w:fldCharType="separate"/>
          </w:r>
          <w:hyperlink w:anchor="_Toc149923600" w:history="1">
            <w:r w:rsidR="00BB1486" w:rsidRPr="00A875C0">
              <w:rPr>
                <w:rStyle w:val="Hyperlink"/>
                <w:noProof/>
              </w:rPr>
              <w:t>1</w:t>
            </w:r>
            <w:r w:rsidR="00BB1486">
              <w:rPr>
                <w:rFonts w:asciiTheme="minorHAnsi" w:eastAsiaTheme="minorEastAsia" w:hAnsiTheme="minorHAnsi" w:cstheme="minorBidi"/>
                <w:noProof/>
                <w:sz w:val="22"/>
                <w:szCs w:val="22"/>
                <w:lang w:eastAsia="en-GB"/>
              </w:rPr>
              <w:tab/>
            </w:r>
            <w:r w:rsidR="00BB1486" w:rsidRPr="00A875C0">
              <w:rPr>
                <w:rStyle w:val="Hyperlink"/>
                <w:noProof/>
              </w:rPr>
              <w:t>ABC Group and its Operations</w:t>
            </w:r>
            <w:r w:rsidR="00BB1486">
              <w:rPr>
                <w:noProof/>
                <w:webHidden/>
              </w:rPr>
              <w:tab/>
            </w:r>
            <w:r w:rsidR="00BB1486">
              <w:rPr>
                <w:noProof/>
                <w:webHidden/>
              </w:rPr>
              <w:fldChar w:fldCharType="begin"/>
            </w:r>
            <w:r w:rsidR="00BB1486">
              <w:rPr>
                <w:noProof/>
                <w:webHidden/>
              </w:rPr>
              <w:instrText xml:space="preserve"> PAGEREF _Toc149923600 \h </w:instrText>
            </w:r>
            <w:r w:rsidR="00BB1486">
              <w:rPr>
                <w:noProof/>
                <w:webHidden/>
              </w:rPr>
            </w:r>
            <w:r w:rsidR="00BB1486">
              <w:rPr>
                <w:noProof/>
                <w:webHidden/>
              </w:rPr>
              <w:fldChar w:fldCharType="separate"/>
            </w:r>
            <w:r w:rsidR="004B15B2">
              <w:rPr>
                <w:noProof/>
                <w:webHidden/>
              </w:rPr>
              <w:t>15</w:t>
            </w:r>
            <w:r w:rsidR="00BB1486">
              <w:rPr>
                <w:noProof/>
                <w:webHidden/>
              </w:rPr>
              <w:fldChar w:fldCharType="end"/>
            </w:r>
          </w:hyperlink>
        </w:p>
        <w:p w14:paraId="3B55C47E" w14:textId="1BB5954B" w:rsidR="00BB1486" w:rsidRDefault="00BB1486">
          <w:pPr>
            <w:pStyle w:val="TOC1"/>
            <w:rPr>
              <w:rFonts w:asciiTheme="minorHAnsi" w:eastAsiaTheme="minorEastAsia" w:hAnsiTheme="minorHAnsi" w:cstheme="minorBidi"/>
              <w:noProof/>
              <w:sz w:val="22"/>
              <w:szCs w:val="22"/>
              <w:lang w:eastAsia="en-GB"/>
            </w:rPr>
          </w:pPr>
          <w:hyperlink w:anchor="_Toc149923601" w:history="1">
            <w:r w:rsidRPr="00A875C0">
              <w:rPr>
                <w:rStyle w:val="Hyperlink"/>
                <w:noProof/>
              </w:rPr>
              <w:t>2</w:t>
            </w:r>
            <w:r>
              <w:rPr>
                <w:rFonts w:asciiTheme="minorHAnsi" w:eastAsiaTheme="minorEastAsia" w:hAnsiTheme="minorHAnsi" w:cstheme="minorBidi"/>
                <w:noProof/>
                <w:sz w:val="22"/>
                <w:szCs w:val="22"/>
                <w:lang w:eastAsia="en-GB"/>
              </w:rPr>
              <w:tab/>
            </w:r>
            <w:r w:rsidRPr="00A875C0">
              <w:rPr>
                <w:rStyle w:val="Hyperlink"/>
                <w:noProof/>
              </w:rPr>
              <w:t>Operating Environment of the Group</w:t>
            </w:r>
            <w:r>
              <w:rPr>
                <w:noProof/>
                <w:webHidden/>
              </w:rPr>
              <w:tab/>
            </w:r>
            <w:r>
              <w:rPr>
                <w:noProof/>
                <w:webHidden/>
              </w:rPr>
              <w:fldChar w:fldCharType="begin"/>
            </w:r>
            <w:r>
              <w:rPr>
                <w:noProof/>
                <w:webHidden/>
              </w:rPr>
              <w:instrText xml:space="preserve"> PAGEREF _Toc149923601 \h </w:instrText>
            </w:r>
            <w:r>
              <w:rPr>
                <w:noProof/>
                <w:webHidden/>
              </w:rPr>
            </w:r>
            <w:r>
              <w:rPr>
                <w:noProof/>
                <w:webHidden/>
              </w:rPr>
              <w:fldChar w:fldCharType="separate"/>
            </w:r>
            <w:r w:rsidR="004B15B2">
              <w:rPr>
                <w:noProof/>
                <w:webHidden/>
              </w:rPr>
              <w:t>15</w:t>
            </w:r>
            <w:r>
              <w:rPr>
                <w:noProof/>
                <w:webHidden/>
              </w:rPr>
              <w:fldChar w:fldCharType="end"/>
            </w:r>
          </w:hyperlink>
        </w:p>
        <w:p w14:paraId="645FE74B" w14:textId="5D4BEAF1" w:rsidR="00BB1486" w:rsidRDefault="00BB1486">
          <w:pPr>
            <w:pStyle w:val="TOC1"/>
            <w:rPr>
              <w:rFonts w:asciiTheme="minorHAnsi" w:eastAsiaTheme="minorEastAsia" w:hAnsiTheme="minorHAnsi" w:cstheme="minorBidi"/>
              <w:noProof/>
              <w:sz w:val="22"/>
              <w:szCs w:val="22"/>
              <w:lang w:eastAsia="en-GB"/>
            </w:rPr>
          </w:pPr>
          <w:hyperlink w:anchor="_Toc149923602" w:history="1">
            <w:r w:rsidRPr="00A875C0">
              <w:rPr>
                <w:rStyle w:val="Hyperlink"/>
                <w:noProof/>
              </w:rPr>
              <w:t>3</w:t>
            </w:r>
            <w:r>
              <w:rPr>
                <w:rFonts w:asciiTheme="minorHAnsi" w:eastAsiaTheme="minorEastAsia" w:hAnsiTheme="minorHAnsi" w:cstheme="minorBidi"/>
                <w:noProof/>
                <w:sz w:val="22"/>
                <w:szCs w:val="22"/>
                <w:lang w:eastAsia="en-GB"/>
              </w:rPr>
              <w:tab/>
            </w:r>
            <w:r w:rsidRPr="00A875C0">
              <w:rPr>
                <w:rStyle w:val="Hyperlink"/>
                <w:noProof/>
              </w:rPr>
              <w:t>Basis of preparation</w:t>
            </w:r>
            <w:r>
              <w:rPr>
                <w:noProof/>
                <w:webHidden/>
              </w:rPr>
              <w:tab/>
            </w:r>
            <w:r>
              <w:rPr>
                <w:noProof/>
                <w:webHidden/>
              </w:rPr>
              <w:fldChar w:fldCharType="begin"/>
            </w:r>
            <w:r>
              <w:rPr>
                <w:noProof/>
                <w:webHidden/>
              </w:rPr>
              <w:instrText xml:space="preserve"> PAGEREF _Toc149923602 \h </w:instrText>
            </w:r>
            <w:r>
              <w:rPr>
                <w:noProof/>
                <w:webHidden/>
              </w:rPr>
            </w:r>
            <w:r>
              <w:rPr>
                <w:noProof/>
                <w:webHidden/>
              </w:rPr>
              <w:fldChar w:fldCharType="separate"/>
            </w:r>
            <w:r w:rsidR="004B15B2">
              <w:rPr>
                <w:noProof/>
                <w:webHidden/>
              </w:rPr>
              <w:t>16</w:t>
            </w:r>
            <w:r>
              <w:rPr>
                <w:noProof/>
                <w:webHidden/>
              </w:rPr>
              <w:fldChar w:fldCharType="end"/>
            </w:r>
          </w:hyperlink>
        </w:p>
        <w:p w14:paraId="4E391A10" w14:textId="636EACDB" w:rsidR="00BB1486" w:rsidRDefault="00BB1486">
          <w:pPr>
            <w:pStyle w:val="TOC1"/>
            <w:rPr>
              <w:rFonts w:asciiTheme="minorHAnsi" w:eastAsiaTheme="minorEastAsia" w:hAnsiTheme="minorHAnsi" w:cstheme="minorBidi"/>
              <w:noProof/>
              <w:sz w:val="22"/>
              <w:szCs w:val="22"/>
              <w:lang w:eastAsia="en-GB"/>
            </w:rPr>
          </w:pPr>
          <w:hyperlink w:anchor="_Toc149923603" w:history="1">
            <w:r w:rsidRPr="00A875C0">
              <w:rPr>
                <w:rStyle w:val="Hyperlink"/>
                <w:noProof/>
              </w:rPr>
              <w:t>4</w:t>
            </w:r>
            <w:r>
              <w:rPr>
                <w:rFonts w:asciiTheme="minorHAnsi" w:eastAsiaTheme="minorEastAsia" w:hAnsiTheme="minorHAnsi" w:cstheme="minorBidi"/>
                <w:noProof/>
                <w:sz w:val="22"/>
                <w:szCs w:val="22"/>
                <w:lang w:eastAsia="en-GB"/>
              </w:rPr>
              <w:tab/>
            </w:r>
            <w:r w:rsidRPr="00A875C0">
              <w:rPr>
                <w:rStyle w:val="Hyperlink"/>
                <w:noProof/>
              </w:rPr>
              <w:t>Critical Accounting Estimates and Judgements in Applying Accounting Policies</w:t>
            </w:r>
            <w:r>
              <w:rPr>
                <w:noProof/>
                <w:webHidden/>
              </w:rPr>
              <w:tab/>
            </w:r>
            <w:r>
              <w:rPr>
                <w:noProof/>
                <w:webHidden/>
              </w:rPr>
              <w:fldChar w:fldCharType="begin"/>
            </w:r>
            <w:r>
              <w:rPr>
                <w:noProof/>
                <w:webHidden/>
              </w:rPr>
              <w:instrText xml:space="preserve"> PAGEREF _Toc149923603 \h </w:instrText>
            </w:r>
            <w:r>
              <w:rPr>
                <w:noProof/>
                <w:webHidden/>
              </w:rPr>
            </w:r>
            <w:r>
              <w:rPr>
                <w:noProof/>
                <w:webHidden/>
              </w:rPr>
              <w:fldChar w:fldCharType="separate"/>
            </w:r>
            <w:r w:rsidR="004B15B2">
              <w:rPr>
                <w:noProof/>
                <w:webHidden/>
              </w:rPr>
              <w:t>18</w:t>
            </w:r>
            <w:r>
              <w:rPr>
                <w:noProof/>
                <w:webHidden/>
              </w:rPr>
              <w:fldChar w:fldCharType="end"/>
            </w:r>
          </w:hyperlink>
        </w:p>
        <w:p w14:paraId="7FA9AE47" w14:textId="5C806076" w:rsidR="00BB1486" w:rsidRDefault="00BB1486">
          <w:pPr>
            <w:pStyle w:val="TOC1"/>
            <w:rPr>
              <w:rFonts w:asciiTheme="minorHAnsi" w:eastAsiaTheme="minorEastAsia" w:hAnsiTheme="minorHAnsi" w:cstheme="minorBidi"/>
              <w:noProof/>
              <w:sz w:val="22"/>
              <w:szCs w:val="22"/>
              <w:lang w:eastAsia="en-GB"/>
            </w:rPr>
          </w:pPr>
          <w:hyperlink w:anchor="_Toc149923604" w:history="1">
            <w:r w:rsidRPr="00A875C0">
              <w:rPr>
                <w:rStyle w:val="Hyperlink"/>
                <w:noProof/>
              </w:rPr>
              <w:t>5</w:t>
            </w:r>
            <w:r>
              <w:rPr>
                <w:rFonts w:asciiTheme="minorHAnsi" w:eastAsiaTheme="minorEastAsia" w:hAnsiTheme="minorHAnsi" w:cstheme="minorBidi"/>
                <w:noProof/>
                <w:sz w:val="22"/>
                <w:szCs w:val="22"/>
                <w:lang w:eastAsia="en-GB"/>
              </w:rPr>
              <w:tab/>
            </w:r>
            <w:r w:rsidRPr="00A875C0">
              <w:rPr>
                <w:rStyle w:val="Hyperlink"/>
                <w:noProof/>
              </w:rPr>
              <w:t>Adoption of New or Revised Standards and Interpretations</w:t>
            </w:r>
            <w:r>
              <w:rPr>
                <w:noProof/>
                <w:webHidden/>
              </w:rPr>
              <w:tab/>
            </w:r>
            <w:r>
              <w:rPr>
                <w:noProof/>
                <w:webHidden/>
              </w:rPr>
              <w:fldChar w:fldCharType="begin"/>
            </w:r>
            <w:r>
              <w:rPr>
                <w:noProof/>
                <w:webHidden/>
              </w:rPr>
              <w:instrText xml:space="preserve"> PAGEREF _Toc149923604 \h </w:instrText>
            </w:r>
            <w:r>
              <w:rPr>
                <w:noProof/>
                <w:webHidden/>
              </w:rPr>
            </w:r>
            <w:r>
              <w:rPr>
                <w:noProof/>
                <w:webHidden/>
              </w:rPr>
              <w:fldChar w:fldCharType="separate"/>
            </w:r>
            <w:r w:rsidR="004B15B2">
              <w:rPr>
                <w:noProof/>
                <w:webHidden/>
              </w:rPr>
              <w:t>22</w:t>
            </w:r>
            <w:r>
              <w:rPr>
                <w:noProof/>
                <w:webHidden/>
              </w:rPr>
              <w:fldChar w:fldCharType="end"/>
            </w:r>
          </w:hyperlink>
        </w:p>
        <w:p w14:paraId="2B8FCB29" w14:textId="4797A98D" w:rsidR="00BB1486" w:rsidRDefault="00BB1486">
          <w:pPr>
            <w:pStyle w:val="TOC1"/>
            <w:rPr>
              <w:rFonts w:asciiTheme="minorHAnsi" w:eastAsiaTheme="minorEastAsia" w:hAnsiTheme="minorHAnsi" w:cstheme="minorBidi"/>
              <w:noProof/>
              <w:sz w:val="22"/>
              <w:szCs w:val="22"/>
              <w:lang w:eastAsia="en-GB"/>
            </w:rPr>
          </w:pPr>
          <w:hyperlink w:anchor="_Toc149923605" w:history="1">
            <w:r w:rsidRPr="00A875C0">
              <w:rPr>
                <w:rStyle w:val="Hyperlink"/>
                <w:noProof/>
              </w:rPr>
              <w:t>6</w:t>
            </w:r>
            <w:r>
              <w:rPr>
                <w:rFonts w:asciiTheme="minorHAnsi" w:eastAsiaTheme="minorEastAsia" w:hAnsiTheme="minorHAnsi" w:cstheme="minorBidi"/>
                <w:noProof/>
                <w:sz w:val="22"/>
                <w:szCs w:val="22"/>
                <w:lang w:eastAsia="en-GB"/>
              </w:rPr>
              <w:tab/>
            </w:r>
            <w:r w:rsidRPr="00A875C0">
              <w:rPr>
                <w:rStyle w:val="Hyperlink"/>
                <w:noProof/>
              </w:rPr>
              <w:t>New Accounting Pronouncements</w:t>
            </w:r>
            <w:r>
              <w:rPr>
                <w:noProof/>
                <w:webHidden/>
              </w:rPr>
              <w:tab/>
            </w:r>
            <w:r>
              <w:rPr>
                <w:noProof/>
                <w:webHidden/>
              </w:rPr>
              <w:fldChar w:fldCharType="begin"/>
            </w:r>
            <w:r>
              <w:rPr>
                <w:noProof/>
                <w:webHidden/>
              </w:rPr>
              <w:instrText xml:space="preserve"> PAGEREF _Toc149923605 \h </w:instrText>
            </w:r>
            <w:r>
              <w:rPr>
                <w:noProof/>
                <w:webHidden/>
              </w:rPr>
            </w:r>
            <w:r>
              <w:rPr>
                <w:noProof/>
                <w:webHidden/>
              </w:rPr>
              <w:fldChar w:fldCharType="separate"/>
            </w:r>
            <w:r w:rsidR="004B15B2">
              <w:rPr>
                <w:noProof/>
                <w:webHidden/>
              </w:rPr>
              <w:t>23</w:t>
            </w:r>
            <w:r>
              <w:rPr>
                <w:noProof/>
                <w:webHidden/>
              </w:rPr>
              <w:fldChar w:fldCharType="end"/>
            </w:r>
          </w:hyperlink>
        </w:p>
        <w:p w14:paraId="4671B6FD" w14:textId="50568608" w:rsidR="00BB1486" w:rsidRDefault="00BB1486">
          <w:pPr>
            <w:pStyle w:val="TOC1"/>
            <w:rPr>
              <w:rFonts w:asciiTheme="minorHAnsi" w:eastAsiaTheme="minorEastAsia" w:hAnsiTheme="minorHAnsi" w:cstheme="minorBidi"/>
              <w:noProof/>
              <w:sz w:val="22"/>
              <w:szCs w:val="22"/>
              <w:lang w:eastAsia="en-GB"/>
            </w:rPr>
          </w:pPr>
          <w:hyperlink w:anchor="_Toc149923606" w:history="1">
            <w:r w:rsidRPr="00A875C0">
              <w:rPr>
                <w:rStyle w:val="Hyperlink"/>
                <w:noProof/>
              </w:rPr>
              <w:t>7</w:t>
            </w:r>
            <w:r>
              <w:rPr>
                <w:rFonts w:asciiTheme="minorHAnsi" w:eastAsiaTheme="minorEastAsia" w:hAnsiTheme="minorHAnsi" w:cstheme="minorBidi"/>
                <w:noProof/>
                <w:sz w:val="22"/>
                <w:szCs w:val="22"/>
                <w:lang w:eastAsia="en-GB"/>
              </w:rPr>
              <w:tab/>
            </w:r>
            <w:r w:rsidRPr="00A875C0">
              <w:rPr>
                <w:rStyle w:val="Hyperlink"/>
                <w:noProof/>
              </w:rPr>
              <w:t>Segment Information</w:t>
            </w:r>
            <w:r>
              <w:rPr>
                <w:noProof/>
                <w:webHidden/>
              </w:rPr>
              <w:tab/>
            </w:r>
            <w:r>
              <w:rPr>
                <w:noProof/>
                <w:webHidden/>
              </w:rPr>
              <w:fldChar w:fldCharType="begin"/>
            </w:r>
            <w:r>
              <w:rPr>
                <w:noProof/>
                <w:webHidden/>
              </w:rPr>
              <w:instrText xml:space="preserve"> PAGEREF _Toc149923606 \h </w:instrText>
            </w:r>
            <w:r>
              <w:rPr>
                <w:noProof/>
                <w:webHidden/>
              </w:rPr>
            </w:r>
            <w:r>
              <w:rPr>
                <w:noProof/>
                <w:webHidden/>
              </w:rPr>
              <w:fldChar w:fldCharType="separate"/>
            </w:r>
            <w:r w:rsidR="004B15B2">
              <w:rPr>
                <w:noProof/>
                <w:webHidden/>
              </w:rPr>
              <w:t>25</w:t>
            </w:r>
            <w:r>
              <w:rPr>
                <w:noProof/>
                <w:webHidden/>
              </w:rPr>
              <w:fldChar w:fldCharType="end"/>
            </w:r>
          </w:hyperlink>
        </w:p>
        <w:p w14:paraId="1385F29C" w14:textId="656667F2" w:rsidR="00BB1486" w:rsidRDefault="00BB1486">
          <w:pPr>
            <w:pStyle w:val="TOC1"/>
            <w:rPr>
              <w:rFonts w:asciiTheme="minorHAnsi" w:eastAsiaTheme="minorEastAsia" w:hAnsiTheme="minorHAnsi" w:cstheme="minorBidi"/>
              <w:noProof/>
              <w:sz w:val="22"/>
              <w:szCs w:val="22"/>
              <w:lang w:eastAsia="en-GB"/>
            </w:rPr>
          </w:pPr>
          <w:hyperlink w:anchor="_Toc149923607" w:history="1">
            <w:r w:rsidRPr="00A875C0">
              <w:rPr>
                <w:rStyle w:val="Hyperlink"/>
                <w:noProof/>
              </w:rPr>
              <w:t>8</w:t>
            </w:r>
            <w:r>
              <w:rPr>
                <w:rFonts w:asciiTheme="minorHAnsi" w:eastAsiaTheme="minorEastAsia" w:hAnsiTheme="minorHAnsi" w:cstheme="minorBidi"/>
                <w:noProof/>
                <w:sz w:val="22"/>
                <w:szCs w:val="22"/>
                <w:lang w:eastAsia="en-GB"/>
              </w:rPr>
              <w:tab/>
            </w:r>
            <w:r w:rsidRPr="00A875C0">
              <w:rPr>
                <w:rStyle w:val="Hyperlink"/>
                <w:noProof/>
              </w:rPr>
              <w:t>Balances and Transactions with Related Parties</w:t>
            </w:r>
            <w:r>
              <w:rPr>
                <w:noProof/>
                <w:webHidden/>
              </w:rPr>
              <w:tab/>
            </w:r>
            <w:r>
              <w:rPr>
                <w:noProof/>
                <w:webHidden/>
              </w:rPr>
              <w:fldChar w:fldCharType="begin"/>
            </w:r>
            <w:r>
              <w:rPr>
                <w:noProof/>
                <w:webHidden/>
              </w:rPr>
              <w:instrText xml:space="preserve"> PAGEREF _Toc149923607 \h </w:instrText>
            </w:r>
            <w:r>
              <w:rPr>
                <w:noProof/>
                <w:webHidden/>
              </w:rPr>
            </w:r>
            <w:r>
              <w:rPr>
                <w:noProof/>
                <w:webHidden/>
              </w:rPr>
              <w:fldChar w:fldCharType="separate"/>
            </w:r>
            <w:r w:rsidR="004B15B2">
              <w:rPr>
                <w:noProof/>
                <w:webHidden/>
              </w:rPr>
              <w:t>35</w:t>
            </w:r>
            <w:r>
              <w:rPr>
                <w:noProof/>
                <w:webHidden/>
              </w:rPr>
              <w:fldChar w:fldCharType="end"/>
            </w:r>
          </w:hyperlink>
        </w:p>
        <w:p w14:paraId="14B91754" w14:textId="423F6F76" w:rsidR="00BB1486" w:rsidRDefault="00BB1486">
          <w:pPr>
            <w:pStyle w:val="TOC1"/>
            <w:rPr>
              <w:rFonts w:asciiTheme="minorHAnsi" w:eastAsiaTheme="minorEastAsia" w:hAnsiTheme="minorHAnsi" w:cstheme="minorBidi"/>
              <w:noProof/>
              <w:sz w:val="22"/>
              <w:szCs w:val="22"/>
              <w:lang w:eastAsia="en-GB"/>
            </w:rPr>
          </w:pPr>
          <w:hyperlink w:anchor="_Toc149923608" w:history="1">
            <w:r w:rsidRPr="00A875C0">
              <w:rPr>
                <w:rStyle w:val="Hyperlink"/>
                <w:noProof/>
              </w:rPr>
              <w:t>9</w:t>
            </w:r>
            <w:r>
              <w:rPr>
                <w:rFonts w:asciiTheme="minorHAnsi" w:eastAsiaTheme="minorEastAsia" w:hAnsiTheme="minorHAnsi" w:cstheme="minorBidi"/>
                <w:noProof/>
                <w:sz w:val="22"/>
                <w:szCs w:val="22"/>
                <w:lang w:eastAsia="en-GB"/>
              </w:rPr>
              <w:tab/>
            </w:r>
            <w:r w:rsidRPr="00A875C0">
              <w:rPr>
                <w:rStyle w:val="Hyperlink"/>
                <w:noProof/>
              </w:rPr>
              <w:t>Property, Plant and Equipment</w:t>
            </w:r>
            <w:r>
              <w:rPr>
                <w:noProof/>
                <w:webHidden/>
              </w:rPr>
              <w:tab/>
            </w:r>
            <w:r>
              <w:rPr>
                <w:noProof/>
                <w:webHidden/>
              </w:rPr>
              <w:fldChar w:fldCharType="begin"/>
            </w:r>
            <w:r>
              <w:rPr>
                <w:noProof/>
                <w:webHidden/>
              </w:rPr>
              <w:instrText xml:space="preserve"> PAGEREF _Toc149923608 \h </w:instrText>
            </w:r>
            <w:r>
              <w:rPr>
                <w:noProof/>
                <w:webHidden/>
              </w:rPr>
            </w:r>
            <w:r>
              <w:rPr>
                <w:noProof/>
                <w:webHidden/>
              </w:rPr>
              <w:fldChar w:fldCharType="separate"/>
            </w:r>
            <w:r w:rsidR="004B15B2">
              <w:rPr>
                <w:noProof/>
                <w:webHidden/>
              </w:rPr>
              <w:t>42</w:t>
            </w:r>
            <w:r>
              <w:rPr>
                <w:noProof/>
                <w:webHidden/>
              </w:rPr>
              <w:fldChar w:fldCharType="end"/>
            </w:r>
          </w:hyperlink>
        </w:p>
        <w:p w14:paraId="1BC09E07" w14:textId="56711511" w:rsidR="00BB1486" w:rsidRDefault="00BB1486">
          <w:pPr>
            <w:pStyle w:val="TOC1"/>
            <w:rPr>
              <w:rFonts w:asciiTheme="minorHAnsi" w:eastAsiaTheme="minorEastAsia" w:hAnsiTheme="minorHAnsi" w:cstheme="minorBidi"/>
              <w:noProof/>
              <w:sz w:val="22"/>
              <w:szCs w:val="22"/>
              <w:lang w:eastAsia="en-GB"/>
            </w:rPr>
          </w:pPr>
          <w:hyperlink w:anchor="_Toc149923609" w:history="1">
            <w:r w:rsidRPr="00A875C0">
              <w:rPr>
                <w:rStyle w:val="Hyperlink"/>
                <w:noProof/>
              </w:rPr>
              <w:t>10</w:t>
            </w:r>
            <w:r>
              <w:rPr>
                <w:rFonts w:asciiTheme="minorHAnsi" w:eastAsiaTheme="minorEastAsia" w:hAnsiTheme="minorHAnsi" w:cstheme="minorBidi"/>
                <w:noProof/>
                <w:sz w:val="22"/>
                <w:szCs w:val="22"/>
                <w:lang w:eastAsia="en-GB"/>
              </w:rPr>
              <w:tab/>
            </w:r>
            <w:r w:rsidRPr="00A875C0">
              <w:rPr>
                <w:rStyle w:val="Hyperlink"/>
                <w:noProof/>
              </w:rPr>
              <w:t>Investment Property</w:t>
            </w:r>
            <w:r>
              <w:rPr>
                <w:noProof/>
                <w:webHidden/>
              </w:rPr>
              <w:tab/>
            </w:r>
            <w:r>
              <w:rPr>
                <w:noProof/>
                <w:webHidden/>
              </w:rPr>
              <w:fldChar w:fldCharType="begin"/>
            </w:r>
            <w:r>
              <w:rPr>
                <w:noProof/>
                <w:webHidden/>
              </w:rPr>
              <w:instrText xml:space="preserve"> PAGEREF _Toc149923609 \h </w:instrText>
            </w:r>
            <w:r>
              <w:rPr>
                <w:noProof/>
                <w:webHidden/>
              </w:rPr>
            </w:r>
            <w:r>
              <w:rPr>
                <w:noProof/>
                <w:webHidden/>
              </w:rPr>
              <w:fldChar w:fldCharType="separate"/>
            </w:r>
            <w:r w:rsidR="004B15B2">
              <w:rPr>
                <w:noProof/>
                <w:webHidden/>
              </w:rPr>
              <w:t>50</w:t>
            </w:r>
            <w:r>
              <w:rPr>
                <w:noProof/>
                <w:webHidden/>
              </w:rPr>
              <w:fldChar w:fldCharType="end"/>
            </w:r>
          </w:hyperlink>
        </w:p>
        <w:p w14:paraId="477B21F9" w14:textId="696FBF7D" w:rsidR="00BB1486" w:rsidRDefault="00BB1486">
          <w:pPr>
            <w:pStyle w:val="TOC1"/>
            <w:rPr>
              <w:rFonts w:asciiTheme="minorHAnsi" w:eastAsiaTheme="minorEastAsia" w:hAnsiTheme="minorHAnsi" w:cstheme="minorBidi"/>
              <w:noProof/>
              <w:sz w:val="22"/>
              <w:szCs w:val="22"/>
              <w:lang w:eastAsia="en-GB"/>
            </w:rPr>
          </w:pPr>
          <w:hyperlink w:anchor="_Toc149923610" w:history="1">
            <w:r w:rsidRPr="00A875C0">
              <w:rPr>
                <w:rStyle w:val="Hyperlink"/>
                <w:noProof/>
              </w:rPr>
              <w:t>11</w:t>
            </w:r>
            <w:r>
              <w:rPr>
                <w:rFonts w:asciiTheme="minorHAnsi" w:eastAsiaTheme="minorEastAsia" w:hAnsiTheme="minorHAnsi" w:cstheme="minorBidi"/>
                <w:noProof/>
                <w:sz w:val="22"/>
                <w:szCs w:val="22"/>
                <w:lang w:eastAsia="en-GB"/>
              </w:rPr>
              <w:tab/>
            </w:r>
            <w:r w:rsidRPr="00A875C0">
              <w:rPr>
                <w:rStyle w:val="Hyperlink"/>
                <w:noProof/>
              </w:rPr>
              <w:t>Right-of-use Assets and Lease Liabilities</w:t>
            </w:r>
            <w:r>
              <w:rPr>
                <w:noProof/>
                <w:webHidden/>
              </w:rPr>
              <w:tab/>
            </w:r>
            <w:r>
              <w:rPr>
                <w:noProof/>
                <w:webHidden/>
              </w:rPr>
              <w:fldChar w:fldCharType="begin"/>
            </w:r>
            <w:r>
              <w:rPr>
                <w:noProof/>
                <w:webHidden/>
              </w:rPr>
              <w:instrText xml:space="preserve"> PAGEREF _Toc149923610 \h </w:instrText>
            </w:r>
            <w:r>
              <w:rPr>
                <w:noProof/>
                <w:webHidden/>
              </w:rPr>
            </w:r>
            <w:r>
              <w:rPr>
                <w:noProof/>
                <w:webHidden/>
              </w:rPr>
              <w:fldChar w:fldCharType="separate"/>
            </w:r>
            <w:r w:rsidR="004B15B2">
              <w:rPr>
                <w:noProof/>
                <w:webHidden/>
              </w:rPr>
              <w:t>55</w:t>
            </w:r>
            <w:r>
              <w:rPr>
                <w:noProof/>
                <w:webHidden/>
              </w:rPr>
              <w:fldChar w:fldCharType="end"/>
            </w:r>
          </w:hyperlink>
        </w:p>
        <w:p w14:paraId="59D32678" w14:textId="38C9703E" w:rsidR="00BB1486" w:rsidRDefault="00BB1486">
          <w:pPr>
            <w:pStyle w:val="TOC1"/>
            <w:rPr>
              <w:rFonts w:asciiTheme="minorHAnsi" w:eastAsiaTheme="minorEastAsia" w:hAnsiTheme="minorHAnsi" w:cstheme="minorBidi"/>
              <w:noProof/>
              <w:sz w:val="22"/>
              <w:szCs w:val="22"/>
              <w:lang w:eastAsia="en-GB"/>
            </w:rPr>
          </w:pPr>
          <w:hyperlink w:anchor="_Toc149923611" w:history="1">
            <w:r w:rsidRPr="00A875C0">
              <w:rPr>
                <w:rStyle w:val="Hyperlink"/>
                <w:noProof/>
              </w:rPr>
              <w:t>12</w:t>
            </w:r>
            <w:r>
              <w:rPr>
                <w:rFonts w:asciiTheme="minorHAnsi" w:eastAsiaTheme="minorEastAsia" w:hAnsiTheme="minorHAnsi" w:cstheme="minorBidi"/>
                <w:noProof/>
                <w:sz w:val="22"/>
                <w:szCs w:val="22"/>
                <w:lang w:eastAsia="en-GB"/>
              </w:rPr>
              <w:tab/>
            </w:r>
            <w:r w:rsidRPr="00A875C0">
              <w:rPr>
                <w:rStyle w:val="Hyperlink"/>
                <w:noProof/>
              </w:rPr>
              <w:t>Goodwill</w:t>
            </w:r>
            <w:r>
              <w:rPr>
                <w:noProof/>
                <w:webHidden/>
              </w:rPr>
              <w:tab/>
            </w:r>
            <w:r>
              <w:rPr>
                <w:noProof/>
                <w:webHidden/>
              </w:rPr>
              <w:fldChar w:fldCharType="begin"/>
            </w:r>
            <w:r>
              <w:rPr>
                <w:noProof/>
                <w:webHidden/>
              </w:rPr>
              <w:instrText xml:space="preserve"> PAGEREF _Toc149923611 \h </w:instrText>
            </w:r>
            <w:r>
              <w:rPr>
                <w:noProof/>
                <w:webHidden/>
              </w:rPr>
            </w:r>
            <w:r>
              <w:rPr>
                <w:noProof/>
                <w:webHidden/>
              </w:rPr>
              <w:fldChar w:fldCharType="separate"/>
            </w:r>
            <w:r w:rsidR="004B15B2">
              <w:rPr>
                <w:noProof/>
                <w:webHidden/>
              </w:rPr>
              <w:t>60</w:t>
            </w:r>
            <w:r>
              <w:rPr>
                <w:noProof/>
                <w:webHidden/>
              </w:rPr>
              <w:fldChar w:fldCharType="end"/>
            </w:r>
          </w:hyperlink>
        </w:p>
        <w:p w14:paraId="1477C1B5" w14:textId="2D12D596" w:rsidR="00BB1486" w:rsidRDefault="00BB1486">
          <w:pPr>
            <w:pStyle w:val="TOC1"/>
            <w:rPr>
              <w:rFonts w:asciiTheme="minorHAnsi" w:eastAsiaTheme="minorEastAsia" w:hAnsiTheme="minorHAnsi" w:cstheme="minorBidi"/>
              <w:noProof/>
              <w:sz w:val="22"/>
              <w:szCs w:val="22"/>
              <w:lang w:eastAsia="en-GB"/>
            </w:rPr>
          </w:pPr>
          <w:hyperlink w:anchor="_Toc149923612" w:history="1">
            <w:r w:rsidRPr="00A875C0">
              <w:rPr>
                <w:rStyle w:val="Hyperlink"/>
                <w:noProof/>
              </w:rPr>
              <w:t>13</w:t>
            </w:r>
            <w:r>
              <w:rPr>
                <w:rFonts w:asciiTheme="minorHAnsi" w:eastAsiaTheme="minorEastAsia" w:hAnsiTheme="minorHAnsi" w:cstheme="minorBidi"/>
                <w:noProof/>
                <w:sz w:val="22"/>
                <w:szCs w:val="22"/>
                <w:lang w:eastAsia="en-GB"/>
              </w:rPr>
              <w:tab/>
            </w:r>
            <w:r w:rsidRPr="00A875C0">
              <w:rPr>
                <w:rStyle w:val="Hyperlink"/>
                <w:noProof/>
              </w:rPr>
              <w:t>Other Intangible Assets</w:t>
            </w:r>
            <w:r>
              <w:rPr>
                <w:noProof/>
                <w:webHidden/>
              </w:rPr>
              <w:tab/>
            </w:r>
            <w:r>
              <w:rPr>
                <w:noProof/>
                <w:webHidden/>
              </w:rPr>
              <w:fldChar w:fldCharType="begin"/>
            </w:r>
            <w:r>
              <w:rPr>
                <w:noProof/>
                <w:webHidden/>
              </w:rPr>
              <w:instrText xml:space="preserve"> PAGEREF _Toc149923612 \h </w:instrText>
            </w:r>
            <w:r>
              <w:rPr>
                <w:noProof/>
                <w:webHidden/>
              </w:rPr>
            </w:r>
            <w:r>
              <w:rPr>
                <w:noProof/>
                <w:webHidden/>
              </w:rPr>
              <w:fldChar w:fldCharType="separate"/>
            </w:r>
            <w:r w:rsidR="004B15B2">
              <w:rPr>
                <w:noProof/>
                <w:webHidden/>
              </w:rPr>
              <w:t>64</w:t>
            </w:r>
            <w:r>
              <w:rPr>
                <w:noProof/>
                <w:webHidden/>
              </w:rPr>
              <w:fldChar w:fldCharType="end"/>
            </w:r>
          </w:hyperlink>
        </w:p>
        <w:p w14:paraId="514EF6BF" w14:textId="3055D36C" w:rsidR="00BB1486" w:rsidRDefault="00BB1486">
          <w:pPr>
            <w:pStyle w:val="TOC1"/>
            <w:rPr>
              <w:rFonts w:asciiTheme="minorHAnsi" w:eastAsiaTheme="minorEastAsia" w:hAnsiTheme="minorHAnsi" w:cstheme="minorBidi"/>
              <w:noProof/>
              <w:sz w:val="22"/>
              <w:szCs w:val="22"/>
              <w:lang w:eastAsia="en-GB"/>
            </w:rPr>
          </w:pPr>
          <w:hyperlink w:anchor="_Toc149923613" w:history="1">
            <w:r w:rsidRPr="00A875C0">
              <w:rPr>
                <w:rStyle w:val="Hyperlink"/>
                <w:noProof/>
              </w:rPr>
              <w:t>14</w:t>
            </w:r>
            <w:r>
              <w:rPr>
                <w:rFonts w:asciiTheme="minorHAnsi" w:eastAsiaTheme="minorEastAsia" w:hAnsiTheme="minorHAnsi" w:cstheme="minorBidi"/>
                <w:noProof/>
                <w:sz w:val="22"/>
                <w:szCs w:val="22"/>
                <w:lang w:eastAsia="en-GB"/>
              </w:rPr>
              <w:tab/>
            </w:r>
            <w:r w:rsidRPr="00A875C0">
              <w:rPr>
                <w:rStyle w:val="Hyperlink"/>
                <w:noProof/>
              </w:rPr>
              <w:t>Investments in Associates and Joint Ventures accounted for using the equity method</w:t>
            </w:r>
            <w:r>
              <w:rPr>
                <w:noProof/>
                <w:webHidden/>
              </w:rPr>
              <w:tab/>
            </w:r>
            <w:r>
              <w:rPr>
                <w:noProof/>
                <w:webHidden/>
              </w:rPr>
              <w:fldChar w:fldCharType="begin"/>
            </w:r>
            <w:r>
              <w:rPr>
                <w:noProof/>
                <w:webHidden/>
              </w:rPr>
              <w:instrText xml:space="preserve"> PAGEREF _Toc149923613 \h </w:instrText>
            </w:r>
            <w:r>
              <w:rPr>
                <w:noProof/>
                <w:webHidden/>
              </w:rPr>
            </w:r>
            <w:r>
              <w:rPr>
                <w:noProof/>
                <w:webHidden/>
              </w:rPr>
              <w:fldChar w:fldCharType="separate"/>
            </w:r>
            <w:r w:rsidR="004B15B2">
              <w:rPr>
                <w:noProof/>
                <w:webHidden/>
              </w:rPr>
              <w:t>66</w:t>
            </w:r>
            <w:r>
              <w:rPr>
                <w:noProof/>
                <w:webHidden/>
              </w:rPr>
              <w:fldChar w:fldCharType="end"/>
            </w:r>
          </w:hyperlink>
        </w:p>
        <w:p w14:paraId="5D5CEDDA" w14:textId="307DAAE8" w:rsidR="00BB1486" w:rsidRDefault="00BB1486">
          <w:pPr>
            <w:pStyle w:val="TOC1"/>
            <w:rPr>
              <w:rFonts w:asciiTheme="minorHAnsi" w:eastAsiaTheme="minorEastAsia" w:hAnsiTheme="minorHAnsi" w:cstheme="minorBidi"/>
              <w:noProof/>
              <w:sz w:val="22"/>
              <w:szCs w:val="22"/>
              <w:lang w:eastAsia="en-GB"/>
            </w:rPr>
          </w:pPr>
          <w:hyperlink w:anchor="_Toc149923614" w:history="1">
            <w:r w:rsidRPr="00A875C0">
              <w:rPr>
                <w:rStyle w:val="Hyperlink"/>
                <w:noProof/>
              </w:rPr>
              <w:t>15</w:t>
            </w:r>
            <w:r>
              <w:rPr>
                <w:rFonts w:asciiTheme="minorHAnsi" w:eastAsiaTheme="minorEastAsia" w:hAnsiTheme="minorHAnsi" w:cstheme="minorBidi"/>
                <w:noProof/>
                <w:sz w:val="22"/>
                <w:szCs w:val="22"/>
                <w:lang w:eastAsia="en-GB"/>
              </w:rPr>
              <w:tab/>
            </w:r>
            <w:r w:rsidRPr="00A875C0">
              <w:rPr>
                <w:rStyle w:val="Hyperlink"/>
                <w:noProof/>
              </w:rPr>
              <w:t>Finance Lease Receivables</w:t>
            </w:r>
            <w:r>
              <w:rPr>
                <w:noProof/>
                <w:webHidden/>
              </w:rPr>
              <w:tab/>
            </w:r>
            <w:r>
              <w:rPr>
                <w:noProof/>
                <w:webHidden/>
              </w:rPr>
              <w:fldChar w:fldCharType="begin"/>
            </w:r>
            <w:r>
              <w:rPr>
                <w:noProof/>
                <w:webHidden/>
              </w:rPr>
              <w:instrText xml:space="preserve"> PAGEREF _Toc149923614 \h </w:instrText>
            </w:r>
            <w:r>
              <w:rPr>
                <w:noProof/>
                <w:webHidden/>
              </w:rPr>
            </w:r>
            <w:r>
              <w:rPr>
                <w:noProof/>
                <w:webHidden/>
              </w:rPr>
              <w:fldChar w:fldCharType="separate"/>
            </w:r>
            <w:r w:rsidR="004B15B2">
              <w:rPr>
                <w:noProof/>
                <w:webHidden/>
              </w:rPr>
              <w:t>69</w:t>
            </w:r>
            <w:r>
              <w:rPr>
                <w:noProof/>
                <w:webHidden/>
              </w:rPr>
              <w:fldChar w:fldCharType="end"/>
            </w:r>
          </w:hyperlink>
        </w:p>
        <w:p w14:paraId="511DB6AF" w14:textId="73A990DE" w:rsidR="00BB1486" w:rsidRDefault="00BB1486">
          <w:pPr>
            <w:pStyle w:val="TOC1"/>
            <w:rPr>
              <w:rFonts w:asciiTheme="minorHAnsi" w:eastAsiaTheme="minorEastAsia" w:hAnsiTheme="minorHAnsi" w:cstheme="minorBidi"/>
              <w:noProof/>
              <w:sz w:val="22"/>
              <w:szCs w:val="22"/>
              <w:lang w:eastAsia="en-GB"/>
            </w:rPr>
          </w:pPr>
          <w:hyperlink w:anchor="_Toc149923615" w:history="1">
            <w:r w:rsidRPr="00A875C0">
              <w:rPr>
                <w:rStyle w:val="Hyperlink"/>
                <w:noProof/>
              </w:rPr>
              <w:t>16</w:t>
            </w:r>
            <w:r>
              <w:rPr>
                <w:rFonts w:asciiTheme="minorHAnsi" w:eastAsiaTheme="minorEastAsia" w:hAnsiTheme="minorHAnsi" w:cstheme="minorBidi"/>
                <w:noProof/>
                <w:sz w:val="22"/>
                <w:szCs w:val="22"/>
                <w:lang w:eastAsia="en-GB"/>
              </w:rPr>
              <w:tab/>
            </w:r>
            <w:r w:rsidRPr="00A875C0">
              <w:rPr>
                <w:rStyle w:val="Hyperlink"/>
                <w:noProof/>
              </w:rPr>
              <w:t>Loans Issued</w:t>
            </w:r>
            <w:r>
              <w:rPr>
                <w:noProof/>
                <w:webHidden/>
              </w:rPr>
              <w:tab/>
            </w:r>
            <w:r>
              <w:rPr>
                <w:noProof/>
                <w:webHidden/>
              </w:rPr>
              <w:fldChar w:fldCharType="begin"/>
            </w:r>
            <w:r>
              <w:rPr>
                <w:noProof/>
                <w:webHidden/>
              </w:rPr>
              <w:instrText xml:space="preserve"> PAGEREF _Toc149923615 \h </w:instrText>
            </w:r>
            <w:r>
              <w:rPr>
                <w:noProof/>
                <w:webHidden/>
              </w:rPr>
            </w:r>
            <w:r>
              <w:rPr>
                <w:noProof/>
                <w:webHidden/>
              </w:rPr>
              <w:fldChar w:fldCharType="separate"/>
            </w:r>
            <w:r w:rsidR="004B15B2">
              <w:rPr>
                <w:noProof/>
                <w:webHidden/>
              </w:rPr>
              <w:t>77</w:t>
            </w:r>
            <w:r>
              <w:rPr>
                <w:noProof/>
                <w:webHidden/>
              </w:rPr>
              <w:fldChar w:fldCharType="end"/>
            </w:r>
          </w:hyperlink>
        </w:p>
        <w:p w14:paraId="7BF64664" w14:textId="6B71018D" w:rsidR="00BB1486" w:rsidRDefault="00BB1486">
          <w:pPr>
            <w:pStyle w:val="TOC1"/>
            <w:rPr>
              <w:rFonts w:asciiTheme="minorHAnsi" w:eastAsiaTheme="minorEastAsia" w:hAnsiTheme="minorHAnsi" w:cstheme="minorBidi"/>
              <w:noProof/>
              <w:sz w:val="22"/>
              <w:szCs w:val="22"/>
              <w:lang w:eastAsia="en-GB"/>
            </w:rPr>
          </w:pPr>
          <w:hyperlink w:anchor="_Toc149923616" w:history="1">
            <w:r w:rsidRPr="00A875C0">
              <w:rPr>
                <w:rStyle w:val="Hyperlink"/>
                <w:noProof/>
              </w:rPr>
              <w:t>17</w:t>
            </w:r>
            <w:r>
              <w:rPr>
                <w:rFonts w:asciiTheme="minorHAnsi" w:eastAsiaTheme="minorEastAsia" w:hAnsiTheme="minorHAnsi" w:cstheme="minorBidi"/>
                <w:noProof/>
                <w:sz w:val="22"/>
                <w:szCs w:val="22"/>
                <w:lang w:eastAsia="en-GB"/>
              </w:rPr>
              <w:tab/>
            </w:r>
            <w:r w:rsidRPr="00A875C0">
              <w:rPr>
                <w:rStyle w:val="Hyperlink"/>
                <w:noProof/>
              </w:rPr>
              <w:t>Other Non-current Assets</w:t>
            </w:r>
            <w:r>
              <w:rPr>
                <w:noProof/>
                <w:webHidden/>
              </w:rPr>
              <w:tab/>
            </w:r>
            <w:r>
              <w:rPr>
                <w:noProof/>
                <w:webHidden/>
              </w:rPr>
              <w:fldChar w:fldCharType="begin"/>
            </w:r>
            <w:r>
              <w:rPr>
                <w:noProof/>
                <w:webHidden/>
              </w:rPr>
              <w:instrText xml:space="preserve"> PAGEREF _Toc149923616 \h </w:instrText>
            </w:r>
            <w:r>
              <w:rPr>
                <w:noProof/>
                <w:webHidden/>
              </w:rPr>
            </w:r>
            <w:r>
              <w:rPr>
                <w:noProof/>
                <w:webHidden/>
              </w:rPr>
              <w:fldChar w:fldCharType="separate"/>
            </w:r>
            <w:r w:rsidR="004B15B2">
              <w:rPr>
                <w:noProof/>
                <w:webHidden/>
              </w:rPr>
              <w:t>92</w:t>
            </w:r>
            <w:r>
              <w:rPr>
                <w:noProof/>
                <w:webHidden/>
              </w:rPr>
              <w:fldChar w:fldCharType="end"/>
            </w:r>
          </w:hyperlink>
        </w:p>
        <w:p w14:paraId="31F75CF8" w14:textId="3118C76F" w:rsidR="00BB1486" w:rsidRDefault="00BB1486">
          <w:pPr>
            <w:pStyle w:val="TOC1"/>
            <w:rPr>
              <w:rFonts w:asciiTheme="minorHAnsi" w:eastAsiaTheme="minorEastAsia" w:hAnsiTheme="minorHAnsi" w:cstheme="minorBidi"/>
              <w:noProof/>
              <w:sz w:val="22"/>
              <w:szCs w:val="22"/>
              <w:lang w:eastAsia="en-GB"/>
            </w:rPr>
          </w:pPr>
          <w:hyperlink w:anchor="_Toc149923617" w:history="1">
            <w:r w:rsidRPr="00A875C0">
              <w:rPr>
                <w:rStyle w:val="Hyperlink"/>
                <w:noProof/>
              </w:rPr>
              <w:t>18</w:t>
            </w:r>
            <w:r>
              <w:rPr>
                <w:rFonts w:asciiTheme="minorHAnsi" w:eastAsiaTheme="minorEastAsia" w:hAnsiTheme="minorHAnsi" w:cstheme="minorBidi"/>
                <w:noProof/>
                <w:sz w:val="22"/>
                <w:szCs w:val="22"/>
                <w:lang w:eastAsia="en-GB"/>
              </w:rPr>
              <w:tab/>
            </w:r>
            <w:r w:rsidRPr="00A875C0">
              <w:rPr>
                <w:rStyle w:val="Hyperlink"/>
                <w:noProof/>
              </w:rPr>
              <w:t>Biological Assets</w:t>
            </w:r>
            <w:r>
              <w:rPr>
                <w:noProof/>
                <w:webHidden/>
              </w:rPr>
              <w:tab/>
            </w:r>
            <w:r>
              <w:rPr>
                <w:noProof/>
                <w:webHidden/>
              </w:rPr>
              <w:fldChar w:fldCharType="begin"/>
            </w:r>
            <w:r>
              <w:rPr>
                <w:noProof/>
                <w:webHidden/>
              </w:rPr>
              <w:instrText xml:space="preserve"> PAGEREF _Toc149923617 \h </w:instrText>
            </w:r>
            <w:r>
              <w:rPr>
                <w:noProof/>
                <w:webHidden/>
              </w:rPr>
            </w:r>
            <w:r>
              <w:rPr>
                <w:noProof/>
                <w:webHidden/>
              </w:rPr>
              <w:fldChar w:fldCharType="separate"/>
            </w:r>
            <w:r w:rsidR="004B15B2">
              <w:rPr>
                <w:noProof/>
                <w:webHidden/>
              </w:rPr>
              <w:t>93</w:t>
            </w:r>
            <w:r>
              <w:rPr>
                <w:noProof/>
                <w:webHidden/>
              </w:rPr>
              <w:fldChar w:fldCharType="end"/>
            </w:r>
          </w:hyperlink>
        </w:p>
        <w:p w14:paraId="79B66CA2" w14:textId="2EB9C454" w:rsidR="00BB1486" w:rsidRDefault="00BB1486">
          <w:pPr>
            <w:pStyle w:val="TOC1"/>
            <w:rPr>
              <w:rFonts w:asciiTheme="minorHAnsi" w:eastAsiaTheme="minorEastAsia" w:hAnsiTheme="minorHAnsi" w:cstheme="minorBidi"/>
              <w:noProof/>
              <w:sz w:val="22"/>
              <w:szCs w:val="22"/>
              <w:lang w:eastAsia="en-GB"/>
            </w:rPr>
          </w:pPr>
          <w:hyperlink w:anchor="_Toc149923618" w:history="1">
            <w:r w:rsidRPr="00A875C0">
              <w:rPr>
                <w:rStyle w:val="Hyperlink"/>
                <w:noProof/>
              </w:rPr>
              <w:t>19</w:t>
            </w:r>
            <w:r>
              <w:rPr>
                <w:rFonts w:asciiTheme="minorHAnsi" w:eastAsiaTheme="minorEastAsia" w:hAnsiTheme="minorHAnsi" w:cstheme="minorBidi"/>
                <w:noProof/>
                <w:sz w:val="22"/>
                <w:szCs w:val="22"/>
                <w:lang w:eastAsia="en-GB"/>
              </w:rPr>
              <w:tab/>
            </w:r>
            <w:r w:rsidRPr="00A875C0">
              <w:rPr>
                <w:rStyle w:val="Hyperlink"/>
                <w:noProof/>
              </w:rPr>
              <w:t>Inventories</w:t>
            </w:r>
            <w:r>
              <w:rPr>
                <w:noProof/>
                <w:webHidden/>
              </w:rPr>
              <w:tab/>
            </w:r>
            <w:r>
              <w:rPr>
                <w:noProof/>
                <w:webHidden/>
              </w:rPr>
              <w:fldChar w:fldCharType="begin"/>
            </w:r>
            <w:r>
              <w:rPr>
                <w:noProof/>
                <w:webHidden/>
              </w:rPr>
              <w:instrText xml:space="preserve"> PAGEREF _Toc149923618 \h </w:instrText>
            </w:r>
            <w:r>
              <w:rPr>
                <w:noProof/>
                <w:webHidden/>
              </w:rPr>
            </w:r>
            <w:r>
              <w:rPr>
                <w:noProof/>
                <w:webHidden/>
              </w:rPr>
              <w:fldChar w:fldCharType="separate"/>
            </w:r>
            <w:r w:rsidR="004B15B2">
              <w:rPr>
                <w:noProof/>
                <w:webHidden/>
              </w:rPr>
              <w:t>94</w:t>
            </w:r>
            <w:r>
              <w:rPr>
                <w:noProof/>
                <w:webHidden/>
              </w:rPr>
              <w:fldChar w:fldCharType="end"/>
            </w:r>
          </w:hyperlink>
        </w:p>
        <w:p w14:paraId="66727B2F" w14:textId="2EC62420" w:rsidR="00BB1486" w:rsidRDefault="00BB1486">
          <w:pPr>
            <w:pStyle w:val="TOC1"/>
            <w:rPr>
              <w:rFonts w:asciiTheme="minorHAnsi" w:eastAsiaTheme="minorEastAsia" w:hAnsiTheme="minorHAnsi" w:cstheme="minorBidi"/>
              <w:noProof/>
              <w:sz w:val="22"/>
              <w:szCs w:val="22"/>
              <w:lang w:eastAsia="en-GB"/>
            </w:rPr>
          </w:pPr>
          <w:hyperlink w:anchor="_Toc149923619" w:history="1">
            <w:r w:rsidRPr="00A875C0">
              <w:rPr>
                <w:rStyle w:val="Hyperlink"/>
                <w:noProof/>
              </w:rPr>
              <w:t>20</w:t>
            </w:r>
            <w:r>
              <w:rPr>
                <w:rFonts w:asciiTheme="minorHAnsi" w:eastAsiaTheme="minorEastAsia" w:hAnsiTheme="minorHAnsi" w:cstheme="minorBidi"/>
                <w:noProof/>
                <w:sz w:val="22"/>
                <w:szCs w:val="22"/>
                <w:lang w:eastAsia="en-GB"/>
              </w:rPr>
              <w:tab/>
            </w:r>
            <w:r w:rsidRPr="00A875C0">
              <w:rPr>
                <w:rStyle w:val="Hyperlink"/>
                <w:noProof/>
              </w:rPr>
              <w:t>Trade and Other Receivables</w:t>
            </w:r>
            <w:r>
              <w:rPr>
                <w:noProof/>
                <w:webHidden/>
              </w:rPr>
              <w:tab/>
            </w:r>
            <w:r>
              <w:rPr>
                <w:noProof/>
                <w:webHidden/>
              </w:rPr>
              <w:fldChar w:fldCharType="begin"/>
            </w:r>
            <w:r>
              <w:rPr>
                <w:noProof/>
                <w:webHidden/>
              </w:rPr>
              <w:instrText xml:space="preserve"> PAGEREF _Toc149923619 \h </w:instrText>
            </w:r>
            <w:r>
              <w:rPr>
                <w:noProof/>
                <w:webHidden/>
              </w:rPr>
            </w:r>
            <w:r>
              <w:rPr>
                <w:noProof/>
                <w:webHidden/>
              </w:rPr>
              <w:fldChar w:fldCharType="separate"/>
            </w:r>
            <w:r w:rsidR="004B15B2">
              <w:rPr>
                <w:noProof/>
                <w:webHidden/>
              </w:rPr>
              <w:t>94</w:t>
            </w:r>
            <w:r>
              <w:rPr>
                <w:noProof/>
                <w:webHidden/>
              </w:rPr>
              <w:fldChar w:fldCharType="end"/>
            </w:r>
          </w:hyperlink>
        </w:p>
        <w:p w14:paraId="50ECAF7C" w14:textId="7EF1F1FF" w:rsidR="00BB1486" w:rsidRDefault="00BB1486">
          <w:pPr>
            <w:pStyle w:val="TOC1"/>
            <w:rPr>
              <w:rFonts w:asciiTheme="minorHAnsi" w:eastAsiaTheme="minorEastAsia" w:hAnsiTheme="minorHAnsi" w:cstheme="minorBidi"/>
              <w:noProof/>
              <w:sz w:val="22"/>
              <w:szCs w:val="22"/>
              <w:lang w:eastAsia="en-GB"/>
            </w:rPr>
          </w:pPr>
          <w:hyperlink w:anchor="_Toc149923620" w:history="1">
            <w:r w:rsidRPr="00A875C0">
              <w:rPr>
                <w:rStyle w:val="Hyperlink"/>
                <w:noProof/>
              </w:rPr>
              <w:t>21</w:t>
            </w:r>
            <w:r>
              <w:rPr>
                <w:rFonts w:asciiTheme="minorHAnsi" w:eastAsiaTheme="minorEastAsia" w:hAnsiTheme="minorHAnsi" w:cstheme="minorBidi"/>
                <w:noProof/>
                <w:sz w:val="22"/>
                <w:szCs w:val="22"/>
                <w:lang w:eastAsia="en-GB"/>
              </w:rPr>
              <w:tab/>
            </w:r>
            <w:r w:rsidRPr="00A875C0">
              <w:rPr>
                <w:rStyle w:val="Hyperlink"/>
                <w:noProof/>
              </w:rPr>
              <w:t>Assets and Liabilities arising from Contracts with Customers</w:t>
            </w:r>
            <w:r>
              <w:rPr>
                <w:noProof/>
                <w:webHidden/>
              </w:rPr>
              <w:tab/>
            </w:r>
            <w:r>
              <w:rPr>
                <w:noProof/>
                <w:webHidden/>
              </w:rPr>
              <w:fldChar w:fldCharType="begin"/>
            </w:r>
            <w:r>
              <w:rPr>
                <w:noProof/>
                <w:webHidden/>
              </w:rPr>
              <w:instrText xml:space="preserve"> PAGEREF _Toc149923620 \h </w:instrText>
            </w:r>
            <w:r>
              <w:rPr>
                <w:noProof/>
                <w:webHidden/>
              </w:rPr>
            </w:r>
            <w:r>
              <w:rPr>
                <w:noProof/>
                <w:webHidden/>
              </w:rPr>
              <w:fldChar w:fldCharType="separate"/>
            </w:r>
            <w:r w:rsidR="004B15B2">
              <w:rPr>
                <w:noProof/>
                <w:webHidden/>
              </w:rPr>
              <w:t>104</w:t>
            </w:r>
            <w:r>
              <w:rPr>
                <w:noProof/>
                <w:webHidden/>
              </w:rPr>
              <w:fldChar w:fldCharType="end"/>
            </w:r>
          </w:hyperlink>
        </w:p>
        <w:p w14:paraId="23151A17" w14:textId="372A689E" w:rsidR="00BB1486" w:rsidRDefault="00BB1486">
          <w:pPr>
            <w:pStyle w:val="TOC1"/>
            <w:rPr>
              <w:rFonts w:asciiTheme="minorHAnsi" w:eastAsiaTheme="minorEastAsia" w:hAnsiTheme="minorHAnsi" w:cstheme="minorBidi"/>
              <w:noProof/>
              <w:sz w:val="22"/>
              <w:szCs w:val="22"/>
              <w:lang w:eastAsia="en-GB"/>
            </w:rPr>
          </w:pPr>
          <w:hyperlink w:anchor="_Toc149923621" w:history="1">
            <w:r w:rsidRPr="00A875C0">
              <w:rPr>
                <w:rStyle w:val="Hyperlink"/>
                <w:noProof/>
              </w:rPr>
              <w:t>22</w:t>
            </w:r>
            <w:r>
              <w:rPr>
                <w:rFonts w:asciiTheme="minorHAnsi" w:eastAsiaTheme="minorEastAsia" w:hAnsiTheme="minorHAnsi" w:cstheme="minorBidi"/>
                <w:noProof/>
                <w:sz w:val="22"/>
                <w:szCs w:val="22"/>
                <w:lang w:eastAsia="en-GB"/>
              </w:rPr>
              <w:tab/>
            </w:r>
            <w:r w:rsidRPr="00A875C0">
              <w:rPr>
                <w:rStyle w:val="Hyperlink"/>
                <w:noProof/>
              </w:rPr>
              <w:t>Investments in Debt Securities</w:t>
            </w:r>
            <w:r>
              <w:rPr>
                <w:noProof/>
                <w:webHidden/>
              </w:rPr>
              <w:tab/>
            </w:r>
            <w:r>
              <w:rPr>
                <w:noProof/>
                <w:webHidden/>
              </w:rPr>
              <w:fldChar w:fldCharType="begin"/>
            </w:r>
            <w:r>
              <w:rPr>
                <w:noProof/>
                <w:webHidden/>
              </w:rPr>
              <w:instrText xml:space="preserve"> PAGEREF _Toc149923621 \h </w:instrText>
            </w:r>
            <w:r>
              <w:rPr>
                <w:noProof/>
                <w:webHidden/>
              </w:rPr>
            </w:r>
            <w:r>
              <w:rPr>
                <w:noProof/>
                <w:webHidden/>
              </w:rPr>
              <w:fldChar w:fldCharType="separate"/>
            </w:r>
            <w:r w:rsidR="004B15B2">
              <w:rPr>
                <w:noProof/>
                <w:webHidden/>
              </w:rPr>
              <w:t>106</w:t>
            </w:r>
            <w:r>
              <w:rPr>
                <w:noProof/>
                <w:webHidden/>
              </w:rPr>
              <w:fldChar w:fldCharType="end"/>
            </w:r>
          </w:hyperlink>
        </w:p>
        <w:p w14:paraId="7B96A95C" w14:textId="1461EBFF" w:rsidR="00BB1486" w:rsidRDefault="00BB1486">
          <w:pPr>
            <w:pStyle w:val="TOC1"/>
            <w:rPr>
              <w:rFonts w:asciiTheme="minorHAnsi" w:eastAsiaTheme="minorEastAsia" w:hAnsiTheme="minorHAnsi" w:cstheme="minorBidi"/>
              <w:noProof/>
              <w:sz w:val="22"/>
              <w:szCs w:val="22"/>
              <w:lang w:eastAsia="en-GB"/>
            </w:rPr>
          </w:pPr>
          <w:hyperlink w:anchor="_Toc149923622" w:history="1">
            <w:r w:rsidRPr="00A875C0">
              <w:rPr>
                <w:rStyle w:val="Hyperlink"/>
                <w:noProof/>
              </w:rPr>
              <w:t>23</w:t>
            </w:r>
            <w:r>
              <w:rPr>
                <w:rFonts w:asciiTheme="minorHAnsi" w:eastAsiaTheme="minorEastAsia" w:hAnsiTheme="minorHAnsi" w:cstheme="minorBidi"/>
                <w:noProof/>
                <w:sz w:val="22"/>
                <w:szCs w:val="22"/>
                <w:lang w:eastAsia="en-GB"/>
              </w:rPr>
              <w:tab/>
            </w:r>
            <w:r w:rsidRPr="00A875C0">
              <w:rPr>
                <w:rStyle w:val="Hyperlink"/>
                <w:noProof/>
              </w:rPr>
              <w:t>Investments in Equity Securities</w:t>
            </w:r>
            <w:r>
              <w:rPr>
                <w:noProof/>
                <w:webHidden/>
              </w:rPr>
              <w:tab/>
            </w:r>
            <w:r>
              <w:rPr>
                <w:noProof/>
                <w:webHidden/>
              </w:rPr>
              <w:fldChar w:fldCharType="begin"/>
            </w:r>
            <w:r>
              <w:rPr>
                <w:noProof/>
                <w:webHidden/>
              </w:rPr>
              <w:instrText xml:space="preserve"> PAGEREF _Toc149923622 \h </w:instrText>
            </w:r>
            <w:r>
              <w:rPr>
                <w:noProof/>
                <w:webHidden/>
              </w:rPr>
            </w:r>
            <w:r>
              <w:rPr>
                <w:noProof/>
                <w:webHidden/>
              </w:rPr>
              <w:fldChar w:fldCharType="separate"/>
            </w:r>
            <w:r w:rsidR="004B15B2">
              <w:rPr>
                <w:noProof/>
                <w:webHidden/>
              </w:rPr>
              <w:t>139</w:t>
            </w:r>
            <w:r>
              <w:rPr>
                <w:noProof/>
                <w:webHidden/>
              </w:rPr>
              <w:fldChar w:fldCharType="end"/>
            </w:r>
          </w:hyperlink>
        </w:p>
        <w:p w14:paraId="5DEC39C9" w14:textId="360C3DC7" w:rsidR="00BB1486" w:rsidRDefault="00BB1486">
          <w:pPr>
            <w:pStyle w:val="TOC1"/>
            <w:rPr>
              <w:rFonts w:asciiTheme="minorHAnsi" w:eastAsiaTheme="minorEastAsia" w:hAnsiTheme="minorHAnsi" w:cstheme="minorBidi"/>
              <w:noProof/>
              <w:sz w:val="22"/>
              <w:szCs w:val="22"/>
              <w:lang w:eastAsia="en-GB"/>
            </w:rPr>
          </w:pPr>
          <w:hyperlink w:anchor="_Toc149923623" w:history="1">
            <w:r w:rsidRPr="00A875C0">
              <w:rPr>
                <w:rStyle w:val="Hyperlink"/>
                <w:noProof/>
              </w:rPr>
              <w:t>24</w:t>
            </w:r>
            <w:r>
              <w:rPr>
                <w:rFonts w:asciiTheme="minorHAnsi" w:eastAsiaTheme="minorEastAsia" w:hAnsiTheme="minorHAnsi" w:cstheme="minorBidi"/>
                <w:noProof/>
                <w:sz w:val="22"/>
                <w:szCs w:val="22"/>
                <w:lang w:eastAsia="en-GB"/>
              </w:rPr>
              <w:tab/>
            </w:r>
            <w:r w:rsidRPr="00A875C0">
              <w:rPr>
                <w:rStyle w:val="Hyperlink"/>
                <w:noProof/>
              </w:rPr>
              <w:t>Cash and Cash Equivalents</w:t>
            </w:r>
            <w:r>
              <w:rPr>
                <w:noProof/>
                <w:webHidden/>
              </w:rPr>
              <w:tab/>
            </w:r>
            <w:r>
              <w:rPr>
                <w:noProof/>
                <w:webHidden/>
              </w:rPr>
              <w:fldChar w:fldCharType="begin"/>
            </w:r>
            <w:r>
              <w:rPr>
                <w:noProof/>
                <w:webHidden/>
              </w:rPr>
              <w:instrText xml:space="preserve"> PAGEREF _Toc149923623 \h </w:instrText>
            </w:r>
            <w:r>
              <w:rPr>
                <w:noProof/>
                <w:webHidden/>
              </w:rPr>
            </w:r>
            <w:r>
              <w:rPr>
                <w:noProof/>
                <w:webHidden/>
              </w:rPr>
              <w:fldChar w:fldCharType="separate"/>
            </w:r>
            <w:r w:rsidR="004B15B2">
              <w:rPr>
                <w:noProof/>
                <w:webHidden/>
              </w:rPr>
              <w:t>141</w:t>
            </w:r>
            <w:r>
              <w:rPr>
                <w:noProof/>
                <w:webHidden/>
              </w:rPr>
              <w:fldChar w:fldCharType="end"/>
            </w:r>
          </w:hyperlink>
        </w:p>
        <w:p w14:paraId="4A71CE87" w14:textId="2331BADF" w:rsidR="00BB1486" w:rsidRDefault="00BB1486">
          <w:pPr>
            <w:pStyle w:val="TOC1"/>
            <w:rPr>
              <w:rFonts w:asciiTheme="minorHAnsi" w:eastAsiaTheme="minorEastAsia" w:hAnsiTheme="minorHAnsi" w:cstheme="minorBidi"/>
              <w:noProof/>
              <w:sz w:val="22"/>
              <w:szCs w:val="22"/>
              <w:lang w:eastAsia="en-GB"/>
            </w:rPr>
          </w:pPr>
          <w:hyperlink w:anchor="_Toc149923624" w:history="1">
            <w:r w:rsidRPr="00A875C0">
              <w:rPr>
                <w:rStyle w:val="Hyperlink"/>
                <w:noProof/>
              </w:rPr>
              <w:t>25</w:t>
            </w:r>
            <w:r>
              <w:rPr>
                <w:rFonts w:asciiTheme="minorHAnsi" w:eastAsiaTheme="minorEastAsia" w:hAnsiTheme="minorHAnsi" w:cstheme="minorBidi"/>
                <w:noProof/>
                <w:sz w:val="22"/>
                <w:szCs w:val="22"/>
                <w:lang w:eastAsia="en-GB"/>
              </w:rPr>
              <w:tab/>
            </w:r>
            <w:r w:rsidRPr="00A875C0">
              <w:rPr>
                <w:rStyle w:val="Hyperlink"/>
                <w:noProof/>
              </w:rPr>
              <w:t>Non-current Assets Classified as Held for Sale (or Disposal Groups)</w:t>
            </w:r>
            <w:r>
              <w:rPr>
                <w:noProof/>
                <w:webHidden/>
              </w:rPr>
              <w:tab/>
            </w:r>
            <w:r>
              <w:rPr>
                <w:noProof/>
                <w:webHidden/>
              </w:rPr>
              <w:fldChar w:fldCharType="begin"/>
            </w:r>
            <w:r>
              <w:rPr>
                <w:noProof/>
                <w:webHidden/>
              </w:rPr>
              <w:instrText xml:space="preserve"> PAGEREF _Toc149923624 \h </w:instrText>
            </w:r>
            <w:r>
              <w:rPr>
                <w:noProof/>
                <w:webHidden/>
              </w:rPr>
            </w:r>
            <w:r>
              <w:rPr>
                <w:noProof/>
                <w:webHidden/>
              </w:rPr>
              <w:fldChar w:fldCharType="separate"/>
            </w:r>
            <w:r w:rsidR="004B15B2">
              <w:rPr>
                <w:noProof/>
                <w:webHidden/>
              </w:rPr>
              <w:t>143</w:t>
            </w:r>
            <w:r>
              <w:rPr>
                <w:noProof/>
                <w:webHidden/>
              </w:rPr>
              <w:fldChar w:fldCharType="end"/>
            </w:r>
          </w:hyperlink>
        </w:p>
        <w:p w14:paraId="0B0CEA36" w14:textId="57169D6A" w:rsidR="00BB1486" w:rsidRDefault="00BB1486">
          <w:pPr>
            <w:pStyle w:val="TOC1"/>
            <w:rPr>
              <w:rFonts w:asciiTheme="minorHAnsi" w:eastAsiaTheme="minorEastAsia" w:hAnsiTheme="minorHAnsi" w:cstheme="minorBidi"/>
              <w:noProof/>
              <w:sz w:val="22"/>
              <w:szCs w:val="22"/>
              <w:lang w:eastAsia="en-GB"/>
            </w:rPr>
          </w:pPr>
          <w:hyperlink w:anchor="_Toc149923625" w:history="1">
            <w:r w:rsidRPr="00A875C0">
              <w:rPr>
                <w:rStyle w:val="Hyperlink"/>
                <w:noProof/>
              </w:rPr>
              <w:t>26</w:t>
            </w:r>
            <w:r>
              <w:rPr>
                <w:rFonts w:asciiTheme="minorHAnsi" w:eastAsiaTheme="minorEastAsia" w:hAnsiTheme="minorHAnsi" w:cstheme="minorBidi"/>
                <w:noProof/>
                <w:sz w:val="22"/>
                <w:szCs w:val="22"/>
                <w:lang w:eastAsia="en-GB"/>
              </w:rPr>
              <w:tab/>
            </w:r>
            <w:r w:rsidRPr="00A875C0">
              <w:rPr>
                <w:rStyle w:val="Hyperlink"/>
                <w:noProof/>
              </w:rPr>
              <w:t>Share Capital</w:t>
            </w:r>
            <w:r>
              <w:rPr>
                <w:noProof/>
                <w:webHidden/>
              </w:rPr>
              <w:tab/>
            </w:r>
            <w:r>
              <w:rPr>
                <w:noProof/>
                <w:webHidden/>
              </w:rPr>
              <w:fldChar w:fldCharType="begin"/>
            </w:r>
            <w:r>
              <w:rPr>
                <w:noProof/>
                <w:webHidden/>
              </w:rPr>
              <w:instrText xml:space="preserve"> PAGEREF _Toc149923625 \h </w:instrText>
            </w:r>
            <w:r>
              <w:rPr>
                <w:noProof/>
                <w:webHidden/>
              </w:rPr>
            </w:r>
            <w:r>
              <w:rPr>
                <w:noProof/>
                <w:webHidden/>
              </w:rPr>
              <w:fldChar w:fldCharType="separate"/>
            </w:r>
            <w:r w:rsidR="004B15B2">
              <w:rPr>
                <w:noProof/>
                <w:webHidden/>
              </w:rPr>
              <w:t>146</w:t>
            </w:r>
            <w:r>
              <w:rPr>
                <w:noProof/>
                <w:webHidden/>
              </w:rPr>
              <w:fldChar w:fldCharType="end"/>
            </w:r>
          </w:hyperlink>
        </w:p>
        <w:p w14:paraId="0981D2F1" w14:textId="69AC6368" w:rsidR="00BB1486" w:rsidRDefault="00BB1486">
          <w:pPr>
            <w:pStyle w:val="TOC1"/>
            <w:rPr>
              <w:rFonts w:asciiTheme="minorHAnsi" w:eastAsiaTheme="minorEastAsia" w:hAnsiTheme="minorHAnsi" w:cstheme="minorBidi"/>
              <w:noProof/>
              <w:sz w:val="22"/>
              <w:szCs w:val="22"/>
              <w:lang w:eastAsia="en-GB"/>
            </w:rPr>
          </w:pPr>
          <w:hyperlink w:anchor="_Toc149923626" w:history="1">
            <w:r w:rsidRPr="00A875C0">
              <w:rPr>
                <w:rStyle w:val="Hyperlink"/>
                <w:noProof/>
              </w:rPr>
              <w:t>27</w:t>
            </w:r>
            <w:r>
              <w:rPr>
                <w:rFonts w:asciiTheme="minorHAnsi" w:eastAsiaTheme="minorEastAsia" w:hAnsiTheme="minorHAnsi" w:cstheme="minorBidi"/>
                <w:noProof/>
                <w:sz w:val="22"/>
                <w:szCs w:val="22"/>
                <w:lang w:eastAsia="en-GB"/>
              </w:rPr>
              <w:tab/>
            </w:r>
            <w:r w:rsidRPr="00A875C0">
              <w:rPr>
                <w:rStyle w:val="Hyperlink"/>
                <w:noProof/>
              </w:rPr>
              <w:t>Other Comprehensive Income Recognised in Each Component of Equity</w:t>
            </w:r>
            <w:r>
              <w:rPr>
                <w:noProof/>
                <w:webHidden/>
              </w:rPr>
              <w:tab/>
            </w:r>
            <w:r>
              <w:rPr>
                <w:noProof/>
                <w:webHidden/>
              </w:rPr>
              <w:fldChar w:fldCharType="begin"/>
            </w:r>
            <w:r>
              <w:rPr>
                <w:noProof/>
                <w:webHidden/>
              </w:rPr>
              <w:instrText xml:space="preserve"> PAGEREF _Toc149923626 \h </w:instrText>
            </w:r>
            <w:r>
              <w:rPr>
                <w:noProof/>
                <w:webHidden/>
              </w:rPr>
            </w:r>
            <w:r>
              <w:rPr>
                <w:noProof/>
                <w:webHidden/>
              </w:rPr>
              <w:fldChar w:fldCharType="separate"/>
            </w:r>
            <w:r w:rsidR="004B15B2">
              <w:rPr>
                <w:noProof/>
                <w:webHidden/>
              </w:rPr>
              <w:t>149</w:t>
            </w:r>
            <w:r>
              <w:rPr>
                <w:noProof/>
                <w:webHidden/>
              </w:rPr>
              <w:fldChar w:fldCharType="end"/>
            </w:r>
          </w:hyperlink>
        </w:p>
        <w:p w14:paraId="5486194D" w14:textId="61D8D05F" w:rsidR="00BB1486" w:rsidRDefault="00BB1486">
          <w:pPr>
            <w:pStyle w:val="TOC1"/>
            <w:rPr>
              <w:rFonts w:asciiTheme="minorHAnsi" w:eastAsiaTheme="minorEastAsia" w:hAnsiTheme="minorHAnsi" w:cstheme="minorBidi"/>
              <w:noProof/>
              <w:sz w:val="22"/>
              <w:szCs w:val="22"/>
              <w:lang w:eastAsia="en-GB"/>
            </w:rPr>
          </w:pPr>
          <w:hyperlink w:anchor="_Toc149923627" w:history="1">
            <w:r w:rsidRPr="00A875C0">
              <w:rPr>
                <w:rStyle w:val="Hyperlink"/>
                <w:noProof/>
              </w:rPr>
              <w:t>28</w:t>
            </w:r>
            <w:r>
              <w:rPr>
                <w:rFonts w:asciiTheme="minorHAnsi" w:eastAsiaTheme="minorEastAsia" w:hAnsiTheme="minorHAnsi" w:cstheme="minorBidi"/>
                <w:noProof/>
                <w:sz w:val="22"/>
                <w:szCs w:val="22"/>
                <w:lang w:eastAsia="en-GB"/>
              </w:rPr>
              <w:tab/>
            </w:r>
            <w:r w:rsidRPr="00A875C0">
              <w:rPr>
                <w:rStyle w:val="Hyperlink"/>
                <w:noProof/>
              </w:rPr>
              <w:t>Borrowings</w:t>
            </w:r>
            <w:r>
              <w:rPr>
                <w:noProof/>
                <w:webHidden/>
              </w:rPr>
              <w:tab/>
            </w:r>
            <w:r>
              <w:rPr>
                <w:noProof/>
                <w:webHidden/>
              </w:rPr>
              <w:fldChar w:fldCharType="begin"/>
            </w:r>
            <w:r>
              <w:rPr>
                <w:noProof/>
                <w:webHidden/>
              </w:rPr>
              <w:instrText xml:space="preserve"> PAGEREF _Toc149923627 \h </w:instrText>
            </w:r>
            <w:r>
              <w:rPr>
                <w:noProof/>
                <w:webHidden/>
              </w:rPr>
            </w:r>
            <w:r>
              <w:rPr>
                <w:noProof/>
                <w:webHidden/>
              </w:rPr>
              <w:fldChar w:fldCharType="separate"/>
            </w:r>
            <w:r w:rsidR="004B15B2">
              <w:rPr>
                <w:noProof/>
                <w:webHidden/>
              </w:rPr>
              <w:t>151</w:t>
            </w:r>
            <w:r>
              <w:rPr>
                <w:noProof/>
                <w:webHidden/>
              </w:rPr>
              <w:fldChar w:fldCharType="end"/>
            </w:r>
          </w:hyperlink>
        </w:p>
        <w:p w14:paraId="37859031" w14:textId="25AD579E" w:rsidR="00BB1486" w:rsidRDefault="00BB1486">
          <w:pPr>
            <w:pStyle w:val="TOC1"/>
            <w:rPr>
              <w:rFonts w:asciiTheme="minorHAnsi" w:eastAsiaTheme="minorEastAsia" w:hAnsiTheme="minorHAnsi" w:cstheme="minorBidi"/>
              <w:noProof/>
              <w:sz w:val="22"/>
              <w:szCs w:val="22"/>
              <w:lang w:eastAsia="en-GB"/>
            </w:rPr>
          </w:pPr>
          <w:hyperlink w:anchor="_Toc149923628" w:history="1">
            <w:r w:rsidRPr="00A875C0">
              <w:rPr>
                <w:rStyle w:val="Hyperlink"/>
                <w:noProof/>
              </w:rPr>
              <w:t>29</w:t>
            </w:r>
            <w:r>
              <w:rPr>
                <w:rFonts w:asciiTheme="minorHAnsi" w:eastAsiaTheme="minorEastAsia" w:hAnsiTheme="minorHAnsi" w:cstheme="minorBidi"/>
                <w:noProof/>
                <w:sz w:val="22"/>
                <w:szCs w:val="22"/>
                <w:lang w:eastAsia="en-GB"/>
              </w:rPr>
              <w:tab/>
            </w:r>
            <w:r w:rsidRPr="00A875C0">
              <w:rPr>
                <w:rStyle w:val="Hyperlink"/>
                <w:noProof/>
              </w:rPr>
              <w:t>Reconciliation of Liabilities arising from Financing Activities</w:t>
            </w:r>
            <w:r>
              <w:rPr>
                <w:noProof/>
                <w:webHidden/>
              </w:rPr>
              <w:tab/>
            </w:r>
            <w:r>
              <w:rPr>
                <w:noProof/>
                <w:webHidden/>
              </w:rPr>
              <w:fldChar w:fldCharType="begin"/>
            </w:r>
            <w:r>
              <w:rPr>
                <w:noProof/>
                <w:webHidden/>
              </w:rPr>
              <w:instrText xml:space="preserve"> PAGEREF _Toc149923628 \h </w:instrText>
            </w:r>
            <w:r>
              <w:rPr>
                <w:noProof/>
                <w:webHidden/>
              </w:rPr>
            </w:r>
            <w:r>
              <w:rPr>
                <w:noProof/>
                <w:webHidden/>
              </w:rPr>
              <w:fldChar w:fldCharType="separate"/>
            </w:r>
            <w:r w:rsidR="004B15B2">
              <w:rPr>
                <w:noProof/>
                <w:webHidden/>
              </w:rPr>
              <w:t>153</w:t>
            </w:r>
            <w:r>
              <w:rPr>
                <w:noProof/>
                <w:webHidden/>
              </w:rPr>
              <w:fldChar w:fldCharType="end"/>
            </w:r>
          </w:hyperlink>
        </w:p>
        <w:p w14:paraId="19F96CE3" w14:textId="37C5F0CD" w:rsidR="00BB1486" w:rsidRDefault="00BB1486">
          <w:pPr>
            <w:pStyle w:val="TOC1"/>
            <w:rPr>
              <w:rFonts w:asciiTheme="minorHAnsi" w:eastAsiaTheme="minorEastAsia" w:hAnsiTheme="minorHAnsi" w:cstheme="minorBidi"/>
              <w:noProof/>
              <w:sz w:val="22"/>
              <w:szCs w:val="22"/>
              <w:lang w:eastAsia="en-GB"/>
            </w:rPr>
          </w:pPr>
          <w:hyperlink w:anchor="_Toc149923629" w:history="1">
            <w:r w:rsidRPr="00A875C0">
              <w:rPr>
                <w:rStyle w:val="Hyperlink"/>
                <w:noProof/>
              </w:rPr>
              <w:t>30</w:t>
            </w:r>
            <w:r>
              <w:rPr>
                <w:rFonts w:asciiTheme="minorHAnsi" w:eastAsiaTheme="minorEastAsia" w:hAnsiTheme="minorHAnsi" w:cstheme="minorBidi"/>
                <w:noProof/>
                <w:sz w:val="22"/>
                <w:szCs w:val="22"/>
                <w:lang w:eastAsia="en-GB"/>
              </w:rPr>
              <w:tab/>
            </w:r>
            <w:r w:rsidRPr="00A875C0">
              <w:rPr>
                <w:rStyle w:val="Hyperlink"/>
                <w:noProof/>
              </w:rPr>
              <w:t>Government Grants</w:t>
            </w:r>
            <w:r>
              <w:rPr>
                <w:noProof/>
                <w:webHidden/>
              </w:rPr>
              <w:tab/>
            </w:r>
            <w:r>
              <w:rPr>
                <w:noProof/>
                <w:webHidden/>
              </w:rPr>
              <w:fldChar w:fldCharType="begin"/>
            </w:r>
            <w:r>
              <w:rPr>
                <w:noProof/>
                <w:webHidden/>
              </w:rPr>
              <w:instrText xml:space="preserve"> PAGEREF _Toc149923629 \h </w:instrText>
            </w:r>
            <w:r>
              <w:rPr>
                <w:noProof/>
                <w:webHidden/>
              </w:rPr>
            </w:r>
            <w:r>
              <w:rPr>
                <w:noProof/>
                <w:webHidden/>
              </w:rPr>
              <w:fldChar w:fldCharType="separate"/>
            </w:r>
            <w:r w:rsidR="004B15B2">
              <w:rPr>
                <w:noProof/>
                <w:webHidden/>
              </w:rPr>
              <w:t>154</w:t>
            </w:r>
            <w:r>
              <w:rPr>
                <w:noProof/>
                <w:webHidden/>
              </w:rPr>
              <w:fldChar w:fldCharType="end"/>
            </w:r>
          </w:hyperlink>
        </w:p>
        <w:p w14:paraId="10D30614" w14:textId="345D33B7" w:rsidR="00BB1486" w:rsidRDefault="00BB1486">
          <w:pPr>
            <w:pStyle w:val="TOC1"/>
            <w:rPr>
              <w:rFonts w:asciiTheme="minorHAnsi" w:eastAsiaTheme="minorEastAsia" w:hAnsiTheme="minorHAnsi" w:cstheme="minorBidi"/>
              <w:noProof/>
              <w:sz w:val="22"/>
              <w:szCs w:val="22"/>
              <w:lang w:eastAsia="en-GB"/>
            </w:rPr>
          </w:pPr>
          <w:hyperlink w:anchor="_Toc149923630" w:history="1">
            <w:r w:rsidRPr="00A875C0">
              <w:rPr>
                <w:rStyle w:val="Hyperlink"/>
                <w:noProof/>
              </w:rPr>
              <w:t>31</w:t>
            </w:r>
            <w:r>
              <w:rPr>
                <w:rFonts w:asciiTheme="minorHAnsi" w:eastAsiaTheme="minorEastAsia" w:hAnsiTheme="minorHAnsi" w:cstheme="minorBidi"/>
                <w:noProof/>
                <w:sz w:val="22"/>
                <w:szCs w:val="22"/>
                <w:lang w:eastAsia="en-GB"/>
              </w:rPr>
              <w:tab/>
            </w:r>
            <w:r w:rsidRPr="00A875C0">
              <w:rPr>
                <w:rStyle w:val="Hyperlink"/>
                <w:noProof/>
              </w:rPr>
              <w:t>Other Taxes Payable</w:t>
            </w:r>
            <w:r>
              <w:rPr>
                <w:noProof/>
                <w:webHidden/>
              </w:rPr>
              <w:tab/>
            </w:r>
            <w:r>
              <w:rPr>
                <w:noProof/>
                <w:webHidden/>
              </w:rPr>
              <w:fldChar w:fldCharType="begin"/>
            </w:r>
            <w:r>
              <w:rPr>
                <w:noProof/>
                <w:webHidden/>
              </w:rPr>
              <w:instrText xml:space="preserve"> PAGEREF _Toc149923630 \h </w:instrText>
            </w:r>
            <w:r>
              <w:rPr>
                <w:noProof/>
                <w:webHidden/>
              </w:rPr>
            </w:r>
            <w:r>
              <w:rPr>
                <w:noProof/>
                <w:webHidden/>
              </w:rPr>
              <w:fldChar w:fldCharType="separate"/>
            </w:r>
            <w:r w:rsidR="004B15B2">
              <w:rPr>
                <w:noProof/>
                <w:webHidden/>
              </w:rPr>
              <w:t>155</w:t>
            </w:r>
            <w:r>
              <w:rPr>
                <w:noProof/>
                <w:webHidden/>
              </w:rPr>
              <w:fldChar w:fldCharType="end"/>
            </w:r>
          </w:hyperlink>
        </w:p>
        <w:p w14:paraId="0A9CD6EE" w14:textId="089E323A" w:rsidR="00BB1486" w:rsidRDefault="00BB1486">
          <w:pPr>
            <w:pStyle w:val="TOC1"/>
            <w:rPr>
              <w:rFonts w:asciiTheme="minorHAnsi" w:eastAsiaTheme="minorEastAsia" w:hAnsiTheme="minorHAnsi" w:cstheme="minorBidi"/>
              <w:noProof/>
              <w:sz w:val="22"/>
              <w:szCs w:val="22"/>
              <w:lang w:eastAsia="en-GB"/>
            </w:rPr>
          </w:pPr>
          <w:hyperlink w:anchor="_Toc149923631" w:history="1">
            <w:r w:rsidRPr="00A875C0">
              <w:rPr>
                <w:rStyle w:val="Hyperlink"/>
                <w:noProof/>
              </w:rPr>
              <w:t>32</w:t>
            </w:r>
            <w:r>
              <w:rPr>
                <w:rFonts w:asciiTheme="minorHAnsi" w:eastAsiaTheme="minorEastAsia" w:hAnsiTheme="minorHAnsi" w:cstheme="minorBidi"/>
                <w:noProof/>
                <w:sz w:val="22"/>
                <w:szCs w:val="22"/>
                <w:lang w:eastAsia="en-GB"/>
              </w:rPr>
              <w:tab/>
            </w:r>
            <w:r w:rsidRPr="00A875C0">
              <w:rPr>
                <w:rStyle w:val="Hyperlink"/>
                <w:noProof/>
              </w:rPr>
              <w:t>Provision for Asset Retirement Obligations</w:t>
            </w:r>
            <w:r>
              <w:rPr>
                <w:noProof/>
                <w:webHidden/>
              </w:rPr>
              <w:tab/>
            </w:r>
            <w:r>
              <w:rPr>
                <w:noProof/>
                <w:webHidden/>
              </w:rPr>
              <w:fldChar w:fldCharType="begin"/>
            </w:r>
            <w:r>
              <w:rPr>
                <w:noProof/>
                <w:webHidden/>
              </w:rPr>
              <w:instrText xml:space="preserve"> PAGEREF _Toc149923631 \h </w:instrText>
            </w:r>
            <w:r>
              <w:rPr>
                <w:noProof/>
                <w:webHidden/>
              </w:rPr>
            </w:r>
            <w:r>
              <w:rPr>
                <w:noProof/>
                <w:webHidden/>
              </w:rPr>
              <w:fldChar w:fldCharType="separate"/>
            </w:r>
            <w:r w:rsidR="004B15B2">
              <w:rPr>
                <w:noProof/>
                <w:webHidden/>
              </w:rPr>
              <w:t>155</w:t>
            </w:r>
            <w:r>
              <w:rPr>
                <w:noProof/>
                <w:webHidden/>
              </w:rPr>
              <w:fldChar w:fldCharType="end"/>
            </w:r>
          </w:hyperlink>
        </w:p>
        <w:p w14:paraId="3DEE1BA3" w14:textId="72F99D12" w:rsidR="00BB1486" w:rsidRDefault="00BB1486">
          <w:pPr>
            <w:pStyle w:val="TOC1"/>
            <w:rPr>
              <w:rFonts w:asciiTheme="minorHAnsi" w:eastAsiaTheme="minorEastAsia" w:hAnsiTheme="minorHAnsi" w:cstheme="minorBidi"/>
              <w:noProof/>
              <w:sz w:val="22"/>
              <w:szCs w:val="22"/>
              <w:lang w:eastAsia="en-GB"/>
            </w:rPr>
          </w:pPr>
          <w:hyperlink w:anchor="_Toc149923632" w:history="1">
            <w:r w:rsidRPr="00A875C0">
              <w:rPr>
                <w:rStyle w:val="Hyperlink"/>
                <w:noProof/>
              </w:rPr>
              <w:t>33</w:t>
            </w:r>
            <w:r>
              <w:rPr>
                <w:rFonts w:asciiTheme="minorHAnsi" w:eastAsiaTheme="minorEastAsia" w:hAnsiTheme="minorHAnsi" w:cstheme="minorBidi"/>
                <w:noProof/>
                <w:sz w:val="22"/>
                <w:szCs w:val="22"/>
                <w:lang w:eastAsia="en-GB"/>
              </w:rPr>
              <w:tab/>
            </w:r>
            <w:r w:rsidRPr="00A875C0">
              <w:rPr>
                <w:rStyle w:val="Hyperlink"/>
                <w:noProof/>
              </w:rPr>
              <w:t>[Other] Provisions for Liabilities and Charges</w:t>
            </w:r>
            <w:r>
              <w:rPr>
                <w:noProof/>
                <w:webHidden/>
              </w:rPr>
              <w:tab/>
            </w:r>
            <w:r>
              <w:rPr>
                <w:noProof/>
                <w:webHidden/>
              </w:rPr>
              <w:fldChar w:fldCharType="begin"/>
            </w:r>
            <w:r>
              <w:rPr>
                <w:noProof/>
                <w:webHidden/>
              </w:rPr>
              <w:instrText xml:space="preserve"> PAGEREF _Toc149923632 \h </w:instrText>
            </w:r>
            <w:r>
              <w:rPr>
                <w:noProof/>
                <w:webHidden/>
              </w:rPr>
            </w:r>
            <w:r>
              <w:rPr>
                <w:noProof/>
                <w:webHidden/>
              </w:rPr>
              <w:fldChar w:fldCharType="separate"/>
            </w:r>
            <w:r w:rsidR="004B15B2">
              <w:rPr>
                <w:noProof/>
                <w:webHidden/>
              </w:rPr>
              <w:t>157</w:t>
            </w:r>
            <w:r>
              <w:rPr>
                <w:noProof/>
                <w:webHidden/>
              </w:rPr>
              <w:fldChar w:fldCharType="end"/>
            </w:r>
          </w:hyperlink>
        </w:p>
        <w:p w14:paraId="72A71860" w14:textId="27B592E8" w:rsidR="00BB1486" w:rsidRDefault="00BB1486">
          <w:pPr>
            <w:pStyle w:val="TOC1"/>
            <w:rPr>
              <w:rFonts w:asciiTheme="minorHAnsi" w:eastAsiaTheme="minorEastAsia" w:hAnsiTheme="minorHAnsi" w:cstheme="minorBidi"/>
              <w:noProof/>
              <w:sz w:val="22"/>
              <w:szCs w:val="22"/>
              <w:lang w:eastAsia="en-GB"/>
            </w:rPr>
          </w:pPr>
          <w:hyperlink w:anchor="_Toc149923633" w:history="1">
            <w:r w:rsidRPr="00A875C0">
              <w:rPr>
                <w:rStyle w:val="Hyperlink"/>
                <w:noProof/>
              </w:rPr>
              <w:t>34</w:t>
            </w:r>
            <w:r>
              <w:rPr>
                <w:rFonts w:asciiTheme="minorHAnsi" w:eastAsiaTheme="minorEastAsia" w:hAnsiTheme="minorHAnsi" w:cstheme="minorBidi"/>
                <w:noProof/>
                <w:sz w:val="22"/>
                <w:szCs w:val="22"/>
                <w:lang w:eastAsia="en-GB"/>
              </w:rPr>
              <w:tab/>
            </w:r>
            <w:r w:rsidRPr="00A875C0">
              <w:rPr>
                <w:rStyle w:val="Hyperlink"/>
                <w:noProof/>
              </w:rPr>
              <w:t>Trade and Other Payables</w:t>
            </w:r>
            <w:r>
              <w:rPr>
                <w:noProof/>
                <w:webHidden/>
              </w:rPr>
              <w:tab/>
            </w:r>
            <w:r>
              <w:rPr>
                <w:noProof/>
                <w:webHidden/>
              </w:rPr>
              <w:fldChar w:fldCharType="begin"/>
            </w:r>
            <w:r>
              <w:rPr>
                <w:noProof/>
                <w:webHidden/>
              </w:rPr>
              <w:instrText xml:space="preserve"> PAGEREF _Toc149923633 \h </w:instrText>
            </w:r>
            <w:r>
              <w:rPr>
                <w:noProof/>
                <w:webHidden/>
              </w:rPr>
            </w:r>
            <w:r>
              <w:rPr>
                <w:noProof/>
                <w:webHidden/>
              </w:rPr>
              <w:fldChar w:fldCharType="separate"/>
            </w:r>
            <w:r w:rsidR="004B15B2">
              <w:rPr>
                <w:noProof/>
                <w:webHidden/>
              </w:rPr>
              <w:t>159</w:t>
            </w:r>
            <w:r>
              <w:rPr>
                <w:noProof/>
                <w:webHidden/>
              </w:rPr>
              <w:fldChar w:fldCharType="end"/>
            </w:r>
          </w:hyperlink>
        </w:p>
        <w:p w14:paraId="0F5F04C1" w14:textId="66385249" w:rsidR="00BB1486" w:rsidRDefault="00BB1486">
          <w:pPr>
            <w:pStyle w:val="TOC1"/>
            <w:rPr>
              <w:rFonts w:asciiTheme="minorHAnsi" w:eastAsiaTheme="minorEastAsia" w:hAnsiTheme="minorHAnsi" w:cstheme="minorBidi"/>
              <w:noProof/>
              <w:sz w:val="22"/>
              <w:szCs w:val="22"/>
              <w:lang w:eastAsia="en-GB"/>
            </w:rPr>
          </w:pPr>
          <w:hyperlink w:anchor="_Toc149923634" w:history="1">
            <w:r w:rsidRPr="00A875C0">
              <w:rPr>
                <w:rStyle w:val="Hyperlink"/>
                <w:noProof/>
              </w:rPr>
              <w:t>35</w:t>
            </w:r>
            <w:r>
              <w:rPr>
                <w:rFonts w:asciiTheme="minorHAnsi" w:eastAsiaTheme="minorEastAsia" w:hAnsiTheme="minorHAnsi" w:cstheme="minorBidi"/>
                <w:noProof/>
                <w:sz w:val="22"/>
                <w:szCs w:val="22"/>
                <w:lang w:eastAsia="en-GB"/>
              </w:rPr>
              <w:tab/>
            </w:r>
            <w:r w:rsidRPr="00A875C0">
              <w:rPr>
                <w:rStyle w:val="Hyperlink"/>
                <w:noProof/>
              </w:rPr>
              <w:t>Revenue from Contracts with Customers</w:t>
            </w:r>
            <w:r>
              <w:rPr>
                <w:noProof/>
                <w:webHidden/>
              </w:rPr>
              <w:tab/>
            </w:r>
            <w:r>
              <w:rPr>
                <w:noProof/>
                <w:webHidden/>
              </w:rPr>
              <w:fldChar w:fldCharType="begin"/>
            </w:r>
            <w:r>
              <w:rPr>
                <w:noProof/>
                <w:webHidden/>
              </w:rPr>
              <w:instrText xml:space="preserve"> PAGEREF _Toc149923634 \h </w:instrText>
            </w:r>
            <w:r>
              <w:rPr>
                <w:noProof/>
                <w:webHidden/>
              </w:rPr>
            </w:r>
            <w:r>
              <w:rPr>
                <w:noProof/>
                <w:webHidden/>
              </w:rPr>
              <w:fldChar w:fldCharType="separate"/>
            </w:r>
            <w:r w:rsidR="004B15B2">
              <w:rPr>
                <w:noProof/>
                <w:webHidden/>
              </w:rPr>
              <w:t>166</w:t>
            </w:r>
            <w:r>
              <w:rPr>
                <w:noProof/>
                <w:webHidden/>
              </w:rPr>
              <w:fldChar w:fldCharType="end"/>
            </w:r>
          </w:hyperlink>
        </w:p>
        <w:p w14:paraId="4B46068D" w14:textId="737748C5" w:rsidR="00BB1486" w:rsidRDefault="00BB1486">
          <w:pPr>
            <w:pStyle w:val="TOC1"/>
            <w:rPr>
              <w:rFonts w:asciiTheme="minorHAnsi" w:eastAsiaTheme="minorEastAsia" w:hAnsiTheme="minorHAnsi" w:cstheme="minorBidi"/>
              <w:noProof/>
              <w:sz w:val="22"/>
              <w:szCs w:val="22"/>
              <w:lang w:eastAsia="en-GB"/>
            </w:rPr>
          </w:pPr>
          <w:hyperlink w:anchor="_Toc149923635" w:history="1">
            <w:r w:rsidRPr="00A875C0">
              <w:rPr>
                <w:rStyle w:val="Hyperlink"/>
                <w:noProof/>
              </w:rPr>
              <w:t>36</w:t>
            </w:r>
            <w:r>
              <w:rPr>
                <w:rFonts w:asciiTheme="minorHAnsi" w:eastAsiaTheme="minorEastAsia" w:hAnsiTheme="minorHAnsi" w:cstheme="minorBidi"/>
                <w:noProof/>
                <w:sz w:val="22"/>
                <w:szCs w:val="22"/>
                <w:lang w:eastAsia="en-GB"/>
              </w:rPr>
              <w:tab/>
            </w:r>
            <w:r w:rsidRPr="00A875C0">
              <w:rPr>
                <w:rStyle w:val="Hyperlink"/>
                <w:noProof/>
              </w:rPr>
              <w:t>Income and Expenses by Nature</w:t>
            </w:r>
            <w:r>
              <w:rPr>
                <w:noProof/>
                <w:webHidden/>
              </w:rPr>
              <w:tab/>
            </w:r>
            <w:r>
              <w:rPr>
                <w:noProof/>
                <w:webHidden/>
              </w:rPr>
              <w:fldChar w:fldCharType="begin"/>
            </w:r>
            <w:r>
              <w:rPr>
                <w:noProof/>
                <w:webHidden/>
              </w:rPr>
              <w:instrText xml:space="preserve"> PAGEREF _Toc149923635 \h </w:instrText>
            </w:r>
            <w:r>
              <w:rPr>
                <w:noProof/>
                <w:webHidden/>
              </w:rPr>
            </w:r>
            <w:r>
              <w:rPr>
                <w:noProof/>
                <w:webHidden/>
              </w:rPr>
              <w:fldChar w:fldCharType="separate"/>
            </w:r>
            <w:r w:rsidR="004B15B2">
              <w:rPr>
                <w:noProof/>
                <w:webHidden/>
              </w:rPr>
              <w:t>169</w:t>
            </w:r>
            <w:r>
              <w:rPr>
                <w:noProof/>
                <w:webHidden/>
              </w:rPr>
              <w:fldChar w:fldCharType="end"/>
            </w:r>
          </w:hyperlink>
        </w:p>
        <w:p w14:paraId="58763007" w14:textId="48C5EBC7" w:rsidR="00BB1486" w:rsidRDefault="00BB1486">
          <w:pPr>
            <w:pStyle w:val="TOC1"/>
            <w:rPr>
              <w:rFonts w:asciiTheme="minorHAnsi" w:eastAsiaTheme="minorEastAsia" w:hAnsiTheme="minorHAnsi" w:cstheme="minorBidi"/>
              <w:noProof/>
              <w:sz w:val="22"/>
              <w:szCs w:val="22"/>
              <w:lang w:eastAsia="en-GB"/>
            </w:rPr>
          </w:pPr>
          <w:hyperlink w:anchor="_Toc149923636" w:history="1">
            <w:r w:rsidRPr="00A875C0">
              <w:rPr>
                <w:rStyle w:val="Hyperlink"/>
                <w:noProof/>
              </w:rPr>
              <w:t>37</w:t>
            </w:r>
            <w:r>
              <w:rPr>
                <w:rFonts w:asciiTheme="minorHAnsi" w:eastAsiaTheme="minorEastAsia" w:hAnsiTheme="minorHAnsi" w:cstheme="minorBidi"/>
                <w:noProof/>
                <w:sz w:val="22"/>
                <w:szCs w:val="22"/>
                <w:lang w:eastAsia="en-GB"/>
              </w:rPr>
              <w:tab/>
            </w:r>
            <w:r w:rsidRPr="00A875C0">
              <w:rPr>
                <w:rStyle w:val="Hyperlink"/>
                <w:noProof/>
              </w:rPr>
              <w:t>Finance Costs</w:t>
            </w:r>
            <w:r>
              <w:rPr>
                <w:noProof/>
                <w:webHidden/>
              </w:rPr>
              <w:tab/>
            </w:r>
            <w:r>
              <w:rPr>
                <w:noProof/>
                <w:webHidden/>
              </w:rPr>
              <w:fldChar w:fldCharType="begin"/>
            </w:r>
            <w:r>
              <w:rPr>
                <w:noProof/>
                <w:webHidden/>
              </w:rPr>
              <w:instrText xml:space="preserve"> PAGEREF _Toc149923636 \h </w:instrText>
            </w:r>
            <w:r>
              <w:rPr>
                <w:noProof/>
                <w:webHidden/>
              </w:rPr>
            </w:r>
            <w:r>
              <w:rPr>
                <w:noProof/>
                <w:webHidden/>
              </w:rPr>
              <w:fldChar w:fldCharType="separate"/>
            </w:r>
            <w:r w:rsidR="004B15B2">
              <w:rPr>
                <w:noProof/>
                <w:webHidden/>
              </w:rPr>
              <w:t>172</w:t>
            </w:r>
            <w:r>
              <w:rPr>
                <w:noProof/>
                <w:webHidden/>
              </w:rPr>
              <w:fldChar w:fldCharType="end"/>
            </w:r>
          </w:hyperlink>
        </w:p>
        <w:p w14:paraId="491D7075" w14:textId="5FC1C859" w:rsidR="00BB1486" w:rsidRDefault="00BB1486">
          <w:pPr>
            <w:pStyle w:val="TOC1"/>
            <w:rPr>
              <w:rFonts w:asciiTheme="minorHAnsi" w:eastAsiaTheme="minorEastAsia" w:hAnsiTheme="minorHAnsi" w:cstheme="minorBidi"/>
              <w:noProof/>
              <w:sz w:val="22"/>
              <w:szCs w:val="22"/>
              <w:lang w:eastAsia="en-GB"/>
            </w:rPr>
          </w:pPr>
          <w:hyperlink w:anchor="_Toc149923637" w:history="1">
            <w:r w:rsidRPr="00A875C0">
              <w:rPr>
                <w:rStyle w:val="Hyperlink"/>
                <w:noProof/>
              </w:rPr>
              <w:t>38</w:t>
            </w:r>
            <w:r>
              <w:rPr>
                <w:rFonts w:asciiTheme="minorHAnsi" w:eastAsiaTheme="minorEastAsia" w:hAnsiTheme="minorHAnsi" w:cstheme="minorBidi"/>
                <w:noProof/>
                <w:sz w:val="22"/>
                <w:szCs w:val="22"/>
                <w:lang w:eastAsia="en-GB"/>
              </w:rPr>
              <w:tab/>
            </w:r>
            <w:r w:rsidRPr="00A875C0">
              <w:rPr>
                <w:rStyle w:val="Hyperlink"/>
                <w:noProof/>
              </w:rPr>
              <w:t>Finance Income</w:t>
            </w:r>
            <w:r>
              <w:rPr>
                <w:noProof/>
                <w:webHidden/>
              </w:rPr>
              <w:tab/>
            </w:r>
            <w:r>
              <w:rPr>
                <w:noProof/>
                <w:webHidden/>
              </w:rPr>
              <w:fldChar w:fldCharType="begin"/>
            </w:r>
            <w:r>
              <w:rPr>
                <w:noProof/>
                <w:webHidden/>
              </w:rPr>
              <w:instrText xml:space="preserve"> PAGEREF _Toc149923637 \h </w:instrText>
            </w:r>
            <w:r>
              <w:rPr>
                <w:noProof/>
                <w:webHidden/>
              </w:rPr>
            </w:r>
            <w:r>
              <w:rPr>
                <w:noProof/>
                <w:webHidden/>
              </w:rPr>
              <w:fldChar w:fldCharType="separate"/>
            </w:r>
            <w:r w:rsidR="004B15B2">
              <w:rPr>
                <w:noProof/>
                <w:webHidden/>
              </w:rPr>
              <w:t>172</w:t>
            </w:r>
            <w:r>
              <w:rPr>
                <w:noProof/>
                <w:webHidden/>
              </w:rPr>
              <w:fldChar w:fldCharType="end"/>
            </w:r>
          </w:hyperlink>
        </w:p>
        <w:p w14:paraId="09701246" w14:textId="22CA5154" w:rsidR="00BB1486" w:rsidRDefault="00BB1486">
          <w:pPr>
            <w:pStyle w:val="TOC1"/>
            <w:rPr>
              <w:rFonts w:asciiTheme="minorHAnsi" w:eastAsiaTheme="minorEastAsia" w:hAnsiTheme="minorHAnsi" w:cstheme="minorBidi"/>
              <w:noProof/>
              <w:sz w:val="22"/>
              <w:szCs w:val="22"/>
              <w:lang w:eastAsia="en-GB"/>
            </w:rPr>
          </w:pPr>
          <w:hyperlink w:anchor="_Toc149923638" w:history="1">
            <w:r w:rsidRPr="00A875C0">
              <w:rPr>
                <w:rStyle w:val="Hyperlink"/>
                <w:noProof/>
              </w:rPr>
              <w:t>39</w:t>
            </w:r>
            <w:r>
              <w:rPr>
                <w:rFonts w:asciiTheme="minorHAnsi" w:eastAsiaTheme="minorEastAsia" w:hAnsiTheme="minorHAnsi" w:cstheme="minorBidi"/>
                <w:noProof/>
                <w:sz w:val="22"/>
                <w:szCs w:val="22"/>
                <w:lang w:eastAsia="en-GB"/>
              </w:rPr>
              <w:tab/>
            </w:r>
            <w:r w:rsidRPr="00A875C0">
              <w:rPr>
                <w:rStyle w:val="Hyperlink"/>
                <w:noProof/>
              </w:rPr>
              <w:t>Income Taxes</w:t>
            </w:r>
            <w:r>
              <w:rPr>
                <w:noProof/>
                <w:webHidden/>
              </w:rPr>
              <w:tab/>
            </w:r>
            <w:r>
              <w:rPr>
                <w:noProof/>
                <w:webHidden/>
              </w:rPr>
              <w:fldChar w:fldCharType="begin"/>
            </w:r>
            <w:r>
              <w:rPr>
                <w:noProof/>
                <w:webHidden/>
              </w:rPr>
              <w:instrText xml:space="preserve"> PAGEREF _Toc149923638 \h </w:instrText>
            </w:r>
            <w:r>
              <w:rPr>
                <w:noProof/>
                <w:webHidden/>
              </w:rPr>
            </w:r>
            <w:r>
              <w:rPr>
                <w:noProof/>
                <w:webHidden/>
              </w:rPr>
              <w:fldChar w:fldCharType="separate"/>
            </w:r>
            <w:r w:rsidR="004B15B2">
              <w:rPr>
                <w:noProof/>
                <w:webHidden/>
              </w:rPr>
              <w:t>173</w:t>
            </w:r>
            <w:r>
              <w:rPr>
                <w:noProof/>
                <w:webHidden/>
              </w:rPr>
              <w:fldChar w:fldCharType="end"/>
            </w:r>
          </w:hyperlink>
        </w:p>
        <w:p w14:paraId="2B79ABC6" w14:textId="559DDBCC" w:rsidR="00BB1486" w:rsidRDefault="00BB1486">
          <w:pPr>
            <w:pStyle w:val="TOC1"/>
            <w:rPr>
              <w:rFonts w:asciiTheme="minorHAnsi" w:eastAsiaTheme="minorEastAsia" w:hAnsiTheme="minorHAnsi" w:cstheme="minorBidi"/>
              <w:noProof/>
              <w:sz w:val="22"/>
              <w:szCs w:val="22"/>
              <w:lang w:eastAsia="en-GB"/>
            </w:rPr>
          </w:pPr>
          <w:hyperlink w:anchor="_Toc149923639" w:history="1">
            <w:r w:rsidRPr="00A875C0">
              <w:rPr>
                <w:rStyle w:val="Hyperlink"/>
                <w:noProof/>
              </w:rPr>
              <w:t>40</w:t>
            </w:r>
            <w:r>
              <w:rPr>
                <w:rFonts w:asciiTheme="minorHAnsi" w:eastAsiaTheme="minorEastAsia" w:hAnsiTheme="minorHAnsi" w:cstheme="minorBidi"/>
                <w:noProof/>
                <w:sz w:val="22"/>
                <w:szCs w:val="22"/>
                <w:lang w:eastAsia="en-GB"/>
              </w:rPr>
              <w:tab/>
            </w:r>
            <w:r w:rsidRPr="00A875C0">
              <w:rPr>
                <w:rStyle w:val="Hyperlink"/>
                <w:noProof/>
              </w:rPr>
              <w:t>Discontinued Operations</w:t>
            </w:r>
            <w:r>
              <w:rPr>
                <w:noProof/>
                <w:webHidden/>
              </w:rPr>
              <w:tab/>
            </w:r>
            <w:r>
              <w:rPr>
                <w:noProof/>
                <w:webHidden/>
              </w:rPr>
              <w:fldChar w:fldCharType="begin"/>
            </w:r>
            <w:r>
              <w:rPr>
                <w:noProof/>
                <w:webHidden/>
              </w:rPr>
              <w:instrText xml:space="preserve"> PAGEREF _Toc149923639 \h </w:instrText>
            </w:r>
            <w:r>
              <w:rPr>
                <w:noProof/>
                <w:webHidden/>
              </w:rPr>
            </w:r>
            <w:r>
              <w:rPr>
                <w:noProof/>
                <w:webHidden/>
              </w:rPr>
              <w:fldChar w:fldCharType="separate"/>
            </w:r>
            <w:r w:rsidR="004B15B2">
              <w:rPr>
                <w:noProof/>
                <w:webHidden/>
              </w:rPr>
              <w:t>179</w:t>
            </w:r>
            <w:r>
              <w:rPr>
                <w:noProof/>
                <w:webHidden/>
              </w:rPr>
              <w:fldChar w:fldCharType="end"/>
            </w:r>
          </w:hyperlink>
        </w:p>
        <w:p w14:paraId="75BF8213" w14:textId="58EB9105" w:rsidR="00BB1486" w:rsidRDefault="00BB1486">
          <w:pPr>
            <w:pStyle w:val="TOC1"/>
            <w:rPr>
              <w:rFonts w:asciiTheme="minorHAnsi" w:eastAsiaTheme="minorEastAsia" w:hAnsiTheme="minorHAnsi" w:cstheme="minorBidi"/>
              <w:noProof/>
              <w:sz w:val="22"/>
              <w:szCs w:val="22"/>
              <w:lang w:eastAsia="en-GB"/>
            </w:rPr>
          </w:pPr>
          <w:hyperlink w:anchor="_Toc149923640" w:history="1">
            <w:r w:rsidRPr="00A875C0">
              <w:rPr>
                <w:rStyle w:val="Hyperlink"/>
                <w:noProof/>
              </w:rPr>
              <w:t>41</w:t>
            </w:r>
            <w:r>
              <w:rPr>
                <w:rFonts w:asciiTheme="minorHAnsi" w:eastAsiaTheme="minorEastAsia" w:hAnsiTheme="minorHAnsi" w:cstheme="minorBidi"/>
                <w:noProof/>
                <w:sz w:val="22"/>
                <w:szCs w:val="22"/>
                <w:lang w:eastAsia="en-GB"/>
              </w:rPr>
              <w:tab/>
            </w:r>
            <w:r w:rsidRPr="00A875C0">
              <w:rPr>
                <w:rStyle w:val="Hyperlink"/>
                <w:noProof/>
              </w:rPr>
              <w:t>Earnings/(Loss) per Share</w:t>
            </w:r>
            <w:r>
              <w:rPr>
                <w:noProof/>
                <w:webHidden/>
              </w:rPr>
              <w:tab/>
            </w:r>
            <w:r>
              <w:rPr>
                <w:noProof/>
                <w:webHidden/>
              </w:rPr>
              <w:fldChar w:fldCharType="begin"/>
            </w:r>
            <w:r>
              <w:rPr>
                <w:noProof/>
                <w:webHidden/>
              </w:rPr>
              <w:instrText xml:space="preserve"> PAGEREF _Toc149923640 \h </w:instrText>
            </w:r>
            <w:r>
              <w:rPr>
                <w:noProof/>
                <w:webHidden/>
              </w:rPr>
            </w:r>
            <w:r>
              <w:rPr>
                <w:noProof/>
                <w:webHidden/>
              </w:rPr>
              <w:fldChar w:fldCharType="separate"/>
            </w:r>
            <w:r w:rsidR="004B15B2">
              <w:rPr>
                <w:noProof/>
                <w:webHidden/>
              </w:rPr>
              <w:t>181</w:t>
            </w:r>
            <w:r>
              <w:rPr>
                <w:noProof/>
                <w:webHidden/>
              </w:rPr>
              <w:fldChar w:fldCharType="end"/>
            </w:r>
          </w:hyperlink>
        </w:p>
        <w:p w14:paraId="4EEE071E" w14:textId="0E8DADE1" w:rsidR="00BB1486" w:rsidRDefault="00BB1486">
          <w:pPr>
            <w:pStyle w:val="TOC1"/>
            <w:rPr>
              <w:rFonts w:asciiTheme="minorHAnsi" w:eastAsiaTheme="minorEastAsia" w:hAnsiTheme="minorHAnsi" w:cstheme="minorBidi"/>
              <w:noProof/>
              <w:sz w:val="22"/>
              <w:szCs w:val="22"/>
              <w:lang w:eastAsia="en-GB"/>
            </w:rPr>
          </w:pPr>
          <w:hyperlink w:anchor="_Toc149923641" w:history="1">
            <w:r w:rsidRPr="00A875C0">
              <w:rPr>
                <w:rStyle w:val="Hyperlink"/>
                <w:noProof/>
              </w:rPr>
              <w:t>42</w:t>
            </w:r>
            <w:r>
              <w:rPr>
                <w:rFonts w:asciiTheme="minorHAnsi" w:eastAsiaTheme="minorEastAsia" w:hAnsiTheme="minorHAnsi" w:cstheme="minorBidi"/>
                <w:noProof/>
                <w:sz w:val="22"/>
                <w:szCs w:val="22"/>
                <w:lang w:eastAsia="en-GB"/>
              </w:rPr>
              <w:tab/>
            </w:r>
            <w:r w:rsidRPr="00A875C0">
              <w:rPr>
                <w:rStyle w:val="Hyperlink"/>
                <w:noProof/>
              </w:rPr>
              <w:t>Significant Non-cash Investing and Financing Activities</w:t>
            </w:r>
            <w:r>
              <w:rPr>
                <w:noProof/>
                <w:webHidden/>
              </w:rPr>
              <w:tab/>
            </w:r>
            <w:r>
              <w:rPr>
                <w:noProof/>
                <w:webHidden/>
              </w:rPr>
              <w:fldChar w:fldCharType="begin"/>
            </w:r>
            <w:r>
              <w:rPr>
                <w:noProof/>
                <w:webHidden/>
              </w:rPr>
              <w:instrText xml:space="preserve"> PAGEREF _Toc149923641 \h </w:instrText>
            </w:r>
            <w:r>
              <w:rPr>
                <w:noProof/>
                <w:webHidden/>
              </w:rPr>
            </w:r>
            <w:r>
              <w:rPr>
                <w:noProof/>
                <w:webHidden/>
              </w:rPr>
              <w:fldChar w:fldCharType="separate"/>
            </w:r>
            <w:r w:rsidR="004B15B2">
              <w:rPr>
                <w:noProof/>
                <w:webHidden/>
              </w:rPr>
              <w:t>183</w:t>
            </w:r>
            <w:r>
              <w:rPr>
                <w:noProof/>
                <w:webHidden/>
              </w:rPr>
              <w:fldChar w:fldCharType="end"/>
            </w:r>
          </w:hyperlink>
        </w:p>
        <w:p w14:paraId="1C93D940" w14:textId="6C0D3519" w:rsidR="00BB1486" w:rsidRDefault="00BB1486">
          <w:pPr>
            <w:pStyle w:val="TOC1"/>
            <w:rPr>
              <w:rFonts w:asciiTheme="minorHAnsi" w:eastAsiaTheme="minorEastAsia" w:hAnsiTheme="minorHAnsi" w:cstheme="minorBidi"/>
              <w:noProof/>
              <w:sz w:val="22"/>
              <w:szCs w:val="22"/>
              <w:lang w:eastAsia="en-GB"/>
            </w:rPr>
          </w:pPr>
          <w:hyperlink w:anchor="_Toc149923642" w:history="1">
            <w:r w:rsidRPr="00A875C0">
              <w:rPr>
                <w:rStyle w:val="Hyperlink"/>
                <w:noProof/>
              </w:rPr>
              <w:t>43</w:t>
            </w:r>
            <w:r>
              <w:rPr>
                <w:rFonts w:asciiTheme="minorHAnsi" w:eastAsiaTheme="minorEastAsia" w:hAnsiTheme="minorHAnsi" w:cstheme="minorBidi"/>
                <w:noProof/>
                <w:sz w:val="22"/>
                <w:szCs w:val="22"/>
                <w:lang w:eastAsia="en-GB"/>
              </w:rPr>
              <w:tab/>
            </w:r>
            <w:r w:rsidRPr="00A875C0">
              <w:rPr>
                <w:rStyle w:val="Hyperlink"/>
                <w:noProof/>
              </w:rPr>
              <w:t>Contingencies and Commitments</w:t>
            </w:r>
            <w:r>
              <w:rPr>
                <w:noProof/>
                <w:webHidden/>
              </w:rPr>
              <w:tab/>
            </w:r>
            <w:r>
              <w:rPr>
                <w:noProof/>
                <w:webHidden/>
              </w:rPr>
              <w:fldChar w:fldCharType="begin"/>
            </w:r>
            <w:r>
              <w:rPr>
                <w:noProof/>
                <w:webHidden/>
              </w:rPr>
              <w:instrText xml:space="preserve"> PAGEREF _Toc149923642 \h </w:instrText>
            </w:r>
            <w:r>
              <w:rPr>
                <w:noProof/>
                <w:webHidden/>
              </w:rPr>
            </w:r>
            <w:r>
              <w:rPr>
                <w:noProof/>
                <w:webHidden/>
              </w:rPr>
              <w:fldChar w:fldCharType="separate"/>
            </w:r>
            <w:r w:rsidR="004B15B2">
              <w:rPr>
                <w:noProof/>
                <w:webHidden/>
              </w:rPr>
              <w:t>183</w:t>
            </w:r>
            <w:r>
              <w:rPr>
                <w:noProof/>
                <w:webHidden/>
              </w:rPr>
              <w:fldChar w:fldCharType="end"/>
            </w:r>
          </w:hyperlink>
        </w:p>
        <w:p w14:paraId="6F022D6F" w14:textId="1DD98AF7" w:rsidR="00BB1486" w:rsidRDefault="00BB1486">
          <w:pPr>
            <w:pStyle w:val="TOC1"/>
            <w:rPr>
              <w:rFonts w:asciiTheme="minorHAnsi" w:eastAsiaTheme="minorEastAsia" w:hAnsiTheme="minorHAnsi" w:cstheme="minorBidi"/>
              <w:noProof/>
              <w:sz w:val="22"/>
              <w:szCs w:val="22"/>
              <w:lang w:eastAsia="en-GB"/>
            </w:rPr>
          </w:pPr>
          <w:hyperlink w:anchor="_Toc149923643" w:history="1">
            <w:r w:rsidRPr="00A875C0">
              <w:rPr>
                <w:rStyle w:val="Hyperlink"/>
                <w:noProof/>
              </w:rPr>
              <w:t>44</w:t>
            </w:r>
            <w:r>
              <w:rPr>
                <w:rFonts w:asciiTheme="minorHAnsi" w:eastAsiaTheme="minorEastAsia" w:hAnsiTheme="minorHAnsi" w:cstheme="minorBidi"/>
                <w:noProof/>
                <w:sz w:val="22"/>
                <w:szCs w:val="22"/>
                <w:lang w:eastAsia="en-GB"/>
              </w:rPr>
              <w:tab/>
            </w:r>
            <w:r w:rsidRPr="00A875C0">
              <w:rPr>
                <w:rStyle w:val="Hyperlink"/>
                <w:noProof/>
              </w:rPr>
              <w:t>Transfers of Financial Assets</w:t>
            </w:r>
            <w:r>
              <w:rPr>
                <w:noProof/>
                <w:webHidden/>
              </w:rPr>
              <w:tab/>
            </w:r>
            <w:r>
              <w:rPr>
                <w:noProof/>
                <w:webHidden/>
              </w:rPr>
              <w:fldChar w:fldCharType="begin"/>
            </w:r>
            <w:r>
              <w:rPr>
                <w:noProof/>
                <w:webHidden/>
              </w:rPr>
              <w:instrText xml:space="preserve"> PAGEREF _Toc149923643 \h </w:instrText>
            </w:r>
            <w:r>
              <w:rPr>
                <w:noProof/>
                <w:webHidden/>
              </w:rPr>
            </w:r>
            <w:r>
              <w:rPr>
                <w:noProof/>
                <w:webHidden/>
              </w:rPr>
              <w:fldChar w:fldCharType="separate"/>
            </w:r>
            <w:r w:rsidR="004B15B2">
              <w:rPr>
                <w:noProof/>
                <w:webHidden/>
              </w:rPr>
              <w:t>188</w:t>
            </w:r>
            <w:r>
              <w:rPr>
                <w:noProof/>
                <w:webHidden/>
              </w:rPr>
              <w:fldChar w:fldCharType="end"/>
            </w:r>
          </w:hyperlink>
        </w:p>
        <w:p w14:paraId="4195FC93" w14:textId="215A3529" w:rsidR="00BB1486" w:rsidRDefault="00BB1486">
          <w:pPr>
            <w:pStyle w:val="TOC1"/>
            <w:rPr>
              <w:rFonts w:asciiTheme="minorHAnsi" w:eastAsiaTheme="minorEastAsia" w:hAnsiTheme="minorHAnsi" w:cstheme="minorBidi"/>
              <w:noProof/>
              <w:sz w:val="22"/>
              <w:szCs w:val="22"/>
              <w:lang w:eastAsia="en-GB"/>
            </w:rPr>
          </w:pPr>
          <w:hyperlink w:anchor="_Toc149923644" w:history="1">
            <w:r w:rsidRPr="00A875C0">
              <w:rPr>
                <w:rStyle w:val="Hyperlink"/>
                <w:noProof/>
              </w:rPr>
              <w:t>45</w:t>
            </w:r>
            <w:r>
              <w:rPr>
                <w:rFonts w:asciiTheme="minorHAnsi" w:eastAsiaTheme="minorEastAsia" w:hAnsiTheme="minorHAnsi" w:cstheme="minorBidi"/>
                <w:noProof/>
                <w:sz w:val="22"/>
                <w:szCs w:val="22"/>
                <w:lang w:eastAsia="en-GB"/>
              </w:rPr>
              <w:tab/>
            </w:r>
            <w:r w:rsidRPr="00A875C0">
              <w:rPr>
                <w:rStyle w:val="Hyperlink"/>
                <w:noProof/>
              </w:rPr>
              <w:t>Offsetting Financial Assets and Financial Liabilities</w:t>
            </w:r>
            <w:r>
              <w:rPr>
                <w:noProof/>
                <w:webHidden/>
              </w:rPr>
              <w:tab/>
            </w:r>
            <w:r>
              <w:rPr>
                <w:noProof/>
                <w:webHidden/>
              </w:rPr>
              <w:fldChar w:fldCharType="begin"/>
            </w:r>
            <w:r>
              <w:rPr>
                <w:noProof/>
                <w:webHidden/>
              </w:rPr>
              <w:instrText xml:space="preserve"> PAGEREF _Toc149923644 \h </w:instrText>
            </w:r>
            <w:r>
              <w:rPr>
                <w:noProof/>
                <w:webHidden/>
              </w:rPr>
            </w:r>
            <w:r>
              <w:rPr>
                <w:noProof/>
                <w:webHidden/>
              </w:rPr>
              <w:fldChar w:fldCharType="separate"/>
            </w:r>
            <w:r w:rsidR="004B15B2">
              <w:rPr>
                <w:noProof/>
                <w:webHidden/>
              </w:rPr>
              <w:t>192</w:t>
            </w:r>
            <w:r>
              <w:rPr>
                <w:noProof/>
                <w:webHidden/>
              </w:rPr>
              <w:fldChar w:fldCharType="end"/>
            </w:r>
          </w:hyperlink>
        </w:p>
        <w:p w14:paraId="320779FB" w14:textId="73B14925" w:rsidR="00BB1486" w:rsidRDefault="00BB1486">
          <w:pPr>
            <w:pStyle w:val="TOC1"/>
            <w:rPr>
              <w:rFonts w:asciiTheme="minorHAnsi" w:eastAsiaTheme="minorEastAsia" w:hAnsiTheme="minorHAnsi" w:cstheme="minorBidi"/>
              <w:noProof/>
              <w:sz w:val="22"/>
              <w:szCs w:val="22"/>
              <w:lang w:eastAsia="en-GB"/>
            </w:rPr>
          </w:pPr>
          <w:hyperlink w:anchor="_Toc149923645" w:history="1">
            <w:r w:rsidRPr="00A875C0">
              <w:rPr>
                <w:rStyle w:val="Hyperlink"/>
                <w:noProof/>
              </w:rPr>
              <w:t>46</w:t>
            </w:r>
            <w:r>
              <w:rPr>
                <w:rFonts w:asciiTheme="minorHAnsi" w:eastAsiaTheme="minorEastAsia" w:hAnsiTheme="minorHAnsi" w:cstheme="minorBidi"/>
                <w:noProof/>
                <w:sz w:val="22"/>
                <w:szCs w:val="22"/>
                <w:lang w:eastAsia="en-GB"/>
              </w:rPr>
              <w:tab/>
            </w:r>
            <w:r w:rsidRPr="00A875C0">
              <w:rPr>
                <w:rStyle w:val="Hyperlink"/>
                <w:noProof/>
              </w:rPr>
              <w:t>Derivative Financial Instruments</w:t>
            </w:r>
            <w:r>
              <w:rPr>
                <w:noProof/>
                <w:webHidden/>
              </w:rPr>
              <w:tab/>
            </w:r>
            <w:r>
              <w:rPr>
                <w:noProof/>
                <w:webHidden/>
              </w:rPr>
              <w:fldChar w:fldCharType="begin"/>
            </w:r>
            <w:r>
              <w:rPr>
                <w:noProof/>
                <w:webHidden/>
              </w:rPr>
              <w:instrText xml:space="preserve"> PAGEREF _Toc149923645 \h </w:instrText>
            </w:r>
            <w:r>
              <w:rPr>
                <w:noProof/>
                <w:webHidden/>
              </w:rPr>
            </w:r>
            <w:r>
              <w:rPr>
                <w:noProof/>
                <w:webHidden/>
              </w:rPr>
              <w:fldChar w:fldCharType="separate"/>
            </w:r>
            <w:r w:rsidR="004B15B2">
              <w:rPr>
                <w:noProof/>
                <w:webHidden/>
              </w:rPr>
              <w:t>195</w:t>
            </w:r>
            <w:r>
              <w:rPr>
                <w:noProof/>
                <w:webHidden/>
              </w:rPr>
              <w:fldChar w:fldCharType="end"/>
            </w:r>
          </w:hyperlink>
        </w:p>
        <w:p w14:paraId="63DF5F35" w14:textId="7A3CBD87" w:rsidR="00BB1486" w:rsidRDefault="00BB1486">
          <w:pPr>
            <w:pStyle w:val="TOC1"/>
            <w:rPr>
              <w:rFonts w:asciiTheme="minorHAnsi" w:eastAsiaTheme="minorEastAsia" w:hAnsiTheme="minorHAnsi" w:cstheme="minorBidi"/>
              <w:noProof/>
              <w:sz w:val="22"/>
              <w:szCs w:val="22"/>
              <w:lang w:eastAsia="en-GB"/>
            </w:rPr>
          </w:pPr>
          <w:hyperlink w:anchor="_Toc149923646" w:history="1">
            <w:r w:rsidRPr="00A875C0">
              <w:rPr>
                <w:rStyle w:val="Hyperlink"/>
                <w:noProof/>
              </w:rPr>
              <w:t>47</w:t>
            </w:r>
            <w:r>
              <w:rPr>
                <w:rFonts w:asciiTheme="minorHAnsi" w:eastAsiaTheme="minorEastAsia" w:hAnsiTheme="minorHAnsi" w:cstheme="minorBidi"/>
                <w:noProof/>
                <w:sz w:val="22"/>
                <w:szCs w:val="22"/>
                <w:lang w:eastAsia="en-GB"/>
              </w:rPr>
              <w:tab/>
            </w:r>
            <w:r w:rsidRPr="00A875C0">
              <w:rPr>
                <w:rStyle w:val="Hyperlink"/>
                <w:noProof/>
              </w:rPr>
              <w:t>Non-Controlling Interest</w:t>
            </w:r>
            <w:r>
              <w:rPr>
                <w:noProof/>
                <w:webHidden/>
              </w:rPr>
              <w:tab/>
            </w:r>
            <w:r>
              <w:rPr>
                <w:noProof/>
                <w:webHidden/>
              </w:rPr>
              <w:fldChar w:fldCharType="begin"/>
            </w:r>
            <w:r>
              <w:rPr>
                <w:noProof/>
                <w:webHidden/>
              </w:rPr>
              <w:instrText xml:space="preserve"> PAGEREF _Toc149923646 \h </w:instrText>
            </w:r>
            <w:r>
              <w:rPr>
                <w:noProof/>
                <w:webHidden/>
              </w:rPr>
            </w:r>
            <w:r>
              <w:rPr>
                <w:noProof/>
                <w:webHidden/>
              </w:rPr>
              <w:fldChar w:fldCharType="separate"/>
            </w:r>
            <w:r w:rsidR="004B15B2">
              <w:rPr>
                <w:noProof/>
                <w:webHidden/>
              </w:rPr>
              <w:t>196</w:t>
            </w:r>
            <w:r>
              <w:rPr>
                <w:noProof/>
                <w:webHidden/>
              </w:rPr>
              <w:fldChar w:fldCharType="end"/>
            </w:r>
          </w:hyperlink>
        </w:p>
        <w:p w14:paraId="0B5469F8" w14:textId="75630358" w:rsidR="00BB1486" w:rsidRDefault="00BB1486">
          <w:pPr>
            <w:pStyle w:val="TOC1"/>
            <w:rPr>
              <w:rFonts w:asciiTheme="minorHAnsi" w:eastAsiaTheme="minorEastAsia" w:hAnsiTheme="minorHAnsi" w:cstheme="minorBidi"/>
              <w:noProof/>
              <w:sz w:val="22"/>
              <w:szCs w:val="22"/>
              <w:lang w:eastAsia="en-GB"/>
            </w:rPr>
          </w:pPr>
          <w:hyperlink w:anchor="_Toc149923647" w:history="1">
            <w:r w:rsidRPr="00A875C0">
              <w:rPr>
                <w:rStyle w:val="Hyperlink"/>
                <w:noProof/>
              </w:rPr>
              <w:t>48</w:t>
            </w:r>
            <w:r>
              <w:rPr>
                <w:rFonts w:asciiTheme="minorHAnsi" w:eastAsiaTheme="minorEastAsia" w:hAnsiTheme="minorHAnsi" w:cstheme="minorBidi"/>
                <w:noProof/>
                <w:sz w:val="22"/>
                <w:szCs w:val="22"/>
                <w:lang w:eastAsia="en-GB"/>
              </w:rPr>
              <w:tab/>
            </w:r>
            <w:r w:rsidRPr="00A875C0">
              <w:rPr>
                <w:rStyle w:val="Hyperlink"/>
                <w:noProof/>
              </w:rPr>
              <w:t>Interests in Structured Entities</w:t>
            </w:r>
            <w:r>
              <w:rPr>
                <w:noProof/>
                <w:webHidden/>
              </w:rPr>
              <w:tab/>
            </w:r>
            <w:r>
              <w:rPr>
                <w:noProof/>
                <w:webHidden/>
              </w:rPr>
              <w:fldChar w:fldCharType="begin"/>
            </w:r>
            <w:r>
              <w:rPr>
                <w:noProof/>
                <w:webHidden/>
              </w:rPr>
              <w:instrText xml:space="preserve"> PAGEREF _Toc149923647 \h </w:instrText>
            </w:r>
            <w:r>
              <w:rPr>
                <w:noProof/>
                <w:webHidden/>
              </w:rPr>
            </w:r>
            <w:r>
              <w:rPr>
                <w:noProof/>
                <w:webHidden/>
              </w:rPr>
              <w:fldChar w:fldCharType="separate"/>
            </w:r>
            <w:r w:rsidR="004B15B2">
              <w:rPr>
                <w:noProof/>
                <w:webHidden/>
              </w:rPr>
              <w:t>198</w:t>
            </w:r>
            <w:r>
              <w:rPr>
                <w:noProof/>
                <w:webHidden/>
              </w:rPr>
              <w:fldChar w:fldCharType="end"/>
            </w:r>
          </w:hyperlink>
        </w:p>
        <w:p w14:paraId="40721048" w14:textId="42C72F13" w:rsidR="00BB1486" w:rsidRDefault="00BB1486">
          <w:pPr>
            <w:pStyle w:val="TOC1"/>
            <w:rPr>
              <w:rFonts w:asciiTheme="minorHAnsi" w:eastAsiaTheme="minorEastAsia" w:hAnsiTheme="minorHAnsi" w:cstheme="minorBidi"/>
              <w:noProof/>
              <w:sz w:val="22"/>
              <w:szCs w:val="22"/>
              <w:lang w:eastAsia="en-GB"/>
            </w:rPr>
          </w:pPr>
          <w:hyperlink w:anchor="_Toc149923648" w:history="1">
            <w:r w:rsidRPr="00A875C0">
              <w:rPr>
                <w:rStyle w:val="Hyperlink"/>
                <w:noProof/>
              </w:rPr>
              <w:t>49</w:t>
            </w:r>
            <w:r>
              <w:rPr>
                <w:rFonts w:asciiTheme="minorHAnsi" w:eastAsiaTheme="minorEastAsia" w:hAnsiTheme="minorHAnsi" w:cstheme="minorBidi"/>
                <w:noProof/>
                <w:sz w:val="22"/>
                <w:szCs w:val="22"/>
                <w:lang w:eastAsia="en-GB"/>
              </w:rPr>
              <w:tab/>
            </w:r>
            <w:r w:rsidRPr="00A875C0">
              <w:rPr>
                <w:rStyle w:val="Hyperlink"/>
                <w:noProof/>
              </w:rPr>
              <w:t>Principal Subsidiaries, Associates and Joint Venture</w:t>
            </w:r>
            <w:r>
              <w:rPr>
                <w:noProof/>
                <w:webHidden/>
              </w:rPr>
              <w:tab/>
            </w:r>
            <w:r>
              <w:rPr>
                <w:noProof/>
                <w:webHidden/>
              </w:rPr>
              <w:fldChar w:fldCharType="begin"/>
            </w:r>
            <w:r>
              <w:rPr>
                <w:noProof/>
                <w:webHidden/>
              </w:rPr>
              <w:instrText xml:space="preserve"> PAGEREF _Toc149923648 \h </w:instrText>
            </w:r>
            <w:r>
              <w:rPr>
                <w:noProof/>
                <w:webHidden/>
              </w:rPr>
            </w:r>
            <w:r>
              <w:rPr>
                <w:noProof/>
                <w:webHidden/>
              </w:rPr>
              <w:fldChar w:fldCharType="separate"/>
            </w:r>
            <w:r w:rsidR="004B15B2">
              <w:rPr>
                <w:noProof/>
                <w:webHidden/>
              </w:rPr>
              <w:t>200</w:t>
            </w:r>
            <w:r>
              <w:rPr>
                <w:noProof/>
                <w:webHidden/>
              </w:rPr>
              <w:fldChar w:fldCharType="end"/>
            </w:r>
          </w:hyperlink>
        </w:p>
        <w:p w14:paraId="72E7750B" w14:textId="3DED35B2" w:rsidR="00BB1486" w:rsidRDefault="00BB1486">
          <w:pPr>
            <w:pStyle w:val="TOC1"/>
            <w:rPr>
              <w:rFonts w:asciiTheme="minorHAnsi" w:eastAsiaTheme="minorEastAsia" w:hAnsiTheme="minorHAnsi" w:cstheme="minorBidi"/>
              <w:noProof/>
              <w:sz w:val="22"/>
              <w:szCs w:val="22"/>
              <w:lang w:eastAsia="en-GB"/>
            </w:rPr>
          </w:pPr>
          <w:hyperlink w:anchor="_Toc149923649" w:history="1">
            <w:r w:rsidRPr="00A875C0">
              <w:rPr>
                <w:rStyle w:val="Hyperlink"/>
                <w:noProof/>
              </w:rPr>
              <w:t>50</w:t>
            </w:r>
            <w:r>
              <w:rPr>
                <w:rFonts w:asciiTheme="minorHAnsi" w:eastAsiaTheme="minorEastAsia" w:hAnsiTheme="minorHAnsi" w:cstheme="minorBidi"/>
                <w:noProof/>
                <w:sz w:val="22"/>
                <w:szCs w:val="22"/>
                <w:lang w:eastAsia="en-GB"/>
              </w:rPr>
              <w:tab/>
            </w:r>
            <w:r w:rsidRPr="00A875C0">
              <w:rPr>
                <w:rStyle w:val="Hyperlink"/>
                <w:noProof/>
              </w:rPr>
              <w:t>Business Combinations</w:t>
            </w:r>
            <w:r>
              <w:rPr>
                <w:noProof/>
                <w:webHidden/>
              </w:rPr>
              <w:tab/>
            </w:r>
            <w:r>
              <w:rPr>
                <w:noProof/>
                <w:webHidden/>
              </w:rPr>
              <w:fldChar w:fldCharType="begin"/>
            </w:r>
            <w:r>
              <w:rPr>
                <w:noProof/>
                <w:webHidden/>
              </w:rPr>
              <w:instrText xml:space="preserve"> PAGEREF _Toc149923649 \h </w:instrText>
            </w:r>
            <w:r>
              <w:rPr>
                <w:noProof/>
                <w:webHidden/>
              </w:rPr>
            </w:r>
            <w:r>
              <w:rPr>
                <w:noProof/>
                <w:webHidden/>
              </w:rPr>
              <w:fldChar w:fldCharType="separate"/>
            </w:r>
            <w:r w:rsidR="004B15B2">
              <w:rPr>
                <w:noProof/>
                <w:webHidden/>
              </w:rPr>
              <w:t>203</w:t>
            </w:r>
            <w:r>
              <w:rPr>
                <w:noProof/>
                <w:webHidden/>
              </w:rPr>
              <w:fldChar w:fldCharType="end"/>
            </w:r>
          </w:hyperlink>
        </w:p>
        <w:p w14:paraId="34820D80" w14:textId="77599CEA" w:rsidR="00BB1486" w:rsidRDefault="00BB1486">
          <w:pPr>
            <w:pStyle w:val="TOC1"/>
            <w:rPr>
              <w:rFonts w:asciiTheme="minorHAnsi" w:eastAsiaTheme="minorEastAsia" w:hAnsiTheme="minorHAnsi" w:cstheme="minorBidi"/>
              <w:noProof/>
              <w:sz w:val="22"/>
              <w:szCs w:val="22"/>
              <w:lang w:eastAsia="en-GB"/>
            </w:rPr>
          </w:pPr>
          <w:hyperlink w:anchor="_Toc149923650" w:history="1">
            <w:r w:rsidRPr="00A875C0">
              <w:rPr>
                <w:rStyle w:val="Hyperlink"/>
                <w:noProof/>
              </w:rPr>
              <w:t>51</w:t>
            </w:r>
            <w:r>
              <w:rPr>
                <w:rFonts w:asciiTheme="minorHAnsi" w:eastAsiaTheme="minorEastAsia" w:hAnsiTheme="minorHAnsi" w:cstheme="minorBidi"/>
                <w:noProof/>
                <w:sz w:val="22"/>
                <w:szCs w:val="22"/>
                <w:lang w:eastAsia="en-GB"/>
              </w:rPr>
              <w:tab/>
            </w:r>
            <w:r w:rsidRPr="00A875C0">
              <w:rPr>
                <w:rStyle w:val="Hyperlink"/>
                <w:noProof/>
              </w:rPr>
              <w:t>Financial Risk Management</w:t>
            </w:r>
            <w:r>
              <w:rPr>
                <w:noProof/>
                <w:webHidden/>
              </w:rPr>
              <w:tab/>
            </w:r>
            <w:r>
              <w:rPr>
                <w:noProof/>
                <w:webHidden/>
              </w:rPr>
              <w:fldChar w:fldCharType="begin"/>
            </w:r>
            <w:r>
              <w:rPr>
                <w:noProof/>
                <w:webHidden/>
              </w:rPr>
              <w:instrText xml:space="preserve"> PAGEREF _Toc149923650 \h </w:instrText>
            </w:r>
            <w:r>
              <w:rPr>
                <w:noProof/>
                <w:webHidden/>
              </w:rPr>
            </w:r>
            <w:r>
              <w:rPr>
                <w:noProof/>
                <w:webHidden/>
              </w:rPr>
              <w:fldChar w:fldCharType="separate"/>
            </w:r>
            <w:r w:rsidR="004B15B2">
              <w:rPr>
                <w:noProof/>
                <w:webHidden/>
              </w:rPr>
              <w:t>206</w:t>
            </w:r>
            <w:r>
              <w:rPr>
                <w:noProof/>
                <w:webHidden/>
              </w:rPr>
              <w:fldChar w:fldCharType="end"/>
            </w:r>
          </w:hyperlink>
        </w:p>
        <w:p w14:paraId="7C4CAD8E" w14:textId="370382A5" w:rsidR="00BB1486" w:rsidRDefault="00BB1486">
          <w:pPr>
            <w:pStyle w:val="TOC1"/>
            <w:rPr>
              <w:rFonts w:asciiTheme="minorHAnsi" w:eastAsiaTheme="minorEastAsia" w:hAnsiTheme="minorHAnsi" w:cstheme="minorBidi"/>
              <w:noProof/>
              <w:sz w:val="22"/>
              <w:szCs w:val="22"/>
              <w:lang w:eastAsia="en-GB"/>
            </w:rPr>
          </w:pPr>
          <w:hyperlink w:anchor="_Toc149923651" w:history="1">
            <w:r w:rsidRPr="00A875C0">
              <w:rPr>
                <w:rStyle w:val="Hyperlink"/>
                <w:noProof/>
              </w:rPr>
              <w:t>52</w:t>
            </w:r>
            <w:r>
              <w:rPr>
                <w:rFonts w:asciiTheme="minorHAnsi" w:eastAsiaTheme="minorEastAsia" w:hAnsiTheme="minorHAnsi" w:cstheme="minorBidi"/>
                <w:noProof/>
                <w:sz w:val="22"/>
                <w:szCs w:val="22"/>
                <w:lang w:eastAsia="en-GB"/>
              </w:rPr>
              <w:tab/>
            </w:r>
            <w:r w:rsidRPr="00A875C0">
              <w:rPr>
                <w:rStyle w:val="Hyperlink"/>
                <w:noProof/>
              </w:rPr>
              <w:t>Management of Capital</w:t>
            </w:r>
            <w:r>
              <w:rPr>
                <w:noProof/>
                <w:webHidden/>
              </w:rPr>
              <w:tab/>
            </w:r>
            <w:r>
              <w:rPr>
                <w:noProof/>
                <w:webHidden/>
              </w:rPr>
              <w:fldChar w:fldCharType="begin"/>
            </w:r>
            <w:r>
              <w:rPr>
                <w:noProof/>
                <w:webHidden/>
              </w:rPr>
              <w:instrText xml:space="preserve"> PAGEREF _Toc149923651 \h </w:instrText>
            </w:r>
            <w:r>
              <w:rPr>
                <w:noProof/>
                <w:webHidden/>
              </w:rPr>
            </w:r>
            <w:r>
              <w:rPr>
                <w:noProof/>
                <w:webHidden/>
              </w:rPr>
              <w:fldChar w:fldCharType="separate"/>
            </w:r>
            <w:r w:rsidR="004B15B2">
              <w:rPr>
                <w:noProof/>
                <w:webHidden/>
              </w:rPr>
              <w:t>219</w:t>
            </w:r>
            <w:r>
              <w:rPr>
                <w:noProof/>
                <w:webHidden/>
              </w:rPr>
              <w:fldChar w:fldCharType="end"/>
            </w:r>
          </w:hyperlink>
        </w:p>
        <w:p w14:paraId="24AB1A6C" w14:textId="301C2CFD" w:rsidR="00BB1486" w:rsidRDefault="00BB1486">
          <w:pPr>
            <w:pStyle w:val="TOC1"/>
            <w:rPr>
              <w:rFonts w:asciiTheme="minorHAnsi" w:eastAsiaTheme="minorEastAsia" w:hAnsiTheme="minorHAnsi" w:cstheme="minorBidi"/>
              <w:noProof/>
              <w:sz w:val="22"/>
              <w:szCs w:val="22"/>
              <w:lang w:eastAsia="en-GB"/>
            </w:rPr>
          </w:pPr>
          <w:hyperlink w:anchor="_Toc149923652" w:history="1">
            <w:r w:rsidRPr="00A875C0">
              <w:rPr>
                <w:rStyle w:val="Hyperlink"/>
                <w:noProof/>
              </w:rPr>
              <w:t>53</w:t>
            </w:r>
            <w:r>
              <w:rPr>
                <w:rFonts w:asciiTheme="minorHAnsi" w:eastAsiaTheme="minorEastAsia" w:hAnsiTheme="minorHAnsi" w:cstheme="minorBidi"/>
                <w:noProof/>
                <w:sz w:val="22"/>
                <w:szCs w:val="22"/>
                <w:lang w:eastAsia="en-GB"/>
              </w:rPr>
              <w:tab/>
            </w:r>
            <w:r w:rsidRPr="00A875C0">
              <w:rPr>
                <w:rStyle w:val="Hyperlink"/>
                <w:noProof/>
              </w:rPr>
              <w:t>Fair Value Disclosures</w:t>
            </w:r>
            <w:r>
              <w:rPr>
                <w:noProof/>
                <w:webHidden/>
              </w:rPr>
              <w:tab/>
            </w:r>
            <w:r>
              <w:rPr>
                <w:noProof/>
                <w:webHidden/>
              </w:rPr>
              <w:fldChar w:fldCharType="begin"/>
            </w:r>
            <w:r>
              <w:rPr>
                <w:noProof/>
                <w:webHidden/>
              </w:rPr>
              <w:instrText xml:space="preserve"> PAGEREF _Toc149923652 \h </w:instrText>
            </w:r>
            <w:r>
              <w:rPr>
                <w:noProof/>
                <w:webHidden/>
              </w:rPr>
            </w:r>
            <w:r>
              <w:rPr>
                <w:noProof/>
                <w:webHidden/>
              </w:rPr>
              <w:fldChar w:fldCharType="separate"/>
            </w:r>
            <w:r w:rsidR="004B15B2">
              <w:rPr>
                <w:noProof/>
                <w:webHidden/>
              </w:rPr>
              <w:t>219</w:t>
            </w:r>
            <w:r>
              <w:rPr>
                <w:noProof/>
                <w:webHidden/>
              </w:rPr>
              <w:fldChar w:fldCharType="end"/>
            </w:r>
          </w:hyperlink>
        </w:p>
        <w:p w14:paraId="53216232" w14:textId="3620D76B" w:rsidR="00BB1486" w:rsidRDefault="00BB1486">
          <w:pPr>
            <w:pStyle w:val="TOC1"/>
            <w:rPr>
              <w:rFonts w:asciiTheme="minorHAnsi" w:eastAsiaTheme="minorEastAsia" w:hAnsiTheme="minorHAnsi" w:cstheme="minorBidi"/>
              <w:noProof/>
              <w:sz w:val="22"/>
              <w:szCs w:val="22"/>
              <w:lang w:eastAsia="en-GB"/>
            </w:rPr>
          </w:pPr>
          <w:hyperlink w:anchor="_Toc149923653" w:history="1">
            <w:r w:rsidRPr="00A875C0">
              <w:rPr>
                <w:rStyle w:val="Hyperlink"/>
                <w:noProof/>
              </w:rPr>
              <w:t>54</w:t>
            </w:r>
            <w:r>
              <w:rPr>
                <w:rFonts w:asciiTheme="minorHAnsi" w:eastAsiaTheme="minorEastAsia" w:hAnsiTheme="minorHAnsi" w:cstheme="minorBidi"/>
                <w:noProof/>
                <w:sz w:val="22"/>
                <w:szCs w:val="22"/>
                <w:lang w:eastAsia="en-GB"/>
              </w:rPr>
              <w:tab/>
            </w:r>
            <w:r w:rsidRPr="00A875C0">
              <w:rPr>
                <w:rStyle w:val="Hyperlink"/>
                <w:noProof/>
              </w:rPr>
              <w:t>Presentation of Financial Instruments by Measurement Category</w:t>
            </w:r>
            <w:r>
              <w:rPr>
                <w:noProof/>
                <w:webHidden/>
              </w:rPr>
              <w:tab/>
            </w:r>
            <w:r>
              <w:rPr>
                <w:noProof/>
                <w:webHidden/>
              </w:rPr>
              <w:fldChar w:fldCharType="begin"/>
            </w:r>
            <w:r>
              <w:rPr>
                <w:noProof/>
                <w:webHidden/>
              </w:rPr>
              <w:instrText xml:space="preserve"> PAGEREF _Toc149923653 \h </w:instrText>
            </w:r>
            <w:r>
              <w:rPr>
                <w:noProof/>
                <w:webHidden/>
              </w:rPr>
            </w:r>
            <w:r>
              <w:rPr>
                <w:noProof/>
                <w:webHidden/>
              </w:rPr>
              <w:fldChar w:fldCharType="separate"/>
            </w:r>
            <w:r w:rsidR="004B15B2">
              <w:rPr>
                <w:noProof/>
                <w:webHidden/>
              </w:rPr>
              <w:t>227</w:t>
            </w:r>
            <w:r>
              <w:rPr>
                <w:noProof/>
                <w:webHidden/>
              </w:rPr>
              <w:fldChar w:fldCharType="end"/>
            </w:r>
          </w:hyperlink>
        </w:p>
        <w:p w14:paraId="42C10483" w14:textId="499B32CF" w:rsidR="00BB1486" w:rsidRDefault="00BB1486">
          <w:pPr>
            <w:pStyle w:val="TOC1"/>
            <w:rPr>
              <w:rFonts w:asciiTheme="minorHAnsi" w:eastAsiaTheme="minorEastAsia" w:hAnsiTheme="minorHAnsi" w:cstheme="minorBidi"/>
              <w:noProof/>
              <w:sz w:val="22"/>
              <w:szCs w:val="22"/>
              <w:lang w:eastAsia="en-GB"/>
            </w:rPr>
          </w:pPr>
          <w:hyperlink w:anchor="_Toc149923654" w:history="1">
            <w:r w:rsidRPr="00A875C0">
              <w:rPr>
                <w:rStyle w:val="Hyperlink"/>
                <w:noProof/>
              </w:rPr>
              <w:t>55</w:t>
            </w:r>
            <w:r>
              <w:rPr>
                <w:rFonts w:asciiTheme="minorHAnsi" w:eastAsiaTheme="minorEastAsia" w:hAnsiTheme="minorHAnsi" w:cstheme="minorBidi"/>
                <w:noProof/>
                <w:sz w:val="22"/>
                <w:szCs w:val="22"/>
                <w:lang w:eastAsia="en-GB"/>
              </w:rPr>
              <w:tab/>
            </w:r>
            <w:r w:rsidRPr="00A875C0">
              <w:rPr>
                <w:rStyle w:val="Hyperlink"/>
                <w:noProof/>
              </w:rPr>
              <w:t>Events after the Reporting Period</w:t>
            </w:r>
            <w:r>
              <w:rPr>
                <w:noProof/>
                <w:webHidden/>
              </w:rPr>
              <w:tab/>
            </w:r>
            <w:r>
              <w:rPr>
                <w:noProof/>
                <w:webHidden/>
              </w:rPr>
              <w:fldChar w:fldCharType="begin"/>
            </w:r>
            <w:r>
              <w:rPr>
                <w:noProof/>
                <w:webHidden/>
              </w:rPr>
              <w:instrText xml:space="preserve"> PAGEREF _Toc149923654 \h </w:instrText>
            </w:r>
            <w:r>
              <w:rPr>
                <w:noProof/>
                <w:webHidden/>
              </w:rPr>
            </w:r>
            <w:r>
              <w:rPr>
                <w:noProof/>
                <w:webHidden/>
              </w:rPr>
              <w:fldChar w:fldCharType="separate"/>
            </w:r>
            <w:r w:rsidR="004B15B2">
              <w:rPr>
                <w:noProof/>
                <w:webHidden/>
              </w:rPr>
              <w:t>228</w:t>
            </w:r>
            <w:r>
              <w:rPr>
                <w:noProof/>
                <w:webHidden/>
              </w:rPr>
              <w:fldChar w:fldCharType="end"/>
            </w:r>
          </w:hyperlink>
        </w:p>
        <w:p w14:paraId="02B99A4B" w14:textId="01D6E219" w:rsidR="008E5DE4" w:rsidRDefault="00780368">
          <w:pPr>
            <w:pBdr>
              <w:top w:val="nil"/>
              <w:left w:val="nil"/>
              <w:bottom w:val="nil"/>
              <w:right w:val="nil"/>
              <w:between w:val="nil"/>
            </w:pBdr>
            <w:tabs>
              <w:tab w:val="right" w:pos="9345"/>
            </w:tabs>
            <w:ind w:left="567" w:hanging="567"/>
            <w:rPr>
              <w:rFonts w:ascii="Calibri" w:eastAsia="Calibri" w:hAnsi="Calibri" w:cs="Calibri"/>
              <w:color w:val="000000"/>
              <w:sz w:val="24"/>
              <w:szCs w:val="24"/>
            </w:rPr>
          </w:pPr>
          <w:r>
            <w:lastRenderedPageBreak/>
            <w:fldChar w:fldCharType="end"/>
          </w:r>
        </w:p>
      </w:sdtContent>
    </w:sdt>
    <w:p w14:paraId="2560D2FD" w14:textId="6CF8601F" w:rsidR="008E5DE4" w:rsidRDefault="00780368">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528"/>
        </w:tabs>
        <w:spacing w:before="240" w:after="240"/>
        <w:rPr>
          <w:rFonts w:ascii="Georgia" w:eastAsia="Georgia" w:hAnsi="Georgia" w:cs="Georgia"/>
          <w:color w:val="DC6900"/>
          <w:sz w:val="28"/>
          <w:szCs w:val="28"/>
        </w:rPr>
      </w:pPr>
      <w:r>
        <w:rPr>
          <w:rFonts w:ascii="Georgia" w:eastAsia="Georgia" w:hAnsi="Georgia" w:cs="Georgia"/>
          <w:color w:val="DC6900"/>
          <w:sz w:val="28"/>
          <w:szCs w:val="28"/>
        </w:rPr>
        <w:t>Independent Auditor’s Report</w:t>
      </w:r>
    </w:p>
    <w:p w14:paraId="058D5F18" w14:textId="77777777" w:rsidR="008E5DE4" w:rsidRDefault="008E5DE4">
      <w:pPr>
        <w:spacing w:before="240" w:after="240"/>
        <w:jc w:val="both"/>
        <w:rPr>
          <w:i/>
          <w:sz w:val="20"/>
          <w:szCs w:val="20"/>
        </w:rPr>
      </w:pPr>
    </w:p>
    <w:p w14:paraId="1B85DEEF" w14:textId="77777777" w:rsidR="008E5DE4" w:rsidRDefault="008E5DE4">
      <w:pPr>
        <w:spacing w:before="240" w:after="240"/>
        <w:rPr>
          <w:sz w:val="20"/>
          <w:szCs w:val="20"/>
        </w:rPr>
      </w:pPr>
    </w:p>
    <w:p w14:paraId="79C627AD" w14:textId="77777777" w:rsidR="008E5DE4" w:rsidRDefault="008E5DE4">
      <w:pPr>
        <w:spacing w:before="240" w:after="240"/>
        <w:rPr>
          <w:sz w:val="20"/>
          <w:szCs w:val="20"/>
        </w:rPr>
      </w:pPr>
    </w:p>
    <w:p w14:paraId="41ED022C" w14:textId="77777777" w:rsidR="008E5DE4" w:rsidRDefault="008E5DE4">
      <w:pPr>
        <w:spacing w:before="240" w:after="240"/>
        <w:rPr>
          <w:sz w:val="20"/>
          <w:szCs w:val="20"/>
        </w:rPr>
      </w:pPr>
    </w:p>
    <w:p w14:paraId="3C79223C" w14:textId="77777777" w:rsidR="008E5DE4" w:rsidRDefault="008E5DE4">
      <w:pPr>
        <w:spacing w:before="240" w:after="240"/>
        <w:rPr>
          <w:sz w:val="20"/>
          <w:szCs w:val="20"/>
        </w:rPr>
      </w:pPr>
    </w:p>
    <w:p w14:paraId="0E231FE2" w14:textId="77777777" w:rsidR="008E5DE4" w:rsidRDefault="008E5DE4">
      <w:pPr>
        <w:spacing w:before="240" w:after="240"/>
        <w:rPr>
          <w:sz w:val="20"/>
          <w:szCs w:val="20"/>
        </w:rPr>
      </w:pPr>
    </w:p>
    <w:p w14:paraId="748ACA89" w14:textId="77777777" w:rsidR="008E5DE4" w:rsidRDefault="00780368">
      <w:pPr>
        <w:tabs>
          <w:tab w:val="left" w:pos="1980"/>
        </w:tabs>
        <w:spacing w:before="240" w:after="240"/>
        <w:rPr>
          <w:sz w:val="20"/>
          <w:szCs w:val="20"/>
        </w:rPr>
      </w:pPr>
      <w:r>
        <w:rPr>
          <w:sz w:val="20"/>
          <w:szCs w:val="20"/>
        </w:rPr>
        <w:tab/>
      </w:r>
    </w:p>
    <w:p w14:paraId="0B88D4C5" w14:textId="77777777" w:rsidR="008E5DE4" w:rsidRDefault="00780368">
      <w:pPr>
        <w:tabs>
          <w:tab w:val="left" w:pos="1980"/>
        </w:tabs>
        <w:spacing w:before="240" w:after="240"/>
        <w:rPr>
          <w:sz w:val="20"/>
          <w:szCs w:val="20"/>
        </w:rPr>
      </w:pPr>
      <w:r>
        <w:rPr>
          <w:sz w:val="20"/>
          <w:szCs w:val="20"/>
        </w:rPr>
        <w:tab/>
      </w:r>
    </w:p>
    <w:p w14:paraId="1B574BBB" w14:textId="77777777" w:rsidR="008E5DE4" w:rsidRDefault="008E5DE4">
      <w:pPr>
        <w:spacing w:before="240" w:after="240"/>
        <w:rPr>
          <w:sz w:val="20"/>
          <w:szCs w:val="20"/>
        </w:rPr>
      </w:pPr>
    </w:p>
    <w:p w14:paraId="7F010751" w14:textId="77777777" w:rsidR="008E5DE4" w:rsidRDefault="008E5DE4">
      <w:pPr>
        <w:spacing w:before="240" w:after="240"/>
        <w:rPr>
          <w:sz w:val="20"/>
          <w:szCs w:val="20"/>
        </w:rPr>
      </w:pPr>
    </w:p>
    <w:p w14:paraId="6582AC14" w14:textId="77777777" w:rsidR="008E5DE4" w:rsidRDefault="008E5DE4">
      <w:pPr>
        <w:spacing w:before="240" w:after="240"/>
        <w:rPr>
          <w:sz w:val="20"/>
          <w:szCs w:val="20"/>
        </w:rPr>
      </w:pPr>
    </w:p>
    <w:p w14:paraId="61106CA1" w14:textId="77777777" w:rsidR="008E5DE4" w:rsidRDefault="008E5DE4">
      <w:pPr>
        <w:spacing w:before="240" w:after="240"/>
        <w:rPr>
          <w:sz w:val="20"/>
          <w:szCs w:val="20"/>
        </w:rPr>
      </w:pPr>
    </w:p>
    <w:p w14:paraId="4E2455DF" w14:textId="77777777" w:rsidR="008E5DE4" w:rsidRDefault="008E5DE4">
      <w:pPr>
        <w:spacing w:before="240" w:after="240"/>
        <w:rPr>
          <w:sz w:val="20"/>
          <w:szCs w:val="20"/>
        </w:rPr>
      </w:pPr>
    </w:p>
    <w:p w14:paraId="62FF2FBD" w14:textId="77777777" w:rsidR="008E5DE4" w:rsidRDefault="008E5DE4">
      <w:pPr>
        <w:spacing w:before="240" w:after="240"/>
        <w:rPr>
          <w:sz w:val="20"/>
          <w:szCs w:val="20"/>
        </w:rPr>
      </w:pPr>
    </w:p>
    <w:p w14:paraId="72D75CCB" w14:textId="77777777" w:rsidR="008E5DE4" w:rsidRDefault="00780368">
      <w:pPr>
        <w:tabs>
          <w:tab w:val="left" w:pos="6211"/>
        </w:tabs>
        <w:spacing w:before="240" w:after="240"/>
        <w:rPr>
          <w:sz w:val="20"/>
          <w:szCs w:val="20"/>
        </w:rPr>
      </w:pPr>
      <w:r>
        <w:rPr>
          <w:sz w:val="20"/>
          <w:szCs w:val="20"/>
        </w:rPr>
        <w:tab/>
      </w:r>
    </w:p>
    <w:p w14:paraId="4B0FD09B" w14:textId="77777777" w:rsidR="008E5DE4" w:rsidRDefault="008E5DE4">
      <w:pPr>
        <w:spacing w:before="240" w:after="240"/>
        <w:rPr>
          <w:sz w:val="20"/>
          <w:szCs w:val="20"/>
        </w:rPr>
        <w:sectPr w:rsidR="008E5DE4">
          <w:headerReference w:type="default" r:id="rId18"/>
          <w:footerReference w:type="default" r:id="rId19"/>
          <w:pgSz w:w="11907" w:h="16840"/>
          <w:pgMar w:top="442" w:right="851" w:bottom="426" w:left="1701" w:header="442" w:footer="567" w:gutter="0"/>
          <w:pgNumType w:start="1"/>
          <w:cols w:space="708"/>
        </w:sectPr>
      </w:pPr>
    </w:p>
    <w:p w14:paraId="38C2A3B3" w14:textId="77777777" w:rsidR="008E5DE4" w:rsidRDefault="008E5DE4">
      <w:pPr>
        <w:widowControl w:val="0"/>
        <w:pBdr>
          <w:top w:val="nil"/>
          <w:left w:val="nil"/>
          <w:bottom w:val="nil"/>
          <w:right w:val="nil"/>
          <w:between w:val="nil"/>
        </w:pBdr>
        <w:spacing w:line="276" w:lineRule="auto"/>
        <w:rPr>
          <w:sz w:val="20"/>
          <w:szCs w:val="20"/>
        </w:rPr>
      </w:pPr>
    </w:p>
    <w:tbl>
      <w:tblPr>
        <w:tblStyle w:val="a0"/>
        <w:tblW w:w="9412" w:type="dxa"/>
        <w:tblLayout w:type="fixed"/>
        <w:tblLook w:val="0000" w:firstRow="0" w:lastRow="0" w:firstColumn="0" w:lastColumn="0" w:noHBand="0" w:noVBand="0"/>
      </w:tblPr>
      <w:tblGrid>
        <w:gridCol w:w="4820"/>
        <w:gridCol w:w="680"/>
        <w:gridCol w:w="1304"/>
        <w:gridCol w:w="1304"/>
        <w:gridCol w:w="1304"/>
      </w:tblGrid>
      <w:tr w:rsidR="008E5DE4" w14:paraId="7CA3C947" w14:textId="77777777">
        <w:trPr>
          <w:cantSplit/>
          <w:tblHeader/>
        </w:trPr>
        <w:tc>
          <w:tcPr>
            <w:tcW w:w="4820" w:type="dxa"/>
            <w:tcBorders>
              <w:bottom w:val="single" w:sz="4" w:space="0" w:color="000000"/>
            </w:tcBorders>
            <w:vAlign w:val="bottom"/>
          </w:tcPr>
          <w:p w14:paraId="1E0ED841"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680" w:type="dxa"/>
            <w:tcBorders>
              <w:bottom w:val="single" w:sz="4" w:space="0" w:color="000000"/>
            </w:tcBorders>
            <w:vAlign w:val="bottom"/>
          </w:tcPr>
          <w:p w14:paraId="3A8B015E" w14:textId="77777777" w:rsidR="008E5DE4" w:rsidRDefault="00780368">
            <w:pPr>
              <w:widowControl w:val="0"/>
              <w:pBdr>
                <w:top w:val="nil"/>
                <w:left w:val="nil"/>
                <w:bottom w:val="nil"/>
                <w:right w:val="nil"/>
                <w:between w:val="nil"/>
              </w:pBdr>
              <w:jc w:val="center"/>
              <w:rPr>
                <w:b/>
                <w:color w:val="000000"/>
              </w:rPr>
            </w:pPr>
            <w:r>
              <w:rPr>
                <w:b/>
                <w:color w:val="000000"/>
              </w:rPr>
              <w:t>Note</w:t>
            </w:r>
          </w:p>
        </w:tc>
        <w:tc>
          <w:tcPr>
            <w:tcW w:w="1304" w:type="dxa"/>
            <w:tcBorders>
              <w:bottom w:val="single" w:sz="4" w:space="0" w:color="000000"/>
            </w:tcBorders>
          </w:tcPr>
          <w:p w14:paraId="01C03F21" w14:textId="6C18A127" w:rsidR="008E5DE4" w:rsidRDefault="00780368">
            <w:pPr>
              <w:widowControl w:val="0"/>
              <w:pBdr>
                <w:top w:val="nil"/>
                <w:left w:val="nil"/>
                <w:bottom w:val="nil"/>
                <w:right w:val="nil"/>
                <w:between w:val="nil"/>
              </w:pBdr>
              <w:ind w:left="-113"/>
              <w:jc w:val="right"/>
              <w:rPr>
                <w:b/>
                <w:color w:val="000000"/>
              </w:rPr>
            </w:pPr>
            <w:r>
              <w:rPr>
                <w:b/>
                <w:color w:val="000000"/>
              </w:rPr>
              <w:t xml:space="preserve">31 December </w:t>
            </w:r>
            <w:r w:rsidR="008614F8">
              <w:rPr>
                <w:b/>
                <w:color w:val="000000"/>
              </w:rPr>
              <w:t>2025</w:t>
            </w:r>
          </w:p>
        </w:tc>
        <w:tc>
          <w:tcPr>
            <w:tcW w:w="1304" w:type="dxa"/>
            <w:tcBorders>
              <w:bottom w:val="single" w:sz="4" w:space="0" w:color="000000"/>
            </w:tcBorders>
          </w:tcPr>
          <w:p w14:paraId="47428F82"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31 December </w:t>
            </w:r>
          </w:p>
          <w:p w14:paraId="5F8842BF" w14:textId="663D5D0A" w:rsidR="008E5DE4" w:rsidRDefault="00FF468A">
            <w:pPr>
              <w:widowControl w:val="0"/>
              <w:pBdr>
                <w:top w:val="nil"/>
                <w:left w:val="nil"/>
                <w:bottom w:val="nil"/>
                <w:right w:val="nil"/>
                <w:between w:val="nil"/>
              </w:pBdr>
              <w:ind w:left="-113"/>
              <w:jc w:val="right"/>
              <w:rPr>
                <w:b/>
                <w:color w:val="000000"/>
              </w:rPr>
            </w:pPr>
            <w:r>
              <w:rPr>
                <w:b/>
                <w:color w:val="000000"/>
              </w:rPr>
              <w:t>2024</w:t>
            </w:r>
          </w:p>
        </w:tc>
        <w:tc>
          <w:tcPr>
            <w:tcW w:w="1304" w:type="dxa"/>
            <w:tcBorders>
              <w:bottom w:val="single" w:sz="4" w:space="0" w:color="000000"/>
            </w:tcBorders>
          </w:tcPr>
          <w:p w14:paraId="09758609" w14:textId="0884A092" w:rsidR="008E5DE4" w:rsidRDefault="00780368">
            <w:pPr>
              <w:widowControl w:val="0"/>
              <w:pBdr>
                <w:top w:val="nil"/>
                <w:left w:val="nil"/>
                <w:bottom w:val="nil"/>
                <w:right w:val="nil"/>
                <w:between w:val="nil"/>
              </w:pBdr>
              <w:ind w:left="-113"/>
              <w:jc w:val="right"/>
              <w:rPr>
                <w:b/>
                <w:color w:val="000000"/>
              </w:rPr>
            </w:pPr>
            <w:r>
              <w:rPr>
                <w:b/>
                <w:color w:val="000000"/>
              </w:rPr>
              <w:t xml:space="preserve">1 January </w:t>
            </w:r>
            <w:r w:rsidR="00FF468A">
              <w:rPr>
                <w:b/>
                <w:color w:val="000000"/>
              </w:rPr>
              <w:t>2024</w:t>
            </w:r>
          </w:p>
        </w:tc>
      </w:tr>
      <w:tr w:rsidR="008E5DE4" w14:paraId="5E8012DC" w14:textId="77777777">
        <w:trPr>
          <w:cantSplit/>
        </w:trPr>
        <w:tc>
          <w:tcPr>
            <w:tcW w:w="4820" w:type="dxa"/>
            <w:vAlign w:val="bottom"/>
          </w:tcPr>
          <w:p w14:paraId="326DA9F8" w14:textId="77777777" w:rsidR="008E5DE4" w:rsidRDefault="00780368">
            <w:pPr>
              <w:widowControl w:val="0"/>
              <w:pBdr>
                <w:top w:val="nil"/>
                <w:left w:val="nil"/>
                <w:bottom w:val="nil"/>
                <w:right w:val="nil"/>
                <w:between w:val="nil"/>
              </w:pBdr>
              <w:ind w:left="113" w:right="-57" w:hanging="113"/>
              <w:rPr>
                <w:i/>
                <w:color w:val="000000"/>
              </w:rPr>
            </w:pPr>
            <w:r>
              <w:rPr>
                <w:i/>
                <w:color w:val="000000"/>
              </w:rPr>
              <w:t> </w:t>
            </w:r>
          </w:p>
        </w:tc>
        <w:tc>
          <w:tcPr>
            <w:tcW w:w="680" w:type="dxa"/>
            <w:vAlign w:val="bottom"/>
          </w:tcPr>
          <w:p w14:paraId="341E6EA1"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0E86E0A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765D33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864CFAE" w14:textId="77777777" w:rsidR="008E5DE4" w:rsidRDefault="008E5DE4">
            <w:pPr>
              <w:widowControl w:val="0"/>
              <w:pBdr>
                <w:top w:val="nil"/>
                <w:left w:val="nil"/>
                <w:bottom w:val="nil"/>
                <w:right w:val="nil"/>
                <w:between w:val="nil"/>
              </w:pBdr>
              <w:jc w:val="right"/>
              <w:rPr>
                <w:color w:val="000000"/>
              </w:rPr>
            </w:pPr>
          </w:p>
        </w:tc>
      </w:tr>
      <w:tr w:rsidR="008E5DE4" w14:paraId="5670586C" w14:textId="77777777">
        <w:trPr>
          <w:cantSplit/>
        </w:trPr>
        <w:tc>
          <w:tcPr>
            <w:tcW w:w="4820" w:type="dxa"/>
            <w:vAlign w:val="bottom"/>
          </w:tcPr>
          <w:p w14:paraId="72607B27"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ASSETS</w:t>
            </w:r>
          </w:p>
        </w:tc>
        <w:tc>
          <w:tcPr>
            <w:tcW w:w="680" w:type="dxa"/>
            <w:vAlign w:val="bottom"/>
          </w:tcPr>
          <w:p w14:paraId="7A618352" w14:textId="77777777" w:rsidR="008E5DE4" w:rsidRDefault="008E5DE4">
            <w:pPr>
              <w:widowControl w:val="0"/>
              <w:pBdr>
                <w:top w:val="nil"/>
                <w:left w:val="nil"/>
                <w:bottom w:val="nil"/>
                <w:right w:val="nil"/>
                <w:between w:val="nil"/>
              </w:pBdr>
              <w:jc w:val="center"/>
              <w:rPr>
                <w:smallCaps/>
                <w:color w:val="000000"/>
              </w:rPr>
            </w:pPr>
          </w:p>
        </w:tc>
        <w:tc>
          <w:tcPr>
            <w:tcW w:w="1304" w:type="dxa"/>
            <w:vAlign w:val="bottom"/>
          </w:tcPr>
          <w:p w14:paraId="09F7E03F" w14:textId="77777777" w:rsidR="008E5DE4" w:rsidRDefault="008E5DE4">
            <w:pPr>
              <w:widowControl w:val="0"/>
              <w:pBdr>
                <w:top w:val="nil"/>
                <w:left w:val="nil"/>
                <w:bottom w:val="nil"/>
                <w:right w:val="nil"/>
                <w:between w:val="nil"/>
              </w:pBdr>
              <w:jc w:val="right"/>
              <w:rPr>
                <w:smallCaps/>
                <w:color w:val="000000"/>
              </w:rPr>
            </w:pPr>
          </w:p>
        </w:tc>
        <w:tc>
          <w:tcPr>
            <w:tcW w:w="1304" w:type="dxa"/>
            <w:vAlign w:val="bottom"/>
          </w:tcPr>
          <w:p w14:paraId="05628351" w14:textId="77777777" w:rsidR="008E5DE4" w:rsidRDefault="008E5DE4">
            <w:pPr>
              <w:widowControl w:val="0"/>
              <w:pBdr>
                <w:top w:val="nil"/>
                <w:left w:val="nil"/>
                <w:bottom w:val="nil"/>
                <w:right w:val="nil"/>
                <w:between w:val="nil"/>
              </w:pBdr>
              <w:jc w:val="right"/>
              <w:rPr>
                <w:smallCaps/>
                <w:color w:val="000000"/>
              </w:rPr>
            </w:pPr>
          </w:p>
        </w:tc>
        <w:tc>
          <w:tcPr>
            <w:tcW w:w="1304" w:type="dxa"/>
            <w:vAlign w:val="bottom"/>
          </w:tcPr>
          <w:p w14:paraId="2F547745" w14:textId="77777777" w:rsidR="008E5DE4" w:rsidRDefault="008E5DE4">
            <w:pPr>
              <w:widowControl w:val="0"/>
              <w:pBdr>
                <w:top w:val="nil"/>
                <w:left w:val="nil"/>
                <w:bottom w:val="nil"/>
                <w:right w:val="nil"/>
                <w:between w:val="nil"/>
              </w:pBdr>
              <w:jc w:val="right"/>
              <w:rPr>
                <w:b/>
                <w:smallCaps/>
                <w:color w:val="000000"/>
              </w:rPr>
            </w:pPr>
          </w:p>
        </w:tc>
      </w:tr>
      <w:tr w:rsidR="008E5DE4" w14:paraId="62EEE9BE" w14:textId="77777777">
        <w:trPr>
          <w:cantSplit/>
        </w:trPr>
        <w:tc>
          <w:tcPr>
            <w:tcW w:w="4820" w:type="dxa"/>
            <w:vAlign w:val="bottom"/>
          </w:tcPr>
          <w:p w14:paraId="2EFD1694"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680" w:type="dxa"/>
            <w:vAlign w:val="bottom"/>
          </w:tcPr>
          <w:p w14:paraId="3E580275"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51632269"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32C032A"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A82471D" w14:textId="77777777" w:rsidR="008E5DE4" w:rsidRDefault="008E5DE4">
            <w:pPr>
              <w:widowControl w:val="0"/>
              <w:pBdr>
                <w:top w:val="nil"/>
                <w:left w:val="nil"/>
                <w:bottom w:val="nil"/>
                <w:right w:val="nil"/>
                <w:between w:val="nil"/>
              </w:pBdr>
              <w:jc w:val="right"/>
              <w:rPr>
                <w:color w:val="000000"/>
              </w:rPr>
            </w:pPr>
          </w:p>
        </w:tc>
      </w:tr>
      <w:tr w:rsidR="008E5DE4" w14:paraId="663CE9BB" w14:textId="77777777">
        <w:trPr>
          <w:cantSplit/>
        </w:trPr>
        <w:tc>
          <w:tcPr>
            <w:tcW w:w="4820" w:type="dxa"/>
            <w:vAlign w:val="bottom"/>
          </w:tcPr>
          <w:p w14:paraId="0289FF6F"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Non-current assets </w:t>
            </w:r>
          </w:p>
        </w:tc>
        <w:tc>
          <w:tcPr>
            <w:tcW w:w="680" w:type="dxa"/>
            <w:vAlign w:val="bottom"/>
          </w:tcPr>
          <w:p w14:paraId="0318FDE6"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70D1195A"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0C6766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8B8D7D4" w14:textId="77777777" w:rsidR="008E5DE4" w:rsidRDefault="008E5DE4">
            <w:pPr>
              <w:widowControl w:val="0"/>
              <w:pBdr>
                <w:top w:val="nil"/>
                <w:left w:val="nil"/>
                <w:bottom w:val="nil"/>
                <w:right w:val="nil"/>
                <w:between w:val="nil"/>
              </w:pBdr>
              <w:jc w:val="right"/>
              <w:rPr>
                <w:color w:val="000000"/>
              </w:rPr>
            </w:pPr>
          </w:p>
        </w:tc>
      </w:tr>
      <w:tr w:rsidR="008E5DE4" w14:paraId="5B224724" w14:textId="77777777">
        <w:trPr>
          <w:cantSplit/>
        </w:trPr>
        <w:tc>
          <w:tcPr>
            <w:tcW w:w="4820" w:type="dxa"/>
            <w:vAlign w:val="bottom"/>
          </w:tcPr>
          <w:p w14:paraId="49DFA5BE" w14:textId="77777777" w:rsidR="008E5DE4" w:rsidRDefault="00780368">
            <w:pPr>
              <w:widowControl w:val="0"/>
              <w:pBdr>
                <w:top w:val="nil"/>
                <w:left w:val="nil"/>
                <w:bottom w:val="nil"/>
                <w:right w:val="nil"/>
                <w:between w:val="nil"/>
              </w:pBdr>
              <w:ind w:left="113" w:right="-57" w:hanging="113"/>
              <w:rPr>
                <w:color w:val="000000"/>
              </w:rPr>
            </w:pPr>
            <w:r>
              <w:rPr>
                <w:color w:val="000000"/>
              </w:rPr>
              <w:t>Property, plant and equipment</w:t>
            </w:r>
          </w:p>
        </w:tc>
        <w:tc>
          <w:tcPr>
            <w:tcW w:w="680" w:type="dxa"/>
            <w:vAlign w:val="bottom"/>
          </w:tcPr>
          <w:p w14:paraId="23E638B3" w14:textId="77777777" w:rsidR="008E5DE4" w:rsidRDefault="00780368">
            <w:pPr>
              <w:widowControl w:val="0"/>
              <w:pBdr>
                <w:top w:val="nil"/>
                <w:left w:val="nil"/>
                <w:bottom w:val="nil"/>
                <w:right w:val="nil"/>
                <w:between w:val="nil"/>
              </w:pBdr>
              <w:jc w:val="center"/>
              <w:rPr>
                <w:color w:val="000000"/>
              </w:rPr>
            </w:pPr>
            <w:r>
              <w:rPr>
                <w:color w:val="000000"/>
              </w:rPr>
              <w:t>9</w:t>
            </w:r>
          </w:p>
        </w:tc>
        <w:tc>
          <w:tcPr>
            <w:tcW w:w="1304" w:type="dxa"/>
            <w:vAlign w:val="bottom"/>
          </w:tcPr>
          <w:p w14:paraId="5219FA3A"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9A15CA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E6D88B4" w14:textId="77777777" w:rsidR="008E5DE4" w:rsidRDefault="008E5DE4">
            <w:pPr>
              <w:widowControl w:val="0"/>
              <w:pBdr>
                <w:top w:val="nil"/>
                <w:left w:val="nil"/>
                <w:bottom w:val="nil"/>
                <w:right w:val="nil"/>
                <w:between w:val="nil"/>
              </w:pBdr>
              <w:jc w:val="right"/>
              <w:rPr>
                <w:color w:val="000000"/>
              </w:rPr>
            </w:pPr>
          </w:p>
        </w:tc>
      </w:tr>
      <w:tr w:rsidR="008E5DE4" w14:paraId="0C1E6368" w14:textId="77777777">
        <w:trPr>
          <w:cantSplit/>
        </w:trPr>
        <w:tc>
          <w:tcPr>
            <w:tcW w:w="4820" w:type="dxa"/>
            <w:vAlign w:val="bottom"/>
          </w:tcPr>
          <w:p w14:paraId="4D10238B"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property</w:t>
            </w:r>
          </w:p>
        </w:tc>
        <w:tc>
          <w:tcPr>
            <w:tcW w:w="680" w:type="dxa"/>
            <w:vAlign w:val="bottom"/>
          </w:tcPr>
          <w:p w14:paraId="7F3061CF" w14:textId="77777777" w:rsidR="008E5DE4" w:rsidRDefault="00780368">
            <w:pPr>
              <w:widowControl w:val="0"/>
              <w:pBdr>
                <w:top w:val="nil"/>
                <w:left w:val="nil"/>
                <w:bottom w:val="nil"/>
                <w:right w:val="nil"/>
                <w:between w:val="nil"/>
              </w:pBdr>
              <w:jc w:val="center"/>
              <w:rPr>
                <w:color w:val="000000"/>
              </w:rPr>
            </w:pPr>
            <w:r>
              <w:rPr>
                <w:color w:val="000000"/>
              </w:rPr>
              <w:t>10</w:t>
            </w:r>
          </w:p>
        </w:tc>
        <w:tc>
          <w:tcPr>
            <w:tcW w:w="1304" w:type="dxa"/>
            <w:vAlign w:val="bottom"/>
          </w:tcPr>
          <w:p w14:paraId="7E254BFD"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7E12A9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42C8CB3" w14:textId="77777777" w:rsidR="008E5DE4" w:rsidRDefault="008E5DE4">
            <w:pPr>
              <w:widowControl w:val="0"/>
              <w:pBdr>
                <w:top w:val="nil"/>
                <w:left w:val="nil"/>
                <w:bottom w:val="nil"/>
                <w:right w:val="nil"/>
                <w:between w:val="nil"/>
              </w:pBdr>
              <w:jc w:val="right"/>
              <w:rPr>
                <w:color w:val="000000"/>
              </w:rPr>
            </w:pPr>
          </w:p>
        </w:tc>
      </w:tr>
      <w:tr w:rsidR="008E5DE4" w14:paraId="48D178B2" w14:textId="77777777">
        <w:trPr>
          <w:cantSplit/>
        </w:trPr>
        <w:tc>
          <w:tcPr>
            <w:tcW w:w="4820" w:type="dxa"/>
            <w:vAlign w:val="bottom"/>
          </w:tcPr>
          <w:p w14:paraId="04D83EFD" w14:textId="77777777" w:rsidR="008E5DE4" w:rsidRDefault="00780368">
            <w:pPr>
              <w:widowControl w:val="0"/>
              <w:pBdr>
                <w:top w:val="nil"/>
                <w:left w:val="nil"/>
                <w:bottom w:val="nil"/>
                <w:right w:val="nil"/>
                <w:between w:val="nil"/>
              </w:pBdr>
              <w:ind w:left="113" w:right="-57" w:hanging="113"/>
              <w:rPr>
                <w:color w:val="000000"/>
              </w:rPr>
            </w:pPr>
            <w:r>
              <w:rPr>
                <w:color w:val="000000"/>
              </w:rPr>
              <w:t>Right-of-use assets</w:t>
            </w:r>
          </w:p>
        </w:tc>
        <w:tc>
          <w:tcPr>
            <w:tcW w:w="680" w:type="dxa"/>
            <w:vAlign w:val="bottom"/>
          </w:tcPr>
          <w:p w14:paraId="76F517D8" w14:textId="77777777" w:rsidR="008E5DE4" w:rsidRDefault="00780368">
            <w:pPr>
              <w:widowControl w:val="0"/>
              <w:pBdr>
                <w:top w:val="nil"/>
                <w:left w:val="nil"/>
                <w:bottom w:val="nil"/>
                <w:right w:val="nil"/>
                <w:between w:val="nil"/>
              </w:pBdr>
              <w:jc w:val="center"/>
              <w:rPr>
                <w:color w:val="000000"/>
              </w:rPr>
            </w:pPr>
            <w:r>
              <w:rPr>
                <w:color w:val="000000"/>
              </w:rPr>
              <w:t>11</w:t>
            </w:r>
          </w:p>
        </w:tc>
        <w:tc>
          <w:tcPr>
            <w:tcW w:w="1304" w:type="dxa"/>
            <w:vAlign w:val="bottom"/>
          </w:tcPr>
          <w:p w14:paraId="33A0B28E"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6EEB97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F4D054E" w14:textId="77777777" w:rsidR="008E5DE4" w:rsidRDefault="008E5DE4">
            <w:pPr>
              <w:widowControl w:val="0"/>
              <w:pBdr>
                <w:top w:val="nil"/>
                <w:left w:val="nil"/>
                <w:bottom w:val="nil"/>
                <w:right w:val="nil"/>
                <w:between w:val="nil"/>
              </w:pBdr>
              <w:jc w:val="right"/>
              <w:rPr>
                <w:color w:val="000000"/>
              </w:rPr>
            </w:pPr>
          </w:p>
        </w:tc>
      </w:tr>
      <w:tr w:rsidR="008E5DE4" w14:paraId="53107F67" w14:textId="77777777">
        <w:trPr>
          <w:cantSplit/>
        </w:trPr>
        <w:tc>
          <w:tcPr>
            <w:tcW w:w="4820" w:type="dxa"/>
            <w:vAlign w:val="bottom"/>
          </w:tcPr>
          <w:p w14:paraId="27102C24" w14:textId="77777777" w:rsidR="008E5DE4" w:rsidRDefault="00780368">
            <w:pPr>
              <w:widowControl w:val="0"/>
              <w:pBdr>
                <w:top w:val="nil"/>
                <w:left w:val="nil"/>
                <w:bottom w:val="nil"/>
                <w:right w:val="nil"/>
                <w:between w:val="nil"/>
              </w:pBdr>
              <w:ind w:left="113" w:right="-57" w:hanging="113"/>
              <w:rPr>
                <w:color w:val="000000"/>
              </w:rPr>
            </w:pPr>
            <w:r>
              <w:rPr>
                <w:color w:val="000000"/>
              </w:rPr>
              <w:t>Goodwill</w:t>
            </w:r>
          </w:p>
        </w:tc>
        <w:tc>
          <w:tcPr>
            <w:tcW w:w="680" w:type="dxa"/>
            <w:vAlign w:val="bottom"/>
          </w:tcPr>
          <w:p w14:paraId="327A3500" w14:textId="77777777" w:rsidR="008E5DE4" w:rsidRDefault="00780368">
            <w:pPr>
              <w:widowControl w:val="0"/>
              <w:pBdr>
                <w:top w:val="nil"/>
                <w:left w:val="nil"/>
                <w:bottom w:val="nil"/>
                <w:right w:val="nil"/>
                <w:between w:val="nil"/>
              </w:pBdr>
              <w:jc w:val="center"/>
              <w:rPr>
                <w:color w:val="000000"/>
              </w:rPr>
            </w:pPr>
            <w:r>
              <w:rPr>
                <w:color w:val="000000"/>
              </w:rPr>
              <w:t>12</w:t>
            </w:r>
          </w:p>
        </w:tc>
        <w:tc>
          <w:tcPr>
            <w:tcW w:w="1304" w:type="dxa"/>
            <w:vAlign w:val="bottom"/>
          </w:tcPr>
          <w:p w14:paraId="15500543"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9E6A10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FBC3A2B" w14:textId="77777777" w:rsidR="008E5DE4" w:rsidRDefault="008E5DE4">
            <w:pPr>
              <w:widowControl w:val="0"/>
              <w:pBdr>
                <w:top w:val="nil"/>
                <w:left w:val="nil"/>
                <w:bottom w:val="nil"/>
                <w:right w:val="nil"/>
                <w:between w:val="nil"/>
              </w:pBdr>
              <w:jc w:val="right"/>
              <w:rPr>
                <w:color w:val="000000"/>
              </w:rPr>
            </w:pPr>
          </w:p>
        </w:tc>
      </w:tr>
      <w:tr w:rsidR="008E5DE4" w14:paraId="76620EBC" w14:textId="77777777">
        <w:trPr>
          <w:cantSplit/>
        </w:trPr>
        <w:tc>
          <w:tcPr>
            <w:tcW w:w="4820" w:type="dxa"/>
            <w:vAlign w:val="bottom"/>
          </w:tcPr>
          <w:p w14:paraId="3AF46EF4" w14:textId="77777777" w:rsidR="008E5DE4" w:rsidRDefault="00780368">
            <w:pPr>
              <w:widowControl w:val="0"/>
              <w:pBdr>
                <w:top w:val="nil"/>
                <w:left w:val="nil"/>
                <w:bottom w:val="nil"/>
                <w:right w:val="nil"/>
                <w:between w:val="nil"/>
              </w:pBdr>
              <w:ind w:left="113" w:right="-57" w:hanging="113"/>
              <w:rPr>
                <w:color w:val="000000"/>
              </w:rPr>
            </w:pPr>
            <w:r>
              <w:rPr>
                <w:color w:val="000000"/>
              </w:rPr>
              <w:t>Other intangible assets</w:t>
            </w:r>
          </w:p>
        </w:tc>
        <w:tc>
          <w:tcPr>
            <w:tcW w:w="680" w:type="dxa"/>
            <w:vAlign w:val="bottom"/>
          </w:tcPr>
          <w:p w14:paraId="4E516CFE" w14:textId="77777777" w:rsidR="008E5DE4" w:rsidRDefault="00780368">
            <w:pPr>
              <w:widowControl w:val="0"/>
              <w:pBdr>
                <w:top w:val="nil"/>
                <w:left w:val="nil"/>
                <w:bottom w:val="nil"/>
                <w:right w:val="nil"/>
                <w:between w:val="nil"/>
              </w:pBdr>
              <w:jc w:val="center"/>
              <w:rPr>
                <w:color w:val="000000"/>
              </w:rPr>
            </w:pPr>
            <w:r>
              <w:rPr>
                <w:color w:val="000000"/>
              </w:rPr>
              <w:t>13</w:t>
            </w:r>
          </w:p>
        </w:tc>
        <w:tc>
          <w:tcPr>
            <w:tcW w:w="1304" w:type="dxa"/>
            <w:vAlign w:val="bottom"/>
          </w:tcPr>
          <w:p w14:paraId="24CF2AC3"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AA8303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14D87DD" w14:textId="77777777" w:rsidR="008E5DE4" w:rsidRDefault="008E5DE4">
            <w:pPr>
              <w:widowControl w:val="0"/>
              <w:pBdr>
                <w:top w:val="nil"/>
                <w:left w:val="nil"/>
                <w:bottom w:val="nil"/>
                <w:right w:val="nil"/>
                <w:between w:val="nil"/>
              </w:pBdr>
              <w:jc w:val="right"/>
              <w:rPr>
                <w:color w:val="000000"/>
              </w:rPr>
            </w:pPr>
          </w:p>
        </w:tc>
      </w:tr>
      <w:tr w:rsidR="008E5DE4" w14:paraId="09C085AF" w14:textId="77777777">
        <w:trPr>
          <w:cantSplit/>
        </w:trPr>
        <w:tc>
          <w:tcPr>
            <w:tcW w:w="4820" w:type="dxa"/>
            <w:vAlign w:val="bottom"/>
          </w:tcPr>
          <w:p w14:paraId="2ADC4041" w14:textId="77777777" w:rsidR="008E5DE4" w:rsidRDefault="00780368">
            <w:pPr>
              <w:widowControl w:val="0"/>
              <w:pBdr>
                <w:top w:val="nil"/>
                <w:left w:val="nil"/>
                <w:bottom w:val="nil"/>
                <w:right w:val="nil"/>
                <w:between w:val="nil"/>
              </w:pBdr>
              <w:ind w:left="113" w:right="-57" w:hanging="113"/>
              <w:rPr>
                <w:color w:val="000000"/>
              </w:rPr>
            </w:pPr>
            <w:r>
              <w:rPr>
                <w:color w:val="000000"/>
              </w:rPr>
              <w:t>Investments in associates and joint ventures accounted for using the equity method</w:t>
            </w:r>
          </w:p>
        </w:tc>
        <w:tc>
          <w:tcPr>
            <w:tcW w:w="680" w:type="dxa"/>
            <w:vAlign w:val="bottom"/>
          </w:tcPr>
          <w:p w14:paraId="5E99BE20" w14:textId="77777777" w:rsidR="008E5DE4" w:rsidRDefault="00780368">
            <w:pPr>
              <w:widowControl w:val="0"/>
              <w:pBdr>
                <w:top w:val="nil"/>
                <w:left w:val="nil"/>
                <w:bottom w:val="nil"/>
                <w:right w:val="nil"/>
                <w:between w:val="nil"/>
              </w:pBdr>
              <w:jc w:val="center"/>
              <w:rPr>
                <w:color w:val="000000"/>
              </w:rPr>
            </w:pPr>
            <w:r>
              <w:rPr>
                <w:color w:val="000000"/>
              </w:rPr>
              <w:t>14</w:t>
            </w:r>
          </w:p>
        </w:tc>
        <w:tc>
          <w:tcPr>
            <w:tcW w:w="1304" w:type="dxa"/>
            <w:vAlign w:val="bottom"/>
          </w:tcPr>
          <w:p w14:paraId="4B1FBA8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B438BE9"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95B2C56" w14:textId="77777777" w:rsidR="008E5DE4" w:rsidRDefault="008E5DE4">
            <w:pPr>
              <w:widowControl w:val="0"/>
              <w:pBdr>
                <w:top w:val="nil"/>
                <w:left w:val="nil"/>
                <w:bottom w:val="nil"/>
                <w:right w:val="nil"/>
                <w:between w:val="nil"/>
              </w:pBdr>
              <w:jc w:val="right"/>
              <w:rPr>
                <w:color w:val="000000"/>
              </w:rPr>
            </w:pPr>
          </w:p>
        </w:tc>
      </w:tr>
      <w:tr w:rsidR="008E5DE4" w14:paraId="48544157" w14:textId="77777777">
        <w:trPr>
          <w:cantSplit/>
        </w:trPr>
        <w:tc>
          <w:tcPr>
            <w:tcW w:w="4820" w:type="dxa"/>
            <w:vAlign w:val="bottom"/>
          </w:tcPr>
          <w:p w14:paraId="39D54505" w14:textId="77777777" w:rsidR="008E5DE4" w:rsidRDefault="00780368">
            <w:pPr>
              <w:widowControl w:val="0"/>
              <w:pBdr>
                <w:top w:val="nil"/>
                <w:left w:val="nil"/>
                <w:bottom w:val="nil"/>
                <w:right w:val="nil"/>
                <w:between w:val="nil"/>
              </w:pBdr>
              <w:ind w:right="-57"/>
              <w:rPr>
                <w:color w:val="000000"/>
              </w:rPr>
            </w:pPr>
            <w:r>
              <w:rPr>
                <w:color w:val="000000"/>
              </w:rPr>
              <w:t xml:space="preserve">Investments in debt securities </w:t>
            </w:r>
          </w:p>
        </w:tc>
        <w:tc>
          <w:tcPr>
            <w:tcW w:w="680" w:type="dxa"/>
            <w:vAlign w:val="bottom"/>
          </w:tcPr>
          <w:p w14:paraId="45C59E5E" w14:textId="77777777" w:rsidR="008E5DE4" w:rsidRDefault="00780368">
            <w:pPr>
              <w:widowControl w:val="0"/>
              <w:pBdr>
                <w:top w:val="nil"/>
                <w:left w:val="nil"/>
                <w:bottom w:val="nil"/>
                <w:right w:val="nil"/>
                <w:between w:val="nil"/>
              </w:pBdr>
              <w:jc w:val="center"/>
              <w:rPr>
                <w:color w:val="000000"/>
              </w:rPr>
            </w:pPr>
            <w:r>
              <w:rPr>
                <w:color w:val="000000"/>
              </w:rPr>
              <w:t>22</w:t>
            </w:r>
          </w:p>
        </w:tc>
        <w:tc>
          <w:tcPr>
            <w:tcW w:w="1304" w:type="dxa"/>
            <w:vAlign w:val="bottom"/>
          </w:tcPr>
          <w:p w14:paraId="495955EA"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341BCB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BF16FA2" w14:textId="77777777" w:rsidR="008E5DE4" w:rsidRDefault="008E5DE4">
            <w:pPr>
              <w:widowControl w:val="0"/>
              <w:pBdr>
                <w:top w:val="nil"/>
                <w:left w:val="nil"/>
                <w:bottom w:val="nil"/>
                <w:right w:val="nil"/>
                <w:between w:val="nil"/>
              </w:pBdr>
              <w:jc w:val="right"/>
              <w:rPr>
                <w:color w:val="000000"/>
              </w:rPr>
            </w:pPr>
          </w:p>
        </w:tc>
      </w:tr>
      <w:tr w:rsidR="008E5DE4" w14:paraId="71A7DFE2" w14:textId="77777777">
        <w:trPr>
          <w:cantSplit/>
        </w:trPr>
        <w:tc>
          <w:tcPr>
            <w:tcW w:w="4820" w:type="dxa"/>
            <w:vAlign w:val="bottom"/>
          </w:tcPr>
          <w:p w14:paraId="635B8CDF" w14:textId="77777777" w:rsidR="008E5DE4" w:rsidRDefault="00780368">
            <w:pPr>
              <w:widowControl w:val="0"/>
              <w:pBdr>
                <w:top w:val="nil"/>
                <w:left w:val="nil"/>
                <w:bottom w:val="nil"/>
                <w:right w:val="nil"/>
                <w:between w:val="nil"/>
              </w:pBdr>
              <w:ind w:right="-57"/>
              <w:rPr>
                <w:color w:val="000000"/>
              </w:rPr>
            </w:pPr>
            <w:r>
              <w:rPr>
                <w:color w:val="000000"/>
              </w:rPr>
              <w:t xml:space="preserve">Investments in equity securities </w:t>
            </w:r>
          </w:p>
        </w:tc>
        <w:tc>
          <w:tcPr>
            <w:tcW w:w="680" w:type="dxa"/>
            <w:vAlign w:val="bottom"/>
          </w:tcPr>
          <w:p w14:paraId="4A38359B" w14:textId="77777777" w:rsidR="008E5DE4" w:rsidRDefault="00780368">
            <w:pPr>
              <w:widowControl w:val="0"/>
              <w:pBdr>
                <w:top w:val="nil"/>
                <w:left w:val="nil"/>
                <w:bottom w:val="nil"/>
                <w:right w:val="nil"/>
                <w:between w:val="nil"/>
              </w:pBdr>
              <w:jc w:val="center"/>
              <w:rPr>
                <w:color w:val="000000"/>
              </w:rPr>
            </w:pPr>
            <w:r>
              <w:rPr>
                <w:color w:val="000000"/>
              </w:rPr>
              <w:t>23</w:t>
            </w:r>
          </w:p>
        </w:tc>
        <w:tc>
          <w:tcPr>
            <w:tcW w:w="1304" w:type="dxa"/>
            <w:vAlign w:val="bottom"/>
          </w:tcPr>
          <w:p w14:paraId="696D590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2FDDDC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030F807" w14:textId="77777777" w:rsidR="008E5DE4" w:rsidRDefault="008E5DE4">
            <w:pPr>
              <w:widowControl w:val="0"/>
              <w:pBdr>
                <w:top w:val="nil"/>
                <w:left w:val="nil"/>
                <w:bottom w:val="nil"/>
                <w:right w:val="nil"/>
                <w:between w:val="nil"/>
              </w:pBdr>
              <w:jc w:val="right"/>
              <w:rPr>
                <w:color w:val="000000"/>
              </w:rPr>
            </w:pPr>
          </w:p>
        </w:tc>
      </w:tr>
      <w:tr w:rsidR="008E5DE4" w14:paraId="32A632F3" w14:textId="77777777">
        <w:trPr>
          <w:cantSplit/>
        </w:trPr>
        <w:tc>
          <w:tcPr>
            <w:tcW w:w="4820" w:type="dxa"/>
            <w:vAlign w:val="bottom"/>
          </w:tcPr>
          <w:p w14:paraId="5044DBE9" w14:textId="77777777" w:rsidR="008E5DE4" w:rsidRDefault="00780368">
            <w:pPr>
              <w:widowControl w:val="0"/>
              <w:pBdr>
                <w:top w:val="nil"/>
                <w:left w:val="nil"/>
                <w:bottom w:val="nil"/>
                <w:right w:val="nil"/>
                <w:between w:val="nil"/>
              </w:pBdr>
              <w:ind w:right="-57"/>
              <w:rPr>
                <w:color w:val="000000"/>
              </w:rPr>
            </w:pPr>
            <w:r>
              <w:rPr>
                <w:color w:val="000000"/>
              </w:rPr>
              <w:t>Derivative assets</w:t>
            </w:r>
          </w:p>
        </w:tc>
        <w:tc>
          <w:tcPr>
            <w:tcW w:w="680" w:type="dxa"/>
            <w:vAlign w:val="bottom"/>
          </w:tcPr>
          <w:p w14:paraId="7CB556C7" w14:textId="77777777" w:rsidR="008E5DE4" w:rsidRDefault="00780368">
            <w:pPr>
              <w:widowControl w:val="0"/>
              <w:pBdr>
                <w:top w:val="nil"/>
                <w:left w:val="nil"/>
                <w:bottom w:val="nil"/>
                <w:right w:val="nil"/>
                <w:between w:val="nil"/>
              </w:pBdr>
              <w:jc w:val="center"/>
              <w:rPr>
                <w:color w:val="000000"/>
              </w:rPr>
            </w:pPr>
            <w:r>
              <w:rPr>
                <w:color w:val="000000"/>
              </w:rPr>
              <w:t>46</w:t>
            </w:r>
          </w:p>
        </w:tc>
        <w:tc>
          <w:tcPr>
            <w:tcW w:w="1304" w:type="dxa"/>
            <w:vAlign w:val="bottom"/>
          </w:tcPr>
          <w:p w14:paraId="53CF080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873D89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F4845B0" w14:textId="77777777" w:rsidR="008E5DE4" w:rsidRDefault="008E5DE4">
            <w:pPr>
              <w:widowControl w:val="0"/>
              <w:pBdr>
                <w:top w:val="nil"/>
                <w:left w:val="nil"/>
                <w:bottom w:val="nil"/>
                <w:right w:val="nil"/>
                <w:between w:val="nil"/>
              </w:pBdr>
              <w:jc w:val="right"/>
              <w:rPr>
                <w:color w:val="000000"/>
              </w:rPr>
            </w:pPr>
          </w:p>
        </w:tc>
      </w:tr>
      <w:tr w:rsidR="008E5DE4" w14:paraId="446E5490" w14:textId="77777777">
        <w:trPr>
          <w:cantSplit/>
        </w:trPr>
        <w:tc>
          <w:tcPr>
            <w:tcW w:w="4820" w:type="dxa"/>
            <w:vAlign w:val="bottom"/>
          </w:tcPr>
          <w:p w14:paraId="2CFD6F18" w14:textId="77777777" w:rsidR="008E5DE4" w:rsidRDefault="00780368">
            <w:pPr>
              <w:widowControl w:val="0"/>
              <w:pBdr>
                <w:top w:val="nil"/>
                <w:left w:val="nil"/>
                <w:bottom w:val="nil"/>
                <w:right w:val="nil"/>
                <w:between w:val="nil"/>
              </w:pBdr>
              <w:ind w:left="113" w:right="-57" w:hanging="113"/>
              <w:rPr>
                <w:color w:val="000000"/>
              </w:rPr>
            </w:pPr>
            <w:r>
              <w:rPr>
                <w:color w:val="000000"/>
              </w:rPr>
              <w:t>Deferred income tax assets</w:t>
            </w:r>
          </w:p>
        </w:tc>
        <w:tc>
          <w:tcPr>
            <w:tcW w:w="680" w:type="dxa"/>
            <w:vAlign w:val="bottom"/>
          </w:tcPr>
          <w:p w14:paraId="119BA4E4" w14:textId="77777777" w:rsidR="008E5DE4" w:rsidRDefault="00780368">
            <w:pPr>
              <w:widowControl w:val="0"/>
              <w:pBdr>
                <w:top w:val="nil"/>
                <w:left w:val="nil"/>
                <w:bottom w:val="nil"/>
                <w:right w:val="nil"/>
                <w:between w:val="nil"/>
              </w:pBdr>
              <w:jc w:val="center"/>
              <w:rPr>
                <w:color w:val="000000"/>
              </w:rPr>
            </w:pPr>
            <w:r>
              <w:rPr>
                <w:color w:val="000000"/>
              </w:rPr>
              <w:t>39</w:t>
            </w:r>
          </w:p>
        </w:tc>
        <w:tc>
          <w:tcPr>
            <w:tcW w:w="1304" w:type="dxa"/>
            <w:vAlign w:val="bottom"/>
          </w:tcPr>
          <w:p w14:paraId="1B11890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AC1E4D3"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B7436FD" w14:textId="77777777" w:rsidR="008E5DE4" w:rsidRDefault="008E5DE4">
            <w:pPr>
              <w:widowControl w:val="0"/>
              <w:pBdr>
                <w:top w:val="nil"/>
                <w:left w:val="nil"/>
                <w:bottom w:val="nil"/>
                <w:right w:val="nil"/>
                <w:between w:val="nil"/>
              </w:pBdr>
              <w:jc w:val="right"/>
              <w:rPr>
                <w:color w:val="000000"/>
              </w:rPr>
            </w:pPr>
          </w:p>
        </w:tc>
      </w:tr>
      <w:tr w:rsidR="008E5DE4" w14:paraId="348278F6" w14:textId="77777777">
        <w:trPr>
          <w:cantSplit/>
        </w:trPr>
        <w:tc>
          <w:tcPr>
            <w:tcW w:w="4820" w:type="dxa"/>
            <w:vAlign w:val="bottom"/>
          </w:tcPr>
          <w:p w14:paraId="57AEEB2F" w14:textId="77777777" w:rsidR="008E5DE4" w:rsidRDefault="00780368">
            <w:pPr>
              <w:widowControl w:val="0"/>
              <w:pBdr>
                <w:top w:val="nil"/>
                <w:left w:val="nil"/>
                <w:bottom w:val="nil"/>
                <w:right w:val="nil"/>
                <w:between w:val="nil"/>
              </w:pBdr>
              <w:ind w:left="113" w:right="-57" w:hanging="113"/>
              <w:rPr>
                <w:color w:val="000000"/>
              </w:rPr>
            </w:pPr>
            <w:r>
              <w:rPr>
                <w:color w:val="000000"/>
              </w:rPr>
              <w:t>Finance lease receivables</w:t>
            </w:r>
          </w:p>
        </w:tc>
        <w:tc>
          <w:tcPr>
            <w:tcW w:w="680" w:type="dxa"/>
            <w:vAlign w:val="bottom"/>
          </w:tcPr>
          <w:p w14:paraId="6C813FDD" w14:textId="77777777" w:rsidR="008E5DE4" w:rsidRDefault="00780368">
            <w:pPr>
              <w:widowControl w:val="0"/>
              <w:pBdr>
                <w:top w:val="nil"/>
                <w:left w:val="nil"/>
                <w:bottom w:val="nil"/>
                <w:right w:val="nil"/>
                <w:between w:val="nil"/>
              </w:pBdr>
              <w:jc w:val="center"/>
              <w:rPr>
                <w:color w:val="000000"/>
              </w:rPr>
            </w:pPr>
            <w:r>
              <w:rPr>
                <w:color w:val="000000"/>
              </w:rPr>
              <w:t>15</w:t>
            </w:r>
          </w:p>
        </w:tc>
        <w:tc>
          <w:tcPr>
            <w:tcW w:w="1304" w:type="dxa"/>
            <w:vAlign w:val="bottom"/>
          </w:tcPr>
          <w:p w14:paraId="357C00AA"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1324B8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1877439" w14:textId="77777777" w:rsidR="008E5DE4" w:rsidRDefault="008E5DE4">
            <w:pPr>
              <w:widowControl w:val="0"/>
              <w:pBdr>
                <w:top w:val="nil"/>
                <w:left w:val="nil"/>
                <w:bottom w:val="nil"/>
                <w:right w:val="nil"/>
                <w:between w:val="nil"/>
              </w:pBdr>
              <w:jc w:val="right"/>
              <w:rPr>
                <w:color w:val="000000"/>
              </w:rPr>
            </w:pPr>
          </w:p>
        </w:tc>
      </w:tr>
      <w:tr w:rsidR="008E5DE4" w14:paraId="5B63FDCA" w14:textId="77777777">
        <w:trPr>
          <w:cantSplit/>
        </w:trPr>
        <w:tc>
          <w:tcPr>
            <w:tcW w:w="4820" w:type="dxa"/>
            <w:vAlign w:val="bottom"/>
          </w:tcPr>
          <w:p w14:paraId="0C674F6F" w14:textId="77777777" w:rsidR="008E5DE4" w:rsidRDefault="00780368">
            <w:pPr>
              <w:widowControl w:val="0"/>
              <w:pBdr>
                <w:top w:val="nil"/>
                <w:left w:val="nil"/>
                <w:bottom w:val="nil"/>
                <w:right w:val="nil"/>
                <w:between w:val="nil"/>
              </w:pBdr>
              <w:ind w:left="113" w:right="-57" w:hanging="113"/>
              <w:rPr>
                <w:color w:val="000000"/>
              </w:rPr>
            </w:pPr>
            <w:r>
              <w:rPr>
                <w:color w:val="000000"/>
              </w:rPr>
              <w:t>Loans issued</w:t>
            </w:r>
          </w:p>
        </w:tc>
        <w:tc>
          <w:tcPr>
            <w:tcW w:w="680" w:type="dxa"/>
            <w:vAlign w:val="bottom"/>
          </w:tcPr>
          <w:p w14:paraId="725F1589" w14:textId="77777777" w:rsidR="008E5DE4" w:rsidRDefault="00780368">
            <w:pPr>
              <w:widowControl w:val="0"/>
              <w:pBdr>
                <w:top w:val="nil"/>
                <w:left w:val="nil"/>
                <w:bottom w:val="nil"/>
                <w:right w:val="nil"/>
                <w:between w:val="nil"/>
              </w:pBdr>
              <w:jc w:val="center"/>
              <w:rPr>
                <w:color w:val="000000"/>
              </w:rPr>
            </w:pPr>
            <w:r>
              <w:rPr>
                <w:color w:val="000000"/>
              </w:rPr>
              <w:t>16</w:t>
            </w:r>
          </w:p>
        </w:tc>
        <w:tc>
          <w:tcPr>
            <w:tcW w:w="1304" w:type="dxa"/>
            <w:vAlign w:val="bottom"/>
          </w:tcPr>
          <w:p w14:paraId="44CA1C29"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8A7203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E8CD213" w14:textId="77777777" w:rsidR="008E5DE4" w:rsidRDefault="008E5DE4">
            <w:pPr>
              <w:widowControl w:val="0"/>
              <w:pBdr>
                <w:top w:val="nil"/>
                <w:left w:val="nil"/>
                <w:bottom w:val="nil"/>
                <w:right w:val="nil"/>
                <w:between w:val="nil"/>
              </w:pBdr>
              <w:jc w:val="right"/>
              <w:rPr>
                <w:color w:val="000000"/>
              </w:rPr>
            </w:pPr>
          </w:p>
        </w:tc>
      </w:tr>
      <w:tr w:rsidR="008E5DE4" w14:paraId="47C998F6" w14:textId="77777777">
        <w:trPr>
          <w:cantSplit/>
        </w:trPr>
        <w:tc>
          <w:tcPr>
            <w:tcW w:w="4820" w:type="dxa"/>
            <w:vAlign w:val="bottom"/>
          </w:tcPr>
          <w:p w14:paraId="260C14E3" w14:textId="77777777" w:rsidR="008E5DE4" w:rsidRDefault="00780368">
            <w:pPr>
              <w:widowControl w:val="0"/>
              <w:pBdr>
                <w:top w:val="nil"/>
                <w:left w:val="nil"/>
                <w:bottom w:val="nil"/>
                <w:right w:val="nil"/>
                <w:between w:val="nil"/>
              </w:pBdr>
              <w:ind w:left="113" w:right="-57" w:hanging="113"/>
              <w:rPr>
                <w:color w:val="000000"/>
              </w:rPr>
            </w:pPr>
            <w:r>
              <w:rPr>
                <w:color w:val="000000"/>
              </w:rPr>
              <w:t>Other non-current assets</w:t>
            </w:r>
          </w:p>
        </w:tc>
        <w:tc>
          <w:tcPr>
            <w:tcW w:w="680" w:type="dxa"/>
            <w:vAlign w:val="bottom"/>
          </w:tcPr>
          <w:p w14:paraId="388A0E86" w14:textId="77777777" w:rsidR="008E5DE4" w:rsidRDefault="00780368">
            <w:pPr>
              <w:widowControl w:val="0"/>
              <w:pBdr>
                <w:top w:val="nil"/>
                <w:left w:val="nil"/>
                <w:bottom w:val="nil"/>
                <w:right w:val="nil"/>
                <w:between w:val="nil"/>
              </w:pBdr>
              <w:jc w:val="center"/>
              <w:rPr>
                <w:color w:val="000000"/>
              </w:rPr>
            </w:pPr>
            <w:r>
              <w:rPr>
                <w:color w:val="000000"/>
              </w:rPr>
              <w:t>17</w:t>
            </w:r>
          </w:p>
        </w:tc>
        <w:tc>
          <w:tcPr>
            <w:tcW w:w="1304" w:type="dxa"/>
            <w:vAlign w:val="bottom"/>
          </w:tcPr>
          <w:p w14:paraId="235BFE2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B31DEF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3442197" w14:textId="77777777" w:rsidR="008E5DE4" w:rsidRDefault="008E5DE4">
            <w:pPr>
              <w:widowControl w:val="0"/>
              <w:pBdr>
                <w:top w:val="nil"/>
                <w:left w:val="nil"/>
                <w:bottom w:val="nil"/>
                <w:right w:val="nil"/>
                <w:between w:val="nil"/>
              </w:pBdr>
              <w:jc w:val="right"/>
              <w:rPr>
                <w:color w:val="000000"/>
              </w:rPr>
            </w:pPr>
          </w:p>
        </w:tc>
      </w:tr>
      <w:tr w:rsidR="008E5DE4" w14:paraId="5F379D35" w14:textId="77777777">
        <w:trPr>
          <w:cantSplit/>
        </w:trPr>
        <w:tc>
          <w:tcPr>
            <w:tcW w:w="4820" w:type="dxa"/>
            <w:tcBorders>
              <w:bottom w:val="single" w:sz="4" w:space="0" w:color="000000"/>
            </w:tcBorders>
            <w:vAlign w:val="bottom"/>
          </w:tcPr>
          <w:p w14:paraId="1BFDFFE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tcBorders>
              <w:bottom w:val="single" w:sz="4" w:space="0" w:color="000000"/>
            </w:tcBorders>
            <w:vAlign w:val="bottom"/>
          </w:tcPr>
          <w:p w14:paraId="7A4F9915" w14:textId="77777777" w:rsidR="008E5DE4" w:rsidRDefault="008E5DE4">
            <w:pPr>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5AB0BC1B"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492D2CDA"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651E8740" w14:textId="77777777" w:rsidR="008E5DE4" w:rsidRDefault="008E5DE4">
            <w:pPr>
              <w:widowControl w:val="0"/>
              <w:pBdr>
                <w:top w:val="nil"/>
                <w:left w:val="nil"/>
                <w:bottom w:val="nil"/>
                <w:right w:val="nil"/>
                <w:between w:val="nil"/>
              </w:pBdr>
              <w:jc w:val="right"/>
              <w:rPr>
                <w:color w:val="000000"/>
              </w:rPr>
            </w:pPr>
          </w:p>
        </w:tc>
      </w:tr>
      <w:tr w:rsidR="008E5DE4" w14:paraId="4C6A54DB" w14:textId="77777777">
        <w:trPr>
          <w:cantSplit/>
        </w:trPr>
        <w:tc>
          <w:tcPr>
            <w:tcW w:w="4820" w:type="dxa"/>
            <w:vAlign w:val="bottom"/>
          </w:tcPr>
          <w:p w14:paraId="7396D6D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vAlign w:val="bottom"/>
          </w:tcPr>
          <w:p w14:paraId="7CBDC99A"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17EC19C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7A49784"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05588B4" w14:textId="77777777" w:rsidR="008E5DE4" w:rsidRDefault="008E5DE4">
            <w:pPr>
              <w:widowControl w:val="0"/>
              <w:pBdr>
                <w:top w:val="nil"/>
                <w:left w:val="nil"/>
                <w:bottom w:val="nil"/>
                <w:right w:val="nil"/>
                <w:between w:val="nil"/>
              </w:pBdr>
              <w:jc w:val="right"/>
              <w:rPr>
                <w:color w:val="000000"/>
              </w:rPr>
            </w:pPr>
          </w:p>
        </w:tc>
      </w:tr>
      <w:tr w:rsidR="008E5DE4" w14:paraId="063F499E" w14:textId="77777777">
        <w:trPr>
          <w:cantSplit/>
        </w:trPr>
        <w:tc>
          <w:tcPr>
            <w:tcW w:w="4820" w:type="dxa"/>
            <w:vAlign w:val="bottom"/>
          </w:tcPr>
          <w:p w14:paraId="26462BE1"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non-current assets</w:t>
            </w:r>
          </w:p>
        </w:tc>
        <w:tc>
          <w:tcPr>
            <w:tcW w:w="680" w:type="dxa"/>
            <w:vAlign w:val="bottom"/>
          </w:tcPr>
          <w:p w14:paraId="6D0E13CD"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501AA119"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8A31F3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4F1405F" w14:textId="77777777" w:rsidR="008E5DE4" w:rsidRDefault="008E5DE4">
            <w:pPr>
              <w:widowControl w:val="0"/>
              <w:pBdr>
                <w:top w:val="nil"/>
                <w:left w:val="nil"/>
                <w:bottom w:val="nil"/>
                <w:right w:val="nil"/>
                <w:between w:val="nil"/>
              </w:pBdr>
              <w:jc w:val="right"/>
              <w:rPr>
                <w:color w:val="000000"/>
              </w:rPr>
            </w:pPr>
          </w:p>
        </w:tc>
      </w:tr>
      <w:tr w:rsidR="008E5DE4" w14:paraId="73B2D08E" w14:textId="77777777">
        <w:trPr>
          <w:cantSplit/>
        </w:trPr>
        <w:tc>
          <w:tcPr>
            <w:tcW w:w="4820" w:type="dxa"/>
            <w:tcBorders>
              <w:bottom w:val="single" w:sz="4" w:space="0" w:color="000000"/>
            </w:tcBorders>
            <w:vAlign w:val="bottom"/>
          </w:tcPr>
          <w:p w14:paraId="44F7E25A"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680" w:type="dxa"/>
            <w:tcBorders>
              <w:bottom w:val="single" w:sz="4" w:space="0" w:color="000000"/>
            </w:tcBorders>
            <w:vAlign w:val="bottom"/>
          </w:tcPr>
          <w:p w14:paraId="74B37A1F" w14:textId="77777777" w:rsidR="008E5DE4" w:rsidRDefault="008E5DE4">
            <w:pPr>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2460F8E4"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3738FF99"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20B24FF9" w14:textId="77777777" w:rsidR="008E5DE4" w:rsidRDefault="008E5DE4">
            <w:pPr>
              <w:widowControl w:val="0"/>
              <w:pBdr>
                <w:top w:val="nil"/>
                <w:left w:val="nil"/>
                <w:bottom w:val="nil"/>
                <w:right w:val="nil"/>
                <w:between w:val="nil"/>
              </w:pBdr>
              <w:jc w:val="right"/>
              <w:rPr>
                <w:color w:val="000000"/>
              </w:rPr>
            </w:pPr>
          </w:p>
        </w:tc>
      </w:tr>
      <w:tr w:rsidR="008E5DE4" w14:paraId="18CCCA6A" w14:textId="77777777">
        <w:trPr>
          <w:cantSplit/>
        </w:trPr>
        <w:tc>
          <w:tcPr>
            <w:tcW w:w="4820" w:type="dxa"/>
            <w:tcBorders>
              <w:top w:val="single" w:sz="4" w:space="0" w:color="000000"/>
            </w:tcBorders>
            <w:vAlign w:val="bottom"/>
          </w:tcPr>
          <w:p w14:paraId="2DF7D44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tcBorders>
              <w:top w:val="single" w:sz="4" w:space="0" w:color="000000"/>
            </w:tcBorders>
            <w:vAlign w:val="bottom"/>
          </w:tcPr>
          <w:p w14:paraId="17971823" w14:textId="77777777" w:rsidR="008E5DE4" w:rsidRDefault="008E5DE4">
            <w:pPr>
              <w:widowControl w:val="0"/>
              <w:pBdr>
                <w:top w:val="nil"/>
                <w:left w:val="nil"/>
                <w:bottom w:val="nil"/>
                <w:right w:val="nil"/>
                <w:between w:val="nil"/>
              </w:pBdr>
              <w:jc w:val="center"/>
              <w:rPr>
                <w:color w:val="000000"/>
              </w:rPr>
            </w:pPr>
          </w:p>
        </w:tc>
        <w:tc>
          <w:tcPr>
            <w:tcW w:w="1304" w:type="dxa"/>
            <w:tcBorders>
              <w:top w:val="single" w:sz="4" w:space="0" w:color="000000"/>
            </w:tcBorders>
            <w:vAlign w:val="bottom"/>
          </w:tcPr>
          <w:p w14:paraId="1A85AB9E"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15158905"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76363644" w14:textId="77777777" w:rsidR="008E5DE4" w:rsidRDefault="008E5DE4">
            <w:pPr>
              <w:widowControl w:val="0"/>
              <w:pBdr>
                <w:top w:val="nil"/>
                <w:left w:val="nil"/>
                <w:bottom w:val="nil"/>
                <w:right w:val="nil"/>
                <w:between w:val="nil"/>
              </w:pBdr>
              <w:jc w:val="right"/>
              <w:rPr>
                <w:color w:val="000000"/>
              </w:rPr>
            </w:pPr>
          </w:p>
        </w:tc>
      </w:tr>
      <w:tr w:rsidR="008E5DE4" w14:paraId="4E00F68A" w14:textId="77777777">
        <w:trPr>
          <w:cantSplit/>
        </w:trPr>
        <w:tc>
          <w:tcPr>
            <w:tcW w:w="4820" w:type="dxa"/>
            <w:vAlign w:val="bottom"/>
          </w:tcPr>
          <w:p w14:paraId="037DF3CB" w14:textId="77777777" w:rsidR="008E5DE4" w:rsidRDefault="00780368">
            <w:pPr>
              <w:widowControl w:val="0"/>
              <w:pBdr>
                <w:top w:val="nil"/>
                <w:left w:val="nil"/>
                <w:bottom w:val="nil"/>
                <w:right w:val="nil"/>
                <w:between w:val="nil"/>
              </w:pBdr>
              <w:ind w:left="113" w:right="-57" w:hanging="113"/>
              <w:rPr>
                <w:b/>
                <w:color w:val="000000"/>
              </w:rPr>
            </w:pPr>
            <w:r>
              <w:rPr>
                <w:b/>
                <w:color w:val="000000"/>
              </w:rPr>
              <w:t>Current assets</w:t>
            </w:r>
          </w:p>
        </w:tc>
        <w:tc>
          <w:tcPr>
            <w:tcW w:w="680" w:type="dxa"/>
            <w:vAlign w:val="bottom"/>
          </w:tcPr>
          <w:p w14:paraId="11FE5777"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656E23D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D62682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3430AC5" w14:textId="77777777" w:rsidR="008E5DE4" w:rsidRDefault="008E5DE4">
            <w:pPr>
              <w:widowControl w:val="0"/>
              <w:pBdr>
                <w:top w:val="nil"/>
                <w:left w:val="nil"/>
                <w:bottom w:val="nil"/>
                <w:right w:val="nil"/>
                <w:between w:val="nil"/>
              </w:pBdr>
              <w:jc w:val="right"/>
              <w:rPr>
                <w:color w:val="000000"/>
              </w:rPr>
            </w:pPr>
          </w:p>
        </w:tc>
      </w:tr>
      <w:tr w:rsidR="008E5DE4" w14:paraId="6D9E3EE5" w14:textId="77777777">
        <w:trPr>
          <w:cantSplit/>
        </w:trPr>
        <w:tc>
          <w:tcPr>
            <w:tcW w:w="4820" w:type="dxa"/>
            <w:vAlign w:val="bottom"/>
          </w:tcPr>
          <w:p w14:paraId="15FEF735" w14:textId="77777777" w:rsidR="008E5DE4" w:rsidRDefault="00780368">
            <w:pPr>
              <w:widowControl w:val="0"/>
              <w:pBdr>
                <w:top w:val="nil"/>
                <w:left w:val="nil"/>
                <w:bottom w:val="nil"/>
                <w:right w:val="nil"/>
                <w:between w:val="nil"/>
              </w:pBdr>
              <w:ind w:left="113" w:right="-57" w:hanging="113"/>
              <w:rPr>
                <w:color w:val="000000"/>
              </w:rPr>
            </w:pPr>
            <w:r>
              <w:rPr>
                <w:color w:val="000000"/>
              </w:rPr>
              <w:t>Biological assets</w:t>
            </w:r>
          </w:p>
        </w:tc>
        <w:tc>
          <w:tcPr>
            <w:tcW w:w="680" w:type="dxa"/>
            <w:vAlign w:val="bottom"/>
          </w:tcPr>
          <w:p w14:paraId="715E7562" w14:textId="77777777" w:rsidR="008E5DE4" w:rsidRDefault="00780368">
            <w:pPr>
              <w:widowControl w:val="0"/>
              <w:pBdr>
                <w:top w:val="nil"/>
                <w:left w:val="nil"/>
                <w:bottom w:val="nil"/>
                <w:right w:val="nil"/>
                <w:between w:val="nil"/>
              </w:pBdr>
              <w:jc w:val="center"/>
              <w:rPr>
                <w:color w:val="000000"/>
              </w:rPr>
            </w:pPr>
            <w:r>
              <w:rPr>
                <w:color w:val="000000"/>
              </w:rPr>
              <w:t>18</w:t>
            </w:r>
          </w:p>
        </w:tc>
        <w:tc>
          <w:tcPr>
            <w:tcW w:w="1304" w:type="dxa"/>
            <w:vAlign w:val="bottom"/>
          </w:tcPr>
          <w:p w14:paraId="4FCA153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69D502D"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C199CB9" w14:textId="77777777" w:rsidR="008E5DE4" w:rsidRDefault="008E5DE4">
            <w:pPr>
              <w:widowControl w:val="0"/>
              <w:pBdr>
                <w:top w:val="nil"/>
                <w:left w:val="nil"/>
                <w:bottom w:val="nil"/>
                <w:right w:val="nil"/>
                <w:between w:val="nil"/>
              </w:pBdr>
              <w:jc w:val="right"/>
              <w:rPr>
                <w:color w:val="000000"/>
              </w:rPr>
            </w:pPr>
          </w:p>
        </w:tc>
      </w:tr>
      <w:tr w:rsidR="008E5DE4" w14:paraId="51DFC04F" w14:textId="77777777">
        <w:trPr>
          <w:cantSplit/>
        </w:trPr>
        <w:tc>
          <w:tcPr>
            <w:tcW w:w="4820" w:type="dxa"/>
            <w:vAlign w:val="bottom"/>
          </w:tcPr>
          <w:p w14:paraId="6ADFC14A" w14:textId="77777777" w:rsidR="008E5DE4" w:rsidRDefault="00780368">
            <w:pPr>
              <w:widowControl w:val="0"/>
              <w:pBdr>
                <w:top w:val="nil"/>
                <w:left w:val="nil"/>
                <w:bottom w:val="nil"/>
                <w:right w:val="nil"/>
                <w:between w:val="nil"/>
              </w:pBdr>
              <w:ind w:left="113" w:right="-57" w:hanging="113"/>
              <w:rPr>
                <w:color w:val="000000"/>
              </w:rPr>
            </w:pPr>
            <w:r>
              <w:rPr>
                <w:color w:val="000000"/>
              </w:rPr>
              <w:t>Inventories</w:t>
            </w:r>
          </w:p>
        </w:tc>
        <w:tc>
          <w:tcPr>
            <w:tcW w:w="680" w:type="dxa"/>
            <w:vAlign w:val="bottom"/>
          </w:tcPr>
          <w:p w14:paraId="25071584" w14:textId="77777777" w:rsidR="008E5DE4" w:rsidRDefault="00780368">
            <w:pPr>
              <w:widowControl w:val="0"/>
              <w:pBdr>
                <w:top w:val="nil"/>
                <w:left w:val="nil"/>
                <w:bottom w:val="nil"/>
                <w:right w:val="nil"/>
                <w:between w:val="nil"/>
              </w:pBdr>
              <w:jc w:val="center"/>
              <w:rPr>
                <w:color w:val="000000"/>
              </w:rPr>
            </w:pPr>
            <w:r>
              <w:rPr>
                <w:color w:val="000000"/>
              </w:rPr>
              <w:t>19</w:t>
            </w:r>
          </w:p>
        </w:tc>
        <w:tc>
          <w:tcPr>
            <w:tcW w:w="1304" w:type="dxa"/>
            <w:vAlign w:val="bottom"/>
          </w:tcPr>
          <w:p w14:paraId="1BD1368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424CCA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2CB0731" w14:textId="77777777" w:rsidR="008E5DE4" w:rsidRDefault="008E5DE4">
            <w:pPr>
              <w:widowControl w:val="0"/>
              <w:pBdr>
                <w:top w:val="nil"/>
                <w:left w:val="nil"/>
                <w:bottom w:val="nil"/>
                <w:right w:val="nil"/>
                <w:between w:val="nil"/>
              </w:pBdr>
              <w:jc w:val="right"/>
              <w:rPr>
                <w:color w:val="000000"/>
              </w:rPr>
            </w:pPr>
          </w:p>
        </w:tc>
      </w:tr>
      <w:tr w:rsidR="008E5DE4" w14:paraId="341E7BD5" w14:textId="77777777">
        <w:trPr>
          <w:cantSplit/>
        </w:trPr>
        <w:tc>
          <w:tcPr>
            <w:tcW w:w="4820" w:type="dxa"/>
            <w:vAlign w:val="bottom"/>
          </w:tcPr>
          <w:p w14:paraId="0FE18AEB" w14:textId="77777777" w:rsidR="008E5DE4" w:rsidRDefault="00780368">
            <w:pPr>
              <w:widowControl w:val="0"/>
              <w:pBdr>
                <w:top w:val="nil"/>
                <w:left w:val="nil"/>
                <w:bottom w:val="nil"/>
                <w:right w:val="nil"/>
                <w:between w:val="nil"/>
              </w:pBdr>
              <w:ind w:left="113" w:right="-57" w:hanging="113"/>
              <w:rPr>
                <w:color w:val="000000"/>
              </w:rPr>
            </w:pPr>
            <w:r>
              <w:rPr>
                <w:color w:val="000000"/>
              </w:rPr>
              <w:t>Trade and other receivables</w:t>
            </w:r>
          </w:p>
        </w:tc>
        <w:tc>
          <w:tcPr>
            <w:tcW w:w="680" w:type="dxa"/>
            <w:vAlign w:val="bottom"/>
          </w:tcPr>
          <w:p w14:paraId="5A9B0248" w14:textId="77777777" w:rsidR="008E5DE4" w:rsidRDefault="00780368">
            <w:pPr>
              <w:widowControl w:val="0"/>
              <w:pBdr>
                <w:top w:val="nil"/>
                <w:left w:val="nil"/>
                <w:bottom w:val="nil"/>
                <w:right w:val="nil"/>
                <w:between w:val="nil"/>
              </w:pBdr>
              <w:jc w:val="center"/>
              <w:rPr>
                <w:color w:val="000000"/>
              </w:rPr>
            </w:pPr>
            <w:r>
              <w:rPr>
                <w:color w:val="000000"/>
              </w:rPr>
              <w:t>20</w:t>
            </w:r>
          </w:p>
        </w:tc>
        <w:tc>
          <w:tcPr>
            <w:tcW w:w="1304" w:type="dxa"/>
            <w:vAlign w:val="bottom"/>
          </w:tcPr>
          <w:p w14:paraId="07B364BE"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82C85A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F10D740" w14:textId="77777777" w:rsidR="008E5DE4" w:rsidRDefault="008E5DE4">
            <w:pPr>
              <w:widowControl w:val="0"/>
              <w:pBdr>
                <w:top w:val="nil"/>
                <w:left w:val="nil"/>
                <w:bottom w:val="nil"/>
                <w:right w:val="nil"/>
                <w:between w:val="nil"/>
              </w:pBdr>
              <w:jc w:val="right"/>
              <w:rPr>
                <w:color w:val="000000"/>
              </w:rPr>
            </w:pPr>
          </w:p>
        </w:tc>
      </w:tr>
      <w:tr w:rsidR="008E5DE4" w14:paraId="5C0344B7" w14:textId="77777777">
        <w:trPr>
          <w:cantSplit/>
        </w:trPr>
        <w:tc>
          <w:tcPr>
            <w:tcW w:w="4820" w:type="dxa"/>
            <w:vAlign w:val="bottom"/>
          </w:tcPr>
          <w:p w14:paraId="10815C1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Contract assets </w:t>
            </w:r>
          </w:p>
        </w:tc>
        <w:tc>
          <w:tcPr>
            <w:tcW w:w="680" w:type="dxa"/>
            <w:vAlign w:val="bottom"/>
          </w:tcPr>
          <w:p w14:paraId="4DB6C3A8" w14:textId="77777777" w:rsidR="008E5DE4" w:rsidRDefault="00780368">
            <w:pPr>
              <w:widowControl w:val="0"/>
              <w:pBdr>
                <w:top w:val="nil"/>
                <w:left w:val="nil"/>
                <w:bottom w:val="nil"/>
                <w:right w:val="nil"/>
                <w:between w:val="nil"/>
              </w:pBdr>
              <w:jc w:val="center"/>
              <w:rPr>
                <w:color w:val="000000"/>
              </w:rPr>
            </w:pPr>
            <w:r>
              <w:rPr>
                <w:color w:val="000000"/>
              </w:rPr>
              <w:t>21</w:t>
            </w:r>
          </w:p>
        </w:tc>
        <w:tc>
          <w:tcPr>
            <w:tcW w:w="1304" w:type="dxa"/>
            <w:vAlign w:val="bottom"/>
          </w:tcPr>
          <w:p w14:paraId="777CF40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FAB5F68"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C77D3C0" w14:textId="77777777" w:rsidR="008E5DE4" w:rsidRDefault="008E5DE4">
            <w:pPr>
              <w:widowControl w:val="0"/>
              <w:pBdr>
                <w:top w:val="nil"/>
                <w:left w:val="nil"/>
                <w:bottom w:val="nil"/>
                <w:right w:val="nil"/>
                <w:between w:val="nil"/>
              </w:pBdr>
              <w:jc w:val="right"/>
              <w:rPr>
                <w:color w:val="000000"/>
              </w:rPr>
            </w:pPr>
          </w:p>
        </w:tc>
      </w:tr>
      <w:tr w:rsidR="008E5DE4" w14:paraId="4CEBD921" w14:textId="77777777">
        <w:trPr>
          <w:cantSplit/>
        </w:trPr>
        <w:tc>
          <w:tcPr>
            <w:tcW w:w="4820" w:type="dxa"/>
            <w:vAlign w:val="bottom"/>
          </w:tcPr>
          <w:p w14:paraId="047003C4" w14:textId="77777777" w:rsidR="008E5DE4" w:rsidRDefault="00780368">
            <w:pPr>
              <w:widowControl w:val="0"/>
              <w:pBdr>
                <w:top w:val="nil"/>
                <w:left w:val="nil"/>
                <w:bottom w:val="nil"/>
                <w:right w:val="nil"/>
                <w:between w:val="nil"/>
              </w:pBdr>
              <w:ind w:left="113" w:right="-57" w:hanging="113"/>
              <w:rPr>
                <w:color w:val="000000"/>
              </w:rPr>
            </w:pPr>
            <w:r>
              <w:rPr>
                <w:color w:val="000000"/>
              </w:rPr>
              <w:t>Derivative assets</w:t>
            </w:r>
          </w:p>
        </w:tc>
        <w:tc>
          <w:tcPr>
            <w:tcW w:w="680" w:type="dxa"/>
            <w:vAlign w:val="bottom"/>
          </w:tcPr>
          <w:p w14:paraId="584D1D2A" w14:textId="77777777" w:rsidR="008E5DE4" w:rsidRDefault="00780368">
            <w:pPr>
              <w:widowControl w:val="0"/>
              <w:pBdr>
                <w:top w:val="nil"/>
                <w:left w:val="nil"/>
                <w:bottom w:val="nil"/>
                <w:right w:val="nil"/>
                <w:between w:val="nil"/>
              </w:pBdr>
              <w:jc w:val="center"/>
              <w:rPr>
                <w:color w:val="000000"/>
              </w:rPr>
            </w:pPr>
            <w:r>
              <w:rPr>
                <w:color w:val="000000"/>
              </w:rPr>
              <w:t>46</w:t>
            </w:r>
          </w:p>
        </w:tc>
        <w:tc>
          <w:tcPr>
            <w:tcW w:w="1304" w:type="dxa"/>
            <w:vAlign w:val="bottom"/>
          </w:tcPr>
          <w:p w14:paraId="2164BF7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112A8C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3E0AA23" w14:textId="77777777" w:rsidR="008E5DE4" w:rsidRDefault="008E5DE4">
            <w:pPr>
              <w:widowControl w:val="0"/>
              <w:pBdr>
                <w:top w:val="nil"/>
                <w:left w:val="nil"/>
                <w:bottom w:val="nil"/>
                <w:right w:val="nil"/>
                <w:between w:val="nil"/>
              </w:pBdr>
              <w:jc w:val="right"/>
              <w:rPr>
                <w:color w:val="000000"/>
              </w:rPr>
            </w:pPr>
          </w:p>
        </w:tc>
      </w:tr>
      <w:tr w:rsidR="008E5DE4" w14:paraId="651CF579" w14:textId="77777777">
        <w:trPr>
          <w:cantSplit/>
        </w:trPr>
        <w:tc>
          <w:tcPr>
            <w:tcW w:w="4820" w:type="dxa"/>
            <w:vAlign w:val="bottom"/>
          </w:tcPr>
          <w:p w14:paraId="0EF5ADB8" w14:textId="77777777" w:rsidR="008E5DE4" w:rsidRDefault="00780368">
            <w:pPr>
              <w:widowControl w:val="0"/>
              <w:pBdr>
                <w:top w:val="nil"/>
                <w:left w:val="nil"/>
                <w:bottom w:val="nil"/>
                <w:right w:val="nil"/>
                <w:between w:val="nil"/>
              </w:pBdr>
              <w:ind w:left="113" w:right="-57" w:hanging="113"/>
              <w:rPr>
                <w:color w:val="000000"/>
              </w:rPr>
            </w:pPr>
            <w:r>
              <w:rPr>
                <w:color w:val="000000"/>
              </w:rPr>
              <w:t>Other tax receivables</w:t>
            </w:r>
          </w:p>
        </w:tc>
        <w:tc>
          <w:tcPr>
            <w:tcW w:w="680" w:type="dxa"/>
            <w:vAlign w:val="bottom"/>
          </w:tcPr>
          <w:p w14:paraId="02162073"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25E77C8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CA0E29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322B240" w14:textId="77777777" w:rsidR="008E5DE4" w:rsidRDefault="008E5DE4">
            <w:pPr>
              <w:widowControl w:val="0"/>
              <w:pBdr>
                <w:top w:val="nil"/>
                <w:left w:val="nil"/>
                <w:bottom w:val="nil"/>
                <w:right w:val="nil"/>
                <w:between w:val="nil"/>
              </w:pBdr>
              <w:jc w:val="right"/>
              <w:rPr>
                <w:color w:val="000000"/>
              </w:rPr>
            </w:pPr>
          </w:p>
        </w:tc>
      </w:tr>
      <w:tr w:rsidR="008E5DE4" w14:paraId="30D1E1B3" w14:textId="77777777">
        <w:trPr>
          <w:cantSplit/>
        </w:trPr>
        <w:tc>
          <w:tcPr>
            <w:tcW w:w="4820" w:type="dxa"/>
            <w:vAlign w:val="bottom"/>
          </w:tcPr>
          <w:p w14:paraId="230213F4" w14:textId="77777777" w:rsidR="008E5DE4" w:rsidRDefault="00780368">
            <w:pPr>
              <w:widowControl w:val="0"/>
              <w:pBdr>
                <w:top w:val="nil"/>
                <w:left w:val="nil"/>
                <w:bottom w:val="nil"/>
                <w:right w:val="nil"/>
                <w:between w:val="nil"/>
              </w:pBdr>
              <w:ind w:left="113" w:right="-57" w:hanging="113"/>
              <w:rPr>
                <w:color w:val="000000"/>
              </w:rPr>
            </w:pPr>
            <w:r>
              <w:rPr>
                <w:color w:val="000000"/>
              </w:rPr>
              <w:t>Current income tax prepayments</w:t>
            </w:r>
          </w:p>
        </w:tc>
        <w:tc>
          <w:tcPr>
            <w:tcW w:w="680" w:type="dxa"/>
            <w:vAlign w:val="bottom"/>
          </w:tcPr>
          <w:p w14:paraId="21C43ED3"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00AAED9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86856A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5D1E885" w14:textId="77777777" w:rsidR="008E5DE4" w:rsidRDefault="008E5DE4">
            <w:pPr>
              <w:widowControl w:val="0"/>
              <w:pBdr>
                <w:top w:val="nil"/>
                <w:left w:val="nil"/>
                <w:bottom w:val="nil"/>
                <w:right w:val="nil"/>
                <w:between w:val="nil"/>
              </w:pBdr>
              <w:jc w:val="right"/>
              <w:rPr>
                <w:color w:val="000000"/>
              </w:rPr>
            </w:pPr>
          </w:p>
        </w:tc>
      </w:tr>
      <w:tr w:rsidR="008E5DE4" w14:paraId="4F4A0C97" w14:textId="77777777">
        <w:trPr>
          <w:cantSplit/>
        </w:trPr>
        <w:tc>
          <w:tcPr>
            <w:tcW w:w="4820" w:type="dxa"/>
            <w:vAlign w:val="bottom"/>
          </w:tcPr>
          <w:p w14:paraId="7ECC7062" w14:textId="77777777" w:rsidR="008E5DE4" w:rsidRDefault="00780368">
            <w:pPr>
              <w:widowControl w:val="0"/>
              <w:pBdr>
                <w:top w:val="nil"/>
                <w:left w:val="nil"/>
                <w:bottom w:val="nil"/>
                <w:right w:val="nil"/>
                <w:between w:val="nil"/>
              </w:pBdr>
              <w:ind w:left="113" w:right="-57" w:hanging="113"/>
              <w:rPr>
                <w:color w:val="000000"/>
              </w:rPr>
            </w:pPr>
            <w:r>
              <w:rPr>
                <w:color w:val="000000"/>
              </w:rPr>
              <w:t>Finance lease receivables</w:t>
            </w:r>
          </w:p>
        </w:tc>
        <w:tc>
          <w:tcPr>
            <w:tcW w:w="680" w:type="dxa"/>
            <w:vAlign w:val="bottom"/>
          </w:tcPr>
          <w:p w14:paraId="04005013" w14:textId="77777777" w:rsidR="008E5DE4" w:rsidRDefault="00780368">
            <w:pPr>
              <w:widowControl w:val="0"/>
              <w:pBdr>
                <w:top w:val="nil"/>
                <w:left w:val="nil"/>
                <w:bottom w:val="nil"/>
                <w:right w:val="nil"/>
                <w:between w:val="nil"/>
              </w:pBdr>
              <w:jc w:val="center"/>
              <w:rPr>
                <w:color w:val="000000"/>
              </w:rPr>
            </w:pPr>
            <w:r>
              <w:rPr>
                <w:color w:val="000000"/>
              </w:rPr>
              <w:t>15</w:t>
            </w:r>
          </w:p>
        </w:tc>
        <w:tc>
          <w:tcPr>
            <w:tcW w:w="1304" w:type="dxa"/>
            <w:vAlign w:val="bottom"/>
          </w:tcPr>
          <w:p w14:paraId="1B0C8EBE"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BCCDE7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D7EA9F0" w14:textId="77777777" w:rsidR="008E5DE4" w:rsidRDefault="008E5DE4">
            <w:pPr>
              <w:widowControl w:val="0"/>
              <w:pBdr>
                <w:top w:val="nil"/>
                <w:left w:val="nil"/>
                <w:bottom w:val="nil"/>
                <w:right w:val="nil"/>
                <w:between w:val="nil"/>
              </w:pBdr>
              <w:jc w:val="right"/>
              <w:rPr>
                <w:color w:val="000000"/>
              </w:rPr>
            </w:pPr>
          </w:p>
        </w:tc>
      </w:tr>
      <w:tr w:rsidR="008E5DE4" w14:paraId="7BC7E983" w14:textId="77777777">
        <w:trPr>
          <w:cantSplit/>
        </w:trPr>
        <w:tc>
          <w:tcPr>
            <w:tcW w:w="4820" w:type="dxa"/>
            <w:vAlign w:val="bottom"/>
          </w:tcPr>
          <w:p w14:paraId="66D1E3BB"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Investments in debt securities </w:t>
            </w:r>
          </w:p>
        </w:tc>
        <w:tc>
          <w:tcPr>
            <w:tcW w:w="680" w:type="dxa"/>
            <w:vAlign w:val="bottom"/>
          </w:tcPr>
          <w:p w14:paraId="1D1A65D6" w14:textId="77777777" w:rsidR="008E5DE4" w:rsidRDefault="00780368">
            <w:pPr>
              <w:widowControl w:val="0"/>
              <w:pBdr>
                <w:top w:val="nil"/>
                <w:left w:val="nil"/>
                <w:bottom w:val="nil"/>
                <w:right w:val="nil"/>
                <w:between w:val="nil"/>
              </w:pBdr>
              <w:jc w:val="center"/>
              <w:rPr>
                <w:color w:val="000000"/>
              </w:rPr>
            </w:pPr>
            <w:r>
              <w:rPr>
                <w:color w:val="000000"/>
              </w:rPr>
              <w:t>22</w:t>
            </w:r>
          </w:p>
        </w:tc>
        <w:tc>
          <w:tcPr>
            <w:tcW w:w="1304" w:type="dxa"/>
            <w:vAlign w:val="bottom"/>
          </w:tcPr>
          <w:p w14:paraId="18C1819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296005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F989639" w14:textId="77777777" w:rsidR="008E5DE4" w:rsidRDefault="008E5DE4">
            <w:pPr>
              <w:widowControl w:val="0"/>
              <w:pBdr>
                <w:top w:val="nil"/>
                <w:left w:val="nil"/>
                <w:bottom w:val="nil"/>
                <w:right w:val="nil"/>
                <w:between w:val="nil"/>
              </w:pBdr>
              <w:jc w:val="right"/>
              <w:rPr>
                <w:color w:val="000000"/>
              </w:rPr>
            </w:pPr>
          </w:p>
        </w:tc>
      </w:tr>
      <w:tr w:rsidR="008E5DE4" w14:paraId="2A508DA7" w14:textId="77777777">
        <w:trPr>
          <w:cantSplit/>
        </w:trPr>
        <w:tc>
          <w:tcPr>
            <w:tcW w:w="4820" w:type="dxa"/>
            <w:vAlign w:val="bottom"/>
          </w:tcPr>
          <w:p w14:paraId="3F563A81" w14:textId="77777777" w:rsidR="008E5DE4" w:rsidRDefault="00780368">
            <w:pPr>
              <w:widowControl w:val="0"/>
              <w:pBdr>
                <w:top w:val="nil"/>
                <w:left w:val="nil"/>
                <w:bottom w:val="nil"/>
                <w:right w:val="nil"/>
                <w:between w:val="nil"/>
              </w:pBdr>
              <w:ind w:left="113" w:right="-57" w:hanging="113"/>
              <w:rPr>
                <w:color w:val="000000"/>
              </w:rPr>
            </w:pPr>
            <w:r>
              <w:rPr>
                <w:color w:val="000000"/>
              </w:rPr>
              <w:t>Cash and cash equivalents</w:t>
            </w:r>
          </w:p>
        </w:tc>
        <w:tc>
          <w:tcPr>
            <w:tcW w:w="680" w:type="dxa"/>
            <w:vAlign w:val="bottom"/>
          </w:tcPr>
          <w:p w14:paraId="6A0F40B3" w14:textId="77777777" w:rsidR="008E5DE4" w:rsidRDefault="00780368">
            <w:pPr>
              <w:widowControl w:val="0"/>
              <w:pBdr>
                <w:top w:val="nil"/>
                <w:left w:val="nil"/>
                <w:bottom w:val="nil"/>
                <w:right w:val="nil"/>
                <w:between w:val="nil"/>
              </w:pBdr>
              <w:jc w:val="center"/>
              <w:rPr>
                <w:color w:val="000000"/>
              </w:rPr>
            </w:pPr>
            <w:r>
              <w:rPr>
                <w:color w:val="000000"/>
              </w:rPr>
              <w:t>24</w:t>
            </w:r>
          </w:p>
        </w:tc>
        <w:tc>
          <w:tcPr>
            <w:tcW w:w="1304" w:type="dxa"/>
            <w:vAlign w:val="bottom"/>
          </w:tcPr>
          <w:p w14:paraId="66320B0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8DF3E34"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7621F1E" w14:textId="77777777" w:rsidR="008E5DE4" w:rsidRDefault="008E5DE4">
            <w:pPr>
              <w:widowControl w:val="0"/>
              <w:pBdr>
                <w:top w:val="nil"/>
                <w:left w:val="nil"/>
                <w:bottom w:val="nil"/>
                <w:right w:val="nil"/>
                <w:between w:val="nil"/>
              </w:pBdr>
              <w:jc w:val="right"/>
              <w:rPr>
                <w:color w:val="000000"/>
              </w:rPr>
            </w:pPr>
          </w:p>
        </w:tc>
      </w:tr>
      <w:tr w:rsidR="008E5DE4" w14:paraId="5FC54AA1" w14:textId="77777777">
        <w:trPr>
          <w:cantSplit/>
        </w:trPr>
        <w:tc>
          <w:tcPr>
            <w:tcW w:w="4820" w:type="dxa"/>
            <w:tcBorders>
              <w:bottom w:val="single" w:sz="4" w:space="0" w:color="000000"/>
            </w:tcBorders>
            <w:vAlign w:val="bottom"/>
          </w:tcPr>
          <w:p w14:paraId="6F570BA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tcBorders>
              <w:bottom w:val="single" w:sz="4" w:space="0" w:color="000000"/>
            </w:tcBorders>
            <w:vAlign w:val="bottom"/>
          </w:tcPr>
          <w:p w14:paraId="796699D2" w14:textId="77777777" w:rsidR="008E5DE4" w:rsidRDefault="008E5DE4">
            <w:pPr>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7028083E"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4AD13593"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57011667" w14:textId="77777777" w:rsidR="008E5DE4" w:rsidRDefault="008E5DE4">
            <w:pPr>
              <w:widowControl w:val="0"/>
              <w:pBdr>
                <w:top w:val="nil"/>
                <w:left w:val="nil"/>
                <w:bottom w:val="nil"/>
                <w:right w:val="nil"/>
                <w:between w:val="nil"/>
              </w:pBdr>
              <w:jc w:val="right"/>
              <w:rPr>
                <w:color w:val="000000"/>
              </w:rPr>
            </w:pPr>
          </w:p>
        </w:tc>
      </w:tr>
      <w:tr w:rsidR="008E5DE4" w14:paraId="0FEC64A5" w14:textId="77777777">
        <w:trPr>
          <w:cantSplit/>
        </w:trPr>
        <w:tc>
          <w:tcPr>
            <w:tcW w:w="4820" w:type="dxa"/>
            <w:vAlign w:val="bottom"/>
          </w:tcPr>
          <w:p w14:paraId="2ECCDAD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vAlign w:val="bottom"/>
          </w:tcPr>
          <w:p w14:paraId="03F3D6C7"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3C834904" w14:textId="77777777" w:rsidR="008E5DE4" w:rsidRDefault="00780368">
            <w:pPr>
              <w:widowControl w:val="0"/>
              <w:pBdr>
                <w:top w:val="nil"/>
                <w:left w:val="nil"/>
                <w:bottom w:val="nil"/>
                <w:right w:val="nil"/>
                <w:between w:val="nil"/>
              </w:pBdr>
              <w:jc w:val="right"/>
              <w:rPr>
                <w:color w:val="000000"/>
              </w:rPr>
            </w:pPr>
            <w:r>
              <w:rPr>
                <w:color w:val="000000"/>
              </w:rPr>
              <w:t>Σ….</w:t>
            </w:r>
          </w:p>
        </w:tc>
        <w:tc>
          <w:tcPr>
            <w:tcW w:w="1304" w:type="dxa"/>
            <w:vAlign w:val="bottom"/>
          </w:tcPr>
          <w:p w14:paraId="1394E530" w14:textId="77777777" w:rsidR="008E5DE4" w:rsidRDefault="00780368">
            <w:pPr>
              <w:widowControl w:val="0"/>
              <w:pBdr>
                <w:top w:val="nil"/>
                <w:left w:val="nil"/>
                <w:bottom w:val="nil"/>
                <w:right w:val="nil"/>
                <w:between w:val="nil"/>
              </w:pBdr>
              <w:jc w:val="right"/>
              <w:rPr>
                <w:color w:val="000000"/>
              </w:rPr>
            </w:pPr>
            <w:r>
              <w:rPr>
                <w:color w:val="000000"/>
              </w:rPr>
              <w:t>Σ….</w:t>
            </w:r>
          </w:p>
        </w:tc>
        <w:tc>
          <w:tcPr>
            <w:tcW w:w="1304" w:type="dxa"/>
            <w:vAlign w:val="bottom"/>
          </w:tcPr>
          <w:p w14:paraId="522927E5" w14:textId="77777777" w:rsidR="008E5DE4" w:rsidRDefault="00780368">
            <w:pPr>
              <w:widowControl w:val="0"/>
              <w:pBdr>
                <w:top w:val="nil"/>
                <w:left w:val="nil"/>
                <w:bottom w:val="nil"/>
                <w:right w:val="nil"/>
                <w:between w:val="nil"/>
              </w:pBdr>
              <w:jc w:val="right"/>
              <w:rPr>
                <w:color w:val="000000"/>
              </w:rPr>
            </w:pPr>
            <w:r>
              <w:rPr>
                <w:color w:val="000000"/>
              </w:rPr>
              <w:t>Σ….</w:t>
            </w:r>
          </w:p>
        </w:tc>
      </w:tr>
      <w:tr w:rsidR="008E5DE4" w14:paraId="12C44D26" w14:textId="77777777">
        <w:trPr>
          <w:cantSplit/>
        </w:trPr>
        <w:tc>
          <w:tcPr>
            <w:tcW w:w="4820" w:type="dxa"/>
            <w:vAlign w:val="bottom"/>
          </w:tcPr>
          <w:p w14:paraId="7ADDC95B"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assets held for sale (or disposal groups)</w:t>
            </w:r>
          </w:p>
        </w:tc>
        <w:tc>
          <w:tcPr>
            <w:tcW w:w="680" w:type="dxa"/>
            <w:vAlign w:val="bottom"/>
          </w:tcPr>
          <w:p w14:paraId="2982A9D6" w14:textId="77777777" w:rsidR="008E5DE4" w:rsidRDefault="00780368">
            <w:pPr>
              <w:widowControl w:val="0"/>
              <w:pBdr>
                <w:top w:val="nil"/>
                <w:left w:val="nil"/>
                <w:bottom w:val="nil"/>
                <w:right w:val="nil"/>
                <w:between w:val="nil"/>
              </w:pBdr>
              <w:jc w:val="center"/>
              <w:rPr>
                <w:color w:val="000000"/>
              </w:rPr>
            </w:pPr>
            <w:r>
              <w:rPr>
                <w:color w:val="000000"/>
              </w:rPr>
              <w:t>25</w:t>
            </w:r>
          </w:p>
        </w:tc>
        <w:tc>
          <w:tcPr>
            <w:tcW w:w="1304" w:type="dxa"/>
            <w:vAlign w:val="bottom"/>
          </w:tcPr>
          <w:p w14:paraId="14BA414C" w14:textId="77777777" w:rsidR="008E5DE4" w:rsidRDefault="00780368">
            <w:pPr>
              <w:widowControl w:val="0"/>
              <w:pBdr>
                <w:top w:val="nil"/>
                <w:left w:val="nil"/>
                <w:bottom w:val="nil"/>
                <w:right w:val="nil"/>
                <w:between w:val="nil"/>
              </w:pBdr>
              <w:jc w:val="right"/>
              <w:rPr>
                <w:color w:val="000000"/>
              </w:rPr>
            </w:pPr>
            <w:r>
              <w:rPr>
                <w:color w:val="000000"/>
              </w:rPr>
              <w:t>….</w:t>
            </w:r>
          </w:p>
        </w:tc>
        <w:tc>
          <w:tcPr>
            <w:tcW w:w="1304" w:type="dxa"/>
            <w:vAlign w:val="bottom"/>
          </w:tcPr>
          <w:p w14:paraId="4867D02F" w14:textId="77777777" w:rsidR="008E5DE4" w:rsidRDefault="00780368">
            <w:pPr>
              <w:widowControl w:val="0"/>
              <w:pBdr>
                <w:top w:val="nil"/>
                <w:left w:val="nil"/>
                <w:bottom w:val="nil"/>
                <w:right w:val="nil"/>
                <w:between w:val="nil"/>
              </w:pBdr>
              <w:jc w:val="right"/>
              <w:rPr>
                <w:color w:val="000000"/>
              </w:rPr>
            </w:pPr>
            <w:r>
              <w:rPr>
                <w:color w:val="000000"/>
              </w:rPr>
              <w:t>….</w:t>
            </w:r>
          </w:p>
        </w:tc>
        <w:tc>
          <w:tcPr>
            <w:tcW w:w="1304" w:type="dxa"/>
            <w:vAlign w:val="bottom"/>
          </w:tcPr>
          <w:p w14:paraId="51AA712B" w14:textId="77777777" w:rsidR="008E5DE4" w:rsidRDefault="00780368">
            <w:pPr>
              <w:widowControl w:val="0"/>
              <w:pBdr>
                <w:top w:val="nil"/>
                <w:left w:val="nil"/>
                <w:bottom w:val="nil"/>
                <w:right w:val="nil"/>
                <w:between w:val="nil"/>
              </w:pBdr>
              <w:jc w:val="right"/>
              <w:rPr>
                <w:color w:val="000000"/>
              </w:rPr>
            </w:pPr>
            <w:r>
              <w:rPr>
                <w:color w:val="000000"/>
              </w:rPr>
              <w:t>….</w:t>
            </w:r>
          </w:p>
        </w:tc>
      </w:tr>
      <w:tr w:rsidR="008E5DE4" w14:paraId="6CF03472" w14:textId="77777777">
        <w:trPr>
          <w:cantSplit/>
        </w:trPr>
        <w:tc>
          <w:tcPr>
            <w:tcW w:w="4820" w:type="dxa"/>
            <w:tcBorders>
              <w:bottom w:val="single" w:sz="4" w:space="0" w:color="000000"/>
            </w:tcBorders>
            <w:vAlign w:val="bottom"/>
          </w:tcPr>
          <w:p w14:paraId="0FD06C1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tcBorders>
              <w:bottom w:val="single" w:sz="4" w:space="0" w:color="000000"/>
            </w:tcBorders>
            <w:vAlign w:val="bottom"/>
          </w:tcPr>
          <w:p w14:paraId="49CEAA08" w14:textId="77777777" w:rsidR="008E5DE4" w:rsidRDefault="008E5DE4">
            <w:pPr>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185DD74A"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6318F850"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4FFB0B60" w14:textId="77777777" w:rsidR="008E5DE4" w:rsidRDefault="008E5DE4">
            <w:pPr>
              <w:widowControl w:val="0"/>
              <w:pBdr>
                <w:top w:val="nil"/>
                <w:left w:val="nil"/>
                <w:bottom w:val="nil"/>
                <w:right w:val="nil"/>
                <w:between w:val="nil"/>
              </w:pBdr>
              <w:jc w:val="right"/>
              <w:rPr>
                <w:color w:val="000000"/>
              </w:rPr>
            </w:pPr>
          </w:p>
        </w:tc>
      </w:tr>
      <w:tr w:rsidR="008E5DE4" w14:paraId="3DA49581" w14:textId="77777777">
        <w:trPr>
          <w:cantSplit/>
        </w:trPr>
        <w:tc>
          <w:tcPr>
            <w:tcW w:w="4820" w:type="dxa"/>
            <w:tcBorders>
              <w:top w:val="single" w:sz="4" w:space="0" w:color="000000"/>
            </w:tcBorders>
            <w:vAlign w:val="bottom"/>
          </w:tcPr>
          <w:p w14:paraId="5618D9B2"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680" w:type="dxa"/>
            <w:tcBorders>
              <w:top w:val="single" w:sz="4" w:space="0" w:color="000000"/>
            </w:tcBorders>
            <w:vAlign w:val="bottom"/>
          </w:tcPr>
          <w:p w14:paraId="12646B3E" w14:textId="77777777" w:rsidR="008E5DE4" w:rsidRDefault="008E5DE4">
            <w:pPr>
              <w:widowControl w:val="0"/>
              <w:pBdr>
                <w:top w:val="nil"/>
                <w:left w:val="nil"/>
                <w:bottom w:val="nil"/>
                <w:right w:val="nil"/>
                <w:between w:val="nil"/>
              </w:pBdr>
              <w:jc w:val="center"/>
              <w:rPr>
                <w:b/>
                <w:color w:val="000000"/>
              </w:rPr>
            </w:pPr>
          </w:p>
        </w:tc>
        <w:tc>
          <w:tcPr>
            <w:tcW w:w="1304" w:type="dxa"/>
            <w:tcBorders>
              <w:top w:val="single" w:sz="4" w:space="0" w:color="000000"/>
            </w:tcBorders>
            <w:vAlign w:val="bottom"/>
          </w:tcPr>
          <w:p w14:paraId="3172DA61"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1E307F33"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458C97B3" w14:textId="77777777" w:rsidR="008E5DE4" w:rsidRDefault="008E5DE4">
            <w:pPr>
              <w:widowControl w:val="0"/>
              <w:pBdr>
                <w:top w:val="nil"/>
                <w:left w:val="nil"/>
                <w:bottom w:val="nil"/>
                <w:right w:val="nil"/>
                <w:between w:val="nil"/>
              </w:pBdr>
              <w:jc w:val="right"/>
              <w:rPr>
                <w:b/>
                <w:color w:val="000000"/>
              </w:rPr>
            </w:pPr>
          </w:p>
        </w:tc>
      </w:tr>
      <w:tr w:rsidR="008E5DE4" w14:paraId="61AB993D" w14:textId="77777777">
        <w:trPr>
          <w:cantSplit/>
        </w:trPr>
        <w:tc>
          <w:tcPr>
            <w:tcW w:w="4820" w:type="dxa"/>
            <w:vAlign w:val="bottom"/>
          </w:tcPr>
          <w:p w14:paraId="6E0849C8"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current assets</w:t>
            </w:r>
          </w:p>
        </w:tc>
        <w:tc>
          <w:tcPr>
            <w:tcW w:w="680" w:type="dxa"/>
            <w:vAlign w:val="bottom"/>
          </w:tcPr>
          <w:p w14:paraId="4F036847" w14:textId="77777777" w:rsidR="008E5DE4" w:rsidRDefault="008E5DE4">
            <w:pPr>
              <w:widowControl w:val="0"/>
              <w:pBdr>
                <w:top w:val="nil"/>
                <w:left w:val="nil"/>
                <w:bottom w:val="nil"/>
                <w:right w:val="nil"/>
                <w:between w:val="nil"/>
              </w:pBdr>
              <w:jc w:val="center"/>
              <w:rPr>
                <w:b/>
                <w:color w:val="000000"/>
              </w:rPr>
            </w:pPr>
          </w:p>
        </w:tc>
        <w:tc>
          <w:tcPr>
            <w:tcW w:w="1304" w:type="dxa"/>
            <w:vAlign w:val="bottom"/>
          </w:tcPr>
          <w:p w14:paraId="50C457EA"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176D89F8"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6052C064" w14:textId="77777777" w:rsidR="008E5DE4" w:rsidRDefault="008E5DE4">
            <w:pPr>
              <w:widowControl w:val="0"/>
              <w:pBdr>
                <w:top w:val="nil"/>
                <w:left w:val="nil"/>
                <w:bottom w:val="nil"/>
                <w:right w:val="nil"/>
                <w:between w:val="nil"/>
              </w:pBdr>
              <w:jc w:val="right"/>
              <w:rPr>
                <w:b/>
                <w:color w:val="000000"/>
              </w:rPr>
            </w:pPr>
          </w:p>
        </w:tc>
      </w:tr>
      <w:tr w:rsidR="008E5DE4" w14:paraId="1E4168C8" w14:textId="77777777">
        <w:trPr>
          <w:cantSplit/>
        </w:trPr>
        <w:tc>
          <w:tcPr>
            <w:tcW w:w="4820" w:type="dxa"/>
            <w:tcBorders>
              <w:bottom w:val="single" w:sz="4" w:space="0" w:color="000000"/>
            </w:tcBorders>
            <w:vAlign w:val="bottom"/>
          </w:tcPr>
          <w:p w14:paraId="0F229BFE"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680" w:type="dxa"/>
            <w:tcBorders>
              <w:bottom w:val="single" w:sz="4" w:space="0" w:color="000000"/>
            </w:tcBorders>
            <w:vAlign w:val="bottom"/>
          </w:tcPr>
          <w:p w14:paraId="3DC72927" w14:textId="77777777" w:rsidR="008E5DE4" w:rsidRDefault="008E5DE4">
            <w:pPr>
              <w:widowControl w:val="0"/>
              <w:pBdr>
                <w:top w:val="nil"/>
                <w:left w:val="nil"/>
                <w:bottom w:val="nil"/>
                <w:right w:val="nil"/>
                <w:between w:val="nil"/>
              </w:pBdr>
              <w:jc w:val="center"/>
              <w:rPr>
                <w:b/>
                <w:color w:val="000000"/>
              </w:rPr>
            </w:pPr>
          </w:p>
        </w:tc>
        <w:tc>
          <w:tcPr>
            <w:tcW w:w="1304" w:type="dxa"/>
            <w:tcBorders>
              <w:bottom w:val="single" w:sz="4" w:space="0" w:color="000000"/>
            </w:tcBorders>
            <w:vAlign w:val="bottom"/>
          </w:tcPr>
          <w:p w14:paraId="1C829AC2" w14:textId="77777777" w:rsidR="008E5DE4" w:rsidRDefault="008E5DE4">
            <w:pPr>
              <w:widowControl w:val="0"/>
              <w:pBdr>
                <w:top w:val="nil"/>
                <w:left w:val="nil"/>
                <w:bottom w:val="nil"/>
                <w:right w:val="nil"/>
                <w:between w:val="nil"/>
              </w:pBdr>
              <w:jc w:val="right"/>
              <w:rPr>
                <w:b/>
                <w:color w:val="000000"/>
              </w:rPr>
            </w:pPr>
          </w:p>
        </w:tc>
        <w:tc>
          <w:tcPr>
            <w:tcW w:w="1304" w:type="dxa"/>
            <w:tcBorders>
              <w:bottom w:val="single" w:sz="4" w:space="0" w:color="000000"/>
            </w:tcBorders>
            <w:vAlign w:val="bottom"/>
          </w:tcPr>
          <w:p w14:paraId="5977B2EE" w14:textId="77777777" w:rsidR="008E5DE4" w:rsidRDefault="008E5DE4">
            <w:pPr>
              <w:widowControl w:val="0"/>
              <w:pBdr>
                <w:top w:val="nil"/>
                <w:left w:val="nil"/>
                <w:bottom w:val="nil"/>
                <w:right w:val="nil"/>
                <w:between w:val="nil"/>
              </w:pBdr>
              <w:jc w:val="right"/>
              <w:rPr>
                <w:b/>
                <w:color w:val="000000"/>
              </w:rPr>
            </w:pPr>
          </w:p>
        </w:tc>
        <w:tc>
          <w:tcPr>
            <w:tcW w:w="1304" w:type="dxa"/>
            <w:tcBorders>
              <w:bottom w:val="single" w:sz="4" w:space="0" w:color="000000"/>
            </w:tcBorders>
            <w:vAlign w:val="bottom"/>
          </w:tcPr>
          <w:p w14:paraId="601845FA" w14:textId="77777777" w:rsidR="008E5DE4" w:rsidRDefault="008E5DE4">
            <w:pPr>
              <w:widowControl w:val="0"/>
              <w:pBdr>
                <w:top w:val="nil"/>
                <w:left w:val="nil"/>
                <w:bottom w:val="nil"/>
                <w:right w:val="nil"/>
                <w:between w:val="nil"/>
              </w:pBdr>
              <w:jc w:val="right"/>
              <w:rPr>
                <w:b/>
                <w:color w:val="000000"/>
              </w:rPr>
            </w:pPr>
          </w:p>
        </w:tc>
      </w:tr>
      <w:tr w:rsidR="008E5DE4" w14:paraId="43559A77" w14:textId="77777777">
        <w:trPr>
          <w:cantSplit/>
        </w:trPr>
        <w:tc>
          <w:tcPr>
            <w:tcW w:w="4820" w:type="dxa"/>
            <w:tcBorders>
              <w:top w:val="single" w:sz="4" w:space="0" w:color="000000"/>
            </w:tcBorders>
            <w:vAlign w:val="bottom"/>
          </w:tcPr>
          <w:p w14:paraId="4E5D75C8"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680" w:type="dxa"/>
            <w:tcBorders>
              <w:top w:val="single" w:sz="4" w:space="0" w:color="000000"/>
            </w:tcBorders>
            <w:vAlign w:val="bottom"/>
          </w:tcPr>
          <w:p w14:paraId="727C4B2D" w14:textId="77777777" w:rsidR="008E5DE4" w:rsidRDefault="008E5DE4">
            <w:pPr>
              <w:widowControl w:val="0"/>
              <w:pBdr>
                <w:top w:val="nil"/>
                <w:left w:val="nil"/>
                <w:bottom w:val="nil"/>
                <w:right w:val="nil"/>
                <w:between w:val="nil"/>
              </w:pBdr>
              <w:jc w:val="center"/>
              <w:rPr>
                <w:b/>
                <w:color w:val="000000"/>
              </w:rPr>
            </w:pPr>
          </w:p>
        </w:tc>
        <w:tc>
          <w:tcPr>
            <w:tcW w:w="1304" w:type="dxa"/>
            <w:tcBorders>
              <w:top w:val="single" w:sz="4" w:space="0" w:color="000000"/>
            </w:tcBorders>
            <w:vAlign w:val="bottom"/>
          </w:tcPr>
          <w:p w14:paraId="255CEF2A"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794FF4CC"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0B6F2E73" w14:textId="77777777" w:rsidR="008E5DE4" w:rsidRDefault="008E5DE4">
            <w:pPr>
              <w:widowControl w:val="0"/>
              <w:pBdr>
                <w:top w:val="nil"/>
                <w:left w:val="nil"/>
                <w:bottom w:val="nil"/>
                <w:right w:val="nil"/>
                <w:between w:val="nil"/>
              </w:pBdr>
              <w:jc w:val="right"/>
              <w:rPr>
                <w:b/>
                <w:color w:val="000000"/>
              </w:rPr>
            </w:pPr>
          </w:p>
        </w:tc>
      </w:tr>
      <w:tr w:rsidR="008E5DE4" w14:paraId="4090C539" w14:textId="77777777">
        <w:trPr>
          <w:cantSplit/>
        </w:trPr>
        <w:tc>
          <w:tcPr>
            <w:tcW w:w="4820" w:type="dxa"/>
            <w:vAlign w:val="bottom"/>
          </w:tcPr>
          <w:p w14:paraId="461392E8"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ASSETS</w:t>
            </w:r>
          </w:p>
        </w:tc>
        <w:tc>
          <w:tcPr>
            <w:tcW w:w="680" w:type="dxa"/>
            <w:vAlign w:val="bottom"/>
          </w:tcPr>
          <w:p w14:paraId="77F7B9A7" w14:textId="77777777" w:rsidR="008E5DE4" w:rsidRDefault="008E5DE4">
            <w:pPr>
              <w:widowControl w:val="0"/>
              <w:pBdr>
                <w:top w:val="nil"/>
                <w:left w:val="nil"/>
                <w:bottom w:val="nil"/>
                <w:right w:val="nil"/>
                <w:between w:val="nil"/>
              </w:pBdr>
              <w:jc w:val="center"/>
              <w:rPr>
                <w:b/>
                <w:smallCaps/>
                <w:color w:val="000000"/>
              </w:rPr>
            </w:pPr>
          </w:p>
        </w:tc>
        <w:tc>
          <w:tcPr>
            <w:tcW w:w="1304" w:type="dxa"/>
            <w:vAlign w:val="bottom"/>
          </w:tcPr>
          <w:p w14:paraId="759A20AB"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34E43AA1"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32AA0BBB" w14:textId="77777777" w:rsidR="008E5DE4" w:rsidRDefault="008E5DE4">
            <w:pPr>
              <w:widowControl w:val="0"/>
              <w:pBdr>
                <w:top w:val="nil"/>
                <w:left w:val="nil"/>
                <w:bottom w:val="nil"/>
                <w:right w:val="nil"/>
                <w:between w:val="nil"/>
              </w:pBdr>
              <w:jc w:val="right"/>
              <w:rPr>
                <w:b/>
                <w:smallCaps/>
                <w:color w:val="000000"/>
              </w:rPr>
            </w:pPr>
          </w:p>
        </w:tc>
      </w:tr>
      <w:tr w:rsidR="008E5DE4" w14:paraId="4133B4E9" w14:textId="77777777">
        <w:trPr>
          <w:cantSplit/>
        </w:trPr>
        <w:tc>
          <w:tcPr>
            <w:tcW w:w="4820" w:type="dxa"/>
            <w:tcBorders>
              <w:bottom w:val="single" w:sz="12" w:space="0" w:color="000000"/>
            </w:tcBorders>
            <w:vAlign w:val="bottom"/>
          </w:tcPr>
          <w:p w14:paraId="0CEAEFB5"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680" w:type="dxa"/>
            <w:tcBorders>
              <w:bottom w:val="single" w:sz="12" w:space="0" w:color="000000"/>
            </w:tcBorders>
            <w:vAlign w:val="bottom"/>
          </w:tcPr>
          <w:p w14:paraId="2BFA979F" w14:textId="77777777" w:rsidR="008E5DE4" w:rsidRDefault="008E5DE4">
            <w:pPr>
              <w:widowControl w:val="0"/>
              <w:pBdr>
                <w:top w:val="nil"/>
                <w:left w:val="nil"/>
                <w:bottom w:val="nil"/>
                <w:right w:val="nil"/>
                <w:between w:val="nil"/>
              </w:pBdr>
              <w:jc w:val="center"/>
              <w:rPr>
                <w:b/>
                <w:smallCaps/>
                <w:color w:val="000000"/>
              </w:rPr>
            </w:pPr>
          </w:p>
        </w:tc>
        <w:tc>
          <w:tcPr>
            <w:tcW w:w="1304" w:type="dxa"/>
            <w:tcBorders>
              <w:bottom w:val="single" w:sz="12" w:space="0" w:color="000000"/>
            </w:tcBorders>
            <w:vAlign w:val="bottom"/>
          </w:tcPr>
          <w:p w14:paraId="47977053"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17BCF786"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47707B37" w14:textId="77777777" w:rsidR="008E5DE4" w:rsidRDefault="008E5DE4">
            <w:pPr>
              <w:widowControl w:val="0"/>
              <w:pBdr>
                <w:top w:val="nil"/>
                <w:left w:val="nil"/>
                <w:bottom w:val="nil"/>
                <w:right w:val="nil"/>
                <w:between w:val="nil"/>
              </w:pBdr>
              <w:jc w:val="right"/>
              <w:rPr>
                <w:b/>
                <w:smallCaps/>
                <w:color w:val="000000"/>
              </w:rPr>
            </w:pPr>
          </w:p>
        </w:tc>
      </w:tr>
      <w:tr w:rsidR="008E5DE4" w14:paraId="5CBF4E51" w14:textId="77777777">
        <w:trPr>
          <w:cantSplit/>
        </w:trPr>
        <w:tc>
          <w:tcPr>
            <w:tcW w:w="4820" w:type="dxa"/>
            <w:tcBorders>
              <w:top w:val="single" w:sz="12" w:space="0" w:color="000000"/>
            </w:tcBorders>
            <w:vAlign w:val="bottom"/>
          </w:tcPr>
          <w:p w14:paraId="77B036DE" w14:textId="77777777" w:rsidR="008E5DE4" w:rsidRDefault="00780368">
            <w:pPr>
              <w:widowControl w:val="0"/>
              <w:ind w:left="113" w:right="-57" w:hanging="113"/>
            </w:pPr>
            <w:r>
              <w:t> </w:t>
            </w:r>
          </w:p>
        </w:tc>
        <w:tc>
          <w:tcPr>
            <w:tcW w:w="680" w:type="dxa"/>
            <w:tcBorders>
              <w:top w:val="single" w:sz="12" w:space="0" w:color="000000"/>
            </w:tcBorders>
            <w:vAlign w:val="bottom"/>
          </w:tcPr>
          <w:p w14:paraId="3E35D5E3" w14:textId="77777777" w:rsidR="008E5DE4" w:rsidRDefault="008E5DE4">
            <w:pPr>
              <w:widowControl w:val="0"/>
              <w:pBdr>
                <w:top w:val="nil"/>
                <w:left w:val="nil"/>
                <w:bottom w:val="nil"/>
                <w:right w:val="nil"/>
                <w:between w:val="nil"/>
              </w:pBdr>
              <w:jc w:val="center"/>
              <w:rPr>
                <w:color w:val="000000"/>
              </w:rPr>
            </w:pPr>
          </w:p>
        </w:tc>
        <w:tc>
          <w:tcPr>
            <w:tcW w:w="1304" w:type="dxa"/>
            <w:tcBorders>
              <w:top w:val="single" w:sz="12" w:space="0" w:color="000000"/>
            </w:tcBorders>
            <w:vAlign w:val="bottom"/>
          </w:tcPr>
          <w:p w14:paraId="325B4D64"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12" w:space="0" w:color="000000"/>
            </w:tcBorders>
            <w:vAlign w:val="bottom"/>
          </w:tcPr>
          <w:p w14:paraId="73B4CCB1"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12" w:space="0" w:color="000000"/>
            </w:tcBorders>
            <w:vAlign w:val="bottom"/>
          </w:tcPr>
          <w:p w14:paraId="7A1D9A8F" w14:textId="77777777" w:rsidR="008E5DE4" w:rsidRDefault="008E5DE4">
            <w:pPr>
              <w:widowControl w:val="0"/>
              <w:pBdr>
                <w:top w:val="nil"/>
                <w:left w:val="nil"/>
                <w:bottom w:val="nil"/>
                <w:right w:val="nil"/>
                <w:between w:val="nil"/>
              </w:pBdr>
              <w:jc w:val="right"/>
              <w:rPr>
                <w:color w:val="000000"/>
              </w:rPr>
            </w:pPr>
          </w:p>
        </w:tc>
      </w:tr>
      <w:tr w:rsidR="008E5DE4" w14:paraId="0A48243E" w14:textId="77777777">
        <w:trPr>
          <w:cantSplit/>
        </w:trPr>
        <w:tc>
          <w:tcPr>
            <w:tcW w:w="4820" w:type="dxa"/>
            <w:vAlign w:val="bottom"/>
          </w:tcPr>
          <w:p w14:paraId="322C68B2"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EQUITY </w:t>
            </w:r>
          </w:p>
        </w:tc>
        <w:tc>
          <w:tcPr>
            <w:tcW w:w="680" w:type="dxa"/>
            <w:vAlign w:val="bottom"/>
          </w:tcPr>
          <w:p w14:paraId="6CB94463"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1A816DFF"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726595FE"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3E38209E" w14:textId="77777777" w:rsidR="008E5DE4" w:rsidRDefault="008E5DE4">
            <w:pPr>
              <w:widowControl w:val="0"/>
              <w:pBdr>
                <w:top w:val="nil"/>
                <w:left w:val="nil"/>
                <w:bottom w:val="nil"/>
                <w:right w:val="nil"/>
                <w:between w:val="nil"/>
              </w:pBdr>
              <w:jc w:val="right"/>
              <w:rPr>
                <w:b/>
                <w:color w:val="000000"/>
              </w:rPr>
            </w:pPr>
          </w:p>
        </w:tc>
      </w:tr>
      <w:tr w:rsidR="008E5DE4" w14:paraId="10336707" w14:textId="77777777">
        <w:trPr>
          <w:cantSplit/>
        </w:trPr>
        <w:tc>
          <w:tcPr>
            <w:tcW w:w="4820" w:type="dxa"/>
            <w:vAlign w:val="bottom"/>
          </w:tcPr>
          <w:p w14:paraId="0CA3260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vAlign w:val="bottom"/>
          </w:tcPr>
          <w:p w14:paraId="69F5D924"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17981FA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2043BBD"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774A038" w14:textId="77777777" w:rsidR="008E5DE4" w:rsidRDefault="008E5DE4">
            <w:pPr>
              <w:widowControl w:val="0"/>
              <w:pBdr>
                <w:top w:val="nil"/>
                <w:left w:val="nil"/>
                <w:bottom w:val="nil"/>
                <w:right w:val="nil"/>
                <w:between w:val="nil"/>
              </w:pBdr>
              <w:jc w:val="right"/>
              <w:rPr>
                <w:color w:val="000000"/>
              </w:rPr>
            </w:pPr>
          </w:p>
        </w:tc>
      </w:tr>
      <w:tr w:rsidR="008E5DE4" w14:paraId="77E5D0D7" w14:textId="77777777">
        <w:trPr>
          <w:cantSplit/>
        </w:trPr>
        <w:tc>
          <w:tcPr>
            <w:tcW w:w="4820" w:type="dxa"/>
            <w:vAlign w:val="bottom"/>
          </w:tcPr>
          <w:p w14:paraId="1F04337D" w14:textId="77777777" w:rsidR="008E5DE4" w:rsidRDefault="00780368">
            <w:pPr>
              <w:widowControl w:val="0"/>
              <w:pBdr>
                <w:top w:val="nil"/>
                <w:left w:val="nil"/>
                <w:bottom w:val="nil"/>
                <w:right w:val="nil"/>
                <w:between w:val="nil"/>
              </w:pBdr>
              <w:ind w:left="113" w:right="-57" w:hanging="113"/>
              <w:rPr>
                <w:color w:val="000000"/>
              </w:rPr>
            </w:pPr>
            <w:r>
              <w:rPr>
                <w:color w:val="000000"/>
              </w:rPr>
              <w:t>Share capital</w:t>
            </w:r>
          </w:p>
        </w:tc>
        <w:tc>
          <w:tcPr>
            <w:tcW w:w="680" w:type="dxa"/>
            <w:vAlign w:val="bottom"/>
          </w:tcPr>
          <w:p w14:paraId="7F3801DF" w14:textId="77777777" w:rsidR="008E5DE4" w:rsidRDefault="00780368">
            <w:pPr>
              <w:widowControl w:val="0"/>
              <w:pBdr>
                <w:top w:val="nil"/>
                <w:left w:val="nil"/>
                <w:bottom w:val="nil"/>
                <w:right w:val="nil"/>
                <w:between w:val="nil"/>
              </w:pBdr>
              <w:jc w:val="center"/>
              <w:rPr>
                <w:color w:val="000000"/>
              </w:rPr>
            </w:pPr>
            <w:r>
              <w:rPr>
                <w:color w:val="000000"/>
              </w:rPr>
              <w:t>26</w:t>
            </w:r>
          </w:p>
        </w:tc>
        <w:tc>
          <w:tcPr>
            <w:tcW w:w="1304" w:type="dxa"/>
            <w:vAlign w:val="bottom"/>
          </w:tcPr>
          <w:p w14:paraId="22ACC27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8AC61C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82F4137" w14:textId="77777777" w:rsidR="008E5DE4" w:rsidRDefault="008E5DE4">
            <w:pPr>
              <w:widowControl w:val="0"/>
              <w:pBdr>
                <w:top w:val="nil"/>
                <w:left w:val="nil"/>
                <w:bottom w:val="nil"/>
                <w:right w:val="nil"/>
                <w:between w:val="nil"/>
              </w:pBdr>
              <w:jc w:val="right"/>
              <w:rPr>
                <w:color w:val="000000"/>
              </w:rPr>
            </w:pPr>
          </w:p>
        </w:tc>
      </w:tr>
      <w:tr w:rsidR="008E5DE4" w14:paraId="1D970A86" w14:textId="77777777">
        <w:trPr>
          <w:cantSplit/>
        </w:trPr>
        <w:tc>
          <w:tcPr>
            <w:tcW w:w="4820" w:type="dxa"/>
            <w:vAlign w:val="bottom"/>
          </w:tcPr>
          <w:p w14:paraId="4689BD9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Retained earnings </w:t>
            </w:r>
            <w:r>
              <w:rPr>
                <w:color w:val="0000FF"/>
              </w:rPr>
              <w:t>[Accumulated deficit]</w:t>
            </w:r>
          </w:p>
        </w:tc>
        <w:tc>
          <w:tcPr>
            <w:tcW w:w="680" w:type="dxa"/>
            <w:vAlign w:val="bottom"/>
          </w:tcPr>
          <w:p w14:paraId="2D3B42DE"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5580FF89"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0D8102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BF0526E" w14:textId="77777777" w:rsidR="008E5DE4" w:rsidRDefault="008E5DE4">
            <w:pPr>
              <w:widowControl w:val="0"/>
              <w:pBdr>
                <w:top w:val="nil"/>
                <w:left w:val="nil"/>
                <w:bottom w:val="nil"/>
                <w:right w:val="nil"/>
                <w:between w:val="nil"/>
              </w:pBdr>
              <w:jc w:val="right"/>
              <w:rPr>
                <w:color w:val="000000"/>
              </w:rPr>
            </w:pPr>
          </w:p>
        </w:tc>
      </w:tr>
      <w:tr w:rsidR="008E5DE4" w14:paraId="2FE78767" w14:textId="77777777">
        <w:trPr>
          <w:cantSplit/>
        </w:trPr>
        <w:tc>
          <w:tcPr>
            <w:tcW w:w="4820" w:type="dxa"/>
            <w:vAlign w:val="bottom"/>
          </w:tcPr>
          <w:p w14:paraId="467B71DF" w14:textId="77777777" w:rsidR="008E5DE4" w:rsidRDefault="00780368">
            <w:pPr>
              <w:widowControl w:val="0"/>
              <w:pBdr>
                <w:top w:val="nil"/>
                <w:left w:val="nil"/>
                <w:bottom w:val="nil"/>
                <w:right w:val="nil"/>
                <w:between w:val="nil"/>
              </w:pBdr>
              <w:ind w:left="113" w:right="-57" w:hanging="113"/>
              <w:rPr>
                <w:color w:val="000000"/>
              </w:rPr>
            </w:pPr>
            <w:r>
              <w:rPr>
                <w:color w:val="000000"/>
              </w:rPr>
              <w:t>Other reserves</w:t>
            </w:r>
          </w:p>
        </w:tc>
        <w:tc>
          <w:tcPr>
            <w:tcW w:w="680" w:type="dxa"/>
            <w:vAlign w:val="bottom"/>
          </w:tcPr>
          <w:p w14:paraId="08CC64E3" w14:textId="77777777" w:rsidR="008E5DE4" w:rsidRDefault="00780368">
            <w:pPr>
              <w:widowControl w:val="0"/>
              <w:pBdr>
                <w:top w:val="nil"/>
                <w:left w:val="nil"/>
                <w:bottom w:val="nil"/>
                <w:right w:val="nil"/>
                <w:between w:val="nil"/>
              </w:pBdr>
              <w:jc w:val="center"/>
              <w:rPr>
                <w:color w:val="000000"/>
              </w:rPr>
            </w:pPr>
            <w:r>
              <w:rPr>
                <w:color w:val="000000"/>
              </w:rPr>
              <w:t>27</w:t>
            </w:r>
          </w:p>
        </w:tc>
        <w:tc>
          <w:tcPr>
            <w:tcW w:w="1304" w:type="dxa"/>
            <w:vAlign w:val="bottom"/>
          </w:tcPr>
          <w:p w14:paraId="24470905"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431D344"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682B85D" w14:textId="77777777" w:rsidR="008E5DE4" w:rsidRDefault="008E5DE4">
            <w:pPr>
              <w:widowControl w:val="0"/>
              <w:pBdr>
                <w:top w:val="nil"/>
                <w:left w:val="nil"/>
                <w:bottom w:val="nil"/>
                <w:right w:val="nil"/>
                <w:between w:val="nil"/>
              </w:pBdr>
              <w:jc w:val="right"/>
              <w:rPr>
                <w:color w:val="000000"/>
              </w:rPr>
            </w:pPr>
          </w:p>
        </w:tc>
      </w:tr>
      <w:tr w:rsidR="008E5DE4" w14:paraId="3E87FAAF" w14:textId="77777777">
        <w:trPr>
          <w:cantSplit/>
        </w:trPr>
        <w:tc>
          <w:tcPr>
            <w:tcW w:w="4820" w:type="dxa"/>
            <w:vAlign w:val="bottom"/>
          </w:tcPr>
          <w:p w14:paraId="6042360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vAlign w:val="bottom"/>
          </w:tcPr>
          <w:p w14:paraId="6720CDC4"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7082BCC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2902F2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06E9CF3" w14:textId="77777777" w:rsidR="008E5DE4" w:rsidRDefault="008E5DE4">
            <w:pPr>
              <w:widowControl w:val="0"/>
              <w:pBdr>
                <w:top w:val="nil"/>
                <w:left w:val="nil"/>
                <w:bottom w:val="nil"/>
                <w:right w:val="nil"/>
                <w:between w:val="nil"/>
              </w:pBdr>
              <w:jc w:val="right"/>
              <w:rPr>
                <w:color w:val="000000"/>
              </w:rPr>
            </w:pPr>
          </w:p>
        </w:tc>
      </w:tr>
      <w:tr w:rsidR="008E5DE4" w14:paraId="144AFA3A" w14:textId="77777777">
        <w:trPr>
          <w:cantSplit/>
        </w:trPr>
        <w:tc>
          <w:tcPr>
            <w:tcW w:w="4820" w:type="dxa"/>
            <w:tcBorders>
              <w:top w:val="single" w:sz="4" w:space="0" w:color="000000"/>
            </w:tcBorders>
            <w:vAlign w:val="bottom"/>
          </w:tcPr>
          <w:p w14:paraId="01A8CE57"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680" w:type="dxa"/>
            <w:tcBorders>
              <w:top w:val="single" w:sz="4" w:space="0" w:color="000000"/>
            </w:tcBorders>
            <w:vAlign w:val="bottom"/>
          </w:tcPr>
          <w:p w14:paraId="44008D03" w14:textId="77777777" w:rsidR="008E5DE4" w:rsidRDefault="008E5DE4">
            <w:pPr>
              <w:widowControl w:val="0"/>
              <w:pBdr>
                <w:top w:val="nil"/>
                <w:left w:val="nil"/>
                <w:bottom w:val="nil"/>
                <w:right w:val="nil"/>
                <w:between w:val="nil"/>
              </w:pBdr>
              <w:jc w:val="center"/>
              <w:rPr>
                <w:color w:val="000000"/>
              </w:rPr>
            </w:pPr>
          </w:p>
        </w:tc>
        <w:tc>
          <w:tcPr>
            <w:tcW w:w="1304" w:type="dxa"/>
            <w:tcBorders>
              <w:top w:val="single" w:sz="4" w:space="0" w:color="000000"/>
            </w:tcBorders>
            <w:vAlign w:val="bottom"/>
          </w:tcPr>
          <w:p w14:paraId="642E88C7"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684213AE"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49F9EECD" w14:textId="77777777" w:rsidR="008E5DE4" w:rsidRDefault="008E5DE4">
            <w:pPr>
              <w:widowControl w:val="0"/>
              <w:pBdr>
                <w:top w:val="nil"/>
                <w:left w:val="nil"/>
                <w:bottom w:val="nil"/>
                <w:right w:val="nil"/>
                <w:between w:val="nil"/>
              </w:pBdr>
              <w:jc w:val="right"/>
              <w:rPr>
                <w:b/>
                <w:color w:val="000000"/>
              </w:rPr>
            </w:pPr>
          </w:p>
        </w:tc>
      </w:tr>
      <w:tr w:rsidR="008E5DE4" w14:paraId="4C3ABB05" w14:textId="77777777">
        <w:trPr>
          <w:cantSplit/>
        </w:trPr>
        <w:tc>
          <w:tcPr>
            <w:tcW w:w="4820" w:type="dxa"/>
            <w:vAlign w:val="bottom"/>
          </w:tcPr>
          <w:p w14:paraId="1B6E4F0D" w14:textId="77777777" w:rsidR="008E5DE4" w:rsidRDefault="00780368">
            <w:pPr>
              <w:widowControl w:val="0"/>
              <w:pBdr>
                <w:top w:val="nil"/>
                <w:left w:val="nil"/>
                <w:bottom w:val="nil"/>
                <w:right w:val="nil"/>
                <w:between w:val="nil"/>
              </w:pBdr>
              <w:ind w:left="113" w:right="-57" w:hanging="113"/>
              <w:rPr>
                <w:b/>
                <w:color w:val="000000"/>
              </w:rPr>
            </w:pPr>
            <w:r>
              <w:rPr>
                <w:b/>
                <w:color w:val="000000"/>
              </w:rPr>
              <w:t>Equity attributable to the Company’s owners</w:t>
            </w:r>
          </w:p>
        </w:tc>
        <w:tc>
          <w:tcPr>
            <w:tcW w:w="680" w:type="dxa"/>
            <w:vAlign w:val="bottom"/>
          </w:tcPr>
          <w:p w14:paraId="71DB603D"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0807FF0C"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35D01EA4"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0C3444A9" w14:textId="77777777" w:rsidR="008E5DE4" w:rsidRDefault="008E5DE4">
            <w:pPr>
              <w:widowControl w:val="0"/>
              <w:pBdr>
                <w:top w:val="nil"/>
                <w:left w:val="nil"/>
                <w:bottom w:val="nil"/>
                <w:right w:val="nil"/>
                <w:between w:val="nil"/>
              </w:pBdr>
              <w:jc w:val="right"/>
              <w:rPr>
                <w:b/>
                <w:color w:val="000000"/>
              </w:rPr>
            </w:pPr>
          </w:p>
        </w:tc>
      </w:tr>
      <w:tr w:rsidR="008E5DE4" w14:paraId="1568F856" w14:textId="77777777">
        <w:trPr>
          <w:cantSplit/>
        </w:trPr>
        <w:tc>
          <w:tcPr>
            <w:tcW w:w="4820" w:type="dxa"/>
            <w:tcBorders>
              <w:bottom w:val="single" w:sz="4" w:space="0" w:color="000000"/>
            </w:tcBorders>
            <w:vAlign w:val="bottom"/>
          </w:tcPr>
          <w:p w14:paraId="04258E6E"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680" w:type="dxa"/>
            <w:tcBorders>
              <w:bottom w:val="single" w:sz="4" w:space="0" w:color="000000"/>
            </w:tcBorders>
            <w:vAlign w:val="bottom"/>
          </w:tcPr>
          <w:p w14:paraId="2FD5BCBF" w14:textId="77777777" w:rsidR="008E5DE4" w:rsidRDefault="008E5DE4">
            <w:pPr>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35B6BA5D" w14:textId="77777777" w:rsidR="008E5DE4" w:rsidRDefault="008E5DE4">
            <w:pPr>
              <w:widowControl w:val="0"/>
              <w:pBdr>
                <w:top w:val="nil"/>
                <w:left w:val="nil"/>
                <w:bottom w:val="nil"/>
                <w:right w:val="nil"/>
                <w:between w:val="nil"/>
              </w:pBdr>
              <w:jc w:val="right"/>
              <w:rPr>
                <w:b/>
                <w:color w:val="000000"/>
              </w:rPr>
            </w:pPr>
          </w:p>
        </w:tc>
        <w:tc>
          <w:tcPr>
            <w:tcW w:w="1304" w:type="dxa"/>
            <w:tcBorders>
              <w:bottom w:val="single" w:sz="4" w:space="0" w:color="000000"/>
            </w:tcBorders>
            <w:vAlign w:val="bottom"/>
          </w:tcPr>
          <w:p w14:paraId="3E18467F" w14:textId="77777777" w:rsidR="008E5DE4" w:rsidRDefault="008E5DE4">
            <w:pPr>
              <w:widowControl w:val="0"/>
              <w:pBdr>
                <w:top w:val="nil"/>
                <w:left w:val="nil"/>
                <w:bottom w:val="nil"/>
                <w:right w:val="nil"/>
                <w:between w:val="nil"/>
              </w:pBdr>
              <w:jc w:val="right"/>
              <w:rPr>
                <w:b/>
                <w:color w:val="000000"/>
              </w:rPr>
            </w:pPr>
          </w:p>
        </w:tc>
        <w:tc>
          <w:tcPr>
            <w:tcW w:w="1304" w:type="dxa"/>
            <w:tcBorders>
              <w:bottom w:val="single" w:sz="4" w:space="0" w:color="000000"/>
            </w:tcBorders>
            <w:vAlign w:val="bottom"/>
          </w:tcPr>
          <w:p w14:paraId="44553F44" w14:textId="77777777" w:rsidR="008E5DE4" w:rsidRDefault="008E5DE4">
            <w:pPr>
              <w:widowControl w:val="0"/>
              <w:pBdr>
                <w:top w:val="nil"/>
                <w:left w:val="nil"/>
                <w:bottom w:val="nil"/>
                <w:right w:val="nil"/>
                <w:between w:val="nil"/>
              </w:pBdr>
              <w:jc w:val="right"/>
              <w:rPr>
                <w:b/>
                <w:color w:val="000000"/>
              </w:rPr>
            </w:pPr>
          </w:p>
        </w:tc>
      </w:tr>
      <w:tr w:rsidR="008E5DE4" w14:paraId="70429143" w14:textId="77777777">
        <w:trPr>
          <w:cantSplit/>
        </w:trPr>
        <w:tc>
          <w:tcPr>
            <w:tcW w:w="4820" w:type="dxa"/>
            <w:tcBorders>
              <w:top w:val="single" w:sz="4" w:space="0" w:color="000000"/>
            </w:tcBorders>
            <w:vAlign w:val="bottom"/>
          </w:tcPr>
          <w:p w14:paraId="770BAC8B"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680" w:type="dxa"/>
            <w:tcBorders>
              <w:top w:val="single" w:sz="4" w:space="0" w:color="000000"/>
            </w:tcBorders>
            <w:vAlign w:val="bottom"/>
          </w:tcPr>
          <w:p w14:paraId="15E73E45" w14:textId="77777777" w:rsidR="008E5DE4" w:rsidRDefault="008E5DE4">
            <w:pPr>
              <w:widowControl w:val="0"/>
              <w:pBdr>
                <w:top w:val="nil"/>
                <w:left w:val="nil"/>
                <w:bottom w:val="nil"/>
                <w:right w:val="nil"/>
                <w:between w:val="nil"/>
              </w:pBdr>
              <w:jc w:val="center"/>
              <w:rPr>
                <w:color w:val="000000"/>
              </w:rPr>
            </w:pPr>
          </w:p>
        </w:tc>
        <w:tc>
          <w:tcPr>
            <w:tcW w:w="1304" w:type="dxa"/>
            <w:tcBorders>
              <w:top w:val="single" w:sz="4" w:space="0" w:color="000000"/>
            </w:tcBorders>
            <w:vAlign w:val="bottom"/>
          </w:tcPr>
          <w:p w14:paraId="634C9496"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0BED2F30"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2537FF1C" w14:textId="77777777" w:rsidR="008E5DE4" w:rsidRDefault="008E5DE4">
            <w:pPr>
              <w:widowControl w:val="0"/>
              <w:pBdr>
                <w:top w:val="nil"/>
                <w:left w:val="nil"/>
                <w:bottom w:val="nil"/>
                <w:right w:val="nil"/>
                <w:between w:val="nil"/>
              </w:pBdr>
              <w:jc w:val="right"/>
              <w:rPr>
                <w:b/>
                <w:color w:val="000000"/>
              </w:rPr>
            </w:pPr>
          </w:p>
        </w:tc>
      </w:tr>
      <w:tr w:rsidR="008E5DE4" w14:paraId="488A69BD" w14:textId="77777777">
        <w:trPr>
          <w:cantSplit/>
        </w:trPr>
        <w:tc>
          <w:tcPr>
            <w:tcW w:w="4820" w:type="dxa"/>
            <w:vAlign w:val="bottom"/>
          </w:tcPr>
          <w:p w14:paraId="44CBAB1B" w14:textId="77777777" w:rsidR="008E5DE4" w:rsidRDefault="00780368">
            <w:pPr>
              <w:widowControl w:val="0"/>
              <w:pBdr>
                <w:top w:val="nil"/>
                <w:left w:val="nil"/>
                <w:bottom w:val="nil"/>
                <w:right w:val="nil"/>
                <w:between w:val="nil"/>
              </w:pBdr>
              <w:ind w:left="113" w:right="-57" w:hanging="113"/>
              <w:rPr>
                <w:b/>
                <w:color w:val="000000"/>
              </w:rPr>
            </w:pPr>
            <w:r>
              <w:rPr>
                <w:b/>
                <w:color w:val="000000"/>
              </w:rPr>
              <w:t>Non-controlling interest</w:t>
            </w:r>
          </w:p>
        </w:tc>
        <w:tc>
          <w:tcPr>
            <w:tcW w:w="680" w:type="dxa"/>
            <w:vAlign w:val="bottom"/>
          </w:tcPr>
          <w:p w14:paraId="546FF6B6"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66587E07"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6BE7D18B"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375EBD21" w14:textId="77777777" w:rsidR="008E5DE4" w:rsidRDefault="008E5DE4">
            <w:pPr>
              <w:widowControl w:val="0"/>
              <w:pBdr>
                <w:top w:val="nil"/>
                <w:left w:val="nil"/>
                <w:bottom w:val="nil"/>
                <w:right w:val="nil"/>
                <w:between w:val="nil"/>
              </w:pBdr>
              <w:jc w:val="right"/>
              <w:rPr>
                <w:b/>
                <w:color w:val="000000"/>
              </w:rPr>
            </w:pPr>
          </w:p>
        </w:tc>
      </w:tr>
      <w:tr w:rsidR="008E5DE4" w14:paraId="59A3883D" w14:textId="77777777">
        <w:trPr>
          <w:cantSplit/>
        </w:trPr>
        <w:tc>
          <w:tcPr>
            <w:tcW w:w="4820" w:type="dxa"/>
            <w:tcBorders>
              <w:bottom w:val="single" w:sz="4" w:space="0" w:color="000000"/>
            </w:tcBorders>
            <w:vAlign w:val="bottom"/>
          </w:tcPr>
          <w:p w14:paraId="01074DD5"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680" w:type="dxa"/>
            <w:tcBorders>
              <w:bottom w:val="single" w:sz="4" w:space="0" w:color="000000"/>
            </w:tcBorders>
            <w:vAlign w:val="bottom"/>
          </w:tcPr>
          <w:p w14:paraId="10419383" w14:textId="77777777" w:rsidR="008E5DE4" w:rsidRDefault="008E5DE4">
            <w:pPr>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3EC4C5BC" w14:textId="77777777" w:rsidR="008E5DE4" w:rsidRDefault="008E5DE4">
            <w:pPr>
              <w:widowControl w:val="0"/>
              <w:pBdr>
                <w:top w:val="nil"/>
                <w:left w:val="nil"/>
                <w:bottom w:val="nil"/>
                <w:right w:val="nil"/>
                <w:between w:val="nil"/>
              </w:pBdr>
              <w:jc w:val="right"/>
              <w:rPr>
                <w:b/>
                <w:color w:val="000000"/>
              </w:rPr>
            </w:pPr>
          </w:p>
        </w:tc>
        <w:tc>
          <w:tcPr>
            <w:tcW w:w="1304" w:type="dxa"/>
            <w:tcBorders>
              <w:bottom w:val="single" w:sz="4" w:space="0" w:color="000000"/>
            </w:tcBorders>
            <w:vAlign w:val="bottom"/>
          </w:tcPr>
          <w:p w14:paraId="1DE284AB" w14:textId="77777777" w:rsidR="008E5DE4" w:rsidRDefault="008E5DE4">
            <w:pPr>
              <w:widowControl w:val="0"/>
              <w:pBdr>
                <w:top w:val="nil"/>
                <w:left w:val="nil"/>
                <w:bottom w:val="nil"/>
                <w:right w:val="nil"/>
                <w:between w:val="nil"/>
              </w:pBdr>
              <w:jc w:val="right"/>
              <w:rPr>
                <w:b/>
                <w:color w:val="000000"/>
              </w:rPr>
            </w:pPr>
          </w:p>
        </w:tc>
        <w:tc>
          <w:tcPr>
            <w:tcW w:w="1304" w:type="dxa"/>
            <w:tcBorders>
              <w:bottom w:val="single" w:sz="4" w:space="0" w:color="000000"/>
            </w:tcBorders>
            <w:vAlign w:val="bottom"/>
          </w:tcPr>
          <w:p w14:paraId="16085B4E" w14:textId="77777777" w:rsidR="008E5DE4" w:rsidRDefault="008E5DE4">
            <w:pPr>
              <w:widowControl w:val="0"/>
              <w:pBdr>
                <w:top w:val="nil"/>
                <w:left w:val="nil"/>
                <w:bottom w:val="nil"/>
                <w:right w:val="nil"/>
                <w:between w:val="nil"/>
              </w:pBdr>
              <w:jc w:val="right"/>
              <w:rPr>
                <w:b/>
                <w:color w:val="000000"/>
              </w:rPr>
            </w:pPr>
          </w:p>
        </w:tc>
      </w:tr>
      <w:tr w:rsidR="008E5DE4" w14:paraId="249D3AF0" w14:textId="77777777">
        <w:trPr>
          <w:cantSplit/>
        </w:trPr>
        <w:tc>
          <w:tcPr>
            <w:tcW w:w="4820" w:type="dxa"/>
            <w:tcBorders>
              <w:top w:val="single" w:sz="4" w:space="0" w:color="000000"/>
            </w:tcBorders>
            <w:vAlign w:val="bottom"/>
          </w:tcPr>
          <w:p w14:paraId="71AE823F"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680" w:type="dxa"/>
            <w:tcBorders>
              <w:top w:val="single" w:sz="4" w:space="0" w:color="000000"/>
            </w:tcBorders>
            <w:vAlign w:val="bottom"/>
          </w:tcPr>
          <w:p w14:paraId="4EC78EEA" w14:textId="77777777" w:rsidR="008E5DE4" w:rsidRDefault="008E5DE4">
            <w:pPr>
              <w:widowControl w:val="0"/>
              <w:pBdr>
                <w:top w:val="nil"/>
                <w:left w:val="nil"/>
                <w:bottom w:val="nil"/>
                <w:right w:val="nil"/>
                <w:between w:val="nil"/>
              </w:pBdr>
              <w:jc w:val="center"/>
              <w:rPr>
                <w:b/>
                <w:smallCaps/>
                <w:color w:val="000000"/>
              </w:rPr>
            </w:pPr>
          </w:p>
        </w:tc>
        <w:tc>
          <w:tcPr>
            <w:tcW w:w="1304" w:type="dxa"/>
            <w:tcBorders>
              <w:top w:val="single" w:sz="4" w:space="0" w:color="000000"/>
            </w:tcBorders>
            <w:vAlign w:val="bottom"/>
          </w:tcPr>
          <w:p w14:paraId="58C293BA" w14:textId="77777777" w:rsidR="008E5DE4" w:rsidRDefault="008E5DE4">
            <w:pPr>
              <w:widowControl w:val="0"/>
              <w:pBdr>
                <w:top w:val="nil"/>
                <w:left w:val="nil"/>
                <w:bottom w:val="nil"/>
                <w:right w:val="nil"/>
                <w:between w:val="nil"/>
              </w:pBdr>
              <w:jc w:val="right"/>
              <w:rPr>
                <w:b/>
                <w:smallCaps/>
                <w:color w:val="000000"/>
              </w:rPr>
            </w:pPr>
          </w:p>
        </w:tc>
        <w:tc>
          <w:tcPr>
            <w:tcW w:w="1304" w:type="dxa"/>
            <w:tcBorders>
              <w:top w:val="single" w:sz="4" w:space="0" w:color="000000"/>
            </w:tcBorders>
            <w:vAlign w:val="bottom"/>
          </w:tcPr>
          <w:p w14:paraId="3BAA35EA" w14:textId="77777777" w:rsidR="008E5DE4" w:rsidRDefault="008E5DE4">
            <w:pPr>
              <w:widowControl w:val="0"/>
              <w:pBdr>
                <w:top w:val="nil"/>
                <w:left w:val="nil"/>
                <w:bottom w:val="nil"/>
                <w:right w:val="nil"/>
                <w:between w:val="nil"/>
              </w:pBdr>
              <w:jc w:val="right"/>
              <w:rPr>
                <w:b/>
                <w:smallCaps/>
                <w:color w:val="000000"/>
              </w:rPr>
            </w:pPr>
          </w:p>
        </w:tc>
        <w:tc>
          <w:tcPr>
            <w:tcW w:w="1304" w:type="dxa"/>
            <w:tcBorders>
              <w:top w:val="single" w:sz="4" w:space="0" w:color="000000"/>
            </w:tcBorders>
            <w:vAlign w:val="bottom"/>
          </w:tcPr>
          <w:p w14:paraId="0BE328B4" w14:textId="77777777" w:rsidR="008E5DE4" w:rsidRDefault="008E5DE4">
            <w:pPr>
              <w:widowControl w:val="0"/>
              <w:pBdr>
                <w:top w:val="nil"/>
                <w:left w:val="nil"/>
                <w:bottom w:val="nil"/>
                <w:right w:val="nil"/>
                <w:between w:val="nil"/>
              </w:pBdr>
              <w:jc w:val="right"/>
              <w:rPr>
                <w:b/>
                <w:smallCaps/>
                <w:color w:val="000000"/>
              </w:rPr>
            </w:pPr>
          </w:p>
        </w:tc>
      </w:tr>
      <w:tr w:rsidR="008E5DE4" w14:paraId="4B085E70" w14:textId="77777777">
        <w:trPr>
          <w:cantSplit/>
        </w:trPr>
        <w:tc>
          <w:tcPr>
            <w:tcW w:w="4820" w:type="dxa"/>
            <w:vAlign w:val="bottom"/>
          </w:tcPr>
          <w:p w14:paraId="3EEACFD8"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EQUITY</w:t>
            </w:r>
          </w:p>
        </w:tc>
        <w:tc>
          <w:tcPr>
            <w:tcW w:w="680" w:type="dxa"/>
            <w:vAlign w:val="bottom"/>
          </w:tcPr>
          <w:p w14:paraId="51347652" w14:textId="77777777" w:rsidR="008E5DE4" w:rsidRDefault="008E5DE4">
            <w:pPr>
              <w:widowControl w:val="0"/>
              <w:pBdr>
                <w:top w:val="nil"/>
                <w:left w:val="nil"/>
                <w:bottom w:val="nil"/>
                <w:right w:val="nil"/>
                <w:between w:val="nil"/>
              </w:pBdr>
              <w:jc w:val="center"/>
              <w:rPr>
                <w:b/>
                <w:smallCaps/>
                <w:color w:val="000000"/>
              </w:rPr>
            </w:pPr>
          </w:p>
        </w:tc>
        <w:tc>
          <w:tcPr>
            <w:tcW w:w="1304" w:type="dxa"/>
            <w:vAlign w:val="bottom"/>
          </w:tcPr>
          <w:p w14:paraId="64AC145C"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3895EED4"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6AF819F3" w14:textId="77777777" w:rsidR="008E5DE4" w:rsidRDefault="008E5DE4">
            <w:pPr>
              <w:widowControl w:val="0"/>
              <w:pBdr>
                <w:top w:val="nil"/>
                <w:left w:val="nil"/>
                <w:bottom w:val="nil"/>
                <w:right w:val="nil"/>
                <w:between w:val="nil"/>
              </w:pBdr>
              <w:jc w:val="right"/>
              <w:rPr>
                <w:b/>
                <w:smallCaps/>
                <w:color w:val="000000"/>
              </w:rPr>
            </w:pPr>
          </w:p>
        </w:tc>
      </w:tr>
      <w:tr w:rsidR="008E5DE4" w14:paraId="302FECF5" w14:textId="77777777">
        <w:trPr>
          <w:cantSplit/>
        </w:trPr>
        <w:tc>
          <w:tcPr>
            <w:tcW w:w="4820" w:type="dxa"/>
            <w:tcBorders>
              <w:bottom w:val="single" w:sz="4" w:space="0" w:color="000000"/>
            </w:tcBorders>
            <w:vAlign w:val="bottom"/>
          </w:tcPr>
          <w:p w14:paraId="1B1BBC8A"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680" w:type="dxa"/>
            <w:tcBorders>
              <w:bottom w:val="single" w:sz="4" w:space="0" w:color="000000"/>
            </w:tcBorders>
            <w:vAlign w:val="bottom"/>
          </w:tcPr>
          <w:p w14:paraId="121CC969" w14:textId="77777777" w:rsidR="008E5DE4" w:rsidRDefault="008E5DE4">
            <w:pPr>
              <w:widowControl w:val="0"/>
              <w:pBdr>
                <w:top w:val="nil"/>
                <w:left w:val="nil"/>
                <w:bottom w:val="nil"/>
                <w:right w:val="nil"/>
                <w:between w:val="nil"/>
              </w:pBdr>
              <w:jc w:val="center"/>
              <w:rPr>
                <w:b/>
                <w:smallCaps/>
                <w:color w:val="000000"/>
              </w:rPr>
            </w:pPr>
          </w:p>
        </w:tc>
        <w:tc>
          <w:tcPr>
            <w:tcW w:w="1304" w:type="dxa"/>
            <w:tcBorders>
              <w:bottom w:val="single" w:sz="4" w:space="0" w:color="000000"/>
            </w:tcBorders>
            <w:vAlign w:val="bottom"/>
          </w:tcPr>
          <w:p w14:paraId="75677B5C"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4" w:space="0" w:color="000000"/>
            </w:tcBorders>
            <w:vAlign w:val="bottom"/>
          </w:tcPr>
          <w:p w14:paraId="1DF47DCC"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4" w:space="0" w:color="000000"/>
            </w:tcBorders>
            <w:vAlign w:val="bottom"/>
          </w:tcPr>
          <w:p w14:paraId="478ABAE0" w14:textId="77777777" w:rsidR="008E5DE4" w:rsidRDefault="008E5DE4">
            <w:pPr>
              <w:widowControl w:val="0"/>
              <w:pBdr>
                <w:top w:val="nil"/>
                <w:left w:val="nil"/>
                <w:bottom w:val="nil"/>
                <w:right w:val="nil"/>
                <w:between w:val="nil"/>
              </w:pBdr>
              <w:jc w:val="right"/>
              <w:rPr>
                <w:b/>
                <w:smallCaps/>
                <w:color w:val="000000"/>
              </w:rPr>
            </w:pPr>
          </w:p>
        </w:tc>
      </w:tr>
      <w:tr w:rsidR="008E5DE4" w14:paraId="6B3B9119" w14:textId="77777777">
        <w:trPr>
          <w:cantSplit/>
        </w:trPr>
        <w:tc>
          <w:tcPr>
            <w:tcW w:w="4820" w:type="dxa"/>
            <w:tcBorders>
              <w:top w:val="single" w:sz="4" w:space="0" w:color="000000"/>
            </w:tcBorders>
            <w:vAlign w:val="bottom"/>
          </w:tcPr>
          <w:p w14:paraId="39A234B7" w14:textId="77777777" w:rsidR="008E5DE4" w:rsidRDefault="00780368">
            <w:pPr>
              <w:keepNext/>
              <w:keepLines/>
              <w:widowControl w:val="0"/>
              <w:pBdr>
                <w:top w:val="nil"/>
                <w:left w:val="nil"/>
                <w:bottom w:val="nil"/>
                <w:right w:val="nil"/>
                <w:between w:val="nil"/>
              </w:pBdr>
              <w:ind w:left="113" w:right="-57" w:hanging="113"/>
              <w:rPr>
                <w:b/>
                <w:smallCaps/>
                <w:color w:val="000000"/>
              </w:rPr>
            </w:pPr>
            <w:r>
              <w:rPr>
                <w:b/>
                <w:color w:val="000000"/>
              </w:rPr>
              <w:lastRenderedPageBreak/>
              <w:t> </w:t>
            </w:r>
          </w:p>
        </w:tc>
        <w:tc>
          <w:tcPr>
            <w:tcW w:w="680" w:type="dxa"/>
            <w:tcBorders>
              <w:top w:val="single" w:sz="4" w:space="0" w:color="000000"/>
            </w:tcBorders>
            <w:vAlign w:val="bottom"/>
          </w:tcPr>
          <w:p w14:paraId="1ECD35C9" w14:textId="77777777" w:rsidR="008E5DE4" w:rsidRDefault="008E5DE4">
            <w:pPr>
              <w:keepNext/>
              <w:keepLines/>
              <w:widowControl w:val="0"/>
              <w:pBdr>
                <w:top w:val="nil"/>
                <w:left w:val="nil"/>
                <w:bottom w:val="nil"/>
                <w:right w:val="nil"/>
                <w:between w:val="nil"/>
              </w:pBdr>
              <w:jc w:val="center"/>
              <w:rPr>
                <w:smallCaps/>
                <w:color w:val="000000"/>
              </w:rPr>
            </w:pPr>
          </w:p>
        </w:tc>
        <w:tc>
          <w:tcPr>
            <w:tcW w:w="1304" w:type="dxa"/>
            <w:tcBorders>
              <w:top w:val="single" w:sz="4" w:space="0" w:color="000000"/>
            </w:tcBorders>
            <w:vAlign w:val="bottom"/>
          </w:tcPr>
          <w:p w14:paraId="419529AD" w14:textId="77777777" w:rsidR="008E5DE4" w:rsidRDefault="008E5DE4">
            <w:pPr>
              <w:keepNext/>
              <w:keepLines/>
              <w:widowControl w:val="0"/>
              <w:pBdr>
                <w:top w:val="nil"/>
                <w:left w:val="nil"/>
                <w:bottom w:val="nil"/>
                <w:right w:val="nil"/>
                <w:between w:val="nil"/>
              </w:pBdr>
              <w:jc w:val="right"/>
              <w:rPr>
                <w:smallCaps/>
                <w:color w:val="000000"/>
              </w:rPr>
            </w:pPr>
          </w:p>
        </w:tc>
        <w:tc>
          <w:tcPr>
            <w:tcW w:w="1304" w:type="dxa"/>
            <w:tcBorders>
              <w:top w:val="single" w:sz="4" w:space="0" w:color="000000"/>
            </w:tcBorders>
            <w:vAlign w:val="bottom"/>
          </w:tcPr>
          <w:p w14:paraId="126C9A88" w14:textId="77777777" w:rsidR="008E5DE4" w:rsidRDefault="008E5DE4">
            <w:pPr>
              <w:keepNext/>
              <w:keepLines/>
              <w:widowControl w:val="0"/>
              <w:pBdr>
                <w:top w:val="nil"/>
                <w:left w:val="nil"/>
                <w:bottom w:val="nil"/>
                <w:right w:val="nil"/>
                <w:between w:val="nil"/>
              </w:pBdr>
              <w:jc w:val="right"/>
              <w:rPr>
                <w:smallCaps/>
                <w:color w:val="000000"/>
              </w:rPr>
            </w:pPr>
          </w:p>
        </w:tc>
        <w:tc>
          <w:tcPr>
            <w:tcW w:w="1304" w:type="dxa"/>
            <w:tcBorders>
              <w:top w:val="single" w:sz="4" w:space="0" w:color="000000"/>
            </w:tcBorders>
            <w:vAlign w:val="bottom"/>
          </w:tcPr>
          <w:p w14:paraId="6B710E39" w14:textId="77777777" w:rsidR="008E5DE4" w:rsidRDefault="008E5DE4">
            <w:pPr>
              <w:keepNext/>
              <w:keepLines/>
              <w:widowControl w:val="0"/>
              <w:pBdr>
                <w:top w:val="nil"/>
                <w:left w:val="nil"/>
                <w:bottom w:val="nil"/>
                <w:right w:val="nil"/>
                <w:between w:val="nil"/>
              </w:pBdr>
              <w:jc w:val="right"/>
              <w:rPr>
                <w:smallCaps/>
                <w:color w:val="000000"/>
              </w:rPr>
            </w:pPr>
          </w:p>
        </w:tc>
      </w:tr>
      <w:tr w:rsidR="008E5DE4" w14:paraId="70F685C6" w14:textId="77777777">
        <w:trPr>
          <w:cantSplit/>
        </w:trPr>
        <w:tc>
          <w:tcPr>
            <w:tcW w:w="4820" w:type="dxa"/>
            <w:vAlign w:val="bottom"/>
          </w:tcPr>
          <w:p w14:paraId="673A579A" w14:textId="77777777" w:rsidR="008E5DE4" w:rsidRDefault="00780368">
            <w:pPr>
              <w:keepNext/>
              <w:keepLines/>
              <w:widowControl w:val="0"/>
              <w:pBdr>
                <w:top w:val="nil"/>
                <w:left w:val="nil"/>
                <w:bottom w:val="nil"/>
                <w:right w:val="nil"/>
                <w:between w:val="nil"/>
              </w:pBdr>
              <w:ind w:left="113" w:right="-57" w:hanging="113"/>
              <w:rPr>
                <w:b/>
                <w:smallCaps/>
                <w:color w:val="000000"/>
              </w:rPr>
            </w:pPr>
            <w:r>
              <w:rPr>
                <w:b/>
                <w:smallCaps/>
                <w:color w:val="000000"/>
              </w:rPr>
              <w:t>LIABILITIES</w:t>
            </w:r>
          </w:p>
        </w:tc>
        <w:tc>
          <w:tcPr>
            <w:tcW w:w="680" w:type="dxa"/>
            <w:vAlign w:val="bottom"/>
          </w:tcPr>
          <w:p w14:paraId="443FA1F6" w14:textId="77777777" w:rsidR="008E5DE4" w:rsidRDefault="008E5DE4">
            <w:pPr>
              <w:keepNext/>
              <w:keepLines/>
              <w:widowControl w:val="0"/>
              <w:pBdr>
                <w:top w:val="nil"/>
                <w:left w:val="nil"/>
                <w:bottom w:val="nil"/>
                <w:right w:val="nil"/>
                <w:between w:val="nil"/>
              </w:pBdr>
              <w:jc w:val="center"/>
              <w:rPr>
                <w:smallCaps/>
                <w:color w:val="000000"/>
              </w:rPr>
            </w:pPr>
          </w:p>
        </w:tc>
        <w:tc>
          <w:tcPr>
            <w:tcW w:w="1304" w:type="dxa"/>
            <w:vAlign w:val="bottom"/>
          </w:tcPr>
          <w:p w14:paraId="58352D3D" w14:textId="77777777" w:rsidR="008E5DE4" w:rsidRDefault="008E5DE4">
            <w:pPr>
              <w:keepNext/>
              <w:keepLines/>
              <w:widowControl w:val="0"/>
              <w:pBdr>
                <w:top w:val="nil"/>
                <w:left w:val="nil"/>
                <w:bottom w:val="nil"/>
                <w:right w:val="nil"/>
                <w:between w:val="nil"/>
              </w:pBdr>
              <w:jc w:val="right"/>
              <w:rPr>
                <w:smallCaps/>
                <w:color w:val="000000"/>
              </w:rPr>
            </w:pPr>
          </w:p>
        </w:tc>
        <w:tc>
          <w:tcPr>
            <w:tcW w:w="1304" w:type="dxa"/>
            <w:vAlign w:val="bottom"/>
          </w:tcPr>
          <w:p w14:paraId="0B1552F5" w14:textId="77777777" w:rsidR="008E5DE4" w:rsidRDefault="008E5DE4">
            <w:pPr>
              <w:keepNext/>
              <w:keepLines/>
              <w:widowControl w:val="0"/>
              <w:pBdr>
                <w:top w:val="nil"/>
                <w:left w:val="nil"/>
                <w:bottom w:val="nil"/>
                <w:right w:val="nil"/>
                <w:between w:val="nil"/>
              </w:pBdr>
              <w:jc w:val="right"/>
              <w:rPr>
                <w:smallCaps/>
                <w:color w:val="000000"/>
              </w:rPr>
            </w:pPr>
          </w:p>
        </w:tc>
        <w:tc>
          <w:tcPr>
            <w:tcW w:w="1304" w:type="dxa"/>
            <w:vAlign w:val="bottom"/>
          </w:tcPr>
          <w:p w14:paraId="4C1C33A8" w14:textId="77777777" w:rsidR="008E5DE4" w:rsidRDefault="008E5DE4">
            <w:pPr>
              <w:keepNext/>
              <w:keepLines/>
              <w:widowControl w:val="0"/>
              <w:pBdr>
                <w:top w:val="nil"/>
                <w:left w:val="nil"/>
                <w:bottom w:val="nil"/>
                <w:right w:val="nil"/>
                <w:between w:val="nil"/>
              </w:pBdr>
              <w:jc w:val="right"/>
              <w:rPr>
                <w:smallCaps/>
                <w:color w:val="000000"/>
              </w:rPr>
            </w:pPr>
          </w:p>
        </w:tc>
      </w:tr>
      <w:tr w:rsidR="008E5DE4" w14:paraId="1087B115" w14:textId="77777777">
        <w:trPr>
          <w:cantSplit/>
        </w:trPr>
        <w:tc>
          <w:tcPr>
            <w:tcW w:w="4820" w:type="dxa"/>
            <w:vAlign w:val="bottom"/>
          </w:tcPr>
          <w:p w14:paraId="3C7703A7"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680" w:type="dxa"/>
            <w:vAlign w:val="bottom"/>
          </w:tcPr>
          <w:p w14:paraId="3CD3E7EC" w14:textId="77777777" w:rsidR="008E5DE4" w:rsidRDefault="008E5DE4">
            <w:pPr>
              <w:keepNext/>
              <w:keepLines/>
              <w:widowControl w:val="0"/>
              <w:pBdr>
                <w:top w:val="nil"/>
                <w:left w:val="nil"/>
                <w:bottom w:val="nil"/>
                <w:right w:val="nil"/>
                <w:between w:val="nil"/>
              </w:pBdr>
              <w:jc w:val="center"/>
              <w:rPr>
                <w:color w:val="000000"/>
              </w:rPr>
            </w:pPr>
          </w:p>
        </w:tc>
        <w:tc>
          <w:tcPr>
            <w:tcW w:w="1304" w:type="dxa"/>
            <w:vAlign w:val="bottom"/>
          </w:tcPr>
          <w:p w14:paraId="287522CD"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30C4D2B0"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09D376F8" w14:textId="77777777" w:rsidR="008E5DE4" w:rsidRDefault="008E5DE4">
            <w:pPr>
              <w:keepNext/>
              <w:keepLines/>
              <w:widowControl w:val="0"/>
              <w:pBdr>
                <w:top w:val="nil"/>
                <w:left w:val="nil"/>
                <w:bottom w:val="nil"/>
                <w:right w:val="nil"/>
                <w:between w:val="nil"/>
              </w:pBdr>
              <w:jc w:val="right"/>
              <w:rPr>
                <w:color w:val="000000"/>
              </w:rPr>
            </w:pPr>
          </w:p>
        </w:tc>
      </w:tr>
      <w:tr w:rsidR="008E5DE4" w14:paraId="106E5C2E" w14:textId="77777777">
        <w:trPr>
          <w:cantSplit/>
        </w:trPr>
        <w:tc>
          <w:tcPr>
            <w:tcW w:w="4820" w:type="dxa"/>
            <w:vAlign w:val="bottom"/>
          </w:tcPr>
          <w:p w14:paraId="40A133D1" w14:textId="77777777" w:rsidR="008E5DE4" w:rsidRDefault="00780368">
            <w:pPr>
              <w:keepNext/>
              <w:keepLines/>
              <w:widowControl w:val="0"/>
              <w:pBdr>
                <w:top w:val="nil"/>
                <w:left w:val="nil"/>
                <w:bottom w:val="nil"/>
                <w:right w:val="nil"/>
                <w:between w:val="nil"/>
              </w:pBdr>
              <w:ind w:left="113" w:right="-57" w:hanging="113"/>
              <w:rPr>
                <w:b/>
                <w:color w:val="000000"/>
              </w:rPr>
            </w:pPr>
            <w:r>
              <w:rPr>
                <w:b/>
                <w:color w:val="000000"/>
              </w:rPr>
              <w:t>Non-current liabilities</w:t>
            </w:r>
          </w:p>
        </w:tc>
        <w:tc>
          <w:tcPr>
            <w:tcW w:w="680" w:type="dxa"/>
            <w:vAlign w:val="bottom"/>
          </w:tcPr>
          <w:p w14:paraId="034DB3D1" w14:textId="77777777" w:rsidR="008E5DE4" w:rsidRDefault="008E5DE4">
            <w:pPr>
              <w:keepNext/>
              <w:keepLines/>
              <w:widowControl w:val="0"/>
              <w:pBdr>
                <w:top w:val="nil"/>
                <w:left w:val="nil"/>
                <w:bottom w:val="nil"/>
                <w:right w:val="nil"/>
                <w:between w:val="nil"/>
              </w:pBdr>
              <w:jc w:val="center"/>
              <w:rPr>
                <w:color w:val="000000"/>
              </w:rPr>
            </w:pPr>
          </w:p>
        </w:tc>
        <w:tc>
          <w:tcPr>
            <w:tcW w:w="1304" w:type="dxa"/>
            <w:vAlign w:val="bottom"/>
          </w:tcPr>
          <w:p w14:paraId="56F81910"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06E6673D"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50135345" w14:textId="77777777" w:rsidR="008E5DE4" w:rsidRDefault="008E5DE4">
            <w:pPr>
              <w:keepNext/>
              <w:keepLines/>
              <w:widowControl w:val="0"/>
              <w:pBdr>
                <w:top w:val="nil"/>
                <w:left w:val="nil"/>
                <w:bottom w:val="nil"/>
                <w:right w:val="nil"/>
                <w:between w:val="nil"/>
              </w:pBdr>
              <w:jc w:val="right"/>
              <w:rPr>
                <w:color w:val="000000"/>
              </w:rPr>
            </w:pPr>
          </w:p>
        </w:tc>
      </w:tr>
      <w:tr w:rsidR="008E5DE4" w14:paraId="67CB46DA" w14:textId="77777777">
        <w:trPr>
          <w:cantSplit/>
        </w:trPr>
        <w:tc>
          <w:tcPr>
            <w:tcW w:w="4820" w:type="dxa"/>
            <w:vAlign w:val="bottom"/>
          </w:tcPr>
          <w:p w14:paraId="74D30994"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Borrowings</w:t>
            </w:r>
          </w:p>
        </w:tc>
        <w:tc>
          <w:tcPr>
            <w:tcW w:w="680" w:type="dxa"/>
            <w:vAlign w:val="bottom"/>
          </w:tcPr>
          <w:p w14:paraId="5F236DCC" w14:textId="77777777" w:rsidR="008E5DE4" w:rsidRDefault="00780368">
            <w:pPr>
              <w:keepNext/>
              <w:keepLines/>
              <w:widowControl w:val="0"/>
              <w:pBdr>
                <w:top w:val="nil"/>
                <w:left w:val="nil"/>
                <w:bottom w:val="nil"/>
                <w:right w:val="nil"/>
                <w:between w:val="nil"/>
              </w:pBdr>
              <w:jc w:val="center"/>
              <w:rPr>
                <w:color w:val="000000"/>
              </w:rPr>
            </w:pPr>
            <w:r>
              <w:rPr>
                <w:color w:val="000000"/>
              </w:rPr>
              <w:t>28</w:t>
            </w:r>
          </w:p>
        </w:tc>
        <w:tc>
          <w:tcPr>
            <w:tcW w:w="1304" w:type="dxa"/>
            <w:vAlign w:val="bottom"/>
          </w:tcPr>
          <w:p w14:paraId="6D380ED6"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1A9E1EE1"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3F137062" w14:textId="77777777" w:rsidR="008E5DE4" w:rsidRDefault="008E5DE4">
            <w:pPr>
              <w:keepNext/>
              <w:keepLines/>
              <w:widowControl w:val="0"/>
              <w:pBdr>
                <w:top w:val="nil"/>
                <w:left w:val="nil"/>
                <w:bottom w:val="nil"/>
                <w:right w:val="nil"/>
                <w:between w:val="nil"/>
              </w:pBdr>
              <w:jc w:val="right"/>
              <w:rPr>
                <w:color w:val="000000"/>
              </w:rPr>
            </w:pPr>
          </w:p>
        </w:tc>
      </w:tr>
      <w:tr w:rsidR="008E5DE4" w14:paraId="608ECFED" w14:textId="77777777">
        <w:trPr>
          <w:cantSplit/>
        </w:trPr>
        <w:tc>
          <w:tcPr>
            <w:tcW w:w="4820" w:type="dxa"/>
            <w:vAlign w:val="bottom"/>
          </w:tcPr>
          <w:p w14:paraId="7C69FE92"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Lease liabilities</w:t>
            </w:r>
          </w:p>
        </w:tc>
        <w:tc>
          <w:tcPr>
            <w:tcW w:w="680" w:type="dxa"/>
            <w:vAlign w:val="bottom"/>
          </w:tcPr>
          <w:p w14:paraId="09581E07" w14:textId="77777777" w:rsidR="008E5DE4" w:rsidRDefault="00780368">
            <w:pPr>
              <w:keepNext/>
              <w:keepLines/>
              <w:widowControl w:val="0"/>
              <w:pBdr>
                <w:top w:val="nil"/>
                <w:left w:val="nil"/>
                <w:bottom w:val="nil"/>
                <w:right w:val="nil"/>
                <w:between w:val="nil"/>
              </w:pBdr>
              <w:jc w:val="center"/>
              <w:rPr>
                <w:color w:val="000000"/>
              </w:rPr>
            </w:pPr>
            <w:r>
              <w:rPr>
                <w:color w:val="000000"/>
              </w:rPr>
              <w:t>11</w:t>
            </w:r>
          </w:p>
        </w:tc>
        <w:tc>
          <w:tcPr>
            <w:tcW w:w="1304" w:type="dxa"/>
            <w:vAlign w:val="bottom"/>
          </w:tcPr>
          <w:p w14:paraId="1484B71B"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42714201"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0DFDE6E0" w14:textId="77777777" w:rsidR="008E5DE4" w:rsidRDefault="008E5DE4">
            <w:pPr>
              <w:keepNext/>
              <w:keepLines/>
              <w:widowControl w:val="0"/>
              <w:pBdr>
                <w:top w:val="nil"/>
                <w:left w:val="nil"/>
                <w:bottom w:val="nil"/>
                <w:right w:val="nil"/>
                <w:between w:val="nil"/>
              </w:pBdr>
              <w:jc w:val="right"/>
              <w:rPr>
                <w:color w:val="000000"/>
              </w:rPr>
            </w:pPr>
          </w:p>
        </w:tc>
      </w:tr>
      <w:tr w:rsidR="008E5DE4" w14:paraId="282F7983" w14:textId="77777777">
        <w:trPr>
          <w:cantSplit/>
        </w:trPr>
        <w:tc>
          <w:tcPr>
            <w:tcW w:w="4820" w:type="dxa"/>
            <w:vAlign w:val="bottom"/>
          </w:tcPr>
          <w:p w14:paraId="61CBABE9"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Deferred income tax liabilities</w:t>
            </w:r>
          </w:p>
        </w:tc>
        <w:tc>
          <w:tcPr>
            <w:tcW w:w="680" w:type="dxa"/>
            <w:vAlign w:val="bottom"/>
          </w:tcPr>
          <w:p w14:paraId="5D8EEA4D" w14:textId="77777777" w:rsidR="008E5DE4" w:rsidRDefault="00780368">
            <w:pPr>
              <w:keepNext/>
              <w:keepLines/>
              <w:widowControl w:val="0"/>
              <w:pBdr>
                <w:top w:val="nil"/>
                <w:left w:val="nil"/>
                <w:bottom w:val="nil"/>
                <w:right w:val="nil"/>
                <w:between w:val="nil"/>
              </w:pBdr>
              <w:jc w:val="center"/>
              <w:rPr>
                <w:color w:val="000000"/>
              </w:rPr>
            </w:pPr>
            <w:r>
              <w:rPr>
                <w:color w:val="000000"/>
              </w:rPr>
              <w:t>38</w:t>
            </w:r>
          </w:p>
        </w:tc>
        <w:tc>
          <w:tcPr>
            <w:tcW w:w="1304" w:type="dxa"/>
            <w:vAlign w:val="bottom"/>
          </w:tcPr>
          <w:p w14:paraId="4EBF71F3"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21835949"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47050F79" w14:textId="77777777" w:rsidR="008E5DE4" w:rsidRDefault="008E5DE4">
            <w:pPr>
              <w:keepNext/>
              <w:keepLines/>
              <w:widowControl w:val="0"/>
              <w:pBdr>
                <w:top w:val="nil"/>
                <w:left w:val="nil"/>
                <w:bottom w:val="nil"/>
                <w:right w:val="nil"/>
                <w:between w:val="nil"/>
              </w:pBdr>
              <w:jc w:val="right"/>
              <w:rPr>
                <w:color w:val="000000"/>
              </w:rPr>
            </w:pPr>
          </w:p>
        </w:tc>
      </w:tr>
      <w:tr w:rsidR="008E5DE4" w14:paraId="030DF042" w14:textId="77777777">
        <w:trPr>
          <w:cantSplit/>
        </w:trPr>
        <w:tc>
          <w:tcPr>
            <w:tcW w:w="4820" w:type="dxa"/>
            <w:vAlign w:val="bottom"/>
          </w:tcPr>
          <w:p w14:paraId="4055674A"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Derivative liabilities</w:t>
            </w:r>
          </w:p>
        </w:tc>
        <w:tc>
          <w:tcPr>
            <w:tcW w:w="680" w:type="dxa"/>
            <w:vAlign w:val="bottom"/>
          </w:tcPr>
          <w:p w14:paraId="27684D6A" w14:textId="77777777" w:rsidR="008E5DE4" w:rsidRDefault="00780368">
            <w:pPr>
              <w:keepNext/>
              <w:keepLines/>
              <w:widowControl w:val="0"/>
              <w:pBdr>
                <w:top w:val="nil"/>
                <w:left w:val="nil"/>
                <w:bottom w:val="nil"/>
                <w:right w:val="nil"/>
                <w:between w:val="nil"/>
              </w:pBdr>
              <w:jc w:val="center"/>
              <w:rPr>
                <w:color w:val="000000"/>
              </w:rPr>
            </w:pPr>
            <w:r>
              <w:rPr>
                <w:color w:val="000000"/>
              </w:rPr>
              <w:t>46</w:t>
            </w:r>
          </w:p>
        </w:tc>
        <w:tc>
          <w:tcPr>
            <w:tcW w:w="1304" w:type="dxa"/>
            <w:vAlign w:val="bottom"/>
          </w:tcPr>
          <w:p w14:paraId="676E9294"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17FA2504"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726AB77B" w14:textId="77777777" w:rsidR="008E5DE4" w:rsidRDefault="008E5DE4">
            <w:pPr>
              <w:keepNext/>
              <w:keepLines/>
              <w:widowControl w:val="0"/>
              <w:pBdr>
                <w:top w:val="nil"/>
                <w:left w:val="nil"/>
                <w:bottom w:val="nil"/>
                <w:right w:val="nil"/>
                <w:between w:val="nil"/>
              </w:pBdr>
              <w:jc w:val="right"/>
              <w:rPr>
                <w:color w:val="000000"/>
              </w:rPr>
            </w:pPr>
          </w:p>
        </w:tc>
      </w:tr>
      <w:tr w:rsidR="008E5DE4" w14:paraId="7F8E4ACA" w14:textId="77777777">
        <w:trPr>
          <w:cantSplit/>
        </w:trPr>
        <w:tc>
          <w:tcPr>
            <w:tcW w:w="4820" w:type="dxa"/>
            <w:vAlign w:val="bottom"/>
          </w:tcPr>
          <w:p w14:paraId="48C6D02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Other taxes payable</w:t>
            </w:r>
          </w:p>
        </w:tc>
        <w:tc>
          <w:tcPr>
            <w:tcW w:w="680" w:type="dxa"/>
            <w:vAlign w:val="bottom"/>
          </w:tcPr>
          <w:p w14:paraId="0E2BEFD1" w14:textId="77777777" w:rsidR="008E5DE4" w:rsidRDefault="00780368">
            <w:pPr>
              <w:keepNext/>
              <w:keepLines/>
              <w:widowControl w:val="0"/>
              <w:pBdr>
                <w:top w:val="nil"/>
                <w:left w:val="nil"/>
                <w:bottom w:val="nil"/>
                <w:right w:val="nil"/>
                <w:between w:val="nil"/>
              </w:pBdr>
              <w:jc w:val="center"/>
              <w:rPr>
                <w:color w:val="000000"/>
              </w:rPr>
            </w:pPr>
            <w:r>
              <w:rPr>
                <w:color w:val="000000"/>
              </w:rPr>
              <w:t>31</w:t>
            </w:r>
          </w:p>
        </w:tc>
        <w:tc>
          <w:tcPr>
            <w:tcW w:w="1304" w:type="dxa"/>
            <w:vAlign w:val="bottom"/>
          </w:tcPr>
          <w:p w14:paraId="469BDD46"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648490AF"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4CAF63A3" w14:textId="77777777" w:rsidR="008E5DE4" w:rsidRDefault="008E5DE4">
            <w:pPr>
              <w:keepNext/>
              <w:keepLines/>
              <w:widowControl w:val="0"/>
              <w:pBdr>
                <w:top w:val="nil"/>
                <w:left w:val="nil"/>
                <w:bottom w:val="nil"/>
                <w:right w:val="nil"/>
                <w:between w:val="nil"/>
              </w:pBdr>
              <w:jc w:val="right"/>
              <w:rPr>
                <w:color w:val="000000"/>
              </w:rPr>
            </w:pPr>
          </w:p>
        </w:tc>
      </w:tr>
      <w:tr w:rsidR="008E5DE4" w14:paraId="5432F1D1" w14:textId="77777777">
        <w:trPr>
          <w:cantSplit/>
        </w:trPr>
        <w:tc>
          <w:tcPr>
            <w:tcW w:w="4820" w:type="dxa"/>
            <w:vAlign w:val="bottom"/>
          </w:tcPr>
          <w:p w14:paraId="10D81AC7"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Provision for asset retirement obligations</w:t>
            </w:r>
          </w:p>
        </w:tc>
        <w:tc>
          <w:tcPr>
            <w:tcW w:w="680" w:type="dxa"/>
            <w:vAlign w:val="bottom"/>
          </w:tcPr>
          <w:p w14:paraId="4D87ED47" w14:textId="77777777" w:rsidR="008E5DE4" w:rsidRDefault="00780368">
            <w:pPr>
              <w:keepNext/>
              <w:keepLines/>
              <w:widowControl w:val="0"/>
              <w:pBdr>
                <w:top w:val="nil"/>
                <w:left w:val="nil"/>
                <w:bottom w:val="nil"/>
                <w:right w:val="nil"/>
                <w:between w:val="nil"/>
              </w:pBdr>
              <w:jc w:val="center"/>
              <w:rPr>
                <w:color w:val="000000"/>
              </w:rPr>
            </w:pPr>
            <w:r>
              <w:rPr>
                <w:color w:val="000000"/>
              </w:rPr>
              <w:t>31</w:t>
            </w:r>
          </w:p>
        </w:tc>
        <w:tc>
          <w:tcPr>
            <w:tcW w:w="1304" w:type="dxa"/>
            <w:vAlign w:val="bottom"/>
          </w:tcPr>
          <w:p w14:paraId="72A6A457"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7DFB9EDA"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390A1E23" w14:textId="77777777" w:rsidR="008E5DE4" w:rsidRDefault="008E5DE4">
            <w:pPr>
              <w:keepNext/>
              <w:keepLines/>
              <w:widowControl w:val="0"/>
              <w:pBdr>
                <w:top w:val="nil"/>
                <w:left w:val="nil"/>
                <w:bottom w:val="nil"/>
                <w:right w:val="nil"/>
                <w:between w:val="nil"/>
              </w:pBdr>
              <w:jc w:val="right"/>
              <w:rPr>
                <w:color w:val="000000"/>
              </w:rPr>
            </w:pPr>
          </w:p>
        </w:tc>
      </w:tr>
      <w:tr w:rsidR="008E5DE4" w14:paraId="7F9FA9DA" w14:textId="77777777">
        <w:trPr>
          <w:cantSplit/>
        </w:trPr>
        <w:tc>
          <w:tcPr>
            <w:tcW w:w="4820" w:type="dxa"/>
            <w:vAlign w:val="bottom"/>
          </w:tcPr>
          <w:p w14:paraId="4173B53E"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Other non-current liabilities</w:t>
            </w:r>
          </w:p>
        </w:tc>
        <w:tc>
          <w:tcPr>
            <w:tcW w:w="680" w:type="dxa"/>
            <w:vAlign w:val="bottom"/>
          </w:tcPr>
          <w:p w14:paraId="0EFCEEF5" w14:textId="77777777" w:rsidR="008E5DE4" w:rsidRDefault="008E5DE4">
            <w:pPr>
              <w:keepNext/>
              <w:keepLines/>
              <w:widowControl w:val="0"/>
              <w:pBdr>
                <w:top w:val="nil"/>
                <w:left w:val="nil"/>
                <w:bottom w:val="nil"/>
                <w:right w:val="nil"/>
                <w:between w:val="nil"/>
              </w:pBdr>
              <w:jc w:val="center"/>
              <w:rPr>
                <w:color w:val="000000"/>
              </w:rPr>
            </w:pPr>
          </w:p>
        </w:tc>
        <w:tc>
          <w:tcPr>
            <w:tcW w:w="1304" w:type="dxa"/>
            <w:vAlign w:val="bottom"/>
          </w:tcPr>
          <w:p w14:paraId="1867E1E8"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64523DE5"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421D785F" w14:textId="77777777" w:rsidR="008E5DE4" w:rsidRDefault="008E5DE4">
            <w:pPr>
              <w:keepNext/>
              <w:keepLines/>
              <w:widowControl w:val="0"/>
              <w:pBdr>
                <w:top w:val="nil"/>
                <w:left w:val="nil"/>
                <w:bottom w:val="nil"/>
                <w:right w:val="nil"/>
                <w:between w:val="nil"/>
              </w:pBdr>
              <w:jc w:val="right"/>
              <w:rPr>
                <w:color w:val="000000"/>
              </w:rPr>
            </w:pPr>
          </w:p>
        </w:tc>
      </w:tr>
      <w:tr w:rsidR="008E5DE4" w14:paraId="3DC7A849" w14:textId="77777777">
        <w:trPr>
          <w:cantSplit/>
        </w:trPr>
        <w:tc>
          <w:tcPr>
            <w:tcW w:w="4820" w:type="dxa"/>
            <w:vAlign w:val="bottom"/>
          </w:tcPr>
          <w:p w14:paraId="2B440C21"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Deferred income</w:t>
            </w:r>
          </w:p>
        </w:tc>
        <w:tc>
          <w:tcPr>
            <w:tcW w:w="680" w:type="dxa"/>
            <w:vAlign w:val="bottom"/>
          </w:tcPr>
          <w:p w14:paraId="6C92123F" w14:textId="77777777" w:rsidR="008E5DE4" w:rsidRDefault="00780368">
            <w:pPr>
              <w:keepNext/>
              <w:keepLines/>
              <w:widowControl w:val="0"/>
              <w:pBdr>
                <w:top w:val="nil"/>
                <w:left w:val="nil"/>
                <w:bottom w:val="nil"/>
                <w:right w:val="nil"/>
                <w:between w:val="nil"/>
              </w:pBdr>
              <w:jc w:val="center"/>
              <w:rPr>
                <w:color w:val="000000"/>
              </w:rPr>
            </w:pPr>
            <w:r>
              <w:rPr>
                <w:color w:val="000000"/>
              </w:rPr>
              <w:t>29</w:t>
            </w:r>
          </w:p>
        </w:tc>
        <w:tc>
          <w:tcPr>
            <w:tcW w:w="1304" w:type="dxa"/>
            <w:vAlign w:val="bottom"/>
          </w:tcPr>
          <w:p w14:paraId="3AD2E6EF"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47F235F7"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320D2816" w14:textId="77777777" w:rsidR="008E5DE4" w:rsidRDefault="008E5DE4">
            <w:pPr>
              <w:keepNext/>
              <w:keepLines/>
              <w:widowControl w:val="0"/>
              <w:pBdr>
                <w:top w:val="nil"/>
                <w:left w:val="nil"/>
                <w:bottom w:val="nil"/>
                <w:right w:val="nil"/>
                <w:between w:val="nil"/>
              </w:pBdr>
              <w:jc w:val="right"/>
              <w:rPr>
                <w:color w:val="000000"/>
              </w:rPr>
            </w:pPr>
          </w:p>
        </w:tc>
      </w:tr>
      <w:tr w:rsidR="008E5DE4" w14:paraId="6939869D" w14:textId="77777777">
        <w:trPr>
          <w:cantSplit/>
        </w:trPr>
        <w:tc>
          <w:tcPr>
            <w:tcW w:w="4820" w:type="dxa"/>
            <w:tcBorders>
              <w:bottom w:val="single" w:sz="4" w:space="0" w:color="000000"/>
            </w:tcBorders>
            <w:vAlign w:val="bottom"/>
          </w:tcPr>
          <w:p w14:paraId="2F8FDF9F" w14:textId="77777777" w:rsidR="008E5DE4" w:rsidRDefault="00780368">
            <w:pPr>
              <w:keepNext/>
              <w:keepLines/>
              <w:widowControl w:val="0"/>
              <w:pBdr>
                <w:top w:val="nil"/>
                <w:left w:val="nil"/>
                <w:bottom w:val="nil"/>
                <w:right w:val="nil"/>
                <w:between w:val="nil"/>
              </w:pBdr>
              <w:ind w:left="113" w:right="-57" w:hanging="113"/>
              <w:rPr>
                <w:b/>
                <w:color w:val="000000"/>
              </w:rPr>
            </w:pPr>
            <w:r>
              <w:rPr>
                <w:color w:val="000000"/>
              </w:rPr>
              <w:t> </w:t>
            </w:r>
          </w:p>
        </w:tc>
        <w:tc>
          <w:tcPr>
            <w:tcW w:w="680" w:type="dxa"/>
            <w:tcBorders>
              <w:bottom w:val="single" w:sz="4" w:space="0" w:color="000000"/>
            </w:tcBorders>
            <w:vAlign w:val="bottom"/>
          </w:tcPr>
          <w:p w14:paraId="3D82AE34" w14:textId="77777777" w:rsidR="008E5DE4" w:rsidRDefault="008E5DE4">
            <w:pPr>
              <w:keepNext/>
              <w:keepLines/>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5961D9C1"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19EBAB4A"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0116F820" w14:textId="77777777" w:rsidR="008E5DE4" w:rsidRDefault="008E5DE4">
            <w:pPr>
              <w:keepNext/>
              <w:keepLines/>
              <w:widowControl w:val="0"/>
              <w:pBdr>
                <w:top w:val="nil"/>
                <w:left w:val="nil"/>
                <w:bottom w:val="nil"/>
                <w:right w:val="nil"/>
                <w:between w:val="nil"/>
              </w:pBdr>
              <w:jc w:val="right"/>
              <w:rPr>
                <w:color w:val="000000"/>
              </w:rPr>
            </w:pPr>
          </w:p>
        </w:tc>
      </w:tr>
      <w:tr w:rsidR="008E5DE4" w14:paraId="144BE927" w14:textId="77777777">
        <w:trPr>
          <w:cantSplit/>
        </w:trPr>
        <w:tc>
          <w:tcPr>
            <w:tcW w:w="4820" w:type="dxa"/>
            <w:tcBorders>
              <w:top w:val="single" w:sz="4" w:space="0" w:color="000000"/>
            </w:tcBorders>
            <w:vAlign w:val="bottom"/>
          </w:tcPr>
          <w:p w14:paraId="5EEE2E92" w14:textId="77777777" w:rsidR="008E5DE4" w:rsidRDefault="00780368">
            <w:pPr>
              <w:keepNext/>
              <w:keepLines/>
              <w:widowControl w:val="0"/>
              <w:pBdr>
                <w:top w:val="nil"/>
                <w:left w:val="nil"/>
                <w:bottom w:val="nil"/>
                <w:right w:val="nil"/>
                <w:between w:val="nil"/>
              </w:pBdr>
              <w:ind w:left="113" w:right="-57" w:hanging="113"/>
              <w:rPr>
                <w:b/>
                <w:color w:val="000000"/>
              </w:rPr>
            </w:pPr>
            <w:r>
              <w:rPr>
                <w:color w:val="000000"/>
              </w:rPr>
              <w:t> </w:t>
            </w:r>
          </w:p>
        </w:tc>
        <w:tc>
          <w:tcPr>
            <w:tcW w:w="680" w:type="dxa"/>
            <w:tcBorders>
              <w:top w:val="single" w:sz="4" w:space="0" w:color="000000"/>
            </w:tcBorders>
            <w:vAlign w:val="bottom"/>
          </w:tcPr>
          <w:p w14:paraId="727D6DCE" w14:textId="77777777" w:rsidR="008E5DE4" w:rsidRDefault="008E5DE4">
            <w:pPr>
              <w:keepNext/>
              <w:keepLines/>
              <w:widowControl w:val="0"/>
              <w:pBdr>
                <w:top w:val="nil"/>
                <w:left w:val="nil"/>
                <w:bottom w:val="nil"/>
                <w:right w:val="nil"/>
                <w:between w:val="nil"/>
              </w:pBdr>
              <w:jc w:val="center"/>
              <w:rPr>
                <w:color w:val="000000"/>
              </w:rPr>
            </w:pPr>
          </w:p>
        </w:tc>
        <w:tc>
          <w:tcPr>
            <w:tcW w:w="1304" w:type="dxa"/>
            <w:tcBorders>
              <w:top w:val="single" w:sz="4" w:space="0" w:color="000000"/>
            </w:tcBorders>
            <w:vAlign w:val="bottom"/>
          </w:tcPr>
          <w:p w14:paraId="50EA5EB6"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4A405517"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210D3F8E" w14:textId="77777777" w:rsidR="008E5DE4" w:rsidRDefault="008E5DE4">
            <w:pPr>
              <w:keepNext/>
              <w:keepLines/>
              <w:widowControl w:val="0"/>
              <w:pBdr>
                <w:top w:val="nil"/>
                <w:left w:val="nil"/>
                <w:bottom w:val="nil"/>
                <w:right w:val="nil"/>
                <w:between w:val="nil"/>
              </w:pBdr>
              <w:jc w:val="right"/>
              <w:rPr>
                <w:color w:val="000000"/>
              </w:rPr>
            </w:pPr>
          </w:p>
        </w:tc>
      </w:tr>
      <w:tr w:rsidR="008E5DE4" w14:paraId="11F7CEAC" w14:textId="77777777">
        <w:trPr>
          <w:cantSplit/>
        </w:trPr>
        <w:tc>
          <w:tcPr>
            <w:tcW w:w="4820" w:type="dxa"/>
            <w:vAlign w:val="bottom"/>
          </w:tcPr>
          <w:p w14:paraId="3F3C4A58" w14:textId="77777777" w:rsidR="008E5DE4" w:rsidRDefault="00780368">
            <w:pPr>
              <w:keepNext/>
              <w:keepLines/>
              <w:widowControl w:val="0"/>
              <w:pBdr>
                <w:top w:val="nil"/>
                <w:left w:val="nil"/>
                <w:bottom w:val="nil"/>
                <w:right w:val="nil"/>
                <w:between w:val="nil"/>
              </w:pBdr>
              <w:ind w:left="113" w:right="-57" w:hanging="113"/>
              <w:rPr>
                <w:color w:val="000000"/>
              </w:rPr>
            </w:pPr>
            <w:r>
              <w:rPr>
                <w:b/>
                <w:color w:val="000000"/>
              </w:rPr>
              <w:t>Total non-current liabilities</w:t>
            </w:r>
          </w:p>
        </w:tc>
        <w:tc>
          <w:tcPr>
            <w:tcW w:w="680" w:type="dxa"/>
            <w:vAlign w:val="bottom"/>
          </w:tcPr>
          <w:p w14:paraId="06FCEF42" w14:textId="77777777" w:rsidR="008E5DE4" w:rsidRDefault="008E5DE4">
            <w:pPr>
              <w:keepNext/>
              <w:keepLines/>
              <w:widowControl w:val="0"/>
              <w:pBdr>
                <w:top w:val="nil"/>
                <w:left w:val="nil"/>
                <w:bottom w:val="nil"/>
                <w:right w:val="nil"/>
                <w:between w:val="nil"/>
              </w:pBdr>
              <w:jc w:val="center"/>
              <w:rPr>
                <w:color w:val="000000"/>
              </w:rPr>
            </w:pPr>
          </w:p>
        </w:tc>
        <w:tc>
          <w:tcPr>
            <w:tcW w:w="1304" w:type="dxa"/>
            <w:vAlign w:val="bottom"/>
          </w:tcPr>
          <w:p w14:paraId="30736FEC"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57998C5F"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38AAF7F9" w14:textId="77777777" w:rsidR="008E5DE4" w:rsidRDefault="008E5DE4">
            <w:pPr>
              <w:keepNext/>
              <w:keepLines/>
              <w:widowControl w:val="0"/>
              <w:pBdr>
                <w:top w:val="nil"/>
                <w:left w:val="nil"/>
                <w:bottom w:val="nil"/>
                <w:right w:val="nil"/>
                <w:between w:val="nil"/>
              </w:pBdr>
              <w:jc w:val="right"/>
              <w:rPr>
                <w:color w:val="000000"/>
              </w:rPr>
            </w:pPr>
          </w:p>
        </w:tc>
      </w:tr>
      <w:tr w:rsidR="008E5DE4" w14:paraId="31E451CE" w14:textId="77777777">
        <w:trPr>
          <w:cantSplit/>
        </w:trPr>
        <w:tc>
          <w:tcPr>
            <w:tcW w:w="4820" w:type="dxa"/>
            <w:tcBorders>
              <w:bottom w:val="single" w:sz="4" w:space="0" w:color="000000"/>
            </w:tcBorders>
            <w:vAlign w:val="bottom"/>
          </w:tcPr>
          <w:p w14:paraId="6AC04D56" w14:textId="77777777" w:rsidR="008E5DE4" w:rsidRDefault="00780368">
            <w:pPr>
              <w:keepNext/>
              <w:keepLines/>
              <w:widowControl w:val="0"/>
              <w:pBdr>
                <w:top w:val="nil"/>
                <w:left w:val="nil"/>
                <w:bottom w:val="nil"/>
                <w:right w:val="nil"/>
                <w:between w:val="nil"/>
              </w:pBdr>
              <w:ind w:left="113" w:right="-57" w:hanging="113"/>
              <w:rPr>
                <w:b/>
                <w:color w:val="000000"/>
              </w:rPr>
            </w:pPr>
            <w:r>
              <w:rPr>
                <w:color w:val="000000"/>
              </w:rPr>
              <w:t> </w:t>
            </w:r>
          </w:p>
        </w:tc>
        <w:tc>
          <w:tcPr>
            <w:tcW w:w="680" w:type="dxa"/>
            <w:tcBorders>
              <w:bottom w:val="single" w:sz="4" w:space="0" w:color="000000"/>
            </w:tcBorders>
            <w:vAlign w:val="bottom"/>
          </w:tcPr>
          <w:p w14:paraId="6E63C690" w14:textId="77777777" w:rsidR="008E5DE4" w:rsidRDefault="008E5DE4">
            <w:pPr>
              <w:keepNext/>
              <w:keepLines/>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04C578DA"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26BA0476"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4949DE5C" w14:textId="77777777" w:rsidR="008E5DE4" w:rsidRDefault="008E5DE4">
            <w:pPr>
              <w:keepNext/>
              <w:keepLines/>
              <w:widowControl w:val="0"/>
              <w:pBdr>
                <w:top w:val="nil"/>
                <w:left w:val="nil"/>
                <w:bottom w:val="nil"/>
                <w:right w:val="nil"/>
                <w:between w:val="nil"/>
              </w:pBdr>
              <w:jc w:val="right"/>
              <w:rPr>
                <w:color w:val="000000"/>
              </w:rPr>
            </w:pPr>
          </w:p>
        </w:tc>
      </w:tr>
      <w:tr w:rsidR="008E5DE4" w14:paraId="49B13165" w14:textId="77777777">
        <w:trPr>
          <w:cantSplit/>
        </w:trPr>
        <w:tc>
          <w:tcPr>
            <w:tcW w:w="4820" w:type="dxa"/>
            <w:tcBorders>
              <w:top w:val="single" w:sz="4" w:space="0" w:color="000000"/>
            </w:tcBorders>
            <w:vAlign w:val="bottom"/>
          </w:tcPr>
          <w:p w14:paraId="1F23124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680" w:type="dxa"/>
            <w:tcBorders>
              <w:top w:val="single" w:sz="4" w:space="0" w:color="000000"/>
            </w:tcBorders>
            <w:vAlign w:val="bottom"/>
          </w:tcPr>
          <w:p w14:paraId="1F80B104" w14:textId="77777777" w:rsidR="008E5DE4" w:rsidRDefault="008E5DE4">
            <w:pPr>
              <w:keepNext/>
              <w:keepLines/>
              <w:widowControl w:val="0"/>
              <w:pBdr>
                <w:top w:val="nil"/>
                <w:left w:val="nil"/>
                <w:bottom w:val="nil"/>
                <w:right w:val="nil"/>
                <w:between w:val="nil"/>
              </w:pBdr>
              <w:jc w:val="center"/>
              <w:rPr>
                <w:color w:val="000000"/>
              </w:rPr>
            </w:pPr>
          </w:p>
        </w:tc>
        <w:tc>
          <w:tcPr>
            <w:tcW w:w="1304" w:type="dxa"/>
            <w:tcBorders>
              <w:top w:val="single" w:sz="4" w:space="0" w:color="000000"/>
            </w:tcBorders>
            <w:vAlign w:val="bottom"/>
          </w:tcPr>
          <w:p w14:paraId="2713B907"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3AADFB77"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3F94C75E" w14:textId="77777777" w:rsidR="008E5DE4" w:rsidRDefault="008E5DE4">
            <w:pPr>
              <w:keepNext/>
              <w:keepLines/>
              <w:widowControl w:val="0"/>
              <w:pBdr>
                <w:top w:val="nil"/>
                <w:left w:val="nil"/>
                <w:bottom w:val="nil"/>
                <w:right w:val="nil"/>
                <w:between w:val="nil"/>
              </w:pBdr>
              <w:jc w:val="right"/>
              <w:rPr>
                <w:color w:val="000000"/>
              </w:rPr>
            </w:pPr>
          </w:p>
        </w:tc>
      </w:tr>
      <w:tr w:rsidR="008E5DE4" w14:paraId="1520472F" w14:textId="77777777">
        <w:trPr>
          <w:cantSplit/>
        </w:trPr>
        <w:tc>
          <w:tcPr>
            <w:tcW w:w="4820" w:type="dxa"/>
            <w:vAlign w:val="bottom"/>
          </w:tcPr>
          <w:p w14:paraId="2DC0DE23" w14:textId="77777777" w:rsidR="008E5DE4" w:rsidRDefault="00780368">
            <w:pPr>
              <w:widowControl w:val="0"/>
              <w:pBdr>
                <w:top w:val="nil"/>
                <w:left w:val="nil"/>
                <w:bottom w:val="nil"/>
                <w:right w:val="nil"/>
                <w:between w:val="nil"/>
              </w:pBdr>
              <w:ind w:left="113" w:right="-57" w:hanging="113"/>
              <w:rPr>
                <w:b/>
                <w:color w:val="000000"/>
              </w:rPr>
            </w:pPr>
            <w:r>
              <w:rPr>
                <w:b/>
                <w:color w:val="000000"/>
              </w:rPr>
              <w:t>Current liabilities</w:t>
            </w:r>
          </w:p>
        </w:tc>
        <w:tc>
          <w:tcPr>
            <w:tcW w:w="680" w:type="dxa"/>
            <w:vAlign w:val="bottom"/>
          </w:tcPr>
          <w:p w14:paraId="5B16B483"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1117F09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E759304"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F95E934" w14:textId="77777777" w:rsidR="008E5DE4" w:rsidRDefault="008E5DE4">
            <w:pPr>
              <w:widowControl w:val="0"/>
              <w:pBdr>
                <w:top w:val="nil"/>
                <w:left w:val="nil"/>
                <w:bottom w:val="nil"/>
                <w:right w:val="nil"/>
                <w:between w:val="nil"/>
              </w:pBdr>
              <w:jc w:val="right"/>
              <w:rPr>
                <w:color w:val="000000"/>
              </w:rPr>
            </w:pPr>
          </w:p>
        </w:tc>
      </w:tr>
      <w:tr w:rsidR="008E5DE4" w14:paraId="7147A641" w14:textId="77777777">
        <w:trPr>
          <w:cantSplit/>
        </w:trPr>
        <w:tc>
          <w:tcPr>
            <w:tcW w:w="4820" w:type="dxa"/>
            <w:vAlign w:val="bottom"/>
          </w:tcPr>
          <w:p w14:paraId="1257A101" w14:textId="77777777" w:rsidR="008E5DE4" w:rsidRDefault="00780368">
            <w:pPr>
              <w:widowControl w:val="0"/>
              <w:pBdr>
                <w:top w:val="nil"/>
                <w:left w:val="nil"/>
                <w:bottom w:val="nil"/>
                <w:right w:val="nil"/>
                <w:between w:val="nil"/>
              </w:pBdr>
              <w:ind w:left="113" w:right="-57" w:hanging="113"/>
              <w:rPr>
                <w:color w:val="000000"/>
              </w:rPr>
            </w:pPr>
            <w:r>
              <w:rPr>
                <w:color w:val="000000"/>
              </w:rPr>
              <w:t>Borrowings</w:t>
            </w:r>
          </w:p>
        </w:tc>
        <w:tc>
          <w:tcPr>
            <w:tcW w:w="680" w:type="dxa"/>
            <w:vAlign w:val="bottom"/>
          </w:tcPr>
          <w:p w14:paraId="46C86F6A" w14:textId="77777777" w:rsidR="008E5DE4" w:rsidRDefault="00780368">
            <w:pPr>
              <w:widowControl w:val="0"/>
              <w:pBdr>
                <w:top w:val="nil"/>
                <w:left w:val="nil"/>
                <w:bottom w:val="nil"/>
                <w:right w:val="nil"/>
                <w:between w:val="nil"/>
              </w:pBdr>
              <w:jc w:val="center"/>
              <w:rPr>
                <w:color w:val="000000"/>
              </w:rPr>
            </w:pPr>
            <w:r>
              <w:rPr>
                <w:color w:val="000000"/>
              </w:rPr>
              <w:t>28</w:t>
            </w:r>
          </w:p>
        </w:tc>
        <w:tc>
          <w:tcPr>
            <w:tcW w:w="1304" w:type="dxa"/>
            <w:vAlign w:val="bottom"/>
          </w:tcPr>
          <w:p w14:paraId="12671D5D"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8DE22D3"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CEAA84F" w14:textId="77777777" w:rsidR="008E5DE4" w:rsidRDefault="008E5DE4">
            <w:pPr>
              <w:widowControl w:val="0"/>
              <w:pBdr>
                <w:top w:val="nil"/>
                <w:left w:val="nil"/>
                <w:bottom w:val="nil"/>
                <w:right w:val="nil"/>
                <w:between w:val="nil"/>
              </w:pBdr>
              <w:jc w:val="right"/>
              <w:rPr>
                <w:color w:val="000000"/>
              </w:rPr>
            </w:pPr>
          </w:p>
        </w:tc>
      </w:tr>
      <w:tr w:rsidR="008E5DE4" w14:paraId="19182AEE" w14:textId="77777777">
        <w:trPr>
          <w:cantSplit/>
        </w:trPr>
        <w:tc>
          <w:tcPr>
            <w:tcW w:w="4820" w:type="dxa"/>
            <w:vAlign w:val="bottom"/>
          </w:tcPr>
          <w:p w14:paraId="64C1F75C" w14:textId="77777777" w:rsidR="008E5DE4" w:rsidRDefault="00780368">
            <w:pPr>
              <w:widowControl w:val="0"/>
              <w:pBdr>
                <w:top w:val="nil"/>
                <w:left w:val="nil"/>
                <w:bottom w:val="nil"/>
                <w:right w:val="nil"/>
                <w:between w:val="nil"/>
              </w:pBdr>
              <w:ind w:left="113" w:right="-57" w:hanging="113"/>
              <w:rPr>
                <w:color w:val="000000"/>
              </w:rPr>
            </w:pPr>
            <w:r>
              <w:rPr>
                <w:color w:val="000000"/>
              </w:rPr>
              <w:t>Lease liabilities</w:t>
            </w:r>
          </w:p>
        </w:tc>
        <w:tc>
          <w:tcPr>
            <w:tcW w:w="680" w:type="dxa"/>
            <w:vAlign w:val="bottom"/>
          </w:tcPr>
          <w:p w14:paraId="003B660F" w14:textId="77777777" w:rsidR="008E5DE4" w:rsidRDefault="00780368">
            <w:pPr>
              <w:widowControl w:val="0"/>
              <w:pBdr>
                <w:top w:val="nil"/>
                <w:left w:val="nil"/>
                <w:bottom w:val="nil"/>
                <w:right w:val="nil"/>
                <w:between w:val="nil"/>
              </w:pBdr>
              <w:jc w:val="center"/>
              <w:rPr>
                <w:color w:val="000000"/>
              </w:rPr>
            </w:pPr>
            <w:r>
              <w:rPr>
                <w:color w:val="000000"/>
              </w:rPr>
              <w:t>11</w:t>
            </w:r>
          </w:p>
        </w:tc>
        <w:tc>
          <w:tcPr>
            <w:tcW w:w="1304" w:type="dxa"/>
            <w:vAlign w:val="bottom"/>
          </w:tcPr>
          <w:p w14:paraId="01C6F49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8A10B1C" w14:textId="77777777" w:rsidR="008E5DE4" w:rsidRDefault="00780368">
            <w:pPr>
              <w:widowControl w:val="0"/>
              <w:pBdr>
                <w:top w:val="nil"/>
                <w:left w:val="nil"/>
                <w:bottom w:val="nil"/>
                <w:right w:val="nil"/>
                <w:between w:val="nil"/>
              </w:pBdr>
              <w:jc w:val="right"/>
              <w:rPr>
                <w:color w:val="000000"/>
              </w:rPr>
            </w:pPr>
            <w:r>
              <w:rPr>
                <w:color w:val="000000"/>
              </w:rPr>
              <w:t>-</w:t>
            </w:r>
          </w:p>
        </w:tc>
        <w:tc>
          <w:tcPr>
            <w:tcW w:w="1304" w:type="dxa"/>
            <w:vAlign w:val="bottom"/>
          </w:tcPr>
          <w:p w14:paraId="65340E5E" w14:textId="77777777" w:rsidR="008E5DE4" w:rsidRDefault="00780368">
            <w:pPr>
              <w:widowControl w:val="0"/>
              <w:pBdr>
                <w:top w:val="nil"/>
                <w:left w:val="nil"/>
                <w:bottom w:val="nil"/>
                <w:right w:val="nil"/>
                <w:between w:val="nil"/>
              </w:pBdr>
              <w:jc w:val="right"/>
              <w:rPr>
                <w:color w:val="000000"/>
              </w:rPr>
            </w:pPr>
            <w:r>
              <w:rPr>
                <w:color w:val="000000"/>
              </w:rPr>
              <w:t>-</w:t>
            </w:r>
          </w:p>
        </w:tc>
      </w:tr>
      <w:tr w:rsidR="008E5DE4" w14:paraId="63703A19" w14:textId="77777777">
        <w:trPr>
          <w:cantSplit/>
        </w:trPr>
        <w:tc>
          <w:tcPr>
            <w:tcW w:w="4820" w:type="dxa"/>
            <w:vAlign w:val="bottom"/>
          </w:tcPr>
          <w:p w14:paraId="4F33ACD3" w14:textId="77777777" w:rsidR="008E5DE4" w:rsidRDefault="00780368">
            <w:pPr>
              <w:widowControl w:val="0"/>
              <w:pBdr>
                <w:top w:val="nil"/>
                <w:left w:val="nil"/>
                <w:bottom w:val="nil"/>
                <w:right w:val="nil"/>
                <w:between w:val="nil"/>
              </w:pBdr>
              <w:ind w:left="113" w:right="-57" w:hanging="113"/>
              <w:rPr>
                <w:color w:val="000000"/>
              </w:rPr>
            </w:pPr>
            <w:r>
              <w:rPr>
                <w:color w:val="000000"/>
              </w:rPr>
              <w:t>Trade and other payables</w:t>
            </w:r>
          </w:p>
        </w:tc>
        <w:tc>
          <w:tcPr>
            <w:tcW w:w="680" w:type="dxa"/>
            <w:vAlign w:val="bottom"/>
          </w:tcPr>
          <w:p w14:paraId="0C79F59E" w14:textId="77777777" w:rsidR="008E5DE4" w:rsidRDefault="00780368">
            <w:pPr>
              <w:widowControl w:val="0"/>
              <w:pBdr>
                <w:top w:val="nil"/>
                <w:left w:val="nil"/>
                <w:bottom w:val="nil"/>
                <w:right w:val="nil"/>
                <w:between w:val="nil"/>
              </w:pBdr>
              <w:jc w:val="center"/>
              <w:rPr>
                <w:color w:val="000000"/>
              </w:rPr>
            </w:pPr>
            <w:r>
              <w:rPr>
                <w:color w:val="000000"/>
              </w:rPr>
              <w:t>34</w:t>
            </w:r>
          </w:p>
        </w:tc>
        <w:tc>
          <w:tcPr>
            <w:tcW w:w="1304" w:type="dxa"/>
            <w:vAlign w:val="bottom"/>
          </w:tcPr>
          <w:p w14:paraId="3DD0758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138BE2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8E42519" w14:textId="77777777" w:rsidR="008E5DE4" w:rsidRDefault="008E5DE4">
            <w:pPr>
              <w:widowControl w:val="0"/>
              <w:pBdr>
                <w:top w:val="nil"/>
                <w:left w:val="nil"/>
                <w:bottom w:val="nil"/>
                <w:right w:val="nil"/>
                <w:between w:val="nil"/>
              </w:pBdr>
              <w:jc w:val="right"/>
              <w:rPr>
                <w:color w:val="000000"/>
              </w:rPr>
            </w:pPr>
          </w:p>
        </w:tc>
      </w:tr>
      <w:tr w:rsidR="008E5DE4" w14:paraId="5412A333" w14:textId="77777777">
        <w:trPr>
          <w:cantSplit/>
        </w:trPr>
        <w:tc>
          <w:tcPr>
            <w:tcW w:w="4820" w:type="dxa"/>
            <w:vAlign w:val="bottom"/>
          </w:tcPr>
          <w:p w14:paraId="6371CCC9" w14:textId="77777777" w:rsidR="008E5DE4" w:rsidRDefault="00780368">
            <w:pPr>
              <w:widowControl w:val="0"/>
              <w:pBdr>
                <w:top w:val="nil"/>
                <w:left w:val="nil"/>
                <w:bottom w:val="nil"/>
                <w:right w:val="nil"/>
                <w:between w:val="nil"/>
              </w:pBdr>
              <w:ind w:left="113" w:right="-57" w:hanging="113"/>
              <w:rPr>
                <w:color w:val="000000"/>
              </w:rPr>
            </w:pPr>
            <w:r>
              <w:rPr>
                <w:color w:val="000000"/>
              </w:rPr>
              <w:t>Contract liabilities</w:t>
            </w:r>
          </w:p>
        </w:tc>
        <w:tc>
          <w:tcPr>
            <w:tcW w:w="680" w:type="dxa"/>
            <w:vAlign w:val="bottom"/>
          </w:tcPr>
          <w:p w14:paraId="1FCA36F4" w14:textId="77777777" w:rsidR="008E5DE4" w:rsidRDefault="00780368">
            <w:pPr>
              <w:widowControl w:val="0"/>
              <w:pBdr>
                <w:top w:val="nil"/>
                <w:left w:val="nil"/>
                <w:bottom w:val="nil"/>
                <w:right w:val="nil"/>
                <w:between w:val="nil"/>
              </w:pBdr>
              <w:jc w:val="center"/>
              <w:rPr>
                <w:color w:val="0000FF"/>
                <w:u w:val="single"/>
              </w:rPr>
            </w:pPr>
            <w:r>
              <w:rPr>
                <w:color w:val="000000"/>
              </w:rPr>
              <w:t>21</w:t>
            </w:r>
          </w:p>
        </w:tc>
        <w:tc>
          <w:tcPr>
            <w:tcW w:w="1304" w:type="dxa"/>
            <w:vAlign w:val="bottom"/>
          </w:tcPr>
          <w:p w14:paraId="2BAAF2C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82F8DD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3621028" w14:textId="77777777" w:rsidR="008E5DE4" w:rsidRDefault="008E5DE4">
            <w:pPr>
              <w:widowControl w:val="0"/>
              <w:pBdr>
                <w:top w:val="nil"/>
                <w:left w:val="nil"/>
                <w:bottom w:val="nil"/>
                <w:right w:val="nil"/>
                <w:between w:val="nil"/>
              </w:pBdr>
              <w:jc w:val="right"/>
              <w:rPr>
                <w:color w:val="000000"/>
              </w:rPr>
            </w:pPr>
          </w:p>
        </w:tc>
      </w:tr>
      <w:tr w:rsidR="008E5DE4" w14:paraId="0B35DEDE" w14:textId="77777777">
        <w:trPr>
          <w:cantSplit/>
        </w:trPr>
        <w:tc>
          <w:tcPr>
            <w:tcW w:w="4820" w:type="dxa"/>
            <w:vAlign w:val="bottom"/>
          </w:tcPr>
          <w:p w14:paraId="6A0BBF1B" w14:textId="77777777" w:rsidR="008E5DE4" w:rsidRDefault="00780368">
            <w:pPr>
              <w:widowControl w:val="0"/>
              <w:pBdr>
                <w:top w:val="nil"/>
                <w:left w:val="nil"/>
                <w:bottom w:val="nil"/>
                <w:right w:val="nil"/>
                <w:between w:val="nil"/>
              </w:pBdr>
              <w:ind w:left="113" w:right="-57" w:hanging="113"/>
              <w:rPr>
                <w:color w:val="000000"/>
              </w:rPr>
            </w:pPr>
            <w:r>
              <w:rPr>
                <w:color w:val="000000"/>
              </w:rPr>
              <w:t>Derivative liabilities</w:t>
            </w:r>
          </w:p>
        </w:tc>
        <w:tc>
          <w:tcPr>
            <w:tcW w:w="680" w:type="dxa"/>
            <w:vAlign w:val="bottom"/>
          </w:tcPr>
          <w:p w14:paraId="5FAF5802" w14:textId="77777777" w:rsidR="008E5DE4" w:rsidRDefault="00780368">
            <w:pPr>
              <w:widowControl w:val="0"/>
              <w:pBdr>
                <w:top w:val="nil"/>
                <w:left w:val="nil"/>
                <w:bottom w:val="nil"/>
                <w:right w:val="nil"/>
                <w:between w:val="nil"/>
              </w:pBdr>
              <w:jc w:val="center"/>
              <w:rPr>
                <w:color w:val="000000"/>
              </w:rPr>
            </w:pPr>
            <w:r>
              <w:rPr>
                <w:color w:val="000000"/>
              </w:rPr>
              <w:t>46</w:t>
            </w:r>
          </w:p>
        </w:tc>
        <w:tc>
          <w:tcPr>
            <w:tcW w:w="1304" w:type="dxa"/>
            <w:vAlign w:val="bottom"/>
          </w:tcPr>
          <w:p w14:paraId="64D01F7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F53F0C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2499068" w14:textId="77777777" w:rsidR="008E5DE4" w:rsidRDefault="008E5DE4">
            <w:pPr>
              <w:widowControl w:val="0"/>
              <w:pBdr>
                <w:top w:val="nil"/>
                <w:left w:val="nil"/>
                <w:bottom w:val="nil"/>
                <w:right w:val="nil"/>
                <w:between w:val="nil"/>
              </w:pBdr>
              <w:jc w:val="right"/>
              <w:rPr>
                <w:color w:val="000000"/>
              </w:rPr>
            </w:pPr>
          </w:p>
        </w:tc>
      </w:tr>
      <w:tr w:rsidR="008E5DE4" w14:paraId="2E2BEF2F" w14:textId="77777777">
        <w:trPr>
          <w:cantSplit/>
        </w:trPr>
        <w:tc>
          <w:tcPr>
            <w:tcW w:w="4820" w:type="dxa"/>
            <w:vAlign w:val="bottom"/>
          </w:tcPr>
          <w:p w14:paraId="2CB3B282" w14:textId="77777777" w:rsidR="008E5DE4" w:rsidRDefault="00780368">
            <w:pPr>
              <w:widowControl w:val="0"/>
              <w:pBdr>
                <w:top w:val="nil"/>
                <w:left w:val="nil"/>
                <w:bottom w:val="nil"/>
                <w:right w:val="nil"/>
                <w:between w:val="nil"/>
              </w:pBdr>
              <w:ind w:left="113" w:right="-57" w:hanging="113"/>
              <w:rPr>
                <w:color w:val="000000"/>
              </w:rPr>
            </w:pPr>
            <w:r>
              <w:rPr>
                <w:color w:val="000000"/>
              </w:rPr>
              <w:t>Current income tax payable</w:t>
            </w:r>
          </w:p>
        </w:tc>
        <w:tc>
          <w:tcPr>
            <w:tcW w:w="680" w:type="dxa"/>
            <w:vAlign w:val="bottom"/>
          </w:tcPr>
          <w:p w14:paraId="04D3E020"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4F49D64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EAD896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27C1B31" w14:textId="77777777" w:rsidR="008E5DE4" w:rsidRDefault="008E5DE4">
            <w:pPr>
              <w:widowControl w:val="0"/>
              <w:pBdr>
                <w:top w:val="nil"/>
                <w:left w:val="nil"/>
                <w:bottom w:val="nil"/>
                <w:right w:val="nil"/>
                <w:between w:val="nil"/>
              </w:pBdr>
              <w:jc w:val="right"/>
              <w:rPr>
                <w:color w:val="000000"/>
              </w:rPr>
            </w:pPr>
          </w:p>
        </w:tc>
      </w:tr>
      <w:tr w:rsidR="008E5DE4" w14:paraId="6DF57445" w14:textId="77777777">
        <w:trPr>
          <w:cantSplit/>
        </w:trPr>
        <w:tc>
          <w:tcPr>
            <w:tcW w:w="4820" w:type="dxa"/>
            <w:vAlign w:val="bottom"/>
          </w:tcPr>
          <w:p w14:paraId="6683A362" w14:textId="77777777" w:rsidR="008E5DE4" w:rsidRDefault="00780368">
            <w:pPr>
              <w:widowControl w:val="0"/>
              <w:pBdr>
                <w:top w:val="nil"/>
                <w:left w:val="nil"/>
                <w:bottom w:val="nil"/>
                <w:right w:val="nil"/>
                <w:between w:val="nil"/>
              </w:pBdr>
              <w:ind w:left="113" w:right="-57" w:hanging="113"/>
              <w:rPr>
                <w:color w:val="000000"/>
              </w:rPr>
            </w:pPr>
            <w:r>
              <w:rPr>
                <w:color w:val="000000"/>
              </w:rPr>
              <w:t>Other taxes payable</w:t>
            </w:r>
          </w:p>
        </w:tc>
        <w:tc>
          <w:tcPr>
            <w:tcW w:w="680" w:type="dxa"/>
            <w:vAlign w:val="bottom"/>
          </w:tcPr>
          <w:p w14:paraId="631FC11D" w14:textId="77777777" w:rsidR="008E5DE4" w:rsidRDefault="00780368">
            <w:pPr>
              <w:widowControl w:val="0"/>
              <w:pBdr>
                <w:top w:val="nil"/>
                <w:left w:val="nil"/>
                <w:bottom w:val="nil"/>
                <w:right w:val="nil"/>
                <w:between w:val="nil"/>
              </w:pBdr>
              <w:jc w:val="center"/>
              <w:rPr>
                <w:color w:val="000000"/>
              </w:rPr>
            </w:pPr>
            <w:r>
              <w:rPr>
                <w:color w:val="000000"/>
              </w:rPr>
              <w:t>31</w:t>
            </w:r>
          </w:p>
        </w:tc>
        <w:tc>
          <w:tcPr>
            <w:tcW w:w="1304" w:type="dxa"/>
            <w:vAlign w:val="bottom"/>
          </w:tcPr>
          <w:p w14:paraId="54405F8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49ECB9D"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AF617A2" w14:textId="77777777" w:rsidR="008E5DE4" w:rsidRDefault="008E5DE4">
            <w:pPr>
              <w:widowControl w:val="0"/>
              <w:pBdr>
                <w:top w:val="nil"/>
                <w:left w:val="nil"/>
                <w:bottom w:val="nil"/>
                <w:right w:val="nil"/>
                <w:between w:val="nil"/>
              </w:pBdr>
              <w:jc w:val="right"/>
              <w:rPr>
                <w:color w:val="000000"/>
              </w:rPr>
            </w:pPr>
          </w:p>
        </w:tc>
      </w:tr>
      <w:tr w:rsidR="008E5DE4" w14:paraId="1EDF912D" w14:textId="77777777">
        <w:trPr>
          <w:cantSplit/>
        </w:trPr>
        <w:tc>
          <w:tcPr>
            <w:tcW w:w="4820" w:type="dxa"/>
            <w:vAlign w:val="bottom"/>
          </w:tcPr>
          <w:p w14:paraId="7C7A73C6" w14:textId="77777777" w:rsidR="008E5DE4" w:rsidRDefault="00780368">
            <w:pPr>
              <w:widowControl w:val="0"/>
              <w:pBdr>
                <w:top w:val="nil"/>
                <w:left w:val="nil"/>
                <w:bottom w:val="nil"/>
                <w:right w:val="nil"/>
                <w:between w:val="nil"/>
              </w:pBdr>
              <w:ind w:left="113" w:right="-57" w:hanging="113"/>
              <w:rPr>
                <w:color w:val="000000"/>
              </w:rPr>
            </w:pPr>
            <w:r>
              <w:rPr>
                <w:color w:val="000000"/>
              </w:rPr>
              <w:t>Provisions for other liabilities and charges</w:t>
            </w:r>
          </w:p>
        </w:tc>
        <w:tc>
          <w:tcPr>
            <w:tcW w:w="680" w:type="dxa"/>
            <w:vAlign w:val="bottom"/>
          </w:tcPr>
          <w:p w14:paraId="00B864C0" w14:textId="77777777" w:rsidR="008E5DE4" w:rsidRDefault="00780368">
            <w:pPr>
              <w:widowControl w:val="0"/>
              <w:pBdr>
                <w:top w:val="nil"/>
                <w:left w:val="nil"/>
                <w:bottom w:val="nil"/>
                <w:right w:val="nil"/>
                <w:between w:val="nil"/>
              </w:pBdr>
              <w:jc w:val="center"/>
              <w:rPr>
                <w:color w:val="000000"/>
              </w:rPr>
            </w:pPr>
            <w:r>
              <w:rPr>
                <w:color w:val="000000"/>
              </w:rPr>
              <w:t>33</w:t>
            </w:r>
          </w:p>
        </w:tc>
        <w:tc>
          <w:tcPr>
            <w:tcW w:w="1304" w:type="dxa"/>
            <w:vAlign w:val="bottom"/>
          </w:tcPr>
          <w:p w14:paraId="3CFDC9EE"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F38816E"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5CA59B0" w14:textId="77777777" w:rsidR="008E5DE4" w:rsidRDefault="008E5DE4">
            <w:pPr>
              <w:widowControl w:val="0"/>
              <w:pBdr>
                <w:top w:val="nil"/>
                <w:left w:val="nil"/>
                <w:bottom w:val="nil"/>
                <w:right w:val="nil"/>
                <w:between w:val="nil"/>
              </w:pBdr>
              <w:jc w:val="right"/>
              <w:rPr>
                <w:color w:val="000000"/>
              </w:rPr>
            </w:pPr>
          </w:p>
        </w:tc>
      </w:tr>
      <w:tr w:rsidR="008E5DE4" w14:paraId="3615AB22" w14:textId="77777777">
        <w:trPr>
          <w:cantSplit/>
        </w:trPr>
        <w:tc>
          <w:tcPr>
            <w:tcW w:w="4820" w:type="dxa"/>
            <w:tcBorders>
              <w:bottom w:val="single" w:sz="4" w:space="0" w:color="000000"/>
            </w:tcBorders>
            <w:vAlign w:val="bottom"/>
          </w:tcPr>
          <w:p w14:paraId="01D135D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tcBorders>
              <w:bottom w:val="single" w:sz="4" w:space="0" w:color="000000"/>
            </w:tcBorders>
            <w:vAlign w:val="bottom"/>
          </w:tcPr>
          <w:p w14:paraId="520ACE9F" w14:textId="77777777" w:rsidR="008E5DE4" w:rsidRDefault="008E5DE4">
            <w:pPr>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03A583FB"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7FC4F2F8"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41AA1C8A" w14:textId="77777777" w:rsidR="008E5DE4" w:rsidRDefault="008E5DE4">
            <w:pPr>
              <w:widowControl w:val="0"/>
              <w:pBdr>
                <w:top w:val="nil"/>
                <w:left w:val="nil"/>
                <w:bottom w:val="nil"/>
                <w:right w:val="nil"/>
                <w:between w:val="nil"/>
              </w:pBdr>
              <w:jc w:val="right"/>
              <w:rPr>
                <w:color w:val="000000"/>
              </w:rPr>
            </w:pPr>
          </w:p>
        </w:tc>
      </w:tr>
      <w:tr w:rsidR="008E5DE4" w14:paraId="4A44A98A" w14:textId="77777777">
        <w:trPr>
          <w:cantSplit/>
        </w:trPr>
        <w:tc>
          <w:tcPr>
            <w:tcW w:w="4820" w:type="dxa"/>
            <w:vAlign w:val="bottom"/>
          </w:tcPr>
          <w:p w14:paraId="7852F86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680" w:type="dxa"/>
            <w:vAlign w:val="bottom"/>
          </w:tcPr>
          <w:p w14:paraId="220FE148"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56424F9C" w14:textId="77777777" w:rsidR="008E5DE4" w:rsidRDefault="00780368">
            <w:pPr>
              <w:widowControl w:val="0"/>
              <w:pBdr>
                <w:top w:val="nil"/>
                <w:left w:val="nil"/>
                <w:bottom w:val="nil"/>
                <w:right w:val="nil"/>
                <w:between w:val="nil"/>
              </w:pBdr>
              <w:jc w:val="right"/>
              <w:rPr>
                <w:color w:val="000000"/>
              </w:rPr>
            </w:pPr>
            <w:r>
              <w:rPr>
                <w:color w:val="000000"/>
              </w:rPr>
              <w:t>Σ….</w:t>
            </w:r>
          </w:p>
        </w:tc>
        <w:tc>
          <w:tcPr>
            <w:tcW w:w="1304" w:type="dxa"/>
            <w:vAlign w:val="bottom"/>
          </w:tcPr>
          <w:p w14:paraId="48F50650" w14:textId="77777777" w:rsidR="008E5DE4" w:rsidRDefault="00780368">
            <w:pPr>
              <w:widowControl w:val="0"/>
              <w:pBdr>
                <w:top w:val="nil"/>
                <w:left w:val="nil"/>
                <w:bottom w:val="nil"/>
                <w:right w:val="nil"/>
                <w:between w:val="nil"/>
              </w:pBdr>
              <w:jc w:val="right"/>
              <w:rPr>
                <w:color w:val="000000"/>
              </w:rPr>
            </w:pPr>
            <w:r>
              <w:rPr>
                <w:color w:val="000000"/>
              </w:rPr>
              <w:t>Σ….</w:t>
            </w:r>
          </w:p>
        </w:tc>
        <w:tc>
          <w:tcPr>
            <w:tcW w:w="1304" w:type="dxa"/>
            <w:vAlign w:val="bottom"/>
          </w:tcPr>
          <w:p w14:paraId="7B000174" w14:textId="77777777" w:rsidR="008E5DE4" w:rsidRDefault="00780368">
            <w:pPr>
              <w:widowControl w:val="0"/>
              <w:pBdr>
                <w:top w:val="nil"/>
                <w:left w:val="nil"/>
                <w:bottom w:val="nil"/>
                <w:right w:val="nil"/>
                <w:between w:val="nil"/>
              </w:pBdr>
              <w:jc w:val="right"/>
              <w:rPr>
                <w:color w:val="000000"/>
              </w:rPr>
            </w:pPr>
            <w:r>
              <w:rPr>
                <w:color w:val="000000"/>
              </w:rPr>
              <w:t>Σ….</w:t>
            </w:r>
          </w:p>
        </w:tc>
      </w:tr>
      <w:tr w:rsidR="008E5DE4" w14:paraId="6822CAE4" w14:textId="77777777">
        <w:trPr>
          <w:cantSplit/>
        </w:trPr>
        <w:tc>
          <w:tcPr>
            <w:tcW w:w="4820" w:type="dxa"/>
            <w:vAlign w:val="bottom"/>
          </w:tcPr>
          <w:p w14:paraId="4728EA46" w14:textId="77777777" w:rsidR="008E5DE4" w:rsidRDefault="00780368">
            <w:pPr>
              <w:widowControl w:val="0"/>
              <w:pBdr>
                <w:top w:val="nil"/>
                <w:left w:val="nil"/>
                <w:bottom w:val="nil"/>
                <w:right w:val="nil"/>
                <w:between w:val="nil"/>
              </w:pBdr>
              <w:ind w:left="113" w:right="-57" w:hanging="113"/>
              <w:rPr>
                <w:color w:val="000000"/>
              </w:rPr>
            </w:pPr>
            <w:r>
              <w:rPr>
                <w:color w:val="000000"/>
              </w:rPr>
              <w:t>Liabilities of disposal group</w:t>
            </w:r>
            <w:r>
              <w:rPr>
                <w:color w:val="0000FF"/>
              </w:rPr>
              <w:t>[s]</w:t>
            </w:r>
            <w:r>
              <w:rPr>
                <w:color w:val="000000"/>
              </w:rPr>
              <w:t xml:space="preserve"> classified as held for sale</w:t>
            </w:r>
          </w:p>
        </w:tc>
        <w:tc>
          <w:tcPr>
            <w:tcW w:w="680" w:type="dxa"/>
            <w:vAlign w:val="bottom"/>
          </w:tcPr>
          <w:p w14:paraId="07B062CA" w14:textId="77777777" w:rsidR="008E5DE4" w:rsidRDefault="00780368">
            <w:pPr>
              <w:widowControl w:val="0"/>
              <w:pBdr>
                <w:top w:val="nil"/>
                <w:left w:val="nil"/>
                <w:bottom w:val="nil"/>
                <w:right w:val="nil"/>
                <w:between w:val="nil"/>
              </w:pBdr>
              <w:jc w:val="center"/>
              <w:rPr>
                <w:color w:val="000000"/>
              </w:rPr>
            </w:pPr>
            <w:r>
              <w:rPr>
                <w:color w:val="000000"/>
              </w:rPr>
              <w:t>25</w:t>
            </w:r>
          </w:p>
        </w:tc>
        <w:tc>
          <w:tcPr>
            <w:tcW w:w="1304" w:type="dxa"/>
            <w:vAlign w:val="bottom"/>
          </w:tcPr>
          <w:p w14:paraId="14CA8D51" w14:textId="77777777" w:rsidR="008E5DE4" w:rsidRDefault="00780368">
            <w:pPr>
              <w:widowControl w:val="0"/>
              <w:pBdr>
                <w:top w:val="nil"/>
                <w:left w:val="nil"/>
                <w:bottom w:val="nil"/>
                <w:right w:val="nil"/>
                <w:between w:val="nil"/>
              </w:pBdr>
              <w:jc w:val="right"/>
              <w:rPr>
                <w:color w:val="000000"/>
              </w:rPr>
            </w:pPr>
            <w:r>
              <w:rPr>
                <w:color w:val="000000"/>
              </w:rPr>
              <w:t>….</w:t>
            </w:r>
          </w:p>
        </w:tc>
        <w:tc>
          <w:tcPr>
            <w:tcW w:w="1304" w:type="dxa"/>
            <w:vAlign w:val="bottom"/>
          </w:tcPr>
          <w:p w14:paraId="399C1D2A" w14:textId="77777777" w:rsidR="008E5DE4" w:rsidRDefault="00780368">
            <w:pPr>
              <w:widowControl w:val="0"/>
              <w:pBdr>
                <w:top w:val="nil"/>
                <w:left w:val="nil"/>
                <w:bottom w:val="nil"/>
                <w:right w:val="nil"/>
                <w:between w:val="nil"/>
              </w:pBdr>
              <w:jc w:val="right"/>
              <w:rPr>
                <w:color w:val="000000"/>
              </w:rPr>
            </w:pPr>
            <w:r>
              <w:rPr>
                <w:color w:val="000000"/>
              </w:rPr>
              <w:t>….</w:t>
            </w:r>
          </w:p>
        </w:tc>
        <w:tc>
          <w:tcPr>
            <w:tcW w:w="1304" w:type="dxa"/>
            <w:vAlign w:val="bottom"/>
          </w:tcPr>
          <w:p w14:paraId="3517ABB3" w14:textId="77777777" w:rsidR="008E5DE4" w:rsidRDefault="00780368">
            <w:pPr>
              <w:widowControl w:val="0"/>
              <w:pBdr>
                <w:top w:val="nil"/>
                <w:left w:val="nil"/>
                <w:bottom w:val="nil"/>
                <w:right w:val="nil"/>
                <w:between w:val="nil"/>
              </w:pBdr>
              <w:jc w:val="right"/>
              <w:rPr>
                <w:color w:val="000000"/>
              </w:rPr>
            </w:pPr>
            <w:r>
              <w:rPr>
                <w:color w:val="000000"/>
              </w:rPr>
              <w:t>….</w:t>
            </w:r>
          </w:p>
        </w:tc>
      </w:tr>
      <w:tr w:rsidR="008E5DE4" w14:paraId="2F258EEB" w14:textId="77777777">
        <w:trPr>
          <w:cantSplit/>
        </w:trPr>
        <w:tc>
          <w:tcPr>
            <w:tcW w:w="4820" w:type="dxa"/>
            <w:tcBorders>
              <w:bottom w:val="single" w:sz="4" w:space="0" w:color="000000"/>
            </w:tcBorders>
            <w:vAlign w:val="bottom"/>
          </w:tcPr>
          <w:p w14:paraId="19CE7701"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680" w:type="dxa"/>
            <w:tcBorders>
              <w:bottom w:val="single" w:sz="4" w:space="0" w:color="000000"/>
            </w:tcBorders>
            <w:vAlign w:val="bottom"/>
          </w:tcPr>
          <w:p w14:paraId="20B8239A" w14:textId="77777777" w:rsidR="008E5DE4" w:rsidRDefault="008E5DE4">
            <w:pPr>
              <w:widowControl w:val="0"/>
              <w:pBdr>
                <w:top w:val="nil"/>
                <w:left w:val="nil"/>
                <w:bottom w:val="nil"/>
                <w:right w:val="nil"/>
                <w:between w:val="nil"/>
              </w:pBdr>
              <w:jc w:val="center"/>
              <w:rPr>
                <w:color w:val="000000"/>
              </w:rPr>
            </w:pPr>
          </w:p>
        </w:tc>
        <w:tc>
          <w:tcPr>
            <w:tcW w:w="1304" w:type="dxa"/>
            <w:tcBorders>
              <w:bottom w:val="single" w:sz="4" w:space="0" w:color="000000"/>
            </w:tcBorders>
            <w:vAlign w:val="bottom"/>
          </w:tcPr>
          <w:p w14:paraId="533A944D"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09582126"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14FC53BF" w14:textId="77777777" w:rsidR="008E5DE4" w:rsidRDefault="008E5DE4">
            <w:pPr>
              <w:widowControl w:val="0"/>
              <w:pBdr>
                <w:top w:val="nil"/>
                <w:left w:val="nil"/>
                <w:bottom w:val="nil"/>
                <w:right w:val="nil"/>
                <w:between w:val="nil"/>
              </w:pBdr>
              <w:jc w:val="right"/>
              <w:rPr>
                <w:color w:val="000000"/>
              </w:rPr>
            </w:pPr>
          </w:p>
        </w:tc>
      </w:tr>
      <w:tr w:rsidR="008E5DE4" w14:paraId="3F176A3B" w14:textId="77777777">
        <w:trPr>
          <w:cantSplit/>
        </w:trPr>
        <w:tc>
          <w:tcPr>
            <w:tcW w:w="4820" w:type="dxa"/>
            <w:tcBorders>
              <w:top w:val="single" w:sz="4" w:space="0" w:color="000000"/>
            </w:tcBorders>
            <w:vAlign w:val="bottom"/>
          </w:tcPr>
          <w:p w14:paraId="4EE8A09E"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680" w:type="dxa"/>
            <w:tcBorders>
              <w:top w:val="single" w:sz="4" w:space="0" w:color="000000"/>
            </w:tcBorders>
            <w:vAlign w:val="bottom"/>
          </w:tcPr>
          <w:p w14:paraId="4D669FAB" w14:textId="77777777" w:rsidR="008E5DE4" w:rsidRDefault="008E5DE4">
            <w:pPr>
              <w:widowControl w:val="0"/>
              <w:pBdr>
                <w:top w:val="nil"/>
                <w:left w:val="nil"/>
                <w:bottom w:val="nil"/>
                <w:right w:val="nil"/>
                <w:between w:val="nil"/>
              </w:pBdr>
              <w:jc w:val="center"/>
              <w:rPr>
                <w:color w:val="000000"/>
              </w:rPr>
            </w:pPr>
          </w:p>
        </w:tc>
        <w:tc>
          <w:tcPr>
            <w:tcW w:w="1304" w:type="dxa"/>
            <w:tcBorders>
              <w:top w:val="single" w:sz="4" w:space="0" w:color="000000"/>
            </w:tcBorders>
            <w:vAlign w:val="bottom"/>
          </w:tcPr>
          <w:p w14:paraId="75084DE4"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5AA11DCF"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7201834F" w14:textId="77777777" w:rsidR="008E5DE4" w:rsidRDefault="008E5DE4">
            <w:pPr>
              <w:widowControl w:val="0"/>
              <w:pBdr>
                <w:top w:val="nil"/>
                <w:left w:val="nil"/>
                <w:bottom w:val="nil"/>
                <w:right w:val="nil"/>
                <w:between w:val="nil"/>
              </w:pBdr>
              <w:jc w:val="right"/>
              <w:rPr>
                <w:color w:val="000000"/>
              </w:rPr>
            </w:pPr>
          </w:p>
        </w:tc>
      </w:tr>
      <w:tr w:rsidR="008E5DE4" w14:paraId="267D029B" w14:textId="77777777">
        <w:trPr>
          <w:cantSplit/>
        </w:trPr>
        <w:tc>
          <w:tcPr>
            <w:tcW w:w="4820" w:type="dxa"/>
            <w:vAlign w:val="bottom"/>
          </w:tcPr>
          <w:p w14:paraId="00532F15"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current liabilities</w:t>
            </w:r>
          </w:p>
        </w:tc>
        <w:tc>
          <w:tcPr>
            <w:tcW w:w="680" w:type="dxa"/>
            <w:vAlign w:val="bottom"/>
          </w:tcPr>
          <w:p w14:paraId="1241DD59"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03D552F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9DC6EF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89A6763" w14:textId="77777777" w:rsidR="008E5DE4" w:rsidRDefault="008E5DE4">
            <w:pPr>
              <w:widowControl w:val="0"/>
              <w:pBdr>
                <w:top w:val="nil"/>
                <w:left w:val="nil"/>
                <w:bottom w:val="nil"/>
                <w:right w:val="nil"/>
                <w:between w:val="nil"/>
              </w:pBdr>
              <w:jc w:val="right"/>
              <w:rPr>
                <w:color w:val="000000"/>
              </w:rPr>
            </w:pPr>
          </w:p>
        </w:tc>
      </w:tr>
      <w:tr w:rsidR="008E5DE4" w14:paraId="5DA99479" w14:textId="77777777">
        <w:trPr>
          <w:cantSplit/>
        </w:trPr>
        <w:tc>
          <w:tcPr>
            <w:tcW w:w="4820" w:type="dxa"/>
            <w:tcBorders>
              <w:bottom w:val="single" w:sz="12" w:space="0" w:color="000000"/>
            </w:tcBorders>
            <w:vAlign w:val="bottom"/>
          </w:tcPr>
          <w:p w14:paraId="24D9AC48"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680" w:type="dxa"/>
            <w:tcBorders>
              <w:bottom w:val="single" w:sz="12" w:space="0" w:color="000000"/>
            </w:tcBorders>
            <w:vAlign w:val="bottom"/>
          </w:tcPr>
          <w:p w14:paraId="4DB313EE" w14:textId="77777777" w:rsidR="008E5DE4" w:rsidRDefault="008E5DE4">
            <w:pPr>
              <w:widowControl w:val="0"/>
              <w:pBdr>
                <w:top w:val="nil"/>
                <w:left w:val="nil"/>
                <w:bottom w:val="nil"/>
                <w:right w:val="nil"/>
                <w:between w:val="nil"/>
              </w:pBdr>
              <w:jc w:val="center"/>
              <w:rPr>
                <w:b/>
                <w:smallCaps/>
                <w:color w:val="000000"/>
              </w:rPr>
            </w:pPr>
          </w:p>
        </w:tc>
        <w:tc>
          <w:tcPr>
            <w:tcW w:w="1304" w:type="dxa"/>
            <w:tcBorders>
              <w:bottom w:val="single" w:sz="12" w:space="0" w:color="000000"/>
            </w:tcBorders>
            <w:vAlign w:val="bottom"/>
          </w:tcPr>
          <w:p w14:paraId="6A108021"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161056B2"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0BDAA2F0" w14:textId="77777777" w:rsidR="008E5DE4" w:rsidRDefault="008E5DE4">
            <w:pPr>
              <w:widowControl w:val="0"/>
              <w:pBdr>
                <w:top w:val="nil"/>
                <w:left w:val="nil"/>
                <w:bottom w:val="nil"/>
                <w:right w:val="nil"/>
                <w:between w:val="nil"/>
              </w:pBdr>
              <w:jc w:val="right"/>
              <w:rPr>
                <w:b/>
                <w:smallCaps/>
                <w:color w:val="000000"/>
              </w:rPr>
            </w:pPr>
          </w:p>
        </w:tc>
      </w:tr>
      <w:tr w:rsidR="008E5DE4" w14:paraId="63977D70" w14:textId="77777777">
        <w:trPr>
          <w:cantSplit/>
        </w:trPr>
        <w:tc>
          <w:tcPr>
            <w:tcW w:w="4820" w:type="dxa"/>
            <w:tcBorders>
              <w:top w:val="single" w:sz="4" w:space="0" w:color="000000"/>
            </w:tcBorders>
            <w:vAlign w:val="bottom"/>
          </w:tcPr>
          <w:p w14:paraId="4DB1C424"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680" w:type="dxa"/>
            <w:tcBorders>
              <w:top w:val="single" w:sz="4" w:space="0" w:color="000000"/>
            </w:tcBorders>
            <w:vAlign w:val="bottom"/>
          </w:tcPr>
          <w:p w14:paraId="37BE7F48" w14:textId="77777777" w:rsidR="008E5DE4" w:rsidRDefault="008E5DE4">
            <w:pPr>
              <w:widowControl w:val="0"/>
              <w:pBdr>
                <w:top w:val="nil"/>
                <w:left w:val="nil"/>
                <w:bottom w:val="nil"/>
                <w:right w:val="nil"/>
                <w:between w:val="nil"/>
              </w:pBdr>
              <w:jc w:val="center"/>
              <w:rPr>
                <w:b/>
                <w:smallCaps/>
                <w:color w:val="000000"/>
              </w:rPr>
            </w:pPr>
          </w:p>
        </w:tc>
        <w:tc>
          <w:tcPr>
            <w:tcW w:w="1304" w:type="dxa"/>
            <w:tcBorders>
              <w:top w:val="single" w:sz="4" w:space="0" w:color="000000"/>
            </w:tcBorders>
            <w:vAlign w:val="bottom"/>
          </w:tcPr>
          <w:p w14:paraId="2225BDB5" w14:textId="77777777" w:rsidR="008E5DE4" w:rsidRDefault="008E5DE4">
            <w:pPr>
              <w:widowControl w:val="0"/>
              <w:pBdr>
                <w:top w:val="nil"/>
                <w:left w:val="nil"/>
                <w:bottom w:val="nil"/>
                <w:right w:val="nil"/>
                <w:between w:val="nil"/>
              </w:pBdr>
              <w:jc w:val="right"/>
              <w:rPr>
                <w:b/>
                <w:smallCaps/>
                <w:color w:val="000000"/>
              </w:rPr>
            </w:pPr>
          </w:p>
        </w:tc>
        <w:tc>
          <w:tcPr>
            <w:tcW w:w="1304" w:type="dxa"/>
            <w:tcBorders>
              <w:top w:val="single" w:sz="4" w:space="0" w:color="000000"/>
            </w:tcBorders>
            <w:vAlign w:val="bottom"/>
          </w:tcPr>
          <w:p w14:paraId="1CEB8659" w14:textId="77777777" w:rsidR="008E5DE4" w:rsidRDefault="008E5DE4">
            <w:pPr>
              <w:widowControl w:val="0"/>
              <w:pBdr>
                <w:top w:val="nil"/>
                <w:left w:val="nil"/>
                <w:bottom w:val="nil"/>
                <w:right w:val="nil"/>
                <w:between w:val="nil"/>
              </w:pBdr>
              <w:jc w:val="right"/>
              <w:rPr>
                <w:b/>
                <w:smallCaps/>
                <w:color w:val="000000"/>
              </w:rPr>
            </w:pPr>
          </w:p>
        </w:tc>
        <w:tc>
          <w:tcPr>
            <w:tcW w:w="1304" w:type="dxa"/>
            <w:tcBorders>
              <w:top w:val="single" w:sz="4" w:space="0" w:color="000000"/>
            </w:tcBorders>
            <w:vAlign w:val="bottom"/>
          </w:tcPr>
          <w:p w14:paraId="128DC3A6" w14:textId="77777777" w:rsidR="008E5DE4" w:rsidRDefault="008E5DE4">
            <w:pPr>
              <w:widowControl w:val="0"/>
              <w:pBdr>
                <w:top w:val="nil"/>
                <w:left w:val="nil"/>
                <w:bottom w:val="nil"/>
                <w:right w:val="nil"/>
                <w:between w:val="nil"/>
              </w:pBdr>
              <w:jc w:val="right"/>
              <w:rPr>
                <w:b/>
                <w:smallCaps/>
                <w:color w:val="000000"/>
              </w:rPr>
            </w:pPr>
          </w:p>
        </w:tc>
      </w:tr>
      <w:tr w:rsidR="008E5DE4" w14:paraId="7D75DC3C" w14:textId="77777777">
        <w:trPr>
          <w:cantSplit/>
        </w:trPr>
        <w:tc>
          <w:tcPr>
            <w:tcW w:w="4820" w:type="dxa"/>
            <w:vAlign w:val="bottom"/>
          </w:tcPr>
          <w:p w14:paraId="45B40C20"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LIABILITIES</w:t>
            </w:r>
          </w:p>
        </w:tc>
        <w:tc>
          <w:tcPr>
            <w:tcW w:w="680" w:type="dxa"/>
            <w:vAlign w:val="bottom"/>
          </w:tcPr>
          <w:p w14:paraId="27420AAF" w14:textId="77777777" w:rsidR="008E5DE4" w:rsidRDefault="008E5DE4">
            <w:pPr>
              <w:widowControl w:val="0"/>
              <w:pBdr>
                <w:top w:val="nil"/>
                <w:left w:val="nil"/>
                <w:bottom w:val="nil"/>
                <w:right w:val="nil"/>
                <w:between w:val="nil"/>
              </w:pBdr>
              <w:jc w:val="center"/>
              <w:rPr>
                <w:b/>
                <w:smallCaps/>
                <w:color w:val="000000"/>
              </w:rPr>
            </w:pPr>
          </w:p>
        </w:tc>
        <w:tc>
          <w:tcPr>
            <w:tcW w:w="1304" w:type="dxa"/>
            <w:vAlign w:val="bottom"/>
          </w:tcPr>
          <w:p w14:paraId="2BA093FF"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4A5A6EDC"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0A5BC3DE" w14:textId="77777777" w:rsidR="008E5DE4" w:rsidRDefault="008E5DE4">
            <w:pPr>
              <w:widowControl w:val="0"/>
              <w:pBdr>
                <w:top w:val="nil"/>
                <w:left w:val="nil"/>
                <w:bottom w:val="nil"/>
                <w:right w:val="nil"/>
                <w:between w:val="nil"/>
              </w:pBdr>
              <w:jc w:val="right"/>
              <w:rPr>
                <w:b/>
                <w:smallCaps/>
                <w:color w:val="000000"/>
              </w:rPr>
            </w:pPr>
          </w:p>
        </w:tc>
      </w:tr>
      <w:tr w:rsidR="008E5DE4" w14:paraId="6A0E74C4" w14:textId="77777777">
        <w:trPr>
          <w:cantSplit/>
        </w:trPr>
        <w:tc>
          <w:tcPr>
            <w:tcW w:w="4820" w:type="dxa"/>
            <w:tcBorders>
              <w:bottom w:val="single" w:sz="12" w:space="0" w:color="000000"/>
            </w:tcBorders>
            <w:vAlign w:val="bottom"/>
          </w:tcPr>
          <w:p w14:paraId="2D8ED9AB"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680" w:type="dxa"/>
            <w:tcBorders>
              <w:bottom w:val="single" w:sz="12" w:space="0" w:color="000000"/>
            </w:tcBorders>
            <w:vAlign w:val="bottom"/>
          </w:tcPr>
          <w:p w14:paraId="5C412FF0" w14:textId="77777777" w:rsidR="008E5DE4" w:rsidRDefault="008E5DE4">
            <w:pPr>
              <w:widowControl w:val="0"/>
              <w:pBdr>
                <w:top w:val="nil"/>
                <w:left w:val="nil"/>
                <w:bottom w:val="nil"/>
                <w:right w:val="nil"/>
                <w:between w:val="nil"/>
              </w:pBdr>
              <w:jc w:val="center"/>
              <w:rPr>
                <w:b/>
                <w:smallCaps/>
                <w:color w:val="000000"/>
              </w:rPr>
            </w:pPr>
          </w:p>
        </w:tc>
        <w:tc>
          <w:tcPr>
            <w:tcW w:w="1304" w:type="dxa"/>
            <w:tcBorders>
              <w:bottom w:val="single" w:sz="12" w:space="0" w:color="000000"/>
            </w:tcBorders>
            <w:vAlign w:val="bottom"/>
          </w:tcPr>
          <w:p w14:paraId="4BD8FA94"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5E11EB49"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707C4275" w14:textId="77777777" w:rsidR="008E5DE4" w:rsidRDefault="008E5DE4">
            <w:pPr>
              <w:widowControl w:val="0"/>
              <w:pBdr>
                <w:top w:val="nil"/>
                <w:left w:val="nil"/>
                <w:bottom w:val="nil"/>
                <w:right w:val="nil"/>
                <w:between w:val="nil"/>
              </w:pBdr>
              <w:jc w:val="right"/>
              <w:rPr>
                <w:b/>
                <w:smallCaps/>
                <w:color w:val="000000"/>
              </w:rPr>
            </w:pPr>
          </w:p>
        </w:tc>
      </w:tr>
      <w:tr w:rsidR="008E5DE4" w14:paraId="50D241D7" w14:textId="77777777">
        <w:trPr>
          <w:cantSplit/>
        </w:trPr>
        <w:tc>
          <w:tcPr>
            <w:tcW w:w="4820" w:type="dxa"/>
            <w:tcBorders>
              <w:top w:val="single" w:sz="12" w:space="0" w:color="000000"/>
            </w:tcBorders>
            <w:vAlign w:val="bottom"/>
          </w:tcPr>
          <w:p w14:paraId="47A2838E"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680" w:type="dxa"/>
            <w:tcBorders>
              <w:top w:val="single" w:sz="12" w:space="0" w:color="000000"/>
            </w:tcBorders>
            <w:vAlign w:val="bottom"/>
          </w:tcPr>
          <w:p w14:paraId="409DBE32" w14:textId="77777777" w:rsidR="008E5DE4" w:rsidRDefault="008E5DE4">
            <w:pPr>
              <w:widowControl w:val="0"/>
              <w:pBdr>
                <w:top w:val="nil"/>
                <w:left w:val="nil"/>
                <w:bottom w:val="nil"/>
                <w:right w:val="nil"/>
                <w:between w:val="nil"/>
              </w:pBdr>
              <w:jc w:val="center"/>
              <w:rPr>
                <w:b/>
                <w:smallCaps/>
                <w:color w:val="000000"/>
              </w:rPr>
            </w:pPr>
          </w:p>
        </w:tc>
        <w:tc>
          <w:tcPr>
            <w:tcW w:w="1304" w:type="dxa"/>
            <w:tcBorders>
              <w:top w:val="single" w:sz="12" w:space="0" w:color="000000"/>
            </w:tcBorders>
            <w:vAlign w:val="bottom"/>
          </w:tcPr>
          <w:p w14:paraId="7E96554F" w14:textId="77777777" w:rsidR="008E5DE4" w:rsidRDefault="008E5DE4">
            <w:pPr>
              <w:widowControl w:val="0"/>
              <w:pBdr>
                <w:top w:val="nil"/>
                <w:left w:val="nil"/>
                <w:bottom w:val="nil"/>
                <w:right w:val="nil"/>
                <w:between w:val="nil"/>
              </w:pBdr>
              <w:jc w:val="right"/>
              <w:rPr>
                <w:b/>
                <w:smallCaps/>
                <w:color w:val="000000"/>
              </w:rPr>
            </w:pPr>
          </w:p>
        </w:tc>
        <w:tc>
          <w:tcPr>
            <w:tcW w:w="1304" w:type="dxa"/>
            <w:tcBorders>
              <w:top w:val="single" w:sz="12" w:space="0" w:color="000000"/>
            </w:tcBorders>
            <w:vAlign w:val="bottom"/>
          </w:tcPr>
          <w:p w14:paraId="6853AD09" w14:textId="77777777" w:rsidR="008E5DE4" w:rsidRDefault="008E5DE4">
            <w:pPr>
              <w:widowControl w:val="0"/>
              <w:pBdr>
                <w:top w:val="nil"/>
                <w:left w:val="nil"/>
                <w:bottom w:val="nil"/>
                <w:right w:val="nil"/>
                <w:between w:val="nil"/>
              </w:pBdr>
              <w:jc w:val="right"/>
              <w:rPr>
                <w:b/>
                <w:smallCaps/>
                <w:color w:val="000000"/>
              </w:rPr>
            </w:pPr>
          </w:p>
        </w:tc>
        <w:tc>
          <w:tcPr>
            <w:tcW w:w="1304" w:type="dxa"/>
            <w:tcBorders>
              <w:top w:val="single" w:sz="12" w:space="0" w:color="000000"/>
            </w:tcBorders>
            <w:vAlign w:val="bottom"/>
          </w:tcPr>
          <w:p w14:paraId="6D221D7D" w14:textId="77777777" w:rsidR="008E5DE4" w:rsidRDefault="008E5DE4">
            <w:pPr>
              <w:widowControl w:val="0"/>
              <w:pBdr>
                <w:top w:val="nil"/>
                <w:left w:val="nil"/>
                <w:bottom w:val="nil"/>
                <w:right w:val="nil"/>
                <w:between w:val="nil"/>
              </w:pBdr>
              <w:jc w:val="right"/>
              <w:rPr>
                <w:b/>
                <w:smallCaps/>
                <w:color w:val="000000"/>
              </w:rPr>
            </w:pPr>
          </w:p>
        </w:tc>
      </w:tr>
      <w:tr w:rsidR="008E5DE4" w14:paraId="70790BAC" w14:textId="77777777">
        <w:trPr>
          <w:cantSplit/>
        </w:trPr>
        <w:tc>
          <w:tcPr>
            <w:tcW w:w="4820" w:type="dxa"/>
            <w:vAlign w:val="bottom"/>
          </w:tcPr>
          <w:p w14:paraId="2D34B1A5"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LIABILITIES AND EQUITY</w:t>
            </w:r>
          </w:p>
        </w:tc>
        <w:tc>
          <w:tcPr>
            <w:tcW w:w="680" w:type="dxa"/>
            <w:vAlign w:val="bottom"/>
          </w:tcPr>
          <w:p w14:paraId="598FC6EE" w14:textId="77777777" w:rsidR="008E5DE4" w:rsidRDefault="008E5DE4">
            <w:pPr>
              <w:widowControl w:val="0"/>
              <w:pBdr>
                <w:top w:val="nil"/>
                <w:left w:val="nil"/>
                <w:bottom w:val="nil"/>
                <w:right w:val="nil"/>
                <w:between w:val="nil"/>
              </w:pBdr>
              <w:jc w:val="center"/>
              <w:rPr>
                <w:b/>
                <w:smallCaps/>
                <w:color w:val="000000"/>
              </w:rPr>
            </w:pPr>
          </w:p>
        </w:tc>
        <w:tc>
          <w:tcPr>
            <w:tcW w:w="1304" w:type="dxa"/>
            <w:vAlign w:val="bottom"/>
          </w:tcPr>
          <w:p w14:paraId="7BCF76F1"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6112FDA0"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3098C98E" w14:textId="77777777" w:rsidR="008E5DE4" w:rsidRDefault="008E5DE4">
            <w:pPr>
              <w:widowControl w:val="0"/>
              <w:pBdr>
                <w:top w:val="nil"/>
                <w:left w:val="nil"/>
                <w:bottom w:val="nil"/>
                <w:right w:val="nil"/>
                <w:between w:val="nil"/>
              </w:pBdr>
              <w:jc w:val="right"/>
              <w:rPr>
                <w:b/>
                <w:smallCaps/>
                <w:color w:val="000000"/>
              </w:rPr>
            </w:pPr>
          </w:p>
        </w:tc>
      </w:tr>
      <w:tr w:rsidR="008E5DE4" w14:paraId="4F7E8952" w14:textId="77777777">
        <w:trPr>
          <w:cantSplit/>
        </w:trPr>
        <w:tc>
          <w:tcPr>
            <w:tcW w:w="4820" w:type="dxa"/>
            <w:tcBorders>
              <w:bottom w:val="single" w:sz="12" w:space="0" w:color="000000"/>
            </w:tcBorders>
            <w:vAlign w:val="bottom"/>
          </w:tcPr>
          <w:p w14:paraId="6EC1C370"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680" w:type="dxa"/>
            <w:tcBorders>
              <w:bottom w:val="single" w:sz="12" w:space="0" w:color="000000"/>
            </w:tcBorders>
            <w:vAlign w:val="bottom"/>
          </w:tcPr>
          <w:p w14:paraId="1A738691" w14:textId="77777777" w:rsidR="008E5DE4" w:rsidRDefault="008E5DE4">
            <w:pPr>
              <w:widowControl w:val="0"/>
              <w:pBdr>
                <w:top w:val="nil"/>
                <w:left w:val="nil"/>
                <w:bottom w:val="nil"/>
                <w:right w:val="nil"/>
                <w:between w:val="nil"/>
              </w:pBdr>
              <w:jc w:val="center"/>
              <w:rPr>
                <w:b/>
                <w:smallCaps/>
                <w:color w:val="000000"/>
              </w:rPr>
            </w:pPr>
          </w:p>
        </w:tc>
        <w:tc>
          <w:tcPr>
            <w:tcW w:w="1304" w:type="dxa"/>
            <w:tcBorders>
              <w:bottom w:val="single" w:sz="12" w:space="0" w:color="000000"/>
            </w:tcBorders>
            <w:vAlign w:val="bottom"/>
          </w:tcPr>
          <w:p w14:paraId="5CFE2B49"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1DCF7BB8"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3BCA0069" w14:textId="77777777" w:rsidR="008E5DE4" w:rsidRDefault="008E5DE4">
            <w:pPr>
              <w:widowControl w:val="0"/>
              <w:pBdr>
                <w:top w:val="nil"/>
                <w:left w:val="nil"/>
                <w:bottom w:val="nil"/>
                <w:right w:val="nil"/>
                <w:between w:val="nil"/>
              </w:pBdr>
              <w:jc w:val="right"/>
              <w:rPr>
                <w:b/>
                <w:smallCaps/>
                <w:color w:val="000000"/>
              </w:rPr>
            </w:pPr>
          </w:p>
        </w:tc>
      </w:tr>
    </w:tbl>
    <w:p w14:paraId="4466EC13"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3B7B7436" w14:textId="6310B9D5"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Approved for issue and signed on </w:t>
      </w:r>
      <w:r>
        <w:rPr>
          <w:color w:val="0000FF"/>
          <w:sz w:val="20"/>
          <w:szCs w:val="20"/>
        </w:rPr>
        <w:t>[on behalf of Management Board]</w:t>
      </w:r>
      <w:r>
        <w:rPr>
          <w:color w:val="000000"/>
          <w:sz w:val="20"/>
          <w:szCs w:val="20"/>
        </w:rPr>
        <w:t xml:space="preserve"> __________ 202</w:t>
      </w:r>
      <w:r w:rsidR="008614F8">
        <w:rPr>
          <w:color w:val="000000"/>
          <w:sz w:val="20"/>
          <w:szCs w:val="20"/>
        </w:rPr>
        <w:t>6</w:t>
      </w:r>
      <w:r>
        <w:rPr>
          <w:color w:val="000000"/>
          <w:sz w:val="20"/>
          <w:szCs w:val="20"/>
        </w:rPr>
        <w:t xml:space="preserve">. </w:t>
      </w:r>
    </w:p>
    <w:p w14:paraId="0A261742" w14:textId="77777777" w:rsidR="008E5DE4" w:rsidRDefault="008E5DE4">
      <w:pPr>
        <w:widowControl w:val="0"/>
        <w:pBdr>
          <w:top w:val="nil"/>
          <w:left w:val="nil"/>
          <w:bottom w:val="nil"/>
          <w:right w:val="nil"/>
          <w:between w:val="nil"/>
        </w:pBdr>
        <w:spacing w:before="200" w:after="200"/>
        <w:jc w:val="both"/>
        <w:rPr>
          <w:i/>
          <w:color w:val="000000"/>
          <w:sz w:val="20"/>
          <w:szCs w:val="20"/>
        </w:rPr>
      </w:pPr>
    </w:p>
    <w:p w14:paraId="7256F812" w14:textId="77777777" w:rsidR="008E5DE4" w:rsidRDefault="00780368">
      <w:pPr>
        <w:widowControl w:val="0"/>
        <w:tabs>
          <w:tab w:val="left" w:pos="4253"/>
        </w:tabs>
        <w:rPr>
          <w:sz w:val="20"/>
          <w:szCs w:val="20"/>
        </w:rPr>
      </w:pPr>
      <w:r>
        <w:rPr>
          <w:sz w:val="20"/>
          <w:szCs w:val="20"/>
        </w:rPr>
        <w:t>______________________________</w:t>
      </w:r>
      <w:r>
        <w:rPr>
          <w:sz w:val="20"/>
          <w:szCs w:val="20"/>
        </w:rPr>
        <w:tab/>
        <w:t>_____________________________</w:t>
      </w:r>
    </w:p>
    <w:p w14:paraId="0D77B41E" w14:textId="77777777" w:rsidR="008E5DE4" w:rsidRDefault="00780368">
      <w:pPr>
        <w:widowControl w:val="0"/>
        <w:tabs>
          <w:tab w:val="left" w:pos="4253"/>
        </w:tabs>
        <w:rPr>
          <w:color w:val="0000FF"/>
          <w:sz w:val="20"/>
          <w:szCs w:val="20"/>
        </w:rPr>
      </w:pPr>
      <w:r>
        <w:rPr>
          <w:color w:val="0000FF"/>
          <w:sz w:val="20"/>
          <w:szCs w:val="20"/>
        </w:rPr>
        <w:t xml:space="preserve">[name] </w:t>
      </w:r>
      <w:r>
        <w:rPr>
          <w:color w:val="0000FF"/>
          <w:sz w:val="20"/>
          <w:szCs w:val="20"/>
        </w:rPr>
        <w:tab/>
        <w:t>[name]</w:t>
      </w:r>
    </w:p>
    <w:p w14:paraId="444593D4" w14:textId="77777777" w:rsidR="008E5DE4" w:rsidRDefault="00780368">
      <w:pPr>
        <w:widowControl w:val="0"/>
        <w:tabs>
          <w:tab w:val="left" w:pos="4253"/>
        </w:tabs>
        <w:rPr>
          <w:color w:val="0000FF"/>
          <w:sz w:val="20"/>
          <w:szCs w:val="20"/>
        </w:rPr>
        <w:sectPr w:rsidR="008E5DE4">
          <w:headerReference w:type="default" r:id="rId20"/>
          <w:footerReference w:type="default" r:id="rId21"/>
          <w:pgSz w:w="11907" w:h="16840"/>
          <w:pgMar w:top="1418" w:right="851" w:bottom="1134" w:left="1701" w:header="737" w:footer="567" w:gutter="0"/>
          <w:pgNumType w:start="1"/>
          <w:cols w:space="708"/>
        </w:sectPr>
      </w:pPr>
      <w:r>
        <w:rPr>
          <w:color w:val="0000FF"/>
          <w:sz w:val="20"/>
          <w:szCs w:val="20"/>
        </w:rPr>
        <w:t>[President]</w:t>
      </w:r>
      <w:r>
        <w:rPr>
          <w:color w:val="0000FF"/>
          <w:sz w:val="20"/>
          <w:szCs w:val="20"/>
        </w:rPr>
        <w:tab/>
        <w:t>[Chief Accountant]</w:t>
      </w:r>
    </w:p>
    <w:p w14:paraId="3C44F6F2" w14:textId="77777777" w:rsidR="008E5DE4" w:rsidRDefault="008E5DE4">
      <w:pPr>
        <w:widowControl w:val="0"/>
        <w:pBdr>
          <w:top w:val="nil"/>
          <w:left w:val="nil"/>
          <w:bottom w:val="nil"/>
          <w:right w:val="nil"/>
          <w:between w:val="nil"/>
        </w:pBdr>
        <w:spacing w:line="276" w:lineRule="auto"/>
        <w:rPr>
          <w:color w:val="0000FF"/>
          <w:sz w:val="20"/>
          <w:szCs w:val="20"/>
        </w:rPr>
      </w:pPr>
    </w:p>
    <w:tbl>
      <w:tblPr>
        <w:tblStyle w:val="a1"/>
        <w:tblW w:w="9355" w:type="dxa"/>
        <w:tblLayout w:type="fixed"/>
        <w:tblLook w:val="0000" w:firstRow="0" w:lastRow="0" w:firstColumn="0" w:lastColumn="0" w:noHBand="0" w:noVBand="0"/>
      </w:tblPr>
      <w:tblGrid>
        <w:gridCol w:w="5556"/>
        <w:gridCol w:w="737"/>
        <w:gridCol w:w="1531"/>
        <w:gridCol w:w="1531"/>
      </w:tblGrid>
      <w:tr w:rsidR="008E5DE4" w14:paraId="27EB325F" w14:textId="77777777">
        <w:trPr>
          <w:cantSplit/>
          <w:tblHeader/>
        </w:trPr>
        <w:tc>
          <w:tcPr>
            <w:tcW w:w="5556" w:type="dxa"/>
            <w:tcBorders>
              <w:bottom w:val="single" w:sz="4" w:space="0" w:color="000000"/>
            </w:tcBorders>
            <w:vAlign w:val="bottom"/>
          </w:tcPr>
          <w:p w14:paraId="3CC26DF8"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737" w:type="dxa"/>
            <w:tcBorders>
              <w:bottom w:val="single" w:sz="4" w:space="0" w:color="000000"/>
            </w:tcBorders>
            <w:vAlign w:val="bottom"/>
          </w:tcPr>
          <w:p w14:paraId="0A018496" w14:textId="77777777" w:rsidR="008E5DE4" w:rsidRDefault="00780368">
            <w:pPr>
              <w:widowControl w:val="0"/>
              <w:pBdr>
                <w:top w:val="nil"/>
                <w:left w:val="nil"/>
                <w:bottom w:val="nil"/>
                <w:right w:val="nil"/>
                <w:between w:val="nil"/>
              </w:pBdr>
              <w:jc w:val="center"/>
              <w:rPr>
                <w:b/>
                <w:color w:val="000000"/>
              </w:rPr>
            </w:pPr>
            <w:r>
              <w:rPr>
                <w:b/>
                <w:color w:val="000000"/>
              </w:rPr>
              <w:t>Note</w:t>
            </w:r>
          </w:p>
        </w:tc>
        <w:tc>
          <w:tcPr>
            <w:tcW w:w="1531" w:type="dxa"/>
            <w:tcBorders>
              <w:bottom w:val="single" w:sz="4" w:space="0" w:color="000000"/>
            </w:tcBorders>
          </w:tcPr>
          <w:p w14:paraId="77481886" w14:textId="4B3B1AC0" w:rsidR="008E5DE4" w:rsidRDefault="008614F8">
            <w:pPr>
              <w:widowControl w:val="0"/>
              <w:pBdr>
                <w:top w:val="nil"/>
                <w:left w:val="nil"/>
                <w:bottom w:val="nil"/>
                <w:right w:val="nil"/>
                <w:between w:val="nil"/>
              </w:pBdr>
              <w:ind w:left="-113"/>
              <w:jc w:val="right"/>
              <w:rPr>
                <w:b/>
                <w:color w:val="000000"/>
              </w:rPr>
            </w:pPr>
            <w:r>
              <w:rPr>
                <w:b/>
                <w:color w:val="000000"/>
              </w:rPr>
              <w:t>2025</w:t>
            </w:r>
          </w:p>
        </w:tc>
        <w:tc>
          <w:tcPr>
            <w:tcW w:w="1531" w:type="dxa"/>
            <w:tcBorders>
              <w:bottom w:val="single" w:sz="4" w:space="0" w:color="000000"/>
            </w:tcBorders>
          </w:tcPr>
          <w:p w14:paraId="23E1C910" w14:textId="42B485AA" w:rsidR="008E5DE4" w:rsidRDefault="00FF468A">
            <w:pPr>
              <w:widowControl w:val="0"/>
              <w:pBdr>
                <w:top w:val="nil"/>
                <w:left w:val="nil"/>
                <w:bottom w:val="nil"/>
                <w:right w:val="nil"/>
                <w:between w:val="nil"/>
              </w:pBdr>
              <w:ind w:left="-113"/>
              <w:jc w:val="right"/>
              <w:rPr>
                <w:b/>
                <w:color w:val="000000"/>
              </w:rPr>
            </w:pPr>
            <w:r>
              <w:rPr>
                <w:b/>
                <w:color w:val="000000"/>
              </w:rPr>
              <w:t>2024</w:t>
            </w:r>
          </w:p>
        </w:tc>
      </w:tr>
      <w:tr w:rsidR="008E5DE4" w14:paraId="279F6271" w14:textId="77777777">
        <w:trPr>
          <w:cantSplit/>
        </w:trPr>
        <w:tc>
          <w:tcPr>
            <w:tcW w:w="5556" w:type="dxa"/>
            <w:vAlign w:val="bottom"/>
          </w:tcPr>
          <w:p w14:paraId="04F82BE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vAlign w:val="bottom"/>
          </w:tcPr>
          <w:p w14:paraId="3FB8D1AC"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3050996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F194601" w14:textId="77777777" w:rsidR="008E5DE4" w:rsidRDefault="008E5DE4">
            <w:pPr>
              <w:widowControl w:val="0"/>
              <w:pBdr>
                <w:top w:val="nil"/>
                <w:left w:val="nil"/>
                <w:bottom w:val="nil"/>
                <w:right w:val="nil"/>
                <w:between w:val="nil"/>
              </w:pBdr>
              <w:jc w:val="right"/>
              <w:rPr>
                <w:color w:val="000000"/>
              </w:rPr>
            </w:pPr>
          </w:p>
        </w:tc>
      </w:tr>
      <w:tr w:rsidR="008E5DE4" w14:paraId="558422D5" w14:textId="77777777">
        <w:trPr>
          <w:cantSplit/>
        </w:trPr>
        <w:tc>
          <w:tcPr>
            <w:tcW w:w="5556" w:type="dxa"/>
            <w:vAlign w:val="bottom"/>
          </w:tcPr>
          <w:p w14:paraId="289046DE"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[Continuing operations:]</w:t>
            </w:r>
          </w:p>
        </w:tc>
        <w:tc>
          <w:tcPr>
            <w:tcW w:w="737" w:type="dxa"/>
            <w:vAlign w:val="bottom"/>
          </w:tcPr>
          <w:p w14:paraId="41FB86DE" w14:textId="77777777" w:rsidR="008E5DE4" w:rsidRDefault="008E5DE4">
            <w:pPr>
              <w:widowControl w:val="0"/>
              <w:pBdr>
                <w:top w:val="nil"/>
                <w:left w:val="nil"/>
                <w:bottom w:val="nil"/>
                <w:right w:val="nil"/>
                <w:between w:val="nil"/>
              </w:pBdr>
              <w:jc w:val="center"/>
              <w:rPr>
                <w:i/>
                <w:color w:val="000000"/>
              </w:rPr>
            </w:pPr>
          </w:p>
        </w:tc>
        <w:tc>
          <w:tcPr>
            <w:tcW w:w="1531" w:type="dxa"/>
            <w:vAlign w:val="bottom"/>
          </w:tcPr>
          <w:p w14:paraId="6971D2C7"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4EB01E38" w14:textId="77777777" w:rsidR="008E5DE4" w:rsidRDefault="008E5DE4">
            <w:pPr>
              <w:widowControl w:val="0"/>
              <w:pBdr>
                <w:top w:val="nil"/>
                <w:left w:val="nil"/>
                <w:bottom w:val="nil"/>
                <w:right w:val="nil"/>
                <w:between w:val="nil"/>
              </w:pBdr>
              <w:jc w:val="right"/>
              <w:rPr>
                <w:i/>
                <w:color w:val="000000"/>
              </w:rPr>
            </w:pPr>
          </w:p>
        </w:tc>
      </w:tr>
      <w:tr w:rsidR="008E5DE4" w14:paraId="03054434" w14:textId="77777777">
        <w:trPr>
          <w:cantSplit/>
        </w:trPr>
        <w:tc>
          <w:tcPr>
            <w:tcW w:w="5556" w:type="dxa"/>
            <w:vAlign w:val="bottom"/>
          </w:tcPr>
          <w:p w14:paraId="4939331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vAlign w:val="bottom"/>
          </w:tcPr>
          <w:p w14:paraId="326936BF"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96604D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9D59D6E" w14:textId="77777777" w:rsidR="008E5DE4" w:rsidRDefault="008E5DE4">
            <w:pPr>
              <w:widowControl w:val="0"/>
              <w:pBdr>
                <w:top w:val="nil"/>
                <w:left w:val="nil"/>
                <w:bottom w:val="nil"/>
                <w:right w:val="nil"/>
                <w:between w:val="nil"/>
              </w:pBdr>
              <w:jc w:val="right"/>
              <w:rPr>
                <w:color w:val="000000"/>
              </w:rPr>
            </w:pPr>
          </w:p>
        </w:tc>
      </w:tr>
      <w:tr w:rsidR="008E5DE4" w14:paraId="5E34C332" w14:textId="77777777">
        <w:trPr>
          <w:cantSplit/>
        </w:trPr>
        <w:tc>
          <w:tcPr>
            <w:tcW w:w="5556" w:type="dxa"/>
            <w:vAlign w:val="bottom"/>
          </w:tcPr>
          <w:p w14:paraId="7C163E0D" w14:textId="77777777" w:rsidR="008E5DE4" w:rsidRDefault="00780368">
            <w:pPr>
              <w:widowControl w:val="0"/>
              <w:pBdr>
                <w:top w:val="nil"/>
                <w:left w:val="nil"/>
                <w:bottom w:val="nil"/>
                <w:right w:val="nil"/>
                <w:between w:val="nil"/>
              </w:pBdr>
              <w:ind w:left="113" w:right="-57" w:hanging="113"/>
              <w:rPr>
                <w:color w:val="000000"/>
              </w:rPr>
            </w:pPr>
            <w:r>
              <w:rPr>
                <w:color w:val="000000"/>
              </w:rPr>
              <w:t>Revenue from contracts with customers</w:t>
            </w:r>
          </w:p>
        </w:tc>
        <w:tc>
          <w:tcPr>
            <w:tcW w:w="737" w:type="dxa"/>
            <w:vAlign w:val="bottom"/>
          </w:tcPr>
          <w:p w14:paraId="7C577DA5" w14:textId="77777777" w:rsidR="008E5DE4" w:rsidRDefault="00780368">
            <w:pPr>
              <w:widowControl w:val="0"/>
              <w:pBdr>
                <w:top w:val="nil"/>
                <w:left w:val="nil"/>
                <w:bottom w:val="nil"/>
                <w:right w:val="nil"/>
                <w:between w:val="nil"/>
              </w:pBdr>
              <w:jc w:val="center"/>
              <w:rPr>
                <w:color w:val="000000"/>
              </w:rPr>
            </w:pPr>
            <w:r>
              <w:rPr>
                <w:color w:val="000000"/>
              </w:rPr>
              <w:t>35</w:t>
            </w:r>
          </w:p>
        </w:tc>
        <w:tc>
          <w:tcPr>
            <w:tcW w:w="1531" w:type="dxa"/>
            <w:vAlign w:val="bottom"/>
          </w:tcPr>
          <w:p w14:paraId="437C1CB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B65DF50" w14:textId="77777777" w:rsidR="008E5DE4" w:rsidRDefault="008E5DE4">
            <w:pPr>
              <w:widowControl w:val="0"/>
              <w:pBdr>
                <w:top w:val="nil"/>
                <w:left w:val="nil"/>
                <w:bottom w:val="nil"/>
                <w:right w:val="nil"/>
                <w:between w:val="nil"/>
              </w:pBdr>
              <w:jc w:val="right"/>
              <w:rPr>
                <w:color w:val="000000"/>
              </w:rPr>
            </w:pPr>
          </w:p>
        </w:tc>
      </w:tr>
      <w:tr w:rsidR="008E5DE4" w14:paraId="75482335" w14:textId="77777777">
        <w:trPr>
          <w:cantSplit/>
        </w:trPr>
        <w:tc>
          <w:tcPr>
            <w:tcW w:w="5556" w:type="dxa"/>
            <w:vAlign w:val="bottom"/>
          </w:tcPr>
          <w:p w14:paraId="29314BC7"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Cost of sales </w:t>
            </w:r>
          </w:p>
        </w:tc>
        <w:tc>
          <w:tcPr>
            <w:tcW w:w="737" w:type="dxa"/>
            <w:vAlign w:val="bottom"/>
          </w:tcPr>
          <w:p w14:paraId="6334D95F"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7D8407A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D273C7B" w14:textId="77777777" w:rsidR="008E5DE4" w:rsidRDefault="008E5DE4">
            <w:pPr>
              <w:widowControl w:val="0"/>
              <w:pBdr>
                <w:top w:val="nil"/>
                <w:left w:val="nil"/>
                <w:bottom w:val="nil"/>
                <w:right w:val="nil"/>
                <w:between w:val="nil"/>
              </w:pBdr>
              <w:jc w:val="right"/>
              <w:rPr>
                <w:color w:val="000000"/>
              </w:rPr>
            </w:pPr>
          </w:p>
        </w:tc>
      </w:tr>
      <w:tr w:rsidR="008E5DE4" w14:paraId="3C6A80E4" w14:textId="77777777">
        <w:trPr>
          <w:cantSplit/>
        </w:trPr>
        <w:tc>
          <w:tcPr>
            <w:tcW w:w="5556" w:type="dxa"/>
            <w:tcBorders>
              <w:bottom w:val="single" w:sz="4" w:space="0" w:color="000000"/>
            </w:tcBorders>
            <w:vAlign w:val="bottom"/>
          </w:tcPr>
          <w:p w14:paraId="6B7B9100"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7E76AACD"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298379C7"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3E39226" w14:textId="77777777" w:rsidR="008E5DE4" w:rsidRDefault="008E5DE4">
            <w:pPr>
              <w:widowControl w:val="0"/>
              <w:pBdr>
                <w:top w:val="nil"/>
                <w:left w:val="nil"/>
                <w:bottom w:val="nil"/>
                <w:right w:val="nil"/>
                <w:between w:val="nil"/>
              </w:pBdr>
              <w:jc w:val="right"/>
              <w:rPr>
                <w:color w:val="000000"/>
              </w:rPr>
            </w:pPr>
          </w:p>
        </w:tc>
      </w:tr>
      <w:tr w:rsidR="008E5DE4" w14:paraId="566D5CAD" w14:textId="77777777">
        <w:trPr>
          <w:cantSplit/>
        </w:trPr>
        <w:tc>
          <w:tcPr>
            <w:tcW w:w="5556" w:type="dxa"/>
            <w:tcBorders>
              <w:top w:val="single" w:sz="4" w:space="0" w:color="000000"/>
            </w:tcBorders>
            <w:vAlign w:val="bottom"/>
          </w:tcPr>
          <w:p w14:paraId="5CDF706F"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02E948B7"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4A9747A8"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28A4D432" w14:textId="77777777" w:rsidR="008E5DE4" w:rsidRDefault="008E5DE4">
            <w:pPr>
              <w:widowControl w:val="0"/>
              <w:pBdr>
                <w:top w:val="nil"/>
                <w:left w:val="nil"/>
                <w:bottom w:val="nil"/>
                <w:right w:val="nil"/>
                <w:between w:val="nil"/>
              </w:pBdr>
              <w:jc w:val="right"/>
              <w:rPr>
                <w:color w:val="000000"/>
              </w:rPr>
            </w:pPr>
          </w:p>
        </w:tc>
      </w:tr>
      <w:tr w:rsidR="008E5DE4" w14:paraId="0574180A" w14:textId="77777777">
        <w:trPr>
          <w:cantSplit/>
        </w:trPr>
        <w:tc>
          <w:tcPr>
            <w:tcW w:w="5556" w:type="dxa"/>
            <w:vAlign w:val="bottom"/>
          </w:tcPr>
          <w:p w14:paraId="3C8942DF" w14:textId="77777777" w:rsidR="008E5DE4" w:rsidRDefault="00780368">
            <w:pPr>
              <w:widowControl w:val="0"/>
              <w:pBdr>
                <w:top w:val="nil"/>
                <w:left w:val="nil"/>
                <w:bottom w:val="nil"/>
                <w:right w:val="nil"/>
                <w:between w:val="nil"/>
              </w:pBdr>
              <w:ind w:left="113" w:right="-57" w:hanging="113"/>
              <w:rPr>
                <w:b/>
                <w:color w:val="000000"/>
              </w:rPr>
            </w:pPr>
            <w:r>
              <w:rPr>
                <w:b/>
                <w:color w:val="000000"/>
              </w:rPr>
              <w:t>Gross profit</w:t>
            </w:r>
          </w:p>
        </w:tc>
        <w:tc>
          <w:tcPr>
            <w:tcW w:w="737" w:type="dxa"/>
            <w:vAlign w:val="bottom"/>
          </w:tcPr>
          <w:p w14:paraId="78D73FAC"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4B2A17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3E864EA" w14:textId="77777777" w:rsidR="008E5DE4" w:rsidRDefault="008E5DE4">
            <w:pPr>
              <w:widowControl w:val="0"/>
              <w:pBdr>
                <w:top w:val="nil"/>
                <w:left w:val="nil"/>
                <w:bottom w:val="nil"/>
                <w:right w:val="nil"/>
                <w:between w:val="nil"/>
              </w:pBdr>
              <w:jc w:val="right"/>
              <w:rPr>
                <w:color w:val="000000"/>
              </w:rPr>
            </w:pPr>
          </w:p>
        </w:tc>
      </w:tr>
      <w:tr w:rsidR="008E5DE4" w14:paraId="19B9DE1B" w14:textId="77777777">
        <w:trPr>
          <w:cantSplit/>
        </w:trPr>
        <w:tc>
          <w:tcPr>
            <w:tcW w:w="5556" w:type="dxa"/>
            <w:vAlign w:val="bottom"/>
          </w:tcPr>
          <w:p w14:paraId="51CADF7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vAlign w:val="bottom"/>
          </w:tcPr>
          <w:p w14:paraId="6EECD6E3"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EFCB4C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FB123DF" w14:textId="77777777" w:rsidR="008E5DE4" w:rsidRDefault="008E5DE4">
            <w:pPr>
              <w:widowControl w:val="0"/>
              <w:pBdr>
                <w:top w:val="nil"/>
                <w:left w:val="nil"/>
                <w:bottom w:val="nil"/>
                <w:right w:val="nil"/>
                <w:between w:val="nil"/>
              </w:pBdr>
              <w:jc w:val="right"/>
              <w:rPr>
                <w:color w:val="000000"/>
              </w:rPr>
            </w:pPr>
          </w:p>
        </w:tc>
      </w:tr>
      <w:tr w:rsidR="008E5DE4" w14:paraId="051753D8" w14:textId="77777777">
        <w:trPr>
          <w:cantSplit/>
        </w:trPr>
        <w:tc>
          <w:tcPr>
            <w:tcW w:w="5556" w:type="dxa"/>
            <w:vAlign w:val="bottom"/>
          </w:tcPr>
          <w:p w14:paraId="0A8A7F37" w14:textId="77777777" w:rsidR="008E5DE4" w:rsidRDefault="00780368">
            <w:pPr>
              <w:widowControl w:val="0"/>
              <w:pBdr>
                <w:top w:val="nil"/>
                <w:left w:val="nil"/>
                <w:bottom w:val="nil"/>
                <w:right w:val="nil"/>
                <w:between w:val="nil"/>
              </w:pBdr>
              <w:ind w:left="113" w:right="-57" w:hanging="113"/>
              <w:rPr>
                <w:color w:val="000000"/>
              </w:rPr>
            </w:pPr>
            <w:r>
              <w:rPr>
                <w:color w:val="000000"/>
              </w:rPr>
              <w:t>Rental income from investment properties</w:t>
            </w:r>
          </w:p>
        </w:tc>
        <w:tc>
          <w:tcPr>
            <w:tcW w:w="737" w:type="dxa"/>
            <w:vAlign w:val="bottom"/>
          </w:tcPr>
          <w:p w14:paraId="7E3F0671" w14:textId="77777777" w:rsidR="008E5DE4" w:rsidRDefault="00780368">
            <w:pPr>
              <w:widowControl w:val="0"/>
              <w:pBdr>
                <w:top w:val="nil"/>
                <w:left w:val="nil"/>
                <w:bottom w:val="nil"/>
                <w:right w:val="nil"/>
                <w:between w:val="nil"/>
              </w:pBdr>
              <w:jc w:val="center"/>
              <w:rPr>
                <w:color w:val="000000"/>
              </w:rPr>
            </w:pPr>
            <w:r>
              <w:rPr>
                <w:color w:val="000000"/>
              </w:rPr>
              <w:t>10</w:t>
            </w:r>
          </w:p>
        </w:tc>
        <w:tc>
          <w:tcPr>
            <w:tcW w:w="1531" w:type="dxa"/>
            <w:vAlign w:val="bottom"/>
          </w:tcPr>
          <w:p w14:paraId="52E7165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651A443" w14:textId="77777777" w:rsidR="008E5DE4" w:rsidRDefault="008E5DE4">
            <w:pPr>
              <w:widowControl w:val="0"/>
              <w:pBdr>
                <w:top w:val="nil"/>
                <w:left w:val="nil"/>
                <w:bottom w:val="nil"/>
                <w:right w:val="nil"/>
                <w:between w:val="nil"/>
              </w:pBdr>
              <w:jc w:val="right"/>
              <w:rPr>
                <w:color w:val="000000"/>
              </w:rPr>
            </w:pPr>
          </w:p>
        </w:tc>
      </w:tr>
      <w:tr w:rsidR="008E5DE4" w14:paraId="03DF3DF9" w14:textId="77777777">
        <w:trPr>
          <w:cantSplit/>
        </w:trPr>
        <w:tc>
          <w:tcPr>
            <w:tcW w:w="5556" w:type="dxa"/>
            <w:vAlign w:val="bottom"/>
          </w:tcPr>
          <w:p w14:paraId="6AF82D1B" w14:textId="77777777" w:rsidR="008E5DE4" w:rsidRDefault="00780368">
            <w:pPr>
              <w:widowControl w:val="0"/>
              <w:pBdr>
                <w:top w:val="nil"/>
                <w:left w:val="nil"/>
                <w:bottom w:val="nil"/>
                <w:right w:val="nil"/>
                <w:between w:val="nil"/>
              </w:pBdr>
              <w:ind w:left="113" w:right="-57" w:hanging="113"/>
              <w:rPr>
                <w:color w:val="000000"/>
              </w:rPr>
            </w:pPr>
            <w:r>
              <w:rPr>
                <w:color w:val="000000"/>
              </w:rPr>
              <w:t>Rental income from equipment leased to customers</w:t>
            </w:r>
          </w:p>
        </w:tc>
        <w:tc>
          <w:tcPr>
            <w:tcW w:w="737" w:type="dxa"/>
            <w:vAlign w:val="bottom"/>
          </w:tcPr>
          <w:p w14:paraId="4DE74205" w14:textId="77777777" w:rsidR="008E5DE4" w:rsidRDefault="00780368">
            <w:pPr>
              <w:widowControl w:val="0"/>
              <w:pBdr>
                <w:top w:val="nil"/>
                <w:left w:val="nil"/>
                <w:bottom w:val="nil"/>
                <w:right w:val="nil"/>
                <w:between w:val="nil"/>
              </w:pBdr>
              <w:jc w:val="center"/>
              <w:rPr>
                <w:color w:val="000000"/>
              </w:rPr>
            </w:pPr>
            <w:r>
              <w:rPr>
                <w:color w:val="000000"/>
              </w:rPr>
              <w:t>9</w:t>
            </w:r>
          </w:p>
        </w:tc>
        <w:tc>
          <w:tcPr>
            <w:tcW w:w="1531" w:type="dxa"/>
            <w:vAlign w:val="bottom"/>
          </w:tcPr>
          <w:p w14:paraId="3BDC922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7DFE84B" w14:textId="77777777" w:rsidR="008E5DE4" w:rsidRDefault="008E5DE4">
            <w:pPr>
              <w:widowControl w:val="0"/>
              <w:pBdr>
                <w:top w:val="nil"/>
                <w:left w:val="nil"/>
                <w:bottom w:val="nil"/>
                <w:right w:val="nil"/>
                <w:between w:val="nil"/>
              </w:pBdr>
              <w:jc w:val="right"/>
              <w:rPr>
                <w:color w:val="000000"/>
              </w:rPr>
            </w:pPr>
          </w:p>
        </w:tc>
      </w:tr>
      <w:tr w:rsidR="008E5DE4" w14:paraId="335F9FBA" w14:textId="77777777">
        <w:trPr>
          <w:cantSplit/>
        </w:trPr>
        <w:tc>
          <w:tcPr>
            <w:tcW w:w="5556" w:type="dxa"/>
            <w:vAlign w:val="bottom"/>
          </w:tcPr>
          <w:p w14:paraId="265919D4" w14:textId="77777777" w:rsidR="008E5DE4" w:rsidRDefault="00780368">
            <w:pPr>
              <w:widowControl w:val="0"/>
              <w:pBdr>
                <w:top w:val="nil"/>
                <w:left w:val="nil"/>
                <w:bottom w:val="nil"/>
                <w:right w:val="nil"/>
                <w:between w:val="nil"/>
              </w:pBdr>
              <w:ind w:left="113" w:right="-57" w:hanging="113"/>
              <w:rPr>
                <w:color w:val="000000"/>
              </w:rPr>
            </w:pPr>
            <w:r>
              <w:rPr>
                <w:color w:val="000000"/>
              </w:rPr>
              <w:t>Finance lease income</w:t>
            </w:r>
          </w:p>
        </w:tc>
        <w:tc>
          <w:tcPr>
            <w:tcW w:w="737" w:type="dxa"/>
            <w:vAlign w:val="bottom"/>
          </w:tcPr>
          <w:p w14:paraId="43409F79" w14:textId="77777777" w:rsidR="008E5DE4" w:rsidRDefault="00780368">
            <w:pPr>
              <w:widowControl w:val="0"/>
              <w:pBdr>
                <w:top w:val="nil"/>
                <w:left w:val="nil"/>
                <w:bottom w:val="nil"/>
                <w:right w:val="nil"/>
                <w:between w:val="nil"/>
              </w:pBdr>
              <w:jc w:val="center"/>
              <w:rPr>
                <w:color w:val="000000"/>
              </w:rPr>
            </w:pPr>
            <w:r>
              <w:rPr>
                <w:color w:val="000000"/>
              </w:rPr>
              <w:t>15</w:t>
            </w:r>
          </w:p>
        </w:tc>
        <w:tc>
          <w:tcPr>
            <w:tcW w:w="1531" w:type="dxa"/>
            <w:vAlign w:val="bottom"/>
          </w:tcPr>
          <w:p w14:paraId="2132CD6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4FEF090" w14:textId="77777777" w:rsidR="008E5DE4" w:rsidRDefault="008E5DE4">
            <w:pPr>
              <w:widowControl w:val="0"/>
              <w:pBdr>
                <w:top w:val="nil"/>
                <w:left w:val="nil"/>
                <w:bottom w:val="nil"/>
                <w:right w:val="nil"/>
                <w:between w:val="nil"/>
              </w:pBdr>
              <w:jc w:val="right"/>
              <w:rPr>
                <w:color w:val="000000"/>
              </w:rPr>
            </w:pPr>
          </w:p>
        </w:tc>
      </w:tr>
      <w:tr w:rsidR="008E5DE4" w14:paraId="57785413" w14:textId="77777777">
        <w:trPr>
          <w:cantSplit/>
        </w:trPr>
        <w:tc>
          <w:tcPr>
            <w:tcW w:w="5556" w:type="dxa"/>
            <w:vAlign w:val="bottom"/>
          </w:tcPr>
          <w:p w14:paraId="767F6D1F" w14:textId="77777777" w:rsidR="008E5DE4" w:rsidRDefault="00780368">
            <w:pPr>
              <w:widowControl w:val="0"/>
              <w:pBdr>
                <w:top w:val="nil"/>
                <w:left w:val="nil"/>
                <w:bottom w:val="nil"/>
                <w:right w:val="nil"/>
                <w:between w:val="nil"/>
              </w:pBdr>
              <w:ind w:left="113" w:right="-57" w:hanging="113"/>
              <w:rPr>
                <w:color w:val="000000"/>
              </w:rPr>
            </w:pPr>
            <w:r>
              <w:rPr>
                <w:color w:val="000000"/>
              </w:rPr>
              <w:t>Other income</w:t>
            </w:r>
          </w:p>
        </w:tc>
        <w:tc>
          <w:tcPr>
            <w:tcW w:w="737" w:type="dxa"/>
            <w:vAlign w:val="bottom"/>
          </w:tcPr>
          <w:p w14:paraId="118A3434"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7E015EC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59D8808" w14:textId="77777777" w:rsidR="008E5DE4" w:rsidRDefault="008E5DE4">
            <w:pPr>
              <w:widowControl w:val="0"/>
              <w:pBdr>
                <w:top w:val="nil"/>
                <w:left w:val="nil"/>
                <w:bottom w:val="nil"/>
                <w:right w:val="nil"/>
                <w:between w:val="nil"/>
              </w:pBdr>
              <w:jc w:val="right"/>
              <w:rPr>
                <w:color w:val="000000"/>
              </w:rPr>
            </w:pPr>
          </w:p>
        </w:tc>
      </w:tr>
      <w:tr w:rsidR="008E5DE4" w14:paraId="58445A9F" w14:textId="77777777">
        <w:trPr>
          <w:cantSplit/>
        </w:trPr>
        <w:tc>
          <w:tcPr>
            <w:tcW w:w="5556" w:type="dxa"/>
            <w:vAlign w:val="bottom"/>
          </w:tcPr>
          <w:p w14:paraId="3E3E4D72" w14:textId="021988F0" w:rsidR="008E5DE4" w:rsidRDefault="00780368">
            <w:pPr>
              <w:widowControl w:val="0"/>
              <w:pBdr>
                <w:top w:val="nil"/>
                <w:left w:val="nil"/>
                <w:bottom w:val="nil"/>
                <w:right w:val="nil"/>
                <w:between w:val="nil"/>
              </w:pBdr>
              <w:ind w:left="113" w:right="-57" w:hanging="113"/>
              <w:rPr>
                <w:color w:val="000000"/>
              </w:rPr>
            </w:pPr>
            <w:r>
              <w:rPr>
                <w:color w:val="000000"/>
              </w:rPr>
              <w:t xml:space="preserve">Interest revenue calculated using the effective interest method </w:t>
            </w:r>
          </w:p>
        </w:tc>
        <w:tc>
          <w:tcPr>
            <w:tcW w:w="737" w:type="dxa"/>
            <w:vAlign w:val="bottom"/>
          </w:tcPr>
          <w:p w14:paraId="772DE182"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363122E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615AAC1" w14:textId="77777777" w:rsidR="008E5DE4" w:rsidRDefault="008E5DE4">
            <w:pPr>
              <w:widowControl w:val="0"/>
              <w:pBdr>
                <w:top w:val="nil"/>
                <w:left w:val="nil"/>
                <w:bottom w:val="nil"/>
                <w:right w:val="nil"/>
                <w:between w:val="nil"/>
              </w:pBdr>
              <w:jc w:val="right"/>
              <w:rPr>
                <w:color w:val="000000"/>
              </w:rPr>
            </w:pPr>
          </w:p>
        </w:tc>
      </w:tr>
      <w:tr w:rsidR="008E5DE4" w14:paraId="2AD0E380" w14:textId="77777777">
        <w:trPr>
          <w:cantSplit/>
        </w:trPr>
        <w:tc>
          <w:tcPr>
            <w:tcW w:w="5556" w:type="dxa"/>
            <w:vAlign w:val="bottom"/>
          </w:tcPr>
          <w:p w14:paraId="51555B8E" w14:textId="77777777" w:rsidR="008E5DE4" w:rsidRDefault="00780368">
            <w:pPr>
              <w:widowControl w:val="0"/>
              <w:pBdr>
                <w:top w:val="nil"/>
                <w:left w:val="nil"/>
                <w:bottom w:val="nil"/>
                <w:right w:val="nil"/>
                <w:between w:val="nil"/>
              </w:pBdr>
              <w:ind w:left="113" w:right="-57" w:hanging="113"/>
              <w:rPr>
                <w:color w:val="000000"/>
              </w:rPr>
            </w:pPr>
            <w:r>
              <w:rPr>
                <w:color w:val="000000"/>
              </w:rPr>
              <w:t>Distribution costs</w:t>
            </w:r>
          </w:p>
        </w:tc>
        <w:tc>
          <w:tcPr>
            <w:tcW w:w="737" w:type="dxa"/>
            <w:vAlign w:val="bottom"/>
          </w:tcPr>
          <w:p w14:paraId="52A62F9A"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4C7CF8B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15D7EA8" w14:textId="77777777" w:rsidR="008E5DE4" w:rsidRDefault="008E5DE4">
            <w:pPr>
              <w:widowControl w:val="0"/>
              <w:pBdr>
                <w:top w:val="nil"/>
                <w:left w:val="nil"/>
                <w:bottom w:val="nil"/>
                <w:right w:val="nil"/>
                <w:between w:val="nil"/>
              </w:pBdr>
              <w:jc w:val="right"/>
              <w:rPr>
                <w:color w:val="000000"/>
              </w:rPr>
            </w:pPr>
          </w:p>
        </w:tc>
      </w:tr>
      <w:tr w:rsidR="008E5DE4" w14:paraId="24F328B8" w14:textId="77777777">
        <w:trPr>
          <w:cantSplit/>
        </w:trPr>
        <w:tc>
          <w:tcPr>
            <w:tcW w:w="5556" w:type="dxa"/>
            <w:vAlign w:val="bottom"/>
          </w:tcPr>
          <w:p w14:paraId="2AB471B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General and administrative expenses </w:t>
            </w:r>
          </w:p>
        </w:tc>
        <w:tc>
          <w:tcPr>
            <w:tcW w:w="737" w:type="dxa"/>
            <w:vAlign w:val="bottom"/>
          </w:tcPr>
          <w:p w14:paraId="677AD5D0"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6E697B1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FA3AB65" w14:textId="77777777" w:rsidR="008E5DE4" w:rsidRDefault="008E5DE4">
            <w:pPr>
              <w:widowControl w:val="0"/>
              <w:pBdr>
                <w:top w:val="nil"/>
                <w:left w:val="nil"/>
                <w:bottom w:val="nil"/>
                <w:right w:val="nil"/>
                <w:between w:val="nil"/>
              </w:pBdr>
              <w:jc w:val="right"/>
              <w:rPr>
                <w:color w:val="000000"/>
              </w:rPr>
            </w:pPr>
          </w:p>
        </w:tc>
      </w:tr>
      <w:tr w:rsidR="008E5DE4" w14:paraId="1F625172" w14:textId="77777777">
        <w:trPr>
          <w:cantSplit/>
        </w:trPr>
        <w:tc>
          <w:tcPr>
            <w:tcW w:w="5556" w:type="dxa"/>
            <w:vAlign w:val="bottom"/>
          </w:tcPr>
          <w:p w14:paraId="1F6DEB52" w14:textId="77777777" w:rsidR="008E5DE4" w:rsidRDefault="00780368">
            <w:pPr>
              <w:widowControl w:val="0"/>
              <w:pBdr>
                <w:top w:val="nil"/>
                <w:left w:val="nil"/>
                <w:bottom w:val="nil"/>
                <w:right w:val="nil"/>
                <w:between w:val="nil"/>
              </w:pBdr>
              <w:ind w:left="113" w:right="-57" w:hanging="113"/>
              <w:rPr>
                <w:color w:val="000000"/>
              </w:rPr>
            </w:pPr>
            <w:r>
              <w:rPr>
                <w:color w:val="000000"/>
              </w:rPr>
              <w:t>Research and development costs</w:t>
            </w:r>
          </w:p>
        </w:tc>
        <w:tc>
          <w:tcPr>
            <w:tcW w:w="737" w:type="dxa"/>
            <w:vAlign w:val="bottom"/>
          </w:tcPr>
          <w:p w14:paraId="56E95F6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1FE28F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E7591AD" w14:textId="77777777" w:rsidR="008E5DE4" w:rsidRDefault="008E5DE4">
            <w:pPr>
              <w:widowControl w:val="0"/>
              <w:pBdr>
                <w:top w:val="nil"/>
                <w:left w:val="nil"/>
                <w:bottom w:val="nil"/>
                <w:right w:val="nil"/>
                <w:between w:val="nil"/>
              </w:pBdr>
              <w:jc w:val="right"/>
              <w:rPr>
                <w:color w:val="000000"/>
              </w:rPr>
            </w:pPr>
          </w:p>
        </w:tc>
      </w:tr>
      <w:tr w:rsidR="008E5DE4" w14:paraId="4B88DEB3" w14:textId="77777777">
        <w:trPr>
          <w:cantSplit/>
        </w:trPr>
        <w:tc>
          <w:tcPr>
            <w:tcW w:w="5556" w:type="dxa"/>
            <w:vAlign w:val="bottom"/>
          </w:tcPr>
          <w:p w14:paraId="19DB53B7" w14:textId="77777777" w:rsidR="008E5DE4" w:rsidRDefault="00780368">
            <w:pPr>
              <w:widowControl w:val="0"/>
              <w:pBdr>
                <w:top w:val="nil"/>
                <w:left w:val="nil"/>
                <w:bottom w:val="nil"/>
                <w:right w:val="nil"/>
                <w:between w:val="nil"/>
              </w:pBdr>
              <w:ind w:left="113" w:right="-57" w:hanging="113"/>
              <w:rPr>
                <w:color w:val="000000"/>
              </w:rPr>
            </w:pPr>
            <w:r>
              <w:rPr>
                <w:color w:val="000000"/>
              </w:rPr>
              <w:t>Net charge for expected credit losses on financial and contract assets</w:t>
            </w:r>
          </w:p>
        </w:tc>
        <w:tc>
          <w:tcPr>
            <w:tcW w:w="737" w:type="dxa"/>
            <w:vAlign w:val="bottom"/>
          </w:tcPr>
          <w:p w14:paraId="0E274A08"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144FD16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52019C1" w14:textId="77777777" w:rsidR="008E5DE4" w:rsidRDefault="008E5DE4">
            <w:pPr>
              <w:widowControl w:val="0"/>
              <w:pBdr>
                <w:top w:val="nil"/>
                <w:left w:val="nil"/>
                <w:bottom w:val="nil"/>
                <w:right w:val="nil"/>
                <w:between w:val="nil"/>
              </w:pBdr>
              <w:jc w:val="right"/>
              <w:rPr>
                <w:color w:val="000000"/>
              </w:rPr>
            </w:pPr>
          </w:p>
        </w:tc>
      </w:tr>
      <w:tr w:rsidR="008E5DE4" w14:paraId="35AAEA38" w14:textId="77777777">
        <w:trPr>
          <w:cantSplit/>
        </w:trPr>
        <w:tc>
          <w:tcPr>
            <w:tcW w:w="5556" w:type="dxa"/>
            <w:vAlign w:val="bottom"/>
          </w:tcPr>
          <w:p w14:paraId="5CD44DD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Other gains/(losses), net </w:t>
            </w:r>
          </w:p>
        </w:tc>
        <w:tc>
          <w:tcPr>
            <w:tcW w:w="737" w:type="dxa"/>
            <w:vAlign w:val="bottom"/>
          </w:tcPr>
          <w:p w14:paraId="57BB48FC"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6EBCC8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F114C59" w14:textId="77777777" w:rsidR="008E5DE4" w:rsidRDefault="008E5DE4">
            <w:pPr>
              <w:widowControl w:val="0"/>
              <w:pBdr>
                <w:top w:val="nil"/>
                <w:left w:val="nil"/>
                <w:bottom w:val="nil"/>
                <w:right w:val="nil"/>
                <w:between w:val="nil"/>
              </w:pBdr>
              <w:jc w:val="right"/>
              <w:rPr>
                <w:color w:val="000000"/>
              </w:rPr>
            </w:pPr>
          </w:p>
        </w:tc>
      </w:tr>
      <w:tr w:rsidR="008E5DE4" w14:paraId="3111CAE0" w14:textId="77777777">
        <w:trPr>
          <w:cantSplit/>
        </w:trPr>
        <w:tc>
          <w:tcPr>
            <w:tcW w:w="5556" w:type="dxa"/>
            <w:tcBorders>
              <w:bottom w:val="single" w:sz="4" w:space="0" w:color="000000"/>
            </w:tcBorders>
            <w:vAlign w:val="bottom"/>
          </w:tcPr>
          <w:p w14:paraId="78E831CB"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bottom w:val="single" w:sz="4" w:space="0" w:color="000000"/>
            </w:tcBorders>
            <w:vAlign w:val="bottom"/>
          </w:tcPr>
          <w:p w14:paraId="7ECB3593"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54D339E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661CD67" w14:textId="77777777" w:rsidR="008E5DE4" w:rsidRDefault="008E5DE4">
            <w:pPr>
              <w:widowControl w:val="0"/>
              <w:pBdr>
                <w:top w:val="nil"/>
                <w:left w:val="nil"/>
                <w:bottom w:val="nil"/>
                <w:right w:val="nil"/>
                <w:between w:val="nil"/>
              </w:pBdr>
              <w:jc w:val="right"/>
              <w:rPr>
                <w:color w:val="000000"/>
              </w:rPr>
            </w:pPr>
          </w:p>
        </w:tc>
      </w:tr>
      <w:tr w:rsidR="008E5DE4" w14:paraId="26415259" w14:textId="77777777">
        <w:trPr>
          <w:cantSplit/>
        </w:trPr>
        <w:tc>
          <w:tcPr>
            <w:tcW w:w="5556" w:type="dxa"/>
            <w:tcBorders>
              <w:top w:val="single" w:sz="4" w:space="0" w:color="000000"/>
            </w:tcBorders>
            <w:vAlign w:val="bottom"/>
          </w:tcPr>
          <w:p w14:paraId="12A0C0C7"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3C105E1F"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5AF79E35"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687D3403" w14:textId="77777777" w:rsidR="008E5DE4" w:rsidRDefault="008E5DE4">
            <w:pPr>
              <w:widowControl w:val="0"/>
              <w:pBdr>
                <w:top w:val="nil"/>
                <w:left w:val="nil"/>
                <w:bottom w:val="nil"/>
                <w:right w:val="nil"/>
                <w:between w:val="nil"/>
              </w:pBdr>
              <w:jc w:val="right"/>
              <w:rPr>
                <w:color w:val="000000"/>
              </w:rPr>
            </w:pPr>
          </w:p>
        </w:tc>
      </w:tr>
      <w:tr w:rsidR="008E5DE4" w14:paraId="7991999C" w14:textId="77777777">
        <w:trPr>
          <w:cantSplit/>
        </w:trPr>
        <w:tc>
          <w:tcPr>
            <w:tcW w:w="5556" w:type="dxa"/>
            <w:vAlign w:val="bottom"/>
          </w:tcPr>
          <w:p w14:paraId="3300F274" w14:textId="77777777" w:rsidR="008E5DE4" w:rsidRDefault="00780368">
            <w:pPr>
              <w:widowControl w:val="0"/>
              <w:pBdr>
                <w:top w:val="nil"/>
                <w:left w:val="nil"/>
                <w:bottom w:val="nil"/>
                <w:right w:val="nil"/>
                <w:between w:val="nil"/>
              </w:pBdr>
              <w:ind w:left="113" w:right="-57" w:hanging="113"/>
              <w:rPr>
                <w:b/>
                <w:color w:val="000000"/>
              </w:rPr>
            </w:pPr>
            <w:r>
              <w:rPr>
                <w:b/>
                <w:color w:val="000000"/>
              </w:rPr>
              <w:t>Operating profit</w:t>
            </w:r>
          </w:p>
        </w:tc>
        <w:tc>
          <w:tcPr>
            <w:tcW w:w="737" w:type="dxa"/>
            <w:vAlign w:val="bottom"/>
          </w:tcPr>
          <w:p w14:paraId="466228FA"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3ECADAA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7343994" w14:textId="77777777" w:rsidR="008E5DE4" w:rsidRDefault="008E5DE4">
            <w:pPr>
              <w:widowControl w:val="0"/>
              <w:pBdr>
                <w:top w:val="nil"/>
                <w:left w:val="nil"/>
                <w:bottom w:val="nil"/>
                <w:right w:val="nil"/>
                <w:between w:val="nil"/>
              </w:pBdr>
              <w:jc w:val="right"/>
              <w:rPr>
                <w:color w:val="000000"/>
              </w:rPr>
            </w:pPr>
          </w:p>
        </w:tc>
      </w:tr>
      <w:tr w:rsidR="008E5DE4" w14:paraId="6CE96722" w14:textId="77777777">
        <w:trPr>
          <w:cantSplit/>
        </w:trPr>
        <w:tc>
          <w:tcPr>
            <w:tcW w:w="5556" w:type="dxa"/>
            <w:vAlign w:val="bottom"/>
          </w:tcPr>
          <w:p w14:paraId="61BEF460" w14:textId="77777777" w:rsidR="008E5DE4" w:rsidRDefault="008E5DE4">
            <w:pPr>
              <w:widowControl w:val="0"/>
              <w:pBdr>
                <w:top w:val="nil"/>
                <w:left w:val="nil"/>
                <w:bottom w:val="nil"/>
                <w:right w:val="nil"/>
                <w:between w:val="nil"/>
              </w:pBdr>
              <w:ind w:left="113" w:right="-57" w:hanging="113"/>
              <w:rPr>
                <w:color w:val="000000"/>
              </w:rPr>
            </w:pPr>
          </w:p>
        </w:tc>
        <w:tc>
          <w:tcPr>
            <w:tcW w:w="737" w:type="dxa"/>
            <w:vAlign w:val="bottom"/>
          </w:tcPr>
          <w:p w14:paraId="75B1E6B5"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4EC93C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2EF2EF6" w14:textId="77777777" w:rsidR="008E5DE4" w:rsidRDefault="008E5DE4">
            <w:pPr>
              <w:widowControl w:val="0"/>
              <w:pBdr>
                <w:top w:val="nil"/>
                <w:left w:val="nil"/>
                <w:bottom w:val="nil"/>
                <w:right w:val="nil"/>
                <w:between w:val="nil"/>
              </w:pBdr>
              <w:jc w:val="right"/>
              <w:rPr>
                <w:color w:val="000000"/>
              </w:rPr>
            </w:pPr>
          </w:p>
        </w:tc>
      </w:tr>
      <w:tr w:rsidR="008E5DE4" w14:paraId="67A01FDA" w14:textId="77777777">
        <w:trPr>
          <w:cantSplit/>
        </w:trPr>
        <w:tc>
          <w:tcPr>
            <w:tcW w:w="5556" w:type="dxa"/>
            <w:vAlign w:val="bottom"/>
          </w:tcPr>
          <w:p w14:paraId="51268667" w14:textId="28A72147" w:rsidR="008E5DE4" w:rsidRDefault="00780368">
            <w:pPr>
              <w:widowControl w:val="0"/>
              <w:pBdr>
                <w:top w:val="nil"/>
                <w:left w:val="nil"/>
                <w:bottom w:val="nil"/>
                <w:right w:val="nil"/>
                <w:between w:val="nil"/>
              </w:pBdr>
              <w:ind w:left="113" w:right="-57" w:hanging="113"/>
              <w:rPr>
                <w:color w:val="000000"/>
              </w:rPr>
            </w:pPr>
            <w:r>
              <w:rPr>
                <w:color w:val="000000"/>
              </w:rPr>
              <w:t xml:space="preserve">Interest income calculated using the effective interest method </w:t>
            </w:r>
          </w:p>
        </w:tc>
        <w:tc>
          <w:tcPr>
            <w:tcW w:w="737" w:type="dxa"/>
            <w:vAlign w:val="bottom"/>
          </w:tcPr>
          <w:p w14:paraId="4DFEEB6B" w14:textId="77777777" w:rsidR="008E5DE4" w:rsidRDefault="00780368">
            <w:pPr>
              <w:widowControl w:val="0"/>
              <w:pBdr>
                <w:top w:val="nil"/>
                <w:left w:val="nil"/>
                <w:bottom w:val="nil"/>
                <w:right w:val="nil"/>
                <w:between w:val="nil"/>
              </w:pBdr>
              <w:jc w:val="center"/>
              <w:rPr>
                <w:color w:val="000000"/>
              </w:rPr>
            </w:pPr>
            <w:r>
              <w:rPr>
                <w:color w:val="000000"/>
              </w:rPr>
              <w:t>38</w:t>
            </w:r>
          </w:p>
        </w:tc>
        <w:tc>
          <w:tcPr>
            <w:tcW w:w="1531" w:type="dxa"/>
            <w:vAlign w:val="bottom"/>
          </w:tcPr>
          <w:p w14:paraId="479A451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4590EF9" w14:textId="77777777" w:rsidR="008E5DE4" w:rsidRDefault="008E5DE4">
            <w:pPr>
              <w:widowControl w:val="0"/>
              <w:pBdr>
                <w:top w:val="nil"/>
                <w:left w:val="nil"/>
                <w:bottom w:val="nil"/>
                <w:right w:val="nil"/>
                <w:between w:val="nil"/>
              </w:pBdr>
              <w:jc w:val="right"/>
              <w:rPr>
                <w:color w:val="000000"/>
              </w:rPr>
            </w:pPr>
          </w:p>
        </w:tc>
      </w:tr>
      <w:tr w:rsidR="008E5DE4" w14:paraId="06A300C0" w14:textId="77777777">
        <w:trPr>
          <w:cantSplit/>
        </w:trPr>
        <w:tc>
          <w:tcPr>
            <w:tcW w:w="5556" w:type="dxa"/>
            <w:vAlign w:val="bottom"/>
          </w:tcPr>
          <w:p w14:paraId="04F2CD49" w14:textId="77777777" w:rsidR="008E5DE4" w:rsidRDefault="00780368">
            <w:pPr>
              <w:widowControl w:val="0"/>
              <w:pBdr>
                <w:top w:val="nil"/>
                <w:left w:val="nil"/>
                <w:bottom w:val="nil"/>
                <w:right w:val="nil"/>
                <w:between w:val="nil"/>
              </w:pBdr>
              <w:ind w:left="113" w:right="-57" w:hanging="113"/>
              <w:rPr>
                <w:color w:val="000000"/>
              </w:rPr>
            </w:pPr>
            <w:r>
              <w:rPr>
                <w:color w:val="000000"/>
              </w:rPr>
              <w:t>Other finance income</w:t>
            </w:r>
          </w:p>
        </w:tc>
        <w:tc>
          <w:tcPr>
            <w:tcW w:w="737" w:type="dxa"/>
            <w:vAlign w:val="bottom"/>
          </w:tcPr>
          <w:p w14:paraId="71BA09E3"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91A354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D7B1A0B" w14:textId="77777777" w:rsidR="008E5DE4" w:rsidRDefault="008E5DE4">
            <w:pPr>
              <w:widowControl w:val="0"/>
              <w:pBdr>
                <w:top w:val="nil"/>
                <w:left w:val="nil"/>
                <w:bottom w:val="nil"/>
                <w:right w:val="nil"/>
                <w:between w:val="nil"/>
              </w:pBdr>
              <w:jc w:val="right"/>
              <w:rPr>
                <w:color w:val="000000"/>
              </w:rPr>
            </w:pPr>
          </w:p>
        </w:tc>
      </w:tr>
      <w:tr w:rsidR="008E5DE4" w14:paraId="28C10281" w14:textId="77777777">
        <w:trPr>
          <w:cantSplit/>
        </w:trPr>
        <w:tc>
          <w:tcPr>
            <w:tcW w:w="5556" w:type="dxa"/>
            <w:vAlign w:val="bottom"/>
          </w:tcPr>
          <w:p w14:paraId="366076AE" w14:textId="77777777" w:rsidR="008E5DE4" w:rsidRDefault="00780368">
            <w:pPr>
              <w:widowControl w:val="0"/>
              <w:pBdr>
                <w:top w:val="nil"/>
                <w:left w:val="nil"/>
                <w:bottom w:val="nil"/>
                <w:right w:val="nil"/>
                <w:between w:val="nil"/>
              </w:pBdr>
              <w:ind w:left="113" w:right="-57" w:hanging="113"/>
              <w:rPr>
                <w:color w:val="000000"/>
              </w:rPr>
            </w:pPr>
            <w:r>
              <w:rPr>
                <w:color w:val="000000"/>
              </w:rPr>
              <w:t>Finance costs</w:t>
            </w:r>
          </w:p>
        </w:tc>
        <w:tc>
          <w:tcPr>
            <w:tcW w:w="737" w:type="dxa"/>
            <w:vAlign w:val="bottom"/>
          </w:tcPr>
          <w:p w14:paraId="2DB5BC24" w14:textId="77777777" w:rsidR="008E5DE4" w:rsidRDefault="00780368">
            <w:pPr>
              <w:widowControl w:val="0"/>
              <w:pBdr>
                <w:top w:val="nil"/>
                <w:left w:val="nil"/>
                <w:bottom w:val="nil"/>
                <w:right w:val="nil"/>
                <w:between w:val="nil"/>
              </w:pBdr>
              <w:jc w:val="center"/>
              <w:rPr>
                <w:color w:val="000000"/>
              </w:rPr>
            </w:pPr>
            <w:r>
              <w:rPr>
                <w:color w:val="000000"/>
              </w:rPr>
              <w:t>37</w:t>
            </w:r>
          </w:p>
        </w:tc>
        <w:tc>
          <w:tcPr>
            <w:tcW w:w="1531" w:type="dxa"/>
            <w:vAlign w:val="bottom"/>
          </w:tcPr>
          <w:p w14:paraId="2FFF7D2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77042D6" w14:textId="77777777" w:rsidR="008E5DE4" w:rsidRDefault="008E5DE4">
            <w:pPr>
              <w:widowControl w:val="0"/>
              <w:pBdr>
                <w:top w:val="nil"/>
                <w:left w:val="nil"/>
                <w:bottom w:val="nil"/>
                <w:right w:val="nil"/>
                <w:between w:val="nil"/>
              </w:pBdr>
              <w:jc w:val="right"/>
              <w:rPr>
                <w:color w:val="000000"/>
              </w:rPr>
            </w:pPr>
          </w:p>
        </w:tc>
      </w:tr>
      <w:tr w:rsidR="008E5DE4" w14:paraId="51A1A55A" w14:textId="77777777">
        <w:trPr>
          <w:cantSplit/>
        </w:trPr>
        <w:tc>
          <w:tcPr>
            <w:tcW w:w="5556" w:type="dxa"/>
            <w:vAlign w:val="bottom"/>
          </w:tcPr>
          <w:p w14:paraId="0F89E4F6" w14:textId="77777777" w:rsidR="008E5DE4" w:rsidRDefault="00780368">
            <w:pPr>
              <w:widowControl w:val="0"/>
              <w:pBdr>
                <w:top w:val="nil"/>
                <w:left w:val="nil"/>
                <w:bottom w:val="nil"/>
                <w:right w:val="nil"/>
                <w:between w:val="nil"/>
              </w:pBdr>
              <w:ind w:left="113" w:right="-57" w:hanging="113"/>
              <w:rPr>
                <w:color w:val="000000"/>
              </w:rPr>
            </w:pPr>
            <w:r>
              <w:rPr>
                <w:color w:val="000000"/>
              </w:rPr>
              <w:t>Share of results of associates and joint ventures accounted for using the equity method</w:t>
            </w:r>
          </w:p>
        </w:tc>
        <w:tc>
          <w:tcPr>
            <w:tcW w:w="737" w:type="dxa"/>
            <w:vAlign w:val="bottom"/>
          </w:tcPr>
          <w:p w14:paraId="38215988" w14:textId="77777777" w:rsidR="008E5DE4" w:rsidRDefault="00780368">
            <w:pPr>
              <w:widowControl w:val="0"/>
              <w:pBdr>
                <w:top w:val="nil"/>
                <w:left w:val="nil"/>
                <w:bottom w:val="nil"/>
                <w:right w:val="nil"/>
                <w:between w:val="nil"/>
              </w:pBdr>
              <w:jc w:val="center"/>
              <w:rPr>
                <w:color w:val="000000"/>
              </w:rPr>
            </w:pPr>
            <w:r>
              <w:rPr>
                <w:color w:val="000000"/>
              </w:rPr>
              <w:t>14</w:t>
            </w:r>
          </w:p>
        </w:tc>
        <w:tc>
          <w:tcPr>
            <w:tcW w:w="1531" w:type="dxa"/>
            <w:vAlign w:val="bottom"/>
          </w:tcPr>
          <w:p w14:paraId="727477A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91FBCF9" w14:textId="77777777" w:rsidR="008E5DE4" w:rsidRDefault="008E5DE4">
            <w:pPr>
              <w:widowControl w:val="0"/>
              <w:pBdr>
                <w:top w:val="nil"/>
                <w:left w:val="nil"/>
                <w:bottom w:val="nil"/>
                <w:right w:val="nil"/>
                <w:between w:val="nil"/>
              </w:pBdr>
              <w:jc w:val="right"/>
              <w:rPr>
                <w:color w:val="000000"/>
              </w:rPr>
            </w:pPr>
          </w:p>
        </w:tc>
      </w:tr>
      <w:tr w:rsidR="008E5DE4" w14:paraId="57DB41FA" w14:textId="77777777">
        <w:trPr>
          <w:cantSplit/>
        </w:trPr>
        <w:tc>
          <w:tcPr>
            <w:tcW w:w="5556" w:type="dxa"/>
            <w:tcBorders>
              <w:bottom w:val="single" w:sz="4" w:space="0" w:color="000000"/>
            </w:tcBorders>
            <w:vAlign w:val="bottom"/>
          </w:tcPr>
          <w:p w14:paraId="4151422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65632DC0"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28DF1450"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111B1AAE" w14:textId="77777777" w:rsidR="008E5DE4" w:rsidRDefault="008E5DE4">
            <w:pPr>
              <w:widowControl w:val="0"/>
              <w:pBdr>
                <w:top w:val="nil"/>
                <w:left w:val="nil"/>
                <w:bottom w:val="nil"/>
                <w:right w:val="nil"/>
                <w:between w:val="nil"/>
              </w:pBdr>
              <w:jc w:val="right"/>
              <w:rPr>
                <w:color w:val="000000"/>
              </w:rPr>
            </w:pPr>
          </w:p>
        </w:tc>
      </w:tr>
      <w:tr w:rsidR="008E5DE4" w14:paraId="7A191856" w14:textId="77777777">
        <w:trPr>
          <w:cantSplit/>
        </w:trPr>
        <w:tc>
          <w:tcPr>
            <w:tcW w:w="5556" w:type="dxa"/>
            <w:tcBorders>
              <w:top w:val="single" w:sz="4" w:space="0" w:color="000000"/>
            </w:tcBorders>
            <w:vAlign w:val="bottom"/>
          </w:tcPr>
          <w:p w14:paraId="117EF993"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4F394981"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63C5B02E"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3204B824" w14:textId="77777777" w:rsidR="008E5DE4" w:rsidRDefault="008E5DE4">
            <w:pPr>
              <w:widowControl w:val="0"/>
              <w:pBdr>
                <w:top w:val="nil"/>
                <w:left w:val="nil"/>
                <w:bottom w:val="nil"/>
                <w:right w:val="nil"/>
                <w:between w:val="nil"/>
              </w:pBdr>
              <w:jc w:val="right"/>
              <w:rPr>
                <w:color w:val="000000"/>
              </w:rPr>
            </w:pPr>
          </w:p>
        </w:tc>
      </w:tr>
      <w:tr w:rsidR="008E5DE4" w14:paraId="7508080F" w14:textId="77777777">
        <w:trPr>
          <w:cantSplit/>
        </w:trPr>
        <w:tc>
          <w:tcPr>
            <w:tcW w:w="5556" w:type="dxa"/>
            <w:vAlign w:val="bottom"/>
          </w:tcPr>
          <w:p w14:paraId="2FC7A496" w14:textId="77777777" w:rsidR="008E5DE4" w:rsidRDefault="00780368">
            <w:pPr>
              <w:widowControl w:val="0"/>
              <w:pBdr>
                <w:top w:val="nil"/>
                <w:left w:val="nil"/>
                <w:bottom w:val="nil"/>
                <w:right w:val="nil"/>
                <w:between w:val="nil"/>
              </w:pBdr>
              <w:ind w:left="113" w:right="-57" w:hanging="113"/>
              <w:rPr>
                <w:b/>
                <w:color w:val="000000"/>
              </w:rPr>
            </w:pPr>
            <w:r>
              <w:rPr>
                <w:b/>
                <w:color w:val="000000"/>
              </w:rPr>
              <w:t>Profit/(Loss) before income tax</w:t>
            </w:r>
          </w:p>
        </w:tc>
        <w:tc>
          <w:tcPr>
            <w:tcW w:w="737" w:type="dxa"/>
            <w:vAlign w:val="bottom"/>
          </w:tcPr>
          <w:p w14:paraId="1901E663"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8F019E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E1EF775" w14:textId="77777777" w:rsidR="008E5DE4" w:rsidRDefault="008E5DE4">
            <w:pPr>
              <w:widowControl w:val="0"/>
              <w:pBdr>
                <w:top w:val="nil"/>
                <w:left w:val="nil"/>
                <w:bottom w:val="nil"/>
                <w:right w:val="nil"/>
                <w:between w:val="nil"/>
              </w:pBdr>
              <w:jc w:val="right"/>
              <w:rPr>
                <w:color w:val="000000"/>
              </w:rPr>
            </w:pPr>
          </w:p>
        </w:tc>
      </w:tr>
      <w:tr w:rsidR="008E5DE4" w14:paraId="2A67E631" w14:textId="77777777">
        <w:trPr>
          <w:cantSplit/>
        </w:trPr>
        <w:tc>
          <w:tcPr>
            <w:tcW w:w="5556" w:type="dxa"/>
            <w:vAlign w:val="bottom"/>
          </w:tcPr>
          <w:p w14:paraId="502A2F5E" w14:textId="77777777" w:rsidR="008E5DE4" w:rsidRDefault="00780368">
            <w:pPr>
              <w:widowControl w:val="0"/>
              <w:pBdr>
                <w:top w:val="nil"/>
                <w:left w:val="nil"/>
                <w:bottom w:val="nil"/>
                <w:right w:val="nil"/>
                <w:between w:val="nil"/>
              </w:pBdr>
              <w:ind w:left="113" w:right="-57" w:hanging="113"/>
              <w:rPr>
                <w:color w:val="000000"/>
              </w:rPr>
            </w:pPr>
            <w:r>
              <w:rPr>
                <w:color w:val="000000"/>
              </w:rPr>
              <w:t>Income tax expense</w:t>
            </w:r>
          </w:p>
        </w:tc>
        <w:tc>
          <w:tcPr>
            <w:tcW w:w="737" w:type="dxa"/>
            <w:vAlign w:val="bottom"/>
          </w:tcPr>
          <w:p w14:paraId="7D68162A" w14:textId="77777777" w:rsidR="008E5DE4" w:rsidRDefault="00780368">
            <w:pPr>
              <w:widowControl w:val="0"/>
              <w:pBdr>
                <w:top w:val="nil"/>
                <w:left w:val="nil"/>
                <w:bottom w:val="nil"/>
                <w:right w:val="nil"/>
                <w:between w:val="nil"/>
              </w:pBdr>
              <w:jc w:val="center"/>
              <w:rPr>
                <w:color w:val="000000"/>
              </w:rPr>
            </w:pPr>
            <w:r>
              <w:rPr>
                <w:color w:val="000000"/>
              </w:rPr>
              <w:t>39</w:t>
            </w:r>
          </w:p>
        </w:tc>
        <w:tc>
          <w:tcPr>
            <w:tcW w:w="1531" w:type="dxa"/>
            <w:vAlign w:val="bottom"/>
          </w:tcPr>
          <w:p w14:paraId="1D27547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8E092AF" w14:textId="77777777" w:rsidR="008E5DE4" w:rsidRDefault="008E5DE4">
            <w:pPr>
              <w:widowControl w:val="0"/>
              <w:pBdr>
                <w:top w:val="nil"/>
                <w:left w:val="nil"/>
                <w:bottom w:val="nil"/>
                <w:right w:val="nil"/>
                <w:between w:val="nil"/>
              </w:pBdr>
              <w:jc w:val="right"/>
              <w:rPr>
                <w:color w:val="000000"/>
              </w:rPr>
            </w:pPr>
          </w:p>
        </w:tc>
      </w:tr>
      <w:tr w:rsidR="008E5DE4" w14:paraId="0EFE6A18" w14:textId="77777777">
        <w:trPr>
          <w:cantSplit/>
        </w:trPr>
        <w:tc>
          <w:tcPr>
            <w:tcW w:w="5556" w:type="dxa"/>
            <w:tcBorders>
              <w:bottom w:val="single" w:sz="4" w:space="0" w:color="000000"/>
            </w:tcBorders>
            <w:vAlign w:val="bottom"/>
          </w:tcPr>
          <w:p w14:paraId="6EF6BC7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0AAA0DAF"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38DBB93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605DF149" w14:textId="77777777" w:rsidR="008E5DE4" w:rsidRDefault="008E5DE4">
            <w:pPr>
              <w:widowControl w:val="0"/>
              <w:pBdr>
                <w:top w:val="nil"/>
                <w:left w:val="nil"/>
                <w:bottom w:val="nil"/>
                <w:right w:val="nil"/>
                <w:between w:val="nil"/>
              </w:pBdr>
              <w:jc w:val="right"/>
              <w:rPr>
                <w:color w:val="000000"/>
              </w:rPr>
            </w:pPr>
          </w:p>
        </w:tc>
      </w:tr>
      <w:tr w:rsidR="008E5DE4" w14:paraId="775FBBC9" w14:textId="77777777">
        <w:trPr>
          <w:cantSplit/>
        </w:trPr>
        <w:tc>
          <w:tcPr>
            <w:tcW w:w="5556" w:type="dxa"/>
            <w:tcBorders>
              <w:top w:val="single" w:sz="4" w:space="0" w:color="000000"/>
            </w:tcBorders>
            <w:vAlign w:val="bottom"/>
          </w:tcPr>
          <w:p w14:paraId="5138D5C3" w14:textId="77777777" w:rsidR="008E5DE4" w:rsidRDefault="00780368">
            <w:pPr>
              <w:widowControl w:val="0"/>
              <w:pBdr>
                <w:top w:val="nil"/>
                <w:left w:val="nil"/>
                <w:bottom w:val="nil"/>
                <w:right w:val="nil"/>
                <w:between w:val="nil"/>
              </w:pBdr>
              <w:ind w:left="113" w:right="-57" w:hanging="113"/>
              <w:rPr>
                <w:b/>
                <w:color w:val="0000FF"/>
              </w:rPr>
            </w:pPr>
            <w:r>
              <w:rPr>
                <w:color w:val="000000"/>
              </w:rPr>
              <w:t> </w:t>
            </w:r>
          </w:p>
        </w:tc>
        <w:tc>
          <w:tcPr>
            <w:tcW w:w="737" w:type="dxa"/>
            <w:tcBorders>
              <w:top w:val="single" w:sz="4" w:space="0" w:color="000000"/>
            </w:tcBorders>
            <w:vAlign w:val="bottom"/>
          </w:tcPr>
          <w:p w14:paraId="0C6D78C7"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5EBF2316"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65B1F70E" w14:textId="77777777" w:rsidR="008E5DE4" w:rsidRDefault="008E5DE4">
            <w:pPr>
              <w:widowControl w:val="0"/>
              <w:pBdr>
                <w:top w:val="nil"/>
                <w:left w:val="nil"/>
                <w:bottom w:val="nil"/>
                <w:right w:val="nil"/>
                <w:between w:val="nil"/>
              </w:pBdr>
              <w:jc w:val="right"/>
              <w:rPr>
                <w:color w:val="000000"/>
              </w:rPr>
            </w:pPr>
          </w:p>
        </w:tc>
      </w:tr>
      <w:tr w:rsidR="008E5DE4" w14:paraId="5DF2AF4F" w14:textId="77777777">
        <w:trPr>
          <w:cantSplit/>
        </w:trPr>
        <w:tc>
          <w:tcPr>
            <w:tcW w:w="5556" w:type="dxa"/>
            <w:vAlign w:val="bottom"/>
          </w:tcPr>
          <w:p w14:paraId="2EB3F6D8" w14:textId="77777777" w:rsidR="008E5DE4" w:rsidRDefault="00780368">
            <w:pPr>
              <w:widowControl w:val="0"/>
              <w:pBdr>
                <w:top w:val="nil"/>
                <w:left w:val="nil"/>
                <w:bottom w:val="nil"/>
                <w:right w:val="nil"/>
                <w:between w:val="nil"/>
              </w:pBdr>
              <w:ind w:left="113" w:right="-57" w:hanging="113"/>
              <w:rPr>
                <w:b/>
                <w:color w:val="0000FF"/>
              </w:rPr>
            </w:pPr>
            <w:r>
              <w:rPr>
                <w:b/>
                <w:color w:val="0000FF"/>
              </w:rPr>
              <w:t>[Profit/(Loss) for the year from continuing operations]</w:t>
            </w:r>
          </w:p>
        </w:tc>
        <w:tc>
          <w:tcPr>
            <w:tcW w:w="737" w:type="dxa"/>
            <w:vAlign w:val="bottom"/>
          </w:tcPr>
          <w:p w14:paraId="49119ACE"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36C9E9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90DB557" w14:textId="77777777" w:rsidR="008E5DE4" w:rsidRDefault="008E5DE4">
            <w:pPr>
              <w:widowControl w:val="0"/>
              <w:pBdr>
                <w:top w:val="nil"/>
                <w:left w:val="nil"/>
                <w:bottom w:val="nil"/>
                <w:right w:val="nil"/>
                <w:between w:val="nil"/>
              </w:pBdr>
              <w:jc w:val="right"/>
              <w:rPr>
                <w:color w:val="000000"/>
              </w:rPr>
            </w:pPr>
          </w:p>
        </w:tc>
      </w:tr>
      <w:tr w:rsidR="008E5DE4" w14:paraId="4129CFFA" w14:textId="77777777">
        <w:trPr>
          <w:cantSplit/>
        </w:trPr>
        <w:tc>
          <w:tcPr>
            <w:tcW w:w="5556" w:type="dxa"/>
            <w:tcBorders>
              <w:bottom w:val="single" w:sz="4" w:space="0" w:color="000000"/>
            </w:tcBorders>
            <w:vAlign w:val="bottom"/>
          </w:tcPr>
          <w:p w14:paraId="423C4855" w14:textId="77777777" w:rsidR="008E5DE4" w:rsidRDefault="00780368">
            <w:pPr>
              <w:widowControl w:val="0"/>
              <w:pBdr>
                <w:top w:val="nil"/>
                <w:left w:val="nil"/>
                <w:bottom w:val="nil"/>
                <w:right w:val="nil"/>
                <w:between w:val="nil"/>
              </w:pBdr>
              <w:ind w:left="113" w:right="-57" w:hanging="113"/>
              <w:rPr>
                <w:b/>
                <w:color w:val="0000FF"/>
              </w:rPr>
            </w:pPr>
            <w:r>
              <w:rPr>
                <w:color w:val="000000"/>
              </w:rPr>
              <w:t> </w:t>
            </w:r>
          </w:p>
        </w:tc>
        <w:tc>
          <w:tcPr>
            <w:tcW w:w="737" w:type="dxa"/>
            <w:tcBorders>
              <w:bottom w:val="single" w:sz="4" w:space="0" w:color="000000"/>
            </w:tcBorders>
            <w:vAlign w:val="bottom"/>
          </w:tcPr>
          <w:p w14:paraId="1DAFCE88"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7C92EF39"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2BF06A46" w14:textId="77777777" w:rsidR="008E5DE4" w:rsidRDefault="008E5DE4">
            <w:pPr>
              <w:widowControl w:val="0"/>
              <w:pBdr>
                <w:top w:val="nil"/>
                <w:left w:val="nil"/>
                <w:bottom w:val="nil"/>
                <w:right w:val="nil"/>
                <w:between w:val="nil"/>
              </w:pBdr>
              <w:jc w:val="right"/>
              <w:rPr>
                <w:color w:val="000000"/>
              </w:rPr>
            </w:pPr>
          </w:p>
        </w:tc>
      </w:tr>
      <w:tr w:rsidR="008E5DE4" w14:paraId="7B4FA73E" w14:textId="77777777">
        <w:trPr>
          <w:cantSplit/>
        </w:trPr>
        <w:tc>
          <w:tcPr>
            <w:tcW w:w="5556" w:type="dxa"/>
            <w:tcBorders>
              <w:top w:val="single" w:sz="4" w:space="0" w:color="000000"/>
            </w:tcBorders>
            <w:vAlign w:val="bottom"/>
          </w:tcPr>
          <w:p w14:paraId="7C1C8DC5"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6E77CA9B"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04A488E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37240139" w14:textId="77777777" w:rsidR="008E5DE4" w:rsidRDefault="008E5DE4">
            <w:pPr>
              <w:widowControl w:val="0"/>
              <w:pBdr>
                <w:top w:val="nil"/>
                <w:left w:val="nil"/>
                <w:bottom w:val="nil"/>
                <w:right w:val="nil"/>
                <w:between w:val="nil"/>
              </w:pBdr>
              <w:jc w:val="right"/>
              <w:rPr>
                <w:color w:val="000000"/>
              </w:rPr>
            </w:pPr>
          </w:p>
        </w:tc>
      </w:tr>
      <w:tr w:rsidR="008E5DE4" w14:paraId="70994765" w14:textId="77777777">
        <w:trPr>
          <w:cantSplit/>
        </w:trPr>
        <w:tc>
          <w:tcPr>
            <w:tcW w:w="5556" w:type="dxa"/>
            <w:vAlign w:val="bottom"/>
          </w:tcPr>
          <w:p w14:paraId="39CFF6ED"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[Discontinued operations:]</w:t>
            </w:r>
          </w:p>
        </w:tc>
        <w:tc>
          <w:tcPr>
            <w:tcW w:w="737" w:type="dxa"/>
            <w:vAlign w:val="bottom"/>
          </w:tcPr>
          <w:p w14:paraId="7A40B03F" w14:textId="77777777" w:rsidR="008E5DE4" w:rsidRDefault="008E5DE4">
            <w:pPr>
              <w:widowControl w:val="0"/>
              <w:pBdr>
                <w:top w:val="nil"/>
                <w:left w:val="nil"/>
                <w:bottom w:val="nil"/>
                <w:right w:val="nil"/>
                <w:between w:val="nil"/>
              </w:pBdr>
              <w:jc w:val="center"/>
              <w:rPr>
                <w:i/>
                <w:color w:val="000000"/>
              </w:rPr>
            </w:pPr>
          </w:p>
        </w:tc>
        <w:tc>
          <w:tcPr>
            <w:tcW w:w="1531" w:type="dxa"/>
            <w:vAlign w:val="bottom"/>
          </w:tcPr>
          <w:p w14:paraId="1EB64C09"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528FC584" w14:textId="77777777" w:rsidR="008E5DE4" w:rsidRDefault="008E5DE4">
            <w:pPr>
              <w:widowControl w:val="0"/>
              <w:pBdr>
                <w:top w:val="nil"/>
                <w:left w:val="nil"/>
                <w:bottom w:val="nil"/>
                <w:right w:val="nil"/>
                <w:between w:val="nil"/>
              </w:pBdr>
              <w:jc w:val="right"/>
              <w:rPr>
                <w:i/>
                <w:color w:val="000000"/>
              </w:rPr>
            </w:pPr>
          </w:p>
        </w:tc>
      </w:tr>
      <w:tr w:rsidR="008E5DE4" w14:paraId="769D3E69" w14:textId="77777777">
        <w:trPr>
          <w:cantSplit/>
        </w:trPr>
        <w:tc>
          <w:tcPr>
            <w:tcW w:w="5556" w:type="dxa"/>
            <w:vAlign w:val="bottom"/>
          </w:tcPr>
          <w:p w14:paraId="4354E3DA" w14:textId="77777777" w:rsidR="008E5DE4" w:rsidRDefault="00780368">
            <w:pPr>
              <w:widowControl w:val="0"/>
              <w:pBdr>
                <w:top w:val="nil"/>
                <w:left w:val="nil"/>
                <w:bottom w:val="nil"/>
                <w:right w:val="nil"/>
                <w:between w:val="nil"/>
              </w:pBdr>
              <w:ind w:left="113" w:right="-57" w:hanging="113"/>
              <w:rPr>
                <w:b/>
                <w:i/>
                <w:color w:val="0000FF"/>
              </w:rPr>
            </w:pPr>
            <w:r>
              <w:rPr>
                <w:color w:val="000000"/>
              </w:rPr>
              <w:t> </w:t>
            </w:r>
          </w:p>
        </w:tc>
        <w:tc>
          <w:tcPr>
            <w:tcW w:w="737" w:type="dxa"/>
            <w:vAlign w:val="bottom"/>
          </w:tcPr>
          <w:p w14:paraId="2AB60D45" w14:textId="77777777" w:rsidR="008E5DE4" w:rsidRDefault="008E5DE4">
            <w:pPr>
              <w:widowControl w:val="0"/>
              <w:pBdr>
                <w:top w:val="nil"/>
                <w:left w:val="nil"/>
                <w:bottom w:val="nil"/>
                <w:right w:val="nil"/>
                <w:between w:val="nil"/>
              </w:pBdr>
              <w:jc w:val="center"/>
              <w:rPr>
                <w:i/>
                <w:color w:val="000000"/>
              </w:rPr>
            </w:pPr>
          </w:p>
        </w:tc>
        <w:tc>
          <w:tcPr>
            <w:tcW w:w="1531" w:type="dxa"/>
            <w:vAlign w:val="bottom"/>
          </w:tcPr>
          <w:p w14:paraId="2527D933"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04C437CC" w14:textId="77777777" w:rsidR="008E5DE4" w:rsidRDefault="008E5DE4">
            <w:pPr>
              <w:widowControl w:val="0"/>
              <w:pBdr>
                <w:top w:val="nil"/>
                <w:left w:val="nil"/>
                <w:bottom w:val="nil"/>
                <w:right w:val="nil"/>
                <w:between w:val="nil"/>
              </w:pBdr>
              <w:jc w:val="right"/>
              <w:rPr>
                <w:i/>
                <w:color w:val="000000"/>
              </w:rPr>
            </w:pPr>
          </w:p>
        </w:tc>
      </w:tr>
      <w:tr w:rsidR="008E5DE4" w14:paraId="7409A3C9" w14:textId="77777777">
        <w:trPr>
          <w:cantSplit/>
        </w:trPr>
        <w:tc>
          <w:tcPr>
            <w:tcW w:w="5556" w:type="dxa"/>
            <w:vAlign w:val="bottom"/>
          </w:tcPr>
          <w:p w14:paraId="09702FEB" w14:textId="77777777" w:rsidR="008E5DE4" w:rsidRDefault="00780368">
            <w:pPr>
              <w:widowControl w:val="0"/>
              <w:pBdr>
                <w:top w:val="nil"/>
                <w:left w:val="nil"/>
                <w:bottom w:val="nil"/>
                <w:right w:val="nil"/>
                <w:between w:val="nil"/>
              </w:pBdr>
              <w:ind w:left="113" w:right="-57" w:hanging="113"/>
              <w:rPr>
                <w:color w:val="0000FF"/>
              </w:rPr>
            </w:pPr>
            <w:r>
              <w:rPr>
                <w:color w:val="0000FF"/>
              </w:rPr>
              <w:t>[Profit/(Loss) for the year from discontinued operations]</w:t>
            </w:r>
          </w:p>
        </w:tc>
        <w:tc>
          <w:tcPr>
            <w:tcW w:w="737" w:type="dxa"/>
            <w:vAlign w:val="bottom"/>
          </w:tcPr>
          <w:p w14:paraId="2FEB01E5" w14:textId="77777777" w:rsidR="008E5DE4" w:rsidRDefault="00780368">
            <w:pPr>
              <w:widowControl w:val="0"/>
              <w:pBdr>
                <w:top w:val="nil"/>
                <w:left w:val="nil"/>
                <w:bottom w:val="nil"/>
                <w:right w:val="nil"/>
                <w:between w:val="nil"/>
              </w:pBdr>
              <w:jc w:val="center"/>
              <w:rPr>
                <w:color w:val="000000"/>
              </w:rPr>
            </w:pPr>
            <w:r>
              <w:rPr>
                <w:color w:val="000000"/>
              </w:rPr>
              <w:t>40</w:t>
            </w:r>
          </w:p>
        </w:tc>
        <w:tc>
          <w:tcPr>
            <w:tcW w:w="1531" w:type="dxa"/>
            <w:vAlign w:val="bottom"/>
          </w:tcPr>
          <w:p w14:paraId="65B4788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7806759" w14:textId="77777777" w:rsidR="008E5DE4" w:rsidRDefault="008E5DE4">
            <w:pPr>
              <w:widowControl w:val="0"/>
              <w:pBdr>
                <w:top w:val="nil"/>
                <w:left w:val="nil"/>
                <w:bottom w:val="nil"/>
                <w:right w:val="nil"/>
                <w:between w:val="nil"/>
              </w:pBdr>
              <w:jc w:val="right"/>
              <w:rPr>
                <w:color w:val="000000"/>
              </w:rPr>
            </w:pPr>
          </w:p>
        </w:tc>
      </w:tr>
      <w:tr w:rsidR="008E5DE4" w14:paraId="05594B30" w14:textId="77777777">
        <w:trPr>
          <w:cantSplit/>
        </w:trPr>
        <w:tc>
          <w:tcPr>
            <w:tcW w:w="5556" w:type="dxa"/>
            <w:tcBorders>
              <w:bottom w:val="single" w:sz="4" w:space="0" w:color="000000"/>
            </w:tcBorders>
            <w:vAlign w:val="bottom"/>
          </w:tcPr>
          <w:p w14:paraId="30DD49C9"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737" w:type="dxa"/>
            <w:tcBorders>
              <w:bottom w:val="single" w:sz="4" w:space="0" w:color="000000"/>
            </w:tcBorders>
            <w:vAlign w:val="bottom"/>
          </w:tcPr>
          <w:p w14:paraId="34646FEC"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4" w:space="0" w:color="000000"/>
            </w:tcBorders>
            <w:vAlign w:val="bottom"/>
          </w:tcPr>
          <w:p w14:paraId="0C268AA7" w14:textId="77777777" w:rsidR="008E5DE4" w:rsidRDefault="008E5DE4">
            <w:pPr>
              <w:widowControl w:val="0"/>
              <w:pBdr>
                <w:top w:val="nil"/>
                <w:left w:val="nil"/>
                <w:bottom w:val="nil"/>
                <w:right w:val="nil"/>
                <w:between w:val="nil"/>
              </w:pBdr>
              <w:jc w:val="right"/>
              <w:rPr>
                <w:smallCaps/>
                <w:color w:val="000000"/>
              </w:rPr>
            </w:pPr>
          </w:p>
        </w:tc>
        <w:tc>
          <w:tcPr>
            <w:tcW w:w="1531" w:type="dxa"/>
            <w:tcBorders>
              <w:bottom w:val="single" w:sz="4" w:space="0" w:color="000000"/>
            </w:tcBorders>
            <w:vAlign w:val="bottom"/>
          </w:tcPr>
          <w:p w14:paraId="3DA1DAF2" w14:textId="77777777" w:rsidR="008E5DE4" w:rsidRDefault="008E5DE4">
            <w:pPr>
              <w:widowControl w:val="0"/>
              <w:pBdr>
                <w:top w:val="nil"/>
                <w:left w:val="nil"/>
                <w:bottom w:val="nil"/>
                <w:right w:val="nil"/>
                <w:between w:val="nil"/>
              </w:pBdr>
              <w:jc w:val="right"/>
              <w:rPr>
                <w:smallCaps/>
                <w:color w:val="000000"/>
              </w:rPr>
            </w:pPr>
          </w:p>
        </w:tc>
      </w:tr>
      <w:tr w:rsidR="008E5DE4" w14:paraId="5D6F7542" w14:textId="77777777">
        <w:trPr>
          <w:cantSplit/>
        </w:trPr>
        <w:tc>
          <w:tcPr>
            <w:tcW w:w="5556" w:type="dxa"/>
            <w:tcBorders>
              <w:top w:val="single" w:sz="4" w:space="0" w:color="000000"/>
            </w:tcBorders>
            <w:vAlign w:val="bottom"/>
          </w:tcPr>
          <w:p w14:paraId="4DA618AC"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737" w:type="dxa"/>
            <w:tcBorders>
              <w:top w:val="single" w:sz="4" w:space="0" w:color="000000"/>
            </w:tcBorders>
            <w:vAlign w:val="bottom"/>
          </w:tcPr>
          <w:p w14:paraId="780D6D13" w14:textId="77777777" w:rsidR="008E5DE4" w:rsidRDefault="008E5DE4">
            <w:pPr>
              <w:widowControl w:val="0"/>
              <w:pBdr>
                <w:top w:val="nil"/>
                <w:left w:val="nil"/>
                <w:bottom w:val="nil"/>
                <w:right w:val="nil"/>
                <w:between w:val="nil"/>
              </w:pBdr>
              <w:jc w:val="center"/>
              <w:rPr>
                <w:smallCaps/>
                <w:color w:val="000000"/>
              </w:rPr>
            </w:pPr>
          </w:p>
        </w:tc>
        <w:tc>
          <w:tcPr>
            <w:tcW w:w="1531" w:type="dxa"/>
            <w:tcBorders>
              <w:top w:val="single" w:sz="4" w:space="0" w:color="000000"/>
            </w:tcBorders>
            <w:vAlign w:val="bottom"/>
          </w:tcPr>
          <w:p w14:paraId="361E7600" w14:textId="77777777" w:rsidR="008E5DE4" w:rsidRDefault="008E5DE4">
            <w:pPr>
              <w:widowControl w:val="0"/>
              <w:pBdr>
                <w:top w:val="nil"/>
                <w:left w:val="nil"/>
                <w:bottom w:val="nil"/>
                <w:right w:val="nil"/>
                <w:between w:val="nil"/>
              </w:pBdr>
              <w:jc w:val="right"/>
              <w:rPr>
                <w:smallCaps/>
                <w:color w:val="000000"/>
              </w:rPr>
            </w:pPr>
          </w:p>
        </w:tc>
        <w:tc>
          <w:tcPr>
            <w:tcW w:w="1531" w:type="dxa"/>
            <w:tcBorders>
              <w:top w:val="single" w:sz="4" w:space="0" w:color="000000"/>
            </w:tcBorders>
            <w:vAlign w:val="bottom"/>
          </w:tcPr>
          <w:p w14:paraId="49A1C0D5" w14:textId="77777777" w:rsidR="008E5DE4" w:rsidRDefault="008E5DE4">
            <w:pPr>
              <w:widowControl w:val="0"/>
              <w:pBdr>
                <w:top w:val="nil"/>
                <w:left w:val="nil"/>
                <w:bottom w:val="nil"/>
                <w:right w:val="nil"/>
                <w:between w:val="nil"/>
              </w:pBdr>
              <w:jc w:val="right"/>
              <w:rPr>
                <w:smallCaps/>
                <w:color w:val="000000"/>
              </w:rPr>
            </w:pPr>
          </w:p>
        </w:tc>
      </w:tr>
      <w:tr w:rsidR="008E5DE4" w14:paraId="4A69BEED" w14:textId="77777777">
        <w:trPr>
          <w:cantSplit/>
        </w:trPr>
        <w:tc>
          <w:tcPr>
            <w:tcW w:w="5556" w:type="dxa"/>
            <w:vAlign w:val="bottom"/>
          </w:tcPr>
          <w:p w14:paraId="17F24291"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PROFIT/(LOSS) FOR THE YEAR</w:t>
            </w:r>
          </w:p>
        </w:tc>
        <w:tc>
          <w:tcPr>
            <w:tcW w:w="737" w:type="dxa"/>
            <w:vAlign w:val="bottom"/>
          </w:tcPr>
          <w:p w14:paraId="43F06322"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7817DA80" w14:textId="77777777" w:rsidR="008E5DE4" w:rsidRDefault="008E5DE4">
            <w:pPr>
              <w:widowControl w:val="0"/>
              <w:pBdr>
                <w:top w:val="nil"/>
                <w:left w:val="nil"/>
                <w:bottom w:val="nil"/>
                <w:right w:val="nil"/>
                <w:between w:val="nil"/>
              </w:pBdr>
              <w:jc w:val="right"/>
              <w:rPr>
                <w:smallCaps/>
                <w:color w:val="000000"/>
              </w:rPr>
            </w:pPr>
          </w:p>
        </w:tc>
        <w:tc>
          <w:tcPr>
            <w:tcW w:w="1531" w:type="dxa"/>
            <w:vAlign w:val="bottom"/>
          </w:tcPr>
          <w:p w14:paraId="462667D2" w14:textId="77777777" w:rsidR="008E5DE4" w:rsidRDefault="008E5DE4">
            <w:pPr>
              <w:widowControl w:val="0"/>
              <w:pBdr>
                <w:top w:val="nil"/>
                <w:left w:val="nil"/>
                <w:bottom w:val="nil"/>
                <w:right w:val="nil"/>
                <w:between w:val="nil"/>
              </w:pBdr>
              <w:jc w:val="right"/>
              <w:rPr>
                <w:smallCaps/>
                <w:color w:val="000000"/>
              </w:rPr>
            </w:pPr>
          </w:p>
        </w:tc>
      </w:tr>
      <w:tr w:rsidR="008E5DE4" w14:paraId="1F288E50" w14:textId="77777777">
        <w:trPr>
          <w:cantSplit/>
        </w:trPr>
        <w:tc>
          <w:tcPr>
            <w:tcW w:w="5556" w:type="dxa"/>
            <w:tcBorders>
              <w:bottom w:val="single" w:sz="4" w:space="0" w:color="000000"/>
            </w:tcBorders>
            <w:vAlign w:val="bottom"/>
          </w:tcPr>
          <w:p w14:paraId="55CE698E"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737" w:type="dxa"/>
            <w:tcBorders>
              <w:bottom w:val="single" w:sz="4" w:space="0" w:color="000000"/>
            </w:tcBorders>
            <w:vAlign w:val="bottom"/>
          </w:tcPr>
          <w:p w14:paraId="6AB45628"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4" w:space="0" w:color="000000"/>
            </w:tcBorders>
            <w:vAlign w:val="bottom"/>
          </w:tcPr>
          <w:p w14:paraId="235A3A1D" w14:textId="77777777" w:rsidR="008E5DE4" w:rsidRDefault="008E5DE4">
            <w:pPr>
              <w:widowControl w:val="0"/>
              <w:pBdr>
                <w:top w:val="nil"/>
                <w:left w:val="nil"/>
                <w:bottom w:val="nil"/>
                <w:right w:val="nil"/>
                <w:between w:val="nil"/>
              </w:pBdr>
              <w:jc w:val="right"/>
              <w:rPr>
                <w:smallCaps/>
                <w:color w:val="000000"/>
              </w:rPr>
            </w:pPr>
          </w:p>
        </w:tc>
        <w:tc>
          <w:tcPr>
            <w:tcW w:w="1531" w:type="dxa"/>
            <w:tcBorders>
              <w:bottom w:val="single" w:sz="4" w:space="0" w:color="000000"/>
            </w:tcBorders>
            <w:vAlign w:val="bottom"/>
          </w:tcPr>
          <w:p w14:paraId="57742E7E" w14:textId="77777777" w:rsidR="008E5DE4" w:rsidRDefault="008E5DE4">
            <w:pPr>
              <w:widowControl w:val="0"/>
              <w:pBdr>
                <w:top w:val="nil"/>
                <w:left w:val="nil"/>
                <w:bottom w:val="nil"/>
                <w:right w:val="nil"/>
                <w:between w:val="nil"/>
              </w:pBdr>
              <w:jc w:val="right"/>
              <w:rPr>
                <w:smallCaps/>
                <w:color w:val="000000"/>
              </w:rPr>
            </w:pPr>
          </w:p>
        </w:tc>
      </w:tr>
      <w:tr w:rsidR="008E5DE4" w14:paraId="4FF36877" w14:textId="77777777">
        <w:trPr>
          <w:cantSplit/>
        </w:trPr>
        <w:tc>
          <w:tcPr>
            <w:tcW w:w="5556" w:type="dxa"/>
            <w:tcBorders>
              <w:top w:val="single" w:sz="4" w:space="0" w:color="000000"/>
            </w:tcBorders>
            <w:vAlign w:val="bottom"/>
          </w:tcPr>
          <w:p w14:paraId="71E8542C" w14:textId="77777777" w:rsidR="008E5DE4" w:rsidRDefault="00780368">
            <w:pPr>
              <w:widowControl w:val="0"/>
              <w:ind w:left="113" w:right="-57" w:hanging="113"/>
            </w:pPr>
            <w:bookmarkStart w:id="1" w:name="_heading=h.30j0zll" w:colFirst="0" w:colLast="0"/>
            <w:bookmarkEnd w:id="1"/>
            <w:r>
              <w:t xml:space="preserve"> </w:t>
            </w:r>
          </w:p>
        </w:tc>
        <w:tc>
          <w:tcPr>
            <w:tcW w:w="737" w:type="dxa"/>
            <w:tcBorders>
              <w:top w:val="single" w:sz="4" w:space="0" w:color="000000"/>
            </w:tcBorders>
            <w:vAlign w:val="bottom"/>
          </w:tcPr>
          <w:p w14:paraId="78F21644"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top w:val="single" w:sz="4" w:space="0" w:color="000000"/>
            </w:tcBorders>
            <w:vAlign w:val="bottom"/>
          </w:tcPr>
          <w:p w14:paraId="7A4D1953"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7AD17145" w14:textId="77777777" w:rsidR="008E5DE4" w:rsidRDefault="008E5DE4">
            <w:pPr>
              <w:widowControl w:val="0"/>
              <w:pBdr>
                <w:top w:val="nil"/>
                <w:left w:val="nil"/>
                <w:bottom w:val="nil"/>
                <w:right w:val="nil"/>
                <w:between w:val="nil"/>
              </w:pBdr>
              <w:jc w:val="right"/>
              <w:rPr>
                <w:color w:val="000000"/>
              </w:rPr>
            </w:pPr>
          </w:p>
        </w:tc>
      </w:tr>
      <w:tr w:rsidR="008E5DE4" w14:paraId="2837EF04" w14:textId="77777777">
        <w:trPr>
          <w:cantSplit/>
        </w:trPr>
        <w:tc>
          <w:tcPr>
            <w:tcW w:w="5556" w:type="dxa"/>
            <w:vAlign w:val="bottom"/>
          </w:tcPr>
          <w:p w14:paraId="47FB7592" w14:textId="77777777" w:rsidR="008E5DE4" w:rsidRDefault="00780368">
            <w:pPr>
              <w:widowControl w:val="0"/>
              <w:pBdr>
                <w:top w:val="nil"/>
                <w:left w:val="nil"/>
                <w:bottom w:val="nil"/>
                <w:right w:val="nil"/>
                <w:between w:val="nil"/>
              </w:pBdr>
              <w:ind w:left="113" w:right="-57" w:hanging="113"/>
              <w:rPr>
                <w:b/>
                <w:color w:val="000000"/>
              </w:rPr>
            </w:pPr>
            <w:r>
              <w:rPr>
                <w:b/>
                <w:color w:val="000000"/>
              </w:rPr>
              <w:t>Other comprehensive income/ (loss):</w:t>
            </w:r>
          </w:p>
        </w:tc>
        <w:tc>
          <w:tcPr>
            <w:tcW w:w="737" w:type="dxa"/>
            <w:vAlign w:val="bottom"/>
          </w:tcPr>
          <w:p w14:paraId="14DA41CD" w14:textId="77777777" w:rsidR="008E5DE4" w:rsidRDefault="008E5DE4">
            <w:pPr>
              <w:widowControl w:val="0"/>
              <w:pBdr>
                <w:top w:val="nil"/>
                <w:left w:val="nil"/>
                <w:bottom w:val="nil"/>
                <w:right w:val="nil"/>
                <w:between w:val="nil"/>
              </w:pBdr>
              <w:jc w:val="center"/>
              <w:rPr>
                <w:b/>
                <w:smallCaps/>
                <w:color w:val="000000"/>
              </w:rPr>
            </w:pPr>
          </w:p>
        </w:tc>
        <w:tc>
          <w:tcPr>
            <w:tcW w:w="1531" w:type="dxa"/>
            <w:vAlign w:val="bottom"/>
          </w:tcPr>
          <w:p w14:paraId="141B0E32"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CFC5AE5" w14:textId="77777777" w:rsidR="008E5DE4" w:rsidRDefault="008E5DE4">
            <w:pPr>
              <w:widowControl w:val="0"/>
              <w:pBdr>
                <w:top w:val="nil"/>
                <w:left w:val="nil"/>
                <w:bottom w:val="nil"/>
                <w:right w:val="nil"/>
                <w:between w:val="nil"/>
              </w:pBdr>
              <w:jc w:val="right"/>
              <w:rPr>
                <w:b/>
                <w:color w:val="000000"/>
              </w:rPr>
            </w:pPr>
          </w:p>
        </w:tc>
      </w:tr>
      <w:tr w:rsidR="008E5DE4" w14:paraId="49550653" w14:textId="77777777">
        <w:trPr>
          <w:cantSplit/>
        </w:trPr>
        <w:tc>
          <w:tcPr>
            <w:tcW w:w="5556" w:type="dxa"/>
            <w:vAlign w:val="bottom"/>
          </w:tcPr>
          <w:p w14:paraId="04D92E9E"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737" w:type="dxa"/>
            <w:vAlign w:val="bottom"/>
          </w:tcPr>
          <w:p w14:paraId="1ADE25CA"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575C674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EF432FE" w14:textId="77777777" w:rsidR="008E5DE4" w:rsidRDefault="008E5DE4">
            <w:pPr>
              <w:widowControl w:val="0"/>
              <w:pBdr>
                <w:top w:val="nil"/>
                <w:left w:val="nil"/>
                <w:bottom w:val="nil"/>
                <w:right w:val="nil"/>
                <w:between w:val="nil"/>
              </w:pBdr>
              <w:jc w:val="right"/>
              <w:rPr>
                <w:color w:val="000000"/>
              </w:rPr>
            </w:pPr>
          </w:p>
        </w:tc>
      </w:tr>
      <w:tr w:rsidR="008E5DE4" w14:paraId="3B1AC911" w14:textId="77777777">
        <w:trPr>
          <w:cantSplit/>
        </w:trPr>
        <w:tc>
          <w:tcPr>
            <w:tcW w:w="5556" w:type="dxa"/>
            <w:vAlign w:val="bottom"/>
          </w:tcPr>
          <w:p w14:paraId="5DE08600" w14:textId="77777777" w:rsidR="008E5DE4" w:rsidRDefault="00780368">
            <w:pPr>
              <w:widowControl w:val="0"/>
              <w:pBdr>
                <w:top w:val="nil"/>
                <w:left w:val="nil"/>
                <w:bottom w:val="nil"/>
                <w:right w:val="nil"/>
                <w:between w:val="nil"/>
              </w:pBdr>
              <w:ind w:left="113" w:right="-57" w:hanging="113"/>
              <w:rPr>
                <w:color w:val="000000"/>
              </w:rPr>
            </w:pPr>
            <w:r>
              <w:rPr>
                <w:i/>
                <w:color w:val="000000"/>
              </w:rPr>
              <w:t xml:space="preserve">Items that may be reclassified subsequently to profit or loss: </w:t>
            </w:r>
          </w:p>
        </w:tc>
        <w:tc>
          <w:tcPr>
            <w:tcW w:w="737" w:type="dxa"/>
            <w:vAlign w:val="bottom"/>
          </w:tcPr>
          <w:p w14:paraId="0981A4C4"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4D9AA2D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066997B" w14:textId="77777777" w:rsidR="008E5DE4" w:rsidRDefault="008E5DE4">
            <w:pPr>
              <w:widowControl w:val="0"/>
              <w:pBdr>
                <w:top w:val="nil"/>
                <w:left w:val="nil"/>
                <w:bottom w:val="nil"/>
                <w:right w:val="nil"/>
                <w:between w:val="nil"/>
              </w:pBdr>
              <w:jc w:val="right"/>
              <w:rPr>
                <w:color w:val="000000"/>
              </w:rPr>
            </w:pPr>
          </w:p>
        </w:tc>
      </w:tr>
      <w:tr w:rsidR="008E5DE4" w14:paraId="31F0189A" w14:textId="77777777">
        <w:trPr>
          <w:cantSplit/>
        </w:trPr>
        <w:tc>
          <w:tcPr>
            <w:tcW w:w="5556" w:type="dxa"/>
            <w:vAlign w:val="bottom"/>
          </w:tcPr>
          <w:p w14:paraId="0DA072A9" w14:textId="77777777" w:rsidR="008E5DE4" w:rsidRDefault="00780368">
            <w:pPr>
              <w:widowControl w:val="0"/>
              <w:pBdr>
                <w:top w:val="nil"/>
                <w:left w:val="nil"/>
                <w:bottom w:val="nil"/>
                <w:right w:val="nil"/>
                <w:between w:val="nil"/>
              </w:pBdr>
              <w:ind w:left="113" w:right="-57" w:hanging="113"/>
              <w:rPr>
                <w:color w:val="000000"/>
              </w:rPr>
            </w:pPr>
            <w:r>
              <w:rPr>
                <w:color w:val="000000"/>
              </w:rPr>
              <w:t>Debt securities at fair value through other comprehensive income:</w:t>
            </w:r>
          </w:p>
        </w:tc>
        <w:tc>
          <w:tcPr>
            <w:tcW w:w="737" w:type="dxa"/>
            <w:vAlign w:val="bottom"/>
          </w:tcPr>
          <w:p w14:paraId="5F5B7CEF"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53D4B7D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29E675D" w14:textId="77777777" w:rsidR="008E5DE4" w:rsidRDefault="008E5DE4">
            <w:pPr>
              <w:widowControl w:val="0"/>
              <w:pBdr>
                <w:top w:val="nil"/>
                <w:left w:val="nil"/>
                <w:bottom w:val="nil"/>
                <w:right w:val="nil"/>
                <w:between w:val="nil"/>
              </w:pBdr>
              <w:jc w:val="right"/>
              <w:rPr>
                <w:color w:val="000000"/>
              </w:rPr>
            </w:pPr>
          </w:p>
        </w:tc>
      </w:tr>
      <w:tr w:rsidR="008E5DE4" w14:paraId="1EBC6E20" w14:textId="77777777">
        <w:trPr>
          <w:cantSplit/>
        </w:trPr>
        <w:tc>
          <w:tcPr>
            <w:tcW w:w="5556" w:type="dxa"/>
            <w:vAlign w:val="bottom"/>
          </w:tcPr>
          <w:p w14:paraId="62ECA02A"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xml:space="preserve">- </w:t>
            </w:r>
            <w:r>
              <w:rPr>
                <w:color w:val="000000"/>
              </w:rPr>
              <w:tab/>
              <w:t>Gains less losses arising during the year</w:t>
            </w:r>
          </w:p>
        </w:tc>
        <w:tc>
          <w:tcPr>
            <w:tcW w:w="737" w:type="dxa"/>
            <w:vAlign w:val="bottom"/>
          </w:tcPr>
          <w:p w14:paraId="2AC94B64"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075E16E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FA10152" w14:textId="77777777" w:rsidR="008E5DE4" w:rsidRDefault="008E5DE4">
            <w:pPr>
              <w:widowControl w:val="0"/>
              <w:pBdr>
                <w:top w:val="nil"/>
                <w:left w:val="nil"/>
                <w:bottom w:val="nil"/>
                <w:right w:val="nil"/>
                <w:between w:val="nil"/>
              </w:pBdr>
              <w:jc w:val="right"/>
              <w:rPr>
                <w:color w:val="000000"/>
              </w:rPr>
            </w:pPr>
          </w:p>
        </w:tc>
      </w:tr>
      <w:tr w:rsidR="008E5DE4" w14:paraId="3418B82A" w14:textId="77777777">
        <w:trPr>
          <w:cantSplit/>
        </w:trPr>
        <w:tc>
          <w:tcPr>
            <w:tcW w:w="5556" w:type="dxa"/>
            <w:vAlign w:val="bottom"/>
          </w:tcPr>
          <w:p w14:paraId="3DD9721B"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xml:space="preserve">- </w:t>
            </w:r>
            <w:r>
              <w:rPr>
                <w:color w:val="000000"/>
              </w:rPr>
              <w:tab/>
              <w:t xml:space="preserve">Gains less losses reclassified to profit or loss upon disposal </w:t>
            </w:r>
          </w:p>
        </w:tc>
        <w:tc>
          <w:tcPr>
            <w:tcW w:w="737" w:type="dxa"/>
            <w:vAlign w:val="bottom"/>
          </w:tcPr>
          <w:p w14:paraId="59FB3D4A"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166B24A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76A4D00" w14:textId="77777777" w:rsidR="008E5DE4" w:rsidRDefault="008E5DE4">
            <w:pPr>
              <w:widowControl w:val="0"/>
              <w:pBdr>
                <w:top w:val="nil"/>
                <w:left w:val="nil"/>
                <w:bottom w:val="nil"/>
                <w:right w:val="nil"/>
                <w:between w:val="nil"/>
              </w:pBdr>
              <w:jc w:val="right"/>
              <w:rPr>
                <w:color w:val="000000"/>
              </w:rPr>
            </w:pPr>
          </w:p>
        </w:tc>
      </w:tr>
      <w:tr w:rsidR="008E5DE4" w14:paraId="0A19FF5C" w14:textId="77777777">
        <w:trPr>
          <w:cantSplit/>
        </w:trPr>
        <w:tc>
          <w:tcPr>
            <w:tcW w:w="5556" w:type="dxa"/>
            <w:vAlign w:val="bottom"/>
          </w:tcPr>
          <w:p w14:paraId="335E01D2" w14:textId="77777777" w:rsidR="008E5DE4" w:rsidRDefault="00780368">
            <w:pPr>
              <w:widowControl w:val="0"/>
              <w:pBdr>
                <w:top w:val="nil"/>
                <w:left w:val="nil"/>
                <w:bottom w:val="nil"/>
                <w:right w:val="nil"/>
                <w:between w:val="nil"/>
              </w:pBdr>
              <w:ind w:left="113" w:right="-57" w:hanging="113"/>
              <w:rPr>
                <w:color w:val="000000"/>
              </w:rPr>
            </w:pPr>
            <w:r>
              <w:rPr>
                <w:color w:val="000000"/>
              </w:rPr>
              <w:t>Translation of financial information of foreign operations to presentation currency</w:t>
            </w:r>
          </w:p>
        </w:tc>
        <w:tc>
          <w:tcPr>
            <w:tcW w:w="737" w:type="dxa"/>
            <w:vAlign w:val="bottom"/>
          </w:tcPr>
          <w:p w14:paraId="3878919B"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0476C99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C2171DC" w14:textId="77777777" w:rsidR="008E5DE4" w:rsidRDefault="008E5DE4">
            <w:pPr>
              <w:widowControl w:val="0"/>
              <w:pBdr>
                <w:top w:val="nil"/>
                <w:left w:val="nil"/>
                <w:bottom w:val="nil"/>
                <w:right w:val="nil"/>
                <w:between w:val="nil"/>
              </w:pBdr>
              <w:jc w:val="right"/>
              <w:rPr>
                <w:color w:val="000000"/>
              </w:rPr>
            </w:pPr>
          </w:p>
        </w:tc>
      </w:tr>
      <w:tr w:rsidR="008E5DE4" w14:paraId="283413D6" w14:textId="77777777">
        <w:trPr>
          <w:cantSplit/>
        </w:trPr>
        <w:tc>
          <w:tcPr>
            <w:tcW w:w="5556" w:type="dxa"/>
            <w:vAlign w:val="bottom"/>
          </w:tcPr>
          <w:p w14:paraId="22661842" w14:textId="77777777" w:rsidR="008E5DE4" w:rsidRDefault="00780368">
            <w:pPr>
              <w:widowControl w:val="0"/>
              <w:pBdr>
                <w:top w:val="nil"/>
                <w:left w:val="nil"/>
                <w:bottom w:val="nil"/>
                <w:right w:val="nil"/>
                <w:between w:val="nil"/>
              </w:pBdr>
              <w:ind w:left="113" w:right="-57" w:hanging="113"/>
              <w:rPr>
                <w:color w:val="000000"/>
              </w:rPr>
            </w:pPr>
            <w:r>
              <w:rPr>
                <w:color w:val="000000"/>
              </w:rPr>
              <w:t>Share of other comprehensive income of associates and joint ventures</w:t>
            </w:r>
          </w:p>
        </w:tc>
        <w:tc>
          <w:tcPr>
            <w:tcW w:w="737" w:type="dxa"/>
            <w:vAlign w:val="bottom"/>
          </w:tcPr>
          <w:p w14:paraId="41BD596B"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181C359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D41966A" w14:textId="77777777" w:rsidR="008E5DE4" w:rsidRDefault="008E5DE4">
            <w:pPr>
              <w:widowControl w:val="0"/>
              <w:pBdr>
                <w:top w:val="nil"/>
                <w:left w:val="nil"/>
                <w:bottom w:val="nil"/>
                <w:right w:val="nil"/>
                <w:between w:val="nil"/>
              </w:pBdr>
              <w:jc w:val="right"/>
              <w:rPr>
                <w:color w:val="000000"/>
              </w:rPr>
            </w:pPr>
          </w:p>
        </w:tc>
      </w:tr>
      <w:tr w:rsidR="008E5DE4" w14:paraId="43016961" w14:textId="77777777">
        <w:trPr>
          <w:cantSplit/>
        </w:trPr>
        <w:tc>
          <w:tcPr>
            <w:tcW w:w="5556" w:type="dxa"/>
            <w:vAlign w:val="bottom"/>
          </w:tcPr>
          <w:p w14:paraId="70E9BC7A" w14:textId="77777777" w:rsidR="008E5DE4" w:rsidRDefault="00780368">
            <w:pPr>
              <w:widowControl w:val="0"/>
              <w:pBdr>
                <w:top w:val="nil"/>
                <w:left w:val="nil"/>
                <w:bottom w:val="nil"/>
                <w:right w:val="nil"/>
                <w:between w:val="nil"/>
              </w:pBdr>
              <w:ind w:left="113" w:right="-57" w:hanging="113"/>
              <w:rPr>
                <w:color w:val="000000"/>
              </w:rPr>
            </w:pPr>
            <w:r>
              <w:rPr>
                <w:color w:val="000000"/>
              </w:rPr>
              <w:t>Income tax recorded directly in other comprehensive income</w:t>
            </w:r>
          </w:p>
        </w:tc>
        <w:tc>
          <w:tcPr>
            <w:tcW w:w="737" w:type="dxa"/>
            <w:vAlign w:val="bottom"/>
          </w:tcPr>
          <w:p w14:paraId="51F075F3" w14:textId="77777777" w:rsidR="008E5DE4" w:rsidRDefault="00780368">
            <w:pPr>
              <w:widowControl w:val="0"/>
              <w:pBdr>
                <w:top w:val="nil"/>
                <w:left w:val="nil"/>
                <w:bottom w:val="nil"/>
                <w:right w:val="nil"/>
                <w:between w:val="nil"/>
              </w:pBdr>
              <w:jc w:val="center"/>
              <w:rPr>
                <w:smallCaps/>
                <w:color w:val="000000"/>
              </w:rPr>
            </w:pPr>
            <w:r>
              <w:rPr>
                <w:smallCaps/>
                <w:color w:val="000000"/>
              </w:rPr>
              <w:t>39</w:t>
            </w:r>
          </w:p>
        </w:tc>
        <w:tc>
          <w:tcPr>
            <w:tcW w:w="1531" w:type="dxa"/>
            <w:vAlign w:val="bottom"/>
          </w:tcPr>
          <w:p w14:paraId="10E9DF3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7243490" w14:textId="77777777" w:rsidR="008E5DE4" w:rsidRDefault="008E5DE4">
            <w:pPr>
              <w:widowControl w:val="0"/>
              <w:pBdr>
                <w:top w:val="nil"/>
                <w:left w:val="nil"/>
                <w:bottom w:val="nil"/>
                <w:right w:val="nil"/>
                <w:between w:val="nil"/>
              </w:pBdr>
              <w:jc w:val="right"/>
              <w:rPr>
                <w:color w:val="000000"/>
              </w:rPr>
            </w:pPr>
          </w:p>
        </w:tc>
      </w:tr>
      <w:tr w:rsidR="008E5DE4" w14:paraId="4DE19A7A" w14:textId="77777777">
        <w:trPr>
          <w:cantSplit/>
        </w:trPr>
        <w:tc>
          <w:tcPr>
            <w:tcW w:w="5556" w:type="dxa"/>
            <w:vAlign w:val="bottom"/>
          </w:tcPr>
          <w:p w14:paraId="28348BD3" w14:textId="77777777" w:rsidR="008E5DE4" w:rsidRDefault="00780368">
            <w:pPr>
              <w:widowControl w:val="0"/>
              <w:pBdr>
                <w:top w:val="nil"/>
                <w:left w:val="nil"/>
                <w:bottom w:val="nil"/>
                <w:right w:val="nil"/>
                <w:between w:val="nil"/>
              </w:pBdr>
              <w:ind w:left="113" w:right="-57" w:hanging="113"/>
              <w:rPr>
                <w:i/>
                <w:color w:val="000000"/>
              </w:rPr>
            </w:pPr>
            <w:r>
              <w:rPr>
                <w:b/>
                <w:color w:val="000000"/>
              </w:rPr>
              <w:t> </w:t>
            </w:r>
          </w:p>
        </w:tc>
        <w:tc>
          <w:tcPr>
            <w:tcW w:w="737" w:type="dxa"/>
            <w:vAlign w:val="bottom"/>
          </w:tcPr>
          <w:p w14:paraId="02E4F27A"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2436D71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6E72E21" w14:textId="77777777" w:rsidR="008E5DE4" w:rsidRDefault="008E5DE4">
            <w:pPr>
              <w:widowControl w:val="0"/>
              <w:pBdr>
                <w:top w:val="nil"/>
                <w:left w:val="nil"/>
                <w:bottom w:val="nil"/>
                <w:right w:val="nil"/>
                <w:between w:val="nil"/>
              </w:pBdr>
              <w:jc w:val="right"/>
              <w:rPr>
                <w:color w:val="000000"/>
              </w:rPr>
            </w:pPr>
          </w:p>
        </w:tc>
      </w:tr>
      <w:tr w:rsidR="008E5DE4" w14:paraId="2FFCD27E" w14:textId="77777777">
        <w:trPr>
          <w:cantSplit/>
        </w:trPr>
        <w:tc>
          <w:tcPr>
            <w:tcW w:w="5556" w:type="dxa"/>
            <w:vAlign w:val="bottom"/>
          </w:tcPr>
          <w:p w14:paraId="62F02923" w14:textId="77777777" w:rsidR="008E5DE4" w:rsidRDefault="00780368">
            <w:pPr>
              <w:widowControl w:val="0"/>
              <w:pBdr>
                <w:top w:val="nil"/>
                <w:left w:val="nil"/>
                <w:bottom w:val="nil"/>
                <w:right w:val="nil"/>
                <w:between w:val="nil"/>
              </w:pBdr>
              <w:ind w:left="113" w:right="-57" w:hanging="113"/>
              <w:rPr>
                <w:color w:val="000000"/>
              </w:rPr>
            </w:pPr>
            <w:r>
              <w:rPr>
                <w:i/>
                <w:color w:val="000000"/>
              </w:rPr>
              <w:t>Items that will not be reclassified to profit or loss:</w:t>
            </w:r>
          </w:p>
        </w:tc>
        <w:tc>
          <w:tcPr>
            <w:tcW w:w="737" w:type="dxa"/>
            <w:vAlign w:val="bottom"/>
          </w:tcPr>
          <w:p w14:paraId="3267165B"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37D1777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9E0612C" w14:textId="77777777" w:rsidR="008E5DE4" w:rsidRDefault="008E5DE4">
            <w:pPr>
              <w:widowControl w:val="0"/>
              <w:pBdr>
                <w:top w:val="nil"/>
                <w:left w:val="nil"/>
                <w:bottom w:val="nil"/>
                <w:right w:val="nil"/>
                <w:between w:val="nil"/>
              </w:pBdr>
              <w:jc w:val="right"/>
              <w:rPr>
                <w:color w:val="000000"/>
              </w:rPr>
            </w:pPr>
          </w:p>
        </w:tc>
      </w:tr>
      <w:tr w:rsidR="008E5DE4" w14:paraId="65DC012D" w14:textId="77777777">
        <w:trPr>
          <w:cantSplit/>
        </w:trPr>
        <w:tc>
          <w:tcPr>
            <w:tcW w:w="5556" w:type="dxa"/>
            <w:vAlign w:val="bottom"/>
          </w:tcPr>
          <w:p w14:paraId="1123E8D8" w14:textId="77777777" w:rsidR="008E5DE4" w:rsidRDefault="00780368">
            <w:pPr>
              <w:widowControl w:val="0"/>
              <w:pBdr>
                <w:top w:val="nil"/>
                <w:left w:val="nil"/>
                <w:bottom w:val="nil"/>
                <w:right w:val="nil"/>
                <w:between w:val="nil"/>
              </w:pBdr>
              <w:ind w:left="113" w:right="-57" w:hanging="113"/>
              <w:rPr>
                <w:color w:val="000000"/>
              </w:rPr>
            </w:pPr>
            <w:r>
              <w:rPr>
                <w:color w:val="000000"/>
              </w:rPr>
              <w:t>Revaluation of property, plant</w:t>
            </w:r>
            <w:r>
              <w:rPr>
                <w:b/>
                <w:color w:val="000000"/>
              </w:rPr>
              <w:t xml:space="preserve"> </w:t>
            </w:r>
            <w:r>
              <w:rPr>
                <w:color w:val="000000"/>
              </w:rPr>
              <w:t>and equipment</w:t>
            </w:r>
          </w:p>
        </w:tc>
        <w:tc>
          <w:tcPr>
            <w:tcW w:w="737" w:type="dxa"/>
            <w:vAlign w:val="bottom"/>
          </w:tcPr>
          <w:p w14:paraId="29A85B5F"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3AC6082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A32B1CE" w14:textId="77777777" w:rsidR="008E5DE4" w:rsidRDefault="008E5DE4">
            <w:pPr>
              <w:widowControl w:val="0"/>
              <w:pBdr>
                <w:top w:val="nil"/>
                <w:left w:val="nil"/>
                <w:bottom w:val="nil"/>
                <w:right w:val="nil"/>
                <w:between w:val="nil"/>
              </w:pBdr>
              <w:jc w:val="right"/>
              <w:rPr>
                <w:color w:val="000000"/>
              </w:rPr>
            </w:pPr>
          </w:p>
        </w:tc>
      </w:tr>
      <w:tr w:rsidR="008E5DE4" w14:paraId="0ED693C8" w14:textId="77777777">
        <w:trPr>
          <w:cantSplit/>
        </w:trPr>
        <w:tc>
          <w:tcPr>
            <w:tcW w:w="5556" w:type="dxa"/>
            <w:vAlign w:val="bottom"/>
          </w:tcPr>
          <w:p w14:paraId="44261747" w14:textId="77777777" w:rsidR="008E5DE4" w:rsidRDefault="00780368">
            <w:pPr>
              <w:widowControl w:val="0"/>
              <w:pBdr>
                <w:top w:val="nil"/>
                <w:left w:val="nil"/>
                <w:bottom w:val="nil"/>
                <w:right w:val="nil"/>
                <w:between w:val="nil"/>
              </w:pBdr>
              <w:ind w:left="113" w:right="-57" w:hanging="113"/>
              <w:rPr>
                <w:color w:val="000000"/>
              </w:rPr>
            </w:pPr>
            <w:r>
              <w:rPr>
                <w:color w:val="000000"/>
              </w:rPr>
              <w:t>Gains less losses on investments in equity securities at fair value through other comprehensive income</w:t>
            </w:r>
          </w:p>
        </w:tc>
        <w:tc>
          <w:tcPr>
            <w:tcW w:w="737" w:type="dxa"/>
            <w:vAlign w:val="bottom"/>
          </w:tcPr>
          <w:p w14:paraId="0457E945"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3B9CB3D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5AB11CD" w14:textId="77777777" w:rsidR="008E5DE4" w:rsidRDefault="008E5DE4">
            <w:pPr>
              <w:widowControl w:val="0"/>
              <w:pBdr>
                <w:top w:val="nil"/>
                <w:left w:val="nil"/>
                <w:bottom w:val="nil"/>
                <w:right w:val="nil"/>
                <w:between w:val="nil"/>
              </w:pBdr>
              <w:jc w:val="right"/>
              <w:rPr>
                <w:color w:val="000000"/>
              </w:rPr>
            </w:pPr>
          </w:p>
        </w:tc>
      </w:tr>
      <w:tr w:rsidR="008E5DE4" w14:paraId="56F3F96D" w14:textId="77777777">
        <w:trPr>
          <w:cantSplit/>
        </w:trPr>
        <w:tc>
          <w:tcPr>
            <w:tcW w:w="5556" w:type="dxa"/>
            <w:vAlign w:val="bottom"/>
          </w:tcPr>
          <w:p w14:paraId="58F01CDF" w14:textId="77777777" w:rsidR="008E5DE4" w:rsidRDefault="00780368">
            <w:pPr>
              <w:widowControl w:val="0"/>
              <w:pBdr>
                <w:top w:val="nil"/>
                <w:left w:val="nil"/>
                <w:bottom w:val="nil"/>
                <w:right w:val="nil"/>
                <w:between w:val="nil"/>
              </w:pBdr>
              <w:ind w:left="113" w:right="-57" w:hanging="113"/>
              <w:rPr>
                <w:color w:val="000000"/>
              </w:rPr>
            </w:pPr>
            <w:r>
              <w:rPr>
                <w:color w:val="000000"/>
              </w:rPr>
              <w:t>Change in fair value attributable to change in the credit risk of financial liabilities designated at fair value through profit or loss</w:t>
            </w:r>
          </w:p>
        </w:tc>
        <w:tc>
          <w:tcPr>
            <w:tcW w:w="737" w:type="dxa"/>
            <w:vAlign w:val="bottom"/>
          </w:tcPr>
          <w:p w14:paraId="0E908037"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5893725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B96E5A0" w14:textId="77777777" w:rsidR="008E5DE4" w:rsidRDefault="008E5DE4">
            <w:pPr>
              <w:widowControl w:val="0"/>
              <w:pBdr>
                <w:top w:val="nil"/>
                <w:left w:val="nil"/>
                <w:bottom w:val="nil"/>
                <w:right w:val="nil"/>
                <w:between w:val="nil"/>
              </w:pBdr>
              <w:jc w:val="right"/>
              <w:rPr>
                <w:color w:val="000000"/>
              </w:rPr>
            </w:pPr>
          </w:p>
        </w:tc>
      </w:tr>
      <w:tr w:rsidR="008E5DE4" w14:paraId="1A4D71D3" w14:textId="77777777">
        <w:trPr>
          <w:cantSplit/>
        </w:trPr>
        <w:tc>
          <w:tcPr>
            <w:tcW w:w="5556" w:type="dxa"/>
            <w:vAlign w:val="bottom"/>
          </w:tcPr>
          <w:p w14:paraId="68B49D51"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Remeasurements of post-employment benefit obligations </w:t>
            </w:r>
          </w:p>
        </w:tc>
        <w:tc>
          <w:tcPr>
            <w:tcW w:w="737" w:type="dxa"/>
            <w:vAlign w:val="bottom"/>
          </w:tcPr>
          <w:p w14:paraId="74041AA4"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5C7F0D3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12A2EAE" w14:textId="77777777" w:rsidR="008E5DE4" w:rsidRDefault="008E5DE4">
            <w:pPr>
              <w:widowControl w:val="0"/>
              <w:pBdr>
                <w:top w:val="nil"/>
                <w:left w:val="nil"/>
                <w:bottom w:val="nil"/>
                <w:right w:val="nil"/>
                <w:between w:val="nil"/>
              </w:pBdr>
              <w:jc w:val="right"/>
              <w:rPr>
                <w:color w:val="000000"/>
              </w:rPr>
            </w:pPr>
          </w:p>
        </w:tc>
      </w:tr>
      <w:tr w:rsidR="008E5DE4" w14:paraId="0C5DBE83" w14:textId="77777777">
        <w:trPr>
          <w:cantSplit/>
        </w:trPr>
        <w:tc>
          <w:tcPr>
            <w:tcW w:w="5556" w:type="dxa"/>
            <w:vAlign w:val="bottom"/>
          </w:tcPr>
          <w:p w14:paraId="2814705D" w14:textId="77777777" w:rsidR="008E5DE4" w:rsidRDefault="00780368">
            <w:pPr>
              <w:widowControl w:val="0"/>
              <w:pBdr>
                <w:top w:val="nil"/>
                <w:left w:val="nil"/>
                <w:bottom w:val="nil"/>
                <w:right w:val="nil"/>
                <w:between w:val="nil"/>
              </w:pBdr>
              <w:ind w:left="113" w:right="-57" w:hanging="113"/>
              <w:rPr>
                <w:color w:val="000000"/>
              </w:rPr>
            </w:pPr>
            <w:r>
              <w:rPr>
                <w:color w:val="000000"/>
              </w:rPr>
              <w:t>Share of other comprehensive income of associates</w:t>
            </w:r>
          </w:p>
        </w:tc>
        <w:tc>
          <w:tcPr>
            <w:tcW w:w="737" w:type="dxa"/>
            <w:vAlign w:val="bottom"/>
          </w:tcPr>
          <w:p w14:paraId="332768EB"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09F0BDA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3A7EDE1" w14:textId="77777777" w:rsidR="008E5DE4" w:rsidRDefault="008E5DE4">
            <w:pPr>
              <w:widowControl w:val="0"/>
              <w:pBdr>
                <w:top w:val="nil"/>
                <w:left w:val="nil"/>
                <w:bottom w:val="nil"/>
                <w:right w:val="nil"/>
                <w:between w:val="nil"/>
              </w:pBdr>
              <w:jc w:val="right"/>
              <w:rPr>
                <w:color w:val="000000"/>
              </w:rPr>
            </w:pPr>
          </w:p>
        </w:tc>
      </w:tr>
      <w:tr w:rsidR="008E5DE4" w14:paraId="5ED4CC5F" w14:textId="77777777">
        <w:trPr>
          <w:cantSplit/>
        </w:trPr>
        <w:tc>
          <w:tcPr>
            <w:tcW w:w="5556" w:type="dxa"/>
            <w:vAlign w:val="bottom"/>
          </w:tcPr>
          <w:p w14:paraId="03625F1E" w14:textId="77777777" w:rsidR="008E5DE4" w:rsidRDefault="00780368">
            <w:pPr>
              <w:widowControl w:val="0"/>
              <w:pBdr>
                <w:top w:val="nil"/>
                <w:left w:val="nil"/>
                <w:bottom w:val="nil"/>
                <w:right w:val="nil"/>
                <w:between w:val="nil"/>
              </w:pBdr>
              <w:ind w:left="113" w:right="-57" w:hanging="113"/>
              <w:rPr>
                <w:color w:val="000000"/>
              </w:rPr>
            </w:pPr>
            <w:r>
              <w:rPr>
                <w:color w:val="000000"/>
              </w:rPr>
              <w:lastRenderedPageBreak/>
              <w:t> </w:t>
            </w:r>
          </w:p>
        </w:tc>
        <w:tc>
          <w:tcPr>
            <w:tcW w:w="737" w:type="dxa"/>
            <w:vAlign w:val="bottom"/>
          </w:tcPr>
          <w:p w14:paraId="6FE7A5DD"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24D2F05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B5A35F5" w14:textId="77777777" w:rsidR="008E5DE4" w:rsidRDefault="008E5DE4">
            <w:pPr>
              <w:widowControl w:val="0"/>
              <w:pBdr>
                <w:top w:val="nil"/>
                <w:left w:val="nil"/>
                <w:bottom w:val="nil"/>
                <w:right w:val="nil"/>
                <w:between w:val="nil"/>
              </w:pBdr>
              <w:jc w:val="right"/>
              <w:rPr>
                <w:color w:val="000000"/>
              </w:rPr>
            </w:pPr>
          </w:p>
        </w:tc>
      </w:tr>
      <w:tr w:rsidR="008E5DE4" w14:paraId="4623C5CE" w14:textId="77777777">
        <w:trPr>
          <w:cantSplit/>
        </w:trPr>
        <w:tc>
          <w:tcPr>
            <w:tcW w:w="5556" w:type="dxa"/>
            <w:vAlign w:val="bottom"/>
          </w:tcPr>
          <w:p w14:paraId="24B14695" w14:textId="77777777" w:rsidR="008E5DE4" w:rsidRDefault="00780368">
            <w:pPr>
              <w:widowControl w:val="0"/>
              <w:pBdr>
                <w:top w:val="nil"/>
                <w:left w:val="nil"/>
                <w:bottom w:val="nil"/>
                <w:right w:val="nil"/>
                <w:between w:val="nil"/>
              </w:pBdr>
              <w:ind w:left="113" w:right="-57" w:hanging="113"/>
              <w:rPr>
                <w:color w:val="000000"/>
              </w:rPr>
            </w:pPr>
            <w:r>
              <w:rPr>
                <w:color w:val="000000"/>
              </w:rPr>
              <w:t>Income tax recorded directly in other comprehensive income</w:t>
            </w:r>
          </w:p>
        </w:tc>
        <w:tc>
          <w:tcPr>
            <w:tcW w:w="737" w:type="dxa"/>
            <w:vAlign w:val="bottom"/>
          </w:tcPr>
          <w:p w14:paraId="3FED9573" w14:textId="77777777" w:rsidR="008E5DE4" w:rsidRDefault="00780368">
            <w:pPr>
              <w:widowControl w:val="0"/>
              <w:pBdr>
                <w:top w:val="nil"/>
                <w:left w:val="nil"/>
                <w:bottom w:val="nil"/>
                <w:right w:val="nil"/>
                <w:between w:val="nil"/>
              </w:pBdr>
              <w:jc w:val="center"/>
              <w:rPr>
                <w:smallCaps/>
                <w:color w:val="000000"/>
              </w:rPr>
            </w:pPr>
            <w:r>
              <w:rPr>
                <w:smallCaps/>
                <w:color w:val="000000"/>
              </w:rPr>
              <w:t>39</w:t>
            </w:r>
          </w:p>
        </w:tc>
        <w:tc>
          <w:tcPr>
            <w:tcW w:w="1531" w:type="dxa"/>
            <w:vAlign w:val="bottom"/>
          </w:tcPr>
          <w:p w14:paraId="188B360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FA41E1B" w14:textId="77777777" w:rsidR="008E5DE4" w:rsidRDefault="008E5DE4">
            <w:pPr>
              <w:widowControl w:val="0"/>
              <w:pBdr>
                <w:top w:val="nil"/>
                <w:left w:val="nil"/>
                <w:bottom w:val="nil"/>
                <w:right w:val="nil"/>
                <w:between w:val="nil"/>
              </w:pBdr>
              <w:jc w:val="right"/>
              <w:rPr>
                <w:color w:val="000000"/>
              </w:rPr>
            </w:pPr>
          </w:p>
        </w:tc>
      </w:tr>
      <w:tr w:rsidR="008E5DE4" w14:paraId="17B902FC" w14:textId="77777777">
        <w:trPr>
          <w:cantSplit/>
        </w:trPr>
        <w:tc>
          <w:tcPr>
            <w:tcW w:w="5556" w:type="dxa"/>
            <w:tcBorders>
              <w:bottom w:val="single" w:sz="4" w:space="0" w:color="000000"/>
            </w:tcBorders>
            <w:vAlign w:val="bottom"/>
          </w:tcPr>
          <w:p w14:paraId="65683B10"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6AAEBCBC"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4" w:space="0" w:color="000000"/>
            </w:tcBorders>
            <w:vAlign w:val="bottom"/>
          </w:tcPr>
          <w:p w14:paraId="4C8B7607"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1D3BBC71" w14:textId="77777777" w:rsidR="008E5DE4" w:rsidRDefault="008E5DE4">
            <w:pPr>
              <w:widowControl w:val="0"/>
              <w:pBdr>
                <w:top w:val="nil"/>
                <w:left w:val="nil"/>
                <w:bottom w:val="nil"/>
                <w:right w:val="nil"/>
                <w:between w:val="nil"/>
              </w:pBdr>
              <w:jc w:val="right"/>
              <w:rPr>
                <w:color w:val="000000"/>
              </w:rPr>
            </w:pPr>
          </w:p>
        </w:tc>
      </w:tr>
      <w:tr w:rsidR="008E5DE4" w14:paraId="3E8B4572" w14:textId="77777777">
        <w:trPr>
          <w:cantSplit/>
        </w:trPr>
        <w:tc>
          <w:tcPr>
            <w:tcW w:w="5556" w:type="dxa"/>
            <w:tcBorders>
              <w:top w:val="single" w:sz="4" w:space="0" w:color="000000"/>
            </w:tcBorders>
            <w:vAlign w:val="bottom"/>
          </w:tcPr>
          <w:p w14:paraId="2FB43F69" w14:textId="77777777" w:rsidR="008E5DE4" w:rsidRDefault="00780368">
            <w:pPr>
              <w:keepNext/>
              <w:keepLines/>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30F16C06" w14:textId="77777777" w:rsidR="008E5DE4" w:rsidRDefault="008E5DE4">
            <w:pPr>
              <w:keepNext/>
              <w:keepLines/>
              <w:widowControl w:val="0"/>
              <w:pBdr>
                <w:top w:val="nil"/>
                <w:left w:val="nil"/>
                <w:bottom w:val="nil"/>
                <w:right w:val="nil"/>
                <w:between w:val="nil"/>
              </w:pBdr>
              <w:jc w:val="center"/>
              <w:rPr>
                <w:b/>
                <w:smallCaps/>
                <w:color w:val="000000"/>
              </w:rPr>
            </w:pPr>
          </w:p>
        </w:tc>
        <w:tc>
          <w:tcPr>
            <w:tcW w:w="1531" w:type="dxa"/>
            <w:tcBorders>
              <w:top w:val="single" w:sz="4" w:space="0" w:color="000000"/>
            </w:tcBorders>
            <w:vAlign w:val="bottom"/>
          </w:tcPr>
          <w:p w14:paraId="38C9E398" w14:textId="77777777" w:rsidR="008E5DE4" w:rsidRDefault="008E5DE4">
            <w:pPr>
              <w:keepNext/>
              <w:keepLines/>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342D07A6" w14:textId="77777777" w:rsidR="008E5DE4" w:rsidRDefault="008E5DE4">
            <w:pPr>
              <w:keepNext/>
              <w:keepLines/>
              <w:widowControl w:val="0"/>
              <w:pBdr>
                <w:top w:val="nil"/>
                <w:left w:val="nil"/>
                <w:bottom w:val="nil"/>
                <w:right w:val="nil"/>
                <w:between w:val="nil"/>
              </w:pBdr>
              <w:jc w:val="right"/>
              <w:rPr>
                <w:b/>
                <w:color w:val="000000"/>
              </w:rPr>
            </w:pPr>
          </w:p>
        </w:tc>
      </w:tr>
      <w:tr w:rsidR="008E5DE4" w14:paraId="7F1799C5" w14:textId="77777777">
        <w:trPr>
          <w:cantSplit/>
        </w:trPr>
        <w:tc>
          <w:tcPr>
            <w:tcW w:w="5556" w:type="dxa"/>
            <w:vAlign w:val="bottom"/>
          </w:tcPr>
          <w:p w14:paraId="7FF3ED98" w14:textId="77777777" w:rsidR="008E5DE4" w:rsidRDefault="00780368">
            <w:pPr>
              <w:keepNext/>
              <w:keepLines/>
              <w:widowControl w:val="0"/>
              <w:pBdr>
                <w:top w:val="nil"/>
                <w:left w:val="nil"/>
                <w:bottom w:val="nil"/>
                <w:right w:val="nil"/>
                <w:between w:val="nil"/>
              </w:pBdr>
              <w:ind w:left="113" w:right="-57" w:hanging="113"/>
              <w:rPr>
                <w:b/>
                <w:color w:val="000000"/>
              </w:rPr>
            </w:pPr>
            <w:r>
              <w:rPr>
                <w:b/>
                <w:color w:val="000000"/>
              </w:rPr>
              <w:t>Other comprehensive income / (loss) for the year</w:t>
            </w:r>
          </w:p>
        </w:tc>
        <w:tc>
          <w:tcPr>
            <w:tcW w:w="737" w:type="dxa"/>
            <w:vAlign w:val="bottom"/>
          </w:tcPr>
          <w:p w14:paraId="4BEECF7D" w14:textId="77777777" w:rsidR="008E5DE4" w:rsidRDefault="008E5DE4">
            <w:pPr>
              <w:keepNext/>
              <w:keepLines/>
              <w:widowControl w:val="0"/>
              <w:pBdr>
                <w:top w:val="nil"/>
                <w:left w:val="nil"/>
                <w:bottom w:val="nil"/>
                <w:right w:val="nil"/>
                <w:between w:val="nil"/>
              </w:pBdr>
              <w:jc w:val="center"/>
              <w:rPr>
                <w:b/>
                <w:smallCaps/>
                <w:color w:val="000000"/>
              </w:rPr>
            </w:pPr>
          </w:p>
        </w:tc>
        <w:tc>
          <w:tcPr>
            <w:tcW w:w="1531" w:type="dxa"/>
            <w:vAlign w:val="bottom"/>
          </w:tcPr>
          <w:p w14:paraId="239ABE36" w14:textId="77777777" w:rsidR="008E5DE4" w:rsidRDefault="008E5DE4">
            <w:pPr>
              <w:keepNext/>
              <w:keepLines/>
              <w:widowControl w:val="0"/>
              <w:pBdr>
                <w:top w:val="nil"/>
                <w:left w:val="nil"/>
                <w:bottom w:val="nil"/>
                <w:right w:val="nil"/>
                <w:between w:val="nil"/>
              </w:pBdr>
              <w:jc w:val="right"/>
              <w:rPr>
                <w:b/>
                <w:color w:val="000000"/>
              </w:rPr>
            </w:pPr>
          </w:p>
        </w:tc>
        <w:tc>
          <w:tcPr>
            <w:tcW w:w="1531" w:type="dxa"/>
            <w:vAlign w:val="bottom"/>
          </w:tcPr>
          <w:p w14:paraId="027FE241" w14:textId="77777777" w:rsidR="008E5DE4" w:rsidRDefault="008E5DE4">
            <w:pPr>
              <w:keepNext/>
              <w:keepLines/>
              <w:widowControl w:val="0"/>
              <w:pBdr>
                <w:top w:val="nil"/>
                <w:left w:val="nil"/>
                <w:bottom w:val="nil"/>
                <w:right w:val="nil"/>
                <w:between w:val="nil"/>
              </w:pBdr>
              <w:jc w:val="right"/>
              <w:rPr>
                <w:b/>
                <w:color w:val="000000"/>
              </w:rPr>
            </w:pPr>
          </w:p>
        </w:tc>
      </w:tr>
      <w:tr w:rsidR="008E5DE4" w14:paraId="027E694A" w14:textId="77777777">
        <w:trPr>
          <w:cantSplit/>
        </w:trPr>
        <w:tc>
          <w:tcPr>
            <w:tcW w:w="5556" w:type="dxa"/>
            <w:vAlign w:val="bottom"/>
          </w:tcPr>
          <w:p w14:paraId="477329AF" w14:textId="77777777" w:rsidR="008E5DE4" w:rsidRDefault="008E5DE4">
            <w:pPr>
              <w:keepNext/>
              <w:keepLines/>
              <w:widowControl w:val="0"/>
              <w:pBdr>
                <w:top w:val="nil"/>
                <w:left w:val="nil"/>
                <w:bottom w:val="nil"/>
                <w:right w:val="nil"/>
                <w:between w:val="nil"/>
              </w:pBdr>
              <w:ind w:left="113" w:right="-57" w:hanging="113"/>
              <w:rPr>
                <w:b/>
                <w:smallCaps/>
                <w:color w:val="000000"/>
              </w:rPr>
            </w:pPr>
          </w:p>
          <w:p w14:paraId="2812E695" w14:textId="77777777" w:rsidR="008E5DE4" w:rsidRDefault="00780368">
            <w:pPr>
              <w:keepNext/>
              <w:keepLines/>
              <w:widowControl w:val="0"/>
              <w:pBdr>
                <w:top w:val="nil"/>
                <w:left w:val="nil"/>
                <w:bottom w:val="nil"/>
                <w:right w:val="nil"/>
                <w:between w:val="nil"/>
              </w:pBdr>
              <w:ind w:left="113" w:right="-57" w:hanging="113"/>
              <w:rPr>
                <w:color w:val="000000"/>
              </w:rPr>
            </w:pPr>
            <w:r>
              <w:rPr>
                <w:b/>
                <w:smallCaps/>
                <w:color w:val="000000"/>
              </w:rPr>
              <w:t>TOTAL COMPREHENSIVE INCOME / (LOSS) FOR THE YEAR</w:t>
            </w:r>
          </w:p>
        </w:tc>
        <w:tc>
          <w:tcPr>
            <w:tcW w:w="737" w:type="dxa"/>
            <w:vAlign w:val="bottom"/>
          </w:tcPr>
          <w:p w14:paraId="7824AAF5" w14:textId="77777777" w:rsidR="008E5DE4" w:rsidRDefault="008E5DE4">
            <w:pPr>
              <w:keepNext/>
              <w:keepLines/>
              <w:widowControl w:val="0"/>
              <w:pBdr>
                <w:top w:val="nil"/>
                <w:left w:val="nil"/>
                <w:bottom w:val="nil"/>
                <w:right w:val="nil"/>
                <w:between w:val="nil"/>
              </w:pBdr>
              <w:jc w:val="center"/>
              <w:rPr>
                <w:color w:val="000000"/>
              </w:rPr>
            </w:pPr>
          </w:p>
        </w:tc>
        <w:tc>
          <w:tcPr>
            <w:tcW w:w="1531" w:type="dxa"/>
            <w:vAlign w:val="bottom"/>
          </w:tcPr>
          <w:p w14:paraId="31BF6820"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170A557D" w14:textId="77777777" w:rsidR="008E5DE4" w:rsidRDefault="008E5DE4">
            <w:pPr>
              <w:keepNext/>
              <w:keepLines/>
              <w:widowControl w:val="0"/>
              <w:pBdr>
                <w:top w:val="nil"/>
                <w:left w:val="nil"/>
                <w:bottom w:val="nil"/>
                <w:right w:val="nil"/>
                <w:between w:val="nil"/>
              </w:pBdr>
              <w:jc w:val="right"/>
              <w:rPr>
                <w:color w:val="000000"/>
              </w:rPr>
            </w:pPr>
          </w:p>
        </w:tc>
      </w:tr>
      <w:tr w:rsidR="008E5DE4" w14:paraId="7C1C33F2" w14:textId="77777777">
        <w:trPr>
          <w:cantSplit/>
        </w:trPr>
        <w:tc>
          <w:tcPr>
            <w:tcW w:w="5556" w:type="dxa"/>
            <w:vAlign w:val="bottom"/>
          </w:tcPr>
          <w:p w14:paraId="4699FD4C"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737" w:type="dxa"/>
            <w:vAlign w:val="bottom"/>
          </w:tcPr>
          <w:p w14:paraId="1C97160B"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B356EC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BE78668" w14:textId="77777777" w:rsidR="008E5DE4" w:rsidRDefault="008E5DE4">
            <w:pPr>
              <w:widowControl w:val="0"/>
              <w:pBdr>
                <w:top w:val="nil"/>
                <w:left w:val="nil"/>
                <w:bottom w:val="nil"/>
                <w:right w:val="nil"/>
                <w:between w:val="nil"/>
              </w:pBdr>
              <w:jc w:val="right"/>
              <w:rPr>
                <w:color w:val="000000"/>
              </w:rPr>
            </w:pPr>
          </w:p>
        </w:tc>
      </w:tr>
      <w:tr w:rsidR="008E5DE4" w14:paraId="3B2D2EE5" w14:textId="77777777">
        <w:trPr>
          <w:cantSplit/>
        </w:trPr>
        <w:tc>
          <w:tcPr>
            <w:tcW w:w="5556" w:type="dxa"/>
            <w:vAlign w:val="bottom"/>
          </w:tcPr>
          <w:p w14:paraId="6101C7F8" w14:textId="77777777" w:rsidR="008E5DE4" w:rsidRDefault="00780368">
            <w:pPr>
              <w:widowControl w:val="0"/>
              <w:pBdr>
                <w:top w:val="nil"/>
                <w:left w:val="nil"/>
                <w:bottom w:val="nil"/>
                <w:right w:val="nil"/>
                <w:between w:val="nil"/>
              </w:pBdr>
              <w:ind w:left="113" w:right="-57" w:hanging="113"/>
              <w:rPr>
                <w:b/>
                <w:color w:val="000000"/>
              </w:rPr>
            </w:pPr>
            <w:r>
              <w:rPr>
                <w:b/>
                <w:color w:val="000000"/>
              </w:rPr>
              <w:t>Profit / (loss) is attributable to:</w:t>
            </w:r>
          </w:p>
        </w:tc>
        <w:tc>
          <w:tcPr>
            <w:tcW w:w="737" w:type="dxa"/>
            <w:vAlign w:val="bottom"/>
          </w:tcPr>
          <w:p w14:paraId="1C615514"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5D09ADE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760E48F" w14:textId="77777777" w:rsidR="008E5DE4" w:rsidRDefault="008E5DE4">
            <w:pPr>
              <w:widowControl w:val="0"/>
              <w:pBdr>
                <w:top w:val="nil"/>
                <w:left w:val="nil"/>
                <w:bottom w:val="nil"/>
                <w:right w:val="nil"/>
                <w:between w:val="nil"/>
              </w:pBdr>
              <w:jc w:val="right"/>
              <w:rPr>
                <w:color w:val="000000"/>
              </w:rPr>
            </w:pPr>
          </w:p>
        </w:tc>
      </w:tr>
      <w:tr w:rsidR="008E5DE4" w14:paraId="11AFAC28" w14:textId="77777777">
        <w:trPr>
          <w:cantSplit/>
        </w:trPr>
        <w:tc>
          <w:tcPr>
            <w:tcW w:w="5556" w:type="dxa"/>
            <w:vAlign w:val="bottom"/>
          </w:tcPr>
          <w:p w14:paraId="4F6CE513" w14:textId="77777777" w:rsidR="008E5DE4" w:rsidRDefault="00780368">
            <w:pPr>
              <w:widowControl w:val="0"/>
              <w:pBdr>
                <w:top w:val="nil"/>
                <w:left w:val="nil"/>
                <w:bottom w:val="nil"/>
                <w:right w:val="nil"/>
                <w:between w:val="nil"/>
              </w:pBdr>
              <w:ind w:left="113" w:right="-57" w:hanging="113"/>
              <w:rPr>
                <w:color w:val="000000"/>
              </w:rPr>
            </w:pPr>
            <w:r>
              <w:rPr>
                <w:color w:val="000000"/>
              </w:rPr>
              <w:t>- Owners of the Company</w:t>
            </w:r>
          </w:p>
        </w:tc>
        <w:tc>
          <w:tcPr>
            <w:tcW w:w="737" w:type="dxa"/>
            <w:vAlign w:val="bottom"/>
          </w:tcPr>
          <w:p w14:paraId="1F9CFA99"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64467A4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ECCCBB4" w14:textId="77777777" w:rsidR="008E5DE4" w:rsidRDefault="008E5DE4">
            <w:pPr>
              <w:widowControl w:val="0"/>
              <w:pBdr>
                <w:top w:val="nil"/>
                <w:left w:val="nil"/>
                <w:bottom w:val="nil"/>
                <w:right w:val="nil"/>
                <w:between w:val="nil"/>
              </w:pBdr>
              <w:jc w:val="right"/>
              <w:rPr>
                <w:color w:val="000000"/>
              </w:rPr>
            </w:pPr>
          </w:p>
        </w:tc>
      </w:tr>
      <w:tr w:rsidR="008E5DE4" w14:paraId="6C3AEE9F" w14:textId="77777777">
        <w:trPr>
          <w:cantSplit/>
        </w:trPr>
        <w:tc>
          <w:tcPr>
            <w:tcW w:w="5556" w:type="dxa"/>
            <w:vAlign w:val="bottom"/>
          </w:tcPr>
          <w:p w14:paraId="1B6C4670" w14:textId="77777777" w:rsidR="008E5DE4" w:rsidRDefault="00780368">
            <w:pPr>
              <w:widowControl w:val="0"/>
              <w:ind w:left="113" w:right="-57" w:hanging="113"/>
            </w:pPr>
            <w:r>
              <w:t xml:space="preserve">- Non-controlling interest </w:t>
            </w:r>
          </w:p>
        </w:tc>
        <w:tc>
          <w:tcPr>
            <w:tcW w:w="737" w:type="dxa"/>
            <w:vAlign w:val="bottom"/>
          </w:tcPr>
          <w:p w14:paraId="23D6EA3D"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6E4FEC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A0FD3BE" w14:textId="77777777" w:rsidR="008E5DE4" w:rsidRDefault="008E5DE4">
            <w:pPr>
              <w:widowControl w:val="0"/>
              <w:pBdr>
                <w:top w:val="nil"/>
                <w:left w:val="nil"/>
                <w:bottom w:val="nil"/>
                <w:right w:val="nil"/>
                <w:between w:val="nil"/>
              </w:pBdr>
              <w:jc w:val="right"/>
              <w:rPr>
                <w:color w:val="000000"/>
              </w:rPr>
            </w:pPr>
          </w:p>
        </w:tc>
      </w:tr>
      <w:tr w:rsidR="008E5DE4" w14:paraId="64C41E60" w14:textId="77777777">
        <w:trPr>
          <w:cantSplit/>
        </w:trPr>
        <w:tc>
          <w:tcPr>
            <w:tcW w:w="5556" w:type="dxa"/>
            <w:tcBorders>
              <w:bottom w:val="single" w:sz="4" w:space="0" w:color="000000"/>
            </w:tcBorders>
            <w:vAlign w:val="bottom"/>
          </w:tcPr>
          <w:p w14:paraId="2BE1385C" w14:textId="77777777" w:rsidR="008E5DE4" w:rsidRDefault="00780368">
            <w:pPr>
              <w:widowControl w:val="0"/>
              <w:ind w:left="113" w:right="-57" w:hanging="113"/>
            </w:pPr>
            <w:r>
              <w:t> </w:t>
            </w:r>
          </w:p>
        </w:tc>
        <w:tc>
          <w:tcPr>
            <w:tcW w:w="737" w:type="dxa"/>
            <w:tcBorders>
              <w:bottom w:val="single" w:sz="4" w:space="0" w:color="000000"/>
            </w:tcBorders>
            <w:vAlign w:val="bottom"/>
          </w:tcPr>
          <w:p w14:paraId="7A3BD8CA"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64F8C680"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6E405ED" w14:textId="77777777" w:rsidR="008E5DE4" w:rsidRDefault="008E5DE4">
            <w:pPr>
              <w:widowControl w:val="0"/>
              <w:pBdr>
                <w:top w:val="nil"/>
                <w:left w:val="nil"/>
                <w:bottom w:val="nil"/>
                <w:right w:val="nil"/>
                <w:between w:val="nil"/>
              </w:pBdr>
              <w:jc w:val="right"/>
              <w:rPr>
                <w:color w:val="000000"/>
              </w:rPr>
            </w:pPr>
          </w:p>
        </w:tc>
      </w:tr>
      <w:tr w:rsidR="008E5DE4" w14:paraId="104BE6DF" w14:textId="77777777">
        <w:trPr>
          <w:cantSplit/>
        </w:trPr>
        <w:tc>
          <w:tcPr>
            <w:tcW w:w="5556" w:type="dxa"/>
            <w:tcBorders>
              <w:top w:val="single" w:sz="4" w:space="0" w:color="000000"/>
            </w:tcBorders>
            <w:vAlign w:val="bottom"/>
          </w:tcPr>
          <w:p w14:paraId="52CE3B71"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 </w:t>
            </w:r>
          </w:p>
        </w:tc>
        <w:tc>
          <w:tcPr>
            <w:tcW w:w="737" w:type="dxa"/>
            <w:tcBorders>
              <w:top w:val="single" w:sz="4" w:space="0" w:color="000000"/>
            </w:tcBorders>
            <w:vAlign w:val="bottom"/>
          </w:tcPr>
          <w:p w14:paraId="4CCB2D79"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top w:val="single" w:sz="4" w:space="0" w:color="000000"/>
            </w:tcBorders>
            <w:vAlign w:val="bottom"/>
          </w:tcPr>
          <w:p w14:paraId="299C697A"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70874416" w14:textId="77777777" w:rsidR="008E5DE4" w:rsidRDefault="008E5DE4">
            <w:pPr>
              <w:widowControl w:val="0"/>
              <w:pBdr>
                <w:top w:val="nil"/>
                <w:left w:val="nil"/>
                <w:bottom w:val="nil"/>
                <w:right w:val="nil"/>
                <w:between w:val="nil"/>
              </w:pBdr>
              <w:jc w:val="right"/>
              <w:rPr>
                <w:color w:val="000000"/>
              </w:rPr>
            </w:pPr>
          </w:p>
        </w:tc>
      </w:tr>
      <w:tr w:rsidR="008E5DE4" w14:paraId="07755C4A" w14:textId="77777777">
        <w:trPr>
          <w:cantSplit/>
        </w:trPr>
        <w:tc>
          <w:tcPr>
            <w:tcW w:w="5556" w:type="dxa"/>
            <w:vAlign w:val="bottom"/>
          </w:tcPr>
          <w:p w14:paraId="4AE4BB9F"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b/>
                <w:color w:val="000000"/>
              </w:rPr>
              <w:t>Profit / (loss) for the year</w:t>
            </w:r>
          </w:p>
        </w:tc>
        <w:tc>
          <w:tcPr>
            <w:tcW w:w="737" w:type="dxa"/>
            <w:vAlign w:val="bottom"/>
          </w:tcPr>
          <w:p w14:paraId="43FEAEF5" w14:textId="77777777" w:rsidR="008E5DE4" w:rsidRDefault="008E5DE4">
            <w:pPr>
              <w:widowControl w:val="0"/>
              <w:pBdr>
                <w:top w:val="nil"/>
                <w:left w:val="nil"/>
                <w:bottom w:val="nil"/>
                <w:right w:val="nil"/>
                <w:between w:val="nil"/>
              </w:pBdr>
              <w:jc w:val="center"/>
              <w:rPr>
                <w:b/>
                <w:smallCaps/>
                <w:color w:val="000000"/>
              </w:rPr>
            </w:pPr>
          </w:p>
        </w:tc>
        <w:tc>
          <w:tcPr>
            <w:tcW w:w="1531" w:type="dxa"/>
            <w:vAlign w:val="bottom"/>
          </w:tcPr>
          <w:p w14:paraId="1C8AD1EF" w14:textId="77777777" w:rsidR="008E5DE4" w:rsidRDefault="00000000">
            <w:pPr>
              <w:widowControl w:val="0"/>
              <w:pBdr>
                <w:top w:val="nil"/>
                <w:left w:val="nil"/>
                <w:bottom w:val="nil"/>
                <w:right w:val="nil"/>
                <w:between w:val="nil"/>
              </w:pBdr>
              <w:jc w:val="right"/>
              <w:rPr>
                <w:color w:val="000000"/>
              </w:rPr>
            </w:pPr>
            <w:sdt>
              <w:sdtPr>
                <w:tag w:val="goog_rdk_0"/>
                <w:id w:val="418759767"/>
              </w:sdtPr>
              <w:sdtContent>
                <w:r w:rsidR="00780368">
                  <w:rPr>
                    <w:rFonts w:ascii="Arial Unicode MS" w:eastAsia="Arial Unicode MS" w:hAnsi="Arial Unicode MS" w:cs="Arial Unicode MS"/>
                    <w:color w:val="000000"/>
                  </w:rPr>
                  <w:t>∑</w:t>
                </w:r>
              </w:sdtContent>
            </w:sdt>
          </w:p>
        </w:tc>
        <w:tc>
          <w:tcPr>
            <w:tcW w:w="1531" w:type="dxa"/>
            <w:vAlign w:val="bottom"/>
          </w:tcPr>
          <w:p w14:paraId="14A48B01" w14:textId="77777777" w:rsidR="008E5DE4" w:rsidRDefault="00000000">
            <w:pPr>
              <w:widowControl w:val="0"/>
              <w:pBdr>
                <w:top w:val="nil"/>
                <w:left w:val="nil"/>
                <w:bottom w:val="nil"/>
                <w:right w:val="nil"/>
                <w:between w:val="nil"/>
              </w:pBdr>
              <w:jc w:val="right"/>
              <w:rPr>
                <w:color w:val="000000"/>
              </w:rPr>
            </w:pPr>
            <w:sdt>
              <w:sdtPr>
                <w:tag w:val="goog_rdk_1"/>
                <w:id w:val="-1691985627"/>
              </w:sdtPr>
              <w:sdtContent>
                <w:r w:rsidR="00780368">
                  <w:rPr>
                    <w:rFonts w:ascii="Arial Unicode MS" w:eastAsia="Arial Unicode MS" w:hAnsi="Arial Unicode MS" w:cs="Arial Unicode MS"/>
                    <w:color w:val="000000"/>
                  </w:rPr>
                  <w:t>∑</w:t>
                </w:r>
              </w:sdtContent>
            </w:sdt>
          </w:p>
        </w:tc>
      </w:tr>
      <w:tr w:rsidR="008E5DE4" w14:paraId="6DBF1DBE" w14:textId="77777777">
        <w:trPr>
          <w:cantSplit/>
        </w:trPr>
        <w:tc>
          <w:tcPr>
            <w:tcW w:w="5556" w:type="dxa"/>
            <w:tcBorders>
              <w:bottom w:val="single" w:sz="12" w:space="0" w:color="000000"/>
            </w:tcBorders>
            <w:vAlign w:val="bottom"/>
          </w:tcPr>
          <w:p w14:paraId="3C623BD4"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 </w:t>
            </w:r>
          </w:p>
        </w:tc>
        <w:tc>
          <w:tcPr>
            <w:tcW w:w="737" w:type="dxa"/>
            <w:tcBorders>
              <w:bottom w:val="single" w:sz="12" w:space="0" w:color="000000"/>
            </w:tcBorders>
            <w:vAlign w:val="bottom"/>
          </w:tcPr>
          <w:p w14:paraId="1F9E0FA8"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bottom w:val="single" w:sz="12" w:space="0" w:color="000000"/>
            </w:tcBorders>
            <w:vAlign w:val="bottom"/>
          </w:tcPr>
          <w:p w14:paraId="0DCB5921"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4D270A33" w14:textId="77777777" w:rsidR="008E5DE4" w:rsidRDefault="008E5DE4">
            <w:pPr>
              <w:widowControl w:val="0"/>
              <w:pBdr>
                <w:top w:val="nil"/>
                <w:left w:val="nil"/>
                <w:bottom w:val="nil"/>
                <w:right w:val="nil"/>
                <w:between w:val="nil"/>
              </w:pBdr>
              <w:jc w:val="right"/>
              <w:rPr>
                <w:color w:val="000000"/>
              </w:rPr>
            </w:pPr>
          </w:p>
        </w:tc>
      </w:tr>
      <w:tr w:rsidR="008E5DE4" w14:paraId="4E471E94" w14:textId="77777777">
        <w:trPr>
          <w:cantSplit/>
        </w:trPr>
        <w:tc>
          <w:tcPr>
            <w:tcW w:w="5556" w:type="dxa"/>
            <w:vAlign w:val="bottom"/>
          </w:tcPr>
          <w:p w14:paraId="57E4EC58"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vAlign w:val="bottom"/>
          </w:tcPr>
          <w:p w14:paraId="044BE296"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E40363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06C856B" w14:textId="77777777" w:rsidR="008E5DE4" w:rsidRDefault="008E5DE4">
            <w:pPr>
              <w:widowControl w:val="0"/>
              <w:pBdr>
                <w:top w:val="nil"/>
                <w:left w:val="nil"/>
                <w:bottom w:val="nil"/>
                <w:right w:val="nil"/>
                <w:between w:val="nil"/>
              </w:pBdr>
              <w:jc w:val="right"/>
              <w:rPr>
                <w:color w:val="000000"/>
              </w:rPr>
            </w:pPr>
          </w:p>
        </w:tc>
      </w:tr>
      <w:tr w:rsidR="008E5DE4" w14:paraId="3A4EC8E2" w14:textId="77777777">
        <w:trPr>
          <w:cantSplit/>
        </w:trPr>
        <w:tc>
          <w:tcPr>
            <w:tcW w:w="5556" w:type="dxa"/>
            <w:vAlign w:val="bottom"/>
          </w:tcPr>
          <w:p w14:paraId="196D0343" w14:textId="77777777" w:rsidR="008E5DE4" w:rsidRDefault="00780368">
            <w:pPr>
              <w:widowControl w:val="0"/>
              <w:pBdr>
                <w:top w:val="nil"/>
                <w:left w:val="nil"/>
                <w:bottom w:val="nil"/>
                <w:right w:val="nil"/>
                <w:between w:val="nil"/>
              </w:pBdr>
              <w:ind w:left="113" w:right="-57" w:hanging="113"/>
              <w:rPr>
                <w:color w:val="000000"/>
              </w:rPr>
            </w:pPr>
            <w:r>
              <w:rPr>
                <w:b/>
                <w:color w:val="000000"/>
              </w:rPr>
              <w:t>Total comprehensive income / (loss) is attributable to:</w:t>
            </w:r>
          </w:p>
        </w:tc>
        <w:tc>
          <w:tcPr>
            <w:tcW w:w="737" w:type="dxa"/>
            <w:vAlign w:val="bottom"/>
          </w:tcPr>
          <w:p w14:paraId="0622DF9C"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2E914F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2D6823A" w14:textId="77777777" w:rsidR="008E5DE4" w:rsidRDefault="008E5DE4">
            <w:pPr>
              <w:widowControl w:val="0"/>
              <w:pBdr>
                <w:top w:val="nil"/>
                <w:left w:val="nil"/>
                <w:bottom w:val="nil"/>
                <w:right w:val="nil"/>
                <w:between w:val="nil"/>
              </w:pBdr>
              <w:jc w:val="right"/>
              <w:rPr>
                <w:color w:val="000000"/>
              </w:rPr>
            </w:pPr>
          </w:p>
        </w:tc>
      </w:tr>
      <w:tr w:rsidR="008E5DE4" w14:paraId="0E95E6EE" w14:textId="77777777">
        <w:trPr>
          <w:cantSplit/>
        </w:trPr>
        <w:tc>
          <w:tcPr>
            <w:tcW w:w="5556" w:type="dxa"/>
            <w:vAlign w:val="bottom"/>
          </w:tcPr>
          <w:p w14:paraId="7B7D6076" w14:textId="77777777" w:rsidR="008E5DE4" w:rsidRDefault="00780368">
            <w:pPr>
              <w:widowControl w:val="0"/>
              <w:pBdr>
                <w:top w:val="nil"/>
                <w:left w:val="nil"/>
                <w:bottom w:val="nil"/>
                <w:right w:val="nil"/>
                <w:between w:val="nil"/>
              </w:pBdr>
              <w:ind w:left="113" w:right="-57" w:hanging="113"/>
              <w:rPr>
                <w:i/>
                <w:color w:val="000000"/>
              </w:rPr>
            </w:pPr>
            <w:r>
              <w:rPr>
                <w:color w:val="000000"/>
              </w:rPr>
              <w:t>- Owners of the Company</w:t>
            </w:r>
          </w:p>
        </w:tc>
        <w:tc>
          <w:tcPr>
            <w:tcW w:w="737" w:type="dxa"/>
            <w:vAlign w:val="bottom"/>
          </w:tcPr>
          <w:p w14:paraId="13EA9152"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28D5B36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9507499" w14:textId="77777777" w:rsidR="008E5DE4" w:rsidRDefault="008E5DE4">
            <w:pPr>
              <w:widowControl w:val="0"/>
              <w:pBdr>
                <w:top w:val="nil"/>
                <w:left w:val="nil"/>
                <w:bottom w:val="nil"/>
                <w:right w:val="nil"/>
                <w:between w:val="nil"/>
              </w:pBdr>
              <w:jc w:val="right"/>
              <w:rPr>
                <w:color w:val="000000"/>
              </w:rPr>
            </w:pPr>
          </w:p>
        </w:tc>
      </w:tr>
      <w:tr w:rsidR="008E5DE4" w14:paraId="6E7A899A" w14:textId="77777777">
        <w:trPr>
          <w:cantSplit/>
        </w:trPr>
        <w:tc>
          <w:tcPr>
            <w:tcW w:w="5556" w:type="dxa"/>
            <w:vAlign w:val="bottom"/>
          </w:tcPr>
          <w:p w14:paraId="27C8E7AB" w14:textId="77777777" w:rsidR="008E5DE4" w:rsidRDefault="00780368">
            <w:pPr>
              <w:widowControl w:val="0"/>
              <w:pBdr>
                <w:top w:val="nil"/>
                <w:left w:val="nil"/>
                <w:bottom w:val="nil"/>
                <w:right w:val="nil"/>
                <w:between w:val="nil"/>
              </w:pBdr>
              <w:ind w:left="113" w:right="-57" w:hanging="113"/>
              <w:rPr>
                <w:color w:val="000000"/>
              </w:rPr>
            </w:pPr>
            <w:r>
              <w:rPr>
                <w:color w:val="000000"/>
              </w:rPr>
              <w:t>- Non-controlling interest</w:t>
            </w:r>
          </w:p>
        </w:tc>
        <w:tc>
          <w:tcPr>
            <w:tcW w:w="737" w:type="dxa"/>
            <w:vAlign w:val="bottom"/>
          </w:tcPr>
          <w:p w14:paraId="616C4F3B"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1328688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03F7BBC" w14:textId="77777777" w:rsidR="008E5DE4" w:rsidRDefault="008E5DE4">
            <w:pPr>
              <w:widowControl w:val="0"/>
              <w:pBdr>
                <w:top w:val="nil"/>
                <w:left w:val="nil"/>
                <w:bottom w:val="nil"/>
                <w:right w:val="nil"/>
                <w:between w:val="nil"/>
              </w:pBdr>
              <w:jc w:val="right"/>
              <w:rPr>
                <w:color w:val="000000"/>
              </w:rPr>
            </w:pPr>
          </w:p>
        </w:tc>
      </w:tr>
      <w:tr w:rsidR="008E5DE4" w14:paraId="64423BDB" w14:textId="77777777">
        <w:trPr>
          <w:cantSplit/>
        </w:trPr>
        <w:tc>
          <w:tcPr>
            <w:tcW w:w="5556" w:type="dxa"/>
            <w:tcBorders>
              <w:bottom w:val="single" w:sz="4" w:space="0" w:color="000000"/>
            </w:tcBorders>
            <w:vAlign w:val="bottom"/>
          </w:tcPr>
          <w:p w14:paraId="6DFDBC8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3A3649F4"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4" w:space="0" w:color="000000"/>
            </w:tcBorders>
            <w:vAlign w:val="bottom"/>
          </w:tcPr>
          <w:p w14:paraId="4FBFF76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1283C5A6" w14:textId="77777777" w:rsidR="008E5DE4" w:rsidRDefault="008E5DE4">
            <w:pPr>
              <w:widowControl w:val="0"/>
              <w:pBdr>
                <w:top w:val="nil"/>
                <w:left w:val="nil"/>
                <w:bottom w:val="nil"/>
                <w:right w:val="nil"/>
                <w:between w:val="nil"/>
              </w:pBdr>
              <w:jc w:val="right"/>
              <w:rPr>
                <w:color w:val="000000"/>
              </w:rPr>
            </w:pPr>
          </w:p>
        </w:tc>
      </w:tr>
      <w:tr w:rsidR="008E5DE4" w14:paraId="24936159" w14:textId="77777777">
        <w:trPr>
          <w:cantSplit/>
        </w:trPr>
        <w:tc>
          <w:tcPr>
            <w:tcW w:w="5556" w:type="dxa"/>
            <w:tcBorders>
              <w:top w:val="single" w:sz="4" w:space="0" w:color="000000"/>
            </w:tcBorders>
            <w:vAlign w:val="bottom"/>
          </w:tcPr>
          <w:p w14:paraId="5BFF367F"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737" w:type="dxa"/>
            <w:tcBorders>
              <w:top w:val="single" w:sz="4" w:space="0" w:color="000000"/>
            </w:tcBorders>
            <w:vAlign w:val="bottom"/>
          </w:tcPr>
          <w:p w14:paraId="68DA7C3A" w14:textId="77777777" w:rsidR="008E5DE4" w:rsidRDefault="008E5DE4">
            <w:pPr>
              <w:widowControl w:val="0"/>
              <w:pBdr>
                <w:top w:val="nil"/>
                <w:left w:val="nil"/>
                <w:bottom w:val="nil"/>
                <w:right w:val="nil"/>
                <w:between w:val="nil"/>
              </w:pBdr>
              <w:jc w:val="center"/>
              <w:rPr>
                <w:b/>
                <w:color w:val="000000"/>
              </w:rPr>
            </w:pPr>
          </w:p>
        </w:tc>
        <w:tc>
          <w:tcPr>
            <w:tcW w:w="1531" w:type="dxa"/>
            <w:tcBorders>
              <w:top w:val="single" w:sz="4" w:space="0" w:color="000000"/>
            </w:tcBorders>
            <w:vAlign w:val="bottom"/>
          </w:tcPr>
          <w:p w14:paraId="20DCB1F6"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DA3EBA1" w14:textId="77777777" w:rsidR="008E5DE4" w:rsidRDefault="008E5DE4">
            <w:pPr>
              <w:widowControl w:val="0"/>
              <w:pBdr>
                <w:top w:val="nil"/>
                <w:left w:val="nil"/>
                <w:bottom w:val="nil"/>
                <w:right w:val="nil"/>
                <w:between w:val="nil"/>
              </w:pBdr>
              <w:jc w:val="right"/>
              <w:rPr>
                <w:color w:val="000000"/>
              </w:rPr>
            </w:pPr>
          </w:p>
        </w:tc>
      </w:tr>
      <w:tr w:rsidR="008E5DE4" w14:paraId="3D354EC3" w14:textId="77777777">
        <w:trPr>
          <w:cantSplit/>
        </w:trPr>
        <w:tc>
          <w:tcPr>
            <w:tcW w:w="5556" w:type="dxa"/>
            <w:vAlign w:val="bottom"/>
          </w:tcPr>
          <w:p w14:paraId="450A4F5A"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comprehensive income / (loss) for the year</w:t>
            </w:r>
          </w:p>
        </w:tc>
        <w:tc>
          <w:tcPr>
            <w:tcW w:w="737" w:type="dxa"/>
            <w:vAlign w:val="bottom"/>
          </w:tcPr>
          <w:p w14:paraId="3792F621" w14:textId="77777777" w:rsidR="008E5DE4" w:rsidRDefault="008E5DE4">
            <w:pPr>
              <w:widowControl w:val="0"/>
              <w:pBdr>
                <w:top w:val="nil"/>
                <w:left w:val="nil"/>
                <w:bottom w:val="nil"/>
                <w:right w:val="nil"/>
                <w:between w:val="nil"/>
              </w:pBdr>
              <w:jc w:val="center"/>
              <w:rPr>
                <w:b/>
                <w:color w:val="000000"/>
              </w:rPr>
            </w:pPr>
          </w:p>
        </w:tc>
        <w:tc>
          <w:tcPr>
            <w:tcW w:w="1531" w:type="dxa"/>
            <w:vAlign w:val="bottom"/>
          </w:tcPr>
          <w:p w14:paraId="1BF91FF0" w14:textId="77777777" w:rsidR="008E5DE4" w:rsidRDefault="00000000">
            <w:pPr>
              <w:widowControl w:val="0"/>
              <w:pBdr>
                <w:top w:val="nil"/>
                <w:left w:val="nil"/>
                <w:bottom w:val="nil"/>
                <w:right w:val="nil"/>
                <w:between w:val="nil"/>
              </w:pBdr>
              <w:jc w:val="right"/>
              <w:rPr>
                <w:b/>
                <w:color w:val="000000"/>
              </w:rPr>
            </w:pPr>
            <w:sdt>
              <w:sdtPr>
                <w:tag w:val="goog_rdk_2"/>
                <w:id w:val="1060752371"/>
              </w:sdtPr>
              <w:sdtContent>
                <w:r w:rsidR="00780368">
                  <w:rPr>
                    <w:rFonts w:ascii="Arial Unicode MS" w:eastAsia="Arial Unicode MS" w:hAnsi="Arial Unicode MS" w:cs="Arial Unicode MS"/>
                    <w:color w:val="000000"/>
                  </w:rPr>
                  <w:t>∑</w:t>
                </w:r>
              </w:sdtContent>
            </w:sdt>
          </w:p>
        </w:tc>
        <w:tc>
          <w:tcPr>
            <w:tcW w:w="1531" w:type="dxa"/>
            <w:vAlign w:val="bottom"/>
          </w:tcPr>
          <w:p w14:paraId="3F4B0CC2" w14:textId="77777777" w:rsidR="008E5DE4" w:rsidRDefault="00000000">
            <w:pPr>
              <w:widowControl w:val="0"/>
              <w:pBdr>
                <w:top w:val="nil"/>
                <w:left w:val="nil"/>
                <w:bottom w:val="nil"/>
                <w:right w:val="nil"/>
                <w:between w:val="nil"/>
              </w:pBdr>
              <w:jc w:val="right"/>
              <w:rPr>
                <w:b/>
                <w:color w:val="000000"/>
              </w:rPr>
            </w:pPr>
            <w:sdt>
              <w:sdtPr>
                <w:tag w:val="goog_rdk_3"/>
                <w:id w:val="-1951842711"/>
              </w:sdtPr>
              <w:sdtContent>
                <w:r w:rsidR="00780368">
                  <w:rPr>
                    <w:rFonts w:ascii="Arial Unicode MS" w:eastAsia="Arial Unicode MS" w:hAnsi="Arial Unicode MS" w:cs="Arial Unicode MS"/>
                    <w:color w:val="000000"/>
                  </w:rPr>
                  <w:t>∑</w:t>
                </w:r>
              </w:sdtContent>
            </w:sdt>
          </w:p>
        </w:tc>
      </w:tr>
      <w:tr w:rsidR="008E5DE4" w14:paraId="3333DDF3" w14:textId="77777777">
        <w:trPr>
          <w:cantSplit/>
        </w:trPr>
        <w:tc>
          <w:tcPr>
            <w:tcW w:w="5556" w:type="dxa"/>
            <w:tcBorders>
              <w:bottom w:val="single" w:sz="12" w:space="0" w:color="000000"/>
            </w:tcBorders>
            <w:vAlign w:val="bottom"/>
          </w:tcPr>
          <w:p w14:paraId="411B51FA"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737" w:type="dxa"/>
            <w:tcBorders>
              <w:bottom w:val="single" w:sz="12" w:space="0" w:color="000000"/>
            </w:tcBorders>
            <w:vAlign w:val="bottom"/>
          </w:tcPr>
          <w:p w14:paraId="5024B411" w14:textId="77777777" w:rsidR="008E5DE4" w:rsidRDefault="008E5DE4">
            <w:pPr>
              <w:widowControl w:val="0"/>
              <w:pBdr>
                <w:top w:val="nil"/>
                <w:left w:val="nil"/>
                <w:bottom w:val="nil"/>
                <w:right w:val="nil"/>
                <w:between w:val="nil"/>
              </w:pBdr>
              <w:jc w:val="center"/>
              <w:rPr>
                <w:b/>
                <w:color w:val="000000"/>
              </w:rPr>
            </w:pPr>
          </w:p>
        </w:tc>
        <w:tc>
          <w:tcPr>
            <w:tcW w:w="1531" w:type="dxa"/>
            <w:tcBorders>
              <w:bottom w:val="single" w:sz="12" w:space="0" w:color="000000"/>
            </w:tcBorders>
            <w:vAlign w:val="bottom"/>
          </w:tcPr>
          <w:p w14:paraId="2B1CDE9F"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0D954990" w14:textId="77777777" w:rsidR="008E5DE4" w:rsidRDefault="008E5DE4">
            <w:pPr>
              <w:widowControl w:val="0"/>
              <w:pBdr>
                <w:top w:val="nil"/>
                <w:left w:val="nil"/>
                <w:bottom w:val="nil"/>
                <w:right w:val="nil"/>
                <w:between w:val="nil"/>
              </w:pBdr>
              <w:jc w:val="right"/>
              <w:rPr>
                <w:color w:val="000000"/>
              </w:rPr>
            </w:pPr>
          </w:p>
        </w:tc>
      </w:tr>
      <w:tr w:rsidR="008E5DE4" w14:paraId="0D7ABD97" w14:textId="77777777">
        <w:trPr>
          <w:cantSplit/>
        </w:trPr>
        <w:tc>
          <w:tcPr>
            <w:tcW w:w="5556" w:type="dxa"/>
            <w:vAlign w:val="bottom"/>
          </w:tcPr>
          <w:p w14:paraId="67D67570"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737" w:type="dxa"/>
            <w:vAlign w:val="bottom"/>
          </w:tcPr>
          <w:p w14:paraId="29643270" w14:textId="77777777" w:rsidR="008E5DE4" w:rsidRDefault="008E5DE4">
            <w:pPr>
              <w:widowControl w:val="0"/>
              <w:pBdr>
                <w:top w:val="nil"/>
                <w:left w:val="nil"/>
                <w:bottom w:val="nil"/>
                <w:right w:val="nil"/>
                <w:between w:val="nil"/>
              </w:pBdr>
              <w:jc w:val="center"/>
              <w:rPr>
                <w:b/>
                <w:color w:val="000000"/>
              </w:rPr>
            </w:pPr>
          </w:p>
        </w:tc>
        <w:tc>
          <w:tcPr>
            <w:tcW w:w="1531" w:type="dxa"/>
            <w:vAlign w:val="bottom"/>
          </w:tcPr>
          <w:p w14:paraId="03EFC9F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1246D1D" w14:textId="77777777" w:rsidR="008E5DE4" w:rsidRDefault="008E5DE4">
            <w:pPr>
              <w:widowControl w:val="0"/>
              <w:pBdr>
                <w:top w:val="nil"/>
                <w:left w:val="nil"/>
                <w:bottom w:val="nil"/>
                <w:right w:val="nil"/>
                <w:between w:val="nil"/>
              </w:pBdr>
              <w:jc w:val="right"/>
              <w:rPr>
                <w:color w:val="000000"/>
              </w:rPr>
            </w:pPr>
          </w:p>
        </w:tc>
      </w:tr>
      <w:tr w:rsidR="008E5DE4" w14:paraId="1724A619" w14:textId="77777777">
        <w:trPr>
          <w:cantSplit/>
        </w:trPr>
        <w:tc>
          <w:tcPr>
            <w:tcW w:w="5556" w:type="dxa"/>
            <w:vAlign w:val="bottom"/>
          </w:tcPr>
          <w:p w14:paraId="38C80B58" w14:textId="77777777" w:rsidR="008E5DE4" w:rsidRDefault="00780368">
            <w:pPr>
              <w:widowControl w:val="0"/>
              <w:pBdr>
                <w:top w:val="nil"/>
                <w:left w:val="nil"/>
                <w:bottom w:val="nil"/>
                <w:right w:val="nil"/>
                <w:between w:val="nil"/>
              </w:pBdr>
              <w:ind w:left="113" w:right="-57" w:hanging="113"/>
              <w:rPr>
                <w:color w:val="000000"/>
              </w:rPr>
            </w:pPr>
            <w:r>
              <w:rPr>
                <w:color w:val="000000"/>
              </w:rPr>
              <w:t>Earnings/(loss) per ordinary share for profit/(loss) from continuing operations attributable to the owners of the Company, basic and diluted (in EUR per share)</w:t>
            </w:r>
          </w:p>
        </w:tc>
        <w:tc>
          <w:tcPr>
            <w:tcW w:w="737" w:type="dxa"/>
            <w:vAlign w:val="bottom"/>
          </w:tcPr>
          <w:p w14:paraId="6D67FF5D" w14:textId="77777777" w:rsidR="008E5DE4" w:rsidRDefault="00780368">
            <w:pPr>
              <w:widowControl w:val="0"/>
              <w:pBdr>
                <w:top w:val="nil"/>
                <w:left w:val="nil"/>
                <w:bottom w:val="nil"/>
                <w:right w:val="nil"/>
                <w:between w:val="nil"/>
              </w:pBdr>
              <w:jc w:val="center"/>
              <w:rPr>
                <w:smallCaps/>
                <w:color w:val="000000"/>
              </w:rPr>
            </w:pPr>
            <w:r>
              <w:rPr>
                <w:smallCaps/>
                <w:color w:val="000000"/>
              </w:rPr>
              <w:t>41</w:t>
            </w:r>
          </w:p>
        </w:tc>
        <w:tc>
          <w:tcPr>
            <w:tcW w:w="1531" w:type="dxa"/>
            <w:vAlign w:val="bottom"/>
          </w:tcPr>
          <w:p w14:paraId="49BC8F2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1CD2C2D" w14:textId="77777777" w:rsidR="008E5DE4" w:rsidRDefault="008E5DE4">
            <w:pPr>
              <w:widowControl w:val="0"/>
              <w:pBdr>
                <w:top w:val="nil"/>
                <w:left w:val="nil"/>
                <w:bottom w:val="nil"/>
                <w:right w:val="nil"/>
                <w:between w:val="nil"/>
              </w:pBdr>
              <w:jc w:val="right"/>
              <w:rPr>
                <w:b/>
                <w:color w:val="000000"/>
              </w:rPr>
            </w:pPr>
          </w:p>
        </w:tc>
      </w:tr>
      <w:tr w:rsidR="008E5DE4" w14:paraId="2727BBF4" w14:textId="77777777">
        <w:trPr>
          <w:cantSplit/>
        </w:trPr>
        <w:tc>
          <w:tcPr>
            <w:tcW w:w="5556" w:type="dxa"/>
            <w:tcBorders>
              <w:bottom w:val="single" w:sz="12" w:space="0" w:color="000000"/>
            </w:tcBorders>
            <w:vAlign w:val="bottom"/>
          </w:tcPr>
          <w:p w14:paraId="7404C833"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bottom w:val="single" w:sz="12" w:space="0" w:color="000000"/>
            </w:tcBorders>
            <w:vAlign w:val="bottom"/>
          </w:tcPr>
          <w:p w14:paraId="7681326D"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12" w:space="0" w:color="000000"/>
            </w:tcBorders>
            <w:vAlign w:val="bottom"/>
          </w:tcPr>
          <w:p w14:paraId="557880FF"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0AF9AB27" w14:textId="77777777" w:rsidR="008E5DE4" w:rsidRDefault="008E5DE4">
            <w:pPr>
              <w:widowControl w:val="0"/>
              <w:pBdr>
                <w:top w:val="nil"/>
                <w:left w:val="nil"/>
                <w:bottom w:val="nil"/>
                <w:right w:val="nil"/>
                <w:between w:val="nil"/>
              </w:pBdr>
              <w:jc w:val="right"/>
              <w:rPr>
                <w:b/>
                <w:color w:val="000000"/>
              </w:rPr>
            </w:pPr>
          </w:p>
        </w:tc>
      </w:tr>
      <w:tr w:rsidR="008E5DE4" w14:paraId="73D27B4B" w14:textId="77777777">
        <w:trPr>
          <w:cantSplit/>
        </w:trPr>
        <w:tc>
          <w:tcPr>
            <w:tcW w:w="5556" w:type="dxa"/>
            <w:tcBorders>
              <w:top w:val="single" w:sz="12" w:space="0" w:color="000000"/>
            </w:tcBorders>
            <w:vAlign w:val="bottom"/>
          </w:tcPr>
          <w:p w14:paraId="3A624FBD"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top w:val="single" w:sz="12" w:space="0" w:color="000000"/>
            </w:tcBorders>
            <w:vAlign w:val="bottom"/>
          </w:tcPr>
          <w:p w14:paraId="6899E62A" w14:textId="77777777" w:rsidR="008E5DE4" w:rsidRDefault="008E5DE4">
            <w:pPr>
              <w:widowControl w:val="0"/>
              <w:pBdr>
                <w:top w:val="nil"/>
                <w:left w:val="nil"/>
                <w:bottom w:val="nil"/>
                <w:right w:val="nil"/>
                <w:between w:val="nil"/>
              </w:pBdr>
              <w:jc w:val="center"/>
              <w:rPr>
                <w:smallCaps/>
                <w:color w:val="000000"/>
              </w:rPr>
            </w:pPr>
          </w:p>
        </w:tc>
        <w:tc>
          <w:tcPr>
            <w:tcW w:w="1531" w:type="dxa"/>
            <w:tcBorders>
              <w:top w:val="single" w:sz="12" w:space="0" w:color="000000"/>
            </w:tcBorders>
            <w:vAlign w:val="bottom"/>
          </w:tcPr>
          <w:p w14:paraId="731FD7A9"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27A158A5" w14:textId="77777777" w:rsidR="008E5DE4" w:rsidRDefault="008E5DE4">
            <w:pPr>
              <w:widowControl w:val="0"/>
              <w:pBdr>
                <w:top w:val="nil"/>
                <w:left w:val="nil"/>
                <w:bottom w:val="nil"/>
                <w:right w:val="nil"/>
                <w:between w:val="nil"/>
              </w:pBdr>
              <w:jc w:val="right"/>
              <w:rPr>
                <w:b/>
                <w:color w:val="000000"/>
              </w:rPr>
            </w:pPr>
          </w:p>
        </w:tc>
      </w:tr>
      <w:tr w:rsidR="008E5DE4" w14:paraId="3CDBC80A" w14:textId="77777777">
        <w:trPr>
          <w:cantSplit/>
        </w:trPr>
        <w:tc>
          <w:tcPr>
            <w:tcW w:w="5556" w:type="dxa"/>
            <w:vAlign w:val="bottom"/>
          </w:tcPr>
          <w:p w14:paraId="6CD0E5C7" w14:textId="105C6DEB" w:rsidR="008E5DE4" w:rsidRDefault="00780368">
            <w:pPr>
              <w:widowControl w:val="0"/>
              <w:pBdr>
                <w:top w:val="nil"/>
                <w:left w:val="nil"/>
                <w:bottom w:val="nil"/>
                <w:right w:val="nil"/>
                <w:between w:val="nil"/>
              </w:pBdr>
              <w:ind w:left="113" w:right="-57" w:hanging="113"/>
              <w:rPr>
                <w:color w:val="000000"/>
              </w:rPr>
            </w:pPr>
            <w:r>
              <w:rPr>
                <w:color w:val="000000"/>
              </w:rPr>
              <w:t>Earnings/(loss) per ordinary share for profit/(loss) from discontinued operations attributable to the owners of the Company, basic and diluted (in EUR per share)</w:t>
            </w:r>
          </w:p>
        </w:tc>
        <w:tc>
          <w:tcPr>
            <w:tcW w:w="737" w:type="dxa"/>
            <w:vAlign w:val="bottom"/>
          </w:tcPr>
          <w:p w14:paraId="250BF51C" w14:textId="77777777" w:rsidR="008E5DE4" w:rsidRDefault="00780368">
            <w:pPr>
              <w:widowControl w:val="0"/>
              <w:pBdr>
                <w:top w:val="nil"/>
                <w:left w:val="nil"/>
                <w:bottom w:val="nil"/>
                <w:right w:val="nil"/>
                <w:between w:val="nil"/>
              </w:pBdr>
              <w:jc w:val="center"/>
              <w:rPr>
                <w:smallCaps/>
                <w:color w:val="000000"/>
              </w:rPr>
            </w:pPr>
            <w:r>
              <w:rPr>
                <w:smallCaps/>
                <w:color w:val="000000"/>
              </w:rPr>
              <w:t>41</w:t>
            </w:r>
          </w:p>
        </w:tc>
        <w:tc>
          <w:tcPr>
            <w:tcW w:w="1531" w:type="dxa"/>
            <w:vAlign w:val="bottom"/>
          </w:tcPr>
          <w:p w14:paraId="56C709B7"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2CCC8374" w14:textId="77777777" w:rsidR="008E5DE4" w:rsidRDefault="008E5DE4">
            <w:pPr>
              <w:widowControl w:val="0"/>
              <w:pBdr>
                <w:top w:val="nil"/>
                <w:left w:val="nil"/>
                <w:bottom w:val="nil"/>
                <w:right w:val="nil"/>
                <w:between w:val="nil"/>
              </w:pBdr>
              <w:jc w:val="right"/>
              <w:rPr>
                <w:b/>
                <w:color w:val="000000"/>
              </w:rPr>
            </w:pPr>
          </w:p>
        </w:tc>
      </w:tr>
      <w:tr w:rsidR="008E5DE4" w14:paraId="7B167308" w14:textId="77777777">
        <w:trPr>
          <w:cantSplit/>
        </w:trPr>
        <w:tc>
          <w:tcPr>
            <w:tcW w:w="5556" w:type="dxa"/>
            <w:tcBorders>
              <w:bottom w:val="single" w:sz="12" w:space="0" w:color="000000"/>
            </w:tcBorders>
            <w:vAlign w:val="bottom"/>
          </w:tcPr>
          <w:p w14:paraId="56960BBC"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bottom w:val="single" w:sz="12" w:space="0" w:color="000000"/>
            </w:tcBorders>
            <w:vAlign w:val="bottom"/>
          </w:tcPr>
          <w:p w14:paraId="554D1EE9"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12" w:space="0" w:color="000000"/>
            </w:tcBorders>
            <w:vAlign w:val="bottom"/>
          </w:tcPr>
          <w:p w14:paraId="0AA7B4E7"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5ED3B6BE" w14:textId="77777777" w:rsidR="008E5DE4" w:rsidRDefault="008E5DE4">
            <w:pPr>
              <w:widowControl w:val="0"/>
              <w:pBdr>
                <w:top w:val="nil"/>
                <w:left w:val="nil"/>
                <w:bottom w:val="nil"/>
                <w:right w:val="nil"/>
                <w:between w:val="nil"/>
              </w:pBdr>
              <w:jc w:val="right"/>
              <w:rPr>
                <w:b/>
                <w:color w:val="000000"/>
              </w:rPr>
            </w:pPr>
          </w:p>
        </w:tc>
      </w:tr>
      <w:tr w:rsidR="008E5DE4" w14:paraId="561CA217" w14:textId="77777777">
        <w:trPr>
          <w:cantSplit/>
        </w:trPr>
        <w:tc>
          <w:tcPr>
            <w:tcW w:w="5556" w:type="dxa"/>
            <w:tcBorders>
              <w:top w:val="single" w:sz="12" w:space="0" w:color="000000"/>
            </w:tcBorders>
            <w:vAlign w:val="bottom"/>
          </w:tcPr>
          <w:p w14:paraId="2747FC35" w14:textId="77777777" w:rsidR="008E5DE4" w:rsidRDefault="008E5DE4">
            <w:pPr>
              <w:widowControl w:val="0"/>
              <w:pBdr>
                <w:top w:val="nil"/>
                <w:left w:val="nil"/>
                <w:bottom w:val="nil"/>
                <w:right w:val="nil"/>
                <w:between w:val="nil"/>
              </w:pBdr>
              <w:ind w:left="113" w:right="-57" w:hanging="113"/>
              <w:rPr>
                <w:color w:val="000000"/>
              </w:rPr>
            </w:pPr>
          </w:p>
        </w:tc>
        <w:tc>
          <w:tcPr>
            <w:tcW w:w="737" w:type="dxa"/>
            <w:tcBorders>
              <w:top w:val="single" w:sz="12" w:space="0" w:color="000000"/>
            </w:tcBorders>
            <w:vAlign w:val="bottom"/>
          </w:tcPr>
          <w:p w14:paraId="0FA3524D" w14:textId="77777777" w:rsidR="008E5DE4" w:rsidRDefault="008E5DE4">
            <w:pPr>
              <w:widowControl w:val="0"/>
              <w:pBdr>
                <w:top w:val="nil"/>
                <w:left w:val="nil"/>
                <w:bottom w:val="nil"/>
                <w:right w:val="nil"/>
                <w:between w:val="nil"/>
              </w:pBdr>
              <w:jc w:val="center"/>
              <w:rPr>
                <w:smallCaps/>
                <w:color w:val="000000"/>
              </w:rPr>
            </w:pPr>
          </w:p>
        </w:tc>
        <w:tc>
          <w:tcPr>
            <w:tcW w:w="1531" w:type="dxa"/>
            <w:tcBorders>
              <w:top w:val="single" w:sz="12" w:space="0" w:color="000000"/>
            </w:tcBorders>
            <w:vAlign w:val="bottom"/>
          </w:tcPr>
          <w:p w14:paraId="07990DAC"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15AE2DB8" w14:textId="77777777" w:rsidR="008E5DE4" w:rsidRDefault="008E5DE4">
            <w:pPr>
              <w:widowControl w:val="0"/>
              <w:pBdr>
                <w:top w:val="nil"/>
                <w:left w:val="nil"/>
                <w:bottom w:val="nil"/>
                <w:right w:val="nil"/>
                <w:between w:val="nil"/>
              </w:pBdr>
              <w:jc w:val="right"/>
              <w:rPr>
                <w:b/>
                <w:color w:val="000000"/>
              </w:rPr>
            </w:pPr>
          </w:p>
        </w:tc>
      </w:tr>
      <w:tr w:rsidR="008E5DE4" w14:paraId="2D623754" w14:textId="77777777">
        <w:trPr>
          <w:cantSplit/>
        </w:trPr>
        <w:tc>
          <w:tcPr>
            <w:tcW w:w="5556" w:type="dxa"/>
            <w:vAlign w:val="bottom"/>
          </w:tcPr>
          <w:p w14:paraId="238339AE" w14:textId="77777777" w:rsidR="008E5DE4" w:rsidRDefault="00780368">
            <w:pPr>
              <w:widowControl w:val="0"/>
              <w:pBdr>
                <w:top w:val="nil"/>
                <w:left w:val="nil"/>
                <w:bottom w:val="nil"/>
                <w:right w:val="nil"/>
                <w:between w:val="nil"/>
              </w:pBdr>
              <w:ind w:left="113" w:right="-57" w:hanging="113"/>
              <w:rPr>
                <w:color w:val="000000"/>
              </w:rPr>
            </w:pPr>
            <w:r>
              <w:rPr>
                <w:color w:val="000000"/>
              </w:rPr>
              <w:t>Earnings/(loss) per preference share for profit/(loss) from continuing operations attributable to the owners of the Company, basic and diluted (in EUR per share)</w:t>
            </w:r>
          </w:p>
        </w:tc>
        <w:tc>
          <w:tcPr>
            <w:tcW w:w="737" w:type="dxa"/>
            <w:vAlign w:val="bottom"/>
          </w:tcPr>
          <w:p w14:paraId="7C487C35" w14:textId="77777777" w:rsidR="008E5DE4" w:rsidRDefault="00780368">
            <w:pPr>
              <w:widowControl w:val="0"/>
              <w:pBdr>
                <w:top w:val="nil"/>
                <w:left w:val="nil"/>
                <w:bottom w:val="nil"/>
                <w:right w:val="nil"/>
                <w:between w:val="nil"/>
              </w:pBdr>
              <w:jc w:val="center"/>
              <w:rPr>
                <w:smallCaps/>
                <w:color w:val="000000"/>
              </w:rPr>
            </w:pPr>
            <w:r>
              <w:rPr>
                <w:smallCaps/>
                <w:color w:val="000000"/>
              </w:rPr>
              <w:t>41</w:t>
            </w:r>
          </w:p>
        </w:tc>
        <w:tc>
          <w:tcPr>
            <w:tcW w:w="1531" w:type="dxa"/>
            <w:vAlign w:val="bottom"/>
          </w:tcPr>
          <w:p w14:paraId="03D1FFB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2A4B7F5F" w14:textId="77777777" w:rsidR="008E5DE4" w:rsidRDefault="008E5DE4">
            <w:pPr>
              <w:widowControl w:val="0"/>
              <w:pBdr>
                <w:top w:val="nil"/>
                <w:left w:val="nil"/>
                <w:bottom w:val="nil"/>
                <w:right w:val="nil"/>
                <w:between w:val="nil"/>
              </w:pBdr>
              <w:jc w:val="right"/>
              <w:rPr>
                <w:b/>
                <w:color w:val="000000"/>
              </w:rPr>
            </w:pPr>
          </w:p>
        </w:tc>
      </w:tr>
      <w:tr w:rsidR="008E5DE4" w14:paraId="35CC16DA" w14:textId="77777777">
        <w:trPr>
          <w:cantSplit/>
        </w:trPr>
        <w:tc>
          <w:tcPr>
            <w:tcW w:w="5556" w:type="dxa"/>
            <w:tcBorders>
              <w:bottom w:val="single" w:sz="12" w:space="0" w:color="000000"/>
            </w:tcBorders>
            <w:vAlign w:val="bottom"/>
          </w:tcPr>
          <w:p w14:paraId="2BF166DC"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bottom w:val="single" w:sz="12" w:space="0" w:color="000000"/>
            </w:tcBorders>
            <w:vAlign w:val="bottom"/>
          </w:tcPr>
          <w:p w14:paraId="6703DB7D"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12" w:space="0" w:color="000000"/>
            </w:tcBorders>
            <w:vAlign w:val="bottom"/>
          </w:tcPr>
          <w:p w14:paraId="1A0834E3"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47E1A036" w14:textId="77777777" w:rsidR="008E5DE4" w:rsidRDefault="008E5DE4">
            <w:pPr>
              <w:widowControl w:val="0"/>
              <w:pBdr>
                <w:top w:val="nil"/>
                <w:left w:val="nil"/>
                <w:bottom w:val="nil"/>
                <w:right w:val="nil"/>
                <w:between w:val="nil"/>
              </w:pBdr>
              <w:jc w:val="right"/>
              <w:rPr>
                <w:b/>
                <w:color w:val="000000"/>
              </w:rPr>
            </w:pPr>
          </w:p>
        </w:tc>
      </w:tr>
      <w:tr w:rsidR="008E5DE4" w14:paraId="65A94579" w14:textId="77777777">
        <w:trPr>
          <w:cantSplit/>
        </w:trPr>
        <w:tc>
          <w:tcPr>
            <w:tcW w:w="5556" w:type="dxa"/>
            <w:tcBorders>
              <w:top w:val="single" w:sz="12" w:space="0" w:color="000000"/>
            </w:tcBorders>
            <w:vAlign w:val="bottom"/>
          </w:tcPr>
          <w:p w14:paraId="71957DDD"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top w:val="single" w:sz="12" w:space="0" w:color="000000"/>
            </w:tcBorders>
            <w:vAlign w:val="bottom"/>
          </w:tcPr>
          <w:p w14:paraId="0F0A6ADE" w14:textId="77777777" w:rsidR="008E5DE4" w:rsidRDefault="008E5DE4">
            <w:pPr>
              <w:widowControl w:val="0"/>
              <w:pBdr>
                <w:top w:val="nil"/>
                <w:left w:val="nil"/>
                <w:bottom w:val="nil"/>
                <w:right w:val="nil"/>
                <w:between w:val="nil"/>
              </w:pBdr>
              <w:jc w:val="center"/>
              <w:rPr>
                <w:smallCaps/>
                <w:color w:val="000000"/>
              </w:rPr>
            </w:pPr>
          </w:p>
        </w:tc>
        <w:tc>
          <w:tcPr>
            <w:tcW w:w="1531" w:type="dxa"/>
            <w:tcBorders>
              <w:top w:val="single" w:sz="12" w:space="0" w:color="000000"/>
            </w:tcBorders>
            <w:vAlign w:val="bottom"/>
          </w:tcPr>
          <w:p w14:paraId="1DB28990"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655414A7" w14:textId="77777777" w:rsidR="008E5DE4" w:rsidRDefault="008E5DE4">
            <w:pPr>
              <w:widowControl w:val="0"/>
              <w:pBdr>
                <w:top w:val="nil"/>
                <w:left w:val="nil"/>
                <w:bottom w:val="nil"/>
                <w:right w:val="nil"/>
                <w:between w:val="nil"/>
              </w:pBdr>
              <w:jc w:val="right"/>
              <w:rPr>
                <w:b/>
                <w:color w:val="000000"/>
              </w:rPr>
            </w:pPr>
          </w:p>
        </w:tc>
      </w:tr>
      <w:tr w:rsidR="008E5DE4" w14:paraId="73E13830" w14:textId="77777777">
        <w:trPr>
          <w:cantSplit/>
        </w:trPr>
        <w:tc>
          <w:tcPr>
            <w:tcW w:w="5556" w:type="dxa"/>
            <w:vAlign w:val="bottom"/>
          </w:tcPr>
          <w:p w14:paraId="29DB27FF" w14:textId="77777777" w:rsidR="008E5DE4" w:rsidRDefault="00780368">
            <w:pPr>
              <w:widowControl w:val="0"/>
              <w:pBdr>
                <w:top w:val="nil"/>
                <w:left w:val="nil"/>
                <w:bottom w:val="nil"/>
                <w:right w:val="nil"/>
                <w:between w:val="nil"/>
              </w:pBdr>
              <w:ind w:left="113" w:right="-57" w:hanging="113"/>
              <w:rPr>
                <w:color w:val="000000"/>
              </w:rPr>
            </w:pPr>
            <w:r>
              <w:rPr>
                <w:color w:val="000000"/>
              </w:rPr>
              <w:t>Earnings/(loss) per preference share for profit/(loss) from discontinued operations attributable to the owners of the Company, basic and diluted (in EUR per share)</w:t>
            </w:r>
          </w:p>
        </w:tc>
        <w:tc>
          <w:tcPr>
            <w:tcW w:w="737" w:type="dxa"/>
            <w:vAlign w:val="bottom"/>
          </w:tcPr>
          <w:p w14:paraId="579A30D6" w14:textId="77777777" w:rsidR="008E5DE4" w:rsidRDefault="00780368">
            <w:pPr>
              <w:widowControl w:val="0"/>
              <w:pBdr>
                <w:top w:val="nil"/>
                <w:left w:val="nil"/>
                <w:bottom w:val="nil"/>
                <w:right w:val="nil"/>
                <w:between w:val="nil"/>
              </w:pBdr>
              <w:jc w:val="center"/>
              <w:rPr>
                <w:smallCaps/>
                <w:color w:val="000000"/>
              </w:rPr>
            </w:pPr>
            <w:r>
              <w:rPr>
                <w:smallCaps/>
                <w:color w:val="000000"/>
              </w:rPr>
              <w:t>41</w:t>
            </w:r>
          </w:p>
        </w:tc>
        <w:tc>
          <w:tcPr>
            <w:tcW w:w="1531" w:type="dxa"/>
            <w:vAlign w:val="bottom"/>
          </w:tcPr>
          <w:p w14:paraId="51505B5B"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2CD9531" w14:textId="77777777" w:rsidR="008E5DE4" w:rsidRDefault="008E5DE4">
            <w:pPr>
              <w:widowControl w:val="0"/>
              <w:pBdr>
                <w:top w:val="nil"/>
                <w:left w:val="nil"/>
                <w:bottom w:val="nil"/>
                <w:right w:val="nil"/>
                <w:between w:val="nil"/>
              </w:pBdr>
              <w:jc w:val="right"/>
              <w:rPr>
                <w:b/>
                <w:color w:val="000000"/>
              </w:rPr>
            </w:pPr>
          </w:p>
        </w:tc>
      </w:tr>
      <w:tr w:rsidR="008E5DE4" w14:paraId="1B67F511" w14:textId="77777777">
        <w:trPr>
          <w:cantSplit/>
        </w:trPr>
        <w:tc>
          <w:tcPr>
            <w:tcW w:w="5556" w:type="dxa"/>
            <w:tcBorders>
              <w:bottom w:val="single" w:sz="12" w:space="0" w:color="000000"/>
            </w:tcBorders>
            <w:vAlign w:val="bottom"/>
          </w:tcPr>
          <w:p w14:paraId="22357CE7"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bottom w:val="single" w:sz="12" w:space="0" w:color="000000"/>
            </w:tcBorders>
            <w:vAlign w:val="bottom"/>
          </w:tcPr>
          <w:p w14:paraId="7905804F"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12" w:space="0" w:color="000000"/>
            </w:tcBorders>
            <w:vAlign w:val="bottom"/>
          </w:tcPr>
          <w:p w14:paraId="63184118"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3486333A" w14:textId="77777777" w:rsidR="008E5DE4" w:rsidRDefault="008E5DE4">
            <w:pPr>
              <w:widowControl w:val="0"/>
              <w:pBdr>
                <w:top w:val="nil"/>
                <w:left w:val="nil"/>
                <w:bottom w:val="nil"/>
                <w:right w:val="nil"/>
                <w:between w:val="nil"/>
              </w:pBdr>
              <w:jc w:val="right"/>
              <w:rPr>
                <w:b/>
                <w:color w:val="000000"/>
              </w:rPr>
            </w:pPr>
          </w:p>
        </w:tc>
      </w:tr>
    </w:tbl>
    <w:p w14:paraId="0382E248" w14:textId="77777777" w:rsidR="008E5DE4" w:rsidRDefault="008E5DE4">
      <w:pPr>
        <w:widowControl w:val="0"/>
        <w:pBdr>
          <w:top w:val="nil"/>
          <w:left w:val="nil"/>
          <w:bottom w:val="nil"/>
          <w:right w:val="nil"/>
          <w:between w:val="nil"/>
        </w:pBdr>
        <w:spacing w:before="200" w:after="200"/>
        <w:rPr>
          <w:color w:val="000000"/>
          <w:sz w:val="20"/>
          <w:szCs w:val="20"/>
        </w:rPr>
        <w:sectPr w:rsidR="008E5DE4">
          <w:headerReference w:type="default" r:id="rId22"/>
          <w:pgSz w:w="11907" w:h="16840"/>
          <w:pgMar w:top="1418" w:right="851" w:bottom="1134" w:left="1701" w:header="737" w:footer="567" w:gutter="0"/>
          <w:cols w:space="708"/>
        </w:sectPr>
      </w:pPr>
      <w:bookmarkStart w:id="2" w:name="_heading=h.1fob9te" w:colFirst="0" w:colLast="0"/>
      <w:bookmarkEnd w:id="2"/>
    </w:p>
    <w:p w14:paraId="4F2F8B1E" w14:textId="446B030E" w:rsidR="008E5DE4" w:rsidRDefault="008E5DE4">
      <w:pPr>
        <w:widowControl w:val="0"/>
        <w:pBdr>
          <w:top w:val="nil"/>
          <w:left w:val="nil"/>
          <w:bottom w:val="nil"/>
          <w:right w:val="nil"/>
          <w:between w:val="nil"/>
        </w:pBdr>
        <w:spacing w:before="200" w:after="200"/>
        <w:rPr>
          <w:i/>
          <w:color w:val="FF0000"/>
          <w:sz w:val="20"/>
          <w:szCs w:val="20"/>
        </w:rPr>
      </w:pPr>
    </w:p>
    <w:tbl>
      <w:tblPr>
        <w:tblStyle w:val="a2"/>
        <w:tblW w:w="9355" w:type="dxa"/>
        <w:tblLayout w:type="fixed"/>
        <w:tblLook w:val="0000" w:firstRow="0" w:lastRow="0" w:firstColumn="0" w:lastColumn="0" w:noHBand="0" w:noVBand="0"/>
      </w:tblPr>
      <w:tblGrid>
        <w:gridCol w:w="5556"/>
        <w:gridCol w:w="737"/>
        <w:gridCol w:w="1531"/>
        <w:gridCol w:w="1531"/>
      </w:tblGrid>
      <w:tr w:rsidR="008E5DE4" w14:paraId="73B987EC" w14:textId="77777777">
        <w:trPr>
          <w:cantSplit/>
          <w:tblHeader/>
        </w:trPr>
        <w:tc>
          <w:tcPr>
            <w:tcW w:w="5556" w:type="dxa"/>
            <w:tcBorders>
              <w:bottom w:val="single" w:sz="4" w:space="0" w:color="000000"/>
            </w:tcBorders>
            <w:vAlign w:val="bottom"/>
          </w:tcPr>
          <w:p w14:paraId="6DF8E91E"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737" w:type="dxa"/>
            <w:tcBorders>
              <w:bottom w:val="single" w:sz="4" w:space="0" w:color="000000"/>
            </w:tcBorders>
            <w:vAlign w:val="bottom"/>
          </w:tcPr>
          <w:p w14:paraId="01142155" w14:textId="77777777" w:rsidR="008E5DE4" w:rsidRDefault="00780368">
            <w:pPr>
              <w:widowControl w:val="0"/>
              <w:pBdr>
                <w:top w:val="nil"/>
                <w:left w:val="nil"/>
                <w:bottom w:val="nil"/>
                <w:right w:val="nil"/>
                <w:between w:val="nil"/>
              </w:pBdr>
              <w:jc w:val="center"/>
              <w:rPr>
                <w:b/>
                <w:color w:val="000000"/>
              </w:rPr>
            </w:pPr>
            <w:r>
              <w:rPr>
                <w:b/>
                <w:color w:val="000000"/>
              </w:rPr>
              <w:t>Note</w:t>
            </w:r>
          </w:p>
        </w:tc>
        <w:tc>
          <w:tcPr>
            <w:tcW w:w="1531" w:type="dxa"/>
            <w:tcBorders>
              <w:bottom w:val="single" w:sz="4" w:space="0" w:color="000000"/>
            </w:tcBorders>
            <w:vAlign w:val="bottom"/>
          </w:tcPr>
          <w:p w14:paraId="7C4F700C" w14:textId="70CEB75A"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0E8A8914" w14:textId="19D01901"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72046C19" w14:textId="77777777">
        <w:trPr>
          <w:cantSplit/>
          <w:tblHeader/>
        </w:trPr>
        <w:tc>
          <w:tcPr>
            <w:tcW w:w="5556" w:type="dxa"/>
            <w:vAlign w:val="bottom"/>
          </w:tcPr>
          <w:p w14:paraId="2FA069C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vAlign w:val="bottom"/>
          </w:tcPr>
          <w:p w14:paraId="38062F96"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05C6DD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4EF0E4C" w14:textId="77777777" w:rsidR="008E5DE4" w:rsidRDefault="008E5DE4">
            <w:pPr>
              <w:widowControl w:val="0"/>
              <w:pBdr>
                <w:top w:val="nil"/>
                <w:left w:val="nil"/>
                <w:bottom w:val="nil"/>
                <w:right w:val="nil"/>
                <w:between w:val="nil"/>
              </w:pBdr>
              <w:jc w:val="right"/>
              <w:rPr>
                <w:color w:val="000000"/>
              </w:rPr>
            </w:pPr>
          </w:p>
        </w:tc>
      </w:tr>
      <w:tr w:rsidR="008E5DE4" w14:paraId="1287F6E5" w14:textId="77777777">
        <w:trPr>
          <w:cantSplit/>
        </w:trPr>
        <w:tc>
          <w:tcPr>
            <w:tcW w:w="5556" w:type="dxa"/>
            <w:vAlign w:val="bottom"/>
          </w:tcPr>
          <w:p w14:paraId="2EB3E9E7"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[Continuing operations:]</w:t>
            </w:r>
          </w:p>
        </w:tc>
        <w:tc>
          <w:tcPr>
            <w:tcW w:w="737" w:type="dxa"/>
            <w:vAlign w:val="bottom"/>
          </w:tcPr>
          <w:p w14:paraId="47210F45" w14:textId="77777777" w:rsidR="008E5DE4" w:rsidRDefault="008E5DE4">
            <w:pPr>
              <w:widowControl w:val="0"/>
              <w:pBdr>
                <w:top w:val="nil"/>
                <w:left w:val="nil"/>
                <w:bottom w:val="nil"/>
                <w:right w:val="nil"/>
                <w:between w:val="nil"/>
              </w:pBdr>
              <w:jc w:val="center"/>
              <w:rPr>
                <w:i/>
                <w:color w:val="000000"/>
              </w:rPr>
            </w:pPr>
          </w:p>
        </w:tc>
        <w:tc>
          <w:tcPr>
            <w:tcW w:w="1531" w:type="dxa"/>
            <w:vAlign w:val="bottom"/>
          </w:tcPr>
          <w:p w14:paraId="5A53A76D"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564AE6E0" w14:textId="77777777" w:rsidR="008E5DE4" w:rsidRDefault="008E5DE4">
            <w:pPr>
              <w:widowControl w:val="0"/>
              <w:pBdr>
                <w:top w:val="nil"/>
                <w:left w:val="nil"/>
                <w:bottom w:val="nil"/>
                <w:right w:val="nil"/>
                <w:between w:val="nil"/>
              </w:pBdr>
              <w:jc w:val="right"/>
              <w:rPr>
                <w:i/>
                <w:color w:val="000000"/>
              </w:rPr>
            </w:pPr>
          </w:p>
        </w:tc>
      </w:tr>
      <w:tr w:rsidR="008E5DE4" w14:paraId="7644D6B1" w14:textId="77777777">
        <w:trPr>
          <w:cantSplit/>
        </w:trPr>
        <w:tc>
          <w:tcPr>
            <w:tcW w:w="5556" w:type="dxa"/>
            <w:vAlign w:val="bottom"/>
          </w:tcPr>
          <w:p w14:paraId="051768AA"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vAlign w:val="bottom"/>
          </w:tcPr>
          <w:p w14:paraId="6E17017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39F5B6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381D13D" w14:textId="77777777" w:rsidR="008E5DE4" w:rsidRDefault="008E5DE4">
            <w:pPr>
              <w:widowControl w:val="0"/>
              <w:pBdr>
                <w:top w:val="nil"/>
                <w:left w:val="nil"/>
                <w:bottom w:val="nil"/>
                <w:right w:val="nil"/>
                <w:between w:val="nil"/>
              </w:pBdr>
              <w:jc w:val="right"/>
              <w:rPr>
                <w:b/>
                <w:color w:val="000000"/>
              </w:rPr>
            </w:pPr>
          </w:p>
        </w:tc>
      </w:tr>
      <w:tr w:rsidR="008E5DE4" w14:paraId="10C90091" w14:textId="77777777">
        <w:trPr>
          <w:cantSplit/>
        </w:trPr>
        <w:tc>
          <w:tcPr>
            <w:tcW w:w="5556" w:type="dxa"/>
            <w:vAlign w:val="bottom"/>
          </w:tcPr>
          <w:p w14:paraId="49ED33B8" w14:textId="77777777" w:rsidR="008E5DE4" w:rsidRDefault="00780368">
            <w:pPr>
              <w:widowControl w:val="0"/>
              <w:pBdr>
                <w:top w:val="nil"/>
                <w:left w:val="nil"/>
                <w:bottom w:val="nil"/>
                <w:right w:val="nil"/>
                <w:between w:val="nil"/>
              </w:pBdr>
              <w:ind w:left="113" w:right="-57" w:hanging="113"/>
              <w:rPr>
                <w:b/>
                <w:color w:val="000000"/>
              </w:rPr>
            </w:pPr>
            <w:r>
              <w:rPr>
                <w:b/>
                <w:color w:val="000000"/>
              </w:rPr>
              <w:t>Revenue from contracts with customers</w:t>
            </w:r>
          </w:p>
        </w:tc>
        <w:tc>
          <w:tcPr>
            <w:tcW w:w="737" w:type="dxa"/>
            <w:vAlign w:val="bottom"/>
          </w:tcPr>
          <w:p w14:paraId="2BE5F795"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3057CB86"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3279697" w14:textId="77777777" w:rsidR="008E5DE4" w:rsidRDefault="008E5DE4">
            <w:pPr>
              <w:widowControl w:val="0"/>
              <w:pBdr>
                <w:top w:val="nil"/>
                <w:left w:val="nil"/>
                <w:bottom w:val="nil"/>
                <w:right w:val="nil"/>
                <w:between w:val="nil"/>
              </w:pBdr>
              <w:jc w:val="right"/>
              <w:rPr>
                <w:b/>
                <w:color w:val="000000"/>
              </w:rPr>
            </w:pPr>
          </w:p>
        </w:tc>
      </w:tr>
      <w:tr w:rsidR="008E5DE4" w14:paraId="6AFA5AF8" w14:textId="77777777">
        <w:trPr>
          <w:cantSplit/>
        </w:trPr>
        <w:tc>
          <w:tcPr>
            <w:tcW w:w="5556" w:type="dxa"/>
            <w:vAlign w:val="bottom"/>
          </w:tcPr>
          <w:p w14:paraId="0A2768C3" w14:textId="77777777" w:rsidR="008E5DE4" w:rsidRDefault="00780368">
            <w:pPr>
              <w:widowControl w:val="0"/>
              <w:pBdr>
                <w:top w:val="nil"/>
                <w:left w:val="nil"/>
                <w:bottom w:val="nil"/>
                <w:right w:val="nil"/>
                <w:between w:val="nil"/>
              </w:pBdr>
              <w:ind w:left="113" w:right="-57" w:hanging="113"/>
              <w:rPr>
                <w:color w:val="000000"/>
              </w:rPr>
            </w:pPr>
            <w:r>
              <w:rPr>
                <w:color w:val="000000"/>
              </w:rPr>
              <w:t>Rental income from investment properties</w:t>
            </w:r>
          </w:p>
        </w:tc>
        <w:tc>
          <w:tcPr>
            <w:tcW w:w="737" w:type="dxa"/>
            <w:vAlign w:val="bottom"/>
          </w:tcPr>
          <w:p w14:paraId="24EAA927" w14:textId="77777777" w:rsidR="008E5DE4" w:rsidRDefault="00780368">
            <w:pPr>
              <w:widowControl w:val="0"/>
              <w:pBdr>
                <w:top w:val="nil"/>
                <w:left w:val="nil"/>
                <w:bottom w:val="nil"/>
                <w:right w:val="nil"/>
                <w:between w:val="nil"/>
              </w:pBdr>
              <w:jc w:val="center"/>
              <w:rPr>
                <w:color w:val="000000"/>
              </w:rPr>
            </w:pPr>
            <w:r>
              <w:rPr>
                <w:color w:val="000000"/>
              </w:rPr>
              <w:t>10</w:t>
            </w:r>
          </w:p>
        </w:tc>
        <w:tc>
          <w:tcPr>
            <w:tcW w:w="1531" w:type="dxa"/>
            <w:vAlign w:val="bottom"/>
          </w:tcPr>
          <w:p w14:paraId="59680C5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7AF4BC4" w14:textId="77777777" w:rsidR="008E5DE4" w:rsidRDefault="008E5DE4">
            <w:pPr>
              <w:widowControl w:val="0"/>
              <w:pBdr>
                <w:top w:val="nil"/>
                <w:left w:val="nil"/>
                <w:bottom w:val="nil"/>
                <w:right w:val="nil"/>
                <w:between w:val="nil"/>
              </w:pBdr>
              <w:jc w:val="right"/>
              <w:rPr>
                <w:color w:val="000000"/>
              </w:rPr>
            </w:pPr>
          </w:p>
        </w:tc>
      </w:tr>
      <w:tr w:rsidR="008E5DE4" w14:paraId="057A63E6" w14:textId="77777777">
        <w:trPr>
          <w:cantSplit/>
        </w:trPr>
        <w:tc>
          <w:tcPr>
            <w:tcW w:w="5556" w:type="dxa"/>
            <w:vAlign w:val="bottom"/>
          </w:tcPr>
          <w:p w14:paraId="2180C1D9" w14:textId="77777777" w:rsidR="008E5DE4" w:rsidRDefault="00780368">
            <w:pPr>
              <w:widowControl w:val="0"/>
              <w:pBdr>
                <w:top w:val="nil"/>
                <w:left w:val="nil"/>
                <w:bottom w:val="nil"/>
                <w:right w:val="nil"/>
                <w:between w:val="nil"/>
              </w:pBdr>
              <w:ind w:left="113" w:right="-57" w:hanging="113"/>
              <w:rPr>
                <w:color w:val="000000"/>
              </w:rPr>
            </w:pPr>
            <w:r>
              <w:rPr>
                <w:color w:val="000000"/>
              </w:rPr>
              <w:t>Rental income from equipment leased to customers</w:t>
            </w:r>
          </w:p>
        </w:tc>
        <w:tc>
          <w:tcPr>
            <w:tcW w:w="737" w:type="dxa"/>
            <w:vAlign w:val="bottom"/>
          </w:tcPr>
          <w:p w14:paraId="63996F15" w14:textId="77777777" w:rsidR="008E5DE4" w:rsidRDefault="00780368">
            <w:pPr>
              <w:widowControl w:val="0"/>
              <w:pBdr>
                <w:top w:val="nil"/>
                <w:left w:val="nil"/>
                <w:bottom w:val="nil"/>
                <w:right w:val="nil"/>
                <w:between w:val="nil"/>
              </w:pBdr>
              <w:jc w:val="center"/>
              <w:rPr>
                <w:color w:val="000000"/>
              </w:rPr>
            </w:pPr>
            <w:r>
              <w:rPr>
                <w:color w:val="000000"/>
              </w:rPr>
              <w:t>9</w:t>
            </w:r>
          </w:p>
        </w:tc>
        <w:tc>
          <w:tcPr>
            <w:tcW w:w="1531" w:type="dxa"/>
            <w:vAlign w:val="bottom"/>
          </w:tcPr>
          <w:p w14:paraId="10475CE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C3254B" w14:textId="77777777" w:rsidR="008E5DE4" w:rsidRDefault="008E5DE4">
            <w:pPr>
              <w:widowControl w:val="0"/>
              <w:pBdr>
                <w:top w:val="nil"/>
                <w:left w:val="nil"/>
                <w:bottom w:val="nil"/>
                <w:right w:val="nil"/>
                <w:between w:val="nil"/>
              </w:pBdr>
              <w:jc w:val="right"/>
              <w:rPr>
                <w:color w:val="000000"/>
              </w:rPr>
            </w:pPr>
          </w:p>
        </w:tc>
      </w:tr>
      <w:tr w:rsidR="008E5DE4" w14:paraId="67BFE90F" w14:textId="77777777">
        <w:trPr>
          <w:cantSplit/>
        </w:trPr>
        <w:tc>
          <w:tcPr>
            <w:tcW w:w="5556" w:type="dxa"/>
            <w:vAlign w:val="bottom"/>
          </w:tcPr>
          <w:p w14:paraId="43572421" w14:textId="77777777" w:rsidR="008E5DE4" w:rsidRDefault="00780368">
            <w:pPr>
              <w:widowControl w:val="0"/>
              <w:pBdr>
                <w:top w:val="nil"/>
                <w:left w:val="nil"/>
                <w:bottom w:val="nil"/>
                <w:right w:val="nil"/>
                <w:between w:val="nil"/>
              </w:pBdr>
              <w:ind w:left="113" w:right="-57" w:hanging="113"/>
              <w:rPr>
                <w:color w:val="000000"/>
              </w:rPr>
            </w:pPr>
            <w:r>
              <w:rPr>
                <w:color w:val="000000"/>
              </w:rPr>
              <w:t>Finance lease income</w:t>
            </w:r>
          </w:p>
        </w:tc>
        <w:tc>
          <w:tcPr>
            <w:tcW w:w="737" w:type="dxa"/>
            <w:vAlign w:val="bottom"/>
          </w:tcPr>
          <w:p w14:paraId="0111DAF6" w14:textId="77777777" w:rsidR="008E5DE4" w:rsidRDefault="00780368">
            <w:pPr>
              <w:widowControl w:val="0"/>
              <w:pBdr>
                <w:top w:val="nil"/>
                <w:left w:val="nil"/>
                <w:bottom w:val="nil"/>
                <w:right w:val="nil"/>
                <w:between w:val="nil"/>
              </w:pBdr>
              <w:jc w:val="center"/>
              <w:rPr>
                <w:color w:val="000000"/>
              </w:rPr>
            </w:pPr>
            <w:r>
              <w:rPr>
                <w:color w:val="000000"/>
              </w:rPr>
              <w:t>15</w:t>
            </w:r>
          </w:p>
        </w:tc>
        <w:tc>
          <w:tcPr>
            <w:tcW w:w="1531" w:type="dxa"/>
            <w:vAlign w:val="bottom"/>
          </w:tcPr>
          <w:p w14:paraId="2509C21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267EB70" w14:textId="77777777" w:rsidR="008E5DE4" w:rsidRDefault="008E5DE4">
            <w:pPr>
              <w:widowControl w:val="0"/>
              <w:pBdr>
                <w:top w:val="nil"/>
                <w:left w:val="nil"/>
                <w:bottom w:val="nil"/>
                <w:right w:val="nil"/>
                <w:between w:val="nil"/>
              </w:pBdr>
              <w:jc w:val="right"/>
              <w:rPr>
                <w:color w:val="000000"/>
              </w:rPr>
            </w:pPr>
          </w:p>
        </w:tc>
      </w:tr>
      <w:tr w:rsidR="008E5DE4" w14:paraId="1870342F" w14:textId="77777777">
        <w:trPr>
          <w:cantSplit/>
        </w:trPr>
        <w:tc>
          <w:tcPr>
            <w:tcW w:w="5556" w:type="dxa"/>
            <w:vAlign w:val="bottom"/>
          </w:tcPr>
          <w:p w14:paraId="485CE3F1" w14:textId="1BAA3316" w:rsidR="008E5DE4" w:rsidRDefault="00780368">
            <w:pPr>
              <w:widowControl w:val="0"/>
              <w:pBdr>
                <w:top w:val="nil"/>
                <w:left w:val="nil"/>
                <w:bottom w:val="nil"/>
                <w:right w:val="nil"/>
                <w:between w:val="nil"/>
              </w:pBdr>
              <w:ind w:left="113" w:right="-57" w:hanging="113"/>
              <w:rPr>
                <w:color w:val="000000"/>
              </w:rPr>
            </w:pPr>
            <w:r>
              <w:rPr>
                <w:color w:val="000000"/>
              </w:rPr>
              <w:t>Interest revenue calculated using the effective interest method</w:t>
            </w:r>
          </w:p>
        </w:tc>
        <w:tc>
          <w:tcPr>
            <w:tcW w:w="737" w:type="dxa"/>
            <w:vAlign w:val="bottom"/>
          </w:tcPr>
          <w:p w14:paraId="2EA1748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300796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43DF86D" w14:textId="77777777" w:rsidR="008E5DE4" w:rsidRDefault="008E5DE4">
            <w:pPr>
              <w:widowControl w:val="0"/>
              <w:pBdr>
                <w:top w:val="nil"/>
                <w:left w:val="nil"/>
                <w:bottom w:val="nil"/>
                <w:right w:val="nil"/>
                <w:between w:val="nil"/>
              </w:pBdr>
              <w:jc w:val="right"/>
              <w:rPr>
                <w:color w:val="000000"/>
              </w:rPr>
            </w:pPr>
          </w:p>
        </w:tc>
      </w:tr>
      <w:tr w:rsidR="008E5DE4" w14:paraId="341D7305" w14:textId="77777777">
        <w:trPr>
          <w:cantSplit/>
        </w:trPr>
        <w:tc>
          <w:tcPr>
            <w:tcW w:w="5556" w:type="dxa"/>
            <w:vAlign w:val="bottom"/>
          </w:tcPr>
          <w:p w14:paraId="238EBD9A" w14:textId="77777777" w:rsidR="008E5DE4" w:rsidRDefault="00780368">
            <w:pPr>
              <w:widowControl w:val="0"/>
              <w:pBdr>
                <w:top w:val="nil"/>
                <w:left w:val="nil"/>
                <w:bottom w:val="nil"/>
                <w:right w:val="nil"/>
                <w:between w:val="nil"/>
              </w:pBdr>
              <w:ind w:left="113" w:right="-57" w:hanging="113"/>
              <w:rPr>
                <w:color w:val="000000"/>
              </w:rPr>
            </w:pPr>
            <w:r>
              <w:rPr>
                <w:color w:val="000000"/>
              </w:rPr>
              <w:t>Other income</w:t>
            </w:r>
          </w:p>
        </w:tc>
        <w:tc>
          <w:tcPr>
            <w:tcW w:w="737" w:type="dxa"/>
            <w:vAlign w:val="bottom"/>
          </w:tcPr>
          <w:p w14:paraId="360C7E35"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1852991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3C8A98E" w14:textId="77777777" w:rsidR="008E5DE4" w:rsidRDefault="008E5DE4">
            <w:pPr>
              <w:widowControl w:val="0"/>
              <w:pBdr>
                <w:top w:val="nil"/>
                <w:left w:val="nil"/>
                <w:bottom w:val="nil"/>
                <w:right w:val="nil"/>
                <w:between w:val="nil"/>
              </w:pBdr>
              <w:jc w:val="right"/>
              <w:rPr>
                <w:color w:val="000000"/>
              </w:rPr>
            </w:pPr>
          </w:p>
        </w:tc>
      </w:tr>
      <w:tr w:rsidR="008E5DE4" w14:paraId="1709C326" w14:textId="77777777">
        <w:trPr>
          <w:cantSplit/>
        </w:trPr>
        <w:tc>
          <w:tcPr>
            <w:tcW w:w="5556" w:type="dxa"/>
            <w:vAlign w:val="bottom"/>
          </w:tcPr>
          <w:p w14:paraId="68D256C3"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inventories of finished goods and work in progress</w:t>
            </w:r>
          </w:p>
        </w:tc>
        <w:tc>
          <w:tcPr>
            <w:tcW w:w="737" w:type="dxa"/>
            <w:vAlign w:val="bottom"/>
          </w:tcPr>
          <w:p w14:paraId="68576FC6"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D67DF3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4EB041F" w14:textId="77777777" w:rsidR="008E5DE4" w:rsidRDefault="008E5DE4">
            <w:pPr>
              <w:widowControl w:val="0"/>
              <w:pBdr>
                <w:top w:val="nil"/>
                <w:left w:val="nil"/>
                <w:bottom w:val="nil"/>
                <w:right w:val="nil"/>
                <w:between w:val="nil"/>
              </w:pBdr>
              <w:jc w:val="right"/>
              <w:rPr>
                <w:color w:val="000000"/>
              </w:rPr>
            </w:pPr>
          </w:p>
        </w:tc>
      </w:tr>
      <w:tr w:rsidR="008E5DE4" w14:paraId="446721B7" w14:textId="77777777">
        <w:trPr>
          <w:cantSplit/>
        </w:trPr>
        <w:tc>
          <w:tcPr>
            <w:tcW w:w="5556" w:type="dxa"/>
            <w:vAlign w:val="bottom"/>
          </w:tcPr>
          <w:p w14:paraId="6C9050E2" w14:textId="77777777" w:rsidR="008E5DE4" w:rsidRDefault="00780368">
            <w:pPr>
              <w:widowControl w:val="0"/>
              <w:pBdr>
                <w:top w:val="nil"/>
                <w:left w:val="nil"/>
                <w:bottom w:val="nil"/>
                <w:right w:val="nil"/>
                <w:between w:val="nil"/>
              </w:pBdr>
              <w:ind w:left="113" w:right="-57" w:hanging="113"/>
              <w:rPr>
                <w:color w:val="000000"/>
              </w:rPr>
            </w:pPr>
            <w:r>
              <w:rPr>
                <w:color w:val="000000"/>
              </w:rPr>
              <w:t>Raw materials and consumables used</w:t>
            </w:r>
          </w:p>
        </w:tc>
        <w:tc>
          <w:tcPr>
            <w:tcW w:w="737" w:type="dxa"/>
            <w:vAlign w:val="bottom"/>
          </w:tcPr>
          <w:p w14:paraId="777BE443"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6F0C96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E6BB0B7" w14:textId="77777777" w:rsidR="008E5DE4" w:rsidRDefault="008E5DE4">
            <w:pPr>
              <w:widowControl w:val="0"/>
              <w:pBdr>
                <w:top w:val="nil"/>
                <w:left w:val="nil"/>
                <w:bottom w:val="nil"/>
                <w:right w:val="nil"/>
                <w:between w:val="nil"/>
              </w:pBdr>
              <w:jc w:val="right"/>
              <w:rPr>
                <w:color w:val="000000"/>
              </w:rPr>
            </w:pPr>
          </w:p>
        </w:tc>
      </w:tr>
      <w:tr w:rsidR="008E5DE4" w14:paraId="74AF97A5" w14:textId="77777777">
        <w:trPr>
          <w:cantSplit/>
        </w:trPr>
        <w:tc>
          <w:tcPr>
            <w:tcW w:w="5556" w:type="dxa"/>
            <w:vAlign w:val="bottom"/>
          </w:tcPr>
          <w:p w14:paraId="43853D07" w14:textId="77777777" w:rsidR="008E5DE4" w:rsidRDefault="00780368">
            <w:pPr>
              <w:widowControl w:val="0"/>
              <w:pBdr>
                <w:top w:val="nil"/>
                <w:left w:val="nil"/>
                <w:bottom w:val="nil"/>
                <w:right w:val="nil"/>
                <w:between w:val="nil"/>
              </w:pBdr>
              <w:ind w:left="113" w:right="-57" w:hanging="113"/>
              <w:rPr>
                <w:color w:val="000000"/>
              </w:rPr>
            </w:pPr>
            <w:r>
              <w:rPr>
                <w:color w:val="000000"/>
              </w:rPr>
              <w:t>Employee benefits expense</w:t>
            </w:r>
          </w:p>
        </w:tc>
        <w:tc>
          <w:tcPr>
            <w:tcW w:w="737" w:type="dxa"/>
            <w:vAlign w:val="bottom"/>
          </w:tcPr>
          <w:p w14:paraId="6982FD5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13D337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3EB4B2C" w14:textId="77777777" w:rsidR="008E5DE4" w:rsidRDefault="008E5DE4">
            <w:pPr>
              <w:widowControl w:val="0"/>
              <w:pBdr>
                <w:top w:val="nil"/>
                <w:left w:val="nil"/>
                <w:bottom w:val="nil"/>
                <w:right w:val="nil"/>
                <w:between w:val="nil"/>
              </w:pBdr>
              <w:jc w:val="right"/>
              <w:rPr>
                <w:color w:val="000000"/>
              </w:rPr>
            </w:pPr>
          </w:p>
        </w:tc>
      </w:tr>
      <w:tr w:rsidR="008E5DE4" w14:paraId="2CAE2BEE" w14:textId="77777777">
        <w:trPr>
          <w:cantSplit/>
        </w:trPr>
        <w:tc>
          <w:tcPr>
            <w:tcW w:w="5556" w:type="dxa"/>
            <w:vAlign w:val="bottom"/>
          </w:tcPr>
          <w:p w14:paraId="0F598BC8" w14:textId="77777777" w:rsidR="008E5DE4" w:rsidRDefault="00780368">
            <w:pPr>
              <w:widowControl w:val="0"/>
              <w:pBdr>
                <w:top w:val="nil"/>
                <w:left w:val="nil"/>
                <w:bottom w:val="nil"/>
                <w:right w:val="nil"/>
                <w:between w:val="nil"/>
              </w:pBdr>
              <w:ind w:left="113" w:right="-57" w:hanging="113"/>
              <w:rPr>
                <w:color w:val="000000"/>
              </w:rPr>
            </w:pPr>
            <w:r>
              <w:rPr>
                <w:color w:val="000000"/>
              </w:rPr>
              <w:t>Depreciation of property, plant and equipment</w:t>
            </w:r>
          </w:p>
        </w:tc>
        <w:tc>
          <w:tcPr>
            <w:tcW w:w="737" w:type="dxa"/>
            <w:vAlign w:val="bottom"/>
          </w:tcPr>
          <w:p w14:paraId="79542E6D"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2D86035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93AB7E9" w14:textId="77777777" w:rsidR="008E5DE4" w:rsidRDefault="008E5DE4">
            <w:pPr>
              <w:widowControl w:val="0"/>
              <w:pBdr>
                <w:top w:val="nil"/>
                <w:left w:val="nil"/>
                <w:bottom w:val="nil"/>
                <w:right w:val="nil"/>
                <w:between w:val="nil"/>
              </w:pBdr>
              <w:jc w:val="right"/>
              <w:rPr>
                <w:color w:val="000000"/>
              </w:rPr>
            </w:pPr>
          </w:p>
        </w:tc>
      </w:tr>
      <w:tr w:rsidR="008E5DE4" w14:paraId="03547418" w14:textId="77777777">
        <w:trPr>
          <w:cantSplit/>
        </w:trPr>
        <w:tc>
          <w:tcPr>
            <w:tcW w:w="5556" w:type="dxa"/>
            <w:vAlign w:val="bottom"/>
          </w:tcPr>
          <w:p w14:paraId="30D80B79" w14:textId="77777777" w:rsidR="008E5DE4" w:rsidRDefault="00780368">
            <w:pPr>
              <w:widowControl w:val="0"/>
              <w:pBdr>
                <w:top w:val="nil"/>
                <w:left w:val="nil"/>
                <w:bottom w:val="nil"/>
                <w:right w:val="nil"/>
                <w:between w:val="nil"/>
              </w:pBdr>
              <w:ind w:left="113" w:right="-57" w:hanging="113"/>
              <w:rPr>
                <w:color w:val="000000"/>
              </w:rPr>
            </w:pPr>
            <w:r>
              <w:rPr>
                <w:color w:val="000000"/>
              </w:rPr>
              <w:t>Impairment of property, plant and equipment</w:t>
            </w:r>
          </w:p>
        </w:tc>
        <w:tc>
          <w:tcPr>
            <w:tcW w:w="737" w:type="dxa"/>
            <w:vAlign w:val="bottom"/>
          </w:tcPr>
          <w:p w14:paraId="6B3CFBC5"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D93941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1A573B3" w14:textId="77777777" w:rsidR="008E5DE4" w:rsidRDefault="008E5DE4">
            <w:pPr>
              <w:widowControl w:val="0"/>
              <w:pBdr>
                <w:top w:val="nil"/>
                <w:left w:val="nil"/>
                <w:bottom w:val="nil"/>
                <w:right w:val="nil"/>
                <w:between w:val="nil"/>
              </w:pBdr>
              <w:jc w:val="right"/>
              <w:rPr>
                <w:color w:val="000000"/>
              </w:rPr>
            </w:pPr>
          </w:p>
        </w:tc>
      </w:tr>
      <w:tr w:rsidR="008E5DE4" w14:paraId="2E2A06AF" w14:textId="77777777">
        <w:trPr>
          <w:cantSplit/>
        </w:trPr>
        <w:tc>
          <w:tcPr>
            <w:tcW w:w="5556" w:type="dxa"/>
            <w:vAlign w:val="bottom"/>
          </w:tcPr>
          <w:p w14:paraId="59F67CEE" w14:textId="77777777" w:rsidR="008E5DE4" w:rsidRDefault="00780368">
            <w:pPr>
              <w:widowControl w:val="0"/>
              <w:pBdr>
                <w:top w:val="nil"/>
                <w:left w:val="nil"/>
                <w:bottom w:val="nil"/>
                <w:right w:val="nil"/>
                <w:between w:val="nil"/>
              </w:pBdr>
              <w:ind w:left="113" w:right="-57" w:hanging="113"/>
              <w:rPr>
                <w:color w:val="000000"/>
              </w:rPr>
            </w:pPr>
            <w:r>
              <w:rPr>
                <w:color w:val="000000"/>
              </w:rPr>
              <w:t>Impairment of goodwill</w:t>
            </w:r>
          </w:p>
        </w:tc>
        <w:tc>
          <w:tcPr>
            <w:tcW w:w="737" w:type="dxa"/>
            <w:vAlign w:val="bottom"/>
          </w:tcPr>
          <w:p w14:paraId="6023A9DA"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337F68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4FA3759" w14:textId="77777777" w:rsidR="008E5DE4" w:rsidRDefault="008E5DE4">
            <w:pPr>
              <w:widowControl w:val="0"/>
              <w:pBdr>
                <w:top w:val="nil"/>
                <w:left w:val="nil"/>
                <w:bottom w:val="nil"/>
                <w:right w:val="nil"/>
                <w:between w:val="nil"/>
              </w:pBdr>
              <w:jc w:val="right"/>
              <w:rPr>
                <w:color w:val="000000"/>
              </w:rPr>
            </w:pPr>
          </w:p>
        </w:tc>
      </w:tr>
      <w:tr w:rsidR="008E5DE4" w14:paraId="5B7900CD" w14:textId="77777777">
        <w:trPr>
          <w:cantSplit/>
        </w:trPr>
        <w:tc>
          <w:tcPr>
            <w:tcW w:w="5556" w:type="dxa"/>
            <w:vAlign w:val="bottom"/>
          </w:tcPr>
          <w:p w14:paraId="1D4F27A4" w14:textId="77777777" w:rsidR="008E5DE4" w:rsidRDefault="00780368">
            <w:pPr>
              <w:widowControl w:val="0"/>
              <w:pBdr>
                <w:top w:val="nil"/>
                <w:left w:val="nil"/>
                <w:bottom w:val="nil"/>
                <w:right w:val="nil"/>
                <w:between w:val="nil"/>
              </w:pBdr>
              <w:ind w:left="113" w:right="-57" w:hanging="113"/>
              <w:rPr>
                <w:color w:val="000000"/>
              </w:rPr>
            </w:pPr>
            <w:r>
              <w:rPr>
                <w:color w:val="000000"/>
              </w:rPr>
              <w:t>Net impairment losses on financial and contract assets</w:t>
            </w:r>
          </w:p>
        </w:tc>
        <w:tc>
          <w:tcPr>
            <w:tcW w:w="737" w:type="dxa"/>
            <w:vAlign w:val="bottom"/>
          </w:tcPr>
          <w:p w14:paraId="00B07DAC"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DD1E0B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7A68CEB" w14:textId="77777777" w:rsidR="008E5DE4" w:rsidRDefault="008E5DE4">
            <w:pPr>
              <w:widowControl w:val="0"/>
              <w:pBdr>
                <w:top w:val="nil"/>
                <w:left w:val="nil"/>
                <w:bottom w:val="nil"/>
                <w:right w:val="nil"/>
                <w:between w:val="nil"/>
              </w:pBdr>
              <w:jc w:val="right"/>
              <w:rPr>
                <w:color w:val="000000"/>
              </w:rPr>
            </w:pPr>
          </w:p>
        </w:tc>
      </w:tr>
      <w:tr w:rsidR="008E5DE4" w14:paraId="42FCFBCA" w14:textId="77777777">
        <w:trPr>
          <w:cantSplit/>
        </w:trPr>
        <w:tc>
          <w:tcPr>
            <w:tcW w:w="5556" w:type="dxa"/>
            <w:vAlign w:val="bottom"/>
          </w:tcPr>
          <w:p w14:paraId="4C20B082" w14:textId="3E1FAF1C" w:rsidR="008E5DE4" w:rsidRDefault="00780368">
            <w:pPr>
              <w:widowControl w:val="0"/>
              <w:pBdr>
                <w:top w:val="nil"/>
                <w:left w:val="nil"/>
                <w:bottom w:val="nil"/>
                <w:right w:val="nil"/>
                <w:between w:val="nil"/>
              </w:pBdr>
              <w:ind w:left="113" w:right="-57" w:hanging="113"/>
              <w:rPr>
                <w:color w:val="000000"/>
              </w:rPr>
            </w:pPr>
            <w:r>
              <w:rPr>
                <w:color w:val="000000"/>
              </w:rPr>
              <w:t>Services</w:t>
            </w:r>
          </w:p>
        </w:tc>
        <w:tc>
          <w:tcPr>
            <w:tcW w:w="737" w:type="dxa"/>
            <w:vAlign w:val="bottom"/>
          </w:tcPr>
          <w:p w14:paraId="1D20449E"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79F52F9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E30D8E1" w14:textId="77777777" w:rsidR="008E5DE4" w:rsidRDefault="008E5DE4">
            <w:pPr>
              <w:widowControl w:val="0"/>
              <w:pBdr>
                <w:top w:val="nil"/>
                <w:left w:val="nil"/>
                <w:bottom w:val="nil"/>
                <w:right w:val="nil"/>
                <w:between w:val="nil"/>
              </w:pBdr>
              <w:jc w:val="right"/>
              <w:rPr>
                <w:color w:val="000000"/>
              </w:rPr>
            </w:pPr>
          </w:p>
        </w:tc>
      </w:tr>
      <w:tr w:rsidR="008E5DE4" w14:paraId="3004D621" w14:textId="77777777">
        <w:trPr>
          <w:cantSplit/>
        </w:trPr>
        <w:tc>
          <w:tcPr>
            <w:tcW w:w="5556" w:type="dxa"/>
            <w:vAlign w:val="bottom"/>
          </w:tcPr>
          <w:p w14:paraId="7E545C3B"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Gain </w:t>
            </w:r>
            <w:r>
              <w:rPr>
                <w:color w:val="0000FF"/>
              </w:rPr>
              <w:t>[Loss]</w:t>
            </w:r>
            <w:r>
              <w:rPr>
                <w:color w:val="000000"/>
              </w:rPr>
              <w:t xml:space="preserve"> on sale of a subsidiary</w:t>
            </w:r>
          </w:p>
        </w:tc>
        <w:tc>
          <w:tcPr>
            <w:tcW w:w="737" w:type="dxa"/>
            <w:vAlign w:val="bottom"/>
          </w:tcPr>
          <w:p w14:paraId="05633A33" w14:textId="77777777" w:rsidR="008E5DE4" w:rsidRDefault="00780368">
            <w:pPr>
              <w:widowControl w:val="0"/>
              <w:pBdr>
                <w:top w:val="nil"/>
                <w:left w:val="nil"/>
                <w:bottom w:val="nil"/>
                <w:right w:val="nil"/>
                <w:between w:val="nil"/>
              </w:pBdr>
              <w:jc w:val="center"/>
              <w:rPr>
                <w:color w:val="000000"/>
              </w:rPr>
            </w:pPr>
            <w:r>
              <w:rPr>
                <w:color w:val="000000"/>
              </w:rPr>
              <w:t>25</w:t>
            </w:r>
          </w:p>
        </w:tc>
        <w:tc>
          <w:tcPr>
            <w:tcW w:w="1531" w:type="dxa"/>
            <w:vAlign w:val="bottom"/>
          </w:tcPr>
          <w:p w14:paraId="4ABC664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8ABC081" w14:textId="77777777" w:rsidR="008E5DE4" w:rsidRDefault="008E5DE4">
            <w:pPr>
              <w:widowControl w:val="0"/>
              <w:pBdr>
                <w:top w:val="nil"/>
                <w:left w:val="nil"/>
                <w:bottom w:val="nil"/>
                <w:right w:val="nil"/>
                <w:between w:val="nil"/>
              </w:pBdr>
              <w:jc w:val="right"/>
              <w:rPr>
                <w:color w:val="000000"/>
              </w:rPr>
            </w:pPr>
          </w:p>
        </w:tc>
      </w:tr>
      <w:tr w:rsidR="008E5DE4" w14:paraId="208B7629" w14:textId="77777777">
        <w:trPr>
          <w:cantSplit/>
        </w:trPr>
        <w:tc>
          <w:tcPr>
            <w:tcW w:w="5556" w:type="dxa"/>
            <w:vAlign w:val="bottom"/>
          </w:tcPr>
          <w:p w14:paraId="44976B7B" w14:textId="77777777" w:rsidR="008E5DE4" w:rsidRDefault="00780368">
            <w:pPr>
              <w:widowControl w:val="0"/>
              <w:pBdr>
                <w:top w:val="nil"/>
                <w:left w:val="nil"/>
                <w:bottom w:val="nil"/>
                <w:right w:val="nil"/>
                <w:between w:val="nil"/>
              </w:pBdr>
              <w:ind w:left="113" w:right="-57" w:hanging="113"/>
              <w:rPr>
                <w:color w:val="000000"/>
              </w:rPr>
            </w:pPr>
            <w:r>
              <w:rPr>
                <w:color w:val="000000"/>
              </w:rPr>
              <w:t>Gains less losses on disposals of property, plant and equipment</w:t>
            </w:r>
          </w:p>
        </w:tc>
        <w:tc>
          <w:tcPr>
            <w:tcW w:w="737" w:type="dxa"/>
            <w:vAlign w:val="bottom"/>
          </w:tcPr>
          <w:p w14:paraId="0003301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557C29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2D1AA9F" w14:textId="77777777" w:rsidR="008E5DE4" w:rsidRDefault="008E5DE4">
            <w:pPr>
              <w:widowControl w:val="0"/>
              <w:pBdr>
                <w:top w:val="nil"/>
                <w:left w:val="nil"/>
                <w:bottom w:val="nil"/>
                <w:right w:val="nil"/>
                <w:between w:val="nil"/>
              </w:pBdr>
              <w:jc w:val="right"/>
              <w:rPr>
                <w:color w:val="000000"/>
              </w:rPr>
            </w:pPr>
          </w:p>
        </w:tc>
      </w:tr>
      <w:tr w:rsidR="008E5DE4" w14:paraId="1B57A893" w14:textId="77777777">
        <w:trPr>
          <w:cantSplit/>
        </w:trPr>
        <w:tc>
          <w:tcPr>
            <w:tcW w:w="5556" w:type="dxa"/>
            <w:vAlign w:val="bottom"/>
          </w:tcPr>
          <w:p w14:paraId="2140BD57" w14:textId="608D9AD0" w:rsidR="008E5DE4" w:rsidRDefault="00780368">
            <w:pPr>
              <w:widowControl w:val="0"/>
              <w:pBdr>
                <w:top w:val="nil"/>
                <w:left w:val="nil"/>
                <w:bottom w:val="nil"/>
                <w:right w:val="nil"/>
                <w:between w:val="nil"/>
              </w:pBdr>
              <w:ind w:left="113" w:right="-57" w:hanging="113"/>
              <w:rPr>
                <w:color w:val="000000"/>
              </w:rPr>
            </w:pPr>
            <w:r>
              <w:rPr>
                <w:color w:val="000000"/>
              </w:rPr>
              <w:t xml:space="preserve">Other gains/(losses), net </w:t>
            </w:r>
          </w:p>
        </w:tc>
        <w:tc>
          <w:tcPr>
            <w:tcW w:w="737" w:type="dxa"/>
            <w:vAlign w:val="bottom"/>
          </w:tcPr>
          <w:p w14:paraId="4BAC8028"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33BD584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1F12651" w14:textId="77777777" w:rsidR="008E5DE4" w:rsidRDefault="008E5DE4">
            <w:pPr>
              <w:widowControl w:val="0"/>
              <w:pBdr>
                <w:top w:val="nil"/>
                <w:left w:val="nil"/>
                <w:bottom w:val="nil"/>
                <w:right w:val="nil"/>
                <w:between w:val="nil"/>
              </w:pBdr>
              <w:jc w:val="right"/>
              <w:rPr>
                <w:color w:val="000000"/>
              </w:rPr>
            </w:pPr>
          </w:p>
        </w:tc>
      </w:tr>
      <w:tr w:rsidR="008E5DE4" w14:paraId="16B23F87" w14:textId="77777777">
        <w:trPr>
          <w:cantSplit/>
        </w:trPr>
        <w:tc>
          <w:tcPr>
            <w:tcW w:w="5556" w:type="dxa"/>
            <w:tcBorders>
              <w:bottom w:val="single" w:sz="4" w:space="0" w:color="000000"/>
            </w:tcBorders>
            <w:vAlign w:val="bottom"/>
          </w:tcPr>
          <w:p w14:paraId="0CEADD4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2936ECE4"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3B2ABE58"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71D515CD" w14:textId="77777777" w:rsidR="008E5DE4" w:rsidRDefault="008E5DE4">
            <w:pPr>
              <w:widowControl w:val="0"/>
              <w:pBdr>
                <w:top w:val="nil"/>
                <w:left w:val="nil"/>
                <w:bottom w:val="nil"/>
                <w:right w:val="nil"/>
                <w:between w:val="nil"/>
              </w:pBdr>
              <w:jc w:val="right"/>
              <w:rPr>
                <w:color w:val="000000"/>
              </w:rPr>
            </w:pPr>
          </w:p>
        </w:tc>
      </w:tr>
      <w:tr w:rsidR="008E5DE4" w14:paraId="14C27E8F" w14:textId="77777777">
        <w:trPr>
          <w:cantSplit/>
        </w:trPr>
        <w:tc>
          <w:tcPr>
            <w:tcW w:w="5556" w:type="dxa"/>
            <w:tcBorders>
              <w:top w:val="single" w:sz="4" w:space="0" w:color="000000"/>
            </w:tcBorders>
            <w:vAlign w:val="bottom"/>
          </w:tcPr>
          <w:p w14:paraId="4F3BE0CE"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472C129B" w14:textId="77777777" w:rsidR="008E5DE4" w:rsidRDefault="008E5DE4">
            <w:pPr>
              <w:widowControl w:val="0"/>
              <w:pBdr>
                <w:top w:val="nil"/>
                <w:left w:val="nil"/>
                <w:bottom w:val="nil"/>
                <w:right w:val="nil"/>
                <w:between w:val="nil"/>
              </w:pBdr>
              <w:jc w:val="center"/>
              <w:rPr>
                <w:b/>
                <w:color w:val="000000"/>
              </w:rPr>
            </w:pPr>
          </w:p>
        </w:tc>
        <w:tc>
          <w:tcPr>
            <w:tcW w:w="1531" w:type="dxa"/>
            <w:tcBorders>
              <w:top w:val="single" w:sz="4" w:space="0" w:color="000000"/>
            </w:tcBorders>
            <w:vAlign w:val="bottom"/>
          </w:tcPr>
          <w:p w14:paraId="00D2A100"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2B772490" w14:textId="77777777" w:rsidR="008E5DE4" w:rsidRDefault="008E5DE4">
            <w:pPr>
              <w:widowControl w:val="0"/>
              <w:pBdr>
                <w:top w:val="nil"/>
                <w:left w:val="nil"/>
                <w:bottom w:val="nil"/>
                <w:right w:val="nil"/>
                <w:between w:val="nil"/>
              </w:pBdr>
              <w:jc w:val="right"/>
              <w:rPr>
                <w:b/>
                <w:color w:val="000000"/>
              </w:rPr>
            </w:pPr>
          </w:p>
        </w:tc>
      </w:tr>
      <w:tr w:rsidR="008E5DE4" w14:paraId="30CB1EAE" w14:textId="77777777">
        <w:trPr>
          <w:cantSplit/>
        </w:trPr>
        <w:tc>
          <w:tcPr>
            <w:tcW w:w="5556" w:type="dxa"/>
            <w:vAlign w:val="bottom"/>
          </w:tcPr>
          <w:p w14:paraId="047DF58E" w14:textId="77777777" w:rsidR="008E5DE4" w:rsidRDefault="00780368">
            <w:pPr>
              <w:widowControl w:val="0"/>
              <w:pBdr>
                <w:top w:val="nil"/>
                <w:left w:val="nil"/>
                <w:bottom w:val="nil"/>
                <w:right w:val="nil"/>
                <w:between w:val="nil"/>
              </w:pBdr>
              <w:ind w:left="113" w:right="-57" w:hanging="113"/>
              <w:rPr>
                <w:b/>
                <w:color w:val="000000"/>
              </w:rPr>
            </w:pPr>
            <w:r>
              <w:rPr>
                <w:b/>
                <w:color w:val="000000"/>
              </w:rPr>
              <w:t>Operating profit</w:t>
            </w:r>
          </w:p>
        </w:tc>
        <w:tc>
          <w:tcPr>
            <w:tcW w:w="737" w:type="dxa"/>
            <w:vAlign w:val="bottom"/>
          </w:tcPr>
          <w:p w14:paraId="6F41E9E4" w14:textId="77777777" w:rsidR="008E5DE4" w:rsidRDefault="008E5DE4">
            <w:pPr>
              <w:widowControl w:val="0"/>
              <w:pBdr>
                <w:top w:val="nil"/>
                <w:left w:val="nil"/>
                <w:bottom w:val="nil"/>
                <w:right w:val="nil"/>
                <w:between w:val="nil"/>
              </w:pBdr>
              <w:jc w:val="center"/>
              <w:rPr>
                <w:b/>
                <w:color w:val="000000"/>
              </w:rPr>
            </w:pPr>
          </w:p>
        </w:tc>
        <w:tc>
          <w:tcPr>
            <w:tcW w:w="1531" w:type="dxa"/>
            <w:vAlign w:val="bottom"/>
          </w:tcPr>
          <w:p w14:paraId="4EB6B2D8"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1F7F6FD" w14:textId="77777777" w:rsidR="008E5DE4" w:rsidRDefault="008E5DE4">
            <w:pPr>
              <w:widowControl w:val="0"/>
              <w:pBdr>
                <w:top w:val="nil"/>
                <w:left w:val="nil"/>
                <w:bottom w:val="nil"/>
                <w:right w:val="nil"/>
                <w:between w:val="nil"/>
              </w:pBdr>
              <w:jc w:val="right"/>
              <w:rPr>
                <w:b/>
                <w:color w:val="000000"/>
              </w:rPr>
            </w:pPr>
          </w:p>
        </w:tc>
      </w:tr>
      <w:tr w:rsidR="008E5DE4" w14:paraId="4E527C97" w14:textId="77777777">
        <w:trPr>
          <w:cantSplit/>
        </w:trPr>
        <w:tc>
          <w:tcPr>
            <w:tcW w:w="5556" w:type="dxa"/>
            <w:vAlign w:val="bottom"/>
          </w:tcPr>
          <w:p w14:paraId="7B64B9B9" w14:textId="77777777" w:rsidR="008E5DE4" w:rsidRDefault="008E5DE4">
            <w:pPr>
              <w:widowControl w:val="0"/>
              <w:pBdr>
                <w:top w:val="nil"/>
                <w:left w:val="nil"/>
                <w:bottom w:val="nil"/>
                <w:right w:val="nil"/>
                <w:between w:val="nil"/>
              </w:pBdr>
              <w:ind w:left="113" w:right="-57" w:hanging="113"/>
              <w:rPr>
                <w:color w:val="000000"/>
              </w:rPr>
            </w:pPr>
          </w:p>
        </w:tc>
        <w:tc>
          <w:tcPr>
            <w:tcW w:w="737" w:type="dxa"/>
            <w:vAlign w:val="bottom"/>
          </w:tcPr>
          <w:p w14:paraId="6235D71B"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68A0C0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8FC9E52" w14:textId="77777777" w:rsidR="008E5DE4" w:rsidRDefault="008E5DE4">
            <w:pPr>
              <w:widowControl w:val="0"/>
              <w:pBdr>
                <w:top w:val="nil"/>
                <w:left w:val="nil"/>
                <w:bottom w:val="nil"/>
                <w:right w:val="nil"/>
                <w:between w:val="nil"/>
              </w:pBdr>
              <w:jc w:val="right"/>
              <w:rPr>
                <w:color w:val="000000"/>
              </w:rPr>
            </w:pPr>
          </w:p>
        </w:tc>
      </w:tr>
      <w:tr w:rsidR="008E5DE4" w14:paraId="33C42156" w14:textId="77777777">
        <w:trPr>
          <w:cantSplit/>
        </w:trPr>
        <w:tc>
          <w:tcPr>
            <w:tcW w:w="5556" w:type="dxa"/>
            <w:vAlign w:val="bottom"/>
          </w:tcPr>
          <w:p w14:paraId="4D828DAA" w14:textId="4641735A" w:rsidR="008E5DE4" w:rsidRDefault="00780368">
            <w:pPr>
              <w:widowControl w:val="0"/>
              <w:pBdr>
                <w:top w:val="nil"/>
                <w:left w:val="nil"/>
                <w:bottom w:val="nil"/>
                <w:right w:val="nil"/>
                <w:between w:val="nil"/>
              </w:pBdr>
              <w:ind w:left="113" w:right="-57" w:hanging="113"/>
              <w:rPr>
                <w:color w:val="000000"/>
              </w:rPr>
            </w:pPr>
            <w:r>
              <w:rPr>
                <w:color w:val="000000"/>
              </w:rPr>
              <w:t>Interest income calculated using the effective interest method</w:t>
            </w:r>
          </w:p>
        </w:tc>
        <w:tc>
          <w:tcPr>
            <w:tcW w:w="737" w:type="dxa"/>
            <w:vAlign w:val="bottom"/>
          </w:tcPr>
          <w:p w14:paraId="24818050"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724307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2640FEF" w14:textId="77777777" w:rsidR="008E5DE4" w:rsidRDefault="008E5DE4">
            <w:pPr>
              <w:widowControl w:val="0"/>
              <w:pBdr>
                <w:top w:val="nil"/>
                <w:left w:val="nil"/>
                <w:bottom w:val="nil"/>
                <w:right w:val="nil"/>
                <w:between w:val="nil"/>
              </w:pBdr>
              <w:jc w:val="right"/>
              <w:rPr>
                <w:color w:val="000000"/>
              </w:rPr>
            </w:pPr>
          </w:p>
        </w:tc>
      </w:tr>
      <w:tr w:rsidR="008E5DE4" w14:paraId="7ED311CD" w14:textId="77777777">
        <w:trPr>
          <w:cantSplit/>
        </w:trPr>
        <w:tc>
          <w:tcPr>
            <w:tcW w:w="5556" w:type="dxa"/>
            <w:vAlign w:val="bottom"/>
          </w:tcPr>
          <w:p w14:paraId="063FAE19" w14:textId="77777777" w:rsidR="008E5DE4" w:rsidRDefault="00780368">
            <w:pPr>
              <w:widowControl w:val="0"/>
              <w:pBdr>
                <w:top w:val="nil"/>
                <w:left w:val="nil"/>
                <w:bottom w:val="nil"/>
                <w:right w:val="nil"/>
                <w:between w:val="nil"/>
              </w:pBdr>
              <w:ind w:left="113" w:right="-57" w:hanging="113"/>
              <w:rPr>
                <w:color w:val="000000"/>
              </w:rPr>
            </w:pPr>
            <w:r>
              <w:rPr>
                <w:color w:val="000000"/>
              </w:rPr>
              <w:t>Other finance income</w:t>
            </w:r>
          </w:p>
        </w:tc>
        <w:tc>
          <w:tcPr>
            <w:tcW w:w="737" w:type="dxa"/>
            <w:vAlign w:val="bottom"/>
          </w:tcPr>
          <w:p w14:paraId="54069DFE" w14:textId="77777777" w:rsidR="008E5DE4" w:rsidRDefault="00780368">
            <w:pPr>
              <w:widowControl w:val="0"/>
              <w:pBdr>
                <w:top w:val="nil"/>
                <w:left w:val="nil"/>
                <w:bottom w:val="nil"/>
                <w:right w:val="nil"/>
                <w:between w:val="nil"/>
              </w:pBdr>
              <w:jc w:val="center"/>
              <w:rPr>
                <w:color w:val="000000"/>
              </w:rPr>
            </w:pPr>
            <w:r>
              <w:rPr>
                <w:color w:val="000000"/>
              </w:rPr>
              <w:t>38</w:t>
            </w:r>
          </w:p>
        </w:tc>
        <w:tc>
          <w:tcPr>
            <w:tcW w:w="1531" w:type="dxa"/>
            <w:vAlign w:val="bottom"/>
          </w:tcPr>
          <w:p w14:paraId="1CE7F9D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A692592" w14:textId="77777777" w:rsidR="008E5DE4" w:rsidRDefault="008E5DE4">
            <w:pPr>
              <w:widowControl w:val="0"/>
              <w:pBdr>
                <w:top w:val="nil"/>
                <w:left w:val="nil"/>
                <w:bottom w:val="nil"/>
                <w:right w:val="nil"/>
                <w:between w:val="nil"/>
              </w:pBdr>
              <w:jc w:val="right"/>
              <w:rPr>
                <w:color w:val="000000"/>
              </w:rPr>
            </w:pPr>
          </w:p>
        </w:tc>
      </w:tr>
      <w:tr w:rsidR="008E5DE4" w14:paraId="6E0A9995" w14:textId="77777777">
        <w:trPr>
          <w:cantSplit/>
        </w:trPr>
        <w:tc>
          <w:tcPr>
            <w:tcW w:w="5556" w:type="dxa"/>
            <w:vAlign w:val="bottom"/>
          </w:tcPr>
          <w:p w14:paraId="025ED56B" w14:textId="77777777" w:rsidR="008E5DE4" w:rsidRDefault="00780368">
            <w:pPr>
              <w:widowControl w:val="0"/>
              <w:pBdr>
                <w:top w:val="nil"/>
                <w:left w:val="nil"/>
                <w:bottom w:val="nil"/>
                <w:right w:val="nil"/>
                <w:between w:val="nil"/>
              </w:pBdr>
              <w:ind w:left="113" w:right="-57" w:hanging="113"/>
              <w:rPr>
                <w:color w:val="000000"/>
              </w:rPr>
            </w:pPr>
            <w:r>
              <w:rPr>
                <w:color w:val="000000"/>
              </w:rPr>
              <w:t>Finance costs</w:t>
            </w:r>
          </w:p>
        </w:tc>
        <w:tc>
          <w:tcPr>
            <w:tcW w:w="737" w:type="dxa"/>
            <w:vAlign w:val="bottom"/>
          </w:tcPr>
          <w:p w14:paraId="0B2E2BBD" w14:textId="77777777" w:rsidR="008E5DE4" w:rsidRDefault="00780368">
            <w:pPr>
              <w:widowControl w:val="0"/>
              <w:pBdr>
                <w:top w:val="nil"/>
                <w:left w:val="nil"/>
                <w:bottom w:val="nil"/>
                <w:right w:val="nil"/>
                <w:between w:val="nil"/>
              </w:pBdr>
              <w:jc w:val="center"/>
              <w:rPr>
                <w:color w:val="000000"/>
              </w:rPr>
            </w:pPr>
            <w:r>
              <w:rPr>
                <w:color w:val="000000"/>
              </w:rPr>
              <w:t>37</w:t>
            </w:r>
          </w:p>
        </w:tc>
        <w:tc>
          <w:tcPr>
            <w:tcW w:w="1531" w:type="dxa"/>
            <w:vAlign w:val="bottom"/>
          </w:tcPr>
          <w:p w14:paraId="0550982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FEACEC0" w14:textId="77777777" w:rsidR="008E5DE4" w:rsidRDefault="008E5DE4">
            <w:pPr>
              <w:widowControl w:val="0"/>
              <w:pBdr>
                <w:top w:val="nil"/>
                <w:left w:val="nil"/>
                <w:bottom w:val="nil"/>
                <w:right w:val="nil"/>
                <w:between w:val="nil"/>
              </w:pBdr>
              <w:jc w:val="right"/>
              <w:rPr>
                <w:color w:val="000000"/>
              </w:rPr>
            </w:pPr>
          </w:p>
        </w:tc>
      </w:tr>
      <w:tr w:rsidR="008E5DE4" w14:paraId="4E0BED1A" w14:textId="77777777">
        <w:trPr>
          <w:cantSplit/>
        </w:trPr>
        <w:tc>
          <w:tcPr>
            <w:tcW w:w="5556" w:type="dxa"/>
            <w:vAlign w:val="bottom"/>
          </w:tcPr>
          <w:p w14:paraId="27B2C96A" w14:textId="77777777" w:rsidR="008E5DE4" w:rsidRDefault="00780368">
            <w:pPr>
              <w:widowControl w:val="0"/>
              <w:pBdr>
                <w:top w:val="nil"/>
                <w:left w:val="nil"/>
                <w:bottom w:val="nil"/>
                <w:right w:val="nil"/>
                <w:between w:val="nil"/>
              </w:pBdr>
              <w:ind w:left="113" w:right="-57" w:hanging="113"/>
              <w:rPr>
                <w:color w:val="000000"/>
              </w:rPr>
            </w:pPr>
            <w:r>
              <w:rPr>
                <w:color w:val="000000"/>
              </w:rPr>
              <w:t>Share of results of associates and joint ventures accounted for using the equity method</w:t>
            </w:r>
          </w:p>
        </w:tc>
        <w:tc>
          <w:tcPr>
            <w:tcW w:w="737" w:type="dxa"/>
            <w:vAlign w:val="bottom"/>
          </w:tcPr>
          <w:p w14:paraId="10E5AAB9" w14:textId="77777777" w:rsidR="008E5DE4" w:rsidRDefault="00780368">
            <w:pPr>
              <w:widowControl w:val="0"/>
              <w:pBdr>
                <w:top w:val="nil"/>
                <w:left w:val="nil"/>
                <w:bottom w:val="nil"/>
                <w:right w:val="nil"/>
                <w:between w:val="nil"/>
              </w:pBdr>
              <w:jc w:val="center"/>
              <w:rPr>
                <w:color w:val="000000"/>
              </w:rPr>
            </w:pPr>
            <w:r>
              <w:rPr>
                <w:color w:val="000000"/>
              </w:rPr>
              <w:t>14</w:t>
            </w:r>
          </w:p>
        </w:tc>
        <w:tc>
          <w:tcPr>
            <w:tcW w:w="1531" w:type="dxa"/>
            <w:vAlign w:val="bottom"/>
          </w:tcPr>
          <w:p w14:paraId="55D32C0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14E25C6" w14:textId="77777777" w:rsidR="008E5DE4" w:rsidRDefault="008E5DE4">
            <w:pPr>
              <w:widowControl w:val="0"/>
              <w:pBdr>
                <w:top w:val="nil"/>
                <w:left w:val="nil"/>
                <w:bottom w:val="nil"/>
                <w:right w:val="nil"/>
                <w:between w:val="nil"/>
              </w:pBdr>
              <w:jc w:val="right"/>
              <w:rPr>
                <w:color w:val="000000"/>
              </w:rPr>
            </w:pPr>
          </w:p>
        </w:tc>
      </w:tr>
      <w:tr w:rsidR="008E5DE4" w14:paraId="2B065E74" w14:textId="77777777">
        <w:trPr>
          <w:cantSplit/>
        </w:trPr>
        <w:tc>
          <w:tcPr>
            <w:tcW w:w="5556" w:type="dxa"/>
            <w:tcBorders>
              <w:bottom w:val="single" w:sz="4" w:space="0" w:color="000000"/>
            </w:tcBorders>
            <w:vAlign w:val="bottom"/>
          </w:tcPr>
          <w:p w14:paraId="3A93E5E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56E862A7"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2C1D8B4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047581EF" w14:textId="77777777" w:rsidR="008E5DE4" w:rsidRDefault="008E5DE4">
            <w:pPr>
              <w:widowControl w:val="0"/>
              <w:pBdr>
                <w:top w:val="nil"/>
                <w:left w:val="nil"/>
                <w:bottom w:val="nil"/>
                <w:right w:val="nil"/>
                <w:between w:val="nil"/>
              </w:pBdr>
              <w:jc w:val="right"/>
              <w:rPr>
                <w:color w:val="000000"/>
              </w:rPr>
            </w:pPr>
          </w:p>
        </w:tc>
      </w:tr>
      <w:tr w:rsidR="008E5DE4" w14:paraId="51E0A6EB" w14:textId="77777777">
        <w:trPr>
          <w:cantSplit/>
        </w:trPr>
        <w:tc>
          <w:tcPr>
            <w:tcW w:w="5556" w:type="dxa"/>
            <w:tcBorders>
              <w:top w:val="single" w:sz="4" w:space="0" w:color="000000"/>
            </w:tcBorders>
            <w:vAlign w:val="bottom"/>
          </w:tcPr>
          <w:p w14:paraId="2E625D8F"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0EAC137D"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7A746265"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DEFC18A" w14:textId="77777777" w:rsidR="008E5DE4" w:rsidRDefault="008E5DE4">
            <w:pPr>
              <w:widowControl w:val="0"/>
              <w:pBdr>
                <w:top w:val="nil"/>
                <w:left w:val="nil"/>
                <w:bottom w:val="nil"/>
                <w:right w:val="nil"/>
                <w:between w:val="nil"/>
              </w:pBdr>
              <w:jc w:val="right"/>
              <w:rPr>
                <w:color w:val="000000"/>
              </w:rPr>
            </w:pPr>
          </w:p>
        </w:tc>
      </w:tr>
      <w:tr w:rsidR="008E5DE4" w14:paraId="581C572A" w14:textId="77777777">
        <w:trPr>
          <w:cantSplit/>
        </w:trPr>
        <w:tc>
          <w:tcPr>
            <w:tcW w:w="5556" w:type="dxa"/>
            <w:vAlign w:val="bottom"/>
          </w:tcPr>
          <w:p w14:paraId="327072C4" w14:textId="011F64B7" w:rsidR="008E5DE4" w:rsidRDefault="00780368">
            <w:pPr>
              <w:widowControl w:val="0"/>
              <w:pBdr>
                <w:top w:val="nil"/>
                <w:left w:val="nil"/>
                <w:bottom w:val="nil"/>
                <w:right w:val="nil"/>
                <w:between w:val="nil"/>
              </w:pBdr>
              <w:ind w:left="113" w:right="-57" w:hanging="113"/>
              <w:rPr>
                <w:b/>
                <w:color w:val="000000"/>
              </w:rPr>
            </w:pPr>
            <w:r>
              <w:rPr>
                <w:b/>
                <w:color w:val="000000"/>
              </w:rPr>
              <w:t>Profit</w:t>
            </w:r>
            <w:r w:rsidR="006A15AF">
              <w:rPr>
                <w:b/>
                <w:color w:val="000000"/>
              </w:rPr>
              <w:t xml:space="preserve"> </w:t>
            </w:r>
            <w:r>
              <w:rPr>
                <w:b/>
                <w:color w:val="000000"/>
              </w:rPr>
              <w:t>/</w:t>
            </w:r>
            <w:r w:rsidR="006A15AF">
              <w:rPr>
                <w:b/>
                <w:color w:val="000000"/>
              </w:rPr>
              <w:t xml:space="preserve"> </w:t>
            </w:r>
            <w:r>
              <w:rPr>
                <w:b/>
                <w:color w:val="000000"/>
              </w:rPr>
              <w:t>(loss) before income tax</w:t>
            </w:r>
          </w:p>
        </w:tc>
        <w:tc>
          <w:tcPr>
            <w:tcW w:w="737" w:type="dxa"/>
            <w:vAlign w:val="bottom"/>
          </w:tcPr>
          <w:p w14:paraId="1EEFAA8A"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B6E21B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B110C93" w14:textId="77777777" w:rsidR="008E5DE4" w:rsidRDefault="008E5DE4">
            <w:pPr>
              <w:widowControl w:val="0"/>
              <w:pBdr>
                <w:top w:val="nil"/>
                <w:left w:val="nil"/>
                <w:bottom w:val="nil"/>
                <w:right w:val="nil"/>
                <w:between w:val="nil"/>
              </w:pBdr>
              <w:jc w:val="right"/>
              <w:rPr>
                <w:color w:val="000000"/>
              </w:rPr>
            </w:pPr>
          </w:p>
        </w:tc>
      </w:tr>
      <w:tr w:rsidR="008E5DE4" w14:paraId="6B757466" w14:textId="77777777">
        <w:trPr>
          <w:cantSplit/>
        </w:trPr>
        <w:tc>
          <w:tcPr>
            <w:tcW w:w="5556" w:type="dxa"/>
            <w:vAlign w:val="bottom"/>
          </w:tcPr>
          <w:p w14:paraId="5248D886" w14:textId="77777777" w:rsidR="008E5DE4" w:rsidRDefault="00780368">
            <w:pPr>
              <w:widowControl w:val="0"/>
              <w:pBdr>
                <w:top w:val="nil"/>
                <w:left w:val="nil"/>
                <w:bottom w:val="nil"/>
                <w:right w:val="nil"/>
                <w:between w:val="nil"/>
              </w:pBdr>
              <w:ind w:left="113" w:right="-57" w:hanging="113"/>
              <w:rPr>
                <w:color w:val="000000"/>
              </w:rPr>
            </w:pPr>
            <w:r>
              <w:rPr>
                <w:color w:val="000000"/>
              </w:rPr>
              <w:t>Income tax expense</w:t>
            </w:r>
          </w:p>
        </w:tc>
        <w:tc>
          <w:tcPr>
            <w:tcW w:w="737" w:type="dxa"/>
            <w:vAlign w:val="bottom"/>
          </w:tcPr>
          <w:p w14:paraId="4FA76698" w14:textId="77777777" w:rsidR="008E5DE4" w:rsidRDefault="00780368">
            <w:pPr>
              <w:widowControl w:val="0"/>
              <w:pBdr>
                <w:top w:val="nil"/>
                <w:left w:val="nil"/>
                <w:bottom w:val="nil"/>
                <w:right w:val="nil"/>
                <w:between w:val="nil"/>
              </w:pBdr>
              <w:jc w:val="center"/>
              <w:rPr>
                <w:color w:val="000000"/>
              </w:rPr>
            </w:pPr>
            <w:r>
              <w:rPr>
                <w:color w:val="000000"/>
              </w:rPr>
              <w:t>39</w:t>
            </w:r>
          </w:p>
        </w:tc>
        <w:tc>
          <w:tcPr>
            <w:tcW w:w="1531" w:type="dxa"/>
            <w:vAlign w:val="bottom"/>
          </w:tcPr>
          <w:p w14:paraId="6417ADD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B75A630" w14:textId="77777777" w:rsidR="008E5DE4" w:rsidRDefault="008E5DE4">
            <w:pPr>
              <w:widowControl w:val="0"/>
              <w:pBdr>
                <w:top w:val="nil"/>
                <w:left w:val="nil"/>
                <w:bottom w:val="nil"/>
                <w:right w:val="nil"/>
                <w:between w:val="nil"/>
              </w:pBdr>
              <w:jc w:val="right"/>
              <w:rPr>
                <w:color w:val="000000"/>
              </w:rPr>
            </w:pPr>
          </w:p>
        </w:tc>
      </w:tr>
      <w:tr w:rsidR="008E5DE4" w14:paraId="26598371" w14:textId="77777777">
        <w:trPr>
          <w:cantSplit/>
        </w:trPr>
        <w:tc>
          <w:tcPr>
            <w:tcW w:w="5556" w:type="dxa"/>
            <w:tcBorders>
              <w:bottom w:val="single" w:sz="4" w:space="0" w:color="000000"/>
            </w:tcBorders>
            <w:vAlign w:val="bottom"/>
          </w:tcPr>
          <w:p w14:paraId="13FF5BB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466EACFC"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1EEF2527"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7710855" w14:textId="77777777" w:rsidR="008E5DE4" w:rsidRDefault="008E5DE4">
            <w:pPr>
              <w:widowControl w:val="0"/>
              <w:pBdr>
                <w:top w:val="nil"/>
                <w:left w:val="nil"/>
                <w:bottom w:val="nil"/>
                <w:right w:val="nil"/>
                <w:between w:val="nil"/>
              </w:pBdr>
              <w:jc w:val="right"/>
              <w:rPr>
                <w:color w:val="000000"/>
              </w:rPr>
            </w:pPr>
          </w:p>
        </w:tc>
      </w:tr>
      <w:tr w:rsidR="008E5DE4" w14:paraId="417FDC74" w14:textId="77777777">
        <w:trPr>
          <w:cantSplit/>
        </w:trPr>
        <w:tc>
          <w:tcPr>
            <w:tcW w:w="5556" w:type="dxa"/>
            <w:tcBorders>
              <w:top w:val="single" w:sz="4" w:space="0" w:color="000000"/>
            </w:tcBorders>
            <w:vAlign w:val="bottom"/>
          </w:tcPr>
          <w:p w14:paraId="5314425E" w14:textId="77777777" w:rsidR="008E5DE4" w:rsidRDefault="00780368">
            <w:pPr>
              <w:widowControl w:val="0"/>
              <w:pBdr>
                <w:top w:val="nil"/>
                <w:left w:val="nil"/>
                <w:bottom w:val="nil"/>
                <w:right w:val="nil"/>
                <w:between w:val="nil"/>
              </w:pBdr>
              <w:ind w:left="113" w:right="-57" w:hanging="113"/>
              <w:rPr>
                <w:b/>
                <w:color w:val="0000FF"/>
              </w:rPr>
            </w:pPr>
            <w:r>
              <w:rPr>
                <w:color w:val="000000"/>
              </w:rPr>
              <w:t> </w:t>
            </w:r>
          </w:p>
        </w:tc>
        <w:tc>
          <w:tcPr>
            <w:tcW w:w="737" w:type="dxa"/>
            <w:tcBorders>
              <w:top w:val="single" w:sz="4" w:space="0" w:color="000000"/>
            </w:tcBorders>
            <w:vAlign w:val="bottom"/>
          </w:tcPr>
          <w:p w14:paraId="4B42F274"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625C31F7"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05F5CB2B" w14:textId="77777777" w:rsidR="008E5DE4" w:rsidRDefault="008E5DE4">
            <w:pPr>
              <w:widowControl w:val="0"/>
              <w:pBdr>
                <w:top w:val="nil"/>
                <w:left w:val="nil"/>
                <w:bottom w:val="nil"/>
                <w:right w:val="nil"/>
                <w:between w:val="nil"/>
              </w:pBdr>
              <w:jc w:val="right"/>
              <w:rPr>
                <w:color w:val="000000"/>
              </w:rPr>
            </w:pPr>
          </w:p>
        </w:tc>
      </w:tr>
      <w:tr w:rsidR="008E5DE4" w14:paraId="7583D3B0" w14:textId="77777777">
        <w:trPr>
          <w:cantSplit/>
        </w:trPr>
        <w:tc>
          <w:tcPr>
            <w:tcW w:w="5556" w:type="dxa"/>
            <w:vAlign w:val="bottom"/>
          </w:tcPr>
          <w:p w14:paraId="613931F2" w14:textId="1606A4A1" w:rsidR="008E5DE4" w:rsidRDefault="00780368">
            <w:pPr>
              <w:widowControl w:val="0"/>
              <w:pBdr>
                <w:top w:val="nil"/>
                <w:left w:val="nil"/>
                <w:bottom w:val="nil"/>
                <w:right w:val="nil"/>
                <w:between w:val="nil"/>
              </w:pBdr>
              <w:ind w:left="113" w:right="-57" w:hanging="113"/>
              <w:rPr>
                <w:b/>
                <w:color w:val="0000FF"/>
              </w:rPr>
            </w:pPr>
            <w:r>
              <w:rPr>
                <w:b/>
                <w:color w:val="0000FF"/>
              </w:rPr>
              <w:t>[Profit</w:t>
            </w:r>
            <w:r w:rsidR="006A15AF">
              <w:rPr>
                <w:b/>
                <w:color w:val="0000FF"/>
              </w:rPr>
              <w:t xml:space="preserve"> </w:t>
            </w:r>
            <w:r>
              <w:rPr>
                <w:b/>
                <w:color w:val="0000FF"/>
              </w:rPr>
              <w:t>/</w:t>
            </w:r>
            <w:r w:rsidR="006A15AF">
              <w:rPr>
                <w:b/>
                <w:color w:val="0000FF"/>
              </w:rPr>
              <w:t xml:space="preserve"> </w:t>
            </w:r>
            <w:r>
              <w:rPr>
                <w:b/>
                <w:color w:val="0000FF"/>
              </w:rPr>
              <w:t>(Loss) for the year from continuing operations]</w:t>
            </w:r>
          </w:p>
        </w:tc>
        <w:tc>
          <w:tcPr>
            <w:tcW w:w="737" w:type="dxa"/>
            <w:vAlign w:val="bottom"/>
          </w:tcPr>
          <w:p w14:paraId="6A3DE8A7"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413436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20DC678" w14:textId="77777777" w:rsidR="008E5DE4" w:rsidRDefault="008E5DE4">
            <w:pPr>
              <w:widowControl w:val="0"/>
              <w:pBdr>
                <w:top w:val="nil"/>
                <w:left w:val="nil"/>
                <w:bottom w:val="nil"/>
                <w:right w:val="nil"/>
                <w:between w:val="nil"/>
              </w:pBdr>
              <w:jc w:val="right"/>
              <w:rPr>
                <w:color w:val="000000"/>
              </w:rPr>
            </w:pPr>
          </w:p>
        </w:tc>
      </w:tr>
      <w:tr w:rsidR="008E5DE4" w14:paraId="524A6DAA" w14:textId="77777777">
        <w:trPr>
          <w:cantSplit/>
        </w:trPr>
        <w:tc>
          <w:tcPr>
            <w:tcW w:w="5556" w:type="dxa"/>
            <w:tcBorders>
              <w:bottom w:val="single" w:sz="4" w:space="0" w:color="000000"/>
            </w:tcBorders>
            <w:vAlign w:val="bottom"/>
          </w:tcPr>
          <w:p w14:paraId="5D5D0EEE" w14:textId="77777777" w:rsidR="008E5DE4" w:rsidRDefault="00780368">
            <w:pPr>
              <w:widowControl w:val="0"/>
              <w:pBdr>
                <w:top w:val="nil"/>
                <w:left w:val="nil"/>
                <w:bottom w:val="nil"/>
                <w:right w:val="nil"/>
                <w:between w:val="nil"/>
              </w:pBdr>
              <w:ind w:left="113" w:right="-57" w:hanging="113"/>
              <w:rPr>
                <w:b/>
                <w:color w:val="0000FF"/>
              </w:rPr>
            </w:pPr>
            <w:r>
              <w:rPr>
                <w:color w:val="000000"/>
              </w:rPr>
              <w:t> </w:t>
            </w:r>
          </w:p>
        </w:tc>
        <w:tc>
          <w:tcPr>
            <w:tcW w:w="737" w:type="dxa"/>
            <w:tcBorders>
              <w:bottom w:val="single" w:sz="4" w:space="0" w:color="000000"/>
            </w:tcBorders>
            <w:vAlign w:val="bottom"/>
          </w:tcPr>
          <w:p w14:paraId="5612B460"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269EA0A4"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2E857E48" w14:textId="77777777" w:rsidR="008E5DE4" w:rsidRDefault="008E5DE4">
            <w:pPr>
              <w:widowControl w:val="0"/>
              <w:pBdr>
                <w:top w:val="nil"/>
                <w:left w:val="nil"/>
                <w:bottom w:val="nil"/>
                <w:right w:val="nil"/>
                <w:between w:val="nil"/>
              </w:pBdr>
              <w:jc w:val="right"/>
              <w:rPr>
                <w:color w:val="000000"/>
              </w:rPr>
            </w:pPr>
          </w:p>
        </w:tc>
      </w:tr>
      <w:tr w:rsidR="008E5DE4" w14:paraId="57FC287E" w14:textId="77777777">
        <w:trPr>
          <w:cantSplit/>
        </w:trPr>
        <w:tc>
          <w:tcPr>
            <w:tcW w:w="5556" w:type="dxa"/>
            <w:tcBorders>
              <w:top w:val="single" w:sz="4" w:space="0" w:color="000000"/>
            </w:tcBorders>
            <w:vAlign w:val="bottom"/>
          </w:tcPr>
          <w:p w14:paraId="0C5E06FA"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0E3E4DBC"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0738DF85"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2BE3A9F7" w14:textId="77777777" w:rsidR="008E5DE4" w:rsidRDefault="008E5DE4">
            <w:pPr>
              <w:widowControl w:val="0"/>
              <w:pBdr>
                <w:top w:val="nil"/>
                <w:left w:val="nil"/>
                <w:bottom w:val="nil"/>
                <w:right w:val="nil"/>
                <w:between w:val="nil"/>
              </w:pBdr>
              <w:jc w:val="right"/>
              <w:rPr>
                <w:color w:val="000000"/>
              </w:rPr>
            </w:pPr>
          </w:p>
        </w:tc>
      </w:tr>
      <w:tr w:rsidR="008E5DE4" w14:paraId="6748449E" w14:textId="77777777">
        <w:trPr>
          <w:cantSplit/>
        </w:trPr>
        <w:tc>
          <w:tcPr>
            <w:tcW w:w="5556" w:type="dxa"/>
            <w:vAlign w:val="bottom"/>
          </w:tcPr>
          <w:p w14:paraId="7FAA59B6"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[Discontinued operations:]</w:t>
            </w:r>
          </w:p>
        </w:tc>
        <w:tc>
          <w:tcPr>
            <w:tcW w:w="737" w:type="dxa"/>
            <w:vAlign w:val="bottom"/>
          </w:tcPr>
          <w:p w14:paraId="4540A98E" w14:textId="77777777" w:rsidR="008E5DE4" w:rsidRDefault="008E5DE4">
            <w:pPr>
              <w:widowControl w:val="0"/>
              <w:pBdr>
                <w:top w:val="nil"/>
                <w:left w:val="nil"/>
                <w:bottom w:val="nil"/>
                <w:right w:val="nil"/>
                <w:between w:val="nil"/>
              </w:pBdr>
              <w:jc w:val="center"/>
              <w:rPr>
                <w:i/>
                <w:color w:val="000000"/>
              </w:rPr>
            </w:pPr>
          </w:p>
        </w:tc>
        <w:tc>
          <w:tcPr>
            <w:tcW w:w="1531" w:type="dxa"/>
            <w:vAlign w:val="bottom"/>
          </w:tcPr>
          <w:p w14:paraId="5CB591F6"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3CAD815B" w14:textId="77777777" w:rsidR="008E5DE4" w:rsidRDefault="008E5DE4">
            <w:pPr>
              <w:widowControl w:val="0"/>
              <w:pBdr>
                <w:top w:val="nil"/>
                <w:left w:val="nil"/>
                <w:bottom w:val="nil"/>
                <w:right w:val="nil"/>
                <w:between w:val="nil"/>
              </w:pBdr>
              <w:jc w:val="right"/>
              <w:rPr>
                <w:i/>
                <w:color w:val="000000"/>
              </w:rPr>
            </w:pPr>
          </w:p>
        </w:tc>
      </w:tr>
      <w:tr w:rsidR="008E5DE4" w14:paraId="4C3DDD81" w14:textId="77777777">
        <w:trPr>
          <w:cantSplit/>
        </w:trPr>
        <w:tc>
          <w:tcPr>
            <w:tcW w:w="5556" w:type="dxa"/>
            <w:vAlign w:val="bottom"/>
          </w:tcPr>
          <w:p w14:paraId="5A7D42F4" w14:textId="77777777" w:rsidR="008E5DE4" w:rsidRDefault="00780368">
            <w:pPr>
              <w:widowControl w:val="0"/>
              <w:pBdr>
                <w:top w:val="nil"/>
                <w:left w:val="nil"/>
                <w:bottom w:val="nil"/>
                <w:right w:val="nil"/>
                <w:between w:val="nil"/>
              </w:pBdr>
              <w:ind w:left="113" w:right="-57" w:hanging="113"/>
              <w:rPr>
                <w:b/>
                <w:i/>
                <w:color w:val="000000"/>
              </w:rPr>
            </w:pPr>
            <w:r>
              <w:rPr>
                <w:color w:val="000000"/>
              </w:rPr>
              <w:t> </w:t>
            </w:r>
          </w:p>
        </w:tc>
        <w:tc>
          <w:tcPr>
            <w:tcW w:w="737" w:type="dxa"/>
            <w:vAlign w:val="bottom"/>
          </w:tcPr>
          <w:p w14:paraId="127E7784" w14:textId="77777777" w:rsidR="008E5DE4" w:rsidRDefault="008E5DE4">
            <w:pPr>
              <w:widowControl w:val="0"/>
              <w:pBdr>
                <w:top w:val="nil"/>
                <w:left w:val="nil"/>
                <w:bottom w:val="nil"/>
                <w:right w:val="nil"/>
                <w:between w:val="nil"/>
              </w:pBdr>
              <w:jc w:val="center"/>
              <w:rPr>
                <w:i/>
                <w:color w:val="000000"/>
              </w:rPr>
            </w:pPr>
          </w:p>
        </w:tc>
        <w:tc>
          <w:tcPr>
            <w:tcW w:w="1531" w:type="dxa"/>
            <w:vAlign w:val="bottom"/>
          </w:tcPr>
          <w:p w14:paraId="18BBB382"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73E250AC" w14:textId="77777777" w:rsidR="008E5DE4" w:rsidRDefault="008E5DE4">
            <w:pPr>
              <w:widowControl w:val="0"/>
              <w:pBdr>
                <w:top w:val="nil"/>
                <w:left w:val="nil"/>
                <w:bottom w:val="nil"/>
                <w:right w:val="nil"/>
                <w:between w:val="nil"/>
              </w:pBdr>
              <w:jc w:val="right"/>
              <w:rPr>
                <w:i/>
                <w:color w:val="000000"/>
              </w:rPr>
            </w:pPr>
          </w:p>
        </w:tc>
      </w:tr>
      <w:tr w:rsidR="008E5DE4" w14:paraId="1E0D40F3" w14:textId="77777777">
        <w:trPr>
          <w:cantSplit/>
        </w:trPr>
        <w:tc>
          <w:tcPr>
            <w:tcW w:w="5556" w:type="dxa"/>
            <w:vAlign w:val="bottom"/>
          </w:tcPr>
          <w:p w14:paraId="7C6783FD" w14:textId="012762B1" w:rsidR="008E5DE4" w:rsidRDefault="00780368">
            <w:pPr>
              <w:widowControl w:val="0"/>
              <w:pBdr>
                <w:top w:val="nil"/>
                <w:left w:val="nil"/>
                <w:bottom w:val="nil"/>
                <w:right w:val="nil"/>
                <w:between w:val="nil"/>
              </w:pBdr>
              <w:ind w:left="113" w:right="-57" w:hanging="113"/>
              <w:rPr>
                <w:color w:val="0000FF"/>
              </w:rPr>
            </w:pPr>
            <w:r>
              <w:rPr>
                <w:color w:val="0000FF"/>
              </w:rPr>
              <w:t>[Profit</w:t>
            </w:r>
            <w:r w:rsidR="006A15AF">
              <w:rPr>
                <w:color w:val="0000FF"/>
              </w:rPr>
              <w:t xml:space="preserve"> </w:t>
            </w:r>
            <w:r>
              <w:rPr>
                <w:color w:val="0000FF"/>
              </w:rPr>
              <w:t>/</w:t>
            </w:r>
            <w:r w:rsidR="006A15AF">
              <w:rPr>
                <w:color w:val="0000FF"/>
              </w:rPr>
              <w:t xml:space="preserve"> </w:t>
            </w:r>
            <w:r>
              <w:rPr>
                <w:color w:val="0000FF"/>
              </w:rPr>
              <w:t>(Loss) for the year from discontinued operations]</w:t>
            </w:r>
          </w:p>
        </w:tc>
        <w:tc>
          <w:tcPr>
            <w:tcW w:w="737" w:type="dxa"/>
            <w:vAlign w:val="bottom"/>
          </w:tcPr>
          <w:p w14:paraId="2A3F70DB" w14:textId="77777777" w:rsidR="008E5DE4" w:rsidRDefault="00780368">
            <w:pPr>
              <w:widowControl w:val="0"/>
              <w:pBdr>
                <w:top w:val="nil"/>
                <w:left w:val="nil"/>
                <w:bottom w:val="nil"/>
                <w:right w:val="nil"/>
                <w:between w:val="nil"/>
              </w:pBdr>
              <w:jc w:val="center"/>
              <w:rPr>
                <w:color w:val="000000"/>
              </w:rPr>
            </w:pPr>
            <w:r>
              <w:rPr>
                <w:color w:val="000000"/>
              </w:rPr>
              <w:t>40</w:t>
            </w:r>
          </w:p>
        </w:tc>
        <w:tc>
          <w:tcPr>
            <w:tcW w:w="1531" w:type="dxa"/>
            <w:vAlign w:val="bottom"/>
          </w:tcPr>
          <w:p w14:paraId="5ED9436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FFC531C" w14:textId="77777777" w:rsidR="008E5DE4" w:rsidRDefault="008E5DE4">
            <w:pPr>
              <w:widowControl w:val="0"/>
              <w:pBdr>
                <w:top w:val="nil"/>
                <w:left w:val="nil"/>
                <w:bottom w:val="nil"/>
                <w:right w:val="nil"/>
                <w:between w:val="nil"/>
              </w:pBdr>
              <w:jc w:val="right"/>
              <w:rPr>
                <w:color w:val="000000"/>
              </w:rPr>
            </w:pPr>
          </w:p>
        </w:tc>
      </w:tr>
      <w:tr w:rsidR="008E5DE4" w14:paraId="58A76945" w14:textId="77777777">
        <w:trPr>
          <w:cantSplit/>
        </w:trPr>
        <w:tc>
          <w:tcPr>
            <w:tcW w:w="5556" w:type="dxa"/>
            <w:tcBorders>
              <w:bottom w:val="single" w:sz="12" w:space="0" w:color="000000"/>
            </w:tcBorders>
            <w:vAlign w:val="bottom"/>
          </w:tcPr>
          <w:p w14:paraId="7D8173B4"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737" w:type="dxa"/>
            <w:tcBorders>
              <w:bottom w:val="single" w:sz="12" w:space="0" w:color="000000"/>
            </w:tcBorders>
            <w:vAlign w:val="bottom"/>
          </w:tcPr>
          <w:p w14:paraId="6A40C0E4"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12" w:space="0" w:color="000000"/>
            </w:tcBorders>
            <w:vAlign w:val="bottom"/>
          </w:tcPr>
          <w:p w14:paraId="5134D873" w14:textId="77777777" w:rsidR="008E5DE4" w:rsidRDefault="008E5DE4">
            <w:pPr>
              <w:widowControl w:val="0"/>
              <w:pBdr>
                <w:top w:val="nil"/>
                <w:left w:val="nil"/>
                <w:bottom w:val="nil"/>
                <w:right w:val="nil"/>
                <w:between w:val="nil"/>
              </w:pBdr>
              <w:jc w:val="right"/>
              <w:rPr>
                <w:smallCaps/>
                <w:color w:val="000000"/>
              </w:rPr>
            </w:pPr>
          </w:p>
        </w:tc>
        <w:tc>
          <w:tcPr>
            <w:tcW w:w="1531" w:type="dxa"/>
            <w:tcBorders>
              <w:bottom w:val="single" w:sz="12" w:space="0" w:color="000000"/>
            </w:tcBorders>
            <w:vAlign w:val="bottom"/>
          </w:tcPr>
          <w:p w14:paraId="736083A6" w14:textId="77777777" w:rsidR="008E5DE4" w:rsidRDefault="008E5DE4">
            <w:pPr>
              <w:widowControl w:val="0"/>
              <w:pBdr>
                <w:top w:val="nil"/>
                <w:left w:val="nil"/>
                <w:bottom w:val="nil"/>
                <w:right w:val="nil"/>
                <w:between w:val="nil"/>
              </w:pBdr>
              <w:jc w:val="right"/>
              <w:rPr>
                <w:smallCaps/>
                <w:color w:val="000000"/>
              </w:rPr>
            </w:pPr>
          </w:p>
        </w:tc>
      </w:tr>
      <w:tr w:rsidR="008E5DE4" w14:paraId="73431F72" w14:textId="77777777">
        <w:trPr>
          <w:cantSplit/>
        </w:trPr>
        <w:tc>
          <w:tcPr>
            <w:tcW w:w="5556" w:type="dxa"/>
            <w:vAlign w:val="bottom"/>
          </w:tcPr>
          <w:p w14:paraId="297E608C"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737" w:type="dxa"/>
            <w:vAlign w:val="bottom"/>
          </w:tcPr>
          <w:p w14:paraId="704AA496"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7A990480" w14:textId="77777777" w:rsidR="008E5DE4" w:rsidRDefault="008E5DE4">
            <w:pPr>
              <w:widowControl w:val="0"/>
              <w:pBdr>
                <w:top w:val="nil"/>
                <w:left w:val="nil"/>
                <w:bottom w:val="nil"/>
                <w:right w:val="nil"/>
                <w:between w:val="nil"/>
              </w:pBdr>
              <w:jc w:val="right"/>
              <w:rPr>
                <w:smallCaps/>
                <w:color w:val="000000"/>
              </w:rPr>
            </w:pPr>
          </w:p>
        </w:tc>
        <w:tc>
          <w:tcPr>
            <w:tcW w:w="1531" w:type="dxa"/>
            <w:vAlign w:val="bottom"/>
          </w:tcPr>
          <w:p w14:paraId="5B4EA5FF" w14:textId="77777777" w:rsidR="008E5DE4" w:rsidRDefault="008E5DE4">
            <w:pPr>
              <w:widowControl w:val="0"/>
              <w:pBdr>
                <w:top w:val="nil"/>
                <w:left w:val="nil"/>
                <w:bottom w:val="nil"/>
                <w:right w:val="nil"/>
                <w:between w:val="nil"/>
              </w:pBdr>
              <w:jc w:val="right"/>
              <w:rPr>
                <w:smallCaps/>
                <w:color w:val="000000"/>
              </w:rPr>
            </w:pPr>
          </w:p>
        </w:tc>
      </w:tr>
      <w:tr w:rsidR="008E5DE4" w14:paraId="570D7FD2" w14:textId="77777777">
        <w:trPr>
          <w:cantSplit/>
        </w:trPr>
        <w:tc>
          <w:tcPr>
            <w:tcW w:w="5556" w:type="dxa"/>
            <w:vAlign w:val="bottom"/>
          </w:tcPr>
          <w:p w14:paraId="711A4342" w14:textId="615BFB1A" w:rsidR="008E5DE4" w:rsidRDefault="00780368">
            <w:pPr>
              <w:widowControl w:val="0"/>
              <w:pBdr>
                <w:top w:val="nil"/>
                <w:left w:val="nil"/>
                <w:bottom w:val="nil"/>
                <w:right w:val="nil"/>
                <w:between w:val="nil"/>
              </w:pBdr>
              <w:ind w:left="113" w:right="-57" w:hanging="113"/>
              <w:rPr>
                <w:b/>
                <w:smallCaps/>
                <w:color w:val="000000"/>
              </w:rPr>
            </w:pPr>
            <w:r>
              <w:rPr>
                <w:b/>
                <w:smallCaps/>
                <w:color w:val="000000"/>
              </w:rPr>
              <w:t>PROFIT</w:t>
            </w:r>
            <w:r w:rsidR="006A15AF">
              <w:rPr>
                <w:b/>
                <w:smallCaps/>
                <w:color w:val="000000"/>
              </w:rPr>
              <w:t xml:space="preserve"> </w:t>
            </w:r>
            <w:r>
              <w:rPr>
                <w:b/>
                <w:smallCaps/>
                <w:color w:val="000000"/>
              </w:rPr>
              <w:t>/</w:t>
            </w:r>
            <w:r w:rsidR="006A15AF">
              <w:rPr>
                <w:b/>
                <w:smallCaps/>
                <w:color w:val="000000"/>
              </w:rPr>
              <w:t xml:space="preserve"> </w:t>
            </w:r>
            <w:r>
              <w:rPr>
                <w:b/>
                <w:smallCaps/>
                <w:color w:val="000000"/>
              </w:rPr>
              <w:t>(LOSS) FOR THE YEAR</w:t>
            </w:r>
          </w:p>
        </w:tc>
        <w:tc>
          <w:tcPr>
            <w:tcW w:w="737" w:type="dxa"/>
            <w:vAlign w:val="bottom"/>
          </w:tcPr>
          <w:p w14:paraId="17933C15"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0674A3E9" w14:textId="77777777" w:rsidR="008E5DE4" w:rsidRDefault="008E5DE4">
            <w:pPr>
              <w:widowControl w:val="0"/>
              <w:pBdr>
                <w:top w:val="nil"/>
                <w:left w:val="nil"/>
                <w:bottom w:val="nil"/>
                <w:right w:val="nil"/>
                <w:between w:val="nil"/>
              </w:pBdr>
              <w:jc w:val="right"/>
              <w:rPr>
                <w:smallCaps/>
                <w:color w:val="000000"/>
              </w:rPr>
            </w:pPr>
          </w:p>
        </w:tc>
        <w:tc>
          <w:tcPr>
            <w:tcW w:w="1531" w:type="dxa"/>
            <w:vAlign w:val="bottom"/>
          </w:tcPr>
          <w:p w14:paraId="43C0D08D" w14:textId="77777777" w:rsidR="008E5DE4" w:rsidRDefault="008E5DE4">
            <w:pPr>
              <w:widowControl w:val="0"/>
              <w:pBdr>
                <w:top w:val="nil"/>
                <w:left w:val="nil"/>
                <w:bottom w:val="nil"/>
                <w:right w:val="nil"/>
                <w:between w:val="nil"/>
              </w:pBdr>
              <w:jc w:val="right"/>
              <w:rPr>
                <w:smallCaps/>
                <w:color w:val="000000"/>
              </w:rPr>
            </w:pPr>
          </w:p>
        </w:tc>
      </w:tr>
      <w:tr w:rsidR="008E5DE4" w14:paraId="0FFA3EDB" w14:textId="77777777">
        <w:trPr>
          <w:cantSplit/>
        </w:trPr>
        <w:tc>
          <w:tcPr>
            <w:tcW w:w="5556" w:type="dxa"/>
            <w:tcBorders>
              <w:bottom w:val="single" w:sz="4" w:space="0" w:color="000000"/>
            </w:tcBorders>
            <w:vAlign w:val="bottom"/>
          </w:tcPr>
          <w:p w14:paraId="3BED89E2"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737" w:type="dxa"/>
            <w:tcBorders>
              <w:bottom w:val="single" w:sz="4" w:space="0" w:color="000000"/>
            </w:tcBorders>
            <w:vAlign w:val="bottom"/>
          </w:tcPr>
          <w:p w14:paraId="22CF80D7"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bottom w:val="single" w:sz="4" w:space="0" w:color="000000"/>
            </w:tcBorders>
            <w:vAlign w:val="bottom"/>
          </w:tcPr>
          <w:p w14:paraId="0D8E7480"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4" w:space="0" w:color="000000"/>
            </w:tcBorders>
            <w:vAlign w:val="bottom"/>
          </w:tcPr>
          <w:p w14:paraId="2D18156A" w14:textId="77777777" w:rsidR="008E5DE4" w:rsidRDefault="008E5DE4">
            <w:pPr>
              <w:widowControl w:val="0"/>
              <w:pBdr>
                <w:top w:val="nil"/>
                <w:left w:val="nil"/>
                <w:bottom w:val="nil"/>
                <w:right w:val="nil"/>
                <w:between w:val="nil"/>
              </w:pBdr>
              <w:jc w:val="right"/>
              <w:rPr>
                <w:b/>
                <w:color w:val="000000"/>
              </w:rPr>
            </w:pPr>
          </w:p>
        </w:tc>
      </w:tr>
      <w:tr w:rsidR="008E5DE4" w14:paraId="759B5D7A" w14:textId="77777777">
        <w:trPr>
          <w:cantSplit/>
        </w:trPr>
        <w:tc>
          <w:tcPr>
            <w:tcW w:w="5556" w:type="dxa"/>
            <w:tcBorders>
              <w:top w:val="single" w:sz="4" w:space="0" w:color="000000"/>
            </w:tcBorders>
            <w:vAlign w:val="bottom"/>
          </w:tcPr>
          <w:p w14:paraId="0E4A05A5"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737" w:type="dxa"/>
            <w:tcBorders>
              <w:top w:val="single" w:sz="4" w:space="0" w:color="000000"/>
            </w:tcBorders>
            <w:vAlign w:val="bottom"/>
          </w:tcPr>
          <w:p w14:paraId="48C73341"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top w:val="single" w:sz="4" w:space="0" w:color="000000"/>
            </w:tcBorders>
            <w:vAlign w:val="bottom"/>
          </w:tcPr>
          <w:p w14:paraId="1D0613D1"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0D32EC2E" w14:textId="77777777" w:rsidR="008E5DE4" w:rsidRDefault="008E5DE4">
            <w:pPr>
              <w:widowControl w:val="0"/>
              <w:pBdr>
                <w:top w:val="nil"/>
                <w:left w:val="nil"/>
                <w:bottom w:val="nil"/>
                <w:right w:val="nil"/>
                <w:between w:val="nil"/>
              </w:pBdr>
              <w:jc w:val="right"/>
              <w:rPr>
                <w:b/>
                <w:color w:val="000000"/>
              </w:rPr>
            </w:pPr>
          </w:p>
        </w:tc>
      </w:tr>
      <w:tr w:rsidR="008E5DE4" w14:paraId="50BD2E3F" w14:textId="77777777">
        <w:trPr>
          <w:cantSplit/>
        </w:trPr>
        <w:tc>
          <w:tcPr>
            <w:tcW w:w="5556" w:type="dxa"/>
            <w:vAlign w:val="bottom"/>
          </w:tcPr>
          <w:p w14:paraId="645DF712" w14:textId="77777777" w:rsidR="008E5DE4" w:rsidRDefault="00780368">
            <w:pPr>
              <w:widowControl w:val="0"/>
              <w:pBdr>
                <w:top w:val="nil"/>
                <w:left w:val="nil"/>
                <w:bottom w:val="nil"/>
                <w:right w:val="nil"/>
                <w:between w:val="nil"/>
              </w:pBdr>
              <w:ind w:left="113" w:right="-57" w:hanging="113"/>
              <w:rPr>
                <w:b/>
                <w:color w:val="000000"/>
              </w:rPr>
            </w:pPr>
            <w:r>
              <w:rPr>
                <w:b/>
                <w:color w:val="000000"/>
              </w:rPr>
              <w:t>Other comprehensive income/ (loss):</w:t>
            </w:r>
          </w:p>
        </w:tc>
        <w:tc>
          <w:tcPr>
            <w:tcW w:w="737" w:type="dxa"/>
            <w:vAlign w:val="bottom"/>
          </w:tcPr>
          <w:p w14:paraId="03DC6128" w14:textId="77777777" w:rsidR="008E5DE4" w:rsidRDefault="008E5DE4">
            <w:pPr>
              <w:widowControl w:val="0"/>
              <w:pBdr>
                <w:top w:val="nil"/>
                <w:left w:val="nil"/>
                <w:bottom w:val="nil"/>
                <w:right w:val="nil"/>
                <w:between w:val="nil"/>
              </w:pBdr>
              <w:jc w:val="center"/>
              <w:rPr>
                <w:b/>
                <w:smallCaps/>
                <w:color w:val="000000"/>
              </w:rPr>
            </w:pPr>
          </w:p>
        </w:tc>
        <w:tc>
          <w:tcPr>
            <w:tcW w:w="1531" w:type="dxa"/>
            <w:vAlign w:val="bottom"/>
          </w:tcPr>
          <w:p w14:paraId="3887F96C"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3787F6C" w14:textId="77777777" w:rsidR="008E5DE4" w:rsidRDefault="008E5DE4">
            <w:pPr>
              <w:widowControl w:val="0"/>
              <w:pBdr>
                <w:top w:val="nil"/>
                <w:left w:val="nil"/>
                <w:bottom w:val="nil"/>
                <w:right w:val="nil"/>
                <w:between w:val="nil"/>
              </w:pBdr>
              <w:jc w:val="right"/>
              <w:rPr>
                <w:b/>
                <w:color w:val="000000"/>
              </w:rPr>
            </w:pPr>
          </w:p>
        </w:tc>
      </w:tr>
      <w:tr w:rsidR="008E5DE4" w14:paraId="045B4AE3" w14:textId="77777777">
        <w:trPr>
          <w:cantSplit/>
        </w:trPr>
        <w:tc>
          <w:tcPr>
            <w:tcW w:w="5556" w:type="dxa"/>
            <w:vAlign w:val="bottom"/>
          </w:tcPr>
          <w:p w14:paraId="04A402D4"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737" w:type="dxa"/>
            <w:vAlign w:val="bottom"/>
          </w:tcPr>
          <w:p w14:paraId="230D2DA0"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4B9C05D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B9954E9" w14:textId="77777777" w:rsidR="008E5DE4" w:rsidRDefault="008E5DE4">
            <w:pPr>
              <w:widowControl w:val="0"/>
              <w:pBdr>
                <w:top w:val="nil"/>
                <w:left w:val="nil"/>
                <w:bottom w:val="nil"/>
                <w:right w:val="nil"/>
                <w:between w:val="nil"/>
              </w:pBdr>
              <w:jc w:val="right"/>
              <w:rPr>
                <w:color w:val="000000"/>
              </w:rPr>
            </w:pPr>
          </w:p>
        </w:tc>
      </w:tr>
      <w:tr w:rsidR="008E5DE4" w14:paraId="3C297CCF" w14:textId="77777777">
        <w:trPr>
          <w:cantSplit/>
        </w:trPr>
        <w:tc>
          <w:tcPr>
            <w:tcW w:w="5556" w:type="dxa"/>
            <w:vAlign w:val="bottom"/>
          </w:tcPr>
          <w:p w14:paraId="3D548A95" w14:textId="77777777" w:rsidR="008E5DE4" w:rsidRDefault="00780368">
            <w:pPr>
              <w:widowControl w:val="0"/>
              <w:pBdr>
                <w:top w:val="nil"/>
                <w:left w:val="nil"/>
                <w:bottom w:val="nil"/>
                <w:right w:val="nil"/>
                <w:between w:val="nil"/>
              </w:pBdr>
              <w:ind w:left="113" w:right="-57" w:hanging="113"/>
              <w:rPr>
                <w:color w:val="000000"/>
              </w:rPr>
            </w:pPr>
            <w:r>
              <w:rPr>
                <w:i/>
                <w:color w:val="000000"/>
              </w:rPr>
              <w:t xml:space="preserve">Items that may be reclassified subsequently to profit or loss: </w:t>
            </w:r>
          </w:p>
        </w:tc>
        <w:tc>
          <w:tcPr>
            <w:tcW w:w="737" w:type="dxa"/>
            <w:vAlign w:val="bottom"/>
          </w:tcPr>
          <w:p w14:paraId="6F553EBB"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34548C8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A9F4BBE" w14:textId="77777777" w:rsidR="008E5DE4" w:rsidRDefault="008E5DE4">
            <w:pPr>
              <w:widowControl w:val="0"/>
              <w:pBdr>
                <w:top w:val="nil"/>
                <w:left w:val="nil"/>
                <w:bottom w:val="nil"/>
                <w:right w:val="nil"/>
                <w:between w:val="nil"/>
              </w:pBdr>
              <w:jc w:val="right"/>
              <w:rPr>
                <w:color w:val="000000"/>
              </w:rPr>
            </w:pPr>
          </w:p>
        </w:tc>
      </w:tr>
      <w:tr w:rsidR="008E5DE4" w14:paraId="5FECDA0A" w14:textId="77777777">
        <w:trPr>
          <w:cantSplit/>
        </w:trPr>
        <w:tc>
          <w:tcPr>
            <w:tcW w:w="5556" w:type="dxa"/>
            <w:vAlign w:val="bottom"/>
          </w:tcPr>
          <w:p w14:paraId="1EA5E14D" w14:textId="77777777" w:rsidR="008E5DE4" w:rsidRDefault="00780368">
            <w:pPr>
              <w:widowControl w:val="0"/>
              <w:pBdr>
                <w:top w:val="nil"/>
                <w:left w:val="nil"/>
                <w:bottom w:val="nil"/>
                <w:right w:val="nil"/>
                <w:between w:val="nil"/>
              </w:pBdr>
              <w:ind w:left="113" w:right="-57" w:hanging="113"/>
              <w:rPr>
                <w:color w:val="000000"/>
              </w:rPr>
            </w:pPr>
            <w:r>
              <w:rPr>
                <w:color w:val="000000"/>
              </w:rPr>
              <w:t>Debt securities at fair value through other comprehensive income:</w:t>
            </w:r>
          </w:p>
        </w:tc>
        <w:tc>
          <w:tcPr>
            <w:tcW w:w="737" w:type="dxa"/>
            <w:vAlign w:val="bottom"/>
          </w:tcPr>
          <w:p w14:paraId="5CC1011E"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7354B3F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387E870" w14:textId="77777777" w:rsidR="008E5DE4" w:rsidRDefault="008E5DE4">
            <w:pPr>
              <w:widowControl w:val="0"/>
              <w:pBdr>
                <w:top w:val="nil"/>
                <w:left w:val="nil"/>
                <w:bottom w:val="nil"/>
                <w:right w:val="nil"/>
                <w:between w:val="nil"/>
              </w:pBdr>
              <w:jc w:val="right"/>
              <w:rPr>
                <w:color w:val="000000"/>
              </w:rPr>
            </w:pPr>
          </w:p>
        </w:tc>
      </w:tr>
      <w:tr w:rsidR="008E5DE4" w14:paraId="1ECCB892" w14:textId="77777777">
        <w:trPr>
          <w:cantSplit/>
        </w:trPr>
        <w:tc>
          <w:tcPr>
            <w:tcW w:w="5556" w:type="dxa"/>
            <w:vAlign w:val="bottom"/>
          </w:tcPr>
          <w:p w14:paraId="1C75AB2B" w14:textId="77777777" w:rsidR="008E5DE4" w:rsidRDefault="00780368">
            <w:pPr>
              <w:widowControl w:val="0"/>
              <w:pBdr>
                <w:top w:val="nil"/>
                <w:left w:val="nil"/>
                <w:bottom w:val="nil"/>
                <w:right w:val="nil"/>
                <w:between w:val="nil"/>
              </w:pBdr>
              <w:ind w:left="113" w:right="-57" w:hanging="113"/>
              <w:rPr>
                <w:color w:val="000000"/>
              </w:rPr>
            </w:pPr>
            <w:r>
              <w:rPr>
                <w:color w:val="000000"/>
              </w:rPr>
              <w:t>- Gains less losses arising during the year</w:t>
            </w:r>
          </w:p>
        </w:tc>
        <w:tc>
          <w:tcPr>
            <w:tcW w:w="737" w:type="dxa"/>
            <w:vAlign w:val="bottom"/>
          </w:tcPr>
          <w:p w14:paraId="69345BEC"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18B75BA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D4302BC" w14:textId="77777777" w:rsidR="008E5DE4" w:rsidRDefault="008E5DE4">
            <w:pPr>
              <w:widowControl w:val="0"/>
              <w:pBdr>
                <w:top w:val="nil"/>
                <w:left w:val="nil"/>
                <w:bottom w:val="nil"/>
                <w:right w:val="nil"/>
                <w:between w:val="nil"/>
              </w:pBdr>
              <w:jc w:val="right"/>
              <w:rPr>
                <w:color w:val="000000"/>
              </w:rPr>
            </w:pPr>
          </w:p>
        </w:tc>
      </w:tr>
      <w:tr w:rsidR="008E5DE4" w14:paraId="287523DC" w14:textId="77777777">
        <w:trPr>
          <w:cantSplit/>
        </w:trPr>
        <w:tc>
          <w:tcPr>
            <w:tcW w:w="5556" w:type="dxa"/>
            <w:vAlign w:val="bottom"/>
          </w:tcPr>
          <w:p w14:paraId="2ED17D73" w14:textId="77777777" w:rsidR="008E5DE4" w:rsidRDefault="00780368">
            <w:pPr>
              <w:widowControl w:val="0"/>
              <w:pBdr>
                <w:top w:val="nil"/>
                <w:left w:val="nil"/>
                <w:bottom w:val="nil"/>
                <w:right w:val="nil"/>
                <w:between w:val="nil"/>
              </w:pBdr>
              <w:ind w:left="113" w:right="-57" w:hanging="113"/>
              <w:rPr>
                <w:color w:val="000000"/>
              </w:rPr>
            </w:pPr>
            <w:r>
              <w:rPr>
                <w:color w:val="000000"/>
              </w:rPr>
              <w:t>- Gains less losses reclassified to profit or loss upon disposal</w:t>
            </w:r>
          </w:p>
        </w:tc>
        <w:tc>
          <w:tcPr>
            <w:tcW w:w="737" w:type="dxa"/>
            <w:vAlign w:val="bottom"/>
          </w:tcPr>
          <w:p w14:paraId="35C67866"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1A05AFC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7364800" w14:textId="77777777" w:rsidR="008E5DE4" w:rsidRDefault="008E5DE4">
            <w:pPr>
              <w:widowControl w:val="0"/>
              <w:pBdr>
                <w:top w:val="nil"/>
                <w:left w:val="nil"/>
                <w:bottom w:val="nil"/>
                <w:right w:val="nil"/>
                <w:between w:val="nil"/>
              </w:pBdr>
              <w:jc w:val="right"/>
              <w:rPr>
                <w:color w:val="000000"/>
              </w:rPr>
            </w:pPr>
          </w:p>
        </w:tc>
      </w:tr>
      <w:tr w:rsidR="008E5DE4" w14:paraId="7B8534A5" w14:textId="77777777">
        <w:trPr>
          <w:cantSplit/>
        </w:trPr>
        <w:tc>
          <w:tcPr>
            <w:tcW w:w="5556" w:type="dxa"/>
            <w:vAlign w:val="bottom"/>
          </w:tcPr>
          <w:p w14:paraId="30ED6C11" w14:textId="77777777" w:rsidR="008E5DE4" w:rsidRDefault="00780368">
            <w:pPr>
              <w:widowControl w:val="0"/>
              <w:pBdr>
                <w:top w:val="nil"/>
                <w:left w:val="nil"/>
                <w:bottom w:val="nil"/>
                <w:right w:val="nil"/>
                <w:between w:val="nil"/>
              </w:pBdr>
              <w:ind w:left="113" w:right="-57" w:hanging="113"/>
              <w:rPr>
                <w:color w:val="000000"/>
              </w:rPr>
            </w:pPr>
            <w:r>
              <w:rPr>
                <w:color w:val="000000"/>
              </w:rPr>
              <w:t>Translation of financial information of foreign operations to presentation currency</w:t>
            </w:r>
          </w:p>
        </w:tc>
        <w:tc>
          <w:tcPr>
            <w:tcW w:w="737" w:type="dxa"/>
            <w:vAlign w:val="bottom"/>
          </w:tcPr>
          <w:p w14:paraId="1F57840C"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7B7178D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B3641C0" w14:textId="77777777" w:rsidR="008E5DE4" w:rsidRDefault="008E5DE4">
            <w:pPr>
              <w:widowControl w:val="0"/>
              <w:pBdr>
                <w:top w:val="nil"/>
                <w:left w:val="nil"/>
                <w:bottom w:val="nil"/>
                <w:right w:val="nil"/>
                <w:between w:val="nil"/>
              </w:pBdr>
              <w:jc w:val="right"/>
              <w:rPr>
                <w:color w:val="000000"/>
              </w:rPr>
            </w:pPr>
          </w:p>
        </w:tc>
      </w:tr>
      <w:tr w:rsidR="008E5DE4" w14:paraId="1B7E3CCB" w14:textId="77777777">
        <w:trPr>
          <w:cantSplit/>
        </w:trPr>
        <w:tc>
          <w:tcPr>
            <w:tcW w:w="5556" w:type="dxa"/>
            <w:vAlign w:val="bottom"/>
          </w:tcPr>
          <w:p w14:paraId="40418C3C" w14:textId="77777777" w:rsidR="008E5DE4" w:rsidRDefault="00780368">
            <w:pPr>
              <w:widowControl w:val="0"/>
              <w:pBdr>
                <w:top w:val="nil"/>
                <w:left w:val="nil"/>
                <w:bottom w:val="nil"/>
                <w:right w:val="nil"/>
                <w:between w:val="nil"/>
              </w:pBdr>
              <w:ind w:left="113" w:right="-57" w:hanging="113"/>
              <w:rPr>
                <w:color w:val="000000"/>
              </w:rPr>
            </w:pPr>
            <w:r>
              <w:rPr>
                <w:color w:val="000000"/>
              </w:rPr>
              <w:t>Share of other comprehensive income of associates and joint ventures</w:t>
            </w:r>
          </w:p>
        </w:tc>
        <w:tc>
          <w:tcPr>
            <w:tcW w:w="737" w:type="dxa"/>
            <w:vAlign w:val="bottom"/>
          </w:tcPr>
          <w:p w14:paraId="2DADC206"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7DF92D0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B4259DC" w14:textId="77777777" w:rsidR="008E5DE4" w:rsidRDefault="008E5DE4">
            <w:pPr>
              <w:widowControl w:val="0"/>
              <w:pBdr>
                <w:top w:val="nil"/>
                <w:left w:val="nil"/>
                <w:bottom w:val="nil"/>
                <w:right w:val="nil"/>
                <w:between w:val="nil"/>
              </w:pBdr>
              <w:jc w:val="right"/>
              <w:rPr>
                <w:color w:val="000000"/>
              </w:rPr>
            </w:pPr>
          </w:p>
        </w:tc>
      </w:tr>
      <w:tr w:rsidR="008E5DE4" w14:paraId="769DA1C4" w14:textId="77777777">
        <w:trPr>
          <w:cantSplit/>
        </w:trPr>
        <w:tc>
          <w:tcPr>
            <w:tcW w:w="5556" w:type="dxa"/>
            <w:vAlign w:val="bottom"/>
          </w:tcPr>
          <w:p w14:paraId="54EEF27D" w14:textId="77777777" w:rsidR="008E5DE4" w:rsidRDefault="00780368">
            <w:pPr>
              <w:widowControl w:val="0"/>
              <w:pBdr>
                <w:top w:val="nil"/>
                <w:left w:val="nil"/>
                <w:bottom w:val="nil"/>
                <w:right w:val="nil"/>
                <w:between w:val="nil"/>
              </w:pBdr>
              <w:ind w:left="113" w:right="-57" w:hanging="113"/>
              <w:rPr>
                <w:color w:val="000000"/>
              </w:rPr>
            </w:pPr>
            <w:r>
              <w:rPr>
                <w:color w:val="000000"/>
              </w:rPr>
              <w:t>Income tax recorded directly in other comprehensive income</w:t>
            </w:r>
          </w:p>
        </w:tc>
        <w:tc>
          <w:tcPr>
            <w:tcW w:w="737" w:type="dxa"/>
            <w:vAlign w:val="bottom"/>
          </w:tcPr>
          <w:p w14:paraId="6DD98ED5"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4E49710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281BF87" w14:textId="77777777" w:rsidR="008E5DE4" w:rsidRDefault="008E5DE4">
            <w:pPr>
              <w:widowControl w:val="0"/>
              <w:pBdr>
                <w:top w:val="nil"/>
                <w:left w:val="nil"/>
                <w:bottom w:val="nil"/>
                <w:right w:val="nil"/>
                <w:between w:val="nil"/>
              </w:pBdr>
              <w:jc w:val="right"/>
              <w:rPr>
                <w:color w:val="000000"/>
              </w:rPr>
            </w:pPr>
          </w:p>
        </w:tc>
      </w:tr>
      <w:tr w:rsidR="008E5DE4" w14:paraId="56A400DF" w14:textId="77777777">
        <w:trPr>
          <w:cantSplit/>
        </w:trPr>
        <w:tc>
          <w:tcPr>
            <w:tcW w:w="5556" w:type="dxa"/>
            <w:tcBorders>
              <w:bottom w:val="single" w:sz="4" w:space="0" w:color="000000"/>
            </w:tcBorders>
            <w:vAlign w:val="bottom"/>
          </w:tcPr>
          <w:p w14:paraId="1853C2A2"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737" w:type="dxa"/>
            <w:tcBorders>
              <w:bottom w:val="single" w:sz="4" w:space="0" w:color="000000"/>
            </w:tcBorders>
            <w:vAlign w:val="bottom"/>
          </w:tcPr>
          <w:p w14:paraId="605E8004"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4" w:space="0" w:color="000000"/>
            </w:tcBorders>
            <w:vAlign w:val="bottom"/>
          </w:tcPr>
          <w:p w14:paraId="2461F804"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D746DC5" w14:textId="77777777" w:rsidR="008E5DE4" w:rsidRDefault="008E5DE4">
            <w:pPr>
              <w:widowControl w:val="0"/>
              <w:pBdr>
                <w:top w:val="nil"/>
                <w:left w:val="nil"/>
                <w:bottom w:val="nil"/>
                <w:right w:val="nil"/>
                <w:between w:val="nil"/>
              </w:pBdr>
              <w:jc w:val="right"/>
              <w:rPr>
                <w:color w:val="000000"/>
              </w:rPr>
            </w:pPr>
          </w:p>
        </w:tc>
      </w:tr>
      <w:tr w:rsidR="008E5DE4" w14:paraId="0DF8895E" w14:textId="77777777">
        <w:trPr>
          <w:cantSplit/>
        </w:trPr>
        <w:tc>
          <w:tcPr>
            <w:tcW w:w="5556" w:type="dxa"/>
            <w:tcBorders>
              <w:top w:val="single" w:sz="4" w:space="0" w:color="000000"/>
            </w:tcBorders>
            <w:vAlign w:val="bottom"/>
          </w:tcPr>
          <w:p w14:paraId="6CC250D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top w:val="single" w:sz="4" w:space="0" w:color="000000"/>
            </w:tcBorders>
            <w:vAlign w:val="bottom"/>
          </w:tcPr>
          <w:p w14:paraId="75A41C2C" w14:textId="77777777" w:rsidR="008E5DE4" w:rsidRDefault="008E5DE4">
            <w:pPr>
              <w:widowControl w:val="0"/>
              <w:pBdr>
                <w:top w:val="nil"/>
                <w:left w:val="nil"/>
                <w:bottom w:val="nil"/>
                <w:right w:val="nil"/>
                <w:between w:val="nil"/>
              </w:pBdr>
              <w:jc w:val="center"/>
              <w:rPr>
                <w:smallCaps/>
                <w:color w:val="000000"/>
              </w:rPr>
            </w:pPr>
          </w:p>
        </w:tc>
        <w:tc>
          <w:tcPr>
            <w:tcW w:w="1531" w:type="dxa"/>
            <w:tcBorders>
              <w:top w:val="single" w:sz="4" w:space="0" w:color="000000"/>
            </w:tcBorders>
            <w:vAlign w:val="bottom"/>
          </w:tcPr>
          <w:p w14:paraId="33D9BCB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328C41E" w14:textId="77777777" w:rsidR="008E5DE4" w:rsidRDefault="008E5DE4">
            <w:pPr>
              <w:widowControl w:val="0"/>
              <w:pBdr>
                <w:top w:val="nil"/>
                <w:left w:val="nil"/>
                <w:bottom w:val="nil"/>
                <w:right w:val="nil"/>
                <w:between w:val="nil"/>
              </w:pBdr>
              <w:jc w:val="right"/>
              <w:rPr>
                <w:color w:val="000000"/>
              </w:rPr>
            </w:pPr>
          </w:p>
        </w:tc>
      </w:tr>
      <w:tr w:rsidR="008E5DE4" w14:paraId="3F4D4930" w14:textId="77777777">
        <w:trPr>
          <w:cantSplit/>
        </w:trPr>
        <w:tc>
          <w:tcPr>
            <w:tcW w:w="5556" w:type="dxa"/>
            <w:vAlign w:val="bottom"/>
          </w:tcPr>
          <w:p w14:paraId="12BAA628" w14:textId="77777777" w:rsidR="008E5DE4" w:rsidRDefault="00780368">
            <w:pPr>
              <w:keepNext/>
              <w:keepLines/>
              <w:widowControl w:val="0"/>
              <w:pBdr>
                <w:top w:val="nil"/>
                <w:left w:val="nil"/>
                <w:bottom w:val="nil"/>
                <w:right w:val="nil"/>
                <w:between w:val="nil"/>
              </w:pBdr>
              <w:ind w:left="113" w:right="-57" w:hanging="113"/>
              <w:rPr>
                <w:color w:val="000000"/>
              </w:rPr>
            </w:pPr>
            <w:r>
              <w:rPr>
                <w:i/>
                <w:color w:val="000000"/>
              </w:rPr>
              <w:lastRenderedPageBreak/>
              <w:t>Items that will not be reclassified to profit or loss:</w:t>
            </w:r>
          </w:p>
        </w:tc>
        <w:tc>
          <w:tcPr>
            <w:tcW w:w="737" w:type="dxa"/>
            <w:vAlign w:val="bottom"/>
          </w:tcPr>
          <w:p w14:paraId="1D84F931" w14:textId="77777777" w:rsidR="008E5DE4" w:rsidRDefault="008E5DE4">
            <w:pPr>
              <w:keepNext/>
              <w:keepLines/>
              <w:widowControl w:val="0"/>
              <w:pBdr>
                <w:top w:val="nil"/>
                <w:left w:val="nil"/>
                <w:bottom w:val="nil"/>
                <w:right w:val="nil"/>
                <w:between w:val="nil"/>
              </w:pBdr>
              <w:jc w:val="center"/>
              <w:rPr>
                <w:smallCaps/>
                <w:color w:val="000000"/>
              </w:rPr>
            </w:pPr>
          </w:p>
        </w:tc>
        <w:tc>
          <w:tcPr>
            <w:tcW w:w="1531" w:type="dxa"/>
            <w:vAlign w:val="bottom"/>
          </w:tcPr>
          <w:p w14:paraId="11588A2C"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0CB96466" w14:textId="77777777" w:rsidR="008E5DE4" w:rsidRDefault="008E5DE4">
            <w:pPr>
              <w:keepNext/>
              <w:keepLines/>
              <w:widowControl w:val="0"/>
              <w:pBdr>
                <w:top w:val="nil"/>
                <w:left w:val="nil"/>
                <w:bottom w:val="nil"/>
                <w:right w:val="nil"/>
                <w:between w:val="nil"/>
              </w:pBdr>
              <w:jc w:val="right"/>
              <w:rPr>
                <w:color w:val="000000"/>
              </w:rPr>
            </w:pPr>
          </w:p>
        </w:tc>
      </w:tr>
      <w:tr w:rsidR="008E5DE4" w14:paraId="4C5DC627" w14:textId="77777777">
        <w:trPr>
          <w:cantSplit/>
        </w:trPr>
        <w:tc>
          <w:tcPr>
            <w:tcW w:w="5556" w:type="dxa"/>
            <w:vAlign w:val="bottom"/>
          </w:tcPr>
          <w:p w14:paraId="12FD8FC1" w14:textId="77777777" w:rsidR="008E5DE4" w:rsidRDefault="00780368">
            <w:pPr>
              <w:keepNext/>
              <w:keepLines/>
              <w:widowControl w:val="0"/>
              <w:pBdr>
                <w:top w:val="nil"/>
                <w:left w:val="nil"/>
                <w:bottom w:val="nil"/>
                <w:right w:val="nil"/>
                <w:between w:val="nil"/>
              </w:pBdr>
              <w:tabs>
                <w:tab w:val="right" w:pos="8782"/>
              </w:tabs>
              <w:ind w:left="113" w:right="-57" w:hanging="113"/>
              <w:rPr>
                <w:color w:val="000000"/>
              </w:rPr>
            </w:pPr>
            <w:r>
              <w:rPr>
                <w:color w:val="000000"/>
              </w:rPr>
              <w:t>Revaluation of property, plant and equipment</w:t>
            </w:r>
          </w:p>
        </w:tc>
        <w:tc>
          <w:tcPr>
            <w:tcW w:w="737" w:type="dxa"/>
            <w:vAlign w:val="bottom"/>
          </w:tcPr>
          <w:p w14:paraId="2480A65F" w14:textId="77777777" w:rsidR="008E5DE4" w:rsidRDefault="008E5DE4">
            <w:pPr>
              <w:keepNext/>
              <w:keepLines/>
              <w:widowControl w:val="0"/>
              <w:pBdr>
                <w:top w:val="nil"/>
                <w:left w:val="nil"/>
                <w:bottom w:val="nil"/>
                <w:right w:val="nil"/>
                <w:between w:val="nil"/>
              </w:pBdr>
              <w:jc w:val="center"/>
              <w:rPr>
                <w:smallCaps/>
                <w:color w:val="000000"/>
              </w:rPr>
            </w:pPr>
          </w:p>
        </w:tc>
        <w:tc>
          <w:tcPr>
            <w:tcW w:w="1531" w:type="dxa"/>
            <w:vAlign w:val="bottom"/>
          </w:tcPr>
          <w:p w14:paraId="767B5A62"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5475391" w14:textId="77777777" w:rsidR="008E5DE4" w:rsidRDefault="008E5DE4">
            <w:pPr>
              <w:keepNext/>
              <w:keepLines/>
              <w:widowControl w:val="0"/>
              <w:pBdr>
                <w:top w:val="nil"/>
                <w:left w:val="nil"/>
                <w:bottom w:val="nil"/>
                <w:right w:val="nil"/>
                <w:between w:val="nil"/>
              </w:pBdr>
              <w:jc w:val="right"/>
              <w:rPr>
                <w:color w:val="000000"/>
              </w:rPr>
            </w:pPr>
          </w:p>
        </w:tc>
      </w:tr>
      <w:tr w:rsidR="008E5DE4" w14:paraId="0CE9724B" w14:textId="77777777">
        <w:trPr>
          <w:cantSplit/>
        </w:trPr>
        <w:tc>
          <w:tcPr>
            <w:tcW w:w="5556" w:type="dxa"/>
            <w:vAlign w:val="bottom"/>
          </w:tcPr>
          <w:p w14:paraId="4487B656" w14:textId="77777777" w:rsidR="008E5DE4" w:rsidRDefault="00780368">
            <w:pPr>
              <w:keepNext/>
              <w:keepLines/>
              <w:widowControl w:val="0"/>
              <w:pBdr>
                <w:top w:val="nil"/>
                <w:left w:val="nil"/>
                <w:bottom w:val="nil"/>
                <w:right w:val="nil"/>
                <w:between w:val="nil"/>
              </w:pBdr>
              <w:tabs>
                <w:tab w:val="right" w:pos="8782"/>
              </w:tabs>
              <w:ind w:left="113" w:right="-57" w:hanging="113"/>
              <w:rPr>
                <w:color w:val="000000"/>
              </w:rPr>
            </w:pPr>
            <w:r>
              <w:rPr>
                <w:color w:val="000000"/>
              </w:rPr>
              <w:t>Gains less losses on investments in equity securities at fair value through other comprehensive income</w:t>
            </w:r>
          </w:p>
        </w:tc>
        <w:tc>
          <w:tcPr>
            <w:tcW w:w="737" w:type="dxa"/>
            <w:vAlign w:val="bottom"/>
          </w:tcPr>
          <w:p w14:paraId="256AD7DC" w14:textId="77777777" w:rsidR="008E5DE4" w:rsidRDefault="008E5DE4">
            <w:pPr>
              <w:keepNext/>
              <w:keepLines/>
              <w:widowControl w:val="0"/>
              <w:pBdr>
                <w:top w:val="nil"/>
                <w:left w:val="nil"/>
                <w:bottom w:val="nil"/>
                <w:right w:val="nil"/>
                <w:between w:val="nil"/>
              </w:pBdr>
              <w:jc w:val="center"/>
              <w:rPr>
                <w:smallCaps/>
                <w:color w:val="000000"/>
              </w:rPr>
            </w:pPr>
          </w:p>
        </w:tc>
        <w:tc>
          <w:tcPr>
            <w:tcW w:w="1531" w:type="dxa"/>
            <w:vAlign w:val="bottom"/>
          </w:tcPr>
          <w:p w14:paraId="0EE7EBDD"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2504810" w14:textId="77777777" w:rsidR="008E5DE4" w:rsidRDefault="008E5DE4">
            <w:pPr>
              <w:keepNext/>
              <w:keepLines/>
              <w:widowControl w:val="0"/>
              <w:pBdr>
                <w:top w:val="nil"/>
                <w:left w:val="nil"/>
                <w:bottom w:val="nil"/>
                <w:right w:val="nil"/>
                <w:between w:val="nil"/>
              </w:pBdr>
              <w:jc w:val="right"/>
              <w:rPr>
                <w:color w:val="000000"/>
              </w:rPr>
            </w:pPr>
          </w:p>
        </w:tc>
      </w:tr>
      <w:tr w:rsidR="008E5DE4" w14:paraId="436B82D8" w14:textId="77777777">
        <w:trPr>
          <w:cantSplit/>
        </w:trPr>
        <w:tc>
          <w:tcPr>
            <w:tcW w:w="5556" w:type="dxa"/>
            <w:vAlign w:val="bottom"/>
          </w:tcPr>
          <w:p w14:paraId="72D2710C" w14:textId="77777777" w:rsidR="008E5DE4" w:rsidRDefault="00780368">
            <w:pPr>
              <w:keepNext/>
              <w:keepLines/>
              <w:widowControl w:val="0"/>
              <w:pBdr>
                <w:top w:val="nil"/>
                <w:left w:val="nil"/>
                <w:bottom w:val="nil"/>
                <w:right w:val="nil"/>
                <w:between w:val="nil"/>
              </w:pBdr>
              <w:tabs>
                <w:tab w:val="right" w:pos="8782"/>
              </w:tabs>
              <w:ind w:left="113" w:right="-57" w:hanging="113"/>
              <w:rPr>
                <w:color w:val="000000"/>
              </w:rPr>
            </w:pPr>
            <w:r>
              <w:rPr>
                <w:color w:val="000000"/>
              </w:rPr>
              <w:t>Change in fair value attributable to change in the credit risk of financial liabilities designated at fair value through profit or loss</w:t>
            </w:r>
          </w:p>
        </w:tc>
        <w:tc>
          <w:tcPr>
            <w:tcW w:w="737" w:type="dxa"/>
            <w:vAlign w:val="bottom"/>
          </w:tcPr>
          <w:p w14:paraId="0E47D658" w14:textId="77777777" w:rsidR="008E5DE4" w:rsidRDefault="008E5DE4">
            <w:pPr>
              <w:keepNext/>
              <w:keepLines/>
              <w:widowControl w:val="0"/>
              <w:pBdr>
                <w:top w:val="nil"/>
                <w:left w:val="nil"/>
                <w:bottom w:val="nil"/>
                <w:right w:val="nil"/>
                <w:between w:val="nil"/>
              </w:pBdr>
              <w:jc w:val="center"/>
              <w:rPr>
                <w:smallCaps/>
                <w:color w:val="000000"/>
              </w:rPr>
            </w:pPr>
          </w:p>
        </w:tc>
        <w:tc>
          <w:tcPr>
            <w:tcW w:w="1531" w:type="dxa"/>
            <w:vAlign w:val="bottom"/>
          </w:tcPr>
          <w:p w14:paraId="74F6A08B"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3479E5A4" w14:textId="77777777" w:rsidR="008E5DE4" w:rsidRDefault="008E5DE4">
            <w:pPr>
              <w:keepNext/>
              <w:keepLines/>
              <w:widowControl w:val="0"/>
              <w:pBdr>
                <w:top w:val="nil"/>
                <w:left w:val="nil"/>
                <w:bottom w:val="nil"/>
                <w:right w:val="nil"/>
                <w:between w:val="nil"/>
              </w:pBdr>
              <w:jc w:val="right"/>
              <w:rPr>
                <w:color w:val="000000"/>
              </w:rPr>
            </w:pPr>
          </w:p>
        </w:tc>
      </w:tr>
      <w:tr w:rsidR="008E5DE4" w14:paraId="150E047F" w14:textId="77777777">
        <w:trPr>
          <w:cantSplit/>
        </w:trPr>
        <w:tc>
          <w:tcPr>
            <w:tcW w:w="5556" w:type="dxa"/>
            <w:vAlign w:val="bottom"/>
          </w:tcPr>
          <w:p w14:paraId="0E877023" w14:textId="77777777" w:rsidR="008E5DE4" w:rsidRDefault="00780368">
            <w:pPr>
              <w:keepNext/>
              <w:keepLines/>
              <w:widowControl w:val="0"/>
              <w:pBdr>
                <w:top w:val="nil"/>
                <w:left w:val="nil"/>
                <w:bottom w:val="nil"/>
                <w:right w:val="nil"/>
                <w:between w:val="nil"/>
              </w:pBdr>
              <w:tabs>
                <w:tab w:val="right" w:pos="8782"/>
              </w:tabs>
              <w:ind w:left="113" w:right="-57" w:hanging="113"/>
              <w:rPr>
                <w:color w:val="000000"/>
              </w:rPr>
            </w:pPr>
            <w:r>
              <w:rPr>
                <w:color w:val="000000"/>
              </w:rPr>
              <w:t xml:space="preserve">Remeasurements of post-employment benefit obligations </w:t>
            </w:r>
          </w:p>
        </w:tc>
        <w:tc>
          <w:tcPr>
            <w:tcW w:w="737" w:type="dxa"/>
            <w:vAlign w:val="bottom"/>
          </w:tcPr>
          <w:p w14:paraId="7CE5B61E" w14:textId="77777777" w:rsidR="008E5DE4" w:rsidRDefault="008E5DE4">
            <w:pPr>
              <w:keepNext/>
              <w:keepLines/>
              <w:widowControl w:val="0"/>
              <w:pBdr>
                <w:top w:val="nil"/>
                <w:left w:val="nil"/>
                <w:bottom w:val="nil"/>
                <w:right w:val="nil"/>
                <w:between w:val="nil"/>
              </w:pBdr>
              <w:jc w:val="center"/>
              <w:rPr>
                <w:smallCaps/>
                <w:color w:val="000000"/>
              </w:rPr>
            </w:pPr>
          </w:p>
        </w:tc>
        <w:tc>
          <w:tcPr>
            <w:tcW w:w="1531" w:type="dxa"/>
            <w:vAlign w:val="bottom"/>
          </w:tcPr>
          <w:p w14:paraId="1388A113"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B981942" w14:textId="77777777" w:rsidR="008E5DE4" w:rsidRDefault="008E5DE4">
            <w:pPr>
              <w:keepNext/>
              <w:keepLines/>
              <w:widowControl w:val="0"/>
              <w:pBdr>
                <w:top w:val="nil"/>
                <w:left w:val="nil"/>
                <w:bottom w:val="nil"/>
                <w:right w:val="nil"/>
                <w:between w:val="nil"/>
              </w:pBdr>
              <w:jc w:val="right"/>
              <w:rPr>
                <w:color w:val="000000"/>
              </w:rPr>
            </w:pPr>
          </w:p>
        </w:tc>
      </w:tr>
      <w:tr w:rsidR="008E5DE4" w14:paraId="6B209233" w14:textId="77777777">
        <w:trPr>
          <w:cantSplit/>
        </w:trPr>
        <w:tc>
          <w:tcPr>
            <w:tcW w:w="5556" w:type="dxa"/>
            <w:vAlign w:val="bottom"/>
          </w:tcPr>
          <w:p w14:paraId="55CF3801"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Share of other comprehensive income of associates and joint ventures</w:t>
            </w:r>
          </w:p>
        </w:tc>
        <w:tc>
          <w:tcPr>
            <w:tcW w:w="737" w:type="dxa"/>
            <w:vAlign w:val="bottom"/>
          </w:tcPr>
          <w:p w14:paraId="09A45D3A" w14:textId="77777777" w:rsidR="008E5DE4" w:rsidRDefault="008E5DE4">
            <w:pPr>
              <w:keepNext/>
              <w:keepLines/>
              <w:widowControl w:val="0"/>
              <w:pBdr>
                <w:top w:val="nil"/>
                <w:left w:val="nil"/>
                <w:bottom w:val="nil"/>
                <w:right w:val="nil"/>
                <w:between w:val="nil"/>
              </w:pBdr>
              <w:jc w:val="center"/>
              <w:rPr>
                <w:smallCaps/>
                <w:color w:val="000000"/>
              </w:rPr>
            </w:pPr>
          </w:p>
        </w:tc>
        <w:tc>
          <w:tcPr>
            <w:tcW w:w="1531" w:type="dxa"/>
            <w:vAlign w:val="bottom"/>
          </w:tcPr>
          <w:p w14:paraId="01992BE7"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C35E860" w14:textId="77777777" w:rsidR="008E5DE4" w:rsidRDefault="008E5DE4">
            <w:pPr>
              <w:keepNext/>
              <w:keepLines/>
              <w:widowControl w:val="0"/>
              <w:pBdr>
                <w:top w:val="nil"/>
                <w:left w:val="nil"/>
                <w:bottom w:val="nil"/>
                <w:right w:val="nil"/>
                <w:between w:val="nil"/>
              </w:pBdr>
              <w:jc w:val="right"/>
              <w:rPr>
                <w:color w:val="000000"/>
              </w:rPr>
            </w:pPr>
          </w:p>
        </w:tc>
      </w:tr>
      <w:tr w:rsidR="008E5DE4" w14:paraId="05E4F7FC" w14:textId="77777777">
        <w:trPr>
          <w:cantSplit/>
        </w:trPr>
        <w:tc>
          <w:tcPr>
            <w:tcW w:w="5556" w:type="dxa"/>
            <w:vAlign w:val="bottom"/>
          </w:tcPr>
          <w:p w14:paraId="5B95A67C" w14:textId="77777777" w:rsidR="008E5DE4" w:rsidRDefault="00780368">
            <w:pPr>
              <w:widowControl w:val="0"/>
              <w:pBdr>
                <w:top w:val="nil"/>
                <w:left w:val="nil"/>
                <w:bottom w:val="nil"/>
                <w:right w:val="nil"/>
                <w:between w:val="nil"/>
              </w:pBdr>
              <w:ind w:left="113" w:right="-57" w:hanging="113"/>
              <w:rPr>
                <w:color w:val="000000"/>
              </w:rPr>
            </w:pPr>
            <w:r>
              <w:rPr>
                <w:color w:val="000000"/>
              </w:rPr>
              <w:t>Income tax recorded directly in other comprehensive income</w:t>
            </w:r>
          </w:p>
        </w:tc>
        <w:tc>
          <w:tcPr>
            <w:tcW w:w="737" w:type="dxa"/>
            <w:vAlign w:val="bottom"/>
          </w:tcPr>
          <w:p w14:paraId="1720DBE9"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62A12C9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C38B0D6" w14:textId="77777777" w:rsidR="008E5DE4" w:rsidRDefault="008E5DE4">
            <w:pPr>
              <w:widowControl w:val="0"/>
              <w:pBdr>
                <w:top w:val="nil"/>
                <w:left w:val="nil"/>
                <w:bottom w:val="nil"/>
                <w:right w:val="nil"/>
                <w:between w:val="nil"/>
              </w:pBdr>
              <w:jc w:val="right"/>
              <w:rPr>
                <w:color w:val="000000"/>
              </w:rPr>
            </w:pPr>
          </w:p>
        </w:tc>
      </w:tr>
      <w:tr w:rsidR="008E5DE4" w14:paraId="272A975C" w14:textId="77777777">
        <w:trPr>
          <w:cantSplit/>
        </w:trPr>
        <w:tc>
          <w:tcPr>
            <w:tcW w:w="5556" w:type="dxa"/>
            <w:tcBorders>
              <w:bottom w:val="single" w:sz="4" w:space="0" w:color="000000"/>
            </w:tcBorders>
            <w:vAlign w:val="bottom"/>
          </w:tcPr>
          <w:p w14:paraId="3C0A23C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6C0BBA6C"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4" w:space="0" w:color="000000"/>
            </w:tcBorders>
            <w:vAlign w:val="bottom"/>
          </w:tcPr>
          <w:p w14:paraId="18FBAA5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09C35F45" w14:textId="77777777" w:rsidR="008E5DE4" w:rsidRDefault="008E5DE4">
            <w:pPr>
              <w:widowControl w:val="0"/>
              <w:pBdr>
                <w:top w:val="nil"/>
                <w:left w:val="nil"/>
                <w:bottom w:val="nil"/>
                <w:right w:val="nil"/>
                <w:between w:val="nil"/>
              </w:pBdr>
              <w:jc w:val="right"/>
              <w:rPr>
                <w:color w:val="000000"/>
              </w:rPr>
            </w:pPr>
          </w:p>
        </w:tc>
      </w:tr>
      <w:tr w:rsidR="008E5DE4" w14:paraId="6B814F6E" w14:textId="77777777">
        <w:trPr>
          <w:cantSplit/>
        </w:trPr>
        <w:tc>
          <w:tcPr>
            <w:tcW w:w="5556" w:type="dxa"/>
            <w:tcBorders>
              <w:top w:val="single" w:sz="4" w:space="0" w:color="000000"/>
            </w:tcBorders>
            <w:vAlign w:val="bottom"/>
          </w:tcPr>
          <w:p w14:paraId="27FD6E3A"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407A7DB0"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top w:val="single" w:sz="4" w:space="0" w:color="000000"/>
            </w:tcBorders>
            <w:vAlign w:val="bottom"/>
          </w:tcPr>
          <w:p w14:paraId="3634A1E1"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C32FF85" w14:textId="77777777" w:rsidR="008E5DE4" w:rsidRDefault="008E5DE4">
            <w:pPr>
              <w:widowControl w:val="0"/>
              <w:pBdr>
                <w:top w:val="nil"/>
                <w:left w:val="nil"/>
                <w:bottom w:val="nil"/>
                <w:right w:val="nil"/>
                <w:between w:val="nil"/>
              </w:pBdr>
              <w:jc w:val="right"/>
              <w:rPr>
                <w:color w:val="000000"/>
              </w:rPr>
            </w:pPr>
          </w:p>
        </w:tc>
      </w:tr>
      <w:tr w:rsidR="008E5DE4" w14:paraId="4840D5BA" w14:textId="77777777">
        <w:trPr>
          <w:cantSplit/>
        </w:trPr>
        <w:tc>
          <w:tcPr>
            <w:tcW w:w="5556" w:type="dxa"/>
            <w:vAlign w:val="bottom"/>
          </w:tcPr>
          <w:p w14:paraId="5AD11F0D" w14:textId="77777777" w:rsidR="008E5DE4" w:rsidRDefault="00780368">
            <w:pPr>
              <w:widowControl w:val="0"/>
              <w:pBdr>
                <w:top w:val="nil"/>
                <w:left w:val="nil"/>
                <w:bottom w:val="nil"/>
                <w:right w:val="nil"/>
                <w:between w:val="nil"/>
              </w:pBdr>
              <w:ind w:left="113" w:right="-57" w:hanging="113"/>
              <w:rPr>
                <w:b/>
                <w:color w:val="000000"/>
              </w:rPr>
            </w:pPr>
            <w:r>
              <w:rPr>
                <w:b/>
                <w:color w:val="000000"/>
              </w:rPr>
              <w:t>Other comprehensive income/ (loss) for the year</w:t>
            </w:r>
          </w:p>
        </w:tc>
        <w:tc>
          <w:tcPr>
            <w:tcW w:w="737" w:type="dxa"/>
            <w:vAlign w:val="bottom"/>
          </w:tcPr>
          <w:p w14:paraId="23A12BBD" w14:textId="77777777" w:rsidR="008E5DE4" w:rsidRDefault="008E5DE4">
            <w:pPr>
              <w:widowControl w:val="0"/>
              <w:pBdr>
                <w:top w:val="nil"/>
                <w:left w:val="nil"/>
                <w:bottom w:val="nil"/>
                <w:right w:val="nil"/>
                <w:between w:val="nil"/>
              </w:pBdr>
              <w:jc w:val="center"/>
              <w:rPr>
                <w:b/>
                <w:smallCaps/>
                <w:color w:val="000000"/>
              </w:rPr>
            </w:pPr>
          </w:p>
        </w:tc>
        <w:tc>
          <w:tcPr>
            <w:tcW w:w="1531" w:type="dxa"/>
            <w:vAlign w:val="bottom"/>
          </w:tcPr>
          <w:p w14:paraId="7917A85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BA29BD4" w14:textId="77777777" w:rsidR="008E5DE4" w:rsidRDefault="008E5DE4">
            <w:pPr>
              <w:widowControl w:val="0"/>
              <w:pBdr>
                <w:top w:val="nil"/>
                <w:left w:val="nil"/>
                <w:bottom w:val="nil"/>
                <w:right w:val="nil"/>
                <w:between w:val="nil"/>
              </w:pBdr>
              <w:jc w:val="right"/>
              <w:rPr>
                <w:color w:val="000000"/>
              </w:rPr>
            </w:pPr>
          </w:p>
        </w:tc>
      </w:tr>
      <w:tr w:rsidR="008E5DE4" w14:paraId="13A53EC5" w14:textId="77777777">
        <w:trPr>
          <w:cantSplit/>
        </w:trPr>
        <w:tc>
          <w:tcPr>
            <w:tcW w:w="5556" w:type="dxa"/>
            <w:tcBorders>
              <w:bottom w:val="single" w:sz="12" w:space="0" w:color="000000"/>
            </w:tcBorders>
            <w:vAlign w:val="bottom"/>
          </w:tcPr>
          <w:p w14:paraId="7A5425DF"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737" w:type="dxa"/>
            <w:tcBorders>
              <w:bottom w:val="single" w:sz="12" w:space="0" w:color="000000"/>
            </w:tcBorders>
            <w:vAlign w:val="bottom"/>
          </w:tcPr>
          <w:p w14:paraId="093DCC08"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12" w:space="0" w:color="000000"/>
            </w:tcBorders>
            <w:vAlign w:val="bottom"/>
          </w:tcPr>
          <w:p w14:paraId="22C917AA"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179D968C" w14:textId="77777777" w:rsidR="008E5DE4" w:rsidRDefault="008E5DE4">
            <w:pPr>
              <w:widowControl w:val="0"/>
              <w:pBdr>
                <w:top w:val="nil"/>
                <w:left w:val="nil"/>
                <w:bottom w:val="nil"/>
                <w:right w:val="nil"/>
                <w:between w:val="nil"/>
              </w:pBdr>
              <w:jc w:val="right"/>
              <w:rPr>
                <w:color w:val="000000"/>
              </w:rPr>
            </w:pPr>
          </w:p>
        </w:tc>
      </w:tr>
      <w:tr w:rsidR="008E5DE4" w14:paraId="64933359" w14:textId="77777777">
        <w:trPr>
          <w:cantSplit/>
        </w:trPr>
        <w:tc>
          <w:tcPr>
            <w:tcW w:w="5556" w:type="dxa"/>
            <w:vAlign w:val="bottom"/>
          </w:tcPr>
          <w:p w14:paraId="4565D11A"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737" w:type="dxa"/>
            <w:vAlign w:val="bottom"/>
          </w:tcPr>
          <w:p w14:paraId="6E139B7F"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1415B2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3530FD5" w14:textId="77777777" w:rsidR="008E5DE4" w:rsidRDefault="008E5DE4">
            <w:pPr>
              <w:widowControl w:val="0"/>
              <w:pBdr>
                <w:top w:val="nil"/>
                <w:left w:val="nil"/>
                <w:bottom w:val="nil"/>
                <w:right w:val="nil"/>
                <w:between w:val="nil"/>
              </w:pBdr>
              <w:jc w:val="right"/>
              <w:rPr>
                <w:color w:val="000000"/>
              </w:rPr>
            </w:pPr>
          </w:p>
        </w:tc>
      </w:tr>
      <w:tr w:rsidR="008E5DE4" w14:paraId="07704548" w14:textId="77777777">
        <w:trPr>
          <w:cantSplit/>
        </w:trPr>
        <w:tc>
          <w:tcPr>
            <w:tcW w:w="5556" w:type="dxa"/>
            <w:vAlign w:val="bottom"/>
          </w:tcPr>
          <w:p w14:paraId="7E25C1E2"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COMPREHENSIVE INCOME/ (LOSS) FOR THE YEAR</w:t>
            </w:r>
          </w:p>
        </w:tc>
        <w:tc>
          <w:tcPr>
            <w:tcW w:w="737" w:type="dxa"/>
            <w:vAlign w:val="bottom"/>
          </w:tcPr>
          <w:p w14:paraId="098BF22B"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8D600D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4EBDC54" w14:textId="77777777" w:rsidR="008E5DE4" w:rsidRDefault="008E5DE4">
            <w:pPr>
              <w:widowControl w:val="0"/>
              <w:pBdr>
                <w:top w:val="nil"/>
                <w:left w:val="nil"/>
                <w:bottom w:val="nil"/>
                <w:right w:val="nil"/>
                <w:between w:val="nil"/>
              </w:pBdr>
              <w:jc w:val="right"/>
              <w:rPr>
                <w:color w:val="000000"/>
              </w:rPr>
            </w:pPr>
          </w:p>
        </w:tc>
      </w:tr>
      <w:tr w:rsidR="008E5DE4" w14:paraId="784C33F4" w14:textId="77777777">
        <w:trPr>
          <w:cantSplit/>
        </w:trPr>
        <w:tc>
          <w:tcPr>
            <w:tcW w:w="5556" w:type="dxa"/>
            <w:tcBorders>
              <w:bottom w:val="single" w:sz="12" w:space="0" w:color="000000"/>
            </w:tcBorders>
            <w:vAlign w:val="bottom"/>
          </w:tcPr>
          <w:p w14:paraId="791E888F"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737" w:type="dxa"/>
            <w:tcBorders>
              <w:bottom w:val="single" w:sz="12" w:space="0" w:color="000000"/>
            </w:tcBorders>
            <w:vAlign w:val="bottom"/>
          </w:tcPr>
          <w:p w14:paraId="2369D900"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12" w:space="0" w:color="000000"/>
            </w:tcBorders>
            <w:vAlign w:val="bottom"/>
          </w:tcPr>
          <w:p w14:paraId="2EB6A300"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2F981436" w14:textId="77777777" w:rsidR="008E5DE4" w:rsidRDefault="008E5DE4">
            <w:pPr>
              <w:widowControl w:val="0"/>
              <w:pBdr>
                <w:top w:val="nil"/>
                <w:left w:val="nil"/>
                <w:bottom w:val="nil"/>
                <w:right w:val="nil"/>
                <w:between w:val="nil"/>
              </w:pBdr>
              <w:jc w:val="right"/>
              <w:rPr>
                <w:color w:val="000000"/>
              </w:rPr>
            </w:pPr>
          </w:p>
        </w:tc>
      </w:tr>
      <w:tr w:rsidR="008E5DE4" w14:paraId="1C4CC49A" w14:textId="77777777">
        <w:trPr>
          <w:cantSplit/>
        </w:trPr>
        <w:tc>
          <w:tcPr>
            <w:tcW w:w="5556" w:type="dxa"/>
            <w:tcBorders>
              <w:top w:val="single" w:sz="12" w:space="0" w:color="000000"/>
            </w:tcBorders>
            <w:vAlign w:val="bottom"/>
          </w:tcPr>
          <w:p w14:paraId="1E721DC4"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737" w:type="dxa"/>
            <w:tcBorders>
              <w:top w:val="single" w:sz="12" w:space="0" w:color="000000"/>
            </w:tcBorders>
            <w:vAlign w:val="bottom"/>
          </w:tcPr>
          <w:p w14:paraId="1AECA114"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12" w:space="0" w:color="000000"/>
            </w:tcBorders>
            <w:vAlign w:val="bottom"/>
          </w:tcPr>
          <w:p w14:paraId="02EC2A93"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12" w:space="0" w:color="000000"/>
            </w:tcBorders>
            <w:vAlign w:val="bottom"/>
          </w:tcPr>
          <w:p w14:paraId="392A069F" w14:textId="77777777" w:rsidR="008E5DE4" w:rsidRDefault="008E5DE4">
            <w:pPr>
              <w:widowControl w:val="0"/>
              <w:pBdr>
                <w:top w:val="nil"/>
                <w:left w:val="nil"/>
                <w:bottom w:val="nil"/>
                <w:right w:val="nil"/>
                <w:between w:val="nil"/>
              </w:pBdr>
              <w:jc w:val="right"/>
              <w:rPr>
                <w:color w:val="000000"/>
              </w:rPr>
            </w:pPr>
          </w:p>
        </w:tc>
      </w:tr>
      <w:tr w:rsidR="008E5DE4" w14:paraId="7EB464A7" w14:textId="77777777">
        <w:trPr>
          <w:cantSplit/>
        </w:trPr>
        <w:tc>
          <w:tcPr>
            <w:tcW w:w="5556" w:type="dxa"/>
            <w:vAlign w:val="bottom"/>
          </w:tcPr>
          <w:p w14:paraId="481F1353" w14:textId="77777777" w:rsidR="008E5DE4" w:rsidRDefault="00780368">
            <w:pPr>
              <w:widowControl w:val="0"/>
              <w:pBdr>
                <w:top w:val="nil"/>
                <w:left w:val="nil"/>
                <w:bottom w:val="nil"/>
                <w:right w:val="nil"/>
                <w:between w:val="nil"/>
              </w:pBdr>
              <w:ind w:left="113" w:right="-57" w:hanging="113"/>
              <w:rPr>
                <w:b/>
                <w:color w:val="000000"/>
              </w:rPr>
            </w:pPr>
            <w:r>
              <w:rPr>
                <w:b/>
                <w:color w:val="000000"/>
              </w:rPr>
              <w:t>Profit/(Loss) is attributable to:</w:t>
            </w:r>
          </w:p>
        </w:tc>
        <w:tc>
          <w:tcPr>
            <w:tcW w:w="737" w:type="dxa"/>
            <w:vAlign w:val="bottom"/>
          </w:tcPr>
          <w:p w14:paraId="6B3526A6"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7118A3C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9507564" w14:textId="77777777" w:rsidR="008E5DE4" w:rsidRDefault="008E5DE4">
            <w:pPr>
              <w:widowControl w:val="0"/>
              <w:pBdr>
                <w:top w:val="nil"/>
                <w:left w:val="nil"/>
                <w:bottom w:val="nil"/>
                <w:right w:val="nil"/>
                <w:between w:val="nil"/>
              </w:pBdr>
              <w:jc w:val="right"/>
              <w:rPr>
                <w:color w:val="000000"/>
              </w:rPr>
            </w:pPr>
          </w:p>
        </w:tc>
      </w:tr>
      <w:tr w:rsidR="008E5DE4" w14:paraId="330DE761" w14:textId="77777777">
        <w:trPr>
          <w:cantSplit/>
        </w:trPr>
        <w:tc>
          <w:tcPr>
            <w:tcW w:w="5556" w:type="dxa"/>
            <w:vAlign w:val="bottom"/>
          </w:tcPr>
          <w:p w14:paraId="69864703" w14:textId="77777777" w:rsidR="008E5DE4" w:rsidRDefault="00780368">
            <w:pPr>
              <w:widowControl w:val="0"/>
              <w:pBdr>
                <w:top w:val="nil"/>
                <w:left w:val="nil"/>
                <w:bottom w:val="nil"/>
                <w:right w:val="nil"/>
                <w:between w:val="nil"/>
              </w:pBdr>
              <w:ind w:left="113" w:right="-57" w:hanging="113"/>
              <w:rPr>
                <w:color w:val="000000"/>
              </w:rPr>
            </w:pPr>
            <w:r>
              <w:rPr>
                <w:color w:val="000000"/>
              </w:rPr>
              <w:t>- Owners of the Company</w:t>
            </w:r>
          </w:p>
        </w:tc>
        <w:tc>
          <w:tcPr>
            <w:tcW w:w="737" w:type="dxa"/>
            <w:vAlign w:val="bottom"/>
          </w:tcPr>
          <w:p w14:paraId="5F5F311A"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61EBABA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9260801" w14:textId="77777777" w:rsidR="008E5DE4" w:rsidRDefault="008E5DE4">
            <w:pPr>
              <w:widowControl w:val="0"/>
              <w:pBdr>
                <w:top w:val="nil"/>
                <w:left w:val="nil"/>
                <w:bottom w:val="nil"/>
                <w:right w:val="nil"/>
                <w:between w:val="nil"/>
              </w:pBdr>
              <w:jc w:val="right"/>
              <w:rPr>
                <w:color w:val="000000"/>
              </w:rPr>
            </w:pPr>
          </w:p>
        </w:tc>
      </w:tr>
      <w:tr w:rsidR="008E5DE4" w14:paraId="42B53D2D" w14:textId="77777777">
        <w:trPr>
          <w:cantSplit/>
        </w:trPr>
        <w:tc>
          <w:tcPr>
            <w:tcW w:w="5556" w:type="dxa"/>
            <w:vAlign w:val="bottom"/>
          </w:tcPr>
          <w:p w14:paraId="377245FC" w14:textId="77777777" w:rsidR="008E5DE4" w:rsidRDefault="00780368">
            <w:pPr>
              <w:widowControl w:val="0"/>
              <w:ind w:left="113" w:right="-57" w:hanging="113"/>
            </w:pPr>
            <w:r>
              <w:t xml:space="preserve">- Non-controlling interest </w:t>
            </w:r>
          </w:p>
        </w:tc>
        <w:tc>
          <w:tcPr>
            <w:tcW w:w="737" w:type="dxa"/>
            <w:vAlign w:val="bottom"/>
          </w:tcPr>
          <w:p w14:paraId="35F3B4E8"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16FF26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EB28C18" w14:textId="77777777" w:rsidR="008E5DE4" w:rsidRDefault="008E5DE4">
            <w:pPr>
              <w:widowControl w:val="0"/>
              <w:pBdr>
                <w:top w:val="nil"/>
                <w:left w:val="nil"/>
                <w:bottom w:val="nil"/>
                <w:right w:val="nil"/>
                <w:between w:val="nil"/>
              </w:pBdr>
              <w:jc w:val="right"/>
              <w:rPr>
                <w:color w:val="000000"/>
              </w:rPr>
            </w:pPr>
          </w:p>
        </w:tc>
      </w:tr>
      <w:tr w:rsidR="008E5DE4" w14:paraId="5C6C1118" w14:textId="77777777">
        <w:trPr>
          <w:cantSplit/>
        </w:trPr>
        <w:tc>
          <w:tcPr>
            <w:tcW w:w="5556" w:type="dxa"/>
            <w:tcBorders>
              <w:bottom w:val="single" w:sz="12" w:space="0" w:color="000000"/>
            </w:tcBorders>
            <w:vAlign w:val="bottom"/>
          </w:tcPr>
          <w:p w14:paraId="3DF8B3A0"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 </w:t>
            </w:r>
          </w:p>
        </w:tc>
        <w:tc>
          <w:tcPr>
            <w:tcW w:w="737" w:type="dxa"/>
            <w:tcBorders>
              <w:bottom w:val="single" w:sz="12" w:space="0" w:color="000000"/>
            </w:tcBorders>
            <w:vAlign w:val="bottom"/>
          </w:tcPr>
          <w:p w14:paraId="090FD785"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bottom w:val="single" w:sz="12" w:space="0" w:color="000000"/>
            </w:tcBorders>
            <w:vAlign w:val="bottom"/>
          </w:tcPr>
          <w:p w14:paraId="3FCBCD5A"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0891CCD7" w14:textId="77777777" w:rsidR="008E5DE4" w:rsidRDefault="008E5DE4">
            <w:pPr>
              <w:widowControl w:val="0"/>
              <w:pBdr>
                <w:top w:val="nil"/>
                <w:left w:val="nil"/>
                <w:bottom w:val="nil"/>
                <w:right w:val="nil"/>
                <w:between w:val="nil"/>
              </w:pBdr>
              <w:jc w:val="right"/>
              <w:rPr>
                <w:color w:val="000000"/>
              </w:rPr>
            </w:pPr>
          </w:p>
        </w:tc>
      </w:tr>
      <w:tr w:rsidR="008E5DE4" w14:paraId="29F476F0" w14:textId="77777777">
        <w:trPr>
          <w:cantSplit/>
        </w:trPr>
        <w:tc>
          <w:tcPr>
            <w:tcW w:w="5556" w:type="dxa"/>
            <w:tcBorders>
              <w:top w:val="single" w:sz="4" w:space="0" w:color="000000"/>
            </w:tcBorders>
            <w:vAlign w:val="bottom"/>
          </w:tcPr>
          <w:p w14:paraId="38D8C061"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 </w:t>
            </w:r>
          </w:p>
        </w:tc>
        <w:tc>
          <w:tcPr>
            <w:tcW w:w="737" w:type="dxa"/>
            <w:tcBorders>
              <w:top w:val="single" w:sz="4" w:space="0" w:color="000000"/>
            </w:tcBorders>
            <w:vAlign w:val="bottom"/>
          </w:tcPr>
          <w:p w14:paraId="6E5909F9"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top w:val="single" w:sz="4" w:space="0" w:color="000000"/>
            </w:tcBorders>
            <w:vAlign w:val="bottom"/>
          </w:tcPr>
          <w:p w14:paraId="68E0934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0A7E4A49" w14:textId="77777777" w:rsidR="008E5DE4" w:rsidRDefault="008E5DE4">
            <w:pPr>
              <w:widowControl w:val="0"/>
              <w:pBdr>
                <w:top w:val="nil"/>
                <w:left w:val="nil"/>
                <w:bottom w:val="nil"/>
                <w:right w:val="nil"/>
                <w:between w:val="nil"/>
              </w:pBdr>
              <w:jc w:val="right"/>
              <w:rPr>
                <w:color w:val="000000"/>
              </w:rPr>
            </w:pPr>
          </w:p>
        </w:tc>
      </w:tr>
      <w:tr w:rsidR="008E5DE4" w14:paraId="412ABE09" w14:textId="77777777">
        <w:trPr>
          <w:cantSplit/>
        </w:trPr>
        <w:tc>
          <w:tcPr>
            <w:tcW w:w="5556" w:type="dxa"/>
            <w:vAlign w:val="bottom"/>
          </w:tcPr>
          <w:p w14:paraId="2283934E"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b/>
                <w:color w:val="000000"/>
              </w:rPr>
              <w:t>Profit/(Loss) for the year</w:t>
            </w:r>
          </w:p>
        </w:tc>
        <w:tc>
          <w:tcPr>
            <w:tcW w:w="737" w:type="dxa"/>
            <w:vAlign w:val="bottom"/>
          </w:tcPr>
          <w:p w14:paraId="2CB6E111" w14:textId="77777777" w:rsidR="008E5DE4" w:rsidRDefault="008E5DE4">
            <w:pPr>
              <w:widowControl w:val="0"/>
              <w:pBdr>
                <w:top w:val="nil"/>
                <w:left w:val="nil"/>
                <w:bottom w:val="nil"/>
                <w:right w:val="nil"/>
                <w:between w:val="nil"/>
              </w:pBdr>
              <w:jc w:val="center"/>
              <w:rPr>
                <w:b/>
                <w:smallCaps/>
                <w:color w:val="000000"/>
              </w:rPr>
            </w:pPr>
          </w:p>
        </w:tc>
        <w:tc>
          <w:tcPr>
            <w:tcW w:w="1531" w:type="dxa"/>
            <w:vAlign w:val="bottom"/>
          </w:tcPr>
          <w:p w14:paraId="7EE518D2" w14:textId="77777777" w:rsidR="008E5DE4" w:rsidRDefault="00000000">
            <w:pPr>
              <w:widowControl w:val="0"/>
              <w:pBdr>
                <w:top w:val="nil"/>
                <w:left w:val="nil"/>
                <w:bottom w:val="nil"/>
                <w:right w:val="nil"/>
                <w:between w:val="nil"/>
              </w:pBdr>
              <w:jc w:val="right"/>
              <w:rPr>
                <w:color w:val="000000"/>
              </w:rPr>
            </w:pPr>
            <w:sdt>
              <w:sdtPr>
                <w:tag w:val="goog_rdk_4"/>
                <w:id w:val="-1848240418"/>
              </w:sdtPr>
              <w:sdtContent>
                <w:r w:rsidR="00780368">
                  <w:rPr>
                    <w:rFonts w:ascii="Arial Unicode MS" w:eastAsia="Arial Unicode MS" w:hAnsi="Arial Unicode MS" w:cs="Arial Unicode MS"/>
                    <w:color w:val="000000"/>
                  </w:rPr>
                  <w:t>∑</w:t>
                </w:r>
              </w:sdtContent>
            </w:sdt>
          </w:p>
        </w:tc>
        <w:tc>
          <w:tcPr>
            <w:tcW w:w="1531" w:type="dxa"/>
            <w:vAlign w:val="bottom"/>
          </w:tcPr>
          <w:p w14:paraId="35F633B7" w14:textId="77777777" w:rsidR="008E5DE4" w:rsidRDefault="00000000">
            <w:pPr>
              <w:widowControl w:val="0"/>
              <w:pBdr>
                <w:top w:val="nil"/>
                <w:left w:val="nil"/>
                <w:bottom w:val="nil"/>
                <w:right w:val="nil"/>
                <w:between w:val="nil"/>
              </w:pBdr>
              <w:jc w:val="right"/>
              <w:rPr>
                <w:color w:val="000000"/>
              </w:rPr>
            </w:pPr>
            <w:sdt>
              <w:sdtPr>
                <w:tag w:val="goog_rdk_5"/>
                <w:id w:val="-1657989361"/>
              </w:sdtPr>
              <w:sdtContent>
                <w:r w:rsidR="00780368">
                  <w:rPr>
                    <w:rFonts w:ascii="Arial Unicode MS" w:eastAsia="Arial Unicode MS" w:hAnsi="Arial Unicode MS" w:cs="Arial Unicode MS"/>
                    <w:color w:val="000000"/>
                  </w:rPr>
                  <w:t>∑</w:t>
                </w:r>
              </w:sdtContent>
            </w:sdt>
          </w:p>
        </w:tc>
      </w:tr>
      <w:tr w:rsidR="008E5DE4" w14:paraId="4F02F114" w14:textId="77777777">
        <w:trPr>
          <w:cantSplit/>
        </w:trPr>
        <w:tc>
          <w:tcPr>
            <w:tcW w:w="5556" w:type="dxa"/>
            <w:tcBorders>
              <w:bottom w:val="single" w:sz="12" w:space="0" w:color="000000"/>
            </w:tcBorders>
            <w:vAlign w:val="bottom"/>
          </w:tcPr>
          <w:p w14:paraId="1FC92ED8"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 </w:t>
            </w:r>
          </w:p>
        </w:tc>
        <w:tc>
          <w:tcPr>
            <w:tcW w:w="737" w:type="dxa"/>
            <w:tcBorders>
              <w:bottom w:val="single" w:sz="12" w:space="0" w:color="000000"/>
            </w:tcBorders>
            <w:vAlign w:val="bottom"/>
          </w:tcPr>
          <w:p w14:paraId="0416EA91"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bottom w:val="single" w:sz="12" w:space="0" w:color="000000"/>
            </w:tcBorders>
            <w:vAlign w:val="bottom"/>
          </w:tcPr>
          <w:p w14:paraId="7E3164D5"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47F64D5E" w14:textId="77777777" w:rsidR="008E5DE4" w:rsidRDefault="008E5DE4">
            <w:pPr>
              <w:widowControl w:val="0"/>
              <w:pBdr>
                <w:top w:val="nil"/>
                <w:left w:val="nil"/>
                <w:bottom w:val="nil"/>
                <w:right w:val="nil"/>
                <w:between w:val="nil"/>
              </w:pBdr>
              <w:jc w:val="right"/>
              <w:rPr>
                <w:color w:val="000000"/>
              </w:rPr>
            </w:pPr>
          </w:p>
        </w:tc>
      </w:tr>
      <w:tr w:rsidR="008E5DE4" w14:paraId="4A41AD33" w14:textId="77777777">
        <w:trPr>
          <w:cantSplit/>
        </w:trPr>
        <w:tc>
          <w:tcPr>
            <w:tcW w:w="5556" w:type="dxa"/>
            <w:vAlign w:val="bottom"/>
          </w:tcPr>
          <w:p w14:paraId="3EE7759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vAlign w:val="bottom"/>
          </w:tcPr>
          <w:p w14:paraId="5097F0B6"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FFA467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F6D2C19" w14:textId="77777777" w:rsidR="008E5DE4" w:rsidRDefault="008E5DE4">
            <w:pPr>
              <w:widowControl w:val="0"/>
              <w:pBdr>
                <w:top w:val="nil"/>
                <w:left w:val="nil"/>
                <w:bottom w:val="nil"/>
                <w:right w:val="nil"/>
                <w:between w:val="nil"/>
              </w:pBdr>
              <w:jc w:val="right"/>
              <w:rPr>
                <w:color w:val="000000"/>
              </w:rPr>
            </w:pPr>
          </w:p>
        </w:tc>
      </w:tr>
      <w:tr w:rsidR="008E5DE4" w14:paraId="11E5A88C" w14:textId="77777777">
        <w:trPr>
          <w:cantSplit/>
        </w:trPr>
        <w:tc>
          <w:tcPr>
            <w:tcW w:w="5556" w:type="dxa"/>
            <w:vAlign w:val="bottom"/>
          </w:tcPr>
          <w:p w14:paraId="549E4994" w14:textId="77777777" w:rsidR="008E5DE4" w:rsidRDefault="00780368">
            <w:pPr>
              <w:widowControl w:val="0"/>
              <w:pBdr>
                <w:top w:val="nil"/>
                <w:left w:val="nil"/>
                <w:bottom w:val="nil"/>
                <w:right w:val="nil"/>
                <w:between w:val="nil"/>
              </w:pBdr>
              <w:ind w:left="113" w:right="-57" w:hanging="113"/>
              <w:rPr>
                <w:color w:val="000000"/>
              </w:rPr>
            </w:pPr>
            <w:r>
              <w:rPr>
                <w:b/>
                <w:color w:val="000000"/>
              </w:rPr>
              <w:t>Total comprehensive income/(loss) is attributable to:</w:t>
            </w:r>
          </w:p>
        </w:tc>
        <w:tc>
          <w:tcPr>
            <w:tcW w:w="737" w:type="dxa"/>
            <w:vAlign w:val="bottom"/>
          </w:tcPr>
          <w:p w14:paraId="57799A9D"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F2D6FC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D26BB21" w14:textId="77777777" w:rsidR="008E5DE4" w:rsidRDefault="008E5DE4">
            <w:pPr>
              <w:widowControl w:val="0"/>
              <w:pBdr>
                <w:top w:val="nil"/>
                <w:left w:val="nil"/>
                <w:bottom w:val="nil"/>
                <w:right w:val="nil"/>
                <w:between w:val="nil"/>
              </w:pBdr>
              <w:jc w:val="right"/>
              <w:rPr>
                <w:color w:val="000000"/>
              </w:rPr>
            </w:pPr>
          </w:p>
        </w:tc>
      </w:tr>
      <w:tr w:rsidR="008E5DE4" w14:paraId="72DDD62C" w14:textId="77777777">
        <w:trPr>
          <w:cantSplit/>
        </w:trPr>
        <w:tc>
          <w:tcPr>
            <w:tcW w:w="5556" w:type="dxa"/>
            <w:vAlign w:val="bottom"/>
          </w:tcPr>
          <w:p w14:paraId="327FC83E" w14:textId="77777777" w:rsidR="008E5DE4" w:rsidRDefault="00780368">
            <w:pPr>
              <w:widowControl w:val="0"/>
              <w:pBdr>
                <w:top w:val="nil"/>
                <w:left w:val="nil"/>
                <w:bottom w:val="nil"/>
                <w:right w:val="nil"/>
                <w:between w:val="nil"/>
              </w:pBdr>
              <w:ind w:left="113" w:right="-57" w:hanging="113"/>
              <w:rPr>
                <w:i/>
                <w:color w:val="000000"/>
              </w:rPr>
            </w:pPr>
            <w:r>
              <w:rPr>
                <w:color w:val="000000"/>
              </w:rPr>
              <w:t>- Owners of the Company</w:t>
            </w:r>
          </w:p>
        </w:tc>
        <w:tc>
          <w:tcPr>
            <w:tcW w:w="737" w:type="dxa"/>
            <w:vAlign w:val="bottom"/>
          </w:tcPr>
          <w:p w14:paraId="6B31D401"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719F104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E3FDBBD" w14:textId="77777777" w:rsidR="008E5DE4" w:rsidRDefault="008E5DE4">
            <w:pPr>
              <w:widowControl w:val="0"/>
              <w:pBdr>
                <w:top w:val="nil"/>
                <w:left w:val="nil"/>
                <w:bottom w:val="nil"/>
                <w:right w:val="nil"/>
                <w:between w:val="nil"/>
              </w:pBdr>
              <w:jc w:val="right"/>
              <w:rPr>
                <w:color w:val="000000"/>
              </w:rPr>
            </w:pPr>
          </w:p>
        </w:tc>
      </w:tr>
      <w:tr w:rsidR="008E5DE4" w14:paraId="337C7C83" w14:textId="77777777">
        <w:trPr>
          <w:cantSplit/>
        </w:trPr>
        <w:tc>
          <w:tcPr>
            <w:tcW w:w="5556" w:type="dxa"/>
            <w:vAlign w:val="bottom"/>
          </w:tcPr>
          <w:p w14:paraId="436E4135" w14:textId="77777777" w:rsidR="008E5DE4" w:rsidRDefault="00780368">
            <w:pPr>
              <w:widowControl w:val="0"/>
              <w:pBdr>
                <w:top w:val="nil"/>
                <w:left w:val="nil"/>
                <w:bottom w:val="nil"/>
                <w:right w:val="nil"/>
                <w:between w:val="nil"/>
              </w:pBdr>
              <w:ind w:left="113" w:right="-57" w:hanging="113"/>
              <w:rPr>
                <w:color w:val="000000"/>
              </w:rPr>
            </w:pPr>
            <w:r>
              <w:rPr>
                <w:color w:val="000000"/>
              </w:rPr>
              <w:t>- Non-controlling interest</w:t>
            </w:r>
          </w:p>
        </w:tc>
        <w:tc>
          <w:tcPr>
            <w:tcW w:w="737" w:type="dxa"/>
            <w:vAlign w:val="bottom"/>
          </w:tcPr>
          <w:p w14:paraId="77C86564" w14:textId="77777777" w:rsidR="008E5DE4" w:rsidRDefault="008E5DE4">
            <w:pPr>
              <w:widowControl w:val="0"/>
              <w:pBdr>
                <w:top w:val="nil"/>
                <w:left w:val="nil"/>
                <w:bottom w:val="nil"/>
                <w:right w:val="nil"/>
                <w:between w:val="nil"/>
              </w:pBdr>
              <w:jc w:val="center"/>
              <w:rPr>
                <w:smallCaps/>
                <w:color w:val="000000"/>
              </w:rPr>
            </w:pPr>
          </w:p>
        </w:tc>
        <w:tc>
          <w:tcPr>
            <w:tcW w:w="1531" w:type="dxa"/>
            <w:vAlign w:val="bottom"/>
          </w:tcPr>
          <w:p w14:paraId="5DE6B70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7091BCD" w14:textId="77777777" w:rsidR="008E5DE4" w:rsidRDefault="008E5DE4">
            <w:pPr>
              <w:widowControl w:val="0"/>
              <w:pBdr>
                <w:top w:val="nil"/>
                <w:left w:val="nil"/>
                <w:bottom w:val="nil"/>
                <w:right w:val="nil"/>
                <w:between w:val="nil"/>
              </w:pBdr>
              <w:jc w:val="right"/>
              <w:rPr>
                <w:color w:val="000000"/>
              </w:rPr>
            </w:pPr>
          </w:p>
        </w:tc>
      </w:tr>
      <w:tr w:rsidR="008E5DE4" w14:paraId="099B59D9" w14:textId="77777777">
        <w:trPr>
          <w:cantSplit/>
        </w:trPr>
        <w:tc>
          <w:tcPr>
            <w:tcW w:w="5556" w:type="dxa"/>
            <w:tcBorders>
              <w:bottom w:val="single" w:sz="12" w:space="0" w:color="000000"/>
            </w:tcBorders>
            <w:vAlign w:val="bottom"/>
          </w:tcPr>
          <w:p w14:paraId="49C17CF0"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737" w:type="dxa"/>
            <w:tcBorders>
              <w:bottom w:val="single" w:sz="12" w:space="0" w:color="000000"/>
            </w:tcBorders>
            <w:vAlign w:val="bottom"/>
          </w:tcPr>
          <w:p w14:paraId="1EE2EABE" w14:textId="77777777" w:rsidR="008E5DE4" w:rsidRDefault="008E5DE4">
            <w:pPr>
              <w:widowControl w:val="0"/>
              <w:pBdr>
                <w:top w:val="nil"/>
                <w:left w:val="nil"/>
                <w:bottom w:val="nil"/>
                <w:right w:val="nil"/>
                <w:between w:val="nil"/>
              </w:pBdr>
              <w:jc w:val="center"/>
              <w:rPr>
                <w:b/>
                <w:color w:val="000000"/>
              </w:rPr>
            </w:pPr>
          </w:p>
        </w:tc>
        <w:tc>
          <w:tcPr>
            <w:tcW w:w="1531" w:type="dxa"/>
            <w:tcBorders>
              <w:bottom w:val="single" w:sz="12" w:space="0" w:color="000000"/>
            </w:tcBorders>
            <w:vAlign w:val="bottom"/>
          </w:tcPr>
          <w:p w14:paraId="02542F8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72B0F45C" w14:textId="77777777" w:rsidR="008E5DE4" w:rsidRDefault="008E5DE4">
            <w:pPr>
              <w:widowControl w:val="0"/>
              <w:pBdr>
                <w:top w:val="nil"/>
                <w:left w:val="nil"/>
                <w:bottom w:val="nil"/>
                <w:right w:val="nil"/>
                <w:between w:val="nil"/>
              </w:pBdr>
              <w:jc w:val="right"/>
              <w:rPr>
                <w:color w:val="000000"/>
              </w:rPr>
            </w:pPr>
          </w:p>
        </w:tc>
      </w:tr>
      <w:tr w:rsidR="008E5DE4" w14:paraId="52EF391C" w14:textId="77777777">
        <w:trPr>
          <w:cantSplit/>
        </w:trPr>
        <w:tc>
          <w:tcPr>
            <w:tcW w:w="5556" w:type="dxa"/>
            <w:tcBorders>
              <w:top w:val="single" w:sz="4" w:space="0" w:color="000000"/>
            </w:tcBorders>
            <w:vAlign w:val="bottom"/>
          </w:tcPr>
          <w:p w14:paraId="27D29DF2"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737" w:type="dxa"/>
            <w:tcBorders>
              <w:top w:val="single" w:sz="4" w:space="0" w:color="000000"/>
            </w:tcBorders>
            <w:vAlign w:val="bottom"/>
          </w:tcPr>
          <w:p w14:paraId="560204A9" w14:textId="77777777" w:rsidR="008E5DE4" w:rsidRDefault="008E5DE4">
            <w:pPr>
              <w:widowControl w:val="0"/>
              <w:pBdr>
                <w:top w:val="nil"/>
                <w:left w:val="nil"/>
                <w:bottom w:val="nil"/>
                <w:right w:val="nil"/>
                <w:between w:val="nil"/>
              </w:pBdr>
              <w:jc w:val="center"/>
              <w:rPr>
                <w:b/>
                <w:color w:val="000000"/>
              </w:rPr>
            </w:pPr>
          </w:p>
        </w:tc>
        <w:tc>
          <w:tcPr>
            <w:tcW w:w="1531" w:type="dxa"/>
            <w:tcBorders>
              <w:top w:val="single" w:sz="4" w:space="0" w:color="000000"/>
            </w:tcBorders>
            <w:vAlign w:val="bottom"/>
          </w:tcPr>
          <w:p w14:paraId="2679A6A1"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23FA4329" w14:textId="77777777" w:rsidR="008E5DE4" w:rsidRDefault="008E5DE4">
            <w:pPr>
              <w:widowControl w:val="0"/>
              <w:pBdr>
                <w:top w:val="nil"/>
                <w:left w:val="nil"/>
                <w:bottom w:val="nil"/>
                <w:right w:val="nil"/>
                <w:between w:val="nil"/>
              </w:pBdr>
              <w:jc w:val="right"/>
              <w:rPr>
                <w:color w:val="000000"/>
              </w:rPr>
            </w:pPr>
          </w:p>
        </w:tc>
      </w:tr>
      <w:tr w:rsidR="008E5DE4" w14:paraId="61148DDD" w14:textId="77777777">
        <w:trPr>
          <w:cantSplit/>
        </w:trPr>
        <w:tc>
          <w:tcPr>
            <w:tcW w:w="5556" w:type="dxa"/>
            <w:vAlign w:val="bottom"/>
          </w:tcPr>
          <w:p w14:paraId="3E6ED05F"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comprehensive income/(loss) for the year</w:t>
            </w:r>
          </w:p>
        </w:tc>
        <w:tc>
          <w:tcPr>
            <w:tcW w:w="737" w:type="dxa"/>
            <w:vAlign w:val="bottom"/>
          </w:tcPr>
          <w:p w14:paraId="3C3CA740" w14:textId="77777777" w:rsidR="008E5DE4" w:rsidRDefault="008E5DE4">
            <w:pPr>
              <w:widowControl w:val="0"/>
              <w:pBdr>
                <w:top w:val="nil"/>
                <w:left w:val="nil"/>
                <w:bottom w:val="nil"/>
                <w:right w:val="nil"/>
                <w:between w:val="nil"/>
              </w:pBdr>
              <w:jc w:val="center"/>
              <w:rPr>
                <w:b/>
                <w:color w:val="000000"/>
              </w:rPr>
            </w:pPr>
          </w:p>
        </w:tc>
        <w:tc>
          <w:tcPr>
            <w:tcW w:w="1531" w:type="dxa"/>
            <w:vAlign w:val="bottom"/>
          </w:tcPr>
          <w:p w14:paraId="7DE91AD0" w14:textId="77777777" w:rsidR="008E5DE4" w:rsidRDefault="00000000">
            <w:pPr>
              <w:widowControl w:val="0"/>
              <w:pBdr>
                <w:top w:val="nil"/>
                <w:left w:val="nil"/>
                <w:bottom w:val="nil"/>
                <w:right w:val="nil"/>
                <w:between w:val="nil"/>
              </w:pBdr>
              <w:jc w:val="right"/>
              <w:rPr>
                <w:b/>
                <w:color w:val="000000"/>
              </w:rPr>
            </w:pPr>
            <w:sdt>
              <w:sdtPr>
                <w:tag w:val="goog_rdk_6"/>
                <w:id w:val="-205805039"/>
              </w:sdtPr>
              <w:sdtContent>
                <w:r w:rsidR="00780368">
                  <w:rPr>
                    <w:rFonts w:ascii="Arial Unicode MS" w:eastAsia="Arial Unicode MS" w:hAnsi="Arial Unicode MS" w:cs="Arial Unicode MS"/>
                    <w:color w:val="000000"/>
                  </w:rPr>
                  <w:t>∑</w:t>
                </w:r>
              </w:sdtContent>
            </w:sdt>
          </w:p>
        </w:tc>
        <w:tc>
          <w:tcPr>
            <w:tcW w:w="1531" w:type="dxa"/>
            <w:vAlign w:val="bottom"/>
          </w:tcPr>
          <w:p w14:paraId="72B69239" w14:textId="77777777" w:rsidR="008E5DE4" w:rsidRDefault="00000000">
            <w:pPr>
              <w:widowControl w:val="0"/>
              <w:pBdr>
                <w:top w:val="nil"/>
                <w:left w:val="nil"/>
                <w:bottom w:val="nil"/>
                <w:right w:val="nil"/>
                <w:between w:val="nil"/>
              </w:pBdr>
              <w:jc w:val="right"/>
              <w:rPr>
                <w:b/>
                <w:color w:val="000000"/>
              </w:rPr>
            </w:pPr>
            <w:sdt>
              <w:sdtPr>
                <w:tag w:val="goog_rdk_7"/>
                <w:id w:val="-1171023633"/>
              </w:sdtPr>
              <w:sdtContent>
                <w:r w:rsidR="00780368">
                  <w:rPr>
                    <w:rFonts w:ascii="Arial Unicode MS" w:eastAsia="Arial Unicode MS" w:hAnsi="Arial Unicode MS" w:cs="Arial Unicode MS"/>
                    <w:color w:val="000000"/>
                  </w:rPr>
                  <w:t>∑</w:t>
                </w:r>
              </w:sdtContent>
            </w:sdt>
          </w:p>
        </w:tc>
      </w:tr>
      <w:tr w:rsidR="008E5DE4" w14:paraId="2B3732E0" w14:textId="77777777">
        <w:trPr>
          <w:cantSplit/>
        </w:trPr>
        <w:tc>
          <w:tcPr>
            <w:tcW w:w="5556" w:type="dxa"/>
            <w:tcBorders>
              <w:bottom w:val="single" w:sz="12" w:space="0" w:color="000000"/>
            </w:tcBorders>
            <w:vAlign w:val="bottom"/>
          </w:tcPr>
          <w:p w14:paraId="6C934C8C"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737" w:type="dxa"/>
            <w:tcBorders>
              <w:bottom w:val="single" w:sz="12" w:space="0" w:color="000000"/>
            </w:tcBorders>
            <w:vAlign w:val="bottom"/>
          </w:tcPr>
          <w:p w14:paraId="69EC7AF6" w14:textId="77777777" w:rsidR="008E5DE4" w:rsidRDefault="008E5DE4">
            <w:pPr>
              <w:widowControl w:val="0"/>
              <w:pBdr>
                <w:top w:val="nil"/>
                <w:left w:val="nil"/>
                <w:bottom w:val="nil"/>
                <w:right w:val="nil"/>
                <w:between w:val="nil"/>
              </w:pBdr>
              <w:jc w:val="center"/>
              <w:rPr>
                <w:b/>
                <w:color w:val="000000"/>
              </w:rPr>
            </w:pPr>
          </w:p>
        </w:tc>
        <w:tc>
          <w:tcPr>
            <w:tcW w:w="1531" w:type="dxa"/>
            <w:tcBorders>
              <w:bottom w:val="single" w:sz="12" w:space="0" w:color="000000"/>
            </w:tcBorders>
            <w:vAlign w:val="bottom"/>
          </w:tcPr>
          <w:p w14:paraId="303622F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27E8DB70" w14:textId="77777777" w:rsidR="008E5DE4" w:rsidRDefault="008E5DE4">
            <w:pPr>
              <w:widowControl w:val="0"/>
              <w:pBdr>
                <w:top w:val="nil"/>
                <w:left w:val="nil"/>
                <w:bottom w:val="nil"/>
                <w:right w:val="nil"/>
                <w:between w:val="nil"/>
              </w:pBdr>
              <w:jc w:val="right"/>
              <w:rPr>
                <w:color w:val="000000"/>
              </w:rPr>
            </w:pPr>
          </w:p>
        </w:tc>
      </w:tr>
      <w:tr w:rsidR="008E5DE4" w14:paraId="5E0D1131" w14:textId="77777777">
        <w:trPr>
          <w:cantSplit/>
        </w:trPr>
        <w:tc>
          <w:tcPr>
            <w:tcW w:w="5556" w:type="dxa"/>
            <w:tcBorders>
              <w:top w:val="single" w:sz="12" w:space="0" w:color="000000"/>
            </w:tcBorders>
            <w:vAlign w:val="bottom"/>
          </w:tcPr>
          <w:p w14:paraId="7FA79762" w14:textId="77777777" w:rsidR="008E5DE4" w:rsidRDefault="00780368">
            <w:pPr>
              <w:widowControl w:val="0"/>
              <w:ind w:left="113" w:right="-57" w:hanging="113"/>
            </w:pPr>
            <w:r>
              <w:t> </w:t>
            </w:r>
          </w:p>
        </w:tc>
        <w:tc>
          <w:tcPr>
            <w:tcW w:w="737" w:type="dxa"/>
            <w:tcBorders>
              <w:top w:val="single" w:sz="12" w:space="0" w:color="000000"/>
            </w:tcBorders>
            <w:vAlign w:val="bottom"/>
          </w:tcPr>
          <w:p w14:paraId="5B678CE7" w14:textId="77777777" w:rsidR="008E5DE4" w:rsidRDefault="008E5DE4">
            <w:pPr>
              <w:widowControl w:val="0"/>
              <w:pBdr>
                <w:top w:val="nil"/>
                <w:left w:val="nil"/>
                <w:bottom w:val="nil"/>
                <w:right w:val="nil"/>
                <w:between w:val="nil"/>
              </w:pBdr>
              <w:jc w:val="center"/>
              <w:rPr>
                <w:b/>
                <w:smallCaps/>
                <w:color w:val="000000"/>
              </w:rPr>
            </w:pPr>
          </w:p>
        </w:tc>
        <w:tc>
          <w:tcPr>
            <w:tcW w:w="1531" w:type="dxa"/>
            <w:tcBorders>
              <w:top w:val="single" w:sz="12" w:space="0" w:color="000000"/>
            </w:tcBorders>
            <w:vAlign w:val="bottom"/>
          </w:tcPr>
          <w:p w14:paraId="2E954EF7"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12" w:space="0" w:color="000000"/>
            </w:tcBorders>
            <w:vAlign w:val="bottom"/>
          </w:tcPr>
          <w:p w14:paraId="3103136D" w14:textId="77777777" w:rsidR="008E5DE4" w:rsidRDefault="008E5DE4">
            <w:pPr>
              <w:widowControl w:val="0"/>
              <w:pBdr>
                <w:top w:val="nil"/>
                <w:left w:val="nil"/>
                <w:bottom w:val="nil"/>
                <w:right w:val="nil"/>
                <w:between w:val="nil"/>
              </w:pBdr>
              <w:jc w:val="right"/>
              <w:rPr>
                <w:color w:val="000000"/>
              </w:rPr>
            </w:pPr>
          </w:p>
        </w:tc>
      </w:tr>
      <w:tr w:rsidR="008E5DE4" w14:paraId="701DAF3D" w14:textId="77777777">
        <w:trPr>
          <w:cantSplit/>
        </w:trPr>
        <w:tc>
          <w:tcPr>
            <w:tcW w:w="5556" w:type="dxa"/>
            <w:vAlign w:val="bottom"/>
          </w:tcPr>
          <w:p w14:paraId="3659616A" w14:textId="77777777" w:rsidR="008E5DE4" w:rsidRDefault="00780368">
            <w:pPr>
              <w:widowControl w:val="0"/>
              <w:pBdr>
                <w:top w:val="nil"/>
                <w:left w:val="nil"/>
                <w:bottom w:val="nil"/>
                <w:right w:val="nil"/>
                <w:between w:val="nil"/>
              </w:pBdr>
              <w:ind w:left="113" w:right="-57" w:hanging="113"/>
              <w:rPr>
                <w:color w:val="000000"/>
              </w:rPr>
            </w:pPr>
            <w:r>
              <w:rPr>
                <w:color w:val="000000"/>
              </w:rPr>
              <w:t>Earnings/(loss) per ordinary share for profit/(loss) from continuing operations attributable to the owners of the Company, basic and diluted (in EUR per share)</w:t>
            </w:r>
          </w:p>
        </w:tc>
        <w:tc>
          <w:tcPr>
            <w:tcW w:w="737" w:type="dxa"/>
            <w:vAlign w:val="bottom"/>
          </w:tcPr>
          <w:p w14:paraId="1DFAE678" w14:textId="77777777" w:rsidR="008E5DE4" w:rsidRDefault="00780368">
            <w:pPr>
              <w:widowControl w:val="0"/>
              <w:pBdr>
                <w:top w:val="nil"/>
                <w:left w:val="nil"/>
                <w:bottom w:val="nil"/>
                <w:right w:val="nil"/>
                <w:between w:val="nil"/>
              </w:pBdr>
              <w:jc w:val="center"/>
              <w:rPr>
                <w:smallCaps/>
                <w:color w:val="000000"/>
              </w:rPr>
            </w:pPr>
            <w:r>
              <w:rPr>
                <w:smallCaps/>
                <w:color w:val="000000"/>
              </w:rPr>
              <w:t>41</w:t>
            </w:r>
          </w:p>
        </w:tc>
        <w:tc>
          <w:tcPr>
            <w:tcW w:w="1531" w:type="dxa"/>
            <w:vAlign w:val="bottom"/>
          </w:tcPr>
          <w:p w14:paraId="3D683D98"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30FCC4E" w14:textId="77777777" w:rsidR="008E5DE4" w:rsidRDefault="008E5DE4">
            <w:pPr>
              <w:widowControl w:val="0"/>
              <w:pBdr>
                <w:top w:val="nil"/>
                <w:left w:val="nil"/>
                <w:bottom w:val="nil"/>
                <w:right w:val="nil"/>
                <w:between w:val="nil"/>
              </w:pBdr>
              <w:jc w:val="right"/>
              <w:rPr>
                <w:b/>
                <w:color w:val="000000"/>
              </w:rPr>
            </w:pPr>
          </w:p>
        </w:tc>
      </w:tr>
      <w:tr w:rsidR="008E5DE4" w14:paraId="0A0FC88D" w14:textId="77777777">
        <w:trPr>
          <w:cantSplit/>
        </w:trPr>
        <w:tc>
          <w:tcPr>
            <w:tcW w:w="5556" w:type="dxa"/>
            <w:tcBorders>
              <w:bottom w:val="single" w:sz="12" w:space="0" w:color="000000"/>
            </w:tcBorders>
            <w:vAlign w:val="bottom"/>
          </w:tcPr>
          <w:p w14:paraId="3DD8AE5F"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bottom w:val="single" w:sz="12" w:space="0" w:color="000000"/>
            </w:tcBorders>
            <w:vAlign w:val="bottom"/>
          </w:tcPr>
          <w:p w14:paraId="3CA64C0D"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12" w:space="0" w:color="000000"/>
            </w:tcBorders>
            <w:vAlign w:val="bottom"/>
          </w:tcPr>
          <w:p w14:paraId="52C06AE2"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3AD149FA" w14:textId="77777777" w:rsidR="008E5DE4" w:rsidRDefault="008E5DE4">
            <w:pPr>
              <w:widowControl w:val="0"/>
              <w:pBdr>
                <w:top w:val="nil"/>
                <w:left w:val="nil"/>
                <w:bottom w:val="nil"/>
                <w:right w:val="nil"/>
                <w:between w:val="nil"/>
              </w:pBdr>
              <w:jc w:val="right"/>
              <w:rPr>
                <w:b/>
                <w:color w:val="000000"/>
              </w:rPr>
            </w:pPr>
          </w:p>
        </w:tc>
      </w:tr>
      <w:tr w:rsidR="008E5DE4" w14:paraId="72E321D5" w14:textId="77777777">
        <w:trPr>
          <w:cantSplit/>
        </w:trPr>
        <w:tc>
          <w:tcPr>
            <w:tcW w:w="5556" w:type="dxa"/>
            <w:tcBorders>
              <w:top w:val="single" w:sz="12" w:space="0" w:color="000000"/>
            </w:tcBorders>
            <w:vAlign w:val="bottom"/>
          </w:tcPr>
          <w:p w14:paraId="1A8D7CB3"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top w:val="single" w:sz="12" w:space="0" w:color="000000"/>
            </w:tcBorders>
            <w:vAlign w:val="bottom"/>
          </w:tcPr>
          <w:p w14:paraId="40F5B0B3" w14:textId="77777777" w:rsidR="008E5DE4" w:rsidRDefault="008E5DE4">
            <w:pPr>
              <w:widowControl w:val="0"/>
              <w:pBdr>
                <w:top w:val="nil"/>
                <w:left w:val="nil"/>
                <w:bottom w:val="nil"/>
                <w:right w:val="nil"/>
                <w:between w:val="nil"/>
              </w:pBdr>
              <w:jc w:val="center"/>
              <w:rPr>
                <w:smallCaps/>
                <w:color w:val="000000"/>
              </w:rPr>
            </w:pPr>
          </w:p>
        </w:tc>
        <w:tc>
          <w:tcPr>
            <w:tcW w:w="1531" w:type="dxa"/>
            <w:tcBorders>
              <w:top w:val="single" w:sz="12" w:space="0" w:color="000000"/>
            </w:tcBorders>
            <w:vAlign w:val="bottom"/>
          </w:tcPr>
          <w:p w14:paraId="2C889C6B"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0FE58319" w14:textId="77777777" w:rsidR="008E5DE4" w:rsidRDefault="008E5DE4">
            <w:pPr>
              <w:widowControl w:val="0"/>
              <w:pBdr>
                <w:top w:val="nil"/>
                <w:left w:val="nil"/>
                <w:bottom w:val="nil"/>
                <w:right w:val="nil"/>
                <w:between w:val="nil"/>
              </w:pBdr>
              <w:jc w:val="right"/>
              <w:rPr>
                <w:b/>
                <w:color w:val="000000"/>
              </w:rPr>
            </w:pPr>
          </w:p>
        </w:tc>
      </w:tr>
      <w:tr w:rsidR="008E5DE4" w14:paraId="6AC8207B" w14:textId="77777777">
        <w:trPr>
          <w:cantSplit/>
        </w:trPr>
        <w:tc>
          <w:tcPr>
            <w:tcW w:w="5556" w:type="dxa"/>
            <w:vAlign w:val="bottom"/>
          </w:tcPr>
          <w:p w14:paraId="0E95DAB9" w14:textId="77777777" w:rsidR="008E5DE4" w:rsidRDefault="00780368">
            <w:pPr>
              <w:widowControl w:val="0"/>
              <w:pBdr>
                <w:top w:val="nil"/>
                <w:left w:val="nil"/>
                <w:bottom w:val="nil"/>
                <w:right w:val="nil"/>
                <w:between w:val="nil"/>
              </w:pBdr>
              <w:ind w:left="113" w:right="-57" w:hanging="113"/>
              <w:rPr>
                <w:color w:val="000000"/>
              </w:rPr>
            </w:pPr>
            <w:r>
              <w:rPr>
                <w:color w:val="000000"/>
              </w:rPr>
              <w:t>Earnings/(loss) per ordinary share for profit/(loss) from discontinued operations attributable to the owners of the Company, basic and diluted (in EUR per share)</w:t>
            </w:r>
          </w:p>
        </w:tc>
        <w:tc>
          <w:tcPr>
            <w:tcW w:w="737" w:type="dxa"/>
            <w:vAlign w:val="bottom"/>
          </w:tcPr>
          <w:p w14:paraId="25F4A5E1" w14:textId="77777777" w:rsidR="008E5DE4" w:rsidRDefault="00780368">
            <w:pPr>
              <w:widowControl w:val="0"/>
              <w:pBdr>
                <w:top w:val="nil"/>
                <w:left w:val="nil"/>
                <w:bottom w:val="nil"/>
                <w:right w:val="nil"/>
                <w:between w:val="nil"/>
              </w:pBdr>
              <w:jc w:val="center"/>
              <w:rPr>
                <w:smallCaps/>
                <w:color w:val="000000"/>
              </w:rPr>
            </w:pPr>
            <w:r>
              <w:rPr>
                <w:smallCaps/>
                <w:color w:val="000000"/>
              </w:rPr>
              <w:t>41</w:t>
            </w:r>
          </w:p>
        </w:tc>
        <w:tc>
          <w:tcPr>
            <w:tcW w:w="1531" w:type="dxa"/>
            <w:vAlign w:val="bottom"/>
          </w:tcPr>
          <w:p w14:paraId="358C64D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6050CC7" w14:textId="77777777" w:rsidR="008E5DE4" w:rsidRDefault="008E5DE4">
            <w:pPr>
              <w:widowControl w:val="0"/>
              <w:pBdr>
                <w:top w:val="nil"/>
                <w:left w:val="nil"/>
                <w:bottom w:val="nil"/>
                <w:right w:val="nil"/>
                <w:between w:val="nil"/>
              </w:pBdr>
              <w:jc w:val="right"/>
              <w:rPr>
                <w:b/>
                <w:color w:val="000000"/>
              </w:rPr>
            </w:pPr>
          </w:p>
        </w:tc>
      </w:tr>
      <w:tr w:rsidR="008E5DE4" w14:paraId="34BFB547" w14:textId="77777777">
        <w:trPr>
          <w:cantSplit/>
        </w:trPr>
        <w:tc>
          <w:tcPr>
            <w:tcW w:w="5556" w:type="dxa"/>
            <w:tcBorders>
              <w:bottom w:val="single" w:sz="12" w:space="0" w:color="000000"/>
            </w:tcBorders>
            <w:vAlign w:val="bottom"/>
          </w:tcPr>
          <w:p w14:paraId="1A9307FF"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bottom w:val="single" w:sz="12" w:space="0" w:color="000000"/>
            </w:tcBorders>
            <w:vAlign w:val="bottom"/>
          </w:tcPr>
          <w:p w14:paraId="15A6781D"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12" w:space="0" w:color="000000"/>
            </w:tcBorders>
            <w:vAlign w:val="bottom"/>
          </w:tcPr>
          <w:p w14:paraId="2E5AA609"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66A07545" w14:textId="77777777" w:rsidR="008E5DE4" w:rsidRDefault="008E5DE4">
            <w:pPr>
              <w:widowControl w:val="0"/>
              <w:pBdr>
                <w:top w:val="nil"/>
                <w:left w:val="nil"/>
                <w:bottom w:val="nil"/>
                <w:right w:val="nil"/>
                <w:between w:val="nil"/>
              </w:pBdr>
              <w:jc w:val="right"/>
              <w:rPr>
                <w:b/>
                <w:color w:val="000000"/>
              </w:rPr>
            </w:pPr>
          </w:p>
        </w:tc>
      </w:tr>
      <w:tr w:rsidR="008E5DE4" w14:paraId="0726AB73" w14:textId="77777777">
        <w:trPr>
          <w:cantSplit/>
        </w:trPr>
        <w:tc>
          <w:tcPr>
            <w:tcW w:w="5556" w:type="dxa"/>
            <w:tcBorders>
              <w:top w:val="single" w:sz="12" w:space="0" w:color="000000"/>
            </w:tcBorders>
            <w:vAlign w:val="bottom"/>
          </w:tcPr>
          <w:p w14:paraId="399A3D22"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top w:val="single" w:sz="12" w:space="0" w:color="000000"/>
            </w:tcBorders>
            <w:vAlign w:val="bottom"/>
          </w:tcPr>
          <w:p w14:paraId="6D28211C" w14:textId="77777777" w:rsidR="008E5DE4" w:rsidRDefault="008E5DE4">
            <w:pPr>
              <w:widowControl w:val="0"/>
              <w:pBdr>
                <w:top w:val="nil"/>
                <w:left w:val="nil"/>
                <w:bottom w:val="nil"/>
                <w:right w:val="nil"/>
                <w:between w:val="nil"/>
              </w:pBdr>
              <w:jc w:val="center"/>
              <w:rPr>
                <w:smallCaps/>
                <w:color w:val="000000"/>
              </w:rPr>
            </w:pPr>
          </w:p>
        </w:tc>
        <w:tc>
          <w:tcPr>
            <w:tcW w:w="1531" w:type="dxa"/>
            <w:tcBorders>
              <w:top w:val="single" w:sz="12" w:space="0" w:color="000000"/>
            </w:tcBorders>
            <w:vAlign w:val="bottom"/>
          </w:tcPr>
          <w:p w14:paraId="378B0E42"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6CAEC0C8" w14:textId="77777777" w:rsidR="008E5DE4" w:rsidRDefault="008E5DE4">
            <w:pPr>
              <w:widowControl w:val="0"/>
              <w:pBdr>
                <w:top w:val="nil"/>
                <w:left w:val="nil"/>
                <w:bottom w:val="nil"/>
                <w:right w:val="nil"/>
                <w:between w:val="nil"/>
              </w:pBdr>
              <w:jc w:val="right"/>
              <w:rPr>
                <w:b/>
                <w:color w:val="000000"/>
              </w:rPr>
            </w:pPr>
          </w:p>
        </w:tc>
      </w:tr>
      <w:tr w:rsidR="008E5DE4" w14:paraId="2A8AB435" w14:textId="77777777">
        <w:trPr>
          <w:cantSplit/>
        </w:trPr>
        <w:tc>
          <w:tcPr>
            <w:tcW w:w="5556" w:type="dxa"/>
            <w:vAlign w:val="bottom"/>
          </w:tcPr>
          <w:p w14:paraId="718C18BE" w14:textId="20BD00CB" w:rsidR="008E5DE4" w:rsidRDefault="00780368">
            <w:pPr>
              <w:widowControl w:val="0"/>
              <w:pBdr>
                <w:top w:val="nil"/>
                <w:left w:val="nil"/>
                <w:bottom w:val="nil"/>
                <w:right w:val="nil"/>
                <w:between w:val="nil"/>
              </w:pBdr>
              <w:ind w:left="113" w:right="-57" w:hanging="113"/>
              <w:rPr>
                <w:color w:val="000000"/>
              </w:rPr>
            </w:pPr>
            <w:r>
              <w:rPr>
                <w:color w:val="000000"/>
              </w:rPr>
              <w:t>Earnings/(loss) per preference share for profit/(loss) from continuing operations attributable to the owners of the Company, basic and diluted (in EUR per share)</w:t>
            </w:r>
          </w:p>
        </w:tc>
        <w:tc>
          <w:tcPr>
            <w:tcW w:w="737" w:type="dxa"/>
            <w:vAlign w:val="bottom"/>
          </w:tcPr>
          <w:p w14:paraId="269E132E" w14:textId="77777777" w:rsidR="008E5DE4" w:rsidRDefault="00780368">
            <w:pPr>
              <w:widowControl w:val="0"/>
              <w:pBdr>
                <w:top w:val="nil"/>
                <w:left w:val="nil"/>
                <w:bottom w:val="nil"/>
                <w:right w:val="nil"/>
                <w:between w:val="nil"/>
              </w:pBdr>
              <w:jc w:val="center"/>
              <w:rPr>
                <w:smallCaps/>
                <w:color w:val="000000"/>
              </w:rPr>
            </w:pPr>
            <w:r>
              <w:rPr>
                <w:smallCaps/>
                <w:color w:val="000000"/>
              </w:rPr>
              <w:t>41</w:t>
            </w:r>
          </w:p>
        </w:tc>
        <w:tc>
          <w:tcPr>
            <w:tcW w:w="1531" w:type="dxa"/>
            <w:vAlign w:val="bottom"/>
          </w:tcPr>
          <w:p w14:paraId="1952A3C1"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260E700" w14:textId="77777777" w:rsidR="008E5DE4" w:rsidRDefault="008E5DE4">
            <w:pPr>
              <w:widowControl w:val="0"/>
              <w:pBdr>
                <w:top w:val="nil"/>
                <w:left w:val="nil"/>
                <w:bottom w:val="nil"/>
                <w:right w:val="nil"/>
                <w:between w:val="nil"/>
              </w:pBdr>
              <w:jc w:val="right"/>
              <w:rPr>
                <w:b/>
                <w:color w:val="000000"/>
              </w:rPr>
            </w:pPr>
          </w:p>
        </w:tc>
      </w:tr>
      <w:tr w:rsidR="008E5DE4" w14:paraId="40D60ED1" w14:textId="77777777">
        <w:trPr>
          <w:cantSplit/>
        </w:trPr>
        <w:tc>
          <w:tcPr>
            <w:tcW w:w="5556" w:type="dxa"/>
            <w:tcBorders>
              <w:bottom w:val="single" w:sz="12" w:space="0" w:color="000000"/>
            </w:tcBorders>
            <w:vAlign w:val="bottom"/>
          </w:tcPr>
          <w:p w14:paraId="26301A7D"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bottom w:val="single" w:sz="12" w:space="0" w:color="000000"/>
            </w:tcBorders>
            <w:vAlign w:val="bottom"/>
          </w:tcPr>
          <w:p w14:paraId="1E7500F5"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12" w:space="0" w:color="000000"/>
            </w:tcBorders>
            <w:vAlign w:val="bottom"/>
          </w:tcPr>
          <w:p w14:paraId="09B27ECA"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1FB6BF4F" w14:textId="77777777" w:rsidR="008E5DE4" w:rsidRDefault="008E5DE4">
            <w:pPr>
              <w:widowControl w:val="0"/>
              <w:pBdr>
                <w:top w:val="nil"/>
                <w:left w:val="nil"/>
                <w:bottom w:val="nil"/>
                <w:right w:val="nil"/>
                <w:between w:val="nil"/>
              </w:pBdr>
              <w:jc w:val="right"/>
              <w:rPr>
                <w:b/>
                <w:color w:val="000000"/>
              </w:rPr>
            </w:pPr>
          </w:p>
        </w:tc>
      </w:tr>
      <w:tr w:rsidR="008E5DE4" w14:paraId="7716A04E" w14:textId="77777777">
        <w:trPr>
          <w:cantSplit/>
        </w:trPr>
        <w:tc>
          <w:tcPr>
            <w:tcW w:w="5556" w:type="dxa"/>
            <w:tcBorders>
              <w:top w:val="single" w:sz="12" w:space="0" w:color="000000"/>
            </w:tcBorders>
            <w:vAlign w:val="bottom"/>
          </w:tcPr>
          <w:p w14:paraId="6F034EF3"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top w:val="single" w:sz="12" w:space="0" w:color="000000"/>
            </w:tcBorders>
            <w:vAlign w:val="bottom"/>
          </w:tcPr>
          <w:p w14:paraId="6CF8B71C" w14:textId="77777777" w:rsidR="008E5DE4" w:rsidRDefault="008E5DE4">
            <w:pPr>
              <w:widowControl w:val="0"/>
              <w:pBdr>
                <w:top w:val="nil"/>
                <w:left w:val="nil"/>
                <w:bottom w:val="nil"/>
                <w:right w:val="nil"/>
                <w:between w:val="nil"/>
              </w:pBdr>
              <w:jc w:val="center"/>
              <w:rPr>
                <w:smallCaps/>
                <w:color w:val="000000"/>
              </w:rPr>
            </w:pPr>
          </w:p>
        </w:tc>
        <w:tc>
          <w:tcPr>
            <w:tcW w:w="1531" w:type="dxa"/>
            <w:tcBorders>
              <w:top w:val="single" w:sz="12" w:space="0" w:color="000000"/>
            </w:tcBorders>
            <w:vAlign w:val="bottom"/>
          </w:tcPr>
          <w:p w14:paraId="1C95B0AC"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35A787EF" w14:textId="77777777" w:rsidR="008E5DE4" w:rsidRDefault="008E5DE4">
            <w:pPr>
              <w:widowControl w:val="0"/>
              <w:pBdr>
                <w:top w:val="nil"/>
                <w:left w:val="nil"/>
                <w:bottom w:val="nil"/>
                <w:right w:val="nil"/>
                <w:between w:val="nil"/>
              </w:pBdr>
              <w:jc w:val="right"/>
              <w:rPr>
                <w:b/>
                <w:color w:val="000000"/>
              </w:rPr>
            </w:pPr>
          </w:p>
        </w:tc>
      </w:tr>
      <w:tr w:rsidR="008E5DE4" w14:paraId="57CACF54" w14:textId="77777777">
        <w:trPr>
          <w:cantSplit/>
        </w:trPr>
        <w:tc>
          <w:tcPr>
            <w:tcW w:w="5556" w:type="dxa"/>
            <w:vAlign w:val="bottom"/>
          </w:tcPr>
          <w:p w14:paraId="3A10D14A" w14:textId="77777777" w:rsidR="008E5DE4" w:rsidRDefault="00780368">
            <w:pPr>
              <w:widowControl w:val="0"/>
              <w:pBdr>
                <w:top w:val="nil"/>
                <w:left w:val="nil"/>
                <w:bottom w:val="nil"/>
                <w:right w:val="nil"/>
                <w:between w:val="nil"/>
              </w:pBdr>
              <w:ind w:left="113" w:right="-57" w:hanging="113"/>
              <w:rPr>
                <w:color w:val="000000"/>
              </w:rPr>
            </w:pPr>
            <w:r>
              <w:rPr>
                <w:color w:val="000000"/>
              </w:rPr>
              <w:t>Earnings/(loss) per preference share for profit/(loss) from discontinued operations attributable to the owners of the Company, basic and diluted (in EUR per share)</w:t>
            </w:r>
          </w:p>
        </w:tc>
        <w:tc>
          <w:tcPr>
            <w:tcW w:w="737" w:type="dxa"/>
            <w:vAlign w:val="bottom"/>
          </w:tcPr>
          <w:p w14:paraId="3239CE96" w14:textId="77777777" w:rsidR="008E5DE4" w:rsidRDefault="00780368">
            <w:pPr>
              <w:widowControl w:val="0"/>
              <w:pBdr>
                <w:top w:val="nil"/>
                <w:left w:val="nil"/>
                <w:bottom w:val="nil"/>
                <w:right w:val="nil"/>
                <w:between w:val="nil"/>
              </w:pBdr>
              <w:jc w:val="center"/>
              <w:rPr>
                <w:smallCaps/>
                <w:color w:val="000000"/>
              </w:rPr>
            </w:pPr>
            <w:r>
              <w:rPr>
                <w:smallCaps/>
                <w:color w:val="000000"/>
              </w:rPr>
              <w:t>41</w:t>
            </w:r>
          </w:p>
        </w:tc>
        <w:tc>
          <w:tcPr>
            <w:tcW w:w="1531" w:type="dxa"/>
            <w:vAlign w:val="bottom"/>
          </w:tcPr>
          <w:p w14:paraId="6EB72E00"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46CAA38" w14:textId="77777777" w:rsidR="008E5DE4" w:rsidRDefault="008E5DE4">
            <w:pPr>
              <w:widowControl w:val="0"/>
              <w:pBdr>
                <w:top w:val="nil"/>
                <w:left w:val="nil"/>
                <w:bottom w:val="nil"/>
                <w:right w:val="nil"/>
                <w:between w:val="nil"/>
              </w:pBdr>
              <w:jc w:val="right"/>
              <w:rPr>
                <w:b/>
                <w:color w:val="000000"/>
              </w:rPr>
            </w:pPr>
          </w:p>
        </w:tc>
      </w:tr>
      <w:tr w:rsidR="008E5DE4" w14:paraId="62ED3D84" w14:textId="77777777">
        <w:trPr>
          <w:cantSplit/>
        </w:trPr>
        <w:tc>
          <w:tcPr>
            <w:tcW w:w="5556" w:type="dxa"/>
            <w:tcBorders>
              <w:bottom w:val="single" w:sz="12" w:space="0" w:color="000000"/>
            </w:tcBorders>
            <w:vAlign w:val="bottom"/>
          </w:tcPr>
          <w:p w14:paraId="1A80B112"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737" w:type="dxa"/>
            <w:tcBorders>
              <w:bottom w:val="single" w:sz="12" w:space="0" w:color="000000"/>
            </w:tcBorders>
            <w:vAlign w:val="bottom"/>
          </w:tcPr>
          <w:p w14:paraId="5615B410" w14:textId="77777777" w:rsidR="008E5DE4" w:rsidRDefault="008E5DE4">
            <w:pPr>
              <w:widowControl w:val="0"/>
              <w:pBdr>
                <w:top w:val="nil"/>
                <w:left w:val="nil"/>
                <w:bottom w:val="nil"/>
                <w:right w:val="nil"/>
                <w:between w:val="nil"/>
              </w:pBdr>
              <w:jc w:val="center"/>
              <w:rPr>
                <w:smallCaps/>
                <w:color w:val="000000"/>
              </w:rPr>
            </w:pPr>
          </w:p>
        </w:tc>
        <w:tc>
          <w:tcPr>
            <w:tcW w:w="1531" w:type="dxa"/>
            <w:tcBorders>
              <w:bottom w:val="single" w:sz="12" w:space="0" w:color="000000"/>
            </w:tcBorders>
            <w:vAlign w:val="bottom"/>
          </w:tcPr>
          <w:p w14:paraId="19A9B051"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1DDDD97C" w14:textId="77777777" w:rsidR="008E5DE4" w:rsidRDefault="008E5DE4">
            <w:pPr>
              <w:widowControl w:val="0"/>
              <w:pBdr>
                <w:top w:val="nil"/>
                <w:left w:val="nil"/>
                <w:bottom w:val="nil"/>
                <w:right w:val="nil"/>
                <w:between w:val="nil"/>
              </w:pBdr>
              <w:jc w:val="right"/>
              <w:rPr>
                <w:b/>
                <w:color w:val="000000"/>
              </w:rPr>
            </w:pPr>
          </w:p>
        </w:tc>
      </w:tr>
    </w:tbl>
    <w:p w14:paraId="425DD821"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25394866"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219B45CD"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5CD18DA8"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6E344B1B" w14:textId="77777777" w:rsidR="008E5DE4" w:rsidRDefault="008E5DE4">
      <w:pPr>
        <w:widowControl w:val="0"/>
        <w:pBdr>
          <w:top w:val="nil"/>
          <w:left w:val="nil"/>
          <w:bottom w:val="nil"/>
          <w:right w:val="nil"/>
          <w:between w:val="nil"/>
        </w:pBdr>
        <w:spacing w:before="200" w:after="200"/>
        <w:jc w:val="both"/>
        <w:rPr>
          <w:i/>
          <w:color w:val="FF0000"/>
          <w:sz w:val="20"/>
          <w:szCs w:val="20"/>
        </w:rPr>
        <w:sectPr w:rsidR="008E5DE4">
          <w:headerReference w:type="default" r:id="rId23"/>
          <w:pgSz w:w="11907" w:h="16840"/>
          <w:pgMar w:top="1418" w:right="851" w:bottom="1134" w:left="1701" w:header="737" w:footer="567" w:gutter="0"/>
          <w:cols w:space="708"/>
        </w:sectPr>
      </w:pPr>
    </w:p>
    <w:p w14:paraId="67324C48" w14:textId="77777777" w:rsidR="008E5DE4" w:rsidRDefault="008E5DE4">
      <w:pPr>
        <w:widowControl w:val="0"/>
        <w:pBdr>
          <w:top w:val="nil"/>
          <w:left w:val="nil"/>
          <w:bottom w:val="nil"/>
          <w:right w:val="nil"/>
          <w:between w:val="nil"/>
        </w:pBdr>
        <w:spacing w:line="276" w:lineRule="auto"/>
        <w:rPr>
          <w:i/>
          <w:color w:val="FF0000"/>
          <w:sz w:val="20"/>
          <w:szCs w:val="20"/>
        </w:rPr>
      </w:pPr>
    </w:p>
    <w:tbl>
      <w:tblPr>
        <w:tblStyle w:val="a3"/>
        <w:tblW w:w="9441" w:type="dxa"/>
        <w:tblLayout w:type="fixed"/>
        <w:tblLook w:val="0000" w:firstRow="0" w:lastRow="0" w:firstColumn="0" w:lastColumn="0" w:noHBand="0" w:noVBand="0"/>
      </w:tblPr>
      <w:tblGrid>
        <w:gridCol w:w="1455"/>
        <w:gridCol w:w="451"/>
        <w:gridCol w:w="663"/>
        <w:gridCol w:w="691"/>
        <w:gridCol w:w="864"/>
        <w:gridCol w:w="864"/>
        <w:gridCol w:w="1037"/>
        <w:gridCol w:w="851"/>
        <w:gridCol w:w="850"/>
        <w:gridCol w:w="531"/>
        <w:gridCol w:w="749"/>
        <w:gridCol w:w="435"/>
      </w:tblGrid>
      <w:tr w:rsidR="008E5DE4" w14:paraId="532CBBE0" w14:textId="77777777">
        <w:trPr>
          <w:cantSplit/>
          <w:tblHeader/>
        </w:trPr>
        <w:tc>
          <w:tcPr>
            <w:tcW w:w="1455" w:type="dxa"/>
            <w:vAlign w:val="bottom"/>
          </w:tcPr>
          <w:p w14:paraId="0FA56191" w14:textId="77777777" w:rsidR="008E5DE4" w:rsidRDefault="008E5DE4">
            <w:pPr>
              <w:widowControl w:val="0"/>
              <w:pBdr>
                <w:top w:val="nil"/>
                <w:left w:val="nil"/>
                <w:bottom w:val="nil"/>
                <w:right w:val="nil"/>
                <w:between w:val="nil"/>
              </w:pBdr>
              <w:spacing w:line="228" w:lineRule="auto"/>
              <w:ind w:left="113" w:right="-57" w:hanging="113"/>
              <w:rPr>
                <w:b/>
                <w:color w:val="000000"/>
                <w:sz w:val="15"/>
                <w:szCs w:val="15"/>
              </w:rPr>
            </w:pPr>
          </w:p>
        </w:tc>
        <w:tc>
          <w:tcPr>
            <w:tcW w:w="451" w:type="dxa"/>
            <w:vAlign w:val="bottom"/>
          </w:tcPr>
          <w:p w14:paraId="569CB15F"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351" w:type="dxa"/>
            <w:gridSpan w:val="8"/>
          </w:tcPr>
          <w:p w14:paraId="544D5E1B" w14:textId="77777777" w:rsidR="008E5DE4" w:rsidRDefault="00780368">
            <w:pPr>
              <w:widowControl w:val="0"/>
              <w:pBdr>
                <w:top w:val="nil"/>
                <w:left w:val="nil"/>
                <w:bottom w:val="nil"/>
                <w:right w:val="nil"/>
                <w:between w:val="nil"/>
              </w:pBdr>
              <w:spacing w:line="228" w:lineRule="auto"/>
              <w:ind w:left="-113"/>
              <w:jc w:val="center"/>
              <w:rPr>
                <w:color w:val="000000"/>
                <w:sz w:val="15"/>
                <w:szCs w:val="15"/>
              </w:rPr>
            </w:pPr>
            <w:r>
              <w:rPr>
                <w:b/>
                <w:color w:val="000000"/>
                <w:sz w:val="15"/>
                <w:szCs w:val="15"/>
              </w:rPr>
              <w:t>Attributable to owners of the Company</w:t>
            </w:r>
          </w:p>
        </w:tc>
        <w:tc>
          <w:tcPr>
            <w:tcW w:w="749" w:type="dxa"/>
            <w:vMerge w:val="restart"/>
          </w:tcPr>
          <w:p w14:paraId="37200E6C"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Non-</w:t>
            </w:r>
            <w:proofErr w:type="gramStart"/>
            <w:r>
              <w:rPr>
                <w:b/>
                <w:color w:val="000000"/>
                <w:sz w:val="15"/>
                <w:szCs w:val="15"/>
              </w:rPr>
              <w:t>con-trolling</w:t>
            </w:r>
            <w:proofErr w:type="gramEnd"/>
            <w:r>
              <w:rPr>
                <w:b/>
                <w:color w:val="000000"/>
                <w:sz w:val="15"/>
                <w:szCs w:val="15"/>
              </w:rPr>
              <w:t xml:space="preserve"> </w:t>
            </w:r>
          </w:p>
          <w:p w14:paraId="63D60C31" w14:textId="77777777" w:rsidR="008E5DE4" w:rsidRDefault="00780368">
            <w:pPr>
              <w:widowControl w:val="0"/>
              <w:pBdr>
                <w:top w:val="nil"/>
                <w:left w:val="nil"/>
                <w:bottom w:val="nil"/>
                <w:right w:val="nil"/>
                <w:between w:val="nil"/>
              </w:pBdr>
              <w:spacing w:line="228" w:lineRule="auto"/>
              <w:ind w:left="-113"/>
              <w:jc w:val="right"/>
              <w:rPr>
                <w:color w:val="000000"/>
                <w:sz w:val="15"/>
                <w:szCs w:val="15"/>
              </w:rPr>
            </w:pPr>
            <w:r>
              <w:rPr>
                <w:b/>
                <w:color w:val="000000"/>
                <w:sz w:val="15"/>
                <w:szCs w:val="15"/>
              </w:rPr>
              <w:t>interest</w:t>
            </w:r>
          </w:p>
        </w:tc>
        <w:tc>
          <w:tcPr>
            <w:tcW w:w="435" w:type="dxa"/>
            <w:vMerge w:val="restart"/>
            <w:tcMar>
              <w:top w:w="11" w:type="dxa"/>
              <w:left w:w="11" w:type="dxa"/>
              <w:bottom w:w="11" w:type="dxa"/>
              <w:right w:w="11" w:type="dxa"/>
            </w:tcMar>
          </w:tcPr>
          <w:p w14:paraId="259E8E2B"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Total</w:t>
            </w:r>
          </w:p>
          <w:p w14:paraId="4EC0BD58" w14:textId="77777777" w:rsidR="008E5DE4" w:rsidRDefault="00780368">
            <w:pPr>
              <w:widowControl w:val="0"/>
              <w:pBdr>
                <w:top w:val="nil"/>
                <w:left w:val="nil"/>
                <w:bottom w:val="nil"/>
                <w:right w:val="nil"/>
                <w:between w:val="nil"/>
              </w:pBdr>
              <w:spacing w:line="228" w:lineRule="auto"/>
              <w:ind w:left="-113"/>
              <w:jc w:val="right"/>
              <w:rPr>
                <w:color w:val="000000"/>
                <w:sz w:val="15"/>
                <w:szCs w:val="15"/>
              </w:rPr>
            </w:pPr>
            <w:r>
              <w:rPr>
                <w:b/>
                <w:color w:val="000000"/>
                <w:sz w:val="15"/>
                <w:szCs w:val="15"/>
              </w:rPr>
              <w:t>equity</w:t>
            </w:r>
          </w:p>
        </w:tc>
      </w:tr>
      <w:tr w:rsidR="008E5DE4" w14:paraId="532F5433" w14:textId="77777777">
        <w:trPr>
          <w:cantSplit/>
          <w:tblHeader/>
        </w:trPr>
        <w:tc>
          <w:tcPr>
            <w:tcW w:w="1455" w:type="dxa"/>
            <w:tcBorders>
              <w:bottom w:val="single" w:sz="4" w:space="0" w:color="000000"/>
            </w:tcBorders>
            <w:vAlign w:val="bottom"/>
          </w:tcPr>
          <w:p w14:paraId="76305138" w14:textId="77777777" w:rsidR="008E5DE4" w:rsidRDefault="00780368">
            <w:pPr>
              <w:widowControl w:val="0"/>
              <w:pBdr>
                <w:top w:val="nil"/>
                <w:left w:val="nil"/>
                <w:bottom w:val="nil"/>
                <w:right w:val="nil"/>
                <w:between w:val="nil"/>
              </w:pBdr>
              <w:spacing w:line="228" w:lineRule="auto"/>
              <w:ind w:left="113" w:right="-57" w:hanging="113"/>
              <w:rPr>
                <w:b/>
                <w:color w:val="000000"/>
                <w:sz w:val="15"/>
                <w:szCs w:val="15"/>
              </w:rPr>
            </w:pPr>
            <w:r>
              <w:rPr>
                <w:i/>
                <w:color w:val="000000"/>
                <w:sz w:val="15"/>
                <w:szCs w:val="15"/>
              </w:rPr>
              <w:t>In thousands of EUR</w:t>
            </w:r>
          </w:p>
        </w:tc>
        <w:tc>
          <w:tcPr>
            <w:tcW w:w="451" w:type="dxa"/>
            <w:tcBorders>
              <w:bottom w:val="single" w:sz="4" w:space="0" w:color="000000"/>
            </w:tcBorders>
            <w:vAlign w:val="bottom"/>
          </w:tcPr>
          <w:p w14:paraId="36A8D12C"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b/>
                <w:color w:val="000000"/>
                <w:sz w:val="15"/>
                <w:szCs w:val="15"/>
              </w:rPr>
              <w:t>Note</w:t>
            </w:r>
          </w:p>
        </w:tc>
        <w:tc>
          <w:tcPr>
            <w:tcW w:w="663" w:type="dxa"/>
            <w:tcBorders>
              <w:top w:val="single" w:sz="4" w:space="0" w:color="000000"/>
              <w:bottom w:val="single" w:sz="4" w:space="0" w:color="000000"/>
            </w:tcBorders>
          </w:tcPr>
          <w:p w14:paraId="056D5A55"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Share capital</w:t>
            </w:r>
          </w:p>
        </w:tc>
        <w:tc>
          <w:tcPr>
            <w:tcW w:w="691" w:type="dxa"/>
            <w:tcBorders>
              <w:top w:val="single" w:sz="4" w:space="0" w:color="000000"/>
              <w:bottom w:val="single" w:sz="4" w:space="0" w:color="000000"/>
            </w:tcBorders>
          </w:tcPr>
          <w:p w14:paraId="4F2F1E15"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 xml:space="preserve">Share premium </w:t>
            </w:r>
          </w:p>
        </w:tc>
        <w:tc>
          <w:tcPr>
            <w:tcW w:w="864" w:type="dxa"/>
            <w:tcBorders>
              <w:top w:val="single" w:sz="4" w:space="0" w:color="000000"/>
              <w:bottom w:val="single" w:sz="4" w:space="0" w:color="000000"/>
            </w:tcBorders>
          </w:tcPr>
          <w:p w14:paraId="5DA1F61A"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Revaluation reserve for securities at FVOCI</w:t>
            </w:r>
          </w:p>
        </w:tc>
        <w:tc>
          <w:tcPr>
            <w:tcW w:w="864" w:type="dxa"/>
            <w:tcBorders>
              <w:top w:val="single" w:sz="4" w:space="0" w:color="000000"/>
              <w:bottom w:val="single" w:sz="4" w:space="0" w:color="000000"/>
            </w:tcBorders>
          </w:tcPr>
          <w:p w14:paraId="296B218F"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Revaluation of financial liabilities attributable to own credit risk</w:t>
            </w:r>
          </w:p>
        </w:tc>
        <w:tc>
          <w:tcPr>
            <w:tcW w:w="1037" w:type="dxa"/>
            <w:tcBorders>
              <w:top w:val="single" w:sz="4" w:space="0" w:color="000000"/>
              <w:bottom w:val="single" w:sz="4" w:space="0" w:color="000000"/>
            </w:tcBorders>
          </w:tcPr>
          <w:p w14:paraId="0DF323D3"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Revaluation reserve for PP&amp;E</w:t>
            </w:r>
          </w:p>
        </w:tc>
        <w:tc>
          <w:tcPr>
            <w:tcW w:w="851" w:type="dxa"/>
            <w:tcBorders>
              <w:top w:val="single" w:sz="4" w:space="0" w:color="000000"/>
              <w:bottom w:val="single" w:sz="4" w:space="0" w:color="000000"/>
            </w:tcBorders>
          </w:tcPr>
          <w:p w14:paraId="43B203F5"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 xml:space="preserve">Currency </w:t>
            </w:r>
            <w:proofErr w:type="spellStart"/>
            <w:r>
              <w:rPr>
                <w:b/>
                <w:color w:val="000000"/>
                <w:sz w:val="15"/>
                <w:szCs w:val="15"/>
              </w:rPr>
              <w:t>transla</w:t>
            </w:r>
            <w:proofErr w:type="spellEnd"/>
            <w:r>
              <w:rPr>
                <w:b/>
                <w:color w:val="000000"/>
                <w:sz w:val="15"/>
                <w:szCs w:val="15"/>
              </w:rPr>
              <w:t>-</w:t>
            </w:r>
          </w:p>
          <w:p w14:paraId="1F4EB196"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proofErr w:type="spellStart"/>
            <w:r>
              <w:rPr>
                <w:b/>
                <w:color w:val="000000"/>
                <w:sz w:val="15"/>
                <w:szCs w:val="15"/>
              </w:rPr>
              <w:t>tion</w:t>
            </w:r>
            <w:proofErr w:type="spellEnd"/>
            <w:r>
              <w:rPr>
                <w:b/>
                <w:color w:val="000000"/>
                <w:sz w:val="15"/>
                <w:szCs w:val="15"/>
              </w:rPr>
              <w:t xml:space="preserve"> reserve</w:t>
            </w:r>
          </w:p>
        </w:tc>
        <w:tc>
          <w:tcPr>
            <w:tcW w:w="850" w:type="dxa"/>
            <w:tcBorders>
              <w:top w:val="single" w:sz="4" w:space="0" w:color="000000"/>
              <w:bottom w:val="single" w:sz="4" w:space="0" w:color="000000"/>
            </w:tcBorders>
          </w:tcPr>
          <w:p w14:paraId="28FF8A54"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Retained</w:t>
            </w:r>
          </w:p>
          <w:p w14:paraId="6E6A9340"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earnings</w:t>
            </w:r>
            <w:r>
              <w:rPr>
                <w:b/>
                <w:color w:val="000000"/>
                <w:sz w:val="15"/>
                <w:szCs w:val="15"/>
              </w:rPr>
              <w:br/>
            </w:r>
            <w:r>
              <w:rPr>
                <w:b/>
                <w:color w:val="0000FF"/>
                <w:sz w:val="15"/>
                <w:szCs w:val="15"/>
              </w:rPr>
              <w:t>[Accu-</w:t>
            </w:r>
            <w:proofErr w:type="spellStart"/>
            <w:r>
              <w:rPr>
                <w:b/>
                <w:color w:val="0000FF"/>
                <w:sz w:val="15"/>
                <w:szCs w:val="15"/>
              </w:rPr>
              <w:t>mulated</w:t>
            </w:r>
            <w:proofErr w:type="spellEnd"/>
            <w:r>
              <w:rPr>
                <w:b/>
                <w:color w:val="0000FF"/>
                <w:sz w:val="15"/>
                <w:szCs w:val="15"/>
              </w:rPr>
              <w:t xml:space="preserve"> deficit]</w:t>
            </w:r>
          </w:p>
        </w:tc>
        <w:tc>
          <w:tcPr>
            <w:tcW w:w="531" w:type="dxa"/>
            <w:tcBorders>
              <w:top w:val="single" w:sz="4" w:space="0" w:color="000000"/>
              <w:bottom w:val="single" w:sz="4" w:space="0" w:color="000000"/>
            </w:tcBorders>
          </w:tcPr>
          <w:p w14:paraId="099FFD2F" w14:textId="77777777" w:rsidR="008E5DE4" w:rsidRDefault="00780368">
            <w:pPr>
              <w:widowControl w:val="0"/>
              <w:pBdr>
                <w:top w:val="nil"/>
                <w:left w:val="nil"/>
                <w:bottom w:val="nil"/>
                <w:right w:val="nil"/>
                <w:between w:val="nil"/>
              </w:pBdr>
              <w:spacing w:line="228" w:lineRule="auto"/>
              <w:ind w:left="-113"/>
              <w:jc w:val="right"/>
              <w:rPr>
                <w:b/>
                <w:color w:val="000000"/>
                <w:sz w:val="15"/>
                <w:szCs w:val="15"/>
              </w:rPr>
            </w:pPr>
            <w:r>
              <w:rPr>
                <w:b/>
                <w:color w:val="000000"/>
                <w:sz w:val="15"/>
                <w:szCs w:val="15"/>
              </w:rPr>
              <w:t>Total</w:t>
            </w:r>
          </w:p>
        </w:tc>
        <w:tc>
          <w:tcPr>
            <w:tcW w:w="749" w:type="dxa"/>
            <w:vMerge/>
          </w:tcPr>
          <w:p w14:paraId="59C09C29" w14:textId="77777777" w:rsidR="008E5DE4" w:rsidRDefault="008E5DE4">
            <w:pPr>
              <w:widowControl w:val="0"/>
              <w:pBdr>
                <w:top w:val="nil"/>
                <w:left w:val="nil"/>
                <w:bottom w:val="nil"/>
                <w:right w:val="nil"/>
                <w:between w:val="nil"/>
              </w:pBdr>
              <w:spacing w:line="276" w:lineRule="auto"/>
              <w:rPr>
                <w:b/>
                <w:color w:val="000000"/>
                <w:sz w:val="15"/>
                <w:szCs w:val="15"/>
              </w:rPr>
            </w:pPr>
          </w:p>
        </w:tc>
        <w:tc>
          <w:tcPr>
            <w:tcW w:w="435" w:type="dxa"/>
            <w:vMerge/>
            <w:tcMar>
              <w:top w:w="11" w:type="dxa"/>
              <w:left w:w="11" w:type="dxa"/>
              <w:bottom w:w="11" w:type="dxa"/>
              <w:right w:w="11" w:type="dxa"/>
            </w:tcMar>
          </w:tcPr>
          <w:p w14:paraId="4D33B18D" w14:textId="77777777" w:rsidR="008E5DE4" w:rsidRDefault="008E5DE4">
            <w:pPr>
              <w:widowControl w:val="0"/>
              <w:pBdr>
                <w:top w:val="nil"/>
                <w:left w:val="nil"/>
                <w:bottom w:val="nil"/>
                <w:right w:val="nil"/>
                <w:between w:val="nil"/>
              </w:pBdr>
              <w:spacing w:line="276" w:lineRule="auto"/>
              <w:rPr>
                <w:b/>
                <w:color w:val="000000"/>
                <w:sz w:val="15"/>
                <w:szCs w:val="15"/>
              </w:rPr>
            </w:pPr>
          </w:p>
        </w:tc>
      </w:tr>
      <w:tr w:rsidR="008E5DE4" w14:paraId="1CB995CB" w14:textId="77777777">
        <w:trPr>
          <w:cantSplit/>
          <w:tblHeader/>
        </w:trPr>
        <w:tc>
          <w:tcPr>
            <w:tcW w:w="1455" w:type="dxa"/>
            <w:tcBorders>
              <w:top w:val="single" w:sz="4" w:space="0" w:color="000000"/>
            </w:tcBorders>
            <w:vAlign w:val="bottom"/>
          </w:tcPr>
          <w:p w14:paraId="59BE0A88" w14:textId="77777777" w:rsidR="008E5DE4" w:rsidRDefault="00780368">
            <w:pPr>
              <w:widowControl w:val="0"/>
              <w:pBdr>
                <w:top w:val="nil"/>
                <w:left w:val="nil"/>
                <w:bottom w:val="nil"/>
                <w:right w:val="nil"/>
                <w:between w:val="nil"/>
              </w:pBdr>
              <w:spacing w:line="228" w:lineRule="auto"/>
              <w:ind w:left="113" w:right="-57" w:hanging="113"/>
              <w:rPr>
                <w:b/>
                <w:color w:val="000000"/>
                <w:sz w:val="15"/>
                <w:szCs w:val="15"/>
              </w:rPr>
            </w:pPr>
            <w:r>
              <w:rPr>
                <w:color w:val="000000"/>
                <w:sz w:val="15"/>
                <w:szCs w:val="15"/>
              </w:rPr>
              <w:t> </w:t>
            </w:r>
          </w:p>
        </w:tc>
        <w:tc>
          <w:tcPr>
            <w:tcW w:w="451" w:type="dxa"/>
            <w:tcBorders>
              <w:top w:val="single" w:sz="4" w:space="0" w:color="000000"/>
            </w:tcBorders>
            <w:vAlign w:val="bottom"/>
          </w:tcPr>
          <w:p w14:paraId="6AA6F3B9" w14:textId="77777777" w:rsidR="008E5DE4" w:rsidRDefault="008E5DE4">
            <w:pPr>
              <w:widowControl w:val="0"/>
              <w:pBdr>
                <w:top w:val="nil"/>
                <w:left w:val="nil"/>
                <w:bottom w:val="nil"/>
                <w:right w:val="nil"/>
                <w:between w:val="nil"/>
              </w:pBdr>
              <w:spacing w:line="228" w:lineRule="auto"/>
              <w:ind w:left="-57" w:right="-57"/>
              <w:jc w:val="center"/>
              <w:rPr>
                <w:b/>
                <w:color w:val="000000"/>
                <w:sz w:val="15"/>
                <w:szCs w:val="15"/>
              </w:rPr>
            </w:pPr>
          </w:p>
        </w:tc>
        <w:tc>
          <w:tcPr>
            <w:tcW w:w="663" w:type="dxa"/>
            <w:tcBorders>
              <w:top w:val="single" w:sz="4" w:space="0" w:color="000000"/>
            </w:tcBorders>
            <w:vAlign w:val="bottom"/>
          </w:tcPr>
          <w:p w14:paraId="21E0E4C3"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tcBorders>
              <w:top w:val="single" w:sz="4" w:space="0" w:color="000000"/>
            </w:tcBorders>
            <w:vAlign w:val="bottom"/>
          </w:tcPr>
          <w:p w14:paraId="4BB4DD8A"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Borders>
              <w:top w:val="single" w:sz="4" w:space="0" w:color="000000"/>
            </w:tcBorders>
          </w:tcPr>
          <w:p w14:paraId="74A3C2A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Borders>
              <w:top w:val="single" w:sz="4" w:space="0" w:color="000000"/>
            </w:tcBorders>
          </w:tcPr>
          <w:p w14:paraId="496FAAD4"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tcBorders>
              <w:top w:val="single" w:sz="4" w:space="0" w:color="000000"/>
            </w:tcBorders>
            <w:vAlign w:val="bottom"/>
          </w:tcPr>
          <w:p w14:paraId="5BF97456"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tcBorders>
              <w:top w:val="single" w:sz="4" w:space="0" w:color="000000"/>
            </w:tcBorders>
            <w:vAlign w:val="bottom"/>
          </w:tcPr>
          <w:p w14:paraId="0BF0E19C"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tcBorders>
              <w:top w:val="single" w:sz="4" w:space="0" w:color="000000"/>
            </w:tcBorders>
            <w:vAlign w:val="bottom"/>
          </w:tcPr>
          <w:p w14:paraId="330BD366"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tcBorders>
              <w:top w:val="single" w:sz="4" w:space="0" w:color="000000"/>
            </w:tcBorders>
            <w:vAlign w:val="bottom"/>
          </w:tcPr>
          <w:p w14:paraId="67B9AC9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Borders>
              <w:top w:val="single" w:sz="4" w:space="0" w:color="000000"/>
            </w:tcBorders>
            <w:vAlign w:val="bottom"/>
          </w:tcPr>
          <w:p w14:paraId="591F3A6E"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Borders>
              <w:top w:val="single" w:sz="4" w:space="0" w:color="000000"/>
            </w:tcBorders>
            <w:tcMar>
              <w:top w:w="11" w:type="dxa"/>
              <w:left w:w="11" w:type="dxa"/>
              <w:bottom w:w="11" w:type="dxa"/>
              <w:right w:w="11" w:type="dxa"/>
            </w:tcMar>
            <w:vAlign w:val="bottom"/>
          </w:tcPr>
          <w:p w14:paraId="1E11676D"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3237B543" w14:textId="77777777">
        <w:trPr>
          <w:cantSplit/>
        </w:trPr>
        <w:tc>
          <w:tcPr>
            <w:tcW w:w="1455" w:type="dxa"/>
            <w:vAlign w:val="bottom"/>
          </w:tcPr>
          <w:p w14:paraId="16B45461" w14:textId="22DA079E" w:rsidR="008E5DE4" w:rsidRDefault="00780368">
            <w:pPr>
              <w:widowControl w:val="0"/>
              <w:pBdr>
                <w:top w:val="nil"/>
                <w:left w:val="nil"/>
                <w:bottom w:val="nil"/>
                <w:right w:val="nil"/>
                <w:between w:val="nil"/>
              </w:pBdr>
              <w:spacing w:line="228" w:lineRule="auto"/>
              <w:ind w:left="113" w:right="-57" w:hanging="113"/>
              <w:rPr>
                <w:color w:val="0000FF"/>
                <w:sz w:val="15"/>
                <w:szCs w:val="15"/>
              </w:rPr>
            </w:pPr>
            <w:r>
              <w:rPr>
                <w:b/>
                <w:color w:val="0000FF"/>
                <w:sz w:val="15"/>
                <w:szCs w:val="15"/>
              </w:rPr>
              <w:t xml:space="preserve">[Previously reported balance </w:t>
            </w:r>
            <w:proofErr w:type="gramStart"/>
            <w:r>
              <w:rPr>
                <w:b/>
                <w:color w:val="0000FF"/>
                <w:sz w:val="15"/>
                <w:szCs w:val="15"/>
              </w:rPr>
              <w:t>at</w:t>
            </w:r>
            <w:proofErr w:type="gramEnd"/>
            <w:r>
              <w:rPr>
                <w:b/>
                <w:color w:val="0000FF"/>
                <w:sz w:val="15"/>
                <w:szCs w:val="15"/>
              </w:rPr>
              <w:t xml:space="preserve"> 31 December 202</w:t>
            </w:r>
            <w:r w:rsidR="008D7B0C">
              <w:rPr>
                <w:b/>
                <w:color w:val="0000FF"/>
                <w:sz w:val="15"/>
                <w:szCs w:val="15"/>
              </w:rPr>
              <w:t>2</w:t>
            </w:r>
            <w:r>
              <w:rPr>
                <w:b/>
                <w:color w:val="0000FF"/>
                <w:sz w:val="15"/>
                <w:szCs w:val="15"/>
              </w:rPr>
              <w:t>]</w:t>
            </w:r>
          </w:p>
        </w:tc>
        <w:tc>
          <w:tcPr>
            <w:tcW w:w="451" w:type="dxa"/>
            <w:vAlign w:val="bottom"/>
          </w:tcPr>
          <w:p w14:paraId="1F15D998" w14:textId="77777777" w:rsidR="008E5DE4" w:rsidRDefault="008E5DE4">
            <w:pPr>
              <w:widowControl w:val="0"/>
              <w:pBdr>
                <w:top w:val="nil"/>
                <w:left w:val="nil"/>
                <w:bottom w:val="nil"/>
                <w:right w:val="nil"/>
                <w:between w:val="nil"/>
              </w:pBdr>
              <w:spacing w:line="228" w:lineRule="auto"/>
              <w:ind w:left="-57" w:right="-57"/>
              <w:jc w:val="center"/>
              <w:rPr>
                <w:b/>
                <w:color w:val="000000"/>
                <w:sz w:val="15"/>
                <w:szCs w:val="15"/>
              </w:rPr>
            </w:pPr>
          </w:p>
        </w:tc>
        <w:tc>
          <w:tcPr>
            <w:tcW w:w="663" w:type="dxa"/>
            <w:vAlign w:val="bottom"/>
          </w:tcPr>
          <w:p w14:paraId="2449533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vAlign w:val="bottom"/>
          </w:tcPr>
          <w:p w14:paraId="2C0A4B42"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21F5FA7F"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7497939B"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vAlign w:val="bottom"/>
          </w:tcPr>
          <w:p w14:paraId="7606875C"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vAlign w:val="bottom"/>
          </w:tcPr>
          <w:p w14:paraId="7383BD8B"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vAlign w:val="bottom"/>
          </w:tcPr>
          <w:p w14:paraId="200B77B5"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vAlign w:val="bottom"/>
          </w:tcPr>
          <w:p w14:paraId="72FC181E"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Mar>
              <w:top w:w="11" w:type="dxa"/>
              <w:left w:w="11" w:type="dxa"/>
              <w:bottom w:w="11" w:type="dxa"/>
              <w:right w:w="11" w:type="dxa"/>
            </w:tcMar>
            <w:vAlign w:val="bottom"/>
          </w:tcPr>
          <w:p w14:paraId="4C362E09"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Mar>
              <w:top w:w="11" w:type="dxa"/>
              <w:left w:w="11" w:type="dxa"/>
              <w:bottom w:w="11" w:type="dxa"/>
              <w:right w:w="11" w:type="dxa"/>
            </w:tcMar>
            <w:vAlign w:val="bottom"/>
          </w:tcPr>
          <w:p w14:paraId="5590E1EA"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3C4A770B" w14:textId="77777777">
        <w:trPr>
          <w:cantSplit/>
        </w:trPr>
        <w:tc>
          <w:tcPr>
            <w:tcW w:w="1455" w:type="dxa"/>
            <w:vAlign w:val="bottom"/>
          </w:tcPr>
          <w:p w14:paraId="1E318A5B" w14:textId="77777777" w:rsidR="008E5DE4" w:rsidRDefault="00780368">
            <w:pPr>
              <w:widowControl w:val="0"/>
              <w:pBdr>
                <w:top w:val="nil"/>
                <w:left w:val="nil"/>
                <w:bottom w:val="nil"/>
                <w:right w:val="nil"/>
                <w:between w:val="nil"/>
              </w:pBdr>
              <w:spacing w:line="228" w:lineRule="auto"/>
              <w:ind w:left="113" w:right="-57" w:hanging="113"/>
              <w:rPr>
                <w:color w:val="0000FF"/>
                <w:sz w:val="15"/>
                <w:szCs w:val="15"/>
              </w:rPr>
            </w:pPr>
            <w:r>
              <w:rPr>
                <w:color w:val="0000FF"/>
                <w:sz w:val="15"/>
                <w:szCs w:val="15"/>
              </w:rPr>
              <w:t>[Voluntary changes in accounting policies]</w:t>
            </w:r>
          </w:p>
        </w:tc>
        <w:tc>
          <w:tcPr>
            <w:tcW w:w="451" w:type="dxa"/>
            <w:vAlign w:val="bottom"/>
          </w:tcPr>
          <w:p w14:paraId="6D9595AE"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hyperlink w:anchor="_heading=h.2s8eyo1">
              <w:r>
                <w:rPr>
                  <w:color w:val="000000"/>
                  <w:sz w:val="15"/>
                  <w:szCs w:val="15"/>
                </w:rPr>
                <w:t>5</w:t>
              </w:r>
            </w:hyperlink>
          </w:p>
        </w:tc>
        <w:tc>
          <w:tcPr>
            <w:tcW w:w="663" w:type="dxa"/>
            <w:vAlign w:val="bottom"/>
          </w:tcPr>
          <w:p w14:paraId="1E9C1F23"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vAlign w:val="bottom"/>
          </w:tcPr>
          <w:p w14:paraId="66633CFB"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08275D07"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692881F9"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vAlign w:val="bottom"/>
          </w:tcPr>
          <w:p w14:paraId="520F22A5"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vAlign w:val="bottom"/>
          </w:tcPr>
          <w:p w14:paraId="29B0F114"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vAlign w:val="bottom"/>
          </w:tcPr>
          <w:p w14:paraId="041D5DA4"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vAlign w:val="bottom"/>
          </w:tcPr>
          <w:p w14:paraId="759E1A17"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Mar>
              <w:top w:w="11" w:type="dxa"/>
              <w:left w:w="11" w:type="dxa"/>
              <w:bottom w:w="11" w:type="dxa"/>
              <w:right w:w="11" w:type="dxa"/>
            </w:tcMar>
            <w:vAlign w:val="bottom"/>
          </w:tcPr>
          <w:p w14:paraId="4D5BE96D"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Mar>
              <w:top w:w="11" w:type="dxa"/>
              <w:left w:w="11" w:type="dxa"/>
              <w:bottom w:w="11" w:type="dxa"/>
              <w:right w:w="11" w:type="dxa"/>
            </w:tcMar>
            <w:vAlign w:val="bottom"/>
          </w:tcPr>
          <w:p w14:paraId="5A16EB37"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05DE3A4C" w14:textId="77777777">
        <w:trPr>
          <w:cantSplit/>
        </w:trPr>
        <w:tc>
          <w:tcPr>
            <w:tcW w:w="1455" w:type="dxa"/>
            <w:vAlign w:val="bottom"/>
          </w:tcPr>
          <w:p w14:paraId="0FC5C794" w14:textId="77777777" w:rsidR="008E5DE4" w:rsidRDefault="00780368">
            <w:pPr>
              <w:widowControl w:val="0"/>
              <w:pBdr>
                <w:top w:val="nil"/>
                <w:left w:val="nil"/>
                <w:bottom w:val="nil"/>
                <w:right w:val="nil"/>
                <w:between w:val="nil"/>
              </w:pBdr>
              <w:spacing w:line="228" w:lineRule="auto"/>
              <w:ind w:left="113" w:right="-57" w:hanging="113"/>
              <w:rPr>
                <w:color w:val="0000FF"/>
                <w:sz w:val="15"/>
                <w:szCs w:val="15"/>
              </w:rPr>
            </w:pPr>
            <w:r>
              <w:rPr>
                <w:color w:val="0000FF"/>
                <w:sz w:val="15"/>
                <w:szCs w:val="15"/>
              </w:rPr>
              <w:t>[Adoption of new or revised standards]</w:t>
            </w:r>
          </w:p>
        </w:tc>
        <w:tc>
          <w:tcPr>
            <w:tcW w:w="451" w:type="dxa"/>
            <w:vAlign w:val="bottom"/>
          </w:tcPr>
          <w:p w14:paraId="31861F6E"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hyperlink w:anchor="_heading=h.2s8eyo1">
              <w:r>
                <w:rPr>
                  <w:color w:val="000000"/>
                  <w:sz w:val="15"/>
                  <w:szCs w:val="15"/>
                </w:rPr>
                <w:t>5</w:t>
              </w:r>
            </w:hyperlink>
          </w:p>
        </w:tc>
        <w:tc>
          <w:tcPr>
            <w:tcW w:w="663" w:type="dxa"/>
            <w:vAlign w:val="bottom"/>
          </w:tcPr>
          <w:p w14:paraId="01708E50"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vAlign w:val="bottom"/>
          </w:tcPr>
          <w:p w14:paraId="56105440"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4B7CF624"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13FB8EAF"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vAlign w:val="bottom"/>
          </w:tcPr>
          <w:p w14:paraId="349D8D9E"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vAlign w:val="bottom"/>
          </w:tcPr>
          <w:p w14:paraId="1B4EA92A"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vAlign w:val="bottom"/>
          </w:tcPr>
          <w:p w14:paraId="33BC5DAA"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vAlign w:val="bottom"/>
          </w:tcPr>
          <w:p w14:paraId="5C621F71"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Mar>
              <w:top w:w="11" w:type="dxa"/>
              <w:left w:w="11" w:type="dxa"/>
              <w:bottom w:w="11" w:type="dxa"/>
              <w:right w:w="11" w:type="dxa"/>
            </w:tcMar>
            <w:vAlign w:val="bottom"/>
          </w:tcPr>
          <w:p w14:paraId="3B5D2657"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Mar>
              <w:top w:w="11" w:type="dxa"/>
              <w:left w:w="11" w:type="dxa"/>
              <w:bottom w:w="11" w:type="dxa"/>
              <w:right w:w="11" w:type="dxa"/>
            </w:tcMar>
            <w:vAlign w:val="bottom"/>
          </w:tcPr>
          <w:p w14:paraId="7F94ADD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02ACF409" w14:textId="77777777">
        <w:trPr>
          <w:cantSplit/>
        </w:trPr>
        <w:tc>
          <w:tcPr>
            <w:tcW w:w="1455" w:type="dxa"/>
            <w:vAlign w:val="bottom"/>
          </w:tcPr>
          <w:p w14:paraId="396F2EC8" w14:textId="77777777" w:rsidR="008E5DE4" w:rsidRDefault="00780368">
            <w:pPr>
              <w:widowControl w:val="0"/>
              <w:pBdr>
                <w:top w:val="nil"/>
                <w:left w:val="nil"/>
                <w:bottom w:val="nil"/>
                <w:right w:val="nil"/>
                <w:between w:val="nil"/>
              </w:pBdr>
              <w:spacing w:line="228" w:lineRule="auto"/>
              <w:ind w:left="113" w:right="-57" w:hanging="113"/>
              <w:rPr>
                <w:color w:val="0000FF"/>
                <w:sz w:val="15"/>
                <w:szCs w:val="15"/>
              </w:rPr>
            </w:pPr>
            <w:r>
              <w:rPr>
                <w:color w:val="0000FF"/>
                <w:sz w:val="15"/>
                <w:szCs w:val="15"/>
              </w:rPr>
              <w:t>[Correction of error (net of tax)]</w:t>
            </w:r>
          </w:p>
        </w:tc>
        <w:tc>
          <w:tcPr>
            <w:tcW w:w="451" w:type="dxa"/>
            <w:vAlign w:val="bottom"/>
          </w:tcPr>
          <w:p w14:paraId="796278D5"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51C27CD6"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vAlign w:val="bottom"/>
          </w:tcPr>
          <w:p w14:paraId="2D3C0884"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731F8392"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1B076D2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vAlign w:val="bottom"/>
          </w:tcPr>
          <w:p w14:paraId="06F3476A"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vAlign w:val="bottom"/>
          </w:tcPr>
          <w:p w14:paraId="3E07639B"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vAlign w:val="bottom"/>
          </w:tcPr>
          <w:p w14:paraId="3C8510B1"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vAlign w:val="bottom"/>
          </w:tcPr>
          <w:p w14:paraId="57DE38E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Mar>
              <w:top w:w="11" w:type="dxa"/>
              <w:left w:w="11" w:type="dxa"/>
              <w:bottom w:w="11" w:type="dxa"/>
              <w:right w:w="11" w:type="dxa"/>
            </w:tcMar>
            <w:vAlign w:val="bottom"/>
          </w:tcPr>
          <w:p w14:paraId="0339F79F"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Mar>
              <w:top w:w="11" w:type="dxa"/>
              <w:left w:w="11" w:type="dxa"/>
              <w:bottom w:w="11" w:type="dxa"/>
              <w:right w:w="11" w:type="dxa"/>
            </w:tcMar>
            <w:vAlign w:val="bottom"/>
          </w:tcPr>
          <w:p w14:paraId="61DD525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5EE231BD" w14:textId="77777777">
        <w:trPr>
          <w:cantSplit/>
        </w:trPr>
        <w:tc>
          <w:tcPr>
            <w:tcW w:w="1455" w:type="dxa"/>
            <w:tcBorders>
              <w:bottom w:val="single" w:sz="4" w:space="0" w:color="000000"/>
            </w:tcBorders>
            <w:vAlign w:val="bottom"/>
          </w:tcPr>
          <w:p w14:paraId="401A9D44"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bottom w:val="single" w:sz="4" w:space="0" w:color="000000"/>
            </w:tcBorders>
            <w:vAlign w:val="bottom"/>
          </w:tcPr>
          <w:p w14:paraId="581002AF"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4" w:space="0" w:color="000000"/>
            </w:tcBorders>
            <w:vAlign w:val="bottom"/>
          </w:tcPr>
          <w:p w14:paraId="7943E14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4" w:space="0" w:color="000000"/>
            </w:tcBorders>
            <w:vAlign w:val="bottom"/>
          </w:tcPr>
          <w:p w14:paraId="3C25EAE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15B1B43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5D5AF44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4" w:space="0" w:color="000000"/>
            </w:tcBorders>
            <w:vAlign w:val="bottom"/>
          </w:tcPr>
          <w:p w14:paraId="055A02E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4" w:space="0" w:color="000000"/>
            </w:tcBorders>
            <w:vAlign w:val="bottom"/>
          </w:tcPr>
          <w:p w14:paraId="692E8A8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4" w:space="0" w:color="000000"/>
            </w:tcBorders>
            <w:vAlign w:val="bottom"/>
          </w:tcPr>
          <w:p w14:paraId="3985F7E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4" w:space="0" w:color="000000"/>
            </w:tcBorders>
            <w:vAlign w:val="bottom"/>
          </w:tcPr>
          <w:p w14:paraId="638400A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4" w:space="0" w:color="000000"/>
            </w:tcBorders>
            <w:tcMar>
              <w:top w:w="11" w:type="dxa"/>
              <w:left w:w="11" w:type="dxa"/>
              <w:bottom w:w="11" w:type="dxa"/>
              <w:right w:w="11" w:type="dxa"/>
            </w:tcMar>
            <w:vAlign w:val="bottom"/>
          </w:tcPr>
          <w:p w14:paraId="5A1904A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4" w:space="0" w:color="000000"/>
            </w:tcBorders>
            <w:tcMar>
              <w:top w:w="11" w:type="dxa"/>
              <w:left w:w="11" w:type="dxa"/>
              <w:bottom w:w="11" w:type="dxa"/>
              <w:right w:w="11" w:type="dxa"/>
            </w:tcMar>
            <w:vAlign w:val="bottom"/>
          </w:tcPr>
          <w:p w14:paraId="0CD4E85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6D5360B9" w14:textId="77777777">
        <w:trPr>
          <w:cantSplit/>
        </w:trPr>
        <w:tc>
          <w:tcPr>
            <w:tcW w:w="1455" w:type="dxa"/>
            <w:vAlign w:val="bottom"/>
          </w:tcPr>
          <w:p w14:paraId="269AFB39"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vAlign w:val="bottom"/>
          </w:tcPr>
          <w:p w14:paraId="22A49233"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1E8975D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1A7B4FC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7AFD9B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03EF35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0A0AA94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560DAE2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65DE61A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1F55124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1DAAA94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372DA65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28D36E5A" w14:textId="77777777">
        <w:trPr>
          <w:cantSplit/>
        </w:trPr>
        <w:tc>
          <w:tcPr>
            <w:tcW w:w="1455" w:type="dxa"/>
            <w:vAlign w:val="bottom"/>
          </w:tcPr>
          <w:p w14:paraId="32B2827C" w14:textId="0C417BBB"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b/>
                <w:color w:val="0000FF"/>
                <w:sz w:val="15"/>
                <w:szCs w:val="15"/>
              </w:rPr>
              <w:t>[Restated]</w:t>
            </w:r>
            <w:r>
              <w:rPr>
                <w:b/>
                <w:color w:val="000000"/>
                <w:sz w:val="15"/>
                <w:szCs w:val="15"/>
              </w:rPr>
              <w:t xml:space="preserve"> </w:t>
            </w:r>
            <w:proofErr w:type="gramStart"/>
            <w:r>
              <w:rPr>
                <w:b/>
                <w:color w:val="000000"/>
                <w:sz w:val="15"/>
                <w:szCs w:val="15"/>
              </w:rPr>
              <w:t>At</w:t>
            </w:r>
            <w:proofErr w:type="gramEnd"/>
            <w:r>
              <w:rPr>
                <w:b/>
                <w:color w:val="000000"/>
                <w:sz w:val="15"/>
                <w:szCs w:val="15"/>
              </w:rPr>
              <w:t xml:space="preserve"> 1 January </w:t>
            </w:r>
            <w:r w:rsidR="00FF468A">
              <w:rPr>
                <w:b/>
                <w:color w:val="000000"/>
                <w:sz w:val="15"/>
                <w:szCs w:val="15"/>
              </w:rPr>
              <w:t>2024</w:t>
            </w:r>
          </w:p>
        </w:tc>
        <w:tc>
          <w:tcPr>
            <w:tcW w:w="451" w:type="dxa"/>
            <w:vAlign w:val="bottom"/>
          </w:tcPr>
          <w:p w14:paraId="05448A78" w14:textId="77777777" w:rsidR="008E5DE4" w:rsidRDefault="008E5DE4">
            <w:pPr>
              <w:widowControl w:val="0"/>
              <w:pBdr>
                <w:top w:val="nil"/>
                <w:left w:val="nil"/>
                <w:bottom w:val="nil"/>
                <w:right w:val="nil"/>
                <w:between w:val="nil"/>
              </w:pBdr>
              <w:spacing w:line="228" w:lineRule="auto"/>
              <w:ind w:left="-57" w:right="-57"/>
              <w:jc w:val="center"/>
              <w:rPr>
                <w:b/>
                <w:color w:val="000000"/>
                <w:sz w:val="15"/>
                <w:szCs w:val="15"/>
              </w:rPr>
            </w:pPr>
          </w:p>
        </w:tc>
        <w:tc>
          <w:tcPr>
            <w:tcW w:w="663" w:type="dxa"/>
            <w:vAlign w:val="bottom"/>
          </w:tcPr>
          <w:p w14:paraId="3180D2A5"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vAlign w:val="bottom"/>
          </w:tcPr>
          <w:p w14:paraId="361DCE7F"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3087ADB6"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601FF535"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vAlign w:val="bottom"/>
          </w:tcPr>
          <w:p w14:paraId="450EE724"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vAlign w:val="bottom"/>
          </w:tcPr>
          <w:p w14:paraId="67C637B4"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vAlign w:val="bottom"/>
          </w:tcPr>
          <w:p w14:paraId="3A53D63F"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vAlign w:val="bottom"/>
          </w:tcPr>
          <w:p w14:paraId="3D4F1145"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Mar>
              <w:top w:w="11" w:type="dxa"/>
              <w:left w:w="11" w:type="dxa"/>
              <w:bottom w:w="11" w:type="dxa"/>
              <w:right w:w="11" w:type="dxa"/>
            </w:tcMar>
            <w:vAlign w:val="bottom"/>
          </w:tcPr>
          <w:p w14:paraId="1D564A80"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Mar>
              <w:top w:w="11" w:type="dxa"/>
              <w:left w:w="11" w:type="dxa"/>
              <w:bottom w:w="11" w:type="dxa"/>
              <w:right w:w="11" w:type="dxa"/>
            </w:tcMar>
            <w:vAlign w:val="bottom"/>
          </w:tcPr>
          <w:p w14:paraId="1274E074"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51154EA1" w14:textId="77777777">
        <w:trPr>
          <w:cantSplit/>
        </w:trPr>
        <w:tc>
          <w:tcPr>
            <w:tcW w:w="1455" w:type="dxa"/>
            <w:tcBorders>
              <w:bottom w:val="single" w:sz="4" w:space="0" w:color="000000"/>
            </w:tcBorders>
            <w:vAlign w:val="bottom"/>
          </w:tcPr>
          <w:p w14:paraId="523D2C9D"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bottom w:val="single" w:sz="4" w:space="0" w:color="000000"/>
            </w:tcBorders>
            <w:vAlign w:val="bottom"/>
          </w:tcPr>
          <w:p w14:paraId="0FE56C8A"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4" w:space="0" w:color="000000"/>
            </w:tcBorders>
            <w:vAlign w:val="bottom"/>
          </w:tcPr>
          <w:p w14:paraId="6F81940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4" w:space="0" w:color="000000"/>
            </w:tcBorders>
            <w:vAlign w:val="bottom"/>
          </w:tcPr>
          <w:p w14:paraId="59184BE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1424868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5848D56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4" w:space="0" w:color="000000"/>
            </w:tcBorders>
            <w:vAlign w:val="bottom"/>
          </w:tcPr>
          <w:p w14:paraId="7D30E39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4" w:space="0" w:color="000000"/>
            </w:tcBorders>
            <w:vAlign w:val="bottom"/>
          </w:tcPr>
          <w:p w14:paraId="57989AC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4" w:space="0" w:color="000000"/>
            </w:tcBorders>
            <w:vAlign w:val="bottom"/>
          </w:tcPr>
          <w:p w14:paraId="1477C77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4" w:space="0" w:color="000000"/>
            </w:tcBorders>
            <w:vAlign w:val="bottom"/>
          </w:tcPr>
          <w:p w14:paraId="522B4ED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4" w:space="0" w:color="000000"/>
            </w:tcBorders>
            <w:tcMar>
              <w:top w:w="11" w:type="dxa"/>
              <w:left w:w="11" w:type="dxa"/>
              <w:bottom w:w="11" w:type="dxa"/>
              <w:right w:w="11" w:type="dxa"/>
            </w:tcMar>
            <w:vAlign w:val="bottom"/>
          </w:tcPr>
          <w:p w14:paraId="627D1DB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4" w:space="0" w:color="000000"/>
            </w:tcBorders>
            <w:tcMar>
              <w:top w:w="11" w:type="dxa"/>
              <w:left w:w="11" w:type="dxa"/>
              <w:bottom w:w="11" w:type="dxa"/>
              <w:right w:w="11" w:type="dxa"/>
            </w:tcMar>
            <w:vAlign w:val="bottom"/>
          </w:tcPr>
          <w:p w14:paraId="74EA06D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3E09475D" w14:textId="77777777">
        <w:trPr>
          <w:cantSplit/>
        </w:trPr>
        <w:tc>
          <w:tcPr>
            <w:tcW w:w="1455" w:type="dxa"/>
            <w:tcBorders>
              <w:top w:val="single" w:sz="4" w:space="0" w:color="000000"/>
            </w:tcBorders>
            <w:vAlign w:val="bottom"/>
          </w:tcPr>
          <w:p w14:paraId="39765F50"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top w:val="single" w:sz="4" w:space="0" w:color="000000"/>
            </w:tcBorders>
            <w:vAlign w:val="bottom"/>
          </w:tcPr>
          <w:p w14:paraId="0D335E53"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top w:val="single" w:sz="4" w:space="0" w:color="000000"/>
            </w:tcBorders>
            <w:vAlign w:val="bottom"/>
          </w:tcPr>
          <w:p w14:paraId="06B65CF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top w:val="single" w:sz="4" w:space="0" w:color="000000"/>
            </w:tcBorders>
            <w:vAlign w:val="bottom"/>
          </w:tcPr>
          <w:p w14:paraId="1D1915C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6665F11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6FDE480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top w:val="single" w:sz="4" w:space="0" w:color="000000"/>
            </w:tcBorders>
            <w:vAlign w:val="bottom"/>
          </w:tcPr>
          <w:p w14:paraId="3D7F3F5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top w:val="single" w:sz="4" w:space="0" w:color="000000"/>
            </w:tcBorders>
            <w:vAlign w:val="bottom"/>
          </w:tcPr>
          <w:p w14:paraId="55ADC8F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top w:val="single" w:sz="4" w:space="0" w:color="000000"/>
            </w:tcBorders>
            <w:vAlign w:val="bottom"/>
          </w:tcPr>
          <w:p w14:paraId="070490B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top w:val="single" w:sz="4" w:space="0" w:color="000000"/>
            </w:tcBorders>
            <w:vAlign w:val="bottom"/>
          </w:tcPr>
          <w:p w14:paraId="552F96A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top w:val="single" w:sz="4" w:space="0" w:color="000000"/>
            </w:tcBorders>
            <w:tcMar>
              <w:top w:w="11" w:type="dxa"/>
              <w:left w:w="11" w:type="dxa"/>
              <w:bottom w:w="11" w:type="dxa"/>
              <w:right w:w="11" w:type="dxa"/>
            </w:tcMar>
            <w:vAlign w:val="bottom"/>
          </w:tcPr>
          <w:p w14:paraId="1DB3D2B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top w:val="single" w:sz="4" w:space="0" w:color="000000"/>
            </w:tcBorders>
            <w:tcMar>
              <w:top w:w="11" w:type="dxa"/>
              <w:left w:w="11" w:type="dxa"/>
              <w:bottom w:w="11" w:type="dxa"/>
              <w:right w:w="11" w:type="dxa"/>
            </w:tcMar>
            <w:vAlign w:val="bottom"/>
          </w:tcPr>
          <w:p w14:paraId="16A7CA5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7531BA79" w14:textId="77777777">
        <w:trPr>
          <w:cantSplit/>
        </w:trPr>
        <w:tc>
          <w:tcPr>
            <w:tcW w:w="1455" w:type="dxa"/>
            <w:vAlign w:val="bottom"/>
          </w:tcPr>
          <w:p w14:paraId="05038EA2"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xml:space="preserve">Profit </w:t>
            </w:r>
            <w:r w:rsidRPr="006A15AF">
              <w:rPr>
                <w:color w:val="0000FF"/>
                <w:sz w:val="15"/>
                <w:szCs w:val="15"/>
              </w:rPr>
              <w:t>/ (Loss)</w:t>
            </w:r>
            <w:r>
              <w:rPr>
                <w:color w:val="000000"/>
                <w:sz w:val="15"/>
                <w:szCs w:val="15"/>
              </w:rPr>
              <w:t xml:space="preserve"> for the year [</w:t>
            </w:r>
            <w:r>
              <w:rPr>
                <w:color w:val="0000FF"/>
                <w:sz w:val="15"/>
                <w:szCs w:val="15"/>
              </w:rPr>
              <w:t>Restated]</w:t>
            </w:r>
          </w:p>
        </w:tc>
        <w:tc>
          <w:tcPr>
            <w:tcW w:w="451" w:type="dxa"/>
            <w:vAlign w:val="bottom"/>
          </w:tcPr>
          <w:p w14:paraId="74839A24"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77BD473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3363129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7ACC97B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15E66E6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4425399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631FDC4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5851877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4AC803D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7647BD0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392C57D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7C2976D5" w14:textId="77777777">
        <w:trPr>
          <w:cantSplit/>
        </w:trPr>
        <w:tc>
          <w:tcPr>
            <w:tcW w:w="1455" w:type="dxa"/>
            <w:vAlign w:val="bottom"/>
          </w:tcPr>
          <w:p w14:paraId="0FCBB416"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Other comprehensive income</w:t>
            </w:r>
            <w:r w:rsidRPr="006A15AF">
              <w:rPr>
                <w:color w:val="0000FF"/>
                <w:sz w:val="15"/>
                <w:szCs w:val="15"/>
              </w:rPr>
              <w:t>/ (loss)</w:t>
            </w:r>
            <w:r>
              <w:rPr>
                <w:color w:val="000000"/>
                <w:sz w:val="15"/>
                <w:szCs w:val="15"/>
              </w:rPr>
              <w:t xml:space="preserve"> for the year [</w:t>
            </w:r>
            <w:r>
              <w:rPr>
                <w:color w:val="0000FF"/>
                <w:sz w:val="15"/>
                <w:szCs w:val="15"/>
              </w:rPr>
              <w:t>Restated]</w:t>
            </w:r>
          </w:p>
        </w:tc>
        <w:tc>
          <w:tcPr>
            <w:tcW w:w="451" w:type="dxa"/>
            <w:vAlign w:val="bottom"/>
          </w:tcPr>
          <w:p w14:paraId="14C87AD9"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27</w:t>
            </w:r>
          </w:p>
        </w:tc>
        <w:tc>
          <w:tcPr>
            <w:tcW w:w="663" w:type="dxa"/>
            <w:vAlign w:val="bottom"/>
          </w:tcPr>
          <w:p w14:paraId="6A1D9BE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0CF34BF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6CB6AC3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36F946C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141DB5F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52DB4F0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4273882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653AF40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21B031F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7F79BBE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1DD08609" w14:textId="77777777">
        <w:trPr>
          <w:cantSplit/>
        </w:trPr>
        <w:tc>
          <w:tcPr>
            <w:tcW w:w="1455" w:type="dxa"/>
            <w:tcBorders>
              <w:bottom w:val="single" w:sz="4" w:space="0" w:color="000000"/>
            </w:tcBorders>
            <w:vAlign w:val="bottom"/>
          </w:tcPr>
          <w:p w14:paraId="5DC0D053"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bottom w:val="single" w:sz="4" w:space="0" w:color="000000"/>
            </w:tcBorders>
            <w:vAlign w:val="bottom"/>
          </w:tcPr>
          <w:p w14:paraId="4904DF3C"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4" w:space="0" w:color="000000"/>
            </w:tcBorders>
            <w:vAlign w:val="bottom"/>
          </w:tcPr>
          <w:p w14:paraId="5AF4EDE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4" w:space="0" w:color="000000"/>
            </w:tcBorders>
            <w:vAlign w:val="bottom"/>
          </w:tcPr>
          <w:p w14:paraId="01572FA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08CBDBC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0FBA5CE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4" w:space="0" w:color="000000"/>
            </w:tcBorders>
            <w:vAlign w:val="bottom"/>
          </w:tcPr>
          <w:p w14:paraId="7B8AA41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4" w:space="0" w:color="000000"/>
            </w:tcBorders>
            <w:vAlign w:val="bottom"/>
          </w:tcPr>
          <w:p w14:paraId="10C6790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4" w:space="0" w:color="000000"/>
            </w:tcBorders>
            <w:vAlign w:val="bottom"/>
          </w:tcPr>
          <w:p w14:paraId="291D383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4" w:space="0" w:color="000000"/>
            </w:tcBorders>
            <w:vAlign w:val="bottom"/>
          </w:tcPr>
          <w:p w14:paraId="610169F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4" w:space="0" w:color="000000"/>
            </w:tcBorders>
            <w:tcMar>
              <w:top w:w="11" w:type="dxa"/>
              <w:left w:w="11" w:type="dxa"/>
              <w:bottom w:w="11" w:type="dxa"/>
              <w:right w:w="11" w:type="dxa"/>
            </w:tcMar>
            <w:vAlign w:val="bottom"/>
          </w:tcPr>
          <w:p w14:paraId="0E4A40F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4" w:space="0" w:color="000000"/>
            </w:tcBorders>
            <w:tcMar>
              <w:top w:w="11" w:type="dxa"/>
              <w:left w:w="11" w:type="dxa"/>
              <w:bottom w:w="11" w:type="dxa"/>
              <w:right w:w="11" w:type="dxa"/>
            </w:tcMar>
            <w:vAlign w:val="bottom"/>
          </w:tcPr>
          <w:p w14:paraId="51AABAE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43260CB7" w14:textId="77777777">
        <w:trPr>
          <w:cantSplit/>
        </w:trPr>
        <w:tc>
          <w:tcPr>
            <w:tcW w:w="1455" w:type="dxa"/>
            <w:tcBorders>
              <w:top w:val="single" w:sz="4" w:space="0" w:color="000000"/>
            </w:tcBorders>
            <w:vAlign w:val="bottom"/>
          </w:tcPr>
          <w:p w14:paraId="63B2CC80"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top w:val="single" w:sz="4" w:space="0" w:color="000000"/>
            </w:tcBorders>
            <w:vAlign w:val="bottom"/>
          </w:tcPr>
          <w:p w14:paraId="5D5C4468"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top w:val="single" w:sz="4" w:space="0" w:color="000000"/>
            </w:tcBorders>
            <w:vAlign w:val="bottom"/>
          </w:tcPr>
          <w:p w14:paraId="37B937E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top w:val="single" w:sz="4" w:space="0" w:color="000000"/>
            </w:tcBorders>
            <w:vAlign w:val="bottom"/>
          </w:tcPr>
          <w:p w14:paraId="57A3596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30A9001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5E750CA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top w:val="single" w:sz="4" w:space="0" w:color="000000"/>
            </w:tcBorders>
            <w:vAlign w:val="bottom"/>
          </w:tcPr>
          <w:p w14:paraId="4B73598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top w:val="single" w:sz="4" w:space="0" w:color="000000"/>
            </w:tcBorders>
            <w:vAlign w:val="bottom"/>
          </w:tcPr>
          <w:p w14:paraId="233D86D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top w:val="single" w:sz="4" w:space="0" w:color="000000"/>
            </w:tcBorders>
            <w:vAlign w:val="bottom"/>
          </w:tcPr>
          <w:p w14:paraId="0A6B1CA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top w:val="single" w:sz="4" w:space="0" w:color="000000"/>
            </w:tcBorders>
            <w:vAlign w:val="bottom"/>
          </w:tcPr>
          <w:p w14:paraId="4A36389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top w:val="single" w:sz="4" w:space="0" w:color="000000"/>
            </w:tcBorders>
            <w:tcMar>
              <w:top w:w="11" w:type="dxa"/>
              <w:left w:w="11" w:type="dxa"/>
              <w:bottom w:w="11" w:type="dxa"/>
              <w:right w:w="11" w:type="dxa"/>
            </w:tcMar>
            <w:vAlign w:val="bottom"/>
          </w:tcPr>
          <w:p w14:paraId="1D2696A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top w:val="single" w:sz="4" w:space="0" w:color="000000"/>
            </w:tcBorders>
            <w:tcMar>
              <w:top w:w="11" w:type="dxa"/>
              <w:left w:w="11" w:type="dxa"/>
              <w:bottom w:w="11" w:type="dxa"/>
              <w:right w:w="11" w:type="dxa"/>
            </w:tcMar>
            <w:vAlign w:val="bottom"/>
          </w:tcPr>
          <w:p w14:paraId="6C6D962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513906EB" w14:textId="77777777">
        <w:trPr>
          <w:cantSplit/>
        </w:trPr>
        <w:tc>
          <w:tcPr>
            <w:tcW w:w="1455" w:type="dxa"/>
            <w:vAlign w:val="bottom"/>
          </w:tcPr>
          <w:p w14:paraId="25C2AB50" w14:textId="422303F8"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Total comprehensive income</w:t>
            </w:r>
            <w:r w:rsidRPr="006A15AF">
              <w:rPr>
                <w:color w:val="0000FF"/>
                <w:sz w:val="15"/>
                <w:szCs w:val="15"/>
              </w:rPr>
              <w:t>/ (loss)</w:t>
            </w:r>
            <w:r>
              <w:rPr>
                <w:color w:val="000000"/>
                <w:sz w:val="15"/>
                <w:szCs w:val="15"/>
              </w:rPr>
              <w:t xml:space="preserve"> for </w:t>
            </w:r>
            <w:r w:rsidR="00FF468A">
              <w:rPr>
                <w:color w:val="000000"/>
                <w:sz w:val="15"/>
                <w:szCs w:val="15"/>
              </w:rPr>
              <w:t>2024</w:t>
            </w:r>
            <w:r>
              <w:rPr>
                <w:color w:val="000000"/>
                <w:sz w:val="15"/>
                <w:szCs w:val="15"/>
              </w:rPr>
              <w:t xml:space="preserve"> [</w:t>
            </w:r>
            <w:r>
              <w:rPr>
                <w:color w:val="0000FF"/>
                <w:sz w:val="15"/>
                <w:szCs w:val="15"/>
              </w:rPr>
              <w:t>Restated]</w:t>
            </w:r>
          </w:p>
        </w:tc>
        <w:tc>
          <w:tcPr>
            <w:tcW w:w="451" w:type="dxa"/>
            <w:vAlign w:val="bottom"/>
          </w:tcPr>
          <w:p w14:paraId="3832E5F1"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13AC2C2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4F260F8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22EC5E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76BCFB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5E0B94C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7D57F1E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31E83A0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35071C5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6CD75B3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1CD2775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5410F2F0" w14:textId="77777777">
        <w:trPr>
          <w:cantSplit/>
        </w:trPr>
        <w:tc>
          <w:tcPr>
            <w:tcW w:w="1455" w:type="dxa"/>
            <w:tcBorders>
              <w:bottom w:val="single" w:sz="4" w:space="0" w:color="000000"/>
            </w:tcBorders>
            <w:vAlign w:val="bottom"/>
          </w:tcPr>
          <w:p w14:paraId="13CB35B2"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bottom w:val="single" w:sz="4" w:space="0" w:color="000000"/>
            </w:tcBorders>
            <w:vAlign w:val="bottom"/>
          </w:tcPr>
          <w:p w14:paraId="75D7BCB6"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4" w:space="0" w:color="000000"/>
            </w:tcBorders>
            <w:vAlign w:val="bottom"/>
          </w:tcPr>
          <w:p w14:paraId="706F842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4" w:space="0" w:color="000000"/>
            </w:tcBorders>
            <w:vAlign w:val="bottom"/>
          </w:tcPr>
          <w:p w14:paraId="012DDE0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57AC8BB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1179A48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4" w:space="0" w:color="000000"/>
            </w:tcBorders>
            <w:vAlign w:val="bottom"/>
          </w:tcPr>
          <w:p w14:paraId="02A9D6A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4" w:space="0" w:color="000000"/>
            </w:tcBorders>
            <w:vAlign w:val="bottom"/>
          </w:tcPr>
          <w:p w14:paraId="489D08C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4" w:space="0" w:color="000000"/>
            </w:tcBorders>
            <w:vAlign w:val="bottom"/>
          </w:tcPr>
          <w:p w14:paraId="4B65BB8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4" w:space="0" w:color="000000"/>
            </w:tcBorders>
            <w:vAlign w:val="bottom"/>
          </w:tcPr>
          <w:p w14:paraId="18D79AE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4" w:space="0" w:color="000000"/>
            </w:tcBorders>
            <w:vAlign w:val="bottom"/>
          </w:tcPr>
          <w:p w14:paraId="225E9BF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4" w:space="0" w:color="000000"/>
            </w:tcBorders>
            <w:tcMar>
              <w:top w:w="11" w:type="dxa"/>
              <w:left w:w="11" w:type="dxa"/>
              <w:bottom w:w="11" w:type="dxa"/>
              <w:right w:w="11" w:type="dxa"/>
            </w:tcMar>
            <w:vAlign w:val="bottom"/>
          </w:tcPr>
          <w:p w14:paraId="2291F28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1A74D1E2" w14:textId="77777777">
        <w:trPr>
          <w:cantSplit/>
        </w:trPr>
        <w:tc>
          <w:tcPr>
            <w:tcW w:w="1455" w:type="dxa"/>
            <w:tcBorders>
              <w:top w:val="single" w:sz="4" w:space="0" w:color="000000"/>
            </w:tcBorders>
            <w:vAlign w:val="bottom"/>
          </w:tcPr>
          <w:p w14:paraId="2944C43F"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top w:val="single" w:sz="4" w:space="0" w:color="000000"/>
            </w:tcBorders>
            <w:vAlign w:val="bottom"/>
          </w:tcPr>
          <w:p w14:paraId="4E295D4F"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top w:val="single" w:sz="4" w:space="0" w:color="000000"/>
            </w:tcBorders>
            <w:vAlign w:val="bottom"/>
          </w:tcPr>
          <w:p w14:paraId="23ED70E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top w:val="single" w:sz="4" w:space="0" w:color="000000"/>
            </w:tcBorders>
            <w:vAlign w:val="bottom"/>
          </w:tcPr>
          <w:p w14:paraId="6711E3A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34584AC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3A3A63F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top w:val="single" w:sz="4" w:space="0" w:color="000000"/>
            </w:tcBorders>
            <w:vAlign w:val="bottom"/>
          </w:tcPr>
          <w:p w14:paraId="6D1A4EE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top w:val="single" w:sz="4" w:space="0" w:color="000000"/>
            </w:tcBorders>
            <w:vAlign w:val="bottom"/>
          </w:tcPr>
          <w:p w14:paraId="2552C38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top w:val="single" w:sz="4" w:space="0" w:color="000000"/>
            </w:tcBorders>
            <w:vAlign w:val="bottom"/>
          </w:tcPr>
          <w:p w14:paraId="7323B50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top w:val="single" w:sz="4" w:space="0" w:color="000000"/>
            </w:tcBorders>
            <w:vAlign w:val="bottom"/>
          </w:tcPr>
          <w:p w14:paraId="3BE4ED7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top w:val="single" w:sz="4" w:space="0" w:color="000000"/>
            </w:tcBorders>
            <w:vAlign w:val="bottom"/>
          </w:tcPr>
          <w:p w14:paraId="5875D38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top w:val="single" w:sz="4" w:space="0" w:color="000000"/>
            </w:tcBorders>
            <w:tcMar>
              <w:top w:w="11" w:type="dxa"/>
              <w:left w:w="11" w:type="dxa"/>
              <w:bottom w:w="11" w:type="dxa"/>
              <w:right w:w="11" w:type="dxa"/>
            </w:tcMar>
            <w:vAlign w:val="bottom"/>
          </w:tcPr>
          <w:p w14:paraId="3B3FD25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72D511C8" w14:textId="77777777">
        <w:trPr>
          <w:cantSplit/>
        </w:trPr>
        <w:tc>
          <w:tcPr>
            <w:tcW w:w="1455" w:type="dxa"/>
            <w:vAlign w:val="bottom"/>
          </w:tcPr>
          <w:p w14:paraId="0EA49E20"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Shares issued</w:t>
            </w:r>
          </w:p>
        </w:tc>
        <w:tc>
          <w:tcPr>
            <w:tcW w:w="451" w:type="dxa"/>
            <w:vAlign w:val="bottom"/>
          </w:tcPr>
          <w:p w14:paraId="5C52EEFD"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26</w:t>
            </w:r>
          </w:p>
        </w:tc>
        <w:tc>
          <w:tcPr>
            <w:tcW w:w="663" w:type="dxa"/>
            <w:vAlign w:val="bottom"/>
          </w:tcPr>
          <w:p w14:paraId="74A7570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52C339D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268F5FF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6560BB8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4B060F9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4291EC6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7325FFC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13D18A0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68A7D14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0914823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6F1E00FA" w14:textId="77777777">
        <w:trPr>
          <w:cantSplit/>
        </w:trPr>
        <w:tc>
          <w:tcPr>
            <w:tcW w:w="1455" w:type="dxa"/>
            <w:vAlign w:val="bottom"/>
          </w:tcPr>
          <w:p w14:paraId="73182BA0"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Treasury shares:</w:t>
            </w:r>
          </w:p>
        </w:tc>
        <w:tc>
          <w:tcPr>
            <w:tcW w:w="451" w:type="dxa"/>
            <w:vAlign w:val="bottom"/>
          </w:tcPr>
          <w:p w14:paraId="014E90A4"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3E0F8C4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7584D86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46DF81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9D2CE0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7737270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19E0353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49676A4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1F6629E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2D6318A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4DB68BC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2AC4593E" w14:textId="77777777">
        <w:trPr>
          <w:cantSplit/>
        </w:trPr>
        <w:tc>
          <w:tcPr>
            <w:tcW w:w="1455" w:type="dxa"/>
            <w:vAlign w:val="bottom"/>
          </w:tcPr>
          <w:p w14:paraId="6D1857ED"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Acquisitions</w:t>
            </w:r>
          </w:p>
        </w:tc>
        <w:tc>
          <w:tcPr>
            <w:tcW w:w="451" w:type="dxa"/>
            <w:vAlign w:val="bottom"/>
          </w:tcPr>
          <w:p w14:paraId="59F20885"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hyperlink w:anchor="_heading=h.19c6y18">
              <w:r>
                <w:rPr>
                  <w:color w:val="000000"/>
                  <w:sz w:val="15"/>
                  <w:szCs w:val="15"/>
                </w:rPr>
                <w:t>26</w:t>
              </w:r>
            </w:hyperlink>
          </w:p>
        </w:tc>
        <w:tc>
          <w:tcPr>
            <w:tcW w:w="663" w:type="dxa"/>
            <w:vAlign w:val="bottom"/>
          </w:tcPr>
          <w:p w14:paraId="353DC60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1DE31A7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2C7A2C5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6604679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5206DF1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6CA9BAB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466CE94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5B3D364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56594A6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3A88BCE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3078BDF7" w14:textId="77777777">
        <w:trPr>
          <w:cantSplit/>
        </w:trPr>
        <w:tc>
          <w:tcPr>
            <w:tcW w:w="1455" w:type="dxa"/>
            <w:vAlign w:val="bottom"/>
          </w:tcPr>
          <w:p w14:paraId="49A05925"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Disposals</w:t>
            </w:r>
          </w:p>
        </w:tc>
        <w:tc>
          <w:tcPr>
            <w:tcW w:w="451" w:type="dxa"/>
            <w:vAlign w:val="bottom"/>
          </w:tcPr>
          <w:p w14:paraId="2788AE12"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26</w:t>
            </w:r>
          </w:p>
        </w:tc>
        <w:tc>
          <w:tcPr>
            <w:tcW w:w="663" w:type="dxa"/>
            <w:vAlign w:val="bottom"/>
          </w:tcPr>
          <w:p w14:paraId="418AA2E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7E988B3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3D220DF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E7E3A6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2B938FC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56FFC9F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2DF4E30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26B7320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5D071B3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74AD1E8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3BE594D9" w14:textId="77777777">
        <w:trPr>
          <w:cantSplit/>
        </w:trPr>
        <w:tc>
          <w:tcPr>
            <w:tcW w:w="1455" w:type="dxa"/>
            <w:vAlign w:val="bottom"/>
          </w:tcPr>
          <w:p w14:paraId="231C8B11"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xml:space="preserve">Business combinations </w:t>
            </w:r>
          </w:p>
        </w:tc>
        <w:tc>
          <w:tcPr>
            <w:tcW w:w="451" w:type="dxa"/>
            <w:vAlign w:val="bottom"/>
          </w:tcPr>
          <w:p w14:paraId="190FD8F4"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50</w:t>
            </w:r>
          </w:p>
        </w:tc>
        <w:tc>
          <w:tcPr>
            <w:tcW w:w="663" w:type="dxa"/>
            <w:vAlign w:val="bottom"/>
          </w:tcPr>
          <w:p w14:paraId="1002D0F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5716B89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1DB5640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2CB708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61A9D5C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4B7ACCC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410E721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623CA67D" w14:textId="77777777" w:rsidR="008E5DE4" w:rsidRDefault="00780368">
            <w:pPr>
              <w:widowControl w:val="0"/>
              <w:pBdr>
                <w:top w:val="nil"/>
                <w:left w:val="nil"/>
                <w:bottom w:val="nil"/>
                <w:right w:val="nil"/>
                <w:between w:val="nil"/>
              </w:pBdr>
              <w:spacing w:line="228" w:lineRule="auto"/>
              <w:jc w:val="right"/>
              <w:rPr>
                <w:color w:val="000000"/>
                <w:sz w:val="15"/>
                <w:szCs w:val="15"/>
              </w:rPr>
            </w:pPr>
            <w:r>
              <w:rPr>
                <w:color w:val="000000"/>
                <w:sz w:val="15"/>
                <w:szCs w:val="15"/>
              </w:rPr>
              <w:t>-</w:t>
            </w:r>
          </w:p>
        </w:tc>
        <w:tc>
          <w:tcPr>
            <w:tcW w:w="749" w:type="dxa"/>
            <w:vAlign w:val="bottom"/>
          </w:tcPr>
          <w:p w14:paraId="4BCBEF1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69A00B7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08E5EC8E" w14:textId="77777777">
        <w:trPr>
          <w:cantSplit/>
        </w:trPr>
        <w:tc>
          <w:tcPr>
            <w:tcW w:w="1455" w:type="dxa"/>
            <w:vAlign w:val="bottom"/>
          </w:tcPr>
          <w:p w14:paraId="718C2BE2"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Acquisition of non-controlling interest in subsidiaries</w:t>
            </w:r>
          </w:p>
        </w:tc>
        <w:tc>
          <w:tcPr>
            <w:tcW w:w="451" w:type="dxa"/>
            <w:vAlign w:val="bottom"/>
          </w:tcPr>
          <w:p w14:paraId="297C8240"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289DA28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4271B1C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1EBDB56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6EE4D3E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5BA3556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2410720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25F3BBC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1276B7F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6F7BC12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79AD501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052B4F10" w14:textId="77777777">
        <w:trPr>
          <w:cantSplit/>
        </w:trPr>
        <w:tc>
          <w:tcPr>
            <w:tcW w:w="1455" w:type="dxa"/>
            <w:vAlign w:val="bottom"/>
          </w:tcPr>
          <w:p w14:paraId="77B0BC9A"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Disposal of non-controlling interest in subsidiaries</w:t>
            </w:r>
          </w:p>
        </w:tc>
        <w:tc>
          <w:tcPr>
            <w:tcW w:w="451" w:type="dxa"/>
            <w:vAlign w:val="bottom"/>
          </w:tcPr>
          <w:p w14:paraId="524068EA"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0C05B45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51E47DE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45BF741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CD485E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6021743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7E751E0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6E0DD28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235252B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283D2AC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4D9FC3E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49F29FA3" w14:textId="77777777">
        <w:trPr>
          <w:cantSplit/>
        </w:trPr>
        <w:tc>
          <w:tcPr>
            <w:tcW w:w="1455" w:type="dxa"/>
            <w:vAlign w:val="bottom"/>
          </w:tcPr>
          <w:p w14:paraId="6984B9A1"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xml:space="preserve">Transfer of revaluation surplus on property, plant and equipment to retained earnings </w:t>
            </w:r>
          </w:p>
        </w:tc>
        <w:tc>
          <w:tcPr>
            <w:tcW w:w="451" w:type="dxa"/>
            <w:vAlign w:val="bottom"/>
          </w:tcPr>
          <w:p w14:paraId="23D244C2"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54A4963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4923068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FBF623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4C2859C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430A350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79A0939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204C2B4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2526229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4309806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5E8FB3D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56BB6ECA" w14:textId="77777777">
        <w:trPr>
          <w:cantSplit/>
        </w:trPr>
        <w:tc>
          <w:tcPr>
            <w:tcW w:w="1455" w:type="dxa"/>
            <w:vAlign w:val="bottom"/>
          </w:tcPr>
          <w:p w14:paraId="7BE2FEF6"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Dividends declared</w:t>
            </w:r>
          </w:p>
        </w:tc>
        <w:tc>
          <w:tcPr>
            <w:tcW w:w="451" w:type="dxa"/>
            <w:vAlign w:val="bottom"/>
          </w:tcPr>
          <w:p w14:paraId="4E5C1FE6"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26</w:t>
            </w:r>
          </w:p>
        </w:tc>
        <w:tc>
          <w:tcPr>
            <w:tcW w:w="663" w:type="dxa"/>
            <w:vAlign w:val="bottom"/>
          </w:tcPr>
          <w:p w14:paraId="3F40903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2AE8BF9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3E0B774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8EC7E3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03B2FB7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0466DFC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79A28D7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6C19B0F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30A80B4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39C5077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30D6FE39" w14:textId="77777777">
        <w:trPr>
          <w:cantSplit/>
        </w:trPr>
        <w:tc>
          <w:tcPr>
            <w:tcW w:w="1455" w:type="dxa"/>
            <w:tcBorders>
              <w:bottom w:val="single" w:sz="4" w:space="0" w:color="000000"/>
            </w:tcBorders>
            <w:vAlign w:val="bottom"/>
          </w:tcPr>
          <w:p w14:paraId="6F961512" w14:textId="77777777" w:rsidR="008E5DE4" w:rsidRDefault="00780368">
            <w:pPr>
              <w:widowControl w:val="0"/>
              <w:pBdr>
                <w:top w:val="nil"/>
                <w:left w:val="nil"/>
                <w:bottom w:val="nil"/>
                <w:right w:val="nil"/>
                <w:between w:val="nil"/>
              </w:pBdr>
              <w:spacing w:line="228" w:lineRule="auto"/>
              <w:ind w:left="113" w:right="-57" w:hanging="113"/>
              <w:rPr>
                <w:b/>
                <w:color w:val="000000"/>
                <w:sz w:val="15"/>
                <w:szCs w:val="15"/>
              </w:rPr>
            </w:pPr>
            <w:r>
              <w:rPr>
                <w:b/>
                <w:color w:val="000000"/>
                <w:sz w:val="15"/>
                <w:szCs w:val="15"/>
              </w:rPr>
              <w:t> </w:t>
            </w:r>
          </w:p>
        </w:tc>
        <w:tc>
          <w:tcPr>
            <w:tcW w:w="451" w:type="dxa"/>
            <w:tcBorders>
              <w:bottom w:val="single" w:sz="4" w:space="0" w:color="000000"/>
            </w:tcBorders>
            <w:vAlign w:val="bottom"/>
          </w:tcPr>
          <w:p w14:paraId="6BB33DA3"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4" w:space="0" w:color="000000"/>
            </w:tcBorders>
            <w:vAlign w:val="bottom"/>
          </w:tcPr>
          <w:p w14:paraId="565077D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4" w:space="0" w:color="000000"/>
            </w:tcBorders>
            <w:vAlign w:val="bottom"/>
          </w:tcPr>
          <w:p w14:paraId="68128D6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2AC6C25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261B5AD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4" w:space="0" w:color="000000"/>
            </w:tcBorders>
            <w:vAlign w:val="bottom"/>
          </w:tcPr>
          <w:p w14:paraId="02793AB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4" w:space="0" w:color="000000"/>
            </w:tcBorders>
            <w:vAlign w:val="bottom"/>
          </w:tcPr>
          <w:p w14:paraId="7FCDFF9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4" w:space="0" w:color="000000"/>
            </w:tcBorders>
            <w:vAlign w:val="bottom"/>
          </w:tcPr>
          <w:p w14:paraId="1CD3AC9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4" w:space="0" w:color="000000"/>
            </w:tcBorders>
            <w:vAlign w:val="bottom"/>
          </w:tcPr>
          <w:p w14:paraId="7F90C7C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4" w:space="0" w:color="000000"/>
            </w:tcBorders>
            <w:tcMar>
              <w:top w:w="11" w:type="dxa"/>
              <w:left w:w="11" w:type="dxa"/>
              <w:bottom w:w="11" w:type="dxa"/>
              <w:right w:w="11" w:type="dxa"/>
            </w:tcMar>
            <w:vAlign w:val="bottom"/>
          </w:tcPr>
          <w:p w14:paraId="704D6D4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4" w:space="0" w:color="000000"/>
            </w:tcBorders>
            <w:tcMar>
              <w:top w:w="11" w:type="dxa"/>
              <w:left w:w="11" w:type="dxa"/>
              <w:bottom w:w="11" w:type="dxa"/>
              <w:right w:w="11" w:type="dxa"/>
            </w:tcMar>
            <w:vAlign w:val="bottom"/>
          </w:tcPr>
          <w:p w14:paraId="6566B91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00BC995A" w14:textId="77777777">
        <w:trPr>
          <w:cantSplit/>
        </w:trPr>
        <w:tc>
          <w:tcPr>
            <w:tcW w:w="1455" w:type="dxa"/>
            <w:vAlign w:val="bottom"/>
          </w:tcPr>
          <w:p w14:paraId="42E38EE6" w14:textId="77777777" w:rsidR="008E5DE4" w:rsidRDefault="00780368">
            <w:pPr>
              <w:widowControl w:val="0"/>
              <w:pBdr>
                <w:top w:val="nil"/>
                <w:left w:val="nil"/>
                <w:bottom w:val="nil"/>
                <w:right w:val="nil"/>
                <w:between w:val="nil"/>
              </w:pBdr>
              <w:spacing w:line="228" w:lineRule="auto"/>
              <w:ind w:left="113" w:right="-57" w:hanging="113"/>
              <w:rPr>
                <w:b/>
                <w:color w:val="0000FF"/>
                <w:sz w:val="15"/>
                <w:szCs w:val="15"/>
              </w:rPr>
            </w:pPr>
            <w:r>
              <w:rPr>
                <w:b/>
                <w:color w:val="0000FF"/>
                <w:sz w:val="15"/>
                <w:szCs w:val="15"/>
              </w:rPr>
              <w:t> </w:t>
            </w:r>
          </w:p>
        </w:tc>
        <w:tc>
          <w:tcPr>
            <w:tcW w:w="451" w:type="dxa"/>
            <w:vAlign w:val="bottom"/>
          </w:tcPr>
          <w:p w14:paraId="2EEDDE41" w14:textId="77777777" w:rsidR="008E5DE4" w:rsidRDefault="008E5DE4">
            <w:pPr>
              <w:widowControl w:val="0"/>
              <w:pBdr>
                <w:top w:val="nil"/>
                <w:left w:val="nil"/>
                <w:bottom w:val="nil"/>
                <w:right w:val="nil"/>
                <w:between w:val="nil"/>
              </w:pBdr>
              <w:spacing w:line="228" w:lineRule="auto"/>
              <w:ind w:left="-57" w:right="-57"/>
              <w:jc w:val="center"/>
              <w:rPr>
                <w:b/>
                <w:color w:val="000000"/>
                <w:sz w:val="15"/>
                <w:szCs w:val="15"/>
              </w:rPr>
            </w:pPr>
          </w:p>
        </w:tc>
        <w:tc>
          <w:tcPr>
            <w:tcW w:w="663" w:type="dxa"/>
            <w:vAlign w:val="bottom"/>
          </w:tcPr>
          <w:p w14:paraId="76742F23"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vAlign w:val="bottom"/>
          </w:tcPr>
          <w:p w14:paraId="62415583"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7F7A6FE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17241803"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vAlign w:val="bottom"/>
          </w:tcPr>
          <w:p w14:paraId="5EB9E0F6"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vAlign w:val="bottom"/>
          </w:tcPr>
          <w:p w14:paraId="1BF82E36"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vAlign w:val="bottom"/>
          </w:tcPr>
          <w:p w14:paraId="1B11963A"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vAlign w:val="bottom"/>
          </w:tcPr>
          <w:p w14:paraId="0CBCE2ED"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Mar>
              <w:top w:w="11" w:type="dxa"/>
              <w:left w:w="11" w:type="dxa"/>
              <w:bottom w:w="11" w:type="dxa"/>
              <w:right w:w="11" w:type="dxa"/>
            </w:tcMar>
            <w:vAlign w:val="bottom"/>
          </w:tcPr>
          <w:p w14:paraId="455A45E2"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Mar>
              <w:top w:w="11" w:type="dxa"/>
              <w:left w:w="11" w:type="dxa"/>
              <w:bottom w:w="11" w:type="dxa"/>
              <w:right w:w="11" w:type="dxa"/>
            </w:tcMar>
            <w:vAlign w:val="bottom"/>
          </w:tcPr>
          <w:p w14:paraId="3337DA40"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3621BEDB" w14:textId="77777777">
        <w:trPr>
          <w:cantSplit/>
        </w:trPr>
        <w:tc>
          <w:tcPr>
            <w:tcW w:w="1455" w:type="dxa"/>
            <w:vAlign w:val="bottom"/>
          </w:tcPr>
          <w:p w14:paraId="5E53CBD7" w14:textId="6D7389A1" w:rsidR="008E5DE4" w:rsidRDefault="00780368">
            <w:pPr>
              <w:widowControl w:val="0"/>
              <w:pBdr>
                <w:top w:val="nil"/>
                <w:left w:val="nil"/>
                <w:bottom w:val="nil"/>
                <w:right w:val="nil"/>
                <w:between w:val="nil"/>
              </w:pBdr>
              <w:spacing w:line="228" w:lineRule="auto"/>
              <w:ind w:left="113" w:right="-57" w:hanging="113"/>
              <w:rPr>
                <w:color w:val="0000FF"/>
                <w:sz w:val="15"/>
                <w:szCs w:val="15"/>
              </w:rPr>
            </w:pPr>
            <w:r>
              <w:rPr>
                <w:b/>
                <w:color w:val="0000FF"/>
                <w:sz w:val="15"/>
                <w:szCs w:val="15"/>
              </w:rPr>
              <w:t>[Previously reported]</w:t>
            </w:r>
            <w:r>
              <w:rPr>
                <w:b/>
                <w:color w:val="000000"/>
                <w:sz w:val="15"/>
                <w:szCs w:val="15"/>
              </w:rPr>
              <w:t xml:space="preserve"> Balance </w:t>
            </w:r>
            <w:proofErr w:type="gramStart"/>
            <w:r>
              <w:rPr>
                <w:b/>
                <w:color w:val="000000"/>
                <w:sz w:val="15"/>
                <w:szCs w:val="15"/>
              </w:rPr>
              <w:t>at</w:t>
            </w:r>
            <w:proofErr w:type="gramEnd"/>
            <w:r>
              <w:rPr>
                <w:b/>
                <w:color w:val="000000"/>
                <w:sz w:val="15"/>
                <w:szCs w:val="15"/>
              </w:rPr>
              <w:t xml:space="preserve"> 31 December </w:t>
            </w:r>
            <w:r w:rsidR="00FF468A">
              <w:rPr>
                <w:b/>
                <w:color w:val="000000"/>
                <w:sz w:val="15"/>
                <w:szCs w:val="15"/>
              </w:rPr>
              <w:t>2024</w:t>
            </w:r>
            <w:r>
              <w:rPr>
                <w:b/>
                <w:color w:val="000000"/>
                <w:sz w:val="15"/>
                <w:szCs w:val="15"/>
              </w:rPr>
              <w:t xml:space="preserve"> </w:t>
            </w:r>
          </w:p>
        </w:tc>
        <w:tc>
          <w:tcPr>
            <w:tcW w:w="451" w:type="dxa"/>
            <w:vAlign w:val="bottom"/>
          </w:tcPr>
          <w:p w14:paraId="4FBFCF26" w14:textId="77777777" w:rsidR="008E5DE4" w:rsidRDefault="008E5DE4">
            <w:pPr>
              <w:widowControl w:val="0"/>
              <w:pBdr>
                <w:top w:val="nil"/>
                <w:left w:val="nil"/>
                <w:bottom w:val="nil"/>
                <w:right w:val="nil"/>
                <w:between w:val="nil"/>
              </w:pBdr>
              <w:spacing w:line="228" w:lineRule="auto"/>
              <w:ind w:left="-57" w:right="-57"/>
              <w:jc w:val="center"/>
              <w:rPr>
                <w:b/>
                <w:color w:val="000000"/>
                <w:sz w:val="15"/>
                <w:szCs w:val="15"/>
              </w:rPr>
            </w:pPr>
          </w:p>
        </w:tc>
        <w:tc>
          <w:tcPr>
            <w:tcW w:w="663" w:type="dxa"/>
            <w:vAlign w:val="bottom"/>
          </w:tcPr>
          <w:p w14:paraId="0C7AB42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vAlign w:val="bottom"/>
          </w:tcPr>
          <w:p w14:paraId="5A5E23B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688D24BB"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09C70070"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vAlign w:val="bottom"/>
          </w:tcPr>
          <w:p w14:paraId="32688EBF"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vAlign w:val="bottom"/>
          </w:tcPr>
          <w:p w14:paraId="703908DB"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vAlign w:val="bottom"/>
          </w:tcPr>
          <w:p w14:paraId="5715A0BC"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vAlign w:val="bottom"/>
          </w:tcPr>
          <w:p w14:paraId="73C42AC7"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Mar>
              <w:top w:w="11" w:type="dxa"/>
              <w:left w:w="11" w:type="dxa"/>
              <w:bottom w:w="11" w:type="dxa"/>
              <w:right w:w="11" w:type="dxa"/>
            </w:tcMar>
            <w:vAlign w:val="bottom"/>
          </w:tcPr>
          <w:p w14:paraId="47AA165E"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Mar>
              <w:top w:w="11" w:type="dxa"/>
              <w:left w:w="11" w:type="dxa"/>
              <w:bottom w:w="11" w:type="dxa"/>
              <w:right w:w="11" w:type="dxa"/>
            </w:tcMar>
            <w:vAlign w:val="bottom"/>
          </w:tcPr>
          <w:p w14:paraId="6328FA93"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0D8C2D00" w14:textId="77777777">
        <w:trPr>
          <w:cantSplit/>
        </w:trPr>
        <w:tc>
          <w:tcPr>
            <w:tcW w:w="1455" w:type="dxa"/>
            <w:vAlign w:val="bottom"/>
          </w:tcPr>
          <w:p w14:paraId="47A3AF26" w14:textId="77777777" w:rsidR="008E5DE4" w:rsidRDefault="00780368">
            <w:pPr>
              <w:widowControl w:val="0"/>
              <w:pBdr>
                <w:top w:val="nil"/>
                <w:left w:val="nil"/>
                <w:bottom w:val="nil"/>
                <w:right w:val="nil"/>
                <w:between w:val="nil"/>
              </w:pBdr>
              <w:spacing w:line="228" w:lineRule="auto"/>
              <w:ind w:left="113" w:right="-57" w:hanging="113"/>
              <w:rPr>
                <w:b/>
                <w:color w:val="0000FF"/>
                <w:sz w:val="15"/>
                <w:szCs w:val="15"/>
              </w:rPr>
            </w:pPr>
            <w:r>
              <w:rPr>
                <w:color w:val="000000"/>
                <w:sz w:val="15"/>
                <w:szCs w:val="15"/>
              </w:rPr>
              <w:t>Adoption of new standards</w:t>
            </w:r>
          </w:p>
        </w:tc>
        <w:tc>
          <w:tcPr>
            <w:tcW w:w="451" w:type="dxa"/>
            <w:vAlign w:val="bottom"/>
          </w:tcPr>
          <w:p w14:paraId="6D832B9B"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hyperlink w:anchor="_heading=h.2s8eyo1">
              <w:r>
                <w:rPr>
                  <w:color w:val="000000"/>
                  <w:sz w:val="15"/>
                  <w:szCs w:val="15"/>
                </w:rPr>
                <w:t>5</w:t>
              </w:r>
            </w:hyperlink>
          </w:p>
        </w:tc>
        <w:tc>
          <w:tcPr>
            <w:tcW w:w="663" w:type="dxa"/>
            <w:vAlign w:val="bottom"/>
          </w:tcPr>
          <w:p w14:paraId="5C2CBB3D"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vAlign w:val="bottom"/>
          </w:tcPr>
          <w:p w14:paraId="3B17FC96"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2241CFC6"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Pr>
          <w:p w14:paraId="51CCAB22"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vAlign w:val="bottom"/>
          </w:tcPr>
          <w:p w14:paraId="33CE06C7"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vAlign w:val="bottom"/>
          </w:tcPr>
          <w:p w14:paraId="01E6C874"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vAlign w:val="bottom"/>
          </w:tcPr>
          <w:p w14:paraId="0DA4BA8C"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vAlign w:val="bottom"/>
          </w:tcPr>
          <w:p w14:paraId="03954D61"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Mar>
              <w:top w:w="11" w:type="dxa"/>
              <w:left w:w="11" w:type="dxa"/>
              <w:bottom w:w="11" w:type="dxa"/>
              <w:right w:w="11" w:type="dxa"/>
            </w:tcMar>
            <w:vAlign w:val="bottom"/>
          </w:tcPr>
          <w:p w14:paraId="11C6356B"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Mar>
              <w:top w:w="11" w:type="dxa"/>
              <w:left w:w="11" w:type="dxa"/>
              <w:bottom w:w="11" w:type="dxa"/>
              <w:right w:w="11" w:type="dxa"/>
            </w:tcMar>
            <w:vAlign w:val="bottom"/>
          </w:tcPr>
          <w:p w14:paraId="7BFBFFAB"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58979374" w14:textId="77777777">
        <w:trPr>
          <w:cantSplit/>
        </w:trPr>
        <w:tc>
          <w:tcPr>
            <w:tcW w:w="1455" w:type="dxa"/>
            <w:tcBorders>
              <w:bottom w:val="single" w:sz="4" w:space="0" w:color="000000"/>
            </w:tcBorders>
            <w:vAlign w:val="bottom"/>
          </w:tcPr>
          <w:p w14:paraId="55A6FF70" w14:textId="77777777" w:rsidR="008E5DE4" w:rsidRDefault="008E5DE4">
            <w:pPr>
              <w:widowControl w:val="0"/>
              <w:pBdr>
                <w:top w:val="nil"/>
                <w:left w:val="nil"/>
                <w:bottom w:val="nil"/>
                <w:right w:val="nil"/>
                <w:between w:val="nil"/>
              </w:pBdr>
              <w:spacing w:line="228" w:lineRule="auto"/>
              <w:ind w:left="113" w:right="-57" w:hanging="113"/>
              <w:rPr>
                <w:color w:val="000000"/>
                <w:sz w:val="15"/>
                <w:szCs w:val="15"/>
              </w:rPr>
            </w:pPr>
          </w:p>
        </w:tc>
        <w:tc>
          <w:tcPr>
            <w:tcW w:w="451" w:type="dxa"/>
            <w:tcBorders>
              <w:bottom w:val="single" w:sz="4" w:space="0" w:color="000000"/>
            </w:tcBorders>
            <w:vAlign w:val="bottom"/>
          </w:tcPr>
          <w:p w14:paraId="02A24C80"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4" w:space="0" w:color="000000"/>
            </w:tcBorders>
            <w:vAlign w:val="bottom"/>
          </w:tcPr>
          <w:p w14:paraId="275D71B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4" w:space="0" w:color="000000"/>
            </w:tcBorders>
            <w:vAlign w:val="bottom"/>
          </w:tcPr>
          <w:p w14:paraId="46DF46B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7EA8491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1909188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4" w:space="0" w:color="000000"/>
            </w:tcBorders>
            <w:vAlign w:val="bottom"/>
          </w:tcPr>
          <w:p w14:paraId="0CFEC1C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4" w:space="0" w:color="000000"/>
            </w:tcBorders>
            <w:vAlign w:val="bottom"/>
          </w:tcPr>
          <w:p w14:paraId="245D5EE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4" w:space="0" w:color="000000"/>
            </w:tcBorders>
            <w:vAlign w:val="bottom"/>
          </w:tcPr>
          <w:p w14:paraId="2D0F0C8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4" w:space="0" w:color="000000"/>
            </w:tcBorders>
            <w:vAlign w:val="bottom"/>
          </w:tcPr>
          <w:p w14:paraId="355F6E0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4" w:space="0" w:color="000000"/>
            </w:tcBorders>
            <w:tcMar>
              <w:top w:w="11" w:type="dxa"/>
              <w:left w:w="11" w:type="dxa"/>
              <w:bottom w:w="11" w:type="dxa"/>
              <w:right w:w="11" w:type="dxa"/>
            </w:tcMar>
            <w:vAlign w:val="bottom"/>
          </w:tcPr>
          <w:p w14:paraId="290BFE9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4" w:space="0" w:color="000000"/>
            </w:tcBorders>
            <w:tcMar>
              <w:top w:w="11" w:type="dxa"/>
              <w:left w:w="11" w:type="dxa"/>
              <w:bottom w:w="11" w:type="dxa"/>
              <w:right w:w="11" w:type="dxa"/>
            </w:tcMar>
            <w:vAlign w:val="bottom"/>
          </w:tcPr>
          <w:p w14:paraId="4C32EC1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6EDDDD2B" w14:textId="77777777">
        <w:trPr>
          <w:cantSplit/>
        </w:trPr>
        <w:tc>
          <w:tcPr>
            <w:tcW w:w="1455" w:type="dxa"/>
            <w:tcBorders>
              <w:top w:val="single" w:sz="4" w:space="0" w:color="000000"/>
            </w:tcBorders>
            <w:vAlign w:val="bottom"/>
          </w:tcPr>
          <w:p w14:paraId="4A00C153" w14:textId="77777777" w:rsidR="008E5DE4" w:rsidRDefault="00780368">
            <w:pPr>
              <w:widowControl w:val="0"/>
              <w:pBdr>
                <w:top w:val="nil"/>
                <w:left w:val="nil"/>
                <w:bottom w:val="nil"/>
                <w:right w:val="nil"/>
                <w:between w:val="nil"/>
              </w:pBdr>
              <w:spacing w:line="228" w:lineRule="auto"/>
              <w:ind w:left="113" w:right="-57" w:hanging="113"/>
              <w:rPr>
                <w:b/>
                <w:color w:val="000000"/>
                <w:sz w:val="15"/>
                <w:szCs w:val="15"/>
              </w:rPr>
            </w:pPr>
            <w:r>
              <w:rPr>
                <w:b/>
                <w:color w:val="000000"/>
                <w:sz w:val="15"/>
                <w:szCs w:val="15"/>
              </w:rPr>
              <w:t> </w:t>
            </w:r>
          </w:p>
        </w:tc>
        <w:tc>
          <w:tcPr>
            <w:tcW w:w="451" w:type="dxa"/>
            <w:tcBorders>
              <w:top w:val="single" w:sz="4" w:space="0" w:color="000000"/>
            </w:tcBorders>
            <w:vAlign w:val="bottom"/>
          </w:tcPr>
          <w:p w14:paraId="1A05747B"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top w:val="single" w:sz="4" w:space="0" w:color="000000"/>
            </w:tcBorders>
            <w:vAlign w:val="bottom"/>
          </w:tcPr>
          <w:p w14:paraId="5E5258A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top w:val="single" w:sz="4" w:space="0" w:color="000000"/>
            </w:tcBorders>
            <w:vAlign w:val="bottom"/>
          </w:tcPr>
          <w:p w14:paraId="182064A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2DC1130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6305047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top w:val="single" w:sz="4" w:space="0" w:color="000000"/>
            </w:tcBorders>
            <w:vAlign w:val="bottom"/>
          </w:tcPr>
          <w:p w14:paraId="5289E15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top w:val="single" w:sz="4" w:space="0" w:color="000000"/>
            </w:tcBorders>
            <w:vAlign w:val="bottom"/>
          </w:tcPr>
          <w:p w14:paraId="0E9592D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top w:val="single" w:sz="4" w:space="0" w:color="000000"/>
            </w:tcBorders>
            <w:vAlign w:val="bottom"/>
          </w:tcPr>
          <w:p w14:paraId="1B2F986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top w:val="single" w:sz="4" w:space="0" w:color="000000"/>
            </w:tcBorders>
            <w:vAlign w:val="bottom"/>
          </w:tcPr>
          <w:p w14:paraId="0BF66DC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top w:val="single" w:sz="4" w:space="0" w:color="000000"/>
            </w:tcBorders>
            <w:tcMar>
              <w:top w:w="11" w:type="dxa"/>
              <w:left w:w="11" w:type="dxa"/>
              <w:bottom w:w="11" w:type="dxa"/>
              <w:right w:w="11" w:type="dxa"/>
            </w:tcMar>
            <w:vAlign w:val="bottom"/>
          </w:tcPr>
          <w:p w14:paraId="07DE344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top w:val="single" w:sz="4" w:space="0" w:color="000000"/>
            </w:tcBorders>
            <w:tcMar>
              <w:top w:w="11" w:type="dxa"/>
              <w:left w:w="11" w:type="dxa"/>
              <w:bottom w:w="11" w:type="dxa"/>
              <w:right w:w="11" w:type="dxa"/>
            </w:tcMar>
            <w:vAlign w:val="bottom"/>
          </w:tcPr>
          <w:p w14:paraId="7288381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147B9EC6" w14:textId="77777777">
        <w:trPr>
          <w:cantSplit/>
        </w:trPr>
        <w:tc>
          <w:tcPr>
            <w:tcW w:w="1455" w:type="dxa"/>
            <w:vAlign w:val="bottom"/>
          </w:tcPr>
          <w:p w14:paraId="507AA7A4" w14:textId="6D0BCB5F" w:rsidR="008E5DE4" w:rsidRDefault="00780368">
            <w:pPr>
              <w:widowControl w:val="0"/>
              <w:pBdr>
                <w:top w:val="nil"/>
                <w:left w:val="nil"/>
                <w:bottom w:val="nil"/>
                <w:right w:val="nil"/>
                <w:between w:val="nil"/>
              </w:pBdr>
              <w:tabs>
                <w:tab w:val="left" w:pos="1470"/>
              </w:tabs>
              <w:spacing w:line="228" w:lineRule="auto"/>
              <w:ind w:left="113" w:right="-57" w:hanging="113"/>
              <w:rPr>
                <w:b/>
                <w:color w:val="000000"/>
                <w:sz w:val="15"/>
                <w:szCs w:val="15"/>
              </w:rPr>
            </w:pPr>
            <w:r>
              <w:rPr>
                <w:b/>
                <w:color w:val="0000FF"/>
                <w:sz w:val="15"/>
                <w:szCs w:val="15"/>
              </w:rPr>
              <w:t>[Restated]</w:t>
            </w:r>
            <w:r>
              <w:rPr>
                <w:b/>
                <w:color w:val="000000"/>
                <w:sz w:val="15"/>
                <w:szCs w:val="15"/>
              </w:rPr>
              <w:t xml:space="preserve"> Balance </w:t>
            </w:r>
            <w:proofErr w:type="gramStart"/>
            <w:r>
              <w:rPr>
                <w:b/>
                <w:color w:val="000000"/>
                <w:sz w:val="15"/>
                <w:szCs w:val="15"/>
              </w:rPr>
              <w:t>at</w:t>
            </w:r>
            <w:proofErr w:type="gramEnd"/>
            <w:r>
              <w:rPr>
                <w:b/>
                <w:color w:val="000000"/>
                <w:sz w:val="15"/>
                <w:szCs w:val="15"/>
              </w:rPr>
              <w:t xml:space="preserve"> 1 January </w:t>
            </w:r>
            <w:r w:rsidR="008614F8">
              <w:rPr>
                <w:b/>
                <w:color w:val="000000"/>
                <w:sz w:val="15"/>
                <w:szCs w:val="15"/>
              </w:rPr>
              <w:t>2025</w:t>
            </w:r>
          </w:p>
        </w:tc>
        <w:tc>
          <w:tcPr>
            <w:tcW w:w="451" w:type="dxa"/>
            <w:vAlign w:val="bottom"/>
          </w:tcPr>
          <w:p w14:paraId="0C7E2383"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5E24FF6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4C66EFB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2406ABB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2EF5CDA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26DFD23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7390718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07612BC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35DA41C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111AFF4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53C054A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7AED70AA" w14:textId="77777777">
        <w:trPr>
          <w:cantSplit/>
        </w:trPr>
        <w:tc>
          <w:tcPr>
            <w:tcW w:w="1455" w:type="dxa"/>
            <w:tcBorders>
              <w:bottom w:val="single" w:sz="4" w:space="0" w:color="000000"/>
            </w:tcBorders>
            <w:vAlign w:val="bottom"/>
          </w:tcPr>
          <w:p w14:paraId="6586D630"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bottom w:val="single" w:sz="4" w:space="0" w:color="000000"/>
            </w:tcBorders>
            <w:vAlign w:val="bottom"/>
          </w:tcPr>
          <w:p w14:paraId="00D3DB7D"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4" w:space="0" w:color="000000"/>
            </w:tcBorders>
            <w:vAlign w:val="bottom"/>
          </w:tcPr>
          <w:p w14:paraId="5A97FB0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4" w:space="0" w:color="000000"/>
            </w:tcBorders>
            <w:vAlign w:val="bottom"/>
          </w:tcPr>
          <w:p w14:paraId="1386840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2A84CEB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43FB6D8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4" w:space="0" w:color="000000"/>
            </w:tcBorders>
            <w:vAlign w:val="bottom"/>
          </w:tcPr>
          <w:p w14:paraId="1FA63B4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4" w:space="0" w:color="000000"/>
            </w:tcBorders>
            <w:vAlign w:val="bottom"/>
          </w:tcPr>
          <w:p w14:paraId="473CB4B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4" w:space="0" w:color="000000"/>
            </w:tcBorders>
            <w:vAlign w:val="bottom"/>
          </w:tcPr>
          <w:p w14:paraId="7EEE74F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4" w:space="0" w:color="000000"/>
            </w:tcBorders>
            <w:vAlign w:val="bottom"/>
          </w:tcPr>
          <w:p w14:paraId="1D0B5FA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4" w:space="0" w:color="000000"/>
            </w:tcBorders>
            <w:tcMar>
              <w:top w:w="11" w:type="dxa"/>
              <w:left w:w="11" w:type="dxa"/>
              <w:bottom w:w="11" w:type="dxa"/>
              <w:right w:w="11" w:type="dxa"/>
            </w:tcMar>
            <w:vAlign w:val="bottom"/>
          </w:tcPr>
          <w:p w14:paraId="5860B39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4" w:space="0" w:color="000000"/>
            </w:tcBorders>
            <w:tcMar>
              <w:top w:w="11" w:type="dxa"/>
              <w:left w:w="11" w:type="dxa"/>
              <w:bottom w:w="11" w:type="dxa"/>
              <w:right w:w="11" w:type="dxa"/>
            </w:tcMar>
            <w:vAlign w:val="bottom"/>
          </w:tcPr>
          <w:p w14:paraId="10D5F38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36793A6B" w14:textId="77777777">
        <w:trPr>
          <w:cantSplit/>
        </w:trPr>
        <w:tc>
          <w:tcPr>
            <w:tcW w:w="1455" w:type="dxa"/>
            <w:tcBorders>
              <w:top w:val="single" w:sz="4" w:space="0" w:color="000000"/>
            </w:tcBorders>
            <w:vAlign w:val="bottom"/>
          </w:tcPr>
          <w:p w14:paraId="0208210C"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top w:val="single" w:sz="4" w:space="0" w:color="000000"/>
            </w:tcBorders>
            <w:vAlign w:val="bottom"/>
          </w:tcPr>
          <w:p w14:paraId="0CE8836F"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top w:val="single" w:sz="4" w:space="0" w:color="000000"/>
            </w:tcBorders>
            <w:vAlign w:val="bottom"/>
          </w:tcPr>
          <w:p w14:paraId="4F06E40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top w:val="single" w:sz="4" w:space="0" w:color="000000"/>
            </w:tcBorders>
            <w:vAlign w:val="bottom"/>
          </w:tcPr>
          <w:p w14:paraId="56670C4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4A4E89E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420D772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top w:val="single" w:sz="4" w:space="0" w:color="000000"/>
            </w:tcBorders>
            <w:vAlign w:val="bottom"/>
          </w:tcPr>
          <w:p w14:paraId="199FEB6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top w:val="single" w:sz="4" w:space="0" w:color="000000"/>
            </w:tcBorders>
            <w:vAlign w:val="bottom"/>
          </w:tcPr>
          <w:p w14:paraId="2716B40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top w:val="single" w:sz="4" w:space="0" w:color="000000"/>
            </w:tcBorders>
            <w:vAlign w:val="bottom"/>
          </w:tcPr>
          <w:p w14:paraId="2D05095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top w:val="single" w:sz="4" w:space="0" w:color="000000"/>
            </w:tcBorders>
            <w:vAlign w:val="bottom"/>
          </w:tcPr>
          <w:p w14:paraId="3544538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top w:val="single" w:sz="4" w:space="0" w:color="000000"/>
            </w:tcBorders>
            <w:tcMar>
              <w:top w:w="11" w:type="dxa"/>
              <w:left w:w="11" w:type="dxa"/>
              <w:bottom w:w="11" w:type="dxa"/>
              <w:right w:w="11" w:type="dxa"/>
            </w:tcMar>
            <w:vAlign w:val="bottom"/>
          </w:tcPr>
          <w:p w14:paraId="194544B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top w:val="single" w:sz="4" w:space="0" w:color="000000"/>
            </w:tcBorders>
            <w:tcMar>
              <w:top w:w="11" w:type="dxa"/>
              <w:left w:w="11" w:type="dxa"/>
              <w:bottom w:w="11" w:type="dxa"/>
              <w:right w:w="11" w:type="dxa"/>
            </w:tcMar>
            <w:vAlign w:val="bottom"/>
          </w:tcPr>
          <w:p w14:paraId="116A4F8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3E8C7377" w14:textId="77777777">
        <w:trPr>
          <w:cantSplit/>
        </w:trPr>
        <w:tc>
          <w:tcPr>
            <w:tcW w:w="1455" w:type="dxa"/>
            <w:vAlign w:val="bottom"/>
          </w:tcPr>
          <w:p w14:paraId="63C2EEF0"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Profit</w:t>
            </w:r>
            <w:r w:rsidRPr="006A15AF">
              <w:rPr>
                <w:color w:val="0000FF"/>
                <w:sz w:val="15"/>
                <w:szCs w:val="15"/>
              </w:rPr>
              <w:t xml:space="preserve"> / (Loss)</w:t>
            </w:r>
            <w:r>
              <w:rPr>
                <w:color w:val="000000"/>
                <w:sz w:val="15"/>
                <w:szCs w:val="15"/>
              </w:rPr>
              <w:t xml:space="preserve"> for the year</w:t>
            </w:r>
          </w:p>
        </w:tc>
        <w:tc>
          <w:tcPr>
            <w:tcW w:w="451" w:type="dxa"/>
            <w:vAlign w:val="bottom"/>
          </w:tcPr>
          <w:p w14:paraId="485565BF"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0F2D343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5438138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65289E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278009B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7601021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1FBB674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73751C8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6ED440C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5FC7100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72BFAE3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329EB769" w14:textId="77777777">
        <w:trPr>
          <w:cantSplit/>
        </w:trPr>
        <w:tc>
          <w:tcPr>
            <w:tcW w:w="1455" w:type="dxa"/>
            <w:vAlign w:val="bottom"/>
          </w:tcPr>
          <w:p w14:paraId="2D366849"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lastRenderedPageBreak/>
              <w:t>Other comprehensive income</w:t>
            </w:r>
            <w:r w:rsidRPr="006A15AF">
              <w:rPr>
                <w:color w:val="0000FF"/>
                <w:sz w:val="15"/>
                <w:szCs w:val="15"/>
              </w:rPr>
              <w:t>/ (loss)</w:t>
            </w:r>
            <w:r>
              <w:rPr>
                <w:color w:val="000000"/>
                <w:sz w:val="15"/>
                <w:szCs w:val="15"/>
              </w:rPr>
              <w:t xml:space="preserve"> for the year</w:t>
            </w:r>
          </w:p>
        </w:tc>
        <w:tc>
          <w:tcPr>
            <w:tcW w:w="451" w:type="dxa"/>
            <w:vAlign w:val="bottom"/>
          </w:tcPr>
          <w:p w14:paraId="1B4B7A02"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27</w:t>
            </w:r>
          </w:p>
        </w:tc>
        <w:tc>
          <w:tcPr>
            <w:tcW w:w="663" w:type="dxa"/>
            <w:vAlign w:val="bottom"/>
          </w:tcPr>
          <w:p w14:paraId="39946F2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0E77F4A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2AF1258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03864E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0E83139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5593210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0867195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7642E33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7F135D9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24FA551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766EBF74" w14:textId="77777777">
        <w:trPr>
          <w:cantSplit/>
        </w:trPr>
        <w:tc>
          <w:tcPr>
            <w:tcW w:w="1455" w:type="dxa"/>
            <w:tcBorders>
              <w:bottom w:val="single" w:sz="4" w:space="0" w:color="000000"/>
            </w:tcBorders>
            <w:vAlign w:val="bottom"/>
          </w:tcPr>
          <w:p w14:paraId="0DEEF424"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bottom w:val="single" w:sz="4" w:space="0" w:color="000000"/>
            </w:tcBorders>
            <w:vAlign w:val="bottom"/>
          </w:tcPr>
          <w:p w14:paraId="2318B703"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4" w:space="0" w:color="000000"/>
            </w:tcBorders>
            <w:vAlign w:val="bottom"/>
          </w:tcPr>
          <w:p w14:paraId="0631AED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4" w:space="0" w:color="000000"/>
            </w:tcBorders>
            <w:vAlign w:val="bottom"/>
          </w:tcPr>
          <w:p w14:paraId="3B0CD27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75F2AB5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79A51F5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4" w:space="0" w:color="000000"/>
            </w:tcBorders>
            <w:vAlign w:val="bottom"/>
          </w:tcPr>
          <w:p w14:paraId="4EAF757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4" w:space="0" w:color="000000"/>
            </w:tcBorders>
            <w:vAlign w:val="bottom"/>
          </w:tcPr>
          <w:p w14:paraId="3C3A26A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4" w:space="0" w:color="000000"/>
            </w:tcBorders>
            <w:vAlign w:val="bottom"/>
          </w:tcPr>
          <w:p w14:paraId="1DE8C48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4" w:space="0" w:color="000000"/>
            </w:tcBorders>
            <w:vAlign w:val="bottom"/>
          </w:tcPr>
          <w:p w14:paraId="05C776C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4" w:space="0" w:color="000000"/>
            </w:tcBorders>
            <w:tcMar>
              <w:top w:w="11" w:type="dxa"/>
              <w:left w:w="11" w:type="dxa"/>
              <w:bottom w:w="11" w:type="dxa"/>
              <w:right w:w="11" w:type="dxa"/>
            </w:tcMar>
            <w:vAlign w:val="bottom"/>
          </w:tcPr>
          <w:p w14:paraId="5024C26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4" w:space="0" w:color="000000"/>
            </w:tcBorders>
            <w:tcMar>
              <w:top w:w="11" w:type="dxa"/>
              <w:left w:w="11" w:type="dxa"/>
              <w:bottom w:w="11" w:type="dxa"/>
              <w:right w:w="11" w:type="dxa"/>
            </w:tcMar>
            <w:vAlign w:val="bottom"/>
          </w:tcPr>
          <w:p w14:paraId="2D42CAE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0FE98064" w14:textId="77777777">
        <w:trPr>
          <w:cantSplit/>
        </w:trPr>
        <w:tc>
          <w:tcPr>
            <w:tcW w:w="1455" w:type="dxa"/>
            <w:tcBorders>
              <w:top w:val="single" w:sz="4" w:space="0" w:color="000000"/>
            </w:tcBorders>
            <w:vAlign w:val="bottom"/>
          </w:tcPr>
          <w:p w14:paraId="11B3C68C"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top w:val="single" w:sz="4" w:space="0" w:color="000000"/>
            </w:tcBorders>
            <w:vAlign w:val="bottom"/>
          </w:tcPr>
          <w:p w14:paraId="38D490A6"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top w:val="single" w:sz="4" w:space="0" w:color="000000"/>
            </w:tcBorders>
            <w:vAlign w:val="bottom"/>
          </w:tcPr>
          <w:p w14:paraId="4DBDF51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top w:val="single" w:sz="4" w:space="0" w:color="000000"/>
            </w:tcBorders>
            <w:vAlign w:val="bottom"/>
          </w:tcPr>
          <w:p w14:paraId="0B70437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6CD899A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4C8B4D5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top w:val="single" w:sz="4" w:space="0" w:color="000000"/>
            </w:tcBorders>
            <w:vAlign w:val="bottom"/>
          </w:tcPr>
          <w:p w14:paraId="1723134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top w:val="single" w:sz="4" w:space="0" w:color="000000"/>
            </w:tcBorders>
            <w:vAlign w:val="bottom"/>
          </w:tcPr>
          <w:p w14:paraId="37A7F46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top w:val="single" w:sz="4" w:space="0" w:color="000000"/>
            </w:tcBorders>
            <w:vAlign w:val="bottom"/>
          </w:tcPr>
          <w:p w14:paraId="4158945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top w:val="single" w:sz="4" w:space="0" w:color="000000"/>
            </w:tcBorders>
            <w:vAlign w:val="bottom"/>
          </w:tcPr>
          <w:p w14:paraId="7E3FEE4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top w:val="single" w:sz="4" w:space="0" w:color="000000"/>
            </w:tcBorders>
            <w:tcMar>
              <w:top w:w="11" w:type="dxa"/>
              <w:left w:w="11" w:type="dxa"/>
              <w:bottom w:w="11" w:type="dxa"/>
              <w:right w:w="11" w:type="dxa"/>
            </w:tcMar>
            <w:vAlign w:val="bottom"/>
          </w:tcPr>
          <w:p w14:paraId="75A3F7D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top w:val="single" w:sz="4" w:space="0" w:color="000000"/>
            </w:tcBorders>
            <w:tcMar>
              <w:top w:w="11" w:type="dxa"/>
              <w:left w:w="11" w:type="dxa"/>
              <w:bottom w:w="11" w:type="dxa"/>
              <w:right w:w="11" w:type="dxa"/>
            </w:tcMar>
            <w:vAlign w:val="bottom"/>
          </w:tcPr>
          <w:p w14:paraId="2E69122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524DB7C1" w14:textId="77777777">
        <w:trPr>
          <w:cantSplit/>
        </w:trPr>
        <w:tc>
          <w:tcPr>
            <w:tcW w:w="1455" w:type="dxa"/>
            <w:vAlign w:val="bottom"/>
          </w:tcPr>
          <w:p w14:paraId="0BEF2E3C" w14:textId="47AEC64C"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Total comprehensive income</w:t>
            </w:r>
            <w:r w:rsidRPr="006A15AF">
              <w:rPr>
                <w:color w:val="0000FF"/>
                <w:sz w:val="15"/>
                <w:szCs w:val="15"/>
              </w:rPr>
              <w:t>/ (loss)</w:t>
            </w:r>
            <w:r>
              <w:rPr>
                <w:color w:val="000000"/>
                <w:sz w:val="15"/>
                <w:szCs w:val="15"/>
              </w:rPr>
              <w:t xml:space="preserve"> for </w:t>
            </w:r>
            <w:r w:rsidR="008614F8">
              <w:rPr>
                <w:color w:val="000000"/>
                <w:sz w:val="15"/>
                <w:szCs w:val="15"/>
              </w:rPr>
              <w:t>2025</w:t>
            </w:r>
          </w:p>
        </w:tc>
        <w:tc>
          <w:tcPr>
            <w:tcW w:w="451" w:type="dxa"/>
            <w:vAlign w:val="bottom"/>
          </w:tcPr>
          <w:p w14:paraId="71CD6639"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6FD77BE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38B9865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40648D3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6C89E18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009EBA0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6452CC3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5770827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1249EE8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3950FFC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7371080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0AD8C313" w14:textId="77777777">
        <w:trPr>
          <w:cantSplit/>
        </w:trPr>
        <w:tc>
          <w:tcPr>
            <w:tcW w:w="1455" w:type="dxa"/>
            <w:vAlign w:val="bottom"/>
          </w:tcPr>
          <w:p w14:paraId="0A8F3E69" w14:textId="77777777" w:rsidR="008E5DE4" w:rsidRDefault="00780368">
            <w:pPr>
              <w:widowControl w:val="0"/>
              <w:spacing w:line="228" w:lineRule="auto"/>
              <w:ind w:left="113" w:right="-57" w:hanging="113"/>
              <w:rPr>
                <w:sz w:val="15"/>
                <w:szCs w:val="15"/>
              </w:rPr>
            </w:pPr>
            <w:r>
              <w:rPr>
                <w:sz w:val="15"/>
                <w:szCs w:val="15"/>
              </w:rPr>
              <w:t> </w:t>
            </w:r>
          </w:p>
        </w:tc>
        <w:tc>
          <w:tcPr>
            <w:tcW w:w="451" w:type="dxa"/>
            <w:vAlign w:val="bottom"/>
          </w:tcPr>
          <w:p w14:paraId="3459E6B6"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77F4A02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7EB1797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798DE78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3F723E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4B28CE8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7788C03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5442619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11A6711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394E332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080D8CA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53A1F3CE" w14:textId="77777777">
        <w:trPr>
          <w:cantSplit/>
        </w:trPr>
        <w:tc>
          <w:tcPr>
            <w:tcW w:w="1455" w:type="dxa"/>
            <w:tcBorders>
              <w:top w:val="single" w:sz="4" w:space="0" w:color="000000"/>
            </w:tcBorders>
            <w:vAlign w:val="bottom"/>
          </w:tcPr>
          <w:p w14:paraId="38C0676D" w14:textId="77777777" w:rsidR="008E5DE4" w:rsidRDefault="00780368">
            <w:pPr>
              <w:keepNext/>
              <w:keepLines/>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top w:val="single" w:sz="4" w:space="0" w:color="000000"/>
            </w:tcBorders>
            <w:vAlign w:val="bottom"/>
          </w:tcPr>
          <w:p w14:paraId="484C8AED"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top w:val="single" w:sz="4" w:space="0" w:color="000000"/>
            </w:tcBorders>
            <w:vAlign w:val="bottom"/>
          </w:tcPr>
          <w:p w14:paraId="3B7A872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top w:val="single" w:sz="4" w:space="0" w:color="000000"/>
            </w:tcBorders>
            <w:vAlign w:val="bottom"/>
          </w:tcPr>
          <w:p w14:paraId="669EDF7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77EEE5D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top w:val="single" w:sz="4" w:space="0" w:color="000000"/>
            </w:tcBorders>
          </w:tcPr>
          <w:p w14:paraId="22F34EC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top w:val="single" w:sz="4" w:space="0" w:color="000000"/>
            </w:tcBorders>
            <w:vAlign w:val="bottom"/>
          </w:tcPr>
          <w:p w14:paraId="6B21150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top w:val="single" w:sz="4" w:space="0" w:color="000000"/>
            </w:tcBorders>
            <w:vAlign w:val="bottom"/>
          </w:tcPr>
          <w:p w14:paraId="6F31BD3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top w:val="single" w:sz="4" w:space="0" w:color="000000"/>
            </w:tcBorders>
            <w:vAlign w:val="bottom"/>
          </w:tcPr>
          <w:p w14:paraId="623495A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top w:val="single" w:sz="4" w:space="0" w:color="000000"/>
            </w:tcBorders>
            <w:vAlign w:val="bottom"/>
          </w:tcPr>
          <w:p w14:paraId="165E548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top w:val="single" w:sz="4" w:space="0" w:color="000000"/>
            </w:tcBorders>
            <w:vAlign w:val="bottom"/>
          </w:tcPr>
          <w:p w14:paraId="3BDD9A9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top w:val="single" w:sz="4" w:space="0" w:color="000000"/>
            </w:tcBorders>
            <w:tcMar>
              <w:top w:w="11" w:type="dxa"/>
              <w:left w:w="11" w:type="dxa"/>
              <w:bottom w:w="11" w:type="dxa"/>
              <w:right w:w="11" w:type="dxa"/>
            </w:tcMar>
            <w:vAlign w:val="bottom"/>
          </w:tcPr>
          <w:p w14:paraId="3F8104C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4095330D" w14:textId="77777777">
        <w:trPr>
          <w:cantSplit/>
        </w:trPr>
        <w:tc>
          <w:tcPr>
            <w:tcW w:w="1455" w:type="dxa"/>
            <w:vAlign w:val="bottom"/>
          </w:tcPr>
          <w:p w14:paraId="0712FCAE" w14:textId="77777777" w:rsidR="008E5DE4" w:rsidRDefault="00780368">
            <w:pPr>
              <w:keepNext/>
              <w:keepLines/>
              <w:widowControl w:val="0"/>
              <w:spacing w:line="228" w:lineRule="auto"/>
              <w:ind w:left="113" w:right="-57" w:hanging="113"/>
              <w:rPr>
                <w:sz w:val="15"/>
                <w:szCs w:val="15"/>
              </w:rPr>
            </w:pPr>
            <w:r>
              <w:rPr>
                <w:sz w:val="15"/>
                <w:szCs w:val="15"/>
              </w:rPr>
              <w:t>Shares issued</w:t>
            </w:r>
          </w:p>
        </w:tc>
        <w:tc>
          <w:tcPr>
            <w:tcW w:w="451" w:type="dxa"/>
            <w:vAlign w:val="bottom"/>
          </w:tcPr>
          <w:p w14:paraId="7E7466B0"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26</w:t>
            </w:r>
          </w:p>
        </w:tc>
        <w:tc>
          <w:tcPr>
            <w:tcW w:w="663" w:type="dxa"/>
            <w:vAlign w:val="bottom"/>
          </w:tcPr>
          <w:p w14:paraId="5294791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24F5D9F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6B6DF0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3097A9C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4559DA2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23135C0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38BEE33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0E1FB14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70E1247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0840FF7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00FB9CF2" w14:textId="77777777">
        <w:trPr>
          <w:cantSplit/>
        </w:trPr>
        <w:tc>
          <w:tcPr>
            <w:tcW w:w="1455" w:type="dxa"/>
            <w:vAlign w:val="bottom"/>
          </w:tcPr>
          <w:p w14:paraId="36D443C1" w14:textId="77777777" w:rsidR="008E5DE4" w:rsidRDefault="00780368">
            <w:pPr>
              <w:keepNext/>
              <w:keepLines/>
              <w:widowControl w:val="0"/>
              <w:spacing w:line="228" w:lineRule="auto"/>
              <w:ind w:left="113" w:right="-57" w:hanging="113"/>
              <w:rPr>
                <w:sz w:val="15"/>
                <w:szCs w:val="15"/>
              </w:rPr>
            </w:pPr>
            <w:r>
              <w:rPr>
                <w:sz w:val="15"/>
                <w:szCs w:val="15"/>
              </w:rPr>
              <w:t>Treasury shares</w:t>
            </w:r>
          </w:p>
        </w:tc>
        <w:tc>
          <w:tcPr>
            <w:tcW w:w="451" w:type="dxa"/>
            <w:vAlign w:val="bottom"/>
          </w:tcPr>
          <w:p w14:paraId="08380847"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68A2320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316542A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14B9F46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3CE1EC0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4229D0B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5938F17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78936AA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4A6F19A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2338E4A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58A9B11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0A4ACA1E" w14:textId="77777777">
        <w:trPr>
          <w:cantSplit/>
        </w:trPr>
        <w:tc>
          <w:tcPr>
            <w:tcW w:w="1455" w:type="dxa"/>
            <w:vAlign w:val="bottom"/>
          </w:tcPr>
          <w:p w14:paraId="4FC09E5E" w14:textId="77777777" w:rsidR="008E5DE4" w:rsidRDefault="00780368">
            <w:pPr>
              <w:keepNext/>
              <w:keepLines/>
              <w:widowControl w:val="0"/>
              <w:spacing w:line="228" w:lineRule="auto"/>
              <w:ind w:left="113" w:right="-57" w:hanging="113"/>
              <w:rPr>
                <w:sz w:val="15"/>
                <w:szCs w:val="15"/>
              </w:rPr>
            </w:pPr>
            <w:r>
              <w:rPr>
                <w:sz w:val="15"/>
                <w:szCs w:val="15"/>
              </w:rPr>
              <w:t>- Acquisitions</w:t>
            </w:r>
          </w:p>
        </w:tc>
        <w:tc>
          <w:tcPr>
            <w:tcW w:w="451" w:type="dxa"/>
            <w:vAlign w:val="bottom"/>
          </w:tcPr>
          <w:p w14:paraId="2B886DAB"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26</w:t>
            </w:r>
          </w:p>
        </w:tc>
        <w:tc>
          <w:tcPr>
            <w:tcW w:w="663" w:type="dxa"/>
            <w:vAlign w:val="bottom"/>
          </w:tcPr>
          <w:p w14:paraId="2BE3FF2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64C15B2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68D3DAE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228114E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4D0AAA1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2D2D2B7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38E8997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4E5551E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3A33468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5C24C94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2BBF183E" w14:textId="77777777">
        <w:trPr>
          <w:cantSplit/>
        </w:trPr>
        <w:tc>
          <w:tcPr>
            <w:tcW w:w="1455" w:type="dxa"/>
            <w:vAlign w:val="bottom"/>
          </w:tcPr>
          <w:p w14:paraId="72389725" w14:textId="77777777" w:rsidR="008E5DE4" w:rsidRDefault="00780368">
            <w:pPr>
              <w:keepNext/>
              <w:keepLines/>
              <w:widowControl w:val="0"/>
              <w:spacing w:line="228" w:lineRule="auto"/>
              <w:ind w:left="113" w:right="-57" w:hanging="113"/>
              <w:rPr>
                <w:sz w:val="15"/>
                <w:szCs w:val="15"/>
              </w:rPr>
            </w:pPr>
            <w:r>
              <w:rPr>
                <w:sz w:val="15"/>
                <w:szCs w:val="15"/>
              </w:rPr>
              <w:t>- Disposals</w:t>
            </w:r>
          </w:p>
        </w:tc>
        <w:tc>
          <w:tcPr>
            <w:tcW w:w="451" w:type="dxa"/>
            <w:vAlign w:val="bottom"/>
          </w:tcPr>
          <w:p w14:paraId="000B53C4"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26</w:t>
            </w:r>
          </w:p>
        </w:tc>
        <w:tc>
          <w:tcPr>
            <w:tcW w:w="663" w:type="dxa"/>
            <w:vAlign w:val="bottom"/>
          </w:tcPr>
          <w:p w14:paraId="4D993A4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0A5D98D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43BDA94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E12F61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18776AC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38493F3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6D0C28A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067F930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6738A57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0331E23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7B5B8D12" w14:textId="77777777">
        <w:trPr>
          <w:cantSplit/>
        </w:trPr>
        <w:tc>
          <w:tcPr>
            <w:tcW w:w="1455" w:type="dxa"/>
            <w:vAlign w:val="bottom"/>
          </w:tcPr>
          <w:p w14:paraId="5D11BCF8" w14:textId="77777777" w:rsidR="008E5DE4" w:rsidRDefault="00780368">
            <w:pPr>
              <w:keepNext/>
              <w:keepLines/>
              <w:widowControl w:val="0"/>
              <w:spacing w:line="228" w:lineRule="auto"/>
              <w:ind w:left="113" w:right="-57" w:hanging="113"/>
              <w:rPr>
                <w:sz w:val="15"/>
                <w:szCs w:val="15"/>
              </w:rPr>
            </w:pPr>
            <w:r>
              <w:rPr>
                <w:sz w:val="15"/>
                <w:szCs w:val="15"/>
              </w:rPr>
              <w:t>Business combinations</w:t>
            </w:r>
          </w:p>
        </w:tc>
        <w:tc>
          <w:tcPr>
            <w:tcW w:w="451" w:type="dxa"/>
            <w:vAlign w:val="bottom"/>
          </w:tcPr>
          <w:p w14:paraId="0C8B5AA7"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50</w:t>
            </w:r>
          </w:p>
        </w:tc>
        <w:tc>
          <w:tcPr>
            <w:tcW w:w="663" w:type="dxa"/>
            <w:vAlign w:val="bottom"/>
          </w:tcPr>
          <w:p w14:paraId="5921630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70DFE8E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8F6504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7C7207A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3D9CB8C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4068C6B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0E9C24F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1742B9FA" w14:textId="77777777" w:rsidR="008E5DE4" w:rsidRDefault="00780368">
            <w:pPr>
              <w:widowControl w:val="0"/>
              <w:pBdr>
                <w:top w:val="nil"/>
                <w:left w:val="nil"/>
                <w:bottom w:val="nil"/>
                <w:right w:val="nil"/>
                <w:between w:val="nil"/>
              </w:pBdr>
              <w:spacing w:line="228" w:lineRule="auto"/>
              <w:jc w:val="right"/>
              <w:rPr>
                <w:color w:val="000000"/>
                <w:sz w:val="15"/>
                <w:szCs w:val="15"/>
              </w:rPr>
            </w:pPr>
            <w:r>
              <w:rPr>
                <w:color w:val="000000"/>
                <w:sz w:val="15"/>
                <w:szCs w:val="15"/>
              </w:rPr>
              <w:t>-</w:t>
            </w:r>
          </w:p>
        </w:tc>
        <w:tc>
          <w:tcPr>
            <w:tcW w:w="749" w:type="dxa"/>
            <w:vAlign w:val="bottom"/>
          </w:tcPr>
          <w:p w14:paraId="75E55FA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7B9417A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1A7036D4" w14:textId="77777777">
        <w:trPr>
          <w:cantSplit/>
        </w:trPr>
        <w:tc>
          <w:tcPr>
            <w:tcW w:w="1455" w:type="dxa"/>
            <w:vAlign w:val="bottom"/>
          </w:tcPr>
          <w:p w14:paraId="023FE90C" w14:textId="77777777" w:rsidR="008E5DE4" w:rsidRDefault="00780368">
            <w:pPr>
              <w:keepNext/>
              <w:keepLines/>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Acquisition of non-controlling interest in subsidiaries</w:t>
            </w:r>
          </w:p>
        </w:tc>
        <w:tc>
          <w:tcPr>
            <w:tcW w:w="451" w:type="dxa"/>
            <w:vAlign w:val="bottom"/>
          </w:tcPr>
          <w:p w14:paraId="68DC2E6C"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61EDE6D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7EBE7FE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6D3DB60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737D272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2353B95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5DFA250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606B895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1881660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373367E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4A2577C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127F030F" w14:textId="77777777">
        <w:trPr>
          <w:cantSplit/>
        </w:trPr>
        <w:tc>
          <w:tcPr>
            <w:tcW w:w="1455" w:type="dxa"/>
            <w:vAlign w:val="bottom"/>
          </w:tcPr>
          <w:p w14:paraId="5DF42553" w14:textId="77777777" w:rsidR="008E5DE4" w:rsidRDefault="00780368">
            <w:pPr>
              <w:keepNext/>
              <w:keepLines/>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Disposal of non-controlling interest in subsidiaries</w:t>
            </w:r>
          </w:p>
        </w:tc>
        <w:tc>
          <w:tcPr>
            <w:tcW w:w="451" w:type="dxa"/>
            <w:vAlign w:val="bottom"/>
          </w:tcPr>
          <w:p w14:paraId="7A48D7D6"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578D222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5C64244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8D0D08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4DDB790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77BE895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63A77DE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2B95389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16A9E65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0EF70C8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36A9286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09DD304A" w14:textId="77777777">
        <w:trPr>
          <w:cantSplit/>
        </w:trPr>
        <w:tc>
          <w:tcPr>
            <w:tcW w:w="1455" w:type="dxa"/>
            <w:vAlign w:val="bottom"/>
          </w:tcPr>
          <w:p w14:paraId="2DA5068E" w14:textId="77777777" w:rsidR="008E5DE4" w:rsidRDefault="00780368">
            <w:pPr>
              <w:keepNext/>
              <w:keepLines/>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xml:space="preserve">Transfer of revaluation surplus on property, plant and equipment to retained earnings </w:t>
            </w:r>
          </w:p>
        </w:tc>
        <w:tc>
          <w:tcPr>
            <w:tcW w:w="451" w:type="dxa"/>
            <w:vAlign w:val="bottom"/>
          </w:tcPr>
          <w:p w14:paraId="2EF94097"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2B2FB3E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60147C1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CE9E89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048C6EA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1A7CC97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4048BB4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4146959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4BE4F40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2971AEC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094A7E5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6BA52050" w14:textId="77777777">
        <w:trPr>
          <w:cantSplit/>
        </w:trPr>
        <w:tc>
          <w:tcPr>
            <w:tcW w:w="1455" w:type="dxa"/>
            <w:vAlign w:val="bottom"/>
          </w:tcPr>
          <w:p w14:paraId="05923D36" w14:textId="77777777" w:rsidR="008E5DE4" w:rsidRDefault="00780368">
            <w:pPr>
              <w:keepNext/>
              <w:keepLines/>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Transfer of revaluation reserve on investments in equity securities at FVOCI to retained earnings upon disposal</w:t>
            </w:r>
          </w:p>
        </w:tc>
        <w:tc>
          <w:tcPr>
            <w:tcW w:w="451" w:type="dxa"/>
            <w:vAlign w:val="bottom"/>
          </w:tcPr>
          <w:p w14:paraId="5642E82E"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5FD202F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16C8271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1790EFD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2E4D7A9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6D66011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7D45060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5C0534C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4EC58D7B"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0BD1787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7E06F2F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6077C675" w14:textId="77777777">
        <w:trPr>
          <w:cantSplit/>
        </w:trPr>
        <w:tc>
          <w:tcPr>
            <w:tcW w:w="1455" w:type="dxa"/>
            <w:vAlign w:val="bottom"/>
          </w:tcPr>
          <w:p w14:paraId="38D58AAF" w14:textId="77777777" w:rsidR="008E5DE4" w:rsidRDefault="00780368">
            <w:pPr>
              <w:keepNext/>
              <w:keepLines/>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Transfer of change in fair value attributable to change in the credit risk of financial liabilities at FVTPL to retained earnings</w:t>
            </w:r>
          </w:p>
        </w:tc>
        <w:tc>
          <w:tcPr>
            <w:tcW w:w="451" w:type="dxa"/>
            <w:vAlign w:val="bottom"/>
          </w:tcPr>
          <w:p w14:paraId="73362B85"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0030864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609B25A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3B017BA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42F165B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41D7481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7AF464F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0CD1C80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66F2561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79DD324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35DFA98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2A97488D" w14:textId="77777777">
        <w:trPr>
          <w:cantSplit/>
        </w:trPr>
        <w:tc>
          <w:tcPr>
            <w:tcW w:w="1455" w:type="dxa"/>
            <w:vAlign w:val="bottom"/>
          </w:tcPr>
          <w:p w14:paraId="6E05609A" w14:textId="77777777" w:rsidR="008E5DE4" w:rsidRDefault="00780368">
            <w:pPr>
              <w:widowControl w:val="0"/>
              <w:spacing w:line="228" w:lineRule="auto"/>
              <w:ind w:left="113" w:right="-57" w:hanging="113"/>
              <w:rPr>
                <w:sz w:val="15"/>
                <w:szCs w:val="15"/>
              </w:rPr>
            </w:pPr>
            <w:r>
              <w:rPr>
                <w:sz w:val="15"/>
                <w:szCs w:val="15"/>
              </w:rPr>
              <w:t>Dividends declared</w:t>
            </w:r>
          </w:p>
        </w:tc>
        <w:tc>
          <w:tcPr>
            <w:tcW w:w="451" w:type="dxa"/>
            <w:vAlign w:val="bottom"/>
          </w:tcPr>
          <w:p w14:paraId="5F57D593" w14:textId="77777777" w:rsidR="008E5DE4" w:rsidRDefault="00780368">
            <w:pPr>
              <w:widowControl w:val="0"/>
              <w:pBdr>
                <w:top w:val="nil"/>
                <w:left w:val="nil"/>
                <w:bottom w:val="nil"/>
                <w:right w:val="nil"/>
                <w:between w:val="nil"/>
              </w:pBdr>
              <w:spacing w:line="228" w:lineRule="auto"/>
              <w:ind w:left="-57" w:right="-57"/>
              <w:jc w:val="center"/>
              <w:rPr>
                <w:color w:val="000000"/>
                <w:sz w:val="15"/>
                <w:szCs w:val="15"/>
              </w:rPr>
            </w:pPr>
            <w:r>
              <w:rPr>
                <w:color w:val="000000"/>
                <w:sz w:val="15"/>
                <w:szCs w:val="15"/>
              </w:rPr>
              <w:t>26</w:t>
            </w:r>
          </w:p>
        </w:tc>
        <w:tc>
          <w:tcPr>
            <w:tcW w:w="663" w:type="dxa"/>
            <w:vAlign w:val="bottom"/>
          </w:tcPr>
          <w:p w14:paraId="47A95C5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4747693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199B4782"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7512FD5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748F19B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30DAC3E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539AF5F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7ADC197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vAlign w:val="bottom"/>
          </w:tcPr>
          <w:p w14:paraId="68CAD92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48F99A0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58D8C738" w14:textId="77777777">
        <w:trPr>
          <w:cantSplit/>
        </w:trPr>
        <w:tc>
          <w:tcPr>
            <w:tcW w:w="1455" w:type="dxa"/>
            <w:tcBorders>
              <w:bottom w:val="single" w:sz="4" w:space="0" w:color="000000"/>
            </w:tcBorders>
            <w:vAlign w:val="bottom"/>
          </w:tcPr>
          <w:p w14:paraId="08C717AD" w14:textId="77777777" w:rsidR="008E5DE4" w:rsidRDefault="00780368">
            <w:pPr>
              <w:widowControl w:val="0"/>
              <w:spacing w:line="228" w:lineRule="auto"/>
              <w:ind w:left="113" w:right="-57" w:hanging="113"/>
              <w:rPr>
                <w:sz w:val="15"/>
                <w:szCs w:val="15"/>
              </w:rPr>
            </w:pPr>
            <w:r>
              <w:rPr>
                <w:sz w:val="15"/>
                <w:szCs w:val="15"/>
              </w:rPr>
              <w:t> </w:t>
            </w:r>
          </w:p>
        </w:tc>
        <w:tc>
          <w:tcPr>
            <w:tcW w:w="451" w:type="dxa"/>
            <w:tcBorders>
              <w:bottom w:val="single" w:sz="4" w:space="0" w:color="000000"/>
            </w:tcBorders>
            <w:vAlign w:val="bottom"/>
          </w:tcPr>
          <w:p w14:paraId="58E40224"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4" w:space="0" w:color="000000"/>
            </w:tcBorders>
            <w:vAlign w:val="bottom"/>
          </w:tcPr>
          <w:p w14:paraId="3E33050E"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4" w:space="0" w:color="000000"/>
            </w:tcBorders>
            <w:vAlign w:val="bottom"/>
          </w:tcPr>
          <w:p w14:paraId="4655CC1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64837EA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4" w:space="0" w:color="000000"/>
            </w:tcBorders>
          </w:tcPr>
          <w:p w14:paraId="239F710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4" w:space="0" w:color="000000"/>
            </w:tcBorders>
            <w:vAlign w:val="bottom"/>
          </w:tcPr>
          <w:p w14:paraId="36C05D5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4" w:space="0" w:color="000000"/>
            </w:tcBorders>
            <w:vAlign w:val="bottom"/>
          </w:tcPr>
          <w:p w14:paraId="0CC9516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4" w:space="0" w:color="000000"/>
            </w:tcBorders>
            <w:vAlign w:val="bottom"/>
          </w:tcPr>
          <w:p w14:paraId="2244E03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4" w:space="0" w:color="000000"/>
            </w:tcBorders>
            <w:vAlign w:val="bottom"/>
          </w:tcPr>
          <w:p w14:paraId="475A8B3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4" w:space="0" w:color="000000"/>
            </w:tcBorders>
            <w:vAlign w:val="bottom"/>
          </w:tcPr>
          <w:p w14:paraId="779C037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4" w:space="0" w:color="000000"/>
            </w:tcBorders>
            <w:tcMar>
              <w:top w:w="11" w:type="dxa"/>
              <w:left w:w="11" w:type="dxa"/>
              <w:bottom w:w="11" w:type="dxa"/>
              <w:right w:w="11" w:type="dxa"/>
            </w:tcMar>
            <w:vAlign w:val="bottom"/>
          </w:tcPr>
          <w:p w14:paraId="373DCC7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53631EAA" w14:textId="77777777">
        <w:trPr>
          <w:cantSplit/>
        </w:trPr>
        <w:tc>
          <w:tcPr>
            <w:tcW w:w="1455" w:type="dxa"/>
            <w:tcBorders>
              <w:top w:val="single" w:sz="4" w:space="0" w:color="000000"/>
            </w:tcBorders>
            <w:vAlign w:val="bottom"/>
          </w:tcPr>
          <w:p w14:paraId="0F5F83B7" w14:textId="77777777" w:rsidR="008E5DE4" w:rsidRDefault="00780368">
            <w:pPr>
              <w:widowControl w:val="0"/>
              <w:spacing w:line="228" w:lineRule="auto"/>
              <w:ind w:left="113" w:right="-57" w:hanging="113"/>
              <w:rPr>
                <w:sz w:val="15"/>
                <w:szCs w:val="15"/>
              </w:rPr>
            </w:pPr>
            <w:r>
              <w:rPr>
                <w:sz w:val="15"/>
                <w:szCs w:val="15"/>
              </w:rPr>
              <w:t> </w:t>
            </w:r>
          </w:p>
        </w:tc>
        <w:tc>
          <w:tcPr>
            <w:tcW w:w="451" w:type="dxa"/>
            <w:tcBorders>
              <w:top w:val="single" w:sz="4" w:space="0" w:color="000000"/>
            </w:tcBorders>
            <w:vAlign w:val="bottom"/>
          </w:tcPr>
          <w:p w14:paraId="5E4CCB2F" w14:textId="77777777" w:rsidR="008E5DE4" w:rsidRDefault="008E5DE4">
            <w:pPr>
              <w:widowControl w:val="0"/>
              <w:pBdr>
                <w:top w:val="nil"/>
                <w:left w:val="nil"/>
                <w:bottom w:val="nil"/>
                <w:right w:val="nil"/>
                <w:between w:val="nil"/>
              </w:pBdr>
              <w:spacing w:line="228" w:lineRule="auto"/>
              <w:ind w:left="-57" w:right="-57"/>
              <w:jc w:val="center"/>
              <w:rPr>
                <w:b/>
                <w:color w:val="000000"/>
                <w:sz w:val="15"/>
                <w:szCs w:val="15"/>
              </w:rPr>
            </w:pPr>
          </w:p>
        </w:tc>
        <w:tc>
          <w:tcPr>
            <w:tcW w:w="663" w:type="dxa"/>
            <w:tcBorders>
              <w:top w:val="single" w:sz="4" w:space="0" w:color="000000"/>
            </w:tcBorders>
            <w:vAlign w:val="bottom"/>
          </w:tcPr>
          <w:p w14:paraId="431BC3C2"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691" w:type="dxa"/>
            <w:tcBorders>
              <w:top w:val="single" w:sz="4" w:space="0" w:color="000000"/>
            </w:tcBorders>
            <w:vAlign w:val="bottom"/>
          </w:tcPr>
          <w:p w14:paraId="1B31C2B8"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Borders>
              <w:top w:val="single" w:sz="4" w:space="0" w:color="000000"/>
            </w:tcBorders>
          </w:tcPr>
          <w:p w14:paraId="5F07CD21"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64" w:type="dxa"/>
            <w:tcBorders>
              <w:top w:val="single" w:sz="4" w:space="0" w:color="000000"/>
            </w:tcBorders>
          </w:tcPr>
          <w:p w14:paraId="49556559"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1037" w:type="dxa"/>
            <w:tcBorders>
              <w:top w:val="single" w:sz="4" w:space="0" w:color="000000"/>
            </w:tcBorders>
            <w:vAlign w:val="bottom"/>
          </w:tcPr>
          <w:p w14:paraId="6C1DD28F"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1" w:type="dxa"/>
            <w:tcBorders>
              <w:top w:val="single" w:sz="4" w:space="0" w:color="000000"/>
            </w:tcBorders>
            <w:vAlign w:val="bottom"/>
          </w:tcPr>
          <w:p w14:paraId="4F239FE0"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850" w:type="dxa"/>
            <w:tcBorders>
              <w:top w:val="single" w:sz="4" w:space="0" w:color="000000"/>
            </w:tcBorders>
            <w:vAlign w:val="bottom"/>
          </w:tcPr>
          <w:p w14:paraId="24B92BD1"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531" w:type="dxa"/>
            <w:tcBorders>
              <w:top w:val="single" w:sz="4" w:space="0" w:color="000000"/>
            </w:tcBorders>
            <w:vAlign w:val="bottom"/>
          </w:tcPr>
          <w:p w14:paraId="6ED2C9CA"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749" w:type="dxa"/>
            <w:tcBorders>
              <w:top w:val="single" w:sz="4" w:space="0" w:color="000000"/>
            </w:tcBorders>
            <w:vAlign w:val="bottom"/>
          </w:tcPr>
          <w:p w14:paraId="2794348F"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c>
          <w:tcPr>
            <w:tcW w:w="435" w:type="dxa"/>
            <w:tcBorders>
              <w:top w:val="single" w:sz="4" w:space="0" w:color="000000"/>
            </w:tcBorders>
            <w:tcMar>
              <w:top w:w="11" w:type="dxa"/>
              <w:left w:w="11" w:type="dxa"/>
              <w:bottom w:w="11" w:type="dxa"/>
              <w:right w:w="11" w:type="dxa"/>
            </w:tcMar>
            <w:vAlign w:val="bottom"/>
          </w:tcPr>
          <w:p w14:paraId="7BB11442" w14:textId="77777777" w:rsidR="008E5DE4" w:rsidRDefault="008E5DE4">
            <w:pPr>
              <w:widowControl w:val="0"/>
              <w:pBdr>
                <w:top w:val="nil"/>
                <w:left w:val="nil"/>
                <w:bottom w:val="nil"/>
                <w:right w:val="nil"/>
                <w:between w:val="nil"/>
              </w:pBdr>
              <w:spacing w:line="228" w:lineRule="auto"/>
              <w:jc w:val="right"/>
              <w:rPr>
                <w:b/>
                <w:color w:val="000000"/>
                <w:sz w:val="15"/>
                <w:szCs w:val="15"/>
              </w:rPr>
            </w:pPr>
          </w:p>
        </w:tc>
      </w:tr>
      <w:tr w:rsidR="008E5DE4" w14:paraId="5CCF56D2" w14:textId="77777777">
        <w:trPr>
          <w:cantSplit/>
        </w:trPr>
        <w:tc>
          <w:tcPr>
            <w:tcW w:w="1455" w:type="dxa"/>
            <w:vAlign w:val="bottom"/>
          </w:tcPr>
          <w:p w14:paraId="1C9C2ECF" w14:textId="181698CB" w:rsidR="008E5DE4" w:rsidRDefault="00780368">
            <w:pPr>
              <w:widowControl w:val="0"/>
              <w:pBdr>
                <w:top w:val="nil"/>
                <w:left w:val="nil"/>
                <w:bottom w:val="nil"/>
                <w:right w:val="nil"/>
                <w:between w:val="nil"/>
              </w:pBdr>
              <w:spacing w:line="228" w:lineRule="auto"/>
              <w:ind w:left="113" w:right="-57" w:hanging="113"/>
              <w:rPr>
                <w:b/>
                <w:color w:val="000000"/>
                <w:sz w:val="15"/>
                <w:szCs w:val="15"/>
              </w:rPr>
            </w:pPr>
            <w:r>
              <w:rPr>
                <w:b/>
                <w:color w:val="000000"/>
                <w:sz w:val="15"/>
                <w:szCs w:val="15"/>
              </w:rPr>
              <w:t xml:space="preserve">Balance </w:t>
            </w:r>
            <w:proofErr w:type="gramStart"/>
            <w:r>
              <w:rPr>
                <w:b/>
                <w:color w:val="000000"/>
                <w:sz w:val="15"/>
                <w:szCs w:val="15"/>
              </w:rPr>
              <w:t>at</w:t>
            </w:r>
            <w:proofErr w:type="gramEnd"/>
            <w:r>
              <w:rPr>
                <w:b/>
                <w:color w:val="000000"/>
                <w:sz w:val="15"/>
                <w:szCs w:val="15"/>
              </w:rPr>
              <w:t xml:space="preserve"> 31 December </w:t>
            </w:r>
            <w:r w:rsidR="008614F8">
              <w:rPr>
                <w:b/>
                <w:color w:val="000000"/>
                <w:sz w:val="15"/>
                <w:szCs w:val="15"/>
              </w:rPr>
              <w:t>2025</w:t>
            </w:r>
          </w:p>
        </w:tc>
        <w:tc>
          <w:tcPr>
            <w:tcW w:w="451" w:type="dxa"/>
            <w:vAlign w:val="bottom"/>
          </w:tcPr>
          <w:p w14:paraId="2EBC86E1"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vAlign w:val="bottom"/>
          </w:tcPr>
          <w:p w14:paraId="118F2AC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vAlign w:val="bottom"/>
          </w:tcPr>
          <w:p w14:paraId="3C67C66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7432BE78"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Pr>
          <w:p w14:paraId="59C2011F"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vAlign w:val="bottom"/>
          </w:tcPr>
          <w:p w14:paraId="02B1E21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vAlign w:val="bottom"/>
          </w:tcPr>
          <w:p w14:paraId="7D3B98C5"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vAlign w:val="bottom"/>
          </w:tcPr>
          <w:p w14:paraId="7260A68A"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vAlign w:val="bottom"/>
          </w:tcPr>
          <w:p w14:paraId="00E1FF5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Mar>
              <w:top w:w="11" w:type="dxa"/>
              <w:left w:w="11" w:type="dxa"/>
              <w:bottom w:w="11" w:type="dxa"/>
              <w:right w:w="11" w:type="dxa"/>
            </w:tcMar>
            <w:vAlign w:val="bottom"/>
          </w:tcPr>
          <w:p w14:paraId="790D3BD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Mar>
              <w:top w:w="11" w:type="dxa"/>
              <w:left w:w="11" w:type="dxa"/>
              <w:bottom w:w="11" w:type="dxa"/>
              <w:right w:w="11" w:type="dxa"/>
            </w:tcMar>
            <w:vAlign w:val="bottom"/>
          </w:tcPr>
          <w:p w14:paraId="0BBC95E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r w:rsidR="008E5DE4" w14:paraId="17C12980" w14:textId="77777777">
        <w:trPr>
          <w:cantSplit/>
        </w:trPr>
        <w:tc>
          <w:tcPr>
            <w:tcW w:w="1455" w:type="dxa"/>
            <w:tcBorders>
              <w:bottom w:val="single" w:sz="12" w:space="0" w:color="000000"/>
            </w:tcBorders>
            <w:vAlign w:val="bottom"/>
          </w:tcPr>
          <w:p w14:paraId="19428DF5" w14:textId="77777777" w:rsidR="008E5DE4" w:rsidRDefault="00780368">
            <w:pPr>
              <w:widowControl w:val="0"/>
              <w:pBdr>
                <w:top w:val="nil"/>
                <w:left w:val="nil"/>
                <w:bottom w:val="nil"/>
                <w:right w:val="nil"/>
                <w:between w:val="nil"/>
              </w:pBdr>
              <w:spacing w:line="228" w:lineRule="auto"/>
              <w:ind w:left="113" w:right="-57" w:hanging="113"/>
              <w:rPr>
                <w:color w:val="000000"/>
                <w:sz w:val="15"/>
                <w:szCs w:val="15"/>
              </w:rPr>
            </w:pPr>
            <w:r>
              <w:rPr>
                <w:color w:val="000000"/>
                <w:sz w:val="15"/>
                <w:szCs w:val="15"/>
              </w:rPr>
              <w:t> </w:t>
            </w:r>
          </w:p>
        </w:tc>
        <w:tc>
          <w:tcPr>
            <w:tcW w:w="451" w:type="dxa"/>
            <w:tcBorders>
              <w:bottom w:val="single" w:sz="12" w:space="0" w:color="000000"/>
            </w:tcBorders>
            <w:vAlign w:val="bottom"/>
          </w:tcPr>
          <w:p w14:paraId="294CB76A" w14:textId="77777777" w:rsidR="008E5DE4" w:rsidRDefault="008E5DE4">
            <w:pPr>
              <w:widowControl w:val="0"/>
              <w:pBdr>
                <w:top w:val="nil"/>
                <w:left w:val="nil"/>
                <w:bottom w:val="nil"/>
                <w:right w:val="nil"/>
                <w:between w:val="nil"/>
              </w:pBdr>
              <w:spacing w:line="228" w:lineRule="auto"/>
              <w:ind w:left="-57" w:right="-57"/>
              <w:jc w:val="center"/>
              <w:rPr>
                <w:color w:val="000000"/>
                <w:sz w:val="15"/>
                <w:szCs w:val="15"/>
              </w:rPr>
            </w:pPr>
          </w:p>
        </w:tc>
        <w:tc>
          <w:tcPr>
            <w:tcW w:w="663" w:type="dxa"/>
            <w:tcBorders>
              <w:bottom w:val="single" w:sz="12" w:space="0" w:color="000000"/>
            </w:tcBorders>
            <w:vAlign w:val="bottom"/>
          </w:tcPr>
          <w:p w14:paraId="7F2514F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691" w:type="dxa"/>
            <w:tcBorders>
              <w:bottom w:val="single" w:sz="12" w:space="0" w:color="000000"/>
            </w:tcBorders>
            <w:vAlign w:val="bottom"/>
          </w:tcPr>
          <w:p w14:paraId="4CA1BE5D"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12" w:space="0" w:color="000000"/>
            </w:tcBorders>
          </w:tcPr>
          <w:p w14:paraId="7410DB03"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64" w:type="dxa"/>
            <w:tcBorders>
              <w:bottom w:val="single" w:sz="12" w:space="0" w:color="000000"/>
            </w:tcBorders>
          </w:tcPr>
          <w:p w14:paraId="45AEEB24"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1037" w:type="dxa"/>
            <w:tcBorders>
              <w:bottom w:val="single" w:sz="12" w:space="0" w:color="000000"/>
            </w:tcBorders>
            <w:vAlign w:val="bottom"/>
          </w:tcPr>
          <w:p w14:paraId="627F9107"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1" w:type="dxa"/>
            <w:tcBorders>
              <w:bottom w:val="single" w:sz="12" w:space="0" w:color="000000"/>
            </w:tcBorders>
            <w:vAlign w:val="bottom"/>
          </w:tcPr>
          <w:p w14:paraId="52EBA849"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850" w:type="dxa"/>
            <w:tcBorders>
              <w:bottom w:val="single" w:sz="12" w:space="0" w:color="000000"/>
            </w:tcBorders>
            <w:vAlign w:val="bottom"/>
          </w:tcPr>
          <w:p w14:paraId="35A3E431"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531" w:type="dxa"/>
            <w:tcBorders>
              <w:bottom w:val="single" w:sz="12" w:space="0" w:color="000000"/>
            </w:tcBorders>
            <w:vAlign w:val="bottom"/>
          </w:tcPr>
          <w:p w14:paraId="6B760650"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749" w:type="dxa"/>
            <w:tcBorders>
              <w:bottom w:val="single" w:sz="12" w:space="0" w:color="000000"/>
            </w:tcBorders>
            <w:tcMar>
              <w:top w:w="11" w:type="dxa"/>
              <w:left w:w="11" w:type="dxa"/>
              <w:bottom w:w="11" w:type="dxa"/>
              <w:right w:w="11" w:type="dxa"/>
            </w:tcMar>
            <w:vAlign w:val="bottom"/>
          </w:tcPr>
          <w:p w14:paraId="29DD1516"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c>
          <w:tcPr>
            <w:tcW w:w="435" w:type="dxa"/>
            <w:tcBorders>
              <w:bottom w:val="single" w:sz="12" w:space="0" w:color="000000"/>
            </w:tcBorders>
            <w:tcMar>
              <w:top w:w="11" w:type="dxa"/>
              <w:left w:w="11" w:type="dxa"/>
              <w:bottom w:w="11" w:type="dxa"/>
              <w:right w:w="11" w:type="dxa"/>
            </w:tcMar>
            <w:vAlign w:val="bottom"/>
          </w:tcPr>
          <w:p w14:paraId="217EC7BC" w14:textId="77777777" w:rsidR="008E5DE4" w:rsidRDefault="008E5DE4">
            <w:pPr>
              <w:widowControl w:val="0"/>
              <w:pBdr>
                <w:top w:val="nil"/>
                <w:left w:val="nil"/>
                <w:bottom w:val="nil"/>
                <w:right w:val="nil"/>
                <w:between w:val="nil"/>
              </w:pBdr>
              <w:spacing w:line="228" w:lineRule="auto"/>
              <w:jc w:val="right"/>
              <w:rPr>
                <w:color w:val="000000"/>
                <w:sz w:val="15"/>
                <w:szCs w:val="15"/>
              </w:rPr>
            </w:pPr>
          </w:p>
        </w:tc>
      </w:tr>
    </w:tbl>
    <w:p w14:paraId="5283ADC6" w14:textId="77777777" w:rsidR="00436EC4" w:rsidRDefault="00436EC4" w:rsidP="00436EC4">
      <w:pPr>
        <w:widowControl w:val="0"/>
        <w:pBdr>
          <w:top w:val="nil"/>
          <w:left w:val="nil"/>
          <w:bottom w:val="nil"/>
          <w:right w:val="nil"/>
          <w:between w:val="nil"/>
        </w:pBdr>
        <w:spacing w:before="120" w:after="120"/>
        <w:ind w:left="567"/>
        <w:jc w:val="both"/>
        <w:rPr>
          <w:i/>
          <w:color w:val="FF0000"/>
          <w:sz w:val="20"/>
          <w:szCs w:val="20"/>
        </w:rPr>
      </w:pPr>
    </w:p>
    <w:p w14:paraId="5C318057" w14:textId="77777777" w:rsidR="00436EC4" w:rsidRDefault="00436EC4">
      <w:pPr>
        <w:rPr>
          <w:i/>
          <w:color w:val="FF0000"/>
          <w:sz w:val="20"/>
          <w:szCs w:val="20"/>
        </w:rPr>
      </w:pPr>
      <w:r>
        <w:rPr>
          <w:i/>
          <w:color w:val="FF0000"/>
          <w:sz w:val="20"/>
          <w:szCs w:val="20"/>
        </w:rPr>
        <w:br w:type="page"/>
      </w:r>
    </w:p>
    <w:p w14:paraId="0E9EBB12" w14:textId="77777777" w:rsidR="008E5DE4" w:rsidRDefault="008E5DE4" w:rsidP="007F183E">
      <w:pPr>
        <w:widowControl w:val="0"/>
        <w:pBdr>
          <w:top w:val="nil"/>
          <w:left w:val="nil"/>
          <w:bottom w:val="nil"/>
          <w:right w:val="nil"/>
          <w:between w:val="nil"/>
        </w:pBdr>
        <w:spacing w:before="120" w:after="120"/>
        <w:ind w:left="567"/>
        <w:jc w:val="both"/>
        <w:rPr>
          <w:b/>
          <w:smallCaps/>
          <w:color w:val="000000"/>
          <w:sz w:val="20"/>
          <w:szCs w:val="20"/>
        </w:rPr>
      </w:pPr>
    </w:p>
    <w:tbl>
      <w:tblPr>
        <w:tblStyle w:val="a4"/>
        <w:tblW w:w="9468" w:type="dxa"/>
        <w:tblLayout w:type="fixed"/>
        <w:tblLook w:val="0000" w:firstRow="0" w:lastRow="0" w:firstColumn="0" w:lastColumn="0" w:noHBand="0" w:noVBand="0"/>
      </w:tblPr>
      <w:tblGrid>
        <w:gridCol w:w="5556"/>
        <w:gridCol w:w="737"/>
        <w:gridCol w:w="1531"/>
        <w:gridCol w:w="1531"/>
        <w:gridCol w:w="113"/>
      </w:tblGrid>
      <w:tr w:rsidR="008E5DE4" w14:paraId="04BFDA14" w14:textId="77777777">
        <w:trPr>
          <w:gridAfter w:val="1"/>
          <w:wAfter w:w="113" w:type="dxa"/>
          <w:cantSplit/>
          <w:tblHeader/>
        </w:trPr>
        <w:tc>
          <w:tcPr>
            <w:tcW w:w="5556" w:type="dxa"/>
            <w:tcBorders>
              <w:bottom w:val="single" w:sz="6" w:space="0" w:color="000000"/>
            </w:tcBorders>
            <w:vAlign w:val="bottom"/>
          </w:tcPr>
          <w:p w14:paraId="7A7B4CC5"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737" w:type="dxa"/>
            <w:tcBorders>
              <w:bottom w:val="single" w:sz="6" w:space="0" w:color="000000"/>
            </w:tcBorders>
            <w:vAlign w:val="bottom"/>
          </w:tcPr>
          <w:p w14:paraId="673D1A59" w14:textId="77777777" w:rsidR="008E5DE4" w:rsidRDefault="00780368">
            <w:pPr>
              <w:widowControl w:val="0"/>
              <w:pBdr>
                <w:top w:val="nil"/>
                <w:left w:val="nil"/>
                <w:bottom w:val="nil"/>
                <w:right w:val="nil"/>
                <w:between w:val="nil"/>
              </w:pBdr>
              <w:jc w:val="center"/>
              <w:rPr>
                <w:b/>
                <w:color w:val="000000"/>
              </w:rPr>
            </w:pPr>
            <w:r>
              <w:rPr>
                <w:b/>
                <w:color w:val="000000"/>
              </w:rPr>
              <w:t>Note</w:t>
            </w:r>
          </w:p>
        </w:tc>
        <w:tc>
          <w:tcPr>
            <w:tcW w:w="1531" w:type="dxa"/>
            <w:tcBorders>
              <w:bottom w:val="single" w:sz="6" w:space="0" w:color="000000"/>
            </w:tcBorders>
          </w:tcPr>
          <w:p w14:paraId="2E28C10B" w14:textId="696CECAB" w:rsidR="008E5DE4" w:rsidRDefault="008614F8">
            <w:pPr>
              <w:widowControl w:val="0"/>
              <w:pBdr>
                <w:top w:val="nil"/>
                <w:left w:val="nil"/>
                <w:bottom w:val="nil"/>
                <w:right w:val="nil"/>
                <w:between w:val="nil"/>
              </w:pBdr>
              <w:ind w:left="-113"/>
              <w:jc w:val="right"/>
              <w:rPr>
                <w:b/>
                <w:color w:val="000000"/>
              </w:rPr>
            </w:pPr>
            <w:r>
              <w:rPr>
                <w:b/>
                <w:color w:val="000000"/>
              </w:rPr>
              <w:t>2025</w:t>
            </w:r>
          </w:p>
        </w:tc>
        <w:tc>
          <w:tcPr>
            <w:tcW w:w="1531" w:type="dxa"/>
            <w:tcBorders>
              <w:bottom w:val="single" w:sz="6" w:space="0" w:color="000000"/>
            </w:tcBorders>
          </w:tcPr>
          <w:p w14:paraId="6C828E5F" w14:textId="789FCDF3" w:rsidR="008E5DE4" w:rsidRDefault="00FF468A">
            <w:pPr>
              <w:widowControl w:val="0"/>
              <w:pBdr>
                <w:top w:val="nil"/>
                <w:left w:val="nil"/>
                <w:bottom w:val="nil"/>
                <w:right w:val="nil"/>
                <w:between w:val="nil"/>
              </w:pBdr>
              <w:ind w:left="-113"/>
              <w:jc w:val="right"/>
              <w:rPr>
                <w:b/>
                <w:color w:val="000000"/>
              </w:rPr>
            </w:pPr>
            <w:r>
              <w:rPr>
                <w:b/>
                <w:color w:val="000000"/>
              </w:rPr>
              <w:t>2024</w:t>
            </w:r>
            <w:r w:rsidR="00780368">
              <w:rPr>
                <w:b/>
                <w:color w:val="000000"/>
              </w:rPr>
              <w:t xml:space="preserve"> </w:t>
            </w:r>
          </w:p>
          <w:p w14:paraId="679CC85F" w14:textId="77777777" w:rsidR="008E5DE4" w:rsidRDefault="008E5DE4">
            <w:pPr>
              <w:widowControl w:val="0"/>
              <w:pBdr>
                <w:top w:val="nil"/>
                <w:left w:val="nil"/>
                <w:bottom w:val="nil"/>
                <w:right w:val="nil"/>
                <w:between w:val="nil"/>
              </w:pBdr>
              <w:ind w:left="-113"/>
              <w:jc w:val="right"/>
              <w:rPr>
                <w:b/>
                <w:color w:val="000000"/>
              </w:rPr>
            </w:pPr>
          </w:p>
        </w:tc>
      </w:tr>
      <w:tr w:rsidR="008E5DE4" w14:paraId="71A1F9B5" w14:textId="77777777">
        <w:trPr>
          <w:gridAfter w:val="1"/>
          <w:wAfter w:w="113" w:type="dxa"/>
          <w:cantSplit/>
        </w:trPr>
        <w:tc>
          <w:tcPr>
            <w:tcW w:w="5556" w:type="dxa"/>
            <w:vAlign w:val="bottom"/>
          </w:tcPr>
          <w:p w14:paraId="4F1DE484"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vAlign w:val="bottom"/>
          </w:tcPr>
          <w:p w14:paraId="48D47F15"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B1C2E6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32C32B4" w14:textId="77777777" w:rsidR="008E5DE4" w:rsidRDefault="008E5DE4">
            <w:pPr>
              <w:widowControl w:val="0"/>
              <w:pBdr>
                <w:top w:val="nil"/>
                <w:left w:val="nil"/>
                <w:bottom w:val="nil"/>
                <w:right w:val="nil"/>
                <w:between w:val="nil"/>
              </w:pBdr>
              <w:jc w:val="right"/>
              <w:rPr>
                <w:color w:val="000000"/>
              </w:rPr>
            </w:pPr>
          </w:p>
        </w:tc>
      </w:tr>
      <w:tr w:rsidR="008E5DE4" w14:paraId="46340A10" w14:textId="77777777">
        <w:trPr>
          <w:gridAfter w:val="1"/>
          <w:wAfter w:w="113" w:type="dxa"/>
          <w:cantSplit/>
        </w:trPr>
        <w:tc>
          <w:tcPr>
            <w:tcW w:w="5556" w:type="dxa"/>
            <w:vAlign w:val="bottom"/>
          </w:tcPr>
          <w:p w14:paraId="6DF5782E"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Cash flows from operating activities </w:t>
            </w:r>
          </w:p>
        </w:tc>
        <w:tc>
          <w:tcPr>
            <w:tcW w:w="737" w:type="dxa"/>
            <w:vAlign w:val="bottom"/>
          </w:tcPr>
          <w:p w14:paraId="7D107E6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CCE6C2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618885D" w14:textId="77777777" w:rsidR="008E5DE4" w:rsidRDefault="008E5DE4">
            <w:pPr>
              <w:widowControl w:val="0"/>
              <w:pBdr>
                <w:top w:val="nil"/>
                <w:left w:val="nil"/>
                <w:bottom w:val="nil"/>
                <w:right w:val="nil"/>
                <w:between w:val="nil"/>
              </w:pBdr>
              <w:jc w:val="right"/>
              <w:rPr>
                <w:color w:val="000000"/>
              </w:rPr>
            </w:pPr>
          </w:p>
        </w:tc>
      </w:tr>
      <w:tr w:rsidR="008E5DE4" w14:paraId="37F56788" w14:textId="77777777">
        <w:trPr>
          <w:gridAfter w:val="1"/>
          <w:wAfter w:w="113" w:type="dxa"/>
          <w:cantSplit/>
        </w:trPr>
        <w:tc>
          <w:tcPr>
            <w:tcW w:w="5556" w:type="dxa"/>
            <w:vAlign w:val="bottom"/>
          </w:tcPr>
          <w:p w14:paraId="5572DD14" w14:textId="217EB430" w:rsidR="008E5DE4" w:rsidRDefault="00780368">
            <w:pPr>
              <w:widowControl w:val="0"/>
              <w:pBdr>
                <w:top w:val="nil"/>
                <w:left w:val="nil"/>
                <w:bottom w:val="nil"/>
                <w:right w:val="nil"/>
                <w:between w:val="nil"/>
              </w:pBdr>
              <w:ind w:left="113" w:right="-57" w:hanging="113"/>
              <w:rPr>
                <w:color w:val="000000"/>
              </w:rPr>
            </w:pPr>
            <w:r>
              <w:rPr>
                <w:color w:val="000000"/>
              </w:rPr>
              <w:t>Profit</w:t>
            </w:r>
            <w:r w:rsidR="006A15AF">
              <w:rPr>
                <w:color w:val="000000"/>
              </w:rPr>
              <w:t xml:space="preserve"> </w:t>
            </w:r>
            <w:r w:rsidRPr="006A15AF">
              <w:rPr>
                <w:color w:val="0000FF"/>
              </w:rPr>
              <w:t>/</w:t>
            </w:r>
            <w:r w:rsidR="006A15AF" w:rsidRPr="006A15AF">
              <w:rPr>
                <w:color w:val="0000FF"/>
              </w:rPr>
              <w:t xml:space="preserve"> </w:t>
            </w:r>
            <w:r w:rsidRPr="006A15AF">
              <w:rPr>
                <w:color w:val="0000FF"/>
              </w:rPr>
              <w:t>(Loss)</w:t>
            </w:r>
            <w:r>
              <w:rPr>
                <w:color w:val="000000"/>
              </w:rPr>
              <w:t xml:space="preserve"> before income tax</w:t>
            </w:r>
          </w:p>
        </w:tc>
        <w:tc>
          <w:tcPr>
            <w:tcW w:w="737" w:type="dxa"/>
            <w:vAlign w:val="bottom"/>
          </w:tcPr>
          <w:p w14:paraId="32983D3B"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571C8A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92BFF7E" w14:textId="77777777" w:rsidR="008E5DE4" w:rsidRDefault="008E5DE4">
            <w:pPr>
              <w:widowControl w:val="0"/>
              <w:pBdr>
                <w:top w:val="nil"/>
                <w:left w:val="nil"/>
                <w:bottom w:val="nil"/>
                <w:right w:val="nil"/>
                <w:between w:val="nil"/>
              </w:pBdr>
              <w:jc w:val="right"/>
              <w:rPr>
                <w:color w:val="000000"/>
              </w:rPr>
            </w:pPr>
          </w:p>
        </w:tc>
      </w:tr>
      <w:tr w:rsidR="008E5DE4" w14:paraId="303EF25F" w14:textId="77777777">
        <w:trPr>
          <w:gridAfter w:val="1"/>
          <w:wAfter w:w="113" w:type="dxa"/>
          <w:cantSplit/>
        </w:trPr>
        <w:tc>
          <w:tcPr>
            <w:tcW w:w="5556" w:type="dxa"/>
            <w:vAlign w:val="bottom"/>
          </w:tcPr>
          <w:p w14:paraId="5C918F5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vAlign w:val="bottom"/>
          </w:tcPr>
          <w:p w14:paraId="5733F82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FC304C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79BD4C8" w14:textId="77777777" w:rsidR="008E5DE4" w:rsidRDefault="008E5DE4">
            <w:pPr>
              <w:widowControl w:val="0"/>
              <w:pBdr>
                <w:top w:val="nil"/>
                <w:left w:val="nil"/>
                <w:bottom w:val="nil"/>
                <w:right w:val="nil"/>
                <w:between w:val="nil"/>
              </w:pBdr>
              <w:jc w:val="right"/>
              <w:rPr>
                <w:color w:val="000000"/>
              </w:rPr>
            </w:pPr>
          </w:p>
        </w:tc>
      </w:tr>
      <w:tr w:rsidR="008E5DE4" w14:paraId="4E26B0ED" w14:textId="77777777">
        <w:trPr>
          <w:gridAfter w:val="1"/>
          <w:wAfter w:w="113" w:type="dxa"/>
          <w:cantSplit/>
        </w:trPr>
        <w:tc>
          <w:tcPr>
            <w:tcW w:w="5556" w:type="dxa"/>
            <w:vAlign w:val="bottom"/>
          </w:tcPr>
          <w:p w14:paraId="79E4E7C5" w14:textId="77777777" w:rsidR="008E5DE4" w:rsidRDefault="00780368">
            <w:pPr>
              <w:widowControl w:val="0"/>
              <w:pBdr>
                <w:top w:val="nil"/>
                <w:left w:val="nil"/>
                <w:bottom w:val="nil"/>
                <w:right w:val="nil"/>
                <w:between w:val="nil"/>
              </w:pBdr>
              <w:ind w:left="113" w:right="-57" w:hanging="113"/>
              <w:rPr>
                <w:color w:val="000000"/>
              </w:rPr>
            </w:pPr>
            <w:r>
              <w:rPr>
                <w:color w:val="000000"/>
              </w:rPr>
              <w:t>Adjustments for:</w:t>
            </w:r>
          </w:p>
        </w:tc>
        <w:tc>
          <w:tcPr>
            <w:tcW w:w="737" w:type="dxa"/>
            <w:vAlign w:val="bottom"/>
          </w:tcPr>
          <w:p w14:paraId="5D9C78C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6D2998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8598A97" w14:textId="77777777" w:rsidR="008E5DE4" w:rsidRDefault="008E5DE4">
            <w:pPr>
              <w:widowControl w:val="0"/>
              <w:pBdr>
                <w:top w:val="nil"/>
                <w:left w:val="nil"/>
                <w:bottom w:val="nil"/>
                <w:right w:val="nil"/>
                <w:between w:val="nil"/>
              </w:pBdr>
              <w:jc w:val="right"/>
              <w:rPr>
                <w:color w:val="000000"/>
              </w:rPr>
            </w:pPr>
          </w:p>
        </w:tc>
      </w:tr>
      <w:tr w:rsidR="008E5DE4" w14:paraId="21044E89" w14:textId="77777777">
        <w:trPr>
          <w:gridAfter w:val="1"/>
          <w:wAfter w:w="113" w:type="dxa"/>
          <w:cantSplit/>
        </w:trPr>
        <w:tc>
          <w:tcPr>
            <w:tcW w:w="5556" w:type="dxa"/>
            <w:vAlign w:val="bottom"/>
          </w:tcPr>
          <w:p w14:paraId="3D5E476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vAlign w:val="bottom"/>
          </w:tcPr>
          <w:p w14:paraId="64E6AD1C"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08BF1D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3C8FFA6" w14:textId="77777777" w:rsidR="008E5DE4" w:rsidRDefault="008E5DE4">
            <w:pPr>
              <w:widowControl w:val="0"/>
              <w:pBdr>
                <w:top w:val="nil"/>
                <w:left w:val="nil"/>
                <w:bottom w:val="nil"/>
                <w:right w:val="nil"/>
                <w:between w:val="nil"/>
              </w:pBdr>
              <w:jc w:val="right"/>
              <w:rPr>
                <w:color w:val="000000"/>
              </w:rPr>
            </w:pPr>
          </w:p>
        </w:tc>
      </w:tr>
      <w:tr w:rsidR="008E5DE4" w14:paraId="735C53B2" w14:textId="77777777">
        <w:trPr>
          <w:gridAfter w:val="1"/>
          <w:wAfter w:w="113" w:type="dxa"/>
          <w:cantSplit/>
        </w:trPr>
        <w:tc>
          <w:tcPr>
            <w:tcW w:w="5556" w:type="dxa"/>
            <w:vAlign w:val="bottom"/>
          </w:tcPr>
          <w:p w14:paraId="3D45AAD5" w14:textId="77777777" w:rsidR="008E5DE4" w:rsidRDefault="00780368">
            <w:pPr>
              <w:widowControl w:val="0"/>
              <w:pBdr>
                <w:top w:val="nil"/>
                <w:left w:val="nil"/>
                <w:bottom w:val="nil"/>
                <w:right w:val="nil"/>
                <w:between w:val="nil"/>
              </w:pBdr>
              <w:ind w:left="113" w:right="-57" w:hanging="113"/>
              <w:rPr>
                <w:color w:val="000000"/>
              </w:rPr>
            </w:pPr>
            <w:r>
              <w:rPr>
                <w:color w:val="000000"/>
              </w:rPr>
              <w:t>Depreciation and impairment of property, plant and equipment</w:t>
            </w:r>
          </w:p>
        </w:tc>
        <w:tc>
          <w:tcPr>
            <w:tcW w:w="737" w:type="dxa"/>
            <w:vAlign w:val="bottom"/>
          </w:tcPr>
          <w:p w14:paraId="34B79365" w14:textId="77777777" w:rsidR="008E5DE4" w:rsidRDefault="00780368">
            <w:pPr>
              <w:widowControl w:val="0"/>
              <w:pBdr>
                <w:top w:val="nil"/>
                <w:left w:val="nil"/>
                <w:bottom w:val="nil"/>
                <w:right w:val="nil"/>
                <w:between w:val="nil"/>
              </w:pBdr>
              <w:jc w:val="center"/>
              <w:rPr>
                <w:color w:val="000000"/>
              </w:rPr>
            </w:pPr>
            <w:r>
              <w:rPr>
                <w:color w:val="000000"/>
              </w:rPr>
              <w:t>9</w:t>
            </w:r>
          </w:p>
        </w:tc>
        <w:tc>
          <w:tcPr>
            <w:tcW w:w="1531" w:type="dxa"/>
            <w:vAlign w:val="bottom"/>
          </w:tcPr>
          <w:p w14:paraId="019E5BF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33AD724" w14:textId="77777777" w:rsidR="008E5DE4" w:rsidRDefault="008E5DE4">
            <w:pPr>
              <w:widowControl w:val="0"/>
              <w:pBdr>
                <w:top w:val="nil"/>
                <w:left w:val="nil"/>
                <w:bottom w:val="nil"/>
                <w:right w:val="nil"/>
                <w:between w:val="nil"/>
              </w:pBdr>
              <w:jc w:val="right"/>
              <w:rPr>
                <w:color w:val="000000"/>
              </w:rPr>
            </w:pPr>
          </w:p>
        </w:tc>
      </w:tr>
      <w:tr w:rsidR="008E5DE4" w14:paraId="09D9B1DA" w14:textId="77777777">
        <w:trPr>
          <w:gridAfter w:val="1"/>
          <w:wAfter w:w="113" w:type="dxa"/>
          <w:cantSplit/>
        </w:trPr>
        <w:tc>
          <w:tcPr>
            <w:tcW w:w="5556" w:type="dxa"/>
            <w:vAlign w:val="bottom"/>
          </w:tcPr>
          <w:p w14:paraId="3803D447" w14:textId="77777777" w:rsidR="008E5DE4" w:rsidRDefault="00780368">
            <w:pPr>
              <w:widowControl w:val="0"/>
              <w:pBdr>
                <w:top w:val="nil"/>
                <w:left w:val="nil"/>
                <w:bottom w:val="nil"/>
                <w:right w:val="nil"/>
                <w:between w:val="nil"/>
              </w:pBdr>
              <w:ind w:left="113" w:right="-57" w:hanging="113"/>
              <w:rPr>
                <w:color w:val="000000"/>
              </w:rPr>
            </w:pPr>
            <w:r>
              <w:rPr>
                <w:color w:val="000000"/>
              </w:rPr>
              <w:t>Impairment of goodwill</w:t>
            </w:r>
          </w:p>
        </w:tc>
        <w:tc>
          <w:tcPr>
            <w:tcW w:w="737" w:type="dxa"/>
            <w:vAlign w:val="bottom"/>
          </w:tcPr>
          <w:p w14:paraId="05F38CBA" w14:textId="77777777" w:rsidR="008E5DE4" w:rsidRDefault="00780368">
            <w:pPr>
              <w:widowControl w:val="0"/>
              <w:pBdr>
                <w:top w:val="nil"/>
                <w:left w:val="nil"/>
                <w:bottom w:val="nil"/>
                <w:right w:val="nil"/>
                <w:between w:val="nil"/>
              </w:pBdr>
              <w:jc w:val="center"/>
              <w:rPr>
                <w:color w:val="000000"/>
              </w:rPr>
            </w:pPr>
            <w:r>
              <w:rPr>
                <w:color w:val="000000"/>
              </w:rPr>
              <w:t>12</w:t>
            </w:r>
          </w:p>
        </w:tc>
        <w:tc>
          <w:tcPr>
            <w:tcW w:w="1531" w:type="dxa"/>
            <w:vAlign w:val="bottom"/>
          </w:tcPr>
          <w:p w14:paraId="6B6A626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B4D26E3" w14:textId="77777777" w:rsidR="008E5DE4" w:rsidRDefault="008E5DE4">
            <w:pPr>
              <w:widowControl w:val="0"/>
              <w:pBdr>
                <w:top w:val="nil"/>
                <w:left w:val="nil"/>
                <w:bottom w:val="nil"/>
                <w:right w:val="nil"/>
                <w:between w:val="nil"/>
              </w:pBdr>
              <w:jc w:val="right"/>
              <w:rPr>
                <w:color w:val="000000"/>
              </w:rPr>
            </w:pPr>
          </w:p>
        </w:tc>
      </w:tr>
      <w:tr w:rsidR="008E5DE4" w14:paraId="359DEFAA" w14:textId="77777777">
        <w:trPr>
          <w:gridAfter w:val="1"/>
          <w:wAfter w:w="113" w:type="dxa"/>
          <w:cantSplit/>
        </w:trPr>
        <w:tc>
          <w:tcPr>
            <w:tcW w:w="5556" w:type="dxa"/>
            <w:vAlign w:val="bottom"/>
          </w:tcPr>
          <w:p w14:paraId="7F88B482" w14:textId="77777777" w:rsidR="008E5DE4" w:rsidRDefault="00780368">
            <w:pPr>
              <w:widowControl w:val="0"/>
              <w:pBdr>
                <w:top w:val="nil"/>
                <w:left w:val="nil"/>
                <w:bottom w:val="nil"/>
                <w:right w:val="nil"/>
                <w:between w:val="nil"/>
              </w:pBdr>
              <w:ind w:left="113" w:right="-57" w:hanging="113"/>
              <w:rPr>
                <w:color w:val="000000"/>
              </w:rPr>
            </w:pPr>
            <w:r>
              <w:rPr>
                <w:color w:val="000000"/>
              </w:rPr>
              <w:t>Amortisation and impairment of other intangible assets</w:t>
            </w:r>
          </w:p>
        </w:tc>
        <w:tc>
          <w:tcPr>
            <w:tcW w:w="737" w:type="dxa"/>
            <w:vAlign w:val="bottom"/>
          </w:tcPr>
          <w:p w14:paraId="3A81E7E5" w14:textId="77777777" w:rsidR="008E5DE4" w:rsidRDefault="00780368">
            <w:pPr>
              <w:widowControl w:val="0"/>
              <w:pBdr>
                <w:top w:val="nil"/>
                <w:left w:val="nil"/>
                <w:bottom w:val="nil"/>
                <w:right w:val="nil"/>
                <w:between w:val="nil"/>
              </w:pBdr>
              <w:jc w:val="center"/>
              <w:rPr>
                <w:color w:val="000000"/>
              </w:rPr>
            </w:pPr>
            <w:r>
              <w:rPr>
                <w:color w:val="000000"/>
              </w:rPr>
              <w:t>13</w:t>
            </w:r>
          </w:p>
        </w:tc>
        <w:tc>
          <w:tcPr>
            <w:tcW w:w="1531" w:type="dxa"/>
            <w:vAlign w:val="bottom"/>
          </w:tcPr>
          <w:p w14:paraId="24AA220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DE7EDE3" w14:textId="77777777" w:rsidR="008E5DE4" w:rsidRDefault="008E5DE4">
            <w:pPr>
              <w:widowControl w:val="0"/>
              <w:pBdr>
                <w:top w:val="nil"/>
                <w:left w:val="nil"/>
                <w:bottom w:val="nil"/>
                <w:right w:val="nil"/>
                <w:between w:val="nil"/>
              </w:pBdr>
              <w:jc w:val="right"/>
              <w:rPr>
                <w:color w:val="000000"/>
              </w:rPr>
            </w:pPr>
          </w:p>
        </w:tc>
      </w:tr>
      <w:tr w:rsidR="008E5DE4" w14:paraId="0E7C87D6" w14:textId="77777777">
        <w:trPr>
          <w:gridAfter w:val="1"/>
          <w:wAfter w:w="113" w:type="dxa"/>
          <w:cantSplit/>
        </w:trPr>
        <w:tc>
          <w:tcPr>
            <w:tcW w:w="5556" w:type="dxa"/>
            <w:vAlign w:val="bottom"/>
          </w:tcPr>
          <w:p w14:paraId="07000A34" w14:textId="77777777" w:rsidR="008E5DE4" w:rsidRDefault="00780368">
            <w:pPr>
              <w:widowControl w:val="0"/>
              <w:pBdr>
                <w:top w:val="nil"/>
                <w:left w:val="nil"/>
                <w:bottom w:val="nil"/>
                <w:right w:val="nil"/>
                <w:between w:val="nil"/>
              </w:pBdr>
              <w:ind w:left="113" w:right="-57" w:hanging="113"/>
              <w:rPr>
                <w:color w:val="000000"/>
              </w:rPr>
            </w:pPr>
            <w:r>
              <w:rPr>
                <w:color w:val="000000"/>
              </w:rPr>
              <w:t>Net impairment losses on financial and contract assets</w:t>
            </w:r>
          </w:p>
        </w:tc>
        <w:tc>
          <w:tcPr>
            <w:tcW w:w="737" w:type="dxa"/>
            <w:vAlign w:val="bottom"/>
          </w:tcPr>
          <w:p w14:paraId="27941E45"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785A0B7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175C7BE" w14:textId="77777777" w:rsidR="008E5DE4" w:rsidRDefault="008E5DE4">
            <w:pPr>
              <w:widowControl w:val="0"/>
              <w:pBdr>
                <w:top w:val="nil"/>
                <w:left w:val="nil"/>
                <w:bottom w:val="nil"/>
                <w:right w:val="nil"/>
                <w:between w:val="nil"/>
              </w:pBdr>
              <w:jc w:val="right"/>
              <w:rPr>
                <w:color w:val="000000"/>
              </w:rPr>
            </w:pPr>
          </w:p>
        </w:tc>
      </w:tr>
      <w:tr w:rsidR="008E5DE4" w14:paraId="0E6D901D" w14:textId="77777777">
        <w:trPr>
          <w:gridAfter w:val="1"/>
          <w:wAfter w:w="113" w:type="dxa"/>
          <w:cantSplit/>
        </w:trPr>
        <w:tc>
          <w:tcPr>
            <w:tcW w:w="5556" w:type="dxa"/>
            <w:vAlign w:val="bottom"/>
          </w:tcPr>
          <w:p w14:paraId="5A73DEFA" w14:textId="77777777" w:rsidR="008E5DE4" w:rsidRDefault="00780368">
            <w:pPr>
              <w:widowControl w:val="0"/>
              <w:pBdr>
                <w:top w:val="nil"/>
                <w:left w:val="nil"/>
                <w:bottom w:val="nil"/>
                <w:right w:val="nil"/>
                <w:between w:val="nil"/>
              </w:pBdr>
              <w:ind w:left="113" w:right="-57" w:hanging="113"/>
              <w:rPr>
                <w:color w:val="000000"/>
              </w:rPr>
            </w:pPr>
            <w:r>
              <w:rPr>
                <w:color w:val="000000"/>
              </w:rPr>
              <w:t>Write-down of non-current assets held for sale (or disposal groups) to fair value less costs of disposal</w:t>
            </w:r>
          </w:p>
        </w:tc>
        <w:tc>
          <w:tcPr>
            <w:tcW w:w="737" w:type="dxa"/>
            <w:vAlign w:val="bottom"/>
          </w:tcPr>
          <w:p w14:paraId="2A3E0C8A" w14:textId="77777777" w:rsidR="008E5DE4" w:rsidRDefault="00780368">
            <w:pPr>
              <w:widowControl w:val="0"/>
              <w:pBdr>
                <w:top w:val="nil"/>
                <w:left w:val="nil"/>
                <w:bottom w:val="nil"/>
                <w:right w:val="nil"/>
                <w:between w:val="nil"/>
              </w:pBdr>
              <w:jc w:val="center"/>
              <w:rPr>
                <w:color w:val="000000"/>
              </w:rPr>
            </w:pPr>
            <w:r>
              <w:rPr>
                <w:color w:val="000000"/>
              </w:rPr>
              <w:t>36, 25</w:t>
            </w:r>
          </w:p>
        </w:tc>
        <w:tc>
          <w:tcPr>
            <w:tcW w:w="1531" w:type="dxa"/>
            <w:vAlign w:val="bottom"/>
          </w:tcPr>
          <w:p w14:paraId="2973DD4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CFDC4A3" w14:textId="77777777" w:rsidR="008E5DE4" w:rsidRDefault="008E5DE4">
            <w:pPr>
              <w:widowControl w:val="0"/>
              <w:pBdr>
                <w:top w:val="nil"/>
                <w:left w:val="nil"/>
                <w:bottom w:val="nil"/>
                <w:right w:val="nil"/>
                <w:between w:val="nil"/>
              </w:pBdr>
              <w:jc w:val="right"/>
              <w:rPr>
                <w:color w:val="000000"/>
              </w:rPr>
            </w:pPr>
          </w:p>
        </w:tc>
      </w:tr>
      <w:tr w:rsidR="008E5DE4" w14:paraId="48D899AD" w14:textId="77777777">
        <w:trPr>
          <w:gridAfter w:val="1"/>
          <w:wAfter w:w="113" w:type="dxa"/>
          <w:cantSplit/>
        </w:trPr>
        <w:tc>
          <w:tcPr>
            <w:tcW w:w="5556" w:type="dxa"/>
            <w:vAlign w:val="bottom"/>
          </w:tcPr>
          <w:p w14:paraId="1C3E556B" w14:textId="77777777" w:rsidR="008E5DE4" w:rsidRDefault="00780368">
            <w:pPr>
              <w:widowControl w:val="0"/>
              <w:pBdr>
                <w:top w:val="nil"/>
                <w:left w:val="nil"/>
                <w:bottom w:val="nil"/>
                <w:right w:val="nil"/>
                <w:between w:val="nil"/>
              </w:pBdr>
              <w:ind w:left="113" w:right="-57" w:hanging="113"/>
              <w:rPr>
                <w:color w:val="000000"/>
              </w:rPr>
            </w:pPr>
            <w:r>
              <w:rPr>
                <w:color w:val="000000"/>
              </w:rPr>
              <w:t>Losses less gains on disposals of property, plant and equipment</w:t>
            </w:r>
          </w:p>
        </w:tc>
        <w:tc>
          <w:tcPr>
            <w:tcW w:w="737" w:type="dxa"/>
            <w:vAlign w:val="bottom"/>
          </w:tcPr>
          <w:p w14:paraId="1E5FBC25"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59C19BD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384CDD0" w14:textId="77777777" w:rsidR="008E5DE4" w:rsidRDefault="008E5DE4">
            <w:pPr>
              <w:widowControl w:val="0"/>
              <w:pBdr>
                <w:top w:val="nil"/>
                <w:left w:val="nil"/>
                <w:bottom w:val="nil"/>
                <w:right w:val="nil"/>
                <w:between w:val="nil"/>
              </w:pBdr>
              <w:jc w:val="right"/>
              <w:rPr>
                <w:color w:val="000000"/>
              </w:rPr>
            </w:pPr>
          </w:p>
        </w:tc>
      </w:tr>
      <w:tr w:rsidR="008E5DE4" w14:paraId="53A9778B" w14:textId="77777777">
        <w:trPr>
          <w:gridAfter w:val="1"/>
          <w:wAfter w:w="113" w:type="dxa"/>
          <w:cantSplit/>
        </w:trPr>
        <w:tc>
          <w:tcPr>
            <w:tcW w:w="5556" w:type="dxa"/>
            <w:vAlign w:val="bottom"/>
          </w:tcPr>
          <w:p w14:paraId="388C5817" w14:textId="77777777" w:rsidR="008E5DE4" w:rsidRDefault="00780368">
            <w:pPr>
              <w:widowControl w:val="0"/>
              <w:pBdr>
                <w:top w:val="nil"/>
                <w:left w:val="nil"/>
                <w:bottom w:val="nil"/>
                <w:right w:val="nil"/>
                <w:between w:val="nil"/>
              </w:pBdr>
              <w:ind w:left="113" w:right="-57" w:hanging="113"/>
              <w:rPr>
                <w:color w:val="000000"/>
              </w:rPr>
            </w:pPr>
            <w:r>
              <w:rPr>
                <w:color w:val="000000"/>
              </w:rPr>
              <w:t>Losses less gains on investment property</w:t>
            </w:r>
          </w:p>
        </w:tc>
        <w:tc>
          <w:tcPr>
            <w:tcW w:w="737" w:type="dxa"/>
            <w:vAlign w:val="bottom"/>
          </w:tcPr>
          <w:p w14:paraId="7B1C46D0" w14:textId="77777777" w:rsidR="008E5DE4" w:rsidRDefault="00780368">
            <w:pPr>
              <w:widowControl w:val="0"/>
              <w:pBdr>
                <w:top w:val="nil"/>
                <w:left w:val="nil"/>
                <w:bottom w:val="nil"/>
                <w:right w:val="nil"/>
                <w:between w:val="nil"/>
              </w:pBdr>
              <w:jc w:val="center"/>
              <w:rPr>
                <w:color w:val="000000"/>
              </w:rPr>
            </w:pPr>
            <w:r>
              <w:rPr>
                <w:color w:val="000000"/>
              </w:rPr>
              <w:t>10</w:t>
            </w:r>
          </w:p>
        </w:tc>
        <w:tc>
          <w:tcPr>
            <w:tcW w:w="1531" w:type="dxa"/>
            <w:vAlign w:val="bottom"/>
          </w:tcPr>
          <w:p w14:paraId="06D59F5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C4D7C61" w14:textId="77777777" w:rsidR="008E5DE4" w:rsidRDefault="008E5DE4">
            <w:pPr>
              <w:widowControl w:val="0"/>
              <w:pBdr>
                <w:top w:val="nil"/>
                <w:left w:val="nil"/>
                <w:bottom w:val="nil"/>
                <w:right w:val="nil"/>
                <w:between w:val="nil"/>
              </w:pBdr>
              <w:jc w:val="right"/>
              <w:rPr>
                <w:color w:val="000000"/>
              </w:rPr>
            </w:pPr>
          </w:p>
        </w:tc>
      </w:tr>
      <w:tr w:rsidR="008E5DE4" w14:paraId="478602F3" w14:textId="77777777">
        <w:trPr>
          <w:gridAfter w:val="1"/>
          <w:wAfter w:w="113" w:type="dxa"/>
          <w:cantSplit/>
        </w:trPr>
        <w:tc>
          <w:tcPr>
            <w:tcW w:w="5556" w:type="dxa"/>
            <w:vAlign w:val="bottom"/>
          </w:tcPr>
          <w:p w14:paraId="275BF553" w14:textId="77777777" w:rsidR="008E5DE4" w:rsidRDefault="00780368">
            <w:pPr>
              <w:widowControl w:val="0"/>
              <w:pBdr>
                <w:top w:val="nil"/>
                <w:left w:val="nil"/>
                <w:bottom w:val="nil"/>
                <w:right w:val="nil"/>
                <w:between w:val="nil"/>
              </w:pBdr>
              <w:ind w:left="113" w:right="-57" w:hanging="113"/>
              <w:rPr>
                <w:color w:val="000000"/>
              </w:rPr>
            </w:pPr>
            <w:r>
              <w:rPr>
                <w:color w:val="000000"/>
              </w:rPr>
              <w:t>Losses less gains on early redemption of borrowings</w:t>
            </w:r>
          </w:p>
        </w:tc>
        <w:tc>
          <w:tcPr>
            <w:tcW w:w="737" w:type="dxa"/>
            <w:vAlign w:val="bottom"/>
          </w:tcPr>
          <w:p w14:paraId="0DDF453A" w14:textId="77777777" w:rsidR="008E5DE4" w:rsidRDefault="00780368">
            <w:pPr>
              <w:widowControl w:val="0"/>
              <w:pBdr>
                <w:top w:val="nil"/>
                <w:left w:val="nil"/>
                <w:bottom w:val="nil"/>
                <w:right w:val="nil"/>
                <w:between w:val="nil"/>
              </w:pBdr>
              <w:jc w:val="center"/>
              <w:rPr>
                <w:color w:val="000000"/>
              </w:rPr>
            </w:pPr>
            <w:r>
              <w:rPr>
                <w:color w:val="000000"/>
              </w:rPr>
              <w:t>28</w:t>
            </w:r>
          </w:p>
        </w:tc>
        <w:tc>
          <w:tcPr>
            <w:tcW w:w="1531" w:type="dxa"/>
            <w:vAlign w:val="bottom"/>
          </w:tcPr>
          <w:p w14:paraId="496F6DE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2D81AB9" w14:textId="77777777" w:rsidR="008E5DE4" w:rsidRDefault="008E5DE4">
            <w:pPr>
              <w:widowControl w:val="0"/>
              <w:pBdr>
                <w:top w:val="nil"/>
                <w:left w:val="nil"/>
                <w:bottom w:val="nil"/>
                <w:right w:val="nil"/>
                <w:between w:val="nil"/>
              </w:pBdr>
              <w:jc w:val="right"/>
              <w:rPr>
                <w:color w:val="000000"/>
              </w:rPr>
            </w:pPr>
          </w:p>
        </w:tc>
      </w:tr>
      <w:tr w:rsidR="008E5DE4" w14:paraId="7D62899F" w14:textId="77777777">
        <w:trPr>
          <w:gridAfter w:val="1"/>
          <w:wAfter w:w="113" w:type="dxa"/>
          <w:cantSplit/>
        </w:trPr>
        <w:tc>
          <w:tcPr>
            <w:tcW w:w="5556" w:type="dxa"/>
            <w:vAlign w:val="bottom"/>
          </w:tcPr>
          <w:p w14:paraId="7B2BF2A6" w14:textId="77777777" w:rsidR="008E5DE4" w:rsidRDefault="00780368">
            <w:pPr>
              <w:widowControl w:val="0"/>
              <w:pBdr>
                <w:top w:val="nil"/>
                <w:left w:val="nil"/>
                <w:bottom w:val="nil"/>
                <w:right w:val="nil"/>
                <w:between w:val="nil"/>
              </w:pBdr>
              <w:ind w:left="113" w:right="-57" w:hanging="113"/>
              <w:rPr>
                <w:color w:val="000000"/>
              </w:rPr>
            </w:pPr>
            <w:r>
              <w:rPr>
                <w:color w:val="000000"/>
              </w:rPr>
              <w:t>Finance income</w:t>
            </w:r>
          </w:p>
        </w:tc>
        <w:tc>
          <w:tcPr>
            <w:tcW w:w="737" w:type="dxa"/>
            <w:vAlign w:val="bottom"/>
          </w:tcPr>
          <w:p w14:paraId="6008CA5B" w14:textId="77777777" w:rsidR="008E5DE4" w:rsidRDefault="00780368">
            <w:pPr>
              <w:widowControl w:val="0"/>
              <w:pBdr>
                <w:top w:val="nil"/>
                <w:left w:val="nil"/>
                <w:bottom w:val="nil"/>
                <w:right w:val="nil"/>
                <w:between w:val="nil"/>
              </w:pBdr>
              <w:jc w:val="center"/>
              <w:rPr>
                <w:color w:val="000000"/>
              </w:rPr>
            </w:pPr>
            <w:r>
              <w:rPr>
                <w:color w:val="000000"/>
              </w:rPr>
              <w:t>38</w:t>
            </w:r>
          </w:p>
        </w:tc>
        <w:tc>
          <w:tcPr>
            <w:tcW w:w="1531" w:type="dxa"/>
            <w:vAlign w:val="bottom"/>
          </w:tcPr>
          <w:p w14:paraId="4C47EF3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EB19308" w14:textId="77777777" w:rsidR="008E5DE4" w:rsidRDefault="008E5DE4">
            <w:pPr>
              <w:widowControl w:val="0"/>
              <w:pBdr>
                <w:top w:val="nil"/>
                <w:left w:val="nil"/>
                <w:bottom w:val="nil"/>
                <w:right w:val="nil"/>
                <w:between w:val="nil"/>
              </w:pBdr>
              <w:jc w:val="right"/>
              <w:rPr>
                <w:color w:val="000000"/>
              </w:rPr>
            </w:pPr>
          </w:p>
        </w:tc>
      </w:tr>
      <w:tr w:rsidR="008E5DE4" w14:paraId="07E4D916" w14:textId="77777777">
        <w:trPr>
          <w:gridAfter w:val="1"/>
          <w:wAfter w:w="113" w:type="dxa"/>
          <w:cantSplit/>
        </w:trPr>
        <w:tc>
          <w:tcPr>
            <w:tcW w:w="5556" w:type="dxa"/>
            <w:vAlign w:val="bottom"/>
          </w:tcPr>
          <w:p w14:paraId="4846925F" w14:textId="77777777" w:rsidR="008E5DE4" w:rsidRDefault="00780368">
            <w:pPr>
              <w:widowControl w:val="0"/>
              <w:pBdr>
                <w:top w:val="nil"/>
                <w:left w:val="nil"/>
                <w:bottom w:val="nil"/>
                <w:right w:val="nil"/>
                <w:between w:val="nil"/>
              </w:pBdr>
              <w:ind w:left="113" w:right="-57" w:hanging="113"/>
              <w:rPr>
                <w:color w:val="000000"/>
              </w:rPr>
            </w:pPr>
            <w:r>
              <w:rPr>
                <w:color w:val="000000"/>
              </w:rPr>
              <w:t>Finance costs</w:t>
            </w:r>
          </w:p>
        </w:tc>
        <w:tc>
          <w:tcPr>
            <w:tcW w:w="737" w:type="dxa"/>
            <w:vAlign w:val="bottom"/>
          </w:tcPr>
          <w:p w14:paraId="566A18DB" w14:textId="77777777" w:rsidR="008E5DE4" w:rsidRDefault="00780368">
            <w:pPr>
              <w:widowControl w:val="0"/>
              <w:pBdr>
                <w:top w:val="nil"/>
                <w:left w:val="nil"/>
                <w:bottom w:val="nil"/>
                <w:right w:val="nil"/>
                <w:between w:val="nil"/>
              </w:pBdr>
              <w:jc w:val="center"/>
              <w:rPr>
                <w:color w:val="000000"/>
              </w:rPr>
            </w:pPr>
            <w:r>
              <w:rPr>
                <w:color w:val="000000"/>
              </w:rPr>
              <w:t>37</w:t>
            </w:r>
          </w:p>
        </w:tc>
        <w:tc>
          <w:tcPr>
            <w:tcW w:w="1531" w:type="dxa"/>
            <w:vAlign w:val="bottom"/>
          </w:tcPr>
          <w:p w14:paraId="3F487B4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AAF0878" w14:textId="77777777" w:rsidR="008E5DE4" w:rsidRDefault="008E5DE4">
            <w:pPr>
              <w:widowControl w:val="0"/>
              <w:pBdr>
                <w:top w:val="nil"/>
                <w:left w:val="nil"/>
                <w:bottom w:val="nil"/>
                <w:right w:val="nil"/>
                <w:between w:val="nil"/>
              </w:pBdr>
              <w:jc w:val="right"/>
              <w:rPr>
                <w:color w:val="000000"/>
              </w:rPr>
            </w:pPr>
          </w:p>
        </w:tc>
      </w:tr>
      <w:tr w:rsidR="008E5DE4" w14:paraId="4FA21D06" w14:textId="77777777">
        <w:trPr>
          <w:gridAfter w:val="1"/>
          <w:wAfter w:w="113" w:type="dxa"/>
          <w:cantSplit/>
        </w:trPr>
        <w:tc>
          <w:tcPr>
            <w:tcW w:w="5556" w:type="dxa"/>
            <w:vAlign w:val="bottom"/>
          </w:tcPr>
          <w:p w14:paraId="7168CD46" w14:textId="77777777" w:rsidR="008E5DE4" w:rsidRDefault="00780368">
            <w:pPr>
              <w:widowControl w:val="0"/>
              <w:pBdr>
                <w:top w:val="nil"/>
                <w:left w:val="nil"/>
                <w:bottom w:val="nil"/>
                <w:right w:val="nil"/>
                <w:between w:val="nil"/>
              </w:pBdr>
              <w:ind w:left="113" w:right="-57" w:hanging="113"/>
              <w:rPr>
                <w:color w:val="000000"/>
              </w:rPr>
            </w:pPr>
            <w:r>
              <w:rPr>
                <w:color w:val="000000"/>
              </w:rPr>
              <w:t>Dividend income</w:t>
            </w:r>
          </w:p>
        </w:tc>
        <w:tc>
          <w:tcPr>
            <w:tcW w:w="737" w:type="dxa"/>
            <w:vAlign w:val="bottom"/>
          </w:tcPr>
          <w:p w14:paraId="5C97DDAE" w14:textId="77777777" w:rsidR="008E5DE4" w:rsidRDefault="00780368">
            <w:pPr>
              <w:widowControl w:val="0"/>
              <w:pBdr>
                <w:top w:val="nil"/>
                <w:left w:val="nil"/>
                <w:bottom w:val="nil"/>
                <w:right w:val="nil"/>
                <w:between w:val="nil"/>
              </w:pBdr>
              <w:jc w:val="center"/>
              <w:rPr>
                <w:color w:val="000000"/>
              </w:rPr>
            </w:pPr>
            <w:r>
              <w:rPr>
                <w:color w:val="000000"/>
              </w:rPr>
              <w:t>36</w:t>
            </w:r>
          </w:p>
        </w:tc>
        <w:tc>
          <w:tcPr>
            <w:tcW w:w="1531" w:type="dxa"/>
            <w:vAlign w:val="bottom"/>
          </w:tcPr>
          <w:p w14:paraId="492041B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586CE37" w14:textId="77777777" w:rsidR="008E5DE4" w:rsidRDefault="008E5DE4">
            <w:pPr>
              <w:widowControl w:val="0"/>
              <w:pBdr>
                <w:top w:val="nil"/>
                <w:left w:val="nil"/>
                <w:bottom w:val="nil"/>
                <w:right w:val="nil"/>
                <w:between w:val="nil"/>
              </w:pBdr>
              <w:jc w:val="right"/>
              <w:rPr>
                <w:color w:val="000000"/>
              </w:rPr>
            </w:pPr>
          </w:p>
        </w:tc>
      </w:tr>
      <w:tr w:rsidR="008E5DE4" w14:paraId="29F0D6D9" w14:textId="77777777">
        <w:trPr>
          <w:gridAfter w:val="1"/>
          <w:wAfter w:w="113" w:type="dxa"/>
          <w:cantSplit/>
        </w:trPr>
        <w:tc>
          <w:tcPr>
            <w:tcW w:w="5556" w:type="dxa"/>
            <w:vAlign w:val="bottom"/>
          </w:tcPr>
          <w:p w14:paraId="19405190"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translation differences</w:t>
            </w:r>
          </w:p>
        </w:tc>
        <w:tc>
          <w:tcPr>
            <w:tcW w:w="737" w:type="dxa"/>
            <w:vAlign w:val="bottom"/>
          </w:tcPr>
          <w:p w14:paraId="5385C7BF"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E4CBA5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09547CF" w14:textId="77777777" w:rsidR="008E5DE4" w:rsidRDefault="008E5DE4">
            <w:pPr>
              <w:widowControl w:val="0"/>
              <w:pBdr>
                <w:top w:val="nil"/>
                <w:left w:val="nil"/>
                <w:bottom w:val="nil"/>
                <w:right w:val="nil"/>
                <w:between w:val="nil"/>
              </w:pBdr>
              <w:jc w:val="right"/>
              <w:rPr>
                <w:color w:val="000000"/>
              </w:rPr>
            </w:pPr>
          </w:p>
        </w:tc>
      </w:tr>
      <w:tr w:rsidR="008E5DE4" w14:paraId="3055D9D6" w14:textId="77777777">
        <w:trPr>
          <w:gridAfter w:val="1"/>
          <w:wAfter w:w="113" w:type="dxa"/>
          <w:cantSplit/>
        </w:trPr>
        <w:tc>
          <w:tcPr>
            <w:tcW w:w="5556" w:type="dxa"/>
            <w:vAlign w:val="bottom"/>
          </w:tcPr>
          <w:p w14:paraId="176F060C" w14:textId="77777777" w:rsidR="008E5DE4" w:rsidRDefault="00780368">
            <w:pPr>
              <w:widowControl w:val="0"/>
              <w:pBdr>
                <w:top w:val="nil"/>
                <w:left w:val="nil"/>
                <w:bottom w:val="nil"/>
                <w:right w:val="nil"/>
                <w:between w:val="nil"/>
              </w:pBdr>
              <w:ind w:left="85" w:right="-57" w:hanging="85"/>
              <w:rPr>
                <w:color w:val="000000"/>
              </w:rPr>
            </w:pPr>
            <w:r>
              <w:rPr>
                <w:color w:val="000000"/>
              </w:rPr>
              <w:t>Net fair value change of derivatives</w:t>
            </w:r>
          </w:p>
        </w:tc>
        <w:tc>
          <w:tcPr>
            <w:tcW w:w="737" w:type="dxa"/>
            <w:vAlign w:val="bottom"/>
          </w:tcPr>
          <w:p w14:paraId="1947AB37"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D8020F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77C8DB9" w14:textId="77777777" w:rsidR="008E5DE4" w:rsidRDefault="008E5DE4">
            <w:pPr>
              <w:widowControl w:val="0"/>
              <w:pBdr>
                <w:top w:val="nil"/>
                <w:left w:val="nil"/>
                <w:bottom w:val="nil"/>
                <w:right w:val="nil"/>
                <w:between w:val="nil"/>
              </w:pBdr>
              <w:jc w:val="right"/>
              <w:rPr>
                <w:color w:val="000000"/>
              </w:rPr>
            </w:pPr>
          </w:p>
        </w:tc>
      </w:tr>
      <w:tr w:rsidR="008E5DE4" w14:paraId="644AC2F9" w14:textId="77777777">
        <w:trPr>
          <w:gridAfter w:val="1"/>
          <w:wAfter w:w="113" w:type="dxa"/>
          <w:cantSplit/>
        </w:trPr>
        <w:tc>
          <w:tcPr>
            <w:tcW w:w="5556" w:type="dxa"/>
            <w:vAlign w:val="bottom"/>
          </w:tcPr>
          <w:p w14:paraId="6892A23C" w14:textId="77777777" w:rsidR="008E5DE4" w:rsidRDefault="00780368">
            <w:pPr>
              <w:widowControl w:val="0"/>
              <w:pBdr>
                <w:top w:val="nil"/>
                <w:left w:val="nil"/>
                <w:bottom w:val="nil"/>
                <w:right w:val="nil"/>
                <w:between w:val="nil"/>
              </w:pBdr>
              <w:ind w:left="113" w:right="-57" w:hanging="113"/>
              <w:rPr>
                <w:color w:val="000000"/>
              </w:rPr>
            </w:pPr>
            <w:r>
              <w:rPr>
                <w:color w:val="000000"/>
              </w:rPr>
              <w:t>Other non-cash operating costs</w:t>
            </w:r>
          </w:p>
        </w:tc>
        <w:tc>
          <w:tcPr>
            <w:tcW w:w="737" w:type="dxa"/>
            <w:vAlign w:val="bottom"/>
          </w:tcPr>
          <w:p w14:paraId="5C66BA2D"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C013D2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6938465" w14:textId="77777777" w:rsidR="008E5DE4" w:rsidRDefault="008E5DE4">
            <w:pPr>
              <w:widowControl w:val="0"/>
              <w:pBdr>
                <w:top w:val="nil"/>
                <w:left w:val="nil"/>
                <w:bottom w:val="nil"/>
                <w:right w:val="nil"/>
                <w:between w:val="nil"/>
              </w:pBdr>
              <w:jc w:val="right"/>
              <w:rPr>
                <w:color w:val="000000"/>
              </w:rPr>
            </w:pPr>
          </w:p>
        </w:tc>
      </w:tr>
      <w:tr w:rsidR="008E5DE4" w14:paraId="50F19BCB" w14:textId="77777777">
        <w:trPr>
          <w:gridAfter w:val="1"/>
          <w:wAfter w:w="113" w:type="dxa"/>
          <w:cantSplit/>
        </w:trPr>
        <w:tc>
          <w:tcPr>
            <w:tcW w:w="5556" w:type="dxa"/>
            <w:vAlign w:val="bottom"/>
          </w:tcPr>
          <w:p w14:paraId="2326B1B6" w14:textId="77777777" w:rsidR="008E5DE4" w:rsidRDefault="00780368">
            <w:pPr>
              <w:widowControl w:val="0"/>
              <w:pBdr>
                <w:top w:val="nil"/>
                <w:left w:val="nil"/>
                <w:bottom w:val="nil"/>
                <w:right w:val="nil"/>
                <w:between w:val="nil"/>
              </w:pBdr>
              <w:ind w:left="113" w:right="-57" w:hanging="113"/>
              <w:rPr>
                <w:color w:val="000000"/>
              </w:rPr>
            </w:pPr>
            <w:r>
              <w:rPr>
                <w:color w:val="000000"/>
              </w:rPr>
              <w:t>Share of results of associates and joint ventures accounted for using the equity method</w:t>
            </w:r>
          </w:p>
        </w:tc>
        <w:tc>
          <w:tcPr>
            <w:tcW w:w="737" w:type="dxa"/>
            <w:vAlign w:val="bottom"/>
          </w:tcPr>
          <w:p w14:paraId="1E7C5222" w14:textId="77777777" w:rsidR="008E5DE4" w:rsidRDefault="00780368">
            <w:pPr>
              <w:widowControl w:val="0"/>
              <w:pBdr>
                <w:top w:val="nil"/>
                <w:left w:val="nil"/>
                <w:bottom w:val="nil"/>
                <w:right w:val="nil"/>
                <w:between w:val="nil"/>
              </w:pBdr>
              <w:jc w:val="center"/>
              <w:rPr>
                <w:color w:val="000000"/>
              </w:rPr>
            </w:pPr>
            <w:r>
              <w:rPr>
                <w:color w:val="000000"/>
              </w:rPr>
              <w:t>14</w:t>
            </w:r>
          </w:p>
        </w:tc>
        <w:tc>
          <w:tcPr>
            <w:tcW w:w="1531" w:type="dxa"/>
            <w:vAlign w:val="bottom"/>
          </w:tcPr>
          <w:p w14:paraId="2267B2F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F49E560" w14:textId="77777777" w:rsidR="008E5DE4" w:rsidRDefault="008E5DE4">
            <w:pPr>
              <w:widowControl w:val="0"/>
              <w:pBdr>
                <w:top w:val="nil"/>
                <w:left w:val="nil"/>
                <w:bottom w:val="nil"/>
                <w:right w:val="nil"/>
                <w:between w:val="nil"/>
              </w:pBdr>
              <w:jc w:val="right"/>
              <w:rPr>
                <w:color w:val="000000"/>
              </w:rPr>
            </w:pPr>
          </w:p>
        </w:tc>
      </w:tr>
      <w:tr w:rsidR="008E5DE4" w14:paraId="1DC2357F" w14:textId="77777777">
        <w:trPr>
          <w:gridAfter w:val="1"/>
          <w:wAfter w:w="113" w:type="dxa"/>
          <w:cantSplit/>
        </w:trPr>
        <w:tc>
          <w:tcPr>
            <w:tcW w:w="5556" w:type="dxa"/>
            <w:tcBorders>
              <w:bottom w:val="single" w:sz="4" w:space="0" w:color="000000"/>
            </w:tcBorders>
            <w:vAlign w:val="bottom"/>
          </w:tcPr>
          <w:p w14:paraId="5FF2A7C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7B1AEF0E"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5351D8A8"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05F18684" w14:textId="77777777" w:rsidR="008E5DE4" w:rsidRDefault="008E5DE4">
            <w:pPr>
              <w:widowControl w:val="0"/>
              <w:pBdr>
                <w:top w:val="nil"/>
                <w:left w:val="nil"/>
                <w:bottom w:val="nil"/>
                <w:right w:val="nil"/>
                <w:between w:val="nil"/>
              </w:pBdr>
              <w:jc w:val="right"/>
              <w:rPr>
                <w:color w:val="000000"/>
              </w:rPr>
            </w:pPr>
          </w:p>
        </w:tc>
      </w:tr>
      <w:tr w:rsidR="008E5DE4" w14:paraId="1FA00BBA" w14:textId="77777777">
        <w:trPr>
          <w:gridAfter w:val="1"/>
          <w:wAfter w:w="113" w:type="dxa"/>
          <w:cantSplit/>
        </w:trPr>
        <w:tc>
          <w:tcPr>
            <w:tcW w:w="5556" w:type="dxa"/>
            <w:tcBorders>
              <w:top w:val="single" w:sz="4" w:space="0" w:color="000000"/>
            </w:tcBorders>
            <w:vAlign w:val="bottom"/>
          </w:tcPr>
          <w:p w14:paraId="3E8AFDD0"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7537E2A3"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7BFE6B64"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6A6AD5FC" w14:textId="77777777" w:rsidR="008E5DE4" w:rsidRDefault="008E5DE4">
            <w:pPr>
              <w:widowControl w:val="0"/>
              <w:pBdr>
                <w:top w:val="nil"/>
                <w:left w:val="nil"/>
                <w:bottom w:val="nil"/>
                <w:right w:val="nil"/>
                <w:between w:val="nil"/>
              </w:pBdr>
              <w:jc w:val="right"/>
              <w:rPr>
                <w:color w:val="000000"/>
              </w:rPr>
            </w:pPr>
          </w:p>
        </w:tc>
      </w:tr>
      <w:tr w:rsidR="008E5DE4" w14:paraId="04AFB002" w14:textId="77777777">
        <w:trPr>
          <w:gridAfter w:val="1"/>
          <w:wAfter w:w="113" w:type="dxa"/>
          <w:cantSplit/>
        </w:trPr>
        <w:tc>
          <w:tcPr>
            <w:tcW w:w="5556" w:type="dxa"/>
            <w:vAlign w:val="bottom"/>
          </w:tcPr>
          <w:p w14:paraId="59EE969E" w14:textId="77777777" w:rsidR="008E5DE4" w:rsidRDefault="00780368">
            <w:pPr>
              <w:widowControl w:val="0"/>
              <w:pBdr>
                <w:top w:val="nil"/>
                <w:left w:val="nil"/>
                <w:bottom w:val="nil"/>
                <w:right w:val="nil"/>
                <w:between w:val="nil"/>
              </w:pBdr>
              <w:ind w:left="113" w:right="-57" w:hanging="113"/>
              <w:rPr>
                <w:b/>
                <w:color w:val="000000"/>
              </w:rPr>
            </w:pPr>
            <w:r>
              <w:rPr>
                <w:b/>
                <w:color w:val="000000"/>
              </w:rPr>
              <w:t>Operating cash flows before working capital changes</w:t>
            </w:r>
          </w:p>
        </w:tc>
        <w:tc>
          <w:tcPr>
            <w:tcW w:w="737" w:type="dxa"/>
            <w:vAlign w:val="bottom"/>
          </w:tcPr>
          <w:p w14:paraId="31150025"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DB34FA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3029234" w14:textId="77777777" w:rsidR="008E5DE4" w:rsidRDefault="008E5DE4">
            <w:pPr>
              <w:widowControl w:val="0"/>
              <w:pBdr>
                <w:top w:val="nil"/>
                <w:left w:val="nil"/>
                <w:bottom w:val="nil"/>
                <w:right w:val="nil"/>
                <w:between w:val="nil"/>
              </w:pBdr>
              <w:jc w:val="right"/>
              <w:rPr>
                <w:color w:val="000000"/>
              </w:rPr>
            </w:pPr>
          </w:p>
        </w:tc>
      </w:tr>
      <w:tr w:rsidR="008E5DE4" w14:paraId="45367D89" w14:textId="77777777">
        <w:trPr>
          <w:gridAfter w:val="1"/>
          <w:wAfter w:w="113" w:type="dxa"/>
          <w:cantSplit/>
        </w:trPr>
        <w:tc>
          <w:tcPr>
            <w:tcW w:w="5556" w:type="dxa"/>
            <w:vAlign w:val="bottom"/>
          </w:tcPr>
          <w:p w14:paraId="62FFEB68" w14:textId="77777777" w:rsidR="008E5DE4" w:rsidRDefault="00780368">
            <w:pPr>
              <w:widowControl w:val="0"/>
              <w:pBdr>
                <w:top w:val="nil"/>
                <w:left w:val="nil"/>
                <w:bottom w:val="nil"/>
                <w:right w:val="nil"/>
                <w:between w:val="nil"/>
              </w:pBdr>
              <w:ind w:left="113" w:right="-57" w:hanging="113"/>
              <w:rPr>
                <w:color w:val="000000"/>
              </w:rPr>
            </w:pPr>
            <w:r>
              <w:rPr>
                <w:color w:val="000000"/>
              </w:rPr>
              <w:t>Decrease/(increase) in trade and other receivables</w:t>
            </w:r>
          </w:p>
        </w:tc>
        <w:tc>
          <w:tcPr>
            <w:tcW w:w="737" w:type="dxa"/>
            <w:vAlign w:val="bottom"/>
          </w:tcPr>
          <w:p w14:paraId="0EF6D4D8"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2E5010B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09D7FA3" w14:textId="77777777" w:rsidR="008E5DE4" w:rsidRDefault="008E5DE4">
            <w:pPr>
              <w:widowControl w:val="0"/>
              <w:pBdr>
                <w:top w:val="nil"/>
                <w:left w:val="nil"/>
                <w:bottom w:val="nil"/>
                <w:right w:val="nil"/>
                <w:between w:val="nil"/>
              </w:pBdr>
              <w:jc w:val="right"/>
              <w:rPr>
                <w:color w:val="000000"/>
              </w:rPr>
            </w:pPr>
          </w:p>
        </w:tc>
      </w:tr>
      <w:tr w:rsidR="008E5DE4" w14:paraId="11FE5FA5" w14:textId="77777777">
        <w:trPr>
          <w:gridAfter w:val="1"/>
          <w:wAfter w:w="113" w:type="dxa"/>
          <w:cantSplit/>
        </w:trPr>
        <w:tc>
          <w:tcPr>
            <w:tcW w:w="5556" w:type="dxa"/>
            <w:vAlign w:val="bottom"/>
          </w:tcPr>
          <w:p w14:paraId="567ACB22" w14:textId="77777777" w:rsidR="008E5DE4" w:rsidRDefault="00780368">
            <w:pPr>
              <w:widowControl w:val="0"/>
              <w:pBdr>
                <w:top w:val="nil"/>
                <w:left w:val="nil"/>
                <w:bottom w:val="nil"/>
                <w:right w:val="nil"/>
                <w:between w:val="nil"/>
              </w:pBdr>
              <w:ind w:left="113" w:right="-57" w:hanging="113"/>
              <w:rPr>
                <w:color w:val="000000"/>
              </w:rPr>
            </w:pPr>
            <w:r>
              <w:rPr>
                <w:color w:val="000000"/>
              </w:rPr>
              <w:t>Decrease/(increase) in inventories</w:t>
            </w:r>
          </w:p>
        </w:tc>
        <w:tc>
          <w:tcPr>
            <w:tcW w:w="737" w:type="dxa"/>
            <w:vAlign w:val="bottom"/>
          </w:tcPr>
          <w:p w14:paraId="3FCFB370"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E23B29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A874211" w14:textId="77777777" w:rsidR="008E5DE4" w:rsidRDefault="008E5DE4">
            <w:pPr>
              <w:widowControl w:val="0"/>
              <w:pBdr>
                <w:top w:val="nil"/>
                <w:left w:val="nil"/>
                <w:bottom w:val="nil"/>
                <w:right w:val="nil"/>
                <w:between w:val="nil"/>
              </w:pBdr>
              <w:jc w:val="right"/>
              <w:rPr>
                <w:color w:val="000000"/>
              </w:rPr>
            </w:pPr>
          </w:p>
        </w:tc>
      </w:tr>
      <w:tr w:rsidR="008E5DE4" w14:paraId="31167A2D" w14:textId="77777777">
        <w:trPr>
          <w:gridAfter w:val="1"/>
          <w:wAfter w:w="113" w:type="dxa"/>
          <w:cantSplit/>
        </w:trPr>
        <w:tc>
          <w:tcPr>
            <w:tcW w:w="5556" w:type="dxa"/>
            <w:vAlign w:val="bottom"/>
          </w:tcPr>
          <w:p w14:paraId="66A7EBC5" w14:textId="77777777" w:rsidR="008E5DE4" w:rsidRDefault="00780368">
            <w:pPr>
              <w:widowControl w:val="0"/>
              <w:pBdr>
                <w:top w:val="nil"/>
                <w:left w:val="nil"/>
                <w:bottom w:val="nil"/>
                <w:right w:val="nil"/>
                <w:between w:val="nil"/>
              </w:pBdr>
              <w:ind w:left="113" w:right="-57" w:hanging="113"/>
              <w:rPr>
                <w:color w:val="000000"/>
              </w:rPr>
            </w:pPr>
            <w:r>
              <w:rPr>
                <w:color w:val="000000"/>
              </w:rPr>
              <w:t>Increase/(decrease) in trade and other payables</w:t>
            </w:r>
          </w:p>
        </w:tc>
        <w:tc>
          <w:tcPr>
            <w:tcW w:w="737" w:type="dxa"/>
            <w:vAlign w:val="bottom"/>
          </w:tcPr>
          <w:p w14:paraId="530CD28F"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2DF6AAA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AFE191E" w14:textId="77777777" w:rsidR="008E5DE4" w:rsidRDefault="008E5DE4">
            <w:pPr>
              <w:widowControl w:val="0"/>
              <w:pBdr>
                <w:top w:val="nil"/>
                <w:left w:val="nil"/>
                <w:bottom w:val="nil"/>
                <w:right w:val="nil"/>
                <w:between w:val="nil"/>
              </w:pBdr>
              <w:jc w:val="right"/>
              <w:rPr>
                <w:color w:val="000000"/>
              </w:rPr>
            </w:pPr>
          </w:p>
        </w:tc>
      </w:tr>
      <w:tr w:rsidR="008E5DE4" w14:paraId="541CA9D1" w14:textId="77777777">
        <w:trPr>
          <w:gridAfter w:val="1"/>
          <w:wAfter w:w="113" w:type="dxa"/>
          <w:cantSplit/>
        </w:trPr>
        <w:tc>
          <w:tcPr>
            <w:tcW w:w="5556" w:type="dxa"/>
            <w:vAlign w:val="bottom"/>
          </w:tcPr>
          <w:p w14:paraId="4659E7F0" w14:textId="77777777" w:rsidR="008E5DE4" w:rsidRDefault="00780368">
            <w:pPr>
              <w:widowControl w:val="0"/>
              <w:pBdr>
                <w:top w:val="nil"/>
                <w:left w:val="nil"/>
                <w:bottom w:val="nil"/>
                <w:right w:val="nil"/>
                <w:between w:val="nil"/>
              </w:pBdr>
              <w:ind w:left="113" w:right="-57" w:hanging="113"/>
              <w:rPr>
                <w:color w:val="000000"/>
              </w:rPr>
            </w:pPr>
            <w:r>
              <w:rPr>
                <w:color w:val="000000"/>
              </w:rPr>
              <w:t>Increase/(decrease) in taxes payable</w:t>
            </w:r>
          </w:p>
        </w:tc>
        <w:tc>
          <w:tcPr>
            <w:tcW w:w="737" w:type="dxa"/>
            <w:vAlign w:val="bottom"/>
          </w:tcPr>
          <w:p w14:paraId="0223C8FE"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31E273D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782E875" w14:textId="77777777" w:rsidR="008E5DE4" w:rsidRDefault="008E5DE4">
            <w:pPr>
              <w:widowControl w:val="0"/>
              <w:pBdr>
                <w:top w:val="nil"/>
                <w:left w:val="nil"/>
                <w:bottom w:val="nil"/>
                <w:right w:val="nil"/>
                <w:between w:val="nil"/>
              </w:pBdr>
              <w:jc w:val="right"/>
              <w:rPr>
                <w:color w:val="000000"/>
              </w:rPr>
            </w:pPr>
          </w:p>
        </w:tc>
      </w:tr>
      <w:tr w:rsidR="008E5DE4" w14:paraId="6E027420" w14:textId="77777777">
        <w:trPr>
          <w:gridAfter w:val="1"/>
          <w:wAfter w:w="113" w:type="dxa"/>
          <w:cantSplit/>
        </w:trPr>
        <w:tc>
          <w:tcPr>
            <w:tcW w:w="5556" w:type="dxa"/>
            <w:tcBorders>
              <w:bottom w:val="single" w:sz="4" w:space="0" w:color="000000"/>
            </w:tcBorders>
            <w:vAlign w:val="bottom"/>
          </w:tcPr>
          <w:p w14:paraId="6AABA48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55D45EBB"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4F431DE6"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CDEE4F5" w14:textId="77777777" w:rsidR="008E5DE4" w:rsidRDefault="008E5DE4">
            <w:pPr>
              <w:widowControl w:val="0"/>
              <w:pBdr>
                <w:top w:val="nil"/>
                <w:left w:val="nil"/>
                <w:bottom w:val="nil"/>
                <w:right w:val="nil"/>
                <w:between w:val="nil"/>
              </w:pBdr>
              <w:jc w:val="right"/>
              <w:rPr>
                <w:color w:val="000000"/>
              </w:rPr>
            </w:pPr>
          </w:p>
        </w:tc>
      </w:tr>
      <w:tr w:rsidR="008E5DE4" w14:paraId="00CE4C30" w14:textId="77777777">
        <w:trPr>
          <w:gridAfter w:val="1"/>
          <w:wAfter w:w="113" w:type="dxa"/>
          <w:cantSplit/>
        </w:trPr>
        <w:tc>
          <w:tcPr>
            <w:tcW w:w="5556" w:type="dxa"/>
            <w:tcBorders>
              <w:top w:val="single" w:sz="6" w:space="0" w:color="000000"/>
            </w:tcBorders>
            <w:vAlign w:val="bottom"/>
          </w:tcPr>
          <w:p w14:paraId="6F2DE9C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top w:val="single" w:sz="6" w:space="0" w:color="000000"/>
            </w:tcBorders>
            <w:vAlign w:val="bottom"/>
          </w:tcPr>
          <w:p w14:paraId="4F6D9450"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6" w:space="0" w:color="000000"/>
            </w:tcBorders>
            <w:vAlign w:val="bottom"/>
          </w:tcPr>
          <w:p w14:paraId="39DF9D00"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6" w:space="0" w:color="000000"/>
            </w:tcBorders>
            <w:vAlign w:val="bottom"/>
          </w:tcPr>
          <w:p w14:paraId="5296DDF8" w14:textId="77777777" w:rsidR="008E5DE4" w:rsidRDefault="008E5DE4">
            <w:pPr>
              <w:widowControl w:val="0"/>
              <w:pBdr>
                <w:top w:val="nil"/>
                <w:left w:val="nil"/>
                <w:bottom w:val="nil"/>
                <w:right w:val="nil"/>
                <w:between w:val="nil"/>
              </w:pBdr>
              <w:jc w:val="right"/>
              <w:rPr>
                <w:color w:val="000000"/>
              </w:rPr>
            </w:pPr>
          </w:p>
        </w:tc>
      </w:tr>
      <w:tr w:rsidR="008E5DE4" w14:paraId="5AA05ACB" w14:textId="77777777">
        <w:trPr>
          <w:gridAfter w:val="1"/>
          <w:wAfter w:w="113" w:type="dxa"/>
          <w:cantSplit/>
        </w:trPr>
        <w:tc>
          <w:tcPr>
            <w:tcW w:w="5556" w:type="dxa"/>
            <w:vAlign w:val="bottom"/>
          </w:tcPr>
          <w:p w14:paraId="054D7FCB" w14:textId="77777777" w:rsidR="008E5DE4" w:rsidRDefault="00780368">
            <w:pPr>
              <w:widowControl w:val="0"/>
              <w:pBdr>
                <w:top w:val="nil"/>
                <w:left w:val="nil"/>
                <w:bottom w:val="nil"/>
                <w:right w:val="nil"/>
                <w:between w:val="nil"/>
              </w:pBdr>
              <w:ind w:left="113" w:right="-57" w:hanging="113"/>
              <w:rPr>
                <w:b/>
                <w:color w:val="000000"/>
              </w:rPr>
            </w:pPr>
            <w:r>
              <w:rPr>
                <w:b/>
                <w:color w:val="000000"/>
              </w:rPr>
              <w:t>Changes in working capital</w:t>
            </w:r>
          </w:p>
        </w:tc>
        <w:tc>
          <w:tcPr>
            <w:tcW w:w="737" w:type="dxa"/>
            <w:vAlign w:val="bottom"/>
          </w:tcPr>
          <w:p w14:paraId="092C44A0"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2515DB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685EB4B" w14:textId="77777777" w:rsidR="008E5DE4" w:rsidRDefault="008E5DE4">
            <w:pPr>
              <w:widowControl w:val="0"/>
              <w:pBdr>
                <w:top w:val="nil"/>
                <w:left w:val="nil"/>
                <w:bottom w:val="nil"/>
                <w:right w:val="nil"/>
                <w:between w:val="nil"/>
              </w:pBdr>
              <w:jc w:val="right"/>
              <w:rPr>
                <w:color w:val="000000"/>
              </w:rPr>
            </w:pPr>
          </w:p>
        </w:tc>
      </w:tr>
      <w:tr w:rsidR="008E5DE4" w14:paraId="71B95E09" w14:textId="77777777">
        <w:trPr>
          <w:gridAfter w:val="1"/>
          <w:wAfter w:w="113" w:type="dxa"/>
          <w:cantSplit/>
        </w:trPr>
        <w:tc>
          <w:tcPr>
            <w:tcW w:w="5556" w:type="dxa"/>
            <w:vAlign w:val="bottom"/>
          </w:tcPr>
          <w:p w14:paraId="54C809C3" w14:textId="77777777" w:rsidR="008E5DE4" w:rsidRDefault="00780368">
            <w:pPr>
              <w:widowControl w:val="0"/>
              <w:pBdr>
                <w:top w:val="nil"/>
                <w:left w:val="nil"/>
                <w:bottom w:val="nil"/>
                <w:right w:val="nil"/>
                <w:between w:val="nil"/>
              </w:pBdr>
              <w:ind w:left="113" w:right="-57" w:hanging="113"/>
              <w:rPr>
                <w:color w:val="000000"/>
              </w:rPr>
            </w:pPr>
            <w:r>
              <w:rPr>
                <w:color w:val="000000"/>
              </w:rPr>
              <w:t>Income taxes paid</w:t>
            </w:r>
          </w:p>
        </w:tc>
        <w:tc>
          <w:tcPr>
            <w:tcW w:w="737" w:type="dxa"/>
            <w:vAlign w:val="bottom"/>
          </w:tcPr>
          <w:p w14:paraId="192B73C8"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33056F6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28EF77D" w14:textId="77777777" w:rsidR="008E5DE4" w:rsidRDefault="008E5DE4">
            <w:pPr>
              <w:widowControl w:val="0"/>
              <w:pBdr>
                <w:top w:val="nil"/>
                <w:left w:val="nil"/>
                <w:bottom w:val="nil"/>
                <w:right w:val="nil"/>
                <w:between w:val="nil"/>
              </w:pBdr>
              <w:jc w:val="right"/>
              <w:rPr>
                <w:color w:val="000000"/>
              </w:rPr>
            </w:pPr>
          </w:p>
        </w:tc>
      </w:tr>
      <w:tr w:rsidR="008E5DE4" w14:paraId="0A0DE881" w14:textId="77777777">
        <w:trPr>
          <w:gridAfter w:val="1"/>
          <w:wAfter w:w="113" w:type="dxa"/>
          <w:cantSplit/>
        </w:trPr>
        <w:tc>
          <w:tcPr>
            <w:tcW w:w="5556" w:type="dxa"/>
            <w:vAlign w:val="bottom"/>
          </w:tcPr>
          <w:p w14:paraId="6F596133" w14:textId="77777777" w:rsidR="008E5DE4" w:rsidRDefault="00780368">
            <w:pPr>
              <w:widowControl w:val="0"/>
              <w:pBdr>
                <w:top w:val="nil"/>
                <w:left w:val="nil"/>
                <w:bottom w:val="nil"/>
                <w:right w:val="nil"/>
                <w:between w:val="nil"/>
              </w:pBdr>
              <w:ind w:left="113" w:right="-57" w:hanging="113"/>
              <w:rPr>
                <w:color w:val="000000"/>
              </w:rPr>
            </w:pPr>
            <w:r>
              <w:rPr>
                <w:color w:val="000000"/>
              </w:rPr>
              <w:t>Interest income received</w:t>
            </w:r>
          </w:p>
        </w:tc>
        <w:tc>
          <w:tcPr>
            <w:tcW w:w="737" w:type="dxa"/>
            <w:vAlign w:val="bottom"/>
          </w:tcPr>
          <w:p w14:paraId="52F2CAF3"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760BBF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518F8CE" w14:textId="77777777" w:rsidR="008E5DE4" w:rsidRDefault="008E5DE4">
            <w:pPr>
              <w:widowControl w:val="0"/>
              <w:pBdr>
                <w:top w:val="nil"/>
                <w:left w:val="nil"/>
                <w:bottom w:val="nil"/>
                <w:right w:val="nil"/>
                <w:between w:val="nil"/>
              </w:pBdr>
              <w:jc w:val="right"/>
              <w:rPr>
                <w:color w:val="000000"/>
              </w:rPr>
            </w:pPr>
          </w:p>
        </w:tc>
      </w:tr>
      <w:tr w:rsidR="008E5DE4" w14:paraId="03080D29" w14:textId="77777777">
        <w:trPr>
          <w:gridAfter w:val="1"/>
          <w:wAfter w:w="113" w:type="dxa"/>
          <w:cantSplit/>
        </w:trPr>
        <w:tc>
          <w:tcPr>
            <w:tcW w:w="5556" w:type="dxa"/>
            <w:vAlign w:val="bottom"/>
          </w:tcPr>
          <w:p w14:paraId="529D6565" w14:textId="77777777" w:rsidR="008E5DE4" w:rsidRDefault="00780368">
            <w:pPr>
              <w:widowControl w:val="0"/>
              <w:pBdr>
                <w:top w:val="nil"/>
                <w:left w:val="nil"/>
                <w:bottom w:val="nil"/>
                <w:right w:val="nil"/>
                <w:between w:val="nil"/>
              </w:pBdr>
              <w:ind w:left="113" w:right="-57" w:hanging="113"/>
              <w:rPr>
                <w:color w:val="000000"/>
              </w:rPr>
            </w:pPr>
            <w:r>
              <w:rPr>
                <w:color w:val="000000"/>
              </w:rPr>
              <w:t>Interest paid</w:t>
            </w:r>
          </w:p>
        </w:tc>
        <w:tc>
          <w:tcPr>
            <w:tcW w:w="737" w:type="dxa"/>
            <w:vAlign w:val="bottom"/>
          </w:tcPr>
          <w:p w14:paraId="7B47A6EF"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6DC177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47CCE6D" w14:textId="77777777" w:rsidR="008E5DE4" w:rsidRDefault="008E5DE4">
            <w:pPr>
              <w:widowControl w:val="0"/>
              <w:pBdr>
                <w:top w:val="nil"/>
                <w:left w:val="nil"/>
                <w:bottom w:val="nil"/>
                <w:right w:val="nil"/>
                <w:between w:val="nil"/>
              </w:pBdr>
              <w:jc w:val="right"/>
              <w:rPr>
                <w:color w:val="000000"/>
              </w:rPr>
            </w:pPr>
          </w:p>
        </w:tc>
      </w:tr>
      <w:tr w:rsidR="008E5DE4" w14:paraId="117D257E" w14:textId="77777777">
        <w:trPr>
          <w:gridAfter w:val="1"/>
          <w:wAfter w:w="113" w:type="dxa"/>
          <w:cantSplit/>
        </w:trPr>
        <w:tc>
          <w:tcPr>
            <w:tcW w:w="5556" w:type="dxa"/>
            <w:vAlign w:val="bottom"/>
          </w:tcPr>
          <w:p w14:paraId="66ED7E09"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vAlign w:val="bottom"/>
          </w:tcPr>
          <w:p w14:paraId="40091C8D"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6" w:space="0" w:color="000000"/>
            </w:tcBorders>
            <w:vAlign w:val="bottom"/>
          </w:tcPr>
          <w:p w14:paraId="389932A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6" w:space="0" w:color="000000"/>
            </w:tcBorders>
            <w:vAlign w:val="bottom"/>
          </w:tcPr>
          <w:p w14:paraId="6839EE70" w14:textId="77777777" w:rsidR="008E5DE4" w:rsidRDefault="008E5DE4">
            <w:pPr>
              <w:widowControl w:val="0"/>
              <w:pBdr>
                <w:top w:val="nil"/>
                <w:left w:val="nil"/>
                <w:bottom w:val="nil"/>
                <w:right w:val="nil"/>
                <w:between w:val="nil"/>
              </w:pBdr>
              <w:jc w:val="right"/>
              <w:rPr>
                <w:color w:val="000000"/>
              </w:rPr>
            </w:pPr>
          </w:p>
        </w:tc>
      </w:tr>
      <w:tr w:rsidR="008E5DE4" w14:paraId="4C0C04CD" w14:textId="77777777">
        <w:trPr>
          <w:gridAfter w:val="1"/>
          <w:wAfter w:w="113" w:type="dxa"/>
          <w:cantSplit/>
        </w:trPr>
        <w:tc>
          <w:tcPr>
            <w:tcW w:w="5556" w:type="dxa"/>
            <w:tcBorders>
              <w:top w:val="single" w:sz="4" w:space="0" w:color="000000"/>
            </w:tcBorders>
            <w:vAlign w:val="bottom"/>
          </w:tcPr>
          <w:p w14:paraId="09140E58"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617708F4"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2E9F6151"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336530C0" w14:textId="77777777" w:rsidR="008E5DE4" w:rsidRDefault="008E5DE4">
            <w:pPr>
              <w:widowControl w:val="0"/>
              <w:pBdr>
                <w:top w:val="nil"/>
                <w:left w:val="nil"/>
                <w:bottom w:val="nil"/>
                <w:right w:val="nil"/>
                <w:between w:val="nil"/>
              </w:pBdr>
              <w:jc w:val="right"/>
              <w:rPr>
                <w:color w:val="000000"/>
              </w:rPr>
            </w:pPr>
          </w:p>
        </w:tc>
      </w:tr>
      <w:tr w:rsidR="008E5DE4" w14:paraId="5615A545" w14:textId="77777777">
        <w:trPr>
          <w:gridAfter w:val="1"/>
          <w:wAfter w:w="113" w:type="dxa"/>
          <w:cantSplit/>
        </w:trPr>
        <w:tc>
          <w:tcPr>
            <w:tcW w:w="5556" w:type="dxa"/>
            <w:vAlign w:val="bottom"/>
          </w:tcPr>
          <w:p w14:paraId="0420F827"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Net cash from </w:t>
            </w:r>
            <w:r>
              <w:rPr>
                <w:b/>
                <w:color w:val="0000FF"/>
              </w:rPr>
              <w:t>[used in]</w:t>
            </w:r>
            <w:r>
              <w:rPr>
                <w:b/>
                <w:color w:val="000000"/>
              </w:rPr>
              <w:t xml:space="preserve"> operating activities</w:t>
            </w:r>
          </w:p>
        </w:tc>
        <w:tc>
          <w:tcPr>
            <w:tcW w:w="737" w:type="dxa"/>
            <w:vAlign w:val="bottom"/>
          </w:tcPr>
          <w:p w14:paraId="7FDCB52C"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11F645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C59A4D7" w14:textId="77777777" w:rsidR="008E5DE4" w:rsidRDefault="008E5DE4">
            <w:pPr>
              <w:widowControl w:val="0"/>
              <w:pBdr>
                <w:top w:val="nil"/>
                <w:left w:val="nil"/>
                <w:bottom w:val="nil"/>
                <w:right w:val="nil"/>
                <w:between w:val="nil"/>
              </w:pBdr>
              <w:jc w:val="right"/>
              <w:rPr>
                <w:color w:val="000000"/>
              </w:rPr>
            </w:pPr>
          </w:p>
        </w:tc>
      </w:tr>
      <w:tr w:rsidR="008E5DE4" w14:paraId="2627F40A" w14:textId="77777777">
        <w:trPr>
          <w:gridAfter w:val="1"/>
          <w:wAfter w:w="113" w:type="dxa"/>
          <w:cantSplit/>
        </w:trPr>
        <w:tc>
          <w:tcPr>
            <w:tcW w:w="5556" w:type="dxa"/>
            <w:vAlign w:val="bottom"/>
          </w:tcPr>
          <w:p w14:paraId="177227C1"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vAlign w:val="bottom"/>
          </w:tcPr>
          <w:p w14:paraId="116BC8DE"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6" w:space="0" w:color="000000"/>
            </w:tcBorders>
            <w:vAlign w:val="bottom"/>
          </w:tcPr>
          <w:p w14:paraId="6F05B780"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6" w:space="0" w:color="000000"/>
            </w:tcBorders>
            <w:vAlign w:val="bottom"/>
          </w:tcPr>
          <w:p w14:paraId="495D94F2" w14:textId="77777777" w:rsidR="008E5DE4" w:rsidRDefault="008E5DE4">
            <w:pPr>
              <w:widowControl w:val="0"/>
              <w:pBdr>
                <w:top w:val="nil"/>
                <w:left w:val="nil"/>
                <w:bottom w:val="nil"/>
                <w:right w:val="nil"/>
                <w:between w:val="nil"/>
              </w:pBdr>
              <w:jc w:val="right"/>
              <w:rPr>
                <w:color w:val="000000"/>
              </w:rPr>
            </w:pPr>
          </w:p>
        </w:tc>
      </w:tr>
      <w:tr w:rsidR="008E5DE4" w14:paraId="6DB775DA" w14:textId="77777777">
        <w:trPr>
          <w:gridAfter w:val="1"/>
          <w:wAfter w:w="113" w:type="dxa"/>
          <w:cantSplit/>
        </w:trPr>
        <w:tc>
          <w:tcPr>
            <w:tcW w:w="5556" w:type="dxa"/>
            <w:tcBorders>
              <w:top w:val="single" w:sz="6" w:space="0" w:color="000000"/>
            </w:tcBorders>
            <w:vAlign w:val="bottom"/>
          </w:tcPr>
          <w:p w14:paraId="65C9DB3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top w:val="single" w:sz="6" w:space="0" w:color="000000"/>
            </w:tcBorders>
            <w:vAlign w:val="bottom"/>
          </w:tcPr>
          <w:p w14:paraId="0BEC37BC" w14:textId="77777777" w:rsidR="008E5DE4" w:rsidRDefault="008E5DE4">
            <w:pPr>
              <w:widowControl w:val="0"/>
              <w:pBdr>
                <w:top w:val="nil"/>
                <w:left w:val="nil"/>
                <w:bottom w:val="nil"/>
                <w:right w:val="nil"/>
                <w:between w:val="nil"/>
              </w:pBdr>
              <w:rPr>
                <w:color w:val="000000"/>
              </w:rPr>
            </w:pPr>
          </w:p>
        </w:tc>
        <w:tc>
          <w:tcPr>
            <w:tcW w:w="1531" w:type="dxa"/>
            <w:vAlign w:val="bottom"/>
          </w:tcPr>
          <w:p w14:paraId="0022DDD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4A58A4C" w14:textId="77777777" w:rsidR="008E5DE4" w:rsidRDefault="008E5DE4">
            <w:pPr>
              <w:widowControl w:val="0"/>
              <w:pBdr>
                <w:top w:val="nil"/>
                <w:left w:val="nil"/>
                <w:bottom w:val="nil"/>
                <w:right w:val="nil"/>
                <w:between w:val="nil"/>
              </w:pBdr>
              <w:jc w:val="right"/>
              <w:rPr>
                <w:color w:val="000000"/>
              </w:rPr>
            </w:pPr>
          </w:p>
        </w:tc>
      </w:tr>
      <w:tr w:rsidR="008E5DE4" w14:paraId="38BFC28C" w14:textId="77777777">
        <w:trPr>
          <w:gridAfter w:val="1"/>
          <w:wAfter w:w="113" w:type="dxa"/>
          <w:cantSplit/>
        </w:trPr>
        <w:tc>
          <w:tcPr>
            <w:tcW w:w="5556" w:type="dxa"/>
            <w:vAlign w:val="bottom"/>
          </w:tcPr>
          <w:p w14:paraId="3231182B" w14:textId="77777777" w:rsidR="008E5DE4" w:rsidRDefault="00780368">
            <w:pPr>
              <w:widowControl w:val="0"/>
              <w:pBdr>
                <w:top w:val="nil"/>
                <w:left w:val="nil"/>
                <w:bottom w:val="nil"/>
                <w:right w:val="nil"/>
                <w:between w:val="nil"/>
              </w:pBdr>
              <w:ind w:left="113" w:right="-57" w:hanging="113"/>
              <w:rPr>
                <w:b/>
                <w:color w:val="000000"/>
              </w:rPr>
            </w:pPr>
            <w:r>
              <w:rPr>
                <w:b/>
                <w:color w:val="000000"/>
              </w:rPr>
              <w:t>Cash flows from investing activities</w:t>
            </w:r>
          </w:p>
        </w:tc>
        <w:tc>
          <w:tcPr>
            <w:tcW w:w="737" w:type="dxa"/>
            <w:vAlign w:val="bottom"/>
          </w:tcPr>
          <w:p w14:paraId="2078F9B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C10E85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FAE9CBD" w14:textId="77777777" w:rsidR="008E5DE4" w:rsidRDefault="008E5DE4">
            <w:pPr>
              <w:widowControl w:val="0"/>
              <w:pBdr>
                <w:top w:val="nil"/>
                <w:left w:val="nil"/>
                <w:bottom w:val="nil"/>
                <w:right w:val="nil"/>
                <w:between w:val="nil"/>
              </w:pBdr>
              <w:jc w:val="right"/>
              <w:rPr>
                <w:color w:val="000000"/>
              </w:rPr>
            </w:pPr>
          </w:p>
        </w:tc>
      </w:tr>
      <w:tr w:rsidR="008E5DE4" w14:paraId="13EAD012" w14:textId="77777777">
        <w:trPr>
          <w:gridAfter w:val="1"/>
          <w:wAfter w:w="113" w:type="dxa"/>
          <w:cantSplit/>
        </w:trPr>
        <w:tc>
          <w:tcPr>
            <w:tcW w:w="5556" w:type="dxa"/>
            <w:vAlign w:val="bottom"/>
          </w:tcPr>
          <w:p w14:paraId="2F973E11" w14:textId="77777777" w:rsidR="008E5DE4" w:rsidRDefault="00780368">
            <w:pPr>
              <w:widowControl w:val="0"/>
              <w:pBdr>
                <w:top w:val="nil"/>
                <w:left w:val="nil"/>
                <w:bottom w:val="nil"/>
                <w:right w:val="nil"/>
                <w:between w:val="nil"/>
              </w:pBdr>
              <w:ind w:left="113" w:right="-57" w:hanging="113"/>
              <w:rPr>
                <w:color w:val="000000"/>
              </w:rPr>
            </w:pPr>
            <w:r>
              <w:rPr>
                <w:color w:val="000000"/>
              </w:rPr>
              <w:t>Purchases of property, plant and equipment</w:t>
            </w:r>
          </w:p>
        </w:tc>
        <w:tc>
          <w:tcPr>
            <w:tcW w:w="737" w:type="dxa"/>
            <w:vAlign w:val="bottom"/>
          </w:tcPr>
          <w:p w14:paraId="5834D76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E38AAB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EF91015" w14:textId="77777777" w:rsidR="008E5DE4" w:rsidRDefault="008E5DE4">
            <w:pPr>
              <w:widowControl w:val="0"/>
              <w:pBdr>
                <w:top w:val="nil"/>
                <w:left w:val="nil"/>
                <w:bottom w:val="nil"/>
                <w:right w:val="nil"/>
                <w:between w:val="nil"/>
              </w:pBdr>
              <w:jc w:val="right"/>
              <w:rPr>
                <w:color w:val="000000"/>
              </w:rPr>
            </w:pPr>
          </w:p>
        </w:tc>
      </w:tr>
      <w:tr w:rsidR="008E5DE4" w14:paraId="7CDC3E59" w14:textId="77777777">
        <w:trPr>
          <w:gridAfter w:val="1"/>
          <w:wAfter w:w="113" w:type="dxa"/>
          <w:cantSplit/>
        </w:trPr>
        <w:tc>
          <w:tcPr>
            <w:tcW w:w="5556" w:type="dxa"/>
            <w:vAlign w:val="bottom"/>
          </w:tcPr>
          <w:p w14:paraId="323CFF3B" w14:textId="77777777" w:rsidR="008E5DE4" w:rsidRDefault="00780368">
            <w:pPr>
              <w:widowControl w:val="0"/>
              <w:pBdr>
                <w:top w:val="nil"/>
                <w:left w:val="nil"/>
                <w:bottom w:val="nil"/>
                <w:right w:val="nil"/>
                <w:between w:val="nil"/>
              </w:pBdr>
              <w:ind w:left="113" w:right="-57" w:hanging="113"/>
              <w:rPr>
                <w:color w:val="000000"/>
              </w:rPr>
            </w:pPr>
            <w:r>
              <w:rPr>
                <w:color w:val="000000"/>
              </w:rPr>
              <w:t>Proceeds from the sale of property, plant and equipment</w:t>
            </w:r>
          </w:p>
        </w:tc>
        <w:tc>
          <w:tcPr>
            <w:tcW w:w="737" w:type="dxa"/>
            <w:vAlign w:val="bottom"/>
          </w:tcPr>
          <w:p w14:paraId="69185937"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6238A9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C87B29D" w14:textId="77777777" w:rsidR="008E5DE4" w:rsidRDefault="008E5DE4">
            <w:pPr>
              <w:widowControl w:val="0"/>
              <w:pBdr>
                <w:top w:val="nil"/>
                <w:left w:val="nil"/>
                <w:bottom w:val="nil"/>
                <w:right w:val="nil"/>
                <w:between w:val="nil"/>
              </w:pBdr>
              <w:jc w:val="right"/>
              <w:rPr>
                <w:color w:val="000000"/>
              </w:rPr>
            </w:pPr>
          </w:p>
        </w:tc>
      </w:tr>
      <w:tr w:rsidR="008E5DE4" w14:paraId="2C4A120C" w14:textId="77777777">
        <w:trPr>
          <w:gridAfter w:val="1"/>
          <w:wAfter w:w="113" w:type="dxa"/>
          <w:cantSplit/>
        </w:trPr>
        <w:tc>
          <w:tcPr>
            <w:tcW w:w="5556" w:type="dxa"/>
            <w:vAlign w:val="bottom"/>
          </w:tcPr>
          <w:p w14:paraId="2850CC5A" w14:textId="77777777" w:rsidR="008E5DE4" w:rsidRDefault="00780368">
            <w:pPr>
              <w:widowControl w:val="0"/>
              <w:pBdr>
                <w:top w:val="nil"/>
                <w:left w:val="nil"/>
                <w:bottom w:val="nil"/>
                <w:right w:val="nil"/>
                <w:between w:val="nil"/>
              </w:pBdr>
              <w:ind w:left="113" w:right="-57" w:hanging="113"/>
              <w:rPr>
                <w:color w:val="000000"/>
              </w:rPr>
            </w:pPr>
            <w:r>
              <w:rPr>
                <w:color w:val="000000"/>
              </w:rPr>
              <w:t>Purchases of investment property</w:t>
            </w:r>
          </w:p>
        </w:tc>
        <w:tc>
          <w:tcPr>
            <w:tcW w:w="737" w:type="dxa"/>
            <w:vAlign w:val="bottom"/>
          </w:tcPr>
          <w:p w14:paraId="3EBC6173"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BF360E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2DA505F" w14:textId="77777777" w:rsidR="008E5DE4" w:rsidRDefault="008E5DE4">
            <w:pPr>
              <w:widowControl w:val="0"/>
              <w:pBdr>
                <w:top w:val="nil"/>
                <w:left w:val="nil"/>
                <w:bottom w:val="nil"/>
                <w:right w:val="nil"/>
                <w:between w:val="nil"/>
              </w:pBdr>
              <w:jc w:val="right"/>
              <w:rPr>
                <w:color w:val="000000"/>
              </w:rPr>
            </w:pPr>
          </w:p>
        </w:tc>
      </w:tr>
      <w:tr w:rsidR="008E5DE4" w14:paraId="19199AA1" w14:textId="77777777">
        <w:trPr>
          <w:gridAfter w:val="1"/>
          <w:wAfter w:w="113" w:type="dxa"/>
          <w:cantSplit/>
        </w:trPr>
        <w:tc>
          <w:tcPr>
            <w:tcW w:w="5556" w:type="dxa"/>
            <w:vAlign w:val="bottom"/>
          </w:tcPr>
          <w:p w14:paraId="30A31F6A" w14:textId="77777777" w:rsidR="008E5DE4" w:rsidRDefault="00780368">
            <w:pPr>
              <w:widowControl w:val="0"/>
              <w:pBdr>
                <w:top w:val="nil"/>
                <w:left w:val="nil"/>
                <w:bottom w:val="nil"/>
                <w:right w:val="nil"/>
                <w:between w:val="nil"/>
              </w:pBdr>
              <w:ind w:left="113" w:right="-57" w:hanging="113"/>
              <w:rPr>
                <w:color w:val="000000"/>
              </w:rPr>
            </w:pPr>
            <w:r>
              <w:rPr>
                <w:color w:val="000000"/>
              </w:rPr>
              <w:t>Proceeds from the sale of investment property</w:t>
            </w:r>
          </w:p>
        </w:tc>
        <w:tc>
          <w:tcPr>
            <w:tcW w:w="737" w:type="dxa"/>
            <w:vAlign w:val="bottom"/>
          </w:tcPr>
          <w:p w14:paraId="7CF9032A"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7FB646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247D741" w14:textId="77777777" w:rsidR="008E5DE4" w:rsidRDefault="008E5DE4">
            <w:pPr>
              <w:widowControl w:val="0"/>
              <w:pBdr>
                <w:top w:val="nil"/>
                <w:left w:val="nil"/>
                <w:bottom w:val="nil"/>
                <w:right w:val="nil"/>
                <w:between w:val="nil"/>
              </w:pBdr>
              <w:jc w:val="right"/>
              <w:rPr>
                <w:color w:val="000000"/>
              </w:rPr>
            </w:pPr>
          </w:p>
        </w:tc>
      </w:tr>
      <w:tr w:rsidR="008E5DE4" w14:paraId="3D8B4C44" w14:textId="77777777">
        <w:trPr>
          <w:gridAfter w:val="1"/>
          <w:wAfter w:w="113" w:type="dxa"/>
          <w:cantSplit/>
        </w:trPr>
        <w:tc>
          <w:tcPr>
            <w:tcW w:w="5556" w:type="dxa"/>
            <w:vAlign w:val="bottom"/>
          </w:tcPr>
          <w:p w14:paraId="064DC6F2" w14:textId="77777777" w:rsidR="008E5DE4" w:rsidRDefault="00780368">
            <w:pPr>
              <w:widowControl w:val="0"/>
              <w:pBdr>
                <w:top w:val="nil"/>
                <w:left w:val="nil"/>
                <w:bottom w:val="nil"/>
                <w:right w:val="nil"/>
                <w:between w:val="nil"/>
              </w:pBdr>
              <w:ind w:left="113" w:right="-57" w:hanging="113"/>
              <w:rPr>
                <w:color w:val="000000"/>
              </w:rPr>
            </w:pPr>
            <w:r>
              <w:rPr>
                <w:color w:val="000000"/>
              </w:rPr>
              <w:t>Acquisition of debt securities at fair value through other comprehensive income</w:t>
            </w:r>
          </w:p>
        </w:tc>
        <w:tc>
          <w:tcPr>
            <w:tcW w:w="737" w:type="dxa"/>
            <w:vAlign w:val="bottom"/>
          </w:tcPr>
          <w:p w14:paraId="70D5DBB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75B2FA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0412091" w14:textId="77777777" w:rsidR="008E5DE4" w:rsidRDefault="008E5DE4">
            <w:pPr>
              <w:widowControl w:val="0"/>
              <w:pBdr>
                <w:top w:val="nil"/>
                <w:left w:val="nil"/>
                <w:bottom w:val="nil"/>
                <w:right w:val="nil"/>
                <w:between w:val="nil"/>
              </w:pBdr>
              <w:jc w:val="right"/>
              <w:rPr>
                <w:color w:val="000000"/>
              </w:rPr>
            </w:pPr>
          </w:p>
        </w:tc>
      </w:tr>
      <w:tr w:rsidR="008E5DE4" w14:paraId="6E255C8C" w14:textId="77777777">
        <w:trPr>
          <w:gridAfter w:val="1"/>
          <w:wAfter w:w="113" w:type="dxa"/>
          <w:cantSplit/>
        </w:trPr>
        <w:tc>
          <w:tcPr>
            <w:tcW w:w="5556" w:type="dxa"/>
            <w:vAlign w:val="bottom"/>
          </w:tcPr>
          <w:p w14:paraId="23F9B4A1" w14:textId="77777777" w:rsidR="008E5DE4" w:rsidRDefault="00780368">
            <w:pPr>
              <w:widowControl w:val="0"/>
              <w:pBdr>
                <w:top w:val="nil"/>
                <w:left w:val="nil"/>
                <w:bottom w:val="nil"/>
                <w:right w:val="nil"/>
                <w:between w:val="nil"/>
              </w:pBdr>
              <w:ind w:left="113" w:right="-57" w:hanging="113"/>
              <w:rPr>
                <w:color w:val="000000"/>
              </w:rPr>
            </w:pPr>
            <w:r>
              <w:rPr>
                <w:color w:val="000000"/>
              </w:rPr>
              <w:t>Acquisition of equity securities at fair value through other comprehensive income</w:t>
            </w:r>
          </w:p>
        </w:tc>
        <w:tc>
          <w:tcPr>
            <w:tcW w:w="737" w:type="dxa"/>
            <w:vAlign w:val="bottom"/>
          </w:tcPr>
          <w:p w14:paraId="3D935BDB"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937B27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8C5FA6F" w14:textId="77777777" w:rsidR="008E5DE4" w:rsidRDefault="008E5DE4">
            <w:pPr>
              <w:widowControl w:val="0"/>
              <w:pBdr>
                <w:top w:val="nil"/>
                <w:left w:val="nil"/>
                <w:bottom w:val="nil"/>
                <w:right w:val="nil"/>
                <w:between w:val="nil"/>
              </w:pBdr>
              <w:jc w:val="right"/>
              <w:rPr>
                <w:color w:val="000000"/>
              </w:rPr>
            </w:pPr>
          </w:p>
        </w:tc>
      </w:tr>
      <w:tr w:rsidR="008E5DE4" w14:paraId="5922F867" w14:textId="77777777">
        <w:trPr>
          <w:gridAfter w:val="1"/>
          <w:wAfter w:w="113" w:type="dxa"/>
          <w:cantSplit/>
        </w:trPr>
        <w:tc>
          <w:tcPr>
            <w:tcW w:w="5556" w:type="dxa"/>
            <w:vAlign w:val="bottom"/>
          </w:tcPr>
          <w:p w14:paraId="2A5C5A1A"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Proceeds from disposal </w:t>
            </w:r>
            <w:r>
              <w:rPr>
                <w:color w:val="0000FF"/>
              </w:rPr>
              <w:t xml:space="preserve">[and redemption] </w:t>
            </w:r>
            <w:r>
              <w:rPr>
                <w:color w:val="000000"/>
              </w:rPr>
              <w:t>of debt securities at fair value through other comprehensive income</w:t>
            </w:r>
          </w:p>
        </w:tc>
        <w:tc>
          <w:tcPr>
            <w:tcW w:w="737" w:type="dxa"/>
            <w:vAlign w:val="bottom"/>
          </w:tcPr>
          <w:p w14:paraId="33F9590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FD8791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EAA5F9E" w14:textId="77777777" w:rsidR="008E5DE4" w:rsidRDefault="008E5DE4">
            <w:pPr>
              <w:widowControl w:val="0"/>
              <w:pBdr>
                <w:top w:val="nil"/>
                <w:left w:val="nil"/>
                <w:bottom w:val="nil"/>
                <w:right w:val="nil"/>
                <w:between w:val="nil"/>
              </w:pBdr>
              <w:jc w:val="right"/>
              <w:rPr>
                <w:color w:val="000000"/>
              </w:rPr>
            </w:pPr>
          </w:p>
        </w:tc>
      </w:tr>
      <w:tr w:rsidR="008E5DE4" w14:paraId="41BAC77C" w14:textId="77777777">
        <w:trPr>
          <w:gridAfter w:val="1"/>
          <w:wAfter w:w="113" w:type="dxa"/>
          <w:cantSplit/>
        </w:trPr>
        <w:tc>
          <w:tcPr>
            <w:tcW w:w="5556" w:type="dxa"/>
            <w:vAlign w:val="bottom"/>
          </w:tcPr>
          <w:p w14:paraId="2DA0769D" w14:textId="77777777" w:rsidR="008E5DE4" w:rsidRDefault="00780368">
            <w:pPr>
              <w:widowControl w:val="0"/>
              <w:pBdr>
                <w:top w:val="nil"/>
                <w:left w:val="nil"/>
                <w:bottom w:val="nil"/>
                <w:right w:val="nil"/>
                <w:between w:val="nil"/>
              </w:pBdr>
              <w:ind w:left="113" w:right="-57" w:hanging="113"/>
              <w:rPr>
                <w:color w:val="000000"/>
              </w:rPr>
            </w:pPr>
            <w:r>
              <w:rPr>
                <w:color w:val="000000"/>
              </w:rPr>
              <w:t>Proceeds from disposal of equity securities at fair value through other comprehensive income</w:t>
            </w:r>
          </w:p>
        </w:tc>
        <w:tc>
          <w:tcPr>
            <w:tcW w:w="737" w:type="dxa"/>
            <w:vAlign w:val="bottom"/>
          </w:tcPr>
          <w:p w14:paraId="7FF32DC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2F30868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3A5FBD3" w14:textId="77777777" w:rsidR="008E5DE4" w:rsidRDefault="008E5DE4">
            <w:pPr>
              <w:widowControl w:val="0"/>
              <w:pBdr>
                <w:top w:val="nil"/>
                <w:left w:val="nil"/>
                <w:bottom w:val="nil"/>
                <w:right w:val="nil"/>
                <w:between w:val="nil"/>
              </w:pBdr>
              <w:jc w:val="right"/>
              <w:rPr>
                <w:color w:val="000000"/>
              </w:rPr>
            </w:pPr>
          </w:p>
        </w:tc>
      </w:tr>
      <w:tr w:rsidR="008E5DE4" w14:paraId="6FA0D470" w14:textId="77777777">
        <w:trPr>
          <w:gridAfter w:val="1"/>
          <w:wAfter w:w="113" w:type="dxa"/>
          <w:cantSplit/>
        </w:trPr>
        <w:tc>
          <w:tcPr>
            <w:tcW w:w="5556" w:type="dxa"/>
            <w:vAlign w:val="bottom"/>
          </w:tcPr>
          <w:p w14:paraId="3583C760" w14:textId="77777777" w:rsidR="008E5DE4" w:rsidRDefault="00780368">
            <w:pPr>
              <w:widowControl w:val="0"/>
              <w:pBdr>
                <w:top w:val="nil"/>
                <w:left w:val="nil"/>
                <w:bottom w:val="nil"/>
                <w:right w:val="nil"/>
                <w:between w:val="nil"/>
              </w:pBdr>
              <w:ind w:left="113" w:right="-57" w:hanging="113"/>
              <w:rPr>
                <w:color w:val="000000"/>
              </w:rPr>
            </w:pPr>
            <w:r>
              <w:rPr>
                <w:color w:val="000000"/>
              </w:rPr>
              <w:t>Acquisition of investments in debt securities carried at amortised cost</w:t>
            </w:r>
          </w:p>
        </w:tc>
        <w:tc>
          <w:tcPr>
            <w:tcW w:w="737" w:type="dxa"/>
            <w:vAlign w:val="bottom"/>
          </w:tcPr>
          <w:p w14:paraId="1B8473DC"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35D8B6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6BA9987" w14:textId="77777777" w:rsidR="008E5DE4" w:rsidRDefault="008E5DE4">
            <w:pPr>
              <w:widowControl w:val="0"/>
              <w:pBdr>
                <w:top w:val="nil"/>
                <w:left w:val="nil"/>
                <w:bottom w:val="nil"/>
                <w:right w:val="nil"/>
                <w:between w:val="nil"/>
              </w:pBdr>
              <w:jc w:val="right"/>
              <w:rPr>
                <w:color w:val="000000"/>
              </w:rPr>
            </w:pPr>
          </w:p>
        </w:tc>
      </w:tr>
      <w:tr w:rsidR="008E5DE4" w14:paraId="384E8D67" w14:textId="77777777">
        <w:trPr>
          <w:gridAfter w:val="1"/>
          <w:wAfter w:w="113" w:type="dxa"/>
          <w:cantSplit/>
        </w:trPr>
        <w:tc>
          <w:tcPr>
            <w:tcW w:w="5556" w:type="dxa"/>
            <w:vAlign w:val="bottom"/>
          </w:tcPr>
          <w:p w14:paraId="0802CB65" w14:textId="77777777" w:rsidR="008E5DE4" w:rsidRDefault="00780368">
            <w:pPr>
              <w:widowControl w:val="0"/>
              <w:pBdr>
                <w:top w:val="nil"/>
                <w:left w:val="nil"/>
                <w:bottom w:val="nil"/>
                <w:right w:val="nil"/>
                <w:between w:val="nil"/>
              </w:pBdr>
              <w:ind w:left="113" w:right="-57" w:hanging="113"/>
              <w:rPr>
                <w:color w:val="000000"/>
              </w:rPr>
            </w:pPr>
            <w:r>
              <w:rPr>
                <w:color w:val="000000"/>
              </w:rPr>
              <w:t>Proceeds from redemption of debt securities carried at amortised cost</w:t>
            </w:r>
          </w:p>
        </w:tc>
        <w:tc>
          <w:tcPr>
            <w:tcW w:w="737" w:type="dxa"/>
            <w:vAlign w:val="bottom"/>
          </w:tcPr>
          <w:p w14:paraId="6E419B2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5EA59F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A898209" w14:textId="77777777" w:rsidR="008E5DE4" w:rsidRDefault="008E5DE4">
            <w:pPr>
              <w:widowControl w:val="0"/>
              <w:pBdr>
                <w:top w:val="nil"/>
                <w:left w:val="nil"/>
                <w:bottom w:val="nil"/>
                <w:right w:val="nil"/>
                <w:between w:val="nil"/>
              </w:pBdr>
              <w:jc w:val="right"/>
              <w:rPr>
                <w:color w:val="000000"/>
              </w:rPr>
            </w:pPr>
          </w:p>
        </w:tc>
      </w:tr>
      <w:tr w:rsidR="008E5DE4" w14:paraId="3F4A2C9B" w14:textId="77777777">
        <w:trPr>
          <w:gridAfter w:val="1"/>
          <w:wAfter w:w="113" w:type="dxa"/>
          <w:cantSplit/>
        </w:trPr>
        <w:tc>
          <w:tcPr>
            <w:tcW w:w="5556" w:type="dxa"/>
            <w:vAlign w:val="bottom"/>
          </w:tcPr>
          <w:p w14:paraId="3893851B" w14:textId="77777777" w:rsidR="008E5DE4" w:rsidRDefault="00780368">
            <w:pPr>
              <w:widowControl w:val="0"/>
              <w:pBdr>
                <w:top w:val="nil"/>
                <w:left w:val="nil"/>
                <w:bottom w:val="nil"/>
                <w:right w:val="nil"/>
                <w:between w:val="nil"/>
              </w:pBdr>
              <w:ind w:left="113" w:right="-57" w:hanging="113"/>
              <w:rPr>
                <w:color w:val="000000"/>
              </w:rPr>
            </w:pPr>
            <w:r>
              <w:rPr>
                <w:color w:val="000000"/>
              </w:rPr>
              <w:t>Acquisition of subsidiaries, net of cash acquired</w:t>
            </w:r>
          </w:p>
        </w:tc>
        <w:tc>
          <w:tcPr>
            <w:tcW w:w="737" w:type="dxa"/>
            <w:vAlign w:val="bottom"/>
          </w:tcPr>
          <w:p w14:paraId="0E662ABD" w14:textId="77777777" w:rsidR="008E5DE4" w:rsidRDefault="00780368">
            <w:pPr>
              <w:widowControl w:val="0"/>
              <w:pBdr>
                <w:top w:val="nil"/>
                <w:left w:val="nil"/>
                <w:bottom w:val="nil"/>
                <w:right w:val="nil"/>
                <w:between w:val="nil"/>
              </w:pBdr>
              <w:jc w:val="center"/>
              <w:rPr>
                <w:color w:val="000000"/>
              </w:rPr>
            </w:pPr>
            <w:r>
              <w:rPr>
                <w:color w:val="000000"/>
              </w:rPr>
              <w:t>50</w:t>
            </w:r>
          </w:p>
        </w:tc>
        <w:tc>
          <w:tcPr>
            <w:tcW w:w="1531" w:type="dxa"/>
            <w:vAlign w:val="bottom"/>
          </w:tcPr>
          <w:p w14:paraId="0082448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08C3E99" w14:textId="77777777" w:rsidR="008E5DE4" w:rsidRDefault="008E5DE4">
            <w:pPr>
              <w:widowControl w:val="0"/>
              <w:pBdr>
                <w:top w:val="nil"/>
                <w:left w:val="nil"/>
                <w:bottom w:val="nil"/>
                <w:right w:val="nil"/>
                <w:between w:val="nil"/>
              </w:pBdr>
              <w:jc w:val="right"/>
              <w:rPr>
                <w:color w:val="000000"/>
              </w:rPr>
            </w:pPr>
          </w:p>
        </w:tc>
      </w:tr>
      <w:tr w:rsidR="008E5DE4" w14:paraId="6A3D7401" w14:textId="77777777">
        <w:trPr>
          <w:gridAfter w:val="1"/>
          <w:wAfter w:w="113" w:type="dxa"/>
          <w:cantSplit/>
        </w:trPr>
        <w:tc>
          <w:tcPr>
            <w:tcW w:w="5556" w:type="dxa"/>
            <w:vAlign w:val="bottom"/>
          </w:tcPr>
          <w:p w14:paraId="1B9DFE0E" w14:textId="77777777" w:rsidR="008E5DE4" w:rsidRDefault="00780368">
            <w:pPr>
              <w:widowControl w:val="0"/>
              <w:pBdr>
                <w:top w:val="nil"/>
                <w:left w:val="nil"/>
                <w:bottom w:val="nil"/>
                <w:right w:val="nil"/>
                <w:between w:val="nil"/>
              </w:pBdr>
              <w:ind w:left="113" w:right="-57" w:hanging="113"/>
              <w:rPr>
                <w:color w:val="000000"/>
              </w:rPr>
            </w:pPr>
            <w:r>
              <w:rPr>
                <w:color w:val="000000"/>
              </w:rPr>
              <w:t>Proceeds from disposal of subsidiaries, net of disposed cash</w:t>
            </w:r>
          </w:p>
        </w:tc>
        <w:tc>
          <w:tcPr>
            <w:tcW w:w="737" w:type="dxa"/>
            <w:vAlign w:val="bottom"/>
          </w:tcPr>
          <w:p w14:paraId="172822AD" w14:textId="77777777" w:rsidR="008E5DE4" w:rsidRDefault="00780368">
            <w:pPr>
              <w:widowControl w:val="0"/>
              <w:pBdr>
                <w:top w:val="nil"/>
                <w:left w:val="nil"/>
                <w:bottom w:val="nil"/>
                <w:right w:val="nil"/>
                <w:between w:val="nil"/>
              </w:pBdr>
              <w:jc w:val="center"/>
              <w:rPr>
                <w:color w:val="000000"/>
              </w:rPr>
            </w:pPr>
            <w:r>
              <w:rPr>
                <w:color w:val="000000"/>
              </w:rPr>
              <w:t>25</w:t>
            </w:r>
          </w:p>
        </w:tc>
        <w:tc>
          <w:tcPr>
            <w:tcW w:w="1531" w:type="dxa"/>
            <w:vAlign w:val="bottom"/>
          </w:tcPr>
          <w:p w14:paraId="79C6F42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0925E6D" w14:textId="77777777" w:rsidR="008E5DE4" w:rsidRDefault="008E5DE4">
            <w:pPr>
              <w:widowControl w:val="0"/>
              <w:pBdr>
                <w:top w:val="nil"/>
                <w:left w:val="nil"/>
                <w:bottom w:val="nil"/>
                <w:right w:val="nil"/>
                <w:between w:val="nil"/>
              </w:pBdr>
              <w:jc w:val="right"/>
              <w:rPr>
                <w:color w:val="000000"/>
              </w:rPr>
            </w:pPr>
          </w:p>
        </w:tc>
      </w:tr>
      <w:tr w:rsidR="008E5DE4" w14:paraId="27FCEF86" w14:textId="77777777">
        <w:trPr>
          <w:gridAfter w:val="1"/>
          <w:wAfter w:w="113" w:type="dxa"/>
          <w:cantSplit/>
        </w:trPr>
        <w:tc>
          <w:tcPr>
            <w:tcW w:w="5556" w:type="dxa"/>
            <w:vAlign w:val="bottom"/>
          </w:tcPr>
          <w:p w14:paraId="52984698" w14:textId="77777777" w:rsidR="008E5DE4" w:rsidRDefault="00780368">
            <w:pPr>
              <w:widowControl w:val="0"/>
              <w:pBdr>
                <w:top w:val="nil"/>
                <w:left w:val="nil"/>
                <w:bottom w:val="nil"/>
                <w:right w:val="nil"/>
                <w:between w:val="nil"/>
              </w:pBdr>
              <w:ind w:left="113" w:right="-57" w:hanging="113"/>
              <w:rPr>
                <w:color w:val="000000"/>
              </w:rPr>
            </w:pPr>
            <w:r>
              <w:rPr>
                <w:color w:val="000000"/>
              </w:rPr>
              <w:t>Purchases of assets leased out under finance leases</w:t>
            </w:r>
          </w:p>
        </w:tc>
        <w:tc>
          <w:tcPr>
            <w:tcW w:w="737" w:type="dxa"/>
            <w:vAlign w:val="bottom"/>
          </w:tcPr>
          <w:p w14:paraId="36D91534"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10F398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01E5DB1" w14:textId="77777777" w:rsidR="008E5DE4" w:rsidRDefault="008E5DE4">
            <w:pPr>
              <w:widowControl w:val="0"/>
              <w:pBdr>
                <w:top w:val="nil"/>
                <w:left w:val="nil"/>
                <w:bottom w:val="nil"/>
                <w:right w:val="nil"/>
                <w:between w:val="nil"/>
              </w:pBdr>
              <w:jc w:val="right"/>
              <w:rPr>
                <w:color w:val="000000"/>
              </w:rPr>
            </w:pPr>
          </w:p>
        </w:tc>
      </w:tr>
      <w:tr w:rsidR="008E5DE4" w14:paraId="6576A736" w14:textId="77777777">
        <w:trPr>
          <w:gridAfter w:val="1"/>
          <w:wAfter w:w="113" w:type="dxa"/>
          <w:cantSplit/>
        </w:trPr>
        <w:tc>
          <w:tcPr>
            <w:tcW w:w="5556" w:type="dxa"/>
            <w:vAlign w:val="bottom"/>
          </w:tcPr>
          <w:p w14:paraId="2D7D9F34" w14:textId="77777777" w:rsidR="008E5DE4" w:rsidRDefault="00780368">
            <w:pPr>
              <w:widowControl w:val="0"/>
              <w:pBdr>
                <w:top w:val="nil"/>
                <w:left w:val="nil"/>
                <w:bottom w:val="nil"/>
                <w:right w:val="nil"/>
                <w:between w:val="nil"/>
              </w:pBdr>
              <w:ind w:left="113" w:right="-57" w:hanging="113"/>
              <w:rPr>
                <w:color w:val="000000"/>
              </w:rPr>
            </w:pPr>
            <w:r>
              <w:rPr>
                <w:color w:val="000000"/>
              </w:rPr>
              <w:t>Receipts from finance lease receivables</w:t>
            </w:r>
          </w:p>
        </w:tc>
        <w:tc>
          <w:tcPr>
            <w:tcW w:w="737" w:type="dxa"/>
            <w:vAlign w:val="bottom"/>
          </w:tcPr>
          <w:p w14:paraId="4751669B"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8DA248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3B8D958" w14:textId="77777777" w:rsidR="008E5DE4" w:rsidRDefault="008E5DE4">
            <w:pPr>
              <w:widowControl w:val="0"/>
              <w:pBdr>
                <w:top w:val="nil"/>
                <w:left w:val="nil"/>
                <w:bottom w:val="nil"/>
                <w:right w:val="nil"/>
                <w:between w:val="nil"/>
              </w:pBdr>
              <w:jc w:val="right"/>
              <w:rPr>
                <w:color w:val="000000"/>
              </w:rPr>
            </w:pPr>
          </w:p>
        </w:tc>
      </w:tr>
      <w:tr w:rsidR="008E5DE4" w14:paraId="3F545223" w14:textId="77777777">
        <w:trPr>
          <w:gridAfter w:val="1"/>
          <w:wAfter w:w="113" w:type="dxa"/>
          <w:cantSplit/>
        </w:trPr>
        <w:tc>
          <w:tcPr>
            <w:tcW w:w="5556" w:type="dxa"/>
            <w:vAlign w:val="bottom"/>
          </w:tcPr>
          <w:p w14:paraId="13F99CD5" w14:textId="77777777" w:rsidR="008E5DE4" w:rsidRDefault="00780368">
            <w:pPr>
              <w:widowControl w:val="0"/>
              <w:pBdr>
                <w:top w:val="nil"/>
                <w:left w:val="nil"/>
                <w:bottom w:val="nil"/>
                <w:right w:val="nil"/>
                <w:between w:val="nil"/>
              </w:pBdr>
              <w:ind w:left="113" w:right="-57" w:hanging="113"/>
              <w:rPr>
                <w:color w:val="000000"/>
              </w:rPr>
            </w:pPr>
            <w:r>
              <w:rPr>
                <w:color w:val="000000"/>
              </w:rPr>
              <w:t>Acquisition of associates</w:t>
            </w:r>
          </w:p>
        </w:tc>
        <w:tc>
          <w:tcPr>
            <w:tcW w:w="737" w:type="dxa"/>
            <w:vAlign w:val="bottom"/>
          </w:tcPr>
          <w:p w14:paraId="6A026587"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8FDD73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D3542E6" w14:textId="77777777" w:rsidR="008E5DE4" w:rsidRDefault="008E5DE4">
            <w:pPr>
              <w:widowControl w:val="0"/>
              <w:pBdr>
                <w:top w:val="nil"/>
                <w:left w:val="nil"/>
                <w:bottom w:val="nil"/>
                <w:right w:val="nil"/>
                <w:between w:val="nil"/>
              </w:pBdr>
              <w:jc w:val="right"/>
              <w:rPr>
                <w:color w:val="000000"/>
              </w:rPr>
            </w:pPr>
          </w:p>
        </w:tc>
      </w:tr>
      <w:tr w:rsidR="008E5DE4" w14:paraId="3D5D732A" w14:textId="77777777">
        <w:trPr>
          <w:gridAfter w:val="1"/>
          <w:wAfter w:w="113" w:type="dxa"/>
          <w:cantSplit/>
        </w:trPr>
        <w:tc>
          <w:tcPr>
            <w:tcW w:w="5556" w:type="dxa"/>
            <w:vAlign w:val="bottom"/>
          </w:tcPr>
          <w:p w14:paraId="20DFE7BA" w14:textId="77777777" w:rsidR="008E5DE4" w:rsidRDefault="00780368">
            <w:pPr>
              <w:widowControl w:val="0"/>
              <w:pBdr>
                <w:top w:val="nil"/>
                <w:left w:val="nil"/>
                <w:bottom w:val="nil"/>
                <w:right w:val="nil"/>
                <w:between w:val="nil"/>
              </w:pBdr>
              <w:ind w:left="113" w:right="-57" w:hanging="113"/>
              <w:rPr>
                <w:color w:val="000000"/>
              </w:rPr>
            </w:pPr>
            <w:r>
              <w:rPr>
                <w:color w:val="000000"/>
              </w:rPr>
              <w:t>Proceeds from disposal of associates</w:t>
            </w:r>
          </w:p>
        </w:tc>
        <w:tc>
          <w:tcPr>
            <w:tcW w:w="737" w:type="dxa"/>
            <w:vAlign w:val="bottom"/>
          </w:tcPr>
          <w:p w14:paraId="48C98A56"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6CCCED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A27365E" w14:textId="77777777" w:rsidR="008E5DE4" w:rsidRDefault="008E5DE4">
            <w:pPr>
              <w:widowControl w:val="0"/>
              <w:pBdr>
                <w:top w:val="nil"/>
                <w:left w:val="nil"/>
                <w:bottom w:val="nil"/>
                <w:right w:val="nil"/>
                <w:between w:val="nil"/>
              </w:pBdr>
              <w:jc w:val="right"/>
              <w:rPr>
                <w:color w:val="000000"/>
              </w:rPr>
            </w:pPr>
          </w:p>
        </w:tc>
      </w:tr>
      <w:tr w:rsidR="008E5DE4" w14:paraId="6132A3B8" w14:textId="77777777">
        <w:trPr>
          <w:gridAfter w:val="1"/>
          <w:wAfter w:w="113" w:type="dxa"/>
          <w:cantSplit/>
        </w:trPr>
        <w:tc>
          <w:tcPr>
            <w:tcW w:w="5556" w:type="dxa"/>
            <w:vAlign w:val="bottom"/>
          </w:tcPr>
          <w:p w14:paraId="4517E2E1" w14:textId="77777777" w:rsidR="008E5DE4" w:rsidRDefault="00780368">
            <w:pPr>
              <w:widowControl w:val="0"/>
              <w:pBdr>
                <w:top w:val="nil"/>
                <w:left w:val="nil"/>
                <w:bottom w:val="nil"/>
                <w:right w:val="nil"/>
                <w:between w:val="nil"/>
              </w:pBdr>
              <w:ind w:left="113" w:right="-57" w:hanging="113"/>
              <w:rPr>
                <w:color w:val="000000"/>
              </w:rPr>
            </w:pPr>
            <w:r>
              <w:rPr>
                <w:color w:val="000000"/>
              </w:rPr>
              <w:lastRenderedPageBreak/>
              <w:t>Acquisition of intangible assets</w:t>
            </w:r>
          </w:p>
        </w:tc>
        <w:tc>
          <w:tcPr>
            <w:tcW w:w="737" w:type="dxa"/>
            <w:vAlign w:val="bottom"/>
          </w:tcPr>
          <w:p w14:paraId="4067BCA9"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6BD80F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F08D727" w14:textId="77777777" w:rsidR="008E5DE4" w:rsidRDefault="008E5DE4">
            <w:pPr>
              <w:widowControl w:val="0"/>
              <w:pBdr>
                <w:top w:val="nil"/>
                <w:left w:val="nil"/>
                <w:bottom w:val="nil"/>
                <w:right w:val="nil"/>
                <w:between w:val="nil"/>
              </w:pBdr>
              <w:jc w:val="right"/>
              <w:rPr>
                <w:color w:val="000000"/>
              </w:rPr>
            </w:pPr>
          </w:p>
        </w:tc>
      </w:tr>
      <w:tr w:rsidR="008E5DE4" w14:paraId="09C00A31" w14:textId="77777777">
        <w:trPr>
          <w:gridAfter w:val="1"/>
          <w:wAfter w:w="113" w:type="dxa"/>
          <w:cantSplit/>
        </w:trPr>
        <w:tc>
          <w:tcPr>
            <w:tcW w:w="5556" w:type="dxa"/>
            <w:vAlign w:val="bottom"/>
          </w:tcPr>
          <w:p w14:paraId="6EBFBEA8" w14:textId="77777777" w:rsidR="008E5DE4" w:rsidRDefault="00780368">
            <w:pPr>
              <w:widowControl w:val="0"/>
              <w:pBdr>
                <w:top w:val="nil"/>
                <w:left w:val="nil"/>
                <w:bottom w:val="nil"/>
                <w:right w:val="nil"/>
                <w:between w:val="nil"/>
              </w:pBdr>
              <w:ind w:left="113" w:right="-57" w:hanging="113"/>
              <w:rPr>
                <w:color w:val="000000"/>
              </w:rPr>
            </w:pPr>
            <w:r>
              <w:rPr>
                <w:color w:val="000000"/>
              </w:rPr>
              <w:t>Proceeds from disposal of intangible assets</w:t>
            </w:r>
          </w:p>
        </w:tc>
        <w:tc>
          <w:tcPr>
            <w:tcW w:w="737" w:type="dxa"/>
            <w:vAlign w:val="bottom"/>
          </w:tcPr>
          <w:p w14:paraId="4D0213B0"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3BA2D1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85FAEC1" w14:textId="77777777" w:rsidR="008E5DE4" w:rsidRDefault="008E5DE4">
            <w:pPr>
              <w:widowControl w:val="0"/>
              <w:pBdr>
                <w:top w:val="nil"/>
                <w:left w:val="nil"/>
                <w:bottom w:val="nil"/>
                <w:right w:val="nil"/>
                <w:between w:val="nil"/>
              </w:pBdr>
              <w:jc w:val="right"/>
              <w:rPr>
                <w:color w:val="000000"/>
              </w:rPr>
            </w:pPr>
          </w:p>
        </w:tc>
      </w:tr>
      <w:tr w:rsidR="008E5DE4" w14:paraId="577DE5A3" w14:textId="77777777">
        <w:trPr>
          <w:gridAfter w:val="1"/>
          <w:wAfter w:w="113" w:type="dxa"/>
          <w:cantSplit/>
        </w:trPr>
        <w:tc>
          <w:tcPr>
            <w:tcW w:w="5556" w:type="dxa"/>
            <w:vAlign w:val="bottom"/>
          </w:tcPr>
          <w:p w14:paraId="2753B8D1" w14:textId="77777777" w:rsidR="008E5DE4" w:rsidRDefault="00780368">
            <w:pPr>
              <w:widowControl w:val="0"/>
              <w:pBdr>
                <w:top w:val="nil"/>
                <w:left w:val="nil"/>
                <w:bottom w:val="nil"/>
                <w:right w:val="nil"/>
                <w:between w:val="nil"/>
              </w:pBdr>
              <w:ind w:left="113" w:right="-57" w:hanging="113"/>
              <w:rPr>
                <w:color w:val="000000"/>
              </w:rPr>
            </w:pPr>
            <w:r>
              <w:rPr>
                <w:color w:val="000000"/>
              </w:rPr>
              <w:t>Loans granted to related parties</w:t>
            </w:r>
          </w:p>
        </w:tc>
        <w:tc>
          <w:tcPr>
            <w:tcW w:w="737" w:type="dxa"/>
            <w:vAlign w:val="bottom"/>
          </w:tcPr>
          <w:p w14:paraId="51E5FA8C" w14:textId="77777777" w:rsidR="008E5DE4" w:rsidRDefault="00780368">
            <w:pPr>
              <w:widowControl w:val="0"/>
              <w:pBdr>
                <w:top w:val="nil"/>
                <w:left w:val="nil"/>
                <w:bottom w:val="nil"/>
                <w:right w:val="nil"/>
                <w:between w:val="nil"/>
              </w:pBdr>
              <w:jc w:val="center"/>
              <w:rPr>
                <w:color w:val="000000"/>
              </w:rPr>
            </w:pPr>
            <w:r>
              <w:rPr>
                <w:color w:val="000000"/>
              </w:rPr>
              <w:t>16</w:t>
            </w:r>
          </w:p>
        </w:tc>
        <w:tc>
          <w:tcPr>
            <w:tcW w:w="1531" w:type="dxa"/>
            <w:vAlign w:val="bottom"/>
          </w:tcPr>
          <w:p w14:paraId="7EC9B7C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B9C5537" w14:textId="77777777" w:rsidR="008E5DE4" w:rsidRDefault="008E5DE4">
            <w:pPr>
              <w:widowControl w:val="0"/>
              <w:pBdr>
                <w:top w:val="nil"/>
                <w:left w:val="nil"/>
                <w:bottom w:val="nil"/>
                <w:right w:val="nil"/>
                <w:between w:val="nil"/>
              </w:pBdr>
              <w:jc w:val="right"/>
              <w:rPr>
                <w:color w:val="000000"/>
              </w:rPr>
            </w:pPr>
          </w:p>
        </w:tc>
      </w:tr>
      <w:tr w:rsidR="008E5DE4" w14:paraId="6A2EAADE" w14:textId="77777777">
        <w:trPr>
          <w:gridAfter w:val="1"/>
          <w:wAfter w:w="113" w:type="dxa"/>
          <w:cantSplit/>
        </w:trPr>
        <w:tc>
          <w:tcPr>
            <w:tcW w:w="5556" w:type="dxa"/>
            <w:vAlign w:val="bottom"/>
          </w:tcPr>
          <w:p w14:paraId="13DF8312" w14:textId="77777777" w:rsidR="008E5DE4" w:rsidRDefault="00780368">
            <w:pPr>
              <w:widowControl w:val="0"/>
              <w:pBdr>
                <w:top w:val="nil"/>
                <w:left w:val="nil"/>
                <w:bottom w:val="nil"/>
                <w:right w:val="nil"/>
                <w:between w:val="nil"/>
              </w:pBdr>
              <w:ind w:left="113" w:right="-57" w:hanging="113"/>
              <w:rPr>
                <w:color w:val="000000"/>
              </w:rPr>
            </w:pPr>
            <w:r>
              <w:rPr>
                <w:color w:val="000000"/>
              </w:rPr>
              <w:t>Loan repayments received from related parties</w:t>
            </w:r>
          </w:p>
        </w:tc>
        <w:tc>
          <w:tcPr>
            <w:tcW w:w="737" w:type="dxa"/>
            <w:vAlign w:val="bottom"/>
          </w:tcPr>
          <w:p w14:paraId="00B40FC0" w14:textId="77777777" w:rsidR="008E5DE4" w:rsidRDefault="00780368">
            <w:pPr>
              <w:widowControl w:val="0"/>
              <w:pBdr>
                <w:top w:val="nil"/>
                <w:left w:val="nil"/>
                <w:bottom w:val="nil"/>
                <w:right w:val="nil"/>
                <w:between w:val="nil"/>
              </w:pBdr>
              <w:jc w:val="center"/>
              <w:rPr>
                <w:color w:val="000000"/>
              </w:rPr>
            </w:pPr>
            <w:r>
              <w:rPr>
                <w:color w:val="000000"/>
              </w:rPr>
              <w:t>28</w:t>
            </w:r>
          </w:p>
        </w:tc>
        <w:tc>
          <w:tcPr>
            <w:tcW w:w="1531" w:type="dxa"/>
            <w:vAlign w:val="bottom"/>
          </w:tcPr>
          <w:p w14:paraId="16CCF3C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FB191AE" w14:textId="77777777" w:rsidR="008E5DE4" w:rsidRDefault="008E5DE4">
            <w:pPr>
              <w:widowControl w:val="0"/>
              <w:pBdr>
                <w:top w:val="nil"/>
                <w:left w:val="nil"/>
                <w:bottom w:val="nil"/>
                <w:right w:val="nil"/>
                <w:between w:val="nil"/>
              </w:pBdr>
              <w:jc w:val="right"/>
              <w:rPr>
                <w:color w:val="000000"/>
              </w:rPr>
            </w:pPr>
          </w:p>
        </w:tc>
      </w:tr>
      <w:tr w:rsidR="008E5DE4" w14:paraId="5FD56B50" w14:textId="77777777">
        <w:trPr>
          <w:gridAfter w:val="1"/>
          <w:wAfter w:w="113" w:type="dxa"/>
          <w:cantSplit/>
        </w:trPr>
        <w:tc>
          <w:tcPr>
            <w:tcW w:w="5556" w:type="dxa"/>
            <w:vAlign w:val="bottom"/>
          </w:tcPr>
          <w:p w14:paraId="1B5E0953" w14:textId="77777777" w:rsidR="008E5DE4" w:rsidRDefault="00780368">
            <w:pPr>
              <w:widowControl w:val="0"/>
              <w:pBdr>
                <w:top w:val="nil"/>
                <w:left w:val="nil"/>
                <w:bottom w:val="nil"/>
                <w:right w:val="nil"/>
                <w:between w:val="nil"/>
              </w:pBdr>
              <w:ind w:left="113" w:right="-57" w:hanging="113"/>
              <w:rPr>
                <w:color w:val="000000"/>
              </w:rPr>
            </w:pPr>
            <w:r>
              <w:rPr>
                <w:color w:val="000000"/>
              </w:rPr>
              <w:t>Dividends received</w:t>
            </w:r>
          </w:p>
        </w:tc>
        <w:tc>
          <w:tcPr>
            <w:tcW w:w="737" w:type="dxa"/>
            <w:vAlign w:val="bottom"/>
          </w:tcPr>
          <w:p w14:paraId="0198869B"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370866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EE2048E" w14:textId="77777777" w:rsidR="008E5DE4" w:rsidRDefault="008E5DE4">
            <w:pPr>
              <w:widowControl w:val="0"/>
              <w:pBdr>
                <w:top w:val="nil"/>
                <w:left w:val="nil"/>
                <w:bottom w:val="nil"/>
                <w:right w:val="nil"/>
                <w:between w:val="nil"/>
              </w:pBdr>
              <w:jc w:val="right"/>
              <w:rPr>
                <w:color w:val="000000"/>
              </w:rPr>
            </w:pPr>
          </w:p>
        </w:tc>
      </w:tr>
      <w:tr w:rsidR="008E5DE4" w14:paraId="3C6A757F" w14:textId="77777777">
        <w:trPr>
          <w:gridAfter w:val="1"/>
          <w:wAfter w:w="113" w:type="dxa"/>
          <w:cantSplit/>
        </w:trPr>
        <w:tc>
          <w:tcPr>
            <w:tcW w:w="5556" w:type="dxa"/>
            <w:tcBorders>
              <w:bottom w:val="single" w:sz="4" w:space="0" w:color="000000"/>
            </w:tcBorders>
            <w:vAlign w:val="bottom"/>
          </w:tcPr>
          <w:p w14:paraId="1982D0F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37" w:type="dxa"/>
            <w:tcBorders>
              <w:bottom w:val="single" w:sz="4" w:space="0" w:color="000000"/>
            </w:tcBorders>
            <w:vAlign w:val="bottom"/>
          </w:tcPr>
          <w:p w14:paraId="4A96E1E7"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19653CC7"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BD95A4F" w14:textId="77777777" w:rsidR="008E5DE4" w:rsidRDefault="008E5DE4">
            <w:pPr>
              <w:widowControl w:val="0"/>
              <w:pBdr>
                <w:top w:val="nil"/>
                <w:left w:val="nil"/>
                <w:bottom w:val="nil"/>
                <w:right w:val="nil"/>
                <w:between w:val="nil"/>
              </w:pBdr>
              <w:jc w:val="right"/>
              <w:rPr>
                <w:color w:val="000000"/>
              </w:rPr>
            </w:pPr>
          </w:p>
        </w:tc>
      </w:tr>
      <w:tr w:rsidR="008E5DE4" w14:paraId="7D12BD17" w14:textId="77777777">
        <w:trPr>
          <w:gridAfter w:val="1"/>
          <w:wAfter w:w="113" w:type="dxa"/>
          <w:cantSplit/>
        </w:trPr>
        <w:tc>
          <w:tcPr>
            <w:tcW w:w="5556" w:type="dxa"/>
            <w:tcBorders>
              <w:top w:val="single" w:sz="4" w:space="0" w:color="000000"/>
            </w:tcBorders>
            <w:vAlign w:val="bottom"/>
          </w:tcPr>
          <w:p w14:paraId="5B2A5915"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02A87391"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13663B99"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4091FB8" w14:textId="77777777" w:rsidR="008E5DE4" w:rsidRDefault="008E5DE4">
            <w:pPr>
              <w:widowControl w:val="0"/>
              <w:pBdr>
                <w:top w:val="nil"/>
                <w:left w:val="nil"/>
                <w:bottom w:val="nil"/>
                <w:right w:val="nil"/>
                <w:between w:val="nil"/>
              </w:pBdr>
              <w:jc w:val="right"/>
              <w:rPr>
                <w:color w:val="000000"/>
              </w:rPr>
            </w:pPr>
          </w:p>
        </w:tc>
      </w:tr>
      <w:tr w:rsidR="008E5DE4" w14:paraId="5B6C3678" w14:textId="77777777">
        <w:trPr>
          <w:gridAfter w:val="1"/>
          <w:wAfter w:w="113" w:type="dxa"/>
          <w:cantSplit/>
        </w:trPr>
        <w:tc>
          <w:tcPr>
            <w:tcW w:w="5556" w:type="dxa"/>
            <w:vAlign w:val="bottom"/>
          </w:tcPr>
          <w:p w14:paraId="52ED2719"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Net cash from </w:t>
            </w:r>
            <w:r>
              <w:rPr>
                <w:b/>
                <w:color w:val="0000FF"/>
              </w:rPr>
              <w:t>[used in]</w:t>
            </w:r>
            <w:r>
              <w:rPr>
                <w:b/>
                <w:color w:val="000000"/>
              </w:rPr>
              <w:t xml:space="preserve"> investing activities</w:t>
            </w:r>
          </w:p>
        </w:tc>
        <w:tc>
          <w:tcPr>
            <w:tcW w:w="737" w:type="dxa"/>
            <w:vAlign w:val="bottom"/>
          </w:tcPr>
          <w:p w14:paraId="6F01BAC7"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3067562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7622683" w14:textId="77777777" w:rsidR="008E5DE4" w:rsidRDefault="008E5DE4">
            <w:pPr>
              <w:widowControl w:val="0"/>
              <w:pBdr>
                <w:top w:val="nil"/>
                <w:left w:val="nil"/>
                <w:bottom w:val="nil"/>
                <w:right w:val="nil"/>
                <w:between w:val="nil"/>
              </w:pBdr>
              <w:jc w:val="right"/>
              <w:rPr>
                <w:color w:val="000000"/>
              </w:rPr>
            </w:pPr>
          </w:p>
        </w:tc>
      </w:tr>
      <w:tr w:rsidR="008E5DE4" w14:paraId="503C9883" w14:textId="77777777">
        <w:trPr>
          <w:gridAfter w:val="1"/>
          <w:wAfter w:w="113" w:type="dxa"/>
          <w:cantSplit/>
        </w:trPr>
        <w:tc>
          <w:tcPr>
            <w:tcW w:w="5556" w:type="dxa"/>
            <w:tcBorders>
              <w:bottom w:val="single" w:sz="6" w:space="0" w:color="000000"/>
            </w:tcBorders>
            <w:vAlign w:val="bottom"/>
          </w:tcPr>
          <w:p w14:paraId="6172935A"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bottom w:val="single" w:sz="6" w:space="0" w:color="000000"/>
            </w:tcBorders>
            <w:vAlign w:val="bottom"/>
          </w:tcPr>
          <w:p w14:paraId="038BC3E8"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6" w:space="0" w:color="000000"/>
            </w:tcBorders>
            <w:vAlign w:val="bottom"/>
          </w:tcPr>
          <w:p w14:paraId="23E75773"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6" w:space="0" w:color="000000"/>
            </w:tcBorders>
            <w:vAlign w:val="bottom"/>
          </w:tcPr>
          <w:p w14:paraId="7D12AB25" w14:textId="77777777" w:rsidR="008E5DE4" w:rsidRDefault="008E5DE4">
            <w:pPr>
              <w:widowControl w:val="0"/>
              <w:pBdr>
                <w:top w:val="nil"/>
                <w:left w:val="nil"/>
                <w:bottom w:val="nil"/>
                <w:right w:val="nil"/>
                <w:between w:val="nil"/>
              </w:pBdr>
              <w:jc w:val="right"/>
              <w:rPr>
                <w:color w:val="000000"/>
              </w:rPr>
            </w:pPr>
          </w:p>
        </w:tc>
      </w:tr>
      <w:tr w:rsidR="008E5DE4" w14:paraId="29F593B7" w14:textId="77777777">
        <w:trPr>
          <w:gridAfter w:val="1"/>
          <w:wAfter w:w="113" w:type="dxa"/>
          <w:cantSplit/>
        </w:trPr>
        <w:tc>
          <w:tcPr>
            <w:tcW w:w="5556" w:type="dxa"/>
            <w:tcBorders>
              <w:top w:val="single" w:sz="6" w:space="0" w:color="000000"/>
            </w:tcBorders>
            <w:vAlign w:val="bottom"/>
          </w:tcPr>
          <w:p w14:paraId="3FB3ACFC"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737" w:type="dxa"/>
            <w:tcBorders>
              <w:top w:val="single" w:sz="6" w:space="0" w:color="000000"/>
            </w:tcBorders>
            <w:vAlign w:val="bottom"/>
          </w:tcPr>
          <w:p w14:paraId="6B001FC1" w14:textId="77777777" w:rsidR="008E5DE4" w:rsidRDefault="008E5DE4">
            <w:pPr>
              <w:keepNext/>
              <w:keepLines/>
              <w:widowControl w:val="0"/>
              <w:pBdr>
                <w:top w:val="nil"/>
                <w:left w:val="nil"/>
                <w:bottom w:val="nil"/>
                <w:right w:val="nil"/>
                <w:between w:val="nil"/>
              </w:pBdr>
              <w:jc w:val="center"/>
              <w:rPr>
                <w:color w:val="000000"/>
              </w:rPr>
            </w:pPr>
          </w:p>
        </w:tc>
        <w:tc>
          <w:tcPr>
            <w:tcW w:w="1531" w:type="dxa"/>
            <w:tcBorders>
              <w:top w:val="single" w:sz="6" w:space="0" w:color="000000"/>
            </w:tcBorders>
            <w:vAlign w:val="bottom"/>
          </w:tcPr>
          <w:p w14:paraId="7ECF11A4" w14:textId="77777777" w:rsidR="008E5DE4" w:rsidRDefault="008E5DE4">
            <w:pPr>
              <w:keepNext/>
              <w:keepLines/>
              <w:widowControl w:val="0"/>
              <w:pBdr>
                <w:top w:val="nil"/>
                <w:left w:val="nil"/>
                <w:bottom w:val="nil"/>
                <w:right w:val="nil"/>
                <w:between w:val="nil"/>
              </w:pBdr>
              <w:jc w:val="right"/>
              <w:rPr>
                <w:color w:val="000000"/>
              </w:rPr>
            </w:pPr>
          </w:p>
        </w:tc>
        <w:tc>
          <w:tcPr>
            <w:tcW w:w="1531" w:type="dxa"/>
            <w:tcBorders>
              <w:top w:val="single" w:sz="6" w:space="0" w:color="000000"/>
            </w:tcBorders>
            <w:vAlign w:val="bottom"/>
          </w:tcPr>
          <w:p w14:paraId="68E4BB62" w14:textId="77777777" w:rsidR="008E5DE4" w:rsidRDefault="008E5DE4">
            <w:pPr>
              <w:keepNext/>
              <w:keepLines/>
              <w:widowControl w:val="0"/>
              <w:pBdr>
                <w:top w:val="nil"/>
                <w:left w:val="nil"/>
                <w:bottom w:val="nil"/>
                <w:right w:val="nil"/>
                <w:between w:val="nil"/>
              </w:pBdr>
              <w:jc w:val="right"/>
              <w:rPr>
                <w:color w:val="000000"/>
              </w:rPr>
            </w:pPr>
          </w:p>
        </w:tc>
      </w:tr>
      <w:tr w:rsidR="008E5DE4" w14:paraId="7944938F" w14:textId="77777777">
        <w:trPr>
          <w:gridAfter w:val="1"/>
          <w:wAfter w:w="113" w:type="dxa"/>
          <w:cantSplit/>
        </w:trPr>
        <w:tc>
          <w:tcPr>
            <w:tcW w:w="5556" w:type="dxa"/>
            <w:vAlign w:val="bottom"/>
          </w:tcPr>
          <w:p w14:paraId="4D30A9A6" w14:textId="77777777" w:rsidR="008E5DE4" w:rsidRDefault="00780368">
            <w:pPr>
              <w:keepNext/>
              <w:keepLines/>
              <w:widowControl w:val="0"/>
              <w:pBdr>
                <w:top w:val="nil"/>
                <w:left w:val="nil"/>
                <w:bottom w:val="nil"/>
                <w:right w:val="nil"/>
                <w:between w:val="nil"/>
              </w:pBdr>
              <w:ind w:left="113" w:right="-57" w:hanging="113"/>
              <w:rPr>
                <w:b/>
                <w:color w:val="000000"/>
              </w:rPr>
            </w:pPr>
            <w:r>
              <w:rPr>
                <w:b/>
                <w:color w:val="000000"/>
              </w:rPr>
              <w:t>Cash flows from financing activities</w:t>
            </w:r>
          </w:p>
        </w:tc>
        <w:tc>
          <w:tcPr>
            <w:tcW w:w="737" w:type="dxa"/>
            <w:vAlign w:val="bottom"/>
          </w:tcPr>
          <w:p w14:paraId="5EE91ACC" w14:textId="77777777" w:rsidR="008E5DE4" w:rsidRDefault="008E5DE4">
            <w:pPr>
              <w:keepNext/>
              <w:keepLines/>
              <w:widowControl w:val="0"/>
              <w:pBdr>
                <w:top w:val="nil"/>
                <w:left w:val="nil"/>
                <w:bottom w:val="nil"/>
                <w:right w:val="nil"/>
                <w:between w:val="nil"/>
              </w:pBdr>
              <w:jc w:val="center"/>
              <w:rPr>
                <w:color w:val="000000"/>
              </w:rPr>
            </w:pPr>
          </w:p>
        </w:tc>
        <w:tc>
          <w:tcPr>
            <w:tcW w:w="1531" w:type="dxa"/>
            <w:vAlign w:val="bottom"/>
          </w:tcPr>
          <w:p w14:paraId="2FB5E79E"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0835443" w14:textId="77777777" w:rsidR="008E5DE4" w:rsidRDefault="008E5DE4">
            <w:pPr>
              <w:keepNext/>
              <w:keepLines/>
              <w:widowControl w:val="0"/>
              <w:pBdr>
                <w:top w:val="nil"/>
                <w:left w:val="nil"/>
                <w:bottom w:val="nil"/>
                <w:right w:val="nil"/>
                <w:between w:val="nil"/>
              </w:pBdr>
              <w:jc w:val="right"/>
              <w:rPr>
                <w:color w:val="000000"/>
              </w:rPr>
            </w:pPr>
          </w:p>
        </w:tc>
      </w:tr>
      <w:tr w:rsidR="008E5DE4" w14:paraId="2B4D8170" w14:textId="77777777">
        <w:trPr>
          <w:gridAfter w:val="1"/>
          <w:wAfter w:w="113" w:type="dxa"/>
          <w:cantSplit/>
        </w:trPr>
        <w:tc>
          <w:tcPr>
            <w:tcW w:w="5556" w:type="dxa"/>
            <w:vAlign w:val="bottom"/>
          </w:tcPr>
          <w:p w14:paraId="56DDD3A7"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Proceeds from borrowings</w:t>
            </w:r>
          </w:p>
        </w:tc>
        <w:tc>
          <w:tcPr>
            <w:tcW w:w="737" w:type="dxa"/>
            <w:vAlign w:val="bottom"/>
          </w:tcPr>
          <w:p w14:paraId="170D8D81" w14:textId="77777777" w:rsidR="008E5DE4" w:rsidRDefault="008E5DE4">
            <w:pPr>
              <w:keepNext/>
              <w:keepLines/>
              <w:widowControl w:val="0"/>
              <w:pBdr>
                <w:top w:val="nil"/>
                <w:left w:val="nil"/>
                <w:bottom w:val="nil"/>
                <w:right w:val="nil"/>
                <w:between w:val="nil"/>
              </w:pBdr>
              <w:jc w:val="center"/>
              <w:rPr>
                <w:color w:val="000000"/>
              </w:rPr>
            </w:pPr>
          </w:p>
        </w:tc>
        <w:tc>
          <w:tcPr>
            <w:tcW w:w="1531" w:type="dxa"/>
            <w:vAlign w:val="bottom"/>
          </w:tcPr>
          <w:p w14:paraId="7DFA4D8D"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067E0333" w14:textId="77777777" w:rsidR="008E5DE4" w:rsidRDefault="008E5DE4">
            <w:pPr>
              <w:keepNext/>
              <w:keepLines/>
              <w:widowControl w:val="0"/>
              <w:pBdr>
                <w:top w:val="nil"/>
                <w:left w:val="nil"/>
                <w:bottom w:val="nil"/>
                <w:right w:val="nil"/>
                <w:between w:val="nil"/>
              </w:pBdr>
              <w:jc w:val="right"/>
              <w:rPr>
                <w:color w:val="000000"/>
              </w:rPr>
            </w:pPr>
          </w:p>
        </w:tc>
      </w:tr>
      <w:tr w:rsidR="008E5DE4" w14:paraId="1782BFEB" w14:textId="77777777">
        <w:trPr>
          <w:cantSplit/>
        </w:trPr>
        <w:tc>
          <w:tcPr>
            <w:tcW w:w="5556" w:type="dxa"/>
            <w:vAlign w:val="bottom"/>
          </w:tcPr>
          <w:p w14:paraId="576B6B38"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Proceeds received under a supplier financing arrangement</w:t>
            </w:r>
          </w:p>
        </w:tc>
        <w:tc>
          <w:tcPr>
            <w:tcW w:w="737" w:type="dxa"/>
            <w:vAlign w:val="bottom"/>
          </w:tcPr>
          <w:p w14:paraId="4EFD32C3" w14:textId="77777777" w:rsidR="008E5DE4" w:rsidRDefault="00780368">
            <w:pPr>
              <w:keepNext/>
              <w:keepLines/>
              <w:widowControl w:val="0"/>
              <w:pBdr>
                <w:top w:val="nil"/>
                <w:left w:val="nil"/>
                <w:bottom w:val="nil"/>
                <w:right w:val="nil"/>
                <w:between w:val="nil"/>
              </w:pBdr>
              <w:jc w:val="center"/>
              <w:rPr>
                <w:color w:val="000000"/>
              </w:rPr>
            </w:pPr>
            <w:r>
              <w:rPr>
                <w:color w:val="000000"/>
              </w:rPr>
              <w:t>34</w:t>
            </w:r>
          </w:p>
        </w:tc>
        <w:tc>
          <w:tcPr>
            <w:tcW w:w="1531" w:type="dxa"/>
            <w:vAlign w:val="bottom"/>
          </w:tcPr>
          <w:p w14:paraId="62914080" w14:textId="77777777" w:rsidR="008E5DE4" w:rsidRDefault="008E5DE4">
            <w:pPr>
              <w:keepNext/>
              <w:keepLines/>
              <w:widowControl w:val="0"/>
              <w:pBdr>
                <w:top w:val="nil"/>
                <w:left w:val="nil"/>
                <w:bottom w:val="nil"/>
                <w:right w:val="nil"/>
                <w:between w:val="nil"/>
              </w:pBdr>
              <w:jc w:val="right"/>
              <w:rPr>
                <w:color w:val="000000"/>
              </w:rPr>
            </w:pPr>
          </w:p>
        </w:tc>
        <w:tc>
          <w:tcPr>
            <w:tcW w:w="1644" w:type="dxa"/>
            <w:gridSpan w:val="2"/>
            <w:vAlign w:val="bottom"/>
          </w:tcPr>
          <w:p w14:paraId="79644A49" w14:textId="77777777" w:rsidR="008E5DE4" w:rsidRDefault="008E5DE4">
            <w:pPr>
              <w:keepNext/>
              <w:keepLines/>
              <w:widowControl w:val="0"/>
              <w:pBdr>
                <w:top w:val="nil"/>
                <w:left w:val="nil"/>
                <w:bottom w:val="nil"/>
                <w:right w:val="nil"/>
                <w:between w:val="nil"/>
              </w:pBdr>
              <w:jc w:val="right"/>
              <w:rPr>
                <w:color w:val="000000"/>
              </w:rPr>
            </w:pPr>
          </w:p>
        </w:tc>
      </w:tr>
      <w:tr w:rsidR="008E5DE4" w14:paraId="6AB34CC1" w14:textId="77777777">
        <w:trPr>
          <w:gridAfter w:val="1"/>
          <w:wAfter w:w="113" w:type="dxa"/>
          <w:cantSplit/>
        </w:trPr>
        <w:tc>
          <w:tcPr>
            <w:tcW w:w="5556" w:type="dxa"/>
            <w:vAlign w:val="bottom"/>
          </w:tcPr>
          <w:p w14:paraId="0E095558"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xml:space="preserve">Repayment of borrowings </w:t>
            </w:r>
          </w:p>
        </w:tc>
        <w:tc>
          <w:tcPr>
            <w:tcW w:w="737" w:type="dxa"/>
            <w:vAlign w:val="bottom"/>
          </w:tcPr>
          <w:p w14:paraId="171BC293" w14:textId="77777777" w:rsidR="008E5DE4" w:rsidRDefault="008E5DE4">
            <w:pPr>
              <w:keepNext/>
              <w:keepLines/>
              <w:widowControl w:val="0"/>
              <w:pBdr>
                <w:top w:val="nil"/>
                <w:left w:val="nil"/>
                <w:bottom w:val="nil"/>
                <w:right w:val="nil"/>
                <w:between w:val="nil"/>
              </w:pBdr>
              <w:jc w:val="center"/>
              <w:rPr>
                <w:color w:val="000000"/>
              </w:rPr>
            </w:pPr>
          </w:p>
        </w:tc>
        <w:tc>
          <w:tcPr>
            <w:tcW w:w="1531" w:type="dxa"/>
            <w:vAlign w:val="bottom"/>
          </w:tcPr>
          <w:p w14:paraId="1F043E52"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00D79D1F" w14:textId="77777777" w:rsidR="008E5DE4" w:rsidRDefault="008E5DE4">
            <w:pPr>
              <w:keepNext/>
              <w:keepLines/>
              <w:widowControl w:val="0"/>
              <w:pBdr>
                <w:top w:val="nil"/>
                <w:left w:val="nil"/>
                <w:bottom w:val="nil"/>
                <w:right w:val="nil"/>
                <w:between w:val="nil"/>
              </w:pBdr>
              <w:jc w:val="right"/>
              <w:rPr>
                <w:color w:val="000000"/>
              </w:rPr>
            </w:pPr>
          </w:p>
        </w:tc>
      </w:tr>
      <w:tr w:rsidR="008E5DE4" w14:paraId="17F95052" w14:textId="77777777">
        <w:trPr>
          <w:cantSplit/>
        </w:trPr>
        <w:tc>
          <w:tcPr>
            <w:tcW w:w="5556" w:type="dxa"/>
            <w:vAlign w:val="bottom"/>
          </w:tcPr>
          <w:p w14:paraId="7B94858B"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Repayments to a financial institution under a supplier finance</w:t>
            </w:r>
          </w:p>
          <w:p w14:paraId="0BD40D5A"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arrangement</w:t>
            </w:r>
          </w:p>
        </w:tc>
        <w:tc>
          <w:tcPr>
            <w:tcW w:w="737" w:type="dxa"/>
            <w:vAlign w:val="bottom"/>
          </w:tcPr>
          <w:p w14:paraId="6110DFE1" w14:textId="77777777" w:rsidR="008E5DE4" w:rsidRDefault="00780368">
            <w:pPr>
              <w:keepNext/>
              <w:keepLines/>
              <w:widowControl w:val="0"/>
              <w:pBdr>
                <w:top w:val="nil"/>
                <w:left w:val="nil"/>
                <w:bottom w:val="nil"/>
                <w:right w:val="nil"/>
                <w:between w:val="nil"/>
              </w:pBdr>
              <w:jc w:val="center"/>
              <w:rPr>
                <w:color w:val="000000"/>
              </w:rPr>
            </w:pPr>
            <w:r>
              <w:rPr>
                <w:color w:val="000000"/>
              </w:rPr>
              <w:t>34</w:t>
            </w:r>
          </w:p>
        </w:tc>
        <w:tc>
          <w:tcPr>
            <w:tcW w:w="1531" w:type="dxa"/>
            <w:vAlign w:val="bottom"/>
          </w:tcPr>
          <w:p w14:paraId="5F699EB1" w14:textId="77777777" w:rsidR="008E5DE4" w:rsidRDefault="008E5DE4">
            <w:pPr>
              <w:keepNext/>
              <w:keepLines/>
              <w:widowControl w:val="0"/>
              <w:pBdr>
                <w:top w:val="nil"/>
                <w:left w:val="nil"/>
                <w:bottom w:val="nil"/>
                <w:right w:val="nil"/>
                <w:between w:val="nil"/>
              </w:pBdr>
              <w:jc w:val="right"/>
              <w:rPr>
                <w:color w:val="000000"/>
              </w:rPr>
            </w:pPr>
          </w:p>
        </w:tc>
        <w:tc>
          <w:tcPr>
            <w:tcW w:w="1644" w:type="dxa"/>
            <w:gridSpan w:val="2"/>
            <w:vAlign w:val="bottom"/>
          </w:tcPr>
          <w:p w14:paraId="71F9D1FA" w14:textId="77777777" w:rsidR="008E5DE4" w:rsidRDefault="008E5DE4">
            <w:pPr>
              <w:keepNext/>
              <w:keepLines/>
              <w:widowControl w:val="0"/>
              <w:pBdr>
                <w:top w:val="nil"/>
                <w:left w:val="nil"/>
                <w:bottom w:val="nil"/>
                <w:right w:val="nil"/>
                <w:between w:val="nil"/>
              </w:pBdr>
              <w:jc w:val="right"/>
              <w:rPr>
                <w:color w:val="000000"/>
              </w:rPr>
            </w:pPr>
          </w:p>
        </w:tc>
      </w:tr>
      <w:tr w:rsidR="008E5DE4" w14:paraId="55B73A2A" w14:textId="77777777">
        <w:trPr>
          <w:gridAfter w:val="1"/>
          <w:wAfter w:w="113" w:type="dxa"/>
          <w:cantSplit/>
        </w:trPr>
        <w:tc>
          <w:tcPr>
            <w:tcW w:w="5556" w:type="dxa"/>
            <w:vAlign w:val="bottom"/>
          </w:tcPr>
          <w:p w14:paraId="528B0DDD" w14:textId="77777777" w:rsidR="008E5DE4" w:rsidRDefault="00780368">
            <w:pPr>
              <w:keepNext/>
              <w:keepLines/>
              <w:widowControl w:val="0"/>
              <w:pBdr>
                <w:top w:val="nil"/>
                <w:left w:val="nil"/>
                <w:bottom w:val="nil"/>
                <w:right w:val="nil"/>
                <w:between w:val="nil"/>
              </w:pBdr>
              <w:ind w:right="-57"/>
              <w:rPr>
                <w:color w:val="000000"/>
              </w:rPr>
            </w:pPr>
            <w:r>
              <w:rPr>
                <w:color w:val="000000"/>
              </w:rPr>
              <w:t>Repayment of lease liabilities – principal</w:t>
            </w:r>
          </w:p>
        </w:tc>
        <w:tc>
          <w:tcPr>
            <w:tcW w:w="737" w:type="dxa"/>
            <w:vAlign w:val="bottom"/>
          </w:tcPr>
          <w:p w14:paraId="3B9FBA57" w14:textId="77777777" w:rsidR="008E5DE4" w:rsidRDefault="008E5DE4">
            <w:pPr>
              <w:keepNext/>
              <w:keepLines/>
              <w:widowControl w:val="0"/>
              <w:pBdr>
                <w:top w:val="nil"/>
                <w:left w:val="nil"/>
                <w:bottom w:val="nil"/>
                <w:right w:val="nil"/>
                <w:between w:val="nil"/>
              </w:pBdr>
              <w:jc w:val="center"/>
              <w:rPr>
                <w:color w:val="000000"/>
              </w:rPr>
            </w:pPr>
          </w:p>
        </w:tc>
        <w:tc>
          <w:tcPr>
            <w:tcW w:w="1531" w:type="dxa"/>
            <w:vAlign w:val="bottom"/>
          </w:tcPr>
          <w:p w14:paraId="79BC7A63"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4EB01F8D" w14:textId="77777777" w:rsidR="008E5DE4" w:rsidRDefault="008E5DE4">
            <w:pPr>
              <w:keepNext/>
              <w:keepLines/>
              <w:widowControl w:val="0"/>
              <w:pBdr>
                <w:top w:val="nil"/>
                <w:left w:val="nil"/>
                <w:bottom w:val="nil"/>
                <w:right w:val="nil"/>
                <w:between w:val="nil"/>
              </w:pBdr>
              <w:jc w:val="right"/>
              <w:rPr>
                <w:color w:val="000000"/>
              </w:rPr>
            </w:pPr>
          </w:p>
        </w:tc>
      </w:tr>
      <w:tr w:rsidR="008E5DE4" w14:paraId="41F4FC93" w14:textId="77777777">
        <w:trPr>
          <w:gridAfter w:val="1"/>
          <w:wAfter w:w="113" w:type="dxa"/>
          <w:cantSplit/>
        </w:trPr>
        <w:tc>
          <w:tcPr>
            <w:tcW w:w="5556" w:type="dxa"/>
            <w:vAlign w:val="bottom"/>
          </w:tcPr>
          <w:p w14:paraId="713F443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Repayment of long-term taxes payable</w:t>
            </w:r>
          </w:p>
        </w:tc>
        <w:tc>
          <w:tcPr>
            <w:tcW w:w="737" w:type="dxa"/>
            <w:vAlign w:val="bottom"/>
          </w:tcPr>
          <w:p w14:paraId="23289520" w14:textId="77777777" w:rsidR="008E5DE4" w:rsidRDefault="008E5DE4">
            <w:pPr>
              <w:keepNext/>
              <w:keepLines/>
              <w:widowControl w:val="0"/>
              <w:pBdr>
                <w:top w:val="nil"/>
                <w:left w:val="nil"/>
                <w:bottom w:val="nil"/>
                <w:right w:val="nil"/>
                <w:between w:val="nil"/>
              </w:pBdr>
              <w:jc w:val="center"/>
              <w:rPr>
                <w:color w:val="000000"/>
              </w:rPr>
            </w:pPr>
          </w:p>
        </w:tc>
        <w:tc>
          <w:tcPr>
            <w:tcW w:w="1531" w:type="dxa"/>
            <w:vAlign w:val="bottom"/>
          </w:tcPr>
          <w:p w14:paraId="66EDA771"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463D8A71" w14:textId="77777777" w:rsidR="008E5DE4" w:rsidRDefault="008E5DE4">
            <w:pPr>
              <w:keepNext/>
              <w:keepLines/>
              <w:widowControl w:val="0"/>
              <w:pBdr>
                <w:top w:val="nil"/>
                <w:left w:val="nil"/>
                <w:bottom w:val="nil"/>
                <w:right w:val="nil"/>
                <w:between w:val="nil"/>
              </w:pBdr>
              <w:jc w:val="right"/>
              <w:rPr>
                <w:color w:val="000000"/>
              </w:rPr>
            </w:pPr>
          </w:p>
        </w:tc>
      </w:tr>
      <w:tr w:rsidR="008E5DE4" w14:paraId="011CF1E6" w14:textId="77777777">
        <w:trPr>
          <w:gridAfter w:val="1"/>
          <w:wAfter w:w="113" w:type="dxa"/>
          <w:cantSplit/>
        </w:trPr>
        <w:tc>
          <w:tcPr>
            <w:tcW w:w="5556" w:type="dxa"/>
            <w:vAlign w:val="bottom"/>
          </w:tcPr>
          <w:p w14:paraId="6E8A5FFA"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Proceeds from issuance of ordinary shares</w:t>
            </w:r>
          </w:p>
        </w:tc>
        <w:tc>
          <w:tcPr>
            <w:tcW w:w="737" w:type="dxa"/>
            <w:vAlign w:val="bottom"/>
          </w:tcPr>
          <w:p w14:paraId="4D90EC16" w14:textId="77777777" w:rsidR="008E5DE4" w:rsidRDefault="00780368">
            <w:pPr>
              <w:keepNext/>
              <w:keepLines/>
              <w:widowControl w:val="0"/>
              <w:pBdr>
                <w:top w:val="nil"/>
                <w:left w:val="nil"/>
                <w:bottom w:val="nil"/>
                <w:right w:val="nil"/>
                <w:between w:val="nil"/>
              </w:pBdr>
              <w:jc w:val="center"/>
              <w:rPr>
                <w:color w:val="000000"/>
              </w:rPr>
            </w:pPr>
            <w:r>
              <w:rPr>
                <w:color w:val="000000"/>
              </w:rPr>
              <w:t>26</w:t>
            </w:r>
          </w:p>
        </w:tc>
        <w:tc>
          <w:tcPr>
            <w:tcW w:w="1531" w:type="dxa"/>
            <w:vAlign w:val="bottom"/>
          </w:tcPr>
          <w:p w14:paraId="4BBDE1FB"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4E9339CB" w14:textId="77777777" w:rsidR="008E5DE4" w:rsidRDefault="008E5DE4">
            <w:pPr>
              <w:keepNext/>
              <w:keepLines/>
              <w:widowControl w:val="0"/>
              <w:pBdr>
                <w:top w:val="nil"/>
                <w:left w:val="nil"/>
                <w:bottom w:val="nil"/>
                <w:right w:val="nil"/>
                <w:between w:val="nil"/>
              </w:pBdr>
              <w:jc w:val="right"/>
              <w:rPr>
                <w:color w:val="000000"/>
              </w:rPr>
            </w:pPr>
          </w:p>
        </w:tc>
      </w:tr>
      <w:tr w:rsidR="008E5DE4" w14:paraId="2EE911FF" w14:textId="77777777">
        <w:trPr>
          <w:gridAfter w:val="1"/>
          <w:wAfter w:w="113" w:type="dxa"/>
          <w:cantSplit/>
        </w:trPr>
        <w:tc>
          <w:tcPr>
            <w:tcW w:w="5556" w:type="dxa"/>
            <w:vAlign w:val="bottom"/>
          </w:tcPr>
          <w:p w14:paraId="4E78AD2A"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Proceeds from issuance of preference shares</w:t>
            </w:r>
          </w:p>
        </w:tc>
        <w:tc>
          <w:tcPr>
            <w:tcW w:w="737" w:type="dxa"/>
            <w:vAlign w:val="bottom"/>
          </w:tcPr>
          <w:p w14:paraId="06980F56" w14:textId="77777777" w:rsidR="008E5DE4" w:rsidRDefault="00780368">
            <w:pPr>
              <w:keepNext/>
              <w:keepLines/>
              <w:widowControl w:val="0"/>
              <w:pBdr>
                <w:top w:val="nil"/>
                <w:left w:val="nil"/>
                <w:bottom w:val="nil"/>
                <w:right w:val="nil"/>
                <w:between w:val="nil"/>
              </w:pBdr>
              <w:jc w:val="center"/>
              <w:rPr>
                <w:color w:val="000000"/>
              </w:rPr>
            </w:pPr>
            <w:r>
              <w:rPr>
                <w:color w:val="000000"/>
              </w:rPr>
              <w:t>26</w:t>
            </w:r>
          </w:p>
        </w:tc>
        <w:tc>
          <w:tcPr>
            <w:tcW w:w="1531" w:type="dxa"/>
            <w:vAlign w:val="bottom"/>
          </w:tcPr>
          <w:p w14:paraId="1291047A"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0657291" w14:textId="77777777" w:rsidR="008E5DE4" w:rsidRDefault="008E5DE4">
            <w:pPr>
              <w:keepNext/>
              <w:keepLines/>
              <w:widowControl w:val="0"/>
              <w:pBdr>
                <w:top w:val="nil"/>
                <w:left w:val="nil"/>
                <w:bottom w:val="nil"/>
                <w:right w:val="nil"/>
                <w:between w:val="nil"/>
              </w:pBdr>
              <w:jc w:val="right"/>
              <w:rPr>
                <w:color w:val="000000"/>
              </w:rPr>
            </w:pPr>
          </w:p>
        </w:tc>
      </w:tr>
      <w:tr w:rsidR="008E5DE4" w14:paraId="6F8C78E1" w14:textId="77777777">
        <w:trPr>
          <w:gridAfter w:val="1"/>
          <w:wAfter w:w="113" w:type="dxa"/>
          <w:cantSplit/>
        </w:trPr>
        <w:tc>
          <w:tcPr>
            <w:tcW w:w="5556" w:type="dxa"/>
            <w:vAlign w:val="bottom"/>
          </w:tcPr>
          <w:p w14:paraId="3E643E00" w14:textId="77777777" w:rsidR="008E5DE4" w:rsidRDefault="00780368">
            <w:pPr>
              <w:keepNext/>
              <w:keepLines/>
              <w:widowControl w:val="0"/>
              <w:pBdr>
                <w:top w:val="nil"/>
                <w:left w:val="nil"/>
                <w:bottom w:val="nil"/>
                <w:right w:val="nil"/>
                <w:between w:val="nil"/>
              </w:pBdr>
              <w:tabs>
                <w:tab w:val="right" w:pos="8782"/>
              </w:tabs>
              <w:ind w:left="113" w:right="-57" w:hanging="113"/>
              <w:rPr>
                <w:color w:val="000000"/>
              </w:rPr>
            </w:pPr>
            <w:r>
              <w:rPr>
                <w:color w:val="000000"/>
              </w:rPr>
              <w:t>Capital contributions from shareholders other than share issues</w:t>
            </w:r>
          </w:p>
        </w:tc>
        <w:tc>
          <w:tcPr>
            <w:tcW w:w="737" w:type="dxa"/>
            <w:vAlign w:val="bottom"/>
          </w:tcPr>
          <w:p w14:paraId="26AB6217" w14:textId="77777777" w:rsidR="008E5DE4" w:rsidRDefault="00780368">
            <w:pPr>
              <w:keepNext/>
              <w:keepLines/>
              <w:widowControl w:val="0"/>
              <w:pBdr>
                <w:top w:val="nil"/>
                <w:left w:val="nil"/>
                <w:bottom w:val="nil"/>
                <w:right w:val="nil"/>
                <w:between w:val="nil"/>
              </w:pBdr>
              <w:jc w:val="center"/>
              <w:rPr>
                <w:color w:val="000000"/>
              </w:rPr>
            </w:pPr>
            <w:r>
              <w:rPr>
                <w:color w:val="000000"/>
              </w:rPr>
              <w:t>26</w:t>
            </w:r>
          </w:p>
        </w:tc>
        <w:tc>
          <w:tcPr>
            <w:tcW w:w="1531" w:type="dxa"/>
            <w:vAlign w:val="bottom"/>
          </w:tcPr>
          <w:p w14:paraId="17DEC8E6"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58CDF067" w14:textId="77777777" w:rsidR="008E5DE4" w:rsidRDefault="008E5DE4">
            <w:pPr>
              <w:keepNext/>
              <w:keepLines/>
              <w:widowControl w:val="0"/>
              <w:pBdr>
                <w:top w:val="nil"/>
                <w:left w:val="nil"/>
                <w:bottom w:val="nil"/>
                <w:right w:val="nil"/>
                <w:between w:val="nil"/>
              </w:pBdr>
              <w:jc w:val="right"/>
              <w:rPr>
                <w:color w:val="000000"/>
              </w:rPr>
            </w:pPr>
          </w:p>
        </w:tc>
      </w:tr>
      <w:tr w:rsidR="008E5DE4" w14:paraId="7FE41AAA" w14:textId="77777777">
        <w:trPr>
          <w:gridAfter w:val="1"/>
          <w:wAfter w:w="113" w:type="dxa"/>
          <w:cantSplit/>
        </w:trPr>
        <w:tc>
          <w:tcPr>
            <w:tcW w:w="5556" w:type="dxa"/>
            <w:vAlign w:val="bottom"/>
          </w:tcPr>
          <w:p w14:paraId="7B064B4B"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Capital distributions to shareholders other than dividends</w:t>
            </w:r>
          </w:p>
        </w:tc>
        <w:tc>
          <w:tcPr>
            <w:tcW w:w="737" w:type="dxa"/>
            <w:vAlign w:val="bottom"/>
          </w:tcPr>
          <w:p w14:paraId="3B836A51" w14:textId="77777777" w:rsidR="008E5DE4" w:rsidRDefault="00780368">
            <w:pPr>
              <w:keepNext/>
              <w:keepLines/>
              <w:widowControl w:val="0"/>
              <w:pBdr>
                <w:top w:val="nil"/>
                <w:left w:val="nil"/>
                <w:bottom w:val="nil"/>
                <w:right w:val="nil"/>
                <w:between w:val="nil"/>
              </w:pBdr>
              <w:jc w:val="center"/>
              <w:rPr>
                <w:color w:val="000000"/>
              </w:rPr>
            </w:pPr>
            <w:r>
              <w:rPr>
                <w:color w:val="000000"/>
              </w:rPr>
              <w:t>26</w:t>
            </w:r>
          </w:p>
        </w:tc>
        <w:tc>
          <w:tcPr>
            <w:tcW w:w="1531" w:type="dxa"/>
            <w:vAlign w:val="bottom"/>
          </w:tcPr>
          <w:p w14:paraId="3B9278D2"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D31F07E" w14:textId="77777777" w:rsidR="008E5DE4" w:rsidRDefault="008E5DE4">
            <w:pPr>
              <w:keepNext/>
              <w:keepLines/>
              <w:widowControl w:val="0"/>
              <w:pBdr>
                <w:top w:val="nil"/>
                <w:left w:val="nil"/>
                <w:bottom w:val="nil"/>
                <w:right w:val="nil"/>
                <w:between w:val="nil"/>
              </w:pBdr>
              <w:jc w:val="right"/>
              <w:rPr>
                <w:color w:val="000000"/>
              </w:rPr>
            </w:pPr>
          </w:p>
        </w:tc>
      </w:tr>
      <w:tr w:rsidR="008E5DE4" w14:paraId="392A1436" w14:textId="77777777">
        <w:trPr>
          <w:gridAfter w:val="1"/>
          <w:wAfter w:w="113" w:type="dxa"/>
          <w:cantSplit/>
        </w:trPr>
        <w:tc>
          <w:tcPr>
            <w:tcW w:w="5556" w:type="dxa"/>
            <w:vAlign w:val="bottom"/>
          </w:tcPr>
          <w:p w14:paraId="6CDFE690" w14:textId="77777777" w:rsidR="008E5DE4" w:rsidRDefault="00780368">
            <w:pPr>
              <w:widowControl w:val="0"/>
              <w:pBdr>
                <w:top w:val="nil"/>
                <w:left w:val="nil"/>
                <w:bottom w:val="nil"/>
                <w:right w:val="nil"/>
                <w:between w:val="nil"/>
              </w:pBdr>
              <w:ind w:left="113" w:right="-57" w:hanging="113"/>
              <w:rPr>
                <w:color w:val="000000"/>
              </w:rPr>
            </w:pPr>
            <w:r>
              <w:rPr>
                <w:color w:val="000000"/>
              </w:rPr>
              <w:t>Acquisition of non-controlling interest in subsidiaries</w:t>
            </w:r>
          </w:p>
        </w:tc>
        <w:tc>
          <w:tcPr>
            <w:tcW w:w="737" w:type="dxa"/>
            <w:vAlign w:val="bottom"/>
          </w:tcPr>
          <w:p w14:paraId="649D176C"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99886D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B79C291" w14:textId="77777777" w:rsidR="008E5DE4" w:rsidRDefault="008E5DE4">
            <w:pPr>
              <w:widowControl w:val="0"/>
              <w:pBdr>
                <w:top w:val="nil"/>
                <w:left w:val="nil"/>
                <w:bottom w:val="nil"/>
                <w:right w:val="nil"/>
                <w:between w:val="nil"/>
              </w:pBdr>
              <w:jc w:val="right"/>
              <w:rPr>
                <w:color w:val="000000"/>
              </w:rPr>
            </w:pPr>
          </w:p>
        </w:tc>
      </w:tr>
      <w:tr w:rsidR="008E5DE4" w14:paraId="12A90978" w14:textId="77777777">
        <w:trPr>
          <w:gridAfter w:val="1"/>
          <w:wAfter w:w="113" w:type="dxa"/>
          <w:cantSplit/>
        </w:trPr>
        <w:tc>
          <w:tcPr>
            <w:tcW w:w="5556" w:type="dxa"/>
            <w:vAlign w:val="bottom"/>
          </w:tcPr>
          <w:p w14:paraId="1E5625E0" w14:textId="77777777" w:rsidR="008E5DE4" w:rsidRDefault="00780368">
            <w:pPr>
              <w:widowControl w:val="0"/>
              <w:pBdr>
                <w:top w:val="nil"/>
                <w:left w:val="nil"/>
                <w:bottom w:val="nil"/>
                <w:right w:val="nil"/>
                <w:between w:val="nil"/>
              </w:pBdr>
              <w:ind w:left="113" w:right="-57" w:hanging="113"/>
              <w:rPr>
                <w:i/>
                <w:color w:val="000000"/>
              </w:rPr>
            </w:pPr>
            <w:r>
              <w:rPr>
                <w:color w:val="000000"/>
              </w:rPr>
              <w:t>Proceeds from disposal of non-controlling interest in subsidiaries</w:t>
            </w:r>
          </w:p>
        </w:tc>
        <w:tc>
          <w:tcPr>
            <w:tcW w:w="737" w:type="dxa"/>
            <w:vAlign w:val="bottom"/>
          </w:tcPr>
          <w:p w14:paraId="69F7B613"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F10DD7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50D84B6" w14:textId="77777777" w:rsidR="008E5DE4" w:rsidRDefault="008E5DE4">
            <w:pPr>
              <w:widowControl w:val="0"/>
              <w:pBdr>
                <w:top w:val="nil"/>
                <w:left w:val="nil"/>
                <w:bottom w:val="nil"/>
                <w:right w:val="nil"/>
                <w:between w:val="nil"/>
              </w:pBdr>
              <w:jc w:val="right"/>
              <w:rPr>
                <w:color w:val="000000"/>
              </w:rPr>
            </w:pPr>
          </w:p>
        </w:tc>
      </w:tr>
      <w:tr w:rsidR="008E5DE4" w14:paraId="6A6B2DCF" w14:textId="77777777">
        <w:trPr>
          <w:gridAfter w:val="1"/>
          <w:wAfter w:w="113" w:type="dxa"/>
          <w:cantSplit/>
        </w:trPr>
        <w:tc>
          <w:tcPr>
            <w:tcW w:w="5556" w:type="dxa"/>
            <w:vAlign w:val="bottom"/>
          </w:tcPr>
          <w:p w14:paraId="79DD01C7" w14:textId="77777777" w:rsidR="008E5DE4" w:rsidRDefault="00780368">
            <w:pPr>
              <w:widowControl w:val="0"/>
              <w:pBdr>
                <w:top w:val="nil"/>
                <w:left w:val="nil"/>
                <w:bottom w:val="nil"/>
                <w:right w:val="nil"/>
                <w:between w:val="nil"/>
              </w:pBdr>
              <w:ind w:left="113" w:right="-57" w:hanging="113"/>
              <w:rPr>
                <w:color w:val="000000"/>
              </w:rPr>
            </w:pPr>
            <w:r>
              <w:rPr>
                <w:color w:val="000000"/>
              </w:rPr>
              <w:t>Proceeds from the sale of treasury shares</w:t>
            </w:r>
          </w:p>
        </w:tc>
        <w:tc>
          <w:tcPr>
            <w:tcW w:w="737" w:type="dxa"/>
            <w:vAlign w:val="bottom"/>
          </w:tcPr>
          <w:p w14:paraId="2E9A308C" w14:textId="77777777" w:rsidR="008E5DE4" w:rsidRDefault="00780368">
            <w:pPr>
              <w:widowControl w:val="0"/>
              <w:pBdr>
                <w:top w:val="nil"/>
                <w:left w:val="nil"/>
                <w:bottom w:val="nil"/>
                <w:right w:val="nil"/>
                <w:between w:val="nil"/>
              </w:pBdr>
              <w:jc w:val="center"/>
              <w:rPr>
                <w:color w:val="000000"/>
              </w:rPr>
            </w:pPr>
            <w:r>
              <w:rPr>
                <w:color w:val="000000"/>
              </w:rPr>
              <w:t>26</w:t>
            </w:r>
          </w:p>
        </w:tc>
        <w:tc>
          <w:tcPr>
            <w:tcW w:w="1531" w:type="dxa"/>
            <w:vAlign w:val="bottom"/>
          </w:tcPr>
          <w:p w14:paraId="6C452B1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49244EE" w14:textId="77777777" w:rsidR="008E5DE4" w:rsidRDefault="008E5DE4">
            <w:pPr>
              <w:widowControl w:val="0"/>
              <w:pBdr>
                <w:top w:val="nil"/>
                <w:left w:val="nil"/>
                <w:bottom w:val="nil"/>
                <w:right w:val="nil"/>
                <w:between w:val="nil"/>
              </w:pBdr>
              <w:jc w:val="right"/>
              <w:rPr>
                <w:color w:val="000000"/>
              </w:rPr>
            </w:pPr>
          </w:p>
        </w:tc>
      </w:tr>
      <w:tr w:rsidR="008E5DE4" w14:paraId="59610963" w14:textId="77777777">
        <w:trPr>
          <w:gridAfter w:val="1"/>
          <w:wAfter w:w="113" w:type="dxa"/>
          <w:cantSplit/>
        </w:trPr>
        <w:tc>
          <w:tcPr>
            <w:tcW w:w="5556" w:type="dxa"/>
            <w:vAlign w:val="bottom"/>
          </w:tcPr>
          <w:p w14:paraId="2CC945C0" w14:textId="77777777" w:rsidR="008E5DE4" w:rsidRDefault="00780368">
            <w:pPr>
              <w:widowControl w:val="0"/>
              <w:pBdr>
                <w:top w:val="nil"/>
                <w:left w:val="nil"/>
                <w:bottom w:val="nil"/>
                <w:right w:val="nil"/>
                <w:between w:val="nil"/>
              </w:pBdr>
              <w:ind w:left="113" w:right="-57" w:hanging="113"/>
              <w:rPr>
                <w:color w:val="000000"/>
              </w:rPr>
            </w:pPr>
            <w:r>
              <w:rPr>
                <w:color w:val="000000"/>
              </w:rPr>
              <w:t>Purchase of treasury shares</w:t>
            </w:r>
          </w:p>
        </w:tc>
        <w:tc>
          <w:tcPr>
            <w:tcW w:w="737" w:type="dxa"/>
            <w:vAlign w:val="bottom"/>
          </w:tcPr>
          <w:p w14:paraId="4085B1A3" w14:textId="77777777" w:rsidR="008E5DE4" w:rsidRDefault="00780368">
            <w:pPr>
              <w:widowControl w:val="0"/>
              <w:pBdr>
                <w:top w:val="nil"/>
                <w:left w:val="nil"/>
                <w:bottom w:val="nil"/>
                <w:right w:val="nil"/>
                <w:between w:val="nil"/>
              </w:pBdr>
              <w:jc w:val="center"/>
              <w:rPr>
                <w:color w:val="000000"/>
              </w:rPr>
            </w:pPr>
            <w:r>
              <w:rPr>
                <w:color w:val="000000"/>
              </w:rPr>
              <w:t>26</w:t>
            </w:r>
          </w:p>
        </w:tc>
        <w:tc>
          <w:tcPr>
            <w:tcW w:w="1531" w:type="dxa"/>
            <w:vAlign w:val="bottom"/>
          </w:tcPr>
          <w:p w14:paraId="63FCA0B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DAE78E6" w14:textId="77777777" w:rsidR="008E5DE4" w:rsidRDefault="008E5DE4">
            <w:pPr>
              <w:widowControl w:val="0"/>
              <w:pBdr>
                <w:top w:val="nil"/>
                <w:left w:val="nil"/>
                <w:bottom w:val="nil"/>
                <w:right w:val="nil"/>
                <w:between w:val="nil"/>
              </w:pBdr>
              <w:jc w:val="right"/>
              <w:rPr>
                <w:color w:val="000000"/>
              </w:rPr>
            </w:pPr>
          </w:p>
        </w:tc>
      </w:tr>
      <w:tr w:rsidR="008E5DE4" w14:paraId="3B804F14" w14:textId="77777777">
        <w:trPr>
          <w:gridAfter w:val="1"/>
          <w:wAfter w:w="113" w:type="dxa"/>
          <w:cantSplit/>
        </w:trPr>
        <w:tc>
          <w:tcPr>
            <w:tcW w:w="5556" w:type="dxa"/>
            <w:vAlign w:val="bottom"/>
          </w:tcPr>
          <w:p w14:paraId="7AB2024A" w14:textId="77777777" w:rsidR="008E5DE4" w:rsidRDefault="00780368">
            <w:pPr>
              <w:widowControl w:val="0"/>
              <w:pBdr>
                <w:top w:val="nil"/>
                <w:left w:val="nil"/>
                <w:bottom w:val="nil"/>
                <w:right w:val="nil"/>
                <w:between w:val="nil"/>
              </w:pBdr>
              <w:ind w:left="113" w:right="-57" w:hanging="113"/>
              <w:rPr>
                <w:color w:val="000000"/>
              </w:rPr>
            </w:pPr>
            <w:r>
              <w:rPr>
                <w:color w:val="000000"/>
              </w:rPr>
              <w:t>Dividends paid to the Company’s shareholders</w:t>
            </w:r>
          </w:p>
        </w:tc>
        <w:tc>
          <w:tcPr>
            <w:tcW w:w="737" w:type="dxa"/>
            <w:vAlign w:val="bottom"/>
          </w:tcPr>
          <w:p w14:paraId="1A0EBD3B" w14:textId="77777777" w:rsidR="008E5DE4" w:rsidRDefault="00780368">
            <w:pPr>
              <w:widowControl w:val="0"/>
              <w:pBdr>
                <w:top w:val="nil"/>
                <w:left w:val="nil"/>
                <w:bottom w:val="nil"/>
                <w:right w:val="nil"/>
                <w:between w:val="nil"/>
              </w:pBdr>
              <w:jc w:val="center"/>
              <w:rPr>
                <w:color w:val="000000"/>
              </w:rPr>
            </w:pPr>
            <w:r>
              <w:rPr>
                <w:color w:val="000000"/>
              </w:rPr>
              <w:t>26</w:t>
            </w:r>
          </w:p>
        </w:tc>
        <w:tc>
          <w:tcPr>
            <w:tcW w:w="1531" w:type="dxa"/>
            <w:vAlign w:val="bottom"/>
          </w:tcPr>
          <w:p w14:paraId="427E4D1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26017DE" w14:textId="77777777" w:rsidR="008E5DE4" w:rsidRDefault="008E5DE4">
            <w:pPr>
              <w:widowControl w:val="0"/>
              <w:pBdr>
                <w:top w:val="nil"/>
                <w:left w:val="nil"/>
                <w:bottom w:val="nil"/>
                <w:right w:val="nil"/>
                <w:between w:val="nil"/>
              </w:pBdr>
              <w:jc w:val="right"/>
              <w:rPr>
                <w:color w:val="000000"/>
              </w:rPr>
            </w:pPr>
          </w:p>
        </w:tc>
      </w:tr>
      <w:tr w:rsidR="008E5DE4" w14:paraId="7EE67AED" w14:textId="77777777">
        <w:trPr>
          <w:gridAfter w:val="1"/>
          <w:wAfter w:w="113" w:type="dxa"/>
          <w:cantSplit/>
        </w:trPr>
        <w:tc>
          <w:tcPr>
            <w:tcW w:w="5556" w:type="dxa"/>
            <w:vAlign w:val="bottom"/>
          </w:tcPr>
          <w:p w14:paraId="44668B48" w14:textId="77777777" w:rsidR="008E5DE4" w:rsidRDefault="00780368">
            <w:pPr>
              <w:widowControl w:val="0"/>
              <w:pBdr>
                <w:top w:val="nil"/>
                <w:left w:val="nil"/>
                <w:bottom w:val="nil"/>
                <w:right w:val="nil"/>
                <w:between w:val="nil"/>
              </w:pBdr>
              <w:ind w:left="113" w:right="-57" w:hanging="113"/>
              <w:rPr>
                <w:color w:val="000000"/>
              </w:rPr>
            </w:pPr>
            <w:r>
              <w:rPr>
                <w:color w:val="000000"/>
              </w:rPr>
              <w:t>Dividends paid to non-controlling interests</w:t>
            </w:r>
          </w:p>
        </w:tc>
        <w:tc>
          <w:tcPr>
            <w:tcW w:w="737" w:type="dxa"/>
            <w:vAlign w:val="bottom"/>
          </w:tcPr>
          <w:p w14:paraId="2CFA31E8"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559689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20D9A55" w14:textId="77777777" w:rsidR="008E5DE4" w:rsidRDefault="008E5DE4">
            <w:pPr>
              <w:widowControl w:val="0"/>
              <w:pBdr>
                <w:top w:val="nil"/>
                <w:left w:val="nil"/>
                <w:bottom w:val="nil"/>
                <w:right w:val="nil"/>
                <w:between w:val="nil"/>
              </w:pBdr>
              <w:jc w:val="right"/>
              <w:rPr>
                <w:color w:val="000000"/>
              </w:rPr>
            </w:pPr>
          </w:p>
        </w:tc>
      </w:tr>
      <w:tr w:rsidR="008E5DE4" w14:paraId="359EB1DD" w14:textId="77777777">
        <w:trPr>
          <w:gridAfter w:val="1"/>
          <w:wAfter w:w="113" w:type="dxa"/>
          <w:cantSplit/>
        </w:trPr>
        <w:tc>
          <w:tcPr>
            <w:tcW w:w="5556" w:type="dxa"/>
            <w:tcBorders>
              <w:bottom w:val="single" w:sz="4" w:space="0" w:color="000000"/>
            </w:tcBorders>
            <w:vAlign w:val="bottom"/>
          </w:tcPr>
          <w:p w14:paraId="6B06E44F"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bottom w:val="single" w:sz="4" w:space="0" w:color="000000"/>
            </w:tcBorders>
            <w:vAlign w:val="bottom"/>
          </w:tcPr>
          <w:p w14:paraId="0271A19D"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5C51C1B3"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780DCAD" w14:textId="77777777" w:rsidR="008E5DE4" w:rsidRDefault="008E5DE4">
            <w:pPr>
              <w:widowControl w:val="0"/>
              <w:pBdr>
                <w:top w:val="nil"/>
                <w:left w:val="nil"/>
                <w:bottom w:val="nil"/>
                <w:right w:val="nil"/>
                <w:between w:val="nil"/>
              </w:pBdr>
              <w:jc w:val="right"/>
              <w:rPr>
                <w:color w:val="000000"/>
              </w:rPr>
            </w:pPr>
          </w:p>
        </w:tc>
      </w:tr>
      <w:tr w:rsidR="008E5DE4" w14:paraId="13BBC1F9" w14:textId="77777777">
        <w:trPr>
          <w:gridAfter w:val="1"/>
          <w:wAfter w:w="113" w:type="dxa"/>
          <w:cantSplit/>
        </w:trPr>
        <w:tc>
          <w:tcPr>
            <w:tcW w:w="5556" w:type="dxa"/>
            <w:tcBorders>
              <w:top w:val="single" w:sz="4" w:space="0" w:color="000000"/>
            </w:tcBorders>
            <w:vAlign w:val="bottom"/>
          </w:tcPr>
          <w:p w14:paraId="241A3D09"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1DA43C44"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40A8C6CF"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25DFBF54" w14:textId="77777777" w:rsidR="008E5DE4" w:rsidRDefault="008E5DE4">
            <w:pPr>
              <w:widowControl w:val="0"/>
              <w:pBdr>
                <w:top w:val="nil"/>
                <w:left w:val="nil"/>
                <w:bottom w:val="nil"/>
                <w:right w:val="nil"/>
                <w:between w:val="nil"/>
              </w:pBdr>
              <w:jc w:val="right"/>
              <w:rPr>
                <w:color w:val="000000"/>
              </w:rPr>
            </w:pPr>
          </w:p>
        </w:tc>
      </w:tr>
      <w:tr w:rsidR="008E5DE4" w14:paraId="37A2D208" w14:textId="77777777">
        <w:trPr>
          <w:gridAfter w:val="1"/>
          <w:wAfter w:w="113" w:type="dxa"/>
          <w:cantSplit/>
        </w:trPr>
        <w:tc>
          <w:tcPr>
            <w:tcW w:w="5556" w:type="dxa"/>
            <w:vAlign w:val="bottom"/>
          </w:tcPr>
          <w:p w14:paraId="250D39BC"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Net cash from </w:t>
            </w:r>
            <w:r>
              <w:rPr>
                <w:b/>
                <w:color w:val="0000FF"/>
              </w:rPr>
              <w:t>[used in]</w:t>
            </w:r>
            <w:r>
              <w:rPr>
                <w:b/>
                <w:color w:val="000000"/>
              </w:rPr>
              <w:t xml:space="preserve"> financing activities</w:t>
            </w:r>
          </w:p>
        </w:tc>
        <w:tc>
          <w:tcPr>
            <w:tcW w:w="737" w:type="dxa"/>
            <w:vAlign w:val="bottom"/>
          </w:tcPr>
          <w:p w14:paraId="076CB7B1"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0CFC55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DD24B62" w14:textId="77777777" w:rsidR="008E5DE4" w:rsidRDefault="008E5DE4">
            <w:pPr>
              <w:widowControl w:val="0"/>
              <w:pBdr>
                <w:top w:val="nil"/>
                <w:left w:val="nil"/>
                <w:bottom w:val="nil"/>
                <w:right w:val="nil"/>
                <w:between w:val="nil"/>
              </w:pBdr>
              <w:jc w:val="right"/>
              <w:rPr>
                <w:color w:val="000000"/>
              </w:rPr>
            </w:pPr>
          </w:p>
        </w:tc>
      </w:tr>
      <w:tr w:rsidR="008E5DE4" w14:paraId="6E5FA0CA" w14:textId="77777777">
        <w:trPr>
          <w:gridAfter w:val="1"/>
          <w:wAfter w:w="113" w:type="dxa"/>
          <w:cantSplit/>
        </w:trPr>
        <w:tc>
          <w:tcPr>
            <w:tcW w:w="5556" w:type="dxa"/>
            <w:tcBorders>
              <w:bottom w:val="single" w:sz="4" w:space="0" w:color="000000"/>
            </w:tcBorders>
            <w:vAlign w:val="bottom"/>
          </w:tcPr>
          <w:p w14:paraId="7C60583E"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bottom w:val="single" w:sz="4" w:space="0" w:color="000000"/>
            </w:tcBorders>
            <w:vAlign w:val="bottom"/>
          </w:tcPr>
          <w:p w14:paraId="17262C7A"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2E84F1CE"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D3D2921" w14:textId="77777777" w:rsidR="008E5DE4" w:rsidRDefault="008E5DE4">
            <w:pPr>
              <w:widowControl w:val="0"/>
              <w:pBdr>
                <w:top w:val="nil"/>
                <w:left w:val="nil"/>
                <w:bottom w:val="nil"/>
                <w:right w:val="nil"/>
                <w:between w:val="nil"/>
              </w:pBdr>
              <w:jc w:val="right"/>
              <w:rPr>
                <w:color w:val="000000"/>
              </w:rPr>
            </w:pPr>
          </w:p>
        </w:tc>
      </w:tr>
      <w:tr w:rsidR="008E5DE4" w14:paraId="506A6B4B" w14:textId="77777777">
        <w:trPr>
          <w:gridAfter w:val="1"/>
          <w:wAfter w:w="113" w:type="dxa"/>
          <w:cantSplit/>
        </w:trPr>
        <w:tc>
          <w:tcPr>
            <w:tcW w:w="5556" w:type="dxa"/>
            <w:tcBorders>
              <w:top w:val="single" w:sz="4" w:space="0" w:color="000000"/>
            </w:tcBorders>
            <w:vAlign w:val="bottom"/>
          </w:tcPr>
          <w:p w14:paraId="65A8625C"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top w:val="single" w:sz="4" w:space="0" w:color="000000"/>
            </w:tcBorders>
            <w:vAlign w:val="bottom"/>
          </w:tcPr>
          <w:p w14:paraId="07D262BB" w14:textId="77777777" w:rsidR="008E5DE4" w:rsidRDefault="008E5DE4">
            <w:pPr>
              <w:widowControl w:val="0"/>
              <w:pBdr>
                <w:top w:val="nil"/>
                <w:left w:val="nil"/>
                <w:bottom w:val="nil"/>
                <w:right w:val="nil"/>
                <w:between w:val="nil"/>
              </w:pBdr>
              <w:jc w:val="center"/>
              <w:rPr>
                <w:color w:val="000000"/>
              </w:rPr>
            </w:pPr>
          </w:p>
        </w:tc>
        <w:tc>
          <w:tcPr>
            <w:tcW w:w="1531" w:type="dxa"/>
            <w:tcBorders>
              <w:top w:val="single" w:sz="4" w:space="0" w:color="000000"/>
            </w:tcBorders>
            <w:vAlign w:val="bottom"/>
          </w:tcPr>
          <w:p w14:paraId="2D22445A"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6A4EED0" w14:textId="77777777" w:rsidR="008E5DE4" w:rsidRDefault="008E5DE4">
            <w:pPr>
              <w:widowControl w:val="0"/>
              <w:pBdr>
                <w:top w:val="nil"/>
                <w:left w:val="nil"/>
                <w:bottom w:val="nil"/>
                <w:right w:val="nil"/>
                <w:between w:val="nil"/>
              </w:pBdr>
              <w:jc w:val="right"/>
              <w:rPr>
                <w:color w:val="000000"/>
              </w:rPr>
            </w:pPr>
          </w:p>
        </w:tc>
      </w:tr>
      <w:tr w:rsidR="008E5DE4" w14:paraId="3BAFA67A" w14:textId="77777777">
        <w:trPr>
          <w:gridAfter w:val="1"/>
          <w:wAfter w:w="113" w:type="dxa"/>
          <w:cantSplit/>
        </w:trPr>
        <w:tc>
          <w:tcPr>
            <w:tcW w:w="5556" w:type="dxa"/>
            <w:vAlign w:val="bottom"/>
          </w:tcPr>
          <w:p w14:paraId="1DA2EBE6" w14:textId="77777777" w:rsidR="008E5DE4" w:rsidRDefault="00780368">
            <w:pPr>
              <w:widowControl w:val="0"/>
              <w:pBdr>
                <w:top w:val="nil"/>
                <w:left w:val="nil"/>
                <w:bottom w:val="nil"/>
                <w:right w:val="nil"/>
                <w:between w:val="nil"/>
              </w:pBdr>
              <w:ind w:left="113" w:right="-57" w:hanging="113"/>
              <w:rPr>
                <w:color w:val="000000"/>
              </w:rPr>
            </w:pPr>
            <w:r>
              <w:rPr>
                <w:color w:val="000000"/>
              </w:rPr>
              <w:t>Effect of exchange rate changes on cash and cash equivalents</w:t>
            </w:r>
          </w:p>
        </w:tc>
        <w:tc>
          <w:tcPr>
            <w:tcW w:w="737" w:type="dxa"/>
            <w:vAlign w:val="bottom"/>
          </w:tcPr>
          <w:p w14:paraId="0E408D41"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D77C10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6349E74" w14:textId="77777777" w:rsidR="008E5DE4" w:rsidRDefault="008E5DE4">
            <w:pPr>
              <w:widowControl w:val="0"/>
              <w:pBdr>
                <w:top w:val="nil"/>
                <w:left w:val="nil"/>
                <w:bottom w:val="nil"/>
                <w:right w:val="nil"/>
                <w:between w:val="nil"/>
              </w:pBdr>
              <w:jc w:val="right"/>
              <w:rPr>
                <w:color w:val="000000"/>
              </w:rPr>
            </w:pPr>
          </w:p>
        </w:tc>
      </w:tr>
      <w:tr w:rsidR="008E5DE4" w14:paraId="657AECC3" w14:textId="77777777">
        <w:trPr>
          <w:gridAfter w:val="1"/>
          <w:wAfter w:w="113" w:type="dxa"/>
          <w:cantSplit/>
        </w:trPr>
        <w:tc>
          <w:tcPr>
            <w:tcW w:w="5556" w:type="dxa"/>
            <w:tcBorders>
              <w:bottom w:val="single" w:sz="4" w:space="0" w:color="000000"/>
            </w:tcBorders>
            <w:vAlign w:val="bottom"/>
          </w:tcPr>
          <w:p w14:paraId="5C926418"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bottom w:val="single" w:sz="4" w:space="0" w:color="000000"/>
            </w:tcBorders>
            <w:vAlign w:val="bottom"/>
          </w:tcPr>
          <w:p w14:paraId="7716DB63"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42EB49A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77603C1" w14:textId="77777777" w:rsidR="008E5DE4" w:rsidRDefault="008E5DE4">
            <w:pPr>
              <w:widowControl w:val="0"/>
              <w:pBdr>
                <w:top w:val="nil"/>
                <w:left w:val="nil"/>
                <w:bottom w:val="nil"/>
                <w:right w:val="nil"/>
                <w:between w:val="nil"/>
              </w:pBdr>
              <w:jc w:val="right"/>
              <w:rPr>
                <w:color w:val="000000"/>
              </w:rPr>
            </w:pPr>
          </w:p>
        </w:tc>
      </w:tr>
      <w:tr w:rsidR="008E5DE4" w14:paraId="587ED827" w14:textId="77777777">
        <w:trPr>
          <w:gridAfter w:val="1"/>
          <w:wAfter w:w="113" w:type="dxa"/>
          <w:cantSplit/>
        </w:trPr>
        <w:tc>
          <w:tcPr>
            <w:tcW w:w="5556" w:type="dxa"/>
            <w:vAlign w:val="bottom"/>
          </w:tcPr>
          <w:p w14:paraId="37D9D307"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vAlign w:val="bottom"/>
          </w:tcPr>
          <w:p w14:paraId="3A81736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334472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79A60C2" w14:textId="77777777" w:rsidR="008E5DE4" w:rsidRDefault="008E5DE4">
            <w:pPr>
              <w:widowControl w:val="0"/>
              <w:pBdr>
                <w:top w:val="nil"/>
                <w:left w:val="nil"/>
                <w:bottom w:val="nil"/>
                <w:right w:val="nil"/>
                <w:between w:val="nil"/>
              </w:pBdr>
              <w:jc w:val="right"/>
              <w:rPr>
                <w:color w:val="000000"/>
              </w:rPr>
            </w:pPr>
          </w:p>
        </w:tc>
      </w:tr>
      <w:tr w:rsidR="008E5DE4" w14:paraId="07F5FA38" w14:textId="77777777">
        <w:trPr>
          <w:gridAfter w:val="1"/>
          <w:wAfter w:w="113" w:type="dxa"/>
          <w:cantSplit/>
        </w:trPr>
        <w:tc>
          <w:tcPr>
            <w:tcW w:w="5556" w:type="dxa"/>
            <w:vAlign w:val="bottom"/>
          </w:tcPr>
          <w:p w14:paraId="15373CAB" w14:textId="77777777" w:rsidR="008E5DE4" w:rsidRDefault="00780368">
            <w:pPr>
              <w:widowControl w:val="0"/>
              <w:pBdr>
                <w:top w:val="nil"/>
                <w:left w:val="nil"/>
                <w:bottom w:val="nil"/>
                <w:right w:val="nil"/>
                <w:between w:val="nil"/>
              </w:pBdr>
              <w:ind w:left="113" w:right="-57" w:hanging="113"/>
              <w:rPr>
                <w:b/>
                <w:color w:val="000000"/>
              </w:rPr>
            </w:pPr>
            <w:r>
              <w:rPr>
                <w:b/>
                <w:color w:val="000000"/>
              </w:rPr>
              <w:t>Cash and cash equivalents at the beginning of the year</w:t>
            </w:r>
          </w:p>
        </w:tc>
        <w:tc>
          <w:tcPr>
            <w:tcW w:w="737" w:type="dxa"/>
            <w:vAlign w:val="bottom"/>
          </w:tcPr>
          <w:p w14:paraId="031F2033"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C23013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5F2A021" w14:textId="77777777" w:rsidR="008E5DE4" w:rsidRDefault="008E5DE4">
            <w:pPr>
              <w:widowControl w:val="0"/>
              <w:pBdr>
                <w:top w:val="nil"/>
                <w:left w:val="nil"/>
                <w:bottom w:val="nil"/>
                <w:right w:val="nil"/>
                <w:between w:val="nil"/>
              </w:pBdr>
              <w:jc w:val="right"/>
              <w:rPr>
                <w:color w:val="000000"/>
              </w:rPr>
            </w:pPr>
          </w:p>
        </w:tc>
      </w:tr>
      <w:tr w:rsidR="008E5DE4" w14:paraId="43767E7A" w14:textId="77777777">
        <w:trPr>
          <w:gridAfter w:val="1"/>
          <w:wAfter w:w="113" w:type="dxa"/>
          <w:cantSplit/>
        </w:trPr>
        <w:tc>
          <w:tcPr>
            <w:tcW w:w="5556" w:type="dxa"/>
            <w:tcBorders>
              <w:bottom w:val="single" w:sz="4" w:space="0" w:color="000000"/>
            </w:tcBorders>
            <w:vAlign w:val="bottom"/>
          </w:tcPr>
          <w:p w14:paraId="028CDCDC"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bottom w:val="single" w:sz="4" w:space="0" w:color="000000"/>
            </w:tcBorders>
            <w:vAlign w:val="bottom"/>
          </w:tcPr>
          <w:p w14:paraId="7101A555"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4" w:space="0" w:color="000000"/>
            </w:tcBorders>
            <w:vAlign w:val="bottom"/>
          </w:tcPr>
          <w:p w14:paraId="67309DA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F1DC0B3" w14:textId="77777777" w:rsidR="008E5DE4" w:rsidRDefault="008E5DE4">
            <w:pPr>
              <w:widowControl w:val="0"/>
              <w:pBdr>
                <w:top w:val="nil"/>
                <w:left w:val="nil"/>
                <w:bottom w:val="nil"/>
                <w:right w:val="nil"/>
                <w:between w:val="nil"/>
              </w:pBdr>
              <w:jc w:val="right"/>
              <w:rPr>
                <w:color w:val="000000"/>
              </w:rPr>
            </w:pPr>
          </w:p>
        </w:tc>
      </w:tr>
      <w:tr w:rsidR="008E5DE4" w14:paraId="1CB5318B" w14:textId="77777777">
        <w:trPr>
          <w:gridAfter w:val="1"/>
          <w:wAfter w:w="113" w:type="dxa"/>
          <w:cantSplit/>
        </w:trPr>
        <w:tc>
          <w:tcPr>
            <w:tcW w:w="5556" w:type="dxa"/>
            <w:vAlign w:val="bottom"/>
          </w:tcPr>
          <w:p w14:paraId="33DED3EE"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vAlign w:val="bottom"/>
          </w:tcPr>
          <w:p w14:paraId="0675217D"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6926B9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A3635A7" w14:textId="77777777" w:rsidR="008E5DE4" w:rsidRDefault="008E5DE4">
            <w:pPr>
              <w:widowControl w:val="0"/>
              <w:pBdr>
                <w:top w:val="nil"/>
                <w:left w:val="nil"/>
                <w:bottom w:val="nil"/>
                <w:right w:val="nil"/>
                <w:between w:val="nil"/>
              </w:pBdr>
              <w:jc w:val="right"/>
              <w:rPr>
                <w:color w:val="000000"/>
              </w:rPr>
            </w:pPr>
          </w:p>
        </w:tc>
      </w:tr>
      <w:tr w:rsidR="008E5DE4" w14:paraId="31C5CA3A" w14:textId="77777777">
        <w:trPr>
          <w:gridAfter w:val="1"/>
          <w:wAfter w:w="113" w:type="dxa"/>
          <w:cantSplit/>
        </w:trPr>
        <w:tc>
          <w:tcPr>
            <w:tcW w:w="5556" w:type="dxa"/>
            <w:vAlign w:val="bottom"/>
          </w:tcPr>
          <w:p w14:paraId="6E3A6E38" w14:textId="77777777" w:rsidR="008E5DE4" w:rsidRDefault="00780368">
            <w:pPr>
              <w:widowControl w:val="0"/>
              <w:pBdr>
                <w:top w:val="nil"/>
                <w:left w:val="nil"/>
                <w:bottom w:val="nil"/>
                <w:right w:val="nil"/>
                <w:between w:val="nil"/>
              </w:pBdr>
              <w:ind w:left="113" w:right="-57" w:hanging="113"/>
              <w:rPr>
                <w:b/>
                <w:color w:val="000000"/>
              </w:rPr>
            </w:pPr>
            <w:r>
              <w:rPr>
                <w:b/>
                <w:color w:val="000000"/>
              </w:rPr>
              <w:t>Cash and cash equivalents at the end of the year</w:t>
            </w:r>
          </w:p>
        </w:tc>
        <w:tc>
          <w:tcPr>
            <w:tcW w:w="737" w:type="dxa"/>
            <w:vAlign w:val="bottom"/>
          </w:tcPr>
          <w:p w14:paraId="52A35A8C" w14:textId="77777777" w:rsidR="008E5DE4" w:rsidRDefault="00780368">
            <w:pPr>
              <w:widowControl w:val="0"/>
              <w:pBdr>
                <w:top w:val="nil"/>
                <w:left w:val="nil"/>
                <w:bottom w:val="nil"/>
                <w:right w:val="nil"/>
                <w:between w:val="nil"/>
              </w:pBdr>
              <w:jc w:val="center"/>
              <w:rPr>
                <w:color w:val="000000"/>
              </w:rPr>
            </w:pPr>
            <w:r>
              <w:rPr>
                <w:color w:val="000000"/>
              </w:rPr>
              <w:t>24</w:t>
            </w:r>
          </w:p>
        </w:tc>
        <w:tc>
          <w:tcPr>
            <w:tcW w:w="1531" w:type="dxa"/>
            <w:vAlign w:val="bottom"/>
          </w:tcPr>
          <w:p w14:paraId="5FD57E9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66E0AB" w14:textId="77777777" w:rsidR="008E5DE4" w:rsidRDefault="008E5DE4">
            <w:pPr>
              <w:widowControl w:val="0"/>
              <w:pBdr>
                <w:top w:val="nil"/>
                <w:left w:val="nil"/>
                <w:bottom w:val="nil"/>
                <w:right w:val="nil"/>
                <w:between w:val="nil"/>
              </w:pBdr>
              <w:jc w:val="right"/>
              <w:rPr>
                <w:color w:val="000000"/>
              </w:rPr>
            </w:pPr>
          </w:p>
        </w:tc>
      </w:tr>
      <w:tr w:rsidR="008E5DE4" w14:paraId="74EE4322" w14:textId="77777777">
        <w:trPr>
          <w:gridAfter w:val="1"/>
          <w:wAfter w:w="113" w:type="dxa"/>
          <w:cantSplit/>
        </w:trPr>
        <w:tc>
          <w:tcPr>
            <w:tcW w:w="5556" w:type="dxa"/>
            <w:tcBorders>
              <w:bottom w:val="single" w:sz="12" w:space="0" w:color="000000"/>
            </w:tcBorders>
            <w:vAlign w:val="bottom"/>
          </w:tcPr>
          <w:p w14:paraId="0BEBDF33"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737" w:type="dxa"/>
            <w:tcBorders>
              <w:bottom w:val="single" w:sz="12" w:space="0" w:color="000000"/>
            </w:tcBorders>
            <w:vAlign w:val="bottom"/>
          </w:tcPr>
          <w:p w14:paraId="72DE6FFB" w14:textId="77777777" w:rsidR="008E5DE4" w:rsidRDefault="008E5DE4">
            <w:pPr>
              <w:widowControl w:val="0"/>
              <w:pBdr>
                <w:top w:val="nil"/>
                <w:left w:val="nil"/>
                <w:bottom w:val="nil"/>
                <w:right w:val="nil"/>
                <w:between w:val="nil"/>
              </w:pBdr>
              <w:jc w:val="center"/>
              <w:rPr>
                <w:color w:val="000000"/>
              </w:rPr>
            </w:pPr>
          </w:p>
        </w:tc>
        <w:tc>
          <w:tcPr>
            <w:tcW w:w="1531" w:type="dxa"/>
            <w:tcBorders>
              <w:bottom w:val="single" w:sz="12" w:space="0" w:color="000000"/>
            </w:tcBorders>
            <w:vAlign w:val="bottom"/>
          </w:tcPr>
          <w:p w14:paraId="5A7AE2D3"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375C8F32" w14:textId="77777777" w:rsidR="008E5DE4" w:rsidRDefault="008E5DE4">
            <w:pPr>
              <w:widowControl w:val="0"/>
              <w:pBdr>
                <w:top w:val="nil"/>
                <w:left w:val="nil"/>
                <w:bottom w:val="nil"/>
                <w:right w:val="nil"/>
                <w:between w:val="nil"/>
              </w:pBdr>
              <w:jc w:val="right"/>
              <w:rPr>
                <w:color w:val="000000"/>
              </w:rPr>
            </w:pPr>
          </w:p>
        </w:tc>
      </w:tr>
    </w:tbl>
    <w:p w14:paraId="5245A063" w14:textId="0E6A7EE3" w:rsidR="008E5DE4" w:rsidRDefault="00780368" w:rsidP="007F183E">
      <w:pPr>
        <w:widowControl w:val="0"/>
        <w:pBdr>
          <w:top w:val="nil"/>
          <w:left w:val="nil"/>
          <w:bottom w:val="nil"/>
          <w:right w:val="nil"/>
          <w:between w:val="nil"/>
        </w:pBdr>
        <w:spacing w:before="120" w:after="120"/>
        <w:jc w:val="both"/>
        <w:rPr>
          <w:i/>
          <w:color w:val="FF0000"/>
          <w:sz w:val="20"/>
          <w:szCs w:val="20"/>
        </w:rPr>
        <w:sectPr w:rsidR="008E5DE4">
          <w:headerReference w:type="default" r:id="rId24"/>
          <w:pgSz w:w="11907" w:h="16840"/>
          <w:pgMar w:top="1418" w:right="851" w:bottom="1134" w:left="1701" w:header="737" w:footer="567" w:gutter="0"/>
          <w:cols w:space="708"/>
        </w:sectPr>
      </w:pPr>
      <w:r>
        <w:rPr>
          <w:color w:val="0000FF"/>
          <w:sz w:val="20"/>
          <w:szCs w:val="20"/>
        </w:rPr>
        <w:t xml:space="preserve">[Refer to Note 42 for investing and financing transactions that did not require the use of cash and cash equivalents and were excluded from the consolidated statement of cash flows.] </w:t>
      </w:r>
    </w:p>
    <w:p w14:paraId="5426CB75" w14:textId="77777777" w:rsidR="008E5DE4" w:rsidRDefault="00780368" w:rsidP="00BB1486">
      <w:pPr>
        <w:pStyle w:val="Heading1"/>
        <w:numPr>
          <w:ilvl w:val="0"/>
          <w:numId w:val="3"/>
        </w:numPr>
        <w:spacing w:before="0"/>
        <w:ind w:left="567" w:hanging="567"/>
      </w:pPr>
      <w:bookmarkStart w:id="3" w:name="_Toc149923600"/>
      <w:r>
        <w:lastRenderedPageBreak/>
        <w:t>ABC Group and its Operations</w:t>
      </w:r>
      <w:bookmarkEnd w:id="3"/>
    </w:p>
    <w:p w14:paraId="6F582B02" w14:textId="49C43C1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These consolidated financial statements have been prepared in accordance with International Financial Reporting Standards as issued by the IASB (“IFRS Accounting Standards”) for the year ended 31 December </w:t>
      </w:r>
      <w:r w:rsidR="008614F8">
        <w:rPr>
          <w:color w:val="000000"/>
          <w:sz w:val="20"/>
          <w:szCs w:val="20"/>
        </w:rPr>
        <w:t>2025</w:t>
      </w:r>
      <w:r>
        <w:rPr>
          <w:color w:val="000000"/>
          <w:sz w:val="20"/>
          <w:szCs w:val="20"/>
        </w:rPr>
        <w:t xml:space="preserve"> for ABC (the “Company”) and its subsidiaries (the “Group”).</w:t>
      </w:r>
    </w:p>
    <w:p w14:paraId="2476CDF6"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Company was incorporated and is domiciled in </w:t>
      </w:r>
      <w:r>
        <w:rPr>
          <w:color w:val="0000FF"/>
          <w:sz w:val="20"/>
          <w:szCs w:val="20"/>
        </w:rPr>
        <w:t>[Country]</w:t>
      </w:r>
      <w:r>
        <w:rPr>
          <w:color w:val="000000"/>
          <w:sz w:val="20"/>
          <w:szCs w:val="20"/>
        </w:rPr>
        <w:t xml:space="preserve">. The Company is a public joint stock company </w:t>
      </w:r>
      <w:r>
        <w:rPr>
          <w:i/>
          <w:color w:val="0000FF"/>
          <w:sz w:val="20"/>
          <w:szCs w:val="20"/>
        </w:rPr>
        <w:t>[or state the appropriate civil code classification]</w:t>
      </w:r>
      <w:r>
        <w:rPr>
          <w:color w:val="000000"/>
          <w:sz w:val="20"/>
          <w:szCs w:val="20"/>
        </w:rPr>
        <w:t xml:space="preserve"> and was set up in accordance with </w:t>
      </w:r>
      <w:r>
        <w:rPr>
          <w:color w:val="0000FF"/>
          <w:sz w:val="20"/>
          <w:szCs w:val="20"/>
        </w:rPr>
        <w:t>[</w:t>
      </w:r>
      <w:proofErr w:type="gramStart"/>
      <w:r>
        <w:rPr>
          <w:color w:val="0000FF"/>
          <w:sz w:val="20"/>
          <w:szCs w:val="20"/>
        </w:rPr>
        <w:t>Country’s]</w:t>
      </w:r>
      <w:r>
        <w:rPr>
          <w:color w:val="000000"/>
          <w:sz w:val="20"/>
          <w:szCs w:val="20"/>
        </w:rPr>
        <w:t xml:space="preserve">  regulations</w:t>
      </w:r>
      <w:proofErr w:type="gramEnd"/>
      <w:r>
        <w:rPr>
          <w:color w:val="000000"/>
          <w:sz w:val="20"/>
          <w:szCs w:val="20"/>
        </w:rPr>
        <w:t xml:space="preserve">. </w:t>
      </w:r>
    </w:p>
    <w:p w14:paraId="7CC80EEF" w14:textId="09420371" w:rsidR="008E5DE4" w:rsidRDefault="00780368">
      <w:pPr>
        <w:widowControl w:val="0"/>
        <w:pBdr>
          <w:top w:val="nil"/>
          <w:left w:val="nil"/>
          <w:bottom w:val="nil"/>
          <w:right w:val="nil"/>
          <w:between w:val="nil"/>
        </w:pBdr>
        <w:spacing w:before="200" w:after="200"/>
        <w:jc w:val="both"/>
        <w:rPr>
          <w:color w:val="000000"/>
          <w:sz w:val="20"/>
          <w:szCs w:val="20"/>
        </w:rPr>
      </w:pPr>
      <w:bookmarkStart w:id="4" w:name="_heading=h.2et92p0" w:colFirst="0" w:colLast="0"/>
      <w:bookmarkEnd w:id="4"/>
      <w:r>
        <w:rPr>
          <w:color w:val="000000"/>
          <w:sz w:val="20"/>
          <w:szCs w:val="20"/>
        </w:rPr>
        <w:t xml:space="preserve">As of </w:t>
      </w:r>
      <w:proofErr w:type="gramStart"/>
      <w:r>
        <w:rPr>
          <w:color w:val="000000"/>
          <w:sz w:val="20"/>
          <w:szCs w:val="20"/>
        </w:rPr>
        <w:t xml:space="preserve">31 December </w:t>
      </w:r>
      <w:r w:rsidR="008614F8">
        <w:rPr>
          <w:color w:val="000000"/>
          <w:sz w:val="20"/>
          <w:szCs w:val="20"/>
        </w:rPr>
        <w:t>2025</w:t>
      </w:r>
      <w:proofErr w:type="gramEnd"/>
      <w:r>
        <w:rPr>
          <w:color w:val="000000"/>
          <w:sz w:val="20"/>
          <w:szCs w:val="20"/>
        </w:rPr>
        <w:t xml:space="preserve"> and </w:t>
      </w:r>
      <w:r w:rsidR="00FF468A">
        <w:rPr>
          <w:color w:val="000000"/>
          <w:sz w:val="20"/>
          <w:szCs w:val="20"/>
        </w:rPr>
        <w:t>2024</w:t>
      </w:r>
      <w:r>
        <w:rPr>
          <w:color w:val="000000"/>
          <w:sz w:val="20"/>
          <w:szCs w:val="20"/>
        </w:rPr>
        <w:t xml:space="preserve"> the Company’s immediate </w:t>
      </w:r>
      <w:r>
        <w:rPr>
          <w:color w:val="0000FF"/>
          <w:sz w:val="20"/>
          <w:szCs w:val="20"/>
        </w:rPr>
        <w:t>[and ultimate]</w:t>
      </w:r>
      <w:r>
        <w:rPr>
          <w:color w:val="000000"/>
          <w:sz w:val="20"/>
          <w:szCs w:val="20"/>
        </w:rPr>
        <w:t xml:space="preserve"> parent company was _____, and the Company was ultimately controlled by </w:t>
      </w:r>
      <w:r w:rsidR="006A15AF" w:rsidRPr="006A15AF">
        <w:rPr>
          <w:color w:val="0000FF"/>
          <w:sz w:val="20"/>
          <w:szCs w:val="20"/>
        </w:rPr>
        <w:t>[</w:t>
      </w:r>
      <w:r w:rsidRPr="006A15AF">
        <w:rPr>
          <w:color w:val="0000FF"/>
          <w:sz w:val="20"/>
          <w:szCs w:val="20"/>
        </w:rPr>
        <w:t>Mr _____.]</w:t>
      </w:r>
      <w:r>
        <w:rPr>
          <w:color w:val="000000"/>
          <w:sz w:val="20"/>
          <w:szCs w:val="20"/>
        </w:rPr>
        <w:t xml:space="preserve"> </w:t>
      </w:r>
      <w:r>
        <w:rPr>
          <w:color w:val="0000FF"/>
          <w:sz w:val="20"/>
          <w:szCs w:val="20"/>
        </w:rPr>
        <w:t>[Neither the Group’s immediate parent nor the ultimate controlling party produce consolidated financial statements that are available for public use and comply with IFRS Accounting Standards. The next most senior parent, [NAME], published its last consolidated financial statements for the year ended _____.]</w:t>
      </w:r>
      <w:r>
        <w:rPr>
          <w:color w:val="000000"/>
          <w:sz w:val="20"/>
          <w:szCs w:val="20"/>
        </w:rPr>
        <w:t xml:space="preserve"> </w:t>
      </w:r>
    </w:p>
    <w:p w14:paraId="21F1EC59"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Principal activity. </w:t>
      </w:r>
      <w:r>
        <w:rPr>
          <w:color w:val="000000"/>
          <w:sz w:val="20"/>
          <w:szCs w:val="20"/>
        </w:rPr>
        <w:t xml:space="preserve">The Group’s principal business activity is </w:t>
      </w:r>
      <w:r>
        <w:rPr>
          <w:color w:val="0000FF"/>
          <w:sz w:val="20"/>
          <w:szCs w:val="20"/>
        </w:rPr>
        <w:t>[</w:t>
      </w:r>
      <w:r>
        <w:rPr>
          <w:i/>
          <w:color w:val="0000FF"/>
          <w:sz w:val="20"/>
          <w:szCs w:val="20"/>
        </w:rPr>
        <w:t>description</w:t>
      </w:r>
      <w:r>
        <w:rPr>
          <w:color w:val="0000FF"/>
          <w:sz w:val="20"/>
          <w:szCs w:val="20"/>
        </w:rPr>
        <w:t>]</w:t>
      </w:r>
      <w:r>
        <w:rPr>
          <w:color w:val="000000"/>
          <w:sz w:val="20"/>
          <w:szCs w:val="20"/>
        </w:rPr>
        <w:t xml:space="preserve"> operations within </w:t>
      </w:r>
      <w:r>
        <w:rPr>
          <w:color w:val="0000FF"/>
          <w:sz w:val="20"/>
          <w:szCs w:val="20"/>
        </w:rPr>
        <w:t>[Country]</w:t>
      </w:r>
      <w:r>
        <w:rPr>
          <w:color w:val="000000"/>
          <w:sz w:val="20"/>
          <w:szCs w:val="20"/>
        </w:rPr>
        <w:t xml:space="preserve">. The Group’s manufacturing facilities are primarily based in </w:t>
      </w:r>
      <w:r w:rsidRPr="006A15AF">
        <w:rPr>
          <w:color w:val="0000FF"/>
          <w:sz w:val="20"/>
          <w:szCs w:val="20"/>
        </w:rPr>
        <w:t>[name of region]</w:t>
      </w:r>
      <w:r>
        <w:rPr>
          <w:color w:val="000000"/>
          <w:sz w:val="20"/>
          <w:szCs w:val="20"/>
        </w:rPr>
        <w:t xml:space="preserve">. </w:t>
      </w:r>
    </w:p>
    <w:p w14:paraId="5904E02E" w14:textId="279485B9"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Registered address and place of business. </w:t>
      </w:r>
      <w:r>
        <w:rPr>
          <w:color w:val="000000"/>
          <w:sz w:val="20"/>
          <w:szCs w:val="20"/>
        </w:rPr>
        <w:t xml:space="preserve">The Company’s registered address is _________, </w:t>
      </w:r>
      <w:r>
        <w:rPr>
          <w:color w:val="0000FF"/>
          <w:sz w:val="20"/>
          <w:szCs w:val="20"/>
        </w:rPr>
        <w:t>[Country]</w:t>
      </w:r>
      <w:r>
        <w:rPr>
          <w:color w:val="000000"/>
          <w:sz w:val="20"/>
          <w:szCs w:val="20"/>
        </w:rPr>
        <w:t xml:space="preserve">. The Group’s principal place of business is </w:t>
      </w:r>
      <w:r w:rsidRPr="006A15AF">
        <w:rPr>
          <w:iCs/>
          <w:color w:val="0000FF"/>
          <w:sz w:val="20"/>
          <w:szCs w:val="20"/>
        </w:rPr>
        <w:t>[address]</w:t>
      </w:r>
      <w:r>
        <w:rPr>
          <w:i/>
          <w:color w:val="0000FF"/>
          <w:sz w:val="20"/>
          <w:szCs w:val="20"/>
        </w:rPr>
        <w:t>.</w:t>
      </w:r>
      <w:r>
        <w:rPr>
          <w:color w:val="000000"/>
          <w:sz w:val="20"/>
          <w:szCs w:val="20"/>
        </w:rPr>
        <w:t xml:space="preserve"> </w:t>
      </w:r>
    </w:p>
    <w:p w14:paraId="2B193A5A"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Presentation currency.</w:t>
      </w:r>
      <w:r>
        <w:rPr>
          <w:b/>
          <w:color w:val="000000"/>
          <w:sz w:val="20"/>
          <w:szCs w:val="20"/>
        </w:rPr>
        <w:t xml:space="preserve"> </w:t>
      </w:r>
      <w:r>
        <w:rPr>
          <w:color w:val="000000"/>
          <w:sz w:val="20"/>
          <w:szCs w:val="20"/>
        </w:rPr>
        <w:t>These consolidated financial statements are presented in EUR, unless otherwise stated.</w:t>
      </w:r>
    </w:p>
    <w:p w14:paraId="01E048EB" w14:textId="77777777" w:rsidR="008E5DE4" w:rsidRDefault="00780368">
      <w:pPr>
        <w:pStyle w:val="Heading1"/>
        <w:numPr>
          <w:ilvl w:val="0"/>
          <w:numId w:val="3"/>
        </w:numPr>
        <w:spacing w:before="0"/>
        <w:ind w:left="567" w:hanging="567"/>
      </w:pPr>
      <w:bookmarkStart w:id="5" w:name="_Toc149923601"/>
      <w:r>
        <w:t>Operating Environment of the Group</w:t>
      </w:r>
      <w:bookmarkEnd w:id="5"/>
    </w:p>
    <w:p w14:paraId="2E264061" w14:textId="23A98E94" w:rsidR="008E5DE4" w:rsidRDefault="00780368" w:rsidP="007F183E">
      <w:pPr>
        <w:widowControl w:val="0"/>
        <w:pBdr>
          <w:top w:val="nil"/>
          <w:left w:val="nil"/>
          <w:bottom w:val="nil"/>
          <w:right w:val="nil"/>
          <w:between w:val="nil"/>
        </w:pBdr>
        <w:spacing w:before="200" w:after="200"/>
        <w:jc w:val="both"/>
        <w:rPr>
          <w:i/>
          <w:color w:val="FF0000"/>
          <w:sz w:val="20"/>
          <w:szCs w:val="20"/>
        </w:rPr>
      </w:pPr>
      <w:r>
        <w:rPr>
          <w:b/>
          <w:i/>
          <w:color w:val="000000"/>
          <w:sz w:val="20"/>
          <w:szCs w:val="20"/>
        </w:rPr>
        <w:t>War between Russia and Ukraine.</w:t>
      </w:r>
      <w:r>
        <w:rPr>
          <w:i/>
          <w:color w:val="FF0000"/>
          <w:sz w:val="20"/>
          <w:szCs w:val="20"/>
        </w:rPr>
        <w:t xml:space="preserve"> </w:t>
      </w:r>
    </w:p>
    <w:p w14:paraId="4837F2A8" w14:textId="3D83C6A7" w:rsidR="008E5DE4" w:rsidRDefault="00780368">
      <w:pPr>
        <w:jc w:val="both"/>
        <w:rPr>
          <w:color w:val="000000"/>
          <w:sz w:val="20"/>
          <w:szCs w:val="20"/>
        </w:rPr>
      </w:pPr>
      <w:r>
        <w:rPr>
          <w:color w:val="000000"/>
          <w:sz w:val="20"/>
          <w:szCs w:val="20"/>
        </w:rPr>
        <w:t xml:space="preserve">The long-term effects of the current economic situation are difficult to </w:t>
      </w:r>
      <w:proofErr w:type="gramStart"/>
      <w:r>
        <w:rPr>
          <w:color w:val="000000"/>
          <w:sz w:val="20"/>
          <w:szCs w:val="20"/>
        </w:rPr>
        <w:t>predict</w:t>
      </w:r>
      <w:proofErr w:type="gramEnd"/>
      <w:r>
        <w:rPr>
          <w:color w:val="000000"/>
          <w:sz w:val="20"/>
          <w:szCs w:val="20"/>
        </w:rPr>
        <w:t xml:space="preserve"> and management’s current expectations and estimates could differ from the actual results.</w:t>
      </w:r>
    </w:p>
    <w:p w14:paraId="2D56C2BA" w14:textId="4F2FE950" w:rsidR="008E5DE4" w:rsidRDefault="00780368" w:rsidP="007F183E">
      <w:pPr>
        <w:widowControl w:val="0"/>
        <w:pBdr>
          <w:top w:val="nil"/>
          <w:left w:val="nil"/>
          <w:bottom w:val="nil"/>
          <w:right w:val="nil"/>
          <w:between w:val="nil"/>
        </w:pBdr>
        <w:spacing w:before="200" w:after="200"/>
        <w:jc w:val="both"/>
        <w:rPr>
          <w:sz w:val="20"/>
          <w:szCs w:val="20"/>
        </w:rPr>
      </w:pPr>
      <w:r>
        <w:rPr>
          <w:b/>
          <w:i/>
          <w:sz w:val="20"/>
          <w:szCs w:val="20"/>
        </w:rPr>
        <w:t>Climate change</w:t>
      </w:r>
      <w:r>
        <w:rPr>
          <w:b/>
          <w:sz w:val="20"/>
          <w:szCs w:val="20"/>
        </w:rPr>
        <w:t>.</w:t>
      </w:r>
      <w:r>
        <w:rPr>
          <w:sz w:val="20"/>
          <w:szCs w:val="20"/>
        </w:rPr>
        <w:t xml:space="preserve"> The Group is exposed to climate change risks. </w:t>
      </w:r>
      <w:r w:rsidR="0001595A">
        <w:rPr>
          <w:color w:val="000000"/>
          <w:sz w:val="20"/>
          <w:szCs w:val="20"/>
        </w:rPr>
        <w:t xml:space="preserve">Specific regulations applicable to the Group </w:t>
      </w:r>
      <w:proofErr w:type="gramStart"/>
      <w:r w:rsidR="0001595A">
        <w:rPr>
          <w:color w:val="000000"/>
          <w:sz w:val="20"/>
          <w:szCs w:val="20"/>
        </w:rPr>
        <w:t>with regard to</w:t>
      </w:r>
      <w:proofErr w:type="gramEnd"/>
      <w:r w:rsidR="0001595A">
        <w:rPr>
          <w:color w:val="000000"/>
          <w:sz w:val="20"/>
          <w:szCs w:val="20"/>
        </w:rPr>
        <w:t xml:space="preserve"> such risks continue to evolve. </w:t>
      </w:r>
      <w:r>
        <w:rPr>
          <w:sz w:val="20"/>
          <w:szCs w:val="20"/>
        </w:rPr>
        <w:t>In respect of risks related to the climate change, the Group implemented the following key measures:</w:t>
      </w:r>
    </w:p>
    <w:p w14:paraId="7479288B" w14:textId="7C16948D" w:rsidR="008E5DE4" w:rsidRDefault="00780368">
      <w:pPr>
        <w:numPr>
          <w:ilvl w:val="0"/>
          <w:numId w:val="14"/>
        </w:numPr>
        <w:pBdr>
          <w:top w:val="nil"/>
          <w:left w:val="nil"/>
          <w:bottom w:val="nil"/>
          <w:right w:val="nil"/>
          <w:between w:val="nil"/>
        </w:pBdr>
        <w:spacing w:line="259" w:lineRule="auto"/>
        <w:jc w:val="both"/>
        <w:rPr>
          <w:color w:val="000000"/>
          <w:sz w:val="20"/>
          <w:szCs w:val="20"/>
        </w:rPr>
      </w:pPr>
      <w:r>
        <w:rPr>
          <w:color w:val="000000"/>
          <w:sz w:val="20"/>
          <w:szCs w:val="20"/>
        </w:rPr>
        <w:t xml:space="preserve">The Group had incorporated climate risks in its impairment stress testing process. An additional “Climate risk” scenario was incorporated in the internal stress testing methodology and will be regularly assessed and reported together with other applicable scenarios. </w:t>
      </w:r>
    </w:p>
    <w:p w14:paraId="67154791" w14:textId="094DD40C" w:rsidR="008E5DE4" w:rsidRDefault="00780368">
      <w:pPr>
        <w:numPr>
          <w:ilvl w:val="0"/>
          <w:numId w:val="14"/>
        </w:numPr>
        <w:pBdr>
          <w:top w:val="nil"/>
          <w:left w:val="nil"/>
          <w:bottom w:val="nil"/>
          <w:right w:val="nil"/>
          <w:between w:val="nil"/>
        </w:pBdr>
        <w:spacing w:after="160" w:line="259" w:lineRule="auto"/>
        <w:rPr>
          <w:color w:val="000000"/>
          <w:sz w:val="20"/>
          <w:szCs w:val="20"/>
        </w:rPr>
      </w:pPr>
      <w:r>
        <w:rPr>
          <w:color w:val="000000"/>
          <w:sz w:val="20"/>
          <w:szCs w:val="20"/>
        </w:rPr>
        <w:t xml:space="preserve">The Group is incorporating climate-linked clauses in its contracts with suppliers and pricing mechanisms. </w:t>
      </w:r>
    </w:p>
    <w:p w14:paraId="3667753F" w14:textId="77777777" w:rsidR="008E5DE4" w:rsidRDefault="00780368" w:rsidP="00BB1486">
      <w:pPr>
        <w:pStyle w:val="Heading1"/>
        <w:numPr>
          <w:ilvl w:val="0"/>
          <w:numId w:val="3"/>
        </w:numPr>
        <w:spacing w:before="0"/>
        <w:ind w:left="567" w:hanging="567"/>
      </w:pPr>
      <w:r>
        <w:t xml:space="preserve"> </w:t>
      </w:r>
      <w:bookmarkStart w:id="6" w:name="_Toc149923602"/>
      <w:r>
        <w:t>Basis of preparation</w:t>
      </w:r>
      <w:bookmarkEnd w:id="6"/>
      <w:r>
        <w:t xml:space="preserve"> </w:t>
      </w:r>
    </w:p>
    <w:p w14:paraId="3A09B71F" w14:textId="1DECF067" w:rsidR="008E5DE4" w:rsidRDefault="00780368">
      <w:pPr>
        <w:keepNext/>
        <w:keepLines/>
        <w:widowControl w:val="0"/>
        <w:pBdr>
          <w:top w:val="nil"/>
          <w:left w:val="nil"/>
          <w:bottom w:val="nil"/>
          <w:right w:val="nil"/>
          <w:between w:val="nil"/>
        </w:pBdr>
        <w:spacing w:before="200" w:after="200"/>
        <w:jc w:val="both"/>
        <w:rPr>
          <w:color w:val="0000FF"/>
          <w:sz w:val="20"/>
          <w:szCs w:val="20"/>
        </w:rPr>
      </w:pPr>
      <w:r>
        <w:rPr>
          <w:b/>
          <w:i/>
          <w:color w:val="000000"/>
          <w:sz w:val="20"/>
          <w:szCs w:val="20"/>
        </w:rPr>
        <w:t xml:space="preserve">Basis of preparation. </w:t>
      </w:r>
      <w:r w:rsidRPr="006A15AF">
        <w:rPr>
          <w:sz w:val="20"/>
          <w:szCs w:val="20"/>
        </w:rPr>
        <w:t xml:space="preserve">These consolidated financial </w:t>
      </w:r>
      <w:r>
        <w:rPr>
          <w:color w:val="000000"/>
          <w:sz w:val="20"/>
          <w:szCs w:val="20"/>
        </w:rPr>
        <w:t xml:space="preserve">statements have been prepared in accordance with International Financial Reporting Standards as issued by the IASB (“IFRS Accounting Standards”) </w:t>
      </w:r>
      <w:r>
        <w:rPr>
          <w:color w:val="0000FF"/>
          <w:sz w:val="20"/>
          <w:szCs w:val="20"/>
        </w:rPr>
        <w:t xml:space="preserve">[as adopted by the European Union (“EU”)] </w:t>
      </w:r>
      <w:r>
        <w:rPr>
          <w:color w:val="000000"/>
          <w:sz w:val="20"/>
          <w:szCs w:val="20"/>
        </w:rPr>
        <w:t xml:space="preserve">under the historical cost convention, as modified by </w:t>
      </w:r>
      <w:r>
        <w:rPr>
          <w:color w:val="0000FF"/>
          <w:sz w:val="20"/>
          <w:szCs w:val="20"/>
        </w:rPr>
        <w:t xml:space="preserve">[the initial recognition of financial instruments based on fair value, and by the revaluation of [property, plant and equipment, investment properties,] financial instruments categorised at fair value through profit or loss (“FVTPL”) and at fair value through other comprehensive income (“FVOCI”)]. </w:t>
      </w:r>
      <w:r>
        <w:rPr>
          <w:color w:val="000000"/>
          <w:sz w:val="20"/>
          <w:szCs w:val="20"/>
        </w:rPr>
        <w:t xml:space="preserve">The material accounting policies applied in the preparation of these consolidated financial statements are set out in each respective Note. </w:t>
      </w:r>
      <w:r>
        <w:rPr>
          <w:color w:val="0000FF"/>
          <w:sz w:val="20"/>
          <w:szCs w:val="20"/>
        </w:rPr>
        <w:t xml:space="preserve">[Apart from the accounting policy changes effective from 1 January </w:t>
      </w:r>
      <w:r w:rsidR="008614F8">
        <w:rPr>
          <w:color w:val="0000FF"/>
          <w:sz w:val="20"/>
          <w:szCs w:val="20"/>
        </w:rPr>
        <w:t>2025</w:t>
      </w:r>
      <w:r>
        <w:rPr>
          <w:color w:val="0000FF"/>
          <w:sz w:val="20"/>
          <w:szCs w:val="20"/>
        </w:rPr>
        <w:t xml:space="preserve">] </w:t>
      </w:r>
      <w:r>
        <w:rPr>
          <w:color w:val="000000"/>
          <w:sz w:val="20"/>
          <w:szCs w:val="20"/>
        </w:rPr>
        <w:t xml:space="preserve">these policies have been consistently applied to all the periods presented, unless otherwise stated (Refer to Note 5 </w:t>
      </w:r>
      <w:r w:rsidR="006A15AF">
        <w:rPr>
          <w:color w:val="000000"/>
          <w:sz w:val="20"/>
          <w:szCs w:val="20"/>
        </w:rPr>
        <w:t>[</w:t>
      </w:r>
      <w:r>
        <w:rPr>
          <w:color w:val="0000FF"/>
          <w:sz w:val="20"/>
          <w:szCs w:val="20"/>
        </w:rPr>
        <w:t>and the changes in presentation disclosed below</w:t>
      </w:r>
      <w:r w:rsidR="006A15AF">
        <w:rPr>
          <w:color w:val="0000FF"/>
          <w:sz w:val="20"/>
          <w:szCs w:val="20"/>
        </w:rPr>
        <w:t>]</w:t>
      </w:r>
      <w:r>
        <w:rPr>
          <w:color w:val="0000FF"/>
          <w:sz w:val="20"/>
          <w:szCs w:val="20"/>
        </w:rPr>
        <w:t xml:space="preserve">). </w:t>
      </w:r>
    </w:p>
    <w:p w14:paraId="254216B7" w14:textId="16D3C5A7" w:rsidR="00C17D95" w:rsidRDefault="00C17D95" w:rsidP="00C17D95">
      <w:pPr>
        <w:widowControl w:val="0"/>
        <w:pBdr>
          <w:top w:val="nil"/>
          <w:left w:val="nil"/>
          <w:bottom w:val="nil"/>
          <w:right w:val="nil"/>
          <w:between w:val="nil"/>
        </w:pBdr>
        <w:tabs>
          <w:tab w:val="center" w:pos="2835"/>
          <w:tab w:val="right" w:pos="5529"/>
          <w:tab w:val="center" w:pos="5812"/>
          <w:tab w:val="right" w:pos="8788"/>
        </w:tabs>
        <w:spacing w:before="200" w:after="200"/>
        <w:jc w:val="both"/>
        <w:rPr>
          <w:color w:val="000000"/>
          <w:sz w:val="20"/>
          <w:szCs w:val="20"/>
        </w:rPr>
      </w:pPr>
      <w:r w:rsidRPr="006A15AF">
        <w:rPr>
          <w:sz w:val="20"/>
          <w:szCs w:val="20"/>
        </w:rPr>
        <w:t xml:space="preserve">These consolidated financial </w:t>
      </w:r>
      <w:r>
        <w:rPr>
          <w:color w:val="000000"/>
          <w:sz w:val="20"/>
          <w:szCs w:val="20"/>
        </w:rPr>
        <w:t xml:space="preserve">statements are directed to </w:t>
      </w:r>
      <w:r w:rsidRPr="000356C4">
        <w:rPr>
          <w:color w:val="000000"/>
          <w:sz w:val="20"/>
          <w:szCs w:val="20"/>
        </w:rPr>
        <w:t>primary users</w:t>
      </w:r>
      <w:r>
        <w:rPr>
          <w:color w:val="000000"/>
          <w:sz w:val="20"/>
          <w:szCs w:val="20"/>
        </w:rPr>
        <w:t xml:space="preserve">, being investors who lend or provide equity capital to the reporting entity. </w:t>
      </w:r>
      <w:r w:rsidRPr="006A15AF">
        <w:rPr>
          <w:sz w:val="20"/>
          <w:szCs w:val="20"/>
        </w:rPr>
        <w:t xml:space="preserve">These consolidated </w:t>
      </w:r>
      <w:r>
        <w:rPr>
          <w:color w:val="000000"/>
          <w:sz w:val="20"/>
          <w:szCs w:val="20"/>
        </w:rPr>
        <w:t>f</w:t>
      </w:r>
      <w:r w:rsidRPr="000356C4">
        <w:rPr>
          <w:color w:val="000000"/>
          <w:sz w:val="20"/>
          <w:szCs w:val="20"/>
        </w:rPr>
        <w:t xml:space="preserve">inancial statements </w:t>
      </w:r>
      <w:r>
        <w:rPr>
          <w:color w:val="000000"/>
          <w:sz w:val="20"/>
          <w:szCs w:val="20"/>
        </w:rPr>
        <w:t>assume that the</w:t>
      </w:r>
      <w:r w:rsidRPr="000356C4">
        <w:rPr>
          <w:color w:val="000000"/>
          <w:sz w:val="20"/>
          <w:szCs w:val="20"/>
        </w:rPr>
        <w:t xml:space="preserve"> </w:t>
      </w:r>
      <w:r>
        <w:rPr>
          <w:color w:val="000000"/>
          <w:sz w:val="20"/>
          <w:szCs w:val="20"/>
        </w:rPr>
        <w:t xml:space="preserve">primary </w:t>
      </w:r>
      <w:r w:rsidRPr="000356C4">
        <w:rPr>
          <w:color w:val="000000"/>
          <w:sz w:val="20"/>
          <w:szCs w:val="20"/>
        </w:rPr>
        <w:t>users have a reasonable knowledge of business and</w:t>
      </w:r>
      <w:r>
        <w:rPr>
          <w:color w:val="000000"/>
          <w:sz w:val="20"/>
          <w:szCs w:val="20"/>
        </w:rPr>
        <w:t xml:space="preserve"> </w:t>
      </w:r>
      <w:r w:rsidRPr="000356C4">
        <w:rPr>
          <w:color w:val="000000"/>
          <w:sz w:val="20"/>
          <w:szCs w:val="20"/>
        </w:rPr>
        <w:t>economic activities and review and analyse the information diligently. At</w:t>
      </w:r>
      <w:r>
        <w:rPr>
          <w:color w:val="000000"/>
          <w:sz w:val="20"/>
          <w:szCs w:val="20"/>
        </w:rPr>
        <w:t xml:space="preserve"> </w:t>
      </w:r>
      <w:r w:rsidRPr="000356C4">
        <w:rPr>
          <w:color w:val="000000"/>
          <w:sz w:val="20"/>
          <w:szCs w:val="20"/>
        </w:rPr>
        <w:t>times, even well-informed and diligent users may need to seek the aid of an</w:t>
      </w:r>
      <w:r>
        <w:rPr>
          <w:color w:val="000000"/>
          <w:sz w:val="20"/>
          <w:szCs w:val="20"/>
        </w:rPr>
        <w:t xml:space="preserve"> </w:t>
      </w:r>
      <w:r w:rsidRPr="000356C4">
        <w:rPr>
          <w:color w:val="000000"/>
          <w:sz w:val="20"/>
          <w:szCs w:val="20"/>
        </w:rPr>
        <w:t>adviser to understand information about complex economic phenomena</w:t>
      </w:r>
      <w:r>
        <w:rPr>
          <w:color w:val="000000"/>
          <w:sz w:val="20"/>
          <w:szCs w:val="20"/>
        </w:rPr>
        <w:t xml:space="preserve"> reported in </w:t>
      </w:r>
      <w:r w:rsidRPr="006A15AF">
        <w:rPr>
          <w:sz w:val="20"/>
          <w:szCs w:val="20"/>
        </w:rPr>
        <w:t xml:space="preserve">these consolidated financial </w:t>
      </w:r>
      <w:r>
        <w:rPr>
          <w:color w:val="000000"/>
          <w:sz w:val="20"/>
          <w:szCs w:val="20"/>
        </w:rPr>
        <w:t xml:space="preserve">statements. </w:t>
      </w:r>
    </w:p>
    <w:p w14:paraId="62185172" w14:textId="77777777" w:rsidR="00844C35" w:rsidRDefault="00844C35" w:rsidP="00844C35">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w:t>
      </w:r>
      <w:r>
        <w:rPr>
          <w:b/>
          <w:color w:val="000000"/>
          <w:sz w:val="20"/>
          <w:szCs w:val="20"/>
        </w:rPr>
        <w:tab/>
        <w:t xml:space="preserve"> Basis of preparation (Continued)</w:t>
      </w:r>
    </w:p>
    <w:p w14:paraId="36DB5E79" w14:textId="296D5310" w:rsidR="008E5DE4" w:rsidRPr="00844C35" w:rsidRDefault="00C17D95">
      <w:pPr>
        <w:keepNext/>
        <w:keepLines/>
        <w:widowControl w:val="0"/>
        <w:pBdr>
          <w:top w:val="nil"/>
          <w:left w:val="nil"/>
          <w:bottom w:val="nil"/>
          <w:right w:val="nil"/>
          <w:between w:val="nil"/>
        </w:pBdr>
        <w:spacing w:before="200" w:after="200"/>
        <w:jc w:val="both"/>
        <w:rPr>
          <w:color w:val="0000FF"/>
          <w:sz w:val="20"/>
          <w:szCs w:val="20"/>
        </w:rPr>
      </w:pPr>
      <w:r w:rsidRPr="006A15AF">
        <w:rPr>
          <w:sz w:val="20"/>
          <w:szCs w:val="20"/>
        </w:rPr>
        <w:t xml:space="preserve">These consolidated financial statements aim disclosing only information that management considers is material for the primary users. Management seeks not to reduce the understandability of these consolidated financial </w:t>
      </w:r>
      <w:r w:rsidRPr="00461B7B">
        <w:rPr>
          <w:color w:val="000000"/>
          <w:sz w:val="20"/>
          <w:szCs w:val="20"/>
        </w:rPr>
        <w:t>statements by</w:t>
      </w:r>
      <w:r>
        <w:rPr>
          <w:color w:val="000000"/>
          <w:sz w:val="20"/>
          <w:szCs w:val="20"/>
        </w:rPr>
        <w:t xml:space="preserve"> </w:t>
      </w:r>
      <w:r w:rsidRPr="00461B7B">
        <w:rPr>
          <w:color w:val="000000"/>
          <w:sz w:val="20"/>
          <w:szCs w:val="20"/>
        </w:rPr>
        <w:t>obscuring material information</w:t>
      </w:r>
      <w:r>
        <w:rPr>
          <w:color w:val="000000"/>
          <w:sz w:val="20"/>
          <w:szCs w:val="20"/>
        </w:rPr>
        <w:t xml:space="preserve"> with immaterial information. Hence, only material accounting policy information is disclosed, where relevant, in the related disclosure notes.</w:t>
      </w:r>
    </w:p>
    <w:p w14:paraId="18C41D14"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preparation of consolidated financial statements in conformity with IFRS Accounting Standards </w:t>
      </w:r>
      <w:r>
        <w:rPr>
          <w:color w:val="0000FF"/>
          <w:sz w:val="20"/>
          <w:szCs w:val="20"/>
        </w:rPr>
        <w:t>[as adopted by the EU]</w:t>
      </w:r>
      <w:r>
        <w:rPr>
          <w:color w:val="000000"/>
          <w:sz w:val="20"/>
          <w:szCs w:val="20"/>
        </w:rPr>
        <w:t xml:space="preserve"> requires the use of certain critical accounting estimates. It also requires management to exercise its judgement in the process of applying the Group’s accounting policies. The areas involving a higher degree of judgement or complexity, or areas where assumptions and estimates are significant to the consolidated financial statements are disclosed in Note 4.</w:t>
      </w:r>
    </w:p>
    <w:p w14:paraId="24A6A2F0" w14:textId="7297362B" w:rsidR="008E5DE4" w:rsidRDefault="00780368">
      <w:pPr>
        <w:widowControl w:val="0"/>
        <w:spacing w:before="200" w:after="200"/>
        <w:jc w:val="both"/>
        <w:rPr>
          <w:i/>
          <w:color w:val="FF0000"/>
          <w:sz w:val="20"/>
          <w:szCs w:val="20"/>
        </w:rPr>
      </w:pPr>
      <w:r>
        <w:rPr>
          <w:color w:val="0000FF"/>
          <w:sz w:val="20"/>
          <w:szCs w:val="20"/>
        </w:rPr>
        <w:t>[</w:t>
      </w:r>
      <w:r>
        <w:rPr>
          <w:b/>
          <w:i/>
          <w:color w:val="0000FF"/>
          <w:sz w:val="20"/>
          <w:szCs w:val="20"/>
        </w:rPr>
        <w:t>Going concern.</w:t>
      </w:r>
      <w:r>
        <w:rPr>
          <w:color w:val="0000FF"/>
          <w:sz w:val="20"/>
          <w:szCs w:val="20"/>
        </w:rPr>
        <w:t xml:space="preserve"> Management prepared these consolidated financial statements on a going concern basis. [Refer to Note 4 for uncertainties relating to events and conditions that may cast a significant doubt upon the Group’s ability to continue as a going concern.]</w:t>
      </w:r>
      <w:r>
        <w:rPr>
          <w:i/>
          <w:color w:val="FF0000"/>
          <w:sz w:val="20"/>
          <w:szCs w:val="20"/>
        </w:rPr>
        <w:t xml:space="preserve"> </w:t>
      </w:r>
    </w:p>
    <w:p w14:paraId="27C587D0" w14:textId="77777777" w:rsidR="008E5DE4" w:rsidRDefault="00780368">
      <w:pPr>
        <w:widowControl w:val="0"/>
        <w:spacing w:before="200" w:after="200"/>
        <w:jc w:val="both"/>
        <w:rPr>
          <w:i/>
          <w:color w:val="FF0000"/>
          <w:sz w:val="20"/>
          <w:szCs w:val="20"/>
        </w:rPr>
      </w:pPr>
      <w:r>
        <w:rPr>
          <w:b/>
          <w:i/>
          <w:sz w:val="20"/>
          <w:szCs w:val="20"/>
        </w:rPr>
        <w:t>Transactions and balances.</w:t>
      </w:r>
      <w:r>
        <w:rPr>
          <w:sz w:val="20"/>
          <w:szCs w:val="20"/>
        </w:rPr>
        <w:t xml:space="preserve"> Monetary assets and liabilities are translated into each entity’s functional currency at the official exchange rate of the </w:t>
      </w:r>
      <w:r>
        <w:rPr>
          <w:color w:val="0000FF"/>
          <w:sz w:val="20"/>
          <w:szCs w:val="20"/>
        </w:rPr>
        <w:t xml:space="preserve">Central Bank of [Country] (“CBC”) </w:t>
      </w:r>
      <w:r>
        <w:rPr>
          <w:sz w:val="20"/>
          <w:szCs w:val="20"/>
        </w:rPr>
        <w:t xml:space="preserve">at the respective end of the reporting period. Foreign exchange gains and losses resulting from the settlement of the transactions and from the translation of monetary assets and liabilities into each entity’s functional currency at year-end official exchange rates of the CBC are recognised in profit or loss </w:t>
      </w:r>
      <w:r>
        <w:rPr>
          <w:color w:val="0000FF"/>
          <w:sz w:val="20"/>
          <w:szCs w:val="20"/>
        </w:rPr>
        <w:t>[as finance income or costs / Other gains/(losses), net] [except when deferred in other comprehensive income as qualifying Gains on cash flow hedges and qualifying Gains on net investment hedges]</w:t>
      </w:r>
      <w:r>
        <w:rPr>
          <w:sz w:val="20"/>
          <w:szCs w:val="20"/>
        </w:rPr>
        <w:t xml:space="preserve">. Foreign exchange gains and losses that relate to borrowings and cash and cash equivalents are presented in the consolidated statement of profit or loss and other comprehensive income within ‘finance income or </w:t>
      </w:r>
      <w:proofErr w:type="gramStart"/>
      <w:r>
        <w:rPr>
          <w:sz w:val="20"/>
          <w:szCs w:val="20"/>
        </w:rPr>
        <w:t>costs’</w:t>
      </w:r>
      <w:proofErr w:type="gramEnd"/>
      <w:r>
        <w:rPr>
          <w:sz w:val="20"/>
          <w:szCs w:val="20"/>
        </w:rPr>
        <w:t>. All other foreign exchange gains and losses are presented in the consolidated statement of profit or loss and other comprehensive income within ‘Other gains/(losses), net’. Translation at year-end rates does not apply to non-monetary items that are measured at historical cost. Non-monetary items measured at fair value in a foreign currency, including equity investments, are translated using the exchange rates at the date when the fair value was determined. Effects of exchange rate changes on non-monetary items measured at fair value in a foreign currency are recorded as part of the fair value gain or loss.</w:t>
      </w:r>
    </w:p>
    <w:p w14:paraId="5FF7F9FF" w14:textId="77777777" w:rsidR="008E5DE4" w:rsidRDefault="00780368">
      <w:pPr>
        <w:widowControl w:val="0"/>
        <w:spacing w:before="200" w:after="200"/>
        <w:jc w:val="both"/>
        <w:rPr>
          <w:sz w:val="20"/>
          <w:szCs w:val="20"/>
        </w:rPr>
      </w:pPr>
      <w:r>
        <w:rPr>
          <w:b/>
          <w:i/>
          <w:sz w:val="20"/>
          <w:szCs w:val="20"/>
        </w:rPr>
        <w:t xml:space="preserve">Changes in presentation. </w:t>
      </w:r>
      <w:r>
        <w:rPr>
          <w:sz w:val="20"/>
          <w:szCs w:val="20"/>
        </w:rPr>
        <w:t xml:space="preserve">During the year, the Group has changed its classification of __ within the consolidated </w:t>
      </w:r>
      <w:r>
        <w:rPr>
          <w:color w:val="0000FF"/>
          <w:sz w:val="20"/>
          <w:szCs w:val="20"/>
        </w:rPr>
        <w:t>[statement of financial position /statement of profit or loss and other comprehensive income / statement of cash flows]</w:t>
      </w:r>
      <w:r>
        <w:rPr>
          <w:sz w:val="20"/>
          <w:szCs w:val="20"/>
        </w:rPr>
        <w:t>.</w:t>
      </w:r>
      <w:r>
        <w:rPr>
          <w:color w:val="0000FF"/>
          <w:sz w:val="20"/>
          <w:szCs w:val="20"/>
        </w:rPr>
        <w:t xml:space="preserve"> </w:t>
      </w:r>
      <w:r>
        <w:rPr>
          <w:sz w:val="20"/>
          <w:szCs w:val="20"/>
        </w:rPr>
        <w:t xml:space="preserve">The Group believes that the change provides reliable and more relevant information. In accordance with IAS 8, the change has been made </w:t>
      </w:r>
      <w:proofErr w:type="gramStart"/>
      <w:r>
        <w:rPr>
          <w:sz w:val="20"/>
          <w:szCs w:val="20"/>
        </w:rPr>
        <w:t>retrospectively</w:t>
      </w:r>
      <w:proofErr w:type="gramEnd"/>
      <w:r>
        <w:rPr>
          <w:sz w:val="20"/>
          <w:szCs w:val="20"/>
        </w:rPr>
        <w:t xml:space="preserve"> and comparatives have been restated accordingly.</w:t>
      </w:r>
    </w:p>
    <w:p w14:paraId="473E97C2" w14:textId="581B7146" w:rsidR="008E5DE4" w:rsidRDefault="00780368">
      <w:pPr>
        <w:widowControl w:val="0"/>
        <w:spacing w:before="200" w:after="200"/>
        <w:jc w:val="both"/>
        <w:rPr>
          <w:color w:val="0000FF"/>
          <w:sz w:val="20"/>
          <w:szCs w:val="20"/>
        </w:rPr>
      </w:pPr>
      <w:r>
        <w:rPr>
          <w:sz w:val="20"/>
          <w:szCs w:val="20"/>
        </w:rPr>
        <w:t xml:space="preserve">The effect of reclassifications for presentation purposes was as follows on amounts </w:t>
      </w:r>
      <w:proofErr w:type="gramStart"/>
      <w:r>
        <w:rPr>
          <w:sz w:val="20"/>
          <w:szCs w:val="20"/>
        </w:rPr>
        <w:t>at</w:t>
      </w:r>
      <w:proofErr w:type="gramEnd"/>
      <w:r>
        <w:rPr>
          <w:sz w:val="20"/>
          <w:szCs w:val="20"/>
        </w:rPr>
        <w:t xml:space="preserve"> 31 December </w:t>
      </w:r>
      <w:r w:rsidR="00FF468A">
        <w:rPr>
          <w:sz w:val="20"/>
          <w:szCs w:val="20"/>
        </w:rPr>
        <w:t>2024</w:t>
      </w:r>
      <w:r>
        <w:rPr>
          <w:sz w:val="20"/>
          <w:szCs w:val="20"/>
        </w:rPr>
        <w:t xml:space="preserve">: </w:t>
      </w:r>
    </w:p>
    <w:tbl>
      <w:tblPr>
        <w:tblStyle w:val="a5"/>
        <w:tblW w:w="9411" w:type="dxa"/>
        <w:tblLayout w:type="fixed"/>
        <w:tblLook w:val="0000" w:firstRow="0" w:lastRow="0" w:firstColumn="0" w:lastColumn="0" w:noHBand="0" w:noVBand="0"/>
      </w:tblPr>
      <w:tblGrid>
        <w:gridCol w:w="3798"/>
        <w:gridCol w:w="1871"/>
        <w:gridCol w:w="1871"/>
        <w:gridCol w:w="1871"/>
      </w:tblGrid>
      <w:tr w:rsidR="008E5DE4" w14:paraId="4F47E2CD" w14:textId="77777777">
        <w:trPr>
          <w:cantSplit/>
        </w:trPr>
        <w:tc>
          <w:tcPr>
            <w:tcW w:w="3798" w:type="dxa"/>
            <w:tcBorders>
              <w:top w:val="nil"/>
              <w:left w:val="nil"/>
              <w:bottom w:val="single" w:sz="4" w:space="0" w:color="000000"/>
              <w:right w:val="nil"/>
            </w:tcBorders>
            <w:vAlign w:val="bottom"/>
          </w:tcPr>
          <w:p w14:paraId="4750CB70" w14:textId="77777777" w:rsidR="008E5DE4" w:rsidRDefault="00780368">
            <w:pPr>
              <w:widowControl w:val="0"/>
              <w:ind w:left="113" w:right="-57" w:hanging="113"/>
              <w:rPr>
                <w:i/>
                <w:color w:val="0000FF"/>
              </w:rPr>
            </w:pPr>
            <w:r>
              <w:rPr>
                <w:i/>
                <w:color w:val="0000FF"/>
              </w:rPr>
              <w:t>[In thousands of EUR]</w:t>
            </w:r>
          </w:p>
        </w:tc>
        <w:tc>
          <w:tcPr>
            <w:tcW w:w="1871" w:type="dxa"/>
            <w:tcBorders>
              <w:top w:val="nil"/>
              <w:left w:val="nil"/>
              <w:bottom w:val="single" w:sz="4" w:space="0" w:color="000000"/>
              <w:right w:val="nil"/>
            </w:tcBorders>
          </w:tcPr>
          <w:p w14:paraId="019958FD" w14:textId="77777777" w:rsidR="008E5DE4" w:rsidRDefault="00780368">
            <w:pPr>
              <w:widowControl w:val="0"/>
              <w:ind w:left="-113"/>
              <w:jc w:val="right"/>
              <w:rPr>
                <w:b/>
                <w:color w:val="0000FF"/>
              </w:rPr>
            </w:pPr>
            <w:r>
              <w:rPr>
                <w:b/>
                <w:color w:val="0000FF"/>
              </w:rPr>
              <w:t>[As originally presented]</w:t>
            </w:r>
          </w:p>
        </w:tc>
        <w:tc>
          <w:tcPr>
            <w:tcW w:w="1871" w:type="dxa"/>
            <w:tcBorders>
              <w:top w:val="nil"/>
              <w:left w:val="nil"/>
              <w:bottom w:val="single" w:sz="4" w:space="0" w:color="000000"/>
              <w:right w:val="nil"/>
            </w:tcBorders>
          </w:tcPr>
          <w:p w14:paraId="72F79875" w14:textId="77777777" w:rsidR="008E5DE4" w:rsidRDefault="00780368">
            <w:pPr>
              <w:widowControl w:val="0"/>
              <w:ind w:left="-113"/>
              <w:jc w:val="right"/>
              <w:rPr>
                <w:b/>
                <w:color w:val="0000FF"/>
              </w:rPr>
            </w:pPr>
            <w:r>
              <w:rPr>
                <w:b/>
                <w:color w:val="0000FF"/>
              </w:rPr>
              <w:t>[Reclassification]</w:t>
            </w:r>
          </w:p>
        </w:tc>
        <w:tc>
          <w:tcPr>
            <w:tcW w:w="1871" w:type="dxa"/>
            <w:tcBorders>
              <w:top w:val="nil"/>
              <w:left w:val="nil"/>
              <w:bottom w:val="single" w:sz="4" w:space="0" w:color="000000"/>
              <w:right w:val="nil"/>
            </w:tcBorders>
          </w:tcPr>
          <w:p w14:paraId="1FA0A356" w14:textId="77777777" w:rsidR="008E5DE4" w:rsidRDefault="00780368">
            <w:pPr>
              <w:widowControl w:val="0"/>
              <w:ind w:left="-113"/>
              <w:jc w:val="right"/>
              <w:rPr>
                <w:b/>
                <w:color w:val="0000FF"/>
              </w:rPr>
            </w:pPr>
            <w:r>
              <w:rPr>
                <w:b/>
                <w:color w:val="0000FF"/>
              </w:rPr>
              <w:t>[As reclassified at</w:t>
            </w:r>
          </w:p>
          <w:p w14:paraId="70A6EFBC" w14:textId="286BDD21" w:rsidR="008E5DE4" w:rsidRDefault="00780368">
            <w:pPr>
              <w:widowControl w:val="0"/>
              <w:ind w:left="-113"/>
              <w:jc w:val="right"/>
              <w:rPr>
                <w:b/>
                <w:color w:val="0000FF"/>
              </w:rPr>
            </w:pPr>
            <w:r>
              <w:rPr>
                <w:b/>
                <w:color w:val="0000FF"/>
              </w:rPr>
              <w:t xml:space="preserve">31 December </w:t>
            </w:r>
            <w:r w:rsidR="00FF468A">
              <w:rPr>
                <w:b/>
                <w:color w:val="0000FF"/>
              </w:rPr>
              <w:t>2024</w:t>
            </w:r>
            <w:r>
              <w:rPr>
                <w:b/>
                <w:color w:val="0000FF"/>
              </w:rPr>
              <w:t>]</w:t>
            </w:r>
          </w:p>
        </w:tc>
      </w:tr>
      <w:tr w:rsidR="008E5DE4" w14:paraId="7AA76556" w14:textId="77777777">
        <w:trPr>
          <w:cantSplit/>
        </w:trPr>
        <w:tc>
          <w:tcPr>
            <w:tcW w:w="3798" w:type="dxa"/>
            <w:tcBorders>
              <w:top w:val="single" w:sz="4" w:space="0" w:color="000000"/>
              <w:left w:val="nil"/>
              <w:bottom w:val="nil"/>
              <w:right w:val="nil"/>
            </w:tcBorders>
            <w:vAlign w:val="bottom"/>
          </w:tcPr>
          <w:p w14:paraId="13D4B4B5" w14:textId="77777777" w:rsidR="008E5DE4" w:rsidRDefault="00780368">
            <w:pPr>
              <w:widowControl w:val="0"/>
              <w:ind w:left="113" w:right="-57" w:hanging="113"/>
              <w:rPr>
                <w:b/>
              </w:rPr>
            </w:pPr>
            <w:r>
              <w:t> </w:t>
            </w:r>
          </w:p>
        </w:tc>
        <w:tc>
          <w:tcPr>
            <w:tcW w:w="1871" w:type="dxa"/>
            <w:tcBorders>
              <w:top w:val="single" w:sz="4" w:space="0" w:color="000000"/>
              <w:left w:val="nil"/>
              <w:bottom w:val="nil"/>
              <w:right w:val="nil"/>
            </w:tcBorders>
            <w:vAlign w:val="bottom"/>
          </w:tcPr>
          <w:p w14:paraId="62253C40" w14:textId="77777777" w:rsidR="008E5DE4" w:rsidRDefault="008E5DE4">
            <w:pPr>
              <w:widowControl w:val="0"/>
              <w:jc w:val="right"/>
              <w:rPr>
                <w:b/>
              </w:rPr>
            </w:pPr>
          </w:p>
        </w:tc>
        <w:tc>
          <w:tcPr>
            <w:tcW w:w="1871" w:type="dxa"/>
            <w:tcBorders>
              <w:top w:val="single" w:sz="4" w:space="0" w:color="000000"/>
              <w:left w:val="nil"/>
              <w:bottom w:val="nil"/>
              <w:right w:val="nil"/>
            </w:tcBorders>
            <w:vAlign w:val="bottom"/>
          </w:tcPr>
          <w:p w14:paraId="49853B71" w14:textId="77777777" w:rsidR="008E5DE4" w:rsidRDefault="008E5DE4">
            <w:pPr>
              <w:widowControl w:val="0"/>
              <w:jc w:val="right"/>
              <w:rPr>
                <w:b/>
              </w:rPr>
            </w:pPr>
          </w:p>
        </w:tc>
        <w:tc>
          <w:tcPr>
            <w:tcW w:w="1871" w:type="dxa"/>
            <w:tcBorders>
              <w:top w:val="single" w:sz="4" w:space="0" w:color="000000"/>
              <w:left w:val="nil"/>
              <w:bottom w:val="nil"/>
              <w:right w:val="nil"/>
            </w:tcBorders>
            <w:vAlign w:val="bottom"/>
          </w:tcPr>
          <w:p w14:paraId="17462FE0" w14:textId="77777777" w:rsidR="008E5DE4" w:rsidRDefault="008E5DE4">
            <w:pPr>
              <w:widowControl w:val="0"/>
              <w:jc w:val="right"/>
              <w:rPr>
                <w:b/>
              </w:rPr>
            </w:pPr>
          </w:p>
        </w:tc>
      </w:tr>
      <w:tr w:rsidR="008E5DE4" w14:paraId="50EA29AD" w14:textId="77777777">
        <w:trPr>
          <w:cantSplit/>
        </w:trPr>
        <w:tc>
          <w:tcPr>
            <w:tcW w:w="3798" w:type="dxa"/>
            <w:tcBorders>
              <w:top w:val="nil"/>
              <w:left w:val="nil"/>
              <w:bottom w:val="nil"/>
              <w:right w:val="nil"/>
            </w:tcBorders>
            <w:vAlign w:val="bottom"/>
          </w:tcPr>
          <w:p w14:paraId="02E78098" w14:textId="77777777" w:rsidR="008E5DE4" w:rsidRDefault="008E5DE4">
            <w:pPr>
              <w:widowControl w:val="0"/>
              <w:ind w:left="113" w:right="-57" w:hanging="113"/>
              <w:rPr>
                <w:b/>
              </w:rPr>
            </w:pPr>
          </w:p>
        </w:tc>
        <w:tc>
          <w:tcPr>
            <w:tcW w:w="1871" w:type="dxa"/>
            <w:tcBorders>
              <w:top w:val="nil"/>
              <w:left w:val="nil"/>
              <w:bottom w:val="nil"/>
              <w:right w:val="nil"/>
            </w:tcBorders>
            <w:vAlign w:val="bottom"/>
          </w:tcPr>
          <w:p w14:paraId="063CED83" w14:textId="77777777" w:rsidR="008E5DE4" w:rsidRDefault="008E5DE4">
            <w:pPr>
              <w:widowControl w:val="0"/>
              <w:jc w:val="right"/>
              <w:rPr>
                <w:b/>
              </w:rPr>
            </w:pPr>
          </w:p>
        </w:tc>
        <w:tc>
          <w:tcPr>
            <w:tcW w:w="1871" w:type="dxa"/>
            <w:tcBorders>
              <w:top w:val="nil"/>
              <w:left w:val="nil"/>
              <w:bottom w:val="nil"/>
              <w:right w:val="nil"/>
            </w:tcBorders>
            <w:vAlign w:val="bottom"/>
          </w:tcPr>
          <w:p w14:paraId="6A706719" w14:textId="77777777" w:rsidR="008E5DE4" w:rsidRDefault="008E5DE4">
            <w:pPr>
              <w:widowControl w:val="0"/>
              <w:jc w:val="right"/>
              <w:rPr>
                <w:b/>
              </w:rPr>
            </w:pPr>
          </w:p>
        </w:tc>
        <w:tc>
          <w:tcPr>
            <w:tcW w:w="1871" w:type="dxa"/>
            <w:tcBorders>
              <w:top w:val="nil"/>
              <w:left w:val="nil"/>
              <w:bottom w:val="nil"/>
              <w:right w:val="nil"/>
            </w:tcBorders>
            <w:vAlign w:val="bottom"/>
          </w:tcPr>
          <w:p w14:paraId="753016DE" w14:textId="77777777" w:rsidR="008E5DE4" w:rsidRDefault="008E5DE4">
            <w:pPr>
              <w:widowControl w:val="0"/>
              <w:jc w:val="right"/>
              <w:rPr>
                <w:b/>
              </w:rPr>
            </w:pPr>
          </w:p>
        </w:tc>
      </w:tr>
      <w:tr w:rsidR="008E5DE4" w14:paraId="19E8F7A2" w14:textId="77777777">
        <w:trPr>
          <w:cantSplit/>
        </w:trPr>
        <w:tc>
          <w:tcPr>
            <w:tcW w:w="3798" w:type="dxa"/>
            <w:tcBorders>
              <w:top w:val="nil"/>
              <w:left w:val="nil"/>
              <w:bottom w:val="single" w:sz="12" w:space="0" w:color="000000"/>
              <w:right w:val="nil"/>
            </w:tcBorders>
            <w:vAlign w:val="bottom"/>
          </w:tcPr>
          <w:p w14:paraId="424DA265" w14:textId="77777777" w:rsidR="008E5DE4" w:rsidRDefault="00780368">
            <w:pPr>
              <w:widowControl w:val="0"/>
              <w:ind w:left="113" w:right="-57" w:hanging="113"/>
              <w:rPr>
                <w:b/>
                <w:i/>
              </w:rPr>
            </w:pPr>
            <w:r>
              <w:t> </w:t>
            </w:r>
          </w:p>
        </w:tc>
        <w:tc>
          <w:tcPr>
            <w:tcW w:w="1871" w:type="dxa"/>
            <w:tcBorders>
              <w:top w:val="nil"/>
              <w:left w:val="nil"/>
              <w:bottom w:val="single" w:sz="12" w:space="0" w:color="000000"/>
              <w:right w:val="nil"/>
            </w:tcBorders>
            <w:vAlign w:val="bottom"/>
          </w:tcPr>
          <w:p w14:paraId="375BE0A6" w14:textId="77777777" w:rsidR="008E5DE4" w:rsidRDefault="008E5DE4">
            <w:pPr>
              <w:widowControl w:val="0"/>
              <w:jc w:val="right"/>
              <w:rPr>
                <w:b/>
              </w:rPr>
            </w:pPr>
          </w:p>
        </w:tc>
        <w:tc>
          <w:tcPr>
            <w:tcW w:w="1871" w:type="dxa"/>
            <w:tcBorders>
              <w:top w:val="nil"/>
              <w:left w:val="nil"/>
              <w:bottom w:val="single" w:sz="12" w:space="0" w:color="000000"/>
              <w:right w:val="nil"/>
            </w:tcBorders>
            <w:vAlign w:val="bottom"/>
          </w:tcPr>
          <w:p w14:paraId="5AC5FF9E" w14:textId="77777777" w:rsidR="008E5DE4" w:rsidRDefault="008E5DE4">
            <w:pPr>
              <w:widowControl w:val="0"/>
              <w:jc w:val="right"/>
              <w:rPr>
                <w:b/>
              </w:rPr>
            </w:pPr>
          </w:p>
        </w:tc>
        <w:tc>
          <w:tcPr>
            <w:tcW w:w="1871" w:type="dxa"/>
            <w:tcBorders>
              <w:top w:val="nil"/>
              <w:left w:val="nil"/>
              <w:bottom w:val="single" w:sz="12" w:space="0" w:color="000000"/>
              <w:right w:val="nil"/>
            </w:tcBorders>
            <w:vAlign w:val="bottom"/>
          </w:tcPr>
          <w:p w14:paraId="78EC3CE4" w14:textId="77777777" w:rsidR="008E5DE4" w:rsidRDefault="008E5DE4">
            <w:pPr>
              <w:widowControl w:val="0"/>
              <w:jc w:val="right"/>
              <w:rPr>
                <w:b/>
              </w:rPr>
            </w:pPr>
          </w:p>
        </w:tc>
      </w:tr>
    </w:tbl>
    <w:p w14:paraId="1970BE9F" w14:textId="52A82857" w:rsidR="008E5DE4" w:rsidRDefault="00780368">
      <w:pPr>
        <w:widowControl w:val="0"/>
        <w:spacing w:before="200" w:after="200"/>
        <w:jc w:val="both"/>
        <w:rPr>
          <w:sz w:val="20"/>
          <w:szCs w:val="20"/>
        </w:rPr>
      </w:pPr>
      <w:r>
        <w:rPr>
          <w:sz w:val="20"/>
          <w:szCs w:val="20"/>
        </w:rPr>
        <w:t xml:space="preserve">The effect of reclassifications for presentation purposes was as follows on amounts </w:t>
      </w:r>
      <w:proofErr w:type="gramStart"/>
      <w:r>
        <w:rPr>
          <w:sz w:val="20"/>
          <w:szCs w:val="20"/>
        </w:rPr>
        <w:t>at</w:t>
      </w:r>
      <w:proofErr w:type="gramEnd"/>
      <w:r>
        <w:rPr>
          <w:sz w:val="20"/>
          <w:szCs w:val="20"/>
        </w:rPr>
        <w:t xml:space="preserve"> 1 January </w:t>
      </w:r>
      <w:r w:rsidR="00FF468A">
        <w:rPr>
          <w:sz w:val="20"/>
          <w:szCs w:val="20"/>
        </w:rPr>
        <w:t>2024</w:t>
      </w:r>
      <w:r>
        <w:rPr>
          <w:sz w:val="20"/>
          <w:szCs w:val="20"/>
        </w:rPr>
        <w:t xml:space="preserve">: </w:t>
      </w:r>
    </w:p>
    <w:tbl>
      <w:tblPr>
        <w:tblStyle w:val="a6"/>
        <w:tblW w:w="9411" w:type="dxa"/>
        <w:tblLayout w:type="fixed"/>
        <w:tblLook w:val="0000" w:firstRow="0" w:lastRow="0" w:firstColumn="0" w:lastColumn="0" w:noHBand="0" w:noVBand="0"/>
      </w:tblPr>
      <w:tblGrid>
        <w:gridCol w:w="3798"/>
        <w:gridCol w:w="1871"/>
        <w:gridCol w:w="1871"/>
        <w:gridCol w:w="1871"/>
      </w:tblGrid>
      <w:tr w:rsidR="008E5DE4" w14:paraId="7DDA1099" w14:textId="77777777">
        <w:trPr>
          <w:cantSplit/>
        </w:trPr>
        <w:tc>
          <w:tcPr>
            <w:tcW w:w="3798" w:type="dxa"/>
            <w:tcBorders>
              <w:top w:val="nil"/>
              <w:left w:val="nil"/>
              <w:bottom w:val="single" w:sz="4" w:space="0" w:color="000000"/>
              <w:right w:val="nil"/>
            </w:tcBorders>
            <w:vAlign w:val="bottom"/>
          </w:tcPr>
          <w:p w14:paraId="154D9927" w14:textId="77777777" w:rsidR="008E5DE4" w:rsidRDefault="00780368">
            <w:pPr>
              <w:widowControl w:val="0"/>
              <w:ind w:left="113" w:right="-57" w:hanging="113"/>
              <w:rPr>
                <w:i/>
                <w:color w:val="0000FF"/>
              </w:rPr>
            </w:pPr>
            <w:r>
              <w:rPr>
                <w:i/>
                <w:color w:val="0000FF"/>
              </w:rPr>
              <w:t>[In thousands of EUR]</w:t>
            </w:r>
          </w:p>
        </w:tc>
        <w:tc>
          <w:tcPr>
            <w:tcW w:w="1871" w:type="dxa"/>
            <w:tcBorders>
              <w:top w:val="nil"/>
              <w:left w:val="nil"/>
              <w:bottom w:val="single" w:sz="4" w:space="0" w:color="000000"/>
              <w:right w:val="nil"/>
            </w:tcBorders>
          </w:tcPr>
          <w:p w14:paraId="5CF93A45" w14:textId="77777777" w:rsidR="008E5DE4" w:rsidRDefault="00780368">
            <w:pPr>
              <w:widowControl w:val="0"/>
              <w:ind w:left="-113"/>
              <w:jc w:val="right"/>
              <w:rPr>
                <w:b/>
                <w:color w:val="0000FF"/>
              </w:rPr>
            </w:pPr>
            <w:r>
              <w:rPr>
                <w:b/>
                <w:color w:val="0000FF"/>
              </w:rPr>
              <w:t>[As originally presented]</w:t>
            </w:r>
          </w:p>
        </w:tc>
        <w:tc>
          <w:tcPr>
            <w:tcW w:w="1871" w:type="dxa"/>
            <w:tcBorders>
              <w:top w:val="nil"/>
              <w:left w:val="nil"/>
              <w:bottom w:val="single" w:sz="4" w:space="0" w:color="000000"/>
              <w:right w:val="nil"/>
            </w:tcBorders>
          </w:tcPr>
          <w:p w14:paraId="603D3F62" w14:textId="77777777" w:rsidR="008E5DE4" w:rsidRDefault="00780368">
            <w:pPr>
              <w:widowControl w:val="0"/>
              <w:ind w:left="-113"/>
              <w:jc w:val="right"/>
              <w:rPr>
                <w:b/>
                <w:color w:val="0000FF"/>
              </w:rPr>
            </w:pPr>
            <w:r>
              <w:rPr>
                <w:b/>
                <w:color w:val="0000FF"/>
              </w:rPr>
              <w:t>[Reclassification]</w:t>
            </w:r>
          </w:p>
        </w:tc>
        <w:tc>
          <w:tcPr>
            <w:tcW w:w="1871" w:type="dxa"/>
            <w:tcBorders>
              <w:top w:val="nil"/>
              <w:left w:val="nil"/>
              <w:bottom w:val="single" w:sz="4" w:space="0" w:color="000000"/>
              <w:right w:val="nil"/>
            </w:tcBorders>
          </w:tcPr>
          <w:p w14:paraId="28B57608" w14:textId="77777777" w:rsidR="008E5DE4" w:rsidRDefault="00780368">
            <w:pPr>
              <w:widowControl w:val="0"/>
              <w:ind w:left="-113"/>
              <w:jc w:val="right"/>
              <w:rPr>
                <w:b/>
                <w:color w:val="0000FF"/>
              </w:rPr>
            </w:pPr>
            <w:r>
              <w:rPr>
                <w:b/>
                <w:color w:val="0000FF"/>
              </w:rPr>
              <w:t>[As reclassified at</w:t>
            </w:r>
          </w:p>
          <w:p w14:paraId="547DEC2B" w14:textId="2E3FAC2A" w:rsidR="008E5DE4" w:rsidRDefault="00780368">
            <w:pPr>
              <w:widowControl w:val="0"/>
              <w:ind w:left="-113"/>
              <w:jc w:val="right"/>
              <w:rPr>
                <w:b/>
                <w:color w:val="0000FF"/>
              </w:rPr>
            </w:pPr>
            <w:r>
              <w:rPr>
                <w:b/>
                <w:color w:val="0000FF"/>
              </w:rPr>
              <w:t xml:space="preserve">1 January </w:t>
            </w:r>
            <w:r w:rsidR="00FF468A">
              <w:rPr>
                <w:b/>
                <w:color w:val="0000FF"/>
              </w:rPr>
              <w:t>2024</w:t>
            </w:r>
            <w:r>
              <w:rPr>
                <w:b/>
                <w:color w:val="0000FF"/>
              </w:rPr>
              <w:t>]</w:t>
            </w:r>
          </w:p>
        </w:tc>
      </w:tr>
      <w:tr w:rsidR="008E5DE4" w14:paraId="069F67D6" w14:textId="77777777">
        <w:trPr>
          <w:cantSplit/>
        </w:trPr>
        <w:tc>
          <w:tcPr>
            <w:tcW w:w="3798" w:type="dxa"/>
            <w:tcBorders>
              <w:top w:val="single" w:sz="4" w:space="0" w:color="000000"/>
              <w:left w:val="nil"/>
              <w:bottom w:val="nil"/>
              <w:right w:val="nil"/>
            </w:tcBorders>
            <w:vAlign w:val="bottom"/>
          </w:tcPr>
          <w:p w14:paraId="31BBBBC3" w14:textId="77777777" w:rsidR="008E5DE4" w:rsidRDefault="00780368">
            <w:pPr>
              <w:widowControl w:val="0"/>
              <w:ind w:left="113" w:right="-57" w:hanging="113"/>
              <w:rPr>
                <w:b/>
              </w:rPr>
            </w:pPr>
            <w:r>
              <w:t> </w:t>
            </w:r>
          </w:p>
        </w:tc>
        <w:tc>
          <w:tcPr>
            <w:tcW w:w="1871" w:type="dxa"/>
            <w:tcBorders>
              <w:top w:val="single" w:sz="4" w:space="0" w:color="000000"/>
              <w:left w:val="nil"/>
              <w:bottom w:val="nil"/>
              <w:right w:val="nil"/>
            </w:tcBorders>
            <w:vAlign w:val="bottom"/>
          </w:tcPr>
          <w:p w14:paraId="0A1EFD30" w14:textId="77777777" w:rsidR="008E5DE4" w:rsidRDefault="008E5DE4">
            <w:pPr>
              <w:widowControl w:val="0"/>
              <w:jc w:val="center"/>
              <w:rPr>
                <w:b/>
              </w:rPr>
            </w:pPr>
          </w:p>
        </w:tc>
        <w:tc>
          <w:tcPr>
            <w:tcW w:w="1871" w:type="dxa"/>
            <w:tcBorders>
              <w:top w:val="single" w:sz="4" w:space="0" w:color="000000"/>
              <w:left w:val="nil"/>
              <w:bottom w:val="nil"/>
              <w:right w:val="nil"/>
            </w:tcBorders>
            <w:vAlign w:val="bottom"/>
          </w:tcPr>
          <w:p w14:paraId="61E3C9A4" w14:textId="77777777" w:rsidR="008E5DE4" w:rsidRDefault="008E5DE4">
            <w:pPr>
              <w:widowControl w:val="0"/>
              <w:jc w:val="right"/>
              <w:rPr>
                <w:b/>
              </w:rPr>
            </w:pPr>
          </w:p>
        </w:tc>
        <w:tc>
          <w:tcPr>
            <w:tcW w:w="1871" w:type="dxa"/>
            <w:tcBorders>
              <w:top w:val="single" w:sz="4" w:space="0" w:color="000000"/>
              <w:left w:val="nil"/>
              <w:bottom w:val="nil"/>
              <w:right w:val="nil"/>
            </w:tcBorders>
            <w:vAlign w:val="bottom"/>
          </w:tcPr>
          <w:p w14:paraId="7ABB830C" w14:textId="77777777" w:rsidR="008E5DE4" w:rsidRDefault="008E5DE4">
            <w:pPr>
              <w:widowControl w:val="0"/>
              <w:jc w:val="right"/>
              <w:rPr>
                <w:b/>
              </w:rPr>
            </w:pPr>
          </w:p>
        </w:tc>
      </w:tr>
      <w:tr w:rsidR="008E5DE4" w14:paraId="66ADC6FB" w14:textId="77777777">
        <w:trPr>
          <w:cantSplit/>
        </w:trPr>
        <w:tc>
          <w:tcPr>
            <w:tcW w:w="3798" w:type="dxa"/>
            <w:tcBorders>
              <w:top w:val="nil"/>
              <w:left w:val="nil"/>
              <w:bottom w:val="nil"/>
              <w:right w:val="nil"/>
            </w:tcBorders>
            <w:vAlign w:val="bottom"/>
          </w:tcPr>
          <w:p w14:paraId="2C5F359D" w14:textId="77777777" w:rsidR="008E5DE4" w:rsidRDefault="008E5DE4">
            <w:pPr>
              <w:widowControl w:val="0"/>
              <w:ind w:left="113" w:right="-57" w:hanging="113"/>
              <w:rPr>
                <w:b/>
              </w:rPr>
            </w:pPr>
          </w:p>
        </w:tc>
        <w:tc>
          <w:tcPr>
            <w:tcW w:w="1871" w:type="dxa"/>
            <w:tcBorders>
              <w:top w:val="nil"/>
              <w:left w:val="nil"/>
              <w:bottom w:val="nil"/>
              <w:right w:val="nil"/>
            </w:tcBorders>
            <w:vAlign w:val="bottom"/>
          </w:tcPr>
          <w:p w14:paraId="5B989CB4" w14:textId="77777777" w:rsidR="008E5DE4" w:rsidRDefault="008E5DE4">
            <w:pPr>
              <w:widowControl w:val="0"/>
              <w:jc w:val="center"/>
              <w:rPr>
                <w:b/>
              </w:rPr>
            </w:pPr>
          </w:p>
        </w:tc>
        <w:tc>
          <w:tcPr>
            <w:tcW w:w="1871" w:type="dxa"/>
            <w:tcBorders>
              <w:top w:val="nil"/>
              <w:left w:val="nil"/>
              <w:bottom w:val="nil"/>
              <w:right w:val="nil"/>
            </w:tcBorders>
            <w:vAlign w:val="bottom"/>
          </w:tcPr>
          <w:p w14:paraId="08C088F9" w14:textId="77777777" w:rsidR="008E5DE4" w:rsidRDefault="008E5DE4">
            <w:pPr>
              <w:widowControl w:val="0"/>
              <w:jc w:val="right"/>
              <w:rPr>
                <w:b/>
              </w:rPr>
            </w:pPr>
          </w:p>
        </w:tc>
        <w:tc>
          <w:tcPr>
            <w:tcW w:w="1871" w:type="dxa"/>
            <w:tcBorders>
              <w:top w:val="nil"/>
              <w:left w:val="nil"/>
              <w:bottom w:val="nil"/>
              <w:right w:val="nil"/>
            </w:tcBorders>
            <w:vAlign w:val="bottom"/>
          </w:tcPr>
          <w:p w14:paraId="5D537B4B" w14:textId="77777777" w:rsidR="008E5DE4" w:rsidRDefault="008E5DE4">
            <w:pPr>
              <w:widowControl w:val="0"/>
              <w:jc w:val="right"/>
              <w:rPr>
                <w:b/>
              </w:rPr>
            </w:pPr>
          </w:p>
        </w:tc>
      </w:tr>
      <w:tr w:rsidR="008E5DE4" w14:paraId="2773A240" w14:textId="77777777">
        <w:trPr>
          <w:cantSplit/>
        </w:trPr>
        <w:tc>
          <w:tcPr>
            <w:tcW w:w="3798" w:type="dxa"/>
            <w:tcBorders>
              <w:top w:val="nil"/>
              <w:left w:val="nil"/>
              <w:bottom w:val="single" w:sz="12" w:space="0" w:color="000000"/>
              <w:right w:val="nil"/>
            </w:tcBorders>
            <w:vAlign w:val="bottom"/>
          </w:tcPr>
          <w:p w14:paraId="33B78A1D" w14:textId="77777777" w:rsidR="008E5DE4" w:rsidRDefault="00780368">
            <w:pPr>
              <w:widowControl w:val="0"/>
              <w:ind w:left="113" w:right="-57" w:hanging="113"/>
              <w:rPr>
                <w:b/>
                <w:i/>
              </w:rPr>
            </w:pPr>
            <w:r>
              <w:t> </w:t>
            </w:r>
          </w:p>
        </w:tc>
        <w:tc>
          <w:tcPr>
            <w:tcW w:w="1871" w:type="dxa"/>
            <w:tcBorders>
              <w:top w:val="nil"/>
              <w:left w:val="nil"/>
              <w:bottom w:val="single" w:sz="12" w:space="0" w:color="000000"/>
              <w:right w:val="nil"/>
            </w:tcBorders>
            <w:vAlign w:val="bottom"/>
          </w:tcPr>
          <w:p w14:paraId="233A48D6" w14:textId="77777777" w:rsidR="008E5DE4" w:rsidRDefault="008E5DE4">
            <w:pPr>
              <w:widowControl w:val="0"/>
              <w:jc w:val="right"/>
              <w:rPr>
                <w:b/>
              </w:rPr>
            </w:pPr>
          </w:p>
        </w:tc>
        <w:tc>
          <w:tcPr>
            <w:tcW w:w="1871" w:type="dxa"/>
            <w:tcBorders>
              <w:top w:val="nil"/>
              <w:left w:val="nil"/>
              <w:bottom w:val="single" w:sz="12" w:space="0" w:color="000000"/>
              <w:right w:val="nil"/>
            </w:tcBorders>
            <w:vAlign w:val="bottom"/>
          </w:tcPr>
          <w:p w14:paraId="0E090C77" w14:textId="77777777" w:rsidR="008E5DE4" w:rsidRDefault="008E5DE4">
            <w:pPr>
              <w:widowControl w:val="0"/>
              <w:jc w:val="right"/>
              <w:rPr>
                <w:b/>
              </w:rPr>
            </w:pPr>
          </w:p>
        </w:tc>
        <w:tc>
          <w:tcPr>
            <w:tcW w:w="1871" w:type="dxa"/>
            <w:tcBorders>
              <w:top w:val="nil"/>
              <w:left w:val="nil"/>
              <w:bottom w:val="single" w:sz="12" w:space="0" w:color="000000"/>
              <w:right w:val="nil"/>
            </w:tcBorders>
            <w:vAlign w:val="bottom"/>
          </w:tcPr>
          <w:p w14:paraId="0C2FF917" w14:textId="77777777" w:rsidR="008E5DE4" w:rsidRDefault="008E5DE4">
            <w:pPr>
              <w:widowControl w:val="0"/>
              <w:jc w:val="right"/>
              <w:rPr>
                <w:b/>
              </w:rPr>
            </w:pPr>
          </w:p>
        </w:tc>
      </w:tr>
    </w:tbl>
    <w:p w14:paraId="4C77ADD5" w14:textId="4F1D4688" w:rsidR="008E5DE4" w:rsidRDefault="00780368" w:rsidP="007F183E">
      <w:pPr>
        <w:widowControl w:val="0"/>
        <w:spacing w:before="200" w:after="200"/>
        <w:jc w:val="both"/>
        <w:rPr>
          <w:i/>
          <w:color w:val="FF0000"/>
          <w:sz w:val="20"/>
          <w:szCs w:val="20"/>
        </w:rPr>
      </w:pPr>
      <w:r>
        <w:rPr>
          <w:sz w:val="20"/>
          <w:szCs w:val="20"/>
        </w:rPr>
        <w:t xml:space="preserve">The third consolidated statement of financial position as of 1 January </w:t>
      </w:r>
      <w:r w:rsidR="00FF468A">
        <w:rPr>
          <w:sz w:val="20"/>
          <w:szCs w:val="20"/>
        </w:rPr>
        <w:t>2024</w:t>
      </w:r>
      <w:r>
        <w:rPr>
          <w:sz w:val="20"/>
          <w:szCs w:val="20"/>
        </w:rPr>
        <w:t xml:space="preserve"> is presented in these consolidated financial statements </w:t>
      </w:r>
      <w:proofErr w:type="gramStart"/>
      <w:r>
        <w:rPr>
          <w:sz w:val="20"/>
          <w:szCs w:val="20"/>
        </w:rPr>
        <w:t>as a result of</w:t>
      </w:r>
      <w:proofErr w:type="gramEnd"/>
      <w:r>
        <w:rPr>
          <w:sz w:val="20"/>
          <w:szCs w:val="20"/>
        </w:rPr>
        <w:t xml:space="preserve"> the above</w:t>
      </w:r>
      <w:r w:rsidR="006A15AF">
        <w:rPr>
          <w:sz w:val="20"/>
          <w:szCs w:val="20"/>
        </w:rPr>
        <w:t>-</w:t>
      </w:r>
      <w:r>
        <w:rPr>
          <w:sz w:val="20"/>
          <w:szCs w:val="20"/>
        </w:rPr>
        <w:t xml:space="preserve">described changes in presentation. </w:t>
      </w:r>
    </w:p>
    <w:p w14:paraId="38CC2566" w14:textId="77777777" w:rsidR="00C17D95" w:rsidRDefault="00C17D95" w:rsidP="00C17D95">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w:t>
      </w:r>
      <w:r>
        <w:rPr>
          <w:b/>
          <w:color w:val="000000"/>
          <w:sz w:val="20"/>
          <w:szCs w:val="20"/>
        </w:rPr>
        <w:tab/>
        <w:t xml:space="preserve"> Basis of preparation (Continued)</w:t>
      </w:r>
    </w:p>
    <w:p w14:paraId="550FCB78" w14:textId="77777777" w:rsidR="008E5DE4" w:rsidRDefault="00780368">
      <w:pPr>
        <w:widowControl w:val="0"/>
        <w:pBdr>
          <w:top w:val="nil"/>
          <w:left w:val="nil"/>
          <w:bottom w:val="nil"/>
          <w:right w:val="nil"/>
          <w:between w:val="nil"/>
        </w:pBdr>
        <w:spacing w:before="200" w:after="200"/>
        <w:jc w:val="both"/>
        <w:rPr>
          <w:color w:val="0000FF"/>
          <w:sz w:val="20"/>
          <w:szCs w:val="20"/>
        </w:rPr>
      </w:pPr>
      <w:r>
        <w:rPr>
          <w:b/>
          <w:i/>
          <w:color w:val="000000"/>
          <w:sz w:val="20"/>
          <w:szCs w:val="20"/>
        </w:rPr>
        <w:t xml:space="preserve">Amendment of the consolidated financial statements after issue. </w:t>
      </w:r>
      <w:r>
        <w:rPr>
          <w:color w:val="000000"/>
          <w:sz w:val="20"/>
          <w:szCs w:val="20"/>
        </w:rPr>
        <w:t xml:space="preserve">Any changes to these consolidated financial statements after issue require approval of </w:t>
      </w:r>
      <w:r>
        <w:rPr>
          <w:color w:val="0000FF"/>
          <w:sz w:val="20"/>
          <w:szCs w:val="20"/>
        </w:rPr>
        <w:t>[the Group’s [management] who authorised these consolidated financial statements for issue].</w:t>
      </w:r>
    </w:p>
    <w:p w14:paraId="59FD91BC" w14:textId="77777777" w:rsidR="008E5DE4" w:rsidRDefault="00780368" w:rsidP="00BB1486">
      <w:pPr>
        <w:pStyle w:val="Heading1"/>
        <w:numPr>
          <w:ilvl w:val="0"/>
          <w:numId w:val="3"/>
        </w:numPr>
        <w:ind w:left="567" w:hanging="567"/>
      </w:pPr>
      <w:bookmarkStart w:id="7" w:name="_Toc149923603"/>
      <w:r>
        <w:t>Critical Accounting Estimates and Judgements in Applying Accounting Policies</w:t>
      </w:r>
      <w:bookmarkEnd w:id="7"/>
    </w:p>
    <w:p w14:paraId="6FCCBCA6" w14:textId="31279CCF"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The Group makes estimates and assumptions that affect the amounts recognised in the consolidated financial statements and the carrying amounts of assets and liabilities within the next financial year. Estimates and judgements are continually evaluated and are based on management’s experience and other factors, including expectations of future events that are believed to be reasonable under the circumstances. Management also makes certain judgements, apart from those involving estimations, in the process of applying the accounting policies. Judgements that have the most significant effect on the amounts recognised in the consolidated financial statements and estimates that can cause a significant adjustment to the carrying amount of assets and liabilities within the next financial year include:</w:t>
      </w:r>
      <w:r w:rsidR="00D266F1">
        <w:rPr>
          <w:i/>
          <w:color w:val="FF0000"/>
          <w:sz w:val="20"/>
          <w:szCs w:val="20"/>
        </w:rPr>
        <w:t xml:space="preserve"> </w:t>
      </w:r>
      <w:proofErr w:type="gramStart"/>
      <w:r w:rsidR="00D266F1" w:rsidRPr="007F183E">
        <w:rPr>
          <w:color w:val="0000FF"/>
          <w:sz w:val="20"/>
          <w:szCs w:val="20"/>
        </w:rPr>
        <w:t>[</w:t>
      </w:r>
      <w:r w:rsidR="00D266F1">
        <w:rPr>
          <w:color w:val="0000FF"/>
          <w:sz w:val="20"/>
          <w:szCs w:val="20"/>
        </w:rPr>
        <w:t xml:space="preserve"> </w:t>
      </w:r>
      <w:r w:rsidR="006A15AF">
        <w:rPr>
          <w:color w:val="0000FF"/>
          <w:sz w:val="20"/>
          <w:szCs w:val="20"/>
        </w:rPr>
        <w:t xml:space="preserve"> </w:t>
      </w:r>
      <w:r w:rsidR="00D266F1" w:rsidRPr="007F183E">
        <w:rPr>
          <w:color w:val="0000FF"/>
          <w:sz w:val="20"/>
          <w:szCs w:val="20"/>
        </w:rPr>
        <w:t>]</w:t>
      </w:r>
      <w:proofErr w:type="gramEnd"/>
      <w:r>
        <w:rPr>
          <w:color w:val="000000"/>
          <w:sz w:val="20"/>
          <w:szCs w:val="20"/>
        </w:rPr>
        <w:t>.</w:t>
      </w:r>
    </w:p>
    <w:p w14:paraId="1C6E26F7" w14:textId="0A26AB46" w:rsidR="008E5DE4" w:rsidRDefault="00780368">
      <w:pPr>
        <w:widowControl w:val="0"/>
        <w:pBdr>
          <w:top w:val="nil"/>
          <w:left w:val="nil"/>
          <w:bottom w:val="nil"/>
          <w:right w:val="nil"/>
          <w:between w:val="nil"/>
        </w:pBdr>
        <w:spacing w:before="200" w:after="200"/>
        <w:jc w:val="both"/>
        <w:rPr>
          <w:i/>
          <w:color w:val="FF0000"/>
          <w:sz w:val="20"/>
          <w:szCs w:val="20"/>
        </w:rPr>
      </w:pPr>
      <w:r>
        <w:rPr>
          <w:color w:val="0000FF"/>
          <w:sz w:val="20"/>
          <w:szCs w:val="20"/>
        </w:rPr>
        <w:t>[</w:t>
      </w:r>
      <w:r>
        <w:rPr>
          <w:b/>
          <w:i/>
          <w:color w:val="0000FF"/>
          <w:sz w:val="20"/>
          <w:szCs w:val="20"/>
        </w:rPr>
        <w:t>Going concern.</w:t>
      </w:r>
      <w:r>
        <w:rPr>
          <w:color w:val="0000FF"/>
          <w:sz w:val="20"/>
          <w:szCs w:val="20"/>
        </w:rPr>
        <w:t xml:space="preserve"> Management prepared these consolidated financial statements on a going concern basis. In making this judgement management considered the Group’s financial position, current intentions, profitability of operations and access to financial resources, and analysed the impact of the</w:t>
      </w:r>
      <w:r>
        <w:rPr>
          <w:color w:val="000000"/>
          <w:sz w:val="20"/>
          <w:szCs w:val="20"/>
        </w:rPr>
        <w:t xml:space="preserve"> </w:t>
      </w:r>
      <w:r>
        <w:rPr>
          <w:color w:val="0000FF"/>
          <w:sz w:val="20"/>
          <w:szCs w:val="20"/>
        </w:rPr>
        <w:t>macro-economic developments on the operations of the Group.]</w:t>
      </w:r>
    </w:p>
    <w:p w14:paraId="48D9928B" w14:textId="3544487D"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Estimated impairment of goodwill – </w:t>
      </w:r>
      <w:r>
        <w:rPr>
          <w:color w:val="000000"/>
          <w:sz w:val="20"/>
          <w:szCs w:val="20"/>
        </w:rPr>
        <w:t xml:space="preserve">see further information in the Note </w:t>
      </w:r>
      <w:r w:rsidR="006A15AF" w:rsidRPr="006A15AF">
        <w:rPr>
          <w:color w:val="0000FF"/>
          <w:sz w:val="20"/>
          <w:szCs w:val="20"/>
        </w:rPr>
        <w:t>[</w:t>
      </w:r>
      <w:r w:rsidRPr="006A15AF">
        <w:rPr>
          <w:color w:val="0000FF"/>
          <w:sz w:val="20"/>
          <w:szCs w:val="20"/>
        </w:rPr>
        <w:t>12</w:t>
      </w:r>
      <w:r w:rsidR="006A15AF" w:rsidRPr="006A15AF">
        <w:rPr>
          <w:color w:val="0000FF"/>
          <w:sz w:val="20"/>
          <w:szCs w:val="20"/>
        </w:rPr>
        <w:t>]</w:t>
      </w:r>
      <w:r>
        <w:rPr>
          <w:b/>
          <w:i/>
          <w:color w:val="000000"/>
          <w:sz w:val="20"/>
          <w:szCs w:val="20"/>
        </w:rPr>
        <w:t xml:space="preserve">. </w:t>
      </w:r>
    </w:p>
    <w:p w14:paraId="5DD7BCE7" w14:textId="3536B4DA"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Classification of leases from the lessor’s perspective - </w:t>
      </w:r>
      <w:r>
        <w:rPr>
          <w:color w:val="000000"/>
          <w:sz w:val="20"/>
          <w:szCs w:val="20"/>
        </w:rPr>
        <w:t xml:space="preserve">see further information in the Note </w:t>
      </w:r>
      <w:r w:rsidR="006A15AF" w:rsidRPr="006A15AF">
        <w:rPr>
          <w:color w:val="0000FF"/>
          <w:sz w:val="20"/>
          <w:szCs w:val="20"/>
        </w:rPr>
        <w:t>[</w:t>
      </w:r>
      <w:r w:rsidRPr="006A15AF">
        <w:rPr>
          <w:color w:val="0000FF"/>
          <w:sz w:val="20"/>
          <w:szCs w:val="20"/>
        </w:rPr>
        <w:t>15</w:t>
      </w:r>
      <w:r w:rsidR="006A15AF" w:rsidRPr="006A15AF">
        <w:rPr>
          <w:color w:val="0000FF"/>
          <w:sz w:val="20"/>
          <w:szCs w:val="20"/>
        </w:rPr>
        <w:t>]</w:t>
      </w:r>
      <w:r>
        <w:rPr>
          <w:color w:val="000000"/>
          <w:sz w:val="20"/>
          <w:szCs w:val="20"/>
        </w:rPr>
        <w:t xml:space="preserve">. </w:t>
      </w:r>
    </w:p>
    <w:p w14:paraId="3876E507" w14:textId="77777777"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Derecognition of financial assets – </w:t>
      </w:r>
      <w:r>
        <w:rPr>
          <w:color w:val="000000"/>
          <w:sz w:val="20"/>
          <w:szCs w:val="20"/>
        </w:rPr>
        <w:t xml:space="preserve">see further information in the Note </w:t>
      </w:r>
      <w:r>
        <w:rPr>
          <w:color w:val="0000FF"/>
          <w:sz w:val="20"/>
          <w:szCs w:val="20"/>
        </w:rPr>
        <w:t>[15, 16, 20, 22, 23].</w:t>
      </w:r>
      <w:r>
        <w:rPr>
          <w:color w:val="000000"/>
          <w:sz w:val="20"/>
          <w:szCs w:val="20"/>
        </w:rPr>
        <w:t xml:space="preserve">  </w:t>
      </w:r>
    </w:p>
    <w:p w14:paraId="443D01BA" w14:textId="319A620C" w:rsidR="008E5DE4" w:rsidRDefault="00780368">
      <w:pPr>
        <w:widowControl w:val="0"/>
        <w:pBdr>
          <w:top w:val="nil"/>
          <w:left w:val="nil"/>
          <w:bottom w:val="nil"/>
          <w:right w:val="nil"/>
          <w:between w:val="nil"/>
        </w:pBdr>
        <w:spacing w:before="200" w:after="200"/>
        <w:jc w:val="both"/>
        <w:rPr>
          <w:color w:val="0000FF"/>
          <w:sz w:val="20"/>
          <w:szCs w:val="20"/>
        </w:rPr>
      </w:pPr>
      <w:r>
        <w:rPr>
          <w:b/>
          <w:i/>
          <w:color w:val="000000"/>
          <w:sz w:val="20"/>
          <w:szCs w:val="20"/>
        </w:rPr>
        <w:t xml:space="preserve">Deferred income tax asset recognition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39</w:t>
      </w:r>
      <w:r w:rsidR="006A15AF" w:rsidRPr="006A15AF">
        <w:rPr>
          <w:color w:val="0000FF"/>
          <w:sz w:val="20"/>
          <w:szCs w:val="20"/>
        </w:rPr>
        <w:t>]</w:t>
      </w:r>
      <w:r>
        <w:rPr>
          <w:b/>
          <w:i/>
          <w:color w:val="000000"/>
          <w:sz w:val="20"/>
          <w:szCs w:val="20"/>
        </w:rPr>
        <w:t xml:space="preserve">. </w:t>
      </w:r>
    </w:p>
    <w:p w14:paraId="737821A5"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FF"/>
          <w:sz w:val="20"/>
          <w:szCs w:val="20"/>
        </w:rPr>
        <w:t xml:space="preserve">[Tax legislation. </w:t>
      </w:r>
      <w:r>
        <w:rPr>
          <w:color w:val="0000FF"/>
          <w:sz w:val="20"/>
          <w:szCs w:val="20"/>
        </w:rPr>
        <w:t xml:space="preserve"> [Country’s] tax, currency and customs legislation is subject to varying interpretations. Refer to Note</w:t>
      </w:r>
      <w:r>
        <w:rPr>
          <w:color w:val="000000"/>
          <w:sz w:val="20"/>
          <w:szCs w:val="20"/>
        </w:rPr>
        <w:t xml:space="preserve"> </w:t>
      </w:r>
      <w:r>
        <w:rPr>
          <w:color w:val="0000FF"/>
          <w:sz w:val="20"/>
          <w:szCs w:val="20"/>
        </w:rPr>
        <w:t>43.]</w:t>
      </w:r>
    </w:p>
    <w:p w14:paraId="62AFB86A" w14:textId="26C3F464"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Deferred income tax on post-acquisition retained earnings of subsidiaries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39</w:t>
      </w:r>
      <w:r w:rsidR="006A15AF" w:rsidRPr="006A15AF">
        <w:rPr>
          <w:color w:val="0000FF"/>
          <w:sz w:val="20"/>
          <w:szCs w:val="20"/>
        </w:rPr>
        <w:t>]</w:t>
      </w:r>
      <w:r>
        <w:rPr>
          <w:b/>
          <w:i/>
          <w:color w:val="000000"/>
          <w:sz w:val="20"/>
          <w:szCs w:val="20"/>
        </w:rPr>
        <w:t>.</w:t>
      </w:r>
      <w:r>
        <w:rPr>
          <w:color w:val="000000"/>
          <w:sz w:val="20"/>
          <w:szCs w:val="20"/>
        </w:rPr>
        <w:t xml:space="preserve"> </w:t>
      </w:r>
    </w:p>
    <w:p w14:paraId="0A42B5EB" w14:textId="39FBB770" w:rsidR="008E5DE4" w:rsidRDefault="00780368">
      <w:pPr>
        <w:pBdr>
          <w:top w:val="nil"/>
          <w:left w:val="nil"/>
          <w:bottom w:val="nil"/>
          <w:right w:val="nil"/>
          <w:between w:val="nil"/>
        </w:pBdr>
        <w:spacing w:after="240"/>
        <w:jc w:val="both"/>
        <w:rPr>
          <w:color w:val="000000"/>
          <w:sz w:val="20"/>
          <w:szCs w:val="20"/>
        </w:rPr>
      </w:pPr>
      <w:r>
        <w:rPr>
          <w:b/>
          <w:i/>
          <w:color w:val="000000"/>
          <w:sz w:val="20"/>
          <w:szCs w:val="20"/>
        </w:rPr>
        <w:t xml:space="preserve">Initial recognition of related party transactions </w:t>
      </w:r>
      <w:r>
        <w:rPr>
          <w:color w:val="000000"/>
          <w:sz w:val="20"/>
          <w:szCs w:val="20"/>
        </w:rPr>
        <w:t>– see further information in the Note</w:t>
      </w:r>
      <w:r w:rsidRPr="006A15AF">
        <w:rPr>
          <w:color w:val="0000FF"/>
          <w:sz w:val="20"/>
          <w:szCs w:val="20"/>
        </w:rPr>
        <w:t xml:space="preserve"> </w:t>
      </w:r>
      <w:r w:rsidR="006A15AF" w:rsidRPr="006A15AF">
        <w:rPr>
          <w:color w:val="0000FF"/>
          <w:sz w:val="20"/>
          <w:szCs w:val="20"/>
        </w:rPr>
        <w:t>[</w:t>
      </w:r>
      <w:r w:rsidRPr="006A15AF">
        <w:rPr>
          <w:color w:val="0000FF"/>
          <w:sz w:val="20"/>
          <w:szCs w:val="20"/>
        </w:rPr>
        <w:t>8</w:t>
      </w:r>
      <w:r w:rsidR="006A15AF" w:rsidRPr="006A15AF">
        <w:rPr>
          <w:color w:val="0000FF"/>
          <w:sz w:val="20"/>
          <w:szCs w:val="20"/>
        </w:rPr>
        <w:t>]</w:t>
      </w:r>
      <w:r>
        <w:rPr>
          <w:b/>
          <w:i/>
          <w:color w:val="000000"/>
          <w:sz w:val="20"/>
          <w:szCs w:val="20"/>
        </w:rPr>
        <w:t>.</w:t>
      </w:r>
      <w:r>
        <w:rPr>
          <w:color w:val="000000"/>
          <w:sz w:val="20"/>
          <w:szCs w:val="20"/>
        </w:rPr>
        <w:t xml:space="preserve"> </w:t>
      </w:r>
    </w:p>
    <w:p w14:paraId="3C49B211" w14:textId="77777777" w:rsidR="008E5DE4" w:rsidRDefault="00780368">
      <w:pPr>
        <w:pBdr>
          <w:top w:val="nil"/>
          <w:left w:val="nil"/>
          <w:bottom w:val="nil"/>
          <w:right w:val="nil"/>
          <w:between w:val="nil"/>
        </w:pBdr>
        <w:spacing w:after="240"/>
        <w:jc w:val="both"/>
        <w:rPr>
          <w:color w:val="000000"/>
          <w:sz w:val="20"/>
          <w:szCs w:val="20"/>
        </w:rPr>
      </w:pPr>
      <w:r>
        <w:rPr>
          <w:b/>
          <w:i/>
          <w:color w:val="000000"/>
          <w:sz w:val="20"/>
          <w:szCs w:val="20"/>
        </w:rPr>
        <w:t xml:space="preserve">ECL measurement - </w:t>
      </w:r>
      <w:r>
        <w:rPr>
          <w:color w:val="000000"/>
          <w:sz w:val="20"/>
          <w:szCs w:val="20"/>
        </w:rPr>
        <w:t xml:space="preserve">see further information in the Note </w:t>
      </w:r>
      <w:r>
        <w:rPr>
          <w:color w:val="0000FF"/>
          <w:sz w:val="20"/>
          <w:szCs w:val="20"/>
        </w:rPr>
        <w:t>[16, 22, 23]</w:t>
      </w:r>
      <w:r>
        <w:rPr>
          <w:color w:val="000000"/>
          <w:sz w:val="20"/>
          <w:szCs w:val="20"/>
        </w:rPr>
        <w:t>.</w:t>
      </w:r>
    </w:p>
    <w:p w14:paraId="72410AC4" w14:textId="77777777" w:rsidR="008E5DE4" w:rsidRDefault="00780368">
      <w:pPr>
        <w:pBdr>
          <w:top w:val="nil"/>
          <w:left w:val="nil"/>
          <w:bottom w:val="nil"/>
          <w:right w:val="nil"/>
          <w:between w:val="nil"/>
        </w:pBdr>
        <w:spacing w:after="240"/>
        <w:jc w:val="both"/>
        <w:rPr>
          <w:color w:val="000000"/>
          <w:sz w:val="20"/>
          <w:szCs w:val="20"/>
        </w:rPr>
      </w:pPr>
      <w:r>
        <w:rPr>
          <w:b/>
          <w:i/>
          <w:color w:val="000000"/>
          <w:sz w:val="20"/>
          <w:szCs w:val="20"/>
        </w:rPr>
        <w:t xml:space="preserve">Significant increase in credit risk (“SICR”) - </w:t>
      </w:r>
      <w:r>
        <w:rPr>
          <w:color w:val="000000"/>
          <w:sz w:val="20"/>
          <w:szCs w:val="20"/>
        </w:rPr>
        <w:t xml:space="preserve">see further information in the Note </w:t>
      </w:r>
      <w:r>
        <w:rPr>
          <w:color w:val="0000FF"/>
          <w:sz w:val="20"/>
          <w:szCs w:val="20"/>
        </w:rPr>
        <w:t>[16, 22, 23]</w:t>
      </w:r>
      <w:r>
        <w:rPr>
          <w:color w:val="000000"/>
          <w:sz w:val="20"/>
          <w:szCs w:val="20"/>
        </w:rPr>
        <w:t>.</w:t>
      </w:r>
    </w:p>
    <w:p w14:paraId="4447042E" w14:textId="77777777" w:rsidR="008E5DE4" w:rsidRDefault="00780368">
      <w:pPr>
        <w:pBdr>
          <w:top w:val="nil"/>
          <w:left w:val="nil"/>
          <w:bottom w:val="nil"/>
          <w:right w:val="nil"/>
          <w:between w:val="nil"/>
        </w:pBdr>
        <w:spacing w:after="240"/>
        <w:jc w:val="both"/>
        <w:rPr>
          <w:color w:val="000000"/>
          <w:sz w:val="20"/>
          <w:szCs w:val="20"/>
        </w:rPr>
      </w:pPr>
      <w:r>
        <w:rPr>
          <w:b/>
          <w:i/>
          <w:color w:val="000000"/>
          <w:sz w:val="20"/>
          <w:szCs w:val="20"/>
        </w:rPr>
        <w:t xml:space="preserve">Business model assessment - </w:t>
      </w:r>
      <w:r>
        <w:rPr>
          <w:color w:val="000000"/>
          <w:sz w:val="20"/>
          <w:szCs w:val="20"/>
        </w:rPr>
        <w:t xml:space="preserve">see further information in the Note </w:t>
      </w:r>
      <w:r>
        <w:rPr>
          <w:color w:val="0000FF"/>
          <w:sz w:val="20"/>
          <w:szCs w:val="20"/>
        </w:rPr>
        <w:t>[16, 22, 23]</w:t>
      </w:r>
      <w:r>
        <w:rPr>
          <w:color w:val="000000"/>
          <w:sz w:val="20"/>
          <w:szCs w:val="20"/>
        </w:rPr>
        <w:t>.</w:t>
      </w:r>
    </w:p>
    <w:p w14:paraId="73781FAA" w14:textId="77777777" w:rsidR="008E5DE4" w:rsidRDefault="00780368">
      <w:pPr>
        <w:pBdr>
          <w:top w:val="nil"/>
          <w:left w:val="nil"/>
          <w:bottom w:val="nil"/>
          <w:right w:val="nil"/>
          <w:between w:val="nil"/>
        </w:pBdr>
        <w:spacing w:after="240"/>
        <w:jc w:val="both"/>
        <w:rPr>
          <w:color w:val="000000"/>
          <w:sz w:val="20"/>
          <w:szCs w:val="20"/>
        </w:rPr>
      </w:pPr>
      <w:r>
        <w:rPr>
          <w:b/>
          <w:i/>
          <w:color w:val="000000"/>
          <w:sz w:val="20"/>
          <w:szCs w:val="20"/>
        </w:rPr>
        <w:t xml:space="preserve">Assessment whether cash flows are solely payments of principal and interest (“SPPI”) - </w:t>
      </w:r>
      <w:r>
        <w:rPr>
          <w:color w:val="000000"/>
          <w:sz w:val="20"/>
          <w:szCs w:val="20"/>
        </w:rPr>
        <w:t xml:space="preserve">see further information in the Note </w:t>
      </w:r>
      <w:r>
        <w:rPr>
          <w:color w:val="0000FF"/>
          <w:sz w:val="20"/>
          <w:szCs w:val="20"/>
        </w:rPr>
        <w:t>[16, 22, 23]</w:t>
      </w:r>
      <w:r>
        <w:rPr>
          <w:color w:val="000000"/>
          <w:sz w:val="20"/>
          <w:szCs w:val="20"/>
        </w:rPr>
        <w:t>.</w:t>
      </w:r>
    </w:p>
    <w:p w14:paraId="6263BD7C" w14:textId="77777777" w:rsidR="008E5DE4" w:rsidRDefault="00780368">
      <w:pPr>
        <w:pBdr>
          <w:top w:val="nil"/>
          <w:left w:val="nil"/>
          <w:bottom w:val="nil"/>
          <w:right w:val="nil"/>
          <w:between w:val="nil"/>
        </w:pBdr>
        <w:spacing w:after="240"/>
        <w:jc w:val="both"/>
        <w:rPr>
          <w:color w:val="000000"/>
          <w:sz w:val="20"/>
          <w:szCs w:val="20"/>
        </w:rPr>
      </w:pPr>
      <w:r>
        <w:rPr>
          <w:b/>
          <w:i/>
          <w:color w:val="000000"/>
          <w:sz w:val="20"/>
          <w:szCs w:val="20"/>
        </w:rPr>
        <w:t xml:space="preserve">Modification of financial assets - </w:t>
      </w:r>
      <w:r>
        <w:rPr>
          <w:color w:val="000000"/>
          <w:sz w:val="20"/>
          <w:szCs w:val="20"/>
        </w:rPr>
        <w:t xml:space="preserve">see further information in the Note </w:t>
      </w:r>
      <w:r>
        <w:rPr>
          <w:color w:val="0000FF"/>
          <w:sz w:val="20"/>
          <w:szCs w:val="20"/>
        </w:rPr>
        <w:t>[16, 22, 23]</w:t>
      </w:r>
      <w:r>
        <w:rPr>
          <w:color w:val="000000"/>
          <w:sz w:val="20"/>
          <w:szCs w:val="20"/>
        </w:rPr>
        <w:t>.</w:t>
      </w:r>
    </w:p>
    <w:p w14:paraId="27691A49" w14:textId="77777777" w:rsidR="008E5DE4" w:rsidRDefault="00780368">
      <w:pPr>
        <w:pBdr>
          <w:top w:val="nil"/>
          <w:left w:val="nil"/>
          <w:bottom w:val="nil"/>
          <w:right w:val="nil"/>
          <w:between w:val="nil"/>
        </w:pBdr>
        <w:spacing w:after="240"/>
        <w:jc w:val="both"/>
        <w:rPr>
          <w:color w:val="000000"/>
          <w:sz w:val="20"/>
          <w:szCs w:val="20"/>
        </w:rPr>
      </w:pPr>
      <w:r>
        <w:rPr>
          <w:b/>
          <w:i/>
          <w:color w:val="000000"/>
          <w:sz w:val="20"/>
          <w:szCs w:val="20"/>
        </w:rPr>
        <w:t xml:space="preserve">Write-off policy - </w:t>
      </w:r>
      <w:r>
        <w:rPr>
          <w:color w:val="000000"/>
          <w:sz w:val="20"/>
          <w:szCs w:val="20"/>
        </w:rPr>
        <w:t xml:space="preserve">see further information in the Note </w:t>
      </w:r>
      <w:r>
        <w:rPr>
          <w:color w:val="0000FF"/>
          <w:sz w:val="20"/>
          <w:szCs w:val="20"/>
        </w:rPr>
        <w:t>[16, 22, 23]</w:t>
      </w:r>
      <w:r>
        <w:rPr>
          <w:color w:val="000000"/>
          <w:sz w:val="20"/>
          <w:szCs w:val="20"/>
        </w:rPr>
        <w:t>.</w:t>
      </w:r>
    </w:p>
    <w:p w14:paraId="6825219A" w14:textId="3CEE80E9" w:rsidR="008E5DE4" w:rsidRDefault="00780368">
      <w:pPr>
        <w:pBdr>
          <w:top w:val="nil"/>
          <w:left w:val="nil"/>
          <w:bottom w:val="nil"/>
          <w:right w:val="nil"/>
          <w:between w:val="nil"/>
        </w:pBdr>
        <w:spacing w:after="240"/>
        <w:jc w:val="both"/>
        <w:rPr>
          <w:color w:val="000000"/>
        </w:rPr>
      </w:pPr>
      <w:r>
        <w:rPr>
          <w:b/>
          <w:i/>
          <w:color w:val="000000"/>
          <w:sz w:val="20"/>
          <w:szCs w:val="20"/>
        </w:rPr>
        <w:t xml:space="preserve">Valuation of investment properties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10</w:t>
      </w:r>
      <w:r w:rsidR="006A15AF" w:rsidRPr="006A15AF">
        <w:rPr>
          <w:color w:val="0000FF"/>
          <w:sz w:val="20"/>
          <w:szCs w:val="20"/>
        </w:rPr>
        <w:t>]</w:t>
      </w:r>
      <w:r>
        <w:rPr>
          <w:i/>
          <w:color w:val="000000"/>
          <w:sz w:val="20"/>
          <w:szCs w:val="20"/>
        </w:rPr>
        <w:t>.</w:t>
      </w:r>
      <w:r>
        <w:rPr>
          <w:color w:val="000000"/>
          <w:sz w:val="20"/>
          <w:szCs w:val="20"/>
        </w:rPr>
        <w:t xml:space="preserve"> </w:t>
      </w:r>
    </w:p>
    <w:p w14:paraId="73871185" w14:textId="7D90A382" w:rsidR="008E5DE4" w:rsidRDefault="00780368">
      <w:pPr>
        <w:widowControl w:val="0"/>
        <w:pBdr>
          <w:top w:val="nil"/>
          <w:left w:val="nil"/>
          <w:bottom w:val="nil"/>
          <w:right w:val="nil"/>
          <w:between w:val="nil"/>
        </w:pBdr>
        <w:spacing w:before="200" w:after="200"/>
        <w:jc w:val="both"/>
        <w:rPr>
          <w:color w:val="000000"/>
        </w:rPr>
      </w:pPr>
      <w:r>
        <w:rPr>
          <w:b/>
          <w:i/>
          <w:color w:val="000000"/>
          <w:sz w:val="20"/>
          <w:szCs w:val="20"/>
        </w:rPr>
        <w:t xml:space="preserve">Valuation of own use premises using income capitalisation method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9</w:t>
      </w:r>
      <w:r w:rsidR="006A15AF" w:rsidRPr="006A15AF">
        <w:rPr>
          <w:color w:val="0000FF"/>
          <w:sz w:val="20"/>
          <w:szCs w:val="20"/>
        </w:rPr>
        <w:t>]</w:t>
      </w:r>
      <w:r>
        <w:rPr>
          <w:b/>
          <w:i/>
          <w:color w:val="000000"/>
          <w:sz w:val="20"/>
          <w:szCs w:val="20"/>
        </w:rPr>
        <w:t>.</w:t>
      </w:r>
      <w:r>
        <w:rPr>
          <w:color w:val="000000"/>
          <w:sz w:val="20"/>
          <w:szCs w:val="20"/>
        </w:rPr>
        <w:t xml:space="preserve"> </w:t>
      </w:r>
    </w:p>
    <w:p w14:paraId="1FB80FD5" w14:textId="45C2244F"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Useful lives of property, plant and equipment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9</w:t>
      </w:r>
      <w:r w:rsidR="006A15AF" w:rsidRPr="006A15AF">
        <w:rPr>
          <w:color w:val="0000FF"/>
          <w:sz w:val="20"/>
          <w:szCs w:val="20"/>
        </w:rPr>
        <w:t>]</w:t>
      </w:r>
      <w:r>
        <w:rPr>
          <w:b/>
          <w:i/>
          <w:color w:val="000000"/>
          <w:sz w:val="20"/>
          <w:szCs w:val="20"/>
        </w:rPr>
        <w:t>.</w:t>
      </w:r>
    </w:p>
    <w:p w14:paraId="7344233C" w14:textId="138F100F" w:rsidR="008E5DE4" w:rsidRDefault="00780368">
      <w:pPr>
        <w:spacing w:before="200" w:after="200"/>
        <w:jc w:val="both"/>
        <w:rPr>
          <w:sz w:val="20"/>
          <w:szCs w:val="20"/>
        </w:rPr>
      </w:pPr>
      <w:r>
        <w:rPr>
          <w:b/>
          <w:i/>
          <w:sz w:val="20"/>
          <w:szCs w:val="20"/>
        </w:rPr>
        <w:t xml:space="preserve">Functional currencies of different entities of the Group </w:t>
      </w:r>
      <w:r>
        <w:rPr>
          <w:sz w:val="20"/>
          <w:szCs w:val="20"/>
        </w:rPr>
        <w:t xml:space="preserve">– see further information in the Note </w:t>
      </w:r>
      <w:r w:rsidR="006A15AF" w:rsidRPr="006A15AF">
        <w:rPr>
          <w:color w:val="0000FF"/>
          <w:sz w:val="20"/>
          <w:szCs w:val="20"/>
        </w:rPr>
        <w:t>[</w:t>
      </w:r>
      <w:r w:rsidRPr="006A15AF">
        <w:rPr>
          <w:color w:val="0000FF"/>
          <w:sz w:val="20"/>
          <w:szCs w:val="20"/>
        </w:rPr>
        <w:t>49</w:t>
      </w:r>
      <w:r w:rsidR="006A15AF" w:rsidRPr="006A15AF">
        <w:rPr>
          <w:color w:val="0000FF"/>
          <w:sz w:val="20"/>
          <w:szCs w:val="20"/>
        </w:rPr>
        <w:t>]</w:t>
      </w:r>
      <w:r>
        <w:rPr>
          <w:b/>
          <w:i/>
          <w:sz w:val="20"/>
          <w:szCs w:val="20"/>
        </w:rPr>
        <w:t>.</w:t>
      </w:r>
      <w:r>
        <w:rPr>
          <w:sz w:val="20"/>
          <w:szCs w:val="20"/>
        </w:rPr>
        <w:t xml:space="preserve"> </w:t>
      </w:r>
    </w:p>
    <w:p w14:paraId="1808B23B" w14:textId="10F2F82E" w:rsidR="008E5DE4" w:rsidRDefault="00780368">
      <w:pPr>
        <w:jc w:val="both"/>
        <w:rPr>
          <w:sz w:val="20"/>
          <w:szCs w:val="20"/>
        </w:rPr>
      </w:pPr>
      <w:r>
        <w:rPr>
          <w:b/>
          <w:i/>
          <w:sz w:val="20"/>
          <w:szCs w:val="20"/>
        </w:rPr>
        <w:t xml:space="preserve">Depreciation of right-of-use assets </w:t>
      </w:r>
      <w:r>
        <w:rPr>
          <w:sz w:val="20"/>
          <w:szCs w:val="20"/>
        </w:rPr>
        <w:t xml:space="preserve">– see further information in the Note </w:t>
      </w:r>
      <w:r w:rsidR="006A15AF" w:rsidRPr="006A15AF">
        <w:rPr>
          <w:color w:val="0000FF"/>
          <w:sz w:val="20"/>
          <w:szCs w:val="20"/>
        </w:rPr>
        <w:t>[</w:t>
      </w:r>
      <w:r w:rsidRPr="006A15AF">
        <w:rPr>
          <w:color w:val="0000FF"/>
          <w:sz w:val="20"/>
          <w:szCs w:val="20"/>
        </w:rPr>
        <w:t>11</w:t>
      </w:r>
      <w:r w:rsidR="006A15AF" w:rsidRPr="006A15AF">
        <w:rPr>
          <w:color w:val="0000FF"/>
          <w:sz w:val="20"/>
          <w:szCs w:val="20"/>
        </w:rPr>
        <w:t>]</w:t>
      </w:r>
      <w:r>
        <w:rPr>
          <w:b/>
          <w:i/>
          <w:sz w:val="20"/>
          <w:szCs w:val="20"/>
        </w:rPr>
        <w:t>.</w:t>
      </w:r>
      <w:r>
        <w:rPr>
          <w:sz w:val="20"/>
          <w:szCs w:val="20"/>
        </w:rPr>
        <w:t xml:space="preserve"> </w:t>
      </w:r>
    </w:p>
    <w:p w14:paraId="508861F0" w14:textId="77777777" w:rsidR="00844C35" w:rsidRDefault="00844C35" w:rsidP="00844C35">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w:t>
      </w:r>
      <w:r>
        <w:rPr>
          <w:b/>
          <w:color w:val="000000"/>
          <w:sz w:val="20"/>
          <w:szCs w:val="20"/>
        </w:rPr>
        <w:tab/>
        <w:t>Critical Accounting Estimates and Judgements in Applying Accounting Policies (Continued)</w:t>
      </w:r>
    </w:p>
    <w:p w14:paraId="20AA379C" w14:textId="1176B4EC" w:rsidR="008E5DE4" w:rsidRDefault="00780368">
      <w:pPr>
        <w:spacing w:before="200" w:after="200"/>
        <w:jc w:val="both"/>
        <w:rPr>
          <w:sz w:val="20"/>
          <w:szCs w:val="20"/>
        </w:rPr>
      </w:pPr>
      <w:r>
        <w:rPr>
          <w:b/>
          <w:i/>
          <w:sz w:val="20"/>
          <w:szCs w:val="20"/>
        </w:rPr>
        <w:t xml:space="preserve">Extension and termination options </w:t>
      </w:r>
      <w:r>
        <w:rPr>
          <w:sz w:val="20"/>
          <w:szCs w:val="20"/>
        </w:rPr>
        <w:t xml:space="preserve">– see further information in the Note </w:t>
      </w:r>
      <w:r w:rsidR="006A15AF" w:rsidRPr="006A15AF">
        <w:rPr>
          <w:color w:val="0000FF"/>
          <w:sz w:val="20"/>
          <w:szCs w:val="20"/>
        </w:rPr>
        <w:t>[</w:t>
      </w:r>
      <w:r w:rsidRPr="006A15AF">
        <w:rPr>
          <w:color w:val="0000FF"/>
          <w:sz w:val="20"/>
          <w:szCs w:val="20"/>
        </w:rPr>
        <w:t>11</w:t>
      </w:r>
      <w:r w:rsidR="006A15AF" w:rsidRPr="006A15AF">
        <w:rPr>
          <w:color w:val="0000FF"/>
          <w:sz w:val="20"/>
          <w:szCs w:val="20"/>
        </w:rPr>
        <w:t>]</w:t>
      </w:r>
      <w:r>
        <w:rPr>
          <w:sz w:val="20"/>
          <w:szCs w:val="20"/>
        </w:rPr>
        <w:t>.</w:t>
      </w:r>
    </w:p>
    <w:p w14:paraId="3D241BA9" w14:textId="45FCC9B3" w:rsidR="008E5DE4" w:rsidRDefault="00780368">
      <w:pPr>
        <w:spacing w:before="200" w:after="200"/>
        <w:jc w:val="both"/>
      </w:pPr>
      <w:r>
        <w:rPr>
          <w:b/>
          <w:i/>
          <w:sz w:val="20"/>
          <w:szCs w:val="20"/>
        </w:rPr>
        <w:t xml:space="preserve">Residual value guarantees </w:t>
      </w:r>
      <w:r>
        <w:rPr>
          <w:sz w:val="20"/>
          <w:szCs w:val="20"/>
        </w:rPr>
        <w:t xml:space="preserve">– see further information in the Note </w:t>
      </w:r>
      <w:r w:rsidR="006A15AF" w:rsidRPr="006A15AF">
        <w:rPr>
          <w:color w:val="0000FF"/>
          <w:sz w:val="20"/>
          <w:szCs w:val="20"/>
        </w:rPr>
        <w:t>[</w:t>
      </w:r>
      <w:r w:rsidRPr="006A15AF">
        <w:rPr>
          <w:color w:val="0000FF"/>
          <w:sz w:val="20"/>
          <w:szCs w:val="20"/>
        </w:rPr>
        <w:t>11</w:t>
      </w:r>
      <w:r w:rsidR="006A15AF" w:rsidRPr="006A15AF">
        <w:rPr>
          <w:color w:val="0000FF"/>
          <w:sz w:val="20"/>
          <w:szCs w:val="20"/>
        </w:rPr>
        <w:t>]</w:t>
      </w:r>
      <w:r>
        <w:rPr>
          <w:i/>
          <w:sz w:val="20"/>
          <w:szCs w:val="20"/>
        </w:rPr>
        <w:t>.</w:t>
      </w:r>
    </w:p>
    <w:p w14:paraId="2D4600E1" w14:textId="08855DEC" w:rsidR="008E5DE4" w:rsidRDefault="00780368">
      <w:pPr>
        <w:spacing w:before="200" w:after="200"/>
        <w:jc w:val="both"/>
        <w:rPr>
          <w:sz w:val="20"/>
          <w:szCs w:val="20"/>
        </w:rPr>
      </w:pPr>
      <w:r>
        <w:rPr>
          <w:b/>
          <w:i/>
          <w:sz w:val="20"/>
          <w:szCs w:val="20"/>
        </w:rPr>
        <w:t xml:space="preserve">Changes in accounting estimates. </w:t>
      </w:r>
    </w:p>
    <w:p w14:paraId="719C9373" w14:textId="6685A8C0"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Revenue recognition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35</w:t>
      </w:r>
      <w:r w:rsidR="006A15AF" w:rsidRPr="006A15AF">
        <w:rPr>
          <w:color w:val="0000FF"/>
          <w:sz w:val="20"/>
          <w:szCs w:val="20"/>
        </w:rPr>
        <w:t>]</w:t>
      </w:r>
      <w:r>
        <w:rPr>
          <w:b/>
          <w:i/>
          <w:color w:val="000000"/>
          <w:sz w:val="20"/>
          <w:szCs w:val="20"/>
        </w:rPr>
        <w:t>.</w:t>
      </w:r>
      <w:r>
        <w:rPr>
          <w:b/>
          <w:color w:val="000000"/>
          <w:sz w:val="20"/>
          <w:szCs w:val="20"/>
        </w:rPr>
        <w:t xml:space="preserve"> </w:t>
      </w:r>
    </w:p>
    <w:p w14:paraId="1ED18935" w14:textId="2DB4FC6C"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Discount rates used for determination of lease</w:t>
      </w:r>
      <w:r>
        <w:rPr>
          <w:color w:val="000000"/>
        </w:rPr>
        <w:t xml:space="preserve"> </w:t>
      </w:r>
      <w:r>
        <w:rPr>
          <w:b/>
          <w:i/>
          <w:color w:val="000000"/>
          <w:sz w:val="20"/>
          <w:szCs w:val="20"/>
        </w:rPr>
        <w:t xml:space="preserve">liabilities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11</w:t>
      </w:r>
      <w:r w:rsidR="006A15AF" w:rsidRPr="006A15AF">
        <w:rPr>
          <w:color w:val="0000FF"/>
          <w:sz w:val="20"/>
          <w:szCs w:val="20"/>
        </w:rPr>
        <w:t>]</w:t>
      </w:r>
      <w:r>
        <w:rPr>
          <w:b/>
          <w:i/>
          <w:color w:val="000000"/>
          <w:sz w:val="20"/>
          <w:szCs w:val="20"/>
        </w:rPr>
        <w:t xml:space="preserve">. </w:t>
      </w:r>
    </w:p>
    <w:p w14:paraId="6789756B"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Assumptions to determine amount of provisions </w:t>
      </w:r>
      <w:r>
        <w:rPr>
          <w:color w:val="000000"/>
          <w:sz w:val="20"/>
          <w:szCs w:val="20"/>
        </w:rPr>
        <w:t xml:space="preserve">– see further information in the Note </w:t>
      </w:r>
      <w:r>
        <w:rPr>
          <w:color w:val="0000FF"/>
          <w:sz w:val="20"/>
          <w:szCs w:val="20"/>
        </w:rPr>
        <w:t>[32, 33]</w:t>
      </w:r>
      <w:r>
        <w:rPr>
          <w:b/>
          <w:i/>
          <w:color w:val="000000"/>
          <w:sz w:val="20"/>
          <w:szCs w:val="20"/>
        </w:rPr>
        <w:t xml:space="preserve">. </w:t>
      </w:r>
    </w:p>
    <w:p w14:paraId="1F6A686F" w14:textId="4626AD75"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Residual values of property, plant and equipment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9</w:t>
      </w:r>
      <w:r w:rsidR="006A15AF" w:rsidRPr="006A15AF">
        <w:rPr>
          <w:color w:val="0000FF"/>
          <w:sz w:val="20"/>
          <w:szCs w:val="20"/>
        </w:rPr>
        <w:t>]</w:t>
      </w:r>
      <w:r>
        <w:rPr>
          <w:b/>
          <w:i/>
          <w:color w:val="000000"/>
          <w:sz w:val="20"/>
          <w:szCs w:val="20"/>
        </w:rPr>
        <w:t>.</w:t>
      </w:r>
    </w:p>
    <w:p w14:paraId="503526A4" w14:textId="2D89E7D9"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Inventory write-down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19</w:t>
      </w:r>
      <w:r w:rsidR="006A15AF" w:rsidRPr="006A15AF">
        <w:rPr>
          <w:color w:val="0000FF"/>
          <w:sz w:val="20"/>
          <w:szCs w:val="20"/>
        </w:rPr>
        <w:t>]</w:t>
      </w:r>
      <w:r>
        <w:rPr>
          <w:b/>
          <w:i/>
          <w:color w:val="000000"/>
          <w:sz w:val="20"/>
          <w:szCs w:val="20"/>
        </w:rPr>
        <w:t xml:space="preserve">. </w:t>
      </w:r>
    </w:p>
    <w:p w14:paraId="221843E3" w14:textId="77777777"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Growth rates and discount rates used in PP&amp;E and goodwill impairment calculations </w:t>
      </w:r>
      <w:r>
        <w:rPr>
          <w:color w:val="000000"/>
          <w:sz w:val="20"/>
          <w:szCs w:val="20"/>
        </w:rPr>
        <w:t xml:space="preserve">– see further information in the Note </w:t>
      </w:r>
      <w:r>
        <w:rPr>
          <w:color w:val="0000FF"/>
          <w:sz w:val="20"/>
          <w:szCs w:val="20"/>
        </w:rPr>
        <w:t>[9, 12]</w:t>
      </w:r>
      <w:r>
        <w:rPr>
          <w:b/>
          <w:i/>
          <w:color w:val="000000"/>
          <w:sz w:val="20"/>
          <w:szCs w:val="20"/>
        </w:rPr>
        <w:t>.</w:t>
      </w:r>
    </w:p>
    <w:p w14:paraId="17F11AEF" w14:textId="1E95721C"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Measuring progress towards complete satisfaction of a performance obligation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35</w:t>
      </w:r>
      <w:r w:rsidR="006A15AF" w:rsidRPr="006A15AF">
        <w:rPr>
          <w:color w:val="0000FF"/>
          <w:sz w:val="20"/>
          <w:szCs w:val="20"/>
        </w:rPr>
        <w:t>]</w:t>
      </w:r>
      <w:r>
        <w:rPr>
          <w:b/>
          <w:i/>
          <w:color w:val="000000"/>
          <w:sz w:val="20"/>
          <w:szCs w:val="20"/>
        </w:rPr>
        <w:t>.</w:t>
      </w:r>
    </w:p>
    <w:p w14:paraId="17A2F089" w14:textId="5B064B1C"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Post-employment benefit obligation </w:t>
      </w:r>
      <w:r>
        <w:rPr>
          <w:color w:val="000000"/>
          <w:sz w:val="20"/>
          <w:szCs w:val="20"/>
        </w:rPr>
        <w:t xml:space="preserve">– see further information in the Note </w:t>
      </w:r>
      <w:r w:rsidR="006A15AF" w:rsidRPr="006A15AF">
        <w:rPr>
          <w:color w:val="0000FF"/>
          <w:sz w:val="20"/>
          <w:szCs w:val="20"/>
        </w:rPr>
        <w:t>[</w:t>
      </w:r>
      <w:r w:rsidRPr="006A15AF">
        <w:rPr>
          <w:color w:val="0000FF"/>
          <w:sz w:val="20"/>
          <w:szCs w:val="20"/>
        </w:rPr>
        <w:t>36</w:t>
      </w:r>
      <w:r w:rsidR="006A15AF" w:rsidRPr="006A15AF">
        <w:rPr>
          <w:color w:val="0000FF"/>
          <w:sz w:val="20"/>
          <w:szCs w:val="20"/>
        </w:rPr>
        <w:t>]</w:t>
      </w:r>
      <w:r>
        <w:rPr>
          <w:b/>
          <w:i/>
          <w:color w:val="000000"/>
          <w:sz w:val="20"/>
          <w:szCs w:val="20"/>
        </w:rPr>
        <w:t xml:space="preserve">. </w:t>
      </w:r>
    </w:p>
    <w:p w14:paraId="2A14E909" w14:textId="0D3C2266" w:rsidR="00147C37" w:rsidRPr="00740675" w:rsidRDefault="00740675" w:rsidP="007F183E">
      <w:pPr>
        <w:widowControl w:val="0"/>
        <w:pBdr>
          <w:top w:val="nil"/>
          <w:left w:val="nil"/>
          <w:bottom w:val="nil"/>
          <w:right w:val="nil"/>
          <w:between w:val="nil"/>
        </w:pBdr>
        <w:spacing w:before="200" w:after="200"/>
        <w:jc w:val="both"/>
        <w:rPr>
          <w:rFonts w:ascii="Calibri" w:eastAsia="Times New Roman" w:hAnsi="Calibri" w:cs="Calibri"/>
          <w:color w:val="0563C1"/>
          <w:sz w:val="22"/>
          <w:szCs w:val="22"/>
          <w:u w:val="single"/>
          <w:lang w:eastAsia="en-GB"/>
        </w:rPr>
      </w:pPr>
      <w:r w:rsidRPr="00C41251">
        <w:rPr>
          <w:b/>
          <w:i/>
          <w:color w:val="000000"/>
          <w:sz w:val="20"/>
          <w:szCs w:val="20"/>
        </w:rPr>
        <w:t xml:space="preserve">Supplier finance arrangements – </w:t>
      </w:r>
      <w:r w:rsidRPr="00C41251">
        <w:rPr>
          <w:bCs/>
          <w:iCs/>
          <w:color w:val="000000"/>
          <w:sz w:val="20"/>
          <w:szCs w:val="20"/>
          <w:lang w:val="ro-RO"/>
        </w:rPr>
        <w:t xml:space="preserve">see further information in Note </w:t>
      </w:r>
      <w:r w:rsidR="006A15AF" w:rsidRPr="006A15AF">
        <w:rPr>
          <w:bCs/>
          <w:iCs/>
          <w:color w:val="0000FF"/>
          <w:sz w:val="20"/>
          <w:szCs w:val="20"/>
          <w:lang w:val="ro-RO"/>
        </w:rPr>
        <w:t>[</w:t>
      </w:r>
      <w:r w:rsidRPr="006A15AF">
        <w:rPr>
          <w:bCs/>
          <w:iCs/>
          <w:color w:val="0000FF"/>
          <w:sz w:val="20"/>
          <w:szCs w:val="20"/>
          <w:lang w:val="ro-RO"/>
        </w:rPr>
        <w:t>34</w:t>
      </w:r>
      <w:r w:rsidR="006A15AF" w:rsidRPr="006A15AF">
        <w:rPr>
          <w:bCs/>
          <w:iCs/>
          <w:color w:val="0000FF"/>
          <w:sz w:val="20"/>
          <w:szCs w:val="20"/>
          <w:lang w:val="ro-RO"/>
        </w:rPr>
        <w:t>]</w:t>
      </w:r>
      <w:r w:rsidRPr="00C41251">
        <w:rPr>
          <w:bCs/>
          <w:iCs/>
          <w:color w:val="000000"/>
          <w:sz w:val="20"/>
          <w:szCs w:val="20"/>
          <w:lang w:val="ro-RO"/>
        </w:rPr>
        <w:t>.</w:t>
      </w:r>
    </w:p>
    <w:p w14:paraId="27379726" w14:textId="79C7334E" w:rsidR="008E5DE4" w:rsidRDefault="00780368">
      <w:pPr>
        <w:widowControl w:val="0"/>
        <w:pBdr>
          <w:top w:val="nil"/>
          <w:left w:val="nil"/>
          <w:bottom w:val="nil"/>
          <w:right w:val="nil"/>
          <w:between w:val="nil"/>
        </w:pBdr>
        <w:spacing w:before="200" w:after="200"/>
        <w:jc w:val="both"/>
        <w:rPr>
          <w:i/>
          <w:color w:val="FF0000"/>
          <w:sz w:val="20"/>
          <w:szCs w:val="20"/>
        </w:rPr>
      </w:pPr>
      <w:bookmarkStart w:id="8" w:name="_heading=h.4d34og8" w:colFirst="0" w:colLast="0"/>
      <w:bookmarkEnd w:id="8"/>
      <w:r>
        <w:rPr>
          <w:b/>
          <w:i/>
          <w:sz w:val="20"/>
          <w:szCs w:val="20"/>
        </w:rPr>
        <w:t xml:space="preserve">Environmental, Social and Governance (ESG) matters - </w:t>
      </w:r>
      <w:r>
        <w:rPr>
          <w:b/>
          <w:i/>
          <w:color w:val="000000"/>
          <w:sz w:val="20"/>
          <w:szCs w:val="20"/>
        </w:rPr>
        <w:t>Consideration of climate change and resulting climate related risks</w:t>
      </w:r>
    </w:p>
    <w:p w14:paraId="1AAE667F" w14:textId="6A083E5B" w:rsidR="008E5DE4" w:rsidRDefault="00780368">
      <w:pPr>
        <w:spacing w:before="240" w:after="240"/>
        <w:jc w:val="both"/>
        <w:rPr>
          <w:rFonts w:ascii="Times New Roman" w:eastAsia="Times New Roman" w:hAnsi="Times New Roman" w:cs="Times New Roman"/>
          <w:sz w:val="24"/>
          <w:szCs w:val="24"/>
        </w:rPr>
      </w:pPr>
      <w:r>
        <w:rPr>
          <w:color w:val="000000"/>
          <w:sz w:val="20"/>
          <w:szCs w:val="20"/>
        </w:rPr>
        <w:t>The Group is continuously assessing climate related risks and their impact on the Group’s operation, including the physical risks of climate change (such as severe weather events and the effects of rising temperatures), the policy changes and economic consequences of efforts being made towards decarbonisation of the economy. Further disclosure how the Group’s operations are impacted by the climate related risks is provided in the Group’s non- financial reporting (</w:t>
      </w:r>
      <w:r w:rsidRPr="007F183E">
        <w:rPr>
          <w:color w:val="0000FF"/>
          <w:sz w:val="20"/>
          <w:szCs w:val="20"/>
        </w:rPr>
        <w:t xml:space="preserve">Management Commentary, Note </w:t>
      </w:r>
      <w:r>
        <w:rPr>
          <w:color w:val="000000"/>
          <w:sz w:val="20"/>
          <w:szCs w:val="20"/>
        </w:rPr>
        <w:t>___)</w:t>
      </w:r>
      <w:r>
        <w:rPr>
          <w:i/>
          <w:color w:val="000000"/>
          <w:sz w:val="20"/>
          <w:szCs w:val="20"/>
        </w:rPr>
        <w:t>.</w:t>
      </w:r>
    </w:p>
    <w:p w14:paraId="7C1921A4" w14:textId="7C4C6E04" w:rsidR="008E5DE4" w:rsidRDefault="00780368">
      <w:pPr>
        <w:spacing w:before="240" w:after="240"/>
        <w:jc w:val="both"/>
        <w:rPr>
          <w:i/>
          <w:color w:val="FF0000"/>
          <w:sz w:val="20"/>
          <w:szCs w:val="20"/>
        </w:rPr>
      </w:pPr>
      <w:r>
        <w:rPr>
          <w:color w:val="000000"/>
          <w:sz w:val="20"/>
          <w:szCs w:val="20"/>
        </w:rPr>
        <w:t>For the identified climate related risks, the Group has assessed their impact on the recognition/derecognition of assets and liabilities and measurement of such assets and liabilities as well as the disclosure provided in its consolidated financial statements.  The areas listed below are predominantly impacted by the climate related risks:</w:t>
      </w:r>
      <w:r>
        <w:rPr>
          <w:i/>
          <w:color w:val="FF0000"/>
          <w:sz w:val="20"/>
          <w:szCs w:val="20"/>
        </w:rPr>
        <w:t> </w:t>
      </w:r>
    </w:p>
    <w:p w14:paraId="6B2C846A" w14:textId="1B257788" w:rsidR="008E5DE4" w:rsidRDefault="00780368" w:rsidP="00C17D95">
      <w:pPr>
        <w:numPr>
          <w:ilvl w:val="0"/>
          <w:numId w:val="15"/>
        </w:numPr>
        <w:snapToGrid w:val="0"/>
        <w:spacing w:before="120" w:after="120"/>
        <w:ind w:left="360"/>
        <w:rPr>
          <w:i/>
          <w:color w:val="FF0000"/>
          <w:sz w:val="20"/>
          <w:szCs w:val="20"/>
        </w:rPr>
      </w:pPr>
      <w:r>
        <w:rPr>
          <w:color w:val="000000"/>
          <w:sz w:val="20"/>
          <w:szCs w:val="20"/>
        </w:rPr>
        <w:t>assessment of a Group’s ability to continue as a going concern</w:t>
      </w:r>
      <w:r>
        <w:rPr>
          <w:color w:val="002060"/>
          <w:sz w:val="20"/>
          <w:szCs w:val="20"/>
        </w:rPr>
        <w:t xml:space="preserve"> - </w:t>
      </w:r>
      <w:proofErr w:type="gramStart"/>
      <w:r w:rsidRPr="007F183E">
        <w:rPr>
          <w:iCs/>
          <w:color w:val="0000FF"/>
          <w:sz w:val="20"/>
          <w:szCs w:val="20"/>
        </w:rPr>
        <w:t>[</w:t>
      </w:r>
      <w:r w:rsidR="00516424" w:rsidRPr="007F183E">
        <w:rPr>
          <w:iCs/>
          <w:color w:val="0000FF"/>
          <w:sz w:val="20"/>
          <w:szCs w:val="20"/>
        </w:rPr>
        <w:t xml:space="preserve"> ]</w:t>
      </w:r>
      <w:proofErr w:type="gramEnd"/>
      <w:r>
        <w:rPr>
          <w:i/>
          <w:color w:val="FF0000"/>
          <w:sz w:val="20"/>
          <w:szCs w:val="20"/>
        </w:rPr>
        <w:t> </w:t>
      </w:r>
    </w:p>
    <w:p w14:paraId="7A2B3463" w14:textId="78B70D19" w:rsidR="008E5DE4" w:rsidRDefault="00780368" w:rsidP="007F183E">
      <w:pPr>
        <w:numPr>
          <w:ilvl w:val="0"/>
          <w:numId w:val="15"/>
        </w:numPr>
        <w:snapToGrid w:val="0"/>
        <w:spacing w:before="120" w:after="120"/>
        <w:ind w:left="360"/>
        <w:rPr>
          <w:i/>
          <w:color w:val="FF0000"/>
          <w:sz w:val="20"/>
          <w:szCs w:val="20"/>
        </w:rPr>
      </w:pPr>
      <w:r>
        <w:rPr>
          <w:color w:val="000000"/>
          <w:sz w:val="20"/>
          <w:szCs w:val="20"/>
        </w:rPr>
        <w:t>impairment assessment of goodwill, property, plant and equipment, right of use assets, intangible assets</w:t>
      </w:r>
      <w:r>
        <w:rPr>
          <w:color w:val="002060"/>
          <w:sz w:val="20"/>
          <w:szCs w:val="20"/>
        </w:rPr>
        <w:t xml:space="preserve"> -</w:t>
      </w:r>
      <w:r>
        <w:rPr>
          <w:i/>
          <w:color w:val="002060"/>
          <w:sz w:val="20"/>
          <w:szCs w:val="20"/>
        </w:rPr>
        <w:t xml:space="preserve"> </w:t>
      </w:r>
      <w:proofErr w:type="gramStart"/>
      <w:r w:rsidR="00516424" w:rsidRPr="00486EFA">
        <w:rPr>
          <w:iCs/>
          <w:color w:val="0000FF"/>
          <w:sz w:val="20"/>
          <w:szCs w:val="20"/>
        </w:rPr>
        <w:t>[ ]</w:t>
      </w:r>
      <w:proofErr w:type="gramEnd"/>
      <w:r w:rsidR="00516424">
        <w:rPr>
          <w:i/>
          <w:color w:val="FF0000"/>
          <w:sz w:val="20"/>
          <w:szCs w:val="20"/>
        </w:rPr>
        <w:t xml:space="preserve"> </w:t>
      </w:r>
    </w:p>
    <w:p w14:paraId="33C52F79" w14:textId="5F7346FB" w:rsidR="008E5DE4" w:rsidRDefault="00780368" w:rsidP="007F183E">
      <w:pPr>
        <w:numPr>
          <w:ilvl w:val="0"/>
          <w:numId w:val="15"/>
        </w:numPr>
        <w:snapToGrid w:val="0"/>
        <w:spacing w:before="120" w:after="120"/>
        <w:ind w:left="360"/>
        <w:rPr>
          <w:i/>
          <w:color w:val="FF0000"/>
          <w:sz w:val="20"/>
          <w:szCs w:val="20"/>
        </w:rPr>
      </w:pPr>
      <w:r>
        <w:rPr>
          <w:color w:val="000000"/>
          <w:sz w:val="20"/>
          <w:szCs w:val="20"/>
        </w:rPr>
        <w:t>residual value and expected useful lives of assets</w:t>
      </w:r>
      <w:r>
        <w:rPr>
          <w:color w:val="002060"/>
          <w:sz w:val="20"/>
          <w:szCs w:val="20"/>
        </w:rPr>
        <w:t xml:space="preserve"> - </w:t>
      </w:r>
      <w:proofErr w:type="gramStart"/>
      <w:r w:rsidR="00516424" w:rsidRPr="00486EFA">
        <w:rPr>
          <w:iCs/>
          <w:color w:val="0000FF"/>
          <w:sz w:val="20"/>
          <w:szCs w:val="20"/>
        </w:rPr>
        <w:t>[ ]</w:t>
      </w:r>
      <w:proofErr w:type="gramEnd"/>
      <w:r w:rsidR="00516424">
        <w:rPr>
          <w:i/>
          <w:color w:val="FF0000"/>
          <w:sz w:val="20"/>
          <w:szCs w:val="20"/>
        </w:rPr>
        <w:t xml:space="preserve"> </w:t>
      </w:r>
    </w:p>
    <w:p w14:paraId="2EBB14B7" w14:textId="6476F342" w:rsidR="008E5DE4" w:rsidRDefault="00780368" w:rsidP="00C17D95">
      <w:pPr>
        <w:numPr>
          <w:ilvl w:val="0"/>
          <w:numId w:val="15"/>
        </w:numPr>
        <w:snapToGrid w:val="0"/>
        <w:spacing w:before="120" w:after="120"/>
        <w:ind w:left="360"/>
        <w:rPr>
          <w:i/>
          <w:color w:val="FF0000"/>
          <w:sz w:val="20"/>
          <w:szCs w:val="20"/>
        </w:rPr>
      </w:pPr>
      <w:r>
        <w:rPr>
          <w:color w:val="000000"/>
          <w:sz w:val="20"/>
          <w:szCs w:val="20"/>
        </w:rPr>
        <w:t>additional expenditures incurred on property, plant and equipment and on research &amp; developme</w:t>
      </w:r>
      <w:r w:rsidRPr="007F183E">
        <w:rPr>
          <w:sz w:val="20"/>
          <w:szCs w:val="20"/>
        </w:rPr>
        <w:t xml:space="preserve">nt - </w:t>
      </w:r>
      <w:proofErr w:type="gramStart"/>
      <w:r w:rsidR="00516424" w:rsidRPr="00486EFA">
        <w:rPr>
          <w:iCs/>
          <w:color w:val="0000FF"/>
          <w:sz w:val="20"/>
          <w:szCs w:val="20"/>
        </w:rPr>
        <w:t>[ ]</w:t>
      </w:r>
      <w:proofErr w:type="gramEnd"/>
      <w:r w:rsidR="00516424" w:rsidDel="00516424">
        <w:rPr>
          <w:i/>
          <w:color w:val="FF0000"/>
          <w:sz w:val="20"/>
          <w:szCs w:val="20"/>
        </w:rPr>
        <w:t xml:space="preserve"> </w:t>
      </w:r>
    </w:p>
    <w:p w14:paraId="2A14A59B" w14:textId="1AAA8AB5" w:rsidR="008E5DE4" w:rsidRDefault="00780368" w:rsidP="007F183E">
      <w:pPr>
        <w:numPr>
          <w:ilvl w:val="0"/>
          <w:numId w:val="1"/>
        </w:numPr>
        <w:snapToGrid w:val="0"/>
        <w:spacing w:before="120" w:after="120"/>
        <w:ind w:left="360"/>
        <w:rPr>
          <w:i/>
          <w:color w:val="FF0000"/>
          <w:sz w:val="20"/>
          <w:szCs w:val="20"/>
        </w:rPr>
      </w:pPr>
      <w:r>
        <w:rPr>
          <w:color w:val="000000"/>
          <w:sz w:val="20"/>
          <w:szCs w:val="20"/>
        </w:rPr>
        <w:t xml:space="preserve">write down of inventories to their net realisable </w:t>
      </w:r>
      <w:proofErr w:type="gramStart"/>
      <w:r>
        <w:rPr>
          <w:color w:val="000000"/>
          <w:sz w:val="20"/>
          <w:szCs w:val="20"/>
        </w:rPr>
        <w:t>value</w:t>
      </w:r>
      <w:r>
        <w:rPr>
          <w:color w:val="002060"/>
          <w:sz w:val="20"/>
          <w:szCs w:val="20"/>
        </w:rPr>
        <w:t>  -</w:t>
      </w:r>
      <w:proofErr w:type="gramEnd"/>
      <w:r>
        <w:rPr>
          <w:i/>
          <w:color w:val="FF0000"/>
          <w:sz w:val="20"/>
          <w:szCs w:val="20"/>
        </w:rPr>
        <w:t xml:space="preserve"> </w:t>
      </w:r>
      <w:proofErr w:type="gramStart"/>
      <w:r w:rsidR="00516424" w:rsidRPr="00486EFA">
        <w:rPr>
          <w:iCs/>
          <w:color w:val="0000FF"/>
          <w:sz w:val="20"/>
          <w:szCs w:val="20"/>
        </w:rPr>
        <w:t>[ ]</w:t>
      </w:r>
      <w:proofErr w:type="gramEnd"/>
    </w:p>
    <w:p w14:paraId="319D1D79" w14:textId="5C166AC9" w:rsidR="008E5DE4" w:rsidRDefault="00780368" w:rsidP="007F183E">
      <w:pPr>
        <w:numPr>
          <w:ilvl w:val="0"/>
          <w:numId w:val="1"/>
        </w:numPr>
        <w:snapToGrid w:val="0"/>
        <w:spacing w:before="120" w:after="120"/>
        <w:ind w:left="360"/>
        <w:rPr>
          <w:i/>
          <w:color w:val="FF0000"/>
          <w:sz w:val="20"/>
          <w:szCs w:val="20"/>
        </w:rPr>
      </w:pPr>
      <w:r>
        <w:rPr>
          <w:color w:val="000000"/>
          <w:sz w:val="20"/>
          <w:szCs w:val="20"/>
        </w:rPr>
        <w:t>deferred tax assets recognition/recoverability</w:t>
      </w:r>
      <w:r>
        <w:rPr>
          <w:color w:val="002060"/>
          <w:sz w:val="20"/>
          <w:szCs w:val="20"/>
        </w:rPr>
        <w:t xml:space="preserve"> -</w:t>
      </w:r>
      <w:r w:rsidR="00516424">
        <w:rPr>
          <w:color w:val="002060"/>
          <w:sz w:val="20"/>
          <w:szCs w:val="20"/>
        </w:rPr>
        <w:t xml:space="preserve"> </w:t>
      </w:r>
      <w:proofErr w:type="gramStart"/>
      <w:r w:rsidR="00516424" w:rsidRPr="00486EFA">
        <w:rPr>
          <w:iCs/>
          <w:color w:val="0000FF"/>
          <w:sz w:val="20"/>
          <w:szCs w:val="20"/>
        </w:rPr>
        <w:t>[ ]</w:t>
      </w:r>
      <w:proofErr w:type="gramEnd"/>
    </w:p>
    <w:p w14:paraId="73808671"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w:t>
      </w:r>
      <w:r>
        <w:rPr>
          <w:b/>
          <w:color w:val="000000"/>
          <w:sz w:val="20"/>
          <w:szCs w:val="20"/>
        </w:rPr>
        <w:tab/>
        <w:t>Critical Accounting Estimates and Judgements in Applying Accounting Policies (Continued)</w:t>
      </w:r>
    </w:p>
    <w:p w14:paraId="720886A3" w14:textId="574F224D" w:rsidR="008E5DE4" w:rsidRDefault="00780368" w:rsidP="007F183E">
      <w:pPr>
        <w:numPr>
          <w:ilvl w:val="0"/>
          <w:numId w:val="4"/>
        </w:numPr>
        <w:spacing w:before="120" w:after="120"/>
        <w:ind w:left="357"/>
        <w:rPr>
          <w:i/>
          <w:color w:val="FF0000"/>
          <w:sz w:val="20"/>
          <w:szCs w:val="20"/>
        </w:rPr>
      </w:pPr>
      <w:r>
        <w:rPr>
          <w:color w:val="000000"/>
          <w:sz w:val="20"/>
          <w:szCs w:val="20"/>
        </w:rPr>
        <w:t>fair valuation of assets</w:t>
      </w:r>
      <w:r w:rsidR="00516424">
        <w:rPr>
          <w:color w:val="000000"/>
          <w:sz w:val="20"/>
          <w:szCs w:val="20"/>
        </w:rPr>
        <w:t xml:space="preserve"> - </w:t>
      </w:r>
      <w:proofErr w:type="gramStart"/>
      <w:r w:rsidR="00516424" w:rsidRPr="00486EFA">
        <w:rPr>
          <w:iCs/>
          <w:color w:val="0000FF"/>
          <w:sz w:val="20"/>
          <w:szCs w:val="20"/>
        </w:rPr>
        <w:t>[ ]</w:t>
      </w:r>
      <w:proofErr w:type="gramEnd"/>
    </w:p>
    <w:p w14:paraId="53014F83" w14:textId="44EA7F60" w:rsidR="008E5DE4" w:rsidRDefault="00780368" w:rsidP="007F183E">
      <w:pPr>
        <w:numPr>
          <w:ilvl w:val="0"/>
          <w:numId w:val="10"/>
        </w:numPr>
        <w:spacing w:before="120" w:after="120"/>
        <w:ind w:left="357"/>
        <w:rPr>
          <w:i/>
          <w:color w:val="FF0000"/>
          <w:sz w:val="20"/>
          <w:szCs w:val="20"/>
        </w:rPr>
      </w:pPr>
      <w:r>
        <w:rPr>
          <w:color w:val="000000"/>
          <w:sz w:val="20"/>
          <w:szCs w:val="20"/>
        </w:rPr>
        <w:t>provisions for onerous contracts</w:t>
      </w:r>
      <w:r>
        <w:rPr>
          <w:color w:val="002060"/>
          <w:sz w:val="20"/>
          <w:szCs w:val="20"/>
        </w:rPr>
        <w:t xml:space="preserve"> -</w:t>
      </w:r>
      <w:r w:rsidR="00516424">
        <w:rPr>
          <w:color w:val="002060"/>
          <w:sz w:val="20"/>
          <w:szCs w:val="20"/>
        </w:rPr>
        <w:t xml:space="preserve"> </w:t>
      </w:r>
      <w:proofErr w:type="gramStart"/>
      <w:r w:rsidR="00516424" w:rsidRPr="00486EFA">
        <w:rPr>
          <w:iCs/>
          <w:color w:val="0000FF"/>
          <w:sz w:val="20"/>
          <w:szCs w:val="20"/>
        </w:rPr>
        <w:t>[ ]</w:t>
      </w:r>
      <w:proofErr w:type="gramEnd"/>
    </w:p>
    <w:p w14:paraId="5D971758" w14:textId="47EB0319" w:rsidR="008E5DE4" w:rsidRPr="00516424" w:rsidRDefault="00780368" w:rsidP="007F183E">
      <w:pPr>
        <w:numPr>
          <w:ilvl w:val="0"/>
          <w:numId w:val="10"/>
        </w:numPr>
        <w:spacing w:before="120" w:after="120"/>
        <w:ind w:left="357"/>
        <w:rPr>
          <w:i/>
          <w:color w:val="FF0000"/>
          <w:sz w:val="20"/>
          <w:szCs w:val="20"/>
        </w:rPr>
      </w:pPr>
      <w:r>
        <w:rPr>
          <w:color w:val="000000"/>
          <w:sz w:val="20"/>
          <w:szCs w:val="20"/>
        </w:rPr>
        <w:t>provisions and contingent liabilities arising from fines, penalties and other </w:t>
      </w:r>
      <w:proofErr w:type="gramStart"/>
      <w:r w:rsidR="00516424" w:rsidRPr="00486EFA">
        <w:rPr>
          <w:iCs/>
          <w:color w:val="0000FF"/>
          <w:sz w:val="20"/>
          <w:szCs w:val="20"/>
        </w:rPr>
        <w:t>[ ]</w:t>
      </w:r>
      <w:proofErr w:type="gramEnd"/>
    </w:p>
    <w:p w14:paraId="0616B6E3" w14:textId="71B34175" w:rsidR="008E5DE4" w:rsidRDefault="00780368" w:rsidP="007F183E">
      <w:pPr>
        <w:numPr>
          <w:ilvl w:val="0"/>
          <w:numId w:val="10"/>
        </w:numPr>
        <w:spacing w:before="120" w:after="120"/>
        <w:ind w:left="357"/>
        <w:rPr>
          <w:i/>
          <w:color w:val="FF0000"/>
          <w:sz w:val="20"/>
          <w:szCs w:val="20"/>
        </w:rPr>
      </w:pPr>
      <w:r>
        <w:rPr>
          <w:color w:val="000000"/>
          <w:sz w:val="20"/>
          <w:szCs w:val="20"/>
        </w:rPr>
        <w:t>an increase of provisions recognised for decommissioning a plant and rehabilitating environmental damage</w:t>
      </w:r>
      <w:r>
        <w:rPr>
          <w:color w:val="002060"/>
          <w:sz w:val="20"/>
          <w:szCs w:val="20"/>
        </w:rPr>
        <w:t> </w:t>
      </w:r>
      <w:proofErr w:type="gramStart"/>
      <w:r w:rsidR="00516424" w:rsidRPr="00486EFA">
        <w:rPr>
          <w:iCs/>
          <w:color w:val="0000FF"/>
          <w:sz w:val="20"/>
          <w:szCs w:val="20"/>
        </w:rPr>
        <w:t>[ ]</w:t>
      </w:r>
      <w:proofErr w:type="gramEnd"/>
    </w:p>
    <w:p w14:paraId="394CE379" w14:textId="01414EDC" w:rsidR="00516424" w:rsidRPr="007F183E" w:rsidRDefault="00780368" w:rsidP="00516424">
      <w:pPr>
        <w:numPr>
          <w:ilvl w:val="0"/>
          <w:numId w:val="10"/>
        </w:numPr>
        <w:spacing w:before="120" w:after="120"/>
        <w:ind w:left="357"/>
        <w:rPr>
          <w:i/>
          <w:color w:val="002060"/>
          <w:sz w:val="20"/>
          <w:szCs w:val="20"/>
        </w:rPr>
      </w:pPr>
      <w:r>
        <w:rPr>
          <w:color w:val="000000"/>
          <w:sz w:val="20"/>
          <w:szCs w:val="20"/>
        </w:rPr>
        <w:t>measurement of expected credit losses for loans and other financial assets</w:t>
      </w:r>
      <w:r w:rsidR="00516424">
        <w:rPr>
          <w:color w:val="000000"/>
          <w:sz w:val="20"/>
          <w:szCs w:val="20"/>
        </w:rPr>
        <w:t xml:space="preserve"> </w:t>
      </w:r>
      <w:proofErr w:type="gramStart"/>
      <w:r w:rsidR="00516424" w:rsidRPr="00486EFA">
        <w:rPr>
          <w:iCs/>
          <w:color w:val="0000FF"/>
          <w:sz w:val="20"/>
          <w:szCs w:val="20"/>
        </w:rPr>
        <w:t>[ ]</w:t>
      </w:r>
      <w:proofErr w:type="gramEnd"/>
    </w:p>
    <w:p w14:paraId="57635D08" w14:textId="2CF9280F" w:rsidR="008E5DE4" w:rsidRDefault="00780368" w:rsidP="007F183E">
      <w:pPr>
        <w:numPr>
          <w:ilvl w:val="0"/>
          <w:numId w:val="10"/>
        </w:numPr>
        <w:spacing w:before="120" w:after="120"/>
        <w:ind w:left="357"/>
        <w:rPr>
          <w:i/>
          <w:color w:val="FF0000"/>
          <w:sz w:val="20"/>
          <w:szCs w:val="20"/>
        </w:rPr>
      </w:pPr>
      <w:r>
        <w:rPr>
          <w:color w:val="000000"/>
          <w:sz w:val="20"/>
          <w:szCs w:val="20"/>
        </w:rPr>
        <w:t>Measurement and classification of financial assets -</w:t>
      </w:r>
      <w:r>
        <w:rPr>
          <w:color w:val="002060"/>
          <w:sz w:val="20"/>
          <w:szCs w:val="20"/>
        </w:rPr>
        <w:t xml:space="preserve"> </w:t>
      </w:r>
      <w:proofErr w:type="gramStart"/>
      <w:r w:rsidR="00516424" w:rsidRPr="00486EFA">
        <w:rPr>
          <w:iCs/>
          <w:color w:val="0000FF"/>
          <w:sz w:val="20"/>
          <w:szCs w:val="20"/>
        </w:rPr>
        <w:t>[ ]</w:t>
      </w:r>
      <w:proofErr w:type="gramEnd"/>
    </w:p>
    <w:p w14:paraId="27AD5862" w14:textId="520E4017" w:rsidR="00516424" w:rsidRDefault="00780368">
      <w:pPr>
        <w:numPr>
          <w:ilvl w:val="0"/>
          <w:numId w:val="29"/>
        </w:numPr>
        <w:spacing w:before="120" w:after="120"/>
        <w:ind w:left="357"/>
        <w:rPr>
          <w:i/>
          <w:color w:val="FF0000"/>
          <w:sz w:val="20"/>
          <w:szCs w:val="20"/>
        </w:rPr>
      </w:pPr>
      <w:r>
        <w:rPr>
          <w:color w:val="000000"/>
          <w:sz w:val="20"/>
          <w:szCs w:val="20"/>
        </w:rPr>
        <w:t xml:space="preserve">Impact on significant accounting estimates and judgment </w:t>
      </w:r>
      <w:proofErr w:type="gramStart"/>
      <w:r>
        <w:rPr>
          <w:color w:val="000000"/>
          <w:sz w:val="20"/>
          <w:szCs w:val="20"/>
        </w:rPr>
        <w:t>-  climate</w:t>
      </w:r>
      <w:proofErr w:type="gramEnd"/>
      <w:r>
        <w:rPr>
          <w:color w:val="000000"/>
          <w:sz w:val="20"/>
          <w:szCs w:val="20"/>
        </w:rPr>
        <w:t>-related matters create uncertainties that affect assumptions used to develop estimates and judgements</w:t>
      </w:r>
      <w:r w:rsidR="00516424">
        <w:rPr>
          <w:color w:val="002060"/>
          <w:sz w:val="20"/>
          <w:szCs w:val="20"/>
        </w:rPr>
        <w:t xml:space="preserve"> </w:t>
      </w:r>
      <w:proofErr w:type="gramStart"/>
      <w:r w:rsidR="00516424" w:rsidRPr="00486EFA">
        <w:rPr>
          <w:iCs/>
          <w:color w:val="0000FF"/>
          <w:sz w:val="20"/>
          <w:szCs w:val="20"/>
        </w:rPr>
        <w:t>[ ]</w:t>
      </w:r>
      <w:proofErr w:type="gramEnd"/>
      <w:r>
        <w:rPr>
          <w:i/>
          <w:color w:val="FF0000"/>
          <w:sz w:val="20"/>
          <w:szCs w:val="20"/>
        </w:rPr>
        <w:t> </w:t>
      </w:r>
    </w:p>
    <w:p w14:paraId="52F7AD56" w14:textId="6D94DDA3" w:rsidR="008E5DE4" w:rsidRDefault="00780368" w:rsidP="007F183E">
      <w:pPr>
        <w:numPr>
          <w:ilvl w:val="0"/>
          <w:numId w:val="29"/>
        </w:numPr>
        <w:spacing w:before="120" w:after="120"/>
        <w:ind w:left="357"/>
        <w:rPr>
          <w:i/>
          <w:color w:val="FF0000"/>
          <w:sz w:val="20"/>
          <w:szCs w:val="20"/>
        </w:rPr>
      </w:pPr>
      <w:r>
        <w:rPr>
          <w:color w:val="000000"/>
          <w:sz w:val="20"/>
          <w:szCs w:val="20"/>
        </w:rPr>
        <w:t xml:space="preserve">Impact on disclosure - additional disclosures have been provided in Note </w:t>
      </w:r>
      <w:proofErr w:type="gramStart"/>
      <w:r w:rsidR="006E52C3" w:rsidRPr="006E52C3">
        <w:rPr>
          <w:color w:val="0000FF"/>
          <w:sz w:val="20"/>
          <w:szCs w:val="20"/>
        </w:rPr>
        <w:t>[ ]</w:t>
      </w:r>
      <w:proofErr w:type="gramEnd"/>
      <w:r>
        <w:rPr>
          <w:color w:val="000000"/>
          <w:sz w:val="20"/>
          <w:szCs w:val="20"/>
        </w:rPr>
        <w:t>, Note</w:t>
      </w:r>
      <w:r w:rsidR="006E52C3">
        <w:rPr>
          <w:color w:val="000000"/>
          <w:sz w:val="20"/>
          <w:szCs w:val="20"/>
        </w:rPr>
        <w:t xml:space="preserve"> </w:t>
      </w:r>
      <w:proofErr w:type="gramStart"/>
      <w:r w:rsidR="006E52C3" w:rsidRPr="006E52C3">
        <w:rPr>
          <w:color w:val="0000FF"/>
          <w:sz w:val="20"/>
          <w:szCs w:val="20"/>
        </w:rPr>
        <w:t>[ ]</w:t>
      </w:r>
      <w:proofErr w:type="gramEnd"/>
      <w:r>
        <w:rPr>
          <w:color w:val="000000"/>
          <w:sz w:val="20"/>
          <w:szCs w:val="20"/>
        </w:rPr>
        <w:t xml:space="preserve"> and Note</w:t>
      </w:r>
      <w:r w:rsidR="006E52C3">
        <w:rPr>
          <w:color w:val="000000"/>
          <w:sz w:val="20"/>
          <w:szCs w:val="20"/>
        </w:rPr>
        <w:t xml:space="preserve"> </w:t>
      </w:r>
      <w:proofErr w:type="gramStart"/>
      <w:r w:rsidR="006E52C3" w:rsidRPr="006E52C3">
        <w:rPr>
          <w:color w:val="0000FF"/>
          <w:sz w:val="20"/>
          <w:szCs w:val="20"/>
        </w:rPr>
        <w:t>[ ]</w:t>
      </w:r>
      <w:proofErr w:type="gramEnd"/>
      <w:r>
        <w:rPr>
          <w:color w:val="000000"/>
          <w:sz w:val="20"/>
          <w:szCs w:val="20"/>
        </w:rPr>
        <w:t xml:space="preserve"> as required by the respective standards to cover the risks identified for the areas listed above</w:t>
      </w:r>
      <w:r>
        <w:rPr>
          <w:color w:val="002060"/>
          <w:sz w:val="20"/>
          <w:szCs w:val="20"/>
        </w:rPr>
        <w:t xml:space="preserve">. </w:t>
      </w:r>
    </w:p>
    <w:p w14:paraId="02C18CDE"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5645E535"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527703D0"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3ADA2013" w14:textId="77777777" w:rsidR="008E5DE4" w:rsidRDefault="00780368">
      <w:pPr>
        <w:pStyle w:val="Heading1"/>
        <w:keepLines/>
        <w:pageBreakBefore/>
        <w:numPr>
          <w:ilvl w:val="0"/>
          <w:numId w:val="3"/>
        </w:numPr>
        <w:tabs>
          <w:tab w:val="left" w:pos="1418"/>
        </w:tabs>
        <w:ind w:left="567" w:hanging="567"/>
      </w:pPr>
      <w:bookmarkStart w:id="9" w:name="_Toc149923604"/>
      <w:r>
        <w:lastRenderedPageBreak/>
        <w:t>Adoption of New or Revised Standards and Interpretations</w:t>
      </w:r>
      <w:bookmarkStart w:id="10" w:name="bookmark=id.17dp8vu" w:colFirst="0" w:colLast="0"/>
      <w:bookmarkEnd w:id="9"/>
      <w:bookmarkEnd w:id="10"/>
    </w:p>
    <w:p w14:paraId="5D0D46C0" w14:textId="27CF74EF" w:rsidR="008E5DE4" w:rsidRDefault="00780368">
      <w:pPr>
        <w:widowControl w:val="0"/>
        <w:pBdr>
          <w:top w:val="nil"/>
          <w:left w:val="nil"/>
          <w:bottom w:val="nil"/>
          <w:right w:val="nil"/>
          <w:between w:val="nil"/>
        </w:pBdr>
        <w:spacing w:before="200" w:after="200"/>
        <w:jc w:val="both"/>
        <w:rPr>
          <w:color w:val="000000"/>
          <w:sz w:val="20"/>
          <w:szCs w:val="20"/>
        </w:rPr>
      </w:pPr>
      <w:bookmarkStart w:id="11" w:name="_heading=h.3rdcrjn" w:colFirst="0" w:colLast="0"/>
      <w:bookmarkEnd w:id="11"/>
      <w:r>
        <w:rPr>
          <w:color w:val="000000"/>
          <w:sz w:val="20"/>
          <w:szCs w:val="20"/>
        </w:rPr>
        <w:t xml:space="preserve">The following new standards and the amendments became effective from 1 January </w:t>
      </w:r>
      <w:r w:rsidR="008614F8">
        <w:rPr>
          <w:color w:val="000000"/>
          <w:sz w:val="20"/>
          <w:szCs w:val="20"/>
        </w:rPr>
        <w:t>2025</w:t>
      </w:r>
      <w:r w:rsidR="00E07C8F">
        <w:rPr>
          <w:color w:val="000000"/>
          <w:sz w:val="20"/>
          <w:szCs w:val="20"/>
        </w:rPr>
        <w:t>:</w:t>
      </w:r>
      <w:r>
        <w:rPr>
          <w:color w:val="000000"/>
          <w:sz w:val="20"/>
          <w:szCs w:val="20"/>
        </w:rPr>
        <w:t xml:space="preserve"> </w:t>
      </w:r>
    </w:p>
    <w:p w14:paraId="0D1AAAD4" w14:textId="289929FF" w:rsidR="00E07C8F" w:rsidRDefault="00E07C8F">
      <w:pPr>
        <w:widowControl w:val="0"/>
        <w:pBdr>
          <w:top w:val="nil"/>
          <w:left w:val="nil"/>
          <w:bottom w:val="nil"/>
          <w:right w:val="nil"/>
          <w:between w:val="nil"/>
        </w:pBdr>
        <w:spacing w:before="200" w:after="200"/>
        <w:jc w:val="both"/>
        <w:rPr>
          <w:color w:val="000000"/>
          <w:sz w:val="20"/>
          <w:szCs w:val="20"/>
        </w:rPr>
      </w:pPr>
      <w:r w:rsidRPr="009E6792">
        <w:rPr>
          <w:b/>
          <w:i/>
          <w:sz w:val="20"/>
          <w:szCs w:val="20"/>
        </w:rPr>
        <w:t>Amendments to IAS 21 Lack of Exchangeability (Issued on 15 August 2023 and effective for annual periods beginning on or after 1 January 2025).</w:t>
      </w:r>
      <w:r w:rsidRPr="00E07C8F">
        <w:rPr>
          <w:color w:val="000000"/>
          <w:spacing w:val="-2"/>
          <w:lang w:val="en-US"/>
        </w:rPr>
        <w:t xml:space="preserve">  </w:t>
      </w:r>
      <w:r w:rsidRPr="00F560BE">
        <w:rPr>
          <w:bCs/>
          <w:iCs/>
          <w:sz w:val="20"/>
          <w:szCs w:val="20"/>
        </w:rPr>
        <w:t xml:space="preserve">In August 2023, the IASB issued amendments to IAS 21 to help entities assess exchangeability between two currencies and determine the spot exchange rate, when exchangeability is lacking. An entity is impacted by the amendments when it has a transaction or an operation in a foreign currency that is not exchangeable into another currency at a measurement date for a specified purpose. The amendments to IAS 21 do not provide detailed requirements on how to estimate the spot exchange rate. Instead, they set out a framework under which an entity can determine the spot exchange rate at the measurement date. When applying the new requirements, it is not permitted to restate comparative information. It is required to translate the affected amounts at estimated spot exchange rates at the date of initial application, with an adjustment to retained earnings or to the reserve for cumulative translation differences. </w:t>
      </w:r>
      <w:r w:rsidR="004131BB">
        <w:rPr>
          <w:color w:val="0000FF"/>
          <w:sz w:val="20"/>
          <w:szCs w:val="20"/>
        </w:rPr>
        <w:t>[If applicable, the Group should disclose the impact of the amendments on its financial statements.]</w:t>
      </w:r>
    </w:p>
    <w:p w14:paraId="42D6023C" w14:textId="77777777" w:rsidR="008E5DE4" w:rsidRDefault="00780368">
      <w:pPr>
        <w:pStyle w:val="Heading1"/>
        <w:keepLines/>
        <w:numPr>
          <w:ilvl w:val="0"/>
          <w:numId w:val="3"/>
        </w:numPr>
        <w:tabs>
          <w:tab w:val="left" w:pos="1418"/>
        </w:tabs>
        <w:ind w:left="567" w:hanging="567"/>
      </w:pPr>
      <w:bookmarkStart w:id="12" w:name="_Toc149923605"/>
      <w:r>
        <w:t>New Accounting Pronouncements</w:t>
      </w:r>
      <w:bookmarkEnd w:id="12"/>
    </w:p>
    <w:p w14:paraId="69AF7262" w14:textId="40B2D359"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Certain new standards and interpretations have been issued that are mandatory for the annual periods beginning on or after 1 January 202</w:t>
      </w:r>
      <w:r w:rsidR="008614F8">
        <w:rPr>
          <w:color w:val="000000"/>
          <w:sz w:val="20"/>
          <w:szCs w:val="20"/>
        </w:rPr>
        <w:t>6</w:t>
      </w:r>
      <w:r>
        <w:rPr>
          <w:color w:val="000000"/>
          <w:sz w:val="20"/>
          <w:szCs w:val="20"/>
        </w:rPr>
        <w:t xml:space="preserve"> or later, and which the Group has not early adopted.</w:t>
      </w:r>
      <w:r w:rsidR="00F560BE">
        <w:rPr>
          <w:color w:val="000000"/>
          <w:sz w:val="20"/>
          <w:szCs w:val="20"/>
        </w:rPr>
        <w:t xml:space="preserve"> </w:t>
      </w:r>
      <w:r w:rsidR="00F560BE" w:rsidRPr="00F560BE">
        <w:rPr>
          <w:color w:val="000000"/>
          <w:sz w:val="20"/>
          <w:szCs w:val="20"/>
        </w:rPr>
        <w:t xml:space="preserve">[Consider merely listing the standards that will not have any impact, without providing the extensive narrative explanations.]  </w:t>
      </w:r>
      <w:r>
        <w:rPr>
          <w:color w:val="000000"/>
          <w:sz w:val="20"/>
          <w:szCs w:val="20"/>
        </w:rPr>
        <w:t xml:space="preserve"> </w:t>
      </w:r>
    </w:p>
    <w:p w14:paraId="6C8EB9B0" w14:textId="77777777" w:rsidR="006E7E51" w:rsidRPr="006E7E51" w:rsidRDefault="006E7E51" w:rsidP="006E7E51">
      <w:pPr>
        <w:widowControl w:val="0"/>
        <w:spacing w:before="200" w:after="200"/>
        <w:jc w:val="both"/>
        <w:rPr>
          <w:rFonts w:eastAsia="Times New Roman"/>
          <w:b/>
          <w:bCs/>
          <w:i/>
          <w:iCs/>
          <w:color w:val="000000"/>
          <w:sz w:val="20"/>
          <w:szCs w:val="20"/>
        </w:rPr>
      </w:pPr>
      <w:r w:rsidRPr="006E7E51">
        <w:rPr>
          <w:rFonts w:eastAsia="Times New Roman"/>
          <w:b/>
          <w:bCs/>
          <w:i/>
          <w:iCs/>
          <w:color w:val="000000"/>
          <w:sz w:val="20"/>
          <w:szCs w:val="20"/>
        </w:rPr>
        <w:t xml:space="preserve">Amendments to the Classification and Measurement of Financial Instruments - Amendments to IFRS 9 and IFRS 7 (issued on 30 May 2024 and effective for annual periods beginning on or after 1 January 2026). </w:t>
      </w:r>
      <w:r w:rsidRPr="006E7E51">
        <w:rPr>
          <w:rFonts w:eastAsia="Times New Roman"/>
          <w:color w:val="000000"/>
          <w:sz w:val="20"/>
          <w:szCs w:val="20"/>
        </w:rPr>
        <w:t>On 30 May 2024, the IASB issued amendments to IFRS 9 and IFRS 7 to:</w:t>
      </w:r>
    </w:p>
    <w:p w14:paraId="3A76918B" w14:textId="77777777" w:rsidR="006E7E51" w:rsidRPr="006E7E51" w:rsidRDefault="006E7E51" w:rsidP="006E7E51">
      <w:pPr>
        <w:widowControl w:val="0"/>
        <w:ind w:left="426" w:hanging="426"/>
        <w:jc w:val="both"/>
        <w:rPr>
          <w:rFonts w:eastAsia="Times New Roman"/>
          <w:color w:val="000000"/>
          <w:sz w:val="20"/>
          <w:szCs w:val="20"/>
        </w:rPr>
      </w:pPr>
      <w:r w:rsidRPr="006E7E51">
        <w:rPr>
          <w:rFonts w:eastAsia="Times New Roman"/>
          <w:color w:val="000000"/>
          <w:sz w:val="20"/>
          <w:szCs w:val="20"/>
        </w:rPr>
        <w:t xml:space="preserve">(a) </w:t>
      </w:r>
      <w:r w:rsidRPr="006E7E51">
        <w:rPr>
          <w:rFonts w:eastAsia="Times New Roman"/>
          <w:color w:val="000000"/>
          <w:sz w:val="20"/>
          <w:szCs w:val="20"/>
        </w:rPr>
        <w:tab/>
        <w:t xml:space="preserve">clarify the date of recognition and derecognition of some financial assets and liabilities, with a new exception for some financial liabilities settled through an electronic cash transfer </w:t>
      </w:r>
      <w:proofErr w:type="gramStart"/>
      <w:r w:rsidRPr="006E7E51">
        <w:rPr>
          <w:rFonts w:eastAsia="Times New Roman"/>
          <w:color w:val="000000"/>
          <w:sz w:val="20"/>
          <w:szCs w:val="20"/>
        </w:rPr>
        <w:t>system;</w:t>
      </w:r>
      <w:proofErr w:type="gramEnd"/>
    </w:p>
    <w:p w14:paraId="71BA5E08" w14:textId="77777777" w:rsidR="006E7E51" w:rsidRPr="006E7E51" w:rsidRDefault="006E7E51" w:rsidP="006E7E51">
      <w:pPr>
        <w:widowControl w:val="0"/>
        <w:ind w:left="426" w:hanging="426"/>
        <w:jc w:val="both"/>
        <w:rPr>
          <w:rFonts w:eastAsia="Times New Roman"/>
          <w:color w:val="000000"/>
          <w:sz w:val="20"/>
          <w:szCs w:val="20"/>
        </w:rPr>
      </w:pPr>
      <w:r w:rsidRPr="006E7E51">
        <w:rPr>
          <w:rFonts w:eastAsia="Times New Roman"/>
          <w:color w:val="000000"/>
          <w:sz w:val="20"/>
          <w:szCs w:val="20"/>
        </w:rPr>
        <w:t>(b)</w:t>
      </w:r>
      <w:r w:rsidRPr="006E7E51">
        <w:rPr>
          <w:rFonts w:eastAsia="Times New Roman"/>
          <w:color w:val="000000"/>
          <w:sz w:val="20"/>
          <w:szCs w:val="20"/>
        </w:rPr>
        <w:tab/>
        <w:t xml:space="preserve">clarify and add further guidance for assessing whether a financial asset meets the solely payments of principal and interest (SPPI) </w:t>
      </w:r>
      <w:proofErr w:type="gramStart"/>
      <w:r w:rsidRPr="006E7E51">
        <w:rPr>
          <w:rFonts w:eastAsia="Times New Roman"/>
          <w:color w:val="000000"/>
          <w:sz w:val="20"/>
          <w:szCs w:val="20"/>
        </w:rPr>
        <w:t>criterion;</w:t>
      </w:r>
      <w:proofErr w:type="gramEnd"/>
    </w:p>
    <w:p w14:paraId="15B63F43" w14:textId="77777777" w:rsidR="006E7E51" w:rsidRPr="006E7E51" w:rsidRDefault="006E7E51" w:rsidP="006E7E51">
      <w:pPr>
        <w:widowControl w:val="0"/>
        <w:ind w:left="426" w:hanging="426"/>
        <w:jc w:val="both"/>
        <w:rPr>
          <w:rFonts w:eastAsia="Times New Roman"/>
          <w:color w:val="000000"/>
          <w:sz w:val="20"/>
          <w:szCs w:val="20"/>
        </w:rPr>
      </w:pPr>
      <w:r w:rsidRPr="006E7E51">
        <w:rPr>
          <w:rFonts w:eastAsia="Times New Roman"/>
          <w:color w:val="000000"/>
          <w:sz w:val="20"/>
          <w:szCs w:val="20"/>
        </w:rPr>
        <w:t xml:space="preserve">(c) </w:t>
      </w:r>
      <w:r w:rsidRPr="006E7E51">
        <w:rPr>
          <w:rFonts w:eastAsia="Times New Roman"/>
          <w:color w:val="000000"/>
          <w:sz w:val="20"/>
          <w:szCs w:val="20"/>
        </w:rPr>
        <w:tab/>
        <w:t>add new disclosures for certain instruments with contractual terms that can change cash flows (such as some instruments with features linked to the achievement of environment, social and governance (ESG) targets); and</w:t>
      </w:r>
    </w:p>
    <w:p w14:paraId="0BA5A59D" w14:textId="77777777" w:rsidR="006E7E51" w:rsidRPr="006E7E51" w:rsidRDefault="006E7E51" w:rsidP="006E7E51">
      <w:pPr>
        <w:widowControl w:val="0"/>
        <w:ind w:left="426" w:hanging="426"/>
        <w:jc w:val="both"/>
        <w:rPr>
          <w:rFonts w:eastAsia="Times New Roman"/>
          <w:color w:val="000000"/>
          <w:sz w:val="20"/>
          <w:szCs w:val="20"/>
        </w:rPr>
      </w:pPr>
      <w:r w:rsidRPr="006E7E51">
        <w:rPr>
          <w:rFonts w:eastAsia="Times New Roman"/>
          <w:color w:val="000000"/>
          <w:sz w:val="20"/>
          <w:szCs w:val="20"/>
        </w:rPr>
        <w:t xml:space="preserve">(d) </w:t>
      </w:r>
      <w:r w:rsidRPr="006E7E51">
        <w:rPr>
          <w:rFonts w:eastAsia="Times New Roman"/>
          <w:color w:val="000000"/>
          <w:sz w:val="20"/>
          <w:szCs w:val="20"/>
        </w:rPr>
        <w:tab/>
        <w:t>update the disclosures for equity instruments designated at fair value through other comprehensive income (FVOCI).</w:t>
      </w:r>
    </w:p>
    <w:p w14:paraId="6CCF3B51" w14:textId="77777777" w:rsidR="006E7E51" w:rsidRDefault="006E7E51" w:rsidP="006E7E51">
      <w:pPr>
        <w:widowControl w:val="0"/>
        <w:spacing w:before="200" w:after="200"/>
        <w:jc w:val="both"/>
        <w:rPr>
          <w:rFonts w:eastAsia="Times New Roman"/>
          <w:color w:val="0000FF"/>
          <w:sz w:val="20"/>
          <w:szCs w:val="20"/>
        </w:rPr>
      </w:pPr>
      <w:r w:rsidRPr="006E7E51">
        <w:rPr>
          <w:rFonts w:eastAsia="Times New Roman"/>
          <w:color w:val="0000FF"/>
          <w:sz w:val="20"/>
          <w:szCs w:val="20"/>
        </w:rPr>
        <w:t>[The Group is currently assessing the impact of the amendments on its financial statements.]</w:t>
      </w:r>
    </w:p>
    <w:p w14:paraId="28CC4491" w14:textId="77777777" w:rsidR="006E7E51" w:rsidRPr="006E7E51" w:rsidRDefault="006E7E51" w:rsidP="006E7E51">
      <w:pPr>
        <w:widowControl w:val="0"/>
        <w:spacing w:before="200" w:after="200"/>
        <w:jc w:val="both"/>
        <w:rPr>
          <w:rFonts w:eastAsia="Times New Roman"/>
          <w:color w:val="000000"/>
          <w:sz w:val="20"/>
          <w:szCs w:val="20"/>
        </w:rPr>
      </w:pPr>
      <w:r w:rsidRPr="006E7E51">
        <w:rPr>
          <w:rFonts w:eastAsia="Times New Roman"/>
          <w:b/>
          <w:bCs/>
          <w:i/>
          <w:iCs/>
          <w:color w:val="000000"/>
          <w:sz w:val="20"/>
          <w:szCs w:val="20"/>
        </w:rPr>
        <w:t>IFRS 18 Presentation and Disclosure in Financial Statements (Issued on 9 April 2024 and effective for annual periods beginning on or after 1 January 2027).</w:t>
      </w:r>
      <w:r w:rsidRPr="006E7E51">
        <w:rPr>
          <w:rFonts w:eastAsia="Times New Roman"/>
          <w:color w:val="000000"/>
          <w:sz w:val="20"/>
          <w:szCs w:val="20"/>
        </w:rPr>
        <w:t xml:space="preserve"> In April 2024, the IASB has issued IFRS 18, the new standard on presentation and disclosure in financial statements, with a focus on updates to the statement of profit or loss. The key new concepts introduced in IFRS 18 relate to:</w:t>
      </w:r>
    </w:p>
    <w:p w14:paraId="3F6F3748" w14:textId="77777777" w:rsidR="006E7E51" w:rsidRPr="006E7E51" w:rsidRDefault="006E7E51" w:rsidP="006E7E51">
      <w:pPr>
        <w:widowControl w:val="0"/>
        <w:ind w:left="284" w:hanging="284"/>
        <w:jc w:val="both"/>
        <w:rPr>
          <w:rFonts w:eastAsia="Times New Roman"/>
          <w:color w:val="000000"/>
          <w:sz w:val="20"/>
          <w:szCs w:val="20"/>
        </w:rPr>
      </w:pPr>
      <w:r w:rsidRPr="006E7E51">
        <w:rPr>
          <w:rFonts w:eastAsia="Times New Roman"/>
          <w:color w:val="000000"/>
          <w:sz w:val="20"/>
          <w:szCs w:val="20"/>
        </w:rPr>
        <w:t>-</w:t>
      </w:r>
      <w:r w:rsidRPr="006E7E51">
        <w:rPr>
          <w:rFonts w:eastAsia="Times New Roman"/>
          <w:color w:val="000000"/>
          <w:sz w:val="20"/>
          <w:szCs w:val="20"/>
        </w:rPr>
        <w:tab/>
        <w:t xml:space="preserve">the structure of the statement of profit or </w:t>
      </w:r>
      <w:proofErr w:type="gramStart"/>
      <w:r w:rsidRPr="006E7E51">
        <w:rPr>
          <w:rFonts w:eastAsia="Times New Roman"/>
          <w:color w:val="000000"/>
          <w:sz w:val="20"/>
          <w:szCs w:val="20"/>
        </w:rPr>
        <w:t>loss;</w:t>
      </w:r>
      <w:proofErr w:type="gramEnd"/>
    </w:p>
    <w:p w14:paraId="28A89F5F" w14:textId="77777777" w:rsidR="006E7E51" w:rsidRPr="006E7E51" w:rsidRDefault="006E7E51" w:rsidP="006E7E51">
      <w:pPr>
        <w:widowControl w:val="0"/>
        <w:ind w:left="284" w:hanging="284"/>
        <w:jc w:val="both"/>
        <w:rPr>
          <w:rFonts w:eastAsia="Times New Roman"/>
          <w:color w:val="000000"/>
          <w:sz w:val="20"/>
          <w:szCs w:val="20"/>
        </w:rPr>
      </w:pPr>
      <w:r w:rsidRPr="006E7E51">
        <w:rPr>
          <w:rFonts w:eastAsia="Times New Roman"/>
          <w:color w:val="000000"/>
          <w:sz w:val="20"/>
          <w:szCs w:val="20"/>
        </w:rPr>
        <w:t>-</w:t>
      </w:r>
      <w:r w:rsidRPr="006E7E51">
        <w:rPr>
          <w:rFonts w:eastAsia="Times New Roman"/>
          <w:color w:val="000000"/>
          <w:sz w:val="20"/>
          <w:szCs w:val="20"/>
        </w:rPr>
        <w:tab/>
        <w:t>required disclosures in the financial statements for certain profit or loss performance measures that are reported outside an entity’s financial statements (that is, management-defined performance measures); and</w:t>
      </w:r>
    </w:p>
    <w:p w14:paraId="67F6CDA9" w14:textId="77777777" w:rsidR="006E7E51" w:rsidRPr="006E7E51" w:rsidRDefault="006E7E51" w:rsidP="006E7E51">
      <w:pPr>
        <w:widowControl w:val="0"/>
        <w:ind w:left="284" w:hanging="284"/>
        <w:jc w:val="both"/>
        <w:rPr>
          <w:rFonts w:eastAsia="Times New Roman"/>
          <w:color w:val="000000"/>
          <w:sz w:val="20"/>
          <w:szCs w:val="20"/>
        </w:rPr>
      </w:pPr>
      <w:r w:rsidRPr="006E7E51">
        <w:rPr>
          <w:rFonts w:eastAsia="Times New Roman"/>
          <w:color w:val="000000"/>
          <w:sz w:val="20"/>
          <w:szCs w:val="20"/>
        </w:rPr>
        <w:t>-</w:t>
      </w:r>
      <w:r w:rsidRPr="006E7E51">
        <w:rPr>
          <w:rFonts w:eastAsia="Times New Roman"/>
          <w:color w:val="000000"/>
          <w:sz w:val="20"/>
          <w:szCs w:val="20"/>
        </w:rPr>
        <w:tab/>
        <w:t>enhanced principles on aggregation and disaggregation which apply to the primary financial statements and notes in general.</w:t>
      </w:r>
    </w:p>
    <w:p w14:paraId="607A6171" w14:textId="77777777" w:rsidR="002C4090" w:rsidRDefault="006E7E51" w:rsidP="006E7E51">
      <w:pPr>
        <w:widowControl w:val="0"/>
        <w:spacing w:before="200" w:after="200"/>
        <w:jc w:val="both"/>
        <w:rPr>
          <w:rFonts w:eastAsia="Times New Roman"/>
          <w:color w:val="000000"/>
          <w:sz w:val="20"/>
          <w:szCs w:val="20"/>
        </w:rPr>
      </w:pPr>
      <w:r w:rsidRPr="006E7E51">
        <w:rPr>
          <w:rFonts w:eastAsia="Times New Roman"/>
          <w:color w:val="000000"/>
          <w:sz w:val="20"/>
          <w:szCs w:val="20"/>
        </w:rPr>
        <w:t xml:space="preserve">IFRS 18 will replace IAS 1; many of the other existing principles in IAS 1 are retained, with limited changes. </w:t>
      </w:r>
    </w:p>
    <w:p w14:paraId="5E407580" w14:textId="1BA420DB" w:rsidR="002C4090" w:rsidRPr="002C4090" w:rsidRDefault="002C4090" w:rsidP="002C4090">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6</w:t>
      </w:r>
      <w:r>
        <w:rPr>
          <w:b/>
          <w:color w:val="000000"/>
          <w:sz w:val="20"/>
          <w:szCs w:val="20"/>
        </w:rPr>
        <w:tab/>
        <w:t>New Accounting Pronouncements (Continued)</w:t>
      </w:r>
    </w:p>
    <w:p w14:paraId="15A4AD8B" w14:textId="028D209E" w:rsidR="006E7E51" w:rsidRPr="006E7E51" w:rsidRDefault="006E7E51" w:rsidP="006E7E51">
      <w:pPr>
        <w:widowControl w:val="0"/>
        <w:spacing w:before="200" w:after="200"/>
        <w:jc w:val="both"/>
        <w:rPr>
          <w:rFonts w:eastAsia="Times New Roman"/>
          <w:color w:val="0000FF"/>
          <w:sz w:val="20"/>
          <w:szCs w:val="20"/>
        </w:rPr>
      </w:pPr>
      <w:r w:rsidRPr="006E7E51">
        <w:rPr>
          <w:rFonts w:eastAsia="Times New Roman"/>
          <w:color w:val="000000"/>
          <w:sz w:val="20"/>
          <w:szCs w:val="20"/>
        </w:rPr>
        <w:t xml:space="preserve">IFRS 18 will not impact the recognition or measurement of items in the financial statements, but it might change what an entity reports as its ‘operating profit or loss’. IFRS 18 will apply for reporting periods beginning on or after 1 January 2027 </w:t>
      </w:r>
      <w:proofErr w:type="gramStart"/>
      <w:r w:rsidRPr="006E7E51">
        <w:rPr>
          <w:rFonts w:eastAsia="Times New Roman"/>
          <w:color w:val="000000"/>
          <w:sz w:val="20"/>
          <w:szCs w:val="20"/>
        </w:rPr>
        <w:t>and also</w:t>
      </w:r>
      <w:proofErr w:type="gramEnd"/>
      <w:r w:rsidRPr="006E7E51">
        <w:rPr>
          <w:rFonts w:eastAsia="Times New Roman"/>
          <w:color w:val="000000"/>
          <w:sz w:val="20"/>
          <w:szCs w:val="20"/>
        </w:rPr>
        <w:t xml:space="preserve"> applies to comparative information. </w:t>
      </w:r>
      <w:r w:rsidRPr="006E7E51">
        <w:rPr>
          <w:rFonts w:eastAsia="Times New Roman"/>
          <w:color w:val="0000FF"/>
          <w:sz w:val="20"/>
          <w:szCs w:val="20"/>
        </w:rPr>
        <w:t>[The Group is currently assessing the impact of the amendments on its financial statements.]</w:t>
      </w:r>
    </w:p>
    <w:p w14:paraId="48A19EDD" w14:textId="47DCB73F" w:rsidR="006E7E51" w:rsidRPr="006E7E51" w:rsidRDefault="006E7E51" w:rsidP="006E7E51">
      <w:pPr>
        <w:widowControl w:val="0"/>
        <w:spacing w:before="200" w:after="200"/>
        <w:jc w:val="both"/>
        <w:rPr>
          <w:rFonts w:eastAsia="Times New Roman"/>
          <w:color w:val="000000"/>
          <w:sz w:val="20"/>
          <w:szCs w:val="20"/>
        </w:rPr>
      </w:pPr>
      <w:r w:rsidRPr="006E7E51">
        <w:rPr>
          <w:rFonts w:eastAsia="Times New Roman"/>
          <w:b/>
          <w:bCs/>
          <w:i/>
          <w:iCs/>
          <w:color w:val="000000"/>
          <w:sz w:val="20"/>
          <w:szCs w:val="20"/>
        </w:rPr>
        <w:t>IFRS 19 Subsidiaries without Public Accountability: Disclosures (Issued on 9 May 2024</w:t>
      </w:r>
      <w:r w:rsidR="00354B26" w:rsidRPr="00354B26">
        <w:rPr>
          <w:rFonts w:eastAsia="Times New Roman"/>
          <w:b/>
          <w:bCs/>
          <w:i/>
          <w:iCs/>
          <w:color w:val="000000"/>
          <w:sz w:val="20"/>
          <w:szCs w:val="20"/>
        </w:rPr>
        <w:t>, then amended on 21 August 2025</w:t>
      </w:r>
      <w:r w:rsidRPr="006E7E51">
        <w:rPr>
          <w:rFonts w:eastAsia="Times New Roman"/>
          <w:b/>
          <w:bCs/>
          <w:i/>
          <w:iCs/>
          <w:color w:val="000000"/>
          <w:sz w:val="20"/>
          <w:szCs w:val="20"/>
        </w:rPr>
        <w:t xml:space="preserve"> and effective for annual periods beginning on or after 1 January 2027).</w:t>
      </w:r>
      <w:r w:rsidRPr="006E7E51">
        <w:rPr>
          <w:rFonts w:eastAsia="Times New Roman"/>
          <w:color w:val="000000"/>
          <w:sz w:val="20"/>
          <w:szCs w:val="20"/>
        </w:rPr>
        <w:t xml:space="preserve"> The International Accounting Standard Board (IASB) has issued a new IFRS Accounting Standard for subsidiaries. IFRS 19 permits eligible subsidiaries to use IFRS Accounting Standards with reduced disclosures. Applying IFRS 19 will reduce the costs of preparing subsidiaries’ financial statements while maintaining the usefulness of the information for users of their financial statements. Subsidiaries using IFRS Accounting Standards for their own financial statements provide disclosures that maybe disproportionate to the information needs of their users. IFRS 19 will resolve these challenges by:</w:t>
      </w:r>
    </w:p>
    <w:p w14:paraId="7B585BCC" w14:textId="6A963C54" w:rsidR="006E7E51" w:rsidRPr="00CF3EC7" w:rsidRDefault="006E7E51" w:rsidP="00CF3EC7">
      <w:pPr>
        <w:pStyle w:val="ListParagraph"/>
        <w:widowControl w:val="0"/>
        <w:numPr>
          <w:ilvl w:val="0"/>
          <w:numId w:val="14"/>
        </w:numPr>
        <w:spacing w:before="200" w:after="200"/>
        <w:jc w:val="both"/>
        <w:rPr>
          <w:rFonts w:eastAsia="Times New Roman"/>
          <w:color w:val="000000"/>
          <w:sz w:val="20"/>
          <w:szCs w:val="20"/>
        </w:rPr>
      </w:pPr>
      <w:r w:rsidRPr="00CF3EC7">
        <w:rPr>
          <w:rFonts w:eastAsia="Times New Roman"/>
          <w:color w:val="000000"/>
          <w:sz w:val="20"/>
          <w:szCs w:val="20"/>
        </w:rPr>
        <w:t xml:space="preserve">enabling subsidiaries to keep only one set of accounting records – to meet the needs of both their parent company and the users of their financial </w:t>
      </w:r>
      <w:proofErr w:type="gramStart"/>
      <w:r w:rsidRPr="00CF3EC7">
        <w:rPr>
          <w:rFonts w:eastAsia="Times New Roman"/>
          <w:color w:val="000000"/>
          <w:sz w:val="20"/>
          <w:szCs w:val="20"/>
        </w:rPr>
        <w:t>statements;</w:t>
      </w:r>
      <w:proofErr w:type="gramEnd"/>
    </w:p>
    <w:p w14:paraId="07C6A74F" w14:textId="68B55872" w:rsidR="006E7E51" w:rsidRDefault="006E7E51" w:rsidP="00CF3EC7">
      <w:pPr>
        <w:pStyle w:val="ListParagraph"/>
        <w:widowControl w:val="0"/>
        <w:numPr>
          <w:ilvl w:val="0"/>
          <w:numId w:val="14"/>
        </w:numPr>
        <w:spacing w:before="200" w:after="200"/>
        <w:jc w:val="both"/>
        <w:rPr>
          <w:rFonts w:eastAsia="Times New Roman"/>
          <w:color w:val="000000"/>
          <w:sz w:val="20"/>
          <w:szCs w:val="20"/>
        </w:rPr>
      </w:pPr>
      <w:r w:rsidRPr="00CF3EC7">
        <w:rPr>
          <w:rFonts w:eastAsia="Times New Roman"/>
          <w:color w:val="000000"/>
          <w:sz w:val="20"/>
          <w:szCs w:val="20"/>
        </w:rPr>
        <w:t>reducing disclosure requirements – IFRS 19 permits reduced disclosure better suited to the needs of the users of their financial statements.</w:t>
      </w:r>
    </w:p>
    <w:p w14:paraId="35FE390A" w14:textId="77777777" w:rsidR="008B5A35" w:rsidRPr="00150BDF" w:rsidRDefault="008B5A35" w:rsidP="00150BDF">
      <w:pPr>
        <w:shd w:val="clear" w:color="auto" w:fill="FFFFFF"/>
        <w:rPr>
          <w:rFonts w:eastAsia="Times New Roman"/>
          <w:color w:val="000000"/>
          <w:sz w:val="20"/>
          <w:szCs w:val="20"/>
        </w:rPr>
      </w:pPr>
      <w:r w:rsidRPr="00150BDF">
        <w:rPr>
          <w:rFonts w:eastAsia="Times New Roman"/>
          <w:color w:val="000000"/>
          <w:sz w:val="20"/>
          <w:szCs w:val="20"/>
        </w:rPr>
        <w:t>In August 2025, the IASB issued amendments to IFRS 19 Subsidiaries without Public Accountability: Disclosures, which help eligible subsidiaries by reducing disclosure requirements for Standards and amendments issued between February 2021 and May 2024, specifically: IFRS 18 Presentation and Disclosure in Financial Statements, Supplier Finance Arrangements (Amendments to IAS 7 and IFRS 7); International Tax Reform—Pillar Two Model Rules (Amendments to IAS 12); Lack of Exchangeability (Amendments to IAS 21); and Amendments to the Classification and Measurement of Financial Instruments (Amendments to IFRS 9 and IFRS 7).</w:t>
      </w:r>
    </w:p>
    <w:p w14:paraId="459379DD" w14:textId="66D3B339" w:rsidR="006E7E51" w:rsidRDefault="006E7E51">
      <w:pPr>
        <w:shd w:val="clear" w:color="auto" w:fill="FFFFFF"/>
        <w:jc w:val="both"/>
        <w:rPr>
          <w:color w:val="0000FF"/>
          <w:sz w:val="20"/>
          <w:szCs w:val="20"/>
        </w:rPr>
      </w:pPr>
      <w:r w:rsidRPr="006E7E51">
        <w:rPr>
          <w:rFonts w:eastAsia="Times New Roman"/>
          <w:color w:val="0000FF"/>
          <w:sz w:val="20"/>
          <w:szCs w:val="20"/>
        </w:rPr>
        <w:t>[The Group is currently assessing the impact of the amendments on its financial statements.]</w:t>
      </w:r>
    </w:p>
    <w:p w14:paraId="6E31F7ED" w14:textId="77777777" w:rsidR="008E5DE4" w:rsidRDefault="008E5DE4">
      <w:pPr>
        <w:shd w:val="clear" w:color="auto" w:fill="FFFFFF"/>
        <w:jc w:val="both"/>
        <w:rPr>
          <w:b/>
          <w:i/>
          <w:sz w:val="20"/>
          <w:szCs w:val="20"/>
        </w:rPr>
      </w:pPr>
    </w:p>
    <w:p w14:paraId="0E0132A4" w14:textId="0477A7C1" w:rsidR="008E5DE4" w:rsidRDefault="00780368">
      <w:pPr>
        <w:shd w:val="clear" w:color="auto" w:fill="FFFFFF"/>
        <w:jc w:val="both"/>
        <w:rPr>
          <w:color w:val="0000FF"/>
          <w:sz w:val="20"/>
          <w:szCs w:val="20"/>
        </w:rPr>
      </w:pPr>
      <w:r>
        <w:rPr>
          <w:b/>
          <w:i/>
          <w:sz w:val="20"/>
          <w:szCs w:val="20"/>
        </w:rPr>
        <w:t xml:space="preserve">IFRS 14, Regulatory Deferral Accounts (issued on 30 January 2014 and effective for annual periods beginning on or after 1 January 2016). </w:t>
      </w:r>
      <w:r>
        <w:rPr>
          <w:sz w:val="20"/>
          <w:szCs w:val="20"/>
        </w:rPr>
        <w:t xml:space="preserve">IFRS 14 permits first-time adopters to continue to recognise amounts related to rate regulation in accordance with their previous GAAP requirements when they adopt IFRS Accounting Standards. However, to enhance comparability with entities that already apply IFRS Accounting Standards and do not recognise such amounts, the standard requires that the effect of rate regulation must be presented separately from other items. An entity that already presents financial statements in compliance with IFRS Accounting Standards is not eligible to apply the standard. </w:t>
      </w:r>
      <w:r w:rsidR="006E7E51" w:rsidRPr="006E7E51">
        <w:rPr>
          <w:sz w:val="20"/>
          <w:szCs w:val="20"/>
        </w:rPr>
        <w:t>This standard will be effective from a date that is yet to be determined by the IASB.</w:t>
      </w:r>
      <w:r w:rsidR="009846A6">
        <w:rPr>
          <w:sz w:val="20"/>
          <w:szCs w:val="20"/>
        </w:rPr>
        <w:t xml:space="preserve"> </w:t>
      </w:r>
      <w:r w:rsidR="009846A6" w:rsidRPr="006E7E51">
        <w:rPr>
          <w:rFonts w:eastAsia="Times New Roman"/>
          <w:color w:val="0000FF"/>
          <w:sz w:val="20"/>
          <w:szCs w:val="20"/>
        </w:rPr>
        <w:t>[The Group is currently assessing the impact of the amendments on its financial statements.]</w:t>
      </w:r>
    </w:p>
    <w:p w14:paraId="5F0074A6" w14:textId="77777777" w:rsidR="008E5DE4" w:rsidRDefault="008E5DE4">
      <w:pPr>
        <w:shd w:val="clear" w:color="auto" w:fill="FFFFFF"/>
        <w:jc w:val="both"/>
        <w:rPr>
          <w:b/>
          <w:i/>
          <w:sz w:val="20"/>
          <w:szCs w:val="20"/>
        </w:rPr>
      </w:pPr>
    </w:p>
    <w:p w14:paraId="4F217745" w14:textId="7E546408" w:rsidR="009846A6" w:rsidRDefault="00780368">
      <w:pPr>
        <w:shd w:val="clear" w:color="auto" w:fill="FFFFFF"/>
        <w:jc w:val="both"/>
        <w:rPr>
          <w:color w:val="0000FF"/>
          <w:sz w:val="20"/>
          <w:szCs w:val="20"/>
        </w:rPr>
      </w:pPr>
      <w:r>
        <w:rPr>
          <w:b/>
          <w:i/>
          <w:sz w:val="20"/>
          <w:szCs w:val="20"/>
        </w:rPr>
        <w:t>Sale or Contribution of Assets between an Investor and its Associate or Joint Venture – Amendments to IFRS 10 and IAS 28 (issued on 11 September 2014 and effective for annual periods beginning on or after a date to be determined by the IASB).</w:t>
      </w:r>
      <w:r>
        <w:rPr>
          <w:b/>
          <w:sz w:val="20"/>
          <w:szCs w:val="20"/>
        </w:rPr>
        <w:t xml:space="preserve"> </w:t>
      </w:r>
      <w:r>
        <w:rPr>
          <w:sz w:val="20"/>
          <w:szCs w:val="20"/>
        </w:rPr>
        <w:t>These amendments address an inconsistency between the requirements in IFRS 10 and those in IAS 28 in dealing with the sale or contribution of assets between an investor and its associate or joint venture. The main consequence of the amendments is that a full gain or loss is recognised when a transaction involves a business. A partial gain or loss is recognised when a transaction involves assets that do not constitute a business, even if these assets are held by a subsidiary.</w:t>
      </w:r>
      <w:r w:rsidR="006E7E51">
        <w:rPr>
          <w:b/>
          <w:i/>
          <w:sz w:val="20"/>
          <w:szCs w:val="20"/>
        </w:rPr>
        <w:t xml:space="preserve"> </w:t>
      </w:r>
      <w:r w:rsidR="006E7E51" w:rsidRPr="00CF3EC7">
        <w:rPr>
          <w:bCs/>
          <w:iCs/>
          <w:sz w:val="20"/>
          <w:szCs w:val="20"/>
        </w:rPr>
        <w:t>In 2015, the IASB decided to postpone the effective date of these amendments indefinitely.</w:t>
      </w:r>
      <w:r w:rsidR="006E7E51" w:rsidRPr="006E7E51">
        <w:rPr>
          <w:b/>
          <w:i/>
          <w:sz w:val="20"/>
          <w:szCs w:val="20"/>
        </w:rPr>
        <w:t xml:space="preserve">  </w:t>
      </w:r>
      <w:r w:rsidR="009846A6" w:rsidRPr="006E7E51">
        <w:rPr>
          <w:rFonts w:eastAsia="Times New Roman"/>
          <w:color w:val="0000FF"/>
          <w:sz w:val="20"/>
          <w:szCs w:val="20"/>
        </w:rPr>
        <w:t>[The Group is currently assessing the impact of the amendments on its financial statements.]</w:t>
      </w:r>
      <w:r w:rsidR="009846A6" w:rsidDel="006E7E51">
        <w:rPr>
          <w:color w:val="0000FF"/>
          <w:sz w:val="20"/>
          <w:szCs w:val="20"/>
        </w:rPr>
        <w:t xml:space="preserve"> </w:t>
      </w:r>
    </w:p>
    <w:p w14:paraId="241192F5" w14:textId="0F33D996" w:rsidR="002A32E6" w:rsidRDefault="002A32E6" w:rsidP="00ED0930">
      <w:pPr>
        <w:widowControl w:val="0"/>
        <w:pBdr>
          <w:top w:val="nil"/>
          <w:left w:val="nil"/>
          <w:bottom w:val="nil"/>
          <w:right w:val="nil"/>
          <w:between w:val="nil"/>
        </w:pBdr>
        <w:spacing w:before="200" w:after="200"/>
        <w:jc w:val="both"/>
        <w:rPr>
          <w:color w:val="0000FF"/>
          <w:sz w:val="20"/>
          <w:szCs w:val="20"/>
        </w:rPr>
      </w:pPr>
      <w:r w:rsidRPr="002A32E6">
        <w:rPr>
          <w:rFonts w:eastAsia="Times New Roman"/>
          <w:b/>
          <w:bCs/>
          <w:i/>
          <w:iCs/>
          <w:color w:val="000000"/>
          <w:sz w:val="20"/>
          <w:szCs w:val="20"/>
        </w:rPr>
        <w:t>Contracts Referencing Nature-dependent Electricity Amendments to IFRS 9 and IFRS 7 (Issued on 18 December 2024 and effective from 1 January 2026).</w:t>
      </w:r>
      <w:r w:rsidRPr="00D14140">
        <w:rPr>
          <w:b/>
          <w:i/>
          <w:color w:val="000000"/>
          <w:sz w:val="20"/>
          <w:szCs w:val="20"/>
          <w:lang w:val="en-US"/>
        </w:rPr>
        <w:t xml:space="preserve"> </w:t>
      </w:r>
      <w:r w:rsidRPr="002A32E6">
        <w:rPr>
          <w:rFonts w:eastAsia="Times New Roman"/>
          <w:color w:val="000000"/>
          <w:sz w:val="20"/>
          <w:szCs w:val="20"/>
        </w:rPr>
        <w:t>The IASB has issued amendments to help companies better report the financial effects of nature-dependent electricity contracts, which are often structured as power purchase agreements (PPAs). Current accounting requirements may not adequately capture how these contracts affect a company’s performance. To allow companies to better reflect these contracts in the financial statements, the IASB has made targeted amendments to IFRS 9, Financial Instruments, and IFRS 7, Financial Instruments: Disclosures. The amendments include: (a) clarifying the application of the ‘</w:t>
      </w:r>
      <w:proofErr w:type="gramStart"/>
      <w:r w:rsidRPr="002A32E6">
        <w:rPr>
          <w:rFonts w:eastAsia="Times New Roman"/>
          <w:color w:val="000000"/>
          <w:sz w:val="20"/>
          <w:szCs w:val="20"/>
        </w:rPr>
        <w:t>own-use</w:t>
      </w:r>
      <w:proofErr w:type="gramEnd"/>
      <w:r w:rsidRPr="002A32E6">
        <w:rPr>
          <w:rFonts w:eastAsia="Times New Roman"/>
          <w:color w:val="000000"/>
          <w:sz w:val="20"/>
          <w:szCs w:val="20"/>
        </w:rPr>
        <w:t>’ requirements; (b) relaxing certain hedge accounting requirements if these contracts are used as hedging instruments; and (c) adding new disclosure requirements to enable investors to understand the effect of these contracts on financial performance and cash flows</w:t>
      </w:r>
      <w:r w:rsidRPr="004131BB">
        <w:rPr>
          <w:rFonts w:eastAsia="Times New Roman"/>
          <w:color w:val="000000"/>
          <w:sz w:val="20"/>
          <w:szCs w:val="20"/>
        </w:rPr>
        <w:t>.</w:t>
      </w:r>
      <w:r w:rsidRPr="00150BDF">
        <w:rPr>
          <w:rFonts w:eastAsia="Times New Roman"/>
          <w:color w:val="0000FF"/>
          <w:sz w:val="20"/>
          <w:szCs w:val="20"/>
        </w:rPr>
        <w:t xml:space="preserve"> [The Group is currently assessing the impact of the amendments on its financial statements.]</w:t>
      </w:r>
    </w:p>
    <w:p w14:paraId="7B290391" w14:textId="77777777" w:rsidR="002C4090" w:rsidRDefault="002C4090" w:rsidP="002C4090">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6</w:t>
      </w:r>
      <w:r>
        <w:rPr>
          <w:b/>
          <w:color w:val="000000"/>
          <w:sz w:val="20"/>
          <w:szCs w:val="20"/>
        </w:rPr>
        <w:tab/>
        <w:t>New Accounting Pronouncements (Continued)</w:t>
      </w:r>
    </w:p>
    <w:p w14:paraId="0126FF48" w14:textId="7F472DC7" w:rsidR="009846A6" w:rsidRPr="009846A6" w:rsidRDefault="009846A6" w:rsidP="00D939BF">
      <w:pPr>
        <w:widowControl w:val="0"/>
        <w:pBdr>
          <w:top w:val="nil"/>
          <w:left w:val="nil"/>
          <w:bottom w:val="nil"/>
          <w:right w:val="nil"/>
          <w:between w:val="nil"/>
        </w:pBdr>
        <w:shd w:val="clear" w:color="auto" w:fill="FFFFFF"/>
        <w:spacing w:before="200" w:after="200"/>
        <w:jc w:val="both"/>
        <w:rPr>
          <w:rFonts w:eastAsia="Times New Roman"/>
          <w:color w:val="000000"/>
          <w:sz w:val="20"/>
          <w:szCs w:val="20"/>
        </w:rPr>
      </w:pPr>
      <w:r w:rsidRPr="009846A6">
        <w:rPr>
          <w:rFonts w:eastAsia="Times New Roman"/>
          <w:b/>
          <w:bCs/>
          <w:i/>
          <w:iCs/>
          <w:color w:val="000000"/>
          <w:sz w:val="20"/>
          <w:szCs w:val="20"/>
        </w:rPr>
        <w:t>Annual Improvements to IFRS Accounting Standards (Issued in July 2024 and effective from 1 January 2026).</w:t>
      </w:r>
      <w:r w:rsidRPr="009846A6">
        <w:rPr>
          <w:rFonts w:eastAsia="Times New Roman"/>
          <w:color w:val="000000"/>
          <w:sz w:val="20"/>
          <w:szCs w:val="20"/>
        </w:rPr>
        <w:t xml:space="preserve"> IFRS 1 was clarified that a hedge should be discontinued upon transition to IFRS Accounting Standards if it does not meet the ‘qualifying criteria’, rather than ‘conditions’ for hedge accounting, </w:t>
      </w:r>
      <w:proofErr w:type="gramStart"/>
      <w:r w:rsidRPr="009846A6">
        <w:rPr>
          <w:rFonts w:eastAsia="Times New Roman"/>
          <w:color w:val="000000"/>
          <w:sz w:val="20"/>
          <w:szCs w:val="20"/>
        </w:rPr>
        <w:t>in order to</w:t>
      </w:r>
      <w:proofErr w:type="gramEnd"/>
      <w:r w:rsidRPr="009846A6">
        <w:rPr>
          <w:rFonts w:eastAsia="Times New Roman"/>
          <w:color w:val="000000"/>
          <w:sz w:val="20"/>
          <w:szCs w:val="20"/>
        </w:rPr>
        <w:t xml:space="preserve"> resolve a potential confusion arising from an inconsistency between the wording in IFRS 1 and the requirements for hedge accounting in IFRS 9. IFRS 7 requires disclosures about a gain or loss on derecognition relating to financial assets in which the entity has a continuing involvement, including whether fair value measurements included ‘significant unobservable </w:t>
      </w:r>
      <w:proofErr w:type="gramStart"/>
      <w:r w:rsidRPr="009846A6">
        <w:rPr>
          <w:rFonts w:eastAsia="Times New Roman"/>
          <w:color w:val="000000"/>
          <w:sz w:val="20"/>
          <w:szCs w:val="20"/>
        </w:rPr>
        <w:t>inputs’</w:t>
      </w:r>
      <w:proofErr w:type="gramEnd"/>
      <w:r w:rsidRPr="009846A6">
        <w:rPr>
          <w:rFonts w:eastAsia="Times New Roman"/>
          <w:color w:val="000000"/>
          <w:sz w:val="20"/>
          <w:szCs w:val="20"/>
        </w:rPr>
        <w:t xml:space="preserve">. This new phrase replaced reference to ‘significant inputs that were not based on observable market data’. The amendment makes the wording consistent with IFRS 13. In addition, certain IFRS 7 implementation guidance examples were clarified and text added that the examples do not necessarily illustrate all the requirements in the referenced paragraphs of IFRS 7. IFRS 16 was amended to clarify that when a lessee has determined that a lease liability has been extinguished in accordance with IFRS 9, the lessee is required to apply IFRS 9 guidance to recognise any resulting gain or loss in profit or loss. This clarification applies to lease liabilities that are extinguished on or after the beginning of the annual reporting period in which the entity first applies that amendment. </w:t>
      </w:r>
      <w:proofErr w:type="gramStart"/>
      <w:r w:rsidRPr="009846A6">
        <w:rPr>
          <w:rFonts w:eastAsia="Times New Roman"/>
          <w:color w:val="000000"/>
          <w:sz w:val="20"/>
          <w:szCs w:val="20"/>
        </w:rPr>
        <w:t>In order to</w:t>
      </w:r>
      <w:proofErr w:type="gramEnd"/>
      <w:r w:rsidRPr="009846A6">
        <w:rPr>
          <w:rFonts w:eastAsia="Times New Roman"/>
          <w:color w:val="000000"/>
          <w:sz w:val="20"/>
          <w:szCs w:val="20"/>
        </w:rPr>
        <w:t xml:space="preserve"> resolve an inconsistency between IFRS 9 and IFRS 15, trade receivables are now required to be initially recognised at ‘the amount determined by applying IFRS 15’ instead of at ‘their transaction price (as defined in IFRS 15)’. IFRS 10 was amended to use less conclusive language when an entity is a ‘de-facto agent’ and to clarify that the relationship described in paragraph B74 of IFRS 10 is just one example of a circumstance in which judgement is required to determine whether a party is acting as a de-facto agent. IAS 7 was corrected to delete references to ‘cost method’ that was removed from IFRS Accounting Standards in May 2008 when the IASB issued amendment ‘Cost of an Investment in a Subsidiary, Jointly Controlled Entity or Associate’.</w:t>
      </w:r>
      <w:r w:rsidR="004131BB">
        <w:rPr>
          <w:rFonts w:eastAsia="Times New Roman"/>
          <w:color w:val="000000"/>
          <w:sz w:val="20"/>
          <w:szCs w:val="20"/>
        </w:rPr>
        <w:t xml:space="preserve"> </w:t>
      </w:r>
      <w:r w:rsidR="004131BB" w:rsidRPr="00FA07D5">
        <w:rPr>
          <w:rFonts w:eastAsia="Times New Roman"/>
          <w:color w:val="0000FF"/>
          <w:sz w:val="20"/>
          <w:szCs w:val="20"/>
        </w:rPr>
        <w:t>[The Group is currently assessing the impact of the amendments on its financial statements.]</w:t>
      </w:r>
    </w:p>
    <w:p w14:paraId="0D4A819F" w14:textId="77777777" w:rsidR="008E5DE4" w:rsidRDefault="00780368" w:rsidP="00BB1486">
      <w:pPr>
        <w:pStyle w:val="Heading1"/>
        <w:keepLines/>
        <w:pageBreakBefore/>
        <w:numPr>
          <w:ilvl w:val="0"/>
          <w:numId w:val="3"/>
        </w:numPr>
        <w:spacing w:before="240"/>
        <w:ind w:left="567" w:hanging="567"/>
      </w:pPr>
      <w:bookmarkStart w:id="13" w:name="_Toc149923606"/>
      <w:r>
        <w:lastRenderedPageBreak/>
        <w:t>Segment Information</w:t>
      </w:r>
      <w:bookmarkEnd w:id="13"/>
    </w:p>
    <w:p w14:paraId="7E5B6A9A" w14:textId="77777777" w:rsidR="008E5DE4" w:rsidRDefault="00780368">
      <w:pPr>
        <w:widowControl w:val="0"/>
        <w:pBdr>
          <w:top w:val="nil"/>
          <w:left w:val="nil"/>
          <w:bottom w:val="nil"/>
          <w:right w:val="nil"/>
          <w:between w:val="nil"/>
        </w:pBdr>
        <w:shd w:val="clear" w:color="auto" w:fill="FFFFFF"/>
        <w:spacing w:before="200" w:after="200"/>
        <w:jc w:val="both"/>
        <w:rPr>
          <w:color w:val="000000"/>
          <w:sz w:val="20"/>
          <w:szCs w:val="20"/>
        </w:rPr>
      </w:pPr>
      <w:r>
        <w:rPr>
          <w:b/>
          <w:i/>
          <w:color w:val="000000"/>
          <w:sz w:val="20"/>
          <w:szCs w:val="20"/>
        </w:rPr>
        <w:t xml:space="preserve">Segment reporting. </w:t>
      </w:r>
      <w:r>
        <w:rPr>
          <w:color w:val="000000"/>
          <w:sz w:val="20"/>
          <w:szCs w:val="20"/>
        </w:rPr>
        <w:t xml:space="preserve">Operating segments are reported in a manner consistent with the internal reporting provided to the Group’s chief operating decision maker. The chief operating decision-maker is responsible for allocating resources and assessing performance of the operating segments. Reportable segments whose revenue, result or assets are ten percent or more of all the segments are reported separately. </w:t>
      </w:r>
    </w:p>
    <w:p w14:paraId="1C7B728D" w14:textId="38E157BB" w:rsidR="008E5DE4" w:rsidRDefault="00780368">
      <w:pPr>
        <w:keepNext/>
        <w:keepLines/>
        <w:widowControl w:val="0"/>
        <w:pBdr>
          <w:top w:val="nil"/>
          <w:left w:val="nil"/>
          <w:bottom w:val="nil"/>
          <w:right w:val="nil"/>
          <w:between w:val="nil"/>
        </w:pBdr>
        <w:spacing w:before="200" w:after="200"/>
        <w:jc w:val="both"/>
        <w:rPr>
          <w:color w:val="000000"/>
          <w:sz w:val="20"/>
          <w:szCs w:val="20"/>
        </w:rPr>
      </w:pPr>
      <w:r>
        <w:rPr>
          <w:color w:val="000000"/>
          <w:sz w:val="20"/>
          <w:szCs w:val="20"/>
        </w:rPr>
        <w:t>Operating segments are components that engage in business activities that may earn revenues or incur expenses, whose operating results are regularly reviewed by the chief operating decision maker (CODM) and for which discrete financial information is available. The CODM is the person or group of persons</w:t>
      </w:r>
      <w:r w:rsidR="004131BB">
        <w:rPr>
          <w:color w:val="000000"/>
          <w:sz w:val="20"/>
          <w:szCs w:val="20"/>
        </w:rPr>
        <w:t xml:space="preserve"> or a function</w:t>
      </w:r>
      <w:r>
        <w:rPr>
          <w:color w:val="000000"/>
          <w:sz w:val="20"/>
          <w:szCs w:val="20"/>
        </w:rPr>
        <w:t xml:space="preserve"> who allocates resources and assesses the performance for the entity. The CODM has been identified as </w:t>
      </w:r>
      <w:r>
        <w:rPr>
          <w:color w:val="0000FF"/>
          <w:sz w:val="20"/>
          <w:szCs w:val="20"/>
        </w:rPr>
        <w:t>[the Board of Directors (the management board)]</w:t>
      </w:r>
      <w:r>
        <w:rPr>
          <w:color w:val="000000"/>
          <w:sz w:val="20"/>
          <w:szCs w:val="20"/>
        </w:rPr>
        <w:t xml:space="preserve"> of the Group. </w:t>
      </w:r>
    </w:p>
    <w:p w14:paraId="46E659E6" w14:textId="77777777" w:rsidR="008E5DE4" w:rsidRDefault="00780368">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(a) </w:t>
      </w:r>
      <w:r>
        <w:rPr>
          <w:b/>
          <w:i/>
          <w:color w:val="000000"/>
          <w:sz w:val="20"/>
          <w:szCs w:val="20"/>
        </w:rPr>
        <w:tab/>
        <w:t>Description of products and services from which each reportable segment derives its revenue</w:t>
      </w:r>
    </w:p>
    <w:p w14:paraId="0E139BC2"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is organised </w:t>
      </w:r>
      <w:proofErr w:type="gramStart"/>
      <w:r>
        <w:rPr>
          <w:color w:val="000000"/>
          <w:sz w:val="20"/>
          <w:szCs w:val="20"/>
        </w:rPr>
        <w:t>on the basis of</w:t>
      </w:r>
      <w:proofErr w:type="gramEnd"/>
      <w:r>
        <w:rPr>
          <w:color w:val="000000"/>
          <w:sz w:val="20"/>
          <w:szCs w:val="20"/>
        </w:rPr>
        <w:t xml:space="preserve"> </w:t>
      </w:r>
      <w:r>
        <w:rPr>
          <w:color w:val="0000FF"/>
          <w:sz w:val="20"/>
          <w:szCs w:val="20"/>
        </w:rPr>
        <w:t>[three]</w:t>
      </w:r>
      <w:r>
        <w:rPr>
          <w:color w:val="000000"/>
          <w:sz w:val="20"/>
          <w:szCs w:val="20"/>
        </w:rPr>
        <w:t xml:space="preserve"> main business segments: </w:t>
      </w:r>
    </w:p>
    <w:p w14:paraId="214B14BB" w14:textId="77777777" w:rsidR="008E5DE4" w:rsidRDefault="00780368">
      <w:pPr>
        <w:widowControl w:val="0"/>
        <w:numPr>
          <w:ilvl w:val="0"/>
          <w:numId w:val="16"/>
        </w:numPr>
        <w:pBdr>
          <w:top w:val="nil"/>
          <w:left w:val="nil"/>
          <w:bottom w:val="nil"/>
          <w:right w:val="nil"/>
          <w:between w:val="nil"/>
        </w:pBdr>
        <w:spacing w:before="100" w:after="100"/>
        <w:jc w:val="both"/>
      </w:pPr>
      <w:r>
        <w:rPr>
          <w:color w:val="0000FF"/>
          <w:sz w:val="20"/>
          <w:szCs w:val="20"/>
        </w:rPr>
        <w:t>[Segment 1]</w:t>
      </w:r>
      <w:r>
        <w:rPr>
          <w:color w:val="000000"/>
          <w:sz w:val="20"/>
          <w:szCs w:val="20"/>
        </w:rPr>
        <w:t xml:space="preserve"> – representing </w:t>
      </w:r>
      <w:r>
        <w:rPr>
          <w:color w:val="0000FF"/>
          <w:sz w:val="20"/>
          <w:szCs w:val="20"/>
        </w:rPr>
        <w:t>[describe products or services, as appropriate</w:t>
      </w:r>
      <w:proofErr w:type="gramStart"/>
      <w:r>
        <w:rPr>
          <w:color w:val="0000FF"/>
          <w:sz w:val="20"/>
          <w:szCs w:val="20"/>
        </w:rPr>
        <w:t>]</w:t>
      </w:r>
      <w:r>
        <w:rPr>
          <w:color w:val="000000"/>
          <w:sz w:val="20"/>
          <w:szCs w:val="20"/>
        </w:rPr>
        <w:t>;</w:t>
      </w:r>
      <w:proofErr w:type="gramEnd"/>
    </w:p>
    <w:p w14:paraId="586706B3" w14:textId="77777777" w:rsidR="008E5DE4" w:rsidRDefault="00780368">
      <w:pPr>
        <w:widowControl w:val="0"/>
        <w:numPr>
          <w:ilvl w:val="0"/>
          <w:numId w:val="16"/>
        </w:numPr>
        <w:pBdr>
          <w:top w:val="nil"/>
          <w:left w:val="nil"/>
          <w:bottom w:val="nil"/>
          <w:right w:val="nil"/>
          <w:between w:val="nil"/>
        </w:pBdr>
        <w:spacing w:before="100" w:after="100"/>
        <w:jc w:val="both"/>
      </w:pPr>
      <w:r>
        <w:rPr>
          <w:color w:val="0000FF"/>
          <w:sz w:val="20"/>
          <w:szCs w:val="20"/>
        </w:rPr>
        <w:t>[Segment 2]</w:t>
      </w:r>
      <w:r>
        <w:rPr>
          <w:color w:val="000000"/>
          <w:sz w:val="20"/>
          <w:szCs w:val="20"/>
        </w:rPr>
        <w:t xml:space="preserve"> – representing </w:t>
      </w:r>
      <w:r>
        <w:rPr>
          <w:color w:val="0000FF"/>
          <w:sz w:val="20"/>
          <w:szCs w:val="20"/>
        </w:rPr>
        <w:t>[describe products or services, as appropriate</w:t>
      </w:r>
      <w:proofErr w:type="gramStart"/>
      <w:r>
        <w:rPr>
          <w:color w:val="0000FF"/>
          <w:sz w:val="20"/>
          <w:szCs w:val="20"/>
        </w:rPr>
        <w:t>]</w:t>
      </w:r>
      <w:r>
        <w:rPr>
          <w:color w:val="000000"/>
          <w:sz w:val="20"/>
          <w:szCs w:val="20"/>
        </w:rPr>
        <w:t>;</w:t>
      </w:r>
      <w:proofErr w:type="gramEnd"/>
    </w:p>
    <w:p w14:paraId="0378E6C9" w14:textId="77777777" w:rsidR="008E5DE4" w:rsidRDefault="00780368">
      <w:pPr>
        <w:widowControl w:val="0"/>
        <w:numPr>
          <w:ilvl w:val="0"/>
          <w:numId w:val="16"/>
        </w:numPr>
        <w:pBdr>
          <w:top w:val="nil"/>
          <w:left w:val="nil"/>
          <w:bottom w:val="nil"/>
          <w:right w:val="nil"/>
          <w:between w:val="nil"/>
        </w:pBdr>
        <w:spacing w:before="100" w:after="100"/>
        <w:jc w:val="both"/>
      </w:pPr>
      <w:r>
        <w:rPr>
          <w:color w:val="0000FF"/>
          <w:sz w:val="20"/>
          <w:szCs w:val="20"/>
        </w:rPr>
        <w:t xml:space="preserve">[Segment 3] </w:t>
      </w:r>
      <w:r>
        <w:rPr>
          <w:color w:val="000000"/>
          <w:sz w:val="20"/>
          <w:szCs w:val="20"/>
        </w:rPr>
        <w:t xml:space="preserve">– representing </w:t>
      </w:r>
      <w:r>
        <w:rPr>
          <w:color w:val="0000FF"/>
          <w:sz w:val="20"/>
          <w:szCs w:val="20"/>
        </w:rPr>
        <w:t>[describe products or services, as appropriate]</w:t>
      </w:r>
      <w:r>
        <w:rPr>
          <w:color w:val="000000"/>
          <w:sz w:val="20"/>
          <w:szCs w:val="20"/>
        </w:rPr>
        <w:t>.</w:t>
      </w:r>
    </w:p>
    <w:p w14:paraId="503A53C2"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(b) </w:t>
      </w:r>
      <w:r>
        <w:rPr>
          <w:b/>
          <w:i/>
          <w:color w:val="000000"/>
          <w:sz w:val="20"/>
          <w:szCs w:val="20"/>
        </w:rPr>
        <w:tab/>
        <w:t>Factors that management used to identify the reportable segments</w:t>
      </w:r>
    </w:p>
    <w:p w14:paraId="68AC0FCB"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Group’s segments are strategic business units that focus on different customers. They are managed separately because each business unit requires different </w:t>
      </w:r>
      <w:r>
        <w:rPr>
          <w:color w:val="0000FF"/>
          <w:sz w:val="20"/>
          <w:szCs w:val="20"/>
        </w:rPr>
        <w:t>[marketing strategies and service levels]</w:t>
      </w:r>
      <w:r>
        <w:rPr>
          <w:color w:val="000000"/>
          <w:sz w:val="20"/>
          <w:szCs w:val="20"/>
        </w:rPr>
        <w:t xml:space="preserve">. </w:t>
      </w:r>
    </w:p>
    <w:p w14:paraId="2BE6C22D"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color w:val="000000"/>
          <w:sz w:val="20"/>
          <w:szCs w:val="20"/>
        </w:rPr>
        <w:t xml:space="preserve">Segment financial information reviewed by the CODM includes </w:t>
      </w:r>
      <w:r>
        <w:rPr>
          <w:color w:val="0000FF"/>
          <w:sz w:val="20"/>
          <w:szCs w:val="20"/>
        </w:rPr>
        <w:t>[fixed assets]</w:t>
      </w:r>
      <w:r>
        <w:rPr>
          <w:color w:val="000000"/>
          <w:sz w:val="20"/>
          <w:szCs w:val="20"/>
        </w:rPr>
        <w:t xml:space="preserve"> of the Group’s subsidiaries, but not their results and other items in the statement of financial position. Regular review of these subsidiaries is delegated to the local management teams. The CODM obtains financial statements of the Group’s subsidiaries. Such financial information overlaps with the segment analysis provided internally to the CODM. Management therefore applied the core principle of IFRS 8, </w:t>
      </w:r>
      <w:r>
        <w:rPr>
          <w:i/>
          <w:color w:val="000000"/>
          <w:sz w:val="20"/>
          <w:szCs w:val="20"/>
        </w:rPr>
        <w:t>Operating Segments</w:t>
      </w:r>
      <w:r>
        <w:rPr>
          <w:color w:val="000000"/>
          <w:sz w:val="20"/>
          <w:szCs w:val="20"/>
        </w:rPr>
        <w:t xml:space="preserve">, in determining which of the overlapping financial information sets should form the basis of operating segments. Management considered that information on subsidiaries is available less frequently in concluding that segments exclude details of the subsidiaries other than information about </w:t>
      </w:r>
      <w:r>
        <w:rPr>
          <w:color w:val="0000FF"/>
          <w:sz w:val="20"/>
          <w:szCs w:val="20"/>
        </w:rPr>
        <w:t>[fixed assets]</w:t>
      </w:r>
      <w:r>
        <w:rPr>
          <w:color w:val="000000"/>
          <w:sz w:val="20"/>
          <w:szCs w:val="20"/>
        </w:rPr>
        <w:t>.</w:t>
      </w:r>
    </w:p>
    <w:p w14:paraId="4EB4139C"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(c) </w:t>
      </w:r>
      <w:r>
        <w:rPr>
          <w:b/>
          <w:i/>
          <w:color w:val="000000"/>
          <w:sz w:val="20"/>
          <w:szCs w:val="20"/>
        </w:rPr>
        <w:tab/>
        <w:t>Measurement of operating segment profit or loss, assets and liabilities</w:t>
      </w:r>
    </w:p>
    <w:p w14:paraId="6D612AA6"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CODM reviews financial information prepared based on </w:t>
      </w:r>
      <w:r>
        <w:rPr>
          <w:color w:val="0000FF"/>
          <w:sz w:val="20"/>
          <w:szCs w:val="20"/>
        </w:rPr>
        <w:t>[Country]</w:t>
      </w:r>
      <w:r>
        <w:rPr>
          <w:color w:val="000000"/>
          <w:sz w:val="20"/>
          <w:szCs w:val="20"/>
        </w:rPr>
        <w:t xml:space="preserve"> accounting standards adjusted to meet the requirements of internal reporting. Such financial information differs in certain aspects from International Financial Reporting Standards: </w:t>
      </w:r>
    </w:p>
    <w:p w14:paraId="43AE207C" w14:textId="77777777" w:rsidR="008E5DE4" w:rsidRDefault="00780368">
      <w:pPr>
        <w:widowControl w:val="0"/>
        <w:numPr>
          <w:ilvl w:val="0"/>
          <w:numId w:val="23"/>
        </w:numPr>
        <w:pBdr>
          <w:top w:val="nil"/>
          <w:left w:val="nil"/>
          <w:bottom w:val="nil"/>
          <w:right w:val="nil"/>
          <w:between w:val="nil"/>
        </w:pBdr>
        <w:spacing w:before="200" w:after="200"/>
        <w:ind w:left="0" w:firstLine="0"/>
        <w:jc w:val="both"/>
        <w:rPr>
          <w:color w:val="000000"/>
          <w:sz w:val="20"/>
          <w:szCs w:val="20"/>
        </w:rPr>
      </w:pPr>
      <w:r>
        <w:rPr>
          <w:color w:val="000000"/>
          <w:sz w:val="20"/>
          <w:szCs w:val="20"/>
        </w:rPr>
        <w:t xml:space="preserve">income taxes are not allocated to </w:t>
      </w:r>
      <w:proofErr w:type="gramStart"/>
      <w:r>
        <w:rPr>
          <w:color w:val="000000"/>
          <w:sz w:val="20"/>
          <w:szCs w:val="20"/>
        </w:rPr>
        <w:t>segments;</w:t>
      </w:r>
      <w:proofErr w:type="gramEnd"/>
    </w:p>
    <w:p w14:paraId="0A210A65" w14:textId="77777777" w:rsidR="008E5DE4" w:rsidRDefault="00780368">
      <w:pPr>
        <w:widowControl w:val="0"/>
        <w:numPr>
          <w:ilvl w:val="0"/>
          <w:numId w:val="23"/>
        </w:numPr>
        <w:pBdr>
          <w:top w:val="nil"/>
          <w:left w:val="nil"/>
          <w:bottom w:val="nil"/>
          <w:right w:val="nil"/>
          <w:between w:val="nil"/>
        </w:pBdr>
        <w:spacing w:before="200" w:after="200"/>
        <w:ind w:left="0" w:firstLine="0"/>
        <w:jc w:val="both"/>
        <w:rPr>
          <w:color w:val="000000"/>
          <w:sz w:val="20"/>
          <w:szCs w:val="20"/>
        </w:rPr>
      </w:pPr>
      <w:r>
        <w:rPr>
          <w:color w:val="000000"/>
          <w:sz w:val="20"/>
          <w:szCs w:val="20"/>
        </w:rPr>
        <w:t xml:space="preserve">liabilities for the Group’s post-employment obligations are not </w:t>
      </w:r>
      <w:proofErr w:type="gramStart"/>
      <w:r>
        <w:rPr>
          <w:color w:val="000000"/>
          <w:sz w:val="20"/>
          <w:szCs w:val="20"/>
        </w:rPr>
        <w:t>recognised;</w:t>
      </w:r>
      <w:proofErr w:type="gramEnd"/>
    </w:p>
    <w:p w14:paraId="309873E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63A302AA" w14:textId="77777777" w:rsidR="008E5DE4" w:rsidRDefault="00780368">
      <w:pPr>
        <w:widowControl w:val="0"/>
        <w:numPr>
          <w:ilvl w:val="0"/>
          <w:numId w:val="23"/>
        </w:numPr>
        <w:pBdr>
          <w:top w:val="nil"/>
          <w:left w:val="nil"/>
          <w:bottom w:val="nil"/>
          <w:right w:val="nil"/>
          <w:between w:val="nil"/>
        </w:pBdr>
        <w:spacing w:before="200" w:after="200"/>
        <w:ind w:left="567" w:hanging="567"/>
        <w:jc w:val="both"/>
        <w:rPr>
          <w:color w:val="000000"/>
          <w:sz w:val="20"/>
          <w:szCs w:val="20"/>
        </w:rPr>
      </w:pPr>
      <w:r>
        <w:rPr>
          <w:color w:val="000000"/>
          <w:sz w:val="20"/>
          <w:szCs w:val="20"/>
        </w:rPr>
        <w:t xml:space="preserve">receivables provisions are recognised based on management judgment and availability of information rather than based on ECL model prescribed in IFRS 9; </w:t>
      </w:r>
      <w:r>
        <w:rPr>
          <w:color w:val="0000FF"/>
          <w:sz w:val="20"/>
          <w:szCs w:val="20"/>
        </w:rPr>
        <w:t>[etc]</w:t>
      </w:r>
    </w:p>
    <w:p w14:paraId="7FAA11DD" w14:textId="77777777" w:rsidR="008E5DE4" w:rsidRDefault="00780368">
      <w:pPr>
        <w:widowControl w:val="0"/>
        <w:spacing w:before="200" w:after="200"/>
        <w:jc w:val="both"/>
        <w:rPr>
          <w:sz w:val="20"/>
          <w:szCs w:val="20"/>
        </w:rPr>
      </w:pPr>
      <w:r>
        <w:rPr>
          <w:sz w:val="20"/>
          <w:szCs w:val="20"/>
        </w:rPr>
        <w:t xml:space="preserve">The CODM evaluates performance of each segment based on </w:t>
      </w:r>
      <w:r>
        <w:rPr>
          <w:color w:val="0000FF"/>
          <w:sz w:val="20"/>
          <w:szCs w:val="20"/>
        </w:rPr>
        <w:t>[profit before tax]</w:t>
      </w:r>
      <w:r>
        <w:rPr>
          <w:sz w:val="20"/>
          <w:szCs w:val="20"/>
        </w:rPr>
        <w:t>.</w:t>
      </w:r>
    </w:p>
    <w:p w14:paraId="3A7C50E2"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 (d) </w:t>
      </w:r>
      <w:r>
        <w:rPr>
          <w:b/>
          <w:i/>
          <w:color w:val="000000"/>
          <w:sz w:val="20"/>
          <w:szCs w:val="20"/>
        </w:rPr>
        <w:tab/>
        <w:t>Information about reportable segment profit or loss, assets and liabilities</w:t>
      </w:r>
    </w:p>
    <w:p w14:paraId="4E37C2D8" w14:textId="3B507E4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Segment information for the reportable segments for the year ended 31 December </w:t>
      </w:r>
      <w:r w:rsidR="008614F8">
        <w:rPr>
          <w:color w:val="000000"/>
          <w:sz w:val="20"/>
          <w:szCs w:val="20"/>
        </w:rPr>
        <w:t>2025</w:t>
      </w:r>
      <w:r>
        <w:rPr>
          <w:color w:val="000000"/>
          <w:sz w:val="20"/>
          <w:szCs w:val="20"/>
        </w:rPr>
        <w:t xml:space="preserve"> is set out below:</w:t>
      </w:r>
    </w:p>
    <w:p w14:paraId="2525C9C3" w14:textId="48A84E08" w:rsidR="00776315" w:rsidRDefault="00776315">
      <w:pPr>
        <w:widowControl w:val="0"/>
        <w:pBdr>
          <w:top w:val="nil"/>
          <w:left w:val="nil"/>
          <w:bottom w:val="nil"/>
          <w:right w:val="nil"/>
          <w:between w:val="nil"/>
        </w:pBdr>
        <w:spacing w:before="200" w:after="200"/>
        <w:jc w:val="both"/>
        <w:rPr>
          <w:i/>
          <w:color w:val="FF0000"/>
          <w:sz w:val="20"/>
          <w:szCs w:val="20"/>
        </w:rPr>
      </w:pPr>
    </w:p>
    <w:tbl>
      <w:tblPr>
        <w:tblStyle w:val="a7"/>
        <w:tblW w:w="8820" w:type="dxa"/>
        <w:tblLayout w:type="fixed"/>
        <w:tblLook w:val="0400" w:firstRow="0" w:lastRow="0" w:firstColumn="0" w:lastColumn="0" w:noHBand="0" w:noVBand="1"/>
      </w:tblPr>
      <w:tblGrid>
        <w:gridCol w:w="2430"/>
        <w:gridCol w:w="1080"/>
        <w:gridCol w:w="1080"/>
        <w:gridCol w:w="90"/>
        <w:gridCol w:w="990"/>
        <w:gridCol w:w="630"/>
        <w:gridCol w:w="1530"/>
        <w:gridCol w:w="990"/>
      </w:tblGrid>
      <w:tr w:rsidR="0016725E" w:rsidRPr="00344DF9" w14:paraId="46161AF7" w14:textId="77777777" w:rsidTr="00150BDF">
        <w:trPr>
          <w:cantSplit/>
        </w:trPr>
        <w:tc>
          <w:tcPr>
            <w:tcW w:w="2430" w:type="dxa"/>
            <w:tcBorders>
              <w:bottom w:val="single" w:sz="4" w:space="0" w:color="000000"/>
            </w:tcBorders>
            <w:vAlign w:val="bottom"/>
          </w:tcPr>
          <w:p w14:paraId="4254AEA2" w14:textId="77777777" w:rsidR="0016725E" w:rsidRPr="00C41B8C" w:rsidRDefault="0016725E" w:rsidP="007A0528">
            <w:pPr>
              <w:widowControl w:val="0"/>
              <w:pBdr>
                <w:top w:val="nil"/>
                <w:left w:val="nil"/>
                <w:bottom w:val="nil"/>
                <w:right w:val="nil"/>
                <w:between w:val="nil"/>
              </w:pBdr>
              <w:ind w:left="113" w:right="-57" w:hanging="113"/>
              <w:rPr>
                <w:i/>
              </w:rPr>
            </w:pPr>
            <w:r w:rsidRPr="00C41B8C">
              <w:rPr>
                <w:i/>
              </w:rPr>
              <w:t>In thousands of EUR</w:t>
            </w:r>
          </w:p>
        </w:tc>
        <w:tc>
          <w:tcPr>
            <w:tcW w:w="1080" w:type="dxa"/>
            <w:tcBorders>
              <w:bottom w:val="single" w:sz="4" w:space="0" w:color="000000"/>
            </w:tcBorders>
          </w:tcPr>
          <w:p w14:paraId="45BC5797" w14:textId="77777777" w:rsidR="0016725E" w:rsidRPr="00EE0312" w:rsidRDefault="0016725E" w:rsidP="007A0528">
            <w:pPr>
              <w:widowControl w:val="0"/>
              <w:ind w:left="-113"/>
              <w:jc w:val="right"/>
              <w:rPr>
                <w:b/>
                <w:color w:val="0000FF"/>
              </w:rPr>
            </w:pPr>
            <w:r w:rsidRPr="00EE0312">
              <w:rPr>
                <w:b/>
                <w:color w:val="0000FF"/>
              </w:rPr>
              <w:t>Segment 1</w:t>
            </w:r>
          </w:p>
        </w:tc>
        <w:tc>
          <w:tcPr>
            <w:tcW w:w="1080" w:type="dxa"/>
            <w:tcBorders>
              <w:bottom w:val="single" w:sz="4" w:space="0" w:color="000000"/>
            </w:tcBorders>
          </w:tcPr>
          <w:p w14:paraId="6579146B" w14:textId="77777777" w:rsidR="0016725E" w:rsidRPr="00EE0312" w:rsidRDefault="0016725E" w:rsidP="007A0528">
            <w:pPr>
              <w:widowControl w:val="0"/>
              <w:ind w:left="-113"/>
              <w:jc w:val="right"/>
              <w:rPr>
                <w:b/>
                <w:color w:val="0000FF"/>
              </w:rPr>
            </w:pPr>
            <w:r w:rsidRPr="00EE0312">
              <w:rPr>
                <w:b/>
                <w:color w:val="0000FF"/>
              </w:rPr>
              <w:t>Segment 2</w:t>
            </w:r>
          </w:p>
        </w:tc>
        <w:tc>
          <w:tcPr>
            <w:tcW w:w="1080" w:type="dxa"/>
            <w:gridSpan w:val="2"/>
            <w:tcBorders>
              <w:bottom w:val="single" w:sz="4" w:space="0" w:color="000000"/>
            </w:tcBorders>
          </w:tcPr>
          <w:p w14:paraId="71114188" w14:textId="77777777" w:rsidR="0016725E" w:rsidRPr="00EE0312" w:rsidRDefault="0016725E" w:rsidP="007A0528">
            <w:pPr>
              <w:widowControl w:val="0"/>
              <w:ind w:left="-113"/>
              <w:jc w:val="right"/>
              <w:rPr>
                <w:b/>
                <w:color w:val="0000FF"/>
              </w:rPr>
            </w:pPr>
            <w:r w:rsidRPr="00EE0312">
              <w:rPr>
                <w:b/>
                <w:color w:val="0000FF"/>
              </w:rPr>
              <w:t>Segment 3</w:t>
            </w:r>
          </w:p>
        </w:tc>
        <w:tc>
          <w:tcPr>
            <w:tcW w:w="630" w:type="dxa"/>
            <w:tcBorders>
              <w:bottom w:val="single" w:sz="4" w:space="0" w:color="000000"/>
            </w:tcBorders>
          </w:tcPr>
          <w:p w14:paraId="3E0BF77E" w14:textId="77777777" w:rsidR="0016725E" w:rsidRPr="00C41B8C" w:rsidRDefault="0016725E" w:rsidP="007A0528">
            <w:pPr>
              <w:widowControl w:val="0"/>
              <w:ind w:left="-113"/>
              <w:jc w:val="right"/>
              <w:rPr>
                <w:b/>
              </w:rPr>
            </w:pPr>
            <w:r w:rsidRPr="00C41B8C">
              <w:rPr>
                <w:b/>
              </w:rPr>
              <w:t>Other</w:t>
            </w:r>
          </w:p>
        </w:tc>
        <w:tc>
          <w:tcPr>
            <w:tcW w:w="1530" w:type="dxa"/>
            <w:tcBorders>
              <w:bottom w:val="single" w:sz="4" w:space="0" w:color="000000"/>
            </w:tcBorders>
          </w:tcPr>
          <w:p w14:paraId="6C2264A1" w14:textId="4EA5931E" w:rsidR="0016725E" w:rsidRPr="00150BDF" w:rsidRDefault="0016725E" w:rsidP="007A0528">
            <w:pPr>
              <w:widowControl w:val="0"/>
              <w:ind w:left="-113"/>
              <w:jc w:val="right"/>
              <w:rPr>
                <w:b/>
              </w:rPr>
            </w:pPr>
            <w:r w:rsidRPr="00C41B8C">
              <w:rPr>
                <w:b/>
              </w:rPr>
              <w:t>Eliminations</w:t>
            </w:r>
          </w:p>
        </w:tc>
        <w:tc>
          <w:tcPr>
            <w:tcW w:w="990" w:type="dxa"/>
            <w:tcBorders>
              <w:bottom w:val="single" w:sz="4" w:space="0" w:color="000000"/>
            </w:tcBorders>
          </w:tcPr>
          <w:p w14:paraId="7E7B55BE" w14:textId="77777777" w:rsidR="0016725E" w:rsidRPr="00150BDF" w:rsidRDefault="0016725E" w:rsidP="007A0528">
            <w:pPr>
              <w:widowControl w:val="0"/>
              <w:ind w:left="-113"/>
              <w:jc w:val="right"/>
              <w:rPr>
                <w:b/>
              </w:rPr>
            </w:pPr>
            <w:r w:rsidRPr="00150BDF">
              <w:rPr>
                <w:b/>
              </w:rPr>
              <w:t>Total</w:t>
            </w:r>
          </w:p>
        </w:tc>
      </w:tr>
      <w:tr w:rsidR="0016725E" w:rsidRPr="00344DF9" w14:paraId="3673C636" w14:textId="77777777" w:rsidTr="00150BDF">
        <w:trPr>
          <w:cantSplit/>
        </w:trPr>
        <w:tc>
          <w:tcPr>
            <w:tcW w:w="2430" w:type="dxa"/>
            <w:tcBorders>
              <w:top w:val="single" w:sz="4" w:space="0" w:color="000000"/>
            </w:tcBorders>
            <w:vAlign w:val="bottom"/>
          </w:tcPr>
          <w:p w14:paraId="5915611A" w14:textId="77777777" w:rsidR="0016725E" w:rsidRPr="00C41B8C" w:rsidRDefault="0016725E" w:rsidP="007A0528">
            <w:pPr>
              <w:widowControl w:val="0"/>
              <w:ind w:left="113" w:right="-57" w:hanging="113"/>
              <w:rPr>
                <w:b/>
              </w:rPr>
            </w:pPr>
            <w:r w:rsidRPr="00C41B8C">
              <w:rPr>
                <w:b/>
              </w:rPr>
              <w:t> </w:t>
            </w:r>
          </w:p>
        </w:tc>
        <w:tc>
          <w:tcPr>
            <w:tcW w:w="1080" w:type="dxa"/>
            <w:tcBorders>
              <w:top w:val="single" w:sz="4" w:space="0" w:color="000000"/>
            </w:tcBorders>
            <w:vAlign w:val="bottom"/>
          </w:tcPr>
          <w:p w14:paraId="243B0773" w14:textId="77777777" w:rsidR="0016725E" w:rsidRPr="00C41B8C" w:rsidRDefault="0016725E" w:rsidP="007A0528">
            <w:pPr>
              <w:widowControl w:val="0"/>
              <w:jc w:val="right"/>
            </w:pPr>
          </w:p>
        </w:tc>
        <w:tc>
          <w:tcPr>
            <w:tcW w:w="1170" w:type="dxa"/>
            <w:gridSpan w:val="2"/>
            <w:tcBorders>
              <w:top w:val="single" w:sz="4" w:space="0" w:color="000000"/>
            </w:tcBorders>
            <w:vAlign w:val="bottom"/>
          </w:tcPr>
          <w:p w14:paraId="07999AED" w14:textId="77777777" w:rsidR="0016725E" w:rsidRPr="00C41B8C" w:rsidRDefault="0016725E" w:rsidP="007A0528">
            <w:pPr>
              <w:widowControl w:val="0"/>
              <w:jc w:val="right"/>
            </w:pPr>
          </w:p>
        </w:tc>
        <w:tc>
          <w:tcPr>
            <w:tcW w:w="990" w:type="dxa"/>
            <w:tcBorders>
              <w:top w:val="single" w:sz="4" w:space="0" w:color="000000"/>
            </w:tcBorders>
            <w:vAlign w:val="bottom"/>
          </w:tcPr>
          <w:p w14:paraId="2AD928E7" w14:textId="77777777" w:rsidR="0016725E" w:rsidRPr="00C41B8C" w:rsidRDefault="0016725E" w:rsidP="007A0528">
            <w:pPr>
              <w:widowControl w:val="0"/>
              <w:jc w:val="right"/>
            </w:pPr>
          </w:p>
        </w:tc>
        <w:tc>
          <w:tcPr>
            <w:tcW w:w="630" w:type="dxa"/>
            <w:tcBorders>
              <w:top w:val="single" w:sz="4" w:space="0" w:color="000000"/>
            </w:tcBorders>
            <w:vAlign w:val="bottom"/>
          </w:tcPr>
          <w:p w14:paraId="6802DF3C" w14:textId="77777777" w:rsidR="0016725E" w:rsidRPr="00C41B8C" w:rsidRDefault="0016725E" w:rsidP="007A0528">
            <w:pPr>
              <w:widowControl w:val="0"/>
              <w:jc w:val="right"/>
            </w:pPr>
          </w:p>
        </w:tc>
        <w:tc>
          <w:tcPr>
            <w:tcW w:w="1530" w:type="dxa"/>
            <w:tcBorders>
              <w:top w:val="single" w:sz="4" w:space="0" w:color="000000"/>
            </w:tcBorders>
            <w:vAlign w:val="bottom"/>
          </w:tcPr>
          <w:p w14:paraId="513AFF46" w14:textId="77777777" w:rsidR="0016725E" w:rsidRPr="00C41B8C" w:rsidRDefault="0016725E" w:rsidP="007A0528">
            <w:pPr>
              <w:widowControl w:val="0"/>
              <w:jc w:val="right"/>
            </w:pPr>
          </w:p>
        </w:tc>
        <w:tc>
          <w:tcPr>
            <w:tcW w:w="990" w:type="dxa"/>
            <w:tcBorders>
              <w:top w:val="single" w:sz="4" w:space="0" w:color="000000"/>
            </w:tcBorders>
            <w:vAlign w:val="bottom"/>
          </w:tcPr>
          <w:p w14:paraId="5F6011A5" w14:textId="77777777" w:rsidR="0016725E" w:rsidRPr="00C41B8C" w:rsidRDefault="0016725E" w:rsidP="007A0528">
            <w:pPr>
              <w:widowControl w:val="0"/>
              <w:jc w:val="right"/>
            </w:pPr>
          </w:p>
        </w:tc>
      </w:tr>
      <w:tr w:rsidR="0016725E" w:rsidRPr="00344DF9" w14:paraId="2DED1E12" w14:textId="77777777" w:rsidTr="00150BDF">
        <w:trPr>
          <w:cantSplit/>
        </w:trPr>
        <w:tc>
          <w:tcPr>
            <w:tcW w:w="2430" w:type="dxa"/>
            <w:vAlign w:val="bottom"/>
          </w:tcPr>
          <w:p w14:paraId="1287DF29" w14:textId="77777777" w:rsidR="0016725E" w:rsidRPr="00150BDF" w:rsidRDefault="0016725E" w:rsidP="007A0528">
            <w:pPr>
              <w:widowControl w:val="0"/>
              <w:ind w:left="113" w:right="-57" w:hanging="113"/>
              <w:rPr>
                <w:b/>
              </w:rPr>
            </w:pPr>
            <w:r w:rsidRPr="00150BDF">
              <w:rPr>
                <w:b/>
              </w:rPr>
              <w:t>2025</w:t>
            </w:r>
          </w:p>
        </w:tc>
        <w:tc>
          <w:tcPr>
            <w:tcW w:w="1080" w:type="dxa"/>
            <w:vAlign w:val="bottom"/>
          </w:tcPr>
          <w:p w14:paraId="0188DDB2" w14:textId="77777777" w:rsidR="0016725E" w:rsidRPr="00150BDF" w:rsidRDefault="0016725E" w:rsidP="007A0528">
            <w:pPr>
              <w:widowControl w:val="0"/>
              <w:jc w:val="right"/>
            </w:pPr>
          </w:p>
        </w:tc>
        <w:tc>
          <w:tcPr>
            <w:tcW w:w="1170" w:type="dxa"/>
            <w:gridSpan w:val="2"/>
            <w:vAlign w:val="bottom"/>
          </w:tcPr>
          <w:p w14:paraId="7AADB92C" w14:textId="77777777" w:rsidR="0016725E" w:rsidRPr="00150BDF" w:rsidRDefault="0016725E" w:rsidP="007A0528">
            <w:pPr>
              <w:widowControl w:val="0"/>
              <w:jc w:val="right"/>
            </w:pPr>
          </w:p>
        </w:tc>
        <w:tc>
          <w:tcPr>
            <w:tcW w:w="990" w:type="dxa"/>
            <w:vAlign w:val="bottom"/>
          </w:tcPr>
          <w:p w14:paraId="75A5C013" w14:textId="77777777" w:rsidR="0016725E" w:rsidRPr="00150BDF" w:rsidRDefault="0016725E" w:rsidP="007A0528">
            <w:pPr>
              <w:widowControl w:val="0"/>
              <w:jc w:val="right"/>
            </w:pPr>
          </w:p>
        </w:tc>
        <w:tc>
          <w:tcPr>
            <w:tcW w:w="630" w:type="dxa"/>
            <w:vAlign w:val="bottom"/>
          </w:tcPr>
          <w:p w14:paraId="72C67E47" w14:textId="77777777" w:rsidR="0016725E" w:rsidRPr="00150BDF" w:rsidRDefault="0016725E" w:rsidP="007A0528">
            <w:pPr>
              <w:widowControl w:val="0"/>
              <w:jc w:val="right"/>
            </w:pPr>
          </w:p>
        </w:tc>
        <w:tc>
          <w:tcPr>
            <w:tcW w:w="1530" w:type="dxa"/>
            <w:vAlign w:val="bottom"/>
          </w:tcPr>
          <w:p w14:paraId="43E760DB" w14:textId="77777777" w:rsidR="0016725E" w:rsidRPr="00150BDF" w:rsidRDefault="0016725E" w:rsidP="007A0528">
            <w:pPr>
              <w:widowControl w:val="0"/>
              <w:jc w:val="right"/>
            </w:pPr>
          </w:p>
        </w:tc>
        <w:tc>
          <w:tcPr>
            <w:tcW w:w="990" w:type="dxa"/>
            <w:vAlign w:val="bottom"/>
          </w:tcPr>
          <w:p w14:paraId="1E7B7D2A" w14:textId="77777777" w:rsidR="0016725E" w:rsidRPr="00150BDF" w:rsidRDefault="0016725E" w:rsidP="007A0528">
            <w:pPr>
              <w:widowControl w:val="0"/>
              <w:jc w:val="right"/>
            </w:pPr>
          </w:p>
        </w:tc>
      </w:tr>
      <w:tr w:rsidR="0016725E" w:rsidRPr="00344DF9" w14:paraId="2A630F92" w14:textId="77777777" w:rsidTr="00150BDF">
        <w:trPr>
          <w:cantSplit/>
        </w:trPr>
        <w:tc>
          <w:tcPr>
            <w:tcW w:w="2430" w:type="dxa"/>
            <w:vAlign w:val="bottom"/>
          </w:tcPr>
          <w:p w14:paraId="7CA765DD" w14:textId="77777777" w:rsidR="0016725E" w:rsidRPr="00150BDF" w:rsidRDefault="0016725E" w:rsidP="007A0528">
            <w:pPr>
              <w:widowControl w:val="0"/>
              <w:pBdr>
                <w:top w:val="nil"/>
                <w:left w:val="nil"/>
                <w:bottom w:val="nil"/>
                <w:right w:val="nil"/>
                <w:between w:val="nil"/>
              </w:pBdr>
              <w:ind w:left="113" w:right="-57" w:hanging="113"/>
            </w:pPr>
            <w:r w:rsidRPr="00150BDF">
              <w:rPr>
                <w:b/>
              </w:rPr>
              <w:t> </w:t>
            </w:r>
          </w:p>
        </w:tc>
        <w:tc>
          <w:tcPr>
            <w:tcW w:w="1080" w:type="dxa"/>
            <w:vAlign w:val="bottom"/>
          </w:tcPr>
          <w:p w14:paraId="3CFBBA82" w14:textId="77777777" w:rsidR="0016725E" w:rsidRPr="00150BDF" w:rsidRDefault="0016725E" w:rsidP="007A0528">
            <w:pPr>
              <w:widowControl w:val="0"/>
              <w:jc w:val="right"/>
            </w:pPr>
          </w:p>
        </w:tc>
        <w:tc>
          <w:tcPr>
            <w:tcW w:w="1170" w:type="dxa"/>
            <w:gridSpan w:val="2"/>
            <w:vAlign w:val="bottom"/>
          </w:tcPr>
          <w:p w14:paraId="202EE45F" w14:textId="77777777" w:rsidR="0016725E" w:rsidRPr="00150BDF" w:rsidRDefault="0016725E" w:rsidP="007A0528">
            <w:pPr>
              <w:widowControl w:val="0"/>
              <w:jc w:val="right"/>
            </w:pPr>
          </w:p>
        </w:tc>
        <w:tc>
          <w:tcPr>
            <w:tcW w:w="990" w:type="dxa"/>
            <w:vAlign w:val="bottom"/>
          </w:tcPr>
          <w:p w14:paraId="41FBCD81" w14:textId="77777777" w:rsidR="0016725E" w:rsidRPr="00150BDF" w:rsidRDefault="0016725E" w:rsidP="007A0528">
            <w:pPr>
              <w:widowControl w:val="0"/>
              <w:jc w:val="right"/>
            </w:pPr>
          </w:p>
        </w:tc>
        <w:tc>
          <w:tcPr>
            <w:tcW w:w="630" w:type="dxa"/>
            <w:vAlign w:val="bottom"/>
          </w:tcPr>
          <w:p w14:paraId="7407A228" w14:textId="77777777" w:rsidR="0016725E" w:rsidRPr="00150BDF" w:rsidRDefault="0016725E" w:rsidP="007A0528">
            <w:pPr>
              <w:widowControl w:val="0"/>
              <w:jc w:val="right"/>
            </w:pPr>
          </w:p>
        </w:tc>
        <w:tc>
          <w:tcPr>
            <w:tcW w:w="1530" w:type="dxa"/>
            <w:vAlign w:val="bottom"/>
          </w:tcPr>
          <w:p w14:paraId="63E4BFA1" w14:textId="77777777" w:rsidR="0016725E" w:rsidRPr="00150BDF" w:rsidRDefault="0016725E" w:rsidP="007A0528">
            <w:pPr>
              <w:widowControl w:val="0"/>
              <w:jc w:val="right"/>
            </w:pPr>
          </w:p>
        </w:tc>
        <w:tc>
          <w:tcPr>
            <w:tcW w:w="990" w:type="dxa"/>
            <w:vAlign w:val="bottom"/>
          </w:tcPr>
          <w:p w14:paraId="5998814B" w14:textId="77777777" w:rsidR="0016725E" w:rsidRPr="00150BDF" w:rsidRDefault="0016725E" w:rsidP="007A0528">
            <w:pPr>
              <w:widowControl w:val="0"/>
              <w:jc w:val="right"/>
            </w:pPr>
          </w:p>
        </w:tc>
      </w:tr>
      <w:tr w:rsidR="0016725E" w:rsidRPr="00344DF9" w14:paraId="576E9AF3" w14:textId="77777777" w:rsidTr="00150BDF">
        <w:trPr>
          <w:cantSplit/>
        </w:trPr>
        <w:tc>
          <w:tcPr>
            <w:tcW w:w="2430" w:type="dxa"/>
            <w:vAlign w:val="bottom"/>
          </w:tcPr>
          <w:p w14:paraId="35591D65" w14:textId="77777777" w:rsidR="0016725E" w:rsidRPr="00150BDF" w:rsidRDefault="0016725E" w:rsidP="007A0528">
            <w:pPr>
              <w:widowControl w:val="0"/>
              <w:pBdr>
                <w:top w:val="nil"/>
                <w:left w:val="nil"/>
                <w:bottom w:val="nil"/>
                <w:right w:val="nil"/>
                <w:between w:val="nil"/>
              </w:pBdr>
              <w:ind w:left="113" w:right="-57" w:hanging="113"/>
            </w:pPr>
            <w:r w:rsidRPr="00150BDF">
              <w:t>External revenues</w:t>
            </w:r>
          </w:p>
        </w:tc>
        <w:tc>
          <w:tcPr>
            <w:tcW w:w="1080" w:type="dxa"/>
            <w:vAlign w:val="bottom"/>
          </w:tcPr>
          <w:p w14:paraId="36C97EDD" w14:textId="77777777" w:rsidR="0016725E" w:rsidRPr="00150BDF" w:rsidRDefault="0016725E" w:rsidP="007A0528">
            <w:pPr>
              <w:widowControl w:val="0"/>
              <w:jc w:val="right"/>
            </w:pPr>
          </w:p>
        </w:tc>
        <w:tc>
          <w:tcPr>
            <w:tcW w:w="1170" w:type="dxa"/>
            <w:gridSpan w:val="2"/>
            <w:vAlign w:val="bottom"/>
          </w:tcPr>
          <w:p w14:paraId="6B14AF96" w14:textId="77777777" w:rsidR="0016725E" w:rsidRPr="00150BDF" w:rsidRDefault="0016725E" w:rsidP="007A0528">
            <w:pPr>
              <w:widowControl w:val="0"/>
              <w:jc w:val="right"/>
            </w:pPr>
          </w:p>
        </w:tc>
        <w:tc>
          <w:tcPr>
            <w:tcW w:w="990" w:type="dxa"/>
            <w:vAlign w:val="bottom"/>
          </w:tcPr>
          <w:p w14:paraId="13A0FC64" w14:textId="77777777" w:rsidR="0016725E" w:rsidRPr="00150BDF" w:rsidRDefault="0016725E" w:rsidP="007A0528">
            <w:pPr>
              <w:widowControl w:val="0"/>
              <w:jc w:val="right"/>
            </w:pPr>
          </w:p>
        </w:tc>
        <w:tc>
          <w:tcPr>
            <w:tcW w:w="630" w:type="dxa"/>
            <w:vAlign w:val="bottom"/>
          </w:tcPr>
          <w:p w14:paraId="21FF3536" w14:textId="77777777" w:rsidR="0016725E" w:rsidRPr="00150BDF" w:rsidRDefault="0016725E" w:rsidP="007A0528">
            <w:pPr>
              <w:widowControl w:val="0"/>
              <w:jc w:val="right"/>
            </w:pPr>
          </w:p>
        </w:tc>
        <w:tc>
          <w:tcPr>
            <w:tcW w:w="1530" w:type="dxa"/>
            <w:vAlign w:val="bottom"/>
          </w:tcPr>
          <w:p w14:paraId="56A92AE3" w14:textId="77777777" w:rsidR="0016725E" w:rsidRPr="00150BDF" w:rsidRDefault="0016725E" w:rsidP="007A0528">
            <w:pPr>
              <w:widowControl w:val="0"/>
              <w:jc w:val="right"/>
            </w:pPr>
          </w:p>
        </w:tc>
        <w:tc>
          <w:tcPr>
            <w:tcW w:w="990" w:type="dxa"/>
            <w:vAlign w:val="bottom"/>
          </w:tcPr>
          <w:p w14:paraId="32DF313D" w14:textId="77777777" w:rsidR="0016725E" w:rsidRPr="00150BDF" w:rsidRDefault="0016725E" w:rsidP="007A0528">
            <w:pPr>
              <w:widowControl w:val="0"/>
              <w:jc w:val="right"/>
            </w:pPr>
          </w:p>
        </w:tc>
      </w:tr>
      <w:tr w:rsidR="0016725E" w:rsidRPr="00344DF9" w14:paraId="563FE70F" w14:textId="77777777" w:rsidTr="00150BDF">
        <w:trPr>
          <w:cantSplit/>
        </w:trPr>
        <w:tc>
          <w:tcPr>
            <w:tcW w:w="2430" w:type="dxa"/>
            <w:vAlign w:val="bottom"/>
          </w:tcPr>
          <w:p w14:paraId="493B31EC" w14:textId="77777777" w:rsidR="0016725E" w:rsidRPr="00150BDF" w:rsidRDefault="0016725E" w:rsidP="007A0528">
            <w:pPr>
              <w:widowControl w:val="0"/>
              <w:pBdr>
                <w:top w:val="nil"/>
                <w:left w:val="nil"/>
                <w:bottom w:val="nil"/>
                <w:right w:val="nil"/>
                <w:between w:val="nil"/>
              </w:pBdr>
              <w:ind w:left="113" w:right="-57" w:hanging="113"/>
            </w:pPr>
            <w:r w:rsidRPr="00150BDF">
              <w:t>- Revenues from core activities</w:t>
            </w:r>
          </w:p>
        </w:tc>
        <w:tc>
          <w:tcPr>
            <w:tcW w:w="1080" w:type="dxa"/>
            <w:vAlign w:val="bottom"/>
          </w:tcPr>
          <w:p w14:paraId="7EF6F5CF" w14:textId="77777777" w:rsidR="0016725E" w:rsidRPr="00150BDF" w:rsidRDefault="0016725E" w:rsidP="007A0528">
            <w:pPr>
              <w:widowControl w:val="0"/>
              <w:jc w:val="right"/>
            </w:pPr>
          </w:p>
        </w:tc>
        <w:tc>
          <w:tcPr>
            <w:tcW w:w="1170" w:type="dxa"/>
            <w:gridSpan w:val="2"/>
            <w:vAlign w:val="bottom"/>
          </w:tcPr>
          <w:p w14:paraId="6341068D" w14:textId="77777777" w:rsidR="0016725E" w:rsidRPr="00150BDF" w:rsidRDefault="0016725E" w:rsidP="007A0528">
            <w:pPr>
              <w:widowControl w:val="0"/>
              <w:jc w:val="right"/>
            </w:pPr>
          </w:p>
        </w:tc>
        <w:tc>
          <w:tcPr>
            <w:tcW w:w="990" w:type="dxa"/>
            <w:vAlign w:val="bottom"/>
          </w:tcPr>
          <w:p w14:paraId="50A52EE8" w14:textId="77777777" w:rsidR="0016725E" w:rsidRPr="00150BDF" w:rsidRDefault="0016725E" w:rsidP="007A0528">
            <w:pPr>
              <w:widowControl w:val="0"/>
              <w:jc w:val="right"/>
            </w:pPr>
          </w:p>
        </w:tc>
        <w:tc>
          <w:tcPr>
            <w:tcW w:w="630" w:type="dxa"/>
            <w:vAlign w:val="bottom"/>
          </w:tcPr>
          <w:p w14:paraId="6C055265" w14:textId="77777777" w:rsidR="0016725E" w:rsidRPr="00150BDF" w:rsidRDefault="0016725E" w:rsidP="007A0528">
            <w:pPr>
              <w:widowControl w:val="0"/>
              <w:jc w:val="right"/>
            </w:pPr>
          </w:p>
        </w:tc>
        <w:tc>
          <w:tcPr>
            <w:tcW w:w="1530" w:type="dxa"/>
            <w:vAlign w:val="bottom"/>
          </w:tcPr>
          <w:p w14:paraId="2336DDE9" w14:textId="77777777" w:rsidR="0016725E" w:rsidRPr="00150BDF" w:rsidRDefault="0016725E" w:rsidP="007A0528">
            <w:pPr>
              <w:widowControl w:val="0"/>
              <w:jc w:val="right"/>
            </w:pPr>
          </w:p>
        </w:tc>
        <w:tc>
          <w:tcPr>
            <w:tcW w:w="990" w:type="dxa"/>
            <w:vAlign w:val="bottom"/>
          </w:tcPr>
          <w:p w14:paraId="0AEBF8CF" w14:textId="77777777" w:rsidR="0016725E" w:rsidRPr="00150BDF" w:rsidRDefault="0016725E" w:rsidP="007A0528">
            <w:pPr>
              <w:widowControl w:val="0"/>
              <w:jc w:val="right"/>
            </w:pPr>
          </w:p>
        </w:tc>
      </w:tr>
      <w:tr w:rsidR="0016725E" w:rsidRPr="00344DF9" w14:paraId="6721AF33" w14:textId="77777777" w:rsidTr="00150BDF">
        <w:trPr>
          <w:cantSplit/>
        </w:trPr>
        <w:tc>
          <w:tcPr>
            <w:tcW w:w="2430" w:type="dxa"/>
            <w:vAlign w:val="bottom"/>
          </w:tcPr>
          <w:p w14:paraId="6C900316" w14:textId="77777777" w:rsidR="0016725E" w:rsidRPr="00C41B8C" w:rsidRDefault="0016725E" w:rsidP="007A0528">
            <w:pPr>
              <w:widowControl w:val="0"/>
              <w:pBdr>
                <w:top w:val="nil"/>
                <w:left w:val="nil"/>
                <w:bottom w:val="nil"/>
                <w:right w:val="nil"/>
                <w:between w:val="nil"/>
              </w:pBdr>
              <w:ind w:left="113" w:right="-57" w:hanging="113"/>
            </w:pPr>
            <w:r w:rsidRPr="00C41B8C">
              <w:t>- Interest income</w:t>
            </w:r>
          </w:p>
        </w:tc>
        <w:tc>
          <w:tcPr>
            <w:tcW w:w="1080" w:type="dxa"/>
            <w:vAlign w:val="bottom"/>
          </w:tcPr>
          <w:p w14:paraId="6BD35E9F" w14:textId="77777777" w:rsidR="0016725E" w:rsidRPr="00C41B8C" w:rsidRDefault="0016725E" w:rsidP="007A0528">
            <w:pPr>
              <w:widowControl w:val="0"/>
              <w:jc w:val="right"/>
            </w:pPr>
          </w:p>
        </w:tc>
        <w:tc>
          <w:tcPr>
            <w:tcW w:w="1170" w:type="dxa"/>
            <w:gridSpan w:val="2"/>
            <w:vAlign w:val="bottom"/>
          </w:tcPr>
          <w:p w14:paraId="26E1EEE0" w14:textId="77777777" w:rsidR="0016725E" w:rsidRPr="00C41B8C" w:rsidRDefault="0016725E" w:rsidP="007A0528">
            <w:pPr>
              <w:widowControl w:val="0"/>
              <w:jc w:val="right"/>
            </w:pPr>
          </w:p>
        </w:tc>
        <w:tc>
          <w:tcPr>
            <w:tcW w:w="990" w:type="dxa"/>
            <w:vAlign w:val="bottom"/>
          </w:tcPr>
          <w:p w14:paraId="4495DD9E" w14:textId="77777777" w:rsidR="0016725E" w:rsidRPr="00C41B8C" w:rsidRDefault="0016725E" w:rsidP="007A0528">
            <w:pPr>
              <w:widowControl w:val="0"/>
              <w:jc w:val="right"/>
            </w:pPr>
          </w:p>
        </w:tc>
        <w:tc>
          <w:tcPr>
            <w:tcW w:w="630" w:type="dxa"/>
            <w:vAlign w:val="bottom"/>
          </w:tcPr>
          <w:p w14:paraId="4463D2DC" w14:textId="77777777" w:rsidR="0016725E" w:rsidRPr="00C41B8C" w:rsidRDefault="0016725E" w:rsidP="007A0528">
            <w:pPr>
              <w:widowControl w:val="0"/>
              <w:jc w:val="right"/>
            </w:pPr>
          </w:p>
        </w:tc>
        <w:tc>
          <w:tcPr>
            <w:tcW w:w="1530" w:type="dxa"/>
            <w:vAlign w:val="bottom"/>
          </w:tcPr>
          <w:p w14:paraId="449D214E" w14:textId="77777777" w:rsidR="0016725E" w:rsidRPr="00C41B8C" w:rsidRDefault="0016725E" w:rsidP="007A0528">
            <w:pPr>
              <w:widowControl w:val="0"/>
              <w:jc w:val="right"/>
            </w:pPr>
          </w:p>
        </w:tc>
        <w:tc>
          <w:tcPr>
            <w:tcW w:w="990" w:type="dxa"/>
            <w:vAlign w:val="bottom"/>
          </w:tcPr>
          <w:p w14:paraId="5B138FF1" w14:textId="77777777" w:rsidR="0016725E" w:rsidRPr="00C41B8C" w:rsidRDefault="0016725E" w:rsidP="007A0528">
            <w:pPr>
              <w:widowControl w:val="0"/>
              <w:jc w:val="right"/>
            </w:pPr>
          </w:p>
        </w:tc>
      </w:tr>
      <w:tr w:rsidR="0016725E" w:rsidRPr="00344DF9" w14:paraId="65FFA4D6" w14:textId="77777777" w:rsidTr="00150BDF">
        <w:trPr>
          <w:cantSplit/>
        </w:trPr>
        <w:tc>
          <w:tcPr>
            <w:tcW w:w="2430" w:type="dxa"/>
            <w:vAlign w:val="bottom"/>
          </w:tcPr>
          <w:p w14:paraId="124B339D" w14:textId="77777777" w:rsidR="0016725E" w:rsidRPr="00C41B8C" w:rsidRDefault="0016725E" w:rsidP="007A0528">
            <w:pPr>
              <w:widowControl w:val="0"/>
              <w:pBdr>
                <w:top w:val="nil"/>
                <w:left w:val="nil"/>
                <w:bottom w:val="nil"/>
                <w:right w:val="nil"/>
                <w:between w:val="nil"/>
              </w:pBdr>
              <w:ind w:left="113" w:right="-57" w:hanging="113"/>
            </w:pPr>
            <w:r w:rsidRPr="00C41B8C">
              <w:t>- Other income</w:t>
            </w:r>
          </w:p>
        </w:tc>
        <w:tc>
          <w:tcPr>
            <w:tcW w:w="1080" w:type="dxa"/>
            <w:vAlign w:val="bottom"/>
          </w:tcPr>
          <w:p w14:paraId="6A07B9B7" w14:textId="77777777" w:rsidR="0016725E" w:rsidRPr="00C41B8C" w:rsidRDefault="0016725E" w:rsidP="007A0528">
            <w:pPr>
              <w:widowControl w:val="0"/>
              <w:jc w:val="right"/>
            </w:pPr>
          </w:p>
        </w:tc>
        <w:tc>
          <w:tcPr>
            <w:tcW w:w="1170" w:type="dxa"/>
            <w:gridSpan w:val="2"/>
            <w:vAlign w:val="bottom"/>
          </w:tcPr>
          <w:p w14:paraId="456C9DB6" w14:textId="77777777" w:rsidR="0016725E" w:rsidRPr="00C41B8C" w:rsidRDefault="0016725E" w:rsidP="007A0528">
            <w:pPr>
              <w:widowControl w:val="0"/>
              <w:jc w:val="right"/>
            </w:pPr>
          </w:p>
        </w:tc>
        <w:tc>
          <w:tcPr>
            <w:tcW w:w="990" w:type="dxa"/>
            <w:vAlign w:val="bottom"/>
          </w:tcPr>
          <w:p w14:paraId="72EB2F19" w14:textId="77777777" w:rsidR="0016725E" w:rsidRPr="00C41B8C" w:rsidRDefault="0016725E" w:rsidP="007A0528">
            <w:pPr>
              <w:widowControl w:val="0"/>
              <w:jc w:val="right"/>
            </w:pPr>
          </w:p>
        </w:tc>
        <w:tc>
          <w:tcPr>
            <w:tcW w:w="630" w:type="dxa"/>
            <w:vAlign w:val="bottom"/>
          </w:tcPr>
          <w:p w14:paraId="437AC612" w14:textId="77777777" w:rsidR="0016725E" w:rsidRPr="00C41B8C" w:rsidRDefault="0016725E" w:rsidP="007A0528">
            <w:pPr>
              <w:widowControl w:val="0"/>
              <w:jc w:val="right"/>
            </w:pPr>
          </w:p>
        </w:tc>
        <w:tc>
          <w:tcPr>
            <w:tcW w:w="1530" w:type="dxa"/>
            <w:vAlign w:val="bottom"/>
          </w:tcPr>
          <w:p w14:paraId="580D8145" w14:textId="77777777" w:rsidR="0016725E" w:rsidRPr="00C41B8C" w:rsidRDefault="0016725E" w:rsidP="007A0528">
            <w:pPr>
              <w:widowControl w:val="0"/>
              <w:jc w:val="right"/>
            </w:pPr>
          </w:p>
        </w:tc>
        <w:tc>
          <w:tcPr>
            <w:tcW w:w="990" w:type="dxa"/>
            <w:vAlign w:val="bottom"/>
          </w:tcPr>
          <w:p w14:paraId="19252104" w14:textId="77777777" w:rsidR="0016725E" w:rsidRPr="00C41B8C" w:rsidRDefault="0016725E" w:rsidP="007A0528">
            <w:pPr>
              <w:widowControl w:val="0"/>
              <w:jc w:val="right"/>
            </w:pPr>
          </w:p>
        </w:tc>
      </w:tr>
      <w:tr w:rsidR="0016725E" w:rsidRPr="00344DF9" w14:paraId="5DBE3602" w14:textId="77777777" w:rsidTr="00150BDF">
        <w:trPr>
          <w:cantSplit/>
        </w:trPr>
        <w:tc>
          <w:tcPr>
            <w:tcW w:w="2430" w:type="dxa"/>
            <w:vAlign w:val="bottom"/>
          </w:tcPr>
          <w:p w14:paraId="1B638833" w14:textId="77777777" w:rsidR="0016725E" w:rsidRPr="00C41B8C" w:rsidRDefault="0016725E" w:rsidP="007A0528">
            <w:pPr>
              <w:widowControl w:val="0"/>
              <w:pBdr>
                <w:top w:val="nil"/>
                <w:left w:val="nil"/>
                <w:bottom w:val="nil"/>
                <w:right w:val="nil"/>
                <w:between w:val="nil"/>
              </w:pBdr>
              <w:ind w:left="113" w:right="-57" w:hanging="113"/>
            </w:pPr>
            <w:r w:rsidRPr="00C41B8C">
              <w:rPr>
                <w:b/>
              </w:rPr>
              <w:t> </w:t>
            </w:r>
          </w:p>
        </w:tc>
        <w:tc>
          <w:tcPr>
            <w:tcW w:w="1080" w:type="dxa"/>
            <w:vAlign w:val="bottom"/>
          </w:tcPr>
          <w:p w14:paraId="546CD9ED" w14:textId="77777777" w:rsidR="0016725E" w:rsidRPr="00C41B8C" w:rsidRDefault="0016725E" w:rsidP="007A0528">
            <w:pPr>
              <w:widowControl w:val="0"/>
              <w:jc w:val="right"/>
            </w:pPr>
          </w:p>
        </w:tc>
        <w:tc>
          <w:tcPr>
            <w:tcW w:w="1170" w:type="dxa"/>
            <w:gridSpan w:val="2"/>
            <w:vAlign w:val="bottom"/>
          </w:tcPr>
          <w:p w14:paraId="6EF14B49" w14:textId="77777777" w:rsidR="0016725E" w:rsidRPr="00C41B8C" w:rsidRDefault="0016725E" w:rsidP="007A0528">
            <w:pPr>
              <w:widowControl w:val="0"/>
              <w:jc w:val="right"/>
            </w:pPr>
          </w:p>
        </w:tc>
        <w:tc>
          <w:tcPr>
            <w:tcW w:w="990" w:type="dxa"/>
            <w:vAlign w:val="bottom"/>
          </w:tcPr>
          <w:p w14:paraId="39E228D4" w14:textId="77777777" w:rsidR="0016725E" w:rsidRPr="00C41B8C" w:rsidRDefault="0016725E" w:rsidP="007A0528">
            <w:pPr>
              <w:widowControl w:val="0"/>
              <w:jc w:val="right"/>
            </w:pPr>
          </w:p>
        </w:tc>
        <w:tc>
          <w:tcPr>
            <w:tcW w:w="630" w:type="dxa"/>
            <w:vAlign w:val="bottom"/>
          </w:tcPr>
          <w:p w14:paraId="344529DA" w14:textId="77777777" w:rsidR="0016725E" w:rsidRPr="00C41B8C" w:rsidRDefault="0016725E" w:rsidP="007A0528">
            <w:pPr>
              <w:widowControl w:val="0"/>
              <w:jc w:val="right"/>
            </w:pPr>
          </w:p>
        </w:tc>
        <w:tc>
          <w:tcPr>
            <w:tcW w:w="1530" w:type="dxa"/>
            <w:vAlign w:val="bottom"/>
          </w:tcPr>
          <w:p w14:paraId="5C636C0E" w14:textId="77777777" w:rsidR="0016725E" w:rsidRPr="00C41B8C" w:rsidRDefault="0016725E" w:rsidP="007A0528">
            <w:pPr>
              <w:widowControl w:val="0"/>
              <w:jc w:val="right"/>
            </w:pPr>
          </w:p>
        </w:tc>
        <w:tc>
          <w:tcPr>
            <w:tcW w:w="990" w:type="dxa"/>
            <w:vAlign w:val="bottom"/>
          </w:tcPr>
          <w:p w14:paraId="6D354972" w14:textId="77777777" w:rsidR="0016725E" w:rsidRPr="00C41B8C" w:rsidRDefault="0016725E" w:rsidP="007A0528">
            <w:pPr>
              <w:widowControl w:val="0"/>
              <w:jc w:val="right"/>
            </w:pPr>
          </w:p>
        </w:tc>
      </w:tr>
      <w:tr w:rsidR="0016725E" w:rsidRPr="00344DF9" w14:paraId="3D23C113" w14:textId="77777777" w:rsidTr="00150BDF">
        <w:trPr>
          <w:cantSplit/>
        </w:trPr>
        <w:tc>
          <w:tcPr>
            <w:tcW w:w="2430" w:type="dxa"/>
            <w:vAlign w:val="bottom"/>
          </w:tcPr>
          <w:p w14:paraId="652AC9F5" w14:textId="77777777" w:rsidR="0016725E" w:rsidRPr="00C41B8C" w:rsidRDefault="0016725E" w:rsidP="007A0528">
            <w:pPr>
              <w:widowControl w:val="0"/>
              <w:pBdr>
                <w:top w:val="nil"/>
                <w:left w:val="nil"/>
                <w:bottom w:val="nil"/>
                <w:right w:val="nil"/>
                <w:between w:val="nil"/>
              </w:pBdr>
              <w:ind w:left="113" w:right="-57" w:hanging="113"/>
            </w:pPr>
            <w:r w:rsidRPr="00C41B8C">
              <w:t>Inter-segment revenues</w:t>
            </w:r>
          </w:p>
        </w:tc>
        <w:tc>
          <w:tcPr>
            <w:tcW w:w="1080" w:type="dxa"/>
            <w:vAlign w:val="bottom"/>
          </w:tcPr>
          <w:p w14:paraId="3592B70A" w14:textId="77777777" w:rsidR="0016725E" w:rsidRPr="00C41B8C" w:rsidRDefault="0016725E" w:rsidP="007A0528">
            <w:pPr>
              <w:widowControl w:val="0"/>
              <w:jc w:val="right"/>
            </w:pPr>
          </w:p>
        </w:tc>
        <w:tc>
          <w:tcPr>
            <w:tcW w:w="1170" w:type="dxa"/>
            <w:gridSpan w:val="2"/>
            <w:vAlign w:val="bottom"/>
          </w:tcPr>
          <w:p w14:paraId="5884B7D9" w14:textId="77777777" w:rsidR="0016725E" w:rsidRPr="00C41B8C" w:rsidRDefault="0016725E" w:rsidP="007A0528">
            <w:pPr>
              <w:widowControl w:val="0"/>
              <w:jc w:val="right"/>
            </w:pPr>
          </w:p>
        </w:tc>
        <w:tc>
          <w:tcPr>
            <w:tcW w:w="990" w:type="dxa"/>
            <w:vAlign w:val="bottom"/>
          </w:tcPr>
          <w:p w14:paraId="768DE907" w14:textId="77777777" w:rsidR="0016725E" w:rsidRPr="00C41B8C" w:rsidRDefault="0016725E" w:rsidP="007A0528">
            <w:pPr>
              <w:widowControl w:val="0"/>
              <w:jc w:val="right"/>
            </w:pPr>
          </w:p>
        </w:tc>
        <w:tc>
          <w:tcPr>
            <w:tcW w:w="630" w:type="dxa"/>
            <w:vAlign w:val="bottom"/>
          </w:tcPr>
          <w:p w14:paraId="3D31B2A5" w14:textId="77777777" w:rsidR="0016725E" w:rsidRPr="00C41B8C" w:rsidRDefault="0016725E" w:rsidP="007A0528">
            <w:pPr>
              <w:widowControl w:val="0"/>
              <w:jc w:val="right"/>
            </w:pPr>
          </w:p>
        </w:tc>
        <w:tc>
          <w:tcPr>
            <w:tcW w:w="1530" w:type="dxa"/>
            <w:vAlign w:val="bottom"/>
          </w:tcPr>
          <w:p w14:paraId="369F3C95" w14:textId="77777777" w:rsidR="0016725E" w:rsidRPr="00C41B8C" w:rsidRDefault="0016725E" w:rsidP="007A0528">
            <w:pPr>
              <w:widowControl w:val="0"/>
              <w:jc w:val="right"/>
            </w:pPr>
          </w:p>
        </w:tc>
        <w:tc>
          <w:tcPr>
            <w:tcW w:w="990" w:type="dxa"/>
            <w:vAlign w:val="bottom"/>
          </w:tcPr>
          <w:p w14:paraId="15E3F566" w14:textId="77777777" w:rsidR="0016725E" w:rsidRPr="00C41B8C" w:rsidRDefault="0016725E" w:rsidP="007A0528">
            <w:pPr>
              <w:widowControl w:val="0"/>
              <w:jc w:val="right"/>
            </w:pPr>
          </w:p>
        </w:tc>
      </w:tr>
      <w:tr w:rsidR="0016725E" w:rsidRPr="00344DF9" w14:paraId="089CA107" w14:textId="77777777" w:rsidTr="00150BDF">
        <w:trPr>
          <w:cantSplit/>
        </w:trPr>
        <w:tc>
          <w:tcPr>
            <w:tcW w:w="2430" w:type="dxa"/>
            <w:vAlign w:val="bottom"/>
          </w:tcPr>
          <w:p w14:paraId="1FB2D8A9" w14:textId="77777777" w:rsidR="0016725E" w:rsidRPr="00C41B8C" w:rsidRDefault="0016725E" w:rsidP="007A0528">
            <w:pPr>
              <w:widowControl w:val="0"/>
              <w:pBdr>
                <w:top w:val="nil"/>
                <w:left w:val="nil"/>
                <w:bottom w:val="nil"/>
                <w:right w:val="nil"/>
                <w:between w:val="nil"/>
              </w:pBdr>
              <w:ind w:left="113" w:right="-57" w:hanging="113"/>
            </w:pPr>
            <w:r w:rsidRPr="00C41B8C">
              <w:t>- Revenues from core activities</w:t>
            </w:r>
          </w:p>
        </w:tc>
        <w:tc>
          <w:tcPr>
            <w:tcW w:w="1080" w:type="dxa"/>
            <w:vAlign w:val="bottom"/>
          </w:tcPr>
          <w:p w14:paraId="2B2E8E4F" w14:textId="77777777" w:rsidR="0016725E" w:rsidRPr="00C41B8C" w:rsidRDefault="0016725E" w:rsidP="007A0528">
            <w:pPr>
              <w:widowControl w:val="0"/>
              <w:jc w:val="right"/>
            </w:pPr>
          </w:p>
        </w:tc>
        <w:tc>
          <w:tcPr>
            <w:tcW w:w="1170" w:type="dxa"/>
            <w:gridSpan w:val="2"/>
            <w:vAlign w:val="bottom"/>
          </w:tcPr>
          <w:p w14:paraId="3416280B" w14:textId="77777777" w:rsidR="0016725E" w:rsidRPr="00C41B8C" w:rsidRDefault="0016725E" w:rsidP="007A0528">
            <w:pPr>
              <w:widowControl w:val="0"/>
              <w:jc w:val="right"/>
            </w:pPr>
          </w:p>
        </w:tc>
        <w:tc>
          <w:tcPr>
            <w:tcW w:w="990" w:type="dxa"/>
            <w:vAlign w:val="bottom"/>
          </w:tcPr>
          <w:p w14:paraId="510B0271" w14:textId="77777777" w:rsidR="0016725E" w:rsidRPr="00C41B8C" w:rsidRDefault="0016725E" w:rsidP="007A0528">
            <w:pPr>
              <w:widowControl w:val="0"/>
              <w:jc w:val="right"/>
            </w:pPr>
          </w:p>
        </w:tc>
        <w:tc>
          <w:tcPr>
            <w:tcW w:w="630" w:type="dxa"/>
            <w:vAlign w:val="bottom"/>
          </w:tcPr>
          <w:p w14:paraId="2E6977BA" w14:textId="77777777" w:rsidR="0016725E" w:rsidRPr="00C41B8C" w:rsidRDefault="0016725E" w:rsidP="007A0528">
            <w:pPr>
              <w:widowControl w:val="0"/>
              <w:jc w:val="right"/>
            </w:pPr>
          </w:p>
        </w:tc>
        <w:tc>
          <w:tcPr>
            <w:tcW w:w="1530" w:type="dxa"/>
            <w:vAlign w:val="bottom"/>
          </w:tcPr>
          <w:p w14:paraId="1F22E9C6" w14:textId="77777777" w:rsidR="0016725E" w:rsidRPr="00C41B8C" w:rsidRDefault="0016725E" w:rsidP="007A0528">
            <w:pPr>
              <w:widowControl w:val="0"/>
              <w:jc w:val="right"/>
            </w:pPr>
          </w:p>
        </w:tc>
        <w:tc>
          <w:tcPr>
            <w:tcW w:w="990" w:type="dxa"/>
            <w:vAlign w:val="bottom"/>
          </w:tcPr>
          <w:p w14:paraId="196F042F" w14:textId="77777777" w:rsidR="0016725E" w:rsidRPr="00C41B8C" w:rsidRDefault="0016725E" w:rsidP="007A0528">
            <w:pPr>
              <w:widowControl w:val="0"/>
              <w:jc w:val="right"/>
            </w:pPr>
          </w:p>
        </w:tc>
      </w:tr>
      <w:tr w:rsidR="0016725E" w:rsidRPr="00344DF9" w14:paraId="6CA9FAD9" w14:textId="77777777" w:rsidTr="00150BDF">
        <w:trPr>
          <w:cantSplit/>
        </w:trPr>
        <w:tc>
          <w:tcPr>
            <w:tcW w:w="2430" w:type="dxa"/>
            <w:vAlign w:val="bottom"/>
          </w:tcPr>
          <w:p w14:paraId="7BDA397E" w14:textId="77777777" w:rsidR="0016725E" w:rsidRPr="00C41B8C" w:rsidRDefault="0016725E" w:rsidP="007A0528">
            <w:pPr>
              <w:widowControl w:val="0"/>
              <w:pBdr>
                <w:top w:val="nil"/>
                <w:left w:val="nil"/>
                <w:bottom w:val="nil"/>
                <w:right w:val="nil"/>
                <w:between w:val="nil"/>
              </w:pBdr>
              <w:ind w:left="113" w:right="-57" w:hanging="113"/>
            </w:pPr>
            <w:r w:rsidRPr="00C41B8C">
              <w:t>- Interest income</w:t>
            </w:r>
          </w:p>
        </w:tc>
        <w:tc>
          <w:tcPr>
            <w:tcW w:w="1080" w:type="dxa"/>
            <w:vAlign w:val="bottom"/>
          </w:tcPr>
          <w:p w14:paraId="7DDCA090" w14:textId="77777777" w:rsidR="0016725E" w:rsidRPr="00C41B8C" w:rsidRDefault="0016725E" w:rsidP="007A0528">
            <w:pPr>
              <w:widowControl w:val="0"/>
              <w:jc w:val="right"/>
            </w:pPr>
          </w:p>
        </w:tc>
        <w:tc>
          <w:tcPr>
            <w:tcW w:w="1170" w:type="dxa"/>
            <w:gridSpan w:val="2"/>
            <w:vAlign w:val="bottom"/>
          </w:tcPr>
          <w:p w14:paraId="1408B604" w14:textId="77777777" w:rsidR="0016725E" w:rsidRPr="00C41B8C" w:rsidRDefault="0016725E" w:rsidP="007A0528">
            <w:pPr>
              <w:widowControl w:val="0"/>
              <w:jc w:val="right"/>
            </w:pPr>
          </w:p>
        </w:tc>
        <w:tc>
          <w:tcPr>
            <w:tcW w:w="990" w:type="dxa"/>
            <w:vAlign w:val="bottom"/>
          </w:tcPr>
          <w:p w14:paraId="2D3B7B1D" w14:textId="77777777" w:rsidR="0016725E" w:rsidRPr="00C41B8C" w:rsidRDefault="0016725E" w:rsidP="007A0528">
            <w:pPr>
              <w:widowControl w:val="0"/>
              <w:jc w:val="right"/>
            </w:pPr>
          </w:p>
        </w:tc>
        <w:tc>
          <w:tcPr>
            <w:tcW w:w="630" w:type="dxa"/>
            <w:vAlign w:val="bottom"/>
          </w:tcPr>
          <w:p w14:paraId="5DEEE232" w14:textId="77777777" w:rsidR="0016725E" w:rsidRPr="00C41B8C" w:rsidRDefault="0016725E" w:rsidP="007A0528">
            <w:pPr>
              <w:widowControl w:val="0"/>
              <w:jc w:val="right"/>
            </w:pPr>
          </w:p>
        </w:tc>
        <w:tc>
          <w:tcPr>
            <w:tcW w:w="1530" w:type="dxa"/>
            <w:vAlign w:val="bottom"/>
          </w:tcPr>
          <w:p w14:paraId="30689020" w14:textId="77777777" w:rsidR="0016725E" w:rsidRPr="00C41B8C" w:rsidRDefault="0016725E" w:rsidP="007A0528">
            <w:pPr>
              <w:widowControl w:val="0"/>
              <w:jc w:val="right"/>
            </w:pPr>
          </w:p>
        </w:tc>
        <w:tc>
          <w:tcPr>
            <w:tcW w:w="990" w:type="dxa"/>
            <w:vAlign w:val="bottom"/>
          </w:tcPr>
          <w:p w14:paraId="366DEE0C" w14:textId="77777777" w:rsidR="0016725E" w:rsidRPr="00C41B8C" w:rsidRDefault="0016725E" w:rsidP="007A0528">
            <w:pPr>
              <w:widowControl w:val="0"/>
              <w:jc w:val="right"/>
            </w:pPr>
          </w:p>
        </w:tc>
      </w:tr>
      <w:tr w:rsidR="0016725E" w:rsidRPr="00344DF9" w14:paraId="403B2256" w14:textId="77777777" w:rsidTr="00150BDF">
        <w:trPr>
          <w:cantSplit/>
        </w:trPr>
        <w:tc>
          <w:tcPr>
            <w:tcW w:w="2430" w:type="dxa"/>
            <w:vAlign w:val="bottom"/>
          </w:tcPr>
          <w:p w14:paraId="50094C52" w14:textId="77777777" w:rsidR="0016725E" w:rsidRPr="00150BDF" w:rsidRDefault="0016725E" w:rsidP="007A0528">
            <w:pPr>
              <w:widowControl w:val="0"/>
              <w:pBdr>
                <w:top w:val="nil"/>
                <w:left w:val="nil"/>
                <w:bottom w:val="nil"/>
                <w:right w:val="nil"/>
                <w:between w:val="nil"/>
              </w:pBdr>
              <w:ind w:left="113" w:right="-57" w:hanging="113"/>
            </w:pPr>
            <w:r w:rsidRPr="00150BDF">
              <w:t>- Other income</w:t>
            </w:r>
          </w:p>
        </w:tc>
        <w:tc>
          <w:tcPr>
            <w:tcW w:w="1080" w:type="dxa"/>
            <w:vAlign w:val="bottom"/>
          </w:tcPr>
          <w:p w14:paraId="0FC1B870" w14:textId="77777777" w:rsidR="0016725E" w:rsidRPr="00150BDF" w:rsidRDefault="0016725E" w:rsidP="007A0528">
            <w:pPr>
              <w:widowControl w:val="0"/>
              <w:jc w:val="right"/>
            </w:pPr>
          </w:p>
        </w:tc>
        <w:tc>
          <w:tcPr>
            <w:tcW w:w="1170" w:type="dxa"/>
            <w:gridSpan w:val="2"/>
            <w:vAlign w:val="bottom"/>
          </w:tcPr>
          <w:p w14:paraId="15CD6194" w14:textId="77777777" w:rsidR="0016725E" w:rsidRPr="00150BDF" w:rsidRDefault="0016725E" w:rsidP="007A0528">
            <w:pPr>
              <w:widowControl w:val="0"/>
              <w:jc w:val="right"/>
            </w:pPr>
          </w:p>
        </w:tc>
        <w:tc>
          <w:tcPr>
            <w:tcW w:w="990" w:type="dxa"/>
            <w:vAlign w:val="bottom"/>
          </w:tcPr>
          <w:p w14:paraId="032529C9" w14:textId="77777777" w:rsidR="0016725E" w:rsidRPr="00150BDF" w:rsidRDefault="0016725E" w:rsidP="007A0528">
            <w:pPr>
              <w:widowControl w:val="0"/>
              <w:jc w:val="right"/>
            </w:pPr>
          </w:p>
        </w:tc>
        <w:tc>
          <w:tcPr>
            <w:tcW w:w="630" w:type="dxa"/>
            <w:vAlign w:val="bottom"/>
          </w:tcPr>
          <w:p w14:paraId="43C0AE47" w14:textId="77777777" w:rsidR="0016725E" w:rsidRPr="00150BDF" w:rsidRDefault="0016725E" w:rsidP="007A0528">
            <w:pPr>
              <w:widowControl w:val="0"/>
              <w:jc w:val="right"/>
            </w:pPr>
          </w:p>
        </w:tc>
        <w:tc>
          <w:tcPr>
            <w:tcW w:w="1530" w:type="dxa"/>
            <w:vAlign w:val="bottom"/>
          </w:tcPr>
          <w:p w14:paraId="51EAC4B8" w14:textId="77777777" w:rsidR="0016725E" w:rsidRPr="00150BDF" w:rsidRDefault="0016725E" w:rsidP="007A0528">
            <w:pPr>
              <w:widowControl w:val="0"/>
              <w:jc w:val="right"/>
            </w:pPr>
          </w:p>
        </w:tc>
        <w:tc>
          <w:tcPr>
            <w:tcW w:w="990" w:type="dxa"/>
            <w:vAlign w:val="bottom"/>
          </w:tcPr>
          <w:p w14:paraId="3689990A" w14:textId="77777777" w:rsidR="0016725E" w:rsidRPr="00150BDF" w:rsidRDefault="0016725E" w:rsidP="007A0528">
            <w:pPr>
              <w:widowControl w:val="0"/>
              <w:jc w:val="right"/>
            </w:pPr>
          </w:p>
        </w:tc>
      </w:tr>
      <w:tr w:rsidR="0016725E" w:rsidRPr="00344DF9" w14:paraId="306A790E" w14:textId="77777777" w:rsidTr="00150BDF">
        <w:trPr>
          <w:cantSplit/>
        </w:trPr>
        <w:tc>
          <w:tcPr>
            <w:tcW w:w="2430" w:type="dxa"/>
            <w:tcBorders>
              <w:bottom w:val="single" w:sz="4" w:space="0" w:color="000000"/>
            </w:tcBorders>
            <w:vAlign w:val="bottom"/>
          </w:tcPr>
          <w:p w14:paraId="37A116EF" w14:textId="77777777" w:rsidR="0016725E" w:rsidRPr="00150BDF" w:rsidRDefault="0016725E" w:rsidP="007A0528">
            <w:pPr>
              <w:widowControl w:val="0"/>
              <w:pBdr>
                <w:top w:val="nil"/>
                <w:left w:val="nil"/>
                <w:bottom w:val="nil"/>
                <w:right w:val="nil"/>
                <w:between w:val="nil"/>
              </w:pBdr>
              <w:ind w:left="113" w:right="-57" w:hanging="113"/>
            </w:pPr>
            <w:r w:rsidRPr="00150BDF">
              <w:rPr>
                <w:b/>
              </w:rPr>
              <w:t> </w:t>
            </w:r>
          </w:p>
        </w:tc>
        <w:tc>
          <w:tcPr>
            <w:tcW w:w="1080" w:type="dxa"/>
            <w:tcBorders>
              <w:bottom w:val="single" w:sz="4" w:space="0" w:color="000000"/>
            </w:tcBorders>
            <w:vAlign w:val="bottom"/>
          </w:tcPr>
          <w:p w14:paraId="39F9928F" w14:textId="77777777" w:rsidR="0016725E" w:rsidRPr="00150BDF" w:rsidRDefault="0016725E" w:rsidP="007A0528">
            <w:pPr>
              <w:widowControl w:val="0"/>
              <w:jc w:val="right"/>
            </w:pPr>
          </w:p>
        </w:tc>
        <w:tc>
          <w:tcPr>
            <w:tcW w:w="1170" w:type="dxa"/>
            <w:gridSpan w:val="2"/>
            <w:tcBorders>
              <w:bottom w:val="single" w:sz="4" w:space="0" w:color="000000"/>
            </w:tcBorders>
            <w:vAlign w:val="bottom"/>
          </w:tcPr>
          <w:p w14:paraId="36785995" w14:textId="77777777" w:rsidR="0016725E" w:rsidRPr="00150BDF" w:rsidRDefault="0016725E" w:rsidP="007A0528">
            <w:pPr>
              <w:widowControl w:val="0"/>
              <w:jc w:val="right"/>
            </w:pPr>
          </w:p>
        </w:tc>
        <w:tc>
          <w:tcPr>
            <w:tcW w:w="990" w:type="dxa"/>
            <w:tcBorders>
              <w:bottom w:val="single" w:sz="4" w:space="0" w:color="000000"/>
            </w:tcBorders>
            <w:vAlign w:val="bottom"/>
          </w:tcPr>
          <w:p w14:paraId="4211769B" w14:textId="77777777" w:rsidR="0016725E" w:rsidRPr="00150BDF" w:rsidRDefault="0016725E" w:rsidP="007A0528">
            <w:pPr>
              <w:widowControl w:val="0"/>
              <w:jc w:val="right"/>
            </w:pPr>
          </w:p>
        </w:tc>
        <w:tc>
          <w:tcPr>
            <w:tcW w:w="630" w:type="dxa"/>
            <w:tcBorders>
              <w:bottom w:val="single" w:sz="4" w:space="0" w:color="000000"/>
            </w:tcBorders>
            <w:vAlign w:val="bottom"/>
          </w:tcPr>
          <w:p w14:paraId="32FFEB1B" w14:textId="77777777" w:rsidR="0016725E" w:rsidRPr="00150BDF" w:rsidRDefault="0016725E" w:rsidP="007A0528">
            <w:pPr>
              <w:widowControl w:val="0"/>
              <w:jc w:val="right"/>
            </w:pPr>
          </w:p>
        </w:tc>
        <w:tc>
          <w:tcPr>
            <w:tcW w:w="1530" w:type="dxa"/>
            <w:tcBorders>
              <w:bottom w:val="single" w:sz="4" w:space="0" w:color="000000"/>
            </w:tcBorders>
            <w:vAlign w:val="bottom"/>
          </w:tcPr>
          <w:p w14:paraId="1EEB39A3" w14:textId="77777777" w:rsidR="0016725E" w:rsidRPr="00150BDF" w:rsidRDefault="0016725E" w:rsidP="007A0528">
            <w:pPr>
              <w:widowControl w:val="0"/>
              <w:jc w:val="right"/>
            </w:pPr>
          </w:p>
        </w:tc>
        <w:tc>
          <w:tcPr>
            <w:tcW w:w="990" w:type="dxa"/>
            <w:tcBorders>
              <w:bottom w:val="single" w:sz="4" w:space="0" w:color="000000"/>
            </w:tcBorders>
            <w:vAlign w:val="bottom"/>
          </w:tcPr>
          <w:p w14:paraId="410ED8FD" w14:textId="77777777" w:rsidR="0016725E" w:rsidRPr="00150BDF" w:rsidRDefault="0016725E" w:rsidP="007A0528">
            <w:pPr>
              <w:widowControl w:val="0"/>
              <w:jc w:val="right"/>
            </w:pPr>
          </w:p>
        </w:tc>
      </w:tr>
      <w:tr w:rsidR="0016725E" w:rsidRPr="00344DF9" w14:paraId="1F701DA7" w14:textId="77777777" w:rsidTr="00150BDF">
        <w:trPr>
          <w:cantSplit/>
        </w:trPr>
        <w:tc>
          <w:tcPr>
            <w:tcW w:w="2430" w:type="dxa"/>
            <w:tcBorders>
              <w:top w:val="single" w:sz="4" w:space="0" w:color="000000"/>
            </w:tcBorders>
            <w:vAlign w:val="bottom"/>
          </w:tcPr>
          <w:p w14:paraId="7FB2DF4E" w14:textId="77777777" w:rsidR="0016725E" w:rsidRPr="00150BDF" w:rsidRDefault="0016725E" w:rsidP="007A0528">
            <w:pPr>
              <w:widowControl w:val="0"/>
              <w:pBdr>
                <w:top w:val="nil"/>
                <w:left w:val="nil"/>
                <w:bottom w:val="nil"/>
                <w:right w:val="nil"/>
                <w:between w:val="nil"/>
              </w:pBdr>
              <w:ind w:left="113" w:right="-57" w:hanging="113"/>
            </w:pPr>
            <w:r w:rsidRPr="00150BDF">
              <w:rPr>
                <w:b/>
              </w:rPr>
              <w:t> </w:t>
            </w:r>
          </w:p>
        </w:tc>
        <w:tc>
          <w:tcPr>
            <w:tcW w:w="1080" w:type="dxa"/>
            <w:tcBorders>
              <w:top w:val="single" w:sz="4" w:space="0" w:color="000000"/>
            </w:tcBorders>
            <w:vAlign w:val="bottom"/>
          </w:tcPr>
          <w:p w14:paraId="0C2DAFA5" w14:textId="77777777" w:rsidR="0016725E" w:rsidRPr="00150BDF" w:rsidRDefault="0016725E" w:rsidP="007A0528">
            <w:pPr>
              <w:widowControl w:val="0"/>
              <w:pBdr>
                <w:top w:val="nil"/>
                <w:left w:val="nil"/>
                <w:bottom w:val="nil"/>
                <w:right w:val="nil"/>
                <w:between w:val="nil"/>
              </w:pBdr>
              <w:jc w:val="right"/>
            </w:pPr>
          </w:p>
        </w:tc>
        <w:tc>
          <w:tcPr>
            <w:tcW w:w="1170" w:type="dxa"/>
            <w:gridSpan w:val="2"/>
            <w:tcBorders>
              <w:top w:val="single" w:sz="4" w:space="0" w:color="000000"/>
            </w:tcBorders>
            <w:vAlign w:val="bottom"/>
          </w:tcPr>
          <w:p w14:paraId="4FB80D9B" w14:textId="77777777" w:rsidR="0016725E" w:rsidRPr="00150BDF" w:rsidRDefault="0016725E" w:rsidP="007A0528">
            <w:pPr>
              <w:widowControl w:val="0"/>
              <w:pBdr>
                <w:top w:val="nil"/>
                <w:left w:val="nil"/>
                <w:bottom w:val="nil"/>
                <w:right w:val="nil"/>
                <w:between w:val="nil"/>
              </w:pBdr>
              <w:jc w:val="right"/>
            </w:pPr>
          </w:p>
        </w:tc>
        <w:tc>
          <w:tcPr>
            <w:tcW w:w="990" w:type="dxa"/>
            <w:tcBorders>
              <w:top w:val="single" w:sz="4" w:space="0" w:color="000000"/>
            </w:tcBorders>
            <w:vAlign w:val="bottom"/>
          </w:tcPr>
          <w:p w14:paraId="62EEC3C8" w14:textId="77777777" w:rsidR="0016725E" w:rsidRPr="00150BDF" w:rsidRDefault="0016725E" w:rsidP="007A0528">
            <w:pPr>
              <w:widowControl w:val="0"/>
              <w:pBdr>
                <w:top w:val="nil"/>
                <w:left w:val="nil"/>
                <w:bottom w:val="nil"/>
                <w:right w:val="nil"/>
                <w:between w:val="nil"/>
              </w:pBdr>
              <w:jc w:val="right"/>
            </w:pPr>
          </w:p>
        </w:tc>
        <w:tc>
          <w:tcPr>
            <w:tcW w:w="630" w:type="dxa"/>
            <w:tcBorders>
              <w:top w:val="single" w:sz="4" w:space="0" w:color="000000"/>
            </w:tcBorders>
            <w:vAlign w:val="bottom"/>
          </w:tcPr>
          <w:p w14:paraId="7CD9ACA4" w14:textId="77777777" w:rsidR="0016725E" w:rsidRPr="00150BDF" w:rsidRDefault="0016725E" w:rsidP="007A0528">
            <w:pPr>
              <w:widowControl w:val="0"/>
              <w:pBdr>
                <w:top w:val="nil"/>
                <w:left w:val="nil"/>
                <w:bottom w:val="nil"/>
                <w:right w:val="nil"/>
                <w:between w:val="nil"/>
              </w:pBdr>
              <w:jc w:val="right"/>
            </w:pPr>
          </w:p>
        </w:tc>
        <w:tc>
          <w:tcPr>
            <w:tcW w:w="1530" w:type="dxa"/>
            <w:tcBorders>
              <w:top w:val="single" w:sz="4" w:space="0" w:color="000000"/>
            </w:tcBorders>
            <w:vAlign w:val="bottom"/>
          </w:tcPr>
          <w:p w14:paraId="45C0F960" w14:textId="77777777" w:rsidR="0016725E" w:rsidRPr="00150BDF" w:rsidRDefault="0016725E" w:rsidP="007A0528">
            <w:pPr>
              <w:widowControl w:val="0"/>
              <w:pBdr>
                <w:top w:val="nil"/>
                <w:left w:val="nil"/>
                <w:bottom w:val="nil"/>
                <w:right w:val="nil"/>
                <w:between w:val="nil"/>
              </w:pBdr>
              <w:jc w:val="right"/>
            </w:pPr>
          </w:p>
        </w:tc>
        <w:tc>
          <w:tcPr>
            <w:tcW w:w="990" w:type="dxa"/>
            <w:tcBorders>
              <w:top w:val="single" w:sz="4" w:space="0" w:color="000000"/>
            </w:tcBorders>
            <w:vAlign w:val="bottom"/>
          </w:tcPr>
          <w:p w14:paraId="172BC400" w14:textId="77777777" w:rsidR="0016725E" w:rsidRPr="00150BDF" w:rsidRDefault="0016725E" w:rsidP="007A0528">
            <w:pPr>
              <w:widowControl w:val="0"/>
              <w:pBdr>
                <w:top w:val="nil"/>
                <w:left w:val="nil"/>
                <w:bottom w:val="nil"/>
                <w:right w:val="nil"/>
                <w:between w:val="nil"/>
              </w:pBdr>
              <w:jc w:val="right"/>
            </w:pPr>
          </w:p>
        </w:tc>
      </w:tr>
      <w:tr w:rsidR="0016725E" w:rsidRPr="00344DF9" w14:paraId="0C92C62A" w14:textId="77777777" w:rsidTr="00150BDF">
        <w:trPr>
          <w:cantSplit/>
        </w:trPr>
        <w:tc>
          <w:tcPr>
            <w:tcW w:w="2430" w:type="dxa"/>
            <w:vAlign w:val="bottom"/>
          </w:tcPr>
          <w:p w14:paraId="2B2E4C23" w14:textId="77777777" w:rsidR="0016725E" w:rsidRPr="00150BDF" w:rsidRDefault="0016725E" w:rsidP="007A0528">
            <w:pPr>
              <w:widowControl w:val="0"/>
              <w:pBdr>
                <w:top w:val="nil"/>
                <w:left w:val="nil"/>
                <w:bottom w:val="nil"/>
                <w:right w:val="nil"/>
                <w:between w:val="nil"/>
              </w:pBdr>
              <w:ind w:left="113" w:right="-57" w:hanging="113"/>
              <w:rPr>
                <w:b/>
              </w:rPr>
            </w:pPr>
            <w:r w:rsidRPr="00150BDF">
              <w:rPr>
                <w:b/>
              </w:rPr>
              <w:t>Total revenues</w:t>
            </w:r>
          </w:p>
        </w:tc>
        <w:tc>
          <w:tcPr>
            <w:tcW w:w="1080" w:type="dxa"/>
            <w:vAlign w:val="bottom"/>
          </w:tcPr>
          <w:p w14:paraId="2A2BA499" w14:textId="77777777" w:rsidR="0016725E" w:rsidRPr="00150BDF" w:rsidRDefault="0016725E" w:rsidP="007A0528">
            <w:pPr>
              <w:widowControl w:val="0"/>
              <w:jc w:val="right"/>
              <w:rPr>
                <w:b/>
              </w:rPr>
            </w:pPr>
          </w:p>
        </w:tc>
        <w:tc>
          <w:tcPr>
            <w:tcW w:w="1170" w:type="dxa"/>
            <w:gridSpan w:val="2"/>
            <w:vAlign w:val="bottom"/>
          </w:tcPr>
          <w:p w14:paraId="675638CD" w14:textId="77777777" w:rsidR="0016725E" w:rsidRPr="00150BDF" w:rsidRDefault="0016725E" w:rsidP="007A0528">
            <w:pPr>
              <w:widowControl w:val="0"/>
              <w:jc w:val="right"/>
              <w:rPr>
                <w:b/>
              </w:rPr>
            </w:pPr>
          </w:p>
        </w:tc>
        <w:tc>
          <w:tcPr>
            <w:tcW w:w="990" w:type="dxa"/>
            <w:vAlign w:val="bottom"/>
          </w:tcPr>
          <w:p w14:paraId="71CE0BA7" w14:textId="77777777" w:rsidR="0016725E" w:rsidRPr="00150BDF" w:rsidRDefault="0016725E" w:rsidP="007A0528">
            <w:pPr>
              <w:widowControl w:val="0"/>
              <w:jc w:val="right"/>
              <w:rPr>
                <w:b/>
              </w:rPr>
            </w:pPr>
          </w:p>
        </w:tc>
        <w:tc>
          <w:tcPr>
            <w:tcW w:w="630" w:type="dxa"/>
            <w:vAlign w:val="bottom"/>
          </w:tcPr>
          <w:p w14:paraId="08A1F730" w14:textId="77777777" w:rsidR="0016725E" w:rsidRPr="00150BDF" w:rsidRDefault="0016725E" w:rsidP="007A0528">
            <w:pPr>
              <w:widowControl w:val="0"/>
              <w:jc w:val="right"/>
              <w:rPr>
                <w:b/>
              </w:rPr>
            </w:pPr>
          </w:p>
        </w:tc>
        <w:tc>
          <w:tcPr>
            <w:tcW w:w="1530" w:type="dxa"/>
            <w:vAlign w:val="bottom"/>
          </w:tcPr>
          <w:p w14:paraId="4894A71B" w14:textId="77777777" w:rsidR="0016725E" w:rsidRPr="00150BDF" w:rsidRDefault="0016725E" w:rsidP="007A0528">
            <w:pPr>
              <w:widowControl w:val="0"/>
              <w:jc w:val="right"/>
              <w:rPr>
                <w:b/>
              </w:rPr>
            </w:pPr>
          </w:p>
        </w:tc>
        <w:tc>
          <w:tcPr>
            <w:tcW w:w="990" w:type="dxa"/>
            <w:vAlign w:val="bottom"/>
          </w:tcPr>
          <w:p w14:paraId="09DB9945" w14:textId="77777777" w:rsidR="0016725E" w:rsidRPr="00150BDF" w:rsidRDefault="0016725E" w:rsidP="007A0528">
            <w:pPr>
              <w:widowControl w:val="0"/>
              <w:jc w:val="right"/>
              <w:rPr>
                <w:b/>
              </w:rPr>
            </w:pPr>
          </w:p>
        </w:tc>
      </w:tr>
      <w:tr w:rsidR="0016725E" w:rsidRPr="00344DF9" w14:paraId="54696B66" w14:textId="77777777" w:rsidTr="00150BDF">
        <w:trPr>
          <w:cantSplit/>
        </w:trPr>
        <w:tc>
          <w:tcPr>
            <w:tcW w:w="2430" w:type="dxa"/>
            <w:tcBorders>
              <w:bottom w:val="single" w:sz="12" w:space="0" w:color="000000"/>
            </w:tcBorders>
            <w:vAlign w:val="bottom"/>
          </w:tcPr>
          <w:p w14:paraId="75C8EFA7" w14:textId="77777777" w:rsidR="0016725E" w:rsidRPr="00150BDF" w:rsidRDefault="0016725E" w:rsidP="007A0528">
            <w:pPr>
              <w:widowControl w:val="0"/>
              <w:pBdr>
                <w:top w:val="nil"/>
                <w:left w:val="nil"/>
                <w:bottom w:val="nil"/>
                <w:right w:val="nil"/>
                <w:between w:val="nil"/>
              </w:pBdr>
              <w:ind w:left="113" w:right="-57" w:hanging="113"/>
            </w:pPr>
            <w:r w:rsidRPr="00150BDF">
              <w:rPr>
                <w:b/>
              </w:rPr>
              <w:t> </w:t>
            </w:r>
          </w:p>
        </w:tc>
        <w:tc>
          <w:tcPr>
            <w:tcW w:w="1080" w:type="dxa"/>
            <w:tcBorders>
              <w:bottom w:val="single" w:sz="12" w:space="0" w:color="000000"/>
            </w:tcBorders>
            <w:vAlign w:val="bottom"/>
          </w:tcPr>
          <w:p w14:paraId="389ED4ED" w14:textId="77777777" w:rsidR="0016725E" w:rsidRPr="00150BDF" w:rsidRDefault="0016725E" w:rsidP="007A0528">
            <w:pPr>
              <w:widowControl w:val="0"/>
              <w:jc w:val="right"/>
            </w:pPr>
          </w:p>
        </w:tc>
        <w:tc>
          <w:tcPr>
            <w:tcW w:w="1170" w:type="dxa"/>
            <w:gridSpan w:val="2"/>
            <w:tcBorders>
              <w:bottom w:val="single" w:sz="12" w:space="0" w:color="000000"/>
            </w:tcBorders>
            <w:vAlign w:val="bottom"/>
          </w:tcPr>
          <w:p w14:paraId="405B5A4B" w14:textId="77777777" w:rsidR="0016725E" w:rsidRPr="00150BDF" w:rsidRDefault="0016725E" w:rsidP="007A0528">
            <w:pPr>
              <w:widowControl w:val="0"/>
              <w:jc w:val="right"/>
            </w:pPr>
          </w:p>
        </w:tc>
        <w:tc>
          <w:tcPr>
            <w:tcW w:w="990" w:type="dxa"/>
            <w:tcBorders>
              <w:bottom w:val="single" w:sz="12" w:space="0" w:color="000000"/>
            </w:tcBorders>
            <w:vAlign w:val="bottom"/>
          </w:tcPr>
          <w:p w14:paraId="0BA3D30E" w14:textId="77777777" w:rsidR="0016725E" w:rsidRPr="00150BDF" w:rsidRDefault="0016725E" w:rsidP="007A0528">
            <w:pPr>
              <w:widowControl w:val="0"/>
              <w:jc w:val="right"/>
            </w:pPr>
          </w:p>
        </w:tc>
        <w:tc>
          <w:tcPr>
            <w:tcW w:w="630" w:type="dxa"/>
            <w:tcBorders>
              <w:bottom w:val="single" w:sz="12" w:space="0" w:color="000000"/>
            </w:tcBorders>
            <w:vAlign w:val="bottom"/>
          </w:tcPr>
          <w:p w14:paraId="26E47177" w14:textId="77777777" w:rsidR="0016725E" w:rsidRPr="00150BDF" w:rsidRDefault="0016725E" w:rsidP="007A0528">
            <w:pPr>
              <w:widowControl w:val="0"/>
              <w:jc w:val="right"/>
            </w:pPr>
          </w:p>
        </w:tc>
        <w:tc>
          <w:tcPr>
            <w:tcW w:w="1530" w:type="dxa"/>
            <w:tcBorders>
              <w:bottom w:val="single" w:sz="12" w:space="0" w:color="000000"/>
            </w:tcBorders>
            <w:vAlign w:val="bottom"/>
          </w:tcPr>
          <w:p w14:paraId="24E1B09C" w14:textId="77777777" w:rsidR="0016725E" w:rsidRPr="00150BDF" w:rsidRDefault="0016725E" w:rsidP="007A0528">
            <w:pPr>
              <w:widowControl w:val="0"/>
              <w:jc w:val="right"/>
            </w:pPr>
          </w:p>
        </w:tc>
        <w:tc>
          <w:tcPr>
            <w:tcW w:w="990" w:type="dxa"/>
            <w:tcBorders>
              <w:bottom w:val="single" w:sz="12" w:space="0" w:color="000000"/>
            </w:tcBorders>
            <w:vAlign w:val="bottom"/>
          </w:tcPr>
          <w:p w14:paraId="01410400" w14:textId="77777777" w:rsidR="0016725E" w:rsidRPr="00150BDF" w:rsidRDefault="0016725E" w:rsidP="007A0528">
            <w:pPr>
              <w:widowControl w:val="0"/>
              <w:jc w:val="right"/>
            </w:pPr>
          </w:p>
        </w:tc>
      </w:tr>
      <w:tr w:rsidR="0016725E" w:rsidRPr="00344DF9" w14:paraId="4953B829" w14:textId="77777777" w:rsidTr="00150BDF">
        <w:trPr>
          <w:cantSplit/>
        </w:trPr>
        <w:tc>
          <w:tcPr>
            <w:tcW w:w="2430" w:type="dxa"/>
            <w:tcBorders>
              <w:top w:val="single" w:sz="12" w:space="0" w:color="000000"/>
            </w:tcBorders>
            <w:vAlign w:val="bottom"/>
          </w:tcPr>
          <w:p w14:paraId="6B4A1932" w14:textId="77777777" w:rsidR="0016725E" w:rsidRPr="00150BDF" w:rsidRDefault="0016725E" w:rsidP="007A0528">
            <w:pPr>
              <w:widowControl w:val="0"/>
              <w:pBdr>
                <w:top w:val="nil"/>
                <w:left w:val="nil"/>
                <w:bottom w:val="nil"/>
                <w:right w:val="nil"/>
                <w:between w:val="nil"/>
              </w:pBdr>
              <w:ind w:left="113" w:right="-57" w:hanging="113"/>
            </w:pPr>
            <w:r w:rsidRPr="00150BDF">
              <w:rPr>
                <w:b/>
              </w:rPr>
              <w:t> </w:t>
            </w:r>
          </w:p>
        </w:tc>
        <w:tc>
          <w:tcPr>
            <w:tcW w:w="1080" w:type="dxa"/>
            <w:tcBorders>
              <w:top w:val="single" w:sz="12" w:space="0" w:color="000000"/>
            </w:tcBorders>
            <w:vAlign w:val="bottom"/>
          </w:tcPr>
          <w:p w14:paraId="14B577A5" w14:textId="77777777" w:rsidR="0016725E" w:rsidRPr="00150BDF" w:rsidRDefault="0016725E" w:rsidP="007A0528">
            <w:pPr>
              <w:widowControl w:val="0"/>
              <w:jc w:val="right"/>
            </w:pPr>
          </w:p>
        </w:tc>
        <w:tc>
          <w:tcPr>
            <w:tcW w:w="1170" w:type="dxa"/>
            <w:gridSpan w:val="2"/>
            <w:tcBorders>
              <w:top w:val="single" w:sz="12" w:space="0" w:color="000000"/>
            </w:tcBorders>
            <w:vAlign w:val="bottom"/>
          </w:tcPr>
          <w:p w14:paraId="10BBBEC0" w14:textId="77777777" w:rsidR="0016725E" w:rsidRPr="00150BDF" w:rsidRDefault="0016725E" w:rsidP="007A0528">
            <w:pPr>
              <w:widowControl w:val="0"/>
              <w:jc w:val="right"/>
            </w:pPr>
          </w:p>
        </w:tc>
        <w:tc>
          <w:tcPr>
            <w:tcW w:w="990" w:type="dxa"/>
            <w:tcBorders>
              <w:top w:val="single" w:sz="12" w:space="0" w:color="000000"/>
            </w:tcBorders>
            <w:vAlign w:val="bottom"/>
          </w:tcPr>
          <w:p w14:paraId="0D917C02" w14:textId="77777777" w:rsidR="0016725E" w:rsidRPr="00150BDF" w:rsidRDefault="0016725E" w:rsidP="007A0528">
            <w:pPr>
              <w:widowControl w:val="0"/>
              <w:jc w:val="right"/>
            </w:pPr>
          </w:p>
        </w:tc>
        <w:tc>
          <w:tcPr>
            <w:tcW w:w="630" w:type="dxa"/>
            <w:tcBorders>
              <w:top w:val="single" w:sz="12" w:space="0" w:color="000000"/>
            </w:tcBorders>
            <w:vAlign w:val="bottom"/>
          </w:tcPr>
          <w:p w14:paraId="214F0B4E" w14:textId="77777777" w:rsidR="0016725E" w:rsidRPr="00150BDF" w:rsidRDefault="0016725E" w:rsidP="007A0528">
            <w:pPr>
              <w:widowControl w:val="0"/>
              <w:jc w:val="right"/>
            </w:pPr>
          </w:p>
        </w:tc>
        <w:tc>
          <w:tcPr>
            <w:tcW w:w="1530" w:type="dxa"/>
            <w:tcBorders>
              <w:top w:val="single" w:sz="12" w:space="0" w:color="000000"/>
            </w:tcBorders>
            <w:vAlign w:val="bottom"/>
          </w:tcPr>
          <w:p w14:paraId="70717A1D" w14:textId="77777777" w:rsidR="0016725E" w:rsidRPr="00150BDF" w:rsidRDefault="0016725E" w:rsidP="007A0528">
            <w:pPr>
              <w:widowControl w:val="0"/>
              <w:jc w:val="right"/>
            </w:pPr>
          </w:p>
        </w:tc>
        <w:tc>
          <w:tcPr>
            <w:tcW w:w="990" w:type="dxa"/>
            <w:tcBorders>
              <w:top w:val="single" w:sz="12" w:space="0" w:color="000000"/>
            </w:tcBorders>
            <w:vAlign w:val="bottom"/>
          </w:tcPr>
          <w:p w14:paraId="4C668F03" w14:textId="77777777" w:rsidR="0016725E" w:rsidRPr="00150BDF" w:rsidRDefault="0016725E" w:rsidP="007A0528">
            <w:pPr>
              <w:widowControl w:val="0"/>
              <w:jc w:val="right"/>
            </w:pPr>
          </w:p>
        </w:tc>
      </w:tr>
      <w:tr w:rsidR="0016725E" w:rsidRPr="00344DF9" w14:paraId="3CB141DB" w14:textId="77777777" w:rsidTr="00150BDF">
        <w:trPr>
          <w:cantSplit/>
        </w:trPr>
        <w:tc>
          <w:tcPr>
            <w:tcW w:w="2430" w:type="dxa"/>
            <w:vAlign w:val="bottom"/>
          </w:tcPr>
          <w:p w14:paraId="2BCCC7AD" w14:textId="77777777" w:rsidR="0016725E" w:rsidRPr="00150BDF" w:rsidRDefault="0016725E" w:rsidP="007A0528">
            <w:pPr>
              <w:widowControl w:val="0"/>
              <w:pBdr>
                <w:top w:val="nil"/>
                <w:left w:val="nil"/>
                <w:bottom w:val="nil"/>
                <w:right w:val="nil"/>
                <w:between w:val="nil"/>
              </w:pBdr>
              <w:ind w:left="113" w:right="-57" w:hanging="113"/>
            </w:pPr>
            <w:r w:rsidRPr="00150BDF">
              <w:t>Cost of sales</w:t>
            </w:r>
          </w:p>
        </w:tc>
        <w:tc>
          <w:tcPr>
            <w:tcW w:w="1080" w:type="dxa"/>
            <w:vAlign w:val="bottom"/>
          </w:tcPr>
          <w:p w14:paraId="6A14F5F6" w14:textId="77777777" w:rsidR="0016725E" w:rsidRPr="00150BDF" w:rsidRDefault="0016725E" w:rsidP="007A0528">
            <w:pPr>
              <w:widowControl w:val="0"/>
              <w:jc w:val="right"/>
              <w:rPr>
                <w:b/>
              </w:rPr>
            </w:pPr>
          </w:p>
        </w:tc>
        <w:tc>
          <w:tcPr>
            <w:tcW w:w="1170" w:type="dxa"/>
            <w:gridSpan w:val="2"/>
            <w:vAlign w:val="bottom"/>
          </w:tcPr>
          <w:p w14:paraId="412CCE76" w14:textId="77777777" w:rsidR="0016725E" w:rsidRPr="00150BDF" w:rsidRDefault="0016725E" w:rsidP="007A0528">
            <w:pPr>
              <w:widowControl w:val="0"/>
              <w:jc w:val="right"/>
              <w:rPr>
                <w:b/>
              </w:rPr>
            </w:pPr>
          </w:p>
        </w:tc>
        <w:tc>
          <w:tcPr>
            <w:tcW w:w="990" w:type="dxa"/>
            <w:vAlign w:val="bottom"/>
          </w:tcPr>
          <w:p w14:paraId="6EF95483" w14:textId="77777777" w:rsidR="0016725E" w:rsidRPr="00150BDF" w:rsidRDefault="0016725E" w:rsidP="007A0528">
            <w:pPr>
              <w:widowControl w:val="0"/>
              <w:jc w:val="right"/>
              <w:rPr>
                <w:b/>
              </w:rPr>
            </w:pPr>
          </w:p>
        </w:tc>
        <w:tc>
          <w:tcPr>
            <w:tcW w:w="630" w:type="dxa"/>
            <w:vAlign w:val="bottom"/>
          </w:tcPr>
          <w:p w14:paraId="6E2C2903" w14:textId="77777777" w:rsidR="0016725E" w:rsidRPr="00150BDF" w:rsidRDefault="0016725E" w:rsidP="007A0528">
            <w:pPr>
              <w:widowControl w:val="0"/>
              <w:jc w:val="right"/>
              <w:rPr>
                <w:b/>
              </w:rPr>
            </w:pPr>
          </w:p>
        </w:tc>
        <w:tc>
          <w:tcPr>
            <w:tcW w:w="1530" w:type="dxa"/>
            <w:vAlign w:val="bottom"/>
          </w:tcPr>
          <w:p w14:paraId="2F2E4902" w14:textId="77777777" w:rsidR="0016725E" w:rsidRPr="00150BDF" w:rsidRDefault="0016725E" w:rsidP="007A0528">
            <w:pPr>
              <w:widowControl w:val="0"/>
              <w:jc w:val="right"/>
              <w:rPr>
                <w:b/>
              </w:rPr>
            </w:pPr>
          </w:p>
        </w:tc>
        <w:tc>
          <w:tcPr>
            <w:tcW w:w="990" w:type="dxa"/>
            <w:vAlign w:val="bottom"/>
          </w:tcPr>
          <w:p w14:paraId="1DB3A161" w14:textId="77777777" w:rsidR="0016725E" w:rsidRPr="00150BDF" w:rsidRDefault="0016725E" w:rsidP="007A0528">
            <w:pPr>
              <w:widowControl w:val="0"/>
              <w:jc w:val="right"/>
              <w:rPr>
                <w:b/>
              </w:rPr>
            </w:pPr>
          </w:p>
        </w:tc>
      </w:tr>
      <w:tr w:rsidR="0016725E" w:rsidRPr="00344DF9" w14:paraId="6C1B84D9" w14:textId="77777777" w:rsidTr="00150BDF">
        <w:trPr>
          <w:cantSplit/>
        </w:trPr>
        <w:tc>
          <w:tcPr>
            <w:tcW w:w="2430" w:type="dxa"/>
            <w:vAlign w:val="bottom"/>
          </w:tcPr>
          <w:p w14:paraId="77384CE4" w14:textId="77777777" w:rsidR="0016725E" w:rsidRPr="00150BDF" w:rsidRDefault="0016725E" w:rsidP="007A0528">
            <w:pPr>
              <w:widowControl w:val="0"/>
              <w:pBdr>
                <w:top w:val="nil"/>
                <w:left w:val="nil"/>
                <w:bottom w:val="nil"/>
                <w:right w:val="nil"/>
                <w:between w:val="nil"/>
              </w:pBdr>
              <w:ind w:left="113" w:right="-57" w:hanging="113"/>
            </w:pPr>
            <w:r w:rsidRPr="00150BDF">
              <w:t>Distribution costs</w:t>
            </w:r>
          </w:p>
        </w:tc>
        <w:tc>
          <w:tcPr>
            <w:tcW w:w="1080" w:type="dxa"/>
            <w:vAlign w:val="bottom"/>
          </w:tcPr>
          <w:p w14:paraId="45EABAF8" w14:textId="77777777" w:rsidR="0016725E" w:rsidRPr="00150BDF" w:rsidRDefault="0016725E" w:rsidP="007A0528">
            <w:pPr>
              <w:widowControl w:val="0"/>
              <w:jc w:val="right"/>
              <w:rPr>
                <w:b/>
              </w:rPr>
            </w:pPr>
          </w:p>
        </w:tc>
        <w:tc>
          <w:tcPr>
            <w:tcW w:w="1170" w:type="dxa"/>
            <w:gridSpan w:val="2"/>
            <w:vAlign w:val="bottom"/>
          </w:tcPr>
          <w:p w14:paraId="5913848C" w14:textId="77777777" w:rsidR="0016725E" w:rsidRPr="00150BDF" w:rsidRDefault="0016725E" w:rsidP="007A0528">
            <w:pPr>
              <w:widowControl w:val="0"/>
              <w:jc w:val="right"/>
              <w:rPr>
                <w:b/>
              </w:rPr>
            </w:pPr>
          </w:p>
        </w:tc>
        <w:tc>
          <w:tcPr>
            <w:tcW w:w="990" w:type="dxa"/>
            <w:vAlign w:val="bottom"/>
          </w:tcPr>
          <w:p w14:paraId="5CD0E180" w14:textId="77777777" w:rsidR="0016725E" w:rsidRPr="00150BDF" w:rsidRDefault="0016725E" w:rsidP="007A0528">
            <w:pPr>
              <w:widowControl w:val="0"/>
              <w:jc w:val="right"/>
              <w:rPr>
                <w:b/>
              </w:rPr>
            </w:pPr>
          </w:p>
        </w:tc>
        <w:tc>
          <w:tcPr>
            <w:tcW w:w="630" w:type="dxa"/>
            <w:vAlign w:val="bottom"/>
          </w:tcPr>
          <w:p w14:paraId="5467C1E4" w14:textId="77777777" w:rsidR="0016725E" w:rsidRPr="00150BDF" w:rsidRDefault="0016725E" w:rsidP="007A0528">
            <w:pPr>
              <w:widowControl w:val="0"/>
              <w:jc w:val="right"/>
              <w:rPr>
                <w:b/>
              </w:rPr>
            </w:pPr>
          </w:p>
        </w:tc>
        <w:tc>
          <w:tcPr>
            <w:tcW w:w="1530" w:type="dxa"/>
            <w:vAlign w:val="bottom"/>
          </w:tcPr>
          <w:p w14:paraId="2B86323A" w14:textId="77777777" w:rsidR="0016725E" w:rsidRPr="00150BDF" w:rsidRDefault="0016725E" w:rsidP="007A0528">
            <w:pPr>
              <w:widowControl w:val="0"/>
              <w:jc w:val="right"/>
              <w:rPr>
                <w:b/>
              </w:rPr>
            </w:pPr>
          </w:p>
        </w:tc>
        <w:tc>
          <w:tcPr>
            <w:tcW w:w="990" w:type="dxa"/>
            <w:vAlign w:val="bottom"/>
          </w:tcPr>
          <w:p w14:paraId="5641B236" w14:textId="77777777" w:rsidR="0016725E" w:rsidRPr="00150BDF" w:rsidRDefault="0016725E" w:rsidP="007A0528">
            <w:pPr>
              <w:widowControl w:val="0"/>
              <w:jc w:val="right"/>
              <w:rPr>
                <w:b/>
              </w:rPr>
            </w:pPr>
          </w:p>
        </w:tc>
      </w:tr>
      <w:tr w:rsidR="0016725E" w:rsidRPr="00344DF9" w14:paraId="3700C994" w14:textId="77777777" w:rsidTr="00150BDF">
        <w:trPr>
          <w:cantSplit/>
        </w:trPr>
        <w:tc>
          <w:tcPr>
            <w:tcW w:w="2430" w:type="dxa"/>
            <w:vAlign w:val="bottom"/>
          </w:tcPr>
          <w:p w14:paraId="76C476A2" w14:textId="77777777" w:rsidR="0016725E" w:rsidRPr="00C41B8C" w:rsidRDefault="0016725E" w:rsidP="007A0528">
            <w:pPr>
              <w:widowControl w:val="0"/>
              <w:pBdr>
                <w:top w:val="nil"/>
                <w:left w:val="nil"/>
                <w:bottom w:val="nil"/>
                <w:right w:val="nil"/>
                <w:between w:val="nil"/>
              </w:pBdr>
              <w:ind w:left="113" w:right="-57" w:hanging="113"/>
            </w:pPr>
            <w:r w:rsidRPr="00C41B8C">
              <w:t>General and administrative expenses</w:t>
            </w:r>
          </w:p>
        </w:tc>
        <w:tc>
          <w:tcPr>
            <w:tcW w:w="1080" w:type="dxa"/>
            <w:vAlign w:val="bottom"/>
          </w:tcPr>
          <w:p w14:paraId="6A082427" w14:textId="77777777" w:rsidR="0016725E" w:rsidRPr="00C41B8C" w:rsidRDefault="0016725E" w:rsidP="007A0528">
            <w:pPr>
              <w:widowControl w:val="0"/>
              <w:jc w:val="right"/>
              <w:rPr>
                <w:b/>
              </w:rPr>
            </w:pPr>
          </w:p>
        </w:tc>
        <w:tc>
          <w:tcPr>
            <w:tcW w:w="1170" w:type="dxa"/>
            <w:gridSpan w:val="2"/>
            <w:vAlign w:val="bottom"/>
          </w:tcPr>
          <w:p w14:paraId="555FDD62" w14:textId="77777777" w:rsidR="0016725E" w:rsidRPr="00C41B8C" w:rsidRDefault="0016725E" w:rsidP="007A0528">
            <w:pPr>
              <w:widowControl w:val="0"/>
              <w:jc w:val="right"/>
              <w:rPr>
                <w:b/>
              </w:rPr>
            </w:pPr>
          </w:p>
        </w:tc>
        <w:tc>
          <w:tcPr>
            <w:tcW w:w="990" w:type="dxa"/>
            <w:vAlign w:val="bottom"/>
          </w:tcPr>
          <w:p w14:paraId="59BCE40C" w14:textId="77777777" w:rsidR="0016725E" w:rsidRPr="00C41B8C" w:rsidRDefault="0016725E" w:rsidP="007A0528">
            <w:pPr>
              <w:widowControl w:val="0"/>
              <w:jc w:val="right"/>
              <w:rPr>
                <w:b/>
              </w:rPr>
            </w:pPr>
          </w:p>
        </w:tc>
        <w:tc>
          <w:tcPr>
            <w:tcW w:w="630" w:type="dxa"/>
            <w:vAlign w:val="bottom"/>
          </w:tcPr>
          <w:p w14:paraId="3E858C55" w14:textId="77777777" w:rsidR="0016725E" w:rsidRPr="00C41B8C" w:rsidRDefault="0016725E" w:rsidP="007A0528">
            <w:pPr>
              <w:widowControl w:val="0"/>
              <w:jc w:val="right"/>
              <w:rPr>
                <w:b/>
              </w:rPr>
            </w:pPr>
          </w:p>
        </w:tc>
        <w:tc>
          <w:tcPr>
            <w:tcW w:w="1530" w:type="dxa"/>
            <w:vAlign w:val="bottom"/>
          </w:tcPr>
          <w:p w14:paraId="246568E8" w14:textId="77777777" w:rsidR="0016725E" w:rsidRPr="00C41B8C" w:rsidRDefault="0016725E" w:rsidP="007A0528">
            <w:pPr>
              <w:widowControl w:val="0"/>
              <w:jc w:val="right"/>
              <w:rPr>
                <w:b/>
              </w:rPr>
            </w:pPr>
          </w:p>
        </w:tc>
        <w:tc>
          <w:tcPr>
            <w:tcW w:w="990" w:type="dxa"/>
            <w:vAlign w:val="bottom"/>
          </w:tcPr>
          <w:p w14:paraId="61763F75" w14:textId="77777777" w:rsidR="0016725E" w:rsidRPr="00C41B8C" w:rsidRDefault="0016725E" w:rsidP="007A0528">
            <w:pPr>
              <w:widowControl w:val="0"/>
              <w:jc w:val="right"/>
              <w:rPr>
                <w:b/>
              </w:rPr>
            </w:pPr>
          </w:p>
        </w:tc>
      </w:tr>
      <w:tr w:rsidR="0016725E" w:rsidRPr="00344DF9" w14:paraId="6BC38FDC" w14:textId="77777777" w:rsidTr="00150BDF">
        <w:trPr>
          <w:cantSplit/>
        </w:trPr>
        <w:tc>
          <w:tcPr>
            <w:tcW w:w="2430" w:type="dxa"/>
            <w:vAlign w:val="bottom"/>
          </w:tcPr>
          <w:p w14:paraId="34420C9B" w14:textId="77777777" w:rsidR="0016725E" w:rsidRPr="00C41B8C" w:rsidRDefault="0016725E" w:rsidP="007A0528">
            <w:pPr>
              <w:widowControl w:val="0"/>
              <w:pBdr>
                <w:top w:val="nil"/>
                <w:left w:val="nil"/>
                <w:bottom w:val="nil"/>
                <w:right w:val="nil"/>
                <w:between w:val="nil"/>
              </w:pBdr>
              <w:ind w:left="113" w:right="-57" w:hanging="113"/>
            </w:pPr>
            <w:r w:rsidRPr="00C41B8C">
              <w:t>Research and development costs</w:t>
            </w:r>
          </w:p>
        </w:tc>
        <w:tc>
          <w:tcPr>
            <w:tcW w:w="1080" w:type="dxa"/>
            <w:vAlign w:val="bottom"/>
          </w:tcPr>
          <w:p w14:paraId="64EA67FA" w14:textId="77777777" w:rsidR="0016725E" w:rsidRPr="00C41B8C" w:rsidRDefault="0016725E" w:rsidP="007A0528">
            <w:pPr>
              <w:widowControl w:val="0"/>
              <w:jc w:val="right"/>
              <w:rPr>
                <w:b/>
              </w:rPr>
            </w:pPr>
          </w:p>
        </w:tc>
        <w:tc>
          <w:tcPr>
            <w:tcW w:w="1170" w:type="dxa"/>
            <w:gridSpan w:val="2"/>
            <w:vAlign w:val="bottom"/>
          </w:tcPr>
          <w:p w14:paraId="0FA3E194" w14:textId="77777777" w:rsidR="0016725E" w:rsidRPr="00C41B8C" w:rsidRDefault="0016725E" w:rsidP="007A0528">
            <w:pPr>
              <w:widowControl w:val="0"/>
              <w:jc w:val="right"/>
              <w:rPr>
                <w:b/>
              </w:rPr>
            </w:pPr>
          </w:p>
        </w:tc>
        <w:tc>
          <w:tcPr>
            <w:tcW w:w="990" w:type="dxa"/>
            <w:vAlign w:val="bottom"/>
          </w:tcPr>
          <w:p w14:paraId="1D1192A1" w14:textId="77777777" w:rsidR="0016725E" w:rsidRPr="00C41B8C" w:rsidRDefault="0016725E" w:rsidP="007A0528">
            <w:pPr>
              <w:widowControl w:val="0"/>
              <w:jc w:val="right"/>
              <w:rPr>
                <w:b/>
              </w:rPr>
            </w:pPr>
          </w:p>
        </w:tc>
        <w:tc>
          <w:tcPr>
            <w:tcW w:w="630" w:type="dxa"/>
            <w:vAlign w:val="bottom"/>
          </w:tcPr>
          <w:p w14:paraId="4632F63E" w14:textId="77777777" w:rsidR="0016725E" w:rsidRPr="00C41B8C" w:rsidRDefault="0016725E" w:rsidP="007A0528">
            <w:pPr>
              <w:widowControl w:val="0"/>
              <w:jc w:val="right"/>
              <w:rPr>
                <w:b/>
              </w:rPr>
            </w:pPr>
          </w:p>
        </w:tc>
        <w:tc>
          <w:tcPr>
            <w:tcW w:w="1530" w:type="dxa"/>
            <w:vAlign w:val="bottom"/>
          </w:tcPr>
          <w:p w14:paraId="2C1D7481" w14:textId="77777777" w:rsidR="0016725E" w:rsidRPr="00C41B8C" w:rsidRDefault="0016725E" w:rsidP="007A0528">
            <w:pPr>
              <w:widowControl w:val="0"/>
              <w:jc w:val="right"/>
              <w:rPr>
                <w:b/>
              </w:rPr>
            </w:pPr>
          </w:p>
        </w:tc>
        <w:tc>
          <w:tcPr>
            <w:tcW w:w="990" w:type="dxa"/>
            <w:vAlign w:val="bottom"/>
          </w:tcPr>
          <w:p w14:paraId="010B3363" w14:textId="77777777" w:rsidR="0016725E" w:rsidRPr="00C41B8C" w:rsidRDefault="0016725E" w:rsidP="007A0528">
            <w:pPr>
              <w:widowControl w:val="0"/>
              <w:jc w:val="right"/>
              <w:rPr>
                <w:b/>
              </w:rPr>
            </w:pPr>
          </w:p>
        </w:tc>
      </w:tr>
      <w:tr w:rsidR="0016725E" w:rsidRPr="00344DF9" w14:paraId="296448CB" w14:textId="77777777" w:rsidTr="00150BDF">
        <w:trPr>
          <w:cantSplit/>
        </w:trPr>
        <w:tc>
          <w:tcPr>
            <w:tcW w:w="2430" w:type="dxa"/>
            <w:vAlign w:val="bottom"/>
          </w:tcPr>
          <w:p w14:paraId="4872D38F" w14:textId="77777777" w:rsidR="0016725E" w:rsidRPr="00150BDF" w:rsidRDefault="0016725E" w:rsidP="007A0528">
            <w:pPr>
              <w:widowControl w:val="0"/>
              <w:pBdr>
                <w:top w:val="nil"/>
                <w:left w:val="nil"/>
                <w:bottom w:val="nil"/>
                <w:right w:val="nil"/>
                <w:between w:val="nil"/>
              </w:pBdr>
              <w:ind w:left="113" w:right="-57" w:hanging="113"/>
            </w:pPr>
            <w:r w:rsidRPr="00150BDF">
              <w:t>Net charge for expected credit losses on financial and contract assets</w:t>
            </w:r>
          </w:p>
        </w:tc>
        <w:tc>
          <w:tcPr>
            <w:tcW w:w="1080" w:type="dxa"/>
            <w:vAlign w:val="bottom"/>
          </w:tcPr>
          <w:p w14:paraId="782AF514" w14:textId="77777777" w:rsidR="0016725E" w:rsidRPr="00150BDF" w:rsidRDefault="0016725E" w:rsidP="007A0528">
            <w:pPr>
              <w:widowControl w:val="0"/>
              <w:jc w:val="right"/>
              <w:rPr>
                <w:b/>
              </w:rPr>
            </w:pPr>
          </w:p>
        </w:tc>
        <w:tc>
          <w:tcPr>
            <w:tcW w:w="1170" w:type="dxa"/>
            <w:gridSpan w:val="2"/>
            <w:vAlign w:val="bottom"/>
          </w:tcPr>
          <w:p w14:paraId="23090232" w14:textId="77777777" w:rsidR="0016725E" w:rsidRPr="00150BDF" w:rsidRDefault="0016725E" w:rsidP="007A0528">
            <w:pPr>
              <w:widowControl w:val="0"/>
              <w:jc w:val="right"/>
              <w:rPr>
                <w:b/>
              </w:rPr>
            </w:pPr>
          </w:p>
        </w:tc>
        <w:tc>
          <w:tcPr>
            <w:tcW w:w="990" w:type="dxa"/>
            <w:vAlign w:val="bottom"/>
          </w:tcPr>
          <w:p w14:paraId="2BA5EA71" w14:textId="77777777" w:rsidR="0016725E" w:rsidRPr="00150BDF" w:rsidRDefault="0016725E" w:rsidP="007A0528">
            <w:pPr>
              <w:widowControl w:val="0"/>
              <w:jc w:val="right"/>
              <w:rPr>
                <w:b/>
              </w:rPr>
            </w:pPr>
          </w:p>
        </w:tc>
        <w:tc>
          <w:tcPr>
            <w:tcW w:w="630" w:type="dxa"/>
            <w:vAlign w:val="bottom"/>
          </w:tcPr>
          <w:p w14:paraId="171FC652" w14:textId="77777777" w:rsidR="0016725E" w:rsidRPr="00150BDF" w:rsidRDefault="0016725E" w:rsidP="007A0528">
            <w:pPr>
              <w:widowControl w:val="0"/>
              <w:jc w:val="right"/>
              <w:rPr>
                <w:b/>
              </w:rPr>
            </w:pPr>
          </w:p>
        </w:tc>
        <w:tc>
          <w:tcPr>
            <w:tcW w:w="1530" w:type="dxa"/>
            <w:vAlign w:val="bottom"/>
          </w:tcPr>
          <w:p w14:paraId="39080664" w14:textId="77777777" w:rsidR="0016725E" w:rsidRPr="00150BDF" w:rsidRDefault="0016725E" w:rsidP="007A0528">
            <w:pPr>
              <w:widowControl w:val="0"/>
              <w:jc w:val="right"/>
              <w:rPr>
                <w:b/>
              </w:rPr>
            </w:pPr>
          </w:p>
        </w:tc>
        <w:tc>
          <w:tcPr>
            <w:tcW w:w="990" w:type="dxa"/>
            <w:vAlign w:val="bottom"/>
          </w:tcPr>
          <w:p w14:paraId="03E9F290" w14:textId="77777777" w:rsidR="0016725E" w:rsidRPr="00150BDF" w:rsidRDefault="0016725E" w:rsidP="007A0528">
            <w:pPr>
              <w:widowControl w:val="0"/>
              <w:jc w:val="right"/>
              <w:rPr>
                <w:b/>
              </w:rPr>
            </w:pPr>
          </w:p>
        </w:tc>
      </w:tr>
      <w:tr w:rsidR="0016725E" w:rsidRPr="00344DF9" w14:paraId="21B1B899" w14:textId="77777777" w:rsidTr="00150BDF">
        <w:trPr>
          <w:cantSplit/>
        </w:trPr>
        <w:tc>
          <w:tcPr>
            <w:tcW w:w="2430" w:type="dxa"/>
            <w:vAlign w:val="bottom"/>
          </w:tcPr>
          <w:p w14:paraId="07494F18" w14:textId="77777777" w:rsidR="0016725E" w:rsidRPr="00C41B8C" w:rsidRDefault="0016725E" w:rsidP="007A0528">
            <w:pPr>
              <w:widowControl w:val="0"/>
              <w:pBdr>
                <w:top w:val="nil"/>
                <w:left w:val="nil"/>
                <w:bottom w:val="nil"/>
                <w:right w:val="nil"/>
                <w:between w:val="nil"/>
              </w:pBdr>
              <w:ind w:left="113" w:right="-57" w:hanging="113"/>
            </w:pPr>
            <w:r w:rsidRPr="00C41B8C">
              <w:t>Other gains/(losses), net</w:t>
            </w:r>
          </w:p>
        </w:tc>
        <w:tc>
          <w:tcPr>
            <w:tcW w:w="1080" w:type="dxa"/>
            <w:vAlign w:val="bottom"/>
          </w:tcPr>
          <w:p w14:paraId="226BF9CD" w14:textId="77777777" w:rsidR="0016725E" w:rsidRPr="00C41B8C" w:rsidRDefault="0016725E" w:rsidP="007A0528">
            <w:pPr>
              <w:widowControl w:val="0"/>
              <w:jc w:val="right"/>
              <w:rPr>
                <w:b/>
              </w:rPr>
            </w:pPr>
          </w:p>
        </w:tc>
        <w:tc>
          <w:tcPr>
            <w:tcW w:w="1170" w:type="dxa"/>
            <w:gridSpan w:val="2"/>
            <w:vAlign w:val="bottom"/>
          </w:tcPr>
          <w:p w14:paraId="235AFC26" w14:textId="77777777" w:rsidR="0016725E" w:rsidRPr="00C41B8C" w:rsidRDefault="0016725E" w:rsidP="007A0528">
            <w:pPr>
              <w:widowControl w:val="0"/>
              <w:jc w:val="right"/>
              <w:rPr>
                <w:b/>
              </w:rPr>
            </w:pPr>
          </w:p>
        </w:tc>
        <w:tc>
          <w:tcPr>
            <w:tcW w:w="990" w:type="dxa"/>
            <w:vAlign w:val="bottom"/>
          </w:tcPr>
          <w:p w14:paraId="74880D00" w14:textId="77777777" w:rsidR="0016725E" w:rsidRPr="00C41B8C" w:rsidRDefault="0016725E" w:rsidP="007A0528">
            <w:pPr>
              <w:widowControl w:val="0"/>
              <w:jc w:val="right"/>
              <w:rPr>
                <w:b/>
              </w:rPr>
            </w:pPr>
          </w:p>
        </w:tc>
        <w:tc>
          <w:tcPr>
            <w:tcW w:w="630" w:type="dxa"/>
            <w:vAlign w:val="bottom"/>
          </w:tcPr>
          <w:p w14:paraId="2267B8FB" w14:textId="77777777" w:rsidR="0016725E" w:rsidRPr="00C41B8C" w:rsidRDefault="0016725E" w:rsidP="007A0528">
            <w:pPr>
              <w:widowControl w:val="0"/>
              <w:jc w:val="right"/>
              <w:rPr>
                <w:b/>
              </w:rPr>
            </w:pPr>
          </w:p>
        </w:tc>
        <w:tc>
          <w:tcPr>
            <w:tcW w:w="1530" w:type="dxa"/>
            <w:vAlign w:val="bottom"/>
          </w:tcPr>
          <w:p w14:paraId="003031F4" w14:textId="77777777" w:rsidR="0016725E" w:rsidRPr="00C41B8C" w:rsidRDefault="0016725E" w:rsidP="007A0528">
            <w:pPr>
              <w:widowControl w:val="0"/>
              <w:jc w:val="right"/>
              <w:rPr>
                <w:b/>
              </w:rPr>
            </w:pPr>
          </w:p>
        </w:tc>
        <w:tc>
          <w:tcPr>
            <w:tcW w:w="990" w:type="dxa"/>
            <w:vAlign w:val="bottom"/>
          </w:tcPr>
          <w:p w14:paraId="53F91D07" w14:textId="77777777" w:rsidR="0016725E" w:rsidRPr="00C41B8C" w:rsidRDefault="0016725E" w:rsidP="007A0528">
            <w:pPr>
              <w:widowControl w:val="0"/>
              <w:jc w:val="right"/>
              <w:rPr>
                <w:b/>
              </w:rPr>
            </w:pPr>
          </w:p>
        </w:tc>
      </w:tr>
      <w:tr w:rsidR="0016725E" w:rsidRPr="00344DF9" w14:paraId="203A0DF0" w14:textId="77777777" w:rsidTr="00150BDF">
        <w:trPr>
          <w:cantSplit/>
        </w:trPr>
        <w:tc>
          <w:tcPr>
            <w:tcW w:w="2430" w:type="dxa"/>
            <w:vAlign w:val="bottom"/>
          </w:tcPr>
          <w:p w14:paraId="3A0388F1" w14:textId="77777777" w:rsidR="0016725E" w:rsidRPr="00010D4F" w:rsidRDefault="0016725E" w:rsidP="007A0528">
            <w:pPr>
              <w:widowControl w:val="0"/>
              <w:pBdr>
                <w:top w:val="nil"/>
                <w:left w:val="nil"/>
                <w:bottom w:val="nil"/>
                <w:right w:val="nil"/>
                <w:between w:val="nil"/>
              </w:pBdr>
              <w:ind w:left="113" w:right="-57" w:hanging="113"/>
              <w:rPr>
                <w:color w:val="0000FF"/>
              </w:rPr>
            </w:pPr>
            <w:r w:rsidRPr="00010D4F">
              <w:rPr>
                <w:color w:val="0000FF"/>
              </w:rPr>
              <w:t>[Material non-cash items other than depreciation and amortisation – expand as appropriate]</w:t>
            </w:r>
          </w:p>
        </w:tc>
        <w:tc>
          <w:tcPr>
            <w:tcW w:w="1080" w:type="dxa"/>
            <w:vAlign w:val="bottom"/>
          </w:tcPr>
          <w:p w14:paraId="34A96AB4" w14:textId="77777777" w:rsidR="0016725E" w:rsidRPr="00C41B8C" w:rsidRDefault="0016725E" w:rsidP="007A0528">
            <w:pPr>
              <w:widowControl w:val="0"/>
              <w:jc w:val="right"/>
            </w:pPr>
          </w:p>
        </w:tc>
        <w:tc>
          <w:tcPr>
            <w:tcW w:w="1170" w:type="dxa"/>
            <w:gridSpan w:val="2"/>
            <w:vAlign w:val="bottom"/>
          </w:tcPr>
          <w:p w14:paraId="626F5D78" w14:textId="77777777" w:rsidR="0016725E" w:rsidRPr="00C41B8C" w:rsidRDefault="0016725E" w:rsidP="007A0528">
            <w:pPr>
              <w:widowControl w:val="0"/>
              <w:jc w:val="right"/>
            </w:pPr>
          </w:p>
        </w:tc>
        <w:tc>
          <w:tcPr>
            <w:tcW w:w="990" w:type="dxa"/>
            <w:vAlign w:val="bottom"/>
          </w:tcPr>
          <w:p w14:paraId="6561BBE1" w14:textId="77777777" w:rsidR="0016725E" w:rsidRPr="00C41B8C" w:rsidRDefault="0016725E" w:rsidP="007A0528">
            <w:pPr>
              <w:widowControl w:val="0"/>
              <w:jc w:val="right"/>
            </w:pPr>
          </w:p>
        </w:tc>
        <w:tc>
          <w:tcPr>
            <w:tcW w:w="630" w:type="dxa"/>
            <w:vAlign w:val="bottom"/>
          </w:tcPr>
          <w:p w14:paraId="7171872B" w14:textId="77777777" w:rsidR="0016725E" w:rsidRPr="00C41B8C" w:rsidRDefault="0016725E" w:rsidP="007A0528">
            <w:pPr>
              <w:widowControl w:val="0"/>
              <w:jc w:val="right"/>
            </w:pPr>
          </w:p>
        </w:tc>
        <w:tc>
          <w:tcPr>
            <w:tcW w:w="1530" w:type="dxa"/>
            <w:vAlign w:val="bottom"/>
          </w:tcPr>
          <w:p w14:paraId="2B5B740F" w14:textId="77777777" w:rsidR="0016725E" w:rsidRPr="00C41B8C" w:rsidRDefault="0016725E" w:rsidP="007A0528">
            <w:pPr>
              <w:widowControl w:val="0"/>
              <w:jc w:val="right"/>
            </w:pPr>
          </w:p>
        </w:tc>
        <w:tc>
          <w:tcPr>
            <w:tcW w:w="990" w:type="dxa"/>
            <w:vAlign w:val="bottom"/>
          </w:tcPr>
          <w:p w14:paraId="6E802B9A" w14:textId="77777777" w:rsidR="0016725E" w:rsidRPr="00C41B8C" w:rsidRDefault="0016725E" w:rsidP="007A0528">
            <w:pPr>
              <w:widowControl w:val="0"/>
              <w:jc w:val="right"/>
            </w:pPr>
          </w:p>
        </w:tc>
      </w:tr>
      <w:tr w:rsidR="0016725E" w:rsidRPr="00344DF9" w14:paraId="753A7AA6" w14:textId="77777777" w:rsidTr="00150BDF">
        <w:trPr>
          <w:cantSplit/>
        </w:trPr>
        <w:tc>
          <w:tcPr>
            <w:tcW w:w="2430" w:type="dxa"/>
            <w:vAlign w:val="bottom"/>
          </w:tcPr>
          <w:p w14:paraId="6E3566CF" w14:textId="77777777" w:rsidR="0016725E" w:rsidRPr="00010D4F" w:rsidRDefault="0016725E" w:rsidP="007A0528">
            <w:pPr>
              <w:widowControl w:val="0"/>
              <w:pBdr>
                <w:top w:val="nil"/>
                <w:left w:val="nil"/>
                <w:bottom w:val="nil"/>
                <w:right w:val="nil"/>
                <w:between w:val="nil"/>
              </w:pBdr>
              <w:ind w:left="113" w:right="-57" w:hanging="113"/>
              <w:rPr>
                <w:color w:val="0000FF"/>
              </w:rPr>
            </w:pPr>
            <w:r w:rsidRPr="00010D4F">
              <w:rPr>
                <w:color w:val="0000FF"/>
              </w:rPr>
              <w:t>[Other material items of expenses – expand as appropriate]</w:t>
            </w:r>
          </w:p>
        </w:tc>
        <w:tc>
          <w:tcPr>
            <w:tcW w:w="1080" w:type="dxa"/>
            <w:vAlign w:val="bottom"/>
          </w:tcPr>
          <w:p w14:paraId="11B5FD00" w14:textId="77777777" w:rsidR="0016725E" w:rsidRPr="00C41B8C" w:rsidRDefault="0016725E" w:rsidP="007A0528">
            <w:pPr>
              <w:widowControl w:val="0"/>
              <w:jc w:val="right"/>
            </w:pPr>
          </w:p>
        </w:tc>
        <w:tc>
          <w:tcPr>
            <w:tcW w:w="1170" w:type="dxa"/>
            <w:gridSpan w:val="2"/>
            <w:vAlign w:val="bottom"/>
          </w:tcPr>
          <w:p w14:paraId="0DB7AEC3" w14:textId="77777777" w:rsidR="0016725E" w:rsidRPr="00C41B8C" w:rsidRDefault="0016725E" w:rsidP="007A0528">
            <w:pPr>
              <w:widowControl w:val="0"/>
              <w:jc w:val="right"/>
            </w:pPr>
          </w:p>
        </w:tc>
        <w:tc>
          <w:tcPr>
            <w:tcW w:w="990" w:type="dxa"/>
            <w:vAlign w:val="bottom"/>
          </w:tcPr>
          <w:p w14:paraId="5AB8266F" w14:textId="77777777" w:rsidR="0016725E" w:rsidRPr="00C41B8C" w:rsidRDefault="0016725E" w:rsidP="007A0528">
            <w:pPr>
              <w:widowControl w:val="0"/>
              <w:jc w:val="right"/>
            </w:pPr>
          </w:p>
        </w:tc>
        <w:tc>
          <w:tcPr>
            <w:tcW w:w="630" w:type="dxa"/>
            <w:vAlign w:val="bottom"/>
          </w:tcPr>
          <w:p w14:paraId="65A767FC" w14:textId="77777777" w:rsidR="0016725E" w:rsidRPr="00C41B8C" w:rsidRDefault="0016725E" w:rsidP="007A0528">
            <w:pPr>
              <w:widowControl w:val="0"/>
              <w:jc w:val="right"/>
            </w:pPr>
          </w:p>
        </w:tc>
        <w:tc>
          <w:tcPr>
            <w:tcW w:w="1530" w:type="dxa"/>
            <w:vAlign w:val="bottom"/>
          </w:tcPr>
          <w:p w14:paraId="624D0B75" w14:textId="77777777" w:rsidR="0016725E" w:rsidRPr="00C41B8C" w:rsidRDefault="0016725E" w:rsidP="007A0528">
            <w:pPr>
              <w:widowControl w:val="0"/>
              <w:jc w:val="right"/>
            </w:pPr>
          </w:p>
        </w:tc>
        <w:tc>
          <w:tcPr>
            <w:tcW w:w="990" w:type="dxa"/>
            <w:vAlign w:val="bottom"/>
          </w:tcPr>
          <w:p w14:paraId="40BD6A56" w14:textId="77777777" w:rsidR="0016725E" w:rsidRPr="00C41B8C" w:rsidRDefault="0016725E" w:rsidP="007A0528">
            <w:pPr>
              <w:widowControl w:val="0"/>
              <w:jc w:val="right"/>
            </w:pPr>
          </w:p>
        </w:tc>
      </w:tr>
      <w:tr w:rsidR="0016725E" w:rsidRPr="00344DF9" w14:paraId="10DE86C6" w14:textId="77777777" w:rsidTr="00150BDF">
        <w:trPr>
          <w:cantSplit/>
        </w:trPr>
        <w:tc>
          <w:tcPr>
            <w:tcW w:w="2430" w:type="dxa"/>
            <w:tcBorders>
              <w:bottom w:val="single" w:sz="4" w:space="0" w:color="000000"/>
            </w:tcBorders>
            <w:vAlign w:val="bottom"/>
          </w:tcPr>
          <w:p w14:paraId="5F8023D2" w14:textId="77777777" w:rsidR="0016725E" w:rsidRPr="00150BDF" w:rsidRDefault="0016725E" w:rsidP="007A0528">
            <w:pPr>
              <w:widowControl w:val="0"/>
              <w:pBdr>
                <w:top w:val="nil"/>
                <w:left w:val="nil"/>
                <w:bottom w:val="nil"/>
                <w:right w:val="nil"/>
                <w:between w:val="nil"/>
              </w:pBdr>
              <w:ind w:left="113" w:right="-57" w:hanging="113"/>
              <w:rPr>
                <w:b/>
              </w:rPr>
            </w:pPr>
            <w:r w:rsidRPr="00150BDF">
              <w:rPr>
                <w:b/>
              </w:rPr>
              <w:t> </w:t>
            </w:r>
          </w:p>
        </w:tc>
        <w:tc>
          <w:tcPr>
            <w:tcW w:w="1080" w:type="dxa"/>
            <w:tcBorders>
              <w:bottom w:val="single" w:sz="4" w:space="0" w:color="000000"/>
            </w:tcBorders>
            <w:vAlign w:val="bottom"/>
          </w:tcPr>
          <w:p w14:paraId="51EB1052" w14:textId="77777777" w:rsidR="0016725E" w:rsidRPr="00150BDF" w:rsidRDefault="0016725E" w:rsidP="007A0528">
            <w:pPr>
              <w:widowControl w:val="0"/>
              <w:pBdr>
                <w:top w:val="nil"/>
                <w:left w:val="nil"/>
                <w:bottom w:val="nil"/>
                <w:right w:val="nil"/>
                <w:between w:val="nil"/>
              </w:pBdr>
              <w:jc w:val="right"/>
              <w:rPr>
                <w:b/>
              </w:rPr>
            </w:pPr>
          </w:p>
        </w:tc>
        <w:tc>
          <w:tcPr>
            <w:tcW w:w="1170" w:type="dxa"/>
            <w:gridSpan w:val="2"/>
            <w:tcBorders>
              <w:bottom w:val="single" w:sz="4" w:space="0" w:color="000000"/>
            </w:tcBorders>
            <w:vAlign w:val="bottom"/>
          </w:tcPr>
          <w:p w14:paraId="41DDFC3F" w14:textId="77777777" w:rsidR="0016725E" w:rsidRPr="00150BDF" w:rsidRDefault="0016725E" w:rsidP="007A0528">
            <w:pPr>
              <w:widowControl w:val="0"/>
              <w:pBdr>
                <w:top w:val="nil"/>
                <w:left w:val="nil"/>
                <w:bottom w:val="nil"/>
                <w:right w:val="nil"/>
                <w:between w:val="nil"/>
              </w:pBdr>
              <w:jc w:val="right"/>
              <w:rPr>
                <w:b/>
              </w:rPr>
            </w:pPr>
          </w:p>
        </w:tc>
        <w:tc>
          <w:tcPr>
            <w:tcW w:w="990" w:type="dxa"/>
            <w:tcBorders>
              <w:bottom w:val="single" w:sz="4" w:space="0" w:color="000000"/>
            </w:tcBorders>
            <w:vAlign w:val="bottom"/>
          </w:tcPr>
          <w:p w14:paraId="7C22CA49" w14:textId="77777777" w:rsidR="0016725E" w:rsidRPr="00150BDF" w:rsidRDefault="0016725E" w:rsidP="007A0528">
            <w:pPr>
              <w:widowControl w:val="0"/>
              <w:pBdr>
                <w:top w:val="nil"/>
                <w:left w:val="nil"/>
                <w:bottom w:val="nil"/>
                <w:right w:val="nil"/>
                <w:between w:val="nil"/>
              </w:pBdr>
              <w:jc w:val="right"/>
              <w:rPr>
                <w:b/>
              </w:rPr>
            </w:pPr>
          </w:p>
        </w:tc>
        <w:tc>
          <w:tcPr>
            <w:tcW w:w="630" w:type="dxa"/>
            <w:tcBorders>
              <w:bottom w:val="single" w:sz="4" w:space="0" w:color="000000"/>
            </w:tcBorders>
            <w:vAlign w:val="bottom"/>
          </w:tcPr>
          <w:p w14:paraId="5DB744B5" w14:textId="77777777" w:rsidR="0016725E" w:rsidRPr="00150BDF" w:rsidRDefault="0016725E" w:rsidP="007A0528">
            <w:pPr>
              <w:widowControl w:val="0"/>
              <w:pBdr>
                <w:top w:val="nil"/>
                <w:left w:val="nil"/>
                <w:bottom w:val="nil"/>
                <w:right w:val="nil"/>
                <w:between w:val="nil"/>
              </w:pBdr>
              <w:jc w:val="right"/>
              <w:rPr>
                <w:b/>
              </w:rPr>
            </w:pPr>
          </w:p>
        </w:tc>
        <w:tc>
          <w:tcPr>
            <w:tcW w:w="1530" w:type="dxa"/>
            <w:tcBorders>
              <w:bottom w:val="single" w:sz="4" w:space="0" w:color="000000"/>
            </w:tcBorders>
            <w:vAlign w:val="bottom"/>
          </w:tcPr>
          <w:p w14:paraId="5AD3CD10" w14:textId="77777777" w:rsidR="0016725E" w:rsidRPr="00150BDF" w:rsidRDefault="0016725E" w:rsidP="007A0528">
            <w:pPr>
              <w:widowControl w:val="0"/>
              <w:pBdr>
                <w:top w:val="nil"/>
                <w:left w:val="nil"/>
                <w:bottom w:val="nil"/>
                <w:right w:val="nil"/>
                <w:between w:val="nil"/>
              </w:pBdr>
              <w:jc w:val="right"/>
              <w:rPr>
                <w:b/>
              </w:rPr>
            </w:pPr>
          </w:p>
        </w:tc>
        <w:tc>
          <w:tcPr>
            <w:tcW w:w="990" w:type="dxa"/>
            <w:tcBorders>
              <w:bottom w:val="single" w:sz="4" w:space="0" w:color="000000"/>
            </w:tcBorders>
            <w:vAlign w:val="bottom"/>
          </w:tcPr>
          <w:p w14:paraId="0A6EBB94" w14:textId="77777777" w:rsidR="0016725E" w:rsidRPr="00150BDF" w:rsidRDefault="0016725E" w:rsidP="007A0528">
            <w:pPr>
              <w:widowControl w:val="0"/>
              <w:pBdr>
                <w:top w:val="nil"/>
                <w:left w:val="nil"/>
                <w:bottom w:val="nil"/>
                <w:right w:val="nil"/>
                <w:between w:val="nil"/>
              </w:pBdr>
              <w:jc w:val="right"/>
              <w:rPr>
                <w:b/>
              </w:rPr>
            </w:pPr>
          </w:p>
        </w:tc>
      </w:tr>
      <w:tr w:rsidR="0016725E" w:rsidRPr="00344DF9" w14:paraId="6692314B" w14:textId="77777777" w:rsidTr="00150BDF">
        <w:trPr>
          <w:cantSplit/>
        </w:trPr>
        <w:tc>
          <w:tcPr>
            <w:tcW w:w="2430" w:type="dxa"/>
            <w:tcBorders>
              <w:top w:val="single" w:sz="4" w:space="0" w:color="000000"/>
            </w:tcBorders>
            <w:vAlign w:val="bottom"/>
          </w:tcPr>
          <w:p w14:paraId="43E50F6E" w14:textId="77777777" w:rsidR="0016725E" w:rsidRPr="00150BDF" w:rsidRDefault="0016725E" w:rsidP="007A0528">
            <w:pPr>
              <w:widowControl w:val="0"/>
              <w:pBdr>
                <w:top w:val="nil"/>
                <w:left w:val="nil"/>
                <w:bottom w:val="nil"/>
                <w:right w:val="nil"/>
                <w:between w:val="nil"/>
              </w:pBdr>
              <w:ind w:left="113" w:right="-57" w:hanging="113"/>
              <w:rPr>
                <w:b/>
              </w:rPr>
            </w:pPr>
            <w:r w:rsidRPr="00150BDF">
              <w:rPr>
                <w:b/>
              </w:rPr>
              <w:t> </w:t>
            </w:r>
          </w:p>
        </w:tc>
        <w:tc>
          <w:tcPr>
            <w:tcW w:w="1080" w:type="dxa"/>
            <w:tcBorders>
              <w:top w:val="single" w:sz="4" w:space="0" w:color="000000"/>
            </w:tcBorders>
            <w:vAlign w:val="bottom"/>
          </w:tcPr>
          <w:p w14:paraId="458DBCF6" w14:textId="77777777" w:rsidR="0016725E" w:rsidRPr="00150BDF" w:rsidRDefault="0016725E" w:rsidP="007A0528">
            <w:pPr>
              <w:widowControl w:val="0"/>
              <w:pBdr>
                <w:top w:val="nil"/>
                <w:left w:val="nil"/>
                <w:bottom w:val="nil"/>
                <w:right w:val="nil"/>
                <w:between w:val="nil"/>
              </w:pBdr>
              <w:jc w:val="right"/>
              <w:rPr>
                <w:b/>
              </w:rPr>
            </w:pPr>
          </w:p>
        </w:tc>
        <w:tc>
          <w:tcPr>
            <w:tcW w:w="1170" w:type="dxa"/>
            <w:gridSpan w:val="2"/>
            <w:tcBorders>
              <w:top w:val="single" w:sz="4" w:space="0" w:color="000000"/>
            </w:tcBorders>
            <w:vAlign w:val="bottom"/>
          </w:tcPr>
          <w:p w14:paraId="69970693" w14:textId="77777777" w:rsidR="0016725E" w:rsidRPr="00150BDF" w:rsidRDefault="0016725E" w:rsidP="007A0528">
            <w:pPr>
              <w:widowControl w:val="0"/>
              <w:pBdr>
                <w:top w:val="nil"/>
                <w:left w:val="nil"/>
                <w:bottom w:val="nil"/>
                <w:right w:val="nil"/>
                <w:between w:val="nil"/>
              </w:pBdr>
              <w:jc w:val="right"/>
              <w:rPr>
                <w:b/>
              </w:rPr>
            </w:pPr>
          </w:p>
        </w:tc>
        <w:tc>
          <w:tcPr>
            <w:tcW w:w="990" w:type="dxa"/>
            <w:tcBorders>
              <w:top w:val="single" w:sz="4" w:space="0" w:color="000000"/>
            </w:tcBorders>
            <w:vAlign w:val="bottom"/>
          </w:tcPr>
          <w:p w14:paraId="61E4341B" w14:textId="77777777" w:rsidR="0016725E" w:rsidRPr="00150BDF" w:rsidRDefault="0016725E" w:rsidP="007A0528">
            <w:pPr>
              <w:widowControl w:val="0"/>
              <w:pBdr>
                <w:top w:val="nil"/>
                <w:left w:val="nil"/>
                <w:bottom w:val="nil"/>
                <w:right w:val="nil"/>
                <w:between w:val="nil"/>
              </w:pBdr>
              <w:jc w:val="right"/>
              <w:rPr>
                <w:b/>
              </w:rPr>
            </w:pPr>
          </w:p>
        </w:tc>
        <w:tc>
          <w:tcPr>
            <w:tcW w:w="630" w:type="dxa"/>
            <w:tcBorders>
              <w:top w:val="single" w:sz="4" w:space="0" w:color="000000"/>
            </w:tcBorders>
            <w:vAlign w:val="bottom"/>
          </w:tcPr>
          <w:p w14:paraId="0AAFCF92" w14:textId="77777777" w:rsidR="0016725E" w:rsidRPr="00150BDF" w:rsidRDefault="0016725E" w:rsidP="007A0528">
            <w:pPr>
              <w:widowControl w:val="0"/>
              <w:pBdr>
                <w:top w:val="nil"/>
                <w:left w:val="nil"/>
                <w:bottom w:val="nil"/>
                <w:right w:val="nil"/>
                <w:between w:val="nil"/>
              </w:pBdr>
              <w:jc w:val="right"/>
              <w:rPr>
                <w:b/>
              </w:rPr>
            </w:pPr>
          </w:p>
        </w:tc>
        <w:tc>
          <w:tcPr>
            <w:tcW w:w="1530" w:type="dxa"/>
            <w:tcBorders>
              <w:top w:val="single" w:sz="4" w:space="0" w:color="000000"/>
            </w:tcBorders>
            <w:vAlign w:val="bottom"/>
          </w:tcPr>
          <w:p w14:paraId="15BACCC3" w14:textId="77777777" w:rsidR="0016725E" w:rsidRPr="00150BDF" w:rsidRDefault="0016725E" w:rsidP="007A0528">
            <w:pPr>
              <w:widowControl w:val="0"/>
              <w:pBdr>
                <w:top w:val="nil"/>
                <w:left w:val="nil"/>
                <w:bottom w:val="nil"/>
                <w:right w:val="nil"/>
                <w:between w:val="nil"/>
              </w:pBdr>
              <w:jc w:val="right"/>
              <w:rPr>
                <w:b/>
              </w:rPr>
            </w:pPr>
          </w:p>
        </w:tc>
        <w:tc>
          <w:tcPr>
            <w:tcW w:w="990" w:type="dxa"/>
            <w:tcBorders>
              <w:top w:val="single" w:sz="4" w:space="0" w:color="000000"/>
            </w:tcBorders>
            <w:vAlign w:val="bottom"/>
          </w:tcPr>
          <w:p w14:paraId="3A4E1B93" w14:textId="77777777" w:rsidR="0016725E" w:rsidRPr="00150BDF" w:rsidRDefault="0016725E" w:rsidP="007A0528">
            <w:pPr>
              <w:widowControl w:val="0"/>
              <w:pBdr>
                <w:top w:val="nil"/>
                <w:left w:val="nil"/>
                <w:bottom w:val="nil"/>
                <w:right w:val="nil"/>
                <w:between w:val="nil"/>
              </w:pBdr>
              <w:jc w:val="right"/>
              <w:rPr>
                <w:b/>
              </w:rPr>
            </w:pPr>
          </w:p>
        </w:tc>
      </w:tr>
      <w:tr w:rsidR="0016725E" w:rsidRPr="00344DF9" w14:paraId="4A898967" w14:textId="77777777" w:rsidTr="00150BDF">
        <w:trPr>
          <w:cantSplit/>
        </w:trPr>
        <w:tc>
          <w:tcPr>
            <w:tcW w:w="2430" w:type="dxa"/>
            <w:vAlign w:val="bottom"/>
          </w:tcPr>
          <w:p w14:paraId="1179E5A9" w14:textId="77777777" w:rsidR="0016725E" w:rsidRPr="00150BDF" w:rsidRDefault="0016725E" w:rsidP="007A0528">
            <w:pPr>
              <w:widowControl w:val="0"/>
              <w:ind w:left="113" w:right="-57" w:hanging="113"/>
              <w:rPr>
                <w:b/>
              </w:rPr>
            </w:pPr>
            <w:r w:rsidRPr="00150BDF">
              <w:rPr>
                <w:b/>
              </w:rPr>
              <w:t>Segment results</w:t>
            </w:r>
          </w:p>
        </w:tc>
        <w:tc>
          <w:tcPr>
            <w:tcW w:w="1080" w:type="dxa"/>
            <w:vAlign w:val="bottom"/>
          </w:tcPr>
          <w:p w14:paraId="0C6C4EF4" w14:textId="77777777" w:rsidR="0016725E" w:rsidRPr="00150BDF" w:rsidRDefault="0016725E" w:rsidP="007A0528">
            <w:pPr>
              <w:widowControl w:val="0"/>
              <w:jc w:val="right"/>
            </w:pPr>
          </w:p>
        </w:tc>
        <w:tc>
          <w:tcPr>
            <w:tcW w:w="1170" w:type="dxa"/>
            <w:gridSpan w:val="2"/>
            <w:vAlign w:val="bottom"/>
          </w:tcPr>
          <w:p w14:paraId="321D8FDA" w14:textId="77777777" w:rsidR="0016725E" w:rsidRPr="00150BDF" w:rsidRDefault="0016725E" w:rsidP="007A0528">
            <w:pPr>
              <w:widowControl w:val="0"/>
              <w:jc w:val="right"/>
            </w:pPr>
          </w:p>
        </w:tc>
        <w:tc>
          <w:tcPr>
            <w:tcW w:w="990" w:type="dxa"/>
            <w:vAlign w:val="bottom"/>
          </w:tcPr>
          <w:p w14:paraId="3324744A" w14:textId="77777777" w:rsidR="0016725E" w:rsidRPr="00150BDF" w:rsidRDefault="0016725E" w:rsidP="007A0528">
            <w:pPr>
              <w:widowControl w:val="0"/>
              <w:jc w:val="right"/>
            </w:pPr>
          </w:p>
        </w:tc>
        <w:tc>
          <w:tcPr>
            <w:tcW w:w="630" w:type="dxa"/>
            <w:vAlign w:val="bottom"/>
          </w:tcPr>
          <w:p w14:paraId="188E0969" w14:textId="77777777" w:rsidR="0016725E" w:rsidRPr="00150BDF" w:rsidRDefault="0016725E" w:rsidP="007A0528">
            <w:pPr>
              <w:widowControl w:val="0"/>
              <w:jc w:val="right"/>
            </w:pPr>
          </w:p>
        </w:tc>
        <w:tc>
          <w:tcPr>
            <w:tcW w:w="1530" w:type="dxa"/>
            <w:vAlign w:val="bottom"/>
          </w:tcPr>
          <w:p w14:paraId="1C0BC269" w14:textId="77777777" w:rsidR="0016725E" w:rsidRPr="00150BDF" w:rsidRDefault="0016725E" w:rsidP="007A0528">
            <w:pPr>
              <w:widowControl w:val="0"/>
              <w:jc w:val="right"/>
            </w:pPr>
          </w:p>
        </w:tc>
        <w:tc>
          <w:tcPr>
            <w:tcW w:w="990" w:type="dxa"/>
            <w:vAlign w:val="bottom"/>
          </w:tcPr>
          <w:p w14:paraId="0A2DF1A4" w14:textId="77777777" w:rsidR="0016725E" w:rsidRPr="00150BDF" w:rsidRDefault="0016725E" w:rsidP="007A0528">
            <w:pPr>
              <w:widowControl w:val="0"/>
              <w:jc w:val="right"/>
            </w:pPr>
          </w:p>
        </w:tc>
      </w:tr>
      <w:tr w:rsidR="0016725E" w:rsidRPr="00344DF9" w14:paraId="21F132B8" w14:textId="77777777" w:rsidTr="00150BDF">
        <w:trPr>
          <w:cantSplit/>
        </w:trPr>
        <w:tc>
          <w:tcPr>
            <w:tcW w:w="2430" w:type="dxa"/>
            <w:tcBorders>
              <w:bottom w:val="single" w:sz="12" w:space="0" w:color="000000"/>
            </w:tcBorders>
            <w:vAlign w:val="bottom"/>
          </w:tcPr>
          <w:p w14:paraId="196906FE" w14:textId="77777777" w:rsidR="0016725E" w:rsidRPr="00150BDF" w:rsidRDefault="0016725E" w:rsidP="007A0528">
            <w:pPr>
              <w:widowControl w:val="0"/>
              <w:ind w:left="113" w:right="-57" w:hanging="113"/>
              <w:rPr>
                <w:b/>
              </w:rPr>
            </w:pPr>
            <w:r w:rsidRPr="00150BDF">
              <w:rPr>
                <w:b/>
              </w:rPr>
              <w:t> </w:t>
            </w:r>
          </w:p>
        </w:tc>
        <w:tc>
          <w:tcPr>
            <w:tcW w:w="1080" w:type="dxa"/>
            <w:tcBorders>
              <w:bottom w:val="single" w:sz="12" w:space="0" w:color="000000"/>
            </w:tcBorders>
            <w:vAlign w:val="bottom"/>
          </w:tcPr>
          <w:p w14:paraId="6D3DF831" w14:textId="77777777" w:rsidR="0016725E" w:rsidRPr="00150BDF" w:rsidRDefault="0016725E" w:rsidP="007A0528">
            <w:pPr>
              <w:widowControl w:val="0"/>
              <w:jc w:val="right"/>
            </w:pPr>
          </w:p>
        </w:tc>
        <w:tc>
          <w:tcPr>
            <w:tcW w:w="1170" w:type="dxa"/>
            <w:gridSpan w:val="2"/>
            <w:tcBorders>
              <w:bottom w:val="single" w:sz="12" w:space="0" w:color="000000"/>
            </w:tcBorders>
            <w:vAlign w:val="bottom"/>
          </w:tcPr>
          <w:p w14:paraId="7D67594C" w14:textId="77777777" w:rsidR="0016725E" w:rsidRPr="00150BDF" w:rsidRDefault="0016725E" w:rsidP="007A0528">
            <w:pPr>
              <w:widowControl w:val="0"/>
              <w:jc w:val="right"/>
            </w:pPr>
          </w:p>
        </w:tc>
        <w:tc>
          <w:tcPr>
            <w:tcW w:w="990" w:type="dxa"/>
            <w:tcBorders>
              <w:bottom w:val="single" w:sz="12" w:space="0" w:color="000000"/>
            </w:tcBorders>
            <w:vAlign w:val="bottom"/>
          </w:tcPr>
          <w:p w14:paraId="00D9AF3A" w14:textId="77777777" w:rsidR="0016725E" w:rsidRPr="00150BDF" w:rsidRDefault="0016725E" w:rsidP="007A0528">
            <w:pPr>
              <w:widowControl w:val="0"/>
              <w:jc w:val="right"/>
            </w:pPr>
          </w:p>
        </w:tc>
        <w:tc>
          <w:tcPr>
            <w:tcW w:w="630" w:type="dxa"/>
            <w:tcBorders>
              <w:bottom w:val="single" w:sz="12" w:space="0" w:color="000000"/>
            </w:tcBorders>
            <w:vAlign w:val="bottom"/>
          </w:tcPr>
          <w:p w14:paraId="3A23E5DD" w14:textId="77777777" w:rsidR="0016725E" w:rsidRPr="00150BDF" w:rsidRDefault="0016725E" w:rsidP="007A0528">
            <w:pPr>
              <w:widowControl w:val="0"/>
              <w:jc w:val="right"/>
            </w:pPr>
          </w:p>
        </w:tc>
        <w:tc>
          <w:tcPr>
            <w:tcW w:w="1530" w:type="dxa"/>
            <w:tcBorders>
              <w:bottom w:val="single" w:sz="12" w:space="0" w:color="000000"/>
            </w:tcBorders>
            <w:vAlign w:val="bottom"/>
          </w:tcPr>
          <w:p w14:paraId="0E36260F" w14:textId="77777777" w:rsidR="0016725E" w:rsidRPr="00150BDF" w:rsidRDefault="0016725E" w:rsidP="007A0528">
            <w:pPr>
              <w:widowControl w:val="0"/>
              <w:jc w:val="right"/>
            </w:pPr>
          </w:p>
        </w:tc>
        <w:tc>
          <w:tcPr>
            <w:tcW w:w="990" w:type="dxa"/>
            <w:tcBorders>
              <w:bottom w:val="single" w:sz="12" w:space="0" w:color="000000"/>
            </w:tcBorders>
            <w:vAlign w:val="bottom"/>
          </w:tcPr>
          <w:p w14:paraId="4E5EB310" w14:textId="77777777" w:rsidR="0016725E" w:rsidRPr="00150BDF" w:rsidRDefault="0016725E" w:rsidP="007A0528">
            <w:pPr>
              <w:widowControl w:val="0"/>
              <w:jc w:val="right"/>
            </w:pPr>
          </w:p>
        </w:tc>
      </w:tr>
    </w:tbl>
    <w:p w14:paraId="12E97DE7" w14:textId="19F0C9B7" w:rsidR="000A3016" w:rsidRPr="00622667" w:rsidRDefault="00622667" w:rsidP="00622667">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02999253" w14:textId="52C8B6CD" w:rsidR="000A3016" w:rsidRPr="00622667" w:rsidRDefault="000A3016">
      <w:pPr>
        <w:widowControl w:val="0"/>
        <w:pBdr>
          <w:top w:val="nil"/>
          <w:left w:val="nil"/>
          <w:bottom w:val="nil"/>
          <w:right w:val="nil"/>
          <w:between w:val="nil"/>
        </w:pBdr>
        <w:spacing w:before="200" w:after="200"/>
        <w:jc w:val="both"/>
        <w:rPr>
          <w:i/>
          <w:iCs/>
          <w:color w:val="FF0000"/>
          <w:sz w:val="20"/>
          <w:szCs w:val="20"/>
        </w:rPr>
      </w:pPr>
    </w:p>
    <w:tbl>
      <w:tblPr>
        <w:tblStyle w:val="a7"/>
        <w:tblW w:w="9000" w:type="dxa"/>
        <w:tblLayout w:type="fixed"/>
        <w:tblLook w:val="0400" w:firstRow="0" w:lastRow="0" w:firstColumn="0" w:lastColumn="0" w:noHBand="0" w:noVBand="1"/>
      </w:tblPr>
      <w:tblGrid>
        <w:gridCol w:w="2430"/>
        <w:gridCol w:w="1530"/>
        <w:gridCol w:w="1080"/>
        <w:gridCol w:w="1170"/>
        <w:gridCol w:w="720"/>
        <w:gridCol w:w="1350"/>
        <w:gridCol w:w="720"/>
      </w:tblGrid>
      <w:tr w:rsidR="00CE3B98" w:rsidRPr="005E6923" w14:paraId="68EED0BC" w14:textId="7942DF04" w:rsidTr="00C41B8C">
        <w:trPr>
          <w:cantSplit/>
        </w:trPr>
        <w:tc>
          <w:tcPr>
            <w:tcW w:w="2430" w:type="dxa"/>
            <w:tcBorders>
              <w:bottom w:val="single" w:sz="4" w:space="0" w:color="000000"/>
            </w:tcBorders>
            <w:vAlign w:val="bottom"/>
          </w:tcPr>
          <w:p w14:paraId="4C3AC304" w14:textId="77777777" w:rsidR="00CE3B98" w:rsidRPr="00150BDF" w:rsidRDefault="00CE3B98" w:rsidP="00435D5B">
            <w:pPr>
              <w:widowControl w:val="0"/>
              <w:pBdr>
                <w:top w:val="nil"/>
                <w:left w:val="nil"/>
                <w:bottom w:val="nil"/>
                <w:right w:val="nil"/>
                <w:between w:val="nil"/>
              </w:pBdr>
              <w:ind w:left="113" w:right="-57" w:hanging="113"/>
              <w:rPr>
                <w:b/>
                <w:bCs/>
                <w:i/>
                <w:color w:val="0000FF"/>
              </w:rPr>
            </w:pPr>
            <w:r w:rsidRPr="00150BDF">
              <w:rPr>
                <w:b/>
                <w:bCs/>
                <w:i/>
                <w:color w:val="0000FF"/>
              </w:rPr>
              <w:t>In thousands of EUR</w:t>
            </w:r>
          </w:p>
        </w:tc>
        <w:tc>
          <w:tcPr>
            <w:tcW w:w="1530" w:type="dxa"/>
            <w:tcBorders>
              <w:bottom w:val="single" w:sz="4" w:space="0" w:color="000000"/>
            </w:tcBorders>
          </w:tcPr>
          <w:p w14:paraId="05585589" w14:textId="77777777" w:rsidR="00CE3B98" w:rsidRPr="00C41B8C" w:rsidRDefault="00CE3B98" w:rsidP="00435D5B">
            <w:pPr>
              <w:widowControl w:val="0"/>
              <w:ind w:left="-113"/>
              <w:jc w:val="right"/>
              <w:rPr>
                <w:b/>
                <w:bCs/>
                <w:color w:val="0000FF"/>
              </w:rPr>
            </w:pPr>
            <w:r w:rsidRPr="00C41B8C">
              <w:rPr>
                <w:b/>
                <w:bCs/>
                <w:color w:val="0000FF"/>
              </w:rPr>
              <w:t>Segment 1</w:t>
            </w:r>
          </w:p>
        </w:tc>
        <w:tc>
          <w:tcPr>
            <w:tcW w:w="1080" w:type="dxa"/>
            <w:tcBorders>
              <w:bottom w:val="single" w:sz="4" w:space="0" w:color="000000"/>
            </w:tcBorders>
          </w:tcPr>
          <w:p w14:paraId="28D61D85" w14:textId="77777777" w:rsidR="00CE3B98" w:rsidRPr="00EE0312" w:rsidRDefault="00CE3B98" w:rsidP="00435D5B">
            <w:pPr>
              <w:widowControl w:val="0"/>
              <w:ind w:left="-113"/>
              <w:jc w:val="right"/>
              <w:rPr>
                <w:b/>
                <w:color w:val="0000FF"/>
              </w:rPr>
            </w:pPr>
            <w:r w:rsidRPr="00EE0312">
              <w:rPr>
                <w:b/>
                <w:color w:val="0000FF"/>
              </w:rPr>
              <w:t>Segment 2</w:t>
            </w:r>
          </w:p>
        </w:tc>
        <w:tc>
          <w:tcPr>
            <w:tcW w:w="1170" w:type="dxa"/>
            <w:tcBorders>
              <w:bottom w:val="single" w:sz="4" w:space="0" w:color="000000"/>
            </w:tcBorders>
          </w:tcPr>
          <w:p w14:paraId="39374C5C" w14:textId="77777777" w:rsidR="00CE3B98" w:rsidRPr="00EE0312" w:rsidRDefault="00CE3B98" w:rsidP="00435D5B">
            <w:pPr>
              <w:widowControl w:val="0"/>
              <w:ind w:left="-113"/>
              <w:jc w:val="right"/>
              <w:rPr>
                <w:b/>
                <w:color w:val="0000FF"/>
              </w:rPr>
            </w:pPr>
            <w:r w:rsidRPr="00EE0312">
              <w:rPr>
                <w:b/>
                <w:color w:val="0000FF"/>
              </w:rPr>
              <w:t>Segment 3</w:t>
            </w:r>
          </w:p>
        </w:tc>
        <w:tc>
          <w:tcPr>
            <w:tcW w:w="720" w:type="dxa"/>
            <w:tcBorders>
              <w:bottom w:val="single" w:sz="4" w:space="0" w:color="000000"/>
            </w:tcBorders>
          </w:tcPr>
          <w:p w14:paraId="1979457C" w14:textId="77777777" w:rsidR="00CE3B98" w:rsidRPr="00EE0312" w:rsidRDefault="00CE3B98" w:rsidP="00435D5B">
            <w:pPr>
              <w:widowControl w:val="0"/>
              <w:ind w:left="-113"/>
              <w:jc w:val="right"/>
              <w:rPr>
                <w:b/>
                <w:color w:val="0000FF"/>
              </w:rPr>
            </w:pPr>
            <w:r w:rsidRPr="00EE0312">
              <w:rPr>
                <w:b/>
                <w:color w:val="0000FF"/>
              </w:rPr>
              <w:t>Other</w:t>
            </w:r>
          </w:p>
        </w:tc>
        <w:tc>
          <w:tcPr>
            <w:tcW w:w="1350" w:type="dxa"/>
            <w:tcBorders>
              <w:bottom w:val="single" w:sz="4" w:space="0" w:color="000000"/>
            </w:tcBorders>
          </w:tcPr>
          <w:p w14:paraId="5C6B5447" w14:textId="7919CAE8" w:rsidR="00CE3B98" w:rsidRPr="00EE0312" w:rsidRDefault="00CE3B98" w:rsidP="00435D5B">
            <w:pPr>
              <w:widowControl w:val="0"/>
              <w:ind w:left="-113"/>
              <w:jc w:val="right"/>
              <w:rPr>
                <w:b/>
                <w:color w:val="0000FF"/>
              </w:rPr>
            </w:pPr>
            <w:r w:rsidRPr="00EE0312">
              <w:rPr>
                <w:b/>
                <w:color w:val="0000FF"/>
              </w:rPr>
              <w:t>Eliminations</w:t>
            </w:r>
          </w:p>
        </w:tc>
        <w:tc>
          <w:tcPr>
            <w:tcW w:w="720" w:type="dxa"/>
            <w:tcBorders>
              <w:bottom w:val="single" w:sz="4" w:space="0" w:color="000000"/>
            </w:tcBorders>
          </w:tcPr>
          <w:p w14:paraId="1C8D0468" w14:textId="77777777" w:rsidR="00CE3B98" w:rsidRPr="00EE0312" w:rsidRDefault="00CE3B98" w:rsidP="00435D5B">
            <w:pPr>
              <w:widowControl w:val="0"/>
              <w:ind w:left="-113"/>
              <w:jc w:val="right"/>
              <w:rPr>
                <w:b/>
                <w:color w:val="0000FF"/>
              </w:rPr>
            </w:pPr>
            <w:r w:rsidRPr="00EE0312">
              <w:rPr>
                <w:b/>
                <w:color w:val="0000FF"/>
              </w:rPr>
              <w:t>Total</w:t>
            </w:r>
          </w:p>
        </w:tc>
      </w:tr>
      <w:tr w:rsidR="00CE3B98" w:rsidRPr="005E6923" w14:paraId="642ADE5E" w14:textId="699D2304" w:rsidTr="00C41B8C">
        <w:trPr>
          <w:cantSplit/>
        </w:trPr>
        <w:tc>
          <w:tcPr>
            <w:tcW w:w="2430" w:type="dxa"/>
            <w:tcBorders>
              <w:top w:val="single" w:sz="4" w:space="0" w:color="000000"/>
            </w:tcBorders>
            <w:vAlign w:val="bottom"/>
          </w:tcPr>
          <w:p w14:paraId="2CCABD06" w14:textId="77777777" w:rsidR="00CE3B98" w:rsidRPr="00C41B8C" w:rsidRDefault="00CE3B98">
            <w:pPr>
              <w:widowControl w:val="0"/>
              <w:ind w:left="113" w:right="-57" w:hanging="113"/>
              <w:rPr>
                <w:b/>
                <w:color w:val="0000FF"/>
              </w:rPr>
            </w:pPr>
            <w:r w:rsidRPr="00C41B8C">
              <w:rPr>
                <w:b/>
                <w:color w:val="0000FF"/>
              </w:rPr>
              <w:t> </w:t>
            </w:r>
          </w:p>
        </w:tc>
        <w:tc>
          <w:tcPr>
            <w:tcW w:w="1530" w:type="dxa"/>
            <w:tcBorders>
              <w:top w:val="single" w:sz="4" w:space="0" w:color="000000"/>
            </w:tcBorders>
            <w:vAlign w:val="bottom"/>
          </w:tcPr>
          <w:p w14:paraId="78C26B43" w14:textId="77777777" w:rsidR="00CE3B98" w:rsidRPr="00C41B8C" w:rsidRDefault="00CE3B98">
            <w:pPr>
              <w:widowControl w:val="0"/>
              <w:jc w:val="right"/>
              <w:rPr>
                <w:color w:val="0000FF"/>
              </w:rPr>
            </w:pPr>
          </w:p>
        </w:tc>
        <w:tc>
          <w:tcPr>
            <w:tcW w:w="1080" w:type="dxa"/>
            <w:tcBorders>
              <w:top w:val="single" w:sz="4" w:space="0" w:color="000000"/>
            </w:tcBorders>
            <w:vAlign w:val="bottom"/>
          </w:tcPr>
          <w:p w14:paraId="5599F29C" w14:textId="77777777" w:rsidR="00CE3B98" w:rsidRPr="00C41B8C" w:rsidRDefault="00CE3B98">
            <w:pPr>
              <w:widowControl w:val="0"/>
              <w:jc w:val="right"/>
              <w:rPr>
                <w:color w:val="0000FF"/>
              </w:rPr>
            </w:pPr>
          </w:p>
        </w:tc>
        <w:tc>
          <w:tcPr>
            <w:tcW w:w="1170" w:type="dxa"/>
            <w:tcBorders>
              <w:top w:val="single" w:sz="4" w:space="0" w:color="000000"/>
            </w:tcBorders>
            <w:vAlign w:val="bottom"/>
          </w:tcPr>
          <w:p w14:paraId="0DFD1B86" w14:textId="77777777" w:rsidR="00CE3B98" w:rsidRPr="00C41B8C" w:rsidRDefault="00CE3B98">
            <w:pPr>
              <w:widowControl w:val="0"/>
              <w:jc w:val="right"/>
              <w:rPr>
                <w:color w:val="0000FF"/>
              </w:rPr>
            </w:pPr>
          </w:p>
        </w:tc>
        <w:tc>
          <w:tcPr>
            <w:tcW w:w="720" w:type="dxa"/>
            <w:tcBorders>
              <w:top w:val="single" w:sz="4" w:space="0" w:color="000000"/>
            </w:tcBorders>
            <w:vAlign w:val="bottom"/>
          </w:tcPr>
          <w:p w14:paraId="421596C8" w14:textId="77777777" w:rsidR="00CE3B98" w:rsidRPr="00C41B8C" w:rsidRDefault="00CE3B98">
            <w:pPr>
              <w:widowControl w:val="0"/>
              <w:jc w:val="right"/>
              <w:rPr>
                <w:color w:val="0000FF"/>
              </w:rPr>
            </w:pPr>
          </w:p>
        </w:tc>
        <w:tc>
          <w:tcPr>
            <w:tcW w:w="1350" w:type="dxa"/>
            <w:tcBorders>
              <w:top w:val="single" w:sz="4" w:space="0" w:color="000000"/>
            </w:tcBorders>
            <w:vAlign w:val="bottom"/>
          </w:tcPr>
          <w:p w14:paraId="51464BD9" w14:textId="77777777" w:rsidR="00CE3B98" w:rsidRPr="00C41B8C" w:rsidRDefault="00CE3B98">
            <w:pPr>
              <w:widowControl w:val="0"/>
              <w:jc w:val="right"/>
              <w:rPr>
                <w:color w:val="0000FF"/>
              </w:rPr>
            </w:pPr>
          </w:p>
        </w:tc>
        <w:tc>
          <w:tcPr>
            <w:tcW w:w="720" w:type="dxa"/>
            <w:tcBorders>
              <w:top w:val="single" w:sz="4" w:space="0" w:color="000000"/>
            </w:tcBorders>
            <w:vAlign w:val="bottom"/>
          </w:tcPr>
          <w:p w14:paraId="10D8B1D4" w14:textId="77777777" w:rsidR="00CE3B98" w:rsidRPr="00C41B8C" w:rsidRDefault="00CE3B98">
            <w:pPr>
              <w:widowControl w:val="0"/>
              <w:jc w:val="right"/>
              <w:rPr>
                <w:color w:val="0000FF"/>
              </w:rPr>
            </w:pPr>
          </w:p>
        </w:tc>
      </w:tr>
      <w:tr w:rsidR="00CE3B98" w:rsidRPr="005E6923" w14:paraId="63682153" w14:textId="7E6EC0EF" w:rsidTr="00C41B8C">
        <w:trPr>
          <w:cantSplit/>
        </w:trPr>
        <w:tc>
          <w:tcPr>
            <w:tcW w:w="2430" w:type="dxa"/>
            <w:vAlign w:val="bottom"/>
          </w:tcPr>
          <w:p w14:paraId="5BA19982" w14:textId="515EC6C2" w:rsidR="00CE3B98" w:rsidRPr="00C41B8C" w:rsidRDefault="00CE3B98">
            <w:pPr>
              <w:widowControl w:val="0"/>
              <w:ind w:left="113" w:right="-57" w:hanging="113"/>
              <w:rPr>
                <w:b/>
                <w:color w:val="0000FF"/>
              </w:rPr>
            </w:pPr>
            <w:r w:rsidRPr="00C41B8C">
              <w:rPr>
                <w:b/>
                <w:color w:val="0000FF"/>
              </w:rPr>
              <w:t>2025</w:t>
            </w:r>
          </w:p>
        </w:tc>
        <w:tc>
          <w:tcPr>
            <w:tcW w:w="1530" w:type="dxa"/>
            <w:vAlign w:val="bottom"/>
          </w:tcPr>
          <w:p w14:paraId="618AF681" w14:textId="77777777" w:rsidR="00CE3B98" w:rsidRPr="00C41B8C" w:rsidRDefault="00CE3B98">
            <w:pPr>
              <w:widowControl w:val="0"/>
              <w:jc w:val="right"/>
              <w:rPr>
                <w:color w:val="0000FF"/>
              </w:rPr>
            </w:pPr>
          </w:p>
        </w:tc>
        <w:tc>
          <w:tcPr>
            <w:tcW w:w="1080" w:type="dxa"/>
            <w:vAlign w:val="bottom"/>
          </w:tcPr>
          <w:p w14:paraId="2B1F8A62" w14:textId="77777777" w:rsidR="00CE3B98" w:rsidRPr="00C41B8C" w:rsidRDefault="00CE3B98">
            <w:pPr>
              <w:widowControl w:val="0"/>
              <w:jc w:val="right"/>
              <w:rPr>
                <w:color w:val="0000FF"/>
              </w:rPr>
            </w:pPr>
          </w:p>
        </w:tc>
        <w:tc>
          <w:tcPr>
            <w:tcW w:w="1170" w:type="dxa"/>
            <w:vAlign w:val="bottom"/>
          </w:tcPr>
          <w:p w14:paraId="740C8B12" w14:textId="77777777" w:rsidR="00CE3B98" w:rsidRPr="00C41B8C" w:rsidRDefault="00CE3B98">
            <w:pPr>
              <w:widowControl w:val="0"/>
              <w:jc w:val="right"/>
              <w:rPr>
                <w:color w:val="0000FF"/>
              </w:rPr>
            </w:pPr>
          </w:p>
        </w:tc>
        <w:tc>
          <w:tcPr>
            <w:tcW w:w="720" w:type="dxa"/>
            <w:vAlign w:val="bottom"/>
          </w:tcPr>
          <w:p w14:paraId="20401798" w14:textId="77777777" w:rsidR="00CE3B98" w:rsidRPr="00C41B8C" w:rsidRDefault="00CE3B98">
            <w:pPr>
              <w:widowControl w:val="0"/>
              <w:jc w:val="right"/>
              <w:rPr>
                <w:color w:val="0000FF"/>
              </w:rPr>
            </w:pPr>
          </w:p>
        </w:tc>
        <w:tc>
          <w:tcPr>
            <w:tcW w:w="1350" w:type="dxa"/>
            <w:vAlign w:val="bottom"/>
          </w:tcPr>
          <w:p w14:paraId="55D5E4FB" w14:textId="77777777" w:rsidR="00CE3B98" w:rsidRPr="00C41B8C" w:rsidRDefault="00CE3B98">
            <w:pPr>
              <w:widowControl w:val="0"/>
              <w:jc w:val="right"/>
              <w:rPr>
                <w:color w:val="0000FF"/>
              </w:rPr>
            </w:pPr>
          </w:p>
        </w:tc>
        <w:tc>
          <w:tcPr>
            <w:tcW w:w="720" w:type="dxa"/>
            <w:vAlign w:val="bottom"/>
          </w:tcPr>
          <w:p w14:paraId="09BE44F5" w14:textId="77777777" w:rsidR="00CE3B98" w:rsidRPr="00C41B8C" w:rsidRDefault="00CE3B98">
            <w:pPr>
              <w:widowControl w:val="0"/>
              <w:jc w:val="right"/>
              <w:rPr>
                <w:color w:val="0000FF"/>
              </w:rPr>
            </w:pPr>
          </w:p>
        </w:tc>
      </w:tr>
      <w:tr w:rsidR="00CE3B98" w:rsidRPr="005E6923" w14:paraId="6B17244C" w14:textId="044AE24C" w:rsidTr="00C41B8C">
        <w:trPr>
          <w:cantSplit/>
        </w:trPr>
        <w:tc>
          <w:tcPr>
            <w:tcW w:w="2430" w:type="dxa"/>
            <w:vAlign w:val="bottom"/>
          </w:tcPr>
          <w:p w14:paraId="2CD36171" w14:textId="77777777" w:rsidR="00CE3B98" w:rsidRPr="00C41B8C" w:rsidRDefault="00CE3B98">
            <w:pPr>
              <w:widowControl w:val="0"/>
              <w:pBdr>
                <w:top w:val="nil"/>
                <w:left w:val="nil"/>
                <w:bottom w:val="nil"/>
                <w:right w:val="nil"/>
                <w:between w:val="nil"/>
              </w:pBdr>
              <w:ind w:left="113" w:right="-57" w:hanging="113"/>
              <w:rPr>
                <w:color w:val="0000FF"/>
              </w:rPr>
            </w:pPr>
            <w:r w:rsidRPr="00C41B8C">
              <w:rPr>
                <w:b/>
                <w:color w:val="0000FF"/>
              </w:rPr>
              <w:t> </w:t>
            </w:r>
          </w:p>
        </w:tc>
        <w:tc>
          <w:tcPr>
            <w:tcW w:w="1530" w:type="dxa"/>
            <w:vAlign w:val="bottom"/>
          </w:tcPr>
          <w:p w14:paraId="444E024B" w14:textId="77777777" w:rsidR="00CE3B98" w:rsidRPr="00C41B8C" w:rsidRDefault="00CE3B98">
            <w:pPr>
              <w:widowControl w:val="0"/>
              <w:jc w:val="right"/>
              <w:rPr>
                <w:color w:val="0000FF"/>
              </w:rPr>
            </w:pPr>
          </w:p>
        </w:tc>
        <w:tc>
          <w:tcPr>
            <w:tcW w:w="1080" w:type="dxa"/>
            <w:vAlign w:val="bottom"/>
          </w:tcPr>
          <w:p w14:paraId="7FBAD3B4" w14:textId="77777777" w:rsidR="00CE3B98" w:rsidRPr="00C41B8C" w:rsidRDefault="00CE3B98">
            <w:pPr>
              <w:widowControl w:val="0"/>
              <w:jc w:val="right"/>
              <w:rPr>
                <w:color w:val="0000FF"/>
              </w:rPr>
            </w:pPr>
          </w:p>
        </w:tc>
        <w:tc>
          <w:tcPr>
            <w:tcW w:w="1170" w:type="dxa"/>
            <w:vAlign w:val="bottom"/>
          </w:tcPr>
          <w:p w14:paraId="3D58A623" w14:textId="77777777" w:rsidR="00CE3B98" w:rsidRPr="00C41B8C" w:rsidRDefault="00CE3B98">
            <w:pPr>
              <w:widowControl w:val="0"/>
              <w:jc w:val="right"/>
              <w:rPr>
                <w:color w:val="0000FF"/>
              </w:rPr>
            </w:pPr>
          </w:p>
        </w:tc>
        <w:tc>
          <w:tcPr>
            <w:tcW w:w="720" w:type="dxa"/>
            <w:vAlign w:val="bottom"/>
          </w:tcPr>
          <w:p w14:paraId="0CEA6F66" w14:textId="77777777" w:rsidR="00CE3B98" w:rsidRPr="00C41B8C" w:rsidRDefault="00CE3B98">
            <w:pPr>
              <w:widowControl w:val="0"/>
              <w:jc w:val="right"/>
              <w:rPr>
                <w:color w:val="0000FF"/>
              </w:rPr>
            </w:pPr>
          </w:p>
        </w:tc>
        <w:tc>
          <w:tcPr>
            <w:tcW w:w="1350" w:type="dxa"/>
            <w:vAlign w:val="bottom"/>
          </w:tcPr>
          <w:p w14:paraId="18C05800" w14:textId="77777777" w:rsidR="00CE3B98" w:rsidRPr="00C41B8C" w:rsidRDefault="00CE3B98">
            <w:pPr>
              <w:widowControl w:val="0"/>
              <w:jc w:val="right"/>
              <w:rPr>
                <w:color w:val="0000FF"/>
              </w:rPr>
            </w:pPr>
          </w:p>
        </w:tc>
        <w:tc>
          <w:tcPr>
            <w:tcW w:w="720" w:type="dxa"/>
            <w:vAlign w:val="bottom"/>
          </w:tcPr>
          <w:p w14:paraId="25FCB777" w14:textId="77777777" w:rsidR="00CE3B98" w:rsidRPr="00C41B8C" w:rsidRDefault="00CE3B98">
            <w:pPr>
              <w:widowControl w:val="0"/>
              <w:jc w:val="right"/>
              <w:rPr>
                <w:color w:val="0000FF"/>
              </w:rPr>
            </w:pPr>
          </w:p>
        </w:tc>
      </w:tr>
      <w:tr w:rsidR="00CE3B98" w:rsidRPr="005E6923" w14:paraId="10E74E60" w14:textId="49730699" w:rsidTr="00C41B8C">
        <w:trPr>
          <w:cantSplit/>
        </w:trPr>
        <w:tc>
          <w:tcPr>
            <w:tcW w:w="2430" w:type="dxa"/>
            <w:vAlign w:val="bottom"/>
          </w:tcPr>
          <w:p w14:paraId="71D8702B"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External revenues</w:t>
            </w:r>
          </w:p>
        </w:tc>
        <w:tc>
          <w:tcPr>
            <w:tcW w:w="1530" w:type="dxa"/>
            <w:vAlign w:val="bottom"/>
          </w:tcPr>
          <w:p w14:paraId="17540581" w14:textId="77777777" w:rsidR="00CE3B98" w:rsidRPr="00C41B8C" w:rsidRDefault="00CE3B98">
            <w:pPr>
              <w:widowControl w:val="0"/>
              <w:jc w:val="right"/>
              <w:rPr>
                <w:color w:val="0000FF"/>
              </w:rPr>
            </w:pPr>
          </w:p>
        </w:tc>
        <w:tc>
          <w:tcPr>
            <w:tcW w:w="1080" w:type="dxa"/>
            <w:vAlign w:val="bottom"/>
          </w:tcPr>
          <w:p w14:paraId="0D63DE4A" w14:textId="77777777" w:rsidR="00CE3B98" w:rsidRPr="00C41B8C" w:rsidRDefault="00CE3B98">
            <w:pPr>
              <w:widowControl w:val="0"/>
              <w:jc w:val="right"/>
              <w:rPr>
                <w:color w:val="0000FF"/>
              </w:rPr>
            </w:pPr>
          </w:p>
        </w:tc>
        <w:tc>
          <w:tcPr>
            <w:tcW w:w="1170" w:type="dxa"/>
            <w:vAlign w:val="bottom"/>
          </w:tcPr>
          <w:p w14:paraId="4B5367BE" w14:textId="77777777" w:rsidR="00CE3B98" w:rsidRPr="00C41B8C" w:rsidRDefault="00CE3B98">
            <w:pPr>
              <w:widowControl w:val="0"/>
              <w:jc w:val="right"/>
              <w:rPr>
                <w:color w:val="0000FF"/>
              </w:rPr>
            </w:pPr>
          </w:p>
        </w:tc>
        <w:tc>
          <w:tcPr>
            <w:tcW w:w="720" w:type="dxa"/>
            <w:vAlign w:val="bottom"/>
          </w:tcPr>
          <w:p w14:paraId="59BFB9F7" w14:textId="77777777" w:rsidR="00CE3B98" w:rsidRPr="00C41B8C" w:rsidRDefault="00CE3B98">
            <w:pPr>
              <w:widowControl w:val="0"/>
              <w:jc w:val="right"/>
              <w:rPr>
                <w:color w:val="0000FF"/>
              </w:rPr>
            </w:pPr>
          </w:p>
        </w:tc>
        <w:tc>
          <w:tcPr>
            <w:tcW w:w="1350" w:type="dxa"/>
            <w:vAlign w:val="bottom"/>
          </w:tcPr>
          <w:p w14:paraId="2B4E1FAF" w14:textId="77777777" w:rsidR="00CE3B98" w:rsidRPr="00C41B8C" w:rsidRDefault="00CE3B98">
            <w:pPr>
              <w:widowControl w:val="0"/>
              <w:jc w:val="right"/>
              <w:rPr>
                <w:color w:val="0000FF"/>
              </w:rPr>
            </w:pPr>
          </w:p>
        </w:tc>
        <w:tc>
          <w:tcPr>
            <w:tcW w:w="720" w:type="dxa"/>
            <w:vAlign w:val="bottom"/>
          </w:tcPr>
          <w:p w14:paraId="6F224614" w14:textId="77777777" w:rsidR="00CE3B98" w:rsidRPr="00C41B8C" w:rsidRDefault="00CE3B98">
            <w:pPr>
              <w:widowControl w:val="0"/>
              <w:jc w:val="right"/>
              <w:rPr>
                <w:color w:val="0000FF"/>
              </w:rPr>
            </w:pPr>
          </w:p>
        </w:tc>
      </w:tr>
      <w:tr w:rsidR="00CE3B98" w:rsidRPr="005E6923" w14:paraId="5A5CA08E" w14:textId="587DB53B" w:rsidTr="00C41B8C">
        <w:trPr>
          <w:cantSplit/>
        </w:trPr>
        <w:tc>
          <w:tcPr>
            <w:tcW w:w="2430" w:type="dxa"/>
            <w:vAlign w:val="bottom"/>
          </w:tcPr>
          <w:p w14:paraId="14B67BF0"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Revenues from core activities</w:t>
            </w:r>
          </w:p>
        </w:tc>
        <w:tc>
          <w:tcPr>
            <w:tcW w:w="1530" w:type="dxa"/>
            <w:vAlign w:val="bottom"/>
          </w:tcPr>
          <w:p w14:paraId="37BD6F78" w14:textId="77777777" w:rsidR="00CE3B98" w:rsidRPr="00C41B8C" w:rsidRDefault="00CE3B98">
            <w:pPr>
              <w:widowControl w:val="0"/>
              <w:jc w:val="right"/>
              <w:rPr>
                <w:color w:val="0000FF"/>
              </w:rPr>
            </w:pPr>
          </w:p>
        </w:tc>
        <w:tc>
          <w:tcPr>
            <w:tcW w:w="1080" w:type="dxa"/>
            <w:vAlign w:val="bottom"/>
          </w:tcPr>
          <w:p w14:paraId="796A1ACB" w14:textId="77777777" w:rsidR="00CE3B98" w:rsidRPr="00C41B8C" w:rsidRDefault="00CE3B98">
            <w:pPr>
              <w:widowControl w:val="0"/>
              <w:jc w:val="right"/>
              <w:rPr>
                <w:color w:val="0000FF"/>
              </w:rPr>
            </w:pPr>
          </w:p>
        </w:tc>
        <w:tc>
          <w:tcPr>
            <w:tcW w:w="1170" w:type="dxa"/>
            <w:vAlign w:val="bottom"/>
          </w:tcPr>
          <w:p w14:paraId="7692D388" w14:textId="77777777" w:rsidR="00CE3B98" w:rsidRPr="00C41B8C" w:rsidRDefault="00CE3B98">
            <w:pPr>
              <w:widowControl w:val="0"/>
              <w:jc w:val="right"/>
              <w:rPr>
                <w:color w:val="0000FF"/>
              </w:rPr>
            </w:pPr>
          </w:p>
        </w:tc>
        <w:tc>
          <w:tcPr>
            <w:tcW w:w="720" w:type="dxa"/>
            <w:vAlign w:val="bottom"/>
          </w:tcPr>
          <w:p w14:paraId="79C9F6EC" w14:textId="77777777" w:rsidR="00CE3B98" w:rsidRPr="00C41B8C" w:rsidRDefault="00CE3B98">
            <w:pPr>
              <w:widowControl w:val="0"/>
              <w:jc w:val="right"/>
              <w:rPr>
                <w:color w:val="0000FF"/>
              </w:rPr>
            </w:pPr>
          </w:p>
        </w:tc>
        <w:tc>
          <w:tcPr>
            <w:tcW w:w="1350" w:type="dxa"/>
            <w:vAlign w:val="bottom"/>
          </w:tcPr>
          <w:p w14:paraId="5412B8F0" w14:textId="77777777" w:rsidR="00CE3B98" w:rsidRPr="00C41B8C" w:rsidRDefault="00CE3B98">
            <w:pPr>
              <w:widowControl w:val="0"/>
              <w:jc w:val="right"/>
              <w:rPr>
                <w:color w:val="0000FF"/>
              </w:rPr>
            </w:pPr>
          </w:p>
        </w:tc>
        <w:tc>
          <w:tcPr>
            <w:tcW w:w="720" w:type="dxa"/>
            <w:vAlign w:val="bottom"/>
          </w:tcPr>
          <w:p w14:paraId="6D4DBD1B" w14:textId="77777777" w:rsidR="00CE3B98" w:rsidRPr="00C41B8C" w:rsidRDefault="00CE3B98">
            <w:pPr>
              <w:widowControl w:val="0"/>
              <w:jc w:val="right"/>
              <w:rPr>
                <w:color w:val="0000FF"/>
              </w:rPr>
            </w:pPr>
          </w:p>
        </w:tc>
      </w:tr>
      <w:tr w:rsidR="00CE3B98" w:rsidRPr="005E6923" w14:paraId="612C6E59" w14:textId="01391A96" w:rsidTr="00C41B8C">
        <w:trPr>
          <w:cantSplit/>
        </w:trPr>
        <w:tc>
          <w:tcPr>
            <w:tcW w:w="2430" w:type="dxa"/>
            <w:vAlign w:val="bottom"/>
          </w:tcPr>
          <w:p w14:paraId="2E884938"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Interest income</w:t>
            </w:r>
          </w:p>
        </w:tc>
        <w:tc>
          <w:tcPr>
            <w:tcW w:w="1530" w:type="dxa"/>
            <w:vAlign w:val="bottom"/>
          </w:tcPr>
          <w:p w14:paraId="3D6DB6D2" w14:textId="77777777" w:rsidR="00CE3B98" w:rsidRPr="00C41B8C" w:rsidRDefault="00CE3B98">
            <w:pPr>
              <w:widowControl w:val="0"/>
              <w:jc w:val="right"/>
              <w:rPr>
                <w:color w:val="0000FF"/>
              </w:rPr>
            </w:pPr>
          </w:p>
        </w:tc>
        <w:tc>
          <w:tcPr>
            <w:tcW w:w="1080" w:type="dxa"/>
            <w:vAlign w:val="bottom"/>
          </w:tcPr>
          <w:p w14:paraId="350B6916" w14:textId="77777777" w:rsidR="00CE3B98" w:rsidRPr="00C41B8C" w:rsidRDefault="00CE3B98">
            <w:pPr>
              <w:widowControl w:val="0"/>
              <w:jc w:val="right"/>
              <w:rPr>
                <w:color w:val="0000FF"/>
              </w:rPr>
            </w:pPr>
          </w:p>
        </w:tc>
        <w:tc>
          <w:tcPr>
            <w:tcW w:w="1170" w:type="dxa"/>
            <w:vAlign w:val="bottom"/>
          </w:tcPr>
          <w:p w14:paraId="11CB3FD2" w14:textId="77777777" w:rsidR="00CE3B98" w:rsidRPr="00C41B8C" w:rsidRDefault="00CE3B98">
            <w:pPr>
              <w:widowControl w:val="0"/>
              <w:jc w:val="right"/>
              <w:rPr>
                <w:color w:val="0000FF"/>
              </w:rPr>
            </w:pPr>
          </w:p>
        </w:tc>
        <w:tc>
          <w:tcPr>
            <w:tcW w:w="720" w:type="dxa"/>
            <w:vAlign w:val="bottom"/>
          </w:tcPr>
          <w:p w14:paraId="3D5C1210" w14:textId="77777777" w:rsidR="00CE3B98" w:rsidRPr="00C41B8C" w:rsidRDefault="00CE3B98">
            <w:pPr>
              <w:widowControl w:val="0"/>
              <w:jc w:val="right"/>
              <w:rPr>
                <w:color w:val="0000FF"/>
              </w:rPr>
            </w:pPr>
          </w:p>
        </w:tc>
        <w:tc>
          <w:tcPr>
            <w:tcW w:w="1350" w:type="dxa"/>
            <w:vAlign w:val="bottom"/>
          </w:tcPr>
          <w:p w14:paraId="102DC130" w14:textId="77777777" w:rsidR="00CE3B98" w:rsidRPr="00C41B8C" w:rsidRDefault="00CE3B98">
            <w:pPr>
              <w:widowControl w:val="0"/>
              <w:jc w:val="right"/>
              <w:rPr>
                <w:color w:val="0000FF"/>
              </w:rPr>
            </w:pPr>
          </w:p>
        </w:tc>
        <w:tc>
          <w:tcPr>
            <w:tcW w:w="720" w:type="dxa"/>
            <w:vAlign w:val="bottom"/>
          </w:tcPr>
          <w:p w14:paraId="46590BF4" w14:textId="77777777" w:rsidR="00CE3B98" w:rsidRPr="00C41B8C" w:rsidRDefault="00CE3B98">
            <w:pPr>
              <w:widowControl w:val="0"/>
              <w:jc w:val="right"/>
              <w:rPr>
                <w:color w:val="0000FF"/>
              </w:rPr>
            </w:pPr>
          </w:p>
        </w:tc>
      </w:tr>
      <w:tr w:rsidR="00CE3B98" w:rsidRPr="005E6923" w14:paraId="04A79447" w14:textId="319816D3" w:rsidTr="00C41B8C">
        <w:trPr>
          <w:cantSplit/>
        </w:trPr>
        <w:tc>
          <w:tcPr>
            <w:tcW w:w="2430" w:type="dxa"/>
            <w:vAlign w:val="bottom"/>
          </w:tcPr>
          <w:p w14:paraId="00923CF4"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Other income</w:t>
            </w:r>
          </w:p>
        </w:tc>
        <w:tc>
          <w:tcPr>
            <w:tcW w:w="1530" w:type="dxa"/>
            <w:vAlign w:val="bottom"/>
          </w:tcPr>
          <w:p w14:paraId="05391058" w14:textId="77777777" w:rsidR="00CE3B98" w:rsidRPr="00C41B8C" w:rsidRDefault="00CE3B98">
            <w:pPr>
              <w:widowControl w:val="0"/>
              <w:jc w:val="right"/>
              <w:rPr>
                <w:color w:val="0000FF"/>
              </w:rPr>
            </w:pPr>
          </w:p>
        </w:tc>
        <w:tc>
          <w:tcPr>
            <w:tcW w:w="1080" w:type="dxa"/>
            <w:vAlign w:val="bottom"/>
          </w:tcPr>
          <w:p w14:paraId="7934C02E" w14:textId="77777777" w:rsidR="00CE3B98" w:rsidRPr="00C41B8C" w:rsidRDefault="00CE3B98">
            <w:pPr>
              <w:widowControl w:val="0"/>
              <w:jc w:val="right"/>
              <w:rPr>
                <w:color w:val="0000FF"/>
              </w:rPr>
            </w:pPr>
          </w:p>
        </w:tc>
        <w:tc>
          <w:tcPr>
            <w:tcW w:w="1170" w:type="dxa"/>
            <w:vAlign w:val="bottom"/>
          </w:tcPr>
          <w:p w14:paraId="77BDA398" w14:textId="77777777" w:rsidR="00CE3B98" w:rsidRPr="00C41B8C" w:rsidRDefault="00CE3B98">
            <w:pPr>
              <w:widowControl w:val="0"/>
              <w:jc w:val="right"/>
              <w:rPr>
                <w:color w:val="0000FF"/>
              </w:rPr>
            </w:pPr>
          </w:p>
        </w:tc>
        <w:tc>
          <w:tcPr>
            <w:tcW w:w="720" w:type="dxa"/>
            <w:vAlign w:val="bottom"/>
          </w:tcPr>
          <w:p w14:paraId="4139FAFA" w14:textId="77777777" w:rsidR="00CE3B98" w:rsidRPr="00C41B8C" w:rsidRDefault="00CE3B98">
            <w:pPr>
              <w:widowControl w:val="0"/>
              <w:jc w:val="right"/>
              <w:rPr>
                <w:color w:val="0000FF"/>
              </w:rPr>
            </w:pPr>
          </w:p>
        </w:tc>
        <w:tc>
          <w:tcPr>
            <w:tcW w:w="1350" w:type="dxa"/>
            <w:vAlign w:val="bottom"/>
          </w:tcPr>
          <w:p w14:paraId="685E0CEE" w14:textId="77777777" w:rsidR="00CE3B98" w:rsidRPr="00C41B8C" w:rsidRDefault="00CE3B98">
            <w:pPr>
              <w:widowControl w:val="0"/>
              <w:jc w:val="right"/>
              <w:rPr>
                <w:color w:val="0000FF"/>
              </w:rPr>
            </w:pPr>
          </w:p>
        </w:tc>
        <w:tc>
          <w:tcPr>
            <w:tcW w:w="720" w:type="dxa"/>
            <w:vAlign w:val="bottom"/>
          </w:tcPr>
          <w:p w14:paraId="7B22E491" w14:textId="77777777" w:rsidR="00CE3B98" w:rsidRPr="00C41B8C" w:rsidRDefault="00CE3B98">
            <w:pPr>
              <w:widowControl w:val="0"/>
              <w:jc w:val="right"/>
              <w:rPr>
                <w:color w:val="0000FF"/>
              </w:rPr>
            </w:pPr>
          </w:p>
        </w:tc>
      </w:tr>
      <w:tr w:rsidR="00CE3B98" w:rsidRPr="005E6923" w14:paraId="0132314E" w14:textId="328A11E1" w:rsidTr="00C41B8C">
        <w:trPr>
          <w:cantSplit/>
        </w:trPr>
        <w:tc>
          <w:tcPr>
            <w:tcW w:w="2430" w:type="dxa"/>
            <w:vAlign w:val="bottom"/>
          </w:tcPr>
          <w:p w14:paraId="2BF0162D" w14:textId="77777777" w:rsidR="00CE3B98" w:rsidRPr="00150BDF" w:rsidRDefault="00CE3B98">
            <w:pPr>
              <w:widowControl w:val="0"/>
              <w:pBdr>
                <w:top w:val="nil"/>
                <w:left w:val="nil"/>
                <w:bottom w:val="nil"/>
                <w:right w:val="nil"/>
                <w:between w:val="nil"/>
              </w:pBdr>
              <w:ind w:left="113" w:right="-57" w:hanging="113"/>
              <w:rPr>
                <w:color w:val="0000FF"/>
              </w:rPr>
            </w:pPr>
            <w:r w:rsidRPr="00150BDF">
              <w:rPr>
                <w:b/>
                <w:color w:val="0000FF"/>
              </w:rPr>
              <w:t> </w:t>
            </w:r>
          </w:p>
        </w:tc>
        <w:tc>
          <w:tcPr>
            <w:tcW w:w="1530" w:type="dxa"/>
            <w:vAlign w:val="bottom"/>
          </w:tcPr>
          <w:p w14:paraId="348F8089" w14:textId="77777777" w:rsidR="00CE3B98" w:rsidRPr="00150BDF" w:rsidRDefault="00CE3B98">
            <w:pPr>
              <w:widowControl w:val="0"/>
              <w:jc w:val="right"/>
              <w:rPr>
                <w:color w:val="0000FF"/>
              </w:rPr>
            </w:pPr>
          </w:p>
        </w:tc>
        <w:tc>
          <w:tcPr>
            <w:tcW w:w="1080" w:type="dxa"/>
            <w:vAlign w:val="bottom"/>
          </w:tcPr>
          <w:p w14:paraId="0042C67D" w14:textId="77777777" w:rsidR="00CE3B98" w:rsidRPr="00150BDF" w:rsidRDefault="00CE3B98">
            <w:pPr>
              <w:widowControl w:val="0"/>
              <w:jc w:val="right"/>
              <w:rPr>
                <w:color w:val="0000FF"/>
              </w:rPr>
            </w:pPr>
          </w:p>
        </w:tc>
        <w:tc>
          <w:tcPr>
            <w:tcW w:w="1170" w:type="dxa"/>
            <w:vAlign w:val="bottom"/>
          </w:tcPr>
          <w:p w14:paraId="1CC55E2A" w14:textId="77777777" w:rsidR="00CE3B98" w:rsidRPr="00150BDF" w:rsidRDefault="00CE3B98">
            <w:pPr>
              <w:widowControl w:val="0"/>
              <w:jc w:val="right"/>
              <w:rPr>
                <w:color w:val="0000FF"/>
              </w:rPr>
            </w:pPr>
          </w:p>
        </w:tc>
        <w:tc>
          <w:tcPr>
            <w:tcW w:w="720" w:type="dxa"/>
            <w:vAlign w:val="bottom"/>
          </w:tcPr>
          <w:p w14:paraId="5ABA1FF0" w14:textId="77777777" w:rsidR="00CE3B98" w:rsidRPr="00150BDF" w:rsidRDefault="00CE3B98">
            <w:pPr>
              <w:widowControl w:val="0"/>
              <w:jc w:val="right"/>
              <w:rPr>
                <w:color w:val="0000FF"/>
              </w:rPr>
            </w:pPr>
          </w:p>
        </w:tc>
        <w:tc>
          <w:tcPr>
            <w:tcW w:w="1350" w:type="dxa"/>
            <w:vAlign w:val="bottom"/>
          </w:tcPr>
          <w:p w14:paraId="316828A2" w14:textId="77777777" w:rsidR="00CE3B98" w:rsidRPr="00150BDF" w:rsidRDefault="00CE3B98">
            <w:pPr>
              <w:widowControl w:val="0"/>
              <w:jc w:val="right"/>
              <w:rPr>
                <w:color w:val="0000FF"/>
              </w:rPr>
            </w:pPr>
          </w:p>
        </w:tc>
        <w:tc>
          <w:tcPr>
            <w:tcW w:w="720" w:type="dxa"/>
            <w:vAlign w:val="bottom"/>
          </w:tcPr>
          <w:p w14:paraId="03EB9EA7" w14:textId="77777777" w:rsidR="00CE3B98" w:rsidRPr="00150BDF" w:rsidRDefault="00CE3B98">
            <w:pPr>
              <w:widowControl w:val="0"/>
              <w:jc w:val="right"/>
              <w:rPr>
                <w:color w:val="0000FF"/>
              </w:rPr>
            </w:pPr>
          </w:p>
        </w:tc>
      </w:tr>
      <w:tr w:rsidR="00CE3B98" w:rsidRPr="005E6923" w14:paraId="7A2B02FC" w14:textId="2EE8A820" w:rsidTr="00C41B8C">
        <w:trPr>
          <w:cantSplit/>
        </w:trPr>
        <w:tc>
          <w:tcPr>
            <w:tcW w:w="2430" w:type="dxa"/>
            <w:vAlign w:val="bottom"/>
          </w:tcPr>
          <w:p w14:paraId="7D9A3F7F" w14:textId="4A040F4D"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xml:space="preserve">Inter-segment revenues </w:t>
            </w:r>
          </w:p>
        </w:tc>
        <w:tc>
          <w:tcPr>
            <w:tcW w:w="1530" w:type="dxa"/>
            <w:vAlign w:val="bottom"/>
          </w:tcPr>
          <w:p w14:paraId="2182D3E4" w14:textId="77777777" w:rsidR="00CE3B98" w:rsidRPr="00C41B8C" w:rsidRDefault="00CE3B98">
            <w:pPr>
              <w:widowControl w:val="0"/>
              <w:jc w:val="right"/>
              <w:rPr>
                <w:color w:val="0000FF"/>
              </w:rPr>
            </w:pPr>
          </w:p>
        </w:tc>
        <w:tc>
          <w:tcPr>
            <w:tcW w:w="1080" w:type="dxa"/>
            <w:vAlign w:val="bottom"/>
          </w:tcPr>
          <w:p w14:paraId="33078E4C" w14:textId="77777777" w:rsidR="00CE3B98" w:rsidRPr="00C41B8C" w:rsidRDefault="00CE3B98">
            <w:pPr>
              <w:widowControl w:val="0"/>
              <w:jc w:val="right"/>
              <w:rPr>
                <w:color w:val="0000FF"/>
              </w:rPr>
            </w:pPr>
          </w:p>
        </w:tc>
        <w:tc>
          <w:tcPr>
            <w:tcW w:w="1170" w:type="dxa"/>
            <w:vAlign w:val="bottom"/>
          </w:tcPr>
          <w:p w14:paraId="43EAC37D" w14:textId="77777777" w:rsidR="00CE3B98" w:rsidRPr="00C41B8C" w:rsidRDefault="00CE3B98">
            <w:pPr>
              <w:widowControl w:val="0"/>
              <w:jc w:val="right"/>
              <w:rPr>
                <w:color w:val="0000FF"/>
              </w:rPr>
            </w:pPr>
          </w:p>
        </w:tc>
        <w:tc>
          <w:tcPr>
            <w:tcW w:w="720" w:type="dxa"/>
            <w:vAlign w:val="bottom"/>
          </w:tcPr>
          <w:p w14:paraId="205A6FFF" w14:textId="77777777" w:rsidR="00CE3B98" w:rsidRPr="00C41B8C" w:rsidRDefault="00CE3B98">
            <w:pPr>
              <w:widowControl w:val="0"/>
              <w:jc w:val="right"/>
              <w:rPr>
                <w:color w:val="0000FF"/>
              </w:rPr>
            </w:pPr>
          </w:p>
        </w:tc>
        <w:tc>
          <w:tcPr>
            <w:tcW w:w="1350" w:type="dxa"/>
            <w:vAlign w:val="bottom"/>
          </w:tcPr>
          <w:p w14:paraId="48875E75" w14:textId="77777777" w:rsidR="00CE3B98" w:rsidRPr="00C41B8C" w:rsidRDefault="00CE3B98">
            <w:pPr>
              <w:widowControl w:val="0"/>
              <w:jc w:val="right"/>
              <w:rPr>
                <w:color w:val="0000FF"/>
              </w:rPr>
            </w:pPr>
          </w:p>
        </w:tc>
        <w:tc>
          <w:tcPr>
            <w:tcW w:w="720" w:type="dxa"/>
            <w:vAlign w:val="bottom"/>
          </w:tcPr>
          <w:p w14:paraId="0C3F79A9" w14:textId="77777777" w:rsidR="00CE3B98" w:rsidRPr="00C41B8C" w:rsidRDefault="00CE3B98">
            <w:pPr>
              <w:widowControl w:val="0"/>
              <w:jc w:val="right"/>
              <w:rPr>
                <w:color w:val="0000FF"/>
              </w:rPr>
            </w:pPr>
          </w:p>
        </w:tc>
      </w:tr>
      <w:tr w:rsidR="00CE3B98" w:rsidRPr="005E6923" w14:paraId="1EAC5A9F" w14:textId="7FCABF1F" w:rsidTr="00C41B8C">
        <w:trPr>
          <w:cantSplit/>
        </w:trPr>
        <w:tc>
          <w:tcPr>
            <w:tcW w:w="2430" w:type="dxa"/>
            <w:vAlign w:val="bottom"/>
          </w:tcPr>
          <w:p w14:paraId="5F1E7F65"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Revenues from core activities</w:t>
            </w:r>
          </w:p>
        </w:tc>
        <w:tc>
          <w:tcPr>
            <w:tcW w:w="1530" w:type="dxa"/>
            <w:vAlign w:val="bottom"/>
          </w:tcPr>
          <w:p w14:paraId="300A3DA7" w14:textId="77777777" w:rsidR="00CE3B98" w:rsidRPr="00C41B8C" w:rsidRDefault="00CE3B98">
            <w:pPr>
              <w:widowControl w:val="0"/>
              <w:jc w:val="right"/>
              <w:rPr>
                <w:color w:val="0000FF"/>
              </w:rPr>
            </w:pPr>
          </w:p>
        </w:tc>
        <w:tc>
          <w:tcPr>
            <w:tcW w:w="1080" w:type="dxa"/>
            <w:vAlign w:val="bottom"/>
          </w:tcPr>
          <w:p w14:paraId="13EC0218" w14:textId="77777777" w:rsidR="00CE3B98" w:rsidRPr="00C41B8C" w:rsidRDefault="00CE3B98">
            <w:pPr>
              <w:widowControl w:val="0"/>
              <w:jc w:val="right"/>
              <w:rPr>
                <w:color w:val="0000FF"/>
              </w:rPr>
            </w:pPr>
          </w:p>
        </w:tc>
        <w:tc>
          <w:tcPr>
            <w:tcW w:w="1170" w:type="dxa"/>
            <w:vAlign w:val="bottom"/>
          </w:tcPr>
          <w:p w14:paraId="6018FEB3" w14:textId="77777777" w:rsidR="00CE3B98" w:rsidRPr="00C41B8C" w:rsidRDefault="00CE3B98">
            <w:pPr>
              <w:widowControl w:val="0"/>
              <w:jc w:val="right"/>
              <w:rPr>
                <w:color w:val="0000FF"/>
              </w:rPr>
            </w:pPr>
          </w:p>
        </w:tc>
        <w:tc>
          <w:tcPr>
            <w:tcW w:w="720" w:type="dxa"/>
            <w:vAlign w:val="bottom"/>
          </w:tcPr>
          <w:p w14:paraId="39F00AC5" w14:textId="77777777" w:rsidR="00CE3B98" w:rsidRPr="00C41B8C" w:rsidRDefault="00CE3B98">
            <w:pPr>
              <w:widowControl w:val="0"/>
              <w:jc w:val="right"/>
              <w:rPr>
                <w:color w:val="0000FF"/>
              </w:rPr>
            </w:pPr>
          </w:p>
        </w:tc>
        <w:tc>
          <w:tcPr>
            <w:tcW w:w="1350" w:type="dxa"/>
            <w:vAlign w:val="bottom"/>
          </w:tcPr>
          <w:p w14:paraId="48D9F711" w14:textId="77777777" w:rsidR="00CE3B98" w:rsidRPr="00C41B8C" w:rsidRDefault="00CE3B98">
            <w:pPr>
              <w:widowControl w:val="0"/>
              <w:jc w:val="right"/>
              <w:rPr>
                <w:color w:val="0000FF"/>
              </w:rPr>
            </w:pPr>
          </w:p>
        </w:tc>
        <w:tc>
          <w:tcPr>
            <w:tcW w:w="720" w:type="dxa"/>
            <w:vAlign w:val="bottom"/>
          </w:tcPr>
          <w:p w14:paraId="6CE8164C" w14:textId="77777777" w:rsidR="00CE3B98" w:rsidRPr="00C41B8C" w:rsidRDefault="00CE3B98">
            <w:pPr>
              <w:widowControl w:val="0"/>
              <w:jc w:val="right"/>
              <w:rPr>
                <w:color w:val="0000FF"/>
              </w:rPr>
            </w:pPr>
          </w:p>
        </w:tc>
      </w:tr>
      <w:tr w:rsidR="00CE3B98" w:rsidRPr="005E6923" w14:paraId="048548A6" w14:textId="17327838" w:rsidTr="00C41B8C">
        <w:trPr>
          <w:cantSplit/>
        </w:trPr>
        <w:tc>
          <w:tcPr>
            <w:tcW w:w="2430" w:type="dxa"/>
            <w:vAlign w:val="bottom"/>
          </w:tcPr>
          <w:p w14:paraId="551D46B9"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Interest income</w:t>
            </w:r>
          </w:p>
        </w:tc>
        <w:tc>
          <w:tcPr>
            <w:tcW w:w="1530" w:type="dxa"/>
            <w:vAlign w:val="bottom"/>
          </w:tcPr>
          <w:p w14:paraId="5F2F138D" w14:textId="77777777" w:rsidR="00CE3B98" w:rsidRPr="00C41B8C" w:rsidRDefault="00CE3B98">
            <w:pPr>
              <w:widowControl w:val="0"/>
              <w:jc w:val="right"/>
              <w:rPr>
                <w:color w:val="0000FF"/>
              </w:rPr>
            </w:pPr>
          </w:p>
        </w:tc>
        <w:tc>
          <w:tcPr>
            <w:tcW w:w="1080" w:type="dxa"/>
            <w:vAlign w:val="bottom"/>
          </w:tcPr>
          <w:p w14:paraId="2C0DFB17" w14:textId="77777777" w:rsidR="00CE3B98" w:rsidRPr="00C41B8C" w:rsidRDefault="00CE3B98">
            <w:pPr>
              <w:widowControl w:val="0"/>
              <w:jc w:val="right"/>
              <w:rPr>
                <w:color w:val="0000FF"/>
              </w:rPr>
            </w:pPr>
          </w:p>
        </w:tc>
        <w:tc>
          <w:tcPr>
            <w:tcW w:w="1170" w:type="dxa"/>
            <w:vAlign w:val="bottom"/>
          </w:tcPr>
          <w:p w14:paraId="2F66664A" w14:textId="77777777" w:rsidR="00CE3B98" w:rsidRPr="00C41B8C" w:rsidRDefault="00CE3B98">
            <w:pPr>
              <w:widowControl w:val="0"/>
              <w:jc w:val="right"/>
              <w:rPr>
                <w:color w:val="0000FF"/>
              </w:rPr>
            </w:pPr>
          </w:p>
        </w:tc>
        <w:tc>
          <w:tcPr>
            <w:tcW w:w="720" w:type="dxa"/>
            <w:vAlign w:val="bottom"/>
          </w:tcPr>
          <w:p w14:paraId="066F02EC" w14:textId="77777777" w:rsidR="00CE3B98" w:rsidRPr="00C41B8C" w:rsidRDefault="00CE3B98">
            <w:pPr>
              <w:widowControl w:val="0"/>
              <w:jc w:val="right"/>
              <w:rPr>
                <w:color w:val="0000FF"/>
              </w:rPr>
            </w:pPr>
          </w:p>
        </w:tc>
        <w:tc>
          <w:tcPr>
            <w:tcW w:w="1350" w:type="dxa"/>
            <w:vAlign w:val="bottom"/>
          </w:tcPr>
          <w:p w14:paraId="6BCFC9A2" w14:textId="77777777" w:rsidR="00CE3B98" w:rsidRPr="00C41B8C" w:rsidRDefault="00CE3B98">
            <w:pPr>
              <w:widowControl w:val="0"/>
              <w:jc w:val="right"/>
              <w:rPr>
                <w:color w:val="0000FF"/>
              </w:rPr>
            </w:pPr>
          </w:p>
        </w:tc>
        <w:tc>
          <w:tcPr>
            <w:tcW w:w="720" w:type="dxa"/>
            <w:vAlign w:val="bottom"/>
          </w:tcPr>
          <w:p w14:paraId="1D774B02" w14:textId="77777777" w:rsidR="00CE3B98" w:rsidRPr="00C41B8C" w:rsidRDefault="00CE3B98">
            <w:pPr>
              <w:widowControl w:val="0"/>
              <w:jc w:val="right"/>
              <w:rPr>
                <w:color w:val="0000FF"/>
              </w:rPr>
            </w:pPr>
          </w:p>
        </w:tc>
      </w:tr>
      <w:tr w:rsidR="00CE3B98" w:rsidRPr="005E6923" w14:paraId="75F87EA7" w14:textId="15FBEB81" w:rsidTr="00C41B8C">
        <w:trPr>
          <w:cantSplit/>
        </w:trPr>
        <w:tc>
          <w:tcPr>
            <w:tcW w:w="2430" w:type="dxa"/>
            <w:vAlign w:val="bottom"/>
          </w:tcPr>
          <w:p w14:paraId="0840AF45"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Other income</w:t>
            </w:r>
          </w:p>
        </w:tc>
        <w:tc>
          <w:tcPr>
            <w:tcW w:w="1530" w:type="dxa"/>
            <w:vAlign w:val="bottom"/>
          </w:tcPr>
          <w:p w14:paraId="3490AEED" w14:textId="77777777" w:rsidR="00CE3B98" w:rsidRPr="00C41B8C" w:rsidRDefault="00CE3B98">
            <w:pPr>
              <w:widowControl w:val="0"/>
              <w:jc w:val="right"/>
              <w:rPr>
                <w:color w:val="0000FF"/>
              </w:rPr>
            </w:pPr>
          </w:p>
        </w:tc>
        <w:tc>
          <w:tcPr>
            <w:tcW w:w="1080" w:type="dxa"/>
            <w:vAlign w:val="bottom"/>
          </w:tcPr>
          <w:p w14:paraId="2D93912A" w14:textId="77777777" w:rsidR="00CE3B98" w:rsidRPr="00C41B8C" w:rsidRDefault="00CE3B98">
            <w:pPr>
              <w:widowControl w:val="0"/>
              <w:jc w:val="right"/>
              <w:rPr>
                <w:color w:val="0000FF"/>
              </w:rPr>
            </w:pPr>
          </w:p>
        </w:tc>
        <w:tc>
          <w:tcPr>
            <w:tcW w:w="1170" w:type="dxa"/>
            <w:vAlign w:val="bottom"/>
          </w:tcPr>
          <w:p w14:paraId="1134D4A6" w14:textId="77777777" w:rsidR="00CE3B98" w:rsidRPr="00C41B8C" w:rsidRDefault="00CE3B98">
            <w:pPr>
              <w:widowControl w:val="0"/>
              <w:jc w:val="right"/>
              <w:rPr>
                <w:color w:val="0000FF"/>
              </w:rPr>
            </w:pPr>
          </w:p>
        </w:tc>
        <w:tc>
          <w:tcPr>
            <w:tcW w:w="720" w:type="dxa"/>
            <w:vAlign w:val="bottom"/>
          </w:tcPr>
          <w:p w14:paraId="32CE965C" w14:textId="77777777" w:rsidR="00CE3B98" w:rsidRPr="00C41B8C" w:rsidRDefault="00CE3B98">
            <w:pPr>
              <w:widowControl w:val="0"/>
              <w:jc w:val="right"/>
              <w:rPr>
                <w:color w:val="0000FF"/>
              </w:rPr>
            </w:pPr>
          </w:p>
        </w:tc>
        <w:tc>
          <w:tcPr>
            <w:tcW w:w="1350" w:type="dxa"/>
            <w:vAlign w:val="bottom"/>
          </w:tcPr>
          <w:p w14:paraId="3A6B07C9" w14:textId="77777777" w:rsidR="00CE3B98" w:rsidRPr="00C41B8C" w:rsidRDefault="00CE3B98">
            <w:pPr>
              <w:widowControl w:val="0"/>
              <w:jc w:val="right"/>
              <w:rPr>
                <w:color w:val="0000FF"/>
              </w:rPr>
            </w:pPr>
          </w:p>
        </w:tc>
        <w:tc>
          <w:tcPr>
            <w:tcW w:w="720" w:type="dxa"/>
            <w:vAlign w:val="bottom"/>
          </w:tcPr>
          <w:p w14:paraId="371684FC" w14:textId="77777777" w:rsidR="00CE3B98" w:rsidRPr="00C41B8C" w:rsidRDefault="00CE3B98">
            <w:pPr>
              <w:widowControl w:val="0"/>
              <w:jc w:val="right"/>
              <w:rPr>
                <w:color w:val="0000FF"/>
              </w:rPr>
            </w:pPr>
          </w:p>
        </w:tc>
      </w:tr>
      <w:tr w:rsidR="00CE3B98" w:rsidRPr="005E6923" w14:paraId="17BC523B" w14:textId="4E030613" w:rsidTr="00C41B8C">
        <w:trPr>
          <w:cantSplit/>
        </w:trPr>
        <w:tc>
          <w:tcPr>
            <w:tcW w:w="2430" w:type="dxa"/>
            <w:tcBorders>
              <w:bottom w:val="single" w:sz="4" w:space="0" w:color="000000"/>
            </w:tcBorders>
            <w:vAlign w:val="bottom"/>
          </w:tcPr>
          <w:p w14:paraId="591FB4F8" w14:textId="77777777" w:rsidR="00CE3B98" w:rsidRPr="00C41B8C" w:rsidRDefault="00CE3B98">
            <w:pPr>
              <w:widowControl w:val="0"/>
              <w:pBdr>
                <w:top w:val="nil"/>
                <w:left w:val="nil"/>
                <w:bottom w:val="nil"/>
                <w:right w:val="nil"/>
                <w:between w:val="nil"/>
              </w:pBdr>
              <w:ind w:left="113" w:right="-57" w:hanging="113"/>
              <w:rPr>
                <w:color w:val="0000FF"/>
              </w:rPr>
            </w:pPr>
            <w:r w:rsidRPr="00C41B8C">
              <w:rPr>
                <w:b/>
                <w:color w:val="0000FF"/>
              </w:rPr>
              <w:t> </w:t>
            </w:r>
          </w:p>
        </w:tc>
        <w:tc>
          <w:tcPr>
            <w:tcW w:w="1530" w:type="dxa"/>
            <w:tcBorders>
              <w:bottom w:val="single" w:sz="4" w:space="0" w:color="000000"/>
            </w:tcBorders>
            <w:vAlign w:val="bottom"/>
          </w:tcPr>
          <w:p w14:paraId="306E61F1" w14:textId="77777777" w:rsidR="00CE3B98" w:rsidRPr="00C41B8C" w:rsidRDefault="00CE3B98">
            <w:pPr>
              <w:widowControl w:val="0"/>
              <w:jc w:val="right"/>
              <w:rPr>
                <w:color w:val="0000FF"/>
              </w:rPr>
            </w:pPr>
          </w:p>
        </w:tc>
        <w:tc>
          <w:tcPr>
            <w:tcW w:w="1080" w:type="dxa"/>
            <w:tcBorders>
              <w:bottom w:val="single" w:sz="4" w:space="0" w:color="000000"/>
            </w:tcBorders>
            <w:vAlign w:val="bottom"/>
          </w:tcPr>
          <w:p w14:paraId="15B017D8" w14:textId="77777777" w:rsidR="00CE3B98" w:rsidRPr="00C41B8C" w:rsidRDefault="00CE3B98">
            <w:pPr>
              <w:widowControl w:val="0"/>
              <w:jc w:val="right"/>
              <w:rPr>
                <w:color w:val="0000FF"/>
              </w:rPr>
            </w:pPr>
          </w:p>
        </w:tc>
        <w:tc>
          <w:tcPr>
            <w:tcW w:w="1170" w:type="dxa"/>
            <w:tcBorders>
              <w:bottom w:val="single" w:sz="4" w:space="0" w:color="000000"/>
            </w:tcBorders>
            <w:vAlign w:val="bottom"/>
          </w:tcPr>
          <w:p w14:paraId="1F8F8347" w14:textId="77777777" w:rsidR="00CE3B98" w:rsidRPr="00C41B8C" w:rsidRDefault="00CE3B98">
            <w:pPr>
              <w:widowControl w:val="0"/>
              <w:jc w:val="right"/>
              <w:rPr>
                <w:color w:val="0000FF"/>
              </w:rPr>
            </w:pPr>
          </w:p>
        </w:tc>
        <w:tc>
          <w:tcPr>
            <w:tcW w:w="720" w:type="dxa"/>
            <w:tcBorders>
              <w:bottom w:val="single" w:sz="4" w:space="0" w:color="000000"/>
            </w:tcBorders>
            <w:vAlign w:val="bottom"/>
          </w:tcPr>
          <w:p w14:paraId="5FABEB0C" w14:textId="77777777" w:rsidR="00CE3B98" w:rsidRPr="00C41B8C" w:rsidRDefault="00CE3B98">
            <w:pPr>
              <w:widowControl w:val="0"/>
              <w:jc w:val="right"/>
              <w:rPr>
                <w:color w:val="0000FF"/>
              </w:rPr>
            </w:pPr>
          </w:p>
        </w:tc>
        <w:tc>
          <w:tcPr>
            <w:tcW w:w="1350" w:type="dxa"/>
            <w:tcBorders>
              <w:bottom w:val="single" w:sz="4" w:space="0" w:color="000000"/>
            </w:tcBorders>
            <w:vAlign w:val="bottom"/>
          </w:tcPr>
          <w:p w14:paraId="6165044C" w14:textId="77777777" w:rsidR="00CE3B98" w:rsidRPr="00C41B8C" w:rsidRDefault="00CE3B98">
            <w:pPr>
              <w:widowControl w:val="0"/>
              <w:jc w:val="right"/>
              <w:rPr>
                <w:color w:val="0000FF"/>
              </w:rPr>
            </w:pPr>
          </w:p>
        </w:tc>
        <w:tc>
          <w:tcPr>
            <w:tcW w:w="720" w:type="dxa"/>
            <w:tcBorders>
              <w:bottom w:val="single" w:sz="4" w:space="0" w:color="000000"/>
            </w:tcBorders>
            <w:vAlign w:val="bottom"/>
          </w:tcPr>
          <w:p w14:paraId="7B62C8BF" w14:textId="77777777" w:rsidR="00CE3B98" w:rsidRPr="00C41B8C" w:rsidRDefault="00CE3B98">
            <w:pPr>
              <w:widowControl w:val="0"/>
              <w:jc w:val="right"/>
              <w:rPr>
                <w:color w:val="0000FF"/>
              </w:rPr>
            </w:pPr>
          </w:p>
        </w:tc>
      </w:tr>
      <w:tr w:rsidR="00CE3B98" w:rsidRPr="005E6923" w14:paraId="2B8D45A1" w14:textId="3B7B1AA9" w:rsidTr="00C41B8C">
        <w:trPr>
          <w:cantSplit/>
        </w:trPr>
        <w:tc>
          <w:tcPr>
            <w:tcW w:w="2430" w:type="dxa"/>
            <w:tcBorders>
              <w:top w:val="single" w:sz="4" w:space="0" w:color="000000"/>
            </w:tcBorders>
            <w:vAlign w:val="bottom"/>
          </w:tcPr>
          <w:p w14:paraId="2EAB6B3D" w14:textId="77777777" w:rsidR="00CE3B98" w:rsidRPr="00C41B8C" w:rsidRDefault="00CE3B98">
            <w:pPr>
              <w:widowControl w:val="0"/>
              <w:pBdr>
                <w:top w:val="nil"/>
                <w:left w:val="nil"/>
                <w:bottom w:val="nil"/>
                <w:right w:val="nil"/>
                <w:between w:val="nil"/>
              </w:pBdr>
              <w:ind w:left="113" w:right="-57" w:hanging="113"/>
              <w:rPr>
                <w:color w:val="0000FF"/>
              </w:rPr>
            </w:pPr>
            <w:r w:rsidRPr="00C41B8C">
              <w:rPr>
                <w:b/>
                <w:color w:val="0000FF"/>
              </w:rPr>
              <w:t> </w:t>
            </w:r>
          </w:p>
        </w:tc>
        <w:tc>
          <w:tcPr>
            <w:tcW w:w="1530" w:type="dxa"/>
            <w:tcBorders>
              <w:top w:val="single" w:sz="4" w:space="0" w:color="000000"/>
            </w:tcBorders>
            <w:vAlign w:val="bottom"/>
          </w:tcPr>
          <w:p w14:paraId="013DD9C8" w14:textId="77777777" w:rsidR="00CE3B98" w:rsidRPr="00C41B8C" w:rsidRDefault="00CE3B98">
            <w:pPr>
              <w:widowControl w:val="0"/>
              <w:pBdr>
                <w:top w:val="nil"/>
                <w:left w:val="nil"/>
                <w:bottom w:val="nil"/>
                <w:right w:val="nil"/>
                <w:between w:val="nil"/>
              </w:pBdr>
              <w:jc w:val="right"/>
              <w:rPr>
                <w:color w:val="0000FF"/>
              </w:rPr>
            </w:pPr>
          </w:p>
        </w:tc>
        <w:tc>
          <w:tcPr>
            <w:tcW w:w="1080" w:type="dxa"/>
            <w:tcBorders>
              <w:top w:val="single" w:sz="4" w:space="0" w:color="000000"/>
            </w:tcBorders>
            <w:vAlign w:val="bottom"/>
          </w:tcPr>
          <w:p w14:paraId="3CD8803C" w14:textId="77777777" w:rsidR="00CE3B98" w:rsidRPr="00C41B8C" w:rsidRDefault="00CE3B98">
            <w:pPr>
              <w:widowControl w:val="0"/>
              <w:pBdr>
                <w:top w:val="nil"/>
                <w:left w:val="nil"/>
                <w:bottom w:val="nil"/>
                <w:right w:val="nil"/>
                <w:between w:val="nil"/>
              </w:pBdr>
              <w:jc w:val="right"/>
              <w:rPr>
                <w:color w:val="0000FF"/>
              </w:rPr>
            </w:pPr>
          </w:p>
        </w:tc>
        <w:tc>
          <w:tcPr>
            <w:tcW w:w="1170" w:type="dxa"/>
            <w:tcBorders>
              <w:top w:val="single" w:sz="4" w:space="0" w:color="000000"/>
            </w:tcBorders>
            <w:vAlign w:val="bottom"/>
          </w:tcPr>
          <w:p w14:paraId="58BC4893" w14:textId="77777777" w:rsidR="00CE3B98" w:rsidRPr="00C41B8C" w:rsidRDefault="00CE3B98">
            <w:pPr>
              <w:widowControl w:val="0"/>
              <w:pBdr>
                <w:top w:val="nil"/>
                <w:left w:val="nil"/>
                <w:bottom w:val="nil"/>
                <w:right w:val="nil"/>
                <w:between w:val="nil"/>
              </w:pBdr>
              <w:jc w:val="right"/>
              <w:rPr>
                <w:color w:val="0000FF"/>
              </w:rPr>
            </w:pPr>
          </w:p>
        </w:tc>
        <w:tc>
          <w:tcPr>
            <w:tcW w:w="720" w:type="dxa"/>
            <w:tcBorders>
              <w:top w:val="single" w:sz="4" w:space="0" w:color="000000"/>
            </w:tcBorders>
            <w:vAlign w:val="bottom"/>
          </w:tcPr>
          <w:p w14:paraId="4A391F58" w14:textId="77777777" w:rsidR="00CE3B98" w:rsidRPr="00C41B8C" w:rsidRDefault="00CE3B98">
            <w:pPr>
              <w:widowControl w:val="0"/>
              <w:pBdr>
                <w:top w:val="nil"/>
                <w:left w:val="nil"/>
                <w:bottom w:val="nil"/>
                <w:right w:val="nil"/>
                <w:between w:val="nil"/>
              </w:pBdr>
              <w:jc w:val="right"/>
              <w:rPr>
                <w:color w:val="0000FF"/>
              </w:rPr>
            </w:pPr>
          </w:p>
        </w:tc>
        <w:tc>
          <w:tcPr>
            <w:tcW w:w="1350" w:type="dxa"/>
            <w:tcBorders>
              <w:top w:val="single" w:sz="4" w:space="0" w:color="000000"/>
            </w:tcBorders>
            <w:vAlign w:val="bottom"/>
          </w:tcPr>
          <w:p w14:paraId="0C745B0C" w14:textId="77777777" w:rsidR="00CE3B98" w:rsidRPr="00C41B8C" w:rsidRDefault="00CE3B98">
            <w:pPr>
              <w:widowControl w:val="0"/>
              <w:pBdr>
                <w:top w:val="nil"/>
                <w:left w:val="nil"/>
                <w:bottom w:val="nil"/>
                <w:right w:val="nil"/>
                <w:between w:val="nil"/>
              </w:pBdr>
              <w:jc w:val="right"/>
              <w:rPr>
                <w:color w:val="0000FF"/>
              </w:rPr>
            </w:pPr>
          </w:p>
        </w:tc>
        <w:tc>
          <w:tcPr>
            <w:tcW w:w="720" w:type="dxa"/>
            <w:tcBorders>
              <w:top w:val="single" w:sz="4" w:space="0" w:color="000000"/>
            </w:tcBorders>
            <w:vAlign w:val="bottom"/>
          </w:tcPr>
          <w:p w14:paraId="66D59A4C" w14:textId="77777777" w:rsidR="00CE3B98" w:rsidRPr="00C41B8C" w:rsidRDefault="00CE3B98">
            <w:pPr>
              <w:widowControl w:val="0"/>
              <w:pBdr>
                <w:top w:val="nil"/>
                <w:left w:val="nil"/>
                <w:bottom w:val="nil"/>
                <w:right w:val="nil"/>
                <w:between w:val="nil"/>
              </w:pBdr>
              <w:jc w:val="right"/>
              <w:rPr>
                <w:color w:val="0000FF"/>
              </w:rPr>
            </w:pPr>
          </w:p>
        </w:tc>
      </w:tr>
      <w:tr w:rsidR="00CE3B98" w:rsidRPr="005E6923" w14:paraId="094357E9" w14:textId="1C92E875" w:rsidTr="00C41B8C">
        <w:trPr>
          <w:cantSplit/>
        </w:trPr>
        <w:tc>
          <w:tcPr>
            <w:tcW w:w="2430" w:type="dxa"/>
            <w:vAlign w:val="bottom"/>
          </w:tcPr>
          <w:p w14:paraId="65B4FA2B" w14:textId="77777777" w:rsidR="00CE3B98" w:rsidRPr="00C41B8C" w:rsidRDefault="00CE3B98">
            <w:pPr>
              <w:widowControl w:val="0"/>
              <w:pBdr>
                <w:top w:val="nil"/>
                <w:left w:val="nil"/>
                <w:bottom w:val="nil"/>
                <w:right w:val="nil"/>
                <w:between w:val="nil"/>
              </w:pBdr>
              <w:ind w:left="113" w:right="-57" w:hanging="113"/>
              <w:rPr>
                <w:b/>
                <w:color w:val="0000FF"/>
              </w:rPr>
            </w:pPr>
            <w:r w:rsidRPr="00C41B8C">
              <w:rPr>
                <w:b/>
                <w:color w:val="0000FF"/>
              </w:rPr>
              <w:t>Total revenues</w:t>
            </w:r>
          </w:p>
        </w:tc>
        <w:tc>
          <w:tcPr>
            <w:tcW w:w="1530" w:type="dxa"/>
            <w:vAlign w:val="bottom"/>
          </w:tcPr>
          <w:p w14:paraId="6AEE24CD" w14:textId="77777777" w:rsidR="00CE3B98" w:rsidRPr="00C41B8C" w:rsidRDefault="00CE3B98">
            <w:pPr>
              <w:widowControl w:val="0"/>
              <w:jc w:val="right"/>
              <w:rPr>
                <w:b/>
                <w:color w:val="0000FF"/>
              </w:rPr>
            </w:pPr>
          </w:p>
        </w:tc>
        <w:tc>
          <w:tcPr>
            <w:tcW w:w="1080" w:type="dxa"/>
            <w:vAlign w:val="bottom"/>
          </w:tcPr>
          <w:p w14:paraId="4D06BCDD" w14:textId="77777777" w:rsidR="00CE3B98" w:rsidRPr="00C41B8C" w:rsidRDefault="00CE3B98">
            <w:pPr>
              <w:widowControl w:val="0"/>
              <w:jc w:val="right"/>
              <w:rPr>
                <w:b/>
                <w:color w:val="0000FF"/>
              </w:rPr>
            </w:pPr>
          </w:p>
        </w:tc>
        <w:tc>
          <w:tcPr>
            <w:tcW w:w="1170" w:type="dxa"/>
            <w:vAlign w:val="bottom"/>
          </w:tcPr>
          <w:p w14:paraId="168855CF" w14:textId="77777777" w:rsidR="00CE3B98" w:rsidRPr="00C41B8C" w:rsidRDefault="00CE3B98">
            <w:pPr>
              <w:widowControl w:val="0"/>
              <w:jc w:val="right"/>
              <w:rPr>
                <w:b/>
                <w:color w:val="0000FF"/>
              </w:rPr>
            </w:pPr>
          </w:p>
        </w:tc>
        <w:tc>
          <w:tcPr>
            <w:tcW w:w="720" w:type="dxa"/>
            <w:vAlign w:val="bottom"/>
          </w:tcPr>
          <w:p w14:paraId="0750B2C8" w14:textId="77777777" w:rsidR="00CE3B98" w:rsidRPr="00C41B8C" w:rsidRDefault="00CE3B98">
            <w:pPr>
              <w:widowControl w:val="0"/>
              <w:jc w:val="right"/>
              <w:rPr>
                <w:b/>
                <w:color w:val="0000FF"/>
              </w:rPr>
            </w:pPr>
          </w:p>
        </w:tc>
        <w:tc>
          <w:tcPr>
            <w:tcW w:w="1350" w:type="dxa"/>
            <w:vAlign w:val="bottom"/>
          </w:tcPr>
          <w:p w14:paraId="3DE74832" w14:textId="77777777" w:rsidR="00CE3B98" w:rsidRPr="00C41B8C" w:rsidRDefault="00CE3B98">
            <w:pPr>
              <w:widowControl w:val="0"/>
              <w:jc w:val="right"/>
              <w:rPr>
                <w:b/>
                <w:color w:val="0000FF"/>
              </w:rPr>
            </w:pPr>
          </w:p>
        </w:tc>
        <w:tc>
          <w:tcPr>
            <w:tcW w:w="720" w:type="dxa"/>
            <w:vAlign w:val="bottom"/>
          </w:tcPr>
          <w:p w14:paraId="6CC98013" w14:textId="77777777" w:rsidR="00CE3B98" w:rsidRPr="00C41B8C" w:rsidRDefault="00CE3B98">
            <w:pPr>
              <w:widowControl w:val="0"/>
              <w:jc w:val="right"/>
              <w:rPr>
                <w:b/>
                <w:color w:val="0000FF"/>
              </w:rPr>
            </w:pPr>
          </w:p>
        </w:tc>
      </w:tr>
      <w:tr w:rsidR="00CE3B98" w:rsidRPr="005E6923" w14:paraId="30A643BF" w14:textId="6FFFF54D" w:rsidTr="00C41B8C">
        <w:trPr>
          <w:cantSplit/>
        </w:trPr>
        <w:tc>
          <w:tcPr>
            <w:tcW w:w="2430" w:type="dxa"/>
            <w:tcBorders>
              <w:bottom w:val="single" w:sz="12" w:space="0" w:color="000000"/>
            </w:tcBorders>
            <w:vAlign w:val="bottom"/>
          </w:tcPr>
          <w:p w14:paraId="7790349F" w14:textId="77777777" w:rsidR="00CE3B98" w:rsidRPr="00C41B8C" w:rsidRDefault="00CE3B98">
            <w:pPr>
              <w:widowControl w:val="0"/>
              <w:pBdr>
                <w:top w:val="nil"/>
                <w:left w:val="nil"/>
                <w:bottom w:val="nil"/>
                <w:right w:val="nil"/>
                <w:between w:val="nil"/>
              </w:pBdr>
              <w:ind w:left="113" w:right="-57" w:hanging="113"/>
              <w:rPr>
                <w:color w:val="0000FF"/>
              </w:rPr>
            </w:pPr>
            <w:r w:rsidRPr="00C41B8C">
              <w:rPr>
                <w:b/>
                <w:color w:val="0000FF"/>
              </w:rPr>
              <w:t> </w:t>
            </w:r>
          </w:p>
        </w:tc>
        <w:tc>
          <w:tcPr>
            <w:tcW w:w="1530" w:type="dxa"/>
            <w:tcBorders>
              <w:bottom w:val="single" w:sz="12" w:space="0" w:color="000000"/>
            </w:tcBorders>
            <w:vAlign w:val="bottom"/>
          </w:tcPr>
          <w:p w14:paraId="723FB3B1" w14:textId="77777777" w:rsidR="00CE3B98" w:rsidRPr="00C41B8C" w:rsidRDefault="00CE3B98">
            <w:pPr>
              <w:widowControl w:val="0"/>
              <w:jc w:val="right"/>
              <w:rPr>
                <w:color w:val="0000FF"/>
              </w:rPr>
            </w:pPr>
          </w:p>
        </w:tc>
        <w:tc>
          <w:tcPr>
            <w:tcW w:w="1080" w:type="dxa"/>
            <w:tcBorders>
              <w:bottom w:val="single" w:sz="12" w:space="0" w:color="000000"/>
            </w:tcBorders>
            <w:vAlign w:val="bottom"/>
          </w:tcPr>
          <w:p w14:paraId="10DD77ED" w14:textId="77777777" w:rsidR="00CE3B98" w:rsidRPr="00C41B8C" w:rsidRDefault="00CE3B98">
            <w:pPr>
              <w:widowControl w:val="0"/>
              <w:jc w:val="right"/>
              <w:rPr>
                <w:color w:val="0000FF"/>
              </w:rPr>
            </w:pPr>
          </w:p>
        </w:tc>
        <w:tc>
          <w:tcPr>
            <w:tcW w:w="1170" w:type="dxa"/>
            <w:tcBorders>
              <w:bottom w:val="single" w:sz="12" w:space="0" w:color="000000"/>
            </w:tcBorders>
            <w:vAlign w:val="bottom"/>
          </w:tcPr>
          <w:p w14:paraId="1B4E84DC" w14:textId="77777777" w:rsidR="00CE3B98" w:rsidRPr="00C41B8C" w:rsidRDefault="00CE3B98">
            <w:pPr>
              <w:widowControl w:val="0"/>
              <w:jc w:val="right"/>
              <w:rPr>
                <w:color w:val="0000FF"/>
              </w:rPr>
            </w:pPr>
          </w:p>
        </w:tc>
        <w:tc>
          <w:tcPr>
            <w:tcW w:w="720" w:type="dxa"/>
            <w:tcBorders>
              <w:bottom w:val="single" w:sz="12" w:space="0" w:color="000000"/>
            </w:tcBorders>
            <w:vAlign w:val="bottom"/>
          </w:tcPr>
          <w:p w14:paraId="2E4BA385" w14:textId="77777777" w:rsidR="00CE3B98" w:rsidRPr="00C41B8C" w:rsidRDefault="00CE3B98">
            <w:pPr>
              <w:widowControl w:val="0"/>
              <w:jc w:val="right"/>
              <w:rPr>
                <w:color w:val="0000FF"/>
              </w:rPr>
            </w:pPr>
          </w:p>
        </w:tc>
        <w:tc>
          <w:tcPr>
            <w:tcW w:w="1350" w:type="dxa"/>
            <w:tcBorders>
              <w:bottom w:val="single" w:sz="12" w:space="0" w:color="000000"/>
            </w:tcBorders>
            <w:vAlign w:val="bottom"/>
          </w:tcPr>
          <w:p w14:paraId="26CCF69E" w14:textId="77777777" w:rsidR="00CE3B98" w:rsidRPr="00C41B8C" w:rsidRDefault="00CE3B98">
            <w:pPr>
              <w:widowControl w:val="0"/>
              <w:jc w:val="right"/>
              <w:rPr>
                <w:color w:val="0000FF"/>
              </w:rPr>
            </w:pPr>
          </w:p>
        </w:tc>
        <w:tc>
          <w:tcPr>
            <w:tcW w:w="720" w:type="dxa"/>
            <w:tcBorders>
              <w:bottom w:val="single" w:sz="12" w:space="0" w:color="000000"/>
            </w:tcBorders>
            <w:vAlign w:val="bottom"/>
          </w:tcPr>
          <w:p w14:paraId="201DC1F3" w14:textId="77777777" w:rsidR="00CE3B98" w:rsidRPr="00C41B8C" w:rsidRDefault="00CE3B98">
            <w:pPr>
              <w:widowControl w:val="0"/>
              <w:jc w:val="right"/>
              <w:rPr>
                <w:color w:val="0000FF"/>
              </w:rPr>
            </w:pPr>
          </w:p>
        </w:tc>
      </w:tr>
      <w:tr w:rsidR="00CE3B98" w:rsidRPr="005E6923" w14:paraId="48338A74" w14:textId="45F10188" w:rsidTr="00C41B8C">
        <w:trPr>
          <w:cantSplit/>
        </w:trPr>
        <w:tc>
          <w:tcPr>
            <w:tcW w:w="2430" w:type="dxa"/>
            <w:tcBorders>
              <w:top w:val="single" w:sz="12" w:space="0" w:color="000000"/>
            </w:tcBorders>
            <w:vAlign w:val="bottom"/>
          </w:tcPr>
          <w:p w14:paraId="7581C043" w14:textId="77777777" w:rsidR="00CE3B98" w:rsidRPr="00C41B8C" w:rsidRDefault="00CE3B98">
            <w:pPr>
              <w:widowControl w:val="0"/>
              <w:pBdr>
                <w:top w:val="nil"/>
                <w:left w:val="nil"/>
                <w:bottom w:val="nil"/>
                <w:right w:val="nil"/>
                <w:between w:val="nil"/>
              </w:pBdr>
              <w:ind w:left="113" w:right="-57" w:hanging="113"/>
              <w:rPr>
                <w:color w:val="0000FF"/>
              </w:rPr>
            </w:pPr>
            <w:r w:rsidRPr="00C41B8C">
              <w:rPr>
                <w:b/>
                <w:color w:val="0000FF"/>
              </w:rPr>
              <w:t> </w:t>
            </w:r>
          </w:p>
        </w:tc>
        <w:tc>
          <w:tcPr>
            <w:tcW w:w="1530" w:type="dxa"/>
            <w:tcBorders>
              <w:top w:val="single" w:sz="12" w:space="0" w:color="000000"/>
            </w:tcBorders>
            <w:vAlign w:val="bottom"/>
          </w:tcPr>
          <w:p w14:paraId="0DB9CE4B" w14:textId="77777777" w:rsidR="00CE3B98" w:rsidRPr="00C41B8C" w:rsidRDefault="00CE3B98">
            <w:pPr>
              <w:widowControl w:val="0"/>
              <w:jc w:val="right"/>
              <w:rPr>
                <w:color w:val="0000FF"/>
              </w:rPr>
            </w:pPr>
          </w:p>
        </w:tc>
        <w:tc>
          <w:tcPr>
            <w:tcW w:w="1080" w:type="dxa"/>
            <w:tcBorders>
              <w:top w:val="single" w:sz="12" w:space="0" w:color="000000"/>
            </w:tcBorders>
            <w:vAlign w:val="bottom"/>
          </w:tcPr>
          <w:p w14:paraId="2C2BC1C7" w14:textId="77777777" w:rsidR="00CE3B98" w:rsidRPr="00C41B8C" w:rsidRDefault="00CE3B98">
            <w:pPr>
              <w:widowControl w:val="0"/>
              <w:jc w:val="right"/>
              <w:rPr>
                <w:color w:val="0000FF"/>
              </w:rPr>
            </w:pPr>
          </w:p>
        </w:tc>
        <w:tc>
          <w:tcPr>
            <w:tcW w:w="1170" w:type="dxa"/>
            <w:tcBorders>
              <w:top w:val="single" w:sz="12" w:space="0" w:color="000000"/>
            </w:tcBorders>
            <w:vAlign w:val="bottom"/>
          </w:tcPr>
          <w:p w14:paraId="25B5C16B" w14:textId="77777777" w:rsidR="00CE3B98" w:rsidRPr="00C41B8C" w:rsidRDefault="00CE3B98">
            <w:pPr>
              <w:widowControl w:val="0"/>
              <w:jc w:val="right"/>
              <w:rPr>
                <w:color w:val="0000FF"/>
              </w:rPr>
            </w:pPr>
          </w:p>
        </w:tc>
        <w:tc>
          <w:tcPr>
            <w:tcW w:w="720" w:type="dxa"/>
            <w:tcBorders>
              <w:top w:val="single" w:sz="12" w:space="0" w:color="000000"/>
            </w:tcBorders>
            <w:vAlign w:val="bottom"/>
          </w:tcPr>
          <w:p w14:paraId="48C9DC58" w14:textId="77777777" w:rsidR="00CE3B98" w:rsidRPr="00C41B8C" w:rsidRDefault="00CE3B98">
            <w:pPr>
              <w:widowControl w:val="0"/>
              <w:jc w:val="right"/>
              <w:rPr>
                <w:color w:val="0000FF"/>
              </w:rPr>
            </w:pPr>
          </w:p>
        </w:tc>
        <w:tc>
          <w:tcPr>
            <w:tcW w:w="1350" w:type="dxa"/>
            <w:tcBorders>
              <w:top w:val="single" w:sz="12" w:space="0" w:color="000000"/>
            </w:tcBorders>
            <w:vAlign w:val="bottom"/>
          </w:tcPr>
          <w:p w14:paraId="0316F7D6" w14:textId="77777777" w:rsidR="00CE3B98" w:rsidRPr="00C41B8C" w:rsidRDefault="00CE3B98">
            <w:pPr>
              <w:widowControl w:val="0"/>
              <w:jc w:val="right"/>
              <w:rPr>
                <w:color w:val="0000FF"/>
              </w:rPr>
            </w:pPr>
          </w:p>
        </w:tc>
        <w:tc>
          <w:tcPr>
            <w:tcW w:w="720" w:type="dxa"/>
            <w:tcBorders>
              <w:top w:val="single" w:sz="12" w:space="0" w:color="000000"/>
            </w:tcBorders>
            <w:vAlign w:val="bottom"/>
          </w:tcPr>
          <w:p w14:paraId="232E7462" w14:textId="77777777" w:rsidR="00CE3B98" w:rsidRPr="00C41B8C" w:rsidRDefault="00CE3B98">
            <w:pPr>
              <w:widowControl w:val="0"/>
              <w:jc w:val="right"/>
              <w:rPr>
                <w:color w:val="0000FF"/>
              </w:rPr>
            </w:pPr>
          </w:p>
        </w:tc>
      </w:tr>
      <w:tr w:rsidR="00CE3B98" w:rsidRPr="005E6923" w14:paraId="46E69F34" w14:textId="7C40564A" w:rsidTr="00C41B8C">
        <w:trPr>
          <w:cantSplit/>
        </w:trPr>
        <w:tc>
          <w:tcPr>
            <w:tcW w:w="2430" w:type="dxa"/>
            <w:vAlign w:val="bottom"/>
          </w:tcPr>
          <w:p w14:paraId="7C534D1E" w14:textId="5DD2432C"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Changes in inventories of finished goods and work in progress</w:t>
            </w:r>
          </w:p>
        </w:tc>
        <w:tc>
          <w:tcPr>
            <w:tcW w:w="1530" w:type="dxa"/>
            <w:vAlign w:val="bottom"/>
          </w:tcPr>
          <w:p w14:paraId="22C274F5" w14:textId="77777777" w:rsidR="00CE3B98" w:rsidRPr="00C41B8C" w:rsidRDefault="00CE3B98">
            <w:pPr>
              <w:widowControl w:val="0"/>
              <w:jc w:val="right"/>
              <w:rPr>
                <w:b/>
                <w:color w:val="0000FF"/>
              </w:rPr>
            </w:pPr>
          </w:p>
        </w:tc>
        <w:tc>
          <w:tcPr>
            <w:tcW w:w="1080" w:type="dxa"/>
            <w:vAlign w:val="bottom"/>
          </w:tcPr>
          <w:p w14:paraId="190D94A0" w14:textId="77777777" w:rsidR="00CE3B98" w:rsidRPr="00C41B8C" w:rsidRDefault="00CE3B98">
            <w:pPr>
              <w:widowControl w:val="0"/>
              <w:jc w:val="right"/>
              <w:rPr>
                <w:b/>
                <w:color w:val="0000FF"/>
              </w:rPr>
            </w:pPr>
          </w:p>
        </w:tc>
        <w:tc>
          <w:tcPr>
            <w:tcW w:w="1170" w:type="dxa"/>
            <w:vAlign w:val="bottom"/>
          </w:tcPr>
          <w:p w14:paraId="390B8BC0" w14:textId="77777777" w:rsidR="00CE3B98" w:rsidRPr="00C41B8C" w:rsidRDefault="00CE3B98">
            <w:pPr>
              <w:widowControl w:val="0"/>
              <w:jc w:val="right"/>
              <w:rPr>
                <w:b/>
                <w:color w:val="0000FF"/>
              </w:rPr>
            </w:pPr>
          </w:p>
        </w:tc>
        <w:tc>
          <w:tcPr>
            <w:tcW w:w="720" w:type="dxa"/>
            <w:vAlign w:val="bottom"/>
          </w:tcPr>
          <w:p w14:paraId="0AFD257C" w14:textId="77777777" w:rsidR="00CE3B98" w:rsidRPr="00C41B8C" w:rsidRDefault="00CE3B98">
            <w:pPr>
              <w:widowControl w:val="0"/>
              <w:jc w:val="right"/>
              <w:rPr>
                <w:b/>
                <w:color w:val="0000FF"/>
              </w:rPr>
            </w:pPr>
          </w:p>
        </w:tc>
        <w:tc>
          <w:tcPr>
            <w:tcW w:w="1350" w:type="dxa"/>
            <w:vAlign w:val="bottom"/>
          </w:tcPr>
          <w:p w14:paraId="2C93CCA1" w14:textId="77777777" w:rsidR="00CE3B98" w:rsidRPr="00C41B8C" w:rsidRDefault="00CE3B98">
            <w:pPr>
              <w:widowControl w:val="0"/>
              <w:jc w:val="right"/>
              <w:rPr>
                <w:b/>
                <w:color w:val="0000FF"/>
              </w:rPr>
            </w:pPr>
          </w:p>
        </w:tc>
        <w:tc>
          <w:tcPr>
            <w:tcW w:w="720" w:type="dxa"/>
            <w:vAlign w:val="bottom"/>
          </w:tcPr>
          <w:p w14:paraId="3D1E1A60" w14:textId="77777777" w:rsidR="00CE3B98" w:rsidRPr="00C41B8C" w:rsidRDefault="00CE3B98">
            <w:pPr>
              <w:widowControl w:val="0"/>
              <w:jc w:val="right"/>
              <w:rPr>
                <w:b/>
                <w:color w:val="0000FF"/>
              </w:rPr>
            </w:pPr>
          </w:p>
        </w:tc>
      </w:tr>
      <w:tr w:rsidR="00CE3B98" w:rsidRPr="005E6923" w14:paraId="5C0A3D5D" w14:textId="3B08C3AC" w:rsidTr="00C41B8C">
        <w:trPr>
          <w:cantSplit/>
        </w:trPr>
        <w:tc>
          <w:tcPr>
            <w:tcW w:w="2430" w:type="dxa"/>
            <w:vAlign w:val="bottom"/>
          </w:tcPr>
          <w:p w14:paraId="18766EED"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Raw materials and consumables used</w:t>
            </w:r>
          </w:p>
        </w:tc>
        <w:tc>
          <w:tcPr>
            <w:tcW w:w="1530" w:type="dxa"/>
            <w:vAlign w:val="bottom"/>
          </w:tcPr>
          <w:p w14:paraId="128A3631" w14:textId="77777777" w:rsidR="00CE3B98" w:rsidRPr="00C41B8C" w:rsidRDefault="00CE3B98">
            <w:pPr>
              <w:widowControl w:val="0"/>
              <w:jc w:val="right"/>
              <w:rPr>
                <w:b/>
                <w:color w:val="0000FF"/>
              </w:rPr>
            </w:pPr>
          </w:p>
        </w:tc>
        <w:tc>
          <w:tcPr>
            <w:tcW w:w="1080" w:type="dxa"/>
            <w:vAlign w:val="bottom"/>
          </w:tcPr>
          <w:p w14:paraId="5B4DC333" w14:textId="77777777" w:rsidR="00CE3B98" w:rsidRPr="00C41B8C" w:rsidRDefault="00CE3B98">
            <w:pPr>
              <w:widowControl w:val="0"/>
              <w:jc w:val="right"/>
              <w:rPr>
                <w:b/>
                <w:color w:val="0000FF"/>
              </w:rPr>
            </w:pPr>
          </w:p>
        </w:tc>
        <w:tc>
          <w:tcPr>
            <w:tcW w:w="1170" w:type="dxa"/>
            <w:vAlign w:val="bottom"/>
          </w:tcPr>
          <w:p w14:paraId="51466DB8" w14:textId="77777777" w:rsidR="00CE3B98" w:rsidRPr="00C41B8C" w:rsidRDefault="00CE3B98">
            <w:pPr>
              <w:widowControl w:val="0"/>
              <w:jc w:val="right"/>
              <w:rPr>
                <w:b/>
                <w:color w:val="0000FF"/>
              </w:rPr>
            </w:pPr>
          </w:p>
        </w:tc>
        <w:tc>
          <w:tcPr>
            <w:tcW w:w="720" w:type="dxa"/>
            <w:vAlign w:val="bottom"/>
          </w:tcPr>
          <w:p w14:paraId="15EBFECB" w14:textId="77777777" w:rsidR="00CE3B98" w:rsidRPr="00C41B8C" w:rsidRDefault="00CE3B98">
            <w:pPr>
              <w:widowControl w:val="0"/>
              <w:jc w:val="right"/>
              <w:rPr>
                <w:b/>
                <w:color w:val="0000FF"/>
              </w:rPr>
            </w:pPr>
          </w:p>
        </w:tc>
        <w:tc>
          <w:tcPr>
            <w:tcW w:w="1350" w:type="dxa"/>
            <w:vAlign w:val="bottom"/>
          </w:tcPr>
          <w:p w14:paraId="199A6826" w14:textId="77777777" w:rsidR="00CE3B98" w:rsidRPr="00C41B8C" w:rsidRDefault="00CE3B98">
            <w:pPr>
              <w:widowControl w:val="0"/>
              <w:jc w:val="right"/>
              <w:rPr>
                <w:b/>
                <w:color w:val="0000FF"/>
              </w:rPr>
            </w:pPr>
          </w:p>
        </w:tc>
        <w:tc>
          <w:tcPr>
            <w:tcW w:w="720" w:type="dxa"/>
            <w:vAlign w:val="bottom"/>
          </w:tcPr>
          <w:p w14:paraId="539A2856" w14:textId="77777777" w:rsidR="00CE3B98" w:rsidRPr="00C41B8C" w:rsidRDefault="00CE3B98">
            <w:pPr>
              <w:widowControl w:val="0"/>
              <w:jc w:val="right"/>
              <w:rPr>
                <w:b/>
                <w:color w:val="0000FF"/>
              </w:rPr>
            </w:pPr>
          </w:p>
        </w:tc>
      </w:tr>
      <w:tr w:rsidR="00CE3B98" w:rsidRPr="005E6923" w14:paraId="3CB67975" w14:textId="02889F07" w:rsidTr="00C41B8C">
        <w:trPr>
          <w:cantSplit/>
        </w:trPr>
        <w:tc>
          <w:tcPr>
            <w:tcW w:w="2430" w:type="dxa"/>
            <w:vAlign w:val="bottom"/>
          </w:tcPr>
          <w:p w14:paraId="0FE0F5A0"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Employee benefits expense</w:t>
            </w:r>
          </w:p>
        </w:tc>
        <w:tc>
          <w:tcPr>
            <w:tcW w:w="1530" w:type="dxa"/>
            <w:vAlign w:val="bottom"/>
          </w:tcPr>
          <w:p w14:paraId="443BB0A0" w14:textId="77777777" w:rsidR="00CE3B98" w:rsidRPr="00C41B8C" w:rsidRDefault="00CE3B98">
            <w:pPr>
              <w:widowControl w:val="0"/>
              <w:jc w:val="right"/>
              <w:rPr>
                <w:b/>
                <w:color w:val="0000FF"/>
              </w:rPr>
            </w:pPr>
          </w:p>
        </w:tc>
        <w:tc>
          <w:tcPr>
            <w:tcW w:w="1080" w:type="dxa"/>
            <w:vAlign w:val="bottom"/>
          </w:tcPr>
          <w:p w14:paraId="40F3B820" w14:textId="77777777" w:rsidR="00CE3B98" w:rsidRPr="00C41B8C" w:rsidRDefault="00CE3B98">
            <w:pPr>
              <w:widowControl w:val="0"/>
              <w:jc w:val="right"/>
              <w:rPr>
                <w:b/>
                <w:color w:val="0000FF"/>
              </w:rPr>
            </w:pPr>
          </w:p>
        </w:tc>
        <w:tc>
          <w:tcPr>
            <w:tcW w:w="1170" w:type="dxa"/>
            <w:vAlign w:val="bottom"/>
          </w:tcPr>
          <w:p w14:paraId="60EB80D6" w14:textId="77777777" w:rsidR="00CE3B98" w:rsidRPr="00C41B8C" w:rsidRDefault="00CE3B98">
            <w:pPr>
              <w:widowControl w:val="0"/>
              <w:jc w:val="right"/>
              <w:rPr>
                <w:b/>
                <w:color w:val="0000FF"/>
              </w:rPr>
            </w:pPr>
          </w:p>
        </w:tc>
        <w:tc>
          <w:tcPr>
            <w:tcW w:w="720" w:type="dxa"/>
            <w:vAlign w:val="bottom"/>
          </w:tcPr>
          <w:p w14:paraId="45BA6A15" w14:textId="77777777" w:rsidR="00CE3B98" w:rsidRPr="00C41B8C" w:rsidRDefault="00CE3B98">
            <w:pPr>
              <w:widowControl w:val="0"/>
              <w:jc w:val="right"/>
              <w:rPr>
                <w:b/>
                <w:color w:val="0000FF"/>
              </w:rPr>
            </w:pPr>
          </w:p>
        </w:tc>
        <w:tc>
          <w:tcPr>
            <w:tcW w:w="1350" w:type="dxa"/>
            <w:vAlign w:val="bottom"/>
          </w:tcPr>
          <w:p w14:paraId="1B848764" w14:textId="77777777" w:rsidR="00CE3B98" w:rsidRPr="00C41B8C" w:rsidRDefault="00CE3B98">
            <w:pPr>
              <w:widowControl w:val="0"/>
              <w:jc w:val="right"/>
              <w:rPr>
                <w:b/>
                <w:color w:val="0000FF"/>
              </w:rPr>
            </w:pPr>
          </w:p>
        </w:tc>
        <w:tc>
          <w:tcPr>
            <w:tcW w:w="720" w:type="dxa"/>
            <w:vAlign w:val="bottom"/>
          </w:tcPr>
          <w:p w14:paraId="464AC00C" w14:textId="77777777" w:rsidR="00CE3B98" w:rsidRPr="00C41B8C" w:rsidRDefault="00CE3B98">
            <w:pPr>
              <w:widowControl w:val="0"/>
              <w:jc w:val="right"/>
              <w:rPr>
                <w:b/>
                <w:color w:val="0000FF"/>
              </w:rPr>
            </w:pPr>
          </w:p>
        </w:tc>
      </w:tr>
      <w:tr w:rsidR="00CE3B98" w:rsidRPr="005E6923" w14:paraId="2CF9C48B" w14:textId="742314C6" w:rsidTr="00C41B8C">
        <w:trPr>
          <w:cantSplit/>
        </w:trPr>
        <w:tc>
          <w:tcPr>
            <w:tcW w:w="2430" w:type="dxa"/>
            <w:vAlign w:val="bottom"/>
          </w:tcPr>
          <w:p w14:paraId="3F5E42F6"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Depreciation of property, plant and equipment</w:t>
            </w:r>
          </w:p>
        </w:tc>
        <w:tc>
          <w:tcPr>
            <w:tcW w:w="1530" w:type="dxa"/>
            <w:vAlign w:val="bottom"/>
          </w:tcPr>
          <w:p w14:paraId="1E3BBFD2" w14:textId="77777777" w:rsidR="00CE3B98" w:rsidRPr="00C41B8C" w:rsidRDefault="00CE3B98">
            <w:pPr>
              <w:widowControl w:val="0"/>
              <w:jc w:val="right"/>
              <w:rPr>
                <w:b/>
                <w:color w:val="0000FF"/>
              </w:rPr>
            </w:pPr>
          </w:p>
        </w:tc>
        <w:tc>
          <w:tcPr>
            <w:tcW w:w="1080" w:type="dxa"/>
            <w:vAlign w:val="bottom"/>
          </w:tcPr>
          <w:p w14:paraId="753A96B4" w14:textId="77777777" w:rsidR="00CE3B98" w:rsidRPr="00C41B8C" w:rsidRDefault="00CE3B98">
            <w:pPr>
              <w:widowControl w:val="0"/>
              <w:jc w:val="right"/>
              <w:rPr>
                <w:b/>
                <w:color w:val="0000FF"/>
              </w:rPr>
            </w:pPr>
          </w:p>
        </w:tc>
        <w:tc>
          <w:tcPr>
            <w:tcW w:w="1170" w:type="dxa"/>
            <w:vAlign w:val="bottom"/>
          </w:tcPr>
          <w:p w14:paraId="63B4792A" w14:textId="77777777" w:rsidR="00CE3B98" w:rsidRPr="00C41B8C" w:rsidRDefault="00CE3B98">
            <w:pPr>
              <w:widowControl w:val="0"/>
              <w:jc w:val="right"/>
              <w:rPr>
                <w:b/>
                <w:color w:val="0000FF"/>
              </w:rPr>
            </w:pPr>
          </w:p>
        </w:tc>
        <w:tc>
          <w:tcPr>
            <w:tcW w:w="720" w:type="dxa"/>
            <w:vAlign w:val="bottom"/>
          </w:tcPr>
          <w:p w14:paraId="1D99312D" w14:textId="77777777" w:rsidR="00CE3B98" w:rsidRPr="00C41B8C" w:rsidRDefault="00CE3B98">
            <w:pPr>
              <w:widowControl w:val="0"/>
              <w:jc w:val="right"/>
              <w:rPr>
                <w:b/>
                <w:color w:val="0000FF"/>
              </w:rPr>
            </w:pPr>
          </w:p>
        </w:tc>
        <w:tc>
          <w:tcPr>
            <w:tcW w:w="1350" w:type="dxa"/>
            <w:vAlign w:val="bottom"/>
          </w:tcPr>
          <w:p w14:paraId="19005AED" w14:textId="77777777" w:rsidR="00CE3B98" w:rsidRPr="00C41B8C" w:rsidRDefault="00CE3B98">
            <w:pPr>
              <w:widowControl w:val="0"/>
              <w:jc w:val="right"/>
              <w:rPr>
                <w:b/>
                <w:color w:val="0000FF"/>
              </w:rPr>
            </w:pPr>
          </w:p>
        </w:tc>
        <w:tc>
          <w:tcPr>
            <w:tcW w:w="720" w:type="dxa"/>
            <w:vAlign w:val="bottom"/>
          </w:tcPr>
          <w:p w14:paraId="3DACE5D4" w14:textId="77777777" w:rsidR="00CE3B98" w:rsidRPr="00C41B8C" w:rsidRDefault="00CE3B98">
            <w:pPr>
              <w:widowControl w:val="0"/>
              <w:jc w:val="right"/>
              <w:rPr>
                <w:b/>
                <w:color w:val="0000FF"/>
              </w:rPr>
            </w:pPr>
          </w:p>
        </w:tc>
      </w:tr>
      <w:tr w:rsidR="00CE3B98" w:rsidRPr="005E6923" w14:paraId="67DEB9C1" w14:textId="4F3867CE" w:rsidTr="00C41B8C">
        <w:trPr>
          <w:cantSplit/>
        </w:trPr>
        <w:tc>
          <w:tcPr>
            <w:tcW w:w="2430" w:type="dxa"/>
            <w:vAlign w:val="bottom"/>
          </w:tcPr>
          <w:p w14:paraId="04F5C9C3"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Impairment of property, plant and equipment</w:t>
            </w:r>
          </w:p>
        </w:tc>
        <w:tc>
          <w:tcPr>
            <w:tcW w:w="1530" w:type="dxa"/>
            <w:vAlign w:val="bottom"/>
          </w:tcPr>
          <w:p w14:paraId="6449F955" w14:textId="77777777" w:rsidR="00CE3B98" w:rsidRPr="00C41B8C" w:rsidRDefault="00CE3B98">
            <w:pPr>
              <w:widowControl w:val="0"/>
              <w:jc w:val="right"/>
              <w:rPr>
                <w:b/>
                <w:color w:val="0000FF"/>
              </w:rPr>
            </w:pPr>
          </w:p>
        </w:tc>
        <w:tc>
          <w:tcPr>
            <w:tcW w:w="1080" w:type="dxa"/>
            <w:vAlign w:val="bottom"/>
          </w:tcPr>
          <w:p w14:paraId="04EF1444" w14:textId="77777777" w:rsidR="00CE3B98" w:rsidRPr="00C41B8C" w:rsidRDefault="00CE3B98">
            <w:pPr>
              <w:widowControl w:val="0"/>
              <w:jc w:val="right"/>
              <w:rPr>
                <w:b/>
                <w:color w:val="0000FF"/>
              </w:rPr>
            </w:pPr>
          </w:p>
        </w:tc>
        <w:tc>
          <w:tcPr>
            <w:tcW w:w="1170" w:type="dxa"/>
            <w:vAlign w:val="bottom"/>
          </w:tcPr>
          <w:p w14:paraId="62E914C5" w14:textId="77777777" w:rsidR="00CE3B98" w:rsidRPr="00C41B8C" w:rsidRDefault="00CE3B98">
            <w:pPr>
              <w:widowControl w:val="0"/>
              <w:jc w:val="right"/>
              <w:rPr>
                <w:b/>
                <w:color w:val="0000FF"/>
              </w:rPr>
            </w:pPr>
          </w:p>
        </w:tc>
        <w:tc>
          <w:tcPr>
            <w:tcW w:w="720" w:type="dxa"/>
            <w:vAlign w:val="bottom"/>
          </w:tcPr>
          <w:p w14:paraId="22CEBFE1" w14:textId="77777777" w:rsidR="00CE3B98" w:rsidRPr="00C41B8C" w:rsidRDefault="00CE3B98">
            <w:pPr>
              <w:widowControl w:val="0"/>
              <w:jc w:val="right"/>
              <w:rPr>
                <w:b/>
                <w:color w:val="0000FF"/>
              </w:rPr>
            </w:pPr>
          </w:p>
        </w:tc>
        <w:tc>
          <w:tcPr>
            <w:tcW w:w="1350" w:type="dxa"/>
            <w:vAlign w:val="bottom"/>
          </w:tcPr>
          <w:p w14:paraId="70A3ED4E" w14:textId="77777777" w:rsidR="00CE3B98" w:rsidRPr="00C41B8C" w:rsidRDefault="00CE3B98">
            <w:pPr>
              <w:widowControl w:val="0"/>
              <w:jc w:val="right"/>
              <w:rPr>
                <w:b/>
                <w:color w:val="0000FF"/>
              </w:rPr>
            </w:pPr>
          </w:p>
        </w:tc>
        <w:tc>
          <w:tcPr>
            <w:tcW w:w="720" w:type="dxa"/>
            <w:vAlign w:val="bottom"/>
          </w:tcPr>
          <w:p w14:paraId="5BD3CFFB" w14:textId="77777777" w:rsidR="00CE3B98" w:rsidRPr="00C41B8C" w:rsidRDefault="00CE3B98">
            <w:pPr>
              <w:widowControl w:val="0"/>
              <w:jc w:val="right"/>
              <w:rPr>
                <w:b/>
                <w:color w:val="0000FF"/>
              </w:rPr>
            </w:pPr>
          </w:p>
        </w:tc>
      </w:tr>
      <w:tr w:rsidR="00CE3B98" w:rsidRPr="005E6923" w14:paraId="761F93F1" w14:textId="2ADFBC21" w:rsidTr="00C41B8C">
        <w:trPr>
          <w:cantSplit/>
        </w:trPr>
        <w:tc>
          <w:tcPr>
            <w:tcW w:w="2430" w:type="dxa"/>
            <w:vAlign w:val="bottom"/>
          </w:tcPr>
          <w:p w14:paraId="66891EB1"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Impairment of goodwill</w:t>
            </w:r>
          </w:p>
        </w:tc>
        <w:tc>
          <w:tcPr>
            <w:tcW w:w="1530" w:type="dxa"/>
            <w:vAlign w:val="bottom"/>
          </w:tcPr>
          <w:p w14:paraId="356B56A0" w14:textId="77777777" w:rsidR="00CE3B98" w:rsidRPr="00C41B8C" w:rsidRDefault="00CE3B98">
            <w:pPr>
              <w:widowControl w:val="0"/>
              <w:jc w:val="right"/>
              <w:rPr>
                <w:b/>
                <w:color w:val="0000FF"/>
              </w:rPr>
            </w:pPr>
          </w:p>
        </w:tc>
        <w:tc>
          <w:tcPr>
            <w:tcW w:w="1080" w:type="dxa"/>
            <w:vAlign w:val="bottom"/>
          </w:tcPr>
          <w:p w14:paraId="71E7084C" w14:textId="77777777" w:rsidR="00CE3B98" w:rsidRPr="00C41B8C" w:rsidRDefault="00CE3B98">
            <w:pPr>
              <w:widowControl w:val="0"/>
              <w:jc w:val="right"/>
              <w:rPr>
                <w:b/>
                <w:color w:val="0000FF"/>
              </w:rPr>
            </w:pPr>
          </w:p>
        </w:tc>
        <w:tc>
          <w:tcPr>
            <w:tcW w:w="1170" w:type="dxa"/>
            <w:vAlign w:val="bottom"/>
          </w:tcPr>
          <w:p w14:paraId="47363316" w14:textId="77777777" w:rsidR="00CE3B98" w:rsidRPr="00C41B8C" w:rsidRDefault="00CE3B98">
            <w:pPr>
              <w:widowControl w:val="0"/>
              <w:jc w:val="right"/>
              <w:rPr>
                <w:b/>
                <w:color w:val="0000FF"/>
              </w:rPr>
            </w:pPr>
          </w:p>
        </w:tc>
        <w:tc>
          <w:tcPr>
            <w:tcW w:w="720" w:type="dxa"/>
            <w:vAlign w:val="bottom"/>
          </w:tcPr>
          <w:p w14:paraId="0552A6FE" w14:textId="77777777" w:rsidR="00CE3B98" w:rsidRPr="00C41B8C" w:rsidRDefault="00CE3B98">
            <w:pPr>
              <w:widowControl w:val="0"/>
              <w:jc w:val="right"/>
              <w:rPr>
                <w:b/>
                <w:color w:val="0000FF"/>
              </w:rPr>
            </w:pPr>
          </w:p>
        </w:tc>
        <w:tc>
          <w:tcPr>
            <w:tcW w:w="1350" w:type="dxa"/>
            <w:vAlign w:val="bottom"/>
          </w:tcPr>
          <w:p w14:paraId="4EDD0323" w14:textId="77777777" w:rsidR="00CE3B98" w:rsidRPr="00C41B8C" w:rsidRDefault="00CE3B98">
            <w:pPr>
              <w:widowControl w:val="0"/>
              <w:jc w:val="right"/>
              <w:rPr>
                <w:b/>
                <w:color w:val="0000FF"/>
              </w:rPr>
            </w:pPr>
          </w:p>
        </w:tc>
        <w:tc>
          <w:tcPr>
            <w:tcW w:w="720" w:type="dxa"/>
            <w:vAlign w:val="bottom"/>
          </w:tcPr>
          <w:p w14:paraId="0FCE3DA5" w14:textId="77777777" w:rsidR="00CE3B98" w:rsidRPr="00C41B8C" w:rsidRDefault="00CE3B98">
            <w:pPr>
              <w:widowControl w:val="0"/>
              <w:jc w:val="right"/>
              <w:rPr>
                <w:b/>
                <w:color w:val="0000FF"/>
              </w:rPr>
            </w:pPr>
          </w:p>
        </w:tc>
      </w:tr>
      <w:tr w:rsidR="00CE3B98" w:rsidRPr="005E6923" w14:paraId="6EBCC12E" w14:textId="2B6DA90A" w:rsidTr="00C41B8C">
        <w:trPr>
          <w:cantSplit/>
        </w:trPr>
        <w:tc>
          <w:tcPr>
            <w:tcW w:w="2430" w:type="dxa"/>
            <w:vAlign w:val="bottom"/>
          </w:tcPr>
          <w:p w14:paraId="347B7CD0"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Net impairment losses on financial and contract assets</w:t>
            </w:r>
          </w:p>
        </w:tc>
        <w:tc>
          <w:tcPr>
            <w:tcW w:w="1530" w:type="dxa"/>
            <w:vAlign w:val="bottom"/>
          </w:tcPr>
          <w:p w14:paraId="006FFF93" w14:textId="77777777" w:rsidR="00CE3B98" w:rsidRPr="00C41B8C" w:rsidRDefault="00CE3B98">
            <w:pPr>
              <w:widowControl w:val="0"/>
              <w:jc w:val="right"/>
              <w:rPr>
                <w:b/>
                <w:color w:val="0000FF"/>
              </w:rPr>
            </w:pPr>
          </w:p>
        </w:tc>
        <w:tc>
          <w:tcPr>
            <w:tcW w:w="1080" w:type="dxa"/>
            <w:vAlign w:val="bottom"/>
          </w:tcPr>
          <w:p w14:paraId="63AC4CDE" w14:textId="77777777" w:rsidR="00CE3B98" w:rsidRPr="00C41B8C" w:rsidRDefault="00CE3B98">
            <w:pPr>
              <w:widowControl w:val="0"/>
              <w:jc w:val="right"/>
              <w:rPr>
                <w:b/>
                <w:color w:val="0000FF"/>
              </w:rPr>
            </w:pPr>
          </w:p>
        </w:tc>
        <w:tc>
          <w:tcPr>
            <w:tcW w:w="1170" w:type="dxa"/>
            <w:vAlign w:val="bottom"/>
          </w:tcPr>
          <w:p w14:paraId="640DCFC4" w14:textId="77777777" w:rsidR="00CE3B98" w:rsidRPr="00C41B8C" w:rsidRDefault="00CE3B98">
            <w:pPr>
              <w:widowControl w:val="0"/>
              <w:jc w:val="right"/>
              <w:rPr>
                <w:b/>
                <w:color w:val="0000FF"/>
              </w:rPr>
            </w:pPr>
          </w:p>
        </w:tc>
        <w:tc>
          <w:tcPr>
            <w:tcW w:w="720" w:type="dxa"/>
            <w:vAlign w:val="bottom"/>
          </w:tcPr>
          <w:p w14:paraId="00E885D2" w14:textId="77777777" w:rsidR="00CE3B98" w:rsidRPr="00C41B8C" w:rsidRDefault="00CE3B98">
            <w:pPr>
              <w:widowControl w:val="0"/>
              <w:jc w:val="right"/>
              <w:rPr>
                <w:b/>
                <w:color w:val="0000FF"/>
              </w:rPr>
            </w:pPr>
          </w:p>
        </w:tc>
        <w:tc>
          <w:tcPr>
            <w:tcW w:w="1350" w:type="dxa"/>
            <w:vAlign w:val="bottom"/>
          </w:tcPr>
          <w:p w14:paraId="7362872D" w14:textId="77777777" w:rsidR="00CE3B98" w:rsidRPr="00C41B8C" w:rsidRDefault="00CE3B98">
            <w:pPr>
              <w:widowControl w:val="0"/>
              <w:jc w:val="right"/>
              <w:rPr>
                <w:b/>
                <w:color w:val="0000FF"/>
              </w:rPr>
            </w:pPr>
          </w:p>
        </w:tc>
        <w:tc>
          <w:tcPr>
            <w:tcW w:w="720" w:type="dxa"/>
            <w:vAlign w:val="bottom"/>
          </w:tcPr>
          <w:p w14:paraId="25E8CAE7" w14:textId="77777777" w:rsidR="00CE3B98" w:rsidRPr="00C41B8C" w:rsidRDefault="00CE3B98">
            <w:pPr>
              <w:widowControl w:val="0"/>
              <w:jc w:val="right"/>
              <w:rPr>
                <w:b/>
                <w:color w:val="0000FF"/>
              </w:rPr>
            </w:pPr>
          </w:p>
        </w:tc>
      </w:tr>
      <w:tr w:rsidR="00CE3B98" w:rsidRPr="005E6923" w14:paraId="5C207A0E" w14:textId="36363BF5" w:rsidTr="00C41B8C">
        <w:trPr>
          <w:cantSplit/>
        </w:trPr>
        <w:tc>
          <w:tcPr>
            <w:tcW w:w="2430" w:type="dxa"/>
            <w:vAlign w:val="bottom"/>
          </w:tcPr>
          <w:p w14:paraId="5A4BE391"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xml:space="preserve">Services </w:t>
            </w:r>
          </w:p>
        </w:tc>
        <w:tc>
          <w:tcPr>
            <w:tcW w:w="1530" w:type="dxa"/>
            <w:vAlign w:val="bottom"/>
          </w:tcPr>
          <w:p w14:paraId="2C661435" w14:textId="77777777" w:rsidR="00CE3B98" w:rsidRPr="00C41B8C" w:rsidRDefault="00CE3B98">
            <w:pPr>
              <w:widowControl w:val="0"/>
              <w:jc w:val="right"/>
              <w:rPr>
                <w:b/>
                <w:color w:val="0000FF"/>
              </w:rPr>
            </w:pPr>
          </w:p>
        </w:tc>
        <w:tc>
          <w:tcPr>
            <w:tcW w:w="1080" w:type="dxa"/>
            <w:vAlign w:val="bottom"/>
          </w:tcPr>
          <w:p w14:paraId="6322099F" w14:textId="77777777" w:rsidR="00CE3B98" w:rsidRPr="00C41B8C" w:rsidRDefault="00CE3B98">
            <w:pPr>
              <w:widowControl w:val="0"/>
              <w:jc w:val="right"/>
              <w:rPr>
                <w:b/>
                <w:color w:val="0000FF"/>
              </w:rPr>
            </w:pPr>
          </w:p>
        </w:tc>
        <w:tc>
          <w:tcPr>
            <w:tcW w:w="1170" w:type="dxa"/>
            <w:vAlign w:val="bottom"/>
          </w:tcPr>
          <w:p w14:paraId="2BD806D5" w14:textId="77777777" w:rsidR="00CE3B98" w:rsidRPr="00C41B8C" w:rsidRDefault="00CE3B98">
            <w:pPr>
              <w:widowControl w:val="0"/>
              <w:jc w:val="right"/>
              <w:rPr>
                <w:b/>
                <w:color w:val="0000FF"/>
              </w:rPr>
            </w:pPr>
          </w:p>
        </w:tc>
        <w:tc>
          <w:tcPr>
            <w:tcW w:w="720" w:type="dxa"/>
            <w:vAlign w:val="bottom"/>
          </w:tcPr>
          <w:p w14:paraId="198AECB4" w14:textId="77777777" w:rsidR="00CE3B98" w:rsidRPr="00C41B8C" w:rsidRDefault="00CE3B98">
            <w:pPr>
              <w:widowControl w:val="0"/>
              <w:jc w:val="right"/>
              <w:rPr>
                <w:b/>
                <w:color w:val="0000FF"/>
              </w:rPr>
            </w:pPr>
          </w:p>
        </w:tc>
        <w:tc>
          <w:tcPr>
            <w:tcW w:w="1350" w:type="dxa"/>
            <w:vAlign w:val="bottom"/>
          </w:tcPr>
          <w:p w14:paraId="01A76845" w14:textId="77777777" w:rsidR="00CE3B98" w:rsidRPr="00C41B8C" w:rsidRDefault="00CE3B98">
            <w:pPr>
              <w:widowControl w:val="0"/>
              <w:jc w:val="right"/>
              <w:rPr>
                <w:b/>
                <w:color w:val="0000FF"/>
              </w:rPr>
            </w:pPr>
          </w:p>
        </w:tc>
        <w:tc>
          <w:tcPr>
            <w:tcW w:w="720" w:type="dxa"/>
            <w:vAlign w:val="bottom"/>
          </w:tcPr>
          <w:p w14:paraId="0E57DF5C" w14:textId="77777777" w:rsidR="00CE3B98" w:rsidRPr="00C41B8C" w:rsidRDefault="00CE3B98">
            <w:pPr>
              <w:widowControl w:val="0"/>
              <w:jc w:val="right"/>
              <w:rPr>
                <w:b/>
                <w:color w:val="0000FF"/>
              </w:rPr>
            </w:pPr>
          </w:p>
        </w:tc>
      </w:tr>
      <w:tr w:rsidR="00CE3B98" w:rsidRPr="005E6923" w14:paraId="3A09FDD5" w14:textId="763ED850" w:rsidTr="00C41B8C">
        <w:trPr>
          <w:cantSplit/>
        </w:trPr>
        <w:tc>
          <w:tcPr>
            <w:tcW w:w="2430" w:type="dxa"/>
            <w:vAlign w:val="bottom"/>
          </w:tcPr>
          <w:p w14:paraId="64F741D0"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xml:space="preserve">Gain </w:t>
            </w:r>
            <w:r w:rsidRPr="00301EAF">
              <w:rPr>
                <w:color w:val="0000FF"/>
              </w:rPr>
              <w:t>[Loss]</w:t>
            </w:r>
            <w:r w:rsidRPr="00C41B8C">
              <w:rPr>
                <w:color w:val="0000FF"/>
              </w:rPr>
              <w:t xml:space="preserve"> on sale of a subsidiary</w:t>
            </w:r>
          </w:p>
        </w:tc>
        <w:tc>
          <w:tcPr>
            <w:tcW w:w="1530" w:type="dxa"/>
            <w:vAlign w:val="bottom"/>
          </w:tcPr>
          <w:p w14:paraId="7CA4BF18" w14:textId="77777777" w:rsidR="00CE3B98" w:rsidRPr="00C41B8C" w:rsidRDefault="00CE3B98">
            <w:pPr>
              <w:widowControl w:val="0"/>
              <w:jc w:val="right"/>
              <w:rPr>
                <w:b/>
                <w:color w:val="0000FF"/>
              </w:rPr>
            </w:pPr>
          </w:p>
        </w:tc>
        <w:tc>
          <w:tcPr>
            <w:tcW w:w="1080" w:type="dxa"/>
            <w:vAlign w:val="bottom"/>
          </w:tcPr>
          <w:p w14:paraId="5744098F" w14:textId="77777777" w:rsidR="00CE3B98" w:rsidRPr="00C41B8C" w:rsidRDefault="00CE3B98">
            <w:pPr>
              <w:widowControl w:val="0"/>
              <w:jc w:val="right"/>
              <w:rPr>
                <w:b/>
                <w:color w:val="0000FF"/>
              </w:rPr>
            </w:pPr>
          </w:p>
        </w:tc>
        <w:tc>
          <w:tcPr>
            <w:tcW w:w="1170" w:type="dxa"/>
            <w:vAlign w:val="bottom"/>
          </w:tcPr>
          <w:p w14:paraId="682F86F1" w14:textId="77777777" w:rsidR="00CE3B98" w:rsidRPr="00C41B8C" w:rsidRDefault="00CE3B98">
            <w:pPr>
              <w:widowControl w:val="0"/>
              <w:jc w:val="right"/>
              <w:rPr>
                <w:b/>
                <w:color w:val="0000FF"/>
              </w:rPr>
            </w:pPr>
          </w:p>
        </w:tc>
        <w:tc>
          <w:tcPr>
            <w:tcW w:w="720" w:type="dxa"/>
            <w:vAlign w:val="bottom"/>
          </w:tcPr>
          <w:p w14:paraId="0258BD25" w14:textId="77777777" w:rsidR="00CE3B98" w:rsidRPr="00C41B8C" w:rsidRDefault="00CE3B98">
            <w:pPr>
              <w:widowControl w:val="0"/>
              <w:jc w:val="right"/>
              <w:rPr>
                <w:b/>
                <w:color w:val="0000FF"/>
              </w:rPr>
            </w:pPr>
          </w:p>
        </w:tc>
        <w:tc>
          <w:tcPr>
            <w:tcW w:w="1350" w:type="dxa"/>
            <w:vAlign w:val="bottom"/>
          </w:tcPr>
          <w:p w14:paraId="215CF602" w14:textId="77777777" w:rsidR="00CE3B98" w:rsidRPr="00C41B8C" w:rsidRDefault="00CE3B98">
            <w:pPr>
              <w:widowControl w:val="0"/>
              <w:jc w:val="right"/>
              <w:rPr>
                <w:b/>
                <w:color w:val="0000FF"/>
              </w:rPr>
            </w:pPr>
          </w:p>
        </w:tc>
        <w:tc>
          <w:tcPr>
            <w:tcW w:w="720" w:type="dxa"/>
            <w:vAlign w:val="bottom"/>
          </w:tcPr>
          <w:p w14:paraId="06565BBC" w14:textId="77777777" w:rsidR="00CE3B98" w:rsidRPr="00C41B8C" w:rsidRDefault="00CE3B98">
            <w:pPr>
              <w:widowControl w:val="0"/>
              <w:jc w:val="right"/>
              <w:rPr>
                <w:b/>
                <w:color w:val="0000FF"/>
              </w:rPr>
            </w:pPr>
          </w:p>
        </w:tc>
      </w:tr>
      <w:tr w:rsidR="00CE3B98" w:rsidRPr="005E6923" w14:paraId="6F3F3886" w14:textId="096C72C9" w:rsidTr="00C41B8C">
        <w:trPr>
          <w:cantSplit/>
        </w:trPr>
        <w:tc>
          <w:tcPr>
            <w:tcW w:w="2430" w:type="dxa"/>
            <w:vAlign w:val="bottom"/>
          </w:tcPr>
          <w:p w14:paraId="2C5BB99C"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Gains less losses on disposals of property, plant and equipment</w:t>
            </w:r>
          </w:p>
        </w:tc>
        <w:tc>
          <w:tcPr>
            <w:tcW w:w="1530" w:type="dxa"/>
            <w:vAlign w:val="bottom"/>
          </w:tcPr>
          <w:p w14:paraId="55EC585B" w14:textId="77777777" w:rsidR="00CE3B98" w:rsidRPr="00C41B8C" w:rsidRDefault="00CE3B98">
            <w:pPr>
              <w:widowControl w:val="0"/>
              <w:jc w:val="right"/>
              <w:rPr>
                <w:b/>
                <w:color w:val="0000FF"/>
              </w:rPr>
            </w:pPr>
          </w:p>
        </w:tc>
        <w:tc>
          <w:tcPr>
            <w:tcW w:w="1080" w:type="dxa"/>
            <w:vAlign w:val="bottom"/>
          </w:tcPr>
          <w:p w14:paraId="67068E39" w14:textId="77777777" w:rsidR="00CE3B98" w:rsidRPr="00C41B8C" w:rsidRDefault="00CE3B98">
            <w:pPr>
              <w:widowControl w:val="0"/>
              <w:jc w:val="right"/>
              <w:rPr>
                <w:b/>
                <w:color w:val="0000FF"/>
              </w:rPr>
            </w:pPr>
          </w:p>
        </w:tc>
        <w:tc>
          <w:tcPr>
            <w:tcW w:w="1170" w:type="dxa"/>
            <w:vAlign w:val="bottom"/>
          </w:tcPr>
          <w:p w14:paraId="018B0185" w14:textId="77777777" w:rsidR="00CE3B98" w:rsidRPr="00C41B8C" w:rsidRDefault="00CE3B98">
            <w:pPr>
              <w:widowControl w:val="0"/>
              <w:jc w:val="right"/>
              <w:rPr>
                <w:b/>
                <w:color w:val="0000FF"/>
              </w:rPr>
            </w:pPr>
          </w:p>
        </w:tc>
        <w:tc>
          <w:tcPr>
            <w:tcW w:w="720" w:type="dxa"/>
            <w:vAlign w:val="bottom"/>
          </w:tcPr>
          <w:p w14:paraId="4CC5F281" w14:textId="77777777" w:rsidR="00CE3B98" w:rsidRPr="00C41B8C" w:rsidRDefault="00CE3B98">
            <w:pPr>
              <w:widowControl w:val="0"/>
              <w:jc w:val="right"/>
              <w:rPr>
                <w:b/>
                <w:color w:val="0000FF"/>
              </w:rPr>
            </w:pPr>
          </w:p>
        </w:tc>
        <w:tc>
          <w:tcPr>
            <w:tcW w:w="1350" w:type="dxa"/>
            <w:vAlign w:val="bottom"/>
          </w:tcPr>
          <w:p w14:paraId="60F518A0" w14:textId="77777777" w:rsidR="00CE3B98" w:rsidRPr="00C41B8C" w:rsidRDefault="00CE3B98">
            <w:pPr>
              <w:widowControl w:val="0"/>
              <w:jc w:val="right"/>
              <w:rPr>
                <w:b/>
                <w:color w:val="0000FF"/>
              </w:rPr>
            </w:pPr>
          </w:p>
        </w:tc>
        <w:tc>
          <w:tcPr>
            <w:tcW w:w="720" w:type="dxa"/>
            <w:vAlign w:val="bottom"/>
          </w:tcPr>
          <w:p w14:paraId="35BEAEA8" w14:textId="77777777" w:rsidR="00CE3B98" w:rsidRPr="00C41B8C" w:rsidRDefault="00CE3B98">
            <w:pPr>
              <w:widowControl w:val="0"/>
              <w:jc w:val="right"/>
              <w:rPr>
                <w:b/>
                <w:color w:val="0000FF"/>
              </w:rPr>
            </w:pPr>
          </w:p>
        </w:tc>
      </w:tr>
      <w:tr w:rsidR="00CE3B98" w:rsidRPr="005E6923" w14:paraId="65A72465" w14:textId="5BF5659B" w:rsidTr="00C41B8C">
        <w:trPr>
          <w:cantSplit/>
        </w:trPr>
        <w:tc>
          <w:tcPr>
            <w:tcW w:w="2430" w:type="dxa"/>
            <w:vAlign w:val="bottom"/>
          </w:tcPr>
          <w:p w14:paraId="6768502F" w14:textId="77777777" w:rsidR="00CE3B98" w:rsidRPr="00C41B8C" w:rsidRDefault="00CE3B98">
            <w:pPr>
              <w:widowControl w:val="0"/>
              <w:pBdr>
                <w:top w:val="nil"/>
                <w:left w:val="nil"/>
                <w:bottom w:val="nil"/>
                <w:right w:val="nil"/>
                <w:between w:val="nil"/>
              </w:pBdr>
              <w:ind w:left="113" w:right="-57" w:hanging="113"/>
              <w:rPr>
                <w:color w:val="0000FF"/>
              </w:rPr>
            </w:pPr>
            <w:r w:rsidRPr="00C41B8C">
              <w:rPr>
                <w:color w:val="0000FF"/>
              </w:rPr>
              <w:t xml:space="preserve">Other gains/(losses), net </w:t>
            </w:r>
          </w:p>
        </w:tc>
        <w:tc>
          <w:tcPr>
            <w:tcW w:w="1530" w:type="dxa"/>
            <w:vAlign w:val="bottom"/>
          </w:tcPr>
          <w:p w14:paraId="27D8FD4F" w14:textId="77777777" w:rsidR="00CE3B98" w:rsidRPr="00C41B8C" w:rsidRDefault="00CE3B98">
            <w:pPr>
              <w:widowControl w:val="0"/>
              <w:jc w:val="right"/>
              <w:rPr>
                <w:color w:val="0000FF"/>
              </w:rPr>
            </w:pPr>
          </w:p>
        </w:tc>
        <w:tc>
          <w:tcPr>
            <w:tcW w:w="1080" w:type="dxa"/>
            <w:vAlign w:val="bottom"/>
          </w:tcPr>
          <w:p w14:paraId="4A7A7832" w14:textId="77777777" w:rsidR="00CE3B98" w:rsidRPr="00C41B8C" w:rsidRDefault="00CE3B98">
            <w:pPr>
              <w:widowControl w:val="0"/>
              <w:jc w:val="right"/>
              <w:rPr>
                <w:color w:val="0000FF"/>
              </w:rPr>
            </w:pPr>
          </w:p>
        </w:tc>
        <w:tc>
          <w:tcPr>
            <w:tcW w:w="1170" w:type="dxa"/>
            <w:vAlign w:val="bottom"/>
          </w:tcPr>
          <w:p w14:paraId="5761EE5B" w14:textId="77777777" w:rsidR="00CE3B98" w:rsidRPr="00C41B8C" w:rsidRDefault="00CE3B98">
            <w:pPr>
              <w:widowControl w:val="0"/>
              <w:jc w:val="right"/>
              <w:rPr>
                <w:color w:val="0000FF"/>
              </w:rPr>
            </w:pPr>
          </w:p>
        </w:tc>
        <w:tc>
          <w:tcPr>
            <w:tcW w:w="720" w:type="dxa"/>
            <w:vAlign w:val="bottom"/>
          </w:tcPr>
          <w:p w14:paraId="6301EAE1" w14:textId="77777777" w:rsidR="00CE3B98" w:rsidRPr="00C41B8C" w:rsidRDefault="00CE3B98">
            <w:pPr>
              <w:widowControl w:val="0"/>
              <w:jc w:val="right"/>
              <w:rPr>
                <w:color w:val="0000FF"/>
              </w:rPr>
            </w:pPr>
          </w:p>
        </w:tc>
        <w:tc>
          <w:tcPr>
            <w:tcW w:w="1350" w:type="dxa"/>
            <w:vAlign w:val="bottom"/>
          </w:tcPr>
          <w:p w14:paraId="5B9CA110" w14:textId="77777777" w:rsidR="00CE3B98" w:rsidRPr="00C41B8C" w:rsidRDefault="00CE3B98">
            <w:pPr>
              <w:widowControl w:val="0"/>
              <w:jc w:val="right"/>
              <w:rPr>
                <w:color w:val="0000FF"/>
              </w:rPr>
            </w:pPr>
          </w:p>
        </w:tc>
        <w:tc>
          <w:tcPr>
            <w:tcW w:w="720" w:type="dxa"/>
            <w:vAlign w:val="bottom"/>
          </w:tcPr>
          <w:p w14:paraId="22DBCF29" w14:textId="77777777" w:rsidR="00CE3B98" w:rsidRPr="00C41B8C" w:rsidRDefault="00CE3B98">
            <w:pPr>
              <w:widowControl w:val="0"/>
              <w:jc w:val="right"/>
              <w:rPr>
                <w:color w:val="0000FF"/>
              </w:rPr>
            </w:pPr>
          </w:p>
        </w:tc>
      </w:tr>
      <w:tr w:rsidR="00CE3B98" w:rsidRPr="005E6923" w14:paraId="7D817D9B" w14:textId="0DC4A493" w:rsidTr="00C41B8C">
        <w:trPr>
          <w:cantSplit/>
        </w:trPr>
        <w:tc>
          <w:tcPr>
            <w:tcW w:w="2430" w:type="dxa"/>
            <w:vAlign w:val="bottom"/>
          </w:tcPr>
          <w:p w14:paraId="582C21FD" w14:textId="77777777" w:rsidR="00CE3B98" w:rsidRPr="00301EAF" w:rsidRDefault="00CE3B98">
            <w:pPr>
              <w:widowControl w:val="0"/>
              <w:pBdr>
                <w:top w:val="nil"/>
                <w:left w:val="nil"/>
                <w:bottom w:val="nil"/>
                <w:right w:val="nil"/>
                <w:between w:val="nil"/>
              </w:pBdr>
              <w:ind w:left="113" w:right="-57" w:hanging="113"/>
              <w:rPr>
                <w:color w:val="0000FF"/>
              </w:rPr>
            </w:pPr>
            <w:r w:rsidRPr="00301EAF">
              <w:rPr>
                <w:color w:val="0000FF"/>
              </w:rPr>
              <w:t>[Material non-cash items other than depreciation and amortisation – expand as appropriate]</w:t>
            </w:r>
          </w:p>
        </w:tc>
        <w:tc>
          <w:tcPr>
            <w:tcW w:w="1530" w:type="dxa"/>
            <w:vAlign w:val="bottom"/>
          </w:tcPr>
          <w:p w14:paraId="3020C4F2" w14:textId="77777777" w:rsidR="00CE3B98" w:rsidRPr="00C41B8C" w:rsidRDefault="00CE3B98">
            <w:pPr>
              <w:widowControl w:val="0"/>
              <w:jc w:val="right"/>
              <w:rPr>
                <w:color w:val="0000FF"/>
              </w:rPr>
            </w:pPr>
          </w:p>
        </w:tc>
        <w:tc>
          <w:tcPr>
            <w:tcW w:w="1080" w:type="dxa"/>
            <w:vAlign w:val="bottom"/>
          </w:tcPr>
          <w:p w14:paraId="7430502D" w14:textId="77777777" w:rsidR="00CE3B98" w:rsidRPr="00C41B8C" w:rsidRDefault="00CE3B98">
            <w:pPr>
              <w:widowControl w:val="0"/>
              <w:jc w:val="right"/>
              <w:rPr>
                <w:color w:val="0000FF"/>
              </w:rPr>
            </w:pPr>
          </w:p>
        </w:tc>
        <w:tc>
          <w:tcPr>
            <w:tcW w:w="1170" w:type="dxa"/>
            <w:vAlign w:val="bottom"/>
          </w:tcPr>
          <w:p w14:paraId="7C80CD7F" w14:textId="77777777" w:rsidR="00CE3B98" w:rsidRPr="00C41B8C" w:rsidRDefault="00CE3B98">
            <w:pPr>
              <w:widowControl w:val="0"/>
              <w:jc w:val="right"/>
              <w:rPr>
                <w:color w:val="0000FF"/>
              </w:rPr>
            </w:pPr>
          </w:p>
        </w:tc>
        <w:tc>
          <w:tcPr>
            <w:tcW w:w="720" w:type="dxa"/>
            <w:vAlign w:val="bottom"/>
          </w:tcPr>
          <w:p w14:paraId="74588AC7" w14:textId="77777777" w:rsidR="00CE3B98" w:rsidRPr="00C41B8C" w:rsidRDefault="00CE3B98">
            <w:pPr>
              <w:widowControl w:val="0"/>
              <w:jc w:val="right"/>
              <w:rPr>
                <w:color w:val="0000FF"/>
              </w:rPr>
            </w:pPr>
          </w:p>
        </w:tc>
        <w:tc>
          <w:tcPr>
            <w:tcW w:w="1350" w:type="dxa"/>
            <w:vAlign w:val="bottom"/>
          </w:tcPr>
          <w:p w14:paraId="03D0E810" w14:textId="77777777" w:rsidR="00CE3B98" w:rsidRPr="00C41B8C" w:rsidRDefault="00CE3B98">
            <w:pPr>
              <w:widowControl w:val="0"/>
              <w:jc w:val="right"/>
              <w:rPr>
                <w:color w:val="0000FF"/>
              </w:rPr>
            </w:pPr>
          </w:p>
        </w:tc>
        <w:tc>
          <w:tcPr>
            <w:tcW w:w="720" w:type="dxa"/>
            <w:vAlign w:val="bottom"/>
          </w:tcPr>
          <w:p w14:paraId="0063535B" w14:textId="77777777" w:rsidR="00CE3B98" w:rsidRPr="00C41B8C" w:rsidRDefault="00CE3B98">
            <w:pPr>
              <w:widowControl w:val="0"/>
              <w:jc w:val="right"/>
              <w:rPr>
                <w:color w:val="0000FF"/>
              </w:rPr>
            </w:pPr>
          </w:p>
        </w:tc>
      </w:tr>
      <w:tr w:rsidR="00CE3B98" w:rsidRPr="005E6923" w14:paraId="056F561A" w14:textId="75992E26" w:rsidTr="00C41B8C">
        <w:trPr>
          <w:cantSplit/>
        </w:trPr>
        <w:tc>
          <w:tcPr>
            <w:tcW w:w="2430" w:type="dxa"/>
            <w:vAlign w:val="bottom"/>
          </w:tcPr>
          <w:p w14:paraId="6BBCA250" w14:textId="77777777" w:rsidR="00CE3B98" w:rsidRPr="00301EAF" w:rsidRDefault="00CE3B98">
            <w:pPr>
              <w:widowControl w:val="0"/>
              <w:pBdr>
                <w:top w:val="nil"/>
                <w:left w:val="nil"/>
                <w:bottom w:val="nil"/>
                <w:right w:val="nil"/>
                <w:between w:val="nil"/>
              </w:pBdr>
              <w:ind w:left="113" w:right="-57" w:hanging="113"/>
              <w:rPr>
                <w:color w:val="0000FF"/>
              </w:rPr>
            </w:pPr>
            <w:r w:rsidRPr="00301EAF">
              <w:rPr>
                <w:color w:val="0000FF"/>
              </w:rPr>
              <w:t>[Other material items of expenses – expand as appropriate]</w:t>
            </w:r>
          </w:p>
        </w:tc>
        <w:tc>
          <w:tcPr>
            <w:tcW w:w="1530" w:type="dxa"/>
            <w:vAlign w:val="bottom"/>
          </w:tcPr>
          <w:p w14:paraId="3EABBACB" w14:textId="77777777" w:rsidR="00CE3B98" w:rsidRPr="00C41B8C" w:rsidRDefault="00CE3B98">
            <w:pPr>
              <w:widowControl w:val="0"/>
              <w:jc w:val="right"/>
              <w:rPr>
                <w:color w:val="0000FF"/>
              </w:rPr>
            </w:pPr>
          </w:p>
        </w:tc>
        <w:tc>
          <w:tcPr>
            <w:tcW w:w="1080" w:type="dxa"/>
            <w:vAlign w:val="bottom"/>
          </w:tcPr>
          <w:p w14:paraId="5D29CE98" w14:textId="77777777" w:rsidR="00CE3B98" w:rsidRPr="00C41B8C" w:rsidRDefault="00CE3B98">
            <w:pPr>
              <w:widowControl w:val="0"/>
              <w:jc w:val="right"/>
              <w:rPr>
                <w:color w:val="0000FF"/>
              </w:rPr>
            </w:pPr>
          </w:p>
        </w:tc>
        <w:tc>
          <w:tcPr>
            <w:tcW w:w="1170" w:type="dxa"/>
            <w:vAlign w:val="bottom"/>
          </w:tcPr>
          <w:p w14:paraId="27E776AF" w14:textId="77777777" w:rsidR="00CE3B98" w:rsidRPr="00C41B8C" w:rsidRDefault="00CE3B98">
            <w:pPr>
              <w:widowControl w:val="0"/>
              <w:jc w:val="right"/>
              <w:rPr>
                <w:color w:val="0000FF"/>
              </w:rPr>
            </w:pPr>
          </w:p>
        </w:tc>
        <w:tc>
          <w:tcPr>
            <w:tcW w:w="720" w:type="dxa"/>
            <w:vAlign w:val="bottom"/>
          </w:tcPr>
          <w:p w14:paraId="75C0ECC4" w14:textId="77777777" w:rsidR="00CE3B98" w:rsidRPr="00C41B8C" w:rsidRDefault="00CE3B98">
            <w:pPr>
              <w:widowControl w:val="0"/>
              <w:jc w:val="right"/>
              <w:rPr>
                <w:color w:val="0000FF"/>
              </w:rPr>
            </w:pPr>
          </w:p>
        </w:tc>
        <w:tc>
          <w:tcPr>
            <w:tcW w:w="1350" w:type="dxa"/>
            <w:vAlign w:val="bottom"/>
          </w:tcPr>
          <w:p w14:paraId="05480934" w14:textId="77777777" w:rsidR="00CE3B98" w:rsidRPr="00C41B8C" w:rsidRDefault="00CE3B98">
            <w:pPr>
              <w:widowControl w:val="0"/>
              <w:jc w:val="right"/>
              <w:rPr>
                <w:color w:val="0000FF"/>
              </w:rPr>
            </w:pPr>
          </w:p>
        </w:tc>
        <w:tc>
          <w:tcPr>
            <w:tcW w:w="720" w:type="dxa"/>
            <w:vAlign w:val="bottom"/>
          </w:tcPr>
          <w:p w14:paraId="3795B5E1" w14:textId="77777777" w:rsidR="00CE3B98" w:rsidRPr="00C41B8C" w:rsidRDefault="00CE3B98">
            <w:pPr>
              <w:widowControl w:val="0"/>
              <w:jc w:val="right"/>
              <w:rPr>
                <w:color w:val="0000FF"/>
              </w:rPr>
            </w:pPr>
          </w:p>
        </w:tc>
      </w:tr>
      <w:tr w:rsidR="00CE3B98" w:rsidRPr="005E6923" w14:paraId="613CC400" w14:textId="76D7D6F4" w:rsidTr="00C41B8C">
        <w:trPr>
          <w:cantSplit/>
        </w:trPr>
        <w:tc>
          <w:tcPr>
            <w:tcW w:w="2430" w:type="dxa"/>
            <w:tcBorders>
              <w:bottom w:val="single" w:sz="4" w:space="0" w:color="000000"/>
            </w:tcBorders>
            <w:vAlign w:val="bottom"/>
          </w:tcPr>
          <w:p w14:paraId="1B46E35D" w14:textId="77777777" w:rsidR="00CE3B98" w:rsidRPr="00C41B8C" w:rsidRDefault="00CE3B98">
            <w:pPr>
              <w:widowControl w:val="0"/>
              <w:pBdr>
                <w:top w:val="nil"/>
                <w:left w:val="nil"/>
                <w:bottom w:val="nil"/>
                <w:right w:val="nil"/>
                <w:between w:val="nil"/>
              </w:pBdr>
              <w:ind w:left="113" w:right="-57" w:hanging="113"/>
              <w:rPr>
                <w:b/>
                <w:color w:val="0000FF"/>
              </w:rPr>
            </w:pPr>
            <w:r w:rsidRPr="00C41B8C">
              <w:rPr>
                <w:b/>
                <w:color w:val="0000FF"/>
              </w:rPr>
              <w:t> </w:t>
            </w:r>
          </w:p>
        </w:tc>
        <w:tc>
          <w:tcPr>
            <w:tcW w:w="1530" w:type="dxa"/>
            <w:tcBorders>
              <w:bottom w:val="single" w:sz="4" w:space="0" w:color="000000"/>
            </w:tcBorders>
            <w:vAlign w:val="bottom"/>
          </w:tcPr>
          <w:p w14:paraId="098D17F1" w14:textId="77777777" w:rsidR="00CE3B98" w:rsidRPr="00C41B8C" w:rsidRDefault="00CE3B98">
            <w:pPr>
              <w:widowControl w:val="0"/>
              <w:pBdr>
                <w:top w:val="nil"/>
                <w:left w:val="nil"/>
                <w:bottom w:val="nil"/>
                <w:right w:val="nil"/>
                <w:between w:val="nil"/>
              </w:pBdr>
              <w:jc w:val="right"/>
              <w:rPr>
                <w:b/>
                <w:color w:val="0000FF"/>
              </w:rPr>
            </w:pPr>
          </w:p>
        </w:tc>
        <w:tc>
          <w:tcPr>
            <w:tcW w:w="1080" w:type="dxa"/>
            <w:tcBorders>
              <w:bottom w:val="single" w:sz="4" w:space="0" w:color="000000"/>
            </w:tcBorders>
            <w:vAlign w:val="bottom"/>
          </w:tcPr>
          <w:p w14:paraId="04DC3206" w14:textId="77777777" w:rsidR="00CE3B98" w:rsidRPr="00C41B8C" w:rsidRDefault="00CE3B98">
            <w:pPr>
              <w:widowControl w:val="0"/>
              <w:pBdr>
                <w:top w:val="nil"/>
                <w:left w:val="nil"/>
                <w:bottom w:val="nil"/>
                <w:right w:val="nil"/>
                <w:between w:val="nil"/>
              </w:pBdr>
              <w:jc w:val="right"/>
              <w:rPr>
                <w:b/>
                <w:color w:val="0000FF"/>
              </w:rPr>
            </w:pPr>
          </w:p>
        </w:tc>
        <w:tc>
          <w:tcPr>
            <w:tcW w:w="1170" w:type="dxa"/>
            <w:tcBorders>
              <w:bottom w:val="single" w:sz="4" w:space="0" w:color="000000"/>
            </w:tcBorders>
            <w:vAlign w:val="bottom"/>
          </w:tcPr>
          <w:p w14:paraId="0E77CFDF" w14:textId="77777777" w:rsidR="00CE3B98" w:rsidRPr="00C41B8C" w:rsidRDefault="00CE3B98">
            <w:pPr>
              <w:widowControl w:val="0"/>
              <w:pBdr>
                <w:top w:val="nil"/>
                <w:left w:val="nil"/>
                <w:bottom w:val="nil"/>
                <w:right w:val="nil"/>
                <w:between w:val="nil"/>
              </w:pBdr>
              <w:jc w:val="right"/>
              <w:rPr>
                <w:b/>
                <w:color w:val="0000FF"/>
              </w:rPr>
            </w:pPr>
          </w:p>
        </w:tc>
        <w:tc>
          <w:tcPr>
            <w:tcW w:w="720" w:type="dxa"/>
            <w:tcBorders>
              <w:bottom w:val="single" w:sz="4" w:space="0" w:color="000000"/>
            </w:tcBorders>
            <w:vAlign w:val="bottom"/>
          </w:tcPr>
          <w:p w14:paraId="256E60A0" w14:textId="77777777" w:rsidR="00CE3B98" w:rsidRPr="00C41B8C" w:rsidRDefault="00CE3B98">
            <w:pPr>
              <w:widowControl w:val="0"/>
              <w:pBdr>
                <w:top w:val="nil"/>
                <w:left w:val="nil"/>
                <w:bottom w:val="nil"/>
                <w:right w:val="nil"/>
                <w:between w:val="nil"/>
              </w:pBdr>
              <w:jc w:val="right"/>
              <w:rPr>
                <w:b/>
                <w:color w:val="0000FF"/>
              </w:rPr>
            </w:pPr>
          </w:p>
        </w:tc>
        <w:tc>
          <w:tcPr>
            <w:tcW w:w="1350" w:type="dxa"/>
            <w:tcBorders>
              <w:bottom w:val="single" w:sz="4" w:space="0" w:color="000000"/>
            </w:tcBorders>
            <w:vAlign w:val="bottom"/>
          </w:tcPr>
          <w:p w14:paraId="167D9FF6" w14:textId="77777777" w:rsidR="00CE3B98" w:rsidRPr="00C41B8C" w:rsidRDefault="00CE3B98">
            <w:pPr>
              <w:widowControl w:val="0"/>
              <w:pBdr>
                <w:top w:val="nil"/>
                <w:left w:val="nil"/>
                <w:bottom w:val="nil"/>
                <w:right w:val="nil"/>
                <w:between w:val="nil"/>
              </w:pBdr>
              <w:jc w:val="right"/>
              <w:rPr>
                <w:b/>
                <w:color w:val="0000FF"/>
              </w:rPr>
            </w:pPr>
          </w:p>
        </w:tc>
        <w:tc>
          <w:tcPr>
            <w:tcW w:w="720" w:type="dxa"/>
            <w:tcBorders>
              <w:bottom w:val="single" w:sz="4" w:space="0" w:color="000000"/>
            </w:tcBorders>
            <w:vAlign w:val="bottom"/>
          </w:tcPr>
          <w:p w14:paraId="6C6E5EEE" w14:textId="77777777" w:rsidR="00CE3B98" w:rsidRPr="00C41B8C" w:rsidRDefault="00CE3B98">
            <w:pPr>
              <w:widowControl w:val="0"/>
              <w:pBdr>
                <w:top w:val="nil"/>
                <w:left w:val="nil"/>
                <w:bottom w:val="nil"/>
                <w:right w:val="nil"/>
                <w:between w:val="nil"/>
              </w:pBdr>
              <w:jc w:val="right"/>
              <w:rPr>
                <w:b/>
                <w:color w:val="0000FF"/>
              </w:rPr>
            </w:pPr>
          </w:p>
        </w:tc>
      </w:tr>
      <w:tr w:rsidR="00CE3B98" w:rsidRPr="005E6923" w14:paraId="0652050F" w14:textId="25DED603" w:rsidTr="00C41B8C">
        <w:trPr>
          <w:cantSplit/>
        </w:trPr>
        <w:tc>
          <w:tcPr>
            <w:tcW w:w="2430" w:type="dxa"/>
            <w:tcBorders>
              <w:top w:val="single" w:sz="4" w:space="0" w:color="000000"/>
            </w:tcBorders>
            <w:vAlign w:val="bottom"/>
          </w:tcPr>
          <w:p w14:paraId="7338116F" w14:textId="77777777" w:rsidR="00CE3B98" w:rsidRPr="00C41B8C" w:rsidRDefault="00CE3B98">
            <w:pPr>
              <w:widowControl w:val="0"/>
              <w:pBdr>
                <w:top w:val="nil"/>
                <w:left w:val="nil"/>
                <w:bottom w:val="nil"/>
                <w:right w:val="nil"/>
                <w:between w:val="nil"/>
              </w:pBdr>
              <w:ind w:left="113" w:right="-57" w:hanging="113"/>
              <w:rPr>
                <w:b/>
                <w:color w:val="0000FF"/>
              </w:rPr>
            </w:pPr>
            <w:r w:rsidRPr="00C41B8C">
              <w:rPr>
                <w:b/>
                <w:color w:val="0000FF"/>
              </w:rPr>
              <w:t> </w:t>
            </w:r>
          </w:p>
        </w:tc>
        <w:tc>
          <w:tcPr>
            <w:tcW w:w="1530" w:type="dxa"/>
            <w:tcBorders>
              <w:top w:val="single" w:sz="4" w:space="0" w:color="000000"/>
            </w:tcBorders>
            <w:vAlign w:val="bottom"/>
          </w:tcPr>
          <w:p w14:paraId="4901BC92" w14:textId="77777777" w:rsidR="00CE3B98" w:rsidRPr="00C41B8C" w:rsidRDefault="00CE3B98">
            <w:pPr>
              <w:widowControl w:val="0"/>
              <w:pBdr>
                <w:top w:val="nil"/>
                <w:left w:val="nil"/>
                <w:bottom w:val="nil"/>
                <w:right w:val="nil"/>
                <w:between w:val="nil"/>
              </w:pBdr>
              <w:jc w:val="right"/>
              <w:rPr>
                <w:b/>
                <w:color w:val="0000FF"/>
              </w:rPr>
            </w:pPr>
          </w:p>
        </w:tc>
        <w:tc>
          <w:tcPr>
            <w:tcW w:w="1080" w:type="dxa"/>
            <w:tcBorders>
              <w:top w:val="single" w:sz="4" w:space="0" w:color="000000"/>
            </w:tcBorders>
            <w:vAlign w:val="bottom"/>
          </w:tcPr>
          <w:p w14:paraId="62AC0095" w14:textId="77777777" w:rsidR="00CE3B98" w:rsidRPr="00C41B8C" w:rsidRDefault="00CE3B98">
            <w:pPr>
              <w:widowControl w:val="0"/>
              <w:pBdr>
                <w:top w:val="nil"/>
                <w:left w:val="nil"/>
                <w:bottom w:val="nil"/>
                <w:right w:val="nil"/>
                <w:between w:val="nil"/>
              </w:pBdr>
              <w:jc w:val="right"/>
              <w:rPr>
                <w:b/>
                <w:color w:val="0000FF"/>
              </w:rPr>
            </w:pPr>
          </w:p>
        </w:tc>
        <w:tc>
          <w:tcPr>
            <w:tcW w:w="1170" w:type="dxa"/>
            <w:tcBorders>
              <w:top w:val="single" w:sz="4" w:space="0" w:color="000000"/>
            </w:tcBorders>
            <w:vAlign w:val="bottom"/>
          </w:tcPr>
          <w:p w14:paraId="7B9F4245" w14:textId="77777777" w:rsidR="00CE3B98" w:rsidRPr="00C41B8C" w:rsidRDefault="00CE3B98">
            <w:pPr>
              <w:widowControl w:val="0"/>
              <w:pBdr>
                <w:top w:val="nil"/>
                <w:left w:val="nil"/>
                <w:bottom w:val="nil"/>
                <w:right w:val="nil"/>
                <w:between w:val="nil"/>
              </w:pBdr>
              <w:jc w:val="right"/>
              <w:rPr>
                <w:b/>
                <w:color w:val="0000FF"/>
              </w:rPr>
            </w:pPr>
          </w:p>
        </w:tc>
        <w:tc>
          <w:tcPr>
            <w:tcW w:w="720" w:type="dxa"/>
            <w:tcBorders>
              <w:top w:val="single" w:sz="4" w:space="0" w:color="000000"/>
            </w:tcBorders>
            <w:vAlign w:val="bottom"/>
          </w:tcPr>
          <w:p w14:paraId="27BE51B8" w14:textId="77777777" w:rsidR="00CE3B98" w:rsidRPr="00C41B8C" w:rsidRDefault="00CE3B98">
            <w:pPr>
              <w:widowControl w:val="0"/>
              <w:pBdr>
                <w:top w:val="nil"/>
                <w:left w:val="nil"/>
                <w:bottom w:val="nil"/>
                <w:right w:val="nil"/>
                <w:between w:val="nil"/>
              </w:pBdr>
              <w:jc w:val="right"/>
              <w:rPr>
                <w:b/>
                <w:color w:val="0000FF"/>
              </w:rPr>
            </w:pPr>
          </w:p>
        </w:tc>
        <w:tc>
          <w:tcPr>
            <w:tcW w:w="1350" w:type="dxa"/>
            <w:tcBorders>
              <w:top w:val="single" w:sz="4" w:space="0" w:color="000000"/>
            </w:tcBorders>
            <w:vAlign w:val="bottom"/>
          </w:tcPr>
          <w:p w14:paraId="4B51D509" w14:textId="77777777" w:rsidR="00CE3B98" w:rsidRPr="00C41B8C" w:rsidRDefault="00CE3B98">
            <w:pPr>
              <w:widowControl w:val="0"/>
              <w:pBdr>
                <w:top w:val="nil"/>
                <w:left w:val="nil"/>
                <w:bottom w:val="nil"/>
                <w:right w:val="nil"/>
                <w:between w:val="nil"/>
              </w:pBdr>
              <w:jc w:val="right"/>
              <w:rPr>
                <w:b/>
                <w:color w:val="0000FF"/>
              </w:rPr>
            </w:pPr>
          </w:p>
        </w:tc>
        <w:tc>
          <w:tcPr>
            <w:tcW w:w="720" w:type="dxa"/>
            <w:tcBorders>
              <w:top w:val="single" w:sz="4" w:space="0" w:color="000000"/>
            </w:tcBorders>
            <w:vAlign w:val="bottom"/>
          </w:tcPr>
          <w:p w14:paraId="1D66A844" w14:textId="77777777" w:rsidR="00CE3B98" w:rsidRPr="00C41B8C" w:rsidRDefault="00CE3B98">
            <w:pPr>
              <w:widowControl w:val="0"/>
              <w:pBdr>
                <w:top w:val="nil"/>
                <w:left w:val="nil"/>
                <w:bottom w:val="nil"/>
                <w:right w:val="nil"/>
                <w:between w:val="nil"/>
              </w:pBdr>
              <w:jc w:val="right"/>
              <w:rPr>
                <w:b/>
                <w:color w:val="0000FF"/>
              </w:rPr>
            </w:pPr>
          </w:p>
        </w:tc>
      </w:tr>
      <w:tr w:rsidR="00CE3B98" w:rsidRPr="005E6923" w14:paraId="4D52021A" w14:textId="5232BEC7" w:rsidTr="00C41B8C">
        <w:trPr>
          <w:cantSplit/>
        </w:trPr>
        <w:tc>
          <w:tcPr>
            <w:tcW w:w="2430" w:type="dxa"/>
            <w:vAlign w:val="bottom"/>
          </w:tcPr>
          <w:p w14:paraId="1398C773" w14:textId="77777777" w:rsidR="00CE3B98" w:rsidRPr="00C41B8C" w:rsidRDefault="00CE3B98">
            <w:pPr>
              <w:widowControl w:val="0"/>
              <w:ind w:left="113" w:right="-57" w:hanging="113"/>
              <w:rPr>
                <w:b/>
                <w:color w:val="0000FF"/>
              </w:rPr>
            </w:pPr>
            <w:r w:rsidRPr="00C41B8C">
              <w:rPr>
                <w:b/>
                <w:color w:val="0000FF"/>
              </w:rPr>
              <w:t>Segment results</w:t>
            </w:r>
          </w:p>
        </w:tc>
        <w:tc>
          <w:tcPr>
            <w:tcW w:w="1530" w:type="dxa"/>
            <w:vAlign w:val="bottom"/>
          </w:tcPr>
          <w:p w14:paraId="672846B0" w14:textId="77777777" w:rsidR="00CE3B98" w:rsidRPr="00C41B8C" w:rsidRDefault="00CE3B98">
            <w:pPr>
              <w:widowControl w:val="0"/>
              <w:jc w:val="right"/>
              <w:rPr>
                <w:color w:val="0000FF"/>
              </w:rPr>
            </w:pPr>
          </w:p>
        </w:tc>
        <w:tc>
          <w:tcPr>
            <w:tcW w:w="1080" w:type="dxa"/>
            <w:vAlign w:val="bottom"/>
          </w:tcPr>
          <w:p w14:paraId="0F2CCBD2" w14:textId="77777777" w:rsidR="00CE3B98" w:rsidRPr="00C41B8C" w:rsidRDefault="00CE3B98">
            <w:pPr>
              <w:widowControl w:val="0"/>
              <w:jc w:val="right"/>
              <w:rPr>
                <w:color w:val="0000FF"/>
              </w:rPr>
            </w:pPr>
          </w:p>
        </w:tc>
        <w:tc>
          <w:tcPr>
            <w:tcW w:w="1170" w:type="dxa"/>
            <w:vAlign w:val="bottom"/>
          </w:tcPr>
          <w:p w14:paraId="4493F0C2" w14:textId="77777777" w:rsidR="00CE3B98" w:rsidRPr="00C41B8C" w:rsidRDefault="00CE3B98">
            <w:pPr>
              <w:widowControl w:val="0"/>
              <w:jc w:val="right"/>
              <w:rPr>
                <w:color w:val="0000FF"/>
              </w:rPr>
            </w:pPr>
          </w:p>
        </w:tc>
        <w:tc>
          <w:tcPr>
            <w:tcW w:w="720" w:type="dxa"/>
            <w:vAlign w:val="bottom"/>
          </w:tcPr>
          <w:p w14:paraId="7A882887" w14:textId="77777777" w:rsidR="00CE3B98" w:rsidRPr="00C41B8C" w:rsidRDefault="00CE3B98">
            <w:pPr>
              <w:widowControl w:val="0"/>
              <w:jc w:val="right"/>
              <w:rPr>
                <w:color w:val="0000FF"/>
              </w:rPr>
            </w:pPr>
          </w:p>
        </w:tc>
        <w:tc>
          <w:tcPr>
            <w:tcW w:w="1350" w:type="dxa"/>
            <w:vAlign w:val="bottom"/>
          </w:tcPr>
          <w:p w14:paraId="5487AC04" w14:textId="77777777" w:rsidR="00CE3B98" w:rsidRPr="00C41B8C" w:rsidRDefault="00CE3B98">
            <w:pPr>
              <w:widowControl w:val="0"/>
              <w:jc w:val="right"/>
              <w:rPr>
                <w:color w:val="0000FF"/>
              </w:rPr>
            </w:pPr>
          </w:p>
        </w:tc>
        <w:tc>
          <w:tcPr>
            <w:tcW w:w="720" w:type="dxa"/>
            <w:vAlign w:val="bottom"/>
          </w:tcPr>
          <w:p w14:paraId="73DF01B9" w14:textId="77777777" w:rsidR="00CE3B98" w:rsidRPr="00C41B8C" w:rsidRDefault="00CE3B98">
            <w:pPr>
              <w:widowControl w:val="0"/>
              <w:jc w:val="right"/>
              <w:rPr>
                <w:color w:val="0000FF"/>
              </w:rPr>
            </w:pPr>
          </w:p>
        </w:tc>
      </w:tr>
      <w:tr w:rsidR="00CE3B98" w:rsidRPr="005E6923" w14:paraId="08C2F111" w14:textId="143FB11C" w:rsidTr="00C41B8C">
        <w:trPr>
          <w:cantSplit/>
        </w:trPr>
        <w:tc>
          <w:tcPr>
            <w:tcW w:w="2430" w:type="dxa"/>
            <w:tcBorders>
              <w:bottom w:val="single" w:sz="12" w:space="0" w:color="000000"/>
            </w:tcBorders>
            <w:vAlign w:val="bottom"/>
          </w:tcPr>
          <w:p w14:paraId="5E278EDD" w14:textId="77777777" w:rsidR="00CE3B98" w:rsidRPr="00C41B8C" w:rsidRDefault="00CE3B98">
            <w:pPr>
              <w:widowControl w:val="0"/>
              <w:ind w:left="113" w:right="-57" w:hanging="113"/>
              <w:rPr>
                <w:b/>
                <w:color w:val="0000FF"/>
              </w:rPr>
            </w:pPr>
            <w:r w:rsidRPr="00C41B8C">
              <w:rPr>
                <w:b/>
                <w:color w:val="0000FF"/>
              </w:rPr>
              <w:t> </w:t>
            </w:r>
          </w:p>
        </w:tc>
        <w:tc>
          <w:tcPr>
            <w:tcW w:w="1530" w:type="dxa"/>
            <w:tcBorders>
              <w:bottom w:val="single" w:sz="12" w:space="0" w:color="000000"/>
            </w:tcBorders>
            <w:vAlign w:val="bottom"/>
          </w:tcPr>
          <w:p w14:paraId="2EA091F2" w14:textId="77777777" w:rsidR="00CE3B98" w:rsidRPr="00C41B8C" w:rsidRDefault="00CE3B98">
            <w:pPr>
              <w:widowControl w:val="0"/>
              <w:jc w:val="right"/>
              <w:rPr>
                <w:color w:val="0000FF"/>
              </w:rPr>
            </w:pPr>
          </w:p>
        </w:tc>
        <w:tc>
          <w:tcPr>
            <w:tcW w:w="1080" w:type="dxa"/>
            <w:tcBorders>
              <w:bottom w:val="single" w:sz="12" w:space="0" w:color="000000"/>
            </w:tcBorders>
            <w:vAlign w:val="bottom"/>
          </w:tcPr>
          <w:p w14:paraId="610BCCB3" w14:textId="77777777" w:rsidR="00CE3B98" w:rsidRPr="00C41B8C" w:rsidRDefault="00CE3B98">
            <w:pPr>
              <w:widowControl w:val="0"/>
              <w:jc w:val="right"/>
              <w:rPr>
                <w:color w:val="0000FF"/>
              </w:rPr>
            </w:pPr>
          </w:p>
        </w:tc>
        <w:tc>
          <w:tcPr>
            <w:tcW w:w="1170" w:type="dxa"/>
            <w:tcBorders>
              <w:bottom w:val="single" w:sz="12" w:space="0" w:color="000000"/>
            </w:tcBorders>
            <w:vAlign w:val="bottom"/>
          </w:tcPr>
          <w:p w14:paraId="1CB8DC6D" w14:textId="77777777" w:rsidR="00CE3B98" w:rsidRPr="00C41B8C" w:rsidRDefault="00CE3B98">
            <w:pPr>
              <w:widowControl w:val="0"/>
              <w:jc w:val="right"/>
              <w:rPr>
                <w:color w:val="0000FF"/>
              </w:rPr>
            </w:pPr>
          </w:p>
        </w:tc>
        <w:tc>
          <w:tcPr>
            <w:tcW w:w="720" w:type="dxa"/>
            <w:tcBorders>
              <w:bottom w:val="single" w:sz="12" w:space="0" w:color="000000"/>
            </w:tcBorders>
            <w:vAlign w:val="bottom"/>
          </w:tcPr>
          <w:p w14:paraId="7AECFC90" w14:textId="77777777" w:rsidR="00CE3B98" w:rsidRPr="00C41B8C" w:rsidRDefault="00CE3B98">
            <w:pPr>
              <w:widowControl w:val="0"/>
              <w:jc w:val="right"/>
              <w:rPr>
                <w:color w:val="0000FF"/>
              </w:rPr>
            </w:pPr>
          </w:p>
        </w:tc>
        <w:tc>
          <w:tcPr>
            <w:tcW w:w="1350" w:type="dxa"/>
            <w:tcBorders>
              <w:bottom w:val="single" w:sz="12" w:space="0" w:color="000000"/>
            </w:tcBorders>
            <w:vAlign w:val="bottom"/>
          </w:tcPr>
          <w:p w14:paraId="70A21EA4" w14:textId="77777777" w:rsidR="00CE3B98" w:rsidRPr="00C41B8C" w:rsidRDefault="00CE3B98">
            <w:pPr>
              <w:widowControl w:val="0"/>
              <w:jc w:val="right"/>
              <w:rPr>
                <w:color w:val="0000FF"/>
              </w:rPr>
            </w:pPr>
          </w:p>
        </w:tc>
        <w:tc>
          <w:tcPr>
            <w:tcW w:w="720" w:type="dxa"/>
            <w:tcBorders>
              <w:bottom w:val="single" w:sz="12" w:space="0" w:color="000000"/>
            </w:tcBorders>
            <w:vAlign w:val="bottom"/>
          </w:tcPr>
          <w:p w14:paraId="167E5D03" w14:textId="77777777" w:rsidR="00CE3B98" w:rsidRPr="00C41B8C" w:rsidRDefault="00CE3B98">
            <w:pPr>
              <w:widowControl w:val="0"/>
              <w:jc w:val="right"/>
              <w:rPr>
                <w:color w:val="0000FF"/>
              </w:rPr>
            </w:pPr>
          </w:p>
        </w:tc>
      </w:tr>
    </w:tbl>
    <w:p w14:paraId="39A6DCC3" w14:textId="0A2EA796"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516FF889" w14:textId="17CC4694"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Segment information for the reportable segments for the year ended 31 December </w:t>
      </w:r>
      <w:r w:rsidR="008614F8">
        <w:rPr>
          <w:color w:val="000000"/>
          <w:sz w:val="20"/>
          <w:szCs w:val="20"/>
        </w:rPr>
        <w:t>2025</w:t>
      </w:r>
      <w:r>
        <w:rPr>
          <w:color w:val="000000"/>
          <w:sz w:val="20"/>
          <w:szCs w:val="20"/>
        </w:rPr>
        <w:t xml:space="preserve"> (continued):</w:t>
      </w:r>
    </w:p>
    <w:tbl>
      <w:tblPr>
        <w:tblStyle w:val="a8"/>
        <w:tblW w:w="9353" w:type="dxa"/>
        <w:tblLayout w:type="fixed"/>
        <w:tblLook w:val="0400" w:firstRow="0" w:lastRow="0" w:firstColumn="0" w:lastColumn="0" w:noHBand="0" w:noVBand="1"/>
      </w:tblPr>
      <w:tblGrid>
        <w:gridCol w:w="2891"/>
        <w:gridCol w:w="1077"/>
        <w:gridCol w:w="1077"/>
        <w:gridCol w:w="1077"/>
        <w:gridCol w:w="1077"/>
        <w:gridCol w:w="1077"/>
        <w:gridCol w:w="1077"/>
      </w:tblGrid>
      <w:tr w:rsidR="008E5DE4" w14:paraId="766574A2" w14:textId="77777777">
        <w:trPr>
          <w:cantSplit/>
        </w:trPr>
        <w:tc>
          <w:tcPr>
            <w:tcW w:w="2891" w:type="dxa"/>
            <w:tcBorders>
              <w:bottom w:val="single" w:sz="4" w:space="0" w:color="000000"/>
            </w:tcBorders>
            <w:vAlign w:val="bottom"/>
          </w:tcPr>
          <w:p w14:paraId="4F9E757D"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077" w:type="dxa"/>
            <w:tcBorders>
              <w:bottom w:val="single" w:sz="4" w:space="0" w:color="000000"/>
            </w:tcBorders>
          </w:tcPr>
          <w:p w14:paraId="0D0E0E76" w14:textId="77777777" w:rsidR="008E5DE4" w:rsidRPr="00010D4F" w:rsidRDefault="00780368">
            <w:pPr>
              <w:widowControl w:val="0"/>
              <w:ind w:left="-113"/>
              <w:jc w:val="right"/>
              <w:rPr>
                <w:b/>
                <w:color w:val="0000FF"/>
              </w:rPr>
            </w:pPr>
            <w:r w:rsidRPr="00010D4F">
              <w:rPr>
                <w:b/>
                <w:color w:val="0000FF"/>
              </w:rPr>
              <w:t>Segment 1</w:t>
            </w:r>
          </w:p>
        </w:tc>
        <w:tc>
          <w:tcPr>
            <w:tcW w:w="1077" w:type="dxa"/>
            <w:tcBorders>
              <w:bottom w:val="single" w:sz="4" w:space="0" w:color="000000"/>
            </w:tcBorders>
          </w:tcPr>
          <w:p w14:paraId="6F4D745F" w14:textId="77777777" w:rsidR="008E5DE4" w:rsidRPr="00010D4F" w:rsidRDefault="00780368">
            <w:pPr>
              <w:widowControl w:val="0"/>
              <w:ind w:left="-113"/>
              <w:jc w:val="right"/>
              <w:rPr>
                <w:b/>
                <w:color w:val="0000FF"/>
              </w:rPr>
            </w:pPr>
            <w:r w:rsidRPr="00010D4F">
              <w:rPr>
                <w:b/>
                <w:color w:val="0000FF"/>
              </w:rPr>
              <w:t>Segment 2</w:t>
            </w:r>
          </w:p>
        </w:tc>
        <w:tc>
          <w:tcPr>
            <w:tcW w:w="1077" w:type="dxa"/>
            <w:tcBorders>
              <w:bottom w:val="single" w:sz="4" w:space="0" w:color="000000"/>
            </w:tcBorders>
          </w:tcPr>
          <w:p w14:paraId="09764080" w14:textId="77777777" w:rsidR="008E5DE4" w:rsidRPr="00010D4F" w:rsidRDefault="00780368">
            <w:pPr>
              <w:widowControl w:val="0"/>
              <w:ind w:left="-113"/>
              <w:jc w:val="right"/>
              <w:rPr>
                <w:b/>
                <w:color w:val="0000FF"/>
              </w:rPr>
            </w:pPr>
            <w:r w:rsidRPr="00010D4F">
              <w:rPr>
                <w:b/>
                <w:color w:val="0000FF"/>
              </w:rPr>
              <w:t>Segment 3</w:t>
            </w:r>
          </w:p>
        </w:tc>
        <w:tc>
          <w:tcPr>
            <w:tcW w:w="1077" w:type="dxa"/>
            <w:tcBorders>
              <w:bottom w:val="single" w:sz="4" w:space="0" w:color="000000"/>
            </w:tcBorders>
          </w:tcPr>
          <w:p w14:paraId="189515D7" w14:textId="77777777" w:rsidR="008E5DE4" w:rsidRDefault="00780368">
            <w:pPr>
              <w:widowControl w:val="0"/>
              <w:ind w:left="-113"/>
              <w:jc w:val="right"/>
              <w:rPr>
                <w:b/>
              </w:rPr>
            </w:pPr>
            <w:r>
              <w:rPr>
                <w:b/>
              </w:rPr>
              <w:t>Other</w:t>
            </w:r>
          </w:p>
        </w:tc>
        <w:tc>
          <w:tcPr>
            <w:tcW w:w="1077" w:type="dxa"/>
            <w:tcBorders>
              <w:bottom w:val="single" w:sz="4" w:space="0" w:color="000000"/>
            </w:tcBorders>
          </w:tcPr>
          <w:p w14:paraId="2A739A72" w14:textId="77777777" w:rsidR="008E5DE4" w:rsidRDefault="00780368">
            <w:pPr>
              <w:widowControl w:val="0"/>
              <w:ind w:left="-113"/>
              <w:jc w:val="right"/>
              <w:rPr>
                <w:b/>
              </w:rPr>
            </w:pPr>
            <w:proofErr w:type="spellStart"/>
            <w:r>
              <w:rPr>
                <w:b/>
              </w:rPr>
              <w:t>Elimi</w:t>
            </w:r>
            <w:proofErr w:type="spellEnd"/>
            <w:r>
              <w:rPr>
                <w:b/>
              </w:rPr>
              <w:t>-nations</w:t>
            </w:r>
          </w:p>
        </w:tc>
        <w:tc>
          <w:tcPr>
            <w:tcW w:w="1077" w:type="dxa"/>
            <w:tcBorders>
              <w:bottom w:val="single" w:sz="4" w:space="0" w:color="000000"/>
            </w:tcBorders>
          </w:tcPr>
          <w:p w14:paraId="2FF8C9E0" w14:textId="77777777" w:rsidR="008E5DE4" w:rsidRDefault="00780368">
            <w:pPr>
              <w:widowControl w:val="0"/>
              <w:ind w:left="-113"/>
              <w:jc w:val="right"/>
              <w:rPr>
                <w:b/>
              </w:rPr>
            </w:pPr>
            <w:r>
              <w:rPr>
                <w:b/>
              </w:rPr>
              <w:t>Total</w:t>
            </w:r>
          </w:p>
        </w:tc>
      </w:tr>
      <w:tr w:rsidR="008E5DE4" w14:paraId="3F21753E" w14:textId="77777777">
        <w:trPr>
          <w:cantSplit/>
        </w:trPr>
        <w:tc>
          <w:tcPr>
            <w:tcW w:w="2891" w:type="dxa"/>
            <w:tcBorders>
              <w:top w:val="single" w:sz="4" w:space="0" w:color="000000"/>
            </w:tcBorders>
            <w:vAlign w:val="bottom"/>
          </w:tcPr>
          <w:p w14:paraId="2D385806"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top w:val="single" w:sz="4" w:space="0" w:color="000000"/>
            </w:tcBorders>
            <w:vAlign w:val="bottom"/>
          </w:tcPr>
          <w:p w14:paraId="6595AAAE" w14:textId="77777777" w:rsidR="008E5DE4" w:rsidRDefault="008E5DE4">
            <w:pPr>
              <w:widowControl w:val="0"/>
              <w:jc w:val="right"/>
            </w:pPr>
          </w:p>
        </w:tc>
        <w:tc>
          <w:tcPr>
            <w:tcW w:w="1077" w:type="dxa"/>
            <w:tcBorders>
              <w:top w:val="single" w:sz="4" w:space="0" w:color="000000"/>
            </w:tcBorders>
            <w:vAlign w:val="bottom"/>
          </w:tcPr>
          <w:p w14:paraId="39C1C082" w14:textId="77777777" w:rsidR="008E5DE4" w:rsidRDefault="008E5DE4">
            <w:pPr>
              <w:widowControl w:val="0"/>
              <w:jc w:val="right"/>
            </w:pPr>
          </w:p>
        </w:tc>
        <w:tc>
          <w:tcPr>
            <w:tcW w:w="1077" w:type="dxa"/>
            <w:tcBorders>
              <w:top w:val="single" w:sz="4" w:space="0" w:color="000000"/>
            </w:tcBorders>
            <w:vAlign w:val="bottom"/>
          </w:tcPr>
          <w:p w14:paraId="59031943" w14:textId="77777777" w:rsidR="008E5DE4" w:rsidRDefault="008E5DE4">
            <w:pPr>
              <w:widowControl w:val="0"/>
              <w:jc w:val="right"/>
            </w:pPr>
          </w:p>
        </w:tc>
        <w:tc>
          <w:tcPr>
            <w:tcW w:w="1077" w:type="dxa"/>
            <w:tcBorders>
              <w:top w:val="single" w:sz="4" w:space="0" w:color="000000"/>
            </w:tcBorders>
            <w:vAlign w:val="bottom"/>
          </w:tcPr>
          <w:p w14:paraId="66ECF79A" w14:textId="77777777" w:rsidR="008E5DE4" w:rsidRDefault="008E5DE4">
            <w:pPr>
              <w:widowControl w:val="0"/>
              <w:jc w:val="right"/>
            </w:pPr>
          </w:p>
        </w:tc>
        <w:tc>
          <w:tcPr>
            <w:tcW w:w="1077" w:type="dxa"/>
            <w:tcBorders>
              <w:top w:val="single" w:sz="4" w:space="0" w:color="000000"/>
            </w:tcBorders>
            <w:vAlign w:val="bottom"/>
          </w:tcPr>
          <w:p w14:paraId="2BE3CE1A" w14:textId="77777777" w:rsidR="008E5DE4" w:rsidRDefault="008E5DE4">
            <w:pPr>
              <w:widowControl w:val="0"/>
              <w:jc w:val="right"/>
            </w:pPr>
          </w:p>
        </w:tc>
        <w:tc>
          <w:tcPr>
            <w:tcW w:w="1077" w:type="dxa"/>
            <w:tcBorders>
              <w:top w:val="single" w:sz="4" w:space="0" w:color="000000"/>
            </w:tcBorders>
            <w:vAlign w:val="bottom"/>
          </w:tcPr>
          <w:p w14:paraId="5D667849" w14:textId="77777777" w:rsidR="008E5DE4" w:rsidRDefault="008E5DE4">
            <w:pPr>
              <w:widowControl w:val="0"/>
              <w:jc w:val="right"/>
            </w:pPr>
          </w:p>
        </w:tc>
      </w:tr>
      <w:tr w:rsidR="008E5DE4" w14:paraId="14962CDF" w14:textId="77777777">
        <w:trPr>
          <w:cantSplit/>
        </w:trPr>
        <w:tc>
          <w:tcPr>
            <w:tcW w:w="2891" w:type="dxa"/>
            <w:vAlign w:val="bottom"/>
          </w:tcPr>
          <w:p w14:paraId="019B9482"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assets (or disposal groups) held for sale</w:t>
            </w:r>
          </w:p>
        </w:tc>
        <w:tc>
          <w:tcPr>
            <w:tcW w:w="1077" w:type="dxa"/>
            <w:vAlign w:val="bottom"/>
          </w:tcPr>
          <w:p w14:paraId="489CEF8E" w14:textId="77777777" w:rsidR="008E5DE4" w:rsidRDefault="008E5DE4">
            <w:pPr>
              <w:widowControl w:val="0"/>
              <w:jc w:val="right"/>
            </w:pPr>
          </w:p>
        </w:tc>
        <w:tc>
          <w:tcPr>
            <w:tcW w:w="1077" w:type="dxa"/>
            <w:vAlign w:val="bottom"/>
          </w:tcPr>
          <w:p w14:paraId="479EFA7F" w14:textId="77777777" w:rsidR="008E5DE4" w:rsidRDefault="008E5DE4">
            <w:pPr>
              <w:widowControl w:val="0"/>
              <w:jc w:val="right"/>
            </w:pPr>
          </w:p>
        </w:tc>
        <w:tc>
          <w:tcPr>
            <w:tcW w:w="1077" w:type="dxa"/>
            <w:vAlign w:val="bottom"/>
          </w:tcPr>
          <w:p w14:paraId="38FCAC42" w14:textId="77777777" w:rsidR="008E5DE4" w:rsidRDefault="008E5DE4">
            <w:pPr>
              <w:widowControl w:val="0"/>
              <w:jc w:val="right"/>
            </w:pPr>
          </w:p>
        </w:tc>
        <w:tc>
          <w:tcPr>
            <w:tcW w:w="1077" w:type="dxa"/>
            <w:vAlign w:val="bottom"/>
          </w:tcPr>
          <w:p w14:paraId="50693CD0" w14:textId="77777777" w:rsidR="008E5DE4" w:rsidRDefault="008E5DE4">
            <w:pPr>
              <w:widowControl w:val="0"/>
              <w:jc w:val="right"/>
            </w:pPr>
          </w:p>
        </w:tc>
        <w:tc>
          <w:tcPr>
            <w:tcW w:w="1077" w:type="dxa"/>
            <w:vAlign w:val="bottom"/>
          </w:tcPr>
          <w:p w14:paraId="704ED36C" w14:textId="77777777" w:rsidR="008E5DE4" w:rsidRDefault="008E5DE4">
            <w:pPr>
              <w:widowControl w:val="0"/>
              <w:jc w:val="right"/>
            </w:pPr>
          </w:p>
        </w:tc>
        <w:tc>
          <w:tcPr>
            <w:tcW w:w="1077" w:type="dxa"/>
            <w:vAlign w:val="bottom"/>
          </w:tcPr>
          <w:p w14:paraId="1B11CA9A" w14:textId="77777777" w:rsidR="008E5DE4" w:rsidRDefault="008E5DE4">
            <w:pPr>
              <w:widowControl w:val="0"/>
              <w:jc w:val="right"/>
            </w:pPr>
          </w:p>
        </w:tc>
      </w:tr>
      <w:tr w:rsidR="008E5DE4" w14:paraId="6EAB3C0B" w14:textId="77777777">
        <w:trPr>
          <w:cantSplit/>
        </w:trPr>
        <w:tc>
          <w:tcPr>
            <w:tcW w:w="2891" w:type="dxa"/>
            <w:vAlign w:val="bottom"/>
          </w:tcPr>
          <w:p w14:paraId="60441FF5"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in associates</w:t>
            </w:r>
          </w:p>
        </w:tc>
        <w:tc>
          <w:tcPr>
            <w:tcW w:w="1077" w:type="dxa"/>
            <w:vAlign w:val="bottom"/>
          </w:tcPr>
          <w:p w14:paraId="308AD5A4" w14:textId="77777777" w:rsidR="008E5DE4" w:rsidRDefault="008E5DE4">
            <w:pPr>
              <w:widowControl w:val="0"/>
              <w:jc w:val="right"/>
            </w:pPr>
          </w:p>
        </w:tc>
        <w:tc>
          <w:tcPr>
            <w:tcW w:w="1077" w:type="dxa"/>
            <w:vAlign w:val="bottom"/>
          </w:tcPr>
          <w:p w14:paraId="5932D409" w14:textId="77777777" w:rsidR="008E5DE4" w:rsidRDefault="008E5DE4">
            <w:pPr>
              <w:widowControl w:val="0"/>
              <w:jc w:val="right"/>
            </w:pPr>
          </w:p>
        </w:tc>
        <w:tc>
          <w:tcPr>
            <w:tcW w:w="1077" w:type="dxa"/>
            <w:vAlign w:val="bottom"/>
          </w:tcPr>
          <w:p w14:paraId="0DFD46D9" w14:textId="77777777" w:rsidR="008E5DE4" w:rsidRDefault="008E5DE4">
            <w:pPr>
              <w:widowControl w:val="0"/>
              <w:jc w:val="right"/>
            </w:pPr>
          </w:p>
        </w:tc>
        <w:tc>
          <w:tcPr>
            <w:tcW w:w="1077" w:type="dxa"/>
            <w:vAlign w:val="bottom"/>
          </w:tcPr>
          <w:p w14:paraId="4893A3AF" w14:textId="77777777" w:rsidR="008E5DE4" w:rsidRDefault="008E5DE4">
            <w:pPr>
              <w:widowControl w:val="0"/>
              <w:jc w:val="right"/>
            </w:pPr>
          </w:p>
        </w:tc>
        <w:tc>
          <w:tcPr>
            <w:tcW w:w="1077" w:type="dxa"/>
            <w:vAlign w:val="bottom"/>
          </w:tcPr>
          <w:p w14:paraId="62FB5AE5" w14:textId="77777777" w:rsidR="008E5DE4" w:rsidRDefault="008E5DE4">
            <w:pPr>
              <w:widowControl w:val="0"/>
              <w:jc w:val="right"/>
            </w:pPr>
          </w:p>
        </w:tc>
        <w:tc>
          <w:tcPr>
            <w:tcW w:w="1077" w:type="dxa"/>
            <w:vAlign w:val="bottom"/>
          </w:tcPr>
          <w:p w14:paraId="5FDAF9BA" w14:textId="77777777" w:rsidR="008E5DE4" w:rsidRDefault="008E5DE4">
            <w:pPr>
              <w:widowControl w:val="0"/>
              <w:jc w:val="right"/>
            </w:pPr>
          </w:p>
        </w:tc>
      </w:tr>
      <w:tr w:rsidR="008E5DE4" w14:paraId="2267EBAB" w14:textId="77777777">
        <w:trPr>
          <w:cantSplit/>
        </w:trPr>
        <w:tc>
          <w:tcPr>
            <w:tcW w:w="2891" w:type="dxa"/>
            <w:vAlign w:val="bottom"/>
          </w:tcPr>
          <w:p w14:paraId="3A2B6C48"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in joint ventures</w:t>
            </w:r>
          </w:p>
        </w:tc>
        <w:tc>
          <w:tcPr>
            <w:tcW w:w="1077" w:type="dxa"/>
            <w:vAlign w:val="bottom"/>
          </w:tcPr>
          <w:p w14:paraId="2EE5CA6B" w14:textId="77777777" w:rsidR="008E5DE4" w:rsidRDefault="008E5DE4">
            <w:pPr>
              <w:widowControl w:val="0"/>
              <w:jc w:val="right"/>
            </w:pPr>
          </w:p>
        </w:tc>
        <w:tc>
          <w:tcPr>
            <w:tcW w:w="1077" w:type="dxa"/>
            <w:vAlign w:val="bottom"/>
          </w:tcPr>
          <w:p w14:paraId="4093308E" w14:textId="77777777" w:rsidR="008E5DE4" w:rsidRDefault="008E5DE4">
            <w:pPr>
              <w:widowControl w:val="0"/>
              <w:jc w:val="right"/>
            </w:pPr>
          </w:p>
        </w:tc>
        <w:tc>
          <w:tcPr>
            <w:tcW w:w="1077" w:type="dxa"/>
            <w:vAlign w:val="bottom"/>
          </w:tcPr>
          <w:p w14:paraId="69BA8E93" w14:textId="77777777" w:rsidR="008E5DE4" w:rsidRDefault="008E5DE4">
            <w:pPr>
              <w:widowControl w:val="0"/>
              <w:jc w:val="right"/>
            </w:pPr>
          </w:p>
        </w:tc>
        <w:tc>
          <w:tcPr>
            <w:tcW w:w="1077" w:type="dxa"/>
            <w:vAlign w:val="bottom"/>
          </w:tcPr>
          <w:p w14:paraId="34FC992F" w14:textId="77777777" w:rsidR="008E5DE4" w:rsidRDefault="008E5DE4">
            <w:pPr>
              <w:widowControl w:val="0"/>
              <w:jc w:val="right"/>
            </w:pPr>
          </w:p>
        </w:tc>
        <w:tc>
          <w:tcPr>
            <w:tcW w:w="1077" w:type="dxa"/>
            <w:vAlign w:val="bottom"/>
          </w:tcPr>
          <w:p w14:paraId="598D7C9C" w14:textId="77777777" w:rsidR="008E5DE4" w:rsidRDefault="008E5DE4">
            <w:pPr>
              <w:widowControl w:val="0"/>
              <w:jc w:val="right"/>
            </w:pPr>
          </w:p>
        </w:tc>
        <w:tc>
          <w:tcPr>
            <w:tcW w:w="1077" w:type="dxa"/>
            <w:vAlign w:val="bottom"/>
          </w:tcPr>
          <w:p w14:paraId="23F25307" w14:textId="77777777" w:rsidR="008E5DE4" w:rsidRDefault="008E5DE4">
            <w:pPr>
              <w:widowControl w:val="0"/>
              <w:jc w:val="right"/>
            </w:pPr>
          </w:p>
        </w:tc>
      </w:tr>
      <w:tr w:rsidR="008E5DE4" w14:paraId="0E8BEE0A" w14:textId="77777777">
        <w:trPr>
          <w:cantSplit/>
        </w:trPr>
        <w:tc>
          <w:tcPr>
            <w:tcW w:w="2891" w:type="dxa"/>
            <w:vAlign w:val="bottom"/>
          </w:tcPr>
          <w:p w14:paraId="07C8B479" w14:textId="77777777" w:rsidR="008E5DE4" w:rsidRDefault="00780368">
            <w:pPr>
              <w:widowControl w:val="0"/>
              <w:pBdr>
                <w:top w:val="nil"/>
                <w:left w:val="nil"/>
                <w:bottom w:val="nil"/>
                <w:right w:val="nil"/>
                <w:between w:val="nil"/>
              </w:pBdr>
              <w:ind w:left="113" w:right="-57" w:hanging="113"/>
              <w:rPr>
                <w:color w:val="000000"/>
              </w:rPr>
            </w:pPr>
            <w:r>
              <w:rPr>
                <w:color w:val="000000"/>
              </w:rPr>
              <w:t>Other reportable segment assets</w:t>
            </w:r>
          </w:p>
        </w:tc>
        <w:tc>
          <w:tcPr>
            <w:tcW w:w="1077" w:type="dxa"/>
            <w:vAlign w:val="bottom"/>
          </w:tcPr>
          <w:p w14:paraId="39C04605" w14:textId="77777777" w:rsidR="008E5DE4" w:rsidRDefault="008E5DE4">
            <w:pPr>
              <w:widowControl w:val="0"/>
              <w:jc w:val="right"/>
            </w:pPr>
          </w:p>
        </w:tc>
        <w:tc>
          <w:tcPr>
            <w:tcW w:w="1077" w:type="dxa"/>
            <w:vAlign w:val="bottom"/>
          </w:tcPr>
          <w:p w14:paraId="204B1346" w14:textId="77777777" w:rsidR="008E5DE4" w:rsidRDefault="008E5DE4">
            <w:pPr>
              <w:widowControl w:val="0"/>
              <w:jc w:val="right"/>
            </w:pPr>
          </w:p>
        </w:tc>
        <w:tc>
          <w:tcPr>
            <w:tcW w:w="1077" w:type="dxa"/>
            <w:vAlign w:val="bottom"/>
          </w:tcPr>
          <w:p w14:paraId="7B2F15A7" w14:textId="77777777" w:rsidR="008E5DE4" w:rsidRDefault="008E5DE4">
            <w:pPr>
              <w:widowControl w:val="0"/>
              <w:jc w:val="right"/>
            </w:pPr>
          </w:p>
        </w:tc>
        <w:tc>
          <w:tcPr>
            <w:tcW w:w="1077" w:type="dxa"/>
            <w:vAlign w:val="bottom"/>
          </w:tcPr>
          <w:p w14:paraId="585EB4D5" w14:textId="77777777" w:rsidR="008E5DE4" w:rsidRDefault="008E5DE4">
            <w:pPr>
              <w:widowControl w:val="0"/>
              <w:jc w:val="right"/>
            </w:pPr>
          </w:p>
        </w:tc>
        <w:tc>
          <w:tcPr>
            <w:tcW w:w="1077" w:type="dxa"/>
            <w:vAlign w:val="bottom"/>
          </w:tcPr>
          <w:p w14:paraId="444C314F" w14:textId="77777777" w:rsidR="008E5DE4" w:rsidRDefault="008E5DE4">
            <w:pPr>
              <w:widowControl w:val="0"/>
              <w:jc w:val="right"/>
            </w:pPr>
          </w:p>
        </w:tc>
        <w:tc>
          <w:tcPr>
            <w:tcW w:w="1077" w:type="dxa"/>
            <w:vAlign w:val="bottom"/>
          </w:tcPr>
          <w:p w14:paraId="3A0C8D0D" w14:textId="77777777" w:rsidR="008E5DE4" w:rsidRDefault="008E5DE4">
            <w:pPr>
              <w:widowControl w:val="0"/>
              <w:jc w:val="right"/>
            </w:pPr>
          </w:p>
        </w:tc>
      </w:tr>
      <w:tr w:rsidR="008E5DE4" w14:paraId="35E9E778" w14:textId="77777777">
        <w:trPr>
          <w:cantSplit/>
        </w:trPr>
        <w:tc>
          <w:tcPr>
            <w:tcW w:w="2891" w:type="dxa"/>
            <w:tcBorders>
              <w:bottom w:val="single" w:sz="4" w:space="0" w:color="000000"/>
            </w:tcBorders>
            <w:vAlign w:val="bottom"/>
          </w:tcPr>
          <w:p w14:paraId="29379F98"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077" w:type="dxa"/>
            <w:tcBorders>
              <w:bottom w:val="single" w:sz="4" w:space="0" w:color="000000"/>
            </w:tcBorders>
            <w:vAlign w:val="bottom"/>
          </w:tcPr>
          <w:p w14:paraId="55F25944" w14:textId="77777777" w:rsidR="008E5DE4" w:rsidRDefault="008E5DE4">
            <w:pPr>
              <w:widowControl w:val="0"/>
              <w:jc w:val="right"/>
            </w:pPr>
          </w:p>
        </w:tc>
        <w:tc>
          <w:tcPr>
            <w:tcW w:w="1077" w:type="dxa"/>
            <w:tcBorders>
              <w:bottom w:val="single" w:sz="4" w:space="0" w:color="000000"/>
            </w:tcBorders>
            <w:vAlign w:val="bottom"/>
          </w:tcPr>
          <w:p w14:paraId="4D5777BE" w14:textId="77777777" w:rsidR="008E5DE4" w:rsidRDefault="008E5DE4">
            <w:pPr>
              <w:widowControl w:val="0"/>
              <w:jc w:val="right"/>
            </w:pPr>
          </w:p>
        </w:tc>
        <w:tc>
          <w:tcPr>
            <w:tcW w:w="1077" w:type="dxa"/>
            <w:tcBorders>
              <w:bottom w:val="single" w:sz="4" w:space="0" w:color="000000"/>
            </w:tcBorders>
            <w:vAlign w:val="bottom"/>
          </w:tcPr>
          <w:p w14:paraId="2F999F66" w14:textId="77777777" w:rsidR="008E5DE4" w:rsidRDefault="008E5DE4">
            <w:pPr>
              <w:widowControl w:val="0"/>
              <w:jc w:val="right"/>
            </w:pPr>
          </w:p>
        </w:tc>
        <w:tc>
          <w:tcPr>
            <w:tcW w:w="1077" w:type="dxa"/>
            <w:tcBorders>
              <w:bottom w:val="single" w:sz="4" w:space="0" w:color="000000"/>
            </w:tcBorders>
            <w:vAlign w:val="bottom"/>
          </w:tcPr>
          <w:p w14:paraId="3384CAB2" w14:textId="77777777" w:rsidR="008E5DE4" w:rsidRDefault="008E5DE4">
            <w:pPr>
              <w:widowControl w:val="0"/>
              <w:jc w:val="right"/>
            </w:pPr>
          </w:p>
        </w:tc>
        <w:tc>
          <w:tcPr>
            <w:tcW w:w="1077" w:type="dxa"/>
            <w:tcBorders>
              <w:bottom w:val="single" w:sz="4" w:space="0" w:color="000000"/>
            </w:tcBorders>
            <w:vAlign w:val="bottom"/>
          </w:tcPr>
          <w:p w14:paraId="0860E2D0" w14:textId="77777777" w:rsidR="008E5DE4" w:rsidRDefault="008E5DE4">
            <w:pPr>
              <w:widowControl w:val="0"/>
              <w:jc w:val="right"/>
            </w:pPr>
          </w:p>
        </w:tc>
        <w:tc>
          <w:tcPr>
            <w:tcW w:w="1077" w:type="dxa"/>
            <w:tcBorders>
              <w:bottom w:val="single" w:sz="4" w:space="0" w:color="000000"/>
            </w:tcBorders>
            <w:vAlign w:val="bottom"/>
          </w:tcPr>
          <w:p w14:paraId="07E9F85E" w14:textId="77777777" w:rsidR="008E5DE4" w:rsidRDefault="008E5DE4">
            <w:pPr>
              <w:widowControl w:val="0"/>
              <w:jc w:val="right"/>
            </w:pPr>
          </w:p>
        </w:tc>
      </w:tr>
      <w:tr w:rsidR="008E5DE4" w14:paraId="696EAE47" w14:textId="77777777">
        <w:trPr>
          <w:cantSplit/>
        </w:trPr>
        <w:tc>
          <w:tcPr>
            <w:tcW w:w="2891" w:type="dxa"/>
            <w:tcBorders>
              <w:top w:val="single" w:sz="4" w:space="0" w:color="000000"/>
            </w:tcBorders>
            <w:vAlign w:val="bottom"/>
          </w:tcPr>
          <w:p w14:paraId="6961BEB5"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077" w:type="dxa"/>
            <w:tcBorders>
              <w:top w:val="single" w:sz="4" w:space="0" w:color="000000"/>
            </w:tcBorders>
            <w:vAlign w:val="bottom"/>
          </w:tcPr>
          <w:p w14:paraId="65DE16F8" w14:textId="77777777" w:rsidR="008E5DE4" w:rsidRDefault="008E5DE4">
            <w:pPr>
              <w:widowControl w:val="0"/>
              <w:jc w:val="right"/>
            </w:pPr>
          </w:p>
        </w:tc>
        <w:tc>
          <w:tcPr>
            <w:tcW w:w="1077" w:type="dxa"/>
            <w:tcBorders>
              <w:top w:val="single" w:sz="4" w:space="0" w:color="000000"/>
            </w:tcBorders>
            <w:vAlign w:val="bottom"/>
          </w:tcPr>
          <w:p w14:paraId="1424138B" w14:textId="77777777" w:rsidR="008E5DE4" w:rsidRDefault="008E5DE4">
            <w:pPr>
              <w:widowControl w:val="0"/>
              <w:jc w:val="right"/>
            </w:pPr>
          </w:p>
        </w:tc>
        <w:tc>
          <w:tcPr>
            <w:tcW w:w="1077" w:type="dxa"/>
            <w:tcBorders>
              <w:top w:val="single" w:sz="4" w:space="0" w:color="000000"/>
            </w:tcBorders>
            <w:vAlign w:val="bottom"/>
          </w:tcPr>
          <w:p w14:paraId="470E811B" w14:textId="77777777" w:rsidR="008E5DE4" w:rsidRDefault="008E5DE4">
            <w:pPr>
              <w:widowControl w:val="0"/>
              <w:jc w:val="right"/>
            </w:pPr>
          </w:p>
        </w:tc>
        <w:tc>
          <w:tcPr>
            <w:tcW w:w="1077" w:type="dxa"/>
            <w:tcBorders>
              <w:top w:val="single" w:sz="4" w:space="0" w:color="000000"/>
            </w:tcBorders>
            <w:vAlign w:val="bottom"/>
          </w:tcPr>
          <w:p w14:paraId="127BB8D6" w14:textId="77777777" w:rsidR="008E5DE4" w:rsidRDefault="008E5DE4">
            <w:pPr>
              <w:widowControl w:val="0"/>
              <w:jc w:val="right"/>
            </w:pPr>
          </w:p>
        </w:tc>
        <w:tc>
          <w:tcPr>
            <w:tcW w:w="1077" w:type="dxa"/>
            <w:tcBorders>
              <w:top w:val="single" w:sz="4" w:space="0" w:color="000000"/>
            </w:tcBorders>
            <w:vAlign w:val="bottom"/>
          </w:tcPr>
          <w:p w14:paraId="2F6E9CEB" w14:textId="77777777" w:rsidR="008E5DE4" w:rsidRDefault="008E5DE4">
            <w:pPr>
              <w:widowControl w:val="0"/>
              <w:jc w:val="right"/>
            </w:pPr>
          </w:p>
        </w:tc>
        <w:tc>
          <w:tcPr>
            <w:tcW w:w="1077" w:type="dxa"/>
            <w:tcBorders>
              <w:top w:val="single" w:sz="4" w:space="0" w:color="000000"/>
            </w:tcBorders>
            <w:vAlign w:val="bottom"/>
          </w:tcPr>
          <w:p w14:paraId="4186BF88" w14:textId="77777777" w:rsidR="008E5DE4" w:rsidRDefault="008E5DE4">
            <w:pPr>
              <w:widowControl w:val="0"/>
              <w:jc w:val="right"/>
            </w:pPr>
          </w:p>
        </w:tc>
      </w:tr>
      <w:tr w:rsidR="008E5DE4" w14:paraId="17FCDAFC" w14:textId="77777777">
        <w:trPr>
          <w:cantSplit/>
        </w:trPr>
        <w:tc>
          <w:tcPr>
            <w:tcW w:w="2891" w:type="dxa"/>
            <w:vAlign w:val="bottom"/>
          </w:tcPr>
          <w:p w14:paraId="5620CCE2"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reportable segment assets</w:t>
            </w:r>
          </w:p>
        </w:tc>
        <w:tc>
          <w:tcPr>
            <w:tcW w:w="1077" w:type="dxa"/>
            <w:vAlign w:val="bottom"/>
          </w:tcPr>
          <w:p w14:paraId="4360D3F1" w14:textId="77777777" w:rsidR="008E5DE4" w:rsidRDefault="008E5DE4">
            <w:pPr>
              <w:widowControl w:val="0"/>
              <w:jc w:val="right"/>
            </w:pPr>
          </w:p>
        </w:tc>
        <w:tc>
          <w:tcPr>
            <w:tcW w:w="1077" w:type="dxa"/>
            <w:vAlign w:val="bottom"/>
          </w:tcPr>
          <w:p w14:paraId="74AF9638" w14:textId="77777777" w:rsidR="008E5DE4" w:rsidRDefault="008E5DE4">
            <w:pPr>
              <w:widowControl w:val="0"/>
              <w:jc w:val="right"/>
            </w:pPr>
          </w:p>
        </w:tc>
        <w:tc>
          <w:tcPr>
            <w:tcW w:w="1077" w:type="dxa"/>
            <w:vAlign w:val="bottom"/>
          </w:tcPr>
          <w:p w14:paraId="0F22E21A" w14:textId="77777777" w:rsidR="008E5DE4" w:rsidRDefault="008E5DE4">
            <w:pPr>
              <w:widowControl w:val="0"/>
              <w:jc w:val="right"/>
            </w:pPr>
          </w:p>
        </w:tc>
        <w:tc>
          <w:tcPr>
            <w:tcW w:w="1077" w:type="dxa"/>
            <w:vAlign w:val="bottom"/>
          </w:tcPr>
          <w:p w14:paraId="4848A762" w14:textId="77777777" w:rsidR="008E5DE4" w:rsidRDefault="008E5DE4">
            <w:pPr>
              <w:widowControl w:val="0"/>
              <w:jc w:val="right"/>
            </w:pPr>
          </w:p>
        </w:tc>
        <w:tc>
          <w:tcPr>
            <w:tcW w:w="1077" w:type="dxa"/>
            <w:vAlign w:val="bottom"/>
          </w:tcPr>
          <w:p w14:paraId="264A2D53" w14:textId="77777777" w:rsidR="008E5DE4" w:rsidRDefault="008E5DE4">
            <w:pPr>
              <w:widowControl w:val="0"/>
              <w:jc w:val="right"/>
            </w:pPr>
          </w:p>
        </w:tc>
        <w:tc>
          <w:tcPr>
            <w:tcW w:w="1077" w:type="dxa"/>
            <w:vAlign w:val="bottom"/>
          </w:tcPr>
          <w:p w14:paraId="06B99103" w14:textId="77777777" w:rsidR="008E5DE4" w:rsidRDefault="008E5DE4">
            <w:pPr>
              <w:widowControl w:val="0"/>
              <w:jc w:val="right"/>
            </w:pPr>
          </w:p>
        </w:tc>
      </w:tr>
      <w:tr w:rsidR="008E5DE4" w14:paraId="5EE408AD" w14:textId="77777777">
        <w:trPr>
          <w:cantSplit/>
        </w:trPr>
        <w:tc>
          <w:tcPr>
            <w:tcW w:w="2891" w:type="dxa"/>
            <w:tcBorders>
              <w:bottom w:val="single" w:sz="12" w:space="0" w:color="000000"/>
            </w:tcBorders>
            <w:vAlign w:val="bottom"/>
          </w:tcPr>
          <w:p w14:paraId="5A69C68B"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bottom w:val="single" w:sz="12" w:space="0" w:color="000000"/>
            </w:tcBorders>
            <w:vAlign w:val="bottom"/>
          </w:tcPr>
          <w:p w14:paraId="26F2A9E6" w14:textId="77777777" w:rsidR="008E5DE4" w:rsidRDefault="008E5DE4">
            <w:pPr>
              <w:widowControl w:val="0"/>
              <w:jc w:val="right"/>
            </w:pPr>
          </w:p>
        </w:tc>
        <w:tc>
          <w:tcPr>
            <w:tcW w:w="1077" w:type="dxa"/>
            <w:tcBorders>
              <w:bottom w:val="single" w:sz="12" w:space="0" w:color="000000"/>
            </w:tcBorders>
            <w:vAlign w:val="bottom"/>
          </w:tcPr>
          <w:p w14:paraId="466CA982" w14:textId="77777777" w:rsidR="008E5DE4" w:rsidRDefault="008E5DE4">
            <w:pPr>
              <w:widowControl w:val="0"/>
              <w:jc w:val="right"/>
            </w:pPr>
          </w:p>
        </w:tc>
        <w:tc>
          <w:tcPr>
            <w:tcW w:w="1077" w:type="dxa"/>
            <w:tcBorders>
              <w:bottom w:val="single" w:sz="12" w:space="0" w:color="000000"/>
            </w:tcBorders>
            <w:vAlign w:val="bottom"/>
          </w:tcPr>
          <w:p w14:paraId="51AFA89B" w14:textId="77777777" w:rsidR="008E5DE4" w:rsidRDefault="008E5DE4">
            <w:pPr>
              <w:widowControl w:val="0"/>
              <w:jc w:val="right"/>
            </w:pPr>
          </w:p>
        </w:tc>
        <w:tc>
          <w:tcPr>
            <w:tcW w:w="1077" w:type="dxa"/>
            <w:tcBorders>
              <w:bottom w:val="single" w:sz="12" w:space="0" w:color="000000"/>
            </w:tcBorders>
            <w:vAlign w:val="bottom"/>
          </w:tcPr>
          <w:p w14:paraId="5AE42DFB" w14:textId="77777777" w:rsidR="008E5DE4" w:rsidRDefault="008E5DE4">
            <w:pPr>
              <w:widowControl w:val="0"/>
              <w:jc w:val="right"/>
            </w:pPr>
          </w:p>
        </w:tc>
        <w:tc>
          <w:tcPr>
            <w:tcW w:w="1077" w:type="dxa"/>
            <w:tcBorders>
              <w:bottom w:val="single" w:sz="12" w:space="0" w:color="000000"/>
            </w:tcBorders>
            <w:vAlign w:val="bottom"/>
          </w:tcPr>
          <w:p w14:paraId="7EC4D0B2" w14:textId="77777777" w:rsidR="008E5DE4" w:rsidRDefault="008E5DE4">
            <w:pPr>
              <w:widowControl w:val="0"/>
              <w:jc w:val="right"/>
            </w:pPr>
          </w:p>
        </w:tc>
        <w:tc>
          <w:tcPr>
            <w:tcW w:w="1077" w:type="dxa"/>
            <w:tcBorders>
              <w:bottom w:val="single" w:sz="12" w:space="0" w:color="000000"/>
            </w:tcBorders>
            <w:vAlign w:val="bottom"/>
          </w:tcPr>
          <w:p w14:paraId="5F8726B0" w14:textId="77777777" w:rsidR="008E5DE4" w:rsidRDefault="008E5DE4">
            <w:pPr>
              <w:widowControl w:val="0"/>
              <w:jc w:val="right"/>
            </w:pPr>
          </w:p>
        </w:tc>
      </w:tr>
      <w:tr w:rsidR="008E5DE4" w14:paraId="3BF3990F" w14:textId="77777777">
        <w:trPr>
          <w:cantSplit/>
        </w:trPr>
        <w:tc>
          <w:tcPr>
            <w:tcW w:w="2891" w:type="dxa"/>
            <w:tcBorders>
              <w:top w:val="single" w:sz="12" w:space="0" w:color="000000"/>
            </w:tcBorders>
            <w:vAlign w:val="bottom"/>
          </w:tcPr>
          <w:p w14:paraId="6D2DAD69"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top w:val="single" w:sz="12" w:space="0" w:color="000000"/>
            </w:tcBorders>
            <w:vAlign w:val="bottom"/>
          </w:tcPr>
          <w:p w14:paraId="0C6289D0" w14:textId="77777777" w:rsidR="008E5DE4" w:rsidRDefault="008E5DE4">
            <w:pPr>
              <w:widowControl w:val="0"/>
              <w:jc w:val="right"/>
            </w:pPr>
          </w:p>
        </w:tc>
        <w:tc>
          <w:tcPr>
            <w:tcW w:w="1077" w:type="dxa"/>
            <w:tcBorders>
              <w:top w:val="single" w:sz="12" w:space="0" w:color="000000"/>
            </w:tcBorders>
            <w:vAlign w:val="bottom"/>
          </w:tcPr>
          <w:p w14:paraId="3B4D9CFF" w14:textId="77777777" w:rsidR="008E5DE4" w:rsidRDefault="008E5DE4">
            <w:pPr>
              <w:widowControl w:val="0"/>
              <w:jc w:val="right"/>
            </w:pPr>
          </w:p>
        </w:tc>
        <w:tc>
          <w:tcPr>
            <w:tcW w:w="1077" w:type="dxa"/>
            <w:tcBorders>
              <w:top w:val="single" w:sz="12" w:space="0" w:color="000000"/>
            </w:tcBorders>
            <w:vAlign w:val="bottom"/>
          </w:tcPr>
          <w:p w14:paraId="2B8CB176" w14:textId="77777777" w:rsidR="008E5DE4" w:rsidRDefault="008E5DE4">
            <w:pPr>
              <w:widowControl w:val="0"/>
              <w:jc w:val="right"/>
            </w:pPr>
          </w:p>
        </w:tc>
        <w:tc>
          <w:tcPr>
            <w:tcW w:w="1077" w:type="dxa"/>
            <w:tcBorders>
              <w:top w:val="single" w:sz="12" w:space="0" w:color="000000"/>
            </w:tcBorders>
            <w:vAlign w:val="bottom"/>
          </w:tcPr>
          <w:p w14:paraId="4F80D901" w14:textId="77777777" w:rsidR="008E5DE4" w:rsidRDefault="008E5DE4">
            <w:pPr>
              <w:widowControl w:val="0"/>
              <w:jc w:val="right"/>
            </w:pPr>
          </w:p>
        </w:tc>
        <w:tc>
          <w:tcPr>
            <w:tcW w:w="1077" w:type="dxa"/>
            <w:tcBorders>
              <w:top w:val="single" w:sz="12" w:space="0" w:color="000000"/>
            </w:tcBorders>
            <w:vAlign w:val="bottom"/>
          </w:tcPr>
          <w:p w14:paraId="1D11CCBD" w14:textId="77777777" w:rsidR="008E5DE4" w:rsidRDefault="008E5DE4">
            <w:pPr>
              <w:widowControl w:val="0"/>
              <w:jc w:val="right"/>
            </w:pPr>
          </w:p>
        </w:tc>
        <w:tc>
          <w:tcPr>
            <w:tcW w:w="1077" w:type="dxa"/>
            <w:tcBorders>
              <w:top w:val="single" w:sz="12" w:space="0" w:color="000000"/>
            </w:tcBorders>
            <w:vAlign w:val="bottom"/>
          </w:tcPr>
          <w:p w14:paraId="4EE82C2D" w14:textId="77777777" w:rsidR="008E5DE4" w:rsidRDefault="008E5DE4">
            <w:pPr>
              <w:widowControl w:val="0"/>
              <w:jc w:val="right"/>
            </w:pPr>
          </w:p>
        </w:tc>
      </w:tr>
      <w:tr w:rsidR="008E5DE4" w14:paraId="2B89CF8C" w14:textId="77777777">
        <w:trPr>
          <w:cantSplit/>
        </w:trPr>
        <w:tc>
          <w:tcPr>
            <w:tcW w:w="2891" w:type="dxa"/>
            <w:vAlign w:val="bottom"/>
          </w:tcPr>
          <w:p w14:paraId="0B439EB5"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Liabilities directly associated with disposal groups held for sale </w:t>
            </w:r>
          </w:p>
        </w:tc>
        <w:tc>
          <w:tcPr>
            <w:tcW w:w="1077" w:type="dxa"/>
            <w:vAlign w:val="bottom"/>
          </w:tcPr>
          <w:p w14:paraId="3C2C3974" w14:textId="77777777" w:rsidR="008E5DE4" w:rsidRDefault="008E5DE4">
            <w:pPr>
              <w:widowControl w:val="0"/>
              <w:jc w:val="right"/>
            </w:pPr>
          </w:p>
        </w:tc>
        <w:tc>
          <w:tcPr>
            <w:tcW w:w="1077" w:type="dxa"/>
            <w:vAlign w:val="bottom"/>
          </w:tcPr>
          <w:p w14:paraId="07A4FDB9" w14:textId="77777777" w:rsidR="008E5DE4" w:rsidRDefault="008E5DE4">
            <w:pPr>
              <w:widowControl w:val="0"/>
              <w:jc w:val="right"/>
            </w:pPr>
          </w:p>
        </w:tc>
        <w:tc>
          <w:tcPr>
            <w:tcW w:w="1077" w:type="dxa"/>
            <w:vAlign w:val="bottom"/>
          </w:tcPr>
          <w:p w14:paraId="5FA648DE" w14:textId="77777777" w:rsidR="008E5DE4" w:rsidRDefault="008E5DE4">
            <w:pPr>
              <w:widowControl w:val="0"/>
              <w:jc w:val="right"/>
            </w:pPr>
          </w:p>
        </w:tc>
        <w:tc>
          <w:tcPr>
            <w:tcW w:w="1077" w:type="dxa"/>
            <w:vAlign w:val="bottom"/>
          </w:tcPr>
          <w:p w14:paraId="0946625D" w14:textId="77777777" w:rsidR="008E5DE4" w:rsidRDefault="008E5DE4">
            <w:pPr>
              <w:widowControl w:val="0"/>
              <w:jc w:val="right"/>
            </w:pPr>
          </w:p>
        </w:tc>
        <w:tc>
          <w:tcPr>
            <w:tcW w:w="1077" w:type="dxa"/>
            <w:vAlign w:val="bottom"/>
          </w:tcPr>
          <w:p w14:paraId="6C384AF8" w14:textId="77777777" w:rsidR="008E5DE4" w:rsidRDefault="008E5DE4">
            <w:pPr>
              <w:widowControl w:val="0"/>
              <w:jc w:val="right"/>
            </w:pPr>
          </w:p>
        </w:tc>
        <w:tc>
          <w:tcPr>
            <w:tcW w:w="1077" w:type="dxa"/>
            <w:vAlign w:val="bottom"/>
          </w:tcPr>
          <w:p w14:paraId="46A10D58" w14:textId="77777777" w:rsidR="008E5DE4" w:rsidRDefault="008E5DE4">
            <w:pPr>
              <w:widowControl w:val="0"/>
              <w:jc w:val="right"/>
            </w:pPr>
          </w:p>
        </w:tc>
      </w:tr>
      <w:tr w:rsidR="008E5DE4" w14:paraId="04B48A3E" w14:textId="77777777">
        <w:trPr>
          <w:cantSplit/>
        </w:trPr>
        <w:tc>
          <w:tcPr>
            <w:tcW w:w="2891" w:type="dxa"/>
            <w:vAlign w:val="bottom"/>
          </w:tcPr>
          <w:p w14:paraId="60EBFAE2" w14:textId="77777777" w:rsidR="008E5DE4" w:rsidRDefault="00780368">
            <w:pPr>
              <w:widowControl w:val="0"/>
              <w:pBdr>
                <w:top w:val="nil"/>
                <w:left w:val="nil"/>
                <w:bottom w:val="nil"/>
                <w:right w:val="nil"/>
                <w:between w:val="nil"/>
              </w:pBdr>
              <w:ind w:left="113" w:right="-57" w:hanging="113"/>
              <w:rPr>
                <w:color w:val="000000"/>
              </w:rPr>
            </w:pPr>
            <w:r>
              <w:rPr>
                <w:color w:val="000000"/>
              </w:rPr>
              <w:t>Other reportable segment liabilities</w:t>
            </w:r>
          </w:p>
        </w:tc>
        <w:tc>
          <w:tcPr>
            <w:tcW w:w="1077" w:type="dxa"/>
            <w:vAlign w:val="bottom"/>
          </w:tcPr>
          <w:p w14:paraId="5804A5D0" w14:textId="77777777" w:rsidR="008E5DE4" w:rsidRDefault="008E5DE4">
            <w:pPr>
              <w:widowControl w:val="0"/>
              <w:jc w:val="right"/>
            </w:pPr>
          </w:p>
        </w:tc>
        <w:tc>
          <w:tcPr>
            <w:tcW w:w="1077" w:type="dxa"/>
            <w:vAlign w:val="bottom"/>
          </w:tcPr>
          <w:p w14:paraId="455A041D" w14:textId="77777777" w:rsidR="008E5DE4" w:rsidRDefault="008E5DE4">
            <w:pPr>
              <w:widowControl w:val="0"/>
              <w:jc w:val="right"/>
            </w:pPr>
          </w:p>
        </w:tc>
        <w:tc>
          <w:tcPr>
            <w:tcW w:w="1077" w:type="dxa"/>
            <w:vAlign w:val="bottom"/>
          </w:tcPr>
          <w:p w14:paraId="295CA76D" w14:textId="77777777" w:rsidR="008E5DE4" w:rsidRDefault="008E5DE4">
            <w:pPr>
              <w:widowControl w:val="0"/>
              <w:jc w:val="right"/>
            </w:pPr>
          </w:p>
        </w:tc>
        <w:tc>
          <w:tcPr>
            <w:tcW w:w="1077" w:type="dxa"/>
            <w:vAlign w:val="bottom"/>
          </w:tcPr>
          <w:p w14:paraId="628FC0BC" w14:textId="77777777" w:rsidR="008E5DE4" w:rsidRDefault="008E5DE4">
            <w:pPr>
              <w:widowControl w:val="0"/>
              <w:jc w:val="right"/>
            </w:pPr>
          </w:p>
        </w:tc>
        <w:tc>
          <w:tcPr>
            <w:tcW w:w="1077" w:type="dxa"/>
            <w:vAlign w:val="bottom"/>
          </w:tcPr>
          <w:p w14:paraId="3FE1D8B8" w14:textId="77777777" w:rsidR="008E5DE4" w:rsidRDefault="008E5DE4">
            <w:pPr>
              <w:widowControl w:val="0"/>
              <w:jc w:val="right"/>
            </w:pPr>
          </w:p>
        </w:tc>
        <w:tc>
          <w:tcPr>
            <w:tcW w:w="1077" w:type="dxa"/>
            <w:vAlign w:val="bottom"/>
          </w:tcPr>
          <w:p w14:paraId="5643DE50" w14:textId="77777777" w:rsidR="008E5DE4" w:rsidRDefault="008E5DE4">
            <w:pPr>
              <w:widowControl w:val="0"/>
              <w:jc w:val="right"/>
            </w:pPr>
          </w:p>
        </w:tc>
      </w:tr>
      <w:tr w:rsidR="008E5DE4" w14:paraId="6AEC4AFC" w14:textId="77777777">
        <w:trPr>
          <w:cantSplit/>
        </w:trPr>
        <w:tc>
          <w:tcPr>
            <w:tcW w:w="2891" w:type="dxa"/>
            <w:tcBorders>
              <w:bottom w:val="single" w:sz="4" w:space="0" w:color="000000"/>
            </w:tcBorders>
            <w:vAlign w:val="bottom"/>
          </w:tcPr>
          <w:p w14:paraId="1D282492"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bottom w:val="single" w:sz="4" w:space="0" w:color="000000"/>
            </w:tcBorders>
            <w:vAlign w:val="bottom"/>
          </w:tcPr>
          <w:p w14:paraId="280FC9C9" w14:textId="77777777" w:rsidR="008E5DE4" w:rsidRDefault="008E5DE4">
            <w:pPr>
              <w:widowControl w:val="0"/>
              <w:jc w:val="right"/>
            </w:pPr>
          </w:p>
        </w:tc>
        <w:tc>
          <w:tcPr>
            <w:tcW w:w="1077" w:type="dxa"/>
            <w:tcBorders>
              <w:bottom w:val="single" w:sz="4" w:space="0" w:color="000000"/>
            </w:tcBorders>
            <w:vAlign w:val="bottom"/>
          </w:tcPr>
          <w:p w14:paraId="00BCE835" w14:textId="77777777" w:rsidR="008E5DE4" w:rsidRDefault="008E5DE4">
            <w:pPr>
              <w:widowControl w:val="0"/>
              <w:jc w:val="right"/>
            </w:pPr>
          </w:p>
        </w:tc>
        <w:tc>
          <w:tcPr>
            <w:tcW w:w="1077" w:type="dxa"/>
            <w:tcBorders>
              <w:bottom w:val="single" w:sz="4" w:space="0" w:color="000000"/>
            </w:tcBorders>
            <w:vAlign w:val="bottom"/>
          </w:tcPr>
          <w:p w14:paraId="6A24F7F7" w14:textId="77777777" w:rsidR="008E5DE4" w:rsidRDefault="008E5DE4">
            <w:pPr>
              <w:widowControl w:val="0"/>
              <w:jc w:val="right"/>
            </w:pPr>
          </w:p>
        </w:tc>
        <w:tc>
          <w:tcPr>
            <w:tcW w:w="1077" w:type="dxa"/>
            <w:tcBorders>
              <w:bottom w:val="single" w:sz="4" w:space="0" w:color="000000"/>
            </w:tcBorders>
            <w:vAlign w:val="bottom"/>
          </w:tcPr>
          <w:p w14:paraId="2749C036" w14:textId="77777777" w:rsidR="008E5DE4" w:rsidRDefault="008E5DE4">
            <w:pPr>
              <w:widowControl w:val="0"/>
              <w:jc w:val="right"/>
            </w:pPr>
          </w:p>
        </w:tc>
        <w:tc>
          <w:tcPr>
            <w:tcW w:w="1077" w:type="dxa"/>
            <w:tcBorders>
              <w:bottom w:val="single" w:sz="4" w:space="0" w:color="000000"/>
            </w:tcBorders>
            <w:vAlign w:val="bottom"/>
          </w:tcPr>
          <w:p w14:paraId="535F91C3" w14:textId="77777777" w:rsidR="008E5DE4" w:rsidRDefault="008E5DE4">
            <w:pPr>
              <w:widowControl w:val="0"/>
              <w:jc w:val="right"/>
            </w:pPr>
          </w:p>
        </w:tc>
        <w:tc>
          <w:tcPr>
            <w:tcW w:w="1077" w:type="dxa"/>
            <w:tcBorders>
              <w:bottom w:val="single" w:sz="4" w:space="0" w:color="000000"/>
            </w:tcBorders>
            <w:vAlign w:val="bottom"/>
          </w:tcPr>
          <w:p w14:paraId="1467BDE2" w14:textId="77777777" w:rsidR="008E5DE4" w:rsidRDefault="008E5DE4">
            <w:pPr>
              <w:widowControl w:val="0"/>
              <w:jc w:val="right"/>
            </w:pPr>
          </w:p>
        </w:tc>
      </w:tr>
      <w:tr w:rsidR="008E5DE4" w14:paraId="1A09D162" w14:textId="77777777">
        <w:trPr>
          <w:cantSplit/>
        </w:trPr>
        <w:tc>
          <w:tcPr>
            <w:tcW w:w="2891" w:type="dxa"/>
            <w:tcBorders>
              <w:top w:val="single" w:sz="4" w:space="0" w:color="000000"/>
            </w:tcBorders>
            <w:vAlign w:val="bottom"/>
          </w:tcPr>
          <w:p w14:paraId="0605951E"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top w:val="single" w:sz="4" w:space="0" w:color="000000"/>
            </w:tcBorders>
            <w:vAlign w:val="bottom"/>
          </w:tcPr>
          <w:p w14:paraId="1F366536" w14:textId="77777777" w:rsidR="008E5DE4" w:rsidRDefault="008E5DE4">
            <w:pPr>
              <w:widowControl w:val="0"/>
              <w:jc w:val="right"/>
            </w:pPr>
          </w:p>
        </w:tc>
        <w:tc>
          <w:tcPr>
            <w:tcW w:w="1077" w:type="dxa"/>
            <w:tcBorders>
              <w:top w:val="single" w:sz="4" w:space="0" w:color="000000"/>
            </w:tcBorders>
            <w:vAlign w:val="bottom"/>
          </w:tcPr>
          <w:p w14:paraId="04D57CC5" w14:textId="77777777" w:rsidR="008E5DE4" w:rsidRDefault="008E5DE4">
            <w:pPr>
              <w:widowControl w:val="0"/>
              <w:jc w:val="right"/>
            </w:pPr>
          </w:p>
        </w:tc>
        <w:tc>
          <w:tcPr>
            <w:tcW w:w="1077" w:type="dxa"/>
            <w:tcBorders>
              <w:top w:val="single" w:sz="4" w:space="0" w:color="000000"/>
            </w:tcBorders>
            <w:vAlign w:val="bottom"/>
          </w:tcPr>
          <w:p w14:paraId="0D20553B" w14:textId="77777777" w:rsidR="008E5DE4" w:rsidRDefault="008E5DE4">
            <w:pPr>
              <w:widowControl w:val="0"/>
              <w:jc w:val="right"/>
            </w:pPr>
          </w:p>
        </w:tc>
        <w:tc>
          <w:tcPr>
            <w:tcW w:w="1077" w:type="dxa"/>
            <w:tcBorders>
              <w:top w:val="single" w:sz="4" w:space="0" w:color="000000"/>
            </w:tcBorders>
            <w:vAlign w:val="bottom"/>
          </w:tcPr>
          <w:p w14:paraId="2C726CBC" w14:textId="77777777" w:rsidR="008E5DE4" w:rsidRDefault="008E5DE4">
            <w:pPr>
              <w:widowControl w:val="0"/>
              <w:jc w:val="right"/>
            </w:pPr>
          </w:p>
        </w:tc>
        <w:tc>
          <w:tcPr>
            <w:tcW w:w="1077" w:type="dxa"/>
            <w:tcBorders>
              <w:top w:val="single" w:sz="4" w:space="0" w:color="000000"/>
            </w:tcBorders>
            <w:vAlign w:val="bottom"/>
          </w:tcPr>
          <w:p w14:paraId="3CC239E5" w14:textId="77777777" w:rsidR="008E5DE4" w:rsidRDefault="008E5DE4">
            <w:pPr>
              <w:widowControl w:val="0"/>
              <w:jc w:val="right"/>
            </w:pPr>
          </w:p>
        </w:tc>
        <w:tc>
          <w:tcPr>
            <w:tcW w:w="1077" w:type="dxa"/>
            <w:tcBorders>
              <w:top w:val="single" w:sz="4" w:space="0" w:color="000000"/>
            </w:tcBorders>
            <w:vAlign w:val="bottom"/>
          </w:tcPr>
          <w:p w14:paraId="0233D89E" w14:textId="77777777" w:rsidR="008E5DE4" w:rsidRDefault="008E5DE4">
            <w:pPr>
              <w:widowControl w:val="0"/>
              <w:jc w:val="right"/>
            </w:pPr>
          </w:p>
        </w:tc>
      </w:tr>
      <w:tr w:rsidR="008E5DE4" w14:paraId="38B1D4EF" w14:textId="77777777">
        <w:trPr>
          <w:cantSplit/>
        </w:trPr>
        <w:tc>
          <w:tcPr>
            <w:tcW w:w="2891" w:type="dxa"/>
            <w:vAlign w:val="bottom"/>
          </w:tcPr>
          <w:p w14:paraId="05B267FC"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reportable segment liabilities</w:t>
            </w:r>
          </w:p>
        </w:tc>
        <w:tc>
          <w:tcPr>
            <w:tcW w:w="1077" w:type="dxa"/>
            <w:vAlign w:val="bottom"/>
          </w:tcPr>
          <w:p w14:paraId="284BEEB0" w14:textId="77777777" w:rsidR="008E5DE4" w:rsidRDefault="008E5DE4">
            <w:pPr>
              <w:widowControl w:val="0"/>
              <w:jc w:val="right"/>
              <w:rPr>
                <w:b/>
              </w:rPr>
            </w:pPr>
          </w:p>
        </w:tc>
        <w:tc>
          <w:tcPr>
            <w:tcW w:w="1077" w:type="dxa"/>
            <w:vAlign w:val="bottom"/>
          </w:tcPr>
          <w:p w14:paraId="04109C00" w14:textId="77777777" w:rsidR="008E5DE4" w:rsidRDefault="008E5DE4">
            <w:pPr>
              <w:widowControl w:val="0"/>
              <w:jc w:val="right"/>
              <w:rPr>
                <w:b/>
              </w:rPr>
            </w:pPr>
          </w:p>
        </w:tc>
        <w:tc>
          <w:tcPr>
            <w:tcW w:w="1077" w:type="dxa"/>
            <w:vAlign w:val="bottom"/>
          </w:tcPr>
          <w:p w14:paraId="0C3D591C" w14:textId="77777777" w:rsidR="008E5DE4" w:rsidRDefault="008E5DE4">
            <w:pPr>
              <w:widowControl w:val="0"/>
              <w:jc w:val="right"/>
              <w:rPr>
                <w:b/>
              </w:rPr>
            </w:pPr>
          </w:p>
        </w:tc>
        <w:tc>
          <w:tcPr>
            <w:tcW w:w="1077" w:type="dxa"/>
            <w:vAlign w:val="bottom"/>
          </w:tcPr>
          <w:p w14:paraId="289047FD" w14:textId="77777777" w:rsidR="008E5DE4" w:rsidRDefault="008E5DE4">
            <w:pPr>
              <w:widowControl w:val="0"/>
              <w:jc w:val="right"/>
              <w:rPr>
                <w:b/>
              </w:rPr>
            </w:pPr>
          </w:p>
        </w:tc>
        <w:tc>
          <w:tcPr>
            <w:tcW w:w="1077" w:type="dxa"/>
            <w:vAlign w:val="bottom"/>
          </w:tcPr>
          <w:p w14:paraId="42266CF5" w14:textId="77777777" w:rsidR="008E5DE4" w:rsidRDefault="008E5DE4">
            <w:pPr>
              <w:widowControl w:val="0"/>
              <w:jc w:val="right"/>
              <w:rPr>
                <w:b/>
              </w:rPr>
            </w:pPr>
          </w:p>
        </w:tc>
        <w:tc>
          <w:tcPr>
            <w:tcW w:w="1077" w:type="dxa"/>
            <w:vAlign w:val="bottom"/>
          </w:tcPr>
          <w:p w14:paraId="572EC7BF" w14:textId="77777777" w:rsidR="008E5DE4" w:rsidRDefault="008E5DE4">
            <w:pPr>
              <w:widowControl w:val="0"/>
              <w:jc w:val="right"/>
              <w:rPr>
                <w:b/>
              </w:rPr>
            </w:pPr>
          </w:p>
        </w:tc>
      </w:tr>
      <w:tr w:rsidR="008E5DE4" w14:paraId="0A7E49D2" w14:textId="77777777">
        <w:trPr>
          <w:cantSplit/>
        </w:trPr>
        <w:tc>
          <w:tcPr>
            <w:tcW w:w="2891" w:type="dxa"/>
            <w:tcBorders>
              <w:bottom w:val="single" w:sz="12" w:space="0" w:color="000000"/>
            </w:tcBorders>
            <w:vAlign w:val="bottom"/>
          </w:tcPr>
          <w:p w14:paraId="1942B9E8"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bottom w:val="single" w:sz="12" w:space="0" w:color="000000"/>
            </w:tcBorders>
            <w:vAlign w:val="bottom"/>
          </w:tcPr>
          <w:p w14:paraId="2FE2AE08"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263B3DF4"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49C47356"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10897ED7"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05D3B45C"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25BACE05" w14:textId="77777777" w:rsidR="008E5DE4" w:rsidRDefault="008E5DE4">
            <w:pPr>
              <w:widowControl w:val="0"/>
              <w:pBdr>
                <w:top w:val="nil"/>
                <w:left w:val="nil"/>
                <w:bottom w:val="nil"/>
                <w:right w:val="nil"/>
                <w:between w:val="nil"/>
              </w:pBdr>
              <w:jc w:val="right"/>
              <w:rPr>
                <w:color w:val="000000"/>
              </w:rPr>
            </w:pPr>
          </w:p>
        </w:tc>
      </w:tr>
      <w:tr w:rsidR="008E5DE4" w14:paraId="568C448C" w14:textId="77777777">
        <w:trPr>
          <w:cantSplit/>
        </w:trPr>
        <w:tc>
          <w:tcPr>
            <w:tcW w:w="2891" w:type="dxa"/>
            <w:tcBorders>
              <w:top w:val="single" w:sz="12" w:space="0" w:color="000000"/>
            </w:tcBorders>
            <w:vAlign w:val="bottom"/>
          </w:tcPr>
          <w:p w14:paraId="29E2B304"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top w:val="single" w:sz="12" w:space="0" w:color="000000"/>
            </w:tcBorders>
            <w:vAlign w:val="bottom"/>
          </w:tcPr>
          <w:p w14:paraId="78FA5CFE" w14:textId="77777777" w:rsidR="008E5DE4" w:rsidRDefault="008E5DE4">
            <w:pPr>
              <w:widowControl w:val="0"/>
              <w:jc w:val="right"/>
            </w:pPr>
          </w:p>
        </w:tc>
        <w:tc>
          <w:tcPr>
            <w:tcW w:w="1077" w:type="dxa"/>
            <w:tcBorders>
              <w:top w:val="single" w:sz="12" w:space="0" w:color="000000"/>
            </w:tcBorders>
            <w:vAlign w:val="bottom"/>
          </w:tcPr>
          <w:p w14:paraId="37CE737C" w14:textId="77777777" w:rsidR="008E5DE4" w:rsidRDefault="008E5DE4">
            <w:pPr>
              <w:widowControl w:val="0"/>
              <w:jc w:val="right"/>
            </w:pPr>
          </w:p>
        </w:tc>
        <w:tc>
          <w:tcPr>
            <w:tcW w:w="1077" w:type="dxa"/>
            <w:tcBorders>
              <w:top w:val="single" w:sz="12" w:space="0" w:color="000000"/>
            </w:tcBorders>
            <w:vAlign w:val="bottom"/>
          </w:tcPr>
          <w:p w14:paraId="06313597" w14:textId="77777777" w:rsidR="008E5DE4" w:rsidRDefault="008E5DE4">
            <w:pPr>
              <w:widowControl w:val="0"/>
              <w:jc w:val="right"/>
            </w:pPr>
          </w:p>
        </w:tc>
        <w:tc>
          <w:tcPr>
            <w:tcW w:w="1077" w:type="dxa"/>
            <w:tcBorders>
              <w:top w:val="single" w:sz="12" w:space="0" w:color="000000"/>
            </w:tcBorders>
            <w:vAlign w:val="bottom"/>
          </w:tcPr>
          <w:p w14:paraId="28E197A8" w14:textId="77777777" w:rsidR="008E5DE4" w:rsidRDefault="008E5DE4">
            <w:pPr>
              <w:widowControl w:val="0"/>
              <w:jc w:val="right"/>
            </w:pPr>
          </w:p>
        </w:tc>
        <w:tc>
          <w:tcPr>
            <w:tcW w:w="1077" w:type="dxa"/>
            <w:tcBorders>
              <w:top w:val="single" w:sz="12" w:space="0" w:color="000000"/>
            </w:tcBorders>
            <w:vAlign w:val="bottom"/>
          </w:tcPr>
          <w:p w14:paraId="7183CB8A" w14:textId="77777777" w:rsidR="008E5DE4" w:rsidRDefault="008E5DE4">
            <w:pPr>
              <w:widowControl w:val="0"/>
              <w:jc w:val="right"/>
            </w:pPr>
          </w:p>
        </w:tc>
        <w:tc>
          <w:tcPr>
            <w:tcW w:w="1077" w:type="dxa"/>
            <w:tcBorders>
              <w:top w:val="single" w:sz="12" w:space="0" w:color="000000"/>
            </w:tcBorders>
            <w:vAlign w:val="bottom"/>
          </w:tcPr>
          <w:p w14:paraId="68246038" w14:textId="77777777" w:rsidR="008E5DE4" w:rsidRDefault="008E5DE4">
            <w:pPr>
              <w:widowControl w:val="0"/>
              <w:jc w:val="right"/>
            </w:pPr>
          </w:p>
        </w:tc>
      </w:tr>
      <w:tr w:rsidR="008E5DE4" w14:paraId="7EC40078" w14:textId="77777777">
        <w:trPr>
          <w:cantSplit/>
        </w:trPr>
        <w:tc>
          <w:tcPr>
            <w:tcW w:w="2891" w:type="dxa"/>
            <w:vAlign w:val="bottom"/>
          </w:tcPr>
          <w:p w14:paraId="5E2E8088" w14:textId="77777777" w:rsidR="008E5DE4" w:rsidRDefault="00780368">
            <w:pPr>
              <w:widowControl w:val="0"/>
              <w:ind w:left="113" w:right="-57" w:hanging="113"/>
              <w:rPr>
                <w:b/>
              </w:rPr>
            </w:pPr>
            <w:r>
              <w:rPr>
                <w:b/>
              </w:rPr>
              <w:t>Capital expenditure</w:t>
            </w:r>
          </w:p>
        </w:tc>
        <w:tc>
          <w:tcPr>
            <w:tcW w:w="1077" w:type="dxa"/>
            <w:vAlign w:val="bottom"/>
          </w:tcPr>
          <w:p w14:paraId="3905BACC" w14:textId="77777777" w:rsidR="008E5DE4" w:rsidRDefault="008E5DE4">
            <w:pPr>
              <w:widowControl w:val="0"/>
              <w:jc w:val="right"/>
            </w:pPr>
          </w:p>
        </w:tc>
        <w:tc>
          <w:tcPr>
            <w:tcW w:w="1077" w:type="dxa"/>
            <w:vAlign w:val="bottom"/>
          </w:tcPr>
          <w:p w14:paraId="2BDBF256" w14:textId="77777777" w:rsidR="008E5DE4" w:rsidRDefault="008E5DE4">
            <w:pPr>
              <w:widowControl w:val="0"/>
              <w:jc w:val="right"/>
            </w:pPr>
          </w:p>
        </w:tc>
        <w:tc>
          <w:tcPr>
            <w:tcW w:w="1077" w:type="dxa"/>
            <w:vAlign w:val="bottom"/>
          </w:tcPr>
          <w:p w14:paraId="2FEC98FF" w14:textId="77777777" w:rsidR="008E5DE4" w:rsidRDefault="008E5DE4">
            <w:pPr>
              <w:widowControl w:val="0"/>
              <w:jc w:val="right"/>
            </w:pPr>
          </w:p>
        </w:tc>
        <w:tc>
          <w:tcPr>
            <w:tcW w:w="1077" w:type="dxa"/>
            <w:vAlign w:val="bottom"/>
          </w:tcPr>
          <w:p w14:paraId="22B63A9E" w14:textId="77777777" w:rsidR="008E5DE4" w:rsidRDefault="008E5DE4">
            <w:pPr>
              <w:widowControl w:val="0"/>
              <w:jc w:val="right"/>
            </w:pPr>
          </w:p>
        </w:tc>
        <w:tc>
          <w:tcPr>
            <w:tcW w:w="1077" w:type="dxa"/>
            <w:vAlign w:val="bottom"/>
          </w:tcPr>
          <w:p w14:paraId="43F379EB" w14:textId="77777777" w:rsidR="008E5DE4" w:rsidRDefault="008E5DE4">
            <w:pPr>
              <w:widowControl w:val="0"/>
              <w:jc w:val="right"/>
            </w:pPr>
          </w:p>
        </w:tc>
        <w:tc>
          <w:tcPr>
            <w:tcW w:w="1077" w:type="dxa"/>
            <w:vAlign w:val="bottom"/>
          </w:tcPr>
          <w:p w14:paraId="6E9900E3" w14:textId="77777777" w:rsidR="008E5DE4" w:rsidRDefault="008E5DE4">
            <w:pPr>
              <w:widowControl w:val="0"/>
              <w:jc w:val="right"/>
            </w:pPr>
          </w:p>
        </w:tc>
      </w:tr>
      <w:tr w:rsidR="008E5DE4" w14:paraId="518A043D" w14:textId="77777777">
        <w:trPr>
          <w:cantSplit/>
        </w:trPr>
        <w:tc>
          <w:tcPr>
            <w:tcW w:w="2891" w:type="dxa"/>
            <w:tcBorders>
              <w:bottom w:val="single" w:sz="12" w:space="0" w:color="000000"/>
            </w:tcBorders>
            <w:vAlign w:val="bottom"/>
          </w:tcPr>
          <w:p w14:paraId="4052ED1C" w14:textId="77777777" w:rsidR="008E5DE4" w:rsidRDefault="00780368">
            <w:pPr>
              <w:widowControl w:val="0"/>
              <w:ind w:left="113" w:right="-57" w:hanging="113"/>
              <w:rPr>
                <w:b/>
              </w:rPr>
            </w:pPr>
            <w:r>
              <w:rPr>
                <w:b/>
              </w:rPr>
              <w:t> </w:t>
            </w:r>
          </w:p>
        </w:tc>
        <w:tc>
          <w:tcPr>
            <w:tcW w:w="1077" w:type="dxa"/>
            <w:tcBorders>
              <w:bottom w:val="single" w:sz="12" w:space="0" w:color="000000"/>
            </w:tcBorders>
            <w:vAlign w:val="bottom"/>
          </w:tcPr>
          <w:p w14:paraId="485F2C34" w14:textId="77777777" w:rsidR="008E5DE4" w:rsidRDefault="008E5DE4">
            <w:pPr>
              <w:widowControl w:val="0"/>
              <w:jc w:val="right"/>
            </w:pPr>
          </w:p>
        </w:tc>
        <w:tc>
          <w:tcPr>
            <w:tcW w:w="1077" w:type="dxa"/>
            <w:tcBorders>
              <w:bottom w:val="single" w:sz="12" w:space="0" w:color="000000"/>
            </w:tcBorders>
            <w:vAlign w:val="bottom"/>
          </w:tcPr>
          <w:p w14:paraId="062FA95A" w14:textId="77777777" w:rsidR="008E5DE4" w:rsidRDefault="008E5DE4">
            <w:pPr>
              <w:widowControl w:val="0"/>
              <w:jc w:val="right"/>
            </w:pPr>
          </w:p>
        </w:tc>
        <w:tc>
          <w:tcPr>
            <w:tcW w:w="1077" w:type="dxa"/>
            <w:tcBorders>
              <w:bottom w:val="single" w:sz="12" w:space="0" w:color="000000"/>
            </w:tcBorders>
            <w:vAlign w:val="bottom"/>
          </w:tcPr>
          <w:p w14:paraId="6D8088BB" w14:textId="77777777" w:rsidR="008E5DE4" w:rsidRDefault="008E5DE4">
            <w:pPr>
              <w:widowControl w:val="0"/>
              <w:jc w:val="right"/>
            </w:pPr>
          </w:p>
        </w:tc>
        <w:tc>
          <w:tcPr>
            <w:tcW w:w="1077" w:type="dxa"/>
            <w:tcBorders>
              <w:bottom w:val="single" w:sz="12" w:space="0" w:color="000000"/>
            </w:tcBorders>
            <w:vAlign w:val="bottom"/>
          </w:tcPr>
          <w:p w14:paraId="770A601F" w14:textId="77777777" w:rsidR="008E5DE4" w:rsidRDefault="008E5DE4">
            <w:pPr>
              <w:widowControl w:val="0"/>
              <w:jc w:val="right"/>
            </w:pPr>
          </w:p>
        </w:tc>
        <w:tc>
          <w:tcPr>
            <w:tcW w:w="1077" w:type="dxa"/>
            <w:tcBorders>
              <w:bottom w:val="single" w:sz="12" w:space="0" w:color="000000"/>
            </w:tcBorders>
            <w:vAlign w:val="bottom"/>
          </w:tcPr>
          <w:p w14:paraId="64167E92" w14:textId="77777777" w:rsidR="008E5DE4" w:rsidRDefault="008E5DE4">
            <w:pPr>
              <w:widowControl w:val="0"/>
              <w:jc w:val="right"/>
            </w:pPr>
          </w:p>
        </w:tc>
        <w:tc>
          <w:tcPr>
            <w:tcW w:w="1077" w:type="dxa"/>
            <w:tcBorders>
              <w:bottom w:val="single" w:sz="12" w:space="0" w:color="000000"/>
            </w:tcBorders>
            <w:vAlign w:val="bottom"/>
          </w:tcPr>
          <w:p w14:paraId="4E0283E0" w14:textId="77777777" w:rsidR="008E5DE4" w:rsidRDefault="008E5DE4">
            <w:pPr>
              <w:widowControl w:val="0"/>
              <w:jc w:val="right"/>
            </w:pPr>
          </w:p>
        </w:tc>
      </w:tr>
    </w:tbl>
    <w:p w14:paraId="36D16629"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Capital expenditure represents additions to non-current assets other than financial instruments, deferred tax assets, post-employment benefit assets and rights arising under insurance contracts.</w:t>
      </w:r>
    </w:p>
    <w:p w14:paraId="1A49101C"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7FFBB425" w14:textId="358658B9"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Segment information for the reportable segments for the year ended 31 December </w:t>
      </w:r>
      <w:r w:rsidR="00FF468A">
        <w:rPr>
          <w:color w:val="000000"/>
          <w:sz w:val="20"/>
          <w:szCs w:val="20"/>
        </w:rPr>
        <w:t>2024</w:t>
      </w:r>
      <w:r>
        <w:rPr>
          <w:color w:val="000000"/>
          <w:sz w:val="20"/>
          <w:szCs w:val="20"/>
        </w:rPr>
        <w:t xml:space="preserve"> is set out below:</w:t>
      </w:r>
    </w:p>
    <w:p w14:paraId="5F425FC7" w14:textId="77777777" w:rsidR="005E6923" w:rsidRDefault="005E6923">
      <w:pPr>
        <w:widowControl w:val="0"/>
        <w:pBdr>
          <w:top w:val="nil"/>
          <w:left w:val="nil"/>
          <w:bottom w:val="nil"/>
          <w:right w:val="nil"/>
          <w:between w:val="nil"/>
        </w:pBdr>
        <w:spacing w:before="200" w:after="200"/>
        <w:jc w:val="both"/>
        <w:rPr>
          <w:color w:val="000000"/>
          <w:sz w:val="20"/>
          <w:szCs w:val="20"/>
        </w:rPr>
      </w:pPr>
    </w:p>
    <w:tbl>
      <w:tblPr>
        <w:tblStyle w:val="a7"/>
        <w:tblW w:w="8910" w:type="dxa"/>
        <w:tblLayout w:type="fixed"/>
        <w:tblLook w:val="0400" w:firstRow="0" w:lastRow="0" w:firstColumn="0" w:lastColumn="0" w:noHBand="0" w:noVBand="1"/>
      </w:tblPr>
      <w:tblGrid>
        <w:gridCol w:w="2430"/>
        <w:gridCol w:w="1530"/>
        <w:gridCol w:w="1170"/>
        <w:gridCol w:w="1080"/>
        <w:gridCol w:w="720"/>
        <w:gridCol w:w="1260"/>
        <w:gridCol w:w="720"/>
      </w:tblGrid>
      <w:tr w:rsidR="00E76D85" w:rsidRPr="00344DF9" w14:paraId="52748E18" w14:textId="77777777" w:rsidTr="00150BDF">
        <w:trPr>
          <w:cantSplit/>
        </w:trPr>
        <w:tc>
          <w:tcPr>
            <w:tcW w:w="2430" w:type="dxa"/>
            <w:tcBorders>
              <w:bottom w:val="single" w:sz="4" w:space="0" w:color="000000"/>
            </w:tcBorders>
            <w:vAlign w:val="bottom"/>
          </w:tcPr>
          <w:p w14:paraId="33BDD193" w14:textId="77777777" w:rsidR="00E76D85" w:rsidRPr="007A0528" w:rsidRDefault="00E76D85" w:rsidP="007A0528">
            <w:pPr>
              <w:widowControl w:val="0"/>
              <w:pBdr>
                <w:top w:val="nil"/>
                <w:left w:val="nil"/>
                <w:bottom w:val="nil"/>
                <w:right w:val="nil"/>
                <w:between w:val="nil"/>
              </w:pBdr>
              <w:ind w:left="113" w:right="-57" w:hanging="113"/>
              <w:rPr>
                <w:i/>
              </w:rPr>
            </w:pPr>
            <w:bookmarkStart w:id="14" w:name="_Hlk212712491"/>
            <w:r w:rsidRPr="007A0528">
              <w:rPr>
                <w:i/>
              </w:rPr>
              <w:t>In thousands of EUR</w:t>
            </w:r>
          </w:p>
        </w:tc>
        <w:tc>
          <w:tcPr>
            <w:tcW w:w="1530" w:type="dxa"/>
            <w:tcBorders>
              <w:bottom w:val="single" w:sz="4" w:space="0" w:color="000000"/>
            </w:tcBorders>
          </w:tcPr>
          <w:p w14:paraId="141DB299" w14:textId="77777777" w:rsidR="00E76D85" w:rsidRPr="00010D4F" w:rsidRDefault="00E76D85" w:rsidP="007A0528">
            <w:pPr>
              <w:widowControl w:val="0"/>
              <w:ind w:left="-113"/>
              <w:jc w:val="right"/>
              <w:rPr>
                <w:b/>
                <w:color w:val="0000FF"/>
              </w:rPr>
            </w:pPr>
            <w:r w:rsidRPr="00010D4F">
              <w:rPr>
                <w:b/>
                <w:color w:val="0000FF"/>
              </w:rPr>
              <w:t>Segment 1</w:t>
            </w:r>
          </w:p>
        </w:tc>
        <w:tc>
          <w:tcPr>
            <w:tcW w:w="1170" w:type="dxa"/>
            <w:tcBorders>
              <w:bottom w:val="single" w:sz="4" w:space="0" w:color="000000"/>
            </w:tcBorders>
          </w:tcPr>
          <w:p w14:paraId="525941EA" w14:textId="77777777" w:rsidR="00E76D85" w:rsidRPr="00010D4F" w:rsidRDefault="00E76D85" w:rsidP="007A0528">
            <w:pPr>
              <w:widowControl w:val="0"/>
              <w:ind w:left="-113"/>
              <w:jc w:val="right"/>
              <w:rPr>
                <w:b/>
                <w:color w:val="0000FF"/>
              </w:rPr>
            </w:pPr>
            <w:r w:rsidRPr="00010D4F">
              <w:rPr>
                <w:b/>
                <w:color w:val="0000FF"/>
              </w:rPr>
              <w:t>Segment 2</w:t>
            </w:r>
          </w:p>
        </w:tc>
        <w:tc>
          <w:tcPr>
            <w:tcW w:w="1080" w:type="dxa"/>
            <w:tcBorders>
              <w:bottom w:val="single" w:sz="4" w:space="0" w:color="000000"/>
            </w:tcBorders>
          </w:tcPr>
          <w:p w14:paraId="45429FE6" w14:textId="77777777" w:rsidR="00E76D85" w:rsidRPr="00010D4F" w:rsidRDefault="00E76D85" w:rsidP="007A0528">
            <w:pPr>
              <w:widowControl w:val="0"/>
              <w:ind w:left="-113"/>
              <w:jc w:val="right"/>
              <w:rPr>
                <w:b/>
                <w:color w:val="0000FF"/>
              </w:rPr>
            </w:pPr>
            <w:r w:rsidRPr="00010D4F">
              <w:rPr>
                <w:b/>
                <w:color w:val="0000FF"/>
              </w:rPr>
              <w:t>Segment 3</w:t>
            </w:r>
          </w:p>
        </w:tc>
        <w:tc>
          <w:tcPr>
            <w:tcW w:w="720" w:type="dxa"/>
            <w:tcBorders>
              <w:bottom w:val="single" w:sz="4" w:space="0" w:color="000000"/>
            </w:tcBorders>
          </w:tcPr>
          <w:p w14:paraId="27FD17FE" w14:textId="77777777" w:rsidR="00E76D85" w:rsidRPr="007A0528" w:rsidRDefault="00E76D85" w:rsidP="007A0528">
            <w:pPr>
              <w:widowControl w:val="0"/>
              <w:ind w:left="-113"/>
              <w:jc w:val="right"/>
              <w:rPr>
                <w:b/>
              </w:rPr>
            </w:pPr>
            <w:r w:rsidRPr="007A0528">
              <w:rPr>
                <w:b/>
              </w:rPr>
              <w:t>Other</w:t>
            </w:r>
          </w:p>
        </w:tc>
        <w:tc>
          <w:tcPr>
            <w:tcW w:w="1260" w:type="dxa"/>
            <w:tcBorders>
              <w:bottom w:val="single" w:sz="4" w:space="0" w:color="000000"/>
            </w:tcBorders>
          </w:tcPr>
          <w:p w14:paraId="338E3228" w14:textId="6D8A30D2" w:rsidR="00E76D85" w:rsidRPr="007A0528" w:rsidRDefault="00E76D85" w:rsidP="007A0528">
            <w:pPr>
              <w:widowControl w:val="0"/>
              <w:ind w:left="-113"/>
              <w:jc w:val="right"/>
              <w:rPr>
                <w:b/>
              </w:rPr>
            </w:pPr>
            <w:r w:rsidRPr="007A0528">
              <w:rPr>
                <w:b/>
              </w:rPr>
              <w:t>Eliminations</w:t>
            </w:r>
          </w:p>
        </w:tc>
        <w:tc>
          <w:tcPr>
            <w:tcW w:w="720" w:type="dxa"/>
            <w:tcBorders>
              <w:bottom w:val="single" w:sz="4" w:space="0" w:color="000000"/>
            </w:tcBorders>
          </w:tcPr>
          <w:p w14:paraId="7126FBEC" w14:textId="77777777" w:rsidR="00E76D85" w:rsidRPr="007A0528" w:rsidRDefault="00E76D85" w:rsidP="007A0528">
            <w:pPr>
              <w:widowControl w:val="0"/>
              <w:ind w:left="-113"/>
              <w:jc w:val="right"/>
              <w:rPr>
                <w:b/>
              </w:rPr>
            </w:pPr>
            <w:r w:rsidRPr="007A0528">
              <w:rPr>
                <w:b/>
              </w:rPr>
              <w:t>Total</w:t>
            </w:r>
          </w:p>
        </w:tc>
      </w:tr>
      <w:tr w:rsidR="00E76D85" w:rsidRPr="00344DF9" w14:paraId="4086B7DE" w14:textId="77777777" w:rsidTr="00150BDF">
        <w:trPr>
          <w:cantSplit/>
        </w:trPr>
        <w:tc>
          <w:tcPr>
            <w:tcW w:w="2430" w:type="dxa"/>
            <w:tcBorders>
              <w:top w:val="single" w:sz="4" w:space="0" w:color="000000"/>
            </w:tcBorders>
            <w:vAlign w:val="bottom"/>
          </w:tcPr>
          <w:p w14:paraId="5C7BFD64" w14:textId="77777777" w:rsidR="00E76D85" w:rsidRPr="007A0528" w:rsidRDefault="00E76D85" w:rsidP="007A0528">
            <w:pPr>
              <w:widowControl w:val="0"/>
              <w:ind w:left="113" w:right="-57" w:hanging="113"/>
              <w:rPr>
                <w:b/>
              </w:rPr>
            </w:pPr>
            <w:r w:rsidRPr="007A0528">
              <w:rPr>
                <w:b/>
              </w:rPr>
              <w:t> </w:t>
            </w:r>
          </w:p>
        </w:tc>
        <w:tc>
          <w:tcPr>
            <w:tcW w:w="1530" w:type="dxa"/>
            <w:tcBorders>
              <w:top w:val="single" w:sz="4" w:space="0" w:color="000000"/>
            </w:tcBorders>
            <w:vAlign w:val="bottom"/>
          </w:tcPr>
          <w:p w14:paraId="1BB4DAE5" w14:textId="77777777" w:rsidR="00E76D85" w:rsidRPr="007A0528" w:rsidRDefault="00E76D85" w:rsidP="007A0528">
            <w:pPr>
              <w:widowControl w:val="0"/>
              <w:jc w:val="right"/>
            </w:pPr>
          </w:p>
        </w:tc>
        <w:tc>
          <w:tcPr>
            <w:tcW w:w="1170" w:type="dxa"/>
            <w:tcBorders>
              <w:top w:val="single" w:sz="4" w:space="0" w:color="000000"/>
            </w:tcBorders>
            <w:vAlign w:val="bottom"/>
          </w:tcPr>
          <w:p w14:paraId="043E3672" w14:textId="77777777" w:rsidR="00E76D85" w:rsidRPr="007A0528" w:rsidRDefault="00E76D85" w:rsidP="007A0528">
            <w:pPr>
              <w:widowControl w:val="0"/>
              <w:jc w:val="right"/>
            </w:pPr>
          </w:p>
        </w:tc>
        <w:tc>
          <w:tcPr>
            <w:tcW w:w="1080" w:type="dxa"/>
            <w:tcBorders>
              <w:top w:val="single" w:sz="4" w:space="0" w:color="000000"/>
            </w:tcBorders>
            <w:vAlign w:val="bottom"/>
          </w:tcPr>
          <w:p w14:paraId="61BB702E" w14:textId="77777777" w:rsidR="00E76D85" w:rsidRPr="007A0528" w:rsidRDefault="00E76D85" w:rsidP="007A0528">
            <w:pPr>
              <w:widowControl w:val="0"/>
              <w:jc w:val="right"/>
            </w:pPr>
          </w:p>
        </w:tc>
        <w:tc>
          <w:tcPr>
            <w:tcW w:w="720" w:type="dxa"/>
            <w:tcBorders>
              <w:top w:val="single" w:sz="4" w:space="0" w:color="000000"/>
            </w:tcBorders>
            <w:vAlign w:val="bottom"/>
          </w:tcPr>
          <w:p w14:paraId="6ECB7A76" w14:textId="77777777" w:rsidR="00E76D85" w:rsidRPr="007A0528" w:rsidRDefault="00E76D85" w:rsidP="007A0528">
            <w:pPr>
              <w:widowControl w:val="0"/>
              <w:jc w:val="right"/>
            </w:pPr>
          </w:p>
        </w:tc>
        <w:tc>
          <w:tcPr>
            <w:tcW w:w="1260" w:type="dxa"/>
            <w:tcBorders>
              <w:top w:val="single" w:sz="4" w:space="0" w:color="000000"/>
            </w:tcBorders>
            <w:vAlign w:val="bottom"/>
          </w:tcPr>
          <w:p w14:paraId="0F25F456" w14:textId="77777777" w:rsidR="00E76D85" w:rsidRPr="007A0528" w:rsidRDefault="00E76D85" w:rsidP="007A0528">
            <w:pPr>
              <w:widowControl w:val="0"/>
              <w:jc w:val="right"/>
            </w:pPr>
          </w:p>
        </w:tc>
        <w:tc>
          <w:tcPr>
            <w:tcW w:w="720" w:type="dxa"/>
            <w:tcBorders>
              <w:top w:val="single" w:sz="4" w:space="0" w:color="000000"/>
            </w:tcBorders>
            <w:vAlign w:val="bottom"/>
          </w:tcPr>
          <w:p w14:paraId="3E1B3746" w14:textId="77777777" w:rsidR="00E76D85" w:rsidRPr="007A0528" w:rsidRDefault="00E76D85" w:rsidP="007A0528">
            <w:pPr>
              <w:widowControl w:val="0"/>
              <w:jc w:val="right"/>
            </w:pPr>
          </w:p>
        </w:tc>
      </w:tr>
      <w:tr w:rsidR="00E76D85" w:rsidRPr="00344DF9" w14:paraId="745E23AF" w14:textId="77777777" w:rsidTr="00150BDF">
        <w:trPr>
          <w:cantSplit/>
        </w:trPr>
        <w:tc>
          <w:tcPr>
            <w:tcW w:w="2430" w:type="dxa"/>
            <w:vAlign w:val="bottom"/>
          </w:tcPr>
          <w:p w14:paraId="0B4893F2" w14:textId="065B7D5F" w:rsidR="00E76D85" w:rsidRPr="007A0528" w:rsidRDefault="00E76D85" w:rsidP="007A0528">
            <w:pPr>
              <w:widowControl w:val="0"/>
              <w:ind w:left="113" w:right="-57" w:hanging="113"/>
              <w:rPr>
                <w:b/>
              </w:rPr>
            </w:pPr>
            <w:r w:rsidRPr="007A0528">
              <w:rPr>
                <w:b/>
              </w:rPr>
              <w:t>202</w:t>
            </w:r>
            <w:r>
              <w:rPr>
                <w:b/>
              </w:rPr>
              <w:t>4</w:t>
            </w:r>
          </w:p>
        </w:tc>
        <w:tc>
          <w:tcPr>
            <w:tcW w:w="1530" w:type="dxa"/>
            <w:vAlign w:val="bottom"/>
          </w:tcPr>
          <w:p w14:paraId="7A606BA6" w14:textId="77777777" w:rsidR="00E76D85" w:rsidRPr="007A0528" w:rsidRDefault="00E76D85" w:rsidP="007A0528">
            <w:pPr>
              <w:widowControl w:val="0"/>
              <w:jc w:val="right"/>
            </w:pPr>
          </w:p>
        </w:tc>
        <w:tc>
          <w:tcPr>
            <w:tcW w:w="1170" w:type="dxa"/>
            <w:vAlign w:val="bottom"/>
          </w:tcPr>
          <w:p w14:paraId="600EBD1C" w14:textId="77777777" w:rsidR="00E76D85" w:rsidRPr="007A0528" w:rsidRDefault="00E76D85" w:rsidP="007A0528">
            <w:pPr>
              <w:widowControl w:val="0"/>
              <w:jc w:val="right"/>
            </w:pPr>
          </w:p>
        </w:tc>
        <w:tc>
          <w:tcPr>
            <w:tcW w:w="1080" w:type="dxa"/>
            <w:vAlign w:val="bottom"/>
          </w:tcPr>
          <w:p w14:paraId="3079B41D" w14:textId="77777777" w:rsidR="00E76D85" w:rsidRPr="007A0528" w:rsidRDefault="00E76D85" w:rsidP="007A0528">
            <w:pPr>
              <w:widowControl w:val="0"/>
              <w:jc w:val="right"/>
            </w:pPr>
          </w:p>
        </w:tc>
        <w:tc>
          <w:tcPr>
            <w:tcW w:w="720" w:type="dxa"/>
            <w:vAlign w:val="bottom"/>
          </w:tcPr>
          <w:p w14:paraId="47FF8750" w14:textId="77777777" w:rsidR="00E76D85" w:rsidRPr="007A0528" w:rsidRDefault="00E76D85" w:rsidP="007A0528">
            <w:pPr>
              <w:widowControl w:val="0"/>
              <w:jc w:val="right"/>
            </w:pPr>
          </w:p>
        </w:tc>
        <w:tc>
          <w:tcPr>
            <w:tcW w:w="1260" w:type="dxa"/>
            <w:vAlign w:val="bottom"/>
          </w:tcPr>
          <w:p w14:paraId="30F6EC8B" w14:textId="77777777" w:rsidR="00E76D85" w:rsidRPr="007A0528" w:rsidRDefault="00E76D85" w:rsidP="007A0528">
            <w:pPr>
              <w:widowControl w:val="0"/>
              <w:jc w:val="right"/>
            </w:pPr>
          </w:p>
        </w:tc>
        <w:tc>
          <w:tcPr>
            <w:tcW w:w="720" w:type="dxa"/>
            <w:vAlign w:val="bottom"/>
          </w:tcPr>
          <w:p w14:paraId="0BDD5A3B" w14:textId="77777777" w:rsidR="00E76D85" w:rsidRPr="007A0528" w:rsidRDefault="00E76D85" w:rsidP="007A0528">
            <w:pPr>
              <w:widowControl w:val="0"/>
              <w:jc w:val="right"/>
            </w:pPr>
          </w:p>
        </w:tc>
      </w:tr>
      <w:tr w:rsidR="00E76D85" w:rsidRPr="00344DF9" w14:paraId="79E31048" w14:textId="77777777" w:rsidTr="00150BDF">
        <w:trPr>
          <w:cantSplit/>
        </w:trPr>
        <w:tc>
          <w:tcPr>
            <w:tcW w:w="2430" w:type="dxa"/>
            <w:vAlign w:val="bottom"/>
          </w:tcPr>
          <w:p w14:paraId="5A8BD893" w14:textId="77777777" w:rsidR="00E76D85" w:rsidRPr="007A0528" w:rsidRDefault="00E76D85" w:rsidP="007A0528">
            <w:pPr>
              <w:widowControl w:val="0"/>
              <w:pBdr>
                <w:top w:val="nil"/>
                <w:left w:val="nil"/>
                <w:bottom w:val="nil"/>
                <w:right w:val="nil"/>
                <w:between w:val="nil"/>
              </w:pBdr>
              <w:ind w:left="113" w:right="-57" w:hanging="113"/>
            </w:pPr>
            <w:r w:rsidRPr="007A0528">
              <w:rPr>
                <w:b/>
              </w:rPr>
              <w:t> </w:t>
            </w:r>
          </w:p>
        </w:tc>
        <w:tc>
          <w:tcPr>
            <w:tcW w:w="1530" w:type="dxa"/>
            <w:vAlign w:val="bottom"/>
          </w:tcPr>
          <w:p w14:paraId="42005DBD" w14:textId="77777777" w:rsidR="00E76D85" w:rsidRPr="007A0528" w:rsidRDefault="00E76D85" w:rsidP="007A0528">
            <w:pPr>
              <w:widowControl w:val="0"/>
              <w:jc w:val="right"/>
            </w:pPr>
          </w:p>
        </w:tc>
        <w:tc>
          <w:tcPr>
            <w:tcW w:w="1170" w:type="dxa"/>
            <w:vAlign w:val="bottom"/>
          </w:tcPr>
          <w:p w14:paraId="2318E970" w14:textId="77777777" w:rsidR="00E76D85" w:rsidRPr="007A0528" w:rsidRDefault="00E76D85" w:rsidP="007A0528">
            <w:pPr>
              <w:widowControl w:val="0"/>
              <w:jc w:val="right"/>
            </w:pPr>
          </w:p>
        </w:tc>
        <w:tc>
          <w:tcPr>
            <w:tcW w:w="1080" w:type="dxa"/>
            <w:vAlign w:val="bottom"/>
          </w:tcPr>
          <w:p w14:paraId="0DC035FF" w14:textId="77777777" w:rsidR="00E76D85" w:rsidRPr="007A0528" w:rsidRDefault="00E76D85" w:rsidP="007A0528">
            <w:pPr>
              <w:widowControl w:val="0"/>
              <w:jc w:val="right"/>
            </w:pPr>
          </w:p>
        </w:tc>
        <w:tc>
          <w:tcPr>
            <w:tcW w:w="720" w:type="dxa"/>
            <w:vAlign w:val="bottom"/>
          </w:tcPr>
          <w:p w14:paraId="21E435FB" w14:textId="77777777" w:rsidR="00E76D85" w:rsidRPr="007A0528" w:rsidRDefault="00E76D85" w:rsidP="007A0528">
            <w:pPr>
              <w:widowControl w:val="0"/>
              <w:jc w:val="right"/>
            </w:pPr>
          </w:p>
        </w:tc>
        <w:tc>
          <w:tcPr>
            <w:tcW w:w="1260" w:type="dxa"/>
            <w:vAlign w:val="bottom"/>
          </w:tcPr>
          <w:p w14:paraId="4AF79674" w14:textId="77777777" w:rsidR="00E76D85" w:rsidRPr="007A0528" w:rsidRDefault="00E76D85" w:rsidP="007A0528">
            <w:pPr>
              <w:widowControl w:val="0"/>
              <w:jc w:val="right"/>
            </w:pPr>
          </w:p>
        </w:tc>
        <w:tc>
          <w:tcPr>
            <w:tcW w:w="720" w:type="dxa"/>
            <w:vAlign w:val="bottom"/>
          </w:tcPr>
          <w:p w14:paraId="1753C9CB" w14:textId="77777777" w:rsidR="00E76D85" w:rsidRPr="007A0528" w:rsidRDefault="00E76D85" w:rsidP="007A0528">
            <w:pPr>
              <w:widowControl w:val="0"/>
              <w:jc w:val="right"/>
            </w:pPr>
          </w:p>
        </w:tc>
      </w:tr>
      <w:tr w:rsidR="00E76D85" w:rsidRPr="00344DF9" w14:paraId="1BCAF360" w14:textId="77777777" w:rsidTr="00150BDF">
        <w:trPr>
          <w:cantSplit/>
        </w:trPr>
        <w:tc>
          <w:tcPr>
            <w:tcW w:w="2430" w:type="dxa"/>
            <w:vAlign w:val="bottom"/>
          </w:tcPr>
          <w:p w14:paraId="16F4A47A" w14:textId="77777777" w:rsidR="00E76D85" w:rsidRPr="007A0528" w:rsidRDefault="00E76D85" w:rsidP="007A0528">
            <w:pPr>
              <w:widowControl w:val="0"/>
              <w:pBdr>
                <w:top w:val="nil"/>
                <w:left w:val="nil"/>
                <w:bottom w:val="nil"/>
                <w:right w:val="nil"/>
                <w:between w:val="nil"/>
              </w:pBdr>
              <w:ind w:left="113" w:right="-57" w:hanging="113"/>
            </w:pPr>
            <w:r w:rsidRPr="007A0528">
              <w:t>External revenues</w:t>
            </w:r>
          </w:p>
        </w:tc>
        <w:tc>
          <w:tcPr>
            <w:tcW w:w="1530" w:type="dxa"/>
            <w:vAlign w:val="bottom"/>
          </w:tcPr>
          <w:p w14:paraId="42569BC9" w14:textId="77777777" w:rsidR="00E76D85" w:rsidRPr="007A0528" w:rsidRDefault="00E76D85" w:rsidP="007A0528">
            <w:pPr>
              <w:widowControl w:val="0"/>
              <w:jc w:val="right"/>
            </w:pPr>
          </w:p>
        </w:tc>
        <w:tc>
          <w:tcPr>
            <w:tcW w:w="1170" w:type="dxa"/>
            <w:vAlign w:val="bottom"/>
          </w:tcPr>
          <w:p w14:paraId="0FA34218" w14:textId="77777777" w:rsidR="00E76D85" w:rsidRPr="007A0528" w:rsidRDefault="00E76D85" w:rsidP="007A0528">
            <w:pPr>
              <w:widowControl w:val="0"/>
              <w:jc w:val="right"/>
            </w:pPr>
          </w:p>
        </w:tc>
        <w:tc>
          <w:tcPr>
            <w:tcW w:w="1080" w:type="dxa"/>
            <w:vAlign w:val="bottom"/>
          </w:tcPr>
          <w:p w14:paraId="052B3E8E" w14:textId="77777777" w:rsidR="00E76D85" w:rsidRPr="007A0528" w:rsidRDefault="00E76D85" w:rsidP="007A0528">
            <w:pPr>
              <w:widowControl w:val="0"/>
              <w:jc w:val="right"/>
            </w:pPr>
          </w:p>
        </w:tc>
        <w:tc>
          <w:tcPr>
            <w:tcW w:w="720" w:type="dxa"/>
            <w:vAlign w:val="bottom"/>
          </w:tcPr>
          <w:p w14:paraId="670B8B06" w14:textId="77777777" w:rsidR="00E76D85" w:rsidRPr="007A0528" w:rsidRDefault="00E76D85" w:rsidP="007A0528">
            <w:pPr>
              <w:widowControl w:val="0"/>
              <w:jc w:val="right"/>
            </w:pPr>
          </w:p>
        </w:tc>
        <w:tc>
          <w:tcPr>
            <w:tcW w:w="1260" w:type="dxa"/>
            <w:vAlign w:val="bottom"/>
          </w:tcPr>
          <w:p w14:paraId="40E16349" w14:textId="77777777" w:rsidR="00E76D85" w:rsidRPr="007A0528" w:rsidRDefault="00E76D85" w:rsidP="007A0528">
            <w:pPr>
              <w:widowControl w:val="0"/>
              <w:jc w:val="right"/>
            </w:pPr>
          </w:p>
        </w:tc>
        <w:tc>
          <w:tcPr>
            <w:tcW w:w="720" w:type="dxa"/>
            <w:vAlign w:val="bottom"/>
          </w:tcPr>
          <w:p w14:paraId="21AAB5E6" w14:textId="77777777" w:rsidR="00E76D85" w:rsidRPr="007A0528" w:rsidRDefault="00E76D85" w:rsidP="007A0528">
            <w:pPr>
              <w:widowControl w:val="0"/>
              <w:jc w:val="right"/>
            </w:pPr>
          </w:p>
        </w:tc>
      </w:tr>
      <w:tr w:rsidR="00E76D85" w:rsidRPr="00344DF9" w14:paraId="0E320BA8" w14:textId="77777777" w:rsidTr="00150BDF">
        <w:trPr>
          <w:cantSplit/>
        </w:trPr>
        <w:tc>
          <w:tcPr>
            <w:tcW w:w="2430" w:type="dxa"/>
            <w:vAlign w:val="bottom"/>
          </w:tcPr>
          <w:p w14:paraId="53E7776D" w14:textId="77777777" w:rsidR="00E76D85" w:rsidRPr="007A0528" w:rsidRDefault="00E76D85" w:rsidP="007A0528">
            <w:pPr>
              <w:widowControl w:val="0"/>
              <w:pBdr>
                <w:top w:val="nil"/>
                <w:left w:val="nil"/>
                <w:bottom w:val="nil"/>
                <w:right w:val="nil"/>
                <w:between w:val="nil"/>
              </w:pBdr>
              <w:ind w:left="113" w:right="-57" w:hanging="113"/>
            </w:pPr>
            <w:r w:rsidRPr="007A0528">
              <w:t>- Revenues from core activities</w:t>
            </w:r>
          </w:p>
        </w:tc>
        <w:tc>
          <w:tcPr>
            <w:tcW w:w="1530" w:type="dxa"/>
            <w:vAlign w:val="bottom"/>
          </w:tcPr>
          <w:p w14:paraId="71DD6A5C" w14:textId="77777777" w:rsidR="00E76D85" w:rsidRPr="007A0528" w:rsidRDefault="00E76D85" w:rsidP="007A0528">
            <w:pPr>
              <w:widowControl w:val="0"/>
              <w:jc w:val="right"/>
            </w:pPr>
          </w:p>
        </w:tc>
        <w:tc>
          <w:tcPr>
            <w:tcW w:w="1170" w:type="dxa"/>
            <w:vAlign w:val="bottom"/>
          </w:tcPr>
          <w:p w14:paraId="56463C7D" w14:textId="77777777" w:rsidR="00E76D85" w:rsidRPr="007A0528" w:rsidRDefault="00E76D85" w:rsidP="007A0528">
            <w:pPr>
              <w:widowControl w:val="0"/>
              <w:jc w:val="right"/>
            </w:pPr>
          </w:p>
        </w:tc>
        <w:tc>
          <w:tcPr>
            <w:tcW w:w="1080" w:type="dxa"/>
            <w:vAlign w:val="bottom"/>
          </w:tcPr>
          <w:p w14:paraId="5F8B64FE" w14:textId="77777777" w:rsidR="00E76D85" w:rsidRPr="007A0528" w:rsidRDefault="00E76D85" w:rsidP="007A0528">
            <w:pPr>
              <w:widowControl w:val="0"/>
              <w:jc w:val="right"/>
            </w:pPr>
          </w:p>
        </w:tc>
        <w:tc>
          <w:tcPr>
            <w:tcW w:w="720" w:type="dxa"/>
            <w:vAlign w:val="bottom"/>
          </w:tcPr>
          <w:p w14:paraId="01AE5F76" w14:textId="77777777" w:rsidR="00E76D85" w:rsidRPr="007A0528" w:rsidRDefault="00E76D85" w:rsidP="007A0528">
            <w:pPr>
              <w:widowControl w:val="0"/>
              <w:jc w:val="right"/>
            </w:pPr>
          </w:p>
        </w:tc>
        <w:tc>
          <w:tcPr>
            <w:tcW w:w="1260" w:type="dxa"/>
            <w:vAlign w:val="bottom"/>
          </w:tcPr>
          <w:p w14:paraId="1990D6A9" w14:textId="77777777" w:rsidR="00E76D85" w:rsidRPr="007A0528" w:rsidRDefault="00E76D85" w:rsidP="007A0528">
            <w:pPr>
              <w:widowControl w:val="0"/>
              <w:jc w:val="right"/>
            </w:pPr>
          </w:p>
        </w:tc>
        <w:tc>
          <w:tcPr>
            <w:tcW w:w="720" w:type="dxa"/>
            <w:vAlign w:val="bottom"/>
          </w:tcPr>
          <w:p w14:paraId="6487CBFD" w14:textId="77777777" w:rsidR="00E76D85" w:rsidRPr="007A0528" w:rsidRDefault="00E76D85" w:rsidP="007A0528">
            <w:pPr>
              <w:widowControl w:val="0"/>
              <w:jc w:val="right"/>
            </w:pPr>
          </w:p>
        </w:tc>
      </w:tr>
      <w:tr w:rsidR="00E76D85" w:rsidRPr="00344DF9" w14:paraId="4F78E948" w14:textId="77777777" w:rsidTr="00150BDF">
        <w:trPr>
          <w:cantSplit/>
        </w:trPr>
        <w:tc>
          <w:tcPr>
            <w:tcW w:w="2430" w:type="dxa"/>
            <w:vAlign w:val="bottom"/>
          </w:tcPr>
          <w:p w14:paraId="30F5DC10" w14:textId="77777777" w:rsidR="00E76D85" w:rsidRPr="007A0528" w:rsidRDefault="00E76D85" w:rsidP="007A0528">
            <w:pPr>
              <w:widowControl w:val="0"/>
              <w:pBdr>
                <w:top w:val="nil"/>
                <w:left w:val="nil"/>
                <w:bottom w:val="nil"/>
                <w:right w:val="nil"/>
                <w:between w:val="nil"/>
              </w:pBdr>
              <w:ind w:left="113" w:right="-57" w:hanging="113"/>
            </w:pPr>
            <w:r w:rsidRPr="007A0528">
              <w:t>- Interest income</w:t>
            </w:r>
          </w:p>
        </w:tc>
        <w:tc>
          <w:tcPr>
            <w:tcW w:w="1530" w:type="dxa"/>
            <w:vAlign w:val="bottom"/>
          </w:tcPr>
          <w:p w14:paraId="630815D8" w14:textId="77777777" w:rsidR="00E76D85" w:rsidRPr="007A0528" w:rsidRDefault="00E76D85" w:rsidP="007A0528">
            <w:pPr>
              <w:widowControl w:val="0"/>
              <w:jc w:val="right"/>
            </w:pPr>
          </w:p>
        </w:tc>
        <w:tc>
          <w:tcPr>
            <w:tcW w:w="1170" w:type="dxa"/>
            <w:vAlign w:val="bottom"/>
          </w:tcPr>
          <w:p w14:paraId="483AFCF9" w14:textId="77777777" w:rsidR="00E76D85" w:rsidRPr="007A0528" w:rsidRDefault="00E76D85" w:rsidP="007A0528">
            <w:pPr>
              <w:widowControl w:val="0"/>
              <w:jc w:val="right"/>
            </w:pPr>
          </w:p>
        </w:tc>
        <w:tc>
          <w:tcPr>
            <w:tcW w:w="1080" w:type="dxa"/>
            <w:vAlign w:val="bottom"/>
          </w:tcPr>
          <w:p w14:paraId="1A07BFD1" w14:textId="77777777" w:rsidR="00E76D85" w:rsidRPr="007A0528" w:rsidRDefault="00E76D85" w:rsidP="007A0528">
            <w:pPr>
              <w:widowControl w:val="0"/>
              <w:jc w:val="right"/>
            </w:pPr>
          </w:p>
        </w:tc>
        <w:tc>
          <w:tcPr>
            <w:tcW w:w="720" w:type="dxa"/>
            <w:vAlign w:val="bottom"/>
          </w:tcPr>
          <w:p w14:paraId="365662DC" w14:textId="77777777" w:rsidR="00E76D85" w:rsidRPr="007A0528" w:rsidRDefault="00E76D85" w:rsidP="007A0528">
            <w:pPr>
              <w:widowControl w:val="0"/>
              <w:jc w:val="right"/>
            </w:pPr>
          </w:p>
        </w:tc>
        <w:tc>
          <w:tcPr>
            <w:tcW w:w="1260" w:type="dxa"/>
            <w:vAlign w:val="bottom"/>
          </w:tcPr>
          <w:p w14:paraId="2B1B52A9" w14:textId="77777777" w:rsidR="00E76D85" w:rsidRPr="007A0528" w:rsidRDefault="00E76D85" w:rsidP="007A0528">
            <w:pPr>
              <w:widowControl w:val="0"/>
              <w:jc w:val="right"/>
            </w:pPr>
          </w:p>
        </w:tc>
        <w:tc>
          <w:tcPr>
            <w:tcW w:w="720" w:type="dxa"/>
            <w:vAlign w:val="bottom"/>
          </w:tcPr>
          <w:p w14:paraId="523EF4D6" w14:textId="77777777" w:rsidR="00E76D85" w:rsidRPr="007A0528" w:rsidRDefault="00E76D85" w:rsidP="007A0528">
            <w:pPr>
              <w:widowControl w:val="0"/>
              <w:jc w:val="right"/>
            </w:pPr>
          </w:p>
        </w:tc>
      </w:tr>
      <w:tr w:rsidR="00E76D85" w:rsidRPr="00344DF9" w14:paraId="71E9B628" w14:textId="77777777" w:rsidTr="00150BDF">
        <w:trPr>
          <w:cantSplit/>
        </w:trPr>
        <w:tc>
          <w:tcPr>
            <w:tcW w:w="2430" w:type="dxa"/>
            <w:vAlign w:val="bottom"/>
          </w:tcPr>
          <w:p w14:paraId="6C9A5EDF" w14:textId="77777777" w:rsidR="00E76D85" w:rsidRPr="007A0528" w:rsidRDefault="00E76D85" w:rsidP="007A0528">
            <w:pPr>
              <w:widowControl w:val="0"/>
              <w:pBdr>
                <w:top w:val="nil"/>
                <w:left w:val="nil"/>
                <w:bottom w:val="nil"/>
                <w:right w:val="nil"/>
                <w:between w:val="nil"/>
              </w:pBdr>
              <w:ind w:left="113" w:right="-57" w:hanging="113"/>
            </w:pPr>
            <w:r w:rsidRPr="007A0528">
              <w:t>- Other income</w:t>
            </w:r>
          </w:p>
        </w:tc>
        <w:tc>
          <w:tcPr>
            <w:tcW w:w="1530" w:type="dxa"/>
            <w:vAlign w:val="bottom"/>
          </w:tcPr>
          <w:p w14:paraId="79368A8B" w14:textId="77777777" w:rsidR="00E76D85" w:rsidRPr="007A0528" w:rsidRDefault="00E76D85" w:rsidP="007A0528">
            <w:pPr>
              <w:widowControl w:val="0"/>
              <w:jc w:val="right"/>
            </w:pPr>
          </w:p>
        </w:tc>
        <w:tc>
          <w:tcPr>
            <w:tcW w:w="1170" w:type="dxa"/>
            <w:vAlign w:val="bottom"/>
          </w:tcPr>
          <w:p w14:paraId="3C6DE850" w14:textId="77777777" w:rsidR="00E76D85" w:rsidRPr="007A0528" w:rsidRDefault="00E76D85" w:rsidP="007A0528">
            <w:pPr>
              <w:widowControl w:val="0"/>
              <w:jc w:val="right"/>
            </w:pPr>
          </w:p>
        </w:tc>
        <w:tc>
          <w:tcPr>
            <w:tcW w:w="1080" w:type="dxa"/>
            <w:vAlign w:val="bottom"/>
          </w:tcPr>
          <w:p w14:paraId="5F761B9A" w14:textId="77777777" w:rsidR="00E76D85" w:rsidRPr="007A0528" w:rsidRDefault="00E76D85" w:rsidP="007A0528">
            <w:pPr>
              <w:widowControl w:val="0"/>
              <w:jc w:val="right"/>
            </w:pPr>
          </w:p>
        </w:tc>
        <w:tc>
          <w:tcPr>
            <w:tcW w:w="720" w:type="dxa"/>
            <w:vAlign w:val="bottom"/>
          </w:tcPr>
          <w:p w14:paraId="510DDB48" w14:textId="77777777" w:rsidR="00E76D85" w:rsidRPr="007A0528" w:rsidRDefault="00E76D85" w:rsidP="007A0528">
            <w:pPr>
              <w:widowControl w:val="0"/>
              <w:jc w:val="right"/>
            </w:pPr>
          </w:p>
        </w:tc>
        <w:tc>
          <w:tcPr>
            <w:tcW w:w="1260" w:type="dxa"/>
            <w:vAlign w:val="bottom"/>
          </w:tcPr>
          <w:p w14:paraId="1BA2280F" w14:textId="77777777" w:rsidR="00E76D85" w:rsidRPr="007A0528" w:rsidRDefault="00E76D85" w:rsidP="007A0528">
            <w:pPr>
              <w:widowControl w:val="0"/>
              <w:jc w:val="right"/>
            </w:pPr>
          </w:p>
        </w:tc>
        <w:tc>
          <w:tcPr>
            <w:tcW w:w="720" w:type="dxa"/>
            <w:vAlign w:val="bottom"/>
          </w:tcPr>
          <w:p w14:paraId="36E78531" w14:textId="77777777" w:rsidR="00E76D85" w:rsidRPr="007A0528" w:rsidRDefault="00E76D85" w:rsidP="007A0528">
            <w:pPr>
              <w:widowControl w:val="0"/>
              <w:jc w:val="right"/>
            </w:pPr>
          </w:p>
        </w:tc>
      </w:tr>
      <w:tr w:rsidR="00E76D85" w:rsidRPr="00344DF9" w14:paraId="400F8EDF" w14:textId="77777777" w:rsidTr="00150BDF">
        <w:trPr>
          <w:cantSplit/>
        </w:trPr>
        <w:tc>
          <w:tcPr>
            <w:tcW w:w="2430" w:type="dxa"/>
            <w:vAlign w:val="bottom"/>
          </w:tcPr>
          <w:p w14:paraId="2DFE067B" w14:textId="77777777" w:rsidR="00E76D85" w:rsidRPr="007A0528" w:rsidRDefault="00E76D85" w:rsidP="007A0528">
            <w:pPr>
              <w:widowControl w:val="0"/>
              <w:pBdr>
                <w:top w:val="nil"/>
                <w:left w:val="nil"/>
                <w:bottom w:val="nil"/>
                <w:right w:val="nil"/>
                <w:between w:val="nil"/>
              </w:pBdr>
              <w:ind w:left="113" w:right="-57" w:hanging="113"/>
            </w:pPr>
            <w:r w:rsidRPr="007A0528">
              <w:rPr>
                <w:b/>
              </w:rPr>
              <w:t> </w:t>
            </w:r>
          </w:p>
        </w:tc>
        <w:tc>
          <w:tcPr>
            <w:tcW w:w="1530" w:type="dxa"/>
            <w:vAlign w:val="bottom"/>
          </w:tcPr>
          <w:p w14:paraId="054B7088" w14:textId="77777777" w:rsidR="00E76D85" w:rsidRPr="007A0528" w:rsidRDefault="00E76D85" w:rsidP="007A0528">
            <w:pPr>
              <w:widowControl w:val="0"/>
              <w:jc w:val="right"/>
            </w:pPr>
          </w:p>
        </w:tc>
        <w:tc>
          <w:tcPr>
            <w:tcW w:w="1170" w:type="dxa"/>
            <w:vAlign w:val="bottom"/>
          </w:tcPr>
          <w:p w14:paraId="3A28CEB3" w14:textId="77777777" w:rsidR="00E76D85" w:rsidRPr="007A0528" w:rsidRDefault="00E76D85" w:rsidP="007A0528">
            <w:pPr>
              <w:widowControl w:val="0"/>
              <w:jc w:val="right"/>
            </w:pPr>
          </w:p>
        </w:tc>
        <w:tc>
          <w:tcPr>
            <w:tcW w:w="1080" w:type="dxa"/>
            <w:vAlign w:val="bottom"/>
          </w:tcPr>
          <w:p w14:paraId="4A8E72D5" w14:textId="77777777" w:rsidR="00E76D85" w:rsidRPr="007A0528" w:rsidRDefault="00E76D85" w:rsidP="007A0528">
            <w:pPr>
              <w:widowControl w:val="0"/>
              <w:jc w:val="right"/>
            </w:pPr>
          </w:p>
        </w:tc>
        <w:tc>
          <w:tcPr>
            <w:tcW w:w="720" w:type="dxa"/>
            <w:vAlign w:val="bottom"/>
          </w:tcPr>
          <w:p w14:paraId="55D82BFF" w14:textId="77777777" w:rsidR="00E76D85" w:rsidRPr="007A0528" w:rsidRDefault="00E76D85" w:rsidP="007A0528">
            <w:pPr>
              <w:widowControl w:val="0"/>
              <w:jc w:val="right"/>
            </w:pPr>
          </w:p>
        </w:tc>
        <w:tc>
          <w:tcPr>
            <w:tcW w:w="1260" w:type="dxa"/>
            <w:vAlign w:val="bottom"/>
          </w:tcPr>
          <w:p w14:paraId="611CAE93" w14:textId="77777777" w:rsidR="00E76D85" w:rsidRPr="007A0528" w:rsidRDefault="00E76D85" w:rsidP="007A0528">
            <w:pPr>
              <w:widowControl w:val="0"/>
              <w:jc w:val="right"/>
            </w:pPr>
          </w:p>
        </w:tc>
        <w:tc>
          <w:tcPr>
            <w:tcW w:w="720" w:type="dxa"/>
            <w:vAlign w:val="bottom"/>
          </w:tcPr>
          <w:p w14:paraId="24622E8C" w14:textId="77777777" w:rsidR="00E76D85" w:rsidRPr="007A0528" w:rsidRDefault="00E76D85" w:rsidP="007A0528">
            <w:pPr>
              <w:widowControl w:val="0"/>
              <w:jc w:val="right"/>
            </w:pPr>
          </w:p>
        </w:tc>
      </w:tr>
      <w:tr w:rsidR="00E76D85" w:rsidRPr="00344DF9" w14:paraId="2638A65D" w14:textId="77777777" w:rsidTr="00150BDF">
        <w:trPr>
          <w:cantSplit/>
        </w:trPr>
        <w:tc>
          <w:tcPr>
            <w:tcW w:w="2430" w:type="dxa"/>
            <w:vAlign w:val="bottom"/>
          </w:tcPr>
          <w:p w14:paraId="2FE8DE13" w14:textId="77777777" w:rsidR="00E76D85" w:rsidRPr="007A0528" w:rsidRDefault="00E76D85" w:rsidP="007A0528">
            <w:pPr>
              <w:widowControl w:val="0"/>
              <w:pBdr>
                <w:top w:val="nil"/>
                <w:left w:val="nil"/>
                <w:bottom w:val="nil"/>
                <w:right w:val="nil"/>
                <w:between w:val="nil"/>
              </w:pBdr>
              <w:ind w:left="113" w:right="-57" w:hanging="113"/>
            </w:pPr>
            <w:r w:rsidRPr="007A0528">
              <w:t>Inter-segment revenues</w:t>
            </w:r>
          </w:p>
        </w:tc>
        <w:tc>
          <w:tcPr>
            <w:tcW w:w="1530" w:type="dxa"/>
            <w:vAlign w:val="bottom"/>
          </w:tcPr>
          <w:p w14:paraId="139C494F" w14:textId="77777777" w:rsidR="00E76D85" w:rsidRPr="007A0528" w:rsidRDefault="00E76D85" w:rsidP="007A0528">
            <w:pPr>
              <w:widowControl w:val="0"/>
              <w:jc w:val="right"/>
            </w:pPr>
          </w:p>
        </w:tc>
        <w:tc>
          <w:tcPr>
            <w:tcW w:w="1170" w:type="dxa"/>
            <w:vAlign w:val="bottom"/>
          </w:tcPr>
          <w:p w14:paraId="6DB51D55" w14:textId="77777777" w:rsidR="00E76D85" w:rsidRPr="007A0528" w:rsidRDefault="00E76D85" w:rsidP="007A0528">
            <w:pPr>
              <w:widowControl w:val="0"/>
              <w:jc w:val="right"/>
            </w:pPr>
          </w:p>
        </w:tc>
        <w:tc>
          <w:tcPr>
            <w:tcW w:w="1080" w:type="dxa"/>
            <w:vAlign w:val="bottom"/>
          </w:tcPr>
          <w:p w14:paraId="58334A93" w14:textId="77777777" w:rsidR="00E76D85" w:rsidRPr="007A0528" w:rsidRDefault="00E76D85" w:rsidP="007A0528">
            <w:pPr>
              <w:widowControl w:val="0"/>
              <w:jc w:val="right"/>
            </w:pPr>
          </w:p>
        </w:tc>
        <w:tc>
          <w:tcPr>
            <w:tcW w:w="720" w:type="dxa"/>
            <w:vAlign w:val="bottom"/>
          </w:tcPr>
          <w:p w14:paraId="42C0DD9E" w14:textId="77777777" w:rsidR="00E76D85" w:rsidRPr="007A0528" w:rsidRDefault="00E76D85" w:rsidP="007A0528">
            <w:pPr>
              <w:widowControl w:val="0"/>
              <w:jc w:val="right"/>
            </w:pPr>
          </w:p>
        </w:tc>
        <w:tc>
          <w:tcPr>
            <w:tcW w:w="1260" w:type="dxa"/>
            <w:vAlign w:val="bottom"/>
          </w:tcPr>
          <w:p w14:paraId="7C02C5AB" w14:textId="77777777" w:rsidR="00E76D85" w:rsidRPr="007A0528" w:rsidRDefault="00E76D85" w:rsidP="007A0528">
            <w:pPr>
              <w:widowControl w:val="0"/>
              <w:jc w:val="right"/>
            </w:pPr>
          </w:p>
        </w:tc>
        <w:tc>
          <w:tcPr>
            <w:tcW w:w="720" w:type="dxa"/>
            <w:vAlign w:val="bottom"/>
          </w:tcPr>
          <w:p w14:paraId="11663812" w14:textId="77777777" w:rsidR="00E76D85" w:rsidRPr="007A0528" w:rsidRDefault="00E76D85" w:rsidP="007A0528">
            <w:pPr>
              <w:widowControl w:val="0"/>
              <w:jc w:val="right"/>
            </w:pPr>
          </w:p>
        </w:tc>
      </w:tr>
      <w:tr w:rsidR="00E76D85" w:rsidRPr="00344DF9" w14:paraId="6F6BAB18" w14:textId="77777777" w:rsidTr="00150BDF">
        <w:trPr>
          <w:cantSplit/>
        </w:trPr>
        <w:tc>
          <w:tcPr>
            <w:tcW w:w="2430" w:type="dxa"/>
            <w:vAlign w:val="bottom"/>
          </w:tcPr>
          <w:p w14:paraId="6652FFDF" w14:textId="77777777" w:rsidR="00E76D85" w:rsidRPr="007A0528" w:rsidRDefault="00E76D85" w:rsidP="007A0528">
            <w:pPr>
              <w:widowControl w:val="0"/>
              <w:pBdr>
                <w:top w:val="nil"/>
                <w:left w:val="nil"/>
                <w:bottom w:val="nil"/>
                <w:right w:val="nil"/>
                <w:between w:val="nil"/>
              </w:pBdr>
              <w:ind w:left="113" w:right="-57" w:hanging="113"/>
            </w:pPr>
            <w:r w:rsidRPr="007A0528">
              <w:t>- Revenues from core activities</w:t>
            </w:r>
          </w:p>
        </w:tc>
        <w:tc>
          <w:tcPr>
            <w:tcW w:w="1530" w:type="dxa"/>
            <w:vAlign w:val="bottom"/>
          </w:tcPr>
          <w:p w14:paraId="192EEFCC" w14:textId="77777777" w:rsidR="00E76D85" w:rsidRPr="007A0528" w:rsidRDefault="00E76D85" w:rsidP="007A0528">
            <w:pPr>
              <w:widowControl w:val="0"/>
              <w:jc w:val="right"/>
            </w:pPr>
          </w:p>
        </w:tc>
        <w:tc>
          <w:tcPr>
            <w:tcW w:w="1170" w:type="dxa"/>
            <w:vAlign w:val="bottom"/>
          </w:tcPr>
          <w:p w14:paraId="38B21A29" w14:textId="77777777" w:rsidR="00E76D85" w:rsidRPr="007A0528" w:rsidRDefault="00E76D85" w:rsidP="007A0528">
            <w:pPr>
              <w:widowControl w:val="0"/>
              <w:jc w:val="right"/>
            </w:pPr>
          </w:p>
        </w:tc>
        <w:tc>
          <w:tcPr>
            <w:tcW w:w="1080" w:type="dxa"/>
            <w:vAlign w:val="bottom"/>
          </w:tcPr>
          <w:p w14:paraId="23A26173" w14:textId="77777777" w:rsidR="00E76D85" w:rsidRPr="007A0528" w:rsidRDefault="00E76D85" w:rsidP="007A0528">
            <w:pPr>
              <w:widowControl w:val="0"/>
              <w:jc w:val="right"/>
            </w:pPr>
          </w:p>
        </w:tc>
        <w:tc>
          <w:tcPr>
            <w:tcW w:w="720" w:type="dxa"/>
            <w:vAlign w:val="bottom"/>
          </w:tcPr>
          <w:p w14:paraId="2781485A" w14:textId="77777777" w:rsidR="00E76D85" w:rsidRPr="007A0528" w:rsidRDefault="00E76D85" w:rsidP="007A0528">
            <w:pPr>
              <w:widowControl w:val="0"/>
              <w:jc w:val="right"/>
            </w:pPr>
          </w:p>
        </w:tc>
        <w:tc>
          <w:tcPr>
            <w:tcW w:w="1260" w:type="dxa"/>
            <w:vAlign w:val="bottom"/>
          </w:tcPr>
          <w:p w14:paraId="25C17ACA" w14:textId="77777777" w:rsidR="00E76D85" w:rsidRPr="007A0528" w:rsidRDefault="00E76D85" w:rsidP="007A0528">
            <w:pPr>
              <w:widowControl w:val="0"/>
              <w:jc w:val="right"/>
            </w:pPr>
          </w:p>
        </w:tc>
        <w:tc>
          <w:tcPr>
            <w:tcW w:w="720" w:type="dxa"/>
            <w:vAlign w:val="bottom"/>
          </w:tcPr>
          <w:p w14:paraId="0A9065E9" w14:textId="77777777" w:rsidR="00E76D85" w:rsidRPr="007A0528" w:rsidRDefault="00E76D85" w:rsidP="007A0528">
            <w:pPr>
              <w:widowControl w:val="0"/>
              <w:jc w:val="right"/>
            </w:pPr>
          </w:p>
        </w:tc>
      </w:tr>
      <w:tr w:rsidR="00E76D85" w:rsidRPr="00344DF9" w14:paraId="2C6CE43D" w14:textId="77777777" w:rsidTr="00150BDF">
        <w:trPr>
          <w:cantSplit/>
        </w:trPr>
        <w:tc>
          <w:tcPr>
            <w:tcW w:w="2430" w:type="dxa"/>
            <w:vAlign w:val="bottom"/>
          </w:tcPr>
          <w:p w14:paraId="108FA485" w14:textId="77777777" w:rsidR="00E76D85" w:rsidRPr="007A0528" w:rsidRDefault="00E76D85" w:rsidP="007A0528">
            <w:pPr>
              <w:widowControl w:val="0"/>
              <w:pBdr>
                <w:top w:val="nil"/>
                <w:left w:val="nil"/>
                <w:bottom w:val="nil"/>
                <w:right w:val="nil"/>
                <w:between w:val="nil"/>
              </w:pBdr>
              <w:ind w:left="113" w:right="-57" w:hanging="113"/>
            </w:pPr>
            <w:r w:rsidRPr="007A0528">
              <w:t>- Interest income</w:t>
            </w:r>
          </w:p>
        </w:tc>
        <w:tc>
          <w:tcPr>
            <w:tcW w:w="1530" w:type="dxa"/>
            <w:vAlign w:val="bottom"/>
          </w:tcPr>
          <w:p w14:paraId="71A72BE6" w14:textId="77777777" w:rsidR="00E76D85" w:rsidRPr="007A0528" w:rsidRDefault="00E76D85" w:rsidP="007A0528">
            <w:pPr>
              <w:widowControl w:val="0"/>
              <w:jc w:val="right"/>
            </w:pPr>
          </w:p>
        </w:tc>
        <w:tc>
          <w:tcPr>
            <w:tcW w:w="1170" w:type="dxa"/>
            <w:vAlign w:val="bottom"/>
          </w:tcPr>
          <w:p w14:paraId="354C0F7D" w14:textId="77777777" w:rsidR="00E76D85" w:rsidRPr="007A0528" w:rsidRDefault="00E76D85" w:rsidP="007A0528">
            <w:pPr>
              <w:widowControl w:val="0"/>
              <w:jc w:val="right"/>
            </w:pPr>
          </w:p>
        </w:tc>
        <w:tc>
          <w:tcPr>
            <w:tcW w:w="1080" w:type="dxa"/>
            <w:vAlign w:val="bottom"/>
          </w:tcPr>
          <w:p w14:paraId="41FB0ED8" w14:textId="77777777" w:rsidR="00E76D85" w:rsidRPr="007A0528" w:rsidRDefault="00E76D85" w:rsidP="007A0528">
            <w:pPr>
              <w:widowControl w:val="0"/>
              <w:jc w:val="right"/>
            </w:pPr>
          </w:p>
        </w:tc>
        <w:tc>
          <w:tcPr>
            <w:tcW w:w="720" w:type="dxa"/>
            <w:vAlign w:val="bottom"/>
          </w:tcPr>
          <w:p w14:paraId="5775458A" w14:textId="77777777" w:rsidR="00E76D85" w:rsidRPr="007A0528" w:rsidRDefault="00E76D85" w:rsidP="007A0528">
            <w:pPr>
              <w:widowControl w:val="0"/>
              <w:jc w:val="right"/>
            </w:pPr>
          </w:p>
        </w:tc>
        <w:tc>
          <w:tcPr>
            <w:tcW w:w="1260" w:type="dxa"/>
            <w:vAlign w:val="bottom"/>
          </w:tcPr>
          <w:p w14:paraId="48F9AD81" w14:textId="77777777" w:rsidR="00E76D85" w:rsidRPr="007A0528" w:rsidRDefault="00E76D85" w:rsidP="007A0528">
            <w:pPr>
              <w:widowControl w:val="0"/>
              <w:jc w:val="right"/>
            </w:pPr>
          </w:p>
        </w:tc>
        <w:tc>
          <w:tcPr>
            <w:tcW w:w="720" w:type="dxa"/>
            <w:vAlign w:val="bottom"/>
          </w:tcPr>
          <w:p w14:paraId="2D81F6B2" w14:textId="77777777" w:rsidR="00E76D85" w:rsidRPr="007A0528" w:rsidRDefault="00E76D85" w:rsidP="007A0528">
            <w:pPr>
              <w:widowControl w:val="0"/>
              <w:jc w:val="right"/>
            </w:pPr>
          </w:p>
        </w:tc>
      </w:tr>
      <w:tr w:rsidR="00E76D85" w:rsidRPr="00344DF9" w14:paraId="6DC5FA43" w14:textId="77777777" w:rsidTr="00150BDF">
        <w:trPr>
          <w:cantSplit/>
        </w:trPr>
        <w:tc>
          <w:tcPr>
            <w:tcW w:w="2430" w:type="dxa"/>
            <w:vAlign w:val="bottom"/>
          </w:tcPr>
          <w:p w14:paraId="687CCBA1" w14:textId="77777777" w:rsidR="00E76D85" w:rsidRPr="007A0528" w:rsidRDefault="00E76D85" w:rsidP="007A0528">
            <w:pPr>
              <w:widowControl w:val="0"/>
              <w:pBdr>
                <w:top w:val="nil"/>
                <w:left w:val="nil"/>
                <w:bottom w:val="nil"/>
                <w:right w:val="nil"/>
                <w:between w:val="nil"/>
              </w:pBdr>
              <w:ind w:left="113" w:right="-57" w:hanging="113"/>
            </w:pPr>
            <w:r w:rsidRPr="007A0528">
              <w:t>- Other income</w:t>
            </w:r>
          </w:p>
        </w:tc>
        <w:tc>
          <w:tcPr>
            <w:tcW w:w="1530" w:type="dxa"/>
            <w:vAlign w:val="bottom"/>
          </w:tcPr>
          <w:p w14:paraId="169CC6AB" w14:textId="77777777" w:rsidR="00E76D85" w:rsidRPr="007A0528" w:rsidRDefault="00E76D85" w:rsidP="007A0528">
            <w:pPr>
              <w:widowControl w:val="0"/>
              <w:jc w:val="right"/>
            </w:pPr>
          </w:p>
        </w:tc>
        <w:tc>
          <w:tcPr>
            <w:tcW w:w="1170" w:type="dxa"/>
            <w:vAlign w:val="bottom"/>
          </w:tcPr>
          <w:p w14:paraId="177E462C" w14:textId="77777777" w:rsidR="00E76D85" w:rsidRPr="007A0528" w:rsidRDefault="00E76D85" w:rsidP="007A0528">
            <w:pPr>
              <w:widowControl w:val="0"/>
              <w:jc w:val="right"/>
            </w:pPr>
          </w:p>
        </w:tc>
        <w:tc>
          <w:tcPr>
            <w:tcW w:w="1080" w:type="dxa"/>
            <w:vAlign w:val="bottom"/>
          </w:tcPr>
          <w:p w14:paraId="6256B45D" w14:textId="77777777" w:rsidR="00E76D85" w:rsidRPr="007A0528" w:rsidRDefault="00E76D85" w:rsidP="007A0528">
            <w:pPr>
              <w:widowControl w:val="0"/>
              <w:jc w:val="right"/>
            </w:pPr>
          </w:p>
        </w:tc>
        <w:tc>
          <w:tcPr>
            <w:tcW w:w="720" w:type="dxa"/>
            <w:vAlign w:val="bottom"/>
          </w:tcPr>
          <w:p w14:paraId="33523E56" w14:textId="77777777" w:rsidR="00E76D85" w:rsidRPr="007A0528" w:rsidRDefault="00E76D85" w:rsidP="007A0528">
            <w:pPr>
              <w:widowControl w:val="0"/>
              <w:jc w:val="right"/>
            </w:pPr>
          </w:p>
        </w:tc>
        <w:tc>
          <w:tcPr>
            <w:tcW w:w="1260" w:type="dxa"/>
            <w:vAlign w:val="bottom"/>
          </w:tcPr>
          <w:p w14:paraId="752E27F4" w14:textId="77777777" w:rsidR="00E76D85" w:rsidRPr="007A0528" w:rsidRDefault="00E76D85" w:rsidP="007A0528">
            <w:pPr>
              <w:widowControl w:val="0"/>
              <w:jc w:val="right"/>
            </w:pPr>
          </w:p>
        </w:tc>
        <w:tc>
          <w:tcPr>
            <w:tcW w:w="720" w:type="dxa"/>
            <w:vAlign w:val="bottom"/>
          </w:tcPr>
          <w:p w14:paraId="06BFBD1F" w14:textId="77777777" w:rsidR="00E76D85" w:rsidRPr="007A0528" w:rsidRDefault="00E76D85" w:rsidP="007A0528">
            <w:pPr>
              <w:widowControl w:val="0"/>
              <w:jc w:val="right"/>
            </w:pPr>
          </w:p>
        </w:tc>
      </w:tr>
      <w:tr w:rsidR="00E76D85" w:rsidRPr="00344DF9" w14:paraId="396E0855" w14:textId="77777777" w:rsidTr="00150BDF">
        <w:trPr>
          <w:cantSplit/>
        </w:trPr>
        <w:tc>
          <w:tcPr>
            <w:tcW w:w="2430" w:type="dxa"/>
            <w:tcBorders>
              <w:bottom w:val="single" w:sz="4" w:space="0" w:color="000000"/>
            </w:tcBorders>
            <w:vAlign w:val="bottom"/>
          </w:tcPr>
          <w:p w14:paraId="5F1EDF50" w14:textId="77777777" w:rsidR="00E76D85" w:rsidRPr="007A0528" w:rsidRDefault="00E76D85" w:rsidP="007A0528">
            <w:pPr>
              <w:widowControl w:val="0"/>
              <w:pBdr>
                <w:top w:val="nil"/>
                <w:left w:val="nil"/>
                <w:bottom w:val="nil"/>
                <w:right w:val="nil"/>
                <w:between w:val="nil"/>
              </w:pBdr>
              <w:ind w:left="113" w:right="-57" w:hanging="113"/>
            </w:pPr>
            <w:r w:rsidRPr="007A0528">
              <w:rPr>
                <w:b/>
              </w:rPr>
              <w:t> </w:t>
            </w:r>
          </w:p>
        </w:tc>
        <w:tc>
          <w:tcPr>
            <w:tcW w:w="1530" w:type="dxa"/>
            <w:tcBorders>
              <w:bottom w:val="single" w:sz="4" w:space="0" w:color="000000"/>
            </w:tcBorders>
            <w:vAlign w:val="bottom"/>
          </w:tcPr>
          <w:p w14:paraId="3E69ED62" w14:textId="77777777" w:rsidR="00E76D85" w:rsidRPr="007A0528" w:rsidRDefault="00E76D85" w:rsidP="007A0528">
            <w:pPr>
              <w:widowControl w:val="0"/>
              <w:jc w:val="right"/>
            </w:pPr>
          </w:p>
        </w:tc>
        <w:tc>
          <w:tcPr>
            <w:tcW w:w="1170" w:type="dxa"/>
            <w:tcBorders>
              <w:bottom w:val="single" w:sz="4" w:space="0" w:color="000000"/>
            </w:tcBorders>
            <w:vAlign w:val="bottom"/>
          </w:tcPr>
          <w:p w14:paraId="00C4A2F8" w14:textId="77777777" w:rsidR="00E76D85" w:rsidRPr="007A0528" w:rsidRDefault="00E76D85" w:rsidP="007A0528">
            <w:pPr>
              <w:widowControl w:val="0"/>
              <w:jc w:val="right"/>
            </w:pPr>
          </w:p>
        </w:tc>
        <w:tc>
          <w:tcPr>
            <w:tcW w:w="1080" w:type="dxa"/>
            <w:tcBorders>
              <w:bottom w:val="single" w:sz="4" w:space="0" w:color="000000"/>
            </w:tcBorders>
            <w:vAlign w:val="bottom"/>
          </w:tcPr>
          <w:p w14:paraId="12ACB9D2" w14:textId="77777777" w:rsidR="00E76D85" w:rsidRPr="007A0528" w:rsidRDefault="00E76D85" w:rsidP="007A0528">
            <w:pPr>
              <w:widowControl w:val="0"/>
              <w:jc w:val="right"/>
            </w:pPr>
          </w:p>
        </w:tc>
        <w:tc>
          <w:tcPr>
            <w:tcW w:w="720" w:type="dxa"/>
            <w:tcBorders>
              <w:bottom w:val="single" w:sz="4" w:space="0" w:color="000000"/>
            </w:tcBorders>
            <w:vAlign w:val="bottom"/>
          </w:tcPr>
          <w:p w14:paraId="076169D6" w14:textId="77777777" w:rsidR="00E76D85" w:rsidRPr="007A0528" w:rsidRDefault="00E76D85" w:rsidP="007A0528">
            <w:pPr>
              <w:widowControl w:val="0"/>
              <w:jc w:val="right"/>
            </w:pPr>
          </w:p>
        </w:tc>
        <w:tc>
          <w:tcPr>
            <w:tcW w:w="1260" w:type="dxa"/>
            <w:tcBorders>
              <w:bottom w:val="single" w:sz="4" w:space="0" w:color="000000"/>
            </w:tcBorders>
            <w:vAlign w:val="bottom"/>
          </w:tcPr>
          <w:p w14:paraId="3F25ECBA" w14:textId="77777777" w:rsidR="00E76D85" w:rsidRPr="007A0528" w:rsidRDefault="00E76D85" w:rsidP="007A0528">
            <w:pPr>
              <w:widowControl w:val="0"/>
              <w:jc w:val="right"/>
            </w:pPr>
          </w:p>
        </w:tc>
        <w:tc>
          <w:tcPr>
            <w:tcW w:w="720" w:type="dxa"/>
            <w:tcBorders>
              <w:bottom w:val="single" w:sz="4" w:space="0" w:color="000000"/>
            </w:tcBorders>
            <w:vAlign w:val="bottom"/>
          </w:tcPr>
          <w:p w14:paraId="2CF783AF" w14:textId="77777777" w:rsidR="00E76D85" w:rsidRPr="007A0528" w:rsidRDefault="00E76D85" w:rsidP="007A0528">
            <w:pPr>
              <w:widowControl w:val="0"/>
              <w:jc w:val="right"/>
            </w:pPr>
          </w:p>
        </w:tc>
      </w:tr>
      <w:tr w:rsidR="00E76D85" w:rsidRPr="00344DF9" w14:paraId="5AD360A3" w14:textId="77777777" w:rsidTr="00150BDF">
        <w:trPr>
          <w:cantSplit/>
        </w:trPr>
        <w:tc>
          <w:tcPr>
            <w:tcW w:w="2430" w:type="dxa"/>
            <w:tcBorders>
              <w:top w:val="single" w:sz="4" w:space="0" w:color="000000"/>
            </w:tcBorders>
            <w:vAlign w:val="bottom"/>
          </w:tcPr>
          <w:p w14:paraId="4D42841D" w14:textId="77777777" w:rsidR="00E76D85" w:rsidRPr="007A0528" w:rsidRDefault="00E76D85" w:rsidP="007A0528">
            <w:pPr>
              <w:widowControl w:val="0"/>
              <w:pBdr>
                <w:top w:val="nil"/>
                <w:left w:val="nil"/>
                <w:bottom w:val="nil"/>
                <w:right w:val="nil"/>
                <w:between w:val="nil"/>
              </w:pBdr>
              <w:ind w:left="113" w:right="-57" w:hanging="113"/>
            </w:pPr>
            <w:r w:rsidRPr="007A0528">
              <w:rPr>
                <w:b/>
              </w:rPr>
              <w:t> </w:t>
            </w:r>
          </w:p>
        </w:tc>
        <w:tc>
          <w:tcPr>
            <w:tcW w:w="1530" w:type="dxa"/>
            <w:tcBorders>
              <w:top w:val="single" w:sz="4" w:space="0" w:color="000000"/>
            </w:tcBorders>
            <w:vAlign w:val="bottom"/>
          </w:tcPr>
          <w:p w14:paraId="0BD32135" w14:textId="77777777" w:rsidR="00E76D85" w:rsidRPr="007A0528" w:rsidRDefault="00E76D85" w:rsidP="007A0528">
            <w:pPr>
              <w:widowControl w:val="0"/>
              <w:pBdr>
                <w:top w:val="nil"/>
                <w:left w:val="nil"/>
                <w:bottom w:val="nil"/>
                <w:right w:val="nil"/>
                <w:between w:val="nil"/>
              </w:pBdr>
              <w:jc w:val="right"/>
            </w:pPr>
          </w:p>
        </w:tc>
        <w:tc>
          <w:tcPr>
            <w:tcW w:w="1170" w:type="dxa"/>
            <w:tcBorders>
              <w:top w:val="single" w:sz="4" w:space="0" w:color="000000"/>
            </w:tcBorders>
            <w:vAlign w:val="bottom"/>
          </w:tcPr>
          <w:p w14:paraId="3DADAB79" w14:textId="77777777" w:rsidR="00E76D85" w:rsidRPr="007A0528" w:rsidRDefault="00E76D85" w:rsidP="007A0528">
            <w:pPr>
              <w:widowControl w:val="0"/>
              <w:pBdr>
                <w:top w:val="nil"/>
                <w:left w:val="nil"/>
                <w:bottom w:val="nil"/>
                <w:right w:val="nil"/>
                <w:between w:val="nil"/>
              </w:pBdr>
              <w:jc w:val="right"/>
            </w:pPr>
          </w:p>
        </w:tc>
        <w:tc>
          <w:tcPr>
            <w:tcW w:w="1080" w:type="dxa"/>
            <w:tcBorders>
              <w:top w:val="single" w:sz="4" w:space="0" w:color="000000"/>
            </w:tcBorders>
            <w:vAlign w:val="bottom"/>
          </w:tcPr>
          <w:p w14:paraId="4A9803CB" w14:textId="77777777" w:rsidR="00E76D85" w:rsidRPr="007A0528" w:rsidRDefault="00E76D85" w:rsidP="007A0528">
            <w:pPr>
              <w:widowControl w:val="0"/>
              <w:pBdr>
                <w:top w:val="nil"/>
                <w:left w:val="nil"/>
                <w:bottom w:val="nil"/>
                <w:right w:val="nil"/>
                <w:between w:val="nil"/>
              </w:pBdr>
              <w:jc w:val="right"/>
            </w:pPr>
          </w:p>
        </w:tc>
        <w:tc>
          <w:tcPr>
            <w:tcW w:w="720" w:type="dxa"/>
            <w:tcBorders>
              <w:top w:val="single" w:sz="4" w:space="0" w:color="000000"/>
            </w:tcBorders>
            <w:vAlign w:val="bottom"/>
          </w:tcPr>
          <w:p w14:paraId="44D65D7C" w14:textId="77777777" w:rsidR="00E76D85" w:rsidRPr="007A0528" w:rsidRDefault="00E76D85" w:rsidP="007A0528">
            <w:pPr>
              <w:widowControl w:val="0"/>
              <w:pBdr>
                <w:top w:val="nil"/>
                <w:left w:val="nil"/>
                <w:bottom w:val="nil"/>
                <w:right w:val="nil"/>
                <w:between w:val="nil"/>
              </w:pBdr>
              <w:jc w:val="right"/>
            </w:pPr>
          </w:p>
        </w:tc>
        <w:tc>
          <w:tcPr>
            <w:tcW w:w="1260" w:type="dxa"/>
            <w:tcBorders>
              <w:top w:val="single" w:sz="4" w:space="0" w:color="000000"/>
            </w:tcBorders>
            <w:vAlign w:val="bottom"/>
          </w:tcPr>
          <w:p w14:paraId="6ECD369C" w14:textId="77777777" w:rsidR="00E76D85" w:rsidRPr="007A0528" w:rsidRDefault="00E76D85" w:rsidP="007A0528">
            <w:pPr>
              <w:widowControl w:val="0"/>
              <w:pBdr>
                <w:top w:val="nil"/>
                <w:left w:val="nil"/>
                <w:bottom w:val="nil"/>
                <w:right w:val="nil"/>
                <w:between w:val="nil"/>
              </w:pBdr>
              <w:jc w:val="right"/>
            </w:pPr>
          </w:p>
        </w:tc>
        <w:tc>
          <w:tcPr>
            <w:tcW w:w="720" w:type="dxa"/>
            <w:tcBorders>
              <w:top w:val="single" w:sz="4" w:space="0" w:color="000000"/>
            </w:tcBorders>
            <w:vAlign w:val="bottom"/>
          </w:tcPr>
          <w:p w14:paraId="51B4F356" w14:textId="77777777" w:rsidR="00E76D85" w:rsidRPr="007A0528" w:rsidRDefault="00E76D85" w:rsidP="007A0528">
            <w:pPr>
              <w:widowControl w:val="0"/>
              <w:pBdr>
                <w:top w:val="nil"/>
                <w:left w:val="nil"/>
                <w:bottom w:val="nil"/>
                <w:right w:val="nil"/>
                <w:between w:val="nil"/>
              </w:pBdr>
              <w:jc w:val="right"/>
            </w:pPr>
          </w:p>
        </w:tc>
      </w:tr>
      <w:tr w:rsidR="00E76D85" w:rsidRPr="00344DF9" w14:paraId="6DB73158" w14:textId="77777777" w:rsidTr="00150BDF">
        <w:trPr>
          <w:cantSplit/>
        </w:trPr>
        <w:tc>
          <w:tcPr>
            <w:tcW w:w="2430" w:type="dxa"/>
            <w:vAlign w:val="bottom"/>
          </w:tcPr>
          <w:p w14:paraId="7A2F44F2" w14:textId="77777777" w:rsidR="00E76D85" w:rsidRPr="007A0528" w:rsidRDefault="00E76D85" w:rsidP="007A0528">
            <w:pPr>
              <w:widowControl w:val="0"/>
              <w:pBdr>
                <w:top w:val="nil"/>
                <w:left w:val="nil"/>
                <w:bottom w:val="nil"/>
                <w:right w:val="nil"/>
                <w:between w:val="nil"/>
              </w:pBdr>
              <w:ind w:left="113" w:right="-57" w:hanging="113"/>
              <w:rPr>
                <w:b/>
              </w:rPr>
            </w:pPr>
            <w:r w:rsidRPr="007A0528">
              <w:rPr>
                <w:b/>
              </w:rPr>
              <w:t>Total revenues</w:t>
            </w:r>
          </w:p>
        </w:tc>
        <w:tc>
          <w:tcPr>
            <w:tcW w:w="1530" w:type="dxa"/>
            <w:vAlign w:val="bottom"/>
          </w:tcPr>
          <w:p w14:paraId="02750229" w14:textId="77777777" w:rsidR="00E76D85" w:rsidRPr="007A0528" w:rsidRDefault="00E76D85" w:rsidP="007A0528">
            <w:pPr>
              <w:widowControl w:val="0"/>
              <w:jc w:val="right"/>
              <w:rPr>
                <w:b/>
              </w:rPr>
            </w:pPr>
          </w:p>
        </w:tc>
        <w:tc>
          <w:tcPr>
            <w:tcW w:w="1170" w:type="dxa"/>
            <w:vAlign w:val="bottom"/>
          </w:tcPr>
          <w:p w14:paraId="5DE09750" w14:textId="77777777" w:rsidR="00E76D85" w:rsidRPr="007A0528" w:rsidRDefault="00E76D85" w:rsidP="007A0528">
            <w:pPr>
              <w:widowControl w:val="0"/>
              <w:jc w:val="right"/>
              <w:rPr>
                <w:b/>
              </w:rPr>
            </w:pPr>
          </w:p>
        </w:tc>
        <w:tc>
          <w:tcPr>
            <w:tcW w:w="1080" w:type="dxa"/>
            <w:vAlign w:val="bottom"/>
          </w:tcPr>
          <w:p w14:paraId="0C19CFA7" w14:textId="77777777" w:rsidR="00E76D85" w:rsidRPr="007A0528" w:rsidRDefault="00E76D85" w:rsidP="007A0528">
            <w:pPr>
              <w:widowControl w:val="0"/>
              <w:jc w:val="right"/>
              <w:rPr>
                <w:b/>
              </w:rPr>
            </w:pPr>
          </w:p>
        </w:tc>
        <w:tc>
          <w:tcPr>
            <w:tcW w:w="720" w:type="dxa"/>
            <w:vAlign w:val="bottom"/>
          </w:tcPr>
          <w:p w14:paraId="55400040" w14:textId="77777777" w:rsidR="00E76D85" w:rsidRPr="007A0528" w:rsidRDefault="00E76D85" w:rsidP="007A0528">
            <w:pPr>
              <w:widowControl w:val="0"/>
              <w:jc w:val="right"/>
              <w:rPr>
                <w:b/>
              </w:rPr>
            </w:pPr>
          </w:p>
        </w:tc>
        <w:tc>
          <w:tcPr>
            <w:tcW w:w="1260" w:type="dxa"/>
            <w:vAlign w:val="bottom"/>
          </w:tcPr>
          <w:p w14:paraId="13567523" w14:textId="77777777" w:rsidR="00E76D85" w:rsidRPr="007A0528" w:rsidRDefault="00E76D85" w:rsidP="007A0528">
            <w:pPr>
              <w:widowControl w:val="0"/>
              <w:jc w:val="right"/>
              <w:rPr>
                <w:b/>
              </w:rPr>
            </w:pPr>
          </w:p>
        </w:tc>
        <w:tc>
          <w:tcPr>
            <w:tcW w:w="720" w:type="dxa"/>
            <w:vAlign w:val="bottom"/>
          </w:tcPr>
          <w:p w14:paraId="76D88A0A" w14:textId="77777777" w:rsidR="00E76D85" w:rsidRPr="007A0528" w:rsidRDefault="00E76D85" w:rsidP="007A0528">
            <w:pPr>
              <w:widowControl w:val="0"/>
              <w:jc w:val="right"/>
              <w:rPr>
                <w:b/>
              </w:rPr>
            </w:pPr>
          </w:p>
        </w:tc>
      </w:tr>
      <w:tr w:rsidR="00E76D85" w:rsidRPr="00344DF9" w14:paraId="42D7DBEB" w14:textId="77777777" w:rsidTr="00150BDF">
        <w:trPr>
          <w:cantSplit/>
        </w:trPr>
        <w:tc>
          <w:tcPr>
            <w:tcW w:w="2430" w:type="dxa"/>
            <w:tcBorders>
              <w:bottom w:val="single" w:sz="12" w:space="0" w:color="000000"/>
            </w:tcBorders>
            <w:vAlign w:val="bottom"/>
          </w:tcPr>
          <w:p w14:paraId="27ECF202" w14:textId="77777777" w:rsidR="00E76D85" w:rsidRPr="007A0528" w:rsidRDefault="00E76D85" w:rsidP="007A0528">
            <w:pPr>
              <w:widowControl w:val="0"/>
              <w:pBdr>
                <w:top w:val="nil"/>
                <w:left w:val="nil"/>
                <w:bottom w:val="nil"/>
                <w:right w:val="nil"/>
                <w:between w:val="nil"/>
              </w:pBdr>
              <w:ind w:left="113" w:right="-57" w:hanging="113"/>
            </w:pPr>
            <w:r w:rsidRPr="007A0528">
              <w:rPr>
                <w:b/>
              </w:rPr>
              <w:t> </w:t>
            </w:r>
          </w:p>
        </w:tc>
        <w:tc>
          <w:tcPr>
            <w:tcW w:w="1530" w:type="dxa"/>
            <w:tcBorders>
              <w:bottom w:val="single" w:sz="12" w:space="0" w:color="000000"/>
            </w:tcBorders>
            <w:vAlign w:val="bottom"/>
          </w:tcPr>
          <w:p w14:paraId="480D0613" w14:textId="77777777" w:rsidR="00E76D85" w:rsidRPr="007A0528" w:rsidRDefault="00E76D85" w:rsidP="007A0528">
            <w:pPr>
              <w:widowControl w:val="0"/>
              <w:jc w:val="right"/>
            </w:pPr>
          </w:p>
        </w:tc>
        <w:tc>
          <w:tcPr>
            <w:tcW w:w="1170" w:type="dxa"/>
            <w:tcBorders>
              <w:bottom w:val="single" w:sz="12" w:space="0" w:color="000000"/>
            </w:tcBorders>
            <w:vAlign w:val="bottom"/>
          </w:tcPr>
          <w:p w14:paraId="36AEEE74" w14:textId="77777777" w:rsidR="00E76D85" w:rsidRPr="007A0528" w:rsidRDefault="00E76D85" w:rsidP="007A0528">
            <w:pPr>
              <w:widowControl w:val="0"/>
              <w:jc w:val="right"/>
            </w:pPr>
          </w:p>
        </w:tc>
        <w:tc>
          <w:tcPr>
            <w:tcW w:w="1080" w:type="dxa"/>
            <w:tcBorders>
              <w:bottom w:val="single" w:sz="12" w:space="0" w:color="000000"/>
            </w:tcBorders>
            <w:vAlign w:val="bottom"/>
          </w:tcPr>
          <w:p w14:paraId="6FFEB307" w14:textId="77777777" w:rsidR="00E76D85" w:rsidRPr="007A0528" w:rsidRDefault="00E76D85" w:rsidP="007A0528">
            <w:pPr>
              <w:widowControl w:val="0"/>
              <w:jc w:val="right"/>
            </w:pPr>
          </w:p>
        </w:tc>
        <w:tc>
          <w:tcPr>
            <w:tcW w:w="720" w:type="dxa"/>
            <w:tcBorders>
              <w:bottom w:val="single" w:sz="12" w:space="0" w:color="000000"/>
            </w:tcBorders>
            <w:vAlign w:val="bottom"/>
          </w:tcPr>
          <w:p w14:paraId="1926FA0C" w14:textId="77777777" w:rsidR="00E76D85" w:rsidRPr="007A0528" w:rsidRDefault="00E76D85" w:rsidP="007A0528">
            <w:pPr>
              <w:widowControl w:val="0"/>
              <w:jc w:val="right"/>
            </w:pPr>
          </w:p>
        </w:tc>
        <w:tc>
          <w:tcPr>
            <w:tcW w:w="1260" w:type="dxa"/>
            <w:tcBorders>
              <w:bottom w:val="single" w:sz="12" w:space="0" w:color="000000"/>
            </w:tcBorders>
            <w:vAlign w:val="bottom"/>
          </w:tcPr>
          <w:p w14:paraId="0753646C" w14:textId="77777777" w:rsidR="00E76D85" w:rsidRPr="007A0528" w:rsidRDefault="00E76D85" w:rsidP="007A0528">
            <w:pPr>
              <w:widowControl w:val="0"/>
              <w:jc w:val="right"/>
            </w:pPr>
          </w:p>
        </w:tc>
        <w:tc>
          <w:tcPr>
            <w:tcW w:w="720" w:type="dxa"/>
            <w:tcBorders>
              <w:bottom w:val="single" w:sz="12" w:space="0" w:color="000000"/>
            </w:tcBorders>
            <w:vAlign w:val="bottom"/>
          </w:tcPr>
          <w:p w14:paraId="25403058" w14:textId="77777777" w:rsidR="00E76D85" w:rsidRPr="007A0528" w:rsidRDefault="00E76D85" w:rsidP="007A0528">
            <w:pPr>
              <w:widowControl w:val="0"/>
              <w:jc w:val="right"/>
            </w:pPr>
          </w:p>
        </w:tc>
      </w:tr>
      <w:tr w:rsidR="00E76D85" w:rsidRPr="00344DF9" w14:paraId="139C82B0" w14:textId="77777777" w:rsidTr="00150BDF">
        <w:trPr>
          <w:cantSplit/>
        </w:trPr>
        <w:tc>
          <w:tcPr>
            <w:tcW w:w="2430" w:type="dxa"/>
            <w:tcBorders>
              <w:top w:val="single" w:sz="12" w:space="0" w:color="000000"/>
            </w:tcBorders>
            <w:vAlign w:val="bottom"/>
          </w:tcPr>
          <w:p w14:paraId="6E1CB0EB" w14:textId="77777777" w:rsidR="00E76D85" w:rsidRPr="007A0528" w:rsidRDefault="00E76D85" w:rsidP="007A0528">
            <w:pPr>
              <w:widowControl w:val="0"/>
              <w:pBdr>
                <w:top w:val="nil"/>
                <w:left w:val="nil"/>
                <w:bottom w:val="nil"/>
                <w:right w:val="nil"/>
                <w:between w:val="nil"/>
              </w:pBdr>
              <w:ind w:left="113" w:right="-57" w:hanging="113"/>
            </w:pPr>
            <w:r w:rsidRPr="007A0528">
              <w:rPr>
                <w:b/>
              </w:rPr>
              <w:t> </w:t>
            </w:r>
          </w:p>
        </w:tc>
        <w:tc>
          <w:tcPr>
            <w:tcW w:w="1530" w:type="dxa"/>
            <w:tcBorders>
              <w:top w:val="single" w:sz="12" w:space="0" w:color="000000"/>
            </w:tcBorders>
            <w:vAlign w:val="bottom"/>
          </w:tcPr>
          <w:p w14:paraId="5DBC0C73" w14:textId="77777777" w:rsidR="00E76D85" w:rsidRPr="007A0528" w:rsidRDefault="00E76D85" w:rsidP="007A0528">
            <w:pPr>
              <w:widowControl w:val="0"/>
              <w:jc w:val="right"/>
            </w:pPr>
          </w:p>
        </w:tc>
        <w:tc>
          <w:tcPr>
            <w:tcW w:w="1170" w:type="dxa"/>
            <w:tcBorders>
              <w:top w:val="single" w:sz="12" w:space="0" w:color="000000"/>
            </w:tcBorders>
            <w:vAlign w:val="bottom"/>
          </w:tcPr>
          <w:p w14:paraId="123672F8" w14:textId="77777777" w:rsidR="00E76D85" w:rsidRPr="007A0528" w:rsidRDefault="00E76D85" w:rsidP="007A0528">
            <w:pPr>
              <w:widowControl w:val="0"/>
              <w:jc w:val="right"/>
            </w:pPr>
          </w:p>
        </w:tc>
        <w:tc>
          <w:tcPr>
            <w:tcW w:w="1080" w:type="dxa"/>
            <w:tcBorders>
              <w:top w:val="single" w:sz="12" w:space="0" w:color="000000"/>
            </w:tcBorders>
            <w:vAlign w:val="bottom"/>
          </w:tcPr>
          <w:p w14:paraId="4DE549BE" w14:textId="77777777" w:rsidR="00E76D85" w:rsidRPr="007A0528" w:rsidRDefault="00E76D85" w:rsidP="007A0528">
            <w:pPr>
              <w:widowControl w:val="0"/>
              <w:jc w:val="right"/>
            </w:pPr>
          </w:p>
        </w:tc>
        <w:tc>
          <w:tcPr>
            <w:tcW w:w="720" w:type="dxa"/>
            <w:tcBorders>
              <w:top w:val="single" w:sz="12" w:space="0" w:color="000000"/>
            </w:tcBorders>
            <w:vAlign w:val="bottom"/>
          </w:tcPr>
          <w:p w14:paraId="704AD9F5" w14:textId="77777777" w:rsidR="00E76D85" w:rsidRPr="007A0528" w:rsidRDefault="00E76D85" w:rsidP="007A0528">
            <w:pPr>
              <w:widowControl w:val="0"/>
              <w:jc w:val="right"/>
            </w:pPr>
          </w:p>
        </w:tc>
        <w:tc>
          <w:tcPr>
            <w:tcW w:w="1260" w:type="dxa"/>
            <w:tcBorders>
              <w:top w:val="single" w:sz="12" w:space="0" w:color="000000"/>
            </w:tcBorders>
            <w:vAlign w:val="bottom"/>
          </w:tcPr>
          <w:p w14:paraId="02988757" w14:textId="77777777" w:rsidR="00E76D85" w:rsidRPr="007A0528" w:rsidRDefault="00E76D85" w:rsidP="007A0528">
            <w:pPr>
              <w:widowControl w:val="0"/>
              <w:jc w:val="right"/>
            </w:pPr>
          </w:p>
        </w:tc>
        <w:tc>
          <w:tcPr>
            <w:tcW w:w="720" w:type="dxa"/>
            <w:tcBorders>
              <w:top w:val="single" w:sz="12" w:space="0" w:color="000000"/>
            </w:tcBorders>
            <w:vAlign w:val="bottom"/>
          </w:tcPr>
          <w:p w14:paraId="308CC77C" w14:textId="77777777" w:rsidR="00E76D85" w:rsidRPr="007A0528" w:rsidRDefault="00E76D85" w:rsidP="007A0528">
            <w:pPr>
              <w:widowControl w:val="0"/>
              <w:jc w:val="right"/>
            </w:pPr>
          </w:p>
        </w:tc>
      </w:tr>
      <w:tr w:rsidR="00E76D85" w:rsidRPr="00344DF9" w14:paraId="184AB0F7" w14:textId="77777777" w:rsidTr="00150BDF">
        <w:trPr>
          <w:cantSplit/>
        </w:trPr>
        <w:tc>
          <w:tcPr>
            <w:tcW w:w="2430" w:type="dxa"/>
            <w:vAlign w:val="bottom"/>
          </w:tcPr>
          <w:p w14:paraId="764E5C52" w14:textId="77777777" w:rsidR="00E76D85" w:rsidRPr="007A0528" w:rsidRDefault="00E76D85" w:rsidP="007A0528">
            <w:pPr>
              <w:widowControl w:val="0"/>
              <w:pBdr>
                <w:top w:val="nil"/>
                <w:left w:val="nil"/>
                <w:bottom w:val="nil"/>
                <w:right w:val="nil"/>
                <w:between w:val="nil"/>
              </w:pBdr>
              <w:ind w:left="113" w:right="-57" w:hanging="113"/>
            </w:pPr>
            <w:r w:rsidRPr="007A0528">
              <w:t>Cost of sales</w:t>
            </w:r>
          </w:p>
        </w:tc>
        <w:tc>
          <w:tcPr>
            <w:tcW w:w="1530" w:type="dxa"/>
            <w:vAlign w:val="bottom"/>
          </w:tcPr>
          <w:p w14:paraId="3738B372" w14:textId="77777777" w:rsidR="00E76D85" w:rsidRPr="007A0528" w:rsidRDefault="00E76D85" w:rsidP="007A0528">
            <w:pPr>
              <w:widowControl w:val="0"/>
              <w:jc w:val="right"/>
              <w:rPr>
                <w:b/>
              </w:rPr>
            </w:pPr>
          </w:p>
        </w:tc>
        <w:tc>
          <w:tcPr>
            <w:tcW w:w="1170" w:type="dxa"/>
            <w:vAlign w:val="bottom"/>
          </w:tcPr>
          <w:p w14:paraId="1548E76C" w14:textId="77777777" w:rsidR="00E76D85" w:rsidRPr="007A0528" w:rsidRDefault="00E76D85" w:rsidP="007A0528">
            <w:pPr>
              <w:widowControl w:val="0"/>
              <w:jc w:val="right"/>
              <w:rPr>
                <w:b/>
              </w:rPr>
            </w:pPr>
          </w:p>
        </w:tc>
        <w:tc>
          <w:tcPr>
            <w:tcW w:w="1080" w:type="dxa"/>
            <w:vAlign w:val="bottom"/>
          </w:tcPr>
          <w:p w14:paraId="28E2C6E5" w14:textId="77777777" w:rsidR="00E76D85" w:rsidRPr="007A0528" w:rsidRDefault="00E76D85" w:rsidP="007A0528">
            <w:pPr>
              <w:widowControl w:val="0"/>
              <w:jc w:val="right"/>
              <w:rPr>
                <w:b/>
              </w:rPr>
            </w:pPr>
          </w:p>
        </w:tc>
        <w:tc>
          <w:tcPr>
            <w:tcW w:w="720" w:type="dxa"/>
            <w:vAlign w:val="bottom"/>
          </w:tcPr>
          <w:p w14:paraId="1EF4FC8F" w14:textId="77777777" w:rsidR="00E76D85" w:rsidRPr="007A0528" w:rsidRDefault="00E76D85" w:rsidP="007A0528">
            <w:pPr>
              <w:widowControl w:val="0"/>
              <w:jc w:val="right"/>
              <w:rPr>
                <w:b/>
              </w:rPr>
            </w:pPr>
          </w:p>
        </w:tc>
        <w:tc>
          <w:tcPr>
            <w:tcW w:w="1260" w:type="dxa"/>
            <w:vAlign w:val="bottom"/>
          </w:tcPr>
          <w:p w14:paraId="3789CAB9" w14:textId="77777777" w:rsidR="00E76D85" w:rsidRPr="007A0528" w:rsidRDefault="00E76D85" w:rsidP="007A0528">
            <w:pPr>
              <w:widowControl w:val="0"/>
              <w:jc w:val="right"/>
              <w:rPr>
                <w:b/>
              </w:rPr>
            </w:pPr>
          </w:p>
        </w:tc>
        <w:tc>
          <w:tcPr>
            <w:tcW w:w="720" w:type="dxa"/>
            <w:vAlign w:val="bottom"/>
          </w:tcPr>
          <w:p w14:paraId="3C32EDB4" w14:textId="77777777" w:rsidR="00E76D85" w:rsidRPr="007A0528" w:rsidRDefault="00E76D85" w:rsidP="007A0528">
            <w:pPr>
              <w:widowControl w:val="0"/>
              <w:jc w:val="right"/>
              <w:rPr>
                <w:b/>
              </w:rPr>
            </w:pPr>
          </w:p>
        </w:tc>
      </w:tr>
      <w:tr w:rsidR="00E76D85" w:rsidRPr="00344DF9" w14:paraId="04626262" w14:textId="77777777" w:rsidTr="00150BDF">
        <w:trPr>
          <w:cantSplit/>
        </w:trPr>
        <w:tc>
          <w:tcPr>
            <w:tcW w:w="2430" w:type="dxa"/>
            <w:vAlign w:val="bottom"/>
          </w:tcPr>
          <w:p w14:paraId="0473BF56" w14:textId="77777777" w:rsidR="00E76D85" w:rsidRPr="007A0528" w:rsidRDefault="00E76D85" w:rsidP="007A0528">
            <w:pPr>
              <w:widowControl w:val="0"/>
              <w:pBdr>
                <w:top w:val="nil"/>
                <w:left w:val="nil"/>
                <w:bottom w:val="nil"/>
                <w:right w:val="nil"/>
                <w:between w:val="nil"/>
              </w:pBdr>
              <w:ind w:left="113" w:right="-57" w:hanging="113"/>
            </w:pPr>
            <w:r w:rsidRPr="007A0528">
              <w:t>Distribution costs</w:t>
            </w:r>
          </w:p>
        </w:tc>
        <w:tc>
          <w:tcPr>
            <w:tcW w:w="1530" w:type="dxa"/>
            <w:vAlign w:val="bottom"/>
          </w:tcPr>
          <w:p w14:paraId="67800448" w14:textId="77777777" w:rsidR="00E76D85" w:rsidRPr="007A0528" w:rsidRDefault="00E76D85" w:rsidP="007A0528">
            <w:pPr>
              <w:widowControl w:val="0"/>
              <w:jc w:val="right"/>
              <w:rPr>
                <w:b/>
              </w:rPr>
            </w:pPr>
          </w:p>
        </w:tc>
        <w:tc>
          <w:tcPr>
            <w:tcW w:w="1170" w:type="dxa"/>
            <w:vAlign w:val="bottom"/>
          </w:tcPr>
          <w:p w14:paraId="35312748" w14:textId="77777777" w:rsidR="00E76D85" w:rsidRPr="007A0528" w:rsidRDefault="00E76D85" w:rsidP="007A0528">
            <w:pPr>
              <w:widowControl w:val="0"/>
              <w:jc w:val="right"/>
              <w:rPr>
                <w:b/>
              </w:rPr>
            </w:pPr>
          </w:p>
        </w:tc>
        <w:tc>
          <w:tcPr>
            <w:tcW w:w="1080" w:type="dxa"/>
            <w:vAlign w:val="bottom"/>
          </w:tcPr>
          <w:p w14:paraId="39BCC8ED" w14:textId="77777777" w:rsidR="00E76D85" w:rsidRPr="007A0528" w:rsidRDefault="00E76D85" w:rsidP="007A0528">
            <w:pPr>
              <w:widowControl w:val="0"/>
              <w:jc w:val="right"/>
              <w:rPr>
                <w:b/>
              </w:rPr>
            </w:pPr>
          </w:p>
        </w:tc>
        <w:tc>
          <w:tcPr>
            <w:tcW w:w="720" w:type="dxa"/>
            <w:vAlign w:val="bottom"/>
          </w:tcPr>
          <w:p w14:paraId="1A7508C9" w14:textId="77777777" w:rsidR="00E76D85" w:rsidRPr="007A0528" w:rsidRDefault="00E76D85" w:rsidP="007A0528">
            <w:pPr>
              <w:widowControl w:val="0"/>
              <w:jc w:val="right"/>
              <w:rPr>
                <w:b/>
              </w:rPr>
            </w:pPr>
          </w:p>
        </w:tc>
        <w:tc>
          <w:tcPr>
            <w:tcW w:w="1260" w:type="dxa"/>
            <w:vAlign w:val="bottom"/>
          </w:tcPr>
          <w:p w14:paraId="16DED4F3" w14:textId="77777777" w:rsidR="00E76D85" w:rsidRPr="007A0528" w:rsidRDefault="00E76D85" w:rsidP="007A0528">
            <w:pPr>
              <w:widowControl w:val="0"/>
              <w:jc w:val="right"/>
              <w:rPr>
                <w:b/>
              </w:rPr>
            </w:pPr>
          </w:p>
        </w:tc>
        <w:tc>
          <w:tcPr>
            <w:tcW w:w="720" w:type="dxa"/>
            <w:vAlign w:val="bottom"/>
          </w:tcPr>
          <w:p w14:paraId="7D9C1E27" w14:textId="77777777" w:rsidR="00E76D85" w:rsidRPr="007A0528" w:rsidRDefault="00E76D85" w:rsidP="007A0528">
            <w:pPr>
              <w:widowControl w:val="0"/>
              <w:jc w:val="right"/>
              <w:rPr>
                <w:b/>
              </w:rPr>
            </w:pPr>
          </w:p>
        </w:tc>
      </w:tr>
      <w:tr w:rsidR="00E76D85" w:rsidRPr="00344DF9" w14:paraId="6FEAC64B" w14:textId="77777777" w:rsidTr="00150BDF">
        <w:trPr>
          <w:cantSplit/>
        </w:trPr>
        <w:tc>
          <w:tcPr>
            <w:tcW w:w="2430" w:type="dxa"/>
            <w:vAlign w:val="bottom"/>
          </w:tcPr>
          <w:p w14:paraId="4D64F656" w14:textId="77777777" w:rsidR="00E76D85" w:rsidRPr="007A0528" w:rsidRDefault="00E76D85" w:rsidP="007A0528">
            <w:pPr>
              <w:widowControl w:val="0"/>
              <w:pBdr>
                <w:top w:val="nil"/>
                <w:left w:val="nil"/>
                <w:bottom w:val="nil"/>
                <w:right w:val="nil"/>
                <w:between w:val="nil"/>
              </w:pBdr>
              <w:ind w:left="113" w:right="-57" w:hanging="113"/>
            </w:pPr>
            <w:r w:rsidRPr="007A0528">
              <w:t>General and administrative expenses</w:t>
            </w:r>
          </w:p>
        </w:tc>
        <w:tc>
          <w:tcPr>
            <w:tcW w:w="1530" w:type="dxa"/>
            <w:vAlign w:val="bottom"/>
          </w:tcPr>
          <w:p w14:paraId="354B1113" w14:textId="77777777" w:rsidR="00E76D85" w:rsidRPr="007A0528" w:rsidRDefault="00E76D85" w:rsidP="007A0528">
            <w:pPr>
              <w:widowControl w:val="0"/>
              <w:jc w:val="right"/>
              <w:rPr>
                <w:b/>
              </w:rPr>
            </w:pPr>
          </w:p>
        </w:tc>
        <w:tc>
          <w:tcPr>
            <w:tcW w:w="1170" w:type="dxa"/>
            <w:vAlign w:val="bottom"/>
          </w:tcPr>
          <w:p w14:paraId="1BDAD99A" w14:textId="77777777" w:rsidR="00E76D85" w:rsidRPr="007A0528" w:rsidRDefault="00E76D85" w:rsidP="007A0528">
            <w:pPr>
              <w:widowControl w:val="0"/>
              <w:jc w:val="right"/>
              <w:rPr>
                <w:b/>
              </w:rPr>
            </w:pPr>
          </w:p>
        </w:tc>
        <w:tc>
          <w:tcPr>
            <w:tcW w:w="1080" w:type="dxa"/>
            <w:vAlign w:val="bottom"/>
          </w:tcPr>
          <w:p w14:paraId="35DA984D" w14:textId="77777777" w:rsidR="00E76D85" w:rsidRPr="007A0528" w:rsidRDefault="00E76D85" w:rsidP="007A0528">
            <w:pPr>
              <w:widowControl w:val="0"/>
              <w:jc w:val="right"/>
              <w:rPr>
                <w:b/>
              </w:rPr>
            </w:pPr>
          </w:p>
        </w:tc>
        <w:tc>
          <w:tcPr>
            <w:tcW w:w="720" w:type="dxa"/>
            <w:vAlign w:val="bottom"/>
          </w:tcPr>
          <w:p w14:paraId="1E119406" w14:textId="77777777" w:rsidR="00E76D85" w:rsidRPr="007A0528" w:rsidRDefault="00E76D85" w:rsidP="007A0528">
            <w:pPr>
              <w:widowControl w:val="0"/>
              <w:jc w:val="right"/>
              <w:rPr>
                <w:b/>
              </w:rPr>
            </w:pPr>
          </w:p>
        </w:tc>
        <w:tc>
          <w:tcPr>
            <w:tcW w:w="1260" w:type="dxa"/>
            <w:vAlign w:val="bottom"/>
          </w:tcPr>
          <w:p w14:paraId="236859B0" w14:textId="77777777" w:rsidR="00E76D85" w:rsidRPr="007A0528" w:rsidRDefault="00E76D85" w:rsidP="007A0528">
            <w:pPr>
              <w:widowControl w:val="0"/>
              <w:jc w:val="right"/>
              <w:rPr>
                <w:b/>
              </w:rPr>
            </w:pPr>
          </w:p>
        </w:tc>
        <w:tc>
          <w:tcPr>
            <w:tcW w:w="720" w:type="dxa"/>
            <w:vAlign w:val="bottom"/>
          </w:tcPr>
          <w:p w14:paraId="75456E8E" w14:textId="77777777" w:rsidR="00E76D85" w:rsidRPr="007A0528" w:rsidRDefault="00E76D85" w:rsidP="007A0528">
            <w:pPr>
              <w:widowControl w:val="0"/>
              <w:jc w:val="right"/>
              <w:rPr>
                <w:b/>
              </w:rPr>
            </w:pPr>
          </w:p>
        </w:tc>
      </w:tr>
      <w:tr w:rsidR="00E76D85" w:rsidRPr="00344DF9" w14:paraId="5A7CD481" w14:textId="77777777" w:rsidTr="00150BDF">
        <w:trPr>
          <w:cantSplit/>
        </w:trPr>
        <w:tc>
          <w:tcPr>
            <w:tcW w:w="2430" w:type="dxa"/>
            <w:vAlign w:val="bottom"/>
          </w:tcPr>
          <w:p w14:paraId="1CC62FA6" w14:textId="77777777" w:rsidR="00E76D85" w:rsidRPr="007A0528" w:rsidRDefault="00E76D85" w:rsidP="007A0528">
            <w:pPr>
              <w:widowControl w:val="0"/>
              <w:pBdr>
                <w:top w:val="nil"/>
                <w:left w:val="nil"/>
                <w:bottom w:val="nil"/>
                <w:right w:val="nil"/>
                <w:between w:val="nil"/>
              </w:pBdr>
              <w:ind w:left="113" w:right="-57" w:hanging="113"/>
            </w:pPr>
            <w:r w:rsidRPr="007A0528">
              <w:t>Research and development costs</w:t>
            </w:r>
          </w:p>
        </w:tc>
        <w:tc>
          <w:tcPr>
            <w:tcW w:w="1530" w:type="dxa"/>
            <w:vAlign w:val="bottom"/>
          </w:tcPr>
          <w:p w14:paraId="7A1EA547" w14:textId="77777777" w:rsidR="00E76D85" w:rsidRPr="007A0528" w:rsidRDefault="00E76D85" w:rsidP="007A0528">
            <w:pPr>
              <w:widowControl w:val="0"/>
              <w:jc w:val="right"/>
              <w:rPr>
                <w:b/>
              </w:rPr>
            </w:pPr>
          </w:p>
        </w:tc>
        <w:tc>
          <w:tcPr>
            <w:tcW w:w="1170" w:type="dxa"/>
            <w:vAlign w:val="bottom"/>
          </w:tcPr>
          <w:p w14:paraId="04B79AEB" w14:textId="77777777" w:rsidR="00E76D85" w:rsidRPr="007A0528" w:rsidRDefault="00E76D85" w:rsidP="007A0528">
            <w:pPr>
              <w:widowControl w:val="0"/>
              <w:jc w:val="right"/>
              <w:rPr>
                <w:b/>
              </w:rPr>
            </w:pPr>
          </w:p>
        </w:tc>
        <w:tc>
          <w:tcPr>
            <w:tcW w:w="1080" w:type="dxa"/>
            <w:vAlign w:val="bottom"/>
          </w:tcPr>
          <w:p w14:paraId="12BEE23F" w14:textId="77777777" w:rsidR="00E76D85" w:rsidRPr="007A0528" w:rsidRDefault="00E76D85" w:rsidP="007A0528">
            <w:pPr>
              <w:widowControl w:val="0"/>
              <w:jc w:val="right"/>
              <w:rPr>
                <w:b/>
              </w:rPr>
            </w:pPr>
          </w:p>
        </w:tc>
        <w:tc>
          <w:tcPr>
            <w:tcW w:w="720" w:type="dxa"/>
            <w:vAlign w:val="bottom"/>
          </w:tcPr>
          <w:p w14:paraId="3FFA3931" w14:textId="77777777" w:rsidR="00E76D85" w:rsidRPr="007A0528" w:rsidRDefault="00E76D85" w:rsidP="007A0528">
            <w:pPr>
              <w:widowControl w:val="0"/>
              <w:jc w:val="right"/>
              <w:rPr>
                <w:b/>
              </w:rPr>
            </w:pPr>
          </w:p>
        </w:tc>
        <w:tc>
          <w:tcPr>
            <w:tcW w:w="1260" w:type="dxa"/>
            <w:vAlign w:val="bottom"/>
          </w:tcPr>
          <w:p w14:paraId="7D70F061" w14:textId="77777777" w:rsidR="00E76D85" w:rsidRPr="007A0528" w:rsidRDefault="00E76D85" w:rsidP="007A0528">
            <w:pPr>
              <w:widowControl w:val="0"/>
              <w:jc w:val="right"/>
              <w:rPr>
                <w:b/>
              </w:rPr>
            </w:pPr>
          </w:p>
        </w:tc>
        <w:tc>
          <w:tcPr>
            <w:tcW w:w="720" w:type="dxa"/>
            <w:vAlign w:val="bottom"/>
          </w:tcPr>
          <w:p w14:paraId="70C2A26F" w14:textId="77777777" w:rsidR="00E76D85" w:rsidRPr="007A0528" w:rsidRDefault="00E76D85" w:rsidP="007A0528">
            <w:pPr>
              <w:widowControl w:val="0"/>
              <w:jc w:val="right"/>
              <w:rPr>
                <w:b/>
              </w:rPr>
            </w:pPr>
          </w:p>
        </w:tc>
      </w:tr>
      <w:tr w:rsidR="00E76D85" w:rsidRPr="00344DF9" w14:paraId="6188AB5C" w14:textId="77777777" w:rsidTr="00150BDF">
        <w:trPr>
          <w:cantSplit/>
        </w:trPr>
        <w:tc>
          <w:tcPr>
            <w:tcW w:w="2430" w:type="dxa"/>
            <w:vAlign w:val="bottom"/>
          </w:tcPr>
          <w:p w14:paraId="01F12E83" w14:textId="77777777" w:rsidR="00E76D85" w:rsidRPr="007A0528" w:rsidRDefault="00E76D85" w:rsidP="007A0528">
            <w:pPr>
              <w:widowControl w:val="0"/>
              <w:pBdr>
                <w:top w:val="nil"/>
                <w:left w:val="nil"/>
                <w:bottom w:val="nil"/>
                <w:right w:val="nil"/>
                <w:between w:val="nil"/>
              </w:pBdr>
              <w:ind w:left="113" w:right="-57" w:hanging="113"/>
            </w:pPr>
            <w:r w:rsidRPr="007A0528">
              <w:t>Net charge for expected credit losses on financial and contract assets</w:t>
            </w:r>
          </w:p>
        </w:tc>
        <w:tc>
          <w:tcPr>
            <w:tcW w:w="1530" w:type="dxa"/>
            <w:vAlign w:val="bottom"/>
          </w:tcPr>
          <w:p w14:paraId="1C91FC4F" w14:textId="77777777" w:rsidR="00E76D85" w:rsidRPr="007A0528" w:rsidRDefault="00E76D85" w:rsidP="007A0528">
            <w:pPr>
              <w:widowControl w:val="0"/>
              <w:jc w:val="right"/>
              <w:rPr>
                <w:b/>
              </w:rPr>
            </w:pPr>
          </w:p>
        </w:tc>
        <w:tc>
          <w:tcPr>
            <w:tcW w:w="1170" w:type="dxa"/>
            <w:vAlign w:val="bottom"/>
          </w:tcPr>
          <w:p w14:paraId="27891654" w14:textId="77777777" w:rsidR="00E76D85" w:rsidRPr="007A0528" w:rsidRDefault="00E76D85" w:rsidP="007A0528">
            <w:pPr>
              <w:widowControl w:val="0"/>
              <w:jc w:val="right"/>
              <w:rPr>
                <w:b/>
              </w:rPr>
            </w:pPr>
          </w:p>
        </w:tc>
        <w:tc>
          <w:tcPr>
            <w:tcW w:w="1080" w:type="dxa"/>
            <w:vAlign w:val="bottom"/>
          </w:tcPr>
          <w:p w14:paraId="512A64C3" w14:textId="77777777" w:rsidR="00E76D85" w:rsidRPr="007A0528" w:rsidRDefault="00E76D85" w:rsidP="007A0528">
            <w:pPr>
              <w:widowControl w:val="0"/>
              <w:jc w:val="right"/>
              <w:rPr>
                <w:b/>
              </w:rPr>
            </w:pPr>
          </w:p>
        </w:tc>
        <w:tc>
          <w:tcPr>
            <w:tcW w:w="720" w:type="dxa"/>
            <w:vAlign w:val="bottom"/>
          </w:tcPr>
          <w:p w14:paraId="62687B48" w14:textId="77777777" w:rsidR="00E76D85" w:rsidRPr="007A0528" w:rsidRDefault="00E76D85" w:rsidP="007A0528">
            <w:pPr>
              <w:widowControl w:val="0"/>
              <w:jc w:val="right"/>
              <w:rPr>
                <w:b/>
              </w:rPr>
            </w:pPr>
          </w:p>
        </w:tc>
        <w:tc>
          <w:tcPr>
            <w:tcW w:w="1260" w:type="dxa"/>
            <w:vAlign w:val="bottom"/>
          </w:tcPr>
          <w:p w14:paraId="5D4E6F51" w14:textId="77777777" w:rsidR="00E76D85" w:rsidRPr="007A0528" w:rsidRDefault="00E76D85" w:rsidP="007A0528">
            <w:pPr>
              <w:widowControl w:val="0"/>
              <w:jc w:val="right"/>
              <w:rPr>
                <w:b/>
              </w:rPr>
            </w:pPr>
          </w:p>
        </w:tc>
        <w:tc>
          <w:tcPr>
            <w:tcW w:w="720" w:type="dxa"/>
            <w:vAlign w:val="bottom"/>
          </w:tcPr>
          <w:p w14:paraId="2511616D" w14:textId="77777777" w:rsidR="00E76D85" w:rsidRPr="007A0528" w:rsidRDefault="00E76D85" w:rsidP="007A0528">
            <w:pPr>
              <w:widowControl w:val="0"/>
              <w:jc w:val="right"/>
              <w:rPr>
                <w:b/>
              </w:rPr>
            </w:pPr>
          </w:p>
        </w:tc>
      </w:tr>
      <w:tr w:rsidR="00E76D85" w:rsidRPr="00344DF9" w14:paraId="2D767881" w14:textId="77777777" w:rsidTr="00150BDF">
        <w:trPr>
          <w:cantSplit/>
        </w:trPr>
        <w:tc>
          <w:tcPr>
            <w:tcW w:w="2430" w:type="dxa"/>
            <w:vAlign w:val="bottom"/>
          </w:tcPr>
          <w:p w14:paraId="5322D9B6" w14:textId="77777777" w:rsidR="00E76D85" w:rsidRPr="007A0528" w:rsidRDefault="00E76D85" w:rsidP="007A0528">
            <w:pPr>
              <w:widowControl w:val="0"/>
              <w:pBdr>
                <w:top w:val="nil"/>
                <w:left w:val="nil"/>
                <w:bottom w:val="nil"/>
                <w:right w:val="nil"/>
                <w:between w:val="nil"/>
              </w:pBdr>
              <w:ind w:left="113" w:right="-57" w:hanging="113"/>
            </w:pPr>
            <w:r w:rsidRPr="007A0528">
              <w:t>Other gains/(losses), net</w:t>
            </w:r>
          </w:p>
        </w:tc>
        <w:tc>
          <w:tcPr>
            <w:tcW w:w="1530" w:type="dxa"/>
            <w:vAlign w:val="bottom"/>
          </w:tcPr>
          <w:p w14:paraId="7B070D88" w14:textId="77777777" w:rsidR="00E76D85" w:rsidRPr="007A0528" w:rsidRDefault="00E76D85" w:rsidP="007A0528">
            <w:pPr>
              <w:widowControl w:val="0"/>
              <w:jc w:val="right"/>
              <w:rPr>
                <w:b/>
              </w:rPr>
            </w:pPr>
          </w:p>
        </w:tc>
        <w:tc>
          <w:tcPr>
            <w:tcW w:w="1170" w:type="dxa"/>
            <w:vAlign w:val="bottom"/>
          </w:tcPr>
          <w:p w14:paraId="589F0241" w14:textId="77777777" w:rsidR="00E76D85" w:rsidRPr="007A0528" w:rsidRDefault="00E76D85" w:rsidP="007A0528">
            <w:pPr>
              <w:widowControl w:val="0"/>
              <w:jc w:val="right"/>
              <w:rPr>
                <w:b/>
              </w:rPr>
            </w:pPr>
          </w:p>
        </w:tc>
        <w:tc>
          <w:tcPr>
            <w:tcW w:w="1080" w:type="dxa"/>
            <w:vAlign w:val="bottom"/>
          </w:tcPr>
          <w:p w14:paraId="67266E86" w14:textId="77777777" w:rsidR="00E76D85" w:rsidRPr="007A0528" w:rsidRDefault="00E76D85" w:rsidP="007A0528">
            <w:pPr>
              <w:widowControl w:val="0"/>
              <w:jc w:val="right"/>
              <w:rPr>
                <w:b/>
              </w:rPr>
            </w:pPr>
          </w:p>
        </w:tc>
        <w:tc>
          <w:tcPr>
            <w:tcW w:w="720" w:type="dxa"/>
            <w:vAlign w:val="bottom"/>
          </w:tcPr>
          <w:p w14:paraId="486AEEA2" w14:textId="77777777" w:rsidR="00E76D85" w:rsidRPr="007A0528" w:rsidRDefault="00E76D85" w:rsidP="007A0528">
            <w:pPr>
              <w:widowControl w:val="0"/>
              <w:jc w:val="right"/>
              <w:rPr>
                <w:b/>
              </w:rPr>
            </w:pPr>
          </w:p>
        </w:tc>
        <w:tc>
          <w:tcPr>
            <w:tcW w:w="1260" w:type="dxa"/>
            <w:vAlign w:val="bottom"/>
          </w:tcPr>
          <w:p w14:paraId="4951A287" w14:textId="77777777" w:rsidR="00E76D85" w:rsidRPr="007A0528" w:rsidRDefault="00E76D85" w:rsidP="007A0528">
            <w:pPr>
              <w:widowControl w:val="0"/>
              <w:jc w:val="right"/>
              <w:rPr>
                <w:b/>
              </w:rPr>
            </w:pPr>
          </w:p>
        </w:tc>
        <w:tc>
          <w:tcPr>
            <w:tcW w:w="720" w:type="dxa"/>
            <w:vAlign w:val="bottom"/>
          </w:tcPr>
          <w:p w14:paraId="5BD5018A" w14:textId="77777777" w:rsidR="00E76D85" w:rsidRPr="007A0528" w:rsidRDefault="00E76D85" w:rsidP="007A0528">
            <w:pPr>
              <w:widowControl w:val="0"/>
              <w:jc w:val="right"/>
              <w:rPr>
                <w:b/>
              </w:rPr>
            </w:pPr>
          </w:p>
        </w:tc>
      </w:tr>
      <w:tr w:rsidR="00E76D85" w:rsidRPr="00344DF9" w14:paraId="4ACA9A4C" w14:textId="77777777" w:rsidTr="00150BDF">
        <w:trPr>
          <w:cantSplit/>
        </w:trPr>
        <w:tc>
          <w:tcPr>
            <w:tcW w:w="2430" w:type="dxa"/>
            <w:vAlign w:val="bottom"/>
          </w:tcPr>
          <w:p w14:paraId="34F9BE16" w14:textId="77777777" w:rsidR="00E76D85" w:rsidRPr="00010D4F" w:rsidRDefault="00E76D85" w:rsidP="007A0528">
            <w:pPr>
              <w:widowControl w:val="0"/>
              <w:pBdr>
                <w:top w:val="nil"/>
                <w:left w:val="nil"/>
                <w:bottom w:val="nil"/>
                <w:right w:val="nil"/>
                <w:between w:val="nil"/>
              </w:pBdr>
              <w:ind w:left="113" w:right="-57" w:hanging="113"/>
              <w:rPr>
                <w:color w:val="0000FF"/>
              </w:rPr>
            </w:pPr>
            <w:r w:rsidRPr="00010D4F">
              <w:rPr>
                <w:color w:val="0000FF"/>
              </w:rPr>
              <w:t>[Material non-cash items other than depreciation and amortisation – expand as appropriate]</w:t>
            </w:r>
          </w:p>
        </w:tc>
        <w:tc>
          <w:tcPr>
            <w:tcW w:w="1530" w:type="dxa"/>
            <w:vAlign w:val="bottom"/>
          </w:tcPr>
          <w:p w14:paraId="6BFE27EF" w14:textId="77777777" w:rsidR="00E76D85" w:rsidRPr="007A0528" w:rsidRDefault="00E76D85" w:rsidP="007A0528">
            <w:pPr>
              <w:widowControl w:val="0"/>
              <w:jc w:val="right"/>
            </w:pPr>
          </w:p>
        </w:tc>
        <w:tc>
          <w:tcPr>
            <w:tcW w:w="1170" w:type="dxa"/>
            <w:vAlign w:val="bottom"/>
          </w:tcPr>
          <w:p w14:paraId="104EE2C7" w14:textId="77777777" w:rsidR="00E76D85" w:rsidRPr="007A0528" w:rsidRDefault="00E76D85" w:rsidP="007A0528">
            <w:pPr>
              <w:widowControl w:val="0"/>
              <w:jc w:val="right"/>
            </w:pPr>
          </w:p>
        </w:tc>
        <w:tc>
          <w:tcPr>
            <w:tcW w:w="1080" w:type="dxa"/>
            <w:vAlign w:val="bottom"/>
          </w:tcPr>
          <w:p w14:paraId="3D5EB5F3" w14:textId="77777777" w:rsidR="00E76D85" w:rsidRPr="007A0528" w:rsidRDefault="00E76D85" w:rsidP="007A0528">
            <w:pPr>
              <w:widowControl w:val="0"/>
              <w:jc w:val="right"/>
            </w:pPr>
          </w:p>
        </w:tc>
        <w:tc>
          <w:tcPr>
            <w:tcW w:w="720" w:type="dxa"/>
            <w:vAlign w:val="bottom"/>
          </w:tcPr>
          <w:p w14:paraId="7576F3F4" w14:textId="77777777" w:rsidR="00E76D85" w:rsidRPr="007A0528" w:rsidRDefault="00E76D85" w:rsidP="007A0528">
            <w:pPr>
              <w:widowControl w:val="0"/>
              <w:jc w:val="right"/>
            </w:pPr>
          </w:p>
        </w:tc>
        <w:tc>
          <w:tcPr>
            <w:tcW w:w="1260" w:type="dxa"/>
            <w:vAlign w:val="bottom"/>
          </w:tcPr>
          <w:p w14:paraId="6F79DF2F" w14:textId="77777777" w:rsidR="00E76D85" w:rsidRPr="007A0528" w:rsidRDefault="00E76D85" w:rsidP="007A0528">
            <w:pPr>
              <w:widowControl w:val="0"/>
              <w:jc w:val="right"/>
            </w:pPr>
          </w:p>
        </w:tc>
        <w:tc>
          <w:tcPr>
            <w:tcW w:w="720" w:type="dxa"/>
            <w:vAlign w:val="bottom"/>
          </w:tcPr>
          <w:p w14:paraId="3173FE8B" w14:textId="77777777" w:rsidR="00E76D85" w:rsidRPr="007A0528" w:rsidRDefault="00E76D85" w:rsidP="007A0528">
            <w:pPr>
              <w:widowControl w:val="0"/>
              <w:jc w:val="right"/>
            </w:pPr>
          </w:p>
        </w:tc>
      </w:tr>
      <w:tr w:rsidR="00E76D85" w:rsidRPr="00344DF9" w14:paraId="7590E06C" w14:textId="77777777" w:rsidTr="00150BDF">
        <w:trPr>
          <w:cantSplit/>
        </w:trPr>
        <w:tc>
          <w:tcPr>
            <w:tcW w:w="2430" w:type="dxa"/>
            <w:vAlign w:val="bottom"/>
          </w:tcPr>
          <w:p w14:paraId="598E2C73" w14:textId="77777777" w:rsidR="00E76D85" w:rsidRPr="00010D4F" w:rsidRDefault="00E76D85" w:rsidP="007A0528">
            <w:pPr>
              <w:widowControl w:val="0"/>
              <w:pBdr>
                <w:top w:val="nil"/>
                <w:left w:val="nil"/>
                <w:bottom w:val="nil"/>
                <w:right w:val="nil"/>
                <w:between w:val="nil"/>
              </w:pBdr>
              <w:ind w:left="113" w:right="-57" w:hanging="113"/>
              <w:rPr>
                <w:color w:val="0000FF"/>
              </w:rPr>
            </w:pPr>
            <w:r w:rsidRPr="00010D4F">
              <w:rPr>
                <w:color w:val="0000FF"/>
              </w:rPr>
              <w:t>[Other material items of expenses – expand as appropriate]</w:t>
            </w:r>
          </w:p>
        </w:tc>
        <w:tc>
          <w:tcPr>
            <w:tcW w:w="1530" w:type="dxa"/>
            <w:vAlign w:val="bottom"/>
          </w:tcPr>
          <w:p w14:paraId="3E4C259F" w14:textId="77777777" w:rsidR="00E76D85" w:rsidRPr="007A0528" w:rsidRDefault="00E76D85" w:rsidP="007A0528">
            <w:pPr>
              <w:widowControl w:val="0"/>
              <w:jc w:val="right"/>
            </w:pPr>
          </w:p>
        </w:tc>
        <w:tc>
          <w:tcPr>
            <w:tcW w:w="1170" w:type="dxa"/>
            <w:vAlign w:val="bottom"/>
          </w:tcPr>
          <w:p w14:paraId="0A4C298B" w14:textId="77777777" w:rsidR="00E76D85" w:rsidRPr="007A0528" w:rsidRDefault="00E76D85" w:rsidP="007A0528">
            <w:pPr>
              <w:widowControl w:val="0"/>
              <w:jc w:val="right"/>
            </w:pPr>
          </w:p>
        </w:tc>
        <w:tc>
          <w:tcPr>
            <w:tcW w:w="1080" w:type="dxa"/>
            <w:vAlign w:val="bottom"/>
          </w:tcPr>
          <w:p w14:paraId="26E278BD" w14:textId="77777777" w:rsidR="00E76D85" w:rsidRPr="007A0528" w:rsidRDefault="00E76D85" w:rsidP="007A0528">
            <w:pPr>
              <w:widowControl w:val="0"/>
              <w:jc w:val="right"/>
            </w:pPr>
          </w:p>
        </w:tc>
        <w:tc>
          <w:tcPr>
            <w:tcW w:w="720" w:type="dxa"/>
            <w:vAlign w:val="bottom"/>
          </w:tcPr>
          <w:p w14:paraId="593EA9D3" w14:textId="77777777" w:rsidR="00E76D85" w:rsidRPr="007A0528" w:rsidRDefault="00E76D85" w:rsidP="007A0528">
            <w:pPr>
              <w:widowControl w:val="0"/>
              <w:jc w:val="right"/>
            </w:pPr>
          </w:p>
        </w:tc>
        <w:tc>
          <w:tcPr>
            <w:tcW w:w="1260" w:type="dxa"/>
            <w:vAlign w:val="bottom"/>
          </w:tcPr>
          <w:p w14:paraId="5405E236" w14:textId="77777777" w:rsidR="00E76D85" w:rsidRPr="007A0528" w:rsidRDefault="00E76D85" w:rsidP="007A0528">
            <w:pPr>
              <w:widowControl w:val="0"/>
              <w:jc w:val="right"/>
            </w:pPr>
          </w:p>
        </w:tc>
        <w:tc>
          <w:tcPr>
            <w:tcW w:w="720" w:type="dxa"/>
            <w:vAlign w:val="bottom"/>
          </w:tcPr>
          <w:p w14:paraId="00C4144D" w14:textId="77777777" w:rsidR="00E76D85" w:rsidRPr="007A0528" w:rsidRDefault="00E76D85" w:rsidP="007A0528">
            <w:pPr>
              <w:widowControl w:val="0"/>
              <w:jc w:val="right"/>
            </w:pPr>
          </w:p>
        </w:tc>
      </w:tr>
      <w:tr w:rsidR="00E76D85" w:rsidRPr="00344DF9" w14:paraId="20AC99DB" w14:textId="77777777" w:rsidTr="00150BDF">
        <w:trPr>
          <w:cantSplit/>
        </w:trPr>
        <w:tc>
          <w:tcPr>
            <w:tcW w:w="2430" w:type="dxa"/>
            <w:tcBorders>
              <w:bottom w:val="single" w:sz="4" w:space="0" w:color="000000"/>
            </w:tcBorders>
            <w:vAlign w:val="bottom"/>
          </w:tcPr>
          <w:p w14:paraId="51FE8DB6" w14:textId="77777777" w:rsidR="00E76D85" w:rsidRPr="007A0528" w:rsidRDefault="00E76D85" w:rsidP="007A0528">
            <w:pPr>
              <w:widowControl w:val="0"/>
              <w:pBdr>
                <w:top w:val="nil"/>
                <w:left w:val="nil"/>
                <w:bottom w:val="nil"/>
                <w:right w:val="nil"/>
                <w:between w:val="nil"/>
              </w:pBdr>
              <w:ind w:left="113" w:right="-57" w:hanging="113"/>
              <w:rPr>
                <w:b/>
              </w:rPr>
            </w:pPr>
            <w:r w:rsidRPr="007A0528">
              <w:rPr>
                <w:b/>
              </w:rPr>
              <w:t> </w:t>
            </w:r>
          </w:p>
        </w:tc>
        <w:tc>
          <w:tcPr>
            <w:tcW w:w="1530" w:type="dxa"/>
            <w:tcBorders>
              <w:bottom w:val="single" w:sz="4" w:space="0" w:color="000000"/>
            </w:tcBorders>
            <w:vAlign w:val="bottom"/>
          </w:tcPr>
          <w:p w14:paraId="2D8F7056" w14:textId="77777777" w:rsidR="00E76D85" w:rsidRPr="007A0528" w:rsidRDefault="00E76D85" w:rsidP="007A0528">
            <w:pPr>
              <w:widowControl w:val="0"/>
              <w:pBdr>
                <w:top w:val="nil"/>
                <w:left w:val="nil"/>
                <w:bottom w:val="nil"/>
                <w:right w:val="nil"/>
                <w:between w:val="nil"/>
              </w:pBdr>
              <w:jc w:val="right"/>
              <w:rPr>
                <w:b/>
              </w:rPr>
            </w:pPr>
          </w:p>
        </w:tc>
        <w:tc>
          <w:tcPr>
            <w:tcW w:w="1170" w:type="dxa"/>
            <w:tcBorders>
              <w:bottom w:val="single" w:sz="4" w:space="0" w:color="000000"/>
            </w:tcBorders>
            <w:vAlign w:val="bottom"/>
          </w:tcPr>
          <w:p w14:paraId="72D55853" w14:textId="77777777" w:rsidR="00E76D85" w:rsidRPr="007A0528" w:rsidRDefault="00E76D85" w:rsidP="007A0528">
            <w:pPr>
              <w:widowControl w:val="0"/>
              <w:pBdr>
                <w:top w:val="nil"/>
                <w:left w:val="nil"/>
                <w:bottom w:val="nil"/>
                <w:right w:val="nil"/>
                <w:between w:val="nil"/>
              </w:pBdr>
              <w:jc w:val="right"/>
              <w:rPr>
                <w:b/>
              </w:rPr>
            </w:pPr>
          </w:p>
        </w:tc>
        <w:tc>
          <w:tcPr>
            <w:tcW w:w="1080" w:type="dxa"/>
            <w:tcBorders>
              <w:bottom w:val="single" w:sz="4" w:space="0" w:color="000000"/>
            </w:tcBorders>
            <w:vAlign w:val="bottom"/>
          </w:tcPr>
          <w:p w14:paraId="7DAA541F" w14:textId="77777777" w:rsidR="00E76D85" w:rsidRPr="007A0528" w:rsidRDefault="00E76D85" w:rsidP="007A0528">
            <w:pPr>
              <w:widowControl w:val="0"/>
              <w:pBdr>
                <w:top w:val="nil"/>
                <w:left w:val="nil"/>
                <w:bottom w:val="nil"/>
                <w:right w:val="nil"/>
                <w:between w:val="nil"/>
              </w:pBdr>
              <w:jc w:val="right"/>
              <w:rPr>
                <w:b/>
              </w:rPr>
            </w:pPr>
          </w:p>
        </w:tc>
        <w:tc>
          <w:tcPr>
            <w:tcW w:w="720" w:type="dxa"/>
            <w:tcBorders>
              <w:bottom w:val="single" w:sz="4" w:space="0" w:color="000000"/>
            </w:tcBorders>
            <w:vAlign w:val="bottom"/>
          </w:tcPr>
          <w:p w14:paraId="0A6A1FBA" w14:textId="77777777" w:rsidR="00E76D85" w:rsidRPr="007A0528" w:rsidRDefault="00E76D85" w:rsidP="007A0528">
            <w:pPr>
              <w:widowControl w:val="0"/>
              <w:pBdr>
                <w:top w:val="nil"/>
                <w:left w:val="nil"/>
                <w:bottom w:val="nil"/>
                <w:right w:val="nil"/>
                <w:between w:val="nil"/>
              </w:pBdr>
              <w:jc w:val="right"/>
              <w:rPr>
                <w:b/>
              </w:rPr>
            </w:pPr>
          </w:p>
        </w:tc>
        <w:tc>
          <w:tcPr>
            <w:tcW w:w="1260" w:type="dxa"/>
            <w:tcBorders>
              <w:bottom w:val="single" w:sz="4" w:space="0" w:color="000000"/>
            </w:tcBorders>
            <w:vAlign w:val="bottom"/>
          </w:tcPr>
          <w:p w14:paraId="244FDCCB" w14:textId="77777777" w:rsidR="00E76D85" w:rsidRPr="007A0528" w:rsidRDefault="00E76D85" w:rsidP="007A0528">
            <w:pPr>
              <w:widowControl w:val="0"/>
              <w:pBdr>
                <w:top w:val="nil"/>
                <w:left w:val="nil"/>
                <w:bottom w:val="nil"/>
                <w:right w:val="nil"/>
                <w:between w:val="nil"/>
              </w:pBdr>
              <w:jc w:val="right"/>
              <w:rPr>
                <w:b/>
              </w:rPr>
            </w:pPr>
          </w:p>
        </w:tc>
        <w:tc>
          <w:tcPr>
            <w:tcW w:w="720" w:type="dxa"/>
            <w:tcBorders>
              <w:bottom w:val="single" w:sz="4" w:space="0" w:color="000000"/>
            </w:tcBorders>
            <w:vAlign w:val="bottom"/>
          </w:tcPr>
          <w:p w14:paraId="26D61065" w14:textId="77777777" w:rsidR="00E76D85" w:rsidRPr="007A0528" w:rsidRDefault="00E76D85" w:rsidP="007A0528">
            <w:pPr>
              <w:widowControl w:val="0"/>
              <w:pBdr>
                <w:top w:val="nil"/>
                <w:left w:val="nil"/>
                <w:bottom w:val="nil"/>
                <w:right w:val="nil"/>
                <w:between w:val="nil"/>
              </w:pBdr>
              <w:jc w:val="right"/>
              <w:rPr>
                <w:b/>
              </w:rPr>
            </w:pPr>
          </w:p>
        </w:tc>
      </w:tr>
      <w:tr w:rsidR="00E76D85" w:rsidRPr="00344DF9" w14:paraId="098E283D" w14:textId="77777777" w:rsidTr="00150BDF">
        <w:trPr>
          <w:cantSplit/>
        </w:trPr>
        <w:tc>
          <w:tcPr>
            <w:tcW w:w="2430" w:type="dxa"/>
            <w:tcBorders>
              <w:top w:val="single" w:sz="4" w:space="0" w:color="000000"/>
            </w:tcBorders>
            <w:vAlign w:val="bottom"/>
          </w:tcPr>
          <w:p w14:paraId="18973370" w14:textId="77777777" w:rsidR="00E76D85" w:rsidRPr="007A0528" w:rsidRDefault="00E76D85" w:rsidP="007A0528">
            <w:pPr>
              <w:widowControl w:val="0"/>
              <w:pBdr>
                <w:top w:val="nil"/>
                <w:left w:val="nil"/>
                <w:bottom w:val="nil"/>
                <w:right w:val="nil"/>
                <w:between w:val="nil"/>
              </w:pBdr>
              <w:ind w:left="113" w:right="-57" w:hanging="113"/>
              <w:rPr>
                <w:b/>
              </w:rPr>
            </w:pPr>
            <w:r w:rsidRPr="007A0528">
              <w:rPr>
                <w:b/>
              </w:rPr>
              <w:t> </w:t>
            </w:r>
          </w:p>
        </w:tc>
        <w:tc>
          <w:tcPr>
            <w:tcW w:w="1530" w:type="dxa"/>
            <w:tcBorders>
              <w:top w:val="single" w:sz="4" w:space="0" w:color="000000"/>
            </w:tcBorders>
            <w:vAlign w:val="bottom"/>
          </w:tcPr>
          <w:p w14:paraId="7B9D1119" w14:textId="77777777" w:rsidR="00E76D85" w:rsidRPr="007A0528" w:rsidRDefault="00E76D85" w:rsidP="007A0528">
            <w:pPr>
              <w:widowControl w:val="0"/>
              <w:pBdr>
                <w:top w:val="nil"/>
                <w:left w:val="nil"/>
                <w:bottom w:val="nil"/>
                <w:right w:val="nil"/>
                <w:between w:val="nil"/>
              </w:pBdr>
              <w:jc w:val="right"/>
              <w:rPr>
                <w:b/>
              </w:rPr>
            </w:pPr>
          </w:p>
        </w:tc>
        <w:tc>
          <w:tcPr>
            <w:tcW w:w="1170" w:type="dxa"/>
            <w:tcBorders>
              <w:top w:val="single" w:sz="4" w:space="0" w:color="000000"/>
            </w:tcBorders>
            <w:vAlign w:val="bottom"/>
          </w:tcPr>
          <w:p w14:paraId="53A5DBE0" w14:textId="77777777" w:rsidR="00E76D85" w:rsidRPr="007A0528" w:rsidRDefault="00E76D85" w:rsidP="007A0528">
            <w:pPr>
              <w:widowControl w:val="0"/>
              <w:pBdr>
                <w:top w:val="nil"/>
                <w:left w:val="nil"/>
                <w:bottom w:val="nil"/>
                <w:right w:val="nil"/>
                <w:between w:val="nil"/>
              </w:pBdr>
              <w:jc w:val="right"/>
              <w:rPr>
                <w:b/>
              </w:rPr>
            </w:pPr>
          </w:p>
        </w:tc>
        <w:tc>
          <w:tcPr>
            <w:tcW w:w="1080" w:type="dxa"/>
            <w:tcBorders>
              <w:top w:val="single" w:sz="4" w:space="0" w:color="000000"/>
            </w:tcBorders>
            <w:vAlign w:val="bottom"/>
          </w:tcPr>
          <w:p w14:paraId="1CF0FA84" w14:textId="77777777" w:rsidR="00E76D85" w:rsidRPr="007A0528" w:rsidRDefault="00E76D85" w:rsidP="007A0528">
            <w:pPr>
              <w:widowControl w:val="0"/>
              <w:pBdr>
                <w:top w:val="nil"/>
                <w:left w:val="nil"/>
                <w:bottom w:val="nil"/>
                <w:right w:val="nil"/>
                <w:between w:val="nil"/>
              </w:pBdr>
              <w:jc w:val="right"/>
              <w:rPr>
                <w:b/>
              </w:rPr>
            </w:pPr>
          </w:p>
        </w:tc>
        <w:tc>
          <w:tcPr>
            <w:tcW w:w="720" w:type="dxa"/>
            <w:tcBorders>
              <w:top w:val="single" w:sz="4" w:space="0" w:color="000000"/>
            </w:tcBorders>
            <w:vAlign w:val="bottom"/>
          </w:tcPr>
          <w:p w14:paraId="63C76122" w14:textId="77777777" w:rsidR="00E76D85" w:rsidRPr="007A0528" w:rsidRDefault="00E76D85" w:rsidP="007A0528">
            <w:pPr>
              <w:widowControl w:val="0"/>
              <w:pBdr>
                <w:top w:val="nil"/>
                <w:left w:val="nil"/>
                <w:bottom w:val="nil"/>
                <w:right w:val="nil"/>
                <w:between w:val="nil"/>
              </w:pBdr>
              <w:jc w:val="right"/>
              <w:rPr>
                <w:b/>
              </w:rPr>
            </w:pPr>
          </w:p>
        </w:tc>
        <w:tc>
          <w:tcPr>
            <w:tcW w:w="1260" w:type="dxa"/>
            <w:tcBorders>
              <w:top w:val="single" w:sz="4" w:space="0" w:color="000000"/>
            </w:tcBorders>
            <w:vAlign w:val="bottom"/>
          </w:tcPr>
          <w:p w14:paraId="72E6449E" w14:textId="77777777" w:rsidR="00E76D85" w:rsidRPr="007A0528" w:rsidRDefault="00E76D85" w:rsidP="007A0528">
            <w:pPr>
              <w:widowControl w:val="0"/>
              <w:pBdr>
                <w:top w:val="nil"/>
                <w:left w:val="nil"/>
                <w:bottom w:val="nil"/>
                <w:right w:val="nil"/>
                <w:between w:val="nil"/>
              </w:pBdr>
              <w:jc w:val="right"/>
              <w:rPr>
                <w:b/>
              </w:rPr>
            </w:pPr>
          </w:p>
        </w:tc>
        <w:tc>
          <w:tcPr>
            <w:tcW w:w="720" w:type="dxa"/>
            <w:tcBorders>
              <w:top w:val="single" w:sz="4" w:space="0" w:color="000000"/>
            </w:tcBorders>
            <w:vAlign w:val="bottom"/>
          </w:tcPr>
          <w:p w14:paraId="06E3577D" w14:textId="77777777" w:rsidR="00E76D85" w:rsidRPr="007A0528" w:rsidRDefault="00E76D85" w:rsidP="007A0528">
            <w:pPr>
              <w:widowControl w:val="0"/>
              <w:pBdr>
                <w:top w:val="nil"/>
                <w:left w:val="nil"/>
                <w:bottom w:val="nil"/>
                <w:right w:val="nil"/>
                <w:between w:val="nil"/>
              </w:pBdr>
              <w:jc w:val="right"/>
              <w:rPr>
                <w:b/>
              </w:rPr>
            </w:pPr>
          </w:p>
        </w:tc>
      </w:tr>
      <w:tr w:rsidR="00E76D85" w:rsidRPr="00344DF9" w14:paraId="19ED607F" w14:textId="77777777" w:rsidTr="00150BDF">
        <w:trPr>
          <w:cantSplit/>
        </w:trPr>
        <w:tc>
          <w:tcPr>
            <w:tcW w:w="2430" w:type="dxa"/>
            <w:vAlign w:val="bottom"/>
          </w:tcPr>
          <w:p w14:paraId="2DAA609D" w14:textId="77777777" w:rsidR="00E76D85" w:rsidRPr="007A0528" w:rsidRDefault="00E76D85" w:rsidP="007A0528">
            <w:pPr>
              <w:widowControl w:val="0"/>
              <w:ind w:left="113" w:right="-57" w:hanging="113"/>
              <w:rPr>
                <w:b/>
              </w:rPr>
            </w:pPr>
            <w:r w:rsidRPr="007A0528">
              <w:rPr>
                <w:b/>
              </w:rPr>
              <w:t>Segment results</w:t>
            </w:r>
          </w:p>
        </w:tc>
        <w:tc>
          <w:tcPr>
            <w:tcW w:w="1530" w:type="dxa"/>
            <w:vAlign w:val="bottom"/>
          </w:tcPr>
          <w:p w14:paraId="7C492034" w14:textId="77777777" w:rsidR="00E76D85" w:rsidRPr="007A0528" w:rsidRDefault="00E76D85" w:rsidP="007A0528">
            <w:pPr>
              <w:widowControl w:val="0"/>
              <w:jc w:val="right"/>
            </w:pPr>
          </w:p>
        </w:tc>
        <w:tc>
          <w:tcPr>
            <w:tcW w:w="1170" w:type="dxa"/>
            <w:vAlign w:val="bottom"/>
          </w:tcPr>
          <w:p w14:paraId="1C655B6F" w14:textId="77777777" w:rsidR="00E76D85" w:rsidRPr="007A0528" w:rsidRDefault="00E76D85" w:rsidP="007A0528">
            <w:pPr>
              <w:widowControl w:val="0"/>
              <w:jc w:val="right"/>
            </w:pPr>
          </w:p>
        </w:tc>
        <w:tc>
          <w:tcPr>
            <w:tcW w:w="1080" w:type="dxa"/>
            <w:vAlign w:val="bottom"/>
          </w:tcPr>
          <w:p w14:paraId="77718491" w14:textId="77777777" w:rsidR="00E76D85" w:rsidRPr="007A0528" w:rsidRDefault="00E76D85" w:rsidP="007A0528">
            <w:pPr>
              <w:widowControl w:val="0"/>
              <w:jc w:val="right"/>
            </w:pPr>
          </w:p>
        </w:tc>
        <w:tc>
          <w:tcPr>
            <w:tcW w:w="720" w:type="dxa"/>
            <w:vAlign w:val="bottom"/>
          </w:tcPr>
          <w:p w14:paraId="58F7A74F" w14:textId="77777777" w:rsidR="00E76D85" w:rsidRPr="007A0528" w:rsidRDefault="00E76D85" w:rsidP="007A0528">
            <w:pPr>
              <w:widowControl w:val="0"/>
              <w:jc w:val="right"/>
            </w:pPr>
          </w:p>
        </w:tc>
        <w:tc>
          <w:tcPr>
            <w:tcW w:w="1260" w:type="dxa"/>
            <w:vAlign w:val="bottom"/>
          </w:tcPr>
          <w:p w14:paraId="2FDA6CA0" w14:textId="77777777" w:rsidR="00E76D85" w:rsidRPr="007A0528" w:rsidRDefault="00E76D85" w:rsidP="007A0528">
            <w:pPr>
              <w:widowControl w:val="0"/>
              <w:jc w:val="right"/>
            </w:pPr>
          </w:p>
        </w:tc>
        <w:tc>
          <w:tcPr>
            <w:tcW w:w="720" w:type="dxa"/>
            <w:vAlign w:val="bottom"/>
          </w:tcPr>
          <w:p w14:paraId="6985F151" w14:textId="77777777" w:rsidR="00E76D85" w:rsidRPr="007A0528" w:rsidRDefault="00E76D85" w:rsidP="007A0528">
            <w:pPr>
              <w:widowControl w:val="0"/>
              <w:jc w:val="right"/>
            </w:pPr>
          </w:p>
        </w:tc>
      </w:tr>
      <w:tr w:rsidR="00E76D85" w:rsidRPr="00344DF9" w14:paraId="42AD368A" w14:textId="77777777" w:rsidTr="00150BDF">
        <w:trPr>
          <w:cantSplit/>
        </w:trPr>
        <w:tc>
          <w:tcPr>
            <w:tcW w:w="2430" w:type="dxa"/>
            <w:tcBorders>
              <w:bottom w:val="single" w:sz="12" w:space="0" w:color="000000"/>
            </w:tcBorders>
            <w:vAlign w:val="bottom"/>
          </w:tcPr>
          <w:p w14:paraId="429BA26E" w14:textId="77777777" w:rsidR="00E76D85" w:rsidRPr="007A0528" w:rsidRDefault="00E76D85" w:rsidP="007A0528">
            <w:pPr>
              <w:widowControl w:val="0"/>
              <w:ind w:left="113" w:right="-57" w:hanging="113"/>
              <w:rPr>
                <w:b/>
              </w:rPr>
            </w:pPr>
            <w:r w:rsidRPr="007A0528">
              <w:rPr>
                <w:b/>
              </w:rPr>
              <w:t> </w:t>
            </w:r>
          </w:p>
        </w:tc>
        <w:tc>
          <w:tcPr>
            <w:tcW w:w="1530" w:type="dxa"/>
            <w:tcBorders>
              <w:bottom w:val="single" w:sz="12" w:space="0" w:color="000000"/>
            </w:tcBorders>
            <w:vAlign w:val="bottom"/>
          </w:tcPr>
          <w:p w14:paraId="67B33BF0" w14:textId="77777777" w:rsidR="00E76D85" w:rsidRPr="007A0528" w:rsidRDefault="00E76D85" w:rsidP="007A0528">
            <w:pPr>
              <w:widowControl w:val="0"/>
              <w:jc w:val="right"/>
            </w:pPr>
          </w:p>
        </w:tc>
        <w:tc>
          <w:tcPr>
            <w:tcW w:w="1170" w:type="dxa"/>
            <w:tcBorders>
              <w:bottom w:val="single" w:sz="12" w:space="0" w:color="000000"/>
            </w:tcBorders>
            <w:vAlign w:val="bottom"/>
          </w:tcPr>
          <w:p w14:paraId="620F4831" w14:textId="77777777" w:rsidR="00E76D85" w:rsidRPr="007A0528" w:rsidRDefault="00E76D85" w:rsidP="007A0528">
            <w:pPr>
              <w:widowControl w:val="0"/>
              <w:jc w:val="right"/>
            </w:pPr>
          </w:p>
        </w:tc>
        <w:tc>
          <w:tcPr>
            <w:tcW w:w="1080" w:type="dxa"/>
            <w:tcBorders>
              <w:bottom w:val="single" w:sz="12" w:space="0" w:color="000000"/>
            </w:tcBorders>
            <w:vAlign w:val="bottom"/>
          </w:tcPr>
          <w:p w14:paraId="7F51701D" w14:textId="77777777" w:rsidR="00E76D85" w:rsidRPr="007A0528" w:rsidRDefault="00E76D85" w:rsidP="007A0528">
            <w:pPr>
              <w:widowControl w:val="0"/>
              <w:jc w:val="right"/>
            </w:pPr>
          </w:p>
        </w:tc>
        <w:tc>
          <w:tcPr>
            <w:tcW w:w="720" w:type="dxa"/>
            <w:tcBorders>
              <w:bottom w:val="single" w:sz="12" w:space="0" w:color="000000"/>
            </w:tcBorders>
            <w:vAlign w:val="bottom"/>
          </w:tcPr>
          <w:p w14:paraId="72471373" w14:textId="77777777" w:rsidR="00E76D85" w:rsidRPr="007A0528" w:rsidRDefault="00E76D85" w:rsidP="007A0528">
            <w:pPr>
              <w:widowControl w:val="0"/>
              <w:jc w:val="right"/>
            </w:pPr>
          </w:p>
        </w:tc>
        <w:tc>
          <w:tcPr>
            <w:tcW w:w="1260" w:type="dxa"/>
            <w:tcBorders>
              <w:bottom w:val="single" w:sz="12" w:space="0" w:color="000000"/>
            </w:tcBorders>
            <w:vAlign w:val="bottom"/>
          </w:tcPr>
          <w:p w14:paraId="2BC219FD" w14:textId="77777777" w:rsidR="00E76D85" w:rsidRPr="007A0528" w:rsidRDefault="00E76D85" w:rsidP="007A0528">
            <w:pPr>
              <w:widowControl w:val="0"/>
              <w:jc w:val="right"/>
            </w:pPr>
          </w:p>
        </w:tc>
        <w:tc>
          <w:tcPr>
            <w:tcW w:w="720" w:type="dxa"/>
            <w:tcBorders>
              <w:bottom w:val="single" w:sz="12" w:space="0" w:color="000000"/>
            </w:tcBorders>
            <w:vAlign w:val="bottom"/>
          </w:tcPr>
          <w:p w14:paraId="506BD873" w14:textId="77777777" w:rsidR="00E76D85" w:rsidRPr="007A0528" w:rsidRDefault="00E76D85" w:rsidP="007A0528">
            <w:pPr>
              <w:widowControl w:val="0"/>
              <w:jc w:val="right"/>
            </w:pPr>
          </w:p>
        </w:tc>
      </w:tr>
    </w:tbl>
    <w:bookmarkEnd w:id="14"/>
    <w:p w14:paraId="0775754F" w14:textId="77777777" w:rsidR="00622667" w:rsidRDefault="00622667" w:rsidP="00622667">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5DE1DE63" w14:textId="77777777" w:rsidR="00700EC4" w:rsidRPr="00150BDF" w:rsidRDefault="00700EC4">
      <w:pPr>
        <w:widowControl w:val="0"/>
        <w:pBdr>
          <w:top w:val="nil"/>
          <w:left w:val="nil"/>
          <w:bottom w:val="nil"/>
          <w:right w:val="nil"/>
          <w:between w:val="nil"/>
        </w:pBdr>
        <w:spacing w:before="200" w:after="200"/>
        <w:jc w:val="both"/>
        <w:rPr>
          <w:color w:val="FF0000"/>
          <w:sz w:val="20"/>
          <w:szCs w:val="20"/>
        </w:rPr>
      </w:pPr>
    </w:p>
    <w:tbl>
      <w:tblPr>
        <w:tblStyle w:val="a9"/>
        <w:tblW w:w="9450" w:type="dxa"/>
        <w:tblLayout w:type="fixed"/>
        <w:tblLook w:val="0400" w:firstRow="0" w:lastRow="0" w:firstColumn="0" w:lastColumn="0" w:noHBand="0" w:noVBand="1"/>
      </w:tblPr>
      <w:tblGrid>
        <w:gridCol w:w="2250"/>
        <w:gridCol w:w="2250"/>
        <w:gridCol w:w="1080"/>
        <w:gridCol w:w="1170"/>
        <w:gridCol w:w="720"/>
        <w:gridCol w:w="1260"/>
        <w:gridCol w:w="720"/>
      </w:tblGrid>
      <w:tr w:rsidR="00E76D85" w:rsidRPr="00706FCB" w14:paraId="649FE114" w14:textId="39D500EE" w:rsidTr="00150BDF">
        <w:trPr>
          <w:cantSplit/>
        </w:trPr>
        <w:tc>
          <w:tcPr>
            <w:tcW w:w="2250" w:type="dxa"/>
            <w:tcBorders>
              <w:bottom w:val="single" w:sz="4" w:space="0" w:color="000000"/>
            </w:tcBorders>
            <w:vAlign w:val="bottom"/>
          </w:tcPr>
          <w:p w14:paraId="763AF58F" w14:textId="77777777" w:rsidR="00E76D85" w:rsidRPr="00150BDF" w:rsidRDefault="00E76D85" w:rsidP="009F0991">
            <w:pPr>
              <w:widowControl w:val="0"/>
              <w:pBdr>
                <w:top w:val="nil"/>
                <w:left w:val="nil"/>
                <w:bottom w:val="nil"/>
                <w:right w:val="nil"/>
                <w:between w:val="nil"/>
              </w:pBdr>
              <w:ind w:left="113" w:right="-57" w:hanging="113"/>
              <w:rPr>
                <w:i/>
                <w:color w:val="0000FF"/>
              </w:rPr>
            </w:pPr>
            <w:r w:rsidRPr="00150BDF">
              <w:rPr>
                <w:i/>
                <w:color w:val="0000FF"/>
              </w:rPr>
              <w:t>In thousands of EUR</w:t>
            </w:r>
          </w:p>
        </w:tc>
        <w:tc>
          <w:tcPr>
            <w:tcW w:w="2250" w:type="dxa"/>
            <w:tcBorders>
              <w:bottom w:val="single" w:sz="4" w:space="0" w:color="000000"/>
            </w:tcBorders>
          </w:tcPr>
          <w:p w14:paraId="4EEB748C" w14:textId="77777777" w:rsidR="00E76D85" w:rsidRPr="00150BDF" w:rsidRDefault="00E76D85" w:rsidP="009F0991">
            <w:pPr>
              <w:widowControl w:val="0"/>
              <w:ind w:left="-113"/>
              <w:jc w:val="right"/>
              <w:rPr>
                <w:b/>
                <w:color w:val="0000FF"/>
              </w:rPr>
            </w:pPr>
            <w:r w:rsidRPr="00150BDF">
              <w:rPr>
                <w:b/>
                <w:color w:val="0000FF"/>
              </w:rPr>
              <w:t>Segment 1</w:t>
            </w:r>
          </w:p>
        </w:tc>
        <w:tc>
          <w:tcPr>
            <w:tcW w:w="1080" w:type="dxa"/>
            <w:tcBorders>
              <w:bottom w:val="single" w:sz="4" w:space="0" w:color="000000"/>
            </w:tcBorders>
          </w:tcPr>
          <w:p w14:paraId="39E2F39B" w14:textId="77777777" w:rsidR="00E76D85" w:rsidRPr="00150BDF" w:rsidRDefault="00E76D85" w:rsidP="009F0991">
            <w:pPr>
              <w:widowControl w:val="0"/>
              <w:ind w:left="-113"/>
              <w:jc w:val="right"/>
              <w:rPr>
                <w:b/>
                <w:color w:val="0000FF"/>
              </w:rPr>
            </w:pPr>
            <w:r w:rsidRPr="00150BDF">
              <w:rPr>
                <w:b/>
                <w:color w:val="0000FF"/>
              </w:rPr>
              <w:t>Segment 2</w:t>
            </w:r>
          </w:p>
        </w:tc>
        <w:tc>
          <w:tcPr>
            <w:tcW w:w="1170" w:type="dxa"/>
            <w:tcBorders>
              <w:bottom w:val="single" w:sz="4" w:space="0" w:color="000000"/>
            </w:tcBorders>
          </w:tcPr>
          <w:p w14:paraId="52A8457E" w14:textId="77777777" w:rsidR="00E76D85" w:rsidRPr="00150BDF" w:rsidRDefault="00E76D85" w:rsidP="009F0991">
            <w:pPr>
              <w:widowControl w:val="0"/>
              <w:ind w:left="-113"/>
              <w:jc w:val="right"/>
              <w:rPr>
                <w:b/>
                <w:color w:val="0000FF"/>
              </w:rPr>
            </w:pPr>
            <w:r w:rsidRPr="00150BDF">
              <w:rPr>
                <w:b/>
                <w:color w:val="0000FF"/>
              </w:rPr>
              <w:t>Segment 3</w:t>
            </w:r>
          </w:p>
        </w:tc>
        <w:tc>
          <w:tcPr>
            <w:tcW w:w="720" w:type="dxa"/>
            <w:tcBorders>
              <w:bottom w:val="single" w:sz="4" w:space="0" w:color="000000"/>
            </w:tcBorders>
          </w:tcPr>
          <w:p w14:paraId="1C7ED7DB" w14:textId="77777777" w:rsidR="00E76D85" w:rsidRPr="00150BDF" w:rsidRDefault="00E76D85" w:rsidP="009F0991">
            <w:pPr>
              <w:widowControl w:val="0"/>
              <w:ind w:left="-113"/>
              <w:jc w:val="right"/>
              <w:rPr>
                <w:b/>
                <w:color w:val="0000FF"/>
              </w:rPr>
            </w:pPr>
            <w:r w:rsidRPr="00150BDF">
              <w:rPr>
                <w:b/>
                <w:color w:val="0000FF"/>
              </w:rPr>
              <w:t>Other</w:t>
            </w:r>
          </w:p>
        </w:tc>
        <w:tc>
          <w:tcPr>
            <w:tcW w:w="1260" w:type="dxa"/>
            <w:tcBorders>
              <w:bottom w:val="single" w:sz="4" w:space="0" w:color="000000"/>
            </w:tcBorders>
          </w:tcPr>
          <w:p w14:paraId="492BA14F" w14:textId="3FF7E7B3" w:rsidR="00E76D85" w:rsidRPr="00150BDF" w:rsidRDefault="00E76D85" w:rsidP="009F0991">
            <w:pPr>
              <w:widowControl w:val="0"/>
              <w:ind w:left="-113"/>
              <w:jc w:val="right"/>
              <w:rPr>
                <w:b/>
                <w:color w:val="0000FF"/>
              </w:rPr>
            </w:pPr>
            <w:r w:rsidRPr="00150BDF">
              <w:rPr>
                <w:b/>
                <w:color w:val="0000FF"/>
              </w:rPr>
              <w:t>Eliminations</w:t>
            </w:r>
          </w:p>
        </w:tc>
        <w:tc>
          <w:tcPr>
            <w:tcW w:w="720" w:type="dxa"/>
            <w:tcBorders>
              <w:bottom w:val="single" w:sz="4" w:space="0" w:color="000000"/>
            </w:tcBorders>
          </w:tcPr>
          <w:p w14:paraId="29D828BF" w14:textId="77777777" w:rsidR="00E76D85" w:rsidRPr="00150BDF" w:rsidRDefault="00E76D85" w:rsidP="009F0991">
            <w:pPr>
              <w:widowControl w:val="0"/>
              <w:ind w:left="-113"/>
              <w:jc w:val="right"/>
              <w:rPr>
                <w:b/>
                <w:color w:val="0000FF"/>
              </w:rPr>
            </w:pPr>
            <w:r w:rsidRPr="00150BDF">
              <w:rPr>
                <w:b/>
                <w:color w:val="0000FF"/>
              </w:rPr>
              <w:t>Total</w:t>
            </w:r>
          </w:p>
        </w:tc>
      </w:tr>
      <w:tr w:rsidR="00E76D85" w:rsidRPr="00706FCB" w14:paraId="15A25F12" w14:textId="61FFC8B3" w:rsidTr="00150BDF">
        <w:trPr>
          <w:cantSplit/>
        </w:trPr>
        <w:tc>
          <w:tcPr>
            <w:tcW w:w="2250" w:type="dxa"/>
            <w:tcBorders>
              <w:top w:val="single" w:sz="4" w:space="0" w:color="000000"/>
            </w:tcBorders>
            <w:vAlign w:val="bottom"/>
          </w:tcPr>
          <w:p w14:paraId="648AB739" w14:textId="77777777" w:rsidR="00E76D85" w:rsidRPr="00150BDF" w:rsidRDefault="00E76D85" w:rsidP="009F0991">
            <w:pPr>
              <w:widowControl w:val="0"/>
              <w:ind w:left="113" w:right="-57" w:hanging="113"/>
              <w:rPr>
                <w:b/>
                <w:color w:val="0000FF"/>
              </w:rPr>
            </w:pPr>
            <w:r w:rsidRPr="00150BDF">
              <w:rPr>
                <w:b/>
                <w:color w:val="0000FF"/>
              </w:rPr>
              <w:t xml:space="preserve"> </w:t>
            </w:r>
          </w:p>
        </w:tc>
        <w:tc>
          <w:tcPr>
            <w:tcW w:w="2250" w:type="dxa"/>
            <w:tcBorders>
              <w:top w:val="single" w:sz="4" w:space="0" w:color="000000"/>
            </w:tcBorders>
            <w:vAlign w:val="bottom"/>
          </w:tcPr>
          <w:p w14:paraId="38A3E252" w14:textId="77777777" w:rsidR="00E76D85" w:rsidRPr="00150BDF" w:rsidRDefault="00E76D85" w:rsidP="009F0991">
            <w:pPr>
              <w:widowControl w:val="0"/>
              <w:jc w:val="right"/>
              <w:rPr>
                <w:color w:val="0000FF"/>
              </w:rPr>
            </w:pPr>
          </w:p>
        </w:tc>
        <w:tc>
          <w:tcPr>
            <w:tcW w:w="1080" w:type="dxa"/>
            <w:tcBorders>
              <w:top w:val="single" w:sz="4" w:space="0" w:color="000000"/>
            </w:tcBorders>
            <w:vAlign w:val="bottom"/>
          </w:tcPr>
          <w:p w14:paraId="022E2AC0" w14:textId="77777777" w:rsidR="00E76D85" w:rsidRPr="00150BDF" w:rsidRDefault="00E76D85" w:rsidP="009F0991">
            <w:pPr>
              <w:widowControl w:val="0"/>
              <w:jc w:val="right"/>
              <w:rPr>
                <w:color w:val="0000FF"/>
              </w:rPr>
            </w:pPr>
          </w:p>
        </w:tc>
        <w:tc>
          <w:tcPr>
            <w:tcW w:w="1170" w:type="dxa"/>
            <w:tcBorders>
              <w:top w:val="single" w:sz="4" w:space="0" w:color="000000"/>
            </w:tcBorders>
            <w:vAlign w:val="bottom"/>
          </w:tcPr>
          <w:p w14:paraId="402ABBC0" w14:textId="77777777" w:rsidR="00E76D85" w:rsidRPr="00150BDF" w:rsidRDefault="00E76D85" w:rsidP="009F0991">
            <w:pPr>
              <w:widowControl w:val="0"/>
              <w:jc w:val="right"/>
              <w:rPr>
                <w:color w:val="0000FF"/>
              </w:rPr>
            </w:pPr>
          </w:p>
        </w:tc>
        <w:tc>
          <w:tcPr>
            <w:tcW w:w="720" w:type="dxa"/>
            <w:tcBorders>
              <w:top w:val="single" w:sz="4" w:space="0" w:color="000000"/>
            </w:tcBorders>
            <w:vAlign w:val="bottom"/>
          </w:tcPr>
          <w:p w14:paraId="427190D7" w14:textId="77777777" w:rsidR="00E76D85" w:rsidRPr="00150BDF" w:rsidRDefault="00E76D85" w:rsidP="009F0991">
            <w:pPr>
              <w:widowControl w:val="0"/>
              <w:jc w:val="right"/>
              <w:rPr>
                <w:color w:val="0000FF"/>
              </w:rPr>
            </w:pPr>
          </w:p>
        </w:tc>
        <w:tc>
          <w:tcPr>
            <w:tcW w:w="1260" w:type="dxa"/>
            <w:tcBorders>
              <w:top w:val="single" w:sz="4" w:space="0" w:color="000000"/>
            </w:tcBorders>
            <w:vAlign w:val="bottom"/>
          </w:tcPr>
          <w:p w14:paraId="19CE5BA7" w14:textId="77777777" w:rsidR="00E76D85" w:rsidRPr="00150BDF" w:rsidRDefault="00E76D85" w:rsidP="009F0991">
            <w:pPr>
              <w:widowControl w:val="0"/>
              <w:jc w:val="right"/>
              <w:rPr>
                <w:color w:val="0000FF"/>
              </w:rPr>
            </w:pPr>
          </w:p>
        </w:tc>
        <w:tc>
          <w:tcPr>
            <w:tcW w:w="720" w:type="dxa"/>
            <w:tcBorders>
              <w:top w:val="single" w:sz="4" w:space="0" w:color="000000"/>
            </w:tcBorders>
            <w:vAlign w:val="bottom"/>
          </w:tcPr>
          <w:p w14:paraId="1C9EDD74" w14:textId="77777777" w:rsidR="00E76D85" w:rsidRPr="00150BDF" w:rsidRDefault="00E76D85" w:rsidP="009F0991">
            <w:pPr>
              <w:widowControl w:val="0"/>
              <w:jc w:val="right"/>
              <w:rPr>
                <w:color w:val="0000FF"/>
              </w:rPr>
            </w:pPr>
          </w:p>
        </w:tc>
      </w:tr>
      <w:tr w:rsidR="00E76D85" w:rsidRPr="00706FCB" w14:paraId="2F5AA751" w14:textId="56761402" w:rsidTr="00150BDF">
        <w:trPr>
          <w:cantSplit/>
        </w:trPr>
        <w:tc>
          <w:tcPr>
            <w:tcW w:w="2250" w:type="dxa"/>
            <w:vAlign w:val="bottom"/>
          </w:tcPr>
          <w:p w14:paraId="1125E44C" w14:textId="24809E63" w:rsidR="00E76D85" w:rsidRPr="00150BDF" w:rsidRDefault="00E76D85" w:rsidP="009F0991">
            <w:pPr>
              <w:widowControl w:val="0"/>
              <w:ind w:left="113" w:right="-57" w:hanging="113"/>
              <w:rPr>
                <w:b/>
                <w:color w:val="0000FF"/>
              </w:rPr>
            </w:pPr>
            <w:r w:rsidRPr="00150BDF">
              <w:rPr>
                <w:b/>
                <w:color w:val="0000FF"/>
              </w:rPr>
              <w:t>2024</w:t>
            </w:r>
          </w:p>
        </w:tc>
        <w:tc>
          <w:tcPr>
            <w:tcW w:w="2250" w:type="dxa"/>
            <w:vAlign w:val="bottom"/>
          </w:tcPr>
          <w:p w14:paraId="75B3F845" w14:textId="77777777" w:rsidR="00E76D85" w:rsidRPr="00150BDF" w:rsidRDefault="00E76D85" w:rsidP="009F0991">
            <w:pPr>
              <w:widowControl w:val="0"/>
              <w:jc w:val="right"/>
              <w:rPr>
                <w:color w:val="0000FF"/>
              </w:rPr>
            </w:pPr>
          </w:p>
        </w:tc>
        <w:tc>
          <w:tcPr>
            <w:tcW w:w="1080" w:type="dxa"/>
            <w:vAlign w:val="bottom"/>
          </w:tcPr>
          <w:p w14:paraId="144865E8" w14:textId="77777777" w:rsidR="00E76D85" w:rsidRPr="00150BDF" w:rsidRDefault="00E76D85" w:rsidP="009F0991">
            <w:pPr>
              <w:widowControl w:val="0"/>
              <w:jc w:val="right"/>
              <w:rPr>
                <w:color w:val="0000FF"/>
              </w:rPr>
            </w:pPr>
          </w:p>
        </w:tc>
        <w:tc>
          <w:tcPr>
            <w:tcW w:w="1170" w:type="dxa"/>
            <w:vAlign w:val="bottom"/>
          </w:tcPr>
          <w:p w14:paraId="387A2C0E" w14:textId="77777777" w:rsidR="00E76D85" w:rsidRPr="00150BDF" w:rsidRDefault="00E76D85" w:rsidP="009F0991">
            <w:pPr>
              <w:widowControl w:val="0"/>
              <w:jc w:val="right"/>
              <w:rPr>
                <w:color w:val="0000FF"/>
              </w:rPr>
            </w:pPr>
          </w:p>
        </w:tc>
        <w:tc>
          <w:tcPr>
            <w:tcW w:w="720" w:type="dxa"/>
            <w:vAlign w:val="bottom"/>
          </w:tcPr>
          <w:p w14:paraId="41F8E675" w14:textId="77777777" w:rsidR="00E76D85" w:rsidRPr="00150BDF" w:rsidRDefault="00E76D85" w:rsidP="009F0991">
            <w:pPr>
              <w:widowControl w:val="0"/>
              <w:jc w:val="right"/>
              <w:rPr>
                <w:color w:val="0000FF"/>
              </w:rPr>
            </w:pPr>
          </w:p>
        </w:tc>
        <w:tc>
          <w:tcPr>
            <w:tcW w:w="1260" w:type="dxa"/>
            <w:vAlign w:val="bottom"/>
          </w:tcPr>
          <w:p w14:paraId="04ADFA63" w14:textId="77777777" w:rsidR="00E76D85" w:rsidRPr="00150BDF" w:rsidRDefault="00E76D85" w:rsidP="009F0991">
            <w:pPr>
              <w:widowControl w:val="0"/>
              <w:jc w:val="right"/>
              <w:rPr>
                <w:color w:val="0000FF"/>
              </w:rPr>
            </w:pPr>
          </w:p>
        </w:tc>
        <w:tc>
          <w:tcPr>
            <w:tcW w:w="720" w:type="dxa"/>
            <w:vAlign w:val="bottom"/>
          </w:tcPr>
          <w:p w14:paraId="216B6050" w14:textId="77777777" w:rsidR="00E76D85" w:rsidRPr="00150BDF" w:rsidRDefault="00E76D85" w:rsidP="009F0991">
            <w:pPr>
              <w:widowControl w:val="0"/>
              <w:jc w:val="right"/>
              <w:rPr>
                <w:color w:val="0000FF"/>
              </w:rPr>
            </w:pPr>
          </w:p>
        </w:tc>
      </w:tr>
      <w:tr w:rsidR="00E76D85" w:rsidRPr="00706FCB" w14:paraId="0441DDA1" w14:textId="00FE22D2" w:rsidTr="00150BDF">
        <w:trPr>
          <w:cantSplit/>
        </w:trPr>
        <w:tc>
          <w:tcPr>
            <w:tcW w:w="2250" w:type="dxa"/>
            <w:vAlign w:val="bottom"/>
          </w:tcPr>
          <w:p w14:paraId="43D1A87D"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b/>
                <w:color w:val="0000FF"/>
              </w:rPr>
              <w:t> </w:t>
            </w:r>
          </w:p>
        </w:tc>
        <w:tc>
          <w:tcPr>
            <w:tcW w:w="2250" w:type="dxa"/>
            <w:vAlign w:val="bottom"/>
          </w:tcPr>
          <w:p w14:paraId="5D39A9FC" w14:textId="77777777" w:rsidR="00E76D85" w:rsidRPr="00150BDF" w:rsidRDefault="00E76D85" w:rsidP="009F0991">
            <w:pPr>
              <w:widowControl w:val="0"/>
              <w:jc w:val="right"/>
              <w:rPr>
                <w:color w:val="0000FF"/>
              </w:rPr>
            </w:pPr>
          </w:p>
        </w:tc>
        <w:tc>
          <w:tcPr>
            <w:tcW w:w="1080" w:type="dxa"/>
            <w:vAlign w:val="bottom"/>
          </w:tcPr>
          <w:p w14:paraId="083B1BF1" w14:textId="77777777" w:rsidR="00E76D85" w:rsidRPr="00150BDF" w:rsidRDefault="00E76D85" w:rsidP="009F0991">
            <w:pPr>
              <w:widowControl w:val="0"/>
              <w:jc w:val="right"/>
              <w:rPr>
                <w:color w:val="0000FF"/>
              </w:rPr>
            </w:pPr>
          </w:p>
        </w:tc>
        <w:tc>
          <w:tcPr>
            <w:tcW w:w="1170" w:type="dxa"/>
            <w:vAlign w:val="bottom"/>
          </w:tcPr>
          <w:p w14:paraId="5EAB9589" w14:textId="77777777" w:rsidR="00E76D85" w:rsidRPr="00150BDF" w:rsidRDefault="00E76D85" w:rsidP="009F0991">
            <w:pPr>
              <w:widowControl w:val="0"/>
              <w:jc w:val="right"/>
              <w:rPr>
                <w:color w:val="0000FF"/>
              </w:rPr>
            </w:pPr>
          </w:p>
        </w:tc>
        <w:tc>
          <w:tcPr>
            <w:tcW w:w="720" w:type="dxa"/>
            <w:vAlign w:val="bottom"/>
          </w:tcPr>
          <w:p w14:paraId="77949051" w14:textId="77777777" w:rsidR="00E76D85" w:rsidRPr="00150BDF" w:rsidRDefault="00E76D85" w:rsidP="009F0991">
            <w:pPr>
              <w:widowControl w:val="0"/>
              <w:jc w:val="right"/>
              <w:rPr>
                <w:color w:val="0000FF"/>
              </w:rPr>
            </w:pPr>
          </w:p>
        </w:tc>
        <w:tc>
          <w:tcPr>
            <w:tcW w:w="1260" w:type="dxa"/>
            <w:vAlign w:val="bottom"/>
          </w:tcPr>
          <w:p w14:paraId="197174AE" w14:textId="77777777" w:rsidR="00E76D85" w:rsidRPr="00150BDF" w:rsidRDefault="00E76D85" w:rsidP="009F0991">
            <w:pPr>
              <w:widowControl w:val="0"/>
              <w:jc w:val="right"/>
              <w:rPr>
                <w:color w:val="0000FF"/>
              </w:rPr>
            </w:pPr>
          </w:p>
        </w:tc>
        <w:tc>
          <w:tcPr>
            <w:tcW w:w="720" w:type="dxa"/>
            <w:vAlign w:val="bottom"/>
          </w:tcPr>
          <w:p w14:paraId="3095F76D" w14:textId="77777777" w:rsidR="00E76D85" w:rsidRPr="00150BDF" w:rsidRDefault="00E76D85" w:rsidP="009F0991">
            <w:pPr>
              <w:widowControl w:val="0"/>
              <w:jc w:val="right"/>
              <w:rPr>
                <w:color w:val="0000FF"/>
              </w:rPr>
            </w:pPr>
          </w:p>
        </w:tc>
      </w:tr>
      <w:tr w:rsidR="00E76D85" w:rsidRPr="00706FCB" w14:paraId="14FCBB40" w14:textId="0A3287AF" w:rsidTr="00150BDF">
        <w:trPr>
          <w:cantSplit/>
        </w:trPr>
        <w:tc>
          <w:tcPr>
            <w:tcW w:w="2250" w:type="dxa"/>
            <w:vAlign w:val="bottom"/>
          </w:tcPr>
          <w:p w14:paraId="6DE01279"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External revenues</w:t>
            </w:r>
          </w:p>
        </w:tc>
        <w:tc>
          <w:tcPr>
            <w:tcW w:w="2250" w:type="dxa"/>
            <w:vAlign w:val="bottom"/>
          </w:tcPr>
          <w:p w14:paraId="48319382" w14:textId="77777777" w:rsidR="00E76D85" w:rsidRPr="00150BDF" w:rsidRDefault="00E76D85" w:rsidP="009F0991">
            <w:pPr>
              <w:widowControl w:val="0"/>
              <w:jc w:val="right"/>
              <w:rPr>
                <w:color w:val="0000FF"/>
              </w:rPr>
            </w:pPr>
          </w:p>
        </w:tc>
        <w:tc>
          <w:tcPr>
            <w:tcW w:w="1080" w:type="dxa"/>
            <w:vAlign w:val="bottom"/>
          </w:tcPr>
          <w:p w14:paraId="30F4BD44" w14:textId="77777777" w:rsidR="00E76D85" w:rsidRPr="00150BDF" w:rsidRDefault="00E76D85" w:rsidP="009F0991">
            <w:pPr>
              <w:widowControl w:val="0"/>
              <w:jc w:val="right"/>
              <w:rPr>
                <w:color w:val="0000FF"/>
              </w:rPr>
            </w:pPr>
          </w:p>
        </w:tc>
        <w:tc>
          <w:tcPr>
            <w:tcW w:w="1170" w:type="dxa"/>
            <w:vAlign w:val="bottom"/>
          </w:tcPr>
          <w:p w14:paraId="380DA7C7" w14:textId="77777777" w:rsidR="00E76D85" w:rsidRPr="00150BDF" w:rsidRDefault="00E76D85" w:rsidP="009F0991">
            <w:pPr>
              <w:widowControl w:val="0"/>
              <w:jc w:val="right"/>
              <w:rPr>
                <w:color w:val="0000FF"/>
              </w:rPr>
            </w:pPr>
          </w:p>
        </w:tc>
        <w:tc>
          <w:tcPr>
            <w:tcW w:w="720" w:type="dxa"/>
            <w:vAlign w:val="bottom"/>
          </w:tcPr>
          <w:p w14:paraId="7EEA6178" w14:textId="77777777" w:rsidR="00E76D85" w:rsidRPr="00150BDF" w:rsidRDefault="00E76D85" w:rsidP="009F0991">
            <w:pPr>
              <w:widowControl w:val="0"/>
              <w:jc w:val="right"/>
              <w:rPr>
                <w:color w:val="0000FF"/>
              </w:rPr>
            </w:pPr>
          </w:p>
        </w:tc>
        <w:tc>
          <w:tcPr>
            <w:tcW w:w="1260" w:type="dxa"/>
            <w:vAlign w:val="bottom"/>
          </w:tcPr>
          <w:p w14:paraId="00AA332E" w14:textId="77777777" w:rsidR="00E76D85" w:rsidRPr="00150BDF" w:rsidRDefault="00E76D85" w:rsidP="009F0991">
            <w:pPr>
              <w:widowControl w:val="0"/>
              <w:jc w:val="right"/>
              <w:rPr>
                <w:color w:val="0000FF"/>
              </w:rPr>
            </w:pPr>
          </w:p>
        </w:tc>
        <w:tc>
          <w:tcPr>
            <w:tcW w:w="720" w:type="dxa"/>
            <w:vAlign w:val="bottom"/>
          </w:tcPr>
          <w:p w14:paraId="1C7A257C" w14:textId="77777777" w:rsidR="00E76D85" w:rsidRPr="00150BDF" w:rsidRDefault="00E76D85" w:rsidP="009F0991">
            <w:pPr>
              <w:widowControl w:val="0"/>
              <w:jc w:val="right"/>
              <w:rPr>
                <w:color w:val="0000FF"/>
              </w:rPr>
            </w:pPr>
          </w:p>
        </w:tc>
      </w:tr>
      <w:tr w:rsidR="00E76D85" w:rsidRPr="00706FCB" w14:paraId="6526354A" w14:textId="404909D1" w:rsidTr="00150BDF">
        <w:trPr>
          <w:cantSplit/>
        </w:trPr>
        <w:tc>
          <w:tcPr>
            <w:tcW w:w="2250" w:type="dxa"/>
            <w:vAlign w:val="bottom"/>
          </w:tcPr>
          <w:p w14:paraId="3EA843E1"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Revenues from core activities</w:t>
            </w:r>
          </w:p>
        </w:tc>
        <w:tc>
          <w:tcPr>
            <w:tcW w:w="2250" w:type="dxa"/>
            <w:vAlign w:val="bottom"/>
          </w:tcPr>
          <w:p w14:paraId="5840E4B8" w14:textId="77777777" w:rsidR="00E76D85" w:rsidRPr="00150BDF" w:rsidRDefault="00E76D85" w:rsidP="009F0991">
            <w:pPr>
              <w:widowControl w:val="0"/>
              <w:jc w:val="right"/>
              <w:rPr>
                <w:color w:val="0000FF"/>
              </w:rPr>
            </w:pPr>
          </w:p>
        </w:tc>
        <w:tc>
          <w:tcPr>
            <w:tcW w:w="1080" w:type="dxa"/>
            <w:vAlign w:val="bottom"/>
          </w:tcPr>
          <w:p w14:paraId="4C933E0F" w14:textId="77777777" w:rsidR="00E76D85" w:rsidRPr="00150BDF" w:rsidRDefault="00E76D85" w:rsidP="009F0991">
            <w:pPr>
              <w:widowControl w:val="0"/>
              <w:jc w:val="right"/>
              <w:rPr>
                <w:color w:val="0000FF"/>
              </w:rPr>
            </w:pPr>
          </w:p>
        </w:tc>
        <w:tc>
          <w:tcPr>
            <w:tcW w:w="1170" w:type="dxa"/>
            <w:vAlign w:val="bottom"/>
          </w:tcPr>
          <w:p w14:paraId="47C0AFC6" w14:textId="77777777" w:rsidR="00E76D85" w:rsidRPr="00150BDF" w:rsidRDefault="00E76D85" w:rsidP="009F0991">
            <w:pPr>
              <w:widowControl w:val="0"/>
              <w:jc w:val="right"/>
              <w:rPr>
                <w:color w:val="0000FF"/>
              </w:rPr>
            </w:pPr>
          </w:p>
        </w:tc>
        <w:tc>
          <w:tcPr>
            <w:tcW w:w="720" w:type="dxa"/>
            <w:vAlign w:val="bottom"/>
          </w:tcPr>
          <w:p w14:paraId="46240F1A" w14:textId="77777777" w:rsidR="00E76D85" w:rsidRPr="00150BDF" w:rsidRDefault="00E76D85" w:rsidP="009F0991">
            <w:pPr>
              <w:widowControl w:val="0"/>
              <w:jc w:val="right"/>
              <w:rPr>
                <w:color w:val="0000FF"/>
              </w:rPr>
            </w:pPr>
          </w:p>
        </w:tc>
        <w:tc>
          <w:tcPr>
            <w:tcW w:w="1260" w:type="dxa"/>
            <w:vAlign w:val="bottom"/>
          </w:tcPr>
          <w:p w14:paraId="70643FEB" w14:textId="77777777" w:rsidR="00E76D85" w:rsidRPr="00150BDF" w:rsidRDefault="00E76D85" w:rsidP="009F0991">
            <w:pPr>
              <w:widowControl w:val="0"/>
              <w:jc w:val="right"/>
              <w:rPr>
                <w:color w:val="0000FF"/>
              </w:rPr>
            </w:pPr>
          </w:p>
        </w:tc>
        <w:tc>
          <w:tcPr>
            <w:tcW w:w="720" w:type="dxa"/>
            <w:vAlign w:val="bottom"/>
          </w:tcPr>
          <w:p w14:paraId="50F514A7" w14:textId="77777777" w:rsidR="00E76D85" w:rsidRPr="00150BDF" w:rsidRDefault="00E76D85" w:rsidP="009F0991">
            <w:pPr>
              <w:widowControl w:val="0"/>
              <w:jc w:val="right"/>
              <w:rPr>
                <w:color w:val="0000FF"/>
              </w:rPr>
            </w:pPr>
          </w:p>
        </w:tc>
      </w:tr>
      <w:tr w:rsidR="00E76D85" w:rsidRPr="00706FCB" w14:paraId="7A507CE4" w14:textId="39845664" w:rsidTr="00150BDF">
        <w:trPr>
          <w:cantSplit/>
        </w:trPr>
        <w:tc>
          <w:tcPr>
            <w:tcW w:w="2250" w:type="dxa"/>
            <w:vAlign w:val="bottom"/>
          </w:tcPr>
          <w:p w14:paraId="05D743EF"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Interest income</w:t>
            </w:r>
          </w:p>
        </w:tc>
        <w:tc>
          <w:tcPr>
            <w:tcW w:w="2250" w:type="dxa"/>
            <w:vAlign w:val="bottom"/>
          </w:tcPr>
          <w:p w14:paraId="2E55D874" w14:textId="77777777" w:rsidR="00E76D85" w:rsidRPr="00150BDF" w:rsidRDefault="00E76D85" w:rsidP="009F0991">
            <w:pPr>
              <w:widowControl w:val="0"/>
              <w:jc w:val="right"/>
              <w:rPr>
                <w:color w:val="0000FF"/>
              </w:rPr>
            </w:pPr>
          </w:p>
        </w:tc>
        <w:tc>
          <w:tcPr>
            <w:tcW w:w="1080" w:type="dxa"/>
            <w:vAlign w:val="bottom"/>
          </w:tcPr>
          <w:p w14:paraId="2E5DAF8F" w14:textId="77777777" w:rsidR="00E76D85" w:rsidRPr="00150BDF" w:rsidRDefault="00E76D85" w:rsidP="009F0991">
            <w:pPr>
              <w:widowControl w:val="0"/>
              <w:jc w:val="right"/>
              <w:rPr>
                <w:color w:val="0000FF"/>
              </w:rPr>
            </w:pPr>
          </w:p>
        </w:tc>
        <w:tc>
          <w:tcPr>
            <w:tcW w:w="1170" w:type="dxa"/>
            <w:vAlign w:val="bottom"/>
          </w:tcPr>
          <w:p w14:paraId="5B24DD7C" w14:textId="77777777" w:rsidR="00E76D85" w:rsidRPr="00150BDF" w:rsidRDefault="00E76D85" w:rsidP="009F0991">
            <w:pPr>
              <w:widowControl w:val="0"/>
              <w:jc w:val="right"/>
              <w:rPr>
                <w:color w:val="0000FF"/>
              </w:rPr>
            </w:pPr>
          </w:p>
        </w:tc>
        <w:tc>
          <w:tcPr>
            <w:tcW w:w="720" w:type="dxa"/>
            <w:vAlign w:val="bottom"/>
          </w:tcPr>
          <w:p w14:paraId="3051C466" w14:textId="77777777" w:rsidR="00E76D85" w:rsidRPr="00150BDF" w:rsidRDefault="00E76D85" w:rsidP="009F0991">
            <w:pPr>
              <w:widowControl w:val="0"/>
              <w:jc w:val="right"/>
              <w:rPr>
                <w:color w:val="0000FF"/>
              </w:rPr>
            </w:pPr>
          </w:p>
        </w:tc>
        <w:tc>
          <w:tcPr>
            <w:tcW w:w="1260" w:type="dxa"/>
            <w:vAlign w:val="bottom"/>
          </w:tcPr>
          <w:p w14:paraId="4BE85B8A" w14:textId="77777777" w:rsidR="00E76D85" w:rsidRPr="00150BDF" w:rsidRDefault="00E76D85" w:rsidP="009F0991">
            <w:pPr>
              <w:widowControl w:val="0"/>
              <w:jc w:val="right"/>
              <w:rPr>
                <w:color w:val="0000FF"/>
              </w:rPr>
            </w:pPr>
          </w:p>
        </w:tc>
        <w:tc>
          <w:tcPr>
            <w:tcW w:w="720" w:type="dxa"/>
            <w:vAlign w:val="bottom"/>
          </w:tcPr>
          <w:p w14:paraId="2C0C98D9" w14:textId="77777777" w:rsidR="00E76D85" w:rsidRPr="00150BDF" w:rsidRDefault="00E76D85" w:rsidP="009F0991">
            <w:pPr>
              <w:widowControl w:val="0"/>
              <w:jc w:val="right"/>
              <w:rPr>
                <w:color w:val="0000FF"/>
              </w:rPr>
            </w:pPr>
          </w:p>
        </w:tc>
      </w:tr>
      <w:tr w:rsidR="00E76D85" w:rsidRPr="00706FCB" w14:paraId="373AF4F2" w14:textId="1408BEB8" w:rsidTr="00150BDF">
        <w:trPr>
          <w:cantSplit/>
        </w:trPr>
        <w:tc>
          <w:tcPr>
            <w:tcW w:w="2250" w:type="dxa"/>
            <w:vAlign w:val="bottom"/>
          </w:tcPr>
          <w:p w14:paraId="7CD442A4"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Other income</w:t>
            </w:r>
          </w:p>
        </w:tc>
        <w:tc>
          <w:tcPr>
            <w:tcW w:w="2250" w:type="dxa"/>
            <w:vAlign w:val="bottom"/>
          </w:tcPr>
          <w:p w14:paraId="760D8BAE" w14:textId="77777777" w:rsidR="00E76D85" w:rsidRPr="00150BDF" w:rsidRDefault="00E76D85" w:rsidP="009F0991">
            <w:pPr>
              <w:widowControl w:val="0"/>
              <w:jc w:val="right"/>
              <w:rPr>
                <w:color w:val="0000FF"/>
              </w:rPr>
            </w:pPr>
          </w:p>
        </w:tc>
        <w:tc>
          <w:tcPr>
            <w:tcW w:w="1080" w:type="dxa"/>
            <w:vAlign w:val="bottom"/>
          </w:tcPr>
          <w:p w14:paraId="00B48707" w14:textId="77777777" w:rsidR="00E76D85" w:rsidRPr="00150BDF" w:rsidRDefault="00E76D85" w:rsidP="009F0991">
            <w:pPr>
              <w:widowControl w:val="0"/>
              <w:jc w:val="right"/>
              <w:rPr>
                <w:color w:val="0000FF"/>
              </w:rPr>
            </w:pPr>
          </w:p>
        </w:tc>
        <w:tc>
          <w:tcPr>
            <w:tcW w:w="1170" w:type="dxa"/>
            <w:vAlign w:val="bottom"/>
          </w:tcPr>
          <w:p w14:paraId="28ACD1EA" w14:textId="77777777" w:rsidR="00E76D85" w:rsidRPr="00150BDF" w:rsidRDefault="00E76D85" w:rsidP="009F0991">
            <w:pPr>
              <w:widowControl w:val="0"/>
              <w:jc w:val="right"/>
              <w:rPr>
                <w:color w:val="0000FF"/>
              </w:rPr>
            </w:pPr>
          </w:p>
        </w:tc>
        <w:tc>
          <w:tcPr>
            <w:tcW w:w="720" w:type="dxa"/>
            <w:vAlign w:val="bottom"/>
          </w:tcPr>
          <w:p w14:paraId="08FDC498" w14:textId="77777777" w:rsidR="00E76D85" w:rsidRPr="00150BDF" w:rsidRDefault="00E76D85" w:rsidP="009F0991">
            <w:pPr>
              <w:widowControl w:val="0"/>
              <w:jc w:val="right"/>
              <w:rPr>
                <w:color w:val="0000FF"/>
              </w:rPr>
            </w:pPr>
          </w:p>
        </w:tc>
        <w:tc>
          <w:tcPr>
            <w:tcW w:w="1260" w:type="dxa"/>
            <w:vAlign w:val="bottom"/>
          </w:tcPr>
          <w:p w14:paraId="0A6BBE3F" w14:textId="77777777" w:rsidR="00E76D85" w:rsidRPr="00150BDF" w:rsidRDefault="00E76D85" w:rsidP="009F0991">
            <w:pPr>
              <w:widowControl w:val="0"/>
              <w:jc w:val="right"/>
              <w:rPr>
                <w:color w:val="0000FF"/>
              </w:rPr>
            </w:pPr>
          </w:p>
        </w:tc>
        <w:tc>
          <w:tcPr>
            <w:tcW w:w="720" w:type="dxa"/>
            <w:vAlign w:val="bottom"/>
          </w:tcPr>
          <w:p w14:paraId="626E2980" w14:textId="77777777" w:rsidR="00E76D85" w:rsidRPr="00150BDF" w:rsidRDefault="00E76D85" w:rsidP="009F0991">
            <w:pPr>
              <w:widowControl w:val="0"/>
              <w:jc w:val="right"/>
              <w:rPr>
                <w:color w:val="0000FF"/>
              </w:rPr>
            </w:pPr>
          </w:p>
        </w:tc>
      </w:tr>
      <w:tr w:rsidR="00E76D85" w:rsidRPr="00706FCB" w14:paraId="455DA5FD" w14:textId="6F68F79A" w:rsidTr="00150BDF">
        <w:trPr>
          <w:cantSplit/>
        </w:trPr>
        <w:tc>
          <w:tcPr>
            <w:tcW w:w="2250" w:type="dxa"/>
            <w:vAlign w:val="bottom"/>
          </w:tcPr>
          <w:p w14:paraId="6BD3B730"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b/>
                <w:color w:val="0000FF"/>
              </w:rPr>
              <w:t> </w:t>
            </w:r>
          </w:p>
        </w:tc>
        <w:tc>
          <w:tcPr>
            <w:tcW w:w="2250" w:type="dxa"/>
            <w:vAlign w:val="bottom"/>
          </w:tcPr>
          <w:p w14:paraId="34278D05" w14:textId="77777777" w:rsidR="00E76D85" w:rsidRPr="00150BDF" w:rsidRDefault="00E76D85" w:rsidP="009F0991">
            <w:pPr>
              <w:widowControl w:val="0"/>
              <w:jc w:val="right"/>
              <w:rPr>
                <w:color w:val="0000FF"/>
              </w:rPr>
            </w:pPr>
          </w:p>
        </w:tc>
        <w:tc>
          <w:tcPr>
            <w:tcW w:w="1080" w:type="dxa"/>
            <w:vAlign w:val="bottom"/>
          </w:tcPr>
          <w:p w14:paraId="6C59D7E6" w14:textId="77777777" w:rsidR="00E76D85" w:rsidRPr="00150BDF" w:rsidRDefault="00E76D85" w:rsidP="009F0991">
            <w:pPr>
              <w:widowControl w:val="0"/>
              <w:jc w:val="right"/>
              <w:rPr>
                <w:color w:val="0000FF"/>
              </w:rPr>
            </w:pPr>
          </w:p>
        </w:tc>
        <w:tc>
          <w:tcPr>
            <w:tcW w:w="1170" w:type="dxa"/>
            <w:vAlign w:val="bottom"/>
          </w:tcPr>
          <w:p w14:paraId="4DBC7FA6" w14:textId="77777777" w:rsidR="00E76D85" w:rsidRPr="00150BDF" w:rsidRDefault="00E76D85" w:rsidP="009F0991">
            <w:pPr>
              <w:widowControl w:val="0"/>
              <w:jc w:val="right"/>
              <w:rPr>
                <w:color w:val="0000FF"/>
              </w:rPr>
            </w:pPr>
          </w:p>
        </w:tc>
        <w:tc>
          <w:tcPr>
            <w:tcW w:w="720" w:type="dxa"/>
            <w:vAlign w:val="bottom"/>
          </w:tcPr>
          <w:p w14:paraId="5379EF20" w14:textId="77777777" w:rsidR="00E76D85" w:rsidRPr="00150BDF" w:rsidRDefault="00E76D85" w:rsidP="009F0991">
            <w:pPr>
              <w:widowControl w:val="0"/>
              <w:jc w:val="right"/>
              <w:rPr>
                <w:color w:val="0000FF"/>
              </w:rPr>
            </w:pPr>
          </w:p>
        </w:tc>
        <w:tc>
          <w:tcPr>
            <w:tcW w:w="1260" w:type="dxa"/>
            <w:vAlign w:val="bottom"/>
          </w:tcPr>
          <w:p w14:paraId="07D78714" w14:textId="77777777" w:rsidR="00E76D85" w:rsidRPr="00150BDF" w:rsidRDefault="00E76D85" w:rsidP="009F0991">
            <w:pPr>
              <w:widowControl w:val="0"/>
              <w:jc w:val="right"/>
              <w:rPr>
                <w:color w:val="0000FF"/>
              </w:rPr>
            </w:pPr>
          </w:p>
        </w:tc>
        <w:tc>
          <w:tcPr>
            <w:tcW w:w="720" w:type="dxa"/>
            <w:vAlign w:val="bottom"/>
          </w:tcPr>
          <w:p w14:paraId="7265C5AE" w14:textId="77777777" w:rsidR="00E76D85" w:rsidRPr="00150BDF" w:rsidRDefault="00E76D85" w:rsidP="009F0991">
            <w:pPr>
              <w:widowControl w:val="0"/>
              <w:jc w:val="right"/>
              <w:rPr>
                <w:color w:val="0000FF"/>
              </w:rPr>
            </w:pPr>
          </w:p>
        </w:tc>
      </w:tr>
      <w:tr w:rsidR="00E76D85" w:rsidRPr="00706FCB" w14:paraId="0F273497" w14:textId="443BE01C" w:rsidTr="00150BDF">
        <w:trPr>
          <w:cantSplit/>
        </w:trPr>
        <w:tc>
          <w:tcPr>
            <w:tcW w:w="2250" w:type="dxa"/>
            <w:vAlign w:val="bottom"/>
          </w:tcPr>
          <w:p w14:paraId="34B5A577" w14:textId="0D7AACAB"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xml:space="preserve">Inter-segment revenues </w:t>
            </w:r>
          </w:p>
        </w:tc>
        <w:tc>
          <w:tcPr>
            <w:tcW w:w="2250" w:type="dxa"/>
            <w:vAlign w:val="bottom"/>
          </w:tcPr>
          <w:p w14:paraId="379995CE" w14:textId="77777777" w:rsidR="00E76D85" w:rsidRPr="00150BDF" w:rsidRDefault="00E76D85" w:rsidP="009F0991">
            <w:pPr>
              <w:widowControl w:val="0"/>
              <w:jc w:val="right"/>
              <w:rPr>
                <w:color w:val="0000FF"/>
              </w:rPr>
            </w:pPr>
          </w:p>
        </w:tc>
        <w:tc>
          <w:tcPr>
            <w:tcW w:w="1080" w:type="dxa"/>
            <w:vAlign w:val="bottom"/>
          </w:tcPr>
          <w:p w14:paraId="1A14D5EE" w14:textId="77777777" w:rsidR="00E76D85" w:rsidRPr="00150BDF" w:rsidRDefault="00E76D85" w:rsidP="009F0991">
            <w:pPr>
              <w:widowControl w:val="0"/>
              <w:jc w:val="right"/>
              <w:rPr>
                <w:color w:val="0000FF"/>
              </w:rPr>
            </w:pPr>
          </w:p>
        </w:tc>
        <w:tc>
          <w:tcPr>
            <w:tcW w:w="1170" w:type="dxa"/>
            <w:vAlign w:val="bottom"/>
          </w:tcPr>
          <w:p w14:paraId="2C5FD9FD" w14:textId="77777777" w:rsidR="00E76D85" w:rsidRPr="00150BDF" w:rsidRDefault="00E76D85" w:rsidP="009F0991">
            <w:pPr>
              <w:widowControl w:val="0"/>
              <w:jc w:val="right"/>
              <w:rPr>
                <w:color w:val="0000FF"/>
              </w:rPr>
            </w:pPr>
          </w:p>
        </w:tc>
        <w:tc>
          <w:tcPr>
            <w:tcW w:w="720" w:type="dxa"/>
            <w:vAlign w:val="bottom"/>
          </w:tcPr>
          <w:p w14:paraId="743A802B" w14:textId="77777777" w:rsidR="00E76D85" w:rsidRPr="00150BDF" w:rsidRDefault="00E76D85" w:rsidP="009F0991">
            <w:pPr>
              <w:widowControl w:val="0"/>
              <w:jc w:val="right"/>
              <w:rPr>
                <w:color w:val="0000FF"/>
              </w:rPr>
            </w:pPr>
          </w:p>
        </w:tc>
        <w:tc>
          <w:tcPr>
            <w:tcW w:w="1260" w:type="dxa"/>
            <w:vAlign w:val="bottom"/>
          </w:tcPr>
          <w:p w14:paraId="0353F9D8" w14:textId="77777777" w:rsidR="00E76D85" w:rsidRPr="00150BDF" w:rsidRDefault="00E76D85" w:rsidP="009F0991">
            <w:pPr>
              <w:widowControl w:val="0"/>
              <w:jc w:val="right"/>
              <w:rPr>
                <w:color w:val="0000FF"/>
              </w:rPr>
            </w:pPr>
          </w:p>
        </w:tc>
        <w:tc>
          <w:tcPr>
            <w:tcW w:w="720" w:type="dxa"/>
            <w:vAlign w:val="bottom"/>
          </w:tcPr>
          <w:p w14:paraId="47A48FA3" w14:textId="77777777" w:rsidR="00E76D85" w:rsidRPr="00150BDF" w:rsidRDefault="00E76D85" w:rsidP="009F0991">
            <w:pPr>
              <w:widowControl w:val="0"/>
              <w:jc w:val="right"/>
              <w:rPr>
                <w:color w:val="0000FF"/>
              </w:rPr>
            </w:pPr>
          </w:p>
        </w:tc>
      </w:tr>
      <w:tr w:rsidR="00E76D85" w:rsidRPr="00706FCB" w14:paraId="378E7C0C" w14:textId="37F37895" w:rsidTr="00150BDF">
        <w:trPr>
          <w:cantSplit/>
        </w:trPr>
        <w:tc>
          <w:tcPr>
            <w:tcW w:w="2250" w:type="dxa"/>
            <w:vAlign w:val="bottom"/>
          </w:tcPr>
          <w:p w14:paraId="6E193D33"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Revenues from core activities</w:t>
            </w:r>
          </w:p>
        </w:tc>
        <w:tc>
          <w:tcPr>
            <w:tcW w:w="2250" w:type="dxa"/>
            <w:vAlign w:val="bottom"/>
          </w:tcPr>
          <w:p w14:paraId="594DBE25" w14:textId="77777777" w:rsidR="00E76D85" w:rsidRPr="00150BDF" w:rsidRDefault="00E76D85" w:rsidP="009F0991">
            <w:pPr>
              <w:widowControl w:val="0"/>
              <w:jc w:val="right"/>
              <w:rPr>
                <w:color w:val="0000FF"/>
              </w:rPr>
            </w:pPr>
          </w:p>
        </w:tc>
        <w:tc>
          <w:tcPr>
            <w:tcW w:w="1080" w:type="dxa"/>
            <w:vAlign w:val="bottom"/>
          </w:tcPr>
          <w:p w14:paraId="16846B95" w14:textId="77777777" w:rsidR="00E76D85" w:rsidRPr="00150BDF" w:rsidRDefault="00E76D85" w:rsidP="009F0991">
            <w:pPr>
              <w:widowControl w:val="0"/>
              <w:jc w:val="right"/>
              <w:rPr>
                <w:color w:val="0000FF"/>
              </w:rPr>
            </w:pPr>
          </w:p>
        </w:tc>
        <w:tc>
          <w:tcPr>
            <w:tcW w:w="1170" w:type="dxa"/>
            <w:vAlign w:val="bottom"/>
          </w:tcPr>
          <w:p w14:paraId="711FFA4F" w14:textId="77777777" w:rsidR="00E76D85" w:rsidRPr="00150BDF" w:rsidRDefault="00E76D85" w:rsidP="009F0991">
            <w:pPr>
              <w:widowControl w:val="0"/>
              <w:jc w:val="right"/>
              <w:rPr>
                <w:color w:val="0000FF"/>
              </w:rPr>
            </w:pPr>
          </w:p>
        </w:tc>
        <w:tc>
          <w:tcPr>
            <w:tcW w:w="720" w:type="dxa"/>
            <w:vAlign w:val="bottom"/>
          </w:tcPr>
          <w:p w14:paraId="72D297F7" w14:textId="77777777" w:rsidR="00E76D85" w:rsidRPr="00150BDF" w:rsidRDefault="00E76D85" w:rsidP="009F0991">
            <w:pPr>
              <w:widowControl w:val="0"/>
              <w:jc w:val="right"/>
              <w:rPr>
                <w:color w:val="0000FF"/>
              </w:rPr>
            </w:pPr>
          </w:p>
        </w:tc>
        <w:tc>
          <w:tcPr>
            <w:tcW w:w="1260" w:type="dxa"/>
            <w:vAlign w:val="bottom"/>
          </w:tcPr>
          <w:p w14:paraId="141CD4E5" w14:textId="77777777" w:rsidR="00E76D85" w:rsidRPr="00150BDF" w:rsidRDefault="00E76D85" w:rsidP="009F0991">
            <w:pPr>
              <w:widowControl w:val="0"/>
              <w:jc w:val="right"/>
              <w:rPr>
                <w:color w:val="0000FF"/>
              </w:rPr>
            </w:pPr>
          </w:p>
        </w:tc>
        <w:tc>
          <w:tcPr>
            <w:tcW w:w="720" w:type="dxa"/>
            <w:vAlign w:val="bottom"/>
          </w:tcPr>
          <w:p w14:paraId="312019E7" w14:textId="77777777" w:rsidR="00E76D85" w:rsidRPr="00150BDF" w:rsidRDefault="00E76D85" w:rsidP="009F0991">
            <w:pPr>
              <w:widowControl w:val="0"/>
              <w:jc w:val="right"/>
              <w:rPr>
                <w:color w:val="0000FF"/>
              </w:rPr>
            </w:pPr>
          </w:p>
        </w:tc>
      </w:tr>
      <w:tr w:rsidR="00E76D85" w:rsidRPr="00706FCB" w14:paraId="71682AB2" w14:textId="0CF0E743" w:rsidTr="00150BDF">
        <w:trPr>
          <w:cantSplit/>
        </w:trPr>
        <w:tc>
          <w:tcPr>
            <w:tcW w:w="2250" w:type="dxa"/>
            <w:vAlign w:val="bottom"/>
          </w:tcPr>
          <w:p w14:paraId="7039BCFC"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Interest income</w:t>
            </w:r>
          </w:p>
        </w:tc>
        <w:tc>
          <w:tcPr>
            <w:tcW w:w="2250" w:type="dxa"/>
            <w:vAlign w:val="bottom"/>
          </w:tcPr>
          <w:p w14:paraId="72140D93" w14:textId="77777777" w:rsidR="00E76D85" w:rsidRPr="00150BDF" w:rsidRDefault="00E76D85" w:rsidP="009F0991">
            <w:pPr>
              <w:widowControl w:val="0"/>
              <w:jc w:val="right"/>
              <w:rPr>
                <w:color w:val="0000FF"/>
              </w:rPr>
            </w:pPr>
          </w:p>
        </w:tc>
        <w:tc>
          <w:tcPr>
            <w:tcW w:w="1080" w:type="dxa"/>
            <w:vAlign w:val="bottom"/>
          </w:tcPr>
          <w:p w14:paraId="0659AE53" w14:textId="77777777" w:rsidR="00E76D85" w:rsidRPr="00150BDF" w:rsidRDefault="00E76D85" w:rsidP="009F0991">
            <w:pPr>
              <w:widowControl w:val="0"/>
              <w:jc w:val="right"/>
              <w:rPr>
                <w:color w:val="0000FF"/>
              </w:rPr>
            </w:pPr>
          </w:p>
        </w:tc>
        <w:tc>
          <w:tcPr>
            <w:tcW w:w="1170" w:type="dxa"/>
            <w:vAlign w:val="bottom"/>
          </w:tcPr>
          <w:p w14:paraId="39816B9D" w14:textId="77777777" w:rsidR="00E76D85" w:rsidRPr="00150BDF" w:rsidRDefault="00E76D85" w:rsidP="009F0991">
            <w:pPr>
              <w:widowControl w:val="0"/>
              <w:jc w:val="right"/>
              <w:rPr>
                <w:color w:val="0000FF"/>
              </w:rPr>
            </w:pPr>
          </w:p>
        </w:tc>
        <w:tc>
          <w:tcPr>
            <w:tcW w:w="720" w:type="dxa"/>
            <w:vAlign w:val="bottom"/>
          </w:tcPr>
          <w:p w14:paraId="350A281F" w14:textId="77777777" w:rsidR="00E76D85" w:rsidRPr="00150BDF" w:rsidRDefault="00E76D85" w:rsidP="009F0991">
            <w:pPr>
              <w:widowControl w:val="0"/>
              <w:jc w:val="right"/>
              <w:rPr>
                <w:color w:val="0000FF"/>
              </w:rPr>
            </w:pPr>
          </w:p>
        </w:tc>
        <w:tc>
          <w:tcPr>
            <w:tcW w:w="1260" w:type="dxa"/>
            <w:vAlign w:val="bottom"/>
          </w:tcPr>
          <w:p w14:paraId="61B20F0B" w14:textId="77777777" w:rsidR="00E76D85" w:rsidRPr="00150BDF" w:rsidRDefault="00E76D85" w:rsidP="009F0991">
            <w:pPr>
              <w:widowControl w:val="0"/>
              <w:jc w:val="right"/>
              <w:rPr>
                <w:color w:val="0000FF"/>
              </w:rPr>
            </w:pPr>
          </w:p>
        </w:tc>
        <w:tc>
          <w:tcPr>
            <w:tcW w:w="720" w:type="dxa"/>
            <w:vAlign w:val="bottom"/>
          </w:tcPr>
          <w:p w14:paraId="06F7F46A" w14:textId="77777777" w:rsidR="00E76D85" w:rsidRPr="00150BDF" w:rsidRDefault="00E76D85" w:rsidP="009F0991">
            <w:pPr>
              <w:widowControl w:val="0"/>
              <w:jc w:val="right"/>
              <w:rPr>
                <w:color w:val="0000FF"/>
              </w:rPr>
            </w:pPr>
          </w:p>
        </w:tc>
      </w:tr>
      <w:tr w:rsidR="00E76D85" w:rsidRPr="00706FCB" w14:paraId="6D8E8DA9" w14:textId="3606F648" w:rsidTr="00150BDF">
        <w:trPr>
          <w:cantSplit/>
        </w:trPr>
        <w:tc>
          <w:tcPr>
            <w:tcW w:w="2250" w:type="dxa"/>
            <w:vAlign w:val="bottom"/>
          </w:tcPr>
          <w:p w14:paraId="443AE49A"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Other income</w:t>
            </w:r>
          </w:p>
        </w:tc>
        <w:tc>
          <w:tcPr>
            <w:tcW w:w="2250" w:type="dxa"/>
            <w:vAlign w:val="bottom"/>
          </w:tcPr>
          <w:p w14:paraId="2260BE31" w14:textId="77777777" w:rsidR="00E76D85" w:rsidRPr="00150BDF" w:rsidRDefault="00E76D85" w:rsidP="009F0991">
            <w:pPr>
              <w:widowControl w:val="0"/>
              <w:jc w:val="right"/>
              <w:rPr>
                <w:color w:val="0000FF"/>
              </w:rPr>
            </w:pPr>
          </w:p>
        </w:tc>
        <w:tc>
          <w:tcPr>
            <w:tcW w:w="1080" w:type="dxa"/>
            <w:vAlign w:val="bottom"/>
          </w:tcPr>
          <w:p w14:paraId="746D13E5" w14:textId="77777777" w:rsidR="00E76D85" w:rsidRPr="00150BDF" w:rsidRDefault="00E76D85" w:rsidP="009F0991">
            <w:pPr>
              <w:widowControl w:val="0"/>
              <w:jc w:val="right"/>
              <w:rPr>
                <w:color w:val="0000FF"/>
              </w:rPr>
            </w:pPr>
          </w:p>
        </w:tc>
        <w:tc>
          <w:tcPr>
            <w:tcW w:w="1170" w:type="dxa"/>
            <w:vAlign w:val="bottom"/>
          </w:tcPr>
          <w:p w14:paraId="17A13DF1" w14:textId="77777777" w:rsidR="00E76D85" w:rsidRPr="00150BDF" w:rsidRDefault="00E76D85" w:rsidP="009F0991">
            <w:pPr>
              <w:widowControl w:val="0"/>
              <w:jc w:val="right"/>
              <w:rPr>
                <w:color w:val="0000FF"/>
              </w:rPr>
            </w:pPr>
          </w:p>
        </w:tc>
        <w:tc>
          <w:tcPr>
            <w:tcW w:w="720" w:type="dxa"/>
            <w:vAlign w:val="bottom"/>
          </w:tcPr>
          <w:p w14:paraId="1FD202DF" w14:textId="77777777" w:rsidR="00E76D85" w:rsidRPr="00150BDF" w:rsidRDefault="00E76D85" w:rsidP="009F0991">
            <w:pPr>
              <w:widowControl w:val="0"/>
              <w:jc w:val="right"/>
              <w:rPr>
                <w:color w:val="0000FF"/>
              </w:rPr>
            </w:pPr>
          </w:p>
        </w:tc>
        <w:tc>
          <w:tcPr>
            <w:tcW w:w="1260" w:type="dxa"/>
            <w:vAlign w:val="bottom"/>
          </w:tcPr>
          <w:p w14:paraId="56C4E0F4" w14:textId="77777777" w:rsidR="00E76D85" w:rsidRPr="00150BDF" w:rsidRDefault="00E76D85" w:rsidP="009F0991">
            <w:pPr>
              <w:widowControl w:val="0"/>
              <w:jc w:val="right"/>
              <w:rPr>
                <w:color w:val="0000FF"/>
              </w:rPr>
            </w:pPr>
          </w:p>
        </w:tc>
        <w:tc>
          <w:tcPr>
            <w:tcW w:w="720" w:type="dxa"/>
            <w:vAlign w:val="bottom"/>
          </w:tcPr>
          <w:p w14:paraId="59F6D678" w14:textId="77777777" w:rsidR="00E76D85" w:rsidRPr="00150BDF" w:rsidRDefault="00E76D85" w:rsidP="009F0991">
            <w:pPr>
              <w:widowControl w:val="0"/>
              <w:jc w:val="right"/>
              <w:rPr>
                <w:color w:val="0000FF"/>
              </w:rPr>
            </w:pPr>
          </w:p>
        </w:tc>
      </w:tr>
      <w:tr w:rsidR="00E76D85" w:rsidRPr="00706FCB" w14:paraId="57629ABC" w14:textId="3DB7DD9B" w:rsidTr="00150BDF">
        <w:trPr>
          <w:cantSplit/>
        </w:trPr>
        <w:tc>
          <w:tcPr>
            <w:tcW w:w="2250" w:type="dxa"/>
            <w:tcBorders>
              <w:bottom w:val="single" w:sz="4" w:space="0" w:color="000000"/>
            </w:tcBorders>
            <w:vAlign w:val="bottom"/>
          </w:tcPr>
          <w:p w14:paraId="10DD84F5"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b/>
                <w:color w:val="0000FF"/>
              </w:rPr>
              <w:t> </w:t>
            </w:r>
          </w:p>
        </w:tc>
        <w:tc>
          <w:tcPr>
            <w:tcW w:w="2250" w:type="dxa"/>
            <w:tcBorders>
              <w:bottom w:val="single" w:sz="4" w:space="0" w:color="000000"/>
            </w:tcBorders>
            <w:vAlign w:val="bottom"/>
          </w:tcPr>
          <w:p w14:paraId="1D426886" w14:textId="77777777" w:rsidR="00E76D85" w:rsidRPr="00150BDF" w:rsidRDefault="00E76D85" w:rsidP="009F0991">
            <w:pPr>
              <w:widowControl w:val="0"/>
              <w:jc w:val="right"/>
              <w:rPr>
                <w:color w:val="0000FF"/>
              </w:rPr>
            </w:pPr>
          </w:p>
        </w:tc>
        <w:tc>
          <w:tcPr>
            <w:tcW w:w="1080" w:type="dxa"/>
            <w:tcBorders>
              <w:bottom w:val="single" w:sz="4" w:space="0" w:color="000000"/>
            </w:tcBorders>
            <w:vAlign w:val="bottom"/>
          </w:tcPr>
          <w:p w14:paraId="17B09507" w14:textId="77777777" w:rsidR="00E76D85" w:rsidRPr="00150BDF" w:rsidRDefault="00E76D85" w:rsidP="009F0991">
            <w:pPr>
              <w:widowControl w:val="0"/>
              <w:jc w:val="right"/>
              <w:rPr>
                <w:color w:val="0000FF"/>
              </w:rPr>
            </w:pPr>
          </w:p>
        </w:tc>
        <w:tc>
          <w:tcPr>
            <w:tcW w:w="1170" w:type="dxa"/>
            <w:tcBorders>
              <w:bottom w:val="single" w:sz="4" w:space="0" w:color="000000"/>
            </w:tcBorders>
            <w:vAlign w:val="bottom"/>
          </w:tcPr>
          <w:p w14:paraId="6C51F7CB" w14:textId="77777777" w:rsidR="00E76D85" w:rsidRPr="00150BDF" w:rsidRDefault="00E76D85" w:rsidP="009F0991">
            <w:pPr>
              <w:widowControl w:val="0"/>
              <w:jc w:val="right"/>
              <w:rPr>
                <w:color w:val="0000FF"/>
              </w:rPr>
            </w:pPr>
          </w:p>
        </w:tc>
        <w:tc>
          <w:tcPr>
            <w:tcW w:w="720" w:type="dxa"/>
            <w:tcBorders>
              <w:bottom w:val="single" w:sz="4" w:space="0" w:color="000000"/>
            </w:tcBorders>
            <w:vAlign w:val="bottom"/>
          </w:tcPr>
          <w:p w14:paraId="1F9C272D" w14:textId="77777777" w:rsidR="00E76D85" w:rsidRPr="00150BDF" w:rsidRDefault="00E76D85" w:rsidP="009F0991">
            <w:pPr>
              <w:widowControl w:val="0"/>
              <w:jc w:val="right"/>
              <w:rPr>
                <w:color w:val="0000FF"/>
              </w:rPr>
            </w:pPr>
          </w:p>
        </w:tc>
        <w:tc>
          <w:tcPr>
            <w:tcW w:w="1260" w:type="dxa"/>
            <w:tcBorders>
              <w:bottom w:val="single" w:sz="4" w:space="0" w:color="000000"/>
            </w:tcBorders>
            <w:vAlign w:val="bottom"/>
          </w:tcPr>
          <w:p w14:paraId="4497A9B6" w14:textId="77777777" w:rsidR="00E76D85" w:rsidRPr="00150BDF" w:rsidRDefault="00E76D85" w:rsidP="009F0991">
            <w:pPr>
              <w:widowControl w:val="0"/>
              <w:jc w:val="right"/>
              <w:rPr>
                <w:color w:val="0000FF"/>
              </w:rPr>
            </w:pPr>
          </w:p>
        </w:tc>
        <w:tc>
          <w:tcPr>
            <w:tcW w:w="720" w:type="dxa"/>
            <w:tcBorders>
              <w:bottom w:val="single" w:sz="4" w:space="0" w:color="000000"/>
            </w:tcBorders>
            <w:vAlign w:val="bottom"/>
          </w:tcPr>
          <w:p w14:paraId="09568615" w14:textId="77777777" w:rsidR="00E76D85" w:rsidRPr="00150BDF" w:rsidRDefault="00E76D85" w:rsidP="009F0991">
            <w:pPr>
              <w:widowControl w:val="0"/>
              <w:jc w:val="right"/>
              <w:rPr>
                <w:color w:val="0000FF"/>
              </w:rPr>
            </w:pPr>
          </w:p>
        </w:tc>
      </w:tr>
      <w:tr w:rsidR="00E76D85" w:rsidRPr="00706FCB" w14:paraId="79DCF66A" w14:textId="405E0F3B" w:rsidTr="00150BDF">
        <w:trPr>
          <w:cantSplit/>
        </w:trPr>
        <w:tc>
          <w:tcPr>
            <w:tcW w:w="2250" w:type="dxa"/>
            <w:tcBorders>
              <w:top w:val="single" w:sz="4" w:space="0" w:color="000000"/>
            </w:tcBorders>
            <w:vAlign w:val="bottom"/>
          </w:tcPr>
          <w:p w14:paraId="7CD70698"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b/>
                <w:color w:val="0000FF"/>
              </w:rPr>
              <w:t> </w:t>
            </w:r>
          </w:p>
        </w:tc>
        <w:tc>
          <w:tcPr>
            <w:tcW w:w="2250" w:type="dxa"/>
            <w:tcBorders>
              <w:top w:val="single" w:sz="4" w:space="0" w:color="000000"/>
            </w:tcBorders>
            <w:vAlign w:val="bottom"/>
          </w:tcPr>
          <w:p w14:paraId="6024EF6D" w14:textId="77777777" w:rsidR="00E76D85" w:rsidRPr="00150BDF" w:rsidRDefault="00E76D85" w:rsidP="009F0991">
            <w:pPr>
              <w:widowControl w:val="0"/>
              <w:pBdr>
                <w:top w:val="nil"/>
                <w:left w:val="nil"/>
                <w:bottom w:val="nil"/>
                <w:right w:val="nil"/>
                <w:between w:val="nil"/>
              </w:pBdr>
              <w:jc w:val="right"/>
              <w:rPr>
                <w:color w:val="0000FF"/>
              </w:rPr>
            </w:pPr>
          </w:p>
        </w:tc>
        <w:tc>
          <w:tcPr>
            <w:tcW w:w="1080" w:type="dxa"/>
            <w:tcBorders>
              <w:top w:val="single" w:sz="4" w:space="0" w:color="000000"/>
            </w:tcBorders>
            <w:vAlign w:val="bottom"/>
          </w:tcPr>
          <w:p w14:paraId="04020C55" w14:textId="77777777" w:rsidR="00E76D85" w:rsidRPr="00150BDF" w:rsidRDefault="00E76D85" w:rsidP="009F0991">
            <w:pPr>
              <w:widowControl w:val="0"/>
              <w:pBdr>
                <w:top w:val="nil"/>
                <w:left w:val="nil"/>
                <w:bottom w:val="nil"/>
                <w:right w:val="nil"/>
                <w:between w:val="nil"/>
              </w:pBdr>
              <w:jc w:val="right"/>
              <w:rPr>
                <w:color w:val="0000FF"/>
              </w:rPr>
            </w:pPr>
          </w:p>
        </w:tc>
        <w:tc>
          <w:tcPr>
            <w:tcW w:w="1170" w:type="dxa"/>
            <w:tcBorders>
              <w:top w:val="single" w:sz="4" w:space="0" w:color="000000"/>
            </w:tcBorders>
            <w:vAlign w:val="bottom"/>
          </w:tcPr>
          <w:p w14:paraId="5D9FC349" w14:textId="77777777" w:rsidR="00E76D85" w:rsidRPr="00150BDF" w:rsidRDefault="00E76D85" w:rsidP="009F0991">
            <w:pPr>
              <w:widowControl w:val="0"/>
              <w:pBdr>
                <w:top w:val="nil"/>
                <w:left w:val="nil"/>
                <w:bottom w:val="nil"/>
                <w:right w:val="nil"/>
                <w:between w:val="nil"/>
              </w:pBdr>
              <w:jc w:val="right"/>
              <w:rPr>
                <w:color w:val="0000FF"/>
              </w:rPr>
            </w:pPr>
          </w:p>
        </w:tc>
        <w:tc>
          <w:tcPr>
            <w:tcW w:w="720" w:type="dxa"/>
            <w:tcBorders>
              <w:top w:val="single" w:sz="4" w:space="0" w:color="000000"/>
            </w:tcBorders>
            <w:vAlign w:val="bottom"/>
          </w:tcPr>
          <w:p w14:paraId="5513C061" w14:textId="77777777" w:rsidR="00E76D85" w:rsidRPr="00150BDF" w:rsidRDefault="00E76D85" w:rsidP="009F0991">
            <w:pPr>
              <w:widowControl w:val="0"/>
              <w:pBdr>
                <w:top w:val="nil"/>
                <w:left w:val="nil"/>
                <w:bottom w:val="nil"/>
                <w:right w:val="nil"/>
                <w:between w:val="nil"/>
              </w:pBdr>
              <w:jc w:val="right"/>
              <w:rPr>
                <w:color w:val="0000FF"/>
              </w:rPr>
            </w:pPr>
          </w:p>
        </w:tc>
        <w:tc>
          <w:tcPr>
            <w:tcW w:w="1260" w:type="dxa"/>
            <w:tcBorders>
              <w:top w:val="single" w:sz="4" w:space="0" w:color="000000"/>
            </w:tcBorders>
            <w:vAlign w:val="bottom"/>
          </w:tcPr>
          <w:p w14:paraId="71C8228D" w14:textId="77777777" w:rsidR="00E76D85" w:rsidRPr="00150BDF" w:rsidRDefault="00E76D85" w:rsidP="009F0991">
            <w:pPr>
              <w:widowControl w:val="0"/>
              <w:pBdr>
                <w:top w:val="nil"/>
                <w:left w:val="nil"/>
                <w:bottom w:val="nil"/>
                <w:right w:val="nil"/>
                <w:between w:val="nil"/>
              </w:pBdr>
              <w:jc w:val="right"/>
              <w:rPr>
                <w:color w:val="0000FF"/>
              </w:rPr>
            </w:pPr>
          </w:p>
        </w:tc>
        <w:tc>
          <w:tcPr>
            <w:tcW w:w="720" w:type="dxa"/>
            <w:tcBorders>
              <w:top w:val="single" w:sz="4" w:space="0" w:color="000000"/>
            </w:tcBorders>
            <w:vAlign w:val="bottom"/>
          </w:tcPr>
          <w:p w14:paraId="25E268D8" w14:textId="77777777" w:rsidR="00E76D85" w:rsidRPr="00150BDF" w:rsidRDefault="00E76D85" w:rsidP="009F0991">
            <w:pPr>
              <w:widowControl w:val="0"/>
              <w:pBdr>
                <w:top w:val="nil"/>
                <w:left w:val="nil"/>
                <w:bottom w:val="nil"/>
                <w:right w:val="nil"/>
                <w:between w:val="nil"/>
              </w:pBdr>
              <w:jc w:val="right"/>
              <w:rPr>
                <w:color w:val="0000FF"/>
              </w:rPr>
            </w:pPr>
          </w:p>
        </w:tc>
      </w:tr>
      <w:tr w:rsidR="00E76D85" w:rsidRPr="00706FCB" w14:paraId="1D0780FA" w14:textId="340C8885" w:rsidTr="00150BDF">
        <w:trPr>
          <w:cantSplit/>
        </w:trPr>
        <w:tc>
          <w:tcPr>
            <w:tcW w:w="2250" w:type="dxa"/>
            <w:vAlign w:val="bottom"/>
          </w:tcPr>
          <w:p w14:paraId="2CE63972" w14:textId="77777777" w:rsidR="00E76D85" w:rsidRPr="00150BDF" w:rsidRDefault="00E76D85" w:rsidP="009F0991">
            <w:pPr>
              <w:widowControl w:val="0"/>
              <w:pBdr>
                <w:top w:val="nil"/>
                <w:left w:val="nil"/>
                <w:bottom w:val="nil"/>
                <w:right w:val="nil"/>
                <w:between w:val="nil"/>
              </w:pBdr>
              <w:ind w:left="113" w:right="-57" w:hanging="113"/>
              <w:rPr>
                <w:b/>
                <w:color w:val="0000FF"/>
              </w:rPr>
            </w:pPr>
            <w:r w:rsidRPr="00150BDF">
              <w:rPr>
                <w:b/>
                <w:color w:val="0000FF"/>
              </w:rPr>
              <w:t>Total revenues</w:t>
            </w:r>
          </w:p>
        </w:tc>
        <w:tc>
          <w:tcPr>
            <w:tcW w:w="2250" w:type="dxa"/>
            <w:vAlign w:val="bottom"/>
          </w:tcPr>
          <w:p w14:paraId="1736847C" w14:textId="77777777" w:rsidR="00E76D85" w:rsidRPr="00150BDF" w:rsidRDefault="00E76D85" w:rsidP="009F0991">
            <w:pPr>
              <w:widowControl w:val="0"/>
              <w:jc w:val="right"/>
              <w:rPr>
                <w:b/>
                <w:color w:val="0000FF"/>
              </w:rPr>
            </w:pPr>
          </w:p>
        </w:tc>
        <w:tc>
          <w:tcPr>
            <w:tcW w:w="1080" w:type="dxa"/>
            <w:vAlign w:val="bottom"/>
          </w:tcPr>
          <w:p w14:paraId="21855A1F" w14:textId="77777777" w:rsidR="00E76D85" w:rsidRPr="00150BDF" w:rsidRDefault="00E76D85" w:rsidP="009F0991">
            <w:pPr>
              <w:widowControl w:val="0"/>
              <w:jc w:val="right"/>
              <w:rPr>
                <w:b/>
                <w:color w:val="0000FF"/>
              </w:rPr>
            </w:pPr>
          </w:p>
        </w:tc>
        <w:tc>
          <w:tcPr>
            <w:tcW w:w="1170" w:type="dxa"/>
            <w:vAlign w:val="bottom"/>
          </w:tcPr>
          <w:p w14:paraId="13DF1F45" w14:textId="77777777" w:rsidR="00E76D85" w:rsidRPr="00150BDF" w:rsidRDefault="00E76D85" w:rsidP="009F0991">
            <w:pPr>
              <w:widowControl w:val="0"/>
              <w:jc w:val="right"/>
              <w:rPr>
                <w:b/>
                <w:color w:val="0000FF"/>
              </w:rPr>
            </w:pPr>
          </w:p>
        </w:tc>
        <w:tc>
          <w:tcPr>
            <w:tcW w:w="720" w:type="dxa"/>
            <w:vAlign w:val="bottom"/>
          </w:tcPr>
          <w:p w14:paraId="71BF62E5" w14:textId="77777777" w:rsidR="00E76D85" w:rsidRPr="00150BDF" w:rsidRDefault="00E76D85" w:rsidP="009F0991">
            <w:pPr>
              <w:widowControl w:val="0"/>
              <w:jc w:val="right"/>
              <w:rPr>
                <w:b/>
                <w:color w:val="0000FF"/>
              </w:rPr>
            </w:pPr>
          </w:p>
        </w:tc>
        <w:tc>
          <w:tcPr>
            <w:tcW w:w="1260" w:type="dxa"/>
            <w:vAlign w:val="bottom"/>
          </w:tcPr>
          <w:p w14:paraId="5641DA4F" w14:textId="77777777" w:rsidR="00E76D85" w:rsidRPr="00150BDF" w:rsidRDefault="00E76D85" w:rsidP="009F0991">
            <w:pPr>
              <w:widowControl w:val="0"/>
              <w:jc w:val="right"/>
              <w:rPr>
                <w:b/>
                <w:color w:val="0000FF"/>
              </w:rPr>
            </w:pPr>
          </w:p>
        </w:tc>
        <w:tc>
          <w:tcPr>
            <w:tcW w:w="720" w:type="dxa"/>
            <w:vAlign w:val="bottom"/>
          </w:tcPr>
          <w:p w14:paraId="3760F0ED" w14:textId="77777777" w:rsidR="00E76D85" w:rsidRPr="00150BDF" w:rsidRDefault="00E76D85" w:rsidP="009F0991">
            <w:pPr>
              <w:widowControl w:val="0"/>
              <w:jc w:val="right"/>
              <w:rPr>
                <w:b/>
                <w:color w:val="0000FF"/>
              </w:rPr>
            </w:pPr>
          </w:p>
        </w:tc>
      </w:tr>
      <w:tr w:rsidR="00E76D85" w:rsidRPr="00706FCB" w14:paraId="01363D6B" w14:textId="6A425C1C" w:rsidTr="00150BDF">
        <w:trPr>
          <w:cantSplit/>
        </w:trPr>
        <w:tc>
          <w:tcPr>
            <w:tcW w:w="2250" w:type="dxa"/>
            <w:tcBorders>
              <w:bottom w:val="single" w:sz="12" w:space="0" w:color="000000"/>
            </w:tcBorders>
            <w:vAlign w:val="bottom"/>
          </w:tcPr>
          <w:p w14:paraId="43EBB83C" w14:textId="77777777" w:rsidR="00E76D85" w:rsidRPr="00150BDF" w:rsidRDefault="00E76D85" w:rsidP="009F0991">
            <w:pPr>
              <w:widowControl w:val="0"/>
              <w:pBdr>
                <w:top w:val="nil"/>
                <w:left w:val="nil"/>
                <w:bottom w:val="nil"/>
                <w:right w:val="nil"/>
                <w:between w:val="nil"/>
              </w:pBdr>
              <w:ind w:left="113" w:right="-57" w:hanging="113"/>
              <w:rPr>
                <w:color w:val="0000FF"/>
              </w:rPr>
            </w:pPr>
          </w:p>
        </w:tc>
        <w:tc>
          <w:tcPr>
            <w:tcW w:w="2250" w:type="dxa"/>
            <w:tcBorders>
              <w:bottom w:val="single" w:sz="12" w:space="0" w:color="000000"/>
            </w:tcBorders>
            <w:vAlign w:val="bottom"/>
          </w:tcPr>
          <w:p w14:paraId="45079F3A" w14:textId="77777777" w:rsidR="00E76D85" w:rsidRPr="00150BDF" w:rsidRDefault="00E76D85" w:rsidP="009F0991">
            <w:pPr>
              <w:widowControl w:val="0"/>
              <w:jc w:val="right"/>
              <w:rPr>
                <w:color w:val="0000FF"/>
              </w:rPr>
            </w:pPr>
          </w:p>
        </w:tc>
        <w:tc>
          <w:tcPr>
            <w:tcW w:w="1080" w:type="dxa"/>
            <w:tcBorders>
              <w:bottom w:val="single" w:sz="12" w:space="0" w:color="000000"/>
            </w:tcBorders>
            <w:vAlign w:val="bottom"/>
          </w:tcPr>
          <w:p w14:paraId="50744E35" w14:textId="77777777" w:rsidR="00E76D85" w:rsidRPr="00150BDF" w:rsidRDefault="00E76D85" w:rsidP="009F0991">
            <w:pPr>
              <w:widowControl w:val="0"/>
              <w:jc w:val="right"/>
              <w:rPr>
                <w:color w:val="0000FF"/>
              </w:rPr>
            </w:pPr>
          </w:p>
        </w:tc>
        <w:tc>
          <w:tcPr>
            <w:tcW w:w="1170" w:type="dxa"/>
            <w:tcBorders>
              <w:bottom w:val="single" w:sz="12" w:space="0" w:color="000000"/>
            </w:tcBorders>
            <w:vAlign w:val="bottom"/>
          </w:tcPr>
          <w:p w14:paraId="18E934CD" w14:textId="77777777" w:rsidR="00E76D85" w:rsidRPr="00150BDF" w:rsidRDefault="00E76D85" w:rsidP="009F0991">
            <w:pPr>
              <w:widowControl w:val="0"/>
              <w:jc w:val="right"/>
              <w:rPr>
                <w:color w:val="0000FF"/>
              </w:rPr>
            </w:pPr>
          </w:p>
        </w:tc>
        <w:tc>
          <w:tcPr>
            <w:tcW w:w="720" w:type="dxa"/>
            <w:tcBorders>
              <w:bottom w:val="single" w:sz="12" w:space="0" w:color="000000"/>
            </w:tcBorders>
            <w:vAlign w:val="bottom"/>
          </w:tcPr>
          <w:p w14:paraId="459B6561" w14:textId="77777777" w:rsidR="00E76D85" w:rsidRPr="00150BDF" w:rsidRDefault="00E76D85" w:rsidP="009F0991">
            <w:pPr>
              <w:widowControl w:val="0"/>
              <w:jc w:val="right"/>
              <w:rPr>
                <w:color w:val="0000FF"/>
              </w:rPr>
            </w:pPr>
          </w:p>
        </w:tc>
        <w:tc>
          <w:tcPr>
            <w:tcW w:w="1260" w:type="dxa"/>
            <w:tcBorders>
              <w:bottom w:val="single" w:sz="12" w:space="0" w:color="000000"/>
            </w:tcBorders>
            <w:vAlign w:val="bottom"/>
          </w:tcPr>
          <w:p w14:paraId="758D09F6" w14:textId="77777777" w:rsidR="00E76D85" w:rsidRPr="00150BDF" w:rsidRDefault="00E76D85" w:rsidP="009F0991">
            <w:pPr>
              <w:widowControl w:val="0"/>
              <w:jc w:val="right"/>
              <w:rPr>
                <w:color w:val="0000FF"/>
              </w:rPr>
            </w:pPr>
          </w:p>
        </w:tc>
        <w:tc>
          <w:tcPr>
            <w:tcW w:w="720" w:type="dxa"/>
            <w:tcBorders>
              <w:bottom w:val="single" w:sz="12" w:space="0" w:color="000000"/>
            </w:tcBorders>
            <w:vAlign w:val="bottom"/>
          </w:tcPr>
          <w:p w14:paraId="3EC40666" w14:textId="77777777" w:rsidR="00E76D85" w:rsidRPr="00150BDF" w:rsidRDefault="00E76D85" w:rsidP="009F0991">
            <w:pPr>
              <w:widowControl w:val="0"/>
              <w:jc w:val="right"/>
              <w:rPr>
                <w:color w:val="0000FF"/>
              </w:rPr>
            </w:pPr>
          </w:p>
        </w:tc>
      </w:tr>
      <w:tr w:rsidR="00E76D85" w:rsidRPr="00706FCB" w14:paraId="07B92B8B" w14:textId="564F0C1D" w:rsidTr="00150BDF">
        <w:trPr>
          <w:cantSplit/>
        </w:trPr>
        <w:tc>
          <w:tcPr>
            <w:tcW w:w="2250" w:type="dxa"/>
            <w:tcBorders>
              <w:top w:val="single" w:sz="12" w:space="0" w:color="000000"/>
            </w:tcBorders>
            <w:vAlign w:val="bottom"/>
          </w:tcPr>
          <w:p w14:paraId="18DED47E"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b/>
                <w:color w:val="0000FF"/>
              </w:rPr>
              <w:t> </w:t>
            </w:r>
          </w:p>
        </w:tc>
        <w:tc>
          <w:tcPr>
            <w:tcW w:w="2250" w:type="dxa"/>
            <w:tcBorders>
              <w:top w:val="single" w:sz="12" w:space="0" w:color="000000"/>
            </w:tcBorders>
            <w:vAlign w:val="bottom"/>
          </w:tcPr>
          <w:p w14:paraId="378A961B" w14:textId="77777777" w:rsidR="00E76D85" w:rsidRPr="00150BDF" w:rsidRDefault="00E76D85" w:rsidP="009F0991">
            <w:pPr>
              <w:widowControl w:val="0"/>
              <w:jc w:val="right"/>
              <w:rPr>
                <w:color w:val="0000FF"/>
              </w:rPr>
            </w:pPr>
          </w:p>
        </w:tc>
        <w:tc>
          <w:tcPr>
            <w:tcW w:w="1080" w:type="dxa"/>
            <w:tcBorders>
              <w:top w:val="single" w:sz="12" w:space="0" w:color="000000"/>
            </w:tcBorders>
            <w:vAlign w:val="bottom"/>
          </w:tcPr>
          <w:p w14:paraId="5AAD4EDB" w14:textId="77777777" w:rsidR="00E76D85" w:rsidRPr="00150BDF" w:rsidRDefault="00E76D85" w:rsidP="009F0991">
            <w:pPr>
              <w:widowControl w:val="0"/>
              <w:jc w:val="right"/>
              <w:rPr>
                <w:color w:val="0000FF"/>
              </w:rPr>
            </w:pPr>
          </w:p>
        </w:tc>
        <w:tc>
          <w:tcPr>
            <w:tcW w:w="1170" w:type="dxa"/>
            <w:tcBorders>
              <w:top w:val="single" w:sz="12" w:space="0" w:color="000000"/>
            </w:tcBorders>
            <w:vAlign w:val="bottom"/>
          </w:tcPr>
          <w:p w14:paraId="45B6FCD4" w14:textId="77777777" w:rsidR="00E76D85" w:rsidRPr="00150BDF" w:rsidRDefault="00E76D85" w:rsidP="009F0991">
            <w:pPr>
              <w:widowControl w:val="0"/>
              <w:jc w:val="right"/>
              <w:rPr>
                <w:color w:val="0000FF"/>
              </w:rPr>
            </w:pPr>
          </w:p>
        </w:tc>
        <w:tc>
          <w:tcPr>
            <w:tcW w:w="720" w:type="dxa"/>
            <w:tcBorders>
              <w:top w:val="single" w:sz="12" w:space="0" w:color="000000"/>
            </w:tcBorders>
            <w:vAlign w:val="bottom"/>
          </w:tcPr>
          <w:p w14:paraId="180E1F9E" w14:textId="77777777" w:rsidR="00E76D85" w:rsidRPr="00150BDF" w:rsidRDefault="00E76D85" w:rsidP="009F0991">
            <w:pPr>
              <w:widowControl w:val="0"/>
              <w:jc w:val="right"/>
              <w:rPr>
                <w:color w:val="0000FF"/>
              </w:rPr>
            </w:pPr>
          </w:p>
        </w:tc>
        <w:tc>
          <w:tcPr>
            <w:tcW w:w="1260" w:type="dxa"/>
            <w:tcBorders>
              <w:top w:val="single" w:sz="12" w:space="0" w:color="000000"/>
            </w:tcBorders>
            <w:vAlign w:val="bottom"/>
          </w:tcPr>
          <w:p w14:paraId="70DFB8A0" w14:textId="77777777" w:rsidR="00E76D85" w:rsidRPr="00150BDF" w:rsidRDefault="00E76D85" w:rsidP="009F0991">
            <w:pPr>
              <w:widowControl w:val="0"/>
              <w:jc w:val="right"/>
              <w:rPr>
                <w:color w:val="0000FF"/>
              </w:rPr>
            </w:pPr>
          </w:p>
        </w:tc>
        <w:tc>
          <w:tcPr>
            <w:tcW w:w="720" w:type="dxa"/>
            <w:tcBorders>
              <w:top w:val="single" w:sz="12" w:space="0" w:color="000000"/>
            </w:tcBorders>
            <w:vAlign w:val="bottom"/>
          </w:tcPr>
          <w:p w14:paraId="51BAD639" w14:textId="77777777" w:rsidR="00E76D85" w:rsidRPr="00150BDF" w:rsidRDefault="00E76D85" w:rsidP="009F0991">
            <w:pPr>
              <w:widowControl w:val="0"/>
              <w:jc w:val="right"/>
              <w:rPr>
                <w:color w:val="0000FF"/>
              </w:rPr>
            </w:pPr>
          </w:p>
        </w:tc>
      </w:tr>
      <w:tr w:rsidR="00E76D85" w:rsidRPr="00706FCB" w14:paraId="60DA3614" w14:textId="31DCCE98" w:rsidTr="00150BDF">
        <w:trPr>
          <w:cantSplit/>
        </w:trPr>
        <w:tc>
          <w:tcPr>
            <w:tcW w:w="2250" w:type="dxa"/>
            <w:vAlign w:val="bottom"/>
          </w:tcPr>
          <w:p w14:paraId="65C81703"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Changes in inventories of finished goods and work in progress</w:t>
            </w:r>
          </w:p>
        </w:tc>
        <w:tc>
          <w:tcPr>
            <w:tcW w:w="2250" w:type="dxa"/>
            <w:vAlign w:val="bottom"/>
          </w:tcPr>
          <w:p w14:paraId="4827ABAD" w14:textId="77777777" w:rsidR="00E76D85" w:rsidRPr="00150BDF" w:rsidRDefault="00E76D85" w:rsidP="009F0991">
            <w:pPr>
              <w:widowControl w:val="0"/>
              <w:jc w:val="right"/>
              <w:rPr>
                <w:b/>
                <w:color w:val="0000FF"/>
              </w:rPr>
            </w:pPr>
          </w:p>
        </w:tc>
        <w:tc>
          <w:tcPr>
            <w:tcW w:w="1080" w:type="dxa"/>
            <w:vAlign w:val="bottom"/>
          </w:tcPr>
          <w:p w14:paraId="34F1E0AB" w14:textId="77777777" w:rsidR="00E76D85" w:rsidRPr="00150BDF" w:rsidRDefault="00E76D85" w:rsidP="009F0991">
            <w:pPr>
              <w:widowControl w:val="0"/>
              <w:jc w:val="right"/>
              <w:rPr>
                <w:b/>
                <w:color w:val="0000FF"/>
              </w:rPr>
            </w:pPr>
          </w:p>
        </w:tc>
        <w:tc>
          <w:tcPr>
            <w:tcW w:w="1170" w:type="dxa"/>
            <w:vAlign w:val="bottom"/>
          </w:tcPr>
          <w:p w14:paraId="3E44CB46" w14:textId="77777777" w:rsidR="00E76D85" w:rsidRPr="00150BDF" w:rsidRDefault="00E76D85" w:rsidP="009F0991">
            <w:pPr>
              <w:widowControl w:val="0"/>
              <w:jc w:val="right"/>
              <w:rPr>
                <w:b/>
                <w:color w:val="0000FF"/>
              </w:rPr>
            </w:pPr>
          </w:p>
        </w:tc>
        <w:tc>
          <w:tcPr>
            <w:tcW w:w="720" w:type="dxa"/>
            <w:vAlign w:val="bottom"/>
          </w:tcPr>
          <w:p w14:paraId="70371D62" w14:textId="77777777" w:rsidR="00E76D85" w:rsidRPr="00150BDF" w:rsidRDefault="00E76D85" w:rsidP="009F0991">
            <w:pPr>
              <w:widowControl w:val="0"/>
              <w:jc w:val="right"/>
              <w:rPr>
                <w:b/>
                <w:color w:val="0000FF"/>
              </w:rPr>
            </w:pPr>
          </w:p>
        </w:tc>
        <w:tc>
          <w:tcPr>
            <w:tcW w:w="1260" w:type="dxa"/>
            <w:vAlign w:val="bottom"/>
          </w:tcPr>
          <w:p w14:paraId="0D6F3A75" w14:textId="77777777" w:rsidR="00E76D85" w:rsidRPr="00150BDF" w:rsidRDefault="00E76D85" w:rsidP="009F0991">
            <w:pPr>
              <w:widowControl w:val="0"/>
              <w:jc w:val="right"/>
              <w:rPr>
                <w:b/>
                <w:color w:val="0000FF"/>
              </w:rPr>
            </w:pPr>
          </w:p>
        </w:tc>
        <w:tc>
          <w:tcPr>
            <w:tcW w:w="720" w:type="dxa"/>
            <w:vAlign w:val="bottom"/>
          </w:tcPr>
          <w:p w14:paraId="7F2245BC" w14:textId="77777777" w:rsidR="00E76D85" w:rsidRPr="00150BDF" w:rsidRDefault="00E76D85" w:rsidP="009F0991">
            <w:pPr>
              <w:widowControl w:val="0"/>
              <w:jc w:val="right"/>
              <w:rPr>
                <w:b/>
                <w:color w:val="0000FF"/>
              </w:rPr>
            </w:pPr>
          </w:p>
        </w:tc>
      </w:tr>
      <w:tr w:rsidR="00E76D85" w:rsidRPr="00706FCB" w14:paraId="70C293F0" w14:textId="4E2FD73C" w:rsidTr="00150BDF">
        <w:trPr>
          <w:cantSplit/>
        </w:trPr>
        <w:tc>
          <w:tcPr>
            <w:tcW w:w="2250" w:type="dxa"/>
            <w:vAlign w:val="bottom"/>
          </w:tcPr>
          <w:p w14:paraId="2E5995FA"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Raw materials and consumables used</w:t>
            </w:r>
          </w:p>
        </w:tc>
        <w:tc>
          <w:tcPr>
            <w:tcW w:w="2250" w:type="dxa"/>
            <w:vAlign w:val="bottom"/>
          </w:tcPr>
          <w:p w14:paraId="3DDB6333" w14:textId="77777777" w:rsidR="00E76D85" w:rsidRPr="00150BDF" w:rsidRDefault="00E76D85" w:rsidP="009F0991">
            <w:pPr>
              <w:widowControl w:val="0"/>
              <w:jc w:val="right"/>
              <w:rPr>
                <w:b/>
                <w:color w:val="0000FF"/>
              </w:rPr>
            </w:pPr>
          </w:p>
        </w:tc>
        <w:tc>
          <w:tcPr>
            <w:tcW w:w="1080" w:type="dxa"/>
            <w:vAlign w:val="bottom"/>
          </w:tcPr>
          <w:p w14:paraId="24796B07" w14:textId="77777777" w:rsidR="00E76D85" w:rsidRPr="00150BDF" w:rsidRDefault="00E76D85" w:rsidP="009F0991">
            <w:pPr>
              <w:widowControl w:val="0"/>
              <w:jc w:val="right"/>
              <w:rPr>
                <w:b/>
                <w:color w:val="0000FF"/>
              </w:rPr>
            </w:pPr>
          </w:p>
        </w:tc>
        <w:tc>
          <w:tcPr>
            <w:tcW w:w="1170" w:type="dxa"/>
            <w:vAlign w:val="bottom"/>
          </w:tcPr>
          <w:p w14:paraId="610BBAAA" w14:textId="77777777" w:rsidR="00E76D85" w:rsidRPr="00150BDF" w:rsidRDefault="00E76D85" w:rsidP="009F0991">
            <w:pPr>
              <w:widowControl w:val="0"/>
              <w:jc w:val="right"/>
              <w:rPr>
                <w:b/>
                <w:color w:val="0000FF"/>
              </w:rPr>
            </w:pPr>
          </w:p>
        </w:tc>
        <w:tc>
          <w:tcPr>
            <w:tcW w:w="720" w:type="dxa"/>
            <w:vAlign w:val="bottom"/>
          </w:tcPr>
          <w:p w14:paraId="1A0504C5" w14:textId="77777777" w:rsidR="00E76D85" w:rsidRPr="00150BDF" w:rsidRDefault="00E76D85" w:rsidP="009F0991">
            <w:pPr>
              <w:widowControl w:val="0"/>
              <w:jc w:val="right"/>
              <w:rPr>
                <w:b/>
                <w:color w:val="0000FF"/>
              </w:rPr>
            </w:pPr>
          </w:p>
        </w:tc>
        <w:tc>
          <w:tcPr>
            <w:tcW w:w="1260" w:type="dxa"/>
            <w:vAlign w:val="bottom"/>
          </w:tcPr>
          <w:p w14:paraId="4D94BA74" w14:textId="77777777" w:rsidR="00E76D85" w:rsidRPr="00150BDF" w:rsidRDefault="00E76D85" w:rsidP="009F0991">
            <w:pPr>
              <w:widowControl w:val="0"/>
              <w:jc w:val="right"/>
              <w:rPr>
                <w:b/>
                <w:color w:val="0000FF"/>
              </w:rPr>
            </w:pPr>
          </w:p>
        </w:tc>
        <w:tc>
          <w:tcPr>
            <w:tcW w:w="720" w:type="dxa"/>
            <w:vAlign w:val="bottom"/>
          </w:tcPr>
          <w:p w14:paraId="5DC1D984" w14:textId="77777777" w:rsidR="00E76D85" w:rsidRPr="00150BDF" w:rsidRDefault="00E76D85" w:rsidP="009F0991">
            <w:pPr>
              <w:widowControl w:val="0"/>
              <w:jc w:val="right"/>
              <w:rPr>
                <w:b/>
                <w:color w:val="0000FF"/>
              </w:rPr>
            </w:pPr>
          </w:p>
        </w:tc>
      </w:tr>
      <w:tr w:rsidR="00E76D85" w:rsidRPr="00706FCB" w14:paraId="16C9F483" w14:textId="73B74FC5" w:rsidTr="00150BDF">
        <w:trPr>
          <w:cantSplit/>
        </w:trPr>
        <w:tc>
          <w:tcPr>
            <w:tcW w:w="2250" w:type="dxa"/>
            <w:vAlign w:val="bottom"/>
          </w:tcPr>
          <w:p w14:paraId="73B2491B"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Employee benefits expense</w:t>
            </w:r>
          </w:p>
        </w:tc>
        <w:tc>
          <w:tcPr>
            <w:tcW w:w="2250" w:type="dxa"/>
            <w:vAlign w:val="bottom"/>
          </w:tcPr>
          <w:p w14:paraId="19AB98CE" w14:textId="77777777" w:rsidR="00E76D85" w:rsidRPr="00150BDF" w:rsidRDefault="00E76D85" w:rsidP="009F0991">
            <w:pPr>
              <w:widowControl w:val="0"/>
              <w:jc w:val="right"/>
              <w:rPr>
                <w:b/>
                <w:color w:val="0000FF"/>
              </w:rPr>
            </w:pPr>
          </w:p>
        </w:tc>
        <w:tc>
          <w:tcPr>
            <w:tcW w:w="1080" w:type="dxa"/>
            <w:vAlign w:val="bottom"/>
          </w:tcPr>
          <w:p w14:paraId="6711E462" w14:textId="77777777" w:rsidR="00E76D85" w:rsidRPr="00150BDF" w:rsidRDefault="00E76D85" w:rsidP="009F0991">
            <w:pPr>
              <w:widowControl w:val="0"/>
              <w:jc w:val="right"/>
              <w:rPr>
                <w:b/>
                <w:color w:val="0000FF"/>
              </w:rPr>
            </w:pPr>
          </w:p>
        </w:tc>
        <w:tc>
          <w:tcPr>
            <w:tcW w:w="1170" w:type="dxa"/>
            <w:vAlign w:val="bottom"/>
          </w:tcPr>
          <w:p w14:paraId="347383BB" w14:textId="77777777" w:rsidR="00E76D85" w:rsidRPr="00150BDF" w:rsidRDefault="00E76D85" w:rsidP="009F0991">
            <w:pPr>
              <w:widowControl w:val="0"/>
              <w:jc w:val="right"/>
              <w:rPr>
                <w:b/>
                <w:color w:val="0000FF"/>
              </w:rPr>
            </w:pPr>
          </w:p>
        </w:tc>
        <w:tc>
          <w:tcPr>
            <w:tcW w:w="720" w:type="dxa"/>
            <w:vAlign w:val="bottom"/>
          </w:tcPr>
          <w:p w14:paraId="4E9167A3" w14:textId="77777777" w:rsidR="00E76D85" w:rsidRPr="00150BDF" w:rsidRDefault="00E76D85" w:rsidP="009F0991">
            <w:pPr>
              <w:widowControl w:val="0"/>
              <w:jc w:val="right"/>
              <w:rPr>
                <w:b/>
                <w:color w:val="0000FF"/>
              </w:rPr>
            </w:pPr>
          </w:p>
        </w:tc>
        <w:tc>
          <w:tcPr>
            <w:tcW w:w="1260" w:type="dxa"/>
            <w:vAlign w:val="bottom"/>
          </w:tcPr>
          <w:p w14:paraId="3B41B5BA" w14:textId="77777777" w:rsidR="00E76D85" w:rsidRPr="00150BDF" w:rsidRDefault="00E76D85" w:rsidP="009F0991">
            <w:pPr>
              <w:widowControl w:val="0"/>
              <w:jc w:val="right"/>
              <w:rPr>
                <w:b/>
                <w:color w:val="0000FF"/>
              </w:rPr>
            </w:pPr>
          </w:p>
        </w:tc>
        <w:tc>
          <w:tcPr>
            <w:tcW w:w="720" w:type="dxa"/>
            <w:vAlign w:val="bottom"/>
          </w:tcPr>
          <w:p w14:paraId="62E56E6B" w14:textId="77777777" w:rsidR="00E76D85" w:rsidRPr="00150BDF" w:rsidRDefault="00E76D85" w:rsidP="009F0991">
            <w:pPr>
              <w:widowControl w:val="0"/>
              <w:jc w:val="right"/>
              <w:rPr>
                <w:b/>
                <w:color w:val="0000FF"/>
              </w:rPr>
            </w:pPr>
          </w:p>
        </w:tc>
      </w:tr>
      <w:tr w:rsidR="00E76D85" w:rsidRPr="00706FCB" w14:paraId="41BCA5E1" w14:textId="4F8EACFA" w:rsidTr="00150BDF">
        <w:trPr>
          <w:cantSplit/>
        </w:trPr>
        <w:tc>
          <w:tcPr>
            <w:tcW w:w="2250" w:type="dxa"/>
            <w:vAlign w:val="bottom"/>
          </w:tcPr>
          <w:p w14:paraId="5CB5FFCF"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Depreciation of property, plant and equipment</w:t>
            </w:r>
          </w:p>
        </w:tc>
        <w:tc>
          <w:tcPr>
            <w:tcW w:w="2250" w:type="dxa"/>
            <w:vAlign w:val="bottom"/>
          </w:tcPr>
          <w:p w14:paraId="4D238735" w14:textId="77777777" w:rsidR="00E76D85" w:rsidRPr="00150BDF" w:rsidRDefault="00E76D85" w:rsidP="009F0991">
            <w:pPr>
              <w:widowControl w:val="0"/>
              <w:jc w:val="right"/>
              <w:rPr>
                <w:b/>
                <w:color w:val="0000FF"/>
              </w:rPr>
            </w:pPr>
          </w:p>
        </w:tc>
        <w:tc>
          <w:tcPr>
            <w:tcW w:w="1080" w:type="dxa"/>
            <w:vAlign w:val="bottom"/>
          </w:tcPr>
          <w:p w14:paraId="6706E261" w14:textId="77777777" w:rsidR="00E76D85" w:rsidRPr="00150BDF" w:rsidRDefault="00E76D85" w:rsidP="009F0991">
            <w:pPr>
              <w:widowControl w:val="0"/>
              <w:jc w:val="right"/>
              <w:rPr>
                <w:b/>
                <w:color w:val="0000FF"/>
              </w:rPr>
            </w:pPr>
          </w:p>
        </w:tc>
        <w:tc>
          <w:tcPr>
            <w:tcW w:w="1170" w:type="dxa"/>
            <w:vAlign w:val="bottom"/>
          </w:tcPr>
          <w:p w14:paraId="0E27932F" w14:textId="77777777" w:rsidR="00E76D85" w:rsidRPr="00150BDF" w:rsidRDefault="00E76D85" w:rsidP="009F0991">
            <w:pPr>
              <w:widowControl w:val="0"/>
              <w:jc w:val="right"/>
              <w:rPr>
                <w:b/>
                <w:color w:val="0000FF"/>
              </w:rPr>
            </w:pPr>
          </w:p>
        </w:tc>
        <w:tc>
          <w:tcPr>
            <w:tcW w:w="720" w:type="dxa"/>
            <w:vAlign w:val="bottom"/>
          </w:tcPr>
          <w:p w14:paraId="1F4633CA" w14:textId="77777777" w:rsidR="00E76D85" w:rsidRPr="00150BDF" w:rsidRDefault="00E76D85" w:rsidP="009F0991">
            <w:pPr>
              <w:widowControl w:val="0"/>
              <w:jc w:val="right"/>
              <w:rPr>
                <w:b/>
                <w:color w:val="0000FF"/>
              </w:rPr>
            </w:pPr>
          </w:p>
        </w:tc>
        <w:tc>
          <w:tcPr>
            <w:tcW w:w="1260" w:type="dxa"/>
            <w:vAlign w:val="bottom"/>
          </w:tcPr>
          <w:p w14:paraId="633D8B52" w14:textId="77777777" w:rsidR="00E76D85" w:rsidRPr="00150BDF" w:rsidRDefault="00E76D85" w:rsidP="009F0991">
            <w:pPr>
              <w:widowControl w:val="0"/>
              <w:jc w:val="right"/>
              <w:rPr>
                <w:b/>
                <w:color w:val="0000FF"/>
              </w:rPr>
            </w:pPr>
          </w:p>
        </w:tc>
        <w:tc>
          <w:tcPr>
            <w:tcW w:w="720" w:type="dxa"/>
            <w:vAlign w:val="bottom"/>
          </w:tcPr>
          <w:p w14:paraId="4B16B8CE" w14:textId="77777777" w:rsidR="00E76D85" w:rsidRPr="00150BDF" w:rsidRDefault="00E76D85" w:rsidP="009F0991">
            <w:pPr>
              <w:widowControl w:val="0"/>
              <w:jc w:val="right"/>
              <w:rPr>
                <w:b/>
                <w:color w:val="0000FF"/>
              </w:rPr>
            </w:pPr>
          </w:p>
        </w:tc>
      </w:tr>
      <w:tr w:rsidR="00E76D85" w:rsidRPr="00706FCB" w14:paraId="14292229" w14:textId="527AE457" w:rsidTr="00150BDF">
        <w:trPr>
          <w:cantSplit/>
        </w:trPr>
        <w:tc>
          <w:tcPr>
            <w:tcW w:w="2250" w:type="dxa"/>
            <w:vAlign w:val="bottom"/>
          </w:tcPr>
          <w:p w14:paraId="7D3489EB"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Impairment of property, plant and equipment</w:t>
            </w:r>
          </w:p>
        </w:tc>
        <w:tc>
          <w:tcPr>
            <w:tcW w:w="2250" w:type="dxa"/>
            <w:vAlign w:val="bottom"/>
          </w:tcPr>
          <w:p w14:paraId="639BECC3" w14:textId="77777777" w:rsidR="00E76D85" w:rsidRPr="00150BDF" w:rsidRDefault="00E76D85" w:rsidP="009F0991">
            <w:pPr>
              <w:widowControl w:val="0"/>
              <w:jc w:val="right"/>
              <w:rPr>
                <w:b/>
                <w:color w:val="0000FF"/>
              </w:rPr>
            </w:pPr>
          </w:p>
        </w:tc>
        <w:tc>
          <w:tcPr>
            <w:tcW w:w="1080" w:type="dxa"/>
            <w:vAlign w:val="bottom"/>
          </w:tcPr>
          <w:p w14:paraId="6FD6E05C" w14:textId="77777777" w:rsidR="00E76D85" w:rsidRPr="00150BDF" w:rsidRDefault="00E76D85" w:rsidP="009F0991">
            <w:pPr>
              <w:widowControl w:val="0"/>
              <w:jc w:val="right"/>
              <w:rPr>
                <w:b/>
                <w:color w:val="0000FF"/>
              </w:rPr>
            </w:pPr>
          </w:p>
        </w:tc>
        <w:tc>
          <w:tcPr>
            <w:tcW w:w="1170" w:type="dxa"/>
            <w:vAlign w:val="bottom"/>
          </w:tcPr>
          <w:p w14:paraId="216A1C5D" w14:textId="77777777" w:rsidR="00E76D85" w:rsidRPr="00150BDF" w:rsidRDefault="00E76D85" w:rsidP="009F0991">
            <w:pPr>
              <w:widowControl w:val="0"/>
              <w:jc w:val="right"/>
              <w:rPr>
                <w:b/>
                <w:color w:val="0000FF"/>
              </w:rPr>
            </w:pPr>
          </w:p>
        </w:tc>
        <w:tc>
          <w:tcPr>
            <w:tcW w:w="720" w:type="dxa"/>
            <w:vAlign w:val="bottom"/>
          </w:tcPr>
          <w:p w14:paraId="7ECEE7D5" w14:textId="77777777" w:rsidR="00E76D85" w:rsidRPr="00150BDF" w:rsidRDefault="00E76D85" w:rsidP="009F0991">
            <w:pPr>
              <w:widowControl w:val="0"/>
              <w:jc w:val="right"/>
              <w:rPr>
                <w:b/>
                <w:color w:val="0000FF"/>
              </w:rPr>
            </w:pPr>
          </w:p>
        </w:tc>
        <w:tc>
          <w:tcPr>
            <w:tcW w:w="1260" w:type="dxa"/>
            <w:vAlign w:val="bottom"/>
          </w:tcPr>
          <w:p w14:paraId="62A0E497" w14:textId="77777777" w:rsidR="00E76D85" w:rsidRPr="00150BDF" w:rsidRDefault="00E76D85" w:rsidP="009F0991">
            <w:pPr>
              <w:widowControl w:val="0"/>
              <w:jc w:val="right"/>
              <w:rPr>
                <w:b/>
                <w:color w:val="0000FF"/>
              </w:rPr>
            </w:pPr>
          </w:p>
        </w:tc>
        <w:tc>
          <w:tcPr>
            <w:tcW w:w="720" w:type="dxa"/>
            <w:vAlign w:val="bottom"/>
          </w:tcPr>
          <w:p w14:paraId="516E6BC4" w14:textId="77777777" w:rsidR="00E76D85" w:rsidRPr="00150BDF" w:rsidRDefault="00E76D85" w:rsidP="009F0991">
            <w:pPr>
              <w:widowControl w:val="0"/>
              <w:jc w:val="right"/>
              <w:rPr>
                <w:b/>
                <w:color w:val="0000FF"/>
              </w:rPr>
            </w:pPr>
          </w:p>
        </w:tc>
      </w:tr>
      <w:tr w:rsidR="00E76D85" w:rsidRPr="00706FCB" w14:paraId="51FC5A0C" w14:textId="24649B41" w:rsidTr="00150BDF">
        <w:trPr>
          <w:cantSplit/>
        </w:trPr>
        <w:tc>
          <w:tcPr>
            <w:tcW w:w="2250" w:type="dxa"/>
            <w:vAlign w:val="bottom"/>
          </w:tcPr>
          <w:p w14:paraId="09103E36"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Impairment of goodwill</w:t>
            </w:r>
          </w:p>
        </w:tc>
        <w:tc>
          <w:tcPr>
            <w:tcW w:w="2250" w:type="dxa"/>
            <w:vAlign w:val="bottom"/>
          </w:tcPr>
          <w:p w14:paraId="4F2F63C0" w14:textId="77777777" w:rsidR="00E76D85" w:rsidRPr="00150BDF" w:rsidRDefault="00E76D85" w:rsidP="009F0991">
            <w:pPr>
              <w:widowControl w:val="0"/>
              <w:jc w:val="right"/>
              <w:rPr>
                <w:b/>
                <w:color w:val="0000FF"/>
              </w:rPr>
            </w:pPr>
          </w:p>
        </w:tc>
        <w:tc>
          <w:tcPr>
            <w:tcW w:w="1080" w:type="dxa"/>
            <w:vAlign w:val="bottom"/>
          </w:tcPr>
          <w:p w14:paraId="68129730" w14:textId="77777777" w:rsidR="00E76D85" w:rsidRPr="00150BDF" w:rsidRDefault="00E76D85" w:rsidP="009F0991">
            <w:pPr>
              <w:widowControl w:val="0"/>
              <w:jc w:val="right"/>
              <w:rPr>
                <w:b/>
                <w:color w:val="0000FF"/>
              </w:rPr>
            </w:pPr>
          </w:p>
        </w:tc>
        <w:tc>
          <w:tcPr>
            <w:tcW w:w="1170" w:type="dxa"/>
            <w:vAlign w:val="bottom"/>
          </w:tcPr>
          <w:p w14:paraId="2C3EEF7F" w14:textId="77777777" w:rsidR="00E76D85" w:rsidRPr="00150BDF" w:rsidRDefault="00E76D85" w:rsidP="009F0991">
            <w:pPr>
              <w:widowControl w:val="0"/>
              <w:jc w:val="right"/>
              <w:rPr>
                <w:b/>
                <w:color w:val="0000FF"/>
              </w:rPr>
            </w:pPr>
          </w:p>
        </w:tc>
        <w:tc>
          <w:tcPr>
            <w:tcW w:w="720" w:type="dxa"/>
            <w:vAlign w:val="bottom"/>
          </w:tcPr>
          <w:p w14:paraId="05769390" w14:textId="77777777" w:rsidR="00E76D85" w:rsidRPr="00150BDF" w:rsidRDefault="00E76D85" w:rsidP="009F0991">
            <w:pPr>
              <w:widowControl w:val="0"/>
              <w:jc w:val="right"/>
              <w:rPr>
                <w:b/>
                <w:color w:val="0000FF"/>
              </w:rPr>
            </w:pPr>
          </w:p>
        </w:tc>
        <w:tc>
          <w:tcPr>
            <w:tcW w:w="1260" w:type="dxa"/>
            <w:vAlign w:val="bottom"/>
          </w:tcPr>
          <w:p w14:paraId="3107A62C" w14:textId="77777777" w:rsidR="00E76D85" w:rsidRPr="00150BDF" w:rsidRDefault="00E76D85" w:rsidP="009F0991">
            <w:pPr>
              <w:widowControl w:val="0"/>
              <w:jc w:val="right"/>
              <w:rPr>
                <w:b/>
                <w:color w:val="0000FF"/>
              </w:rPr>
            </w:pPr>
          </w:p>
        </w:tc>
        <w:tc>
          <w:tcPr>
            <w:tcW w:w="720" w:type="dxa"/>
            <w:vAlign w:val="bottom"/>
          </w:tcPr>
          <w:p w14:paraId="0D7EBBEE" w14:textId="77777777" w:rsidR="00E76D85" w:rsidRPr="00150BDF" w:rsidRDefault="00E76D85" w:rsidP="009F0991">
            <w:pPr>
              <w:widowControl w:val="0"/>
              <w:jc w:val="right"/>
              <w:rPr>
                <w:b/>
                <w:color w:val="0000FF"/>
              </w:rPr>
            </w:pPr>
          </w:p>
        </w:tc>
      </w:tr>
      <w:tr w:rsidR="00E76D85" w:rsidRPr="00706FCB" w14:paraId="5F7FE5A0" w14:textId="738FF82E" w:rsidTr="00150BDF">
        <w:trPr>
          <w:cantSplit/>
        </w:trPr>
        <w:tc>
          <w:tcPr>
            <w:tcW w:w="2250" w:type="dxa"/>
            <w:vAlign w:val="bottom"/>
          </w:tcPr>
          <w:p w14:paraId="59176E3A"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Net impairment losses on financial and contract assets</w:t>
            </w:r>
          </w:p>
        </w:tc>
        <w:tc>
          <w:tcPr>
            <w:tcW w:w="2250" w:type="dxa"/>
            <w:vAlign w:val="bottom"/>
          </w:tcPr>
          <w:p w14:paraId="72EC882D" w14:textId="77777777" w:rsidR="00E76D85" w:rsidRPr="00150BDF" w:rsidRDefault="00E76D85" w:rsidP="009F0991">
            <w:pPr>
              <w:widowControl w:val="0"/>
              <w:jc w:val="right"/>
              <w:rPr>
                <w:b/>
                <w:color w:val="0000FF"/>
              </w:rPr>
            </w:pPr>
          </w:p>
        </w:tc>
        <w:tc>
          <w:tcPr>
            <w:tcW w:w="1080" w:type="dxa"/>
            <w:vAlign w:val="bottom"/>
          </w:tcPr>
          <w:p w14:paraId="77310FC5" w14:textId="77777777" w:rsidR="00E76D85" w:rsidRPr="00150BDF" w:rsidRDefault="00E76D85" w:rsidP="009F0991">
            <w:pPr>
              <w:widowControl w:val="0"/>
              <w:jc w:val="right"/>
              <w:rPr>
                <w:b/>
                <w:color w:val="0000FF"/>
              </w:rPr>
            </w:pPr>
          </w:p>
        </w:tc>
        <w:tc>
          <w:tcPr>
            <w:tcW w:w="1170" w:type="dxa"/>
            <w:vAlign w:val="bottom"/>
          </w:tcPr>
          <w:p w14:paraId="3036E849" w14:textId="77777777" w:rsidR="00E76D85" w:rsidRPr="00150BDF" w:rsidRDefault="00E76D85" w:rsidP="009F0991">
            <w:pPr>
              <w:widowControl w:val="0"/>
              <w:jc w:val="right"/>
              <w:rPr>
                <w:b/>
                <w:color w:val="0000FF"/>
              </w:rPr>
            </w:pPr>
          </w:p>
        </w:tc>
        <w:tc>
          <w:tcPr>
            <w:tcW w:w="720" w:type="dxa"/>
            <w:vAlign w:val="bottom"/>
          </w:tcPr>
          <w:p w14:paraId="457A0BC4" w14:textId="77777777" w:rsidR="00E76D85" w:rsidRPr="00150BDF" w:rsidRDefault="00E76D85" w:rsidP="009F0991">
            <w:pPr>
              <w:widowControl w:val="0"/>
              <w:jc w:val="right"/>
              <w:rPr>
                <w:b/>
                <w:color w:val="0000FF"/>
              </w:rPr>
            </w:pPr>
          </w:p>
        </w:tc>
        <w:tc>
          <w:tcPr>
            <w:tcW w:w="1260" w:type="dxa"/>
            <w:vAlign w:val="bottom"/>
          </w:tcPr>
          <w:p w14:paraId="76223079" w14:textId="77777777" w:rsidR="00E76D85" w:rsidRPr="00150BDF" w:rsidRDefault="00E76D85" w:rsidP="009F0991">
            <w:pPr>
              <w:widowControl w:val="0"/>
              <w:jc w:val="right"/>
              <w:rPr>
                <w:b/>
                <w:color w:val="0000FF"/>
              </w:rPr>
            </w:pPr>
          </w:p>
        </w:tc>
        <w:tc>
          <w:tcPr>
            <w:tcW w:w="720" w:type="dxa"/>
            <w:vAlign w:val="bottom"/>
          </w:tcPr>
          <w:p w14:paraId="18AA7CBC" w14:textId="77777777" w:rsidR="00E76D85" w:rsidRPr="00150BDF" w:rsidRDefault="00E76D85" w:rsidP="009F0991">
            <w:pPr>
              <w:widowControl w:val="0"/>
              <w:jc w:val="right"/>
              <w:rPr>
                <w:b/>
                <w:color w:val="0000FF"/>
              </w:rPr>
            </w:pPr>
          </w:p>
        </w:tc>
      </w:tr>
      <w:tr w:rsidR="00E76D85" w:rsidRPr="00706FCB" w14:paraId="10818087" w14:textId="79F8DCDF" w:rsidTr="00150BDF">
        <w:trPr>
          <w:cantSplit/>
        </w:trPr>
        <w:tc>
          <w:tcPr>
            <w:tcW w:w="2250" w:type="dxa"/>
            <w:vAlign w:val="bottom"/>
          </w:tcPr>
          <w:p w14:paraId="48992735"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xml:space="preserve">Services </w:t>
            </w:r>
          </w:p>
        </w:tc>
        <w:tc>
          <w:tcPr>
            <w:tcW w:w="2250" w:type="dxa"/>
            <w:vAlign w:val="bottom"/>
          </w:tcPr>
          <w:p w14:paraId="3681EE4D" w14:textId="77777777" w:rsidR="00E76D85" w:rsidRPr="00150BDF" w:rsidRDefault="00E76D85" w:rsidP="009F0991">
            <w:pPr>
              <w:widowControl w:val="0"/>
              <w:jc w:val="right"/>
              <w:rPr>
                <w:b/>
                <w:color w:val="0000FF"/>
              </w:rPr>
            </w:pPr>
          </w:p>
        </w:tc>
        <w:tc>
          <w:tcPr>
            <w:tcW w:w="1080" w:type="dxa"/>
            <w:vAlign w:val="bottom"/>
          </w:tcPr>
          <w:p w14:paraId="319FD5D7" w14:textId="77777777" w:rsidR="00E76D85" w:rsidRPr="00150BDF" w:rsidRDefault="00E76D85" w:rsidP="009F0991">
            <w:pPr>
              <w:widowControl w:val="0"/>
              <w:jc w:val="right"/>
              <w:rPr>
                <w:b/>
                <w:color w:val="0000FF"/>
              </w:rPr>
            </w:pPr>
          </w:p>
        </w:tc>
        <w:tc>
          <w:tcPr>
            <w:tcW w:w="1170" w:type="dxa"/>
            <w:vAlign w:val="bottom"/>
          </w:tcPr>
          <w:p w14:paraId="5BDB7916" w14:textId="77777777" w:rsidR="00E76D85" w:rsidRPr="00150BDF" w:rsidRDefault="00E76D85" w:rsidP="009F0991">
            <w:pPr>
              <w:widowControl w:val="0"/>
              <w:jc w:val="right"/>
              <w:rPr>
                <w:b/>
                <w:color w:val="0000FF"/>
              </w:rPr>
            </w:pPr>
          </w:p>
        </w:tc>
        <w:tc>
          <w:tcPr>
            <w:tcW w:w="720" w:type="dxa"/>
            <w:vAlign w:val="bottom"/>
          </w:tcPr>
          <w:p w14:paraId="0DC134FC" w14:textId="77777777" w:rsidR="00E76D85" w:rsidRPr="00150BDF" w:rsidRDefault="00E76D85" w:rsidP="009F0991">
            <w:pPr>
              <w:widowControl w:val="0"/>
              <w:jc w:val="right"/>
              <w:rPr>
                <w:b/>
                <w:color w:val="0000FF"/>
              </w:rPr>
            </w:pPr>
          </w:p>
        </w:tc>
        <w:tc>
          <w:tcPr>
            <w:tcW w:w="1260" w:type="dxa"/>
            <w:vAlign w:val="bottom"/>
          </w:tcPr>
          <w:p w14:paraId="481A61EA" w14:textId="77777777" w:rsidR="00E76D85" w:rsidRPr="00150BDF" w:rsidRDefault="00E76D85" w:rsidP="009F0991">
            <w:pPr>
              <w:widowControl w:val="0"/>
              <w:jc w:val="right"/>
              <w:rPr>
                <w:b/>
                <w:color w:val="0000FF"/>
              </w:rPr>
            </w:pPr>
          </w:p>
        </w:tc>
        <w:tc>
          <w:tcPr>
            <w:tcW w:w="720" w:type="dxa"/>
            <w:vAlign w:val="bottom"/>
          </w:tcPr>
          <w:p w14:paraId="372B3AF4" w14:textId="77777777" w:rsidR="00E76D85" w:rsidRPr="00150BDF" w:rsidRDefault="00E76D85" w:rsidP="009F0991">
            <w:pPr>
              <w:widowControl w:val="0"/>
              <w:jc w:val="right"/>
              <w:rPr>
                <w:b/>
                <w:color w:val="0000FF"/>
              </w:rPr>
            </w:pPr>
          </w:p>
        </w:tc>
      </w:tr>
      <w:tr w:rsidR="00E76D85" w:rsidRPr="00706FCB" w14:paraId="49ABD162" w14:textId="621DF19E" w:rsidTr="00150BDF">
        <w:trPr>
          <w:cantSplit/>
        </w:trPr>
        <w:tc>
          <w:tcPr>
            <w:tcW w:w="2250" w:type="dxa"/>
            <w:vAlign w:val="bottom"/>
          </w:tcPr>
          <w:p w14:paraId="532C855F"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xml:space="preserve">Gain </w:t>
            </w:r>
            <w:r w:rsidRPr="00D21182">
              <w:rPr>
                <w:color w:val="0000FF"/>
              </w:rPr>
              <w:t>[Loss]</w:t>
            </w:r>
            <w:r w:rsidRPr="00150BDF">
              <w:rPr>
                <w:color w:val="0000FF"/>
              </w:rPr>
              <w:t xml:space="preserve"> on sale of a subsidiary</w:t>
            </w:r>
          </w:p>
        </w:tc>
        <w:tc>
          <w:tcPr>
            <w:tcW w:w="2250" w:type="dxa"/>
            <w:vAlign w:val="bottom"/>
          </w:tcPr>
          <w:p w14:paraId="6E056E8B" w14:textId="77777777" w:rsidR="00E76D85" w:rsidRPr="00150BDF" w:rsidRDefault="00E76D85" w:rsidP="009F0991">
            <w:pPr>
              <w:widowControl w:val="0"/>
              <w:jc w:val="right"/>
              <w:rPr>
                <w:b/>
                <w:color w:val="0000FF"/>
              </w:rPr>
            </w:pPr>
          </w:p>
        </w:tc>
        <w:tc>
          <w:tcPr>
            <w:tcW w:w="1080" w:type="dxa"/>
            <w:vAlign w:val="bottom"/>
          </w:tcPr>
          <w:p w14:paraId="616EACF3" w14:textId="77777777" w:rsidR="00E76D85" w:rsidRPr="00150BDF" w:rsidRDefault="00E76D85" w:rsidP="009F0991">
            <w:pPr>
              <w:widowControl w:val="0"/>
              <w:jc w:val="right"/>
              <w:rPr>
                <w:b/>
                <w:color w:val="0000FF"/>
              </w:rPr>
            </w:pPr>
          </w:p>
        </w:tc>
        <w:tc>
          <w:tcPr>
            <w:tcW w:w="1170" w:type="dxa"/>
            <w:vAlign w:val="bottom"/>
          </w:tcPr>
          <w:p w14:paraId="6DEDDA30" w14:textId="77777777" w:rsidR="00E76D85" w:rsidRPr="00150BDF" w:rsidRDefault="00E76D85" w:rsidP="009F0991">
            <w:pPr>
              <w:widowControl w:val="0"/>
              <w:jc w:val="right"/>
              <w:rPr>
                <w:b/>
                <w:color w:val="0000FF"/>
              </w:rPr>
            </w:pPr>
          </w:p>
        </w:tc>
        <w:tc>
          <w:tcPr>
            <w:tcW w:w="720" w:type="dxa"/>
            <w:vAlign w:val="bottom"/>
          </w:tcPr>
          <w:p w14:paraId="58D86390" w14:textId="77777777" w:rsidR="00E76D85" w:rsidRPr="00150BDF" w:rsidRDefault="00E76D85" w:rsidP="009F0991">
            <w:pPr>
              <w:widowControl w:val="0"/>
              <w:jc w:val="right"/>
              <w:rPr>
                <w:b/>
                <w:color w:val="0000FF"/>
              </w:rPr>
            </w:pPr>
          </w:p>
        </w:tc>
        <w:tc>
          <w:tcPr>
            <w:tcW w:w="1260" w:type="dxa"/>
            <w:vAlign w:val="bottom"/>
          </w:tcPr>
          <w:p w14:paraId="00707C89" w14:textId="77777777" w:rsidR="00E76D85" w:rsidRPr="00150BDF" w:rsidRDefault="00E76D85" w:rsidP="009F0991">
            <w:pPr>
              <w:widowControl w:val="0"/>
              <w:jc w:val="right"/>
              <w:rPr>
                <w:b/>
                <w:color w:val="0000FF"/>
              </w:rPr>
            </w:pPr>
          </w:p>
        </w:tc>
        <w:tc>
          <w:tcPr>
            <w:tcW w:w="720" w:type="dxa"/>
            <w:vAlign w:val="bottom"/>
          </w:tcPr>
          <w:p w14:paraId="7666327D" w14:textId="77777777" w:rsidR="00E76D85" w:rsidRPr="00150BDF" w:rsidRDefault="00E76D85" w:rsidP="009F0991">
            <w:pPr>
              <w:widowControl w:val="0"/>
              <w:jc w:val="right"/>
              <w:rPr>
                <w:b/>
                <w:color w:val="0000FF"/>
              </w:rPr>
            </w:pPr>
          </w:p>
        </w:tc>
      </w:tr>
      <w:tr w:rsidR="00E76D85" w:rsidRPr="00706FCB" w14:paraId="63FAF9E7" w14:textId="64F0437A" w:rsidTr="00150BDF">
        <w:trPr>
          <w:cantSplit/>
        </w:trPr>
        <w:tc>
          <w:tcPr>
            <w:tcW w:w="2250" w:type="dxa"/>
            <w:vAlign w:val="bottom"/>
          </w:tcPr>
          <w:p w14:paraId="5F8C783D"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Gains less losses on disposals of property, plant and equipment</w:t>
            </w:r>
          </w:p>
        </w:tc>
        <w:tc>
          <w:tcPr>
            <w:tcW w:w="2250" w:type="dxa"/>
            <w:vAlign w:val="bottom"/>
          </w:tcPr>
          <w:p w14:paraId="2AED9B9F" w14:textId="77777777" w:rsidR="00E76D85" w:rsidRPr="00150BDF" w:rsidRDefault="00E76D85" w:rsidP="009F0991">
            <w:pPr>
              <w:widowControl w:val="0"/>
              <w:jc w:val="right"/>
              <w:rPr>
                <w:b/>
                <w:color w:val="0000FF"/>
              </w:rPr>
            </w:pPr>
          </w:p>
        </w:tc>
        <w:tc>
          <w:tcPr>
            <w:tcW w:w="1080" w:type="dxa"/>
            <w:vAlign w:val="bottom"/>
          </w:tcPr>
          <w:p w14:paraId="7877E5F8" w14:textId="77777777" w:rsidR="00E76D85" w:rsidRPr="00150BDF" w:rsidRDefault="00E76D85" w:rsidP="009F0991">
            <w:pPr>
              <w:widowControl w:val="0"/>
              <w:jc w:val="right"/>
              <w:rPr>
                <w:b/>
                <w:color w:val="0000FF"/>
              </w:rPr>
            </w:pPr>
          </w:p>
        </w:tc>
        <w:tc>
          <w:tcPr>
            <w:tcW w:w="1170" w:type="dxa"/>
            <w:vAlign w:val="bottom"/>
          </w:tcPr>
          <w:p w14:paraId="2ABE58AD" w14:textId="77777777" w:rsidR="00E76D85" w:rsidRPr="00150BDF" w:rsidRDefault="00E76D85" w:rsidP="009F0991">
            <w:pPr>
              <w:widowControl w:val="0"/>
              <w:jc w:val="right"/>
              <w:rPr>
                <w:b/>
                <w:color w:val="0000FF"/>
              </w:rPr>
            </w:pPr>
          </w:p>
        </w:tc>
        <w:tc>
          <w:tcPr>
            <w:tcW w:w="720" w:type="dxa"/>
            <w:vAlign w:val="bottom"/>
          </w:tcPr>
          <w:p w14:paraId="635CA8CE" w14:textId="77777777" w:rsidR="00E76D85" w:rsidRPr="00150BDF" w:rsidRDefault="00E76D85" w:rsidP="009F0991">
            <w:pPr>
              <w:widowControl w:val="0"/>
              <w:jc w:val="right"/>
              <w:rPr>
                <w:b/>
                <w:color w:val="0000FF"/>
              </w:rPr>
            </w:pPr>
          </w:p>
        </w:tc>
        <w:tc>
          <w:tcPr>
            <w:tcW w:w="1260" w:type="dxa"/>
            <w:vAlign w:val="bottom"/>
          </w:tcPr>
          <w:p w14:paraId="74C4DD5F" w14:textId="77777777" w:rsidR="00E76D85" w:rsidRPr="00150BDF" w:rsidRDefault="00E76D85" w:rsidP="009F0991">
            <w:pPr>
              <w:widowControl w:val="0"/>
              <w:jc w:val="right"/>
              <w:rPr>
                <w:b/>
                <w:color w:val="0000FF"/>
              </w:rPr>
            </w:pPr>
          </w:p>
        </w:tc>
        <w:tc>
          <w:tcPr>
            <w:tcW w:w="720" w:type="dxa"/>
            <w:vAlign w:val="bottom"/>
          </w:tcPr>
          <w:p w14:paraId="3F6D6CFD" w14:textId="77777777" w:rsidR="00E76D85" w:rsidRPr="00150BDF" w:rsidRDefault="00E76D85" w:rsidP="009F0991">
            <w:pPr>
              <w:widowControl w:val="0"/>
              <w:jc w:val="right"/>
              <w:rPr>
                <w:b/>
                <w:color w:val="0000FF"/>
              </w:rPr>
            </w:pPr>
          </w:p>
        </w:tc>
      </w:tr>
      <w:tr w:rsidR="00E76D85" w:rsidRPr="00706FCB" w14:paraId="542197F1" w14:textId="5E7B31DA" w:rsidTr="00150BDF">
        <w:trPr>
          <w:cantSplit/>
        </w:trPr>
        <w:tc>
          <w:tcPr>
            <w:tcW w:w="2250" w:type="dxa"/>
            <w:vAlign w:val="bottom"/>
          </w:tcPr>
          <w:p w14:paraId="2E520483" w14:textId="77777777" w:rsidR="00E76D85" w:rsidRPr="00150BDF" w:rsidRDefault="00E76D85" w:rsidP="009F0991">
            <w:pPr>
              <w:widowControl w:val="0"/>
              <w:pBdr>
                <w:top w:val="nil"/>
                <w:left w:val="nil"/>
                <w:bottom w:val="nil"/>
                <w:right w:val="nil"/>
                <w:between w:val="nil"/>
              </w:pBdr>
              <w:ind w:left="113" w:right="-57" w:hanging="113"/>
              <w:rPr>
                <w:color w:val="0000FF"/>
              </w:rPr>
            </w:pPr>
            <w:r w:rsidRPr="00150BDF">
              <w:rPr>
                <w:color w:val="0000FF"/>
              </w:rPr>
              <w:t xml:space="preserve">Other gains/(losses), net </w:t>
            </w:r>
          </w:p>
        </w:tc>
        <w:tc>
          <w:tcPr>
            <w:tcW w:w="2250" w:type="dxa"/>
            <w:vAlign w:val="bottom"/>
          </w:tcPr>
          <w:p w14:paraId="1B83D728" w14:textId="77777777" w:rsidR="00E76D85" w:rsidRPr="00150BDF" w:rsidRDefault="00E76D85" w:rsidP="009F0991">
            <w:pPr>
              <w:widowControl w:val="0"/>
              <w:jc w:val="right"/>
              <w:rPr>
                <w:color w:val="0000FF"/>
              </w:rPr>
            </w:pPr>
          </w:p>
        </w:tc>
        <w:tc>
          <w:tcPr>
            <w:tcW w:w="1080" w:type="dxa"/>
            <w:vAlign w:val="bottom"/>
          </w:tcPr>
          <w:p w14:paraId="2BE1CA89" w14:textId="77777777" w:rsidR="00E76D85" w:rsidRPr="00150BDF" w:rsidRDefault="00E76D85" w:rsidP="009F0991">
            <w:pPr>
              <w:widowControl w:val="0"/>
              <w:jc w:val="right"/>
              <w:rPr>
                <w:color w:val="0000FF"/>
              </w:rPr>
            </w:pPr>
          </w:p>
        </w:tc>
        <w:tc>
          <w:tcPr>
            <w:tcW w:w="1170" w:type="dxa"/>
            <w:vAlign w:val="bottom"/>
          </w:tcPr>
          <w:p w14:paraId="1023BBAB" w14:textId="77777777" w:rsidR="00E76D85" w:rsidRPr="00150BDF" w:rsidRDefault="00E76D85" w:rsidP="009F0991">
            <w:pPr>
              <w:widowControl w:val="0"/>
              <w:jc w:val="right"/>
              <w:rPr>
                <w:color w:val="0000FF"/>
              </w:rPr>
            </w:pPr>
          </w:p>
        </w:tc>
        <w:tc>
          <w:tcPr>
            <w:tcW w:w="720" w:type="dxa"/>
            <w:vAlign w:val="bottom"/>
          </w:tcPr>
          <w:p w14:paraId="45E3570D" w14:textId="77777777" w:rsidR="00E76D85" w:rsidRPr="00150BDF" w:rsidRDefault="00E76D85" w:rsidP="009F0991">
            <w:pPr>
              <w:widowControl w:val="0"/>
              <w:jc w:val="right"/>
              <w:rPr>
                <w:color w:val="0000FF"/>
              </w:rPr>
            </w:pPr>
          </w:p>
        </w:tc>
        <w:tc>
          <w:tcPr>
            <w:tcW w:w="1260" w:type="dxa"/>
            <w:vAlign w:val="bottom"/>
          </w:tcPr>
          <w:p w14:paraId="3D8F75F3" w14:textId="77777777" w:rsidR="00E76D85" w:rsidRPr="00150BDF" w:rsidRDefault="00E76D85" w:rsidP="009F0991">
            <w:pPr>
              <w:widowControl w:val="0"/>
              <w:jc w:val="right"/>
              <w:rPr>
                <w:color w:val="0000FF"/>
              </w:rPr>
            </w:pPr>
          </w:p>
        </w:tc>
        <w:tc>
          <w:tcPr>
            <w:tcW w:w="720" w:type="dxa"/>
            <w:vAlign w:val="bottom"/>
          </w:tcPr>
          <w:p w14:paraId="43ACB827" w14:textId="77777777" w:rsidR="00E76D85" w:rsidRPr="00150BDF" w:rsidRDefault="00E76D85" w:rsidP="009F0991">
            <w:pPr>
              <w:widowControl w:val="0"/>
              <w:jc w:val="right"/>
              <w:rPr>
                <w:color w:val="0000FF"/>
              </w:rPr>
            </w:pPr>
          </w:p>
        </w:tc>
      </w:tr>
      <w:tr w:rsidR="00E76D85" w:rsidRPr="00706FCB" w14:paraId="13118649" w14:textId="3587EFD0" w:rsidTr="00150BDF">
        <w:trPr>
          <w:cantSplit/>
        </w:trPr>
        <w:tc>
          <w:tcPr>
            <w:tcW w:w="2250" w:type="dxa"/>
            <w:vAlign w:val="bottom"/>
          </w:tcPr>
          <w:p w14:paraId="27CEE858" w14:textId="77777777" w:rsidR="00E76D85" w:rsidRPr="00D21182" w:rsidRDefault="00E76D85" w:rsidP="009F0991">
            <w:pPr>
              <w:widowControl w:val="0"/>
              <w:pBdr>
                <w:top w:val="nil"/>
                <w:left w:val="nil"/>
                <w:bottom w:val="nil"/>
                <w:right w:val="nil"/>
                <w:between w:val="nil"/>
              </w:pBdr>
              <w:ind w:left="113" w:right="-57" w:hanging="113"/>
              <w:rPr>
                <w:color w:val="0000FF"/>
              </w:rPr>
            </w:pPr>
            <w:r w:rsidRPr="00D21182">
              <w:rPr>
                <w:color w:val="0000FF"/>
              </w:rPr>
              <w:t>[Material non-cash items other than depreciation and amortisation – expand as appropriate]</w:t>
            </w:r>
          </w:p>
        </w:tc>
        <w:tc>
          <w:tcPr>
            <w:tcW w:w="2250" w:type="dxa"/>
            <w:vAlign w:val="bottom"/>
          </w:tcPr>
          <w:p w14:paraId="47B4521B" w14:textId="77777777" w:rsidR="00E76D85" w:rsidRPr="00150BDF" w:rsidRDefault="00E76D85" w:rsidP="009F0991">
            <w:pPr>
              <w:widowControl w:val="0"/>
              <w:jc w:val="right"/>
              <w:rPr>
                <w:color w:val="0000FF"/>
              </w:rPr>
            </w:pPr>
          </w:p>
        </w:tc>
        <w:tc>
          <w:tcPr>
            <w:tcW w:w="1080" w:type="dxa"/>
            <w:vAlign w:val="bottom"/>
          </w:tcPr>
          <w:p w14:paraId="6BBEC35A" w14:textId="77777777" w:rsidR="00E76D85" w:rsidRPr="00150BDF" w:rsidRDefault="00E76D85" w:rsidP="009F0991">
            <w:pPr>
              <w:widowControl w:val="0"/>
              <w:jc w:val="right"/>
              <w:rPr>
                <w:color w:val="0000FF"/>
              </w:rPr>
            </w:pPr>
          </w:p>
        </w:tc>
        <w:tc>
          <w:tcPr>
            <w:tcW w:w="1170" w:type="dxa"/>
            <w:vAlign w:val="bottom"/>
          </w:tcPr>
          <w:p w14:paraId="105942F8" w14:textId="77777777" w:rsidR="00E76D85" w:rsidRPr="00150BDF" w:rsidRDefault="00E76D85" w:rsidP="009F0991">
            <w:pPr>
              <w:widowControl w:val="0"/>
              <w:jc w:val="right"/>
              <w:rPr>
                <w:color w:val="0000FF"/>
              </w:rPr>
            </w:pPr>
          </w:p>
        </w:tc>
        <w:tc>
          <w:tcPr>
            <w:tcW w:w="720" w:type="dxa"/>
            <w:vAlign w:val="bottom"/>
          </w:tcPr>
          <w:p w14:paraId="4B6ACD87" w14:textId="77777777" w:rsidR="00E76D85" w:rsidRPr="00150BDF" w:rsidRDefault="00E76D85" w:rsidP="009F0991">
            <w:pPr>
              <w:widowControl w:val="0"/>
              <w:jc w:val="right"/>
              <w:rPr>
                <w:color w:val="0000FF"/>
              </w:rPr>
            </w:pPr>
          </w:p>
        </w:tc>
        <w:tc>
          <w:tcPr>
            <w:tcW w:w="1260" w:type="dxa"/>
            <w:vAlign w:val="bottom"/>
          </w:tcPr>
          <w:p w14:paraId="5B5B9F0A" w14:textId="77777777" w:rsidR="00E76D85" w:rsidRPr="00150BDF" w:rsidRDefault="00E76D85" w:rsidP="009F0991">
            <w:pPr>
              <w:widowControl w:val="0"/>
              <w:jc w:val="right"/>
              <w:rPr>
                <w:color w:val="0000FF"/>
              </w:rPr>
            </w:pPr>
          </w:p>
        </w:tc>
        <w:tc>
          <w:tcPr>
            <w:tcW w:w="720" w:type="dxa"/>
            <w:vAlign w:val="bottom"/>
          </w:tcPr>
          <w:p w14:paraId="64F12B28" w14:textId="77777777" w:rsidR="00E76D85" w:rsidRPr="00150BDF" w:rsidRDefault="00E76D85" w:rsidP="009F0991">
            <w:pPr>
              <w:widowControl w:val="0"/>
              <w:jc w:val="right"/>
              <w:rPr>
                <w:color w:val="0000FF"/>
              </w:rPr>
            </w:pPr>
          </w:p>
        </w:tc>
      </w:tr>
      <w:tr w:rsidR="00E76D85" w:rsidRPr="00706FCB" w14:paraId="19FCA0F1" w14:textId="2131B3FE" w:rsidTr="00150BDF">
        <w:trPr>
          <w:cantSplit/>
        </w:trPr>
        <w:tc>
          <w:tcPr>
            <w:tcW w:w="2250" w:type="dxa"/>
            <w:vAlign w:val="bottom"/>
          </w:tcPr>
          <w:p w14:paraId="22594F73" w14:textId="77777777" w:rsidR="00E76D85" w:rsidRPr="00D21182" w:rsidRDefault="00E76D85" w:rsidP="009F0991">
            <w:pPr>
              <w:widowControl w:val="0"/>
              <w:pBdr>
                <w:top w:val="nil"/>
                <w:left w:val="nil"/>
                <w:bottom w:val="nil"/>
                <w:right w:val="nil"/>
                <w:between w:val="nil"/>
              </w:pBdr>
              <w:ind w:left="113" w:right="-57" w:hanging="113"/>
              <w:rPr>
                <w:color w:val="0000FF"/>
              </w:rPr>
            </w:pPr>
            <w:r w:rsidRPr="00D21182">
              <w:rPr>
                <w:color w:val="0000FF"/>
              </w:rPr>
              <w:t>[Other material items of expenses – expand as appropriate]</w:t>
            </w:r>
          </w:p>
        </w:tc>
        <w:tc>
          <w:tcPr>
            <w:tcW w:w="2250" w:type="dxa"/>
            <w:vAlign w:val="bottom"/>
          </w:tcPr>
          <w:p w14:paraId="5749B9B4" w14:textId="77777777" w:rsidR="00E76D85" w:rsidRPr="00150BDF" w:rsidRDefault="00E76D85" w:rsidP="009F0991">
            <w:pPr>
              <w:widowControl w:val="0"/>
              <w:jc w:val="right"/>
              <w:rPr>
                <w:color w:val="0000FF"/>
              </w:rPr>
            </w:pPr>
          </w:p>
        </w:tc>
        <w:tc>
          <w:tcPr>
            <w:tcW w:w="1080" w:type="dxa"/>
            <w:vAlign w:val="bottom"/>
          </w:tcPr>
          <w:p w14:paraId="426620CE" w14:textId="77777777" w:rsidR="00E76D85" w:rsidRPr="00150BDF" w:rsidRDefault="00E76D85" w:rsidP="009F0991">
            <w:pPr>
              <w:widowControl w:val="0"/>
              <w:jc w:val="right"/>
              <w:rPr>
                <w:color w:val="0000FF"/>
              </w:rPr>
            </w:pPr>
          </w:p>
        </w:tc>
        <w:tc>
          <w:tcPr>
            <w:tcW w:w="1170" w:type="dxa"/>
            <w:vAlign w:val="bottom"/>
          </w:tcPr>
          <w:p w14:paraId="630566AF" w14:textId="77777777" w:rsidR="00E76D85" w:rsidRPr="00150BDF" w:rsidRDefault="00E76D85" w:rsidP="009F0991">
            <w:pPr>
              <w:widowControl w:val="0"/>
              <w:jc w:val="right"/>
              <w:rPr>
                <w:color w:val="0000FF"/>
              </w:rPr>
            </w:pPr>
          </w:p>
        </w:tc>
        <w:tc>
          <w:tcPr>
            <w:tcW w:w="720" w:type="dxa"/>
            <w:vAlign w:val="bottom"/>
          </w:tcPr>
          <w:p w14:paraId="61413E55" w14:textId="77777777" w:rsidR="00E76D85" w:rsidRPr="00150BDF" w:rsidRDefault="00E76D85" w:rsidP="009F0991">
            <w:pPr>
              <w:widowControl w:val="0"/>
              <w:jc w:val="right"/>
              <w:rPr>
                <w:color w:val="0000FF"/>
              </w:rPr>
            </w:pPr>
          </w:p>
        </w:tc>
        <w:tc>
          <w:tcPr>
            <w:tcW w:w="1260" w:type="dxa"/>
            <w:vAlign w:val="bottom"/>
          </w:tcPr>
          <w:p w14:paraId="1F013F43" w14:textId="77777777" w:rsidR="00E76D85" w:rsidRPr="00150BDF" w:rsidRDefault="00E76D85" w:rsidP="009F0991">
            <w:pPr>
              <w:widowControl w:val="0"/>
              <w:jc w:val="right"/>
              <w:rPr>
                <w:color w:val="0000FF"/>
              </w:rPr>
            </w:pPr>
          </w:p>
        </w:tc>
        <w:tc>
          <w:tcPr>
            <w:tcW w:w="720" w:type="dxa"/>
            <w:vAlign w:val="bottom"/>
          </w:tcPr>
          <w:p w14:paraId="0DE4B4E6" w14:textId="77777777" w:rsidR="00E76D85" w:rsidRPr="00150BDF" w:rsidRDefault="00E76D85" w:rsidP="009F0991">
            <w:pPr>
              <w:widowControl w:val="0"/>
              <w:jc w:val="right"/>
              <w:rPr>
                <w:color w:val="0000FF"/>
              </w:rPr>
            </w:pPr>
          </w:p>
        </w:tc>
      </w:tr>
      <w:tr w:rsidR="00E76D85" w:rsidRPr="00706FCB" w14:paraId="55AAA28B" w14:textId="3D3EF0D4" w:rsidTr="00150BDF">
        <w:trPr>
          <w:cantSplit/>
        </w:trPr>
        <w:tc>
          <w:tcPr>
            <w:tcW w:w="2250" w:type="dxa"/>
            <w:tcBorders>
              <w:bottom w:val="single" w:sz="4" w:space="0" w:color="000000"/>
            </w:tcBorders>
            <w:vAlign w:val="bottom"/>
          </w:tcPr>
          <w:p w14:paraId="0BB6F8AC" w14:textId="77777777" w:rsidR="00E76D85" w:rsidRPr="00150BDF" w:rsidRDefault="00E76D85" w:rsidP="009F0991">
            <w:pPr>
              <w:widowControl w:val="0"/>
              <w:pBdr>
                <w:top w:val="nil"/>
                <w:left w:val="nil"/>
                <w:bottom w:val="nil"/>
                <w:right w:val="nil"/>
                <w:between w:val="nil"/>
              </w:pBdr>
              <w:ind w:left="113" w:right="-57" w:hanging="113"/>
              <w:rPr>
                <w:b/>
                <w:color w:val="0000FF"/>
              </w:rPr>
            </w:pPr>
            <w:r w:rsidRPr="00150BDF">
              <w:rPr>
                <w:b/>
                <w:color w:val="0000FF"/>
              </w:rPr>
              <w:t> </w:t>
            </w:r>
          </w:p>
        </w:tc>
        <w:tc>
          <w:tcPr>
            <w:tcW w:w="2250" w:type="dxa"/>
            <w:tcBorders>
              <w:bottom w:val="single" w:sz="4" w:space="0" w:color="000000"/>
            </w:tcBorders>
            <w:vAlign w:val="bottom"/>
          </w:tcPr>
          <w:p w14:paraId="056E9E07" w14:textId="77777777" w:rsidR="00E76D85" w:rsidRPr="00150BDF" w:rsidRDefault="00E76D85" w:rsidP="009F0991">
            <w:pPr>
              <w:widowControl w:val="0"/>
              <w:pBdr>
                <w:top w:val="nil"/>
                <w:left w:val="nil"/>
                <w:bottom w:val="nil"/>
                <w:right w:val="nil"/>
                <w:between w:val="nil"/>
              </w:pBdr>
              <w:jc w:val="right"/>
              <w:rPr>
                <w:b/>
                <w:color w:val="0000FF"/>
              </w:rPr>
            </w:pPr>
          </w:p>
        </w:tc>
        <w:tc>
          <w:tcPr>
            <w:tcW w:w="1080" w:type="dxa"/>
            <w:tcBorders>
              <w:bottom w:val="single" w:sz="4" w:space="0" w:color="000000"/>
            </w:tcBorders>
            <w:vAlign w:val="bottom"/>
          </w:tcPr>
          <w:p w14:paraId="7FB12737" w14:textId="77777777" w:rsidR="00E76D85" w:rsidRPr="00150BDF" w:rsidRDefault="00E76D85" w:rsidP="009F0991">
            <w:pPr>
              <w:widowControl w:val="0"/>
              <w:pBdr>
                <w:top w:val="nil"/>
                <w:left w:val="nil"/>
                <w:bottom w:val="nil"/>
                <w:right w:val="nil"/>
                <w:between w:val="nil"/>
              </w:pBdr>
              <w:jc w:val="right"/>
              <w:rPr>
                <w:b/>
                <w:color w:val="0000FF"/>
              </w:rPr>
            </w:pPr>
          </w:p>
        </w:tc>
        <w:tc>
          <w:tcPr>
            <w:tcW w:w="1170" w:type="dxa"/>
            <w:tcBorders>
              <w:bottom w:val="single" w:sz="4" w:space="0" w:color="000000"/>
            </w:tcBorders>
            <w:vAlign w:val="bottom"/>
          </w:tcPr>
          <w:p w14:paraId="4A3A5D6B" w14:textId="77777777" w:rsidR="00E76D85" w:rsidRPr="00150BDF" w:rsidRDefault="00E76D85" w:rsidP="009F0991">
            <w:pPr>
              <w:widowControl w:val="0"/>
              <w:pBdr>
                <w:top w:val="nil"/>
                <w:left w:val="nil"/>
                <w:bottom w:val="nil"/>
                <w:right w:val="nil"/>
                <w:between w:val="nil"/>
              </w:pBdr>
              <w:jc w:val="right"/>
              <w:rPr>
                <w:b/>
                <w:color w:val="0000FF"/>
              </w:rPr>
            </w:pPr>
          </w:p>
        </w:tc>
        <w:tc>
          <w:tcPr>
            <w:tcW w:w="720" w:type="dxa"/>
            <w:tcBorders>
              <w:bottom w:val="single" w:sz="4" w:space="0" w:color="000000"/>
            </w:tcBorders>
            <w:vAlign w:val="bottom"/>
          </w:tcPr>
          <w:p w14:paraId="3C1EB633" w14:textId="77777777" w:rsidR="00E76D85" w:rsidRPr="00150BDF" w:rsidRDefault="00E76D85" w:rsidP="009F0991">
            <w:pPr>
              <w:widowControl w:val="0"/>
              <w:pBdr>
                <w:top w:val="nil"/>
                <w:left w:val="nil"/>
                <w:bottom w:val="nil"/>
                <w:right w:val="nil"/>
                <w:between w:val="nil"/>
              </w:pBdr>
              <w:jc w:val="right"/>
              <w:rPr>
                <w:b/>
                <w:color w:val="0000FF"/>
              </w:rPr>
            </w:pPr>
          </w:p>
        </w:tc>
        <w:tc>
          <w:tcPr>
            <w:tcW w:w="1260" w:type="dxa"/>
            <w:tcBorders>
              <w:bottom w:val="single" w:sz="4" w:space="0" w:color="000000"/>
            </w:tcBorders>
            <w:vAlign w:val="bottom"/>
          </w:tcPr>
          <w:p w14:paraId="0140A4B0" w14:textId="77777777" w:rsidR="00E76D85" w:rsidRPr="00150BDF" w:rsidRDefault="00E76D85" w:rsidP="009F0991">
            <w:pPr>
              <w:widowControl w:val="0"/>
              <w:pBdr>
                <w:top w:val="nil"/>
                <w:left w:val="nil"/>
                <w:bottom w:val="nil"/>
                <w:right w:val="nil"/>
                <w:between w:val="nil"/>
              </w:pBdr>
              <w:jc w:val="right"/>
              <w:rPr>
                <w:b/>
                <w:color w:val="0000FF"/>
              </w:rPr>
            </w:pPr>
          </w:p>
        </w:tc>
        <w:tc>
          <w:tcPr>
            <w:tcW w:w="720" w:type="dxa"/>
            <w:tcBorders>
              <w:bottom w:val="single" w:sz="4" w:space="0" w:color="000000"/>
            </w:tcBorders>
            <w:vAlign w:val="bottom"/>
          </w:tcPr>
          <w:p w14:paraId="27FAA578" w14:textId="77777777" w:rsidR="00E76D85" w:rsidRPr="00150BDF" w:rsidRDefault="00E76D85" w:rsidP="009F0991">
            <w:pPr>
              <w:widowControl w:val="0"/>
              <w:pBdr>
                <w:top w:val="nil"/>
                <w:left w:val="nil"/>
                <w:bottom w:val="nil"/>
                <w:right w:val="nil"/>
                <w:between w:val="nil"/>
              </w:pBdr>
              <w:jc w:val="right"/>
              <w:rPr>
                <w:b/>
                <w:color w:val="0000FF"/>
              </w:rPr>
            </w:pPr>
          </w:p>
        </w:tc>
      </w:tr>
      <w:tr w:rsidR="00E76D85" w:rsidRPr="00706FCB" w14:paraId="3D14CEEC" w14:textId="2181C8C9" w:rsidTr="00150BDF">
        <w:trPr>
          <w:cantSplit/>
        </w:trPr>
        <w:tc>
          <w:tcPr>
            <w:tcW w:w="2250" w:type="dxa"/>
            <w:tcBorders>
              <w:top w:val="single" w:sz="4" w:space="0" w:color="000000"/>
            </w:tcBorders>
            <w:vAlign w:val="bottom"/>
          </w:tcPr>
          <w:p w14:paraId="0E2A8B73" w14:textId="77777777" w:rsidR="00E76D85" w:rsidRPr="00150BDF" w:rsidRDefault="00E76D85" w:rsidP="009F0991">
            <w:pPr>
              <w:widowControl w:val="0"/>
              <w:pBdr>
                <w:top w:val="nil"/>
                <w:left w:val="nil"/>
                <w:bottom w:val="nil"/>
                <w:right w:val="nil"/>
                <w:between w:val="nil"/>
              </w:pBdr>
              <w:ind w:left="113" w:right="-57" w:hanging="113"/>
              <w:rPr>
                <w:b/>
                <w:color w:val="0000FF"/>
              </w:rPr>
            </w:pPr>
            <w:r w:rsidRPr="00150BDF">
              <w:rPr>
                <w:b/>
                <w:color w:val="0000FF"/>
              </w:rPr>
              <w:t> </w:t>
            </w:r>
          </w:p>
        </w:tc>
        <w:tc>
          <w:tcPr>
            <w:tcW w:w="2250" w:type="dxa"/>
            <w:tcBorders>
              <w:top w:val="single" w:sz="4" w:space="0" w:color="000000"/>
            </w:tcBorders>
            <w:vAlign w:val="bottom"/>
          </w:tcPr>
          <w:p w14:paraId="11346796" w14:textId="77777777" w:rsidR="00E76D85" w:rsidRPr="00150BDF" w:rsidRDefault="00E76D85" w:rsidP="009F0991">
            <w:pPr>
              <w:widowControl w:val="0"/>
              <w:pBdr>
                <w:top w:val="nil"/>
                <w:left w:val="nil"/>
                <w:bottom w:val="nil"/>
                <w:right w:val="nil"/>
                <w:between w:val="nil"/>
              </w:pBdr>
              <w:jc w:val="right"/>
              <w:rPr>
                <w:b/>
                <w:color w:val="0000FF"/>
              </w:rPr>
            </w:pPr>
          </w:p>
        </w:tc>
        <w:tc>
          <w:tcPr>
            <w:tcW w:w="1080" w:type="dxa"/>
            <w:tcBorders>
              <w:top w:val="single" w:sz="4" w:space="0" w:color="000000"/>
            </w:tcBorders>
            <w:vAlign w:val="bottom"/>
          </w:tcPr>
          <w:p w14:paraId="2276B0CC" w14:textId="77777777" w:rsidR="00E76D85" w:rsidRPr="00150BDF" w:rsidRDefault="00E76D85" w:rsidP="009F0991">
            <w:pPr>
              <w:widowControl w:val="0"/>
              <w:pBdr>
                <w:top w:val="nil"/>
                <w:left w:val="nil"/>
                <w:bottom w:val="nil"/>
                <w:right w:val="nil"/>
                <w:between w:val="nil"/>
              </w:pBdr>
              <w:jc w:val="right"/>
              <w:rPr>
                <w:b/>
                <w:color w:val="0000FF"/>
              </w:rPr>
            </w:pPr>
          </w:p>
        </w:tc>
        <w:tc>
          <w:tcPr>
            <w:tcW w:w="1170" w:type="dxa"/>
            <w:tcBorders>
              <w:top w:val="single" w:sz="4" w:space="0" w:color="000000"/>
            </w:tcBorders>
            <w:vAlign w:val="bottom"/>
          </w:tcPr>
          <w:p w14:paraId="3E694AA4" w14:textId="77777777" w:rsidR="00E76D85" w:rsidRPr="00150BDF" w:rsidRDefault="00E76D85" w:rsidP="009F0991">
            <w:pPr>
              <w:widowControl w:val="0"/>
              <w:pBdr>
                <w:top w:val="nil"/>
                <w:left w:val="nil"/>
                <w:bottom w:val="nil"/>
                <w:right w:val="nil"/>
                <w:between w:val="nil"/>
              </w:pBdr>
              <w:jc w:val="right"/>
              <w:rPr>
                <w:b/>
                <w:color w:val="0000FF"/>
              </w:rPr>
            </w:pPr>
          </w:p>
        </w:tc>
        <w:tc>
          <w:tcPr>
            <w:tcW w:w="720" w:type="dxa"/>
            <w:tcBorders>
              <w:top w:val="single" w:sz="4" w:space="0" w:color="000000"/>
            </w:tcBorders>
            <w:vAlign w:val="bottom"/>
          </w:tcPr>
          <w:p w14:paraId="686148D2" w14:textId="77777777" w:rsidR="00E76D85" w:rsidRPr="00150BDF" w:rsidRDefault="00E76D85" w:rsidP="009F0991">
            <w:pPr>
              <w:widowControl w:val="0"/>
              <w:pBdr>
                <w:top w:val="nil"/>
                <w:left w:val="nil"/>
                <w:bottom w:val="nil"/>
                <w:right w:val="nil"/>
                <w:between w:val="nil"/>
              </w:pBdr>
              <w:jc w:val="right"/>
              <w:rPr>
                <w:b/>
                <w:color w:val="0000FF"/>
              </w:rPr>
            </w:pPr>
          </w:p>
        </w:tc>
        <w:tc>
          <w:tcPr>
            <w:tcW w:w="1260" w:type="dxa"/>
            <w:tcBorders>
              <w:top w:val="single" w:sz="4" w:space="0" w:color="000000"/>
            </w:tcBorders>
            <w:vAlign w:val="bottom"/>
          </w:tcPr>
          <w:p w14:paraId="773398EC" w14:textId="77777777" w:rsidR="00E76D85" w:rsidRPr="00150BDF" w:rsidRDefault="00E76D85" w:rsidP="009F0991">
            <w:pPr>
              <w:widowControl w:val="0"/>
              <w:pBdr>
                <w:top w:val="nil"/>
                <w:left w:val="nil"/>
                <w:bottom w:val="nil"/>
                <w:right w:val="nil"/>
                <w:between w:val="nil"/>
              </w:pBdr>
              <w:jc w:val="right"/>
              <w:rPr>
                <w:b/>
                <w:color w:val="0000FF"/>
              </w:rPr>
            </w:pPr>
          </w:p>
        </w:tc>
        <w:tc>
          <w:tcPr>
            <w:tcW w:w="720" w:type="dxa"/>
            <w:tcBorders>
              <w:top w:val="single" w:sz="4" w:space="0" w:color="000000"/>
            </w:tcBorders>
            <w:vAlign w:val="bottom"/>
          </w:tcPr>
          <w:p w14:paraId="117E8083" w14:textId="77777777" w:rsidR="00E76D85" w:rsidRPr="00150BDF" w:rsidRDefault="00E76D85" w:rsidP="009F0991">
            <w:pPr>
              <w:widowControl w:val="0"/>
              <w:pBdr>
                <w:top w:val="nil"/>
                <w:left w:val="nil"/>
                <w:bottom w:val="nil"/>
                <w:right w:val="nil"/>
                <w:between w:val="nil"/>
              </w:pBdr>
              <w:jc w:val="right"/>
              <w:rPr>
                <w:b/>
                <w:color w:val="0000FF"/>
              </w:rPr>
            </w:pPr>
          </w:p>
        </w:tc>
      </w:tr>
      <w:tr w:rsidR="00E76D85" w:rsidRPr="00706FCB" w14:paraId="4384F8FE" w14:textId="48706766" w:rsidTr="00150BDF">
        <w:trPr>
          <w:cantSplit/>
        </w:trPr>
        <w:tc>
          <w:tcPr>
            <w:tcW w:w="2250" w:type="dxa"/>
            <w:vAlign w:val="bottom"/>
          </w:tcPr>
          <w:p w14:paraId="62530973" w14:textId="77777777" w:rsidR="00E76D85" w:rsidRPr="00150BDF" w:rsidRDefault="00E76D85" w:rsidP="009F0991">
            <w:pPr>
              <w:widowControl w:val="0"/>
              <w:ind w:left="113" w:right="-57" w:hanging="113"/>
              <w:rPr>
                <w:b/>
                <w:color w:val="0000FF"/>
              </w:rPr>
            </w:pPr>
            <w:r w:rsidRPr="00150BDF">
              <w:rPr>
                <w:b/>
                <w:color w:val="0000FF"/>
              </w:rPr>
              <w:t>Segment results</w:t>
            </w:r>
          </w:p>
        </w:tc>
        <w:tc>
          <w:tcPr>
            <w:tcW w:w="2250" w:type="dxa"/>
            <w:vAlign w:val="bottom"/>
          </w:tcPr>
          <w:p w14:paraId="269E7930" w14:textId="77777777" w:rsidR="00E76D85" w:rsidRPr="00150BDF" w:rsidRDefault="00E76D85" w:rsidP="009F0991">
            <w:pPr>
              <w:widowControl w:val="0"/>
              <w:jc w:val="right"/>
              <w:rPr>
                <w:color w:val="0000FF"/>
              </w:rPr>
            </w:pPr>
          </w:p>
        </w:tc>
        <w:tc>
          <w:tcPr>
            <w:tcW w:w="1080" w:type="dxa"/>
            <w:vAlign w:val="bottom"/>
          </w:tcPr>
          <w:p w14:paraId="289BFC4F" w14:textId="77777777" w:rsidR="00E76D85" w:rsidRPr="00150BDF" w:rsidRDefault="00E76D85" w:rsidP="009F0991">
            <w:pPr>
              <w:widowControl w:val="0"/>
              <w:jc w:val="right"/>
              <w:rPr>
                <w:color w:val="0000FF"/>
              </w:rPr>
            </w:pPr>
          </w:p>
        </w:tc>
        <w:tc>
          <w:tcPr>
            <w:tcW w:w="1170" w:type="dxa"/>
            <w:vAlign w:val="bottom"/>
          </w:tcPr>
          <w:p w14:paraId="032B1C53" w14:textId="77777777" w:rsidR="00E76D85" w:rsidRPr="00150BDF" w:rsidRDefault="00E76D85" w:rsidP="009F0991">
            <w:pPr>
              <w:widowControl w:val="0"/>
              <w:jc w:val="right"/>
              <w:rPr>
                <w:color w:val="0000FF"/>
              </w:rPr>
            </w:pPr>
          </w:p>
        </w:tc>
        <w:tc>
          <w:tcPr>
            <w:tcW w:w="720" w:type="dxa"/>
            <w:vAlign w:val="bottom"/>
          </w:tcPr>
          <w:p w14:paraId="27EA436B" w14:textId="77777777" w:rsidR="00E76D85" w:rsidRPr="00150BDF" w:rsidRDefault="00E76D85" w:rsidP="009F0991">
            <w:pPr>
              <w:widowControl w:val="0"/>
              <w:jc w:val="right"/>
              <w:rPr>
                <w:color w:val="0000FF"/>
              </w:rPr>
            </w:pPr>
          </w:p>
        </w:tc>
        <w:tc>
          <w:tcPr>
            <w:tcW w:w="1260" w:type="dxa"/>
            <w:vAlign w:val="bottom"/>
          </w:tcPr>
          <w:p w14:paraId="61291A3E" w14:textId="77777777" w:rsidR="00E76D85" w:rsidRPr="00150BDF" w:rsidRDefault="00E76D85" w:rsidP="009F0991">
            <w:pPr>
              <w:widowControl w:val="0"/>
              <w:jc w:val="right"/>
              <w:rPr>
                <w:color w:val="0000FF"/>
              </w:rPr>
            </w:pPr>
          </w:p>
        </w:tc>
        <w:tc>
          <w:tcPr>
            <w:tcW w:w="720" w:type="dxa"/>
            <w:vAlign w:val="bottom"/>
          </w:tcPr>
          <w:p w14:paraId="00E09A1D" w14:textId="77777777" w:rsidR="00E76D85" w:rsidRPr="00150BDF" w:rsidRDefault="00E76D85" w:rsidP="009F0991">
            <w:pPr>
              <w:widowControl w:val="0"/>
              <w:jc w:val="right"/>
              <w:rPr>
                <w:color w:val="0000FF"/>
              </w:rPr>
            </w:pPr>
          </w:p>
        </w:tc>
      </w:tr>
      <w:tr w:rsidR="00E76D85" w:rsidRPr="00706FCB" w14:paraId="76259F6E" w14:textId="044D229D" w:rsidTr="00150BDF">
        <w:trPr>
          <w:cantSplit/>
        </w:trPr>
        <w:tc>
          <w:tcPr>
            <w:tcW w:w="2250" w:type="dxa"/>
            <w:tcBorders>
              <w:bottom w:val="single" w:sz="12" w:space="0" w:color="000000"/>
            </w:tcBorders>
            <w:vAlign w:val="bottom"/>
          </w:tcPr>
          <w:p w14:paraId="5F50F36D" w14:textId="77777777" w:rsidR="00E76D85" w:rsidRPr="00150BDF" w:rsidRDefault="00E76D85" w:rsidP="009F0991">
            <w:pPr>
              <w:widowControl w:val="0"/>
              <w:ind w:left="113" w:right="-57" w:hanging="113"/>
              <w:rPr>
                <w:color w:val="0000FF"/>
              </w:rPr>
            </w:pPr>
            <w:r w:rsidRPr="00150BDF">
              <w:rPr>
                <w:b/>
                <w:color w:val="0000FF"/>
              </w:rPr>
              <w:t> </w:t>
            </w:r>
          </w:p>
        </w:tc>
        <w:tc>
          <w:tcPr>
            <w:tcW w:w="2250" w:type="dxa"/>
            <w:tcBorders>
              <w:bottom w:val="single" w:sz="12" w:space="0" w:color="000000"/>
            </w:tcBorders>
            <w:vAlign w:val="bottom"/>
          </w:tcPr>
          <w:p w14:paraId="3F978905" w14:textId="77777777" w:rsidR="00E76D85" w:rsidRPr="00150BDF" w:rsidRDefault="00E76D85" w:rsidP="009F0991">
            <w:pPr>
              <w:widowControl w:val="0"/>
              <w:jc w:val="right"/>
              <w:rPr>
                <w:color w:val="0000FF"/>
              </w:rPr>
            </w:pPr>
          </w:p>
        </w:tc>
        <w:tc>
          <w:tcPr>
            <w:tcW w:w="1080" w:type="dxa"/>
            <w:tcBorders>
              <w:bottom w:val="single" w:sz="12" w:space="0" w:color="000000"/>
            </w:tcBorders>
            <w:vAlign w:val="bottom"/>
          </w:tcPr>
          <w:p w14:paraId="3370584A" w14:textId="77777777" w:rsidR="00E76D85" w:rsidRPr="00150BDF" w:rsidRDefault="00E76D85" w:rsidP="009F0991">
            <w:pPr>
              <w:widowControl w:val="0"/>
              <w:jc w:val="right"/>
              <w:rPr>
                <w:color w:val="0000FF"/>
              </w:rPr>
            </w:pPr>
          </w:p>
        </w:tc>
        <w:tc>
          <w:tcPr>
            <w:tcW w:w="1170" w:type="dxa"/>
            <w:tcBorders>
              <w:bottom w:val="single" w:sz="12" w:space="0" w:color="000000"/>
            </w:tcBorders>
            <w:vAlign w:val="bottom"/>
          </w:tcPr>
          <w:p w14:paraId="77F7CFB1" w14:textId="77777777" w:rsidR="00E76D85" w:rsidRPr="00150BDF" w:rsidRDefault="00E76D85" w:rsidP="009F0991">
            <w:pPr>
              <w:widowControl w:val="0"/>
              <w:jc w:val="right"/>
              <w:rPr>
                <w:color w:val="0000FF"/>
              </w:rPr>
            </w:pPr>
          </w:p>
        </w:tc>
        <w:tc>
          <w:tcPr>
            <w:tcW w:w="720" w:type="dxa"/>
            <w:tcBorders>
              <w:bottom w:val="single" w:sz="12" w:space="0" w:color="000000"/>
            </w:tcBorders>
            <w:vAlign w:val="bottom"/>
          </w:tcPr>
          <w:p w14:paraId="78E7BE12" w14:textId="77777777" w:rsidR="00E76D85" w:rsidRPr="00150BDF" w:rsidRDefault="00E76D85" w:rsidP="009F0991">
            <w:pPr>
              <w:widowControl w:val="0"/>
              <w:jc w:val="right"/>
              <w:rPr>
                <w:color w:val="0000FF"/>
              </w:rPr>
            </w:pPr>
          </w:p>
        </w:tc>
        <w:tc>
          <w:tcPr>
            <w:tcW w:w="1260" w:type="dxa"/>
            <w:tcBorders>
              <w:bottom w:val="single" w:sz="12" w:space="0" w:color="000000"/>
            </w:tcBorders>
            <w:vAlign w:val="bottom"/>
          </w:tcPr>
          <w:p w14:paraId="6D73B3A5" w14:textId="77777777" w:rsidR="00E76D85" w:rsidRPr="00150BDF" w:rsidRDefault="00E76D85" w:rsidP="009F0991">
            <w:pPr>
              <w:widowControl w:val="0"/>
              <w:jc w:val="right"/>
              <w:rPr>
                <w:color w:val="0000FF"/>
              </w:rPr>
            </w:pPr>
          </w:p>
        </w:tc>
        <w:tc>
          <w:tcPr>
            <w:tcW w:w="720" w:type="dxa"/>
            <w:tcBorders>
              <w:bottom w:val="single" w:sz="12" w:space="0" w:color="000000"/>
            </w:tcBorders>
            <w:vAlign w:val="bottom"/>
          </w:tcPr>
          <w:p w14:paraId="0ABFAB91" w14:textId="77777777" w:rsidR="00E76D85" w:rsidRPr="00150BDF" w:rsidRDefault="00E76D85" w:rsidP="009F0991">
            <w:pPr>
              <w:widowControl w:val="0"/>
              <w:jc w:val="right"/>
              <w:rPr>
                <w:color w:val="0000FF"/>
              </w:rPr>
            </w:pPr>
          </w:p>
        </w:tc>
      </w:tr>
    </w:tbl>
    <w:p w14:paraId="1C624349"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00BC18F9" w14:textId="25D3CE0B"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Segment information for the reportable segments for the year ended 31 December </w:t>
      </w:r>
      <w:r w:rsidR="00FF468A">
        <w:rPr>
          <w:color w:val="000000"/>
          <w:sz w:val="20"/>
          <w:szCs w:val="20"/>
        </w:rPr>
        <w:t>2024</w:t>
      </w:r>
      <w:r>
        <w:rPr>
          <w:color w:val="000000"/>
          <w:sz w:val="20"/>
          <w:szCs w:val="20"/>
        </w:rPr>
        <w:t xml:space="preserve"> (continued):</w:t>
      </w:r>
    </w:p>
    <w:tbl>
      <w:tblPr>
        <w:tblStyle w:val="aa"/>
        <w:tblW w:w="9353" w:type="dxa"/>
        <w:tblLayout w:type="fixed"/>
        <w:tblLook w:val="0400" w:firstRow="0" w:lastRow="0" w:firstColumn="0" w:lastColumn="0" w:noHBand="0" w:noVBand="1"/>
      </w:tblPr>
      <w:tblGrid>
        <w:gridCol w:w="2891"/>
        <w:gridCol w:w="1077"/>
        <w:gridCol w:w="1077"/>
        <w:gridCol w:w="1077"/>
        <w:gridCol w:w="1077"/>
        <w:gridCol w:w="1077"/>
        <w:gridCol w:w="1077"/>
      </w:tblGrid>
      <w:tr w:rsidR="008E5DE4" w14:paraId="7C1EB9C7" w14:textId="77777777">
        <w:trPr>
          <w:cantSplit/>
        </w:trPr>
        <w:tc>
          <w:tcPr>
            <w:tcW w:w="2891" w:type="dxa"/>
            <w:tcBorders>
              <w:bottom w:val="single" w:sz="4" w:space="0" w:color="000000"/>
            </w:tcBorders>
            <w:vAlign w:val="bottom"/>
          </w:tcPr>
          <w:p w14:paraId="4B16A694"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077" w:type="dxa"/>
            <w:tcBorders>
              <w:bottom w:val="single" w:sz="4" w:space="0" w:color="000000"/>
            </w:tcBorders>
          </w:tcPr>
          <w:p w14:paraId="3F01565B" w14:textId="77777777" w:rsidR="008E5DE4" w:rsidRPr="00010D4F" w:rsidRDefault="00780368">
            <w:pPr>
              <w:widowControl w:val="0"/>
              <w:ind w:left="-113"/>
              <w:jc w:val="right"/>
              <w:rPr>
                <w:b/>
                <w:color w:val="0000FF"/>
              </w:rPr>
            </w:pPr>
            <w:r w:rsidRPr="00010D4F">
              <w:rPr>
                <w:b/>
                <w:color w:val="0000FF"/>
              </w:rPr>
              <w:t>Segment 1</w:t>
            </w:r>
          </w:p>
        </w:tc>
        <w:tc>
          <w:tcPr>
            <w:tcW w:w="1077" w:type="dxa"/>
            <w:tcBorders>
              <w:bottom w:val="single" w:sz="4" w:space="0" w:color="000000"/>
            </w:tcBorders>
          </w:tcPr>
          <w:p w14:paraId="315AB727" w14:textId="77777777" w:rsidR="008E5DE4" w:rsidRPr="00010D4F" w:rsidRDefault="00780368">
            <w:pPr>
              <w:widowControl w:val="0"/>
              <w:ind w:left="-113"/>
              <w:jc w:val="right"/>
              <w:rPr>
                <w:b/>
                <w:color w:val="0000FF"/>
              </w:rPr>
            </w:pPr>
            <w:r w:rsidRPr="00010D4F">
              <w:rPr>
                <w:b/>
                <w:color w:val="0000FF"/>
              </w:rPr>
              <w:t>Segment 2</w:t>
            </w:r>
          </w:p>
        </w:tc>
        <w:tc>
          <w:tcPr>
            <w:tcW w:w="1077" w:type="dxa"/>
            <w:tcBorders>
              <w:bottom w:val="single" w:sz="4" w:space="0" w:color="000000"/>
            </w:tcBorders>
          </w:tcPr>
          <w:p w14:paraId="003121B2" w14:textId="77777777" w:rsidR="008E5DE4" w:rsidRPr="00010D4F" w:rsidRDefault="00780368">
            <w:pPr>
              <w:widowControl w:val="0"/>
              <w:ind w:left="-113"/>
              <w:jc w:val="right"/>
              <w:rPr>
                <w:b/>
                <w:color w:val="0000FF"/>
              </w:rPr>
            </w:pPr>
            <w:r w:rsidRPr="00010D4F">
              <w:rPr>
                <w:b/>
                <w:color w:val="0000FF"/>
              </w:rPr>
              <w:t>Segment 3</w:t>
            </w:r>
          </w:p>
        </w:tc>
        <w:tc>
          <w:tcPr>
            <w:tcW w:w="1077" w:type="dxa"/>
            <w:tcBorders>
              <w:bottom w:val="single" w:sz="4" w:space="0" w:color="000000"/>
            </w:tcBorders>
          </w:tcPr>
          <w:p w14:paraId="77E66AEC" w14:textId="77777777" w:rsidR="008E5DE4" w:rsidRDefault="00780368">
            <w:pPr>
              <w:widowControl w:val="0"/>
              <w:ind w:left="-113"/>
              <w:jc w:val="right"/>
              <w:rPr>
                <w:b/>
              </w:rPr>
            </w:pPr>
            <w:r>
              <w:rPr>
                <w:b/>
              </w:rPr>
              <w:t>Other</w:t>
            </w:r>
          </w:p>
        </w:tc>
        <w:tc>
          <w:tcPr>
            <w:tcW w:w="1077" w:type="dxa"/>
            <w:tcBorders>
              <w:bottom w:val="single" w:sz="4" w:space="0" w:color="000000"/>
            </w:tcBorders>
          </w:tcPr>
          <w:p w14:paraId="5DA0E7F4" w14:textId="77777777" w:rsidR="008E5DE4" w:rsidRDefault="00780368">
            <w:pPr>
              <w:widowControl w:val="0"/>
              <w:ind w:left="-113"/>
              <w:jc w:val="right"/>
              <w:rPr>
                <w:b/>
              </w:rPr>
            </w:pPr>
            <w:proofErr w:type="spellStart"/>
            <w:r>
              <w:rPr>
                <w:b/>
              </w:rPr>
              <w:t>Elimi</w:t>
            </w:r>
            <w:proofErr w:type="spellEnd"/>
            <w:r>
              <w:rPr>
                <w:b/>
              </w:rPr>
              <w:t>-nations</w:t>
            </w:r>
          </w:p>
        </w:tc>
        <w:tc>
          <w:tcPr>
            <w:tcW w:w="1077" w:type="dxa"/>
            <w:tcBorders>
              <w:bottom w:val="single" w:sz="4" w:space="0" w:color="000000"/>
            </w:tcBorders>
          </w:tcPr>
          <w:p w14:paraId="00EF6C69" w14:textId="77777777" w:rsidR="008E5DE4" w:rsidRDefault="00780368">
            <w:pPr>
              <w:widowControl w:val="0"/>
              <w:ind w:left="-113"/>
              <w:jc w:val="right"/>
              <w:rPr>
                <w:b/>
              </w:rPr>
            </w:pPr>
            <w:r>
              <w:rPr>
                <w:b/>
              </w:rPr>
              <w:t>Total</w:t>
            </w:r>
          </w:p>
        </w:tc>
      </w:tr>
      <w:tr w:rsidR="008E5DE4" w14:paraId="4B8FDB27" w14:textId="77777777">
        <w:trPr>
          <w:cantSplit/>
        </w:trPr>
        <w:tc>
          <w:tcPr>
            <w:tcW w:w="2891" w:type="dxa"/>
            <w:tcBorders>
              <w:top w:val="single" w:sz="4" w:space="0" w:color="000000"/>
            </w:tcBorders>
            <w:vAlign w:val="bottom"/>
          </w:tcPr>
          <w:p w14:paraId="41CA0BFE"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top w:val="single" w:sz="4" w:space="0" w:color="000000"/>
            </w:tcBorders>
            <w:vAlign w:val="bottom"/>
          </w:tcPr>
          <w:p w14:paraId="7F3AE8A9" w14:textId="77777777" w:rsidR="008E5DE4" w:rsidRDefault="008E5DE4">
            <w:pPr>
              <w:widowControl w:val="0"/>
              <w:jc w:val="right"/>
            </w:pPr>
          </w:p>
        </w:tc>
        <w:tc>
          <w:tcPr>
            <w:tcW w:w="1077" w:type="dxa"/>
            <w:tcBorders>
              <w:top w:val="single" w:sz="4" w:space="0" w:color="000000"/>
            </w:tcBorders>
            <w:vAlign w:val="bottom"/>
          </w:tcPr>
          <w:p w14:paraId="11FC8FFC" w14:textId="77777777" w:rsidR="008E5DE4" w:rsidRDefault="008E5DE4">
            <w:pPr>
              <w:widowControl w:val="0"/>
              <w:jc w:val="right"/>
            </w:pPr>
          </w:p>
        </w:tc>
        <w:tc>
          <w:tcPr>
            <w:tcW w:w="1077" w:type="dxa"/>
            <w:tcBorders>
              <w:top w:val="single" w:sz="4" w:space="0" w:color="000000"/>
            </w:tcBorders>
            <w:vAlign w:val="bottom"/>
          </w:tcPr>
          <w:p w14:paraId="212C824D" w14:textId="77777777" w:rsidR="008E5DE4" w:rsidRDefault="008E5DE4">
            <w:pPr>
              <w:widowControl w:val="0"/>
              <w:jc w:val="right"/>
            </w:pPr>
          </w:p>
        </w:tc>
        <w:tc>
          <w:tcPr>
            <w:tcW w:w="1077" w:type="dxa"/>
            <w:tcBorders>
              <w:top w:val="single" w:sz="4" w:space="0" w:color="000000"/>
            </w:tcBorders>
            <w:vAlign w:val="bottom"/>
          </w:tcPr>
          <w:p w14:paraId="438F8FF3" w14:textId="77777777" w:rsidR="008E5DE4" w:rsidRDefault="008E5DE4">
            <w:pPr>
              <w:widowControl w:val="0"/>
              <w:jc w:val="right"/>
            </w:pPr>
          </w:p>
        </w:tc>
        <w:tc>
          <w:tcPr>
            <w:tcW w:w="1077" w:type="dxa"/>
            <w:tcBorders>
              <w:top w:val="single" w:sz="4" w:space="0" w:color="000000"/>
            </w:tcBorders>
            <w:vAlign w:val="bottom"/>
          </w:tcPr>
          <w:p w14:paraId="75923E28" w14:textId="77777777" w:rsidR="008E5DE4" w:rsidRDefault="008E5DE4">
            <w:pPr>
              <w:widowControl w:val="0"/>
              <w:jc w:val="right"/>
            </w:pPr>
          </w:p>
        </w:tc>
        <w:tc>
          <w:tcPr>
            <w:tcW w:w="1077" w:type="dxa"/>
            <w:tcBorders>
              <w:top w:val="single" w:sz="4" w:space="0" w:color="000000"/>
            </w:tcBorders>
            <w:vAlign w:val="bottom"/>
          </w:tcPr>
          <w:p w14:paraId="06677F6B" w14:textId="77777777" w:rsidR="008E5DE4" w:rsidRDefault="008E5DE4">
            <w:pPr>
              <w:widowControl w:val="0"/>
              <w:jc w:val="right"/>
            </w:pPr>
          </w:p>
        </w:tc>
      </w:tr>
      <w:tr w:rsidR="008E5DE4" w14:paraId="70980EB7" w14:textId="77777777">
        <w:trPr>
          <w:cantSplit/>
        </w:trPr>
        <w:tc>
          <w:tcPr>
            <w:tcW w:w="2891" w:type="dxa"/>
            <w:vAlign w:val="bottom"/>
          </w:tcPr>
          <w:p w14:paraId="68D7323E"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assets (or disposal groups) held for sale</w:t>
            </w:r>
          </w:p>
        </w:tc>
        <w:tc>
          <w:tcPr>
            <w:tcW w:w="1077" w:type="dxa"/>
            <w:vAlign w:val="bottom"/>
          </w:tcPr>
          <w:p w14:paraId="22AF74E1" w14:textId="77777777" w:rsidR="008E5DE4" w:rsidRDefault="008E5DE4">
            <w:pPr>
              <w:widowControl w:val="0"/>
              <w:jc w:val="right"/>
            </w:pPr>
          </w:p>
        </w:tc>
        <w:tc>
          <w:tcPr>
            <w:tcW w:w="1077" w:type="dxa"/>
            <w:vAlign w:val="bottom"/>
          </w:tcPr>
          <w:p w14:paraId="402394FC" w14:textId="77777777" w:rsidR="008E5DE4" w:rsidRDefault="008E5DE4">
            <w:pPr>
              <w:widowControl w:val="0"/>
              <w:jc w:val="right"/>
            </w:pPr>
          </w:p>
        </w:tc>
        <w:tc>
          <w:tcPr>
            <w:tcW w:w="1077" w:type="dxa"/>
            <w:vAlign w:val="bottom"/>
          </w:tcPr>
          <w:p w14:paraId="301758B2" w14:textId="77777777" w:rsidR="008E5DE4" w:rsidRDefault="008E5DE4">
            <w:pPr>
              <w:widowControl w:val="0"/>
              <w:jc w:val="right"/>
            </w:pPr>
          </w:p>
        </w:tc>
        <w:tc>
          <w:tcPr>
            <w:tcW w:w="1077" w:type="dxa"/>
            <w:vAlign w:val="bottom"/>
          </w:tcPr>
          <w:p w14:paraId="0AB273A4" w14:textId="77777777" w:rsidR="008E5DE4" w:rsidRDefault="008E5DE4">
            <w:pPr>
              <w:widowControl w:val="0"/>
              <w:jc w:val="right"/>
            </w:pPr>
          </w:p>
        </w:tc>
        <w:tc>
          <w:tcPr>
            <w:tcW w:w="1077" w:type="dxa"/>
            <w:vAlign w:val="bottom"/>
          </w:tcPr>
          <w:p w14:paraId="7B0B1F49" w14:textId="77777777" w:rsidR="008E5DE4" w:rsidRDefault="008E5DE4">
            <w:pPr>
              <w:widowControl w:val="0"/>
              <w:jc w:val="right"/>
            </w:pPr>
          </w:p>
        </w:tc>
        <w:tc>
          <w:tcPr>
            <w:tcW w:w="1077" w:type="dxa"/>
            <w:vAlign w:val="bottom"/>
          </w:tcPr>
          <w:p w14:paraId="74BC2303" w14:textId="77777777" w:rsidR="008E5DE4" w:rsidRDefault="008E5DE4">
            <w:pPr>
              <w:widowControl w:val="0"/>
              <w:jc w:val="right"/>
            </w:pPr>
          </w:p>
        </w:tc>
      </w:tr>
      <w:tr w:rsidR="008E5DE4" w14:paraId="2E660D59" w14:textId="77777777">
        <w:trPr>
          <w:cantSplit/>
        </w:trPr>
        <w:tc>
          <w:tcPr>
            <w:tcW w:w="2891" w:type="dxa"/>
            <w:vAlign w:val="bottom"/>
          </w:tcPr>
          <w:p w14:paraId="14798096"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in associates</w:t>
            </w:r>
          </w:p>
        </w:tc>
        <w:tc>
          <w:tcPr>
            <w:tcW w:w="1077" w:type="dxa"/>
            <w:vAlign w:val="bottom"/>
          </w:tcPr>
          <w:p w14:paraId="1446C8F2" w14:textId="77777777" w:rsidR="008E5DE4" w:rsidRDefault="008E5DE4">
            <w:pPr>
              <w:widowControl w:val="0"/>
              <w:jc w:val="right"/>
            </w:pPr>
          </w:p>
        </w:tc>
        <w:tc>
          <w:tcPr>
            <w:tcW w:w="1077" w:type="dxa"/>
            <w:vAlign w:val="bottom"/>
          </w:tcPr>
          <w:p w14:paraId="7A97A634" w14:textId="77777777" w:rsidR="008E5DE4" w:rsidRDefault="008E5DE4">
            <w:pPr>
              <w:widowControl w:val="0"/>
              <w:jc w:val="right"/>
            </w:pPr>
          </w:p>
        </w:tc>
        <w:tc>
          <w:tcPr>
            <w:tcW w:w="1077" w:type="dxa"/>
            <w:vAlign w:val="bottom"/>
          </w:tcPr>
          <w:p w14:paraId="26D0253C" w14:textId="77777777" w:rsidR="008E5DE4" w:rsidRDefault="008E5DE4">
            <w:pPr>
              <w:widowControl w:val="0"/>
              <w:jc w:val="right"/>
            </w:pPr>
          </w:p>
        </w:tc>
        <w:tc>
          <w:tcPr>
            <w:tcW w:w="1077" w:type="dxa"/>
            <w:vAlign w:val="bottom"/>
          </w:tcPr>
          <w:p w14:paraId="1A312A84" w14:textId="77777777" w:rsidR="008E5DE4" w:rsidRDefault="008E5DE4">
            <w:pPr>
              <w:widowControl w:val="0"/>
              <w:jc w:val="right"/>
            </w:pPr>
          </w:p>
        </w:tc>
        <w:tc>
          <w:tcPr>
            <w:tcW w:w="1077" w:type="dxa"/>
            <w:vAlign w:val="bottom"/>
          </w:tcPr>
          <w:p w14:paraId="6B38DAE0" w14:textId="77777777" w:rsidR="008E5DE4" w:rsidRDefault="008E5DE4">
            <w:pPr>
              <w:widowControl w:val="0"/>
              <w:jc w:val="right"/>
            </w:pPr>
          </w:p>
        </w:tc>
        <w:tc>
          <w:tcPr>
            <w:tcW w:w="1077" w:type="dxa"/>
            <w:vAlign w:val="bottom"/>
          </w:tcPr>
          <w:p w14:paraId="7F31A3CE" w14:textId="77777777" w:rsidR="008E5DE4" w:rsidRDefault="008E5DE4">
            <w:pPr>
              <w:widowControl w:val="0"/>
              <w:jc w:val="right"/>
            </w:pPr>
          </w:p>
        </w:tc>
      </w:tr>
      <w:tr w:rsidR="008E5DE4" w14:paraId="5F489D16" w14:textId="77777777">
        <w:trPr>
          <w:cantSplit/>
        </w:trPr>
        <w:tc>
          <w:tcPr>
            <w:tcW w:w="2891" w:type="dxa"/>
            <w:vAlign w:val="bottom"/>
          </w:tcPr>
          <w:p w14:paraId="1C1ADE62"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in joint ventures</w:t>
            </w:r>
          </w:p>
        </w:tc>
        <w:tc>
          <w:tcPr>
            <w:tcW w:w="1077" w:type="dxa"/>
            <w:vAlign w:val="bottom"/>
          </w:tcPr>
          <w:p w14:paraId="4DD22147" w14:textId="77777777" w:rsidR="008E5DE4" w:rsidRDefault="008E5DE4">
            <w:pPr>
              <w:widowControl w:val="0"/>
              <w:jc w:val="right"/>
            </w:pPr>
          </w:p>
        </w:tc>
        <w:tc>
          <w:tcPr>
            <w:tcW w:w="1077" w:type="dxa"/>
            <w:vAlign w:val="bottom"/>
          </w:tcPr>
          <w:p w14:paraId="11538C2B" w14:textId="77777777" w:rsidR="008E5DE4" w:rsidRDefault="008E5DE4">
            <w:pPr>
              <w:widowControl w:val="0"/>
              <w:jc w:val="right"/>
            </w:pPr>
          </w:p>
        </w:tc>
        <w:tc>
          <w:tcPr>
            <w:tcW w:w="1077" w:type="dxa"/>
            <w:vAlign w:val="bottom"/>
          </w:tcPr>
          <w:p w14:paraId="4D350C43" w14:textId="77777777" w:rsidR="008E5DE4" w:rsidRDefault="008E5DE4">
            <w:pPr>
              <w:widowControl w:val="0"/>
              <w:jc w:val="right"/>
            </w:pPr>
          </w:p>
        </w:tc>
        <w:tc>
          <w:tcPr>
            <w:tcW w:w="1077" w:type="dxa"/>
            <w:vAlign w:val="bottom"/>
          </w:tcPr>
          <w:p w14:paraId="07243A7D" w14:textId="77777777" w:rsidR="008E5DE4" w:rsidRDefault="008E5DE4">
            <w:pPr>
              <w:widowControl w:val="0"/>
              <w:jc w:val="right"/>
            </w:pPr>
          </w:p>
        </w:tc>
        <w:tc>
          <w:tcPr>
            <w:tcW w:w="1077" w:type="dxa"/>
            <w:vAlign w:val="bottom"/>
          </w:tcPr>
          <w:p w14:paraId="13E48037" w14:textId="77777777" w:rsidR="008E5DE4" w:rsidRDefault="008E5DE4">
            <w:pPr>
              <w:widowControl w:val="0"/>
              <w:jc w:val="right"/>
            </w:pPr>
          </w:p>
        </w:tc>
        <w:tc>
          <w:tcPr>
            <w:tcW w:w="1077" w:type="dxa"/>
            <w:vAlign w:val="bottom"/>
          </w:tcPr>
          <w:p w14:paraId="4017774D" w14:textId="77777777" w:rsidR="008E5DE4" w:rsidRDefault="008E5DE4">
            <w:pPr>
              <w:widowControl w:val="0"/>
              <w:jc w:val="right"/>
            </w:pPr>
          </w:p>
        </w:tc>
      </w:tr>
      <w:tr w:rsidR="008E5DE4" w14:paraId="677A05B3" w14:textId="77777777">
        <w:trPr>
          <w:cantSplit/>
        </w:trPr>
        <w:tc>
          <w:tcPr>
            <w:tcW w:w="2891" w:type="dxa"/>
            <w:vAlign w:val="bottom"/>
          </w:tcPr>
          <w:p w14:paraId="7FBF4635" w14:textId="77777777" w:rsidR="008E5DE4" w:rsidRDefault="00780368">
            <w:pPr>
              <w:widowControl w:val="0"/>
              <w:pBdr>
                <w:top w:val="nil"/>
                <w:left w:val="nil"/>
                <w:bottom w:val="nil"/>
                <w:right w:val="nil"/>
                <w:between w:val="nil"/>
              </w:pBdr>
              <w:ind w:left="113" w:right="-57" w:hanging="113"/>
              <w:rPr>
                <w:color w:val="000000"/>
              </w:rPr>
            </w:pPr>
            <w:r>
              <w:rPr>
                <w:color w:val="000000"/>
              </w:rPr>
              <w:t>Other reportable segment assets</w:t>
            </w:r>
          </w:p>
        </w:tc>
        <w:tc>
          <w:tcPr>
            <w:tcW w:w="1077" w:type="dxa"/>
            <w:vAlign w:val="bottom"/>
          </w:tcPr>
          <w:p w14:paraId="67F54AB3" w14:textId="77777777" w:rsidR="008E5DE4" w:rsidRDefault="008E5DE4">
            <w:pPr>
              <w:widowControl w:val="0"/>
              <w:jc w:val="right"/>
            </w:pPr>
          </w:p>
        </w:tc>
        <w:tc>
          <w:tcPr>
            <w:tcW w:w="1077" w:type="dxa"/>
            <w:vAlign w:val="bottom"/>
          </w:tcPr>
          <w:p w14:paraId="483FA126" w14:textId="77777777" w:rsidR="008E5DE4" w:rsidRDefault="008E5DE4">
            <w:pPr>
              <w:widowControl w:val="0"/>
              <w:jc w:val="right"/>
            </w:pPr>
          </w:p>
        </w:tc>
        <w:tc>
          <w:tcPr>
            <w:tcW w:w="1077" w:type="dxa"/>
            <w:vAlign w:val="bottom"/>
          </w:tcPr>
          <w:p w14:paraId="4C160CC4" w14:textId="77777777" w:rsidR="008E5DE4" w:rsidRDefault="008E5DE4">
            <w:pPr>
              <w:widowControl w:val="0"/>
              <w:jc w:val="right"/>
            </w:pPr>
          </w:p>
        </w:tc>
        <w:tc>
          <w:tcPr>
            <w:tcW w:w="1077" w:type="dxa"/>
            <w:vAlign w:val="bottom"/>
          </w:tcPr>
          <w:p w14:paraId="04F48C81" w14:textId="77777777" w:rsidR="008E5DE4" w:rsidRDefault="008E5DE4">
            <w:pPr>
              <w:widowControl w:val="0"/>
              <w:jc w:val="right"/>
            </w:pPr>
          </w:p>
        </w:tc>
        <w:tc>
          <w:tcPr>
            <w:tcW w:w="1077" w:type="dxa"/>
            <w:vAlign w:val="bottom"/>
          </w:tcPr>
          <w:p w14:paraId="34BEE769" w14:textId="77777777" w:rsidR="008E5DE4" w:rsidRDefault="008E5DE4">
            <w:pPr>
              <w:widowControl w:val="0"/>
              <w:jc w:val="right"/>
            </w:pPr>
          </w:p>
        </w:tc>
        <w:tc>
          <w:tcPr>
            <w:tcW w:w="1077" w:type="dxa"/>
            <w:vAlign w:val="bottom"/>
          </w:tcPr>
          <w:p w14:paraId="1AC089FA" w14:textId="77777777" w:rsidR="008E5DE4" w:rsidRDefault="008E5DE4">
            <w:pPr>
              <w:widowControl w:val="0"/>
              <w:jc w:val="right"/>
            </w:pPr>
          </w:p>
        </w:tc>
      </w:tr>
      <w:tr w:rsidR="008E5DE4" w14:paraId="442FA024" w14:textId="77777777">
        <w:trPr>
          <w:cantSplit/>
        </w:trPr>
        <w:tc>
          <w:tcPr>
            <w:tcW w:w="2891" w:type="dxa"/>
            <w:tcBorders>
              <w:bottom w:val="single" w:sz="4" w:space="0" w:color="000000"/>
            </w:tcBorders>
            <w:vAlign w:val="bottom"/>
          </w:tcPr>
          <w:p w14:paraId="4F39819D"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077" w:type="dxa"/>
            <w:tcBorders>
              <w:bottom w:val="single" w:sz="4" w:space="0" w:color="000000"/>
            </w:tcBorders>
            <w:vAlign w:val="bottom"/>
          </w:tcPr>
          <w:p w14:paraId="6C2E38DA" w14:textId="77777777" w:rsidR="008E5DE4" w:rsidRDefault="008E5DE4">
            <w:pPr>
              <w:widowControl w:val="0"/>
              <w:jc w:val="right"/>
            </w:pPr>
          </w:p>
        </w:tc>
        <w:tc>
          <w:tcPr>
            <w:tcW w:w="1077" w:type="dxa"/>
            <w:tcBorders>
              <w:bottom w:val="single" w:sz="4" w:space="0" w:color="000000"/>
            </w:tcBorders>
            <w:vAlign w:val="bottom"/>
          </w:tcPr>
          <w:p w14:paraId="4447F4B6" w14:textId="77777777" w:rsidR="008E5DE4" w:rsidRDefault="008E5DE4">
            <w:pPr>
              <w:widowControl w:val="0"/>
              <w:jc w:val="right"/>
            </w:pPr>
          </w:p>
        </w:tc>
        <w:tc>
          <w:tcPr>
            <w:tcW w:w="1077" w:type="dxa"/>
            <w:tcBorders>
              <w:bottom w:val="single" w:sz="4" w:space="0" w:color="000000"/>
            </w:tcBorders>
            <w:vAlign w:val="bottom"/>
          </w:tcPr>
          <w:p w14:paraId="1783CB27" w14:textId="77777777" w:rsidR="008E5DE4" w:rsidRDefault="008E5DE4">
            <w:pPr>
              <w:widowControl w:val="0"/>
              <w:jc w:val="right"/>
            </w:pPr>
          </w:p>
        </w:tc>
        <w:tc>
          <w:tcPr>
            <w:tcW w:w="1077" w:type="dxa"/>
            <w:tcBorders>
              <w:bottom w:val="single" w:sz="4" w:space="0" w:color="000000"/>
            </w:tcBorders>
            <w:vAlign w:val="bottom"/>
          </w:tcPr>
          <w:p w14:paraId="36155343" w14:textId="77777777" w:rsidR="008E5DE4" w:rsidRDefault="008E5DE4">
            <w:pPr>
              <w:widowControl w:val="0"/>
              <w:jc w:val="right"/>
            </w:pPr>
          </w:p>
        </w:tc>
        <w:tc>
          <w:tcPr>
            <w:tcW w:w="1077" w:type="dxa"/>
            <w:tcBorders>
              <w:bottom w:val="single" w:sz="4" w:space="0" w:color="000000"/>
            </w:tcBorders>
            <w:vAlign w:val="bottom"/>
          </w:tcPr>
          <w:p w14:paraId="6B27FEBD" w14:textId="77777777" w:rsidR="008E5DE4" w:rsidRDefault="008E5DE4">
            <w:pPr>
              <w:widowControl w:val="0"/>
              <w:jc w:val="right"/>
            </w:pPr>
          </w:p>
        </w:tc>
        <w:tc>
          <w:tcPr>
            <w:tcW w:w="1077" w:type="dxa"/>
            <w:tcBorders>
              <w:bottom w:val="single" w:sz="4" w:space="0" w:color="000000"/>
            </w:tcBorders>
            <w:vAlign w:val="bottom"/>
          </w:tcPr>
          <w:p w14:paraId="78648AD9" w14:textId="77777777" w:rsidR="008E5DE4" w:rsidRDefault="008E5DE4">
            <w:pPr>
              <w:widowControl w:val="0"/>
              <w:jc w:val="right"/>
            </w:pPr>
          </w:p>
        </w:tc>
      </w:tr>
      <w:tr w:rsidR="008E5DE4" w14:paraId="488D066C" w14:textId="77777777">
        <w:trPr>
          <w:cantSplit/>
        </w:trPr>
        <w:tc>
          <w:tcPr>
            <w:tcW w:w="2891" w:type="dxa"/>
            <w:tcBorders>
              <w:top w:val="single" w:sz="4" w:space="0" w:color="000000"/>
            </w:tcBorders>
            <w:vAlign w:val="bottom"/>
          </w:tcPr>
          <w:p w14:paraId="721F61E9"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077" w:type="dxa"/>
            <w:tcBorders>
              <w:top w:val="single" w:sz="4" w:space="0" w:color="000000"/>
            </w:tcBorders>
            <w:vAlign w:val="bottom"/>
          </w:tcPr>
          <w:p w14:paraId="38FC29DF" w14:textId="77777777" w:rsidR="008E5DE4" w:rsidRDefault="008E5DE4">
            <w:pPr>
              <w:widowControl w:val="0"/>
              <w:jc w:val="right"/>
            </w:pPr>
          </w:p>
        </w:tc>
        <w:tc>
          <w:tcPr>
            <w:tcW w:w="1077" w:type="dxa"/>
            <w:tcBorders>
              <w:top w:val="single" w:sz="4" w:space="0" w:color="000000"/>
            </w:tcBorders>
            <w:vAlign w:val="bottom"/>
          </w:tcPr>
          <w:p w14:paraId="3CDF1E2A" w14:textId="77777777" w:rsidR="008E5DE4" w:rsidRDefault="008E5DE4">
            <w:pPr>
              <w:widowControl w:val="0"/>
              <w:jc w:val="right"/>
            </w:pPr>
          </w:p>
        </w:tc>
        <w:tc>
          <w:tcPr>
            <w:tcW w:w="1077" w:type="dxa"/>
            <w:tcBorders>
              <w:top w:val="single" w:sz="4" w:space="0" w:color="000000"/>
            </w:tcBorders>
            <w:vAlign w:val="bottom"/>
          </w:tcPr>
          <w:p w14:paraId="5694F60A" w14:textId="77777777" w:rsidR="008E5DE4" w:rsidRDefault="008E5DE4">
            <w:pPr>
              <w:widowControl w:val="0"/>
              <w:jc w:val="right"/>
            </w:pPr>
          </w:p>
        </w:tc>
        <w:tc>
          <w:tcPr>
            <w:tcW w:w="1077" w:type="dxa"/>
            <w:tcBorders>
              <w:top w:val="single" w:sz="4" w:space="0" w:color="000000"/>
            </w:tcBorders>
            <w:vAlign w:val="bottom"/>
          </w:tcPr>
          <w:p w14:paraId="2BAFD419" w14:textId="77777777" w:rsidR="008E5DE4" w:rsidRDefault="008E5DE4">
            <w:pPr>
              <w:widowControl w:val="0"/>
              <w:jc w:val="right"/>
            </w:pPr>
          </w:p>
        </w:tc>
        <w:tc>
          <w:tcPr>
            <w:tcW w:w="1077" w:type="dxa"/>
            <w:tcBorders>
              <w:top w:val="single" w:sz="4" w:space="0" w:color="000000"/>
            </w:tcBorders>
            <w:vAlign w:val="bottom"/>
          </w:tcPr>
          <w:p w14:paraId="13687D3B" w14:textId="77777777" w:rsidR="008E5DE4" w:rsidRDefault="008E5DE4">
            <w:pPr>
              <w:widowControl w:val="0"/>
              <w:jc w:val="right"/>
            </w:pPr>
          </w:p>
        </w:tc>
        <w:tc>
          <w:tcPr>
            <w:tcW w:w="1077" w:type="dxa"/>
            <w:tcBorders>
              <w:top w:val="single" w:sz="4" w:space="0" w:color="000000"/>
            </w:tcBorders>
            <w:vAlign w:val="bottom"/>
          </w:tcPr>
          <w:p w14:paraId="2A98F21D" w14:textId="77777777" w:rsidR="008E5DE4" w:rsidRDefault="008E5DE4">
            <w:pPr>
              <w:widowControl w:val="0"/>
              <w:jc w:val="right"/>
            </w:pPr>
          </w:p>
        </w:tc>
      </w:tr>
      <w:tr w:rsidR="008E5DE4" w14:paraId="39C79A09" w14:textId="77777777">
        <w:trPr>
          <w:cantSplit/>
        </w:trPr>
        <w:tc>
          <w:tcPr>
            <w:tcW w:w="2891" w:type="dxa"/>
            <w:vAlign w:val="bottom"/>
          </w:tcPr>
          <w:p w14:paraId="653C2670"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reportable segment assets</w:t>
            </w:r>
          </w:p>
        </w:tc>
        <w:tc>
          <w:tcPr>
            <w:tcW w:w="1077" w:type="dxa"/>
            <w:vAlign w:val="bottom"/>
          </w:tcPr>
          <w:p w14:paraId="4F9B8249" w14:textId="77777777" w:rsidR="008E5DE4" w:rsidRDefault="008E5DE4">
            <w:pPr>
              <w:widowControl w:val="0"/>
              <w:jc w:val="right"/>
            </w:pPr>
          </w:p>
        </w:tc>
        <w:tc>
          <w:tcPr>
            <w:tcW w:w="1077" w:type="dxa"/>
            <w:vAlign w:val="bottom"/>
          </w:tcPr>
          <w:p w14:paraId="1BE1FE11" w14:textId="77777777" w:rsidR="008E5DE4" w:rsidRDefault="008E5DE4">
            <w:pPr>
              <w:widowControl w:val="0"/>
              <w:jc w:val="right"/>
            </w:pPr>
          </w:p>
        </w:tc>
        <w:tc>
          <w:tcPr>
            <w:tcW w:w="1077" w:type="dxa"/>
            <w:vAlign w:val="bottom"/>
          </w:tcPr>
          <w:p w14:paraId="47DC99F5" w14:textId="77777777" w:rsidR="008E5DE4" w:rsidRDefault="008E5DE4">
            <w:pPr>
              <w:widowControl w:val="0"/>
              <w:jc w:val="right"/>
            </w:pPr>
          </w:p>
        </w:tc>
        <w:tc>
          <w:tcPr>
            <w:tcW w:w="1077" w:type="dxa"/>
            <w:vAlign w:val="bottom"/>
          </w:tcPr>
          <w:p w14:paraId="750B264A" w14:textId="77777777" w:rsidR="008E5DE4" w:rsidRDefault="008E5DE4">
            <w:pPr>
              <w:widowControl w:val="0"/>
              <w:jc w:val="right"/>
            </w:pPr>
          </w:p>
        </w:tc>
        <w:tc>
          <w:tcPr>
            <w:tcW w:w="1077" w:type="dxa"/>
            <w:vAlign w:val="bottom"/>
          </w:tcPr>
          <w:p w14:paraId="47C8E05D" w14:textId="77777777" w:rsidR="008E5DE4" w:rsidRDefault="008E5DE4">
            <w:pPr>
              <w:widowControl w:val="0"/>
              <w:jc w:val="right"/>
            </w:pPr>
          </w:p>
        </w:tc>
        <w:tc>
          <w:tcPr>
            <w:tcW w:w="1077" w:type="dxa"/>
            <w:vAlign w:val="bottom"/>
          </w:tcPr>
          <w:p w14:paraId="005436D1" w14:textId="77777777" w:rsidR="008E5DE4" w:rsidRDefault="008E5DE4">
            <w:pPr>
              <w:widowControl w:val="0"/>
              <w:jc w:val="right"/>
            </w:pPr>
          </w:p>
        </w:tc>
      </w:tr>
      <w:tr w:rsidR="008E5DE4" w14:paraId="687A5920" w14:textId="77777777">
        <w:trPr>
          <w:cantSplit/>
        </w:trPr>
        <w:tc>
          <w:tcPr>
            <w:tcW w:w="2891" w:type="dxa"/>
            <w:tcBorders>
              <w:bottom w:val="single" w:sz="12" w:space="0" w:color="000000"/>
            </w:tcBorders>
            <w:vAlign w:val="bottom"/>
          </w:tcPr>
          <w:p w14:paraId="396D2842"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bottom w:val="single" w:sz="12" w:space="0" w:color="000000"/>
            </w:tcBorders>
            <w:vAlign w:val="bottom"/>
          </w:tcPr>
          <w:p w14:paraId="2BAE3DCD" w14:textId="77777777" w:rsidR="008E5DE4" w:rsidRDefault="008E5DE4">
            <w:pPr>
              <w:widowControl w:val="0"/>
              <w:jc w:val="right"/>
            </w:pPr>
          </w:p>
        </w:tc>
        <w:tc>
          <w:tcPr>
            <w:tcW w:w="1077" w:type="dxa"/>
            <w:tcBorders>
              <w:bottom w:val="single" w:sz="12" w:space="0" w:color="000000"/>
            </w:tcBorders>
            <w:vAlign w:val="bottom"/>
          </w:tcPr>
          <w:p w14:paraId="5685A26F" w14:textId="77777777" w:rsidR="008E5DE4" w:rsidRDefault="008E5DE4">
            <w:pPr>
              <w:widowControl w:val="0"/>
              <w:jc w:val="right"/>
            </w:pPr>
          </w:p>
        </w:tc>
        <w:tc>
          <w:tcPr>
            <w:tcW w:w="1077" w:type="dxa"/>
            <w:tcBorders>
              <w:bottom w:val="single" w:sz="12" w:space="0" w:color="000000"/>
            </w:tcBorders>
            <w:vAlign w:val="bottom"/>
          </w:tcPr>
          <w:p w14:paraId="5FB568AB" w14:textId="77777777" w:rsidR="008E5DE4" w:rsidRDefault="008E5DE4">
            <w:pPr>
              <w:widowControl w:val="0"/>
              <w:jc w:val="right"/>
            </w:pPr>
          </w:p>
        </w:tc>
        <w:tc>
          <w:tcPr>
            <w:tcW w:w="1077" w:type="dxa"/>
            <w:tcBorders>
              <w:bottom w:val="single" w:sz="12" w:space="0" w:color="000000"/>
            </w:tcBorders>
            <w:vAlign w:val="bottom"/>
          </w:tcPr>
          <w:p w14:paraId="4D7D5AFC" w14:textId="77777777" w:rsidR="008E5DE4" w:rsidRDefault="008E5DE4">
            <w:pPr>
              <w:widowControl w:val="0"/>
              <w:jc w:val="right"/>
            </w:pPr>
          </w:p>
        </w:tc>
        <w:tc>
          <w:tcPr>
            <w:tcW w:w="1077" w:type="dxa"/>
            <w:tcBorders>
              <w:bottom w:val="single" w:sz="12" w:space="0" w:color="000000"/>
            </w:tcBorders>
            <w:vAlign w:val="bottom"/>
          </w:tcPr>
          <w:p w14:paraId="5D1860D8" w14:textId="77777777" w:rsidR="008E5DE4" w:rsidRDefault="008E5DE4">
            <w:pPr>
              <w:widowControl w:val="0"/>
              <w:jc w:val="right"/>
            </w:pPr>
          </w:p>
        </w:tc>
        <w:tc>
          <w:tcPr>
            <w:tcW w:w="1077" w:type="dxa"/>
            <w:tcBorders>
              <w:bottom w:val="single" w:sz="12" w:space="0" w:color="000000"/>
            </w:tcBorders>
            <w:vAlign w:val="bottom"/>
          </w:tcPr>
          <w:p w14:paraId="0B481C82" w14:textId="77777777" w:rsidR="008E5DE4" w:rsidRDefault="008E5DE4">
            <w:pPr>
              <w:widowControl w:val="0"/>
              <w:jc w:val="right"/>
            </w:pPr>
          </w:p>
        </w:tc>
      </w:tr>
      <w:tr w:rsidR="008E5DE4" w14:paraId="347AD5E0" w14:textId="77777777">
        <w:trPr>
          <w:cantSplit/>
        </w:trPr>
        <w:tc>
          <w:tcPr>
            <w:tcW w:w="2891" w:type="dxa"/>
            <w:tcBorders>
              <w:top w:val="single" w:sz="12" w:space="0" w:color="000000"/>
            </w:tcBorders>
            <w:vAlign w:val="bottom"/>
          </w:tcPr>
          <w:p w14:paraId="38BA1FC7"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top w:val="single" w:sz="12" w:space="0" w:color="000000"/>
            </w:tcBorders>
            <w:vAlign w:val="bottom"/>
          </w:tcPr>
          <w:p w14:paraId="5761F87F" w14:textId="77777777" w:rsidR="008E5DE4" w:rsidRDefault="008E5DE4">
            <w:pPr>
              <w:widowControl w:val="0"/>
              <w:jc w:val="right"/>
            </w:pPr>
          </w:p>
        </w:tc>
        <w:tc>
          <w:tcPr>
            <w:tcW w:w="1077" w:type="dxa"/>
            <w:tcBorders>
              <w:top w:val="single" w:sz="12" w:space="0" w:color="000000"/>
            </w:tcBorders>
            <w:vAlign w:val="bottom"/>
          </w:tcPr>
          <w:p w14:paraId="64870CDB" w14:textId="77777777" w:rsidR="008E5DE4" w:rsidRDefault="008E5DE4">
            <w:pPr>
              <w:widowControl w:val="0"/>
              <w:jc w:val="right"/>
            </w:pPr>
          </w:p>
        </w:tc>
        <w:tc>
          <w:tcPr>
            <w:tcW w:w="1077" w:type="dxa"/>
            <w:tcBorders>
              <w:top w:val="single" w:sz="12" w:space="0" w:color="000000"/>
            </w:tcBorders>
            <w:vAlign w:val="bottom"/>
          </w:tcPr>
          <w:p w14:paraId="2C051CE7" w14:textId="77777777" w:rsidR="008E5DE4" w:rsidRDefault="008E5DE4">
            <w:pPr>
              <w:widowControl w:val="0"/>
              <w:jc w:val="right"/>
            </w:pPr>
          </w:p>
        </w:tc>
        <w:tc>
          <w:tcPr>
            <w:tcW w:w="1077" w:type="dxa"/>
            <w:tcBorders>
              <w:top w:val="single" w:sz="12" w:space="0" w:color="000000"/>
            </w:tcBorders>
            <w:vAlign w:val="bottom"/>
          </w:tcPr>
          <w:p w14:paraId="5B32A09C" w14:textId="77777777" w:rsidR="008E5DE4" w:rsidRDefault="008E5DE4">
            <w:pPr>
              <w:widowControl w:val="0"/>
              <w:jc w:val="right"/>
            </w:pPr>
          </w:p>
        </w:tc>
        <w:tc>
          <w:tcPr>
            <w:tcW w:w="1077" w:type="dxa"/>
            <w:tcBorders>
              <w:top w:val="single" w:sz="12" w:space="0" w:color="000000"/>
            </w:tcBorders>
            <w:vAlign w:val="bottom"/>
          </w:tcPr>
          <w:p w14:paraId="40486095" w14:textId="77777777" w:rsidR="008E5DE4" w:rsidRDefault="008E5DE4">
            <w:pPr>
              <w:widowControl w:val="0"/>
              <w:jc w:val="right"/>
            </w:pPr>
          </w:p>
        </w:tc>
        <w:tc>
          <w:tcPr>
            <w:tcW w:w="1077" w:type="dxa"/>
            <w:tcBorders>
              <w:top w:val="single" w:sz="12" w:space="0" w:color="000000"/>
            </w:tcBorders>
            <w:vAlign w:val="bottom"/>
          </w:tcPr>
          <w:p w14:paraId="33ADFACA" w14:textId="77777777" w:rsidR="008E5DE4" w:rsidRDefault="008E5DE4">
            <w:pPr>
              <w:widowControl w:val="0"/>
              <w:jc w:val="right"/>
            </w:pPr>
          </w:p>
        </w:tc>
      </w:tr>
      <w:tr w:rsidR="008E5DE4" w14:paraId="3241ED24" w14:textId="77777777">
        <w:trPr>
          <w:cantSplit/>
        </w:trPr>
        <w:tc>
          <w:tcPr>
            <w:tcW w:w="2891" w:type="dxa"/>
            <w:vAlign w:val="bottom"/>
          </w:tcPr>
          <w:p w14:paraId="676BB895"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Liabilities directly associated with disposal groups held for sale </w:t>
            </w:r>
          </w:p>
        </w:tc>
        <w:tc>
          <w:tcPr>
            <w:tcW w:w="1077" w:type="dxa"/>
            <w:vAlign w:val="bottom"/>
          </w:tcPr>
          <w:p w14:paraId="2A950D8A" w14:textId="77777777" w:rsidR="008E5DE4" w:rsidRDefault="008E5DE4">
            <w:pPr>
              <w:widowControl w:val="0"/>
              <w:jc w:val="right"/>
            </w:pPr>
          </w:p>
        </w:tc>
        <w:tc>
          <w:tcPr>
            <w:tcW w:w="1077" w:type="dxa"/>
            <w:vAlign w:val="bottom"/>
          </w:tcPr>
          <w:p w14:paraId="33351FB4" w14:textId="77777777" w:rsidR="008E5DE4" w:rsidRDefault="008E5DE4">
            <w:pPr>
              <w:widowControl w:val="0"/>
              <w:jc w:val="right"/>
            </w:pPr>
          </w:p>
        </w:tc>
        <w:tc>
          <w:tcPr>
            <w:tcW w:w="1077" w:type="dxa"/>
            <w:vAlign w:val="bottom"/>
          </w:tcPr>
          <w:p w14:paraId="180E1B8D" w14:textId="77777777" w:rsidR="008E5DE4" w:rsidRDefault="008E5DE4">
            <w:pPr>
              <w:widowControl w:val="0"/>
              <w:jc w:val="right"/>
            </w:pPr>
          </w:p>
        </w:tc>
        <w:tc>
          <w:tcPr>
            <w:tcW w:w="1077" w:type="dxa"/>
            <w:vAlign w:val="bottom"/>
          </w:tcPr>
          <w:p w14:paraId="7043BDEC" w14:textId="77777777" w:rsidR="008E5DE4" w:rsidRDefault="008E5DE4">
            <w:pPr>
              <w:widowControl w:val="0"/>
              <w:jc w:val="right"/>
            </w:pPr>
          </w:p>
        </w:tc>
        <w:tc>
          <w:tcPr>
            <w:tcW w:w="1077" w:type="dxa"/>
            <w:vAlign w:val="bottom"/>
          </w:tcPr>
          <w:p w14:paraId="71D9EE6F" w14:textId="77777777" w:rsidR="008E5DE4" w:rsidRDefault="008E5DE4">
            <w:pPr>
              <w:widowControl w:val="0"/>
              <w:jc w:val="right"/>
            </w:pPr>
          </w:p>
        </w:tc>
        <w:tc>
          <w:tcPr>
            <w:tcW w:w="1077" w:type="dxa"/>
            <w:vAlign w:val="bottom"/>
          </w:tcPr>
          <w:p w14:paraId="509D0126" w14:textId="77777777" w:rsidR="008E5DE4" w:rsidRDefault="008E5DE4">
            <w:pPr>
              <w:widowControl w:val="0"/>
              <w:jc w:val="right"/>
            </w:pPr>
          </w:p>
        </w:tc>
      </w:tr>
      <w:tr w:rsidR="008E5DE4" w14:paraId="37EC2810" w14:textId="77777777">
        <w:trPr>
          <w:cantSplit/>
        </w:trPr>
        <w:tc>
          <w:tcPr>
            <w:tcW w:w="2891" w:type="dxa"/>
            <w:vAlign w:val="bottom"/>
          </w:tcPr>
          <w:p w14:paraId="26334BDB" w14:textId="77777777" w:rsidR="008E5DE4" w:rsidRDefault="00780368">
            <w:pPr>
              <w:widowControl w:val="0"/>
              <w:pBdr>
                <w:top w:val="nil"/>
                <w:left w:val="nil"/>
                <w:bottom w:val="nil"/>
                <w:right w:val="nil"/>
                <w:between w:val="nil"/>
              </w:pBdr>
              <w:ind w:left="113" w:right="-57" w:hanging="113"/>
              <w:rPr>
                <w:color w:val="000000"/>
              </w:rPr>
            </w:pPr>
            <w:r>
              <w:rPr>
                <w:color w:val="000000"/>
              </w:rPr>
              <w:t>Other reportable segment liabilities</w:t>
            </w:r>
          </w:p>
        </w:tc>
        <w:tc>
          <w:tcPr>
            <w:tcW w:w="1077" w:type="dxa"/>
            <w:vAlign w:val="bottom"/>
          </w:tcPr>
          <w:p w14:paraId="18F1D8DE" w14:textId="77777777" w:rsidR="008E5DE4" w:rsidRDefault="008E5DE4">
            <w:pPr>
              <w:widowControl w:val="0"/>
              <w:jc w:val="right"/>
            </w:pPr>
          </w:p>
        </w:tc>
        <w:tc>
          <w:tcPr>
            <w:tcW w:w="1077" w:type="dxa"/>
            <w:vAlign w:val="bottom"/>
          </w:tcPr>
          <w:p w14:paraId="11197AFE" w14:textId="77777777" w:rsidR="008E5DE4" w:rsidRDefault="008E5DE4">
            <w:pPr>
              <w:widowControl w:val="0"/>
              <w:jc w:val="right"/>
            </w:pPr>
          </w:p>
        </w:tc>
        <w:tc>
          <w:tcPr>
            <w:tcW w:w="1077" w:type="dxa"/>
            <w:vAlign w:val="bottom"/>
          </w:tcPr>
          <w:p w14:paraId="19901A8C" w14:textId="77777777" w:rsidR="008E5DE4" w:rsidRDefault="008E5DE4">
            <w:pPr>
              <w:widowControl w:val="0"/>
              <w:jc w:val="right"/>
            </w:pPr>
          </w:p>
        </w:tc>
        <w:tc>
          <w:tcPr>
            <w:tcW w:w="1077" w:type="dxa"/>
            <w:vAlign w:val="bottom"/>
          </w:tcPr>
          <w:p w14:paraId="48573025" w14:textId="77777777" w:rsidR="008E5DE4" w:rsidRDefault="008E5DE4">
            <w:pPr>
              <w:widowControl w:val="0"/>
              <w:jc w:val="right"/>
            </w:pPr>
          </w:p>
        </w:tc>
        <w:tc>
          <w:tcPr>
            <w:tcW w:w="1077" w:type="dxa"/>
            <w:vAlign w:val="bottom"/>
          </w:tcPr>
          <w:p w14:paraId="53DED9A0" w14:textId="77777777" w:rsidR="008E5DE4" w:rsidRDefault="008E5DE4">
            <w:pPr>
              <w:widowControl w:val="0"/>
              <w:jc w:val="right"/>
            </w:pPr>
          </w:p>
        </w:tc>
        <w:tc>
          <w:tcPr>
            <w:tcW w:w="1077" w:type="dxa"/>
            <w:vAlign w:val="bottom"/>
          </w:tcPr>
          <w:p w14:paraId="274FB554" w14:textId="77777777" w:rsidR="008E5DE4" w:rsidRDefault="008E5DE4">
            <w:pPr>
              <w:widowControl w:val="0"/>
              <w:jc w:val="right"/>
            </w:pPr>
          </w:p>
        </w:tc>
      </w:tr>
      <w:tr w:rsidR="008E5DE4" w14:paraId="7A8AF485" w14:textId="77777777">
        <w:trPr>
          <w:cantSplit/>
        </w:trPr>
        <w:tc>
          <w:tcPr>
            <w:tcW w:w="2891" w:type="dxa"/>
            <w:tcBorders>
              <w:bottom w:val="single" w:sz="4" w:space="0" w:color="000000"/>
            </w:tcBorders>
            <w:vAlign w:val="bottom"/>
          </w:tcPr>
          <w:p w14:paraId="79C9D1C3"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bottom w:val="single" w:sz="4" w:space="0" w:color="000000"/>
            </w:tcBorders>
            <w:vAlign w:val="bottom"/>
          </w:tcPr>
          <w:p w14:paraId="4E8131E1" w14:textId="77777777" w:rsidR="008E5DE4" w:rsidRDefault="008E5DE4">
            <w:pPr>
              <w:widowControl w:val="0"/>
              <w:jc w:val="right"/>
            </w:pPr>
          </w:p>
        </w:tc>
        <w:tc>
          <w:tcPr>
            <w:tcW w:w="1077" w:type="dxa"/>
            <w:tcBorders>
              <w:bottom w:val="single" w:sz="4" w:space="0" w:color="000000"/>
            </w:tcBorders>
            <w:vAlign w:val="bottom"/>
          </w:tcPr>
          <w:p w14:paraId="4D63714F" w14:textId="77777777" w:rsidR="008E5DE4" w:rsidRDefault="008E5DE4">
            <w:pPr>
              <w:widowControl w:val="0"/>
              <w:jc w:val="right"/>
            </w:pPr>
          </w:p>
        </w:tc>
        <w:tc>
          <w:tcPr>
            <w:tcW w:w="1077" w:type="dxa"/>
            <w:tcBorders>
              <w:bottom w:val="single" w:sz="4" w:space="0" w:color="000000"/>
            </w:tcBorders>
            <w:vAlign w:val="bottom"/>
          </w:tcPr>
          <w:p w14:paraId="7AFEC51A" w14:textId="77777777" w:rsidR="008E5DE4" w:rsidRDefault="008E5DE4">
            <w:pPr>
              <w:widowControl w:val="0"/>
              <w:jc w:val="right"/>
            </w:pPr>
          </w:p>
        </w:tc>
        <w:tc>
          <w:tcPr>
            <w:tcW w:w="1077" w:type="dxa"/>
            <w:tcBorders>
              <w:bottom w:val="single" w:sz="4" w:space="0" w:color="000000"/>
            </w:tcBorders>
            <w:vAlign w:val="bottom"/>
          </w:tcPr>
          <w:p w14:paraId="1ADC7BBF" w14:textId="77777777" w:rsidR="008E5DE4" w:rsidRDefault="008E5DE4">
            <w:pPr>
              <w:widowControl w:val="0"/>
              <w:jc w:val="right"/>
            </w:pPr>
          </w:p>
        </w:tc>
        <w:tc>
          <w:tcPr>
            <w:tcW w:w="1077" w:type="dxa"/>
            <w:tcBorders>
              <w:bottom w:val="single" w:sz="4" w:space="0" w:color="000000"/>
            </w:tcBorders>
            <w:vAlign w:val="bottom"/>
          </w:tcPr>
          <w:p w14:paraId="17840743" w14:textId="77777777" w:rsidR="008E5DE4" w:rsidRDefault="008E5DE4">
            <w:pPr>
              <w:widowControl w:val="0"/>
              <w:jc w:val="right"/>
            </w:pPr>
          </w:p>
        </w:tc>
        <w:tc>
          <w:tcPr>
            <w:tcW w:w="1077" w:type="dxa"/>
            <w:tcBorders>
              <w:bottom w:val="single" w:sz="4" w:space="0" w:color="000000"/>
            </w:tcBorders>
            <w:vAlign w:val="bottom"/>
          </w:tcPr>
          <w:p w14:paraId="3F1743A5" w14:textId="77777777" w:rsidR="008E5DE4" w:rsidRDefault="008E5DE4">
            <w:pPr>
              <w:widowControl w:val="0"/>
              <w:jc w:val="right"/>
            </w:pPr>
          </w:p>
        </w:tc>
      </w:tr>
      <w:tr w:rsidR="008E5DE4" w14:paraId="6C38BDCB" w14:textId="77777777">
        <w:trPr>
          <w:cantSplit/>
        </w:trPr>
        <w:tc>
          <w:tcPr>
            <w:tcW w:w="2891" w:type="dxa"/>
            <w:tcBorders>
              <w:top w:val="single" w:sz="4" w:space="0" w:color="000000"/>
            </w:tcBorders>
            <w:vAlign w:val="bottom"/>
          </w:tcPr>
          <w:p w14:paraId="3FD37B84"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top w:val="single" w:sz="4" w:space="0" w:color="000000"/>
            </w:tcBorders>
            <w:vAlign w:val="bottom"/>
          </w:tcPr>
          <w:p w14:paraId="2F3651B1" w14:textId="77777777" w:rsidR="008E5DE4" w:rsidRDefault="008E5DE4">
            <w:pPr>
              <w:widowControl w:val="0"/>
              <w:jc w:val="right"/>
            </w:pPr>
          </w:p>
        </w:tc>
        <w:tc>
          <w:tcPr>
            <w:tcW w:w="1077" w:type="dxa"/>
            <w:tcBorders>
              <w:top w:val="single" w:sz="4" w:space="0" w:color="000000"/>
            </w:tcBorders>
            <w:vAlign w:val="bottom"/>
          </w:tcPr>
          <w:p w14:paraId="51E8CBDE" w14:textId="77777777" w:rsidR="008E5DE4" w:rsidRDefault="008E5DE4">
            <w:pPr>
              <w:widowControl w:val="0"/>
              <w:jc w:val="right"/>
            </w:pPr>
          </w:p>
        </w:tc>
        <w:tc>
          <w:tcPr>
            <w:tcW w:w="1077" w:type="dxa"/>
            <w:tcBorders>
              <w:top w:val="single" w:sz="4" w:space="0" w:color="000000"/>
            </w:tcBorders>
            <w:vAlign w:val="bottom"/>
          </w:tcPr>
          <w:p w14:paraId="6AE1D1F2" w14:textId="77777777" w:rsidR="008E5DE4" w:rsidRDefault="008E5DE4">
            <w:pPr>
              <w:widowControl w:val="0"/>
              <w:jc w:val="right"/>
            </w:pPr>
          </w:p>
        </w:tc>
        <w:tc>
          <w:tcPr>
            <w:tcW w:w="1077" w:type="dxa"/>
            <w:tcBorders>
              <w:top w:val="single" w:sz="4" w:space="0" w:color="000000"/>
            </w:tcBorders>
            <w:vAlign w:val="bottom"/>
          </w:tcPr>
          <w:p w14:paraId="744029FF" w14:textId="77777777" w:rsidR="008E5DE4" w:rsidRDefault="008E5DE4">
            <w:pPr>
              <w:widowControl w:val="0"/>
              <w:jc w:val="right"/>
            </w:pPr>
          </w:p>
        </w:tc>
        <w:tc>
          <w:tcPr>
            <w:tcW w:w="1077" w:type="dxa"/>
            <w:tcBorders>
              <w:top w:val="single" w:sz="4" w:space="0" w:color="000000"/>
            </w:tcBorders>
            <w:vAlign w:val="bottom"/>
          </w:tcPr>
          <w:p w14:paraId="5C9809DB" w14:textId="77777777" w:rsidR="008E5DE4" w:rsidRDefault="008E5DE4">
            <w:pPr>
              <w:widowControl w:val="0"/>
              <w:jc w:val="right"/>
            </w:pPr>
          </w:p>
        </w:tc>
        <w:tc>
          <w:tcPr>
            <w:tcW w:w="1077" w:type="dxa"/>
            <w:tcBorders>
              <w:top w:val="single" w:sz="4" w:space="0" w:color="000000"/>
            </w:tcBorders>
            <w:vAlign w:val="bottom"/>
          </w:tcPr>
          <w:p w14:paraId="4FBEF7E4" w14:textId="77777777" w:rsidR="008E5DE4" w:rsidRDefault="008E5DE4">
            <w:pPr>
              <w:widowControl w:val="0"/>
              <w:jc w:val="right"/>
            </w:pPr>
          </w:p>
        </w:tc>
      </w:tr>
      <w:tr w:rsidR="008E5DE4" w14:paraId="427BA045" w14:textId="77777777">
        <w:trPr>
          <w:cantSplit/>
        </w:trPr>
        <w:tc>
          <w:tcPr>
            <w:tcW w:w="2891" w:type="dxa"/>
            <w:vAlign w:val="bottom"/>
          </w:tcPr>
          <w:p w14:paraId="57D5F806"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reportable segment liabilities</w:t>
            </w:r>
          </w:p>
        </w:tc>
        <w:tc>
          <w:tcPr>
            <w:tcW w:w="1077" w:type="dxa"/>
            <w:vAlign w:val="bottom"/>
          </w:tcPr>
          <w:p w14:paraId="4698F1F2" w14:textId="77777777" w:rsidR="008E5DE4" w:rsidRDefault="008E5DE4">
            <w:pPr>
              <w:widowControl w:val="0"/>
              <w:jc w:val="right"/>
              <w:rPr>
                <w:b/>
              </w:rPr>
            </w:pPr>
          </w:p>
        </w:tc>
        <w:tc>
          <w:tcPr>
            <w:tcW w:w="1077" w:type="dxa"/>
            <w:vAlign w:val="bottom"/>
          </w:tcPr>
          <w:p w14:paraId="74869CBD" w14:textId="77777777" w:rsidR="008E5DE4" w:rsidRDefault="008E5DE4">
            <w:pPr>
              <w:widowControl w:val="0"/>
              <w:jc w:val="right"/>
              <w:rPr>
                <w:b/>
              </w:rPr>
            </w:pPr>
          </w:p>
        </w:tc>
        <w:tc>
          <w:tcPr>
            <w:tcW w:w="1077" w:type="dxa"/>
            <w:vAlign w:val="bottom"/>
          </w:tcPr>
          <w:p w14:paraId="6B37F7F7" w14:textId="77777777" w:rsidR="008E5DE4" w:rsidRDefault="008E5DE4">
            <w:pPr>
              <w:widowControl w:val="0"/>
              <w:jc w:val="right"/>
              <w:rPr>
                <w:b/>
              </w:rPr>
            </w:pPr>
          </w:p>
        </w:tc>
        <w:tc>
          <w:tcPr>
            <w:tcW w:w="1077" w:type="dxa"/>
            <w:vAlign w:val="bottom"/>
          </w:tcPr>
          <w:p w14:paraId="5D30C1EE" w14:textId="77777777" w:rsidR="008E5DE4" w:rsidRDefault="008E5DE4">
            <w:pPr>
              <w:widowControl w:val="0"/>
              <w:jc w:val="right"/>
              <w:rPr>
                <w:b/>
              </w:rPr>
            </w:pPr>
          </w:p>
        </w:tc>
        <w:tc>
          <w:tcPr>
            <w:tcW w:w="1077" w:type="dxa"/>
            <w:vAlign w:val="bottom"/>
          </w:tcPr>
          <w:p w14:paraId="328CA366" w14:textId="77777777" w:rsidR="008E5DE4" w:rsidRDefault="008E5DE4">
            <w:pPr>
              <w:widowControl w:val="0"/>
              <w:jc w:val="right"/>
              <w:rPr>
                <w:b/>
              </w:rPr>
            </w:pPr>
          </w:p>
        </w:tc>
        <w:tc>
          <w:tcPr>
            <w:tcW w:w="1077" w:type="dxa"/>
            <w:vAlign w:val="bottom"/>
          </w:tcPr>
          <w:p w14:paraId="58655506" w14:textId="77777777" w:rsidR="008E5DE4" w:rsidRDefault="008E5DE4">
            <w:pPr>
              <w:widowControl w:val="0"/>
              <w:jc w:val="right"/>
              <w:rPr>
                <w:b/>
              </w:rPr>
            </w:pPr>
          </w:p>
        </w:tc>
      </w:tr>
      <w:tr w:rsidR="008E5DE4" w14:paraId="2FC346BE" w14:textId="77777777">
        <w:trPr>
          <w:cantSplit/>
        </w:trPr>
        <w:tc>
          <w:tcPr>
            <w:tcW w:w="2891" w:type="dxa"/>
            <w:tcBorders>
              <w:bottom w:val="single" w:sz="12" w:space="0" w:color="000000"/>
            </w:tcBorders>
            <w:vAlign w:val="bottom"/>
          </w:tcPr>
          <w:p w14:paraId="1BC04FC9"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bottom w:val="single" w:sz="12" w:space="0" w:color="000000"/>
            </w:tcBorders>
            <w:vAlign w:val="bottom"/>
          </w:tcPr>
          <w:p w14:paraId="3BC187E5"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0A8726AC"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7DE35D16"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16771592"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71835030"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55A82C95" w14:textId="77777777" w:rsidR="008E5DE4" w:rsidRDefault="008E5DE4">
            <w:pPr>
              <w:widowControl w:val="0"/>
              <w:pBdr>
                <w:top w:val="nil"/>
                <w:left w:val="nil"/>
                <w:bottom w:val="nil"/>
                <w:right w:val="nil"/>
                <w:between w:val="nil"/>
              </w:pBdr>
              <w:jc w:val="right"/>
              <w:rPr>
                <w:color w:val="000000"/>
              </w:rPr>
            </w:pPr>
          </w:p>
        </w:tc>
      </w:tr>
      <w:tr w:rsidR="008E5DE4" w14:paraId="1CCC15E8" w14:textId="77777777">
        <w:trPr>
          <w:cantSplit/>
        </w:trPr>
        <w:tc>
          <w:tcPr>
            <w:tcW w:w="2891" w:type="dxa"/>
            <w:tcBorders>
              <w:top w:val="single" w:sz="12" w:space="0" w:color="000000"/>
            </w:tcBorders>
            <w:vAlign w:val="bottom"/>
          </w:tcPr>
          <w:p w14:paraId="717DAF1A"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077" w:type="dxa"/>
            <w:tcBorders>
              <w:top w:val="single" w:sz="12" w:space="0" w:color="000000"/>
            </w:tcBorders>
            <w:vAlign w:val="bottom"/>
          </w:tcPr>
          <w:p w14:paraId="7DB36E9B" w14:textId="77777777" w:rsidR="008E5DE4" w:rsidRDefault="008E5DE4">
            <w:pPr>
              <w:widowControl w:val="0"/>
              <w:jc w:val="right"/>
            </w:pPr>
          </w:p>
        </w:tc>
        <w:tc>
          <w:tcPr>
            <w:tcW w:w="1077" w:type="dxa"/>
            <w:tcBorders>
              <w:top w:val="single" w:sz="12" w:space="0" w:color="000000"/>
            </w:tcBorders>
            <w:vAlign w:val="bottom"/>
          </w:tcPr>
          <w:p w14:paraId="67A71B61" w14:textId="77777777" w:rsidR="008E5DE4" w:rsidRDefault="008E5DE4">
            <w:pPr>
              <w:widowControl w:val="0"/>
              <w:jc w:val="right"/>
            </w:pPr>
          </w:p>
        </w:tc>
        <w:tc>
          <w:tcPr>
            <w:tcW w:w="1077" w:type="dxa"/>
            <w:tcBorders>
              <w:top w:val="single" w:sz="12" w:space="0" w:color="000000"/>
            </w:tcBorders>
            <w:vAlign w:val="bottom"/>
          </w:tcPr>
          <w:p w14:paraId="10D247CF" w14:textId="77777777" w:rsidR="008E5DE4" w:rsidRDefault="008E5DE4">
            <w:pPr>
              <w:widowControl w:val="0"/>
              <w:jc w:val="right"/>
            </w:pPr>
          </w:p>
        </w:tc>
        <w:tc>
          <w:tcPr>
            <w:tcW w:w="1077" w:type="dxa"/>
            <w:tcBorders>
              <w:top w:val="single" w:sz="12" w:space="0" w:color="000000"/>
            </w:tcBorders>
            <w:vAlign w:val="bottom"/>
          </w:tcPr>
          <w:p w14:paraId="6E19956E" w14:textId="77777777" w:rsidR="008E5DE4" w:rsidRDefault="008E5DE4">
            <w:pPr>
              <w:widowControl w:val="0"/>
              <w:jc w:val="right"/>
            </w:pPr>
          </w:p>
        </w:tc>
        <w:tc>
          <w:tcPr>
            <w:tcW w:w="1077" w:type="dxa"/>
            <w:tcBorders>
              <w:top w:val="single" w:sz="12" w:space="0" w:color="000000"/>
            </w:tcBorders>
            <w:vAlign w:val="bottom"/>
          </w:tcPr>
          <w:p w14:paraId="668696DE" w14:textId="77777777" w:rsidR="008E5DE4" w:rsidRDefault="008E5DE4">
            <w:pPr>
              <w:widowControl w:val="0"/>
              <w:jc w:val="right"/>
            </w:pPr>
          </w:p>
        </w:tc>
        <w:tc>
          <w:tcPr>
            <w:tcW w:w="1077" w:type="dxa"/>
            <w:tcBorders>
              <w:top w:val="single" w:sz="12" w:space="0" w:color="000000"/>
            </w:tcBorders>
            <w:vAlign w:val="bottom"/>
          </w:tcPr>
          <w:p w14:paraId="5456B0DE" w14:textId="77777777" w:rsidR="008E5DE4" w:rsidRDefault="008E5DE4">
            <w:pPr>
              <w:widowControl w:val="0"/>
              <w:jc w:val="right"/>
            </w:pPr>
          </w:p>
        </w:tc>
      </w:tr>
      <w:tr w:rsidR="008E5DE4" w14:paraId="559EEE56" w14:textId="77777777">
        <w:trPr>
          <w:cantSplit/>
        </w:trPr>
        <w:tc>
          <w:tcPr>
            <w:tcW w:w="2891" w:type="dxa"/>
            <w:vAlign w:val="bottom"/>
          </w:tcPr>
          <w:p w14:paraId="5C713647" w14:textId="77777777" w:rsidR="008E5DE4" w:rsidRDefault="00780368">
            <w:pPr>
              <w:widowControl w:val="0"/>
              <w:ind w:left="113" w:right="-57" w:hanging="113"/>
              <w:rPr>
                <w:b/>
              </w:rPr>
            </w:pPr>
            <w:r>
              <w:rPr>
                <w:b/>
              </w:rPr>
              <w:t>Capital expenditure</w:t>
            </w:r>
          </w:p>
        </w:tc>
        <w:tc>
          <w:tcPr>
            <w:tcW w:w="1077" w:type="dxa"/>
            <w:vAlign w:val="bottom"/>
          </w:tcPr>
          <w:p w14:paraId="7E3C2931" w14:textId="77777777" w:rsidR="008E5DE4" w:rsidRDefault="008E5DE4">
            <w:pPr>
              <w:widowControl w:val="0"/>
              <w:jc w:val="right"/>
            </w:pPr>
          </w:p>
        </w:tc>
        <w:tc>
          <w:tcPr>
            <w:tcW w:w="1077" w:type="dxa"/>
            <w:vAlign w:val="bottom"/>
          </w:tcPr>
          <w:p w14:paraId="6505301D" w14:textId="77777777" w:rsidR="008E5DE4" w:rsidRDefault="008E5DE4">
            <w:pPr>
              <w:widowControl w:val="0"/>
              <w:jc w:val="right"/>
            </w:pPr>
          </w:p>
        </w:tc>
        <w:tc>
          <w:tcPr>
            <w:tcW w:w="1077" w:type="dxa"/>
            <w:vAlign w:val="bottom"/>
          </w:tcPr>
          <w:p w14:paraId="1313B75B" w14:textId="77777777" w:rsidR="008E5DE4" w:rsidRDefault="008E5DE4">
            <w:pPr>
              <w:widowControl w:val="0"/>
              <w:jc w:val="right"/>
            </w:pPr>
          </w:p>
        </w:tc>
        <w:tc>
          <w:tcPr>
            <w:tcW w:w="1077" w:type="dxa"/>
            <w:vAlign w:val="bottom"/>
          </w:tcPr>
          <w:p w14:paraId="766DEA55" w14:textId="77777777" w:rsidR="008E5DE4" w:rsidRDefault="008E5DE4">
            <w:pPr>
              <w:widowControl w:val="0"/>
              <w:jc w:val="right"/>
            </w:pPr>
          </w:p>
        </w:tc>
        <w:tc>
          <w:tcPr>
            <w:tcW w:w="1077" w:type="dxa"/>
            <w:vAlign w:val="bottom"/>
          </w:tcPr>
          <w:p w14:paraId="71C3BBA2" w14:textId="77777777" w:rsidR="008E5DE4" w:rsidRDefault="008E5DE4">
            <w:pPr>
              <w:widowControl w:val="0"/>
              <w:jc w:val="right"/>
            </w:pPr>
          </w:p>
        </w:tc>
        <w:tc>
          <w:tcPr>
            <w:tcW w:w="1077" w:type="dxa"/>
            <w:vAlign w:val="bottom"/>
          </w:tcPr>
          <w:p w14:paraId="7D022052" w14:textId="77777777" w:rsidR="008E5DE4" w:rsidRDefault="008E5DE4">
            <w:pPr>
              <w:widowControl w:val="0"/>
              <w:jc w:val="right"/>
            </w:pPr>
          </w:p>
        </w:tc>
      </w:tr>
      <w:tr w:rsidR="008E5DE4" w14:paraId="47D3FA5D" w14:textId="77777777">
        <w:trPr>
          <w:cantSplit/>
        </w:trPr>
        <w:tc>
          <w:tcPr>
            <w:tcW w:w="2891" w:type="dxa"/>
            <w:tcBorders>
              <w:bottom w:val="single" w:sz="12" w:space="0" w:color="000000"/>
            </w:tcBorders>
            <w:vAlign w:val="bottom"/>
          </w:tcPr>
          <w:p w14:paraId="4D2A3F85" w14:textId="77777777" w:rsidR="008E5DE4" w:rsidRDefault="00780368">
            <w:pPr>
              <w:widowControl w:val="0"/>
              <w:ind w:left="113" w:right="-57" w:hanging="113"/>
              <w:rPr>
                <w:b/>
              </w:rPr>
            </w:pPr>
            <w:r>
              <w:rPr>
                <w:b/>
              </w:rPr>
              <w:t> </w:t>
            </w:r>
          </w:p>
        </w:tc>
        <w:tc>
          <w:tcPr>
            <w:tcW w:w="1077" w:type="dxa"/>
            <w:tcBorders>
              <w:bottom w:val="single" w:sz="12" w:space="0" w:color="000000"/>
            </w:tcBorders>
            <w:vAlign w:val="bottom"/>
          </w:tcPr>
          <w:p w14:paraId="68D3A8D5" w14:textId="77777777" w:rsidR="008E5DE4" w:rsidRDefault="008E5DE4">
            <w:pPr>
              <w:widowControl w:val="0"/>
              <w:jc w:val="right"/>
            </w:pPr>
          </w:p>
        </w:tc>
        <w:tc>
          <w:tcPr>
            <w:tcW w:w="1077" w:type="dxa"/>
            <w:tcBorders>
              <w:bottom w:val="single" w:sz="12" w:space="0" w:color="000000"/>
            </w:tcBorders>
            <w:vAlign w:val="bottom"/>
          </w:tcPr>
          <w:p w14:paraId="1B00D337" w14:textId="77777777" w:rsidR="008E5DE4" w:rsidRDefault="008E5DE4">
            <w:pPr>
              <w:widowControl w:val="0"/>
              <w:jc w:val="right"/>
            </w:pPr>
          </w:p>
        </w:tc>
        <w:tc>
          <w:tcPr>
            <w:tcW w:w="1077" w:type="dxa"/>
            <w:tcBorders>
              <w:bottom w:val="single" w:sz="12" w:space="0" w:color="000000"/>
            </w:tcBorders>
            <w:vAlign w:val="bottom"/>
          </w:tcPr>
          <w:p w14:paraId="09B3A4AC" w14:textId="77777777" w:rsidR="008E5DE4" w:rsidRDefault="008E5DE4">
            <w:pPr>
              <w:widowControl w:val="0"/>
              <w:jc w:val="right"/>
            </w:pPr>
          </w:p>
        </w:tc>
        <w:tc>
          <w:tcPr>
            <w:tcW w:w="1077" w:type="dxa"/>
            <w:tcBorders>
              <w:bottom w:val="single" w:sz="12" w:space="0" w:color="000000"/>
            </w:tcBorders>
            <w:vAlign w:val="bottom"/>
          </w:tcPr>
          <w:p w14:paraId="4BC11D18" w14:textId="77777777" w:rsidR="008E5DE4" w:rsidRDefault="008E5DE4">
            <w:pPr>
              <w:widowControl w:val="0"/>
              <w:jc w:val="right"/>
            </w:pPr>
          </w:p>
        </w:tc>
        <w:tc>
          <w:tcPr>
            <w:tcW w:w="1077" w:type="dxa"/>
            <w:tcBorders>
              <w:bottom w:val="single" w:sz="12" w:space="0" w:color="000000"/>
            </w:tcBorders>
            <w:vAlign w:val="bottom"/>
          </w:tcPr>
          <w:p w14:paraId="4A860DEA" w14:textId="77777777" w:rsidR="008E5DE4" w:rsidRDefault="008E5DE4">
            <w:pPr>
              <w:widowControl w:val="0"/>
              <w:jc w:val="right"/>
            </w:pPr>
          </w:p>
        </w:tc>
        <w:tc>
          <w:tcPr>
            <w:tcW w:w="1077" w:type="dxa"/>
            <w:tcBorders>
              <w:bottom w:val="single" w:sz="12" w:space="0" w:color="000000"/>
            </w:tcBorders>
            <w:vAlign w:val="bottom"/>
          </w:tcPr>
          <w:p w14:paraId="13D0AEF0" w14:textId="77777777" w:rsidR="008E5DE4" w:rsidRDefault="008E5DE4">
            <w:pPr>
              <w:widowControl w:val="0"/>
              <w:jc w:val="right"/>
            </w:pPr>
          </w:p>
        </w:tc>
      </w:tr>
    </w:tbl>
    <w:p w14:paraId="2A389F13"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(e) </w:t>
      </w:r>
      <w:r>
        <w:rPr>
          <w:b/>
          <w:i/>
          <w:color w:val="000000"/>
          <w:sz w:val="20"/>
          <w:szCs w:val="20"/>
        </w:rPr>
        <w:tab/>
        <w:t>Reconciliation of reportable segment revenues, profit or loss, assets and liabilities</w:t>
      </w:r>
    </w:p>
    <w:tbl>
      <w:tblPr>
        <w:tblStyle w:val="ab"/>
        <w:tblW w:w="9355" w:type="dxa"/>
        <w:tblLayout w:type="fixed"/>
        <w:tblLook w:val="0000" w:firstRow="0" w:lastRow="0" w:firstColumn="0" w:lastColumn="0" w:noHBand="0" w:noVBand="0"/>
      </w:tblPr>
      <w:tblGrid>
        <w:gridCol w:w="6293"/>
        <w:gridCol w:w="1531"/>
        <w:gridCol w:w="1531"/>
      </w:tblGrid>
      <w:tr w:rsidR="008E5DE4" w14:paraId="540F6F4C" w14:textId="77777777">
        <w:trPr>
          <w:cantSplit/>
        </w:trPr>
        <w:tc>
          <w:tcPr>
            <w:tcW w:w="6293" w:type="dxa"/>
            <w:tcBorders>
              <w:bottom w:val="single" w:sz="4" w:space="0" w:color="000000"/>
            </w:tcBorders>
            <w:vAlign w:val="bottom"/>
          </w:tcPr>
          <w:p w14:paraId="593B54D9" w14:textId="77777777" w:rsidR="008E5DE4" w:rsidRDefault="00780368">
            <w:pPr>
              <w:widowControl w:val="0"/>
              <w:pBdr>
                <w:top w:val="nil"/>
                <w:left w:val="nil"/>
                <w:bottom w:val="nil"/>
                <w:right w:val="nil"/>
                <w:between w:val="nil"/>
              </w:pBdr>
              <w:rPr>
                <w:b/>
                <w:i/>
                <w:color w:val="000000"/>
              </w:rPr>
            </w:pPr>
            <w:r>
              <w:rPr>
                <w:i/>
                <w:color w:val="000000"/>
              </w:rPr>
              <w:t xml:space="preserve">In thousands of EUR </w:t>
            </w:r>
          </w:p>
        </w:tc>
        <w:tc>
          <w:tcPr>
            <w:tcW w:w="1531" w:type="dxa"/>
            <w:tcBorders>
              <w:bottom w:val="single" w:sz="4" w:space="0" w:color="000000"/>
            </w:tcBorders>
            <w:vAlign w:val="bottom"/>
          </w:tcPr>
          <w:p w14:paraId="5432E478" w14:textId="5A298A5D"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3F73AF0E" w14:textId="58CDAF74"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1A47CE9F" w14:textId="77777777">
        <w:trPr>
          <w:cantSplit/>
        </w:trPr>
        <w:tc>
          <w:tcPr>
            <w:tcW w:w="6293" w:type="dxa"/>
            <w:vAlign w:val="bottom"/>
          </w:tcPr>
          <w:p w14:paraId="6F2D8DD3"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vAlign w:val="bottom"/>
          </w:tcPr>
          <w:p w14:paraId="41A6C1F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56C6412" w14:textId="77777777" w:rsidR="008E5DE4" w:rsidRDefault="008E5DE4">
            <w:pPr>
              <w:widowControl w:val="0"/>
              <w:pBdr>
                <w:top w:val="nil"/>
                <w:left w:val="nil"/>
                <w:bottom w:val="nil"/>
                <w:right w:val="nil"/>
                <w:between w:val="nil"/>
              </w:pBdr>
              <w:jc w:val="right"/>
              <w:rPr>
                <w:color w:val="000000"/>
              </w:rPr>
            </w:pPr>
          </w:p>
        </w:tc>
      </w:tr>
      <w:tr w:rsidR="008E5DE4" w14:paraId="32022270" w14:textId="77777777">
        <w:trPr>
          <w:cantSplit/>
        </w:trPr>
        <w:tc>
          <w:tcPr>
            <w:tcW w:w="6293" w:type="dxa"/>
            <w:vAlign w:val="bottom"/>
          </w:tcPr>
          <w:p w14:paraId="4FCE798F" w14:textId="77777777" w:rsidR="008E5DE4" w:rsidRDefault="00780368">
            <w:pPr>
              <w:widowControl w:val="0"/>
              <w:pBdr>
                <w:top w:val="nil"/>
                <w:left w:val="nil"/>
                <w:bottom w:val="nil"/>
                <w:right w:val="nil"/>
                <w:between w:val="nil"/>
              </w:pBdr>
              <w:rPr>
                <w:b/>
                <w:color w:val="000000"/>
              </w:rPr>
            </w:pPr>
            <w:r>
              <w:rPr>
                <w:b/>
                <w:color w:val="000000"/>
              </w:rPr>
              <w:t>Total revenues for reportable segments</w:t>
            </w:r>
          </w:p>
        </w:tc>
        <w:tc>
          <w:tcPr>
            <w:tcW w:w="1531" w:type="dxa"/>
            <w:vAlign w:val="bottom"/>
          </w:tcPr>
          <w:p w14:paraId="3F1A4DF2"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F2D2570" w14:textId="77777777" w:rsidR="008E5DE4" w:rsidRDefault="008E5DE4">
            <w:pPr>
              <w:widowControl w:val="0"/>
              <w:pBdr>
                <w:top w:val="nil"/>
                <w:left w:val="nil"/>
                <w:bottom w:val="nil"/>
                <w:right w:val="nil"/>
                <w:between w:val="nil"/>
              </w:pBdr>
              <w:jc w:val="right"/>
              <w:rPr>
                <w:b/>
                <w:color w:val="000000"/>
              </w:rPr>
            </w:pPr>
          </w:p>
        </w:tc>
      </w:tr>
      <w:tr w:rsidR="008E5DE4" w14:paraId="53E19BBF" w14:textId="77777777">
        <w:trPr>
          <w:cantSplit/>
        </w:trPr>
        <w:tc>
          <w:tcPr>
            <w:tcW w:w="6293" w:type="dxa"/>
            <w:vAlign w:val="bottom"/>
          </w:tcPr>
          <w:p w14:paraId="16EFFA22"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vAlign w:val="bottom"/>
          </w:tcPr>
          <w:p w14:paraId="0F5B9CD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89D415E" w14:textId="77777777" w:rsidR="008E5DE4" w:rsidRDefault="008E5DE4">
            <w:pPr>
              <w:widowControl w:val="0"/>
              <w:pBdr>
                <w:top w:val="nil"/>
                <w:left w:val="nil"/>
                <w:bottom w:val="nil"/>
                <w:right w:val="nil"/>
                <w:between w:val="nil"/>
              </w:pBdr>
              <w:jc w:val="right"/>
              <w:rPr>
                <w:color w:val="000000"/>
              </w:rPr>
            </w:pPr>
          </w:p>
        </w:tc>
      </w:tr>
      <w:tr w:rsidR="008E5DE4" w14:paraId="4B17EFF1" w14:textId="77777777">
        <w:trPr>
          <w:cantSplit/>
        </w:trPr>
        <w:tc>
          <w:tcPr>
            <w:tcW w:w="6293" w:type="dxa"/>
            <w:vAlign w:val="bottom"/>
          </w:tcPr>
          <w:p w14:paraId="1120DE1C" w14:textId="77777777" w:rsidR="008E5DE4" w:rsidRDefault="00780368">
            <w:pPr>
              <w:widowControl w:val="0"/>
              <w:pBdr>
                <w:top w:val="nil"/>
                <w:left w:val="nil"/>
                <w:bottom w:val="nil"/>
                <w:right w:val="nil"/>
                <w:between w:val="nil"/>
              </w:pBdr>
              <w:rPr>
                <w:color w:val="000000"/>
              </w:rPr>
            </w:pPr>
            <w:r>
              <w:rPr>
                <w:color w:val="000000"/>
              </w:rPr>
              <w:t xml:space="preserve">(a) </w:t>
            </w:r>
            <w:r>
              <w:rPr>
                <w:color w:val="0000FF"/>
              </w:rPr>
              <w:t>[description of each adjustment]</w:t>
            </w:r>
          </w:p>
        </w:tc>
        <w:tc>
          <w:tcPr>
            <w:tcW w:w="1531" w:type="dxa"/>
            <w:vAlign w:val="bottom"/>
          </w:tcPr>
          <w:p w14:paraId="34F584F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9FB5C7C" w14:textId="77777777" w:rsidR="008E5DE4" w:rsidRDefault="008E5DE4">
            <w:pPr>
              <w:widowControl w:val="0"/>
              <w:pBdr>
                <w:top w:val="nil"/>
                <w:left w:val="nil"/>
                <w:bottom w:val="nil"/>
                <w:right w:val="nil"/>
                <w:between w:val="nil"/>
              </w:pBdr>
              <w:jc w:val="right"/>
              <w:rPr>
                <w:color w:val="000000"/>
              </w:rPr>
            </w:pPr>
          </w:p>
        </w:tc>
      </w:tr>
      <w:tr w:rsidR="008E5DE4" w14:paraId="64517D73" w14:textId="77777777">
        <w:trPr>
          <w:cantSplit/>
        </w:trPr>
        <w:tc>
          <w:tcPr>
            <w:tcW w:w="6293" w:type="dxa"/>
            <w:vAlign w:val="bottom"/>
          </w:tcPr>
          <w:p w14:paraId="705CC3CB" w14:textId="77777777" w:rsidR="008E5DE4" w:rsidRDefault="00780368">
            <w:pPr>
              <w:widowControl w:val="0"/>
              <w:pBdr>
                <w:top w:val="nil"/>
                <w:left w:val="nil"/>
                <w:bottom w:val="nil"/>
                <w:right w:val="nil"/>
                <w:between w:val="nil"/>
              </w:pBdr>
              <w:rPr>
                <w:color w:val="000000"/>
              </w:rPr>
            </w:pPr>
            <w:r>
              <w:rPr>
                <w:color w:val="000000"/>
              </w:rPr>
              <w:t xml:space="preserve">(b) </w:t>
            </w:r>
            <w:r>
              <w:rPr>
                <w:color w:val="0000FF"/>
              </w:rPr>
              <w:t>[description of each adjustment]</w:t>
            </w:r>
          </w:p>
        </w:tc>
        <w:tc>
          <w:tcPr>
            <w:tcW w:w="1531" w:type="dxa"/>
            <w:vAlign w:val="bottom"/>
          </w:tcPr>
          <w:p w14:paraId="31D03B6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82E32A" w14:textId="77777777" w:rsidR="008E5DE4" w:rsidRDefault="008E5DE4">
            <w:pPr>
              <w:widowControl w:val="0"/>
              <w:pBdr>
                <w:top w:val="nil"/>
                <w:left w:val="nil"/>
                <w:bottom w:val="nil"/>
                <w:right w:val="nil"/>
                <w:between w:val="nil"/>
              </w:pBdr>
              <w:jc w:val="right"/>
              <w:rPr>
                <w:color w:val="000000"/>
              </w:rPr>
            </w:pPr>
          </w:p>
        </w:tc>
      </w:tr>
      <w:tr w:rsidR="008E5DE4" w14:paraId="2D6AB831" w14:textId="77777777">
        <w:trPr>
          <w:cantSplit/>
        </w:trPr>
        <w:tc>
          <w:tcPr>
            <w:tcW w:w="6293" w:type="dxa"/>
            <w:vAlign w:val="bottom"/>
          </w:tcPr>
          <w:p w14:paraId="254691A6" w14:textId="77777777" w:rsidR="008E5DE4" w:rsidRDefault="00780368">
            <w:pPr>
              <w:widowControl w:val="0"/>
              <w:pBdr>
                <w:top w:val="nil"/>
                <w:left w:val="nil"/>
                <w:bottom w:val="nil"/>
                <w:right w:val="nil"/>
                <w:between w:val="nil"/>
              </w:pBdr>
              <w:rPr>
                <w:color w:val="000000"/>
              </w:rPr>
            </w:pPr>
            <w:r>
              <w:rPr>
                <w:color w:val="000000"/>
              </w:rPr>
              <w:t xml:space="preserve">(c) </w:t>
            </w:r>
            <w:r>
              <w:rPr>
                <w:color w:val="0000FF"/>
              </w:rPr>
              <w:t>[description of each adjustment]</w:t>
            </w:r>
          </w:p>
        </w:tc>
        <w:tc>
          <w:tcPr>
            <w:tcW w:w="1531" w:type="dxa"/>
            <w:vAlign w:val="bottom"/>
          </w:tcPr>
          <w:p w14:paraId="1F4E643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D67AD29" w14:textId="77777777" w:rsidR="008E5DE4" w:rsidRDefault="008E5DE4">
            <w:pPr>
              <w:widowControl w:val="0"/>
              <w:pBdr>
                <w:top w:val="nil"/>
                <w:left w:val="nil"/>
                <w:bottom w:val="nil"/>
                <w:right w:val="nil"/>
                <w:between w:val="nil"/>
              </w:pBdr>
              <w:jc w:val="right"/>
              <w:rPr>
                <w:color w:val="000000"/>
              </w:rPr>
            </w:pPr>
          </w:p>
        </w:tc>
      </w:tr>
      <w:tr w:rsidR="008E5DE4" w14:paraId="4058E4D6" w14:textId="77777777">
        <w:trPr>
          <w:cantSplit/>
        </w:trPr>
        <w:tc>
          <w:tcPr>
            <w:tcW w:w="6293" w:type="dxa"/>
            <w:tcBorders>
              <w:bottom w:val="single" w:sz="4" w:space="0" w:color="000000"/>
            </w:tcBorders>
            <w:vAlign w:val="bottom"/>
          </w:tcPr>
          <w:p w14:paraId="7228EF6A"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bottom w:val="single" w:sz="4" w:space="0" w:color="000000"/>
            </w:tcBorders>
            <w:vAlign w:val="bottom"/>
          </w:tcPr>
          <w:p w14:paraId="27759784"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65426CE8" w14:textId="77777777" w:rsidR="008E5DE4" w:rsidRDefault="008E5DE4">
            <w:pPr>
              <w:widowControl w:val="0"/>
              <w:pBdr>
                <w:top w:val="nil"/>
                <w:left w:val="nil"/>
                <w:bottom w:val="nil"/>
                <w:right w:val="nil"/>
                <w:between w:val="nil"/>
              </w:pBdr>
              <w:jc w:val="right"/>
              <w:rPr>
                <w:color w:val="000000"/>
              </w:rPr>
            </w:pPr>
          </w:p>
        </w:tc>
      </w:tr>
      <w:tr w:rsidR="008E5DE4" w14:paraId="57D928C6" w14:textId="77777777">
        <w:trPr>
          <w:cantSplit/>
        </w:trPr>
        <w:tc>
          <w:tcPr>
            <w:tcW w:w="6293" w:type="dxa"/>
            <w:tcBorders>
              <w:top w:val="single" w:sz="4" w:space="0" w:color="000000"/>
            </w:tcBorders>
            <w:vAlign w:val="bottom"/>
          </w:tcPr>
          <w:p w14:paraId="2D4FB671"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top w:val="single" w:sz="4" w:space="0" w:color="000000"/>
            </w:tcBorders>
            <w:vAlign w:val="bottom"/>
          </w:tcPr>
          <w:p w14:paraId="6616D894"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57F8334" w14:textId="77777777" w:rsidR="008E5DE4" w:rsidRDefault="008E5DE4">
            <w:pPr>
              <w:widowControl w:val="0"/>
              <w:pBdr>
                <w:top w:val="nil"/>
                <w:left w:val="nil"/>
                <w:bottom w:val="nil"/>
                <w:right w:val="nil"/>
                <w:between w:val="nil"/>
              </w:pBdr>
              <w:jc w:val="right"/>
              <w:rPr>
                <w:color w:val="000000"/>
              </w:rPr>
            </w:pPr>
          </w:p>
        </w:tc>
      </w:tr>
      <w:tr w:rsidR="008E5DE4" w14:paraId="0FA17717" w14:textId="77777777">
        <w:trPr>
          <w:cantSplit/>
        </w:trPr>
        <w:tc>
          <w:tcPr>
            <w:tcW w:w="6293" w:type="dxa"/>
            <w:vAlign w:val="bottom"/>
          </w:tcPr>
          <w:p w14:paraId="40FE0753" w14:textId="77777777" w:rsidR="008E5DE4" w:rsidRDefault="00780368">
            <w:pPr>
              <w:widowControl w:val="0"/>
              <w:pBdr>
                <w:top w:val="nil"/>
                <w:left w:val="nil"/>
                <w:bottom w:val="nil"/>
                <w:right w:val="nil"/>
                <w:between w:val="nil"/>
              </w:pBdr>
              <w:rPr>
                <w:b/>
                <w:color w:val="000000"/>
              </w:rPr>
            </w:pPr>
            <w:r>
              <w:rPr>
                <w:b/>
                <w:color w:val="000000"/>
              </w:rPr>
              <w:t>Total consolidated revenues</w:t>
            </w:r>
          </w:p>
        </w:tc>
        <w:tc>
          <w:tcPr>
            <w:tcW w:w="1531" w:type="dxa"/>
            <w:vAlign w:val="bottom"/>
          </w:tcPr>
          <w:p w14:paraId="6C6BDB5C"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0CB3AF5" w14:textId="77777777" w:rsidR="008E5DE4" w:rsidRDefault="008E5DE4">
            <w:pPr>
              <w:widowControl w:val="0"/>
              <w:pBdr>
                <w:top w:val="nil"/>
                <w:left w:val="nil"/>
                <w:bottom w:val="nil"/>
                <w:right w:val="nil"/>
                <w:between w:val="nil"/>
              </w:pBdr>
              <w:jc w:val="right"/>
              <w:rPr>
                <w:b/>
                <w:color w:val="000000"/>
              </w:rPr>
            </w:pPr>
          </w:p>
        </w:tc>
      </w:tr>
      <w:tr w:rsidR="008E5DE4" w14:paraId="731DC7B3" w14:textId="77777777">
        <w:trPr>
          <w:cantSplit/>
        </w:trPr>
        <w:tc>
          <w:tcPr>
            <w:tcW w:w="6293" w:type="dxa"/>
            <w:tcBorders>
              <w:bottom w:val="single" w:sz="12" w:space="0" w:color="000000"/>
            </w:tcBorders>
            <w:vAlign w:val="bottom"/>
          </w:tcPr>
          <w:p w14:paraId="406255AB" w14:textId="77777777" w:rsidR="008E5DE4" w:rsidRDefault="00780368">
            <w:pPr>
              <w:widowControl w:val="0"/>
            </w:pPr>
            <w:r>
              <w:rPr>
                <w:b/>
              </w:rPr>
              <w:t> </w:t>
            </w:r>
          </w:p>
        </w:tc>
        <w:tc>
          <w:tcPr>
            <w:tcW w:w="1531" w:type="dxa"/>
            <w:tcBorders>
              <w:bottom w:val="single" w:sz="12" w:space="0" w:color="000000"/>
            </w:tcBorders>
            <w:vAlign w:val="bottom"/>
          </w:tcPr>
          <w:p w14:paraId="177D5BD3" w14:textId="77777777" w:rsidR="008E5DE4" w:rsidRDefault="008E5DE4">
            <w:pPr>
              <w:widowControl w:val="0"/>
              <w:pBdr>
                <w:top w:val="nil"/>
                <w:left w:val="nil"/>
                <w:bottom w:val="nil"/>
                <w:right w:val="nil"/>
                <w:between w:val="nil"/>
              </w:pBdr>
              <w:jc w:val="right"/>
              <w:rPr>
                <w:b/>
                <w:color w:val="000000"/>
                <w:u w:val="single"/>
              </w:rPr>
            </w:pPr>
          </w:p>
        </w:tc>
        <w:tc>
          <w:tcPr>
            <w:tcW w:w="1531" w:type="dxa"/>
            <w:tcBorders>
              <w:bottom w:val="single" w:sz="12" w:space="0" w:color="000000"/>
            </w:tcBorders>
            <w:vAlign w:val="bottom"/>
          </w:tcPr>
          <w:p w14:paraId="3F386F97" w14:textId="77777777" w:rsidR="008E5DE4" w:rsidRDefault="008E5DE4">
            <w:pPr>
              <w:widowControl w:val="0"/>
              <w:pBdr>
                <w:top w:val="nil"/>
                <w:left w:val="nil"/>
                <w:bottom w:val="nil"/>
                <w:right w:val="nil"/>
                <w:between w:val="nil"/>
              </w:pBdr>
              <w:jc w:val="right"/>
              <w:rPr>
                <w:b/>
                <w:color w:val="000000"/>
              </w:rPr>
            </w:pPr>
          </w:p>
        </w:tc>
      </w:tr>
    </w:tbl>
    <w:p w14:paraId="588301AE"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Total consolidated revenues comprise revenues from core activities, interest income and other income.</w:t>
      </w:r>
    </w:p>
    <w:tbl>
      <w:tblPr>
        <w:tblStyle w:val="ac"/>
        <w:tblW w:w="9355" w:type="dxa"/>
        <w:tblLayout w:type="fixed"/>
        <w:tblLook w:val="0000" w:firstRow="0" w:lastRow="0" w:firstColumn="0" w:lastColumn="0" w:noHBand="0" w:noVBand="0"/>
      </w:tblPr>
      <w:tblGrid>
        <w:gridCol w:w="6293"/>
        <w:gridCol w:w="1531"/>
        <w:gridCol w:w="1531"/>
      </w:tblGrid>
      <w:tr w:rsidR="008E5DE4" w14:paraId="3AA1D2AF" w14:textId="77777777">
        <w:trPr>
          <w:cantSplit/>
        </w:trPr>
        <w:tc>
          <w:tcPr>
            <w:tcW w:w="6293" w:type="dxa"/>
            <w:tcBorders>
              <w:bottom w:val="single" w:sz="4" w:space="0" w:color="000000"/>
            </w:tcBorders>
            <w:vAlign w:val="bottom"/>
          </w:tcPr>
          <w:p w14:paraId="34E46088" w14:textId="77777777" w:rsidR="008E5DE4" w:rsidRDefault="00780368">
            <w:pPr>
              <w:widowControl w:val="0"/>
              <w:pBdr>
                <w:top w:val="nil"/>
                <w:left w:val="nil"/>
                <w:bottom w:val="nil"/>
                <w:right w:val="nil"/>
                <w:between w:val="nil"/>
              </w:pBdr>
              <w:rPr>
                <w:b/>
                <w:i/>
                <w:color w:val="000000"/>
              </w:rPr>
            </w:pPr>
            <w:r>
              <w:rPr>
                <w:i/>
                <w:color w:val="000000"/>
              </w:rPr>
              <w:t xml:space="preserve">In thousands of EUR </w:t>
            </w:r>
          </w:p>
        </w:tc>
        <w:tc>
          <w:tcPr>
            <w:tcW w:w="1531" w:type="dxa"/>
            <w:tcBorders>
              <w:bottom w:val="single" w:sz="4" w:space="0" w:color="000000"/>
            </w:tcBorders>
            <w:vAlign w:val="bottom"/>
          </w:tcPr>
          <w:p w14:paraId="3857FF99" w14:textId="15CC8E6E"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2F56148" w14:textId="5DC72F7F"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3568A838" w14:textId="77777777">
        <w:trPr>
          <w:cantSplit/>
        </w:trPr>
        <w:tc>
          <w:tcPr>
            <w:tcW w:w="6293" w:type="dxa"/>
            <w:vAlign w:val="bottom"/>
          </w:tcPr>
          <w:p w14:paraId="6D1C6102"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vAlign w:val="bottom"/>
          </w:tcPr>
          <w:p w14:paraId="74C276F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35B0200" w14:textId="77777777" w:rsidR="008E5DE4" w:rsidRDefault="008E5DE4">
            <w:pPr>
              <w:widowControl w:val="0"/>
              <w:pBdr>
                <w:top w:val="nil"/>
                <w:left w:val="nil"/>
                <w:bottom w:val="nil"/>
                <w:right w:val="nil"/>
                <w:between w:val="nil"/>
              </w:pBdr>
              <w:jc w:val="right"/>
              <w:rPr>
                <w:color w:val="000000"/>
              </w:rPr>
            </w:pPr>
          </w:p>
        </w:tc>
      </w:tr>
      <w:tr w:rsidR="008E5DE4" w14:paraId="67755697" w14:textId="77777777">
        <w:trPr>
          <w:cantSplit/>
        </w:trPr>
        <w:tc>
          <w:tcPr>
            <w:tcW w:w="6293" w:type="dxa"/>
            <w:vAlign w:val="bottom"/>
          </w:tcPr>
          <w:p w14:paraId="0B0A4D9B" w14:textId="77777777" w:rsidR="008E5DE4" w:rsidRDefault="00780368">
            <w:pPr>
              <w:widowControl w:val="0"/>
              <w:pBdr>
                <w:top w:val="nil"/>
                <w:left w:val="nil"/>
                <w:bottom w:val="nil"/>
                <w:right w:val="nil"/>
                <w:between w:val="nil"/>
              </w:pBdr>
              <w:rPr>
                <w:b/>
                <w:color w:val="000000"/>
              </w:rPr>
            </w:pPr>
            <w:r>
              <w:rPr>
                <w:b/>
                <w:color w:val="000000"/>
              </w:rPr>
              <w:t>Total reportable segment result</w:t>
            </w:r>
          </w:p>
        </w:tc>
        <w:tc>
          <w:tcPr>
            <w:tcW w:w="1531" w:type="dxa"/>
            <w:vAlign w:val="bottom"/>
          </w:tcPr>
          <w:p w14:paraId="254FDDF2"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4024DF5" w14:textId="77777777" w:rsidR="008E5DE4" w:rsidRDefault="008E5DE4">
            <w:pPr>
              <w:widowControl w:val="0"/>
              <w:pBdr>
                <w:top w:val="nil"/>
                <w:left w:val="nil"/>
                <w:bottom w:val="nil"/>
                <w:right w:val="nil"/>
                <w:between w:val="nil"/>
              </w:pBdr>
              <w:jc w:val="right"/>
              <w:rPr>
                <w:b/>
                <w:color w:val="000000"/>
              </w:rPr>
            </w:pPr>
          </w:p>
        </w:tc>
      </w:tr>
      <w:tr w:rsidR="008E5DE4" w14:paraId="13004FA7" w14:textId="77777777">
        <w:trPr>
          <w:cantSplit/>
        </w:trPr>
        <w:tc>
          <w:tcPr>
            <w:tcW w:w="6293" w:type="dxa"/>
            <w:vAlign w:val="bottom"/>
          </w:tcPr>
          <w:p w14:paraId="1B87CD9A"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vAlign w:val="bottom"/>
          </w:tcPr>
          <w:p w14:paraId="43E7524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4B6221" w14:textId="77777777" w:rsidR="008E5DE4" w:rsidRDefault="008E5DE4">
            <w:pPr>
              <w:widowControl w:val="0"/>
              <w:pBdr>
                <w:top w:val="nil"/>
                <w:left w:val="nil"/>
                <w:bottom w:val="nil"/>
                <w:right w:val="nil"/>
                <w:between w:val="nil"/>
              </w:pBdr>
              <w:jc w:val="right"/>
              <w:rPr>
                <w:color w:val="000000"/>
              </w:rPr>
            </w:pPr>
          </w:p>
        </w:tc>
      </w:tr>
      <w:tr w:rsidR="008E5DE4" w14:paraId="2726B78E" w14:textId="77777777">
        <w:trPr>
          <w:cantSplit/>
        </w:trPr>
        <w:tc>
          <w:tcPr>
            <w:tcW w:w="6293" w:type="dxa"/>
            <w:vAlign w:val="bottom"/>
          </w:tcPr>
          <w:p w14:paraId="0DFC6DF9" w14:textId="77777777" w:rsidR="008E5DE4" w:rsidRDefault="00780368">
            <w:pPr>
              <w:widowControl w:val="0"/>
              <w:pBdr>
                <w:top w:val="nil"/>
                <w:left w:val="nil"/>
                <w:bottom w:val="nil"/>
                <w:right w:val="nil"/>
                <w:between w:val="nil"/>
              </w:pBdr>
              <w:rPr>
                <w:color w:val="000000"/>
              </w:rPr>
            </w:pPr>
            <w:r>
              <w:rPr>
                <w:color w:val="000000"/>
              </w:rPr>
              <w:t xml:space="preserve">(a) </w:t>
            </w:r>
            <w:r>
              <w:rPr>
                <w:color w:val="0000FF"/>
              </w:rPr>
              <w:t>[description of each adjustment]</w:t>
            </w:r>
          </w:p>
        </w:tc>
        <w:tc>
          <w:tcPr>
            <w:tcW w:w="1531" w:type="dxa"/>
            <w:vAlign w:val="bottom"/>
          </w:tcPr>
          <w:p w14:paraId="281394B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23C1CBA" w14:textId="77777777" w:rsidR="008E5DE4" w:rsidRDefault="008E5DE4">
            <w:pPr>
              <w:widowControl w:val="0"/>
              <w:pBdr>
                <w:top w:val="nil"/>
                <w:left w:val="nil"/>
                <w:bottom w:val="nil"/>
                <w:right w:val="nil"/>
                <w:between w:val="nil"/>
              </w:pBdr>
              <w:jc w:val="right"/>
              <w:rPr>
                <w:color w:val="000000"/>
              </w:rPr>
            </w:pPr>
          </w:p>
        </w:tc>
      </w:tr>
      <w:tr w:rsidR="008E5DE4" w14:paraId="1E7FFA99" w14:textId="77777777">
        <w:trPr>
          <w:cantSplit/>
        </w:trPr>
        <w:tc>
          <w:tcPr>
            <w:tcW w:w="6293" w:type="dxa"/>
            <w:vAlign w:val="bottom"/>
          </w:tcPr>
          <w:p w14:paraId="135C8DF8" w14:textId="77777777" w:rsidR="008E5DE4" w:rsidRDefault="00780368">
            <w:pPr>
              <w:widowControl w:val="0"/>
              <w:pBdr>
                <w:top w:val="nil"/>
                <w:left w:val="nil"/>
                <w:bottom w:val="nil"/>
                <w:right w:val="nil"/>
                <w:between w:val="nil"/>
              </w:pBdr>
              <w:rPr>
                <w:color w:val="000000"/>
              </w:rPr>
            </w:pPr>
            <w:r>
              <w:rPr>
                <w:color w:val="000000"/>
              </w:rPr>
              <w:t xml:space="preserve">(b) </w:t>
            </w:r>
            <w:r>
              <w:rPr>
                <w:color w:val="0000FF"/>
              </w:rPr>
              <w:t>[description of each adjustment]</w:t>
            </w:r>
          </w:p>
        </w:tc>
        <w:tc>
          <w:tcPr>
            <w:tcW w:w="1531" w:type="dxa"/>
            <w:vAlign w:val="bottom"/>
          </w:tcPr>
          <w:p w14:paraId="60BF0C3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45028F" w14:textId="77777777" w:rsidR="008E5DE4" w:rsidRDefault="008E5DE4">
            <w:pPr>
              <w:widowControl w:val="0"/>
              <w:pBdr>
                <w:top w:val="nil"/>
                <w:left w:val="nil"/>
                <w:bottom w:val="nil"/>
                <w:right w:val="nil"/>
                <w:between w:val="nil"/>
              </w:pBdr>
              <w:jc w:val="right"/>
              <w:rPr>
                <w:color w:val="000000"/>
              </w:rPr>
            </w:pPr>
          </w:p>
        </w:tc>
      </w:tr>
      <w:tr w:rsidR="008E5DE4" w14:paraId="197D4731" w14:textId="77777777">
        <w:trPr>
          <w:cantSplit/>
        </w:trPr>
        <w:tc>
          <w:tcPr>
            <w:tcW w:w="6293" w:type="dxa"/>
            <w:vAlign w:val="bottom"/>
          </w:tcPr>
          <w:p w14:paraId="2EBD8079" w14:textId="77777777" w:rsidR="008E5DE4" w:rsidRDefault="00780368">
            <w:pPr>
              <w:widowControl w:val="0"/>
              <w:pBdr>
                <w:top w:val="nil"/>
                <w:left w:val="nil"/>
                <w:bottom w:val="nil"/>
                <w:right w:val="nil"/>
                <w:between w:val="nil"/>
              </w:pBdr>
              <w:rPr>
                <w:color w:val="000000"/>
              </w:rPr>
            </w:pPr>
            <w:r>
              <w:rPr>
                <w:color w:val="000000"/>
              </w:rPr>
              <w:t xml:space="preserve">(c) </w:t>
            </w:r>
            <w:r>
              <w:rPr>
                <w:color w:val="0000FF"/>
              </w:rPr>
              <w:t>[description of each adjustment]</w:t>
            </w:r>
          </w:p>
        </w:tc>
        <w:tc>
          <w:tcPr>
            <w:tcW w:w="1531" w:type="dxa"/>
            <w:vAlign w:val="bottom"/>
          </w:tcPr>
          <w:p w14:paraId="36F660F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4F30115" w14:textId="77777777" w:rsidR="008E5DE4" w:rsidRDefault="008E5DE4">
            <w:pPr>
              <w:widowControl w:val="0"/>
              <w:pBdr>
                <w:top w:val="nil"/>
                <w:left w:val="nil"/>
                <w:bottom w:val="nil"/>
                <w:right w:val="nil"/>
                <w:between w:val="nil"/>
              </w:pBdr>
              <w:jc w:val="right"/>
              <w:rPr>
                <w:color w:val="000000"/>
              </w:rPr>
            </w:pPr>
          </w:p>
        </w:tc>
      </w:tr>
      <w:tr w:rsidR="008E5DE4" w14:paraId="107507BF" w14:textId="77777777">
        <w:trPr>
          <w:cantSplit/>
        </w:trPr>
        <w:tc>
          <w:tcPr>
            <w:tcW w:w="6293" w:type="dxa"/>
            <w:tcBorders>
              <w:bottom w:val="single" w:sz="4" w:space="0" w:color="000000"/>
            </w:tcBorders>
            <w:vAlign w:val="bottom"/>
          </w:tcPr>
          <w:p w14:paraId="7620DDFE"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bottom w:val="single" w:sz="4" w:space="0" w:color="000000"/>
            </w:tcBorders>
            <w:vAlign w:val="bottom"/>
          </w:tcPr>
          <w:p w14:paraId="65F14624"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741CD06E" w14:textId="77777777" w:rsidR="008E5DE4" w:rsidRDefault="008E5DE4">
            <w:pPr>
              <w:widowControl w:val="0"/>
              <w:pBdr>
                <w:top w:val="nil"/>
                <w:left w:val="nil"/>
                <w:bottom w:val="nil"/>
                <w:right w:val="nil"/>
                <w:between w:val="nil"/>
              </w:pBdr>
              <w:jc w:val="right"/>
              <w:rPr>
                <w:color w:val="000000"/>
              </w:rPr>
            </w:pPr>
          </w:p>
        </w:tc>
      </w:tr>
      <w:tr w:rsidR="008E5DE4" w14:paraId="2AFC3FF6" w14:textId="77777777">
        <w:trPr>
          <w:cantSplit/>
        </w:trPr>
        <w:tc>
          <w:tcPr>
            <w:tcW w:w="6293" w:type="dxa"/>
            <w:tcBorders>
              <w:top w:val="single" w:sz="4" w:space="0" w:color="000000"/>
            </w:tcBorders>
            <w:vAlign w:val="bottom"/>
          </w:tcPr>
          <w:p w14:paraId="74B6E08F"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top w:val="single" w:sz="4" w:space="0" w:color="000000"/>
            </w:tcBorders>
            <w:vAlign w:val="bottom"/>
          </w:tcPr>
          <w:p w14:paraId="26D1B44E"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5FECC9B" w14:textId="77777777" w:rsidR="008E5DE4" w:rsidRDefault="008E5DE4">
            <w:pPr>
              <w:widowControl w:val="0"/>
              <w:pBdr>
                <w:top w:val="nil"/>
                <w:left w:val="nil"/>
                <w:bottom w:val="nil"/>
                <w:right w:val="nil"/>
                <w:between w:val="nil"/>
              </w:pBdr>
              <w:jc w:val="right"/>
              <w:rPr>
                <w:color w:val="000000"/>
              </w:rPr>
            </w:pPr>
          </w:p>
        </w:tc>
      </w:tr>
      <w:tr w:rsidR="008E5DE4" w14:paraId="4DE86A94" w14:textId="77777777">
        <w:trPr>
          <w:cantSplit/>
        </w:trPr>
        <w:tc>
          <w:tcPr>
            <w:tcW w:w="6293" w:type="dxa"/>
            <w:vAlign w:val="bottom"/>
          </w:tcPr>
          <w:p w14:paraId="2A2E7831" w14:textId="77777777" w:rsidR="008E5DE4" w:rsidRDefault="00780368">
            <w:pPr>
              <w:widowControl w:val="0"/>
              <w:pBdr>
                <w:top w:val="nil"/>
                <w:left w:val="nil"/>
                <w:bottom w:val="nil"/>
                <w:right w:val="nil"/>
                <w:between w:val="nil"/>
              </w:pBdr>
              <w:rPr>
                <w:b/>
                <w:color w:val="000000"/>
              </w:rPr>
            </w:pPr>
            <w:r>
              <w:rPr>
                <w:b/>
                <w:color w:val="000000"/>
              </w:rPr>
              <w:t>Profit or loss before tax</w:t>
            </w:r>
          </w:p>
        </w:tc>
        <w:tc>
          <w:tcPr>
            <w:tcW w:w="1531" w:type="dxa"/>
            <w:vAlign w:val="bottom"/>
          </w:tcPr>
          <w:p w14:paraId="53C5AFA4"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1EFF720" w14:textId="77777777" w:rsidR="008E5DE4" w:rsidRDefault="008E5DE4">
            <w:pPr>
              <w:widowControl w:val="0"/>
              <w:pBdr>
                <w:top w:val="nil"/>
                <w:left w:val="nil"/>
                <w:bottom w:val="nil"/>
                <w:right w:val="nil"/>
                <w:between w:val="nil"/>
              </w:pBdr>
              <w:jc w:val="right"/>
              <w:rPr>
                <w:b/>
                <w:color w:val="000000"/>
              </w:rPr>
            </w:pPr>
          </w:p>
        </w:tc>
      </w:tr>
      <w:tr w:rsidR="008E5DE4" w14:paraId="2B0C83AB" w14:textId="77777777">
        <w:trPr>
          <w:cantSplit/>
        </w:trPr>
        <w:tc>
          <w:tcPr>
            <w:tcW w:w="6293" w:type="dxa"/>
            <w:tcBorders>
              <w:bottom w:val="single" w:sz="12" w:space="0" w:color="000000"/>
            </w:tcBorders>
            <w:vAlign w:val="bottom"/>
          </w:tcPr>
          <w:p w14:paraId="684D9571" w14:textId="77777777" w:rsidR="008E5DE4" w:rsidRDefault="00780368">
            <w:pPr>
              <w:widowControl w:val="0"/>
            </w:pPr>
            <w:r>
              <w:rPr>
                <w:b/>
              </w:rPr>
              <w:t> </w:t>
            </w:r>
          </w:p>
        </w:tc>
        <w:tc>
          <w:tcPr>
            <w:tcW w:w="1531" w:type="dxa"/>
            <w:tcBorders>
              <w:bottom w:val="single" w:sz="12" w:space="0" w:color="000000"/>
            </w:tcBorders>
            <w:vAlign w:val="bottom"/>
          </w:tcPr>
          <w:p w14:paraId="036AFC8D" w14:textId="77777777" w:rsidR="008E5DE4" w:rsidRDefault="008E5DE4">
            <w:pPr>
              <w:widowControl w:val="0"/>
              <w:pBdr>
                <w:top w:val="nil"/>
                <w:left w:val="nil"/>
                <w:bottom w:val="nil"/>
                <w:right w:val="nil"/>
                <w:between w:val="nil"/>
              </w:pBdr>
              <w:jc w:val="right"/>
              <w:rPr>
                <w:b/>
                <w:color w:val="000000"/>
                <w:u w:val="single"/>
              </w:rPr>
            </w:pPr>
          </w:p>
        </w:tc>
        <w:tc>
          <w:tcPr>
            <w:tcW w:w="1531" w:type="dxa"/>
            <w:tcBorders>
              <w:bottom w:val="single" w:sz="12" w:space="0" w:color="000000"/>
            </w:tcBorders>
            <w:vAlign w:val="bottom"/>
          </w:tcPr>
          <w:p w14:paraId="3A67614C" w14:textId="77777777" w:rsidR="008E5DE4" w:rsidRDefault="008E5DE4">
            <w:pPr>
              <w:widowControl w:val="0"/>
              <w:pBdr>
                <w:top w:val="nil"/>
                <w:left w:val="nil"/>
                <w:bottom w:val="nil"/>
                <w:right w:val="nil"/>
                <w:between w:val="nil"/>
              </w:pBdr>
              <w:jc w:val="right"/>
              <w:rPr>
                <w:b/>
                <w:color w:val="000000"/>
              </w:rPr>
            </w:pPr>
          </w:p>
        </w:tc>
      </w:tr>
    </w:tbl>
    <w:p w14:paraId="1A23EF8B"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tbl>
      <w:tblPr>
        <w:tblStyle w:val="ad"/>
        <w:tblW w:w="9355" w:type="dxa"/>
        <w:tblLayout w:type="fixed"/>
        <w:tblLook w:val="0000" w:firstRow="0" w:lastRow="0" w:firstColumn="0" w:lastColumn="0" w:noHBand="0" w:noVBand="0"/>
      </w:tblPr>
      <w:tblGrid>
        <w:gridCol w:w="6293"/>
        <w:gridCol w:w="1531"/>
        <w:gridCol w:w="1531"/>
      </w:tblGrid>
      <w:tr w:rsidR="008E5DE4" w14:paraId="1824CAD6" w14:textId="77777777">
        <w:trPr>
          <w:cantSplit/>
        </w:trPr>
        <w:tc>
          <w:tcPr>
            <w:tcW w:w="6293" w:type="dxa"/>
            <w:tcBorders>
              <w:bottom w:val="single" w:sz="4" w:space="0" w:color="000000"/>
            </w:tcBorders>
            <w:vAlign w:val="bottom"/>
          </w:tcPr>
          <w:p w14:paraId="6FA978B7" w14:textId="77777777" w:rsidR="008E5DE4" w:rsidRDefault="00780368">
            <w:pPr>
              <w:widowControl w:val="0"/>
              <w:pBdr>
                <w:top w:val="nil"/>
                <w:left w:val="nil"/>
                <w:bottom w:val="nil"/>
                <w:right w:val="nil"/>
                <w:between w:val="nil"/>
              </w:pBdr>
              <w:rPr>
                <w:i/>
                <w:color w:val="000000"/>
              </w:rPr>
            </w:pPr>
            <w:r>
              <w:rPr>
                <w:i/>
                <w:color w:val="000000"/>
              </w:rPr>
              <w:t xml:space="preserve">In thousands of EUR </w:t>
            </w:r>
          </w:p>
        </w:tc>
        <w:tc>
          <w:tcPr>
            <w:tcW w:w="1531" w:type="dxa"/>
            <w:tcBorders>
              <w:bottom w:val="single" w:sz="4" w:space="0" w:color="000000"/>
            </w:tcBorders>
            <w:vAlign w:val="bottom"/>
          </w:tcPr>
          <w:p w14:paraId="538900C9" w14:textId="73B6904C"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49F0060C" w14:textId="21E8A0C3"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531CE849" w14:textId="77777777">
        <w:trPr>
          <w:cantSplit/>
        </w:trPr>
        <w:tc>
          <w:tcPr>
            <w:tcW w:w="6293" w:type="dxa"/>
            <w:vAlign w:val="bottom"/>
          </w:tcPr>
          <w:p w14:paraId="56862A5D"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vAlign w:val="bottom"/>
          </w:tcPr>
          <w:p w14:paraId="74141B9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2730F40" w14:textId="77777777" w:rsidR="008E5DE4" w:rsidRDefault="008E5DE4">
            <w:pPr>
              <w:widowControl w:val="0"/>
              <w:pBdr>
                <w:top w:val="nil"/>
                <w:left w:val="nil"/>
                <w:bottom w:val="nil"/>
                <w:right w:val="nil"/>
                <w:between w:val="nil"/>
              </w:pBdr>
              <w:jc w:val="right"/>
              <w:rPr>
                <w:color w:val="000000"/>
              </w:rPr>
            </w:pPr>
          </w:p>
        </w:tc>
      </w:tr>
      <w:tr w:rsidR="008E5DE4" w14:paraId="443EE324" w14:textId="77777777">
        <w:trPr>
          <w:cantSplit/>
        </w:trPr>
        <w:tc>
          <w:tcPr>
            <w:tcW w:w="6293" w:type="dxa"/>
            <w:vAlign w:val="bottom"/>
          </w:tcPr>
          <w:p w14:paraId="170810CA" w14:textId="77777777" w:rsidR="008E5DE4" w:rsidRDefault="00780368">
            <w:pPr>
              <w:widowControl w:val="0"/>
              <w:pBdr>
                <w:top w:val="nil"/>
                <w:left w:val="nil"/>
                <w:bottom w:val="nil"/>
                <w:right w:val="nil"/>
                <w:between w:val="nil"/>
              </w:pBdr>
              <w:rPr>
                <w:b/>
                <w:color w:val="000000"/>
              </w:rPr>
            </w:pPr>
            <w:r>
              <w:rPr>
                <w:b/>
                <w:color w:val="000000"/>
              </w:rPr>
              <w:t>Total reportable segment assets</w:t>
            </w:r>
          </w:p>
        </w:tc>
        <w:tc>
          <w:tcPr>
            <w:tcW w:w="1531" w:type="dxa"/>
            <w:vAlign w:val="bottom"/>
          </w:tcPr>
          <w:p w14:paraId="2B78C7D0"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3963367" w14:textId="77777777" w:rsidR="008E5DE4" w:rsidRDefault="008E5DE4">
            <w:pPr>
              <w:widowControl w:val="0"/>
              <w:pBdr>
                <w:top w:val="nil"/>
                <w:left w:val="nil"/>
                <w:bottom w:val="nil"/>
                <w:right w:val="nil"/>
                <w:between w:val="nil"/>
              </w:pBdr>
              <w:jc w:val="right"/>
              <w:rPr>
                <w:b/>
                <w:color w:val="000000"/>
              </w:rPr>
            </w:pPr>
          </w:p>
        </w:tc>
      </w:tr>
      <w:tr w:rsidR="008E5DE4" w14:paraId="7CFAE390" w14:textId="77777777">
        <w:trPr>
          <w:cantSplit/>
        </w:trPr>
        <w:tc>
          <w:tcPr>
            <w:tcW w:w="6293" w:type="dxa"/>
            <w:vAlign w:val="bottom"/>
          </w:tcPr>
          <w:p w14:paraId="3B9CA50F"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vAlign w:val="bottom"/>
          </w:tcPr>
          <w:p w14:paraId="0375072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B9FCFFD" w14:textId="77777777" w:rsidR="008E5DE4" w:rsidRDefault="008E5DE4">
            <w:pPr>
              <w:widowControl w:val="0"/>
              <w:pBdr>
                <w:top w:val="nil"/>
                <w:left w:val="nil"/>
                <w:bottom w:val="nil"/>
                <w:right w:val="nil"/>
                <w:between w:val="nil"/>
              </w:pBdr>
              <w:jc w:val="right"/>
              <w:rPr>
                <w:color w:val="000000"/>
              </w:rPr>
            </w:pPr>
          </w:p>
        </w:tc>
      </w:tr>
      <w:tr w:rsidR="008E5DE4" w14:paraId="163476C5" w14:textId="77777777">
        <w:trPr>
          <w:cantSplit/>
        </w:trPr>
        <w:tc>
          <w:tcPr>
            <w:tcW w:w="6293" w:type="dxa"/>
            <w:vAlign w:val="bottom"/>
          </w:tcPr>
          <w:p w14:paraId="3FF91688" w14:textId="77777777" w:rsidR="008E5DE4" w:rsidRDefault="00780368">
            <w:pPr>
              <w:widowControl w:val="0"/>
              <w:pBdr>
                <w:top w:val="nil"/>
                <w:left w:val="nil"/>
                <w:bottom w:val="nil"/>
                <w:right w:val="nil"/>
                <w:between w:val="nil"/>
              </w:pBdr>
              <w:rPr>
                <w:color w:val="000000"/>
              </w:rPr>
            </w:pPr>
            <w:r>
              <w:rPr>
                <w:color w:val="000000"/>
              </w:rPr>
              <w:t xml:space="preserve">(a) </w:t>
            </w:r>
            <w:r>
              <w:rPr>
                <w:color w:val="0000FF"/>
              </w:rPr>
              <w:t>[description of each adjustment]</w:t>
            </w:r>
          </w:p>
        </w:tc>
        <w:tc>
          <w:tcPr>
            <w:tcW w:w="1531" w:type="dxa"/>
            <w:vAlign w:val="bottom"/>
          </w:tcPr>
          <w:p w14:paraId="51E225C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BCF992E" w14:textId="77777777" w:rsidR="008E5DE4" w:rsidRDefault="008E5DE4">
            <w:pPr>
              <w:widowControl w:val="0"/>
              <w:pBdr>
                <w:top w:val="nil"/>
                <w:left w:val="nil"/>
                <w:bottom w:val="nil"/>
                <w:right w:val="nil"/>
                <w:between w:val="nil"/>
              </w:pBdr>
              <w:jc w:val="right"/>
              <w:rPr>
                <w:color w:val="000000"/>
              </w:rPr>
            </w:pPr>
          </w:p>
        </w:tc>
      </w:tr>
      <w:tr w:rsidR="008E5DE4" w14:paraId="6D61F784" w14:textId="77777777">
        <w:trPr>
          <w:cantSplit/>
        </w:trPr>
        <w:tc>
          <w:tcPr>
            <w:tcW w:w="6293" w:type="dxa"/>
            <w:vAlign w:val="bottom"/>
          </w:tcPr>
          <w:p w14:paraId="75BD1D2F" w14:textId="77777777" w:rsidR="008E5DE4" w:rsidRDefault="00780368">
            <w:pPr>
              <w:widowControl w:val="0"/>
              <w:pBdr>
                <w:top w:val="nil"/>
                <w:left w:val="nil"/>
                <w:bottom w:val="nil"/>
                <w:right w:val="nil"/>
                <w:between w:val="nil"/>
              </w:pBdr>
              <w:rPr>
                <w:color w:val="000000"/>
              </w:rPr>
            </w:pPr>
            <w:r>
              <w:rPr>
                <w:color w:val="000000"/>
              </w:rPr>
              <w:t xml:space="preserve">(b) </w:t>
            </w:r>
            <w:r>
              <w:rPr>
                <w:color w:val="0000FF"/>
              </w:rPr>
              <w:t>[description of each adjustment]</w:t>
            </w:r>
          </w:p>
        </w:tc>
        <w:tc>
          <w:tcPr>
            <w:tcW w:w="1531" w:type="dxa"/>
            <w:vAlign w:val="bottom"/>
          </w:tcPr>
          <w:p w14:paraId="7315880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11AE8C" w14:textId="77777777" w:rsidR="008E5DE4" w:rsidRDefault="008E5DE4">
            <w:pPr>
              <w:widowControl w:val="0"/>
              <w:pBdr>
                <w:top w:val="nil"/>
                <w:left w:val="nil"/>
                <w:bottom w:val="nil"/>
                <w:right w:val="nil"/>
                <w:between w:val="nil"/>
              </w:pBdr>
              <w:jc w:val="right"/>
              <w:rPr>
                <w:color w:val="000000"/>
              </w:rPr>
            </w:pPr>
          </w:p>
        </w:tc>
      </w:tr>
      <w:tr w:rsidR="008E5DE4" w14:paraId="13428528" w14:textId="77777777">
        <w:trPr>
          <w:cantSplit/>
        </w:trPr>
        <w:tc>
          <w:tcPr>
            <w:tcW w:w="6293" w:type="dxa"/>
            <w:vAlign w:val="bottom"/>
          </w:tcPr>
          <w:p w14:paraId="626167CE" w14:textId="77777777" w:rsidR="008E5DE4" w:rsidRDefault="00780368">
            <w:pPr>
              <w:widowControl w:val="0"/>
              <w:pBdr>
                <w:top w:val="nil"/>
                <w:left w:val="nil"/>
                <w:bottom w:val="nil"/>
                <w:right w:val="nil"/>
                <w:between w:val="nil"/>
              </w:pBdr>
              <w:rPr>
                <w:color w:val="000000"/>
              </w:rPr>
            </w:pPr>
            <w:r>
              <w:rPr>
                <w:color w:val="000000"/>
              </w:rPr>
              <w:t xml:space="preserve">(c) </w:t>
            </w:r>
            <w:r>
              <w:rPr>
                <w:color w:val="0000FF"/>
              </w:rPr>
              <w:t>[description of each adjustment]</w:t>
            </w:r>
          </w:p>
        </w:tc>
        <w:tc>
          <w:tcPr>
            <w:tcW w:w="1531" w:type="dxa"/>
            <w:vAlign w:val="bottom"/>
          </w:tcPr>
          <w:p w14:paraId="4DD8368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AB1D4ED" w14:textId="77777777" w:rsidR="008E5DE4" w:rsidRDefault="008E5DE4">
            <w:pPr>
              <w:widowControl w:val="0"/>
              <w:pBdr>
                <w:top w:val="nil"/>
                <w:left w:val="nil"/>
                <w:bottom w:val="nil"/>
                <w:right w:val="nil"/>
                <w:between w:val="nil"/>
              </w:pBdr>
              <w:jc w:val="right"/>
              <w:rPr>
                <w:color w:val="000000"/>
              </w:rPr>
            </w:pPr>
          </w:p>
        </w:tc>
      </w:tr>
      <w:tr w:rsidR="008E5DE4" w14:paraId="73858B43" w14:textId="77777777">
        <w:trPr>
          <w:cantSplit/>
        </w:trPr>
        <w:tc>
          <w:tcPr>
            <w:tcW w:w="6293" w:type="dxa"/>
            <w:tcBorders>
              <w:bottom w:val="single" w:sz="4" w:space="0" w:color="000000"/>
            </w:tcBorders>
            <w:vAlign w:val="bottom"/>
          </w:tcPr>
          <w:p w14:paraId="79FB0926"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bottom w:val="single" w:sz="4" w:space="0" w:color="000000"/>
            </w:tcBorders>
            <w:vAlign w:val="bottom"/>
          </w:tcPr>
          <w:p w14:paraId="2E9AEAC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082E4E7B" w14:textId="77777777" w:rsidR="008E5DE4" w:rsidRDefault="008E5DE4">
            <w:pPr>
              <w:widowControl w:val="0"/>
              <w:pBdr>
                <w:top w:val="nil"/>
                <w:left w:val="nil"/>
                <w:bottom w:val="nil"/>
                <w:right w:val="nil"/>
                <w:between w:val="nil"/>
              </w:pBdr>
              <w:jc w:val="right"/>
              <w:rPr>
                <w:color w:val="000000"/>
              </w:rPr>
            </w:pPr>
          </w:p>
        </w:tc>
      </w:tr>
      <w:tr w:rsidR="008E5DE4" w14:paraId="1DC0D828" w14:textId="77777777">
        <w:trPr>
          <w:cantSplit/>
        </w:trPr>
        <w:tc>
          <w:tcPr>
            <w:tcW w:w="6293" w:type="dxa"/>
            <w:tcBorders>
              <w:top w:val="single" w:sz="4" w:space="0" w:color="000000"/>
            </w:tcBorders>
            <w:vAlign w:val="bottom"/>
          </w:tcPr>
          <w:p w14:paraId="653C8D96"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top w:val="single" w:sz="4" w:space="0" w:color="000000"/>
            </w:tcBorders>
            <w:vAlign w:val="bottom"/>
          </w:tcPr>
          <w:p w14:paraId="5F10A44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C7A5FFB" w14:textId="77777777" w:rsidR="008E5DE4" w:rsidRDefault="008E5DE4">
            <w:pPr>
              <w:widowControl w:val="0"/>
              <w:pBdr>
                <w:top w:val="nil"/>
                <w:left w:val="nil"/>
                <w:bottom w:val="nil"/>
                <w:right w:val="nil"/>
                <w:between w:val="nil"/>
              </w:pBdr>
              <w:jc w:val="right"/>
              <w:rPr>
                <w:color w:val="000000"/>
              </w:rPr>
            </w:pPr>
          </w:p>
        </w:tc>
      </w:tr>
      <w:tr w:rsidR="008E5DE4" w14:paraId="2F3C94D0" w14:textId="77777777">
        <w:trPr>
          <w:cantSplit/>
        </w:trPr>
        <w:tc>
          <w:tcPr>
            <w:tcW w:w="6293" w:type="dxa"/>
            <w:vAlign w:val="bottom"/>
          </w:tcPr>
          <w:p w14:paraId="0A31444F" w14:textId="77777777" w:rsidR="008E5DE4" w:rsidRDefault="00780368">
            <w:pPr>
              <w:widowControl w:val="0"/>
              <w:pBdr>
                <w:top w:val="nil"/>
                <w:left w:val="nil"/>
                <w:bottom w:val="nil"/>
                <w:right w:val="nil"/>
                <w:between w:val="nil"/>
              </w:pBdr>
              <w:rPr>
                <w:b/>
                <w:color w:val="000000"/>
              </w:rPr>
            </w:pPr>
            <w:r>
              <w:rPr>
                <w:b/>
                <w:color w:val="000000"/>
              </w:rPr>
              <w:t>Total consolidated assets</w:t>
            </w:r>
          </w:p>
        </w:tc>
        <w:tc>
          <w:tcPr>
            <w:tcW w:w="1531" w:type="dxa"/>
            <w:vAlign w:val="bottom"/>
          </w:tcPr>
          <w:p w14:paraId="1F165302"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67B3211" w14:textId="77777777" w:rsidR="008E5DE4" w:rsidRDefault="008E5DE4">
            <w:pPr>
              <w:widowControl w:val="0"/>
              <w:pBdr>
                <w:top w:val="nil"/>
                <w:left w:val="nil"/>
                <w:bottom w:val="nil"/>
                <w:right w:val="nil"/>
                <w:between w:val="nil"/>
              </w:pBdr>
              <w:jc w:val="right"/>
              <w:rPr>
                <w:b/>
                <w:color w:val="000000"/>
              </w:rPr>
            </w:pPr>
          </w:p>
        </w:tc>
      </w:tr>
      <w:tr w:rsidR="008E5DE4" w14:paraId="196D5595" w14:textId="77777777">
        <w:trPr>
          <w:cantSplit/>
        </w:trPr>
        <w:tc>
          <w:tcPr>
            <w:tcW w:w="6293" w:type="dxa"/>
            <w:tcBorders>
              <w:bottom w:val="single" w:sz="12" w:space="0" w:color="000000"/>
            </w:tcBorders>
            <w:vAlign w:val="bottom"/>
          </w:tcPr>
          <w:p w14:paraId="4225B2D9" w14:textId="77777777" w:rsidR="008E5DE4" w:rsidRDefault="00780368">
            <w:pPr>
              <w:widowControl w:val="0"/>
            </w:pPr>
            <w:r>
              <w:rPr>
                <w:b/>
              </w:rPr>
              <w:t> </w:t>
            </w:r>
          </w:p>
        </w:tc>
        <w:tc>
          <w:tcPr>
            <w:tcW w:w="1531" w:type="dxa"/>
            <w:tcBorders>
              <w:bottom w:val="single" w:sz="12" w:space="0" w:color="000000"/>
            </w:tcBorders>
            <w:vAlign w:val="bottom"/>
          </w:tcPr>
          <w:p w14:paraId="3B4B0D04" w14:textId="77777777" w:rsidR="008E5DE4" w:rsidRDefault="008E5DE4">
            <w:pPr>
              <w:widowControl w:val="0"/>
              <w:pBdr>
                <w:top w:val="nil"/>
                <w:left w:val="nil"/>
                <w:bottom w:val="nil"/>
                <w:right w:val="nil"/>
                <w:between w:val="nil"/>
              </w:pBdr>
              <w:jc w:val="right"/>
              <w:rPr>
                <w:b/>
                <w:color w:val="000000"/>
                <w:u w:val="single"/>
              </w:rPr>
            </w:pPr>
          </w:p>
        </w:tc>
        <w:tc>
          <w:tcPr>
            <w:tcW w:w="1531" w:type="dxa"/>
            <w:tcBorders>
              <w:bottom w:val="single" w:sz="12" w:space="0" w:color="000000"/>
            </w:tcBorders>
            <w:vAlign w:val="bottom"/>
          </w:tcPr>
          <w:p w14:paraId="493F38A8" w14:textId="77777777" w:rsidR="008E5DE4" w:rsidRDefault="008E5DE4">
            <w:pPr>
              <w:widowControl w:val="0"/>
              <w:pBdr>
                <w:top w:val="nil"/>
                <w:left w:val="nil"/>
                <w:bottom w:val="nil"/>
                <w:right w:val="nil"/>
                <w:between w:val="nil"/>
              </w:pBdr>
              <w:jc w:val="right"/>
              <w:rPr>
                <w:b/>
                <w:color w:val="000000"/>
              </w:rPr>
            </w:pPr>
          </w:p>
        </w:tc>
      </w:tr>
    </w:tbl>
    <w:p w14:paraId="1278F2B9" w14:textId="77777777" w:rsidR="008E5DE4" w:rsidRDefault="008E5DE4">
      <w:pPr>
        <w:widowControl w:val="0"/>
        <w:pBdr>
          <w:top w:val="nil"/>
          <w:left w:val="nil"/>
          <w:bottom w:val="nil"/>
          <w:right w:val="nil"/>
          <w:between w:val="nil"/>
        </w:pBdr>
        <w:jc w:val="both"/>
        <w:rPr>
          <w:color w:val="000000"/>
          <w:sz w:val="20"/>
          <w:szCs w:val="20"/>
        </w:rPr>
      </w:pPr>
    </w:p>
    <w:tbl>
      <w:tblPr>
        <w:tblStyle w:val="ae"/>
        <w:tblW w:w="9355" w:type="dxa"/>
        <w:tblLayout w:type="fixed"/>
        <w:tblLook w:val="0000" w:firstRow="0" w:lastRow="0" w:firstColumn="0" w:lastColumn="0" w:noHBand="0" w:noVBand="0"/>
      </w:tblPr>
      <w:tblGrid>
        <w:gridCol w:w="6293"/>
        <w:gridCol w:w="1531"/>
        <w:gridCol w:w="1531"/>
      </w:tblGrid>
      <w:tr w:rsidR="008E5DE4" w14:paraId="4252250E" w14:textId="77777777">
        <w:trPr>
          <w:cantSplit/>
        </w:trPr>
        <w:tc>
          <w:tcPr>
            <w:tcW w:w="6293" w:type="dxa"/>
            <w:tcBorders>
              <w:bottom w:val="single" w:sz="4" w:space="0" w:color="000000"/>
            </w:tcBorders>
            <w:vAlign w:val="bottom"/>
          </w:tcPr>
          <w:p w14:paraId="45046285" w14:textId="77777777" w:rsidR="008E5DE4" w:rsidRDefault="00780368">
            <w:pPr>
              <w:widowControl w:val="0"/>
              <w:pBdr>
                <w:top w:val="nil"/>
                <w:left w:val="nil"/>
                <w:bottom w:val="nil"/>
                <w:right w:val="nil"/>
                <w:between w:val="nil"/>
              </w:pBdr>
              <w:rPr>
                <w:i/>
                <w:color w:val="000000"/>
              </w:rPr>
            </w:pPr>
            <w:r>
              <w:rPr>
                <w:i/>
                <w:color w:val="000000"/>
              </w:rPr>
              <w:t xml:space="preserve">In thousands of EUR </w:t>
            </w:r>
          </w:p>
        </w:tc>
        <w:tc>
          <w:tcPr>
            <w:tcW w:w="1531" w:type="dxa"/>
            <w:tcBorders>
              <w:bottom w:val="single" w:sz="4" w:space="0" w:color="000000"/>
            </w:tcBorders>
            <w:vAlign w:val="bottom"/>
          </w:tcPr>
          <w:p w14:paraId="544474D0" w14:textId="74BEBBF1"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61422A00" w14:textId="44336477"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0C3804B1" w14:textId="77777777">
        <w:trPr>
          <w:cantSplit/>
        </w:trPr>
        <w:tc>
          <w:tcPr>
            <w:tcW w:w="6293" w:type="dxa"/>
            <w:vAlign w:val="bottom"/>
          </w:tcPr>
          <w:p w14:paraId="646468DE"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vAlign w:val="bottom"/>
          </w:tcPr>
          <w:p w14:paraId="7B18043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36747BD" w14:textId="77777777" w:rsidR="008E5DE4" w:rsidRDefault="008E5DE4">
            <w:pPr>
              <w:widowControl w:val="0"/>
              <w:pBdr>
                <w:top w:val="nil"/>
                <w:left w:val="nil"/>
                <w:bottom w:val="nil"/>
                <w:right w:val="nil"/>
                <w:between w:val="nil"/>
              </w:pBdr>
              <w:jc w:val="right"/>
              <w:rPr>
                <w:color w:val="000000"/>
              </w:rPr>
            </w:pPr>
          </w:p>
        </w:tc>
      </w:tr>
      <w:tr w:rsidR="008E5DE4" w14:paraId="5D2DEF24" w14:textId="77777777">
        <w:trPr>
          <w:cantSplit/>
        </w:trPr>
        <w:tc>
          <w:tcPr>
            <w:tcW w:w="6293" w:type="dxa"/>
            <w:vAlign w:val="bottom"/>
          </w:tcPr>
          <w:p w14:paraId="5C18A469" w14:textId="77777777" w:rsidR="008E5DE4" w:rsidRDefault="00780368">
            <w:pPr>
              <w:widowControl w:val="0"/>
              <w:pBdr>
                <w:top w:val="nil"/>
                <w:left w:val="nil"/>
                <w:bottom w:val="nil"/>
                <w:right w:val="nil"/>
                <w:between w:val="nil"/>
              </w:pBdr>
              <w:rPr>
                <w:b/>
                <w:color w:val="000000"/>
              </w:rPr>
            </w:pPr>
            <w:r>
              <w:rPr>
                <w:b/>
                <w:color w:val="000000"/>
              </w:rPr>
              <w:t>Total reportable segment liabilities</w:t>
            </w:r>
          </w:p>
        </w:tc>
        <w:tc>
          <w:tcPr>
            <w:tcW w:w="1531" w:type="dxa"/>
            <w:vAlign w:val="bottom"/>
          </w:tcPr>
          <w:p w14:paraId="38682D22"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F9834CA" w14:textId="77777777" w:rsidR="008E5DE4" w:rsidRDefault="008E5DE4">
            <w:pPr>
              <w:widowControl w:val="0"/>
              <w:pBdr>
                <w:top w:val="nil"/>
                <w:left w:val="nil"/>
                <w:bottom w:val="nil"/>
                <w:right w:val="nil"/>
                <w:between w:val="nil"/>
              </w:pBdr>
              <w:jc w:val="right"/>
              <w:rPr>
                <w:b/>
                <w:color w:val="000000"/>
              </w:rPr>
            </w:pPr>
          </w:p>
        </w:tc>
      </w:tr>
      <w:tr w:rsidR="008E5DE4" w14:paraId="216F6858" w14:textId="77777777">
        <w:trPr>
          <w:cantSplit/>
        </w:trPr>
        <w:tc>
          <w:tcPr>
            <w:tcW w:w="6293" w:type="dxa"/>
            <w:vAlign w:val="bottom"/>
          </w:tcPr>
          <w:p w14:paraId="463C160A"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vAlign w:val="bottom"/>
          </w:tcPr>
          <w:p w14:paraId="0A264EE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AAEDD5E" w14:textId="77777777" w:rsidR="008E5DE4" w:rsidRDefault="008E5DE4">
            <w:pPr>
              <w:widowControl w:val="0"/>
              <w:pBdr>
                <w:top w:val="nil"/>
                <w:left w:val="nil"/>
                <w:bottom w:val="nil"/>
                <w:right w:val="nil"/>
                <w:between w:val="nil"/>
              </w:pBdr>
              <w:jc w:val="right"/>
              <w:rPr>
                <w:color w:val="000000"/>
              </w:rPr>
            </w:pPr>
          </w:p>
        </w:tc>
      </w:tr>
      <w:tr w:rsidR="008E5DE4" w14:paraId="628FA1A8" w14:textId="77777777">
        <w:trPr>
          <w:cantSplit/>
        </w:trPr>
        <w:tc>
          <w:tcPr>
            <w:tcW w:w="6293" w:type="dxa"/>
            <w:vAlign w:val="bottom"/>
          </w:tcPr>
          <w:p w14:paraId="4A02C1EC" w14:textId="77777777" w:rsidR="008E5DE4" w:rsidRDefault="00780368">
            <w:pPr>
              <w:widowControl w:val="0"/>
              <w:pBdr>
                <w:top w:val="nil"/>
                <w:left w:val="nil"/>
                <w:bottom w:val="nil"/>
                <w:right w:val="nil"/>
                <w:between w:val="nil"/>
              </w:pBdr>
              <w:rPr>
                <w:color w:val="000000"/>
              </w:rPr>
            </w:pPr>
            <w:r>
              <w:rPr>
                <w:color w:val="000000"/>
              </w:rPr>
              <w:t xml:space="preserve">(a) </w:t>
            </w:r>
            <w:r>
              <w:rPr>
                <w:color w:val="0000FF"/>
              </w:rPr>
              <w:t>[description of each adjustment]</w:t>
            </w:r>
          </w:p>
        </w:tc>
        <w:tc>
          <w:tcPr>
            <w:tcW w:w="1531" w:type="dxa"/>
            <w:vAlign w:val="bottom"/>
          </w:tcPr>
          <w:p w14:paraId="66D65F4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9126A95" w14:textId="77777777" w:rsidR="008E5DE4" w:rsidRDefault="008E5DE4">
            <w:pPr>
              <w:widowControl w:val="0"/>
              <w:pBdr>
                <w:top w:val="nil"/>
                <w:left w:val="nil"/>
                <w:bottom w:val="nil"/>
                <w:right w:val="nil"/>
                <w:between w:val="nil"/>
              </w:pBdr>
              <w:jc w:val="right"/>
              <w:rPr>
                <w:color w:val="000000"/>
              </w:rPr>
            </w:pPr>
          </w:p>
        </w:tc>
      </w:tr>
      <w:tr w:rsidR="008E5DE4" w14:paraId="306F10B1" w14:textId="77777777">
        <w:trPr>
          <w:cantSplit/>
        </w:trPr>
        <w:tc>
          <w:tcPr>
            <w:tcW w:w="6293" w:type="dxa"/>
            <w:vAlign w:val="bottom"/>
          </w:tcPr>
          <w:p w14:paraId="3B398778" w14:textId="77777777" w:rsidR="008E5DE4" w:rsidRDefault="00780368">
            <w:pPr>
              <w:widowControl w:val="0"/>
              <w:pBdr>
                <w:top w:val="nil"/>
                <w:left w:val="nil"/>
                <w:bottom w:val="nil"/>
                <w:right w:val="nil"/>
                <w:between w:val="nil"/>
              </w:pBdr>
              <w:rPr>
                <w:color w:val="000000"/>
              </w:rPr>
            </w:pPr>
            <w:r>
              <w:rPr>
                <w:color w:val="000000"/>
              </w:rPr>
              <w:t xml:space="preserve">(b) </w:t>
            </w:r>
            <w:r>
              <w:rPr>
                <w:color w:val="0000FF"/>
              </w:rPr>
              <w:t>[description of each adjustment]</w:t>
            </w:r>
          </w:p>
        </w:tc>
        <w:tc>
          <w:tcPr>
            <w:tcW w:w="1531" w:type="dxa"/>
            <w:vAlign w:val="bottom"/>
          </w:tcPr>
          <w:p w14:paraId="290ECD7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7ED94B7" w14:textId="77777777" w:rsidR="008E5DE4" w:rsidRDefault="008E5DE4">
            <w:pPr>
              <w:widowControl w:val="0"/>
              <w:pBdr>
                <w:top w:val="nil"/>
                <w:left w:val="nil"/>
                <w:bottom w:val="nil"/>
                <w:right w:val="nil"/>
                <w:between w:val="nil"/>
              </w:pBdr>
              <w:jc w:val="right"/>
              <w:rPr>
                <w:color w:val="000000"/>
              </w:rPr>
            </w:pPr>
          </w:p>
        </w:tc>
      </w:tr>
      <w:tr w:rsidR="008E5DE4" w14:paraId="2ECA3C02" w14:textId="77777777">
        <w:trPr>
          <w:cantSplit/>
        </w:trPr>
        <w:tc>
          <w:tcPr>
            <w:tcW w:w="6293" w:type="dxa"/>
            <w:vAlign w:val="bottom"/>
          </w:tcPr>
          <w:p w14:paraId="2FE01278" w14:textId="77777777" w:rsidR="008E5DE4" w:rsidRDefault="00780368">
            <w:pPr>
              <w:widowControl w:val="0"/>
              <w:pBdr>
                <w:top w:val="nil"/>
                <w:left w:val="nil"/>
                <w:bottom w:val="nil"/>
                <w:right w:val="nil"/>
                <w:between w:val="nil"/>
              </w:pBdr>
              <w:rPr>
                <w:color w:val="000000"/>
              </w:rPr>
            </w:pPr>
            <w:r>
              <w:rPr>
                <w:color w:val="000000"/>
              </w:rPr>
              <w:t xml:space="preserve">(c) </w:t>
            </w:r>
            <w:r>
              <w:rPr>
                <w:color w:val="0000FF"/>
              </w:rPr>
              <w:t>[description of each adjustment]</w:t>
            </w:r>
          </w:p>
        </w:tc>
        <w:tc>
          <w:tcPr>
            <w:tcW w:w="1531" w:type="dxa"/>
            <w:vAlign w:val="bottom"/>
          </w:tcPr>
          <w:p w14:paraId="423159F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A55206F" w14:textId="77777777" w:rsidR="008E5DE4" w:rsidRDefault="008E5DE4">
            <w:pPr>
              <w:widowControl w:val="0"/>
              <w:pBdr>
                <w:top w:val="nil"/>
                <w:left w:val="nil"/>
                <w:bottom w:val="nil"/>
                <w:right w:val="nil"/>
                <w:between w:val="nil"/>
              </w:pBdr>
              <w:jc w:val="right"/>
              <w:rPr>
                <w:color w:val="000000"/>
              </w:rPr>
            </w:pPr>
          </w:p>
        </w:tc>
      </w:tr>
      <w:tr w:rsidR="008E5DE4" w14:paraId="2FEFBED0" w14:textId="77777777">
        <w:trPr>
          <w:cantSplit/>
        </w:trPr>
        <w:tc>
          <w:tcPr>
            <w:tcW w:w="6293" w:type="dxa"/>
            <w:tcBorders>
              <w:bottom w:val="single" w:sz="4" w:space="0" w:color="000000"/>
            </w:tcBorders>
            <w:vAlign w:val="bottom"/>
          </w:tcPr>
          <w:p w14:paraId="1F6CF1F8"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bottom w:val="single" w:sz="4" w:space="0" w:color="000000"/>
            </w:tcBorders>
            <w:vAlign w:val="bottom"/>
          </w:tcPr>
          <w:p w14:paraId="318B776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E6FBE98" w14:textId="77777777" w:rsidR="008E5DE4" w:rsidRDefault="008E5DE4">
            <w:pPr>
              <w:widowControl w:val="0"/>
              <w:pBdr>
                <w:top w:val="nil"/>
                <w:left w:val="nil"/>
                <w:bottom w:val="nil"/>
                <w:right w:val="nil"/>
                <w:between w:val="nil"/>
              </w:pBdr>
              <w:jc w:val="right"/>
              <w:rPr>
                <w:color w:val="000000"/>
              </w:rPr>
            </w:pPr>
          </w:p>
        </w:tc>
      </w:tr>
      <w:tr w:rsidR="008E5DE4" w14:paraId="35BD6AEB" w14:textId="77777777">
        <w:trPr>
          <w:cantSplit/>
        </w:trPr>
        <w:tc>
          <w:tcPr>
            <w:tcW w:w="6293" w:type="dxa"/>
            <w:tcBorders>
              <w:top w:val="single" w:sz="4" w:space="0" w:color="000000"/>
            </w:tcBorders>
            <w:vAlign w:val="bottom"/>
          </w:tcPr>
          <w:p w14:paraId="1B77F321" w14:textId="77777777" w:rsidR="008E5DE4" w:rsidRDefault="00780368">
            <w:pPr>
              <w:widowControl w:val="0"/>
              <w:pBdr>
                <w:top w:val="nil"/>
                <w:left w:val="nil"/>
                <w:bottom w:val="nil"/>
                <w:right w:val="nil"/>
                <w:between w:val="nil"/>
              </w:pBdr>
              <w:rPr>
                <w:color w:val="000000"/>
              </w:rPr>
            </w:pPr>
            <w:r>
              <w:rPr>
                <w:b/>
                <w:color w:val="000000"/>
              </w:rPr>
              <w:t xml:space="preserve"> </w:t>
            </w:r>
          </w:p>
        </w:tc>
        <w:tc>
          <w:tcPr>
            <w:tcW w:w="1531" w:type="dxa"/>
            <w:tcBorders>
              <w:top w:val="single" w:sz="4" w:space="0" w:color="000000"/>
            </w:tcBorders>
            <w:vAlign w:val="bottom"/>
          </w:tcPr>
          <w:p w14:paraId="63B6E9FD"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7B3B872B" w14:textId="77777777" w:rsidR="008E5DE4" w:rsidRDefault="008E5DE4">
            <w:pPr>
              <w:widowControl w:val="0"/>
              <w:pBdr>
                <w:top w:val="nil"/>
                <w:left w:val="nil"/>
                <w:bottom w:val="nil"/>
                <w:right w:val="nil"/>
                <w:between w:val="nil"/>
              </w:pBdr>
              <w:jc w:val="right"/>
              <w:rPr>
                <w:color w:val="000000"/>
              </w:rPr>
            </w:pPr>
          </w:p>
        </w:tc>
      </w:tr>
      <w:tr w:rsidR="008E5DE4" w14:paraId="58F70AC5" w14:textId="77777777">
        <w:trPr>
          <w:cantSplit/>
        </w:trPr>
        <w:tc>
          <w:tcPr>
            <w:tcW w:w="6293" w:type="dxa"/>
            <w:vAlign w:val="bottom"/>
          </w:tcPr>
          <w:p w14:paraId="3EBB7B3C" w14:textId="77777777" w:rsidR="008E5DE4" w:rsidRDefault="00780368">
            <w:pPr>
              <w:widowControl w:val="0"/>
              <w:rPr>
                <w:b/>
              </w:rPr>
            </w:pPr>
            <w:r>
              <w:rPr>
                <w:b/>
              </w:rPr>
              <w:t>Total consolidated liabilities</w:t>
            </w:r>
          </w:p>
        </w:tc>
        <w:tc>
          <w:tcPr>
            <w:tcW w:w="1531" w:type="dxa"/>
            <w:vAlign w:val="bottom"/>
          </w:tcPr>
          <w:p w14:paraId="397379AD" w14:textId="77777777" w:rsidR="008E5DE4" w:rsidRDefault="008E5DE4">
            <w:pPr>
              <w:widowControl w:val="0"/>
              <w:pBdr>
                <w:top w:val="nil"/>
                <w:left w:val="nil"/>
                <w:bottom w:val="nil"/>
                <w:right w:val="nil"/>
                <w:between w:val="nil"/>
              </w:pBdr>
              <w:jc w:val="right"/>
              <w:rPr>
                <w:b/>
                <w:color w:val="000000"/>
                <w:u w:val="single"/>
              </w:rPr>
            </w:pPr>
          </w:p>
        </w:tc>
        <w:tc>
          <w:tcPr>
            <w:tcW w:w="1531" w:type="dxa"/>
            <w:vAlign w:val="bottom"/>
          </w:tcPr>
          <w:p w14:paraId="1E0FA343" w14:textId="77777777" w:rsidR="008E5DE4" w:rsidRDefault="008E5DE4">
            <w:pPr>
              <w:widowControl w:val="0"/>
              <w:pBdr>
                <w:top w:val="nil"/>
                <w:left w:val="nil"/>
                <w:bottom w:val="nil"/>
                <w:right w:val="nil"/>
                <w:between w:val="nil"/>
              </w:pBdr>
              <w:jc w:val="right"/>
              <w:rPr>
                <w:b/>
                <w:color w:val="000000"/>
              </w:rPr>
            </w:pPr>
          </w:p>
        </w:tc>
      </w:tr>
      <w:tr w:rsidR="008E5DE4" w14:paraId="4F28C384" w14:textId="77777777">
        <w:trPr>
          <w:cantSplit/>
        </w:trPr>
        <w:tc>
          <w:tcPr>
            <w:tcW w:w="6293" w:type="dxa"/>
            <w:tcBorders>
              <w:bottom w:val="single" w:sz="12" w:space="0" w:color="000000"/>
            </w:tcBorders>
            <w:vAlign w:val="bottom"/>
          </w:tcPr>
          <w:p w14:paraId="186501B5" w14:textId="77777777" w:rsidR="008E5DE4" w:rsidRDefault="00780368">
            <w:pPr>
              <w:widowControl w:val="0"/>
              <w:rPr>
                <w:b/>
              </w:rPr>
            </w:pPr>
            <w:r>
              <w:rPr>
                <w:b/>
              </w:rPr>
              <w:t> </w:t>
            </w:r>
          </w:p>
        </w:tc>
        <w:tc>
          <w:tcPr>
            <w:tcW w:w="1531" w:type="dxa"/>
            <w:tcBorders>
              <w:bottom w:val="single" w:sz="12" w:space="0" w:color="000000"/>
            </w:tcBorders>
            <w:vAlign w:val="bottom"/>
          </w:tcPr>
          <w:p w14:paraId="75FF43EF" w14:textId="77777777" w:rsidR="008E5DE4" w:rsidRDefault="008E5DE4">
            <w:pPr>
              <w:widowControl w:val="0"/>
              <w:pBdr>
                <w:top w:val="nil"/>
                <w:left w:val="nil"/>
                <w:bottom w:val="nil"/>
                <w:right w:val="nil"/>
                <w:between w:val="nil"/>
              </w:pBdr>
              <w:jc w:val="right"/>
              <w:rPr>
                <w:b/>
                <w:color w:val="000000"/>
                <w:u w:val="single"/>
              </w:rPr>
            </w:pPr>
          </w:p>
        </w:tc>
        <w:tc>
          <w:tcPr>
            <w:tcW w:w="1531" w:type="dxa"/>
            <w:tcBorders>
              <w:bottom w:val="single" w:sz="12" w:space="0" w:color="000000"/>
            </w:tcBorders>
            <w:vAlign w:val="bottom"/>
          </w:tcPr>
          <w:p w14:paraId="5CDE1717" w14:textId="77777777" w:rsidR="008E5DE4" w:rsidRDefault="008E5DE4">
            <w:pPr>
              <w:widowControl w:val="0"/>
              <w:pBdr>
                <w:top w:val="nil"/>
                <w:left w:val="nil"/>
                <w:bottom w:val="nil"/>
                <w:right w:val="nil"/>
                <w:between w:val="nil"/>
              </w:pBdr>
              <w:jc w:val="right"/>
              <w:rPr>
                <w:b/>
                <w:color w:val="000000"/>
              </w:rPr>
            </w:pPr>
          </w:p>
        </w:tc>
      </w:tr>
    </w:tbl>
    <w:p w14:paraId="69E189F3" w14:textId="6AB4B336"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Reconciliation of material items of income or expense </w:t>
      </w:r>
      <w:r w:rsidR="0088327A">
        <w:rPr>
          <w:color w:val="000000"/>
          <w:sz w:val="20"/>
          <w:szCs w:val="20"/>
        </w:rPr>
        <w:t xml:space="preserve">included in the segment results </w:t>
      </w:r>
      <w:r>
        <w:rPr>
          <w:color w:val="000000"/>
          <w:sz w:val="20"/>
          <w:szCs w:val="20"/>
        </w:rPr>
        <w:t xml:space="preserve">for the year ended 31 December </w:t>
      </w:r>
      <w:r w:rsidR="008614F8">
        <w:rPr>
          <w:color w:val="000000"/>
          <w:sz w:val="20"/>
          <w:szCs w:val="20"/>
        </w:rPr>
        <w:t>2025</w:t>
      </w:r>
      <w:r>
        <w:rPr>
          <w:color w:val="000000"/>
          <w:sz w:val="20"/>
          <w:szCs w:val="20"/>
        </w:rPr>
        <w:t xml:space="preserve"> is as follows:</w:t>
      </w:r>
    </w:p>
    <w:tbl>
      <w:tblPr>
        <w:tblStyle w:val="af"/>
        <w:tblW w:w="9353" w:type="dxa"/>
        <w:tblLayout w:type="fixed"/>
        <w:tblLook w:val="0000" w:firstRow="0" w:lastRow="0" w:firstColumn="0" w:lastColumn="0" w:noHBand="0" w:noVBand="0"/>
      </w:tblPr>
      <w:tblGrid>
        <w:gridCol w:w="3005"/>
        <w:gridCol w:w="1134"/>
        <w:gridCol w:w="1020"/>
        <w:gridCol w:w="1020"/>
        <w:gridCol w:w="1020"/>
        <w:gridCol w:w="1020"/>
        <w:gridCol w:w="1134"/>
      </w:tblGrid>
      <w:tr w:rsidR="00706FCB" w14:paraId="01FFEAED" w14:textId="77777777" w:rsidTr="007A0528">
        <w:trPr>
          <w:cantSplit/>
          <w:tblHeader/>
        </w:trPr>
        <w:tc>
          <w:tcPr>
            <w:tcW w:w="3005" w:type="dxa"/>
            <w:tcBorders>
              <w:bottom w:val="single" w:sz="4" w:space="0" w:color="000000"/>
            </w:tcBorders>
            <w:vAlign w:val="bottom"/>
          </w:tcPr>
          <w:p w14:paraId="59E16906" w14:textId="77777777" w:rsidR="00706FCB" w:rsidRDefault="00706FCB" w:rsidP="007A0528">
            <w:pPr>
              <w:widowControl w:val="0"/>
              <w:pBdr>
                <w:top w:val="nil"/>
                <w:left w:val="nil"/>
                <w:bottom w:val="nil"/>
                <w:right w:val="nil"/>
                <w:between w:val="nil"/>
              </w:pBdr>
              <w:ind w:left="113" w:right="-57" w:hanging="113"/>
              <w:rPr>
                <w:i/>
                <w:color w:val="000000"/>
              </w:rPr>
            </w:pPr>
            <w:r>
              <w:rPr>
                <w:i/>
                <w:color w:val="000000"/>
              </w:rPr>
              <w:t>In thousands of EUR</w:t>
            </w:r>
          </w:p>
        </w:tc>
        <w:tc>
          <w:tcPr>
            <w:tcW w:w="1134" w:type="dxa"/>
            <w:tcBorders>
              <w:bottom w:val="single" w:sz="4" w:space="0" w:color="000000"/>
            </w:tcBorders>
          </w:tcPr>
          <w:p w14:paraId="3786DFC6" w14:textId="77777777" w:rsidR="00706FCB" w:rsidRDefault="00706FCB" w:rsidP="007A0528">
            <w:pPr>
              <w:widowControl w:val="0"/>
              <w:pBdr>
                <w:top w:val="nil"/>
                <w:left w:val="nil"/>
                <w:bottom w:val="nil"/>
                <w:right w:val="nil"/>
                <w:between w:val="nil"/>
              </w:pBdr>
              <w:ind w:left="-113"/>
              <w:jc w:val="right"/>
              <w:rPr>
                <w:b/>
                <w:color w:val="000000"/>
              </w:rPr>
            </w:pPr>
            <w:r>
              <w:rPr>
                <w:b/>
                <w:color w:val="000000"/>
              </w:rPr>
              <w:t xml:space="preserve">Total amount for all reportable segments </w:t>
            </w:r>
          </w:p>
        </w:tc>
        <w:tc>
          <w:tcPr>
            <w:tcW w:w="1020" w:type="dxa"/>
            <w:tcBorders>
              <w:bottom w:val="single" w:sz="4" w:space="0" w:color="000000"/>
            </w:tcBorders>
          </w:tcPr>
          <w:p w14:paraId="4C438B8A" w14:textId="77777777" w:rsidR="00706FCB" w:rsidRDefault="00706FCB" w:rsidP="007A052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1]</w:t>
            </w:r>
          </w:p>
        </w:tc>
        <w:tc>
          <w:tcPr>
            <w:tcW w:w="1020" w:type="dxa"/>
            <w:tcBorders>
              <w:bottom w:val="single" w:sz="4" w:space="0" w:color="000000"/>
            </w:tcBorders>
          </w:tcPr>
          <w:p w14:paraId="564D1A74" w14:textId="77777777" w:rsidR="00706FCB" w:rsidRDefault="00706FCB" w:rsidP="007A052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2]</w:t>
            </w:r>
          </w:p>
        </w:tc>
        <w:tc>
          <w:tcPr>
            <w:tcW w:w="1020" w:type="dxa"/>
            <w:tcBorders>
              <w:bottom w:val="single" w:sz="4" w:space="0" w:color="000000"/>
            </w:tcBorders>
          </w:tcPr>
          <w:p w14:paraId="66FCAE81" w14:textId="77777777" w:rsidR="00706FCB" w:rsidRDefault="00706FCB" w:rsidP="007A052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3]</w:t>
            </w:r>
          </w:p>
        </w:tc>
        <w:tc>
          <w:tcPr>
            <w:tcW w:w="1020" w:type="dxa"/>
            <w:tcBorders>
              <w:bottom w:val="single" w:sz="4" w:space="0" w:color="000000"/>
            </w:tcBorders>
          </w:tcPr>
          <w:p w14:paraId="06BF66F4" w14:textId="77777777" w:rsidR="00706FCB" w:rsidRDefault="00706FCB" w:rsidP="007A0528">
            <w:pPr>
              <w:widowControl w:val="0"/>
              <w:pBdr>
                <w:top w:val="nil"/>
                <w:left w:val="nil"/>
                <w:bottom w:val="nil"/>
                <w:right w:val="nil"/>
                <w:between w:val="nil"/>
              </w:pBdr>
              <w:ind w:left="-113"/>
              <w:jc w:val="right"/>
              <w:rPr>
                <w:b/>
                <w:color w:val="0000FF"/>
              </w:rPr>
            </w:pPr>
            <w:r>
              <w:rPr>
                <w:b/>
                <w:color w:val="0000FF"/>
              </w:rPr>
              <w:t>[Total for adjustments]</w:t>
            </w:r>
          </w:p>
        </w:tc>
        <w:tc>
          <w:tcPr>
            <w:tcW w:w="1134" w:type="dxa"/>
            <w:tcBorders>
              <w:bottom w:val="single" w:sz="4" w:space="0" w:color="000000"/>
            </w:tcBorders>
          </w:tcPr>
          <w:p w14:paraId="77DD5B2E" w14:textId="77777777" w:rsidR="00706FCB" w:rsidRDefault="00706FCB" w:rsidP="007A0528">
            <w:pPr>
              <w:widowControl w:val="0"/>
              <w:pBdr>
                <w:top w:val="nil"/>
                <w:left w:val="nil"/>
                <w:bottom w:val="nil"/>
                <w:right w:val="nil"/>
                <w:between w:val="nil"/>
              </w:pBdr>
              <w:ind w:left="-113"/>
              <w:jc w:val="right"/>
              <w:rPr>
                <w:b/>
                <w:color w:val="000000"/>
              </w:rPr>
            </w:pPr>
            <w:r>
              <w:rPr>
                <w:b/>
                <w:color w:val="000000"/>
              </w:rPr>
              <w:t>As reported under IFRS Accounting Standards</w:t>
            </w:r>
          </w:p>
        </w:tc>
      </w:tr>
      <w:tr w:rsidR="00706FCB" w14:paraId="7A50CC0C" w14:textId="77777777" w:rsidTr="007A0528">
        <w:trPr>
          <w:cantSplit/>
          <w:tblHeader/>
        </w:trPr>
        <w:tc>
          <w:tcPr>
            <w:tcW w:w="3005" w:type="dxa"/>
            <w:tcBorders>
              <w:top w:val="single" w:sz="4" w:space="0" w:color="000000"/>
            </w:tcBorders>
            <w:vAlign w:val="bottom"/>
          </w:tcPr>
          <w:p w14:paraId="51E43946" w14:textId="77777777" w:rsidR="00706FCB" w:rsidRDefault="00706FCB" w:rsidP="007A0528">
            <w:pPr>
              <w:widowControl w:val="0"/>
              <w:pBdr>
                <w:top w:val="nil"/>
                <w:left w:val="nil"/>
                <w:bottom w:val="nil"/>
                <w:right w:val="nil"/>
                <w:between w:val="nil"/>
              </w:pBdr>
              <w:ind w:left="113" w:right="-57" w:hanging="113"/>
              <w:rPr>
                <w:color w:val="000000"/>
              </w:rPr>
            </w:pPr>
            <w:r>
              <w:rPr>
                <w:b/>
                <w:color w:val="000000"/>
              </w:rPr>
              <w:t> </w:t>
            </w:r>
          </w:p>
        </w:tc>
        <w:tc>
          <w:tcPr>
            <w:tcW w:w="1134" w:type="dxa"/>
            <w:tcBorders>
              <w:top w:val="single" w:sz="4" w:space="0" w:color="000000"/>
            </w:tcBorders>
            <w:vAlign w:val="bottom"/>
          </w:tcPr>
          <w:p w14:paraId="3B760E98" w14:textId="77777777" w:rsidR="00706FCB" w:rsidRDefault="00706FCB" w:rsidP="007A0528">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3B1AB7BC" w14:textId="77777777" w:rsidR="00706FCB" w:rsidRDefault="00706FCB" w:rsidP="007A0528">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0B076AF6" w14:textId="77777777" w:rsidR="00706FCB" w:rsidRDefault="00706FCB" w:rsidP="007A0528">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369F13AB" w14:textId="77777777" w:rsidR="00706FCB" w:rsidRDefault="00706FCB" w:rsidP="007A0528">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0FC258B9" w14:textId="77777777" w:rsidR="00706FCB" w:rsidRDefault="00706FCB" w:rsidP="007A0528">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DD25D44" w14:textId="77777777" w:rsidR="00706FCB" w:rsidRDefault="00706FCB" w:rsidP="007A0528">
            <w:pPr>
              <w:widowControl w:val="0"/>
              <w:pBdr>
                <w:top w:val="nil"/>
                <w:left w:val="nil"/>
                <w:bottom w:val="nil"/>
                <w:right w:val="nil"/>
                <w:between w:val="nil"/>
              </w:pBdr>
              <w:jc w:val="right"/>
              <w:rPr>
                <w:color w:val="000000"/>
              </w:rPr>
            </w:pPr>
          </w:p>
        </w:tc>
      </w:tr>
      <w:tr w:rsidR="00706FCB" w14:paraId="62DC23A5" w14:textId="77777777" w:rsidTr="007A0528">
        <w:trPr>
          <w:cantSplit/>
          <w:tblHeader/>
        </w:trPr>
        <w:tc>
          <w:tcPr>
            <w:tcW w:w="3005" w:type="dxa"/>
            <w:vAlign w:val="bottom"/>
          </w:tcPr>
          <w:p w14:paraId="08B0DA1B" w14:textId="77777777" w:rsidR="00706FCB" w:rsidRDefault="00706FCB" w:rsidP="007A0528">
            <w:pPr>
              <w:widowControl w:val="0"/>
              <w:pBdr>
                <w:top w:val="nil"/>
                <w:left w:val="nil"/>
                <w:bottom w:val="nil"/>
                <w:right w:val="nil"/>
                <w:between w:val="nil"/>
              </w:pBdr>
              <w:ind w:left="113" w:right="-57" w:hanging="113"/>
              <w:rPr>
                <w:b/>
                <w:color w:val="000000"/>
              </w:rPr>
            </w:pPr>
            <w:r>
              <w:rPr>
                <w:b/>
                <w:color w:val="000000"/>
              </w:rPr>
              <w:t>Material income or expenses for year ended 31 December 2025</w:t>
            </w:r>
          </w:p>
        </w:tc>
        <w:tc>
          <w:tcPr>
            <w:tcW w:w="1134" w:type="dxa"/>
            <w:vAlign w:val="bottom"/>
          </w:tcPr>
          <w:p w14:paraId="03ABE719"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74CD60C7"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606A310"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47AA5E86"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6DF91FFB"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094CD034" w14:textId="77777777" w:rsidR="00706FCB" w:rsidRDefault="00706FCB" w:rsidP="007A0528">
            <w:pPr>
              <w:widowControl w:val="0"/>
              <w:pBdr>
                <w:top w:val="nil"/>
                <w:left w:val="nil"/>
                <w:bottom w:val="nil"/>
                <w:right w:val="nil"/>
                <w:between w:val="nil"/>
              </w:pBdr>
              <w:jc w:val="right"/>
              <w:rPr>
                <w:color w:val="000000"/>
              </w:rPr>
            </w:pPr>
          </w:p>
        </w:tc>
      </w:tr>
      <w:tr w:rsidR="00706FCB" w14:paraId="2E4EEBFF" w14:textId="77777777" w:rsidTr="007A0528">
        <w:trPr>
          <w:cantSplit/>
          <w:tblHeader/>
        </w:trPr>
        <w:tc>
          <w:tcPr>
            <w:tcW w:w="3005" w:type="dxa"/>
            <w:vAlign w:val="bottom"/>
          </w:tcPr>
          <w:p w14:paraId="32505918" w14:textId="77777777" w:rsidR="00706FCB" w:rsidRDefault="00706FCB" w:rsidP="007A0528">
            <w:pPr>
              <w:widowControl w:val="0"/>
              <w:pBdr>
                <w:top w:val="nil"/>
                <w:left w:val="nil"/>
                <w:bottom w:val="nil"/>
                <w:right w:val="nil"/>
                <w:between w:val="nil"/>
              </w:pBdr>
              <w:ind w:left="113" w:right="-57" w:hanging="113"/>
              <w:rPr>
                <w:color w:val="000000"/>
              </w:rPr>
            </w:pPr>
            <w:r>
              <w:rPr>
                <w:b/>
                <w:color w:val="000000"/>
              </w:rPr>
              <w:t> </w:t>
            </w:r>
          </w:p>
        </w:tc>
        <w:tc>
          <w:tcPr>
            <w:tcW w:w="1134" w:type="dxa"/>
            <w:vAlign w:val="bottom"/>
          </w:tcPr>
          <w:p w14:paraId="4F76B3A0"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17D5ED06"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4F2C83D"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70F88374"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8D7FB4B"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60D0335A" w14:textId="77777777" w:rsidR="00706FCB" w:rsidRDefault="00706FCB" w:rsidP="007A0528">
            <w:pPr>
              <w:widowControl w:val="0"/>
              <w:pBdr>
                <w:top w:val="nil"/>
                <w:left w:val="nil"/>
                <w:bottom w:val="nil"/>
                <w:right w:val="nil"/>
                <w:between w:val="nil"/>
              </w:pBdr>
              <w:jc w:val="right"/>
              <w:rPr>
                <w:color w:val="000000"/>
              </w:rPr>
            </w:pPr>
          </w:p>
        </w:tc>
      </w:tr>
      <w:tr w:rsidR="00706FCB" w14:paraId="00805876" w14:textId="77777777" w:rsidTr="007A0528">
        <w:trPr>
          <w:cantSplit/>
          <w:tblHeader/>
        </w:trPr>
        <w:tc>
          <w:tcPr>
            <w:tcW w:w="3005" w:type="dxa"/>
            <w:vAlign w:val="bottom"/>
          </w:tcPr>
          <w:p w14:paraId="24C0697C" w14:textId="77777777" w:rsidR="00706FCB" w:rsidRDefault="00706FCB" w:rsidP="007A0528">
            <w:pPr>
              <w:widowControl w:val="0"/>
              <w:pBdr>
                <w:top w:val="nil"/>
                <w:left w:val="nil"/>
                <w:bottom w:val="nil"/>
                <w:right w:val="nil"/>
                <w:between w:val="nil"/>
              </w:pBdr>
              <w:ind w:left="113" w:right="-57" w:hanging="113"/>
              <w:rPr>
                <w:i/>
                <w:color w:val="000000"/>
              </w:rPr>
            </w:pPr>
            <w:r>
              <w:rPr>
                <w:i/>
                <w:color w:val="000000"/>
              </w:rPr>
              <w:t>External revenues:</w:t>
            </w:r>
          </w:p>
        </w:tc>
        <w:tc>
          <w:tcPr>
            <w:tcW w:w="1134" w:type="dxa"/>
            <w:vAlign w:val="bottom"/>
          </w:tcPr>
          <w:p w14:paraId="049B7758" w14:textId="77777777" w:rsidR="00706FCB" w:rsidRDefault="00706FCB" w:rsidP="007A0528">
            <w:pPr>
              <w:widowControl w:val="0"/>
              <w:pBdr>
                <w:top w:val="nil"/>
                <w:left w:val="nil"/>
                <w:bottom w:val="nil"/>
                <w:right w:val="nil"/>
                <w:between w:val="nil"/>
              </w:pBdr>
              <w:jc w:val="right"/>
              <w:rPr>
                <w:i/>
                <w:color w:val="000000"/>
              </w:rPr>
            </w:pPr>
          </w:p>
        </w:tc>
        <w:tc>
          <w:tcPr>
            <w:tcW w:w="1020" w:type="dxa"/>
            <w:vAlign w:val="bottom"/>
          </w:tcPr>
          <w:p w14:paraId="5B3E0E69" w14:textId="77777777" w:rsidR="00706FCB" w:rsidRDefault="00706FCB" w:rsidP="007A0528">
            <w:pPr>
              <w:widowControl w:val="0"/>
              <w:pBdr>
                <w:top w:val="nil"/>
                <w:left w:val="nil"/>
                <w:bottom w:val="nil"/>
                <w:right w:val="nil"/>
                <w:between w:val="nil"/>
              </w:pBdr>
              <w:jc w:val="right"/>
              <w:rPr>
                <w:i/>
                <w:color w:val="000000"/>
              </w:rPr>
            </w:pPr>
          </w:p>
        </w:tc>
        <w:tc>
          <w:tcPr>
            <w:tcW w:w="1020" w:type="dxa"/>
            <w:vAlign w:val="bottom"/>
          </w:tcPr>
          <w:p w14:paraId="76BBA8C2" w14:textId="77777777" w:rsidR="00706FCB" w:rsidRDefault="00706FCB" w:rsidP="007A0528">
            <w:pPr>
              <w:widowControl w:val="0"/>
              <w:pBdr>
                <w:top w:val="nil"/>
                <w:left w:val="nil"/>
                <w:bottom w:val="nil"/>
                <w:right w:val="nil"/>
                <w:between w:val="nil"/>
              </w:pBdr>
              <w:jc w:val="right"/>
              <w:rPr>
                <w:i/>
                <w:color w:val="000000"/>
              </w:rPr>
            </w:pPr>
          </w:p>
        </w:tc>
        <w:tc>
          <w:tcPr>
            <w:tcW w:w="1020" w:type="dxa"/>
            <w:vAlign w:val="bottom"/>
          </w:tcPr>
          <w:p w14:paraId="184619C8" w14:textId="77777777" w:rsidR="00706FCB" w:rsidRDefault="00706FCB" w:rsidP="007A0528">
            <w:pPr>
              <w:widowControl w:val="0"/>
              <w:pBdr>
                <w:top w:val="nil"/>
                <w:left w:val="nil"/>
                <w:bottom w:val="nil"/>
                <w:right w:val="nil"/>
                <w:between w:val="nil"/>
              </w:pBdr>
              <w:jc w:val="right"/>
              <w:rPr>
                <w:i/>
                <w:color w:val="000000"/>
              </w:rPr>
            </w:pPr>
          </w:p>
        </w:tc>
        <w:tc>
          <w:tcPr>
            <w:tcW w:w="1020" w:type="dxa"/>
            <w:vAlign w:val="bottom"/>
          </w:tcPr>
          <w:p w14:paraId="5457D882" w14:textId="77777777" w:rsidR="00706FCB" w:rsidRDefault="00706FCB" w:rsidP="007A0528">
            <w:pPr>
              <w:widowControl w:val="0"/>
              <w:pBdr>
                <w:top w:val="nil"/>
                <w:left w:val="nil"/>
                <w:bottom w:val="nil"/>
                <w:right w:val="nil"/>
                <w:between w:val="nil"/>
              </w:pBdr>
              <w:jc w:val="right"/>
              <w:rPr>
                <w:i/>
                <w:color w:val="000000"/>
              </w:rPr>
            </w:pPr>
          </w:p>
        </w:tc>
        <w:tc>
          <w:tcPr>
            <w:tcW w:w="1134" w:type="dxa"/>
            <w:vAlign w:val="bottom"/>
          </w:tcPr>
          <w:p w14:paraId="4919DEAC" w14:textId="77777777" w:rsidR="00706FCB" w:rsidRDefault="00706FCB" w:rsidP="007A0528">
            <w:pPr>
              <w:widowControl w:val="0"/>
              <w:pBdr>
                <w:top w:val="nil"/>
                <w:left w:val="nil"/>
                <w:bottom w:val="nil"/>
                <w:right w:val="nil"/>
                <w:between w:val="nil"/>
              </w:pBdr>
              <w:jc w:val="right"/>
              <w:rPr>
                <w:i/>
                <w:color w:val="000000"/>
              </w:rPr>
            </w:pPr>
          </w:p>
        </w:tc>
      </w:tr>
      <w:tr w:rsidR="00706FCB" w14:paraId="46D73E75" w14:textId="77777777" w:rsidTr="007A0528">
        <w:trPr>
          <w:cantSplit/>
          <w:tblHeader/>
        </w:trPr>
        <w:tc>
          <w:tcPr>
            <w:tcW w:w="3005" w:type="dxa"/>
            <w:vAlign w:val="bottom"/>
          </w:tcPr>
          <w:p w14:paraId="56CE5087" w14:textId="77777777" w:rsidR="00706FCB" w:rsidRDefault="00706FCB" w:rsidP="007A0528">
            <w:pPr>
              <w:widowControl w:val="0"/>
              <w:pBdr>
                <w:top w:val="nil"/>
                <w:left w:val="nil"/>
                <w:bottom w:val="nil"/>
                <w:right w:val="nil"/>
                <w:between w:val="nil"/>
              </w:pBdr>
              <w:ind w:left="113" w:right="-57" w:hanging="113"/>
              <w:rPr>
                <w:color w:val="000000"/>
              </w:rPr>
            </w:pPr>
            <w:r>
              <w:rPr>
                <w:color w:val="000000"/>
              </w:rPr>
              <w:t>- Revenues from core activities</w:t>
            </w:r>
          </w:p>
        </w:tc>
        <w:tc>
          <w:tcPr>
            <w:tcW w:w="1134" w:type="dxa"/>
            <w:vAlign w:val="bottom"/>
          </w:tcPr>
          <w:p w14:paraId="43F42495"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82C4FC2"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26FC80F9"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3FEC8C7A"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70D5EAC0"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599BBE0F" w14:textId="77777777" w:rsidR="00706FCB" w:rsidRDefault="00706FCB" w:rsidP="007A0528">
            <w:pPr>
              <w:widowControl w:val="0"/>
              <w:pBdr>
                <w:top w:val="nil"/>
                <w:left w:val="nil"/>
                <w:bottom w:val="nil"/>
                <w:right w:val="nil"/>
                <w:between w:val="nil"/>
              </w:pBdr>
              <w:jc w:val="right"/>
              <w:rPr>
                <w:color w:val="000000"/>
              </w:rPr>
            </w:pPr>
          </w:p>
        </w:tc>
      </w:tr>
      <w:tr w:rsidR="00706FCB" w14:paraId="6B6B4DDC" w14:textId="77777777" w:rsidTr="007A0528">
        <w:trPr>
          <w:cantSplit/>
          <w:tblHeader/>
        </w:trPr>
        <w:tc>
          <w:tcPr>
            <w:tcW w:w="3005" w:type="dxa"/>
            <w:vAlign w:val="bottom"/>
          </w:tcPr>
          <w:p w14:paraId="4A83F5C1" w14:textId="77777777" w:rsidR="00706FCB" w:rsidRDefault="00706FCB" w:rsidP="007A0528">
            <w:pPr>
              <w:widowControl w:val="0"/>
              <w:pBdr>
                <w:top w:val="nil"/>
                <w:left w:val="nil"/>
                <w:bottom w:val="nil"/>
                <w:right w:val="nil"/>
                <w:between w:val="nil"/>
              </w:pBdr>
              <w:ind w:left="113" w:right="-57" w:hanging="113"/>
              <w:rPr>
                <w:color w:val="000000"/>
              </w:rPr>
            </w:pPr>
            <w:r>
              <w:rPr>
                <w:color w:val="000000"/>
              </w:rPr>
              <w:t>- Interest income</w:t>
            </w:r>
          </w:p>
        </w:tc>
        <w:tc>
          <w:tcPr>
            <w:tcW w:w="1134" w:type="dxa"/>
            <w:vAlign w:val="bottom"/>
          </w:tcPr>
          <w:p w14:paraId="4377D27E"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66D2FC65"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4729999D"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21F6FD98"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1B6B76BB"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04B6947E" w14:textId="77777777" w:rsidR="00706FCB" w:rsidRDefault="00706FCB" w:rsidP="007A0528">
            <w:pPr>
              <w:widowControl w:val="0"/>
              <w:pBdr>
                <w:top w:val="nil"/>
                <w:left w:val="nil"/>
                <w:bottom w:val="nil"/>
                <w:right w:val="nil"/>
                <w:between w:val="nil"/>
              </w:pBdr>
              <w:jc w:val="right"/>
              <w:rPr>
                <w:color w:val="000000"/>
              </w:rPr>
            </w:pPr>
          </w:p>
        </w:tc>
      </w:tr>
      <w:tr w:rsidR="00706FCB" w14:paraId="561CF4B6" w14:textId="77777777" w:rsidTr="007A0528">
        <w:trPr>
          <w:cantSplit/>
          <w:tblHeader/>
        </w:trPr>
        <w:tc>
          <w:tcPr>
            <w:tcW w:w="3005" w:type="dxa"/>
            <w:vAlign w:val="bottom"/>
          </w:tcPr>
          <w:p w14:paraId="0E96D195" w14:textId="77777777" w:rsidR="00706FCB" w:rsidRDefault="00706FCB" w:rsidP="007A0528">
            <w:pPr>
              <w:widowControl w:val="0"/>
              <w:pBdr>
                <w:top w:val="nil"/>
                <w:left w:val="nil"/>
                <w:bottom w:val="nil"/>
                <w:right w:val="nil"/>
                <w:between w:val="nil"/>
              </w:pBdr>
              <w:ind w:left="113" w:right="-57" w:hanging="113"/>
              <w:rPr>
                <w:color w:val="000000"/>
              </w:rPr>
            </w:pPr>
            <w:r>
              <w:rPr>
                <w:color w:val="000000"/>
              </w:rPr>
              <w:t xml:space="preserve">- Other income </w:t>
            </w:r>
          </w:p>
        </w:tc>
        <w:tc>
          <w:tcPr>
            <w:tcW w:w="1134" w:type="dxa"/>
            <w:vAlign w:val="bottom"/>
          </w:tcPr>
          <w:p w14:paraId="4AF300E4"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67761AC5"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38EDDFA4"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18A97BE2"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390256C2"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29C71929" w14:textId="77777777" w:rsidR="00706FCB" w:rsidRDefault="00706FCB" w:rsidP="007A0528">
            <w:pPr>
              <w:widowControl w:val="0"/>
              <w:pBdr>
                <w:top w:val="nil"/>
                <w:left w:val="nil"/>
                <w:bottom w:val="nil"/>
                <w:right w:val="nil"/>
                <w:between w:val="nil"/>
              </w:pBdr>
              <w:jc w:val="right"/>
              <w:rPr>
                <w:color w:val="000000"/>
              </w:rPr>
            </w:pPr>
          </w:p>
        </w:tc>
      </w:tr>
      <w:tr w:rsidR="00706FCB" w14:paraId="69A937CC" w14:textId="77777777" w:rsidTr="007A0528">
        <w:trPr>
          <w:cantSplit/>
          <w:tblHeader/>
        </w:trPr>
        <w:tc>
          <w:tcPr>
            <w:tcW w:w="3005" w:type="dxa"/>
            <w:vAlign w:val="bottom"/>
          </w:tcPr>
          <w:p w14:paraId="2FE4DA83" w14:textId="7AA16AC3" w:rsidR="00706FCB" w:rsidRDefault="00706FCB" w:rsidP="007A0528">
            <w:pPr>
              <w:widowControl w:val="0"/>
              <w:pBdr>
                <w:top w:val="nil"/>
                <w:left w:val="nil"/>
                <w:bottom w:val="nil"/>
                <w:right w:val="nil"/>
                <w:between w:val="nil"/>
              </w:pBdr>
              <w:ind w:left="113" w:right="-57" w:hanging="113"/>
              <w:rPr>
                <w:color w:val="000000"/>
              </w:rPr>
            </w:pPr>
            <w:r w:rsidRPr="00706FCB">
              <w:rPr>
                <w:color w:val="000000"/>
              </w:rPr>
              <w:t>Cost of sales</w:t>
            </w:r>
          </w:p>
        </w:tc>
        <w:tc>
          <w:tcPr>
            <w:tcW w:w="1134" w:type="dxa"/>
            <w:vAlign w:val="bottom"/>
          </w:tcPr>
          <w:p w14:paraId="799F98BF"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7AB3CA53"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5E65C491"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132D69B"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165FA951"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6EEF33F5" w14:textId="77777777" w:rsidR="00706FCB" w:rsidRDefault="00706FCB" w:rsidP="007A0528">
            <w:pPr>
              <w:widowControl w:val="0"/>
              <w:pBdr>
                <w:top w:val="nil"/>
                <w:left w:val="nil"/>
                <w:bottom w:val="nil"/>
                <w:right w:val="nil"/>
                <w:between w:val="nil"/>
              </w:pBdr>
              <w:jc w:val="right"/>
              <w:rPr>
                <w:color w:val="000000"/>
              </w:rPr>
            </w:pPr>
          </w:p>
        </w:tc>
      </w:tr>
      <w:tr w:rsidR="00706FCB" w14:paraId="7BE5B280" w14:textId="77777777" w:rsidTr="007A0528">
        <w:trPr>
          <w:cantSplit/>
          <w:tblHeader/>
        </w:trPr>
        <w:tc>
          <w:tcPr>
            <w:tcW w:w="3005" w:type="dxa"/>
            <w:vAlign w:val="bottom"/>
          </w:tcPr>
          <w:p w14:paraId="1BCE8406" w14:textId="33B52B7C" w:rsidR="00706FCB" w:rsidRDefault="00566DD2" w:rsidP="007A0528">
            <w:pPr>
              <w:widowControl w:val="0"/>
              <w:pBdr>
                <w:top w:val="nil"/>
                <w:left w:val="nil"/>
                <w:bottom w:val="nil"/>
                <w:right w:val="nil"/>
                <w:between w:val="nil"/>
              </w:pBdr>
              <w:ind w:left="113" w:right="-57" w:hanging="113"/>
              <w:rPr>
                <w:color w:val="000000"/>
              </w:rPr>
            </w:pPr>
            <w:r w:rsidRPr="00566DD2">
              <w:rPr>
                <w:color w:val="000000"/>
              </w:rPr>
              <w:t>Distribution costs</w:t>
            </w:r>
          </w:p>
        </w:tc>
        <w:tc>
          <w:tcPr>
            <w:tcW w:w="1134" w:type="dxa"/>
            <w:vAlign w:val="bottom"/>
          </w:tcPr>
          <w:p w14:paraId="5CAB97C5"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3DEA463F"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5F95A505"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AE88B42"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16331FAC"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4252C1E8" w14:textId="77777777" w:rsidR="00706FCB" w:rsidRDefault="00706FCB" w:rsidP="007A0528">
            <w:pPr>
              <w:widowControl w:val="0"/>
              <w:pBdr>
                <w:top w:val="nil"/>
                <w:left w:val="nil"/>
                <w:bottom w:val="nil"/>
                <w:right w:val="nil"/>
                <w:between w:val="nil"/>
              </w:pBdr>
              <w:jc w:val="right"/>
              <w:rPr>
                <w:color w:val="000000"/>
              </w:rPr>
            </w:pPr>
          </w:p>
        </w:tc>
      </w:tr>
      <w:tr w:rsidR="00706FCB" w14:paraId="0AD47088" w14:textId="77777777" w:rsidTr="007A0528">
        <w:trPr>
          <w:cantSplit/>
          <w:tblHeader/>
        </w:trPr>
        <w:tc>
          <w:tcPr>
            <w:tcW w:w="3005" w:type="dxa"/>
            <w:vAlign w:val="bottom"/>
          </w:tcPr>
          <w:p w14:paraId="35FDD4CF" w14:textId="60774BE6" w:rsidR="00706FCB" w:rsidRDefault="00566DD2" w:rsidP="007A0528">
            <w:pPr>
              <w:widowControl w:val="0"/>
              <w:pBdr>
                <w:top w:val="nil"/>
                <w:left w:val="nil"/>
                <w:bottom w:val="nil"/>
                <w:right w:val="nil"/>
                <w:between w:val="nil"/>
              </w:pBdr>
              <w:ind w:left="113" w:right="-57" w:hanging="113"/>
              <w:rPr>
                <w:color w:val="000000"/>
              </w:rPr>
            </w:pPr>
            <w:r w:rsidRPr="00566DD2">
              <w:rPr>
                <w:color w:val="000000"/>
              </w:rPr>
              <w:t>General and administrative expenses</w:t>
            </w:r>
          </w:p>
        </w:tc>
        <w:tc>
          <w:tcPr>
            <w:tcW w:w="1134" w:type="dxa"/>
            <w:vAlign w:val="bottom"/>
          </w:tcPr>
          <w:p w14:paraId="65D9C9DC"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6F21F3C1"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4913677"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51E336BD"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14B7E3C1"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6DA91696" w14:textId="77777777" w:rsidR="00706FCB" w:rsidRDefault="00706FCB" w:rsidP="007A0528">
            <w:pPr>
              <w:widowControl w:val="0"/>
              <w:pBdr>
                <w:top w:val="nil"/>
                <w:left w:val="nil"/>
                <w:bottom w:val="nil"/>
                <w:right w:val="nil"/>
                <w:between w:val="nil"/>
              </w:pBdr>
              <w:jc w:val="right"/>
              <w:rPr>
                <w:color w:val="000000"/>
              </w:rPr>
            </w:pPr>
          </w:p>
        </w:tc>
      </w:tr>
      <w:tr w:rsidR="00706FCB" w14:paraId="3DF45E41" w14:textId="77777777" w:rsidTr="007A0528">
        <w:trPr>
          <w:cantSplit/>
          <w:tblHeader/>
        </w:trPr>
        <w:tc>
          <w:tcPr>
            <w:tcW w:w="3005" w:type="dxa"/>
            <w:vAlign w:val="bottom"/>
          </w:tcPr>
          <w:p w14:paraId="12EDC496" w14:textId="5B7624A0" w:rsidR="00706FCB" w:rsidRDefault="00566DD2" w:rsidP="007A0528">
            <w:pPr>
              <w:widowControl w:val="0"/>
              <w:pBdr>
                <w:top w:val="nil"/>
                <w:left w:val="nil"/>
                <w:bottom w:val="nil"/>
                <w:right w:val="nil"/>
                <w:between w:val="nil"/>
              </w:pBdr>
              <w:ind w:left="113" w:right="-57" w:hanging="113"/>
              <w:rPr>
                <w:color w:val="000000"/>
              </w:rPr>
            </w:pPr>
            <w:r w:rsidRPr="00566DD2">
              <w:rPr>
                <w:color w:val="000000"/>
              </w:rPr>
              <w:t>Research and development costs</w:t>
            </w:r>
          </w:p>
        </w:tc>
        <w:tc>
          <w:tcPr>
            <w:tcW w:w="1134" w:type="dxa"/>
            <w:vAlign w:val="bottom"/>
          </w:tcPr>
          <w:p w14:paraId="469B644A"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526354C1"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47B76334"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61659BBA"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1214269C"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2A19E1B3" w14:textId="77777777" w:rsidR="00706FCB" w:rsidRDefault="00706FCB" w:rsidP="007A0528">
            <w:pPr>
              <w:widowControl w:val="0"/>
              <w:pBdr>
                <w:top w:val="nil"/>
                <w:left w:val="nil"/>
                <w:bottom w:val="nil"/>
                <w:right w:val="nil"/>
                <w:between w:val="nil"/>
              </w:pBdr>
              <w:jc w:val="right"/>
              <w:rPr>
                <w:color w:val="000000"/>
              </w:rPr>
            </w:pPr>
          </w:p>
        </w:tc>
      </w:tr>
      <w:tr w:rsidR="00706FCB" w14:paraId="1816D60C" w14:textId="77777777" w:rsidTr="007A0528">
        <w:trPr>
          <w:cantSplit/>
          <w:tblHeader/>
        </w:trPr>
        <w:tc>
          <w:tcPr>
            <w:tcW w:w="3005" w:type="dxa"/>
            <w:vAlign w:val="bottom"/>
          </w:tcPr>
          <w:p w14:paraId="62D0AF5D" w14:textId="1F2CB177" w:rsidR="00706FCB" w:rsidRDefault="00566DD2" w:rsidP="007A0528">
            <w:pPr>
              <w:widowControl w:val="0"/>
              <w:pBdr>
                <w:top w:val="nil"/>
                <w:left w:val="nil"/>
                <w:bottom w:val="nil"/>
                <w:right w:val="nil"/>
                <w:between w:val="nil"/>
              </w:pBdr>
              <w:ind w:left="113" w:right="-57" w:hanging="113"/>
              <w:rPr>
                <w:color w:val="000000"/>
              </w:rPr>
            </w:pPr>
            <w:r w:rsidRPr="00566DD2">
              <w:rPr>
                <w:color w:val="000000"/>
              </w:rPr>
              <w:t>Net charge for expected credit losses on financial and contract assets</w:t>
            </w:r>
          </w:p>
        </w:tc>
        <w:tc>
          <w:tcPr>
            <w:tcW w:w="1134" w:type="dxa"/>
            <w:vAlign w:val="bottom"/>
          </w:tcPr>
          <w:p w14:paraId="7AE4751F"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296E2D82"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2D4A8D3"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335D5CE7"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1FC1D0E1"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697712BD" w14:textId="77777777" w:rsidR="00706FCB" w:rsidRDefault="00706FCB" w:rsidP="007A0528">
            <w:pPr>
              <w:widowControl w:val="0"/>
              <w:pBdr>
                <w:top w:val="nil"/>
                <w:left w:val="nil"/>
                <w:bottom w:val="nil"/>
                <w:right w:val="nil"/>
                <w:between w:val="nil"/>
              </w:pBdr>
              <w:jc w:val="right"/>
              <w:rPr>
                <w:color w:val="000000"/>
              </w:rPr>
            </w:pPr>
          </w:p>
        </w:tc>
      </w:tr>
      <w:tr w:rsidR="00706FCB" w14:paraId="316185B6" w14:textId="77777777" w:rsidTr="007A0528">
        <w:trPr>
          <w:cantSplit/>
          <w:tblHeader/>
        </w:trPr>
        <w:tc>
          <w:tcPr>
            <w:tcW w:w="3005" w:type="dxa"/>
            <w:vAlign w:val="bottom"/>
          </w:tcPr>
          <w:p w14:paraId="1C9EBF4E" w14:textId="77777777" w:rsidR="00706FCB" w:rsidRDefault="00706FCB" w:rsidP="007A0528">
            <w:pPr>
              <w:widowControl w:val="0"/>
              <w:pBdr>
                <w:top w:val="nil"/>
                <w:left w:val="nil"/>
                <w:bottom w:val="nil"/>
                <w:right w:val="nil"/>
                <w:between w:val="nil"/>
              </w:pBdr>
              <w:ind w:left="113" w:right="-57" w:hanging="113"/>
              <w:rPr>
                <w:color w:val="000000"/>
              </w:rPr>
            </w:pPr>
            <w:r>
              <w:rPr>
                <w:color w:val="000000"/>
              </w:rPr>
              <w:t>Other gains/(losses), net</w:t>
            </w:r>
          </w:p>
        </w:tc>
        <w:tc>
          <w:tcPr>
            <w:tcW w:w="1134" w:type="dxa"/>
            <w:vAlign w:val="bottom"/>
          </w:tcPr>
          <w:p w14:paraId="111DD01B"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3FC55B33"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114880A2"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257B76CF"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C89A045"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16D62BF8" w14:textId="77777777" w:rsidR="00706FCB" w:rsidRDefault="00706FCB" w:rsidP="007A0528">
            <w:pPr>
              <w:widowControl w:val="0"/>
              <w:pBdr>
                <w:top w:val="nil"/>
                <w:left w:val="nil"/>
                <w:bottom w:val="nil"/>
                <w:right w:val="nil"/>
                <w:between w:val="nil"/>
              </w:pBdr>
              <w:jc w:val="right"/>
              <w:rPr>
                <w:color w:val="000000"/>
              </w:rPr>
            </w:pPr>
          </w:p>
        </w:tc>
      </w:tr>
      <w:tr w:rsidR="00706FCB" w14:paraId="63BE7E51" w14:textId="77777777" w:rsidTr="007A0528">
        <w:trPr>
          <w:cantSplit/>
          <w:tblHeader/>
        </w:trPr>
        <w:tc>
          <w:tcPr>
            <w:tcW w:w="3005" w:type="dxa"/>
            <w:vAlign w:val="bottom"/>
          </w:tcPr>
          <w:p w14:paraId="05536EF0" w14:textId="77777777" w:rsidR="00706FCB" w:rsidRDefault="00706FCB" w:rsidP="007A0528">
            <w:pPr>
              <w:widowControl w:val="0"/>
              <w:pBdr>
                <w:top w:val="nil"/>
                <w:left w:val="nil"/>
                <w:bottom w:val="nil"/>
                <w:right w:val="nil"/>
                <w:between w:val="nil"/>
              </w:pBdr>
              <w:ind w:left="113" w:right="-57" w:hanging="113"/>
              <w:rPr>
                <w:color w:val="0000FF"/>
              </w:rPr>
            </w:pPr>
            <w:r>
              <w:rPr>
                <w:color w:val="0000FF"/>
              </w:rPr>
              <w:t>[Material non-cash items other than depreciation and amortisation – expand as appropriate]</w:t>
            </w:r>
          </w:p>
        </w:tc>
        <w:tc>
          <w:tcPr>
            <w:tcW w:w="1134" w:type="dxa"/>
            <w:vAlign w:val="bottom"/>
          </w:tcPr>
          <w:p w14:paraId="6CD39C2A"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0D1AF331"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5DF0630F"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6A15227E"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47D93921"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73717C67" w14:textId="77777777" w:rsidR="00706FCB" w:rsidRDefault="00706FCB" w:rsidP="007A0528">
            <w:pPr>
              <w:widowControl w:val="0"/>
              <w:pBdr>
                <w:top w:val="nil"/>
                <w:left w:val="nil"/>
                <w:bottom w:val="nil"/>
                <w:right w:val="nil"/>
                <w:between w:val="nil"/>
              </w:pBdr>
              <w:jc w:val="right"/>
              <w:rPr>
                <w:color w:val="000000"/>
              </w:rPr>
            </w:pPr>
          </w:p>
        </w:tc>
      </w:tr>
      <w:tr w:rsidR="00706FCB" w14:paraId="548BA910" w14:textId="77777777" w:rsidTr="007A0528">
        <w:trPr>
          <w:cantSplit/>
          <w:tblHeader/>
        </w:trPr>
        <w:tc>
          <w:tcPr>
            <w:tcW w:w="3005" w:type="dxa"/>
            <w:vAlign w:val="bottom"/>
          </w:tcPr>
          <w:p w14:paraId="1E00CFDB" w14:textId="77777777" w:rsidR="00706FCB" w:rsidRDefault="00706FCB" w:rsidP="007A0528">
            <w:pPr>
              <w:widowControl w:val="0"/>
              <w:pBdr>
                <w:top w:val="nil"/>
                <w:left w:val="nil"/>
                <w:bottom w:val="nil"/>
                <w:right w:val="nil"/>
                <w:between w:val="nil"/>
              </w:pBdr>
              <w:ind w:left="113" w:right="-57" w:hanging="113"/>
              <w:rPr>
                <w:color w:val="0000FF"/>
              </w:rPr>
            </w:pPr>
            <w:r>
              <w:rPr>
                <w:color w:val="0000FF"/>
              </w:rPr>
              <w:t>[Other material items of expenses – expand as appropriate]</w:t>
            </w:r>
          </w:p>
        </w:tc>
        <w:tc>
          <w:tcPr>
            <w:tcW w:w="1134" w:type="dxa"/>
            <w:vAlign w:val="bottom"/>
          </w:tcPr>
          <w:p w14:paraId="2032C3A7"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56888EE5"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4FDECDFE"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31916B35" w14:textId="77777777" w:rsidR="00706FCB" w:rsidRDefault="00706FCB" w:rsidP="007A0528">
            <w:pPr>
              <w:widowControl w:val="0"/>
              <w:pBdr>
                <w:top w:val="nil"/>
                <w:left w:val="nil"/>
                <w:bottom w:val="nil"/>
                <w:right w:val="nil"/>
                <w:between w:val="nil"/>
              </w:pBdr>
              <w:jc w:val="right"/>
              <w:rPr>
                <w:color w:val="000000"/>
              </w:rPr>
            </w:pPr>
          </w:p>
        </w:tc>
        <w:tc>
          <w:tcPr>
            <w:tcW w:w="1020" w:type="dxa"/>
            <w:vAlign w:val="bottom"/>
          </w:tcPr>
          <w:p w14:paraId="32CA933E" w14:textId="77777777" w:rsidR="00706FCB" w:rsidRDefault="00706FCB" w:rsidP="007A0528">
            <w:pPr>
              <w:widowControl w:val="0"/>
              <w:pBdr>
                <w:top w:val="nil"/>
                <w:left w:val="nil"/>
                <w:bottom w:val="nil"/>
                <w:right w:val="nil"/>
                <w:between w:val="nil"/>
              </w:pBdr>
              <w:jc w:val="right"/>
              <w:rPr>
                <w:color w:val="000000"/>
              </w:rPr>
            </w:pPr>
          </w:p>
        </w:tc>
        <w:tc>
          <w:tcPr>
            <w:tcW w:w="1134" w:type="dxa"/>
            <w:vAlign w:val="bottom"/>
          </w:tcPr>
          <w:p w14:paraId="207F73D6" w14:textId="77777777" w:rsidR="00706FCB" w:rsidRDefault="00706FCB" w:rsidP="007A0528">
            <w:pPr>
              <w:widowControl w:val="0"/>
              <w:pBdr>
                <w:top w:val="nil"/>
                <w:left w:val="nil"/>
                <w:bottom w:val="nil"/>
                <w:right w:val="nil"/>
                <w:between w:val="nil"/>
              </w:pBdr>
              <w:jc w:val="right"/>
              <w:rPr>
                <w:color w:val="000000"/>
              </w:rPr>
            </w:pPr>
          </w:p>
        </w:tc>
      </w:tr>
      <w:tr w:rsidR="00706FCB" w14:paraId="034ACBD0" w14:textId="77777777" w:rsidTr="007A0528">
        <w:trPr>
          <w:cantSplit/>
          <w:tblHeader/>
        </w:trPr>
        <w:tc>
          <w:tcPr>
            <w:tcW w:w="3005" w:type="dxa"/>
            <w:tcBorders>
              <w:bottom w:val="single" w:sz="12" w:space="0" w:color="000000"/>
            </w:tcBorders>
            <w:vAlign w:val="bottom"/>
          </w:tcPr>
          <w:p w14:paraId="0CE1C03B" w14:textId="77777777" w:rsidR="00706FCB" w:rsidRDefault="00706FCB" w:rsidP="007A0528">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4B983CBF" w14:textId="77777777" w:rsidR="00706FCB" w:rsidRDefault="00706FCB" w:rsidP="007A0528">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2A5F56C3" w14:textId="77777777" w:rsidR="00706FCB" w:rsidRDefault="00706FCB" w:rsidP="007A0528">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2690357B" w14:textId="77777777" w:rsidR="00706FCB" w:rsidRDefault="00706FCB" w:rsidP="007A0528">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056083D5" w14:textId="77777777" w:rsidR="00706FCB" w:rsidRDefault="00706FCB" w:rsidP="007A0528">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62AE352E" w14:textId="77777777" w:rsidR="00706FCB" w:rsidRDefault="00706FCB" w:rsidP="007A0528">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03B0565" w14:textId="77777777" w:rsidR="00706FCB" w:rsidRDefault="00706FCB" w:rsidP="007A0528">
            <w:pPr>
              <w:widowControl w:val="0"/>
              <w:pBdr>
                <w:top w:val="nil"/>
                <w:left w:val="nil"/>
                <w:bottom w:val="nil"/>
                <w:right w:val="nil"/>
                <w:between w:val="nil"/>
              </w:pBdr>
              <w:jc w:val="right"/>
              <w:rPr>
                <w:color w:val="000000"/>
              </w:rPr>
            </w:pPr>
          </w:p>
        </w:tc>
      </w:tr>
    </w:tbl>
    <w:p w14:paraId="4E823B73" w14:textId="77777777" w:rsidR="00706FCB" w:rsidRDefault="00706FCB">
      <w:pPr>
        <w:widowControl w:val="0"/>
        <w:pBdr>
          <w:top w:val="nil"/>
          <w:left w:val="nil"/>
          <w:bottom w:val="nil"/>
          <w:right w:val="nil"/>
          <w:between w:val="nil"/>
        </w:pBdr>
        <w:spacing w:before="200" w:after="200"/>
        <w:jc w:val="both"/>
        <w:rPr>
          <w:color w:val="000000"/>
          <w:sz w:val="20"/>
          <w:szCs w:val="20"/>
        </w:rPr>
      </w:pPr>
    </w:p>
    <w:p w14:paraId="66B6E509" w14:textId="77777777" w:rsidR="00706FCB" w:rsidRDefault="00706FCB">
      <w:pPr>
        <w:widowControl w:val="0"/>
        <w:pBdr>
          <w:top w:val="nil"/>
          <w:left w:val="nil"/>
          <w:bottom w:val="nil"/>
          <w:right w:val="nil"/>
          <w:between w:val="nil"/>
        </w:pBdr>
        <w:spacing w:before="200" w:after="200"/>
        <w:jc w:val="both"/>
        <w:rPr>
          <w:color w:val="000000"/>
          <w:sz w:val="20"/>
          <w:szCs w:val="20"/>
        </w:rPr>
      </w:pPr>
    </w:p>
    <w:p w14:paraId="1BB0B22B" w14:textId="77777777" w:rsidR="00CE62BB" w:rsidRDefault="00CE62BB">
      <w:pPr>
        <w:widowControl w:val="0"/>
        <w:pBdr>
          <w:top w:val="nil"/>
          <w:left w:val="nil"/>
          <w:bottom w:val="nil"/>
          <w:right w:val="nil"/>
          <w:between w:val="nil"/>
        </w:pBdr>
        <w:spacing w:before="200" w:after="200"/>
        <w:jc w:val="both"/>
        <w:rPr>
          <w:color w:val="000000"/>
          <w:sz w:val="20"/>
          <w:szCs w:val="20"/>
        </w:rPr>
      </w:pPr>
    </w:p>
    <w:p w14:paraId="413A63AD" w14:textId="77777777" w:rsidR="00706FCB" w:rsidRDefault="00706FCB">
      <w:pPr>
        <w:widowControl w:val="0"/>
        <w:pBdr>
          <w:top w:val="nil"/>
          <w:left w:val="nil"/>
          <w:bottom w:val="nil"/>
          <w:right w:val="nil"/>
          <w:between w:val="nil"/>
        </w:pBdr>
        <w:spacing w:before="200" w:after="200"/>
        <w:jc w:val="both"/>
        <w:rPr>
          <w:color w:val="000000"/>
          <w:sz w:val="20"/>
          <w:szCs w:val="20"/>
        </w:rPr>
      </w:pPr>
    </w:p>
    <w:p w14:paraId="00ED6A64" w14:textId="77777777" w:rsidR="00CE62BB" w:rsidRDefault="00CE62BB">
      <w:pPr>
        <w:widowControl w:val="0"/>
        <w:pBdr>
          <w:top w:val="nil"/>
          <w:left w:val="nil"/>
          <w:bottom w:val="nil"/>
          <w:right w:val="nil"/>
          <w:between w:val="nil"/>
        </w:pBdr>
        <w:spacing w:before="200" w:after="200"/>
        <w:jc w:val="both"/>
        <w:rPr>
          <w:color w:val="000000"/>
          <w:sz w:val="20"/>
          <w:szCs w:val="20"/>
        </w:rPr>
      </w:pPr>
    </w:p>
    <w:p w14:paraId="40220601" w14:textId="77777777" w:rsidR="00622667" w:rsidRDefault="00622667" w:rsidP="00622667">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4FEE6189" w14:textId="19F49FDC" w:rsidR="00B63D4E" w:rsidRPr="00646553" w:rsidRDefault="00B63D4E" w:rsidP="00B63D4E">
      <w:pPr>
        <w:widowControl w:val="0"/>
        <w:pBdr>
          <w:top w:val="nil"/>
          <w:left w:val="nil"/>
          <w:bottom w:val="nil"/>
          <w:right w:val="nil"/>
          <w:between w:val="nil"/>
        </w:pBdr>
        <w:spacing w:before="200" w:after="200"/>
        <w:jc w:val="both"/>
        <w:rPr>
          <w:i/>
          <w:iCs/>
          <w:color w:val="FF0000"/>
          <w:sz w:val="20"/>
          <w:szCs w:val="20"/>
        </w:rPr>
      </w:pPr>
    </w:p>
    <w:tbl>
      <w:tblPr>
        <w:tblStyle w:val="af"/>
        <w:tblW w:w="9353" w:type="dxa"/>
        <w:tblLayout w:type="fixed"/>
        <w:tblLook w:val="0000" w:firstRow="0" w:lastRow="0" w:firstColumn="0" w:lastColumn="0" w:noHBand="0" w:noVBand="0"/>
      </w:tblPr>
      <w:tblGrid>
        <w:gridCol w:w="3005"/>
        <w:gridCol w:w="1134"/>
        <w:gridCol w:w="1020"/>
        <w:gridCol w:w="1020"/>
        <w:gridCol w:w="1020"/>
        <w:gridCol w:w="1020"/>
        <w:gridCol w:w="1134"/>
      </w:tblGrid>
      <w:tr w:rsidR="00021E57" w:rsidRPr="00021E57" w14:paraId="216F93CC" w14:textId="77777777">
        <w:trPr>
          <w:cantSplit/>
          <w:tblHeader/>
        </w:trPr>
        <w:tc>
          <w:tcPr>
            <w:tcW w:w="3005" w:type="dxa"/>
            <w:tcBorders>
              <w:bottom w:val="single" w:sz="4" w:space="0" w:color="000000"/>
            </w:tcBorders>
            <w:vAlign w:val="bottom"/>
          </w:tcPr>
          <w:p w14:paraId="0C7617CE" w14:textId="77777777" w:rsidR="008E5DE4" w:rsidRPr="00150BDF" w:rsidRDefault="00780368">
            <w:pPr>
              <w:widowControl w:val="0"/>
              <w:pBdr>
                <w:top w:val="nil"/>
                <w:left w:val="nil"/>
                <w:bottom w:val="nil"/>
                <w:right w:val="nil"/>
                <w:between w:val="nil"/>
              </w:pBdr>
              <w:ind w:left="113" w:right="-57" w:hanging="113"/>
              <w:rPr>
                <w:i/>
                <w:color w:val="0000FF"/>
              </w:rPr>
            </w:pPr>
            <w:r w:rsidRPr="00150BDF">
              <w:rPr>
                <w:i/>
                <w:color w:val="0000FF"/>
              </w:rPr>
              <w:t>In thousands of EUR</w:t>
            </w:r>
          </w:p>
        </w:tc>
        <w:tc>
          <w:tcPr>
            <w:tcW w:w="1134" w:type="dxa"/>
            <w:tcBorders>
              <w:bottom w:val="single" w:sz="4" w:space="0" w:color="000000"/>
            </w:tcBorders>
          </w:tcPr>
          <w:p w14:paraId="297BFC39" w14:textId="77777777" w:rsidR="008E5DE4" w:rsidRPr="00150BDF" w:rsidRDefault="00780368">
            <w:pPr>
              <w:widowControl w:val="0"/>
              <w:pBdr>
                <w:top w:val="nil"/>
                <w:left w:val="nil"/>
                <w:bottom w:val="nil"/>
                <w:right w:val="nil"/>
                <w:between w:val="nil"/>
              </w:pBdr>
              <w:ind w:left="-113"/>
              <w:jc w:val="right"/>
              <w:rPr>
                <w:b/>
                <w:color w:val="0000FF"/>
              </w:rPr>
            </w:pPr>
            <w:r w:rsidRPr="00150BDF">
              <w:rPr>
                <w:b/>
                <w:color w:val="0000FF"/>
              </w:rPr>
              <w:t xml:space="preserve">Total amount for all reportable segments </w:t>
            </w:r>
          </w:p>
        </w:tc>
        <w:tc>
          <w:tcPr>
            <w:tcW w:w="1020" w:type="dxa"/>
            <w:tcBorders>
              <w:bottom w:val="single" w:sz="4" w:space="0" w:color="000000"/>
            </w:tcBorders>
          </w:tcPr>
          <w:p w14:paraId="1487EE00" w14:textId="77777777" w:rsidR="008E5DE4" w:rsidRPr="00021E57" w:rsidRDefault="00780368">
            <w:pPr>
              <w:widowControl w:val="0"/>
              <w:pBdr>
                <w:top w:val="nil"/>
                <w:left w:val="nil"/>
                <w:bottom w:val="nil"/>
                <w:right w:val="nil"/>
                <w:between w:val="nil"/>
              </w:pBdr>
              <w:ind w:left="-113"/>
              <w:jc w:val="right"/>
              <w:rPr>
                <w:b/>
                <w:color w:val="0000FF"/>
              </w:rPr>
            </w:pPr>
            <w:r w:rsidRPr="00021E57">
              <w:rPr>
                <w:b/>
                <w:color w:val="0000FF"/>
              </w:rPr>
              <w:t>[Adjust-</w:t>
            </w:r>
            <w:proofErr w:type="spellStart"/>
            <w:r w:rsidRPr="00021E57">
              <w:rPr>
                <w:b/>
                <w:color w:val="0000FF"/>
              </w:rPr>
              <w:t>ment</w:t>
            </w:r>
            <w:proofErr w:type="spellEnd"/>
            <w:r w:rsidRPr="00021E57">
              <w:rPr>
                <w:b/>
                <w:color w:val="0000FF"/>
              </w:rPr>
              <w:t xml:space="preserve"> 1]</w:t>
            </w:r>
          </w:p>
        </w:tc>
        <w:tc>
          <w:tcPr>
            <w:tcW w:w="1020" w:type="dxa"/>
            <w:tcBorders>
              <w:bottom w:val="single" w:sz="4" w:space="0" w:color="000000"/>
            </w:tcBorders>
          </w:tcPr>
          <w:p w14:paraId="3DC240EE" w14:textId="77777777" w:rsidR="008E5DE4" w:rsidRPr="00021E57" w:rsidRDefault="00780368">
            <w:pPr>
              <w:widowControl w:val="0"/>
              <w:pBdr>
                <w:top w:val="nil"/>
                <w:left w:val="nil"/>
                <w:bottom w:val="nil"/>
                <w:right w:val="nil"/>
                <w:between w:val="nil"/>
              </w:pBdr>
              <w:ind w:left="-113"/>
              <w:jc w:val="right"/>
              <w:rPr>
                <w:b/>
                <w:color w:val="0000FF"/>
              </w:rPr>
            </w:pPr>
            <w:r w:rsidRPr="00021E57">
              <w:rPr>
                <w:b/>
                <w:color w:val="0000FF"/>
              </w:rPr>
              <w:t>[Adjust-</w:t>
            </w:r>
            <w:proofErr w:type="spellStart"/>
            <w:r w:rsidRPr="00021E57">
              <w:rPr>
                <w:b/>
                <w:color w:val="0000FF"/>
              </w:rPr>
              <w:t>ment</w:t>
            </w:r>
            <w:proofErr w:type="spellEnd"/>
            <w:r w:rsidRPr="00021E57">
              <w:rPr>
                <w:b/>
                <w:color w:val="0000FF"/>
              </w:rPr>
              <w:t xml:space="preserve"> 2]</w:t>
            </w:r>
          </w:p>
        </w:tc>
        <w:tc>
          <w:tcPr>
            <w:tcW w:w="1020" w:type="dxa"/>
            <w:tcBorders>
              <w:bottom w:val="single" w:sz="4" w:space="0" w:color="000000"/>
            </w:tcBorders>
          </w:tcPr>
          <w:p w14:paraId="6041B683" w14:textId="77777777" w:rsidR="008E5DE4" w:rsidRPr="00021E57" w:rsidRDefault="00780368">
            <w:pPr>
              <w:widowControl w:val="0"/>
              <w:pBdr>
                <w:top w:val="nil"/>
                <w:left w:val="nil"/>
                <w:bottom w:val="nil"/>
                <w:right w:val="nil"/>
                <w:between w:val="nil"/>
              </w:pBdr>
              <w:ind w:left="-113"/>
              <w:jc w:val="right"/>
              <w:rPr>
                <w:b/>
                <w:color w:val="0000FF"/>
              </w:rPr>
            </w:pPr>
            <w:r w:rsidRPr="00021E57">
              <w:rPr>
                <w:b/>
                <w:color w:val="0000FF"/>
              </w:rPr>
              <w:t>[Adjust-</w:t>
            </w:r>
            <w:proofErr w:type="spellStart"/>
            <w:r w:rsidRPr="00021E57">
              <w:rPr>
                <w:b/>
                <w:color w:val="0000FF"/>
              </w:rPr>
              <w:t>ment</w:t>
            </w:r>
            <w:proofErr w:type="spellEnd"/>
            <w:r w:rsidRPr="00021E57">
              <w:rPr>
                <w:b/>
                <w:color w:val="0000FF"/>
              </w:rPr>
              <w:t xml:space="preserve"> 3]</w:t>
            </w:r>
          </w:p>
        </w:tc>
        <w:tc>
          <w:tcPr>
            <w:tcW w:w="1020" w:type="dxa"/>
            <w:tcBorders>
              <w:bottom w:val="single" w:sz="4" w:space="0" w:color="000000"/>
            </w:tcBorders>
          </w:tcPr>
          <w:p w14:paraId="5403A771" w14:textId="314BFFBA" w:rsidR="008E5DE4" w:rsidRPr="00021E57" w:rsidRDefault="00780368">
            <w:pPr>
              <w:widowControl w:val="0"/>
              <w:pBdr>
                <w:top w:val="nil"/>
                <w:left w:val="nil"/>
                <w:bottom w:val="nil"/>
                <w:right w:val="nil"/>
                <w:between w:val="nil"/>
              </w:pBdr>
              <w:ind w:left="-113"/>
              <w:jc w:val="right"/>
              <w:rPr>
                <w:b/>
                <w:color w:val="0000FF"/>
              </w:rPr>
            </w:pPr>
            <w:r w:rsidRPr="00021E57">
              <w:rPr>
                <w:b/>
                <w:color w:val="0000FF"/>
              </w:rPr>
              <w:t>[</w:t>
            </w:r>
            <w:r w:rsidR="00435D5B" w:rsidRPr="00021E57">
              <w:rPr>
                <w:b/>
                <w:color w:val="0000FF"/>
              </w:rPr>
              <w:t>Total for adjustments</w:t>
            </w:r>
            <w:r w:rsidRPr="00021E57">
              <w:rPr>
                <w:b/>
                <w:color w:val="0000FF"/>
              </w:rPr>
              <w:t>]</w:t>
            </w:r>
          </w:p>
        </w:tc>
        <w:tc>
          <w:tcPr>
            <w:tcW w:w="1134" w:type="dxa"/>
            <w:tcBorders>
              <w:bottom w:val="single" w:sz="4" w:space="0" w:color="000000"/>
            </w:tcBorders>
          </w:tcPr>
          <w:p w14:paraId="2B3B6A73" w14:textId="77777777" w:rsidR="008E5DE4" w:rsidRPr="00150BDF" w:rsidRDefault="00780368">
            <w:pPr>
              <w:widowControl w:val="0"/>
              <w:pBdr>
                <w:top w:val="nil"/>
                <w:left w:val="nil"/>
                <w:bottom w:val="nil"/>
                <w:right w:val="nil"/>
                <w:between w:val="nil"/>
              </w:pBdr>
              <w:ind w:left="-113"/>
              <w:jc w:val="right"/>
              <w:rPr>
                <w:b/>
                <w:color w:val="0000FF"/>
              </w:rPr>
            </w:pPr>
            <w:r w:rsidRPr="00150BDF">
              <w:rPr>
                <w:b/>
                <w:color w:val="0000FF"/>
              </w:rPr>
              <w:t>As reported under IFRS Accounting Standards</w:t>
            </w:r>
          </w:p>
        </w:tc>
      </w:tr>
      <w:tr w:rsidR="00021E57" w:rsidRPr="00021E57" w14:paraId="1A92A71B" w14:textId="77777777">
        <w:trPr>
          <w:cantSplit/>
          <w:tblHeader/>
        </w:trPr>
        <w:tc>
          <w:tcPr>
            <w:tcW w:w="3005" w:type="dxa"/>
            <w:tcBorders>
              <w:top w:val="single" w:sz="4" w:space="0" w:color="000000"/>
            </w:tcBorders>
            <w:vAlign w:val="bottom"/>
          </w:tcPr>
          <w:p w14:paraId="5085C0AA" w14:textId="77777777" w:rsidR="008E5DE4" w:rsidRPr="00150BDF" w:rsidRDefault="00780368">
            <w:pPr>
              <w:widowControl w:val="0"/>
              <w:pBdr>
                <w:top w:val="nil"/>
                <w:left w:val="nil"/>
                <w:bottom w:val="nil"/>
                <w:right w:val="nil"/>
                <w:between w:val="nil"/>
              </w:pBdr>
              <w:ind w:left="113" w:right="-57" w:hanging="113"/>
              <w:rPr>
                <w:color w:val="0000FF"/>
              </w:rPr>
            </w:pPr>
            <w:r w:rsidRPr="00150BDF">
              <w:rPr>
                <w:b/>
                <w:color w:val="0000FF"/>
              </w:rPr>
              <w:t> </w:t>
            </w:r>
          </w:p>
        </w:tc>
        <w:tc>
          <w:tcPr>
            <w:tcW w:w="1134" w:type="dxa"/>
            <w:tcBorders>
              <w:top w:val="single" w:sz="4" w:space="0" w:color="000000"/>
            </w:tcBorders>
            <w:vAlign w:val="bottom"/>
          </w:tcPr>
          <w:p w14:paraId="363D2581"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top w:val="single" w:sz="4" w:space="0" w:color="000000"/>
            </w:tcBorders>
            <w:vAlign w:val="bottom"/>
          </w:tcPr>
          <w:p w14:paraId="62D4A758"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top w:val="single" w:sz="4" w:space="0" w:color="000000"/>
            </w:tcBorders>
            <w:vAlign w:val="bottom"/>
          </w:tcPr>
          <w:p w14:paraId="1324C0E0"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top w:val="single" w:sz="4" w:space="0" w:color="000000"/>
            </w:tcBorders>
            <w:vAlign w:val="bottom"/>
          </w:tcPr>
          <w:p w14:paraId="0408060E"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top w:val="single" w:sz="4" w:space="0" w:color="000000"/>
            </w:tcBorders>
            <w:vAlign w:val="bottom"/>
          </w:tcPr>
          <w:p w14:paraId="42DCEECC" w14:textId="77777777" w:rsidR="008E5DE4" w:rsidRPr="00150BDF"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30C1EC4A"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7490265E" w14:textId="77777777">
        <w:trPr>
          <w:cantSplit/>
          <w:tblHeader/>
        </w:trPr>
        <w:tc>
          <w:tcPr>
            <w:tcW w:w="3005" w:type="dxa"/>
            <w:vAlign w:val="bottom"/>
          </w:tcPr>
          <w:p w14:paraId="07217095" w14:textId="11E22122" w:rsidR="008E5DE4" w:rsidRPr="00150BDF" w:rsidRDefault="00780368">
            <w:pPr>
              <w:widowControl w:val="0"/>
              <w:pBdr>
                <w:top w:val="nil"/>
                <w:left w:val="nil"/>
                <w:bottom w:val="nil"/>
                <w:right w:val="nil"/>
                <w:between w:val="nil"/>
              </w:pBdr>
              <w:ind w:left="113" w:right="-57" w:hanging="113"/>
              <w:rPr>
                <w:b/>
                <w:color w:val="0000FF"/>
              </w:rPr>
            </w:pPr>
            <w:r w:rsidRPr="00150BDF">
              <w:rPr>
                <w:b/>
                <w:color w:val="0000FF"/>
              </w:rPr>
              <w:t xml:space="preserve">Material income or expenses for year ended 31 December </w:t>
            </w:r>
            <w:r w:rsidR="008614F8" w:rsidRPr="00150BDF">
              <w:rPr>
                <w:b/>
                <w:color w:val="0000FF"/>
              </w:rPr>
              <w:t>2025</w:t>
            </w:r>
          </w:p>
        </w:tc>
        <w:tc>
          <w:tcPr>
            <w:tcW w:w="1134" w:type="dxa"/>
            <w:vAlign w:val="bottom"/>
          </w:tcPr>
          <w:p w14:paraId="28E8B954"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31AA40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012A80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6C61E4B"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98501BC"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4EA03EA5"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776059C0" w14:textId="77777777">
        <w:trPr>
          <w:cantSplit/>
          <w:tblHeader/>
        </w:trPr>
        <w:tc>
          <w:tcPr>
            <w:tcW w:w="3005" w:type="dxa"/>
            <w:vAlign w:val="bottom"/>
          </w:tcPr>
          <w:p w14:paraId="591CC99A" w14:textId="77777777" w:rsidR="008E5DE4" w:rsidRPr="00150BDF" w:rsidRDefault="00780368">
            <w:pPr>
              <w:widowControl w:val="0"/>
              <w:pBdr>
                <w:top w:val="nil"/>
                <w:left w:val="nil"/>
                <w:bottom w:val="nil"/>
                <w:right w:val="nil"/>
                <w:between w:val="nil"/>
              </w:pBdr>
              <w:ind w:left="113" w:right="-57" w:hanging="113"/>
              <w:rPr>
                <w:color w:val="0000FF"/>
              </w:rPr>
            </w:pPr>
            <w:r w:rsidRPr="00150BDF">
              <w:rPr>
                <w:b/>
                <w:color w:val="0000FF"/>
              </w:rPr>
              <w:t> </w:t>
            </w:r>
          </w:p>
        </w:tc>
        <w:tc>
          <w:tcPr>
            <w:tcW w:w="1134" w:type="dxa"/>
            <w:vAlign w:val="bottom"/>
          </w:tcPr>
          <w:p w14:paraId="406EF0B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B145E4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772FCC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1573BEC"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AA2B556"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0F136D9A"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6F5A445D" w14:textId="77777777">
        <w:trPr>
          <w:cantSplit/>
          <w:tblHeader/>
        </w:trPr>
        <w:tc>
          <w:tcPr>
            <w:tcW w:w="3005" w:type="dxa"/>
            <w:vAlign w:val="bottom"/>
          </w:tcPr>
          <w:p w14:paraId="46600C6B" w14:textId="77777777" w:rsidR="008E5DE4" w:rsidRPr="00150BDF" w:rsidRDefault="00780368">
            <w:pPr>
              <w:widowControl w:val="0"/>
              <w:pBdr>
                <w:top w:val="nil"/>
                <w:left w:val="nil"/>
                <w:bottom w:val="nil"/>
                <w:right w:val="nil"/>
                <w:between w:val="nil"/>
              </w:pBdr>
              <w:ind w:left="113" w:right="-57" w:hanging="113"/>
              <w:rPr>
                <w:i/>
                <w:color w:val="0000FF"/>
              </w:rPr>
            </w:pPr>
            <w:r w:rsidRPr="00150BDF">
              <w:rPr>
                <w:i/>
                <w:color w:val="0000FF"/>
              </w:rPr>
              <w:t>External revenues:</w:t>
            </w:r>
          </w:p>
        </w:tc>
        <w:tc>
          <w:tcPr>
            <w:tcW w:w="1134" w:type="dxa"/>
            <w:vAlign w:val="bottom"/>
          </w:tcPr>
          <w:p w14:paraId="6DC92D79" w14:textId="77777777" w:rsidR="008E5DE4" w:rsidRPr="00150BDF" w:rsidRDefault="008E5DE4">
            <w:pPr>
              <w:widowControl w:val="0"/>
              <w:pBdr>
                <w:top w:val="nil"/>
                <w:left w:val="nil"/>
                <w:bottom w:val="nil"/>
                <w:right w:val="nil"/>
                <w:between w:val="nil"/>
              </w:pBdr>
              <w:jc w:val="right"/>
              <w:rPr>
                <w:i/>
                <w:color w:val="0000FF"/>
              </w:rPr>
            </w:pPr>
          </w:p>
        </w:tc>
        <w:tc>
          <w:tcPr>
            <w:tcW w:w="1020" w:type="dxa"/>
            <w:vAlign w:val="bottom"/>
          </w:tcPr>
          <w:p w14:paraId="59E27B88" w14:textId="77777777" w:rsidR="008E5DE4" w:rsidRPr="00150BDF" w:rsidRDefault="008E5DE4">
            <w:pPr>
              <w:widowControl w:val="0"/>
              <w:pBdr>
                <w:top w:val="nil"/>
                <w:left w:val="nil"/>
                <w:bottom w:val="nil"/>
                <w:right w:val="nil"/>
                <w:between w:val="nil"/>
              </w:pBdr>
              <w:jc w:val="right"/>
              <w:rPr>
                <w:i/>
                <w:color w:val="0000FF"/>
              </w:rPr>
            </w:pPr>
          </w:p>
        </w:tc>
        <w:tc>
          <w:tcPr>
            <w:tcW w:w="1020" w:type="dxa"/>
            <w:vAlign w:val="bottom"/>
          </w:tcPr>
          <w:p w14:paraId="60AA04EB" w14:textId="77777777" w:rsidR="008E5DE4" w:rsidRPr="00150BDF" w:rsidRDefault="008E5DE4">
            <w:pPr>
              <w:widowControl w:val="0"/>
              <w:pBdr>
                <w:top w:val="nil"/>
                <w:left w:val="nil"/>
                <w:bottom w:val="nil"/>
                <w:right w:val="nil"/>
                <w:between w:val="nil"/>
              </w:pBdr>
              <w:jc w:val="right"/>
              <w:rPr>
                <w:i/>
                <w:color w:val="0000FF"/>
              </w:rPr>
            </w:pPr>
          </w:p>
        </w:tc>
        <w:tc>
          <w:tcPr>
            <w:tcW w:w="1020" w:type="dxa"/>
            <w:vAlign w:val="bottom"/>
          </w:tcPr>
          <w:p w14:paraId="758B9684" w14:textId="77777777" w:rsidR="008E5DE4" w:rsidRPr="00150BDF" w:rsidRDefault="008E5DE4">
            <w:pPr>
              <w:widowControl w:val="0"/>
              <w:pBdr>
                <w:top w:val="nil"/>
                <w:left w:val="nil"/>
                <w:bottom w:val="nil"/>
                <w:right w:val="nil"/>
                <w:between w:val="nil"/>
              </w:pBdr>
              <w:jc w:val="right"/>
              <w:rPr>
                <w:i/>
                <w:color w:val="0000FF"/>
              </w:rPr>
            </w:pPr>
          </w:p>
        </w:tc>
        <w:tc>
          <w:tcPr>
            <w:tcW w:w="1020" w:type="dxa"/>
            <w:vAlign w:val="bottom"/>
          </w:tcPr>
          <w:p w14:paraId="071A3C6B" w14:textId="77777777" w:rsidR="008E5DE4" w:rsidRPr="00150BDF" w:rsidRDefault="008E5DE4">
            <w:pPr>
              <w:widowControl w:val="0"/>
              <w:pBdr>
                <w:top w:val="nil"/>
                <w:left w:val="nil"/>
                <w:bottom w:val="nil"/>
                <w:right w:val="nil"/>
                <w:between w:val="nil"/>
              </w:pBdr>
              <w:jc w:val="right"/>
              <w:rPr>
                <w:i/>
                <w:color w:val="0000FF"/>
              </w:rPr>
            </w:pPr>
          </w:p>
        </w:tc>
        <w:tc>
          <w:tcPr>
            <w:tcW w:w="1134" w:type="dxa"/>
            <w:vAlign w:val="bottom"/>
          </w:tcPr>
          <w:p w14:paraId="148C8F18" w14:textId="77777777" w:rsidR="008E5DE4" w:rsidRPr="00150BDF" w:rsidRDefault="008E5DE4">
            <w:pPr>
              <w:widowControl w:val="0"/>
              <w:pBdr>
                <w:top w:val="nil"/>
                <w:left w:val="nil"/>
                <w:bottom w:val="nil"/>
                <w:right w:val="nil"/>
                <w:between w:val="nil"/>
              </w:pBdr>
              <w:jc w:val="right"/>
              <w:rPr>
                <w:i/>
                <w:color w:val="0000FF"/>
              </w:rPr>
            </w:pPr>
          </w:p>
        </w:tc>
      </w:tr>
      <w:tr w:rsidR="00021E57" w:rsidRPr="00021E57" w14:paraId="7605A5FA" w14:textId="77777777">
        <w:trPr>
          <w:cantSplit/>
          <w:tblHeader/>
        </w:trPr>
        <w:tc>
          <w:tcPr>
            <w:tcW w:w="3005" w:type="dxa"/>
            <w:vAlign w:val="bottom"/>
          </w:tcPr>
          <w:p w14:paraId="74FD89E9"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Revenues from core activities</w:t>
            </w:r>
          </w:p>
        </w:tc>
        <w:tc>
          <w:tcPr>
            <w:tcW w:w="1134" w:type="dxa"/>
            <w:vAlign w:val="bottom"/>
          </w:tcPr>
          <w:p w14:paraId="3DA09FAA"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61A058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F525AB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56FF0E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27AC65C"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7B188079"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2B5F39E7" w14:textId="77777777">
        <w:trPr>
          <w:cantSplit/>
          <w:tblHeader/>
        </w:trPr>
        <w:tc>
          <w:tcPr>
            <w:tcW w:w="3005" w:type="dxa"/>
            <w:vAlign w:val="bottom"/>
          </w:tcPr>
          <w:p w14:paraId="51BD6A1F"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Interest income</w:t>
            </w:r>
          </w:p>
        </w:tc>
        <w:tc>
          <w:tcPr>
            <w:tcW w:w="1134" w:type="dxa"/>
            <w:vAlign w:val="bottom"/>
          </w:tcPr>
          <w:p w14:paraId="6A9CFC4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3881C6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7B62349"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1748421"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DFDD34F"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1DA05811"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4139DD4B" w14:textId="77777777">
        <w:trPr>
          <w:cantSplit/>
          <w:tblHeader/>
        </w:trPr>
        <w:tc>
          <w:tcPr>
            <w:tcW w:w="3005" w:type="dxa"/>
            <w:vAlign w:val="bottom"/>
          </w:tcPr>
          <w:p w14:paraId="7F3D0F75"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xml:space="preserve">- Other income </w:t>
            </w:r>
          </w:p>
        </w:tc>
        <w:tc>
          <w:tcPr>
            <w:tcW w:w="1134" w:type="dxa"/>
            <w:vAlign w:val="bottom"/>
          </w:tcPr>
          <w:p w14:paraId="6486F2B7"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81A3006"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FB10BFB"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6255FB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2D4FC64"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2FE3622B"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7D87CBBE" w14:textId="77777777">
        <w:trPr>
          <w:cantSplit/>
          <w:tblHeader/>
        </w:trPr>
        <w:tc>
          <w:tcPr>
            <w:tcW w:w="3005" w:type="dxa"/>
            <w:vAlign w:val="bottom"/>
          </w:tcPr>
          <w:p w14:paraId="63EB5FA2"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Changes in inventories of finished goods and work in progress</w:t>
            </w:r>
          </w:p>
        </w:tc>
        <w:tc>
          <w:tcPr>
            <w:tcW w:w="1134" w:type="dxa"/>
            <w:vAlign w:val="bottom"/>
          </w:tcPr>
          <w:p w14:paraId="57C0BE7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856C0C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32F6AD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D218E71"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B627FEE"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3CD2C978"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31695C2B" w14:textId="77777777">
        <w:trPr>
          <w:cantSplit/>
          <w:tblHeader/>
        </w:trPr>
        <w:tc>
          <w:tcPr>
            <w:tcW w:w="3005" w:type="dxa"/>
            <w:vAlign w:val="bottom"/>
          </w:tcPr>
          <w:p w14:paraId="5DA03F58"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Raw materials and consumables used</w:t>
            </w:r>
          </w:p>
        </w:tc>
        <w:tc>
          <w:tcPr>
            <w:tcW w:w="1134" w:type="dxa"/>
            <w:vAlign w:val="bottom"/>
          </w:tcPr>
          <w:p w14:paraId="67AAEE9B"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3908FC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BE83BC6"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74A188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09B1D8E"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29C97A66"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72DB4728" w14:textId="77777777">
        <w:trPr>
          <w:cantSplit/>
          <w:tblHeader/>
        </w:trPr>
        <w:tc>
          <w:tcPr>
            <w:tcW w:w="3005" w:type="dxa"/>
            <w:vAlign w:val="bottom"/>
          </w:tcPr>
          <w:p w14:paraId="3201B18B"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Employee benefits expense</w:t>
            </w:r>
          </w:p>
        </w:tc>
        <w:tc>
          <w:tcPr>
            <w:tcW w:w="1134" w:type="dxa"/>
            <w:vAlign w:val="bottom"/>
          </w:tcPr>
          <w:p w14:paraId="0604E5C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4EF092A"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13F40E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2A919E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C52CFA3"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4FF48691"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2C7580C7" w14:textId="77777777">
        <w:trPr>
          <w:cantSplit/>
          <w:tblHeader/>
        </w:trPr>
        <w:tc>
          <w:tcPr>
            <w:tcW w:w="3005" w:type="dxa"/>
            <w:vAlign w:val="bottom"/>
          </w:tcPr>
          <w:p w14:paraId="6145CB9B"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Depreciation of property, plant and equipment</w:t>
            </w:r>
          </w:p>
        </w:tc>
        <w:tc>
          <w:tcPr>
            <w:tcW w:w="1134" w:type="dxa"/>
            <w:vAlign w:val="bottom"/>
          </w:tcPr>
          <w:p w14:paraId="4DA0DFBC"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FB414C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A8CE158"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9ADAD67"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6E250B7"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033F3F8C"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26765838" w14:textId="77777777">
        <w:trPr>
          <w:cantSplit/>
          <w:tblHeader/>
        </w:trPr>
        <w:tc>
          <w:tcPr>
            <w:tcW w:w="3005" w:type="dxa"/>
            <w:vAlign w:val="bottom"/>
          </w:tcPr>
          <w:p w14:paraId="32DA1E80"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Impairment of property, plant and equipment</w:t>
            </w:r>
          </w:p>
        </w:tc>
        <w:tc>
          <w:tcPr>
            <w:tcW w:w="1134" w:type="dxa"/>
            <w:vAlign w:val="bottom"/>
          </w:tcPr>
          <w:p w14:paraId="74D0D49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A777DC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5209FF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FA4D549"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1975193"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45213836"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6093852D" w14:textId="77777777">
        <w:trPr>
          <w:cantSplit/>
          <w:tblHeader/>
        </w:trPr>
        <w:tc>
          <w:tcPr>
            <w:tcW w:w="3005" w:type="dxa"/>
            <w:vAlign w:val="bottom"/>
          </w:tcPr>
          <w:p w14:paraId="252325B3"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Impairment of goodwill</w:t>
            </w:r>
          </w:p>
        </w:tc>
        <w:tc>
          <w:tcPr>
            <w:tcW w:w="1134" w:type="dxa"/>
            <w:vAlign w:val="bottom"/>
          </w:tcPr>
          <w:p w14:paraId="506A173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108CAD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95A15EA"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0075EE4"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5D0231A"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3CDF60DB"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12CAFE5B" w14:textId="77777777">
        <w:trPr>
          <w:cantSplit/>
          <w:tblHeader/>
        </w:trPr>
        <w:tc>
          <w:tcPr>
            <w:tcW w:w="3005" w:type="dxa"/>
            <w:vAlign w:val="bottom"/>
          </w:tcPr>
          <w:p w14:paraId="16690477"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Net impairment losses on financial and contract assets</w:t>
            </w:r>
          </w:p>
        </w:tc>
        <w:tc>
          <w:tcPr>
            <w:tcW w:w="1134" w:type="dxa"/>
            <w:vAlign w:val="bottom"/>
          </w:tcPr>
          <w:p w14:paraId="55DCF909"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94AA3C4"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F795358"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C7F393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7C23863"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00FA0629"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6D2F5C90" w14:textId="77777777">
        <w:trPr>
          <w:cantSplit/>
          <w:tblHeader/>
        </w:trPr>
        <w:tc>
          <w:tcPr>
            <w:tcW w:w="3005" w:type="dxa"/>
            <w:vAlign w:val="bottom"/>
          </w:tcPr>
          <w:p w14:paraId="108CAA07"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xml:space="preserve">Services </w:t>
            </w:r>
          </w:p>
        </w:tc>
        <w:tc>
          <w:tcPr>
            <w:tcW w:w="1134" w:type="dxa"/>
            <w:vAlign w:val="bottom"/>
          </w:tcPr>
          <w:p w14:paraId="7F6379A9"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63F49E9"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503351A"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7190EE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75D48FA"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40C553DF"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4EDB03D3" w14:textId="77777777">
        <w:trPr>
          <w:cantSplit/>
          <w:tblHeader/>
        </w:trPr>
        <w:tc>
          <w:tcPr>
            <w:tcW w:w="3005" w:type="dxa"/>
            <w:vAlign w:val="bottom"/>
          </w:tcPr>
          <w:p w14:paraId="4CFEF640"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xml:space="preserve">Gain </w:t>
            </w:r>
            <w:r w:rsidRPr="00021E57">
              <w:rPr>
                <w:color w:val="0000FF"/>
              </w:rPr>
              <w:t>[Loss]</w:t>
            </w:r>
            <w:r w:rsidRPr="00150BDF">
              <w:rPr>
                <w:color w:val="0000FF"/>
              </w:rPr>
              <w:t xml:space="preserve"> on sale of a subsidiary</w:t>
            </w:r>
          </w:p>
        </w:tc>
        <w:tc>
          <w:tcPr>
            <w:tcW w:w="1134" w:type="dxa"/>
            <w:vAlign w:val="bottom"/>
          </w:tcPr>
          <w:p w14:paraId="6C39CB7D"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0407D3D"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511465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2C3F50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29D21EE"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112B8D5E"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1F6CC7D1" w14:textId="77777777">
        <w:trPr>
          <w:cantSplit/>
          <w:tblHeader/>
        </w:trPr>
        <w:tc>
          <w:tcPr>
            <w:tcW w:w="3005" w:type="dxa"/>
            <w:vAlign w:val="bottom"/>
          </w:tcPr>
          <w:p w14:paraId="432E83BA"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Gains less losses on disposals of property, plant and equipment</w:t>
            </w:r>
          </w:p>
        </w:tc>
        <w:tc>
          <w:tcPr>
            <w:tcW w:w="1134" w:type="dxa"/>
            <w:vAlign w:val="bottom"/>
          </w:tcPr>
          <w:p w14:paraId="6A805AB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9264BF8"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D3D493A"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32F11A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FC44C57"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08B1934E"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6061E952" w14:textId="77777777">
        <w:trPr>
          <w:cantSplit/>
          <w:tblHeader/>
        </w:trPr>
        <w:tc>
          <w:tcPr>
            <w:tcW w:w="3005" w:type="dxa"/>
            <w:vAlign w:val="bottom"/>
          </w:tcPr>
          <w:p w14:paraId="2B3A6469"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Other gains/(losses), net</w:t>
            </w:r>
          </w:p>
        </w:tc>
        <w:tc>
          <w:tcPr>
            <w:tcW w:w="1134" w:type="dxa"/>
            <w:vAlign w:val="bottom"/>
          </w:tcPr>
          <w:p w14:paraId="7A2ACE8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743298D"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69DEBC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36A035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50DD062"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7DFFFB8A"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7998FB04" w14:textId="77777777">
        <w:trPr>
          <w:cantSplit/>
          <w:tblHeader/>
        </w:trPr>
        <w:tc>
          <w:tcPr>
            <w:tcW w:w="3005" w:type="dxa"/>
            <w:vAlign w:val="bottom"/>
          </w:tcPr>
          <w:p w14:paraId="2740E94C" w14:textId="77777777" w:rsidR="008E5DE4" w:rsidRPr="00021E57" w:rsidRDefault="00780368">
            <w:pPr>
              <w:widowControl w:val="0"/>
              <w:pBdr>
                <w:top w:val="nil"/>
                <w:left w:val="nil"/>
                <w:bottom w:val="nil"/>
                <w:right w:val="nil"/>
                <w:between w:val="nil"/>
              </w:pBdr>
              <w:ind w:left="113" w:right="-57" w:hanging="113"/>
              <w:rPr>
                <w:color w:val="0000FF"/>
              </w:rPr>
            </w:pPr>
            <w:r w:rsidRPr="00021E57">
              <w:rPr>
                <w:color w:val="0000FF"/>
              </w:rPr>
              <w:t>[Material non-cash items other than depreciation and amortisation – expand as appropriate]</w:t>
            </w:r>
          </w:p>
        </w:tc>
        <w:tc>
          <w:tcPr>
            <w:tcW w:w="1134" w:type="dxa"/>
            <w:vAlign w:val="bottom"/>
          </w:tcPr>
          <w:p w14:paraId="0042E1C7"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0DC489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DDA8727"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37FBC69"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66BC86F"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7FF51E51"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02610D0F" w14:textId="77777777">
        <w:trPr>
          <w:cantSplit/>
          <w:tblHeader/>
        </w:trPr>
        <w:tc>
          <w:tcPr>
            <w:tcW w:w="3005" w:type="dxa"/>
            <w:vAlign w:val="bottom"/>
          </w:tcPr>
          <w:p w14:paraId="7CE2B060" w14:textId="77777777" w:rsidR="008E5DE4" w:rsidRPr="00021E57" w:rsidRDefault="00780368">
            <w:pPr>
              <w:widowControl w:val="0"/>
              <w:pBdr>
                <w:top w:val="nil"/>
                <w:left w:val="nil"/>
                <w:bottom w:val="nil"/>
                <w:right w:val="nil"/>
                <w:between w:val="nil"/>
              </w:pBdr>
              <w:ind w:left="113" w:right="-57" w:hanging="113"/>
              <w:rPr>
                <w:color w:val="0000FF"/>
              </w:rPr>
            </w:pPr>
            <w:r w:rsidRPr="00021E57">
              <w:rPr>
                <w:color w:val="0000FF"/>
              </w:rPr>
              <w:t>[Other material items of expenses – expand as appropriate]</w:t>
            </w:r>
          </w:p>
        </w:tc>
        <w:tc>
          <w:tcPr>
            <w:tcW w:w="1134" w:type="dxa"/>
            <w:vAlign w:val="bottom"/>
          </w:tcPr>
          <w:p w14:paraId="1F9550A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E44FC27"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78A2EF1"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B37DE6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95B927E" w14:textId="77777777" w:rsidR="008E5DE4" w:rsidRPr="00150BDF" w:rsidRDefault="008E5DE4">
            <w:pPr>
              <w:widowControl w:val="0"/>
              <w:pBdr>
                <w:top w:val="nil"/>
                <w:left w:val="nil"/>
                <w:bottom w:val="nil"/>
                <w:right w:val="nil"/>
                <w:between w:val="nil"/>
              </w:pBdr>
              <w:jc w:val="right"/>
              <w:rPr>
                <w:color w:val="0000FF"/>
              </w:rPr>
            </w:pPr>
          </w:p>
        </w:tc>
        <w:tc>
          <w:tcPr>
            <w:tcW w:w="1134" w:type="dxa"/>
            <w:vAlign w:val="bottom"/>
          </w:tcPr>
          <w:p w14:paraId="490FE8C1" w14:textId="77777777" w:rsidR="008E5DE4" w:rsidRPr="00150BDF" w:rsidRDefault="008E5DE4">
            <w:pPr>
              <w:widowControl w:val="0"/>
              <w:pBdr>
                <w:top w:val="nil"/>
                <w:left w:val="nil"/>
                <w:bottom w:val="nil"/>
                <w:right w:val="nil"/>
                <w:between w:val="nil"/>
              </w:pBdr>
              <w:jc w:val="right"/>
              <w:rPr>
                <w:color w:val="0000FF"/>
              </w:rPr>
            </w:pPr>
          </w:p>
        </w:tc>
      </w:tr>
      <w:tr w:rsidR="00021E57" w:rsidRPr="00021E57" w14:paraId="6B8E81FC" w14:textId="77777777">
        <w:trPr>
          <w:cantSplit/>
          <w:tblHeader/>
        </w:trPr>
        <w:tc>
          <w:tcPr>
            <w:tcW w:w="3005" w:type="dxa"/>
            <w:tcBorders>
              <w:bottom w:val="single" w:sz="12" w:space="0" w:color="000000"/>
            </w:tcBorders>
            <w:vAlign w:val="bottom"/>
          </w:tcPr>
          <w:p w14:paraId="603E9CDD" w14:textId="77777777" w:rsidR="008E5DE4" w:rsidRPr="00150BDF" w:rsidRDefault="008E5DE4">
            <w:pPr>
              <w:widowControl w:val="0"/>
              <w:pBdr>
                <w:top w:val="nil"/>
                <w:left w:val="nil"/>
                <w:bottom w:val="nil"/>
                <w:right w:val="nil"/>
                <w:between w:val="nil"/>
              </w:pBdr>
              <w:ind w:left="113" w:right="-57" w:hanging="113"/>
              <w:rPr>
                <w:color w:val="0000FF"/>
              </w:rPr>
            </w:pPr>
          </w:p>
        </w:tc>
        <w:tc>
          <w:tcPr>
            <w:tcW w:w="1134" w:type="dxa"/>
            <w:tcBorders>
              <w:bottom w:val="single" w:sz="12" w:space="0" w:color="000000"/>
            </w:tcBorders>
            <w:vAlign w:val="bottom"/>
          </w:tcPr>
          <w:p w14:paraId="5D14AEC4"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bottom w:val="single" w:sz="12" w:space="0" w:color="000000"/>
            </w:tcBorders>
            <w:vAlign w:val="bottom"/>
          </w:tcPr>
          <w:p w14:paraId="7D8175EF"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bottom w:val="single" w:sz="12" w:space="0" w:color="000000"/>
            </w:tcBorders>
            <w:vAlign w:val="bottom"/>
          </w:tcPr>
          <w:p w14:paraId="6A963EC5"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bottom w:val="single" w:sz="12" w:space="0" w:color="000000"/>
            </w:tcBorders>
            <w:vAlign w:val="bottom"/>
          </w:tcPr>
          <w:p w14:paraId="20F2E99B"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bottom w:val="single" w:sz="12" w:space="0" w:color="000000"/>
            </w:tcBorders>
            <w:vAlign w:val="bottom"/>
          </w:tcPr>
          <w:p w14:paraId="21F89137" w14:textId="77777777" w:rsidR="008E5DE4" w:rsidRPr="00150BDF" w:rsidRDefault="008E5DE4">
            <w:pPr>
              <w:widowControl w:val="0"/>
              <w:pBdr>
                <w:top w:val="nil"/>
                <w:left w:val="nil"/>
                <w:bottom w:val="nil"/>
                <w:right w:val="nil"/>
                <w:between w:val="nil"/>
              </w:pBdr>
              <w:jc w:val="right"/>
              <w:rPr>
                <w:color w:val="0000FF"/>
              </w:rPr>
            </w:pPr>
          </w:p>
        </w:tc>
        <w:tc>
          <w:tcPr>
            <w:tcW w:w="1134" w:type="dxa"/>
            <w:tcBorders>
              <w:bottom w:val="single" w:sz="12" w:space="0" w:color="000000"/>
            </w:tcBorders>
            <w:vAlign w:val="bottom"/>
          </w:tcPr>
          <w:p w14:paraId="57E79D68" w14:textId="77777777" w:rsidR="008E5DE4" w:rsidRPr="00150BDF" w:rsidRDefault="008E5DE4">
            <w:pPr>
              <w:widowControl w:val="0"/>
              <w:pBdr>
                <w:top w:val="nil"/>
                <w:left w:val="nil"/>
                <w:bottom w:val="nil"/>
                <w:right w:val="nil"/>
                <w:between w:val="nil"/>
              </w:pBdr>
              <w:jc w:val="right"/>
              <w:rPr>
                <w:color w:val="0000FF"/>
              </w:rPr>
            </w:pPr>
          </w:p>
        </w:tc>
      </w:tr>
    </w:tbl>
    <w:p w14:paraId="551D8D44"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69C1591F" w14:textId="77777777" w:rsidR="008E5DE4" w:rsidRDefault="00780368">
      <w:pPr>
        <w:widowControl w:val="0"/>
        <w:spacing w:before="200" w:after="200"/>
        <w:rPr>
          <w:sz w:val="20"/>
          <w:szCs w:val="20"/>
        </w:rPr>
      </w:pPr>
      <w:r>
        <w:rPr>
          <w:sz w:val="20"/>
          <w:szCs w:val="20"/>
        </w:rPr>
        <w:t xml:space="preserve">The reconciling items are attributable to the following: </w:t>
      </w:r>
    </w:p>
    <w:p w14:paraId="3984D7EC" w14:textId="77777777" w:rsidR="008E5DE4" w:rsidRDefault="00780368">
      <w:pPr>
        <w:widowControl w:val="0"/>
        <w:numPr>
          <w:ilvl w:val="0"/>
          <w:numId w:val="24"/>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r>
        <w:rPr>
          <w:color w:val="0000FF"/>
          <w:sz w:val="20"/>
          <w:szCs w:val="20"/>
        </w:rPr>
        <w:t xml:space="preserve"> </w:t>
      </w:r>
    </w:p>
    <w:p w14:paraId="385C5486" w14:textId="77777777" w:rsidR="008E5DE4" w:rsidRDefault="00780368">
      <w:pPr>
        <w:widowControl w:val="0"/>
        <w:numPr>
          <w:ilvl w:val="0"/>
          <w:numId w:val="24"/>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p>
    <w:p w14:paraId="49235FB6" w14:textId="77777777" w:rsidR="008E5DE4" w:rsidRDefault="00780368">
      <w:pPr>
        <w:widowControl w:val="0"/>
        <w:numPr>
          <w:ilvl w:val="0"/>
          <w:numId w:val="24"/>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
    <w:p w14:paraId="6D1BAA72" w14:textId="58A572E4"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Reconciliation of material assets and liabilities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and of capital expenditure for </w:t>
      </w:r>
      <w:r w:rsidR="008614F8">
        <w:rPr>
          <w:color w:val="000000"/>
          <w:sz w:val="20"/>
          <w:szCs w:val="20"/>
        </w:rPr>
        <w:t>2025</w:t>
      </w:r>
      <w:r>
        <w:rPr>
          <w:color w:val="000000"/>
          <w:sz w:val="20"/>
          <w:szCs w:val="20"/>
        </w:rPr>
        <w:t xml:space="preserve"> is as follows:</w:t>
      </w:r>
    </w:p>
    <w:tbl>
      <w:tblPr>
        <w:tblStyle w:val="af0"/>
        <w:tblW w:w="9353" w:type="dxa"/>
        <w:tblLayout w:type="fixed"/>
        <w:tblLook w:val="0000" w:firstRow="0" w:lastRow="0" w:firstColumn="0" w:lastColumn="0" w:noHBand="0" w:noVBand="0"/>
      </w:tblPr>
      <w:tblGrid>
        <w:gridCol w:w="3005"/>
        <w:gridCol w:w="1134"/>
        <w:gridCol w:w="1020"/>
        <w:gridCol w:w="1020"/>
        <w:gridCol w:w="1020"/>
        <w:gridCol w:w="1020"/>
        <w:gridCol w:w="1134"/>
      </w:tblGrid>
      <w:tr w:rsidR="008E5DE4" w14:paraId="2A8E1C78" w14:textId="77777777">
        <w:trPr>
          <w:cantSplit/>
          <w:tblHeader/>
        </w:trPr>
        <w:tc>
          <w:tcPr>
            <w:tcW w:w="3005" w:type="dxa"/>
            <w:tcBorders>
              <w:bottom w:val="single" w:sz="4" w:space="0" w:color="000000"/>
            </w:tcBorders>
            <w:vAlign w:val="bottom"/>
          </w:tcPr>
          <w:p w14:paraId="5966D5BE"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134" w:type="dxa"/>
            <w:tcBorders>
              <w:bottom w:val="single" w:sz="4" w:space="0" w:color="000000"/>
            </w:tcBorders>
          </w:tcPr>
          <w:p w14:paraId="5922BD7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Total amount for all reportable segments </w:t>
            </w:r>
          </w:p>
        </w:tc>
        <w:tc>
          <w:tcPr>
            <w:tcW w:w="1020" w:type="dxa"/>
            <w:tcBorders>
              <w:bottom w:val="single" w:sz="4" w:space="0" w:color="000000"/>
            </w:tcBorders>
          </w:tcPr>
          <w:p w14:paraId="24CAE668" w14:textId="77777777" w:rsidR="008E5DE4" w:rsidRDefault="0078036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1]</w:t>
            </w:r>
          </w:p>
        </w:tc>
        <w:tc>
          <w:tcPr>
            <w:tcW w:w="1020" w:type="dxa"/>
            <w:tcBorders>
              <w:bottom w:val="single" w:sz="4" w:space="0" w:color="000000"/>
            </w:tcBorders>
          </w:tcPr>
          <w:p w14:paraId="16F5E067" w14:textId="77777777" w:rsidR="008E5DE4" w:rsidRDefault="0078036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2]</w:t>
            </w:r>
          </w:p>
        </w:tc>
        <w:tc>
          <w:tcPr>
            <w:tcW w:w="1020" w:type="dxa"/>
            <w:tcBorders>
              <w:bottom w:val="single" w:sz="4" w:space="0" w:color="000000"/>
            </w:tcBorders>
          </w:tcPr>
          <w:p w14:paraId="71AE80DE" w14:textId="77777777" w:rsidR="008E5DE4" w:rsidRDefault="0078036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3]</w:t>
            </w:r>
          </w:p>
        </w:tc>
        <w:tc>
          <w:tcPr>
            <w:tcW w:w="1020" w:type="dxa"/>
            <w:tcBorders>
              <w:bottom w:val="single" w:sz="4" w:space="0" w:color="000000"/>
            </w:tcBorders>
          </w:tcPr>
          <w:p w14:paraId="4E92C05B" w14:textId="3F482F8B" w:rsidR="008E5DE4" w:rsidRDefault="00435D5B">
            <w:pPr>
              <w:widowControl w:val="0"/>
              <w:pBdr>
                <w:top w:val="nil"/>
                <w:left w:val="nil"/>
                <w:bottom w:val="nil"/>
                <w:right w:val="nil"/>
                <w:between w:val="nil"/>
              </w:pBdr>
              <w:ind w:left="-113"/>
              <w:jc w:val="right"/>
              <w:rPr>
                <w:b/>
                <w:color w:val="0000FF"/>
              </w:rPr>
            </w:pPr>
            <w:r>
              <w:rPr>
                <w:b/>
                <w:color w:val="0000FF"/>
              </w:rPr>
              <w:t>[Total for adjustments]</w:t>
            </w:r>
          </w:p>
        </w:tc>
        <w:tc>
          <w:tcPr>
            <w:tcW w:w="1134" w:type="dxa"/>
            <w:tcBorders>
              <w:bottom w:val="single" w:sz="4" w:space="0" w:color="000000"/>
            </w:tcBorders>
          </w:tcPr>
          <w:p w14:paraId="6EEA38B3" w14:textId="77777777" w:rsidR="008E5DE4" w:rsidRDefault="00780368">
            <w:pPr>
              <w:widowControl w:val="0"/>
              <w:pBdr>
                <w:top w:val="nil"/>
                <w:left w:val="nil"/>
                <w:bottom w:val="nil"/>
                <w:right w:val="nil"/>
                <w:between w:val="nil"/>
              </w:pBdr>
              <w:ind w:left="-113"/>
              <w:jc w:val="right"/>
              <w:rPr>
                <w:b/>
                <w:color w:val="000000"/>
              </w:rPr>
            </w:pPr>
            <w:r>
              <w:rPr>
                <w:b/>
                <w:color w:val="000000"/>
              </w:rPr>
              <w:t>As reported under IFRS Accounting Standards</w:t>
            </w:r>
          </w:p>
        </w:tc>
      </w:tr>
      <w:tr w:rsidR="008E5DE4" w14:paraId="29134035" w14:textId="77777777">
        <w:trPr>
          <w:cantSplit/>
          <w:tblHeader/>
        </w:trPr>
        <w:tc>
          <w:tcPr>
            <w:tcW w:w="3005" w:type="dxa"/>
            <w:tcBorders>
              <w:top w:val="single" w:sz="4" w:space="0" w:color="000000"/>
            </w:tcBorders>
            <w:vAlign w:val="bottom"/>
          </w:tcPr>
          <w:p w14:paraId="28E701BC"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134" w:type="dxa"/>
            <w:tcBorders>
              <w:top w:val="single" w:sz="4" w:space="0" w:color="000000"/>
            </w:tcBorders>
            <w:vAlign w:val="bottom"/>
          </w:tcPr>
          <w:p w14:paraId="413A507B" w14:textId="77777777" w:rsidR="008E5DE4" w:rsidRDefault="008E5DE4">
            <w:pPr>
              <w:widowControl w:val="0"/>
              <w:pBdr>
                <w:top w:val="nil"/>
                <w:left w:val="nil"/>
                <w:bottom w:val="nil"/>
                <w:right w:val="nil"/>
                <w:between w:val="nil"/>
              </w:pBdr>
              <w:rPr>
                <w:color w:val="000000"/>
              </w:rPr>
            </w:pPr>
          </w:p>
        </w:tc>
        <w:tc>
          <w:tcPr>
            <w:tcW w:w="1020" w:type="dxa"/>
            <w:tcBorders>
              <w:top w:val="single" w:sz="4" w:space="0" w:color="000000"/>
            </w:tcBorders>
            <w:vAlign w:val="bottom"/>
          </w:tcPr>
          <w:p w14:paraId="752E4796" w14:textId="77777777" w:rsidR="008E5DE4" w:rsidRDefault="008E5DE4">
            <w:pPr>
              <w:widowControl w:val="0"/>
              <w:pBdr>
                <w:top w:val="nil"/>
                <w:left w:val="nil"/>
                <w:bottom w:val="nil"/>
                <w:right w:val="nil"/>
                <w:between w:val="nil"/>
              </w:pBdr>
              <w:rPr>
                <w:color w:val="000000"/>
              </w:rPr>
            </w:pPr>
          </w:p>
        </w:tc>
        <w:tc>
          <w:tcPr>
            <w:tcW w:w="1020" w:type="dxa"/>
            <w:tcBorders>
              <w:top w:val="single" w:sz="4" w:space="0" w:color="000000"/>
            </w:tcBorders>
            <w:vAlign w:val="bottom"/>
          </w:tcPr>
          <w:p w14:paraId="0B7D3B95" w14:textId="77777777" w:rsidR="008E5DE4" w:rsidRDefault="008E5DE4">
            <w:pPr>
              <w:widowControl w:val="0"/>
              <w:pBdr>
                <w:top w:val="nil"/>
                <w:left w:val="nil"/>
                <w:bottom w:val="nil"/>
                <w:right w:val="nil"/>
                <w:between w:val="nil"/>
              </w:pBdr>
              <w:rPr>
                <w:color w:val="000000"/>
              </w:rPr>
            </w:pPr>
          </w:p>
        </w:tc>
        <w:tc>
          <w:tcPr>
            <w:tcW w:w="1020" w:type="dxa"/>
            <w:tcBorders>
              <w:top w:val="single" w:sz="4" w:space="0" w:color="000000"/>
            </w:tcBorders>
            <w:vAlign w:val="bottom"/>
          </w:tcPr>
          <w:p w14:paraId="5E6380CB" w14:textId="77777777" w:rsidR="008E5DE4" w:rsidRDefault="008E5DE4">
            <w:pPr>
              <w:widowControl w:val="0"/>
              <w:pBdr>
                <w:top w:val="nil"/>
                <w:left w:val="nil"/>
                <w:bottom w:val="nil"/>
                <w:right w:val="nil"/>
                <w:between w:val="nil"/>
              </w:pBdr>
              <w:rPr>
                <w:color w:val="000000"/>
              </w:rPr>
            </w:pPr>
          </w:p>
        </w:tc>
        <w:tc>
          <w:tcPr>
            <w:tcW w:w="1020" w:type="dxa"/>
            <w:tcBorders>
              <w:top w:val="single" w:sz="4" w:space="0" w:color="000000"/>
            </w:tcBorders>
            <w:vAlign w:val="bottom"/>
          </w:tcPr>
          <w:p w14:paraId="2A50D865"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7A8A5CB3" w14:textId="77777777" w:rsidR="008E5DE4" w:rsidRDefault="008E5DE4">
            <w:pPr>
              <w:widowControl w:val="0"/>
              <w:pBdr>
                <w:top w:val="nil"/>
                <w:left w:val="nil"/>
                <w:bottom w:val="nil"/>
                <w:right w:val="nil"/>
                <w:between w:val="nil"/>
              </w:pBdr>
              <w:rPr>
                <w:color w:val="000000"/>
              </w:rPr>
            </w:pPr>
          </w:p>
        </w:tc>
      </w:tr>
      <w:tr w:rsidR="008E5DE4" w14:paraId="5DB9FBFA" w14:textId="77777777">
        <w:trPr>
          <w:cantSplit/>
          <w:tblHeader/>
        </w:trPr>
        <w:tc>
          <w:tcPr>
            <w:tcW w:w="3005" w:type="dxa"/>
            <w:vAlign w:val="bottom"/>
          </w:tcPr>
          <w:p w14:paraId="6292EA6C" w14:textId="03CB97EC" w:rsidR="008E5DE4" w:rsidRDefault="00780368">
            <w:pPr>
              <w:widowControl w:val="0"/>
              <w:pBdr>
                <w:top w:val="nil"/>
                <w:left w:val="nil"/>
                <w:bottom w:val="nil"/>
                <w:right w:val="nil"/>
                <w:between w:val="nil"/>
              </w:pBdr>
              <w:ind w:left="113" w:right="-57" w:hanging="113"/>
              <w:rPr>
                <w:b/>
                <w:i/>
                <w:color w:val="000000"/>
              </w:rPr>
            </w:pPr>
            <w:r>
              <w:rPr>
                <w:b/>
                <w:i/>
                <w:color w:val="000000"/>
              </w:rPr>
              <w:t xml:space="preserve">Assets </w:t>
            </w:r>
            <w:proofErr w:type="gramStart"/>
            <w:r>
              <w:rPr>
                <w:b/>
                <w:i/>
                <w:color w:val="000000"/>
              </w:rPr>
              <w:t>at</w:t>
            </w:r>
            <w:proofErr w:type="gramEnd"/>
            <w:r>
              <w:rPr>
                <w:b/>
                <w:i/>
                <w:color w:val="000000"/>
              </w:rPr>
              <w:t xml:space="preserve"> 31 December </w:t>
            </w:r>
            <w:r w:rsidR="008614F8">
              <w:rPr>
                <w:b/>
                <w:i/>
                <w:color w:val="000000"/>
              </w:rPr>
              <w:t>2025</w:t>
            </w:r>
          </w:p>
        </w:tc>
        <w:tc>
          <w:tcPr>
            <w:tcW w:w="1134" w:type="dxa"/>
            <w:vAlign w:val="bottom"/>
          </w:tcPr>
          <w:p w14:paraId="393821C7" w14:textId="77777777" w:rsidR="008E5DE4" w:rsidRDefault="008E5DE4">
            <w:pPr>
              <w:widowControl w:val="0"/>
              <w:pBdr>
                <w:top w:val="nil"/>
                <w:left w:val="nil"/>
                <w:bottom w:val="nil"/>
                <w:right w:val="nil"/>
                <w:between w:val="nil"/>
              </w:pBdr>
              <w:rPr>
                <w:b/>
                <w:color w:val="000000"/>
              </w:rPr>
            </w:pPr>
          </w:p>
        </w:tc>
        <w:tc>
          <w:tcPr>
            <w:tcW w:w="1020" w:type="dxa"/>
            <w:vAlign w:val="bottom"/>
          </w:tcPr>
          <w:p w14:paraId="3974A264" w14:textId="77777777" w:rsidR="008E5DE4" w:rsidRDefault="008E5DE4">
            <w:pPr>
              <w:widowControl w:val="0"/>
              <w:pBdr>
                <w:top w:val="nil"/>
                <w:left w:val="nil"/>
                <w:bottom w:val="nil"/>
                <w:right w:val="nil"/>
                <w:between w:val="nil"/>
              </w:pBdr>
              <w:rPr>
                <w:b/>
                <w:color w:val="000000"/>
              </w:rPr>
            </w:pPr>
          </w:p>
        </w:tc>
        <w:tc>
          <w:tcPr>
            <w:tcW w:w="1020" w:type="dxa"/>
            <w:vAlign w:val="bottom"/>
          </w:tcPr>
          <w:p w14:paraId="4A869AAA" w14:textId="77777777" w:rsidR="008E5DE4" w:rsidRDefault="008E5DE4">
            <w:pPr>
              <w:widowControl w:val="0"/>
              <w:pBdr>
                <w:top w:val="nil"/>
                <w:left w:val="nil"/>
                <w:bottom w:val="nil"/>
                <w:right w:val="nil"/>
                <w:between w:val="nil"/>
              </w:pBdr>
              <w:rPr>
                <w:b/>
                <w:color w:val="000000"/>
              </w:rPr>
            </w:pPr>
          </w:p>
        </w:tc>
        <w:tc>
          <w:tcPr>
            <w:tcW w:w="1020" w:type="dxa"/>
            <w:vAlign w:val="bottom"/>
          </w:tcPr>
          <w:p w14:paraId="28E83869" w14:textId="77777777" w:rsidR="008E5DE4" w:rsidRDefault="008E5DE4">
            <w:pPr>
              <w:widowControl w:val="0"/>
              <w:pBdr>
                <w:top w:val="nil"/>
                <w:left w:val="nil"/>
                <w:bottom w:val="nil"/>
                <w:right w:val="nil"/>
                <w:between w:val="nil"/>
              </w:pBdr>
              <w:rPr>
                <w:b/>
                <w:color w:val="000000"/>
              </w:rPr>
            </w:pPr>
          </w:p>
        </w:tc>
        <w:tc>
          <w:tcPr>
            <w:tcW w:w="1020" w:type="dxa"/>
            <w:vAlign w:val="bottom"/>
          </w:tcPr>
          <w:p w14:paraId="6FC8E703" w14:textId="77777777" w:rsidR="008E5DE4" w:rsidRDefault="008E5DE4">
            <w:pPr>
              <w:widowControl w:val="0"/>
              <w:pBdr>
                <w:top w:val="nil"/>
                <w:left w:val="nil"/>
                <w:bottom w:val="nil"/>
                <w:right w:val="nil"/>
                <w:between w:val="nil"/>
              </w:pBdr>
              <w:rPr>
                <w:b/>
                <w:color w:val="000000"/>
              </w:rPr>
            </w:pPr>
          </w:p>
        </w:tc>
        <w:tc>
          <w:tcPr>
            <w:tcW w:w="1134" w:type="dxa"/>
            <w:vAlign w:val="bottom"/>
          </w:tcPr>
          <w:p w14:paraId="09535A40" w14:textId="77777777" w:rsidR="008E5DE4" w:rsidRDefault="008E5DE4">
            <w:pPr>
              <w:widowControl w:val="0"/>
              <w:pBdr>
                <w:top w:val="nil"/>
                <w:left w:val="nil"/>
                <w:bottom w:val="nil"/>
                <w:right w:val="nil"/>
                <w:between w:val="nil"/>
              </w:pBdr>
              <w:rPr>
                <w:b/>
                <w:color w:val="000000"/>
              </w:rPr>
            </w:pPr>
          </w:p>
        </w:tc>
      </w:tr>
      <w:tr w:rsidR="008E5DE4" w14:paraId="3C48AB6C" w14:textId="77777777">
        <w:trPr>
          <w:cantSplit/>
          <w:tblHeader/>
        </w:trPr>
        <w:tc>
          <w:tcPr>
            <w:tcW w:w="3005" w:type="dxa"/>
            <w:vAlign w:val="bottom"/>
          </w:tcPr>
          <w:p w14:paraId="43047E89"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assets (or disposal groups) held for sale</w:t>
            </w:r>
          </w:p>
        </w:tc>
        <w:tc>
          <w:tcPr>
            <w:tcW w:w="1134" w:type="dxa"/>
            <w:vAlign w:val="bottom"/>
          </w:tcPr>
          <w:p w14:paraId="1E772A02"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5C935934"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1BD20EDD"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6490E822"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62654DE"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27928D6F" w14:textId="77777777" w:rsidR="008E5DE4" w:rsidRDefault="008E5DE4">
            <w:pPr>
              <w:widowControl w:val="0"/>
              <w:pBdr>
                <w:top w:val="nil"/>
                <w:left w:val="nil"/>
                <w:bottom w:val="nil"/>
                <w:right w:val="nil"/>
                <w:between w:val="nil"/>
              </w:pBdr>
              <w:jc w:val="right"/>
              <w:rPr>
                <w:b/>
                <w:color w:val="000000"/>
              </w:rPr>
            </w:pPr>
          </w:p>
        </w:tc>
      </w:tr>
      <w:tr w:rsidR="008E5DE4" w14:paraId="6659C252" w14:textId="77777777">
        <w:trPr>
          <w:cantSplit/>
          <w:tblHeader/>
        </w:trPr>
        <w:tc>
          <w:tcPr>
            <w:tcW w:w="3005" w:type="dxa"/>
            <w:vAlign w:val="bottom"/>
          </w:tcPr>
          <w:p w14:paraId="4AE52EB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Investment in associates </w:t>
            </w:r>
          </w:p>
        </w:tc>
        <w:tc>
          <w:tcPr>
            <w:tcW w:w="1134" w:type="dxa"/>
            <w:vAlign w:val="bottom"/>
          </w:tcPr>
          <w:p w14:paraId="553F0710"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6DFEDB0F"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6526BE04"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1A548B21"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386A252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1F99BD" w14:textId="77777777" w:rsidR="008E5DE4" w:rsidRDefault="008E5DE4">
            <w:pPr>
              <w:widowControl w:val="0"/>
              <w:pBdr>
                <w:top w:val="nil"/>
                <w:left w:val="nil"/>
                <w:bottom w:val="nil"/>
                <w:right w:val="nil"/>
                <w:between w:val="nil"/>
              </w:pBdr>
              <w:jc w:val="right"/>
              <w:rPr>
                <w:color w:val="000000"/>
              </w:rPr>
            </w:pPr>
          </w:p>
        </w:tc>
      </w:tr>
      <w:tr w:rsidR="008E5DE4" w14:paraId="593F55B3" w14:textId="77777777">
        <w:trPr>
          <w:cantSplit/>
          <w:tblHeader/>
        </w:trPr>
        <w:tc>
          <w:tcPr>
            <w:tcW w:w="3005" w:type="dxa"/>
            <w:vAlign w:val="bottom"/>
          </w:tcPr>
          <w:p w14:paraId="1C80BBC0"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in joint ventures</w:t>
            </w:r>
          </w:p>
        </w:tc>
        <w:tc>
          <w:tcPr>
            <w:tcW w:w="1134" w:type="dxa"/>
            <w:vAlign w:val="bottom"/>
          </w:tcPr>
          <w:p w14:paraId="11AF872D"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15E17555"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055F0943"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9F2F87A"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69332F71"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6BAFFB0F" w14:textId="77777777" w:rsidR="008E5DE4" w:rsidRDefault="008E5DE4">
            <w:pPr>
              <w:widowControl w:val="0"/>
              <w:pBdr>
                <w:top w:val="nil"/>
                <w:left w:val="nil"/>
                <w:bottom w:val="nil"/>
                <w:right w:val="nil"/>
                <w:between w:val="nil"/>
              </w:pBdr>
              <w:jc w:val="right"/>
              <w:rPr>
                <w:b/>
                <w:color w:val="000000"/>
              </w:rPr>
            </w:pPr>
          </w:p>
        </w:tc>
      </w:tr>
      <w:tr w:rsidR="008E5DE4" w14:paraId="3B703882" w14:textId="77777777">
        <w:trPr>
          <w:cantSplit/>
          <w:tblHeader/>
        </w:trPr>
        <w:tc>
          <w:tcPr>
            <w:tcW w:w="3005" w:type="dxa"/>
            <w:vAlign w:val="bottom"/>
          </w:tcPr>
          <w:p w14:paraId="6DC7998D" w14:textId="77777777" w:rsidR="008E5DE4" w:rsidRDefault="00780368">
            <w:pPr>
              <w:widowControl w:val="0"/>
              <w:pBdr>
                <w:top w:val="nil"/>
                <w:left w:val="nil"/>
                <w:bottom w:val="nil"/>
                <w:right w:val="nil"/>
                <w:between w:val="nil"/>
              </w:pBdr>
              <w:ind w:left="113" w:right="-57" w:hanging="113"/>
              <w:rPr>
                <w:color w:val="000000"/>
              </w:rPr>
            </w:pPr>
            <w:r>
              <w:rPr>
                <w:color w:val="000000"/>
              </w:rPr>
              <w:t>Other reportable segment assets</w:t>
            </w:r>
          </w:p>
        </w:tc>
        <w:tc>
          <w:tcPr>
            <w:tcW w:w="1134" w:type="dxa"/>
            <w:vAlign w:val="bottom"/>
          </w:tcPr>
          <w:p w14:paraId="1D5ABB26"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CCA5D46"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A69104F"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6BA38448"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7B16B956"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31D109C2" w14:textId="77777777" w:rsidR="008E5DE4" w:rsidRDefault="008E5DE4">
            <w:pPr>
              <w:widowControl w:val="0"/>
              <w:pBdr>
                <w:top w:val="nil"/>
                <w:left w:val="nil"/>
                <w:bottom w:val="nil"/>
                <w:right w:val="nil"/>
                <w:between w:val="nil"/>
              </w:pBdr>
              <w:jc w:val="right"/>
              <w:rPr>
                <w:b/>
                <w:color w:val="000000"/>
              </w:rPr>
            </w:pPr>
          </w:p>
        </w:tc>
      </w:tr>
      <w:tr w:rsidR="008E5DE4" w14:paraId="10354CF6" w14:textId="77777777">
        <w:trPr>
          <w:cantSplit/>
          <w:tblHeader/>
        </w:trPr>
        <w:tc>
          <w:tcPr>
            <w:tcW w:w="3005" w:type="dxa"/>
            <w:tcBorders>
              <w:bottom w:val="single" w:sz="12" w:space="0" w:color="000000"/>
            </w:tcBorders>
            <w:vAlign w:val="bottom"/>
          </w:tcPr>
          <w:p w14:paraId="5B34B5AE"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134" w:type="dxa"/>
            <w:tcBorders>
              <w:bottom w:val="single" w:sz="12" w:space="0" w:color="000000"/>
            </w:tcBorders>
            <w:vAlign w:val="bottom"/>
          </w:tcPr>
          <w:p w14:paraId="102AC7FA"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54468DA6"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31B4EC40"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04D83004"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74B6B7FB"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20BD10AC" w14:textId="77777777" w:rsidR="008E5DE4" w:rsidRDefault="008E5DE4">
            <w:pPr>
              <w:widowControl w:val="0"/>
              <w:pBdr>
                <w:top w:val="nil"/>
                <w:left w:val="nil"/>
                <w:bottom w:val="nil"/>
                <w:right w:val="nil"/>
                <w:between w:val="nil"/>
              </w:pBdr>
              <w:jc w:val="right"/>
              <w:rPr>
                <w:b/>
                <w:color w:val="000000"/>
              </w:rPr>
            </w:pPr>
          </w:p>
        </w:tc>
      </w:tr>
      <w:tr w:rsidR="008E5DE4" w14:paraId="64FFC00C" w14:textId="77777777">
        <w:trPr>
          <w:cantSplit/>
          <w:tblHeader/>
        </w:trPr>
        <w:tc>
          <w:tcPr>
            <w:tcW w:w="3005" w:type="dxa"/>
            <w:vAlign w:val="bottom"/>
          </w:tcPr>
          <w:p w14:paraId="67D62EDD"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134" w:type="dxa"/>
            <w:vAlign w:val="bottom"/>
          </w:tcPr>
          <w:p w14:paraId="1ED0C8A7"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4AAE6584"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1F79514C"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0C308A02"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D2B2773"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3B952D83" w14:textId="77777777" w:rsidR="008E5DE4" w:rsidRDefault="008E5DE4">
            <w:pPr>
              <w:widowControl w:val="0"/>
              <w:pBdr>
                <w:top w:val="nil"/>
                <w:left w:val="nil"/>
                <w:bottom w:val="nil"/>
                <w:right w:val="nil"/>
                <w:between w:val="nil"/>
              </w:pBdr>
              <w:jc w:val="right"/>
              <w:rPr>
                <w:b/>
                <w:color w:val="000000"/>
              </w:rPr>
            </w:pPr>
          </w:p>
        </w:tc>
      </w:tr>
      <w:tr w:rsidR="008E5DE4" w14:paraId="17B60499" w14:textId="77777777">
        <w:trPr>
          <w:cantSplit/>
          <w:tblHeader/>
        </w:trPr>
        <w:tc>
          <w:tcPr>
            <w:tcW w:w="3005" w:type="dxa"/>
            <w:vAlign w:val="bottom"/>
          </w:tcPr>
          <w:p w14:paraId="427774CF" w14:textId="12AD2B0A" w:rsidR="008E5DE4" w:rsidRDefault="00780368">
            <w:pPr>
              <w:widowControl w:val="0"/>
              <w:pBdr>
                <w:top w:val="nil"/>
                <w:left w:val="nil"/>
                <w:bottom w:val="nil"/>
                <w:right w:val="nil"/>
                <w:between w:val="nil"/>
              </w:pBdr>
              <w:ind w:left="113" w:right="-57" w:hanging="113"/>
              <w:rPr>
                <w:color w:val="000000"/>
              </w:rPr>
            </w:pPr>
            <w:r>
              <w:rPr>
                <w:b/>
                <w:i/>
                <w:color w:val="000000"/>
              </w:rPr>
              <w:t xml:space="preserve">Liabilities </w:t>
            </w:r>
            <w:proofErr w:type="gramStart"/>
            <w:r>
              <w:rPr>
                <w:b/>
                <w:i/>
                <w:color w:val="000000"/>
              </w:rPr>
              <w:t>at</w:t>
            </w:r>
            <w:proofErr w:type="gramEnd"/>
            <w:r>
              <w:rPr>
                <w:b/>
                <w:i/>
                <w:color w:val="000000"/>
              </w:rPr>
              <w:t xml:space="preserve"> 31 December </w:t>
            </w:r>
            <w:r w:rsidR="008614F8">
              <w:rPr>
                <w:b/>
                <w:i/>
                <w:color w:val="000000"/>
              </w:rPr>
              <w:t>2025</w:t>
            </w:r>
          </w:p>
        </w:tc>
        <w:tc>
          <w:tcPr>
            <w:tcW w:w="1134" w:type="dxa"/>
            <w:vAlign w:val="bottom"/>
          </w:tcPr>
          <w:p w14:paraId="7BC90AFA"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6AB71A98"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0D842A24"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251504A"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481FCFA"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29D2D159" w14:textId="77777777" w:rsidR="008E5DE4" w:rsidRDefault="008E5DE4">
            <w:pPr>
              <w:widowControl w:val="0"/>
              <w:pBdr>
                <w:top w:val="nil"/>
                <w:left w:val="nil"/>
                <w:bottom w:val="nil"/>
                <w:right w:val="nil"/>
                <w:between w:val="nil"/>
              </w:pBdr>
              <w:jc w:val="right"/>
              <w:rPr>
                <w:b/>
                <w:color w:val="000000"/>
              </w:rPr>
            </w:pPr>
          </w:p>
        </w:tc>
      </w:tr>
      <w:tr w:rsidR="008E5DE4" w14:paraId="44C21FB0" w14:textId="77777777">
        <w:trPr>
          <w:cantSplit/>
          <w:tblHeader/>
        </w:trPr>
        <w:tc>
          <w:tcPr>
            <w:tcW w:w="3005" w:type="dxa"/>
            <w:vAlign w:val="bottom"/>
          </w:tcPr>
          <w:p w14:paraId="3CDB1D13" w14:textId="77777777" w:rsidR="008E5DE4" w:rsidRDefault="00780368">
            <w:pPr>
              <w:widowControl w:val="0"/>
              <w:pBdr>
                <w:top w:val="nil"/>
                <w:left w:val="nil"/>
                <w:bottom w:val="nil"/>
                <w:right w:val="nil"/>
                <w:between w:val="nil"/>
              </w:pBdr>
              <w:ind w:left="113" w:right="-57" w:hanging="113"/>
              <w:rPr>
                <w:color w:val="000000"/>
              </w:rPr>
            </w:pPr>
            <w:r>
              <w:rPr>
                <w:color w:val="000000"/>
              </w:rPr>
              <w:t>Liabilities directly associated with disposal groups held for sale</w:t>
            </w:r>
          </w:p>
        </w:tc>
        <w:tc>
          <w:tcPr>
            <w:tcW w:w="1134" w:type="dxa"/>
            <w:vAlign w:val="bottom"/>
          </w:tcPr>
          <w:p w14:paraId="3CF74449"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75036AF3"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1F2AE297"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4B438D80"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79984EBF"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63120120" w14:textId="77777777" w:rsidR="008E5DE4" w:rsidRDefault="008E5DE4">
            <w:pPr>
              <w:widowControl w:val="0"/>
              <w:pBdr>
                <w:top w:val="nil"/>
                <w:left w:val="nil"/>
                <w:bottom w:val="nil"/>
                <w:right w:val="nil"/>
                <w:between w:val="nil"/>
              </w:pBdr>
              <w:jc w:val="right"/>
              <w:rPr>
                <w:b/>
                <w:color w:val="000000"/>
              </w:rPr>
            </w:pPr>
          </w:p>
        </w:tc>
      </w:tr>
      <w:tr w:rsidR="008E5DE4" w14:paraId="4007CE6B" w14:textId="77777777">
        <w:trPr>
          <w:cantSplit/>
          <w:tblHeader/>
        </w:trPr>
        <w:tc>
          <w:tcPr>
            <w:tcW w:w="3005" w:type="dxa"/>
            <w:vAlign w:val="bottom"/>
          </w:tcPr>
          <w:p w14:paraId="66466E77" w14:textId="77777777" w:rsidR="008E5DE4" w:rsidRDefault="00780368">
            <w:pPr>
              <w:widowControl w:val="0"/>
              <w:pBdr>
                <w:top w:val="nil"/>
                <w:left w:val="nil"/>
                <w:bottom w:val="nil"/>
                <w:right w:val="nil"/>
                <w:between w:val="nil"/>
              </w:pBdr>
              <w:ind w:left="113" w:right="-57" w:hanging="113"/>
              <w:rPr>
                <w:color w:val="000000"/>
              </w:rPr>
            </w:pPr>
            <w:r>
              <w:rPr>
                <w:color w:val="000000"/>
              </w:rPr>
              <w:t>Other reportable segment liabilities</w:t>
            </w:r>
          </w:p>
        </w:tc>
        <w:tc>
          <w:tcPr>
            <w:tcW w:w="1134" w:type="dxa"/>
            <w:vAlign w:val="bottom"/>
          </w:tcPr>
          <w:p w14:paraId="3708A8AB"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623B6F00"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1D1E4CC3"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E738EB0"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235B21B"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00FE8A2F" w14:textId="77777777" w:rsidR="008E5DE4" w:rsidRDefault="008E5DE4">
            <w:pPr>
              <w:widowControl w:val="0"/>
              <w:pBdr>
                <w:top w:val="nil"/>
                <w:left w:val="nil"/>
                <w:bottom w:val="nil"/>
                <w:right w:val="nil"/>
                <w:between w:val="nil"/>
              </w:pBdr>
              <w:jc w:val="right"/>
              <w:rPr>
                <w:b/>
                <w:color w:val="000000"/>
              </w:rPr>
            </w:pPr>
          </w:p>
        </w:tc>
      </w:tr>
      <w:tr w:rsidR="008E5DE4" w14:paraId="0AB16908" w14:textId="77777777">
        <w:trPr>
          <w:cantSplit/>
          <w:tblHeader/>
        </w:trPr>
        <w:tc>
          <w:tcPr>
            <w:tcW w:w="3005" w:type="dxa"/>
            <w:tcBorders>
              <w:bottom w:val="single" w:sz="12" w:space="0" w:color="000000"/>
            </w:tcBorders>
            <w:vAlign w:val="bottom"/>
          </w:tcPr>
          <w:p w14:paraId="0686B232"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134" w:type="dxa"/>
            <w:tcBorders>
              <w:bottom w:val="single" w:sz="12" w:space="0" w:color="000000"/>
            </w:tcBorders>
            <w:vAlign w:val="bottom"/>
          </w:tcPr>
          <w:p w14:paraId="786EE680"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518DC17F"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46450EDC"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6257F313"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631501FB"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37F9F178" w14:textId="77777777" w:rsidR="008E5DE4" w:rsidRDefault="008E5DE4">
            <w:pPr>
              <w:widowControl w:val="0"/>
              <w:pBdr>
                <w:top w:val="nil"/>
                <w:left w:val="nil"/>
                <w:bottom w:val="nil"/>
                <w:right w:val="nil"/>
                <w:between w:val="nil"/>
              </w:pBdr>
              <w:jc w:val="right"/>
              <w:rPr>
                <w:b/>
                <w:color w:val="000000"/>
              </w:rPr>
            </w:pPr>
          </w:p>
        </w:tc>
      </w:tr>
      <w:tr w:rsidR="008E5DE4" w14:paraId="38BA31B0" w14:textId="77777777">
        <w:trPr>
          <w:cantSplit/>
          <w:tblHeader/>
        </w:trPr>
        <w:tc>
          <w:tcPr>
            <w:tcW w:w="3005" w:type="dxa"/>
            <w:vAlign w:val="bottom"/>
          </w:tcPr>
          <w:p w14:paraId="5317029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34" w:type="dxa"/>
            <w:vAlign w:val="bottom"/>
          </w:tcPr>
          <w:p w14:paraId="34CC2F68"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1843719D"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6E6A5CCA"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0176998A"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3DECE2D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C6B27D" w14:textId="77777777" w:rsidR="008E5DE4" w:rsidRDefault="008E5DE4">
            <w:pPr>
              <w:widowControl w:val="0"/>
              <w:pBdr>
                <w:top w:val="nil"/>
                <w:left w:val="nil"/>
                <w:bottom w:val="nil"/>
                <w:right w:val="nil"/>
                <w:between w:val="nil"/>
              </w:pBdr>
              <w:jc w:val="right"/>
              <w:rPr>
                <w:color w:val="000000"/>
              </w:rPr>
            </w:pPr>
          </w:p>
        </w:tc>
      </w:tr>
      <w:tr w:rsidR="008E5DE4" w14:paraId="441C1244" w14:textId="77777777">
        <w:trPr>
          <w:cantSplit/>
          <w:tblHeader/>
        </w:trPr>
        <w:tc>
          <w:tcPr>
            <w:tcW w:w="3005" w:type="dxa"/>
            <w:vAlign w:val="bottom"/>
          </w:tcPr>
          <w:p w14:paraId="5A110354" w14:textId="238CA1D2" w:rsidR="008E5DE4" w:rsidRDefault="00780368">
            <w:pPr>
              <w:widowControl w:val="0"/>
              <w:pBdr>
                <w:top w:val="nil"/>
                <w:left w:val="nil"/>
                <w:bottom w:val="nil"/>
                <w:right w:val="nil"/>
                <w:between w:val="nil"/>
              </w:pBdr>
              <w:ind w:left="113" w:right="-57" w:hanging="113"/>
              <w:rPr>
                <w:b/>
                <w:color w:val="000000"/>
              </w:rPr>
            </w:pPr>
            <w:r>
              <w:rPr>
                <w:b/>
                <w:color w:val="000000"/>
              </w:rPr>
              <w:t xml:space="preserve">Capital expenditure for </w:t>
            </w:r>
            <w:r w:rsidR="008614F8">
              <w:rPr>
                <w:b/>
                <w:color w:val="000000"/>
              </w:rPr>
              <w:t>2025</w:t>
            </w:r>
          </w:p>
        </w:tc>
        <w:tc>
          <w:tcPr>
            <w:tcW w:w="1134" w:type="dxa"/>
            <w:vAlign w:val="bottom"/>
          </w:tcPr>
          <w:p w14:paraId="59B997EA"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4005C326"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381C6C29"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356E3531"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5FFB598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8A6DA93" w14:textId="77777777" w:rsidR="008E5DE4" w:rsidRDefault="008E5DE4">
            <w:pPr>
              <w:widowControl w:val="0"/>
              <w:pBdr>
                <w:top w:val="nil"/>
                <w:left w:val="nil"/>
                <w:bottom w:val="nil"/>
                <w:right w:val="nil"/>
                <w:between w:val="nil"/>
              </w:pBdr>
              <w:jc w:val="right"/>
              <w:rPr>
                <w:color w:val="000000"/>
              </w:rPr>
            </w:pPr>
          </w:p>
        </w:tc>
      </w:tr>
      <w:tr w:rsidR="008E5DE4" w14:paraId="5E49B14B" w14:textId="77777777">
        <w:trPr>
          <w:cantSplit/>
          <w:tblHeader/>
        </w:trPr>
        <w:tc>
          <w:tcPr>
            <w:tcW w:w="3005" w:type="dxa"/>
            <w:tcBorders>
              <w:bottom w:val="single" w:sz="12" w:space="0" w:color="000000"/>
            </w:tcBorders>
            <w:vAlign w:val="bottom"/>
          </w:tcPr>
          <w:p w14:paraId="03F5A4E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34" w:type="dxa"/>
            <w:tcBorders>
              <w:bottom w:val="single" w:sz="12" w:space="0" w:color="000000"/>
            </w:tcBorders>
            <w:vAlign w:val="bottom"/>
          </w:tcPr>
          <w:p w14:paraId="01C30DFB"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32FBF92D"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07930686"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2E6DFEA0"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4CCDFF9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15D317EE" w14:textId="77777777" w:rsidR="008E5DE4" w:rsidRDefault="008E5DE4">
            <w:pPr>
              <w:widowControl w:val="0"/>
              <w:pBdr>
                <w:top w:val="nil"/>
                <w:left w:val="nil"/>
                <w:bottom w:val="nil"/>
                <w:right w:val="nil"/>
                <w:between w:val="nil"/>
              </w:pBdr>
              <w:jc w:val="right"/>
              <w:rPr>
                <w:color w:val="000000"/>
              </w:rPr>
            </w:pPr>
          </w:p>
        </w:tc>
      </w:tr>
    </w:tbl>
    <w:p w14:paraId="4C236E0D"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reconciling items are attributable to the following: </w:t>
      </w:r>
    </w:p>
    <w:p w14:paraId="0641C078" w14:textId="77777777" w:rsidR="008E5DE4" w:rsidRDefault="00780368">
      <w:pPr>
        <w:widowControl w:val="0"/>
        <w:numPr>
          <w:ilvl w:val="0"/>
          <w:numId w:val="25"/>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r>
        <w:rPr>
          <w:color w:val="0000FF"/>
          <w:sz w:val="20"/>
          <w:szCs w:val="20"/>
        </w:rPr>
        <w:t xml:space="preserve"> </w:t>
      </w:r>
    </w:p>
    <w:p w14:paraId="2381639C" w14:textId="77777777" w:rsidR="008E5DE4" w:rsidRDefault="00780368">
      <w:pPr>
        <w:widowControl w:val="0"/>
        <w:numPr>
          <w:ilvl w:val="0"/>
          <w:numId w:val="25"/>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p>
    <w:p w14:paraId="35D70B00" w14:textId="77777777" w:rsidR="008E5DE4" w:rsidRDefault="00780368">
      <w:pPr>
        <w:widowControl w:val="0"/>
        <w:numPr>
          <w:ilvl w:val="0"/>
          <w:numId w:val="25"/>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p>
    <w:p w14:paraId="15CDC2BD"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11B487EE" w14:textId="174F58E0"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Reconciliation of material items of income or expense </w:t>
      </w:r>
      <w:r w:rsidR="00386AA7">
        <w:rPr>
          <w:color w:val="000000"/>
          <w:sz w:val="20"/>
          <w:szCs w:val="20"/>
        </w:rPr>
        <w:t xml:space="preserve">included in the segment results </w:t>
      </w:r>
      <w:r>
        <w:rPr>
          <w:color w:val="000000"/>
          <w:sz w:val="20"/>
          <w:szCs w:val="20"/>
        </w:rPr>
        <w:t xml:space="preserve">for the year ended 31 December </w:t>
      </w:r>
      <w:r w:rsidR="00FF468A">
        <w:rPr>
          <w:color w:val="000000"/>
          <w:sz w:val="20"/>
          <w:szCs w:val="20"/>
        </w:rPr>
        <w:t>2024</w:t>
      </w:r>
      <w:r>
        <w:rPr>
          <w:color w:val="000000"/>
          <w:sz w:val="20"/>
          <w:szCs w:val="20"/>
        </w:rPr>
        <w:t xml:space="preserve"> is as follows:</w:t>
      </w:r>
    </w:p>
    <w:tbl>
      <w:tblPr>
        <w:tblStyle w:val="af"/>
        <w:tblW w:w="9353" w:type="dxa"/>
        <w:tblLayout w:type="fixed"/>
        <w:tblLook w:val="0000" w:firstRow="0" w:lastRow="0" w:firstColumn="0" w:lastColumn="0" w:noHBand="0" w:noVBand="0"/>
      </w:tblPr>
      <w:tblGrid>
        <w:gridCol w:w="3005"/>
        <w:gridCol w:w="1134"/>
        <w:gridCol w:w="1020"/>
        <w:gridCol w:w="1020"/>
        <w:gridCol w:w="1020"/>
        <w:gridCol w:w="1020"/>
        <w:gridCol w:w="1134"/>
      </w:tblGrid>
      <w:tr w:rsidR="00BA59C4" w14:paraId="7EB665AD" w14:textId="77777777" w:rsidTr="007A0528">
        <w:trPr>
          <w:cantSplit/>
          <w:tblHeader/>
        </w:trPr>
        <w:tc>
          <w:tcPr>
            <w:tcW w:w="3005" w:type="dxa"/>
            <w:tcBorders>
              <w:bottom w:val="single" w:sz="4" w:space="0" w:color="000000"/>
            </w:tcBorders>
            <w:vAlign w:val="bottom"/>
          </w:tcPr>
          <w:p w14:paraId="1635718F" w14:textId="77777777" w:rsidR="00BA59C4" w:rsidRDefault="00BA59C4" w:rsidP="007A0528">
            <w:pPr>
              <w:widowControl w:val="0"/>
              <w:pBdr>
                <w:top w:val="nil"/>
                <w:left w:val="nil"/>
                <w:bottom w:val="nil"/>
                <w:right w:val="nil"/>
                <w:between w:val="nil"/>
              </w:pBdr>
              <w:ind w:left="113" w:right="-57" w:hanging="113"/>
              <w:rPr>
                <w:i/>
                <w:color w:val="000000"/>
              </w:rPr>
            </w:pPr>
            <w:r>
              <w:rPr>
                <w:i/>
                <w:color w:val="000000"/>
              </w:rPr>
              <w:t>In thousands of EUR</w:t>
            </w:r>
          </w:p>
        </w:tc>
        <w:tc>
          <w:tcPr>
            <w:tcW w:w="1134" w:type="dxa"/>
            <w:tcBorders>
              <w:bottom w:val="single" w:sz="4" w:space="0" w:color="000000"/>
            </w:tcBorders>
          </w:tcPr>
          <w:p w14:paraId="1B5230C0" w14:textId="77777777" w:rsidR="00BA59C4" w:rsidRDefault="00BA59C4" w:rsidP="007A0528">
            <w:pPr>
              <w:widowControl w:val="0"/>
              <w:pBdr>
                <w:top w:val="nil"/>
                <w:left w:val="nil"/>
                <w:bottom w:val="nil"/>
                <w:right w:val="nil"/>
                <w:between w:val="nil"/>
              </w:pBdr>
              <w:ind w:left="-113"/>
              <w:jc w:val="right"/>
              <w:rPr>
                <w:b/>
                <w:color w:val="000000"/>
              </w:rPr>
            </w:pPr>
            <w:r>
              <w:rPr>
                <w:b/>
                <w:color w:val="000000"/>
              </w:rPr>
              <w:t xml:space="preserve">Total amount for all reportable segments </w:t>
            </w:r>
          </w:p>
        </w:tc>
        <w:tc>
          <w:tcPr>
            <w:tcW w:w="1020" w:type="dxa"/>
            <w:tcBorders>
              <w:bottom w:val="single" w:sz="4" w:space="0" w:color="000000"/>
            </w:tcBorders>
          </w:tcPr>
          <w:p w14:paraId="3B24F943" w14:textId="77777777" w:rsidR="00BA59C4" w:rsidRDefault="00BA59C4" w:rsidP="007A052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1]</w:t>
            </w:r>
          </w:p>
        </w:tc>
        <w:tc>
          <w:tcPr>
            <w:tcW w:w="1020" w:type="dxa"/>
            <w:tcBorders>
              <w:bottom w:val="single" w:sz="4" w:space="0" w:color="000000"/>
            </w:tcBorders>
          </w:tcPr>
          <w:p w14:paraId="147B4C12" w14:textId="77777777" w:rsidR="00BA59C4" w:rsidRDefault="00BA59C4" w:rsidP="007A052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2]</w:t>
            </w:r>
          </w:p>
        </w:tc>
        <w:tc>
          <w:tcPr>
            <w:tcW w:w="1020" w:type="dxa"/>
            <w:tcBorders>
              <w:bottom w:val="single" w:sz="4" w:space="0" w:color="000000"/>
            </w:tcBorders>
          </w:tcPr>
          <w:p w14:paraId="59220203" w14:textId="77777777" w:rsidR="00BA59C4" w:rsidRDefault="00BA59C4" w:rsidP="007A052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3]</w:t>
            </w:r>
          </w:p>
        </w:tc>
        <w:tc>
          <w:tcPr>
            <w:tcW w:w="1020" w:type="dxa"/>
            <w:tcBorders>
              <w:bottom w:val="single" w:sz="4" w:space="0" w:color="000000"/>
            </w:tcBorders>
          </w:tcPr>
          <w:p w14:paraId="08B42521" w14:textId="77777777" w:rsidR="00BA59C4" w:rsidRDefault="00BA59C4" w:rsidP="007A0528">
            <w:pPr>
              <w:widowControl w:val="0"/>
              <w:pBdr>
                <w:top w:val="nil"/>
                <w:left w:val="nil"/>
                <w:bottom w:val="nil"/>
                <w:right w:val="nil"/>
                <w:between w:val="nil"/>
              </w:pBdr>
              <w:ind w:left="-113"/>
              <w:jc w:val="right"/>
              <w:rPr>
                <w:b/>
                <w:color w:val="0000FF"/>
              </w:rPr>
            </w:pPr>
            <w:r>
              <w:rPr>
                <w:b/>
                <w:color w:val="0000FF"/>
              </w:rPr>
              <w:t>[Total for adjustments]</w:t>
            </w:r>
          </w:p>
        </w:tc>
        <w:tc>
          <w:tcPr>
            <w:tcW w:w="1134" w:type="dxa"/>
            <w:tcBorders>
              <w:bottom w:val="single" w:sz="4" w:space="0" w:color="000000"/>
            </w:tcBorders>
          </w:tcPr>
          <w:p w14:paraId="02011605" w14:textId="77777777" w:rsidR="00BA59C4" w:rsidRDefault="00BA59C4" w:rsidP="007A0528">
            <w:pPr>
              <w:widowControl w:val="0"/>
              <w:pBdr>
                <w:top w:val="nil"/>
                <w:left w:val="nil"/>
                <w:bottom w:val="nil"/>
                <w:right w:val="nil"/>
                <w:between w:val="nil"/>
              </w:pBdr>
              <w:ind w:left="-113"/>
              <w:jc w:val="right"/>
              <w:rPr>
                <w:b/>
                <w:color w:val="000000"/>
              </w:rPr>
            </w:pPr>
            <w:r>
              <w:rPr>
                <w:b/>
                <w:color w:val="000000"/>
              </w:rPr>
              <w:t>As reported under IFRS Accounting Standards</w:t>
            </w:r>
          </w:p>
        </w:tc>
      </w:tr>
      <w:tr w:rsidR="00BA59C4" w14:paraId="60159958" w14:textId="77777777" w:rsidTr="007A0528">
        <w:trPr>
          <w:cantSplit/>
          <w:tblHeader/>
        </w:trPr>
        <w:tc>
          <w:tcPr>
            <w:tcW w:w="3005" w:type="dxa"/>
            <w:tcBorders>
              <w:top w:val="single" w:sz="4" w:space="0" w:color="000000"/>
            </w:tcBorders>
            <w:vAlign w:val="bottom"/>
          </w:tcPr>
          <w:p w14:paraId="36678FF7" w14:textId="77777777" w:rsidR="00BA59C4" w:rsidRDefault="00BA59C4" w:rsidP="007A0528">
            <w:pPr>
              <w:widowControl w:val="0"/>
              <w:pBdr>
                <w:top w:val="nil"/>
                <w:left w:val="nil"/>
                <w:bottom w:val="nil"/>
                <w:right w:val="nil"/>
                <w:between w:val="nil"/>
              </w:pBdr>
              <w:ind w:left="113" w:right="-57" w:hanging="113"/>
              <w:rPr>
                <w:color w:val="000000"/>
              </w:rPr>
            </w:pPr>
            <w:r>
              <w:rPr>
                <w:b/>
                <w:color w:val="000000"/>
              </w:rPr>
              <w:t> </w:t>
            </w:r>
          </w:p>
        </w:tc>
        <w:tc>
          <w:tcPr>
            <w:tcW w:w="1134" w:type="dxa"/>
            <w:tcBorders>
              <w:top w:val="single" w:sz="4" w:space="0" w:color="000000"/>
            </w:tcBorders>
            <w:vAlign w:val="bottom"/>
          </w:tcPr>
          <w:p w14:paraId="3E0AD9B6" w14:textId="77777777" w:rsidR="00BA59C4" w:rsidRDefault="00BA59C4" w:rsidP="007A0528">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414EF2EF" w14:textId="77777777" w:rsidR="00BA59C4" w:rsidRDefault="00BA59C4" w:rsidP="007A0528">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0CCA902C" w14:textId="77777777" w:rsidR="00BA59C4" w:rsidRDefault="00BA59C4" w:rsidP="007A0528">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52099730" w14:textId="77777777" w:rsidR="00BA59C4" w:rsidRDefault="00BA59C4" w:rsidP="007A0528">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54F9F6E9" w14:textId="77777777" w:rsidR="00BA59C4" w:rsidRDefault="00BA59C4" w:rsidP="007A0528">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48226C2" w14:textId="77777777" w:rsidR="00BA59C4" w:rsidRDefault="00BA59C4" w:rsidP="007A0528">
            <w:pPr>
              <w:widowControl w:val="0"/>
              <w:pBdr>
                <w:top w:val="nil"/>
                <w:left w:val="nil"/>
                <w:bottom w:val="nil"/>
                <w:right w:val="nil"/>
                <w:between w:val="nil"/>
              </w:pBdr>
              <w:jc w:val="right"/>
              <w:rPr>
                <w:color w:val="000000"/>
              </w:rPr>
            </w:pPr>
          </w:p>
        </w:tc>
      </w:tr>
      <w:tr w:rsidR="00BA59C4" w14:paraId="42F4261B" w14:textId="77777777" w:rsidTr="007A0528">
        <w:trPr>
          <w:cantSplit/>
          <w:tblHeader/>
        </w:trPr>
        <w:tc>
          <w:tcPr>
            <w:tcW w:w="3005" w:type="dxa"/>
            <w:vAlign w:val="bottom"/>
          </w:tcPr>
          <w:p w14:paraId="37A8C000" w14:textId="62372A79" w:rsidR="00BA59C4" w:rsidRDefault="00BA59C4" w:rsidP="007A0528">
            <w:pPr>
              <w:widowControl w:val="0"/>
              <w:pBdr>
                <w:top w:val="nil"/>
                <w:left w:val="nil"/>
                <w:bottom w:val="nil"/>
                <w:right w:val="nil"/>
                <w:between w:val="nil"/>
              </w:pBdr>
              <w:ind w:left="113" w:right="-57" w:hanging="113"/>
              <w:rPr>
                <w:b/>
                <w:color w:val="000000"/>
              </w:rPr>
            </w:pPr>
            <w:r>
              <w:rPr>
                <w:b/>
                <w:color w:val="000000"/>
              </w:rPr>
              <w:t>Material income or expenses for year ended 31 December 2024</w:t>
            </w:r>
          </w:p>
        </w:tc>
        <w:tc>
          <w:tcPr>
            <w:tcW w:w="1134" w:type="dxa"/>
            <w:vAlign w:val="bottom"/>
          </w:tcPr>
          <w:p w14:paraId="5FDAA394"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61C24DF7"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7635D777"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A97EF2A"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1BEC659"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0ECBFEA1" w14:textId="77777777" w:rsidR="00BA59C4" w:rsidRDefault="00BA59C4" w:rsidP="007A0528">
            <w:pPr>
              <w:widowControl w:val="0"/>
              <w:pBdr>
                <w:top w:val="nil"/>
                <w:left w:val="nil"/>
                <w:bottom w:val="nil"/>
                <w:right w:val="nil"/>
                <w:between w:val="nil"/>
              </w:pBdr>
              <w:jc w:val="right"/>
              <w:rPr>
                <w:color w:val="000000"/>
              </w:rPr>
            </w:pPr>
          </w:p>
        </w:tc>
      </w:tr>
      <w:tr w:rsidR="00BA59C4" w14:paraId="5DEC4B67" w14:textId="77777777" w:rsidTr="007A0528">
        <w:trPr>
          <w:cantSplit/>
          <w:tblHeader/>
        </w:trPr>
        <w:tc>
          <w:tcPr>
            <w:tcW w:w="3005" w:type="dxa"/>
            <w:vAlign w:val="bottom"/>
          </w:tcPr>
          <w:p w14:paraId="2B66AC75" w14:textId="77777777" w:rsidR="00BA59C4" w:rsidRDefault="00BA59C4" w:rsidP="007A0528">
            <w:pPr>
              <w:widowControl w:val="0"/>
              <w:pBdr>
                <w:top w:val="nil"/>
                <w:left w:val="nil"/>
                <w:bottom w:val="nil"/>
                <w:right w:val="nil"/>
                <w:between w:val="nil"/>
              </w:pBdr>
              <w:ind w:left="113" w:right="-57" w:hanging="113"/>
              <w:rPr>
                <w:color w:val="000000"/>
              </w:rPr>
            </w:pPr>
            <w:r>
              <w:rPr>
                <w:b/>
                <w:color w:val="000000"/>
              </w:rPr>
              <w:t> </w:t>
            </w:r>
          </w:p>
        </w:tc>
        <w:tc>
          <w:tcPr>
            <w:tcW w:w="1134" w:type="dxa"/>
            <w:vAlign w:val="bottom"/>
          </w:tcPr>
          <w:p w14:paraId="1CF2C565"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288B72B5"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8BC5A61"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3CE3FFCC"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11D916AB"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504764A1" w14:textId="77777777" w:rsidR="00BA59C4" w:rsidRDefault="00BA59C4" w:rsidP="007A0528">
            <w:pPr>
              <w:widowControl w:val="0"/>
              <w:pBdr>
                <w:top w:val="nil"/>
                <w:left w:val="nil"/>
                <w:bottom w:val="nil"/>
                <w:right w:val="nil"/>
                <w:between w:val="nil"/>
              </w:pBdr>
              <w:jc w:val="right"/>
              <w:rPr>
                <w:color w:val="000000"/>
              </w:rPr>
            </w:pPr>
          </w:p>
        </w:tc>
      </w:tr>
      <w:tr w:rsidR="00BA59C4" w14:paraId="12CBE524" w14:textId="77777777" w:rsidTr="007A0528">
        <w:trPr>
          <w:cantSplit/>
          <w:tblHeader/>
        </w:trPr>
        <w:tc>
          <w:tcPr>
            <w:tcW w:w="3005" w:type="dxa"/>
            <w:vAlign w:val="bottom"/>
          </w:tcPr>
          <w:p w14:paraId="4D15A33B" w14:textId="77777777" w:rsidR="00BA59C4" w:rsidRDefault="00BA59C4" w:rsidP="007A0528">
            <w:pPr>
              <w:widowControl w:val="0"/>
              <w:pBdr>
                <w:top w:val="nil"/>
                <w:left w:val="nil"/>
                <w:bottom w:val="nil"/>
                <w:right w:val="nil"/>
                <w:between w:val="nil"/>
              </w:pBdr>
              <w:ind w:left="113" w:right="-57" w:hanging="113"/>
              <w:rPr>
                <w:i/>
                <w:color w:val="000000"/>
              </w:rPr>
            </w:pPr>
            <w:r>
              <w:rPr>
                <w:i/>
                <w:color w:val="000000"/>
              </w:rPr>
              <w:t>External revenues:</w:t>
            </w:r>
          </w:p>
        </w:tc>
        <w:tc>
          <w:tcPr>
            <w:tcW w:w="1134" w:type="dxa"/>
            <w:vAlign w:val="bottom"/>
          </w:tcPr>
          <w:p w14:paraId="5223EF17" w14:textId="77777777" w:rsidR="00BA59C4" w:rsidRDefault="00BA59C4" w:rsidP="007A0528">
            <w:pPr>
              <w:widowControl w:val="0"/>
              <w:pBdr>
                <w:top w:val="nil"/>
                <w:left w:val="nil"/>
                <w:bottom w:val="nil"/>
                <w:right w:val="nil"/>
                <w:between w:val="nil"/>
              </w:pBdr>
              <w:jc w:val="right"/>
              <w:rPr>
                <w:i/>
                <w:color w:val="000000"/>
              </w:rPr>
            </w:pPr>
          </w:p>
        </w:tc>
        <w:tc>
          <w:tcPr>
            <w:tcW w:w="1020" w:type="dxa"/>
            <w:vAlign w:val="bottom"/>
          </w:tcPr>
          <w:p w14:paraId="47982B55" w14:textId="77777777" w:rsidR="00BA59C4" w:rsidRDefault="00BA59C4" w:rsidP="007A0528">
            <w:pPr>
              <w:widowControl w:val="0"/>
              <w:pBdr>
                <w:top w:val="nil"/>
                <w:left w:val="nil"/>
                <w:bottom w:val="nil"/>
                <w:right w:val="nil"/>
                <w:between w:val="nil"/>
              </w:pBdr>
              <w:jc w:val="right"/>
              <w:rPr>
                <w:i/>
                <w:color w:val="000000"/>
              </w:rPr>
            </w:pPr>
          </w:p>
        </w:tc>
        <w:tc>
          <w:tcPr>
            <w:tcW w:w="1020" w:type="dxa"/>
            <w:vAlign w:val="bottom"/>
          </w:tcPr>
          <w:p w14:paraId="33C33DE3" w14:textId="77777777" w:rsidR="00BA59C4" w:rsidRDefault="00BA59C4" w:rsidP="007A0528">
            <w:pPr>
              <w:widowControl w:val="0"/>
              <w:pBdr>
                <w:top w:val="nil"/>
                <w:left w:val="nil"/>
                <w:bottom w:val="nil"/>
                <w:right w:val="nil"/>
                <w:between w:val="nil"/>
              </w:pBdr>
              <w:jc w:val="right"/>
              <w:rPr>
                <w:i/>
                <w:color w:val="000000"/>
              </w:rPr>
            </w:pPr>
          </w:p>
        </w:tc>
        <w:tc>
          <w:tcPr>
            <w:tcW w:w="1020" w:type="dxa"/>
            <w:vAlign w:val="bottom"/>
          </w:tcPr>
          <w:p w14:paraId="6429F76B" w14:textId="77777777" w:rsidR="00BA59C4" w:rsidRDefault="00BA59C4" w:rsidP="007A0528">
            <w:pPr>
              <w:widowControl w:val="0"/>
              <w:pBdr>
                <w:top w:val="nil"/>
                <w:left w:val="nil"/>
                <w:bottom w:val="nil"/>
                <w:right w:val="nil"/>
                <w:between w:val="nil"/>
              </w:pBdr>
              <w:jc w:val="right"/>
              <w:rPr>
                <w:i/>
                <w:color w:val="000000"/>
              </w:rPr>
            </w:pPr>
          </w:p>
        </w:tc>
        <w:tc>
          <w:tcPr>
            <w:tcW w:w="1020" w:type="dxa"/>
            <w:vAlign w:val="bottom"/>
          </w:tcPr>
          <w:p w14:paraId="3905A86D" w14:textId="77777777" w:rsidR="00BA59C4" w:rsidRDefault="00BA59C4" w:rsidP="007A0528">
            <w:pPr>
              <w:widowControl w:val="0"/>
              <w:pBdr>
                <w:top w:val="nil"/>
                <w:left w:val="nil"/>
                <w:bottom w:val="nil"/>
                <w:right w:val="nil"/>
                <w:between w:val="nil"/>
              </w:pBdr>
              <w:jc w:val="right"/>
              <w:rPr>
                <w:i/>
                <w:color w:val="000000"/>
              </w:rPr>
            </w:pPr>
          </w:p>
        </w:tc>
        <w:tc>
          <w:tcPr>
            <w:tcW w:w="1134" w:type="dxa"/>
            <w:vAlign w:val="bottom"/>
          </w:tcPr>
          <w:p w14:paraId="291B2E4C" w14:textId="77777777" w:rsidR="00BA59C4" w:rsidRDefault="00BA59C4" w:rsidP="007A0528">
            <w:pPr>
              <w:widowControl w:val="0"/>
              <w:pBdr>
                <w:top w:val="nil"/>
                <w:left w:val="nil"/>
                <w:bottom w:val="nil"/>
                <w:right w:val="nil"/>
                <w:between w:val="nil"/>
              </w:pBdr>
              <w:jc w:val="right"/>
              <w:rPr>
                <w:i/>
                <w:color w:val="000000"/>
              </w:rPr>
            </w:pPr>
          </w:p>
        </w:tc>
      </w:tr>
      <w:tr w:rsidR="00BA59C4" w14:paraId="3863745E" w14:textId="77777777" w:rsidTr="007A0528">
        <w:trPr>
          <w:cantSplit/>
          <w:tblHeader/>
        </w:trPr>
        <w:tc>
          <w:tcPr>
            <w:tcW w:w="3005" w:type="dxa"/>
            <w:vAlign w:val="bottom"/>
          </w:tcPr>
          <w:p w14:paraId="33224D27" w14:textId="77777777" w:rsidR="00BA59C4" w:rsidRDefault="00BA59C4" w:rsidP="007A0528">
            <w:pPr>
              <w:widowControl w:val="0"/>
              <w:pBdr>
                <w:top w:val="nil"/>
                <w:left w:val="nil"/>
                <w:bottom w:val="nil"/>
                <w:right w:val="nil"/>
                <w:between w:val="nil"/>
              </w:pBdr>
              <w:ind w:left="113" w:right="-57" w:hanging="113"/>
              <w:rPr>
                <w:color w:val="000000"/>
              </w:rPr>
            </w:pPr>
            <w:r>
              <w:rPr>
                <w:color w:val="000000"/>
              </w:rPr>
              <w:t>- Revenues from core activities</w:t>
            </w:r>
          </w:p>
        </w:tc>
        <w:tc>
          <w:tcPr>
            <w:tcW w:w="1134" w:type="dxa"/>
            <w:vAlign w:val="bottom"/>
          </w:tcPr>
          <w:p w14:paraId="45F6980D"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2033FE1F"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5A8A51C"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31D2DF57"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1CEE0FB"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78999E86" w14:textId="77777777" w:rsidR="00BA59C4" w:rsidRDefault="00BA59C4" w:rsidP="007A0528">
            <w:pPr>
              <w:widowControl w:val="0"/>
              <w:pBdr>
                <w:top w:val="nil"/>
                <w:left w:val="nil"/>
                <w:bottom w:val="nil"/>
                <w:right w:val="nil"/>
                <w:between w:val="nil"/>
              </w:pBdr>
              <w:jc w:val="right"/>
              <w:rPr>
                <w:color w:val="000000"/>
              </w:rPr>
            </w:pPr>
          </w:p>
        </w:tc>
      </w:tr>
      <w:tr w:rsidR="00BA59C4" w14:paraId="7225B076" w14:textId="77777777" w:rsidTr="007A0528">
        <w:trPr>
          <w:cantSplit/>
          <w:tblHeader/>
        </w:trPr>
        <w:tc>
          <w:tcPr>
            <w:tcW w:w="3005" w:type="dxa"/>
            <w:vAlign w:val="bottom"/>
          </w:tcPr>
          <w:p w14:paraId="5A74041A" w14:textId="77777777" w:rsidR="00BA59C4" w:rsidRDefault="00BA59C4" w:rsidP="007A0528">
            <w:pPr>
              <w:widowControl w:val="0"/>
              <w:pBdr>
                <w:top w:val="nil"/>
                <w:left w:val="nil"/>
                <w:bottom w:val="nil"/>
                <w:right w:val="nil"/>
                <w:between w:val="nil"/>
              </w:pBdr>
              <w:ind w:left="113" w:right="-57" w:hanging="113"/>
              <w:rPr>
                <w:color w:val="000000"/>
              </w:rPr>
            </w:pPr>
            <w:r>
              <w:rPr>
                <w:color w:val="000000"/>
              </w:rPr>
              <w:t>- Interest income</w:t>
            </w:r>
          </w:p>
        </w:tc>
        <w:tc>
          <w:tcPr>
            <w:tcW w:w="1134" w:type="dxa"/>
            <w:vAlign w:val="bottom"/>
          </w:tcPr>
          <w:p w14:paraId="2FCE3E00"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162D56B3"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6463DC8E"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66111105"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37C6DA10"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62A86B35" w14:textId="77777777" w:rsidR="00BA59C4" w:rsidRDefault="00BA59C4" w:rsidP="007A0528">
            <w:pPr>
              <w:widowControl w:val="0"/>
              <w:pBdr>
                <w:top w:val="nil"/>
                <w:left w:val="nil"/>
                <w:bottom w:val="nil"/>
                <w:right w:val="nil"/>
                <w:between w:val="nil"/>
              </w:pBdr>
              <w:jc w:val="right"/>
              <w:rPr>
                <w:color w:val="000000"/>
              </w:rPr>
            </w:pPr>
          </w:p>
        </w:tc>
      </w:tr>
      <w:tr w:rsidR="00BA59C4" w14:paraId="1B86EA5C" w14:textId="77777777" w:rsidTr="007A0528">
        <w:trPr>
          <w:cantSplit/>
          <w:tblHeader/>
        </w:trPr>
        <w:tc>
          <w:tcPr>
            <w:tcW w:w="3005" w:type="dxa"/>
            <w:vAlign w:val="bottom"/>
          </w:tcPr>
          <w:p w14:paraId="2AEF8166" w14:textId="77777777" w:rsidR="00BA59C4" w:rsidRDefault="00BA59C4" w:rsidP="007A0528">
            <w:pPr>
              <w:widowControl w:val="0"/>
              <w:pBdr>
                <w:top w:val="nil"/>
                <w:left w:val="nil"/>
                <w:bottom w:val="nil"/>
                <w:right w:val="nil"/>
                <w:between w:val="nil"/>
              </w:pBdr>
              <w:ind w:left="113" w:right="-57" w:hanging="113"/>
              <w:rPr>
                <w:color w:val="000000"/>
              </w:rPr>
            </w:pPr>
            <w:r>
              <w:rPr>
                <w:color w:val="000000"/>
              </w:rPr>
              <w:t xml:space="preserve">- Other income </w:t>
            </w:r>
          </w:p>
        </w:tc>
        <w:tc>
          <w:tcPr>
            <w:tcW w:w="1134" w:type="dxa"/>
            <w:vAlign w:val="bottom"/>
          </w:tcPr>
          <w:p w14:paraId="4143FA80"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67EDCF2C"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2931C08C"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74B49479"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4EB0C916"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6F1F36D1" w14:textId="77777777" w:rsidR="00BA59C4" w:rsidRDefault="00BA59C4" w:rsidP="007A0528">
            <w:pPr>
              <w:widowControl w:val="0"/>
              <w:pBdr>
                <w:top w:val="nil"/>
                <w:left w:val="nil"/>
                <w:bottom w:val="nil"/>
                <w:right w:val="nil"/>
                <w:between w:val="nil"/>
              </w:pBdr>
              <w:jc w:val="right"/>
              <w:rPr>
                <w:color w:val="000000"/>
              </w:rPr>
            </w:pPr>
          </w:p>
        </w:tc>
      </w:tr>
      <w:tr w:rsidR="00BA59C4" w14:paraId="552ADC97" w14:textId="77777777" w:rsidTr="007A0528">
        <w:trPr>
          <w:cantSplit/>
          <w:tblHeader/>
        </w:trPr>
        <w:tc>
          <w:tcPr>
            <w:tcW w:w="3005" w:type="dxa"/>
            <w:vAlign w:val="bottom"/>
          </w:tcPr>
          <w:p w14:paraId="21D99DC5" w14:textId="77777777" w:rsidR="00BA59C4" w:rsidRDefault="00BA59C4" w:rsidP="007A0528">
            <w:pPr>
              <w:widowControl w:val="0"/>
              <w:pBdr>
                <w:top w:val="nil"/>
                <w:left w:val="nil"/>
                <w:bottom w:val="nil"/>
                <w:right w:val="nil"/>
                <w:between w:val="nil"/>
              </w:pBdr>
              <w:ind w:left="113" w:right="-57" w:hanging="113"/>
              <w:rPr>
                <w:color w:val="000000"/>
              </w:rPr>
            </w:pPr>
            <w:r w:rsidRPr="00706FCB">
              <w:rPr>
                <w:color w:val="000000"/>
              </w:rPr>
              <w:t>Cost of sales</w:t>
            </w:r>
          </w:p>
        </w:tc>
        <w:tc>
          <w:tcPr>
            <w:tcW w:w="1134" w:type="dxa"/>
            <w:vAlign w:val="bottom"/>
          </w:tcPr>
          <w:p w14:paraId="348659F2"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2135686A"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18F379A3"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4F8E0E7F"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17CF0564"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7C0E8C57" w14:textId="77777777" w:rsidR="00BA59C4" w:rsidRDefault="00BA59C4" w:rsidP="007A0528">
            <w:pPr>
              <w:widowControl w:val="0"/>
              <w:pBdr>
                <w:top w:val="nil"/>
                <w:left w:val="nil"/>
                <w:bottom w:val="nil"/>
                <w:right w:val="nil"/>
                <w:between w:val="nil"/>
              </w:pBdr>
              <w:jc w:val="right"/>
              <w:rPr>
                <w:color w:val="000000"/>
              </w:rPr>
            </w:pPr>
          </w:p>
        </w:tc>
      </w:tr>
      <w:tr w:rsidR="00BA59C4" w14:paraId="71408A79" w14:textId="77777777" w:rsidTr="007A0528">
        <w:trPr>
          <w:cantSplit/>
          <w:tblHeader/>
        </w:trPr>
        <w:tc>
          <w:tcPr>
            <w:tcW w:w="3005" w:type="dxa"/>
            <w:vAlign w:val="bottom"/>
          </w:tcPr>
          <w:p w14:paraId="685D77C7" w14:textId="77777777" w:rsidR="00BA59C4" w:rsidRDefault="00BA59C4" w:rsidP="007A0528">
            <w:pPr>
              <w:widowControl w:val="0"/>
              <w:pBdr>
                <w:top w:val="nil"/>
                <w:left w:val="nil"/>
                <w:bottom w:val="nil"/>
                <w:right w:val="nil"/>
                <w:between w:val="nil"/>
              </w:pBdr>
              <w:ind w:left="113" w:right="-57" w:hanging="113"/>
              <w:rPr>
                <w:color w:val="000000"/>
              </w:rPr>
            </w:pPr>
            <w:r w:rsidRPr="00566DD2">
              <w:rPr>
                <w:color w:val="000000"/>
              </w:rPr>
              <w:t>Distribution costs</w:t>
            </w:r>
          </w:p>
        </w:tc>
        <w:tc>
          <w:tcPr>
            <w:tcW w:w="1134" w:type="dxa"/>
            <w:vAlign w:val="bottom"/>
          </w:tcPr>
          <w:p w14:paraId="64C8EED9"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B7FE7B5"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44E8BB4F"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2F669427"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D4E5677"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1157D2D9" w14:textId="77777777" w:rsidR="00BA59C4" w:rsidRDefault="00BA59C4" w:rsidP="007A0528">
            <w:pPr>
              <w:widowControl w:val="0"/>
              <w:pBdr>
                <w:top w:val="nil"/>
                <w:left w:val="nil"/>
                <w:bottom w:val="nil"/>
                <w:right w:val="nil"/>
                <w:between w:val="nil"/>
              </w:pBdr>
              <w:jc w:val="right"/>
              <w:rPr>
                <w:color w:val="000000"/>
              </w:rPr>
            </w:pPr>
          </w:p>
        </w:tc>
      </w:tr>
      <w:tr w:rsidR="00BA59C4" w14:paraId="51F5486D" w14:textId="77777777" w:rsidTr="007A0528">
        <w:trPr>
          <w:cantSplit/>
          <w:tblHeader/>
        </w:trPr>
        <w:tc>
          <w:tcPr>
            <w:tcW w:w="3005" w:type="dxa"/>
            <w:vAlign w:val="bottom"/>
          </w:tcPr>
          <w:p w14:paraId="540D3446" w14:textId="77777777" w:rsidR="00BA59C4" w:rsidRDefault="00BA59C4" w:rsidP="007A0528">
            <w:pPr>
              <w:widowControl w:val="0"/>
              <w:pBdr>
                <w:top w:val="nil"/>
                <w:left w:val="nil"/>
                <w:bottom w:val="nil"/>
                <w:right w:val="nil"/>
                <w:between w:val="nil"/>
              </w:pBdr>
              <w:ind w:left="113" w:right="-57" w:hanging="113"/>
              <w:rPr>
                <w:color w:val="000000"/>
              </w:rPr>
            </w:pPr>
            <w:r w:rsidRPr="00566DD2">
              <w:rPr>
                <w:color w:val="000000"/>
              </w:rPr>
              <w:t>General and administrative expenses</w:t>
            </w:r>
          </w:p>
        </w:tc>
        <w:tc>
          <w:tcPr>
            <w:tcW w:w="1134" w:type="dxa"/>
            <w:vAlign w:val="bottom"/>
          </w:tcPr>
          <w:p w14:paraId="199B4610"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74DB851D"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248E974F"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D4F6939"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3A847A09"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074A8C4E" w14:textId="77777777" w:rsidR="00BA59C4" w:rsidRDefault="00BA59C4" w:rsidP="007A0528">
            <w:pPr>
              <w:widowControl w:val="0"/>
              <w:pBdr>
                <w:top w:val="nil"/>
                <w:left w:val="nil"/>
                <w:bottom w:val="nil"/>
                <w:right w:val="nil"/>
                <w:between w:val="nil"/>
              </w:pBdr>
              <w:jc w:val="right"/>
              <w:rPr>
                <w:color w:val="000000"/>
              </w:rPr>
            </w:pPr>
          </w:p>
        </w:tc>
      </w:tr>
      <w:tr w:rsidR="00BA59C4" w14:paraId="3ECB785B" w14:textId="77777777" w:rsidTr="007A0528">
        <w:trPr>
          <w:cantSplit/>
          <w:tblHeader/>
        </w:trPr>
        <w:tc>
          <w:tcPr>
            <w:tcW w:w="3005" w:type="dxa"/>
            <w:vAlign w:val="bottom"/>
          </w:tcPr>
          <w:p w14:paraId="49E8715D" w14:textId="77777777" w:rsidR="00BA59C4" w:rsidRDefault="00BA59C4" w:rsidP="007A0528">
            <w:pPr>
              <w:widowControl w:val="0"/>
              <w:pBdr>
                <w:top w:val="nil"/>
                <w:left w:val="nil"/>
                <w:bottom w:val="nil"/>
                <w:right w:val="nil"/>
                <w:between w:val="nil"/>
              </w:pBdr>
              <w:ind w:left="113" w:right="-57" w:hanging="113"/>
              <w:rPr>
                <w:color w:val="000000"/>
              </w:rPr>
            </w:pPr>
            <w:r w:rsidRPr="00566DD2">
              <w:rPr>
                <w:color w:val="000000"/>
              </w:rPr>
              <w:t>Research and development costs</w:t>
            </w:r>
          </w:p>
        </w:tc>
        <w:tc>
          <w:tcPr>
            <w:tcW w:w="1134" w:type="dxa"/>
            <w:vAlign w:val="bottom"/>
          </w:tcPr>
          <w:p w14:paraId="7551C89C"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5D8A01FB"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127AD706"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D97B6AF"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1047FF37"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351697D4" w14:textId="77777777" w:rsidR="00BA59C4" w:rsidRDefault="00BA59C4" w:rsidP="007A0528">
            <w:pPr>
              <w:widowControl w:val="0"/>
              <w:pBdr>
                <w:top w:val="nil"/>
                <w:left w:val="nil"/>
                <w:bottom w:val="nil"/>
                <w:right w:val="nil"/>
                <w:between w:val="nil"/>
              </w:pBdr>
              <w:jc w:val="right"/>
              <w:rPr>
                <w:color w:val="000000"/>
              </w:rPr>
            </w:pPr>
          </w:p>
        </w:tc>
      </w:tr>
      <w:tr w:rsidR="00BA59C4" w14:paraId="0746F54C" w14:textId="77777777" w:rsidTr="007A0528">
        <w:trPr>
          <w:cantSplit/>
          <w:tblHeader/>
        </w:trPr>
        <w:tc>
          <w:tcPr>
            <w:tcW w:w="3005" w:type="dxa"/>
            <w:vAlign w:val="bottom"/>
          </w:tcPr>
          <w:p w14:paraId="1ED51AD2" w14:textId="77777777" w:rsidR="00BA59C4" w:rsidRDefault="00BA59C4" w:rsidP="007A0528">
            <w:pPr>
              <w:widowControl w:val="0"/>
              <w:pBdr>
                <w:top w:val="nil"/>
                <w:left w:val="nil"/>
                <w:bottom w:val="nil"/>
                <w:right w:val="nil"/>
                <w:between w:val="nil"/>
              </w:pBdr>
              <w:ind w:left="113" w:right="-57" w:hanging="113"/>
              <w:rPr>
                <w:color w:val="000000"/>
              </w:rPr>
            </w:pPr>
            <w:r w:rsidRPr="00566DD2">
              <w:rPr>
                <w:color w:val="000000"/>
              </w:rPr>
              <w:t>Net charge for expected credit losses on financial and contract assets</w:t>
            </w:r>
          </w:p>
        </w:tc>
        <w:tc>
          <w:tcPr>
            <w:tcW w:w="1134" w:type="dxa"/>
            <w:vAlign w:val="bottom"/>
          </w:tcPr>
          <w:p w14:paraId="7072A302"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78E470D2"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6EC9141C"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33155EB3"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55DEBB7D"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5CCB88AB" w14:textId="77777777" w:rsidR="00BA59C4" w:rsidRDefault="00BA59C4" w:rsidP="007A0528">
            <w:pPr>
              <w:widowControl w:val="0"/>
              <w:pBdr>
                <w:top w:val="nil"/>
                <w:left w:val="nil"/>
                <w:bottom w:val="nil"/>
                <w:right w:val="nil"/>
                <w:between w:val="nil"/>
              </w:pBdr>
              <w:jc w:val="right"/>
              <w:rPr>
                <w:color w:val="000000"/>
              </w:rPr>
            </w:pPr>
          </w:p>
        </w:tc>
      </w:tr>
      <w:tr w:rsidR="00BA59C4" w14:paraId="39B85841" w14:textId="77777777" w:rsidTr="007A0528">
        <w:trPr>
          <w:cantSplit/>
          <w:tblHeader/>
        </w:trPr>
        <w:tc>
          <w:tcPr>
            <w:tcW w:w="3005" w:type="dxa"/>
            <w:vAlign w:val="bottom"/>
          </w:tcPr>
          <w:p w14:paraId="483D0AAC" w14:textId="77777777" w:rsidR="00BA59C4" w:rsidRDefault="00BA59C4" w:rsidP="007A0528">
            <w:pPr>
              <w:widowControl w:val="0"/>
              <w:pBdr>
                <w:top w:val="nil"/>
                <w:left w:val="nil"/>
                <w:bottom w:val="nil"/>
                <w:right w:val="nil"/>
                <w:between w:val="nil"/>
              </w:pBdr>
              <w:ind w:left="113" w:right="-57" w:hanging="113"/>
              <w:rPr>
                <w:color w:val="000000"/>
              </w:rPr>
            </w:pPr>
            <w:r>
              <w:rPr>
                <w:color w:val="000000"/>
              </w:rPr>
              <w:t>Other gains/(losses), net</w:t>
            </w:r>
          </w:p>
        </w:tc>
        <w:tc>
          <w:tcPr>
            <w:tcW w:w="1134" w:type="dxa"/>
            <w:vAlign w:val="bottom"/>
          </w:tcPr>
          <w:p w14:paraId="68CF4CD0"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73C2A9B7"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DF5CFBD"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2A2F3BAF"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711180FD"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478E50A3" w14:textId="77777777" w:rsidR="00BA59C4" w:rsidRDefault="00BA59C4" w:rsidP="007A0528">
            <w:pPr>
              <w:widowControl w:val="0"/>
              <w:pBdr>
                <w:top w:val="nil"/>
                <w:left w:val="nil"/>
                <w:bottom w:val="nil"/>
                <w:right w:val="nil"/>
                <w:between w:val="nil"/>
              </w:pBdr>
              <w:jc w:val="right"/>
              <w:rPr>
                <w:color w:val="000000"/>
              </w:rPr>
            </w:pPr>
          </w:p>
        </w:tc>
      </w:tr>
      <w:tr w:rsidR="00BA59C4" w14:paraId="087FF3E8" w14:textId="77777777" w:rsidTr="007A0528">
        <w:trPr>
          <w:cantSplit/>
          <w:tblHeader/>
        </w:trPr>
        <w:tc>
          <w:tcPr>
            <w:tcW w:w="3005" w:type="dxa"/>
            <w:vAlign w:val="bottom"/>
          </w:tcPr>
          <w:p w14:paraId="701E83B0" w14:textId="77777777" w:rsidR="00BA59C4" w:rsidRDefault="00BA59C4" w:rsidP="007A0528">
            <w:pPr>
              <w:widowControl w:val="0"/>
              <w:pBdr>
                <w:top w:val="nil"/>
                <w:left w:val="nil"/>
                <w:bottom w:val="nil"/>
                <w:right w:val="nil"/>
                <w:between w:val="nil"/>
              </w:pBdr>
              <w:ind w:left="113" w:right="-57" w:hanging="113"/>
              <w:rPr>
                <w:color w:val="0000FF"/>
              </w:rPr>
            </w:pPr>
            <w:r>
              <w:rPr>
                <w:color w:val="0000FF"/>
              </w:rPr>
              <w:t>[Material non-cash items other than depreciation and amortisation – expand as appropriate]</w:t>
            </w:r>
          </w:p>
        </w:tc>
        <w:tc>
          <w:tcPr>
            <w:tcW w:w="1134" w:type="dxa"/>
            <w:vAlign w:val="bottom"/>
          </w:tcPr>
          <w:p w14:paraId="5DAEDB1D"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1818E232"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DAA58E8"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5B216D5C"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2C6D3B4A"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758849B1" w14:textId="77777777" w:rsidR="00BA59C4" w:rsidRDefault="00BA59C4" w:rsidP="007A0528">
            <w:pPr>
              <w:widowControl w:val="0"/>
              <w:pBdr>
                <w:top w:val="nil"/>
                <w:left w:val="nil"/>
                <w:bottom w:val="nil"/>
                <w:right w:val="nil"/>
                <w:between w:val="nil"/>
              </w:pBdr>
              <w:jc w:val="right"/>
              <w:rPr>
                <w:color w:val="000000"/>
              </w:rPr>
            </w:pPr>
          </w:p>
        </w:tc>
      </w:tr>
      <w:tr w:rsidR="00BA59C4" w14:paraId="39E2EA0A" w14:textId="77777777" w:rsidTr="007A0528">
        <w:trPr>
          <w:cantSplit/>
          <w:tblHeader/>
        </w:trPr>
        <w:tc>
          <w:tcPr>
            <w:tcW w:w="3005" w:type="dxa"/>
            <w:vAlign w:val="bottom"/>
          </w:tcPr>
          <w:p w14:paraId="2FBCAE46" w14:textId="77777777" w:rsidR="00BA59C4" w:rsidRDefault="00BA59C4" w:rsidP="007A0528">
            <w:pPr>
              <w:widowControl w:val="0"/>
              <w:pBdr>
                <w:top w:val="nil"/>
                <w:left w:val="nil"/>
                <w:bottom w:val="nil"/>
                <w:right w:val="nil"/>
                <w:between w:val="nil"/>
              </w:pBdr>
              <w:ind w:left="113" w:right="-57" w:hanging="113"/>
              <w:rPr>
                <w:color w:val="0000FF"/>
              </w:rPr>
            </w:pPr>
            <w:r>
              <w:rPr>
                <w:color w:val="0000FF"/>
              </w:rPr>
              <w:t>[Other material items of expenses – expand as appropriate]</w:t>
            </w:r>
          </w:p>
        </w:tc>
        <w:tc>
          <w:tcPr>
            <w:tcW w:w="1134" w:type="dxa"/>
            <w:vAlign w:val="bottom"/>
          </w:tcPr>
          <w:p w14:paraId="74768699"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02168D41"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363598DB"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4135E3C6" w14:textId="77777777" w:rsidR="00BA59C4" w:rsidRDefault="00BA59C4" w:rsidP="007A0528">
            <w:pPr>
              <w:widowControl w:val="0"/>
              <w:pBdr>
                <w:top w:val="nil"/>
                <w:left w:val="nil"/>
                <w:bottom w:val="nil"/>
                <w:right w:val="nil"/>
                <w:between w:val="nil"/>
              </w:pBdr>
              <w:jc w:val="right"/>
              <w:rPr>
                <w:color w:val="000000"/>
              </w:rPr>
            </w:pPr>
          </w:p>
        </w:tc>
        <w:tc>
          <w:tcPr>
            <w:tcW w:w="1020" w:type="dxa"/>
            <w:vAlign w:val="bottom"/>
          </w:tcPr>
          <w:p w14:paraId="4B700815" w14:textId="77777777" w:rsidR="00BA59C4" w:rsidRDefault="00BA59C4" w:rsidP="007A0528">
            <w:pPr>
              <w:widowControl w:val="0"/>
              <w:pBdr>
                <w:top w:val="nil"/>
                <w:left w:val="nil"/>
                <w:bottom w:val="nil"/>
                <w:right w:val="nil"/>
                <w:between w:val="nil"/>
              </w:pBdr>
              <w:jc w:val="right"/>
              <w:rPr>
                <w:color w:val="000000"/>
              </w:rPr>
            </w:pPr>
          </w:p>
        </w:tc>
        <w:tc>
          <w:tcPr>
            <w:tcW w:w="1134" w:type="dxa"/>
            <w:vAlign w:val="bottom"/>
          </w:tcPr>
          <w:p w14:paraId="23F2EFB6" w14:textId="77777777" w:rsidR="00BA59C4" w:rsidRDefault="00BA59C4" w:rsidP="007A0528">
            <w:pPr>
              <w:widowControl w:val="0"/>
              <w:pBdr>
                <w:top w:val="nil"/>
                <w:left w:val="nil"/>
                <w:bottom w:val="nil"/>
                <w:right w:val="nil"/>
                <w:between w:val="nil"/>
              </w:pBdr>
              <w:jc w:val="right"/>
              <w:rPr>
                <w:color w:val="000000"/>
              </w:rPr>
            </w:pPr>
          </w:p>
        </w:tc>
      </w:tr>
      <w:tr w:rsidR="00BA59C4" w14:paraId="1008E09C" w14:textId="77777777" w:rsidTr="007A0528">
        <w:trPr>
          <w:cantSplit/>
          <w:tblHeader/>
        </w:trPr>
        <w:tc>
          <w:tcPr>
            <w:tcW w:w="3005" w:type="dxa"/>
            <w:tcBorders>
              <w:bottom w:val="single" w:sz="12" w:space="0" w:color="000000"/>
            </w:tcBorders>
            <w:vAlign w:val="bottom"/>
          </w:tcPr>
          <w:p w14:paraId="51396211" w14:textId="77777777" w:rsidR="00BA59C4" w:rsidRDefault="00BA59C4" w:rsidP="007A0528">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2173F740" w14:textId="77777777" w:rsidR="00BA59C4" w:rsidRDefault="00BA59C4" w:rsidP="007A0528">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78E11A41" w14:textId="77777777" w:rsidR="00BA59C4" w:rsidRDefault="00BA59C4" w:rsidP="007A0528">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6EB91ECE" w14:textId="77777777" w:rsidR="00BA59C4" w:rsidRDefault="00BA59C4" w:rsidP="007A0528">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4EDFB3F4" w14:textId="77777777" w:rsidR="00BA59C4" w:rsidRDefault="00BA59C4" w:rsidP="007A0528">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77077FDD" w14:textId="77777777" w:rsidR="00BA59C4" w:rsidRDefault="00BA59C4" w:rsidP="007A0528">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5C13486" w14:textId="77777777" w:rsidR="00BA59C4" w:rsidRDefault="00BA59C4" w:rsidP="007A0528">
            <w:pPr>
              <w:widowControl w:val="0"/>
              <w:pBdr>
                <w:top w:val="nil"/>
                <w:left w:val="nil"/>
                <w:bottom w:val="nil"/>
                <w:right w:val="nil"/>
                <w:between w:val="nil"/>
              </w:pBdr>
              <w:jc w:val="right"/>
              <w:rPr>
                <w:color w:val="000000"/>
              </w:rPr>
            </w:pPr>
          </w:p>
        </w:tc>
      </w:tr>
    </w:tbl>
    <w:p w14:paraId="516801C0" w14:textId="77777777" w:rsidR="00622667" w:rsidRDefault="00622667" w:rsidP="00622667">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099BD587" w14:textId="66E1410A" w:rsidR="00021B20" w:rsidRPr="00622667" w:rsidRDefault="00021B20">
      <w:pPr>
        <w:widowControl w:val="0"/>
        <w:pBdr>
          <w:top w:val="nil"/>
          <w:left w:val="nil"/>
          <w:bottom w:val="nil"/>
          <w:right w:val="nil"/>
          <w:between w:val="nil"/>
        </w:pBdr>
        <w:spacing w:before="200" w:after="200"/>
        <w:jc w:val="both"/>
        <w:rPr>
          <w:i/>
          <w:iCs/>
          <w:color w:val="FF0000"/>
          <w:sz w:val="20"/>
          <w:szCs w:val="20"/>
        </w:rPr>
      </w:pPr>
    </w:p>
    <w:tbl>
      <w:tblPr>
        <w:tblStyle w:val="af1"/>
        <w:tblW w:w="9354" w:type="dxa"/>
        <w:tblLayout w:type="fixed"/>
        <w:tblLook w:val="0000" w:firstRow="0" w:lastRow="0" w:firstColumn="0" w:lastColumn="0" w:noHBand="0" w:noVBand="0"/>
      </w:tblPr>
      <w:tblGrid>
        <w:gridCol w:w="3005"/>
        <w:gridCol w:w="1134"/>
        <w:gridCol w:w="1020"/>
        <w:gridCol w:w="1020"/>
        <w:gridCol w:w="1020"/>
        <w:gridCol w:w="1020"/>
        <w:gridCol w:w="1135"/>
      </w:tblGrid>
      <w:tr w:rsidR="00A53874" w:rsidRPr="0085674F" w14:paraId="0B953D6A" w14:textId="77777777">
        <w:trPr>
          <w:cantSplit/>
        </w:trPr>
        <w:tc>
          <w:tcPr>
            <w:tcW w:w="3005" w:type="dxa"/>
            <w:tcBorders>
              <w:bottom w:val="single" w:sz="4" w:space="0" w:color="000000"/>
            </w:tcBorders>
            <w:vAlign w:val="bottom"/>
          </w:tcPr>
          <w:p w14:paraId="55CF82F0" w14:textId="77777777" w:rsidR="008E5DE4" w:rsidRPr="00150BDF" w:rsidRDefault="00780368">
            <w:pPr>
              <w:widowControl w:val="0"/>
              <w:pBdr>
                <w:top w:val="nil"/>
                <w:left w:val="nil"/>
                <w:bottom w:val="nil"/>
                <w:right w:val="nil"/>
                <w:between w:val="nil"/>
              </w:pBdr>
              <w:ind w:left="113" w:right="-57" w:hanging="113"/>
              <w:rPr>
                <w:i/>
                <w:color w:val="0000FF"/>
              </w:rPr>
            </w:pPr>
            <w:r w:rsidRPr="00150BDF">
              <w:rPr>
                <w:i/>
                <w:color w:val="0000FF"/>
              </w:rPr>
              <w:t>In thousands of EUR</w:t>
            </w:r>
          </w:p>
        </w:tc>
        <w:tc>
          <w:tcPr>
            <w:tcW w:w="1134" w:type="dxa"/>
            <w:tcBorders>
              <w:bottom w:val="single" w:sz="4" w:space="0" w:color="000000"/>
            </w:tcBorders>
          </w:tcPr>
          <w:p w14:paraId="14DF03FC" w14:textId="77777777" w:rsidR="008E5DE4" w:rsidRPr="00150BDF" w:rsidRDefault="00780368">
            <w:pPr>
              <w:widowControl w:val="0"/>
              <w:pBdr>
                <w:top w:val="nil"/>
                <w:left w:val="nil"/>
                <w:bottom w:val="nil"/>
                <w:right w:val="nil"/>
                <w:between w:val="nil"/>
              </w:pBdr>
              <w:ind w:left="-113"/>
              <w:jc w:val="right"/>
              <w:rPr>
                <w:b/>
                <w:color w:val="0000FF"/>
              </w:rPr>
            </w:pPr>
            <w:r w:rsidRPr="00150BDF">
              <w:rPr>
                <w:b/>
                <w:color w:val="0000FF"/>
              </w:rPr>
              <w:t xml:space="preserve">Total amount for all reportable segments </w:t>
            </w:r>
          </w:p>
        </w:tc>
        <w:tc>
          <w:tcPr>
            <w:tcW w:w="1020" w:type="dxa"/>
            <w:tcBorders>
              <w:bottom w:val="single" w:sz="4" w:space="0" w:color="000000"/>
            </w:tcBorders>
          </w:tcPr>
          <w:p w14:paraId="4AA8A95F" w14:textId="77777777" w:rsidR="008E5DE4" w:rsidRPr="0085674F" w:rsidRDefault="00780368">
            <w:pPr>
              <w:widowControl w:val="0"/>
              <w:pBdr>
                <w:top w:val="nil"/>
                <w:left w:val="nil"/>
                <w:bottom w:val="nil"/>
                <w:right w:val="nil"/>
                <w:between w:val="nil"/>
              </w:pBdr>
              <w:ind w:left="-113"/>
              <w:jc w:val="right"/>
              <w:rPr>
                <w:b/>
                <w:color w:val="0000FF"/>
              </w:rPr>
            </w:pPr>
            <w:r w:rsidRPr="0085674F">
              <w:rPr>
                <w:b/>
                <w:color w:val="0000FF"/>
              </w:rPr>
              <w:t>[Adjust-</w:t>
            </w:r>
            <w:proofErr w:type="spellStart"/>
            <w:r w:rsidRPr="0085674F">
              <w:rPr>
                <w:b/>
                <w:color w:val="0000FF"/>
              </w:rPr>
              <w:t>ment</w:t>
            </w:r>
            <w:proofErr w:type="spellEnd"/>
            <w:r w:rsidRPr="0085674F">
              <w:rPr>
                <w:b/>
                <w:color w:val="0000FF"/>
              </w:rPr>
              <w:t xml:space="preserve"> 1]</w:t>
            </w:r>
          </w:p>
        </w:tc>
        <w:tc>
          <w:tcPr>
            <w:tcW w:w="1020" w:type="dxa"/>
            <w:tcBorders>
              <w:bottom w:val="single" w:sz="4" w:space="0" w:color="000000"/>
            </w:tcBorders>
          </w:tcPr>
          <w:p w14:paraId="43767EA6" w14:textId="77777777" w:rsidR="008E5DE4" w:rsidRPr="0085674F" w:rsidRDefault="00780368">
            <w:pPr>
              <w:widowControl w:val="0"/>
              <w:pBdr>
                <w:top w:val="nil"/>
                <w:left w:val="nil"/>
                <w:bottom w:val="nil"/>
                <w:right w:val="nil"/>
                <w:between w:val="nil"/>
              </w:pBdr>
              <w:ind w:left="-113"/>
              <w:jc w:val="right"/>
              <w:rPr>
                <w:b/>
                <w:color w:val="0000FF"/>
              </w:rPr>
            </w:pPr>
            <w:r w:rsidRPr="0085674F">
              <w:rPr>
                <w:b/>
                <w:color w:val="0000FF"/>
              </w:rPr>
              <w:t>[Adjust-</w:t>
            </w:r>
            <w:proofErr w:type="spellStart"/>
            <w:r w:rsidRPr="0085674F">
              <w:rPr>
                <w:b/>
                <w:color w:val="0000FF"/>
              </w:rPr>
              <w:t>ment</w:t>
            </w:r>
            <w:proofErr w:type="spellEnd"/>
            <w:r w:rsidRPr="0085674F">
              <w:rPr>
                <w:b/>
                <w:color w:val="0000FF"/>
              </w:rPr>
              <w:t xml:space="preserve"> 2]</w:t>
            </w:r>
          </w:p>
        </w:tc>
        <w:tc>
          <w:tcPr>
            <w:tcW w:w="1020" w:type="dxa"/>
            <w:tcBorders>
              <w:bottom w:val="single" w:sz="4" w:space="0" w:color="000000"/>
            </w:tcBorders>
          </w:tcPr>
          <w:p w14:paraId="33E577AE" w14:textId="77777777" w:rsidR="008E5DE4" w:rsidRPr="0085674F" w:rsidRDefault="00780368">
            <w:pPr>
              <w:widowControl w:val="0"/>
              <w:pBdr>
                <w:top w:val="nil"/>
                <w:left w:val="nil"/>
                <w:bottom w:val="nil"/>
                <w:right w:val="nil"/>
                <w:between w:val="nil"/>
              </w:pBdr>
              <w:ind w:left="-113"/>
              <w:jc w:val="right"/>
              <w:rPr>
                <w:b/>
                <w:color w:val="0000FF"/>
              </w:rPr>
            </w:pPr>
            <w:r w:rsidRPr="0085674F">
              <w:rPr>
                <w:b/>
                <w:color w:val="0000FF"/>
              </w:rPr>
              <w:t>[Adjust-</w:t>
            </w:r>
            <w:proofErr w:type="spellStart"/>
            <w:r w:rsidRPr="0085674F">
              <w:rPr>
                <w:b/>
                <w:color w:val="0000FF"/>
              </w:rPr>
              <w:t>ment</w:t>
            </w:r>
            <w:proofErr w:type="spellEnd"/>
            <w:r w:rsidRPr="0085674F">
              <w:rPr>
                <w:b/>
                <w:color w:val="0000FF"/>
              </w:rPr>
              <w:t xml:space="preserve"> 3]</w:t>
            </w:r>
          </w:p>
        </w:tc>
        <w:tc>
          <w:tcPr>
            <w:tcW w:w="1020" w:type="dxa"/>
            <w:tcBorders>
              <w:bottom w:val="single" w:sz="4" w:space="0" w:color="000000"/>
            </w:tcBorders>
          </w:tcPr>
          <w:p w14:paraId="052D0BBB" w14:textId="50E8D351" w:rsidR="008E5DE4" w:rsidRPr="0085674F" w:rsidRDefault="00780368">
            <w:pPr>
              <w:widowControl w:val="0"/>
              <w:pBdr>
                <w:top w:val="nil"/>
                <w:left w:val="nil"/>
                <w:bottom w:val="nil"/>
                <w:right w:val="nil"/>
                <w:between w:val="nil"/>
              </w:pBdr>
              <w:ind w:left="-113"/>
              <w:jc w:val="right"/>
              <w:rPr>
                <w:b/>
                <w:color w:val="0000FF"/>
              </w:rPr>
            </w:pPr>
            <w:r w:rsidRPr="0085674F">
              <w:rPr>
                <w:b/>
                <w:color w:val="0000FF"/>
              </w:rPr>
              <w:t>[</w:t>
            </w:r>
            <w:r w:rsidR="00435D5B" w:rsidRPr="0085674F">
              <w:rPr>
                <w:b/>
                <w:color w:val="0000FF"/>
              </w:rPr>
              <w:t>Total for adjustments]</w:t>
            </w:r>
          </w:p>
        </w:tc>
        <w:tc>
          <w:tcPr>
            <w:tcW w:w="1135" w:type="dxa"/>
            <w:tcBorders>
              <w:bottom w:val="single" w:sz="4" w:space="0" w:color="000000"/>
            </w:tcBorders>
          </w:tcPr>
          <w:p w14:paraId="2C27BD48" w14:textId="77777777" w:rsidR="008E5DE4" w:rsidRPr="00150BDF" w:rsidRDefault="00780368">
            <w:pPr>
              <w:widowControl w:val="0"/>
              <w:pBdr>
                <w:top w:val="nil"/>
                <w:left w:val="nil"/>
                <w:bottom w:val="nil"/>
                <w:right w:val="nil"/>
                <w:between w:val="nil"/>
              </w:pBdr>
              <w:ind w:left="-113"/>
              <w:jc w:val="right"/>
              <w:rPr>
                <w:b/>
                <w:color w:val="0000FF"/>
              </w:rPr>
            </w:pPr>
            <w:r w:rsidRPr="00150BDF">
              <w:rPr>
                <w:b/>
                <w:color w:val="0000FF"/>
              </w:rPr>
              <w:t>As reported under IFRS Accounting Standards</w:t>
            </w:r>
          </w:p>
        </w:tc>
      </w:tr>
      <w:tr w:rsidR="00A53874" w:rsidRPr="0085674F" w14:paraId="5C670D53" w14:textId="77777777">
        <w:trPr>
          <w:cantSplit/>
        </w:trPr>
        <w:tc>
          <w:tcPr>
            <w:tcW w:w="3005" w:type="dxa"/>
            <w:tcBorders>
              <w:top w:val="single" w:sz="4" w:space="0" w:color="000000"/>
            </w:tcBorders>
            <w:vAlign w:val="bottom"/>
          </w:tcPr>
          <w:p w14:paraId="7761BF35"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w:t>
            </w:r>
          </w:p>
        </w:tc>
        <w:tc>
          <w:tcPr>
            <w:tcW w:w="1134" w:type="dxa"/>
            <w:tcBorders>
              <w:top w:val="single" w:sz="4" w:space="0" w:color="000000"/>
            </w:tcBorders>
            <w:vAlign w:val="bottom"/>
          </w:tcPr>
          <w:p w14:paraId="7BF13AD4"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top w:val="single" w:sz="4" w:space="0" w:color="000000"/>
            </w:tcBorders>
            <w:vAlign w:val="bottom"/>
          </w:tcPr>
          <w:p w14:paraId="706ACA7A"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top w:val="single" w:sz="4" w:space="0" w:color="000000"/>
            </w:tcBorders>
            <w:vAlign w:val="bottom"/>
          </w:tcPr>
          <w:p w14:paraId="4BE6A713"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top w:val="single" w:sz="4" w:space="0" w:color="000000"/>
            </w:tcBorders>
            <w:vAlign w:val="bottom"/>
          </w:tcPr>
          <w:p w14:paraId="6AA46E60"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top w:val="single" w:sz="4" w:space="0" w:color="000000"/>
            </w:tcBorders>
            <w:vAlign w:val="bottom"/>
          </w:tcPr>
          <w:p w14:paraId="412B36FC" w14:textId="77777777" w:rsidR="008E5DE4" w:rsidRPr="00150BDF" w:rsidRDefault="008E5DE4">
            <w:pPr>
              <w:widowControl w:val="0"/>
              <w:pBdr>
                <w:top w:val="nil"/>
                <w:left w:val="nil"/>
                <w:bottom w:val="nil"/>
                <w:right w:val="nil"/>
                <w:between w:val="nil"/>
              </w:pBdr>
              <w:jc w:val="right"/>
              <w:rPr>
                <w:color w:val="0000FF"/>
              </w:rPr>
            </w:pPr>
          </w:p>
        </w:tc>
        <w:tc>
          <w:tcPr>
            <w:tcW w:w="1135" w:type="dxa"/>
            <w:tcBorders>
              <w:top w:val="single" w:sz="4" w:space="0" w:color="000000"/>
            </w:tcBorders>
            <w:vAlign w:val="bottom"/>
          </w:tcPr>
          <w:p w14:paraId="31E940C8"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472E3EA7" w14:textId="77777777">
        <w:trPr>
          <w:cantSplit/>
        </w:trPr>
        <w:tc>
          <w:tcPr>
            <w:tcW w:w="3005" w:type="dxa"/>
            <w:vAlign w:val="bottom"/>
          </w:tcPr>
          <w:p w14:paraId="78770CBB" w14:textId="03F6AC38" w:rsidR="008E5DE4" w:rsidRPr="00150BDF" w:rsidRDefault="00780368">
            <w:pPr>
              <w:widowControl w:val="0"/>
              <w:pBdr>
                <w:top w:val="nil"/>
                <w:left w:val="nil"/>
                <w:bottom w:val="nil"/>
                <w:right w:val="nil"/>
                <w:between w:val="nil"/>
              </w:pBdr>
              <w:ind w:left="113" w:right="-57" w:hanging="113"/>
              <w:rPr>
                <w:b/>
                <w:color w:val="0000FF"/>
              </w:rPr>
            </w:pPr>
            <w:r w:rsidRPr="00150BDF">
              <w:rPr>
                <w:b/>
                <w:color w:val="0000FF"/>
              </w:rPr>
              <w:t xml:space="preserve">Material income or expenses for year ended 31 December </w:t>
            </w:r>
            <w:r w:rsidR="00FF468A" w:rsidRPr="00150BDF">
              <w:rPr>
                <w:b/>
                <w:color w:val="0000FF"/>
              </w:rPr>
              <w:t>2024</w:t>
            </w:r>
          </w:p>
        </w:tc>
        <w:tc>
          <w:tcPr>
            <w:tcW w:w="1134" w:type="dxa"/>
            <w:vAlign w:val="bottom"/>
          </w:tcPr>
          <w:p w14:paraId="0A304B2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9BF3216"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6F174EC"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81F502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453FBBC"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74ED1AE8"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04BD8060" w14:textId="77777777">
        <w:trPr>
          <w:cantSplit/>
        </w:trPr>
        <w:tc>
          <w:tcPr>
            <w:tcW w:w="3005" w:type="dxa"/>
            <w:vAlign w:val="bottom"/>
          </w:tcPr>
          <w:p w14:paraId="5426569F"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w:t>
            </w:r>
          </w:p>
        </w:tc>
        <w:tc>
          <w:tcPr>
            <w:tcW w:w="1134" w:type="dxa"/>
            <w:vAlign w:val="bottom"/>
          </w:tcPr>
          <w:p w14:paraId="5DD5F65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457521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4F66127"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AF9F29B"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1DCEB31"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03378A33"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6E5CCEF9" w14:textId="77777777">
        <w:trPr>
          <w:cantSplit/>
        </w:trPr>
        <w:tc>
          <w:tcPr>
            <w:tcW w:w="3005" w:type="dxa"/>
            <w:vAlign w:val="bottom"/>
          </w:tcPr>
          <w:p w14:paraId="74F29F0B" w14:textId="6045202F" w:rsidR="008E5DE4" w:rsidRPr="00150BDF" w:rsidRDefault="00780368">
            <w:pPr>
              <w:widowControl w:val="0"/>
              <w:pBdr>
                <w:top w:val="nil"/>
                <w:left w:val="nil"/>
                <w:bottom w:val="nil"/>
                <w:right w:val="nil"/>
                <w:between w:val="nil"/>
              </w:pBdr>
              <w:ind w:left="113" w:right="-57" w:hanging="113"/>
              <w:rPr>
                <w:i/>
                <w:color w:val="0000FF"/>
              </w:rPr>
            </w:pPr>
            <w:r w:rsidRPr="00150BDF">
              <w:rPr>
                <w:i/>
                <w:color w:val="0000FF"/>
              </w:rPr>
              <w:t>External revenues:</w:t>
            </w:r>
          </w:p>
        </w:tc>
        <w:tc>
          <w:tcPr>
            <w:tcW w:w="1134" w:type="dxa"/>
            <w:vAlign w:val="bottom"/>
          </w:tcPr>
          <w:p w14:paraId="1ACC545D" w14:textId="77777777" w:rsidR="008E5DE4" w:rsidRPr="00150BDF" w:rsidRDefault="008E5DE4">
            <w:pPr>
              <w:widowControl w:val="0"/>
              <w:pBdr>
                <w:top w:val="nil"/>
                <w:left w:val="nil"/>
                <w:bottom w:val="nil"/>
                <w:right w:val="nil"/>
                <w:between w:val="nil"/>
              </w:pBdr>
              <w:jc w:val="right"/>
              <w:rPr>
                <w:i/>
                <w:color w:val="0000FF"/>
              </w:rPr>
            </w:pPr>
          </w:p>
        </w:tc>
        <w:tc>
          <w:tcPr>
            <w:tcW w:w="1020" w:type="dxa"/>
            <w:vAlign w:val="bottom"/>
          </w:tcPr>
          <w:p w14:paraId="2BCD2337" w14:textId="77777777" w:rsidR="008E5DE4" w:rsidRPr="00150BDF" w:rsidRDefault="008E5DE4">
            <w:pPr>
              <w:widowControl w:val="0"/>
              <w:pBdr>
                <w:top w:val="nil"/>
                <w:left w:val="nil"/>
                <w:bottom w:val="nil"/>
                <w:right w:val="nil"/>
                <w:between w:val="nil"/>
              </w:pBdr>
              <w:jc w:val="right"/>
              <w:rPr>
                <w:i/>
                <w:color w:val="0000FF"/>
              </w:rPr>
            </w:pPr>
          </w:p>
        </w:tc>
        <w:tc>
          <w:tcPr>
            <w:tcW w:w="1020" w:type="dxa"/>
            <w:vAlign w:val="bottom"/>
          </w:tcPr>
          <w:p w14:paraId="77CCCDFE" w14:textId="77777777" w:rsidR="008E5DE4" w:rsidRPr="00150BDF" w:rsidRDefault="008E5DE4">
            <w:pPr>
              <w:widowControl w:val="0"/>
              <w:pBdr>
                <w:top w:val="nil"/>
                <w:left w:val="nil"/>
                <w:bottom w:val="nil"/>
                <w:right w:val="nil"/>
                <w:between w:val="nil"/>
              </w:pBdr>
              <w:jc w:val="right"/>
              <w:rPr>
                <w:i/>
                <w:color w:val="0000FF"/>
              </w:rPr>
            </w:pPr>
          </w:p>
        </w:tc>
        <w:tc>
          <w:tcPr>
            <w:tcW w:w="1020" w:type="dxa"/>
            <w:vAlign w:val="bottom"/>
          </w:tcPr>
          <w:p w14:paraId="07078163" w14:textId="77777777" w:rsidR="008E5DE4" w:rsidRPr="00150BDF" w:rsidRDefault="008E5DE4">
            <w:pPr>
              <w:widowControl w:val="0"/>
              <w:pBdr>
                <w:top w:val="nil"/>
                <w:left w:val="nil"/>
                <w:bottom w:val="nil"/>
                <w:right w:val="nil"/>
                <w:between w:val="nil"/>
              </w:pBdr>
              <w:jc w:val="right"/>
              <w:rPr>
                <w:i/>
                <w:color w:val="0000FF"/>
              </w:rPr>
            </w:pPr>
          </w:p>
        </w:tc>
        <w:tc>
          <w:tcPr>
            <w:tcW w:w="1020" w:type="dxa"/>
            <w:vAlign w:val="bottom"/>
          </w:tcPr>
          <w:p w14:paraId="45FB6D09" w14:textId="77777777" w:rsidR="008E5DE4" w:rsidRPr="00150BDF" w:rsidRDefault="008E5DE4">
            <w:pPr>
              <w:widowControl w:val="0"/>
              <w:pBdr>
                <w:top w:val="nil"/>
                <w:left w:val="nil"/>
                <w:bottom w:val="nil"/>
                <w:right w:val="nil"/>
                <w:between w:val="nil"/>
              </w:pBdr>
              <w:jc w:val="right"/>
              <w:rPr>
                <w:i/>
                <w:color w:val="0000FF"/>
              </w:rPr>
            </w:pPr>
          </w:p>
        </w:tc>
        <w:tc>
          <w:tcPr>
            <w:tcW w:w="1135" w:type="dxa"/>
            <w:vAlign w:val="bottom"/>
          </w:tcPr>
          <w:p w14:paraId="5992C357" w14:textId="77777777" w:rsidR="008E5DE4" w:rsidRPr="00150BDF" w:rsidRDefault="008E5DE4">
            <w:pPr>
              <w:widowControl w:val="0"/>
              <w:pBdr>
                <w:top w:val="nil"/>
                <w:left w:val="nil"/>
                <w:bottom w:val="nil"/>
                <w:right w:val="nil"/>
                <w:between w:val="nil"/>
              </w:pBdr>
              <w:jc w:val="right"/>
              <w:rPr>
                <w:i/>
                <w:color w:val="0000FF"/>
              </w:rPr>
            </w:pPr>
          </w:p>
        </w:tc>
      </w:tr>
      <w:tr w:rsidR="00A53874" w:rsidRPr="0085674F" w14:paraId="15BB0E0A" w14:textId="77777777">
        <w:trPr>
          <w:cantSplit/>
        </w:trPr>
        <w:tc>
          <w:tcPr>
            <w:tcW w:w="3005" w:type="dxa"/>
            <w:vAlign w:val="bottom"/>
          </w:tcPr>
          <w:p w14:paraId="797D15A6"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Revenues from core activities</w:t>
            </w:r>
          </w:p>
        </w:tc>
        <w:tc>
          <w:tcPr>
            <w:tcW w:w="1134" w:type="dxa"/>
            <w:vAlign w:val="bottom"/>
          </w:tcPr>
          <w:p w14:paraId="4EB4706C"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B49C77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875C6B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9564EF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F1F97A5"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3A0966D7"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261B41AF" w14:textId="77777777">
        <w:trPr>
          <w:cantSplit/>
        </w:trPr>
        <w:tc>
          <w:tcPr>
            <w:tcW w:w="3005" w:type="dxa"/>
            <w:vAlign w:val="bottom"/>
          </w:tcPr>
          <w:p w14:paraId="4416577F"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Interest income</w:t>
            </w:r>
          </w:p>
        </w:tc>
        <w:tc>
          <w:tcPr>
            <w:tcW w:w="1134" w:type="dxa"/>
            <w:vAlign w:val="bottom"/>
          </w:tcPr>
          <w:p w14:paraId="28277004"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C010AD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F0AB01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811C967"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D6861F6"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088309CA"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615C138C" w14:textId="77777777">
        <w:trPr>
          <w:cantSplit/>
        </w:trPr>
        <w:tc>
          <w:tcPr>
            <w:tcW w:w="3005" w:type="dxa"/>
            <w:vAlign w:val="bottom"/>
          </w:tcPr>
          <w:p w14:paraId="7EB38BFF"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xml:space="preserve">- Other income </w:t>
            </w:r>
          </w:p>
        </w:tc>
        <w:tc>
          <w:tcPr>
            <w:tcW w:w="1134" w:type="dxa"/>
            <w:vAlign w:val="bottom"/>
          </w:tcPr>
          <w:p w14:paraId="490EA308"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1914B3D"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E003B2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9E91DE7"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F2D1A9B"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00629789"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1B20B6FB" w14:textId="77777777">
        <w:trPr>
          <w:cantSplit/>
        </w:trPr>
        <w:tc>
          <w:tcPr>
            <w:tcW w:w="3005" w:type="dxa"/>
            <w:vAlign w:val="bottom"/>
          </w:tcPr>
          <w:p w14:paraId="2466C538"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Changes in inventories of finished goods and work in progress</w:t>
            </w:r>
          </w:p>
        </w:tc>
        <w:tc>
          <w:tcPr>
            <w:tcW w:w="1134" w:type="dxa"/>
            <w:vAlign w:val="bottom"/>
          </w:tcPr>
          <w:p w14:paraId="15A8B1AA"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3B482B4"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F06F2DB"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89F8FA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C55E5AF"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36594E61"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3395C789" w14:textId="77777777">
        <w:trPr>
          <w:cantSplit/>
        </w:trPr>
        <w:tc>
          <w:tcPr>
            <w:tcW w:w="3005" w:type="dxa"/>
            <w:vAlign w:val="bottom"/>
          </w:tcPr>
          <w:p w14:paraId="5118898F"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Raw materials and consumables used</w:t>
            </w:r>
          </w:p>
        </w:tc>
        <w:tc>
          <w:tcPr>
            <w:tcW w:w="1134" w:type="dxa"/>
            <w:vAlign w:val="bottom"/>
          </w:tcPr>
          <w:p w14:paraId="35620CA4"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D8BB351"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36AE5B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6FAAB2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98456E1"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35059E47"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6F40B66F" w14:textId="77777777">
        <w:trPr>
          <w:cantSplit/>
        </w:trPr>
        <w:tc>
          <w:tcPr>
            <w:tcW w:w="3005" w:type="dxa"/>
            <w:vAlign w:val="bottom"/>
          </w:tcPr>
          <w:p w14:paraId="1414A006"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Employee benefits expense</w:t>
            </w:r>
          </w:p>
        </w:tc>
        <w:tc>
          <w:tcPr>
            <w:tcW w:w="1134" w:type="dxa"/>
            <w:vAlign w:val="bottom"/>
          </w:tcPr>
          <w:p w14:paraId="764BC411"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3ADC1BA"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BEDD8A8"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E9D87E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C74D308"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28D0D9D0"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4CE4A88D" w14:textId="77777777">
        <w:trPr>
          <w:cantSplit/>
        </w:trPr>
        <w:tc>
          <w:tcPr>
            <w:tcW w:w="3005" w:type="dxa"/>
            <w:vAlign w:val="bottom"/>
          </w:tcPr>
          <w:p w14:paraId="20A3B12B"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Depreciation of property, plant and equipment</w:t>
            </w:r>
          </w:p>
        </w:tc>
        <w:tc>
          <w:tcPr>
            <w:tcW w:w="1134" w:type="dxa"/>
            <w:vAlign w:val="bottom"/>
          </w:tcPr>
          <w:p w14:paraId="42D08760"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4E65606"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37F1074"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CA6F7AC"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C7870E8"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03902B95"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2922ED8E" w14:textId="77777777">
        <w:trPr>
          <w:cantSplit/>
        </w:trPr>
        <w:tc>
          <w:tcPr>
            <w:tcW w:w="3005" w:type="dxa"/>
            <w:vAlign w:val="bottom"/>
          </w:tcPr>
          <w:p w14:paraId="7B23169D"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Impairment of property, plant and equipment</w:t>
            </w:r>
          </w:p>
        </w:tc>
        <w:tc>
          <w:tcPr>
            <w:tcW w:w="1134" w:type="dxa"/>
            <w:vAlign w:val="bottom"/>
          </w:tcPr>
          <w:p w14:paraId="0C278CBC"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44EB9F9"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B416FB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8673BF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B74119B"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7ED4147D"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629ADA19" w14:textId="77777777">
        <w:trPr>
          <w:cantSplit/>
        </w:trPr>
        <w:tc>
          <w:tcPr>
            <w:tcW w:w="3005" w:type="dxa"/>
            <w:vAlign w:val="bottom"/>
          </w:tcPr>
          <w:p w14:paraId="3C003B06"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Impairment of goodwill</w:t>
            </w:r>
          </w:p>
        </w:tc>
        <w:tc>
          <w:tcPr>
            <w:tcW w:w="1134" w:type="dxa"/>
            <w:vAlign w:val="bottom"/>
          </w:tcPr>
          <w:p w14:paraId="6FE5383B"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7AB3495"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E0D096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52F778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2908990F"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49E49E54"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63103D8B" w14:textId="77777777">
        <w:trPr>
          <w:cantSplit/>
        </w:trPr>
        <w:tc>
          <w:tcPr>
            <w:tcW w:w="3005" w:type="dxa"/>
            <w:vAlign w:val="bottom"/>
          </w:tcPr>
          <w:p w14:paraId="69ADEC43"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Net impairment losses on financial and contract assets</w:t>
            </w:r>
          </w:p>
        </w:tc>
        <w:tc>
          <w:tcPr>
            <w:tcW w:w="1134" w:type="dxa"/>
            <w:vAlign w:val="bottom"/>
          </w:tcPr>
          <w:p w14:paraId="504DB7DB"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0932D84"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945FC71"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CF24C93"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6706EDC"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22599E07"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6E2BC2D0" w14:textId="77777777">
        <w:trPr>
          <w:cantSplit/>
        </w:trPr>
        <w:tc>
          <w:tcPr>
            <w:tcW w:w="3005" w:type="dxa"/>
            <w:vAlign w:val="bottom"/>
          </w:tcPr>
          <w:p w14:paraId="0115F6E2"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xml:space="preserve">Services </w:t>
            </w:r>
          </w:p>
        </w:tc>
        <w:tc>
          <w:tcPr>
            <w:tcW w:w="1134" w:type="dxa"/>
            <w:vAlign w:val="bottom"/>
          </w:tcPr>
          <w:p w14:paraId="42ACF978"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0EB415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C37911B"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AC6B078"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36CD3F9"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510CABE8"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54EFE611" w14:textId="77777777">
        <w:trPr>
          <w:cantSplit/>
        </w:trPr>
        <w:tc>
          <w:tcPr>
            <w:tcW w:w="3005" w:type="dxa"/>
            <w:vAlign w:val="bottom"/>
          </w:tcPr>
          <w:p w14:paraId="1FDD961B"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xml:space="preserve">Gain </w:t>
            </w:r>
            <w:r w:rsidRPr="0085674F">
              <w:rPr>
                <w:color w:val="0000FF"/>
              </w:rPr>
              <w:t>[Loss]</w:t>
            </w:r>
            <w:r w:rsidRPr="00150BDF">
              <w:rPr>
                <w:color w:val="0000FF"/>
              </w:rPr>
              <w:t xml:space="preserve"> on sale of a subsidiary</w:t>
            </w:r>
          </w:p>
        </w:tc>
        <w:tc>
          <w:tcPr>
            <w:tcW w:w="1134" w:type="dxa"/>
            <w:vAlign w:val="bottom"/>
          </w:tcPr>
          <w:p w14:paraId="12D45D0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802B45B"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ACDF1D6"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9C34C1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44A4AA0"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311D87CF"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4EA3D181" w14:textId="77777777">
        <w:trPr>
          <w:cantSplit/>
        </w:trPr>
        <w:tc>
          <w:tcPr>
            <w:tcW w:w="3005" w:type="dxa"/>
            <w:vAlign w:val="bottom"/>
          </w:tcPr>
          <w:p w14:paraId="1259FA29"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Gains less losses on disposals of property, plant and equipment</w:t>
            </w:r>
          </w:p>
        </w:tc>
        <w:tc>
          <w:tcPr>
            <w:tcW w:w="1134" w:type="dxa"/>
            <w:vAlign w:val="bottom"/>
          </w:tcPr>
          <w:p w14:paraId="20DEC486"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D26030D"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564FD04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EF71E38"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94F3B08"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6F98A94D"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7ABFE285" w14:textId="77777777">
        <w:trPr>
          <w:cantSplit/>
        </w:trPr>
        <w:tc>
          <w:tcPr>
            <w:tcW w:w="3005" w:type="dxa"/>
            <w:vAlign w:val="bottom"/>
          </w:tcPr>
          <w:p w14:paraId="7DA9164E"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xml:space="preserve">Other gains/(losses), net </w:t>
            </w:r>
          </w:p>
        </w:tc>
        <w:tc>
          <w:tcPr>
            <w:tcW w:w="1134" w:type="dxa"/>
            <w:vAlign w:val="bottom"/>
          </w:tcPr>
          <w:p w14:paraId="5AC9A35F"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048D693A"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400A9742"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715999DD"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57099CA"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1BC8A071"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04BD0F28" w14:textId="77777777">
        <w:trPr>
          <w:cantSplit/>
        </w:trPr>
        <w:tc>
          <w:tcPr>
            <w:tcW w:w="3005" w:type="dxa"/>
            <w:vAlign w:val="bottom"/>
          </w:tcPr>
          <w:p w14:paraId="2E61EF7E" w14:textId="20BAB308" w:rsidR="008E5DE4" w:rsidRPr="0085674F" w:rsidRDefault="00780368">
            <w:pPr>
              <w:widowControl w:val="0"/>
              <w:pBdr>
                <w:top w:val="nil"/>
                <w:left w:val="nil"/>
                <w:bottom w:val="nil"/>
                <w:right w:val="nil"/>
                <w:between w:val="nil"/>
              </w:pBdr>
              <w:ind w:left="113" w:right="-57" w:hanging="113"/>
              <w:rPr>
                <w:color w:val="0000FF"/>
              </w:rPr>
            </w:pPr>
            <w:r w:rsidRPr="0085674F">
              <w:rPr>
                <w:color w:val="0000FF"/>
              </w:rPr>
              <w:t xml:space="preserve">[Material non-cash items other than depreciation and </w:t>
            </w:r>
            <w:proofErr w:type="gramStart"/>
            <w:r w:rsidRPr="0085674F">
              <w:rPr>
                <w:color w:val="0000FF"/>
              </w:rPr>
              <w:t>amortisation</w:t>
            </w:r>
            <w:r w:rsidR="00386AA7" w:rsidRPr="0085674F">
              <w:rPr>
                <w:color w:val="0000FF"/>
              </w:rPr>
              <w:t xml:space="preserve">, </w:t>
            </w:r>
            <w:r w:rsidRPr="0085674F">
              <w:rPr>
                <w:color w:val="0000FF"/>
              </w:rPr>
              <w:t xml:space="preserve"> </w:t>
            </w:r>
            <w:r w:rsidRPr="00150BDF">
              <w:rPr>
                <w:color w:val="0000FF"/>
              </w:rPr>
              <w:t>expand</w:t>
            </w:r>
            <w:proofErr w:type="gramEnd"/>
            <w:r w:rsidRPr="00150BDF">
              <w:rPr>
                <w:color w:val="0000FF"/>
              </w:rPr>
              <w:t xml:space="preserve"> </w:t>
            </w:r>
            <w:r w:rsidR="00386AA7" w:rsidRPr="00150BDF">
              <w:rPr>
                <w:color w:val="0000FF"/>
              </w:rPr>
              <w:t xml:space="preserve">the </w:t>
            </w:r>
            <w:r w:rsidRPr="00150BDF">
              <w:rPr>
                <w:color w:val="0000FF"/>
              </w:rPr>
              <w:t>table as appropriate]</w:t>
            </w:r>
          </w:p>
        </w:tc>
        <w:tc>
          <w:tcPr>
            <w:tcW w:w="1134" w:type="dxa"/>
            <w:vAlign w:val="bottom"/>
          </w:tcPr>
          <w:p w14:paraId="7E2D9341"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57726B1"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3714145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185E193E" w14:textId="77777777" w:rsidR="008E5DE4" w:rsidRPr="00150BDF" w:rsidRDefault="008E5DE4">
            <w:pPr>
              <w:widowControl w:val="0"/>
              <w:pBdr>
                <w:top w:val="nil"/>
                <w:left w:val="nil"/>
                <w:bottom w:val="nil"/>
                <w:right w:val="nil"/>
                <w:between w:val="nil"/>
              </w:pBdr>
              <w:jc w:val="right"/>
              <w:rPr>
                <w:color w:val="0000FF"/>
              </w:rPr>
            </w:pPr>
          </w:p>
        </w:tc>
        <w:tc>
          <w:tcPr>
            <w:tcW w:w="1020" w:type="dxa"/>
            <w:vAlign w:val="bottom"/>
          </w:tcPr>
          <w:p w14:paraId="6CFB10C0" w14:textId="77777777" w:rsidR="008E5DE4" w:rsidRPr="00150BDF" w:rsidRDefault="008E5DE4">
            <w:pPr>
              <w:widowControl w:val="0"/>
              <w:pBdr>
                <w:top w:val="nil"/>
                <w:left w:val="nil"/>
                <w:bottom w:val="nil"/>
                <w:right w:val="nil"/>
                <w:between w:val="nil"/>
              </w:pBdr>
              <w:jc w:val="right"/>
              <w:rPr>
                <w:color w:val="0000FF"/>
              </w:rPr>
            </w:pPr>
          </w:p>
        </w:tc>
        <w:tc>
          <w:tcPr>
            <w:tcW w:w="1135" w:type="dxa"/>
            <w:vAlign w:val="bottom"/>
          </w:tcPr>
          <w:p w14:paraId="76BE7C8C" w14:textId="77777777" w:rsidR="008E5DE4" w:rsidRPr="00150BDF" w:rsidRDefault="008E5DE4">
            <w:pPr>
              <w:widowControl w:val="0"/>
              <w:pBdr>
                <w:top w:val="nil"/>
                <w:left w:val="nil"/>
                <w:bottom w:val="nil"/>
                <w:right w:val="nil"/>
                <w:between w:val="nil"/>
              </w:pBdr>
              <w:jc w:val="right"/>
              <w:rPr>
                <w:color w:val="0000FF"/>
              </w:rPr>
            </w:pPr>
          </w:p>
        </w:tc>
      </w:tr>
      <w:tr w:rsidR="00A53874" w:rsidRPr="0085674F" w14:paraId="43C1AB10" w14:textId="77777777">
        <w:trPr>
          <w:cantSplit/>
        </w:trPr>
        <w:tc>
          <w:tcPr>
            <w:tcW w:w="3005" w:type="dxa"/>
            <w:tcBorders>
              <w:bottom w:val="single" w:sz="12" w:space="0" w:color="000000"/>
            </w:tcBorders>
            <w:vAlign w:val="bottom"/>
          </w:tcPr>
          <w:p w14:paraId="63FB3497" w14:textId="77777777" w:rsidR="008E5DE4" w:rsidRPr="00150BDF" w:rsidRDefault="00780368">
            <w:pPr>
              <w:widowControl w:val="0"/>
              <w:pBdr>
                <w:top w:val="nil"/>
                <w:left w:val="nil"/>
                <w:bottom w:val="nil"/>
                <w:right w:val="nil"/>
                <w:between w:val="nil"/>
              </w:pBdr>
              <w:ind w:left="113" w:right="-57" w:hanging="113"/>
              <w:rPr>
                <w:color w:val="0000FF"/>
              </w:rPr>
            </w:pPr>
            <w:r w:rsidRPr="00150BDF">
              <w:rPr>
                <w:color w:val="0000FF"/>
              </w:rPr>
              <w:t> </w:t>
            </w:r>
          </w:p>
        </w:tc>
        <w:tc>
          <w:tcPr>
            <w:tcW w:w="1134" w:type="dxa"/>
            <w:tcBorders>
              <w:bottom w:val="single" w:sz="12" w:space="0" w:color="000000"/>
            </w:tcBorders>
            <w:vAlign w:val="bottom"/>
          </w:tcPr>
          <w:p w14:paraId="371D7480"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bottom w:val="single" w:sz="12" w:space="0" w:color="000000"/>
            </w:tcBorders>
            <w:vAlign w:val="bottom"/>
          </w:tcPr>
          <w:p w14:paraId="000B1EB5"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bottom w:val="single" w:sz="12" w:space="0" w:color="000000"/>
            </w:tcBorders>
            <w:vAlign w:val="bottom"/>
          </w:tcPr>
          <w:p w14:paraId="45A5AED1"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bottom w:val="single" w:sz="12" w:space="0" w:color="000000"/>
            </w:tcBorders>
            <w:vAlign w:val="bottom"/>
          </w:tcPr>
          <w:p w14:paraId="00305016" w14:textId="77777777" w:rsidR="008E5DE4" w:rsidRPr="00150BDF" w:rsidRDefault="008E5DE4">
            <w:pPr>
              <w:widowControl w:val="0"/>
              <w:pBdr>
                <w:top w:val="nil"/>
                <w:left w:val="nil"/>
                <w:bottom w:val="nil"/>
                <w:right w:val="nil"/>
                <w:between w:val="nil"/>
              </w:pBdr>
              <w:jc w:val="right"/>
              <w:rPr>
                <w:color w:val="0000FF"/>
              </w:rPr>
            </w:pPr>
          </w:p>
        </w:tc>
        <w:tc>
          <w:tcPr>
            <w:tcW w:w="1020" w:type="dxa"/>
            <w:tcBorders>
              <w:bottom w:val="single" w:sz="12" w:space="0" w:color="000000"/>
            </w:tcBorders>
            <w:vAlign w:val="bottom"/>
          </w:tcPr>
          <w:p w14:paraId="587D1A08" w14:textId="77777777" w:rsidR="008E5DE4" w:rsidRPr="00150BDF" w:rsidRDefault="008E5DE4">
            <w:pPr>
              <w:widowControl w:val="0"/>
              <w:pBdr>
                <w:top w:val="nil"/>
                <w:left w:val="nil"/>
                <w:bottom w:val="nil"/>
                <w:right w:val="nil"/>
                <w:between w:val="nil"/>
              </w:pBdr>
              <w:jc w:val="right"/>
              <w:rPr>
                <w:color w:val="0000FF"/>
              </w:rPr>
            </w:pPr>
          </w:p>
        </w:tc>
        <w:tc>
          <w:tcPr>
            <w:tcW w:w="1135" w:type="dxa"/>
            <w:tcBorders>
              <w:bottom w:val="single" w:sz="12" w:space="0" w:color="000000"/>
            </w:tcBorders>
            <w:vAlign w:val="bottom"/>
          </w:tcPr>
          <w:p w14:paraId="525C8E08" w14:textId="77777777" w:rsidR="008E5DE4" w:rsidRPr="00150BDF" w:rsidRDefault="008E5DE4">
            <w:pPr>
              <w:widowControl w:val="0"/>
              <w:pBdr>
                <w:top w:val="nil"/>
                <w:left w:val="nil"/>
                <w:bottom w:val="nil"/>
                <w:right w:val="nil"/>
                <w:between w:val="nil"/>
              </w:pBdr>
              <w:jc w:val="right"/>
              <w:rPr>
                <w:color w:val="0000FF"/>
              </w:rPr>
            </w:pPr>
          </w:p>
        </w:tc>
      </w:tr>
    </w:tbl>
    <w:p w14:paraId="77CC5CB3"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reconciling items are attributable to the following: </w:t>
      </w:r>
    </w:p>
    <w:p w14:paraId="760D41B3" w14:textId="77777777" w:rsidR="008E5DE4" w:rsidRDefault="00780368">
      <w:pPr>
        <w:widowControl w:val="0"/>
        <w:numPr>
          <w:ilvl w:val="0"/>
          <w:numId w:val="26"/>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r>
        <w:rPr>
          <w:color w:val="0000FF"/>
          <w:sz w:val="20"/>
          <w:szCs w:val="20"/>
        </w:rPr>
        <w:t xml:space="preserve"> </w:t>
      </w:r>
    </w:p>
    <w:p w14:paraId="759E67D6" w14:textId="77777777" w:rsidR="008E5DE4" w:rsidRDefault="00780368">
      <w:pPr>
        <w:widowControl w:val="0"/>
        <w:numPr>
          <w:ilvl w:val="0"/>
          <w:numId w:val="26"/>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p>
    <w:p w14:paraId="590267AA" w14:textId="77777777" w:rsidR="008E5DE4" w:rsidRDefault="00780368">
      <w:pPr>
        <w:widowControl w:val="0"/>
        <w:numPr>
          <w:ilvl w:val="0"/>
          <w:numId w:val="26"/>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p>
    <w:p w14:paraId="4C4FC664"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2B7AB7CE" w14:textId="148FD7EB" w:rsidR="008E5DE4" w:rsidRDefault="00780368">
      <w:pPr>
        <w:widowControl w:val="0"/>
        <w:pBdr>
          <w:top w:val="nil"/>
          <w:left w:val="nil"/>
          <w:bottom w:val="nil"/>
          <w:right w:val="nil"/>
          <w:between w:val="nil"/>
        </w:pBdr>
        <w:spacing w:before="200" w:after="200"/>
        <w:jc w:val="both"/>
        <w:rPr>
          <w:color w:val="3366FF"/>
          <w:sz w:val="20"/>
          <w:szCs w:val="20"/>
        </w:rPr>
      </w:pPr>
      <w:r>
        <w:rPr>
          <w:color w:val="000000"/>
          <w:sz w:val="20"/>
          <w:szCs w:val="20"/>
        </w:rPr>
        <w:t xml:space="preserve">Reconciliation of material assets and liabilities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and of capital expenditure for </w:t>
      </w:r>
      <w:r w:rsidR="00FF468A">
        <w:rPr>
          <w:color w:val="000000"/>
          <w:sz w:val="20"/>
          <w:szCs w:val="20"/>
        </w:rPr>
        <w:t>2024</w:t>
      </w:r>
      <w:r>
        <w:rPr>
          <w:color w:val="000000"/>
          <w:sz w:val="20"/>
          <w:szCs w:val="20"/>
        </w:rPr>
        <w:t xml:space="preserve"> is as follows:</w:t>
      </w:r>
    </w:p>
    <w:tbl>
      <w:tblPr>
        <w:tblStyle w:val="af2"/>
        <w:tblW w:w="9353" w:type="dxa"/>
        <w:tblLayout w:type="fixed"/>
        <w:tblLook w:val="0000" w:firstRow="0" w:lastRow="0" w:firstColumn="0" w:lastColumn="0" w:noHBand="0" w:noVBand="0"/>
      </w:tblPr>
      <w:tblGrid>
        <w:gridCol w:w="3005"/>
        <w:gridCol w:w="1134"/>
        <w:gridCol w:w="1020"/>
        <w:gridCol w:w="1020"/>
        <w:gridCol w:w="1020"/>
        <w:gridCol w:w="1020"/>
        <w:gridCol w:w="1134"/>
      </w:tblGrid>
      <w:tr w:rsidR="008E5DE4" w14:paraId="0FD74ED4" w14:textId="77777777">
        <w:trPr>
          <w:cantSplit/>
        </w:trPr>
        <w:tc>
          <w:tcPr>
            <w:tcW w:w="3005" w:type="dxa"/>
            <w:tcBorders>
              <w:bottom w:val="single" w:sz="4" w:space="0" w:color="000000"/>
            </w:tcBorders>
            <w:vAlign w:val="bottom"/>
          </w:tcPr>
          <w:p w14:paraId="1DEA2CA2"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134" w:type="dxa"/>
            <w:tcBorders>
              <w:bottom w:val="single" w:sz="4" w:space="0" w:color="000000"/>
            </w:tcBorders>
          </w:tcPr>
          <w:p w14:paraId="3BBF11AD"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Total amount for all reportable segments </w:t>
            </w:r>
          </w:p>
        </w:tc>
        <w:tc>
          <w:tcPr>
            <w:tcW w:w="1020" w:type="dxa"/>
            <w:tcBorders>
              <w:bottom w:val="single" w:sz="4" w:space="0" w:color="000000"/>
            </w:tcBorders>
          </w:tcPr>
          <w:p w14:paraId="2C15F6FC" w14:textId="77777777" w:rsidR="008E5DE4" w:rsidRDefault="0078036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1]</w:t>
            </w:r>
          </w:p>
        </w:tc>
        <w:tc>
          <w:tcPr>
            <w:tcW w:w="1020" w:type="dxa"/>
            <w:tcBorders>
              <w:bottom w:val="single" w:sz="4" w:space="0" w:color="000000"/>
            </w:tcBorders>
          </w:tcPr>
          <w:p w14:paraId="61B0F2EB" w14:textId="77777777" w:rsidR="008E5DE4" w:rsidRDefault="0078036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2]</w:t>
            </w:r>
          </w:p>
        </w:tc>
        <w:tc>
          <w:tcPr>
            <w:tcW w:w="1020" w:type="dxa"/>
            <w:tcBorders>
              <w:bottom w:val="single" w:sz="4" w:space="0" w:color="000000"/>
            </w:tcBorders>
          </w:tcPr>
          <w:p w14:paraId="5C640540" w14:textId="77777777" w:rsidR="008E5DE4" w:rsidRDefault="00780368">
            <w:pPr>
              <w:widowControl w:val="0"/>
              <w:pBdr>
                <w:top w:val="nil"/>
                <w:left w:val="nil"/>
                <w:bottom w:val="nil"/>
                <w:right w:val="nil"/>
                <w:between w:val="nil"/>
              </w:pBdr>
              <w:ind w:left="-113"/>
              <w:jc w:val="right"/>
              <w:rPr>
                <w:b/>
                <w:color w:val="0000FF"/>
              </w:rPr>
            </w:pPr>
            <w:r>
              <w:rPr>
                <w:b/>
                <w:color w:val="0000FF"/>
              </w:rPr>
              <w:t>[Adjust-</w:t>
            </w:r>
            <w:proofErr w:type="spellStart"/>
            <w:r>
              <w:rPr>
                <w:b/>
                <w:color w:val="0000FF"/>
              </w:rPr>
              <w:t>ment</w:t>
            </w:r>
            <w:proofErr w:type="spellEnd"/>
            <w:r>
              <w:rPr>
                <w:b/>
                <w:color w:val="0000FF"/>
              </w:rPr>
              <w:t xml:space="preserve"> 3]</w:t>
            </w:r>
          </w:p>
        </w:tc>
        <w:tc>
          <w:tcPr>
            <w:tcW w:w="1020" w:type="dxa"/>
            <w:tcBorders>
              <w:bottom w:val="single" w:sz="4" w:space="0" w:color="000000"/>
            </w:tcBorders>
          </w:tcPr>
          <w:p w14:paraId="042A46F7" w14:textId="6D5B1548" w:rsidR="008E5DE4" w:rsidRDefault="00780368">
            <w:pPr>
              <w:widowControl w:val="0"/>
              <w:pBdr>
                <w:top w:val="nil"/>
                <w:left w:val="nil"/>
                <w:bottom w:val="nil"/>
                <w:right w:val="nil"/>
                <w:between w:val="nil"/>
              </w:pBdr>
              <w:ind w:left="-113"/>
              <w:jc w:val="right"/>
              <w:rPr>
                <w:b/>
                <w:color w:val="0000FF"/>
              </w:rPr>
            </w:pPr>
            <w:r>
              <w:rPr>
                <w:b/>
                <w:color w:val="0000FF"/>
              </w:rPr>
              <w:t>[</w:t>
            </w:r>
            <w:r w:rsidR="00435D5B">
              <w:rPr>
                <w:b/>
                <w:color w:val="0000FF"/>
              </w:rPr>
              <w:t>Total for adjustments</w:t>
            </w:r>
            <w:r>
              <w:rPr>
                <w:b/>
                <w:color w:val="0000FF"/>
              </w:rPr>
              <w:t>]</w:t>
            </w:r>
          </w:p>
        </w:tc>
        <w:tc>
          <w:tcPr>
            <w:tcW w:w="1134" w:type="dxa"/>
            <w:tcBorders>
              <w:bottom w:val="single" w:sz="4" w:space="0" w:color="000000"/>
            </w:tcBorders>
          </w:tcPr>
          <w:p w14:paraId="64F1159F" w14:textId="77777777" w:rsidR="008E5DE4" w:rsidRDefault="00780368">
            <w:pPr>
              <w:widowControl w:val="0"/>
              <w:pBdr>
                <w:top w:val="nil"/>
                <w:left w:val="nil"/>
                <w:bottom w:val="nil"/>
                <w:right w:val="nil"/>
                <w:between w:val="nil"/>
              </w:pBdr>
              <w:ind w:left="-113"/>
              <w:jc w:val="right"/>
              <w:rPr>
                <w:b/>
                <w:color w:val="000000"/>
              </w:rPr>
            </w:pPr>
            <w:r>
              <w:rPr>
                <w:b/>
                <w:color w:val="000000"/>
              </w:rPr>
              <w:t>As reported under IFRS Accounting Standards</w:t>
            </w:r>
          </w:p>
        </w:tc>
      </w:tr>
      <w:tr w:rsidR="008E5DE4" w14:paraId="5165D4AB" w14:textId="77777777">
        <w:trPr>
          <w:cantSplit/>
        </w:trPr>
        <w:tc>
          <w:tcPr>
            <w:tcW w:w="3005" w:type="dxa"/>
            <w:tcBorders>
              <w:top w:val="single" w:sz="4" w:space="0" w:color="000000"/>
            </w:tcBorders>
            <w:vAlign w:val="bottom"/>
          </w:tcPr>
          <w:p w14:paraId="51F7DB3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34" w:type="dxa"/>
            <w:tcBorders>
              <w:top w:val="single" w:sz="4" w:space="0" w:color="000000"/>
            </w:tcBorders>
            <w:vAlign w:val="bottom"/>
          </w:tcPr>
          <w:p w14:paraId="2CA23376" w14:textId="77777777" w:rsidR="008E5DE4" w:rsidRDefault="008E5DE4">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659D0537" w14:textId="77777777" w:rsidR="008E5DE4" w:rsidRDefault="008E5DE4">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53DDF688" w14:textId="77777777" w:rsidR="008E5DE4" w:rsidRDefault="008E5DE4">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05479A4C" w14:textId="77777777" w:rsidR="008E5DE4" w:rsidRDefault="008E5DE4">
            <w:pPr>
              <w:widowControl w:val="0"/>
              <w:pBdr>
                <w:top w:val="nil"/>
                <w:left w:val="nil"/>
                <w:bottom w:val="nil"/>
                <w:right w:val="nil"/>
                <w:between w:val="nil"/>
              </w:pBdr>
              <w:jc w:val="right"/>
              <w:rPr>
                <w:color w:val="000000"/>
              </w:rPr>
            </w:pPr>
          </w:p>
        </w:tc>
        <w:tc>
          <w:tcPr>
            <w:tcW w:w="1020" w:type="dxa"/>
            <w:tcBorders>
              <w:top w:val="single" w:sz="4" w:space="0" w:color="000000"/>
            </w:tcBorders>
            <w:vAlign w:val="bottom"/>
          </w:tcPr>
          <w:p w14:paraId="26F715C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00A2CCE" w14:textId="77777777" w:rsidR="008E5DE4" w:rsidRDefault="008E5DE4">
            <w:pPr>
              <w:widowControl w:val="0"/>
              <w:pBdr>
                <w:top w:val="nil"/>
                <w:left w:val="nil"/>
                <w:bottom w:val="nil"/>
                <w:right w:val="nil"/>
                <w:between w:val="nil"/>
              </w:pBdr>
              <w:jc w:val="right"/>
              <w:rPr>
                <w:color w:val="000000"/>
              </w:rPr>
            </w:pPr>
          </w:p>
        </w:tc>
      </w:tr>
      <w:tr w:rsidR="008E5DE4" w14:paraId="724EB9FB" w14:textId="77777777">
        <w:trPr>
          <w:cantSplit/>
        </w:trPr>
        <w:tc>
          <w:tcPr>
            <w:tcW w:w="3005" w:type="dxa"/>
            <w:vAlign w:val="bottom"/>
          </w:tcPr>
          <w:p w14:paraId="4A9C8B72" w14:textId="3C2D8EBB" w:rsidR="008E5DE4" w:rsidRDefault="00780368">
            <w:pPr>
              <w:widowControl w:val="0"/>
              <w:pBdr>
                <w:top w:val="nil"/>
                <w:left w:val="nil"/>
                <w:bottom w:val="nil"/>
                <w:right w:val="nil"/>
                <w:between w:val="nil"/>
              </w:pBdr>
              <w:ind w:left="113" w:right="-57" w:hanging="113"/>
              <w:rPr>
                <w:b/>
                <w:i/>
                <w:color w:val="000000"/>
              </w:rPr>
            </w:pPr>
            <w:r>
              <w:rPr>
                <w:b/>
                <w:i/>
                <w:color w:val="000000"/>
              </w:rPr>
              <w:t xml:space="preserve">Assets </w:t>
            </w:r>
            <w:proofErr w:type="gramStart"/>
            <w:r>
              <w:rPr>
                <w:b/>
                <w:i/>
                <w:color w:val="000000"/>
              </w:rPr>
              <w:t>at</w:t>
            </w:r>
            <w:proofErr w:type="gramEnd"/>
            <w:r>
              <w:rPr>
                <w:b/>
                <w:i/>
                <w:color w:val="000000"/>
              </w:rPr>
              <w:t xml:space="preserve"> 31 December </w:t>
            </w:r>
            <w:r w:rsidR="00FF468A">
              <w:rPr>
                <w:b/>
                <w:i/>
                <w:color w:val="000000"/>
              </w:rPr>
              <w:t>2024</w:t>
            </w:r>
          </w:p>
        </w:tc>
        <w:tc>
          <w:tcPr>
            <w:tcW w:w="1134" w:type="dxa"/>
            <w:vAlign w:val="bottom"/>
          </w:tcPr>
          <w:p w14:paraId="729E80C2"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45BE8557"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90E45FA"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739F6CD2"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461EAECC"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2224A15A" w14:textId="77777777" w:rsidR="008E5DE4" w:rsidRDefault="008E5DE4">
            <w:pPr>
              <w:widowControl w:val="0"/>
              <w:pBdr>
                <w:top w:val="nil"/>
                <w:left w:val="nil"/>
                <w:bottom w:val="nil"/>
                <w:right w:val="nil"/>
                <w:between w:val="nil"/>
              </w:pBdr>
              <w:jc w:val="right"/>
              <w:rPr>
                <w:b/>
                <w:color w:val="000000"/>
              </w:rPr>
            </w:pPr>
          </w:p>
        </w:tc>
      </w:tr>
      <w:tr w:rsidR="008E5DE4" w14:paraId="7D110CAD" w14:textId="77777777">
        <w:trPr>
          <w:cantSplit/>
        </w:trPr>
        <w:tc>
          <w:tcPr>
            <w:tcW w:w="3005" w:type="dxa"/>
            <w:vAlign w:val="bottom"/>
          </w:tcPr>
          <w:p w14:paraId="5141CC8A"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assets (or disposal groups) held for sale</w:t>
            </w:r>
          </w:p>
        </w:tc>
        <w:tc>
          <w:tcPr>
            <w:tcW w:w="1134" w:type="dxa"/>
            <w:vAlign w:val="bottom"/>
          </w:tcPr>
          <w:p w14:paraId="6450BBCC"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08417002"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5172A99C"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6E197F2"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078EE354"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0FB3BAC7" w14:textId="77777777" w:rsidR="008E5DE4" w:rsidRDefault="008E5DE4">
            <w:pPr>
              <w:widowControl w:val="0"/>
              <w:pBdr>
                <w:top w:val="nil"/>
                <w:left w:val="nil"/>
                <w:bottom w:val="nil"/>
                <w:right w:val="nil"/>
                <w:between w:val="nil"/>
              </w:pBdr>
              <w:jc w:val="right"/>
              <w:rPr>
                <w:b/>
                <w:color w:val="000000"/>
              </w:rPr>
            </w:pPr>
          </w:p>
        </w:tc>
      </w:tr>
      <w:tr w:rsidR="008E5DE4" w14:paraId="6A991811" w14:textId="77777777">
        <w:trPr>
          <w:cantSplit/>
        </w:trPr>
        <w:tc>
          <w:tcPr>
            <w:tcW w:w="3005" w:type="dxa"/>
            <w:vAlign w:val="bottom"/>
          </w:tcPr>
          <w:p w14:paraId="1220456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Investment in associates </w:t>
            </w:r>
          </w:p>
        </w:tc>
        <w:tc>
          <w:tcPr>
            <w:tcW w:w="1134" w:type="dxa"/>
            <w:vAlign w:val="bottom"/>
          </w:tcPr>
          <w:p w14:paraId="7B126FE1"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0D5AFC2F"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76894AD9"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0C095461"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5CF6D64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487D8E9" w14:textId="77777777" w:rsidR="008E5DE4" w:rsidRDefault="008E5DE4">
            <w:pPr>
              <w:widowControl w:val="0"/>
              <w:pBdr>
                <w:top w:val="nil"/>
                <w:left w:val="nil"/>
                <w:bottom w:val="nil"/>
                <w:right w:val="nil"/>
                <w:between w:val="nil"/>
              </w:pBdr>
              <w:jc w:val="right"/>
              <w:rPr>
                <w:color w:val="000000"/>
              </w:rPr>
            </w:pPr>
          </w:p>
        </w:tc>
      </w:tr>
      <w:tr w:rsidR="008E5DE4" w14:paraId="0E322CAB" w14:textId="77777777">
        <w:trPr>
          <w:cantSplit/>
        </w:trPr>
        <w:tc>
          <w:tcPr>
            <w:tcW w:w="3005" w:type="dxa"/>
            <w:vAlign w:val="bottom"/>
          </w:tcPr>
          <w:p w14:paraId="0E3D3193"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in joint ventures</w:t>
            </w:r>
          </w:p>
        </w:tc>
        <w:tc>
          <w:tcPr>
            <w:tcW w:w="1134" w:type="dxa"/>
            <w:vAlign w:val="bottom"/>
          </w:tcPr>
          <w:p w14:paraId="5CA38F5F"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09C0077B"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6EBB69A"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BC8FF46"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8F5E54A"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7C6A1EF2" w14:textId="77777777" w:rsidR="008E5DE4" w:rsidRDefault="008E5DE4">
            <w:pPr>
              <w:widowControl w:val="0"/>
              <w:pBdr>
                <w:top w:val="nil"/>
                <w:left w:val="nil"/>
                <w:bottom w:val="nil"/>
                <w:right w:val="nil"/>
                <w:between w:val="nil"/>
              </w:pBdr>
              <w:jc w:val="right"/>
              <w:rPr>
                <w:b/>
                <w:color w:val="000000"/>
              </w:rPr>
            </w:pPr>
          </w:p>
        </w:tc>
      </w:tr>
      <w:tr w:rsidR="008E5DE4" w14:paraId="6B3B2D3B" w14:textId="77777777">
        <w:trPr>
          <w:cantSplit/>
        </w:trPr>
        <w:tc>
          <w:tcPr>
            <w:tcW w:w="3005" w:type="dxa"/>
            <w:vAlign w:val="bottom"/>
          </w:tcPr>
          <w:p w14:paraId="35E84E40" w14:textId="77777777" w:rsidR="008E5DE4" w:rsidRDefault="00780368">
            <w:pPr>
              <w:widowControl w:val="0"/>
              <w:pBdr>
                <w:top w:val="nil"/>
                <w:left w:val="nil"/>
                <w:bottom w:val="nil"/>
                <w:right w:val="nil"/>
                <w:between w:val="nil"/>
              </w:pBdr>
              <w:ind w:left="113" w:right="-57" w:hanging="113"/>
              <w:rPr>
                <w:color w:val="000000"/>
              </w:rPr>
            </w:pPr>
            <w:r>
              <w:rPr>
                <w:color w:val="000000"/>
              </w:rPr>
              <w:t>Other reportable segment assets</w:t>
            </w:r>
          </w:p>
        </w:tc>
        <w:tc>
          <w:tcPr>
            <w:tcW w:w="1134" w:type="dxa"/>
            <w:vAlign w:val="bottom"/>
          </w:tcPr>
          <w:p w14:paraId="2C0EB495"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4B328EF8"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6DA3ADF0"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B54B4F7"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BAF4D69"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4F397B47" w14:textId="77777777" w:rsidR="008E5DE4" w:rsidRDefault="008E5DE4">
            <w:pPr>
              <w:widowControl w:val="0"/>
              <w:pBdr>
                <w:top w:val="nil"/>
                <w:left w:val="nil"/>
                <w:bottom w:val="nil"/>
                <w:right w:val="nil"/>
                <w:between w:val="nil"/>
              </w:pBdr>
              <w:jc w:val="right"/>
              <w:rPr>
                <w:b/>
                <w:color w:val="000000"/>
              </w:rPr>
            </w:pPr>
          </w:p>
        </w:tc>
      </w:tr>
      <w:tr w:rsidR="008E5DE4" w14:paraId="274D3500" w14:textId="77777777">
        <w:trPr>
          <w:cantSplit/>
        </w:trPr>
        <w:tc>
          <w:tcPr>
            <w:tcW w:w="3005" w:type="dxa"/>
            <w:tcBorders>
              <w:bottom w:val="single" w:sz="12" w:space="0" w:color="000000"/>
            </w:tcBorders>
            <w:vAlign w:val="bottom"/>
          </w:tcPr>
          <w:p w14:paraId="5843137D"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134" w:type="dxa"/>
            <w:tcBorders>
              <w:bottom w:val="single" w:sz="12" w:space="0" w:color="000000"/>
            </w:tcBorders>
            <w:vAlign w:val="bottom"/>
          </w:tcPr>
          <w:p w14:paraId="204F8159"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2521EC21"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216C7BB1"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59D1F6A3"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66EFB40A"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14DAC1E5" w14:textId="77777777" w:rsidR="008E5DE4" w:rsidRDefault="008E5DE4">
            <w:pPr>
              <w:widowControl w:val="0"/>
              <w:pBdr>
                <w:top w:val="nil"/>
                <w:left w:val="nil"/>
                <w:bottom w:val="nil"/>
                <w:right w:val="nil"/>
                <w:between w:val="nil"/>
              </w:pBdr>
              <w:jc w:val="right"/>
              <w:rPr>
                <w:b/>
                <w:color w:val="000000"/>
              </w:rPr>
            </w:pPr>
          </w:p>
        </w:tc>
      </w:tr>
      <w:tr w:rsidR="008E5DE4" w14:paraId="229A8AE7" w14:textId="77777777">
        <w:trPr>
          <w:cantSplit/>
        </w:trPr>
        <w:tc>
          <w:tcPr>
            <w:tcW w:w="3005" w:type="dxa"/>
            <w:vAlign w:val="bottom"/>
          </w:tcPr>
          <w:p w14:paraId="57F70D6D"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134" w:type="dxa"/>
            <w:vAlign w:val="bottom"/>
          </w:tcPr>
          <w:p w14:paraId="3BCAF2ED"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73D65040"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7FD1A580"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8C72240"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7A79C9BD"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2D3D455B" w14:textId="77777777" w:rsidR="008E5DE4" w:rsidRDefault="008E5DE4">
            <w:pPr>
              <w:widowControl w:val="0"/>
              <w:pBdr>
                <w:top w:val="nil"/>
                <w:left w:val="nil"/>
                <w:bottom w:val="nil"/>
                <w:right w:val="nil"/>
                <w:between w:val="nil"/>
              </w:pBdr>
              <w:jc w:val="right"/>
              <w:rPr>
                <w:b/>
                <w:color w:val="000000"/>
              </w:rPr>
            </w:pPr>
          </w:p>
        </w:tc>
      </w:tr>
      <w:tr w:rsidR="008E5DE4" w14:paraId="7CBC3A1A" w14:textId="77777777">
        <w:trPr>
          <w:cantSplit/>
        </w:trPr>
        <w:tc>
          <w:tcPr>
            <w:tcW w:w="3005" w:type="dxa"/>
            <w:vAlign w:val="bottom"/>
          </w:tcPr>
          <w:p w14:paraId="1DCF8767" w14:textId="5C0BB1DF" w:rsidR="008E5DE4" w:rsidRDefault="00780368">
            <w:pPr>
              <w:widowControl w:val="0"/>
              <w:pBdr>
                <w:top w:val="nil"/>
                <w:left w:val="nil"/>
                <w:bottom w:val="nil"/>
                <w:right w:val="nil"/>
                <w:between w:val="nil"/>
              </w:pBdr>
              <w:ind w:left="113" w:right="-57" w:hanging="113"/>
              <w:rPr>
                <w:color w:val="000000"/>
              </w:rPr>
            </w:pPr>
            <w:r>
              <w:rPr>
                <w:b/>
                <w:i/>
                <w:color w:val="000000"/>
              </w:rPr>
              <w:t xml:space="preserve">Liabilities </w:t>
            </w:r>
            <w:proofErr w:type="gramStart"/>
            <w:r>
              <w:rPr>
                <w:b/>
                <w:i/>
                <w:color w:val="000000"/>
              </w:rPr>
              <w:t>at</w:t>
            </w:r>
            <w:proofErr w:type="gramEnd"/>
            <w:r>
              <w:rPr>
                <w:b/>
                <w:i/>
                <w:color w:val="000000"/>
              </w:rPr>
              <w:t xml:space="preserve"> 31 December </w:t>
            </w:r>
            <w:r w:rsidR="00FF468A">
              <w:rPr>
                <w:b/>
                <w:i/>
                <w:color w:val="000000"/>
              </w:rPr>
              <w:t>2024</w:t>
            </w:r>
          </w:p>
        </w:tc>
        <w:tc>
          <w:tcPr>
            <w:tcW w:w="1134" w:type="dxa"/>
            <w:vAlign w:val="bottom"/>
          </w:tcPr>
          <w:p w14:paraId="3D8A38D5"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7AB328FA"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46380AB6"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6EFFC6C0"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65789D66"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5F3B3063" w14:textId="77777777" w:rsidR="008E5DE4" w:rsidRDefault="008E5DE4">
            <w:pPr>
              <w:widowControl w:val="0"/>
              <w:pBdr>
                <w:top w:val="nil"/>
                <w:left w:val="nil"/>
                <w:bottom w:val="nil"/>
                <w:right w:val="nil"/>
                <w:between w:val="nil"/>
              </w:pBdr>
              <w:jc w:val="right"/>
              <w:rPr>
                <w:b/>
                <w:color w:val="000000"/>
              </w:rPr>
            </w:pPr>
          </w:p>
        </w:tc>
      </w:tr>
      <w:tr w:rsidR="008E5DE4" w14:paraId="7E42682B" w14:textId="77777777">
        <w:trPr>
          <w:cantSplit/>
        </w:trPr>
        <w:tc>
          <w:tcPr>
            <w:tcW w:w="3005" w:type="dxa"/>
            <w:vAlign w:val="bottom"/>
          </w:tcPr>
          <w:p w14:paraId="5C0DE61D" w14:textId="77777777" w:rsidR="008E5DE4" w:rsidRDefault="00780368">
            <w:pPr>
              <w:widowControl w:val="0"/>
              <w:pBdr>
                <w:top w:val="nil"/>
                <w:left w:val="nil"/>
                <w:bottom w:val="nil"/>
                <w:right w:val="nil"/>
                <w:between w:val="nil"/>
              </w:pBdr>
              <w:ind w:left="113" w:right="-57" w:hanging="113"/>
              <w:rPr>
                <w:color w:val="000000"/>
              </w:rPr>
            </w:pPr>
            <w:r>
              <w:rPr>
                <w:color w:val="000000"/>
              </w:rPr>
              <w:t>Liabilities directly associated with disposal groups held for sale</w:t>
            </w:r>
          </w:p>
        </w:tc>
        <w:tc>
          <w:tcPr>
            <w:tcW w:w="1134" w:type="dxa"/>
            <w:vAlign w:val="bottom"/>
          </w:tcPr>
          <w:p w14:paraId="1C41CB51"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2321A1AB"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5C43DC49"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266BB15"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2A23D0F3"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3B13B638" w14:textId="77777777" w:rsidR="008E5DE4" w:rsidRDefault="008E5DE4">
            <w:pPr>
              <w:widowControl w:val="0"/>
              <w:pBdr>
                <w:top w:val="nil"/>
                <w:left w:val="nil"/>
                <w:bottom w:val="nil"/>
                <w:right w:val="nil"/>
                <w:between w:val="nil"/>
              </w:pBdr>
              <w:jc w:val="right"/>
              <w:rPr>
                <w:b/>
                <w:color w:val="000000"/>
              </w:rPr>
            </w:pPr>
          </w:p>
        </w:tc>
      </w:tr>
      <w:tr w:rsidR="008E5DE4" w14:paraId="411E85F2" w14:textId="77777777">
        <w:trPr>
          <w:cantSplit/>
        </w:trPr>
        <w:tc>
          <w:tcPr>
            <w:tcW w:w="3005" w:type="dxa"/>
            <w:vAlign w:val="bottom"/>
          </w:tcPr>
          <w:p w14:paraId="54A3340E" w14:textId="77777777" w:rsidR="008E5DE4" w:rsidRDefault="00780368">
            <w:pPr>
              <w:widowControl w:val="0"/>
              <w:pBdr>
                <w:top w:val="nil"/>
                <w:left w:val="nil"/>
                <w:bottom w:val="nil"/>
                <w:right w:val="nil"/>
                <w:between w:val="nil"/>
              </w:pBdr>
              <w:ind w:left="113" w:right="-57" w:hanging="113"/>
              <w:rPr>
                <w:color w:val="000000"/>
              </w:rPr>
            </w:pPr>
            <w:r>
              <w:rPr>
                <w:color w:val="000000"/>
              </w:rPr>
              <w:t>Other reportable segment liabilities</w:t>
            </w:r>
          </w:p>
        </w:tc>
        <w:tc>
          <w:tcPr>
            <w:tcW w:w="1134" w:type="dxa"/>
            <w:vAlign w:val="bottom"/>
          </w:tcPr>
          <w:p w14:paraId="1410CF6F"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63F2A0B3"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6E0BE8E3"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59F241F3" w14:textId="77777777" w:rsidR="008E5DE4" w:rsidRDefault="008E5DE4">
            <w:pPr>
              <w:widowControl w:val="0"/>
              <w:pBdr>
                <w:top w:val="nil"/>
                <w:left w:val="nil"/>
                <w:bottom w:val="nil"/>
                <w:right w:val="nil"/>
                <w:between w:val="nil"/>
              </w:pBdr>
              <w:jc w:val="right"/>
              <w:rPr>
                <w:b/>
                <w:color w:val="000000"/>
              </w:rPr>
            </w:pPr>
          </w:p>
        </w:tc>
        <w:tc>
          <w:tcPr>
            <w:tcW w:w="1020" w:type="dxa"/>
            <w:vAlign w:val="bottom"/>
          </w:tcPr>
          <w:p w14:paraId="3DD90049"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48ECD7C5" w14:textId="77777777" w:rsidR="008E5DE4" w:rsidRDefault="008E5DE4">
            <w:pPr>
              <w:widowControl w:val="0"/>
              <w:pBdr>
                <w:top w:val="nil"/>
                <w:left w:val="nil"/>
                <w:bottom w:val="nil"/>
                <w:right w:val="nil"/>
                <w:between w:val="nil"/>
              </w:pBdr>
              <w:jc w:val="right"/>
              <w:rPr>
                <w:b/>
                <w:color w:val="000000"/>
              </w:rPr>
            </w:pPr>
          </w:p>
        </w:tc>
      </w:tr>
      <w:tr w:rsidR="008E5DE4" w14:paraId="6787BCB2" w14:textId="77777777">
        <w:trPr>
          <w:cantSplit/>
        </w:trPr>
        <w:tc>
          <w:tcPr>
            <w:tcW w:w="3005" w:type="dxa"/>
            <w:tcBorders>
              <w:bottom w:val="single" w:sz="12" w:space="0" w:color="000000"/>
            </w:tcBorders>
            <w:vAlign w:val="bottom"/>
          </w:tcPr>
          <w:p w14:paraId="4B056589"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134" w:type="dxa"/>
            <w:tcBorders>
              <w:bottom w:val="single" w:sz="12" w:space="0" w:color="000000"/>
            </w:tcBorders>
            <w:vAlign w:val="bottom"/>
          </w:tcPr>
          <w:p w14:paraId="291523B2"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2B071EDC"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4B37A46E"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30ABE6E1" w14:textId="77777777" w:rsidR="008E5DE4" w:rsidRDefault="008E5DE4">
            <w:pPr>
              <w:widowControl w:val="0"/>
              <w:pBdr>
                <w:top w:val="nil"/>
                <w:left w:val="nil"/>
                <w:bottom w:val="nil"/>
                <w:right w:val="nil"/>
                <w:between w:val="nil"/>
              </w:pBdr>
              <w:jc w:val="right"/>
              <w:rPr>
                <w:b/>
                <w:color w:val="000000"/>
              </w:rPr>
            </w:pPr>
          </w:p>
        </w:tc>
        <w:tc>
          <w:tcPr>
            <w:tcW w:w="1020" w:type="dxa"/>
            <w:tcBorders>
              <w:bottom w:val="single" w:sz="12" w:space="0" w:color="000000"/>
            </w:tcBorders>
            <w:vAlign w:val="bottom"/>
          </w:tcPr>
          <w:p w14:paraId="4DC51430"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1CA45619" w14:textId="77777777" w:rsidR="008E5DE4" w:rsidRDefault="008E5DE4">
            <w:pPr>
              <w:widowControl w:val="0"/>
              <w:pBdr>
                <w:top w:val="nil"/>
                <w:left w:val="nil"/>
                <w:bottom w:val="nil"/>
                <w:right w:val="nil"/>
                <w:between w:val="nil"/>
              </w:pBdr>
              <w:jc w:val="right"/>
              <w:rPr>
                <w:b/>
                <w:color w:val="000000"/>
              </w:rPr>
            </w:pPr>
          </w:p>
        </w:tc>
      </w:tr>
      <w:tr w:rsidR="008E5DE4" w14:paraId="24DCC17B" w14:textId="77777777">
        <w:trPr>
          <w:cantSplit/>
        </w:trPr>
        <w:tc>
          <w:tcPr>
            <w:tcW w:w="3005" w:type="dxa"/>
            <w:vAlign w:val="bottom"/>
          </w:tcPr>
          <w:p w14:paraId="5D5EDAA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34" w:type="dxa"/>
            <w:vAlign w:val="bottom"/>
          </w:tcPr>
          <w:p w14:paraId="1AF7C271"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2DEB273E"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314D4639"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7C8BC43B"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18F40F3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F937C1" w14:textId="77777777" w:rsidR="008E5DE4" w:rsidRDefault="008E5DE4">
            <w:pPr>
              <w:widowControl w:val="0"/>
              <w:pBdr>
                <w:top w:val="nil"/>
                <w:left w:val="nil"/>
                <w:bottom w:val="nil"/>
                <w:right w:val="nil"/>
                <w:between w:val="nil"/>
              </w:pBdr>
              <w:jc w:val="right"/>
              <w:rPr>
                <w:color w:val="000000"/>
              </w:rPr>
            </w:pPr>
          </w:p>
        </w:tc>
      </w:tr>
      <w:tr w:rsidR="008E5DE4" w14:paraId="31AD1DD5" w14:textId="77777777">
        <w:trPr>
          <w:cantSplit/>
        </w:trPr>
        <w:tc>
          <w:tcPr>
            <w:tcW w:w="3005" w:type="dxa"/>
            <w:vAlign w:val="bottom"/>
          </w:tcPr>
          <w:p w14:paraId="43F74168" w14:textId="4EE68A41" w:rsidR="008E5DE4" w:rsidRDefault="00780368">
            <w:pPr>
              <w:widowControl w:val="0"/>
              <w:pBdr>
                <w:top w:val="nil"/>
                <w:left w:val="nil"/>
                <w:bottom w:val="nil"/>
                <w:right w:val="nil"/>
                <w:between w:val="nil"/>
              </w:pBdr>
              <w:ind w:left="113" w:right="-57" w:hanging="113"/>
              <w:rPr>
                <w:b/>
                <w:color w:val="000000"/>
              </w:rPr>
            </w:pPr>
            <w:r>
              <w:rPr>
                <w:b/>
                <w:color w:val="000000"/>
              </w:rPr>
              <w:t xml:space="preserve">Capital expenditure for </w:t>
            </w:r>
            <w:r w:rsidR="00FF468A">
              <w:rPr>
                <w:b/>
                <w:color w:val="000000"/>
              </w:rPr>
              <w:t>2024</w:t>
            </w:r>
          </w:p>
        </w:tc>
        <w:tc>
          <w:tcPr>
            <w:tcW w:w="1134" w:type="dxa"/>
            <w:vAlign w:val="bottom"/>
          </w:tcPr>
          <w:p w14:paraId="7F9515AF"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156DD1CA"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3115E58F"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30147B1D" w14:textId="77777777" w:rsidR="008E5DE4" w:rsidRDefault="008E5DE4">
            <w:pPr>
              <w:widowControl w:val="0"/>
              <w:pBdr>
                <w:top w:val="nil"/>
                <w:left w:val="nil"/>
                <w:bottom w:val="nil"/>
                <w:right w:val="nil"/>
                <w:between w:val="nil"/>
              </w:pBdr>
              <w:jc w:val="right"/>
              <w:rPr>
                <w:color w:val="000000"/>
              </w:rPr>
            </w:pPr>
          </w:p>
        </w:tc>
        <w:tc>
          <w:tcPr>
            <w:tcW w:w="1020" w:type="dxa"/>
            <w:vAlign w:val="bottom"/>
          </w:tcPr>
          <w:p w14:paraId="1CC3CB0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E515817" w14:textId="77777777" w:rsidR="008E5DE4" w:rsidRDefault="008E5DE4">
            <w:pPr>
              <w:widowControl w:val="0"/>
              <w:pBdr>
                <w:top w:val="nil"/>
                <w:left w:val="nil"/>
                <w:bottom w:val="nil"/>
                <w:right w:val="nil"/>
                <w:between w:val="nil"/>
              </w:pBdr>
              <w:jc w:val="right"/>
              <w:rPr>
                <w:color w:val="000000"/>
              </w:rPr>
            </w:pPr>
          </w:p>
        </w:tc>
      </w:tr>
      <w:tr w:rsidR="008E5DE4" w14:paraId="43B0132A" w14:textId="77777777">
        <w:trPr>
          <w:cantSplit/>
        </w:trPr>
        <w:tc>
          <w:tcPr>
            <w:tcW w:w="3005" w:type="dxa"/>
            <w:tcBorders>
              <w:bottom w:val="single" w:sz="12" w:space="0" w:color="000000"/>
            </w:tcBorders>
            <w:vAlign w:val="bottom"/>
          </w:tcPr>
          <w:p w14:paraId="595E460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34" w:type="dxa"/>
            <w:tcBorders>
              <w:bottom w:val="single" w:sz="12" w:space="0" w:color="000000"/>
            </w:tcBorders>
            <w:vAlign w:val="bottom"/>
          </w:tcPr>
          <w:p w14:paraId="10B23A1E"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206C38C3"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72CA5C97"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584EFF32"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12" w:space="0" w:color="000000"/>
            </w:tcBorders>
            <w:vAlign w:val="bottom"/>
          </w:tcPr>
          <w:p w14:paraId="69A1023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0DE1A9E" w14:textId="77777777" w:rsidR="008E5DE4" w:rsidRDefault="008E5DE4">
            <w:pPr>
              <w:widowControl w:val="0"/>
              <w:pBdr>
                <w:top w:val="nil"/>
                <w:left w:val="nil"/>
                <w:bottom w:val="nil"/>
                <w:right w:val="nil"/>
                <w:between w:val="nil"/>
              </w:pBdr>
              <w:jc w:val="right"/>
              <w:rPr>
                <w:color w:val="000000"/>
              </w:rPr>
            </w:pPr>
          </w:p>
        </w:tc>
      </w:tr>
    </w:tbl>
    <w:p w14:paraId="54DBFE16"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reconciling items are attributable to the following: </w:t>
      </w:r>
    </w:p>
    <w:p w14:paraId="16AF64F1" w14:textId="77777777" w:rsidR="008E5DE4" w:rsidRDefault="00780368">
      <w:pPr>
        <w:widowControl w:val="0"/>
        <w:numPr>
          <w:ilvl w:val="0"/>
          <w:numId w:val="27"/>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r>
        <w:rPr>
          <w:color w:val="0000FF"/>
          <w:sz w:val="20"/>
          <w:szCs w:val="20"/>
        </w:rPr>
        <w:t xml:space="preserve"> </w:t>
      </w:r>
    </w:p>
    <w:p w14:paraId="61C027F2" w14:textId="77777777" w:rsidR="008E5DE4" w:rsidRDefault="00780368">
      <w:pPr>
        <w:widowControl w:val="0"/>
        <w:numPr>
          <w:ilvl w:val="0"/>
          <w:numId w:val="27"/>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p>
    <w:p w14:paraId="23C96A2C" w14:textId="77777777" w:rsidR="008E5DE4" w:rsidRDefault="00780368">
      <w:pPr>
        <w:widowControl w:val="0"/>
        <w:numPr>
          <w:ilvl w:val="0"/>
          <w:numId w:val="27"/>
        </w:numPr>
        <w:pBdr>
          <w:top w:val="nil"/>
          <w:left w:val="nil"/>
          <w:bottom w:val="nil"/>
          <w:right w:val="nil"/>
          <w:between w:val="nil"/>
        </w:pBdr>
        <w:spacing w:before="200" w:after="200"/>
        <w:ind w:left="0" w:firstLine="0"/>
        <w:jc w:val="both"/>
        <w:rPr>
          <w:color w:val="0000FF"/>
          <w:sz w:val="20"/>
          <w:szCs w:val="20"/>
        </w:rPr>
      </w:pPr>
      <w:r>
        <w:rPr>
          <w:color w:val="0000FF"/>
          <w:sz w:val="20"/>
          <w:szCs w:val="20"/>
        </w:rPr>
        <w:t>[description of each adjustment</w:t>
      </w:r>
      <w:proofErr w:type="gramStart"/>
      <w:r>
        <w:rPr>
          <w:color w:val="0000FF"/>
          <w:sz w:val="20"/>
          <w:szCs w:val="20"/>
        </w:rPr>
        <w:t>];</w:t>
      </w:r>
      <w:proofErr w:type="gramEnd"/>
    </w:p>
    <w:p w14:paraId="00FAEC1C"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(f)</w:t>
      </w:r>
      <w:r>
        <w:rPr>
          <w:b/>
          <w:i/>
          <w:color w:val="000000"/>
          <w:sz w:val="20"/>
          <w:szCs w:val="20"/>
        </w:rPr>
        <w:tab/>
        <w:t>Analysis of revenues by products and services</w:t>
      </w:r>
    </w:p>
    <w:p w14:paraId="3540A4A5"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color w:val="000000"/>
          <w:sz w:val="20"/>
          <w:szCs w:val="20"/>
        </w:rPr>
        <w:t xml:space="preserve">The Group’s revenues are analysed by products and services in Note 35 (revenue from core activities), Note 38 (interest income) and in Note 36 (other income). </w:t>
      </w:r>
    </w:p>
    <w:p w14:paraId="0BF929CF"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(f) </w:t>
      </w:r>
      <w:r>
        <w:rPr>
          <w:b/>
          <w:i/>
          <w:color w:val="000000"/>
          <w:sz w:val="20"/>
          <w:szCs w:val="20"/>
        </w:rPr>
        <w:tab/>
        <w:t>Geographical information</w:t>
      </w:r>
    </w:p>
    <w:p w14:paraId="70C59D56"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Revenues for each individual country for which the revenues are material are reported separately as follows:</w:t>
      </w:r>
    </w:p>
    <w:tbl>
      <w:tblPr>
        <w:tblStyle w:val="af3"/>
        <w:tblW w:w="9355" w:type="dxa"/>
        <w:tblLayout w:type="fixed"/>
        <w:tblLook w:val="0000" w:firstRow="0" w:lastRow="0" w:firstColumn="0" w:lastColumn="0" w:noHBand="0" w:noVBand="0"/>
      </w:tblPr>
      <w:tblGrid>
        <w:gridCol w:w="6293"/>
        <w:gridCol w:w="1531"/>
        <w:gridCol w:w="1531"/>
      </w:tblGrid>
      <w:tr w:rsidR="008E5DE4" w14:paraId="118A0FB9" w14:textId="77777777">
        <w:trPr>
          <w:cantSplit/>
        </w:trPr>
        <w:tc>
          <w:tcPr>
            <w:tcW w:w="6293" w:type="dxa"/>
            <w:tcBorders>
              <w:bottom w:val="single" w:sz="4" w:space="0" w:color="000000"/>
            </w:tcBorders>
            <w:vAlign w:val="bottom"/>
          </w:tcPr>
          <w:p w14:paraId="6831D819" w14:textId="77777777" w:rsidR="008E5DE4" w:rsidRDefault="00780368">
            <w:pPr>
              <w:widowControl w:val="0"/>
              <w:pBdr>
                <w:top w:val="nil"/>
                <w:left w:val="nil"/>
                <w:bottom w:val="nil"/>
                <w:right w:val="nil"/>
                <w:between w:val="nil"/>
              </w:pBdr>
              <w:rPr>
                <w:i/>
                <w:color w:val="000000"/>
              </w:rPr>
            </w:pPr>
            <w:r>
              <w:rPr>
                <w:i/>
                <w:color w:val="000000"/>
              </w:rPr>
              <w:t xml:space="preserve">In thousands of EUR </w:t>
            </w:r>
          </w:p>
        </w:tc>
        <w:tc>
          <w:tcPr>
            <w:tcW w:w="1531" w:type="dxa"/>
            <w:tcBorders>
              <w:bottom w:val="single" w:sz="4" w:space="0" w:color="000000"/>
            </w:tcBorders>
            <w:vAlign w:val="bottom"/>
          </w:tcPr>
          <w:p w14:paraId="5B3C363C" w14:textId="6B6A743F"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FF97F01" w14:textId="40B22B0D"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2B6D1C16" w14:textId="77777777">
        <w:trPr>
          <w:cantSplit/>
        </w:trPr>
        <w:tc>
          <w:tcPr>
            <w:tcW w:w="6293" w:type="dxa"/>
            <w:vAlign w:val="bottom"/>
          </w:tcPr>
          <w:p w14:paraId="7889F52F"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vAlign w:val="bottom"/>
          </w:tcPr>
          <w:p w14:paraId="5F90092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3BB16F9" w14:textId="77777777" w:rsidR="008E5DE4" w:rsidRDefault="008E5DE4">
            <w:pPr>
              <w:widowControl w:val="0"/>
              <w:pBdr>
                <w:top w:val="nil"/>
                <w:left w:val="nil"/>
                <w:bottom w:val="nil"/>
                <w:right w:val="nil"/>
                <w:between w:val="nil"/>
              </w:pBdr>
              <w:jc w:val="right"/>
              <w:rPr>
                <w:color w:val="000000"/>
              </w:rPr>
            </w:pPr>
          </w:p>
        </w:tc>
      </w:tr>
      <w:tr w:rsidR="008E5DE4" w14:paraId="16BFA79A" w14:textId="77777777">
        <w:trPr>
          <w:cantSplit/>
        </w:trPr>
        <w:tc>
          <w:tcPr>
            <w:tcW w:w="6293" w:type="dxa"/>
            <w:vAlign w:val="bottom"/>
          </w:tcPr>
          <w:p w14:paraId="13DB325D" w14:textId="77777777" w:rsidR="008E5DE4" w:rsidRDefault="00780368">
            <w:pPr>
              <w:widowControl w:val="0"/>
              <w:pBdr>
                <w:top w:val="nil"/>
                <w:left w:val="nil"/>
                <w:bottom w:val="nil"/>
                <w:right w:val="nil"/>
                <w:between w:val="nil"/>
              </w:pBdr>
              <w:rPr>
                <w:color w:val="0000FF"/>
              </w:rPr>
            </w:pPr>
            <w:r>
              <w:rPr>
                <w:color w:val="0000FF"/>
              </w:rPr>
              <w:t>[Country of domicile]</w:t>
            </w:r>
          </w:p>
        </w:tc>
        <w:tc>
          <w:tcPr>
            <w:tcW w:w="1531" w:type="dxa"/>
            <w:vAlign w:val="bottom"/>
          </w:tcPr>
          <w:p w14:paraId="5B27E05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3D75409" w14:textId="77777777" w:rsidR="008E5DE4" w:rsidRDefault="008E5DE4">
            <w:pPr>
              <w:widowControl w:val="0"/>
              <w:pBdr>
                <w:top w:val="nil"/>
                <w:left w:val="nil"/>
                <w:bottom w:val="nil"/>
                <w:right w:val="nil"/>
                <w:between w:val="nil"/>
              </w:pBdr>
              <w:jc w:val="right"/>
              <w:rPr>
                <w:color w:val="000000"/>
              </w:rPr>
            </w:pPr>
          </w:p>
        </w:tc>
      </w:tr>
      <w:tr w:rsidR="008E5DE4" w14:paraId="0AF6EB2E" w14:textId="77777777">
        <w:trPr>
          <w:cantSplit/>
        </w:trPr>
        <w:tc>
          <w:tcPr>
            <w:tcW w:w="6293" w:type="dxa"/>
            <w:vAlign w:val="bottom"/>
          </w:tcPr>
          <w:p w14:paraId="518D799D" w14:textId="77777777" w:rsidR="008E5DE4" w:rsidRDefault="00780368">
            <w:pPr>
              <w:widowControl w:val="0"/>
              <w:pBdr>
                <w:top w:val="nil"/>
                <w:left w:val="nil"/>
                <w:bottom w:val="nil"/>
                <w:right w:val="nil"/>
                <w:between w:val="nil"/>
              </w:pBdr>
              <w:rPr>
                <w:color w:val="0000FF"/>
              </w:rPr>
            </w:pPr>
            <w:r>
              <w:rPr>
                <w:color w:val="0000FF"/>
              </w:rPr>
              <w:t>Ukraine</w:t>
            </w:r>
          </w:p>
        </w:tc>
        <w:tc>
          <w:tcPr>
            <w:tcW w:w="1531" w:type="dxa"/>
            <w:vAlign w:val="bottom"/>
          </w:tcPr>
          <w:p w14:paraId="3B7F5E7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058D52D" w14:textId="77777777" w:rsidR="008E5DE4" w:rsidRDefault="008E5DE4">
            <w:pPr>
              <w:widowControl w:val="0"/>
              <w:pBdr>
                <w:top w:val="nil"/>
                <w:left w:val="nil"/>
                <w:bottom w:val="nil"/>
                <w:right w:val="nil"/>
                <w:between w:val="nil"/>
              </w:pBdr>
              <w:jc w:val="right"/>
              <w:rPr>
                <w:color w:val="000000"/>
              </w:rPr>
            </w:pPr>
          </w:p>
        </w:tc>
      </w:tr>
      <w:tr w:rsidR="008E5DE4" w14:paraId="58BABCE2" w14:textId="77777777">
        <w:trPr>
          <w:cantSplit/>
        </w:trPr>
        <w:tc>
          <w:tcPr>
            <w:tcW w:w="6293" w:type="dxa"/>
            <w:vAlign w:val="bottom"/>
          </w:tcPr>
          <w:p w14:paraId="3DA8F04B" w14:textId="77777777" w:rsidR="008E5DE4" w:rsidRDefault="00780368">
            <w:pPr>
              <w:widowControl w:val="0"/>
              <w:pBdr>
                <w:top w:val="nil"/>
                <w:left w:val="nil"/>
                <w:bottom w:val="nil"/>
                <w:right w:val="nil"/>
                <w:between w:val="nil"/>
              </w:pBdr>
              <w:rPr>
                <w:color w:val="0000FF"/>
              </w:rPr>
            </w:pPr>
            <w:r>
              <w:rPr>
                <w:color w:val="0000FF"/>
              </w:rPr>
              <w:t>Kazakhstan</w:t>
            </w:r>
          </w:p>
        </w:tc>
        <w:tc>
          <w:tcPr>
            <w:tcW w:w="1531" w:type="dxa"/>
            <w:vAlign w:val="bottom"/>
          </w:tcPr>
          <w:p w14:paraId="15174A0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97F039F" w14:textId="77777777" w:rsidR="008E5DE4" w:rsidRDefault="008E5DE4">
            <w:pPr>
              <w:widowControl w:val="0"/>
              <w:pBdr>
                <w:top w:val="nil"/>
                <w:left w:val="nil"/>
                <w:bottom w:val="nil"/>
                <w:right w:val="nil"/>
                <w:between w:val="nil"/>
              </w:pBdr>
              <w:jc w:val="right"/>
              <w:rPr>
                <w:color w:val="000000"/>
              </w:rPr>
            </w:pPr>
          </w:p>
        </w:tc>
      </w:tr>
      <w:tr w:rsidR="008E5DE4" w14:paraId="5B721F6B" w14:textId="77777777">
        <w:trPr>
          <w:cantSplit/>
        </w:trPr>
        <w:tc>
          <w:tcPr>
            <w:tcW w:w="6293" w:type="dxa"/>
            <w:vAlign w:val="bottom"/>
          </w:tcPr>
          <w:p w14:paraId="0EED06F1" w14:textId="77777777" w:rsidR="008E5DE4" w:rsidRDefault="00780368">
            <w:pPr>
              <w:widowControl w:val="0"/>
              <w:pBdr>
                <w:top w:val="nil"/>
                <w:left w:val="nil"/>
                <w:bottom w:val="nil"/>
                <w:right w:val="nil"/>
                <w:between w:val="nil"/>
              </w:pBdr>
              <w:rPr>
                <w:color w:val="000000"/>
              </w:rPr>
            </w:pPr>
            <w:r>
              <w:rPr>
                <w:color w:val="000000"/>
              </w:rPr>
              <w:t>Other countries</w:t>
            </w:r>
          </w:p>
        </w:tc>
        <w:tc>
          <w:tcPr>
            <w:tcW w:w="1531" w:type="dxa"/>
            <w:vAlign w:val="bottom"/>
          </w:tcPr>
          <w:p w14:paraId="3630010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AA51DB9" w14:textId="77777777" w:rsidR="008E5DE4" w:rsidRDefault="008E5DE4">
            <w:pPr>
              <w:widowControl w:val="0"/>
              <w:pBdr>
                <w:top w:val="nil"/>
                <w:left w:val="nil"/>
                <w:bottom w:val="nil"/>
                <w:right w:val="nil"/>
                <w:between w:val="nil"/>
              </w:pBdr>
              <w:jc w:val="right"/>
              <w:rPr>
                <w:color w:val="000000"/>
              </w:rPr>
            </w:pPr>
          </w:p>
        </w:tc>
      </w:tr>
      <w:tr w:rsidR="008E5DE4" w14:paraId="3B99C43E" w14:textId="77777777">
        <w:trPr>
          <w:cantSplit/>
        </w:trPr>
        <w:tc>
          <w:tcPr>
            <w:tcW w:w="6293" w:type="dxa"/>
            <w:tcBorders>
              <w:bottom w:val="single" w:sz="4" w:space="0" w:color="000000"/>
            </w:tcBorders>
            <w:vAlign w:val="bottom"/>
          </w:tcPr>
          <w:p w14:paraId="28BD5EC7"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bottom w:val="single" w:sz="4" w:space="0" w:color="000000"/>
            </w:tcBorders>
            <w:vAlign w:val="bottom"/>
          </w:tcPr>
          <w:p w14:paraId="03E9B643"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801E422" w14:textId="77777777" w:rsidR="008E5DE4" w:rsidRDefault="008E5DE4">
            <w:pPr>
              <w:widowControl w:val="0"/>
              <w:pBdr>
                <w:top w:val="nil"/>
                <w:left w:val="nil"/>
                <w:bottom w:val="nil"/>
                <w:right w:val="nil"/>
                <w:between w:val="nil"/>
              </w:pBdr>
              <w:jc w:val="right"/>
              <w:rPr>
                <w:color w:val="000000"/>
              </w:rPr>
            </w:pPr>
          </w:p>
        </w:tc>
      </w:tr>
      <w:tr w:rsidR="008E5DE4" w14:paraId="71E6F41B" w14:textId="77777777">
        <w:trPr>
          <w:cantSplit/>
        </w:trPr>
        <w:tc>
          <w:tcPr>
            <w:tcW w:w="6293" w:type="dxa"/>
            <w:tcBorders>
              <w:top w:val="single" w:sz="4" w:space="0" w:color="000000"/>
            </w:tcBorders>
            <w:vAlign w:val="bottom"/>
          </w:tcPr>
          <w:p w14:paraId="150A5AD7"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top w:val="single" w:sz="4" w:space="0" w:color="000000"/>
            </w:tcBorders>
            <w:vAlign w:val="bottom"/>
          </w:tcPr>
          <w:p w14:paraId="494B9530"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73A73D48" w14:textId="77777777" w:rsidR="008E5DE4" w:rsidRDefault="008E5DE4">
            <w:pPr>
              <w:widowControl w:val="0"/>
              <w:pBdr>
                <w:top w:val="nil"/>
                <w:left w:val="nil"/>
                <w:bottom w:val="nil"/>
                <w:right w:val="nil"/>
                <w:between w:val="nil"/>
              </w:pBdr>
              <w:jc w:val="right"/>
              <w:rPr>
                <w:color w:val="000000"/>
              </w:rPr>
            </w:pPr>
          </w:p>
        </w:tc>
      </w:tr>
      <w:tr w:rsidR="008E5DE4" w14:paraId="77262496" w14:textId="77777777">
        <w:trPr>
          <w:cantSplit/>
        </w:trPr>
        <w:tc>
          <w:tcPr>
            <w:tcW w:w="6293" w:type="dxa"/>
            <w:vAlign w:val="bottom"/>
          </w:tcPr>
          <w:p w14:paraId="442FA0E0" w14:textId="77777777" w:rsidR="008E5DE4" w:rsidRDefault="00780368">
            <w:pPr>
              <w:widowControl w:val="0"/>
              <w:pBdr>
                <w:top w:val="nil"/>
                <w:left w:val="nil"/>
                <w:bottom w:val="nil"/>
                <w:right w:val="nil"/>
                <w:between w:val="nil"/>
              </w:pBdr>
              <w:rPr>
                <w:b/>
                <w:color w:val="000000"/>
              </w:rPr>
            </w:pPr>
            <w:r>
              <w:rPr>
                <w:b/>
                <w:color w:val="000000"/>
              </w:rPr>
              <w:t>Total consolidated revenues</w:t>
            </w:r>
          </w:p>
        </w:tc>
        <w:tc>
          <w:tcPr>
            <w:tcW w:w="1531" w:type="dxa"/>
            <w:vAlign w:val="bottom"/>
          </w:tcPr>
          <w:p w14:paraId="723B8EF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1E8482F" w14:textId="77777777" w:rsidR="008E5DE4" w:rsidRDefault="008E5DE4">
            <w:pPr>
              <w:widowControl w:val="0"/>
              <w:pBdr>
                <w:top w:val="nil"/>
                <w:left w:val="nil"/>
                <w:bottom w:val="nil"/>
                <w:right w:val="nil"/>
                <w:between w:val="nil"/>
              </w:pBdr>
              <w:jc w:val="right"/>
              <w:rPr>
                <w:b/>
                <w:color w:val="000000"/>
              </w:rPr>
            </w:pPr>
          </w:p>
        </w:tc>
      </w:tr>
      <w:tr w:rsidR="008E5DE4" w14:paraId="57F3926F" w14:textId="77777777">
        <w:trPr>
          <w:cantSplit/>
        </w:trPr>
        <w:tc>
          <w:tcPr>
            <w:tcW w:w="6293" w:type="dxa"/>
            <w:tcBorders>
              <w:bottom w:val="single" w:sz="12" w:space="0" w:color="000000"/>
            </w:tcBorders>
            <w:vAlign w:val="bottom"/>
          </w:tcPr>
          <w:p w14:paraId="0D5695E4" w14:textId="77777777" w:rsidR="008E5DE4" w:rsidRDefault="00780368">
            <w:pPr>
              <w:widowControl w:val="0"/>
            </w:pPr>
            <w:r>
              <w:t> </w:t>
            </w:r>
          </w:p>
        </w:tc>
        <w:tc>
          <w:tcPr>
            <w:tcW w:w="1531" w:type="dxa"/>
            <w:tcBorders>
              <w:bottom w:val="single" w:sz="12" w:space="0" w:color="000000"/>
            </w:tcBorders>
            <w:vAlign w:val="bottom"/>
          </w:tcPr>
          <w:p w14:paraId="4DC107FF" w14:textId="77777777" w:rsidR="008E5DE4" w:rsidRDefault="008E5DE4">
            <w:pPr>
              <w:widowControl w:val="0"/>
              <w:pBdr>
                <w:top w:val="nil"/>
                <w:left w:val="nil"/>
                <w:bottom w:val="nil"/>
                <w:right w:val="nil"/>
                <w:between w:val="nil"/>
              </w:pBdr>
              <w:jc w:val="right"/>
              <w:rPr>
                <w:b/>
                <w:color w:val="000000"/>
                <w:u w:val="single"/>
              </w:rPr>
            </w:pPr>
          </w:p>
        </w:tc>
        <w:tc>
          <w:tcPr>
            <w:tcW w:w="1531" w:type="dxa"/>
            <w:tcBorders>
              <w:bottom w:val="single" w:sz="12" w:space="0" w:color="000000"/>
            </w:tcBorders>
            <w:vAlign w:val="bottom"/>
          </w:tcPr>
          <w:p w14:paraId="015C9603" w14:textId="77777777" w:rsidR="008E5DE4" w:rsidRDefault="008E5DE4">
            <w:pPr>
              <w:widowControl w:val="0"/>
              <w:pBdr>
                <w:top w:val="nil"/>
                <w:left w:val="nil"/>
                <w:bottom w:val="nil"/>
                <w:right w:val="nil"/>
                <w:between w:val="nil"/>
              </w:pBdr>
              <w:jc w:val="right"/>
              <w:rPr>
                <w:b/>
                <w:color w:val="000000"/>
              </w:rPr>
            </w:pPr>
          </w:p>
        </w:tc>
      </w:tr>
    </w:tbl>
    <w:p w14:paraId="36457FA6" w14:textId="3281731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analysis is based on the domicile of the customer. Revenues from </w:t>
      </w:r>
      <w:proofErr w:type="gramStart"/>
      <w:r>
        <w:rPr>
          <w:color w:val="000000"/>
          <w:sz w:val="20"/>
          <w:szCs w:val="20"/>
        </w:rPr>
        <w:t>off-shore</w:t>
      </w:r>
      <w:proofErr w:type="gramEnd"/>
      <w:r>
        <w:rPr>
          <w:color w:val="000000"/>
          <w:sz w:val="20"/>
          <w:szCs w:val="20"/>
        </w:rPr>
        <w:t xml:space="preserve"> companies of </w:t>
      </w:r>
      <w:r>
        <w:rPr>
          <w:color w:val="0000FF"/>
          <w:sz w:val="20"/>
          <w:szCs w:val="20"/>
        </w:rPr>
        <w:t>[Country</w:t>
      </w:r>
      <w:r>
        <w:rPr>
          <w:color w:val="0070C0"/>
          <w:sz w:val="20"/>
          <w:szCs w:val="20"/>
        </w:rPr>
        <w:t xml:space="preserve">] </w:t>
      </w:r>
      <w:r>
        <w:rPr>
          <w:color w:val="000000"/>
          <w:sz w:val="20"/>
          <w:szCs w:val="20"/>
        </w:rPr>
        <w:t xml:space="preserve">customers are reported as revenues from </w:t>
      </w:r>
      <w:r>
        <w:rPr>
          <w:color w:val="0000FF"/>
          <w:sz w:val="20"/>
          <w:szCs w:val="20"/>
        </w:rPr>
        <w:t xml:space="preserve">[Country]. </w:t>
      </w:r>
      <w:r>
        <w:rPr>
          <w:color w:val="000000"/>
          <w:sz w:val="20"/>
          <w:szCs w:val="20"/>
        </w:rPr>
        <w:t>Revenues comprise revenues from core activities, interest income and other income.</w:t>
      </w:r>
    </w:p>
    <w:p w14:paraId="233EC1A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7</w:t>
      </w:r>
      <w:r>
        <w:rPr>
          <w:b/>
          <w:color w:val="000000"/>
          <w:sz w:val="20"/>
          <w:szCs w:val="20"/>
        </w:rPr>
        <w:tab/>
        <w:t>Segment Information (Continued)</w:t>
      </w:r>
    </w:p>
    <w:p w14:paraId="3997B594"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Capital expenditure for each individual country for which it is material is reported separately as follows:</w:t>
      </w:r>
    </w:p>
    <w:tbl>
      <w:tblPr>
        <w:tblStyle w:val="af4"/>
        <w:tblW w:w="9355" w:type="dxa"/>
        <w:tblLayout w:type="fixed"/>
        <w:tblLook w:val="0000" w:firstRow="0" w:lastRow="0" w:firstColumn="0" w:lastColumn="0" w:noHBand="0" w:noVBand="0"/>
      </w:tblPr>
      <w:tblGrid>
        <w:gridCol w:w="6293"/>
        <w:gridCol w:w="1531"/>
        <w:gridCol w:w="1531"/>
      </w:tblGrid>
      <w:tr w:rsidR="008E5DE4" w14:paraId="1281F199" w14:textId="77777777">
        <w:trPr>
          <w:cantSplit/>
        </w:trPr>
        <w:tc>
          <w:tcPr>
            <w:tcW w:w="6293" w:type="dxa"/>
            <w:tcBorders>
              <w:bottom w:val="single" w:sz="4" w:space="0" w:color="000000"/>
            </w:tcBorders>
            <w:vAlign w:val="bottom"/>
          </w:tcPr>
          <w:p w14:paraId="0C1DB20E" w14:textId="77777777" w:rsidR="008E5DE4" w:rsidRDefault="00780368">
            <w:pPr>
              <w:widowControl w:val="0"/>
              <w:pBdr>
                <w:top w:val="nil"/>
                <w:left w:val="nil"/>
                <w:bottom w:val="nil"/>
                <w:right w:val="nil"/>
                <w:between w:val="nil"/>
              </w:pBdr>
              <w:rPr>
                <w:b/>
                <w:i/>
                <w:color w:val="000000"/>
              </w:rPr>
            </w:pPr>
            <w:r>
              <w:rPr>
                <w:i/>
                <w:color w:val="000000"/>
              </w:rPr>
              <w:t xml:space="preserve">In thousands of EUR </w:t>
            </w:r>
          </w:p>
        </w:tc>
        <w:tc>
          <w:tcPr>
            <w:tcW w:w="1531" w:type="dxa"/>
            <w:tcBorders>
              <w:bottom w:val="single" w:sz="4" w:space="0" w:color="000000"/>
            </w:tcBorders>
            <w:vAlign w:val="bottom"/>
          </w:tcPr>
          <w:p w14:paraId="6A447AE8" w14:textId="0D13FD7D"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602BFC7B" w14:textId="6804012C"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685B2544" w14:textId="77777777">
        <w:trPr>
          <w:cantSplit/>
        </w:trPr>
        <w:tc>
          <w:tcPr>
            <w:tcW w:w="6293" w:type="dxa"/>
            <w:vAlign w:val="bottom"/>
          </w:tcPr>
          <w:p w14:paraId="1E1E382D"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vAlign w:val="bottom"/>
          </w:tcPr>
          <w:p w14:paraId="085DD5A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2DAA0E5" w14:textId="77777777" w:rsidR="008E5DE4" w:rsidRDefault="008E5DE4">
            <w:pPr>
              <w:widowControl w:val="0"/>
              <w:pBdr>
                <w:top w:val="nil"/>
                <w:left w:val="nil"/>
                <w:bottom w:val="nil"/>
                <w:right w:val="nil"/>
                <w:between w:val="nil"/>
              </w:pBdr>
              <w:jc w:val="right"/>
              <w:rPr>
                <w:color w:val="000000"/>
              </w:rPr>
            </w:pPr>
          </w:p>
        </w:tc>
      </w:tr>
      <w:tr w:rsidR="008E5DE4" w14:paraId="2664C642" w14:textId="77777777">
        <w:trPr>
          <w:cantSplit/>
        </w:trPr>
        <w:tc>
          <w:tcPr>
            <w:tcW w:w="6293" w:type="dxa"/>
            <w:vAlign w:val="bottom"/>
          </w:tcPr>
          <w:p w14:paraId="0BB184C3" w14:textId="77777777" w:rsidR="008E5DE4" w:rsidRDefault="00780368">
            <w:pPr>
              <w:widowControl w:val="0"/>
              <w:pBdr>
                <w:top w:val="nil"/>
                <w:left w:val="nil"/>
                <w:bottom w:val="nil"/>
                <w:right w:val="nil"/>
                <w:between w:val="nil"/>
              </w:pBdr>
              <w:rPr>
                <w:color w:val="0000FF"/>
              </w:rPr>
            </w:pPr>
            <w:r>
              <w:rPr>
                <w:color w:val="0000FF"/>
              </w:rPr>
              <w:t>[Country of domicile]</w:t>
            </w:r>
          </w:p>
        </w:tc>
        <w:tc>
          <w:tcPr>
            <w:tcW w:w="1531" w:type="dxa"/>
            <w:vAlign w:val="bottom"/>
          </w:tcPr>
          <w:p w14:paraId="343EE54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BEE0C8F" w14:textId="77777777" w:rsidR="008E5DE4" w:rsidRDefault="008E5DE4">
            <w:pPr>
              <w:widowControl w:val="0"/>
              <w:pBdr>
                <w:top w:val="nil"/>
                <w:left w:val="nil"/>
                <w:bottom w:val="nil"/>
                <w:right w:val="nil"/>
                <w:between w:val="nil"/>
              </w:pBdr>
              <w:jc w:val="right"/>
              <w:rPr>
                <w:color w:val="000000"/>
              </w:rPr>
            </w:pPr>
          </w:p>
        </w:tc>
      </w:tr>
      <w:tr w:rsidR="008E5DE4" w14:paraId="30F3B18F" w14:textId="77777777">
        <w:trPr>
          <w:cantSplit/>
        </w:trPr>
        <w:tc>
          <w:tcPr>
            <w:tcW w:w="6293" w:type="dxa"/>
            <w:vAlign w:val="bottom"/>
          </w:tcPr>
          <w:p w14:paraId="031692A5" w14:textId="77777777" w:rsidR="008E5DE4" w:rsidRDefault="00780368">
            <w:pPr>
              <w:widowControl w:val="0"/>
              <w:pBdr>
                <w:top w:val="nil"/>
                <w:left w:val="nil"/>
                <w:bottom w:val="nil"/>
                <w:right w:val="nil"/>
                <w:between w:val="nil"/>
              </w:pBdr>
              <w:rPr>
                <w:color w:val="0000FF"/>
              </w:rPr>
            </w:pPr>
            <w:r>
              <w:rPr>
                <w:color w:val="0000FF"/>
              </w:rPr>
              <w:t>Ukraine</w:t>
            </w:r>
          </w:p>
        </w:tc>
        <w:tc>
          <w:tcPr>
            <w:tcW w:w="1531" w:type="dxa"/>
            <w:vAlign w:val="bottom"/>
          </w:tcPr>
          <w:p w14:paraId="14046E0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8FEC5B7" w14:textId="77777777" w:rsidR="008E5DE4" w:rsidRDefault="008E5DE4">
            <w:pPr>
              <w:widowControl w:val="0"/>
              <w:pBdr>
                <w:top w:val="nil"/>
                <w:left w:val="nil"/>
                <w:bottom w:val="nil"/>
                <w:right w:val="nil"/>
                <w:between w:val="nil"/>
              </w:pBdr>
              <w:jc w:val="right"/>
              <w:rPr>
                <w:color w:val="000000"/>
              </w:rPr>
            </w:pPr>
          </w:p>
        </w:tc>
      </w:tr>
      <w:tr w:rsidR="008E5DE4" w14:paraId="69A114AB" w14:textId="77777777">
        <w:trPr>
          <w:cantSplit/>
        </w:trPr>
        <w:tc>
          <w:tcPr>
            <w:tcW w:w="6293" w:type="dxa"/>
            <w:vAlign w:val="bottom"/>
          </w:tcPr>
          <w:p w14:paraId="0FEF77A5" w14:textId="77777777" w:rsidR="008E5DE4" w:rsidRDefault="00780368">
            <w:pPr>
              <w:widowControl w:val="0"/>
              <w:pBdr>
                <w:top w:val="nil"/>
                <w:left w:val="nil"/>
                <w:bottom w:val="nil"/>
                <w:right w:val="nil"/>
                <w:between w:val="nil"/>
              </w:pBdr>
              <w:rPr>
                <w:color w:val="0000FF"/>
              </w:rPr>
            </w:pPr>
            <w:r>
              <w:rPr>
                <w:color w:val="0000FF"/>
              </w:rPr>
              <w:t>Kazakhstan</w:t>
            </w:r>
          </w:p>
        </w:tc>
        <w:tc>
          <w:tcPr>
            <w:tcW w:w="1531" w:type="dxa"/>
            <w:vAlign w:val="bottom"/>
          </w:tcPr>
          <w:p w14:paraId="70CDAD5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D809A03" w14:textId="77777777" w:rsidR="008E5DE4" w:rsidRDefault="008E5DE4">
            <w:pPr>
              <w:widowControl w:val="0"/>
              <w:pBdr>
                <w:top w:val="nil"/>
                <w:left w:val="nil"/>
                <w:bottom w:val="nil"/>
                <w:right w:val="nil"/>
                <w:between w:val="nil"/>
              </w:pBdr>
              <w:jc w:val="right"/>
              <w:rPr>
                <w:color w:val="000000"/>
              </w:rPr>
            </w:pPr>
          </w:p>
        </w:tc>
      </w:tr>
      <w:tr w:rsidR="008E5DE4" w14:paraId="47AFF4E4" w14:textId="77777777">
        <w:trPr>
          <w:cantSplit/>
        </w:trPr>
        <w:tc>
          <w:tcPr>
            <w:tcW w:w="6293" w:type="dxa"/>
            <w:vAlign w:val="bottom"/>
          </w:tcPr>
          <w:p w14:paraId="63A2CB12" w14:textId="77777777" w:rsidR="008E5DE4" w:rsidRDefault="00780368">
            <w:pPr>
              <w:widowControl w:val="0"/>
              <w:pBdr>
                <w:top w:val="nil"/>
                <w:left w:val="nil"/>
                <w:bottom w:val="nil"/>
                <w:right w:val="nil"/>
                <w:between w:val="nil"/>
              </w:pBdr>
              <w:rPr>
                <w:color w:val="000000"/>
              </w:rPr>
            </w:pPr>
            <w:r>
              <w:rPr>
                <w:color w:val="000000"/>
              </w:rPr>
              <w:t>Other countries</w:t>
            </w:r>
          </w:p>
        </w:tc>
        <w:tc>
          <w:tcPr>
            <w:tcW w:w="1531" w:type="dxa"/>
            <w:vAlign w:val="bottom"/>
          </w:tcPr>
          <w:p w14:paraId="7755616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186B3E4" w14:textId="77777777" w:rsidR="008E5DE4" w:rsidRDefault="008E5DE4">
            <w:pPr>
              <w:widowControl w:val="0"/>
              <w:pBdr>
                <w:top w:val="nil"/>
                <w:left w:val="nil"/>
                <w:bottom w:val="nil"/>
                <w:right w:val="nil"/>
                <w:between w:val="nil"/>
              </w:pBdr>
              <w:jc w:val="right"/>
              <w:rPr>
                <w:color w:val="000000"/>
              </w:rPr>
            </w:pPr>
          </w:p>
        </w:tc>
      </w:tr>
      <w:tr w:rsidR="008E5DE4" w14:paraId="544F3A85" w14:textId="77777777">
        <w:trPr>
          <w:cantSplit/>
        </w:trPr>
        <w:tc>
          <w:tcPr>
            <w:tcW w:w="6293" w:type="dxa"/>
            <w:tcBorders>
              <w:bottom w:val="single" w:sz="4" w:space="0" w:color="000000"/>
            </w:tcBorders>
            <w:vAlign w:val="bottom"/>
          </w:tcPr>
          <w:p w14:paraId="63B2E2D4"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bottom w:val="single" w:sz="4" w:space="0" w:color="000000"/>
            </w:tcBorders>
            <w:vAlign w:val="bottom"/>
          </w:tcPr>
          <w:p w14:paraId="60B4CCEF"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1326D893" w14:textId="77777777" w:rsidR="008E5DE4" w:rsidRDefault="008E5DE4">
            <w:pPr>
              <w:widowControl w:val="0"/>
              <w:pBdr>
                <w:top w:val="nil"/>
                <w:left w:val="nil"/>
                <w:bottom w:val="nil"/>
                <w:right w:val="nil"/>
                <w:between w:val="nil"/>
              </w:pBdr>
              <w:jc w:val="right"/>
              <w:rPr>
                <w:color w:val="000000"/>
              </w:rPr>
            </w:pPr>
          </w:p>
        </w:tc>
      </w:tr>
      <w:tr w:rsidR="008E5DE4" w14:paraId="5B2E0EE5" w14:textId="77777777">
        <w:trPr>
          <w:cantSplit/>
        </w:trPr>
        <w:tc>
          <w:tcPr>
            <w:tcW w:w="6293" w:type="dxa"/>
            <w:tcBorders>
              <w:top w:val="single" w:sz="4" w:space="0" w:color="000000"/>
            </w:tcBorders>
            <w:vAlign w:val="bottom"/>
          </w:tcPr>
          <w:p w14:paraId="7E84E637"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top w:val="single" w:sz="4" w:space="0" w:color="000000"/>
            </w:tcBorders>
            <w:vAlign w:val="bottom"/>
          </w:tcPr>
          <w:p w14:paraId="4B80CD6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2753F6C1" w14:textId="77777777" w:rsidR="008E5DE4" w:rsidRDefault="008E5DE4">
            <w:pPr>
              <w:widowControl w:val="0"/>
              <w:pBdr>
                <w:top w:val="nil"/>
                <w:left w:val="nil"/>
                <w:bottom w:val="nil"/>
                <w:right w:val="nil"/>
                <w:between w:val="nil"/>
              </w:pBdr>
              <w:jc w:val="right"/>
              <w:rPr>
                <w:color w:val="000000"/>
              </w:rPr>
            </w:pPr>
          </w:p>
        </w:tc>
      </w:tr>
      <w:tr w:rsidR="008E5DE4" w14:paraId="336A6E37" w14:textId="77777777">
        <w:trPr>
          <w:cantSplit/>
        </w:trPr>
        <w:tc>
          <w:tcPr>
            <w:tcW w:w="6293" w:type="dxa"/>
            <w:vAlign w:val="bottom"/>
          </w:tcPr>
          <w:p w14:paraId="10FE5DA8" w14:textId="77777777" w:rsidR="008E5DE4" w:rsidRDefault="00780368">
            <w:pPr>
              <w:widowControl w:val="0"/>
              <w:pBdr>
                <w:top w:val="nil"/>
                <w:left w:val="nil"/>
                <w:bottom w:val="nil"/>
                <w:right w:val="nil"/>
                <w:between w:val="nil"/>
              </w:pBdr>
              <w:rPr>
                <w:b/>
                <w:color w:val="000000"/>
              </w:rPr>
            </w:pPr>
            <w:r>
              <w:rPr>
                <w:b/>
                <w:color w:val="000000"/>
              </w:rPr>
              <w:t>Total consolidated capital expenditure</w:t>
            </w:r>
          </w:p>
        </w:tc>
        <w:tc>
          <w:tcPr>
            <w:tcW w:w="1531" w:type="dxa"/>
            <w:vAlign w:val="bottom"/>
          </w:tcPr>
          <w:p w14:paraId="095BB02E"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D828664" w14:textId="77777777" w:rsidR="008E5DE4" w:rsidRDefault="008E5DE4">
            <w:pPr>
              <w:widowControl w:val="0"/>
              <w:pBdr>
                <w:top w:val="nil"/>
                <w:left w:val="nil"/>
                <w:bottom w:val="nil"/>
                <w:right w:val="nil"/>
                <w:between w:val="nil"/>
              </w:pBdr>
              <w:jc w:val="right"/>
              <w:rPr>
                <w:b/>
                <w:color w:val="000000"/>
              </w:rPr>
            </w:pPr>
          </w:p>
        </w:tc>
      </w:tr>
      <w:tr w:rsidR="008E5DE4" w14:paraId="024103B1" w14:textId="77777777">
        <w:trPr>
          <w:cantSplit/>
        </w:trPr>
        <w:tc>
          <w:tcPr>
            <w:tcW w:w="6293" w:type="dxa"/>
            <w:tcBorders>
              <w:bottom w:val="single" w:sz="12" w:space="0" w:color="000000"/>
            </w:tcBorders>
            <w:vAlign w:val="bottom"/>
          </w:tcPr>
          <w:p w14:paraId="1512FD30" w14:textId="77777777" w:rsidR="008E5DE4" w:rsidRDefault="00780368">
            <w:pPr>
              <w:widowControl w:val="0"/>
            </w:pPr>
            <w:r>
              <w:t> </w:t>
            </w:r>
          </w:p>
        </w:tc>
        <w:tc>
          <w:tcPr>
            <w:tcW w:w="1531" w:type="dxa"/>
            <w:tcBorders>
              <w:bottom w:val="single" w:sz="12" w:space="0" w:color="000000"/>
            </w:tcBorders>
            <w:vAlign w:val="bottom"/>
          </w:tcPr>
          <w:p w14:paraId="1487DFAD" w14:textId="77777777" w:rsidR="008E5DE4" w:rsidRDefault="008E5DE4">
            <w:pPr>
              <w:widowControl w:val="0"/>
              <w:pBdr>
                <w:top w:val="nil"/>
                <w:left w:val="nil"/>
                <w:bottom w:val="nil"/>
                <w:right w:val="nil"/>
                <w:between w:val="nil"/>
              </w:pBdr>
              <w:jc w:val="right"/>
              <w:rPr>
                <w:b/>
                <w:color w:val="000000"/>
                <w:u w:val="single"/>
              </w:rPr>
            </w:pPr>
          </w:p>
        </w:tc>
        <w:tc>
          <w:tcPr>
            <w:tcW w:w="1531" w:type="dxa"/>
            <w:tcBorders>
              <w:bottom w:val="single" w:sz="12" w:space="0" w:color="000000"/>
            </w:tcBorders>
            <w:vAlign w:val="bottom"/>
          </w:tcPr>
          <w:p w14:paraId="3B9C9D08" w14:textId="77777777" w:rsidR="008E5DE4" w:rsidRDefault="008E5DE4">
            <w:pPr>
              <w:widowControl w:val="0"/>
              <w:pBdr>
                <w:top w:val="nil"/>
                <w:left w:val="nil"/>
                <w:bottom w:val="nil"/>
                <w:right w:val="nil"/>
                <w:between w:val="nil"/>
              </w:pBdr>
              <w:jc w:val="right"/>
              <w:rPr>
                <w:b/>
                <w:color w:val="000000"/>
              </w:rPr>
            </w:pPr>
          </w:p>
        </w:tc>
      </w:tr>
    </w:tbl>
    <w:p w14:paraId="1337513B"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analysis is based on the location of assets. Capital expenditure represents additions to non-current assets other than financial instruments, deferred tax assets, post-employment benefit assets and rights arising under insurance contracts.</w:t>
      </w:r>
    </w:p>
    <w:p w14:paraId="4C33F331"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(g) </w:t>
      </w:r>
      <w:r>
        <w:rPr>
          <w:b/>
          <w:i/>
          <w:color w:val="000000"/>
          <w:sz w:val="20"/>
          <w:szCs w:val="20"/>
        </w:rPr>
        <w:tab/>
        <w:t>Major customers</w:t>
      </w:r>
    </w:p>
    <w:p w14:paraId="00057679"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Revenues from customers which represent 10% or more of the total revenues are as follows:</w:t>
      </w:r>
    </w:p>
    <w:tbl>
      <w:tblPr>
        <w:tblStyle w:val="af5"/>
        <w:tblW w:w="9354" w:type="dxa"/>
        <w:tblLayout w:type="fixed"/>
        <w:tblLook w:val="0000" w:firstRow="0" w:lastRow="0" w:firstColumn="0" w:lastColumn="0" w:noHBand="0" w:noVBand="0"/>
      </w:tblPr>
      <w:tblGrid>
        <w:gridCol w:w="3969"/>
        <w:gridCol w:w="1077"/>
        <w:gridCol w:w="1077"/>
        <w:gridCol w:w="1077"/>
        <w:gridCol w:w="1077"/>
        <w:gridCol w:w="1077"/>
      </w:tblGrid>
      <w:tr w:rsidR="008E5DE4" w14:paraId="70B392DF" w14:textId="77777777">
        <w:trPr>
          <w:cantSplit/>
        </w:trPr>
        <w:tc>
          <w:tcPr>
            <w:tcW w:w="3969" w:type="dxa"/>
            <w:tcBorders>
              <w:bottom w:val="single" w:sz="4" w:space="0" w:color="000000"/>
            </w:tcBorders>
            <w:vAlign w:val="bottom"/>
          </w:tcPr>
          <w:p w14:paraId="6C9EA0FF"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077" w:type="dxa"/>
            <w:tcBorders>
              <w:bottom w:val="single" w:sz="4" w:space="0" w:color="000000"/>
            </w:tcBorders>
          </w:tcPr>
          <w:p w14:paraId="1C935AD0" w14:textId="77777777" w:rsidR="008E5DE4" w:rsidRPr="00010D4F" w:rsidRDefault="00780368">
            <w:pPr>
              <w:widowControl w:val="0"/>
              <w:pBdr>
                <w:top w:val="nil"/>
                <w:left w:val="nil"/>
                <w:bottom w:val="nil"/>
                <w:right w:val="nil"/>
                <w:between w:val="nil"/>
              </w:pBdr>
              <w:ind w:left="-113"/>
              <w:jc w:val="right"/>
              <w:rPr>
                <w:b/>
                <w:color w:val="0000FF"/>
              </w:rPr>
            </w:pPr>
            <w:r w:rsidRPr="00010D4F">
              <w:rPr>
                <w:b/>
                <w:color w:val="0000FF"/>
              </w:rPr>
              <w:t>Segment 1</w:t>
            </w:r>
          </w:p>
        </w:tc>
        <w:tc>
          <w:tcPr>
            <w:tcW w:w="1077" w:type="dxa"/>
            <w:tcBorders>
              <w:bottom w:val="single" w:sz="4" w:space="0" w:color="000000"/>
            </w:tcBorders>
          </w:tcPr>
          <w:p w14:paraId="5C0FAEDC" w14:textId="77777777" w:rsidR="008E5DE4" w:rsidRPr="00010D4F" w:rsidRDefault="00780368">
            <w:pPr>
              <w:widowControl w:val="0"/>
              <w:pBdr>
                <w:top w:val="nil"/>
                <w:left w:val="nil"/>
                <w:bottom w:val="nil"/>
                <w:right w:val="nil"/>
                <w:between w:val="nil"/>
              </w:pBdr>
              <w:ind w:left="-113"/>
              <w:jc w:val="right"/>
              <w:rPr>
                <w:b/>
                <w:color w:val="0000FF"/>
              </w:rPr>
            </w:pPr>
            <w:r w:rsidRPr="00010D4F">
              <w:rPr>
                <w:b/>
                <w:color w:val="0000FF"/>
              </w:rPr>
              <w:t>Segment 2</w:t>
            </w:r>
          </w:p>
        </w:tc>
        <w:tc>
          <w:tcPr>
            <w:tcW w:w="1077" w:type="dxa"/>
            <w:tcBorders>
              <w:bottom w:val="single" w:sz="4" w:space="0" w:color="000000"/>
            </w:tcBorders>
          </w:tcPr>
          <w:p w14:paraId="60B40AD5" w14:textId="77777777" w:rsidR="008E5DE4" w:rsidRPr="00010D4F" w:rsidRDefault="00780368">
            <w:pPr>
              <w:widowControl w:val="0"/>
              <w:pBdr>
                <w:top w:val="nil"/>
                <w:left w:val="nil"/>
                <w:bottom w:val="nil"/>
                <w:right w:val="nil"/>
                <w:between w:val="nil"/>
              </w:pBdr>
              <w:ind w:left="-113"/>
              <w:jc w:val="right"/>
              <w:rPr>
                <w:b/>
                <w:color w:val="0000FF"/>
              </w:rPr>
            </w:pPr>
            <w:r w:rsidRPr="00010D4F">
              <w:rPr>
                <w:b/>
                <w:color w:val="0000FF"/>
              </w:rPr>
              <w:t>Segment 3</w:t>
            </w:r>
          </w:p>
        </w:tc>
        <w:tc>
          <w:tcPr>
            <w:tcW w:w="1077" w:type="dxa"/>
            <w:tcBorders>
              <w:bottom w:val="single" w:sz="4" w:space="0" w:color="000000"/>
            </w:tcBorders>
          </w:tcPr>
          <w:p w14:paraId="76107035" w14:textId="77777777" w:rsidR="008E5DE4" w:rsidRDefault="00780368">
            <w:pPr>
              <w:widowControl w:val="0"/>
              <w:pBdr>
                <w:top w:val="nil"/>
                <w:left w:val="nil"/>
                <w:bottom w:val="nil"/>
                <w:right w:val="nil"/>
                <w:between w:val="nil"/>
              </w:pBdr>
              <w:ind w:left="-113"/>
              <w:jc w:val="right"/>
              <w:rPr>
                <w:b/>
                <w:color w:val="000000"/>
              </w:rPr>
            </w:pPr>
            <w:r>
              <w:rPr>
                <w:b/>
                <w:color w:val="000000"/>
              </w:rPr>
              <w:t>Other</w:t>
            </w:r>
          </w:p>
        </w:tc>
        <w:tc>
          <w:tcPr>
            <w:tcW w:w="1077" w:type="dxa"/>
            <w:tcBorders>
              <w:bottom w:val="single" w:sz="4" w:space="0" w:color="000000"/>
            </w:tcBorders>
          </w:tcPr>
          <w:p w14:paraId="6FAD917E"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79BD7ACF" w14:textId="77777777">
        <w:trPr>
          <w:cantSplit/>
        </w:trPr>
        <w:tc>
          <w:tcPr>
            <w:tcW w:w="3969" w:type="dxa"/>
            <w:tcBorders>
              <w:top w:val="single" w:sz="4" w:space="0" w:color="000000"/>
            </w:tcBorders>
            <w:vAlign w:val="bottom"/>
          </w:tcPr>
          <w:p w14:paraId="341657D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p>
        </w:tc>
        <w:tc>
          <w:tcPr>
            <w:tcW w:w="1077" w:type="dxa"/>
            <w:tcBorders>
              <w:top w:val="single" w:sz="4" w:space="0" w:color="000000"/>
            </w:tcBorders>
            <w:vAlign w:val="bottom"/>
          </w:tcPr>
          <w:p w14:paraId="5834C36C"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7B39EAC9"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77F11814"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7735A93B"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60AA20E9" w14:textId="77777777" w:rsidR="008E5DE4" w:rsidRDefault="008E5DE4">
            <w:pPr>
              <w:widowControl w:val="0"/>
              <w:pBdr>
                <w:top w:val="nil"/>
                <w:left w:val="nil"/>
                <w:bottom w:val="nil"/>
                <w:right w:val="nil"/>
                <w:between w:val="nil"/>
              </w:pBdr>
              <w:jc w:val="right"/>
              <w:rPr>
                <w:color w:val="000000"/>
              </w:rPr>
            </w:pPr>
          </w:p>
        </w:tc>
      </w:tr>
      <w:tr w:rsidR="008E5DE4" w14:paraId="6895C02E" w14:textId="77777777">
        <w:trPr>
          <w:cantSplit/>
        </w:trPr>
        <w:tc>
          <w:tcPr>
            <w:tcW w:w="3969" w:type="dxa"/>
            <w:vAlign w:val="bottom"/>
          </w:tcPr>
          <w:p w14:paraId="751D542D" w14:textId="34AA71E4" w:rsidR="008E5DE4" w:rsidRDefault="008614F8">
            <w:pPr>
              <w:widowControl w:val="0"/>
              <w:pBdr>
                <w:top w:val="nil"/>
                <w:left w:val="nil"/>
                <w:bottom w:val="nil"/>
                <w:right w:val="nil"/>
                <w:between w:val="nil"/>
              </w:pBdr>
              <w:ind w:left="113" w:right="-57" w:hanging="113"/>
              <w:rPr>
                <w:b/>
                <w:color w:val="000000"/>
              </w:rPr>
            </w:pPr>
            <w:r>
              <w:rPr>
                <w:b/>
                <w:color w:val="000000"/>
              </w:rPr>
              <w:t>2025</w:t>
            </w:r>
          </w:p>
        </w:tc>
        <w:tc>
          <w:tcPr>
            <w:tcW w:w="1077" w:type="dxa"/>
            <w:vAlign w:val="bottom"/>
          </w:tcPr>
          <w:p w14:paraId="013341A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66A6E8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C1ECFC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515635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08FD2C6" w14:textId="77777777" w:rsidR="008E5DE4" w:rsidRDefault="008E5DE4">
            <w:pPr>
              <w:widowControl w:val="0"/>
              <w:pBdr>
                <w:top w:val="nil"/>
                <w:left w:val="nil"/>
                <w:bottom w:val="nil"/>
                <w:right w:val="nil"/>
                <w:between w:val="nil"/>
              </w:pBdr>
              <w:jc w:val="right"/>
              <w:rPr>
                <w:color w:val="000000"/>
              </w:rPr>
            </w:pPr>
          </w:p>
        </w:tc>
      </w:tr>
      <w:tr w:rsidR="008E5DE4" w14:paraId="1C1B8390" w14:textId="77777777">
        <w:trPr>
          <w:cantSplit/>
        </w:trPr>
        <w:tc>
          <w:tcPr>
            <w:tcW w:w="3969" w:type="dxa"/>
            <w:vAlign w:val="bottom"/>
          </w:tcPr>
          <w:p w14:paraId="53FAA52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vAlign w:val="bottom"/>
          </w:tcPr>
          <w:p w14:paraId="519E164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8CA084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9AC34C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E719DD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7C1425C" w14:textId="77777777" w:rsidR="008E5DE4" w:rsidRDefault="008E5DE4">
            <w:pPr>
              <w:widowControl w:val="0"/>
              <w:pBdr>
                <w:top w:val="nil"/>
                <w:left w:val="nil"/>
                <w:bottom w:val="nil"/>
                <w:right w:val="nil"/>
                <w:between w:val="nil"/>
              </w:pBdr>
              <w:jc w:val="right"/>
              <w:rPr>
                <w:color w:val="000000"/>
              </w:rPr>
            </w:pPr>
          </w:p>
        </w:tc>
      </w:tr>
      <w:tr w:rsidR="008E5DE4" w14:paraId="783B1046" w14:textId="77777777">
        <w:trPr>
          <w:cantSplit/>
        </w:trPr>
        <w:tc>
          <w:tcPr>
            <w:tcW w:w="3969" w:type="dxa"/>
            <w:vAlign w:val="bottom"/>
          </w:tcPr>
          <w:p w14:paraId="6692F15E" w14:textId="77777777" w:rsidR="008E5DE4" w:rsidRPr="00010D4F" w:rsidRDefault="00780368">
            <w:pPr>
              <w:widowControl w:val="0"/>
              <w:pBdr>
                <w:top w:val="nil"/>
                <w:left w:val="nil"/>
                <w:bottom w:val="nil"/>
                <w:right w:val="nil"/>
                <w:between w:val="nil"/>
              </w:pBdr>
              <w:ind w:left="113" w:right="-57" w:hanging="113"/>
              <w:rPr>
                <w:color w:val="0000FF"/>
              </w:rPr>
            </w:pPr>
            <w:r w:rsidRPr="00010D4F">
              <w:rPr>
                <w:color w:val="0000FF"/>
              </w:rPr>
              <w:t>[Customer 1]</w:t>
            </w:r>
          </w:p>
        </w:tc>
        <w:tc>
          <w:tcPr>
            <w:tcW w:w="1077" w:type="dxa"/>
            <w:vAlign w:val="bottom"/>
          </w:tcPr>
          <w:p w14:paraId="2E429CFC" w14:textId="77777777" w:rsidR="008E5DE4" w:rsidRDefault="008E5DE4">
            <w:pPr>
              <w:widowControl w:val="0"/>
              <w:pBdr>
                <w:top w:val="nil"/>
                <w:left w:val="nil"/>
                <w:bottom w:val="nil"/>
                <w:right w:val="nil"/>
                <w:between w:val="nil"/>
              </w:pBdr>
              <w:jc w:val="right"/>
              <w:rPr>
                <w:i/>
                <w:color w:val="000000"/>
              </w:rPr>
            </w:pPr>
          </w:p>
        </w:tc>
        <w:tc>
          <w:tcPr>
            <w:tcW w:w="1077" w:type="dxa"/>
            <w:vAlign w:val="bottom"/>
          </w:tcPr>
          <w:p w14:paraId="4C8D305C" w14:textId="77777777" w:rsidR="008E5DE4" w:rsidRDefault="008E5DE4">
            <w:pPr>
              <w:widowControl w:val="0"/>
              <w:pBdr>
                <w:top w:val="nil"/>
                <w:left w:val="nil"/>
                <w:bottom w:val="nil"/>
                <w:right w:val="nil"/>
                <w:between w:val="nil"/>
              </w:pBdr>
              <w:jc w:val="right"/>
              <w:rPr>
                <w:i/>
                <w:color w:val="000000"/>
              </w:rPr>
            </w:pPr>
          </w:p>
        </w:tc>
        <w:tc>
          <w:tcPr>
            <w:tcW w:w="1077" w:type="dxa"/>
            <w:vAlign w:val="bottom"/>
          </w:tcPr>
          <w:p w14:paraId="5F8517D4" w14:textId="77777777" w:rsidR="008E5DE4" w:rsidRDefault="008E5DE4">
            <w:pPr>
              <w:widowControl w:val="0"/>
              <w:pBdr>
                <w:top w:val="nil"/>
                <w:left w:val="nil"/>
                <w:bottom w:val="nil"/>
                <w:right w:val="nil"/>
                <w:between w:val="nil"/>
              </w:pBdr>
              <w:jc w:val="right"/>
              <w:rPr>
                <w:i/>
                <w:color w:val="000000"/>
              </w:rPr>
            </w:pPr>
          </w:p>
        </w:tc>
        <w:tc>
          <w:tcPr>
            <w:tcW w:w="1077" w:type="dxa"/>
            <w:vAlign w:val="bottom"/>
          </w:tcPr>
          <w:p w14:paraId="0FF01B20" w14:textId="77777777" w:rsidR="008E5DE4" w:rsidRDefault="008E5DE4">
            <w:pPr>
              <w:widowControl w:val="0"/>
              <w:pBdr>
                <w:top w:val="nil"/>
                <w:left w:val="nil"/>
                <w:bottom w:val="nil"/>
                <w:right w:val="nil"/>
                <w:between w:val="nil"/>
              </w:pBdr>
              <w:jc w:val="right"/>
              <w:rPr>
                <w:i/>
                <w:color w:val="000000"/>
              </w:rPr>
            </w:pPr>
          </w:p>
        </w:tc>
        <w:tc>
          <w:tcPr>
            <w:tcW w:w="1077" w:type="dxa"/>
            <w:vAlign w:val="bottom"/>
          </w:tcPr>
          <w:p w14:paraId="094D5ED0" w14:textId="77777777" w:rsidR="008E5DE4" w:rsidRDefault="008E5DE4">
            <w:pPr>
              <w:widowControl w:val="0"/>
              <w:pBdr>
                <w:top w:val="nil"/>
                <w:left w:val="nil"/>
                <w:bottom w:val="nil"/>
                <w:right w:val="nil"/>
                <w:between w:val="nil"/>
              </w:pBdr>
              <w:jc w:val="right"/>
              <w:rPr>
                <w:i/>
                <w:color w:val="000000"/>
              </w:rPr>
            </w:pPr>
          </w:p>
        </w:tc>
      </w:tr>
      <w:tr w:rsidR="008E5DE4" w14:paraId="07850D55" w14:textId="77777777">
        <w:trPr>
          <w:cantSplit/>
        </w:trPr>
        <w:tc>
          <w:tcPr>
            <w:tcW w:w="3969" w:type="dxa"/>
            <w:vAlign w:val="bottom"/>
          </w:tcPr>
          <w:p w14:paraId="0CEC4EE9" w14:textId="77777777" w:rsidR="008E5DE4" w:rsidRPr="00010D4F" w:rsidRDefault="00780368">
            <w:pPr>
              <w:widowControl w:val="0"/>
              <w:pBdr>
                <w:top w:val="nil"/>
                <w:left w:val="nil"/>
                <w:bottom w:val="nil"/>
                <w:right w:val="nil"/>
                <w:between w:val="nil"/>
              </w:pBdr>
              <w:ind w:left="113" w:right="-57" w:hanging="113"/>
              <w:rPr>
                <w:color w:val="0000FF"/>
              </w:rPr>
            </w:pPr>
            <w:r w:rsidRPr="00010D4F">
              <w:rPr>
                <w:color w:val="0000FF"/>
              </w:rPr>
              <w:t>[Customer 2]</w:t>
            </w:r>
          </w:p>
        </w:tc>
        <w:tc>
          <w:tcPr>
            <w:tcW w:w="1077" w:type="dxa"/>
            <w:vAlign w:val="bottom"/>
          </w:tcPr>
          <w:p w14:paraId="609BEF5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939233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008A33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66A2B3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2093D65" w14:textId="77777777" w:rsidR="008E5DE4" w:rsidRDefault="008E5DE4">
            <w:pPr>
              <w:widowControl w:val="0"/>
              <w:pBdr>
                <w:top w:val="nil"/>
                <w:left w:val="nil"/>
                <w:bottom w:val="nil"/>
                <w:right w:val="nil"/>
                <w:between w:val="nil"/>
              </w:pBdr>
              <w:jc w:val="right"/>
              <w:rPr>
                <w:color w:val="000000"/>
              </w:rPr>
            </w:pPr>
          </w:p>
        </w:tc>
      </w:tr>
      <w:tr w:rsidR="008E5DE4" w14:paraId="6F9D4117" w14:textId="77777777">
        <w:trPr>
          <w:cantSplit/>
        </w:trPr>
        <w:tc>
          <w:tcPr>
            <w:tcW w:w="3969" w:type="dxa"/>
            <w:vAlign w:val="bottom"/>
          </w:tcPr>
          <w:p w14:paraId="47842E42" w14:textId="77777777" w:rsidR="008E5DE4" w:rsidRDefault="008E5DE4">
            <w:pPr>
              <w:widowControl w:val="0"/>
              <w:pBdr>
                <w:top w:val="nil"/>
                <w:left w:val="nil"/>
                <w:bottom w:val="nil"/>
                <w:right w:val="nil"/>
                <w:between w:val="nil"/>
              </w:pBdr>
              <w:ind w:left="113" w:right="-57" w:hanging="113"/>
              <w:rPr>
                <w:color w:val="000000"/>
              </w:rPr>
            </w:pPr>
          </w:p>
        </w:tc>
        <w:tc>
          <w:tcPr>
            <w:tcW w:w="1077" w:type="dxa"/>
            <w:vAlign w:val="bottom"/>
          </w:tcPr>
          <w:p w14:paraId="34EF6A8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FD67AA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22B7E8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9A1ED8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422A192" w14:textId="77777777" w:rsidR="008E5DE4" w:rsidRDefault="008E5DE4">
            <w:pPr>
              <w:widowControl w:val="0"/>
              <w:pBdr>
                <w:top w:val="nil"/>
                <w:left w:val="nil"/>
                <w:bottom w:val="nil"/>
                <w:right w:val="nil"/>
                <w:between w:val="nil"/>
              </w:pBdr>
              <w:jc w:val="right"/>
              <w:rPr>
                <w:color w:val="000000"/>
              </w:rPr>
            </w:pPr>
          </w:p>
        </w:tc>
      </w:tr>
      <w:tr w:rsidR="008E5DE4" w14:paraId="554CE1FD" w14:textId="77777777">
        <w:trPr>
          <w:cantSplit/>
        </w:trPr>
        <w:tc>
          <w:tcPr>
            <w:tcW w:w="3969" w:type="dxa"/>
            <w:tcBorders>
              <w:bottom w:val="single" w:sz="4" w:space="0" w:color="000000"/>
            </w:tcBorders>
            <w:vAlign w:val="bottom"/>
          </w:tcPr>
          <w:p w14:paraId="7ED714A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tcBorders>
              <w:bottom w:val="single" w:sz="4" w:space="0" w:color="000000"/>
            </w:tcBorders>
            <w:vAlign w:val="bottom"/>
          </w:tcPr>
          <w:p w14:paraId="1C4029E8"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649457A9"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29F3D8F2"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0AD67AA2"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612B4D99" w14:textId="77777777" w:rsidR="008E5DE4" w:rsidRDefault="008E5DE4">
            <w:pPr>
              <w:widowControl w:val="0"/>
              <w:pBdr>
                <w:top w:val="nil"/>
                <w:left w:val="nil"/>
                <w:bottom w:val="nil"/>
                <w:right w:val="nil"/>
                <w:between w:val="nil"/>
              </w:pBdr>
              <w:jc w:val="right"/>
              <w:rPr>
                <w:color w:val="000000"/>
              </w:rPr>
            </w:pPr>
          </w:p>
        </w:tc>
      </w:tr>
      <w:tr w:rsidR="008E5DE4" w14:paraId="577133E2" w14:textId="77777777">
        <w:trPr>
          <w:cantSplit/>
        </w:trPr>
        <w:tc>
          <w:tcPr>
            <w:tcW w:w="3969" w:type="dxa"/>
            <w:tcBorders>
              <w:top w:val="single" w:sz="4" w:space="0" w:color="000000"/>
            </w:tcBorders>
            <w:vAlign w:val="bottom"/>
          </w:tcPr>
          <w:p w14:paraId="018686F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tcBorders>
              <w:top w:val="single" w:sz="4" w:space="0" w:color="000000"/>
            </w:tcBorders>
            <w:vAlign w:val="bottom"/>
          </w:tcPr>
          <w:p w14:paraId="20F4ACB1"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6591B88C"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2261CBAF"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1CCFBB43"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684FC624" w14:textId="77777777" w:rsidR="008E5DE4" w:rsidRDefault="008E5DE4">
            <w:pPr>
              <w:widowControl w:val="0"/>
              <w:pBdr>
                <w:top w:val="nil"/>
                <w:left w:val="nil"/>
                <w:bottom w:val="nil"/>
                <w:right w:val="nil"/>
                <w:between w:val="nil"/>
              </w:pBdr>
              <w:jc w:val="right"/>
              <w:rPr>
                <w:color w:val="000000"/>
              </w:rPr>
            </w:pPr>
          </w:p>
        </w:tc>
      </w:tr>
      <w:tr w:rsidR="008E5DE4" w14:paraId="504733AE" w14:textId="77777777">
        <w:trPr>
          <w:cantSplit/>
        </w:trPr>
        <w:tc>
          <w:tcPr>
            <w:tcW w:w="3969" w:type="dxa"/>
            <w:vAlign w:val="bottom"/>
          </w:tcPr>
          <w:p w14:paraId="2CE05904" w14:textId="74299DC1" w:rsidR="008E5DE4" w:rsidRDefault="00780368">
            <w:pPr>
              <w:widowControl w:val="0"/>
              <w:pBdr>
                <w:top w:val="nil"/>
                <w:left w:val="nil"/>
                <w:bottom w:val="nil"/>
                <w:right w:val="nil"/>
                <w:between w:val="nil"/>
              </w:pBdr>
              <w:ind w:left="113" w:right="-57" w:hanging="113"/>
              <w:rPr>
                <w:b/>
                <w:i/>
                <w:color w:val="000000"/>
              </w:rPr>
            </w:pPr>
            <w:r>
              <w:rPr>
                <w:b/>
                <w:color w:val="000000"/>
              </w:rPr>
              <w:t xml:space="preserve">Total revenues for </w:t>
            </w:r>
            <w:r w:rsidR="008614F8">
              <w:rPr>
                <w:b/>
                <w:color w:val="000000"/>
              </w:rPr>
              <w:t>2025</w:t>
            </w:r>
          </w:p>
        </w:tc>
        <w:tc>
          <w:tcPr>
            <w:tcW w:w="1077" w:type="dxa"/>
            <w:vAlign w:val="bottom"/>
          </w:tcPr>
          <w:p w14:paraId="35C3C838"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2E4D70C"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101AC4E0"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6DFF6CDC"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7B00298E" w14:textId="77777777" w:rsidR="008E5DE4" w:rsidRDefault="008E5DE4">
            <w:pPr>
              <w:widowControl w:val="0"/>
              <w:pBdr>
                <w:top w:val="nil"/>
                <w:left w:val="nil"/>
                <w:bottom w:val="nil"/>
                <w:right w:val="nil"/>
                <w:between w:val="nil"/>
              </w:pBdr>
              <w:jc w:val="right"/>
              <w:rPr>
                <w:b/>
                <w:color w:val="000000"/>
              </w:rPr>
            </w:pPr>
          </w:p>
        </w:tc>
      </w:tr>
      <w:tr w:rsidR="008E5DE4" w14:paraId="1DC28D5B" w14:textId="77777777">
        <w:trPr>
          <w:cantSplit/>
        </w:trPr>
        <w:tc>
          <w:tcPr>
            <w:tcW w:w="3969" w:type="dxa"/>
            <w:tcBorders>
              <w:bottom w:val="single" w:sz="12" w:space="0" w:color="000000"/>
            </w:tcBorders>
            <w:vAlign w:val="bottom"/>
          </w:tcPr>
          <w:p w14:paraId="5696873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tcBorders>
              <w:bottom w:val="single" w:sz="12" w:space="0" w:color="000000"/>
            </w:tcBorders>
            <w:vAlign w:val="bottom"/>
          </w:tcPr>
          <w:p w14:paraId="67CEC749"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02C02818"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20CEDBC4"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3AD1A6C7"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17F7F018" w14:textId="77777777" w:rsidR="008E5DE4" w:rsidRDefault="008E5DE4">
            <w:pPr>
              <w:widowControl w:val="0"/>
              <w:pBdr>
                <w:top w:val="nil"/>
                <w:left w:val="nil"/>
                <w:bottom w:val="nil"/>
                <w:right w:val="nil"/>
                <w:between w:val="nil"/>
              </w:pBdr>
              <w:jc w:val="right"/>
              <w:rPr>
                <w:color w:val="000000"/>
              </w:rPr>
            </w:pPr>
          </w:p>
        </w:tc>
      </w:tr>
    </w:tbl>
    <w:p w14:paraId="4BB59E38" w14:textId="77777777" w:rsidR="008E5DE4" w:rsidRDefault="008E5DE4"/>
    <w:tbl>
      <w:tblPr>
        <w:tblStyle w:val="af6"/>
        <w:tblW w:w="9354" w:type="dxa"/>
        <w:tblLayout w:type="fixed"/>
        <w:tblLook w:val="0000" w:firstRow="0" w:lastRow="0" w:firstColumn="0" w:lastColumn="0" w:noHBand="0" w:noVBand="0"/>
      </w:tblPr>
      <w:tblGrid>
        <w:gridCol w:w="3969"/>
        <w:gridCol w:w="1077"/>
        <w:gridCol w:w="1077"/>
        <w:gridCol w:w="1077"/>
        <w:gridCol w:w="1077"/>
        <w:gridCol w:w="1077"/>
      </w:tblGrid>
      <w:tr w:rsidR="008E5DE4" w14:paraId="44A09F93" w14:textId="77777777">
        <w:trPr>
          <w:cantSplit/>
        </w:trPr>
        <w:tc>
          <w:tcPr>
            <w:tcW w:w="3969" w:type="dxa"/>
            <w:tcBorders>
              <w:bottom w:val="single" w:sz="4" w:space="0" w:color="000000"/>
            </w:tcBorders>
            <w:vAlign w:val="bottom"/>
          </w:tcPr>
          <w:p w14:paraId="1183B319"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077" w:type="dxa"/>
            <w:tcBorders>
              <w:bottom w:val="single" w:sz="4" w:space="0" w:color="000000"/>
            </w:tcBorders>
          </w:tcPr>
          <w:p w14:paraId="047A7704" w14:textId="77777777" w:rsidR="008E5DE4" w:rsidRPr="00010D4F" w:rsidRDefault="00780368">
            <w:pPr>
              <w:widowControl w:val="0"/>
              <w:pBdr>
                <w:top w:val="nil"/>
                <w:left w:val="nil"/>
                <w:bottom w:val="nil"/>
                <w:right w:val="nil"/>
                <w:between w:val="nil"/>
              </w:pBdr>
              <w:ind w:left="-113"/>
              <w:jc w:val="right"/>
              <w:rPr>
                <w:b/>
                <w:color w:val="0000FF"/>
              </w:rPr>
            </w:pPr>
            <w:r w:rsidRPr="00010D4F">
              <w:rPr>
                <w:b/>
                <w:color w:val="0000FF"/>
              </w:rPr>
              <w:t>Segment 1</w:t>
            </w:r>
          </w:p>
        </w:tc>
        <w:tc>
          <w:tcPr>
            <w:tcW w:w="1077" w:type="dxa"/>
            <w:tcBorders>
              <w:bottom w:val="single" w:sz="4" w:space="0" w:color="000000"/>
            </w:tcBorders>
          </w:tcPr>
          <w:p w14:paraId="69347904" w14:textId="77777777" w:rsidR="008E5DE4" w:rsidRPr="00010D4F" w:rsidRDefault="00780368">
            <w:pPr>
              <w:widowControl w:val="0"/>
              <w:pBdr>
                <w:top w:val="nil"/>
                <w:left w:val="nil"/>
                <w:bottom w:val="nil"/>
                <w:right w:val="nil"/>
                <w:between w:val="nil"/>
              </w:pBdr>
              <w:ind w:left="-113"/>
              <w:jc w:val="right"/>
              <w:rPr>
                <w:b/>
                <w:color w:val="0000FF"/>
              </w:rPr>
            </w:pPr>
            <w:r w:rsidRPr="00010D4F">
              <w:rPr>
                <w:b/>
                <w:color w:val="0000FF"/>
              </w:rPr>
              <w:t>Segment 2</w:t>
            </w:r>
          </w:p>
        </w:tc>
        <w:tc>
          <w:tcPr>
            <w:tcW w:w="1077" w:type="dxa"/>
            <w:tcBorders>
              <w:bottom w:val="single" w:sz="4" w:space="0" w:color="000000"/>
            </w:tcBorders>
          </w:tcPr>
          <w:p w14:paraId="1D1380DF" w14:textId="77777777" w:rsidR="008E5DE4" w:rsidRPr="00010D4F" w:rsidRDefault="00780368">
            <w:pPr>
              <w:widowControl w:val="0"/>
              <w:pBdr>
                <w:top w:val="nil"/>
                <w:left w:val="nil"/>
                <w:bottom w:val="nil"/>
                <w:right w:val="nil"/>
                <w:between w:val="nil"/>
              </w:pBdr>
              <w:ind w:left="-113"/>
              <w:jc w:val="right"/>
              <w:rPr>
                <w:b/>
                <w:color w:val="0000FF"/>
              </w:rPr>
            </w:pPr>
            <w:r w:rsidRPr="00010D4F">
              <w:rPr>
                <w:b/>
                <w:color w:val="0000FF"/>
              </w:rPr>
              <w:t>Segment 3</w:t>
            </w:r>
          </w:p>
        </w:tc>
        <w:tc>
          <w:tcPr>
            <w:tcW w:w="1077" w:type="dxa"/>
            <w:tcBorders>
              <w:bottom w:val="single" w:sz="4" w:space="0" w:color="000000"/>
            </w:tcBorders>
          </w:tcPr>
          <w:p w14:paraId="1043AC81" w14:textId="77777777" w:rsidR="008E5DE4" w:rsidRDefault="00780368">
            <w:pPr>
              <w:widowControl w:val="0"/>
              <w:pBdr>
                <w:top w:val="nil"/>
                <w:left w:val="nil"/>
                <w:bottom w:val="nil"/>
                <w:right w:val="nil"/>
                <w:between w:val="nil"/>
              </w:pBdr>
              <w:ind w:left="-113"/>
              <w:jc w:val="right"/>
              <w:rPr>
                <w:b/>
                <w:color w:val="000000"/>
              </w:rPr>
            </w:pPr>
            <w:r>
              <w:rPr>
                <w:b/>
                <w:color w:val="000000"/>
              </w:rPr>
              <w:t>Other</w:t>
            </w:r>
          </w:p>
        </w:tc>
        <w:tc>
          <w:tcPr>
            <w:tcW w:w="1077" w:type="dxa"/>
            <w:tcBorders>
              <w:bottom w:val="single" w:sz="4" w:space="0" w:color="000000"/>
            </w:tcBorders>
          </w:tcPr>
          <w:p w14:paraId="0F3D7AE7"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78EA4C9C" w14:textId="77777777">
        <w:trPr>
          <w:cantSplit/>
        </w:trPr>
        <w:tc>
          <w:tcPr>
            <w:tcW w:w="3969" w:type="dxa"/>
            <w:tcBorders>
              <w:top w:val="single" w:sz="4" w:space="0" w:color="000000"/>
            </w:tcBorders>
            <w:vAlign w:val="bottom"/>
          </w:tcPr>
          <w:p w14:paraId="611691F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tcBorders>
              <w:top w:val="single" w:sz="4" w:space="0" w:color="000000"/>
            </w:tcBorders>
            <w:vAlign w:val="bottom"/>
          </w:tcPr>
          <w:p w14:paraId="39EA4FC0"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6D025A3B"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0E4C6F57"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25581148"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3E9BC53B" w14:textId="77777777" w:rsidR="008E5DE4" w:rsidRDefault="008E5DE4">
            <w:pPr>
              <w:widowControl w:val="0"/>
              <w:pBdr>
                <w:top w:val="nil"/>
                <w:left w:val="nil"/>
                <w:bottom w:val="nil"/>
                <w:right w:val="nil"/>
                <w:between w:val="nil"/>
              </w:pBdr>
              <w:jc w:val="right"/>
              <w:rPr>
                <w:color w:val="000000"/>
              </w:rPr>
            </w:pPr>
          </w:p>
        </w:tc>
      </w:tr>
      <w:tr w:rsidR="008E5DE4" w14:paraId="65A70EF1" w14:textId="77777777">
        <w:trPr>
          <w:cantSplit/>
        </w:trPr>
        <w:tc>
          <w:tcPr>
            <w:tcW w:w="3969" w:type="dxa"/>
            <w:vAlign w:val="bottom"/>
          </w:tcPr>
          <w:p w14:paraId="4F89F741" w14:textId="43AEADA3" w:rsidR="008E5DE4" w:rsidRDefault="00FF468A">
            <w:pPr>
              <w:widowControl w:val="0"/>
              <w:pBdr>
                <w:top w:val="nil"/>
                <w:left w:val="nil"/>
                <w:bottom w:val="nil"/>
                <w:right w:val="nil"/>
                <w:between w:val="nil"/>
              </w:pBdr>
              <w:ind w:left="113" w:right="-57" w:hanging="113"/>
              <w:rPr>
                <w:b/>
                <w:color w:val="000000"/>
              </w:rPr>
            </w:pPr>
            <w:r>
              <w:rPr>
                <w:b/>
                <w:color w:val="000000"/>
              </w:rPr>
              <w:t>2024</w:t>
            </w:r>
          </w:p>
        </w:tc>
        <w:tc>
          <w:tcPr>
            <w:tcW w:w="1077" w:type="dxa"/>
            <w:vAlign w:val="bottom"/>
          </w:tcPr>
          <w:p w14:paraId="7ADF58B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55C72F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6B2ACE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FA088A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CA6CA2E" w14:textId="77777777" w:rsidR="008E5DE4" w:rsidRDefault="008E5DE4">
            <w:pPr>
              <w:widowControl w:val="0"/>
              <w:pBdr>
                <w:top w:val="nil"/>
                <w:left w:val="nil"/>
                <w:bottom w:val="nil"/>
                <w:right w:val="nil"/>
                <w:between w:val="nil"/>
              </w:pBdr>
              <w:jc w:val="right"/>
              <w:rPr>
                <w:color w:val="000000"/>
              </w:rPr>
            </w:pPr>
          </w:p>
        </w:tc>
      </w:tr>
      <w:tr w:rsidR="008E5DE4" w14:paraId="37CD9F0B" w14:textId="77777777">
        <w:trPr>
          <w:cantSplit/>
        </w:trPr>
        <w:tc>
          <w:tcPr>
            <w:tcW w:w="3969" w:type="dxa"/>
            <w:vAlign w:val="bottom"/>
          </w:tcPr>
          <w:p w14:paraId="54F5114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vAlign w:val="bottom"/>
          </w:tcPr>
          <w:p w14:paraId="58A5004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D0866B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658E91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BF3388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CCC61B8" w14:textId="77777777" w:rsidR="008E5DE4" w:rsidRDefault="008E5DE4">
            <w:pPr>
              <w:widowControl w:val="0"/>
              <w:pBdr>
                <w:top w:val="nil"/>
                <w:left w:val="nil"/>
                <w:bottom w:val="nil"/>
                <w:right w:val="nil"/>
                <w:between w:val="nil"/>
              </w:pBdr>
              <w:jc w:val="right"/>
              <w:rPr>
                <w:color w:val="000000"/>
              </w:rPr>
            </w:pPr>
          </w:p>
        </w:tc>
      </w:tr>
      <w:tr w:rsidR="008E5DE4" w14:paraId="20FA2EAF" w14:textId="77777777">
        <w:trPr>
          <w:cantSplit/>
        </w:trPr>
        <w:tc>
          <w:tcPr>
            <w:tcW w:w="3969" w:type="dxa"/>
            <w:vAlign w:val="bottom"/>
          </w:tcPr>
          <w:p w14:paraId="665B429C" w14:textId="77777777" w:rsidR="008E5DE4" w:rsidRPr="00010D4F" w:rsidRDefault="00780368">
            <w:pPr>
              <w:widowControl w:val="0"/>
              <w:pBdr>
                <w:top w:val="nil"/>
                <w:left w:val="nil"/>
                <w:bottom w:val="nil"/>
                <w:right w:val="nil"/>
                <w:between w:val="nil"/>
              </w:pBdr>
              <w:ind w:left="113" w:right="-57" w:hanging="113"/>
              <w:rPr>
                <w:color w:val="0000FF"/>
              </w:rPr>
            </w:pPr>
            <w:r w:rsidRPr="00010D4F">
              <w:rPr>
                <w:color w:val="0000FF"/>
              </w:rPr>
              <w:t>[Customer 1]</w:t>
            </w:r>
          </w:p>
        </w:tc>
        <w:tc>
          <w:tcPr>
            <w:tcW w:w="1077" w:type="dxa"/>
            <w:vAlign w:val="bottom"/>
          </w:tcPr>
          <w:p w14:paraId="56173DCD" w14:textId="77777777" w:rsidR="008E5DE4" w:rsidRDefault="008E5DE4">
            <w:pPr>
              <w:widowControl w:val="0"/>
              <w:pBdr>
                <w:top w:val="nil"/>
                <w:left w:val="nil"/>
                <w:bottom w:val="nil"/>
                <w:right w:val="nil"/>
                <w:between w:val="nil"/>
              </w:pBdr>
              <w:jc w:val="right"/>
              <w:rPr>
                <w:i/>
                <w:color w:val="000000"/>
              </w:rPr>
            </w:pPr>
          </w:p>
        </w:tc>
        <w:tc>
          <w:tcPr>
            <w:tcW w:w="1077" w:type="dxa"/>
            <w:vAlign w:val="bottom"/>
          </w:tcPr>
          <w:p w14:paraId="54AAC739" w14:textId="77777777" w:rsidR="008E5DE4" w:rsidRDefault="008E5DE4">
            <w:pPr>
              <w:widowControl w:val="0"/>
              <w:pBdr>
                <w:top w:val="nil"/>
                <w:left w:val="nil"/>
                <w:bottom w:val="nil"/>
                <w:right w:val="nil"/>
                <w:between w:val="nil"/>
              </w:pBdr>
              <w:jc w:val="right"/>
              <w:rPr>
                <w:i/>
                <w:color w:val="000000"/>
              </w:rPr>
            </w:pPr>
          </w:p>
        </w:tc>
        <w:tc>
          <w:tcPr>
            <w:tcW w:w="1077" w:type="dxa"/>
            <w:vAlign w:val="bottom"/>
          </w:tcPr>
          <w:p w14:paraId="36A9C92C" w14:textId="77777777" w:rsidR="008E5DE4" w:rsidRDefault="008E5DE4">
            <w:pPr>
              <w:widowControl w:val="0"/>
              <w:pBdr>
                <w:top w:val="nil"/>
                <w:left w:val="nil"/>
                <w:bottom w:val="nil"/>
                <w:right w:val="nil"/>
                <w:between w:val="nil"/>
              </w:pBdr>
              <w:jc w:val="right"/>
              <w:rPr>
                <w:i/>
                <w:color w:val="000000"/>
              </w:rPr>
            </w:pPr>
          </w:p>
        </w:tc>
        <w:tc>
          <w:tcPr>
            <w:tcW w:w="1077" w:type="dxa"/>
            <w:vAlign w:val="bottom"/>
          </w:tcPr>
          <w:p w14:paraId="2A97734E" w14:textId="77777777" w:rsidR="008E5DE4" w:rsidRDefault="008E5DE4">
            <w:pPr>
              <w:widowControl w:val="0"/>
              <w:pBdr>
                <w:top w:val="nil"/>
                <w:left w:val="nil"/>
                <w:bottom w:val="nil"/>
                <w:right w:val="nil"/>
                <w:between w:val="nil"/>
              </w:pBdr>
              <w:jc w:val="right"/>
              <w:rPr>
                <w:i/>
                <w:color w:val="000000"/>
              </w:rPr>
            </w:pPr>
          </w:p>
        </w:tc>
        <w:tc>
          <w:tcPr>
            <w:tcW w:w="1077" w:type="dxa"/>
            <w:vAlign w:val="bottom"/>
          </w:tcPr>
          <w:p w14:paraId="0F2F3468" w14:textId="77777777" w:rsidR="008E5DE4" w:rsidRDefault="008E5DE4">
            <w:pPr>
              <w:widowControl w:val="0"/>
              <w:pBdr>
                <w:top w:val="nil"/>
                <w:left w:val="nil"/>
                <w:bottom w:val="nil"/>
                <w:right w:val="nil"/>
                <w:between w:val="nil"/>
              </w:pBdr>
              <w:jc w:val="right"/>
              <w:rPr>
                <w:i/>
                <w:color w:val="000000"/>
              </w:rPr>
            </w:pPr>
          </w:p>
        </w:tc>
      </w:tr>
      <w:tr w:rsidR="008E5DE4" w14:paraId="0797175D" w14:textId="77777777">
        <w:trPr>
          <w:cantSplit/>
        </w:trPr>
        <w:tc>
          <w:tcPr>
            <w:tcW w:w="3969" w:type="dxa"/>
            <w:vAlign w:val="bottom"/>
          </w:tcPr>
          <w:p w14:paraId="38DDAC31" w14:textId="77777777" w:rsidR="008E5DE4" w:rsidRPr="00010D4F" w:rsidRDefault="00780368">
            <w:pPr>
              <w:widowControl w:val="0"/>
              <w:pBdr>
                <w:top w:val="nil"/>
                <w:left w:val="nil"/>
                <w:bottom w:val="nil"/>
                <w:right w:val="nil"/>
                <w:between w:val="nil"/>
              </w:pBdr>
              <w:ind w:left="113" w:right="-57" w:hanging="113"/>
              <w:rPr>
                <w:color w:val="0000FF"/>
              </w:rPr>
            </w:pPr>
            <w:r w:rsidRPr="00010D4F">
              <w:rPr>
                <w:color w:val="0000FF"/>
              </w:rPr>
              <w:t>[Customer 2]</w:t>
            </w:r>
          </w:p>
        </w:tc>
        <w:tc>
          <w:tcPr>
            <w:tcW w:w="1077" w:type="dxa"/>
            <w:vAlign w:val="bottom"/>
          </w:tcPr>
          <w:p w14:paraId="2B23AB9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27BA1B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BF8CB9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2A74A5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6DB56A0" w14:textId="77777777" w:rsidR="008E5DE4" w:rsidRDefault="008E5DE4">
            <w:pPr>
              <w:widowControl w:val="0"/>
              <w:pBdr>
                <w:top w:val="nil"/>
                <w:left w:val="nil"/>
                <w:bottom w:val="nil"/>
                <w:right w:val="nil"/>
                <w:between w:val="nil"/>
              </w:pBdr>
              <w:jc w:val="right"/>
              <w:rPr>
                <w:color w:val="000000"/>
              </w:rPr>
            </w:pPr>
          </w:p>
        </w:tc>
      </w:tr>
      <w:tr w:rsidR="008E5DE4" w14:paraId="593173FF" w14:textId="77777777">
        <w:trPr>
          <w:cantSplit/>
        </w:trPr>
        <w:tc>
          <w:tcPr>
            <w:tcW w:w="3969" w:type="dxa"/>
            <w:tcBorders>
              <w:bottom w:val="single" w:sz="4" w:space="0" w:color="000000"/>
            </w:tcBorders>
            <w:vAlign w:val="bottom"/>
          </w:tcPr>
          <w:p w14:paraId="3101799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tcBorders>
              <w:bottom w:val="single" w:sz="4" w:space="0" w:color="000000"/>
            </w:tcBorders>
            <w:vAlign w:val="bottom"/>
          </w:tcPr>
          <w:p w14:paraId="20A2D872"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22565C8A"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6628ECC7"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4B10758B"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517A3AE0" w14:textId="77777777" w:rsidR="008E5DE4" w:rsidRDefault="008E5DE4">
            <w:pPr>
              <w:widowControl w:val="0"/>
              <w:pBdr>
                <w:top w:val="nil"/>
                <w:left w:val="nil"/>
                <w:bottom w:val="nil"/>
                <w:right w:val="nil"/>
                <w:between w:val="nil"/>
              </w:pBdr>
              <w:jc w:val="right"/>
              <w:rPr>
                <w:color w:val="000000"/>
              </w:rPr>
            </w:pPr>
          </w:p>
        </w:tc>
      </w:tr>
      <w:tr w:rsidR="008E5DE4" w14:paraId="4A9B5660" w14:textId="77777777">
        <w:trPr>
          <w:cantSplit/>
        </w:trPr>
        <w:tc>
          <w:tcPr>
            <w:tcW w:w="3969" w:type="dxa"/>
            <w:tcBorders>
              <w:top w:val="single" w:sz="4" w:space="0" w:color="000000"/>
            </w:tcBorders>
            <w:vAlign w:val="bottom"/>
          </w:tcPr>
          <w:p w14:paraId="593BE88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tcBorders>
              <w:top w:val="single" w:sz="4" w:space="0" w:color="000000"/>
            </w:tcBorders>
            <w:vAlign w:val="bottom"/>
          </w:tcPr>
          <w:p w14:paraId="6A559781"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70A21CBB"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16352F37"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11611F6F"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55FF9F9E" w14:textId="77777777" w:rsidR="008E5DE4" w:rsidRDefault="008E5DE4">
            <w:pPr>
              <w:widowControl w:val="0"/>
              <w:pBdr>
                <w:top w:val="nil"/>
                <w:left w:val="nil"/>
                <w:bottom w:val="nil"/>
                <w:right w:val="nil"/>
                <w:between w:val="nil"/>
              </w:pBdr>
              <w:jc w:val="right"/>
              <w:rPr>
                <w:color w:val="000000"/>
              </w:rPr>
            </w:pPr>
          </w:p>
        </w:tc>
      </w:tr>
      <w:tr w:rsidR="008E5DE4" w14:paraId="4E9A255C" w14:textId="77777777">
        <w:trPr>
          <w:cantSplit/>
        </w:trPr>
        <w:tc>
          <w:tcPr>
            <w:tcW w:w="3969" w:type="dxa"/>
            <w:vAlign w:val="bottom"/>
          </w:tcPr>
          <w:p w14:paraId="444D82E2" w14:textId="2D7B4554" w:rsidR="008E5DE4" w:rsidRDefault="00780368">
            <w:pPr>
              <w:widowControl w:val="0"/>
              <w:pBdr>
                <w:top w:val="nil"/>
                <w:left w:val="nil"/>
                <w:bottom w:val="nil"/>
                <w:right w:val="nil"/>
                <w:between w:val="nil"/>
              </w:pBdr>
              <w:ind w:left="113" w:right="-57" w:hanging="113"/>
              <w:rPr>
                <w:b/>
                <w:i/>
                <w:color w:val="000000"/>
              </w:rPr>
            </w:pPr>
            <w:r>
              <w:rPr>
                <w:b/>
                <w:color w:val="000000"/>
              </w:rPr>
              <w:t xml:space="preserve">Total revenues for </w:t>
            </w:r>
            <w:r w:rsidR="00FF468A">
              <w:rPr>
                <w:b/>
                <w:color w:val="000000"/>
              </w:rPr>
              <w:t>2024</w:t>
            </w:r>
          </w:p>
        </w:tc>
        <w:tc>
          <w:tcPr>
            <w:tcW w:w="1077" w:type="dxa"/>
            <w:vAlign w:val="bottom"/>
          </w:tcPr>
          <w:p w14:paraId="6CA2E20E"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FC717A4"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3E2BF6D"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CD69210"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0EAE4502" w14:textId="77777777" w:rsidR="008E5DE4" w:rsidRDefault="008E5DE4">
            <w:pPr>
              <w:widowControl w:val="0"/>
              <w:pBdr>
                <w:top w:val="nil"/>
                <w:left w:val="nil"/>
                <w:bottom w:val="nil"/>
                <w:right w:val="nil"/>
                <w:between w:val="nil"/>
              </w:pBdr>
              <w:jc w:val="right"/>
              <w:rPr>
                <w:b/>
                <w:color w:val="000000"/>
              </w:rPr>
            </w:pPr>
          </w:p>
        </w:tc>
      </w:tr>
      <w:tr w:rsidR="008E5DE4" w14:paraId="255B56FD" w14:textId="77777777">
        <w:trPr>
          <w:cantSplit/>
        </w:trPr>
        <w:tc>
          <w:tcPr>
            <w:tcW w:w="3969" w:type="dxa"/>
            <w:tcBorders>
              <w:bottom w:val="single" w:sz="12" w:space="0" w:color="000000"/>
            </w:tcBorders>
            <w:vAlign w:val="bottom"/>
          </w:tcPr>
          <w:p w14:paraId="0A9806C7"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tcBorders>
              <w:bottom w:val="single" w:sz="12" w:space="0" w:color="000000"/>
            </w:tcBorders>
            <w:vAlign w:val="bottom"/>
          </w:tcPr>
          <w:p w14:paraId="0548B74B"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51AC7829"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608A9469"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3F6C5FFA"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3BAADFE0" w14:textId="77777777" w:rsidR="008E5DE4" w:rsidRDefault="008E5DE4">
            <w:pPr>
              <w:widowControl w:val="0"/>
              <w:pBdr>
                <w:top w:val="nil"/>
                <w:left w:val="nil"/>
                <w:bottom w:val="nil"/>
                <w:right w:val="nil"/>
                <w:between w:val="nil"/>
              </w:pBdr>
              <w:jc w:val="right"/>
              <w:rPr>
                <w:color w:val="000000"/>
              </w:rPr>
            </w:pPr>
          </w:p>
        </w:tc>
      </w:tr>
    </w:tbl>
    <w:p w14:paraId="3C24EDBE" w14:textId="31078B38"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Management considered the extent of economic integration between entities controlled by </w:t>
      </w:r>
      <w:r>
        <w:rPr>
          <w:color w:val="0000FF"/>
          <w:sz w:val="20"/>
          <w:szCs w:val="20"/>
        </w:rPr>
        <w:t xml:space="preserve">[Country] </w:t>
      </w:r>
      <w:r w:rsidR="00C91077">
        <w:rPr>
          <w:color w:val="000000"/>
          <w:sz w:val="20"/>
          <w:szCs w:val="20"/>
        </w:rPr>
        <w:t>government and</w:t>
      </w:r>
      <w:r>
        <w:rPr>
          <w:color w:val="000000"/>
          <w:sz w:val="20"/>
          <w:szCs w:val="20"/>
        </w:rPr>
        <w:t xml:space="preserve"> concluded that entities under the control of the government are not in general a single customer for the purposes of the above disclosure. </w:t>
      </w:r>
    </w:p>
    <w:p w14:paraId="6FC176F3" w14:textId="77777777" w:rsidR="008E5DE4" w:rsidRDefault="00780368" w:rsidP="00BB1486">
      <w:pPr>
        <w:pStyle w:val="Heading1"/>
        <w:pageBreakBefore/>
        <w:numPr>
          <w:ilvl w:val="0"/>
          <w:numId w:val="3"/>
        </w:numPr>
        <w:ind w:left="567" w:hanging="567"/>
      </w:pPr>
      <w:bookmarkStart w:id="15" w:name="_Toc149923607"/>
      <w:r>
        <w:lastRenderedPageBreak/>
        <w:t>Balances and Transactions with Related Parties</w:t>
      </w:r>
      <w:bookmarkEnd w:id="15"/>
    </w:p>
    <w:p w14:paraId="6BFD3BD0" w14:textId="14613D78" w:rsidR="008E5DE4" w:rsidRDefault="00090491">
      <w:pPr>
        <w:widowControl w:val="0"/>
        <w:pBdr>
          <w:top w:val="nil"/>
          <w:left w:val="nil"/>
          <w:bottom w:val="nil"/>
          <w:right w:val="nil"/>
          <w:between w:val="nil"/>
        </w:pBdr>
        <w:shd w:val="clear" w:color="auto" w:fill="C6D9F1"/>
        <w:spacing w:before="200" w:after="200"/>
        <w:jc w:val="both"/>
        <w:rPr>
          <w:b/>
          <w:i/>
          <w:color w:val="000000"/>
          <w:sz w:val="20"/>
          <w:szCs w:val="20"/>
        </w:rPr>
      </w:pPr>
      <w:r>
        <w:rPr>
          <w:b/>
          <w:i/>
          <w:color w:val="000000"/>
          <w:sz w:val="20"/>
          <w:szCs w:val="20"/>
        </w:rPr>
        <w:t>Material accounting policy information</w:t>
      </w:r>
    </w:p>
    <w:p w14:paraId="4C841CBE"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Parties are generally considered to be related if the parties are under common control or if one party </w:t>
      </w:r>
      <w:proofErr w:type="gramStart"/>
      <w:r>
        <w:rPr>
          <w:color w:val="000000"/>
          <w:sz w:val="20"/>
          <w:szCs w:val="20"/>
        </w:rPr>
        <w:t>has the ability to</w:t>
      </w:r>
      <w:proofErr w:type="gramEnd"/>
      <w:r>
        <w:rPr>
          <w:color w:val="000000"/>
          <w:sz w:val="20"/>
          <w:szCs w:val="20"/>
        </w:rPr>
        <w:t xml:space="preserve"> control the other party or can exercise significant influence or joint control over the other party in making financial and operational decisions. In considering each possible related party relationship, attention is directed to the substance of the relationship, not merely the legal form. </w:t>
      </w:r>
    </w:p>
    <w:tbl>
      <w:tblPr>
        <w:tblStyle w:val="af7"/>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0860F68C" w14:textId="77777777">
        <w:tc>
          <w:tcPr>
            <w:tcW w:w="9571" w:type="dxa"/>
          </w:tcPr>
          <w:p w14:paraId="034F7F77" w14:textId="77777777" w:rsidR="008E5DE4" w:rsidRDefault="00780368">
            <w:pPr>
              <w:pBdr>
                <w:top w:val="nil"/>
                <w:left w:val="nil"/>
                <w:bottom w:val="nil"/>
                <w:right w:val="nil"/>
                <w:between w:val="nil"/>
              </w:pBdr>
              <w:spacing w:after="240"/>
              <w:rPr>
                <w:b/>
                <w:i/>
                <w:color w:val="000000"/>
                <w:sz w:val="20"/>
                <w:szCs w:val="20"/>
              </w:rPr>
            </w:pPr>
            <w:r>
              <w:rPr>
                <w:b/>
                <w:i/>
                <w:color w:val="000000"/>
                <w:sz w:val="20"/>
                <w:szCs w:val="20"/>
              </w:rPr>
              <w:t>Critical Accounting Estimates and Judgments in Applying Accounting Policies</w:t>
            </w:r>
          </w:p>
          <w:p w14:paraId="1BD9B4ED" w14:textId="0B61B15E"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Initial recognition of related party transactions.</w:t>
            </w:r>
            <w:r>
              <w:rPr>
                <w:color w:val="000000"/>
                <w:sz w:val="20"/>
                <w:szCs w:val="20"/>
              </w:rPr>
              <w:t xml:space="preserve"> In the normal course of </w:t>
            </w:r>
            <w:proofErr w:type="gramStart"/>
            <w:r>
              <w:rPr>
                <w:color w:val="000000"/>
                <w:sz w:val="20"/>
                <w:szCs w:val="20"/>
              </w:rPr>
              <w:t>business</w:t>
            </w:r>
            <w:proofErr w:type="gramEnd"/>
            <w:r>
              <w:rPr>
                <w:color w:val="000000"/>
                <w:sz w:val="20"/>
                <w:szCs w:val="20"/>
              </w:rPr>
              <w:t xml:space="preserve"> the Group </w:t>
            </w:r>
            <w:proofErr w:type="gramStart"/>
            <w:r>
              <w:rPr>
                <w:color w:val="000000"/>
                <w:sz w:val="20"/>
                <w:szCs w:val="20"/>
              </w:rPr>
              <w:t>enters into</w:t>
            </w:r>
            <w:proofErr w:type="gramEnd"/>
            <w:r>
              <w:rPr>
                <w:color w:val="000000"/>
                <w:sz w:val="20"/>
                <w:szCs w:val="20"/>
              </w:rPr>
              <w:t xml:space="preserve"> transactions with its related parties. IFRS 9 requires initial recognition of financial instruments based on their fair values. Judgement is applied in determining if transactions are priced at market or non-market interest rates, where there is no active market for such transactions. The basis for judgement is pricing for similar types of transactions with unrelated parties and effective interest rate analyses. Terms and conditions of related party balances are disclosed in this Note.</w:t>
            </w:r>
            <w:r>
              <w:rPr>
                <w:b/>
                <w:i/>
                <w:color w:val="FF0000"/>
                <w:sz w:val="20"/>
                <w:szCs w:val="20"/>
              </w:rPr>
              <w:t xml:space="preserve"> </w:t>
            </w:r>
          </w:p>
          <w:p w14:paraId="09FEA086" w14:textId="77777777" w:rsidR="008E5DE4" w:rsidRDefault="008E5DE4">
            <w:pPr>
              <w:widowControl w:val="0"/>
              <w:pBdr>
                <w:top w:val="nil"/>
                <w:left w:val="nil"/>
                <w:bottom w:val="nil"/>
                <w:right w:val="nil"/>
                <w:between w:val="nil"/>
              </w:pBdr>
              <w:spacing w:before="200" w:after="200"/>
              <w:jc w:val="both"/>
              <w:rPr>
                <w:color w:val="000000"/>
                <w:sz w:val="20"/>
                <w:szCs w:val="20"/>
              </w:rPr>
            </w:pPr>
          </w:p>
        </w:tc>
      </w:tr>
    </w:tbl>
    <w:p w14:paraId="0ADEFF60"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8</w:t>
      </w:r>
      <w:r>
        <w:rPr>
          <w:b/>
          <w:color w:val="000000"/>
          <w:sz w:val="20"/>
          <w:szCs w:val="20"/>
        </w:rPr>
        <w:tab/>
        <w:t>Balances and Transactions with Related Parties (Continued)</w:t>
      </w:r>
    </w:p>
    <w:p w14:paraId="27F7C74A" w14:textId="3DDE12BA" w:rsidR="008E5DE4" w:rsidRDefault="00780368">
      <w:pPr>
        <w:widowControl w:val="0"/>
        <w:spacing w:before="200" w:after="200"/>
        <w:jc w:val="both"/>
        <w:rPr>
          <w:sz w:val="20"/>
          <w:szCs w:val="20"/>
        </w:rPr>
      </w:pP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the outstanding balances with related parties were as follows: </w:t>
      </w:r>
    </w:p>
    <w:tbl>
      <w:tblPr>
        <w:tblStyle w:val="af8"/>
        <w:tblW w:w="9356" w:type="dxa"/>
        <w:tblLayout w:type="fixed"/>
        <w:tblLook w:val="0000" w:firstRow="0" w:lastRow="0" w:firstColumn="0" w:lastColumn="0" w:noHBand="0" w:noVBand="0"/>
      </w:tblPr>
      <w:tblGrid>
        <w:gridCol w:w="3005"/>
        <w:gridCol w:w="539"/>
        <w:gridCol w:w="992"/>
        <w:gridCol w:w="964"/>
        <w:gridCol w:w="964"/>
        <w:gridCol w:w="964"/>
        <w:gridCol w:w="964"/>
        <w:gridCol w:w="964"/>
      </w:tblGrid>
      <w:tr w:rsidR="008E5DE4" w14:paraId="5A31D60C" w14:textId="77777777" w:rsidTr="002D1669">
        <w:trPr>
          <w:cantSplit/>
          <w:tblHeader/>
        </w:trPr>
        <w:tc>
          <w:tcPr>
            <w:tcW w:w="3005" w:type="dxa"/>
            <w:tcBorders>
              <w:bottom w:val="single" w:sz="4" w:space="0" w:color="000000"/>
            </w:tcBorders>
            <w:vAlign w:val="bottom"/>
          </w:tcPr>
          <w:p w14:paraId="67A52B4F"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539" w:type="dxa"/>
            <w:tcBorders>
              <w:bottom w:val="single" w:sz="4" w:space="0" w:color="000000"/>
            </w:tcBorders>
            <w:vAlign w:val="bottom"/>
          </w:tcPr>
          <w:p w14:paraId="467B7633"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992" w:type="dxa"/>
            <w:tcBorders>
              <w:bottom w:val="single" w:sz="4" w:space="0" w:color="000000"/>
            </w:tcBorders>
          </w:tcPr>
          <w:p w14:paraId="09727013" w14:textId="77777777" w:rsidR="008E5DE4" w:rsidRDefault="00780368">
            <w:pPr>
              <w:widowControl w:val="0"/>
              <w:pBdr>
                <w:top w:val="nil"/>
                <w:left w:val="nil"/>
                <w:bottom w:val="nil"/>
                <w:right w:val="nil"/>
                <w:between w:val="nil"/>
              </w:pBdr>
              <w:ind w:left="-113"/>
              <w:jc w:val="right"/>
              <w:rPr>
                <w:b/>
                <w:color w:val="000000"/>
              </w:rPr>
            </w:pPr>
            <w:r>
              <w:rPr>
                <w:b/>
                <w:color w:val="000000"/>
              </w:rPr>
              <w:t>Imme-</w:t>
            </w:r>
            <w:proofErr w:type="spellStart"/>
            <w:r>
              <w:rPr>
                <w:b/>
                <w:color w:val="000000"/>
              </w:rPr>
              <w:t>diate</w:t>
            </w:r>
            <w:proofErr w:type="spellEnd"/>
            <w:r>
              <w:rPr>
                <w:b/>
                <w:color w:val="000000"/>
              </w:rPr>
              <w:t xml:space="preserve"> parent company</w:t>
            </w:r>
          </w:p>
        </w:tc>
        <w:tc>
          <w:tcPr>
            <w:tcW w:w="964" w:type="dxa"/>
            <w:tcBorders>
              <w:bottom w:val="single" w:sz="4" w:space="0" w:color="000000"/>
            </w:tcBorders>
          </w:tcPr>
          <w:p w14:paraId="064251D0"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Other </w:t>
            </w:r>
            <w:proofErr w:type="spellStart"/>
            <w:r>
              <w:rPr>
                <w:b/>
                <w:color w:val="000000"/>
              </w:rPr>
              <w:t>signifi</w:t>
            </w:r>
            <w:proofErr w:type="spellEnd"/>
            <w:r>
              <w:rPr>
                <w:b/>
                <w:color w:val="000000"/>
              </w:rPr>
              <w:t>-</w:t>
            </w:r>
            <w:proofErr w:type="gramStart"/>
            <w:r>
              <w:rPr>
                <w:b/>
                <w:color w:val="000000"/>
              </w:rPr>
              <w:t>cant</w:t>
            </w:r>
            <w:proofErr w:type="gramEnd"/>
            <w:r>
              <w:rPr>
                <w:b/>
                <w:color w:val="000000"/>
              </w:rPr>
              <w:t xml:space="preserve"> </w:t>
            </w:r>
            <w:proofErr w:type="gramStart"/>
            <w:r>
              <w:rPr>
                <w:b/>
                <w:color w:val="000000"/>
              </w:rPr>
              <w:t>share-holders</w:t>
            </w:r>
            <w:proofErr w:type="gramEnd"/>
          </w:p>
        </w:tc>
        <w:tc>
          <w:tcPr>
            <w:tcW w:w="964" w:type="dxa"/>
            <w:tcBorders>
              <w:bottom w:val="single" w:sz="4" w:space="0" w:color="000000"/>
            </w:tcBorders>
          </w:tcPr>
          <w:p w14:paraId="394941EC" w14:textId="77777777" w:rsidR="008E5DE4" w:rsidRDefault="00780368">
            <w:pPr>
              <w:widowControl w:val="0"/>
              <w:pBdr>
                <w:top w:val="nil"/>
                <w:left w:val="nil"/>
                <w:bottom w:val="nil"/>
                <w:right w:val="nil"/>
                <w:between w:val="nil"/>
              </w:pBdr>
              <w:ind w:left="-113"/>
              <w:jc w:val="right"/>
              <w:rPr>
                <w:b/>
                <w:color w:val="000000"/>
              </w:rPr>
            </w:pPr>
            <w:r>
              <w:rPr>
                <w:b/>
                <w:color w:val="000000"/>
              </w:rPr>
              <w:t>Entities under common control</w:t>
            </w:r>
          </w:p>
        </w:tc>
        <w:tc>
          <w:tcPr>
            <w:tcW w:w="964" w:type="dxa"/>
            <w:tcBorders>
              <w:bottom w:val="single" w:sz="4" w:space="0" w:color="000000"/>
            </w:tcBorders>
          </w:tcPr>
          <w:p w14:paraId="4A72DEC3" w14:textId="77777777" w:rsidR="008E5DE4" w:rsidRDefault="00780368">
            <w:pPr>
              <w:widowControl w:val="0"/>
              <w:pBdr>
                <w:top w:val="nil"/>
                <w:left w:val="nil"/>
                <w:bottom w:val="nil"/>
                <w:right w:val="nil"/>
                <w:between w:val="nil"/>
              </w:pBdr>
              <w:ind w:left="-113"/>
              <w:jc w:val="right"/>
              <w:rPr>
                <w:b/>
                <w:color w:val="0000FF"/>
              </w:rPr>
            </w:pPr>
            <w:r>
              <w:rPr>
                <w:b/>
                <w:color w:val="0000FF"/>
              </w:rPr>
              <w:t>[</w:t>
            </w:r>
            <w:proofErr w:type="spellStart"/>
            <w:r>
              <w:rPr>
                <w:b/>
                <w:color w:val="0000FF"/>
              </w:rPr>
              <w:t>Associa-tes</w:t>
            </w:r>
            <w:proofErr w:type="spellEnd"/>
            <w:r>
              <w:rPr>
                <w:b/>
                <w:color w:val="0000FF"/>
              </w:rPr>
              <w:t>/ Joint ventures/ *Subsidiaries]</w:t>
            </w:r>
          </w:p>
        </w:tc>
        <w:tc>
          <w:tcPr>
            <w:tcW w:w="964" w:type="dxa"/>
            <w:tcBorders>
              <w:bottom w:val="single" w:sz="4" w:space="0" w:color="000000"/>
            </w:tcBorders>
          </w:tcPr>
          <w:p w14:paraId="33D8CB7D" w14:textId="00503384" w:rsidR="008E5DE4" w:rsidRDefault="00780368">
            <w:pPr>
              <w:widowControl w:val="0"/>
              <w:pBdr>
                <w:top w:val="nil"/>
                <w:left w:val="nil"/>
                <w:bottom w:val="nil"/>
                <w:right w:val="nil"/>
                <w:between w:val="nil"/>
              </w:pBdr>
              <w:ind w:left="-113"/>
              <w:jc w:val="right"/>
              <w:rPr>
                <w:b/>
                <w:color w:val="000000"/>
              </w:rPr>
            </w:pPr>
            <w:r>
              <w:rPr>
                <w:b/>
                <w:color w:val="000000"/>
              </w:rPr>
              <w:t>Key mana-</w:t>
            </w:r>
            <w:proofErr w:type="spellStart"/>
            <w:r>
              <w:rPr>
                <w:b/>
                <w:color w:val="000000"/>
              </w:rPr>
              <w:t>gement</w:t>
            </w:r>
            <w:proofErr w:type="spellEnd"/>
            <w:r>
              <w:rPr>
                <w:b/>
                <w:color w:val="000000"/>
              </w:rPr>
              <w:t xml:space="preserve"> per</w:t>
            </w:r>
            <w:r w:rsidR="002D1669">
              <w:rPr>
                <w:b/>
                <w:color w:val="000000"/>
              </w:rPr>
              <w:t>-</w:t>
            </w:r>
            <w:proofErr w:type="spellStart"/>
            <w:r>
              <w:rPr>
                <w:b/>
                <w:color w:val="000000"/>
              </w:rPr>
              <w:t>sonnel</w:t>
            </w:r>
            <w:proofErr w:type="spellEnd"/>
          </w:p>
        </w:tc>
        <w:tc>
          <w:tcPr>
            <w:tcW w:w="964" w:type="dxa"/>
            <w:tcBorders>
              <w:bottom w:val="single" w:sz="4" w:space="0" w:color="000000"/>
            </w:tcBorders>
          </w:tcPr>
          <w:p w14:paraId="1F033C6D" w14:textId="77777777" w:rsidR="008E5DE4" w:rsidRDefault="00780368">
            <w:pPr>
              <w:widowControl w:val="0"/>
              <w:pBdr>
                <w:top w:val="nil"/>
                <w:left w:val="nil"/>
                <w:bottom w:val="nil"/>
                <w:right w:val="nil"/>
                <w:between w:val="nil"/>
              </w:pBdr>
              <w:ind w:left="-113"/>
              <w:jc w:val="right"/>
              <w:rPr>
                <w:b/>
                <w:color w:val="000000"/>
              </w:rPr>
            </w:pPr>
            <w:r>
              <w:rPr>
                <w:b/>
                <w:color w:val="000000"/>
              </w:rPr>
              <w:t>Other related parties</w:t>
            </w:r>
          </w:p>
        </w:tc>
      </w:tr>
      <w:tr w:rsidR="008E5DE4" w14:paraId="52310922" w14:textId="77777777" w:rsidTr="002D1669">
        <w:trPr>
          <w:cantSplit/>
          <w:tblHeader/>
        </w:trPr>
        <w:tc>
          <w:tcPr>
            <w:tcW w:w="3005" w:type="dxa"/>
            <w:tcBorders>
              <w:top w:val="single" w:sz="4" w:space="0" w:color="000000"/>
            </w:tcBorders>
            <w:vAlign w:val="bottom"/>
          </w:tcPr>
          <w:p w14:paraId="44ED69E5" w14:textId="77777777" w:rsidR="008E5DE4" w:rsidRDefault="00780368">
            <w:pPr>
              <w:widowControl w:val="0"/>
              <w:ind w:left="113" w:right="-57" w:hanging="113"/>
            </w:pPr>
            <w:r>
              <w:t> </w:t>
            </w:r>
          </w:p>
        </w:tc>
        <w:tc>
          <w:tcPr>
            <w:tcW w:w="539" w:type="dxa"/>
            <w:tcBorders>
              <w:top w:val="single" w:sz="4" w:space="0" w:color="000000"/>
            </w:tcBorders>
            <w:vAlign w:val="bottom"/>
          </w:tcPr>
          <w:p w14:paraId="6304405E" w14:textId="77777777" w:rsidR="008E5DE4" w:rsidRDefault="008E5DE4">
            <w:pPr>
              <w:widowControl w:val="0"/>
              <w:pBdr>
                <w:top w:val="nil"/>
                <w:left w:val="nil"/>
                <w:bottom w:val="nil"/>
                <w:right w:val="nil"/>
                <w:between w:val="nil"/>
              </w:pBdr>
              <w:ind w:left="-57" w:right="-57"/>
              <w:jc w:val="center"/>
              <w:rPr>
                <w:color w:val="000000"/>
              </w:rPr>
            </w:pPr>
          </w:p>
        </w:tc>
        <w:tc>
          <w:tcPr>
            <w:tcW w:w="992" w:type="dxa"/>
            <w:tcBorders>
              <w:top w:val="single" w:sz="4" w:space="0" w:color="000000"/>
            </w:tcBorders>
            <w:vAlign w:val="bottom"/>
          </w:tcPr>
          <w:p w14:paraId="35264F9C"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19C8D802"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49139161"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0EBD091D"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05134CF8"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507C78BF" w14:textId="77777777" w:rsidR="008E5DE4" w:rsidRDefault="008E5DE4">
            <w:pPr>
              <w:widowControl w:val="0"/>
              <w:pBdr>
                <w:top w:val="nil"/>
                <w:left w:val="nil"/>
                <w:bottom w:val="nil"/>
                <w:right w:val="nil"/>
                <w:between w:val="nil"/>
              </w:pBdr>
              <w:jc w:val="right"/>
              <w:rPr>
                <w:color w:val="000000"/>
              </w:rPr>
            </w:pPr>
          </w:p>
        </w:tc>
      </w:tr>
      <w:tr w:rsidR="008E5DE4" w14:paraId="6491EABA" w14:textId="77777777" w:rsidTr="002D1669">
        <w:trPr>
          <w:cantSplit/>
          <w:tblHeader/>
        </w:trPr>
        <w:tc>
          <w:tcPr>
            <w:tcW w:w="3005" w:type="dxa"/>
            <w:vAlign w:val="bottom"/>
          </w:tcPr>
          <w:p w14:paraId="3E383DB6"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Gross amount of trade receivables </w:t>
            </w:r>
          </w:p>
        </w:tc>
        <w:tc>
          <w:tcPr>
            <w:tcW w:w="539" w:type="dxa"/>
            <w:vAlign w:val="bottom"/>
          </w:tcPr>
          <w:p w14:paraId="0EA43939"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4D340BD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0B6D93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1B745C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EFDC63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8AA897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16897BC" w14:textId="77777777" w:rsidR="008E5DE4" w:rsidRDefault="008E5DE4">
            <w:pPr>
              <w:widowControl w:val="0"/>
              <w:pBdr>
                <w:top w:val="nil"/>
                <w:left w:val="nil"/>
                <w:bottom w:val="nil"/>
                <w:right w:val="nil"/>
                <w:between w:val="nil"/>
              </w:pBdr>
              <w:jc w:val="right"/>
              <w:rPr>
                <w:color w:val="000000"/>
              </w:rPr>
            </w:pPr>
          </w:p>
        </w:tc>
      </w:tr>
      <w:tr w:rsidR="008E5DE4" w14:paraId="26AD479F" w14:textId="77777777" w:rsidTr="002D1669">
        <w:trPr>
          <w:cantSplit/>
          <w:tblHeader/>
        </w:trPr>
        <w:tc>
          <w:tcPr>
            <w:tcW w:w="3005" w:type="dxa"/>
            <w:vAlign w:val="bottom"/>
          </w:tcPr>
          <w:p w14:paraId="4CE6BCD5" w14:textId="77777777" w:rsidR="008E5DE4" w:rsidRDefault="008E5DE4">
            <w:pPr>
              <w:widowControl w:val="0"/>
              <w:pBdr>
                <w:top w:val="nil"/>
                <w:left w:val="nil"/>
                <w:bottom w:val="nil"/>
                <w:right w:val="nil"/>
                <w:between w:val="nil"/>
              </w:pBdr>
              <w:ind w:left="113" w:right="-57" w:hanging="113"/>
              <w:rPr>
                <w:color w:val="000000"/>
              </w:rPr>
            </w:pPr>
          </w:p>
        </w:tc>
        <w:tc>
          <w:tcPr>
            <w:tcW w:w="539" w:type="dxa"/>
            <w:vAlign w:val="bottom"/>
          </w:tcPr>
          <w:p w14:paraId="4AE71A5C"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1EEB133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B4DE08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5AA8A6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A8D886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2B7E86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5CC98E" w14:textId="77777777" w:rsidR="008E5DE4" w:rsidRDefault="008E5DE4">
            <w:pPr>
              <w:widowControl w:val="0"/>
              <w:pBdr>
                <w:top w:val="nil"/>
                <w:left w:val="nil"/>
                <w:bottom w:val="nil"/>
                <w:right w:val="nil"/>
                <w:between w:val="nil"/>
              </w:pBdr>
              <w:jc w:val="right"/>
              <w:rPr>
                <w:color w:val="000000"/>
              </w:rPr>
            </w:pPr>
          </w:p>
        </w:tc>
      </w:tr>
      <w:tr w:rsidR="008E5DE4" w14:paraId="378B5CF6" w14:textId="77777777" w:rsidTr="002D1669">
        <w:trPr>
          <w:cantSplit/>
          <w:tblHeader/>
        </w:trPr>
        <w:tc>
          <w:tcPr>
            <w:tcW w:w="3005" w:type="dxa"/>
            <w:vAlign w:val="bottom"/>
          </w:tcPr>
          <w:p w14:paraId="60A15C20"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Gross amount of other receivables </w:t>
            </w:r>
          </w:p>
        </w:tc>
        <w:tc>
          <w:tcPr>
            <w:tcW w:w="539" w:type="dxa"/>
            <w:vAlign w:val="bottom"/>
          </w:tcPr>
          <w:p w14:paraId="29582EC3"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3706C15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933D98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52E0A3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24A632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AC9B4B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727A901" w14:textId="77777777" w:rsidR="008E5DE4" w:rsidRDefault="008E5DE4">
            <w:pPr>
              <w:widowControl w:val="0"/>
              <w:pBdr>
                <w:top w:val="nil"/>
                <w:left w:val="nil"/>
                <w:bottom w:val="nil"/>
                <w:right w:val="nil"/>
                <w:between w:val="nil"/>
              </w:pBdr>
              <w:jc w:val="right"/>
              <w:rPr>
                <w:color w:val="000000"/>
              </w:rPr>
            </w:pPr>
          </w:p>
        </w:tc>
      </w:tr>
      <w:tr w:rsidR="008E5DE4" w14:paraId="2ED40F98" w14:textId="77777777" w:rsidTr="002D1669">
        <w:trPr>
          <w:cantSplit/>
          <w:tblHeader/>
        </w:trPr>
        <w:tc>
          <w:tcPr>
            <w:tcW w:w="3005" w:type="dxa"/>
            <w:vAlign w:val="bottom"/>
          </w:tcPr>
          <w:p w14:paraId="787A1BC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39" w:type="dxa"/>
            <w:vAlign w:val="bottom"/>
          </w:tcPr>
          <w:p w14:paraId="7F88E6BA"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42085F6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6402F8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76B603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D56536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3CB60C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C4C8696" w14:textId="77777777" w:rsidR="008E5DE4" w:rsidRDefault="008E5DE4">
            <w:pPr>
              <w:widowControl w:val="0"/>
              <w:pBdr>
                <w:top w:val="nil"/>
                <w:left w:val="nil"/>
                <w:bottom w:val="nil"/>
                <w:right w:val="nil"/>
                <w:between w:val="nil"/>
              </w:pBdr>
              <w:jc w:val="right"/>
              <w:rPr>
                <w:color w:val="000000"/>
              </w:rPr>
            </w:pPr>
          </w:p>
        </w:tc>
      </w:tr>
      <w:tr w:rsidR="008E5DE4" w14:paraId="7E655053" w14:textId="77777777" w:rsidTr="002D1669">
        <w:trPr>
          <w:cantSplit/>
          <w:tblHeader/>
        </w:trPr>
        <w:tc>
          <w:tcPr>
            <w:tcW w:w="3005" w:type="dxa"/>
            <w:vAlign w:val="bottom"/>
          </w:tcPr>
          <w:p w14:paraId="186711AA"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Loans issued </w:t>
            </w:r>
          </w:p>
        </w:tc>
        <w:tc>
          <w:tcPr>
            <w:tcW w:w="539" w:type="dxa"/>
            <w:vAlign w:val="bottom"/>
          </w:tcPr>
          <w:p w14:paraId="451D5942"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11F6232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AAF516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2D2CC2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BEE2DE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B6328C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1FD619" w14:textId="77777777" w:rsidR="008E5DE4" w:rsidRDefault="008E5DE4">
            <w:pPr>
              <w:widowControl w:val="0"/>
              <w:pBdr>
                <w:top w:val="nil"/>
                <w:left w:val="nil"/>
                <w:bottom w:val="nil"/>
                <w:right w:val="nil"/>
                <w:between w:val="nil"/>
              </w:pBdr>
              <w:jc w:val="right"/>
              <w:rPr>
                <w:color w:val="000000"/>
              </w:rPr>
            </w:pPr>
          </w:p>
        </w:tc>
      </w:tr>
      <w:tr w:rsidR="008E5DE4" w14:paraId="4BFDE5A0" w14:textId="77777777" w:rsidTr="002D1669">
        <w:trPr>
          <w:cantSplit/>
          <w:tblHeader/>
        </w:trPr>
        <w:tc>
          <w:tcPr>
            <w:tcW w:w="3005" w:type="dxa"/>
            <w:vAlign w:val="bottom"/>
          </w:tcPr>
          <w:p w14:paraId="0FC778CA" w14:textId="77777777" w:rsidR="008E5DE4" w:rsidRDefault="008E5DE4">
            <w:pPr>
              <w:widowControl w:val="0"/>
              <w:pBdr>
                <w:top w:val="nil"/>
                <w:left w:val="nil"/>
                <w:bottom w:val="nil"/>
                <w:right w:val="nil"/>
                <w:between w:val="nil"/>
              </w:pBdr>
              <w:ind w:left="113" w:right="-57" w:hanging="113"/>
              <w:rPr>
                <w:color w:val="000000"/>
              </w:rPr>
            </w:pPr>
          </w:p>
        </w:tc>
        <w:tc>
          <w:tcPr>
            <w:tcW w:w="539" w:type="dxa"/>
            <w:vAlign w:val="bottom"/>
          </w:tcPr>
          <w:p w14:paraId="7271A1F0"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0C5E7C1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FCC04D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0E21DD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DA0BA3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A14D7D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CA89F8E" w14:textId="77777777" w:rsidR="008E5DE4" w:rsidRDefault="008E5DE4">
            <w:pPr>
              <w:widowControl w:val="0"/>
              <w:pBdr>
                <w:top w:val="nil"/>
                <w:left w:val="nil"/>
                <w:bottom w:val="nil"/>
                <w:right w:val="nil"/>
                <w:between w:val="nil"/>
              </w:pBdr>
              <w:jc w:val="right"/>
              <w:rPr>
                <w:color w:val="000000"/>
              </w:rPr>
            </w:pPr>
          </w:p>
        </w:tc>
      </w:tr>
      <w:tr w:rsidR="008E5DE4" w14:paraId="2DE35D82" w14:textId="77777777" w:rsidTr="002D1669">
        <w:trPr>
          <w:cantSplit/>
          <w:tblHeader/>
        </w:trPr>
        <w:tc>
          <w:tcPr>
            <w:tcW w:w="3005" w:type="dxa"/>
            <w:vAlign w:val="bottom"/>
          </w:tcPr>
          <w:p w14:paraId="665EF933" w14:textId="77777777" w:rsidR="008E5DE4" w:rsidRDefault="00780368">
            <w:pPr>
              <w:widowControl w:val="0"/>
              <w:pBdr>
                <w:top w:val="nil"/>
                <w:left w:val="nil"/>
                <w:bottom w:val="nil"/>
                <w:right w:val="nil"/>
                <w:between w:val="nil"/>
              </w:pBdr>
              <w:ind w:left="113" w:right="-57" w:hanging="113"/>
              <w:rPr>
                <w:color w:val="000000"/>
              </w:rPr>
            </w:pPr>
            <w:r>
              <w:rPr>
                <w:color w:val="000000"/>
              </w:rPr>
              <w:t>Contract assets</w:t>
            </w:r>
          </w:p>
        </w:tc>
        <w:tc>
          <w:tcPr>
            <w:tcW w:w="539" w:type="dxa"/>
            <w:vAlign w:val="bottom"/>
          </w:tcPr>
          <w:p w14:paraId="648AFDB4"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4333DCF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7B11C9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0A2A86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B23E95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BBC5C1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426C1BE" w14:textId="77777777" w:rsidR="008E5DE4" w:rsidRDefault="008E5DE4">
            <w:pPr>
              <w:widowControl w:val="0"/>
              <w:pBdr>
                <w:top w:val="nil"/>
                <w:left w:val="nil"/>
                <w:bottom w:val="nil"/>
                <w:right w:val="nil"/>
                <w:between w:val="nil"/>
              </w:pBdr>
              <w:jc w:val="right"/>
              <w:rPr>
                <w:color w:val="000000"/>
              </w:rPr>
            </w:pPr>
          </w:p>
        </w:tc>
      </w:tr>
      <w:tr w:rsidR="008E5DE4" w14:paraId="387B7B1C" w14:textId="77777777" w:rsidTr="002D1669">
        <w:trPr>
          <w:cantSplit/>
          <w:tblHeader/>
        </w:trPr>
        <w:tc>
          <w:tcPr>
            <w:tcW w:w="3005" w:type="dxa"/>
            <w:vAlign w:val="bottom"/>
          </w:tcPr>
          <w:p w14:paraId="068702A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39" w:type="dxa"/>
            <w:vAlign w:val="bottom"/>
          </w:tcPr>
          <w:p w14:paraId="047D332F"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5221513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3366FB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A68C88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0E19EF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A9D0F6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663A9F3" w14:textId="77777777" w:rsidR="008E5DE4" w:rsidRDefault="008E5DE4">
            <w:pPr>
              <w:widowControl w:val="0"/>
              <w:pBdr>
                <w:top w:val="nil"/>
                <w:left w:val="nil"/>
                <w:bottom w:val="nil"/>
                <w:right w:val="nil"/>
                <w:between w:val="nil"/>
              </w:pBdr>
              <w:jc w:val="right"/>
              <w:rPr>
                <w:color w:val="000000"/>
              </w:rPr>
            </w:pPr>
          </w:p>
        </w:tc>
      </w:tr>
      <w:tr w:rsidR="008E5DE4" w14:paraId="7EDDBB50" w14:textId="77777777" w:rsidTr="002D1669">
        <w:trPr>
          <w:cantSplit/>
          <w:tblHeader/>
        </w:trPr>
        <w:tc>
          <w:tcPr>
            <w:tcW w:w="3005" w:type="dxa"/>
            <w:vAlign w:val="bottom"/>
          </w:tcPr>
          <w:p w14:paraId="742EC4F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Net impairment losses on financial and contract assets </w:t>
            </w:r>
            <w:proofErr w:type="gramStart"/>
            <w:r>
              <w:rPr>
                <w:color w:val="000000"/>
              </w:rPr>
              <w:t>at</w:t>
            </w:r>
            <w:proofErr w:type="gramEnd"/>
            <w:r>
              <w:rPr>
                <w:color w:val="000000"/>
              </w:rPr>
              <w:t xml:space="preserve"> 31 December</w:t>
            </w:r>
          </w:p>
        </w:tc>
        <w:tc>
          <w:tcPr>
            <w:tcW w:w="539" w:type="dxa"/>
            <w:vAlign w:val="bottom"/>
          </w:tcPr>
          <w:p w14:paraId="41478290"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6F689CC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B52C58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16F7F4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D721D4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DDA3B3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81F2BBD" w14:textId="77777777" w:rsidR="008E5DE4" w:rsidRDefault="008E5DE4">
            <w:pPr>
              <w:widowControl w:val="0"/>
              <w:pBdr>
                <w:top w:val="nil"/>
                <w:left w:val="nil"/>
                <w:bottom w:val="nil"/>
                <w:right w:val="nil"/>
                <w:between w:val="nil"/>
              </w:pBdr>
              <w:jc w:val="right"/>
              <w:rPr>
                <w:color w:val="000000"/>
              </w:rPr>
            </w:pPr>
          </w:p>
        </w:tc>
      </w:tr>
      <w:tr w:rsidR="008E5DE4" w14:paraId="037C750A" w14:textId="77777777" w:rsidTr="002D1669">
        <w:trPr>
          <w:cantSplit/>
          <w:tblHeader/>
        </w:trPr>
        <w:tc>
          <w:tcPr>
            <w:tcW w:w="3005" w:type="dxa"/>
            <w:vAlign w:val="bottom"/>
          </w:tcPr>
          <w:p w14:paraId="1B67DB1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39" w:type="dxa"/>
            <w:vAlign w:val="bottom"/>
          </w:tcPr>
          <w:p w14:paraId="7A4D7C23"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09A0490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51F0E6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37946D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EA048E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199DC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FC7EA84" w14:textId="77777777" w:rsidR="008E5DE4" w:rsidRDefault="008E5DE4">
            <w:pPr>
              <w:widowControl w:val="0"/>
              <w:pBdr>
                <w:top w:val="nil"/>
                <w:left w:val="nil"/>
                <w:bottom w:val="nil"/>
                <w:right w:val="nil"/>
                <w:between w:val="nil"/>
              </w:pBdr>
              <w:jc w:val="right"/>
              <w:rPr>
                <w:color w:val="000000"/>
              </w:rPr>
            </w:pPr>
          </w:p>
        </w:tc>
      </w:tr>
      <w:tr w:rsidR="008E5DE4" w14:paraId="10716E25" w14:textId="77777777" w:rsidTr="002D1669">
        <w:trPr>
          <w:cantSplit/>
          <w:tblHeader/>
        </w:trPr>
        <w:tc>
          <w:tcPr>
            <w:tcW w:w="3005" w:type="dxa"/>
            <w:vAlign w:val="bottom"/>
          </w:tcPr>
          <w:p w14:paraId="58A2C51E" w14:textId="77777777" w:rsidR="008E5DE4" w:rsidRDefault="00780368">
            <w:pPr>
              <w:widowControl w:val="0"/>
              <w:pBdr>
                <w:top w:val="nil"/>
                <w:left w:val="nil"/>
                <w:bottom w:val="nil"/>
                <w:right w:val="nil"/>
                <w:between w:val="nil"/>
              </w:pBdr>
              <w:ind w:left="113" w:right="-57" w:hanging="113"/>
              <w:rPr>
                <w:color w:val="000000"/>
              </w:rPr>
            </w:pPr>
            <w:r>
              <w:rPr>
                <w:color w:val="000000"/>
              </w:rPr>
              <w:t>Investments in debt securities (contractual interest rate: _____ – _____ %)</w:t>
            </w:r>
          </w:p>
        </w:tc>
        <w:tc>
          <w:tcPr>
            <w:tcW w:w="539" w:type="dxa"/>
            <w:vAlign w:val="bottom"/>
          </w:tcPr>
          <w:p w14:paraId="7770EA7C"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41E0880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DCFBE2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5BF965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1F696B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BFFC20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DC3ED3F" w14:textId="77777777" w:rsidR="008E5DE4" w:rsidRDefault="008E5DE4">
            <w:pPr>
              <w:widowControl w:val="0"/>
              <w:pBdr>
                <w:top w:val="nil"/>
                <w:left w:val="nil"/>
                <w:bottom w:val="nil"/>
                <w:right w:val="nil"/>
                <w:between w:val="nil"/>
              </w:pBdr>
              <w:jc w:val="right"/>
              <w:rPr>
                <w:color w:val="000000"/>
              </w:rPr>
            </w:pPr>
          </w:p>
        </w:tc>
      </w:tr>
      <w:tr w:rsidR="008E5DE4" w14:paraId="3042482D" w14:textId="77777777" w:rsidTr="002D1669">
        <w:trPr>
          <w:cantSplit/>
          <w:tblHeader/>
        </w:trPr>
        <w:tc>
          <w:tcPr>
            <w:tcW w:w="3005" w:type="dxa"/>
            <w:vAlign w:val="bottom"/>
          </w:tcPr>
          <w:p w14:paraId="6A9B366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39" w:type="dxa"/>
            <w:vAlign w:val="bottom"/>
          </w:tcPr>
          <w:p w14:paraId="5F836A74"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4F97DE3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034204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AC5E2E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49FC0B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FB0264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3B98C24" w14:textId="77777777" w:rsidR="008E5DE4" w:rsidRDefault="008E5DE4">
            <w:pPr>
              <w:widowControl w:val="0"/>
              <w:pBdr>
                <w:top w:val="nil"/>
                <w:left w:val="nil"/>
                <w:bottom w:val="nil"/>
                <w:right w:val="nil"/>
                <w:between w:val="nil"/>
              </w:pBdr>
              <w:jc w:val="right"/>
              <w:rPr>
                <w:color w:val="000000"/>
              </w:rPr>
            </w:pPr>
          </w:p>
        </w:tc>
      </w:tr>
      <w:tr w:rsidR="008E5DE4" w14:paraId="52D6D6D3" w14:textId="77777777" w:rsidTr="002D1669">
        <w:trPr>
          <w:cantSplit/>
          <w:tblHeader/>
        </w:trPr>
        <w:tc>
          <w:tcPr>
            <w:tcW w:w="3005" w:type="dxa"/>
            <w:vAlign w:val="bottom"/>
          </w:tcPr>
          <w:p w14:paraId="79D7AD00"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Investments in equity securities </w:t>
            </w:r>
            <w:proofErr w:type="gramStart"/>
            <w:r>
              <w:rPr>
                <w:color w:val="000000"/>
              </w:rPr>
              <w:t>( _</w:t>
            </w:r>
            <w:proofErr w:type="gramEnd"/>
            <w:r>
              <w:rPr>
                <w:color w:val="000000"/>
              </w:rPr>
              <w:t>____ % holding)</w:t>
            </w:r>
          </w:p>
        </w:tc>
        <w:tc>
          <w:tcPr>
            <w:tcW w:w="539" w:type="dxa"/>
            <w:vAlign w:val="bottom"/>
          </w:tcPr>
          <w:p w14:paraId="6214E437"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5683FEB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0CF085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180FB3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C31D9C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F7D542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115AD8" w14:textId="77777777" w:rsidR="008E5DE4" w:rsidRDefault="008E5DE4">
            <w:pPr>
              <w:widowControl w:val="0"/>
              <w:pBdr>
                <w:top w:val="nil"/>
                <w:left w:val="nil"/>
                <w:bottom w:val="nil"/>
                <w:right w:val="nil"/>
                <w:between w:val="nil"/>
              </w:pBdr>
              <w:jc w:val="right"/>
              <w:rPr>
                <w:color w:val="000000"/>
              </w:rPr>
            </w:pPr>
          </w:p>
        </w:tc>
      </w:tr>
      <w:tr w:rsidR="008E5DE4" w14:paraId="3496F9A5" w14:textId="77777777" w:rsidTr="002D1669">
        <w:trPr>
          <w:cantSplit/>
          <w:tblHeader/>
        </w:trPr>
        <w:tc>
          <w:tcPr>
            <w:tcW w:w="3005" w:type="dxa"/>
            <w:vAlign w:val="bottom"/>
          </w:tcPr>
          <w:p w14:paraId="16FC4C00"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39" w:type="dxa"/>
            <w:vAlign w:val="bottom"/>
          </w:tcPr>
          <w:p w14:paraId="67FC4C54"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5509126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814A64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B3AF07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F27F1C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A7426E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50464AD" w14:textId="77777777" w:rsidR="008E5DE4" w:rsidRDefault="008E5DE4">
            <w:pPr>
              <w:widowControl w:val="0"/>
              <w:pBdr>
                <w:top w:val="nil"/>
                <w:left w:val="nil"/>
                <w:bottom w:val="nil"/>
                <w:right w:val="nil"/>
                <w:between w:val="nil"/>
              </w:pBdr>
              <w:jc w:val="right"/>
              <w:rPr>
                <w:color w:val="000000"/>
              </w:rPr>
            </w:pPr>
          </w:p>
        </w:tc>
      </w:tr>
      <w:tr w:rsidR="008E5DE4" w14:paraId="34ED4DB2" w14:textId="77777777" w:rsidTr="002D1669">
        <w:trPr>
          <w:cantSplit/>
          <w:tblHeader/>
        </w:trPr>
        <w:tc>
          <w:tcPr>
            <w:tcW w:w="3005" w:type="dxa"/>
            <w:vAlign w:val="bottom"/>
          </w:tcPr>
          <w:p w14:paraId="1EF3FCA5" w14:textId="77777777" w:rsidR="008E5DE4" w:rsidRDefault="00780368">
            <w:pPr>
              <w:widowControl w:val="0"/>
              <w:pBdr>
                <w:top w:val="nil"/>
                <w:left w:val="nil"/>
                <w:bottom w:val="nil"/>
                <w:right w:val="nil"/>
                <w:between w:val="nil"/>
              </w:pBdr>
              <w:ind w:left="113" w:right="-57" w:hanging="113"/>
              <w:rPr>
                <w:color w:val="000000"/>
              </w:rPr>
            </w:pPr>
            <w:r>
              <w:rPr>
                <w:color w:val="000000"/>
              </w:rPr>
              <w:t>Finance lease receivables (effective interest rate: ____%)</w:t>
            </w:r>
          </w:p>
        </w:tc>
        <w:tc>
          <w:tcPr>
            <w:tcW w:w="539" w:type="dxa"/>
            <w:vAlign w:val="bottom"/>
          </w:tcPr>
          <w:p w14:paraId="11300748"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7A94179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E5AE6A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04FA85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AFA5F0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21D9E8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557D0AD" w14:textId="77777777" w:rsidR="008E5DE4" w:rsidRDefault="008E5DE4">
            <w:pPr>
              <w:widowControl w:val="0"/>
              <w:pBdr>
                <w:top w:val="nil"/>
                <w:left w:val="nil"/>
                <w:bottom w:val="nil"/>
                <w:right w:val="nil"/>
                <w:between w:val="nil"/>
              </w:pBdr>
              <w:jc w:val="right"/>
              <w:rPr>
                <w:color w:val="000000"/>
              </w:rPr>
            </w:pPr>
          </w:p>
        </w:tc>
      </w:tr>
      <w:tr w:rsidR="008E5DE4" w14:paraId="16A326F0" w14:textId="77777777" w:rsidTr="002D1669">
        <w:trPr>
          <w:cantSplit/>
          <w:tblHeader/>
        </w:trPr>
        <w:tc>
          <w:tcPr>
            <w:tcW w:w="3005" w:type="dxa"/>
            <w:vAlign w:val="bottom"/>
          </w:tcPr>
          <w:p w14:paraId="0ECA7F2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39" w:type="dxa"/>
            <w:vAlign w:val="bottom"/>
          </w:tcPr>
          <w:p w14:paraId="097BEA2F"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71D3D4B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693F01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46F193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5284CC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15F4F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3636194" w14:textId="77777777" w:rsidR="008E5DE4" w:rsidRDefault="008E5DE4">
            <w:pPr>
              <w:widowControl w:val="0"/>
              <w:pBdr>
                <w:top w:val="nil"/>
                <w:left w:val="nil"/>
                <w:bottom w:val="nil"/>
                <w:right w:val="nil"/>
                <w:between w:val="nil"/>
              </w:pBdr>
              <w:jc w:val="right"/>
              <w:rPr>
                <w:color w:val="000000"/>
              </w:rPr>
            </w:pPr>
          </w:p>
        </w:tc>
      </w:tr>
      <w:tr w:rsidR="008E5DE4" w14:paraId="25143081" w14:textId="77777777" w:rsidTr="002D1669">
        <w:trPr>
          <w:cantSplit/>
          <w:tblHeader/>
        </w:trPr>
        <w:tc>
          <w:tcPr>
            <w:tcW w:w="3005" w:type="dxa"/>
            <w:vAlign w:val="bottom"/>
          </w:tcPr>
          <w:p w14:paraId="0C197332" w14:textId="77777777" w:rsidR="008E5DE4" w:rsidRDefault="00780368">
            <w:pPr>
              <w:widowControl w:val="0"/>
              <w:pBdr>
                <w:top w:val="nil"/>
                <w:left w:val="nil"/>
                <w:bottom w:val="nil"/>
                <w:right w:val="nil"/>
                <w:between w:val="nil"/>
              </w:pBdr>
              <w:ind w:left="113" w:right="-57" w:hanging="113"/>
              <w:rPr>
                <w:color w:val="000000"/>
              </w:rPr>
            </w:pPr>
            <w:r>
              <w:rPr>
                <w:color w:val="000000"/>
              </w:rPr>
              <w:t>Investments in associates</w:t>
            </w:r>
          </w:p>
        </w:tc>
        <w:tc>
          <w:tcPr>
            <w:tcW w:w="539" w:type="dxa"/>
            <w:vAlign w:val="bottom"/>
          </w:tcPr>
          <w:p w14:paraId="47650CDF"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0AAB9A5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4C881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70ECD8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DF06E5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BC6E55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8580DBF" w14:textId="77777777" w:rsidR="008E5DE4" w:rsidRDefault="008E5DE4">
            <w:pPr>
              <w:widowControl w:val="0"/>
              <w:pBdr>
                <w:top w:val="nil"/>
                <w:left w:val="nil"/>
                <w:bottom w:val="nil"/>
                <w:right w:val="nil"/>
                <w:between w:val="nil"/>
              </w:pBdr>
              <w:jc w:val="right"/>
              <w:rPr>
                <w:color w:val="000000"/>
              </w:rPr>
            </w:pPr>
          </w:p>
        </w:tc>
      </w:tr>
      <w:tr w:rsidR="008E5DE4" w14:paraId="4C0ECBEF" w14:textId="77777777" w:rsidTr="002D1669">
        <w:trPr>
          <w:cantSplit/>
          <w:tblHeader/>
        </w:trPr>
        <w:tc>
          <w:tcPr>
            <w:tcW w:w="3005" w:type="dxa"/>
            <w:vAlign w:val="bottom"/>
          </w:tcPr>
          <w:p w14:paraId="12958FB8"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b/>
                <w:color w:val="000000"/>
              </w:rPr>
              <w:t> </w:t>
            </w:r>
          </w:p>
        </w:tc>
        <w:tc>
          <w:tcPr>
            <w:tcW w:w="539" w:type="dxa"/>
            <w:vAlign w:val="bottom"/>
          </w:tcPr>
          <w:p w14:paraId="0EB74AEE"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28C2521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1D34C9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22D09D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DFCC5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8AFA8E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5F0A5A1" w14:textId="77777777" w:rsidR="008E5DE4" w:rsidRDefault="008E5DE4">
            <w:pPr>
              <w:widowControl w:val="0"/>
              <w:pBdr>
                <w:top w:val="nil"/>
                <w:left w:val="nil"/>
                <w:bottom w:val="nil"/>
                <w:right w:val="nil"/>
                <w:between w:val="nil"/>
              </w:pBdr>
              <w:jc w:val="right"/>
              <w:rPr>
                <w:color w:val="000000"/>
              </w:rPr>
            </w:pPr>
          </w:p>
        </w:tc>
      </w:tr>
      <w:tr w:rsidR="008E5DE4" w14:paraId="4F6B8069" w14:textId="77777777" w:rsidTr="002D1669">
        <w:trPr>
          <w:cantSplit/>
          <w:tblHeader/>
        </w:trPr>
        <w:tc>
          <w:tcPr>
            <w:tcW w:w="3005" w:type="dxa"/>
            <w:vAlign w:val="bottom"/>
          </w:tcPr>
          <w:p w14:paraId="6EB25D5F"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Other assets</w:t>
            </w:r>
          </w:p>
        </w:tc>
        <w:tc>
          <w:tcPr>
            <w:tcW w:w="539" w:type="dxa"/>
            <w:vAlign w:val="bottom"/>
          </w:tcPr>
          <w:p w14:paraId="4BB505A4"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7AA62F6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4767A6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042D3E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EC822E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EEEE30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D88AD42" w14:textId="77777777" w:rsidR="008E5DE4" w:rsidRDefault="008E5DE4">
            <w:pPr>
              <w:widowControl w:val="0"/>
              <w:pBdr>
                <w:top w:val="nil"/>
                <w:left w:val="nil"/>
                <w:bottom w:val="nil"/>
                <w:right w:val="nil"/>
                <w:between w:val="nil"/>
              </w:pBdr>
              <w:jc w:val="right"/>
              <w:rPr>
                <w:color w:val="000000"/>
              </w:rPr>
            </w:pPr>
          </w:p>
        </w:tc>
      </w:tr>
      <w:tr w:rsidR="008E5DE4" w14:paraId="5EA2413A" w14:textId="77777777" w:rsidTr="002D1669">
        <w:trPr>
          <w:cantSplit/>
          <w:tblHeader/>
        </w:trPr>
        <w:tc>
          <w:tcPr>
            <w:tcW w:w="3005" w:type="dxa"/>
            <w:vAlign w:val="bottom"/>
          </w:tcPr>
          <w:p w14:paraId="6A2A2844"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b/>
                <w:color w:val="000000"/>
              </w:rPr>
              <w:t> </w:t>
            </w:r>
          </w:p>
        </w:tc>
        <w:tc>
          <w:tcPr>
            <w:tcW w:w="539" w:type="dxa"/>
            <w:vAlign w:val="bottom"/>
          </w:tcPr>
          <w:p w14:paraId="6E5796A9"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313BC90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D9CFB1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A58CB5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B7D8E5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ACB63B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7BE67D5" w14:textId="77777777" w:rsidR="008E5DE4" w:rsidRDefault="008E5DE4">
            <w:pPr>
              <w:widowControl w:val="0"/>
              <w:pBdr>
                <w:top w:val="nil"/>
                <w:left w:val="nil"/>
                <w:bottom w:val="nil"/>
                <w:right w:val="nil"/>
                <w:between w:val="nil"/>
              </w:pBdr>
              <w:jc w:val="right"/>
              <w:rPr>
                <w:color w:val="000000"/>
              </w:rPr>
            </w:pPr>
          </w:p>
        </w:tc>
      </w:tr>
      <w:tr w:rsidR="008E5DE4" w14:paraId="64458BBC" w14:textId="77777777" w:rsidTr="002D1669">
        <w:trPr>
          <w:cantSplit/>
          <w:tblHeader/>
        </w:trPr>
        <w:tc>
          <w:tcPr>
            <w:tcW w:w="3005" w:type="dxa"/>
            <w:vAlign w:val="bottom"/>
          </w:tcPr>
          <w:p w14:paraId="11AD28D0" w14:textId="77777777" w:rsidR="008E5DE4" w:rsidRDefault="00780368">
            <w:pPr>
              <w:widowControl w:val="0"/>
              <w:pBdr>
                <w:top w:val="nil"/>
                <w:left w:val="nil"/>
                <w:bottom w:val="nil"/>
                <w:right w:val="nil"/>
                <w:between w:val="nil"/>
              </w:pBdr>
              <w:ind w:left="113" w:right="-57" w:hanging="113"/>
              <w:rPr>
                <w:color w:val="000000"/>
              </w:rPr>
            </w:pPr>
            <w:r>
              <w:rPr>
                <w:color w:val="000000"/>
              </w:rPr>
              <w:t>Cash and cash equivalents – bank deposits (contractual interest rate: ____%)</w:t>
            </w:r>
          </w:p>
        </w:tc>
        <w:tc>
          <w:tcPr>
            <w:tcW w:w="539" w:type="dxa"/>
            <w:vAlign w:val="bottom"/>
          </w:tcPr>
          <w:p w14:paraId="3B0365C4"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0C63DE8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E5BCD9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2EABB5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22226A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3321FB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F7DF7C" w14:textId="77777777" w:rsidR="008E5DE4" w:rsidRDefault="008E5DE4">
            <w:pPr>
              <w:widowControl w:val="0"/>
              <w:pBdr>
                <w:top w:val="nil"/>
                <w:left w:val="nil"/>
                <w:bottom w:val="nil"/>
                <w:right w:val="nil"/>
                <w:between w:val="nil"/>
              </w:pBdr>
              <w:jc w:val="right"/>
              <w:rPr>
                <w:color w:val="000000"/>
              </w:rPr>
            </w:pPr>
          </w:p>
        </w:tc>
      </w:tr>
      <w:tr w:rsidR="008E5DE4" w14:paraId="057937A2" w14:textId="77777777" w:rsidTr="002D1669">
        <w:trPr>
          <w:cantSplit/>
          <w:tblHeader/>
        </w:trPr>
        <w:tc>
          <w:tcPr>
            <w:tcW w:w="3005" w:type="dxa"/>
            <w:vAlign w:val="bottom"/>
          </w:tcPr>
          <w:p w14:paraId="5B0E9685"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b/>
                <w:color w:val="000000"/>
              </w:rPr>
              <w:t> </w:t>
            </w:r>
          </w:p>
        </w:tc>
        <w:tc>
          <w:tcPr>
            <w:tcW w:w="539" w:type="dxa"/>
            <w:vAlign w:val="bottom"/>
          </w:tcPr>
          <w:p w14:paraId="59B14362"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0072E2F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27ADC5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E6342E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109982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81F68B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800E5B5" w14:textId="77777777" w:rsidR="008E5DE4" w:rsidRDefault="008E5DE4">
            <w:pPr>
              <w:widowControl w:val="0"/>
              <w:pBdr>
                <w:top w:val="nil"/>
                <w:left w:val="nil"/>
                <w:bottom w:val="nil"/>
                <w:right w:val="nil"/>
                <w:between w:val="nil"/>
              </w:pBdr>
              <w:jc w:val="right"/>
              <w:rPr>
                <w:color w:val="000000"/>
              </w:rPr>
            </w:pPr>
          </w:p>
        </w:tc>
      </w:tr>
      <w:tr w:rsidR="008E5DE4" w14:paraId="497F5B9E" w14:textId="77777777" w:rsidTr="002D1669">
        <w:trPr>
          <w:cantSplit/>
          <w:tblHeader/>
        </w:trPr>
        <w:tc>
          <w:tcPr>
            <w:tcW w:w="3005" w:type="dxa"/>
            <w:vAlign w:val="bottom"/>
          </w:tcPr>
          <w:p w14:paraId="16580464"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Non-current assets held for sale (or disposal groups)</w:t>
            </w:r>
          </w:p>
        </w:tc>
        <w:tc>
          <w:tcPr>
            <w:tcW w:w="539" w:type="dxa"/>
            <w:vAlign w:val="bottom"/>
          </w:tcPr>
          <w:p w14:paraId="49AD2F31"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13F853D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8B59EF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AA17D7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0564BF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9AD1C7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12AFED7" w14:textId="77777777" w:rsidR="008E5DE4" w:rsidRDefault="008E5DE4">
            <w:pPr>
              <w:widowControl w:val="0"/>
              <w:pBdr>
                <w:top w:val="nil"/>
                <w:left w:val="nil"/>
                <w:bottom w:val="nil"/>
                <w:right w:val="nil"/>
                <w:between w:val="nil"/>
              </w:pBdr>
              <w:jc w:val="right"/>
              <w:rPr>
                <w:color w:val="000000"/>
              </w:rPr>
            </w:pPr>
          </w:p>
        </w:tc>
      </w:tr>
      <w:tr w:rsidR="008E5DE4" w14:paraId="1E190B81" w14:textId="77777777" w:rsidTr="002D1669">
        <w:trPr>
          <w:cantSplit/>
          <w:tblHeader/>
        </w:trPr>
        <w:tc>
          <w:tcPr>
            <w:tcW w:w="3005" w:type="dxa"/>
            <w:vAlign w:val="bottom"/>
          </w:tcPr>
          <w:p w14:paraId="35EA8A40" w14:textId="77777777" w:rsidR="008E5DE4" w:rsidRDefault="00780368">
            <w:pPr>
              <w:widowControl w:val="0"/>
              <w:pBdr>
                <w:top w:val="nil"/>
                <w:left w:val="nil"/>
                <w:bottom w:val="nil"/>
                <w:right w:val="nil"/>
                <w:between w:val="nil"/>
              </w:pBdr>
              <w:ind w:left="113" w:right="-57" w:hanging="113"/>
              <w:rPr>
                <w:color w:val="000000"/>
              </w:rPr>
            </w:pPr>
            <w:r>
              <w:rPr>
                <w:color w:val="000000"/>
              </w:rPr>
              <w:t>- Debt securities (contractual interest rate: _____ – _____ %)</w:t>
            </w:r>
          </w:p>
        </w:tc>
        <w:tc>
          <w:tcPr>
            <w:tcW w:w="539" w:type="dxa"/>
            <w:vAlign w:val="bottom"/>
          </w:tcPr>
          <w:p w14:paraId="01C68887"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38705D4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9B6B25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0E4FD7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BDC7EB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4F727E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8C37981" w14:textId="77777777" w:rsidR="008E5DE4" w:rsidRDefault="008E5DE4">
            <w:pPr>
              <w:widowControl w:val="0"/>
              <w:pBdr>
                <w:top w:val="nil"/>
                <w:left w:val="nil"/>
                <w:bottom w:val="nil"/>
                <w:right w:val="nil"/>
                <w:between w:val="nil"/>
              </w:pBdr>
              <w:jc w:val="right"/>
              <w:rPr>
                <w:color w:val="000000"/>
              </w:rPr>
            </w:pPr>
          </w:p>
        </w:tc>
      </w:tr>
      <w:tr w:rsidR="008E5DE4" w14:paraId="7300A602" w14:textId="77777777" w:rsidTr="002D1669">
        <w:trPr>
          <w:cantSplit/>
          <w:tblHeader/>
        </w:trPr>
        <w:tc>
          <w:tcPr>
            <w:tcW w:w="3005" w:type="dxa"/>
            <w:vAlign w:val="bottom"/>
          </w:tcPr>
          <w:p w14:paraId="41DB0BD6"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xml:space="preserve">- Shares of _____ </w:t>
            </w:r>
            <w:proofErr w:type="gramStart"/>
            <w:r>
              <w:rPr>
                <w:color w:val="000000"/>
              </w:rPr>
              <w:t>( _</w:t>
            </w:r>
            <w:proofErr w:type="gramEnd"/>
            <w:r>
              <w:rPr>
                <w:color w:val="000000"/>
              </w:rPr>
              <w:t>____ % holding)</w:t>
            </w:r>
          </w:p>
        </w:tc>
        <w:tc>
          <w:tcPr>
            <w:tcW w:w="539" w:type="dxa"/>
            <w:vAlign w:val="bottom"/>
          </w:tcPr>
          <w:p w14:paraId="0B61DE85"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44A25C9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3C8247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02BC7D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A9F52E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D3D790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A5827EF" w14:textId="77777777" w:rsidR="008E5DE4" w:rsidRDefault="008E5DE4">
            <w:pPr>
              <w:widowControl w:val="0"/>
              <w:pBdr>
                <w:top w:val="nil"/>
                <w:left w:val="nil"/>
                <w:bottom w:val="nil"/>
                <w:right w:val="nil"/>
                <w:between w:val="nil"/>
              </w:pBdr>
              <w:jc w:val="right"/>
              <w:rPr>
                <w:color w:val="000000"/>
              </w:rPr>
            </w:pPr>
          </w:p>
        </w:tc>
      </w:tr>
      <w:tr w:rsidR="008E5DE4" w14:paraId="1755B453" w14:textId="77777777" w:rsidTr="002D1669">
        <w:trPr>
          <w:cantSplit/>
          <w:tblHeader/>
        </w:trPr>
        <w:tc>
          <w:tcPr>
            <w:tcW w:w="3005" w:type="dxa"/>
            <w:vAlign w:val="bottom"/>
          </w:tcPr>
          <w:p w14:paraId="7AED7EA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39" w:type="dxa"/>
            <w:vAlign w:val="bottom"/>
          </w:tcPr>
          <w:p w14:paraId="0421BF0B"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1DAAB6C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932C97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C676D2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6D4A28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6CEC7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BB77023" w14:textId="77777777" w:rsidR="008E5DE4" w:rsidRDefault="008E5DE4">
            <w:pPr>
              <w:widowControl w:val="0"/>
              <w:pBdr>
                <w:top w:val="nil"/>
                <w:left w:val="nil"/>
                <w:bottom w:val="nil"/>
                <w:right w:val="nil"/>
                <w:between w:val="nil"/>
              </w:pBdr>
              <w:jc w:val="right"/>
              <w:rPr>
                <w:color w:val="000000"/>
              </w:rPr>
            </w:pPr>
          </w:p>
        </w:tc>
      </w:tr>
      <w:tr w:rsidR="008E5DE4" w14:paraId="4524538B" w14:textId="77777777" w:rsidTr="002D1669">
        <w:trPr>
          <w:cantSplit/>
          <w:tblHeader/>
        </w:trPr>
        <w:tc>
          <w:tcPr>
            <w:tcW w:w="3005" w:type="dxa"/>
            <w:vAlign w:val="bottom"/>
          </w:tcPr>
          <w:p w14:paraId="4DF3A42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Borrowings </w:t>
            </w:r>
          </w:p>
        </w:tc>
        <w:tc>
          <w:tcPr>
            <w:tcW w:w="539" w:type="dxa"/>
            <w:vAlign w:val="bottom"/>
          </w:tcPr>
          <w:p w14:paraId="16EE2BE4"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4A167FA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C2B06F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9B857B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00A546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75511E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59C3830" w14:textId="77777777" w:rsidR="008E5DE4" w:rsidRDefault="008E5DE4">
            <w:pPr>
              <w:widowControl w:val="0"/>
              <w:pBdr>
                <w:top w:val="nil"/>
                <w:left w:val="nil"/>
                <w:bottom w:val="nil"/>
                <w:right w:val="nil"/>
                <w:between w:val="nil"/>
              </w:pBdr>
              <w:jc w:val="right"/>
              <w:rPr>
                <w:color w:val="000000"/>
              </w:rPr>
            </w:pPr>
          </w:p>
        </w:tc>
      </w:tr>
      <w:tr w:rsidR="008E5DE4" w14:paraId="413960BA" w14:textId="77777777" w:rsidTr="002D1669">
        <w:trPr>
          <w:cantSplit/>
          <w:tblHeader/>
        </w:trPr>
        <w:tc>
          <w:tcPr>
            <w:tcW w:w="3005" w:type="dxa"/>
            <w:vAlign w:val="bottom"/>
          </w:tcPr>
          <w:p w14:paraId="1DA5C7A0" w14:textId="77777777" w:rsidR="008E5DE4" w:rsidRDefault="00780368">
            <w:pPr>
              <w:widowControl w:val="0"/>
              <w:pBdr>
                <w:top w:val="nil"/>
                <w:left w:val="nil"/>
                <w:bottom w:val="nil"/>
                <w:right w:val="nil"/>
                <w:between w:val="nil"/>
              </w:pBdr>
              <w:ind w:left="113" w:right="-57" w:hanging="113"/>
              <w:rPr>
                <w:color w:val="000000"/>
              </w:rPr>
            </w:pPr>
            <w:r>
              <w:rPr>
                <w:color w:val="000000"/>
              </w:rPr>
              <w:t>- Loans (contractual interest rate: _____ – _____ %)</w:t>
            </w:r>
          </w:p>
        </w:tc>
        <w:tc>
          <w:tcPr>
            <w:tcW w:w="539" w:type="dxa"/>
            <w:vAlign w:val="bottom"/>
          </w:tcPr>
          <w:p w14:paraId="7BE80D94"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105DD96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B6A415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58DF2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A749DA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D1C18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7FA1D0E" w14:textId="77777777" w:rsidR="008E5DE4" w:rsidRDefault="008E5DE4">
            <w:pPr>
              <w:widowControl w:val="0"/>
              <w:pBdr>
                <w:top w:val="nil"/>
                <w:left w:val="nil"/>
                <w:bottom w:val="nil"/>
                <w:right w:val="nil"/>
                <w:between w:val="nil"/>
              </w:pBdr>
              <w:jc w:val="right"/>
              <w:rPr>
                <w:color w:val="000000"/>
              </w:rPr>
            </w:pPr>
          </w:p>
        </w:tc>
      </w:tr>
      <w:tr w:rsidR="008E5DE4" w14:paraId="5A0B7EC5" w14:textId="77777777" w:rsidTr="002D1669">
        <w:trPr>
          <w:cantSplit/>
          <w:tblHeader/>
        </w:trPr>
        <w:tc>
          <w:tcPr>
            <w:tcW w:w="3005" w:type="dxa"/>
            <w:vAlign w:val="bottom"/>
          </w:tcPr>
          <w:p w14:paraId="514093B7" w14:textId="77777777" w:rsidR="008E5DE4" w:rsidRDefault="008E5DE4">
            <w:pPr>
              <w:widowControl w:val="0"/>
              <w:pBdr>
                <w:top w:val="nil"/>
                <w:left w:val="nil"/>
                <w:bottom w:val="nil"/>
                <w:right w:val="nil"/>
                <w:between w:val="nil"/>
              </w:pBdr>
              <w:ind w:left="113" w:right="-57" w:hanging="113"/>
              <w:rPr>
                <w:color w:val="000000"/>
              </w:rPr>
            </w:pPr>
          </w:p>
        </w:tc>
        <w:tc>
          <w:tcPr>
            <w:tcW w:w="539" w:type="dxa"/>
            <w:vAlign w:val="bottom"/>
          </w:tcPr>
          <w:p w14:paraId="356FACA5"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183F15A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72D733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5AADC6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6D53A5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D2B47C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06CD3F1" w14:textId="77777777" w:rsidR="008E5DE4" w:rsidRDefault="008E5DE4">
            <w:pPr>
              <w:widowControl w:val="0"/>
              <w:pBdr>
                <w:top w:val="nil"/>
                <w:left w:val="nil"/>
                <w:bottom w:val="nil"/>
                <w:right w:val="nil"/>
                <w:between w:val="nil"/>
              </w:pBdr>
              <w:jc w:val="right"/>
              <w:rPr>
                <w:color w:val="000000"/>
              </w:rPr>
            </w:pPr>
          </w:p>
        </w:tc>
      </w:tr>
      <w:tr w:rsidR="008E5DE4" w14:paraId="40C92BD8" w14:textId="77777777" w:rsidTr="002D1669">
        <w:trPr>
          <w:cantSplit/>
          <w:tblHeader/>
        </w:trPr>
        <w:tc>
          <w:tcPr>
            <w:tcW w:w="3005" w:type="dxa"/>
            <w:vAlign w:val="bottom"/>
          </w:tcPr>
          <w:p w14:paraId="060B2A94" w14:textId="77777777" w:rsidR="008E5DE4" w:rsidRDefault="00780368">
            <w:pPr>
              <w:widowControl w:val="0"/>
              <w:pBdr>
                <w:top w:val="nil"/>
                <w:left w:val="nil"/>
                <w:bottom w:val="nil"/>
                <w:right w:val="nil"/>
                <w:between w:val="nil"/>
              </w:pBdr>
              <w:ind w:left="113" w:right="-57" w:hanging="113"/>
              <w:rPr>
                <w:color w:val="000000"/>
              </w:rPr>
            </w:pPr>
            <w:r>
              <w:rPr>
                <w:color w:val="000000"/>
              </w:rPr>
              <w:t>Lease liabilities (effective interest rate: _____ – _____ %)</w:t>
            </w:r>
          </w:p>
        </w:tc>
        <w:tc>
          <w:tcPr>
            <w:tcW w:w="539" w:type="dxa"/>
            <w:vAlign w:val="bottom"/>
          </w:tcPr>
          <w:p w14:paraId="756D2F87"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78C53DF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1E7D4C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5DA7CE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9F5B27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1CD048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132B150" w14:textId="77777777" w:rsidR="008E5DE4" w:rsidRDefault="008E5DE4">
            <w:pPr>
              <w:widowControl w:val="0"/>
              <w:pBdr>
                <w:top w:val="nil"/>
                <w:left w:val="nil"/>
                <w:bottom w:val="nil"/>
                <w:right w:val="nil"/>
                <w:between w:val="nil"/>
              </w:pBdr>
              <w:jc w:val="right"/>
              <w:rPr>
                <w:color w:val="000000"/>
              </w:rPr>
            </w:pPr>
          </w:p>
        </w:tc>
      </w:tr>
      <w:tr w:rsidR="008E5DE4" w14:paraId="02D41E7D" w14:textId="77777777" w:rsidTr="002D1669">
        <w:trPr>
          <w:cantSplit/>
          <w:tblHeader/>
        </w:trPr>
        <w:tc>
          <w:tcPr>
            <w:tcW w:w="3005" w:type="dxa"/>
            <w:vAlign w:val="bottom"/>
          </w:tcPr>
          <w:p w14:paraId="00A3D8F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39" w:type="dxa"/>
            <w:vAlign w:val="bottom"/>
          </w:tcPr>
          <w:p w14:paraId="28C70087"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756C067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C42181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EA39D8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5DDFB3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FFC0E6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3C25F6F" w14:textId="77777777" w:rsidR="008E5DE4" w:rsidRDefault="008E5DE4">
            <w:pPr>
              <w:widowControl w:val="0"/>
              <w:pBdr>
                <w:top w:val="nil"/>
                <w:left w:val="nil"/>
                <w:bottom w:val="nil"/>
                <w:right w:val="nil"/>
                <w:between w:val="nil"/>
              </w:pBdr>
              <w:jc w:val="right"/>
              <w:rPr>
                <w:color w:val="000000"/>
              </w:rPr>
            </w:pPr>
          </w:p>
        </w:tc>
      </w:tr>
      <w:tr w:rsidR="008E5DE4" w14:paraId="5E99CFDC" w14:textId="77777777" w:rsidTr="002D1669">
        <w:trPr>
          <w:cantSplit/>
          <w:tblHeader/>
        </w:trPr>
        <w:tc>
          <w:tcPr>
            <w:tcW w:w="3005" w:type="dxa"/>
            <w:vAlign w:val="bottom"/>
          </w:tcPr>
          <w:p w14:paraId="1EA249F3" w14:textId="77777777" w:rsidR="008E5DE4" w:rsidRDefault="00780368">
            <w:pPr>
              <w:widowControl w:val="0"/>
              <w:pBdr>
                <w:top w:val="nil"/>
                <w:left w:val="nil"/>
                <w:bottom w:val="nil"/>
                <w:right w:val="nil"/>
                <w:between w:val="nil"/>
              </w:pBdr>
              <w:ind w:left="113" w:right="-57" w:hanging="113"/>
              <w:rPr>
                <w:color w:val="000000"/>
              </w:rPr>
            </w:pPr>
            <w:r>
              <w:rPr>
                <w:color w:val="000000"/>
              </w:rPr>
              <w:t>Trade and other payables</w:t>
            </w:r>
          </w:p>
        </w:tc>
        <w:tc>
          <w:tcPr>
            <w:tcW w:w="539" w:type="dxa"/>
            <w:vAlign w:val="bottom"/>
          </w:tcPr>
          <w:p w14:paraId="52FBAD05"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1C297D1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EAFF6B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F99199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F77451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DA1722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5A4CEAE" w14:textId="77777777" w:rsidR="008E5DE4" w:rsidRDefault="008E5DE4">
            <w:pPr>
              <w:widowControl w:val="0"/>
              <w:pBdr>
                <w:top w:val="nil"/>
                <w:left w:val="nil"/>
                <w:bottom w:val="nil"/>
                <w:right w:val="nil"/>
                <w:between w:val="nil"/>
              </w:pBdr>
              <w:jc w:val="right"/>
              <w:rPr>
                <w:color w:val="000000"/>
              </w:rPr>
            </w:pPr>
          </w:p>
        </w:tc>
      </w:tr>
      <w:tr w:rsidR="008E5DE4" w14:paraId="2F22DF52" w14:textId="77777777" w:rsidTr="002D1669">
        <w:trPr>
          <w:cantSplit/>
          <w:tblHeader/>
        </w:trPr>
        <w:tc>
          <w:tcPr>
            <w:tcW w:w="3005" w:type="dxa"/>
            <w:vAlign w:val="bottom"/>
          </w:tcPr>
          <w:p w14:paraId="4DC82547" w14:textId="77777777" w:rsidR="008E5DE4" w:rsidRDefault="008E5DE4">
            <w:pPr>
              <w:widowControl w:val="0"/>
              <w:pBdr>
                <w:top w:val="nil"/>
                <w:left w:val="nil"/>
                <w:bottom w:val="nil"/>
                <w:right w:val="nil"/>
                <w:between w:val="nil"/>
              </w:pBdr>
              <w:ind w:left="113" w:right="-57" w:hanging="113"/>
              <w:rPr>
                <w:color w:val="000000"/>
              </w:rPr>
            </w:pPr>
          </w:p>
        </w:tc>
        <w:tc>
          <w:tcPr>
            <w:tcW w:w="539" w:type="dxa"/>
            <w:vAlign w:val="bottom"/>
          </w:tcPr>
          <w:p w14:paraId="124B0663"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6340C58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6E6A36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917C50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FEEFEE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EB6B25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1E3E707" w14:textId="77777777" w:rsidR="008E5DE4" w:rsidRDefault="008E5DE4">
            <w:pPr>
              <w:widowControl w:val="0"/>
              <w:pBdr>
                <w:top w:val="nil"/>
                <w:left w:val="nil"/>
                <w:bottom w:val="nil"/>
                <w:right w:val="nil"/>
                <w:between w:val="nil"/>
              </w:pBdr>
              <w:jc w:val="right"/>
              <w:rPr>
                <w:color w:val="000000"/>
              </w:rPr>
            </w:pPr>
          </w:p>
        </w:tc>
      </w:tr>
      <w:tr w:rsidR="008E5DE4" w14:paraId="46D951F4" w14:textId="77777777" w:rsidTr="002D1669">
        <w:trPr>
          <w:cantSplit/>
          <w:tblHeader/>
        </w:trPr>
        <w:tc>
          <w:tcPr>
            <w:tcW w:w="3005" w:type="dxa"/>
            <w:vAlign w:val="bottom"/>
          </w:tcPr>
          <w:p w14:paraId="67DE1637" w14:textId="77777777" w:rsidR="008E5DE4" w:rsidRDefault="00780368">
            <w:pPr>
              <w:widowControl w:val="0"/>
              <w:pBdr>
                <w:top w:val="nil"/>
                <w:left w:val="nil"/>
                <w:bottom w:val="nil"/>
                <w:right w:val="nil"/>
                <w:between w:val="nil"/>
              </w:pBdr>
              <w:ind w:left="113" w:right="-57" w:hanging="113"/>
              <w:rPr>
                <w:color w:val="000000"/>
              </w:rPr>
            </w:pPr>
            <w:r>
              <w:rPr>
                <w:color w:val="000000"/>
              </w:rPr>
              <w:t>Contract liabilities</w:t>
            </w:r>
          </w:p>
        </w:tc>
        <w:tc>
          <w:tcPr>
            <w:tcW w:w="539" w:type="dxa"/>
            <w:vAlign w:val="bottom"/>
          </w:tcPr>
          <w:p w14:paraId="4E073C7B"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06A8283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C1C285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F44615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D56B78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2CC3C2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02C1974" w14:textId="77777777" w:rsidR="008E5DE4" w:rsidRDefault="008E5DE4">
            <w:pPr>
              <w:widowControl w:val="0"/>
              <w:pBdr>
                <w:top w:val="nil"/>
                <w:left w:val="nil"/>
                <w:bottom w:val="nil"/>
                <w:right w:val="nil"/>
                <w:between w:val="nil"/>
              </w:pBdr>
              <w:jc w:val="right"/>
              <w:rPr>
                <w:color w:val="000000"/>
              </w:rPr>
            </w:pPr>
          </w:p>
        </w:tc>
      </w:tr>
      <w:tr w:rsidR="008E5DE4" w14:paraId="1711FD12" w14:textId="77777777" w:rsidTr="002D1669">
        <w:trPr>
          <w:cantSplit/>
          <w:tblHeader/>
        </w:trPr>
        <w:tc>
          <w:tcPr>
            <w:tcW w:w="3005" w:type="dxa"/>
            <w:vAlign w:val="bottom"/>
          </w:tcPr>
          <w:p w14:paraId="1A29DD2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39" w:type="dxa"/>
            <w:vAlign w:val="bottom"/>
          </w:tcPr>
          <w:p w14:paraId="5316D187"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2D70FB2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25F586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ECFA72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F4CA2C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A0D0F2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20AE578" w14:textId="77777777" w:rsidR="008E5DE4" w:rsidRDefault="008E5DE4">
            <w:pPr>
              <w:widowControl w:val="0"/>
              <w:pBdr>
                <w:top w:val="nil"/>
                <w:left w:val="nil"/>
                <w:bottom w:val="nil"/>
                <w:right w:val="nil"/>
                <w:between w:val="nil"/>
              </w:pBdr>
              <w:jc w:val="right"/>
              <w:rPr>
                <w:color w:val="000000"/>
              </w:rPr>
            </w:pPr>
          </w:p>
        </w:tc>
      </w:tr>
      <w:tr w:rsidR="008E5DE4" w14:paraId="746F8972" w14:textId="77777777" w:rsidTr="002D1669">
        <w:trPr>
          <w:cantSplit/>
          <w:tblHeader/>
        </w:trPr>
        <w:tc>
          <w:tcPr>
            <w:tcW w:w="3005" w:type="dxa"/>
            <w:vAlign w:val="bottom"/>
          </w:tcPr>
          <w:p w14:paraId="2826522A" w14:textId="77777777" w:rsidR="008E5DE4" w:rsidRDefault="00780368">
            <w:pPr>
              <w:widowControl w:val="0"/>
              <w:pBdr>
                <w:top w:val="nil"/>
                <w:left w:val="nil"/>
                <w:bottom w:val="nil"/>
                <w:right w:val="nil"/>
                <w:between w:val="nil"/>
              </w:pBdr>
              <w:ind w:left="113" w:right="-57" w:hanging="113"/>
              <w:rPr>
                <w:color w:val="000000"/>
              </w:rPr>
            </w:pPr>
            <w:r>
              <w:rPr>
                <w:color w:val="000000"/>
              </w:rPr>
              <w:t>Provisions for liabilities and charges</w:t>
            </w:r>
          </w:p>
        </w:tc>
        <w:tc>
          <w:tcPr>
            <w:tcW w:w="539" w:type="dxa"/>
            <w:vAlign w:val="bottom"/>
          </w:tcPr>
          <w:p w14:paraId="612AD8B1" w14:textId="77777777" w:rsidR="008E5DE4" w:rsidRDefault="008E5DE4">
            <w:pPr>
              <w:widowControl w:val="0"/>
              <w:pBdr>
                <w:top w:val="nil"/>
                <w:left w:val="nil"/>
                <w:bottom w:val="nil"/>
                <w:right w:val="nil"/>
                <w:between w:val="nil"/>
              </w:pBdr>
              <w:ind w:left="-57" w:right="-57"/>
              <w:jc w:val="center"/>
              <w:rPr>
                <w:color w:val="000000"/>
              </w:rPr>
            </w:pPr>
          </w:p>
        </w:tc>
        <w:tc>
          <w:tcPr>
            <w:tcW w:w="992" w:type="dxa"/>
            <w:vAlign w:val="bottom"/>
          </w:tcPr>
          <w:p w14:paraId="43C7EA6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7790F3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A48C27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45905C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63F862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E094380" w14:textId="77777777" w:rsidR="008E5DE4" w:rsidRDefault="008E5DE4">
            <w:pPr>
              <w:widowControl w:val="0"/>
              <w:pBdr>
                <w:top w:val="nil"/>
                <w:left w:val="nil"/>
                <w:bottom w:val="nil"/>
                <w:right w:val="nil"/>
                <w:between w:val="nil"/>
              </w:pBdr>
              <w:jc w:val="right"/>
              <w:rPr>
                <w:color w:val="000000"/>
              </w:rPr>
            </w:pPr>
          </w:p>
        </w:tc>
      </w:tr>
      <w:tr w:rsidR="008E5DE4" w14:paraId="3920C037" w14:textId="77777777" w:rsidTr="002D1669">
        <w:trPr>
          <w:cantSplit/>
          <w:tblHeader/>
        </w:trPr>
        <w:tc>
          <w:tcPr>
            <w:tcW w:w="3005" w:type="dxa"/>
            <w:tcBorders>
              <w:bottom w:val="single" w:sz="12" w:space="0" w:color="000000"/>
            </w:tcBorders>
            <w:vAlign w:val="bottom"/>
          </w:tcPr>
          <w:p w14:paraId="75F8D5AB"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p>
        </w:tc>
        <w:tc>
          <w:tcPr>
            <w:tcW w:w="539" w:type="dxa"/>
            <w:tcBorders>
              <w:bottom w:val="single" w:sz="12" w:space="0" w:color="000000"/>
            </w:tcBorders>
            <w:vAlign w:val="bottom"/>
          </w:tcPr>
          <w:p w14:paraId="6629F9AE" w14:textId="77777777" w:rsidR="008E5DE4" w:rsidRDefault="008E5DE4">
            <w:pPr>
              <w:widowControl w:val="0"/>
              <w:pBdr>
                <w:top w:val="nil"/>
                <w:left w:val="nil"/>
                <w:bottom w:val="nil"/>
                <w:right w:val="nil"/>
                <w:between w:val="nil"/>
              </w:pBdr>
              <w:ind w:left="-57" w:right="-57"/>
              <w:jc w:val="center"/>
              <w:rPr>
                <w:color w:val="000000"/>
              </w:rPr>
            </w:pPr>
          </w:p>
        </w:tc>
        <w:tc>
          <w:tcPr>
            <w:tcW w:w="992" w:type="dxa"/>
            <w:tcBorders>
              <w:bottom w:val="single" w:sz="12" w:space="0" w:color="000000"/>
            </w:tcBorders>
            <w:vAlign w:val="bottom"/>
          </w:tcPr>
          <w:p w14:paraId="735C6C16"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3BAB8D11"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3F4F8F6E"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6A3E4906"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728451C1"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59414C80" w14:textId="77777777" w:rsidR="008E5DE4" w:rsidRDefault="008E5DE4">
            <w:pPr>
              <w:widowControl w:val="0"/>
              <w:pBdr>
                <w:top w:val="nil"/>
                <w:left w:val="nil"/>
                <w:bottom w:val="nil"/>
                <w:right w:val="nil"/>
                <w:between w:val="nil"/>
              </w:pBdr>
              <w:jc w:val="right"/>
              <w:rPr>
                <w:color w:val="000000"/>
              </w:rPr>
            </w:pPr>
          </w:p>
        </w:tc>
      </w:tr>
    </w:tbl>
    <w:p w14:paraId="5804AF82"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8</w:t>
      </w:r>
      <w:r>
        <w:rPr>
          <w:b/>
          <w:color w:val="000000"/>
          <w:sz w:val="20"/>
          <w:szCs w:val="20"/>
        </w:rPr>
        <w:tab/>
        <w:t>Balances and Transactions with Related Parties (Continued)</w:t>
      </w:r>
    </w:p>
    <w:p w14:paraId="66326FFD" w14:textId="02F6E40A" w:rsidR="008E5DE4" w:rsidRDefault="00780368">
      <w:pPr>
        <w:widowControl w:val="0"/>
        <w:spacing w:before="200" w:after="200"/>
        <w:jc w:val="both"/>
        <w:rPr>
          <w:sz w:val="20"/>
          <w:szCs w:val="20"/>
        </w:rPr>
      </w:pPr>
      <w:r>
        <w:rPr>
          <w:sz w:val="20"/>
          <w:szCs w:val="20"/>
        </w:rPr>
        <w:t xml:space="preserve">The income and expense items with related parties for the year ended 31 December </w:t>
      </w:r>
      <w:r w:rsidR="008614F8">
        <w:rPr>
          <w:sz w:val="20"/>
          <w:szCs w:val="20"/>
        </w:rPr>
        <w:t>2025</w:t>
      </w:r>
      <w:r>
        <w:rPr>
          <w:sz w:val="20"/>
          <w:szCs w:val="20"/>
        </w:rPr>
        <w:t xml:space="preserve"> were as follows:</w:t>
      </w:r>
    </w:p>
    <w:tbl>
      <w:tblPr>
        <w:tblStyle w:val="af9"/>
        <w:tblW w:w="9356" w:type="dxa"/>
        <w:tblLayout w:type="fixed"/>
        <w:tblLook w:val="0000" w:firstRow="0" w:lastRow="0" w:firstColumn="0" w:lastColumn="0" w:noHBand="0" w:noVBand="0"/>
      </w:tblPr>
      <w:tblGrid>
        <w:gridCol w:w="3005"/>
        <w:gridCol w:w="567"/>
        <w:gridCol w:w="964"/>
        <w:gridCol w:w="964"/>
        <w:gridCol w:w="964"/>
        <w:gridCol w:w="964"/>
        <w:gridCol w:w="964"/>
        <w:gridCol w:w="964"/>
      </w:tblGrid>
      <w:tr w:rsidR="008E5DE4" w14:paraId="32F6163F" w14:textId="77777777">
        <w:trPr>
          <w:cantSplit/>
          <w:tblHeader/>
        </w:trPr>
        <w:tc>
          <w:tcPr>
            <w:tcW w:w="3005" w:type="dxa"/>
            <w:tcBorders>
              <w:bottom w:val="single" w:sz="4" w:space="0" w:color="000000"/>
            </w:tcBorders>
            <w:vAlign w:val="bottom"/>
          </w:tcPr>
          <w:p w14:paraId="37FF36BF"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567" w:type="dxa"/>
            <w:tcBorders>
              <w:bottom w:val="single" w:sz="4" w:space="0" w:color="000000"/>
            </w:tcBorders>
            <w:vAlign w:val="bottom"/>
          </w:tcPr>
          <w:p w14:paraId="54E3FE33"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964" w:type="dxa"/>
            <w:tcBorders>
              <w:bottom w:val="single" w:sz="4" w:space="0" w:color="000000"/>
            </w:tcBorders>
          </w:tcPr>
          <w:p w14:paraId="499BC8F0" w14:textId="77777777" w:rsidR="008E5DE4" w:rsidRDefault="00780368">
            <w:pPr>
              <w:widowControl w:val="0"/>
              <w:pBdr>
                <w:top w:val="nil"/>
                <w:left w:val="nil"/>
                <w:bottom w:val="nil"/>
                <w:right w:val="nil"/>
                <w:between w:val="nil"/>
              </w:pBdr>
              <w:ind w:left="-113"/>
              <w:jc w:val="right"/>
              <w:rPr>
                <w:b/>
                <w:color w:val="000000"/>
              </w:rPr>
            </w:pPr>
            <w:r>
              <w:rPr>
                <w:b/>
                <w:color w:val="000000"/>
              </w:rPr>
              <w:t>Imme-</w:t>
            </w:r>
            <w:proofErr w:type="spellStart"/>
            <w:r>
              <w:rPr>
                <w:b/>
                <w:color w:val="000000"/>
              </w:rPr>
              <w:t>diate</w:t>
            </w:r>
            <w:proofErr w:type="spellEnd"/>
            <w:r>
              <w:rPr>
                <w:b/>
                <w:color w:val="000000"/>
              </w:rPr>
              <w:t xml:space="preserve"> parent company</w:t>
            </w:r>
          </w:p>
        </w:tc>
        <w:tc>
          <w:tcPr>
            <w:tcW w:w="964" w:type="dxa"/>
            <w:tcBorders>
              <w:bottom w:val="single" w:sz="4" w:space="0" w:color="000000"/>
            </w:tcBorders>
          </w:tcPr>
          <w:p w14:paraId="787873E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Other </w:t>
            </w:r>
            <w:proofErr w:type="spellStart"/>
            <w:r>
              <w:rPr>
                <w:b/>
                <w:color w:val="000000"/>
              </w:rPr>
              <w:t>signifi</w:t>
            </w:r>
            <w:proofErr w:type="spellEnd"/>
            <w:r>
              <w:rPr>
                <w:b/>
                <w:color w:val="000000"/>
              </w:rPr>
              <w:t>-</w:t>
            </w:r>
            <w:proofErr w:type="gramStart"/>
            <w:r>
              <w:rPr>
                <w:b/>
                <w:color w:val="000000"/>
              </w:rPr>
              <w:t>cant</w:t>
            </w:r>
            <w:proofErr w:type="gramEnd"/>
            <w:r>
              <w:rPr>
                <w:b/>
                <w:color w:val="000000"/>
              </w:rPr>
              <w:t xml:space="preserve"> </w:t>
            </w:r>
            <w:proofErr w:type="gramStart"/>
            <w:r>
              <w:rPr>
                <w:b/>
                <w:color w:val="000000"/>
              </w:rPr>
              <w:t>share-holders</w:t>
            </w:r>
            <w:proofErr w:type="gramEnd"/>
          </w:p>
        </w:tc>
        <w:tc>
          <w:tcPr>
            <w:tcW w:w="964" w:type="dxa"/>
            <w:tcBorders>
              <w:bottom w:val="single" w:sz="4" w:space="0" w:color="000000"/>
            </w:tcBorders>
          </w:tcPr>
          <w:p w14:paraId="40045C02" w14:textId="77777777" w:rsidR="008E5DE4" w:rsidRDefault="00780368">
            <w:pPr>
              <w:widowControl w:val="0"/>
              <w:pBdr>
                <w:top w:val="nil"/>
                <w:left w:val="nil"/>
                <w:bottom w:val="nil"/>
                <w:right w:val="nil"/>
                <w:between w:val="nil"/>
              </w:pBdr>
              <w:ind w:left="-113"/>
              <w:jc w:val="right"/>
              <w:rPr>
                <w:b/>
                <w:color w:val="000000"/>
              </w:rPr>
            </w:pPr>
            <w:r>
              <w:rPr>
                <w:b/>
                <w:color w:val="000000"/>
              </w:rPr>
              <w:t>Entities under common control</w:t>
            </w:r>
          </w:p>
        </w:tc>
        <w:tc>
          <w:tcPr>
            <w:tcW w:w="964" w:type="dxa"/>
            <w:tcBorders>
              <w:bottom w:val="single" w:sz="4" w:space="0" w:color="000000"/>
            </w:tcBorders>
          </w:tcPr>
          <w:p w14:paraId="024A9DF5" w14:textId="77777777" w:rsidR="008E5DE4" w:rsidRDefault="00780368">
            <w:pPr>
              <w:widowControl w:val="0"/>
              <w:pBdr>
                <w:top w:val="nil"/>
                <w:left w:val="nil"/>
                <w:bottom w:val="nil"/>
                <w:right w:val="nil"/>
                <w:between w:val="nil"/>
              </w:pBdr>
              <w:ind w:left="-113"/>
              <w:jc w:val="right"/>
              <w:rPr>
                <w:b/>
                <w:color w:val="0000FF"/>
              </w:rPr>
            </w:pPr>
            <w:r>
              <w:rPr>
                <w:b/>
                <w:color w:val="0000FF"/>
              </w:rPr>
              <w:t>[</w:t>
            </w:r>
            <w:proofErr w:type="spellStart"/>
            <w:r>
              <w:rPr>
                <w:b/>
                <w:color w:val="0000FF"/>
              </w:rPr>
              <w:t>Associa-tes</w:t>
            </w:r>
            <w:proofErr w:type="spellEnd"/>
            <w:r>
              <w:rPr>
                <w:b/>
                <w:color w:val="0000FF"/>
              </w:rPr>
              <w:t>/ Joint ventures/ *Subsidiaries]</w:t>
            </w:r>
          </w:p>
        </w:tc>
        <w:tc>
          <w:tcPr>
            <w:tcW w:w="964" w:type="dxa"/>
            <w:tcBorders>
              <w:bottom w:val="single" w:sz="4" w:space="0" w:color="000000"/>
            </w:tcBorders>
          </w:tcPr>
          <w:p w14:paraId="039A82B2" w14:textId="1FD4EEF3" w:rsidR="008E5DE4" w:rsidRDefault="00780368">
            <w:pPr>
              <w:widowControl w:val="0"/>
              <w:pBdr>
                <w:top w:val="nil"/>
                <w:left w:val="nil"/>
                <w:bottom w:val="nil"/>
                <w:right w:val="nil"/>
                <w:between w:val="nil"/>
              </w:pBdr>
              <w:ind w:left="-113"/>
              <w:jc w:val="right"/>
              <w:rPr>
                <w:b/>
                <w:color w:val="000000"/>
              </w:rPr>
            </w:pPr>
            <w:r>
              <w:rPr>
                <w:b/>
                <w:color w:val="000000"/>
              </w:rPr>
              <w:t>Key mana-</w:t>
            </w:r>
            <w:proofErr w:type="spellStart"/>
            <w:r>
              <w:rPr>
                <w:b/>
                <w:color w:val="000000"/>
              </w:rPr>
              <w:t>gement</w:t>
            </w:r>
            <w:proofErr w:type="spellEnd"/>
            <w:r>
              <w:rPr>
                <w:b/>
                <w:color w:val="000000"/>
              </w:rPr>
              <w:t xml:space="preserve"> per</w:t>
            </w:r>
            <w:r w:rsidR="002D1669">
              <w:rPr>
                <w:b/>
                <w:color w:val="000000"/>
              </w:rPr>
              <w:t>-</w:t>
            </w:r>
            <w:proofErr w:type="spellStart"/>
            <w:r>
              <w:rPr>
                <w:b/>
                <w:color w:val="000000"/>
              </w:rPr>
              <w:t>sonnel</w:t>
            </w:r>
            <w:proofErr w:type="spellEnd"/>
          </w:p>
        </w:tc>
        <w:tc>
          <w:tcPr>
            <w:tcW w:w="964" w:type="dxa"/>
            <w:tcBorders>
              <w:bottom w:val="single" w:sz="4" w:space="0" w:color="000000"/>
            </w:tcBorders>
          </w:tcPr>
          <w:p w14:paraId="59948D1A" w14:textId="77777777" w:rsidR="008E5DE4" w:rsidRDefault="00780368">
            <w:pPr>
              <w:widowControl w:val="0"/>
              <w:pBdr>
                <w:top w:val="nil"/>
                <w:left w:val="nil"/>
                <w:bottom w:val="nil"/>
                <w:right w:val="nil"/>
                <w:between w:val="nil"/>
              </w:pBdr>
              <w:ind w:left="-113"/>
              <w:jc w:val="right"/>
              <w:rPr>
                <w:b/>
                <w:color w:val="000000"/>
              </w:rPr>
            </w:pPr>
            <w:r>
              <w:rPr>
                <w:b/>
                <w:color w:val="000000"/>
              </w:rPr>
              <w:t>Other related parties</w:t>
            </w:r>
          </w:p>
        </w:tc>
      </w:tr>
      <w:tr w:rsidR="008E5DE4" w14:paraId="685816C0" w14:textId="77777777">
        <w:trPr>
          <w:cantSplit/>
          <w:tblHeader/>
        </w:trPr>
        <w:tc>
          <w:tcPr>
            <w:tcW w:w="3005" w:type="dxa"/>
            <w:tcBorders>
              <w:top w:val="single" w:sz="4" w:space="0" w:color="000000"/>
            </w:tcBorders>
            <w:vAlign w:val="bottom"/>
          </w:tcPr>
          <w:p w14:paraId="25C04A73" w14:textId="77777777" w:rsidR="008E5DE4" w:rsidRDefault="00780368">
            <w:pPr>
              <w:widowControl w:val="0"/>
              <w:ind w:left="113" w:right="-57" w:hanging="113"/>
            </w:pPr>
            <w:r>
              <w:t xml:space="preserve"> </w:t>
            </w:r>
          </w:p>
        </w:tc>
        <w:tc>
          <w:tcPr>
            <w:tcW w:w="567" w:type="dxa"/>
            <w:tcBorders>
              <w:top w:val="single" w:sz="4" w:space="0" w:color="000000"/>
            </w:tcBorders>
            <w:vAlign w:val="bottom"/>
          </w:tcPr>
          <w:p w14:paraId="5CF4F644" w14:textId="77777777" w:rsidR="008E5DE4" w:rsidRDefault="008E5DE4">
            <w:pPr>
              <w:widowControl w:val="0"/>
              <w:pBdr>
                <w:top w:val="nil"/>
                <w:left w:val="nil"/>
                <w:bottom w:val="nil"/>
                <w:right w:val="nil"/>
                <w:between w:val="nil"/>
              </w:pBdr>
              <w:ind w:left="-57" w:right="-57"/>
              <w:jc w:val="center"/>
              <w:rPr>
                <w:color w:val="000000"/>
              </w:rPr>
            </w:pPr>
          </w:p>
        </w:tc>
        <w:tc>
          <w:tcPr>
            <w:tcW w:w="964" w:type="dxa"/>
            <w:tcBorders>
              <w:top w:val="single" w:sz="4" w:space="0" w:color="000000"/>
            </w:tcBorders>
            <w:vAlign w:val="bottom"/>
          </w:tcPr>
          <w:p w14:paraId="3C987C66"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40E92BE6"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4C45DE09"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2F63E40D"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263085F7"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2E9013E5" w14:textId="77777777" w:rsidR="008E5DE4" w:rsidRDefault="008E5DE4">
            <w:pPr>
              <w:widowControl w:val="0"/>
              <w:pBdr>
                <w:top w:val="nil"/>
                <w:left w:val="nil"/>
                <w:bottom w:val="nil"/>
                <w:right w:val="nil"/>
                <w:between w:val="nil"/>
              </w:pBdr>
              <w:jc w:val="right"/>
              <w:rPr>
                <w:color w:val="000000"/>
              </w:rPr>
            </w:pPr>
          </w:p>
        </w:tc>
      </w:tr>
      <w:tr w:rsidR="008E5DE4" w14:paraId="53461467" w14:textId="77777777">
        <w:trPr>
          <w:cantSplit/>
          <w:tblHeader/>
        </w:trPr>
        <w:tc>
          <w:tcPr>
            <w:tcW w:w="3005" w:type="dxa"/>
            <w:vAlign w:val="bottom"/>
          </w:tcPr>
          <w:p w14:paraId="166DA66F" w14:textId="77777777" w:rsidR="008E5DE4" w:rsidRDefault="00780368">
            <w:pPr>
              <w:widowControl w:val="0"/>
              <w:ind w:left="113" w:right="-57" w:hanging="113"/>
            </w:pPr>
            <w:r>
              <w:t xml:space="preserve">Sales of goods </w:t>
            </w:r>
          </w:p>
        </w:tc>
        <w:tc>
          <w:tcPr>
            <w:tcW w:w="567" w:type="dxa"/>
            <w:vAlign w:val="bottom"/>
          </w:tcPr>
          <w:p w14:paraId="0796AC45"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A5B928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6113F7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EBCFD8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35694C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B95AE3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84968CC" w14:textId="77777777" w:rsidR="008E5DE4" w:rsidRDefault="008E5DE4">
            <w:pPr>
              <w:widowControl w:val="0"/>
              <w:pBdr>
                <w:top w:val="nil"/>
                <w:left w:val="nil"/>
                <w:bottom w:val="nil"/>
                <w:right w:val="nil"/>
                <w:between w:val="nil"/>
              </w:pBdr>
              <w:jc w:val="right"/>
              <w:rPr>
                <w:color w:val="000000"/>
              </w:rPr>
            </w:pPr>
          </w:p>
        </w:tc>
      </w:tr>
      <w:tr w:rsidR="008E5DE4" w14:paraId="5A77B62E" w14:textId="77777777">
        <w:trPr>
          <w:cantSplit/>
          <w:tblHeader/>
        </w:trPr>
        <w:tc>
          <w:tcPr>
            <w:tcW w:w="3005" w:type="dxa"/>
            <w:vAlign w:val="bottom"/>
          </w:tcPr>
          <w:p w14:paraId="42899965" w14:textId="77777777" w:rsidR="008E5DE4" w:rsidRDefault="00780368">
            <w:pPr>
              <w:widowControl w:val="0"/>
              <w:ind w:left="113" w:right="-57" w:hanging="113"/>
            </w:pPr>
            <w:r>
              <w:t>Revenue from services rendered</w:t>
            </w:r>
          </w:p>
        </w:tc>
        <w:tc>
          <w:tcPr>
            <w:tcW w:w="567" w:type="dxa"/>
            <w:vAlign w:val="bottom"/>
          </w:tcPr>
          <w:p w14:paraId="33CE99B3"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17EB31F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4E94EB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57E795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00289F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C730CB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BB8F5C" w14:textId="77777777" w:rsidR="008E5DE4" w:rsidRDefault="008E5DE4">
            <w:pPr>
              <w:widowControl w:val="0"/>
              <w:pBdr>
                <w:top w:val="nil"/>
                <w:left w:val="nil"/>
                <w:bottom w:val="nil"/>
                <w:right w:val="nil"/>
                <w:between w:val="nil"/>
              </w:pBdr>
              <w:jc w:val="right"/>
              <w:rPr>
                <w:color w:val="000000"/>
              </w:rPr>
            </w:pPr>
          </w:p>
        </w:tc>
      </w:tr>
      <w:tr w:rsidR="008E5DE4" w14:paraId="3F3C5274" w14:textId="77777777">
        <w:trPr>
          <w:cantSplit/>
          <w:tblHeader/>
        </w:trPr>
        <w:tc>
          <w:tcPr>
            <w:tcW w:w="3005" w:type="dxa"/>
            <w:vAlign w:val="bottom"/>
          </w:tcPr>
          <w:p w14:paraId="3D94E2FF" w14:textId="77777777" w:rsidR="008E5DE4" w:rsidRDefault="00780368">
            <w:pPr>
              <w:widowControl w:val="0"/>
              <w:ind w:left="113" w:right="-57" w:hanging="113"/>
            </w:pPr>
            <w:r>
              <w:t>Rental income</w:t>
            </w:r>
          </w:p>
        </w:tc>
        <w:tc>
          <w:tcPr>
            <w:tcW w:w="567" w:type="dxa"/>
            <w:vAlign w:val="bottom"/>
          </w:tcPr>
          <w:p w14:paraId="13D513C7"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7064632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63DA3C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5C172B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959E93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955831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0927FC3" w14:textId="77777777" w:rsidR="008E5DE4" w:rsidRDefault="008E5DE4">
            <w:pPr>
              <w:widowControl w:val="0"/>
              <w:pBdr>
                <w:top w:val="nil"/>
                <w:left w:val="nil"/>
                <w:bottom w:val="nil"/>
                <w:right w:val="nil"/>
                <w:between w:val="nil"/>
              </w:pBdr>
              <w:jc w:val="right"/>
              <w:rPr>
                <w:color w:val="000000"/>
              </w:rPr>
            </w:pPr>
          </w:p>
        </w:tc>
      </w:tr>
      <w:tr w:rsidR="008E5DE4" w14:paraId="7F6D76FD" w14:textId="77777777">
        <w:trPr>
          <w:cantSplit/>
          <w:tblHeader/>
        </w:trPr>
        <w:tc>
          <w:tcPr>
            <w:tcW w:w="3005" w:type="dxa"/>
            <w:vAlign w:val="bottom"/>
          </w:tcPr>
          <w:p w14:paraId="0833F44D" w14:textId="77777777" w:rsidR="008E5DE4" w:rsidRDefault="00780368">
            <w:pPr>
              <w:widowControl w:val="0"/>
              <w:ind w:left="113" w:right="-57" w:hanging="113"/>
            </w:pPr>
            <w:r>
              <w:t>Royalty income</w:t>
            </w:r>
          </w:p>
        </w:tc>
        <w:tc>
          <w:tcPr>
            <w:tcW w:w="567" w:type="dxa"/>
            <w:vAlign w:val="bottom"/>
          </w:tcPr>
          <w:p w14:paraId="4C2FDE60"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6372EFC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B6481A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9CEA28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73E247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609694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219B625" w14:textId="77777777" w:rsidR="008E5DE4" w:rsidRDefault="008E5DE4">
            <w:pPr>
              <w:widowControl w:val="0"/>
              <w:pBdr>
                <w:top w:val="nil"/>
                <w:left w:val="nil"/>
                <w:bottom w:val="nil"/>
                <w:right w:val="nil"/>
                <w:between w:val="nil"/>
              </w:pBdr>
              <w:jc w:val="right"/>
              <w:rPr>
                <w:color w:val="000000"/>
              </w:rPr>
            </w:pPr>
          </w:p>
        </w:tc>
      </w:tr>
      <w:tr w:rsidR="008E5DE4" w14:paraId="3CBF1086" w14:textId="77777777">
        <w:trPr>
          <w:cantSplit/>
          <w:tblHeader/>
        </w:trPr>
        <w:tc>
          <w:tcPr>
            <w:tcW w:w="3005" w:type="dxa"/>
            <w:vAlign w:val="bottom"/>
          </w:tcPr>
          <w:p w14:paraId="257AC80A" w14:textId="77777777" w:rsidR="008E5DE4" w:rsidRDefault="00780368">
            <w:pPr>
              <w:widowControl w:val="0"/>
              <w:ind w:left="113" w:right="-57" w:hanging="113"/>
            </w:pPr>
            <w:r>
              <w:t>Other revenue</w:t>
            </w:r>
          </w:p>
        </w:tc>
        <w:tc>
          <w:tcPr>
            <w:tcW w:w="567" w:type="dxa"/>
            <w:vAlign w:val="bottom"/>
          </w:tcPr>
          <w:p w14:paraId="7258F27C"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595B6A7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3114FE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A32E22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D1AC37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6C9892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C9F0CE9" w14:textId="77777777" w:rsidR="008E5DE4" w:rsidRDefault="008E5DE4">
            <w:pPr>
              <w:widowControl w:val="0"/>
              <w:pBdr>
                <w:top w:val="nil"/>
                <w:left w:val="nil"/>
                <w:bottom w:val="nil"/>
                <w:right w:val="nil"/>
                <w:between w:val="nil"/>
              </w:pBdr>
              <w:jc w:val="right"/>
              <w:rPr>
                <w:color w:val="000000"/>
              </w:rPr>
            </w:pPr>
          </w:p>
        </w:tc>
      </w:tr>
      <w:tr w:rsidR="008E5DE4" w14:paraId="5B2DB01C" w14:textId="77777777">
        <w:trPr>
          <w:cantSplit/>
          <w:tblHeader/>
        </w:trPr>
        <w:tc>
          <w:tcPr>
            <w:tcW w:w="3005" w:type="dxa"/>
            <w:vAlign w:val="bottom"/>
          </w:tcPr>
          <w:p w14:paraId="08E9C245" w14:textId="77777777" w:rsidR="008E5DE4" w:rsidRDefault="00780368">
            <w:pPr>
              <w:widowControl w:val="0"/>
              <w:pBdr>
                <w:top w:val="nil"/>
                <w:left w:val="nil"/>
                <w:bottom w:val="nil"/>
                <w:right w:val="nil"/>
                <w:between w:val="nil"/>
              </w:pBdr>
              <w:ind w:left="113" w:right="-57" w:hanging="113"/>
              <w:rPr>
                <w:color w:val="000000"/>
              </w:rPr>
            </w:pPr>
            <w:r>
              <w:rPr>
                <w:color w:val="000000"/>
              </w:rPr>
              <w:t>Other income</w:t>
            </w:r>
          </w:p>
        </w:tc>
        <w:tc>
          <w:tcPr>
            <w:tcW w:w="567" w:type="dxa"/>
            <w:vAlign w:val="bottom"/>
          </w:tcPr>
          <w:p w14:paraId="0ACE7F87"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2EFF02D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81C865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95A6CB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D0A137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6993AF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F779F78" w14:textId="77777777" w:rsidR="008E5DE4" w:rsidRDefault="008E5DE4">
            <w:pPr>
              <w:widowControl w:val="0"/>
              <w:pBdr>
                <w:top w:val="nil"/>
                <w:left w:val="nil"/>
                <w:bottom w:val="nil"/>
                <w:right w:val="nil"/>
                <w:between w:val="nil"/>
              </w:pBdr>
              <w:jc w:val="right"/>
              <w:rPr>
                <w:color w:val="000000"/>
              </w:rPr>
            </w:pPr>
          </w:p>
        </w:tc>
      </w:tr>
      <w:tr w:rsidR="008E5DE4" w14:paraId="797E9D11" w14:textId="77777777">
        <w:trPr>
          <w:cantSplit/>
          <w:tblHeader/>
        </w:trPr>
        <w:tc>
          <w:tcPr>
            <w:tcW w:w="3005" w:type="dxa"/>
            <w:vAlign w:val="bottom"/>
          </w:tcPr>
          <w:p w14:paraId="02CA0335"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Purchases of raw materials and consumables </w:t>
            </w:r>
          </w:p>
        </w:tc>
        <w:tc>
          <w:tcPr>
            <w:tcW w:w="567" w:type="dxa"/>
            <w:vAlign w:val="bottom"/>
          </w:tcPr>
          <w:p w14:paraId="1AE9C459"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151E57B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818AA2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5437DD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9408B3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C2A51B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E8CC56B" w14:textId="77777777" w:rsidR="008E5DE4" w:rsidRDefault="008E5DE4">
            <w:pPr>
              <w:widowControl w:val="0"/>
              <w:pBdr>
                <w:top w:val="nil"/>
                <w:left w:val="nil"/>
                <w:bottom w:val="nil"/>
                <w:right w:val="nil"/>
                <w:between w:val="nil"/>
              </w:pBdr>
              <w:jc w:val="right"/>
              <w:rPr>
                <w:color w:val="000000"/>
              </w:rPr>
            </w:pPr>
          </w:p>
        </w:tc>
      </w:tr>
      <w:tr w:rsidR="008E5DE4" w14:paraId="18E13510" w14:textId="77777777">
        <w:trPr>
          <w:cantSplit/>
          <w:tblHeader/>
        </w:trPr>
        <w:tc>
          <w:tcPr>
            <w:tcW w:w="3005" w:type="dxa"/>
            <w:vAlign w:val="bottom"/>
          </w:tcPr>
          <w:p w14:paraId="095C977B" w14:textId="77777777" w:rsidR="008E5DE4" w:rsidRDefault="00780368">
            <w:pPr>
              <w:widowControl w:val="0"/>
              <w:pBdr>
                <w:top w:val="nil"/>
                <w:left w:val="nil"/>
                <w:bottom w:val="nil"/>
                <w:right w:val="nil"/>
                <w:between w:val="nil"/>
              </w:pBdr>
              <w:ind w:left="113" w:right="-57" w:hanging="113"/>
              <w:rPr>
                <w:color w:val="000000"/>
              </w:rPr>
            </w:pPr>
            <w:r>
              <w:rPr>
                <w:color w:val="000000"/>
              </w:rPr>
              <w:t>Net impairment losses on financial and contract assets</w:t>
            </w:r>
          </w:p>
        </w:tc>
        <w:tc>
          <w:tcPr>
            <w:tcW w:w="567" w:type="dxa"/>
            <w:vAlign w:val="bottom"/>
          </w:tcPr>
          <w:p w14:paraId="402BF85D"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71E3E7D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F421E1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88288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086846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3931FD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E395792" w14:textId="77777777" w:rsidR="008E5DE4" w:rsidRDefault="008E5DE4">
            <w:pPr>
              <w:widowControl w:val="0"/>
              <w:pBdr>
                <w:top w:val="nil"/>
                <w:left w:val="nil"/>
                <w:bottom w:val="nil"/>
                <w:right w:val="nil"/>
                <w:between w:val="nil"/>
              </w:pBdr>
              <w:jc w:val="right"/>
              <w:rPr>
                <w:color w:val="000000"/>
              </w:rPr>
            </w:pPr>
          </w:p>
        </w:tc>
      </w:tr>
      <w:tr w:rsidR="008E5DE4" w14:paraId="7AF01FBE" w14:textId="77777777">
        <w:trPr>
          <w:cantSplit/>
          <w:tblHeader/>
        </w:trPr>
        <w:tc>
          <w:tcPr>
            <w:tcW w:w="3005" w:type="dxa"/>
            <w:vAlign w:val="bottom"/>
          </w:tcPr>
          <w:p w14:paraId="12BD630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Repairs and maintenance services </w:t>
            </w:r>
          </w:p>
        </w:tc>
        <w:tc>
          <w:tcPr>
            <w:tcW w:w="567" w:type="dxa"/>
            <w:vAlign w:val="bottom"/>
          </w:tcPr>
          <w:p w14:paraId="068DEB6D"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D8D783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74876C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201394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3FF779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A9ACB8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F7F8A7A" w14:textId="77777777" w:rsidR="008E5DE4" w:rsidRDefault="008E5DE4">
            <w:pPr>
              <w:widowControl w:val="0"/>
              <w:pBdr>
                <w:top w:val="nil"/>
                <w:left w:val="nil"/>
                <w:bottom w:val="nil"/>
                <w:right w:val="nil"/>
                <w:between w:val="nil"/>
              </w:pBdr>
              <w:jc w:val="right"/>
              <w:rPr>
                <w:color w:val="000000"/>
              </w:rPr>
            </w:pPr>
          </w:p>
        </w:tc>
      </w:tr>
      <w:tr w:rsidR="008E5DE4" w14:paraId="7824C5A5" w14:textId="77777777">
        <w:trPr>
          <w:cantSplit/>
          <w:tblHeader/>
        </w:trPr>
        <w:tc>
          <w:tcPr>
            <w:tcW w:w="3005" w:type="dxa"/>
            <w:vAlign w:val="bottom"/>
          </w:tcPr>
          <w:p w14:paraId="68FEA96B" w14:textId="77777777" w:rsidR="008E5DE4" w:rsidRDefault="00780368">
            <w:pPr>
              <w:widowControl w:val="0"/>
              <w:pBdr>
                <w:top w:val="nil"/>
                <w:left w:val="nil"/>
                <w:bottom w:val="nil"/>
                <w:right w:val="nil"/>
                <w:between w:val="nil"/>
              </w:pBdr>
              <w:ind w:left="113" w:right="-57" w:hanging="113"/>
              <w:rPr>
                <w:color w:val="000000"/>
              </w:rPr>
            </w:pPr>
            <w:r>
              <w:rPr>
                <w:color w:val="000000"/>
              </w:rPr>
              <w:t>Utilities</w:t>
            </w:r>
          </w:p>
        </w:tc>
        <w:tc>
          <w:tcPr>
            <w:tcW w:w="567" w:type="dxa"/>
            <w:vAlign w:val="bottom"/>
          </w:tcPr>
          <w:p w14:paraId="0CB64F35"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90955D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62F95D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A94266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093352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A6C232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18CF877" w14:textId="77777777" w:rsidR="008E5DE4" w:rsidRDefault="008E5DE4">
            <w:pPr>
              <w:widowControl w:val="0"/>
              <w:pBdr>
                <w:top w:val="nil"/>
                <w:left w:val="nil"/>
                <w:bottom w:val="nil"/>
                <w:right w:val="nil"/>
                <w:between w:val="nil"/>
              </w:pBdr>
              <w:jc w:val="right"/>
              <w:rPr>
                <w:color w:val="000000"/>
              </w:rPr>
            </w:pPr>
          </w:p>
        </w:tc>
      </w:tr>
      <w:tr w:rsidR="008E5DE4" w14:paraId="2030DE96" w14:textId="77777777">
        <w:trPr>
          <w:cantSplit/>
          <w:tblHeader/>
        </w:trPr>
        <w:tc>
          <w:tcPr>
            <w:tcW w:w="3005" w:type="dxa"/>
            <w:vAlign w:val="bottom"/>
          </w:tcPr>
          <w:p w14:paraId="35BF31AB" w14:textId="77777777" w:rsidR="008E5DE4" w:rsidRDefault="00780368">
            <w:pPr>
              <w:widowControl w:val="0"/>
              <w:pBdr>
                <w:top w:val="nil"/>
                <w:left w:val="nil"/>
                <w:bottom w:val="nil"/>
                <w:right w:val="nil"/>
                <w:between w:val="nil"/>
              </w:pBdr>
              <w:ind w:left="113" w:right="-57" w:hanging="113"/>
              <w:rPr>
                <w:color w:val="000000"/>
              </w:rPr>
            </w:pPr>
            <w:r>
              <w:rPr>
                <w:color w:val="000000"/>
              </w:rPr>
              <w:t>Information, consulting and other professional services</w:t>
            </w:r>
          </w:p>
        </w:tc>
        <w:tc>
          <w:tcPr>
            <w:tcW w:w="567" w:type="dxa"/>
            <w:vAlign w:val="bottom"/>
          </w:tcPr>
          <w:p w14:paraId="02E1482A"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179A1AF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E09804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D8AE8A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50C25B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E1079A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9190711" w14:textId="77777777" w:rsidR="008E5DE4" w:rsidRDefault="008E5DE4">
            <w:pPr>
              <w:widowControl w:val="0"/>
              <w:pBdr>
                <w:top w:val="nil"/>
                <w:left w:val="nil"/>
                <w:bottom w:val="nil"/>
                <w:right w:val="nil"/>
                <w:between w:val="nil"/>
              </w:pBdr>
              <w:jc w:val="right"/>
              <w:rPr>
                <w:color w:val="000000"/>
              </w:rPr>
            </w:pPr>
          </w:p>
        </w:tc>
      </w:tr>
      <w:tr w:rsidR="008E5DE4" w14:paraId="0213E6AF" w14:textId="77777777">
        <w:trPr>
          <w:cantSplit/>
          <w:tblHeader/>
        </w:trPr>
        <w:tc>
          <w:tcPr>
            <w:tcW w:w="3005" w:type="dxa"/>
            <w:vAlign w:val="bottom"/>
          </w:tcPr>
          <w:p w14:paraId="0DD7D7F1" w14:textId="77777777" w:rsidR="008E5DE4" w:rsidRDefault="00780368">
            <w:pPr>
              <w:widowControl w:val="0"/>
              <w:pBdr>
                <w:top w:val="nil"/>
                <w:left w:val="nil"/>
                <w:bottom w:val="nil"/>
                <w:right w:val="nil"/>
                <w:between w:val="nil"/>
              </w:pBdr>
              <w:ind w:left="113" w:right="-57" w:hanging="113"/>
              <w:rPr>
                <w:color w:val="000000"/>
              </w:rPr>
            </w:pPr>
            <w:r>
              <w:rPr>
                <w:color w:val="000000"/>
              </w:rPr>
              <w:t>Advertising services</w:t>
            </w:r>
          </w:p>
        </w:tc>
        <w:tc>
          <w:tcPr>
            <w:tcW w:w="567" w:type="dxa"/>
            <w:vAlign w:val="bottom"/>
          </w:tcPr>
          <w:p w14:paraId="2C83FBEA"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5E63FEC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D32BA3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E1DBAB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5912BA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D4403A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54CE5AC" w14:textId="77777777" w:rsidR="008E5DE4" w:rsidRDefault="008E5DE4">
            <w:pPr>
              <w:widowControl w:val="0"/>
              <w:pBdr>
                <w:top w:val="nil"/>
                <w:left w:val="nil"/>
                <w:bottom w:val="nil"/>
                <w:right w:val="nil"/>
                <w:between w:val="nil"/>
              </w:pBdr>
              <w:jc w:val="right"/>
              <w:rPr>
                <w:color w:val="000000"/>
              </w:rPr>
            </w:pPr>
          </w:p>
        </w:tc>
      </w:tr>
      <w:tr w:rsidR="008E5DE4" w14:paraId="7A1BBC7B" w14:textId="77777777">
        <w:trPr>
          <w:cantSplit/>
          <w:tblHeader/>
        </w:trPr>
        <w:tc>
          <w:tcPr>
            <w:tcW w:w="3005" w:type="dxa"/>
            <w:vAlign w:val="bottom"/>
          </w:tcPr>
          <w:p w14:paraId="508569F7"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Transportation costs </w:t>
            </w:r>
          </w:p>
        </w:tc>
        <w:tc>
          <w:tcPr>
            <w:tcW w:w="567" w:type="dxa"/>
            <w:vAlign w:val="bottom"/>
          </w:tcPr>
          <w:p w14:paraId="293F10E3"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73778B0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C1CD4E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9212BB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895E37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945297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D54D27C" w14:textId="77777777" w:rsidR="008E5DE4" w:rsidRDefault="008E5DE4">
            <w:pPr>
              <w:widowControl w:val="0"/>
              <w:pBdr>
                <w:top w:val="nil"/>
                <w:left w:val="nil"/>
                <w:bottom w:val="nil"/>
                <w:right w:val="nil"/>
                <w:between w:val="nil"/>
              </w:pBdr>
              <w:jc w:val="right"/>
              <w:rPr>
                <w:color w:val="000000"/>
              </w:rPr>
            </w:pPr>
          </w:p>
        </w:tc>
      </w:tr>
      <w:tr w:rsidR="008E5DE4" w14:paraId="39C5142F" w14:textId="77777777">
        <w:trPr>
          <w:cantSplit/>
          <w:tblHeader/>
        </w:trPr>
        <w:tc>
          <w:tcPr>
            <w:tcW w:w="3005" w:type="dxa"/>
            <w:vAlign w:val="bottom"/>
          </w:tcPr>
          <w:p w14:paraId="151AA7EF" w14:textId="77777777" w:rsidR="008E5DE4" w:rsidRDefault="00780368">
            <w:pPr>
              <w:widowControl w:val="0"/>
              <w:pBdr>
                <w:top w:val="nil"/>
                <w:left w:val="nil"/>
                <w:bottom w:val="nil"/>
                <w:right w:val="nil"/>
                <w:between w:val="nil"/>
              </w:pBdr>
              <w:ind w:left="113" w:right="-57" w:hanging="113"/>
              <w:rPr>
                <w:color w:val="000000"/>
              </w:rPr>
            </w:pPr>
            <w:r>
              <w:rPr>
                <w:color w:val="000000"/>
              </w:rPr>
              <w:t>Other services</w:t>
            </w:r>
          </w:p>
        </w:tc>
        <w:tc>
          <w:tcPr>
            <w:tcW w:w="567" w:type="dxa"/>
            <w:vAlign w:val="bottom"/>
          </w:tcPr>
          <w:p w14:paraId="3AA92902"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696F98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8EECA8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BDBFF1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1D53C9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C81572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8F929CA" w14:textId="77777777" w:rsidR="008E5DE4" w:rsidRDefault="008E5DE4">
            <w:pPr>
              <w:widowControl w:val="0"/>
              <w:pBdr>
                <w:top w:val="nil"/>
                <w:left w:val="nil"/>
                <w:bottom w:val="nil"/>
                <w:right w:val="nil"/>
                <w:between w:val="nil"/>
              </w:pBdr>
              <w:jc w:val="right"/>
              <w:rPr>
                <w:color w:val="000000"/>
              </w:rPr>
            </w:pPr>
          </w:p>
        </w:tc>
      </w:tr>
      <w:tr w:rsidR="008E5DE4" w14:paraId="3DE75DC5" w14:textId="77777777">
        <w:trPr>
          <w:cantSplit/>
          <w:tblHeader/>
        </w:trPr>
        <w:tc>
          <w:tcPr>
            <w:tcW w:w="3005" w:type="dxa"/>
            <w:vAlign w:val="bottom"/>
          </w:tcPr>
          <w:p w14:paraId="58A414D5" w14:textId="77777777" w:rsidR="008E5DE4" w:rsidRDefault="00780368">
            <w:pPr>
              <w:widowControl w:val="0"/>
              <w:pBdr>
                <w:top w:val="nil"/>
                <w:left w:val="nil"/>
                <w:bottom w:val="nil"/>
                <w:right w:val="nil"/>
                <w:between w:val="nil"/>
              </w:pBdr>
              <w:ind w:left="113" w:right="-57" w:hanging="113"/>
              <w:rPr>
                <w:color w:val="000000"/>
              </w:rPr>
            </w:pPr>
            <w:r>
              <w:rPr>
                <w:color w:val="000000"/>
              </w:rPr>
              <w:t>Interest income</w:t>
            </w:r>
          </w:p>
        </w:tc>
        <w:tc>
          <w:tcPr>
            <w:tcW w:w="567" w:type="dxa"/>
            <w:vAlign w:val="bottom"/>
          </w:tcPr>
          <w:p w14:paraId="29C00D57"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7CC93E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E52E1D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CAE64D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95FA2B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4F1FDB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29EB736" w14:textId="77777777" w:rsidR="008E5DE4" w:rsidRDefault="008E5DE4">
            <w:pPr>
              <w:widowControl w:val="0"/>
              <w:pBdr>
                <w:top w:val="nil"/>
                <w:left w:val="nil"/>
                <w:bottom w:val="nil"/>
                <w:right w:val="nil"/>
                <w:between w:val="nil"/>
              </w:pBdr>
              <w:jc w:val="right"/>
              <w:rPr>
                <w:color w:val="000000"/>
              </w:rPr>
            </w:pPr>
          </w:p>
        </w:tc>
      </w:tr>
      <w:tr w:rsidR="008E5DE4" w14:paraId="686344FB" w14:textId="77777777">
        <w:trPr>
          <w:cantSplit/>
          <w:tblHeader/>
        </w:trPr>
        <w:tc>
          <w:tcPr>
            <w:tcW w:w="3005" w:type="dxa"/>
            <w:vAlign w:val="bottom"/>
          </w:tcPr>
          <w:p w14:paraId="70052F85" w14:textId="77777777" w:rsidR="008E5DE4" w:rsidRDefault="00780368">
            <w:pPr>
              <w:widowControl w:val="0"/>
              <w:pBdr>
                <w:top w:val="nil"/>
                <w:left w:val="nil"/>
                <w:bottom w:val="nil"/>
                <w:right w:val="nil"/>
                <w:between w:val="nil"/>
              </w:pBdr>
              <w:ind w:left="113" w:right="-57" w:hanging="113"/>
              <w:rPr>
                <w:color w:val="000000"/>
              </w:rPr>
            </w:pPr>
            <w:r>
              <w:rPr>
                <w:color w:val="000000"/>
              </w:rPr>
              <w:t>Interest expense</w:t>
            </w:r>
          </w:p>
        </w:tc>
        <w:tc>
          <w:tcPr>
            <w:tcW w:w="567" w:type="dxa"/>
            <w:vAlign w:val="bottom"/>
          </w:tcPr>
          <w:p w14:paraId="11FD032C"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26F5A3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E4E8C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CC2798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BBDE1A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E87805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F526E6F" w14:textId="77777777" w:rsidR="008E5DE4" w:rsidRDefault="008E5DE4">
            <w:pPr>
              <w:widowControl w:val="0"/>
              <w:pBdr>
                <w:top w:val="nil"/>
                <w:left w:val="nil"/>
                <w:bottom w:val="nil"/>
                <w:right w:val="nil"/>
                <w:between w:val="nil"/>
              </w:pBdr>
              <w:jc w:val="right"/>
              <w:rPr>
                <w:color w:val="000000"/>
              </w:rPr>
            </w:pPr>
          </w:p>
        </w:tc>
      </w:tr>
      <w:tr w:rsidR="008E5DE4" w14:paraId="65756328" w14:textId="77777777">
        <w:trPr>
          <w:cantSplit/>
          <w:tblHeader/>
        </w:trPr>
        <w:tc>
          <w:tcPr>
            <w:tcW w:w="3005" w:type="dxa"/>
            <w:vAlign w:val="bottom"/>
          </w:tcPr>
          <w:p w14:paraId="435A34EA"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Gains less losses from securities at FVTPL</w:t>
            </w:r>
          </w:p>
        </w:tc>
        <w:tc>
          <w:tcPr>
            <w:tcW w:w="567" w:type="dxa"/>
            <w:vAlign w:val="bottom"/>
          </w:tcPr>
          <w:p w14:paraId="76ACC5C7"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5D2C5C2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9D81D9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2F2C52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6831B1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EB3806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7529044" w14:textId="77777777" w:rsidR="008E5DE4" w:rsidRDefault="008E5DE4">
            <w:pPr>
              <w:widowControl w:val="0"/>
              <w:pBdr>
                <w:top w:val="nil"/>
                <w:left w:val="nil"/>
                <w:bottom w:val="nil"/>
                <w:right w:val="nil"/>
                <w:between w:val="nil"/>
              </w:pBdr>
              <w:jc w:val="right"/>
              <w:rPr>
                <w:color w:val="000000"/>
              </w:rPr>
            </w:pPr>
          </w:p>
        </w:tc>
      </w:tr>
      <w:tr w:rsidR="008E5DE4" w14:paraId="098A3021" w14:textId="77777777">
        <w:trPr>
          <w:cantSplit/>
          <w:tblHeader/>
        </w:trPr>
        <w:tc>
          <w:tcPr>
            <w:tcW w:w="3005" w:type="dxa"/>
            <w:vAlign w:val="bottom"/>
          </w:tcPr>
          <w:p w14:paraId="6369E94B"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Gains less losses on restructuring of borrowings</w:t>
            </w:r>
          </w:p>
        </w:tc>
        <w:tc>
          <w:tcPr>
            <w:tcW w:w="567" w:type="dxa"/>
            <w:vAlign w:val="bottom"/>
          </w:tcPr>
          <w:p w14:paraId="7127D46F"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200D9FA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5B1E6B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4EBC9C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A98B7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7587E2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8ED0FF7" w14:textId="77777777" w:rsidR="008E5DE4" w:rsidRDefault="008E5DE4">
            <w:pPr>
              <w:widowControl w:val="0"/>
              <w:pBdr>
                <w:top w:val="nil"/>
                <w:left w:val="nil"/>
                <w:bottom w:val="nil"/>
                <w:right w:val="nil"/>
                <w:between w:val="nil"/>
              </w:pBdr>
              <w:jc w:val="right"/>
              <w:rPr>
                <w:color w:val="000000"/>
              </w:rPr>
            </w:pPr>
          </w:p>
        </w:tc>
      </w:tr>
      <w:tr w:rsidR="008E5DE4" w14:paraId="357F8D9C" w14:textId="77777777">
        <w:trPr>
          <w:cantSplit/>
          <w:tblHeader/>
        </w:trPr>
        <w:tc>
          <w:tcPr>
            <w:tcW w:w="3005" w:type="dxa"/>
            <w:vAlign w:val="bottom"/>
          </w:tcPr>
          <w:p w14:paraId="15651AB6"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Gains less losses on early redemption of borrowings</w:t>
            </w:r>
          </w:p>
        </w:tc>
        <w:tc>
          <w:tcPr>
            <w:tcW w:w="567" w:type="dxa"/>
            <w:vAlign w:val="bottom"/>
          </w:tcPr>
          <w:p w14:paraId="62BE7ED9"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11536A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5DE8D1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5D899A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18C83A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6A25BA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DA3F1CA" w14:textId="77777777" w:rsidR="008E5DE4" w:rsidRDefault="008E5DE4">
            <w:pPr>
              <w:widowControl w:val="0"/>
              <w:pBdr>
                <w:top w:val="nil"/>
                <w:left w:val="nil"/>
                <w:bottom w:val="nil"/>
                <w:right w:val="nil"/>
                <w:between w:val="nil"/>
              </w:pBdr>
              <w:jc w:val="right"/>
              <w:rPr>
                <w:color w:val="000000"/>
              </w:rPr>
            </w:pPr>
          </w:p>
        </w:tc>
      </w:tr>
      <w:tr w:rsidR="008E5DE4" w14:paraId="0ACD4E7D" w14:textId="77777777">
        <w:trPr>
          <w:cantSplit/>
          <w:tblHeader/>
        </w:trPr>
        <w:tc>
          <w:tcPr>
            <w:tcW w:w="3005" w:type="dxa"/>
            <w:vAlign w:val="bottom"/>
          </w:tcPr>
          <w:p w14:paraId="79686F33"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Share of result of associates and joint ventures</w:t>
            </w:r>
          </w:p>
        </w:tc>
        <w:tc>
          <w:tcPr>
            <w:tcW w:w="567" w:type="dxa"/>
            <w:vAlign w:val="bottom"/>
          </w:tcPr>
          <w:p w14:paraId="367EF1A9"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F09BD3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3AD5C4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CBA9D9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E3D46F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FD8045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D2A4CB3" w14:textId="77777777" w:rsidR="008E5DE4" w:rsidRDefault="008E5DE4">
            <w:pPr>
              <w:widowControl w:val="0"/>
              <w:pBdr>
                <w:top w:val="nil"/>
                <w:left w:val="nil"/>
                <w:bottom w:val="nil"/>
                <w:right w:val="nil"/>
                <w:between w:val="nil"/>
              </w:pBdr>
              <w:jc w:val="right"/>
              <w:rPr>
                <w:color w:val="000000"/>
              </w:rPr>
            </w:pPr>
          </w:p>
        </w:tc>
      </w:tr>
      <w:tr w:rsidR="008E5DE4" w14:paraId="04E56917" w14:textId="77777777">
        <w:trPr>
          <w:cantSplit/>
          <w:tblHeader/>
        </w:trPr>
        <w:tc>
          <w:tcPr>
            <w:tcW w:w="3005" w:type="dxa"/>
            <w:tcBorders>
              <w:bottom w:val="single" w:sz="12" w:space="0" w:color="000000"/>
            </w:tcBorders>
            <w:vAlign w:val="bottom"/>
          </w:tcPr>
          <w:p w14:paraId="0148D4C6" w14:textId="0790622F" w:rsidR="008E5DE4" w:rsidRDefault="008E5DE4">
            <w:pPr>
              <w:widowControl w:val="0"/>
              <w:pBdr>
                <w:top w:val="nil"/>
                <w:left w:val="nil"/>
                <w:bottom w:val="nil"/>
                <w:right w:val="nil"/>
                <w:between w:val="nil"/>
              </w:pBdr>
              <w:tabs>
                <w:tab w:val="right" w:pos="8782"/>
              </w:tabs>
              <w:ind w:left="113" w:right="-57" w:hanging="113"/>
              <w:rPr>
                <w:i/>
                <w:color w:val="FF0000"/>
              </w:rPr>
            </w:pPr>
          </w:p>
        </w:tc>
        <w:tc>
          <w:tcPr>
            <w:tcW w:w="567" w:type="dxa"/>
            <w:tcBorders>
              <w:bottom w:val="single" w:sz="12" w:space="0" w:color="000000"/>
            </w:tcBorders>
            <w:vAlign w:val="bottom"/>
          </w:tcPr>
          <w:p w14:paraId="62176EB8" w14:textId="77777777" w:rsidR="008E5DE4" w:rsidRDefault="008E5DE4">
            <w:pPr>
              <w:widowControl w:val="0"/>
              <w:pBdr>
                <w:top w:val="nil"/>
                <w:left w:val="nil"/>
                <w:bottom w:val="nil"/>
                <w:right w:val="nil"/>
                <w:between w:val="nil"/>
              </w:pBdr>
              <w:ind w:left="-57" w:right="-57"/>
              <w:jc w:val="center"/>
              <w:rPr>
                <w:color w:val="000000"/>
              </w:rPr>
            </w:pPr>
          </w:p>
        </w:tc>
        <w:tc>
          <w:tcPr>
            <w:tcW w:w="964" w:type="dxa"/>
            <w:tcBorders>
              <w:bottom w:val="single" w:sz="12" w:space="0" w:color="000000"/>
            </w:tcBorders>
            <w:vAlign w:val="bottom"/>
          </w:tcPr>
          <w:p w14:paraId="37FF6AED"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5CB5E27C"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48BE8776"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505FA098"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7FA0C22E"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55464C2E" w14:textId="77777777" w:rsidR="008E5DE4" w:rsidRDefault="008E5DE4">
            <w:pPr>
              <w:widowControl w:val="0"/>
              <w:pBdr>
                <w:top w:val="nil"/>
                <w:left w:val="nil"/>
                <w:bottom w:val="nil"/>
                <w:right w:val="nil"/>
                <w:between w:val="nil"/>
              </w:pBdr>
              <w:jc w:val="right"/>
              <w:rPr>
                <w:color w:val="000000"/>
              </w:rPr>
            </w:pPr>
          </w:p>
        </w:tc>
      </w:tr>
    </w:tbl>
    <w:p w14:paraId="6FFD4BCD" w14:textId="42517F54"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other rights and obligations connected to related parties were as follows:</w:t>
      </w:r>
    </w:p>
    <w:tbl>
      <w:tblPr>
        <w:tblStyle w:val="afa"/>
        <w:tblW w:w="9356" w:type="dxa"/>
        <w:tblLayout w:type="fixed"/>
        <w:tblLook w:val="0000" w:firstRow="0" w:lastRow="0" w:firstColumn="0" w:lastColumn="0" w:noHBand="0" w:noVBand="0"/>
      </w:tblPr>
      <w:tblGrid>
        <w:gridCol w:w="3005"/>
        <w:gridCol w:w="567"/>
        <w:gridCol w:w="964"/>
        <w:gridCol w:w="964"/>
        <w:gridCol w:w="964"/>
        <w:gridCol w:w="964"/>
        <w:gridCol w:w="964"/>
        <w:gridCol w:w="964"/>
      </w:tblGrid>
      <w:tr w:rsidR="008E5DE4" w14:paraId="225A65C9" w14:textId="77777777">
        <w:trPr>
          <w:cantSplit/>
        </w:trPr>
        <w:tc>
          <w:tcPr>
            <w:tcW w:w="3005" w:type="dxa"/>
            <w:tcBorders>
              <w:bottom w:val="single" w:sz="4" w:space="0" w:color="000000"/>
            </w:tcBorders>
            <w:vAlign w:val="bottom"/>
          </w:tcPr>
          <w:p w14:paraId="6351FD5E" w14:textId="77777777" w:rsidR="008E5DE4" w:rsidRDefault="00780368">
            <w:pPr>
              <w:widowControl w:val="0"/>
              <w:ind w:left="113" w:right="-57" w:hanging="113"/>
              <w:rPr>
                <w:i/>
              </w:rPr>
            </w:pPr>
            <w:r>
              <w:rPr>
                <w:i/>
              </w:rPr>
              <w:t>In thousands of EUR</w:t>
            </w:r>
          </w:p>
        </w:tc>
        <w:tc>
          <w:tcPr>
            <w:tcW w:w="567" w:type="dxa"/>
            <w:tcBorders>
              <w:bottom w:val="single" w:sz="4" w:space="0" w:color="000000"/>
            </w:tcBorders>
            <w:vAlign w:val="bottom"/>
          </w:tcPr>
          <w:p w14:paraId="5B71EFC4" w14:textId="77777777" w:rsidR="008E5DE4" w:rsidRDefault="00780368">
            <w:pPr>
              <w:widowControl w:val="0"/>
              <w:pBdr>
                <w:top w:val="nil"/>
                <w:left w:val="nil"/>
                <w:bottom w:val="nil"/>
                <w:right w:val="nil"/>
                <w:between w:val="nil"/>
              </w:pBdr>
              <w:ind w:left="-57" w:right="-57"/>
              <w:jc w:val="right"/>
              <w:rPr>
                <w:b/>
                <w:color w:val="000000"/>
              </w:rPr>
            </w:pPr>
            <w:r>
              <w:rPr>
                <w:b/>
                <w:color w:val="000000"/>
              </w:rPr>
              <w:t>Note</w:t>
            </w:r>
          </w:p>
        </w:tc>
        <w:tc>
          <w:tcPr>
            <w:tcW w:w="964" w:type="dxa"/>
            <w:tcBorders>
              <w:bottom w:val="single" w:sz="4" w:space="0" w:color="000000"/>
            </w:tcBorders>
          </w:tcPr>
          <w:p w14:paraId="3D080C44" w14:textId="77777777" w:rsidR="008E5DE4" w:rsidRDefault="00780368">
            <w:pPr>
              <w:widowControl w:val="0"/>
              <w:pBdr>
                <w:top w:val="nil"/>
                <w:left w:val="nil"/>
                <w:bottom w:val="nil"/>
                <w:right w:val="nil"/>
                <w:between w:val="nil"/>
              </w:pBdr>
              <w:ind w:left="-113"/>
              <w:jc w:val="right"/>
              <w:rPr>
                <w:b/>
                <w:color w:val="000000"/>
              </w:rPr>
            </w:pPr>
            <w:r>
              <w:rPr>
                <w:b/>
                <w:color w:val="000000"/>
              </w:rPr>
              <w:t>Imme-</w:t>
            </w:r>
            <w:proofErr w:type="spellStart"/>
            <w:r>
              <w:rPr>
                <w:b/>
                <w:color w:val="000000"/>
              </w:rPr>
              <w:t>diate</w:t>
            </w:r>
            <w:proofErr w:type="spellEnd"/>
            <w:r>
              <w:rPr>
                <w:b/>
                <w:color w:val="000000"/>
              </w:rPr>
              <w:t xml:space="preserve"> parent company</w:t>
            </w:r>
          </w:p>
        </w:tc>
        <w:tc>
          <w:tcPr>
            <w:tcW w:w="964" w:type="dxa"/>
            <w:tcBorders>
              <w:bottom w:val="single" w:sz="4" w:space="0" w:color="000000"/>
            </w:tcBorders>
          </w:tcPr>
          <w:p w14:paraId="78CB7347"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Other </w:t>
            </w:r>
            <w:proofErr w:type="spellStart"/>
            <w:r>
              <w:rPr>
                <w:b/>
                <w:color w:val="000000"/>
              </w:rPr>
              <w:t>signifi</w:t>
            </w:r>
            <w:proofErr w:type="spellEnd"/>
            <w:r>
              <w:rPr>
                <w:b/>
                <w:color w:val="000000"/>
              </w:rPr>
              <w:t>-</w:t>
            </w:r>
            <w:proofErr w:type="gramStart"/>
            <w:r>
              <w:rPr>
                <w:b/>
                <w:color w:val="000000"/>
              </w:rPr>
              <w:t>cant</w:t>
            </w:r>
            <w:proofErr w:type="gramEnd"/>
            <w:r>
              <w:rPr>
                <w:b/>
                <w:color w:val="000000"/>
              </w:rPr>
              <w:t xml:space="preserve"> </w:t>
            </w:r>
            <w:proofErr w:type="gramStart"/>
            <w:r>
              <w:rPr>
                <w:b/>
                <w:color w:val="000000"/>
              </w:rPr>
              <w:t>share-holders</w:t>
            </w:r>
            <w:proofErr w:type="gramEnd"/>
          </w:p>
        </w:tc>
        <w:tc>
          <w:tcPr>
            <w:tcW w:w="964" w:type="dxa"/>
            <w:tcBorders>
              <w:bottom w:val="single" w:sz="4" w:space="0" w:color="000000"/>
            </w:tcBorders>
          </w:tcPr>
          <w:p w14:paraId="30125E2F" w14:textId="77777777" w:rsidR="008E5DE4" w:rsidRDefault="00780368">
            <w:pPr>
              <w:widowControl w:val="0"/>
              <w:pBdr>
                <w:top w:val="nil"/>
                <w:left w:val="nil"/>
                <w:bottom w:val="nil"/>
                <w:right w:val="nil"/>
                <w:between w:val="nil"/>
              </w:pBdr>
              <w:ind w:left="-113"/>
              <w:jc w:val="right"/>
              <w:rPr>
                <w:b/>
                <w:color w:val="000000"/>
              </w:rPr>
            </w:pPr>
            <w:r>
              <w:rPr>
                <w:b/>
                <w:color w:val="000000"/>
              </w:rPr>
              <w:t>Entities under common control</w:t>
            </w:r>
          </w:p>
        </w:tc>
        <w:tc>
          <w:tcPr>
            <w:tcW w:w="964" w:type="dxa"/>
            <w:tcBorders>
              <w:bottom w:val="single" w:sz="4" w:space="0" w:color="000000"/>
            </w:tcBorders>
          </w:tcPr>
          <w:p w14:paraId="4BB4006C" w14:textId="77777777" w:rsidR="008E5DE4" w:rsidRDefault="00780368">
            <w:pPr>
              <w:widowControl w:val="0"/>
              <w:pBdr>
                <w:top w:val="nil"/>
                <w:left w:val="nil"/>
                <w:bottom w:val="nil"/>
                <w:right w:val="nil"/>
                <w:between w:val="nil"/>
              </w:pBdr>
              <w:ind w:left="-113"/>
              <w:jc w:val="right"/>
              <w:rPr>
                <w:b/>
                <w:color w:val="0000FF"/>
              </w:rPr>
            </w:pPr>
            <w:r>
              <w:rPr>
                <w:b/>
                <w:color w:val="0000FF"/>
              </w:rPr>
              <w:t>[</w:t>
            </w:r>
            <w:proofErr w:type="spellStart"/>
            <w:r>
              <w:rPr>
                <w:b/>
                <w:color w:val="0000FF"/>
              </w:rPr>
              <w:t>Associa-tes</w:t>
            </w:r>
            <w:proofErr w:type="spellEnd"/>
            <w:r>
              <w:rPr>
                <w:b/>
                <w:color w:val="0000FF"/>
              </w:rPr>
              <w:t>/ Joint ventures/ *Subsidiaries]</w:t>
            </w:r>
          </w:p>
        </w:tc>
        <w:tc>
          <w:tcPr>
            <w:tcW w:w="964" w:type="dxa"/>
            <w:tcBorders>
              <w:bottom w:val="single" w:sz="4" w:space="0" w:color="000000"/>
            </w:tcBorders>
          </w:tcPr>
          <w:p w14:paraId="538116C9" w14:textId="308CAA33" w:rsidR="008E5DE4" w:rsidRDefault="00780368">
            <w:pPr>
              <w:widowControl w:val="0"/>
              <w:pBdr>
                <w:top w:val="nil"/>
                <w:left w:val="nil"/>
                <w:bottom w:val="nil"/>
                <w:right w:val="nil"/>
                <w:between w:val="nil"/>
              </w:pBdr>
              <w:ind w:left="-113"/>
              <w:jc w:val="right"/>
              <w:rPr>
                <w:b/>
                <w:color w:val="000000"/>
              </w:rPr>
            </w:pPr>
            <w:r>
              <w:rPr>
                <w:b/>
                <w:color w:val="000000"/>
              </w:rPr>
              <w:t>Key mana-</w:t>
            </w:r>
            <w:proofErr w:type="spellStart"/>
            <w:r>
              <w:rPr>
                <w:b/>
                <w:color w:val="000000"/>
              </w:rPr>
              <w:t>gement</w:t>
            </w:r>
            <w:proofErr w:type="spellEnd"/>
            <w:r>
              <w:rPr>
                <w:b/>
                <w:color w:val="000000"/>
              </w:rPr>
              <w:t xml:space="preserve"> per</w:t>
            </w:r>
            <w:r w:rsidR="002D1669">
              <w:rPr>
                <w:b/>
                <w:color w:val="000000"/>
              </w:rPr>
              <w:t>-</w:t>
            </w:r>
            <w:proofErr w:type="spellStart"/>
            <w:r>
              <w:rPr>
                <w:b/>
                <w:color w:val="000000"/>
              </w:rPr>
              <w:t>sonnel</w:t>
            </w:r>
            <w:proofErr w:type="spellEnd"/>
          </w:p>
        </w:tc>
        <w:tc>
          <w:tcPr>
            <w:tcW w:w="964" w:type="dxa"/>
            <w:tcBorders>
              <w:bottom w:val="single" w:sz="4" w:space="0" w:color="000000"/>
            </w:tcBorders>
          </w:tcPr>
          <w:p w14:paraId="1A53F7E9" w14:textId="77777777" w:rsidR="008E5DE4" w:rsidRDefault="00780368">
            <w:pPr>
              <w:widowControl w:val="0"/>
              <w:pBdr>
                <w:top w:val="nil"/>
                <w:left w:val="nil"/>
                <w:bottom w:val="nil"/>
                <w:right w:val="nil"/>
                <w:between w:val="nil"/>
              </w:pBdr>
              <w:ind w:left="-113"/>
              <w:jc w:val="right"/>
              <w:rPr>
                <w:b/>
                <w:color w:val="000000"/>
              </w:rPr>
            </w:pPr>
            <w:r>
              <w:rPr>
                <w:b/>
                <w:color w:val="000000"/>
              </w:rPr>
              <w:t>Other related parties</w:t>
            </w:r>
          </w:p>
        </w:tc>
      </w:tr>
      <w:tr w:rsidR="008E5DE4" w14:paraId="0508831E" w14:textId="77777777">
        <w:trPr>
          <w:cantSplit/>
        </w:trPr>
        <w:tc>
          <w:tcPr>
            <w:tcW w:w="3005" w:type="dxa"/>
            <w:tcBorders>
              <w:top w:val="single" w:sz="4" w:space="0" w:color="000000"/>
            </w:tcBorders>
            <w:vAlign w:val="bottom"/>
          </w:tcPr>
          <w:p w14:paraId="00FF9615" w14:textId="77777777" w:rsidR="008E5DE4" w:rsidRDefault="00780368">
            <w:pPr>
              <w:widowControl w:val="0"/>
              <w:ind w:left="113" w:right="-57" w:hanging="113"/>
              <w:rPr>
                <w:b/>
              </w:rPr>
            </w:pPr>
            <w:r>
              <w:rPr>
                <w:b/>
              </w:rPr>
              <w:t> </w:t>
            </w:r>
          </w:p>
        </w:tc>
        <w:tc>
          <w:tcPr>
            <w:tcW w:w="567" w:type="dxa"/>
            <w:tcBorders>
              <w:top w:val="single" w:sz="4" w:space="0" w:color="000000"/>
            </w:tcBorders>
            <w:vAlign w:val="bottom"/>
          </w:tcPr>
          <w:p w14:paraId="682D50BC" w14:textId="77777777" w:rsidR="008E5DE4" w:rsidRDefault="008E5DE4">
            <w:pPr>
              <w:widowControl w:val="0"/>
              <w:pBdr>
                <w:top w:val="nil"/>
                <w:left w:val="nil"/>
                <w:bottom w:val="nil"/>
                <w:right w:val="nil"/>
                <w:between w:val="nil"/>
              </w:pBdr>
              <w:ind w:left="-57" w:right="-57"/>
              <w:jc w:val="center"/>
              <w:rPr>
                <w:color w:val="000000"/>
              </w:rPr>
            </w:pPr>
          </w:p>
        </w:tc>
        <w:tc>
          <w:tcPr>
            <w:tcW w:w="964" w:type="dxa"/>
            <w:tcBorders>
              <w:top w:val="single" w:sz="4" w:space="0" w:color="000000"/>
            </w:tcBorders>
            <w:vAlign w:val="bottom"/>
          </w:tcPr>
          <w:p w14:paraId="2D7F237A"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0180C2D6"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43BF321B"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18F20FA7"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194F3071"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0E02306D" w14:textId="77777777" w:rsidR="008E5DE4" w:rsidRDefault="008E5DE4">
            <w:pPr>
              <w:widowControl w:val="0"/>
              <w:pBdr>
                <w:top w:val="nil"/>
                <w:left w:val="nil"/>
                <w:bottom w:val="nil"/>
                <w:right w:val="nil"/>
                <w:between w:val="nil"/>
              </w:pBdr>
              <w:jc w:val="right"/>
              <w:rPr>
                <w:color w:val="000000"/>
              </w:rPr>
            </w:pPr>
          </w:p>
        </w:tc>
      </w:tr>
      <w:tr w:rsidR="008E5DE4" w14:paraId="44B01FD7" w14:textId="77777777">
        <w:trPr>
          <w:cantSplit/>
        </w:trPr>
        <w:tc>
          <w:tcPr>
            <w:tcW w:w="3005" w:type="dxa"/>
            <w:vAlign w:val="bottom"/>
          </w:tcPr>
          <w:p w14:paraId="329ACE3F" w14:textId="77777777" w:rsidR="008E5DE4" w:rsidRDefault="00780368">
            <w:pPr>
              <w:widowControl w:val="0"/>
              <w:pBdr>
                <w:top w:val="nil"/>
                <w:left w:val="nil"/>
                <w:bottom w:val="nil"/>
                <w:right w:val="nil"/>
                <w:between w:val="nil"/>
              </w:pBdr>
              <w:ind w:left="113" w:right="-57" w:hanging="113"/>
              <w:rPr>
                <w:color w:val="000000"/>
              </w:rPr>
            </w:pPr>
            <w:r>
              <w:rPr>
                <w:color w:val="000000"/>
              </w:rPr>
              <w:t>Guarantees issued by the Group at the year end</w:t>
            </w:r>
          </w:p>
        </w:tc>
        <w:tc>
          <w:tcPr>
            <w:tcW w:w="567" w:type="dxa"/>
            <w:vAlign w:val="bottom"/>
          </w:tcPr>
          <w:p w14:paraId="77E71123"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76896C2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10687C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294C4E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051937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49286F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503938" w14:textId="77777777" w:rsidR="008E5DE4" w:rsidRDefault="008E5DE4">
            <w:pPr>
              <w:widowControl w:val="0"/>
              <w:pBdr>
                <w:top w:val="nil"/>
                <w:left w:val="nil"/>
                <w:bottom w:val="nil"/>
                <w:right w:val="nil"/>
                <w:between w:val="nil"/>
              </w:pBdr>
              <w:jc w:val="right"/>
              <w:rPr>
                <w:color w:val="000000"/>
              </w:rPr>
            </w:pPr>
          </w:p>
        </w:tc>
      </w:tr>
      <w:tr w:rsidR="008E5DE4" w14:paraId="6E559F6B" w14:textId="77777777">
        <w:trPr>
          <w:cantSplit/>
        </w:trPr>
        <w:tc>
          <w:tcPr>
            <w:tcW w:w="3005" w:type="dxa"/>
            <w:vAlign w:val="bottom"/>
          </w:tcPr>
          <w:p w14:paraId="33C256BE" w14:textId="77777777" w:rsidR="008E5DE4" w:rsidRDefault="00780368">
            <w:pPr>
              <w:widowControl w:val="0"/>
              <w:pBdr>
                <w:top w:val="nil"/>
                <w:left w:val="nil"/>
                <w:bottom w:val="nil"/>
                <w:right w:val="nil"/>
                <w:between w:val="nil"/>
              </w:pBdr>
              <w:ind w:left="113" w:right="-57" w:hanging="113"/>
              <w:rPr>
                <w:color w:val="000000"/>
              </w:rPr>
            </w:pPr>
            <w:r>
              <w:rPr>
                <w:color w:val="000000"/>
              </w:rPr>
              <w:t>Guarantees received by the Group at the year end</w:t>
            </w:r>
          </w:p>
        </w:tc>
        <w:tc>
          <w:tcPr>
            <w:tcW w:w="567" w:type="dxa"/>
            <w:vAlign w:val="bottom"/>
          </w:tcPr>
          <w:p w14:paraId="4186967B"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6347D64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5F3793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87D371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6B896C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27DF7B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595C93A" w14:textId="77777777" w:rsidR="008E5DE4" w:rsidRDefault="008E5DE4">
            <w:pPr>
              <w:widowControl w:val="0"/>
              <w:pBdr>
                <w:top w:val="nil"/>
                <w:left w:val="nil"/>
                <w:bottom w:val="nil"/>
                <w:right w:val="nil"/>
                <w:between w:val="nil"/>
              </w:pBdr>
              <w:jc w:val="right"/>
              <w:rPr>
                <w:color w:val="000000"/>
              </w:rPr>
            </w:pPr>
          </w:p>
        </w:tc>
      </w:tr>
      <w:tr w:rsidR="008E5DE4" w14:paraId="23E4F4C8" w14:textId="77777777">
        <w:trPr>
          <w:cantSplit/>
        </w:trPr>
        <w:tc>
          <w:tcPr>
            <w:tcW w:w="3005" w:type="dxa"/>
            <w:vAlign w:val="bottom"/>
          </w:tcPr>
          <w:p w14:paraId="65D1B48B" w14:textId="77777777" w:rsidR="008E5DE4" w:rsidRDefault="00780368">
            <w:pPr>
              <w:widowControl w:val="0"/>
              <w:pBdr>
                <w:top w:val="nil"/>
                <w:left w:val="nil"/>
                <w:bottom w:val="nil"/>
                <w:right w:val="nil"/>
                <w:between w:val="nil"/>
              </w:pBdr>
              <w:ind w:left="113" w:right="-57" w:hanging="113"/>
              <w:rPr>
                <w:color w:val="000000"/>
              </w:rPr>
            </w:pPr>
            <w:r>
              <w:rPr>
                <w:color w:val="000000"/>
              </w:rPr>
              <w:t>Contractual commitments to purchase goods</w:t>
            </w:r>
          </w:p>
        </w:tc>
        <w:tc>
          <w:tcPr>
            <w:tcW w:w="567" w:type="dxa"/>
            <w:vAlign w:val="bottom"/>
          </w:tcPr>
          <w:p w14:paraId="39082F42" w14:textId="77777777" w:rsidR="008E5DE4" w:rsidRDefault="008E5DE4">
            <w:pPr>
              <w:widowControl w:val="0"/>
              <w:pBdr>
                <w:top w:val="nil"/>
                <w:left w:val="nil"/>
                <w:bottom w:val="nil"/>
                <w:right w:val="nil"/>
                <w:between w:val="nil"/>
              </w:pBdr>
              <w:ind w:left="-57" w:right="-57"/>
              <w:jc w:val="center"/>
              <w:rPr>
                <w:color w:val="000000"/>
                <w:highlight w:val="yellow"/>
              </w:rPr>
            </w:pPr>
          </w:p>
        </w:tc>
        <w:tc>
          <w:tcPr>
            <w:tcW w:w="964" w:type="dxa"/>
            <w:vAlign w:val="bottom"/>
          </w:tcPr>
          <w:p w14:paraId="0A09CCFF"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350A1A32"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5F9BB58C"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73909D57"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0DF0F883"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707A6E43" w14:textId="77777777" w:rsidR="008E5DE4" w:rsidRDefault="008E5DE4">
            <w:pPr>
              <w:widowControl w:val="0"/>
              <w:pBdr>
                <w:top w:val="nil"/>
                <w:left w:val="nil"/>
                <w:bottom w:val="nil"/>
                <w:right w:val="nil"/>
                <w:between w:val="nil"/>
              </w:pBdr>
              <w:jc w:val="right"/>
              <w:rPr>
                <w:color w:val="000000"/>
                <w:highlight w:val="yellow"/>
              </w:rPr>
            </w:pPr>
          </w:p>
        </w:tc>
      </w:tr>
      <w:tr w:rsidR="008E5DE4" w14:paraId="41688581" w14:textId="77777777">
        <w:trPr>
          <w:cantSplit/>
        </w:trPr>
        <w:tc>
          <w:tcPr>
            <w:tcW w:w="3005" w:type="dxa"/>
            <w:vAlign w:val="bottom"/>
          </w:tcPr>
          <w:p w14:paraId="218F5AA0" w14:textId="77777777" w:rsidR="008E5DE4" w:rsidRDefault="00780368">
            <w:pPr>
              <w:widowControl w:val="0"/>
              <w:pBdr>
                <w:top w:val="nil"/>
                <w:left w:val="nil"/>
                <w:bottom w:val="nil"/>
                <w:right w:val="nil"/>
                <w:between w:val="nil"/>
              </w:pBdr>
              <w:ind w:left="113" w:right="-57" w:hanging="113"/>
              <w:rPr>
                <w:color w:val="000000"/>
              </w:rPr>
            </w:pPr>
            <w:r>
              <w:rPr>
                <w:color w:val="000000"/>
              </w:rPr>
              <w:t>Contractual commitments to purchase services</w:t>
            </w:r>
          </w:p>
        </w:tc>
        <w:tc>
          <w:tcPr>
            <w:tcW w:w="567" w:type="dxa"/>
            <w:vAlign w:val="bottom"/>
          </w:tcPr>
          <w:p w14:paraId="139467EC" w14:textId="77777777" w:rsidR="008E5DE4" w:rsidRDefault="008E5DE4">
            <w:pPr>
              <w:widowControl w:val="0"/>
              <w:pBdr>
                <w:top w:val="nil"/>
                <w:left w:val="nil"/>
                <w:bottom w:val="nil"/>
                <w:right w:val="nil"/>
                <w:between w:val="nil"/>
              </w:pBdr>
              <w:ind w:left="-57" w:right="-57"/>
              <w:jc w:val="center"/>
              <w:rPr>
                <w:color w:val="000000"/>
                <w:highlight w:val="yellow"/>
              </w:rPr>
            </w:pPr>
          </w:p>
        </w:tc>
        <w:tc>
          <w:tcPr>
            <w:tcW w:w="964" w:type="dxa"/>
            <w:vAlign w:val="bottom"/>
          </w:tcPr>
          <w:p w14:paraId="3F637A43"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665638A6"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14C8301E"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5EEAB362"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6CF09130"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63FECF6D" w14:textId="77777777" w:rsidR="008E5DE4" w:rsidRDefault="008E5DE4">
            <w:pPr>
              <w:widowControl w:val="0"/>
              <w:pBdr>
                <w:top w:val="nil"/>
                <w:left w:val="nil"/>
                <w:bottom w:val="nil"/>
                <w:right w:val="nil"/>
                <w:between w:val="nil"/>
              </w:pBdr>
              <w:jc w:val="right"/>
              <w:rPr>
                <w:color w:val="000000"/>
                <w:highlight w:val="yellow"/>
              </w:rPr>
            </w:pPr>
          </w:p>
        </w:tc>
      </w:tr>
      <w:tr w:rsidR="008E5DE4" w14:paraId="252AB3DB" w14:textId="77777777">
        <w:trPr>
          <w:cantSplit/>
        </w:trPr>
        <w:tc>
          <w:tcPr>
            <w:tcW w:w="3005" w:type="dxa"/>
            <w:vAlign w:val="bottom"/>
          </w:tcPr>
          <w:p w14:paraId="61D677D5" w14:textId="77777777" w:rsidR="008E5DE4" w:rsidRDefault="00780368">
            <w:pPr>
              <w:widowControl w:val="0"/>
              <w:pBdr>
                <w:top w:val="nil"/>
                <w:left w:val="nil"/>
                <w:bottom w:val="nil"/>
                <w:right w:val="nil"/>
                <w:between w:val="nil"/>
              </w:pBdr>
              <w:ind w:left="113" w:right="-57" w:hanging="113"/>
              <w:rPr>
                <w:color w:val="000000"/>
              </w:rPr>
            </w:pPr>
            <w:r>
              <w:rPr>
                <w:color w:val="000000"/>
              </w:rPr>
              <w:t>Contractual commitments to sell goods</w:t>
            </w:r>
          </w:p>
        </w:tc>
        <w:tc>
          <w:tcPr>
            <w:tcW w:w="567" w:type="dxa"/>
            <w:vAlign w:val="bottom"/>
          </w:tcPr>
          <w:p w14:paraId="7BC01BA3" w14:textId="77777777" w:rsidR="008E5DE4" w:rsidRDefault="008E5DE4">
            <w:pPr>
              <w:widowControl w:val="0"/>
              <w:pBdr>
                <w:top w:val="nil"/>
                <w:left w:val="nil"/>
                <w:bottom w:val="nil"/>
                <w:right w:val="nil"/>
                <w:between w:val="nil"/>
              </w:pBdr>
              <w:ind w:left="-57" w:right="-57"/>
              <w:jc w:val="center"/>
              <w:rPr>
                <w:color w:val="000000"/>
                <w:highlight w:val="yellow"/>
              </w:rPr>
            </w:pPr>
          </w:p>
        </w:tc>
        <w:tc>
          <w:tcPr>
            <w:tcW w:w="964" w:type="dxa"/>
            <w:vAlign w:val="bottom"/>
          </w:tcPr>
          <w:p w14:paraId="13F146AF"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2A3174D4"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465BA6E8"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451EED78"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4E88F09B"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7683463E" w14:textId="77777777" w:rsidR="008E5DE4" w:rsidRDefault="008E5DE4">
            <w:pPr>
              <w:widowControl w:val="0"/>
              <w:pBdr>
                <w:top w:val="nil"/>
                <w:left w:val="nil"/>
                <w:bottom w:val="nil"/>
                <w:right w:val="nil"/>
                <w:between w:val="nil"/>
              </w:pBdr>
              <w:jc w:val="right"/>
              <w:rPr>
                <w:color w:val="000000"/>
                <w:highlight w:val="yellow"/>
              </w:rPr>
            </w:pPr>
          </w:p>
        </w:tc>
      </w:tr>
      <w:tr w:rsidR="008E5DE4" w14:paraId="0D09DB06" w14:textId="77777777">
        <w:trPr>
          <w:cantSplit/>
        </w:trPr>
        <w:tc>
          <w:tcPr>
            <w:tcW w:w="3005" w:type="dxa"/>
            <w:vAlign w:val="bottom"/>
          </w:tcPr>
          <w:p w14:paraId="7242B1CC" w14:textId="77777777" w:rsidR="008E5DE4" w:rsidRDefault="00780368">
            <w:pPr>
              <w:widowControl w:val="0"/>
              <w:pBdr>
                <w:top w:val="nil"/>
                <w:left w:val="nil"/>
                <w:bottom w:val="nil"/>
                <w:right w:val="nil"/>
                <w:between w:val="nil"/>
              </w:pBdr>
              <w:ind w:left="113" w:right="-57" w:hanging="113"/>
              <w:rPr>
                <w:color w:val="000000"/>
              </w:rPr>
            </w:pPr>
            <w:r>
              <w:rPr>
                <w:color w:val="000000"/>
              </w:rPr>
              <w:t>Contractual commitments to sell services</w:t>
            </w:r>
          </w:p>
        </w:tc>
        <w:tc>
          <w:tcPr>
            <w:tcW w:w="567" w:type="dxa"/>
            <w:vAlign w:val="bottom"/>
          </w:tcPr>
          <w:p w14:paraId="03ABC5C4" w14:textId="77777777" w:rsidR="008E5DE4" w:rsidRDefault="008E5DE4">
            <w:pPr>
              <w:widowControl w:val="0"/>
              <w:pBdr>
                <w:top w:val="nil"/>
                <w:left w:val="nil"/>
                <w:bottom w:val="nil"/>
                <w:right w:val="nil"/>
                <w:between w:val="nil"/>
              </w:pBdr>
              <w:ind w:left="-57" w:right="-57"/>
              <w:jc w:val="center"/>
              <w:rPr>
                <w:color w:val="000000"/>
                <w:highlight w:val="yellow"/>
              </w:rPr>
            </w:pPr>
          </w:p>
        </w:tc>
        <w:tc>
          <w:tcPr>
            <w:tcW w:w="964" w:type="dxa"/>
            <w:vAlign w:val="bottom"/>
          </w:tcPr>
          <w:p w14:paraId="6FCE9DFB"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648FA5B6"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75D516F3"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0ADE4E55"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0D6FD5A5" w14:textId="77777777" w:rsidR="008E5DE4" w:rsidRDefault="008E5DE4">
            <w:pPr>
              <w:widowControl w:val="0"/>
              <w:pBdr>
                <w:top w:val="nil"/>
                <w:left w:val="nil"/>
                <w:bottom w:val="nil"/>
                <w:right w:val="nil"/>
                <w:between w:val="nil"/>
              </w:pBdr>
              <w:jc w:val="right"/>
              <w:rPr>
                <w:color w:val="000000"/>
                <w:highlight w:val="yellow"/>
              </w:rPr>
            </w:pPr>
          </w:p>
        </w:tc>
        <w:tc>
          <w:tcPr>
            <w:tcW w:w="964" w:type="dxa"/>
            <w:vAlign w:val="bottom"/>
          </w:tcPr>
          <w:p w14:paraId="1663C85A" w14:textId="77777777" w:rsidR="008E5DE4" w:rsidRDefault="008E5DE4">
            <w:pPr>
              <w:widowControl w:val="0"/>
              <w:pBdr>
                <w:top w:val="nil"/>
                <w:left w:val="nil"/>
                <w:bottom w:val="nil"/>
                <w:right w:val="nil"/>
                <w:between w:val="nil"/>
              </w:pBdr>
              <w:jc w:val="right"/>
              <w:rPr>
                <w:color w:val="000000"/>
                <w:highlight w:val="yellow"/>
              </w:rPr>
            </w:pPr>
          </w:p>
        </w:tc>
      </w:tr>
      <w:tr w:rsidR="008E5DE4" w14:paraId="690E52F9" w14:textId="77777777">
        <w:trPr>
          <w:cantSplit/>
        </w:trPr>
        <w:tc>
          <w:tcPr>
            <w:tcW w:w="3005" w:type="dxa"/>
            <w:vAlign w:val="bottom"/>
          </w:tcPr>
          <w:p w14:paraId="4E241CBE" w14:textId="49136823" w:rsidR="008E5DE4" w:rsidRDefault="00780368">
            <w:pPr>
              <w:widowControl w:val="0"/>
              <w:pBdr>
                <w:top w:val="nil"/>
                <w:left w:val="nil"/>
                <w:bottom w:val="nil"/>
                <w:right w:val="nil"/>
                <w:between w:val="nil"/>
              </w:pBdr>
              <w:ind w:left="113" w:right="-57" w:hanging="113"/>
              <w:rPr>
                <w:color w:val="000000"/>
              </w:rPr>
            </w:pPr>
            <w:r>
              <w:rPr>
                <w:color w:val="000000"/>
              </w:rPr>
              <w:t xml:space="preserve">Other commitments and contingent obligations </w:t>
            </w:r>
          </w:p>
        </w:tc>
        <w:tc>
          <w:tcPr>
            <w:tcW w:w="567" w:type="dxa"/>
            <w:vAlign w:val="bottom"/>
          </w:tcPr>
          <w:p w14:paraId="5A6F7B44"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1D8BC2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2B776A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34F543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55D817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F3D804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56E71BE" w14:textId="77777777" w:rsidR="008E5DE4" w:rsidRDefault="008E5DE4">
            <w:pPr>
              <w:widowControl w:val="0"/>
              <w:pBdr>
                <w:top w:val="nil"/>
                <w:left w:val="nil"/>
                <w:bottom w:val="nil"/>
                <w:right w:val="nil"/>
                <w:between w:val="nil"/>
              </w:pBdr>
              <w:jc w:val="right"/>
              <w:rPr>
                <w:color w:val="000000"/>
              </w:rPr>
            </w:pPr>
          </w:p>
        </w:tc>
      </w:tr>
      <w:tr w:rsidR="008E5DE4" w14:paraId="249FF9D1" w14:textId="77777777">
        <w:trPr>
          <w:cantSplit/>
        </w:trPr>
        <w:tc>
          <w:tcPr>
            <w:tcW w:w="3005" w:type="dxa"/>
            <w:tcBorders>
              <w:bottom w:val="single" w:sz="12" w:space="0" w:color="000000"/>
            </w:tcBorders>
            <w:vAlign w:val="bottom"/>
          </w:tcPr>
          <w:p w14:paraId="65920933" w14:textId="77777777" w:rsidR="008E5DE4" w:rsidRDefault="00780368">
            <w:pPr>
              <w:widowControl w:val="0"/>
              <w:ind w:left="113" w:right="-57" w:hanging="113"/>
              <w:rPr>
                <w:b/>
              </w:rPr>
            </w:pPr>
            <w:r>
              <w:rPr>
                <w:b/>
              </w:rPr>
              <w:t> </w:t>
            </w:r>
          </w:p>
        </w:tc>
        <w:tc>
          <w:tcPr>
            <w:tcW w:w="567" w:type="dxa"/>
            <w:tcBorders>
              <w:bottom w:val="single" w:sz="12" w:space="0" w:color="000000"/>
            </w:tcBorders>
            <w:vAlign w:val="bottom"/>
          </w:tcPr>
          <w:p w14:paraId="2E77D533" w14:textId="77777777" w:rsidR="008E5DE4" w:rsidRDefault="008E5DE4">
            <w:pPr>
              <w:widowControl w:val="0"/>
              <w:ind w:left="-57" w:right="-57"/>
              <w:jc w:val="center"/>
              <w:rPr>
                <w:b/>
              </w:rPr>
            </w:pPr>
          </w:p>
        </w:tc>
        <w:tc>
          <w:tcPr>
            <w:tcW w:w="964" w:type="dxa"/>
            <w:tcBorders>
              <w:bottom w:val="single" w:sz="12" w:space="0" w:color="000000"/>
            </w:tcBorders>
            <w:vAlign w:val="bottom"/>
          </w:tcPr>
          <w:p w14:paraId="463AE00A" w14:textId="77777777" w:rsidR="008E5DE4" w:rsidRDefault="008E5DE4">
            <w:pPr>
              <w:widowControl w:val="0"/>
              <w:jc w:val="right"/>
              <w:rPr>
                <w:b/>
              </w:rPr>
            </w:pPr>
          </w:p>
        </w:tc>
        <w:tc>
          <w:tcPr>
            <w:tcW w:w="964" w:type="dxa"/>
            <w:tcBorders>
              <w:bottom w:val="single" w:sz="12" w:space="0" w:color="000000"/>
            </w:tcBorders>
            <w:vAlign w:val="bottom"/>
          </w:tcPr>
          <w:p w14:paraId="5BB1C9A8" w14:textId="77777777" w:rsidR="008E5DE4" w:rsidRDefault="008E5DE4">
            <w:pPr>
              <w:widowControl w:val="0"/>
              <w:jc w:val="right"/>
              <w:rPr>
                <w:b/>
              </w:rPr>
            </w:pPr>
          </w:p>
        </w:tc>
        <w:tc>
          <w:tcPr>
            <w:tcW w:w="964" w:type="dxa"/>
            <w:tcBorders>
              <w:bottom w:val="single" w:sz="12" w:space="0" w:color="000000"/>
            </w:tcBorders>
            <w:vAlign w:val="bottom"/>
          </w:tcPr>
          <w:p w14:paraId="4E920CB2" w14:textId="77777777" w:rsidR="008E5DE4" w:rsidRDefault="008E5DE4">
            <w:pPr>
              <w:widowControl w:val="0"/>
              <w:jc w:val="right"/>
              <w:rPr>
                <w:b/>
              </w:rPr>
            </w:pPr>
          </w:p>
        </w:tc>
        <w:tc>
          <w:tcPr>
            <w:tcW w:w="964" w:type="dxa"/>
            <w:tcBorders>
              <w:bottom w:val="single" w:sz="12" w:space="0" w:color="000000"/>
            </w:tcBorders>
            <w:vAlign w:val="bottom"/>
          </w:tcPr>
          <w:p w14:paraId="53FDDA43" w14:textId="77777777" w:rsidR="008E5DE4" w:rsidRDefault="008E5DE4">
            <w:pPr>
              <w:widowControl w:val="0"/>
              <w:jc w:val="right"/>
              <w:rPr>
                <w:b/>
              </w:rPr>
            </w:pPr>
          </w:p>
        </w:tc>
        <w:tc>
          <w:tcPr>
            <w:tcW w:w="964" w:type="dxa"/>
            <w:tcBorders>
              <w:bottom w:val="single" w:sz="12" w:space="0" w:color="000000"/>
            </w:tcBorders>
            <w:vAlign w:val="bottom"/>
          </w:tcPr>
          <w:p w14:paraId="4CAB0EC3" w14:textId="77777777" w:rsidR="008E5DE4" w:rsidRDefault="008E5DE4">
            <w:pPr>
              <w:widowControl w:val="0"/>
              <w:jc w:val="right"/>
              <w:rPr>
                <w:b/>
              </w:rPr>
            </w:pPr>
          </w:p>
        </w:tc>
        <w:tc>
          <w:tcPr>
            <w:tcW w:w="964" w:type="dxa"/>
            <w:tcBorders>
              <w:bottom w:val="single" w:sz="12" w:space="0" w:color="000000"/>
            </w:tcBorders>
            <w:vAlign w:val="bottom"/>
          </w:tcPr>
          <w:p w14:paraId="5962212F" w14:textId="77777777" w:rsidR="008E5DE4" w:rsidRDefault="008E5DE4">
            <w:pPr>
              <w:widowControl w:val="0"/>
              <w:jc w:val="right"/>
              <w:rPr>
                <w:b/>
              </w:rPr>
            </w:pPr>
          </w:p>
        </w:tc>
      </w:tr>
    </w:tbl>
    <w:p w14:paraId="283F966D"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8</w:t>
      </w:r>
      <w:r>
        <w:rPr>
          <w:b/>
          <w:color w:val="000000"/>
          <w:sz w:val="20"/>
          <w:szCs w:val="20"/>
        </w:rPr>
        <w:tab/>
        <w:t>Balances and Transactions with Related Parties (Continued)</w:t>
      </w:r>
    </w:p>
    <w:p w14:paraId="3DC165DA" w14:textId="35FA4FC7"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b/>
          <w:i/>
          <w:color w:val="000000"/>
          <w:sz w:val="20"/>
          <w:szCs w:val="20"/>
        </w:rPr>
        <w:t xml:space="preserve">Cross shareholding.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_____, an ___% owned subsidiary of </w:t>
      </w:r>
      <w:r>
        <w:rPr>
          <w:color w:val="0000FF"/>
          <w:sz w:val="20"/>
          <w:szCs w:val="20"/>
        </w:rPr>
        <w:t>[the Company]</w:t>
      </w:r>
      <w:r>
        <w:rPr>
          <w:color w:val="000000"/>
          <w:sz w:val="20"/>
          <w:szCs w:val="20"/>
        </w:rPr>
        <w:t xml:space="preserve">, owned ____% of the ordinary shares of the Company. Shares owned by ____ are accounted for as treasury </w:t>
      </w:r>
      <w:proofErr w:type="gramStart"/>
      <w:r>
        <w:rPr>
          <w:color w:val="000000"/>
          <w:sz w:val="20"/>
          <w:szCs w:val="20"/>
        </w:rPr>
        <w:t>shares, but</w:t>
      </w:r>
      <w:proofErr w:type="gramEnd"/>
      <w:r>
        <w:rPr>
          <w:color w:val="000000"/>
          <w:sz w:val="20"/>
          <w:szCs w:val="20"/>
        </w:rPr>
        <w:t xml:space="preserve"> retain their voting rights and rights to dividends. </w:t>
      </w:r>
    </w:p>
    <w:p w14:paraId="3F6D4372" w14:textId="26F44888" w:rsidR="008E5DE4" w:rsidRDefault="00780368">
      <w:pPr>
        <w:widowControl w:val="0"/>
        <w:pBdr>
          <w:top w:val="nil"/>
          <w:left w:val="nil"/>
          <w:bottom w:val="nil"/>
          <w:right w:val="nil"/>
          <w:between w:val="nil"/>
        </w:pBdr>
        <w:spacing w:before="200" w:after="200" w:line="228" w:lineRule="auto"/>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the outstanding balances with related parties were as follows:</w:t>
      </w:r>
    </w:p>
    <w:tbl>
      <w:tblPr>
        <w:tblStyle w:val="afb"/>
        <w:tblW w:w="9356" w:type="dxa"/>
        <w:tblLayout w:type="fixed"/>
        <w:tblLook w:val="0000" w:firstRow="0" w:lastRow="0" w:firstColumn="0" w:lastColumn="0" w:noHBand="0" w:noVBand="0"/>
      </w:tblPr>
      <w:tblGrid>
        <w:gridCol w:w="3005"/>
        <w:gridCol w:w="567"/>
        <w:gridCol w:w="964"/>
        <w:gridCol w:w="964"/>
        <w:gridCol w:w="964"/>
        <w:gridCol w:w="964"/>
        <w:gridCol w:w="964"/>
        <w:gridCol w:w="964"/>
      </w:tblGrid>
      <w:tr w:rsidR="008E5DE4" w14:paraId="6B5A082B" w14:textId="77777777">
        <w:trPr>
          <w:cantSplit/>
          <w:tblHeader/>
        </w:trPr>
        <w:tc>
          <w:tcPr>
            <w:tcW w:w="3005" w:type="dxa"/>
            <w:tcBorders>
              <w:bottom w:val="single" w:sz="4" w:space="0" w:color="000000"/>
            </w:tcBorders>
            <w:vAlign w:val="bottom"/>
          </w:tcPr>
          <w:p w14:paraId="5DC151CA"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567" w:type="dxa"/>
            <w:tcBorders>
              <w:bottom w:val="single" w:sz="4" w:space="0" w:color="000000"/>
            </w:tcBorders>
            <w:vAlign w:val="bottom"/>
          </w:tcPr>
          <w:p w14:paraId="5C6BA95E" w14:textId="77777777" w:rsidR="008E5DE4" w:rsidRDefault="00780368">
            <w:pPr>
              <w:widowControl w:val="0"/>
              <w:pBdr>
                <w:top w:val="nil"/>
                <w:left w:val="nil"/>
                <w:bottom w:val="nil"/>
                <w:right w:val="nil"/>
                <w:between w:val="nil"/>
              </w:pBdr>
              <w:spacing w:line="228" w:lineRule="auto"/>
              <w:ind w:left="-57" w:right="-57"/>
              <w:jc w:val="center"/>
              <w:rPr>
                <w:b/>
                <w:color w:val="000000"/>
              </w:rPr>
            </w:pPr>
            <w:r>
              <w:rPr>
                <w:b/>
                <w:color w:val="000000"/>
              </w:rPr>
              <w:t>Note</w:t>
            </w:r>
          </w:p>
        </w:tc>
        <w:tc>
          <w:tcPr>
            <w:tcW w:w="964" w:type="dxa"/>
            <w:tcBorders>
              <w:bottom w:val="single" w:sz="4" w:space="0" w:color="000000"/>
            </w:tcBorders>
          </w:tcPr>
          <w:p w14:paraId="294D6613"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Imme-</w:t>
            </w:r>
            <w:proofErr w:type="spellStart"/>
            <w:r>
              <w:rPr>
                <w:b/>
                <w:color w:val="000000"/>
              </w:rPr>
              <w:t>diate</w:t>
            </w:r>
            <w:proofErr w:type="spellEnd"/>
            <w:r>
              <w:rPr>
                <w:b/>
                <w:color w:val="000000"/>
              </w:rPr>
              <w:t xml:space="preserve"> parent company</w:t>
            </w:r>
          </w:p>
        </w:tc>
        <w:tc>
          <w:tcPr>
            <w:tcW w:w="964" w:type="dxa"/>
            <w:tcBorders>
              <w:bottom w:val="single" w:sz="4" w:space="0" w:color="000000"/>
            </w:tcBorders>
          </w:tcPr>
          <w:p w14:paraId="1951A219"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Other </w:t>
            </w:r>
            <w:proofErr w:type="spellStart"/>
            <w:r>
              <w:rPr>
                <w:b/>
                <w:color w:val="000000"/>
              </w:rPr>
              <w:t>signifi</w:t>
            </w:r>
            <w:proofErr w:type="spellEnd"/>
            <w:r>
              <w:rPr>
                <w:b/>
                <w:color w:val="000000"/>
              </w:rPr>
              <w:t>-</w:t>
            </w:r>
            <w:proofErr w:type="gramStart"/>
            <w:r>
              <w:rPr>
                <w:b/>
                <w:color w:val="000000"/>
              </w:rPr>
              <w:t>cant</w:t>
            </w:r>
            <w:proofErr w:type="gramEnd"/>
            <w:r>
              <w:rPr>
                <w:b/>
                <w:color w:val="000000"/>
              </w:rPr>
              <w:t xml:space="preserve"> </w:t>
            </w:r>
            <w:proofErr w:type="gramStart"/>
            <w:r>
              <w:rPr>
                <w:b/>
                <w:color w:val="000000"/>
              </w:rPr>
              <w:t>share-holders</w:t>
            </w:r>
            <w:proofErr w:type="gramEnd"/>
          </w:p>
        </w:tc>
        <w:tc>
          <w:tcPr>
            <w:tcW w:w="964" w:type="dxa"/>
            <w:tcBorders>
              <w:bottom w:val="single" w:sz="4" w:space="0" w:color="000000"/>
            </w:tcBorders>
          </w:tcPr>
          <w:p w14:paraId="6BC45F96"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Entities under common control</w:t>
            </w:r>
          </w:p>
        </w:tc>
        <w:tc>
          <w:tcPr>
            <w:tcW w:w="964" w:type="dxa"/>
            <w:tcBorders>
              <w:bottom w:val="single" w:sz="4" w:space="0" w:color="000000"/>
            </w:tcBorders>
          </w:tcPr>
          <w:p w14:paraId="6793FAC5" w14:textId="77777777" w:rsidR="008E5DE4" w:rsidRDefault="00780368">
            <w:pPr>
              <w:widowControl w:val="0"/>
              <w:pBdr>
                <w:top w:val="nil"/>
                <w:left w:val="nil"/>
                <w:bottom w:val="nil"/>
                <w:right w:val="nil"/>
                <w:between w:val="nil"/>
              </w:pBdr>
              <w:spacing w:line="228" w:lineRule="auto"/>
              <w:ind w:left="-113"/>
              <w:jc w:val="right"/>
              <w:rPr>
                <w:b/>
                <w:color w:val="0000FF"/>
              </w:rPr>
            </w:pPr>
            <w:r>
              <w:rPr>
                <w:b/>
                <w:color w:val="0000FF"/>
              </w:rPr>
              <w:t>[</w:t>
            </w:r>
            <w:proofErr w:type="spellStart"/>
            <w:r>
              <w:rPr>
                <w:b/>
                <w:color w:val="0000FF"/>
              </w:rPr>
              <w:t>Associa-tes</w:t>
            </w:r>
            <w:proofErr w:type="spellEnd"/>
            <w:r>
              <w:rPr>
                <w:b/>
                <w:color w:val="0000FF"/>
              </w:rPr>
              <w:t>/ Joint ventures/ *Subsidiaries]</w:t>
            </w:r>
          </w:p>
        </w:tc>
        <w:tc>
          <w:tcPr>
            <w:tcW w:w="964" w:type="dxa"/>
            <w:tcBorders>
              <w:bottom w:val="single" w:sz="4" w:space="0" w:color="000000"/>
            </w:tcBorders>
          </w:tcPr>
          <w:p w14:paraId="33084C61" w14:textId="1F6A3B93"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Key mana-</w:t>
            </w:r>
            <w:proofErr w:type="spellStart"/>
            <w:r>
              <w:rPr>
                <w:b/>
                <w:color w:val="000000"/>
              </w:rPr>
              <w:t>gement</w:t>
            </w:r>
            <w:proofErr w:type="spellEnd"/>
            <w:r>
              <w:rPr>
                <w:b/>
                <w:color w:val="000000"/>
              </w:rPr>
              <w:t xml:space="preserve"> per</w:t>
            </w:r>
            <w:r w:rsidR="002D1669">
              <w:rPr>
                <w:b/>
                <w:color w:val="000000"/>
              </w:rPr>
              <w:t>-</w:t>
            </w:r>
            <w:proofErr w:type="spellStart"/>
            <w:r>
              <w:rPr>
                <w:b/>
                <w:color w:val="000000"/>
              </w:rPr>
              <w:t>sonnel</w:t>
            </w:r>
            <w:proofErr w:type="spellEnd"/>
          </w:p>
        </w:tc>
        <w:tc>
          <w:tcPr>
            <w:tcW w:w="964" w:type="dxa"/>
            <w:tcBorders>
              <w:bottom w:val="single" w:sz="4" w:space="0" w:color="000000"/>
            </w:tcBorders>
          </w:tcPr>
          <w:p w14:paraId="606705E5"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Other related parties</w:t>
            </w:r>
          </w:p>
        </w:tc>
      </w:tr>
      <w:tr w:rsidR="008E5DE4" w14:paraId="65CB086F" w14:textId="77777777">
        <w:trPr>
          <w:cantSplit/>
          <w:tblHeader/>
        </w:trPr>
        <w:tc>
          <w:tcPr>
            <w:tcW w:w="3005" w:type="dxa"/>
            <w:tcBorders>
              <w:top w:val="single" w:sz="4" w:space="0" w:color="000000"/>
            </w:tcBorders>
            <w:vAlign w:val="bottom"/>
          </w:tcPr>
          <w:p w14:paraId="77F83BA0" w14:textId="77777777" w:rsidR="008E5DE4" w:rsidRDefault="00780368">
            <w:pPr>
              <w:widowControl w:val="0"/>
              <w:spacing w:line="228" w:lineRule="auto"/>
              <w:ind w:left="113" w:right="-57" w:hanging="113"/>
              <w:rPr>
                <w:sz w:val="14"/>
                <w:szCs w:val="14"/>
              </w:rPr>
            </w:pPr>
            <w:r>
              <w:rPr>
                <w:b/>
                <w:sz w:val="14"/>
                <w:szCs w:val="14"/>
              </w:rPr>
              <w:t> </w:t>
            </w:r>
          </w:p>
        </w:tc>
        <w:tc>
          <w:tcPr>
            <w:tcW w:w="567" w:type="dxa"/>
            <w:tcBorders>
              <w:top w:val="single" w:sz="4" w:space="0" w:color="000000"/>
            </w:tcBorders>
            <w:vAlign w:val="bottom"/>
          </w:tcPr>
          <w:p w14:paraId="09145972"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tcBorders>
              <w:top w:val="single" w:sz="4" w:space="0" w:color="000000"/>
            </w:tcBorders>
            <w:vAlign w:val="bottom"/>
          </w:tcPr>
          <w:p w14:paraId="6CB828AD"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top w:val="single" w:sz="4" w:space="0" w:color="000000"/>
            </w:tcBorders>
            <w:vAlign w:val="bottom"/>
          </w:tcPr>
          <w:p w14:paraId="6FFD72E0"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top w:val="single" w:sz="4" w:space="0" w:color="000000"/>
            </w:tcBorders>
            <w:vAlign w:val="bottom"/>
          </w:tcPr>
          <w:p w14:paraId="692CE94B"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top w:val="single" w:sz="4" w:space="0" w:color="000000"/>
            </w:tcBorders>
            <w:vAlign w:val="bottom"/>
          </w:tcPr>
          <w:p w14:paraId="7AFECE11"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top w:val="single" w:sz="4" w:space="0" w:color="000000"/>
            </w:tcBorders>
            <w:vAlign w:val="bottom"/>
          </w:tcPr>
          <w:p w14:paraId="1C344AA1"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top w:val="single" w:sz="4" w:space="0" w:color="000000"/>
            </w:tcBorders>
            <w:vAlign w:val="bottom"/>
          </w:tcPr>
          <w:p w14:paraId="1D1FBE0F"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0DAFEEF6" w14:textId="77777777">
        <w:trPr>
          <w:cantSplit/>
          <w:tblHeader/>
        </w:trPr>
        <w:tc>
          <w:tcPr>
            <w:tcW w:w="3005" w:type="dxa"/>
            <w:vAlign w:val="bottom"/>
          </w:tcPr>
          <w:p w14:paraId="390F7300"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Gross amount of trade receivables </w:t>
            </w:r>
          </w:p>
        </w:tc>
        <w:tc>
          <w:tcPr>
            <w:tcW w:w="567" w:type="dxa"/>
            <w:vAlign w:val="bottom"/>
          </w:tcPr>
          <w:p w14:paraId="20BB9753"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57A91A33"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0D5F0892"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11D88E0D"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BCE475D"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73948EED"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253C19A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EE2A351" w14:textId="77777777">
        <w:trPr>
          <w:cantSplit/>
          <w:tblHeader/>
        </w:trPr>
        <w:tc>
          <w:tcPr>
            <w:tcW w:w="3005" w:type="dxa"/>
            <w:vAlign w:val="bottom"/>
          </w:tcPr>
          <w:p w14:paraId="316F130F"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67" w:type="dxa"/>
            <w:vAlign w:val="bottom"/>
          </w:tcPr>
          <w:p w14:paraId="0D3AE910"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280BD0A6"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68502EDE"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6722EE30"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421884B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41A88C84"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7A237F96"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1911FAC0" w14:textId="77777777">
        <w:trPr>
          <w:cantSplit/>
          <w:tblHeader/>
        </w:trPr>
        <w:tc>
          <w:tcPr>
            <w:tcW w:w="3005" w:type="dxa"/>
            <w:vAlign w:val="bottom"/>
          </w:tcPr>
          <w:p w14:paraId="17A01DC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Gross amount of other receivables</w:t>
            </w:r>
          </w:p>
        </w:tc>
        <w:tc>
          <w:tcPr>
            <w:tcW w:w="567" w:type="dxa"/>
            <w:vAlign w:val="bottom"/>
          </w:tcPr>
          <w:p w14:paraId="74A38D2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416BB311"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BC1642C"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252CD363"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3B649EB"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33E84C1"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077A56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32BE83B" w14:textId="77777777">
        <w:trPr>
          <w:cantSplit/>
          <w:tblHeader/>
        </w:trPr>
        <w:tc>
          <w:tcPr>
            <w:tcW w:w="3005" w:type="dxa"/>
            <w:vAlign w:val="bottom"/>
          </w:tcPr>
          <w:p w14:paraId="61CD5B69"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67" w:type="dxa"/>
            <w:vAlign w:val="bottom"/>
          </w:tcPr>
          <w:p w14:paraId="1E38A5CF"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7E3DC7CB"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2326AF8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1E28C6C1"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1D5DA57E"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2CA2A246"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7638268D"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771D0CED" w14:textId="77777777">
        <w:trPr>
          <w:cantSplit/>
          <w:tblHeader/>
        </w:trPr>
        <w:tc>
          <w:tcPr>
            <w:tcW w:w="3005" w:type="dxa"/>
            <w:vAlign w:val="bottom"/>
          </w:tcPr>
          <w:p w14:paraId="267906C3"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Loans issued </w:t>
            </w:r>
          </w:p>
        </w:tc>
        <w:tc>
          <w:tcPr>
            <w:tcW w:w="567" w:type="dxa"/>
            <w:vAlign w:val="bottom"/>
          </w:tcPr>
          <w:p w14:paraId="0C052CD4"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D95672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7A32E7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A3A694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DE52DF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C215BE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6CED061" w14:textId="77777777" w:rsidR="008E5DE4" w:rsidRDefault="008E5DE4">
            <w:pPr>
              <w:widowControl w:val="0"/>
              <w:pBdr>
                <w:top w:val="nil"/>
                <w:left w:val="nil"/>
                <w:bottom w:val="nil"/>
                <w:right w:val="nil"/>
                <w:between w:val="nil"/>
              </w:pBdr>
              <w:jc w:val="right"/>
              <w:rPr>
                <w:color w:val="000000"/>
              </w:rPr>
            </w:pPr>
          </w:p>
        </w:tc>
      </w:tr>
      <w:tr w:rsidR="008E5DE4" w14:paraId="4F3E3080" w14:textId="77777777">
        <w:trPr>
          <w:cantSplit/>
          <w:tblHeader/>
        </w:trPr>
        <w:tc>
          <w:tcPr>
            <w:tcW w:w="3005" w:type="dxa"/>
            <w:vAlign w:val="bottom"/>
          </w:tcPr>
          <w:p w14:paraId="3085CB52" w14:textId="77777777" w:rsidR="008E5DE4" w:rsidRDefault="008E5DE4">
            <w:pPr>
              <w:widowControl w:val="0"/>
              <w:pBdr>
                <w:top w:val="nil"/>
                <w:left w:val="nil"/>
                <w:bottom w:val="nil"/>
                <w:right w:val="nil"/>
                <w:between w:val="nil"/>
              </w:pBdr>
              <w:ind w:left="113" w:right="-57" w:hanging="113"/>
              <w:rPr>
                <w:color w:val="000000"/>
              </w:rPr>
            </w:pPr>
          </w:p>
        </w:tc>
        <w:tc>
          <w:tcPr>
            <w:tcW w:w="567" w:type="dxa"/>
            <w:vAlign w:val="bottom"/>
          </w:tcPr>
          <w:p w14:paraId="17D5DFEF"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2FC90D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E4C763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660297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222E8D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04C0FB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103F0EB" w14:textId="77777777" w:rsidR="008E5DE4" w:rsidRDefault="008E5DE4">
            <w:pPr>
              <w:widowControl w:val="0"/>
              <w:pBdr>
                <w:top w:val="nil"/>
                <w:left w:val="nil"/>
                <w:bottom w:val="nil"/>
                <w:right w:val="nil"/>
                <w:between w:val="nil"/>
              </w:pBdr>
              <w:jc w:val="right"/>
              <w:rPr>
                <w:color w:val="000000"/>
              </w:rPr>
            </w:pPr>
          </w:p>
        </w:tc>
      </w:tr>
      <w:tr w:rsidR="008E5DE4" w14:paraId="55971E07" w14:textId="77777777">
        <w:trPr>
          <w:cantSplit/>
          <w:tblHeader/>
        </w:trPr>
        <w:tc>
          <w:tcPr>
            <w:tcW w:w="3005" w:type="dxa"/>
            <w:vAlign w:val="bottom"/>
          </w:tcPr>
          <w:p w14:paraId="1FD78322" w14:textId="77777777" w:rsidR="008E5DE4" w:rsidRDefault="00780368">
            <w:pPr>
              <w:widowControl w:val="0"/>
              <w:pBdr>
                <w:top w:val="nil"/>
                <w:left w:val="nil"/>
                <w:bottom w:val="nil"/>
                <w:right w:val="nil"/>
                <w:between w:val="nil"/>
              </w:pBdr>
              <w:ind w:left="113" w:right="-57" w:hanging="113"/>
              <w:rPr>
                <w:color w:val="000000"/>
              </w:rPr>
            </w:pPr>
            <w:r>
              <w:rPr>
                <w:color w:val="000000"/>
              </w:rPr>
              <w:t>Contract assets</w:t>
            </w:r>
          </w:p>
        </w:tc>
        <w:tc>
          <w:tcPr>
            <w:tcW w:w="567" w:type="dxa"/>
            <w:vAlign w:val="bottom"/>
          </w:tcPr>
          <w:p w14:paraId="29CE60A8"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6D5ED46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A08AA7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981B3D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FDDE41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E838EF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8112A78" w14:textId="77777777" w:rsidR="008E5DE4" w:rsidRDefault="008E5DE4">
            <w:pPr>
              <w:widowControl w:val="0"/>
              <w:pBdr>
                <w:top w:val="nil"/>
                <w:left w:val="nil"/>
                <w:bottom w:val="nil"/>
                <w:right w:val="nil"/>
                <w:between w:val="nil"/>
              </w:pBdr>
              <w:jc w:val="right"/>
              <w:rPr>
                <w:color w:val="000000"/>
              </w:rPr>
            </w:pPr>
          </w:p>
        </w:tc>
      </w:tr>
      <w:tr w:rsidR="008E5DE4" w14:paraId="4E61F7B6" w14:textId="77777777">
        <w:trPr>
          <w:cantSplit/>
          <w:tblHeader/>
        </w:trPr>
        <w:tc>
          <w:tcPr>
            <w:tcW w:w="3005" w:type="dxa"/>
            <w:vAlign w:val="bottom"/>
          </w:tcPr>
          <w:p w14:paraId="2167C39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vAlign w:val="bottom"/>
          </w:tcPr>
          <w:p w14:paraId="24C84C68"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327FA9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FC621C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F0B2A8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A6B8FA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B73CBB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45C2771" w14:textId="77777777" w:rsidR="008E5DE4" w:rsidRDefault="008E5DE4">
            <w:pPr>
              <w:widowControl w:val="0"/>
              <w:pBdr>
                <w:top w:val="nil"/>
                <w:left w:val="nil"/>
                <w:bottom w:val="nil"/>
                <w:right w:val="nil"/>
                <w:between w:val="nil"/>
              </w:pBdr>
              <w:jc w:val="right"/>
              <w:rPr>
                <w:color w:val="000000"/>
              </w:rPr>
            </w:pPr>
          </w:p>
        </w:tc>
      </w:tr>
      <w:tr w:rsidR="008E5DE4" w14:paraId="6B578766" w14:textId="77777777">
        <w:trPr>
          <w:cantSplit/>
          <w:tblHeader/>
        </w:trPr>
        <w:tc>
          <w:tcPr>
            <w:tcW w:w="3005" w:type="dxa"/>
            <w:vAlign w:val="bottom"/>
          </w:tcPr>
          <w:p w14:paraId="1F68DCE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Net impairment losses on financial and contract assets </w:t>
            </w:r>
            <w:proofErr w:type="gramStart"/>
            <w:r>
              <w:rPr>
                <w:color w:val="000000"/>
              </w:rPr>
              <w:t>at</w:t>
            </w:r>
            <w:proofErr w:type="gramEnd"/>
            <w:r>
              <w:rPr>
                <w:color w:val="000000"/>
              </w:rPr>
              <w:t xml:space="preserve"> 31 December</w:t>
            </w:r>
          </w:p>
        </w:tc>
        <w:tc>
          <w:tcPr>
            <w:tcW w:w="567" w:type="dxa"/>
            <w:vAlign w:val="bottom"/>
          </w:tcPr>
          <w:p w14:paraId="14EF7751"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1C1196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7F80FA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27D834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423616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C5BFE2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0334E82" w14:textId="77777777" w:rsidR="008E5DE4" w:rsidRDefault="008E5DE4">
            <w:pPr>
              <w:widowControl w:val="0"/>
              <w:pBdr>
                <w:top w:val="nil"/>
                <w:left w:val="nil"/>
                <w:bottom w:val="nil"/>
                <w:right w:val="nil"/>
                <w:between w:val="nil"/>
              </w:pBdr>
              <w:jc w:val="right"/>
              <w:rPr>
                <w:color w:val="000000"/>
              </w:rPr>
            </w:pPr>
          </w:p>
        </w:tc>
      </w:tr>
      <w:tr w:rsidR="008E5DE4" w14:paraId="7E692723" w14:textId="77777777">
        <w:trPr>
          <w:cantSplit/>
          <w:tblHeader/>
        </w:trPr>
        <w:tc>
          <w:tcPr>
            <w:tcW w:w="3005" w:type="dxa"/>
            <w:vAlign w:val="bottom"/>
          </w:tcPr>
          <w:p w14:paraId="17F23A6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vAlign w:val="bottom"/>
          </w:tcPr>
          <w:p w14:paraId="42B7866A"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15AC7A2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4D72EB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E2808A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0E1F22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712733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9DAEAA9" w14:textId="77777777" w:rsidR="008E5DE4" w:rsidRDefault="008E5DE4">
            <w:pPr>
              <w:widowControl w:val="0"/>
              <w:pBdr>
                <w:top w:val="nil"/>
                <w:left w:val="nil"/>
                <w:bottom w:val="nil"/>
                <w:right w:val="nil"/>
                <w:between w:val="nil"/>
              </w:pBdr>
              <w:jc w:val="right"/>
              <w:rPr>
                <w:color w:val="000000"/>
              </w:rPr>
            </w:pPr>
          </w:p>
        </w:tc>
      </w:tr>
      <w:tr w:rsidR="008E5DE4" w14:paraId="0FC8653D" w14:textId="77777777">
        <w:trPr>
          <w:cantSplit/>
          <w:tblHeader/>
        </w:trPr>
        <w:tc>
          <w:tcPr>
            <w:tcW w:w="3005" w:type="dxa"/>
            <w:vAlign w:val="bottom"/>
          </w:tcPr>
          <w:p w14:paraId="230F7070" w14:textId="77777777" w:rsidR="008E5DE4" w:rsidRDefault="00780368">
            <w:pPr>
              <w:widowControl w:val="0"/>
              <w:pBdr>
                <w:top w:val="nil"/>
                <w:left w:val="nil"/>
                <w:bottom w:val="nil"/>
                <w:right w:val="nil"/>
                <w:between w:val="nil"/>
              </w:pBdr>
              <w:ind w:left="113" w:right="-57" w:hanging="113"/>
              <w:rPr>
                <w:color w:val="000000"/>
              </w:rPr>
            </w:pPr>
            <w:r>
              <w:rPr>
                <w:color w:val="000000"/>
              </w:rPr>
              <w:t>Investments in debt securities (contractual interest rate: _____ – _____ %)</w:t>
            </w:r>
          </w:p>
        </w:tc>
        <w:tc>
          <w:tcPr>
            <w:tcW w:w="567" w:type="dxa"/>
            <w:vAlign w:val="bottom"/>
          </w:tcPr>
          <w:p w14:paraId="225942F2"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5569F19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C66FA9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5A9260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526032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E54238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CE38740" w14:textId="77777777" w:rsidR="008E5DE4" w:rsidRDefault="008E5DE4">
            <w:pPr>
              <w:widowControl w:val="0"/>
              <w:pBdr>
                <w:top w:val="nil"/>
                <w:left w:val="nil"/>
                <w:bottom w:val="nil"/>
                <w:right w:val="nil"/>
                <w:between w:val="nil"/>
              </w:pBdr>
              <w:jc w:val="right"/>
              <w:rPr>
                <w:color w:val="000000"/>
              </w:rPr>
            </w:pPr>
          </w:p>
        </w:tc>
      </w:tr>
      <w:tr w:rsidR="008E5DE4" w14:paraId="3C5B471C" w14:textId="77777777">
        <w:trPr>
          <w:cantSplit/>
          <w:tblHeader/>
        </w:trPr>
        <w:tc>
          <w:tcPr>
            <w:tcW w:w="3005" w:type="dxa"/>
            <w:vAlign w:val="bottom"/>
          </w:tcPr>
          <w:p w14:paraId="15E0977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vAlign w:val="bottom"/>
          </w:tcPr>
          <w:p w14:paraId="641FCD47"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313123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DAE46E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1E403D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373E77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0834E9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86BD871" w14:textId="77777777" w:rsidR="008E5DE4" w:rsidRDefault="008E5DE4">
            <w:pPr>
              <w:widowControl w:val="0"/>
              <w:pBdr>
                <w:top w:val="nil"/>
                <w:left w:val="nil"/>
                <w:bottom w:val="nil"/>
                <w:right w:val="nil"/>
                <w:between w:val="nil"/>
              </w:pBdr>
              <w:jc w:val="right"/>
              <w:rPr>
                <w:color w:val="000000"/>
              </w:rPr>
            </w:pPr>
          </w:p>
        </w:tc>
      </w:tr>
      <w:tr w:rsidR="008E5DE4" w14:paraId="2E43AF77" w14:textId="77777777">
        <w:trPr>
          <w:cantSplit/>
          <w:tblHeader/>
        </w:trPr>
        <w:tc>
          <w:tcPr>
            <w:tcW w:w="3005" w:type="dxa"/>
            <w:vAlign w:val="bottom"/>
          </w:tcPr>
          <w:p w14:paraId="14C3D1C5"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Investments in equity securities </w:t>
            </w:r>
            <w:proofErr w:type="gramStart"/>
            <w:r>
              <w:rPr>
                <w:color w:val="000000"/>
              </w:rPr>
              <w:t>( _</w:t>
            </w:r>
            <w:proofErr w:type="gramEnd"/>
            <w:r>
              <w:rPr>
                <w:color w:val="000000"/>
              </w:rPr>
              <w:t>____ % holding)</w:t>
            </w:r>
          </w:p>
        </w:tc>
        <w:tc>
          <w:tcPr>
            <w:tcW w:w="567" w:type="dxa"/>
            <w:vAlign w:val="bottom"/>
          </w:tcPr>
          <w:p w14:paraId="375328D1"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C51A0E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295D87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99E295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3A3EB5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287ECB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3917508" w14:textId="77777777" w:rsidR="008E5DE4" w:rsidRDefault="008E5DE4">
            <w:pPr>
              <w:widowControl w:val="0"/>
              <w:pBdr>
                <w:top w:val="nil"/>
                <w:left w:val="nil"/>
                <w:bottom w:val="nil"/>
                <w:right w:val="nil"/>
                <w:between w:val="nil"/>
              </w:pBdr>
              <w:jc w:val="right"/>
              <w:rPr>
                <w:color w:val="000000"/>
              </w:rPr>
            </w:pPr>
          </w:p>
        </w:tc>
      </w:tr>
      <w:tr w:rsidR="008E5DE4" w14:paraId="6F7346AB" w14:textId="77777777">
        <w:trPr>
          <w:cantSplit/>
          <w:tblHeader/>
        </w:trPr>
        <w:tc>
          <w:tcPr>
            <w:tcW w:w="3005" w:type="dxa"/>
            <w:vAlign w:val="bottom"/>
          </w:tcPr>
          <w:p w14:paraId="75AF2FEF" w14:textId="77777777" w:rsidR="008E5DE4" w:rsidRDefault="008E5DE4">
            <w:pPr>
              <w:widowControl w:val="0"/>
              <w:pBdr>
                <w:top w:val="nil"/>
                <w:left w:val="nil"/>
                <w:bottom w:val="nil"/>
                <w:right w:val="nil"/>
                <w:between w:val="nil"/>
              </w:pBdr>
              <w:ind w:left="113" w:right="-57" w:hanging="113"/>
              <w:rPr>
                <w:color w:val="000000"/>
              </w:rPr>
            </w:pPr>
          </w:p>
        </w:tc>
        <w:tc>
          <w:tcPr>
            <w:tcW w:w="567" w:type="dxa"/>
            <w:vAlign w:val="bottom"/>
          </w:tcPr>
          <w:p w14:paraId="5CCEDD82"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7149D7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CE9C4E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F32E61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EB2185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15B76A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CE2AF7F" w14:textId="77777777" w:rsidR="008E5DE4" w:rsidRDefault="008E5DE4">
            <w:pPr>
              <w:widowControl w:val="0"/>
              <w:pBdr>
                <w:top w:val="nil"/>
                <w:left w:val="nil"/>
                <w:bottom w:val="nil"/>
                <w:right w:val="nil"/>
                <w:between w:val="nil"/>
              </w:pBdr>
              <w:jc w:val="right"/>
              <w:rPr>
                <w:color w:val="000000"/>
              </w:rPr>
            </w:pPr>
          </w:p>
        </w:tc>
      </w:tr>
      <w:tr w:rsidR="008E5DE4" w14:paraId="02954505" w14:textId="77777777">
        <w:trPr>
          <w:cantSplit/>
          <w:tblHeader/>
        </w:trPr>
        <w:tc>
          <w:tcPr>
            <w:tcW w:w="3005" w:type="dxa"/>
            <w:vAlign w:val="bottom"/>
          </w:tcPr>
          <w:p w14:paraId="346AFC6B"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Finance lease receivables (effective interest rate: ____%)</w:t>
            </w:r>
          </w:p>
        </w:tc>
        <w:tc>
          <w:tcPr>
            <w:tcW w:w="567" w:type="dxa"/>
            <w:vAlign w:val="bottom"/>
          </w:tcPr>
          <w:p w14:paraId="076256BD"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62A6372C"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1D9F7AC3"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0A355446"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AEEB535"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72AA796F"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1101869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4B13EB6" w14:textId="77777777">
        <w:trPr>
          <w:cantSplit/>
          <w:tblHeader/>
        </w:trPr>
        <w:tc>
          <w:tcPr>
            <w:tcW w:w="3005" w:type="dxa"/>
            <w:vAlign w:val="bottom"/>
          </w:tcPr>
          <w:p w14:paraId="33859574"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67" w:type="dxa"/>
            <w:vAlign w:val="bottom"/>
          </w:tcPr>
          <w:p w14:paraId="26C3454E"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2C469ABA"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2BAA9FCC"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4BC120DD"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4B168A43"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3AC30D3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67DF183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1CD4CF31" w14:textId="77777777">
        <w:trPr>
          <w:cantSplit/>
          <w:tblHeader/>
        </w:trPr>
        <w:tc>
          <w:tcPr>
            <w:tcW w:w="3005" w:type="dxa"/>
            <w:vAlign w:val="bottom"/>
          </w:tcPr>
          <w:p w14:paraId="4EBFBD8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Investments in associates</w:t>
            </w:r>
          </w:p>
        </w:tc>
        <w:tc>
          <w:tcPr>
            <w:tcW w:w="567" w:type="dxa"/>
            <w:vAlign w:val="bottom"/>
          </w:tcPr>
          <w:p w14:paraId="2CD7F117"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7348C689"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9F5650A"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6632006E"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274766F6"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7945AD87"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011EFCC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CD6EB76" w14:textId="77777777">
        <w:trPr>
          <w:cantSplit/>
          <w:tblHeader/>
        </w:trPr>
        <w:tc>
          <w:tcPr>
            <w:tcW w:w="3005" w:type="dxa"/>
            <w:vAlign w:val="bottom"/>
          </w:tcPr>
          <w:p w14:paraId="2B1D3D4E" w14:textId="77777777" w:rsidR="008E5DE4" w:rsidRDefault="008E5DE4">
            <w:pPr>
              <w:widowControl w:val="0"/>
              <w:pBdr>
                <w:top w:val="nil"/>
                <w:left w:val="nil"/>
                <w:bottom w:val="nil"/>
                <w:right w:val="nil"/>
                <w:between w:val="nil"/>
              </w:pBdr>
              <w:tabs>
                <w:tab w:val="right" w:pos="8782"/>
              </w:tabs>
              <w:spacing w:line="228" w:lineRule="auto"/>
              <w:ind w:left="113" w:right="-57" w:hanging="113"/>
              <w:rPr>
                <w:color w:val="000000"/>
                <w:sz w:val="14"/>
                <w:szCs w:val="14"/>
              </w:rPr>
            </w:pPr>
          </w:p>
        </w:tc>
        <w:tc>
          <w:tcPr>
            <w:tcW w:w="567" w:type="dxa"/>
            <w:vAlign w:val="bottom"/>
          </w:tcPr>
          <w:p w14:paraId="1BC5A8A6"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08E3B932"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23445692"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FB9DEFE"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68AC7E1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3C6E294F"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6933A1E6"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4A862DAB" w14:textId="77777777">
        <w:trPr>
          <w:cantSplit/>
          <w:tblHeader/>
        </w:trPr>
        <w:tc>
          <w:tcPr>
            <w:tcW w:w="3005" w:type="dxa"/>
            <w:vAlign w:val="bottom"/>
          </w:tcPr>
          <w:p w14:paraId="5C14182F"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Other assets</w:t>
            </w:r>
          </w:p>
        </w:tc>
        <w:tc>
          <w:tcPr>
            <w:tcW w:w="567" w:type="dxa"/>
            <w:vAlign w:val="bottom"/>
          </w:tcPr>
          <w:p w14:paraId="09F0A8E8"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708C79FC"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830B11B"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F073CB0"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3B00AA6"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03954C90"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11A6E40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FDF4173" w14:textId="77777777">
        <w:trPr>
          <w:cantSplit/>
          <w:tblHeader/>
        </w:trPr>
        <w:tc>
          <w:tcPr>
            <w:tcW w:w="3005" w:type="dxa"/>
            <w:vAlign w:val="bottom"/>
          </w:tcPr>
          <w:p w14:paraId="1892C626"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sz w:val="14"/>
                <w:szCs w:val="14"/>
              </w:rPr>
            </w:pPr>
            <w:r>
              <w:rPr>
                <w:color w:val="000000"/>
                <w:sz w:val="14"/>
                <w:szCs w:val="14"/>
              </w:rPr>
              <w:t> </w:t>
            </w:r>
          </w:p>
        </w:tc>
        <w:tc>
          <w:tcPr>
            <w:tcW w:w="567" w:type="dxa"/>
            <w:vAlign w:val="bottom"/>
          </w:tcPr>
          <w:p w14:paraId="51C86F27"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115D12B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3AA3F7BB"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3F63A770"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6D1B39BE"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488327DB"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6A9CE3E2"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4A665084" w14:textId="77777777">
        <w:trPr>
          <w:cantSplit/>
          <w:tblHeader/>
        </w:trPr>
        <w:tc>
          <w:tcPr>
            <w:tcW w:w="3005" w:type="dxa"/>
            <w:vAlign w:val="bottom"/>
          </w:tcPr>
          <w:p w14:paraId="52DEA547"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Cash and cash equivalents – bank deposits (contractual interest rate: ____%)</w:t>
            </w:r>
          </w:p>
        </w:tc>
        <w:tc>
          <w:tcPr>
            <w:tcW w:w="567" w:type="dxa"/>
            <w:vAlign w:val="bottom"/>
          </w:tcPr>
          <w:p w14:paraId="42778017"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7D79D063"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53C6498"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8EBF429"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F0293AC"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0E811F7"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205FA7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5B67666" w14:textId="77777777">
        <w:trPr>
          <w:cantSplit/>
          <w:tblHeader/>
        </w:trPr>
        <w:tc>
          <w:tcPr>
            <w:tcW w:w="3005" w:type="dxa"/>
            <w:vAlign w:val="bottom"/>
          </w:tcPr>
          <w:p w14:paraId="522BB503"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sz w:val="14"/>
                <w:szCs w:val="14"/>
              </w:rPr>
            </w:pPr>
            <w:r>
              <w:rPr>
                <w:color w:val="000000"/>
                <w:sz w:val="14"/>
                <w:szCs w:val="14"/>
              </w:rPr>
              <w:t> </w:t>
            </w:r>
          </w:p>
        </w:tc>
        <w:tc>
          <w:tcPr>
            <w:tcW w:w="567" w:type="dxa"/>
            <w:vAlign w:val="bottom"/>
          </w:tcPr>
          <w:p w14:paraId="71CC24DB"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3FAECD8F"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3010C54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E6D4F4C"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1287DEEB"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17F9BB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178573C1"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435EAA39" w14:textId="77777777">
        <w:trPr>
          <w:cantSplit/>
          <w:tblHeader/>
        </w:trPr>
        <w:tc>
          <w:tcPr>
            <w:tcW w:w="3005" w:type="dxa"/>
            <w:vAlign w:val="bottom"/>
          </w:tcPr>
          <w:p w14:paraId="73E910BD"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Non-current assets held for sale (or disposal groups)</w:t>
            </w:r>
          </w:p>
        </w:tc>
        <w:tc>
          <w:tcPr>
            <w:tcW w:w="567" w:type="dxa"/>
            <w:vAlign w:val="bottom"/>
          </w:tcPr>
          <w:p w14:paraId="4F34179F"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1C7B1D6F"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A24E9AA"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524FD65"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6719CEFA"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64262B01"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274CAB9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D27512E" w14:textId="77777777">
        <w:trPr>
          <w:cantSplit/>
          <w:tblHeader/>
        </w:trPr>
        <w:tc>
          <w:tcPr>
            <w:tcW w:w="3005" w:type="dxa"/>
            <w:vAlign w:val="bottom"/>
          </w:tcPr>
          <w:p w14:paraId="21B530A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Debt securities (contractual interest rate: _____ – _____ %)</w:t>
            </w:r>
          </w:p>
        </w:tc>
        <w:tc>
          <w:tcPr>
            <w:tcW w:w="567" w:type="dxa"/>
            <w:vAlign w:val="bottom"/>
          </w:tcPr>
          <w:p w14:paraId="3F18A913"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301B0409"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1776A7B6"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E0CADCF"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0774BCFD"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2482E0C5"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BF5BB8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3BCC060" w14:textId="77777777">
        <w:trPr>
          <w:cantSplit/>
          <w:tblHeader/>
        </w:trPr>
        <w:tc>
          <w:tcPr>
            <w:tcW w:w="3005" w:type="dxa"/>
            <w:vAlign w:val="bottom"/>
          </w:tcPr>
          <w:p w14:paraId="58621B37"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xml:space="preserve">- Shares of _____ </w:t>
            </w:r>
            <w:proofErr w:type="gramStart"/>
            <w:r>
              <w:rPr>
                <w:color w:val="000000"/>
              </w:rPr>
              <w:t>( _</w:t>
            </w:r>
            <w:proofErr w:type="gramEnd"/>
            <w:r>
              <w:rPr>
                <w:color w:val="000000"/>
              </w:rPr>
              <w:t>____ % holding)</w:t>
            </w:r>
          </w:p>
        </w:tc>
        <w:tc>
          <w:tcPr>
            <w:tcW w:w="567" w:type="dxa"/>
            <w:vAlign w:val="bottom"/>
          </w:tcPr>
          <w:p w14:paraId="46BAEE16"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0C4CAB6B"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7458F126"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13283160"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07FAD904"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D641737"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3DB6BA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7115888" w14:textId="77777777">
        <w:trPr>
          <w:cantSplit/>
          <w:tblHeader/>
        </w:trPr>
        <w:tc>
          <w:tcPr>
            <w:tcW w:w="3005" w:type="dxa"/>
            <w:vAlign w:val="bottom"/>
          </w:tcPr>
          <w:p w14:paraId="0B2D0842"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67" w:type="dxa"/>
            <w:vAlign w:val="bottom"/>
          </w:tcPr>
          <w:p w14:paraId="59A2763C"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489EC6B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E3A626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70DDCFEC"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87E8E05"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7A1AFDE6"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788B6793"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5391859F" w14:textId="77777777">
        <w:trPr>
          <w:cantSplit/>
          <w:tblHeader/>
        </w:trPr>
        <w:tc>
          <w:tcPr>
            <w:tcW w:w="3005" w:type="dxa"/>
            <w:vAlign w:val="bottom"/>
          </w:tcPr>
          <w:p w14:paraId="0F7E2310"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Borrowings </w:t>
            </w:r>
          </w:p>
        </w:tc>
        <w:tc>
          <w:tcPr>
            <w:tcW w:w="567" w:type="dxa"/>
            <w:vAlign w:val="bottom"/>
          </w:tcPr>
          <w:p w14:paraId="7513E57D"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1757F3F5"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2436C81C"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64A7A64C"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0EA3A06F"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64E683D"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7901C28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215828E" w14:textId="77777777">
        <w:trPr>
          <w:cantSplit/>
          <w:tblHeader/>
        </w:trPr>
        <w:tc>
          <w:tcPr>
            <w:tcW w:w="3005" w:type="dxa"/>
            <w:vAlign w:val="bottom"/>
          </w:tcPr>
          <w:p w14:paraId="10BFFBE8"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Loans (contractual interest rate: _____ – _____ %)</w:t>
            </w:r>
          </w:p>
        </w:tc>
        <w:tc>
          <w:tcPr>
            <w:tcW w:w="567" w:type="dxa"/>
            <w:vAlign w:val="bottom"/>
          </w:tcPr>
          <w:p w14:paraId="302FB046"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308A41BA"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3083D4F"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2E24D724"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65E58F1"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7C86FFB9"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620D44C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F14181F" w14:textId="77777777">
        <w:trPr>
          <w:cantSplit/>
          <w:tblHeader/>
        </w:trPr>
        <w:tc>
          <w:tcPr>
            <w:tcW w:w="3005" w:type="dxa"/>
            <w:vAlign w:val="bottom"/>
          </w:tcPr>
          <w:p w14:paraId="7E3E54C1"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567" w:type="dxa"/>
            <w:vAlign w:val="bottom"/>
          </w:tcPr>
          <w:p w14:paraId="384661C8"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7F21FE42"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6242A8D"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48157BC"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10FB272"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23D8F83"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EB7751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4FDE28E" w14:textId="77777777">
        <w:trPr>
          <w:cantSplit/>
          <w:tblHeader/>
        </w:trPr>
        <w:tc>
          <w:tcPr>
            <w:tcW w:w="3005" w:type="dxa"/>
            <w:vAlign w:val="bottom"/>
          </w:tcPr>
          <w:p w14:paraId="70EE478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Lease liabilities (effective interest rate: _____ – _____ %)</w:t>
            </w:r>
          </w:p>
        </w:tc>
        <w:tc>
          <w:tcPr>
            <w:tcW w:w="567" w:type="dxa"/>
            <w:vAlign w:val="bottom"/>
          </w:tcPr>
          <w:p w14:paraId="003A35F3"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54345829"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7726EF2A"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2BB2176B"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6A3932C5"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2F5D93AC"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3F6FAB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E0CAACB" w14:textId="77777777">
        <w:trPr>
          <w:cantSplit/>
          <w:tblHeader/>
        </w:trPr>
        <w:tc>
          <w:tcPr>
            <w:tcW w:w="3005" w:type="dxa"/>
            <w:vAlign w:val="bottom"/>
          </w:tcPr>
          <w:p w14:paraId="3AE91669"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67" w:type="dxa"/>
            <w:vAlign w:val="bottom"/>
          </w:tcPr>
          <w:p w14:paraId="1B0D9629"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7346587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6CBCC88F"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2167158E"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AB2A8F4"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3084D3F"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70880AA1"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2A310B0D" w14:textId="77777777">
        <w:trPr>
          <w:cantSplit/>
          <w:tblHeader/>
        </w:trPr>
        <w:tc>
          <w:tcPr>
            <w:tcW w:w="3005" w:type="dxa"/>
            <w:vAlign w:val="bottom"/>
          </w:tcPr>
          <w:p w14:paraId="3700F24E"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Trade and other payables</w:t>
            </w:r>
          </w:p>
        </w:tc>
        <w:tc>
          <w:tcPr>
            <w:tcW w:w="567" w:type="dxa"/>
            <w:vAlign w:val="bottom"/>
          </w:tcPr>
          <w:p w14:paraId="3A5C7BE5"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0909C6B4"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71897F1"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6589ED5D"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7763E971"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4EFF7A07"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39F940A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D3C9EBC" w14:textId="77777777">
        <w:trPr>
          <w:cantSplit/>
          <w:tblHeader/>
        </w:trPr>
        <w:tc>
          <w:tcPr>
            <w:tcW w:w="3005" w:type="dxa"/>
            <w:vAlign w:val="bottom"/>
          </w:tcPr>
          <w:p w14:paraId="3681ABCB"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67" w:type="dxa"/>
            <w:vAlign w:val="bottom"/>
          </w:tcPr>
          <w:p w14:paraId="27A85BD2"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00D74F4D"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5F09DF70"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18CDBACF"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27846474"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1D0E740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4E86321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2DF9B829" w14:textId="77777777">
        <w:trPr>
          <w:cantSplit/>
          <w:tblHeader/>
        </w:trPr>
        <w:tc>
          <w:tcPr>
            <w:tcW w:w="3005" w:type="dxa"/>
            <w:vAlign w:val="bottom"/>
          </w:tcPr>
          <w:p w14:paraId="69A247DE" w14:textId="77777777" w:rsidR="008E5DE4" w:rsidRDefault="00780368">
            <w:pPr>
              <w:widowControl w:val="0"/>
              <w:pBdr>
                <w:top w:val="nil"/>
                <w:left w:val="nil"/>
                <w:bottom w:val="nil"/>
                <w:right w:val="nil"/>
                <w:between w:val="nil"/>
              </w:pBdr>
              <w:spacing w:line="228" w:lineRule="auto"/>
              <w:ind w:left="113" w:right="-57" w:hanging="113"/>
              <w:rPr>
                <w:b/>
                <w:color w:val="000000"/>
                <w:sz w:val="14"/>
                <w:szCs w:val="14"/>
              </w:rPr>
            </w:pPr>
            <w:r>
              <w:rPr>
                <w:color w:val="000000"/>
              </w:rPr>
              <w:t>Contract liabilities</w:t>
            </w:r>
          </w:p>
        </w:tc>
        <w:tc>
          <w:tcPr>
            <w:tcW w:w="567" w:type="dxa"/>
            <w:vAlign w:val="bottom"/>
          </w:tcPr>
          <w:p w14:paraId="11AC0AFC"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102E184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53660E25"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D397DAE"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719746B0"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537FBCE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667EEA91"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3DEF177F" w14:textId="77777777">
        <w:trPr>
          <w:cantSplit/>
          <w:tblHeader/>
        </w:trPr>
        <w:tc>
          <w:tcPr>
            <w:tcW w:w="3005" w:type="dxa"/>
            <w:vAlign w:val="bottom"/>
          </w:tcPr>
          <w:p w14:paraId="601ABD8E" w14:textId="77777777" w:rsidR="008E5DE4" w:rsidRDefault="008E5DE4">
            <w:pPr>
              <w:widowControl w:val="0"/>
              <w:pBdr>
                <w:top w:val="nil"/>
                <w:left w:val="nil"/>
                <w:bottom w:val="nil"/>
                <w:right w:val="nil"/>
                <w:between w:val="nil"/>
              </w:pBdr>
              <w:spacing w:line="228" w:lineRule="auto"/>
              <w:ind w:left="113" w:right="-57" w:hanging="113"/>
              <w:rPr>
                <w:b/>
                <w:color w:val="000000"/>
                <w:sz w:val="14"/>
                <w:szCs w:val="14"/>
              </w:rPr>
            </w:pPr>
          </w:p>
        </w:tc>
        <w:tc>
          <w:tcPr>
            <w:tcW w:w="567" w:type="dxa"/>
            <w:vAlign w:val="bottom"/>
          </w:tcPr>
          <w:p w14:paraId="7CE6E76B"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vAlign w:val="bottom"/>
          </w:tcPr>
          <w:p w14:paraId="4148F73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2741093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50B7613"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23BD6A61"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34A6DCE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vAlign w:val="bottom"/>
          </w:tcPr>
          <w:p w14:paraId="0075B00A"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214B949A" w14:textId="77777777">
        <w:trPr>
          <w:cantSplit/>
          <w:trHeight w:val="70"/>
          <w:tblHeader/>
        </w:trPr>
        <w:tc>
          <w:tcPr>
            <w:tcW w:w="3005" w:type="dxa"/>
            <w:vAlign w:val="bottom"/>
          </w:tcPr>
          <w:p w14:paraId="18652EE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Provisions for liabilities and charges</w:t>
            </w:r>
          </w:p>
        </w:tc>
        <w:tc>
          <w:tcPr>
            <w:tcW w:w="567" w:type="dxa"/>
            <w:vAlign w:val="bottom"/>
          </w:tcPr>
          <w:p w14:paraId="7CC4B844"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964" w:type="dxa"/>
            <w:vAlign w:val="bottom"/>
          </w:tcPr>
          <w:p w14:paraId="21DE07EF"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DE31FC8"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6D473231"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5F5D6946"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1D9C9CCA" w14:textId="77777777" w:rsidR="008E5DE4" w:rsidRDefault="008E5DE4">
            <w:pPr>
              <w:widowControl w:val="0"/>
              <w:pBdr>
                <w:top w:val="nil"/>
                <w:left w:val="nil"/>
                <w:bottom w:val="nil"/>
                <w:right w:val="nil"/>
                <w:between w:val="nil"/>
              </w:pBdr>
              <w:spacing w:line="228" w:lineRule="auto"/>
              <w:jc w:val="right"/>
              <w:rPr>
                <w:color w:val="000000"/>
              </w:rPr>
            </w:pPr>
          </w:p>
        </w:tc>
        <w:tc>
          <w:tcPr>
            <w:tcW w:w="964" w:type="dxa"/>
            <w:vAlign w:val="bottom"/>
          </w:tcPr>
          <w:p w14:paraId="1C37BC9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9CC67D3" w14:textId="77777777">
        <w:trPr>
          <w:cantSplit/>
          <w:tblHeader/>
        </w:trPr>
        <w:tc>
          <w:tcPr>
            <w:tcW w:w="3005" w:type="dxa"/>
            <w:tcBorders>
              <w:bottom w:val="single" w:sz="12" w:space="0" w:color="000000"/>
            </w:tcBorders>
            <w:vAlign w:val="bottom"/>
          </w:tcPr>
          <w:p w14:paraId="6B9088F2"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67" w:type="dxa"/>
            <w:tcBorders>
              <w:bottom w:val="single" w:sz="12" w:space="0" w:color="000000"/>
            </w:tcBorders>
            <w:vAlign w:val="bottom"/>
          </w:tcPr>
          <w:p w14:paraId="22E2A42D"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964" w:type="dxa"/>
            <w:tcBorders>
              <w:bottom w:val="single" w:sz="12" w:space="0" w:color="000000"/>
            </w:tcBorders>
            <w:vAlign w:val="bottom"/>
          </w:tcPr>
          <w:p w14:paraId="6BC11A5A"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bottom w:val="single" w:sz="12" w:space="0" w:color="000000"/>
            </w:tcBorders>
            <w:vAlign w:val="bottom"/>
          </w:tcPr>
          <w:p w14:paraId="6A1CDDE3"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bottom w:val="single" w:sz="12" w:space="0" w:color="000000"/>
            </w:tcBorders>
            <w:vAlign w:val="bottom"/>
          </w:tcPr>
          <w:p w14:paraId="70793C95"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bottom w:val="single" w:sz="12" w:space="0" w:color="000000"/>
            </w:tcBorders>
            <w:vAlign w:val="bottom"/>
          </w:tcPr>
          <w:p w14:paraId="7616084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bottom w:val="single" w:sz="12" w:space="0" w:color="000000"/>
            </w:tcBorders>
            <w:vAlign w:val="bottom"/>
          </w:tcPr>
          <w:p w14:paraId="4648783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964" w:type="dxa"/>
            <w:tcBorders>
              <w:bottom w:val="single" w:sz="12" w:space="0" w:color="000000"/>
            </w:tcBorders>
            <w:vAlign w:val="bottom"/>
          </w:tcPr>
          <w:p w14:paraId="6538A986"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bl>
    <w:p w14:paraId="41B7E3F1"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8</w:t>
      </w:r>
      <w:r>
        <w:rPr>
          <w:b/>
          <w:color w:val="000000"/>
          <w:sz w:val="20"/>
          <w:szCs w:val="20"/>
        </w:rPr>
        <w:tab/>
        <w:t>Balances and Transactions with Related Parties (Continued)</w:t>
      </w:r>
    </w:p>
    <w:p w14:paraId="46B069AB" w14:textId="7180B1C0" w:rsidR="008E5DE4" w:rsidRDefault="00780368">
      <w:pPr>
        <w:widowControl w:val="0"/>
        <w:spacing w:before="200" w:after="200"/>
        <w:jc w:val="both"/>
        <w:rPr>
          <w:sz w:val="20"/>
          <w:szCs w:val="20"/>
        </w:rPr>
      </w:pPr>
      <w:r>
        <w:rPr>
          <w:sz w:val="20"/>
          <w:szCs w:val="20"/>
        </w:rPr>
        <w:t xml:space="preserve">The income and expense items with related parties for the year ended 31 December </w:t>
      </w:r>
      <w:r w:rsidR="00FF468A">
        <w:rPr>
          <w:sz w:val="20"/>
          <w:szCs w:val="20"/>
        </w:rPr>
        <w:t>2024</w:t>
      </w:r>
      <w:r>
        <w:rPr>
          <w:sz w:val="20"/>
          <w:szCs w:val="20"/>
        </w:rPr>
        <w:t xml:space="preserve"> were as follows:</w:t>
      </w:r>
    </w:p>
    <w:tbl>
      <w:tblPr>
        <w:tblStyle w:val="afc"/>
        <w:tblW w:w="9356" w:type="dxa"/>
        <w:tblLayout w:type="fixed"/>
        <w:tblLook w:val="0000" w:firstRow="0" w:lastRow="0" w:firstColumn="0" w:lastColumn="0" w:noHBand="0" w:noVBand="0"/>
      </w:tblPr>
      <w:tblGrid>
        <w:gridCol w:w="3005"/>
        <w:gridCol w:w="567"/>
        <w:gridCol w:w="964"/>
        <w:gridCol w:w="964"/>
        <w:gridCol w:w="964"/>
        <w:gridCol w:w="964"/>
        <w:gridCol w:w="964"/>
        <w:gridCol w:w="964"/>
      </w:tblGrid>
      <w:tr w:rsidR="008E5DE4" w14:paraId="642DC9DC" w14:textId="77777777">
        <w:trPr>
          <w:cantSplit/>
          <w:tblHeader/>
        </w:trPr>
        <w:tc>
          <w:tcPr>
            <w:tcW w:w="3005" w:type="dxa"/>
            <w:tcBorders>
              <w:bottom w:val="single" w:sz="4" w:space="0" w:color="000000"/>
            </w:tcBorders>
            <w:vAlign w:val="bottom"/>
          </w:tcPr>
          <w:p w14:paraId="78D2AC25"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567" w:type="dxa"/>
            <w:tcBorders>
              <w:bottom w:val="single" w:sz="4" w:space="0" w:color="000000"/>
            </w:tcBorders>
            <w:vAlign w:val="bottom"/>
          </w:tcPr>
          <w:p w14:paraId="4522FE47"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964" w:type="dxa"/>
            <w:tcBorders>
              <w:bottom w:val="single" w:sz="4" w:space="0" w:color="000000"/>
            </w:tcBorders>
          </w:tcPr>
          <w:p w14:paraId="6A81C6ED" w14:textId="77777777" w:rsidR="008E5DE4" w:rsidRDefault="00780368">
            <w:pPr>
              <w:widowControl w:val="0"/>
              <w:pBdr>
                <w:top w:val="nil"/>
                <w:left w:val="nil"/>
                <w:bottom w:val="nil"/>
                <w:right w:val="nil"/>
                <w:between w:val="nil"/>
              </w:pBdr>
              <w:ind w:left="-113"/>
              <w:jc w:val="right"/>
              <w:rPr>
                <w:b/>
                <w:color w:val="000000"/>
              </w:rPr>
            </w:pPr>
            <w:r>
              <w:rPr>
                <w:b/>
                <w:color w:val="000000"/>
              </w:rPr>
              <w:t>Imme-</w:t>
            </w:r>
            <w:proofErr w:type="spellStart"/>
            <w:r>
              <w:rPr>
                <w:b/>
                <w:color w:val="000000"/>
              </w:rPr>
              <w:t>diate</w:t>
            </w:r>
            <w:proofErr w:type="spellEnd"/>
            <w:r>
              <w:rPr>
                <w:b/>
                <w:color w:val="000000"/>
              </w:rPr>
              <w:t xml:space="preserve"> parent com-</w:t>
            </w:r>
            <w:proofErr w:type="spellStart"/>
            <w:r>
              <w:rPr>
                <w:b/>
                <w:color w:val="000000"/>
              </w:rPr>
              <w:t>pany</w:t>
            </w:r>
            <w:proofErr w:type="spellEnd"/>
          </w:p>
        </w:tc>
        <w:tc>
          <w:tcPr>
            <w:tcW w:w="964" w:type="dxa"/>
            <w:tcBorders>
              <w:bottom w:val="single" w:sz="4" w:space="0" w:color="000000"/>
            </w:tcBorders>
          </w:tcPr>
          <w:p w14:paraId="0FB969D6"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Other </w:t>
            </w:r>
            <w:proofErr w:type="spellStart"/>
            <w:r>
              <w:rPr>
                <w:b/>
                <w:color w:val="000000"/>
              </w:rPr>
              <w:t>signifi</w:t>
            </w:r>
            <w:proofErr w:type="spellEnd"/>
            <w:r>
              <w:rPr>
                <w:b/>
                <w:color w:val="000000"/>
              </w:rPr>
              <w:t>-</w:t>
            </w:r>
            <w:proofErr w:type="gramStart"/>
            <w:r>
              <w:rPr>
                <w:b/>
                <w:color w:val="000000"/>
              </w:rPr>
              <w:t>cant</w:t>
            </w:r>
            <w:proofErr w:type="gramEnd"/>
            <w:r>
              <w:rPr>
                <w:b/>
                <w:color w:val="000000"/>
              </w:rPr>
              <w:t xml:space="preserve"> </w:t>
            </w:r>
            <w:proofErr w:type="gramStart"/>
            <w:r>
              <w:rPr>
                <w:b/>
                <w:color w:val="000000"/>
              </w:rPr>
              <w:t>share-holders</w:t>
            </w:r>
            <w:proofErr w:type="gramEnd"/>
          </w:p>
        </w:tc>
        <w:tc>
          <w:tcPr>
            <w:tcW w:w="964" w:type="dxa"/>
            <w:tcBorders>
              <w:bottom w:val="single" w:sz="4" w:space="0" w:color="000000"/>
            </w:tcBorders>
          </w:tcPr>
          <w:p w14:paraId="571DF442" w14:textId="77777777" w:rsidR="008E5DE4" w:rsidRDefault="00780368">
            <w:pPr>
              <w:widowControl w:val="0"/>
              <w:pBdr>
                <w:top w:val="nil"/>
                <w:left w:val="nil"/>
                <w:bottom w:val="nil"/>
                <w:right w:val="nil"/>
                <w:between w:val="nil"/>
              </w:pBdr>
              <w:ind w:left="-113"/>
              <w:jc w:val="right"/>
              <w:rPr>
                <w:b/>
                <w:color w:val="000000"/>
              </w:rPr>
            </w:pPr>
            <w:r>
              <w:rPr>
                <w:b/>
                <w:color w:val="000000"/>
              </w:rPr>
              <w:t>Entities under common control</w:t>
            </w:r>
          </w:p>
        </w:tc>
        <w:tc>
          <w:tcPr>
            <w:tcW w:w="964" w:type="dxa"/>
            <w:tcBorders>
              <w:bottom w:val="single" w:sz="4" w:space="0" w:color="000000"/>
            </w:tcBorders>
          </w:tcPr>
          <w:p w14:paraId="333066B0" w14:textId="77777777" w:rsidR="008E5DE4" w:rsidRDefault="00780368">
            <w:pPr>
              <w:widowControl w:val="0"/>
              <w:pBdr>
                <w:top w:val="nil"/>
                <w:left w:val="nil"/>
                <w:bottom w:val="nil"/>
                <w:right w:val="nil"/>
                <w:between w:val="nil"/>
              </w:pBdr>
              <w:ind w:left="-113"/>
              <w:jc w:val="right"/>
              <w:rPr>
                <w:b/>
                <w:color w:val="0000FF"/>
              </w:rPr>
            </w:pPr>
            <w:r>
              <w:rPr>
                <w:b/>
                <w:color w:val="0000FF"/>
              </w:rPr>
              <w:t>[</w:t>
            </w:r>
            <w:proofErr w:type="spellStart"/>
            <w:r>
              <w:rPr>
                <w:b/>
                <w:color w:val="0000FF"/>
              </w:rPr>
              <w:t>Associa-tes</w:t>
            </w:r>
            <w:proofErr w:type="spellEnd"/>
            <w:r>
              <w:rPr>
                <w:b/>
                <w:color w:val="0000FF"/>
              </w:rPr>
              <w:t>/ Joint ventures/ *Subsidiaries]</w:t>
            </w:r>
          </w:p>
        </w:tc>
        <w:tc>
          <w:tcPr>
            <w:tcW w:w="964" w:type="dxa"/>
            <w:tcBorders>
              <w:bottom w:val="single" w:sz="4" w:space="0" w:color="000000"/>
            </w:tcBorders>
          </w:tcPr>
          <w:p w14:paraId="62E03831" w14:textId="497C3019" w:rsidR="008E5DE4" w:rsidRDefault="00780368">
            <w:pPr>
              <w:widowControl w:val="0"/>
              <w:pBdr>
                <w:top w:val="nil"/>
                <w:left w:val="nil"/>
                <w:bottom w:val="nil"/>
                <w:right w:val="nil"/>
                <w:between w:val="nil"/>
              </w:pBdr>
              <w:ind w:left="-113"/>
              <w:jc w:val="right"/>
              <w:rPr>
                <w:b/>
                <w:color w:val="000000"/>
              </w:rPr>
            </w:pPr>
            <w:r>
              <w:rPr>
                <w:b/>
                <w:color w:val="000000"/>
              </w:rPr>
              <w:t>Key mana-</w:t>
            </w:r>
            <w:proofErr w:type="spellStart"/>
            <w:r>
              <w:rPr>
                <w:b/>
                <w:color w:val="000000"/>
              </w:rPr>
              <w:t>gement</w:t>
            </w:r>
            <w:proofErr w:type="spellEnd"/>
            <w:r>
              <w:rPr>
                <w:b/>
                <w:color w:val="000000"/>
              </w:rPr>
              <w:t xml:space="preserve"> per</w:t>
            </w:r>
            <w:r w:rsidR="002D1669">
              <w:rPr>
                <w:b/>
                <w:color w:val="000000"/>
              </w:rPr>
              <w:t>-</w:t>
            </w:r>
            <w:proofErr w:type="spellStart"/>
            <w:r>
              <w:rPr>
                <w:b/>
                <w:color w:val="000000"/>
              </w:rPr>
              <w:t>sonnel</w:t>
            </w:r>
            <w:proofErr w:type="spellEnd"/>
          </w:p>
        </w:tc>
        <w:tc>
          <w:tcPr>
            <w:tcW w:w="964" w:type="dxa"/>
            <w:tcBorders>
              <w:bottom w:val="single" w:sz="4" w:space="0" w:color="000000"/>
            </w:tcBorders>
          </w:tcPr>
          <w:p w14:paraId="4ED889DD" w14:textId="77777777" w:rsidR="008E5DE4" w:rsidRDefault="00780368">
            <w:pPr>
              <w:widowControl w:val="0"/>
              <w:pBdr>
                <w:top w:val="nil"/>
                <w:left w:val="nil"/>
                <w:bottom w:val="nil"/>
                <w:right w:val="nil"/>
                <w:between w:val="nil"/>
              </w:pBdr>
              <w:ind w:left="-113"/>
              <w:jc w:val="right"/>
              <w:rPr>
                <w:b/>
                <w:color w:val="000000"/>
              </w:rPr>
            </w:pPr>
            <w:r>
              <w:rPr>
                <w:b/>
                <w:color w:val="000000"/>
              </w:rPr>
              <w:t>Other related parties</w:t>
            </w:r>
          </w:p>
        </w:tc>
      </w:tr>
      <w:tr w:rsidR="008E5DE4" w14:paraId="175AE004" w14:textId="77777777">
        <w:trPr>
          <w:cantSplit/>
          <w:tblHeader/>
        </w:trPr>
        <w:tc>
          <w:tcPr>
            <w:tcW w:w="3005" w:type="dxa"/>
            <w:tcBorders>
              <w:top w:val="single" w:sz="4" w:space="0" w:color="000000"/>
            </w:tcBorders>
            <w:vAlign w:val="bottom"/>
          </w:tcPr>
          <w:p w14:paraId="4BA5F050" w14:textId="77777777" w:rsidR="008E5DE4" w:rsidRDefault="00780368">
            <w:pPr>
              <w:widowControl w:val="0"/>
              <w:ind w:left="113" w:right="-57" w:hanging="113"/>
            </w:pPr>
            <w:r>
              <w:rPr>
                <w:b/>
              </w:rPr>
              <w:t> </w:t>
            </w:r>
          </w:p>
        </w:tc>
        <w:tc>
          <w:tcPr>
            <w:tcW w:w="567" w:type="dxa"/>
            <w:tcBorders>
              <w:top w:val="single" w:sz="4" w:space="0" w:color="000000"/>
            </w:tcBorders>
            <w:vAlign w:val="bottom"/>
          </w:tcPr>
          <w:p w14:paraId="3800FC6A" w14:textId="77777777" w:rsidR="008E5DE4" w:rsidRDefault="008E5DE4">
            <w:pPr>
              <w:widowControl w:val="0"/>
              <w:pBdr>
                <w:top w:val="nil"/>
                <w:left w:val="nil"/>
                <w:bottom w:val="nil"/>
                <w:right w:val="nil"/>
                <w:between w:val="nil"/>
              </w:pBdr>
              <w:ind w:left="-57" w:right="-57"/>
              <w:jc w:val="center"/>
              <w:rPr>
                <w:color w:val="000000"/>
              </w:rPr>
            </w:pPr>
          </w:p>
        </w:tc>
        <w:tc>
          <w:tcPr>
            <w:tcW w:w="964" w:type="dxa"/>
            <w:tcBorders>
              <w:top w:val="single" w:sz="4" w:space="0" w:color="000000"/>
            </w:tcBorders>
            <w:vAlign w:val="bottom"/>
          </w:tcPr>
          <w:p w14:paraId="18E02FB3"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6B929A8D"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723FF9B9"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1B5C1AA1"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37766609"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54352F0D" w14:textId="77777777" w:rsidR="008E5DE4" w:rsidRDefault="008E5DE4">
            <w:pPr>
              <w:widowControl w:val="0"/>
              <w:pBdr>
                <w:top w:val="nil"/>
                <w:left w:val="nil"/>
                <w:bottom w:val="nil"/>
                <w:right w:val="nil"/>
                <w:between w:val="nil"/>
              </w:pBdr>
              <w:jc w:val="right"/>
              <w:rPr>
                <w:color w:val="000000"/>
              </w:rPr>
            </w:pPr>
          </w:p>
        </w:tc>
      </w:tr>
      <w:tr w:rsidR="008E5DE4" w14:paraId="37A7987E" w14:textId="77777777">
        <w:trPr>
          <w:cantSplit/>
          <w:tblHeader/>
        </w:trPr>
        <w:tc>
          <w:tcPr>
            <w:tcW w:w="3005" w:type="dxa"/>
            <w:vAlign w:val="bottom"/>
          </w:tcPr>
          <w:p w14:paraId="1450A836" w14:textId="77777777" w:rsidR="008E5DE4" w:rsidRDefault="00780368">
            <w:pPr>
              <w:widowControl w:val="0"/>
              <w:ind w:left="113" w:right="-57" w:hanging="113"/>
            </w:pPr>
            <w:r>
              <w:t xml:space="preserve">Sales of goods </w:t>
            </w:r>
          </w:p>
        </w:tc>
        <w:tc>
          <w:tcPr>
            <w:tcW w:w="567" w:type="dxa"/>
            <w:vAlign w:val="bottom"/>
          </w:tcPr>
          <w:p w14:paraId="7551E047"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6115FAA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33CCFA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EF5FE7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E31320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058A23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354CF76" w14:textId="77777777" w:rsidR="008E5DE4" w:rsidRDefault="008E5DE4">
            <w:pPr>
              <w:widowControl w:val="0"/>
              <w:pBdr>
                <w:top w:val="nil"/>
                <w:left w:val="nil"/>
                <w:bottom w:val="nil"/>
                <w:right w:val="nil"/>
                <w:between w:val="nil"/>
              </w:pBdr>
              <w:jc w:val="right"/>
              <w:rPr>
                <w:color w:val="000000"/>
              </w:rPr>
            </w:pPr>
          </w:p>
        </w:tc>
      </w:tr>
      <w:tr w:rsidR="008E5DE4" w14:paraId="5342926D" w14:textId="77777777">
        <w:trPr>
          <w:cantSplit/>
          <w:tblHeader/>
        </w:trPr>
        <w:tc>
          <w:tcPr>
            <w:tcW w:w="3005" w:type="dxa"/>
            <w:vAlign w:val="bottom"/>
          </w:tcPr>
          <w:p w14:paraId="3391DD36" w14:textId="77777777" w:rsidR="008E5DE4" w:rsidRDefault="00780368">
            <w:pPr>
              <w:widowControl w:val="0"/>
              <w:ind w:left="113" w:right="-57" w:hanging="113"/>
            </w:pPr>
            <w:r>
              <w:t>Revenue from services rendered</w:t>
            </w:r>
          </w:p>
        </w:tc>
        <w:tc>
          <w:tcPr>
            <w:tcW w:w="567" w:type="dxa"/>
            <w:vAlign w:val="bottom"/>
          </w:tcPr>
          <w:p w14:paraId="7DE0265F"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1B2D0ED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A9EF93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FCA914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934781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CF094C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895303" w14:textId="77777777" w:rsidR="008E5DE4" w:rsidRDefault="008E5DE4">
            <w:pPr>
              <w:widowControl w:val="0"/>
              <w:pBdr>
                <w:top w:val="nil"/>
                <w:left w:val="nil"/>
                <w:bottom w:val="nil"/>
                <w:right w:val="nil"/>
                <w:between w:val="nil"/>
              </w:pBdr>
              <w:jc w:val="right"/>
              <w:rPr>
                <w:color w:val="000000"/>
              </w:rPr>
            </w:pPr>
          </w:p>
        </w:tc>
      </w:tr>
      <w:tr w:rsidR="008E5DE4" w14:paraId="694F00D8" w14:textId="77777777">
        <w:trPr>
          <w:cantSplit/>
          <w:tblHeader/>
        </w:trPr>
        <w:tc>
          <w:tcPr>
            <w:tcW w:w="3005" w:type="dxa"/>
            <w:vAlign w:val="bottom"/>
          </w:tcPr>
          <w:p w14:paraId="3BF82EA6" w14:textId="77777777" w:rsidR="008E5DE4" w:rsidRDefault="00780368">
            <w:pPr>
              <w:widowControl w:val="0"/>
              <w:ind w:left="113" w:right="-57" w:hanging="113"/>
            </w:pPr>
            <w:r>
              <w:t>Rental income</w:t>
            </w:r>
          </w:p>
        </w:tc>
        <w:tc>
          <w:tcPr>
            <w:tcW w:w="567" w:type="dxa"/>
            <w:vAlign w:val="bottom"/>
          </w:tcPr>
          <w:p w14:paraId="3B2261FC"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115C58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B48BD9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09E1E0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CF1BF2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13F8DF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E352EBE" w14:textId="77777777" w:rsidR="008E5DE4" w:rsidRDefault="008E5DE4">
            <w:pPr>
              <w:widowControl w:val="0"/>
              <w:pBdr>
                <w:top w:val="nil"/>
                <w:left w:val="nil"/>
                <w:bottom w:val="nil"/>
                <w:right w:val="nil"/>
                <w:between w:val="nil"/>
              </w:pBdr>
              <w:jc w:val="right"/>
              <w:rPr>
                <w:color w:val="000000"/>
              </w:rPr>
            </w:pPr>
          </w:p>
        </w:tc>
      </w:tr>
      <w:tr w:rsidR="008E5DE4" w14:paraId="465C4996" w14:textId="77777777">
        <w:trPr>
          <w:cantSplit/>
          <w:tblHeader/>
        </w:trPr>
        <w:tc>
          <w:tcPr>
            <w:tcW w:w="3005" w:type="dxa"/>
            <w:vAlign w:val="bottom"/>
          </w:tcPr>
          <w:p w14:paraId="16E045CC" w14:textId="77777777" w:rsidR="008E5DE4" w:rsidRDefault="00780368">
            <w:pPr>
              <w:widowControl w:val="0"/>
              <w:ind w:left="113" w:right="-57" w:hanging="113"/>
            </w:pPr>
            <w:r>
              <w:t>Royalty income</w:t>
            </w:r>
          </w:p>
        </w:tc>
        <w:tc>
          <w:tcPr>
            <w:tcW w:w="567" w:type="dxa"/>
            <w:vAlign w:val="bottom"/>
          </w:tcPr>
          <w:p w14:paraId="34E26918"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6CE68A3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35171A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6817E9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0E3254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51AD3C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13AC320" w14:textId="77777777" w:rsidR="008E5DE4" w:rsidRDefault="008E5DE4">
            <w:pPr>
              <w:widowControl w:val="0"/>
              <w:pBdr>
                <w:top w:val="nil"/>
                <w:left w:val="nil"/>
                <w:bottom w:val="nil"/>
                <w:right w:val="nil"/>
                <w:between w:val="nil"/>
              </w:pBdr>
              <w:jc w:val="right"/>
              <w:rPr>
                <w:color w:val="000000"/>
              </w:rPr>
            </w:pPr>
          </w:p>
        </w:tc>
      </w:tr>
      <w:tr w:rsidR="008E5DE4" w14:paraId="64EDC536" w14:textId="77777777">
        <w:trPr>
          <w:cantSplit/>
          <w:tblHeader/>
        </w:trPr>
        <w:tc>
          <w:tcPr>
            <w:tcW w:w="3005" w:type="dxa"/>
            <w:vAlign w:val="bottom"/>
          </w:tcPr>
          <w:p w14:paraId="5D7FEAB7" w14:textId="77777777" w:rsidR="008E5DE4" w:rsidRDefault="00780368">
            <w:pPr>
              <w:widowControl w:val="0"/>
              <w:ind w:left="113" w:right="-57" w:hanging="113"/>
            </w:pPr>
            <w:r>
              <w:t>Other revenue</w:t>
            </w:r>
          </w:p>
        </w:tc>
        <w:tc>
          <w:tcPr>
            <w:tcW w:w="567" w:type="dxa"/>
            <w:vAlign w:val="bottom"/>
          </w:tcPr>
          <w:p w14:paraId="0F5C5104"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639CB47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DC3DA9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DA50CB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FE5EE7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2F9721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699CA2B" w14:textId="77777777" w:rsidR="008E5DE4" w:rsidRDefault="008E5DE4">
            <w:pPr>
              <w:widowControl w:val="0"/>
              <w:pBdr>
                <w:top w:val="nil"/>
                <w:left w:val="nil"/>
                <w:bottom w:val="nil"/>
                <w:right w:val="nil"/>
                <w:between w:val="nil"/>
              </w:pBdr>
              <w:jc w:val="right"/>
              <w:rPr>
                <w:color w:val="000000"/>
              </w:rPr>
            </w:pPr>
          </w:p>
        </w:tc>
      </w:tr>
      <w:tr w:rsidR="008E5DE4" w14:paraId="4EE849FF" w14:textId="77777777">
        <w:trPr>
          <w:cantSplit/>
          <w:tblHeader/>
        </w:trPr>
        <w:tc>
          <w:tcPr>
            <w:tcW w:w="3005" w:type="dxa"/>
            <w:vAlign w:val="bottom"/>
          </w:tcPr>
          <w:p w14:paraId="10B3908C" w14:textId="77777777" w:rsidR="008E5DE4" w:rsidRDefault="00780368">
            <w:pPr>
              <w:widowControl w:val="0"/>
              <w:pBdr>
                <w:top w:val="nil"/>
                <w:left w:val="nil"/>
                <w:bottom w:val="nil"/>
                <w:right w:val="nil"/>
                <w:between w:val="nil"/>
              </w:pBdr>
              <w:ind w:left="113" w:right="-57" w:hanging="113"/>
              <w:rPr>
                <w:color w:val="000000"/>
              </w:rPr>
            </w:pPr>
            <w:r>
              <w:rPr>
                <w:color w:val="000000"/>
              </w:rPr>
              <w:t>Other income</w:t>
            </w:r>
          </w:p>
        </w:tc>
        <w:tc>
          <w:tcPr>
            <w:tcW w:w="567" w:type="dxa"/>
            <w:vAlign w:val="bottom"/>
          </w:tcPr>
          <w:p w14:paraId="53BCFBDD"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14171F2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614160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B9D0C9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2F8C9B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D5FF2B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4EEF98C" w14:textId="77777777" w:rsidR="008E5DE4" w:rsidRDefault="008E5DE4">
            <w:pPr>
              <w:widowControl w:val="0"/>
              <w:pBdr>
                <w:top w:val="nil"/>
                <w:left w:val="nil"/>
                <w:bottom w:val="nil"/>
                <w:right w:val="nil"/>
                <w:between w:val="nil"/>
              </w:pBdr>
              <w:jc w:val="right"/>
              <w:rPr>
                <w:color w:val="000000"/>
              </w:rPr>
            </w:pPr>
          </w:p>
        </w:tc>
      </w:tr>
      <w:tr w:rsidR="008E5DE4" w14:paraId="034B2B21" w14:textId="77777777">
        <w:trPr>
          <w:cantSplit/>
          <w:tblHeader/>
        </w:trPr>
        <w:tc>
          <w:tcPr>
            <w:tcW w:w="3005" w:type="dxa"/>
            <w:vAlign w:val="bottom"/>
          </w:tcPr>
          <w:p w14:paraId="406BA92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Purchases of raw materials and consumables </w:t>
            </w:r>
          </w:p>
        </w:tc>
        <w:tc>
          <w:tcPr>
            <w:tcW w:w="567" w:type="dxa"/>
            <w:vAlign w:val="bottom"/>
          </w:tcPr>
          <w:p w14:paraId="7D4638FA"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A04C4E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402DC4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CCAAF5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6B5AB7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280E98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68B9120" w14:textId="77777777" w:rsidR="008E5DE4" w:rsidRDefault="008E5DE4">
            <w:pPr>
              <w:widowControl w:val="0"/>
              <w:pBdr>
                <w:top w:val="nil"/>
                <w:left w:val="nil"/>
                <w:bottom w:val="nil"/>
                <w:right w:val="nil"/>
                <w:between w:val="nil"/>
              </w:pBdr>
              <w:jc w:val="right"/>
              <w:rPr>
                <w:color w:val="000000"/>
              </w:rPr>
            </w:pPr>
          </w:p>
        </w:tc>
      </w:tr>
      <w:tr w:rsidR="008E5DE4" w14:paraId="7170FAA2" w14:textId="77777777">
        <w:trPr>
          <w:cantSplit/>
          <w:tblHeader/>
        </w:trPr>
        <w:tc>
          <w:tcPr>
            <w:tcW w:w="3005" w:type="dxa"/>
            <w:vAlign w:val="bottom"/>
          </w:tcPr>
          <w:p w14:paraId="75C254CC" w14:textId="77777777" w:rsidR="008E5DE4" w:rsidRDefault="00780368">
            <w:pPr>
              <w:widowControl w:val="0"/>
              <w:pBdr>
                <w:top w:val="nil"/>
                <w:left w:val="nil"/>
                <w:bottom w:val="nil"/>
                <w:right w:val="nil"/>
                <w:between w:val="nil"/>
              </w:pBdr>
              <w:ind w:left="113" w:right="-57" w:hanging="113"/>
              <w:rPr>
                <w:color w:val="000000"/>
              </w:rPr>
            </w:pPr>
            <w:r>
              <w:rPr>
                <w:color w:val="000000"/>
              </w:rPr>
              <w:t>Net impairment losses on financial and contract assets</w:t>
            </w:r>
          </w:p>
        </w:tc>
        <w:tc>
          <w:tcPr>
            <w:tcW w:w="567" w:type="dxa"/>
            <w:vAlign w:val="bottom"/>
          </w:tcPr>
          <w:p w14:paraId="3B3BFEB6"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7A76C8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CFC2E4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188E19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B44333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26E273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6E244AA" w14:textId="77777777" w:rsidR="008E5DE4" w:rsidRDefault="008E5DE4">
            <w:pPr>
              <w:widowControl w:val="0"/>
              <w:pBdr>
                <w:top w:val="nil"/>
                <w:left w:val="nil"/>
                <w:bottom w:val="nil"/>
                <w:right w:val="nil"/>
                <w:between w:val="nil"/>
              </w:pBdr>
              <w:jc w:val="right"/>
              <w:rPr>
                <w:color w:val="000000"/>
              </w:rPr>
            </w:pPr>
          </w:p>
        </w:tc>
      </w:tr>
      <w:tr w:rsidR="008E5DE4" w14:paraId="43F1CAF3" w14:textId="77777777">
        <w:trPr>
          <w:cantSplit/>
          <w:tblHeader/>
        </w:trPr>
        <w:tc>
          <w:tcPr>
            <w:tcW w:w="3005" w:type="dxa"/>
            <w:vAlign w:val="bottom"/>
          </w:tcPr>
          <w:p w14:paraId="164C00A1"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Repairs and maintenance services </w:t>
            </w:r>
          </w:p>
        </w:tc>
        <w:tc>
          <w:tcPr>
            <w:tcW w:w="567" w:type="dxa"/>
            <w:vAlign w:val="bottom"/>
          </w:tcPr>
          <w:p w14:paraId="7CC0E9FD"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FDD966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2DEF0A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DC3730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E2112D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5DC6B3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40AF8A6" w14:textId="77777777" w:rsidR="008E5DE4" w:rsidRDefault="008E5DE4">
            <w:pPr>
              <w:widowControl w:val="0"/>
              <w:pBdr>
                <w:top w:val="nil"/>
                <w:left w:val="nil"/>
                <w:bottom w:val="nil"/>
                <w:right w:val="nil"/>
                <w:between w:val="nil"/>
              </w:pBdr>
              <w:jc w:val="right"/>
              <w:rPr>
                <w:color w:val="000000"/>
              </w:rPr>
            </w:pPr>
          </w:p>
        </w:tc>
      </w:tr>
      <w:tr w:rsidR="008E5DE4" w14:paraId="4C28A4FE" w14:textId="77777777">
        <w:trPr>
          <w:cantSplit/>
          <w:tblHeader/>
        </w:trPr>
        <w:tc>
          <w:tcPr>
            <w:tcW w:w="3005" w:type="dxa"/>
            <w:vAlign w:val="bottom"/>
          </w:tcPr>
          <w:p w14:paraId="2E03B388" w14:textId="77777777" w:rsidR="008E5DE4" w:rsidRDefault="00780368">
            <w:pPr>
              <w:widowControl w:val="0"/>
              <w:pBdr>
                <w:top w:val="nil"/>
                <w:left w:val="nil"/>
                <w:bottom w:val="nil"/>
                <w:right w:val="nil"/>
                <w:between w:val="nil"/>
              </w:pBdr>
              <w:ind w:left="113" w:right="-57" w:hanging="113"/>
              <w:rPr>
                <w:color w:val="000000"/>
              </w:rPr>
            </w:pPr>
            <w:r>
              <w:rPr>
                <w:color w:val="000000"/>
              </w:rPr>
              <w:t>Utilities</w:t>
            </w:r>
          </w:p>
        </w:tc>
        <w:tc>
          <w:tcPr>
            <w:tcW w:w="567" w:type="dxa"/>
            <w:vAlign w:val="bottom"/>
          </w:tcPr>
          <w:p w14:paraId="5F0B276B"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9F42AD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71CFE7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E5B963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A9F8F0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63EFCE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978D8FA" w14:textId="77777777" w:rsidR="008E5DE4" w:rsidRDefault="008E5DE4">
            <w:pPr>
              <w:widowControl w:val="0"/>
              <w:pBdr>
                <w:top w:val="nil"/>
                <w:left w:val="nil"/>
                <w:bottom w:val="nil"/>
                <w:right w:val="nil"/>
                <w:between w:val="nil"/>
              </w:pBdr>
              <w:jc w:val="right"/>
              <w:rPr>
                <w:color w:val="000000"/>
              </w:rPr>
            </w:pPr>
          </w:p>
        </w:tc>
      </w:tr>
      <w:tr w:rsidR="008E5DE4" w14:paraId="29A75C12" w14:textId="77777777">
        <w:trPr>
          <w:cantSplit/>
          <w:tblHeader/>
        </w:trPr>
        <w:tc>
          <w:tcPr>
            <w:tcW w:w="3005" w:type="dxa"/>
            <w:vAlign w:val="bottom"/>
          </w:tcPr>
          <w:p w14:paraId="4E4E8AA0" w14:textId="77777777" w:rsidR="008E5DE4" w:rsidRDefault="00780368">
            <w:pPr>
              <w:widowControl w:val="0"/>
              <w:pBdr>
                <w:top w:val="nil"/>
                <w:left w:val="nil"/>
                <w:bottom w:val="nil"/>
                <w:right w:val="nil"/>
                <w:between w:val="nil"/>
              </w:pBdr>
              <w:ind w:left="113" w:right="-57" w:hanging="113"/>
              <w:rPr>
                <w:color w:val="000000"/>
              </w:rPr>
            </w:pPr>
            <w:r>
              <w:rPr>
                <w:color w:val="000000"/>
              </w:rPr>
              <w:t>Information, consulting and other professional services</w:t>
            </w:r>
          </w:p>
        </w:tc>
        <w:tc>
          <w:tcPr>
            <w:tcW w:w="567" w:type="dxa"/>
            <w:vAlign w:val="bottom"/>
          </w:tcPr>
          <w:p w14:paraId="3628FA9C"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5D230E6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4EBAC0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0336E0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00FA73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38F42E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A055555" w14:textId="77777777" w:rsidR="008E5DE4" w:rsidRDefault="008E5DE4">
            <w:pPr>
              <w:widowControl w:val="0"/>
              <w:pBdr>
                <w:top w:val="nil"/>
                <w:left w:val="nil"/>
                <w:bottom w:val="nil"/>
                <w:right w:val="nil"/>
                <w:between w:val="nil"/>
              </w:pBdr>
              <w:jc w:val="right"/>
              <w:rPr>
                <w:color w:val="000000"/>
              </w:rPr>
            </w:pPr>
          </w:p>
        </w:tc>
      </w:tr>
      <w:tr w:rsidR="008E5DE4" w14:paraId="2B0F4E18" w14:textId="77777777">
        <w:trPr>
          <w:cantSplit/>
          <w:tblHeader/>
        </w:trPr>
        <w:tc>
          <w:tcPr>
            <w:tcW w:w="3005" w:type="dxa"/>
            <w:vAlign w:val="bottom"/>
          </w:tcPr>
          <w:p w14:paraId="1483EF3D" w14:textId="77777777" w:rsidR="008E5DE4" w:rsidRDefault="00780368">
            <w:pPr>
              <w:widowControl w:val="0"/>
              <w:pBdr>
                <w:top w:val="nil"/>
                <w:left w:val="nil"/>
                <w:bottom w:val="nil"/>
                <w:right w:val="nil"/>
                <w:between w:val="nil"/>
              </w:pBdr>
              <w:ind w:left="113" w:right="-57" w:hanging="113"/>
              <w:rPr>
                <w:color w:val="000000"/>
              </w:rPr>
            </w:pPr>
            <w:r>
              <w:rPr>
                <w:color w:val="000000"/>
              </w:rPr>
              <w:t>Advertising services</w:t>
            </w:r>
          </w:p>
        </w:tc>
        <w:tc>
          <w:tcPr>
            <w:tcW w:w="567" w:type="dxa"/>
            <w:vAlign w:val="bottom"/>
          </w:tcPr>
          <w:p w14:paraId="247DC2B1"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7A2B76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861A4C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4FA79E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822403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50686E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7113BF" w14:textId="77777777" w:rsidR="008E5DE4" w:rsidRDefault="008E5DE4">
            <w:pPr>
              <w:widowControl w:val="0"/>
              <w:pBdr>
                <w:top w:val="nil"/>
                <w:left w:val="nil"/>
                <w:bottom w:val="nil"/>
                <w:right w:val="nil"/>
                <w:between w:val="nil"/>
              </w:pBdr>
              <w:jc w:val="right"/>
              <w:rPr>
                <w:color w:val="000000"/>
              </w:rPr>
            </w:pPr>
          </w:p>
        </w:tc>
      </w:tr>
      <w:tr w:rsidR="008E5DE4" w14:paraId="27F975F3" w14:textId="77777777">
        <w:trPr>
          <w:cantSplit/>
          <w:tblHeader/>
        </w:trPr>
        <w:tc>
          <w:tcPr>
            <w:tcW w:w="3005" w:type="dxa"/>
            <w:vAlign w:val="bottom"/>
          </w:tcPr>
          <w:p w14:paraId="0533C20B"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Transportations costs </w:t>
            </w:r>
          </w:p>
        </w:tc>
        <w:tc>
          <w:tcPr>
            <w:tcW w:w="567" w:type="dxa"/>
            <w:vAlign w:val="bottom"/>
          </w:tcPr>
          <w:p w14:paraId="2DA7D2E0"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1A519BA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7CD9CC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603635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B06E88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31380C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E3FFDD3" w14:textId="77777777" w:rsidR="008E5DE4" w:rsidRDefault="008E5DE4">
            <w:pPr>
              <w:widowControl w:val="0"/>
              <w:pBdr>
                <w:top w:val="nil"/>
                <w:left w:val="nil"/>
                <w:bottom w:val="nil"/>
                <w:right w:val="nil"/>
                <w:between w:val="nil"/>
              </w:pBdr>
              <w:jc w:val="right"/>
              <w:rPr>
                <w:color w:val="000000"/>
              </w:rPr>
            </w:pPr>
          </w:p>
        </w:tc>
      </w:tr>
      <w:tr w:rsidR="008E5DE4" w14:paraId="3BA1B7C5" w14:textId="77777777">
        <w:trPr>
          <w:cantSplit/>
          <w:tblHeader/>
        </w:trPr>
        <w:tc>
          <w:tcPr>
            <w:tcW w:w="3005" w:type="dxa"/>
            <w:vAlign w:val="bottom"/>
          </w:tcPr>
          <w:p w14:paraId="282EAD24" w14:textId="77777777" w:rsidR="008E5DE4" w:rsidRDefault="00780368">
            <w:pPr>
              <w:widowControl w:val="0"/>
              <w:pBdr>
                <w:top w:val="nil"/>
                <w:left w:val="nil"/>
                <w:bottom w:val="nil"/>
                <w:right w:val="nil"/>
                <w:between w:val="nil"/>
              </w:pBdr>
              <w:ind w:left="113" w:right="-57" w:hanging="113"/>
              <w:rPr>
                <w:color w:val="000000"/>
              </w:rPr>
            </w:pPr>
            <w:r>
              <w:rPr>
                <w:color w:val="000000"/>
              </w:rPr>
              <w:t>Other services</w:t>
            </w:r>
          </w:p>
        </w:tc>
        <w:tc>
          <w:tcPr>
            <w:tcW w:w="567" w:type="dxa"/>
            <w:vAlign w:val="bottom"/>
          </w:tcPr>
          <w:p w14:paraId="21B50AF5"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9721A6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96C444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985181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1FAD7B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F3276E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E083338" w14:textId="77777777" w:rsidR="008E5DE4" w:rsidRDefault="008E5DE4">
            <w:pPr>
              <w:widowControl w:val="0"/>
              <w:pBdr>
                <w:top w:val="nil"/>
                <w:left w:val="nil"/>
                <w:bottom w:val="nil"/>
                <w:right w:val="nil"/>
                <w:between w:val="nil"/>
              </w:pBdr>
              <w:jc w:val="right"/>
              <w:rPr>
                <w:color w:val="000000"/>
              </w:rPr>
            </w:pPr>
          </w:p>
        </w:tc>
      </w:tr>
      <w:tr w:rsidR="008E5DE4" w14:paraId="19C48B87" w14:textId="77777777">
        <w:trPr>
          <w:cantSplit/>
          <w:tblHeader/>
        </w:trPr>
        <w:tc>
          <w:tcPr>
            <w:tcW w:w="3005" w:type="dxa"/>
            <w:vAlign w:val="bottom"/>
          </w:tcPr>
          <w:p w14:paraId="4613E4E5" w14:textId="77777777" w:rsidR="008E5DE4" w:rsidRDefault="00780368">
            <w:pPr>
              <w:widowControl w:val="0"/>
              <w:pBdr>
                <w:top w:val="nil"/>
                <w:left w:val="nil"/>
                <w:bottom w:val="nil"/>
                <w:right w:val="nil"/>
                <w:between w:val="nil"/>
              </w:pBdr>
              <w:ind w:left="113" w:right="-57" w:hanging="113"/>
              <w:rPr>
                <w:color w:val="000000"/>
              </w:rPr>
            </w:pPr>
            <w:r>
              <w:rPr>
                <w:color w:val="000000"/>
              </w:rPr>
              <w:t>Interest income</w:t>
            </w:r>
          </w:p>
        </w:tc>
        <w:tc>
          <w:tcPr>
            <w:tcW w:w="567" w:type="dxa"/>
            <w:vAlign w:val="bottom"/>
          </w:tcPr>
          <w:p w14:paraId="0441075A"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DC3B93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8A59C0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45F3D4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4BE1E3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C98F20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289C12C" w14:textId="77777777" w:rsidR="008E5DE4" w:rsidRDefault="008E5DE4">
            <w:pPr>
              <w:widowControl w:val="0"/>
              <w:pBdr>
                <w:top w:val="nil"/>
                <w:left w:val="nil"/>
                <w:bottom w:val="nil"/>
                <w:right w:val="nil"/>
                <w:between w:val="nil"/>
              </w:pBdr>
              <w:jc w:val="right"/>
              <w:rPr>
                <w:color w:val="000000"/>
              </w:rPr>
            </w:pPr>
          </w:p>
        </w:tc>
      </w:tr>
      <w:tr w:rsidR="008E5DE4" w14:paraId="11100C28" w14:textId="77777777">
        <w:trPr>
          <w:cantSplit/>
          <w:tblHeader/>
        </w:trPr>
        <w:tc>
          <w:tcPr>
            <w:tcW w:w="3005" w:type="dxa"/>
            <w:vAlign w:val="bottom"/>
          </w:tcPr>
          <w:p w14:paraId="24298C04" w14:textId="77777777" w:rsidR="008E5DE4" w:rsidRDefault="00780368">
            <w:pPr>
              <w:widowControl w:val="0"/>
              <w:pBdr>
                <w:top w:val="nil"/>
                <w:left w:val="nil"/>
                <w:bottom w:val="nil"/>
                <w:right w:val="nil"/>
                <w:between w:val="nil"/>
              </w:pBdr>
              <w:ind w:left="113" w:right="-57" w:hanging="113"/>
              <w:rPr>
                <w:color w:val="000000"/>
              </w:rPr>
            </w:pPr>
            <w:r>
              <w:rPr>
                <w:color w:val="000000"/>
              </w:rPr>
              <w:t>Interest expense</w:t>
            </w:r>
          </w:p>
        </w:tc>
        <w:tc>
          <w:tcPr>
            <w:tcW w:w="567" w:type="dxa"/>
            <w:vAlign w:val="bottom"/>
          </w:tcPr>
          <w:p w14:paraId="68ED445A"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716414C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77EC9B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60DA28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42143E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B37B2F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2DA703A" w14:textId="77777777" w:rsidR="008E5DE4" w:rsidRDefault="008E5DE4">
            <w:pPr>
              <w:widowControl w:val="0"/>
              <w:pBdr>
                <w:top w:val="nil"/>
                <w:left w:val="nil"/>
                <w:bottom w:val="nil"/>
                <w:right w:val="nil"/>
                <w:between w:val="nil"/>
              </w:pBdr>
              <w:jc w:val="right"/>
              <w:rPr>
                <w:color w:val="000000"/>
              </w:rPr>
            </w:pPr>
          </w:p>
        </w:tc>
      </w:tr>
      <w:tr w:rsidR="008E5DE4" w14:paraId="2238AA17" w14:textId="77777777">
        <w:trPr>
          <w:cantSplit/>
          <w:tblHeader/>
        </w:trPr>
        <w:tc>
          <w:tcPr>
            <w:tcW w:w="3005" w:type="dxa"/>
            <w:vAlign w:val="bottom"/>
          </w:tcPr>
          <w:p w14:paraId="2FAF1F05"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Gains less losses from securities at FVTPL</w:t>
            </w:r>
          </w:p>
        </w:tc>
        <w:tc>
          <w:tcPr>
            <w:tcW w:w="567" w:type="dxa"/>
            <w:vAlign w:val="bottom"/>
          </w:tcPr>
          <w:p w14:paraId="6C45CE0B"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CFE63E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64C2C2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347933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BE768C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7ABF5F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B088DE7" w14:textId="77777777" w:rsidR="008E5DE4" w:rsidRDefault="008E5DE4">
            <w:pPr>
              <w:widowControl w:val="0"/>
              <w:pBdr>
                <w:top w:val="nil"/>
                <w:left w:val="nil"/>
                <w:bottom w:val="nil"/>
                <w:right w:val="nil"/>
                <w:between w:val="nil"/>
              </w:pBdr>
              <w:jc w:val="right"/>
              <w:rPr>
                <w:color w:val="000000"/>
              </w:rPr>
            </w:pPr>
          </w:p>
        </w:tc>
      </w:tr>
      <w:tr w:rsidR="008E5DE4" w14:paraId="7E6D6BD3" w14:textId="77777777">
        <w:trPr>
          <w:cantSplit/>
          <w:tblHeader/>
        </w:trPr>
        <w:tc>
          <w:tcPr>
            <w:tcW w:w="3005" w:type="dxa"/>
            <w:vAlign w:val="bottom"/>
          </w:tcPr>
          <w:p w14:paraId="72E1FFA8"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Gains less losses on restructuring of borrowings</w:t>
            </w:r>
          </w:p>
        </w:tc>
        <w:tc>
          <w:tcPr>
            <w:tcW w:w="567" w:type="dxa"/>
            <w:vAlign w:val="bottom"/>
          </w:tcPr>
          <w:p w14:paraId="6319BEEC"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6DBE5D5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B0FCB3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7F4CE1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592DD3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E3C40F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8945AD5" w14:textId="77777777" w:rsidR="008E5DE4" w:rsidRDefault="008E5DE4">
            <w:pPr>
              <w:widowControl w:val="0"/>
              <w:pBdr>
                <w:top w:val="nil"/>
                <w:left w:val="nil"/>
                <w:bottom w:val="nil"/>
                <w:right w:val="nil"/>
                <w:between w:val="nil"/>
              </w:pBdr>
              <w:jc w:val="right"/>
              <w:rPr>
                <w:color w:val="000000"/>
              </w:rPr>
            </w:pPr>
          </w:p>
        </w:tc>
      </w:tr>
      <w:tr w:rsidR="008E5DE4" w14:paraId="462D426B" w14:textId="77777777">
        <w:trPr>
          <w:cantSplit/>
          <w:tblHeader/>
        </w:trPr>
        <w:tc>
          <w:tcPr>
            <w:tcW w:w="3005" w:type="dxa"/>
            <w:vAlign w:val="bottom"/>
          </w:tcPr>
          <w:p w14:paraId="46CE84AC"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Gains less losses on early redemption of borrowings</w:t>
            </w:r>
          </w:p>
        </w:tc>
        <w:tc>
          <w:tcPr>
            <w:tcW w:w="567" w:type="dxa"/>
            <w:vAlign w:val="bottom"/>
          </w:tcPr>
          <w:p w14:paraId="7BC4A09C"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152709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2B71F4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6371A3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AF597C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ACBB6E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434BC6C" w14:textId="77777777" w:rsidR="008E5DE4" w:rsidRDefault="008E5DE4">
            <w:pPr>
              <w:widowControl w:val="0"/>
              <w:pBdr>
                <w:top w:val="nil"/>
                <w:left w:val="nil"/>
                <w:bottom w:val="nil"/>
                <w:right w:val="nil"/>
                <w:between w:val="nil"/>
              </w:pBdr>
              <w:jc w:val="right"/>
              <w:rPr>
                <w:color w:val="000000"/>
              </w:rPr>
            </w:pPr>
          </w:p>
        </w:tc>
      </w:tr>
      <w:tr w:rsidR="008E5DE4" w14:paraId="7C125ED9" w14:textId="77777777">
        <w:trPr>
          <w:cantSplit/>
          <w:tblHeader/>
        </w:trPr>
        <w:tc>
          <w:tcPr>
            <w:tcW w:w="3005" w:type="dxa"/>
            <w:vAlign w:val="bottom"/>
          </w:tcPr>
          <w:p w14:paraId="5159CBC7"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Share of result of associates and joint ventures</w:t>
            </w:r>
          </w:p>
        </w:tc>
        <w:tc>
          <w:tcPr>
            <w:tcW w:w="567" w:type="dxa"/>
            <w:vAlign w:val="bottom"/>
          </w:tcPr>
          <w:p w14:paraId="7CEB6103"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6CF5BA7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9FFED6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A4377D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9592A6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CBC8D3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881F14A" w14:textId="77777777" w:rsidR="008E5DE4" w:rsidRDefault="008E5DE4">
            <w:pPr>
              <w:widowControl w:val="0"/>
              <w:pBdr>
                <w:top w:val="nil"/>
                <w:left w:val="nil"/>
                <w:bottom w:val="nil"/>
                <w:right w:val="nil"/>
                <w:between w:val="nil"/>
              </w:pBdr>
              <w:jc w:val="right"/>
              <w:rPr>
                <w:color w:val="000000"/>
              </w:rPr>
            </w:pPr>
          </w:p>
        </w:tc>
      </w:tr>
      <w:tr w:rsidR="008E5DE4" w14:paraId="00E0D610" w14:textId="77777777">
        <w:trPr>
          <w:cantSplit/>
          <w:tblHeader/>
        </w:trPr>
        <w:tc>
          <w:tcPr>
            <w:tcW w:w="3005" w:type="dxa"/>
            <w:vAlign w:val="bottom"/>
          </w:tcPr>
          <w:p w14:paraId="67CDA929" w14:textId="048F5191" w:rsidR="008E5DE4" w:rsidRDefault="008E5DE4">
            <w:pPr>
              <w:widowControl w:val="0"/>
              <w:pBdr>
                <w:top w:val="nil"/>
                <w:left w:val="nil"/>
                <w:bottom w:val="nil"/>
                <w:right w:val="nil"/>
                <w:between w:val="nil"/>
              </w:pBdr>
              <w:tabs>
                <w:tab w:val="right" w:pos="8782"/>
              </w:tabs>
              <w:ind w:left="113" w:right="-57" w:hanging="113"/>
              <w:rPr>
                <w:i/>
                <w:color w:val="FF0000"/>
              </w:rPr>
            </w:pPr>
          </w:p>
        </w:tc>
        <w:tc>
          <w:tcPr>
            <w:tcW w:w="567" w:type="dxa"/>
            <w:vAlign w:val="bottom"/>
          </w:tcPr>
          <w:p w14:paraId="57DF6D53"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171E46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954997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D91283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4C10E6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D52CE1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CB89960" w14:textId="77777777" w:rsidR="008E5DE4" w:rsidRDefault="008E5DE4">
            <w:pPr>
              <w:widowControl w:val="0"/>
              <w:pBdr>
                <w:top w:val="nil"/>
                <w:left w:val="nil"/>
                <w:bottom w:val="nil"/>
                <w:right w:val="nil"/>
                <w:between w:val="nil"/>
              </w:pBdr>
              <w:jc w:val="right"/>
              <w:rPr>
                <w:color w:val="000000"/>
              </w:rPr>
            </w:pPr>
          </w:p>
        </w:tc>
      </w:tr>
      <w:tr w:rsidR="008E5DE4" w14:paraId="6B167408" w14:textId="77777777">
        <w:trPr>
          <w:cantSplit/>
          <w:tblHeader/>
        </w:trPr>
        <w:tc>
          <w:tcPr>
            <w:tcW w:w="3005" w:type="dxa"/>
            <w:tcBorders>
              <w:bottom w:val="single" w:sz="12" w:space="0" w:color="000000"/>
            </w:tcBorders>
            <w:vAlign w:val="bottom"/>
          </w:tcPr>
          <w:p w14:paraId="4C80E3BA" w14:textId="77777777" w:rsidR="008E5DE4" w:rsidRDefault="00780368">
            <w:pPr>
              <w:widowControl w:val="0"/>
              <w:ind w:left="113" w:right="-57" w:hanging="113"/>
            </w:pPr>
            <w:r>
              <w:rPr>
                <w:b/>
              </w:rPr>
              <w:t> </w:t>
            </w:r>
          </w:p>
        </w:tc>
        <w:tc>
          <w:tcPr>
            <w:tcW w:w="567" w:type="dxa"/>
            <w:tcBorders>
              <w:bottom w:val="single" w:sz="12" w:space="0" w:color="000000"/>
            </w:tcBorders>
            <w:vAlign w:val="bottom"/>
          </w:tcPr>
          <w:p w14:paraId="07AD2E17" w14:textId="77777777" w:rsidR="008E5DE4" w:rsidRDefault="008E5DE4">
            <w:pPr>
              <w:widowControl w:val="0"/>
              <w:ind w:left="-57" w:right="-57"/>
              <w:jc w:val="center"/>
            </w:pPr>
          </w:p>
        </w:tc>
        <w:tc>
          <w:tcPr>
            <w:tcW w:w="964" w:type="dxa"/>
            <w:tcBorders>
              <w:bottom w:val="single" w:sz="12" w:space="0" w:color="000000"/>
            </w:tcBorders>
            <w:vAlign w:val="bottom"/>
          </w:tcPr>
          <w:p w14:paraId="19CDED4B" w14:textId="77777777" w:rsidR="008E5DE4" w:rsidRDefault="008E5DE4">
            <w:pPr>
              <w:widowControl w:val="0"/>
              <w:jc w:val="right"/>
            </w:pPr>
          </w:p>
        </w:tc>
        <w:tc>
          <w:tcPr>
            <w:tcW w:w="964" w:type="dxa"/>
            <w:tcBorders>
              <w:bottom w:val="single" w:sz="12" w:space="0" w:color="000000"/>
            </w:tcBorders>
            <w:vAlign w:val="bottom"/>
          </w:tcPr>
          <w:p w14:paraId="0C150DEC" w14:textId="77777777" w:rsidR="008E5DE4" w:rsidRDefault="008E5DE4">
            <w:pPr>
              <w:widowControl w:val="0"/>
              <w:jc w:val="right"/>
            </w:pPr>
          </w:p>
        </w:tc>
        <w:tc>
          <w:tcPr>
            <w:tcW w:w="964" w:type="dxa"/>
            <w:tcBorders>
              <w:bottom w:val="single" w:sz="12" w:space="0" w:color="000000"/>
            </w:tcBorders>
            <w:vAlign w:val="bottom"/>
          </w:tcPr>
          <w:p w14:paraId="1EC3C8A4" w14:textId="77777777" w:rsidR="008E5DE4" w:rsidRDefault="008E5DE4">
            <w:pPr>
              <w:widowControl w:val="0"/>
              <w:jc w:val="right"/>
            </w:pPr>
          </w:p>
        </w:tc>
        <w:tc>
          <w:tcPr>
            <w:tcW w:w="964" w:type="dxa"/>
            <w:tcBorders>
              <w:bottom w:val="single" w:sz="12" w:space="0" w:color="000000"/>
            </w:tcBorders>
            <w:vAlign w:val="bottom"/>
          </w:tcPr>
          <w:p w14:paraId="57F4EE01" w14:textId="77777777" w:rsidR="008E5DE4" w:rsidRDefault="008E5DE4">
            <w:pPr>
              <w:widowControl w:val="0"/>
              <w:jc w:val="right"/>
            </w:pPr>
          </w:p>
        </w:tc>
        <w:tc>
          <w:tcPr>
            <w:tcW w:w="964" w:type="dxa"/>
            <w:tcBorders>
              <w:bottom w:val="single" w:sz="12" w:space="0" w:color="000000"/>
            </w:tcBorders>
            <w:vAlign w:val="bottom"/>
          </w:tcPr>
          <w:p w14:paraId="6A5B7F91" w14:textId="77777777" w:rsidR="008E5DE4" w:rsidRDefault="008E5DE4">
            <w:pPr>
              <w:widowControl w:val="0"/>
              <w:jc w:val="right"/>
            </w:pPr>
          </w:p>
        </w:tc>
        <w:tc>
          <w:tcPr>
            <w:tcW w:w="964" w:type="dxa"/>
            <w:tcBorders>
              <w:bottom w:val="single" w:sz="12" w:space="0" w:color="000000"/>
            </w:tcBorders>
            <w:vAlign w:val="bottom"/>
          </w:tcPr>
          <w:p w14:paraId="5339CA65" w14:textId="77777777" w:rsidR="008E5DE4" w:rsidRDefault="008E5DE4">
            <w:pPr>
              <w:widowControl w:val="0"/>
              <w:jc w:val="right"/>
            </w:pPr>
          </w:p>
        </w:tc>
      </w:tr>
    </w:tbl>
    <w:p w14:paraId="576E53F6" w14:textId="5A1DA5CA"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other rights and obligations connected to related parties were as follows:</w:t>
      </w:r>
    </w:p>
    <w:tbl>
      <w:tblPr>
        <w:tblStyle w:val="afd"/>
        <w:tblW w:w="9356" w:type="dxa"/>
        <w:tblLayout w:type="fixed"/>
        <w:tblLook w:val="0000" w:firstRow="0" w:lastRow="0" w:firstColumn="0" w:lastColumn="0" w:noHBand="0" w:noVBand="0"/>
      </w:tblPr>
      <w:tblGrid>
        <w:gridCol w:w="3005"/>
        <w:gridCol w:w="567"/>
        <w:gridCol w:w="964"/>
        <w:gridCol w:w="964"/>
        <w:gridCol w:w="964"/>
        <w:gridCol w:w="964"/>
        <w:gridCol w:w="964"/>
        <w:gridCol w:w="964"/>
      </w:tblGrid>
      <w:tr w:rsidR="008E5DE4" w14:paraId="6838D72D" w14:textId="77777777">
        <w:trPr>
          <w:cantSplit/>
        </w:trPr>
        <w:tc>
          <w:tcPr>
            <w:tcW w:w="3005" w:type="dxa"/>
            <w:tcBorders>
              <w:bottom w:val="single" w:sz="4" w:space="0" w:color="000000"/>
            </w:tcBorders>
            <w:vAlign w:val="bottom"/>
          </w:tcPr>
          <w:p w14:paraId="3E97E45A" w14:textId="77777777" w:rsidR="008E5DE4" w:rsidRDefault="00780368">
            <w:pPr>
              <w:widowControl w:val="0"/>
              <w:ind w:left="113" w:right="-57" w:hanging="113"/>
              <w:rPr>
                <w:i/>
              </w:rPr>
            </w:pPr>
            <w:r>
              <w:rPr>
                <w:i/>
              </w:rPr>
              <w:t>In thousands of EUR</w:t>
            </w:r>
          </w:p>
        </w:tc>
        <w:tc>
          <w:tcPr>
            <w:tcW w:w="567" w:type="dxa"/>
            <w:tcBorders>
              <w:bottom w:val="single" w:sz="4" w:space="0" w:color="000000"/>
            </w:tcBorders>
            <w:vAlign w:val="bottom"/>
          </w:tcPr>
          <w:p w14:paraId="64201E52"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964" w:type="dxa"/>
            <w:tcBorders>
              <w:bottom w:val="single" w:sz="4" w:space="0" w:color="000000"/>
            </w:tcBorders>
          </w:tcPr>
          <w:p w14:paraId="3F381086" w14:textId="77777777" w:rsidR="008E5DE4" w:rsidRDefault="00780368">
            <w:pPr>
              <w:widowControl w:val="0"/>
              <w:pBdr>
                <w:top w:val="nil"/>
                <w:left w:val="nil"/>
                <w:bottom w:val="nil"/>
                <w:right w:val="nil"/>
                <w:between w:val="nil"/>
              </w:pBdr>
              <w:ind w:left="-113"/>
              <w:jc w:val="right"/>
              <w:rPr>
                <w:b/>
                <w:color w:val="000000"/>
              </w:rPr>
            </w:pPr>
            <w:r>
              <w:rPr>
                <w:b/>
                <w:color w:val="000000"/>
              </w:rPr>
              <w:t>Parent company</w:t>
            </w:r>
          </w:p>
        </w:tc>
        <w:tc>
          <w:tcPr>
            <w:tcW w:w="964" w:type="dxa"/>
            <w:tcBorders>
              <w:bottom w:val="single" w:sz="4" w:space="0" w:color="000000"/>
            </w:tcBorders>
          </w:tcPr>
          <w:p w14:paraId="64DEAB43"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Other </w:t>
            </w:r>
            <w:proofErr w:type="spellStart"/>
            <w:r>
              <w:rPr>
                <w:b/>
                <w:color w:val="000000"/>
              </w:rPr>
              <w:t>signifi</w:t>
            </w:r>
            <w:proofErr w:type="spellEnd"/>
            <w:r>
              <w:rPr>
                <w:b/>
                <w:color w:val="000000"/>
              </w:rPr>
              <w:t>-</w:t>
            </w:r>
            <w:proofErr w:type="gramStart"/>
            <w:r>
              <w:rPr>
                <w:b/>
                <w:color w:val="000000"/>
              </w:rPr>
              <w:t>cant</w:t>
            </w:r>
            <w:proofErr w:type="gramEnd"/>
            <w:r>
              <w:rPr>
                <w:b/>
                <w:color w:val="000000"/>
              </w:rPr>
              <w:t xml:space="preserve"> </w:t>
            </w:r>
            <w:proofErr w:type="gramStart"/>
            <w:r>
              <w:rPr>
                <w:b/>
                <w:color w:val="000000"/>
              </w:rPr>
              <w:t>share-holders</w:t>
            </w:r>
            <w:proofErr w:type="gramEnd"/>
          </w:p>
        </w:tc>
        <w:tc>
          <w:tcPr>
            <w:tcW w:w="964" w:type="dxa"/>
            <w:tcBorders>
              <w:bottom w:val="single" w:sz="4" w:space="0" w:color="000000"/>
            </w:tcBorders>
          </w:tcPr>
          <w:p w14:paraId="4D5D0739" w14:textId="77777777" w:rsidR="008E5DE4" w:rsidRDefault="00780368">
            <w:pPr>
              <w:widowControl w:val="0"/>
              <w:pBdr>
                <w:top w:val="nil"/>
                <w:left w:val="nil"/>
                <w:bottom w:val="nil"/>
                <w:right w:val="nil"/>
                <w:between w:val="nil"/>
              </w:pBdr>
              <w:ind w:left="-113"/>
              <w:jc w:val="right"/>
              <w:rPr>
                <w:b/>
                <w:color w:val="000000"/>
              </w:rPr>
            </w:pPr>
            <w:r>
              <w:rPr>
                <w:b/>
                <w:color w:val="000000"/>
              </w:rPr>
              <w:t>Entities under common control</w:t>
            </w:r>
          </w:p>
        </w:tc>
        <w:tc>
          <w:tcPr>
            <w:tcW w:w="964" w:type="dxa"/>
            <w:tcBorders>
              <w:bottom w:val="single" w:sz="4" w:space="0" w:color="000000"/>
            </w:tcBorders>
          </w:tcPr>
          <w:p w14:paraId="04EB0667" w14:textId="77777777" w:rsidR="008E5DE4" w:rsidRDefault="00780368">
            <w:pPr>
              <w:widowControl w:val="0"/>
              <w:pBdr>
                <w:top w:val="nil"/>
                <w:left w:val="nil"/>
                <w:bottom w:val="nil"/>
                <w:right w:val="nil"/>
                <w:between w:val="nil"/>
              </w:pBdr>
              <w:ind w:left="-113"/>
              <w:jc w:val="right"/>
              <w:rPr>
                <w:b/>
                <w:color w:val="0000FF"/>
              </w:rPr>
            </w:pPr>
            <w:r>
              <w:rPr>
                <w:b/>
                <w:color w:val="0000FF"/>
              </w:rPr>
              <w:t>[</w:t>
            </w:r>
            <w:proofErr w:type="spellStart"/>
            <w:r>
              <w:rPr>
                <w:b/>
                <w:color w:val="0000FF"/>
              </w:rPr>
              <w:t>Associa-tes</w:t>
            </w:r>
            <w:proofErr w:type="spellEnd"/>
            <w:r>
              <w:rPr>
                <w:b/>
                <w:color w:val="0000FF"/>
              </w:rPr>
              <w:t>/ Joint ventures/ *Subsidiaries]</w:t>
            </w:r>
          </w:p>
        </w:tc>
        <w:tc>
          <w:tcPr>
            <w:tcW w:w="964" w:type="dxa"/>
            <w:tcBorders>
              <w:bottom w:val="single" w:sz="4" w:space="0" w:color="000000"/>
            </w:tcBorders>
          </w:tcPr>
          <w:p w14:paraId="47615816" w14:textId="3C4E03AD" w:rsidR="008E5DE4" w:rsidRDefault="00780368">
            <w:pPr>
              <w:widowControl w:val="0"/>
              <w:pBdr>
                <w:top w:val="nil"/>
                <w:left w:val="nil"/>
                <w:bottom w:val="nil"/>
                <w:right w:val="nil"/>
                <w:between w:val="nil"/>
              </w:pBdr>
              <w:ind w:left="-113"/>
              <w:jc w:val="right"/>
              <w:rPr>
                <w:b/>
                <w:color w:val="000000"/>
              </w:rPr>
            </w:pPr>
            <w:r>
              <w:rPr>
                <w:b/>
                <w:color w:val="000000"/>
              </w:rPr>
              <w:t>Key mana-</w:t>
            </w:r>
            <w:proofErr w:type="spellStart"/>
            <w:r>
              <w:rPr>
                <w:b/>
                <w:color w:val="000000"/>
              </w:rPr>
              <w:t>gement</w:t>
            </w:r>
            <w:proofErr w:type="spellEnd"/>
            <w:r>
              <w:rPr>
                <w:b/>
                <w:color w:val="000000"/>
              </w:rPr>
              <w:t xml:space="preserve"> per</w:t>
            </w:r>
            <w:r w:rsidR="002D1669">
              <w:rPr>
                <w:b/>
                <w:color w:val="000000"/>
              </w:rPr>
              <w:t>-</w:t>
            </w:r>
            <w:proofErr w:type="spellStart"/>
            <w:r>
              <w:rPr>
                <w:b/>
                <w:color w:val="000000"/>
              </w:rPr>
              <w:t>sonnel</w:t>
            </w:r>
            <w:proofErr w:type="spellEnd"/>
          </w:p>
        </w:tc>
        <w:tc>
          <w:tcPr>
            <w:tcW w:w="964" w:type="dxa"/>
            <w:tcBorders>
              <w:bottom w:val="single" w:sz="4" w:space="0" w:color="000000"/>
            </w:tcBorders>
          </w:tcPr>
          <w:p w14:paraId="7C7D2672" w14:textId="77777777" w:rsidR="008E5DE4" w:rsidRDefault="00780368">
            <w:pPr>
              <w:widowControl w:val="0"/>
              <w:pBdr>
                <w:top w:val="nil"/>
                <w:left w:val="nil"/>
                <w:bottom w:val="nil"/>
                <w:right w:val="nil"/>
                <w:between w:val="nil"/>
              </w:pBdr>
              <w:ind w:left="-113"/>
              <w:jc w:val="right"/>
              <w:rPr>
                <w:b/>
                <w:color w:val="000000"/>
              </w:rPr>
            </w:pPr>
            <w:r>
              <w:rPr>
                <w:b/>
                <w:color w:val="000000"/>
              </w:rPr>
              <w:t>Other related parties</w:t>
            </w:r>
          </w:p>
        </w:tc>
      </w:tr>
      <w:tr w:rsidR="008E5DE4" w14:paraId="5D2B97B4" w14:textId="77777777">
        <w:trPr>
          <w:cantSplit/>
        </w:trPr>
        <w:tc>
          <w:tcPr>
            <w:tcW w:w="3005" w:type="dxa"/>
            <w:tcBorders>
              <w:top w:val="single" w:sz="4" w:space="0" w:color="000000"/>
            </w:tcBorders>
            <w:vAlign w:val="bottom"/>
          </w:tcPr>
          <w:p w14:paraId="67A3CB9C" w14:textId="77777777" w:rsidR="008E5DE4" w:rsidRDefault="00780368">
            <w:pPr>
              <w:widowControl w:val="0"/>
              <w:ind w:left="113" w:right="-57" w:hanging="113"/>
            </w:pPr>
            <w:r>
              <w:rPr>
                <w:b/>
              </w:rPr>
              <w:t> </w:t>
            </w:r>
          </w:p>
        </w:tc>
        <w:tc>
          <w:tcPr>
            <w:tcW w:w="567" w:type="dxa"/>
            <w:tcBorders>
              <w:top w:val="single" w:sz="4" w:space="0" w:color="000000"/>
            </w:tcBorders>
            <w:vAlign w:val="bottom"/>
          </w:tcPr>
          <w:p w14:paraId="11C71FF4" w14:textId="77777777" w:rsidR="008E5DE4" w:rsidRDefault="008E5DE4">
            <w:pPr>
              <w:widowControl w:val="0"/>
              <w:pBdr>
                <w:top w:val="nil"/>
                <w:left w:val="nil"/>
                <w:bottom w:val="nil"/>
                <w:right w:val="nil"/>
                <w:between w:val="nil"/>
              </w:pBdr>
              <w:ind w:left="-57" w:right="-57"/>
              <w:jc w:val="center"/>
              <w:rPr>
                <w:color w:val="000000"/>
              </w:rPr>
            </w:pPr>
          </w:p>
        </w:tc>
        <w:tc>
          <w:tcPr>
            <w:tcW w:w="964" w:type="dxa"/>
            <w:tcBorders>
              <w:top w:val="single" w:sz="4" w:space="0" w:color="000000"/>
            </w:tcBorders>
            <w:vAlign w:val="bottom"/>
          </w:tcPr>
          <w:p w14:paraId="1F2185EB"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641B5DA3"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08E42B2E"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34594BF1"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60C33A49" w14:textId="77777777" w:rsidR="008E5DE4" w:rsidRDefault="008E5DE4">
            <w:pPr>
              <w:widowControl w:val="0"/>
              <w:pBdr>
                <w:top w:val="nil"/>
                <w:left w:val="nil"/>
                <w:bottom w:val="nil"/>
                <w:right w:val="nil"/>
                <w:between w:val="nil"/>
              </w:pBdr>
              <w:jc w:val="right"/>
              <w:rPr>
                <w:color w:val="000000"/>
              </w:rPr>
            </w:pPr>
          </w:p>
        </w:tc>
        <w:tc>
          <w:tcPr>
            <w:tcW w:w="964" w:type="dxa"/>
            <w:tcBorders>
              <w:top w:val="single" w:sz="4" w:space="0" w:color="000000"/>
            </w:tcBorders>
            <w:vAlign w:val="bottom"/>
          </w:tcPr>
          <w:p w14:paraId="3C9FE547" w14:textId="77777777" w:rsidR="008E5DE4" w:rsidRDefault="008E5DE4">
            <w:pPr>
              <w:widowControl w:val="0"/>
              <w:pBdr>
                <w:top w:val="nil"/>
                <w:left w:val="nil"/>
                <w:bottom w:val="nil"/>
                <w:right w:val="nil"/>
                <w:between w:val="nil"/>
              </w:pBdr>
              <w:jc w:val="right"/>
              <w:rPr>
                <w:color w:val="000000"/>
              </w:rPr>
            </w:pPr>
          </w:p>
        </w:tc>
      </w:tr>
      <w:tr w:rsidR="008E5DE4" w14:paraId="46F60054" w14:textId="77777777">
        <w:trPr>
          <w:cantSplit/>
        </w:trPr>
        <w:tc>
          <w:tcPr>
            <w:tcW w:w="3005" w:type="dxa"/>
            <w:vAlign w:val="bottom"/>
          </w:tcPr>
          <w:p w14:paraId="6C67B618" w14:textId="77777777" w:rsidR="008E5DE4" w:rsidRDefault="00780368">
            <w:pPr>
              <w:widowControl w:val="0"/>
              <w:pBdr>
                <w:top w:val="nil"/>
                <w:left w:val="nil"/>
                <w:bottom w:val="nil"/>
                <w:right w:val="nil"/>
                <w:between w:val="nil"/>
              </w:pBdr>
              <w:ind w:left="113" w:right="-57" w:hanging="113"/>
              <w:rPr>
                <w:color w:val="000000"/>
              </w:rPr>
            </w:pPr>
            <w:r>
              <w:rPr>
                <w:color w:val="000000"/>
              </w:rPr>
              <w:t>Guarantees issued by the Group at the year end</w:t>
            </w:r>
          </w:p>
        </w:tc>
        <w:tc>
          <w:tcPr>
            <w:tcW w:w="567" w:type="dxa"/>
            <w:vAlign w:val="bottom"/>
          </w:tcPr>
          <w:p w14:paraId="61C1B186"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5EC456C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D427FE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B32098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9A3570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A4DA39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F89DD27" w14:textId="77777777" w:rsidR="008E5DE4" w:rsidRDefault="008E5DE4">
            <w:pPr>
              <w:widowControl w:val="0"/>
              <w:pBdr>
                <w:top w:val="nil"/>
                <w:left w:val="nil"/>
                <w:bottom w:val="nil"/>
                <w:right w:val="nil"/>
                <w:between w:val="nil"/>
              </w:pBdr>
              <w:jc w:val="right"/>
              <w:rPr>
                <w:color w:val="000000"/>
              </w:rPr>
            </w:pPr>
          </w:p>
        </w:tc>
      </w:tr>
      <w:tr w:rsidR="008E5DE4" w14:paraId="531B1A9C" w14:textId="77777777">
        <w:trPr>
          <w:cantSplit/>
        </w:trPr>
        <w:tc>
          <w:tcPr>
            <w:tcW w:w="3005" w:type="dxa"/>
            <w:vAlign w:val="bottom"/>
          </w:tcPr>
          <w:p w14:paraId="66776437" w14:textId="77777777" w:rsidR="008E5DE4" w:rsidRDefault="00780368">
            <w:pPr>
              <w:widowControl w:val="0"/>
              <w:pBdr>
                <w:top w:val="nil"/>
                <w:left w:val="nil"/>
                <w:bottom w:val="nil"/>
                <w:right w:val="nil"/>
                <w:between w:val="nil"/>
              </w:pBdr>
              <w:ind w:left="113" w:right="-57" w:hanging="113"/>
              <w:rPr>
                <w:color w:val="000000"/>
              </w:rPr>
            </w:pPr>
            <w:r>
              <w:rPr>
                <w:color w:val="000000"/>
              </w:rPr>
              <w:t>Guarantees received by the Group at the year end</w:t>
            </w:r>
          </w:p>
        </w:tc>
        <w:tc>
          <w:tcPr>
            <w:tcW w:w="567" w:type="dxa"/>
            <w:vAlign w:val="bottom"/>
          </w:tcPr>
          <w:p w14:paraId="0D4C79AF"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9E4F10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EFFC48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5235C3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895767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8EF37F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C437638" w14:textId="77777777" w:rsidR="008E5DE4" w:rsidRDefault="008E5DE4">
            <w:pPr>
              <w:widowControl w:val="0"/>
              <w:pBdr>
                <w:top w:val="nil"/>
                <w:left w:val="nil"/>
                <w:bottom w:val="nil"/>
                <w:right w:val="nil"/>
                <w:between w:val="nil"/>
              </w:pBdr>
              <w:jc w:val="right"/>
              <w:rPr>
                <w:color w:val="000000"/>
              </w:rPr>
            </w:pPr>
          </w:p>
        </w:tc>
      </w:tr>
      <w:tr w:rsidR="008E5DE4" w14:paraId="32F5C07D" w14:textId="77777777">
        <w:trPr>
          <w:cantSplit/>
        </w:trPr>
        <w:tc>
          <w:tcPr>
            <w:tcW w:w="3005" w:type="dxa"/>
            <w:vAlign w:val="bottom"/>
          </w:tcPr>
          <w:p w14:paraId="51D8AB76" w14:textId="77777777" w:rsidR="008E5DE4" w:rsidRDefault="00780368">
            <w:pPr>
              <w:widowControl w:val="0"/>
              <w:pBdr>
                <w:top w:val="nil"/>
                <w:left w:val="nil"/>
                <w:bottom w:val="nil"/>
                <w:right w:val="nil"/>
                <w:between w:val="nil"/>
              </w:pBdr>
              <w:ind w:left="113" w:right="-57" w:hanging="113"/>
              <w:rPr>
                <w:color w:val="000000"/>
              </w:rPr>
            </w:pPr>
            <w:r>
              <w:rPr>
                <w:color w:val="000000"/>
              </w:rPr>
              <w:t>Contractual commitments to purchase goods</w:t>
            </w:r>
          </w:p>
        </w:tc>
        <w:tc>
          <w:tcPr>
            <w:tcW w:w="567" w:type="dxa"/>
            <w:vAlign w:val="bottom"/>
          </w:tcPr>
          <w:p w14:paraId="0036B114"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4D33EC4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BFB8F5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CB621D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23E1CC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3E239E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8D3732A" w14:textId="77777777" w:rsidR="008E5DE4" w:rsidRDefault="008E5DE4">
            <w:pPr>
              <w:widowControl w:val="0"/>
              <w:pBdr>
                <w:top w:val="nil"/>
                <w:left w:val="nil"/>
                <w:bottom w:val="nil"/>
                <w:right w:val="nil"/>
                <w:between w:val="nil"/>
              </w:pBdr>
              <w:jc w:val="right"/>
              <w:rPr>
                <w:color w:val="000000"/>
              </w:rPr>
            </w:pPr>
          </w:p>
        </w:tc>
      </w:tr>
      <w:tr w:rsidR="008E5DE4" w14:paraId="15F294A1" w14:textId="77777777">
        <w:trPr>
          <w:cantSplit/>
        </w:trPr>
        <w:tc>
          <w:tcPr>
            <w:tcW w:w="3005" w:type="dxa"/>
            <w:vAlign w:val="bottom"/>
          </w:tcPr>
          <w:p w14:paraId="18E65806" w14:textId="77777777" w:rsidR="008E5DE4" w:rsidRDefault="00780368">
            <w:pPr>
              <w:widowControl w:val="0"/>
              <w:pBdr>
                <w:top w:val="nil"/>
                <w:left w:val="nil"/>
                <w:bottom w:val="nil"/>
                <w:right w:val="nil"/>
                <w:between w:val="nil"/>
              </w:pBdr>
              <w:ind w:left="113" w:right="-57" w:hanging="113"/>
              <w:rPr>
                <w:color w:val="000000"/>
              </w:rPr>
            </w:pPr>
            <w:r>
              <w:rPr>
                <w:color w:val="000000"/>
              </w:rPr>
              <w:t>Contractual commitments to purchase services</w:t>
            </w:r>
          </w:p>
        </w:tc>
        <w:tc>
          <w:tcPr>
            <w:tcW w:w="567" w:type="dxa"/>
            <w:vAlign w:val="bottom"/>
          </w:tcPr>
          <w:p w14:paraId="57CBA523"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3A8B0A14"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30E7D5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DEBC89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97B8CC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3D5383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5DA621C" w14:textId="77777777" w:rsidR="008E5DE4" w:rsidRDefault="008E5DE4">
            <w:pPr>
              <w:widowControl w:val="0"/>
              <w:pBdr>
                <w:top w:val="nil"/>
                <w:left w:val="nil"/>
                <w:bottom w:val="nil"/>
                <w:right w:val="nil"/>
                <w:between w:val="nil"/>
              </w:pBdr>
              <w:jc w:val="right"/>
              <w:rPr>
                <w:color w:val="000000"/>
              </w:rPr>
            </w:pPr>
          </w:p>
        </w:tc>
      </w:tr>
      <w:tr w:rsidR="008E5DE4" w14:paraId="485ADDEC" w14:textId="77777777">
        <w:trPr>
          <w:cantSplit/>
        </w:trPr>
        <w:tc>
          <w:tcPr>
            <w:tcW w:w="3005" w:type="dxa"/>
            <w:vAlign w:val="bottom"/>
          </w:tcPr>
          <w:p w14:paraId="163CB0C5" w14:textId="77777777" w:rsidR="008E5DE4" w:rsidRDefault="00780368">
            <w:pPr>
              <w:widowControl w:val="0"/>
              <w:pBdr>
                <w:top w:val="nil"/>
                <w:left w:val="nil"/>
                <w:bottom w:val="nil"/>
                <w:right w:val="nil"/>
                <w:between w:val="nil"/>
              </w:pBdr>
              <w:ind w:left="113" w:right="-57" w:hanging="113"/>
              <w:rPr>
                <w:color w:val="000000"/>
              </w:rPr>
            </w:pPr>
            <w:r>
              <w:rPr>
                <w:color w:val="000000"/>
              </w:rPr>
              <w:t>Contractual commitments to sell goods</w:t>
            </w:r>
          </w:p>
        </w:tc>
        <w:tc>
          <w:tcPr>
            <w:tcW w:w="567" w:type="dxa"/>
            <w:vAlign w:val="bottom"/>
          </w:tcPr>
          <w:p w14:paraId="31562599"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50ED229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455DE8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D47377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0288AB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E5E027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7927336" w14:textId="77777777" w:rsidR="008E5DE4" w:rsidRDefault="008E5DE4">
            <w:pPr>
              <w:widowControl w:val="0"/>
              <w:pBdr>
                <w:top w:val="nil"/>
                <w:left w:val="nil"/>
                <w:bottom w:val="nil"/>
                <w:right w:val="nil"/>
                <w:between w:val="nil"/>
              </w:pBdr>
              <w:jc w:val="right"/>
              <w:rPr>
                <w:color w:val="000000"/>
              </w:rPr>
            </w:pPr>
          </w:p>
        </w:tc>
      </w:tr>
      <w:tr w:rsidR="008E5DE4" w14:paraId="2FEBF517" w14:textId="77777777">
        <w:trPr>
          <w:cantSplit/>
        </w:trPr>
        <w:tc>
          <w:tcPr>
            <w:tcW w:w="3005" w:type="dxa"/>
            <w:vAlign w:val="bottom"/>
          </w:tcPr>
          <w:p w14:paraId="61007196" w14:textId="77777777" w:rsidR="008E5DE4" w:rsidRDefault="00780368">
            <w:pPr>
              <w:widowControl w:val="0"/>
              <w:pBdr>
                <w:top w:val="nil"/>
                <w:left w:val="nil"/>
                <w:bottom w:val="nil"/>
                <w:right w:val="nil"/>
                <w:between w:val="nil"/>
              </w:pBdr>
              <w:ind w:left="113" w:right="-57" w:hanging="113"/>
              <w:rPr>
                <w:color w:val="000000"/>
              </w:rPr>
            </w:pPr>
            <w:r>
              <w:rPr>
                <w:color w:val="000000"/>
              </w:rPr>
              <w:t>Contractual commitments to sell services</w:t>
            </w:r>
          </w:p>
        </w:tc>
        <w:tc>
          <w:tcPr>
            <w:tcW w:w="567" w:type="dxa"/>
            <w:vAlign w:val="bottom"/>
          </w:tcPr>
          <w:p w14:paraId="691272F0"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3D04D2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92CEDEA"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BB029E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044ABC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57FE7D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6EEBD96" w14:textId="77777777" w:rsidR="008E5DE4" w:rsidRDefault="008E5DE4">
            <w:pPr>
              <w:widowControl w:val="0"/>
              <w:pBdr>
                <w:top w:val="nil"/>
                <w:left w:val="nil"/>
                <w:bottom w:val="nil"/>
                <w:right w:val="nil"/>
                <w:between w:val="nil"/>
              </w:pBdr>
              <w:jc w:val="right"/>
              <w:rPr>
                <w:color w:val="000000"/>
              </w:rPr>
            </w:pPr>
          </w:p>
        </w:tc>
      </w:tr>
      <w:tr w:rsidR="008E5DE4" w14:paraId="1F0956F3" w14:textId="77777777">
        <w:trPr>
          <w:cantSplit/>
        </w:trPr>
        <w:tc>
          <w:tcPr>
            <w:tcW w:w="3005" w:type="dxa"/>
            <w:vAlign w:val="bottom"/>
          </w:tcPr>
          <w:p w14:paraId="0A2645C8" w14:textId="0938D815" w:rsidR="008E5DE4" w:rsidRDefault="00780368">
            <w:pPr>
              <w:widowControl w:val="0"/>
              <w:pBdr>
                <w:top w:val="nil"/>
                <w:left w:val="nil"/>
                <w:bottom w:val="nil"/>
                <w:right w:val="nil"/>
                <w:between w:val="nil"/>
              </w:pBdr>
              <w:ind w:left="113" w:right="-57" w:hanging="113"/>
              <w:rPr>
                <w:color w:val="000000"/>
              </w:rPr>
            </w:pPr>
            <w:r>
              <w:rPr>
                <w:color w:val="000000"/>
              </w:rPr>
              <w:t xml:space="preserve">Other commitments and contingent obligations </w:t>
            </w:r>
          </w:p>
        </w:tc>
        <w:tc>
          <w:tcPr>
            <w:tcW w:w="567" w:type="dxa"/>
            <w:vAlign w:val="bottom"/>
          </w:tcPr>
          <w:p w14:paraId="794FB5A3" w14:textId="77777777" w:rsidR="008E5DE4" w:rsidRDefault="008E5DE4">
            <w:pPr>
              <w:widowControl w:val="0"/>
              <w:pBdr>
                <w:top w:val="nil"/>
                <w:left w:val="nil"/>
                <w:bottom w:val="nil"/>
                <w:right w:val="nil"/>
                <w:between w:val="nil"/>
              </w:pBdr>
              <w:ind w:left="-57" w:right="-57"/>
              <w:jc w:val="center"/>
              <w:rPr>
                <w:color w:val="000000"/>
              </w:rPr>
            </w:pPr>
          </w:p>
        </w:tc>
        <w:tc>
          <w:tcPr>
            <w:tcW w:w="964" w:type="dxa"/>
            <w:vAlign w:val="bottom"/>
          </w:tcPr>
          <w:p w14:paraId="01F81FF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6EEC9A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1BAE8B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A7F2F5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C47FB8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089BC4A" w14:textId="77777777" w:rsidR="008E5DE4" w:rsidRDefault="008E5DE4">
            <w:pPr>
              <w:widowControl w:val="0"/>
              <w:pBdr>
                <w:top w:val="nil"/>
                <w:left w:val="nil"/>
                <w:bottom w:val="nil"/>
                <w:right w:val="nil"/>
                <w:between w:val="nil"/>
              </w:pBdr>
              <w:jc w:val="right"/>
              <w:rPr>
                <w:color w:val="000000"/>
              </w:rPr>
            </w:pPr>
          </w:p>
        </w:tc>
      </w:tr>
      <w:tr w:rsidR="008E5DE4" w14:paraId="2FE92125" w14:textId="77777777">
        <w:trPr>
          <w:cantSplit/>
        </w:trPr>
        <w:tc>
          <w:tcPr>
            <w:tcW w:w="3005" w:type="dxa"/>
            <w:tcBorders>
              <w:bottom w:val="single" w:sz="12" w:space="0" w:color="000000"/>
            </w:tcBorders>
            <w:vAlign w:val="bottom"/>
          </w:tcPr>
          <w:p w14:paraId="4459699D" w14:textId="77777777" w:rsidR="008E5DE4" w:rsidRDefault="00780368">
            <w:pPr>
              <w:widowControl w:val="0"/>
              <w:ind w:left="113" w:right="-57" w:hanging="113"/>
            </w:pPr>
            <w:r>
              <w:rPr>
                <w:b/>
              </w:rPr>
              <w:t> </w:t>
            </w:r>
          </w:p>
        </w:tc>
        <w:tc>
          <w:tcPr>
            <w:tcW w:w="567" w:type="dxa"/>
            <w:tcBorders>
              <w:bottom w:val="single" w:sz="12" w:space="0" w:color="000000"/>
            </w:tcBorders>
            <w:vAlign w:val="bottom"/>
          </w:tcPr>
          <w:p w14:paraId="353594DC" w14:textId="77777777" w:rsidR="008E5DE4" w:rsidRDefault="008E5DE4">
            <w:pPr>
              <w:widowControl w:val="0"/>
              <w:ind w:left="-57" w:right="-57"/>
              <w:jc w:val="center"/>
            </w:pPr>
          </w:p>
        </w:tc>
        <w:tc>
          <w:tcPr>
            <w:tcW w:w="964" w:type="dxa"/>
            <w:tcBorders>
              <w:bottom w:val="single" w:sz="12" w:space="0" w:color="000000"/>
            </w:tcBorders>
            <w:vAlign w:val="bottom"/>
          </w:tcPr>
          <w:p w14:paraId="639C9A2E" w14:textId="77777777" w:rsidR="008E5DE4" w:rsidRDefault="008E5DE4">
            <w:pPr>
              <w:widowControl w:val="0"/>
              <w:jc w:val="right"/>
            </w:pPr>
          </w:p>
        </w:tc>
        <w:tc>
          <w:tcPr>
            <w:tcW w:w="964" w:type="dxa"/>
            <w:tcBorders>
              <w:bottom w:val="single" w:sz="12" w:space="0" w:color="000000"/>
            </w:tcBorders>
            <w:vAlign w:val="bottom"/>
          </w:tcPr>
          <w:p w14:paraId="09D3C3E3" w14:textId="77777777" w:rsidR="008E5DE4" w:rsidRDefault="008E5DE4">
            <w:pPr>
              <w:widowControl w:val="0"/>
              <w:jc w:val="right"/>
            </w:pPr>
          </w:p>
        </w:tc>
        <w:tc>
          <w:tcPr>
            <w:tcW w:w="964" w:type="dxa"/>
            <w:tcBorders>
              <w:bottom w:val="single" w:sz="12" w:space="0" w:color="000000"/>
            </w:tcBorders>
            <w:vAlign w:val="bottom"/>
          </w:tcPr>
          <w:p w14:paraId="1C0E8188" w14:textId="77777777" w:rsidR="008E5DE4" w:rsidRDefault="008E5DE4">
            <w:pPr>
              <w:widowControl w:val="0"/>
              <w:jc w:val="right"/>
            </w:pPr>
          </w:p>
        </w:tc>
        <w:tc>
          <w:tcPr>
            <w:tcW w:w="964" w:type="dxa"/>
            <w:tcBorders>
              <w:bottom w:val="single" w:sz="12" w:space="0" w:color="000000"/>
            </w:tcBorders>
            <w:vAlign w:val="bottom"/>
          </w:tcPr>
          <w:p w14:paraId="738BFC5E" w14:textId="77777777" w:rsidR="008E5DE4" w:rsidRDefault="008E5DE4">
            <w:pPr>
              <w:widowControl w:val="0"/>
              <w:jc w:val="right"/>
            </w:pPr>
          </w:p>
        </w:tc>
        <w:tc>
          <w:tcPr>
            <w:tcW w:w="964" w:type="dxa"/>
            <w:tcBorders>
              <w:bottom w:val="single" w:sz="12" w:space="0" w:color="000000"/>
            </w:tcBorders>
            <w:vAlign w:val="bottom"/>
          </w:tcPr>
          <w:p w14:paraId="5C5DAAAB" w14:textId="77777777" w:rsidR="008E5DE4" w:rsidRDefault="008E5DE4">
            <w:pPr>
              <w:widowControl w:val="0"/>
              <w:jc w:val="right"/>
            </w:pPr>
          </w:p>
        </w:tc>
        <w:tc>
          <w:tcPr>
            <w:tcW w:w="964" w:type="dxa"/>
            <w:tcBorders>
              <w:bottom w:val="single" w:sz="12" w:space="0" w:color="000000"/>
            </w:tcBorders>
            <w:vAlign w:val="bottom"/>
          </w:tcPr>
          <w:p w14:paraId="10693A2A" w14:textId="77777777" w:rsidR="008E5DE4" w:rsidRDefault="008E5DE4">
            <w:pPr>
              <w:widowControl w:val="0"/>
              <w:jc w:val="right"/>
            </w:pPr>
          </w:p>
        </w:tc>
      </w:tr>
    </w:tbl>
    <w:p w14:paraId="1DA951A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8</w:t>
      </w:r>
      <w:r>
        <w:rPr>
          <w:b/>
          <w:color w:val="000000"/>
          <w:sz w:val="20"/>
          <w:szCs w:val="20"/>
        </w:rPr>
        <w:tab/>
        <w:t>Balances and Transactions with Related Parties (Continued)</w:t>
      </w:r>
    </w:p>
    <w:p w14:paraId="03AE128B" w14:textId="2051624B"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Cross shareholding.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_____, a ___% owned subsidiary of </w:t>
      </w:r>
      <w:r>
        <w:rPr>
          <w:color w:val="0000FF"/>
          <w:sz w:val="20"/>
          <w:szCs w:val="20"/>
        </w:rPr>
        <w:t>[the Company]</w:t>
      </w:r>
      <w:r>
        <w:rPr>
          <w:color w:val="000000"/>
          <w:sz w:val="20"/>
          <w:szCs w:val="20"/>
        </w:rPr>
        <w:t xml:space="preserve">, owned ____% of the ordinary shares of the Company. Shares owned by ____ are accounted for as treasury </w:t>
      </w:r>
      <w:proofErr w:type="gramStart"/>
      <w:r>
        <w:rPr>
          <w:color w:val="000000"/>
          <w:sz w:val="20"/>
          <w:szCs w:val="20"/>
        </w:rPr>
        <w:t>shares, but</w:t>
      </w:r>
      <w:proofErr w:type="gramEnd"/>
      <w:r>
        <w:rPr>
          <w:color w:val="000000"/>
          <w:sz w:val="20"/>
          <w:szCs w:val="20"/>
        </w:rPr>
        <w:t xml:space="preserve"> retain their voting rights and rights to dividends.</w:t>
      </w:r>
    </w:p>
    <w:p w14:paraId="446ED9FE"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[Country]</w:t>
      </w:r>
      <w:r>
        <w:rPr>
          <w:color w:val="000000"/>
          <w:sz w:val="20"/>
          <w:szCs w:val="20"/>
        </w:rPr>
        <w:t xml:space="preserve"> state has </w:t>
      </w:r>
      <w:r>
        <w:rPr>
          <w:color w:val="0000FF"/>
          <w:sz w:val="20"/>
          <w:szCs w:val="20"/>
        </w:rPr>
        <w:t>[control / significant influence / joint control]</w:t>
      </w:r>
      <w:r>
        <w:rPr>
          <w:color w:val="000000"/>
          <w:sz w:val="20"/>
          <w:szCs w:val="20"/>
        </w:rPr>
        <w:t xml:space="preserve"> over the Group. The Group decided to apply the exemption from disclosure of individually insignificant transactions and balances with the government and parties that are related to the entity because the </w:t>
      </w:r>
      <w:r>
        <w:rPr>
          <w:color w:val="0000FF"/>
          <w:sz w:val="20"/>
          <w:szCs w:val="20"/>
        </w:rPr>
        <w:t>[Country]</w:t>
      </w:r>
      <w:r>
        <w:rPr>
          <w:color w:val="000000"/>
          <w:sz w:val="20"/>
          <w:szCs w:val="20"/>
        </w:rPr>
        <w:t xml:space="preserve"> state has control, joint control or significant influence over such party. </w:t>
      </w:r>
    </w:p>
    <w:p w14:paraId="6BADBF8F" w14:textId="5D6C230C"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purchases from and sells goods to </w:t>
      </w:r>
      <w:proofErr w:type="gramStart"/>
      <w:r>
        <w:rPr>
          <w:color w:val="000000"/>
          <w:sz w:val="20"/>
          <w:szCs w:val="20"/>
        </w:rPr>
        <w:t>a large number of</w:t>
      </w:r>
      <w:proofErr w:type="gramEnd"/>
      <w:r>
        <w:rPr>
          <w:color w:val="000000"/>
          <w:sz w:val="20"/>
          <w:szCs w:val="20"/>
        </w:rPr>
        <w:t xml:space="preserve"> government related entities. Such purchases and sales are individually insignificant and are generally entered into on an arm’s length basis. Transactions with the state also include taxes which are detailed in Notes 20, 31, 33, 36 and 39.</w:t>
      </w:r>
    </w:p>
    <w:p w14:paraId="039ACC6F" w14:textId="7D6058B8"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 xml:space="preserve">[As of </w:t>
      </w:r>
      <w:proofErr w:type="gramStart"/>
      <w:r>
        <w:rPr>
          <w:color w:val="0000FF"/>
          <w:sz w:val="20"/>
          <w:szCs w:val="20"/>
        </w:rPr>
        <w:t xml:space="preserve">31 December </w:t>
      </w:r>
      <w:r w:rsidR="008614F8">
        <w:rPr>
          <w:color w:val="0000FF"/>
          <w:sz w:val="20"/>
          <w:szCs w:val="20"/>
        </w:rPr>
        <w:t>2025</w:t>
      </w:r>
      <w:proofErr w:type="gramEnd"/>
      <w:r>
        <w:rPr>
          <w:color w:val="0000FF"/>
          <w:sz w:val="20"/>
          <w:szCs w:val="20"/>
        </w:rPr>
        <w:t xml:space="preserve"> and </w:t>
      </w:r>
      <w:r w:rsidR="00FF468A">
        <w:rPr>
          <w:color w:val="0000FF"/>
          <w:sz w:val="20"/>
          <w:szCs w:val="20"/>
        </w:rPr>
        <w:t>2024</w:t>
      </w:r>
      <w:r>
        <w:rPr>
          <w:color w:val="0000FF"/>
          <w:sz w:val="20"/>
          <w:szCs w:val="20"/>
        </w:rPr>
        <w:t xml:space="preserve"> the Company’s immediate [and ultimate] parent company was _____, and the Company was ultimately controlled by Mr _____. </w:t>
      </w:r>
    </w:p>
    <w:p w14:paraId="64A17EFC"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Key management compensation.</w:t>
      </w:r>
      <w:r>
        <w:rPr>
          <w:color w:val="000000"/>
          <w:sz w:val="20"/>
          <w:szCs w:val="20"/>
        </w:rPr>
        <w:t xml:space="preserve"> Key management includes </w:t>
      </w:r>
      <w:r>
        <w:rPr>
          <w:color w:val="0000FF"/>
          <w:sz w:val="20"/>
          <w:szCs w:val="20"/>
        </w:rPr>
        <w:t>[Directors (executive and non-executive), members of the Executive Committee, the Company Secretary and the Head of Internal Audit]</w:t>
      </w:r>
      <w:r>
        <w:rPr>
          <w:color w:val="000000"/>
          <w:sz w:val="20"/>
          <w:szCs w:val="20"/>
        </w:rPr>
        <w:t>.</w:t>
      </w:r>
    </w:p>
    <w:p w14:paraId="22918063"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Key management compensation is presented below:</w:t>
      </w:r>
    </w:p>
    <w:tbl>
      <w:tblPr>
        <w:tblStyle w:val="afe"/>
        <w:tblW w:w="9524" w:type="dxa"/>
        <w:tblLayout w:type="fixed"/>
        <w:tblLook w:val="0000" w:firstRow="0" w:lastRow="0" w:firstColumn="0" w:lastColumn="0" w:noHBand="0" w:noVBand="0"/>
      </w:tblPr>
      <w:tblGrid>
        <w:gridCol w:w="4536"/>
        <w:gridCol w:w="1247"/>
        <w:gridCol w:w="1247"/>
        <w:gridCol w:w="1247"/>
        <w:gridCol w:w="1247"/>
      </w:tblGrid>
      <w:tr w:rsidR="008E5DE4" w14:paraId="4308DB53" w14:textId="77777777" w:rsidTr="00BB1486">
        <w:trPr>
          <w:cantSplit/>
          <w:tblHeader/>
        </w:trPr>
        <w:tc>
          <w:tcPr>
            <w:tcW w:w="4536" w:type="dxa"/>
            <w:vAlign w:val="bottom"/>
          </w:tcPr>
          <w:p w14:paraId="42F70C96" w14:textId="77777777" w:rsidR="008E5DE4" w:rsidRDefault="008E5DE4">
            <w:pPr>
              <w:widowControl w:val="0"/>
              <w:pBdr>
                <w:top w:val="nil"/>
                <w:left w:val="nil"/>
                <w:bottom w:val="nil"/>
                <w:right w:val="nil"/>
                <w:between w:val="nil"/>
              </w:pBdr>
              <w:ind w:left="113" w:right="-57" w:hanging="113"/>
              <w:rPr>
                <w:i/>
                <w:color w:val="000000"/>
              </w:rPr>
            </w:pPr>
          </w:p>
        </w:tc>
        <w:tc>
          <w:tcPr>
            <w:tcW w:w="2494" w:type="dxa"/>
            <w:gridSpan w:val="2"/>
            <w:tcBorders>
              <w:bottom w:val="single" w:sz="4" w:space="0" w:color="000000"/>
            </w:tcBorders>
            <w:vAlign w:val="bottom"/>
          </w:tcPr>
          <w:p w14:paraId="1AAAC04B" w14:textId="0C3FC916" w:rsidR="008E5DE4" w:rsidRDefault="008614F8">
            <w:pPr>
              <w:widowControl w:val="0"/>
              <w:pBdr>
                <w:top w:val="nil"/>
                <w:left w:val="nil"/>
                <w:bottom w:val="nil"/>
                <w:right w:val="nil"/>
                <w:between w:val="nil"/>
              </w:pBdr>
              <w:jc w:val="center"/>
              <w:rPr>
                <w:i/>
                <w:color w:val="000000"/>
              </w:rPr>
            </w:pPr>
            <w:r>
              <w:rPr>
                <w:b/>
                <w:color w:val="000000"/>
              </w:rPr>
              <w:t>2025</w:t>
            </w:r>
          </w:p>
        </w:tc>
        <w:tc>
          <w:tcPr>
            <w:tcW w:w="2494" w:type="dxa"/>
            <w:gridSpan w:val="2"/>
            <w:tcBorders>
              <w:bottom w:val="single" w:sz="4" w:space="0" w:color="000000"/>
            </w:tcBorders>
            <w:vAlign w:val="bottom"/>
          </w:tcPr>
          <w:p w14:paraId="239FC302" w14:textId="7EA96596" w:rsidR="008E5DE4" w:rsidRDefault="00FF468A">
            <w:pPr>
              <w:widowControl w:val="0"/>
              <w:pBdr>
                <w:top w:val="nil"/>
                <w:left w:val="nil"/>
                <w:bottom w:val="nil"/>
                <w:right w:val="nil"/>
                <w:between w:val="nil"/>
              </w:pBdr>
              <w:jc w:val="center"/>
              <w:rPr>
                <w:i/>
                <w:color w:val="000000"/>
              </w:rPr>
            </w:pPr>
            <w:r>
              <w:rPr>
                <w:b/>
                <w:color w:val="000000"/>
              </w:rPr>
              <w:t>2024</w:t>
            </w:r>
          </w:p>
        </w:tc>
      </w:tr>
      <w:tr w:rsidR="008E5DE4" w14:paraId="160394D2" w14:textId="77777777" w:rsidTr="00BB1486">
        <w:trPr>
          <w:cantSplit/>
          <w:tblHeader/>
        </w:trPr>
        <w:tc>
          <w:tcPr>
            <w:tcW w:w="4536" w:type="dxa"/>
            <w:tcBorders>
              <w:bottom w:val="single" w:sz="4" w:space="0" w:color="000000"/>
            </w:tcBorders>
            <w:vAlign w:val="bottom"/>
          </w:tcPr>
          <w:p w14:paraId="45D2D073"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247" w:type="dxa"/>
            <w:tcBorders>
              <w:top w:val="single" w:sz="4" w:space="0" w:color="000000"/>
              <w:bottom w:val="single" w:sz="4" w:space="0" w:color="000000"/>
            </w:tcBorders>
          </w:tcPr>
          <w:p w14:paraId="4393A8B0" w14:textId="77777777" w:rsidR="008E5DE4" w:rsidRDefault="00780368">
            <w:pPr>
              <w:widowControl w:val="0"/>
              <w:pBdr>
                <w:top w:val="nil"/>
                <w:left w:val="nil"/>
                <w:bottom w:val="nil"/>
                <w:right w:val="nil"/>
                <w:between w:val="nil"/>
              </w:pBdr>
              <w:ind w:left="-113"/>
              <w:jc w:val="right"/>
              <w:rPr>
                <w:b/>
                <w:color w:val="000000"/>
              </w:rPr>
            </w:pPr>
            <w:r>
              <w:rPr>
                <w:b/>
                <w:color w:val="000000"/>
              </w:rPr>
              <w:t>Expense</w:t>
            </w:r>
          </w:p>
        </w:tc>
        <w:tc>
          <w:tcPr>
            <w:tcW w:w="1247" w:type="dxa"/>
            <w:tcBorders>
              <w:top w:val="single" w:sz="4" w:space="0" w:color="000000"/>
              <w:bottom w:val="single" w:sz="4" w:space="0" w:color="000000"/>
            </w:tcBorders>
          </w:tcPr>
          <w:p w14:paraId="12BB4AC5" w14:textId="77777777" w:rsidR="008E5DE4" w:rsidRDefault="00780368">
            <w:pPr>
              <w:widowControl w:val="0"/>
              <w:pBdr>
                <w:top w:val="nil"/>
                <w:left w:val="nil"/>
                <w:bottom w:val="nil"/>
                <w:right w:val="nil"/>
                <w:between w:val="nil"/>
              </w:pBdr>
              <w:ind w:left="-113"/>
              <w:jc w:val="right"/>
              <w:rPr>
                <w:b/>
                <w:color w:val="000000"/>
              </w:rPr>
            </w:pPr>
            <w:r>
              <w:rPr>
                <w:b/>
                <w:color w:val="000000"/>
              </w:rPr>
              <w:t>Accrued liability</w:t>
            </w:r>
          </w:p>
        </w:tc>
        <w:tc>
          <w:tcPr>
            <w:tcW w:w="1247" w:type="dxa"/>
            <w:tcBorders>
              <w:top w:val="single" w:sz="4" w:space="0" w:color="000000"/>
              <w:bottom w:val="single" w:sz="4" w:space="0" w:color="000000"/>
            </w:tcBorders>
          </w:tcPr>
          <w:p w14:paraId="36303172" w14:textId="77777777" w:rsidR="008E5DE4" w:rsidRDefault="00780368">
            <w:pPr>
              <w:widowControl w:val="0"/>
              <w:pBdr>
                <w:top w:val="nil"/>
                <w:left w:val="nil"/>
                <w:bottom w:val="nil"/>
                <w:right w:val="nil"/>
                <w:between w:val="nil"/>
              </w:pBdr>
              <w:ind w:left="-113"/>
              <w:jc w:val="right"/>
              <w:rPr>
                <w:b/>
                <w:color w:val="000000"/>
              </w:rPr>
            </w:pPr>
            <w:r>
              <w:rPr>
                <w:b/>
                <w:color w:val="000000"/>
              </w:rPr>
              <w:t>Expense</w:t>
            </w:r>
          </w:p>
        </w:tc>
        <w:tc>
          <w:tcPr>
            <w:tcW w:w="1247" w:type="dxa"/>
            <w:tcBorders>
              <w:top w:val="single" w:sz="4" w:space="0" w:color="000000"/>
              <w:bottom w:val="single" w:sz="4" w:space="0" w:color="000000"/>
            </w:tcBorders>
          </w:tcPr>
          <w:p w14:paraId="71E5BFFF" w14:textId="77777777" w:rsidR="008E5DE4" w:rsidRDefault="00780368">
            <w:pPr>
              <w:widowControl w:val="0"/>
              <w:pBdr>
                <w:top w:val="nil"/>
                <w:left w:val="nil"/>
                <w:bottom w:val="nil"/>
                <w:right w:val="nil"/>
                <w:between w:val="nil"/>
              </w:pBdr>
              <w:ind w:left="-113"/>
              <w:jc w:val="right"/>
              <w:rPr>
                <w:b/>
                <w:color w:val="000000"/>
              </w:rPr>
            </w:pPr>
            <w:r>
              <w:rPr>
                <w:b/>
                <w:color w:val="000000"/>
              </w:rPr>
              <w:t>Accrued liability</w:t>
            </w:r>
          </w:p>
        </w:tc>
      </w:tr>
      <w:tr w:rsidR="008E5DE4" w14:paraId="497073E5" w14:textId="77777777" w:rsidTr="00BB1486">
        <w:trPr>
          <w:cantSplit/>
          <w:tblHeader/>
        </w:trPr>
        <w:tc>
          <w:tcPr>
            <w:tcW w:w="4536" w:type="dxa"/>
            <w:vAlign w:val="bottom"/>
          </w:tcPr>
          <w:p w14:paraId="22710772" w14:textId="77777777" w:rsidR="008E5DE4" w:rsidRDefault="00780368">
            <w:pPr>
              <w:widowControl w:val="0"/>
              <w:ind w:left="113" w:right="-57" w:hanging="113"/>
              <w:rPr>
                <w:b/>
              </w:rPr>
            </w:pPr>
            <w:r>
              <w:rPr>
                <w:b/>
              </w:rPr>
              <w:t> </w:t>
            </w:r>
          </w:p>
        </w:tc>
        <w:tc>
          <w:tcPr>
            <w:tcW w:w="1247" w:type="dxa"/>
            <w:vAlign w:val="bottom"/>
          </w:tcPr>
          <w:p w14:paraId="65375B02"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17AB3737"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1E720A81"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1809C252" w14:textId="77777777" w:rsidR="008E5DE4" w:rsidRDefault="008E5DE4">
            <w:pPr>
              <w:widowControl w:val="0"/>
              <w:pBdr>
                <w:top w:val="nil"/>
                <w:left w:val="nil"/>
                <w:bottom w:val="nil"/>
                <w:right w:val="nil"/>
                <w:between w:val="nil"/>
              </w:pBdr>
              <w:jc w:val="right"/>
              <w:rPr>
                <w:b/>
                <w:color w:val="000000"/>
              </w:rPr>
            </w:pPr>
          </w:p>
        </w:tc>
      </w:tr>
      <w:tr w:rsidR="008E5DE4" w14:paraId="2AAA90D4" w14:textId="77777777" w:rsidTr="00BB1486">
        <w:trPr>
          <w:cantSplit/>
          <w:tblHeader/>
        </w:trPr>
        <w:tc>
          <w:tcPr>
            <w:tcW w:w="4536" w:type="dxa"/>
            <w:vAlign w:val="bottom"/>
          </w:tcPr>
          <w:p w14:paraId="7A1AE331" w14:textId="77777777" w:rsidR="008E5DE4" w:rsidRDefault="00780368">
            <w:pPr>
              <w:widowControl w:val="0"/>
              <w:pBdr>
                <w:top w:val="nil"/>
                <w:left w:val="nil"/>
                <w:bottom w:val="nil"/>
                <w:right w:val="nil"/>
                <w:between w:val="nil"/>
              </w:pBdr>
              <w:ind w:left="113" w:right="-57" w:hanging="113"/>
              <w:rPr>
                <w:i/>
                <w:color w:val="000000"/>
              </w:rPr>
            </w:pPr>
            <w:r>
              <w:rPr>
                <w:i/>
                <w:color w:val="000000"/>
              </w:rPr>
              <w:t>Short-term benefits:</w:t>
            </w:r>
          </w:p>
        </w:tc>
        <w:tc>
          <w:tcPr>
            <w:tcW w:w="1247" w:type="dxa"/>
            <w:vAlign w:val="bottom"/>
          </w:tcPr>
          <w:p w14:paraId="748AC82F"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0B2E96CF"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155C2DB0"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0C516C0B" w14:textId="77777777" w:rsidR="008E5DE4" w:rsidRDefault="008E5DE4">
            <w:pPr>
              <w:widowControl w:val="0"/>
              <w:pBdr>
                <w:top w:val="nil"/>
                <w:left w:val="nil"/>
                <w:bottom w:val="nil"/>
                <w:right w:val="nil"/>
                <w:between w:val="nil"/>
              </w:pBdr>
              <w:jc w:val="right"/>
              <w:rPr>
                <w:b/>
                <w:color w:val="000000"/>
              </w:rPr>
            </w:pPr>
          </w:p>
        </w:tc>
      </w:tr>
      <w:tr w:rsidR="008E5DE4" w14:paraId="26573895" w14:textId="77777777" w:rsidTr="00BB1486">
        <w:trPr>
          <w:cantSplit/>
          <w:tblHeader/>
        </w:trPr>
        <w:tc>
          <w:tcPr>
            <w:tcW w:w="4536" w:type="dxa"/>
            <w:vAlign w:val="bottom"/>
          </w:tcPr>
          <w:p w14:paraId="6C82DCA5" w14:textId="77777777" w:rsidR="008E5DE4" w:rsidRDefault="00780368">
            <w:pPr>
              <w:widowControl w:val="0"/>
              <w:pBdr>
                <w:top w:val="nil"/>
                <w:left w:val="nil"/>
                <w:bottom w:val="nil"/>
                <w:right w:val="nil"/>
                <w:between w:val="nil"/>
              </w:pBdr>
              <w:ind w:left="113" w:right="-57" w:hanging="113"/>
              <w:rPr>
                <w:b/>
                <w:color w:val="000000"/>
              </w:rPr>
            </w:pPr>
            <w:r>
              <w:rPr>
                <w:color w:val="000000"/>
              </w:rPr>
              <w:t>- Salaries</w:t>
            </w:r>
          </w:p>
        </w:tc>
        <w:tc>
          <w:tcPr>
            <w:tcW w:w="1247" w:type="dxa"/>
            <w:vAlign w:val="bottom"/>
          </w:tcPr>
          <w:p w14:paraId="735798A7"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02884279"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406ABC8D"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59D04796" w14:textId="77777777" w:rsidR="008E5DE4" w:rsidRDefault="008E5DE4">
            <w:pPr>
              <w:widowControl w:val="0"/>
              <w:pBdr>
                <w:top w:val="nil"/>
                <w:left w:val="nil"/>
                <w:bottom w:val="nil"/>
                <w:right w:val="nil"/>
                <w:between w:val="nil"/>
              </w:pBdr>
              <w:jc w:val="right"/>
              <w:rPr>
                <w:b/>
                <w:color w:val="000000"/>
              </w:rPr>
            </w:pPr>
          </w:p>
        </w:tc>
      </w:tr>
      <w:tr w:rsidR="008E5DE4" w14:paraId="322325E5" w14:textId="77777777" w:rsidTr="00BB1486">
        <w:trPr>
          <w:cantSplit/>
          <w:tblHeader/>
        </w:trPr>
        <w:tc>
          <w:tcPr>
            <w:tcW w:w="4536" w:type="dxa"/>
            <w:vAlign w:val="bottom"/>
          </w:tcPr>
          <w:p w14:paraId="7B2285F7" w14:textId="77777777" w:rsidR="008E5DE4" w:rsidRDefault="00780368">
            <w:pPr>
              <w:widowControl w:val="0"/>
              <w:pBdr>
                <w:top w:val="nil"/>
                <w:left w:val="nil"/>
                <w:bottom w:val="nil"/>
                <w:right w:val="nil"/>
                <w:between w:val="nil"/>
              </w:pBdr>
              <w:ind w:left="113" w:right="-57" w:hanging="113"/>
              <w:rPr>
                <w:color w:val="000000"/>
              </w:rPr>
            </w:pPr>
            <w:r>
              <w:rPr>
                <w:color w:val="000000"/>
              </w:rPr>
              <w:t>- Short-term bonuses</w:t>
            </w:r>
          </w:p>
        </w:tc>
        <w:tc>
          <w:tcPr>
            <w:tcW w:w="1247" w:type="dxa"/>
            <w:vAlign w:val="bottom"/>
          </w:tcPr>
          <w:p w14:paraId="767A4CC3"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4CDFD4BE"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41F15943"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62FA29D1" w14:textId="77777777" w:rsidR="008E5DE4" w:rsidRDefault="008E5DE4">
            <w:pPr>
              <w:widowControl w:val="0"/>
              <w:pBdr>
                <w:top w:val="nil"/>
                <w:left w:val="nil"/>
                <w:bottom w:val="nil"/>
                <w:right w:val="nil"/>
                <w:between w:val="nil"/>
              </w:pBdr>
              <w:jc w:val="right"/>
              <w:rPr>
                <w:color w:val="000000"/>
              </w:rPr>
            </w:pPr>
          </w:p>
        </w:tc>
      </w:tr>
      <w:tr w:rsidR="008E5DE4" w14:paraId="098E96F2" w14:textId="77777777" w:rsidTr="00BB1486">
        <w:trPr>
          <w:cantSplit/>
          <w:tblHeader/>
        </w:trPr>
        <w:tc>
          <w:tcPr>
            <w:tcW w:w="4536" w:type="dxa"/>
            <w:vAlign w:val="bottom"/>
          </w:tcPr>
          <w:p w14:paraId="09719C69" w14:textId="77777777" w:rsidR="008E5DE4" w:rsidRDefault="00780368">
            <w:pPr>
              <w:widowControl w:val="0"/>
              <w:pBdr>
                <w:top w:val="nil"/>
                <w:left w:val="nil"/>
                <w:bottom w:val="nil"/>
                <w:right w:val="nil"/>
                <w:between w:val="nil"/>
              </w:pBdr>
              <w:ind w:left="113" w:right="-57" w:hanging="113"/>
              <w:rPr>
                <w:color w:val="000000"/>
              </w:rPr>
            </w:pPr>
            <w:r>
              <w:rPr>
                <w:color w:val="000000"/>
              </w:rPr>
              <w:t>- Benefits in-kind</w:t>
            </w:r>
          </w:p>
        </w:tc>
        <w:tc>
          <w:tcPr>
            <w:tcW w:w="1247" w:type="dxa"/>
            <w:vAlign w:val="bottom"/>
          </w:tcPr>
          <w:p w14:paraId="668A0FEE"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992089B"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26118C5"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72001E12" w14:textId="77777777" w:rsidR="008E5DE4" w:rsidRDefault="008E5DE4">
            <w:pPr>
              <w:widowControl w:val="0"/>
              <w:pBdr>
                <w:top w:val="nil"/>
                <w:left w:val="nil"/>
                <w:bottom w:val="nil"/>
                <w:right w:val="nil"/>
                <w:between w:val="nil"/>
              </w:pBdr>
              <w:jc w:val="right"/>
              <w:rPr>
                <w:color w:val="000000"/>
              </w:rPr>
            </w:pPr>
          </w:p>
        </w:tc>
      </w:tr>
      <w:tr w:rsidR="008E5DE4" w14:paraId="664AFBE3" w14:textId="77777777" w:rsidTr="00BB1486">
        <w:trPr>
          <w:cantSplit/>
          <w:tblHeader/>
        </w:trPr>
        <w:tc>
          <w:tcPr>
            <w:tcW w:w="4536" w:type="dxa"/>
            <w:vAlign w:val="bottom"/>
          </w:tcPr>
          <w:p w14:paraId="3E4185E0" w14:textId="77777777" w:rsidR="008E5DE4" w:rsidRDefault="008E5DE4">
            <w:pPr>
              <w:widowControl w:val="0"/>
              <w:ind w:left="113" w:right="-57" w:hanging="113"/>
              <w:rPr>
                <w:b/>
              </w:rPr>
            </w:pPr>
          </w:p>
        </w:tc>
        <w:tc>
          <w:tcPr>
            <w:tcW w:w="1247" w:type="dxa"/>
            <w:vAlign w:val="bottom"/>
          </w:tcPr>
          <w:p w14:paraId="72B9B28C" w14:textId="77777777" w:rsidR="008E5DE4" w:rsidRDefault="008E5DE4">
            <w:pPr>
              <w:widowControl w:val="0"/>
              <w:jc w:val="right"/>
              <w:rPr>
                <w:b/>
              </w:rPr>
            </w:pPr>
          </w:p>
        </w:tc>
        <w:tc>
          <w:tcPr>
            <w:tcW w:w="1247" w:type="dxa"/>
            <w:vAlign w:val="bottom"/>
          </w:tcPr>
          <w:p w14:paraId="59038C56" w14:textId="77777777" w:rsidR="008E5DE4" w:rsidRDefault="008E5DE4">
            <w:pPr>
              <w:widowControl w:val="0"/>
              <w:jc w:val="right"/>
              <w:rPr>
                <w:b/>
              </w:rPr>
            </w:pPr>
          </w:p>
        </w:tc>
        <w:tc>
          <w:tcPr>
            <w:tcW w:w="1247" w:type="dxa"/>
            <w:vAlign w:val="bottom"/>
          </w:tcPr>
          <w:p w14:paraId="782B933C" w14:textId="77777777" w:rsidR="008E5DE4" w:rsidRDefault="008E5DE4">
            <w:pPr>
              <w:widowControl w:val="0"/>
              <w:jc w:val="right"/>
              <w:rPr>
                <w:b/>
              </w:rPr>
            </w:pPr>
          </w:p>
        </w:tc>
        <w:tc>
          <w:tcPr>
            <w:tcW w:w="1247" w:type="dxa"/>
            <w:vAlign w:val="bottom"/>
          </w:tcPr>
          <w:p w14:paraId="3ABC5664" w14:textId="77777777" w:rsidR="008E5DE4" w:rsidRDefault="008E5DE4">
            <w:pPr>
              <w:widowControl w:val="0"/>
              <w:jc w:val="right"/>
              <w:rPr>
                <w:b/>
              </w:rPr>
            </w:pPr>
          </w:p>
        </w:tc>
      </w:tr>
      <w:tr w:rsidR="008E5DE4" w14:paraId="21A19E46" w14:textId="77777777" w:rsidTr="00BB1486">
        <w:trPr>
          <w:cantSplit/>
          <w:tblHeader/>
        </w:trPr>
        <w:tc>
          <w:tcPr>
            <w:tcW w:w="4536" w:type="dxa"/>
            <w:vAlign w:val="bottom"/>
          </w:tcPr>
          <w:p w14:paraId="65AE3131" w14:textId="77777777" w:rsidR="008E5DE4" w:rsidRDefault="00780368">
            <w:pPr>
              <w:widowControl w:val="0"/>
              <w:pBdr>
                <w:top w:val="nil"/>
                <w:left w:val="nil"/>
                <w:bottom w:val="nil"/>
                <w:right w:val="nil"/>
                <w:between w:val="nil"/>
              </w:pBdr>
              <w:ind w:left="113" w:right="-57" w:hanging="113"/>
              <w:rPr>
                <w:i/>
                <w:color w:val="000000"/>
              </w:rPr>
            </w:pPr>
            <w:r>
              <w:rPr>
                <w:i/>
                <w:color w:val="000000"/>
              </w:rPr>
              <w:t>Post-employment benefits:</w:t>
            </w:r>
          </w:p>
        </w:tc>
        <w:tc>
          <w:tcPr>
            <w:tcW w:w="1247" w:type="dxa"/>
            <w:vAlign w:val="bottom"/>
          </w:tcPr>
          <w:p w14:paraId="66A21D0F"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7441B6BE"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180C7F40"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327A8734" w14:textId="77777777" w:rsidR="008E5DE4" w:rsidRDefault="008E5DE4">
            <w:pPr>
              <w:widowControl w:val="0"/>
              <w:pBdr>
                <w:top w:val="nil"/>
                <w:left w:val="nil"/>
                <w:bottom w:val="nil"/>
                <w:right w:val="nil"/>
                <w:between w:val="nil"/>
              </w:pBdr>
              <w:jc w:val="right"/>
              <w:rPr>
                <w:color w:val="000000"/>
              </w:rPr>
            </w:pPr>
          </w:p>
        </w:tc>
      </w:tr>
      <w:tr w:rsidR="008E5DE4" w14:paraId="211BB5D1" w14:textId="77777777" w:rsidTr="00BB1486">
        <w:trPr>
          <w:cantSplit/>
          <w:tblHeader/>
        </w:trPr>
        <w:tc>
          <w:tcPr>
            <w:tcW w:w="4536" w:type="dxa"/>
            <w:vAlign w:val="bottom"/>
          </w:tcPr>
          <w:p w14:paraId="5041A8BD" w14:textId="77777777" w:rsidR="008E5DE4" w:rsidRDefault="00780368">
            <w:pPr>
              <w:widowControl w:val="0"/>
              <w:pBdr>
                <w:top w:val="nil"/>
                <w:left w:val="nil"/>
                <w:bottom w:val="nil"/>
                <w:right w:val="nil"/>
                <w:between w:val="nil"/>
              </w:pBdr>
              <w:ind w:left="113" w:right="-57" w:hanging="113"/>
              <w:rPr>
                <w:color w:val="000000"/>
              </w:rPr>
            </w:pPr>
            <w:r>
              <w:rPr>
                <w:color w:val="000000"/>
              </w:rPr>
              <w:t>- Defined benefit retirement scheme</w:t>
            </w:r>
          </w:p>
        </w:tc>
        <w:tc>
          <w:tcPr>
            <w:tcW w:w="1247" w:type="dxa"/>
            <w:vAlign w:val="bottom"/>
          </w:tcPr>
          <w:p w14:paraId="01F3352D"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6A4BC301"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7784FE64"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44202AEE" w14:textId="77777777" w:rsidR="008E5DE4" w:rsidRDefault="008E5DE4">
            <w:pPr>
              <w:widowControl w:val="0"/>
              <w:pBdr>
                <w:top w:val="nil"/>
                <w:left w:val="nil"/>
                <w:bottom w:val="nil"/>
                <w:right w:val="nil"/>
                <w:between w:val="nil"/>
              </w:pBdr>
              <w:jc w:val="right"/>
              <w:rPr>
                <w:color w:val="000000"/>
              </w:rPr>
            </w:pPr>
          </w:p>
        </w:tc>
      </w:tr>
      <w:tr w:rsidR="008E5DE4" w14:paraId="14D3D3CA" w14:textId="77777777" w:rsidTr="00BB1486">
        <w:trPr>
          <w:cantSplit/>
          <w:tblHeader/>
        </w:trPr>
        <w:tc>
          <w:tcPr>
            <w:tcW w:w="4536" w:type="dxa"/>
            <w:vAlign w:val="bottom"/>
          </w:tcPr>
          <w:p w14:paraId="3F1AE619" w14:textId="77777777" w:rsidR="008E5DE4" w:rsidRDefault="00780368">
            <w:pPr>
              <w:widowControl w:val="0"/>
              <w:pBdr>
                <w:top w:val="nil"/>
                <w:left w:val="nil"/>
                <w:bottom w:val="nil"/>
                <w:right w:val="nil"/>
                <w:between w:val="nil"/>
              </w:pBdr>
              <w:ind w:left="113" w:right="-57" w:hanging="113"/>
              <w:rPr>
                <w:color w:val="000000"/>
              </w:rPr>
            </w:pPr>
            <w:r>
              <w:rPr>
                <w:color w:val="000000"/>
              </w:rPr>
              <w:t>- State pension and social security costs</w:t>
            </w:r>
          </w:p>
        </w:tc>
        <w:tc>
          <w:tcPr>
            <w:tcW w:w="1247" w:type="dxa"/>
            <w:vAlign w:val="bottom"/>
          </w:tcPr>
          <w:p w14:paraId="05FA1864"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6686567E"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4AB11962"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072796E0" w14:textId="77777777" w:rsidR="008E5DE4" w:rsidRDefault="008E5DE4">
            <w:pPr>
              <w:widowControl w:val="0"/>
              <w:pBdr>
                <w:top w:val="nil"/>
                <w:left w:val="nil"/>
                <w:bottom w:val="nil"/>
                <w:right w:val="nil"/>
                <w:between w:val="nil"/>
              </w:pBdr>
              <w:jc w:val="right"/>
              <w:rPr>
                <w:color w:val="000000"/>
              </w:rPr>
            </w:pPr>
          </w:p>
        </w:tc>
      </w:tr>
      <w:tr w:rsidR="008E5DE4" w14:paraId="5E65D271" w14:textId="77777777" w:rsidTr="00BB1486">
        <w:trPr>
          <w:cantSplit/>
          <w:tblHeader/>
        </w:trPr>
        <w:tc>
          <w:tcPr>
            <w:tcW w:w="4536" w:type="dxa"/>
            <w:vAlign w:val="bottom"/>
          </w:tcPr>
          <w:p w14:paraId="1D7099A4" w14:textId="77777777" w:rsidR="008E5DE4" w:rsidRDefault="00780368">
            <w:pPr>
              <w:widowControl w:val="0"/>
              <w:pBdr>
                <w:top w:val="nil"/>
                <w:left w:val="nil"/>
                <w:bottom w:val="nil"/>
                <w:right w:val="nil"/>
                <w:between w:val="nil"/>
              </w:pBdr>
              <w:ind w:left="113" w:right="-57" w:hanging="113"/>
              <w:rPr>
                <w:color w:val="000000"/>
              </w:rPr>
            </w:pPr>
            <w:r>
              <w:rPr>
                <w:color w:val="000000"/>
              </w:rPr>
              <w:t>- Termination indemnity benefits</w:t>
            </w:r>
          </w:p>
        </w:tc>
        <w:tc>
          <w:tcPr>
            <w:tcW w:w="1247" w:type="dxa"/>
            <w:vAlign w:val="bottom"/>
          </w:tcPr>
          <w:p w14:paraId="03C2F755"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699727AE"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66DA3A11"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CF281AE" w14:textId="77777777" w:rsidR="008E5DE4" w:rsidRDefault="008E5DE4">
            <w:pPr>
              <w:widowControl w:val="0"/>
              <w:pBdr>
                <w:top w:val="nil"/>
                <w:left w:val="nil"/>
                <w:bottom w:val="nil"/>
                <w:right w:val="nil"/>
                <w:between w:val="nil"/>
              </w:pBdr>
              <w:jc w:val="right"/>
              <w:rPr>
                <w:color w:val="000000"/>
              </w:rPr>
            </w:pPr>
          </w:p>
        </w:tc>
      </w:tr>
      <w:tr w:rsidR="008E5DE4" w14:paraId="04346140" w14:textId="77777777" w:rsidTr="00BB1486">
        <w:trPr>
          <w:cantSplit/>
          <w:tblHeader/>
        </w:trPr>
        <w:tc>
          <w:tcPr>
            <w:tcW w:w="4536" w:type="dxa"/>
            <w:vAlign w:val="bottom"/>
          </w:tcPr>
          <w:p w14:paraId="034717EA" w14:textId="77777777" w:rsidR="008E5DE4" w:rsidRDefault="008E5DE4">
            <w:pPr>
              <w:widowControl w:val="0"/>
              <w:ind w:left="113" w:right="-57" w:hanging="113"/>
              <w:rPr>
                <w:b/>
              </w:rPr>
            </w:pPr>
          </w:p>
        </w:tc>
        <w:tc>
          <w:tcPr>
            <w:tcW w:w="1247" w:type="dxa"/>
            <w:vAlign w:val="bottom"/>
          </w:tcPr>
          <w:p w14:paraId="596D1DD5" w14:textId="77777777" w:rsidR="008E5DE4" w:rsidRDefault="008E5DE4">
            <w:pPr>
              <w:widowControl w:val="0"/>
              <w:jc w:val="right"/>
              <w:rPr>
                <w:b/>
              </w:rPr>
            </w:pPr>
          </w:p>
        </w:tc>
        <w:tc>
          <w:tcPr>
            <w:tcW w:w="1247" w:type="dxa"/>
            <w:vAlign w:val="bottom"/>
          </w:tcPr>
          <w:p w14:paraId="4A1E6C91" w14:textId="77777777" w:rsidR="008E5DE4" w:rsidRDefault="008E5DE4">
            <w:pPr>
              <w:widowControl w:val="0"/>
              <w:jc w:val="right"/>
              <w:rPr>
                <w:b/>
              </w:rPr>
            </w:pPr>
          </w:p>
        </w:tc>
        <w:tc>
          <w:tcPr>
            <w:tcW w:w="1247" w:type="dxa"/>
            <w:vAlign w:val="bottom"/>
          </w:tcPr>
          <w:p w14:paraId="0C37CEA5" w14:textId="77777777" w:rsidR="008E5DE4" w:rsidRDefault="008E5DE4">
            <w:pPr>
              <w:widowControl w:val="0"/>
              <w:jc w:val="right"/>
              <w:rPr>
                <w:b/>
              </w:rPr>
            </w:pPr>
          </w:p>
        </w:tc>
        <w:tc>
          <w:tcPr>
            <w:tcW w:w="1247" w:type="dxa"/>
            <w:vAlign w:val="bottom"/>
          </w:tcPr>
          <w:p w14:paraId="53FF4CDB" w14:textId="77777777" w:rsidR="008E5DE4" w:rsidRDefault="008E5DE4">
            <w:pPr>
              <w:widowControl w:val="0"/>
              <w:jc w:val="right"/>
              <w:rPr>
                <w:b/>
              </w:rPr>
            </w:pPr>
          </w:p>
        </w:tc>
      </w:tr>
      <w:tr w:rsidR="008E5DE4" w14:paraId="4DE5D67E" w14:textId="77777777" w:rsidTr="00BB1486">
        <w:trPr>
          <w:cantSplit/>
          <w:tblHeader/>
        </w:trPr>
        <w:tc>
          <w:tcPr>
            <w:tcW w:w="4536" w:type="dxa"/>
            <w:vAlign w:val="bottom"/>
          </w:tcPr>
          <w:p w14:paraId="6883991B" w14:textId="77777777" w:rsidR="008E5DE4" w:rsidRDefault="00780368">
            <w:pPr>
              <w:widowControl w:val="0"/>
              <w:pBdr>
                <w:top w:val="nil"/>
                <w:left w:val="nil"/>
                <w:bottom w:val="nil"/>
                <w:right w:val="nil"/>
                <w:between w:val="nil"/>
              </w:pBdr>
              <w:ind w:left="113" w:right="-57" w:hanging="113"/>
              <w:rPr>
                <w:color w:val="000000"/>
              </w:rPr>
            </w:pPr>
            <w:r>
              <w:rPr>
                <w:i/>
                <w:color w:val="000000"/>
              </w:rPr>
              <w:t>Other long-term employee benefits:</w:t>
            </w:r>
          </w:p>
        </w:tc>
        <w:tc>
          <w:tcPr>
            <w:tcW w:w="1247" w:type="dxa"/>
            <w:vAlign w:val="bottom"/>
          </w:tcPr>
          <w:p w14:paraId="1B959E3E"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5E4668C"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363EE147"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25552129" w14:textId="77777777" w:rsidR="008E5DE4" w:rsidRDefault="008E5DE4">
            <w:pPr>
              <w:widowControl w:val="0"/>
              <w:pBdr>
                <w:top w:val="nil"/>
                <w:left w:val="nil"/>
                <w:bottom w:val="nil"/>
                <w:right w:val="nil"/>
                <w:between w:val="nil"/>
              </w:pBdr>
              <w:jc w:val="right"/>
              <w:rPr>
                <w:color w:val="000000"/>
              </w:rPr>
            </w:pPr>
          </w:p>
        </w:tc>
      </w:tr>
      <w:tr w:rsidR="008E5DE4" w14:paraId="493A1095" w14:textId="77777777" w:rsidTr="00BB1486">
        <w:trPr>
          <w:cantSplit/>
          <w:tblHeader/>
        </w:trPr>
        <w:tc>
          <w:tcPr>
            <w:tcW w:w="4536" w:type="dxa"/>
            <w:vAlign w:val="bottom"/>
          </w:tcPr>
          <w:p w14:paraId="05628D3F" w14:textId="77777777" w:rsidR="008E5DE4" w:rsidRDefault="00780368">
            <w:pPr>
              <w:widowControl w:val="0"/>
              <w:pBdr>
                <w:top w:val="nil"/>
                <w:left w:val="nil"/>
                <w:bottom w:val="nil"/>
                <w:right w:val="nil"/>
                <w:between w:val="nil"/>
              </w:pBdr>
              <w:ind w:left="113" w:right="-57" w:hanging="113"/>
              <w:rPr>
                <w:color w:val="000000"/>
              </w:rPr>
            </w:pPr>
            <w:r>
              <w:rPr>
                <w:color w:val="000000"/>
              </w:rPr>
              <w:t>- Long-term bonus scheme</w:t>
            </w:r>
          </w:p>
        </w:tc>
        <w:tc>
          <w:tcPr>
            <w:tcW w:w="1247" w:type="dxa"/>
            <w:vAlign w:val="bottom"/>
          </w:tcPr>
          <w:p w14:paraId="30D16BD3"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6D22517F"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89D58CA"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27642DB4" w14:textId="77777777" w:rsidR="008E5DE4" w:rsidRDefault="008E5DE4">
            <w:pPr>
              <w:widowControl w:val="0"/>
              <w:pBdr>
                <w:top w:val="nil"/>
                <w:left w:val="nil"/>
                <w:bottom w:val="nil"/>
                <w:right w:val="nil"/>
                <w:between w:val="nil"/>
              </w:pBdr>
              <w:jc w:val="right"/>
              <w:rPr>
                <w:color w:val="000000"/>
              </w:rPr>
            </w:pPr>
          </w:p>
        </w:tc>
      </w:tr>
      <w:tr w:rsidR="008E5DE4" w14:paraId="1A75BB0E" w14:textId="77777777" w:rsidTr="00BB1486">
        <w:trPr>
          <w:cantSplit/>
          <w:tblHeader/>
        </w:trPr>
        <w:tc>
          <w:tcPr>
            <w:tcW w:w="4536" w:type="dxa"/>
            <w:vAlign w:val="bottom"/>
          </w:tcPr>
          <w:p w14:paraId="539AF4D3" w14:textId="77777777" w:rsidR="008E5DE4" w:rsidRDefault="00780368">
            <w:pPr>
              <w:widowControl w:val="0"/>
              <w:pBdr>
                <w:top w:val="nil"/>
                <w:left w:val="nil"/>
                <w:bottom w:val="nil"/>
                <w:right w:val="nil"/>
                <w:between w:val="nil"/>
              </w:pBdr>
              <w:ind w:left="113" w:right="-57" w:hanging="113"/>
              <w:rPr>
                <w:color w:val="000000"/>
              </w:rPr>
            </w:pPr>
            <w:r>
              <w:rPr>
                <w:color w:val="000000"/>
              </w:rPr>
              <w:t>- Jubilee benefits</w:t>
            </w:r>
          </w:p>
        </w:tc>
        <w:tc>
          <w:tcPr>
            <w:tcW w:w="1247" w:type="dxa"/>
            <w:vAlign w:val="bottom"/>
          </w:tcPr>
          <w:p w14:paraId="7AAF348A"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2E7F95EF"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6FA7B8C7"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1068AB06" w14:textId="77777777" w:rsidR="008E5DE4" w:rsidRDefault="008E5DE4">
            <w:pPr>
              <w:widowControl w:val="0"/>
              <w:pBdr>
                <w:top w:val="nil"/>
                <w:left w:val="nil"/>
                <w:bottom w:val="nil"/>
                <w:right w:val="nil"/>
                <w:between w:val="nil"/>
              </w:pBdr>
              <w:jc w:val="right"/>
              <w:rPr>
                <w:color w:val="000000"/>
              </w:rPr>
            </w:pPr>
          </w:p>
        </w:tc>
      </w:tr>
      <w:tr w:rsidR="008E5DE4" w14:paraId="193A9599" w14:textId="77777777" w:rsidTr="00BB1486">
        <w:trPr>
          <w:cantSplit/>
          <w:tblHeader/>
        </w:trPr>
        <w:tc>
          <w:tcPr>
            <w:tcW w:w="4536" w:type="dxa"/>
            <w:vAlign w:val="bottom"/>
          </w:tcPr>
          <w:p w14:paraId="3195D291" w14:textId="77777777" w:rsidR="008E5DE4" w:rsidRDefault="008E5DE4">
            <w:pPr>
              <w:widowControl w:val="0"/>
              <w:ind w:left="113" w:right="-57" w:hanging="113"/>
              <w:rPr>
                <w:b/>
              </w:rPr>
            </w:pPr>
          </w:p>
        </w:tc>
        <w:tc>
          <w:tcPr>
            <w:tcW w:w="1247" w:type="dxa"/>
            <w:vAlign w:val="bottom"/>
          </w:tcPr>
          <w:p w14:paraId="5BBBCD48" w14:textId="77777777" w:rsidR="008E5DE4" w:rsidRDefault="008E5DE4">
            <w:pPr>
              <w:widowControl w:val="0"/>
              <w:jc w:val="right"/>
              <w:rPr>
                <w:b/>
              </w:rPr>
            </w:pPr>
          </w:p>
        </w:tc>
        <w:tc>
          <w:tcPr>
            <w:tcW w:w="1247" w:type="dxa"/>
            <w:vAlign w:val="bottom"/>
          </w:tcPr>
          <w:p w14:paraId="4EBF1D5F" w14:textId="77777777" w:rsidR="008E5DE4" w:rsidRDefault="008E5DE4">
            <w:pPr>
              <w:widowControl w:val="0"/>
              <w:jc w:val="right"/>
              <w:rPr>
                <w:b/>
              </w:rPr>
            </w:pPr>
          </w:p>
        </w:tc>
        <w:tc>
          <w:tcPr>
            <w:tcW w:w="1247" w:type="dxa"/>
            <w:vAlign w:val="bottom"/>
          </w:tcPr>
          <w:p w14:paraId="14D693AA" w14:textId="77777777" w:rsidR="008E5DE4" w:rsidRDefault="008E5DE4">
            <w:pPr>
              <w:widowControl w:val="0"/>
              <w:jc w:val="right"/>
              <w:rPr>
                <w:b/>
              </w:rPr>
            </w:pPr>
          </w:p>
        </w:tc>
        <w:tc>
          <w:tcPr>
            <w:tcW w:w="1247" w:type="dxa"/>
            <w:vAlign w:val="bottom"/>
          </w:tcPr>
          <w:p w14:paraId="06EBA58C" w14:textId="77777777" w:rsidR="008E5DE4" w:rsidRDefault="008E5DE4">
            <w:pPr>
              <w:widowControl w:val="0"/>
              <w:jc w:val="right"/>
              <w:rPr>
                <w:b/>
              </w:rPr>
            </w:pPr>
          </w:p>
        </w:tc>
      </w:tr>
      <w:tr w:rsidR="008E5DE4" w14:paraId="04B99DA9" w14:textId="77777777" w:rsidTr="00BB1486">
        <w:trPr>
          <w:cantSplit/>
          <w:tblHeader/>
        </w:trPr>
        <w:tc>
          <w:tcPr>
            <w:tcW w:w="4536" w:type="dxa"/>
            <w:vAlign w:val="bottom"/>
          </w:tcPr>
          <w:p w14:paraId="7789C8B9" w14:textId="77777777" w:rsidR="008E5DE4" w:rsidRDefault="00780368">
            <w:pPr>
              <w:widowControl w:val="0"/>
              <w:pBdr>
                <w:top w:val="nil"/>
                <w:left w:val="nil"/>
                <w:bottom w:val="nil"/>
                <w:right w:val="nil"/>
                <w:between w:val="nil"/>
              </w:pBdr>
              <w:ind w:left="113" w:right="-57" w:hanging="113"/>
              <w:rPr>
                <w:color w:val="000000"/>
              </w:rPr>
            </w:pPr>
            <w:r>
              <w:rPr>
                <w:i/>
                <w:color w:val="000000"/>
              </w:rPr>
              <w:t>Share-based compensation:</w:t>
            </w:r>
          </w:p>
        </w:tc>
        <w:tc>
          <w:tcPr>
            <w:tcW w:w="1247" w:type="dxa"/>
            <w:vAlign w:val="bottom"/>
          </w:tcPr>
          <w:p w14:paraId="7BE65F9C"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4FEECDFF"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17617FE3"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1273EF8D" w14:textId="77777777" w:rsidR="008E5DE4" w:rsidRDefault="008E5DE4">
            <w:pPr>
              <w:widowControl w:val="0"/>
              <w:pBdr>
                <w:top w:val="nil"/>
                <w:left w:val="nil"/>
                <w:bottom w:val="nil"/>
                <w:right w:val="nil"/>
                <w:between w:val="nil"/>
              </w:pBdr>
              <w:jc w:val="right"/>
              <w:rPr>
                <w:color w:val="000000"/>
              </w:rPr>
            </w:pPr>
          </w:p>
        </w:tc>
      </w:tr>
      <w:tr w:rsidR="008E5DE4" w14:paraId="5310103E" w14:textId="77777777" w:rsidTr="00BB1486">
        <w:trPr>
          <w:cantSplit/>
          <w:tblHeader/>
        </w:trPr>
        <w:tc>
          <w:tcPr>
            <w:tcW w:w="4536" w:type="dxa"/>
            <w:vAlign w:val="bottom"/>
          </w:tcPr>
          <w:p w14:paraId="5FE22107"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Cash-settled share-based compensation </w:t>
            </w:r>
          </w:p>
        </w:tc>
        <w:tc>
          <w:tcPr>
            <w:tcW w:w="1247" w:type="dxa"/>
            <w:vAlign w:val="bottom"/>
          </w:tcPr>
          <w:p w14:paraId="0119F212"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B685EED"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4E0E8164"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1D86AFB9" w14:textId="77777777" w:rsidR="008E5DE4" w:rsidRDefault="008E5DE4">
            <w:pPr>
              <w:widowControl w:val="0"/>
              <w:pBdr>
                <w:top w:val="nil"/>
                <w:left w:val="nil"/>
                <w:bottom w:val="nil"/>
                <w:right w:val="nil"/>
                <w:between w:val="nil"/>
              </w:pBdr>
              <w:jc w:val="right"/>
              <w:rPr>
                <w:color w:val="000000"/>
              </w:rPr>
            </w:pPr>
          </w:p>
        </w:tc>
      </w:tr>
      <w:tr w:rsidR="008E5DE4" w14:paraId="52F61278" w14:textId="77777777" w:rsidTr="00BB1486">
        <w:trPr>
          <w:cantSplit/>
          <w:tblHeader/>
        </w:trPr>
        <w:tc>
          <w:tcPr>
            <w:tcW w:w="4536" w:type="dxa"/>
            <w:vAlign w:val="bottom"/>
          </w:tcPr>
          <w:p w14:paraId="2A4BF1AB" w14:textId="3663B251" w:rsidR="008E5DE4" w:rsidRDefault="00780368">
            <w:pPr>
              <w:widowControl w:val="0"/>
              <w:pBdr>
                <w:top w:val="nil"/>
                <w:left w:val="nil"/>
                <w:bottom w:val="nil"/>
                <w:right w:val="nil"/>
                <w:between w:val="nil"/>
              </w:pBdr>
              <w:ind w:left="113" w:right="-57" w:hanging="113"/>
              <w:rPr>
                <w:color w:val="000000"/>
              </w:rPr>
            </w:pPr>
            <w:r>
              <w:rPr>
                <w:color w:val="000000"/>
              </w:rPr>
              <w:t>- Equity-settled share-based compensation</w:t>
            </w:r>
          </w:p>
        </w:tc>
        <w:tc>
          <w:tcPr>
            <w:tcW w:w="1247" w:type="dxa"/>
            <w:vAlign w:val="bottom"/>
          </w:tcPr>
          <w:p w14:paraId="3E82EA1D"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3F5C2ED4"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4E7D621E"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3B29F057" w14:textId="77777777" w:rsidR="008E5DE4" w:rsidRDefault="008E5DE4">
            <w:pPr>
              <w:widowControl w:val="0"/>
              <w:pBdr>
                <w:top w:val="nil"/>
                <w:left w:val="nil"/>
                <w:bottom w:val="nil"/>
                <w:right w:val="nil"/>
                <w:between w:val="nil"/>
              </w:pBdr>
              <w:jc w:val="right"/>
              <w:rPr>
                <w:color w:val="000000"/>
              </w:rPr>
            </w:pPr>
          </w:p>
        </w:tc>
      </w:tr>
      <w:tr w:rsidR="008E5DE4" w14:paraId="67D3CC5E" w14:textId="77777777" w:rsidTr="00BB1486">
        <w:trPr>
          <w:cantSplit/>
          <w:tblHeader/>
        </w:trPr>
        <w:tc>
          <w:tcPr>
            <w:tcW w:w="4536" w:type="dxa"/>
            <w:vAlign w:val="bottom"/>
          </w:tcPr>
          <w:p w14:paraId="452F6FC4" w14:textId="77777777" w:rsidR="008E5DE4" w:rsidRDefault="00780368">
            <w:pPr>
              <w:widowControl w:val="0"/>
              <w:ind w:left="113" w:right="-57" w:hanging="113"/>
              <w:rPr>
                <w:b/>
              </w:rPr>
            </w:pPr>
            <w:r>
              <w:rPr>
                <w:b/>
              </w:rPr>
              <w:t> </w:t>
            </w:r>
          </w:p>
        </w:tc>
        <w:tc>
          <w:tcPr>
            <w:tcW w:w="1247" w:type="dxa"/>
            <w:vAlign w:val="bottom"/>
          </w:tcPr>
          <w:p w14:paraId="47DF9ACE" w14:textId="77777777" w:rsidR="008E5DE4" w:rsidRDefault="008E5DE4">
            <w:pPr>
              <w:widowControl w:val="0"/>
              <w:jc w:val="right"/>
              <w:rPr>
                <w:b/>
              </w:rPr>
            </w:pPr>
          </w:p>
        </w:tc>
        <w:tc>
          <w:tcPr>
            <w:tcW w:w="1247" w:type="dxa"/>
            <w:vAlign w:val="bottom"/>
          </w:tcPr>
          <w:p w14:paraId="68429A30" w14:textId="77777777" w:rsidR="008E5DE4" w:rsidRDefault="008E5DE4">
            <w:pPr>
              <w:widowControl w:val="0"/>
              <w:jc w:val="right"/>
              <w:rPr>
                <w:b/>
              </w:rPr>
            </w:pPr>
          </w:p>
        </w:tc>
        <w:tc>
          <w:tcPr>
            <w:tcW w:w="1247" w:type="dxa"/>
            <w:vAlign w:val="bottom"/>
          </w:tcPr>
          <w:p w14:paraId="5E221CF8" w14:textId="77777777" w:rsidR="008E5DE4" w:rsidRDefault="008E5DE4">
            <w:pPr>
              <w:widowControl w:val="0"/>
              <w:jc w:val="right"/>
              <w:rPr>
                <w:b/>
              </w:rPr>
            </w:pPr>
          </w:p>
        </w:tc>
        <w:tc>
          <w:tcPr>
            <w:tcW w:w="1247" w:type="dxa"/>
            <w:vAlign w:val="bottom"/>
          </w:tcPr>
          <w:p w14:paraId="5DBE47C2" w14:textId="77777777" w:rsidR="008E5DE4" w:rsidRDefault="008E5DE4">
            <w:pPr>
              <w:widowControl w:val="0"/>
              <w:jc w:val="right"/>
              <w:rPr>
                <w:b/>
              </w:rPr>
            </w:pPr>
          </w:p>
        </w:tc>
      </w:tr>
      <w:tr w:rsidR="008E5DE4" w14:paraId="374DAA8F" w14:textId="77777777" w:rsidTr="00BB1486">
        <w:trPr>
          <w:cantSplit/>
          <w:tblHeader/>
        </w:trPr>
        <w:tc>
          <w:tcPr>
            <w:tcW w:w="4536" w:type="dxa"/>
            <w:vAlign w:val="bottom"/>
          </w:tcPr>
          <w:p w14:paraId="43542BC2" w14:textId="77777777" w:rsidR="008E5DE4" w:rsidRDefault="00780368">
            <w:pPr>
              <w:widowControl w:val="0"/>
              <w:pBdr>
                <w:top w:val="nil"/>
                <w:left w:val="nil"/>
                <w:bottom w:val="nil"/>
                <w:right w:val="nil"/>
                <w:between w:val="nil"/>
              </w:pBdr>
              <w:ind w:left="113" w:right="-57" w:hanging="113"/>
              <w:rPr>
                <w:color w:val="000000"/>
              </w:rPr>
            </w:pPr>
            <w:r>
              <w:rPr>
                <w:color w:val="000000"/>
              </w:rPr>
              <w:t>Termination benefits</w:t>
            </w:r>
          </w:p>
        </w:tc>
        <w:tc>
          <w:tcPr>
            <w:tcW w:w="1247" w:type="dxa"/>
            <w:vAlign w:val="bottom"/>
          </w:tcPr>
          <w:p w14:paraId="0F1F83C0"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470E2129"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041AF585"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194997B5" w14:textId="77777777" w:rsidR="008E5DE4" w:rsidRDefault="008E5DE4">
            <w:pPr>
              <w:widowControl w:val="0"/>
              <w:pBdr>
                <w:top w:val="nil"/>
                <w:left w:val="nil"/>
                <w:bottom w:val="nil"/>
                <w:right w:val="nil"/>
                <w:between w:val="nil"/>
              </w:pBdr>
              <w:jc w:val="right"/>
              <w:rPr>
                <w:color w:val="000000"/>
              </w:rPr>
            </w:pPr>
          </w:p>
        </w:tc>
      </w:tr>
      <w:tr w:rsidR="008E5DE4" w14:paraId="29A73471" w14:textId="77777777" w:rsidTr="00BB1486">
        <w:trPr>
          <w:cantSplit/>
          <w:tblHeader/>
        </w:trPr>
        <w:tc>
          <w:tcPr>
            <w:tcW w:w="4536" w:type="dxa"/>
            <w:tcBorders>
              <w:bottom w:val="single" w:sz="4" w:space="0" w:color="000000"/>
            </w:tcBorders>
            <w:vAlign w:val="bottom"/>
          </w:tcPr>
          <w:p w14:paraId="39950571" w14:textId="77777777" w:rsidR="008E5DE4" w:rsidRDefault="00780368">
            <w:pPr>
              <w:widowControl w:val="0"/>
              <w:ind w:left="113" w:right="-57" w:hanging="113"/>
              <w:rPr>
                <w:b/>
              </w:rPr>
            </w:pPr>
            <w:r>
              <w:rPr>
                <w:b/>
              </w:rPr>
              <w:t> </w:t>
            </w:r>
          </w:p>
        </w:tc>
        <w:tc>
          <w:tcPr>
            <w:tcW w:w="1247" w:type="dxa"/>
            <w:tcBorders>
              <w:bottom w:val="single" w:sz="4" w:space="0" w:color="000000"/>
            </w:tcBorders>
            <w:vAlign w:val="bottom"/>
          </w:tcPr>
          <w:p w14:paraId="24FEA38F" w14:textId="77777777" w:rsidR="008E5DE4" w:rsidRDefault="008E5DE4">
            <w:pPr>
              <w:widowControl w:val="0"/>
              <w:jc w:val="right"/>
              <w:rPr>
                <w:b/>
              </w:rPr>
            </w:pPr>
          </w:p>
        </w:tc>
        <w:tc>
          <w:tcPr>
            <w:tcW w:w="1247" w:type="dxa"/>
            <w:tcBorders>
              <w:bottom w:val="single" w:sz="4" w:space="0" w:color="000000"/>
            </w:tcBorders>
            <w:vAlign w:val="bottom"/>
          </w:tcPr>
          <w:p w14:paraId="57D560D1" w14:textId="77777777" w:rsidR="008E5DE4" w:rsidRDefault="008E5DE4">
            <w:pPr>
              <w:widowControl w:val="0"/>
              <w:jc w:val="right"/>
              <w:rPr>
                <w:b/>
              </w:rPr>
            </w:pPr>
          </w:p>
        </w:tc>
        <w:tc>
          <w:tcPr>
            <w:tcW w:w="1247" w:type="dxa"/>
            <w:tcBorders>
              <w:bottom w:val="single" w:sz="4" w:space="0" w:color="000000"/>
            </w:tcBorders>
            <w:vAlign w:val="bottom"/>
          </w:tcPr>
          <w:p w14:paraId="2FF010C9" w14:textId="77777777" w:rsidR="008E5DE4" w:rsidRDefault="008E5DE4">
            <w:pPr>
              <w:widowControl w:val="0"/>
              <w:jc w:val="right"/>
              <w:rPr>
                <w:b/>
              </w:rPr>
            </w:pPr>
          </w:p>
        </w:tc>
        <w:tc>
          <w:tcPr>
            <w:tcW w:w="1247" w:type="dxa"/>
            <w:tcBorders>
              <w:bottom w:val="single" w:sz="4" w:space="0" w:color="000000"/>
            </w:tcBorders>
            <w:vAlign w:val="bottom"/>
          </w:tcPr>
          <w:p w14:paraId="27C0C736" w14:textId="77777777" w:rsidR="008E5DE4" w:rsidRDefault="008E5DE4">
            <w:pPr>
              <w:widowControl w:val="0"/>
              <w:jc w:val="right"/>
              <w:rPr>
                <w:b/>
              </w:rPr>
            </w:pPr>
          </w:p>
        </w:tc>
      </w:tr>
      <w:tr w:rsidR="008E5DE4" w14:paraId="5163AF25" w14:textId="77777777" w:rsidTr="00BB1486">
        <w:trPr>
          <w:cantSplit/>
          <w:tblHeader/>
        </w:trPr>
        <w:tc>
          <w:tcPr>
            <w:tcW w:w="4536" w:type="dxa"/>
            <w:tcBorders>
              <w:top w:val="single" w:sz="4" w:space="0" w:color="000000"/>
            </w:tcBorders>
            <w:vAlign w:val="bottom"/>
          </w:tcPr>
          <w:p w14:paraId="0E939404" w14:textId="77777777" w:rsidR="008E5DE4" w:rsidRDefault="00780368">
            <w:pPr>
              <w:widowControl w:val="0"/>
              <w:ind w:left="113" w:right="-57" w:hanging="113"/>
              <w:rPr>
                <w:b/>
              </w:rPr>
            </w:pPr>
            <w:r>
              <w:rPr>
                <w:b/>
              </w:rPr>
              <w:t> </w:t>
            </w:r>
          </w:p>
        </w:tc>
        <w:tc>
          <w:tcPr>
            <w:tcW w:w="1247" w:type="dxa"/>
            <w:tcBorders>
              <w:top w:val="single" w:sz="4" w:space="0" w:color="000000"/>
            </w:tcBorders>
            <w:vAlign w:val="bottom"/>
          </w:tcPr>
          <w:p w14:paraId="4EA22370" w14:textId="77777777" w:rsidR="008E5DE4" w:rsidRDefault="008E5DE4">
            <w:pPr>
              <w:widowControl w:val="0"/>
              <w:jc w:val="right"/>
              <w:rPr>
                <w:b/>
              </w:rPr>
            </w:pPr>
          </w:p>
        </w:tc>
        <w:tc>
          <w:tcPr>
            <w:tcW w:w="1247" w:type="dxa"/>
            <w:tcBorders>
              <w:top w:val="single" w:sz="4" w:space="0" w:color="000000"/>
            </w:tcBorders>
            <w:vAlign w:val="bottom"/>
          </w:tcPr>
          <w:p w14:paraId="3D364C31" w14:textId="77777777" w:rsidR="008E5DE4" w:rsidRDefault="008E5DE4">
            <w:pPr>
              <w:widowControl w:val="0"/>
              <w:jc w:val="right"/>
              <w:rPr>
                <w:b/>
              </w:rPr>
            </w:pPr>
          </w:p>
        </w:tc>
        <w:tc>
          <w:tcPr>
            <w:tcW w:w="1247" w:type="dxa"/>
            <w:tcBorders>
              <w:top w:val="single" w:sz="4" w:space="0" w:color="000000"/>
            </w:tcBorders>
            <w:vAlign w:val="bottom"/>
          </w:tcPr>
          <w:p w14:paraId="6715B8BC" w14:textId="77777777" w:rsidR="008E5DE4" w:rsidRDefault="008E5DE4">
            <w:pPr>
              <w:widowControl w:val="0"/>
              <w:jc w:val="right"/>
              <w:rPr>
                <w:b/>
              </w:rPr>
            </w:pPr>
          </w:p>
        </w:tc>
        <w:tc>
          <w:tcPr>
            <w:tcW w:w="1247" w:type="dxa"/>
            <w:tcBorders>
              <w:top w:val="single" w:sz="4" w:space="0" w:color="000000"/>
            </w:tcBorders>
            <w:vAlign w:val="bottom"/>
          </w:tcPr>
          <w:p w14:paraId="475CE255" w14:textId="77777777" w:rsidR="008E5DE4" w:rsidRDefault="008E5DE4">
            <w:pPr>
              <w:widowControl w:val="0"/>
              <w:jc w:val="right"/>
              <w:rPr>
                <w:b/>
              </w:rPr>
            </w:pPr>
          </w:p>
        </w:tc>
      </w:tr>
      <w:tr w:rsidR="008E5DE4" w14:paraId="750906F8" w14:textId="77777777" w:rsidTr="00BB1486">
        <w:trPr>
          <w:cantSplit/>
          <w:tblHeader/>
        </w:trPr>
        <w:tc>
          <w:tcPr>
            <w:tcW w:w="4536" w:type="dxa"/>
            <w:vAlign w:val="bottom"/>
          </w:tcPr>
          <w:p w14:paraId="7842F73A"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key management compensation</w:t>
            </w:r>
          </w:p>
        </w:tc>
        <w:tc>
          <w:tcPr>
            <w:tcW w:w="1247" w:type="dxa"/>
            <w:vAlign w:val="bottom"/>
          </w:tcPr>
          <w:p w14:paraId="3C1375A4"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194DAEF"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69FF22B"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11A3250" w14:textId="77777777" w:rsidR="008E5DE4" w:rsidRDefault="008E5DE4">
            <w:pPr>
              <w:widowControl w:val="0"/>
              <w:pBdr>
                <w:top w:val="nil"/>
                <w:left w:val="nil"/>
                <w:bottom w:val="nil"/>
                <w:right w:val="nil"/>
                <w:between w:val="nil"/>
              </w:pBdr>
              <w:jc w:val="right"/>
              <w:rPr>
                <w:color w:val="000000"/>
              </w:rPr>
            </w:pPr>
          </w:p>
        </w:tc>
      </w:tr>
      <w:tr w:rsidR="008E5DE4" w14:paraId="60372CC7" w14:textId="77777777" w:rsidTr="00BB1486">
        <w:trPr>
          <w:cantSplit/>
          <w:tblHeader/>
        </w:trPr>
        <w:tc>
          <w:tcPr>
            <w:tcW w:w="4536" w:type="dxa"/>
            <w:tcBorders>
              <w:bottom w:val="single" w:sz="12" w:space="0" w:color="000000"/>
            </w:tcBorders>
            <w:vAlign w:val="bottom"/>
          </w:tcPr>
          <w:p w14:paraId="765D451D" w14:textId="77777777" w:rsidR="008E5DE4" w:rsidRDefault="00780368">
            <w:pPr>
              <w:widowControl w:val="0"/>
              <w:ind w:left="113" w:right="-57" w:hanging="113"/>
              <w:rPr>
                <w:b/>
              </w:rPr>
            </w:pPr>
            <w:r>
              <w:rPr>
                <w:b/>
              </w:rPr>
              <w:t> </w:t>
            </w:r>
          </w:p>
        </w:tc>
        <w:tc>
          <w:tcPr>
            <w:tcW w:w="1247" w:type="dxa"/>
            <w:tcBorders>
              <w:bottom w:val="single" w:sz="12" w:space="0" w:color="000000"/>
            </w:tcBorders>
            <w:vAlign w:val="bottom"/>
          </w:tcPr>
          <w:p w14:paraId="73314E76" w14:textId="77777777" w:rsidR="008E5DE4" w:rsidRDefault="008E5DE4">
            <w:pPr>
              <w:widowControl w:val="0"/>
              <w:jc w:val="right"/>
              <w:rPr>
                <w:b/>
              </w:rPr>
            </w:pPr>
          </w:p>
        </w:tc>
        <w:tc>
          <w:tcPr>
            <w:tcW w:w="1247" w:type="dxa"/>
            <w:tcBorders>
              <w:bottom w:val="single" w:sz="12" w:space="0" w:color="000000"/>
            </w:tcBorders>
            <w:vAlign w:val="bottom"/>
          </w:tcPr>
          <w:p w14:paraId="459BF87B" w14:textId="77777777" w:rsidR="008E5DE4" w:rsidRDefault="008E5DE4">
            <w:pPr>
              <w:widowControl w:val="0"/>
              <w:jc w:val="right"/>
              <w:rPr>
                <w:b/>
              </w:rPr>
            </w:pPr>
          </w:p>
        </w:tc>
        <w:tc>
          <w:tcPr>
            <w:tcW w:w="1247" w:type="dxa"/>
            <w:tcBorders>
              <w:bottom w:val="single" w:sz="12" w:space="0" w:color="000000"/>
            </w:tcBorders>
            <w:vAlign w:val="bottom"/>
          </w:tcPr>
          <w:p w14:paraId="0B986B04" w14:textId="77777777" w:rsidR="008E5DE4" w:rsidRDefault="008E5DE4">
            <w:pPr>
              <w:widowControl w:val="0"/>
              <w:jc w:val="right"/>
              <w:rPr>
                <w:b/>
              </w:rPr>
            </w:pPr>
          </w:p>
        </w:tc>
        <w:tc>
          <w:tcPr>
            <w:tcW w:w="1247" w:type="dxa"/>
            <w:tcBorders>
              <w:bottom w:val="single" w:sz="12" w:space="0" w:color="000000"/>
            </w:tcBorders>
            <w:vAlign w:val="bottom"/>
          </w:tcPr>
          <w:p w14:paraId="714E343E" w14:textId="77777777" w:rsidR="008E5DE4" w:rsidRDefault="008E5DE4">
            <w:pPr>
              <w:widowControl w:val="0"/>
              <w:jc w:val="right"/>
              <w:rPr>
                <w:b/>
              </w:rPr>
            </w:pPr>
          </w:p>
        </w:tc>
      </w:tr>
    </w:tbl>
    <w:p w14:paraId="3FBDAAAE"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Short-term bonuses fall due wholly within twelve months after the end of the period in which management rendered the related services.</w:t>
      </w:r>
    </w:p>
    <w:p w14:paraId="6A49ADA0"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8</w:t>
      </w:r>
      <w:r>
        <w:rPr>
          <w:b/>
          <w:color w:val="000000"/>
          <w:sz w:val="20"/>
          <w:szCs w:val="20"/>
        </w:rPr>
        <w:tab/>
        <w:t>Balances and Transactions with Related Parties (Continued)</w:t>
      </w:r>
    </w:p>
    <w:p w14:paraId="2796B9DA"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Commitments and contingent obligations towards key management personnel are as follows: </w:t>
      </w:r>
    </w:p>
    <w:tbl>
      <w:tblPr>
        <w:tblStyle w:val="aff"/>
        <w:tblW w:w="9355" w:type="dxa"/>
        <w:tblLayout w:type="fixed"/>
        <w:tblLook w:val="0000" w:firstRow="0" w:lastRow="0" w:firstColumn="0" w:lastColumn="0" w:noHBand="0" w:noVBand="0"/>
      </w:tblPr>
      <w:tblGrid>
        <w:gridCol w:w="6293"/>
        <w:gridCol w:w="1531"/>
        <w:gridCol w:w="1531"/>
      </w:tblGrid>
      <w:tr w:rsidR="008E5DE4" w14:paraId="485F98D1" w14:textId="77777777">
        <w:trPr>
          <w:cantSplit/>
        </w:trPr>
        <w:tc>
          <w:tcPr>
            <w:tcW w:w="6293" w:type="dxa"/>
            <w:tcBorders>
              <w:bottom w:val="single" w:sz="4" w:space="0" w:color="000000"/>
            </w:tcBorders>
            <w:vAlign w:val="bottom"/>
          </w:tcPr>
          <w:p w14:paraId="5C64BB28"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531" w:type="dxa"/>
            <w:tcBorders>
              <w:bottom w:val="single" w:sz="4" w:space="0" w:color="000000"/>
            </w:tcBorders>
            <w:vAlign w:val="bottom"/>
          </w:tcPr>
          <w:p w14:paraId="1F6CDB01" w14:textId="18B81D6A"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E1A774D" w14:textId="2CA48FF8"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5F0758FD" w14:textId="77777777">
        <w:trPr>
          <w:cantSplit/>
        </w:trPr>
        <w:tc>
          <w:tcPr>
            <w:tcW w:w="6293" w:type="dxa"/>
            <w:vAlign w:val="bottom"/>
          </w:tcPr>
          <w:p w14:paraId="16766D95" w14:textId="77777777" w:rsidR="008E5DE4" w:rsidRDefault="00780368">
            <w:pPr>
              <w:widowControl w:val="0"/>
              <w:ind w:left="113" w:right="-57" w:hanging="113"/>
              <w:rPr>
                <w:b/>
              </w:rPr>
            </w:pPr>
            <w:r>
              <w:rPr>
                <w:b/>
              </w:rPr>
              <w:t> </w:t>
            </w:r>
          </w:p>
        </w:tc>
        <w:tc>
          <w:tcPr>
            <w:tcW w:w="1531" w:type="dxa"/>
            <w:vAlign w:val="bottom"/>
          </w:tcPr>
          <w:p w14:paraId="5856B6EF"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1B4C572" w14:textId="77777777" w:rsidR="008E5DE4" w:rsidRDefault="008E5DE4">
            <w:pPr>
              <w:widowControl w:val="0"/>
              <w:pBdr>
                <w:top w:val="nil"/>
                <w:left w:val="nil"/>
                <w:bottom w:val="nil"/>
                <w:right w:val="nil"/>
                <w:between w:val="nil"/>
              </w:pBdr>
              <w:jc w:val="right"/>
              <w:rPr>
                <w:b/>
                <w:color w:val="000000"/>
              </w:rPr>
            </w:pPr>
          </w:p>
        </w:tc>
      </w:tr>
      <w:tr w:rsidR="008E5DE4" w14:paraId="69755569" w14:textId="77777777">
        <w:trPr>
          <w:cantSplit/>
        </w:trPr>
        <w:tc>
          <w:tcPr>
            <w:tcW w:w="6293" w:type="dxa"/>
            <w:vAlign w:val="bottom"/>
          </w:tcPr>
          <w:p w14:paraId="37EDD30D" w14:textId="77777777" w:rsidR="008E5DE4" w:rsidRDefault="00780368">
            <w:pPr>
              <w:widowControl w:val="0"/>
              <w:pBdr>
                <w:top w:val="nil"/>
                <w:left w:val="nil"/>
                <w:bottom w:val="nil"/>
                <w:right w:val="nil"/>
                <w:between w:val="nil"/>
              </w:pBdr>
              <w:ind w:left="113" w:right="-57" w:hanging="113"/>
              <w:rPr>
                <w:i/>
                <w:color w:val="000000"/>
              </w:rPr>
            </w:pPr>
            <w:r>
              <w:rPr>
                <w:i/>
                <w:color w:val="000000"/>
              </w:rPr>
              <w:t>Post-employment benefits:</w:t>
            </w:r>
          </w:p>
        </w:tc>
        <w:tc>
          <w:tcPr>
            <w:tcW w:w="1531" w:type="dxa"/>
            <w:vAlign w:val="bottom"/>
          </w:tcPr>
          <w:p w14:paraId="39C67E3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EE45AA0" w14:textId="77777777" w:rsidR="008E5DE4" w:rsidRDefault="008E5DE4">
            <w:pPr>
              <w:widowControl w:val="0"/>
              <w:pBdr>
                <w:top w:val="nil"/>
                <w:left w:val="nil"/>
                <w:bottom w:val="nil"/>
                <w:right w:val="nil"/>
                <w:between w:val="nil"/>
              </w:pBdr>
              <w:jc w:val="right"/>
              <w:rPr>
                <w:color w:val="000000"/>
              </w:rPr>
            </w:pPr>
          </w:p>
        </w:tc>
      </w:tr>
      <w:tr w:rsidR="008E5DE4" w14:paraId="1D6BE73E" w14:textId="77777777">
        <w:trPr>
          <w:cantSplit/>
        </w:trPr>
        <w:tc>
          <w:tcPr>
            <w:tcW w:w="6293" w:type="dxa"/>
            <w:vAlign w:val="bottom"/>
          </w:tcPr>
          <w:p w14:paraId="555A7A34" w14:textId="77777777" w:rsidR="008E5DE4" w:rsidRDefault="00780368">
            <w:pPr>
              <w:widowControl w:val="0"/>
              <w:pBdr>
                <w:top w:val="nil"/>
                <w:left w:val="nil"/>
                <w:bottom w:val="nil"/>
                <w:right w:val="nil"/>
                <w:between w:val="nil"/>
              </w:pBdr>
              <w:ind w:left="113" w:right="-57" w:hanging="113"/>
              <w:rPr>
                <w:color w:val="000000"/>
              </w:rPr>
            </w:pPr>
            <w:r>
              <w:rPr>
                <w:color w:val="000000"/>
              </w:rPr>
              <w:t>- Committed future retirement benefits not yet recognised as an expense</w:t>
            </w:r>
          </w:p>
        </w:tc>
        <w:tc>
          <w:tcPr>
            <w:tcW w:w="1531" w:type="dxa"/>
            <w:vAlign w:val="bottom"/>
          </w:tcPr>
          <w:p w14:paraId="0B0F0DA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B8BCE08" w14:textId="77777777" w:rsidR="008E5DE4" w:rsidRDefault="008E5DE4">
            <w:pPr>
              <w:widowControl w:val="0"/>
              <w:pBdr>
                <w:top w:val="nil"/>
                <w:left w:val="nil"/>
                <w:bottom w:val="nil"/>
                <w:right w:val="nil"/>
                <w:between w:val="nil"/>
              </w:pBdr>
              <w:jc w:val="right"/>
              <w:rPr>
                <w:color w:val="000000"/>
              </w:rPr>
            </w:pPr>
          </w:p>
        </w:tc>
      </w:tr>
      <w:tr w:rsidR="008E5DE4" w14:paraId="3AB5BFC6" w14:textId="77777777">
        <w:trPr>
          <w:cantSplit/>
        </w:trPr>
        <w:tc>
          <w:tcPr>
            <w:tcW w:w="6293" w:type="dxa"/>
            <w:vAlign w:val="bottom"/>
          </w:tcPr>
          <w:p w14:paraId="4F93034C" w14:textId="77777777" w:rsidR="008E5DE4" w:rsidRDefault="00780368">
            <w:pPr>
              <w:widowControl w:val="0"/>
              <w:pBdr>
                <w:top w:val="nil"/>
                <w:left w:val="nil"/>
                <w:bottom w:val="nil"/>
                <w:right w:val="nil"/>
                <w:between w:val="nil"/>
              </w:pBdr>
              <w:ind w:left="113" w:right="-57" w:hanging="113"/>
              <w:rPr>
                <w:color w:val="000000"/>
              </w:rPr>
            </w:pPr>
            <w:r>
              <w:rPr>
                <w:color w:val="000000"/>
              </w:rPr>
              <w:t>- Committed future termination indemnity benefits not yet recognised as an expense</w:t>
            </w:r>
          </w:p>
        </w:tc>
        <w:tc>
          <w:tcPr>
            <w:tcW w:w="1531" w:type="dxa"/>
            <w:vAlign w:val="bottom"/>
          </w:tcPr>
          <w:p w14:paraId="55F2694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FBDAD7F" w14:textId="77777777" w:rsidR="008E5DE4" w:rsidRDefault="008E5DE4">
            <w:pPr>
              <w:widowControl w:val="0"/>
              <w:pBdr>
                <w:top w:val="nil"/>
                <w:left w:val="nil"/>
                <w:bottom w:val="nil"/>
                <w:right w:val="nil"/>
                <w:between w:val="nil"/>
              </w:pBdr>
              <w:jc w:val="right"/>
              <w:rPr>
                <w:color w:val="000000"/>
              </w:rPr>
            </w:pPr>
          </w:p>
        </w:tc>
      </w:tr>
      <w:tr w:rsidR="008E5DE4" w14:paraId="2162626B" w14:textId="77777777">
        <w:trPr>
          <w:cantSplit/>
        </w:trPr>
        <w:tc>
          <w:tcPr>
            <w:tcW w:w="6293" w:type="dxa"/>
            <w:vAlign w:val="bottom"/>
          </w:tcPr>
          <w:p w14:paraId="698AD237"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vAlign w:val="bottom"/>
          </w:tcPr>
          <w:p w14:paraId="0DAF662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EF3F76" w14:textId="77777777" w:rsidR="008E5DE4" w:rsidRDefault="008E5DE4">
            <w:pPr>
              <w:widowControl w:val="0"/>
              <w:pBdr>
                <w:top w:val="nil"/>
                <w:left w:val="nil"/>
                <w:bottom w:val="nil"/>
                <w:right w:val="nil"/>
                <w:between w:val="nil"/>
              </w:pBdr>
              <w:jc w:val="right"/>
              <w:rPr>
                <w:color w:val="000000"/>
              </w:rPr>
            </w:pPr>
          </w:p>
        </w:tc>
      </w:tr>
      <w:tr w:rsidR="008E5DE4" w14:paraId="0E3BBEB7" w14:textId="77777777">
        <w:trPr>
          <w:cantSplit/>
        </w:trPr>
        <w:tc>
          <w:tcPr>
            <w:tcW w:w="6293" w:type="dxa"/>
            <w:vAlign w:val="bottom"/>
          </w:tcPr>
          <w:p w14:paraId="56666076" w14:textId="77777777" w:rsidR="008E5DE4" w:rsidRDefault="00780368">
            <w:pPr>
              <w:widowControl w:val="0"/>
              <w:pBdr>
                <w:top w:val="nil"/>
                <w:left w:val="nil"/>
                <w:bottom w:val="nil"/>
                <w:right w:val="nil"/>
                <w:between w:val="nil"/>
              </w:pBdr>
              <w:ind w:left="113" w:right="-57" w:hanging="113"/>
              <w:rPr>
                <w:color w:val="000000"/>
              </w:rPr>
            </w:pPr>
            <w:r>
              <w:rPr>
                <w:i/>
                <w:color w:val="000000"/>
              </w:rPr>
              <w:t>Other long-term employee benefits:</w:t>
            </w:r>
          </w:p>
        </w:tc>
        <w:tc>
          <w:tcPr>
            <w:tcW w:w="1531" w:type="dxa"/>
            <w:vAlign w:val="bottom"/>
          </w:tcPr>
          <w:p w14:paraId="308F748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A76E4FF" w14:textId="77777777" w:rsidR="008E5DE4" w:rsidRDefault="008E5DE4">
            <w:pPr>
              <w:widowControl w:val="0"/>
              <w:pBdr>
                <w:top w:val="nil"/>
                <w:left w:val="nil"/>
                <w:bottom w:val="nil"/>
                <w:right w:val="nil"/>
                <w:between w:val="nil"/>
              </w:pBdr>
              <w:jc w:val="right"/>
              <w:rPr>
                <w:color w:val="000000"/>
              </w:rPr>
            </w:pPr>
          </w:p>
        </w:tc>
      </w:tr>
      <w:tr w:rsidR="008E5DE4" w14:paraId="07BEEA54" w14:textId="77777777">
        <w:trPr>
          <w:cantSplit/>
        </w:trPr>
        <w:tc>
          <w:tcPr>
            <w:tcW w:w="6293" w:type="dxa"/>
            <w:vAlign w:val="bottom"/>
          </w:tcPr>
          <w:p w14:paraId="25102F2D" w14:textId="77777777" w:rsidR="008E5DE4" w:rsidRDefault="00780368">
            <w:pPr>
              <w:widowControl w:val="0"/>
              <w:pBdr>
                <w:top w:val="nil"/>
                <w:left w:val="nil"/>
                <w:bottom w:val="nil"/>
                <w:right w:val="nil"/>
                <w:between w:val="nil"/>
              </w:pBdr>
              <w:ind w:left="113" w:right="-57" w:hanging="113"/>
              <w:rPr>
                <w:color w:val="000000"/>
              </w:rPr>
            </w:pPr>
            <w:r>
              <w:rPr>
                <w:color w:val="000000"/>
              </w:rPr>
              <w:t>- Committed long-term bonuses to be provided in exchange for future services</w:t>
            </w:r>
          </w:p>
        </w:tc>
        <w:tc>
          <w:tcPr>
            <w:tcW w:w="1531" w:type="dxa"/>
            <w:vAlign w:val="bottom"/>
          </w:tcPr>
          <w:p w14:paraId="78EE89C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2281BC9" w14:textId="77777777" w:rsidR="008E5DE4" w:rsidRDefault="008E5DE4">
            <w:pPr>
              <w:widowControl w:val="0"/>
              <w:pBdr>
                <w:top w:val="nil"/>
                <w:left w:val="nil"/>
                <w:bottom w:val="nil"/>
                <w:right w:val="nil"/>
                <w:between w:val="nil"/>
              </w:pBdr>
              <w:jc w:val="right"/>
              <w:rPr>
                <w:color w:val="000000"/>
              </w:rPr>
            </w:pPr>
          </w:p>
        </w:tc>
      </w:tr>
      <w:tr w:rsidR="008E5DE4" w14:paraId="2B4E4B40" w14:textId="77777777">
        <w:trPr>
          <w:cantSplit/>
        </w:trPr>
        <w:tc>
          <w:tcPr>
            <w:tcW w:w="6293" w:type="dxa"/>
            <w:vAlign w:val="bottom"/>
          </w:tcPr>
          <w:p w14:paraId="4230592E" w14:textId="77777777" w:rsidR="008E5DE4" w:rsidRDefault="00780368">
            <w:pPr>
              <w:widowControl w:val="0"/>
              <w:pBdr>
                <w:top w:val="nil"/>
                <w:left w:val="nil"/>
                <w:bottom w:val="nil"/>
                <w:right w:val="nil"/>
                <w:between w:val="nil"/>
              </w:pBdr>
              <w:ind w:left="113" w:right="-57" w:hanging="113"/>
              <w:rPr>
                <w:color w:val="000000"/>
              </w:rPr>
            </w:pPr>
            <w:r>
              <w:rPr>
                <w:color w:val="000000"/>
              </w:rPr>
              <w:t>- Committed jubilee benefits not yet recognised as an expense</w:t>
            </w:r>
          </w:p>
        </w:tc>
        <w:tc>
          <w:tcPr>
            <w:tcW w:w="1531" w:type="dxa"/>
            <w:vAlign w:val="bottom"/>
          </w:tcPr>
          <w:p w14:paraId="53DA0A2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EC58A0F" w14:textId="77777777" w:rsidR="008E5DE4" w:rsidRDefault="008E5DE4">
            <w:pPr>
              <w:widowControl w:val="0"/>
              <w:pBdr>
                <w:top w:val="nil"/>
                <w:left w:val="nil"/>
                <w:bottom w:val="nil"/>
                <w:right w:val="nil"/>
                <w:between w:val="nil"/>
              </w:pBdr>
              <w:jc w:val="right"/>
              <w:rPr>
                <w:color w:val="000000"/>
              </w:rPr>
            </w:pPr>
          </w:p>
        </w:tc>
      </w:tr>
      <w:tr w:rsidR="008E5DE4" w14:paraId="77266D72" w14:textId="77777777">
        <w:trPr>
          <w:cantSplit/>
        </w:trPr>
        <w:tc>
          <w:tcPr>
            <w:tcW w:w="6293" w:type="dxa"/>
            <w:vAlign w:val="bottom"/>
          </w:tcPr>
          <w:p w14:paraId="75A99C01"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vAlign w:val="bottom"/>
          </w:tcPr>
          <w:p w14:paraId="06D2D6B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182EF62" w14:textId="77777777" w:rsidR="008E5DE4" w:rsidRDefault="008E5DE4">
            <w:pPr>
              <w:widowControl w:val="0"/>
              <w:pBdr>
                <w:top w:val="nil"/>
                <w:left w:val="nil"/>
                <w:bottom w:val="nil"/>
                <w:right w:val="nil"/>
                <w:between w:val="nil"/>
              </w:pBdr>
              <w:jc w:val="right"/>
              <w:rPr>
                <w:color w:val="000000"/>
              </w:rPr>
            </w:pPr>
          </w:p>
        </w:tc>
      </w:tr>
      <w:tr w:rsidR="008E5DE4" w14:paraId="035CA09C" w14:textId="77777777">
        <w:trPr>
          <w:cantSplit/>
        </w:trPr>
        <w:tc>
          <w:tcPr>
            <w:tcW w:w="6293" w:type="dxa"/>
            <w:vAlign w:val="bottom"/>
          </w:tcPr>
          <w:p w14:paraId="1841AF5E" w14:textId="77777777" w:rsidR="008E5DE4" w:rsidRDefault="00780368">
            <w:pPr>
              <w:widowControl w:val="0"/>
              <w:pBdr>
                <w:top w:val="nil"/>
                <w:left w:val="nil"/>
                <w:bottom w:val="nil"/>
                <w:right w:val="nil"/>
                <w:between w:val="nil"/>
              </w:pBdr>
              <w:ind w:left="113" w:right="-57" w:hanging="113"/>
              <w:rPr>
                <w:color w:val="000000"/>
              </w:rPr>
            </w:pPr>
            <w:r>
              <w:rPr>
                <w:i/>
                <w:color w:val="000000"/>
              </w:rPr>
              <w:t>Share-based compensation:</w:t>
            </w:r>
          </w:p>
        </w:tc>
        <w:tc>
          <w:tcPr>
            <w:tcW w:w="1531" w:type="dxa"/>
            <w:vAlign w:val="bottom"/>
          </w:tcPr>
          <w:p w14:paraId="2AF173D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BF64FB6" w14:textId="77777777" w:rsidR="008E5DE4" w:rsidRDefault="008E5DE4">
            <w:pPr>
              <w:widowControl w:val="0"/>
              <w:pBdr>
                <w:top w:val="nil"/>
                <w:left w:val="nil"/>
                <w:bottom w:val="nil"/>
                <w:right w:val="nil"/>
                <w:between w:val="nil"/>
              </w:pBdr>
              <w:jc w:val="right"/>
              <w:rPr>
                <w:color w:val="000000"/>
              </w:rPr>
            </w:pPr>
          </w:p>
        </w:tc>
      </w:tr>
      <w:tr w:rsidR="008E5DE4" w14:paraId="22E7C3C1" w14:textId="77777777">
        <w:trPr>
          <w:cantSplit/>
        </w:trPr>
        <w:tc>
          <w:tcPr>
            <w:tcW w:w="6293" w:type="dxa"/>
            <w:vAlign w:val="bottom"/>
          </w:tcPr>
          <w:p w14:paraId="138A2996" w14:textId="77777777" w:rsidR="008E5DE4" w:rsidRDefault="00780368">
            <w:pPr>
              <w:widowControl w:val="0"/>
              <w:pBdr>
                <w:top w:val="nil"/>
                <w:left w:val="nil"/>
                <w:bottom w:val="nil"/>
                <w:right w:val="nil"/>
                <w:between w:val="nil"/>
              </w:pBdr>
              <w:ind w:left="113" w:right="-57" w:hanging="113"/>
              <w:rPr>
                <w:color w:val="000000"/>
              </w:rPr>
            </w:pPr>
            <w:r>
              <w:rPr>
                <w:color w:val="000000"/>
              </w:rPr>
              <w:t>- Unamortised balance of cash-settled share-based compensation obligation</w:t>
            </w:r>
          </w:p>
        </w:tc>
        <w:tc>
          <w:tcPr>
            <w:tcW w:w="1531" w:type="dxa"/>
            <w:vAlign w:val="bottom"/>
          </w:tcPr>
          <w:p w14:paraId="366A19B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F693A21" w14:textId="77777777" w:rsidR="008E5DE4" w:rsidRDefault="008E5DE4">
            <w:pPr>
              <w:widowControl w:val="0"/>
              <w:pBdr>
                <w:top w:val="nil"/>
                <w:left w:val="nil"/>
                <w:bottom w:val="nil"/>
                <w:right w:val="nil"/>
                <w:between w:val="nil"/>
              </w:pBdr>
              <w:jc w:val="right"/>
              <w:rPr>
                <w:color w:val="000000"/>
              </w:rPr>
            </w:pPr>
          </w:p>
        </w:tc>
      </w:tr>
      <w:tr w:rsidR="008E5DE4" w14:paraId="6BBBF05D" w14:textId="77777777">
        <w:trPr>
          <w:cantSplit/>
        </w:trPr>
        <w:tc>
          <w:tcPr>
            <w:tcW w:w="6293" w:type="dxa"/>
            <w:vAlign w:val="bottom"/>
          </w:tcPr>
          <w:p w14:paraId="304D8CB2" w14:textId="29BC9F2D" w:rsidR="008E5DE4" w:rsidRDefault="00780368">
            <w:pPr>
              <w:widowControl w:val="0"/>
              <w:pBdr>
                <w:top w:val="nil"/>
                <w:left w:val="nil"/>
                <w:bottom w:val="nil"/>
                <w:right w:val="nil"/>
                <w:between w:val="nil"/>
              </w:pBdr>
              <w:ind w:left="113" w:right="-57" w:hanging="113"/>
              <w:rPr>
                <w:color w:val="000000"/>
              </w:rPr>
            </w:pPr>
            <w:r>
              <w:rPr>
                <w:color w:val="000000"/>
              </w:rPr>
              <w:t xml:space="preserve">- Unamortised balance of equity-settled share-based compensation </w:t>
            </w:r>
          </w:p>
        </w:tc>
        <w:tc>
          <w:tcPr>
            <w:tcW w:w="1531" w:type="dxa"/>
            <w:vAlign w:val="bottom"/>
          </w:tcPr>
          <w:p w14:paraId="2A1B4A6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4012A2D" w14:textId="77777777" w:rsidR="008E5DE4" w:rsidRDefault="008E5DE4">
            <w:pPr>
              <w:widowControl w:val="0"/>
              <w:pBdr>
                <w:top w:val="nil"/>
                <w:left w:val="nil"/>
                <w:bottom w:val="nil"/>
                <w:right w:val="nil"/>
                <w:between w:val="nil"/>
              </w:pBdr>
              <w:jc w:val="right"/>
              <w:rPr>
                <w:color w:val="000000"/>
              </w:rPr>
            </w:pPr>
          </w:p>
        </w:tc>
      </w:tr>
      <w:tr w:rsidR="008E5DE4" w14:paraId="23067F34" w14:textId="77777777">
        <w:trPr>
          <w:cantSplit/>
        </w:trPr>
        <w:tc>
          <w:tcPr>
            <w:tcW w:w="6293" w:type="dxa"/>
            <w:vAlign w:val="bottom"/>
          </w:tcPr>
          <w:p w14:paraId="24010EE8"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vAlign w:val="bottom"/>
          </w:tcPr>
          <w:p w14:paraId="57A59C2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7640452" w14:textId="77777777" w:rsidR="008E5DE4" w:rsidRDefault="008E5DE4">
            <w:pPr>
              <w:widowControl w:val="0"/>
              <w:pBdr>
                <w:top w:val="nil"/>
                <w:left w:val="nil"/>
                <w:bottom w:val="nil"/>
                <w:right w:val="nil"/>
                <w:between w:val="nil"/>
              </w:pBdr>
              <w:jc w:val="right"/>
              <w:rPr>
                <w:color w:val="000000"/>
              </w:rPr>
            </w:pPr>
          </w:p>
        </w:tc>
      </w:tr>
      <w:tr w:rsidR="008E5DE4" w14:paraId="4B859DD9" w14:textId="77777777">
        <w:trPr>
          <w:cantSplit/>
        </w:trPr>
        <w:tc>
          <w:tcPr>
            <w:tcW w:w="6293" w:type="dxa"/>
            <w:vAlign w:val="bottom"/>
          </w:tcPr>
          <w:p w14:paraId="4B4AB752" w14:textId="77777777" w:rsidR="008E5DE4" w:rsidRDefault="00780368">
            <w:pPr>
              <w:widowControl w:val="0"/>
              <w:pBdr>
                <w:top w:val="nil"/>
                <w:left w:val="nil"/>
                <w:bottom w:val="nil"/>
                <w:right w:val="nil"/>
                <w:between w:val="nil"/>
              </w:pBdr>
              <w:ind w:left="113" w:right="-57" w:hanging="113"/>
              <w:rPr>
                <w:color w:val="000000"/>
              </w:rPr>
            </w:pPr>
            <w:r>
              <w:rPr>
                <w:color w:val="000000"/>
              </w:rPr>
              <w:t>Unrecognised termination benefits entitlement in case of involuntary termination of employment</w:t>
            </w:r>
          </w:p>
        </w:tc>
        <w:tc>
          <w:tcPr>
            <w:tcW w:w="1531" w:type="dxa"/>
            <w:vAlign w:val="bottom"/>
          </w:tcPr>
          <w:p w14:paraId="0C679EE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E48D7A4" w14:textId="77777777" w:rsidR="008E5DE4" w:rsidRDefault="008E5DE4">
            <w:pPr>
              <w:widowControl w:val="0"/>
              <w:pBdr>
                <w:top w:val="nil"/>
                <w:left w:val="nil"/>
                <w:bottom w:val="nil"/>
                <w:right w:val="nil"/>
                <w:between w:val="nil"/>
              </w:pBdr>
              <w:jc w:val="right"/>
              <w:rPr>
                <w:color w:val="000000"/>
              </w:rPr>
            </w:pPr>
          </w:p>
        </w:tc>
      </w:tr>
      <w:tr w:rsidR="008E5DE4" w14:paraId="3818A6CA" w14:textId="77777777">
        <w:trPr>
          <w:cantSplit/>
        </w:trPr>
        <w:tc>
          <w:tcPr>
            <w:tcW w:w="6293" w:type="dxa"/>
            <w:tcBorders>
              <w:bottom w:val="single" w:sz="4" w:space="0" w:color="000000"/>
            </w:tcBorders>
            <w:vAlign w:val="bottom"/>
          </w:tcPr>
          <w:p w14:paraId="60055DA1"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tcBorders>
              <w:bottom w:val="single" w:sz="4" w:space="0" w:color="000000"/>
            </w:tcBorders>
            <w:vAlign w:val="bottom"/>
          </w:tcPr>
          <w:p w14:paraId="48E5D47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4158193" w14:textId="77777777" w:rsidR="008E5DE4" w:rsidRDefault="008E5DE4">
            <w:pPr>
              <w:widowControl w:val="0"/>
              <w:pBdr>
                <w:top w:val="nil"/>
                <w:left w:val="nil"/>
                <w:bottom w:val="nil"/>
                <w:right w:val="nil"/>
                <w:between w:val="nil"/>
              </w:pBdr>
              <w:jc w:val="right"/>
              <w:rPr>
                <w:color w:val="000000"/>
              </w:rPr>
            </w:pPr>
          </w:p>
        </w:tc>
      </w:tr>
      <w:tr w:rsidR="008E5DE4" w14:paraId="7D2B3EE4" w14:textId="77777777">
        <w:trPr>
          <w:cantSplit/>
        </w:trPr>
        <w:tc>
          <w:tcPr>
            <w:tcW w:w="6293" w:type="dxa"/>
            <w:tcBorders>
              <w:top w:val="single" w:sz="4" w:space="0" w:color="000000"/>
            </w:tcBorders>
            <w:vAlign w:val="bottom"/>
          </w:tcPr>
          <w:p w14:paraId="24C36AAD"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tcBorders>
              <w:top w:val="single" w:sz="4" w:space="0" w:color="000000"/>
            </w:tcBorders>
            <w:vAlign w:val="bottom"/>
          </w:tcPr>
          <w:p w14:paraId="77E039C6"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70155358" w14:textId="77777777" w:rsidR="008E5DE4" w:rsidRDefault="008E5DE4">
            <w:pPr>
              <w:widowControl w:val="0"/>
              <w:pBdr>
                <w:top w:val="nil"/>
                <w:left w:val="nil"/>
                <w:bottom w:val="nil"/>
                <w:right w:val="nil"/>
                <w:between w:val="nil"/>
              </w:pBdr>
              <w:jc w:val="right"/>
              <w:rPr>
                <w:color w:val="000000"/>
              </w:rPr>
            </w:pPr>
          </w:p>
        </w:tc>
      </w:tr>
      <w:tr w:rsidR="008E5DE4" w14:paraId="6A4E341A" w14:textId="77777777">
        <w:trPr>
          <w:cantSplit/>
        </w:trPr>
        <w:tc>
          <w:tcPr>
            <w:tcW w:w="6293" w:type="dxa"/>
            <w:vAlign w:val="bottom"/>
          </w:tcPr>
          <w:p w14:paraId="7F18AEA1"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commitments and contingent liabilities to key management personnel </w:t>
            </w:r>
            <w:proofErr w:type="gramStart"/>
            <w:r>
              <w:rPr>
                <w:b/>
                <w:color w:val="000000"/>
              </w:rPr>
              <w:t>at</w:t>
            </w:r>
            <w:proofErr w:type="gramEnd"/>
            <w:r>
              <w:rPr>
                <w:b/>
                <w:color w:val="000000"/>
              </w:rPr>
              <w:t xml:space="preserve"> 31 December</w:t>
            </w:r>
          </w:p>
        </w:tc>
        <w:tc>
          <w:tcPr>
            <w:tcW w:w="1531" w:type="dxa"/>
            <w:vAlign w:val="bottom"/>
          </w:tcPr>
          <w:p w14:paraId="70F055C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F181799" w14:textId="77777777" w:rsidR="008E5DE4" w:rsidRDefault="008E5DE4">
            <w:pPr>
              <w:widowControl w:val="0"/>
              <w:pBdr>
                <w:top w:val="nil"/>
                <w:left w:val="nil"/>
                <w:bottom w:val="nil"/>
                <w:right w:val="nil"/>
                <w:between w:val="nil"/>
              </w:pBdr>
              <w:jc w:val="right"/>
              <w:rPr>
                <w:color w:val="000000"/>
              </w:rPr>
            </w:pPr>
          </w:p>
        </w:tc>
      </w:tr>
      <w:tr w:rsidR="008E5DE4" w14:paraId="19BE67F5" w14:textId="77777777">
        <w:trPr>
          <w:cantSplit/>
        </w:trPr>
        <w:tc>
          <w:tcPr>
            <w:tcW w:w="6293" w:type="dxa"/>
            <w:tcBorders>
              <w:bottom w:val="single" w:sz="12" w:space="0" w:color="000000"/>
            </w:tcBorders>
            <w:vAlign w:val="bottom"/>
          </w:tcPr>
          <w:p w14:paraId="5531BC62"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tcBorders>
              <w:bottom w:val="single" w:sz="12" w:space="0" w:color="000000"/>
            </w:tcBorders>
            <w:vAlign w:val="bottom"/>
          </w:tcPr>
          <w:p w14:paraId="7014EDD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6DF6378F" w14:textId="77777777" w:rsidR="008E5DE4" w:rsidRDefault="008E5DE4">
            <w:pPr>
              <w:widowControl w:val="0"/>
              <w:pBdr>
                <w:top w:val="nil"/>
                <w:left w:val="nil"/>
                <w:bottom w:val="nil"/>
                <w:right w:val="nil"/>
                <w:between w:val="nil"/>
              </w:pBdr>
              <w:jc w:val="right"/>
              <w:rPr>
                <w:color w:val="000000"/>
              </w:rPr>
            </w:pPr>
          </w:p>
        </w:tc>
      </w:tr>
    </w:tbl>
    <w:p w14:paraId="245E80E9" w14:textId="77777777" w:rsidR="009D6ED6" w:rsidRPr="007F183E" w:rsidRDefault="009D6ED6" w:rsidP="007F183E">
      <w:pPr>
        <w:pStyle w:val="Heading1"/>
        <w:numPr>
          <w:ilvl w:val="0"/>
          <w:numId w:val="0"/>
        </w:numPr>
        <w:rPr>
          <w:iCs/>
          <w:color w:val="FF0000"/>
          <w:szCs w:val="20"/>
        </w:rPr>
      </w:pPr>
    </w:p>
    <w:p w14:paraId="616FE6D1" w14:textId="77777777" w:rsidR="009D6ED6" w:rsidRDefault="009D6ED6">
      <w:pPr>
        <w:rPr>
          <w:b/>
          <w:i/>
          <w:color w:val="FF0000"/>
          <w:kern w:val="28"/>
          <w:sz w:val="20"/>
          <w:szCs w:val="20"/>
        </w:rPr>
      </w:pPr>
      <w:r>
        <w:rPr>
          <w:i/>
          <w:color w:val="FF0000"/>
          <w:szCs w:val="20"/>
        </w:rPr>
        <w:br w:type="page"/>
      </w:r>
    </w:p>
    <w:p w14:paraId="3EC36BD8" w14:textId="77777777" w:rsidR="008E5DE4" w:rsidRDefault="00780368" w:rsidP="00BB1486">
      <w:pPr>
        <w:pStyle w:val="Heading1"/>
        <w:numPr>
          <w:ilvl w:val="0"/>
          <w:numId w:val="3"/>
        </w:numPr>
        <w:ind w:left="567" w:hanging="567"/>
      </w:pPr>
      <w:bookmarkStart w:id="16" w:name="_Toc149923608"/>
      <w:r>
        <w:lastRenderedPageBreak/>
        <w:t>Property, Plant and Equipment</w:t>
      </w:r>
      <w:bookmarkEnd w:id="16"/>
    </w:p>
    <w:p w14:paraId="6A0D0CE4" w14:textId="5300C025" w:rsidR="008E5DE4" w:rsidRDefault="00090491">
      <w:pPr>
        <w:widowControl w:val="0"/>
        <w:pBdr>
          <w:top w:val="nil"/>
          <w:left w:val="nil"/>
          <w:bottom w:val="nil"/>
          <w:right w:val="nil"/>
          <w:between w:val="nil"/>
        </w:pBdr>
        <w:shd w:val="clear" w:color="auto" w:fill="C6D9F1"/>
        <w:spacing w:before="200" w:after="200"/>
        <w:jc w:val="both"/>
        <w:rPr>
          <w:b/>
          <w:i/>
          <w:color w:val="000000"/>
          <w:sz w:val="20"/>
          <w:szCs w:val="20"/>
        </w:rPr>
      </w:pPr>
      <w:r>
        <w:rPr>
          <w:b/>
          <w:i/>
          <w:color w:val="000000"/>
          <w:sz w:val="20"/>
          <w:szCs w:val="20"/>
        </w:rPr>
        <w:t>Material accounting policy information</w:t>
      </w:r>
      <w:r w:rsidR="00780368">
        <w:rPr>
          <w:b/>
          <w:i/>
          <w:color w:val="000000"/>
          <w:sz w:val="20"/>
          <w:szCs w:val="20"/>
        </w:rPr>
        <w:t xml:space="preserve"> </w:t>
      </w:r>
    </w:p>
    <w:p w14:paraId="5306AE19"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00"/>
          <w:sz w:val="20"/>
          <w:szCs w:val="20"/>
        </w:rPr>
        <w:t xml:space="preserve">Property, plant and equipment are stated at cost, </w:t>
      </w:r>
      <w:r>
        <w:rPr>
          <w:color w:val="0000FF"/>
          <w:sz w:val="20"/>
          <w:szCs w:val="20"/>
        </w:rPr>
        <w:t>[or revalued amounts, as described below,]</w:t>
      </w:r>
      <w:r>
        <w:rPr>
          <w:color w:val="000000"/>
          <w:sz w:val="20"/>
          <w:szCs w:val="20"/>
        </w:rPr>
        <w:t xml:space="preserve"> less accumulated depreciation and impairment, where required. </w:t>
      </w:r>
      <w:r>
        <w:rPr>
          <w:color w:val="0000FF"/>
          <w:sz w:val="20"/>
          <w:szCs w:val="20"/>
        </w:rPr>
        <w:t xml:space="preserve">[Property, plant and equipment </w:t>
      </w:r>
      <w:proofErr w:type="gramStart"/>
      <w:r>
        <w:rPr>
          <w:color w:val="0000FF"/>
          <w:sz w:val="20"/>
          <w:szCs w:val="20"/>
        </w:rPr>
        <w:t>includes</w:t>
      </w:r>
      <w:proofErr w:type="gramEnd"/>
      <w:r>
        <w:rPr>
          <w:color w:val="0000FF"/>
          <w:sz w:val="20"/>
          <w:szCs w:val="20"/>
        </w:rPr>
        <w:t xml:space="preserve"> assets under construction for future use as property, plant and equipment.] </w:t>
      </w:r>
    </w:p>
    <w:p w14:paraId="4251DBF5"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Cost includes expenditure that is directly attributable to the acquisition of the items. Cost may also include transfers from equity of any gains or losses on qualifying cash flow hedges of foreign currency purchases of property, plant and equipment.</w:t>
      </w:r>
    </w:p>
    <w:p w14:paraId="59702EE7"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00"/>
          <w:sz w:val="20"/>
          <w:szCs w:val="20"/>
        </w:rPr>
        <w:t>The  proceeds from selling any items produced while bringing an item of property, plant and equipment to the location and condition necessary for it to be capable of operating in the manner intended by management (such as samples produced when testing whether the asset is functioning properly) and the cost of those items are recognized in profit or loss.</w:t>
      </w:r>
      <w:r>
        <w:rPr>
          <w:color w:val="0000FF"/>
          <w:sz w:val="20"/>
          <w:szCs w:val="20"/>
        </w:rPr>
        <w:t xml:space="preserve">[Land and buildings] are subject to revaluation with sufficient regularity to ensure that the carrying amount does not differ materially from that which would be determined using fair value at the end of the reporting period. Increases in the carrying amount arising on revaluation are credited to other comprehensive income and increase the revaluation surplus in equity. Decreases that offset previous increases of the same asset are recognised in other comprehensive income and decrease the previously recognised revaluation surplus in equity; all other decreases are charged to profit or loss for the year. The revaluation reserve for land and buildings included in equity is transferred directly to retained earnings [accumulated deficit] when the revaluation surplus is realised on the retirement or disposal of the asset [or as the asset is used by the Group; in the latter case, the amount of the surplus realised is the difference between depreciation based on the revalued carrying amount of the asset and depreciation based on the asset’s original cost]. </w:t>
      </w:r>
    </w:p>
    <w:p w14:paraId="24319394" w14:textId="73B541AD" w:rsidR="008E5DE4" w:rsidRDefault="00780368" w:rsidP="007F183E">
      <w:pPr>
        <w:widowControl w:val="0"/>
        <w:pBdr>
          <w:top w:val="nil"/>
          <w:left w:val="nil"/>
          <w:bottom w:val="nil"/>
          <w:right w:val="nil"/>
          <w:between w:val="nil"/>
        </w:pBdr>
        <w:shd w:val="clear" w:color="auto" w:fill="C6D9F1"/>
        <w:spacing w:before="200" w:after="200"/>
        <w:jc w:val="both"/>
        <w:rPr>
          <w:i/>
          <w:color w:val="FF0000"/>
          <w:sz w:val="20"/>
          <w:szCs w:val="20"/>
        </w:rPr>
      </w:pPr>
      <w:r>
        <w:rPr>
          <w:color w:val="000000"/>
          <w:sz w:val="20"/>
          <w:szCs w:val="20"/>
        </w:rPr>
        <w:t xml:space="preserve">If there is no </w:t>
      </w:r>
      <w:proofErr w:type="gramStart"/>
      <w:r>
        <w:rPr>
          <w:color w:val="000000"/>
          <w:sz w:val="20"/>
          <w:szCs w:val="20"/>
        </w:rPr>
        <w:t>market based</w:t>
      </w:r>
      <w:proofErr w:type="gramEnd"/>
      <w:r>
        <w:rPr>
          <w:color w:val="000000"/>
          <w:sz w:val="20"/>
          <w:szCs w:val="20"/>
        </w:rPr>
        <w:t xml:space="preserve"> evidence of fair value, fair value is estimated using an income approach. </w:t>
      </w:r>
      <w:r>
        <w:rPr>
          <w:color w:val="0000FF"/>
          <w:sz w:val="20"/>
          <w:szCs w:val="20"/>
        </w:rPr>
        <w:t xml:space="preserve">[Management has updated the carrying value of land and buildings measured in accordance with the revaluation model at the end of the reporting period using </w:t>
      </w:r>
      <w:proofErr w:type="gramStart"/>
      <w:r>
        <w:rPr>
          <w:color w:val="0000FF"/>
          <w:sz w:val="20"/>
          <w:szCs w:val="20"/>
        </w:rPr>
        <w:t>market based</w:t>
      </w:r>
      <w:proofErr w:type="gramEnd"/>
      <w:r>
        <w:rPr>
          <w:color w:val="0000FF"/>
          <w:sz w:val="20"/>
          <w:szCs w:val="20"/>
        </w:rPr>
        <w:t xml:space="preserve"> evidence and is satisfied that sufficient market</w:t>
      </w:r>
      <w:r w:rsidR="00010D4F">
        <w:rPr>
          <w:color w:val="0000FF"/>
          <w:sz w:val="20"/>
          <w:szCs w:val="20"/>
        </w:rPr>
        <w:t>-</w:t>
      </w:r>
      <w:r>
        <w:rPr>
          <w:color w:val="0000FF"/>
          <w:sz w:val="20"/>
          <w:szCs w:val="20"/>
        </w:rPr>
        <w:t>based evidence of fair value is available to support the updated fair values</w:t>
      </w:r>
      <w:r w:rsidRPr="00010D4F">
        <w:rPr>
          <w:color w:val="0000FF"/>
          <w:sz w:val="20"/>
          <w:szCs w:val="20"/>
        </w:rPr>
        <w:t xml:space="preserve">.] </w:t>
      </w:r>
      <w:r w:rsidR="00D713AE" w:rsidRPr="00010D4F">
        <w:rPr>
          <w:color w:val="0000FF"/>
          <w:sz w:val="20"/>
          <w:szCs w:val="20"/>
        </w:rPr>
        <w:t>[</w:t>
      </w:r>
      <w:r w:rsidRPr="00010D4F">
        <w:rPr>
          <w:color w:val="0000FF"/>
          <w:sz w:val="20"/>
          <w:szCs w:val="20"/>
        </w:rPr>
        <w:t xml:space="preserve">Management </w:t>
      </w:r>
      <w:r>
        <w:rPr>
          <w:color w:val="0000FF"/>
          <w:sz w:val="20"/>
          <w:szCs w:val="20"/>
        </w:rPr>
        <w:t>has updated the carrying value of land and buildings measured in accordance with the revaluation model at the end of the reporting period using [specify method].]</w:t>
      </w:r>
    </w:p>
    <w:p w14:paraId="1CF74F36"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Subsequent costs are included in the asset’s carrying amount or recognised as a separate asset, as appropriate, only when it is probable that future economic benefits associated with the item will flow to the Group and the cost of the item can be measured reliably. Costs of minor repairs and day-to-day maintenance are expensed when incurred. Cost of replacing major parts or components of property, plant and equipment items </w:t>
      </w:r>
      <w:proofErr w:type="gramStart"/>
      <w:r>
        <w:rPr>
          <w:color w:val="000000"/>
          <w:sz w:val="20"/>
          <w:szCs w:val="20"/>
        </w:rPr>
        <w:t>are</w:t>
      </w:r>
      <w:proofErr w:type="gramEnd"/>
      <w:r>
        <w:rPr>
          <w:color w:val="000000"/>
          <w:sz w:val="20"/>
          <w:szCs w:val="20"/>
        </w:rPr>
        <w:t xml:space="preserve"> capitalised and the replaced part is retired.</w:t>
      </w:r>
    </w:p>
    <w:p w14:paraId="56A6982B" w14:textId="77777777" w:rsidR="008E5DE4" w:rsidRDefault="008E5DE4">
      <w:pPr>
        <w:widowControl w:val="0"/>
        <w:pBdr>
          <w:top w:val="nil"/>
          <w:left w:val="nil"/>
          <w:bottom w:val="nil"/>
          <w:right w:val="nil"/>
          <w:between w:val="nil"/>
        </w:pBdr>
        <w:shd w:val="clear" w:color="auto" w:fill="C6D9F1"/>
        <w:spacing w:before="200" w:after="200"/>
        <w:jc w:val="both"/>
        <w:rPr>
          <w:color w:val="000000"/>
          <w:sz w:val="20"/>
          <w:szCs w:val="20"/>
        </w:rPr>
      </w:pPr>
    </w:p>
    <w:p w14:paraId="50288362" w14:textId="77777777" w:rsidR="008E5DE4" w:rsidRDefault="008E5DE4">
      <w:pPr>
        <w:widowControl w:val="0"/>
        <w:pBdr>
          <w:top w:val="nil"/>
          <w:left w:val="nil"/>
          <w:bottom w:val="nil"/>
          <w:right w:val="nil"/>
          <w:between w:val="nil"/>
        </w:pBdr>
        <w:shd w:val="clear" w:color="auto" w:fill="C6D9F1"/>
        <w:spacing w:before="200" w:after="200"/>
        <w:jc w:val="both"/>
        <w:rPr>
          <w:color w:val="000000"/>
          <w:sz w:val="20"/>
          <w:szCs w:val="20"/>
        </w:rPr>
      </w:pPr>
    </w:p>
    <w:p w14:paraId="3D4537AB"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9</w:t>
      </w:r>
      <w:r>
        <w:rPr>
          <w:b/>
          <w:color w:val="000000"/>
          <w:sz w:val="20"/>
          <w:szCs w:val="20"/>
        </w:rPr>
        <w:tab/>
        <w:t>Property, Plant and Equipment (Continued)</w:t>
      </w:r>
    </w:p>
    <w:p w14:paraId="237578A2"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At the end of each reporting period management assesses whether there is any indication of impairment of property, plant and equipment. If any such indication exists, management estimates the recoverable amount, which is determined as the higher of an asset’s fair value less costs of disposal and its value in use. The carrying amount is reduced to the recoverable amount and the impairment loss is recognised in profit or loss for the year</w:t>
      </w:r>
      <w:r>
        <w:rPr>
          <w:color w:val="0000FF"/>
          <w:sz w:val="20"/>
          <w:szCs w:val="20"/>
        </w:rPr>
        <w:t xml:space="preserve"> [to the extent it exceeds the previous revaluation surplus in equity]</w:t>
      </w:r>
      <w:r>
        <w:rPr>
          <w:color w:val="000000"/>
          <w:sz w:val="20"/>
          <w:szCs w:val="20"/>
        </w:rPr>
        <w:t>. An impairment loss recognised for an asset in prior years is reversed where appropriate if there has been a change in the estimates used to determine the asset’s value in use or fair value less costs of disposal.</w:t>
      </w:r>
    </w:p>
    <w:p w14:paraId="6CA1ACB3"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Gains and losses on disposals are determined by comparing the proceeds with the carrying amount and are recognised in profit or loss for the year </w:t>
      </w:r>
      <w:r>
        <w:rPr>
          <w:color w:val="0000FF"/>
          <w:sz w:val="20"/>
          <w:szCs w:val="20"/>
        </w:rPr>
        <w:t>[within other gains/(losses)]</w:t>
      </w:r>
      <w:r>
        <w:rPr>
          <w:color w:val="000000"/>
          <w:sz w:val="20"/>
          <w:szCs w:val="20"/>
        </w:rPr>
        <w:t xml:space="preserve">. </w:t>
      </w:r>
    </w:p>
    <w:p w14:paraId="116B44AB" w14:textId="37C05B84"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Depreciation. </w:t>
      </w:r>
      <w:r>
        <w:rPr>
          <w:color w:val="000000"/>
          <w:sz w:val="20"/>
          <w:szCs w:val="20"/>
        </w:rPr>
        <w:t xml:space="preserve">Land is not depreciated. Depreciation on other items of property, plant and equipment is calculated using the straight-line method to allocate their cost </w:t>
      </w:r>
      <w:r>
        <w:rPr>
          <w:color w:val="0000FF"/>
          <w:sz w:val="20"/>
          <w:szCs w:val="20"/>
        </w:rPr>
        <w:t xml:space="preserve">[or revalued amounts] </w:t>
      </w:r>
      <w:r>
        <w:rPr>
          <w:color w:val="000000"/>
          <w:sz w:val="20"/>
          <w:szCs w:val="20"/>
        </w:rPr>
        <w:t xml:space="preserve">to their residual values over their estimated useful lives: </w:t>
      </w:r>
    </w:p>
    <w:tbl>
      <w:tblPr>
        <w:tblStyle w:val="aff0"/>
        <w:tblW w:w="9360" w:type="dxa"/>
        <w:tblLayout w:type="fixed"/>
        <w:tblLook w:val="0000" w:firstRow="0" w:lastRow="0" w:firstColumn="0" w:lastColumn="0" w:noHBand="0" w:noVBand="0"/>
      </w:tblPr>
      <w:tblGrid>
        <w:gridCol w:w="5670"/>
        <w:gridCol w:w="3690"/>
      </w:tblGrid>
      <w:tr w:rsidR="008E5DE4" w14:paraId="205186F2" w14:textId="77777777">
        <w:trPr>
          <w:cantSplit/>
        </w:trPr>
        <w:tc>
          <w:tcPr>
            <w:tcW w:w="5670" w:type="dxa"/>
            <w:vAlign w:val="bottom"/>
          </w:tcPr>
          <w:p w14:paraId="5B360E7D" w14:textId="77777777" w:rsidR="008E5DE4" w:rsidRDefault="008E5DE4">
            <w:pPr>
              <w:widowControl w:val="0"/>
              <w:shd w:val="clear" w:color="auto" w:fill="C6D9F1"/>
            </w:pPr>
          </w:p>
        </w:tc>
        <w:tc>
          <w:tcPr>
            <w:tcW w:w="3690" w:type="dxa"/>
            <w:vAlign w:val="bottom"/>
          </w:tcPr>
          <w:p w14:paraId="43D6BE5B" w14:textId="77777777" w:rsidR="008E5DE4" w:rsidRDefault="00780368">
            <w:pPr>
              <w:widowControl w:val="0"/>
              <w:shd w:val="clear" w:color="auto" w:fill="C6D9F1"/>
              <w:jc w:val="right"/>
              <w:rPr>
                <w:u w:val="single"/>
              </w:rPr>
            </w:pPr>
            <w:r>
              <w:rPr>
                <w:u w:val="single"/>
              </w:rPr>
              <w:t>Useful lives in years</w:t>
            </w:r>
          </w:p>
        </w:tc>
      </w:tr>
      <w:tr w:rsidR="008E5DE4" w14:paraId="03B3651F" w14:textId="77777777">
        <w:trPr>
          <w:cantSplit/>
        </w:trPr>
        <w:tc>
          <w:tcPr>
            <w:tcW w:w="5670" w:type="dxa"/>
            <w:vAlign w:val="bottom"/>
          </w:tcPr>
          <w:p w14:paraId="72B2BC3D" w14:textId="77777777" w:rsidR="008E5DE4" w:rsidRDefault="00780368">
            <w:pPr>
              <w:widowControl w:val="0"/>
              <w:shd w:val="clear" w:color="auto" w:fill="C6D9F1"/>
            </w:pPr>
            <w:r>
              <w:t xml:space="preserve">Buildings </w:t>
            </w:r>
          </w:p>
        </w:tc>
        <w:tc>
          <w:tcPr>
            <w:tcW w:w="3690" w:type="dxa"/>
            <w:vAlign w:val="bottom"/>
          </w:tcPr>
          <w:p w14:paraId="4DEC778E" w14:textId="77777777" w:rsidR="008E5DE4" w:rsidRDefault="00780368">
            <w:pPr>
              <w:widowControl w:val="0"/>
              <w:shd w:val="clear" w:color="auto" w:fill="C6D9F1"/>
              <w:jc w:val="right"/>
              <w:rPr>
                <w:color w:val="0000FF"/>
              </w:rPr>
            </w:pPr>
            <w:r>
              <w:rPr>
                <w:color w:val="0000FF"/>
              </w:rPr>
              <w:t>[40 to 50]</w:t>
            </w:r>
          </w:p>
        </w:tc>
      </w:tr>
      <w:tr w:rsidR="008E5DE4" w14:paraId="514E8940" w14:textId="77777777">
        <w:trPr>
          <w:cantSplit/>
        </w:trPr>
        <w:tc>
          <w:tcPr>
            <w:tcW w:w="5670" w:type="dxa"/>
            <w:vAlign w:val="bottom"/>
          </w:tcPr>
          <w:p w14:paraId="143B0445" w14:textId="77777777" w:rsidR="008E5DE4" w:rsidRDefault="00780368">
            <w:pPr>
              <w:widowControl w:val="0"/>
              <w:shd w:val="clear" w:color="auto" w:fill="C6D9F1"/>
            </w:pPr>
            <w:r>
              <w:t xml:space="preserve">Plant and equipment </w:t>
            </w:r>
          </w:p>
        </w:tc>
        <w:tc>
          <w:tcPr>
            <w:tcW w:w="3690" w:type="dxa"/>
            <w:vAlign w:val="bottom"/>
          </w:tcPr>
          <w:p w14:paraId="371F92C6" w14:textId="77777777" w:rsidR="008E5DE4" w:rsidRDefault="00780368">
            <w:pPr>
              <w:widowControl w:val="0"/>
              <w:shd w:val="clear" w:color="auto" w:fill="C6D9F1"/>
              <w:jc w:val="right"/>
              <w:rPr>
                <w:color w:val="0000FF"/>
              </w:rPr>
            </w:pPr>
            <w:r>
              <w:rPr>
                <w:color w:val="0000FF"/>
              </w:rPr>
              <w:t>[10 to 20]</w:t>
            </w:r>
          </w:p>
        </w:tc>
      </w:tr>
      <w:tr w:rsidR="008E5DE4" w14:paraId="6977B0CE" w14:textId="77777777">
        <w:trPr>
          <w:cantSplit/>
        </w:trPr>
        <w:tc>
          <w:tcPr>
            <w:tcW w:w="5670" w:type="dxa"/>
            <w:vAlign w:val="bottom"/>
          </w:tcPr>
          <w:p w14:paraId="4CF4357D" w14:textId="7B6475F3" w:rsidR="008E5DE4" w:rsidRDefault="00780368">
            <w:pPr>
              <w:widowControl w:val="0"/>
              <w:shd w:val="clear" w:color="auto" w:fill="C6D9F1"/>
            </w:pPr>
            <w:r>
              <w:t>Other</w:t>
            </w:r>
          </w:p>
        </w:tc>
        <w:tc>
          <w:tcPr>
            <w:tcW w:w="3690" w:type="dxa"/>
            <w:vAlign w:val="bottom"/>
          </w:tcPr>
          <w:p w14:paraId="4FB4E310" w14:textId="77777777" w:rsidR="008E5DE4" w:rsidRDefault="00780368">
            <w:pPr>
              <w:widowControl w:val="0"/>
              <w:shd w:val="clear" w:color="auto" w:fill="C6D9F1"/>
              <w:jc w:val="right"/>
              <w:rPr>
                <w:color w:val="0000FF"/>
              </w:rPr>
            </w:pPr>
            <w:r>
              <w:rPr>
                <w:color w:val="0000FF"/>
              </w:rPr>
              <w:t>[5 to 10]</w:t>
            </w:r>
          </w:p>
        </w:tc>
      </w:tr>
      <w:tr w:rsidR="008E5DE4" w14:paraId="4A9AD50C" w14:textId="77777777">
        <w:trPr>
          <w:cantSplit/>
        </w:trPr>
        <w:tc>
          <w:tcPr>
            <w:tcW w:w="5670" w:type="dxa"/>
            <w:vAlign w:val="bottom"/>
          </w:tcPr>
          <w:p w14:paraId="2FC6C06E" w14:textId="580DEE7A" w:rsidR="008E5DE4" w:rsidRDefault="00780368">
            <w:pPr>
              <w:widowControl w:val="0"/>
              <w:shd w:val="clear" w:color="auto" w:fill="C6D9F1"/>
            </w:pPr>
            <w:r>
              <w:t>Leasehold improvements</w:t>
            </w:r>
          </w:p>
        </w:tc>
        <w:tc>
          <w:tcPr>
            <w:tcW w:w="3690" w:type="dxa"/>
            <w:vAlign w:val="bottom"/>
          </w:tcPr>
          <w:p w14:paraId="76D0FD85" w14:textId="77777777" w:rsidR="008E5DE4" w:rsidRDefault="00780368">
            <w:pPr>
              <w:widowControl w:val="0"/>
              <w:shd w:val="clear" w:color="auto" w:fill="C6D9F1"/>
              <w:jc w:val="right"/>
            </w:pPr>
            <w:r>
              <w:t>Shorter of useful life and the term of the underlying lease</w:t>
            </w:r>
          </w:p>
        </w:tc>
      </w:tr>
    </w:tbl>
    <w:p w14:paraId="2C71A283"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The residual value of an asset is the estimated amount that the Group would currently obtain from the disposal of the asset less the estimated costs of disposal, if the asset was already of the age and in the condition expected at the end of its useful life. The assets’ residual values and useful lives are reviewed, and adjusted if appropriate, at the end of each reporting period.</w:t>
      </w:r>
    </w:p>
    <w:p w14:paraId="1E7435F6"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Capitalisation of borrowing costs. </w:t>
      </w:r>
      <w:r>
        <w:rPr>
          <w:color w:val="000000"/>
          <w:sz w:val="20"/>
          <w:szCs w:val="20"/>
        </w:rPr>
        <w:t xml:space="preserve">General and specific borrowing costs directly attributable to the acquisition, construction or production of assets that </w:t>
      </w:r>
      <w:r>
        <w:rPr>
          <w:color w:val="0000FF"/>
          <w:sz w:val="20"/>
          <w:szCs w:val="20"/>
        </w:rPr>
        <w:t>[are not carried at fair value and that]</w:t>
      </w:r>
      <w:r>
        <w:rPr>
          <w:color w:val="000000"/>
          <w:sz w:val="20"/>
          <w:szCs w:val="20"/>
        </w:rPr>
        <w:t xml:space="preserve"> necessarily take a substantial time to get ready for intended use or sale (qualifying assets) are capitalised as part of the costs of those assets. </w:t>
      </w:r>
    </w:p>
    <w:p w14:paraId="6B46E4F3"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The commencement date for capitalisation is when (a) the Group incurs expenditures for the qualifying asset; (b) it incurs borrowing costs; and (c) it undertakes activities that are necessary to prepare the asset for its intended use or sale. Capitalisation of borrowing costs continues up to the date when the assets are substantially ready for their use or sale. </w:t>
      </w:r>
    </w:p>
    <w:p w14:paraId="19CA1C2A"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The Group capitalises borrowing costs that could have been avoided if it had not made capital expenditure on qualifying assets. Borrowing costs capitalised are calculated at the Group’s average funding cost (the weighted average interest cost is applied to the expenditures on the qualifying assets), except to the extent that funds are borrowed specifically for the purpose of obtaining a qualifying asset. Where this occurs, actual borrowing costs incurred on the specific borrowings less any investment income on the temporary investment of these borrowings are capitalised.</w:t>
      </w:r>
    </w:p>
    <w:p w14:paraId="79A741A9" w14:textId="77777777" w:rsidR="008E5DE4" w:rsidRDefault="00780368">
      <w:pPr>
        <w:widowControl w:val="0"/>
        <w:pBdr>
          <w:top w:val="nil"/>
          <w:left w:val="nil"/>
          <w:bottom w:val="nil"/>
          <w:right w:val="nil"/>
          <w:between w:val="nil"/>
        </w:pBdr>
        <w:shd w:val="clear" w:color="auto" w:fill="C6D9F1"/>
        <w:spacing w:before="200" w:after="200"/>
        <w:jc w:val="both"/>
        <w:rPr>
          <w:color w:val="000000"/>
        </w:rPr>
      </w:pPr>
      <w:r>
        <w:rPr>
          <w:b/>
          <w:i/>
          <w:color w:val="000000"/>
          <w:sz w:val="20"/>
          <w:szCs w:val="20"/>
        </w:rPr>
        <w:t xml:space="preserve">Impairment of property, plant and equipment. </w:t>
      </w:r>
      <w:r>
        <w:rPr>
          <w:color w:val="000000"/>
          <w:sz w:val="20"/>
          <w:szCs w:val="20"/>
        </w:rPr>
        <w:t xml:space="preserve">Assets that are subject to depreciation are reviewed for impairment whenever events or changes in circumstances indicate that the carrying amount may not be recoverable. An impairment loss is recognised for the amount by which the asset’s carrying amount exceeds its recoverable amount. The recoverable amount is the higher of an asset’s fair value less costs of disposal and value in use. For the purposes of assessing impairment, assets are grouped at the lowest levels for which there are largely independent cash inflows (cash-generating units). Prior impairments of non-financial assets (other than goodwill) are reviewed for possible reversal at each reporting date. </w:t>
      </w:r>
    </w:p>
    <w:p w14:paraId="208ED86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9</w:t>
      </w:r>
      <w:r>
        <w:rPr>
          <w:b/>
          <w:color w:val="000000"/>
          <w:sz w:val="20"/>
          <w:szCs w:val="20"/>
        </w:rPr>
        <w:tab/>
        <w:t>Property, Plant and Equipment (Continued)</w:t>
      </w:r>
    </w:p>
    <w:tbl>
      <w:tblPr>
        <w:tblStyle w:val="aff1"/>
        <w:tblW w:w="9495"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8E5DE4" w14:paraId="1EC1FBEE" w14:textId="77777777">
        <w:tc>
          <w:tcPr>
            <w:tcW w:w="9495" w:type="dxa"/>
          </w:tcPr>
          <w:p w14:paraId="23107907" w14:textId="77777777" w:rsidR="008E5DE4" w:rsidRDefault="00780368">
            <w:pPr>
              <w:pBdr>
                <w:top w:val="nil"/>
                <w:left w:val="nil"/>
                <w:bottom w:val="nil"/>
                <w:right w:val="nil"/>
                <w:between w:val="nil"/>
              </w:pBdr>
              <w:spacing w:after="240"/>
              <w:jc w:val="both"/>
              <w:rPr>
                <w:b/>
                <w:i/>
                <w:color w:val="000000"/>
                <w:sz w:val="20"/>
                <w:szCs w:val="20"/>
              </w:rPr>
            </w:pPr>
            <w:bookmarkStart w:id="17" w:name="_heading=h.44sinio" w:colFirst="0" w:colLast="0"/>
            <w:bookmarkEnd w:id="17"/>
            <w:r>
              <w:rPr>
                <w:b/>
                <w:i/>
                <w:color w:val="000000"/>
                <w:sz w:val="20"/>
                <w:szCs w:val="20"/>
              </w:rPr>
              <w:t>Critical Accounting Estimates and Judgments in Applying Accounting Policies</w:t>
            </w:r>
          </w:p>
          <w:p w14:paraId="49FFCF51"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Valuation of own use premises using income capitalisation method.</w:t>
            </w:r>
            <w:r>
              <w:rPr>
                <w:color w:val="000000"/>
                <w:sz w:val="20"/>
                <w:szCs w:val="20"/>
              </w:rPr>
              <w:t xml:space="preserve"> Premises of the Group are stated at fair value based on reports prepared by </w:t>
            </w:r>
            <w:r>
              <w:rPr>
                <w:color w:val="0000FF"/>
                <w:sz w:val="20"/>
                <w:szCs w:val="20"/>
              </w:rPr>
              <w:t>[an international valuation company]</w:t>
            </w:r>
            <w:r>
              <w:rPr>
                <w:color w:val="000000"/>
                <w:sz w:val="20"/>
                <w:szCs w:val="20"/>
              </w:rPr>
              <w:t>. Due to the nature of the premises and lack of comparable market data, the fair value of the premises is estimated based on the income capitalisation method, where the value is estimated from the expected market rental income streams from similar properties and capitalisation yields. The method considers net income generated by comparable property, capitalised to determine the value for property which is subject to the valuation.</w:t>
            </w:r>
          </w:p>
          <w:p w14:paraId="75C14518" w14:textId="77777777" w:rsidR="008E5DE4" w:rsidRDefault="00780368">
            <w:pPr>
              <w:widowControl w:val="0"/>
              <w:pBdr>
                <w:top w:val="nil"/>
                <w:left w:val="nil"/>
                <w:bottom w:val="nil"/>
                <w:right w:val="nil"/>
                <w:between w:val="nil"/>
              </w:pBdr>
              <w:spacing w:before="200" w:after="120"/>
              <w:jc w:val="both"/>
              <w:rPr>
                <w:color w:val="000000"/>
                <w:sz w:val="20"/>
                <w:szCs w:val="20"/>
              </w:rPr>
            </w:pPr>
            <w:r>
              <w:rPr>
                <w:color w:val="000000"/>
                <w:sz w:val="20"/>
                <w:szCs w:val="20"/>
              </w:rPr>
              <w:t>The principal assumptions underlying the estimation of the fair value are those relating to the possible market rentals and appropriate discount rates. These valuations are regularly compared to actual market yield data and actual transactions by the Group and those reported by the market. The impact on the aggregate valuations of reasonably possible changes in these assumptions, with all other variables held constant, is as follows:</w:t>
            </w:r>
          </w:p>
          <w:p w14:paraId="12848E6D" w14:textId="70628EBB"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The capitalisation rate was assumed to be ___% – ___% (</w:t>
            </w:r>
            <w:r w:rsidR="00FF468A">
              <w:rPr>
                <w:color w:val="000000"/>
                <w:sz w:val="20"/>
                <w:szCs w:val="20"/>
              </w:rPr>
              <w:t>2024</w:t>
            </w:r>
            <w:r>
              <w:rPr>
                <w:color w:val="000000"/>
                <w:sz w:val="20"/>
                <w:szCs w:val="20"/>
              </w:rPr>
              <w:t>: ___% – ___%). Should this capitalisation rate increase / decrease by 1 percentage point (</w:t>
            </w:r>
            <w:r w:rsidR="00FF468A">
              <w:rPr>
                <w:color w:val="000000"/>
                <w:sz w:val="20"/>
                <w:szCs w:val="20"/>
              </w:rPr>
              <w:t>2024</w:t>
            </w:r>
            <w:r>
              <w:rPr>
                <w:color w:val="000000"/>
                <w:sz w:val="20"/>
                <w:szCs w:val="20"/>
              </w:rPr>
              <w:t xml:space="preserve">: 1 percentage point), the carrying value of the premises would be </w:t>
            </w:r>
            <w:r>
              <w:rPr>
                <w:color w:val="0000FF"/>
                <w:sz w:val="20"/>
                <w:szCs w:val="20"/>
              </w:rPr>
              <w:t>EUR</w:t>
            </w:r>
            <w:r>
              <w:rPr>
                <w:color w:val="000000"/>
                <w:sz w:val="20"/>
                <w:szCs w:val="20"/>
              </w:rPr>
              <w:t xml:space="preserve"> ____ thousand lower / </w:t>
            </w:r>
            <w:r>
              <w:rPr>
                <w:color w:val="0000FF"/>
                <w:sz w:val="20"/>
                <w:szCs w:val="20"/>
              </w:rPr>
              <w:t>EUR</w:t>
            </w:r>
            <w:r>
              <w:rPr>
                <w:color w:val="000000"/>
                <w:sz w:val="20"/>
                <w:szCs w:val="20"/>
              </w:rPr>
              <w:t xml:space="preserve"> ____ thousand higher (</w:t>
            </w:r>
            <w:r w:rsidR="00FF468A">
              <w:rPr>
                <w:color w:val="000000"/>
                <w:sz w:val="20"/>
                <w:szCs w:val="20"/>
              </w:rPr>
              <w:t>2024</w:t>
            </w:r>
            <w:r>
              <w:rPr>
                <w:color w:val="000000"/>
                <w:sz w:val="20"/>
                <w:szCs w:val="20"/>
              </w:rPr>
              <w:t xml:space="preserve">: </w:t>
            </w:r>
            <w:r>
              <w:rPr>
                <w:color w:val="0000FF"/>
                <w:sz w:val="20"/>
                <w:szCs w:val="20"/>
              </w:rPr>
              <w:t>EUR</w:t>
            </w:r>
            <w:r>
              <w:rPr>
                <w:color w:val="000000"/>
                <w:sz w:val="20"/>
                <w:szCs w:val="20"/>
              </w:rPr>
              <w:t xml:space="preserve"> ____ thousand lower / </w:t>
            </w:r>
            <w:r>
              <w:rPr>
                <w:color w:val="0000FF"/>
                <w:sz w:val="20"/>
                <w:szCs w:val="20"/>
              </w:rPr>
              <w:t>EUR</w:t>
            </w:r>
            <w:r>
              <w:rPr>
                <w:color w:val="000000"/>
                <w:sz w:val="20"/>
                <w:szCs w:val="20"/>
              </w:rPr>
              <w:t xml:space="preserve"> ____ thousand higher).</w:t>
            </w:r>
          </w:p>
          <w:p w14:paraId="0258A3DF" w14:textId="04C73894"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Possible property rental income was assumed to be </w:t>
            </w:r>
            <w:r>
              <w:rPr>
                <w:color w:val="0000FF"/>
                <w:sz w:val="20"/>
                <w:szCs w:val="20"/>
              </w:rPr>
              <w:t>EUR</w:t>
            </w:r>
            <w:r>
              <w:rPr>
                <w:color w:val="000000"/>
                <w:sz w:val="20"/>
                <w:szCs w:val="20"/>
              </w:rPr>
              <w:t xml:space="preserve"> ____ thousand (</w:t>
            </w:r>
            <w:r w:rsidR="00FF468A">
              <w:rPr>
                <w:color w:val="000000"/>
                <w:sz w:val="20"/>
                <w:szCs w:val="20"/>
              </w:rPr>
              <w:t>2024</w:t>
            </w:r>
            <w:r>
              <w:rPr>
                <w:color w:val="000000"/>
                <w:sz w:val="20"/>
                <w:szCs w:val="20"/>
              </w:rPr>
              <w:t xml:space="preserve">: </w:t>
            </w:r>
            <w:r>
              <w:rPr>
                <w:color w:val="0000FF"/>
                <w:sz w:val="20"/>
                <w:szCs w:val="20"/>
              </w:rPr>
              <w:t>EUR</w:t>
            </w:r>
            <w:r>
              <w:rPr>
                <w:color w:val="000000"/>
                <w:sz w:val="20"/>
                <w:szCs w:val="20"/>
              </w:rPr>
              <w:t xml:space="preserve"> ____ thousand) per annum. Should this rental income increase / decrease by 10 percent (</w:t>
            </w:r>
            <w:r w:rsidR="00FF468A">
              <w:rPr>
                <w:color w:val="000000"/>
                <w:sz w:val="20"/>
                <w:szCs w:val="20"/>
              </w:rPr>
              <w:t>2024</w:t>
            </w:r>
            <w:r>
              <w:rPr>
                <w:color w:val="000000"/>
                <w:sz w:val="20"/>
                <w:szCs w:val="20"/>
              </w:rPr>
              <w:t xml:space="preserve">: 10 percent), the carrying value of the premises would be </w:t>
            </w:r>
            <w:r>
              <w:rPr>
                <w:color w:val="0000FF"/>
                <w:sz w:val="20"/>
                <w:szCs w:val="20"/>
              </w:rPr>
              <w:t>EUR</w:t>
            </w:r>
            <w:r>
              <w:rPr>
                <w:color w:val="000000"/>
                <w:sz w:val="20"/>
                <w:szCs w:val="20"/>
              </w:rPr>
              <w:t xml:space="preserve"> ____ thousand higher / </w:t>
            </w:r>
            <w:r>
              <w:rPr>
                <w:color w:val="0000FF"/>
                <w:sz w:val="20"/>
                <w:szCs w:val="20"/>
              </w:rPr>
              <w:t>EUR</w:t>
            </w:r>
            <w:r>
              <w:rPr>
                <w:color w:val="000000"/>
                <w:sz w:val="20"/>
                <w:szCs w:val="20"/>
              </w:rPr>
              <w:t xml:space="preserve"> ____ thousand lower (</w:t>
            </w:r>
            <w:r w:rsidR="00FF468A">
              <w:rPr>
                <w:color w:val="000000"/>
                <w:sz w:val="20"/>
                <w:szCs w:val="20"/>
              </w:rPr>
              <w:t>2024</w:t>
            </w:r>
            <w:r>
              <w:rPr>
                <w:color w:val="000000"/>
                <w:sz w:val="20"/>
                <w:szCs w:val="20"/>
              </w:rPr>
              <w:t xml:space="preserve">: </w:t>
            </w:r>
            <w:r>
              <w:rPr>
                <w:color w:val="0000FF"/>
                <w:sz w:val="20"/>
                <w:szCs w:val="20"/>
              </w:rPr>
              <w:t>EUR</w:t>
            </w:r>
            <w:r>
              <w:rPr>
                <w:color w:val="000000"/>
                <w:sz w:val="20"/>
                <w:szCs w:val="20"/>
              </w:rPr>
              <w:t xml:space="preserve"> ____ thousand higher / </w:t>
            </w:r>
            <w:r>
              <w:rPr>
                <w:color w:val="0000FF"/>
                <w:sz w:val="20"/>
                <w:szCs w:val="20"/>
              </w:rPr>
              <w:t>EUR</w:t>
            </w:r>
            <w:r>
              <w:rPr>
                <w:color w:val="000000"/>
                <w:sz w:val="20"/>
                <w:szCs w:val="20"/>
              </w:rPr>
              <w:t xml:space="preserve"> ____ thousand lower).</w:t>
            </w:r>
          </w:p>
          <w:p w14:paraId="1D93654D"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Useful lives of property, plant and equipment. </w:t>
            </w:r>
            <w:r>
              <w:rPr>
                <w:color w:val="000000"/>
                <w:sz w:val="20"/>
                <w:szCs w:val="20"/>
              </w:rPr>
              <w:t>The estimation of the useful lives of items of property, plant and equipment is a matter of judgment based on the experience with similar assets. The future economic benefits embodied in the assets are consumed principally through use. However, other factors, such as technical or commercial obsolescence and wear and tear, often result in the diminution of the economic benefits embodied in the assets. Management assesses the remaining useful lives in accordance with the current technical conditions of the assets and estimated period during which the assets are expected to earn benefits for the Group. The following primary factors are considered: (a) the expected usage of the assets; (b) the expected physical wear and tear, which depends on operational factors and maintenance programme; and (c) the technical or commercial obsolescence arising from changes in market conditions.</w:t>
            </w:r>
          </w:p>
          <w:p w14:paraId="3AA1F2CC" w14:textId="2319BFAF"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Were the estimated useful lives to differ by 10% from management’s estimates, the impact on depreciation for the year ended 31 December </w:t>
            </w:r>
            <w:r w:rsidR="008614F8">
              <w:rPr>
                <w:color w:val="000000"/>
                <w:sz w:val="20"/>
                <w:szCs w:val="20"/>
              </w:rPr>
              <w:t>2025</w:t>
            </w:r>
            <w:r>
              <w:rPr>
                <w:color w:val="000000"/>
                <w:sz w:val="20"/>
                <w:szCs w:val="20"/>
              </w:rPr>
              <w:t xml:space="preserve"> would be to increase it by </w:t>
            </w:r>
            <w:r>
              <w:rPr>
                <w:color w:val="0000FF"/>
                <w:sz w:val="20"/>
                <w:szCs w:val="20"/>
              </w:rPr>
              <w:t>EUR</w:t>
            </w:r>
            <w:r>
              <w:rPr>
                <w:color w:val="000000"/>
                <w:sz w:val="20"/>
                <w:szCs w:val="20"/>
              </w:rPr>
              <w:t xml:space="preserve"> _____ thousand or decrease it by </w:t>
            </w:r>
            <w:r>
              <w:rPr>
                <w:color w:val="0000FF"/>
                <w:sz w:val="20"/>
                <w:szCs w:val="20"/>
              </w:rPr>
              <w:t>EUR</w:t>
            </w:r>
            <w:r>
              <w:rPr>
                <w:color w:val="000000"/>
                <w:sz w:val="20"/>
                <w:szCs w:val="20"/>
              </w:rPr>
              <w:t xml:space="preserve"> ______ thousand (</w:t>
            </w:r>
            <w:r w:rsidR="00FF468A">
              <w:rPr>
                <w:color w:val="000000"/>
                <w:sz w:val="20"/>
                <w:szCs w:val="20"/>
              </w:rPr>
              <w:t>2024</w:t>
            </w:r>
            <w:r>
              <w:rPr>
                <w:color w:val="000000"/>
                <w:sz w:val="20"/>
                <w:szCs w:val="20"/>
              </w:rPr>
              <w:t xml:space="preserve">: increase by </w:t>
            </w:r>
            <w:r>
              <w:rPr>
                <w:color w:val="0000FF"/>
                <w:sz w:val="20"/>
                <w:szCs w:val="20"/>
              </w:rPr>
              <w:t>EUR</w:t>
            </w:r>
            <w:r>
              <w:rPr>
                <w:color w:val="000000"/>
                <w:sz w:val="20"/>
                <w:szCs w:val="20"/>
              </w:rPr>
              <w:t xml:space="preserve"> _____ thousand or decrease by </w:t>
            </w:r>
            <w:r>
              <w:rPr>
                <w:color w:val="0000FF"/>
                <w:sz w:val="20"/>
                <w:szCs w:val="20"/>
              </w:rPr>
              <w:t>EUR</w:t>
            </w:r>
            <w:r>
              <w:rPr>
                <w:color w:val="000000"/>
                <w:sz w:val="20"/>
                <w:szCs w:val="20"/>
              </w:rPr>
              <w:t xml:space="preserve"> ______ thousand).</w:t>
            </w:r>
          </w:p>
          <w:p w14:paraId="71EC52F3" w14:textId="69D239B0"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Residual values of property, plant and equipment. </w:t>
            </w:r>
          </w:p>
          <w:p w14:paraId="1C525CE2" w14:textId="1192B193" w:rsidR="008E5DE4" w:rsidRDefault="00780368" w:rsidP="00D713AE">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Growth rates and discount rates used in PP&amp;E impairment calculations. </w:t>
            </w:r>
          </w:p>
        </w:tc>
      </w:tr>
    </w:tbl>
    <w:p w14:paraId="12EAAB49" w14:textId="77777777" w:rsidR="008E5DE4" w:rsidRDefault="008E5DE4"/>
    <w:p w14:paraId="32C25D1B" w14:textId="77777777" w:rsidR="00B97E0C" w:rsidRDefault="00B97E0C" w:rsidP="00B97E0C">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9</w:t>
      </w:r>
      <w:r>
        <w:rPr>
          <w:b/>
          <w:color w:val="000000"/>
          <w:sz w:val="20"/>
          <w:szCs w:val="20"/>
        </w:rPr>
        <w:tab/>
        <w:t>Property, Plant and Equipment (Continued)</w:t>
      </w:r>
    </w:p>
    <w:p w14:paraId="4FB9D07B" w14:textId="43B30029"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Movements in the carrying amount of property, plant and equipment were as follows:</w:t>
      </w:r>
    </w:p>
    <w:tbl>
      <w:tblPr>
        <w:tblStyle w:val="aff2"/>
        <w:tblW w:w="9357" w:type="dxa"/>
        <w:tblLayout w:type="fixed"/>
        <w:tblLook w:val="0000" w:firstRow="0" w:lastRow="0" w:firstColumn="0" w:lastColumn="0" w:noHBand="0" w:noVBand="0"/>
      </w:tblPr>
      <w:tblGrid>
        <w:gridCol w:w="2438"/>
        <w:gridCol w:w="567"/>
        <w:gridCol w:w="794"/>
        <w:gridCol w:w="794"/>
        <w:gridCol w:w="794"/>
        <w:gridCol w:w="794"/>
        <w:gridCol w:w="794"/>
        <w:gridCol w:w="794"/>
        <w:gridCol w:w="794"/>
        <w:gridCol w:w="794"/>
      </w:tblGrid>
      <w:tr w:rsidR="008E5DE4" w14:paraId="03A3B8E0" w14:textId="77777777">
        <w:trPr>
          <w:cantSplit/>
          <w:tblHeader/>
        </w:trPr>
        <w:tc>
          <w:tcPr>
            <w:tcW w:w="2439" w:type="dxa"/>
            <w:tcBorders>
              <w:bottom w:val="single" w:sz="4" w:space="0" w:color="000000"/>
            </w:tcBorders>
            <w:vAlign w:val="bottom"/>
          </w:tcPr>
          <w:p w14:paraId="267FEB08" w14:textId="77777777" w:rsidR="008E5DE4" w:rsidRDefault="00780368">
            <w:pPr>
              <w:widowControl w:val="0"/>
              <w:pBdr>
                <w:top w:val="nil"/>
                <w:left w:val="nil"/>
                <w:bottom w:val="nil"/>
                <w:right w:val="nil"/>
                <w:between w:val="nil"/>
              </w:pBdr>
              <w:ind w:left="113" w:right="-57" w:hanging="113"/>
              <w:rPr>
                <w:b/>
                <w:i/>
                <w:color w:val="000000"/>
                <w:sz w:val="17"/>
                <w:szCs w:val="17"/>
              </w:rPr>
            </w:pPr>
            <w:r>
              <w:rPr>
                <w:i/>
                <w:color w:val="000000"/>
                <w:sz w:val="17"/>
                <w:szCs w:val="17"/>
              </w:rPr>
              <w:t>In thousands of EUR</w:t>
            </w:r>
          </w:p>
        </w:tc>
        <w:tc>
          <w:tcPr>
            <w:tcW w:w="567" w:type="dxa"/>
            <w:tcBorders>
              <w:bottom w:val="single" w:sz="4" w:space="0" w:color="000000"/>
            </w:tcBorders>
            <w:vAlign w:val="bottom"/>
          </w:tcPr>
          <w:p w14:paraId="14685E69" w14:textId="77777777" w:rsidR="008E5DE4" w:rsidRDefault="00780368">
            <w:pPr>
              <w:widowControl w:val="0"/>
              <w:pBdr>
                <w:top w:val="nil"/>
                <w:left w:val="nil"/>
                <w:bottom w:val="nil"/>
                <w:right w:val="nil"/>
                <w:between w:val="nil"/>
              </w:pBdr>
              <w:ind w:left="-57" w:right="-57"/>
              <w:jc w:val="center"/>
              <w:rPr>
                <w:b/>
                <w:color w:val="000000"/>
                <w:sz w:val="17"/>
                <w:szCs w:val="17"/>
              </w:rPr>
            </w:pPr>
            <w:r>
              <w:rPr>
                <w:b/>
                <w:color w:val="000000"/>
                <w:sz w:val="17"/>
                <w:szCs w:val="17"/>
              </w:rPr>
              <w:t>Note</w:t>
            </w:r>
          </w:p>
        </w:tc>
        <w:tc>
          <w:tcPr>
            <w:tcW w:w="794" w:type="dxa"/>
            <w:tcBorders>
              <w:bottom w:val="single" w:sz="4" w:space="0" w:color="000000"/>
            </w:tcBorders>
          </w:tcPr>
          <w:p w14:paraId="02FAA715"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 xml:space="preserve">Free-hold Land </w:t>
            </w:r>
          </w:p>
        </w:tc>
        <w:tc>
          <w:tcPr>
            <w:tcW w:w="794" w:type="dxa"/>
            <w:tcBorders>
              <w:bottom w:val="single" w:sz="4" w:space="0" w:color="000000"/>
            </w:tcBorders>
          </w:tcPr>
          <w:p w14:paraId="64E8884C"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Buil-dings</w:t>
            </w:r>
          </w:p>
        </w:tc>
        <w:tc>
          <w:tcPr>
            <w:tcW w:w="794" w:type="dxa"/>
            <w:tcBorders>
              <w:bottom w:val="single" w:sz="4" w:space="0" w:color="000000"/>
            </w:tcBorders>
          </w:tcPr>
          <w:p w14:paraId="47C1CA3E"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Plant and equip-</w:t>
            </w:r>
            <w:proofErr w:type="spellStart"/>
            <w:r>
              <w:rPr>
                <w:b/>
                <w:color w:val="000000"/>
                <w:sz w:val="17"/>
                <w:szCs w:val="17"/>
              </w:rPr>
              <w:t>ment</w:t>
            </w:r>
            <w:proofErr w:type="spellEnd"/>
            <w:r>
              <w:rPr>
                <w:b/>
                <w:color w:val="000000"/>
                <w:sz w:val="17"/>
                <w:szCs w:val="17"/>
              </w:rPr>
              <w:t xml:space="preserve"> – own use</w:t>
            </w:r>
          </w:p>
        </w:tc>
        <w:tc>
          <w:tcPr>
            <w:tcW w:w="794" w:type="dxa"/>
            <w:tcBorders>
              <w:bottom w:val="single" w:sz="4" w:space="0" w:color="000000"/>
            </w:tcBorders>
          </w:tcPr>
          <w:p w14:paraId="707875F3"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Plant and equip-</w:t>
            </w:r>
            <w:proofErr w:type="spellStart"/>
            <w:r>
              <w:rPr>
                <w:b/>
                <w:color w:val="000000"/>
                <w:sz w:val="17"/>
                <w:szCs w:val="17"/>
              </w:rPr>
              <w:t>ment</w:t>
            </w:r>
            <w:proofErr w:type="spellEnd"/>
            <w:r>
              <w:rPr>
                <w:b/>
                <w:color w:val="000000"/>
                <w:sz w:val="17"/>
                <w:szCs w:val="17"/>
              </w:rPr>
              <w:t xml:space="preserve"> – leased to customers</w:t>
            </w:r>
          </w:p>
        </w:tc>
        <w:tc>
          <w:tcPr>
            <w:tcW w:w="794" w:type="dxa"/>
            <w:tcBorders>
              <w:bottom w:val="single" w:sz="4" w:space="0" w:color="000000"/>
            </w:tcBorders>
          </w:tcPr>
          <w:p w14:paraId="5851EBC7"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Other</w:t>
            </w:r>
          </w:p>
        </w:tc>
        <w:tc>
          <w:tcPr>
            <w:tcW w:w="794" w:type="dxa"/>
            <w:tcBorders>
              <w:bottom w:val="single" w:sz="4" w:space="0" w:color="000000"/>
            </w:tcBorders>
          </w:tcPr>
          <w:p w14:paraId="59CF1EE9"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FF"/>
                <w:sz w:val="17"/>
                <w:szCs w:val="17"/>
              </w:rPr>
              <w:t>[Equip-</w:t>
            </w:r>
            <w:proofErr w:type="spellStart"/>
            <w:r>
              <w:rPr>
                <w:b/>
                <w:color w:val="0000FF"/>
                <w:sz w:val="17"/>
                <w:szCs w:val="17"/>
              </w:rPr>
              <w:t>ment</w:t>
            </w:r>
            <w:proofErr w:type="spellEnd"/>
            <w:r>
              <w:rPr>
                <w:b/>
                <w:color w:val="0000FF"/>
                <w:sz w:val="17"/>
                <w:szCs w:val="17"/>
              </w:rPr>
              <w:t>]</w:t>
            </w:r>
            <w:r>
              <w:rPr>
                <w:b/>
                <w:color w:val="000000"/>
                <w:sz w:val="17"/>
                <w:szCs w:val="17"/>
              </w:rPr>
              <w:t xml:space="preserve"> leased to </w:t>
            </w:r>
            <w:proofErr w:type="spellStart"/>
            <w:r>
              <w:rPr>
                <w:b/>
                <w:color w:val="000000"/>
                <w:sz w:val="17"/>
                <w:szCs w:val="17"/>
              </w:rPr>
              <w:t>custo-mers</w:t>
            </w:r>
            <w:proofErr w:type="spellEnd"/>
          </w:p>
        </w:tc>
        <w:tc>
          <w:tcPr>
            <w:tcW w:w="794" w:type="dxa"/>
            <w:tcBorders>
              <w:bottom w:val="single" w:sz="4" w:space="0" w:color="000000"/>
            </w:tcBorders>
          </w:tcPr>
          <w:p w14:paraId="79E1C6E1"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FF"/>
                <w:sz w:val="17"/>
                <w:szCs w:val="17"/>
              </w:rPr>
              <w:t xml:space="preserve"> </w:t>
            </w:r>
            <w:r>
              <w:rPr>
                <w:b/>
                <w:color w:val="000000"/>
                <w:sz w:val="17"/>
                <w:szCs w:val="17"/>
              </w:rPr>
              <w:t>Con--</w:t>
            </w:r>
            <w:proofErr w:type="spellStart"/>
            <w:r>
              <w:rPr>
                <w:b/>
                <w:color w:val="000000"/>
                <w:sz w:val="17"/>
                <w:szCs w:val="17"/>
              </w:rPr>
              <w:t>struc-tion</w:t>
            </w:r>
            <w:proofErr w:type="spellEnd"/>
            <w:r>
              <w:rPr>
                <w:b/>
                <w:color w:val="000000"/>
                <w:sz w:val="17"/>
                <w:szCs w:val="17"/>
              </w:rPr>
              <w:t xml:space="preserve"> in pro-</w:t>
            </w:r>
            <w:proofErr w:type="spellStart"/>
            <w:r>
              <w:rPr>
                <w:b/>
                <w:color w:val="000000"/>
                <w:sz w:val="17"/>
                <w:szCs w:val="17"/>
              </w:rPr>
              <w:t>gress</w:t>
            </w:r>
            <w:proofErr w:type="spellEnd"/>
          </w:p>
        </w:tc>
        <w:tc>
          <w:tcPr>
            <w:tcW w:w="794" w:type="dxa"/>
            <w:tcBorders>
              <w:bottom w:val="single" w:sz="4" w:space="0" w:color="000000"/>
            </w:tcBorders>
          </w:tcPr>
          <w:p w14:paraId="659797B4"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Total</w:t>
            </w:r>
          </w:p>
        </w:tc>
      </w:tr>
      <w:tr w:rsidR="008E5DE4" w14:paraId="162F0E16" w14:textId="77777777">
        <w:trPr>
          <w:cantSplit/>
          <w:tblHeader/>
        </w:trPr>
        <w:tc>
          <w:tcPr>
            <w:tcW w:w="2439" w:type="dxa"/>
            <w:vAlign w:val="bottom"/>
          </w:tcPr>
          <w:p w14:paraId="3AF80CBE"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vAlign w:val="bottom"/>
          </w:tcPr>
          <w:p w14:paraId="590DA4AC"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7B73378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E26C04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FAAB269"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28B71C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A9A023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153E70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AD2B25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01163D0" w14:textId="77777777" w:rsidR="008E5DE4" w:rsidRDefault="008E5DE4">
            <w:pPr>
              <w:widowControl w:val="0"/>
              <w:pBdr>
                <w:top w:val="nil"/>
                <w:left w:val="nil"/>
                <w:bottom w:val="nil"/>
                <w:right w:val="nil"/>
                <w:between w:val="nil"/>
              </w:pBdr>
              <w:jc w:val="right"/>
              <w:rPr>
                <w:color w:val="000000"/>
                <w:sz w:val="17"/>
                <w:szCs w:val="17"/>
              </w:rPr>
            </w:pPr>
          </w:p>
        </w:tc>
      </w:tr>
      <w:tr w:rsidR="008E5DE4" w14:paraId="671A7A1C" w14:textId="77777777">
        <w:trPr>
          <w:cantSplit/>
          <w:tblHeader/>
        </w:trPr>
        <w:tc>
          <w:tcPr>
            <w:tcW w:w="2439" w:type="dxa"/>
            <w:vAlign w:val="bottom"/>
          </w:tcPr>
          <w:p w14:paraId="263C2E92" w14:textId="53F0B97E"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Cost </w:t>
            </w:r>
            <w:r>
              <w:rPr>
                <w:color w:val="0000FF"/>
                <w:sz w:val="17"/>
                <w:szCs w:val="17"/>
              </w:rPr>
              <w:t>[or valuation]</w:t>
            </w:r>
            <w:r>
              <w:rPr>
                <w:color w:val="000000"/>
                <w:sz w:val="17"/>
                <w:szCs w:val="17"/>
              </w:rPr>
              <w:t xml:space="preserve"> </w:t>
            </w:r>
            <w:proofErr w:type="gramStart"/>
            <w:r>
              <w:rPr>
                <w:color w:val="000000"/>
                <w:sz w:val="17"/>
                <w:szCs w:val="17"/>
              </w:rPr>
              <w:t>at</w:t>
            </w:r>
            <w:proofErr w:type="gramEnd"/>
            <w:r>
              <w:rPr>
                <w:color w:val="000000"/>
                <w:sz w:val="17"/>
                <w:szCs w:val="17"/>
              </w:rPr>
              <w:t xml:space="preserve"> 1 January </w:t>
            </w:r>
            <w:r w:rsidR="00FF468A">
              <w:rPr>
                <w:color w:val="000000"/>
                <w:sz w:val="17"/>
                <w:szCs w:val="17"/>
              </w:rPr>
              <w:t>2024</w:t>
            </w:r>
            <w:r>
              <w:rPr>
                <w:color w:val="000000"/>
                <w:sz w:val="17"/>
                <w:szCs w:val="17"/>
              </w:rPr>
              <w:t xml:space="preserve"> </w:t>
            </w:r>
          </w:p>
        </w:tc>
        <w:tc>
          <w:tcPr>
            <w:tcW w:w="567" w:type="dxa"/>
            <w:vAlign w:val="bottom"/>
          </w:tcPr>
          <w:p w14:paraId="6DD362F0" w14:textId="77777777" w:rsidR="008E5DE4" w:rsidRDefault="008E5DE4">
            <w:pPr>
              <w:widowControl w:val="0"/>
              <w:pBdr>
                <w:top w:val="nil"/>
                <w:left w:val="nil"/>
                <w:bottom w:val="nil"/>
                <w:right w:val="nil"/>
                <w:between w:val="nil"/>
              </w:pBdr>
              <w:ind w:right="-57"/>
              <w:rPr>
                <w:color w:val="000000"/>
                <w:sz w:val="17"/>
                <w:szCs w:val="17"/>
              </w:rPr>
            </w:pPr>
          </w:p>
        </w:tc>
        <w:tc>
          <w:tcPr>
            <w:tcW w:w="794" w:type="dxa"/>
            <w:vAlign w:val="bottom"/>
          </w:tcPr>
          <w:p w14:paraId="6187917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8E45ADF"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B7EF247"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02182C2"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0A214B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501417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C3A3B2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0FCA389" w14:textId="77777777" w:rsidR="008E5DE4" w:rsidRDefault="008E5DE4">
            <w:pPr>
              <w:widowControl w:val="0"/>
              <w:pBdr>
                <w:top w:val="nil"/>
                <w:left w:val="nil"/>
                <w:bottom w:val="nil"/>
                <w:right w:val="nil"/>
                <w:between w:val="nil"/>
              </w:pBdr>
              <w:jc w:val="right"/>
              <w:rPr>
                <w:color w:val="000000"/>
                <w:sz w:val="17"/>
                <w:szCs w:val="17"/>
              </w:rPr>
            </w:pPr>
          </w:p>
        </w:tc>
      </w:tr>
      <w:tr w:rsidR="008E5DE4" w14:paraId="6B0AC35C" w14:textId="77777777">
        <w:trPr>
          <w:cantSplit/>
          <w:tblHeader/>
        </w:trPr>
        <w:tc>
          <w:tcPr>
            <w:tcW w:w="2439" w:type="dxa"/>
            <w:vAlign w:val="bottom"/>
          </w:tcPr>
          <w:p w14:paraId="7DCB7EFA"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Accumulated depreciation </w:t>
            </w:r>
          </w:p>
        </w:tc>
        <w:tc>
          <w:tcPr>
            <w:tcW w:w="567" w:type="dxa"/>
            <w:vAlign w:val="bottom"/>
          </w:tcPr>
          <w:p w14:paraId="02D331DD"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7B2C944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841029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10E595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E872943"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246DF8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3F954D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F38BB6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E7A75EC" w14:textId="77777777" w:rsidR="008E5DE4" w:rsidRDefault="008E5DE4">
            <w:pPr>
              <w:widowControl w:val="0"/>
              <w:pBdr>
                <w:top w:val="nil"/>
                <w:left w:val="nil"/>
                <w:bottom w:val="nil"/>
                <w:right w:val="nil"/>
                <w:between w:val="nil"/>
              </w:pBdr>
              <w:jc w:val="right"/>
              <w:rPr>
                <w:color w:val="000000"/>
                <w:sz w:val="17"/>
                <w:szCs w:val="17"/>
              </w:rPr>
            </w:pPr>
          </w:p>
        </w:tc>
      </w:tr>
      <w:tr w:rsidR="008E5DE4" w14:paraId="08181CD8" w14:textId="77777777">
        <w:trPr>
          <w:cantSplit/>
          <w:tblHeader/>
        </w:trPr>
        <w:tc>
          <w:tcPr>
            <w:tcW w:w="2439" w:type="dxa"/>
            <w:tcBorders>
              <w:bottom w:val="single" w:sz="4" w:space="0" w:color="000000"/>
            </w:tcBorders>
            <w:vAlign w:val="bottom"/>
          </w:tcPr>
          <w:p w14:paraId="16F59E87" w14:textId="77777777" w:rsidR="008E5DE4" w:rsidRDefault="008E5DE4">
            <w:pPr>
              <w:widowControl w:val="0"/>
              <w:pBdr>
                <w:top w:val="nil"/>
                <w:left w:val="nil"/>
                <w:bottom w:val="nil"/>
                <w:right w:val="nil"/>
                <w:between w:val="nil"/>
              </w:pBdr>
              <w:ind w:left="113" w:right="-57" w:hanging="113"/>
              <w:rPr>
                <w:color w:val="000000"/>
                <w:sz w:val="17"/>
                <w:szCs w:val="17"/>
              </w:rPr>
            </w:pPr>
          </w:p>
        </w:tc>
        <w:tc>
          <w:tcPr>
            <w:tcW w:w="567" w:type="dxa"/>
            <w:tcBorders>
              <w:bottom w:val="single" w:sz="4" w:space="0" w:color="000000"/>
            </w:tcBorders>
            <w:vAlign w:val="bottom"/>
          </w:tcPr>
          <w:p w14:paraId="67CF6F7E"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4" w:space="0" w:color="000000"/>
            </w:tcBorders>
            <w:vAlign w:val="bottom"/>
          </w:tcPr>
          <w:p w14:paraId="1BF5156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244402F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6031933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tcPr>
          <w:p w14:paraId="68E8AF1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tcPr>
          <w:p w14:paraId="4192F674"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3E0590D7"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769253A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669F4B49" w14:textId="77777777" w:rsidR="008E5DE4" w:rsidRDefault="008E5DE4">
            <w:pPr>
              <w:widowControl w:val="0"/>
              <w:pBdr>
                <w:top w:val="nil"/>
                <w:left w:val="nil"/>
                <w:bottom w:val="nil"/>
                <w:right w:val="nil"/>
                <w:between w:val="nil"/>
              </w:pBdr>
              <w:jc w:val="right"/>
              <w:rPr>
                <w:color w:val="000000"/>
                <w:sz w:val="17"/>
                <w:szCs w:val="17"/>
              </w:rPr>
            </w:pPr>
          </w:p>
        </w:tc>
      </w:tr>
      <w:tr w:rsidR="008E5DE4" w14:paraId="6E1597E0" w14:textId="77777777">
        <w:trPr>
          <w:cantSplit/>
          <w:tblHeader/>
        </w:trPr>
        <w:tc>
          <w:tcPr>
            <w:tcW w:w="2439" w:type="dxa"/>
            <w:vAlign w:val="bottom"/>
          </w:tcPr>
          <w:p w14:paraId="20173E79" w14:textId="77777777" w:rsidR="008E5DE4" w:rsidRDefault="008E5DE4">
            <w:pPr>
              <w:widowControl w:val="0"/>
              <w:pBdr>
                <w:top w:val="nil"/>
                <w:left w:val="nil"/>
                <w:bottom w:val="nil"/>
                <w:right w:val="nil"/>
                <w:between w:val="nil"/>
              </w:pBdr>
              <w:ind w:left="113" w:right="-57" w:hanging="113"/>
              <w:rPr>
                <w:color w:val="000000"/>
                <w:sz w:val="17"/>
                <w:szCs w:val="17"/>
              </w:rPr>
            </w:pPr>
          </w:p>
        </w:tc>
        <w:tc>
          <w:tcPr>
            <w:tcW w:w="567" w:type="dxa"/>
            <w:vAlign w:val="bottom"/>
          </w:tcPr>
          <w:p w14:paraId="36C45DAE"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264ABF1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C92B2C0"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2E022D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BA5DA64"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4B7F5F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063AAB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A99323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227DB52" w14:textId="77777777" w:rsidR="008E5DE4" w:rsidRDefault="008E5DE4">
            <w:pPr>
              <w:widowControl w:val="0"/>
              <w:pBdr>
                <w:top w:val="nil"/>
                <w:left w:val="nil"/>
                <w:bottom w:val="nil"/>
                <w:right w:val="nil"/>
                <w:between w:val="nil"/>
              </w:pBdr>
              <w:jc w:val="right"/>
              <w:rPr>
                <w:color w:val="000000"/>
                <w:sz w:val="17"/>
                <w:szCs w:val="17"/>
              </w:rPr>
            </w:pPr>
          </w:p>
        </w:tc>
      </w:tr>
      <w:tr w:rsidR="008E5DE4" w14:paraId="2687ADD5" w14:textId="77777777">
        <w:trPr>
          <w:cantSplit/>
          <w:tblHeader/>
        </w:trPr>
        <w:tc>
          <w:tcPr>
            <w:tcW w:w="2439" w:type="dxa"/>
            <w:vAlign w:val="bottom"/>
          </w:tcPr>
          <w:p w14:paraId="4D706A54" w14:textId="56B81E07" w:rsidR="008E5DE4" w:rsidRDefault="00780368">
            <w:pPr>
              <w:widowControl w:val="0"/>
              <w:pBdr>
                <w:top w:val="nil"/>
                <w:left w:val="nil"/>
                <w:bottom w:val="nil"/>
                <w:right w:val="nil"/>
                <w:between w:val="nil"/>
              </w:pBdr>
              <w:ind w:left="113" w:right="-57" w:hanging="113"/>
              <w:rPr>
                <w:b/>
                <w:color w:val="000000"/>
                <w:sz w:val="17"/>
                <w:szCs w:val="17"/>
              </w:rPr>
            </w:pPr>
            <w:r>
              <w:rPr>
                <w:b/>
                <w:color w:val="000000"/>
                <w:sz w:val="17"/>
                <w:szCs w:val="17"/>
              </w:rPr>
              <w:t xml:space="preserve">Carrying amount </w:t>
            </w:r>
            <w:proofErr w:type="gramStart"/>
            <w:r>
              <w:rPr>
                <w:b/>
                <w:color w:val="000000"/>
                <w:sz w:val="17"/>
                <w:szCs w:val="17"/>
              </w:rPr>
              <w:t>at</w:t>
            </w:r>
            <w:proofErr w:type="gramEnd"/>
            <w:r>
              <w:rPr>
                <w:b/>
                <w:color w:val="000000"/>
                <w:sz w:val="17"/>
                <w:szCs w:val="17"/>
              </w:rPr>
              <w:t xml:space="preserve"> 1 January </w:t>
            </w:r>
            <w:r w:rsidR="00FF468A">
              <w:rPr>
                <w:b/>
                <w:color w:val="000000"/>
                <w:sz w:val="17"/>
                <w:szCs w:val="17"/>
              </w:rPr>
              <w:t>2024</w:t>
            </w:r>
          </w:p>
        </w:tc>
        <w:tc>
          <w:tcPr>
            <w:tcW w:w="567" w:type="dxa"/>
            <w:vAlign w:val="bottom"/>
          </w:tcPr>
          <w:p w14:paraId="6CABFF64" w14:textId="77777777" w:rsidR="008E5DE4" w:rsidRDefault="008E5DE4">
            <w:pPr>
              <w:widowControl w:val="0"/>
              <w:pBdr>
                <w:top w:val="nil"/>
                <w:left w:val="nil"/>
                <w:bottom w:val="nil"/>
                <w:right w:val="nil"/>
                <w:between w:val="nil"/>
              </w:pBdr>
              <w:ind w:right="-57"/>
              <w:rPr>
                <w:b/>
                <w:color w:val="000000"/>
                <w:sz w:val="17"/>
                <w:szCs w:val="17"/>
              </w:rPr>
            </w:pPr>
          </w:p>
        </w:tc>
        <w:tc>
          <w:tcPr>
            <w:tcW w:w="794" w:type="dxa"/>
            <w:vAlign w:val="bottom"/>
          </w:tcPr>
          <w:p w14:paraId="1D71883B"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2783FE4D"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0DBF92AA"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096A2A33"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48E1A0F9"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12E93E03"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18FCAC7E"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3072287A" w14:textId="77777777" w:rsidR="008E5DE4" w:rsidRDefault="008E5DE4">
            <w:pPr>
              <w:widowControl w:val="0"/>
              <w:pBdr>
                <w:top w:val="nil"/>
                <w:left w:val="nil"/>
                <w:bottom w:val="nil"/>
                <w:right w:val="nil"/>
                <w:between w:val="nil"/>
              </w:pBdr>
              <w:jc w:val="right"/>
              <w:rPr>
                <w:b/>
                <w:color w:val="000000"/>
                <w:sz w:val="17"/>
                <w:szCs w:val="17"/>
              </w:rPr>
            </w:pPr>
          </w:p>
        </w:tc>
      </w:tr>
      <w:tr w:rsidR="008E5DE4" w14:paraId="14FFB6FA" w14:textId="77777777">
        <w:trPr>
          <w:cantSplit/>
          <w:tblHeader/>
        </w:trPr>
        <w:tc>
          <w:tcPr>
            <w:tcW w:w="2439" w:type="dxa"/>
            <w:vAlign w:val="bottom"/>
          </w:tcPr>
          <w:p w14:paraId="3E24923B"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vAlign w:val="bottom"/>
          </w:tcPr>
          <w:p w14:paraId="1C0AB0B6" w14:textId="77777777" w:rsidR="008E5DE4" w:rsidRDefault="008E5DE4">
            <w:pPr>
              <w:widowControl w:val="0"/>
              <w:pBdr>
                <w:top w:val="nil"/>
                <w:left w:val="nil"/>
                <w:bottom w:val="nil"/>
                <w:right w:val="nil"/>
                <w:between w:val="nil"/>
              </w:pBdr>
              <w:ind w:right="-57"/>
              <w:rPr>
                <w:b/>
                <w:color w:val="000000"/>
                <w:sz w:val="17"/>
                <w:szCs w:val="17"/>
              </w:rPr>
            </w:pPr>
          </w:p>
        </w:tc>
        <w:tc>
          <w:tcPr>
            <w:tcW w:w="794" w:type="dxa"/>
            <w:vAlign w:val="bottom"/>
          </w:tcPr>
          <w:p w14:paraId="6129F056"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20F5F241"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165B6761"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4B99BDD1"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6413E300"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69F85C4D"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77F9E5FD"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48F909F4" w14:textId="77777777" w:rsidR="008E5DE4" w:rsidRDefault="008E5DE4">
            <w:pPr>
              <w:widowControl w:val="0"/>
              <w:pBdr>
                <w:top w:val="nil"/>
                <w:left w:val="nil"/>
                <w:bottom w:val="nil"/>
                <w:right w:val="nil"/>
                <w:between w:val="nil"/>
              </w:pBdr>
              <w:jc w:val="right"/>
              <w:rPr>
                <w:b/>
                <w:color w:val="000000"/>
                <w:sz w:val="17"/>
                <w:szCs w:val="17"/>
              </w:rPr>
            </w:pPr>
          </w:p>
        </w:tc>
      </w:tr>
      <w:tr w:rsidR="008E5DE4" w14:paraId="645CEAAA" w14:textId="77777777">
        <w:trPr>
          <w:cantSplit/>
          <w:tblHeader/>
        </w:trPr>
        <w:tc>
          <w:tcPr>
            <w:tcW w:w="2439" w:type="dxa"/>
            <w:vAlign w:val="bottom"/>
          </w:tcPr>
          <w:p w14:paraId="311B466D"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Acquisitions through business combinations</w:t>
            </w:r>
          </w:p>
        </w:tc>
        <w:tc>
          <w:tcPr>
            <w:tcW w:w="567" w:type="dxa"/>
            <w:vAlign w:val="bottom"/>
          </w:tcPr>
          <w:p w14:paraId="7E698083"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50</w:t>
            </w:r>
          </w:p>
        </w:tc>
        <w:tc>
          <w:tcPr>
            <w:tcW w:w="794" w:type="dxa"/>
            <w:vAlign w:val="bottom"/>
          </w:tcPr>
          <w:p w14:paraId="3074154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061300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B7BE08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A612AD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CB5D38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681805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1258BA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86C78A4" w14:textId="77777777" w:rsidR="008E5DE4" w:rsidRDefault="008E5DE4">
            <w:pPr>
              <w:widowControl w:val="0"/>
              <w:pBdr>
                <w:top w:val="nil"/>
                <w:left w:val="nil"/>
                <w:bottom w:val="nil"/>
                <w:right w:val="nil"/>
                <w:between w:val="nil"/>
              </w:pBdr>
              <w:jc w:val="right"/>
              <w:rPr>
                <w:color w:val="000000"/>
                <w:sz w:val="17"/>
                <w:szCs w:val="17"/>
              </w:rPr>
            </w:pPr>
          </w:p>
        </w:tc>
      </w:tr>
      <w:tr w:rsidR="008E5DE4" w14:paraId="6EF9F0A4" w14:textId="77777777">
        <w:trPr>
          <w:cantSplit/>
          <w:tblHeader/>
        </w:trPr>
        <w:tc>
          <w:tcPr>
            <w:tcW w:w="2439" w:type="dxa"/>
            <w:vAlign w:val="bottom"/>
          </w:tcPr>
          <w:p w14:paraId="5BA379B6"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Additions</w:t>
            </w:r>
          </w:p>
        </w:tc>
        <w:tc>
          <w:tcPr>
            <w:tcW w:w="567" w:type="dxa"/>
            <w:vAlign w:val="bottom"/>
          </w:tcPr>
          <w:p w14:paraId="298121EC"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59FF164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A07715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A933F7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7DF6888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75E17EA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6C3FEF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8193C2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B253F4B" w14:textId="77777777" w:rsidR="008E5DE4" w:rsidRDefault="008E5DE4">
            <w:pPr>
              <w:widowControl w:val="0"/>
              <w:pBdr>
                <w:top w:val="nil"/>
                <w:left w:val="nil"/>
                <w:bottom w:val="nil"/>
                <w:right w:val="nil"/>
                <w:between w:val="nil"/>
              </w:pBdr>
              <w:jc w:val="right"/>
              <w:rPr>
                <w:color w:val="000000"/>
                <w:sz w:val="17"/>
                <w:szCs w:val="17"/>
              </w:rPr>
            </w:pPr>
          </w:p>
        </w:tc>
      </w:tr>
      <w:tr w:rsidR="008E5DE4" w14:paraId="706154F5" w14:textId="77777777">
        <w:trPr>
          <w:cantSplit/>
          <w:tblHeader/>
        </w:trPr>
        <w:tc>
          <w:tcPr>
            <w:tcW w:w="2439" w:type="dxa"/>
            <w:vAlign w:val="bottom"/>
          </w:tcPr>
          <w:p w14:paraId="0591BFF7"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Changes in estimates of asset retirement obligations</w:t>
            </w:r>
          </w:p>
        </w:tc>
        <w:tc>
          <w:tcPr>
            <w:tcW w:w="567" w:type="dxa"/>
            <w:vAlign w:val="bottom"/>
          </w:tcPr>
          <w:p w14:paraId="437E07EC"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32</w:t>
            </w:r>
          </w:p>
        </w:tc>
        <w:tc>
          <w:tcPr>
            <w:tcW w:w="794" w:type="dxa"/>
            <w:vAlign w:val="bottom"/>
          </w:tcPr>
          <w:p w14:paraId="5502D47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89E542A"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D0FB52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7EA5C0E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7E75EE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23081E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9F39D4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1E4C4DD" w14:textId="77777777" w:rsidR="008E5DE4" w:rsidRDefault="008E5DE4">
            <w:pPr>
              <w:widowControl w:val="0"/>
              <w:pBdr>
                <w:top w:val="nil"/>
                <w:left w:val="nil"/>
                <w:bottom w:val="nil"/>
                <w:right w:val="nil"/>
                <w:between w:val="nil"/>
              </w:pBdr>
              <w:jc w:val="right"/>
              <w:rPr>
                <w:color w:val="000000"/>
                <w:sz w:val="17"/>
                <w:szCs w:val="17"/>
              </w:rPr>
            </w:pPr>
          </w:p>
        </w:tc>
      </w:tr>
      <w:tr w:rsidR="008E5DE4" w14:paraId="26D8BE70" w14:textId="77777777">
        <w:trPr>
          <w:cantSplit/>
          <w:tblHeader/>
        </w:trPr>
        <w:tc>
          <w:tcPr>
            <w:tcW w:w="2439" w:type="dxa"/>
            <w:vAlign w:val="bottom"/>
          </w:tcPr>
          <w:p w14:paraId="610532D0"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Capitalised borrowing costs</w:t>
            </w:r>
          </w:p>
        </w:tc>
        <w:tc>
          <w:tcPr>
            <w:tcW w:w="567" w:type="dxa"/>
            <w:vAlign w:val="bottom"/>
          </w:tcPr>
          <w:p w14:paraId="1F7B407D"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37</w:t>
            </w:r>
          </w:p>
        </w:tc>
        <w:tc>
          <w:tcPr>
            <w:tcW w:w="794" w:type="dxa"/>
            <w:vAlign w:val="bottom"/>
          </w:tcPr>
          <w:p w14:paraId="5665B69A"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71B1ED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67A0ED9"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39842E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34C120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85C7C8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F21DC5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10E261B" w14:textId="77777777" w:rsidR="008E5DE4" w:rsidRDefault="008E5DE4">
            <w:pPr>
              <w:widowControl w:val="0"/>
              <w:pBdr>
                <w:top w:val="nil"/>
                <w:left w:val="nil"/>
                <w:bottom w:val="nil"/>
                <w:right w:val="nil"/>
                <w:between w:val="nil"/>
              </w:pBdr>
              <w:jc w:val="right"/>
              <w:rPr>
                <w:color w:val="000000"/>
                <w:sz w:val="17"/>
                <w:szCs w:val="17"/>
              </w:rPr>
            </w:pPr>
          </w:p>
        </w:tc>
      </w:tr>
      <w:tr w:rsidR="008E5DE4" w14:paraId="77993144" w14:textId="77777777">
        <w:trPr>
          <w:cantSplit/>
          <w:tblHeader/>
        </w:trPr>
        <w:tc>
          <w:tcPr>
            <w:tcW w:w="2439" w:type="dxa"/>
            <w:vAlign w:val="bottom"/>
          </w:tcPr>
          <w:p w14:paraId="640EA65A"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Transfers</w:t>
            </w:r>
          </w:p>
        </w:tc>
        <w:tc>
          <w:tcPr>
            <w:tcW w:w="567" w:type="dxa"/>
            <w:vAlign w:val="bottom"/>
          </w:tcPr>
          <w:p w14:paraId="2110B878"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19818B0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9BFE85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241D03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61DD89B2"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0AF8690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6E1F29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5240B1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2C9ED15" w14:textId="77777777" w:rsidR="008E5DE4" w:rsidRDefault="008E5DE4">
            <w:pPr>
              <w:widowControl w:val="0"/>
              <w:pBdr>
                <w:top w:val="nil"/>
                <w:left w:val="nil"/>
                <w:bottom w:val="nil"/>
                <w:right w:val="nil"/>
                <w:between w:val="nil"/>
              </w:pBdr>
              <w:jc w:val="right"/>
              <w:rPr>
                <w:color w:val="000000"/>
                <w:sz w:val="17"/>
                <w:szCs w:val="17"/>
              </w:rPr>
            </w:pPr>
          </w:p>
        </w:tc>
      </w:tr>
      <w:tr w:rsidR="008E5DE4" w14:paraId="1DAB7530" w14:textId="77777777">
        <w:trPr>
          <w:cantSplit/>
          <w:tblHeader/>
        </w:trPr>
        <w:tc>
          <w:tcPr>
            <w:tcW w:w="2439" w:type="dxa"/>
            <w:vAlign w:val="bottom"/>
          </w:tcPr>
          <w:p w14:paraId="4B03FA75"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Reclassification to non-current assets held for sale (or disposal groups)</w:t>
            </w:r>
          </w:p>
        </w:tc>
        <w:tc>
          <w:tcPr>
            <w:tcW w:w="567" w:type="dxa"/>
            <w:vAlign w:val="bottom"/>
          </w:tcPr>
          <w:p w14:paraId="72AC44F9"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25</w:t>
            </w:r>
          </w:p>
        </w:tc>
        <w:tc>
          <w:tcPr>
            <w:tcW w:w="794" w:type="dxa"/>
            <w:vAlign w:val="bottom"/>
          </w:tcPr>
          <w:p w14:paraId="55DF08E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86671B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D248E5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E75367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1B70FB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6E2472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1CF958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3A936E3" w14:textId="77777777" w:rsidR="008E5DE4" w:rsidRDefault="008E5DE4">
            <w:pPr>
              <w:widowControl w:val="0"/>
              <w:pBdr>
                <w:top w:val="nil"/>
                <w:left w:val="nil"/>
                <w:bottom w:val="nil"/>
                <w:right w:val="nil"/>
                <w:between w:val="nil"/>
              </w:pBdr>
              <w:jc w:val="right"/>
              <w:rPr>
                <w:color w:val="000000"/>
                <w:sz w:val="17"/>
                <w:szCs w:val="17"/>
              </w:rPr>
            </w:pPr>
          </w:p>
        </w:tc>
      </w:tr>
      <w:tr w:rsidR="008E5DE4" w14:paraId="494E8194" w14:textId="77777777">
        <w:trPr>
          <w:cantSplit/>
          <w:tblHeader/>
        </w:trPr>
        <w:tc>
          <w:tcPr>
            <w:tcW w:w="2439" w:type="dxa"/>
            <w:vAlign w:val="bottom"/>
          </w:tcPr>
          <w:p w14:paraId="55BB7A4B"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Disposals</w:t>
            </w:r>
          </w:p>
        </w:tc>
        <w:tc>
          <w:tcPr>
            <w:tcW w:w="567" w:type="dxa"/>
            <w:vAlign w:val="bottom"/>
          </w:tcPr>
          <w:p w14:paraId="144F7082"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469BD5D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368405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1787D1B"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76643D30"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7E8C461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66A7AC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DF4558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1829302" w14:textId="77777777" w:rsidR="008E5DE4" w:rsidRDefault="008E5DE4">
            <w:pPr>
              <w:widowControl w:val="0"/>
              <w:pBdr>
                <w:top w:val="nil"/>
                <w:left w:val="nil"/>
                <w:bottom w:val="nil"/>
                <w:right w:val="nil"/>
                <w:between w:val="nil"/>
              </w:pBdr>
              <w:jc w:val="right"/>
              <w:rPr>
                <w:color w:val="000000"/>
                <w:sz w:val="17"/>
                <w:szCs w:val="17"/>
              </w:rPr>
            </w:pPr>
          </w:p>
        </w:tc>
      </w:tr>
      <w:tr w:rsidR="008E5DE4" w14:paraId="20B76FD4" w14:textId="77777777">
        <w:trPr>
          <w:cantSplit/>
          <w:tblHeader/>
        </w:trPr>
        <w:tc>
          <w:tcPr>
            <w:tcW w:w="2439" w:type="dxa"/>
            <w:vAlign w:val="bottom"/>
          </w:tcPr>
          <w:p w14:paraId="63CDDA0A"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Depreciation charge </w:t>
            </w:r>
          </w:p>
        </w:tc>
        <w:tc>
          <w:tcPr>
            <w:tcW w:w="567" w:type="dxa"/>
            <w:vAlign w:val="bottom"/>
          </w:tcPr>
          <w:p w14:paraId="6B329237"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36</w:t>
            </w:r>
          </w:p>
        </w:tc>
        <w:tc>
          <w:tcPr>
            <w:tcW w:w="794" w:type="dxa"/>
            <w:vAlign w:val="bottom"/>
          </w:tcPr>
          <w:p w14:paraId="0E2026F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2849E0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4AFAF37"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2E192B2"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2C58C9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FAFFD4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D93BCD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7C08B94" w14:textId="77777777" w:rsidR="008E5DE4" w:rsidRDefault="008E5DE4">
            <w:pPr>
              <w:widowControl w:val="0"/>
              <w:pBdr>
                <w:top w:val="nil"/>
                <w:left w:val="nil"/>
                <w:bottom w:val="nil"/>
                <w:right w:val="nil"/>
                <w:between w:val="nil"/>
              </w:pBdr>
              <w:jc w:val="right"/>
              <w:rPr>
                <w:color w:val="000000"/>
                <w:sz w:val="17"/>
                <w:szCs w:val="17"/>
              </w:rPr>
            </w:pPr>
          </w:p>
        </w:tc>
      </w:tr>
      <w:tr w:rsidR="008E5DE4" w14:paraId="040B0E1F" w14:textId="77777777">
        <w:trPr>
          <w:cantSplit/>
          <w:tblHeader/>
        </w:trPr>
        <w:tc>
          <w:tcPr>
            <w:tcW w:w="2439" w:type="dxa"/>
            <w:vAlign w:val="bottom"/>
          </w:tcPr>
          <w:p w14:paraId="3849E14C"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Impairment charge to profit or loss</w:t>
            </w:r>
          </w:p>
        </w:tc>
        <w:tc>
          <w:tcPr>
            <w:tcW w:w="567" w:type="dxa"/>
            <w:vAlign w:val="bottom"/>
          </w:tcPr>
          <w:p w14:paraId="0554ECD1"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36</w:t>
            </w:r>
          </w:p>
        </w:tc>
        <w:tc>
          <w:tcPr>
            <w:tcW w:w="794" w:type="dxa"/>
            <w:vAlign w:val="bottom"/>
          </w:tcPr>
          <w:p w14:paraId="260DB6F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731D010"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D07F2F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4FFEE94"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970743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A28252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125E63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5FE9E48" w14:textId="77777777" w:rsidR="008E5DE4" w:rsidRDefault="008E5DE4">
            <w:pPr>
              <w:widowControl w:val="0"/>
              <w:pBdr>
                <w:top w:val="nil"/>
                <w:left w:val="nil"/>
                <w:bottom w:val="nil"/>
                <w:right w:val="nil"/>
                <w:between w:val="nil"/>
              </w:pBdr>
              <w:jc w:val="right"/>
              <w:rPr>
                <w:color w:val="000000"/>
                <w:sz w:val="17"/>
                <w:szCs w:val="17"/>
              </w:rPr>
            </w:pPr>
          </w:p>
        </w:tc>
      </w:tr>
      <w:tr w:rsidR="008E5DE4" w14:paraId="75A93DDE" w14:textId="77777777">
        <w:trPr>
          <w:cantSplit/>
          <w:tblHeader/>
        </w:trPr>
        <w:tc>
          <w:tcPr>
            <w:tcW w:w="2439" w:type="dxa"/>
            <w:vAlign w:val="bottom"/>
          </w:tcPr>
          <w:p w14:paraId="37296632"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Reversals of impairment through profit or loss</w:t>
            </w:r>
          </w:p>
        </w:tc>
        <w:tc>
          <w:tcPr>
            <w:tcW w:w="567" w:type="dxa"/>
            <w:vAlign w:val="bottom"/>
          </w:tcPr>
          <w:p w14:paraId="4A426913"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36</w:t>
            </w:r>
          </w:p>
        </w:tc>
        <w:tc>
          <w:tcPr>
            <w:tcW w:w="794" w:type="dxa"/>
            <w:vAlign w:val="bottom"/>
          </w:tcPr>
          <w:p w14:paraId="70C5E0B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24B562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F35DA1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FFC3A7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6A5B8ABF"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4E69EF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E6D8B4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B84EDF2" w14:textId="77777777" w:rsidR="008E5DE4" w:rsidRDefault="008E5DE4">
            <w:pPr>
              <w:widowControl w:val="0"/>
              <w:pBdr>
                <w:top w:val="nil"/>
                <w:left w:val="nil"/>
                <w:bottom w:val="nil"/>
                <w:right w:val="nil"/>
                <w:between w:val="nil"/>
              </w:pBdr>
              <w:jc w:val="right"/>
              <w:rPr>
                <w:color w:val="000000"/>
                <w:sz w:val="17"/>
                <w:szCs w:val="17"/>
              </w:rPr>
            </w:pPr>
          </w:p>
        </w:tc>
      </w:tr>
      <w:tr w:rsidR="008E5DE4" w14:paraId="6F9DE290" w14:textId="77777777">
        <w:trPr>
          <w:cantSplit/>
          <w:tblHeader/>
        </w:trPr>
        <w:tc>
          <w:tcPr>
            <w:tcW w:w="2439" w:type="dxa"/>
            <w:vAlign w:val="bottom"/>
          </w:tcPr>
          <w:p w14:paraId="78B76F7F"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Revaluation </w:t>
            </w:r>
          </w:p>
        </w:tc>
        <w:tc>
          <w:tcPr>
            <w:tcW w:w="567" w:type="dxa"/>
            <w:vAlign w:val="bottom"/>
          </w:tcPr>
          <w:p w14:paraId="303D5319"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27</w:t>
            </w:r>
          </w:p>
        </w:tc>
        <w:tc>
          <w:tcPr>
            <w:tcW w:w="794" w:type="dxa"/>
            <w:vAlign w:val="bottom"/>
          </w:tcPr>
          <w:p w14:paraId="3BA9B89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91ADF1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6ECEFE3"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ABBA76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C12601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7FCBF8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64D475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DB764AC" w14:textId="77777777" w:rsidR="008E5DE4" w:rsidRDefault="008E5DE4">
            <w:pPr>
              <w:widowControl w:val="0"/>
              <w:pBdr>
                <w:top w:val="nil"/>
                <w:left w:val="nil"/>
                <w:bottom w:val="nil"/>
                <w:right w:val="nil"/>
                <w:between w:val="nil"/>
              </w:pBdr>
              <w:jc w:val="right"/>
              <w:rPr>
                <w:color w:val="000000"/>
                <w:sz w:val="17"/>
                <w:szCs w:val="17"/>
              </w:rPr>
            </w:pPr>
          </w:p>
        </w:tc>
      </w:tr>
      <w:tr w:rsidR="008E5DE4" w14:paraId="07E4CA86" w14:textId="77777777">
        <w:trPr>
          <w:cantSplit/>
          <w:tblHeader/>
        </w:trPr>
        <w:tc>
          <w:tcPr>
            <w:tcW w:w="2439" w:type="dxa"/>
            <w:vAlign w:val="bottom"/>
          </w:tcPr>
          <w:p w14:paraId="1709A47A"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[Effect of translation to presentation currency]</w:t>
            </w:r>
          </w:p>
        </w:tc>
        <w:tc>
          <w:tcPr>
            <w:tcW w:w="567" w:type="dxa"/>
            <w:vAlign w:val="bottom"/>
          </w:tcPr>
          <w:p w14:paraId="67F7A107"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21E9790A"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4D532E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20E7938"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04D471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7FAE015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17676B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8B4498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775A918" w14:textId="77777777" w:rsidR="008E5DE4" w:rsidRDefault="008E5DE4">
            <w:pPr>
              <w:widowControl w:val="0"/>
              <w:pBdr>
                <w:top w:val="nil"/>
                <w:left w:val="nil"/>
                <w:bottom w:val="nil"/>
                <w:right w:val="nil"/>
                <w:between w:val="nil"/>
              </w:pBdr>
              <w:jc w:val="right"/>
              <w:rPr>
                <w:color w:val="000000"/>
                <w:sz w:val="17"/>
                <w:szCs w:val="17"/>
              </w:rPr>
            </w:pPr>
          </w:p>
        </w:tc>
      </w:tr>
      <w:tr w:rsidR="008E5DE4" w14:paraId="2749A87C" w14:textId="77777777">
        <w:trPr>
          <w:cantSplit/>
          <w:tblHeader/>
        </w:trPr>
        <w:tc>
          <w:tcPr>
            <w:tcW w:w="2439" w:type="dxa"/>
            <w:vAlign w:val="bottom"/>
          </w:tcPr>
          <w:p w14:paraId="6F3A311F"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Other</w:t>
            </w:r>
          </w:p>
        </w:tc>
        <w:tc>
          <w:tcPr>
            <w:tcW w:w="567" w:type="dxa"/>
            <w:vAlign w:val="bottom"/>
          </w:tcPr>
          <w:p w14:paraId="267B662D"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670BA62F"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4F3511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57B7890"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CCCFA8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EB44BE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5D00F70"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9ED42EF"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E2D9F6B" w14:textId="77777777" w:rsidR="008E5DE4" w:rsidRDefault="008E5DE4">
            <w:pPr>
              <w:widowControl w:val="0"/>
              <w:pBdr>
                <w:top w:val="nil"/>
                <w:left w:val="nil"/>
                <w:bottom w:val="nil"/>
                <w:right w:val="nil"/>
                <w:between w:val="nil"/>
              </w:pBdr>
              <w:jc w:val="right"/>
              <w:rPr>
                <w:color w:val="000000"/>
                <w:sz w:val="17"/>
                <w:szCs w:val="17"/>
              </w:rPr>
            </w:pPr>
          </w:p>
        </w:tc>
      </w:tr>
      <w:tr w:rsidR="008E5DE4" w14:paraId="7B092C4C" w14:textId="77777777">
        <w:trPr>
          <w:cantSplit/>
          <w:tblHeader/>
        </w:trPr>
        <w:tc>
          <w:tcPr>
            <w:tcW w:w="2439" w:type="dxa"/>
            <w:tcBorders>
              <w:bottom w:val="single" w:sz="4" w:space="0" w:color="000000"/>
            </w:tcBorders>
            <w:vAlign w:val="bottom"/>
          </w:tcPr>
          <w:p w14:paraId="4FD16401"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tcBorders>
              <w:bottom w:val="single" w:sz="4" w:space="0" w:color="000000"/>
            </w:tcBorders>
            <w:vAlign w:val="bottom"/>
          </w:tcPr>
          <w:p w14:paraId="2EF654BA"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4" w:space="0" w:color="000000"/>
            </w:tcBorders>
            <w:vAlign w:val="bottom"/>
          </w:tcPr>
          <w:p w14:paraId="3B1D3FA8"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6C1FF2E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20B7B20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tcPr>
          <w:p w14:paraId="4235DCC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tcPr>
          <w:p w14:paraId="2764CD5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61272C4B"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36DB2C5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1140B916" w14:textId="77777777" w:rsidR="008E5DE4" w:rsidRDefault="008E5DE4">
            <w:pPr>
              <w:widowControl w:val="0"/>
              <w:pBdr>
                <w:top w:val="nil"/>
                <w:left w:val="nil"/>
                <w:bottom w:val="nil"/>
                <w:right w:val="nil"/>
                <w:between w:val="nil"/>
              </w:pBdr>
              <w:jc w:val="right"/>
              <w:rPr>
                <w:color w:val="000000"/>
                <w:sz w:val="17"/>
                <w:szCs w:val="17"/>
              </w:rPr>
            </w:pPr>
          </w:p>
        </w:tc>
      </w:tr>
      <w:tr w:rsidR="008E5DE4" w14:paraId="592E4366" w14:textId="77777777">
        <w:trPr>
          <w:cantSplit/>
          <w:tblHeader/>
        </w:trPr>
        <w:tc>
          <w:tcPr>
            <w:tcW w:w="2439" w:type="dxa"/>
            <w:vAlign w:val="bottom"/>
          </w:tcPr>
          <w:p w14:paraId="29F55F5D"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vAlign w:val="bottom"/>
          </w:tcPr>
          <w:p w14:paraId="45584116"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65C5BBB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DBF235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8BB7B7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B7DAEA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0FA1E54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0E5BFD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8FE70C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43966EB" w14:textId="77777777" w:rsidR="008E5DE4" w:rsidRDefault="008E5DE4">
            <w:pPr>
              <w:widowControl w:val="0"/>
              <w:pBdr>
                <w:top w:val="nil"/>
                <w:left w:val="nil"/>
                <w:bottom w:val="nil"/>
                <w:right w:val="nil"/>
                <w:between w:val="nil"/>
              </w:pBdr>
              <w:jc w:val="right"/>
              <w:rPr>
                <w:color w:val="000000"/>
                <w:sz w:val="17"/>
                <w:szCs w:val="17"/>
              </w:rPr>
            </w:pPr>
          </w:p>
        </w:tc>
      </w:tr>
      <w:tr w:rsidR="008E5DE4" w14:paraId="297ED669" w14:textId="77777777">
        <w:trPr>
          <w:cantSplit/>
          <w:tblHeader/>
        </w:trPr>
        <w:tc>
          <w:tcPr>
            <w:tcW w:w="2439" w:type="dxa"/>
            <w:vAlign w:val="bottom"/>
          </w:tcPr>
          <w:p w14:paraId="5EDC8DF9" w14:textId="691AF994" w:rsidR="008E5DE4" w:rsidRDefault="00780368">
            <w:pPr>
              <w:widowControl w:val="0"/>
              <w:pBdr>
                <w:top w:val="nil"/>
                <w:left w:val="nil"/>
                <w:bottom w:val="nil"/>
                <w:right w:val="nil"/>
                <w:between w:val="nil"/>
              </w:pBdr>
              <w:ind w:left="113" w:right="-57" w:hanging="113"/>
              <w:rPr>
                <w:b/>
                <w:color w:val="000000"/>
                <w:sz w:val="17"/>
                <w:szCs w:val="17"/>
              </w:rPr>
            </w:pPr>
            <w:r>
              <w:rPr>
                <w:b/>
                <w:color w:val="000000"/>
                <w:sz w:val="17"/>
                <w:szCs w:val="17"/>
              </w:rPr>
              <w:t xml:space="preserve">Carrying amount </w:t>
            </w:r>
            <w:proofErr w:type="gramStart"/>
            <w:r>
              <w:rPr>
                <w:b/>
                <w:color w:val="000000"/>
                <w:sz w:val="17"/>
                <w:szCs w:val="17"/>
              </w:rPr>
              <w:t>at</w:t>
            </w:r>
            <w:proofErr w:type="gramEnd"/>
            <w:r>
              <w:rPr>
                <w:b/>
                <w:color w:val="000000"/>
                <w:sz w:val="17"/>
                <w:szCs w:val="17"/>
              </w:rPr>
              <w:t xml:space="preserve"> 31 December </w:t>
            </w:r>
            <w:r w:rsidR="00FF468A">
              <w:rPr>
                <w:b/>
                <w:color w:val="000000"/>
                <w:sz w:val="17"/>
                <w:szCs w:val="17"/>
              </w:rPr>
              <w:t>2024</w:t>
            </w:r>
          </w:p>
        </w:tc>
        <w:tc>
          <w:tcPr>
            <w:tcW w:w="567" w:type="dxa"/>
            <w:vAlign w:val="bottom"/>
          </w:tcPr>
          <w:p w14:paraId="4E3F7534" w14:textId="77777777" w:rsidR="008E5DE4" w:rsidRDefault="008E5DE4">
            <w:pPr>
              <w:widowControl w:val="0"/>
              <w:pBdr>
                <w:top w:val="nil"/>
                <w:left w:val="nil"/>
                <w:bottom w:val="nil"/>
                <w:right w:val="nil"/>
                <w:between w:val="nil"/>
              </w:pBdr>
              <w:ind w:right="-57"/>
              <w:rPr>
                <w:b/>
                <w:color w:val="000000"/>
                <w:sz w:val="17"/>
                <w:szCs w:val="17"/>
              </w:rPr>
            </w:pPr>
          </w:p>
        </w:tc>
        <w:tc>
          <w:tcPr>
            <w:tcW w:w="794" w:type="dxa"/>
            <w:vAlign w:val="bottom"/>
          </w:tcPr>
          <w:p w14:paraId="73802D5F"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7597B6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EE06C8B"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62B104E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C17290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F8CDF9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A6A374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7D6E0E8" w14:textId="77777777" w:rsidR="008E5DE4" w:rsidRDefault="008E5DE4">
            <w:pPr>
              <w:widowControl w:val="0"/>
              <w:pBdr>
                <w:top w:val="nil"/>
                <w:left w:val="nil"/>
                <w:bottom w:val="nil"/>
                <w:right w:val="nil"/>
                <w:between w:val="nil"/>
              </w:pBdr>
              <w:jc w:val="right"/>
              <w:rPr>
                <w:color w:val="000000"/>
                <w:sz w:val="17"/>
                <w:szCs w:val="17"/>
              </w:rPr>
            </w:pPr>
          </w:p>
        </w:tc>
      </w:tr>
      <w:tr w:rsidR="008E5DE4" w14:paraId="48737012" w14:textId="77777777">
        <w:trPr>
          <w:cantSplit/>
          <w:tblHeader/>
        </w:trPr>
        <w:tc>
          <w:tcPr>
            <w:tcW w:w="2439" w:type="dxa"/>
            <w:tcBorders>
              <w:bottom w:val="single" w:sz="12" w:space="0" w:color="000000"/>
            </w:tcBorders>
            <w:vAlign w:val="bottom"/>
          </w:tcPr>
          <w:p w14:paraId="01F4417B"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tcBorders>
              <w:bottom w:val="single" w:sz="12" w:space="0" w:color="000000"/>
            </w:tcBorders>
            <w:vAlign w:val="bottom"/>
          </w:tcPr>
          <w:p w14:paraId="1280BC2A"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12" w:space="0" w:color="000000"/>
            </w:tcBorders>
            <w:vAlign w:val="bottom"/>
          </w:tcPr>
          <w:p w14:paraId="6FBF5EB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1BA27472"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4259EF9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tcPr>
          <w:p w14:paraId="0F4933D9"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tcPr>
          <w:p w14:paraId="0656C3F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49A8435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572CBA1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69ED1CB6" w14:textId="77777777" w:rsidR="008E5DE4" w:rsidRDefault="008E5DE4">
            <w:pPr>
              <w:widowControl w:val="0"/>
              <w:pBdr>
                <w:top w:val="nil"/>
                <w:left w:val="nil"/>
                <w:bottom w:val="nil"/>
                <w:right w:val="nil"/>
                <w:between w:val="nil"/>
              </w:pBdr>
              <w:jc w:val="right"/>
              <w:rPr>
                <w:color w:val="000000"/>
                <w:sz w:val="17"/>
                <w:szCs w:val="17"/>
              </w:rPr>
            </w:pPr>
          </w:p>
        </w:tc>
      </w:tr>
      <w:tr w:rsidR="008E5DE4" w14:paraId="1DF40B6C" w14:textId="77777777">
        <w:trPr>
          <w:cantSplit/>
          <w:tblHeader/>
        </w:trPr>
        <w:tc>
          <w:tcPr>
            <w:tcW w:w="2439" w:type="dxa"/>
            <w:tcBorders>
              <w:top w:val="single" w:sz="12" w:space="0" w:color="000000"/>
            </w:tcBorders>
            <w:vAlign w:val="bottom"/>
          </w:tcPr>
          <w:p w14:paraId="0F9F4958" w14:textId="77777777" w:rsidR="008E5DE4" w:rsidRDefault="008E5DE4">
            <w:pPr>
              <w:widowControl w:val="0"/>
              <w:pBdr>
                <w:top w:val="nil"/>
                <w:left w:val="nil"/>
                <w:bottom w:val="nil"/>
                <w:right w:val="nil"/>
                <w:between w:val="nil"/>
              </w:pBdr>
              <w:ind w:left="85" w:right="-57" w:hanging="85"/>
              <w:rPr>
                <w:b/>
                <w:color w:val="000000"/>
                <w:sz w:val="17"/>
                <w:szCs w:val="17"/>
              </w:rPr>
            </w:pPr>
          </w:p>
        </w:tc>
        <w:tc>
          <w:tcPr>
            <w:tcW w:w="567" w:type="dxa"/>
            <w:tcBorders>
              <w:top w:val="single" w:sz="12" w:space="0" w:color="000000"/>
            </w:tcBorders>
            <w:vAlign w:val="bottom"/>
          </w:tcPr>
          <w:p w14:paraId="6CCD7089"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top w:val="single" w:sz="12" w:space="0" w:color="000000"/>
            </w:tcBorders>
            <w:vAlign w:val="bottom"/>
          </w:tcPr>
          <w:p w14:paraId="2063211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15FA64B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41F6EB78"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tcPr>
          <w:p w14:paraId="38B42167"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tcPr>
          <w:p w14:paraId="717238D8"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45FB9AC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606E6657"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0658F678" w14:textId="77777777" w:rsidR="008E5DE4" w:rsidRDefault="008E5DE4">
            <w:pPr>
              <w:widowControl w:val="0"/>
              <w:pBdr>
                <w:top w:val="nil"/>
                <w:left w:val="nil"/>
                <w:bottom w:val="nil"/>
                <w:right w:val="nil"/>
                <w:between w:val="nil"/>
              </w:pBdr>
              <w:jc w:val="right"/>
              <w:rPr>
                <w:color w:val="000000"/>
                <w:sz w:val="17"/>
                <w:szCs w:val="17"/>
              </w:rPr>
            </w:pPr>
          </w:p>
        </w:tc>
      </w:tr>
      <w:tr w:rsidR="008E5DE4" w14:paraId="75C28054" w14:textId="77777777">
        <w:trPr>
          <w:cantSplit/>
          <w:tblHeader/>
        </w:trPr>
        <w:tc>
          <w:tcPr>
            <w:tcW w:w="2439" w:type="dxa"/>
            <w:vAlign w:val="bottom"/>
          </w:tcPr>
          <w:p w14:paraId="3667000F" w14:textId="62DE417A"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Cost </w:t>
            </w:r>
            <w:r>
              <w:rPr>
                <w:color w:val="0000FF"/>
                <w:sz w:val="17"/>
                <w:szCs w:val="17"/>
              </w:rPr>
              <w:t>[or valuation]</w:t>
            </w:r>
            <w:r>
              <w:rPr>
                <w:color w:val="000000"/>
                <w:sz w:val="17"/>
                <w:szCs w:val="17"/>
              </w:rPr>
              <w:t xml:space="preserve"> </w:t>
            </w:r>
            <w:proofErr w:type="gramStart"/>
            <w:r>
              <w:rPr>
                <w:color w:val="000000"/>
                <w:sz w:val="17"/>
                <w:szCs w:val="17"/>
              </w:rPr>
              <w:t>at</w:t>
            </w:r>
            <w:proofErr w:type="gramEnd"/>
            <w:r>
              <w:rPr>
                <w:color w:val="000000"/>
                <w:sz w:val="17"/>
                <w:szCs w:val="17"/>
              </w:rPr>
              <w:t xml:space="preserve"> 31 December </w:t>
            </w:r>
            <w:r w:rsidR="00FF468A">
              <w:rPr>
                <w:color w:val="000000"/>
                <w:sz w:val="17"/>
                <w:szCs w:val="17"/>
              </w:rPr>
              <w:t>2024</w:t>
            </w:r>
          </w:p>
        </w:tc>
        <w:tc>
          <w:tcPr>
            <w:tcW w:w="567" w:type="dxa"/>
            <w:vAlign w:val="bottom"/>
          </w:tcPr>
          <w:p w14:paraId="287A006A" w14:textId="77777777" w:rsidR="008E5DE4" w:rsidRDefault="008E5DE4">
            <w:pPr>
              <w:widowControl w:val="0"/>
              <w:pBdr>
                <w:top w:val="nil"/>
                <w:left w:val="nil"/>
                <w:bottom w:val="nil"/>
                <w:right w:val="nil"/>
                <w:between w:val="nil"/>
              </w:pBdr>
              <w:ind w:right="-57"/>
              <w:rPr>
                <w:color w:val="000000"/>
                <w:sz w:val="17"/>
                <w:szCs w:val="17"/>
              </w:rPr>
            </w:pPr>
          </w:p>
        </w:tc>
        <w:tc>
          <w:tcPr>
            <w:tcW w:w="794" w:type="dxa"/>
            <w:vAlign w:val="bottom"/>
          </w:tcPr>
          <w:p w14:paraId="6B6EA87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F42B64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D5786C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71DB4B79"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04EB5B7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420BD7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7118B40"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717C3E2" w14:textId="77777777" w:rsidR="008E5DE4" w:rsidRDefault="008E5DE4">
            <w:pPr>
              <w:widowControl w:val="0"/>
              <w:pBdr>
                <w:top w:val="nil"/>
                <w:left w:val="nil"/>
                <w:bottom w:val="nil"/>
                <w:right w:val="nil"/>
                <w:between w:val="nil"/>
              </w:pBdr>
              <w:jc w:val="right"/>
              <w:rPr>
                <w:color w:val="000000"/>
                <w:sz w:val="17"/>
                <w:szCs w:val="17"/>
              </w:rPr>
            </w:pPr>
          </w:p>
        </w:tc>
      </w:tr>
      <w:tr w:rsidR="008E5DE4" w14:paraId="23922208" w14:textId="77777777">
        <w:trPr>
          <w:cantSplit/>
          <w:tblHeader/>
        </w:trPr>
        <w:tc>
          <w:tcPr>
            <w:tcW w:w="2439" w:type="dxa"/>
            <w:vAlign w:val="bottom"/>
          </w:tcPr>
          <w:p w14:paraId="41C1FE71"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Accumulated depreciation </w:t>
            </w:r>
          </w:p>
        </w:tc>
        <w:tc>
          <w:tcPr>
            <w:tcW w:w="567" w:type="dxa"/>
            <w:vAlign w:val="bottom"/>
          </w:tcPr>
          <w:p w14:paraId="4A4B0C7E"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3C2B16A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C10556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9A89F90"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4FE4708"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9F7D12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31F9770"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E018E7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CC31890" w14:textId="77777777" w:rsidR="008E5DE4" w:rsidRDefault="008E5DE4">
            <w:pPr>
              <w:widowControl w:val="0"/>
              <w:pBdr>
                <w:top w:val="nil"/>
                <w:left w:val="nil"/>
                <w:bottom w:val="nil"/>
                <w:right w:val="nil"/>
                <w:between w:val="nil"/>
              </w:pBdr>
              <w:jc w:val="right"/>
              <w:rPr>
                <w:color w:val="000000"/>
                <w:sz w:val="17"/>
                <w:szCs w:val="17"/>
              </w:rPr>
            </w:pPr>
          </w:p>
        </w:tc>
      </w:tr>
      <w:tr w:rsidR="008E5DE4" w14:paraId="77909389" w14:textId="77777777">
        <w:trPr>
          <w:cantSplit/>
          <w:tblHeader/>
        </w:trPr>
        <w:tc>
          <w:tcPr>
            <w:tcW w:w="2439" w:type="dxa"/>
            <w:tcBorders>
              <w:bottom w:val="single" w:sz="4" w:space="0" w:color="000000"/>
            </w:tcBorders>
            <w:vAlign w:val="bottom"/>
          </w:tcPr>
          <w:p w14:paraId="38305EF4"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tcBorders>
              <w:bottom w:val="single" w:sz="4" w:space="0" w:color="000000"/>
            </w:tcBorders>
            <w:vAlign w:val="bottom"/>
          </w:tcPr>
          <w:p w14:paraId="32B78C82"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4" w:space="0" w:color="000000"/>
            </w:tcBorders>
            <w:vAlign w:val="bottom"/>
          </w:tcPr>
          <w:p w14:paraId="46963736"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0BD0E03F"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67378B41"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tcPr>
          <w:p w14:paraId="58E6298F"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tcPr>
          <w:p w14:paraId="10D530D6"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5DBF4C12"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0ED62F93"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49EBD67F" w14:textId="77777777" w:rsidR="008E5DE4" w:rsidRDefault="008E5DE4">
            <w:pPr>
              <w:widowControl w:val="0"/>
              <w:pBdr>
                <w:top w:val="nil"/>
                <w:left w:val="nil"/>
                <w:bottom w:val="nil"/>
                <w:right w:val="nil"/>
                <w:between w:val="nil"/>
              </w:pBdr>
              <w:jc w:val="right"/>
              <w:rPr>
                <w:b/>
                <w:color w:val="000000"/>
                <w:sz w:val="17"/>
                <w:szCs w:val="17"/>
              </w:rPr>
            </w:pPr>
          </w:p>
        </w:tc>
      </w:tr>
      <w:tr w:rsidR="008E5DE4" w14:paraId="75C7FF0C" w14:textId="77777777">
        <w:trPr>
          <w:cantSplit/>
          <w:tblHeader/>
        </w:trPr>
        <w:tc>
          <w:tcPr>
            <w:tcW w:w="2439" w:type="dxa"/>
            <w:vAlign w:val="bottom"/>
          </w:tcPr>
          <w:p w14:paraId="0078E0F7" w14:textId="77777777" w:rsidR="008E5DE4" w:rsidRDefault="008E5DE4">
            <w:pPr>
              <w:widowControl w:val="0"/>
              <w:pBdr>
                <w:top w:val="nil"/>
                <w:left w:val="nil"/>
                <w:bottom w:val="nil"/>
                <w:right w:val="nil"/>
                <w:between w:val="nil"/>
              </w:pBdr>
              <w:ind w:left="113" w:right="-57" w:hanging="113"/>
              <w:rPr>
                <w:color w:val="000000"/>
                <w:sz w:val="17"/>
                <w:szCs w:val="17"/>
              </w:rPr>
            </w:pPr>
          </w:p>
        </w:tc>
        <w:tc>
          <w:tcPr>
            <w:tcW w:w="567" w:type="dxa"/>
            <w:vAlign w:val="bottom"/>
          </w:tcPr>
          <w:p w14:paraId="385B1050"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188DA9D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DB8E40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9101133"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870774B"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D9D40B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4C805A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88E478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55A56FE" w14:textId="77777777" w:rsidR="008E5DE4" w:rsidRDefault="008E5DE4">
            <w:pPr>
              <w:widowControl w:val="0"/>
              <w:pBdr>
                <w:top w:val="nil"/>
                <w:left w:val="nil"/>
                <w:bottom w:val="nil"/>
                <w:right w:val="nil"/>
                <w:between w:val="nil"/>
              </w:pBdr>
              <w:jc w:val="right"/>
              <w:rPr>
                <w:color w:val="000000"/>
                <w:sz w:val="17"/>
                <w:szCs w:val="17"/>
              </w:rPr>
            </w:pPr>
          </w:p>
        </w:tc>
      </w:tr>
      <w:tr w:rsidR="008E5DE4" w14:paraId="4D777DA1" w14:textId="77777777">
        <w:trPr>
          <w:cantSplit/>
          <w:tblHeader/>
        </w:trPr>
        <w:tc>
          <w:tcPr>
            <w:tcW w:w="2439" w:type="dxa"/>
            <w:vAlign w:val="bottom"/>
          </w:tcPr>
          <w:p w14:paraId="14907915" w14:textId="4BA145E9" w:rsidR="008E5DE4" w:rsidRDefault="00780368">
            <w:pPr>
              <w:widowControl w:val="0"/>
              <w:pBdr>
                <w:top w:val="nil"/>
                <w:left w:val="nil"/>
                <w:bottom w:val="nil"/>
                <w:right w:val="nil"/>
                <w:between w:val="nil"/>
              </w:pBdr>
              <w:ind w:left="113" w:right="-57" w:hanging="113"/>
              <w:rPr>
                <w:b/>
                <w:color w:val="000000"/>
                <w:sz w:val="17"/>
                <w:szCs w:val="17"/>
              </w:rPr>
            </w:pPr>
            <w:r>
              <w:rPr>
                <w:b/>
                <w:color w:val="000000"/>
                <w:sz w:val="17"/>
                <w:szCs w:val="17"/>
              </w:rPr>
              <w:t xml:space="preserve">Carrying amount </w:t>
            </w:r>
            <w:proofErr w:type="gramStart"/>
            <w:r>
              <w:rPr>
                <w:b/>
                <w:color w:val="000000"/>
                <w:sz w:val="17"/>
                <w:szCs w:val="17"/>
              </w:rPr>
              <w:t>at</w:t>
            </w:r>
            <w:proofErr w:type="gramEnd"/>
            <w:r>
              <w:rPr>
                <w:b/>
                <w:color w:val="000000"/>
                <w:sz w:val="17"/>
                <w:szCs w:val="17"/>
              </w:rPr>
              <w:t xml:space="preserve"> 31 December </w:t>
            </w:r>
            <w:r w:rsidR="00FF468A">
              <w:rPr>
                <w:b/>
                <w:color w:val="000000"/>
                <w:sz w:val="17"/>
                <w:szCs w:val="17"/>
              </w:rPr>
              <w:t>2024</w:t>
            </w:r>
          </w:p>
        </w:tc>
        <w:tc>
          <w:tcPr>
            <w:tcW w:w="567" w:type="dxa"/>
            <w:vAlign w:val="bottom"/>
          </w:tcPr>
          <w:p w14:paraId="0581C8B7" w14:textId="77777777" w:rsidR="008E5DE4" w:rsidRDefault="008E5DE4">
            <w:pPr>
              <w:widowControl w:val="0"/>
              <w:pBdr>
                <w:top w:val="nil"/>
                <w:left w:val="nil"/>
                <w:bottom w:val="nil"/>
                <w:right w:val="nil"/>
                <w:between w:val="nil"/>
              </w:pBdr>
              <w:ind w:right="-57"/>
              <w:rPr>
                <w:b/>
                <w:color w:val="000000"/>
                <w:sz w:val="17"/>
                <w:szCs w:val="17"/>
              </w:rPr>
            </w:pPr>
          </w:p>
        </w:tc>
        <w:tc>
          <w:tcPr>
            <w:tcW w:w="794" w:type="dxa"/>
            <w:vAlign w:val="bottom"/>
          </w:tcPr>
          <w:p w14:paraId="5EFDBCCA"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474086F2"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1185CB88"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54DDDD2C"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5E7AC6BC"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27270DC3"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2047C829"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7CD689F5" w14:textId="77777777" w:rsidR="008E5DE4" w:rsidRDefault="008E5DE4">
            <w:pPr>
              <w:widowControl w:val="0"/>
              <w:pBdr>
                <w:top w:val="nil"/>
                <w:left w:val="nil"/>
                <w:bottom w:val="nil"/>
                <w:right w:val="nil"/>
                <w:between w:val="nil"/>
              </w:pBdr>
              <w:jc w:val="right"/>
              <w:rPr>
                <w:b/>
                <w:color w:val="000000"/>
                <w:sz w:val="17"/>
                <w:szCs w:val="17"/>
              </w:rPr>
            </w:pPr>
          </w:p>
        </w:tc>
      </w:tr>
      <w:tr w:rsidR="008E5DE4" w14:paraId="76A0ACA5" w14:textId="77777777">
        <w:trPr>
          <w:cantSplit/>
          <w:tblHeader/>
        </w:trPr>
        <w:tc>
          <w:tcPr>
            <w:tcW w:w="2439" w:type="dxa"/>
            <w:tcBorders>
              <w:bottom w:val="single" w:sz="12" w:space="0" w:color="000000"/>
            </w:tcBorders>
            <w:vAlign w:val="bottom"/>
          </w:tcPr>
          <w:p w14:paraId="7C1B6C9D" w14:textId="77777777" w:rsidR="008E5DE4" w:rsidRDefault="00780368">
            <w:pPr>
              <w:widowControl w:val="0"/>
              <w:pBdr>
                <w:top w:val="nil"/>
                <w:left w:val="nil"/>
                <w:bottom w:val="nil"/>
                <w:right w:val="nil"/>
                <w:between w:val="nil"/>
              </w:pBdr>
              <w:ind w:left="113" w:right="-57" w:hanging="113"/>
              <w:rPr>
                <w:b/>
                <w:color w:val="000000"/>
                <w:sz w:val="17"/>
                <w:szCs w:val="17"/>
              </w:rPr>
            </w:pPr>
            <w:r>
              <w:rPr>
                <w:b/>
                <w:color w:val="000000"/>
                <w:sz w:val="17"/>
                <w:szCs w:val="17"/>
              </w:rPr>
              <w:t> </w:t>
            </w:r>
          </w:p>
        </w:tc>
        <w:tc>
          <w:tcPr>
            <w:tcW w:w="567" w:type="dxa"/>
            <w:tcBorders>
              <w:bottom w:val="single" w:sz="12" w:space="0" w:color="000000"/>
            </w:tcBorders>
            <w:vAlign w:val="bottom"/>
          </w:tcPr>
          <w:p w14:paraId="4322CF27"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12" w:space="0" w:color="000000"/>
            </w:tcBorders>
            <w:vAlign w:val="bottom"/>
          </w:tcPr>
          <w:p w14:paraId="2971D86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0F88652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7E9C57C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tcPr>
          <w:p w14:paraId="4EE1A293"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tcPr>
          <w:p w14:paraId="4126BD57"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063A8794"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0E6FEB7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76AA197C" w14:textId="77777777" w:rsidR="008E5DE4" w:rsidRDefault="008E5DE4">
            <w:pPr>
              <w:widowControl w:val="0"/>
              <w:pBdr>
                <w:top w:val="nil"/>
                <w:left w:val="nil"/>
                <w:bottom w:val="nil"/>
                <w:right w:val="nil"/>
                <w:between w:val="nil"/>
              </w:pBdr>
              <w:jc w:val="right"/>
              <w:rPr>
                <w:color w:val="000000"/>
                <w:sz w:val="17"/>
                <w:szCs w:val="17"/>
              </w:rPr>
            </w:pPr>
          </w:p>
        </w:tc>
      </w:tr>
    </w:tbl>
    <w:p w14:paraId="0D0C26DD"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9</w:t>
      </w:r>
      <w:r>
        <w:rPr>
          <w:b/>
          <w:color w:val="000000"/>
          <w:sz w:val="20"/>
          <w:szCs w:val="20"/>
        </w:rPr>
        <w:tab/>
        <w:t>Property, Plant and Equipment (Continued)</w:t>
      </w:r>
    </w:p>
    <w:tbl>
      <w:tblPr>
        <w:tblStyle w:val="aff3"/>
        <w:tblW w:w="9357" w:type="dxa"/>
        <w:tblInd w:w="113" w:type="dxa"/>
        <w:tblLayout w:type="fixed"/>
        <w:tblLook w:val="0000" w:firstRow="0" w:lastRow="0" w:firstColumn="0" w:lastColumn="0" w:noHBand="0" w:noVBand="0"/>
      </w:tblPr>
      <w:tblGrid>
        <w:gridCol w:w="2438"/>
        <w:gridCol w:w="567"/>
        <w:gridCol w:w="794"/>
        <w:gridCol w:w="794"/>
        <w:gridCol w:w="794"/>
        <w:gridCol w:w="794"/>
        <w:gridCol w:w="794"/>
        <w:gridCol w:w="794"/>
        <w:gridCol w:w="794"/>
        <w:gridCol w:w="794"/>
      </w:tblGrid>
      <w:tr w:rsidR="008E5DE4" w14:paraId="1E8050B9" w14:textId="77777777">
        <w:trPr>
          <w:cantSplit/>
          <w:tblHeader/>
        </w:trPr>
        <w:tc>
          <w:tcPr>
            <w:tcW w:w="2439" w:type="dxa"/>
            <w:tcBorders>
              <w:bottom w:val="single" w:sz="4" w:space="0" w:color="000000"/>
            </w:tcBorders>
            <w:vAlign w:val="bottom"/>
          </w:tcPr>
          <w:p w14:paraId="263B9593" w14:textId="77777777" w:rsidR="008E5DE4" w:rsidRDefault="00780368">
            <w:pPr>
              <w:widowControl w:val="0"/>
              <w:pBdr>
                <w:top w:val="nil"/>
                <w:left w:val="nil"/>
                <w:bottom w:val="nil"/>
                <w:right w:val="nil"/>
                <w:between w:val="nil"/>
              </w:pBdr>
              <w:ind w:left="113" w:right="-57" w:hanging="113"/>
              <w:rPr>
                <w:b/>
                <w:i/>
                <w:color w:val="000000"/>
                <w:sz w:val="17"/>
                <w:szCs w:val="17"/>
              </w:rPr>
            </w:pPr>
            <w:r>
              <w:rPr>
                <w:i/>
                <w:color w:val="000000"/>
                <w:sz w:val="17"/>
                <w:szCs w:val="17"/>
              </w:rPr>
              <w:t>In thousands of EUR</w:t>
            </w:r>
          </w:p>
        </w:tc>
        <w:tc>
          <w:tcPr>
            <w:tcW w:w="567" w:type="dxa"/>
            <w:tcBorders>
              <w:bottom w:val="single" w:sz="4" w:space="0" w:color="000000"/>
            </w:tcBorders>
            <w:vAlign w:val="bottom"/>
          </w:tcPr>
          <w:p w14:paraId="56E5DF19" w14:textId="77777777" w:rsidR="008E5DE4" w:rsidRDefault="00780368">
            <w:pPr>
              <w:widowControl w:val="0"/>
              <w:pBdr>
                <w:top w:val="nil"/>
                <w:left w:val="nil"/>
                <w:bottom w:val="nil"/>
                <w:right w:val="nil"/>
                <w:between w:val="nil"/>
              </w:pBdr>
              <w:ind w:left="-57" w:right="-57"/>
              <w:jc w:val="center"/>
              <w:rPr>
                <w:b/>
                <w:color w:val="000000"/>
                <w:sz w:val="17"/>
                <w:szCs w:val="17"/>
              </w:rPr>
            </w:pPr>
            <w:r>
              <w:rPr>
                <w:b/>
                <w:color w:val="000000"/>
                <w:sz w:val="17"/>
                <w:szCs w:val="17"/>
              </w:rPr>
              <w:t>Note</w:t>
            </w:r>
          </w:p>
        </w:tc>
        <w:tc>
          <w:tcPr>
            <w:tcW w:w="794" w:type="dxa"/>
            <w:tcBorders>
              <w:bottom w:val="single" w:sz="4" w:space="0" w:color="000000"/>
            </w:tcBorders>
          </w:tcPr>
          <w:p w14:paraId="4BACB2D9"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 xml:space="preserve">Free-hold Land </w:t>
            </w:r>
          </w:p>
        </w:tc>
        <w:tc>
          <w:tcPr>
            <w:tcW w:w="794" w:type="dxa"/>
            <w:tcBorders>
              <w:bottom w:val="single" w:sz="4" w:space="0" w:color="000000"/>
            </w:tcBorders>
          </w:tcPr>
          <w:p w14:paraId="3B5616D5"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Buil-dings</w:t>
            </w:r>
          </w:p>
        </w:tc>
        <w:tc>
          <w:tcPr>
            <w:tcW w:w="794" w:type="dxa"/>
            <w:tcBorders>
              <w:bottom w:val="single" w:sz="4" w:space="0" w:color="000000"/>
            </w:tcBorders>
          </w:tcPr>
          <w:p w14:paraId="70B6C7B6"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Plant and equip-</w:t>
            </w:r>
            <w:proofErr w:type="spellStart"/>
            <w:r>
              <w:rPr>
                <w:b/>
                <w:color w:val="000000"/>
                <w:sz w:val="17"/>
                <w:szCs w:val="17"/>
              </w:rPr>
              <w:t>ment</w:t>
            </w:r>
            <w:proofErr w:type="spellEnd"/>
            <w:r>
              <w:rPr>
                <w:b/>
                <w:color w:val="000000"/>
                <w:sz w:val="17"/>
                <w:szCs w:val="17"/>
              </w:rPr>
              <w:t xml:space="preserve"> – own use</w:t>
            </w:r>
          </w:p>
        </w:tc>
        <w:tc>
          <w:tcPr>
            <w:tcW w:w="794" w:type="dxa"/>
            <w:tcBorders>
              <w:bottom w:val="single" w:sz="4" w:space="0" w:color="000000"/>
            </w:tcBorders>
          </w:tcPr>
          <w:p w14:paraId="2F188542"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Plant and equip-</w:t>
            </w:r>
            <w:proofErr w:type="spellStart"/>
            <w:r>
              <w:rPr>
                <w:b/>
                <w:color w:val="000000"/>
                <w:sz w:val="17"/>
                <w:szCs w:val="17"/>
              </w:rPr>
              <w:t>ment</w:t>
            </w:r>
            <w:proofErr w:type="spellEnd"/>
            <w:r>
              <w:rPr>
                <w:b/>
                <w:color w:val="000000"/>
                <w:sz w:val="17"/>
                <w:szCs w:val="17"/>
              </w:rPr>
              <w:t xml:space="preserve"> – leased to customers</w:t>
            </w:r>
          </w:p>
        </w:tc>
        <w:tc>
          <w:tcPr>
            <w:tcW w:w="794" w:type="dxa"/>
            <w:tcBorders>
              <w:bottom w:val="single" w:sz="4" w:space="0" w:color="000000"/>
            </w:tcBorders>
          </w:tcPr>
          <w:p w14:paraId="5ABCFD6E"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Other</w:t>
            </w:r>
          </w:p>
        </w:tc>
        <w:tc>
          <w:tcPr>
            <w:tcW w:w="794" w:type="dxa"/>
            <w:tcBorders>
              <w:bottom w:val="single" w:sz="4" w:space="0" w:color="000000"/>
            </w:tcBorders>
          </w:tcPr>
          <w:p w14:paraId="1F53579B"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FF"/>
                <w:sz w:val="17"/>
                <w:szCs w:val="17"/>
              </w:rPr>
              <w:t>[Equip-</w:t>
            </w:r>
            <w:proofErr w:type="spellStart"/>
            <w:r>
              <w:rPr>
                <w:b/>
                <w:color w:val="0000FF"/>
                <w:sz w:val="17"/>
                <w:szCs w:val="17"/>
              </w:rPr>
              <w:t>ment</w:t>
            </w:r>
            <w:proofErr w:type="spellEnd"/>
            <w:r>
              <w:rPr>
                <w:b/>
                <w:color w:val="0000FF"/>
                <w:sz w:val="17"/>
                <w:szCs w:val="17"/>
              </w:rPr>
              <w:t>]</w:t>
            </w:r>
            <w:r>
              <w:rPr>
                <w:b/>
                <w:color w:val="000000"/>
                <w:sz w:val="17"/>
                <w:szCs w:val="17"/>
              </w:rPr>
              <w:t xml:space="preserve"> leased to </w:t>
            </w:r>
            <w:proofErr w:type="spellStart"/>
            <w:r>
              <w:rPr>
                <w:b/>
                <w:color w:val="000000"/>
                <w:sz w:val="17"/>
                <w:szCs w:val="17"/>
              </w:rPr>
              <w:t>custo-mers</w:t>
            </w:r>
            <w:proofErr w:type="spellEnd"/>
          </w:p>
        </w:tc>
        <w:tc>
          <w:tcPr>
            <w:tcW w:w="794" w:type="dxa"/>
            <w:tcBorders>
              <w:bottom w:val="single" w:sz="4" w:space="0" w:color="000000"/>
            </w:tcBorders>
          </w:tcPr>
          <w:p w14:paraId="5B548556"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FF"/>
                <w:sz w:val="17"/>
                <w:szCs w:val="17"/>
              </w:rPr>
              <w:t xml:space="preserve"> </w:t>
            </w:r>
            <w:r>
              <w:rPr>
                <w:b/>
                <w:color w:val="000000"/>
                <w:sz w:val="17"/>
                <w:szCs w:val="17"/>
              </w:rPr>
              <w:t>Con-</w:t>
            </w:r>
            <w:proofErr w:type="spellStart"/>
            <w:r>
              <w:rPr>
                <w:b/>
                <w:color w:val="000000"/>
                <w:sz w:val="17"/>
                <w:szCs w:val="17"/>
              </w:rPr>
              <w:t>struc</w:t>
            </w:r>
            <w:proofErr w:type="spellEnd"/>
            <w:r>
              <w:rPr>
                <w:b/>
                <w:color w:val="000000"/>
                <w:sz w:val="17"/>
                <w:szCs w:val="17"/>
              </w:rPr>
              <w:t>-</w:t>
            </w:r>
            <w:proofErr w:type="spellStart"/>
            <w:r>
              <w:rPr>
                <w:b/>
                <w:color w:val="000000"/>
                <w:sz w:val="17"/>
                <w:szCs w:val="17"/>
              </w:rPr>
              <w:t>tion</w:t>
            </w:r>
            <w:proofErr w:type="spellEnd"/>
            <w:r>
              <w:rPr>
                <w:b/>
                <w:color w:val="000000"/>
                <w:sz w:val="17"/>
                <w:szCs w:val="17"/>
              </w:rPr>
              <w:t xml:space="preserve"> in pro-</w:t>
            </w:r>
            <w:proofErr w:type="spellStart"/>
            <w:r>
              <w:rPr>
                <w:b/>
                <w:color w:val="000000"/>
                <w:sz w:val="17"/>
                <w:szCs w:val="17"/>
              </w:rPr>
              <w:t>gress</w:t>
            </w:r>
            <w:proofErr w:type="spellEnd"/>
          </w:p>
        </w:tc>
        <w:tc>
          <w:tcPr>
            <w:tcW w:w="794" w:type="dxa"/>
            <w:tcBorders>
              <w:bottom w:val="single" w:sz="4" w:space="0" w:color="000000"/>
            </w:tcBorders>
          </w:tcPr>
          <w:p w14:paraId="548C1EA4" w14:textId="77777777" w:rsidR="008E5DE4" w:rsidRDefault="00780368">
            <w:pPr>
              <w:widowControl w:val="0"/>
              <w:pBdr>
                <w:top w:val="nil"/>
                <w:left w:val="nil"/>
                <w:bottom w:val="nil"/>
                <w:right w:val="nil"/>
                <w:between w:val="nil"/>
              </w:pBdr>
              <w:ind w:left="-113"/>
              <w:jc w:val="right"/>
              <w:rPr>
                <w:b/>
                <w:color w:val="000000"/>
                <w:sz w:val="17"/>
                <w:szCs w:val="17"/>
              </w:rPr>
            </w:pPr>
            <w:r>
              <w:rPr>
                <w:b/>
                <w:color w:val="000000"/>
                <w:sz w:val="17"/>
                <w:szCs w:val="17"/>
              </w:rPr>
              <w:t>Total</w:t>
            </w:r>
          </w:p>
        </w:tc>
      </w:tr>
      <w:tr w:rsidR="008E5DE4" w14:paraId="7756536A" w14:textId="77777777">
        <w:trPr>
          <w:cantSplit/>
          <w:tblHeader/>
        </w:trPr>
        <w:tc>
          <w:tcPr>
            <w:tcW w:w="2439" w:type="dxa"/>
            <w:vAlign w:val="bottom"/>
          </w:tcPr>
          <w:p w14:paraId="3BA58633"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vAlign w:val="bottom"/>
          </w:tcPr>
          <w:p w14:paraId="581A26D2"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7E502D6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4EA2CC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6C45A83"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5D0F802"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CC722D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E90823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8DFAE2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829D17B" w14:textId="77777777" w:rsidR="008E5DE4" w:rsidRDefault="008E5DE4">
            <w:pPr>
              <w:widowControl w:val="0"/>
              <w:pBdr>
                <w:top w:val="nil"/>
                <w:left w:val="nil"/>
                <w:bottom w:val="nil"/>
                <w:right w:val="nil"/>
                <w:between w:val="nil"/>
              </w:pBdr>
              <w:jc w:val="right"/>
              <w:rPr>
                <w:color w:val="000000"/>
                <w:sz w:val="17"/>
                <w:szCs w:val="17"/>
              </w:rPr>
            </w:pPr>
          </w:p>
        </w:tc>
      </w:tr>
      <w:tr w:rsidR="008E5DE4" w14:paraId="12F5F52B" w14:textId="77777777">
        <w:trPr>
          <w:cantSplit/>
          <w:tblHeader/>
        </w:trPr>
        <w:tc>
          <w:tcPr>
            <w:tcW w:w="2439" w:type="dxa"/>
            <w:vAlign w:val="bottom"/>
          </w:tcPr>
          <w:p w14:paraId="45CB13E6" w14:textId="7D2D9E38"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Cost </w:t>
            </w:r>
            <w:r>
              <w:rPr>
                <w:color w:val="0000FF"/>
                <w:sz w:val="17"/>
                <w:szCs w:val="17"/>
              </w:rPr>
              <w:t>[or valuation]</w:t>
            </w:r>
            <w:r>
              <w:rPr>
                <w:color w:val="000000"/>
                <w:sz w:val="17"/>
                <w:szCs w:val="17"/>
              </w:rPr>
              <w:t xml:space="preserve"> </w:t>
            </w:r>
            <w:proofErr w:type="gramStart"/>
            <w:r>
              <w:rPr>
                <w:color w:val="000000"/>
                <w:sz w:val="17"/>
                <w:szCs w:val="17"/>
              </w:rPr>
              <w:t>at</w:t>
            </w:r>
            <w:proofErr w:type="gramEnd"/>
            <w:r>
              <w:rPr>
                <w:color w:val="000000"/>
                <w:sz w:val="17"/>
                <w:szCs w:val="17"/>
              </w:rPr>
              <w:t xml:space="preserve"> 1 January </w:t>
            </w:r>
            <w:r w:rsidR="008614F8">
              <w:rPr>
                <w:color w:val="000000"/>
                <w:sz w:val="17"/>
                <w:szCs w:val="17"/>
              </w:rPr>
              <w:t>2025</w:t>
            </w:r>
            <w:r>
              <w:rPr>
                <w:color w:val="000000"/>
                <w:sz w:val="17"/>
                <w:szCs w:val="17"/>
              </w:rPr>
              <w:t xml:space="preserve"> </w:t>
            </w:r>
          </w:p>
        </w:tc>
        <w:tc>
          <w:tcPr>
            <w:tcW w:w="567" w:type="dxa"/>
            <w:vAlign w:val="bottom"/>
          </w:tcPr>
          <w:p w14:paraId="1AC74B47" w14:textId="77777777" w:rsidR="008E5DE4" w:rsidRDefault="008E5DE4">
            <w:pPr>
              <w:widowControl w:val="0"/>
              <w:pBdr>
                <w:top w:val="nil"/>
                <w:left w:val="nil"/>
                <w:bottom w:val="nil"/>
                <w:right w:val="nil"/>
                <w:between w:val="nil"/>
              </w:pBdr>
              <w:ind w:right="-57"/>
              <w:rPr>
                <w:color w:val="000000"/>
                <w:sz w:val="17"/>
                <w:szCs w:val="17"/>
              </w:rPr>
            </w:pPr>
          </w:p>
        </w:tc>
        <w:tc>
          <w:tcPr>
            <w:tcW w:w="794" w:type="dxa"/>
            <w:vAlign w:val="bottom"/>
          </w:tcPr>
          <w:p w14:paraId="6A9FABC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A8DA1A0"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67E30AB"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621DFD24"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385330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802A0E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7E39B3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1C5F933" w14:textId="77777777" w:rsidR="008E5DE4" w:rsidRDefault="008E5DE4">
            <w:pPr>
              <w:widowControl w:val="0"/>
              <w:pBdr>
                <w:top w:val="nil"/>
                <w:left w:val="nil"/>
                <w:bottom w:val="nil"/>
                <w:right w:val="nil"/>
                <w:between w:val="nil"/>
              </w:pBdr>
              <w:jc w:val="right"/>
              <w:rPr>
                <w:color w:val="000000"/>
                <w:sz w:val="17"/>
                <w:szCs w:val="17"/>
              </w:rPr>
            </w:pPr>
          </w:p>
        </w:tc>
      </w:tr>
      <w:tr w:rsidR="008E5DE4" w14:paraId="7F42C124" w14:textId="77777777">
        <w:trPr>
          <w:cantSplit/>
          <w:tblHeader/>
        </w:trPr>
        <w:tc>
          <w:tcPr>
            <w:tcW w:w="2439" w:type="dxa"/>
            <w:vAlign w:val="bottom"/>
          </w:tcPr>
          <w:p w14:paraId="00CB2BB8"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Accumulated depreciation </w:t>
            </w:r>
          </w:p>
        </w:tc>
        <w:tc>
          <w:tcPr>
            <w:tcW w:w="567" w:type="dxa"/>
            <w:vAlign w:val="bottom"/>
          </w:tcPr>
          <w:p w14:paraId="0D58F50F"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28BDF14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9DF0CC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CFACCE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C94AE59"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EF1736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FE4D0C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82AD330"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DF4B14E" w14:textId="77777777" w:rsidR="008E5DE4" w:rsidRDefault="008E5DE4">
            <w:pPr>
              <w:widowControl w:val="0"/>
              <w:pBdr>
                <w:top w:val="nil"/>
                <w:left w:val="nil"/>
                <w:bottom w:val="nil"/>
                <w:right w:val="nil"/>
                <w:between w:val="nil"/>
              </w:pBdr>
              <w:jc w:val="right"/>
              <w:rPr>
                <w:color w:val="000000"/>
                <w:sz w:val="17"/>
                <w:szCs w:val="17"/>
              </w:rPr>
            </w:pPr>
          </w:p>
        </w:tc>
      </w:tr>
      <w:tr w:rsidR="008E5DE4" w14:paraId="07D34F29" w14:textId="77777777">
        <w:trPr>
          <w:cantSplit/>
          <w:tblHeader/>
        </w:trPr>
        <w:tc>
          <w:tcPr>
            <w:tcW w:w="2439" w:type="dxa"/>
            <w:tcBorders>
              <w:bottom w:val="single" w:sz="4" w:space="0" w:color="000000"/>
            </w:tcBorders>
            <w:vAlign w:val="bottom"/>
          </w:tcPr>
          <w:p w14:paraId="3EF8910B" w14:textId="77777777" w:rsidR="008E5DE4" w:rsidRDefault="008E5DE4">
            <w:pPr>
              <w:widowControl w:val="0"/>
              <w:pBdr>
                <w:top w:val="nil"/>
                <w:left w:val="nil"/>
                <w:bottom w:val="nil"/>
                <w:right w:val="nil"/>
                <w:between w:val="nil"/>
              </w:pBdr>
              <w:ind w:left="113" w:right="-57" w:hanging="113"/>
              <w:rPr>
                <w:color w:val="000000"/>
                <w:sz w:val="17"/>
                <w:szCs w:val="17"/>
              </w:rPr>
            </w:pPr>
          </w:p>
        </w:tc>
        <w:tc>
          <w:tcPr>
            <w:tcW w:w="567" w:type="dxa"/>
            <w:tcBorders>
              <w:bottom w:val="single" w:sz="4" w:space="0" w:color="000000"/>
            </w:tcBorders>
            <w:vAlign w:val="bottom"/>
          </w:tcPr>
          <w:p w14:paraId="60E11C59"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4" w:space="0" w:color="000000"/>
            </w:tcBorders>
            <w:vAlign w:val="bottom"/>
          </w:tcPr>
          <w:p w14:paraId="37097BD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01E1BEF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4C675F2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tcPr>
          <w:p w14:paraId="34BAEE3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tcPr>
          <w:p w14:paraId="025236B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27099F7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3737465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5E9150BD" w14:textId="77777777" w:rsidR="008E5DE4" w:rsidRDefault="008E5DE4">
            <w:pPr>
              <w:widowControl w:val="0"/>
              <w:pBdr>
                <w:top w:val="nil"/>
                <w:left w:val="nil"/>
                <w:bottom w:val="nil"/>
                <w:right w:val="nil"/>
                <w:between w:val="nil"/>
              </w:pBdr>
              <w:jc w:val="right"/>
              <w:rPr>
                <w:color w:val="000000"/>
                <w:sz w:val="17"/>
                <w:szCs w:val="17"/>
              </w:rPr>
            </w:pPr>
          </w:p>
        </w:tc>
      </w:tr>
      <w:tr w:rsidR="008E5DE4" w14:paraId="7F3A69D9" w14:textId="77777777">
        <w:trPr>
          <w:cantSplit/>
          <w:tblHeader/>
        </w:trPr>
        <w:tc>
          <w:tcPr>
            <w:tcW w:w="2439" w:type="dxa"/>
            <w:vAlign w:val="bottom"/>
          </w:tcPr>
          <w:p w14:paraId="50908BF8" w14:textId="77777777" w:rsidR="008E5DE4" w:rsidRDefault="008E5DE4">
            <w:pPr>
              <w:widowControl w:val="0"/>
              <w:pBdr>
                <w:top w:val="nil"/>
                <w:left w:val="nil"/>
                <w:bottom w:val="nil"/>
                <w:right w:val="nil"/>
                <w:between w:val="nil"/>
              </w:pBdr>
              <w:ind w:left="113" w:right="-57" w:hanging="113"/>
              <w:rPr>
                <w:color w:val="000000"/>
                <w:sz w:val="17"/>
                <w:szCs w:val="17"/>
              </w:rPr>
            </w:pPr>
          </w:p>
        </w:tc>
        <w:tc>
          <w:tcPr>
            <w:tcW w:w="567" w:type="dxa"/>
            <w:vAlign w:val="bottom"/>
          </w:tcPr>
          <w:p w14:paraId="54568C26"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174B6C9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391AE1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6D00B3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64AD73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702ED5C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FCB549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678C18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1A62DDE" w14:textId="77777777" w:rsidR="008E5DE4" w:rsidRDefault="008E5DE4">
            <w:pPr>
              <w:widowControl w:val="0"/>
              <w:pBdr>
                <w:top w:val="nil"/>
                <w:left w:val="nil"/>
                <w:bottom w:val="nil"/>
                <w:right w:val="nil"/>
                <w:between w:val="nil"/>
              </w:pBdr>
              <w:jc w:val="right"/>
              <w:rPr>
                <w:color w:val="000000"/>
                <w:sz w:val="17"/>
                <w:szCs w:val="17"/>
              </w:rPr>
            </w:pPr>
          </w:p>
        </w:tc>
      </w:tr>
      <w:tr w:rsidR="008E5DE4" w14:paraId="0B843465" w14:textId="77777777">
        <w:trPr>
          <w:cantSplit/>
          <w:tblHeader/>
        </w:trPr>
        <w:tc>
          <w:tcPr>
            <w:tcW w:w="2439" w:type="dxa"/>
            <w:vAlign w:val="bottom"/>
          </w:tcPr>
          <w:p w14:paraId="7EFB9F9E" w14:textId="755EC3D0" w:rsidR="008E5DE4" w:rsidRDefault="00780368">
            <w:pPr>
              <w:widowControl w:val="0"/>
              <w:pBdr>
                <w:top w:val="nil"/>
                <w:left w:val="nil"/>
                <w:bottom w:val="nil"/>
                <w:right w:val="nil"/>
                <w:between w:val="nil"/>
              </w:pBdr>
              <w:ind w:left="113" w:right="-57" w:hanging="113"/>
              <w:rPr>
                <w:b/>
                <w:color w:val="000000"/>
                <w:sz w:val="17"/>
                <w:szCs w:val="17"/>
              </w:rPr>
            </w:pPr>
            <w:r>
              <w:rPr>
                <w:b/>
                <w:color w:val="000000"/>
                <w:sz w:val="17"/>
                <w:szCs w:val="17"/>
              </w:rPr>
              <w:t xml:space="preserve">Carrying amount </w:t>
            </w:r>
            <w:proofErr w:type="gramStart"/>
            <w:r>
              <w:rPr>
                <w:b/>
                <w:color w:val="000000"/>
                <w:sz w:val="17"/>
                <w:szCs w:val="17"/>
              </w:rPr>
              <w:t>at</w:t>
            </w:r>
            <w:proofErr w:type="gramEnd"/>
            <w:r>
              <w:rPr>
                <w:b/>
                <w:color w:val="000000"/>
                <w:sz w:val="17"/>
                <w:szCs w:val="17"/>
              </w:rPr>
              <w:t xml:space="preserve"> 1 January </w:t>
            </w:r>
            <w:r w:rsidR="008614F8">
              <w:rPr>
                <w:b/>
                <w:color w:val="000000"/>
                <w:sz w:val="17"/>
                <w:szCs w:val="17"/>
              </w:rPr>
              <w:t>2025</w:t>
            </w:r>
          </w:p>
        </w:tc>
        <w:tc>
          <w:tcPr>
            <w:tcW w:w="567" w:type="dxa"/>
            <w:vAlign w:val="bottom"/>
          </w:tcPr>
          <w:p w14:paraId="16275EEC" w14:textId="77777777" w:rsidR="008E5DE4" w:rsidRDefault="008E5DE4">
            <w:pPr>
              <w:widowControl w:val="0"/>
              <w:pBdr>
                <w:top w:val="nil"/>
                <w:left w:val="nil"/>
                <w:bottom w:val="nil"/>
                <w:right w:val="nil"/>
                <w:between w:val="nil"/>
              </w:pBdr>
              <w:ind w:right="-57"/>
              <w:rPr>
                <w:b/>
                <w:color w:val="000000"/>
                <w:sz w:val="17"/>
                <w:szCs w:val="17"/>
              </w:rPr>
            </w:pPr>
          </w:p>
        </w:tc>
        <w:tc>
          <w:tcPr>
            <w:tcW w:w="794" w:type="dxa"/>
            <w:vAlign w:val="bottom"/>
          </w:tcPr>
          <w:p w14:paraId="7F713436"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34ECE977"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7FC538CB"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4C20B749"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1E2448F5"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710FA5E2"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005BC8DD"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5C358034" w14:textId="77777777" w:rsidR="008E5DE4" w:rsidRDefault="008E5DE4">
            <w:pPr>
              <w:widowControl w:val="0"/>
              <w:pBdr>
                <w:top w:val="nil"/>
                <w:left w:val="nil"/>
                <w:bottom w:val="nil"/>
                <w:right w:val="nil"/>
                <w:between w:val="nil"/>
              </w:pBdr>
              <w:jc w:val="right"/>
              <w:rPr>
                <w:b/>
                <w:color w:val="000000"/>
                <w:sz w:val="17"/>
                <w:szCs w:val="17"/>
              </w:rPr>
            </w:pPr>
          </w:p>
        </w:tc>
      </w:tr>
      <w:tr w:rsidR="008E5DE4" w14:paraId="796EB7DD" w14:textId="77777777">
        <w:trPr>
          <w:cantSplit/>
          <w:tblHeader/>
        </w:trPr>
        <w:tc>
          <w:tcPr>
            <w:tcW w:w="2439" w:type="dxa"/>
            <w:vAlign w:val="bottom"/>
          </w:tcPr>
          <w:p w14:paraId="69DABEF6"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vAlign w:val="bottom"/>
          </w:tcPr>
          <w:p w14:paraId="07DCCD05" w14:textId="77777777" w:rsidR="008E5DE4" w:rsidRDefault="008E5DE4">
            <w:pPr>
              <w:widowControl w:val="0"/>
              <w:pBdr>
                <w:top w:val="nil"/>
                <w:left w:val="nil"/>
                <w:bottom w:val="nil"/>
                <w:right w:val="nil"/>
                <w:between w:val="nil"/>
              </w:pBdr>
              <w:ind w:right="-57"/>
              <w:rPr>
                <w:b/>
                <w:color w:val="000000"/>
                <w:sz w:val="17"/>
                <w:szCs w:val="17"/>
              </w:rPr>
            </w:pPr>
          </w:p>
        </w:tc>
        <w:tc>
          <w:tcPr>
            <w:tcW w:w="794" w:type="dxa"/>
            <w:vAlign w:val="bottom"/>
          </w:tcPr>
          <w:p w14:paraId="3CB1F0A3"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1169836C"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17E3706C"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0B5C9CD4"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7AF93054"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44BFF303"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12DA9488"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6680E219" w14:textId="77777777" w:rsidR="008E5DE4" w:rsidRDefault="008E5DE4">
            <w:pPr>
              <w:widowControl w:val="0"/>
              <w:pBdr>
                <w:top w:val="nil"/>
                <w:left w:val="nil"/>
                <w:bottom w:val="nil"/>
                <w:right w:val="nil"/>
                <w:between w:val="nil"/>
              </w:pBdr>
              <w:jc w:val="right"/>
              <w:rPr>
                <w:b/>
                <w:color w:val="000000"/>
                <w:sz w:val="17"/>
                <w:szCs w:val="17"/>
              </w:rPr>
            </w:pPr>
          </w:p>
        </w:tc>
      </w:tr>
      <w:tr w:rsidR="008E5DE4" w14:paraId="60B6CA22" w14:textId="77777777">
        <w:trPr>
          <w:cantSplit/>
          <w:tblHeader/>
        </w:trPr>
        <w:tc>
          <w:tcPr>
            <w:tcW w:w="2439" w:type="dxa"/>
            <w:vAlign w:val="bottom"/>
          </w:tcPr>
          <w:p w14:paraId="279090DF"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Acquisitions through business combinations</w:t>
            </w:r>
          </w:p>
        </w:tc>
        <w:tc>
          <w:tcPr>
            <w:tcW w:w="567" w:type="dxa"/>
            <w:vAlign w:val="bottom"/>
          </w:tcPr>
          <w:p w14:paraId="701290F4"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50</w:t>
            </w:r>
          </w:p>
        </w:tc>
        <w:tc>
          <w:tcPr>
            <w:tcW w:w="794" w:type="dxa"/>
            <w:vAlign w:val="bottom"/>
          </w:tcPr>
          <w:p w14:paraId="134FC79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6A8DBDF"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707E90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5849F6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BE4A3D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D6E2C0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69BAF8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DA8D316" w14:textId="77777777" w:rsidR="008E5DE4" w:rsidRDefault="008E5DE4">
            <w:pPr>
              <w:widowControl w:val="0"/>
              <w:pBdr>
                <w:top w:val="nil"/>
                <w:left w:val="nil"/>
                <w:bottom w:val="nil"/>
                <w:right w:val="nil"/>
                <w:between w:val="nil"/>
              </w:pBdr>
              <w:jc w:val="right"/>
              <w:rPr>
                <w:color w:val="000000"/>
                <w:sz w:val="17"/>
                <w:szCs w:val="17"/>
              </w:rPr>
            </w:pPr>
          </w:p>
        </w:tc>
      </w:tr>
      <w:tr w:rsidR="008E5DE4" w14:paraId="593E7DB7" w14:textId="77777777">
        <w:trPr>
          <w:cantSplit/>
          <w:tblHeader/>
        </w:trPr>
        <w:tc>
          <w:tcPr>
            <w:tcW w:w="2439" w:type="dxa"/>
            <w:vAlign w:val="bottom"/>
          </w:tcPr>
          <w:p w14:paraId="5F755DB4"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Additions</w:t>
            </w:r>
          </w:p>
        </w:tc>
        <w:tc>
          <w:tcPr>
            <w:tcW w:w="567" w:type="dxa"/>
            <w:vAlign w:val="bottom"/>
          </w:tcPr>
          <w:p w14:paraId="3498BD0D"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62995C7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07CF24F"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4689990"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7BD8137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B7064A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1D1FDAA"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FFD0F9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A4AF8FA" w14:textId="77777777" w:rsidR="008E5DE4" w:rsidRDefault="008E5DE4">
            <w:pPr>
              <w:widowControl w:val="0"/>
              <w:pBdr>
                <w:top w:val="nil"/>
                <w:left w:val="nil"/>
                <w:bottom w:val="nil"/>
                <w:right w:val="nil"/>
                <w:between w:val="nil"/>
              </w:pBdr>
              <w:jc w:val="right"/>
              <w:rPr>
                <w:color w:val="000000"/>
                <w:sz w:val="17"/>
                <w:szCs w:val="17"/>
              </w:rPr>
            </w:pPr>
          </w:p>
        </w:tc>
      </w:tr>
      <w:tr w:rsidR="008E5DE4" w14:paraId="2B7070EE" w14:textId="77777777">
        <w:trPr>
          <w:cantSplit/>
          <w:tblHeader/>
        </w:trPr>
        <w:tc>
          <w:tcPr>
            <w:tcW w:w="2439" w:type="dxa"/>
            <w:vAlign w:val="bottom"/>
          </w:tcPr>
          <w:p w14:paraId="4D69A8BA"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Changes in estimates of asset retirement obligations</w:t>
            </w:r>
          </w:p>
        </w:tc>
        <w:tc>
          <w:tcPr>
            <w:tcW w:w="567" w:type="dxa"/>
            <w:vAlign w:val="bottom"/>
          </w:tcPr>
          <w:p w14:paraId="697AB9D7"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32</w:t>
            </w:r>
          </w:p>
        </w:tc>
        <w:tc>
          <w:tcPr>
            <w:tcW w:w="794" w:type="dxa"/>
            <w:vAlign w:val="bottom"/>
          </w:tcPr>
          <w:p w14:paraId="243857E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090265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51C662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D887C27"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80FB9A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E526BE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B0238C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F4955E1" w14:textId="77777777" w:rsidR="008E5DE4" w:rsidRDefault="008E5DE4">
            <w:pPr>
              <w:widowControl w:val="0"/>
              <w:pBdr>
                <w:top w:val="nil"/>
                <w:left w:val="nil"/>
                <w:bottom w:val="nil"/>
                <w:right w:val="nil"/>
                <w:between w:val="nil"/>
              </w:pBdr>
              <w:jc w:val="right"/>
              <w:rPr>
                <w:color w:val="000000"/>
                <w:sz w:val="17"/>
                <w:szCs w:val="17"/>
              </w:rPr>
            </w:pPr>
          </w:p>
        </w:tc>
      </w:tr>
      <w:tr w:rsidR="008E5DE4" w14:paraId="3FF0A1C3" w14:textId="77777777">
        <w:trPr>
          <w:cantSplit/>
          <w:tblHeader/>
        </w:trPr>
        <w:tc>
          <w:tcPr>
            <w:tcW w:w="2439" w:type="dxa"/>
            <w:vAlign w:val="bottom"/>
          </w:tcPr>
          <w:p w14:paraId="13A92C49"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Capitalised borrowing costs</w:t>
            </w:r>
          </w:p>
        </w:tc>
        <w:tc>
          <w:tcPr>
            <w:tcW w:w="567" w:type="dxa"/>
            <w:vAlign w:val="bottom"/>
          </w:tcPr>
          <w:p w14:paraId="5C14AD7B"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37</w:t>
            </w:r>
          </w:p>
        </w:tc>
        <w:tc>
          <w:tcPr>
            <w:tcW w:w="794" w:type="dxa"/>
            <w:vAlign w:val="bottom"/>
          </w:tcPr>
          <w:p w14:paraId="2050340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FE8E36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468F814"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A01F54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82C633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9E7F3F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286947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FFB1F67" w14:textId="77777777" w:rsidR="008E5DE4" w:rsidRDefault="008E5DE4">
            <w:pPr>
              <w:widowControl w:val="0"/>
              <w:pBdr>
                <w:top w:val="nil"/>
                <w:left w:val="nil"/>
                <w:bottom w:val="nil"/>
                <w:right w:val="nil"/>
                <w:between w:val="nil"/>
              </w:pBdr>
              <w:jc w:val="right"/>
              <w:rPr>
                <w:color w:val="000000"/>
                <w:sz w:val="17"/>
                <w:szCs w:val="17"/>
              </w:rPr>
            </w:pPr>
          </w:p>
        </w:tc>
      </w:tr>
      <w:tr w:rsidR="008E5DE4" w14:paraId="7D2DC8F1" w14:textId="77777777">
        <w:trPr>
          <w:cantSplit/>
          <w:tblHeader/>
        </w:trPr>
        <w:tc>
          <w:tcPr>
            <w:tcW w:w="2439" w:type="dxa"/>
            <w:vAlign w:val="bottom"/>
          </w:tcPr>
          <w:p w14:paraId="0D7A8C89"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Transfers</w:t>
            </w:r>
          </w:p>
        </w:tc>
        <w:tc>
          <w:tcPr>
            <w:tcW w:w="567" w:type="dxa"/>
            <w:vAlign w:val="bottom"/>
          </w:tcPr>
          <w:p w14:paraId="316E1D51"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6867731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3B6D17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78F4840"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ED3C70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D86E9C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BC249E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79A3D5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33040AB" w14:textId="77777777" w:rsidR="008E5DE4" w:rsidRDefault="008E5DE4">
            <w:pPr>
              <w:widowControl w:val="0"/>
              <w:pBdr>
                <w:top w:val="nil"/>
                <w:left w:val="nil"/>
                <w:bottom w:val="nil"/>
                <w:right w:val="nil"/>
                <w:between w:val="nil"/>
              </w:pBdr>
              <w:jc w:val="right"/>
              <w:rPr>
                <w:color w:val="000000"/>
                <w:sz w:val="17"/>
                <w:szCs w:val="17"/>
              </w:rPr>
            </w:pPr>
          </w:p>
        </w:tc>
      </w:tr>
      <w:tr w:rsidR="008E5DE4" w14:paraId="4621B64F" w14:textId="77777777">
        <w:trPr>
          <w:cantSplit/>
          <w:tblHeader/>
        </w:trPr>
        <w:tc>
          <w:tcPr>
            <w:tcW w:w="2439" w:type="dxa"/>
            <w:vAlign w:val="bottom"/>
          </w:tcPr>
          <w:p w14:paraId="6082CA2C"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Reclassification to non-current assets held for sale (or disposal groups)</w:t>
            </w:r>
          </w:p>
        </w:tc>
        <w:tc>
          <w:tcPr>
            <w:tcW w:w="567" w:type="dxa"/>
            <w:vAlign w:val="bottom"/>
          </w:tcPr>
          <w:p w14:paraId="1492E74F"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25</w:t>
            </w:r>
          </w:p>
        </w:tc>
        <w:tc>
          <w:tcPr>
            <w:tcW w:w="794" w:type="dxa"/>
            <w:vAlign w:val="bottom"/>
          </w:tcPr>
          <w:p w14:paraId="62C075B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C70301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6F2AB7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66A7DEE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11EF70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BF7500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9C54AB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0D0678F" w14:textId="77777777" w:rsidR="008E5DE4" w:rsidRDefault="008E5DE4">
            <w:pPr>
              <w:widowControl w:val="0"/>
              <w:pBdr>
                <w:top w:val="nil"/>
                <w:left w:val="nil"/>
                <w:bottom w:val="nil"/>
                <w:right w:val="nil"/>
                <w:between w:val="nil"/>
              </w:pBdr>
              <w:jc w:val="right"/>
              <w:rPr>
                <w:color w:val="000000"/>
                <w:sz w:val="17"/>
                <w:szCs w:val="17"/>
              </w:rPr>
            </w:pPr>
          </w:p>
        </w:tc>
      </w:tr>
      <w:tr w:rsidR="008E5DE4" w14:paraId="56BD36C4" w14:textId="77777777">
        <w:trPr>
          <w:cantSplit/>
          <w:tblHeader/>
        </w:trPr>
        <w:tc>
          <w:tcPr>
            <w:tcW w:w="2439" w:type="dxa"/>
            <w:vAlign w:val="bottom"/>
          </w:tcPr>
          <w:p w14:paraId="165BDAFB"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Disposals</w:t>
            </w:r>
          </w:p>
        </w:tc>
        <w:tc>
          <w:tcPr>
            <w:tcW w:w="567" w:type="dxa"/>
            <w:vAlign w:val="bottom"/>
          </w:tcPr>
          <w:p w14:paraId="5CEC8056"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7804431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68E15F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3ED1AC4"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A28A4F9"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644DC12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5F7765F"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184CA6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E553ACA" w14:textId="77777777" w:rsidR="008E5DE4" w:rsidRDefault="008E5DE4">
            <w:pPr>
              <w:widowControl w:val="0"/>
              <w:pBdr>
                <w:top w:val="nil"/>
                <w:left w:val="nil"/>
                <w:bottom w:val="nil"/>
                <w:right w:val="nil"/>
                <w:between w:val="nil"/>
              </w:pBdr>
              <w:jc w:val="right"/>
              <w:rPr>
                <w:color w:val="000000"/>
                <w:sz w:val="17"/>
                <w:szCs w:val="17"/>
              </w:rPr>
            </w:pPr>
          </w:p>
        </w:tc>
      </w:tr>
      <w:tr w:rsidR="008E5DE4" w14:paraId="32B60511" w14:textId="77777777">
        <w:trPr>
          <w:cantSplit/>
          <w:tblHeader/>
        </w:trPr>
        <w:tc>
          <w:tcPr>
            <w:tcW w:w="2439" w:type="dxa"/>
            <w:vAlign w:val="bottom"/>
          </w:tcPr>
          <w:p w14:paraId="33EADFE2"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Depreciation charge </w:t>
            </w:r>
          </w:p>
        </w:tc>
        <w:tc>
          <w:tcPr>
            <w:tcW w:w="567" w:type="dxa"/>
            <w:vAlign w:val="bottom"/>
          </w:tcPr>
          <w:p w14:paraId="549BC368"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36</w:t>
            </w:r>
          </w:p>
        </w:tc>
        <w:tc>
          <w:tcPr>
            <w:tcW w:w="794" w:type="dxa"/>
            <w:vAlign w:val="bottom"/>
          </w:tcPr>
          <w:p w14:paraId="76A4529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901FEB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C96915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753B4E4"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14F5E7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CE84B6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6A0B90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EE64371" w14:textId="77777777" w:rsidR="008E5DE4" w:rsidRDefault="008E5DE4">
            <w:pPr>
              <w:widowControl w:val="0"/>
              <w:pBdr>
                <w:top w:val="nil"/>
                <w:left w:val="nil"/>
                <w:bottom w:val="nil"/>
                <w:right w:val="nil"/>
                <w:between w:val="nil"/>
              </w:pBdr>
              <w:jc w:val="right"/>
              <w:rPr>
                <w:color w:val="000000"/>
                <w:sz w:val="17"/>
                <w:szCs w:val="17"/>
              </w:rPr>
            </w:pPr>
          </w:p>
        </w:tc>
      </w:tr>
      <w:tr w:rsidR="008E5DE4" w14:paraId="17F0A3E2" w14:textId="77777777">
        <w:trPr>
          <w:cantSplit/>
          <w:tblHeader/>
        </w:trPr>
        <w:tc>
          <w:tcPr>
            <w:tcW w:w="2439" w:type="dxa"/>
            <w:vAlign w:val="bottom"/>
          </w:tcPr>
          <w:p w14:paraId="0BED2DCD"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Impairment charge to profit or loss</w:t>
            </w:r>
          </w:p>
        </w:tc>
        <w:tc>
          <w:tcPr>
            <w:tcW w:w="567" w:type="dxa"/>
            <w:vAlign w:val="bottom"/>
          </w:tcPr>
          <w:p w14:paraId="2502D609"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36</w:t>
            </w:r>
          </w:p>
        </w:tc>
        <w:tc>
          <w:tcPr>
            <w:tcW w:w="794" w:type="dxa"/>
            <w:vAlign w:val="bottom"/>
          </w:tcPr>
          <w:p w14:paraId="78D9D27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76BE5B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1595AA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BF78E1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312BE8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124276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3082C2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B93960F" w14:textId="77777777" w:rsidR="008E5DE4" w:rsidRDefault="008E5DE4">
            <w:pPr>
              <w:widowControl w:val="0"/>
              <w:pBdr>
                <w:top w:val="nil"/>
                <w:left w:val="nil"/>
                <w:bottom w:val="nil"/>
                <w:right w:val="nil"/>
                <w:between w:val="nil"/>
              </w:pBdr>
              <w:jc w:val="right"/>
              <w:rPr>
                <w:color w:val="000000"/>
                <w:sz w:val="17"/>
                <w:szCs w:val="17"/>
              </w:rPr>
            </w:pPr>
          </w:p>
        </w:tc>
      </w:tr>
      <w:tr w:rsidR="008E5DE4" w14:paraId="21CBC00C" w14:textId="77777777">
        <w:trPr>
          <w:cantSplit/>
          <w:tblHeader/>
        </w:trPr>
        <w:tc>
          <w:tcPr>
            <w:tcW w:w="2439" w:type="dxa"/>
            <w:vAlign w:val="bottom"/>
          </w:tcPr>
          <w:p w14:paraId="05CBC4D6"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Reversals of impairment through profit or loss</w:t>
            </w:r>
          </w:p>
        </w:tc>
        <w:tc>
          <w:tcPr>
            <w:tcW w:w="567" w:type="dxa"/>
            <w:vAlign w:val="bottom"/>
          </w:tcPr>
          <w:p w14:paraId="754AEDE7"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36</w:t>
            </w:r>
          </w:p>
        </w:tc>
        <w:tc>
          <w:tcPr>
            <w:tcW w:w="794" w:type="dxa"/>
            <w:vAlign w:val="bottom"/>
          </w:tcPr>
          <w:p w14:paraId="56959E8B"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4F01C6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A7F6AF2"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536AE98"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6DD4A72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21E5EC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2262A9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D3CD531" w14:textId="77777777" w:rsidR="008E5DE4" w:rsidRDefault="008E5DE4">
            <w:pPr>
              <w:widowControl w:val="0"/>
              <w:pBdr>
                <w:top w:val="nil"/>
                <w:left w:val="nil"/>
                <w:bottom w:val="nil"/>
                <w:right w:val="nil"/>
                <w:between w:val="nil"/>
              </w:pBdr>
              <w:jc w:val="right"/>
              <w:rPr>
                <w:color w:val="000000"/>
                <w:sz w:val="17"/>
                <w:szCs w:val="17"/>
              </w:rPr>
            </w:pPr>
          </w:p>
        </w:tc>
      </w:tr>
      <w:tr w:rsidR="008E5DE4" w14:paraId="0E584854" w14:textId="77777777">
        <w:trPr>
          <w:cantSplit/>
          <w:tblHeader/>
        </w:trPr>
        <w:tc>
          <w:tcPr>
            <w:tcW w:w="2439" w:type="dxa"/>
            <w:vAlign w:val="bottom"/>
          </w:tcPr>
          <w:p w14:paraId="209360F5"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Revaluation </w:t>
            </w:r>
          </w:p>
        </w:tc>
        <w:tc>
          <w:tcPr>
            <w:tcW w:w="567" w:type="dxa"/>
            <w:vAlign w:val="bottom"/>
          </w:tcPr>
          <w:p w14:paraId="50FB4D40" w14:textId="77777777" w:rsidR="008E5DE4" w:rsidRDefault="00780368">
            <w:pPr>
              <w:widowControl w:val="0"/>
              <w:pBdr>
                <w:top w:val="nil"/>
                <w:left w:val="nil"/>
                <w:bottom w:val="nil"/>
                <w:right w:val="nil"/>
                <w:between w:val="nil"/>
              </w:pBdr>
              <w:ind w:left="-57" w:right="-57"/>
              <w:jc w:val="center"/>
              <w:rPr>
                <w:color w:val="000000"/>
                <w:sz w:val="17"/>
                <w:szCs w:val="17"/>
              </w:rPr>
            </w:pPr>
            <w:r>
              <w:rPr>
                <w:color w:val="000000"/>
                <w:sz w:val="17"/>
                <w:szCs w:val="17"/>
              </w:rPr>
              <w:t>27</w:t>
            </w:r>
          </w:p>
        </w:tc>
        <w:tc>
          <w:tcPr>
            <w:tcW w:w="794" w:type="dxa"/>
            <w:vAlign w:val="bottom"/>
          </w:tcPr>
          <w:p w14:paraId="53CF7D9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A11246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EAE5F8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6292BAC4"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3213E86A"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0C803F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44D3CA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21C9A4D" w14:textId="77777777" w:rsidR="008E5DE4" w:rsidRDefault="008E5DE4">
            <w:pPr>
              <w:widowControl w:val="0"/>
              <w:pBdr>
                <w:top w:val="nil"/>
                <w:left w:val="nil"/>
                <w:bottom w:val="nil"/>
                <w:right w:val="nil"/>
                <w:between w:val="nil"/>
              </w:pBdr>
              <w:jc w:val="right"/>
              <w:rPr>
                <w:color w:val="000000"/>
                <w:sz w:val="17"/>
                <w:szCs w:val="17"/>
              </w:rPr>
            </w:pPr>
          </w:p>
        </w:tc>
      </w:tr>
      <w:tr w:rsidR="008E5DE4" w14:paraId="7273631A" w14:textId="77777777">
        <w:trPr>
          <w:cantSplit/>
          <w:tblHeader/>
        </w:trPr>
        <w:tc>
          <w:tcPr>
            <w:tcW w:w="2439" w:type="dxa"/>
            <w:vAlign w:val="bottom"/>
          </w:tcPr>
          <w:p w14:paraId="6BDB7583"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[Effect of translation to presentation currency]</w:t>
            </w:r>
          </w:p>
        </w:tc>
        <w:tc>
          <w:tcPr>
            <w:tcW w:w="567" w:type="dxa"/>
            <w:vAlign w:val="bottom"/>
          </w:tcPr>
          <w:p w14:paraId="5D3808DE"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49B9043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9E47EF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DE7854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25F19DF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145A8A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864EB8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2ACB5D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6C804F7" w14:textId="77777777" w:rsidR="008E5DE4" w:rsidRDefault="008E5DE4">
            <w:pPr>
              <w:widowControl w:val="0"/>
              <w:pBdr>
                <w:top w:val="nil"/>
                <w:left w:val="nil"/>
                <w:bottom w:val="nil"/>
                <w:right w:val="nil"/>
                <w:between w:val="nil"/>
              </w:pBdr>
              <w:jc w:val="right"/>
              <w:rPr>
                <w:color w:val="000000"/>
                <w:sz w:val="17"/>
                <w:szCs w:val="17"/>
              </w:rPr>
            </w:pPr>
          </w:p>
        </w:tc>
      </w:tr>
      <w:tr w:rsidR="008E5DE4" w14:paraId="75344D2C" w14:textId="77777777">
        <w:trPr>
          <w:cantSplit/>
          <w:tblHeader/>
        </w:trPr>
        <w:tc>
          <w:tcPr>
            <w:tcW w:w="2439" w:type="dxa"/>
            <w:vAlign w:val="bottom"/>
          </w:tcPr>
          <w:p w14:paraId="4FADC186"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Other</w:t>
            </w:r>
          </w:p>
        </w:tc>
        <w:tc>
          <w:tcPr>
            <w:tcW w:w="567" w:type="dxa"/>
            <w:vAlign w:val="bottom"/>
          </w:tcPr>
          <w:p w14:paraId="57E60CDE"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2F887CA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2233B5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CA800D9"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4355DE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E60FF73"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A34BB04"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3F752E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235636F" w14:textId="77777777" w:rsidR="008E5DE4" w:rsidRDefault="008E5DE4">
            <w:pPr>
              <w:widowControl w:val="0"/>
              <w:pBdr>
                <w:top w:val="nil"/>
                <w:left w:val="nil"/>
                <w:bottom w:val="nil"/>
                <w:right w:val="nil"/>
                <w:between w:val="nil"/>
              </w:pBdr>
              <w:jc w:val="right"/>
              <w:rPr>
                <w:color w:val="000000"/>
                <w:sz w:val="17"/>
                <w:szCs w:val="17"/>
              </w:rPr>
            </w:pPr>
          </w:p>
        </w:tc>
      </w:tr>
      <w:tr w:rsidR="008E5DE4" w14:paraId="742B49EA" w14:textId="77777777">
        <w:trPr>
          <w:cantSplit/>
          <w:tblHeader/>
        </w:trPr>
        <w:tc>
          <w:tcPr>
            <w:tcW w:w="2439" w:type="dxa"/>
            <w:tcBorders>
              <w:bottom w:val="single" w:sz="4" w:space="0" w:color="000000"/>
            </w:tcBorders>
            <w:vAlign w:val="bottom"/>
          </w:tcPr>
          <w:p w14:paraId="7281857F"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tcBorders>
              <w:bottom w:val="single" w:sz="4" w:space="0" w:color="000000"/>
            </w:tcBorders>
            <w:vAlign w:val="bottom"/>
          </w:tcPr>
          <w:p w14:paraId="6DEB445B"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4" w:space="0" w:color="000000"/>
            </w:tcBorders>
            <w:vAlign w:val="bottom"/>
          </w:tcPr>
          <w:p w14:paraId="75AA548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227AFBB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6318835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tcPr>
          <w:p w14:paraId="3E744A5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tcPr>
          <w:p w14:paraId="0E55F23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1239B0F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4A47128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4" w:space="0" w:color="000000"/>
            </w:tcBorders>
            <w:vAlign w:val="bottom"/>
          </w:tcPr>
          <w:p w14:paraId="239DB4BC" w14:textId="77777777" w:rsidR="008E5DE4" w:rsidRDefault="008E5DE4">
            <w:pPr>
              <w:widowControl w:val="0"/>
              <w:pBdr>
                <w:top w:val="nil"/>
                <w:left w:val="nil"/>
                <w:bottom w:val="nil"/>
                <w:right w:val="nil"/>
                <w:between w:val="nil"/>
              </w:pBdr>
              <w:jc w:val="right"/>
              <w:rPr>
                <w:color w:val="000000"/>
                <w:sz w:val="17"/>
                <w:szCs w:val="17"/>
              </w:rPr>
            </w:pPr>
          </w:p>
        </w:tc>
      </w:tr>
      <w:tr w:rsidR="008E5DE4" w14:paraId="0E2B7CFD" w14:textId="77777777">
        <w:trPr>
          <w:cantSplit/>
          <w:tblHeader/>
        </w:trPr>
        <w:tc>
          <w:tcPr>
            <w:tcW w:w="2439" w:type="dxa"/>
            <w:vAlign w:val="bottom"/>
          </w:tcPr>
          <w:p w14:paraId="3BBF89FF"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vAlign w:val="bottom"/>
          </w:tcPr>
          <w:p w14:paraId="3E1DDC5F"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1A9BEF1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B30499A"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68489A3"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5A11340"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F6C3A57"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6070F5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7E57B5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9B98B8D" w14:textId="77777777" w:rsidR="008E5DE4" w:rsidRDefault="008E5DE4">
            <w:pPr>
              <w:widowControl w:val="0"/>
              <w:pBdr>
                <w:top w:val="nil"/>
                <w:left w:val="nil"/>
                <w:bottom w:val="nil"/>
                <w:right w:val="nil"/>
                <w:between w:val="nil"/>
              </w:pBdr>
              <w:jc w:val="right"/>
              <w:rPr>
                <w:color w:val="000000"/>
                <w:sz w:val="17"/>
                <w:szCs w:val="17"/>
              </w:rPr>
            </w:pPr>
          </w:p>
        </w:tc>
      </w:tr>
      <w:tr w:rsidR="008E5DE4" w14:paraId="3843659F" w14:textId="77777777">
        <w:trPr>
          <w:cantSplit/>
          <w:tblHeader/>
        </w:trPr>
        <w:tc>
          <w:tcPr>
            <w:tcW w:w="2439" w:type="dxa"/>
            <w:vAlign w:val="bottom"/>
          </w:tcPr>
          <w:p w14:paraId="3566A471" w14:textId="21BC98F9" w:rsidR="008E5DE4" w:rsidRDefault="00780368">
            <w:pPr>
              <w:widowControl w:val="0"/>
              <w:pBdr>
                <w:top w:val="nil"/>
                <w:left w:val="nil"/>
                <w:bottom w:val="nil"/>
                <w:right w:val="nil"/>
                <w:between w:val="nil"/>
              </w:pBdr>
              <w:ind w:left="113" w:right="-57" w:hanging="113"/>
              <w:rPr>
                <w:b/>
                <w:color w:val="000000"/>
                <w:sz w:val="17"/>
                <w:szCs w:val="17"/>
              </w:rPr>
            </w:pPr>
            <w:r>
              <w:rPr>
                <w:b/>
                <w:color w:val="000000"/>
                <w:sz w:val="17"/>
                <w:szCs w:val="17"/>
              </w:rPr>
              <w:t xml:space="preserve">Carrying amount </w:t>
            </w:r>
            <w:proofErr w:type="gramStart"/>
            <w:r>
              <w:rPr>
                <w:b/>
                <w:color w:val="000000"/>
                <w:sz w:val="17"/>
                <w:szCs w:val="17"/>
              </w:rPr>
              <w:t>at</w:t>
            </w:r>
            <w:proofErr w:type="gramEnd"/>
            <w:r>
              <w:rPr>
                <w:b/>
                <w:color w:val="000000"/>
                <w:sz w:val="17"/>
                <w:szCs w:val="17"/>
              </w:rPr>
              <w:t xml:space="preserve"> 31 December </w:t>
            </w:r>
            <w:r w:rsidR="008614F8">
              <w:rPr>
                <w:b/>
                <w:color w:val="000000"/>
                <w:sz w:val="17"/>
                <w:szCs w:val="17"/>
              </w:rPr>
              <w:t>2025</w:t>
            </w:r>
          </w:p>
        </w:tc>
        <w:tc>
          <w:tcPr>
            <w:tcW w:w="567" w:type="dxa"/>
            <w:vAlign w:val="bottom"/>
          </w:tcPr>
          <w:p w14:paraId="3DBF552C" w14:textId="77777777" w:rsidR="008E5DE4" w:rsidRDefault="008E5DE4">
            <w:pPr>
              <w:widowControl w:val="0"/>
              <w:pBdr>
                <w:top w:val="nil"/>
                <w:left w:val="nil"/>
                <w:bottom w:val="nil"/>
                <w:right w:val="nil"/>
                <w:between w:val="nil"/>
              </w:pBdr>
              <w:ind w:right="-57"/>
              <w:rPr>
                <w:b/>
                <w:color w:val="000000"/>
                <w:sz w:val="17"/>
                <w:szCs w:val="17"/>
              </w:rPr>
            </w:pPr>
          </w:p>
        </w:tc>
        <w:tc>
          <w:tcPr>
            <w:tcW w:w="794" w:type="dxa"/>
            <w:vAlign w:val="bottom"/>
          </w:tcPr>
          <w:p w14:paraId="703355D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C70352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7B3E75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BBDF9A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21F2C7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10F8F4C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9D2FDD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6E61C805" w14:textId="77777777" w:rsidR="008E5DE4" w:rsidRDefault="008E5DE4">
            <w:pPr>
              <w:widowControl w:val="0"/>
              <w:pBdr>
                <w:top w:val="nil"/>
                <w:left w:val="nil"/>
                <w:bottom w:val="nil"/>
                <w:right w:val="nil"/>
                <w:between w:val="nil"/>
              </w:pBdr>
              <w:jc w:val="right"/>
              <w:rPr>
                <w:color w:val="000000"/>
                <w:sz w:val="17"/>
                <w:szCs w:val="17"/>
              </w:rPr>
            </w:pPr>
          </w:p>
        </w:tc>
      </w:tr>
      <w:tr w:rsidR="008E5DE4" w14:paraId="486C19ED" w14:textId="77777777">
        <w:trPr>
          <w:cantSplit/>
          <w:tblHeader/>
        </w:trPr>
        <w:tc>
          <w:tcPr>
            <w:tcW w:w="2439" w:type="dxa"/>
            <w:tcBorders>
              <w:bottom w:val="single" w:sz="12" w:space="0" w:color="000000"/>
            </w:tcBorders>
            <w:vAlign w:val="bottom"/>
          </w:tcPr>
          <w:p w14:paraId="0C9E5DB4"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tcBorders>
              <w:bottom w:val="single" w:sz="12" w:space="0" w:color="000000"/>
            </w:tcBorders>
            <w:vAlign w:val="bottom"/>
          </w:tcPr>
          <w:p w14:paraId="327D8D2C"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12" w:space="0" w:color="000000"/>
            </w:tcBorders>
            <w:vAlign w:val="bottom"/>
          </w:tcPr>
          <w:p w14:paraId="159D8F1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5887A22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666567F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tcPr>
          <w:p w14:paraId="5B537EB2"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tcPr>
          <w:p w14:paraId="2D30636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34635AF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62A56DB3"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7F6E602A" w14:textId="77777777" w:rsidR="008E5DE4" w:rsidRDefault="008E5DE4">
            <w:pPr>
              <w:widowControl w:val="0"/>
              <w:pBdr>
                <w:top w:val="nil"/>
                <w:left w:val="nil"/>
                <w:bottom w:val="nil"/>
                <w:right w:val="nil"/>
                <w:between w:val="nil"/>
              </w:pBdr>
              <w:jc w:val="right"/>
              <w:rPr>
                <w:color w:val="000000"/>
                <w:sz w:val="17"/>
                <w:szCs w:val="17"/>
              </w:rPr>
            </w:pPr>
          </w:p>
        </w:tc>
      </w:tr>
      <w:tr w:rsidR="008E5DE4" w14:paraId="1ECCD551" w14:textId="77777777">
        <w:trPr>
          <w:cantSplit/>
          <w:tblHeader/>
        </w:trPr>
        <w:tc>
          <w:tcPr>
            <w:tcW w:w="2439" w:type="dxa"/>
            <w:tcBorders>
              <w:top w:val="single" w:sz="12" w:space="0" w:color="000000"/>
            </w:tcBorders>
            <w:vAlign w:val="bottom"/>
          </w:tcPr>
          <w:p w14:paraId="762B7DE0"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tcBorders>
              <w:top w:val="single" w:sz="12" w:space="0" w:color="000000"/>
            </w:tcBorders>
            <w:vAlign w:val="bottom"/>
          </w:tcPr>
          <w:p w14:paraId="7D88DFF9"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top w:val="single" w:sz="12" w:space="0" w:color="000000"/>
            </w:tcBorders>
            <w:vAlign w:val="bottom"/>
          </w:tcPr>
          <w:p w14:paraId="07055F5A"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7427B7F7"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32C9686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tcPr>
          <w:p w14:paraId="73B62F92"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tcPr>
          <w:p w14:paraId="2F4BE82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0E16F52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21C83EE6"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top w:val="single" w:sz="12" w:space="0" w:color="000000"/>
            </w:tcBorders>
            <w:vAlign w:val="bottom"/>
          </w:tcPr>
          <w:p w14:paraId="1A21D3F3" w14:textId="77777777" w:rsidR="008E5DE4" w:rsidRDefault="008E5DE4">
            <w:pPr>
              <w:widowControl w:val="0"/>
              <w:pBdr>
                <w:top w:val="nil"/>
                <w:left w:val="nil"/>
                <w:bottom w:val="nil"/>
                <w:right w:val="nil"/>
                <w:between w:val="nil"/>
              </w:pBdr>
              <w:jc w:val="right"/>
              <w:rPr>
                <w:color w:val="000000"/>
                <w:sz w:val="17"/>
                <w:szCs w:val="17"/>
              </w:rPr>
            </w:pPr>
          </w:p>
        </w:tc>
      </w:tr>
      <w:tr w:rsidR="008E5DE4" w14:paraId="4E0580B7" w14:textId="77777777">
        <w:trPr>
          <w:cantSplit/>
          <w:tblHeader/>
        </w:trPr>
        <w:tc>
          <w:tcPr>
            <w:tcW w:w="2439" w:type="dxa"/>
            <w:vAlign w:val="bottom"/>
          </w:tcPr>
          <w:p w14:paraId="33203535" w14:textId="0E1B4355"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Cost </w:t>
            </w:r>
            <w:r>
              <w:rPr>
                <w:color w:val="0000FF"/>
                <w:sz w:val="17"/>
                <w:szCs w:val="17"/>
              </w:rPr>
              <w:t>[or valuation]</w:t>
            </w:r>
            <w:r>
              <w:rPr>
                <w:color w:val="000000"/>
                <w:sz w:val="17"/>
                <w:szCs w:val="17"/>
              </w:rPr>
              <w:t xml:space="preserve"> </w:t>
            </w:r>
            <w:proofErr w:type="gramStart"/>
            <w:r>
              <w:rPr>
                <w:color w:val="000000"/>
                <w:sz w:val="17"/>
                <w:szCs w:val="17"/>
              </w:rPr>
              <w:t>at</w:t>
            </w:r>
            <w:proofErr w:type="gramEnd"/>
            <w:r>
              <w:rPr>
                <w:color w:val="000000"/>
                <w:sz w:val="17"/>
                <w:szCs w:val="17"/>
              </w:rPr>
              <w:t xml:space="preserve"> 31 December </w:t>
            </w:r>
            <w:r w:rsidR="008614F8">
              <w:rPr>
                <w:color w:val="000000"/>
                <w:sz w:val="17"/>
                <w:szCs w:val="17"/>
              </w:rPr>
              <w:t>2025</w:t>
            </w:r>
          </w:p>
        </w:tc>
        <w:tc>
          <w:tcPr>
            <w:tcW w:w="567" w:type="dxa"/>
            <w:vAlign w:val="bottom"/>
          </w:tcPr>
          <w:p w14:paraId="75A5EF3E" w14:textId="77777777" w:rsidR="008E5DE4" w:rsidRDefault="008E5DE4">
            <w:pPr>
              <w:widowControl w:val="0"/>
              <w:pBdr>
                <w:top w:val="nil"/>
                <w:left w:val="nil"/>
                <w:bottom w:val="nil"/>
                <w:right w:val="nil"/>
                <w:between w:val="nil"/>
              </w:pBdr>
              <w:ind w:right="-57"/>
              <w:rPr>
                <w:color w:val="000000"/>
                <w:sz w:val="17"/>
                <w:szCs w:val="17"/>
              </w:rPr>
            </w:pPr>
          </w:p>
        </w:tc>
        <w:tc>
          <w:tcPr>
            <w:tcW w:w="794" w:type="dxa"/>
            <w:vAlign w:val="bottom"/>
          </w:tcPr>
          <w:p w14:paraId="79D8182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22483E2"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DE479F2"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41273B1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911C24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9572C7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0051585A"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BB731FC" w14:textId="77777777" w:rsidR="008E5DE4" w:rsidRDefault="008E5DE4">
            <w:pPr>
              <w:widowControl w:val="0"/>
              <w:pBdr>
                <w:top w:val="nil"/>
                <w:left w:val="nil"/>
                <w:bottom w:val="nil"/>
                <w:right w:val="nil"/>
                <w:between w:val="nil"/>
              </w:pBdr>
              <w:jc w:val="right"/>
              <w:rPr>
                <w:color w:val="000000"/>
                <w:sz w:val="17"/>
                <w:szCs w:val="17"/>
              </w:rPr>
            </w:pPr>
          </w:p>
        </w:tc>
      </w:tr>
      <w:tr w:rsidR="008E5DE4" w14:paraId="05414986" w14:textId="77777777">
        <w:trPr>
          <w:cantSplit/>
          <w:tblHeader/>
        </w:trPr>
        <w:tc>
          <w:tcPr>
            <w:tcW w:w="2439" w:type="dxa"/>
            <w:vAlign w:val="bottom"/>
          </w:tcPr>
          <w:p w14:paraId="4427D17C" w14:textId="77777777" w:rsidR="008E5DE4" w:rsidRDefault="00780368">
            <w:pPr>
              <w:widowControl w:val="0"/>
              <w:pBdr>
                <w:top w:val="nil"/>
                <w:left w:val="nil"/>
                <w:bottom w:val="nil"/>
                <w:right w:val="nil"/>
                <w:between w:val="nil"/>
              </w:pBdr>
              <w:ind w:left="113" w:right="-57" w:hanging="113"/>
              <w:rPr>
                <w:color w:val="000000"/>
                <w:sz w:val="17"/>
                <w:szCs w:val="17"/>
              </w:rPr>
            </w:pPr>
            <w:r>
              <w:rPr>
                <w:color w:val="000000"/>
                <w:sz w:val="17"/>
                <w:szCs w:val="17"/>
              </w:rPr>
              <w:t xml:space="preserve">Accumulated depreciation </w:t>
            </w:r>
          </w:p>
        </w:tc>
        <w:tc>
          <w:tcPr>
            <w:tcW w:w="567" w:type="dxa"/>
            <w:vAlign w:val="bottom"/>
          </w:tcPr>
          <w:p w14:paraId="469C5631"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76A36EF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6E4D969"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4758FB3"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6D1697E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6CF2708"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24191FC5"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2E49571"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645F7D4" w14:textId="77777777" w:rsidR="008E5DE4" w:rsidRDefault="008E5DE4">
            <w:pPr>
              <w:widowControl w:val="0"/>
              <w:pBdr>
                <w:top w:val="nil"/>
                <w:left w:val="nil"/>
                <w:bottom w:val="nil"/>
                <w:right w:val="nil"/>
                <w:between w:val="nil"/>
              </w:pBdr>
              <w:jc w:val="right"/>
              <w:rPr>
                <w:color w:val="000000"/>
                <w:sz w:val="17"/>
                <w:szCs w:val="17"/>
              </w:rPr>
            </w:pPr>
          </w:p>
        </w:tc>
      </w:tr>
      <w:tr w:rsidR="008E5DE4" w14:paraId="0034DE45" w14:textId="77777777">
        <w:trPr>
          <w:cantSplit/>
          <w:tblHeader/>
        </w:trPr>
        <w:tc>
          <w:tcPr>
            <w:tcW w:w="2439" w:type="dxa"/>
            <w:tcBorders>
              <w:bottom w:val="single" w:sz="4" w:space="0" w:color="000000"/>
            </w:tcBorders>
            <w:vAlign w:val="bottom"/>
          </w:tcPr>
          <w:p w14:paraId="34AE546D"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tcBorders>
              <w:bottom w:val="single" w:sz="4" w:space="0" w:color="000000"/>
            </w:tcBorders>
            <w:vAlign w:val="bottom"/>
          </w:tcPr>
          <w:p w14:paraId="1EE99CA9"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4" w:space="0" w:color="000000"/>
            </w:tcBorders>
            <w:vAlign w:val="bottom"/>
          </w:tcPr>
          <w:p w14:paraId="032BC8AE"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41BE610D"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3F9DFF26"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tcPr>
          <w:p w14:paraId="2B5233F7"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tcPr>
          <w:p w14:paraId="0BA0586F"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216D5BAA"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7B624B37"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Borders>
              <w:bottom w:val="single" w:sz="4" w:space="0" w:color="000000"/>
            </w:tcBorders>
            <w:vAlign w:val="bottom"/>
          </w:tcPr>
          <w:p w14:paraId="04EC819C" w14:textId="77777777" w:rsidR="008E5DE4" w:rsidRDefault="008E5DE4">
            <w:pPr>
              <w:widowControl w:val="0"/>
              <w:pBdr>
                <w:top w:val="nil"/>
                <w:left w:val="nil"/>
                <w:bottom w:val="nil"/>
                <w:right w:val="nil"/>
                <w:between w:val="nil"/>
              </w:pBdr>
              <w:jc w:val="right"/>
              <w:rPr>
                <w:b/>
                <w:color w:val="000000"/>
                <w:sz w:val="17"/>
                <w:szCs w:val="17"/>
              </w:rPr>
            </w:pPr>
          </w:p>
        </w:tc>
      </w:tr>
      <w:tr w:rsidR="008E5DE4" w14:paraId="65D605E9" w14:textId="77777777">
        <w:trPr>
          <w:cantSplit/>
          <w:tblHeader/>
        </w:trPr>
        <w:tc>
          <w:tcPr>
            <w:tcW w:w="2439" w:type="dxa"/>
            <w:vAlign w:val="bottom"/>
          </w:tcPr>
          <w:p w14:paraId="073FB112" w14:textId="77777777" w:rsidR="008E5DE4" w:rsidRDefault="008E5DE4">
            <w:pPr>
              <w:widowControl w:val="0"/>
              <w:pBdr>
                <w:top w:val="nil"/>
                <w:left w:val="nil"/>
                <w:bottom w:val="nil"/>
                <w:right w:val="nil"/>
                <w:between w:val="nil"/>
              </w:pBdr>
              <w:ind w:left="113" w:right="-57" w:hanging="113"/>
              <w:rPr>
                <w:color w:val="000000"/>
                <w:sz w:val="17"/>
                <w:szCs w:val="17"/>
              </w:rPr>
            </w:pPr>
          </w:p>
        </w:tc>
        <w:tc>
          <w:tcPr>
            <w:tcW w:w="567" w:type="dxa"/>
            <w:vAlign w:val="bottom"/>
          </w:tcPr>
          <w:p w14:paraId="3178B544"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vAlign w:val="bottom"/>
          </w:tcPr>
          <w:p w14:paraId="7ECEBC9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C2702EE"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5FA83A8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53DB281C" w14:textId="77777777" w:rsidR="008E5DE4" w:rsidRDefault="008E5DE4">
            <w:pPr>
              <w:widowControl w:val="0"/>
              <w:pBdr>
                <w:top w:val="nil"/>
                <w:left w:val="nil"/>
                <w:bottom w:val="nil"/>
                <w:right w:val="nil"/>
                <w:between w:val="nil"/>
              </w:pBdr>
              <w:jc w:val="right"/>
              <w:rPr>
                <w:color w:val="000000"/>
                <w:sz w:val="17"/>
                <w:szCs w:val="17"/>
              </w:rPr>
            </w:pPr>
          </w:p>
        </w:tc>
        <w:tc>
          <w:tcPr>
            <w:tcW w:w="794" w:type="dxa"/>
          </w:tcPr>
          <w:p w14:paraId="199EA1CD"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75B1F0F6"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4676161C" w14:textId="77777777" w:rsidR="008E5DE4" w:rsidRDefault="008E5DE4">
            <w:pPr>
              <w:widowControl w:val="0"/>
              <w:pBdr>
                <w:top w:val="nil"/>
                <w:left w:val="nil"/>
                <w:bottom w:val="nil"/>
                <w:right w:val="nil"/>
                <w:between w:val="nil"/>
              </w:pBdr>
              <w:jc w:val="right"/>
              <w:rPr>
                <w:color w:val="000000"/>
                <w:sz w:val="17"/>
                <w:szCs w:val="17"/>
              </w:rPr>
            </w:pPr>
          </w:p>
        </w:tc>
        <w:tc>
          <w:tcPr>
            <w:tcW w:w="794" w:type="dxa"/>
            <w:vAlign w:val="bottom"/>
          </w:tcPr>
          <w:p w14:paraId="3B3B1D0B" w14:textId="77777777" w:rsidR="008E5DE4" w:rsidRDefault="008E5DE4">
            <w:pPr>
              <w:widowControl w:val="0"/>
              <w:pBdr>
                <w:top w:val="nil"/>
                <w:left w:val="nil"/>
                <w:bottom w:val="nil"/>
                <w:right w:val="nil"/>
                <w:between w:val="nil"/>
              </w:pBdr>
              <w:jc w:val="right"/>
              <w:rPr>
                <w:color w:val="000000"/>
                <w:sz w:val="17"/>
                <w:szCs w:val="17"/>
              </w:rPr>
            </w:pPr>
          </w:p>
        </w:tc>
      </w:tr>
      <w:tr w:rsidR="008E5DE4" w14:paraId="4868341C" w14:textId="77777777">
        <w:trPr>
          <w:cantSplit/>
          <w:tblHeader/>
        </w:trPr>
        <w:tc>
          <w:tcPr>
            <w:tcW w:w="2439" w:type="dxa"/>
            <w:vAlign w:val="bottom"/>
          </w:tcPr>
          <w:p w14:paraId="5EADB075" w14:textId="68C2F7A7" w:rsidR="008E5DE4" w:rsidRDefault="00780368">
            <w:pPr>
              <w:widowControl w:val="0"/>
              <w:pBdr>
                <w:top w:val="nil"/>
                <w:left w:val="nil"/>
                <w:bottom w:val="nil"/>
                <w:right w:val="nil"/>
                <w:between w:val="nil"/>
              </w:pBdr>
              <w:ind w:left="113" w:right="-57" w:hanging="113"/>
              <w:rPr>
                <w:b/>
                <w:color w:val="000000"/>
                <w:sz w:val="17"/>
                <w:szCs w:val="17"/>
              </w:rPr>
            </w:pPr>
            <w:r>
              <w:rPr>
                <w:b/>
                <w:color w:val="000000"/>
                <w:sz w:val="17"/>
                <w:szCs w:val="17"/>
              </w:rPr>
              <w:t xml:space="preserve">Carrying amount </w:t>
            </w:r>
            <w:proofErr w:type="gramStart"/>
            <w:r>
              <w:rPr>
                <w:b/>
                <w:color w:val="000000"/>
                <w:sz w:val="17"/>
                <w:szCs w:val="17"/>
              </w:rPr>
              <w:t>at</w:t>
            </w:r>
            <w:proofErr w:type="gramEnd"/>
            <w:r>
              <w:rPr>
                <w:b/>
                <w:color w:val="000000"/>
                <w:sz w:val="17"/>
                <w:szCs w:val="17"/>
              </w:rPr>
              <w:t xml:space="preserve"> 31 December </w:t>
            </w:r>
            <w:r w:rsidR="008614F8">
              <w:rPr>
                <w:b/>
                <w:color w:val="000000"/>
                <w:sz w:val="17"/>
                <w:szCs w:val="17"/>
              </w:rPr>
              <w:t>2025</w:t>
            </w:r>
          </w:p>
        </w:tc>
        <w:tc>
          <w:tcPr>
            <w:tcW w:w="567" w:type="dxa"/>
            <w:vAlign w:val="bottom"/>
          </w:tcPr>
          <w:p w14:paraId="48575929" w14:textId="77777777" w:rsidR="008E5DE4" w:rsidRDefault="008E5DE4">
            <w:pPr>
              <w:widowControl w:val="0"/>
              <w:pBdr>
                <w:top w:val="nil"/>
                <w:left w:val="nil"/>
                <w:bottom w:val="nil"/>
                <w:right w:val="nil"/>
                <w:between w:val="nil"/>
              </w:pBdr>
              <w:ind w:right="-57"/>
              <w:rPr>
                <w:b/>
                <w:color w:val="000000"/>
                <w:sz w:val="17"/>
                <w:szCs w:val="17"/>
              </w:rPr>
            </w:pPr>
          </w:p>
        </w:tc>
        <w:tc>
          <w:tcPr>
            <w:tcW w:w="794" w:type="dxa"/>
            <w:vAlign w:val="bottom"/>
          </w:tcPr>
          <w:p w14:paraId="5A045FDF"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74DED004"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22DF19C6"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63EC7F31"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tcPr>
          <w:p w14:paraId="02D878D6"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45A04AC9"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3161DED5" w14:textId="77777777" w:rsidR="008E5DE4" w:rsidRDefault="008E5DE4">
            <w:pPr>
              <w:widowControl w:val="0"/>
              <w:pBdr>
                <w:top w:val="nil"/>
                <w:left w:val="nil"/>
                <w:bottom w:val="nil"/>
                <w:right w:val="nil"/>
                <w:between w:val="nil"/>
              </w:pBdr>
              <w:jc w:val="right"/>
              <w:rPr>
                <w:b/>
                <w:color w:val="000000"/>
                <w:sz w:val="17"/>
                <w:szCs w:val="17"/>
              </w:rPr>
            </w:pPr>
          </w:p>
        </w:tc>
        <w:tc>
          <w:tcPr>
            <w:tcW w:w="794" w:type="dxa"/>
            <w:vAlign w:val="bottom"/>
          </w:tcPr>
          <w:p w14:paraId="12AE6BBF" w14:textId="77777777" w:rsidR="008E5DE4" w:rsidRDefault="008E5DE4">
            <w:pPr>
              <w:widowControl w:val="0"/>
              <w:pBdr>
                <w:top w:val="nil"/>
                <w:left w:val="nil"/>
                <w:bottom w:val="nil"/>
                <w:right w:val="nil"/>
                <w:between w:val="nil"/>
              </w:pBdr>
              <w:jc w:val="right"/>
              <w:rPr>
                <w:b/>
                <w:color w:val="000000"/>
                <w:sz w:val="17"/>
                <w:szCs w:val="17"/>
              </w:rPr>
            </w:pPr>
          </w:p>
        </w:tc>
      </w:tr>
      <w:tr w:rsidR="008E5DE4" w14:paraId="22623AC0" w14:textId="77777777">
        <w:trPr>
          <w:cantSplit/>
          <w:tblHeader/>
        </w:trPr>
        <w:tc>
          <w:tcPr>
            <w:tcW w:w="2439" w:type="dxa"/>
            <w:tcBorders>
              <w:bottom w:val="single" w:sz="12" w:space="0" w:color="000000"/>
            </w:tcBorders>
            <w:vAlign w:val="bottom"/>
          </w:tcPr>
          <w:p w14:paraId="60A3F913" w14:textId="77777777" w:rsidR="008E5DE4" w:rsidRDefault="008E5DE4">
            <w:pPr>
              <w:widowControl w:val="0"/>
              <w:pBdr>
                <w:top w:val="nil"/>
                <w:left w:val="nil"/>
                <w:bottom w:val="nil"/>
                <w:right w:val="nil"/>
                <w:between w:val="nil"/>
              </w:pBdr>
              <w:ind w:left="113" w:right="-57" w:hanging="113"/>
              <w:rPr>
                <w:b/>
                <w:color w:val="000000"/>
                <w:sz w:val="17"/>
                <w:szCs w:val="17"/>
              </w:rPr>
            </w:pPr>
          </w:p>
        </w:tc>
        <w:tc>
          <w:tcPr>
            <w:tcW w:w="567" w:type="dxa"/>
            <w:tcBorders>
              <w:bottom w:val="single" w:sz="12" w:space="0" w:color="000000"/>
            </w:tcBorders>
            <w:vAlign w:val="bottom"/>
          </w:tcPr>
          <w:p w14:paraId="0D97451E" w14:textId="77777777" w:rsidR="008E5DE4" w:rsidRDefault="008E5DE4">
            <w:pPr>
              <w:widowControl w:val="0"/>
              <w:pBdr>
                <w:top w:val="nil"/>
                <w:left w:val="nil"/>
                <w:bottom w:val="nil"/>
                <w:right w:val="nil"/>
                <w:between w:val="nil"/>
              </w:pBdr>
              <w:ind w:left="-57" w:right="-57"/>
              <w:jc w:val="center"/>
              <w:rPr>
                <w:color w:val="000000"/>
                <w:sz w:val="17"/>
                <w:szCs w:val="17"/>
              </w:rPr>
            </w:pPr>
          </w:p>
        </w:tc>
        <w:tc>
          <w:tcPr>
            <w:tcW w:w="794" w:type="dxa"/>
            <w:tcBorders>
              <w:bottom w:val="single" w:sz="12" w:space="0" w:color="000000"/>
            </w:tcBorders>
            <w:vAlign w:val="bottom"/>
          </w:tcPr>
          <w:p w14:paraId="7F4342FF"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526E2C31"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67A241D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tcPr>
          <w:p w14:paraId="56C5DB55"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tcPr>
          <w:p w14:paraId="7F7C251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58A8D68D"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603BB35E" w14:textId="77777777" w:rsidR="008E5DE4" w:rsidRDefault="008E5DE4">
            <w:pPr>
              <w:widowControl w:val="0"/>
              <w:pBdr>
                <w:top w:val="nil"/>
                <w:left w:val="nil"/>
                <w:bottom w:val="nil"/>
                <w:right w:val="nil"/>
                <w:between w:val="nil"/>
              </w:pBdr>
              <w:jc w:val="right"/>
              <w:rPr>
                <w:color w:val="000000"/>
                <w:sz w:val="17"/>
                <w:szCs w:val="17"/>
              </w:rPr>
            </w:pPr>
          </w:p>
        </w:tc>
        <w:tc>
          <w:tcPr>
            <w:tcW w:w="794" w:type="dxa"/>
            <w:tcBorders>
              <w:bottom w:val="single" w:sz="12" w:space="0" w:color="000000"/>
            </w:tcBorders>
            <w:vAlign w:val="bottom"/>
          </w:tcPr>
          <w:p w14:paraId="6D5CF650" w14:textId="77777777" w:rsidR="008E5DE4" w:rsidRDefault="008E5DE4">
            <w:pPr>
              <w:widowControl w:val="0"/>
              <w:pBdr>
                <w:top w:val="nil"/>
                <w:left w:val="nil"/>
                <w:bottom w:val="nil"/>
                <w:right w:val="nil"/>
                <w:between w:val="nil"/>
              </w:pBdr>
              <w:jc w:val="right"/>
              <w:rPr>
                <w:color w:val="000000"/>
                <w:sz w:val="17"/>
                <w:szCs w:val="17"/>
              </w:rPr>
            </w:pPr>
          </w:p>
        </w:tc>
      </w:tr>
    </w:tbl>
    <w:p w14:paraId="6ACEC496" w14:textId="47929D62" w:rsidR="008E5DE4" w:rsidRDefault="00780368" w:rsidP="00D713AE">
      <w:pPr>
        <w:widowControl w:val="0"/>
        <w:pBdr>
          <w:top w:val="nil"/>
          <w:left w:val="nil"/>
          <w:bottom w:val="nil"/>
          <w:right w:val="nil"/>
          <w:between w:val="nil"/>
        </w:pBdr>
        <w:spacing w:before="200" w:after="200"/>
        <w:jc w:val="both"/>
        <w:rPr>
          <w:i/>
          <w:color w:val="FF0000"/>
          <w:sz w:val="20"/>
          <w:szCs w:val="20"/>
        </w:rPr>
      </w:pPr>
      <w:r>
        <w:rPr>
          <w:i/>
          <w:color w:val="FF0000"/>
          <w:sz w:val="20"/>
          <w:szCs w:val="20"/>
        </w:rPr>
        <w:t xml:space="preserve"> </w:t>
      </w:r>
    </w:p>
    <w:p w14:paraId="76785F58"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02EEACCE"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9</w:t>
      </w:r>
      <w:r>
        <w:rPr>
          <w:b/>
          <w:color w:val="000000"/>
          <w:sz w:val="20"/>
          <w:szCs w:val="20"/>
        </w:rPr>
        <w:tab/>
        <w:t>Property, Plant and Equipment (Continued)</w:t>
      </w:r>
    </w:p>
    <w:p w14:paraId="19681BCD" w14:textId="77777777" w:rsidR="008E5DE4" w:rsidRDefault="00780368">
      <w:pPr>
        <w:widowControl w:val="0"/>
        <w:pBdr>
          <w:top w:val="nil"/>
          <w:left w:val="nil"/>
          <w:bottom w:val="nil"/>
          <w:right w:val="nil"/>
          <w:between w:val="nil"/>
        </w:pBdr>
        <w:spacing w:before="200" w:after="200"/>
        <w:jc w:val="both"/>
        <w:rPr>
          <w:i/>
          <w:color w:val="FF0000"/>
          <w:sz w:val="20"/>
          <w:szCs w:val="20"/>
        </w:rPr>
      </w:pPr>
      <w:r>
        <w:rPr>
          <w:i/>
          <w:color w:val="0000FF"/>
          <w:sz w:val="20"/>
          <w:szCs w:val="20"/>
        </w:rPr>
        <w:t>[If right-of-use assets are presented within property, plant and equipment, disclosure in respect of the assets shall also meet requirements of IFRS 16. In this case the right-of-use assets (in our example the Group leases land) shall be presented as a separate class of PPE in the table above as follows:</w:t>
      </w:r>
    </w:p>
    <w:tbl>
      <w:tblPr>
        <w:tblStyle w:val="aff4"/>
        <w:tblW w:w="9466" w:type="dxa"/>
        <w:tblLayout w:type="fixed"/>
        <w:tblLook w:val="0000" w:firstRow="0" w:lastRow="0" w:firstColumn="0" w:lastColumn="0" w:noHBand="0" w:noVBand="0"/>
      </w:tblPr>
      <w:tblGrid>
        <w:gridCol w:w="2014"/>
        <w:gridCol w:w="567"/>
        <w:gridCol w:w="765"/>
        <w:gridCol w:w="765"/>
        <w:gridCol w:w="765"/>
        <w:gridCol w:w="765"/>
        <w:gridCol w:w="765"/>
        <w:gridCol w:w="765"/>
        <w:gridCol w:w="765"/>
        <w:gridCol w:w="765"/>
        <w:gridCol w:w="765"/>
      </w:tblGrid>
      <w:tr w:rsidR="008E5DE4" w14:paraId="6AA786DB" w14:textId="77777777">
        <w:trPr>
          <w:cantSplit/>
          <w:tblHeader/>
        </w:trPr>
        <w:tc>
          <w:tcPr>
            <w:tcW w:w="2014" w:type="dxa"/>
            <w:tcBorders>
              <w:bottom w:val="single" w:sz="4" w:space="0" w:color="000000"/>
            </w:tcBorders>
            <w:vAlign w:val="bottom"/>
          </w:tcPr>
          <w:p w14:paraId="49FF4D75" w14:textId="77777777" w:rsidR="008E5DE4" w:rsidRDefault="00780368">
            <w:pPr>
              <w:widowControl w:val="0"/>
              <w:pBdr>
                <w:top w:val="nil"/>
                <w:left w:val="nil"/>
                <w:bottom w:val="nil"/>
                <w:right w:val="nil"/>
                <w:between w:val="nil"/>
              </w:pBdr>
              <w:ind w:left="113" w:right="-57" w:hanging="113"/>
              <w:rPr>
                <w:b/>
                <w:i/>
                <w:color w:val="0000FF"/>
                <w:sz w:val="17"/>
                <w:szCs w:val="17"/>
              </w:rPr>
            </w:pPr>
            <w:r>
              <w:rPr>
                <w:i/>
                <w:color w:val="0000FF"/>
                <w:sz w:val="17"/>
                <w:szCs w:val="17"/>
              </w:rPr>
              <w:t>In thousands of EUR</w:t>
            </w:r>
          </w:p>
        </w:tc>
        <w:tc>
          <w:tcPr>
            <w:tcW w:w="567" w:type="dxa"/>
            <w:tcBorders>
              <w:bottom w:val="single" w:sz="4" w:space="0" w:color="000000"/>
            </w:tcBorders>
            <w:vAlign w:val="bottom"/>
          </w:tcPr>
          <w:p w14:paraId="624B6502" w14:textId="77777777" w:rsidR="008E5DE4" w:rsidRDefault="00780368">
            <w:pPr>
              <w:widowControl w:val="0"/>
              <w:pBdr>
                <w:top w:val="nil"/>
                <w:left w:val="nil"/>
                <w:bottom w:val="nil"/>
                <w:right w:val="nil"/>
                <w:between w:val="nil"/>
              </w:pBdr>
              <w:ind w:left="-57" w:right="-57"/>
              <w:jc w:val="center"/>
              <w:rPr>
                <w:b/>
                <w:color w:val="0000FF"/>
                <w:sz w:val="17"/>
                <w:szCs w:val="17"/>
              </w:rPr>
            </w:pPr>
            <w:r>
              <w:rPr>
                <w:b/>
                <w:color w:val="0000FF"/>
                <w:sz w:val="17"/>
                <w:szCs w:val="17"/>
              </w:rPr>
              <w:t>Note</w:t>
            </w:r>
          </w:p>
        </w:tc>
        <w:tc>
          <w:tcPr>
            <w:tcW w:w="765" w:type="dxa"/>
            <w:tcBorders>
              <w:bottom w:val="single" w:sz="4" w:space="0" w:color="000000"/>
            </w:tcBorders>
          </w:tcPr>
          <w:p w14:paraId="016EDFF6"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 xml:space="preserve">Free-hold Land </w:t>
            </w:r>
          </w:p>
        </w:tc>
        <w:tc>
          <w:tcPr>
            <w:tcW w:w="765" w:type="dxa"/>
            <w:tcBorders>
              <w:bottom w:val="single" w:sz="4" w:space="0" w:color="000000"/>
            </w:tcBorders>
          </w:tcPr>
          <w:p w14:paraId="159298DE"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Right-of-use asset – land</w:t>
            </w:r>
          </w:p>
        </w:tc>
        <w:tc>
          <w:tcPr>
            <w:tcW w:w="765" w:type="dxa"/>
            <w:tcBorders>
              <w:bottom w:val="single" w:sz="4" w:space="0" w:color="000000"/>
            </w:tcBorders>
          </w:tcPr>
          <w:p w14:paraId="33FF2E7A"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Buil-dings</w:t>
            </w:r>
          </w:p>
        </w:tc>
        <w:tc>
          <w:tcPr>
            <w:tcW w:w="765" w:type="dxa"/>
            <w:tcBorders>
              <w:bottom w:val="single" w:sz="4" w:space="0" w:color="000000"/>
            </w:tcBorders>
          </w:tcPr>
          <w:p w14:paraId="5FA6DBA4"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Plant and equip-</w:t>
            </w:r>
            <w:proofErr w:type="spellStart"/>
            <w:r>
              <w:rPr>
                <w:b/>
                <w:color w:val="0000FF"/>
                <w:sz w:val="17"/>
                <w:szCs w:val="17"/>
              </w:rPr>
              <w:t>ment</w:t>
            </w:r>
            <w:proofErr w:type="spellEnd"/>
            <w:r>
              <w:rPr>
                <w:b/>
                <w:color w:val="0000FF"/>
                <w:sz w:val="17"/>
                <w:szCs w:val="17"/>
              </w:rPr>
              <w:t xml:space="preserve"> – own use</w:t>
            </w:r>
          </w:p>
        </w:tc>
        <w:tc>
          <w:tcPr>
            <w:tcW w:w="765" w:type="dxa"/>
            <w:tcBorders>
              <w:bottom w:val="single" w:sz="4" w:space="0" w:color="000000"/>
            </w:tcBorders>
          </w:tcPr>
          <w:p w14:paraId="1F45188E"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Plant and equip-</w:t>
            </w:r>
            <w:proofErr w:type="spellStart"/>
            <w:r>
              <w:rPr>
                <w:b/>
                <w:color w:val="0000FF"/>
                <w:sz w:val="17"/>
                <w:szCs w:val="17"/>
              </w:rPr>
              <w:t>ment</w:t>
            </w:r>
            <w:proofErr w:type="spellEnd"/>
            <w:r>
              <w:rPr>
                <w:b/>
                <w:color w:val="0000FF"/>
                <w:sz w:val="17"/>
                <w:szCs w:val="17"/>
              </w:rPr>
              <w:t xml:space="preserve"> – leased to customers</w:t>
            </w:r>
          </w:p>
        </w:tc>
        <w:tc>
          <w:tcPr>
            <w:tcW w:w="765" w:type="dxa"/>
            <w:tcBorders>
              <w:bottom w:val="single" w:sz="4" w:space="0" w:color="000000"/>
            </w:tcBorders>
          </w:tcPr>
          <w:p w14:paraId="38CBC605"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Other</w:t>
            </w:r>
          </w:p>
        </w:tc>
        <w:tc>
          <w:tcPr>
            <w:tcW w:w="765" w:type="dxa"/>
            <w:tcBorders>
              <w:bottom w:val="single" w:sz="4" w:space="0" w:color="000000"/>
            </w:tcBorders>
          </w:tcPr>
          <w:p w14:paraId="7C787DC3"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[Equip-</w:t>
            </w:r>
            <w:proofErr w:type="spellStart"/>
            <w:r>
              <w:rPr>
                <w:b/>
                <w:color w:val="0000FF"/>
                <w:sz w:val="17"/>
                <w:szCs w:val="17"/>
              </w:rPr>
              <w:t>ment</w:t>
            </w:r>
            <w:proofErr w:type="spellEnd"/>
            <w:r>
              <w:rPr>
                <w:b/>
                <w:color w:val="0000FF"/>
                <w:sz w:val="17"/>
                <w:szCs w:val="17"/>
              </w:rPr>
              <w:t xml:space="preserve">] leased to </w:t>
            </w:r>
            <w:proofErr w:type="spellStart"/>
            <w:r>
              <w:rPr>
                <w:b/>
                <w:color w:val="0000FF"/>
                <w:sz w:val="17"/>
                <w:szCs w:val="17"/>
              </w:rPr>
              <w:t>custo-mers</w:t>
            </w:r>
            <w:proofErr w:type="spellEnd"/>
          </w:p>
        </w:tc>
        <w:tc>
          <w:tcPr>
            <w:tcW w:w="765" w:type="dxa"/>
            <w:tcBorders>
              <w:bottom w:val="single" w:sz="4" w:space="0" w:color="000000"/>
            </w:tcBorders>
          </w:tcPr>
          <w:p w14:paraId="357D9AC6"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 xml:space="preserve"> Con-</w:t>
            </w:r>
            <w:proofErr w:type="spellStart"/>
            <w:r>
              <w:rPr>
                <w:b/>
                <w:color w:val="0000FF"/>
                <w:sz w:val="17"/>
                <w:szCs w:val="17"/>
              </w:rPr>
              <w:t>struc</w:t>
            </w:r>
            <w:proofErr w:type="spellEnd"/>
            <w:r>
              <w:rPr>
                <w:b/>
                <w:color w:val="0000FF"/>
                <w:sz w:val="17"/>
                <w:szCs w:val="17"/>
              </w:rPr>
              <w:t>-</w:t>
            </w:r>
            <w:proofErr w:type="spellStart"/>
            <w:r>
              <w:rPr>
                <w:b/>
                <w:color w:val="0000FF"/>
                <w:sz w:val="17"/>
                <w:szCs w:val="17"/>
              </w:rPr>
              <w:t>tion</w:t>
            </w:r>
            <w:proofErr w:type="spellEnd"/>
            <w:r>
              <w:rPr>
                <w:b/>
                <w:color w:val="0000FF"/>
                <w:sz w:val="17"/>
                <w:szCs w:val="17"/>
              </w:rPr>
              <w:t xml:space="preserve"> in pro-</w:t>
            </w:r>
            <w:proofErr w:type="spellStart"/>
            <w:r>
              <w:rPr>
                <w:b/>
                <w:color w:val="0000FF"/>
                <w:sz w:val="17"/>
                <w:szCs w:val="17"/>
              </w:rPr>
              <w:t>gress</w:t>
            </w:r>
            <w:proofErr w:type="spellEnd"/>
          </w:p>
        </w:tc>
        <w:tc>
          <w:tcPr>
            <w:tcW w:w="765" w:type="dxa"/>
            <w:tcBorders>
              <w:bottom w:val="single" w:sz="4" w:space="0" w:color="000000"/>
            </w:tcBorders>
          </w:tcPr>
          <w:p w14:paraId="2EA77E5D"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Total</w:t>
            </w:r>
          </w:p>
        </w:tc>
      </w:tr>
      <w:tr w:rsidR="008E5DE4" w14:paraId="157F1A6F" w14:textId="77777777">
        <w:trPr>
          <w:cantSplit/>
          <w:tblHeader/>
        </w:trPr>
        <w:tc>
          <w:tcPr>
            <w:tcW w:w="2014" w:type="dxa"/>
            <w:vAlign w:val="bottom"/>
          </w:tcPr>
          <w:p w14:paraId="37ED6DEE"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vAlign w:val="bottom"/>
          </w:tcPr>
          <w:p w14:paraId="2A9F0C4B"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32A7620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A67822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FF8D81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8863CC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0D74D8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EC611B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FA2025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540257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8EADF22" w14:textId="77777777" w:rsidR="008E5DE4" w:rsidRDefault="008E5DE4">
            <w:pPr>
              <w:widowControl w:val="0"/>
              <w:pBdr>
                <w:top w:val="nil"/>
                <w:left w:val="nil"/>
                <w:bottom w:val="nil"/>
                <w:right w:val="nil"/>
                <w:between w:val="nil"/>
              </w:pBdr>
              <w:jc w:val="right"/>
              <w:rPr>
                <w:color w:val="0000FF"/>
                <w:sz w:val="17"/>
                <w:szCs w:val="17"/>
              </w:rPr>
            </w:pPr>
          </w:p>
        </w:tc>
      </w:tr>
      <w:tr w:rsidR="008E5DE4" w14:paraId="302D7B22" w14:textId="77777777">
        <w:trPr>
          <w:cantSplit/>
          <w:tblHeader/>
        </w:trPr>
        <w:tc>
          <w:tcPr>
            <w:tcW w:w="2014" w:type="dxa"/>
            <w:vAlign w:val="bottom"/>
          </w:tcPr>
          <w:p w14:paraId="4825CA33" w14:textId="168542DE"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Cost [or valuation] </w:t>
            </w:r>
            <w:proofErr w:type="gramStart"/>
            <w:r>
              <w:rPr>
                <w:color w:val="0000FF"/>
                <w:sz w:val="17"/>
                <w:szCs w:val="17"/>
              </w:rPr>
              <w:t>at</w:t>
            </w:r>
            <w:proofErr w:type="gramEnd"/>
            <w:r>
              <w:rPr>
                <w:color w:val="0000FF"/>
                <w:sz w:val="17"/>
                <w:szCs w:val="17"/>
              </w:rPr>
              <w:t xml:space="preserve"> 1 January </w:t>
            </w:r>
            <w:r w:rsidR="00FF468A">
              <w:rPr>
                <w:color w:val="0000FF"/>
                <w:sz w:val="17"/>
                <w:szCs w:val="17"/>
              </w:rPr>
              <w:t>2024</w:t>
            </w:r>
            <w:r>
              <w:rPr>
                <w:color w:val="0000FF"/>
                <w:sz w:val="17"/>
                <w:szCs w:val="17"/>
              </w:rPr>
              <w:t xml:space="preserve"> </w:t>
            </w:r>
          </w:p>
        </w:tc>
        <w:tc>
          <w:tcPr>
            <w:tcW w:w="567" w:type="dxa"/>
            <w:vAlign w:val="bottom"/>
          </w:tcPr>
          <w:p w14:paraId="6CCAD101" w14:textId="77777777" w:rsidR="008E5DE4" w:rsidRDefault="008E5DE4">
            <w:pPr>
              <w:widowControl w:val="0"/>
              <w:pBdr>
                <w:top w:val="nil"/>
                <w:left w:val="nil"/>
                <w:bottom w:val="nil"/>
                <w:right w:val="nil"/>
                <w:between w:val="nil"/>
              </w:pBdr>
              <w:ind w:right="-57"/>
              <w:rPr>
                <w:color w:val="0000FF"/>
                <w:sz w:val="17"/>
                <w:szCs w:val="17"/>
              </w:rPr>
            </w:pPr>
          </w:p>
        </w:tc>
        <w:tc>
          <w:tcPr>
            <w:tcW w:w="765" w:type="dxa"/>
            <w:vAlign w:val="bottom"/>
          </w:tcPr>
          <w:p w14:paraId="3BC1025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683512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6CDB3B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C7540B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93F706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1C8492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BAA60D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252CB0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D430BEE" w14:textId="77777777" w:rsidR="008E5DE4" w:rsidRDefault="008E5DE4">
            <w:pPr>
              <w:widowControl w:val="0"/>
              <w:pBdr>
                <w:top w:val="nil"/>
                <w:left w:val="nil"/>
                <w:bottom w:val="nil"/>
                <w:right w:val="nil"/>
                <w:between w:val="nil"/>
              </w:pBdr>
              <w:jc w:val="right"/>
              <w:rPr>
                <w:color w:val="0000FF"/>
                <w:sz w:val="17"/>
                <w:szCs w:val="17"/>
              </w:rPr>
            </w:pPr>
          </w:p>
        </w:tc>
      </w:tr>
      <w:tr w:rsidR="008E5DE4" w14:paraId="3FB34A88" w14:textId="77777777">
        <w:trPr>
          <w:cantSplit/>
          <w:tblHeader/>
        </w:trPr>
        <w:tc>
          <w:tcPr>
            <w:tcW w:w="2014" w:type="dxa"/>
            <w:vAlign w:val="bottom"/>
          </w:tcPr>
          <w:p w14:paraId="5BD9A0BD"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Accumulated depreciation </w:t>
            </w:r>
          </w:p>
        </w:tc>
        <w:tc>
          <w:tcPr>
            <w:tcW w:w="567" w:type="dxa"/>
            <w:vAlign w:val="bottom"/>
          </w:tcPr>
          <w:p w14:paraId="46F86740"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429DCE0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AF4C857"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BB6927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61E99E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F04151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AAA77E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8C6197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2CB56C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DCBD4E5" w14:textId="77777777" w:rsidR="008E5DE4" w:rsidRDefault="008E5DE4">
            <w:pPr>
              <w:widowControl w:val="0"/>
              <w:pBdr>
                <w:top w:val="nil"/>
                <w:left w:val="nil"/>
                <w:bottom w:val="nil"/>
                <w:right w:val="nil"/>
                <w:between w:val="nil"/>
              </w:pBdr>
              <w:jc w:val="right"/>
              <w:rPr>
                <w:color w:val="0000FF"/>
                <w:sz w:val="17"/>
                <w:szCs w:val="17"/>
              </w:rPr>
            </w:pPr>
          </w:p>
        </w:tc>
      </w:tr>
      <w:tr w:rsidR="008E5DE4" w14:paraId="07C5BF6C" w14:textId="77777777">
        <w:trPr>
          <w:cantSplit/>
          <w:tblHeader/>
        </w:trPr>
        <w:tc>
          <w:tcPr>
            <w:tcW w:w="2014" w:type="dxa"/>
            <w:tcBorders>
              <w:bottom w:val="single" w:sz="4" w:space="0" w:color="000000"/>
            </w:tcBorders>
            <w:vAlign w:val="bottom"/>
          </w:tcPr>
          <w:p w14:paraId="5C3F0844" w14:textId="77777777" w:rsidR="008E5DE4" w:rsidRDefault="008E5DE4">
            <w:pPr>
              <w:widowControl w:val="0"/>
              <w:pBdr>
                <w:top w:val="nil"/>
                <w:left w:val="nil"/>
                <w:bottom w:val="nil"/>
                <w:right w:val="nil"/>
                <w:between w:val="nil"/>
              </w:pBdr>
              <w:ind w:left="113" w:right="-57" w:hanging="113"/>
              <w:rPr>
                <w:color w:val="0000FF"/>
                <w:sz w:val="17"/>
                <w:szCs w:val="17"/>
              </w:rPr>
            </w:pPr>
          </w:p>
        </w:tc>
        <w:tc>
          <w:tcPr>
            <w:tcW w:w="567" w:type="dxa"/>
            <w:tcBorders>
              <w:bottom w:val="single" w:sz="4" w:space="0" w:color="000000"/>
            </w:tcBorders>
            <w:vAlign w:val="bottom"/>
          </w:tcPr>
          <w:p w14:paraId="792CEFC4"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4" w:space="0" w:color="000000"/>
            </w:tcBorders>
            <w:vAlign w:val="bottom"/>
          </w:tcPr>
          <w:p w14:paraId="4BF734F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65B74D2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4416D8A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3B83886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4015385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091FB97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211B3C9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2CEF1F7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6C9769E1" w14:textId="77777777" w:rsidR="008E5DE4" w:rsidRDefault="008E5DE4">
            <w:pPr>
              <w:widowControl w:val="0"/>
              <w:pBdr>
                <w:top w:val="nil"/>
                <w:left w:val="nil"/>
                <w:bottom w:val="nil"/>
                <w:right w:val="nil"/>
                <w:between w:val="nil"/>
              </w:pBdr>
              <w:jc w:val="right"/>
              <w:rPr>
                <w:color w:val="0000FF"/>
                <w:sz w:val="17"/>
                <w:szCs w:val="17"/>
              </w:rPr>
            </w:pPr>
          </w:p>
        </w:tc>
      </w:tr>
      <w:tr w:rsidR="008E5DE4" w14:paraId="31ADBED3" w14:textId="77777777">
        <w:trPr>
          <w:cantSplit/>
          <w:tblHeader/>
        </w:trPr>
        <w:tc>
          <w:tcPr>
            <w:tcW w:w="2014" w:type="dxa"/>
            <w:vAlign w:val="bottom"/>
          </w:tcPr>
          <w:p w14:paraId="484D4E40" w14:textId="77777777" w:rsidR="008E5DE4" w:rsidRDefault="008E5DE4">
            <w:pPr>
              <w:widowControl w:val="0"/>
              <w:pBdr>
                <w:top w:val="nil"/>
                <w:left w:val="nil"/>
                <w:bottom w:val="nil"/>
                <w:right w:val="nil"/>
                <w:between w:val="nil"/>
              </w:pBdr>
              <w:ind w:left="113" w:right="-57" w:hanging="113"/>
              <w:rPr>
                <w:color w:val="0000FF"/>
                <w:sz w:val="17"/>
                <w:szCs w:val="17"/>
              </w:rPr>
            </w:pPr>
          </w:p>
        </w:tc>
        <w:tc>
          <w:tcPr>
            <w:tcW w:w="567" w:type="dxa"/>
            <w:vAlign w:val="bottom"/>
          </w:tcPr>
          <w:p w14:paraId="58BFDA0B"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531CCE4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3237F4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3D65A5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154F1D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2CE48A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EC5109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91980D7"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2707CB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06E472F" w14:textId="77777777" w:rsidR="008E5DE4" w:rsidRDefault="008E5DE4">
            <w:pPr>
              <w:widowControl w:val="0"/>
              <w:pBdr>
                <w:top w:val="nil"/>
                <w:left w:val="nil"/>
                <w:bottom w:val="nil"/>
                <w:right w:val="nil"/>
                <w:between w:val="nil"/>
              </w:pBdr>
              <w:jc w:val="right"/>
              <w:rPr>
                <w:color w:val="0000FF"/>
                <w:sz w:val="17"/>
                <w:szCs w:val="17"/>
              </w:rPr>
            </w:pPr>
          </w:p>
        </w:tc>
      </w:tr>
      <w:tr w:rsidR="008E5DE4" w14:paraId="346D48C7" w14:textId="77777777">
        <w:trPr>
          <w:cantSplit/>
          <w:tblHeader/>
        </w:trPr>
        <w:tc>
          <w:tcPr>
            <w:tcW w:w="2014" w:type="dxa"/>
            <w:vAlign w:val="bottom"/>
          </w:tcPr>
          <w:p w14:paraId="717E7BF1" w14:textId="1F78FE90" w:rsidR="008E5DE4" w:rsidRDefault="00780368">
            <w:pPr>
              <w:widowControl w:val="0"/>
              <w:pBdr>
                <w:top w:val="nil"/>
                <w:left w:val="nil"/>
                <w:bottom w:val="nil"/>
                <w:right w:val="nil"/>
                <w:between w:val="nil"/>
              </w:pBdr>
              <w:ind w:left="113" w:right="-57" w:hanging="113"/>
              <w:rPr>
                <w:b/>
                <w:color w:val="0000FF"/>
                <w:sz w:val="17"/>
                <w:szCs w:val="17"/>
              </w:rPr>
            </w:pPr>
            <w:r>
              <w:rPr>
                <w:b/>
                <w:color w:val="0000FF"/>
                <w:sz w:val="17"/>
                <w:szCs w:val="17"/>
              </w:rPr>
              <w:t xml:space="preserve">Carrying amount </w:t>
            </w:r>
            <w:proofErr w:type="gramStart"/>
            <w:r>
              <w:rPr>
                <w:b/>
                <w:color w:val="0000FF"/>
                <w:sz w:val="17"/>
                <w:szCs w:val="17"/>
              </w:rPr>
              <w:t>at</w:t>
            </w:r>
            <w:proofErr w:type="gramEnd"/>
            <w:r>
              <w:rPr>
                <w:b/>
                <w:color w:val="0000FF"/>
                <w:sz w:val="17"/>
                <w:szCs w:val="17"/>
              </w:rPr>
              <w:t xml:space="preserve"> 1 January </w:t>
            </w:r>
            <w:r w:rsidR="00FF468A">
              <w:rPr>
                <w:b/>
                <w:color w:val="0000FF"/>
                <w:sz w:val="17"/>
                <w:szCs w:val="17"/>
              </w:rPr>
              <w:t>2024</w:t>
            </w:r>
          </w:p>
        </w:tc>
        <w:tc>
          <w:tcPr>
            <w:tcW w:w="567" w:type="dxa"/>
            <w:vAlign w:val="bottom"/>
          </w:tcPr>
          <w:p w14:paraId="1C65BDD8" w14:textId="77777777" w:rsidR="008E5DE4" w:rsidRDefault="008E5DE4">
            <w:pPr>
              <w:widowControl w:val="0"/>
              <w:pBdr>
                <w:top w:val="nil"/>
                <w:left w:val="nil"/>
                <w:bottom w:val="nil"/>
                <w:right w:val="nil"/>
                <w:between w:val="nil"/>
              </w:pBdr>
              <w:ind w:right="-57"/>
              <w:rPr>
                <w:b/>
                <w:color w:val="0000FF"/>
                <w:sz w:val="17"/>
                <w:szCs w:val="17"/>
              </w:rPr>
            </w:pPr>
          </w:p>
        </w:tc>
        <w:tc>
          <w:tcPr>
            <w:tcW w:w="765" w:type="dxa"/>
            <w:vAlign w:val="bottom"/>
          </w:tcPr>
          <w:p w14:paraId="0630D386"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1A2F7D2B"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2AE1AB05"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2E6AB4D6"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4EA83D4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2744785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08CA1C8B"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4CB5C009"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7394F44E" w14:textId="77777777" w:rsidR="008E5DE4" w:rsidRDefault="008E5DE4">
            <w:pPr>
              <w:widowControl w:val="0"/>
              <w:pBdr>
                <w:top w:val="nil"/>
                <w:left w:val="nil"/>
                <w:bottom w:val="nil"/>
                <w:right w:val="nil"/>
                <w:between w:val="nil"/>
              </w:pBdr>
              <w:jc w:val="right"/>
              <w:rPr>
                <w:b/>
                <w:color w:val="0000FF"/>
                <w:sz w:val="17"/>
                <w:szCs w:val="17"/>
              </w:rPr>
            </w:pPr>
          </w:p>
        </w:tc>
      </w:tr>
      <w:tr w:rsidR="008E5DE4" w14:paraId="1223B83E" w14:textId="77777777">
        <w:trPr>
          <w:cantSplit/>
          <w:tblHeader/>
        </w:trPr>
        <w:tc>
          <w:tcPr>
            <w:tcW w:w="2014" w:type="dxa"/>
            <w:vAlign w:val="bottom"/>
          </w:tcPr>
          <w:p w14:paraId="5F8DB842"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vAlign w:val="bottom"/>
          </w:tcPr>
          <w:p w14:paraId="5AE29E22" w14:textId="77777777" w:rsidR="008E5DE4" w:rsidRDefault="008E5DE4">
            <w:pPr>
              <w:widowControl w:val="0"/>
              <w:pBdr>
                <w:top w:val="nil"/>
                <w:left w:val="nil"/>
                <w:bottom w:val="nil"/>
                <w:right w:val="nil"/>
                <w:between w:val="nil"/>
              </w:pBdr>
              <w:ind w:right="-57"/>
              <w:rPr>
                <w:b/>
                <w:color w:val="0000FF"/>
                <w:sz w:val="17"/>
                <w:szCs w:val="17"/>
              </w:rPr>
            </w:pPr>
          </w:p>
        </w:tc>
        <w:tc>
          <w:tcPr>
            <w:tcW w:w="765" w:type="dxa"/>
            <w:vAlign w:val="bottom"/>
          </w:tcPr>
          <w:p w14:paraId="42D9563E"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26CE64D6"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56FF3730"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17F5174A"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308B261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6541CAC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280DF104"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39E3F86D"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79BE3C7E" w14:textId="77777777" w:rsidR="008E5DE4" w:rsidRDefault="008E5DE4">
            <w:pPr>
              <w:widowControl w:val="0"/>
              <w:pBdr>
                <w:top w:val="nil"/>
                <w:left w:val="nil"/>
                <w:bottom w:val="nil"/>
                <w:right w:val="nil"/>
                <w:between w:val="nil"/>
              </w:pBdr>
              <w:jc w:val="right"/>
              <w:rPr>
                <w:b/>
                <w:color w:val="0000FF"/>
                <w:sz w:val="17"/>
                <w:szCs w:val="17"/>
              </w:rPr>
            </w:pPr>
          </w:p>
        </w:tc>
      </w:tr>
      <w:tr w:rsidR="008E5DE4" w14:paraId="515785C4" w14:textId="77777777">
        <w:trPr>
          <w:cantSplit/>
          <w:tblHeader/>
        </w:trPr>
        <w:tc>
          <w:tcPr>
            <w:tcW w:w="2014" w:type="dxa"/>
            <w:vAlign w:val="bottom"/>
          </w:tcPr>
          <w:p w14:paraId="7F5FEFC5"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Acquisitions through business combinations</w:t>
            </w:r>
          </w:p>
        </w:tc>
        <w:tc>
          <w:tcPr>
            <w:tcW w:w="567" w:type="dxa"/>
            <w:vAlign w:val="bottom"/>
          </w:tcPr>
          <w:p w14:paraId="1E7E6330"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50</w:t>
            </w:r>
          </w:p>
        </w:tc>
        <w:tc>
          <w:tcPr>
            <w:tcW w:w="765" w:type="dxa"/>
            <w:vAlign w:val="bottom"/>
          </w:tcPr>
          <w:p w14:paraId="71AFDD6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2CDEF1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15A3F9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E455AF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5BFBCE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7BEB77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A91506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3C783F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81FA706" w14:textId="77777777" w:rsidR="008E5DE4" w:rsidRDefault="008E5DE4">
            <w:pPr>
              <w:widowControl w:val="0"/>
              <w:pBdr>
                <w:top w:val="nil"/>
                <w:left w:val="nil"/>
                <w:bottom w:val="nil"/>
                <w:right w:val="nil"/>
                <w:between w:val="nil"/>
              </w:pBdr>
              <w:jc w:val="right"/>
              <w:rPr>
                <w:color w:val="0000FF"/>
                <w:sz w:val="17"/>
                <w:szCs w:val="17"/>
              </w:rPr>
            </w:pPr>
          </w:p>
        </w:tc>
      </w:tr>
      <w:tr w:rsidR="008E5DE4" w14:paraId="0EC708D0" w14:textId="77777777">
        <w:trPr>
          <w:cantSplit/>
          <w:tblHeader/>
        </w:trPr>
        <w:tc>
          <w:tcPr>
            <w:tcW w:w="2014" w:type="dxa"/>
            <w:vAlign w:val="bottom"/>
          </w:tcPr>
          <w:p w14:paraId="25B3A252"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Additions</w:t>
            </w:r>
          </w:p>
        </w:tc>
        <w:tc>
          <w:tcPr>
            <w:tcW w:w="567" w:type="dxa"/>
            <w:vAlign w:val="bottom"/>
          </w:tcPr>
          <w:p w14:paraId="7766EFC3"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4309131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E2E079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6E5E21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C1FECC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FCAF59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83B97C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139F6D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7BEAE1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92A1726" w14:textId="77777777" w:rsidR="008E5DE4" w:rsidRDefault="008E5DE4">
            <w:pPr>
              <w:widowControl w:val="0"/>
              <w:pBdr>
                <w:top w:val="nil"/>
                <w:left w:val="nil"/>
                <w:bottom w:val="nil"/>
                <w:right w:val="nil"/>
                <w:between w:val="nil"/>
              </w:pBdr>
              <w:jc w:val="right"/>
              <w:rPr>
                <w:color w:val="0000FF"/>
                <w:sz w:val="17"/>
                <w:szCs w:val="17"/>
              </w:rPr>
            </w:pPr>
          </w:p>
        </w:tc>
      </w:tr>
      <w:tr w:rsidR="008E5DE4" w14:paraId="4EF264AE" w14:textId="77777777">
        <w:trPr>
          <w:cantSplit/>
          <w:tblHeader/>
        </w:trPr>
        <w:tc>
          <w:tcPr>
            <w:tcW w:w="2014" w:type="dxa"/>
            <w:vAlign w:val="bottom"/>
          </w:tcPr>
          <w:p w14:paraId="04A9DEA5"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Changes in estimates of asset retirement obligations</w:t>
            </w:r>
          </w:p>
        </w:tc>
        <w:tc>
          <w:tcPr>
            <w:tcW w:w="567" w:type="dxa"/>
            <w:vAlign w:val="bottom"/>
          </w:tcPr>
          <w:p w14:paraId="03CF1392"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32</w:t>
            </w:r>
          </w:p>
        </w:tc>
        <w:tc>
          <w:tcPr>
            <w:tcW w:w="765" w:type="dxa"/>
            <w:vAlign w:val="bottom"/>
          </w:tcPr>
          <w:p w14:paraId="3A2E814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5229EA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C2DD51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554E4C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4DA08E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B935E0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F8A2407"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1950E4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E52F0F2" w14:textId="77777777" w:rsidR="008E5DE4" w:rsidRDefault="008E5DE4">
            <w:pPr>
              <w:widowControl w:val="0"/>
              <w:pBdr>
                <w:top w:val="nil"/>
                <w:left w:val="nil"/>
                <w:bottom w:val="nil"/>
                <w:right w:val="nil"/>
                <w:between w:val="nil"/>
              </w:pBdr>
              <w:jc w:val="right"/>
              <w:rPr>
                <w:color w:val="0000FF"/>
                <w:sz w:val="17"/>
                <w:szCs w:val="17"/>
              </w:rPr>
            </w:pPr>
          </w:p>
        </w:tc>
      </w:tr>
      <w:tr w:rsidR="008E5DE4" w14:paraId="52A43B83" w14:textId="77777777">
        <w:trPr>
          <w:cantSplit/>
          <w:tblHeader/>
        </w:trPr>
        <w:tc>
          <w:tcPr>
            <w:tcW w:w="2014" w:type="dxa"/>
            <w:vAlign w:val="bottom"/>
          </w:tcPr>
          <w:p w14:paraId="440D4F49"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Capitalised borrowing costs</w:t>
            </w:r>
          </w:p>
        </w:tc>
        <w:tc>
          <w:tcPr>
            <w:tcW w:w="567" w:type="dxa"/>
            <w:vAlign w:val="bottom"/>
          </w:tcPr>
          <w:p w14:paraId="4DA788D2"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37</w:t>
            </w:r>
          </w:p>
        </w:tc>
        <w:tc>
          <w:tcPr>
            <w:tcW w:w="765" w:type="dxa"/>
            <w:vAlign w:val="bottom"/>
          </w:tcPr>
          <w:p w14:paraId="2F38D04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19C2F6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FD27D6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922624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7208FD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73BDDD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EBB333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EA7925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DA65F56" w14:textId="77777777" w:rsidR="008E5DE4" w:rsidRDefault="008E5DE4">
            <w:pPr>
              <w:widowControl w:val="0"/>
              <w:pBdr>
                <w:top w:val="nil"/>
                <w:left w:val="nil"/>
                <w:bottom w:val="nil"/>
                <w:right w:val="nil"/>
                <w:between w:val="nil"/>
              </w:pBdr>
              <w:jc w:val="right"/>
              <w:rPr>
                <w:color w:val="0000FF"/>
                <w:sz w:val="17"/>
                <w:szCs w:val="17"/>
              </w:rPr>
            </w:pPr>
          </w:p>
        </w:tc>
      </w:tr>
      <w:tr w:rsidR="008E5DE4" w14:paraId="075AFC53" w14:textId="77777777">
        <w:trPr>
          <w:cantSplit/>
          <w:tblHeader/>
        </w:trPr>
        <w:tc>
          <w:tcPr>
            <w:tcW w:w="2014" w:type="dxa"/>
            <w:vAlign w:val="bottom"/>
          </w:tcPr>
          <w:p w14:paraId="018BDF32"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Transfers</w:t>
            </w:r>
          </w:p>
        </w:tc>
        <w:tc>
          <w:tcPr>
            <w:tcW w:w="567" w:type="dxa"/>
            <w:vAlign w:val="bottom"/>
          </w:tcPr>
          <w:p w14:paraId="6DFE2307"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4992C7A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F01CCF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3204F1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987ADE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528453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4F56E2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68FE06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8A1A50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C44681E" w14:textId="77777777" w:rsidR="008E5DE4" w:rsidRDefault="008E5DE4">
            <w:pPr>
              <w:widowControl w:val="0"/>
              <w:pBdr>
                <w:top w:val="nil"/>
                <w:left w:val="nil"/>
                <w:bottom w:val="nil"/>
                <w:right w:val="nil"/>
                <w:between w:val="nil"/>
              </w:pBdr>
              <w:jc w:val="right"/>
              <w:rPr>
                <w:color w:val="0000FF"/>
                <w:sz w:val="17"/>
                <w:szCs w:val="17"/>
              </w:rPr>
            </w:pPr>
          </w:p>
        </w:tc>
      </w:tr>
      <w:tr w:rsidR="008E5DE4" w14:paraId="1A00406E" w14:textId="77777777">
        <w:trPr>
          <w:cantSplit/>
          <w:tblHeader/>
        </w:trPr>
        <w:tc>
          <w:tcPr>
            <w:tcW w:w="2014" w:type="dxa"/>
            <w:vAlign w:val="bottom"/>
          </w:tcPr>
          <w:p w14:paraId="488EC32F"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Reclassification to non-current assets held for sale (or disposal groups)</w:t>
            </w:r>
          </w:p>
        </w:tc>
        <w:tc>
          <w:tcPr>
            <w:tcW w:w="567" w:type="dxa"/>
            <w:vAlign w:val="bottom"/>
          </w:tcPr>
          <w:p w14:paraId="27E2C368"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25</w:t>
            </w:r>
          </w:p>
        </w:tc>
        <w:tc>
          <w:tcPr>
            <w:tcW w:w="765" w:type="dxa"/>
            <w:vAlign w:val="bottom"/>
          </w:tcPr>
          <w:p w14:paraId="416F44B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4AD36A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4170B7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31EFFA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741E74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652918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8A659E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0D4266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5D0E579" w14:textId="77777777" w:rsidR="008E5DE4" w:rsidRDefault="008E5DE4">
            <w:pPr>
              <w:widowControl w:val="0"/>
              <w:pBdr>
                <w:top w:val="nil"/>
                <w:left w:val="nil"/>
                <w:bottom w:val="nil"/>
                <w:right w:val="nil"/>
                <w:between w:val="nil"/>
              </w:pBdr>
              <w:jc w:val="right"/>
              <w:rPr>
                <w:color w:val="0000FF"/>
                <w:sz w:val="17"/>
                <w:szCs w:val="17"/>
              </w:rPr>
            </w:pPr>
          </w:p>
        </w:tc>
      </w:tr>
      <w:tr w:rsidR="008E5DE4" w14:paraId="1048B50F" w14:textId="77777777">
        <w:trPr>
          <w:cantSplit/>
          <w:tblHeader/>
        </w:trPr>
        <w:tc>
          <w:tcPr>
            <w:tcW w:w="2014" w:type="dxa"/>
            <w:vAlign w:val="bottom"/>
          </w:tcPr>
          <w:p w14:paraId="16B4895D"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Disposals</w:t>
            </w:r>
          </w:p>
        </w:tc>
        <w:tc>
          <w:tcPr>
            <w:tcW w:w="567" w:type="dxa"/>
            <w:vAlign w:val="bottom"/>
          </w:tcPr>
          <w:p w14:paraId="2706809D"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3F80D9F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D374EF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DDC6EC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C93CD5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D389F9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050991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F0CCFD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98EE49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9E56462" w14:textId="77777777" w:rsidR="008E5DE4" w:rsidRDefault="008E5DE4">
            <w:pPr>
              <w:widowControl w:val="0"/>
              <w:pBdr>
                <w:top w:val="nil"/>
                <w:left w:val="nil"/>
                <w:bottom w:val="nil"/>
                <w:right w:val="nil"/>
                <w:between w:val="nil"/>
              </w:pBdr>
              <w:jc w:val="right"/>
              <w:rPr>
                <w:color w:val="0000FF"/>
                <w:sz w:val="17"/>
                <w:szCs w:val="17"/>
              </w:rPr>
            </w:pPr>
          </w:p>
        </w:tc>
      </w:tr>
      <w:tr w:rsidR="008E5DE4" w14:paraId="64FA8CA4" w14:textId="77777777">
        <w:trPr>
          <w:cantSplit/>
          <w:tblHeader/>
        </w:trPr>
        <w:tc>
          <w:tcPr>
            <w:tcW w:w="2014" w:type="dxa"/>
            <w:vAlign w:val="bottom"/>
          </w:tcPr>
          <w:p w14:paraId="5056AF6E"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Depreciation charge </w:t>
            </w:r>
          </w:p>
        </w:tc>
        <w:tc>
          <w:tcPr>
            <w:tcW w:w="567" w:type="dxa"/>
            <w:vAlign w:val="bottom"/>
          </w:tcPr>
          <w:p w14:paraId="2894E488"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36</w:t>
            </w:r>
          </w:p>
        </w:tc>
        <w:tc>
          <w:tcPr>
            <w:tcW w:w="765" w:type="dxa"/>
            <w:vAlign w:val="bottom"/>
          </w:tcPr>
          <w:p w14:paraId="730FF98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6E41B1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7EF140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9E0E50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3BF211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6668B77"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701089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DB3FAD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CAC31AD" w14:textId="77777777" w:rsidR="008E5DE4" w:rsidRDefault="008E5DE4">
            <w:pPr>
              <w:widowControl w:val="0"/>
              <w:pBdr>
                <w:top w:val="nil"/>
                <w:left w:val="nil"/>
                <w:bottom w:val="nil"/>
                <w:right w:val="nil"/>
                <w:between w:val="nil"/>
              </w:pBdr>
              <w:jc w:val="right"/>
              <w:rPr>
                <w:color w:val="0000FF"/>
                <w:sz w:val="17"/>
                <w:szCs w:val="17"/>
              </w:rPr>
            </w:pPr>
          </w:p>
        </w:tc>
      </w:tr>
      <w:tr w:rsidR="008E5DE4" w14:paraId="5F72D5BD" w14:textId="77777777">
        <w:trPr>
          <w:cantSplit/>
          <w:tblHeader/>
        </w:trPr>
        <w:tc>
          <w:tcPr>
            <w:tcW w:w="2014" w:type="dxa"/>
            <w:vAlign w:val="bottom"/>
          </w:tcPr>
          <w:p w14:paraId="7AF264C3"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Impairment charge to profit or loss</w:t>
            </w:r>
          </w:p>
        </w:tc>
        <w:tc>
          <w:tcPr>
            <w:tcW w:w="567" w:type="dxa"/>
            <w:vAlign w:val="bottom"/>
          </w:tcPr>
          <w:p w14:paraId="40109057"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36</w:t>
            </w:r>
          </w:p>
        </w:tc>
        <w:tc>
          <w:tcPr>
            <w:tcW w:w="765" w:type="dxa"/>
            <w:vAlign w:val="bottom"/>
          </w:tcPr>
          <w:p w14:paraId="567E2B0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1467C9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825C7A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C68361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4F0F37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AB8081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11B7D0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698362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8617FDB" w14:textId="77777777" w:rsidR="008E5DE4" w:rsidRDefault="008E5DE4">
            <w:pPr>
              <w:widowControl w:val="0"/>
              <w:pBdr>
                <w:top w:val="nil"/>
                <w:left w:val="nil"/>
                <w:bottom w:val="nil"/>
                <w:right w:val="nil"/>
                <w:between w:val="nil"/>
              </w:pBdr>
              <w:jc w:val="right"/>
              <w:rPr>
                <w:color w:val="0000FF"/>
                <w:sz w:val="17"/>
                <w:szCs w:val="17"/>
              </w:rPr>
            </w:pPr>
          </w:p>
        </w:tc>
      </w:tr>
      <w:tr w:rsidR="008E5DE4" w14:paraId="6857E654" w14:textId="77777777">
        <w:trPr>
          <w:cantSplit/>
          <w:tblHeader/>
        </w:trPr>
        <w:tc>
          <w:tcPr>
            <w:tcW w:w="2014" w:type="dxa"/>
            <w:vAlign w:val="bottom"/>
          </w:tcPr>
          <w:p w14:paraId="537EA40D"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Reversals of impairment through profit or loss</w:t>
            </w:r>
          </w:p>
        </w:tc>
        <w:tc>
          <w:tcPr>
            <w:tcW w:w="567" w:type="dxa"/>
            <w:vAlign w:val="bottom"/>
          </w:tcPr>
          <w:p w14:paraId="3C68723F"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36</w:t>
            </w:r>
          </w:p>
        </w:tc>
        <w:tc>
          <w:tcPr>
            <w:tcW w:w="765" w:type="dxa"/>
            <w:vAlign w:val="bottom"/>
          </w:tcPr>
          <w:p w14:paraId="0DF3A77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76C4C2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0B18E4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6AB9F5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10CC84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26D7AA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D065CF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829277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DDC528D" w14:textId="77777777" w:rsidR="008E5DE4" w:rsidRDefault="008E5DE4">
            <w:pPr>
              <w:widowControl w:val="0"/>
              <w:pBdr>
                <w:top w:val="nil"/>
                <w:left w:val="nil"/>
                <w:bottom w:val="nil"/>
                <w:right w:val="nil"/>
                <w:between w:val="nil"/>
              </w:pBdr>
              <w:jc w:val="right"/>
              <w:rPr>
                <w:color w:val="0000FF"/>
                <w:sz w:val="17"/>
                <w:szCs w:val="17"/>
              </w:rPr>
            </w:pPr>
          </w:p>
        </w:tc>
      </w:tr>
      <w:tr w:rsidR="008E5DE4" w14:paraId="7F7F8028" w14:textId="77777777">
        <w:trPr>
          <w:cantSplit/>
          <w:tblHeader/>
        </w:trPr>
        <w:tc>
          <w:tcPr>
            <w:tcW w:w="2014" w:type="dxa"/>
            <w:vAlign w:val="bottom"/>
          </w:tcPr>
          <w:p w14:paraId="0F2C0F11"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Revaluation </w:t>
            </w:r>
          </w:p>
        </w:tc>
        <w:tc>
          <w:tcPr>
            <w:tcW w:w="567" w:type="dxa"/>
            <w:vAlign w:val="bottom"/>
          </w:tcPr>
          <w:p w14:paraId="284ABDE4"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27</w:t>
            </w:r>
          </w:p>
        </w:tc>
        <w:tc>
          <w:tcPr>
            <w:tcW w:w="765" w:type="dxa"/>
            <w:vAlign w:val="bottom"/>
          </w:tcPr>
          <w:p w14:paraId="5663AEF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93B289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D912F4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5CF8B6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62331A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F34A19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1281A7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A8BFD5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7825EE7" w14:textId="77777777" w:rsidR="008E5DE4" w:rsidRDefault="008E5DE4">
            <w:pPr>
              <w:widowControl w:val="0"/>
              <w:pBdr>
                <w:top w:val="nil"/>
                <w:left w:val="nil"/>
                <w:bottom w:val="nil"/>
                <w:right w:val="nil"/>
                <w:between w:val="nil"/>
              </w:pBdr>
              <w:jc w:val="right"/>
              <w:rPr>
                <w:color w:val="0000FF"/>
                <w:sz w:val="17"/>
                <w:szCs w:val="17"/>
              </w:rPr>
            </w:pPr>
          </w:p>
        </w:tc>
      </w:tr>
      <w:tr w:rsidR="008E5DE4" w14:paraId="3871D778" w14:textId="77777777">
        <w:trPr>
          <w:cantSplit/>
          <w:tblHeader/>
        </w:trPr>
        <w:tc>
          <w:tcPr>
            <w:tcW w:w="2014" w:type="dxa"/>
            <w:vAlign w:val="bottom"/>
          </w:tcPr>
          <w:p w14:paraId="5964803B"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[Effect of translation to presentation currency]</w:t>
            </w:r>
          </w:p>
        </w:tc>
        <w:tc>
          <w:tcPr>
            <w:tcW w:w="567" w:type="dxa"/>
            <w:vAlign w:val="bottom"/>
          </w:tcPr>
          <w:p w14:paraId="7F984174"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0F14002C"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D57435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7C04D8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76A3E5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1E60F0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1DA882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7A73F5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6363617"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8C5D464" w14:textId="77777777" w:rsidR="008E5DE4" w:rsidRDefault="008E5DE4">
            <w:pPr>
              <w:widowControl w:val="0"/>
              <w:pBdr>
                <w:top w:val="nil"/>
                <w:left w:val="nil"/>
                <w:bottom w:val="nil"/>
                <w:right w:val="nil"/>
                <w:between w:val="nil"/>
              </w:pBdr>
              <w:jc w:val="right"/>
              <w:rPr>
                <w:color w:val="0000FF"/>
                <w:sz w:val="17"/>
                <w:szCs w:val="17"/>
              </w:rPr>
            </w:pPr>
          </w:p>
        </w:tc>
      </w:tr>
      <w:tr w:rsidR="008E5DE4" w14:paraId="20E60605" w14:textId="77777777">
        <w:trPr>
          <w:cantSplit/>
          <w:tblHeader/>
        </w:trPr>
        <w:tc>
          <w:tcPr>
            <w:tcW w:w="2014" w:type="dxa"/>
            <w:vAlign w:val="bottom"/>
          </w:tcPr>
          <w:p w14:paraId="0263F9F4"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Other</w:t>
            </w:r>
          </w:p>
        </w:tc>
        <w:tc>
          <w:tcPr>
            <w:tcW w:w="567" w:type="dxa"/>
            <w:vAlign w:val="bottom"/>
          </w:tcPr>
          <w:p w14:paraId="5078B392"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418DCF2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850868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445927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C113D6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C6D14D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FC4A0E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55E2F1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94239F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CB75933" w14:textId="77777777" w:rsidR="008E5DE4" w:rsidRDefault="008E5DE4">
            <w:pPr>
              <w:widowControl w:val="0"/>
              <w:pBdr>
                <w:top w:val="nil"/>
                <w:left w:val="nil"/>
                <w:bottom w:val="nil"/>
                <w:right w:val="nil"/>
                <w:between w:val="nil"/>
              </w:pBdr>
              <w:jc w:val="right"/>
              <w:rPr>
                <w:color w:val="0000FF"/>
                <w:sz w:val="17"/>
                <w:szCs w:val="17"/>
              </w:rPr>
            </w:pPr>
          </w:p>
        </w:tc>
      </w:tr>
      <w:tr w:rsidR="008E5DE4" w14:paraId="5E710A1A" w14:textId="77777777">
        <w:trPr>
          <w:cantSplit/>
          <w:tblHeader/>
        </w:trPr>
        <w:tc>
          <w:tcPr>
            <w:tcW w:w="2014" w:type="dxa"/>
            <w:tcBorders>
              <w:bottom w:val="single" w:sz="4" w:space="0" w:color="000000"/>
            </w:tcBorders>
            <w:vAlign w:val="bottom"/>
          </w:tcPr>
          <w:p w14:paraId="3381B779"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tcBorders>
              <w:bottom w:val="single" w:sz="4" w:space="0" w:color="000000"/>
            </w:tcBorders>
            <w:vAlign w:val="bottom"/>
          </w:tcPr>
          <w:p w14:paraId="126865A4"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4" w:space="0" w:color="000000"/>
            </w:tcBorders>
            <w:vAlign w:val="bottom"/>
          </w:tcPr>
          <w:p w14:paraId="4A0FFF6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62C5B61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55E72F2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2108B7B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667DE64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06F87EC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062530C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5BCC0B0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3DCF8D6B" w14:textId="77777777" w:rsidR="008E5DE4" w:rsidRDefault="008E5DE4">
            <w:pPr>
              <w:widowControl w:val="0"/>
              <w:pBdr>
                <w:top w:val="nil"/>
                <w:left w:val="nil"/>
                <w:bottom w:val="nil"/>
                <w:right w:val="nil"/>
                <w:between w:val="nil"/>
              </w:pBdr>
              <w:jc w:val="right"/>
              <w:rPr>
                <w:color w:val="0000FF"/>
                <w:sz w:val="17"/>
                <w:szCs w:val="17"/>
              </w:rPr>
            </w:pPr>
          </w:p>
        </w:tc>
      </w:tr>
      <w:tr w:rsidR="008E5DE4" w14:paraId="7BE46B1A" w14:textId="77777777">
        <w:trPr>
          <w:cantSplit/>
          <w:tblHeader/>
        </w:trPr>
        <w:tc>
          <w:tcPr>
            <w:tcW w:w="2014" w:type="dxa"/>
            <w:vAlign w:val="bottom"/>
          </w:tcPr>
          <w:p w14:paraId="319D652F"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vAlign w:val="bottom"/>
          </w:tcPr>
          <w:p w14:paraId="7E3F7877"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63FD568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8EC74A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243B95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B2AA29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DAD30B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83186A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F06E59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6A3C667"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3FF1563" w14:textId="77777777" w:rsidR="008E5DE4" w:rsidRDefault="008E5DE4">
            <w:pPr>
              <w:widowControl w:val="0"/>
              <w:pBdr>
                <w:top w:val="nil"/>
                <w:left w:val="nil"/>
                <w:bottom w:val="nil"/>
                <w:right w:val="nil"/>
                <w:between w:val="nil"/>
              </w:pBdr>
              <w:jc w:val="right"/>
              <w:rPr>
                <w:color w:val="0000FF"/>
                <w:sz w:val="17"/>
                <w:szCs w:val="17"/>
              </w:rPr>
            </w:pPr>
          </w:p>
        </w:tc>
      </w:tr>
      <w:tr w:rsidR="008E5DE4" w14:paraId="1968366B" w14:textId="77777777">
        <w:trPr>
          <w:cantSplit/>
          <w:tblHeader/>
        </w:trPr>
        <w:tc>
          <w:tcPr>
            <w:tcW w:w="2014" w:type="dxa"/>
            <w:vAlign w:val="bottom"/>
          </w:tcPr>
          <w:p w14:paraId="04EDB31E" w14:textId="198BA619" w:rsidR="008E5DE4" w:rsidRDefault="00780368">
            <w:pPr>
              <w:widowControl w:val="0"/>
              <w:pBdr>
                <w:top w:val="nil"/>
                <w:left w:val="nil"/>
                <w:bottom w:val="nil"/>
                <w:right w:val="nil"/>
                <w:between w:val="nil"/>
              </w:pBdr>
              <w:ind w:left="113" w:right="-57" w:hanging="113"/>
              <w:rPr>
                <w:b/>
                <w:color w:val="0000FF"/>
                <w:sz w:val="17"/>
                <w:szCs w:val="17"/>
              </w:rPr>
            </w:pPr>
            <w:r>
              <w:rPr>
                <w:b/>
                <w:color w:val="0000FF"/>
                <w:sz w:val="17"/>
                <w:szCs w:val="17"/>
              </w:rPr>
              <w:t xml:space="preserve">Carrying amount </w:t>
            </w:r>
            <w:proofErr w:type="gramStart"/>
            <w:r>
              <w:rPr>
                <w:b/>
                <w:color w:val="0000FF"/>
                <w:sz w:val="17"/>
                <w:szCs w:val="17"/>
              </w:rPr>
              <w:t>at</w:t>
            </w:r>
            <w:proofErr w:type="gramEnd"/>
            <w:r>
              <w:rPr>
                <w:b/>
                <w:color w:val="0000FF"/>
                <w:sz w:val="17"/>
                <w:szCs w:val="17"/>
              </w:rPr>
              <w:t xml:space="preserve"> 31 December </w:t>
            </w:r>
            <w:r w:rsidR="00FF468A">
              <w:rPr>
                <w:b/>
                <w:color w:val="0000FF"/>
                <w:sz w:val="17"/>
                <w:szCs w:val="17"/>
              </w:rPr>
              <w:t>2024</w:t>
            </w:r>
          </w:p>
        </w:tc>
        <w:tc>
          <w:tcPr>
            <w:tcW w:w="567" w:type="dxa"/>
            <w:vAlign w:val="bottom"/>
          </w:tcPr>
          <w:p w14:paraId="2DFD4451" w14:textId="77777777" w:rsidR="008E5DE4" w:rsidRDefault="008E5DE4">
            <w:pPr>
              <w:widowControl w:val="0"/>
              <w:pBdr>
                <w:top w:val="nil"/>
                <w:left w:val="nil"/>
                <w:bottom w:val="nil"/>
                <w:right w:val="nil"/>
                <w:between w:val="nil"/>
              </w:pBdr>
              <w:ind w:right="-57"/>
              <w:rPr>
                <w:b/>
                <w:color w:val="0000FF"/>
                <w:sz w:val="17"/>
                <w:szCs w:val="17"/>
              </w:rPr>
            </w:pPr>
          </w:p>
        </w:tc>
        <w:tc>
          <w:tcPr>
            <w:tcW w:w="765" w:type="dxa"/>
            <w:vAlign w:val="bottom"/>
          </w:tcPr>
          <w:p w14:paraId="683296A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7CADD4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C98181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1E09A1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0847AF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56E0CF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9F3C17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751970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01B7BC6" w14:textId="77777777" w:rsidR="008E5DE4" w:rsidRDefault="008E5DE4">
            <w:pPr>
              <w:widowControl w:val="0"/>
              <w:pBdr>
                <w:top w:val="nil"/>
                <w:left w:val="nil"/>
                <w:bottom w:val="nil"/>
                <w:right w:val="nil"/>
                <w:between w:val="nil"/>
              </w:pBdr>
              <w:jc w:val="right"/>
              <w:rPr>
                <w:color w:val="0000FF"/>
                <w:sz w:val="17"/>
                <w:szCs w:val="17"/>
              </w:rPr>
            </w:pPr>
          </w:p>
        </w:tc>
      </w:tr>
      <w:tr w:rsidR="008E5DE4" w14:paraId="7C41DDA3" w14:textId="77777777">
        <w:trPr>
          <w:cantSplit/>
          <w:tblHeader/>
        </w:trPr>
        <w:tc>
          <w:tcPr>
            <w:tcW w:w="2014" w:type="dxa"/>
            <w:tcBorders>
              <w:bottom w:val="single" w:sz="12" w:space="0" w:color="000000"/>
            </w:tcBorders>
            <w:vAlign w:val="bottom"/>
          </w:tcPr>
          <w:p w14:paraId="4DFC7864"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tcBorders>
              <w:bottom w:val="single" w:sz="12" w:space="0" w:color="000000"/>
            </w:tcBorders>
            <w:vAlign w:val="bottom"/>
          </w:tcPr>
          <w:p w14:paraId="69A38624"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12" w:space="0" w:color="000000"/>
            </w:tcBorders>
            <w:vAlign w:val="bottom"/>
          </w:tcPr>
          <w:p w14:paraId="415E0FE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509528A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05453B5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4C01C2E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7A9E28D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2092EBE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3F6FA36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38DC74A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7C73A9B1" w14:textId="77777777" w:rsidR="008E5DE4" w:rsidRDefault="008E5DE4">
            <w:pPr>
              <w:widowControl w:val="0"/>
              <w:pBdr>
                <w:top w:val="nil"/>
                <w:left w:val="nil"/>
                <w:bottom w:val="nil"/>
                <w:right w:val="nil"/>
                <w:between w:val="nil"/>
              </w:pBdr>
              <w:jc w:val="right"/>
              <w:rPr>
                <w:color w:val="0000FF"/>
                <w:sz w:val="17"/>
                <w:szCs w:val="17"/>
              </w:rPr>
            </w:pPr>
          </w:p>
        </w:tc>
      </w:tr>
      <w:tr w:rsidR="008E5DE4" w14:paraId="6DC8496D" w14:textId="77777777">
        <w:trPr>
          <w:cantSplit/>
          <w:tblHeader/>
        </w:trPr>
        <w:tc>
          <w:tcPr>
            <w:tcW w:w="2014" w:type="dxa"/>
            <w:tcBorders>
              <w:top w:val="single" w:sz="12" w:space="0" w:color="000000"/>
            </w:tcBorders>
            <w:vAlign w:val="bottom"/>
          </w:tcPr>
          <w:p w14:paraId="05E0BD9D"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tcBorders>
              <w:top w:val="single" w:sz="12" w:space="0" w:color="000000"/>
            </w:tcBorders>
            <w:vAlign w:val="bottom"/>
          </w:tcPr>
          <w:p w14:paraId="19D6EC35"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top w:val="single" w:sz="12" w:space="0" w:color="000000"/>
            </w:tcBorders>
            <w:vAlign w:val="bottom"/>
          </w:tcPr>
          <w:p w14:paraId="65305B4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tcPr>
          <w:p w14:paraId="0B29E10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60AB5CA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290F587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tcPr>
          <w:p w14:paraId="4CC11A6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tcPr>
          <w:p w14:paraId="271FC1F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08609F3C"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7DC9825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369ADACA" w14:textId="77777777" w:rsidR="008E5DE4" w:rsidRDefault="008E5DE4">
            <w:pPr>
              <w:widowControl w:val="0"/>
              <w:pBdr>
                <w:top w:val="nil"/>
                <w:left w:val="nil"/>
                <w:bottom w:val="nil"/>
                <w:right w:val="nil"/>
                <w:between w:val="nil"/>
              </w:pBdr>
              <w:jc w:val="right"/>
              <w:rPr>
                <w:color w:val="0000FF"/>
                <w:sz w:val="17"/>
                <w:szCs w:val="17"/>
              </w:rPr>
            </w:pPr>
          </w:p>
        </w:tc>
      </w:tr>
      <w:tr w:rsidR="008E5DE4" w14:paraId="16B1C662" w14:textId="77777777">
        <w:trPr>
          <w:cantSplit/>
          <w:tblHeader/>
        </w:trPr>
        <w:tc>
          <w:tcPr>
            <w:tcW w:w="2014" w:type="dxa"/>
            <w:vAlign w:val="bottom"/>
          </w:tcPr>
          <w:p w14:paraId="37B5D6D4" w14:textId="675CD00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Cost [or valuation] </w:t>
            </w:r>
            <w:proofErr w:type="gramStart"/>
            <w:r>
              <w:rPr>
                <w:color w:val="0000FF"/>
                <w:sz w:val="17"/>
                <w:szCs w:val="17"/>
              </w:rPr>
              <w:t>at</w:t>
            </w:r>
            <w:proofErr w:type="gramEnd"/>
            <w:r>
              <w:rPr>
                <w:color w:val="0000FF"/>
                <w:sz w:val="17"/>
                <w:szCs w:val="17"/>
              </w:rPr>
              <w:t xml:space="preserve"> 31 December </w:t>
            </w:r>
            <w:r w:rsidR="00FF468A">
              <w:rPr>
                <w:color w:val="0000FF"/>
                <w:sz w:val="17"/>
                <w:szCs w:val="17"/>
              </w:rPr>
              <w:t>2024</w:t>
            </w:r>
          </w:p>
        </w:tc>
        <w:tc>
          <w:tcPr>
            <w:tcW w:w="567" w:type="dxa"/>
            <w:vAlign w:val="bottom"/>
          </w:tcPr>
          <w:p w14:paraId="55FF6326" w14:textId="77777777" w:rsidR="008E5DE4" w:rsidRDefault="008E5DE4">
            <w:pPr>
              <w:widowControl w:val="0"/>
              <w:pBdr>
                <w:top w:val="nil"/>
                <w:left w:val="nil"/>
                <w:bottom w:val="nil"/>
                <w:right w:val="nil"/>
                <w:between w:val="nil"/>
              </w:pBdr>
              <w:ind w:right="-57"/>
              <w:rPr>
                <w:color w:val="0000FF"/>
                <w:sz w:val="17"/>
                <w:szCs w:val="17"/>
              </w:rPr>
            </w:pPr>
          </w:p>
        </w:tc>
        <w:tc>
          <w:tcPr>
            <w:tcW w:w="765" w:type="dxa"/>
            <w:vAlign w:val="bottom"/>
          </w:tcPr>
          <w:p w14:paraId="418B845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061E2A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64074E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1D1E57C"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C5DB3E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1CB169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72F1DF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59E390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1FF356F" w14:textId="77777777" w:rsidR="008E5DE4" w:rsidRDefault="008E5DE4">
            <w:pPr>
              <w:widowControl w:val="0"/>
              <w:pBdr>
                <w:top w:val="nil"/>
                <w:left w:val="nil"/>
                <w:bottom w:val="nil"/>
                <w:right w:val="nil"/>
                <w:between w:val="nil"/>
              </w:pBdr>
              <w:jc w:val="right"/>
              <w:rPr>
                <w:color w:val="0000FF"/>
                <w:sz w:val="17"/>
                <w:szCs w:val="17"/>
              </w:rPr>
            </w:pPr>
          </w:p>
        </w:tc>
      </w:tr>
      <w:tr w:rsidR="008E5DE4" w14:paraId="5FFDDE96" w14:textId="77777777">
        <w:trPr>
          <w:cantSplit/>
          <w:tblHeader/>
        </w:trPr>
        <w:tc>
          <w:tcPr>
            <w:tcW w:w="2014" w:type="dxa"/>
            <w:vAlign w:val="bottom"/>
          </w:tcPr>
          <w:p w14:paraId="3D145606"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Accumulated depreciation </w:t>
            </w:r>
          </w:p>
        </w:tc>
        <w:tc>
          <w:tcPr>
            <w:tcW w:w="567" w:type="dxa"/>
            <w:vAlign w:val="bottom"/>
          </w:tcPr>
          <w:p w14:paraId="5034F567"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1AB7465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4131E6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C81126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EAAF45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F6CBD6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9AA94F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021E0C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EBA429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A984E3B" w14:textId="77777777" w:rsidR="008E5DE4" w:rsidRDefault="008E5DE4">
            <w:pPr>
              <w:widowControl w:val="0"/>
              <w:pBdr>
                <w:top w:val="nil"/>
                <w:left w:val="nil"/>
                <w:bottom w:val="nil"/>
                <w:right w:val="nil"/>
                <w:between w:val="nil"/>
              </w:pBdr>
              <w:jc w:val="right"/>
              <w:rPr>
                <w:color w:val="0000FF"/>
                <w:sz w:val="17"/>
                <w:szCs w:val="17"/>
              </w:rPr>
            </w:pPr>
          </w:p>
        </w:tc>
      </w:tr>
      <w:tr w:rsidR="008E5DE4" w14:paraId="516F9AFB" w14:textId="77777777">
        <w:trPr>
          <w:cantSplit/>
          <w:tblHeader/>
        </w:trPr>
        <w:tc>
          <w:tcPr>
            <w:tcW w:w="2014" w:type="dxa"/>
            <w:tcBorders>
              <w:bottom w:val="single" w:sz="4" w:space="0" w:color="000000"/>
            </w:tcBorders>
            <w:vAlign w:val="bottom"/>
          </w:tcPr>
          <w:p w14:paraId="29510054"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tcBorders>
              <w:bottom w:val="single" w:sz="4" w:space="0" w:color="000000"/>
            </w:tcBorders>
            <w:vAlign w:val="bottom"/>
          </w:tcPr>
          <w:p w14:paraId="23865635"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4" w:space="0" w:color="000000"/>
            </w:tcBorders>
            <w:vAlign w:val="bottom"/>
          </w:tcPr>
          <w:p w14:paraId="73A5F1DD"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tcPr>
          <w:p w14:paraId="403C977B"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6F8C2E9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6FE50A35"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tcPr>
          <w:p w14:paraId="40C5970E"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tcPr>
          <w:p w14:paraId="7740BB0A"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09546F5D"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0740F8AA"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629035DF" w14:textId="77777777" w:rsidR="008E5DE4" w:rsidRDefault="008E5DE4">
            <w:pPr>
              <w:widowControl w:val="0"/>
              <w:pBdr>
                <w:top w:val="nil"/>
                <w:left w:val="nil"/>
                <w:bottom w:val="nil"/>
                <w:right w:val="nil"/>
                <w:between w:val="nil"/>
              </w:pBdr>
              <w:jc w:val="right"/>
              <w:rPr>
                <w:b/>
                <w:color w:val="0000FF"/>
                <w:sz w:val="17"/>
                <w:szCs w:val="17"/>
              </w:rPr>
            </w:pPr>
          </w:p>
        </w:tc>
      </w:tr>
      <w:tr w:rsidR="008E5DE4" w14:paraId="0820B24F" w14:textId="77777777">
        <w:trPr>
          <w:cantSplit/>
          <w:tblHeader/>
        </w:trPr>
        <w:tc>
          <w:tcPr>
            <w:tcW w:w="2014" w:type="dxa"/>
            <w:vAlign w:val="bottom"/>
          </w:tcPr>
          <w:p w14:paraId="41996966" w14:textId="77777777" w:rsidR="008E5DE4" w:rsidRDefault="008E5DE4">
            <w:pPr>
              <w:widowControl w:val="0"/>
              <w:pBdr>
                <w:top w:val="nil"/>
                <w:left w:val="nil"/>
                <w:bottom w:val="nil"/>
                <w:right w:val="nil"/>
                <w:between w:val="nil"/>
              </w:pBdr>
              <w:ind w:left="113" w:right="-57" w:hanging="113"/>
              <w:rPr>
                <w:color w:val="0000FF"/>
                <w:sz w:val="17"/>
                <w:szCs w:val="17"/>
              </w:rPr>
            </w:pPr>
          </w:p>
        </w:tc>
        <w:tc>
          <w:tcPr>
            <w:tcW w:w="567" w:type="dxa"/>
            <w:vAlign w:val="bottom"/>
          </w:tcPr>
          <w:p w14:paraId="356D3C35"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3AAB820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0A889B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CB8AB7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395E61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8A8EA9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33D058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7095E4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D720AD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B174E39" w14:textId="77777777" w:rsidR="008E5DE4" w:rsidRDefault="008E5DE4">
            <w:pPr>
              <w:widowControl w:val="0"/>
              <w:pBdr>
                <w:top w:val="nil"/>
                <w:left w:val="nil"/>
                <w:bottom w:val="nil"/>
                <w:right w:val="nil"/>
                <w:between w:val="nil"/>
              </w:pBdr>
              <w:jc w:val="right"/>
              <w:rPr>
                <w:color w:val="0000FF"/>
                <w:sz w:val="17"/>
                <w:szCs w:val="17"/>
              </w:rPr>
            </w:pPr>
          </w:p>
        </w:tc>
      </w:tr>
      <w:tr w:rsidR="008E5DE4" w14:paraId="0B6D7813" w14:textId="77777777">
        <w:trPr>
          <w:cantSplit/>
          <w:tblHeader/>
        </w:trPr>
        <w:tc>
          <w:tcPr>
            <w:tcW w:w="2014" w:type="dxa"/>
            <w:vAlign w:val="bottom"/>
          </w:tcPr>
          <w:p w14:paraId="69652CC1" w14:textId="5F5C0102" w:rsidR="008E5DE4" w:rsidRDefault="00780368">
            <w:pPr>
              <w:widowControl w:val="0"/>
              <w:pBdr>
                <w:top w:val="nil"/>
                <w:left w:val="nil"/>
                <w:bottom w:val="nil"/>
                <w:right w:val="nil"/>
                <w:between w:val="nil"/>
              </w:pBdr>
              <w:ind w:left="113" w:right="-57" w:hanging="113"/>
              <w:rPr>
                <w:b/>
                <w:color w:val="0000FF"/>
                <w:sz w:val="17"/>
                <w:szCs w:val="17"/>
              </w:rPr>
            </w:pPr>
            <w:r>
              <w:rPr>
                <w:b/>
                <w:color w:val="0000FF"/>
                <w:sz w:val="17"/>
                <w:szCs w:val="17"/>
              </w:rPr>
              <w:t xml:space="preserve">Carrying amount </w:t>
            </w:r>
            <w:proofErr w:type="gramStart"/>
            <w:r>
              <w:rPr>
                <w:b/>
                <w:color w:val="0000FF"/>
                <w:sz w:val="17"/>
                <w:szCs w:val="17"/>
              </w:rPr>
              <w:t>at</w:t>
            </w:r>
            <w:proofErr w:type="gramEnd"/>
            <w:r>
              <w:rPr>
                <w:b/>
                <w:color w:val="0000FF"/>
                <w:sz w:val="17"/>
                <w:szCs w:val="17"/>
              </w:rPr>
              <w:t xml:space="preserve"> 31 December </w:t>
            </w:r>
            <w:r w:rsidR="00FF468A">
              <w:rPr>
                <w:b/>
                <w:color w:val="0000FF"/>
                <w:sz w:val="17"/>
                <w:szCs w:val="17"/>
              </w:rPr>
              <w:t>2024</w:t>
            </w:r>
          </w:p>
        </w:tc>
        <w:tc>
          <w:tcPr>
            <w:tcW w:w="567" w:type="dxa"/>
            <w:vAlign w:val="bottom"/>
          </w:tcPr>
          <w:p w14:paraId="6972E0D2" w14:textId="77777777" w:rsidR="008E5DE4" w:rsidRDefault="008E5DE4">
            <w:pPr>
              <w:widowControl w:val="0"/>
              <w:pBdr>
                <w:top w:val="nil"/>
                <w:left w:val="nil"/>
                <w:bottom w:val="nil"/>
                <w:right w:val="nil"/>
                <w:between w:val="nil"/>
              </w:pBdr>
              <w:ind w:right="-57"/>
              <w:rPr>
                <w:b/>
                <w:color w:val="0000FF"/>
                <w:sz w:val="17"/>
                <w:szCs w:val="17"/>
              </w:rPr>
            </w:pPr>
          </w:p>
        </w:tc>
        <w:tc>
          <w:tcPr>
            <w:tcW w:w="765" w:type="dxa"/>
            <w:vAlign w:val="bottom"/>
          </w:tcPr>
          <w:p w14:paraId="7727CA07"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4C7E6468"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27DEB8FB"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266B4ECD"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7DBACB3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0213C8EB"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4C0F8642"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0A9E763D"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7C2AA79F" w14:textId="77777777" w:rsidR="008E5DE4" w:rsidRDefault="008E5DE4">
            <w:pPr>
              <w:widowControl w:val="0"/>
              <w:pBdr>
                <w:top w:val="nil"/>
                <w:left w:val="nil"/>
                <w:bottom w:val="nil"/>
                <w:right w:val="nil"/>
                <w:between w:val="nil"/>
              </w:pBdr>
              <w:jc w:val="right"/>
              <w:rPr>
                <w:b/>
                <w:color w:val="0000FF"/>
                <w:sz w:val="17"/>
                <w:szCs w:val="17"/>
              </w:rPr>
            </w:pPr>
          </w:p>
        </w:tc>
      </w:tr>
      <w:tr w:rsidR="008E5DE4" w14:paraId="14329594" w14:textId="77777777">
        <w:trPr>
          <w:cantSplit/>
          <w:tblHeader/>
        </w:trPr>
        <w:tc>
          <w:tcPr>
            <w:tcW w:w="2014" w:type="dxa"/>
            <w:tcBorders>
              <w:bottom w:val="single" w:sz="12" w:space="0" w:color="000000"/>
            </w:tcBorders>
            <w:vAlign w:val="bottom"/>
          </w:tcPr>
          <w:p w14:paraId="01A42761" w14:textId="77777777" w:rsidR="008E5DE4" w:rsidRDefault="00780368">
            <w:pPr>
              <w:widowControl w:val="0"/>
              <w:pBdr>
                <w:top w:val="nil"/>
                <w:left w:val="nil"/>
                <w:bottom w:val="nil"/>
                <w:right w:val="nil"/>
                <w:between w:val="nil"/>
              </w:pBdr>
              <w:ind w:left="113" w:right="-57" w:hanging="113"/>
              <w:rPr>
                <w:b/>
                <w:color w:val="0000FF"/>
                <w:sz w:val="17"/>
                <w:szCs w:val="17"/>
              </w:rPr>
            </w:pPr>
            <w:r>
              <w:rPr>
                <w:b/>
                <w:color w:val="0000FF"/>
                <w:sz w:val="17"/>
                <w:szCs w:val="17"/>
              </w:rPr>
              <w:t> </w:t>
            </w:r>
          </w:p>
        </w:tc>
        <w:tc>
          <w:tcPr>
            <w:tcW w:w="567" w:type="dxa"/>
            <w:tcBorders>
              <w:bottom w:val="single" w:sz="12" w:space="0" w:color="000000"/>
            </w:tcBorders>
            <w:vAlign w:val="bottom"/>
          </w:tcPr>
          <w:p w14:paraId="118769BE"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12" w:space="0" w:color="000000"/>
            </w:tcBorders>
            <w:vAlign w:val="bottom"/>
          </w:tcPr>
          <w:p w14:paraId="12F045A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26AD4D1C"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6173EBCC"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3729D14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5A4E82F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1103D07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5A624E8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086BB2A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26B1F5E2" w14:textId="77777777" w:rsidR="008E5DE4" w:rsidRDefault="008E5DE4">
            <w:pPr>
              <w:widowControl w:val="0"/>
              <w:pBdr>
                <w:top w:val="nil"/>
                <w:left w:val="nil"/>
                <w:bottom w:val="nil"/>
                <w:right w:val="nil"/>
                <w:between w:val="nil"/>
              </w:pBdr>
              <w:jc w:val="right"/>
              <w:rPr>
                <w:color w:val="0000FF"/>
                <w:sz w:val="17"/>
                <w:szCs w:val="17"/>
              </w:rPr>
            </w:pPr>
          </w:p>
        </w:tc>
      </w:tr>
    </w:tbl>
    <w:p w14:paraId="73A10443" w14:textId="77777777" w:rsidR="008E5DE4" w:rsidRDefault="008E5DE4">
      <w:pPr>
        <w:widowControl w:val="0"/>
        <w:pBdr>
          <w:top w:val="nil"/>
          <w:left w:val="nil"/>
          <w:bottom w:val="nil"/>
          <w:right w:val="nil"/>
          <w:between w:val="nil"/>
        </w:pBdr>
        <w:spacing w:before="200" w:after="200"/>
        <w:jc w:val="both"/>
        <w:rPr>
          <w:i/>
          <w:color w:val="0000FF"/>
          <w:sz w:val="20"/>
          <w:szCs w:val="20"/>
        </w:rPr>
      </w:pPr>
    </w:p>
    <w:p w14:paraId="032D72B5"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9</w:t>
      </w:r>
      <w:r>
        <w:rPr>
          <w:b/>
          <w:color w:val="000000"/>
          <w:sz w:val="20"/>
          <w:szCs w:val="20"/>
        </w:rPr>
        <w:tab/>
        <w:t>Property, Plant and Equipment (Continued)</w:t>
      </w:r>
    </w:p>
    <w:tbl>
      <w:tblPr>
        <w:tblStyle w:val="aff5"/>
        <w:tblW w:w="9466" w:type="dxa"/>
        <w:tblLayout w:type="fixed"/>
        <w:tblLook w:val="0000" w:firstRow="0" w:lastRow="0" w:firstColumn="0" w:lastColumn="0" w:noHBand="0" w:noVBand="0"/>
      </w:tblPr>
      <w:tblGrid>
        <w:gridCol w:w="2014"/>
        <w:gridCol w:w="567"/>
        <w:gridCol w:w="765"/>
        <w:gridCol w:w="765"/>
        <w:gridCol w:w="765"/>
        <w:gridCol w:w="765"/>
        <w:gridCol w:w="765"/>
        <w:gridCol w:w="765"/>
        <w:gridCol w:w="765"/>
        <w:gridCol w:w="765"/>
        <w:gridCol w:w="765"/>
      </w:tblGrid>
      <w:tr w:rsidR="008E5DE4" w14:paraId="5FB0273B" w14:textId="77777777">
        <w:trPr>
          <w:cantSplit/>
          <w:tblHeader/>
        </w:trPr>
        <w:tc>
          <w:tcPr>
            <w:tcW w:w="2014" w:type="dxa"/>
            <w:tcBorders>
              <w:bottom w:val="single" w:sz="4" w:space="0" w:color="000000"/>
            </w:tcBorders>
            <w:vAlign w:val="bottom"/>
          </w:tcPr>
          <w:p w14:paraId="019640AE" w14:textId="77777777" w:rsidR="008E5DE4" w:rsidRDefault="00780368">
            <w:pPr>
              <w:widowControl w:val="0"/>
              <w:pBdr>
                <w:top w:val="nil"/>
                <w:left w:val="nil"/>
                <w:bottom w:val="nil"/>
                <w:right w:val="nil"/>
                <w:between w:val="nil"/>
              </w:pBdr>
              <w:ind w:left="113" w:right="-57" w:hanging="113"/>
              <w:rPr>
                <w:b/>
                <w:i/>
                <w:color w:val="0000FF"/>
                <w:sz w:val="17"/>
                <w:szCs w:val="17"/>
              </w:rPr>
            </w:pPr>
            <w:r>
              <w:rPr>
                <w:i/>
                <w:color w:val="0000FF"/>
                <w:sz w:val="17"/>
                <w:szCs w:val="17"/>
              </w:rPr>
              <w:t>In thousands of EUR</w:t>
            </w:r>
          </w:p>
        </w:tc>
        <w:tc>
          <w:tcPr>
            <w:tcW w:w="567" w:type="dxa"/>
            <w:tcBorders>
              <w:bottom w:val="single" w:sz="4" w:space="0" w:color="000000"/>
            </w:tcBorders>
            <w:vAlign w:val="bottom"/>
          </w:tcPr>
          <w:p w14:paraId="7C3C0C28" w14:textId="77777777" w:rsidR="008E5DE4" w:rsidRDefault="00780368">
            <w:pPr>
              <w:widowControl w:val="0"/>
              <w:pBdr>
                <w:top w:val="nil"/>
                <w:left w:val="nil"/>
                <w:bottom w:val="nil"/>
                <w:right w:val="nil"/>
                <w:between w:val="nil"/>
              </w:pBdr>
              <w:ind w:left="-57" w:right="-57"/>
              <w:jc w:val="center"/>
              <w:rPr>
                <w:b/>
                <w:color w:val="0000FF"/>
                <w:sz w:val="17"/>
                <w:szCs w:val="17"/>
              </w:rPr>
            </w:pPr>
            <w:r>
              <w:rPr>
                <w:b/>
                <w:color w:val="0000FF"/>
                <w:sz w:val="17"/>
                <w:szCs w:val="17"/>
              </w:rPr>
              <w:t>Note</w:t>
            </w:r>
          </w:p>
        </w:tc>
        <w:tc>
          <w:tcPr>
            <w:tcW w:w="765" w:type="dxa"/>
            <w:tcBorders>
              <w:bottom w:val="single" w:sz="4" w:space="0" w:color="000000"/>
            </w:tcBorders>
          </w:tcPr>
          <w:p w14:paraId="26AB4D2B"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 xml:space="preserve">Free-hold Land </w:t>
            </w:r>
          </w:p>
        </w:tc>
        <w:tc>
          <w:tcPr>
            <w:tcW w:w="765" w:type="dxa"/>
            <w:tcBorders>
              <w:bottom w:val="single" w:sz="4" w:space="0" w:color="000000"/>
            </w:tcBorders>
          </w:tcPr>
          <w:p w14:paraId="14BC2DFC"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Right-of-use asset – land</w:t>
            </w:r>
          </w:p>
        </w:tc>
        <w:tc>
          <w:tcPr>
            <w:tcW w:w="765" w:type="dxa"/>
            <w:tcBorders>
              <w:bottom w:val="single" w:sz="4" w:space="0" w:color="000000"/>
            </w:tcBorders>
          </w:tcPr>
          <w:p w14:paraId="123CDB57"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Buil-dings</w:t>
            </w:r>
          </w:p>
        </w:tc>
        <w:tc>
          <w:tcPr>
            <w:tcW w:w="765" w:type="dxa"/>
            <w:tcBorders>
              <w:bottom w:val="single" w:sz="4" w:space="0" w:color="000000"/>
            </w:tcBorders>
          </w:tcPr>
          <w:p w14:paraId="43B75453"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Plant and equip-</w:t>
            </w:r>
            <w:proofErr w:type="spellStart"/>
            <w:r>
              <w:rPr>
                <w:b/>
                <w:color w:val="0000FF"/>
                <w:sz w:val="17"/>
                <w:szCs w:val="17"/>
              </w:rPr>
              <w:t>ment</w:t>
            </w:r>
            <w:proofErr w:type="spellEnd"/>
            <w:r>
              <w:rPr>
                <w:b/>
                <w:color w:val="0000FF"/>
                <w:sz w:val="17"/>
                <w:szCs w:val="17"/>
              </w:rPr>
              <w:t xml:space="preserve"> – own use</w:t>
            </w:r>
          </w:p>
        </w:tc>
        <w:tc>
          <w:tcPr>
            <w:tcW w:w="765" w:type="dxa"/>
            <w:tcBorders>
              <w:bottom w:val="single" w:sz="4" w:space="0" w:color="000000"/>
            </w:tcBorders>
          </w:tcPr>
          <w:p w14:paraId="6B2AC513"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Plant and equip-</w:t>
            </w:r>
            <w:proofErr w:type="spellStart"/>
            <w:r>
              <w:rPr>
                <w:b/>
                <w:color w:val="0000FF"/>
                <w:sz w:val="17"/>
                <w:szCs w:val="17"/>
              </w:rPr>
              <w:t>ment</w:t>
            </w:r>
            <w:proofErr w:type="spellEnd"/>
            <w:r>
              <w:rPr>
                <w:b/>
                <w:color w:val="0000FF"/>
                <w:sz w:val="17"/>
                <w:szCs w:val="17"/>
              </w:rPr>
              <w:t xml:space="preserve"> – leased to customers</w:t>
            </w:r>
          </w:p>
        </w:tc>
        <w:tc>
          <w:tcPr>
            <w:tcW w:w="765" w:type="dxa"/>
            <w:tcBorders>
              <w:bottom w:val="single" w:sz="4" w:space="0" w:color="000000"/>
            </w:tcBorders>
          </w:tcPr>
          <w:p w14:paraId="62D74A55"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Other</w:t>
            </w:r>
          </w:p>
        </w:tc>
        <w:tc>
          <w:tcPr>
            <w:tcW w:w="765" w:type="dxa"/>
            <w:tcBorders>
              <w:bottom w:val="single" w:sz="4" w:space="0" w:color="000000"/>
            </w:tcBorders>
          </w:tcPr>
          <w:p w14:paraId="784B9663"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[Equip-</w:t>
            </w:r>
            <w:proofErr w:type="spellStart"/>
            <w:r>
              <w:rPr>
                <w:b/>
                <w:color w:val="0000FF"/>
                <w:sz w:val="17"/>
                <w:szCs w:val="17"/>
              </w:rPr>
              <w:t>ment</w:t>
            </w:r>
            <w:proofErr w:type="spellEnd"/>
            <w:r>
              <w:rPr>
                <w:b/>
                <w:color w:val="0000FF"/>
                <w:sz w:val="17"/>
                <w:szCs w:val="17"/>
              </w:rPr>
              <w:t xml:space="preserve">] leased to </w:t>
            </w:r>
            <w:proofErr w:type="spellStart"/>
            <w:r>
              <w:rPr>
                <w:b/>
                <w:color w:val="0000FF"/>
                <w:sz w:val="17"/>
                <w:szCs w:val="17"/>
              </w:rPr>
              <w:t>custo-mers</w:t>
            </w:r>
            <w:proofErr w:type="spellEnd"/>
          </w:p>
        </w:tc>
        <w:tc>
          <w:tcPr>
            <w:tcW w:w="765" w:type="dxa"/>
            <w:tcBorders>
              <w:bottom w:val="single" w:sz="4" w:space="0" w:color="000000"/>
            </w:tcBorders>
          </w:tcPr>
          <w:p w14:paraId="06D5494E"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Con-</w:t>
            </w:r>
            <w:proofErr w:type="spellStart"/>
            <w:r>
              <w:rPr>
                <w:b/>
                <w:color w:val="0000FF"/>
                <w:sz w:val="17"/>
                <w:szCs w:val="17"/>
              </w:rPr>
              <w:t>struc</w:t>
            </w:r>
            <w:proofErr w:type="spellEnd"/>
            <w:r>
              <w:rPr>
                <w:b/>
                <w:color w:val="0000FF"/>
                <w:sz w:val="17"/>
                <w:szCs w:val="17"/>
              </w:rPr>
              <w:t>-</w:t>
            </w:r>
            <w:proofErr w:type="spellStart"/>
            <w:r>
              <w:rPr>
                <w:b/>
                <w:color w:val="0000FF"/>
                <w:sz w:val="17"/>
                <w:szCs w:val="17"/>
              </w:rPr>
              <w:t>tion</w:t>
            </w:r>
            <w:proofErr w:type="spellEnd"/>
            <w:r>
              <w:rPr>
                <w:b/>
                <w:color w:val="0000FF"/>
                <w:sz w:val="17"/>
                <w:szCs w:val="17"/>
              </w:rPr>
              <w:t xml:space="preserve"> in pro-</w:t>
            </w:r>
            <w:proofErr w:type="spellStart"/>
            <w:r>
              <w:rPr>
                <w:b/>
                <w:color w:val="0000FF"/>
                <w:sz w:val="17"/>
                <w:szCs w:val="17"/>
              </w:rPr>
              <w:t>gress</w:t>
            </w:r>
            <w:proofErr w:type="spellEnd"/>
          </w:p>
        </w:tc>
        <w:tc>
          <w:tcPr>
            <w:tcW w:w="765" w:type="dxa"/>
            <w:tcBorders>
              <w:bottom w:val="single" w:sz="4" w:space="0" w:color="000000"/>
            </w:tcBorders>
          </w:tcPr>
          <w:p w14:paraId="3F69FA32" w14:textId="77777777" w:rsidR="008E5DE4" w:rsidRDefault="00780368">
            <w:pPr>
              <w:widowControl w:val="0"/>
              <w:pBdr>
                <w:top w:val="nil"/>
                <w:left w:val="nil"/>
                <w:bottom w:val="nil"/>
                <w:right w:val="nil"/>
                <w:between w:val="nil"/>
              </w:pBdr>
              <w:ind w:left="-113"/>
              <w:jc w:val="right"/>
              <w:rPr>
                <w:b/>
                <w:color w:val="0000FF"/>
                <w:sz w:val="17"/>
                <w:szCs w:val="17"/>
              </w:rPr>
            </w:pPr>
            <w:r>
              <w:rPr>
                <w:b/>
                <w:color w:val="0000FF"/>
                <w:sz w:val="17"/>
                <w:szCs w:val="17"/>
              </w:rPr>
              <w:t>Total</w:t>
            </w:r>
          </w:p>
        </w:tc>
      </w:tr>
      <w:tr w:rsidR="008E5DE4" w14:paraId="7F2381D5" w14:textId="77777777">
        <w:trPr>
          <w:cantSplit/>
          <w:tblHeader/>
        </w:trPr>
        <w:tc>
          <w:tcPr>
            <w:tcW w:w="2014" w:type="dxa"/>
            <w:vAlign w:val="bottom"/>
          </w:tcPr>
          <w:p w14:paraId="03DDDED3"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vAlign w:val="bottom"/>
          </w:tcPr>
          <w:p w14:paraId="71B9F6B4"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063A3E1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36DDFF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934C84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8F3968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3E2408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9D2A7E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180247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C045B5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E30546B" w14:textId="77777777" w:rsidR="008E5DE4" w:rsidRDefault="008E5DE4">
            <w:pPr>
              <w:widowControl w:val="0"/>
              <w:pBdr>
                <w:top w:val="nil"/>
                <w:left w:val="nil"/>
                <w:bottom w:val="nil"/>
                <w:right w:val="nil"/>
                <w:between w:val="nil"/>
              </w:pBdr>
              <w:jc w:val="right"/>
              <w:rPr>
                <w:color w:val="0000FF"/>
                <w:sz w:val="17"/>
                <w:szCs w:val="17"/>
              </w:rPr>
            </w:pPr>
          </w:p>
        </w:tc>
      </w:tr>
      <w:tr w:rsidR="008E5DE4" w14:paraId="14D49100" w14:textId="77777777">
        <w:trPr>
          <w:cantSplit/>
          <w:tblHeader/>
        </w:trPr>
        <w:tc>
          <w:tcPr>
            <w:tcW w:w="2014" w:type="dxa"/>
            <w:vAlign w:val="bottom"/>
          </w:tcPr>
          <w:p w14:paraId="1038B6FA" w14:textId="726C6AF5"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Cost [or valuation] </w:t>
            </w:r>
            <w:proofErr w:type="gramStart"/>
            <w:r>
              <w:rPr>
                <w:color w:val="0000FF"/>
                <w:sz w:val="17"/>
                <w:szCs w:val="17"/>
              </w:rPr>
              <w:t>at</w:t>
            </w:r>
            <w:proofErr w:type="gramEnd"/>
            <w:r>
              <w:rPr>
                <w:color w:val="0000FF"/>
                <w:sz w:val="17"/>
                <w:szCs w:val="17"/>
              </w:rPr>
              <w:t xml:space="preserve"> 1 January </w:t>
            </w:r>
            <w:r w:rsidR="008614F8">
              <w:rPr>
                <w:color w:val="0000FF"/>
                <w:sz w:val="17"/>
                <w:szCs w:val="17"/>
              </w:rPr>
              <w:t>2025</w:t>
            </w:r>
          </w:p>
        </w:tc>
        <w:tc>
          <w:tcPr>
            <w:tcW w:w="567" w:type="dxa"/>
            <w:vAlign w:val="bottom"/>
          </w:tcPr>
          <w:p w14:paraId="6AD04C31" w14:textId="77777777" w:rsidR="008E5DE4" w:rsidRDefault="008E5DE4">
            <w:pPr>
              <w:widowControl w:val="0"/>
              <w:pBdr>
                <w:top w:val="nil"/>
                <w:left w:val="nil"/>
                <w:bottom w:val="nil"/>
                <w:right w:val="nil"/>
                <w:between w:val="nil"/>
              </w:pBdr>
              <w:ind w:right="-57"/>
              <w:rPr>
                <w:color w:val="0000FF"/>
                <w:sz w:val="17"/>
                <w:szCs w:val="17"/>
              </w:rPr>
            </w:pPr>
          </w:p>
        </w:tc>
        <w:tc>
          <w:tcPr>
            <w:tcW w:w="765" w:type="dxa"/>
            <w:vAlign w:val="bottom"/>
          </w:tcPr>
          <w:p w14:paraId="5407D68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BBEEF0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6E40F5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62E7BB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04CEAF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1DF6E5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3979F5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AC8DA3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66892CD" w14:textId="77777777" w:rsidR="008E5DE4" w:rsidRDefault="008E5DE4">
            <w:pPr>
              <w:widowControl w:val="0"/>
              <w:pBdr>
                <w:top w:val="nil"/>
                <w:left w:val="nil"/>
                <w:bottom w:val="nil"/>
                <w:right w:val="nil"/>
                <w:between w:val="nil"/>
              </w:pBdr>
              <w:jc w:val="right"/>
              <w:rPr>
                <w:color w:val="0000FF"/>
                <w:sz w:val="17"/>
                <w:szCs w:val="17"/>
              </w:rPr>
            </w:pPr>
          </w:p>
        </w:tc>
      </w:tr>
      <w:tr w:rsidR="008E5DE4" w14:paraId="2A9CDDD0" w14:textId="77777777">
        <w:trPr>
          <w:cantSplit/>
          <w:tblHeader/>
        </w:trPr>
        <w:tc>
          <w:tcPr>
            <w:tcW w:w="2014" w:type="dxa"/>
            <w:vAlign w:val="bottom"/>
          </w:tcPr>
          <w:p w14:paraId="39CB6E43"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Accumulated depreciation </w:t>
            </w:r>
          </w:p>
        </w:tc>
        <w:tc>
          <w:tcPr>
            <w:tcW w:w="567" w:type="dxa"/>
            <w:vAlign w:val="bottom"/>
          </w:tcPr>
          <w:p w14:paraId="4C51E232"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7C5F7A8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5ED134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309F43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FE9F4C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D61907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2EF712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6D4DC2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F0EAF1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15FFDEB" w14:textId="77777777" w:rsidR="008E5DE4" w:rsidRDefault="008E5DE4">
            <w:pPr>
              <w:widowControl w:val="0"/>
              <w:pBdr>
                <w:top w:val="nil"/>
                <w:left w:val="nil"/>
                <w:bottom w:val="nil"/>
                <w:right w:val="nil"/>
                <w:between w:val="nil"/>
              </w:pBdr>
              <w:jc w:val="right"/>
              <w:rPr>
                <w:color w:val="0000FF"/>
                <w:sz w:val="17"/>
                <w:szCs w:val="17"/>
              </w:rPr>
            </w:pPr>
          </w:p>
        </w:tc>
      </w:tr>
      <w:tr w:rsidR="008E5DE4" w14:paraId="0161786F" w14:textId="77777777">
        <w:trPr>
          <w:cantSplit/>
          <w:tblHeader/>
        </w:trPr>
        <w:tc>
          <w:tcPr>
            <w:tcW w:w="2014" w:type="dxa"/>
            <w:tcBorders>
              <w:bottom w:val="single" w:sz="4" w:space="0" w:color="000000"/>
            </w:tcBorders>
            <w:vAlign w:val="bottom"/>
          </w:tcPr>
          <w:p w14:paraId="5EF64C4D" w14:textId="77777777" w:rsidR="008E5DE4" w:rsidRDefault="008E5DE4">
            <w:pPr>
              <w:widowControl w:val="0"/>
              <w:pBdr>
                <w:top w:val="nil"/>
                <w:left w:val="nil"/>
                <w:bottom w:val="nil"/>
                <w:right w:val="nil"/>
                <w:between w:val="nil"/>
              </w:pBdr>
              <w:ind w:left="113" w:right="-57" w:hanging="113"/>
              <w:rPr>
                <w:color w:val="0000FF"/>
                <w:sz w:val="17"/>
                <w:szCs w:val="17"/>
              </w:rPr>
            </w:pPr>
          </w:p>
        </w:tc>
        <w:tc>
          <w:tcPr>
            <w:tcW w:w="567" w:type="dxa"/>
            <w:tcBorders>
              <w:bottom w:val="single" w:sz="4" w:space="0" w:color="000000"/>
            </w:tcBorders>
            <w:vAlign w:val="bottom"/>
          </w:tcPr>
          <w:p w14:paraId="29DA1AB6"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4" w:space="0" w:color="000000"/>
            </w:tcBorders>
            <w:vAlign w:val="bottom"/>
          </w:tcPr>
          <w:p w14:paraId="2F3F91C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34C975E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2FBE337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2EC8DCF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6AD25BF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231F7B0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09BED8D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799267A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009F7BEA" w14:textId="77777777" w:rsidR="008E5DE4" w:rsidRDefault="008E5DE4">
            <w:pPr>
              <w:widowControl w:val="0"/>
              <w:pBdr>
                <w:top w:val="nil"/>
                <w:left w:val="nil"/>
                <w:bottom w:val="nil"/>
                <w:right w:val="nil"/>
                <w:between w:val="nil"/>
              </w:pBdr>
              <w:jc w:val="right"/>
              <w:rPr>
                <w:color w:val="0000FF"/>
                <w:sz w:val="17"/>
                <w:szCs w:val="17"/>
              </w:rPr>
            </w:pPr>
          </w:p>
        </w:tc>
      </w:tr>
      <w:tr w:rsidR="008E5DE4" w14:paraId="16DCB6A6" w14:textId="77777777">
        <w:trPr>
          <w:cantSplit/>
          <w:tblHeader/>
        </w:trPr>
        <w:tc>
          <w:tcPr>
            <w:tcW w:w="2014" w:type="dxa"/>
            <w:vAlign w:val="bottom"/>
          </w:tcPr>
          <w:p w14:paraId="1355E530" w14:textId="77777777" w:rsidR="008E5DE4" w:rsidRDefault="008E5DE4">
            <w:pPr>
              <w:widowControl w:val="0"/>
              <w:pBdr>
                <w:top w:val="nil"/>
                <w:left w:val="nil"/>
                <w:bottom w:val="nil"/>
                <w:right w:val="nil"/>
                <w:between w:val="nil"/>
              </w:pBdr>
              <w:ind w:left="113" w:right="-57" w:hanging="113"/>
              <w:rPr>
                <w:color w:val="0000FF"/>
                <w:sz w:val="17"/>
                <w:szCs w:val="17"/>
              </w:rPr>
            </w:pPr>
          </w:p>
        </w:tc>
        <w:tc>
          <w:tcPr>
            <w:tcW w:w="567" w:type="dxa"/>
            <w:vAlign w:val="bottom"/>
          </w:tcPr>
          <w:p w14:paraId="61461D84"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59E72F8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518073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5DAB94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301C36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5B17F7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573AB2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17AF15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48919D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AB0ACA9" w14:textId="77777777" w:rsidR="008E5DE4" w:rsidRDefault="008E5DE4">
            <w:pPr>
              <w:widowControl w:val="0"/>
              <w:pBdr>
                <w:top w:val="nil"/>
                <w:left w:val="nil"/>
                <w:bottom w:val="nil"/>
                <w:right w:val="nil"/>
                <w:between w:val="nil"/>
              </w:pBdr>
              <w:jc w:val="right"/>
              <w:rPr>
                <w:color w:val="0000FF"/>
                <w:sz w:val="17"/>
                <w:szCs w:val="17"/>
              </w:rPr>
            </w:pPr>
          </w:p>
        </w:tc>
      </w:tr>
      <w:tr w:rsidR="008E5DE4" w14:paraId="2039FF5C" w14:textId="77777777">
        <w:trPr>
          <w:cantSplit/>
          <w:tblHeader/>
        </w:trPr>
        <w:tc>
          <w:tcPr>
            <w:tcW w:w="2014" w:type="dxa"/>
            <w:vAlign w:val="bottom"/>
          </w:tcPr>
          <w:p w14:paraId="2C57BD52" w14:textId="558FADEA" w:rsidR="008E5DE4" w:rsidRDefault="00780368">
            <w:pPr>
              <w:widowControl w:val="0"/>
              <w:pBdr>
                <w:top w:val="nil"/>
                <w:left w:val="nil"/>
                <w:bottom w:val="nil"/>
                <w:right w:val="nil"/>
                <w:between w:val="nil"/>
              </w:pBdr>
              <w:ind w:left="113" w:right="-57" w:hanging="113"/>
              <w:rPr>
                <w:b/>
                <w:color w:val="0000FF"/>
                <w:sz w:val="17"/>
                <w:szCs w:val="17"/>
              </w:rPr>
            </w:pPr>
            <w:r>
              <w:rPr>
                <w:b/>
                <w:color w:val="0000FF"/>
                <w:sz w:val="17"/>
                <w:szCs w:val="17"/>
              </w:rPr>
              <w:t xml:space="preserve">Carrying amount </w:t>
            </w:r>
            <w:proofErr w:type="gramStart"/>
            <w:r>
              <w:rPr>
                <w:b/>
                <w:color w:val="0000FF"/>
                <w:sz w:val="17"/>
                <w:szCs w:val="17"/>
              </w:rPr>
              <w:t>at</w:t>
            </w:r>
            <w:proofErr w:type="gramEnd"/>
            <w:r>
              <w:rPr>
                <w:b/>
                <w:color w:val="0000FF"/>
                <w:sz w:val="17"/>
                <w:szCs w:val="17"/>
              </w:rPr>
              <w:t xml:space="preserve"> 1 January </w:t>
            </w:r>
            <w:r w:rsidR="008614F8">
              <w:rPr>
                <w:b/>
                <w:color w:val="0000FF"/>
                <w:sz w:val="17"/>
                <w:szCs w:val="17"/>
              </w:rPr>
              <w:t>2025</w:t>
            </w:r>
          </w:p>
        </w:tc>
        <w:tc>
          <w:tcPr>
            <w:tcW w:w="567" w:type="dxa"/>
            <w:vAlign w:val="bottom"/>
          </w:tcPr>
          <w:p w14:paraId="3D06C36A" w14:textId="77777777" w:rsidR="008E5DE4" w:rsidRDefault="008E5DE4">
            <w:pPr>
              <w:widowControl w:val="0"/>
              <w:pBdr>
                <w:top w:val="nil"/>
                <w:left w:val="nil"/>
                <w:bottom w:val="nil"/>
                <w:right w:val="nil"/>
                <w:between w:val="nil"/>
              </w:pBdr>
              <w:ind w:right="-57"/>
              <w:rPr>
                <w:b/>
                <w:color w:val="0000FF"/>
                <w:sz w:val="17"/>
                <w:szCs w:val="17"/>
              </w:rPr>
            </w:pPr>
          </w:p>
        </w:tc>
        <w:tc>
          <w:tcPr>
            <w:tcW w:w="765" w:type="dxa"/>
            <w:vAlign w:val="bottom"/>
          </w:tcPr>
          <w:p w14:paraId="47837E11"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1A8833B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763579CD"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7C8EAAC0"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08397C91"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206C810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7D9F6FF0"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68964E6F"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694BE917" w14:textId="77777777" w:rsidR="008E5DE4" w:rsidRDefault="008E5DE4">
            <w:pPr>
              <w:widowControl w:val="0"/>
              <w:pBdr>
                <w:top w:val="nil"/>
                <w:left w:val="nil"/>
                <w:bottom w:val="nil"/>
                <w:right w:val="nil"/>
                <w:between w:val="nil"/>
              </w:pBdr>
              <w:jc w:val="right"/>
              <w:rPr>
                <w:b/>
                <w:color w:val="0000FF"/>
                <w:sz w:val="17"/>
                <w:szCs w:val="17"/>
              </w:rPr>
            </w:pPr>
          </w:p>
        </w:tc>
      </w:tr>
      <w:tr w:rsidR="008E5DE4" w14:paraId="163BF13B" w14:textId="77777777">
        <w:trPr>
          <w:cantSplit/>
          <w:tblHeader/>
        </w:trPr>
        <w:tc>
          <w:tcPr>
            <w:tcW w:w="2014" w:type="dxa"/>
            <w:vAlign w:val="bottom"/>
          </w:tcPr>
          <w:p w14:paraId="6C062464"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vAlign w:val="bottom"/>
          </w:tcPr>
          <w:p w14:paraId="42AF0478" w14:textId="77777777" w:rsidR="008E5DE4" w:rsidRDefault="008E5DE4">
            <w:pPr>
              <w:widowControl w:val="0"/>
              <w:pBdr>
                <w:top w:val="nil"/>
                <w:left w:val="nil"/>
                <w:bottom w:val="nil"/>
                <w:right w:val="nil"/>
                <w:between w:val="nil"/>
              </w:pBdr>
              <w:ind w:right="-57"/>
              <w:rPr>
                <w:b/>
                <w:color w:val="0000FF"/>
                <w:sz w:val="17"/>
                <w:szCs w:val="17"/>
              </w:rPr>
            </w:pPr>
          </w:p>
        </w:tc>
        <w:tc>
          <w:tcPr>
            <w:tcW w:w="765" w:type="dxa"/>
            <w:vAlign w:val="bottom"/>
          </w:tcPr>
          <w:p w14:paraId="4F4B380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13B21701"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32293165"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7158B3B9"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72F3BDB6"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0BC1D28D"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25B72033"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7D5B081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2853143B" w14:textId="77777777" w:rsidR="008E5DE4" w:rsidRDefault="008E5DE4">
            <w:pPr>
              <w:widowControl w:val="0"/>
              <w:pBdr>
                <w:top w:val="nil"/>
                <w:left w:val="nil"/>
                <w:bottom w:val="nil"/>
                <w:right w:val="nil"/>
                <w:between w:val="nil"/>
              </w:pBdr>
              <w:jc w:val="right"/>
              <w:rPr>
                <w:b/>
                <w:color w:val="0000FF"/>
                <w:sz w:val="17"/>
                <w:szCs w:val="17"/>
              </w:rPr>
            </w:pPr>
          </w:p>
        </w:tc>
      </w:tr>
      <w:tr w:rsidR="008E5DE4" w14:paraId="59ACC489" w14:textId="77777777">
        <w:trPr>
          <w:cantSplit/>
          <w:tblHeader/>
        </w:trPr>
        <w:tc>
          <w:tcPr>
            <w:tcW w:w="2014" w:type="dxa"/>
            <w:vAlign w:val="bottom"/>
          </w:tcPr>
          <w:p w14:paraId="14A21717"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Acquisitions through business combinations</w:t>
            </w:r>
          </w:p>
        </w:tc>
        <w:tc>
          <w:tcPr>
            <w:tcW w:w="567" w:type="dxa"/>
            <w:vAlign w:val="bottom"/>
          </w:tcPr>
          <w:p w14:paraId="295C78BE"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50</w:t>
            </w:r>
          </w:p>
        </w:tc>
        <w:tc>
          <w:tcPr>
            <w:tcW w:w="765" w:type="dxa"/>
            <w:vAlign w:val="bottom"/>
          </w:tcPr>
          <w:p w14:paraId="5B90CB0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CC948E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0FF51D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DF453B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13D6C4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C709C5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72B862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BC79037"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1F47156" w14:textId="77777777" w:rsidR="008E5DE4" w:rsidRDefault="008E5DE4">
            <w:pPr>
              <w:widowControl w:val="0"/>
              <w:pBdr>
                <w:top w:val="nil"/>
                <w:left w:val="nil"/>
                <w:bottom w:val="nil"/>
                <w:right w:val="nil"/>
                <w:between w:val="nil"/>
              </w:pBdr>
              <w:jc w:val="right"/>
              <w:rPr>
                <w:color w:val="0000FF"/>
                <w:sz w:val="17"/>
                <w:szCs w:val="17"/>
              </w:rPr>
            </w:pPr>
          </w:p>
        </w:tc>
      </w:tr>
      <w:tr w:rsidR="008E5DE4" w14:paraId="09A86ECC" w14:textId="77777777">
        <w:trPr>
          <w:cantSplit/>
          <w:tblHeader/>
        </w:trPr>
        <w:tc>
          <w:tcPr>
            <w:tcW w:w="2014" w:type="dxa"/>
            <w:vAlign w:val="bottom"/>
          </w:tcPr>
          <w:p w14:paraId="53FCA2DF"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Additions</w:t>
            </w:r>
          </w:p>
        </w:tc>
        <w:tc>
          <w:tcPr>
            <w:tcW w:w="567" w:type="dxa"/>
            <w:vAlign w:val="bottom"/>
          </w:tcPr>
          <w:p w14:paraId="1E011C75"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2BAD670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6557B8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8711F6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6CD48D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C713FD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FAA26B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D9D1D7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F8135C7"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AF8E651" w14:textId="77777777" w:rsidR="008E5DE4" w:rsidRDefault="008E5DE4">
            <w:pPr>
              <w:widowControl w:val="0"/>
              <w:pBdr>
                <w:top w:val="nil"/>
                <w:left w:val="nil"/>
                <w:bottom w:val="nil"/>
                <w:right w:val="nil"/>
                <w:between w:val="nil"/>
              </w:pBdr>
              <w:jc w:val="right"/>
              <w:rPr>
                <w:color w:val="0000FF"/>
                <w:sz w:val="17"/>
                <w:szCs w:val="17"/>
              </w:rPr>
            </w:pPr>
          </w:p>
        </w:tc>
      </w:tr>
      <w:tr w:rsidR="008E5DE4" w14:paraId="251382A5" w14:textId="77777777">
        <w:trPr>
          <w:cantSplit/>
          <w:tblHeader/>
        </w:trPr>
        <w:tc>
          <w:tcPr>
            <w:tcW w:w="2014" w:type="dxa"/>
            <w:vAlign w:val="bottom"/>
          </w:tcPr>
          <w:p w14:paraId="1DAF3285"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Changes in estimates of asset retirement obligations</w:t>
            </w:r>
          </w:p>
        </w:tc>
        <w:tc>
          <w:tcPr>
            <w:tcW w:w="567" w:type="dxa"/>
            <w:vAlign w:val="bottom"/>
          </w:tcPr>
          <w:p w14:paraId="6531EACF"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32</w:t>
            </w:r>
          </w:p>
        </w:tc>
        <w:tc>
          <w:tcPr>
            <w:tcW w:w="765" w:type="dxa"/>
            <w:vAlign w:val="bottom"/>
          </w:tcPr>
          <w:p w14:paraId="470A06E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6B6ACF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917828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5F6A73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278E73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34A9F0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0C3303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B1DD76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2DD0B9D" w14:textId="77777777" w:rsidR="008E5DE4" w:rsidRDefault="008E5DE4">
            <w:pPr>
              <w:widowControl w:val="0"/>
              <w:pBdr>
                <w:top w:val="nil"/>
                <w:left w:val="nil"/>
                <w:bottom w:val="nil"/>
                <w:right w:val="nil"/>
                <w:between w:val="nil"/>
              </w:pBdr>
              <w:jc w:val="right"/>
              <w:rPr>
                <w:color w:val="0000FF"/>
                <w:sz w:val="17"/>
                <w:szCs w:val="17"/>
              </w:rPr>
            </w:pPr>
          </w:p>
        </w:tc>
      </w:tr>
      <w:tr w:rsidR="008E5DE4" w14:paraId="63524F30" w14:textId="77777777">
        <w:trPr>
          <w:cantSplit/>
          <w:tblHeader/>
        </w:trPr>
        <w:tc>
          <w:tcPr>
            <w:tcW w:w="2014" w:type="dxa"/>
            <w:vAlign w:val="bottom"/>
          </w:tcPr>
          <w:p w14:paraId="7887AA1D"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Capitalised borrowing costs</w:t>
            </w:r>
          </w:p>
        </w:tc>
        <w:tc>
          <w:tcPr>
            <w:tcW w:w="567" w:type="dxa"/>
            <w:vAlign w:val="bottom"/>
          </w:tcPr>
          <w:p w14:paraId="079600E4"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37</w:t>
            </w:r>
          </w:p>
        </w:tc>
        <w:tc>
          <w:tcPr>
            <w:tcW w:w="765" w:type="dxa"/>
            <w:vAlign w:val="bottom"/>
          </w:tcPr>
          <w:p w14:paraId="20ACE31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3911FB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17B271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C98901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3DD05F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13BC53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D0A27C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9A3B6E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8ABD68B" w14:textId="77777777" w:rsidR="008E5DE4" w:rsidRDefault="008E5DE4">
            <w:pPr>
              <w:widowControl w:val="0"/>
              <w:pBdr>
                <w:top w:val="nil"/>
                <w:left w:val="nil"/>
                <w:bottom w:val="nil"/>
                <w:right w:val="nil"/>
                <w:between w:val="nil"/>
              </w:pBdr>
              <w:jc w:val="right"/>
              <w:rPr>
                <w:color w:val="0000FF"/>
                <w:sz w:val="17"/>
                <w:szCs w:val="17"/>
              </w:rPr>
            </w:pPr>
          </w:p>
        </w:tc>
      </w:tr>
      <w:tr w:rsidR="008E5DE4" w14:paraId="3971F966" w14:textId="77777777">
        <w:trPr>
          <w:cantSplit/>
          <w:tblHeader/>
        </w:trPr>
        <w:tc>
          <w:tcPr>
            <w:tcW w:w="2014" w:type="dxa"/>
            <w:vAlign w:val="bottom"/>
          </w:tcPr>
          <w:p w14:paraId="67B4C338"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Transfers</w:t>
            </w:r>
          </w:p>
        </w:tc>
        <w:tc>
          <w:tcPr>
            <w:tcW w:w="567" w:type="dxa"/>
            <w:vAlign w:val="bottom"/>
          </w:tcPr>
          <w:p w14:paraId="1CB232EF"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7B58AA6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38E185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D49BE2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111404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DDCAB2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59EE79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C26447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31DA28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2F12DAC" w14:textId="77777777" w:rsidR="008E5DE4" w:rsidRDefault="008E5DE4">
            <w:pPr>
              <w:widowControl w:val="0"/>
              <w:pBdr>
                <w:top w:val="nil"/>
                <w:left w:val="nil"/>
                <w:bottom w:val="nil"/>
                <w:right w:val="nil"/>
                <w:between w:val="nil"/>
              </w:pBdr>
              <w:jc w:val="right"/>
              <w:rPr>
                <w:color w:val="0000FF"/>
                <w:sz w:val="17"/>
                <w:szCs w:val="17"/>
              </w:rPr>
            </w:pPr>
          </w:p>
        </w:tc>
      </w:tr>
      <w:tr w:rsidR="008E5DE4" w14:paraId="7F36615E" w14:textId="77777777">
        <w:trPr>
          <w:cantSplit/>
          <w:tblHeader/>
        </w:trPr>
        <w:tc>
          <w:tcPr>
            <w:tcW w:w="2014" w:type="dxa"/>
            <w:vAlign w:val="bottom"/>
          </w:tcPr>
          <w:p w14:paraId="647996B1"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Reclassification to non-current assets held for sale (or disposal groups)</w:t>
            </w:r>
          </w:p>
        </w:tc>
        <w:tc>
          <w:tcPr>
            <w:tcW w:w="567" w:type="dxa"/>
            <w:vAlign w:val="bottom"/>
          </w:tcPr>
          <w:p w14:paraId="2796FFEF"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25</w:t>
            </w:r>
          </w:p>
        </w:tc>
        <w:tc>
          <w:tcPr>
            <w:tcW w:w="765" w:type="dxa"/>
            <w:vAlign w:val="bottom"/>
          </w:tcPr>
          <w:p w14:paraId="66E5426C"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43217D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0C8FDC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9BB918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BC9EB2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C4E7F6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A7B26A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187AFE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D7366A9" w14:textId="77777777" w:rsidR="008E5DE4" w:rsidRDefault="008E5DE4">
            <w:pPr>
              <w:widowControl w:val="0"/>
              <w:pBdr>
                <w:top w:val="nil"/>
                <w:left w:val="nil"/>
                <w:bottom w:val="nil"/>
                <w:right w:val="nil"/>
                <w:between w:val="nil"/>
              </w:pBdr>
              <w:jc w:val="right"/>
              <w:rPr>
                <w:color w:val="0000FF"/>
                <w:sz w:val="17"/>
                <w:szCs w:val="17"/>
              </w:rPr>
            </w:pPr>
          </w:p>
        </w:tc>
      </w:tr>
      <w:tr w:rsidR="008E5DE4" w14:paraId="62B897C3" w14:textId="77777777">
        <w:trPr>
          <w:cantSplit/>
          <w:tblHeader/>
        </w:trPr>
        <w:tc>
          <w:tcPr>
            <w:tcW w:w="2014" w:type="dxa"/>
            <w:vAlign w:val="bottom"/>
          </w:tcPr>
          <w:p w14:paraId="64425CA4"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Disposals</w:t>
            </w:r>
          </w:p>
        </w:tc>
        <w:tc>
          <w:tcPr>
            <w:tcW w:w="567" w:type="dxa"/>
            <w:vAlign w:val="bottom"/>
          </w:tcPr>
          <w:p w14:paraId="60E8E567"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61B59AD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F026F6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B78332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D4E771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63BA22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8C92C5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8B765A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EC3229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F13B94C" w14:textId="77777777" w:rsidR="008E5DE4" w:rsidRDefault="008E5DE4">
            <w:pPr>
              <w:widowControl w:val="0"/>
              <w:pBdr>
                <w:top w:val="nil"/>
                <w:left w:val="nil"/>
                <w:bottom w:val="nil"/>
                <w:right w:val="nil"/>
                <w:between w:val="nil"/>
              </w:pBdr>
              <w:jc w:val="right"/>
              <w:rPr>
                <w:color w:val="0000FF"/>
                <w:sz w:val="17"/>
                <w:szCs w:val="17"/>
              </w:rPr>
            </w:pPr>
          </w:p>
        </w:tc>
      </w:tr>
      <w:tr w:rsidR="008E5DE4" w14:paraId="7E99EED6" w14:textId="77777777">
        <w:trPr>
          <w:cantSplit/>
          <w:tblHeader/>
        </w:trPr>
        <w:tc>
          <w:tcPr>
            <w:tcW w:w="2014" w:type="dxa"/>
            <w:vAlign w:val="bottom"/>
          </w:tcPr>
          <w:p w14:paraId="5EA2F71E"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Depreciation charge </w:t>
            </w:r>
          </w:p>
        </w:tc>
        <w:tc>
          <w:tcPr>
            <w:tcW w:w="567" w:type="dxa"/>
            <w:vAlign w:val="bottom"/>
          </w:tcPr>
          <w:p w14:paraId="2CEF2D97"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36</w:t>
            </w:r>
          </w:p>
        </w:tc>
        <w:tc>
          <w:tcPr>
            <w:tcW w:w="765" w:type="dxa"/>
            <w:vAlign w:val="bottom"/>
          </w:tcPr>
          <w:p w14:paraId="6EB4BEB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705498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0E35C6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D5C750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F03057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1F61B7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988B7F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D07463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B1E907E" w14:textId="77777777" w:rsidR="008E5DE4" w:rsidRDefault="008E5DE4">
            <w:pPr>
              <w:widowControl w:val="0"/>
              <w:pBdr>
                <w:top w:val="nil"/>
                <w:left w:val="nil"/>
                <w:bottom w:val="nil"/>
                <w:right w:val="nil"/>
                <w:between w:val="nil"/>
              </w:pBdr>
              <w:jc w:val="right"/>
              <w:rPr>
                <w:color w:val="0000FF"/>
                <w:sz w:val="17"/>
                <w:szCs w:val="17"/>
              </w:rPr>
            </w:pPr>
          </w:p>
        </w:tc>
      </w:tr>
      <w:tr w:rsidR="008E5DE4" w14:paraId="17BA96D9" w14:textId="77777777">
        <w:trPr>
          <w:cantSplit/>
          <w:tblHeader/>
        </w:trPr>
        <w:tc>
          <w:tcPr>
            <w:tcW w:w="2014" w:type="dxa"/>
            <w:vAlign w:val="bottom"/>
          </w:tcPr>
          <w:p w14:paraId="726C895E"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Impairment charge to profit or loss</w:t>
            </w:r>
          </w:p>
        </w:tc>
        <w:tc>
          <w:tcPr>
            <w:tcW w:w="567" w:type="dxa"/>
            <w:vAlign w:val="bottom"/>
          </w:tcPr>
          <w:p w14:paraId="48DEBE47"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36</w:t>
            </w:r>
          </w:p>
        </w:tc>
        <w:tc>
          <w:tcPr>
            <w:tcW w:w="765" w:type="dxa"/>
            <w:vAlign w:val="bottom"/>
          </w:tcPr>
          <w:p w14:paraId="24368F9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C309AD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FB0AF9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84C7E3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9928EF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6849B0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83B9BC7"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1D40B6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EC5DCF6" w14:textId="77777777" w:rsidR="008E5DE4" w:rsidRDefault="008E5DE4">
            <w:pPr>
              <w:widowControl w:val="0"/>
              <w:pBdr>
                <w:top w:val="nil"/>
                <w:left w:val="nil"/>
                <w:bottom w:val="nil"/>
                <w:right w:val="nil"/>
                <w:between w:val="nil"/>
              </w:pBdr>
              <w:jc w:val="right"/>
              <w:rPr>
                <w:color w:val="0000FF"/>
                <w:sz w:val="17"/>
                <w:szCs w:val="17"/>
              </w:rPr>
            </w:pPr>
          </w:p>
        </w:tc>
      </w:tr>
      <w:tr w:rsidR="008E5DE4" w14:paraId="57FA1068" w14:textId="77777777">
        <w:trPr>
          <w:cantSplit/>
          <w:tblHeader/>
        </w:trPr>
        <w:tc>
          <w:tcPr>
            <w:tcW w:w="2014" w:type="dxa"/>
            <w:vAlign w:val="bottom"/>
          </w:tcPr>
          <w:p w14:paraId="6C39AF43"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Reversals of impairment through profit or loss</w:t>
            </w:r>
          </w:p>
        </w:tc>
        <w:tc>
          <w:tcPr>
            <w:tcW w:w="567" w:type="dxa"/>
            <w:vAlign w:val="bottom"/>
          </w:tcPr>
          <w:p w14:paraId="7C059286"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36</w:t>
            </w:r>
          </w:p>
        </w:tc>
        <w:tc>
          <w:tcPr>
            <w:tcW w:w="765" w:type="dxa"/>
            <w:vAlign w:val="bottom"/>
          </w:tcPr>
          <w:p w14:paraId="7CD3222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AD3102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E1FB97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21A78B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C95318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29A2BA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F8ACD6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AF62FA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18DCCE4" w14:textId="77777777" w:rsidR="008E5DE4" w:rsidRDefault="008E5DE4">
            <w:pPr>
              <w:widowControl w:val="0"/>
              <w:pBdr>
                <w:top w:val="nil"/>
                <w:left w:val="nil"/>
                <w:bottom w:val="nil"/>
                <w:right w:val="nil"/>
                <w:between w:val="nil"/>
              </w:pBdr>
              <w:jc w:val="right"/>
              <w:rPr>
                <w:color w:val="0000FF"/>
                <w:sz w:val="17"/>
                <w:szCs w:val="17"/>
              </w:rPr>
            </w:pPr>
          </w:p>
        </w:tc>
      </w:tr>
      <w:tr w:rsidR="008E5DE4" w14:paraId="517B7CC4" w14:textId="77777777">
        <w:trPr>
          <w:cantSplit/>
          <w:tblHeader/>
        </w:trPr>
        <w:tc>
          <w:tcPr>
            <w:tcW w:w="2014" w:type="dxa"/>
            <w:vAlign w:val="bottom"/>
          </w:tcPr>
          <w:p w14:paraId="2F544DDC"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Revaluation </w:t>
            </w:r>
          </w:p>
        </w:tc>
        <w:tc>
          <w:tcPr>
            <w:tcW w:w="567" w:type="dxa"/>
            <w:vAlign w:val="bottom"/>
          </w:tcPr>
          <w:p w14:paraId="503BAFDC" w14:textId="77777777" w:rsidR="008E5DE4" w:rsidRDefault="00780368">
            <w:pPr>
              <w:widowControl w:val="0"/>
              <w:pBdr>
                <w:top w:val="nil"/>
                <w:left w:val="nil"/>
                <w:bottom w:val="nil"/>
                <w:right w:val="nil"/>
                <w:between w:val="nil"/>
              </w:pBdr>
              <w:ind w:left="-57" w:right="-57"/>
              <w:jc w:val="center"/>
              <w:rPr>
                <w:color w:val="0000FF"/>
                <w:sz w:val="17"/>
                <w:szCs w:val="17"/>
              </w:rPr>
            </w:pPr>
            <w:r>
              <w:rPr>
                <w:color w:val="0000FF"/>
                <w:sz w:val="17"/>
                <w:szCs w:val="17"/>
              </w:rPr>
              <w:t>27</w:t>
            </w:r>
          </w:p>
        </w:tc>
        <w:tc>
          <w:tcPr>
            <w:tcW w:w="765" w:type="dxa"/>
            <w:vAlign w:val="bottom"/>
          </w:tcPr>
          <w:p w14:paraId="1CD67AF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B37383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075109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60B478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9C2EBF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5E437B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F3ACD3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DDF670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E7FA221" w14:textId="77777777" w:rsidR="008E5DE4" w:rsidRDefault="008E5DE4">
            <w:pPr>
              <w:widowControl w:val="0"/>
              <w:pBdr>
                <w:top w:val="nil"/>
                <w:left w:val="nil"/>
                <w:bottom w:val="nil"/>
                <w:right w:val="nil"/>
                <w:between w:val="nil"/>
              </w:pBdr>
              <w:jc w:val="right"/>
              <w:rPr>
                <w:color w:val="0000FF"/>
                <w:sz w:val="17"/>
                <w:szCs w:val="17"/>
              </w:rPr>
            </w:pPr>
          </w:p>
        </w:tc>
      </w:tr>
      <w:tr w:rsidR="008E5DE4" w14:paraId="1CCB063C" w14:textId="77777777">
        <w:trPr>
          <w:cantSplit/>
          <w:tblHeader/>
        </w:trPr>
        <w:tc>
          <w:tcPr>
            <w:tcW w:w="2014" w:type="dxa"/>
            <w:vAlign w:val="bottom"/>
          </w:tcPr>
          <w:p w14:paraId="096E4E90"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[Effect of translation to presentation currency]</w:t>
            </w:r>
          </w:p>
        </w:tc>
        <w:tc>
          <w:tcPr>
            <w:tcW w:w="567" w:type="dxa"/>
            <w:vAlign w:val="bottom"/>
          </w:tcPr>
          <w:p w14:paraId="67C8983E"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158569A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A31F69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9CCF18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65B254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1B309E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C91058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28E78A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EB8036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4683521" w14:textId="77777777" w:rsidR="008E5DE4" w:rsidRDefault="008E5DE4">
            <w:pPr>
              <w:widowControl w:val="0"/>
              <w:pBdr>
                <w:top w:val="nil"/>
                <w:left w:val="nil"/>
                <w:bottom w:val="nil"/>
                <w:right w:val="nil"/>
                <w:between w:val="nil"/>
              </w:pBdr>
              <w:jc w:val="right"/>
              <w:rPr>
                <w:color w:val="0000FF"/>
                <w:sz w:val="17"/>
                <w:szCs w:val="17"/>
              </w:rPr>
            </w:pPr>
          </w:p>
        </w:tc>
      </w:tr>
      <w:tr w:rsidR="008E5DE4" w14:paraId="4C3B7244" w14:textId="77777777">
        <w:trPr>
          <w:cantSplit/>
          <w:tblHeader/>
        </w:trPr>
        <w:tc>
          <w:tcPr>
            <w:tcW w:w="2014" w:type="dxa"/>
            <w:vAlign w:val="bottom"/>
          </w:tcPr>
          <w:p w14:paraId="33BAFE12"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Other</w:t>
            </w:r>
          </w:p>
        </w:tc>
        <w:tc>
          <w:tcPr>
            <w:tcW w:w="567" w:type="dxa"/>
            <w:vAlign w:val="bottom"/>
          </w:tcPr>
          <w:p w14:paraId="27B1BCF3"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68AA89E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1790B4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BB3858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1157B8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02FF54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AE28B5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007CED6"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696BFE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04E05A6" w14:textId="77777777" w:rsidR="008E5DE4" w:rsidRDefault="008E5DE4">
            <w:pPr>
              <w:widowControl w:val="0"/>
              <w:pBdr>
                <w:top w:val="nil"/>
                <w:left w:val="nil"/>
                <w:bottom w:val="nil"/>
                <w:right w:val="nil"/>
                <w:between w:val="nil"/>
              </w:pBdr>
              <w:jc w:val="right"/>
              <w:rPr>
                <w:color w:val="0000FF"/>
                <w:sz w:val="17"/>
                <w:szCs w:val="17"/>
              </w:rPr>
            </w:pPr>
          </w:p>
        </w:tc>
      </w:tr>
      <w:tr w:rsidR="008E5DE4" w14:paraId="194FEFFC" w14:textId="77777777">
        <w:trPr>
          <w:cantSplit/>
          <w:tblHeader/>
        </w:trPr>
        <w:tc>
          <w:tcPr>
            <w:tcW w:w="2014" w:type="dxa"/>
            <w:tcBorders>
              <w:bottom w:val="single" w:sz="4" w:space="0" w:color="000000"/>
            </w:tcBorders>
            <w:vAlign w:val="bottom"/>
          </w:tcPr>
          <w:p w14:paraId="1F9B870E"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tcBorders>
              <w:bottom w:val="single" w:sz="4" w:space="0" w:color="000000"/>
            </w:tcBorders>
            <w:vAlign w:val="bottom"/>
          </w:tcPr>
          <w:p w14:paraId="2C98D89D"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4" w:space="0" w:color="000000"/>
            </w:tcBorders>
            <w:vAlign w:val="bottom"/>
          </w:tcPr>
          <w:p w14:paraId="7EBABF2C"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5D44E76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376E545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1EA5E24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5CE757E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tcPr>
          <w:p w14:paraId="3223E7A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267B988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6E96AA0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4" w:space="0" w:color="000000"/>
            </w:tcBorders>
            <w:vAlign w:val="bottom"/>
          </w:tcPr>
          <w:p w14:paraId="250704CD" w14:textId="77777777" w:rsidR="008E5DE4" w:rsidRDefault="008E5DE4">
            <w:pPr>
              <w:widowControl w:val="0"/>
              <w:pBdr>
                <w:top w:val="nil"/>
                <w:left w:val="nil"/>
                <w:bottom w:val="nil"/>
                <w:right w:val="nil"/>
                <w:between w:val="nil"/>
              </w:pBdr>
              <w:jc w:val="right"/>
              <w:rPr>
                <w:color w:val="0000FF"/>
                <w:sz w:val="17"/>
                <w:szCs w:val="17"/>
              </w:rPr>
            </w:pPr>
          </w:p>
        </w:tc>
      </w:tr>
      <w:tr w:rsidR="008E5DE4" w14:paraId="3C3A686E" w14:textId="77777777">
        <w:trPr>
          <w:cantSplit/>
          <w:tblHeader/>
        </w:trPr>
        <w:tc>
          <w:tcPr>
            <w:tcW w:w="2014" w:type="dxa"/>
            <w:vAlign w:val="bottom"/>
          </w:tcPr>
          <w:p w14:paraId="2AB66346"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vAlign w:val="bottom"/>
          </w:tcPr>
          <w:p w14:paraId="320B4E45"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76C67EBC"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37F8F20D"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46AAB0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B2FD7E6"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257A80C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7AB0D42"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8289B4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8DAE29E"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03494BA" w14:textId="77777777" w:rsidR="008E5DE4" w:rsidRDefault="008E5DE4">
            <w:pPr>
              <w:widowControl w:val="0"/>
              <w:pBdr>
                <w:top w:val="nil"/>
                <w:left w:val="nil"/>
                <w:bottom w:val="nil"/>
                <w:right w:val="nil"/>
                <w:between w:val="nil"/>
              </w:pBdr>
              <w:jc w:val="right"/>
              <w:rPr>
                <w:color w:val="0000FF"/>
                <w:sz w:val="17"/>
                <w:szCs w:val="17"/>
              </w:rPr>
            </w:pPr>
          </w:p>
        </w:tc>
      </w:tr>
      <w:tr w:rsidR="008E5DE4" w14:paraId="08D8681D" w14:textId="77777777">
        <w:trPr>
          <w:cantSplit/>
          <w:tblHeader/>
        </w:trPr>
        <w:tc>
          <w:tcPr>
            <w:tcW w:w="2014" w:type="dxa"/>
            <w:vAlign w:val="bottom"/>
          </w:tcPr>
          <w:p w14:paraId="27C51B08" w14:textId="6AA59B57" w:rsidR="008E5DE4" w:rsidRDefault="00780368">
            <w:pPr>
              <w:widowControl w:val="0"/>
              <w:pBdr>
                <w:top w:val="nil"/>
                <w:left w:val="nil"/>
                <w:bottom w:val="nil"/>
                <w:right w:val="nil"/>
                <w:between w:val="nil"/>
              </w:pBdr>
              <w:ind w:left="113" w:right="-57" w:hanging="113"/>
              <w:rPr>
                <w:b/>
                <w:color w:val="0000FF"/>
                <w:sz w:val="17"/>
                <w:szCs w:val="17"/>
              </w:rPr>
            </w:pPr>
            <w:r>
              <w:rPr>
                <w:b/>
                <w:color w:val="0000FF"/>
                <w:sz w:val="17"/>
                <w:szCs w:val="17"/>
              </w:rPr>
              <w:t xml:space="preserve">Carrying amount </w:t>
            </w:r>
            <w:proofErr w:type="gramStart"/>
            <w:r>
              <w:rPr>
                <w:b/>
                <w:color w:val="0000FF"/>
                <w:sz w:val="17"/>
                <w:szCs w:val="17"/>
              </w:rPr>
              <w:t>at</w:t>
            </w:r>
            <w:proofErr w:type="gramEnd"/>
            <w:r>
              <w:rPr>
                <w:b/>
                <w:color w:val="0000FF"/>
                <w:sz w:val="17"/>
                <w:szCs w:val="17"/>
              </w:rPr>
              <w:t xml:space="preserve"> 31 December </w:t>
            </w:r>
            <w:r w:rsidR="008614F8">
              <w:rPr>
                <w:b/>
                <w:color w:val="0000FF"/>
                <w:sz w:val="17"/>
                <w:szCs w:val="17"/>
              </w:rPr>
              <w:t>2025</w:t>
            </w:r>
          </w:p>
        </w:tc>
        <w:tc>
          <w:tcPr>
            <w:tcW w:w="567" w:type="dxa"/>
            <w:vAlign w:val="bottom"/>
          </w:tcPr>
          <w:p w14:paraId="4FAAB7EE" w14:textId="77777777" w:rsidR="008E5DE4" w:rsidRDefault="008E5DE4">
            <w:pPr>
              <w:widowControl w:val="0"/>
              <w:pBdr>
                <w:top w:val="nil"/>
                <w:left w:val="nil"/>
                <w:bottom w:val="nil"/>
                <w:right w:val="nil"/>
                <w:between w:val="nil"/>
              </w:pBdr>
              <w:ind w:right="-57"/>
              <w:rPr>
                <w:b/>
                <w:color w:val="0000FF"/>
                <w:sz w:val="17"/>
                <w:szCs w:val="17"/>
              </w:rPr>
            </w:pPr>
          </w:p>
        </w:tc>
        <w:tc>
          <w:tcPr>
            <w:tcW w:w="765" w:type="dxa"/>
            <w:vAlign w:val="bottom"/>
          </w:tcPr>
          <w:p w14:paraId="635EFDE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E3E611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A1FFD6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8496C40"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3CABB8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389E41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BFF43D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ADA0C2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A123DC4" w14:textId="77777777" w:rsidR="008E5DE4" w:rsidRDefault="008E5DE4">
            <w:pPr>
              <w:widowControl w:val="0"/>
              <w:pBdr>
                <w:top w:val="nil"/>
                <w:left w:val="nil"/>
                <w:bottom w:val="nil"/>
                <w:right w:val="nil"/>
                <w:between w:val="nil"/>
              </w:pBdr>
              <w:jc w:val="right"/>
              <w:rPr>
                <w:color w:val="0000FF"/>
                <w:sz w:val="17"/>
                <w:szCs w:val="17"/>
              </w:rPr>
            </w:pPr>
          </w:p>
        </w:tc>
      </w:tr>
      <w:tr w:rsidR="008E5DE4" w14:paraId="0CE9C4CE" w14:textId="77777777">
        <w:trPr>
          <w:cantSplit/>
          <w:tblHeader/>
        </w:trPr>
        <w:tc>
          <w:tcPr>
            <w:tcW w:w="2014" w:type="dxa"/>
            <w:tcBorders>
              <w:bottom w:val="single" w:sz="12" w:space="0" w:color="000000"/>
            </w:tcBorders>
            <w:vAlign w:val="bottom"/>
          </w:tcPr>
          <w:p w14:paraId="711EE731"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tcBorders>
              <w:bottom w:val="single" w:sz="12" w:space="0" w:color="000000"/>
            </w:tcBorders>
            <w:vAlign w:val="bottom"/>
          </w:tcPr>
          <w:p w14:paraId="499827A7"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12" w:space="0" w:color="000000"/>
            </w:tcBorders>
            <w:vAlign w:val="bottom"/>
          </w:tcPr>
          <w:p w14:paraId="6D361E6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5038AB4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2910CC8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0483B7F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4C35D69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4876912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07AC9D9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0426FB8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668B668B" w14:textId="77777777" w:rsidR="008E5DE4" w:rsidRDefault="008E5DE4">
            <w:pPr>
              <w:widowControl w:val="0"/>
              <w:pBdr>
                <w:top w:val="nil"/>
                <w:left w:val="nil"/>
                <w:bottom w:val="nil"/>
                <w:right w:val="nil"/>
                <w:between w:val="nil"/>
              </w:pBdr>
              <w:jc w:val="right"/>
              <w:rPr>
                <w:color w:val="0000FF"/>
                <w:sz w:val="17"/>
                <w:szCs w:val="17"/>
              </w:rPr>
            </w:pPr>
          </w:p>
        </w:tc>
      </w:tr>
      <w:tr w:rsidR="008E5DE4" w14:paraId="74CE4284" w14:textId="77777777">
        <w:trPr>
          <w:cantSplit/>
          <w:tblHeader/>
        </w:trPr>
        <w:tc>
          <w:tcPr>
            <w:tcW w:w="2014" w:type="dxa"/>
            <w:tcBorders>
              <w:top w:val="single" w:sz="12" w:space="0" w:color="000000"/>
            </w:tcBorders>
            <w:vAlign w:val="bottom"/>
          </w:tcPr>
          <w:p w14:paraId="7F2FD24C"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tcBorders>
              <w:top w:val="single" w:sz="12" w:space="0" w:color="000000"/>
            </w:tcBorders>
            <w:vAlign w:val="bottom"/>
          </w:tcPr>
          <w:p w14:paraId="68A3A80A"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top w:val="single" w:sz="12" w:space="0" w:color="000000"/>
            </w:tcBorders>
            <w:vAlign w:val="bottom"/>
          </w:tcPr>
          <w:p w14:paraId="6972805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tcPr>
          <w:p w14:paraId="68B27B5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2232D4D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131BBE8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tcPr>
          <w:p w14:paraId="2A682D8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tcPr>
          <w:p w14:paraId="79A6BB79"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0C731CB4"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3720CFBA"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top w:val="single" w:sz="12" w:space="0" w:color="000000"/>
            </w:tcBorders>
            <w:vAlign w:val="bottom"/>
          </w:tcPr>
          <w:p w14:paraId="00CDDE1A" w14:textId="77777777" w:rsidR="008E5DE4" w:rsidRDefault="008E5DE4">
            <w:pPr>
              <w:widowControl w:val="0"/>
              <w:pBdr>
                <w:top w:val="nil"/>
                <w:left w:val="nil"/>
                <w:bottom w:val="nil"/>
                <w:right w:val="nil"/>
                <w:between w:val="nil"/>
              </w:pBdr>
              <w:jc w:val="right"/>
              <w:rPr>
                <w:color w:val="0000FF"/>
                <w:sz w:val="17"/>
                <w:szCs w:val="17"/>
              </w:rPr>
            </w:pPr>
          </w:p>
        </w:tc>
      </w:tr>
      <w:tr w:rsidR="008E5DE4" w14:paraId="7A609405" w14:textId="77777777">
        <w:trPr>
          <w:cantSplit/>
          <w:tblHeader/>
        </w:trPr>
        <w:tc>
          <w:tcPr>
            <w:tcW w:w="2014" w:type="dxa"/>
            <w:vAlign w:val="bottom"/>
          </w:tcPr>
          <w:p w14:paraId="27DAAF34" w14:textId="72731124"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Cost [or valuation] </w:t>
            </w:r>
            <w:proofErr w:type="gramStart"/>
            <w:r>
              <w:rPr>
                <w:color w:val="0000FF"/>
                <w:sz w:val="17"/>
                <w:szCs w:val="17"/>
              </w:rPr>
              <w:t>at</w:t>
            </w:r>
            <w:proofErr w:type="gramEnd"/>
            <w:r>
              <w:rPr>
                <w:color w:val="0000FF"/>
                <w:sz w:val="17"/>
                <w:szCs w:val="17"/>
              </w:rPr>
              <w:t xml:space="preserve"> 31 December </w:t>
            </w:r>
            <w:r w:rsidR="008614F8">
              <w:rPr>
                <w:color w:val="0000FF"/>
                <w:sz w:val="17"/>
                <w:szCs w:val="17"/>
              </w:rPr>
              <w:t>2025</w:t>
            </w:r>
          </w:p>
        </w:tc>
        <w:tc>
          <w:tcPr>
            <w:tcW w:w="567" w:type="dxa"/>
            <w:vAlign w:val="bottom"/>
          </w:tcPr>
          <w:p w14:paraId="0B801677" w14:textId="77777777" w:rsidR="008E5DE4" w:rsidRDefault="008E5DE4">
            <w:pPr>
              <w:widowControl w:val="0"/>
              <w:pBdr>
                <w:top w:val="nil"/>
                <w:left w:val="nil"/>
                <w:bottom w:val="nil"/>
                <w:right w:val="nil"/>
                <w:between w:val="nil"/>
              </w:pBdr>
              <w:ind w:right="-57"/>
              <w:rPr>
                <w:color w:val="0000FF"/>
                <w:sz w:val="17"/>
                <w:szCs w:val="17"/>
              </w:rPr>
            </w:pPr>
          </w:p>
        </w:tc>
        <w:tc>
          <w:tcPr>
            <w:tcW w:w="765" w:type="dxa"/>
            <w:vAlign w:val="bottom"/>
          </w:tcPr>
          <w:p w14:paraId="4BEA8C0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000AB63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5FE503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858838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6BAE44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AD54D63"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6406D310"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4DBEFA4"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348556D2" w14:textId="77777777" w:rsidR="008E5DE4" w:rsidRDefault="008E5DE4">
            <w:pPr>
              <w:widowControl w:val="0"/>
              <w:pBdr>
                <w:top w:val="nil"/>
                <w:left w:val="nil"/>
                <w:bottom w:val="nil"/>
                <w:right w:val="nil"/>
                <w:between w:val="nil"/>
              </w:pBdr>
              <w:jc w:val="right"/>
              <w:rPr>
                <w:color w:val="0000FF"/>
                <w:sz w:val="17"/>
                <w:szCs w:val="17"/>
              </w:rPr>
            </w:pPr>
          </w:p>
        </w:tc>
      </w:tr>
      <w:tr w:rsidR="008E5DE4" w14:paraId="56E035D7" w14:textId="77777777">
        <w:trPr>
          <w:cantSplit/>
          <w:tblHeader/>
        </w:trPr>
        <w:tc>
          <w:tcPr>
            <w:tcW w:w="2014" w:type="dxa"/>
            <w:vAlign w:val="bottom"/>
          </w:tcPr>
          <w:p w14:paraId="661B8CEF" w14:textId="77777777" w:rsidR="008E5DE4" w:rsidRDefault="00780368">
            <w:pPr>
              <w:widowControl w:val="0"/>
              <w:pBdr>
                <w:top w:val="nil"/>
                <w:left w:val="nil"/>
                <w:bottom w:val="nil"/>
                <w:right w:val="nil"/>
                <w:between w:val="nil"/>
              </w:pBdr>
              <w:ind w:left="113" w:right="-57" w:hanging="113"/>
              <w:rPr>
                <w:color w:val="0000FF"/>
                <w:sz w:val="17"/>
                <w:szCs w:val="17"/>
              </w:rPr>
            </w:pPr>
            <w:r>
              <w:rPr>
                <w:color w:val="0000FF"/>
                <w:sz w:val="17"/>
                <w:szCs w:val="17"/>
              </w:rPr>
              <w:t xml:space="preserve">Accumulated depreciation </w:t>
            </w:r>
          </w:p>
        </w:tc>
        <w:tc>
          <w:tcPr>
            <w:tcW w:w="567" w:type="dxa"/>
            <w:vAlign w:val="bottom"/>
          </w:tcPr>
          <w:p w14:paraId="49FA963F"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2D62DE8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44FFD39C"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2565D71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EF9A23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9D1D4ED"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61E26EF9"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46C82F5B"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08CD9B4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2CB2891" w14:textId="77777777" w:rsidR="008E5DE4" w:rsidRDefault="008E5DE4">
            <w:pPr>
              <w:widowControl w:val="0"/>
              <w:pBdr>
                <w:top w:val="nil"/>
                <w:left w:val="nil"/>
                <w:bottom w:val="nil"/>
                <w:right w:val="nil"/>
                <w:between w:val="nil"/>
              </w:pBdr>
              <w:jc w:val="right"/>
              <w:rPr>
                <w:color w:val="0000FF"/>
                <w:sz w:val="17"/>
                <w:szCs w:val="17"/>
              </w:rPr>
            </w:pPr>
          </w:p>
        </w:tc>
      </w:tr>
      <w:tr w:rsidR="008E5DE4" w14:paraId="17B0231C" w14:textId="77777777">
        <w:trPr>
          <w:cantSplit/>
          <w:tblHeader/>
        </w:trPr>
        <w:tc>
          <w:tcPr>
            <w:tcW w:w="2014" w:type="dxa"/>
            <w:tcBorders>
              <w:bottom w:val="single" w:sz="4" w:space="0" w:color="000000"/>
            </w:tcBorders>
            <w:vAlign w:val="bottom"/>
          </w:tcPr>
          <w:p w14:paraId="727E59E9" w14:textId="77777777" w:rsidR="008E5DE4" w:rsidRDefault="008E5DE4">
            <w:pPr>
              <w:widowControl w:val="0"/>
              <w:pBdr>
                <w:top w:val="nil"/>
                <w:left w:val="nil"/>
                <w:bottom w:val="nil"/>
                <w:right w:val="nil"/>
                <w:between w:val="nil"/>
              </w:pBdr>
              <w:ind w:left="113" w:right="-57" w:hanging="113"/>
              <w:rPr>
                <w:b/>
                <w:color w:val="0000FF"/>
                <w:sz w:val="17"/>
                <w:szCs w:val="17"/>
              </w:rPr>
            </w:pPr>
          </w:p>
        </w:tc>
        <w:tc>
          <w:tcPr>
            <w:tcW w:w="567" w:type="dxa"/>
            <w:tcBorders>
              <w:bottom w:val="single" w:sz="4" w:space="0" w:color="000000"/>
            </w:tcBorders>
            <w:vAlign w:val="bottom"/>
          </w:tcPr>
          <w:p w14:paraId="744C338E"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4" w:space="0" w:color="000000"/>
            </w:tcBorders>
            <w:vAlign w:val="bottom"/>
          </w:tcPr>
          <w:p w14:paraId="2A62CECA"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tcPr>
          <w:p w14:paraId="2BA3ED22"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4ACCEB59"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326D7F70"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tcPr>
          <w:p w14:paraId="2DBEB7D1"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tcPr>
          <w:p w14:paraId="089E9563"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46D59CE1"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0BF03A22"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Borders>
              <w:bottom w:val="single" w:sz="4" w:space="0" w:color="000000"/>
            </w:tcBorders>
            <w:vAlign w:val="bottom"/>
          </w:tcPr>
          <w:p w14:paraId="19F2EE64" w14:textId="77777777" w:rsidR="008E5DE4" w:rsidRDefault="008E5DE4">
            <w:pPr>
              <w:widowControl w:val="0"/>
              <w:pBdr>
                <w:top w:val="nil"/>
                <w:left w:val="nil"/>
                <w:bottom w:val="nil"/>
                <w:right w:val="nil"/>
                <w:between w:val="nil"/>
              </w:pBdr>
              <w:jc w:val="right"/>
              <w:rPr>
                <w:b/>
                <w:color w:val="0000FF"/>
                <w:sz w:val="17"/>
                <w:szCs w:val="17"/>
              </w:rPr>
            </w:pPr>
          </w:p>
        </w:tc>
      </w:tr>
      <w:tr w:rsidR="008E5DE4" w14:paraId="583FC39E" w14:textId="77777777">
        <w:trPr>
          <w:cantSplit/>
          <w:tblHeader/>
        </w:trPr>
        <w:tc>
          <w:tcPr>
            <w:tcW w:w="2014" w:type="dxa"/>
            <w:vAlign w:val="bottom"/>
          </w:tcPr>
          <w:p w14:paraId="5B3FA62A" w14:textId="77777777" w:rsidR="008E5DE4" w:rsidRDefault="008E5DE4">
            <w:pPr>
              <w:widowControl w:val="0"/>
              <w:pBdr>
                <w:top w:val="nil"/>
                <w:left w:val="nil"/>
                <w:bottom w:val="nil"/>
                <w:right w:val="nil"/>
                <w:between w:val="nil"/>
              </w:pBdr>
              <w:ind w:left="113" w:right="-57" w:hanging="113"/>
              <w:rPr>
                <w:color w:val="0000FF"/>
                <w:sz w:val="17"/>
                <w:szCs w:val="17"/>
              </w:rPr>
            </w:pPr>
          </w:p>
        </w:tc>
        <w:tc>
          <w:tcPr>
            <w:tcW w:w="567" w:type="dxa"/>
            <w:vAlign w:val="bottom"/>
          </w:tcPr>
          <w:p w14:paraId="33D66D8E"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vAlign w:val="bottom"/>
          </w:tcPr>
          <w:p w14:paraId="4435A15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587AC498"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8D4D415"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7D913CE"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7DD98825" w14:textId="77777777" w:rsidR="008E5DE4" w:rsidRDefault="008E5DE4">
            <w:pPr>
              <w:widowControl w:val="0"/>
              <w:pBdr>
                <w:top w:val="nil"/>
                <w:left w:val="nil"/>
                <w:bottom w:val="nil"/>
                <w:right w:val="nil"/>
                <w:between w:val="nil"/>
              </w:pBdr>
              <w:jc w:val="right"/>
              <w:rPr>
                <w:color w:val="0000FF"/>
                <w:sz w:val="17"/>
                <w:szCs w:val="17"/>
              </w:rPr>
            </w:pPr>
          </w:p>
        </w:tc>
        <w:tc>
          <w:tcPr>
            <w:tcW w:w="765" w:type="dxa"/>
          </w:tcPr>
          <w:p w14:paraId="1D48EA21"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114AC30A"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7C29224F" w14:textId="77777777" w:rsidR="008E5DE4" w:rsidRDefault="008E5DE4">
            <w:pPr>
              <w:widowControl w:val="0"/>
              <w:pBdr>
                <w:top w:val="nil"/>
                <w:left w:val="nil"/>
                <w:bottom w:val="nil"/>
                <w:right w:val="nil"/>
                <w:between w:val="nil"/>
              </w:pBdr>
              <w:jc w:val="right"/>
              <w:rPr>
                <w:color w:val="0000FF"/>
                <w:sz w:val="17"/>
                <w:szCs w:val="17"/>
              </w:rPr>
            </w:pPr>
          </w:p>
        </w:tc>
        <w:tc>
          <w:tcPr>
            <w:tcW w:w="765" w:type="dxa"/>
            <w:vAlign w:val="bottom"/>
          </w:tcPr>
          <w:p w14:paraId="51161C12" w14:textId="77777777" w:rsidR="008E5DE4" w:rsidRDefault="008E5DE4">
            <w:pPr>
              <w:widowControl w:val="0"/>
              <w:pBdr>
                <w:top w:val="nil"/>
                <w:left w:val="nil"/>
                <w:bottom w:val="nil"/>
                <w:right w:val="nil"/>
                <w:between w:val="nil"/>
              </w:pBdr>
              <w:jc w:val="right"/>
              <w:rPr>
                <w:color w:val="0000FF"/>
                <w:sz w:val="17"/>
                <w:szCs w:val="17"/>
              </w:rPr>
            </w:pPr>
          </w:p>
        </w:tc>
      </w:tr>
      <w:tr w:rsidR="008E5DE4" w14:paraId="11501FC4" w14:textId="77777777">
        <w:trPr>
          <w:cantSplit/>
          <w:tblHeader/>
        </w:trPr>
        <w:tc>
          <w:tcPr>
            <w:tcW w:w="2014" w:type="dxa"/>
            <w:vAlign w:val="bottom"/>
          </w:tcPr>
          <w:p w14:paraId="21405F83" w14:textId="278A89DC" w:rsidR="008E5DE4" w:rsidRDefault="00780368">
            <w:pPr>
              <w:widowControl w:val="0"/>
              <w:pBdr>
                <w:top w:val="nil"/>
                <w:left w:val="nil"/>
                <w:bottom w:val="nil"/>
                <w:right w:val="nil"/>
                <w:between w:val="nil"/>
              </w:pBdr>
              <w:ind w:left="113" w:right="-57" w:hanging="113"/>
              <w:rPr>
                <w:b/>
                <w:color w:val="0000FF"/>
                <w:sz w:val="17"/>
                <w:szCs w:val="17"/>
              </w:rPr>
            </w:pPr>
            <w:r>
              <w:rPr>
                <w:b/>
                <w:color w:val="0000FF"/>
                <w:sz w:val="17"/>
                <w:szCs w:val="17"/>
              </w:rPr>
              <w:t xml:space="preserve">Carrying amount </w:t>
            </w:r>
            <w:proofErr w:type="gramStart"/>
            <w:r>
              <w:rPr>
                <w:b/>
                <w:color w:val="0000FF"/>
                <w:sz w:val="17"/>
                <w:szCs w:val="17"/>
              </w:rPr>
              <w:t>at</w:t>
            </w:r>
            <w:proofErr w:type="gramEnd"/>
            <w:r>
              <w:rPr>
                <w:b/>
                <w:color w:val="0000FF"/>
                <w:sz w:val="17"/>
                <w:szCs w:val="17"/>
              </w:rPr>
              <w:t xml:space="preserve"> 31 December </w:t>
            </w:r>
            <w:r w:rsidR="008614F8">
              <w:rPr>
                <w:b/>
                <w:color w:val="0000FF"/>
                <w:sz w:val="17"/>
                <w:szCs w:val="17"/>
              </w:rPr>
              <w:t>2025</w:t>
            </w:r>
          </w:p>
        </w:tc>
        <w:tc>
          <w:tcPr>
            <w:tcW w:w="567" w:type="dxa"/>
            <w:vAlign w:val="bottom"/>
          </w:tcPr>
          <w:p w14:paraId="3D9CF9A2" w14:textId="77777777" w:rsidR="008E5DE4" w:rsidRDefault="008E5DE4">
            <w:pPr>
              <w:widowControl w:val="0"/>
              <w:pBdr>
                <w:top w:val="nil"/>
                <w:left w:val="nil"/>
                <w:bottom w:val="nil"/>
                <w:right w:val="nil"/>
                <w:between w:val="nil"/>
              </w:pBdr>
              <w:ind w:right="-57"/>
              <w:rPr>
                <w:b/>
                <w:color w:val="0000FF"/>
                <w:sz w:val="17"/>
                <w:szCs w:val="17"/>
              </w:rPr>
            </w:pPr>
          </w:p>
        </w:tc>
        <w:tc>
          <w:tcPr>
            <w:tcW w:w="765" w:type="dxa"/>
            <w:vAlign w:val="bottom"/>
          </w:tcPr>
          <w:p w14:paraId="4A219BE9"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06670E3E"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3A9A16C6"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446870E3"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75BF8ED3"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tcPr>
          <w:p w14:paraId="50D7371A"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6B69C36C"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537B046A" w14:textId="77777777" w:rsidR="008E5DE4" w:rsidRDefault="008E5DE4">
            <w:pPr>
              <w:widowControl w:val="0"/>
              <w:pBdr>
                <w:top w:val="nil"/>
                <w:left w:val="nil"/>
                <w:bottom w:val="nil"/>
                <w:right w:val="nil"/>
                <w:between w:val="nil"/>
              </w:pBdr>
              <w:jc w:val="right"/>
              <w:rPr>
                <w:b/>
                <w:color w:val="0000FF"/>
                <w:sz w:val="17"/>
                <w:szCs w:val="17"/>
              </w:rPr>
            </w:pPr>
          </w:p>
        </w:tc>
        <w:tc>
          <w:tcPr>
            <w:tcW w:w="765" w:type="dxa"/>
            <w:vAlign w:val="bottom"/>
          </w:tcPr>
          <w:p w14:paraId="31652BDA" w14:textId="77777777" w:rsidR="008E5DE4" w:rsidRDefault="008E5DE4">
            <w:pPr>
              <w:widowControl w:val="0"/>
              <w:pBdr>
                <w:top w:val="nil"/>
                <w:left w:val="nil"/>
                <w:bottom w:val="nil"/>
                <w:right w:val="nil"/>
                <w:between w:val="nil"/>
              </w:pBdr>
              <w:jc w:val="right"/>
              <w:rPr>
                <w:b/>
                <w:color w:val="0000FF"/>
                <w:sz w:val="17"/>
                <w:szCs w:val="17"/>
              </w:rPr>
            </w:pPr>
          </w:p>
        </w:tc>
      </w:tr>
      <w:tr w:rsidR="008E5DE4" w14:paraId="40841B4D" w14:textId="77777777">
        <w:trPr>
          <w:cantSplit/>
          <w:tblHeader/>
        </w:trPr>
        <w:tc>
          <w:tcPr>
            <w:tcW w:w="2014" w:type="dxa"/>
            <w:tcBorders>
              <w:bottom w:val="single" w:sz="12" w:space="0" w:color="000000"/>
            </w:tcBorders>
            <w:vAlign w:val="bottom"/>
          </w:tcPr>
          <w:p w14:paraId="49DF6650" w14:textId="77777777" w:rsidR="008E5DE4" w:rsidRDefault="00780368">
            <w:pPr>
              <w:widowControl w:val="0"/>
              <w:pBdr>
                <w:top w:val="nil"/>
                <w:left w:val="nil"/>
                <w:bottom w:val="nil"/>
                <w:right w:val="nil"/>
                <w:between w:val="nil"/>
              </w:pBdr>
              <w:ind w:left="113" w:right="-57" w:hanging="113"/>
              <w:rPr>
                <w:b/>
                <w:color w:val="0000FF"/>
                <w:sz w:val="17"/>
                <w:szCs w:val="17"/>
              </w:rPr>
            </w:pPr>
            <w:r>
              <w:rPr>
                <w:b/>
                <w:color w:val="0000FF"/>
                <w:sz w:val="17"/>
                <w:szCs w:val="17"/>
              </w:rPr>
              <w:t> </w:t>
            </w:r>
          </w:p>
        </w:tc>
        <w:tc>
          <w:tcPr>
            <w:tcW w:w="567" w:type="dxa"/>
            <w:tcBorders>
              <w:bottom w:val="single" w:sz="12" w:space="0" w:color="000000"/>
            </w:tcBorders>
            <w:vAlign w:val="bottom"/>
          </w:tcPr>
          <w:p w14:paraId="1A64E92D" w14:textId="77777777" w:rsidR="008E5DE4" w:rsidRDefault="008E5DE4">
            <w:pPr>
              <w:widowControl w:val="0"/>
              <w:pBdr>
                <w:top w:val="nil"/>
                <w:left w:val="nil"/>
                <w:bottom w:val="nil"/>
                <w:right w:val="nil"/>
                <w:between w:val="nil"/>
              </w:pBdr>
              <w:ind w:left="-57" w:right="-57"/>
              <w:jc w:val="center"/>
              <w:rPr>
                <w:color w:val="0000FF"/>
                <w:sz w:val="17"/>
                <w:szCs w:val="17"/>
              </w:rPr>
            </w:pPr>
          </w:p>
        </w:tc>
        <w:tc>
          <w:tcPr>
            <w:tcW w:w="765" w:type="dxa"/>
            <w:tcBorders>
              <w:bottom w:val="single" w:sz="12" w:space="0" w:color="000000"/>
            </w:tcBorders>
            <w:vAlign w:val="bottom"/>
          </w:tcPr>
          <w:p w14:paraId="2C521C3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65116503"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675D07AB"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76FC1451"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3FA46887"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tcPr>
          <w:p w14:paraId="214ADBAF"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4FDA9DD8"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10E63612" w14:textId="77777777" w:rsidR="008E5DE4" w:rsidRDefault="008E5DE4">
            <w:pPr>
              <w:widowControl w:val="0"/>
              <w:pBdr>
                <w:top w:val="nil"/>
                <w:left w:val="nil"/>
                <w:bottom w:val="nil"/>
                <w:right w:val="nil"/>
                <w:between w:val="nil"/>
              </w:pBdr>
              <w:jc w:val="right"/>
              <w:rPr>
                <w:color w:val="0000FF"/>
                <w:sz w:val="17"/>
                <w:szCs w:val="17"/>
              </w:rPr>
            </w:pPr>
          </w:p>
        </w:tc>
        <w:tc>
          <w:tcPr>
            <w:tcW w:w="765" w:type="dxa"/>
            <w:tcBorders>
              <w:bottom w:val="single" w:sz="12" w:space="0" w:color="000000"/>
            </w:tcBorders>
            <w:vAlign w:val="bottom"/>
          </w:tcPr>
          <w:p w14:paraId="6AB518C5" w14:textId="77777777" w:rsidR="008E5DE4" w:rsidRDefault="008E5DE4">
            <w:pPr>
              <w:widowControl w:val="0"/>
              <w:pBdr>
                <w:top w:val="nil"/>
                <w:left w:val="nil"/>
                <w:bottom w:val="nil"/>
                <w:right w:val="nil"/>
                <w:between w:val="nil"/>
              </w:pBdr>
              <w:jc w:val="right"/>
              <w:rPr>
                <w:color w:val="0000FF"/>
                <w:sz w:val="17"/>
                <w:szCs w:val="17"/>
              </w:rPr>
            </w:pPr>
          </w:p>
        </w:tc>
      </w:tr>
    </w:tbl>
    <w:p w14:paraId="27183BBB" w14:textId="5E12C44E" w:rsidR="008E5DE4" w:rsidRDefault="00780368">
      <w:pPr>
        <w:widowControl w:val="0"/>
        <w:pBdr>
          <w:top w:val="nil"/>
          <w:left w:val="nil"/>
          <w:bottom w:val="nil"/>
          <w:right w:val="nil"/>
          <w:between w:val="nil"/>
        </w:pBdr>
        <w:spacing w:before="200" w:after="200"/>
        <w:jc w:val="both"/>
        <w:rPr>
          <w:i/>
          <w:color w:val="0000FF"/>
          <w:sz w:val="20"/>
          <w:szCs w:val="20"/>
        </w:rPr>
      </w:pPr>
      <w:r>
        <w:rPr>
          <w:i/>
          <w:color w:val="0000FF"/>
          <w:sz w:val="20"/>
          <w:szCs w:val="20"/>
        </w:rPr>
        <w:t xml:space="preserve"> </w:t>
      </w:r>
    </w:p>
    <w:p w14:paraId="21433B2D" w14:textId="3F211BC1" w:rsidR="008E5DE4" w:rsidRDefault="00780368" w:rsidP="007F183E">
      <w:pPr>
        <w:widowControl w:val="0"/>
        <w:pBdr>
          <w:top w:val="nil"/>
          <w:left w:val="nil"/>
          <w:bottom w:val="nil"/>
          <w:right w:val="nil"/>
          <w:between w:val="nil"/>
        </w:pBdr>
        <w:spacing w:before="200" w:after="120"/>
        <w:jc w:val="both"/>
        <w:rPr>
          <w:i/>
          <w:color w:val="FF0000"/>
          <w:sz w:val="20"/>
          <w:szCs w:val="20"/>
        </w:rPr>
      </w:pPr>
      <w:r>
        <w:rPr>
          <w:color w:val="000000"/>
          <w:sz w:val="20"/>
          <w:szCs w:val="20"/>
        </w:rPr>
        <w:t>The Group</w:t>
      </w:r>
      <w:r>
        <w:rPr>
          <w:color w:val="0000FF"/>
          <w:sz w:val="20"/>
          <w:szCs w:val="20"/>
        </w:rPr>
        <w:t xml:space="preserve"> </w:t>
      </w:r>
      <w:r>
        <w:rPr>
          <w:color w:val="000000"/>
          <w:sz w:val="20"/>
          <w:szCs w:val="20"/>
        </w:rPr>
        <w:t xml:space="preserve">leased a </w:t>
      </w:r>
      <w:r>
        <w:rPr>
          <w:color w:val="0000FF"/>
          <w:sz w:val="20"/>
          <w:szCs w:val="20"/>
        </w:rPr>
        <w:t>[construction equipment]</w:t>
      </w:r>
      <w:r>
        <w:rPr>
          <w:color w:val="000000"/>
          <w:sz w:val="20"/>
          <w:szCs w:val="20"/>
        </w:rPr>
        <w:t xml:space="preserve"> to its customers under short-term operating lease arrangements</w:t>
      </w:r>
      <w:r w:rsidR="00D713AE">
        <w:rPr>
          <w:color w:val="000000"/>
          <w:sz w:val="20"/>
          <w:szCs w:val="20"/>
        </w:rPr>
        <w:t>.</w:t>
      </w:r>
      <w:r>
        <w:rPr>
          <w:color w:val="000000"/>
          <w:sz w:val="20"/>
          <w:szCs w:val="20"/>
        </w:rPr>
        <w:t xml:space="preserve"> </w:t>
      </w:r>
    </w:p>
    <w:p w14:paraId="2B4201CB"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9</w:t>
      </w:r>
      <w:r>
        <w:rPr>
          <w:b/>
          <w:color w:val="000000"/>
          <w:sz w:val="20"/>
          <w:szCs w:val="20"/>
        </w:rPr>
        <w:tab/>
        <w:t>Property, Plant and Equipment (Continued)</w:t>
      </w:r>
    </w:p>
    <w:p w14:paraId="1E4B976C" w14:textId="77777777" w:rsidR="008E5DE4" w:rsidRDefault="00780368">
      <w:pPr>
        <w:widowControl w:val="0"/>
        <w:pBdr>
          <w:top w:val="nil"/>
          <w:left w:val="nil"/>
          <w:bottom w:val="nil"/>
          <w:right w:val="nil"/>
          <w:between w:val="nil"/>
        </w:pBdr>
        <w:spacing w:before="200" w:after="200"/>
        <w:jc w:val="both"/>
        <w:rPr>
          <w:b/>
          <w:color w:val="000000"/>
          <w:sz w:val="20"/>
          <w:szCs w:val="20"/>
        </w:rPr>
      </w:pPr>
      <w:r>
        <w:rPr>
          <w:color w:val="000000"/>
          <w:sz w:val="20"/>
          <w:szCs w:val="20"/>
        </w:rPr>
        <w:t xml:space="preserve">Where the Group is the lessor, the future minimum lease payments receivable under operating leases of property, plant and equipment are as follows: </w:t>
      </w:r>
    </w:p>
    <w:tbl>
      <w:tblPr>
        <w:tblStyle w:val="aff6"/>
        <w:tblW w:w="9299" w:type="dxa"/>
        <w:tblLayout w:type="fixed"/>
        <w:tblLook w:val="0000" w:firstRow="0" w:lastRow="0" w:firstColumn="0" w:lastColumn="0" w:noHBand="0" w:noVBand="0"/>
      </w:tblPr>
      <w:tblGrid>
        <w:gridCol w:w="6237"/>
        <w:gridCol w:w="1531"/>
        <w:gridCol w:w="1531"/>
      </w:tblGrid>
      <w:tr w:rsidR="008E5DE4" w14:paraId="1CA10B2F" w14:textId="77777777">
        <w:trPr>
          <w:cantSplit/>
        </w:trPr>
        <w:tc>
          <w:tcPr>
            <w:tcW w:w="6237" w:type="dxa"/>
            <w:tcBorders>
              <w:bottom w:val="single" w:sz="4" w:space="0" w:color="000000"/>
            </w:tcBorders>
            <w:vAlign w:val="bottom"/>
          </w:tcPr>
          <w:p w14:paraId="54FCD96F"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1531" w:type="dxa"/>
            <w:tcBorders>
              <w:bottom w:val="single" w:sz="4" w:space="0" w:color="000000"/>
            </w:tcBorders>
          </w:tcPr>
          <w:p w14:paraId="032E50F1" w14:textId="4C30A887" w:rsidR="008E5DE4" w:rsidRDefault="00FF468A">
            <w:pPr>
              <w:widowControl w:val="0"/>
              <w:pBdr>
                <w:top w:val="nil"/>
                <w:left w:val="nil"/>
                <w:bottom w:val="nil"/>
                <w:right w:val="nil"/>
                <w:between w:val="nil"/>
              </w:pBdr>
              <w:jc w:val="right"/>
              <w:rPr>
                <w:b/>
                <w:color w:val="000000"/>
              </w:rPr>
            </w:pPr>
            <w:r>
              <w:rPr>
                <w:b/>
                <w:color w:val="000000"/>
              </w:rPr>
              <w:t>2024</w:t>
            </w:r>
          </w:p>
        </w:tc>
        <w:tc>
          <w:tcPr>
            <w:tcW w:w="1531" w:type="dxa"/>
            <w:tcBorders>
              <w:bottom w:val="single" w:sz="4" w:space="0" w:color="000000"/>
            </w:tcBorders>
            <w:vAlign w:val="bottom"/>
          </w:tcPr>
          <w:p w14:paraId="22E3EA52" w14:textId="76557109" w:rsidR="008E5DE4" w:rsidRDefault="008614F8">
            <w:pPr>
              <w:widowControl w:val="0"/>
              <w:pBdr>
                <w:top w:val="nil"/>
                <w:left w:val="nil"/>
                <w:bottom w:val="nil"/>
                <w:right w:val="nil"/>
                <w:between w:val="nil"/>
              </w:pBdr>
              <w:jc w:val="right"/>
              <w:rPr>
                <w:b/>
                <w:color w:val="000000"/>
              </w:rPr>
            </w:pPr>
            <w:r>
              <w:rPr>
                <w:b/>
                <w:color w:val="000000"/>
              </w:rPr>
              <w:t>2025</w:t>
            </w:r>
          </w:p>
        </w:tc>
      </w:tr>
      <w:tr w:rsidR="008E5DE4" w14:paraId="43630348" w14:textId="77777777">
        <w:trPr>
          <w:cantSplit/>
        </w:trPr>
        <w:tc>
          <w:tcPr>
            <w:tcW w:w="6237" w:type="dxa"/>
            <w:vAlign w:val="bottom"/>
          </w:tcPr>
          <w:p w14:paraId="6936C7D0"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Pr>
          <w:p w14:paraId="759C6A2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CA2249B" w14:textId="77777777" w:rsidR="008E5DE4" w:rsidRDefault="008E5DE4">
            <w:pPr>
              <w:widowControl w:val="0"/>
              <w:pBdr>
                <w:top w:val="nil"/>
                <w:left w:val="nil"/>
                <w:bottom w:val="nil"/>
                <w:right w:val="nil"/>
                <w:between w:val="nil"/>
              </w:pBdr>
              <w:jc w:val="right"/>
              <w:rPr>
                <w:color w:val="000000"/>
              </w:rPr>
            </w:pPr>
          </w:p>
        </w:tc>
      </w:tr>
      <w:tr w:rsidR="008E5DE4" w14:paraId="7411762C" w14:textId="77777777">
        <w:trPr>
          <w:cantSplit/>
        </w:trPr>
        <w:tc>
          <w:tcPr>
            <w:tcW w:w="6237" w:type="dxa"/>
            <w:vAlign w:val="bottom"/>
          </w:tcPr>
          <w:p w14:paraId="4881CB1B" w14:textId="77777777" w:rsidR="008E5DE4" w:rsidRDefault="00780368">
            <w:pPr>
              <w:widowControl w:val="0"/>
              <w:pBdr>
                <w:top w:val="nil"/>
                <w:left w:val="nil"/>
                <w:bottom w:val="nil"/>
                <w:right w:val="nil"/>
                <w:between w:val="nil"/>
              </w:pBdr>
              <w:rPr>
                <w:color w:val="000000"/>
              </w:rPr>
            </w:pPr>
            <w:r>
              <w:rPr>
                <w:color w:val="000000"/>
              </w:rPr>
              <w:t>1 year</w:t>
            </w:r>
          </w:p>
        </w:tc>
        <w:tc>
          <w:tcPr>
            <w:tcW w:w="1531" w:type="dxa"/>
          </w:tcPr>
          <w:p w14:paraId="36599E8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7229095" w14:textId="77777777" w:rsidR="008E5DE4" w:rsidRDefault="008E5DE4">
            <w:pPr>
              <w:widowControl w:val="0"/>
              <w:pBdr>
                <w:top w:val="nil"/>
                <w:left w:val="nil"/>
                <w:bottom w:val="nil"/>
                <w:right w:val="nil"/>
                <w:between w:val="nil"/>
              </w:pBdr>
              <w:jc w:val="right"/>
              <w:rPr>
                <w:color w:val="000000"/>
              </w:rPr>
            </w:pPr>
          </w:p>
        </w:tc>
      </w:tr>
      <w:tr w:rsidR="008E5DE4" w14:paraId="12804393" w14:textId="77777777">
        <w:trPr>
          <w:cantSplit/>
        </w:trPr>
        <w:tc>
          <w:tcPr>
            <w:tcW w:w="6237" w:type="dxa"/>
            <w:vAlign w:val="bottom"/>
          </w:tcPr>
          <w:p w14:paraId="5CEF7237" w14:textId="77777777" w:rsidR="008E5DE4" w:rsidRDefault="00780368">
            <w:pPr>
              <w:widowControl w:val="0"/>
              <w:pBdr>
                <w:top w:val="nil"/>
                <w:left w:val="nil"/>
                <w:bottom w:val="nil"/>
                <w:right w:val="nil"/>
                <w:between w:val="nil"/>
              </w:pBdr>
              <w:rPr>
                <w:color w:val="000000"/>
              </w:rPr>
            </w:pPr>
            <w:r>
              <w:rPr>
                <w:color w:val="000000"/>
              </w:rPr>
              <w:t xml:space="preserve">2 </w:t>
            </w:r>
            <w:proofErr w:type="gramStart"/>
            <w:r>
              <w:rPr>
                <w:color w:val="000000"/>
              </w:rPr>
              <w:t>year</w:t>
            </w:r>
            <w:proofErr w:type="gramEnd"/>
          </w:p>
        </w:tc>
        <w:tc>
          <w:tcPr>
            <w:tcW w:w="1531" w:type="dxa"/>
          </w:tcPr>
          <w:p w14:paraId="68FD881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15B9C19" w14:textId="77777777" w:rsidR="008E5DE4" w:rsidRDefault="008E5DE4">
            <w:pPr>
              <w:widowControl w:val="0"/>
              <w:pBdr>
                <w:top w:val="nil"/>
                <w:left w:val="nil"/>
                <w:bottom w:val="nil"/>
                <w:right w:val="nil"/>
                <w:between w:val="nil"/>
              </w:pBdr>
              <w:jc w:val="right"/>
              <w:rPr>
                <w:color w:val="000000"/>
              </w:rPr>
            </w:pPr>
          </w:p>
        </w:tc>
      </w:tr>
      <w:tr w:rsidR="008E5DE4" w14:paraId="12F862BB" w14:textId="77777777">
        <w:trPr>
          <w:cantSplit/>
        </w:trPr>
        <w:tc>
          <w:tcPr>
            <w:tcW w:w="6237" w:type="dxa"/>
            <w:vAlign w:val="bottom"/>
          </w:tcPr>
          <w:p w14:paraId="5DAD25BC" w14:textId="77777777" w:rsidR="008E5DE4" w:rsidRDefault="00780368">
            <w:pPr>
              <w:widowControl w:val="0"/>
              <w:pBdr>
                <w:top w:val="nil"/>
                <w:left w:val="nil"/>
                <w:bottom w:val="nil"/>
                <w:right w:val="nil"/>
                <w:between w:val="nil"/>
              </w:pBdr>
              <w:rPr>
                <w:color w:val="000000"/>
              </w:rPr>
            </w:pPr>
            <w:r>
              <w:rPr>
                <w:color w:val="000000"/>
              </w:rPr>
              <w:t xml:space="preserve">3 </w:t>
            </w:r>
            <w:proofErr w:type="gramStart"/>
            <w:r>
              <w:rPr>
                <w:color w:val="000000"/>
              </w:rPr>
              <w:t>year</w:t>
            </w:r>
            <w:proofErr w:type="gramEnd"/>
          </w:p>
        </w:tc>
        <w:tc>
          <w:tcPr>
            <w:tcW w:w="1531" w:type="dxa"/>
          </w:tcPr>
          <w:p w14:paraId="568D742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BAD5090" w14:textId="77777777" w:rsidR="008E5DE4" w:rsidRDefault="008E5DE4">
            <w:pPr>
              <w:widowControl w:val="0"/>
              <w:pBdr>
                <w:top w:val="nil"/>
                <w:left w:val="nil"/>
                <w:bottom w:val="nil"/>
                <w:right w:val="nil"/>
                <w:between w:val="nil"/>
              </w:pBdr>
              <w:jc w:val="right"/>
              <w:rPr>
                <w:color w:val="000000"/>
              </w:rPr>
            </w:pPr>
          </w:p>
        </w:tc>
      </w:tr>
      <w:tr w:rsidR="008E5DE4" w14:paraId="1E61147D" w14:textId="77777777">
        <w:trPr>
          <w:cantSplit/>
        </w:trPr>
        <w:tc>
          <w:tcPr>
            <w:tcW w:w="6237" w:type="dxa"/>
            <w:vAlign w:val="bottom"/>
          </w:tcPr>
          <w:p w14:paraId="5DF05F2C" w14:textId="77777777" w:rsidR="008E5DE4" w:rsidRDefault="00780368">
            <w:pPr>
              <w:widowControl w:val="0"/>
              <w:pBdr>
                <w:top w:val="nil"/>
                <w:left w:val="nil"/>
                <w:bottom w:val="nil"/>
                <w:right w:val="nil"/>
                <w:between w:val="nil"/>
              </w:pBdr>
              <w:rPr>
                <w:color w:val="000000"/>
              </w:rPr>
            </w:pPr>
            <w:r>
              <w:rPr>
                <w:color w:val="000000"/>
              </w:rPr>
              <w:t xml:space="preserve">4 </w:t>
            </w:r>
            <w:proofErr w:type="gramStart"/>
            <w:r>
              <w:rPr>
                <w:color w:val="000000"/>
              </w:rPr>
              <w:t>year</w:t>
            </w:r>
            <w:proofErr w:type="gramEnd"/>
          </w:p>
        </w:tc>
        <w:tc>
          <w:tcPr>
            <w:tcW w:w="1531" w:type="dxa"/>
          </w:tcPr>
          <w:p w14:paraId="6980008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EA08026" w14:textId="77777777" w:rsidR="008E5DE4" w:rsidRDefault="008E5DE4">
            <w:pPr>
              <w:widowControl w:val="0"/>
              <w:pBdr>
                <w:top w:val="nil"/>
                <w:left w:val="nil"/>
                <w:bottom w:val="nil"/>
                <w:right w:val="nil"/>
                <w:between w:val="nil"/>
              </w:pBdr>
              <w:jc w:val="right"/>
              <w:rPr>
                <w:color w:val="000000"/>
              </w:rPr>
            </w:pPr>
          </w:p>
        </w:tc>
      </w:tr>
      <w:tr w:rsidR="008E5DE4" w14:paraId="49CDC926" w14:textId="77777777">
        <w:trPr>
          <w:cantSplit/>
        </w:trPr>
        <w:tc>
          <w:tcPr>
            <w:tcW w:w="6237" w:type="dxa"/>
            <w:vAlign w:val="bottom"/>
          </w:tcPr>
          <w:p w14:paraId="0D5BBB6E" w14:textId="77777777" w:rsidR="008E5DE4" w:rsidRDefault="00780368">
            <w:pPr>
              <w:widowControl w:val="0"/>
              <w:pBdr>
                <w:top w:val="nil"/>
                <w:left w:val="nil"/>
                <w:bottom w:val="nil"/>
                <w:right w:val="nil"/>
                <w:between w:val="nil"/>
              </w:pBdr>
              <w:rPr>
                <w:color w:val="000000"/>
              </w:rPr>
            </w:pPr>
            <w:r>
              <w:rPr>
                <w:color w:val="000000"/>
              </w:rPr>
              <w:t xml:space="preserve">5 </w:t>
            </w:r>
            <w:proofErr w:type="gramStart"/>
            <w:r>
              <w:rPr>
                <w:color w:val="000000"/>
              </w:rPr>
              <w:t>year</w:t>
            </w:r>
            <w:proofErr w:type="gramEnd"/>
          </w:p>
        </w:tc>
        <w:tc>
          <w:tcPr>
            <w:tcW w:w="1531" w:type="dxa"/>
          </w:tcPr>
          <w:p w14:paraId="1332316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79DBFA5" w14:textId="77777777" w:rsidR="008E5DE4" w:rsidRDefault="008E5DE4">
            <w:pPr>
              <w:widowControl w:val="0"/>
              <w:pBdr>
                <w:top w:val="nil"/>
                <w:left w:val="nil"/>
                <w:bottom w:val="nil"/>
                <w:right w:val="nil"/>
                <w:between w:val="nil"/>
              </w:pBdr>
              <w:jc w:val="right"/>
              <w:rPr>
                <w:color w:val="000000"/>
              </w:rPr>
            </w:pPr>
          </w:p>
        </w:tc>
      </w:tr>
      <w:tr w:rsidR="008E5DE4" w14:paraId="7824E842" w14:textId="77777777">
        <w:trPr>
          <w:cantSplit/>
        </w:trPr>
        <w:tc>
          <w:tcPr>
            <w:tcW w:w="6237" w:type="dxa"/>
            <w:vAlign w:val="bottom"/>
          </w:tcPr>
          <w:p w14:paraId="76AA9716" w14:textId="77777777" w:rsidR="008E5DE4" w:rsidRDefault="00780368">
            <w:pPr>
              <w:widowControl w:val="0"/>
              <w:pBdr>
                <w:top w:val="nil"/>
                <w:left w:val="nil"/>
                <w:bottom w:val="nil"/>
                <w:right w:val="nil"/>
                <w:between w:val="nil"/>
              </w:pBdr>
              <w:rPr>
                <w:color w:val="000000"/>
              </w:rPr>
            </w:pPr>
            <w:r>
              <w:rPr>
                <w:color w:val="000000"/>
              </w:rPr>
              <w:t>Later than 5 years</w:t>
            </w:r>
          </w:p>
        </w:tc>
        <w:tc>
          <w:tcPr>
            <w:tcW w:w="1531" w:type="dxa"/>
          </w:tcPr>
          <w:p w14:paraId="0973107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E4C8206" w14:textId="77777777" w:rsidR="008E5DE4" w:rsidRDefault="008E5DE4">
            <w:pPr>
              <w:widowControl w:val="0"/>
              <w:pBdr>
                <w:top w:val="nil"/>
                <w:left w:val="nil"/>
                <w:bottom w:val="nil"/>
                <w:right w:val="nil"/>
                <w:between w:val="nil"/>
              </w:pBdr>
              <w:jc w:val="right"/>
              <w:rPr>
                <w:color w:val="000000"/>
              </w:rPr>
            </w:pPr>
          </w:p>
        </w:tc>
      </w:tr>
      <w:tr w:rsidR="008E5DE4" w14:paraId="1D9B7739" w14:textId="77777777">
        <w:trPr>
          <w:cantSplit/>
        </w:trPr>
        <w:tc>
          <w:tcPr>
            <w:tcW w:w="6237" w:type="dxa"/>
            <w:tcBorders>
              <w:bottom w:val="single" w:sz="4" w:space="0" w:color="000000"/>
            </w:tcBorders>
            <w:vAlign w:val="bottom"/>
          </w:tcPr>
          <w:p w14:paraId="3AEF2224"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bottom w:val="single" w:sz="4" w:space="0" w:color="000000"/>
            </w:tcBorders>
          </w:tcPr>
          <w:p w14:paraId="02FD83C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2B5A583" w14:textId="77777777" w:rsidR="008E5DE4" w:rsidRDefault="008E5DE4">
            <w:pPr>
              <w:widowControl w:val="0"/>
              <w:pBdr>
                <w:top w:val="nil"/>
                <w:left w:val="nil"/>
                <w:bottom w:val="nil"/>
                <w:right w:val="nil"/>
                <w:between w:val="nil"/>
              </w:pBdr>
              <w:jc w:val="right"/>
              <w:rPr>
                <w:color w:val="000000"/>
              </w:rPr>
            </w:pPr>
          </w:p>
        </w:tc>
      </w:tr>
      <w:tr w:rsidR="008E5DE4" w14:paraId="189569F7" w14:textId="77777777">
        <w:trPr>
          <w:cantSplit/>
        </w:trPr>
        <w:tc>
          <w:tcPr>
            <w:tcW w:w="6237" w:type="dxa"/>
            <w:vAlign w:val="bottom"/>
          </w:tcPr>
          <w:p w14:paraId="70398E03" w14:textId="77777777" w:rsidR="008E5DE4" w:rsidRDefault="00780368">
            <w:pPr>
              <w:widowControl w:val="0"/>
            </w:pPr>
            <w:r>
              <w:rPr>
                <w:b/>
              </w:rPr>
              <w:t> </w:t>
            </w:r>
          </w:p>
        </w:tc>
        <w:tc>
          <w:tcPr>
            <w:tcW w:w="1531" w:type="dxa"/>
          </w:tcPr>
          <w:p w14:paraId="6B09EDCB"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6F46361" w14:textId="77777777" w:rsidR="008E5DE4" w:rsidRDefault="008E5DE4">
            <w:pPr>
              <w:widowControl w:val="0"/>
              <w:pBdr>
                <w:top w:val="nil"/>
                <w:left w:val="nil"/>
                <w:bottom w:val="nil"/>
                <w:right w:val="nil"/>
                <w:between w:val="nil"/>
              </w:pBdr>
              <w:jc w:val="right"/>
              <w:rPr>
                <w:b/>
                <w:color w:val="000000"/>
              </w:rPr>
            </w:pPr>
          </w:p>
        </w:tc>
      </w:tr>
      <w:tr w:rsidR="008E5DE4" w14:paraId="767F8F74" w14:textId="77777777">
        <w:trPr>
          <w:cantSplit/>
        </w:trPr>
        <w:tc>
          <w:tcPr>
            <w:tcW w:w="6237" w:type="dxa"/>
            <w:vAlign w:val="bottom"/>
          </w:tcPr>
          <w:p w14:paraId="370EE799" w14:textId="77777777" w:rsidR="008E5DE4" w:rsidRDefault="00780368">
            <w:pPr>
              <w:widowControl w:val="0"/>
              <w:pBdr>
                <w:top w:val="nil"/>
                <w:left w:val="nil"/>
                <w:bottom w:val="nil"/>
                <w:right w:val="nil"/>
                <w:between w:val="nil"/>
              </w:pBdr>
              <w:rPr>
                <w:b/>
                <w:color w:val="000000"/>
              </w:rPr>
            </w:pPr>
            <w:r>
              <w:rPr>
                <w:b/>
                <w:color w:val="000000"/>
              </w:rPr>
              <w:t xml:space="preserve">Total undiscounted operating lease payments receivable </w:t>
            </w:r>
            <w:proofErr w:type="gramStart"/>
            <w:r>
              <w:rPr>
                <w:b/>
                <w:color w:val="000000"/>
              </w:rPr>
              <w:t>at</w:t>
            </w:r>
            <w:proofErr w:type="gramEnd"/>
            <w:r>
              <w:rPr>
                <w:b/>
                <w:color w:val="000000"/>
              </w:rPr>
              <w:t xml:space="preserve"> 31 December </w:t>
            </w:r>
          </w:p>
        </w:tc>
        <w:tc>
          <w:tcPr>
            <w:tcW w:w="1531" w:type="dxa"/>
          </w:tcPr>
          <w:p w14:paraId="51D79B44"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76C72DE" w14:textId="77777777" w:rsidR="008E5DE4" w:rsidRDefault="008E5DE4">
            <w:pPr>
              <w:widowControl w:val="0"/>
              <w:pBdr>
                <w:top w:val="nil"/>
                <w:left w:val="nil"/>
                <w:bottom w:val="nil"/>
                <w:right w:val="nil"/>
                <w:between w:val="nil"/>
              </w:pBdr>
              <w:jc w:val="right"/>
              <w:rPr>
                <w:b/>
                <w:color w:val="000000"/>
              </w:rPr>
            </w:pPr>
          </w:p>
        </w:tc>
      </w:tr>
      <w:tr w:rsidR="008E5DE4" w14:paraId="0B31AEF6" w14:textId="77777777">
        <w:trPr>
          <w:cantSplit/>
        </w:trPr>
        <w:tc>
          <w:tcPr>
            <w:tcW w:w="6237" w:type="dxa"/>
            <w:tcBorders>
              <w:bottom w:val="single" w:sz="12" w:space="0" w:color="000000"/>
            </w:tcBorders>
            <w:vAlign w:val="bottom"/>
          </w:tcPr>
          <w:p w14:paraId="16AF490F" w14:textId="77777777" w:rsidR="008E5DE4" w:rsidRDefault="008E5DE4">
            <w:pPr>
              <w:widowControl w:val="0"/>
              <w:rPr>
                <w:b/>
              </w:rPr>
            </w:pPr>
          </w:p>
        </w:tc>
        <w:tc>
          <w:tcPr>
            <w:tcW w:w="1531" w:type="dxa"/>
            <w:tcBorders>
              <w:bottom w:val="single" w:sz="12" w:space="0" w:color="000000"/>
            </w:tcBorders>
          </w:tcPr>
          <w:p w14:paraId="5D9277EC"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570F90C5" w14:textId="77777777" w:rsidR="008E5DE4" w:rsidRDefault="008E5DE4">
            <w:pPr>
              <w:widowControl w:val="0"/>
              <w:pBdr>
                <w:top w:val="nil"/>
                <w:left w:val="nil"/>
                <w:bottom w:val="nil"/>
                <w:right w:val="nil"/>
                <w:between w:val="nil"/>
              </w:pBdr>
              <w:jc w:val="right"/>
              <w:rPr>
                <w:b/>
                <w:color w:val="000000"/>
              </w:rPr>
            </w:pPr>
          </w:p>
        </w:tc>
      </w:tr>
    </w:tbl>
    <w:p w14:paraId="0C11BB3C" w14:textId="5D7873C5"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Rental income from property, plant and equipment was EUR ____ thousand (</w:t>
      </w:r>
      <w:r w:rsidR="00FF468A">
        <w:rPr>
          <w:color w:val="000000"/>
          <w:sz w:val="20"/>
          <w:szCs w:val="20"/>
        </w:rPr>
        <w:t>2024</w:t>
      </w:r>
      <w:r>
        <w:rPr>
          <w:color w:val="000000"/>
          <w:sz w:val="20"/>
          <w:szCs w:val="20"/>
        </w:rPr>
        <w:t xml:space="preserve">: EUR ____ thousand), including EUR___ </w:t>
      </w:r>
      <w:proofErr w:type="spellStart"/>
      <w:r>
        <w:rPr>
          <w:color w:val="000000"/>
          <w:sz w:val="20"/>
          <w:szCs w:val="20"/>
        </w:rPr>
        <w:t>thousand</w:t>
      </w:r>
      <w:proofErr w:type="spellEnd"/>
      <w:r>
        <w:rPr>
          <w:color w:val="000000"/>
          <w:sz w:val="20"/>
          <w:szCs w:val="20"/>
        </w:rPr>
        <w:t xml:space="preserve"> of income relating to variable lease payments that do not depend on an index or a rate.</w:t>
      </w:r>
    </w:p>
    <w:p w14:paraId="1F489230"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[The lease agreements do not impose any covenants other than the security interests in the leased assets that are held by the Group. Leased assets may not be used by a lessee as collateral for borrowings.]</w:t>
      </w:r>
      <w:r>
        <w:rPr>
          <w:color w:val="000000"/>
          <w:sz w:val="20"/>
          <w:szCs w:val="20"/>
        </w:rPr>
        <w:t xml:space="preserve"> </w:t>
      </w:r>
    </w:p>
    <w:p w14:paraId="3E1D076A" w14:textId="6480EE02"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[Land and buildings]</w:t>
      </w:r>
      <w:r>
        <w:rPr>
          <w:color w:val="000000"/>
          <w:sz w:val="20"/>
          <w:szCs w:val="20"/>
        </w:rPr>
        <w:t xml:space="preserve"> have been revalued to market value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The valuation was carried out by an independent firm of valuators, __________, who hold a recognised and relevant professional qualification and who have recent experience in valuation of assets of similar location and category. Refer to Note 53 for further information about the fair value measurement.</w:t>
      </w:r>
    </w:p>
    <w:p w14:paraId="7AB24E63" w14:textId="616B1F61" w:rsidR="008E5DE4" w:rsidRDefault="00780368">
      <w:pPr>
        <w:widowControl w:val="0"/>
        <w:pBdr>
          <w:top w:val="nil"/>
          <w:left w:val="nil"/>
          <w:bottom w:val="nil"/>
          <w:right w:val="nil"/>
          <w:between w:val="nil"/>
        </w:pBdr>
        <w:spacing w:before="200" w:after="200" w:line="228" w:lineRule="auto"/>
        <w:jc w:val="both"/>
        <w:rPr>
          <w:b/>
          <w:color w:val="000000"/>
          <w:sz w:val="20"/>
          <w:szCs w:val="20"/>
        </w:rPr>
      </w:pPr>
      <w:r>
        <w:rPr>
          <w:color w:val="000000"/>
          <w:sz w:val="20"/>
          <w:szCs w:val="20"/>
        </w:rPr>
        <w:t>Included in the above carrying amount is EUR _____ thousand (</w:t>
      </w:r>
      <w:r w:rsidR="00FF468A">
        <w:rPr>
          <w:color w:val="000000"/>
          <w:sz w:val="20"/>
          <w:szCs w:val="20"/>
        </w:rPr>
        <w:t>2024</w:t>
      </w:r>
      <w:r>
        <w:rPr>
          <w:color w:val="000000"/>
          <w:sz w:val="20"/>
          <w:szCs w:val="20"/>
        </w:rPr>
        <w:t xml:space="preserve">: EUR _____ thousand) representing a revaluation surplus relating to land and buildings of the Group.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the carrying amount of land would have been EUR _____ thousand (</w:t>
      </w:r>
      <w:r w:rsidR="00FF468A">
        <w:rPr>
          <w:color w:val="000000"/>
          <w:sz w:val="20"/>
          <w:szCs w:val="20"/>
        </w:rPr>
        <w:t>2024</w:t>
      </w:r>
      <w:r>
        <w:rPr>
          <w:color w:val="000000"/>
          <w:sz w:val="20"/>
          <w:szCs w:val="20"/>
        </w:rPr>
        <w:t>: EUR _____ thousand) had the land been carried at historical cost. The carrying amount of buildings would have been EUR _____ thousand (</w:t>
      </w:r>
      <w:r w:rsidR="00FF468A">
        <w:rPr>
          <w:color w:val="000000"/>
          <w:sz w:val="20"/>
          <w:szCs w:val="20"/>
        </w:rPr>
        <w:t>2024</w:t>
      </w:r>
      <w:r>
        <w:rPr>
          <w:color w:val="000000"/>
          <w:sz w:val="20"/>
          <w:szCs w:val="20"/>
        </w:rPr>
        <w:t>: EUR _____ thousand) had the buildings been carried at cost less depreciation.</w:t>
      </w:r>
    </w:p>
    <w:p w14:paraId="257626D9" w14:textId="53954CF4" w:rsidR="008E5DE4" w:rsidRDefault="00780368">
      <w:pPr>
        <w:widowControl w:val="0"/>
        <w:pBdr>
          <w:top w:val="nil"/>
          <w:left w:val="nil"/>
          <w:bottom w:val="nil"/>
          <w:right w:val="nil"/>
          <w:between w:val="nil"/>
        </w:pBdr>
        <w:spacing w:before="200" w:after="200" w:line="228" w:lineRule="auto"/>
        <w:jc w:val="both"/>
        <w:rPr>
          <w:i/>
          <w:color w:val="FF0000"/>
          <w:sz w:val="20"/>
          <w:szCs w:val="20"/>
        </w:rPr>
      </w:pPr>
      <w:r>
        <w:rPr>
          <w:color w:val="000000"/>
          <w:sz w:val="20"/>
          <w:szCs w:val="20"/>
        </w:rPr>
        <w:t xml:space="preserve">Construction in progress </w:t>
      </w:r>
      <w:proofErr w:type="gramStart"/>
      <w:r>
        <w:rPr>
          <w:color w:val="000000"/>
          <w:sz w:val="20"/>
          <w:szCs w:val="20"/>
        </w:rPr>
        <w:t>consists</w:t>
      </w:r>
      <w:proofErr w:type="gramEnd"/>
      <w:r>
        <w:rPr>
          <w:color w:val="000000"/>
          <w:sz w:val="20"/>
          <w:szCs w:val="20"/>
        </w:rPr>
        <w:t xml:space="preserve"> </w:t>
      </w:r>
      <w:r>
        <w:rPr>
          <w:color w:val="0000FF"/>
          <w:sz w:val="20"/>
          <w:szCs w:val="20"/>
        </w:rPr>
        <w:t>[mainly]</w:t>
      </w:r>
      <w:r>
        <w:rPr>
          <w:color w:val="000000"/>
          <w:sz w:val="20"/>
          <w:szCs w:val="20"/>
        </w:rPr>
        <w:t xml:space="preserve"> of construction of </w:t>
      </w:r>
      <w:proofErr w:type="gramStart"/>
      <w:r w:rsidR="00D713AE" w:rsidRPr="00486EFA">
        <w:rPr>
          <w:iCs/>
          <w:color w:val="0000FF"/>
          <w:sz w:val="20"/>
          <w:szCs w:val="20"/>
        </w:rPr>
        <w:t>[ ]</w:t>
      </w:r>
      <w:proofErr w:type="gramEnd"/>
      <w:r>
        <w:rPr>
          <w:color w:val="000000"/>
          <w:sz w:val="20"/>
          <w:szCs w:val="20"/>
        </w:rPr>
        <w:t>. Upon completion, assets are transferred to</w:t>
      </w:r>
      <w:r w:rsidR="00D713AE">
        <w:rPr>
          <w:color w:val="000000"/>
          <w:sz w:val="20"/>
          <w:szCs w:val="20"/>
        </w:rPr>
        <w:t xml:space="preserve"> </w:t>
      </w:r>
      <w:proofErr w:type="gramStart"/>
      <w:r w:rsidR="00D713AE" w:rsidRPr="00486EFA">
        <w:rPr>
          <w:iCs/>
          <w:color w:val="0000FF"/>
          <w:sz w:val="20"/>
          <w:szCs w:val="20"/>
        </w:rPr>
        <w:t>[ ]</w:t>
      </w:r>
      <w:proofErr w:type="gramEnd"/>
      <w:r>
        <w:rPr>
          <w:color w:val="000000"/>
          <w:sz w:val="20"/>
          <w:szCs w:val="20"/>
        </w:rPr>
        <w:t>. Additions to construction in progress include capitalised borrowing costs of EUR _____ thousand (</w:t>
      </w:r>
      <w:r w:rsidR="00FF468A">
        <w:rPr>
          <w:color w:val="000000"/>
          <w:sz w:val="20"/>
          <w:szCs w:val="20"/>
        </w:rPr>
        <w:t>2024</w:t>
      </w:r>
      <w:r>
        <w:rPr>
          <w:color w:val="000000"/>
          <w:sz w:val="20"/>
          <w:szCs w:val="20"/>
        </w:rPr>
        <w:t>: EUR _____ thousand). The capitalisation rate was _____ % (</w:t>
      </w:r>
      <w:r w:rsidR="00FF468A">
        <w:rPr>
          <w:color w:val="000000"/>
          <w:sz w:val="20"/>
          <w:szCs w:val="20"/>
        </w:rPr>
        <w:t>2024</w:t>
      </w:r>
      <w:r>
        <w:rPr>
          <w:color w:val="000000"/>
          <w:sz w:val="20"/>
          <w:szCs w:val="20"/>
        </w:rPr>
        <w:t xml:space="preserve">: _____ %). </w:t>
      </w:r>
    </w:p>
    <w:p w14:paraId="33C69B66" w14:textId="51CBF697" w:rsidR="008E5DE4" w:rsidRDefault="00780368">
      <w:pPr>
        <w:widowControl w:val="0"/>
        <w:pBdr>
          <w:top w:val="nil"/>
          <w:left w:val="nil"/>
          <w:bottom w:val="nil"/>
          <w:right w:val="nil"/>
          <w:between w:val="nil"/>
        </w:pBdr>
        <w:spacing w:before="200" w:after="200" w:line="228" w:lineRule="auto"/>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w:t>
      </w:r>
      <w:r w:rsidRPr="00160220">
        <w:rPr>
          <w:color w:val="0000FF"/>
          <w:sz w:val="20"/>
          <w:szCs w:val="20"/>
        </w:rPr>
        <w:t xml:space="preserve">[buildings, land </w:t>
      </w:r>
      <w:r>
        <w:rPr>
          <w:color w:val="0000FF"/>
          <w:sz w:val="20"/>
          <w:szCs w:val="20"/>
        </w:rPr>
        <w:t xml:space="preserve">and equipment] </w:t>
      </w:r>
      <w:r>
        <w:rPr>
          <w:color w:val="000000"/>
          <w:sz w:val="20"/>
          <w:szCs w:val="20"/>
        </w:rPr>
        <w:t>carried at EUR _____ thousand (</w:t>
      </w:r>
      <w:r w:rsidR="00FF468A">
        <w:rPr>
          <w:color w:val="000000"/>
          <w:sz w:val="20"/>
          <w:szCs w:val="20"/>
        </w:rPr>
        <w:t>2024</w:t>
      </w:r>
      <w:r>
        <w:rPr>
          <w:color w:val="000000"/>
          <w:sz w:val="20"/>
          <w:szCs w:val="20"/>
        </w:rPr>
        <w:t xml:space="preserve">: EUR _____ thousand) have been pledged to third parties as collateral for borrowings. Refer to Note 28. </w:t>
      </w:r>
    </w:p>
    <w:p w14:paraId="6544720B" w14:textId="615C94BF"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Impairment losses were recognised </w:t>
      </w:r>
      <w:proofErr w:type="gramStart"/>
      <w:r>
        <w:rPr>
          <w:color w:val="000000"/>
          <w:sz w:val="20"/>
          <w:szCs w:val="20"/>
        </w:rPr>
        <w:t>as a result of</w:t>
      </w:r>
      <w:proofErr w:type="gramEnd"/>
      <w:r>
        <w:rPr>
          <w:color w:val="000000"/>
          <w:sz w:val="20"/>
          <w:szCs w:val="20"/>
        </w:rPr>
        <w:t xml:space="preserve"> the impairment test described in Note 12. </w:t>
      </w:r>
    </w:p>
    <w:p w14:paraId="0DD7EF9C" w14:textId="17D1A92E" w:rsidR="008E5DE4" w:rsidRDefault="00780368">
      <w:pPr>
        <w:widowControl w:val="0"/>
        <w:pBdr>
          <w:top w:val="nil"/>
          <w:left w:val="nil"/>
          <w:bottom w:val="nil"/>
          <w:right w:val="nil"/>
          <w:between w:val="nil"/>
        </w:pBdr>
        <w:spacing w:before="200" w:line="228" w:lineRule="auto"/>
        <w:jc w:val="both"/>
        <w:rPr>
          <w:color w:val="000000"/>
          <w:sz w:val="20"/>
          <w:szCs w:val="20"/>
        </w:rPr>
      </w:pPr>
      <w:r>
        <w:rPr>
          <w:color w:val="000000"/>
          <w:sz w:val="20"/>
          <w:szCs w:val="20"/>
        </w:rPr>
        <w:t xml:space="preserve">The assets transferred to the Group upon privatisation do not include the land on which the Group’s factories and buildings, comprising the Group’s principal manufacturing facilities, are situated. The Group has the option to purchase this land upon application to the state registration body or to continue occupying this land subject to payment of the related taxes (Note 43).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the Group has </w:t>
      </w:r>
      <w:r>
        <w:rPr>
          <w:color w:val="0000FF"/>
          <w:sz w:val="20"/>
          <w:szCs w:val="20"/>
        </w:rPr>
        <w:t>[not]</w:t>
      </w:r>
      <w:r>
        <w:rPr>
          <w:color w:val="000000"/>
          <w:sz w:val="20"/>
          <w:szCs w:val="20"/>
        </w:rPr>
        <w:t xml:space="preserve"> filed any application to exercise the purchase option.</w:t>
      </w:r>
    </w:p>
    <w:p w14:paraId="1C204675" w14:textId="77777777" w:rsidR="00AC0EA9" w:rsidRDefault="00AC0EA9">
      <w:pPr>
        <w:widowControl w:val="0"/>
        <w:pBdr>
          <w:top w:val="nil"/>
          <w:left w:val="nil"/>
          <w:bottom w:val="nil"/>
          <w:right w:val="nil"/>
          <w:between w:val="nil"/>
        </w:pBdr>
        <w:spacing w:before="200" w:line="228" w:lineRule="auto"/>
        <w:jc w:val="both"/>
        <w:rPr>
          <w:color w:val="000000"/>
          <w:sz w:val="20"/>
          <w:szCs w:val="20"/>
        </w:rPr>
      </w:pPr>
    </w:p>
    <w:p w14:paraId="3A1E8265" w14:textId="77777777" w:rsidR="009D6ED6" w:rsidRDefault="009D6ED6">
      <w:pPr>
        <w:rPr>
          <w:b/>
          <w:kern w:val="28"/>
          <w:sz w:val="20"/>
        </w:rPr>
      </w:pPr>
      <w:bookmarkStart w:id="18" w:name="_Toc149923609"/>
      <w:r>
        <w:br w:type="page"/>
      </w:r>
    </w:p>
    <w:p w14:paraId="300FDE75" w14:textId="62E30408" w:rsidR="008E5DE4" w:rsidRDefault="00780368" w:rsidP="00AC0EA9">
      <w:pPr>
        <w:pStyle w:val="Heading1"/>
        <w:numPr>
          <w:ilvl w:val="0"/>
          <w:numId w:val="3"/>
        </w:numPr>
        <w:spacing w:line="228" w:lineRule="auto"/>
        <w:ind w:left="567" w:hanging="567"/>
      </w:pPr>
      <w:r>
        <w:lastRenderedPageBreak/>
        <w:t>Investment Property</w:t>
      </w:r>
      <w:bookmarkEnd w:id="18"/>
    </w:p>
    <w:p w14:paraId="6BD5FD7A" w14:textId="29035FD3"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4A3197CA"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Investment property is property held by the Group to earn rental income or for capital appreciation, or both and which is not occupied by the Group. Investment property includes assets under construction for future use as investment property.</w:t>
      </w:r>
    </w:p>
    <w:p w14:paraId="6B98F3ED" w14:textId="444D5D5F" w:rsidR="008E5DE4" w:rsidRDefault="00780368">
      <w:pPr>
        <w:widowControl w:val="0"/>
        <w:pBdr>
          <w:top w:val="nil"/>
          <w:left w:val="nil"/>
          <w:bottom w:val="nil"/>
          <w:right w:val="nil"/>
          <w:between w:val="nil"/>
        </w:pBdr>
        <w:shd w:val="clear" w:color="auto" w:fill="C6D9F1"/>
        <w:spacing w:before="200" w:after="200"/>
        <w:jc w:val="both"/>
        <w:rPr>
          <w:color w:val="000000"/>
        </w:rPr>
      </w:pPr>
      <w:r>
        <w:rPr>
          <w:color w:val="000000"/>
          <w:sz w:val="20"/>
          <w:szCs w:val="20"/>
        </w:rPr>
        <w:t xml:space="preserve">Investment property is initially recognised at cost, including transaction costs, and subsequently remeasured at fair value updated to reflect market conditions at the end of the reporting period. Fair value of investment property is the price that would be received from sale of the asset in an orderly transaction, without deduction of any transaction costs. The best evidence of fair value is given by current prices in an active market for similar property in the same location and condition. </w:t>
      </w:r>
    </w:p>
    <w:p w14:paraId="65D2C4B4"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In the absence of current prices in an active market, the Group considers information from a variety of sources, including: </w:t>
      </w:r>
    </w:p>
    <w:p w14:paraId="61D12619" w14:textId="77777777" w:rsidR="008E5DE4" w:rsidRDefault="00780368">
      <w:pPr>
        <w:widowControl w:val="0"/>
        <w:numPr>
          <w:ilvl w:val="0"/>
          <w:numId w:val="21"/>
        </w:numPr>
        <w:pBdr>
          <w:top w:val="nil"/>
          <w:left w:val="nil"/>
          <w:bottom w:val="nil"/>
          <w:right w:val="nil"/>
          <w:between w:val="nil"/>
        </w:pBdr>
        <w:shd w:val="clear" w:color="auto" w:fill="C6D9F1"/>
        <w:spacing w:before="200" w:after="200"/>
        <w:ind w:left="567" w:hanging="567"/>
        <w:jc w:val="both"/>
        <w:rPr>
          <w:color w:val="000000"/>
          <w:sz w:val="20"/>
          <w:szCs w:val="20"/>
        </w:rPr>
      </w:pPr>
      <w:r>
        <w:rPr>
          <w:color w:val="000000"/>
          <w:sz w:val="20"/>
          <w:szCs w:val="20"/>
        </w:rPr>
        <w:t xml:space="preserve">current prices in an active market for properties of a different nature, condition or location, adjusted to reflect those </w:t>
      </w:r>
      <w:proofErr w:type="gramStart"/>
      <w:r>
        <w:rPr>
          <w:color w:val="000000"/>
          <w:sz w:val="20"/>
          <w:szCs w:val="20"/>
        </w:rPr>
        <w:t>differences;</w:t>
      </w:r>
      <w:proofErr w:type="gramEnd"/>
    </w:p>
    <w:p w14:paraId="2FAF7ED3" w14:textId="77777777" w:rsidR="008E5DE4" w:rsidRDefault="00780368">
      <w:pPr>
        <w:widowControl w:val="0"/>
        <w:numPr>
          <w:ilvl w:val="0"/>
          <w:numId w:val="21"/>
        </w:numPr>
        <w:pBdr>
          <w:top w:val="nil"/>
          <w:left w:val="nil"/>
          <w:bottom w:val="nil"/>
          <w:right w:val="nil"/>
          <w:between w:val="nil"/>
        </w:pBdr>
        <w:shd w:val="clear" w:color="auto" w:fill="C6D9F1"/>
        <w:spacing w:before="200" w:after="200"/>
        <w:ind w:left="567" w:hanging="567"/>
        <w:jc w:val="both"/>
        <w:rPr>
          <w:color w:val="000000"/>
          <w:sz w:val="20"/>
          <w:szCs w:val="20"/>
        </w:rPr>
      </w:pPr>
      <w:r>
        <w:rPr>
          <w:color w:val="000000"/>
          <w:sz w:val="20"/>
          <w:szCs w:val="20"/>
        </w:rPr>
        <w:t>recent prices of similar properties on less active markets, with adjustments to reflect any changes in economic conditions since the date of the transactions that occurred at those prices; and</w:t>
      </w:r>
    </w:p>
    <w:p w14:paraId="7AA13426" w14:textId="77777777" w:rsidR="008E5DE4" w:rsidRDefault="00780368">
      <w:pPr>
        <w:widowControl w:val="0"/>
        <w:numPr>
          <w:ilvl w:val="0"/>
          <w:numId w:val="21"/>
        </w:numPr>
        <w:pBdr>
          <w:top w:val="nil"/>
          <w:left w:val="nil"/>
          <w:bottom w:val="nil"/>
          <w:right w:val="nil"/>
          <w:between w:val="nil"/>
        </w:pBdr>
        <w:shd w:val="clear" w:color="auto" w:fill="C6D9F1"/>
        <w:spacing w:before="200" w:after="200"/>
        <w:ind w:left="567" w:hanging="567"/>
        <w:jc w:val="both"/>
        <w:rPr>
          <w:color w:val="000000"/>
          <w:sz w:val="20"/>
          <w:szCs w:val="20"/>
        </w:rPr>
      </w:pPr>
      <w:r>
        <w:rPr>
          <w:color w:val="000000"/>
          <w:sz w:val="20"/>
          <w:szCs w:val="20"/>
        </w:rPr>
        <w:t>discounted cash flow projections based on reliable estimates of future cash flows, supported by the terms of any existing lease and other contracts and (when possible) by external evidence such as current market rents for similar properties in the same location and condition, and using discount rates that reflect current market assessments of the uncertainty in the amount and timing of the cash flows.</w:t>
      </w:r>
    </w:p>
    <w:p w14:paraId="155A8B4C" w14:textId="21698B1A" w:rsidR="008E5DE4" w:rsidRDefault="00780368">
      <w:pPr>
        <w:widowControl w:val="0"/>
        <w:pBdr>
          <w:top w:val="nil"/>
          <w:left w:val="nil"/>
          <w:bottom w:val="nil"/>
          <w:right w:val="nil"/>
          <w:between w:val="nil"/>
        </w:pBdr>
        <w:shd w:val="clear" w:color="auto" w:fill="C6D9F1"/>
        <w:spacing w:before="200" w:after="200"/>
        <w:jc w:val="both"/>
        <w:rPr>
          <w:i/>
          <w:color w:val="000000"/>
          <w:sz w:val="20"/>
          <w:szCs w:val="20"/>
        </w:rPr>
      </w:pPr>
      <w:r>
        <w:rPr>
          <w:color w:val="0000FF"/>
          <w:sz w:val="20"/>
          <w:szCs w:val="20"/>
        </w:rPr>
        <w:t>[If, in exceptional cases, there is clear evidence when the Group first acquires an investment property (or when an existing property first becomes investment property following a change in use) that the fair value of the investment property cannot be reliably determined on a continuing basis, then the Group measures that investment property using the cost model in IAS 16</w:t>
      </w:r>
      <w:r w:rsidR="00D713AE">
        <w:rPr>
          <w:color w:val="000000"/>
          <w:sz w:val="20"/>
          <w:szCs w:val="20"/>
        </w:rPr>
        <w:t>.</w:t>
      </w:r>
      <w:r w:rsidRPr="00160220">
        <w:rPr>
          <w:iCs/>
          <w:color w:val="0000FF"/>
          <w:sz w:val="20"/>
          <w:szCs w:val="20"/>
        </w:rPr>
        <w:t>]</w:t>
      </w:r>
    </w:p>
    <w:p w14:paraId="4D9E8EE4" w14:textId="43E86309"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Market value of the Group’s investment property is determined based on reports of independent appraisers, who hold recognised and relevant professional qualifications and who have recent experience in the valuation of property in the same location and category. </w:t>
      </w:r>
    </w:p>
    <w:p w14:paraId="56DCA814"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FF"/>
          <w:sz w:val="20"/>
          <w:szCs w:val="20"/>
        </w:rPr>
        <w:t xml:space="preserve">[Investment property that is being developed or redeveloped for use as investment property is also measured at fair value.] </w:t>
      </w:r>
    </w:p>
    <w:p w14:paraId="6A28ECA4"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Earned rental income is recorded in profit or loss for the year within </w:t>
      </w:r>
      <w:r>
        <w:rPr>
          <w:color w:val="0000FF"/>
          <w:sz w:val="20"/>
          <w:szCs w:val="20"/>
        </w:rPr>
        <w:t>[other income]</w:t>
      </w:r>
      <w:r>
        <w:rPr>
          <w:color w:val="000000"/>
          <w:sz w:val="20"/>
          <w:szCs w:val="20"/>
        </w:rPr>
        <w:t xml:space="preserve">. Gains and losses resulting from changes in the fair value of investment property are recorded in profit or loss for the year and presented separately. </w:t>
      </w:r>
      <w:r>
        <w:rPr>
          <w:color w:val="0000FF"/>
          <w:sz w:val="20"/>
          <w:szCs w:val="20"/>
        </w:rPr>
        <w:t>[Gains or losses on disposal of investment property are calculated as proceeds less the carrying amount. Where the Group disposes of a property at fair value in an arm’s length transaction, the carrying value immediately prior to the sale is adjusted to the transaction price, and the adjustment is recorded in profit or loss for the year</w:t>
      </w:r>
      <w:r>
        <w:rPr>
          <w:color w:val="000000"/>
          <w:sz w:val="20"/>
          <w:szCs w:val="20"/>
        </w:rPr>
        <w:t xml:space="preserve"> </w:t>
      </w:r>
      <w:r>
        <w:rPr>
          <w:color w:val="0000FF"/>
          <w:sz w:val="20"/>
          <w:szCs w:val="20"/>
        </w:rPr>
        <w:t>within net gains from fair value adjustments on investment property.]</w:t>
      </w:r>
    </w:p>
    <w:p w14:paraId="3F0B4691"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10</w:t>
      </w:r>
      <w:r>
        <w:rPr>
          <w:b/>
          <w:color w:val="000000"/>
          <w:sz w:val="20"/>
          <w:szCs w:val="20"/>
        </w:rPr>
        <w:tab/>
        <w:t>Investment Property (Continued)</w:t>
      </w:r>
    </w:p>
    <w:p w14:paraId="2E9EED3D"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[In certain circumstances the Group may dispose of a property other than at fair value, such as when there are special terms or circumstances allowing the parties to the transaction to obtain a benefit which would not generally be available to other market participants. In such circumstances the carrying value immediately prior to the sale is adjusted to the estimated fair value at the disposal date, and any difference between the proceeds and the carrying amount is recorded separately in profit or loss for the year within realised gains or losses on disposal of investment property.]</w:t>
      </w:r>
    </w:p>
    <w:p w14:paraId="21FFF85B"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 xml:space="preserve"> [If an investment property becomes owner-occupied, it is reclassified as property, plant and equipment, and </w:t>
      </w:r>
      <w:proofErr w:type="gramStart"/>
      <w:r>
        <w:rPr>
          <w:color w:val="0000FF"/>
          <w:sz w:val="20"/>
          <w:szCs w:val="20"/>
        </w:rPr>
        <w:t>its</w:t>
      </w:r>
      <w:proofErr w:type="gramEnd"/>
      <w:r>
        <w:rPr>
          <w:color w:val="0000FF"/>
          <w:sz w:val="20"/>
          <w:szCs w:val="20"/>
        </w:rPr>
        <w:t xml:space="preserve"> carrying amount at the date of reclassification becomes its deemed cost for accounting purposes.]</w:t>
      </w:r>
      <w:r>
        <w:rPr>
          <w:color w:val="000000"/>
          <w:sz w:val="20"/>
          <w:szCs w:val="20"/>
        </w:rPr>
        <w:t xml:space="preserve"> </w:t>
      </w:r>
      <w:r>
        <w:rPr>
          <w:color w:val="0000FF"/>
          <w:sz w:val="20"/>
          <w:szCs w:val="20"/>
        </w:rPr>
        <w:t>[If an item of owner-occupied property becomes an investment property because its use has changed, any difference resulting between the carrying amount and the fair value of this item at the date of transfer is treated in the same way as a revaluation of property, plant and equipment. Any resulting increase in the carrying amount of the property is recognised in profit or loss for the year to the extent that it reverses a previous impairment loss, with any remaining increase credited directly to other comprehensive income. Any resulting decrease in the carrying amount of the property is initially charged against any revaluation surplus previously recognised in other comprehensive income, with any remaining decrease charged to profit or loss for the year as impairment.]</w:t>
      </w:r>
    </w:p>
    <w:p w14:paraId="73E78190"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Subsequent expenditure is capitalised to the asset’s carrying amount only when it is probable that future economic benefits associated with the expenditure will flow to the Group and the cost can be measured reliably. All other repairs and maintenance costs are expensed when incurred.</w:t>
      </w:r>
    </w:p>
    <w:p w14:paraId="13626E98" w14:textId="358B63AA"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 xml:space="preserve">[Investment properties are stated at cost less accumulated depreciation and provision for impairment, where required. Depreciation on buildings is calculated using the straight-line method to allocate their </w:t>
      </w:r>
      <w:proofErr w:type="gramStart"/>
      <w:r>
        <w:rPr>
          <w:color w:val="0000FF"/>
          <w:sz w:val="20"/>
          <w:szCs w:val="20"/>
        </w:rPr>
        <w:t>cost  to</w:t>
      </w:r>
      <w:proofErr w:type="gramEnd"/>
      <w:r>
        <w:rPr>
          <w:color w:val="0000FF"/>
          <w:sz w:val="20"/>
          <w:szCs w:val="20"/>
        </w:rPr>
        <w:t xml:space="preserve"> their residual values over their estimated useful lives of </w:t>
      </w:r>
      <w:proofErr w:type="gramStart"/>
      <w:r>
        <w:rPr>
          <w:color w:val="0000FF"/>
          <w:sz w:val="20"/>
          <w:szCs w:val="20"/>
        </w:rPr>
        <w:t>[ ]</w:t>
      </w:r>
      <w:proofErr w:type="gramEnd"/>
      <w:r>
        <w:rPr>
          <w:color w:val="0000FF"/>
          <w:sz w:val="20"/>
          <w:szCs w:val="20"/>
        </w:rPr>
        <w:t xml:space="preserve"> to</w:t>
      </w:r>
      <w:r w:rsidR="00160220">
        <w:rPr>
          <w:color w:val="0000FF"/>
          <w:sz w:val="20"/>
          <w:szCs w:val="20"/>
        </w:rPr>
        <w:t xml:space="preserve"> </w:t>
      </w:r>
      <w:proofErr w:type="gramStart"/>
      <w:r>
        <w:rPr>
          <w:color w:val="0000FF"/>
          <w:sz w:val="20"/>
          <w:szCs w:val="20"/>
        </w:rPr>
        <w:t>[  ]</w:t>
      </w:r>
      <w:proofErr w:type="gramEnd"/>
      <w:r>
        <w:rPr>
          <w:color w:val="0000FF"/>
          <w:sz w:val="20"/>
          <w:szCs w:val="20"/>
        </w:rPr>
        <w:t xml:space="preserve"> years]. Land is not depreciated.</w:t>
      </w:r>
    </w:p>
    <w:p w14:paraId="42398BAB"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If any indication exists that investment properties may be impaired, the Group estimates the recoverable amount as the higher of value in use and fair value less costs of disposal. The carrying amount of an investment property is written down to its recoverable amount through a charge to profit or loss for the year. An impairment loss recognised in prior years is reversed if there has been a subsequent change in the estimates used to determine the asset’s recoverable amount.</w:t>
      </w:r>
    </w:p>
    <w:p w14:paraId="34AFFFC8"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Subsequent expenditure is capitalised only when it is probable that future economic benefits associated with the item will flow to the Group, and the cost can be measured reliably. All other repairs and maintenance costs are expensed when incurred. If an investment property becomes owner-occupied, it is reclassified to property, plant and equipment.]</w:t>
      </w:r>
    </w:p>
    <w:p w14:paraId="789DAC1D" w14:textId="77777777" w:rsidR="00D713AE" w:rsidRDefault="00D713AE">
      <w:r>
        <w:br w:type="page"/>
      </w:r>
    </w:p>
    <w:tbl>
      <w:tblPr>
        <w:tblStyle w:val="aff7"/>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01BC22BF" w14:textId="77777777">
        <w:tc>
          <w:tcPr>
            <w:tcW w:w="9571" w:type="dxa"/>
          </w:tcPr>
          <w:p w14:paraId="192C7601" w14:textId="23D70EF3" w:rsidR="00D713AE" w:rsidRDefault="00D713AE">
            <w:pPr>
              <w:pBdr>
                <w:top w:val="nil"/>
                <w:left w:val="nil"/>
                <w:bottom w:val="nil"/>
                <w:right w:val="nil"/>
                <w:between w:val="nil"/>
              </w:pBdr>
              <w:spacing w:after="240"/>
              <w:rPr>
                <w:b/>
                <w:i/>
                <w:color w:val="000000"/>
                <w:sz w:val="20"/>
                <w:szCs w:val="20"/>
              </w:rPr>
            </w:pPr>
            <w:r>
              <w:rPr>
                <w:b/>
                <w:color w:val="000000"/>
                <w:sz w:val="20"/>
                <w:szCs w:val="20"/>
              </w:rPr>
              <w:lastRenderedPageBreak/>
              <w:t>10</w:t>
            </w:r>
            <w:r>
              <w:rPr>
                <w:b/>
                <w:color w:val="000000"/>
                <w:sz w:val="20"/>
                <w:szCs w:val="20"/>
              </w:rPr>
              <w:tab/>
              <w:t>Investment Property (Continued)</w:t>
            </w:r>
          </w:p>
          <w:p w14:paraId="5EF45B45" w14:textId="37322118" w:rsidR="008E5DE4" w:rsidRDefault="00780368">
            <w:pPr>
              <w:pBdr>
                <w:top w:val="nil"/>
                <w:left w:val="nil"/>
                <w:bottom w:val="nil"/>
                <w:right w:val="nil"/>
                <w:between w:val="nil"/>
              </w:pBdr>
              <w:spacing w:after="240"/>
              <w:rPr>
                <w:b/>
                <w:i/>
                <w:color w:val="000000"/>
                <w:sz w:val="20"/>
                <w:szCs w:val="20"/>
              </w:rPr>
            </w:pPr>
            <w:r>
              <w:rPr>
                <w:b/>
                <w:i/>
                <w:color w:val="000000"/>
                <w:sz w:val="20"/>
                <w:szCs w:val="20"/>
              </w:rPr>
              <w:t>Critical Accounting Estimates and Judgments in Applying Accounting Policies</w:t>
            </w:r>
          </w:p>
          <w:p w14:paraId="5F5E4812"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Valuation of investment properties</w:t>
            </w:r>
            <w:r>
              <w:rPr>
                <w:i/>
                <w:color w:val="000000"/>
                <w:sz w:val="20"/>
                <w:szCs w:val="20"/>
              </w:rPr>
              <w:t>.</w:t>
            </w:r>
            <w:r>
              <w:rPr>
                <w:color w:val="000000"/>
                <w:sz w:val="20"/>
                <w:szCs w:val="20"/>
              </w:rPr>
              <w:t xml:space="preserve"> Investment property is stated at its fair value based on reports prepared by </w:t>
            </w:r>
            <w:r>
              <w:rPr>
                <w:color w:val="0000FF"/>
                <w:sz w:val="20"/>
                <w:szCs w:val="20"/>
              </w:rPr>
              <w:t>[an international valuation company]</w:t>
            </w:r>
            <w:r>
              <w:rPr>
                <w:color w:val="000000"/>
                <w:sz w:val="20"/>
                <w:szCs w:val="20"/>
              </w:rPr>
              <w:t xml:space="preserve"> at the end of the reporting period. </w:t>
            </w:r>
          </w:p>
          <w:p w14:paraId="3EFFCADB" w14:textId="331EC7E4"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As a result of the current economic environment, the frequency of property transactions is low </w:t>
            </w:r>
            <w:r>
              <w:rPr>
                <w:color w:val="0000FF"/>
                <w:sz w:val="20"/>
                <w:szCs w:val="20"/>
              </w:rPr>
              <w:t>[in the Group’s principal markets]</w:t>
            </w:r>
            <w:r>
              <w:rPr>
                <w:color w:val="000000"/>
                <w:sz w:val="20"/>
                <w:szCs w:val="20"/>
              </w:rPr>
              <w:t xml:space="preserve">. Nevertheless, in management’s assessment there remains sufficient market activity to provide comparable prices for orderly transactions with similar properties when determining the fair value for the Group’s investment properties, except for certain of the Group’s </w:t>
            </w:r>
            <w:r>
              <w:rPr>
                <w:color w:val="0000FF"/>
                <w:sz w:val="20"/>
                <w:szCs w:val="20"/>
              </w:rPr>
              <w:t xml:space="preserve">[specify type] </w:t>
            </w:r>
            <w:r>
              <w:rPr>
                <w:color w:val="000000"/>
                <w:sz w:val="20"/>
                <w:szCs w:val="20"/>
              </w:rPr>
              <w:t xml:space="preserve">properties located in </w:t>
            </w:r>
            <w:r>
              <w:rPr>
                <w:color w:val="0000FF"/>
                <w:sz w:val="20"/>
                <w:szCs w:val="20"/>
              </w:rPr>
              <w:t>[location]</w:t>
            </w:r>
            <w:r>
              <w:rPr>
                <w:color w:val="000000"/>
                <w:sz w:val="20"/>
                <w:szCs w:val="20"/>
              </w:rPr>
              <w:t xml:space="preserve">, with a carrying </w:t>
            </w:r>
            <w:r w:rsidRPr="00160220">
              <w:rPr>
                <w:sz w:val="20"/>
                <w:szCs w:val="20"/>
              </w:rPr>
              <w:t xml:space="preserve">value of EUR </w:t>
            </w:r>
            <w:r>
              <w:rPr>
                <w:color w:val="000000"/>
                <w:sz w:val="20"/>
                <w:szCs w:val="20"/>
              </w:rPr>
              <w:t>___ thousand (</w:t>
            </w:r>
            <w:r w:rsidR="00FF468A" w:rsidRPr="00160220">
              <w:rPr>
                <w:sz w:val="20"/>
                <w:szCs w:val="20"/>
              </w:rPr>
              <w:t>2024</w:t>
            </w:r>
            <w:r w:rsidRPr="00160220">
              <w:rPr>
                <w:sz w:val="20"/>
                <w:szCs w:val="20"/>
              </w:rPr>
              <w:t xml:space="preserve">: EUR ___ </w:t>
            </w:r>
            <w:r>
              <w:rPr>
                <w:color w:val="000000"/>
                <w:sz w:val="20"/>
                <w:szCs w:val="20"/>
              </w:rPr>
              <w:t xml:space="preserve">thousand), because this information is not readily available there. For these properties, the valuation was based principally on discounted cash flow projections based on reliable estimates of future cash flows, supported by the terms of any existing lease and other contracts and by external evidence such as current market rents for similar properties in the same location and condition, and using discount rates that reflect current market assessments of the uncertainty in the amount and timing of the cash flows. </w:t>
            </w:r>
          </w:p>
          <w:p w14:paraId="799800A0" w14:textId="7F9704C4"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In preparing the valuation reports on the Group’s investment property, </w:t>
            </w:r>
            <w:r>
              <w:rPr>
                <w:color w:val="0000FF"/>
                <w:sz w:val="20"/>
                <w:szCs w:val="20"/>
              </w:rPr>
              <w:t>[the external appraisers]</w:t>
            </w:r>
            <w:r>
              <w:rPr>
                <w:color w:val="000000"/>
                <w:sz w:val="20"/>
                <w:szCs w:val="20"/>
              </w:rPr>
              <w:t xml:space="preserve"> excluded distressed sales when considering comparable sales prices. Management has reviewed the appraisers’ assumptions underlying the discounted cash flow models used in the </w:t>
            </w:r>
            <w:r w:rsidR="00CA5426">
              <w:rPr>
                <w:color w:val="000000"/>
                <w:sz w:val="20"/>
                <w:szCs w:val="20"/>
              </w:rPr>
              <w:t>valuation and</w:t>
            </w:r>
            <w:r>
              <w:rPr>
                <w:color w:val="000000"/>
                <w:sz w:val="20"/>
                <w:szCs w:val="20"/>
              </w:rPr>
              <w:t xml:space="preserve"> confirmed that factors such as the discount rate applied have been appropriately determined considering the market conditions at the end of the reporting period. Notwithstanding the above, management considers that the valuation of its investment properties is currently subject to an increased degree of judgement and an increased likelihood that actual proceeds on a sale may differ from the carrying value.</w:t>
            </w:r>
          </w:p>
          <w:p w14:paraId="575CF442"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principal assumptions underlying the estimation of the fair value are those relating </w:t>
            </w:r>
            <w:proofErr w:type="gramStart"/>
            <w:r>
              <w:rPr>
                <w:color w:val="000000"/>
                <w:sz w:val="20"/>
                <w:szCs w:val="20"/>
              </w:rPr>
              <w:t>to:</w:t>
            </w:r>
            <w:proofErr w:type="gramEnd"/>
            <w:r>
              <w:rPr>
                <w:color w:val="000000"/>
                <w:sz w:val="20"/>
                <w:szCs w:val="20"/>
              </w:rPr>
              <w:t xml:space="preserve"> the receipt of contractual rentals; expected future market rentals; void periods; maintenance requirements; and appropriate discount rates. These valuations are regularly compared to actual market yield data and actual transactions by the Group, and those reported by the market.</w:t>
            </w:r>
          </w:p>
          <w:p w14:paraId="241364D1"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principal assumptions made and the impact on the aggregate valuations of reasonably possible changes in these assumptions, with all other variables held constant, are as follows:</w:t>
            </w:r>
          </w:p>
          <w:p w14:paraId="170F5B6D" w14:textId="79A0FA35" w:rsidR="008E5DE4" w:rsidRPr="00160220"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The future rental rates were estimated depending on the actual location of the properties: for per square meter per annum for </w:t>
            </w:r>
            <w:r>
              <w:rPr>
                <w:color w:val="0000FF"/>
                <w:sz w:val="20"/>
                <w:szCs w:val="20"/>
              </w:rPr>
              <w:t>[retail and office space]</w:t>
            </w:r>
            <w:r>
              <w:rPr>
                <w:color w:val="000000"/>
                <w:sz w:val="20"/>
                <w:szCs w:val="20"/>
              </w:rPr>
              <w:t xml:space="preserve"> respectively, and for per square meter per annum for </w:t>
            </w:r>
            <w:r>
              <w:rPr>
                <w:color w:val="0000FF"/>
                <w:sz w:val="20"/>
                <w:szCs w:val="20"/>
              </w:rPr>
              <w:t>[retail and office space]</w:t>
            </w:r>
            <w:r>
              <w:rPr>
                <w:color w:val="000000"/>
                <w:sz w:val="20"/>
                <w:szCs w:val="20"/>
              </w:rPr>
              <w:t xml:space="preserve"> respectively. Had these rental rates been increased or decreased by 10 percent (</w:t>
            </w:r>
            <w:r w:rsidR="00FF468A">
              <w:rPr>
                <w:color w:val="000000"/>
                <w:sz w:val="20"/>
                <w:szCs w:val="20"/>
              </w:rPr>
              <w:t>2024</w:t>
            </w:r>
            <w:r>
              <w:rPr>
                <w:color w:val="000000"/>
                <w:sz w:val="20"/>
                <w:szCs w:val="20"/>
              </w:rPr>
              <w:t xml:space="preserve">: _____ percent) for each of the above spaces, the total carrying value of investment properties would </w:t>
            </w:r>
            <w:r w:rsidRPr="00160220">
              <w:rPr>
                <w:sz w:val="20"/>
                <w:szCs w:val="20"/>
              </w:rPr>
              <w:t>be EUR ____ thousand higher or</w:t>
            </w:r>
            <w:r w:rsidR="00AC0EA9" w:rsidRPr="00160220">
              <w:rPr>
                <w:sz w:val="20"/>
                <w:szCs w:val="20"/>
              </w:rPr>
              <w:t xml:space="preserve"> </w:t>
            </w:r>
            <w:r w:rsidRPr="00160220">
              <w:rPr>
                <w:sz w:val="20"/>
                <w:szCs w:val="20"/>
              </w:rPr>
              <w:t>EUR ____ thousand lower (</w:t>
            </w:r>
            <w:r w:rsidR="00FF468A" w:rsidRPr="00160220">
              <w:rPr>
                <w:sz w:val="20"/>
                <w:szCs w:val="20"/>
              </w:rPr>
              <w:t>2024</w:t>
            </w:r>
            <w:r w:rsidRPr="00160220">
              <w:rPr>
                <w:sz w:val="20"/>
                <w:szCs w:val="20"/>
              </w:rPr>
              <w:t>: EUR ____ thousand higher or EUR ____ thousand lower), respectively.</w:t>
            </w:r>
          </w:p>
          <w:p w14:paraId="43333299" w14:textId="5122706B" w:rsidR="008E5DE4" w:rsidRPr="00160220" w:rsidRDefault="00780368">
            <w:pPr>
              <w:widowControl w:val="0"/>
              <w:numPr>
                <w:ilvl w:val="0"/>
                <w:numId w:val="16"/>
              </w:numPr>
              <w:pBdr>
                <w:top w:val="nil"/>
                <w:left w:val="nil"/>
                <w:bottom w:val="nil"/>
                <w:right w:val="nil"/>
                <w:between w:val="nil"/>
              </w:pBdr>
              <w:spacing w:before="100" w:after="100"/>
              <w:jc w:val="both"/>
            </w:pPr>
            <w:r w:rsidRPr="00160220">
              <w:rPr>
                <w:sz w:val="20"/>
                <w:szCs w:val="20"/>
              </w:rPr>
              <w:t>Vacancy loss rate was assumed to be in the range of ___% – ___% (</w:t>
            </w:r>
            <w:r w:rsidR="00FF468A" w:rsidRPr="00160220">
              <w:rPr>
                <w:sz w:val="20"/>
                <w:szCs w:val="20"/>
              </w:rPr>
              <w:t>2024</w:t>
            </w:r>
            <w:r w:rsidRPr="00160220">
              <w:rPr>
                <w:sz w:val="20"/>
                <w:szCs w:val="20"/>
              </w:rPr>
              <w:t>: ___% – __%) in different years of operation. Should the vacancy loss rate increase / decrease by 1 percentage point (</w:t>
            </w:r>
            <w:r w:rsidR="00FF468A" w:rsidRPr="00160220">
              <w:rPr>
                <w:sz w:val="20"/>
                <w:szCs w:val="20"/>
              </w:rPr>
              <w:t>2024</w:t>
            </w:r>
            <w:r w:rsidRPr="00160220">
              <w:rPr>
                <w:sz w:val="20"/>
                <w:szCs w:val="20"/>
              </w:rPr>
              <w:t>: 1 percentage point), the carrying value of the investment properties would be EUR ____ thousand lower / EUR ____ thousand higher (</w:t>
            </w:r>
            <w:r w:rsidR="00FF468A" w:rsidRPr="00160220">
              <w:rPr>
                <w:sz w:val="20"/>
                <w:szCs w:val="20"/>
              </w:rPr>
              <w:t>2024</w:t>
            </w:r>
            <w:r w:rsidRPr="00160220">
              <w:rPr>
                <w:sz w:val="20"/>
                <w:szCs w:val="20"/>
              </w:rPr>
              <w:t>: EUR ____ thousand lower / EUR ____ thousand higher).</w:t>
            </w:r>
          </w:p>
          <w:p w14:paraId="1E28F4CC" w14:textId="38F25E48" w:rsidR="008E5DE4" w:rsidRPr="00160220" w:rsidRDefault="00780368">
            <w:pPr>
              <w:keepNext/>
              <w:keepLines/>
              <w:widowControl w:val="0"/>
              <w:numPr>
                <w:ilvl w:val="0"/>
                <w:numId w:val="16"/>
              </w:numPr>
              <w:pBdr>
                <w:top w:val="nil"/>
                <w:left w:val="nil"/>
                <w:bottom w:val="nil"/>
                <w:right w:val="nil"/>
                <w:between w:val="nil"/>
              </w:pBdr>
              <w:spacing w:before="100" w:after="100"/>
              <w:jc w:val="both"/>
            </w:pPr>
            <w:r w:rsidRPr="00160220">
              <w:rPr>
                <w:sz w:val="20"/>
                <w:szCs w:val="20"/>
              </w:rPr>
              <w:t>Bad debt losses are assumed to be [nil] in all years of operations (</w:t>
            </w:r>
            <w:r w:rsidR="00FF468A" w:rsidRPr="00160220">
              <w:rPr>
                <w:sz w:val="20"/>
                <w:szCs w:val="20"/>
              </w:rPr>
              <w:t>2024</w:t>
            </w:r>
            <w:r w:rsidRPr="00160220">
              <w:rPr>
                <w:sz w:val="20"/>
                <w:szCs w:val="20"/>
              </w:rPr>
              <w:t>: [nil] in all years of operations). Should the bad debt losses increase to ___% (</w:t>
            </w:r>
            <w:r w:rsidR="00FF468A" w:rsidRPr="00160220">
              <w:rPr>
                <w:sz w:val="20"/>
                <w:szCs w:val="20"/>
              </w:rPr>
              <w:t>2024</w:t>
            </w:r>
            <w:r w:rsidRPr="00160220">
              <w:rPr>
                <w:sz w:val="20"/>
                <w:szCs w:val="20"/>
              </w:rPr>
              <w:t>: __%) of effective gross income each year, the carrying value of the investment properties would be EUR ____ thousand lower (2022: EUR ____ thousand lower).</w:t>
            </w:r>
          </w:p>
          <w:p w14:paraId="2443E817" w14:textId="405185E5" w:rsidR="008E5DE4" w:rsidRPr="00160220" w:rsidRDefault="00780368">
            <w:pPr>
              <w:widowControl w:val="0"/>
              <w:numPr>
                <w:ilvl w:val="0"/>
                <w:numId w:val="16"/>
              </w:numPr>
              <w:pBdr>
                <w:top w:val="nil"/>
                <w:left w:val="nil"/>
                <w:bottom w:val="nil"/>
                <w:right w:val="nil"/>
                <w:between w:val="nil"/>
              </w:pBdr>
              <w:spacing w:before="100" w:after="100"/>
              <w:jc w:val="both"/>
            </w:pPr>
            <w:r w:rsidRPr="00160220">
              <w:rPr>
                <w:sz w:val="20"/>
                <w:szCs w:val="20"/>
              </w:rPr>
              <w:t>Property management fees are assumed to be ___% (</w:t>
            </w:r>
            <w:r w:rsidR="00FF468A" w:rsidRPr="00160220">
              <w:rPr>
                <w:sz w:val="20"/>
                <w:szCs w:val="20"/>
              </w:rPr>
              <w:t>2024</w:t>
            </w:r>
            <w:r w:rsidRPr="00160220">
              <w:rPr>
                <w:sz w:val="20"/>
                <w:szCs w:val="20"/>
              </w:rPr>
              <w:t>: ___%) of the effective gross income. Should the fees increase / decrease by 1 percentage point (</w:t>
            </w:r>
            <w:r w:rsidR="00FF468A" w:rsidRPr="00160220">
              <w:rPr>
                <w:sz w:val="20"/>
                <w:szCs w:val="20"/>
              </w:rPr>
              <w:t>2024</w:t>
            </w:r>
            <w:r w:rsidRPr="00160220">
              <w:rPr>
                <w:sz w:val="20"/>
                <w:szCs w:val="20"/>
              </w:rPr>
              <w:t>: 1 percentage point), the carrying value of the investment properties would be EUR ____ thousand lower / higher (</w:t>
            </w:r>
            <w:r w:rsidR="00FF468A" w:rsidRPr="00160220">
              <w:rPr>
                <w:sz w:val="20"/>
                <w:szCs w:val="20"/>
              </w:rPr>
              <w:t>2024</w:t>
            </w:r>
            <w:r w:rsidRPr="00160220">
              <w:rPr>
                <w:sz w:val="20"/>
                <w:szCs w:val="20"/>
              </w:rPr>
              <w:t>: EUR ____ thousand lower / higher).</w:t>
            </w:r>
          </w:p>
          <w:p w14:paraId="5C2B73C0" w14:textId="2A634503" w:rsidR="008E5DE4" w:rsidRPr="00160220" w:rsidRDefault="00780368">
            <w:pPr>
              <w:widowControl w:val="0"/>
              <w:numPr>
                <w:ilvl w:val="0"/>
                <w:numId w:val="16"/>
              </w:numPr>
              <w:pBdr>
                <w:top w:val="nil"/>
                <w:left w:val="nil"/>
                <w:bottom w:val="nil"/>
                <w:right w:val="nil"/>
                <w:between w:val="nil"/>
              </w:pBdr>
              <w:spacing w:before="100" w:after="100"/>
              <w:jc w:val="both"/>
            </w:pPr>
            <w:r w:rsidRPr="00160220">
              <w:rPr>
                <w:sz w:val="20"/>
                <w:szCs w:val="20"/>
              </w:rPr>
              <w:t>Repair expenses are assumed to be ___% (</w:t>
            </w:r>
            <w:r w:rsidR="00FF468A" w:rsidRPr="00160220">
              <w:rPr>
                <w:sz w:val="20"/>
                <w:szCs w:val="20"/>
              </w:rPr>
              <w:t>2024</w:t>
            </w:r>
            <w:r w:rsidRPr="00160220">
              <w:rPr>
                <w:sz w:val="20"/>
                <w:szCs w:val="20"/>
              </w:rPr>
              <w:t>: ___%) of the effective gross income. Should these expenses increase / decrease by ___ percentage point (</w:t>
            </w:r>
            <w:r w:rsidR="00FF468A" w:rsidRPr="00160220">
              <w:rPr>
                <w:sz w:val="20"/>
                <w:szCs w:val="20"/>
              </w:rPr>
              <w:t>2024</w:t>
            </w:r>
            <w:r w:rsidRPr="00160220">
              <w:rPr>
                <w:sz w:val="20"/>
                <w:szCs w:val="20"/>
              </w:rPr>
              <w:t>: ___ percentage point), the carrying value of the investment property would be EUR ____ thousand lower / higher (</w:t>
            </w:r>
            <w:r w:rsidR="00FF468A" w:rsidRPr="00160220">
              <w:rPr>
                <w:sz w:val="20"/>
                <w:szCs w:val="20"/>
              </w:rPr>
              <w:t>2024</w:t>
            </w:r>
            <w:r w:rsidRPr="00160220">
              <w:rPr>
                <w:sz w:val="20"/>
                <w:szCs w:val="20"/>
              </w:rPr>
              <w:t>: EUR ____ thousand lower / higher).</w:t>
            </w:r>
          </w:p>
          <w:p w14:paraId="0A046BD6" w14:textId="21C4D769" w:rsidR="008E5DE4" w:rsidRDefault="00780368">
            <w:pPr>
              <w:widowControl w:val="0"/>
              <w:numPr>
                <w:ilvl w:val="0"/>
                <w:numId w:val="16"/>
              </w:numPr>
              <w:pBdr>
                <w:top w:val="nil"/>
                <w:left w:val="nil"/>
                <w:bottom w:val="nil"/>
                <w:right w:val="nil"/>
                <w:between w:val="nil"/>
              </w:pBdr>
              <w:spacing w:before="100" w:after="100"/>
              <w:jc w:val="both"/>
            </w:pPr>
            <w:r w:rsidRPr="00160220">
              <w:rPr>
                <w:sz w:val="20"/>
                <w:szCs w:val="20"/>
              </w:rPr>
              <w:t>The discount rate was assumed to be ___% – ___% (</w:t>
            </w:r>
            <w:r w:rsidR="00FF468A" w:rsidRPr="00160220">
              <w:rPr>
                <w:sz w:val="20"/>
                <w:szCs w:val="20"/>
              </w:rPr>
              <w:t>2024</w:t>
            </w:r>
            <w:r w:rsidRPr="00160220">
              <w:rPr>
                <w:sz w:val="20"/>
                <w:szCs w:val="20"/>
              </w:rPr>
              <w:t>: ___% – ___%) for different properties. Should this discount rate increase / decrease by 1 percentage point (</w:t>
            </w:r>
            <w:r w:rsidR="00FF468A" w:rsidRPr="00160220">
              <w:rPr>
                <w:sz w:val="20"/>
                <w:szCs w:val="20"/>
              </w:rPr>
              <w:t>2024</w:t>
            </w:r>
            <w:r w:rsidRPr="00160220">
              <w:rPr>
                <w:sz w:val="20"/>
                <w:szCs w:val="20"/>
              </w:rPr>
              <w:t>: 1 percentage point), the carrying value of the investment property would be EUR ____ thousand lower / EUR ____ t</w:t>
            </w:r>
            <w:r>
              <w:rPr>
                <w:color w:val="000000"/>
                <w:sz w:val="20"/>
                <w:szCs w:val="20"/>
              </w:rPr>
              <w:t xml:space="preserve">housand </w:t>
            </w:r>
            <w:r>
              <w:rPr>
                <w:color w:val="000000"/>
                <w:sz w:val="20"/>
                <w:szCs w:val="20"/>
              </w:rPr>
              <w:lastRenderedPageBreak/>
              <w:t>higher (</w:t>
            </w:r>
            <w:r w:rsidR="00FF468A" w:rsidRPr="00160220">
              <w:rPr>
                <w:sz w:val="20"/>
                <w:szCs w:val="20"/>
              </w:rPr>
              <w:t>2024</w:t>
            </w:r>
            <w:r w:rsidRPr="00160220">
              <w:rPr>
                <w:sz w:val="20"/>
                <w:szCs w:val="20"/>
              </w:rPr>
              <w:t xml:space="preserve">: EUR____ thousand </w:t>
            </w:r>
            <w:r>
              <w:rPr>
                <w:color w:val="000000"/>
                <w:sz w:val="20"/>
                <w:szCs w:val="20"/>
              </w:rPr>
              <w:t>lower / higher).</w:t>
            </w:r>
          </w:p>
          <w:p w14:paraId="66A9B779" w14:textId="4634A741"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color w:val="0000FF"/>
                <w:sz w:val="20"/>
                <w:szCs w:val="20"/>
              </w:rPr>
              <w:t>[The capitalisation rate was assumed to be ___% – ___% (</w:t>
            </w:r>
            <w:r w:rsidR="00FF468A">
              <w:rPr>
                <w:color w:val="0000FF"/>
                <w:sz w:val="20"/>
                <w:szCs w:val="20"/>
              </w:rPr>
              <w:t>2024</w:t>
            </w:r>
            <w:r>
              <w:rPr>
                <w:color w:val="0000FF"/>
                <w:sz w:val="20"/>
                <w:szCs w:val="20"/>
              </w:rPr>
              <w:t>: ___% – ___%). Should this capitalisation rate increase / decrease by 1 percentage point (</w:t>
            </w:r>
            <w:r w:rsidR="00FF468A">
              <w:rPr>
                <w:color w:val="0000FF"/>
                <w:sz w:val="20"/>
                <w:szCs w:val="20"/>
              </w:rPr>
              <w:t>2024</w:t>
            </w:r>
            <w:r>
              <w:rPr>
                <w:color w:val="0000FF"/>
                <w:sz w:val="20"/>
                <w:szCs w:val="20"/>
              </w:rPr>
              <w:t>: 1 percentage point), the carrying value of the investment property would be EUR ____ thousand lower / EUR ____ thousand higher (</w:t>
            </w:r>
            <w:r w:rsidR="00FF468A">
              <w:rPr>
                <w:color w:val="0000FF"/>
                <w:sz w:val="20"/>
                <w:szCs w:val="20"/>
              </w:rPr>
              <w:t>2024</w:t>
            </w:r>
            <w:r>
              <w:rPr>
                <w:color w:val="0000FF"/>
                <w:sz w:val="20"/>
                <w:szCs w:val="20"/>
              </w:rPr>
              <w:t>: EUR ____ thousand lower / EUR ____ thousand higher).]</w:t>
            </w:r>
          </w:p>
          <w:p w14:paraId="17F088C8" w14:textId="77777777" w:rsidR="008E5DE4" w:rsidRDefault="008E5DE4">
            <w:pPr>
              <w:widowControl w:val="0"/>
              <w:pBdr>
                <w:top w:val="nil"/>
                <w:left w:val="nil"/>
                <w:bottom w:val="nil"/>
                <w:right w:val="nil"/>
                <w:between w:val="nil"/>
              </w:pBdr>
              <w:spacing w:before="100" w:after="100"/>
              <w:ind w:left="360" w:hanging="360"/>
              <w:jc w:val="both"/>
              <w:rPr>
                <w:b/>
                <w:color w:val="000000"/>
                <w:sz w:val="20"/>
                <w:szCs w:val="20"/>
              </w:rPr>
            </w:pPr>
          </w:p>
        </w:tc>
      </w:tr>
    </w:tbl>
    <w:p w14:paraId="298DB4CE"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10</w:t>
      </w:r>
      <w:r>
        <w:rPr>
          <w:b/>
          <w:color w:val="000000"/>
          <w:sz w:val="20"/>
          <w:szCs w:val="20"/>
        </w:rPr>
        <w:tab/>
        <w:t>Investment Property (Continued)</w:t>
      </w:r>
    </w:p>
    <w:p w14:paraId="3C5E1E40" w14:textId="77777777" w:rsidR="008E5DE4" w:rsidRDefault="008E5DE4"/>
    <w:tbl>
      <w:tblPr>
        <w:tblStyle w:val="aff8"/>
        <w:tblW w:w="9355" w:type="dxa"/>
        <w:tblLayout w:type="fixed"/>
        <w:tblLook w:val="0000" w:firstRow="0" w:lastRow="0" w:firstColumn="0" w:lastColumn="0" w:noHBand="0" w:noVBand="0"/>
      </w:tblPr>
      <w:tblGrid>
        <w:gridCol w:w="5726"/>
        <w:gridCol w:w="567"/>
        <w:gridCol w:w="1531"/>
        <w:gridCol w:w="1531"/>
      </w:tblGrid>
      <w:tr w:rsidR="008E5DE4" w14:paraId="2ED96CC5" w14:textId="77777777">
        <w:trPr>
          <w:cantSplit/>
        </w:trPr>
        <w:tc>
          <w:tcPr>
            <w:tcW w:w="5726" w:type="dxa"/>
            <w:tcBorders>
              <w:bottom w:val="single" w:sz="4" w:space="0" w:color="000000"/>
            </w:tcBorders>
            <w:vAlign w:val="bottom"/>
          </w:tcPr>
          <w:p w14:paraId="01BB5ED0"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567" w:type="dxa"/>
            <w:tcBorders>
              <w:bottom w:val="single" w:sz="4" w:space="0" w:color="000000"/>
            </w:tcBorders>
            <w:vAlign w:val="bottom"/>
          </w:tcPr>
          <w:p w14:paraId="0C30F1B6" w14:textId="77777777" w:rsidR="008E5DE4" w:rsidRDefault="008E5DE4">
            <w:pPr>
              <w:widowControl w:val="0"/>
              <w:spacing w:line="228" w:lineRule="auto"/>
              <w:ind w:left="-57" w:right="-57"/>
              <w:jc w:val="center"/>
              <w:rPr>
                <w:b/>
              </w:rPr>
            </w:pPr>
          </w:p>
        </w:tc>
        <w:tc>
          <w:tcPr>
            <w:tcW w:w="1531" w:type="dxa"/>
            <w:tcBorders>
              <w:bottom w:val="single" w:sz="4" w:space="0" w:color="000000"/>
            </w:tcBorders>
            <w:vAlign w:val="bottom"/>
          </w:tcPr>
          <w:p w14:paraId="4CB583AC" w14:textId="64900B9D" w:rsidR="008E5DE4" w:rsidRDefault="008614F8">
            <w:pPr>
              <w:widowControl w:val="0"/>
              <w:pBdr>
                <w:top w:val="nil"/>
                <w:left w:val="nil"/>
                <w:bottom w:val="nil"/>
                <w:right w:val="nil"/>
                <w:between w:val="nil"/>
              </w:pBdr>
              <w:spacing w:line="228" w:lineRule="auto"/>
              <w:jc w:val="right"/>
              <w:rPr>
                <w:b/>
                <w:color w:val="000000"/>
              </w:rPr>
            </w:pPr>
            <w:r>
              <w:rPr>
                <w:b/>
                <w:color w:val="000000"/>
              </w:rPr>
              <w:t>2025</w:t>
            </w:r>
          </w:p>
        </w:tc>
        <w:tc>
          <w:tcPr>
            <w:tcW w:w="1531" w:type="dxa"/>
            <w:tcBorders>
              <w:bottom w:val="single" w:sz="4" w:space="0" w:color="000000"/>
            </w:tcBorders>
            <w:vAlign w:val="bottom"/>
          </w:tcPr>
          <w:p w14:paraId="6A8942ED" w14:textId="60CE5B2F" w:rsidR="008E5DE4" w:rsidRDefault="00FF468A">
            <w:pPr>
              <w:widowControl w:val="0"/>
              <w:pBdr>
                <w:top w:val="nil"/>
                <w:left w:val="nil"/>
                <w:bottom w:val="nil"/>
                <w:right w:val="nil"/>
                <w:between w:val="nil"/>
              </w:pBdr>
              <w:spacing w:line="228" w:lineRule="auto"/>
              <w:jc w:val="right"/>
              <w:rPr>
                <w:b/>
                <w:color w:val="000000"/>
              </w:rPr>
            </w:pPr>
            <w:r>
              <w:rPr>
                <w:b/>
                <w:color w:val="000000"/>
              </w:rPr>
              <w:t>2024</w:t>
            </w:r>
          </w:p>
        </w:tc>
      </w:tr>
      <w:tr w:rsidR="008E5DE4" w14:paraId="2D53462F" w14:textId="77777777">
        <w:trPr>
          <w:cantSplit/>
        </w:trPr>
        <w:tc>
          <w:tcPr>
            <w:tcW w:w="5726" w:type="dxa"/>
            <w:tcBorders>
              <w:top w:val="single" w:sz="4" w:space="0" w:color="000000"/>
            </w:tcBorders>
            <w:vAlign w:val="bottom"/>
          </w:tcPr>
          <w:p w14:paraId="662E7FE8" w14:textId="77777777" w:rsidR="008E5DE4" w:rsidRDefault="00780368">
            <w:pPr>
              <w:widowControl w:val="0"/>
              <w:spacing w:line="228" w:lineRule="auto"/>
              <w:ind w:left="113" w:right="-57" w:hanging="113"/>
            </w:pPr>
            <w:r>
              <w:rPr>
                <w:b/>
              </w:rPr>
              <w:t> </w:t>
            </w:r>
          </w:p>
        </w:tc>
        <w:tc>
          <w:tcPr>
            <w:tcW w:w="567" w:type="dxa"/>
            <w:tcBorders>
              <w:top w:val="single" w:sz="4" w:space="0" w:color="000000"/>
            </w:tcBorders>
            <w:vAlign w:val="bottom"/>
          </w:tcPr>
          <w:p w14:paraId="20EDC5EB" w14:textId="77777777" w:rsidR="008E5DE4" w:rsidRDefault="008E5DE4">
            <w:pPr>
              <w:widowControl w:val="0"/>
              <w:spacing w:line="228" w:lineRule="auto"/>
              <w:ind w:left="-57" w:right="-57"/>
              <w:jc w:val="center"/>
              <w:rPr>
                <w:b/>
              </w:rPr>
            </w:pPr>
          </w:p>
        </w:tc>
        <w:tc>
          <w:tcPr>
            <w:tcW w:w="1531" w:type="dxa"/>
            <w:tcBorders>
              <w:top w:val="single" w:sz="4" w:space="0" w:color="000000"/>
            </w:tcBorders>
            <w:vAlign w:val="bottom"/>
          </w:tcPr>
          <w:p w14:paraId="5CCE8BA8"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top w:val="single" w:sz="4" w:space="0" w:color="000000"/>
            </w:tcBorders>
            <w:vAlign w:val="bottom"/>
          </w:tcPr>
          <w:p w14:paraId="7AD08A3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710A7C4" w14:textId="77777777">
        <w:trPr>
          <w:cantSplit/>
        </w:trPr>
        <w:tc>
          <w:tcPr>
            <w:tcW w:w="5726" w:type="dxa"/>
            <w:vAlign w:val="bottom"/>
          </w:tcPr>
          <w:p w14:paraId="6EB8499F"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xml:space="preserve">Investment properties at fair value </w:t>
            </w:r>
            <w:proofErr w:type="gramStart"/>
            <w:r>
              <w:rPr>
                <w:b/>
                <w:color w:val="000000"/>
              </w:rPr>
              <w:t>at</w:t>
            </w:r>
            <w:proofErr w:type="gramEnd"/>
            <w:r>
              <w:rPr>
                <w:b/>
                <w:color w:val="000000"/>
              </w:rPr>
              <w:t xml:space="preserve"> 1 January</w:t>
            </w:r>
          </w:p>
        </w:tc>
        <w:tc>
          <w:tcPr>
            <w:tcW w:w="567" w:type="dxa"/>
            <w:vAlign w:val="bottom"/>
          </w:tcPr>
          <w:p w14:paraId="2EED3CB8" w14:textId="77777777" w:rsidR="008E5DE4" w:rsidRDefault="008E5DE4">
            <w:pPr>
              <w:widowControl w:val="0"/>
              <w:pBdr>
                <w:top w:val="nil"/>
                <w:left w:val="nil"/>
                <w:bottom w:val="nil"/>
                <w:right w:val="nil"/>
                <w:between w:val="nil"/>
              </w:pBdr>
              <w:spacing w:line="228" w:lineRule="auto"/>
              <w:ind w:left="-57" w:right="-57"/>
              <w:jc w:val="center"/>
              <w:rPr>
                <w:b/>
                <w:color w:val="000000"/>
              </w:rPr>
            </w:pPr>
          </w:p>
        </w:tc>
        <w:tc>
          <w:tcPr>
            <w:tcW w:w="1531" w:type="dxa"/>
            <w:vAlign w:val="bottom"/>
          </w:tcPr>
          <w:p w14:paraId="5E3F1E4E"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367A90C5"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2ED679DF" w14:textId="77777777">
        <w:trPr>
          <w:cantSplit/>
        </w:trPr>
        <w:tc>
          <w:tcPr>
            <w:tcW w:w="5726" w:type="dxa"/>
            <w:vAlign w:val="bottom"/>
          </w:tcPr>
          <w:p w14:paraId="7500C7A4"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 </w:t>
            </w:r>
          </w:p>
        </w:tc>
        <w:tc>
          <w:tcPr>
            <w:tcW w:w="567" w:type="dxa"/>
            <w:vAlign w:val="bottom"/>
          </w:tcPr>
          <w:p w14:paraId="39F7DCAF" w14:textId="77777777" w:rsidR="008E5DE4" w:rsidRDefault="008E5DE4">
            <w:pPr>
              <w:widowControl w:val="0"/>
              <w:pBdr>
                <w:top w:val="nil"/>
                <w:left w:val="nil"/>
                <w:bottom w:val="nil"/>
                <w:right w:val="nil"/>
                <w:between w:val="nil"/>
              </w:pBdr>
              <w:spacing w:line="228" w:lineRule="auto"/>
              <w:ind w:left="-57" w:right="-57"/>
              <w:jc w:val="center"/>
              <w:rPr>
                <w:b/>
                <w:color w:val="000000"/>
              </w:rPr>
            </w:pPr>
          </w:p>
        </w:tc>
        <w:tc>
          <w:tcPr>
            <w:tcW w:w="1531" w:type="dxa"/>
            <w:vAlign w:val="bottom"/>
          </w:tcPr>
          <w:p w14:paraId="74D9F405"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8736AD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2681A7E" w14:textId="77777777">
        <w:trPr>
          <w:cantSplit/>
        </w:trPr>
        <w:tc>
          <w:tcPr>
            <w:tcW w:w="5726" w:type="dxa"/>
            <w:vAlign w:val="bottom"/>
          </w:tcPr>
          <w:p w14:paraId="750E2997"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Additions</w:t>
            </w:r>
          </w:p>
        </w:tc>
        <w:tc>
          <w:tcPr>
            <w:tcW w:w="567" w:type="dxa"/>
            <w:vAlign w:val="bottom"/>
          </w:tcPr>
          <w:p w14:paraId="3B5E6DEE" w14:textId="77777777" w:rsidR="008E5DE4" w:rsidRDefault="008E5DE4">
            <w:pPr>
              <w:widowControl w:val="0"/>
              <w:pBdr>
                <w:top w:val="nil"/>
                <w:left w:val="nil"/>
                <w:bottom w:val="nil"/>
                <w:right w:val="nil"/>
                <w:between w:val="nil"/>
              </w:pBdr>
              <w:spacing w:line="228" w:lineRule="auto"/>
              <w:ind w:left="-57" w:right="-57"/>
              <w:jc w:val="center"/>
              <w:rPr>
                <w:b/>
                <w:color w:val="000000"/>
              </w:rPr>
            </w:pPr>
          </w:p>
        </w:tc>
        <w:tc>
          <w:tcPr>
            <w:tcW w:w="1531" w:type="dxa"/>
            <w:vAlign w:val="bottom"/>
          </w:tcPr>
          <w:p w14:paraId="30AC28D7"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7A790B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64DC7C6" w14:textId="77777777">
        <w:trPr>
          <w:cantSplit/>
        </w:trPr>
        <w:tc>
          <w:tcPr>
            <w:tcW w:w="5726" w:type="dxa"/>
            <w:vAlign w:val="bottom"/>
          </w:tcPr>
          <w:p w14:paraId="7ECD3554"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Expenditure on subsequent improvements </w:t>
            </w:r>
          </w:p>
        </w:tc>
        <w:tc>
          <w:tcPr>
            <w:tcW w:w="567" w:type="dxa"/>
            <w:vAlign w:val="bottom"/>
          </w:tcPr>
          <w:p w14:paraId="2183C463"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5711E0F5"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3EFEC6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2A72E1F" w14:textId="77777777">
        <w:trPr>
          <w:cantSplit/>
        </w:trPr>
        <w:tc>
          <w:tcPr>
            <w:tcW w:w="5726" w:type="dxa"/>
            <w:vAlign w:val="bottom"/>
          </w:tcPr>
          <w:p w14:paraId="70F5B6E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Additions through business combinations</w:t>
            </w:r>
          </w:p>
        </w:tc>
        <w:tc>
          <w:tcPr>
            <w:tcW w:w="567" w:type="dxa"/>
            <w:vAlign w:val="bottom"/>
          </w:tcPr>
          <w:p w14:paraId="1D7733DC"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50</w:t>
            </w:r>
          </w:p>
        </w:tc>
        <w:tc>
          <w:tcPr>
            <w:tcW w:w="1531" w:type="dxa"/>
            <w:vAlign w:val="bottom"/>
          </w:tcPr>
          <w:p w14:paraId="010D345A"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729E015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E8CBFF8" w14:textId="77777777">
        <w:trPr>
          <w:cantSplit/>
        </w:trPr>
        <w:tc>
          <w:tcPr>
            <w:tcW w:w="5726" w:type="dxa"/>
            <w:vAlign w:val="bottom"/>
          </w:tcPr>
          <w:p w14:paraId="52A1187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Transfer to non-current assets held for sale (or disposal groups)</w:t>
            </w:r>
          </w:p>
        </w:tc>
        <w:tc>
          <w:tcPr>
            <w:tcW w:w="567" w:type="dxa"/>
            <w:vAlign w:val="bottom"/>
          </w:tcPr>
          <w:p w14:paraId="0934E986"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25</w:t>
            </w:r>
          </w:p>
        </w:tc>
        <w:tc>
          <w:tcPr>
            <w:tcW w:w="1531" w:type="dxa"/>
            <w:vAlign w:val="bottom"/>
          </w:tcPr>
          <w:p w14:paraId="4DEF6E0E"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755DE7A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8A06C23" w14:textId="77777777">
        <w:trPr>
          <w:cantSplit/>
        </w:trPr>
        <w:tc>
          <w:tcPr>
            <w:tcW w:w="5726" w:type="dxa"/>
            <w:vAlign w:val="bottom"/>
          </w:tcPr>
          <w:p w14:paraId="68AD5FE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Disposals</w:t>
            </w:r>
          </w:p>
        </w:tc>
        <w:tc>
          <w:tcPr>
            <w:tcW w:w="567" w:type="dxa"/>
            <w:vAlign w:val="bottom"/>
          </w:tcPr>
          <w:p w14:paraId="5E447CA7"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046EEFCF"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EF2833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BB76AAF" w14:textId="77777777">
        <w:trPr>
          <w:cantSplit/>
        </w:trPr>
        <w:tc>
          <w:tcPr>
            <w:tcW w:w="5726" w:type="dxa"/>
            <w:vAlign w:val="bottom"/>
          </w:tcPr>
          <w:p w14:paraId="2D613310"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Transfer to owner occupied premises </w:t>
            </w:r>
          </w:p>
        </w:tc>
        <w:tc>
          <w:tcPr>
            <w:tcW w:w="567" w:type="dxa"/>
            <w:vAlign w:val="bottom"/>
          </w:tcPr>
          <w:p w14:paraId="04F0B712"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9</w:t>
            </w:r>
          </w:p>
        </w:tc>
        <w:tc>
          <w:tcPr>
            <w:tcW w:w="1531" w:type="dxa"/>
            <w:vAlign w:val="bottom"/>
          </w:tcPr>
          <w:p w14:paraId="21ABE13E"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9ECC7B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03B9F99" w14:textId="77777777">
        <w:trPr>
          <w:cantSplit/>
        </w:trPr>
        <w:tc>
          <w:tcPr>
            <w:tcW w:w="5726" w:type="dxa"/>
            <w:vAlign w:val="bottom"/>
          </w:tcPr>
          <w:p w14:paraId="7684B149"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Transfer from owner occupied premises</w:t>
            </w:r>
          </w:p>
        </w:tc>
        <w:tc>
          <w:tcPr>
            <w:tcW w:w="567" w:type="dxa"/>
            <w:vAlign w:val="bottom"/>
          </w:tcPr>
          <w:p w14:paraId="5B922525"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9</w:t>
            </w:r>
          </w:p>
        </w:tc>
        <w:tc>
          <w:tcPr>
            <w:tcW w:w="1531" w:type="dxa"/>
            <w:vAlign w:val="bottom"/>
          </w:tcPr>
          <w:p w14:paraId="10A7DE60"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130ACBD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971ED02" w14:textId="77777777">
        <w:trPr>
          <w:cantSplit/>
        </w:trPr>
        <w:tc>
          <w:tcPr>
            <w:tcW w:w="5726" w:type="dxa"/>
            <w:vAlign w:val="bottom"/>
          </w:tcPr>
          <w:p w14:paraId="2A6680E8"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Transfer to other assets</w:t>
            </w:r>
          </w:p>
        </w:tc>
        <w:tc>
          <w:tcPr>
            <w:tcW w:w="567" w:type="dxa"/>
            <w:vAlign w:val="bottom"/>
          </w:tcPr>
          <w:p w14:paraId="396C1355"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022E6F90"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A7A85F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04E59C3" w14:textId="77777777">
        <w:trPr>
          <w:cantSplit/>
        </w:trPr>
        <w:tc>
          <w:tcPr>
            <w:tcW w:w="5726" w:type="dxa"/>
            <w:vAlign w:val="bottom"/>
          </w:tcPr>
          <w:p w14:paraId="029E50E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Fair value gains less losses</w:t>
            </w:r>
          </w:p>
        </w:tc>
        <w:tc>
          <w:tcPr>
            <w:tcW w:w="567" w:type="dxa"/>
            <w:vAlign w:val="bottom"/>
          </w:tcPr>
          <w:p w14:paraId="0E91717A"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36</w:t>
            </w:r>
          </w:p>
        </w:tc>
        <w:tc>
          <w:tcPr>
            <w:tcW w:w="1531" w:type="dxa"/>
            <w:vAlign w:val="bottom"/>
          </w:tcPr>
          <w:p w14:paraId="7CBB0F77"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F4D374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220ED88" w14:textId="77777777">
        <w:trPr>
          <w:cantSplit/>
        </w:trPr>
        <w:tc>
          <w:tcPr>
            <w:tcW w:w="5726" w:type="dxa"/>
            <w:vAlign w:val="bottom"/>
          </w:tcPr>
          <w:p w14:paraId="18D665C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Other</w:t>
            </w:r>
          </w:p>
        </w:tc>
        <w:tc>
          <w:tcPr>
            <w:tcW w:w="567" w:type="dxa"/>
            <w:vAlign w:val="bottom"/>
          </w:tcPr>
          <w:p w14:paraId="740C731D"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CA9133A"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1D535CE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0E14CE8" w14:textId="77777777">
        <w:trPr>
          <w:cantSplit/>
        </w:trPr>
        <w:tc>
          <w:tcPr>
            <w:tcW w:w="5726" w:type="dxa"/>
            <w:vAlign w:val="bottom"/>
          </w:tcPr>
          <w:p w14:paraId="6445306D"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FF"/>
              </w:rPr>
              <w:t>[Effect of translation to presentation currency]</w:t>
            </w:r>
          </w:p>
        </w:tc>
        <w:tc>
          <w:tcPr>
            <w:tcW w:w="567" w:type="dxa"/>
            <w:vAlign w:val="bottom"/>
          </w:tcPr>
          <w:p w14:paraId="4D5FC460"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6DFD7D99"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30C857E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F579A01" w14:textId="77777777">
        <w:trPr>
          <w:cantSplit/>
        </w:trPr>
        <w:tc>
          <w:tcPr>
            <w:tcW w:w="5726" w:type="dxa"/>
            <w:tcBorders>
              <w:bottom w:val="single" w:sz="4" w:space="0" w:color="000000"/>
            </w:tcBorders>
            <w:vAlign w:val="bottom"/>
          </w:tcPr>
          <w:p w14:paraId="2E5009CB"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 </w:t>
            </w:r>
          </w:p>
        </w:tc>
        <w:tc>
          <w:tcPr>
            <w:tcW w:w="567" w:type="dxa"/>
            <w:tcBorders>
              <w:bottom w:val="single" w:sz="4" w:space="0" w:color="000000"/>
            </w:tcBorders>
            <w:vAlign w:val="bottom"/>
          </w:tcPr>
          <w:p w14:paraId="4F947C59" w14:textId="77777777" w:rsidR="008E5DE4" w:rsidRDefault="008E5DE4">
            <w:pPr>
              <w:widowControl w:val="0"/>
              <w:spacing w:line="228" w:lineRule="auto"/>
              <w:ind w:left="-57" w:right="-57"/>
              <w:jc w:val="center"/>
              <w:rPr>
                <w:b/>
              </w:rPr>
            </w:pPr>
          </w:p>
        </w:tc>
        <w:tc>
          <w:tcPr>
            <w:tcW w:w="1531" w:type="dxa"/>
            <w:tcBorders>
              <w:bottom w:val="single" w:sz="4" w:space="0" w:color="000000"/>
            </w:tcBorders>
            <w:vAlign w:val="bottom"/>
          </w:tcPr>
          <w:p w14:paraId="0E7346BD"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776D836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FD99DEA" w14:textId="77777777">
        <w:trPr>
          <w:cantSplit/>
        </w:trPr>
        <w:tc>
          <w:tcPr>
            <w:tcW w:w="5726" w:type="dxa"/>
            <w:tcBorders>
              <w:top w:val="single" w:sz="4" w:space="0" w:color="000000"/>
            </w:tcBorders>
            <w:vAlign w:val="bottom"/>
          </w:tcPr>
          <w:p w14:paraId="1EBBF534" w14:textId="77777777" w:rsidR="008E5DE4" w:rsidRDefault="00780368">
            <w:pPr>
              <w:widowControl w:val="0"/>
              <w:spacing w:line="228" w:lineRule="auto"/>
              <w:ind w:left="113" w:right="-57" w:hanging="113"/>
            </w:pPr>
            <w:r>
              <w:rPr>
                <w:b/>
              </w:rPr>
              <w:t> </w:t>
            </w:r>
          </w:p>
        </w:tc>
        <w:tc>
          <w:tcPr>
            <w:tcW w:w="567" w:type="dxa"/>
            <w:tcBorders>
              <w:top w:val="single" w:sz="4" w:space="0" w:color="000000"/>
            </w:tcBorders>
            <w:vAlign w:val="bottom"/>
          </w:tcPr>
          <w:p w14:paraId="2BBA8164" w14:textId="77777777" w:rsidR="008E5DE4" w:rsidRDefault="008E5DE4">
            <w:pPr>
              <w:widowControl w:val="0"/>
              <w:spacing w:line="228" w:lineRule="auto"/>
              <w:ind w:left="-57" w:right="-57"/>
              <w:jc w:val="center"/>
            </w:pPr>
          </w:p>
        </w:tc>
        <w:tc>
          <w:tcPr>
            <w:tcW w:w="1531" w:type="dxa"/>
            <w:tcBorders>
              <w:top w:val="single" w:sz="4" w:space="0" w:color="000000"/>
            </w:tcBorders>
            <w:vAlign w:val="bottom"/>
          </w:tcPr>
          <w:p w14:paraId="2D02A754"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tcBorders>
              <w:top w:val="single" w:sz="4" w:space="0" w:color="000000"/>
            </w:tcBorders>
            <w:vAlign w:val="bottom"/>
          </w:tcPr>
          <w:p w14:paraId="59DA1EBA"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738CD4F8" w14:textId="77777777">
        <w:trPr>
          <w:cantSplit/>
        </w:trPr>
        <w:tc>
          <w:tcPr>
            <w:tcW w:w="5726" w:type="dxa"/>
            <w:vAlign w:val="bottom"/>
          </w:tcPr>
          <w:p w14:paraId="7A8BD366"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xml:space="preserve">Investment properties at fair value </w:t>
            </w:r>
            <w:proofErr w:type="gramStart"/>
            <w:r>
              <w:rPr>
                <w:b/>
                <w:color w:val="000000"/>
              </w:rPr>
              <w:t>at</w:t>
            </w:r>
            <w:proofErr w:type="gramEnd"/>
            <w:r>
              <w:rPr>
                <w:b/>
                <w:color w:val="000000"/>
              </w:rPr>
              <w:t xml:space="preserve"> 31 December</w:t>
            </w:r>
          </w:p>
        </w:tc>
        <w:tc>
          <w:tcPr>
            <w:tcW w:w="567" w:type="dxa"/>
            <w:vAlign w:val="bottom"/>
          </w:tcPr>
          <w:p w14:paraId="6139F580" w14:textId="77777777" w:rsidR="008E5DE4" w:rsidRDefault="008E5DE4">
            <w:pPr>
              <w:widowControl w:val="0"/>
              <w:spacing w:line="228" w:lineRule="auto"/>
              <w:ind w:left="-57" w:right="-57"/>
              <w:jc w:val="center"/>
              <w:rPr>
                <w:b/>
              </w:rPr>
            </w:pPr>
          </w:p>
        </w:tc>
        <w:tc>
          <w:tcPr>
            <w:tcW w:w="1531" w:type="dxa"/>
            <w:vAlign w:val="bottom"/>
          </w:tcPr>
          <w:p w14:paraId="078C1CAD"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2534BEEA"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647A1AFF" w14:textId="77777777">
        <w:trPr>
          <w:cantSplit/>
        </w:trPr>
        <w:tc>
          <w:tcPr>
            <w:tcW w:w="5726" w:type="dxa"/>
            <w:tcBorders>
              <w:bottom w:val="single" w:sz="12" w:space="0" w:color="000000"/>
            </w:tcBorders>
            <w:vAlign w:val="bottom"/>
          </w:tcPr>
          <w:p w14:paraId="7CD3369C" w14:textId="77777777" w:rsidR="008E5DE4" w:rsidRDefault="00780368">
            <w:pPr>
              <w:widowControl w:val="0"/>
              <w:spacing w:line="228" w:lineRule="auto"/>
              <w:ind w:left="113" w:right="-57" w:hanging="113"/>
            </w:pPr>
            <w:r>
              <w:rPr>
                <w:b/>
              </w:rPr>
              <w:t> </w:t>
            </w:r>
          </w:p>
        </w:tc>
        <w:tc>
          <w:tcPr>
            <w:tcW w:w="567" w:type="dxa"/>
            <w:tcBorders>
              <w:bottom w:val="single" w:sz="12" w:space="0" w:color="000000"/>
            </w:tcBorders>
            <w:vAlign w:val="bottom"/>
          </w:tcPr>
          <w:p w14:paraId="4DE2FD13" w14:textId="77777777" w:rsidR="008E5DE4" w:rsidRDefault="008E5DE4">
            <w:pPr>
              <w:widowControl w:val="0"/>
              <w:spacing w:line="228" w:lineRule="auto"/>
              <w:ind w:left="-57" w:right="-57"/>
              <w:jc w:val="center"/>
            </w:pPr>
          </w:p>
        </w:tc>
        <w:tc>
          <w:tcPr>
            <w:tcW w:w="1531" w:type="dxa"/>
            <w:tcBorders>
              <w:bottom w:val="single" w:sz="12" w:space="0" w:color="000000"/>
            </w:tcBorders>
            <w:vAlign w:val="bottom"/>
          </w:tcPr>
          <w:p w14:paraId="1813AC3A"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tcBorders>
              <w:bottom w:val="single" w:sz="12" w:space="0" w:color="000000"/>
            </w:tcBorders>
            <w:vAlign w:val="bottom"/>
          </w:tcPr>
          <w:p w14:paraId="45C2FD3E" w14:textId="77777777" w:rsidR="008E5DE4" w:rsidRDefault="008E5DE4">
            <w:pPr>
              <w:widowControl w:val="0"/>
              <w:pBdr>
                <w:top w:val="nil"/>
                <w:left w:val="nil"/>
                <w:bottom w:val="nil"/>
                <w:right w:val="nil"/>
                <w:between w:val="nil"/>
              </w:pBdr>
              <w:spacing w:line="228" w:lineRule="auto"/>
              <w:jc w:val="right"/>
              <w:rPr>
                <w:b/>
                <w:color w:val="000000"/>
              </w:rPr>
            </w:pPr>
          </w:p>
        </w:tc>
      </w:tr>
    </w:tbl>
    <w:p w14:paraId="3B6AA2EC" w14:textId="77777777" w:rsidR="008E5DE4" w:rsidRDefault="00780368">
      <w:pPr>
        <w:widowControl w:val="0"/>
        <w:spacing w:before="200" w:after="200" w:line="228" w:lineRule="auto"/>
        <w:jc w:val="both"/>
        <w:rPr>
          <w:sz w:val="20"/>
          <w:szCs w:val="20"/>
        </w:rPr>
      </w:pPr>
      <w:r>
        <w:rPr>
          <w:sz w:val="20"/>
          <w:szCs w:val="20"/>
        </w:rPr>
        <w:t xml:space="preserve">The investment properties are valued annually on 31 December at fair value, by an independent, professionally qualified valuator who has recent experience in valuing similar properties in </w:t>
      </w:r>
      <w:r>
        <w:rPr>
          <w:color w:val="0000FF"/>
          <w:sz w:val="20"/>
          <w:szCs w:val="20"/>
        </w:rPr>
        <w:t>[Country]</w:t>
      </w:r>
      <w:r>
        <w:rPr>
          <w:sz w:val="20"/>
          <w:szCs w:val="20"/>
        </w:rPr>
        <w:t>. Refer to Note 53 for further information about the fair value measurement.</w:t>
      </w:r>
    </w:p>
    <w:p w14:paraId="2F143113" w14:textId="4963169B"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[The carrying values of investment properties </w:t>
      </w:r>
      <w:proofErr w:type="gramStart"/>
      <w:r>
        <w:rPr>
          <w:color w:val="0000FF"/>
          <w:sz w:val="20"/>
          <w:szCs w:val="20"/>
        </w:rPr>
        <w:t>at</w:t>
      </w:r>
      <w:proofErr w:type="gramEnd"/>
      <w:r>
        <w:rPr>
          <w:color w:val="0000FF"/>
          <w:sz w:val="20"/>
          <w:szCs w:val="20"/>
        </w:rPr>
        <w:t xml:space="preserve"> 31 December </w:t>
      </w:r>
      <w:r w:rsidR="00FF468A">
        <w:rPr>
          <w:color w:val="0000FF"/>
          <w:sz w:val="20"/>
          <w:szCs w:val="20"/>
        </w:rPr>
        <w:t>2024</w:t>
      </w:r>
      <w:r>
        <w:rPr>
          <w:color w:val="0000FF"/>
          <w:sz w:val="20"/>
          <w:szCs w:val="20"/>
        </w:rPr>
        <w:t xml:space="preserve"> agree to the valuations reported by the external valuators, except that the valuations have been increased by the amount of related finance lease liabilities recognised in respect of investment properties held under leases EUR ___ thousand </w:t>
      </w:r>
      <w:proofErr w:type="gramStart"/>
      <w:r>
        <w:rPr>
          <w:color w:val="0000FF"/>
          <w:sz w:val="20"/>
          <w:szCs w:val="20"/>
        </w:rPr>
        <w:t>at</w:t>
      </w:r>
      <w:proofErr w:type="gramEnd"/>
      <w:r>
        <w:rPr>
          <w:color w:val="0000FF"/>
          <w:sz w:val="20"/>
          <w:szCs w:val="20"/>
        </w:rPr>
        <w:t xml:space="preserve"> 31 December </w:t>
      </w:r>
      <w:r w:rsidR="00FF468A">
        <w:rPr>
          <w:color w:val="0000FF"/>
          <w:sz w:val="20"/>
          <w:szCs w:val="20"/>
        </w:rPr>
        <w:t>2024</w:t>
      </w:r>
      <w:r>
        <w:rPr>
          <w:color w:val="0000FF"/>
          <w:sz w:val="20"/>
          <w:szCs w:val="20"/>
        </w:rPr>
        <w:t xml:space="preserve">). This is because the valuations report only a single figure in respect of an investment property held under a lease, net of all payments expected to be made, whereas for financial reporting purposes the carrying value of the investment property and the related finance lease liability are presented separately.] </w:t>
      </w:r>
    </w:p>
    <w:p w14:paraId="34AB8271" w14:textId="59D4F6B5"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[[Direct operating expenses] recognised in profit or loss include EUR ___ thousand (</w:t>
      </w:r>
      <w:r w:rsidR="00FF468A">
        <w:rPr>
          <w:color w:val="0000FF"/>
          <w:sz w:val="20"/>
          <w:szCs w:val="20"/>
        </w:rPr>
        <w:t>2024</w:t>
      </w:r>
      <w:r>
        <w:rPr>
          <w:color w:val="0000FF"/>
          <w:sz w:val="20"/>
          <w:szCs w:val="20"/>
        </w:rPr>
        <w:t>: EUR ___ thousand) relating to investment property that generated rental income.]</w:t>
      </w:r>
    </w:p>
    <w:p w14:paraId="32B7E90A" w14:textId="347AA7FE"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[[Direct operating expenses] recognised in profit or loss include EUR___ thousand (</w:t>
      </w:r>
      <w:r w:rsidR="00FF468A">
        <w:rPr>
          <w:color w:val="0000FF"/>
          <w:sz w:val="20"/>
          <w:szCs w:val="20"/>
        </w:rPr>
        <w:t>2024</w:t>
      </w:r>
      <w:r>
        <w:rPr>
          <w:color w:val="0000FF"/>
          <w:sz w:val="20"/>
          <w:szCs w:val="20"/>
        </w:rPr>
        <w:t>: EUR ___ thousand) relating to investment property that did not generate rental income.]</w:t>
      </w:r>
    </w:p>
    <w:p w14:paraId="5474031E" w14:textId="035DDFE7" w:rsidR="008E5DE4" w:rsidRDefault="00780368">
      <w:pPr>
        <w:widowControl w:val="0"/>
        <w:spacing w:before="200" w:after="200"/>
        <w:jc w:val="both"/>
        <w:rPr>
          <w:color w:val="0000FF"/>
          <w:sz w:val="20"/>
          <w:szCs w:val="20"/>
        </w:rPr>
      </w:pPr>
      <w:r>
        <w:rPr>
          <w:color w:val="0000FF"/>
          <w:sz w:val="20"/>
          <w:szCs w:val="20"/>
        </w:rPr>
        <w:t>[Investment properties with a carrying value of EUR ___ thousand (</w:t>
      </w:r>
      <w:r w:rsidR="00FF468A">
        <w:rPr>
          <w:color w:val="0000FF"/>
          <w:sz w:val="20"/>
          <w:szCs w:val="20"/>
        </w:rPr>
        <w:t>2024</w:t>
      </w:r>
      <w:r>
        <w:rPr>
          <w:color w:val="0000FF"/>
          <w:sz w:val="20"/>
          <w:szCs w:val="20"/>
        </w:rPr>
        <w:t xml:space="preserve">:  EUR___ thousand) were fully completed and in use at the end of the reporting period. The properties are required to comply with the relevant health and safety and other environmental requirements, subject to ongoing self-certification and periodic inspections from independent oversight bodies, </w:t>
      </w:r>
      <w:proofErr w:type="gramStart"/>
      <w:r>
        <w:rPr>
          <w:color w:val="0000FF"/>
          <w:sz w:val="20"/>
          <w:szCs w:val="20"/>
        </w:rPr>
        <w:t>in order to</w:t>
      </w:r>
      <w:proofErr w:type="gramEnd"/>
      <w:r>
        <w:rPr>
          <w:color w:val="0000FF"/>
          <w:sz w:val="20"/>
          <w:szCs w:val="20"/>
        </w:rPr>
        <w:t xml:space="preserve"> continue in operation. Management considers that the Group’s completed properties comply with substantially all the relevant requirements, and based on the Group’s historical experience, all properties are expected to continue to be approved for ongoing use.]</w:t>
      </w:r>
    </w:p>
    <w:p w14:paraId="01A8719D" w14:textId="77777777"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[The properties under development require approval or permits from oversight bodies at various points in the development process, including approval or permits in respect of initial design, zoning, commissioning, compliance with environmental regulations and other matters. Based on the Group’s historical experience with similar developments in similar locations, all relevant permits and approvals are expected to be obtained, but the completion date of the development may vary depending on, among other factors, the timeliness of obtaining approvals and any remedial action required by the Group.</w:t>
      </w:r>
    </w:p>
    <w:p w14:paraId="361B541A"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10</w:t>
      </w:r>
      <w:r>
        <w:rPr>
          <w:b/>
          <w:color w:val="000000"/>
          <w:sz w:val="20"/>
          <w:szCs w:val="20"/>
        </w:rPr>
        <w:tab/>
        <w:t>Investment Property (Continued)</w:t>
      </w:r>
    </w:p>
    <w:p w14:paraId="51762889" w14:textId="77777777" w:rsidR="008E5DE4" w:rsidRDefault="00780368">
      <w:pPr>
        <w:widowControl w:val="0"/>
        <w:spacing w:before="200" w:after="200"/>
        <w:jc w:val="both"/>
        <w:rPr>
          <w:color w:val="0000FF"/>
          <w:sz w:val="20"/>
          <w:szCs w:val="20"/>
        </w:rPr>
      </w:pPr>
      <w:r>
        <w:rPr>
          <w:color w:val="0000FF"/>
          <w:sz w:val="20"/>
          <w:szCs w:val="20"/>
        </w:rPr>
        <w:t>Where uncertainties in respect of obtaining the required approvals and other matters such as the availability of project finance would significantly affect the timing and amount of future cash flows, several valuation models are run for the relevant properties according to the various possible outcomes. The valuation for the property is determined based on a probability-weighted average of the net present values under the various possible outcomes.]</w:t>
      </w:r>
    </w:p>
    <w:p w14:paraId="7559676F" w14:textId="242D6B91" w:rsidR="008E5DE4" w:rsidRDefault="00780368" w:rsidP="00DA0EC1">
      <w:pPr>
        <w:widowControl w:val="0"/>
        <w:spacing w:before="200" w:after="200"/>
        <w:jc w:val="both"/>
        <w:rPr>
          <w:i/>
          <w:color w:val="FF0000"/>
          <w:sz w:val="20"/>
          <w:szCs w:val="20"/>
        </w:rPr>
      </w:pPr>
      <w:proofErr w:type="gramStart"/>
      <w:r>
        <w:rPr>
          <w:sz w:val="20"/>
          <w:szCs w:val="20"/>
        </w:rPr>
        <w:t>At</w:t>
      </w:r>
      <w:proofErr w:type="gramEnd"/>
      <w:r>
        <w:rPr>
          <w:sz w:val="20"/>
          <w:szCs w:val="20"/>
        </w:rPr>
        <w:t xml:space="preserve"> 31 December </w:t>
      </w:r>
      <w:r w:rsidR="008614F8">
        <w:rPr>
          <w:sz w:val="20"/>
          <w:szCs w:val="20"/>
        </w:rPr>
        <w:t>2025</w:t>
      </w:r>
      <w:r>
        <w:rPr>
          <w:sz w:val="20"/>
          <w:szCs w:val="20"/>
        </w:rPr>
        <w:t>, investment properties carried at EUR _____ thousand (</w:t>
      </w:r>
      <w:r w:rsidR="00FF468A">
        <w:rPr>
          <w:sz w:val="20"/>
          <w:szCs w:val="20"/>
        </w:rPr>
        <w:t>2024</w:t>
      </w:r>
      <w:r>
        <w:rPr>
          <w:sz w:val="20"/>
          <w:szCs w:val="20"/>
        </w:rPr>
        <w:t>: EUR _____ thousand) have been pledged to third parties as collateral with respect to borrowings. Refer to Note 28.</w:t>
      </w:r>
    </w:p>
    <w:p w14:paraId="01E204EA" w14:textId="77777777" w:rsidR="008E5DE4" w:rsidRDefault="00780368">
      <w:pPr>
        <w:widowControl w:val="0"/>
        <w:pBdr>
          <w:top w:val="nil"/>
          <w:left w:val="nil"/>
          <w:bottom w:val="nil"/>
          <w:right w:val="nil"/>
          <w:between w:val="nil"/>
        </w:pBdr>
        <w:spacing w:before="200" w:after="200"/>
        <w:jc w:val="both"/>
        <w:rPr>
          <w:b/>
          <w:color w:val="000000"/>
          <w:sz w:val="20"/>
          <w:szCs w:val="20"/>
        </w:rPr>
      </w:pPr>
      <w:r>
        <w:rPr>
          <w:color w:val="000000"/>
          <w:sz w:val="20"/>
          <w:szCs w:val="20"/>
        </w:rPr>
        <w:t xml:space="preserve">Where the Group is the lessor, the future minimum lease payments receivable under operating leases of investment properties are as follows: </w:t>
      </w:r>
    </w:p>
    <w:tbl>
      <w:tblPr>
        <w:tblStyle w:val="aff9"/>
        <w:tblW w:w="9441" w:type="dxa"/>
        <w:tblLayout w:type="fixed"/>
        <w:tblLook w:val="0000" w:firstRow="0" w:lastRow="0" w:firstColumn="0" w:lastColumn="0" w:noHBand="0" w:noVBand="0"/>
      </w:tblPr>
      <w:tblGrid>
        <w:gridCol w:w="6379"/>
        <w:gridCol w:w="1531"/>
        <w:gridCol w:w="1531"/>
      </w:tblGrid>
      <w:tr w:rsidR="008E5DE4" w14:paraId="42E463C6" w14:textId="77777777">
        <w:trPr>
          <w:cantSplit/>
        </w:trPr>
        <w:tc>
          <w:tcPr>
            <w:tcW w:w="6379" w:type="dxa"/>
            <w:tcBorders>
              <w:bottom w:val="single" w:sz="4" w:space="0" w:color="000000"/>
            </w:tcBorders>
            <w:vAlign w:val="bottom"/>
          </w:tcPr>
          <w:p w14:paraId="56E33496"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1531" w:type="dxa"/>
            <w:tcBorders>
              <w:bottom w:val="single" w:sz="4" w:space="0" w:color="000000"/>
            </w:tcBorders>
          </w:tcPr>
          <w:p w14:paraId="65654572" w14:textId="6135D5A1"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792606EB" w14:textId="762B7D81"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49C1800E" w14:textId="77777777">
        <w:trPr>
          <w:cantSplit/>
        </w:trPr>
        <w:tc>
          <w:tcPr>
            <w:tcW w:w="6379" w:type="dxa"/>
            <w:vAlign w:val="bottom"/>
          </w:tcPr>
          <w:p w14:paraId="4ED48D41"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Pr>
          <w:p w14:paraId="4B3BC6C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F45F47F" w14:textId="77777777" w:rsidR="008E5DE4" w:rsidRDefault="008E5DE4">
            <w:pPr>
              <w:widowControl w:val="0"/>
              <w:pBdr>
                <w:top w:val="nil"/>
                <w:left w:val="nil"/>
                <w:bottom w:val="nil"/>
                <w:right w:val="nil"/>
                <w:between w:val="nil"/>
              </w:pBdr>
              <w:jc w:val="right"/>
              <w:rPr>
                <w:color w:val="000000"/>
              </w:rPr>
            </w:pPr>
          </w:p>
        </w:tc>
      </w:tr>
      <w:tr w:rsidR="008E5DE4" w14:paraId="54D7CFB9" w14:textId="77777777">
        <w:trPr>
          <w:cantSplit/>
        </w:trPr>
        <w:tc>
          <w:tcPr>
            <w:tcW w:w="6379" w:type="dxa"/>
            <w:vAlign w:val="bottom"/>
          </w:tcPr>
          <w:p w14:paraId="1F5A83B6" w14:textId="77777777" w:rsidR="008E5DE4" w:rsidRDefault="00780368">
            <w:pPr>
              <w:widowControl w:val="0"/>
              <w:pBdr>
                <w:top w:val="nil"/>
                <w:left w:val="nil"/>
                <w:bottom w:val="nil"/>
                <w:right w:val="nil"/>
                <w:between w:val="nil"/>
              </w:pBdr>
              <w:rPr>
                <w:color w:val="000000"/>
              </w:rPr>
            </w:pPr>
            <w:r>
              <w:rPr>
                <w:color w:val="000000"/>
              </w:rPr>
              <w:t>1 year</w:t>
            </w:r>
          </w:p>
        </w:tc>
        <w:tc>
          <w:tcPr>
            <w:tcW w:w="1531" w:type="dxa"/>
          </w:tcPr>
          <w:p w14:paraId="6E7BA2C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8216978" w14:textId="77777777" w:rsidR="008E5DE4" w:rsidRDefault="008E5DE4">
            <w:pPr>
              <w:widowControl w:val="0"/>
              <w:pBdr>
                <w:top w:val="nil"/>
                <w:left w:val="nil"/>
                <w:bottom w:val="nil"/>
                <w:right w:val="nil"/>
                <w:between w:val="nil"/>
              </w:pBdr>
              <w:jc w:val="right"/>
              <w:rPr>
                <w:color w:val="000000"/>
              </w:rPr>
            </w:pPr>
          </w:p>
        </w:tc>
      </w:tr>
      <w:tr w:rsidR="008E5DE4" w14:paraId="75ADC3DC" w14:textId="77777777">
        <w:trPr>
          <w:cantSplit/>
        </w:trPr>
        <w:tc>
          <w:tcPr>
            <w:tcW w:w="6379" w:type="dxa"/>
            <w:vAlign w:val="bottom"/>
          </w:tcPr>
          <w:p w14:paraId="7648CFB5" w14:textId="77777777" w:rsidR="008E5DE4" w:rsidRDefault="00780368">
            <w:pPr>
              <w:widowControl w:val="0"/>
              <w:pBdr>
                <w:top w:val="nil"/>
                <w:left w:val="nil"/>
                <w:bottom w:val="nil"/>
                <w:right w:val="nil"/>
                <w:between w:val="nil"/>
              </w:pBdr>
              <w:rPr>
                <w:color w:val="000000"/>
              </w:rPr>
            </w:pPr>
            <w:r>
              <w:rPr>
                <w:color w:val="000000"/>
              </w:rPr>
              <w:t xml:space="preserve">2 </w:t>
            </w:r>
            <w:proofErr w:type="gramStart"/>
            <w:r>
              <w:rPr>
                <w:color w:val="000000"/>
              </w:rPr>
              <w:t>year</w:t>
            </w:r>
            <w:proofErr w:type="gramEnd"/>
          </w:p>
        </w:tc>
        <w:tc>
          <w:tcPr>
            <w:tcW w:w="1531" w:type="dxa"/>
          </w:tcPr>
          <w:p w14:paraId="62555B5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F9E4443" w14:textId="77777777" w:rsidR="008E5DE4" w:rsidRDefault="008E5DE4">
            <w:pPr>
              <w:widowControl w:val="0"/>
              <w:pBdr>
                <w:top w:val="nil"/>
                <w:left w:val="nil"/>
                <w:bottom w:val="nil"/>
                <w:right w:val="nil"/>
                <w:between w:val="nil"/>
              </w:pBdr>
              <w:jc w:val="right"/>
              <w:rPr>
                <w:color w:val="000000"/>
              </w:rPr>
            </w:pPr>
          </w:p>
        </w:tc>
      </w:tr>
      <w:tr w:rsidR="008E5DE4" w14:paraId="053190D4" w14:textId="77777777">
        <w:trPr>
          <w:cantSplit/>
        </w:trPr>
        <w:tc>
          <w:tcPr>
            <w:tcW w:w="6379" w:type="dxa"/>
            <w:vAlign w:val="bottom"/>
          </w:tcPr>
          <w:p w14:paraId="263FC323" w14:textId="77777777" w:rsidR="008E5DE4" w:rsidRDefault="00780368">
            <w:pPr>
              <w:widowControl w:val="0"/>
              <w:pBdr>
                <w:top w:val="nil"/>
                <w:left w:val="nil"/>
                <w:bottom w:val="nil"/>
                <w:right w:val="nil"/>
                <w:between w:val="nil"/>
              </w:pBdr>
              <w:rPr>
                <w:color w:val="000000"/>
              </w:rPr>
            </w:pPr>
            <w:r>
              <w:rPr>
                <w:color w:val="000000"/>
              </w:rPr>
              <w:t xml:space="preserve">3 </w:t>
            </w:r>
            <w:proofErr w:type="gramStart"/>
            <w:r>
              <w:rPr>
                <w:color w:val="000000"/>
              </w:rPr>
              <w:t>year</w:t>
            </w:r>
            <w:proofErr w:type="gramEnd"/>
          </w:p>
        </w:tc>
        <w:tc>
          <w:tcPr>
            <w:tcW w:w="1531" w:type="dxa"/>
          </w:tcPr>
          <w:p w14:paraId="772DE51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6B97E5D" w14:textId="77777777" w:rsidR="008E5DE4" w:rsidRDefault="008E5DE4">
            <w:pPr>
              <w:widowControl w:val="0"/>
              <w:pBdr>
                <w:top w:val="nil"/>
                <w:left w:val="nil"/>
                <w:bottom w:val="nil"/>
                <w:right w:val="nil"/>
                <w:between w:val="nil"/>
              </w:pBdr>
              <w:jc w:val="right"/>
              <w:rPr>
                <w:color w:val="000000"/>
              </w:rPr>
            </w:pPr>
          </w:p>
        </w:tc>
      </w:tr>
      <w:tr w:rsidR="008E5DE4" w14:paraId="7CA16639" w14:textId="77777777">
        <w:trPr>
          <w:cantSplit/>
        </w:trPr>
        <w:tc>
          <w:tcPr>
            <w:tcW w:w="6379" w:type="dxa"/>
            <w:vAlign w:val="bottom"/>
          </w:tcPr>
          <w:p w14:paraId="598DBCBA" w14:textId="77777777" w:rsidR="008E5DE4" w:rsidRDefault="00780368">
            <w:pPr>
              <w:widowControl w:val="0"/>
              <w:pBdr>
                <w:top w:val="nil"/>
                <w:left w:val="nil"/>
                <w:bottom w:val="nil"/>
                <w:right w:val="nil"/>
                <w:between w:val="nil"/>
              </w:pBdr>
              <w:rPr>
                <w:color w:val="000000"/>
              </w:rPr>
            </w:pPr>
            <w:r>
              <w:rPr>
                <w:color w:val="000000"/>
              </w:rPr>
              <w:t xml:space="preserve">4 </w:t>
            </w:r>
            <w:proofErr w:type="gramStart"/>
            <w:r>
              <w:rPr>
                <w:color w:val="000000"/>
              </w:rPr>
              <w:t>year</w:t>
            </w:r>
            <w:proofErr w:type="gramEnd"/>
          </w:p>
        </w:tc>
        <w:tc>
          <w:tcPr>
            <w:tcW w:w="1531" w:type="dxa"/>
          </w:tcPr>
          <w:p w14:paraId="2D8E0FC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DFF0CF8" w14:textId="77777777" w:rsidR="008E5DE4" w:rsidRDefault="008E5DE4">
            <w:pPr>
              <w:widowControl w:val="0"/>
              <w:pBdr>
                <w:top w:val="nil"/>
                <w:left w:val="nil"/>
                <w:bottom w:val="nil"/>
                <w:right w:val="nil"/>
                <w:between w:val="nil"/>
              </w:pBdr>
              <w:jc w:val="right"/>
              <w:rPr>
                <w:color w:val="000000"/>
              </w:rPr>
            </w:pPr>
          </w:p>
        </w:tc>
      </w:tr>
      <w:tr w:rsidR="008E5DE4" w14:paraId="34604899" w14:textId="77777777">
        <w:trPr>
          <w:cantSplit/>
        </w:trPr>
        <w:tc>
          <w:tcPr>
            <w:tcW w:w="6379" w:type="dxa"/>
            <w:vAlign w:val="bottom"/>
          </w:tcPr>
          <w:p w14:paraId="56DB9AA2" w14:textId="77777777" w:rsidR="008E5DE4" w:rsidRDefault="00780368">
            <w:pPr>
              <w:widowControl w:val="0"/>
              <w:pBdr>
                <w:top w:val="nil"/>
                <w:left w:val="nil"/>
                <w:bottom w:val="nil"/>
                <w:right w:val="nil"/>
                <w:between w:val="nil"/>
              </w:pBdr>
              <w:rPr>
                <w:color w:val="000000"/>
              </w:rPr>
            </w:pPr>
            <w:r>
              <w:rPr>
                <w:color w:val="000000"/>
              </w:rPr>
              <w:t xml:space="preserve">5 </w:t>
            </w:r>
            <w:proofErr w:type="gramStart"/>
            <w:r>
              <w:rPr>
                <w:color w:val="000000"/>
              </w:rPr>
              <w:t>year</w:t>
            </w:r>
            <w:proofErr w:type="gramEnd"/>
          </w:p>
        </w:tc>
        <w:tc>
          <w:tcPr>
            <w:tcW w:w="1531" w:type="dxa"/>
          </w:tcPr>
          <w:p w14:paraId="41C8117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353E40B" w14:textId="77777777" w:rsidR="008E5DE4" w:rsidRDefault="008E5DE4">
            <w:pPr>
              <w:widowControl w:val="0"/>
              <w:pBdr>
                <w:top w:val="nil"/>
                <w:left w:val="nil"/>
                <w:bottom w:val="nil"/>
                <w:right w:val="nil"/>
                <w:between w:val="nil"/>
              </w:pBdr>
              <w:jc w:val="right"/>
              <w:rPr>
                <w:color w:val="000000"/>
              </w:rPr>
            </w:pPr>
          </w:p>
        </w:tc>
      </w:tr>
      <w:tr w:rsidR="008E5DE4" w14:paraId="383888EE" w14:textId="77777777">
        <w:trPr>
          <w:cantSplit/>
        </w:trPr>
        <w:tc>
          <w:tcPr>
            <w:tcW w:w="6379" w:type="dxa"/>
            <w:vAlign w:val="bottom"/>
          </w:tcPr>
          <w:p w14:paraId="6CCDDDCF" w14:textId="77777777" w:rsidR="008E5DE4" w:rsidRDefault="00780368">
            <w:pPr>
              <w:widowControl w:val="0"/>
              <w:pBdr>
                <w:top w:val="nil"/>
                <w:left w:val="nil"/>
                <w:bottom w:val="nil"/>
                <w:right w:val="nil"/>
                <w:between w:val="nil"/>
              </w:pBdr>
              <w:rPr>
                <w:color w:val="000000"/>
              </w:rPr>
            </w:pPr>
            <w:r>
              <w:rPr>
                <w:color w:val="000000"/>
              </w:rPr>
              <w:t>Later than 5 years</w:t>
            </w:r>
          </w:p>
        </w:tc>
        <w:tc>
          <w:tcPr>
            <w:tcW w:w="1531" w:type="dxa"/>
          </w:tcPr>
          <w:p w14:paraId="30C3524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0391070" w14:textId="77777777" w:rsidR="008E5DE4" w:rsidRDefault="008E5DE4">
            <w:pPr>
              <w:widowControl w:val="0"/>
              <w:pBdr>
                <w:top w:val="nil"/>
                <w:left w:val="nil"/>
                <w:bottom w:val="nil"/>
                <w:right w:val="nil"/>
                <w:between w:val="nil"/>
              </w:pBdr>
              <w:jc w:val="right"/>
              <w:rPr>
                <w:color w:val="000000"/>
              </w:rPr>
            </w:pPr>
          </w:p>
        </w:tc>
      </w:tr>
      <w:tr w:rsidR="008E5DE4" w14:paraId="36B9AB3E" w14:textId="77777777">
        <w:trPr>
          <w:cantSplit/>
        </w:trPr>
        <w:tc>
          <w:tcPr>
            <w:tcW w:w="6379" w:type="dxa"/>
            <w:tcBorders>
              <w:bottom w:val="single" w:sz="4" w:space="0" w:color="000000"/>
            </w:tcBorders>
            <w:vAlign w:val="bottom"/>
          </w:tcPr>
          <w:p w14:paraId="6BE9F00B"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bottom w:val="single" w:sz="4" w:space="0" w:color="000000"/>
            </w:tcBorders>
          </w:tcPr>
          <w:p w14:paraId="08AAD12F"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1C279CDE" w14:textId="77777777" w:rsidR="008E5DE4" w:rsidRDefault="008E5DE4">
            <w:pPr>
              <w:widowControl w:val="0"/>
              <w:pBdr>
                <w:top w:val="nil"/>
                <w:left w:val="nil"/>
                <w:bottom w:val="nil"/>
                <w:right w:val="nil"/>
                <w:between w:val="nil"/>
              </w:pBdr>
              <w:jc w:val="right"/>
              <w:rPr>
                <w:color w:val="000000"/>
              </w:rPr>
            </w:pPr>
          </w:p>
        </w:tc>
      </w:tr>
      <w:tr w:rsidR="008E5DE4" w14:paraId="089C18E2" w14:textId="77777777">
        <w:trPr>
          <w:cantSplit/>
        </w:trPr>
        <w:tc>
          <w:tcPr>
            <w:tcW w:w="6379" w:type="dxa"/>
            <w:vAlign w:val="bottom"/>
          </w:tcPr>
          <w:p w14:paraId="0BEB4504" w14:textId="77777777" w:rsidR="008E5DE4" w:rsidRDefault="00780368">
            <w:pPr>
              <w:widowControl w:val="0"/>
            </w:pPr>
            <w:r>
              <w:rPr>
                <w:b/>
              </w:rPr>
              <w:t> </w:t>
            </w:r>
          </w:p>
        </w:tc>
        <w:tc>
          <w:tcPr>
            <w:tcW w:w="1531" w:type="dxa"/>
          </w:tcPr>
          <w:p w14:paraId="5BC3559C"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FB8337C" w14:textId="77777777" w:rsidR="008E5DE4" w:rsidRDefault="008E5DE4">
            <w:pPr>
              <w:widowControl w:val="0"/>
              <w:pBdr>
                <w:top w:val="nil"/>
                <w:left w:val="nil"/>
                <w:bottom w:val="nil"/>
                <w:right w:val="nil"/>
                <w:between w:val="nil"/>
              </w:pBdr>
              <w:jc w:val="right"/>
              <w:rPr>
                <w:b/>
                <w:color w:val="000000"/>
              </w:rPr>
            </w:pPr>
          </w:p>
        </w:tc>
      </w:tr>
      <w:tr w:rsidR="008E5DE4" w14:paraId="7B77E3BF" w14:textId="77777777">
        <w:trPr>
          <w:cantSplit/>
        </w:trPr>
        <w:tc>
          <w:tcPr>
            <w:tcW w:w="6379" w:type="dxa"/>
            <w:vAlign w:val="bottom"/>
          </w:tcPr>
          <w:p w14:paraId="67733AE4" w14:textId="77777777" w:rsidR="008E5DE4" w:rsidRDefault="00780368">
            <w:pPr>
              <w:widowControl w:val="0"/>
              <w:pBdr>
                <w:top w:val="nil"/>
                <w:left w:val="nil"/>
                <w:bottom w:val="nil"/>
                <w:right w:val="nil"/>
                <w:between w:val="nil"/>
              </w:pBdr>
              <w:rPr>
                <w:b/>
                <w:color w:val="000000"/>
              </w:rPr>
            </w:pPr>
            <w:r>
              <w:rPr>
                <w:b/>
                <w:color w:val="000000"/>
              </w:rPr>
              <w:t xml:space="preserve">Total undiscounted operating lease payments receivable </w:t>
            </w:r>
            <w:proofErr w:type="gramStart"/>
            <w:r>
              <w:rPr>
                <w:b/>
                <w:color w:val="000000"/>
              </w:rPr>
              <w:t>at</w:t>
            </w:r>
            <w:proofErr w:type="gramEnd"/>
            <w:r>
              <w:rPr>
                <w:b/>
                <w:color w:val="000000"/>
              </w:rPr>
              <w:t xml:space="preserve"> 31 December</w:t>
            </w:r>
          </w:p>
        </w:tc>
        <w:tc>
          <w:tcPr>
            <w:tcW w:w="1531" w:type="dxa"/>
          </w:tcPr>
          <w:p w14:paraId="4AA71DC9"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82E8383" w14:textId="77777777" w:rsidR="008E5DE4" w:rsidRDefault="008E5DE4">
            <w:pPr>
              <w:widowControl w:val="0"/>
              <w:pBdr>
                <w:top w:val="nil"/>
                <w:left w:val="nil"/>
                <w:bottom w:val="nil"/>
                <w:right w:val="nil"/>
                <w:between w:val="nil"/>
              </w:pBdr>
              <w:jc w:val="right"/>
              <w:rPr>
                <w:b/>
                <w:color w:val="000000"/>
              </w:rPr>
            </w:pPr>
          </w:p>
        </w:tc>
      </w:tr>
      <w:tr w:rsidR="008E5DE4" w14:paraId="5E5FE7A8" w14:textId="77777777">
        <w:trPr>
          <w:cantSplit/>
        </w:trPr>
        <w:tc>
          <w:tcPr>
            <w:tcW w:w="6379" w:type="dxa"/>
            <w:tcBorders>
              <w:bottom w:val="single" w:sz="12" w:space="0" w:color="000000"/>
            </w:tcBorders>
            <w:vAlign w:val="bottom"/>
          </w:tcPr>
          <w:p w14:paraId="41690834" w14:textId="77777777" w:rsidR="008E5DE4" w:rsidRDefault="008E5DE4">
            <w:pPr>
              <w:widowControl w:val="0"/>
              <w:rPr>
                <w:b/>
              </w:rPr>
            </w:pPr>
          </w:p>
        </w:tc>
        <w:tc>
          <w:tcPr>
            <w:tcW w:w="1531" w:type="dxa"/>
            <w:tcBorders>
              <w:bottom w:val="single" w:sz="12" w:space="0" w:color="000000"/>
            </w:tcBorders>
          </w:tcPr>
          <w:p w14:paraId="756C896E"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5FE1394B" w14:textId="77777777" w:rsidR="008E5DE4" w:rsidRDefault="008E5DE4">
            <w:pPr>
              <w:widowControl w:val="0"/>
              <w:pBdr>
                <w:top w:val="nil"/>
                <w:left w:val="nil"/>
                <w:bottom w:val="nil"/>
                <w:right w:val="nil"/>
                <w:between w:val="nil"/>
              </w:pBdr>
              <w:jc w:val="right"/>
              <w:rPr>
                <w:b/>
                <w:color w:val="000000"/>
              </w:rPr>
            </w:pPr>
          </w:p>
        </w:tc>
      </w:tr>
    </w:tbl>
    <w:p w14:paraId="20470A13" w14:textId="694D5EB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Rental income from investment properties was EUR ____ thousand (</w:t>
      </w:r>
      <w:r w:rsidR="00FF468A">
        <w:rPr>
          <w:color w:val="000000"/>
          <w:sz w:val="20"/>
          <w:szCs w:val="20"/>
        </w:rPr>
        <w:t>2024</w:t>
      </w:r>
      <w:r>
        <w:rPr>
          <w:color w:val="000000"/>
          <w:sz w:val="20"/>
          <w:szCs w:val="20"/>
        </w:rPr>
        <w:t xml:space="preserve">: EUR____ thousand), including EUR___ </w:t>
      </w:r>
      <w:proofErr w:type="spellStart"/>
      <w:r>
        <w:rPr>
          <w:color w:val="000000"/>
          <w:sz w:val="20"/>
          <w:szCs w:val="20"/>
        </w:rPr>
        <w:t>thousand</w:t>
      </w:r>
      <w:proofErr w:type="spellEnd"/>
      <w:r>
        <w:rPr>
          <w:color w:val="000000"/>
          <w:sz w:val="20"/>
          <w:szCs w:val="20"/>
        </w:rPr>
        <w:t xml:space="preserve"> of income relating to variable lease payments that do not depend on an index or a rate.</w:t>
      </w:r>
    </w:p>
    <w:p w14:paraId="605A3FE9"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[The lease agreements do not impose any covenants other than the security interests in the leased assets that are held by the Group. Leased assets may not be used by a lessee as collateral for borrowings.]</w:t>
      </w:r>
      <w:r>
        <w:rPr>
          <w:color w:val="000000"/>
          <w:sz w:val="20"/>
          <w:szCs w:val="20"/>
        </w:rPr>
        <w:t xml:space="preserve"> </w:t>
      </w:r>
    </w:p>
    <w:p w14:paraId="5C9C5E73" w14:textId="58D2945B" w:rsidR="008E5DE4" w:rsidRDefault="008E5DE4">
      <w:pPr>
        <w:widowControl w:val="0"/>
        <w:pBdr>
          <w:top w:val="nil"/>
          <w:left w:val="nil"/>
          <w:bottom w:val="nil"/>
          <w:right w:val="nil"/>
          <w:between w:val="nil"/>
        </w:pBdr>
        <w:spacing w:before="200" w:after="200"/>
        <w:jc w:val="both"/>
        <w:rPr>
          <w:i/>
          <w:color w:val="FF0000"/>
          <w:sz w:val="20"/>
          <w:szCs w:val="20"/>
        </w:rPr>
      </w:pPr>
    </w:p>
    <w:p w14:paraId="75E03AF1" w14:textId="77777777" w:rsidR="008E5DE4" w:rsidRDefault="00780368" w:rsidP="00AC0EA9">
      <w:pPr>
        <w:pStyle w:val="Heading1"/>
        <w:pageBreakBefore/>
        <w:numPr>
          <w:ilvl w:val="0"/>
          <w:numId w:val="3"/>
        </w:numPr>
        <w:spacing w:before="240"/>
        <w:ind w:left="567" w:hanging="567"/>
      </w:pPr>
      <w:bookmarkStart w:id="19" w:name="_Toc149923610"/>
      <w:r>
        <w:lastRenderedPageBreak/>
        <w:t>Right-of-use Assets and Lease Liabilities</w:t>
      </w:r>
      <w:bookmarkEnd w:id="19"/>
    </w:p>
    <w:p w14:paraId="36421AB3" w14:textId="239B3C92"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21071547" w14:textId="77777777" w:rsidR="008E5DE4" w:rsidRDefault="008E5DE4">
      <w:pPr>
        <w:shd w:val="clear" w:color="auto" w:fill="C6D9F1"/>
        <w:rPr>
          <w:i/>
          <w:color w:val="FF0000"/>
          <w:sz w:val="20"/>
          <w:szCs w:val="20"/>
        </w:rPr>
      </w:pPr>
    </w:p>
    <w:p w14:paraId="40A2BD2D" w14:textId="77777777" w:rsidR="008E5DE4" w:rsidRDefault="00780368">
      <w:pPr>
        <w:shd w:val="clear" w:color="auto" w:fill="C6D9F1"/>
        <w:spacing w:before="200" w:after="200"/>
        <w:jc w:val="both"/>
        <w:rPr>
          <w:color w:val="0000FF"/>
          <w:sz w:val="20"/>
          <w:szCs w:val="20"/>
        </w:rPr>
      </w:pPr>
      <w:r>
        <w:rPr>
          <w:b/>
          <w:i/>
          <w:sz w:val="20"/>
          <w:szCs w:val="20"/>
        </w:rPr>
        <w:t>Right-of-use assets.</w:t>
      </w:r>
      <w:r>
        <w:rPr>
          <w:i/>
          <w:sz w:val="20"/>
          <w:szCs w:val="20"/>
        </w:rPr>
        <w:t xml:space="preserve"> </w:t>
      </w:r>
      <w:r>
        <w:rPr>
          <w:sz w:val="20"/>
          <w:szCs w:val="20"/>
        </w:rPr>
        <w:t xml:space="preserve">The Group leases various </w:t>
      </w:r>
      <w:r>
        <w:rPr>
          <w:color w:val="0000FF"/>
          <w:sz w:val="20"/>
          <w:szCs w:val="20"/>
        </w:rPr>
        <w:t>[offices, equipment and vehicles]</w:t>
      </w:r>
      <w:r>
        <w:rPr>
          <w:sz w:val="20"/>
          <w:szCs w:val="20"/>
        </w:rPr>
        <w:t xml:space="preserve">. Contracts may contain both lease and non-lease components. The Group allocates the consideration in the contract to the lease and non-lease components based on their relative stand-alone prices. </w:t>
      </w:r>
      <w:r>
        <w:rPr>
          <w:color w:val="0000FF"/>
          <w:sz w:val="20"/>
          <w:szCs w:val="20"/>
        </w:rPr>
        <w:t>[However, for leases of real estate for which the Group is a lessee, it has elected not to separate lease and non-lease components and instead accounts for these as a single lease component.]</w:t>
      </w:r>
    </w:p>
    <w:p w14:paraId="3E402BFB" w14:textId="77777777" w:rsidR="008E5DE4" w:rsidRDefault="00780368">
      <w:pPr>
        <w:shd w:val="clear" w:color="auto" w:fill="C6D9F1"/>
        <w:spacing w:before="200" w:after="200"/>
        <w:jc w:val="both"/>
        <w:rPr>
          <w:sz w:val="20"/>
          <w:szCs w:val="20"/>
        </w:rPr>
      </w:pPr>
      <w:r>
        <w:rPr>
          <w:sz w:val="20"/>
          <w:szCs w:val="20"/>
        </w:rPr>
        <w:t xml:space="preserve">Assets arising from a lease are initially measured on a present value basis. </w:t>
      </w:r>
    </w:p>
    <w:p w14:paraId="3EE424B5" w14:textId="77777777" w:rsidR="008E5DE4" w:rsidRDefault="00780368">
      <w:pPr>
        <w:shd w:val="clear" w:color="auto" w:fill="C6D9F1"/>
        <w:spacing w:before="200" w:after="200"/>
        <w:jc w:val="both"/>
        <w:rPr>
          <w:sz w:val="20"/>
          <w:szCs w:val="20"/>
        </w:rPr>
      </w:pPr>
      <w:r>
        <w:rPr>
          <w:sz w:val="20"/>
          <w:szCs w:val="20"/>
        </w:rPr>
        <w:t>Right-of-use assets are measured at cost comprising the following:</w:t>
      </w:r>
    </w:p>
    <w:p w14:paraId="51611C81"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the amount of the initial measurement of lease liability,</w:t>
      </w:r>
    </w:p>
    <w:p w14:paraId="158F5828"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any lease payments made at or before the commencement date less any lease incentives received,</w:t>
      </w:r>
    </w:p>
    <w:p w14:paraId="3735C176"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any initial direct costs, and</w:t>
      </w:r>
    </w:p>
    <w:p w14:paraId="244B97EC"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 xml:space="preserve">costs to restore the asset to the conditions required by lease agreements. </w:t>
      </w:r>
    </w:p>
    <w:p w14:paraId="030FFA3A"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Right-of-use assets are generally depreciated over the shorter of the asset's useful life and the lease term on a straight-line basis. If the Group is reasonably certain to exercise a purchase option, the right-of-use asset is depreciated over the underlying assets’ useful lives. Depreciation on the items of the right-of-use assets is calculated using the straight-line method over their estimated useful lives as follows: </w:t>
      </w:r>
    </w:p>
    <w:tbl>
      <w:tblPr>
        <w:tblStyle w:val="affa"/>
        <w:tblW w:w="9360" w:type="dxa"/>
        <w:tblLayout w:type="fixed"/>
        <w:tblLook w:val="0000" w:firstRow="0" w:lastRow="0" w:firstColumn="0" w:lastColumn="0" w:noHBand="0" w:noVBand="0"/>
      </w:tblPr>
      <w:tblGrid>
        <w:gridCol w:w="5670"/>
        <w:gridCol w:w="3690"/>
      </w:tblGrid>
      <w:tr w:rsidR="008E5DE4" w14:paraId="7747B592" w14:textId="77777777">
        <w:trPr>
          <w:cantSplit/>
        </w:trPr>
        <w:tc>
          <w:tcPr>
            <w:tcW w:w="5670" w:type="dxa"/>
            <w:vAlign w:val="bottom"/>
          </w:tcPr>
          <w:p w14:paraId="16FF2D1C" w14:textId="77777777" w:rsidR="008E5DE4" w:rsidRDefault="008E5DE4">
            <w:pPr>
              <w:widowControl w:val="0"/>
              <w:shd w:val="clear" w:color="auto" w:fill="C6D9F1"/>
            </w:pPr>
          </w:p>
        </w:tc>
        <w:tc>
          <w:tcPr>
            <w:tcW w:w="3690" w:type="dxa"/>
            <w:vAlign w:val="bottom"/>
          </w:tcPr>
          <w:p w14:paraId="56723AD4" w14:textId="77777777" w:rsidR="008E5DE4" w:rsidRDefault="00780368">
            <w:pPr>
              <w:widowControl w:val="0"/>
              <w:shd w:val="clear" w:color="auto" w:fill="C6D9F1"/>
              <w:jc w:val="right"/>
              <w:rPr>
                <w:u w:val="single"/>
              </w:rPr>
            </w:pPr>
            <w:r>
              <w:rPr>
                <w:u w:val="single"/>
              </w:rPr>
              <w:t>Useful lives in years</w:t>
            </w:r>
          </w:p>
        </w:tc>
      </w:tr>
      <w:tr w:rsidR="008E5DE4" w14:paraId="050A6487" w14:textId="77777777">
        <w:trPr>
          <w:cantSplit/>
        </w:trPr>
        <w:tc>
          <w:tcPr>
            <w:tcW w:w="5670" w:type="dxa"/>
            <w:vAlign w:val="bottom"/>
          </w:tcPr>
          <w:p w14:paraId="150DAB16" w14:textId="7C07182A" w:rsidR="008E5DE4" w:rsidRDefault="00780368">
            <w:pPr>
              <w:widowControl w:val="0"/>
              <w:shd w:val="clear" w:color="auto" w:fill="C6D9F1"/>
            </w:pPr>
            <w:r>
              <w:t>Land</w:t>
            </w:r>
          </w:p>
        </w:tc>
        <w:tc>
          <w:tcPr>
            <w:tcW w:w="3690" w:type="dxa"/>
            <w:vAlign w:val="bottom"/>
          </w:tcPr>
          <w:p w14:paraId="48692702" w14:textId="77777777" w:rsidR="008E5DE4" w:rsidRDefault="00780368">
            <w:pPr>
              <w:widowControl w:val="0"/>
              <w:shd w:val="clear" w:color="auto" w:fill="C6D9F1"/>
              <w:jc w:val="right"/>
              <w:rPr>
                <w:color w:val="0000FF"/>
              </w:rPr>
            </w:pPr>
            <w:r>
              <w:rPr>
                <w:color w:val="0000FF"/>
              </w:rPr>
              <w:t>[40 to 50]</w:t>
            </w:r>
          </w:p>
        </w:tc>
      </w:tr>
      <w:tr w:rsidR="008E5DE4" w14:paraId="48085EE2" w14:textId="77777777">
        <w:trPr>
          <w:cantSplit/>
        </w:trPr>
        <w:tc>
          <w:tcPr>
            <w:tcW w:w="5670" w:type="dxa"/>
            <w:vAlign w:val="bottom"/>
          </w:tcPr>
          <w:p w14:paraId="7ABF38A0" w14:textId="77777777" w:rsidR="008E5DE4" w:rsidRDefault="00780368">
            <w:pPr>
              <w:widowControl w:val="0"/>
              <w:shd w:val="clear" w:color="auto" w:fill="C6D9F1"/>
            </w:pPr>
            <w:r>
              <w:t xml:space="preserve">Buildings </w:t>
            </w:r>
          </w:p>
        </w:tc>
        <w:tc>
          <w:tcPr>
            <w:tcW w:w="3690" w:type="dxa"/>
            <w:vAlign w:val="bottom"/>
          </w:tcPr>
          <w:p w14:paraId="14EC4B10" w14:textId="77777777" w:rsidR="008E5DE4" w:rsidRDefault="00780368">
            <w:pPr>
              <w:widowControl w:val="0"/>
              <w:shd w:val="clear" w:color="auto" w:fill="C6D9F1"/>
              <w:jc w:val="right"/>
              <w:rPr>
                <w:color w:val="0000FF"/>
              </w:rPr>
            </w:pPr>
            <w:r>
              <w:rPr>
                <w:color w:val="0000FF"/>
              </w:rPr>
              <w:t>[40 to 50]</w:t>
            </w:r>
          </w:p>
        </w:tc>
      </w:tr>
      <w:tr w:rsidR="008E5DE4" w14:paraId="228A56E4" w14:textId="77777777">
        <w:trPr>
          <w:cantSplit/>
        </w:trPr>
        <w:tc>
          <w:tcPr>
            <w:tcW w:w="5670" w:type="dxa"/>
            <w:vAlign w:val="bottom"/>
          </w:tcPr>
          <w:p w14:paraId="042CD52E" w14:textId="77777777" w:rsidR="008E5DE4" w:rsidRDefault="00780368">
            <w:pPr>
              <w:widowControl w:val="0"/>
              <w:shd w:val="clear" w:color="auto" w:fill="C6D9F1"/>
            </w:pPr>
            <w:r>
              <w:t xml:space="preserve">Machinery </w:t>
            </w:r>
          </w:p>
        </w:tc>
        <w:tc>
          <w:tcPr>
            <w:tcW w:w="3690" w:type="dxa"/>
            <w:vAlign w:val="bottom"/>
          </w:tcPr>
          <w:p w14:paraId="46FAE75B" w14:textId="77777777" w:rsidR="008E5DE4" w:rsidRDefault="00780368">
            <w:pPr>
              <w:widowControl w:val="0"/>
              <w:shd w:val="clear" w:color="auto" w:fill="C6D9F1"/>
              <w:jc w:val="right"/>
              <w:rPr>
                <w:color w:val="0000FF"/>
              </w:rPr>
            </w:pPr>
            <w:r>
              <w:rPr>
                <w:color w:val="0000FF"/>
              </w:rPr>
              <w:t>[10 to 20]</w:t>
            </w:r>
          </w:p>
        </w:tc>
      </w:tr>
      <w:tr w:rsidR="008E5DE4" w14:paraId="21F3D511" w14:textId="77777777">
        <w:trPr>
          <w:cantSplit/>
        </w:trPr>
        <w:tc>
          <w:tcPr>
            <w:tcW w:w="5670" w:type="dxa"/>
            <w:vAlign w:val="bottom"/>
          </w:tcPr>
          <w:p w14:paraId="30343196" w14:textId="566CA217" w:rsidR="008E5DE4" w:rsidRDefault="00780368">
            <w:pPr>
              <w:widowControl w:val="0"/>
              <w:shd w:val="clear" w:color="auto" w:fill="C6D9F1"/>
            </w:pPr>
            <w:r>
              <w:t>Motor vehicles</w:t>
            </w:r>
          </w:p>
        </w:tc>
        <w:tc>
          <w:tcPr>
            <w:tcW w:w="3690" w:type="dxa"/>
            <w:vAlign w:val="bottom"/>
          </w:tcPr>
          <w:p w14:paraId="5D5F0947" w14:textId="77777777" w:rsidR="008E5DE4" w:rsidRDefault="00780368">
            <w:pPr>
              <w:widowControl w:val="0"/>
              <w:shd w:val="clear" w:color="auto" w:fill="C6D9F1"/>
              <w:jc w:val="right"/>
              <w:rPr>
                <w:color w:val="0000FF"/>
              </w:rPr>
            </w:pPr>
            <w:r>
              <w:rPr>
                <w:color w:val="0000FF"/>
              </w:rPr>
              <w:t>[5 to 10]</w:t>
            </w:r>
          </w:p>
        </w:tc>
      </w:tr>
    </w:tbl>
    <w:p w14:paraId="4D71B92C"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Impairment of right-of-use assets. </w:t>
      </w:r>
      <w:r>
        <w:rPr>
          <w:color w:val="000000"/>
          <w:sz w:val="20"/>
          <w:szCs w:val="20"/>
        </w:rPr>
        <w:t>Assets that are subject to depreciation are reviewed for impairment whenever events or changes in circumstances indicate that the carrying amount may not be recoverable. An impairment loss is recognised for the amount by which the asset’s carrying amount exceeds its recoverable amount. The recoverable amount is the higher of an asset’s fair value less costs of disposal and value in use. For the purposes of assessing impairment, assets are grouped at the lowest levels for which there are largely independent cash inflows (cash-generating units). Prior impairments of non-financial assets are reviewed for possible reversal at each reporting date.</w:t>
      </w:r>
    </w:p>
    <w:p w14:paraId="1ED9AAA6" w14:textId="69E7BB0F" w:rsidR="008E5DE4" w:rsidRDefault="00780368">
      <w:pPr>
        <w:widowControl w:val="0"/>
        <w:shd w:val="clear" w:color="auto" w:fill="C6D9F1"/>
        <w:spacing w:before="200" w:after="200"/>
        <w:jc w:val="both"/>
        <w:rPr>
          <w:sz w:val="20"/>
          <w:szCs w:val="20"/>
        </w:rPr>
      </w:pPr>
      <w:r>
        <w:rPr>
          <w:b/>
          <w:i/>
          <w:sz w:val="20"/>
          <w:szCs w:val="20"/>
        </w:rPr>
        <w:t>Lease liabilities.</w:t>
      </w:r>
      <w:r>
        <w:rPr>
          <w:i/>
          <w:sz w:val="20"/>
          <w:szCs w:val="20"/>
        </w:rPr>
        <w:t xml:space="preserve"> </w:t>
      </w:r>
      <w:r>
        <w:rPr>
          <w:sz w:val="20"/>
          <w:szCs w:val="20"/>
        </w:rPr>
        <w:t>Liabilities arising from a lease are initially measured on a present value basis. Lease liabilities include the net present value of the following lease payments:</w:t>
      </w:r>
    </w:p>
    <w:p w14:paraId="1F7457BB"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fixed payments (including in-substance fixed payments), less any lease incentives receivable,</w:t>
      </w:r>
    </w:p>
    <w:p w14:paraId="4D5667F7"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variable lease payment that are based on an index or a rate, initially measured using the index or rate as at the commencement date,</w:t>
      </w:r>
    </w:p>
    <w:p w14:paraId="06DF5011"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amounts expected to be payable by the Group under residual value guarantees,</w:t>
      </w:r>
    </w:p>
    <w:p w14:paraId="400F4DC7"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the exercise price of a purchase option if the Group is reasonably certain to exercise that option, and</w:t>
      </w:r>
    </w:p>
    <w:p w14:paraId="2627AE93"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 xml:space="preserve">payments of penalties for terminating the lease, if the lease term reflects the Group exercising that option. </w:t>
      </w:r>
    </w:p>
    <w:p w14:paraId="5B610ABA" w14:textId="77777777" w:rsidR="008E5DE4" w:rsidRDefault="008E5DE4">
      <w:pPr>
        <w:shd w:val="clear" w:color="auto" w:fill="C6D9F1"/>
        <w:jc w:val="both"/>
        <w:rPr>
          <w:sz w:val="20"/>
          <w:szCs w:val="20"/>
        </w:rPr>
      </w:pPr>
    </w:p>
    <w:p w14:paraId="34E56CCB" w14:textId="77777777" w:rsidR="008E5DE4" w:rsidRDefault="00780368">
      <w:pPr>
        <w:pageBreakBefore/>
        <w:pBdr>
          <w:top w:val="nil"/>
          <w:left w:val="nil"/>
          <w:bottom w:val="nil"/>
          <w:right w:val="nil"/>
          <w:between w:val="nil"/>
        </w:pBdr>
        <w:spacing w:after="240"/>
        <w:ind w:left="567" w:hanging="567"/>
        <w:jc w:val="both"/>
        <w:rPr>
          <w:rFonts w:ascii="Georgia" w:eastAsia="Georgia" w:hAnsi="Georgia" w:cs="Georgia"/>
          <w:b/>
          <w:color w:val="000000"/>
          <w:sz w:val="20"/>
          <w:szCs w:val="20"/>
        </w:rPr>
      </w:pPr>
      <w:r>
        <w:rPr>
          <w:b/>
          <w:color w:val="000000"/>
          <w:sz w:val="20"/>
          <w:szCs w:val="20"/>
        </w:rPr>
        <w:lastRenderedPageBreak/>
        <w:t>11</w:t>
      </w:r>
      <w:r>
        <w:rPr>
          <w:b/>
          <w:color w:val="000000"/>
          <w:sz w:val="20"/>
          <w:szCs w:val="20"/>
        </w:rPr>
        <w:tab/>
        <w:t>Right-of-use Assets and Lease Liabilities (Continued)</w:t>
      </w:r>
    </w:p>
    <w:p w14:paraId="608B7ED0" w14:textId="77777777" w:rsidR="008E5DE4" w:rsidRDefault="00780368">
      <w:pPr>
        <w:shd w:val="clear" w:color="auto" w:fill="C6D9F1"/>
        <w:spacing w:before="200" w:after="200"/>
        <w:jc w:val="both"/>
        <w:rPr>
          <w:sz w:val="20"/>
          <w:szCs w:val="20"/>
        </w:rPr>
      </w:pPr>
      <w:r>
        <w:rPr>
          <w:sz w:val="20"/>
          <w:szCs w:val="20"/>
        </w:rPr>
        <w:t xml:space="preserve">Extension and termination options are included in </w:t>
      </w:r>
      <w:proofErr w:type="gramStart"/>
      <w:r>
        <w:rPr>
          <w:sz w:val="20"/>
          <w:szCs w:val="20"/>
        </w:rPr>
        <w:t>a number of</w:t>
      </w:r>
      <w:proofErr w:type="gramEnd"/>
      <w:r>
        <w:rPr>
          <w:sz w:val="20"/>
          <w:szCs w:val="20"/>
        </w:rPr>
        <w:t xml:space="preserve"> </w:t>
      </w:r>
      <w:r>
        <w:rPr>
          <w:color w:val="0000FF"/>
          <w:sz w:val="20"/>
          <w:szCs w:val="20"/>
        </w:rPr>
        <w:t>[property and equipment leases]</w:t>
      </w:r>
      <w:r>
        <w:rPr>
          <w:sz w:val="20"/>
          <w:szCs w:val="20"/>
        </w:rPr>
        <w:t xml:space="preserve"> across the Group. These terms are used to maximise operational flexibility in terms of managing the assets used in the Group’s operations. </w:t>
      </w:r>
      <w:proofErr w:type="gramStart"/>
      <w:r>
        <w:rPr>
          <w:sz w:val="20"/>
          <w:szCs w:val="20"/>
        </w:rPr>
        <w:t>The majority of</w:t>
      </w:r>
      <w:proofErr w:type="gramEnd"/>
      <w:r>
        <w:rPr>
          <w:sz w:val="20"/>
          <w:szCs w:val="20"/>
        </w:rPr>
        <w:t xml:space="preserve"> extension and termination options held are exercisable only by the Group and not by the respective lessor. Extension options (or period after termination options) are only included in the lease term if the lease is reasonably certain to be extended (or not terminated). Lease payments to be made under reasonably certain extension options are also included in the measurement of the liability.</w:t>
      </w:r>
    </w:p>
    <w:p w14:paraId="628CCDF3" w14:textId="77777777" w:rsidR="008E5DE4" w:rsidRDefault="00780368">
      <w:pPr>
        <w:shd w:val="clear" w:color="auto" w:fill="C6D9F1"/>
        <w:spacing w:before="200" w:after="200"/>
        <w:jc w:val="both"/>
        <w:rPr>
          <w:sz w:val="20"/>
          <w:szCs w:val="20"/>
        </w:rPr>
      </w:pPr>
      <w:r>
        <w:rPr>
          <w:sz w:val="20"/>
          <w:szCs w:val="20"/>
        </w:rPr>
        <w:t>The lease payments are discounted using the interest rate implicit in the lease. If that rate cannot be readily determined, which is generally the case for leases of the Group, the Group’s incremental borrowing rate is used, being the rate that the Group would have to pay to borrow the funds necessary to obtain an asset of similar value to the right-of-use asset in a similar economic environment with similar terms, collateral and conditions.</w:t>
      </w:r>
    </w:p>
    <w:p w14:paraId="4EC5BBB1" w14:textId="72A61E60" w:rsidR="008E5DE4" w:rsidRDefault="00780368">
      <w:pPr>
        <w:shd w:val="clear" w:color="auto" w:fill="C6D9F1"/>
        <w:spacing w:before="200" w:after="200"/>
        <w:jc w:val="both"/>
        <w:rPr>
          <w:sz w:val="20"/>
          <w:szCs w:val="20"/>
        </w:rPr>
      </w:pPr>
      <w:r>
        <w:rPr>
          <w:sz w:val="20"/>
          <w:szCs w:val="20"/>
        </w:rPr>
        <w:t>To determine the incremental borrowing rate, the Group:</w:t>
      </w:r>
    </w:p>
    <w:p w14:paraId="12BE5C08"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where possible, uses recent third-party financing received by the Group as a starting point, adjusted to reflect changes in financing conditions since third party financing was received,</w:t>
      </w:r>
    </w:p>
    <w:p w14:paraId="2BDD5382"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uses a build-up approach that starts with a risk-free interest rate adjusted for credit risk, and</w:t>
      </w:r>
    </w:p>
    <w:p w14:paraId="64D96955"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proofErr w:type="gramStart"/>
      <w:r>
        <w:rPr>
          <w:color w:val="000000"/>
          <w:sz w:val="20"/>
          <w:szCs w:val="20"/>
        </w:rPr>
        <w:t>makes adjustments</w:t>
      </w:r>
      <w:proofErr w:type="gramEnd"/>
      <w:r>
        <w:rPr>
          <w:color w:val="000000"/>
          <w:sz w:val="20"/>
          <w:szCs w:val="20"/>
        </w:rPr>
        <w:t xml:space="preserve"> specific to the lease, e.g. term, country, currency and collateral.</w:t>
      </w:r>
    </w:p>
    <w:p w14:paraId="03AACA2F" w14:textId="77777777" w:rsidR="008E5DE4" w:rsidRDefault="00780368">
      <w:pPr>
        <w:shd w:val="clear" w:color="auto" w:fill="C6D9F1"/>
        <w:spacing w:before="200" w:after="200"/>
        <w:jc w:val="both"/>
        <w:rPr>
          <w:sz w:val="20"/>
          <w:szCs w:val="20"/>
        </w:rPr>
      </w:pPr>
      <w:r>
        <w:rPr>
          <w:sz w:val="20"/>
          <w:szCs w:val="20"/>
        </w:rPr>
        <w:t>The Group is exposed to potential future increases in variable lease payments based on an index or rate, which are not included in the lease liability until they take effect. When adjustments to lease payments based on an index or rate take effect, the lease liability is reassessed and adjusted against the right-of-use asset.</w:t>
      </w:r>
    </w:p>
    <w:p w14:paraId="4A1B1A8E" w14:textId="77777777" w:rsidR="008E5DE4" w:rsidRDefault="00780368">
      <w:pPr>
        <w:shd w:val="clear" w:color="auto" w:fill="C6D9F1"/>
        <w:spacing w:before="200" w:after="200"/>
        <w:jc w:val="both"/>
        <w:rPr>
          <w:sz w:val="20"/>
          <w:szCs w:val="20"/>
        </w:rPr>
      </w:pPr>
      <w:r>
        <w:rPr>
          <w:sz w:val="20"/>
          <w:szCs w:val="20"/>
        </w:rPr>
        <w:t xml:space="preserve">Lease payments are allocated between principal and finance costs. The finance costs are charged to profit or loss over the lease period </w:t>
      </w:r>
      <w:proofErr w:type="gramStart"/>
      <w:r>
        <w:rPr>
          <w:sz w:val="20"/>
          <w:szCs w:val="20"/>
        </w:rPr>
        <w:t>so as to</w:t>
      </w:r>
      <w:proofErr w:type="gramEnd"/>
      <w:r>
        <w:rPr>
          <w:sz w:val="20"/>
          <w:szCs w:val="20"/>
        </w:rPr>
        <w:t xml:space="preserve"> produce a constant periodic rate of interest on the remaining balance of the liability for each period.</w:t>
      </w:r>
    </w:p>
    <w:p w14:paraId="0CD69D3E"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Payments associated with short-term leases of equipment and vehicles and all leases of low-value assets are recognised on a straight-line basis as an expense in profit or loss. Short-term leases are leases with a lease term of 12 months or less. Low-value assets comprise </w:t>
      </w:r>
      <w:r>
        <w:rPr>
          <w:color w:val="0000FF"/>
          <w:sz w:val="20"/>
          <w:szCs w:val="20"/>
        </w:rPr>
        <w:t>[IT equipment and small items of office furniture]</w:t>
      </w:r>
      <w:r>
        <w:rPr>
          <w:color w:val="000000"/>
          <w:sz w:val="20"/>
          <w:szCs w:val="20"/>
        </w:rPr>
        <w:t xml:space="preserve"> with value of EUR </w:t>
      </w:r>
      <w:r>
        <w:rPr>
          <w:color w:val="0000FF"/>
          <w:sz w:val="20"/>
          <w:szCs w:val="20"/>
        </w:rPr>
        <w:t xml:space="preserve">[…] </w:t>
      </w:r>
      <w:r>
        <w:rPr>
          <w:color w:val="000000"/>
          <w:sz w:val="20"/>
          <w:szCs w:val="20"/>
        </w:rPr>
        <w:t>thousand or less.</w:t>
      </w:r>
    </w:p>
    <w:p w14:paraId="205B1D54" w14:textId="4BC3D219" w:rsidR="008E5DE4" w:rsidRDefault="00780368">
      <w:pPr>
        <w:pBdr>
          <w:top w:val="nil"/>
          <w:left w:val="nil"/>
          <w:bottom w:val="nil"/>
          <w:right w:val="nil"/>
          <w:between w:val="nil"/>
        </w:pBdr>
        <w:shd w:val="clear" w:color="auto" w:fill="C6D9F1"/>
        <w:jc w:val="both"/>
        <w:rPr>
          <w:color w:val="000000"/>
          <w:sz w:val="20"/>
          <w:szCs w:val="20"/>
        </w:rPr>
      </w:pPr>
      <w:r>
        <w:rPr>
          <w:color w:val="000000"/>
          <w:sz w:val="20"/>
          <w:szCs w:val="20"/>
        </w:rPr>
        <w:t>To optimise lease costs during the contract period, the Group sometimes provides residual value guarantees in relation to equipment leases. The Group initially estimates and recognises amounts expected to be payable under residual value guarantees as part of the lease liability. Typically</w:t>
      </w:r>
      <w:r w:rsidR="00160220">
        <w:rPr>
          <w:color w:val="000000"/>
          <w:sz w:val="20"/>
          <w:szCs w:val="20"/>
        </w:rPr>
        <w:t>,</w:t>
      </w:r>
      <w:r>
        <w:rPr>
          <w:color w:val="000000"/>
          <w:sz w:val="20"/>
          <w:szCs w:val="20"/>
        </w:rPr>
        <w:t xml:space="preserve"> the expected residual value at lease commencement is equal to or higher than the guaranteed amount, and so the Group does not expect to pay anything under the guarantees. At the end of each reporting period, the expected residual values are reviewed, and adjusted if appropriate, to reflect actual residual values achieved on comparable assets and expectations about future prices. </w:t>
      </w:r>
    </w:p>
    <w:p w14:paraId="6280F622" w14:textId="77777777" w:rsidR="008E5DE4" w:rsidRDefault="008E5DE4"/>
    <w:p w14:paraId="2CD5792C" w14:textId="77777777" w:rsidR="00DA0EC1" w:rsidRDefault="00DA0EC1">
      <w:r>
        <w:br w:type="page"/>
      </w:r>
    </w:p>
    <w:tbl>
      <w:tblPr>
        <w:tblStyle w:val="affb"/>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3611ED87" w14:textId="77777777">
        <w:tc>
          <w:tcPr>
            <w:tcW w:w="9571" w:type="dxa"/>
          </w:tcPr>
          <w:p w14:paraId="35E317D6" w14:textId="77777777" w:rsidR="00DA0EC1" w:rsidRDefault="00DA0EC1" w:rsidP="00DA0EC1">
            <w:pPr>
              <w:pageBreakBefore/>
              <w:pBdr>
                <w:top w:val="nil"/>
                <w:left w:val="nil"/>
                <w:bottom w:val="nil"/>
                <w:right w:val="nil"/>
                <w:between w:val="nil"/>
              </w:pBdr>
              <w:spacing w:after="240"/>
              <w:ind w:left="567" w:hanging="567"/>
              <w:jc w:val="both"/>
              <w:rPr>
                <w:rFonts w:ascii="Georgia" w:eastAsia="Georgia" w:hAnsi="Georgia" w:cs="Georgia"/>
                <w:b/>
                <w:color w:val="000000"/>
                <w:sz w:val="20"/>
                <w:szCs w:val="20"/>
              </w:rPr>
            </w:pPr>
            <w:r>
              <w:rPr>
                <w:b/>
                <w:color w:val="000000"/>
                <w:sz w:val="20"/>
                <w:szCs w:val="20"/>
              </w:rPr>
              <w:lastRenderedPageBreak/>
              <w:t>11</w:t>
            </w:r>
            <w:r>
              <w:rPr>
                <w:b/>
                <w:color w:val="000000"/>
                <w:sz w:val="20"/>
                <w:szCs w:val="20"/>
              </w:rPr>
              <w:tab/>
              <w:t>Right-of-use Assets and Lease Liabilities (Continued)</w:t>
            </w:r>
          </w:p>
          <w:p w14:paraId="086F4F4C" w14:textId="00DE3D55" w:rsidR="008E5DE4" w:rsidRDefault="00780368">
            <w:pPr>
              <w:pBdr>
                <w:top w:val="nil"/>
                <w:left w:val="nil"/>
                <w:bottom w:val="nil"/>
                <w:right w:val="nil"/>
                <w:between w:val="nil"/>
              </w:pBdr>
              <w:spacing w:after="240"/>
              <w:rPr>
                <w:b/>
                <w:i/>
                <w:color w:val="000000"/>
                <w:sz w:val="20"/>
                <w:szCs w:val="20"/>
              </w:rPr>
            </w:pPr>
            <w:r>
              <w:rPr>
                <w:b/>
                <w:i/>
                <w:color w:val="000000"/>
                <w:sz w:val="20"/>
                <w:szCs w:val="20"/>
              </w:rPr>
              <w:t>Critical Accounting Estimates and Judgments in Applying Accounting Policies</w:t>
            </w:r>
          </w:p>
          <w:p w14:paraId="3141BB07" w14:textId="14490BCF" w:rsidR="008E5DE4" w:rsidRDefault="00780368">
            <w:pPr>
              <w:jc w:val="both"/>
              <w:rPr>
                <w:sz w:val="20"/>
                <w:szCs w:val="20"/>
              </w:rPr>
            </w:pPr>
            <w:r>
              <w:rPr>
                <w:b/>
                <w:i/>
                <w:sz w:val="20"/>
                <w:szCs w:val="20"/>
              </w:rPr>
              <w:t>Depreciation of right-of-use assets</w:t>
            </w:r>
            <w:r>
              <w:rPr>
                <w:i/>
                <w:sz w:val="20"/>
                <w:szCs w:val="20"/>
              </w:rPr>
              <w:t>.</w:t>
            </w:r>
            <w:r>
              <w:rPr>
                <w:sz w:val="20"/>
                <w:szCs w:val="20"/>
              </w:rPr>
              <w:t xml:space="preserve"> In determining the lease term, management considers all facts and circumstances that create an economic incentive to exercise an extension option or not exercise a termination option. Extension options (or periods after termination options) are only included in the lease term if the lease is reasonably certain to be extended (or not terminated).</w:t>
            </w:r>
          </w:p>
          <w:p w14:paraId="41B0B9A9" w14:textId="77777777" w:rsidR="008E5DE4" w:rsidRDefault="00780368">
            <w:pPr>
              <w:spacing w:before="200" w:after="200"/>
              <w:rPr>
                <w:sz w:val="20"/>
                <w:szCs w:val="20"/>
              </w:rPr>
            </w:pPr>
            <w:r>
              <w:rPr>
                <w:sz w:val="20"/>
                <w:szCs w:val="20"/>
              </w:rPr>
              <w:t xml:space="preserve">For leases of </w:t>
            </w:r>
            <w:r>
              <w:rPr>
                <w:color w:val="0000FF"/>
                <w:sz w:val="20"/>
                <w:szCs w:val="20"/>
              </w:rPr>
              <w:t>[offices, equipment and vehicles]</w:t>
            </w:r>
            <w:r>
              <w:rPr>
                <w:sz w:val="20"/>
                <w:szCs w:val="20"/>
              </w:rPr>
              <w:t xml:space="preserve">, the following factors are normally the most relevant: </w:t>
            </w:r>
          </w:p>
          <w:p w14:paraId="33CF5220"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If there are significant penalties to terminate (or not extend), the Group is typically reasonably certain to extend (or not terminate) the lease. </w:t>
            </w:r>
          </w:p>
          <w:p w14:paraId="513466C1" w14:textId="69E82EB3" w:rsidR="00D901F3" w:rsidRDefault="00780368" w:rsidP="007F183E">
            <w:pPr>
              <w:widowControl w:val="0"/>
              <w:numPr>
                <w:ilvl w:val="0"/>
                <w:numId w:val="16"/>
              </w:numPr>
              <w:pBdr>
                <w:top w:val="nil"/>
                <w:left w:val="nil"/>
                <w:bottom w:val="nil"/>
                <w:right w:val="nil"/>
                <w:between w:val="nil"/>
              </w:pBdr>
              <w:spacing w:before="100" w:after="100"/>
              <w:jc w:val="both"/>
            </w:pPr>
            <w:r>
              <w:rPr>
                <w:color w:val="000000"/>
                <w:sz w:val="20"/>
                <w:szCs w:val="20"/>
              </w:rPr>
              <w:t>If any leasehold improvements are expected to have a significant remaining value, the Group is typically reasonably certain to extend (or not terminate) the lease.</w:t>
            </w:r>
          </w:p>
          <w:p w14:paraId="6055AB2D" w14:textId="77777777" w:rsidR="008E5DE4" w:rsidRDefault="00780368">
            <w:pPr>
              <w:spacing w:before="200" w:after="200"/>
              <w:jc w:val="both"/>
              <w:rPr>
                <w:sz w:val="20"/>
                <w:szCs w:val="20"/>
              </w:rPr>
            </w:pPr>
            <w:r>
              <w:rPr>
                <w:sz w:val="20"/>
                <w:szCs w:val="20"/>
              </w:rPr>
              <w:t>Otherwise, the Group considers other factors including historical lease durations and the costs and business disruption required to replace the leased asset. Most extension options in</w:t>
            </w:r>
            <w:r>
              <w:rPr>
                <w:color w:val="0000FF"/>
                <w:sz w:val="20"/>
                <w:szCs w:val="20"/>
              </w:rPr>
              <w:t xml:space="preserve"> [offices and vehicles]</w:t>
            </w:r>
            <w:r>
              <w:rPr>
                <w:sz w:val="20"/>
                <w:szCs w:val="20"/>
              </w:rPr>
              <w:t xml:space="preserve"> leases have not been included in the lease liability, because the Group could replace the assets without significant cost or business disruption.</w:t>
            </w:r>
          </w:p>
          <w:p w14:paraId="5194C56C" w14:textId="77777777" w:rsidR="008E5DE4" w:rsidRDefault="00780368">
            <w:pPr>
              <w:spacing w:before="200" w:after="200"/>
              <w:jc w:val="both"/>
              <w:rPr>
                <w:sz w:val="20"/>
                <w:szCs w:val="20"/>
              </w:rPr>
            </w:pPr>
            <w:r>
              <w:rPr>
                <w:b/>
                <w:i/>
                <w:sz w:val="20"/>
                <w:szCs w:val="20"/>
              </w:rPr>
              <w:t xml:space="preserve">Extension and termination options. </w:t>
            </w:r>
            <w:r>
              <w:rPr>
                <w:sz w:val="20"/>
                <w:szCs w:val="20"/>
              </w:rPr>
              <w:t xml:space="preserve">Extension and termination options are included in </w:t>
            </w:r>
            <w:proofErr w:type="gramStart"/>
            <w:r>
              <w:rPr>
                <w:sz w:val="20"/>
                <w:szCs w:val="20"/>
              </w:rPr>
              <w:t>a number of</w:t>
            </w:r>
            <w:proofErr w:type="gramEnd"/>
            <w:r>
              <w:rPr>
                <w:sz w:val="20"/>
                <w:szCs w:val="20"/>
              </w:rPr>
              <w:t xml:space="preserve"> </w:t>
            </w:r>
            <w:r>
              <w:rPr>
                <w:color w:val="0000FF"/>
                <w:sz w:val="20"/>
                <w:szCs w:val="20"/>
              </w:rPr>
              <w:t>[property and equipment]</w:t>
            </w:r>
            <w:r>
              <w:rPr>
                <w:sz w:val="20"/>
                <w:szCs w:val="20"/>
              </w:rPr>
              <w:t xml:space="preserve"> leases across the Group. These are used to maximise operational flexibility in terms of managing the assets used in the Group’s operations. </w:t>
            </w:r>
            <w:proofErr w:type="gramStart"/>
            <w:r>
              <w:rPr>
                <w:sz w:val="20"/>
                <w:szCs w:val="20"/>
              </w:rPr>
              <w:t>The majority of</w:t>
            </w:r>
            <w:proofErr w:type="gramEnd"/>
            <w:r>
              <w:rPr>
                <w:sz w:val="20"/>
                <w:szCs w:val="20"/>
              </w:rPr>
              <w:t xml:space="preserve"> extension and termination options held are exercisable only by the Group and not by the respective lessor.</w:t>
            </w:r>
          </w:p>
          <w:p w14:paraId="5366A589" w14:textId="77777777" w:rsidR="008E5DE4" w:rsidRDefault="00780368">
            <w:pPr>
              <w:spacing w:before="200" w:after="200"/>
              <w:jc w:val="both"/>
              <w:rPr>
                <w:sz w:val="20"/>
                <w:szCs w:val="20"/>
              </w:rPr>
            </w:pPr>
            <w:r>
              <w:rPr>
                <w:sz w:val="20"/>
                <w:szCs w:val="20"/>
              </w:rPr>
              <w:t xml:space="preserve">In determining the lease term, management considers all facts and circumstances that create an economic incentive to exercise an extension </w:t>
            </w:r>
            <w:proofErr w:type="gramStart"/>
            <w:r>
              <w:rPr>
                <w:sz w:val="20"/>
                <w:szCs w:val="20"/>
              </w:rPr>
              <w:t>option, or</w:t>
            </w:r>
            <w:proofErr w:type="gramEnd"/>
            <w:r>
              <w:rPr>
                <w:sz w:val="20"/>
                <w:szCs w:val="20"/>
              </w:rPr>
              <w:t xml:space="preserve"> not exercise a termination option. Extension options (or periods after termination options) are only included in the lease term if the lease is reasonably certain to be extended (or not terminated).</w:t>
            </w:r>
          </w:p>
          <w:p w14:paraId="23E968CA" w14:textId="77777777" w:rsidR="008E5DE4" w:rsidRDefault="00780368">
            <w:pPr>
              <w:spacing w:before="200" w:after="200"/>
              <w:jc w:val="both"/>
              <w:rPr>
                <w:sz w:val="20"/>
                <w:szCs w:val="20"/>
              </w:rPr>
            </w:pPr>
            <w:r>
              <w:rPr>
                <w:sz w:val="20"/>
                <w:szCs w:val="20"/>
              </w:rPr>
              <w:t xml:space="preserve">For leases of </w:t>
            </w:r>
            <w:r>
              <w:rPr>
                <w:color w:val="0000FF"/>
                <w:sz w:val="20"/>
                <w:szCs w:val="20"/>
              </w:rPr>
              <w:t>[buildings and equipment]</w:t>
            </w:r>
            <w:r>
              <w:rPr>
                <w:sz w:val="20"/>
                <w:szCs w:val="20"/>
              </w:rPr>
              <w:t xml:space="preserve">, the following factors are normally the most relevant: </w:t>
            </w:r>
          </w:p>
          <w:p w14:paraId="4C65D610"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If there are significant penalties to terminate (or not extend), the Group is typically reasonably certain to extend (or not terminate).</w:t>
            </w:r>
          </w:p>
          <w:p w14:paraId="79D204FE"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If any leasehold improvements are expected to have a significant remaining value, the Group is typically reasonably certain to extend (or not terminate). </w:t>
            </w:r>
          </w:p>
          <w:p w14:paraId="091674AB"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Otherwise, the Group considers other factors including historical lease durations and the costs and business disruption required to replace the leased asset. </w:t>
            </w:r>
          </w:p>
          <w:p w14:paraId="3D868948" w14:textId="77777777" w:rsidR="008E5DE4" w:rsidRDefault="00780368">
            <w:pPr>
              <w:spacing w:before="200" w:after="200"/>
              <w:jc w:val="both"/>
              <w:rPr>
                <w:sz w:val="20"/>
                <w:szCs w:val="20"/>
              </w:rPr>
            </w:pPr>
            <w:r>
              <w:rPr>
                <w:sz w:val="20"/>
                <w:szCs w:val="20"/>
              </w:rPr>
              <w:t>Most extension options in offices and vehicles leases have not been included in the lease liability, because the Group could replace the assets without significant cost or business disruption.</w:t>
            </w:r>
          </w:p>
          <w:p w14:paraId="6D4D5BBB" w14:textId="06080293" w:rsidR="008E5DE4" w:rsidRDefault="00780368">
            <w:pPr>
              <w:spacing w:before="200" w:after="200"/>
              <w:jc w:val="both"/>
              <w:rPr>
                <w:sz w:val="20"/>
                <w:szCs w:val="20"/>
              </w:rPr>
            </w:pPr>
            <w:r>
              <w:rPr>
                <w:sz w:val="20"/>
                <w:szCs w:val="20"/>
              </w:rPr>
              <w:t xml:space="preserve">As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potential future cash </w:t>
            </w:r>
            <w:r w:rsidRPr="00160220">
              <w:rPr>
                <w:sz w:val="20"/>
                <w:szCs w:val="20"/>
              </w:rPr>
              <w:t xml:space="preserve">outflows of EUR __ thousands (undiscounted) have not been included in the lease liability because it is not reasonably certain that the </w:t>
            </w:r>
            <w:r>
              <w:rPr>
                <w:sz w:val="20"/>
                <w:szCs w:val="20"/>
              </w:rPr>
              <w:t xml:space="preserve">leases will be extended (or not terminated). </w:t>
            </w:r>
          </w:p>
          <w:p w14:paraId="4BC50733" w14:textId="77777777" w:rsidR="008E5DE4" w:rsidRDefault="00780368">
            <w:pPr>
              <w:spacing w:before="200" w:after="200"/>
              <w:jc w:val="both"/>
              <w:rPr>
                <w:sz w:val="20"/>
                <w:szCs w:val="20"/>
              </w:rPr>
            </w:pPr>
            <w:r>
              <w:rPr>
                <w:sz w:val="20"/>
                <w:szCs w:val="20"/>
              </w:rPr>
              <w:t xml:space="preserve">The lease term is reassessed if an option is </w:t>
            </w:r>
            <w:proofErr w:type="gramStart"/>
            <w:r>
              <w:rPr>
                <w:sz w:val="20"/>
                <w:szCs w:val="20"/>
              </w:rPr>
              <w:t>actually exercised</w:t>
            </w:r>
            <w:proofErr w:type="gramEnd"/>
            <w:r>
              <w:rPr>
                <w:sz w:val="20"/>
                <w:szCs w:val="20"/>
              </w:rPr>
              <w:t xml:space="preserve"> (or not exercised) or the Group becomes obliged to exercise (or not exercise) it. The assessment of reasonable certainty is only revised if a significant event or a significant change in circumstances occurs, which affects this assessment, and that is within the control of the lessee. During the current financial year, the financial effect of revising lease terms to reflect the effect of exercising extension and termination options was an increase in recognised lease liabilities and right-of-use assets </w:t>
            </w:r>
            <w:r w:rsidRPr="00160220">
              <w:rPr>
                <w:sz w:val="20"/>
                <w:szCs w:val="20"/>
              </w:rPr>
              <w:t>of EUR ___ thousands</w:t>
            </w:r>
            <w:r>
              <w:rPr>
                <w:sz w:val="20"/>
                <w:szCs w:val="20"/>
              </w:rPr>
              <w:t>.</w:t>
            </w:r>
          </w:p>
          <w:p w14:paraId="60B20984" w14:textId="77777777" w:rsidR="008E5DE4" w:rsidRDefault="00780368">
            <w:pPr>
              <w:spacing w:before="200" w:after="200"/>
              <w:jc w:val="both"/>
              <w:rPr>
                <w:sz w:val="20"/>
                <w:szCs w:val="20"/>
              </w:rPr>
            </w:pPr>
            <w:r>
              <w:rPr>
                <w:b/>
                <w:i/>
                <w:sz w:val="20"/>
                <w:szCs w:val="20"/>
              </w:rPr>
              <w:t xml:space="preserve">Residual value guarantees. </w:t>
            </w:r>
            <w:r>
              <w:rPr>
                <w:sz w:val="20"/>
                <w:szCs w:val="20"/>
              </w:rPr>
              <w:t>To optimise lease costs during the contract period, the Group sometimes provides residual value guarantees in relation to equipment leases.</w:t>
            </w:r>
          </w:p>
          <w:p w14:paraId="2923EC90" w14:textId="77777777" w:rsidR="008E5DE4" w:rsidRDefault="00780368">
            <w:pPr>
              <w:spacing w:before="200" w:after="200"/>
              <w:jc w:val="both"/>
              <w:rPr>
                <w:sz w:val="20"/>
                <w:szCs w:val="20"/>
              </w:rPr>
            </w:pPr>
            <w:r>
              <w:rPr>
                <w:sz w:val="20"/>
                <w:szCs w:val="20"/>
              </w:rPr>
              <w:t>The Group initially estimates and recognises amounts expected to be payable under residual value guarantees as part of the lease liability. Typically, the expected residual value at lease commencement is equal to or higher than the guaranteed amount, and so the Group does not expect to pay anything under the guarantees.</w:t>
            </w:r>
          </w:p>
          <w:p w14:paraId="62372175" w14:textId="45170BC9" w:rsidR="008E5DE4" w:rsidRPr="00160220" w:rsidRDefault="00780368">
            <w:pPr>
              <w:spacing w:before="200" w:after="200"/>
              <w:jc w:val="both"/>
              <w:rPr>
                <w:sz w:val="20"/>
                <w:szCs w:val="20"/>
              </w:rPr>
            </w:pPr>
            <w:r>
              <w:rPr>
                <w:sz w:val="20"/>
                <w:szCs w:val="20"/>
              </w:rPr>
              <w:lastRenderedPageBreak/>
              <w:t xml:space="preserve">At the end of each reporting period, the expected residual values are reviewed to reflect actual residual </w:t>
            </w:r>
            <w:r w:rsidRPr="00160220">
              <w:rPr>
                <w:sz w:val="20"/>
                <w:szCs w:val="20"/>
              </w:rPr>
              <w:t xml:space="preserve">values achieved on comparable assets and expectations about future prices. As </w:t>
            </w:r>
            <w:proofErr w:type="gramStart"/>
            <w:r w:rsidRPr="00160220">
              <w:rPr>
                <w:sz w:val="20"/>
                <w:szCs w:val="20"/>
              </w:rPr>
              <w:t>at</w:t>
            </w:r>
            <w:proofErr w:type="gramEnd"/>
            <w:r w:rsidRPr="00160220">
              <w:rPr>
                <w:sz w:val="20"/>
                <w:szCs w:val="20"/>
              </w:rPr>
              <w:t xml:space="preserve"> 31 December </w:t>
            </w:r>
            <w:r w:rsidR="008614F8" w:rsidRPr="00160220">
              <w:rPr>
                <w:sz w:val="20"/>
                <w:szCs w:val="20"/>
              </w:rPr>
              <w:t>2025</w:t>
            </w:r>
            <w:r w:rsidRPr="00160220">
              <w:rPr>
                <w:sz w:val="20"/>
                <w:szCs w:val="20"/>
              </w:rPr>
              <w:t>, EUR ____ thousands is expected to be payable and is included in calculating the lease liabilities while EUR ____ thousands (undiscounted) is not expected to be payable and has hence been excluded from the lease liabilities.</w:t>
            </w:r>
          </w:p>
          <w:p w14:paraId="780B7AD7" w14:textId="77777777" w:rsidR="008E5DE4" w:rsidRPr="00160220" w:rsidRDefault="00780368">
            <w:pPr>
              <w:widowControl w:val="0"/>
              <w:pBdr>
                <w:top w:val="nil"/>
                <w:left w:val="nil"/>
                <w:bottom w:val="nil"/>
                <w:right w:val="nil"/>
                <w:between w:val="nil"/>
              </w:pBdr>
              <w:spacing w:before="200" w:after="200"/>
              <w:jc w:val="both"/>
              <w:rPr>
                <w:sz w:val="20"/>
                <w:szCs w:val="20"/>
              </w:rPr>
            </w:pPr>
            <w:r w:rsidRPr="00160220">
              <w:rPr>
                <w:b/>
                <w:i/>
                <w:sz w:val="20"/>
                <w:szCs w:val="20"/>
              </w:rPr>
              <w:t>Discount rates used for determination of lease</w:t>
            </w:r>
            <w:r w:rsidRPr="00160220">
              <w:t xml:space="preserve"> </w:t>
            </w:r>
            <w:r w:rsidRPr="00160220">
              <w:rPr>
                <w:b/>
                <w:i/>
                <w:sz w:val="20"/>
                <w:szCs w:val="20"/>
              </w:rPr>
              <w:t xml:space="preserve">liabilities. </w:t>
            </w:r>
            <w:r w:rsidRPr="00160220">
              <w:rPr>
                <w:sz w:val="20"/>
                <w:szCs w:val="20"/>
              </w:rPr>
              <w:t>The Group uses its incremental borrowing rate as a base for calculation of the discount rate because the interest rate implicit in the lease cannot be readily determined.</w:t>
            </w:r>
          </w:p>
          <w:p w14:paraId="6B74752D" w14:textId="71A26B81"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following factors are determined the usage of the incremental borrowing rate:</w:t>
            </w:r>
            <w:r w:rsidR="00DA0EC1">
              <w:rPr>
                <w:color w:val="000000"/>
                <w:sz w:val="20"/>
                <w:szCs w:val="20"/>
              </w:rPr>
              <w:t xml:space="preserve"> </w:t>
            </w:r>
            <w:proofErr w:type="gramStart"/>
            <w:r w:rsidR="00DA0EC1" w:rsidRPr="007F183E">
              <w:rPr>
                <w:color w:val="0000FF"/>
                <w:sz w:val="20"/>
                <w:szCs w:val="20"/>
              </w:rPr>
              <w:t>[ ]</w:t>
            </w:r>
            <w:proofErr w:type="gramEnd"/>
            <w:r>
              <w:rPr>
                <w:color w:val="000000"/>
                <w:sz w:val="20"/>
                <w:szCs w:val="20"/>
              </w:rPr>
              <w:t>.</w:t>
            </w:r>
          </w:p>
          <w:p w14:paraId="6DC02EEA" w14:textId="77777777" w:rsidR="008E5DE4" w:rsidRDefault="00780368">
            <w:pPr>
              <w:pageBreakBefore/>
              <w:pBdr>
                <w:top w:val="nil"/>
                <w:left w:val="nil"/>
                <w:bottom w:val="nil"/>
                <w:right w:val="nil"/>
                <w:between w:val="nil"/>
              </w:pBdr>
              <w:spacing w:after="240"/>
              <w:ind w:left="567" w:hanging="567"/>
              <w:jc w:val="both"/>
              <w:rPr>
                <w:rFonts w:ascii="Georgia" w:eastAsia="Georgia" w:hAnsi="Georgia" w:cs="Georgia"/>
                <w:b/>
                <w:color w:val="000000"/>
                <w:sz w:val="20"/>
                <w:szCs w:val="20"/>
              </w:rPr>
            </w:pPr>
            <w:r>
              <w:rPr>
                <w:b/>
                <w:color w:val="000000"/>
                <w:sz w:val="20"/>
                <w:szCs w:val="20"/>
              </w:rPr>
              <w:t>11</w:t>
            </w:r>
            <w:r>
              <w:rPr>
                <w:b/>
                <w:color w:val="000000"/>
                <w:sz w:val="20"/>
                <w:szCs w:val="20"/>
              </w:rPr>
              <w:tab/>
              <w:t>Right-of-use Assets and Lease Liabilities (Continued)</w:t>
            </w:r>
          </w:p>
          <w:p w14:paraId="00D4B2AF" w14:textId="38AF24D3" w:rsidR="008E5DE4" w:rsidRDefault="00780368">
            <w:pPr>
              <w:widowControl w:val="0"/>
              <w:pBdr>
                <w:top w:val="nil"/>
                <w:left w:val="nil"/>
                <w:bottom w:val="nil"/>
                <w:right w:val="nil"/>
                <w:between w:val="nil"/>
              </w:pBdr>
              <w:spacing w:before="200" w:after="200"/>
              <w:jc w:val="both"/>
              <w:rPr>
                <w:b/>
                <w:i/>
                <w:color w:val="000000"/>
                <w:sz w:val="20"/>
                <w:szCs w:val="20"/>
              </w:rPr>
            </w:pPr>
            <w:r>
              <w:rPr>
                <w:color w:val="000000"/>
                <w:sz w:val="20"/>
                <w:szCs w:val="20"/>
              </w:rPr>
              <w:t>The incremental borrowing rate was adjusted for</w:t>
            </w:r>
            <w:r w:rsidR="00DA0EC1">
              <w:rPr>
                <w:color w:val="000000"/>
                <w:sz w:val="20"/>
                <w:szCs w:val="20"/>
              </w:rPr>
              <w:t xml:space="preserve"> </w:t>
            </w:r>
            <w:proofErr w:type="gramStart"/>
            <w:r w:rsidR="00DA0EC1" w:rsidRPr="007F183E">
              <w:rPr>
                <w:color w:val="0000FF"/>
                <w:sz w:val="20"/>
                <w:szCs w:val="20"/>
              </w:rPr>
              <w:t>[ ]</w:t>
            </w:r>
            <w:proofErr w:type="gramEnd"/>
            <w:r>
              <w:rPr>
                <w:color w:val="000000"/>
                <w:sz w:val="20"/>
                <w:szCs w:val="20"/>
              </w:rPr>
              <w:t>.</w:t>
            </w:r>
            <w:r>
              <w:rPr>
                <w:b/>
                <w:i/>
                <w:color w:val="000000"/>
                <w:sz w:val="20"/>
                <w:szCs w:val="20"/>
              </w:rPr>
              <w:t xml:space="preserve"> </w:t>
            </w:r>
          </w:p>
          <w:p w14:paraId="7AD797CC" w14:textId="4DF258FB" w:rsidR="008E5DE4" w:rsidRDefault="00780368">
            <w:pPr>
              <w:widowControl w:val="0"/>
              <w:pBdr>
                <w:top w:val="nil"/>
                <w:left w:val="nil"/>
                <w:bottom w:val="nil"/>
                <w:right w:val="nil"/>
                <w:between w:val="nil"/>
              </w:pBdr>
              <w:spacing w:before="200" w:after="200"/>
              <w:jc w:val="both"/>
              <w:rPr>
                <w:b/>
                <w:i/>
                <w:color w:val="000000"/>
                <w:sz w:val="20"/>
                <w:szCs w:val="20"/>
              </w:rPr>
            </w:pPr>
            <w:r>
              <w:rPr>
                <w:color w:val="000000"/>
                <w:sz w:val="20"/>
                <w:szCs w:val="20"/>
              </w:rPr>
              <w:t>A [</w:t>
            </w:r>
            <w:proofErr w:type="gramStart"/>
            <w:r>
              <w:rPr>
                <w:color w:val="000000"/>
                <w:sz w:val="20"/>
                <w:szCs w:val="20"/>
              </w:rPr>
              <w:t>10]%</w:t>
            </w:r>
            <w:proofErr w:type="gramEnd"/>
            <w:r>
              <w:rPr>
                <w:color w:val="000000"/>
                <w:sz w:val="20"/>
                <w:szCs w:val="20"/>
              </w:rPr>
              <w:t xml:space="preserve"> </w:t>
            </w:r>
            <w:r w:rsidRPr="00160220">
              <w:rPr>
                <w:sz w:val="20"/>
                <w:szCs w:val="20"/>
              </w:rPr>
              <w:t xml:space="preserve">increase or decrease in discount rate </w:t>
            </w:r>
            <w:proofErr w:type="gramStart"/>
            <w:r w:rsidRPr="00160220">
              <w:rPr>
                <w:sz w:val="20"/>
                <w:szCs w:val="20"/>
              </w:rPr>
              <w:t>at</w:t>
            </w:r>
            <w:proofErr w:type="gramEnd"/>
            <w:r w:rsidRPr="00160220">
              <w:rPr>
                <w:sz w:val="20"/>
                <w:szCs w:val="20"/>
              </w:rPr>
              <w:t xml:space="preserve"> 31 December </w:t>
            </w:r>
            <w:r w:rsidR="008614F8" w:rsidRPr="00160220">
              <w:rPr>
                <w:sz w:val="20"/>
                <w:szCs w:val="20"/>
              </w:rPr>
              <w:t>2025</w:t>
            </w:r>
            <w:r w:rsidRPr="00160220">
              <w:rPr>
                <w:sz w:val="20"/>
                <w:szCs w:val="20"/>
              </w:rPr>
              <w:t xml:space="preserve"> would result in an increase or decrease in lease liabilities of EUR ____ thousand (</w:t>
            </w:r>
            <w:r w:rsidR="00FF468A" w:rsidRPr="00160220">
              <w:rPr>
                <w:sz w:val="20"/>
                <w:szCs w:val="20"/>
              </w:rPr>
              <w:t>2024</w:t>
            </w:r>
            <w:r w:rsidRPr="00160220">
              <w:rPr>
                <w:sz w:val="20"/>
                <w:szCs w:val="20"/>
              </w:rPr>
              <w:t>: EUR ____ thousand</w:t>
            </w:r>
            <w:r>
              <w:rPr>
                <w:color w:val="000000"/>
                <w:sz w:val="20"/>
                <w:szCs w:val="20"/>
              </w:rPr>
              <w:t>).</w:t>
            </w:r>
          </w:p>
          <w:p w14:paraId="3BE75E1A" w14:textId="77777777" w:rsidR="008E5DE4" w:rsidRDefault="008E5DE4"/>
        </w:tc>
      </w:tr>
    </w:tbl>
    <w:p w14:paraId="319D3455" w14:textId="041F389E" w:rsidR="008E5DE4" w:rsidRDefault="00780368">
      <w:pPr>
        <w:spacing w:before="200" w:after="200"/>
        <w:jc w:val="both"/>
        <w:rPr>
          <w:sz w:val="20"/>
          <w:szCs w:val="20"/>
        </w:rPr>
      </w:pPr>
      <w:r>
        <w:rPr>
          <w:sz w:val="20"/>
          <w:szCs w:val="20"/>
        </w:rPr>
        <w:t xml:space="preserve">The Group leases various </w:t>
      </w:r>
      <w:r>
        <w:rPr>
          <w:color w:val="0000FF"/>
          <w:sz w:val="20"/>
          <w:szCs w:val="20"/>
        </w:rPr>
        <w:t>[offices, stores, equipment and vehicles]</w:t>
      </w:r>
      <w:r>
        <w:rPr>
          <w:sz w:val="20"/>
          <w:szCs w:val="20"/>
        </w:rPr>
        <w:t xml:space="preserve">. Rental contracts are typically made for fixed periods of </w:t>
      </w:r>
      <w:r>
        <w:rPr>
          <w:color w:val="0000FF"/>
          <w:sz w:val="20"/>
          <w:szCs w:val="20"/>
        </w:rPr>
        <w:t xml:space="preserve">[6 months to 8 </w:t>
      </w:r>
      <w:proofErr w:type="gramStart"/>
      <w:r>
        <w:rPr>
          <w:color w:val="0000FF"/>
          <w:sz w:val="20"/>
          <w:szCs w:val="20"/>
        </w:rPr>
        <w:t>years, but</w:t>
      </w:r>
      <w:proofErr w:type="gramEnd"/>
      <w:r>
        <w:rPr>
          <w:color w:val="0000FF"/>
          <w:sz w:val="20"/>
          <w:szCs w:val="20"/>
        </w:rPr>
        <w:t xml:space="preserve"> may have extension options as described below]</w:t>
      </w:r>
      <w:r>
        <w:rPr>
          <w:sz w:val="20"/>
          <w:szCs w:val="20"/>
        </w:rPr>
        <w:t xml:space="preserve">. </w:t>
      </w:r>
    </w:p>
    <w:tbl>
      <w:tblPr>
        <w:tblStyle w:val="affc"/>
        <w:tblW w:w="9353" w:type="dxa"/>
        <w:tblLayout w:type="fixed"/>
        <w:tblLook w:val="0000" w:firstRow="0" w:lastRow="0" w:firstColumn="0" w:lastColumn="0" w:noHBand="0" w:noVBand="0"/>
      </w:tblPr>
      <w:tblGrid>
        <w:gridCol w:w="2324"/>
        <w:gridCol w:w="567"/>
        <w:gridCol w:w="1077"/>
        <w:gridCol w:w="1077"/>
        <w:gridCol w:w="1077"/>
        <w:gridCol w:w="1077"/>
        <w:gridCol w:w="1077"/>
        <w:gridCol w:w="1077"/>
      </w:tblGrid>
      <w:tr w:rsidR="008E5DE4" w14:paraId="32806773" w14:textId="77777777">
        <w:trPr>
          <w:cantSplit/>
          <w:tblHeader/>
        </w:trPr>
        <w:tc>
          <w:tcPr>
            <w:tcW w:w="2324" w:type="dxa"/>
            <w:tcBorders>
              <w:bottom w:val="single" w:sz="4" w:space="0" w:color="000000"/>
            </w:tcBorders>
            <w:vAlign w:val="bottom"/>
          </w:tcPr>
          <w:p w14:paraId="76ED68E2" w14:textId="77777777" w:rsidR="008E5DE4" w:rsidRDefault="00780368">
            <w:pPr>
              <w:keepNext/>
              <w:keepLines/>
              <w:widowControl w:val="0"/>
              <w:pBdr>
                <w:top w:val="nil"/>
                <w:left w:val="nil"/>
                <w:bottom w:val="nil"/>
                <w:right w:val="nil"/>
                <w:between w:val="nil"/>
              </w:pBdr>
              <w:ind w:left="113" w:right="-57" w:hanging="113"/>
              <w:rPr>
                <w:b/>
                <w:i/>
                <w:color w:val="000000"/>
              </w:rPr>
            </w:pPr>
            <w:r>
              <w:rPr>
                <w:i/>
                <w:color w:val="000000"/>
              </w:rPr>
              <w:t>In thousands of EUR</w:t>
            </w:r>
          </w:p>
        </w:tc>
        <w:tc>
          <w:tcPr>
            <w:tcW w:w="567" w:type="dxa"/>
            <w:tcBorders>
              <w:bottom w:val="single" w:sz="4" w:space="0" w:color="000000"/>
            </w:tcBorders>
            <w:vAlign w:val="bottom"/>
          </w:tcPr>
          <w:p w14:paraId="0CDD954C" w14:textId="77777777" w:rsidR="008E5DE4" w:rsidRDefault="00780368">
            <w:pPr>
              <w:keepNext/>
              <w:keepLines/>
              <w:widowControl w:val="0"/>
              <w:pBdr>
                <w:top w:val="nil"/>
                <w:left w:val="nil"/>
                <w:bottom w:val="nil"/>
                <w:right w:val="nil"/>
                <w:between w:val="nil"/>
              </w:pBdr>
              <w:ind w:left="-57" w:right="-57"/>
              <w:jc w:val="center"/>
              <w:rPr>
                <w:b/>
                <w:color w:val="000000"/>
              </w:rPr>
            </w:pPr>
            <w:r>
              <w:rPr>
                <w:b/>
                <w:color w:val="000000"/>
              </w:rPr>
              <w:t>Note</w:t>
            </w:r>
          </w:p>
          <w:p w14:paraId="2BB54D5E" w14:textId="77777777" w:rsidR="008E5DE4" w:rsidRDefault="008E5DE4">
            <w:pPr>
              <w:keepNext/>
              <w:keepLines/>
              <w:widowControl w:val="0"/>
              <w:pBdr>
                <w:top w:val="nil"/>
                <w:left w:val="nil"/>
                <w:bottom w:val="nil"/>
                <w:right w:val="nil"/>
                <w:between w:val="nil"/>
              </w:pBdr>
              <w:ind w:left="-57" w:right="-57"/>
              <w:jc w:val="center"/>
              <w:rPr>
                <w:b/>
                <w:color w:val="000000"/>
              </w:rPr>
            </w:pPr>
          </w:p>
        </w:tc>
        <w:tc>
          <w:tcPr>
            <w:tcW w:w="1077" w:type="dxa"/>
            <w:tcBorders>
              <w:bottom w:val="single" w:sz="4" w:space="0" w:color="000000"/>
            </w:tcBorders>
          </w:tcPr>
          <w:p w14:paraId="6565D0EF"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Land</w:t>
            </w:r>
          </w:p>
        </w:tc>
        <w:tc>
          <w:tcPr>
            <w:tcW w:w="1077" w:type="dxa"/>
            <w:tcBorders>
              <w:bottom w:val="single" w:sz="4" w:space="0" w:color="000000"/>
            </w:tcBorders>
          </w:tcPr>
          <w:p w14:paraId="0E0D4D19"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Buildings</w:t>
            </w:r>
          </w:p>
        </w:tc>
        <w:tc>
          <w:tcPr>
            <w:tcW w:w="1077" w:type="dxa"/>
            <w:tcBorders>
              <w:bottom w:val="single" w:sz="4" w:space="0" w:color="000000"/>
            </w:tcBorders>
          </w:tcPr>
          <w:p w14:paraId="2F537D9E"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Equipment</w:t>
            </w:r>
          </w:p>
        </w:tc>
        <w:tc>
          <w:tcPr>
            <w:tcW w:w="1077" w:type="dxa"/>
            <w:tcBorders>
              <w:bottom w:val="single" w:sz="4" w:space="0" w:color="000000"/>
            </w:tcBorders>
          </w:tcPr>
          <w:p w14:paraId="3106DF74"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Vehicles</w:t>
            </w:r>
          </w:p>
        </w:tc>
        <w:tc>
          <w:tcPr>
            <w:tcW w:w="1077" w:type="dxa"/>
            <w:tcBorders>
              <w:bottom w:val="single" w:sz="4" w:space="0" w:color="000000"/>
            </w:tcBorders>
          </w:tcPr>
          <w:p w14:paraId="6FB742CC"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Other</w:t>
            </w:r>
          </w:p>
        </w:tc>
        <w:tc>
          <w:tcPr>
            <w:tcW w:w="1077" w:type="dxa"/>
            <w:tcBorders>
              <w:bottom w:val="single" w:sz="4" w:space="0" w:color="000000"/>
            </w:tcBorders>
          </w:tcPr>
          <w:p w14:paraId="648A8E42"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Total</w:t>
            </w:r>
          </w:p>
        </w:tc>
      </w:tr>
      <w:tr w:rsidR="008E5DE4" w14:paraId="0F9516AD" w14:textId="77777777">
        <w:trPr>
          <w:cantSplit/>
          <w:tblHeader/>
        </w:trPr>
        <w:tc>
          <w:tcPr>
            <w:tcW w:w="2324" w:type="dxa"/>
            <w:vAlign w:val="bottom"/>
          </w:tcPr>
          <w:p w14:paraId="030D68B8" w14:textId="77777777" w:rsidR="008E5DE4" w:rsidRDefault="00780368">
            <w:pPr>
              <w:keepNext/>
              <w:keepLines/>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vAlign w:val="bottom"/>
          </w:tcPr>
          <w:p w14:paraId="34770854" w14:textId="77777777" w:rsidR="008E5DE4" w:rsidRDefault="008E5DE4">
            <w:pPr>
              <w:keepNext/>
              <w:keepLines/>
              <w:widowControl w:val="0"/>
              <w:pBdr>
                <w:top w:val="nil"/>
                <w:left w:val="nil"/>
                <w:bottom w:val="nil"/>
                <w:right w:val="nil"/>
                <w:between w:val="nil"/>
              </w:pBdr>
              <w:ind w:left="-57" w:right="-57"/>
              <w:jc w:val="center"/>
              <w:rPr>
                <w:color w:val="000000"/>
                <w:sz w:val="14"/>
                <w:szCs w:val="14"/>
              </w:rPr>
            </w:pPr>
          </w:p>
        </w:tc>
        <w:tc>
          <w:tcPr>
            <w:tcW w:w="1077" w:type="dxa"/>
          </w:tcPr>
          <w:p w14:paraId="55873BCF"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400E5502"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00DFFB48"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2BB7AC8F"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4063B4A7"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4C1653AE" w14:textId="77777777" w:rsidR="008E5DE4" w:rsidRDefault="008E5DE4">
            <w:pPr>
              <w:keepNext/>
              <w:keepLines/>
              <w:widowControl w:val="0"/>
              <w:pBdr>
                <w:top w:val="nil"/>
                <w:left w:val="nil"/>
                <w:bottom w:val="nil"/>
                <w:right w:val="nil"/>
                <w:between w:val="nil"/>
              </w:pBdr>
              <w:jc w:val="right"/>
              <w:rPr>
                <w:b/>
                <w:color w:val="000000"/>
                <w:sz w:val="14"/>
                <w:szCs w:val="14"/>
              </w:rPr>
            </w:pPr>
          </w:p>
        </w:tc>
      </w:tr>
      <w:tr w:rsidR="008E5DE4" w14:paraId="4F2BAEF9" w14:textId="77777777">
        <w:trPr>
          <w:cantSplit/>
          <w:tblHeader/>
        </w:trPr>
        <w:tc>
          <w:tcPr>
            <w:tcW w:w="2324" w:type="dxa"/>
            <w:vAlign w:val="bottom"/>
          </w:tcPr>
          <w:p w14:paraId="6593A3DE" w14:textId="3F99D2DF" w:rsidR="008E5DE4" w:rsidRDefault="00780368">
            <w:pPr>
              <w:keepNext/>
              <w:keepLines/>
              <w:widowControl w:val="0"/>
              <w:pBdr>
                <w:top w:val="nil"/>
                <w:left w:val="nil"/>
                <w:bottom w:val="nil"/>
                <w:right w:val="nil"/>
                <w:between w:val="nil"/>
              </w:pBdr>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1 January </w:t>
            </w:r>
            <w:r w:rsidR="00FF468A">
              <w:rPr>
                <w:b/>
                <w:color w:val="000000"/>
              </w:rPr>
              <w:t>2024</w:t>
            </w:r>
          </w:p>
        </w:tc>
        <w:tc>
          <w:tcPr>
            <w:tcW w:w="567" w:type="dxa"/>
            <w:vAlign w:val="bottom"/>
          </w:tcPr>
          <w:p w14:paraId="6C025E40" w14:textId="77777777" w:rsidR="008E5DE4" w:rsidRDefault="008E5DE4">
            <w:pPr>
              <w:keepNext/>
              <w:keepLines/>
              <w:widowControl w:val="0"/>
              <w:pBdr>
                <w:top w:val="nil"/>
                <w:left w:val="nil"/>
                <w:bottom w:val="nil"/>
                <w:right w:val="nil"/>
                <w:between w:val="nil"/>
              </w:pBdr>
              <w:ind w:left="-57" w:right="-57"/>
              <w:jc w:val="center"/>
              <w:rPr>
                <w:b/>
                <w:color w:val="000000"/>
              </w:rPr>
            </w:pPr>
          </w:p>
        </w:tc>
        <w:tc>
          <w:tcPr>
            <w:tcW w:w="1077" w:type="dxa"/>
          </w:tcPr>
          <w:p w14:paraId="31E6BEF4"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7C385A4C"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18ED16A3"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5A8A3CF6"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045189BB"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471D6EAD" w14:textId="77777777" w:rsidR="008E5DE4" w:rsidRDefault="008E5DE4">
            <w:pPr>
              <w:keepNext/>
              <w:keepLines/>
              <w:widowControl w:val="0"/>
              <w:pBdr>
                <w:top w:val="nil"/>
                <w:left w:val="nil"/>
                <w:bottom w:val="nil"/>
                <w:right w:val="nil"/>
                <w:between w:val="nil"/>
              </w:pBdr>
              <w:jc w:val="right"/>
              <w:rPr>
                <w:b/>
                <w:color w:val="000000"/>
              </w:rPr>
            </w:pPr>
          </w:p>
        </w:tc>
      </w:tr>
      <w:tr w:rsidR="008E5DE4" w14:paraId="587F9F65" w14:textId="77777777">
        <w:trPr>
          <w:cantSplit/>
          <w:tblHeader/>
        </w:trPr>
        <w:tc>
          <w:tcPr>
            <w:tcW w:w="2324" w:type="dxa"/>
            <w:tcBorders>
              <w:bottom w:val="single" w:sz="4" w:space="0" w:color="000000"/>
            </w:tcBorders>
            <w:vAlign w:val="bottom"/>
          </w:tcPr>
          <w:p w14:paraId="59E47546"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4" w:space="0" w:color="000000"/>
            </w:tcBorders>
            <w:vAlign w:val="bottom"/>
          </w:tcPr>
          <w:p w14:paraId="2C73F112"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4" w:space="0" w:color="000000"/>
            </w:tcBorders>
          </w:tcPr>
          <w:p w14:paraId="76F415EE"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0CFA35DD"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75F1100F"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3C02192B"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378C5B11"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1E8E69DA" w14:textId="77777777" w:rsidR="008E5DE4" w:rsidRDefault="008E5DE4">
            <w:pPr>
              <w:widowControl w:val="0"/>
              <w:pBdr>
                <w:top w:val="nil"/>
                <w:left w:val="nil"/>
                <w:bottom w:val="nil"/>
                <w:right w:val="nil"/>
                <w:between w:val="nil"/>
              </w:pBdr>
              <w:jc w:val="right"/>
              <w:rPr>
                <w:b/>
                <w:color w:val="000000"/>
                <w:sz w:val="14"/>
                <w:szCs w:val="14"/>
              </w:rPr>
            </w:pPr>
          </w:p>
        </w:tc>
      </w:tr>
      <w:tr w:rsidR="008E5DE4" w14:paraId="346DCD60" w14:textId="77777777">
        <w:trPr>
          <w:cantSplit/>
          <w:tblHeader/>
        </w:trPr>
        <w:tc>
          <w:tcPr>
            <w:tcW w:w="2324" w:type="dxa"/>
            <w:tcBorders>
              <w:top w:val="single" w:sz="4" w:space="0" w:color="000000"/>
            </w:tcBorders>
            <w:vAlign w:val="bottom"/>
          </w:tcPr>
          <w:p w14:paraId="3312BF4F"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top w:val="single" w:sz="4" w:space="0" w:color="000000"/>
            </w:tcBorders>
            <w:vAlign w:val="bottom"/>
          </w:tcPr>
          <w:p w14:paraId="7141F677"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top w:val="single" w:sz="4" w:space="0" w:color="000000"/>
            </w:tcBorders>
          </w:tcPr>
          <w:p w14:paraId="0A9918FD"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2E6048CD"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3ED59E5D"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242930FA"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5B489C78"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0BA78389" w14:textId="77777777" w:rsidR="008E5DE4" w:rsidRDefault="008E5DE4">
            <w:pPr>
              <w:widowControl w:val="0"/>
              <w:pBdr>
                <w:top w:val="nil"/>
                <w:left w:val="nil"/>
                <w:bottom w:val="nil"/>
                <w:right w:val="nil"/>
                <w:between w:val="nil"/>
              </w:pBdr>
              <w:jc w:val="right"/>
              <w:rPr>
                <w:color w:val="000000"/>
                <w:sz w:val="14"/>
                <w:szCs w:val="14"/>
              </w:rPr>
            </w:pPr>
          </w:p>
        </w:tc>
      </w:tr>
      <w:tr w:rsidR="008E5DE4" w14:paraId="20B97A8A" w14:textId="77777777">
        <w:trPr>
          <w:cantSplit/>
          <w:tblHeader/>
        </w:trPr>
        <w:tc>
          <w:tcPr>
            <w:tcW w:w="2324" w:type="dxa"/>
            <w:vAlign w:val="bottom"/>
          </w:tcPr>
          <w:p w14:paraId="736CB4F6" w14:textId="77777777" w:rsidR="008E5DE4" w:rsidRDefault="00780368">
            <w:pPr>
              <w:widowControl w:val="0"/>
              <w:pBdr>
                <w:top w:val="nil"/>
                <w:left w:val="nil"/>
                <w:bottom w:val="nil"/>
                <w:right w:val="nil"/>
                <w:between w:val="nil"/>
              </w:pBdr>
              <w:ind w:left="113" w:right="-57" w:hanging="113"/>
              <w:rPr>
                <w:color w:val="000000"/>
              </w:rPr>
            </w:pPr>
            <w:r>
              <w:rPr>
                <w:color w:val="000000"/>
              </w:rPr>
              <w:t>Additions</w:t>
            </w:r>
          </w:p>
        </w:tc>
        <w:tc>
          <w:tcPr>
            <w:tcW w:w="567" w:type="dxa"/>
            <w:vAlign w:val="bottom"/>
          </w:tcPr>
          <w:p w14:paraId="2C674072"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102031A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E1D9E2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148E06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3D5F65C"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258F59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9D1CD30" w14:textId="77777777" w:rsidR="008E5DE4" w:rsidRDefault="008E5DE4">
            <w:pPr>
              <w:widowControl w:val="0"/>
              <w:pBdr>
                <w:top w:val="nil"/>
                <w:left w:val="nil"/>
                <w:bottom w:val="nil"/>
                <w:right w:val="nil"/>
                <w:between w:val="nil"/>
              </w:pBdr>
              <w:jc w:val="right"/>
              <w:rPr>
                <w:color w:val="000000"/>
              </w:rPr>
            </w:pPr>
          </w:p>
        </w:tc>
      </w:tr>
      <w:tr w:rsidR="008E5DE4" w14:paraId="4CED3D8A" w14:textId="77777777">
        <w:trPr>
          <w:cantSplit/>
          <w:tblHeader/>
        </w:trPr>
        <w:tc>
          <w:tcPr>
            <w:tcW w:w="2324" w:type="dxa"/>
            <w:vAlign w:val="bottom"/>
          </w:tcPr>
          <w:p w14:paraId="069EBA48" w14:textId="77777777" w:rsidR="008E5DE4" w:rsidRDefault="00780368">
            <w:pPr>
              <w:widowControl w:val="0"/>
              <w:pBdr>
                <w:top w:val="nil"/>
                <w:left w:val="nil"/>
                <w:bottom w:val="nil"/>
                <w:right w:val="nil"/>
                <w:between w:val="nil"/>
              </w:pBdr>
              <w:ind w:left="113" w:right="-57" w:hanging="113"/>
              <w:rPr>
                <w:color w:val="000000"/>
              </w:rPr>
            </w:pPr>
            <w:r>
              <w:rPr>
                <w:color w:val="000000"/>
              </w:rPr>
              <w:t>Disposals</w:t>
            </w:r>
          </w:p>
        </w:tc>
        <w:tc>
          <w:tcPr>
            <w:tcW w:w="567" w:type="dxa"/>
            <w:vAlign w:val="bottom"/>
          </w:tcPr>
          <w:p w14:paraId="125D0DD6"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16E88EA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2B47FB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19394E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5C40F1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D84203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0D52B5C" w14:textId="77777777" w:rsidR="008E5DE4" w:rsidRDefault="008E5DE4">
            <w:pPr>
              <w:widowControl w:val="0"/>
              <w:pBdr>
                <w:top w:val="nil"/>
                <w:left w:val="nil"/>
                <w:bottom w:val="nil"/>
                <w:right w:val="nil"/>
                <w:between w:val="nil"/>
              </w:pBdr>
              <w:jc w:val="right"/>
              <w:rPr>
                <w:color w:val="000000"/>
              </w:rPr>
            </w:pPr>
          </w:p>
        </w:tc>
      </w:tr>
      <w:tr w:rsidR="008E5DE4" w14:paraId="39D9CBDF" w14:textId="77777777">
        <w:trPr>
          <w:cantSplit/>
          <w:tblHeader/>
        </w:trPr>
        <w:tc>
          <w:tcPr>
            <w:tcW w:w="2324" w:type="dxa"/>
            <w:vAlign w:val="bottom"/>
          </w:tcPr>
          <w:p w14:paraId="445EBE2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Depreciation charge </w:t>
            </w:r>
          </w:p>
        </w:tc>
        <w:tc>
          <w:tcPr>
            <w:tcW w:w="567" w:type="dxa"/>
            <w:vAlign w:val="bottom"/>
          </w:tcPr>
          <w:p w14:paraId="01B1FB5F"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2405222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3FB5C2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D0B20E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EFB1F8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2F477E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7A96D7A" w14:textId="77777777" w:rsidR="008E5DE4" w:rsidRDefault="008E5DE4">
            <w:pPr>
              <w:widowControl w:val="0"/>
              <w:pBdr>
                <w:top w:val="nil"/>
                <w:left w:val="nil"/>
                <w:bottom w:val="nil"/>
                <w:right w:val="nil"/>
                <w:between w:val="nil"/>
              </w:pBdr>
              <w:jc w:val="right"/>
              <w:rPr>
                <w:color w:val="000000"/>
              </w:rPr>
            </w:pPr>
          </w:p>
        </w:tc>
      </w:tr>
      <w:tr w:rsidR="008E5DE4" w14:paraId="4B508750" w14:textId="77777777">
        <w:trPr>
          <w:cantSplit/>
          <w:tblHeader/>
        </w:trPr>
        <w:tc>
          <w:tcPr>
            <w:tcW w:w="2324" w:type="dxa"/>
            <w:vAlign w:val="bottom"/>
          </w:tcPr>
          <w:p w14:paraId="736EFFC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Impairment charge </w:t>
            </w:r>
          </w:p>
        </w:tc>
        <w:tc>
          <w:tcPr>
            <w:tcW w:w="567" w:type="dxa"/>
            <w:vAlign w:val="bottom"/>
          </w:tcPr>
          <w:p w14:paraId="04585ADB"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4CA22EF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4EFB3E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AD5BBB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49080E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6AD003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5ED4A85" w14:textId="77777777" w:rsidR="008E5DE4" w:rsidRDefault="008E5DE4">
            <w:pPr>
              <w:widowControl w:val="0"/>
              <w:pBdr>
                <w:top w:val="nil"/>
                <w:left w:val="nil"/>
                <w:bottom w:val="nil"/>
                <w:right w:val="nil"/>
                <w:between w:val="nil"/>
              </w:pBdr>
              <w:jc w:val="right"/>
              <w:rPr>
                <w:color w:val="000000"/>
              </w:rPr>
            </w:pPr>
          </w:p>
        </w:tc>
      </w:tr>
      <w:tr w:rsidR="008E5DE4" w14:paraId="5C09DB6B" w14:textId="77777777">
        <w:trPr>
          <w:cantSplit/>
          <w:tblHeader/>
        </w:trPr>
        <w:tc>
          <w:tcPr>
            <w:tcW w:w="2324" w:type="dxa"/>
            <w:vAlign w:val="bottom"/>
          </w:tcPr>
          <w:p w14:paraId="6B63EE56" w14:textId="77777777" w:rsidR="008E5DE4" w:rsidRDefault="00780368">
            <w:pPr>
              <w:widowControl w:val="0"/>
              <w:pBdr>
                <w:top w:val="nil"/>
                <w:left w:val="nil"/>
                <w:bottom w:val="nil"/>
                <w:right w:val="nil"/>
                <w:between w:val="nil"/>
              </w:pBdr>
              <w:ind w:left="113" w:right="-57" w:hanging="113"/>
              <w:rPr>
                <w:color w:val="0000FF"/>
              </w:rPr>
            </w:pPr>
            <w:r>
              <w:rPr>
                <w:color w:val="0000FF"/>
              </w:rPr>
              <w:t>[Effect of translation to presentation currency]</w:t>
            </w:r>
          </w:p>
        </w:tc>
        <w:tc>
          <w:tcPr>
            <w:tcW w:w="567" w:type="dxa"/>
            <w:vAlign w:val="bottom"/>
          </w:tcPr>
          <w:p w14:paraId="73BB571E"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750A201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07E1ED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172347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554681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22A1B8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46F472A" w14:textId="77777777" w:rsidR="008E5DE4" w:rsidRDefault="008E5DE4">
            <w:pPr>
              <w:widowControl w:val="0"/>
              <w:pBdr>
                <w:top w:val="nil"/>
                <w:left w:val="nil"/>
                <w:bottom w:val="nil"/>
                <w:right w:val="nil"/>
                <w:between w:val="nil"/>
              </w:pBdr>
              <w:jc w:val="right"/>
              <w:rPr>
                <w:color w:val="000000"/>
              </w:rPr>
            </w:pPr>
          </w:p>
        </w:tc>
      </w:tr>
      <w:tr w:rsidR="008E5DE4" w14:paraId="370D201F" w14:textId="77777777">
        <w:trPr>
          <w:cantSplit/>
          <w:tblHeader/>
        </w:trPr>
        <w:tc>
          <w:tcPr>
            <w:tcW w:w="2324" w:type="dxa"/>
            <w:vAlign w:val="bottom"/>
          </w:tcPr>
          <w:p w14:paraId="01337B74" w14:textId="77777777" w:rsidR="008E5DE4" w:rsidRDefault="00780368">
            <w:pPr>
              <w:widowControl w:val="0"/>
              <w:pBdr>
                <w:top w:val="nil"/>
                <w:left w:val="nil"/>
                <w:bottom w:val="nil"/>
                <w:right w:val="nil"/>
                <w:between w:val="nil"/>
              </w:pBdr>
              <w:ind w:left="113" w:right="-57" w:hanging="113"/>
              <w:rPr>
                <w:color w:val="000000"/>
              </w:rPr>
            </w:pPr>
            <w:r>
              <w:rPr>
                <w:color w:val="000000"/>
              </w:rPr>
              <w:t>Other</w:t>
            </w:r>
          </w:p>
        </w:tc>
        <w:tc>
          <w:tcPr>
            <w:tcW w:w="567" w:type="dxa"/>
            <w:vAlign w:val="bottom"/>
          </w:tcPr>
          <w:p w14:paraId="2F13D3FA"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26B7F89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AC76A0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F3AF86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4585AA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C9AFE0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1103D52" w14:textId="77777777" w:rsidR="008E5DE4" w:rsidRDefault="008E5DE4">
            <w:pPr>
              <w:widowControl w:val="0"/>
              <w:pBdr>
                <w:top w:val="nil"/>
                <w:left w:val="nil"/>
                <w:bottom w:val="nil"/>
                <w:right w:val="nil"/>
                <w:between w:val="nil"/>
              </w:pBdr>
              <w:jc w:val="right"/>
              <w:rPr>
                <w:color w:val="000000"/>
              </w:rPr>
            </w:pPr>
          </w:p>
        </w:tc>
      </w:tr>
      <w:tr w:rsidR="008E5DE4" w14:paraId="5DC6E4E5" w14:textId="77777777">
        <w:trPr>
          <w:cantSplit/>
          <w:tblHeader/>
        </w:trPr>
        <w:tc>
          <w:tcPr>
            <w:tcW w:w="2324" w:type="dxa"/>
            <w:tcBorders>
              <w:bottom w:val="single" w:sz="4" w:space="0" w:color="000000"/>
            </w:tcBorders>
            <w:vAlign w:val="bottom"/>
          </w:tcPr>
          <w:p w14:paraId="0D961AFC"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4" w:space="0" w:color="000000"/>
            </w:tcBorders>
            <w:vAlign w:val="bottom"/>
          </w:tcPr>
          <w:p w14:paraId="5295E13B"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4" w:space="0" w:color="000000"/>
            </w:tcBorders>
          </w:tcPr>
          <w:p w14:paraId="5AEE6A4D"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0770EBF6"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1218E3A2"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5FE17838"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67CDE94A"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617B99C4" w14:textId="77777777" w:rsidR="008E5DE4" w:rsidRDefault="008E5DE4">
            <w:pPr>
              <w:widowControl w:val="0"/>
              <w:pBdr>
                <w:top w:val="nil"/>
                <w:left w:val="nil"/>
                <w:bottom w:val="nil"/>
                <w:right w:val="nil"/>
                <w:between w:val="nil"/>
              </w:pBdr>
              <w:jc w:val="right"/>
              <w:rPr>
                <w:color w:val="000000"/>
                <w:sz w:val="14"/>
                <w:szCs w:val="14"/>
              </w:rPr>
            </w:pPr>
          </w:p>
        </w:tc>
      </w:tr>
      <w:tr w:rsidR="008E5DE4" w14:paraId="111F150D" w14:textId="77777777">
        <w:trPr>
          <w:cantSplit/>
          <w:tblHeader/>
        </w:trPr>
        <w:tc>
          <w:tcPr>
            <w:tcW w:w="2324" w:type="dxa"/>
            <w:vAlign w:val="bottom"/>
          </w:tcPr>
          <w:p w14:paraId="3248063A"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vAlign w:val="bottom"/>
          </w:tcPr>
          <w:p w14:paraId="10239B2B"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Pr>
          <w:p w14:paraId="410467A9"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61098A38"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46087FA7"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4F16066E"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1B017EDB"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236C69AF" w14:textId="77777777" w:rsidR="008E5DE4" w:rsidRDefault="008E5DE4">
            <w:pPr>
              <w:widowControl w:val="0"/>
              <w:pBdr>
                <w:top w:val="nil"/>
                <w:left w:val="nil"/>
                <w:bottom w:val="nil"/>
                <w:right w:val="nil"/>
                <w:between w:val="nil"/>
              </w:pBdr>
              <w:jc w:val="right"/>
              <w:rPr>
                <w:color w:val="000000"/>
                <w:sz w:val="14"/>
                <w:szCs w:val="14"/>
              </w:rPr>
            </w:pPr>
          </w:p>
        </w:tc>
      </w:tr>
      <w:tr w:rsidR="008E5DE4" w14:paraId="47BD9032" w14:textId="77777777">
        <w:trPr>
          <w:cantSplit/>
          <w:tblHeader/>
        </w:trPr>
        <w:tc>
          <w:tcPr>
            <w:tcW w:w="2324" w:type="dxa"/>
            <w:vAlign w:val="bottom"/>
          </w:tcPr>
          <w:p w14:paraId="70774938" w14:textId="04DEAA26"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31 December </w:t>
            </w:r>
            <w:r w:rsidR="00FF468A">
              <w:rPr>
                <w:b/>
                <w:color w:val="000000"/>
              </w:rPr>
              <w:t>2024</w:t>
            </w:r>
          </w:p>
        </w:tc>
        <w:tc>
          <w:tcPr>
            <w:tcW w:w="567" w:type="dxa"/>
            <w:vAlign w:val="bottom"/>
          </w:tcPr>
          <w:p w14:paraId="2B40DDB5" w14:textId="77777777" w:rsidR="008E5DE4" w:rsidRDefault="008E5DE4">
            <w:pPr>
              <w:widowControl w:val="0"/>
              <w:pBdr>
                <w:top w:val="nil"/>
                <w:left w:val="nil"/>
                <w:bottom w:val="nil"/>
                <w:right w:val="nil"/>
                <w:between w:val="nil"/>
              </w:pBdr>
              <w:ind w:left="113" w:right="-57" w:hanging="113"/>
              <w:rPr>
                <w:b/>
                <w:color w:val="000000"/>
              </w:rPr>
            </w:pPr>
          </w:p>
        </w:tc>
        <w:tc>
          <w:tcPr>
            <w:tcW w:w="1077" w:type="dxa"/>
          </w:tcPr>
          <w:p w14:paraId="72864609"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2439CCF2"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8781530"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11D1B1E6"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4A287C4"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A3F416B" w14:textId="77777777" w:rsidR="008E5DE4" w:rsidRDefault="008E5DE4">
            <w:pPr>
              <w:widowControl w:val="0"/>
              <w:pBdr>
                <w:top w:val="nil"/>
                <w:left w:val="nil"/>
                <w:bottom w:val="nil"/>
                <w:right w:val="nil"/>
                <w:between w:val="nil"/>
              </w:pBdr>
              <w:jc w:val="right"/>
              <w:rPr>
                <w:b/>
                <w:color w:val="000000"/>
              </w:rPr>
            </w:pPr>
          </w:p>
        </w:tc>
      </w:tr>
      <w:tr w:rsidR="008E5DE4" w14:paraId="55AF7922" w14:textId="77777777">
        <w:trPr>
          <w:cantSplit/>
          <w:tblHeader/>
        </w:trPr>
        <w:tc>
          <w:tcPr>
            <w:tcW w:w="2324" w:type="dxa"/>
            <w:tcBorders>
              <w:bottom w:val="single" w:sz="12" w:space="0" w:color="000000"/>
            </w:tcBorders>
            <w:vAlign w:val="bottom"/>
          </w:tcPr>
          <w:p w14:paraId="4E519E56"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12" w:space="0" w:color="000000"/>
            </w:tcBorders>
            <w:vAlign w:val="bottom"/>
          </w:tcPr>
          <w:p w14:paraId="2C3430B8"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12" w:space="0" w:color="000000"/>
            </w:tcBorders>
          </w:tcPr>
          <w:p w14:paraId="693DD6C3"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0464E177"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2D2A57EA"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4C7B8300"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395D6C6B"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50152168" w14:textId="77777777" w:rsidR="008E5DE4" w:rsidRDefault="008E5DE4">
            <w:pPr>
              <w:widowControl w:val="0"/>
              <w:pBdr>
                <w:top w:val="nil"/>
                <w:left w:val="nil"/>
                <w:bottom w:val="nil"/>
                <w:right w:val="nil"/>
                <w:between w:val="nil"/>
              </w:pBdr>
              <w:jc w:val="right"/>
              <w:rPr>
                <w:color w:val="000000"/>
                <w:sz w:val="14"/>
                <w:szCs w:val="14"/>
              </w:rPr>
            </w:pPr>
          </w:p>
        </w:tc>
      </w:tr>
      <w:tr w:rsidR="008E5DE4" w14:paraId="1ABF0994" w14:textId="77777777">
        <w:trPr>
          <w:cantSplit/>
          <w:tblHeader/>
        </w:trPr>
        <w:tc>
          <w:tcPr>
            <w:tcW w:w="2324" w:type="dxa"/>
            <w:tcBorders>
              <w:top w:val="single" w:sz="4" w:space="0" w:color="000000"/>
            </w:tcBorders>
            <w:vAlign w:val="bottom"/>
          </w:tcPr>
          <w:p w14:paraId="47C6EBD6"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top w:val="single" w:sz="4" w:space="0" w:color="000000"/>
            </w:tcBorders>
            <w:vAlign w:val="bottom"/>
          </w:tcPr>
          <w:p w14:paraId="35524C75"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top w:val="single" w:sz="4" w:space="0" w:color="000000"/>
            </w:tcBorders>
          </w:tcPr>
          <w:p w14:paraId="314BE492"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478C7421"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724FED94"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7F5A2D90"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4192F59B"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4" w:space="0" w:color="000000"/>
            </w:tcBorders>
            <w:vAlign w:val="bottom"/>
          </w:tcPr>
          <w:p w14:paraId="3DE524BC" w14:textId="77777777" w:rsidR="008E5DE4" w:rsidRDefault="008E5DE4">
            <w:pPr>
              <w:widowControl w:val="0"/>
              <w:pBdr>
                <w:top w:val="nil"/>
                <w:left w:val="nil"/>
                <w:bottom w:val="nil"/>
                <w:right w:val="nil"/>
                <w:between w:val="nil"/>
              </w:pBdr>
              <w:jc w:val="right"/>
              <w:rPr>
                <w:color w:val="000000"/>
                <w:sz w:val="14"/>
                <w:szCs w:val="14"/>
              </w:rPr>
            </w:pPr>
          </w:p>
        </w:tc>
      </w:tr>
      <w:tr w:rsidR="008E5DE4" w14:paraId="52360970" w14:textId="77777777">
        <w:trPr>
          <w:cantSplit/>
          <w:tblHeader/>
        </w:trPr>
        <w:tc>
          <w:tcPr>
            <w:tcW w:w="2324" w:type="dxa"/>
            <w:vAlign w:val="bottom"/>
          </w:tcPr>
          <w:p w14:paraId="2DDF3EF8" w14:textId="77777777" w:rsidR="008E5DE4" w:rsidRDefault="00780368">
            <w:pPr>
              <w:widowControl w:val="0"/>
              <w:pBdr>
                <w:top w:val="nil"/>
                <w:left w:val="nil"/>
                <w:bottom w:val="nil"/>
                <w:right w:val="nil"/>
                <w:between w:val="nil"/>
              </w:pBdr>
              <w:ind w:left="113" w:right="-57" w:hanging="113"/>
              <w:rPr>
                <w:color w:val="000000"/>
              </w:rPr>
            </w:pPr>
            <w:r>
              <w:rPr>
                <w:color w:val="000000"/>
              </w:rPr>
              <w:t>Additions</w:t>
            </w:r>
          </w:p>
        </w:tc>
        <w:tc>
          <w:tcPr>
            <w:tcW w:w="567" w:type="dxa"/>
            <w:vAlign w:val="bottom"/>
          </w:tcPr>
          <w:p w14:paraId="687F7F84"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7E4BD97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EE2CDB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DFB193C"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503E34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132AB0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FD8FB85" w14:textId="77777777" w:rsidR="008E5DE4" w:rsidRDefault="008E5DE4">
            <w:pPr>
              <w:widowControl w:val="0"/>
              <w:pBdr>
                <w:top w:val="nil"/>
                <w:left w:val="nil"/>
                <w:bottom w:val="nil"/>
                <w:right w:val="nil"/>
                <w:between w:val="nil"/>
              </w:pBdr>
              <w:jc w:val="right"/>
              <w:rPr>
                <w:color w:val="000000"/>
              </w:rPr>
            </w:pPr>
          </w:p>
        </w:tc>
      </w:tr>
      <w:tr w:rsidR="008E5DE4" w14:paraId="6DCFB790" w14:textId="77777777">
        <w:trPr>
          <w:cantSplit/>
          <w:tblHeader/>
        </w:trPr>
        <w:tc>
          <w:tcPr>
            <w:tcW w:w="2324" w:type="dxa"/>
            <w:vAlign w:val="bottom"/>
          </w:tcPr>
          <w:p w14:paraId="7E14EBA5" w14:textId="77777777" w:rsidR="008E5DE4" w:rsidRDefault="00780368">
            <w:pPr>
              <w:widowControl w:val="0"/>
              <w:pBdr>
                <w:top w:val="nil"/>
                <w:left w:val="nil"/>
                <w:bottom w:val="nil"/>
                <w:right w:val="nil"/>
                <w:between w:val="nil"/>
              </w:pBdr>
              <w:ind w:left="113" w:right="-57" w:hanging="113"/>
              <w:rPr>
                <w:color w:val="000000"/>
              </w:rPr>
            </w:pPr>
            <w:r>
              <w:rPr>
                <w:color w:val="000000"/>
              </w:rPr>
              <w:t>Disposals</w:t>
            </w:r>
          </w:p>
        </w:tc>
        <w:tc>
          <w:tcPr>
            <w:tcW w:w="567" w:type="dxa"/>
            <w:vAlign w:val="bottom"/>
          </w:tcPr>
          <w:p w14:paraId="03A1109B"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5506C0E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F24544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FC1541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6C4211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D37542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EA4A80C" w14:textId="77777777" w:rsidR="008E5DE4" w:rsidRDefault="008E5DE4">
            <w:pPr>
              <w:widowControl w:val="0"/>
              <w:pBdr>
                <w:top w:val="nil"/>
                <w:left w:val="nil"/>
                <w:bottom w:val="nil"/>
                <w:right w:val="nil"/>
                <w:between w:val="nil"/>
              </w:pBdr>
              <w:jc w:val="right"/>
              <w:rPr>
                <w:color w:val="000000"/>
              </w:rPr>
            </w:pPr>
          </w:p>
        </w:tc>
      </w:tr>
      <w:tr w:rsidR="008E5DE4" w14:paraId="66C82FED" w14:textId="77777777">
        <w:trPr>
          <w:cantSplit/>
          <w:tblHeader/>
        </w:trPr>
        <w:tc>
          <w:tcPr>
            <w:tcW w:w="2324" w:type="dxa"/>
            <w:vAlign w:val="bottom"/>
          </w:tcPr>
          <w:p w14:paraId="54C1FC0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Depreciation charge </w:t>
            </w:r>
          </w:p>
        </w:tc>
        <w:tc>
          <w:tcPr>
            <w:tcW w:w="567" w:type="dxa"/>
            <w:vAlign w:val="bottom"/>
          </w:tcPr>
          <w:p w14:paraId="30EEAE53"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4FA283D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8A79E5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172A9B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6E625E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648E6E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5CE4F61" w14:textId="77777777" w:rsidR="008E5DE4" w:rsidRDefault="008E5DE4">
            <w:pPr>
              <w:widowControl w:val="0"/>
              <w:pBdr>
                <w:top w:val="nil"/>
                <w:left w:val="nil"/>
                <w:bottom w:val="nil"/>
                <w:right w:val="nil"/>
                <w:between w:val="nil"/>
              </w:pBdr>
              <w:jc w:val="right"/>
              <w:rPr>
                <w:color w:val="000000"/>
              </w:rPr>
            </w:pPr>
          </w:p>
        </w:tc>
      </w:tr>
      <w:tr w:rsidR="008E5DE4" w14:paraId="73FF8C75" w14:textId="77777777">
        <w:trPr>
          <w:cantSplit/>
          <w:tblHeader/>
        </w:trPr>
        <w:tc>
          <w:tcPr>
            <w:tcW w:w="2324" w:type="dxa"/>
            <w:vAlign w:val="bottom"/>
          </w:tcPr>
          <w:p w14:paraId="28E3825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Impairment charge </w:t>
            </w:r>
          </w:p>
        </w:tc>
        <w:tc>
          <w:tcPr>
            <w:tcW w:w="567" w:type="dxa"/>
            <w:vAlign w:val="bottom"/>
          </w:tcPr>
          <w:p w14:paraId="3B0B5ADB"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3DA95FF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5D29F5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C37403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EA8657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D4A338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2A73741" w14:textId="77777777" w:rsidR="008E5DE4" w:rsidRDefault="008E5DE4">
            <w:pPr>
              <w:widowControl w:val="0"/>
              <w:pBdr>
                <w:top w:val="nil"/>
                <w:left w:val="nil"/>
                <w:bottom w:val="nil"/>
                <w:right w:val="nil"/>
                <w:between w:val="nil"/>
              </w:pBdr>
              <w:jc w:val="right"/>
              <w:rPr>
                <w:color w:val="000000"/>
              </w:rPr>
            </w:pPr>
          </w:p>
        </w:tc>
      </w:tr>
      <w:tr w:rsidR="008E5DE4" w14:paraId="68492B21" w14:textId="77777777">
        <w:trPr>
          <w:cantSplit/>
          <w:tblHeader/>
        </w:trPr>
        <w:tc>
          <w:tcPr>
            <w:tcW w:w="2324" w:type="dxa"/>
            <w:vAlign w:val="bottom"/>
          </w:tcPr>
          <w:p w14:paraId="2DBC4829" w14:textId="77777777" w:rsidR="008E5DE4" w:rsidRDefault="00780368">
            <w:pPr>
              <w:widowControl w:val="0"/>
              <w:pBdr>
                <w:top w:val="nil"/>
                <w:left w:val="nil"/>
                <w:bottom w:val="nil"/>
                <w:right w:val="nil"/>
                <w:between w:val="nil"/>
              </w:pBdr>
              <w:ind w:left="113" w:right="-57" w:hanging="113"/>
              <w:rPr>
                <w:color w:val="0000FF"/>
              </w:rPr>
            </w:pPr>
            <w:r>
              <w:rPr>
                <w:color w:val="0000FF"/>
              </w:rPr>
              <w:t>[Effect of translation to presentation currency]</w:t>
            </w:r>
          </w:p>
        </w:tc>
        <w:tc>
          <w:tcPr>
            <w:tcW w:w="567" w:type="dxa"/>
            <w:vAlign w:val="bottom"/>
          </w:tcPr>
          <w:p w14:paraId="2B2916DA"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625E676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AB111A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5FF724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3D037F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5FF78E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4CD6FDC" w14:textId="77777777" w:rsidR="008E5DE4" w:rsidRDefault="008E5DE4">
            <w:pPr>
              <w:widowControl w:val="0"/>
              <w:pBdr>
                <w:top w:val="nil"/>
                <w:left w:val="nil"/>
                <w:bottom w:val="nil"/>
                <w:right w:val="nil"/>
                <w:between w:val="nil"/>
              </w:pBdr>
              <w:jc w:val="right"/>
              <w:rPr>
                <w:color w:val="000000"/>
              </w:rPr>
            </w:pPr>
          </w:p>
        </w:tc>
      </w:tr>
      <w:tr w:rsidR="008E5DE4" w14:paraId="0144F44F" w14:textId="77777777">
        <w:trPr>
          <w:cantSplit/>
          <w:tblHeader/>
        </w:trPr>
        <w:tc>
          <w:tcPr>
            <w:tcW w:w="2324" w:type="dxa"/>
            <w:vAlign w:val="bottom"/>
          </w:tcPr>
          <w:p w14:paraId="5A087385" w14:textId="77777777" w:rsidR="008E5DE4" w:rsidRDefault="00780368">
            <w:pPr>
              <w:widowControl w:val="0"/>
              <w:pBdr>
                <w:top w:val="nil"/>
                <w:left w:val="nil"/>
                <w:bottom w:val="nil"/>
                <w:right w:val="nil"/>
                <w:between w:val="nil"/>
              </w:pBdr>
              <w:ind w:left="113" w:right="-57" w:hanging="113"/>
              <w:rPr>
                <w:color w:val="000000"/>
              </w:rPr>
            </w:pPr>
            <w:r>
              <w:rPr>
                <w:color w:val="000000"/>
              </w:rPr>
              <w:t>Other</w:t>
            </w:r>
          </w:p>
        </w:tc>
        <w:tc>
          <w:tcPr>
            <w:tcW w:w="567" w:type="dxa"/>
            <w:vAlign w:val="bottom"/>
          </w:tcPr>
          <w:p w14:paraId="114489B0" w14:textId="77777777" w:rsidR="008E5DE4" w:rsidRDefault="008E5DE4">
            <w:pPr>
              <w:widowControl w:val="0"/>
              <w:pBdr>
                <w:top w:val="nil"/>
                <w:left w:val="nil"/>
                <w:bottom w:val="nil"/>
                <w:right w:val="nil"/>
                <w:between w:val="nil"/>
              </w:pBdr>
              <w:ind w:left="-57" w:right="-57"/>
              <w:jc w:val="center"/>
              <w:rPr>
                <w:color w:val="000000"/>
              </w:rPr>
            </w:pPr>
          </w:p>
        </w:tc>
        <w:tc>
          <w:tcPr>
            <w:tcW w:w="1077" w:type="dxa"/>
          </w:tcPr>
          <w:p w14:paraId="0D62ECA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71D494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990689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408DC6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2FCC8D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6B2B7E1" w14:textId="77777777" w:rsidR="008E5DE4" w:rsidRDefault="008E5DE4">
            <w:pPr>
              <w:widowControl w:val="0"/>
              <w:pBdr>
                <w:top w:val="nil"/>
                <w:left w:val="nil"/>
                <w:bottom w:val="nil"/>
                <w:right w:val="nil"/>
                <w:between w:val="nil"/>
              </w:pBdr>
              <w:jc w:val="right"/>
              <w:rPr>
                <w:color w:val="000000"/>
              </w:rPr>
            </w:pPr>
          </w:p>
        </w:tc>
      </w:tr>
      <w:tr w:rsidR="008E5DE4" w14:paraId="1E48FA7A" w14:textId="77777777">
        <w:trPr>
          <w:cantSplit/>
          <w:tblHeader/>
        </w:trPr>
        <w:tc>
          <w:tcPr>
            <w:tcW w:w="2324" w:type="dxa"/>
            <w:tcBorders>
              <w:bottom w:val="single" w:sz="4" w:space="0" w:color="000000"/>
            </w:tcBorders>
            <w:vAlign w:val="bottom"/>
          </w:tcPr>
          <w:p w14:paraId="4D5D1C57"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4" w:space="0" w:color="000000"/>
            </w:tcBorders>
            <w:vAlign w:val="bottom"/>
          </w:tcPr>
          <w:p w14:paraId="081524CE"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4" w:space="0" w:color="000000"/>
            </w:tcBorders>
          </w:tcPr>
          <w:p w14:paraId="2E31A0B2"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40EE866F"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19A82BE4"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63A87BF4"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51A82D56"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3BE01316" w14:textId="77777777" w:rsidR="008E5DE4" w:rsidRDefault="008E5DE4">
            <w:pPr>
              <w:widowControl w:val="0"/>
              <w:pBdr>
                <w:top w:val="nil"/>
                <w:left w:val="nil"/>
                <w:bottom w:val="nil"/>
                <w:right w:val="nil"/>
                <w:between w:val="nil"/>
              </w:pBdr>
              <w:jc w:val="right"/>
              <w:rPr>
                <w:color w:val="000000"/>
                <w:sz w:val="14"/>
                <w:szCs w:val="14"/>
              </w:rPr>
            </w:pPr>
          </w:p>
        </w:tc>
      </w:tr>
      <w:tr w:rsidR="008E5DE4" w14:paraId="1FF46035" w14:textId="77777777">
        <w:trPr>
          <w:cantSplit/>
          <w:tblHeader/>
        </w:trPr>
        <w:tc>
          <w:tcPr>
            <w:tcW w:w="2324" w:type="dxa"/>
            <w:vAlign w:val="bottom"/>
          </w:tcPr>
          <w:p w14:paraId="70BDD8BC"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vAlign w:val="bottom"/>
          </w:tcPr>
          <w:p w14:paraId="3E3089E6"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Pr>
          <w:p w14:paraId="67272215"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63535E30"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10513A1F"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172F7335"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126377B9"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0CF4A1EB" w14:textId="77777777" w:rsidR="008E5DE4" w:rsidRDefault="008E5DE4">
            <w:pPr>
              <w:widowControl w:val="0"/>
              <w:pBdr>
                <w:top w:val="nil"/>
                <w:left w:val="nil"/>
                <w:bottom w:val="nil"/>
                <w:right w:val="nil"/>
                <w:between w:val="nil"/>
              </w:pBdr>
              <w:jc w:val="right"/>
              <w:rPr>
                <w:color w:val="000000"/>
                <w:sz w:val="14"/>
                <w:szCs w:val="14"/>
              </w:rPr>
            </w:pPr>
          </w:p>
        </w:tc>
      </w:tr>
      <w:tr w:rsidR="008E5DE4" w14:paraId="41B2294C" w14:textId="77777777">
        <w:trPr>
          <w:cantSplit/>
          <w:tblHeader/>
        </w:trPr>
        <w:tc>
          <w:tcPr>
            <w:tcW w:w="2324" w:type="dxa"/>
            <w:vAlign w:val="bottom"/>
          </w:tcPr>
          <w:p w14:paraId="7D1B8EB1" w14:textId="39F6F15C"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31 December </w:t>
            </w:r>
            <w:r w:rsidR="008614F8">
              <w:rPr>
                <w:b/>
                <w:color w:val="000000"/>
              </w:rPr>
              <w:t>2025</w:t>
            </w:r>
          </w:p>
        </w:tc>
        <w:tc>
          <w:tcPr>
            <w:tcW w:w="567" w:type="dxa"/>
            <w:vAlign w:val="bottom"/>
          </w:tcPr>
          <w:p w14:paraId="253E1A68" w14:textId="77777777" w:rsidR="008E5DE4" w:rsidRDefault="008E5DE4">
            <w:pPr>
              <w:widowControl w:val="0"/>
              <w:pBdr>
                <w:top w:val="nil"/>
                <w:left w:val="nil"/>
                <w:bottom w:val="nil"/>
                <w:right w:val="nil"/>
                <w:between w:val="nil"/>
              </w:pBdr>
              <w:ind w:left="113" w:right="-57" w:hanging="113"/>
              <w:rPr>
                <w:b/>
                <w:color w:val="000000"/>
              </w:rPr>
            </w:pPr>
          </w:p>
        </w:tc>
        <w:tc>
          <w:tcPr>
            <w:tcW w:w="1077" w:type="dxa"/>
          </w:tcPr>
          <w:p w14:paraId="5A87D63B"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28327618"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2E93656"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7D63CE3"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0EA9A6C"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332DF6D" w14:textId="77777777" w:rsidR="008E5DE4" w:rsidRDefault="008E5DE4">
            <w:pPr>
              <w:widowControl w:val="0"/>
              <w:pBdr>
                <w:top w:val="nil"/>
                <w:left w:val="nil"/>
                <w:bottom w:val="nil"/>
                <w:right w:val="nil"/>
                <w:between w:val="nil"/>
              </w:pBdr>
              <w:jc w:val="right"/>
              <w:rPr>
                <w:b/>
                <w:color w:val="000000"/>
              </w:rPr>
            </w:pPr>
          </w:p>
        </w:tc>
      </w:tr>
      <w:tr w:rsidR="008E5DE4" w14:paraId="6338C384" w14:textId="77777777">
        <w:trPr>
          <w:cantSplit/>
          <w:tblHeader/>
        </w:trPr>
        <w:tc>
          <w:tcPr>
            <w:tcW w:w="2324" w:type="dxa"/>
            <w:tcBorders>
              <w:bottom w:val="single" w:sz="12" w:space="0" w:color="000000"/>
            </w:tcBorders>
            <w:vAlign w:val="bottom"/>
          </w:tcPr>
          <w:p w14:paraId="6AE71423"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12" w:space="0" w:color="000000"/>
            </w:tcBorders>
            <w:vAlign w:val="bottom"/>
          </w:tcPr>
          <w:p w14:paraId="3DFC6027"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12" w:space="0" w:color="000000"/>
            </w:tcBorders>
          </w:tcPr>
          <w:p w14:paraId="16017F21"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5276C8FD"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32096E00"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2ECDB28B"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24474F59"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5EBBBC6E" w14:textId="77777777" w:rsidR="008E5DE4" w:rsidRDefault="008E5DE4">
            <w:pPr>
              <w:widowControl w:val="0"/>
              <w:pBdr>
                <w:top w:val="nil"/>
                <w:left w:val="nil"/>
                <w:bottom w:val="nil"/>
                <w:right w:val="nil"/>
                <w:between w:val="nil"/>
              </w:pBdr>
              <w:jc w:val="right"/>
              <w:rPr>
                <w:color w:val="000000"/>
                <w:sz w:val="14"/>
                <w:szCs w:val="14"/>
              </w:rPr>
            </w:pPr>
          </w:p>
        </w:tc>
      </w:tr>
    </w:tbl>
    <w:p w14:paraId="13B18CF3" w14:textId="77777777" w:rsidR="008E5DE4" w:rsidRDefault="008E5DE4">
      <w:pPr>
        <w:rPr>
          <w:sz w:val="20"/>
          <w:szCs w:val="20"/>
        </w:rPr>
      </w:pPr>
    </w:p>
    <w:p w14:paraId="1D7912A2" w14:textId="77777777" w:rsidR="008E5DE4" w:rsidRDefault="00780368">
      <w:pPr>
        <w:rPr>
          <w:rFonts w:ascii="Georgia" w:eastAsia="Georgia" w:hAnsi="Georgia" w:cs="Georgia"/>
          <w:sz w:val="20"/>
          <w:szCs w:val="20"/>
        </w:rPr>
      </w:pPr>
      <w:r>
        <w:rPr>
          <w:sz w:val="20"/>
          <w:szCs w:val="20"/>
        </w:rPr>
        <w:t>The Group recognised lease liabilities as follows:</w:t>
      </w:r>
    </w:p>
    <w:p w14:paraId="48CC87D9" w14:textId="77777777" w:rsidR="008E5DE4" w:rsidRDefault="008E5DE4">
      <w:pPr>
        <w:rPr>
          <w:rFonts w:ascii="Georgia" w:eastAsia="Georgia" w:hAnsi="Georgia" w:cs="Georgia"/>
          <w:sz w:val="20"/>
          <w:szCs w:val="20"/>
        </w:rPr>
      </w:pPr>
    </w:p>
    <w:tbl>
      <w:tblPr>
        <w:tblStyle w:val="affd"/>
        <w:tblW w:w="9328" w:type="dxa"/>
        <w:tblLayout w:type="fixed"/>
        <w:tblLook w:val="0000" w:firstRow="0" w:lastRow="0" w:firstColumn="0" w:lastColumn="0" w:noHBand="0" w:noVBand="0"/>
      </w:tblPr>
      <w:tblGrid>
        <w:gridCol w:w="5670"/>
        <w:gridCol w:w="2127"/>
        <w:gridCol w:w="1531"/>
      </w:tblGrid>
      <w:tr w:rsidR="008E5DE4" w14:paraId="03BE6F61" w14:textId="77777777">
        <w:trPr>
          <w:cantSplit/>
        </w:trPr>
        <w:tc>
          <w:tcPr>
            <w:tcW w:w="5670" w:type="dxa"/>
            <w:tcBorders>
              <w:bottom w:val="single" w:sz="4" w:space="0" w:color="000000"/>
            </w:tcBorders>
            <w:vAlign w:val="bottom"/>
          </w:tcPr>
          <w:p w14:paraId="6984761B"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2127" w:type="dxa"/>
            <w:tcBorders>
              <w:bottom w:val="single" w:sz="4" w:space="0" w:color="000000"/>
            </w:tcBorders>
            <w:vAlign w:val="bottom"/>
          </w:tcPr>
          <w:p w14:paraId="19B3E7B1" w14:textId="77777777" w:rsidR="008E5DE4" w:rsidRDefault="00780368">
            <w:pPr>
              <w:widowControl w:val="0"/>
              <w:pBdr>
                <w:top w:val="nil"/>
                <w:left w:val="nil"/>
                <w:bottom w:val="nil"/>
                <w:right w:val="nil"/>
                <w:between w:val="nil"/>
              </w:pBdr>
              <w:jc w:val="right"/>
              <w:rPr>
                <w:b/>
                <w:color w:val="000000"/>
              </w:rPr>
            </w:pPr>
            <w:r>
              <w:rPr>
                <w:b/>
                <w:color w:val="000000"/>
              </w:rPr>
              <w:t>31 December</w:t>
            </w:r>
          </w:p>
          <w:p w14:paraId="25CC2AC6" w14:textId="0AAC41AB" w:rsidR="008E5DE4" w:rsidRDefault="00780368">
            <w:pPr>
              <w:widowControl w:val="0"/>
              <w:pBdr>
                <w:top w:val="nil"/>
                <w:left w:val="nil"/>
                <w:bottom w:val="nil"/>
                <w:right w:val="nil"/>
                <w:between w:val="nil"/>
              </w:pBdr>
              <w:jc w:val="right"/>
              <w:rPr>
                <w:b/>
                <w:color w:val="000000"/>
              </w:rPr>
            </w:pPr>
            <w:r>
              <w:rPr>
                <w:b/>
                <w:color w:val="000000"/>
              </w:rPr>
              <w:t xml:space="preserve"> </w:t>
            </w:r>
            <w:r w:rsidR="008614F8">
              <w:rPr>
                <w:b/>
                <w:color w:val="000000"/>
              </w:rPr>
              <w:t>2025</w:t>
            </w:r>
          </w:p>
        </w:tc>
        <w:tc>
          <w:tcPr>
            <w:tcW w:w="1531" w:type="dxa"/>
            <w:tcBorders>
              <w:bottom w:val="single" w:sz="4" w:space="0" w:color="000000"/>
            </w:tcBorders>
            <w:vAlign w:val="bottom"/>
          </w:tcPr>
          <w:p w14:paraId="2491AD9F" w14:textId="36E29522" w:rsidR="008E5DE4" w:rsidRDefault="00780368">
            <w:pPr>
              <w:widowControl w:val="0"/>
              <w:pBdr>
                <w:top w:val="nil"/>
                <w:left w:val="nil"/>
                <w:bottom w:val="nil"/>
                <w:right w:val="nil"/>
                <w:between w:val="nil"/>
              </w:pBdr>
              <w:jc w:val="right"/>
              <w:rPr>
                <w:b/>
                <w:color w:val="000000"/>
              </w:rPr>
            </w:pPr>
            <w:r>
              <w:rPr>
                <w:b/>
                <w:color w:val="000000"/>
              </w:rPr>
              <w:t xml:space="preserve">31 December </w:t>
            </w:r>
            <w:r w:rsidR="00FF468A">
              <w:rPr>
                <w:b/>
                <w:color w:val="000000"/>
              </w:rPr>
              <w:t>2024</w:t>
            </w:r>
          </w:p>
        </w:tc>
      </w:tr>
      <w:tr w:rsidR="008E5DE4" w14:paraId="60835C09" w14:textId="77777777">
        <w:trPr>
          <w:cantSplit/>
        </w:trPr>
        <w:tc>
          <w:tcPr>
            <w:tcW w:w="5670" w:type="dxa"/>
            <w:vAlign w:val="bottom"/>
          </w:tcPr>
          <w:p w14:paraId="3BC37BB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2127" w:type="dxa"/>
            <w:vAlign w:val="bottom"/>
          </w:tcPr>
          <w:p w14:paraId="556DB3A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C930DBF" w14:textId="77777777" w:rsidR="008E5DE4" w:rsidRDefault="008E5DE4">
            <w:pPr>
              <w:widowControl w:val="0"/>
              <w:pBdr>
                <w:top w:val="nil"/>
                <w:left w:val="nil"/>
                <w:bottom w:val="nil"/>
                <w:right w:val="nil"/>
                <w:between w:val="nil"/>
              </w:pBdr>
              <w:jc w:val="right"/>
              <w:rPr>
                <w:color w:val="000000"/>
              </w:rPr>
            </w:pPr>
          </w:p>
        </w:tc>
      </w:tr>
      <w:tr w:rsidR="008E5DE4" w14:paraId="7EC76639" w14:textId="77777777">
        <w:trPr>
          <w:cantSplit/>
        </w:trPr>
        <w:tc>
          <w:tcPr>
            <w:tcW w:w="5670" w:type="dxa"/>
            <w:vAlign w:val="bottom"/>
          </w:tcPr>
          <w:p w14:paraId="2A6EA4A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Short-term lease liabilities </w:t>
            </w:r>
          </w:p>
        </w:tc>
        <w:tc>
          <w:tcPr>
            <w:tcW w:w="2127" w:type="dxa"/>
            <w:vAlign w:val="bottom"/>
          </w:tcPr>
          <w:p w14:paraId="71AF7D4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465C1C4" w14:textId="77777777" w:rsidR="008E5DE4" w:rsidRDefault="008E5DE4">
            <w:pPr>
              <w:widowControl w:val="0"/>
              <w:pBdr>
                <w:top w:val="nil"/>
                <w:left w:val="nil"/>
                <w:bottom w:val="nil"/>
                <w:right w:val="nil"/>
                <w:between w:val="nil"/>
              </w:pBdr>
              <w:jc w:val="right"/>
              <w:rPr>
                <w:color w:val="000000"/>
              </w:rPr>
            </w:pPr>
          </w:p>
        </w:tc>
      </w:tr>
      <w:tr w:rsidR="008E5DE4" w14:paraId="2CD86CA0" w14:textId="77777777">
        <w:trPr>
          <w:cantSplit/>
        </w:trPr>
        <w:tc>
          <w:tcPr>
            <w:tcW w:w="5670" w:type="dxa"/>
            <w:vAlign w:val="bottom"/>
          </w:tcPr>
          <w:p w14:paraId="42A999C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Long-term lease liabilities </w:t>
            </w:r>
          </w:p>
        </w:tc>
        <w:tc>
          <w:tcPr>
            <w:tcW w:w="2127" w:type="dxa"/>
            <w:vAlign w:val="bottom"/>
          </w:tcPr>
          <w:p w14:paraId="7F7E72D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1087760" w14:textId="77777777" w:rsidR="008E5DE4" w:rsidRDefault="008E5DE4">
            <w:pPr>
              <w:widowControl w:val="0"/>
              <w:pBdr>
                <w:top w:val="nil"/>
                <w:left w:val="nil"/>
                <w:bottom w:val="nil"/>
                <w:right w:val="nil"/>
                <w:between w:val="nil"/>
              </w:pBdr>
              <w:jc w:val="right"/>
              <w:rPr>
                <w:color w:val="000000"/>
              </w:rPr>
            </w:pPr>
          </w:p>
        </w:tc>
      </w:tr>
      <w:tr w:rsidR="008E5DE4" w14:paraId="7A9C297D" w14:textId="77777777">
        <w:trPr>
          <w:cantSplit/>
        </w:trPr>
        <w:tc>
          <w:tcPr>
            <w:tcW w:w="5670" w:type="dxa"/>
            <w:tcBorders>
              <w:bottom w:val="single" w:sz="4" w:space="0" w:color="000000"/>
            </w:tcBorders>
            <w:vAlign w:val="bottom"/>
          </w:tcPr>
          <w:p w14:paraId="05CC0C4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2127" w:type="dxa"/>
            <w:tcBorders>
              <w:bottom w:val="single" w:sz="4" w:space="0" w:color="000000"/>
            </w:tcBorders>
            <w:vAlign w:val="bottom"/>
          </w:tcPr>
          <w:p w14:paraId="00006EBE"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2BA52C2B" w14:textId="77777777" w:rsidR="008E5DE4" w:rsidRDefault="008E5DE4">
            <w:pPr>
              <w:widowControl w:val="0"/>
              <w:pBdr>
                <w:top w:val="nil"/>
                <w:left w:val="nil"/>
                <w:bottom w:val="nil"/>
                <w:right w:val="nil"/>
                <w:between w:val="nil"/>
              </w:pBdr>
              <w:jc w:val="right"/>
              <w:rPr>
                <w:color w:val="000000"/>
              </w:rPr>
            </w:pPr>
          </w:p>
        </w:tc>
      </w:tr>
      <w:tr w:rsidR="008E5DE4" w14:paraId="34811587" w14:textId="77777777">
        <w:trPr>
          <w:cantSplit/>
        </w:trPr>
        <w:tc>
          <w:tcPr>
            <w:tcW w:w="5670" w:type="dxa"/>
            <w:tcBorders>
              <w:top w:val="single" w:sz="4" w:space="0" w:color="000000"/>
            </w:tcBorders>
            <w:vAlign w:val="bottom"/>
          </w:tcPr>
          <w:p w14:paraId="53F08D0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2127" w:type="dxa"/>
            <w:tcBorders>
              <w:top w:val="single" w:sz="4" w:space="0" w:color="000000"/>
            </w:tcBorders>
            <w:vAlign w:val="bottom"/>
          </w:tcPr>
          <w:p w14:paraId="4E603A9C"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CB55B6C" w14:textId="77777777" w:rsidR="008E5DE4" w:rsidRDefault="008E5DE4">
            <w:pPr>
              <w:widowControl w:val="0"/>
              <w:pBdr>
                <w:top w:val="nil"/>
                <w:left w:val="nil"/>
                <w:bottom w:val="nil"/>
                <w:right w:val="nil"/>
                <w:between w:val="nil"/>
              </w:pBdr>
              <w:jc w:val="right"/>
              <w:rPr>
                <w:color w:val="000000"/>
              </w:rPr>
            </w:pPr>
          </w:p>
        </w:tc>
      </w:tr>
      <w:tr w:rsidR="008E5DE4" w14:paraId="60EC00A9" w14:textId="77777777">
        <w:trPr>
          <w:cantSplit/>
        </w:trPr>
        <w:tc>
          <w:tcPr>
            <w:tcW w:w="5670" w:type="dxa"/>
            <w:vAlign w:val="bottom"/>
          </w:tcPr>
          <w:p w14:paraId="5723A6F8"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lease liabilities</w:t>
            </w:r>
          </w:p>
        </w:tc>
        <w:tc>
          <w:tcPr>
            <w:tcW w:w="2127" w:type="dxa"/>
            <w:vAlign w:val="bottom"/>
          </w:tcPr>
          <w:p w14:paraId="0DC96A83"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0307E515" w14:textId="77777777" w:rsidR="008E5DE4" w:rsidRDefault="008E5DE4">
            <w:pPr>
              <w:widowControl w:val="0"/>
              <w:pBdr>
                <w:top w:val="nil"/>
                <w:left w:val="nil"/>
                <w:bottom w:val="nil"/>
                <w:right w:val="nil"/>
                <w:between w:val="nil"/>
              </w:pBdr>
              <w:jc w:val="right"/>
              <w:rPr>
                <w:b/>
                <w:smallCaps/>
                <w:color w:val="000000"/>
              </w:rPr>
            </w:pPr>
          </w:p>
        </w:tc>
      </w:tr>
      <w:tr w:rsidR="008E5DE4" w14:paraId="0D4067C2" w14:textId="77777777">
        <w:trPr>
          <w:cantSplit/>
        </w:trPr>
        <w:tc>
          <w:tcPr>
            <w:tcW w:w="5670" w:type="dxa"/>
            <w:tcBorders>
              <w:bottom w:val="single" w:sz="12" w:space="0" w:color="000000"/>
            </w:tcBorders>
            <w:vAlign w:val="bottom"/>
          </w:tcPr>
          <w:p w14:paraId="58E24FC7"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2127" w:type="dxa"/>
            <w:tcBorders>
              <w:bottom w:val="single" w:sz="12" w:space="0" w:color="000000"/>
            </w:tcBorders>
            <w:vAlign w:val="bottom"/>
          </w:tcPr>
          <w:p w14:paraId="7D1B63D9" w14:textId="77777777" w:rsidR="008E5DE4" w:rsidRDefault="008E5DE4">
            <w:pPr>
              <w:widowControl w:val="0"/>
              <w:pBdr>
                <w:top w:val="nil"/>
                <w:left w:val="nil"/>
                <w:bottom w:val="nil"/>
                <w:right w:val="nil"/>
                <w:between w:val="nil"/>
              </w:pBdr>
              <w:jc w:val="right"/>
              <w:rPr>
                <w:b/>
                <w:smallCaps/>
                <w:color w:val="000000"/>
              </w:rPr>
            </w:pPr>
          </w:p>
        </w:tc>
        <w:tc>
          <w:tcPr>
            <w:tcW w:w="1531" w:type="dxa"/>
            <w:tcBorders>
              <w:bottom w:val="single" w:sz="12" w:space="0" w:color="000000"/>
            </w:tcBorders>
            <w:vAlign w:val="bottom"/>
          </w:tcPr>
          <w:p w14:paraId="1ED284E1" w14:textId="77777777" w:rsidR="008E5DE4" w:rsidRDefault="008E5DE4">
            <w:pPr>
              <w:widowControl w:val="0"/>
              <w:pBdr>
                <w:top w:val="nil"/>
                <w:left w:val="nil"/>
                <w:bottom w:val="nil"/>
                <w:right w:val="nil"/>
                <w:between w:val="nil"/>
              </w:pBdr>
              <w:jc w:val="right"/>
              <w:rPr>
                <w:b/>
                <w:smallCaps/>
                <w:color w:val="000000"/>
              </w:rPr>
            </w:pPr>
          </w:p>
        </w:tc>
      </w:tr>
    </w:tbl>
    <w:p w14:paraId="7AD943E8" w14:textId="77777777" w:rsidR="008E5DE4" w:rsidRDefault="00780368">
      <w:pPr>
        <w:pageBreakBefore/>
        <w:pBdr>
          <w:top w:val="nil"/>
          <w:left w:val="nil"/>
          <w:bottom w:val="nil"/>
          <w:right w:val="nil"/>
          <w:between w:val="nil"/>
        </w:pBdr>
        <w:spacing w:after="240"/>
        <w:ind w:left="567" w:hanging="567"/>
        <w:jc w:val="both"/>
        <w:rPr>
          <w:rFonts w:ascii="Georgia" w:eastAsia="Georgia" w:hAnsi="Georgia" w:cs="Georgia"/>
          <w:b/>
          <w:color w:val="000000"/>
          <w:sz w:val="20"/>
          <w:szCs w:val="20"/>
        </w:rPr>
      </w:pPr>
      <w:r>
        <w:rPr>
          <w:b/>
          <w:color w:val="000000"/>
          <w:sz w:val="20"/>
          <w:szCs w:val="20"/>
        </w:rPr>
        <w:lastRenderedPageBreak/>
        <w:t>11</w:t>
      </w:r>
      <w:r>
        <w:rPr>
          <w:b/>
          <w:color w:val="000000"/>
          <w:sz w:val="20"/>
          <w:szCs w:val="20"/>
        </w:rPr>
        <w:tab/>
        <w:t>Right-of-use Assets and Lease Liabilities (Continued)</w:t>
      </w:r>
    </w:p>
    <w:p w14:paraId="7C0F1197" w14:textId="358CD9C0" w:rsidR="008E5DE4" w:rsidRDefault="00780368">
      <w:pPr>
        <w:jc w:val="both"/>
        <w:rPr>
          <w:sz w:val="20"/>
          <w:szCs w:val="20"/>
        </w:rPr>
      </w:pPr>
      <w:r>
        <w:rPr>
          <w:sz w:val="20"/>
          <w:szCs w:val="20"/>
        </w:rPr>
        <w:t xml:space="preserve">Interest expense included in finance costs of </w:t>
      </w:r>
      <w:r w:rsidR="008614F8">
        <w:rPr>
          <w:sz w:val="20"/>
          <w:szCs w:val="20"/>
        </w:rPr>
        <w:t>2025</w:t>
      </w:r>
      <w:r>
        <w:rPr>
          <w:sz w:val="20"/>
          <w:szCs w:val="20"/>
        </w:rPr>
        <w:t xml:space="preserve"> was EUR_____ thousand (</w:t>
      </w:r>
      <w:r w:rsidR="00FF468A">
        <w:rPr>
          <w:sz w:val="20"/>
          <w:szCs w:val="20"/>
        </w:rPr>
        <w:t>2024</w:t>
      </w:r>
      <w:r>
        <w:rPr>
          <w:sz w:val="20"/>
          <w:szCs w:val="20"/>
        </w:rPr>
        <w:t>:  EUR ____ thousand).</w:t>
      </w:r>
    </w:p>
    <w:p w14:paraId="6922C6DD" w14:textId="4A23CC1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Some property leases contain variable payment terms that are linked to </w:t>
      </w:r>
      <w:r>
        <w:rPr>
          <w:color w:val="0000FF"/>
          <w:sz w:val="20"/>
          <w:szCs w:val="20"/>
        </w:rPr>
        <w:t>[sales, or other variable]</w:t>
      </w:r>
      <w:r>
        <w:rPr>
          <w:color w:val="000000"/>
          <w:sz w:val="20"/>
          <w:szCs w:val="20"/>
        </w:rPr>
        <w:t xml:space="preserve">. Variable payment terms are used for a variety of reasons, including minimising the fixed costs base. Variable lease payments that depend on </w:t>
      </w:r>
      <w:r>
        <w:rPr>
          <w:color w:val="0000FF"/>
          <w:sz w:val="20"/>
          <w:szCs w:val="20"/>
        </w:rPr>
        <w:t>[sales, or other variable]</w:t>
      </w:r>
      <w:r>
        <w:rPr>
          <w:color w:val="000000"/>
          <w:sz w:val="20"/>
          <w:szCs w:val="20"/>
        </w:rPr>
        <w:t xml:space="preserve"> are recognised in profit or loss in the period in which the condition that triggers those payments occurs. A 10% increase in </w:t>
      </w:r>
      <w:r>
        <w:rPr>
          <w:color w:val="0000FF"/>
          <w:sz w:val="20"/>
          <w:szCs w:val="20"/>
        </w:rPr>
        <w:t>[sales, or other variable]</w:t>
      </w:r>
      <w:r>
        <w:rPr>
          <w:color w:val="000000"/>
          <w:sz w:val="20"/>
          <w:szCs w:val="20"/>
        </w:rPr>
        <w:t xml:space="preserve"> across all properties in the group with such variable lease contracts would increase total lease payments by </w:t>
      </w:r>
      <w:proofErr w:type="gramStart"/>
      <w:r>
        <w:rPr>
          <w:color w:val="000000"/>
          <w:sz w:val="20"/>
          <w:szCs w:val="20"/>
        </w:rPr>
        <w:t>approximately  EUR</w:t>
      </w:r>
      <w:proofErr w:type="gramEnd"/>
      <w:r>
        <w:rPr>
          <w:color w:val="000000"/>
          <w:sz w:val="20"/>
          <w:szCs w:val="20"/>
        </w:rPr>
        <w:t xml:space="preserve"> ___ thousand (</w:t>
      </w:r>
      <w:r w:rsidR="00FF468A">
        <w:rPr>
          <w:color w:val="000000"/>
          <w:sz w:val="20"/>
          <w:szCs w:val="20"/>
        </w:rPr>
        <w:t>2024</w:t>
      </w:r>
      <w:r>
        <w:rPr>
          <w:color w:val="000000"/>
          <w:sz w:val="20"/>
          <w:szCs w:val="20"/>
        </w:rPr>
        <w:t>:</w:t>
      </w:r>
      <w:r w:rsidR="00181448">
        <w:rPr>
          <w:color w:val="000000"/>
          <w:sz w:val="20"/>
          <w:szCs w:val="20"/>
        </w:rPr>
        <w:t xml:space="preserve"> </w:t>
      </w:r>
      <w:r>
        <w:rPr>
          <w:color w:val="000000"/>
          <w:sz w:val="20"/>
          <w:szCs w:val="20"/>
        </w:rPr>
        <w:t>EUR ____ thousand).</w:t>
      </w:r>
    </w:p>
    <w:p w14:paraId="7633F39C" w14:textId="30AC129C" w:rsidR="008E5DE4" w:rsidRDefault="00780368">
      <w:pPr>
        <w:spacing w:before="200" w:after="200"/>
        <w:jc w:val="both"/>
        <w:rPr>
          <w:color w:val="0000FF"/>
          <w:sz w:val="20"/>
          <w:szCs w:val="20"/>
        </w:rPr>
      </w:pPr>
      <w:r>
        <w:rPr>
          <w:sz w:val="20"/>
          <w:szCs w:val="20"/>
        </w:rPr>
        <w:t xml:space="preserve">Expense relating to variable lease payments not included in lease liabilities included </w:t>
      </w:r>
      <w:r>
        <w:rPr>
          <w:color w:val="0000FF"/>
          <w:sz w:val="20"/>
          <w:szCs w:val="20"/>
        </w:rPr>
        <w:t>[in general and administrative expenses]</w:t>
      </w:r>
      <w:r>
        <w:rPr>
          <w:sz w:val="20"/>
          <w:szCs w:val="20"/>
        </w:rPr>
        <w:t xml:space="preserve"> of </w:t>
      </w:r>
      <w:r w:rsidR="008614F8">
        <w:rPr>
          <w:sz w:val="20"/>
          <w:szCs w:val="20"/>
        </w:rPr>
        <w:t>2025</w:t>
      </w:r>
      <w:r>
        <w:rPr>
          <w:sz w:val="20"/>
          <w:szCs w:val="20"/>
        </w:rPr>
        <w:t xml:space="preserve"> </w:t>
      </w:r>
      <w:proofErr w:type="gramStart"/>
      <w:r>
        <w:rPr>
          <w:sz w:val="20"/>
          <w:szCs w:val="20"/>
        </w:rPr>
        <w:t>was  EUR</w:t>
      </w:r>
      <w:proofErr w:type="gramEnd"/>
      <w:r>
        <w:rPr>
          <w:sz w:val="20"/>
          <w:szCs w:val="20"/>
        </w:rPr>
        <w:t xml:space="preserve"> _____ thousand (</w:t>
      </w:r>
      <w:r w:rsidR="00FF468A">
        <w:rPr>
          <w:sz w:val="20"/>
          <w:szCs w:val="20"/>
        </w:rPr>
        <w:t>2024</w:t>
      </w:r>
      <w:r>
        <w:rPr>
          <w:sz w:val="20"/>
          <w:szCs w:val="20"/>
        </w:rPr>
        <w:t>:</w:t>
      </w:r>
      <w:r w:rsidR="00181448">
        <w:rPr>
          <w:sz w:val="20"/>
          <w:szCs w:val="20"/>
        </w:rPr>
        <w:t xml:space="preserve"> </w:t>
      </w:r>
      <w:r>
        <w:rPr>
          <w:sz w:val="20"/>
          <w:szCs w:val="20"/>
        </w:rPr>
        <w:t xml:space="preserve">EUR ____ thousand). As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future cash outflows of EUR ___ thousand (</w:t>
      </w:r>
      <w:r w:rsidR="00FF468A">
        <w:rPr>
          <w:sz w:val="20"/>
          <w:szCs w:val="20"/>
        </w:rPr>
        <w:t>2024</w:t>
      </w:r>
      <w:r>
        <w:rPr>
          <w:sz w:val="20"/>
          <w:szCs w:val="20"/>
        </w:rPr>
        <w:t>:</w:t>
      </w:r>
      <w:r w:rsidR="00181448">
        <w:rPr>
          <w:sz w:val="20"/>
          <w:szCs w:val="20"/>
        </w:rPr>
        <w:t xml:space="preserve"> </w:t>
      </w:r>
      <w:r>
        <w:rPr>
          <w:sz w:val="20"/>
          <w:szCs w:val="20"/>
        </w:rPr>
        <w:t xml:space="preserve">EUR ____ thousand) (undiscounted) to which the Group is potentially exposed to during the lease term have not been included in the lease liability because they include variable lease payments that are linked to </w:t>
      </w:r>
      <w:r>
        <w:rPr>
          <w:color w:val="0000FF"/>
          <w:sz w:val="20"/>
          <w:szCs w:val="20"/>
        </w:rPr>
        <w:t xml:space="preserve">[sales, or </w:t>
      </w:r>
      <w:proofErr w:type="gramStart"/>
      <w:r>
        <w:rPr>
          <w:color w:val="0000FF"/>
          <w:sz w:val="20"/>
          <w:szCs w:val="20"/>
        </w:rPr>
        <w:t>other</w:t>
      </w:r>
      <w:proofErr w:type="gramEnd"/>
      <w:r>
        <w:rPr>
          <w:color w:val="0000FF"/>
          <w:sz w:val="20"/>
          <w:szCs w:val="20"/>
        </w:rPr>
        <w:t xml:space="preserve"> variable]</w:t>
      </w:r>
      <w:r>
        <w:rPr>
          <w:sz w:val="20"/>
          <w:szCs w:val="20"/>
        </w:rPr>
        <w:t xml:space="preserve">. Some property leases contain variable payment terms that are linked to </w:t>
      </w:r>
      <w:r>
        <w:rPr>
          <w:color w:val="0000FF"/>
          <w:sz w:val="20"/>
          <w:szCs w:val="20"/>
        </w:rPr>
        <w:t xml:space="preserve">[sales generated from a store. For individual stores, up to 100% of lease payments are </w:t>
      </w:r>
      <w:proofErr w:type="gramStart"/>
      <w:r>
        <w:rPr>
          <w:color w:val="0000FF"/>
          <w:sz w:val="20"/>
          <w:szCs w:val="20"/>
        </w:rPr>
        <w:t>on the basis of</w:t>
      </w:r>
      <w:proofErr w:type="gramEnd"/>
      <w:r>
        <w:rPr>
          <w:color w:val="0000FF"/>
          <w:sz w:val="20"/>
          <w:szCs w:val="20"/>
        </w:rPr>
        <w:t xml:space="preserve"> variable payment terms with percentages ranging from 5% to 20% of sales.</w:t>
      </w:r>
      <w:r w:rsidR="00160220">
        <w:rPr>
          <w:color w:val="0000FF"/>
          <w:sz w:val="20"/>
          <w:szCs w:val="20"/>
        </w:rPr>
        <w:t>]</w:t>
      </w:r>
      <w:r>
        <w:rPr>
          <w:color w:val="0000FF"/>
          <w:sz w:val="20"/>
          <w:szCs w:val="20"/>
        </w:rPr>
        <w:t xml:space="preserve"> </w:t>
      </w:r>
    </w:p>
    <w:p w14:paraId="42159405" w14:textId="23F02524" w:rsidR="008E5DE4" w:rsidRDefault="00780368">
      <w:pPr>
        <w:spacing w:before="200" w:after="200"/>
        <w:jc w:val="both"/>
        <w:rPr>
          <w:sz w:val="20"/>
          <w:szCs w:val="20"/>
        </w:rPr>
      </w:pPr>
      <w:r>
        <w:rPr>
          <w:color w:val="0000FF"/>
          <w:sz w:val="20"/>
          <w:szCs w:val="20"/>
        </w:rPr>
        <w:t xml:space="preserve">Variable payment terms are used for a variety of reasons, including minimising the fixed costs base for newly established stores. Variable lease payments that depend on sales are recognised in profit or loss in the period in which the condition that triggers those payments occurs. A 10% increase in sales across all stores in the Group with such variable lease contracts would increase total lease payments by </w:t>
      </w:r>
      <w:proofErr w:type="gramStart"/>
      <w:r>
        <w:rPr>
          <w:color w:val="0000FF"/>
          <w:sz w:val="20"/>
          <w:szCs w:val="20"/>
        </w:rPr>
        <w:t>approximately  EUR</w:t>
      </w:r>
      <w:proofErr w:type="gramEnd"/>
      <w:r>
        <w:rPr>
          <w:color w:val="0000FF"/>
          <w:sz w:val="20"/>
          <w:szCs w:val="20"/>
        </w:rPr>
        <w:t xml:space="preserve"> ___ thousand (</w:t>
      </w:r>
      <w:r w:rsidR="00FF468A">
        <w:rPr>
          <w:color w:val="0000FF"/>
          <w:sz w:val="20"/>
          <w:szCs w:val="20"/>
        </w:rPr>
        <w:t>2024</w:t>
      </w:r>
      <w:r>
        <w:rPr>
          <w:color w:val="0000FF"/>
          <w:sz w:val="20"/>
          <w:szCs w:val="20"/>
        </w:rPr>
        <w:t>:</w:t>
      </w:r>
      <w:r w:rsidR="00160220">
        <w:rPr>
          <w:color w:val="0000FF"/>
          <w:sz w:val="20"/>
          <w:szCs w:val="20"/>
        </w:rPr>
        <w:t xml:space="preserve"> </w:t>
      </w:r>
      <w:r>
        <w:rPr>
          <w:color w:val="0000FF"/>
          <w:sz w:val="20"/>
          <w:szCs w:val="20"/>
        </w:rPr>
        <w:t>EUR ____ thousand).]</w:t>
      </w:r>
    </w:p>
    <w:p w14:paraId="50DC5078" w14:textId="77777777" w:rsidR="008E5DE4" w:rsidRDefault="00780368">
      <w:pPr>
        <w:spacing w:before="200" w:after="200"/>
        <w:jc w:val="both"/>
        <w:rPr>
          <w:sz w:val="20"/>
          <w:szCs w:val="20"/>
        </w:rPr>
      </w:pPr>
      <w:r>
        <w:rPr>
          <w:sz w:val="20"/>
          <w:szCs w:val="20"/>
        </w:rPr>
        <w:t xml:space="preserve">Expenses relating to short-term leases (included in </w:t>
      </w:r>
      <w:r>
        <w:rPr>
          <w:color w:val="0000FF"/>
          <w:sz w:val="20"/>
          <w:szCs w:val="20"/>
        </w:rPr>
        <w:t>[cost of sales and general and administrative expenses]</w:t>
      </w:r>
      <w:r>
        <w:rPr>
          <w:sz w:val="20"/>
          <w:szCs w:val="20"/>
        </w:rPr>
        <w:t xml:space="preserve">) and to leases of low-value assets that are not shown as short-term leases (included in </w:t>
      </w:r>
      <w:r>
        <w:rPr>
          <w:color w:val="0000FF"/>
          <w:sz w:val="20"/>
          <w:szCs w:val="20"/>
        </w:rPr>
        <w:t>[general and administrative expenses]</w:t>
      </w:r>
      <w:r>
        <w:rPr>
          <w:sz w:val="20"/>
          <w:szCs w:val="20"/>
        </w:rPr>
        <w:t>):</w:t>
      </w:r>
    </w:p>
    <w:tbl>
      <w:tblPr>
        <w:tblStyle w:val="affe"/>
        <w:tblW w:w="9356" w:type="dxa"/>
        <w:tblLayout w:type="fixed"/>
        <w:tblLook w:val="0000" w:firstRow="0" w:lastRow="0" w:firstColumn="0" w:lastColumn="0" w:noHBand="0" w:noVBand="0"/>
      </w:tblPr>
      <w:tblGrid>
        <w:gridCol w:w="5670"/>
        <w:gridCol w:w="1843"/>
        <w:gridCol w:w="1843"/>
      </w:tblGrid>
      <w:tr w:rsidR="008E5DE4" w14:paraId="08574BEA" w14:textId="77777777">
        <w:trPr>
          <w:cantSplit/>
        </w:trPr>
        <w:tc>
          <w:tcPr>
            <w:tcW w:w="5670" w:type="dxa"/>
            <w:tcBorders>
              <w:bottom w:val="single" w:sz="4" w:space="0" w:color="000000"/>
            </w:tcBorders>
            <w:vAlign w:val="bottom"/>
          </w:tcPr>
          <w:p w14:paraId="2F07DE77"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843" w:type="dxa"/>
            <w:tcBorders>
              <w:bottom w:val="single" w:sz="4" w:space="0" w:color="000000"/>
            </w:tcBorders>
          </w:tcPr>
          <w:p w14:paraId="5BEE5106" w14:textId="393273B9" w:rsidR="008E5DE4" w:rsidRDefault="008614F8">
            <w:pPr>
              <w:widowControl w:val="0"/>
              <w:pBdr>
                <w:top w:val="nil"/>
                <w:left w:val="nil"/>
                <w:bottom w:val="nil"/>
                <w:right w:val="nil"/>
                <w:between w:val="nil"/>
              </w:pBdr>
              <w:jc w:val="right"/>
              <w:rPr>
                <w:b/>
                <w:color w:val="000000"/>
              </w:rPr>
            </w:pPr>
            <w:r>
              <w:rPr>
                <w:b/>
                <w:color w:val="000000"/>
              </w:rPr>
              <w:t>2025</w:t>
            </w:r>
          </w:p>
        </w:tc>
        <w:tc>
          <w:tcPr>
            <w:tcW w:w="1843" w:type="dxa"/>
            <w:tcBorders>
              <w:bottom w:val="single" w:sz="4" w:space="0" w:color="000000"/>
            </w:tcBorders>
            <w:vAlign w:val="bottom"/>
          </w:tcPr>
          <w:p w14:paraId="60A72C31" w14:textId="73D38803"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5F316EA9" w14:textId="77777777">
        <w:trPr>
          <w:cantSplit/>
        </w:trPr>
        <w:tc>
          <w:tcPr>
            <w:tcW w:w="5670" w:type="dxa"/>
            <w:vAlign w:val="bottom"/>
          </w:tcPr>
          <w:p w14:paraId="18080A0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843" w:type="dxa"/>
          </w:tcPr>
          <w:p w14:paraId="07749279" w14:textId="77777777" w:rsidR="008E5DE4" w:rsidRDefault="008E5DE4">
            <w:pPr>
              <w:widowControl w:val="0"/>
              <w:pBdr>
                <w:top w:val="nil"/>
                <w:left w:val="nil"/>
                <w:bottom w:val="nil"/>
                <w:right w:val="nil"/>
                <w:between w:val="nil"/>
              </w:pBdr>
              <w:jc w:val="right"/>
              <w:rPr>
                <w:color w:val="000000"/>
              </w:rPr>
            </w:pPr>
          </w:p>
        </w:tc>
        <w:tc>
          <w:tcPr>
            <w:tcW w:w="1843" w:type="dxa"/>
            <w:vAlign w:val="bottom"/>
          </w:tcPr>
          <w:p w14:paraId="1E23D1B9" w14:textId="77777777" w:rsidR="008E5DE4" w:rsidRDefault="008E5DE4">
            <w:pPr>
              <w:widowControl w:val="0"/>
              <w:pBdr>
                <w:top w:val="nil"/>
                <w:left w:val="nil"/>
                <w:bottom w:val="nil"/>
                <w:right w:val="nil"/>
                <w:between w:val="nil"/>
              </w:pBdr>
              <w:jc w:val="right"/>
              <w:rPr>
                <w:color w:val="000000"/>
              </w:rPr>
            </w:pPr>
          </w:p>
        </w:tc>
      </w:tr>
      <w:tr w:rsidR="008E5DE4" w14:paraId="67FF7EE3" w14:textId="77777777">
        <w:trPr>
          <w:cantSplit/>
        </w:trPr>
        <w:tc>
          <w:tcPr>
            <w:tcW w:w="5670" w:type="dxa"/>
            <w:vAlign w:val="bottom"/>
          </w:tcPr>
          <w:p w14:paraId="066F3C0A" w14:textId="77777777" w:rsidR="008E5DE4" w:rsidRDefault="00780368">
            <w:pPr>
              <w:widowControl w:val="0"/>
              <w:pBdr>
                <w:top w:val="nil"/>
                <w:left w:val="nil"/>
                <w:bottom w:val="nil"/>
                <w:right w:val="nil"/>
                <w:between w:val="nil"/>
              </w:pBdr>
              <w:ind w:left="113" w:right="-57" w:hanging="113"/>
              <w:rPr>
                <w:color w:val="000000"/>
              </w:rPr>
            </w:pPr>
            <w:r>
              <w:rPr>
                <w:color w:val="000000"/>
              </w:rPr>
              <w:t>Expense relating to short-term leases</w:t>
            </w:r>
          </w:p>
        </w:tc>
        <w:tc>
          <w:tcPr>
            <w:tcW w:w="1843" w:type="dxa"/>
          </w:tcPr>
          <w:p w14:paraId="745EFBA9" w14:textId="77777777" w:rsidR="008E5DE4" w:rsidRDefault="008E5DE4">
            <w:pPr>
              <w:widowControl w:val="0"/>
              <w:pBdr>
                <w:top w:val="nil"/>
                <w:left w:val="nil"/>
                <w:bottom w:val="nil"/>
                <w:right w:val="nil"/>
                <w:between w:val="nil"/>
              </w:pBdr>
              <w:jc w:val="right"/>
              <w:rPr>
                <w:color w:val="000000"/>
              </w:rPr>
            </w:pPr>
          </w:p>
        </w:tc>
        <w:tc>
          <w:tcPr>
            <w:tcW w:w="1843" w:type="dxa"/>
            <w:vAlign w:val="bottom"/>
          </w:tcPr>
          <w:p w14:paraId="7AE96CCA" w14:textId="77777777" w:rsidR="008E5DE4" w:rsidRDefault="008E5DE4">
            <w:pPr>
              <w:widowControl w:val="0"/>
              <w:pBdr>
                <w:top w:val="nil"/>
                <w:left w:val="nil"/>
                <w:bottom w:val="nil"/>
                <w:right w:val="nil"/>
                <w:between w:val="nil"/>
              </w:pBdr>
              <w:jc w:val="right"/>
              <w:rPr>
                <w:color w:val="000000"/>
              </w:rPr>
            </w:pPr>
          </w:p>
        </w:tc>
      </w:tr>
      <w:tr w:rsidR="008E5DE4" w14:paraId="777E7B13" w14:textId="77777777">
        <w:trPr>
          <w:cantSplit/>
        </w:trPr>
        <w:tc>
          <w:tcPr>
            <w:tcW w:w="5670" w:type="dxa"/>
            <w:vAlign w:val="bottom"/>
          </w:tcPr>
          <w:p w14:paraId="4FB3ADE5" w14:textId="77777777" w:rsidR="008E5DE4" w:rsidRDefault="00780368">
            <w:pPr>
              <w:widowControl w:val="0"/>
              <w:pBdr>
                <w:top w:val="nil"/>
                <w:left w:val="nil"/>
                <w:bottom w:val="nil"/>
                <w:right w:val="nil"/>
                <w:between w:val="nil"/>
              </w:pBdr>
              <w:ind w:right="-57"/>
              <w:rPr>
                <w:color w:val="000000"/>
              </w:rPr>
            </w:pPr>
            <w:r>
              <w:rPr>
                <w:color w:val="000000"/>
              </w:rPr>
              <w:t>Expense relating to leases of low-value assets that are not shown above as short-term leases</w:t>
            </w:r>
          </w:p>
        </w:tc>
        <w:tc>
          <w:tcPr>
            <w:tcW w:w="1843" w:type="dxa"/>
          </w:tcPr>
          <w:p w14:paraId="3B230574" w14:textId="77777777" w:rsidR="008E5DE4" w:rsidRDefault="008E5DE4">
            <w:pPr>
              <w:widowControl w:val="0"/>
              <w:pBdr>
                <w:top w:val="nil"/>
                <w:left w:val="nil"/>
                <w:bottom w:val="nil"/>
                <w:right w:val="nil"/>
                <w:between w:val="nil"/>
              </w:pBdr>
              <w:jc w:val="right"/>
              <w:rPr>
                <w:color w:val="000000"/>
              </w:rPr>
            </w:pPr>
          </w:p>
        </w:tc>
        <w:tc>
          <w:tcPr>
            <w:tcW w:w="1843" w:type="dxa"/>
            <w:vAlign w:val="bottom"/>
          </w:tcPr>
          <w:p w14:paraId="4995161F" w14:textId="77777777" w:rsidR="008E5DE4" w:rsidRDefault="008E5DE4">
            <w:pPr>
              <w:widowControl w:val="0"/>
              <w:pBdr>
                <w:top w:val="nil"/>
                <w:left w:val="nil"/>
                <w:bottom w:val="nil"/>
                <w:right w:val="nil"/>
                <w:between w:val="nil"/>
              </w:pBdr>
              <w:jc w:val="right"/>
              <w:rPr>
                <w:color w:val="000000"/>
              </w:rPr>
            </w:pPr>
          </w:p>
        </w:tc>
      </w:tr>
      <w:tr w:rsidR="008E5DE4" w14:paraId="6E7D99DA" w14:textId="77777777">
        <w:trPr>
          <w:cantSplit/>
        </w:trPr>
        <w:tc>
          <w:tcPr>
            <w:tcW w:w="5670" w:type="dxa"/>
            <w:tcBorders>
              <w:bottom w:val="single" w:sz="12" w:space="0" w:color="000000"/>
            </w:tcBorders>
            <w:vAlign w:val="bottom"/>
          </w:tcPr>
          <w:p w14:paraId="4A44839C"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843" w:type="dxa"/>
            <w:tcBorders>
              <w:bottom w:val="single" w:sz="12" w:space="0" w:color="000000"/>
            </w:tcBorders>
          </w:tcPr>
          <w:p w14:paraId="4179CD51" w14:textId="77777777" w:rsidR="008E5DE4" w:rsidRDefault="008E5DE4">
            <w:pPr>
              <w:widowControl w:val="0"/>
              <w:pBdr>
                <w:top w:val="nil"/>
                <w:left w:val="nil"/>
                <w:bottom w:val="nil"/>
                <w:right w:val="nil"/>
                <w:between w:val="nil"/>
              </w:pBdr>
              <w:jc w:val="right"/>
              <w:rPr>
                <w:b/>
                <w:smallCaps/>
                <w:color w:val="000000"/>
              </w:rPr>
            </w:pPr>
          </w:p>
        </w:tc>
        <w:tc>
          <w:tcPr>
            <w:tcW w:w="1843" w:type="dxa"/>
            <w:tcBorders>
              <w:bottom w:val="single" w:sz="12" w:space="0" w:color="000000"/>
            </w:tcBorders>
            <w:vAlign w:val="bottom"/>
          </w:tcPr>
          <w:p w14:paraId="78C66780" w14:textId="77777777" w:rsidR="008E5DE4" w:rsidRDefault="008E5DE4">
            <w:pPr>
              <w:widowControl w:val="0"/>
              <w:pBdr>
                <w:top w:val="nil"/>
                <w:left w:val="nil"/>
                <w:bottom w:val="nil"/>
                <w:right w:val="nil"/>
                <w:between w:val="nil"/>
              </w:pBdr>
              <w:jc w:val="right"/>
              <w:rPr>
                <w:b/>
                <w:smallCaps/>
                <w:color w:val="000000"/>
              </w:rPr>
            </w:pPr>
          </w:p>
        </w:tc>
      </w:tr>
    </w:tbl>
    <w:p w14:paraId="63841FE0" w14:textId="2325488C" w:rsidR="008E5DE4" w:rsidRDefault="00780368">
      <w:pPr>
        <w:spacing w:before="200" w:after="200"/>
        <w:jc w:val="both"/>
        <w:rPr>
          <w:sz w:val="20"/>
          <w:szCs w:val="20"/>
        </w:rPr>
      </w:pPr>
      <w:r>
        <w:rPr>
          <w:sz w:val="20"/>
          <w:szCs w:val="20"/>
        </w:rPr>
        <w:t xml:space="preserve">Total cash outflow for leases in </w:t>
      </w:r>
      <w:r w:rsidR="008614F8">
        <w:rPr>
          <w:sz w:val="20"/>
          <w:szCs w:val="20"/>
        </w:rPr>
        <w:t>2025</w:t>
      </w:r>
      <w:r>
        <w:rPr>
          <w:sz w:val="20"/>
          <w:szCs w:val="20"/>
        </w:rPr>
        <w:t xml:space="preserve"> was EUR ____ thousand (</w:t>
      </w:r>
      <w:r w:rsidR="00FF468A">
        <w:rPr>
          <w:sz w:val="20"/>
          <w:szCs w:val="20"/>
        </w:rPr>
        <w:t>2024</w:t>
      </w:r>
      <w:r>
        <w:rPr>
          <w:sz w:val="20"/>
          <w:szCs w:val="20"/>
        </w:rPr>
        <w:t>:</w:t>
      </w:r>
      <w:r w:rsidR="00160220">
        <w:rPr>
          <w:sz w:val="20"/>
          <w:szCs w:val="20"/>
        </w:rPr>
        <w:t xml:space="preserve"> </w:t>
      </w:r>
      <w:r>
        <w:rPr>
          <w:sz w:val="20"/>
          <w:szCs w:val="20"/>
        </w:rPr>
        <w:t>EUR ____ thousand).</w:t>
      </w:r>
    </w:p>
    <w:p w14:paraId="5EC7D2ED" w14:textId="322477D0" w:rsidR="008E5DE4" w:rsidRDefault="00780368">
      <w:pPr>
        <w:spacing w:before="200" w:after="200"/>
        <w:jc w:val="both"/>
        <w:rPr>
          <w:sz w:val="20"/>
          <w:szCs w:val="20"/>
        </w:rPr>
      </w:pPr>
      <w:r>
        <w:rPr>
          <w:color w:val="0000FF"/>
          <w:sz w:val="20"/>
          <w:szCs w:val="20"/>
        </w:rPr>
        <w:t>[The lease agreements do not impose any covenants other than the security interests in the leased assets that are held by the lessor. Leased assets may not be used as collateral for borrowings.]</w:t>
      </w:r>
      <w:r>
        <w:rPr>
          <w:sz w:val="20"/>
          <w:szCs w:val="20"/>
        </w:rPr>
        <w:t xml:space="preserve"> </w:t>
      </w:r>
    </w:p>
    <w:p w14:paraId="32F3C649" w14:textId="77777777" w:rsidR="008E5DE4" w:rsidRDefault="00780368">
      <w:pPr>
        <w:spacing w:before="200" w:after="200"/>
        <w:jc w:val="both"/>
        <w:rPr>
          <w:color w:val="0000FF"/>
          <w:sz w:val="20"/>
          <w:szCs w:val="20"/>
        </w:rPr>
      </w:pPr>
      <w:r>
        <w:rPr>
          <w:color w:val="0000FF"/>
          <w:sz w:val="20"/>
          <w:szCs w:val="20"/>
        </w:rPr>
        <w:t xml:space="preserve">[Extension and termination options are included in </w:t>
      </w:r>
      <w:proofErr w:type="gramStart"/>
      <w:r>
        <w:rPr>
          <w:color w:val="0000FF"/>
          <w:sz w:val="20"/>
          <w:szCs w:val="20"/>
        </w:rPr>
        <w:t>a number of</w:t>
      </w:r>
      <w:proofErr w:type="gramEnd"/>
      <w:r>
        <w:rPr>
          <w:color w:val="0000FF"/>
          <w:sz w:val="20"/>
          <w:szCs w:val="20"/>
        </w:rPr>
        <w:t xml:space="preserve"> property and equipment leases across the Group. These are used to maximise operational flexibility in terms of managing the assets used in the Group’s operations. </w:t>
      </w:r>
      <w:proofErr w:type="gramStart"/>
      <w:r>
        <w:rPr>
          <w:color w:val="0000FF"/>
          <w:sz w:val="20"/>
          <w:szCs w:val="20"/>
        </w:rPr>
        <w:t>The majority of</w:t>
      </w:r>
      <w:proofErr w:type="gramEnd"/>
      <w:r>
        <w:rPr>
          <w:color w:val="0000FF"/>
          <w:sz w:val="20"/>
          <w:szCs w:val="20"/>
        </w:rPr>
        <w:t xml:space="preserve"> extension and termination options held are exercisable only by the Group and not by the respective lessor.</w:t>
      </w:r>
    </w:p>
    <w:p w14:paraId="4D0A9F7B" w14:textId="40AF60E7" w:rsidR="008E5DE4" w:rsidRDefault="00780368">
      <w:pPr>
        <w:spacing w:before="200" w:after="200"/>
        <w:jc w:val="both"/>
        <w:rPr>
          <w:color w:val="0000FF"/>
          <w:sz w:val="20"/>
          <w:szCs w:val="20"/>
        </w:rPr>
      </w:pPr>
      <w:r>
        <w:rPr>
          <w:color w:val="0000FF"/>
          <w:sz w:val="20"/>
          <w:szCs w:val="20"/>
        </w:rPr>
        <w:t xml:space="preserve">As </w:t>
      </w:r>
      <w:proofErr w:type="gramStart"/>
      <w:r>
        <w:rPr>
          <w:color w:val="0000FF"/>
          <w:sz w:val="20"/>
          <w:szCs w:val="20"/>
        </w:rPr>
        <w:t>at</w:t>
      </w:r>
      <w:proofErr w:type="gramEnd"/>
      <w:r>
        <w:rPr>
          <w:color w:val="0000FF"/>
          <w:sz w:val="20"/>
          <w:szCs w:val="20"/>
        </w:rPr>
        <w:t xml:space="preserve"> 31 December </w:t>
      </w:r>
      <w:r w:rsidR="008614F8">
        <w:rPr>
          <w:color w:val="0000FF"/>
          <w:sz w:val="20"/>
          <w:szCs w:val="20"/>
        </w:rPr>
        <w:t>2025</w:t>
      </w:r>
      <w:r>
        <w:rPr>
          <w:color w:val="0000FF"/>
          <w:sz w:val="20"/>
          <w:szCs w:val="20"/>
        </w:rPr>
        <w:t>, potential future cash outflows of EUR ___ thousand (</w:t>
      </w:r>
      <w:r w:rsidR="00FF468A">
        <w:rPr>
          <w:color w:val="0000FF"/>
          <w:sz w:val="20"/>
          <w:szCs w:val="20"/>
        </w:rPr>
        <w:t>2024</w:t>
      </w:r>
      <w:r>
        <w:rPr>
          <w:color w:val="0000FF"/>
          <w:sz w:val="20"/>
          <w:szCs w:val="20"/>
        </w:rPr>
        <w:t>:</w:t>
      </w:r>
      <w:r w:rsidR="00160220">
        <w:rPr>
          <w:color w:val="0000FF"/>
          <w:sz w:val="20"/>
          <w:szCs w:val="20"/>
        </w:rPr>
        <w:t xml:space="preserve"> </w:t>
      </w:r>
      <w:r>
        <w:rPr>
          <w:color w:val="0000FF"/>
          <w:sz w:val="20"/>
          <w:szCs w:val="20"/>
        </w:rPr>
        <w:t xml:space="preserve">EUR ____ thousand) (undiscounted) have not been included in the lease liability because it is not reasonably certain that the leases will be extended (or not terminated). The lease term is reassessed if an option is </w:t>
      </w:r>
      <w:proofErr w:type="gramStart"/>
      <w:r>
        <w:rPr>
          <w:color w:val="0000FF"/>
          <w:sz w:val="20"/>
          <w:szCs w:val="20"/>
        </w:rPr>
        <w:t>actually exercised</w:t>
      </w:r>
      <w:proofErr w:type="gramEnd"/>
      <w:r>
        <w:rPr>
          <w:color w:val="0000FF"/>
          <w:sz w:val="20"/>
          <w:szCs w:val="20"/>
        </w:rPr>
        <w:t xml:space="preserve"> (or not exercised) or the Group becomes obliged to exercise (or not exercise) it. The assessment of reasonable certainty is only revised if a significant event or a significant change in circumstances occurs, which affects this assessment, and that is within the control of the Group. During the current reporting year, the financial effect of revising lease terms to reflect the effect of exercising extension and termination options was an increase in recognised lease liabilities and right-of-use assets of EUR___ thousand (</w:t>
      </w:r>
      <w:r w:rsidR="00FF468A">
        <w:rPr>
          <w:color w:val="0000FF"/>
          <w:sz w:val="20"/>
          <w:szCs w:val="20"/>
        </w:rPr>
        <w:t>2024</w:t>
      </w:r>
      <w:r>
        <w:rPr>
          <w:color w:val="0000FF"/>
          <w:sz w:val="20"/>
          <w:szCs w:val="20"/>
        </w:rPr>
        <w:t>:</w:t>
      </w:r>
      <w:r w:rsidR="00160220">
        <w:rPr>
          <w:color w:val="0000FF"/>
          <w:sz w:val="20"/>
          <w:szCs w:val="20"/>
        </w:rPr>
        <w:t xml:space="preserve"> </w:t>
      </w:r>
      <w:r>
        <w:rPr>
          <w:color w:val="0000FF"/>
          <w:sz w:val="20"/>
          <w:szCs w:val="20"/>
        </w:rPr>
        <w:t>EUR ____ thousand).]</w:t>
      </w:r>
    </w:p>
    <w:p w14:paraId="2B951E08"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11</w:t>
      </w:r>
      <w:r>
        <w:rPr>
          <w:b/>
          <w:color w:val="000000"/>
          <w:sz w:val="20"/>
          <w:szCs w:val="20"/>
        </w:rPr>
        <w:tab/>
        <w:t>Right-of-use Assets and Lease Liabilities (Continued)</w:t>
      </w:r>
    </w:p>
    <w:p w14:paraId="12ADE569" w14:textId="685CF966" w:rsidR="008E5DE4" w:rsidRDefault="00780368">
      <w:pPr>
        <w:spacing w:before="200" w:after="200"/>
        <w:jc w:val="both"/>
        <w:rPr>
          <w:color w:val="0000FF"/>
          <w:sz w:val="20"/>
          <w:szCs w:val="20"/>
        </w:rPr>
      </w:pPr>
      <w:r>
        <w:rPr>
          <w:color w:val="0000FF"/>
          <w:sz w:val="20"/>
          <w:szCs w:val="20"/>
        </w:rPr>
        <w:t>[To optimise lease costs during the contract period, the Group sometimes provides residual value guarantees in relation to equipment leases. The Group initially estimates and recognises amounts expected to be payable under residual value guarantees as part of the lease liability. Typically</w:t>
      </w:r>
      <w:r w:rsidR="00160220">
        <w:rPr>
          <w:color w:val="0000FF"/>
          <w:sz w:val="20"/>
          <w:szCs w:val="20"/>
        </w:rPr>
        <w:t>,</w:t>
      </w:r>
      <w:r>
        <w:rPr>
          <w:color w:val="0000FF"/>
          <w:sz w:val="20"/>
          <w:szCs w:val="20"/>
        </w:rPr>
        <w:t xml:space="preserve"> the expected residual value at lease commencement is equal to or higher than the guaranteed amount, and so the Group does not expect to pay anything under the guarantees.</w:t>
      </w:r>
    </w:p>
    <w:p w14:paraId="3446B214" w14:textId="01D9E93B" w:rsidR="008E5DE4" w:rsidRDefault="00780368">
      <w:pPr>
        <w:widowControl w:val="0"/>
        <w:spacing w:before="200" w:after="200"/>
        <w:jc w:val="both"/>
        <w:rPr>
          <w:i/>
          <w:color w:val="FF0000"/>
          <w:sz w:val="20"/>
          <w:szCs w:val="20"/>
        </w:rPr>
      </w:pPr>
      <w:r>
        <w:rPr>
          <w:color w:val="0000FF"/>
          <w:sz w:val="20"/>
          <w:szCs w:val="20"/>
        </w:rPr>
        <w:t xml:space="preserve">At the end of each reporting period, the expected residual values are reviewed to reflect actual residual values achieved on comparable assets and expectations about future prices. As </w:t>
      </w:r>
      <w:proofErr w:type="gramStart"/>
      <w:r>
        <w:rPr>
          <w:color w:val="0000FF"/>
          <w:sz w:val="20"/>
          <w:szCs w:val="20"/>
        </w:rPr>
        <w:t>at</w:t>
      </w:r>
      <w:proofErr w:type="gramEnd"/>
      <w:r>
        <w:rPr>
          <w:color w:val="0000FF"/>
          <w:sz w:val="20"/>
          <w:szCs w:val="20"/>
        </w:rPr>
        <w:t xml:space="preserve"> 31 December </w:t>
      </w:r>
      <w:r w:rsidR="008614F8">
        <w:rPr>
          <w:color w:val="0000FF"/>
          <w:sz w:val="20"/>
          <w:szCs w:val="20"/>
        </w:rPr>
        <w:t>2025</w:t>
      </w:r>
      <w:r>
        <w:rPr>
          <w:color w:val="0000FF"/>
          <w:sz w:val="20"/>
          <w:szCs w:val="20"/>
        </w:rPr>
        <w:t>,</w:t>
      </w:r>
      <w:r w:rsidR="00515E7A">
        <w:rPr>
          <w:color w:val="0000FF"/>
          <w:sz w:val="20"/>
          <w:szCs w:val="20"/>
        </w:rPr>
        <w:t xml:space="preserve"> </w:t>
      </w:r>
      <w:r>
        <w:rPr>
          <w:color w:val="0000FF"/>
          <w:sz w:val="20"/>
          <w:szCs w:val="20"/>
        </w:rPr>
        <w:t>EUR ____ thousand (</w:t>
      </w:r>
      <w:r w:rsidR="00FF468A">
        <w:rPr>
          <w:color w:val="0000FF"/>
          <w:sz w:val="20"/>
          <w:szCs w:val="20"/>
        </w:rPr>
        <w:t>2024</w:t>
      </w:r>
      <w:r>
        <w:rPr>
          <w:color w:val="0000FF"/>
          <w:sz w:val="20"/>
          <w:szCs w:val="20"/>
        </w:rPr>
        <w:t>:</w:t>
      </w:r>
      <w:r w:rsidR="00160220">
        <w:rPr>
          <w:color w:val="0000FF"/>
          <w:sz w:val="20"/>
          <w:szCs w:val="20"/>
        </w:rPr>
        <w:t xml:space="preserve"> </w:t>
      </w:r>
      <w:r>
        <w:rPr>
          <w:color w:val="0000FF"/>
          <w:sz w:val="20"/>
          <w:szCs w:val="20"/>
        </w:rPr>
        <w:t>EUR ____ thousand) is expected to be payable and is included in calculating the lease liabilities while EUR ____ thousand (</w:t>
      </w:r>
      <w:r w:rsidR="00FF468A">
        <w:rPr>
          <w:color w:val="0000FF"/>
          <w:sz w:val="20"/>
          <w:szCs w:val="20"/>
        </w:rPr>
        <w:t>2024</w:t>
      </w:r>
      <w:r>
        <w:rPr>
          <w:color w:val="0000FF"/>
          <w:sz w:val="20"/>
          <w:szCs w:val="20"/>
        </w:rPr>
        <w:t>:</w:t>
      </w:r>
      <w:r w:rsidR="00160220">
        <w:rPr>
          <w:color w:val="0000FF"/>
          <w:sz w:val="20"/>
          <w:szCs w:val="20"/>
        </w:rPr>
        <w:t xml:space="preserve"> </w:t>
      </w:r>
      <w:r>
        <w:rPr>
          <w:color w:val="0000FF"/>
          <w:sz w:val="20"/>
          <w:szCs w:val="20"/>
        </w:rPr>
        <w:t>EUR ____ thousand) (undiscounted) is not expected to be payable and has hence been excluded from the lease liabilities.]</w:t>
      </w:r>
    </w:p>
    <w:p w14:paraId="172A874E" w14:textId="77777777" w:rsidR="008E5DE4" w:rsidRDefault="00780368" w:rsidP="00AC0EA9">
      <w:pPr>
        <w:pStyle w:val="Heading1"/>
        <w:numPr>
          <w:ilvl w:val="0"/>
          <w:numId w:val="3"/>
        </w:numPr>
        <w:ind w:left="567" w:hanging="567"/>
      </w:pPr>
      <w:bookmarkStart w:id="20" w:name="_Toc149923611"/>
      <w:r>
        <w:t>Goodwill</w:t>
      </w:r>
      <w:bookmarkEnd w:id="20"/>
    </w:p>
    <w:p w14:paraId="55956D3D" w14:textId="70CA579A"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10D85168" w14:textId="77777777" w:rsidR="008E5DE4" w:rsidRDefault="00780368">
      <w:pPr>
        <w:widowControl w:val="0"/>
        <w:shd w:val="clear" w:color="auto" w:fill="C6D9F1"/>
        <w:spacing w:before="200" w:after="200"/>
        <w:jc w:val="both"/>
        <w:rPr>
          <w:sz w:val="20"/>
          <w:szCs w:val="20"/>
        </w:rPr>
      </w:pPr>
      <w:r>
        <w:rPr>
          <w:sz w:val="20"/>
          <w:szCs w:val="20"/>
        </w:rPr>
        <w:t>Goodwill is measured by deducting the net assets of the acquiree from the aggregate of the consideration transferred for the acquiree, the amount of non-controlling interest in the acquiree and the fair value of an interest in the acquiree held immediately before the acquisition date. Any negative amount (“negative goodwill” or a “bargain purchase”) is recognised in profit or loss, after management reassesses whether it identified all the assets acquired and all the liabilities and contingent liabilities assumed and reviews the appropriateness of their measurement.</w:t>
      </w:r>
    </w:p>
    <w:p w14:paraId="55B7CBC3"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Goodwill is not </w:t>
      </w:r>
      <w:proofErr w:type="gramStart"/>
      <w:r>
        <w:rPr>
          <w:color w:val="000000"/>
          <w:sz w:val="20"/>
          <w:szCs w:val="20"/>
        </w:rPr>
        <w:t>amortised</w:t>
      </w:r>
      <w:proofErr w:type="gramEnd"/>
      <w:r>
        <w:rPr>
          <w:color w:val="000000"/>
          <w:sz w:val="20"/>
          <w:szCs w:val="20"/>
        </w:rPr>
        <w:t xml:space="preserve"> but it is tested for impairment annually. Goodwill is allocated to the cash-generating units, or groups of cash-generating units, that are expected to benefit from the synergies of the business combination. Such units or groups of units represent the lowest level at which the Group monitors goodwill and are not larger than an operating segment. </w:t>
      </w:r>
    </w:p>
    <w:p w14:paraId="0710CE89"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The Group tests goodwill for impairment at least annually and whenever there are indications that goodwill may be impaired. The carrying value of the cash-generating unit containing goodwill is compared to the recoverable amount, which is the higher of value in use and the fair value less costs of disposal. Any impairment is recognised immediately as an expense and is not subsequently reversed.</w:t>
      </w:r>
    </w:p>
    <w:p w14:paraId="2AD01751"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Gains or losses on disposal of an operation within a cash generating unit to which goodwill has been allocated include the carrying amount of goodwill associated with the disposed operation, generally measured </w:t>
      </w:r>
      <w:proofErr w:type="gramStart"/>
      <w:r>
        <w:rPr>
          <w:color w:val="000000"/>
          <w:sz w:val="20"/>
          <w:szCs w:val="20"/>
        </w:rPr>
        <w:t>on the basis of</w:t>
      </w:r>
      <w:proofErr w:type="gramEnd"/>
      <w:r>
        <w:rPr>
          <w:color w:val="000000"/>
          <w:sz w:val="20"/>
          <w:szCs w:val="20"/>
        </w:rPr>
        <w:t xml:space="preserve"> the relative values of the disposed operation and the portion of the cash-generating unit which is retained.</w:t>
      </w:r>
    </w:p>
    <w:p w14:paraId="0C1B4516" w14:textId="1C69239E" w:rsidR="008A5D3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Impairment of goodwill. </w:t>
      </w:r>
      <w:proofErr w:type="gramStart"/>
      <w:r>
        <w:rPr>
          <w:color w:val="000000"/>
          <w:sz w:val="20"/>
          <w:szCs w:val="20"/>
        </w:rPr>
        <w:t>Goodwill,</w:t>
      </w:r>
      <w:proofErr w:type="gramEnd"/>
      <w:r>
        <w:rPr>
          <w:color w:val="000000"/>
          <w:sz w:val="20"/>
          <w:szCs w:val="20"/>
        </w:rPr>
        <w:t xml:space="preserve"> is tested annually for impairment. An impairment loss is recognised for the amount by which the asset’s carrying amount exceeds its recoverable amount. The recoverable amount is the higher of an asset’s fair value less costs of disposal and value in use. For the purposes of assessing impairment, assets are grouped at the lowest levels for which there are largely independent cash inflows (cash-generating units). Prior impairments of non-financial assets (other than goodwill) are reviewed for possible reversal at each reporting date.</w:t>
      </w:r>
    </w:p>
    <w:p w14:paraId="305D32BE" w14:textId="77777777" w:rsidR="00844C35" w:rsidRDefault="00844C35">
      <w:pPr>
        <w:rPr>
          <w:color w:val="000000"/>
          <w:sz w:val="20"/>
          <w:szCs w:val="20"/>
        </w:rPr>
      </w:pPr>
    </w:p>
    <w:tbl>
      <w:tblPr>
        <w:tblStyle w:val="afff"/>
        <w:tblW w:w="9495"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8E5DE4" w14:paraId="576C8428" w14:textId="77777777">
        <w:tc>
          <w:tcPr>
            <w:tcW w:w="9495" w:type="dxa"/>
          </w:tcPr>
          <w:p w14:paraId="0007DC64" w14:textId="77777777" w:rsidR="008A5D34" w:rsidRDefault="008A5D34">
            <w:pPr>
              <w:rPr>
                <w:b/>
                <w:i/>
                <w:sz w:val="20"/>
                <w:szCs w:val="20"/>
              </w:rPr>
            </w:pPr>
          </w:p>
          <w:p w14:paraId="0D361B7C" w14:textId="1AFD3C88" w:rsidR="008E5DE4" w:rsidRDefault="00780368">
            <w:pPr>
              <w:rPr>
                <w:b/>
                <w:i/>
                <w:sz w:val="20"/>
                <w:szCs w:val="20"/>
              </w:rPr>
            </w:pPr>
            <w:r>
              <w:rPr>
                <w:b/>
                <w:i/>
                <w:sz w:val="20"/>
                <w:szCs w:val="20"/>
              </w:rPr>
              <w:t>Critical Accounting Estimates and Judgments in Applying Accounting Policies</w:t>
            </w:r>
          </w:p>
          <w:p w14:paraId="6FC92A41" w14:textId="1457B7FC"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recoverable amounts of cash-generating units have been determined based on </w:t>
            </w:r>
            <w:r>
              <w:rPr>
                <w:color w:val="0000FF"/>
                <w:sz w:val="20"/>
                <w:szCs w:val="20"/>
              </w:rPr>
              <w:t xml:space="preserve">[value-in-use calculations. </w:t>
            </w:r>
            <w:r w:rsidRPr="00160220">
              <w:rPr>
                <w:color w:val="0000FF"/>
                <w:sz w:val="20"/>
                <w:szCs w:val="20"/>
              </w:rPr>
              <w:t>These calculations require the use of estimates as further detailed in the section “</w:t>
            </w:r>
            <w:r w:rsidRPr="00160220">
              <w:rPr>
                <w:i/>
                <w:color w:val="0000FF"/>
                <w:sz w:val="20"/>
                <w:szCs w:val="20"/>
              </w:rPr>
              <w:t xml:space="preserve">Goodwill Impairment Test </w:t>
            </w:r>
            <w:proofErr w:type="gramStart"/>
            <w:r w:rsidRPr="00160220">
              <w:rPr>
                <w:color w:val="0000FF"/>
                <w:sz w:val="20"/>
                <w:szCs w:val="20"/>
              </w:rPr>
              <w:t>“ below</w:t>
            </w:r>
            <w:proofErr w:type="gramEnd"/>
            <w:r>
              <w:rPr>
                <w:color w:val="0000FF"/>
                <w:sz w:val="20"/>
                <w:szCs w:val="20"/>
              </w:rPr>
              <w:t xml:space="preserve">.] </w:t>
            </w:r>
          </w:p>
          <w:p w14:paraId="087D0EE3" w14:textId="43E8D846" w:rsidR="008E5DE4" w:rsidRDefault="00780368" w:rsidP="00DA0EC1">
            <w:pPr>
              <w:widowControl w:val="0"/>
              <w:pBdr>
                <w:top w:val="nil"/>
                <w:left w:val="nil"/>
                <w:bottom w:val="nil"/>
                <w:right w:val="nil"/>
                <w:between w:val="nil"/>
              </w:pBdr>
              <w:spacing w:before="200" w:after="200"/>
              <w:jc w:val="both"/>
              <w:rPr>
                <w:i/>
                <w:color w:val="FF0000"/>
                <w:sz w:val="20"/>
                <w:szCs w:val="20"/>
              </w:rPr>
            </w:pPr>
            <w:r>
              <w:rPr>
                <w:b/>
                <w:i/>
                <w:color w:val="000000"/>
                <w:sz w:val="20"/>
                <w:szCs w:val="20"/>
              </w:rPr>
              <w:t>Growth rates and discount rates used in goodwill impairment calculations</w:t>
            </w:r>
            <w:r>
              <w:rPr>
                <w:color w:val="000000"/>
                <w:sz w:val="20"/>
                <w:szCs w:val="20"/>
              </w:rPr>
              <w:t xml:space="preserve">. </w:t>
            </w:r>
          </w:p>
          <w:p w14:paraId="40B0BDC2" w14:textId="77777777" w:rsidR="008E5DE4" w:rsidRDefault="008E5DE4">
            <w:pPr>
              <w:rPr>
                <w:b/>
                <w:i/>
                <w:sz w:val="20"/>
                <w:szCs w:val="20"/>
              </w:rPr>
            </w:pPr>
          </w:p>
        </w:tc>
      </w:tr>
    </w:tbl>
    <w:p w14:paraId="7BC4DD82" w14:textId="77777777" w:rsidR="008E5DE4" w:rsidRDefault="00780368">
      <w:pPr>
        <w:pageBreakBefore/>
        <w:pBdr>
          <w:top w:val="nil"/>
          <w:left w:val="nil"/>
          <w:bottom w:val="nil"/>
          <w:right w:val="nil"/>
          <w:between w:val="nil"/>
        </w:pBdr>
        <w:spacing w:after="240"/>
        <w:ind w:left="567" w:hanging="567"/>
        <w:jc w:val="both"/>
        <w:rPr>
          <w:rFonts w:ascii="Georgia" w:eastAsia="Georgia" w:hAnsi="Georgia" w:cs="Georgia"/>
          <w:b/>
          <w:color w:val="000000"/>
          <w:sz w:val="20"/>
          <w:szCs w:val="20"/>
        </w:rPr>
      </w:pPr>
      <w:r>
        <w:rPr>
          <w:b/>
          <w:color w:val="000000"/>
          <w:sz w:val="20"/>
          <w:szCs w:val="20"/>
        </w:rPr>
        <w:lastRenderedPageBreak/>
        <w:t>12</w:t>
      </w:r>
      <w:r>
        <w:rPr>
          <w:b/>
          <w:color w:val="000000"/>
          <w:sz w:val="20"/>
          <w:szCs w:val="20"/>
        </w:rPr>
        <w:tab/>
        <w:t>Goodwill (Continued)</w:t>
      </w:r>
    </w:p>
    <w:p w14:paraId="4A72AFC0"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Movements in goodwill arising on the acquisition of subsidiaries are:</w:t>
      </w:r>
    </w:p>
    <w:tbl>
      <w:tblPr>
        <w:tblStyle w:val="afff0"/>
        <w:tblW w:w="9355" w:type="dxa"/>
        <w:tblLayout w:type="fixed"/>
        <w:tblLook w:val="0000" w:firstRow="0" w:lastRow="0" w:firstColumn="0" w:lastColumn="0" w:noHBand="0" w:noVBand="0"/>
      </w:tblPr>
      <w:tblGrid>
        <w:gridCol w:w="5726"/>
        <w:gridCol w:w="567"/>
        <w:gridCol w:w="1531"/>
        <w:gridCol w:w="1531"/>
      </w:tblGrid>
      <w:tr w:rsidR="008E5DE4" w14:paraId="7B014C07" w14:textId="77777777">
        <w:trPr>
          <w:cantSplit/>
        </w:trPr>
        <w:tc>
          <w:tcPr>
            <w:tcW w:w="5726" w:type="dxa"/>
            <w:tcBorders>
              <w:bottom w:val="single" w:sz="4" w:space="0" w:color="000000"/>
            </w:tcBorders>
            <w:vAlign w:val="bottom"/>
          </w:tcPr>
          <w:p w14:paraId="2CCD2567"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567" w:type="dxa"/>
            <w:tcBorders>
              <w:bottom w:val="single" w:sz="4" w:space="0" w:color="000000"/>
            </w:tcBorders>
            <w:vAlign w:val="bottom"/>
          </w:tcPr>
          <w:p w14:paraId="5520B34A"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tcPr>
          <w:p w14:paraId="628AF3AD" w14:textId="247FD208" w:rsidR="008E5DE4" w:rsidRDefault="008614F8">
            <w:pPr>
              <w:widowControl w:val="0"/>
              <w:pBdr>
                <w:top w:val="nil"/>
                <w:left w:val="nil"/>
                <w:bottom w:val="nil"/>
                <w:right w:val="nil"/>
                <w:between w:val="nil"/>
              </w:pBdr>
              <w:ind w:left="-113"/>
              <w:jc w:val="right"/>
              <w:rPr>
                <w:b/>
                <w:color w:val="000000"/>
              </w:rPr>
            </w:pPr>
            <w:r>
              <w:rPr>
                <w:b/>
                <w:color w:val="000000"/>
              </w:rPr>
              <w:t>2025</w:t>
            </w:r>
          </w:p>
        </w:tc>
        <w:tc>
          <w:tcPr>
            <w:tcW w:w="1531" w:type="dxa"/>
            <w:tcBorders>
              <w:bottom w:val="single" w:sz="4" w:space="0" w:color="000000"/>
            </w:tcBorders>
          </w:tcPr>
          <w:p w14:paraId="07B30CDE" w14:textId="3718EA17" w:rsidR="008E5DE4" w:rsidRDefault="00FF468A">
            <w:pPr>
              <w:widowControl w:val="0"/>
              <w:pBdr>
                <w:top w:val="nil"/>
                <w:left w:val="nil"/>
                <w:bottom w:val="nil"/>
                <w:right w:val="nil"/>
                <w:between w:val="nil"/>
              </w:pBdr>
              <w:ind w:left="-113"/>
              <w:jc w:val="right"/>
              <w:rPr>
                <w:b/>
                <w:color w:val="000000"/>
              </w:rPr>
            </w:pPr>
            <w:r>
              <w:rPr>
                <w:b/>
                <w:color w:val="000000"/>
              </w:rPr>
              <w:t>2024</w:t>
            </w:r>
          </w:p>
        </w:tc>
      </w:tr>
      <w:tr w:rsidR="008E5DE4" w14:paraId="6ED92707" w14:textId="77777777">
        <w:trPr>
          <w:cantSplit/>
        </w:trPr>
        <w:tc>
          <w:tcPr>
            <w:tcW w:w="5726" w:type="dxa"/>
            <w:vAlign w:val="bottom"/>
          </w:tcPr>
          <w:p w14:paraId="7BCEAF43"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567" w:type="dxa"/>
            <w:vAlign w:val="bottom"/>
          </w:tcPr>
          <w:p w14:paraId="43268DF5"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920CA2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9F7B4A0" w14:textId="77777777" w:rsidR="008E5DE4" w:rsidRDefault="008E5DE4">
            <w:pPr>
              <w:widowControl w:val="0"/>
              <w:pBdr>
                <w:top w:val="nil"/>
                <w:left w:val="nil"/>
                <w:bottom w:val="nil"/>
                <w:right w:val="nil"/>
                <w:between w:val="nil"/>
              </w:pBdr>
              <w:jc w:val="right"/>
              <w:rPr>
                <w:b/>
                <w:color w:val="000000"/>
              </w:rPr>
            </w:pPr>
          </w:p>
        </w:tc>
      </w:tr>
      <w:tr w:rsidR="008E5DE4" w14:paraId="582ED7A2" w14:textId="77777777">
        <w:trPr>
          <w:cantSplit/>
        </w:trPr>
        <w:tc>
          <w:tcPr>
            <w:tcW w:w="5726" w:type="dxa"/>
            <w:vAlign w:val="bottom"/>
          </w:tcPr>
          <w:p w14:paraId="1BBB2DA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Gross book value </w:t>
            </w:r>
            <w:proofErr w:type="gramStart"/>
            <w:r>
              <w:rPr>
                <w:color w:val="000000"/>
              </w:rPr>
              <w:t>at</w:t>
            </w:r>
            <w:proofErr w:type="gramEnd"/>
            <w:r>
              <w:rPr>
                <w:color w:val="000000"/>
              </w:rPr>
              <w:t xml:space="preserve"> 1 January</w:t>
            </w:r>
          </w:p>
        </w:tc>
        <w:tc>
          <w:tcPr>
            <w:tcW w:w="567" w:type="dxa"/>
            <w:vAlign w:val="bottom"/>
          </w:tcPr>
          <w:p w14:paraId="76D25D8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F5A7D9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D913F1B" w14:textId="77777777" w:rsidR="008E5DE4" w:rsidRDefault="008E5DE4">
            <w:pPr>
              <w:widowControl w:val="0"/>
              <w:pBdr>
                <w:top w:val="nil"/>
                <w:left w:val="nil"/>
                <w:bottom w:val="nil"/>
                <w:right w:val="nil"/>
                <w:between w:val="nil"/>
              </w:pBdr>
              <w:jc w:val="right"/>
              <w:rPr>
                <w:color w:val="000000"/>
              </w:rPr>
            </w:pPr>
          </w:p>
        </w:tc>
      </w:tr>
      <w:tr w:rsidR="008E5DE4" w14:paraId="72BDE3F8" w14:textId="77777777">
        <w:trPr>
          <w:cantSplit/>
        </w:trPr>
        <w:tc>
          <w:tcPr>
            <w:tcW w:w="5726" w:type="dxa"/>
            <w:vAlign w:val="bottom"/>
          </w:tcPr>
          <w:p w14:paraId="1813401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Accumulated impairment losses </w:t>
            </w:r>
            <w:proofErr w:type="gramStart"/>
            <w:r>
              <w:rPr>
                <w:color w:val="000000"/>
              </w:rPr>
              <w:t>at</w:t>
            </w:r>
            <w:proofErr w:type="gramEnd"/>
            <w:r>
              <w:rPr>
                <w:color w:val="000000"/>
              </w:rPr>
              <w:t xml:space="preserve"> 1 January </w:t>
            </w:r>
          </w:p>
        </w:tc>
        <w:tc>
          <w:tcPr>
            <w:tcW w:w="567" w:type="dxa"/>
            <w:vAlign w:val="bottom"/>
          </w:tcPr>
          <w:p w14:paraId="358F5F5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8497F6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6A92A06" w14:textId="77777777" w:rsidR="008E5DE4" w:rsidRDefault="008E5DE4">
            <w:pPr>
              <w:widowControl w:val="0"/>
              <w:pBdr>
                <w:top w:val="nil"/>
                <w:left w:val="nil"/>
                <w:bottom w:val="nil"/>
                <w:right w:val="nil"/>
                <w:between w:val="nil"/>
              </w:pBdr>
              <w:jc w:val="right"/>
              <w:rPr>
                <w:color w:val="000000"/>
              </w:rPr>
            </w:pPr>
          </w:p>
        </w:tc>
      </w:tr>
      <w:tr w:rsidR="008E5DE4" w14:paraId="4E896C3E" w14:textId="77777777">
        <w:trPr>
          <w:cantSplit/>
        </w:trPr>
        <w:tc>
          <w:tcPr>
            <w:tcW w:w="5726" w:type="dxa"/>
            <w:tcBorders>
              <w:bottom w:val="single" w:sz="4" w:space="0" w:color="000000"/>
            </w:tcBorders>
            <w:vAlign w:val="bottom"/>
          </w:tcPr>
          <w:p w14:paraId="79DF9F58"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bottom w:val="single" w:sz="4" w:space="0" w:color="000000"/>
            </w:tcBorders>
            <w:vAlign w:val="bottom"/>
          </w:tcPr>
          <w:p w14:paraId="12F0F5B9"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410F6C56"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07BBE694" w14:textId="77777777" w:rsidR="008E5DE4" w:rsidRDefault="008E5DE4">
            <w:pPr>
              <w:widowControl w:val="0"/>
              <w:pBdr>
                <w:top w:val="nil"/>
                <w:left w:val="nil"/>
                <w:bottom w:val="nil"/>
                <w:right w:val="nil"/>
                <w:between w:val="nil"/>
              </w:pBdr>
              <w:jc w:val="right"/>
              <w:rPr>
                <w:color w:val="000000"/>
              </w:rPr>
            </w:pPr>
          </w:p>
        </w:tc>
      </w:tr>
      <w:tr w:rsidR="008E5DE4" w14:paraId="0A730526" w14:textId="77777777">
        <w:trPr>
          <w:cantSplit/>
        </w:trPr>
        <w:tc>
          <w:tcPr>
            <w:tcW w:w="5726" w:type="dxa"/>
            <w:tcBorders>
              <w:top w:val="single" w:sz="4" w:space="0" w:color="000000"/>
            </w:tcBorders>
            <w:vAlign w:val="bottom"/>
          </w:tcPr>
          <w:p w14:paraId="090A745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top w:val="single" w:sz="4" w:space="0" w:color="000000"/>
            </w:tcBorders>
            <w:vAlign w:val="bottom"/>
          </w:tcPr>
          <w:p w14:paraId="711F1EED"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51F24FB3"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7E86B8E" w14:textId="77777777" w:rsidR="008E5DE4" w:rsidRDefault="008E5DE4">
            <w:pPr>
              <w:widowControl w:val="0"/>
              <w:pBdr>
                <w:top w:val="nil"/>
                <w:left w:val="nil"/>
                <w:bottom w:val="nil"/>
                <w:right w:val="nil"/>
                <w:between w:val="nil"/>
              </w:pBdr>
              <w:jc w:val="right"/>
              <w:rPr>
                <w:color w:val="000000"/>
              </w:rPr>
            </w:pPr>
          </w:p>
        </w:tc>
      </w:tr>
      <w:tr w:rsidR="008E5DE4" w14:paraId="4663DD05" w14:textId="77777777">
        <w:trPr>
          <w:cantSplit/>
        </w:trPr>
        <w:tc>
          <w:tcPr>
            <w:tcW w:w="5726" w:type="dxa"/>
            <w:vAlign w:val="bottom"/>
          </w:tcPr>
          <w:p w14:paraId="79993F1E"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1 January</w:t>
            </w:r>
          </w:p>
        </w:tc>
        <w:tc>
          <w:tcPr>
            <w:tcW w:w="567" w:type="dxa"/>
            <w:vAlign w:val="bottom"/>
          </w:tcPr>
          <w:p w14:paraId="07176A92"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28602281"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B1882F0" w14:textId="77777777" w:rsidR="008E5DE4" w:rsidRDefault="008E5DE4">
            <w:pPr>
              <w:widowControl w:val="0"/>
              <w:pBdr>
                <w:top w:val="nil"/>
                <w:left w:val="nil"/>
                <w:bottom w:val="nil"/>
                <w:right w:val="nil"/>
                <w:between w:val="nil"/>
              </w:pBdr>
              <w:jc w:val="right"/>
              <w:rPr>
                <w:b/>
                <w:color w:val="000000"/>
              </w:rPr>
            </w:pPr>
          </w:p>
        </w:tc>
      </w:tr>
      <w:tr w:rsidR="008E5DE4" w14:paraId="22B8BD1A" w14:textId="77777777">
        <w:trPr>
          <w:cantSplit/>
        </w:trPr>
        <w:tc>
          <w:tcPr>
            <w:tcW w:w="5726" w:type="dxa"/>
            <w:vAlign w:val="bottom"/>
          </w:tcPr>
          <w:p w14:paraId="0022ECA0"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vAlign w:val="bottom"/>
          </w:tcPr>
          <w:p w14:paraId="56DC6780"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07B8E3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F0CA23B" w14:textId="77777777" w:rsidR="008E5DE4" w:rsidRDefault="008E5DE4">
            <w:pPr>
              <w:widowControl w:val="0"/>
              <w:pBdr>
                <w:top w:val="nil"/>
                <w:left w:val="nil"/>
                <w:bottom w:val="nil"/>
                <w:right w:val="nil"/>
                <w:between w:val="nil"/>
              </w:pBdr>
              <w:jc w:val="right"/>
              <w:rPr>
                <w:color w:val="000000"/>
              </w:rPr>
            </w:pPr>
          </w:p>
        </w:tc>
      </w:tr>
      <w:tr w:rsidR="008E5DE4" w14:paraId="09B41999" w14:textId="77777777">
        <w:trPr>
          <w:cantSplit/>
        </w:trPr>
        <w:tc>
          <w:tcPr>
            <w:tcW w:w="5726" w:type="dxa"/>
            <w:vAlign w:val="bottom"/>
          </w:tcPr>
          <w:p w14:paraId="243B581A" w14:textId="77777777" w:rsidR="008E5DE4" w:rsidRDefault="00780368">
            <w:pPr>
              <w:widowControl w:val="0"/>
              <w:pBdr>
                <w:top w:val="nil"/>
                <w:left w:val="nil"/>
                <w:bottom w:val="nil"/>
                <w:right w:val="nil"/>
                <w:between w:val="nil"/>
              </w:pBdr>
              <w:ind w:left="113" w:right="-57" w:hanging="113"/>
              <w:rPr>
                <w:color w:val="000000"/>
              </w:rPr>
            </w:pPr>
            <w:r>
              <w:rPr>
                <w:color w:val="000000"/>
              </w:rPr>
              <w:t>Acquisition of subsidiary</w:t>
            </w:r>
          </w:p>
        </w:tc>
        <w:tc>
          <w:tcPr>
            <w:tcW w:w="567" w:type="dxa"/>
            <w:vAlign w:val="bottom"/>
          </w:tcPr>
          <w:p w14:paraId="13AFA621" w14:textId="77777777" w:rsidR="008E5DE4" w:rsidRDefault="00780368">
            <w:pPr>
              <w:widowControl w:val="0"/>
              <w:pBdr>
                <w:top w:val="nil"/>
                <w:left w:val="nil"/>
                <w:bottom w:val="nil"/>
                <w:right w:val="nil"/>
                <w:between w:val="nil"/>
              </w:pBdr>
              <w:ind w:left="-57" w:right="-57"/>
              <w:jc w:val="center"/>
              <w:rPr>
                <w:color w:val="000000"/>
              </w:rPr>
            </w:pPr>
            <w:r>
              <w:rPr>
                <w:color w:val="000000"/>
              </w:rPr>
              <w:t>50</w:t>
            </w:r>
          </w:p>
        </w:tc>
        <w:tc>
          <w:tcPr>
            <w:tcW w:w="1531" w:type="dxa"/>
            <w:vAlign w:val="bottom"/>
          </w:tcPr>
          <w:p w14:paraId="5484FAC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C96A13B" w14:textId="77777777" w:rsidR="008E5DE4" w:rsidRDefault="008E5DE4">
            <w:pPr>
              <w:widowControl w:val="0"/>
              <w:pBdr>
                <w:top w:val="nil"/>
                <w:left w:val="nil"/>
                <w:bottom w:val="nil"/>
                <w:right w:val="nil"/>
                <w:between w:val="nil"/>
              </w:pBdr>
              <w:jc w:val="right"/>
              <w:rPr>
                <w:color w:val="000000"/>
              </w:rPr>
            </w:pPr>
          </w:p>
        </w:tc>
      </w:tr>
      <w:tr w:rsidR="008E5DE4" w14:paraId="567A11A1" w14:textId="77777777">
        <w:trPr>
          <w:cantSplit/>
        </w:trPr>
        <w:tc>
          <w:tcPr>
            <w:tcW w:w="5726" w:type="dxa"/>
            <w:vAlign w:val="bottom"/>
          </w:tcPr>
          <w:p w14:paraId="5D46A8CB" w14:textId="77777777" w:rsidR="008E5DE4" w:rsidRDefault="00780368">
            <w:pPr>
              <w:widowControl w:val="0"/>
              <w:pBdr>
                <w:top w:val="nil"/>
                <w:left w:val="nil"/>
                <w:bottom w:val="nil"/>
                <w:right w:val="nil"/>
                <w:between w:val="nil"/>
              </w:pBdr>
              <w:ind w:left="113" w:right="-57" w:hanging="113"/>
              <w:rPr>
                <w:color w:val="000000"/>
              </w:rPr>
            </w:pPr>
            <w:r>
              <w:rPr>
                <w:color w:val="000000"/>
              </w:rPr>
              <w:t>Transfer to non-current assets held for sale (or disposal groups)</w:t>
            </w:r>
          </w:p>
        </w:tc>
        <w:tc>
          <w:tcPr>
            <w:tcW w:w="567" w:type="dxa"/>
            <w:vAlign w:val="bottom"/>
          </w:tcPr>
          <w:p w14:paraId="7AC66602" w14:textId="77777777" w:rsidR="008E5DE4" w:rsidRDefault="00780368">
            <w:pPr>
              <w:widowControl w:val="0"/>
              <w:pBdr>
                <w:top w:val="nil"/>
                <w:left w:val="nil"/>
                <w:bottom w:val="nil"/>
                <w:right w:val="nil"/>
                <w:between w:val="nil"/>
              </w:pBdr>
              <w:ind w:left="-57" w:right="-57"/>
              <w:jc w:val="center"/>
              <w:rPr>
                <w:color w:val="000000"/>
              </w:rPr>
            </w:pPr>
            <w:r>
              <w:rPr>
                <w:color w:val="000000"/>
              </w:rPr>
              <w:t>25</w:t>
            </w:r>
          </w:p>
        </w:tc>
        <w:tc>
          <w:tcPr>
            <w:tcW w:w="1531" w:type="dxa"/>
            <w:vAlign w:val="bottom"/>
          </w:tcPr>
          <w:p w14:paraId="28445B0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1640E00" w14:textId="77777777" w:rsidR="008E5DE4" w:rsidRDefault="008E5DE4">
            <w:pPr>
              <w:widowControl w:val="0"/>
              <w:pBdr>
                <w:top w:val="nil"/>
                <w:left w:val="nil"/>
                <w:bottom w:val="nil"/>
                <w:right w:val="nil"/>
                <w:between w:val="nil"/>
              </w:pBdr>
              <w:jc w:val="right"/>
              <w:rPr>
                <w:color w:val="000000"/>
              </w:rPr>
            </w:pPr>
          </w:p>
        </w:tc>
      </w:tr>
      <w:tr w:rsidR="008E5DE4" w14:paraId="1FAAC1DB" w14:textId="77777777">
        <w:trPr>
          <w:cantSplit/>
        </w:trPr>
        <w:tc>
          <w:tcPr>
            <w:tcW w:w="5726" w:type="dxa"/>
            <w:vAlign w:val="bottom"/>
          </w:tcPr>
          <w:p w14:paraId="24034274" w14:textId="77777777" w:rsidR="008E5DE4" w:rsidRDefault="00780368">
            <w:pPr>
              <w:widowControl w:val="0"/>
              <w:pBdr>
                <w:top w:val="nil"/>
                <w:left w:val="nil"/>
                <w:bottom w:val="nil"/>
                <w:right w:val="nil"/>
                <w:between w:val="nil"/>
              </w:pBdr>
              <w:ind w:left="113" w:right="-57" w:hanging="113"/>
              <w:rPr>
                <w:color w:val="000000"/>
              </w:rPr>
            </w:pPr>
            <w:r>
              <w:rPr>
                <w:color w:val="000000"/>
              </w:rPr>
              <w:t>Disposal of subsidiary</w:t>
            </w:r>
          </w:p>
        </w:tc>
        <w:tc>
          <w:tcPr>
            <w:tcW w:w="567" w:type="dxa"/>
            <w:vAlign w:val="bottom"/>
          </w:tcPr>
          <w:p w14:paraId="2C19245F"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B952E3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51C09A5" w14:textId="77777777" w:rsidR="008E5DE4" w:rsidRDefault="008E5DE4">
            <w:pPr>
              <w:widowControl w:val="0"/>
              <w:pBdr>
                <w:top w:val="nil"/>
                <w:left w:val="nil"/>
                <w:bottom w:val="nil"/>
                <w:right w:val="nil"/>
                <w:between w:val="nil"/>
              </w:pBdr>
              <w:jc w:val="right"/>
              <w:rPr>
                <w:color w:val="000000"/>
              </w:rPr>
            </w:pPr>
          </w:p>
        </w:tc>
      </w:tr>
      <w:tr w:rsidR="008E5DE4" w14:paraId="29B3F6AF" w14:textId="77777777">
        <w:trPr>
          <w:cantSplit/>
        </w:trPr>
        <w:tc>
          <w:tcPr>
            <w:tcW w:w="5726" w:type="dxa"/>
            <w:vAlign w:val="bottom"/>
          </w:tcPr>
          <w:p w14:paraId="74DBA9E6" w14:textId="77777777" w:rsidR="008E5DE4" w:rsidRDefault="00780368">
            <w:pPr>
              <w:widowControl w:val="0"/>
              <w:pBdr>
                <w:top w:val="nil"/>
                <w:left w:val="nil"/>
                <w:bottom w:val="nil"/>
                <w:right w:val="nil"/>
                <w:between w:val="nil"/>
              </w:pBdr>
              <w:ind w:left="113" w:right="-57" w:hanging="113"/>
              <w:rPr>
                <w:color w:val="000000"/>
              </w:rPr>
            </w:pPr>
            <w:r>
              <w:rPr>
                <w:color w:val="000000"/>
              </w:rPr>
              <w:t>Impairment loss</w:t>
            </w:r>
          </w:p>
        </w:tc>
        <w:tc>
          <w:tcPr>
            <w:tcW w:w="567" w:type="dxa"/>
            <w:vAlign w:val="bottom"/>
          </w:tcPr>
          <w:p w14:paraId="2A11D75D" w14:textId="77777777" w:rsidR="008E5DE4" w:rsidRDefault="00780368">
            <w:pPr>
              <w:widowControl w:val="0"/>
              <w:pBdr>
                <w:top w:val="nil"/>
                <w:left w:val="nil"/>
                <w:bottom w:val="nil"/>
                <w:right w:val="nil"/>
                <w:between w:val="nil"/>
              </w:pBdr>
              <w:ind w:left="-57" w:right="-57"/>
              <w:jc w:val="center"/>
              <w:rPr>
                <w:color w:val="000000"/>
              </w:rPr>
            </w:pPr>
            <w:r>
              <w:rPr>
                <w:color w:val="000000"/>
              </w:rPr>
              <w:t>36</w:t>
            </w:r>
          </w:p>
        </w:tc>
        <w:tc>
          <w:tcPr>
            <w:tcW w:w="1531" w:type="dxa"/>
            <w:vAlign w:val="bottom"/>
          </w:tcPr>
          <w:p w14:paraId="097FD98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8C932F1" w14:textId="77777777" w:rsidR="008E5DE4" w:rsidRDefault="008E5DE4">
            <w:pPr>
              <w:widowControl w:val="0"/>
              <w:pBdr>
                <w:top w:val="nil"/>
                <w:left w:val="nil"/>
                <w:bottom w:val="nil"/>
                <w:right w:val="nil"/>
                <w:between w:val="nil"/>
              </w:pBdr>
              <w:jc w:val="right"/>
              <w:rPr>
                <w:color w:val="000000"/>
              </w:rPr>
            </w:pPr>
          </w:p>
        </w:tc>
      </w:tr>
      <w:tr w:rsidR="008E5DE4" w14:paraId="1231BFCE" w14:textId="77777777">
        <w:trPr>
          <w:cantSplit/>
        </w:trPr>
        <w:tc>
          <w:tcPr>
            <w:tcW w:w="5726" w:type="dxa"/>
            <w:vAlign w:val="bottom"/>
          </w:tcPr>
          <w:p w14:paraId="780B54B6" w14:textId="77777777" w:rsidR="008E5DE4" w:rsidRDefault="00780368">
            <w:pPr>
              <w:widowControl w:val="0"/>
              <w:pBdr>
                <w:top w:val="nil"/>
                <w:left w:val="nil"/>
                <w:bottom w:val="nil"/>
                <w:right w:val="nil"/>
                <w:between w:val="nil"/>
              </w:pBdr>
              <w:ind w:left="113" w:right="-57" w:hanging="113"/>
              <w:rPr>
                <w:color w:val="0000FF"/>
              </w:rPr>
            </w:pPr>
            <w:r>
              <w:rPr>
                <w:color w:val="0000FF"/>
              </w:rPr>
              <w:t>[Effect of translation to presentation currency]</w:t>
            </w:r>
          </w:p>
        </w:tc>
        <w:tc>
          <w:tcPr>
            <w:tcW w:w="567" w:type="dxa"/>
            <w:vAlign w:val="bottom"/>
          </w:tcPr>
          <w:p w14:paraId="65BDD2B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E496F0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23624E2" w14:textId="77777777" w:rsidR="008E5DE4" w:rsidRDefault="008E5DE4">
            <w:pPr>
              <w:widowControl w:val="0"/>
              <w:pBdr>
                <w:top w:val="nil"/>
                <w:left w:val="nil"/>
                <w:bottom w:val="nil"/>
                <w:right w:val="nil"/>
                <w:between w:val="nil"/>
              </w:pBdr>
              <w:jc w:val="right"/>
              <w:rPr>
                <w:color w:val="000000"/>
              </w:rPr>
            </w:pPr>
          </w:p>
        </w:tc>
      </w:tr>
      <w:tr w:rsidR="008E5DE4" w14:paraId="45582804" w14:textId="77777777">
        <w:trPr>
          <w:cantSplit/>
        </w:trPr>
        <w:tc>
          <w:tcPr>
            <w:tcW w:w="5726" w:type="dxa"/>
            <w:vAlign w:val="bottom"/>
          </w:tcPr>
          <w:p w14:paraId="1998032D" w14:textId="77777777" w:rsidR="008E5DE4" w:rsidRDefault="00780368">
            <w:pPr>
              <w:widowControl w:val="0"/>
              <w:pBdr>
                <w:top w:val="nil"/>
                <w:left w:val="nil"/>
                <w:bottom w:val="nil"/>
                <w:right w:val="nil"/>
                <w:between w:val="nil"/>
              </w:pBdr>
              <w:ind w:left="113" w:right="-57" w:hanging="113"/>
              <w:rPr>
                <w:color w:val="000000"/>
              </w:rPr>
            </w:pPr>
            <w:r>
              <w:rPr>
                <w:color w:val="000000"/>
              </w:rPr>
              <w:t>Other</w:t>
            </w:r>
          </w:p>
        </w:tc>
        <w:tc>
          <w:tcPr>
            <w:tcW w:w="567" w:type="dxa"/>
            <w:vAlign w:val="bottom"/>
          </w:tcPr>
          <w:p w14:paraId="77BE97C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5D2BE7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0E17BD3" w14:textId="77777777" w:rsidR="008E5DE4" w:rsidRDefault="008E5DE4">
            <w:pPr>
              <w:widowControl w:val="0"/>
              <w:pBdr>
                <w:top w:val="nil"/>
                <w:left w:val="nil"/>
                <w:bottom w:val="nil"/>
                <w:right w:val="nil"/>
                <w:between w:val="nil"/>
              </w:pBdr>
              <w:jc w:val="right"/>
              <w:rPr>
                <w:color w:val="000000"/>
              </w:rPr>
            </w:pPr>
          </w:p>
        </w:tc>
      </w:tr>
      <w:tr w:rsidR="008E5DE4" w14:paraId="1D68E100" w14:textId="77777777">
        <w:trPr>
          <w:cantSplit/>
        </w:trPr>
        <w:tc>
          <w:tcPr>
            <w:tcW w:w="5726" w:type="dxa"/>
            <w:tcBorders>
              <w:bottom w:val="single" w:sz="4" w:space="0" w:color="000000"/>
            </w:tcBorders>
            <w:vAlign w:val="bottom"/>
          </w:tcPr>
          <w:p w14:paraId="6203FD8A" w14:textId="77777777" w:rsidR="008E5DE4" w:rsidRDefault="00780368">
            <w:pPr>
              <w:widowControl w:val="0"/>
              <w:ind w:left="113" w:right="-57" w:hanging="113"/>
            </w:pPr>
            <w:r>
              <w:t> </w:t>
            </w:r>
          </w:p>
        </w:tc>
        <w:tc>
          <w:tcPr>
            <w:tcW w:w="567" w:type="dxa"/>
            <w:tcBorders>
              <w:bottom w:val="single" w:sz="4" w:space="0" w:color="000000"/>
            </w:tcBorders>
            <w:vAlign w:val="bottom"/>
          </w:tcPr>
          <w:p w14:paraId="4E227A0A"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1BB0A27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62562225" w14:textId="77777777" w:rsidR="008E5DE4" w:rsidRDefault="008E5DE4">
            <w:pPr>
              <w:widowControl w:val="0"/>
              <w:pBdr>
                <w:top w:val="nil"/>
                <w:left w:val="nil"/>
                <w:bottom w:val="nil"/>
                <w:right w:val="nil"/>
                <w:between w:val="nil"/>
              </w:pBdr>
              <w:jc w:val="right"/>
              <w:rPr>
                <w:color w:val="000000"/>
              </w:rPr>
            </w:pPr>
          </w:p>
        </w:tc>
      </w:tr>
      <w:tr w:rsidR="008E5DE4" w14:paraId="127F8690" w14:textId="77777777">
        <w:trPr>
          <w:cantSplit/>
        </w:trPr>
        <w:tc>
          <w:tcPr>
            <w:tcW w:w="5726" w:type="dxa"/>
            <w:tcBorders>
              <w:top w:val="single" w:sz="4" w:space="0" w:color="000000"/>
            </w:tcBorders>
            <w:vAlign w:val="bottom"/>
          </w:tcPr>
          <w:p w14:paraId="5B8C84A1" w14:textId="77777777" w:rsidR="008E5DE4" w:rsidRDefault="00780368">
            <w:pPr>
              <w:widowControl w:val="0"/>
              <w:ind w:left="113" w:right="-57" w:hanging="113"/>
            </w:pPr>
            <w:r>
              <w:t> </w:t>
            </w:r>
          </w:p>
        </w:tc>
        <w:tc>
          <w:tcPr>
            <w:tcW w:w="567" w:type="dxa"/>
            <w:tcBorders>
              <w:top w:val="single" w:sz="4" w:space="0" w:color="000000"/>
            </w:tcBorders>
            <w:vAlign w:val="bottom"/>
          </w:tcPr>
          <w:p w14:paraId="38C90734"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13263341"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3B890487" w14:textId="77777777" w:rsidR="008E5DE4" w:rsidRDefault="008E5DE4">
            <w:pPr>
              <w:widowControl w:val="0"/>
              <w:pBdr>
                <w:top w:val="nil"/>
                <w:left w:val="nil"/>
                <w:bottom w:val="nil"/>
                <w:right w:val="nil"/>
                <w:between w:val="nil"/>
              </w:pBdr>
              <w:jc w:val="right"/>
              <w:rPr>
                <w:color w:val="000000"/>
              </w:rPr>
            </w:pPr>
          </w:p>
        </w:tc>
      </w:tr>
      <w:tr w:rsidR="008E5DE4" w14:paraId="4D2D8C22" w14:textId="77777777">
        <w:trPr>
          <w:cantSplit/>
        </w:trPr>
        <w:tc>
          <w:tcPr>
            <w:tcW w:w="5726" w:type="dxa"/>
            <w:vAlign w:val="bottom"/>
          </w:tcPr>
          <w:p w14:paraId="4159FBC8" w14:textId="77777777" w:rsidR="008E5DE4" w:rsidRDefault="00780368">
            <w:pPr>
              <w:widowControl w:val="0"/>
              <w:ind w:left="113" w:right="-57" w:hanging="113"/>
              <w:rPr>
                <w:b/>
              </w:rPr>
            </w:pPr>
            <w:r>
              <w:rPr>
                <w:b/>
              </w:rPr>
              <w:t xml:space="preserve">Carrying amount </w:t>
            </w:r>
            <w:proofErr w:type="gramStart"/>
            <w:r>
              <w:rPr>
                <w:b/>
              </w:rPr>
              <w:t>at</w:t>
            </w:r>
            <w:proofErr w:type="gramEnd"/>
            <w:r>
              <w:rPr>
                <w:b/>
              </w:rPr>
              <w:t xml:space="preserve"> 31 December </w:t>
            </w:r>
          </w:p>
        </w:tc>
        <w:tc>
          <w:tcPr>
            <w:tcW w:w="567" w:type="dxa"/>
            <w:vAlign w:val="bottom"/>
          </w:tcPr>
          <w:p w14:paraId="341D0DB6"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59A3C1B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A4BE8C3" w14:textId="77777777" w:rsidR="008E5DE4" w:rsidRDefault="008E5DE4">
            <w:pPr>
              <w:widowControl w:val="0"/>
              <w:pBdr>
                <w:top w:val="nil"/>
                <w:left w:val="nil"/>
                <w:bottom w:val="nil"/>
                <w:right w:val="nil"/>
                <w:between w:val="nil"/>
              </w:pBdr>
              <w:jc w:val="right"/>
              <w:rPr>
                <w:b/>
                <w:color w:val="000000"/>
              </w:rPr>
            </w:pPr>
          </w:p>
        </w:tc>
      </w:tr>
      <w:tr w:rsidR="008E5DE4" w14:paraId="1D7A05B7" w14:textId="77777777">
        <w:trPr>
          <w:cantSplit/>
        </w:trPr>
        <w:tc>
          <w:tcPr>
            <w:tcW w:w="5726" w:type="dxa"/>
            <w:tcBorders>
              <w:bottom w:val="single" w:sz="12" w:space="0" w:color="000000"/>
            </w:tcBorders>
            <w:vAlign w:val="bottom"/>
          </w:tcPr>
          <w:p w14:paraId="6765C19A" w14:textId="77777777" w:rsidR="008E5DE4" w:rsidRDefault="00780368">
            <w:pPr>
              <w:widowControl w:val="0"/>
              <w:ind w:left="113" w:right="-57" w:hanging="113"/>
            </w:pPr>
            <w:r>
              <w:t> </w:t>
            </w:r>
          </w:p>
        </w:tc>
        <w:tc>
          <w:tcPr>
            <w:tcW w:w="567" w:type="dxa"/>
            <w:tcBorders>
              <w:bottom w:val="single" w:sz="12" w:space="0" w:color="000000"/>
            </w:tcBorders>
            <w:vAlign w:val="bottom"/>
          </w:tcPr>
          <w:p w14:paraId="45C11533"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1B5720B8"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788EE87D" w14:textId="77777777" w:rsidR="008E5DE4" w:rsidRDefault="008E5DE4">
            <w:pPr>
              <w:widowControl w:val="0"/>
              <w:pBdr>
                <w:top w:val="nil"/>
                <w:left w:val="nil"/>
                <w:bottom w:val="nil"/>
                <w:right w:val="nil"/>
                <w:between w:val="nil"/>
              </w:pBdr>
              <w:jc w:val="right"/>
              <w:rPr>
                <w:color w:val="000000"/>
              </w:rPr>
            </w:pPr>
          </w:p>
        </w:tc>
      </w:tr>
      <w:tr w:rsidR="008E5DE4" w14:paraId="620B95E2" w14:textId="77777777">
        <w:trPr>
          <w:cantSplit/>
        </w:trPr>
        <w:tc>
          <w:tcPr>
            <w:tcW w:w="5726" w:type="dxa"/>
            <w:tcBorders>
              <w:top w:val="single" w:sz="12" w:space="0" w:color="000000"/>
            </w:tcBorders>
            <w:vAlign w:val="bottom"/>
          </w:tcPr>
          <w:p w14:paraId="6D39EC29" w14:textId="77777777" w:rsidR="008E5DE4" w:rsidRDefault="00780368">
            <w:pPr>
              <w:widowControl w:val="0"/>
              <w:ind w:left="113" w:right="-57" w:hanging="113"/>
            </w:pPr>
            <w:r>
              <w:t> </w:t>
            </w:r>
          </w:p>
        </w:tc>
        <w:tc>
          <w:tcPr>
            <w:tcW w:w="567" w:type="dxa"/>
            <w:tcBorders>
              <w:top w:val="single" w:sz="12" w:space="0" w:color="000000"/>
            </w:tcBorders>
            <w:vAlign w:val="bottom"/>
          </w:tcPr>
          <w:p w14:paraId="6225C0F3"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12" w:space="0" w:color="000000"/>
            </w:tcBorders>
            <w:vAlign w:val="bottom"/>
          </w:tcPr>
          <w:p w14:paraId="5D68256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12" w:space="0" w:color="000000"/>
            </w:tcBorders>
            <w:vAlign w:val="bottom"/>
          </w:tcPr>
          <w:p w14:paraId="7F6F0B25" w14:textId="77777777" w:rsidR="008E5DE4" w:rsidRDefault="008E5DE4">
            <w:pPr>
              <w:widowControl w:val="0"/>
              <w:pBdr>
                <w:top w:val="nil"/>
                <w:left w:val="nil"/>
                <w:bottom w:val="nil"/>
                <w:right w:val="nil"/>
                <w:between w:val="nil"/>
              </w:pBdr>
              <w:jc w:val="right"/>
              <w:rPr>
                <w:color w:val="000000"/>
              </w:rPr>
            </w:pPr>
          </w:p>
        </w:tc>
      </w:tr>
      <w:tr w:rsidR="008E5DE4" w14:paraId="2F8E8718" w14:textId="77777777">
        <w:trPr>
          <w:cantSplit/>
        </w:trPr>
        <w:tc>
          <w:tcPr>
            <w:tcW w:w="5726" w:type="dxa"/>
            <w:vAlign w:val="bottom"/>
          </w:tcPr>
          <w:p w14:paraId="7181DA4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Gross book value </w:t>
            </w:r>
            <w:proofErr w:type="gramStart"/>
            <w:r>
              <w:rPr>
                <w:color w:val="000000"/>
              </w:rPr>
              <w:t>at</w:t>
            </w:r>
            <w:proofErr w:type="gramEnd"/>
            <w:r>
              <w:rPr>
                <w:color w:val="000000"/>
              </w:rPr>
              <w:t xml:space="preserve"> 31 December </w:t>
            </w:r>
          </w:p>
        </w:tc>
        <w:tc>
          <w:tcPr>
            <w:tcW w:w="567" w:type="dxa"/>
            <w:vAlign w:val="bottom"/>
          </w:tcPr>
          <w:p w14:paraId="1DA024E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3B4412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53363F5" w14:textId="77777777" w:rsidR="008E5DE4" w:rsidRDefault="008E5DE4">
            <w:pPr>
              <w:widowControl w:val="0"/>
              <w:pBdr>
                <w:top w:val="nil"/>
                <w:left w:val="nil"/>
                <w:bottom w:val="nil"/>
                <w:right w:val="nil"/>
                <w:between w:val="nil"/>
              </w:pBdr>
              <w:jc w:val="right"/>
              <w:rPr>
                <w:color w:val="000000"/>
              </w:rPr>
            </w:pPr>
          </w:p>
        </w:tc>
      </w:tr>
      <w:tr w:rsidR="008E5DE4" w14:paraId="68E3BAE8" w14:textId="77777777">
        <w:trPr>
          <w:cantSplit/>
        </w:trPr>
        <w:tc>
          <w:tcPr>
            <w:tcW w:w="5726" w:type="dxa"/>
            <w:vAlign w:val="bottom"/>
          </w:tcPr>
          <w:p w14:paraId="09E17C70"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Accumulated impairment losses </w:t>
            </w:r>
            <w:proofErr w:type="gramStart"/>
            <w:r>
              <w:rPr>
                <w:color w:val="000000"/>
              </w:rPr>
              <w:t>at</w:t>
            </w:r>
            <w:proofErr w:type="gramEnd"/>
            <w:r>
              <w:rPr>
                <w:color w:val="000000"/>
              </w:rPr>
              <w:t xml:space="preserve"> 31 December </w:t>
            </w:r>
          </w:p>
        </w:tc>
        <w:tc>
          <w:tcPr>
            <w:tcW w:w="567" w:type="dxa"/>
            <w:vAlign w:val="bottom"/>
          </w:tcPr>
          <w:p w14:paraId="2A6F8A90"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42380C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110B45A" w14:textId="77777777" w:rsidR="008E5DE4" w:rsidRDefault="008E5DE4">
            <w:pPr>
              <w:widowControl w:val="0"/>
              <w:pBdr>
                <w:top w:val="nil"/>
                <w:left w:val="nil"/>
                <w:bottom w:val="nil"/>
                <w:right w:val="nil"/>
                <w:between w:val="nil"/>
              </w:pBdr>
              <w:jc w:val="right"/>
              <w:rPr>
                <w:color w:val="000000"/>
              </w:rPr>
            </w:pPr>
          </w:p>
        </w:tc>
      </w:tr>
      <w:tr w:rsidR="008E5DE4" w14:paraId="3149905F" w14:textId="77777777">
        <w:trPr>
          <w:cantSplit/>
        </w:trPr>
        <w:tc>
          <w:tcPr>
            <w:tcW w:w="5726" w:type="dxa"/>
            <w:tcBorders>
              <w:bottom w:val="single" w:sz="4" w:space="0" w:color="000000"/>
            </w:tcBorders>
            <w:vAlign w:val="bottom"/>
          </w:tcPr>
          <w:p w14:paraId="03864AC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bottom w:val="single" w:sz="4" w:space="0" w:color="000000"/>
            </w:tcBorders>
            <w:vAlign w:val="bottom"/>
          </w:tcPr>
          <w:p w14:paraId="51F038E5"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07C3794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7110EC63" w14:textId="77777777" w:rsidR="008E5DE4" w:rsidRDefault="008E5DE4">
            <w:pPr>
              <w:widowControl w:val="0"/>
              <w:pBdr>
                <w:top w:val="nil"/>
                <w:left w:val="nil"/>
                <w:bottom w:val="nil"/>
                <w:right w:val="nil"/>
                <w:between w:val="nil"/>
              </w:pBdr>
              <w:jc w:val="right"/>
              <w:rPr>
                <w:color w:val="000000"/>
              </w:rPr>
            </w:pPr>
          </w:p>
        </w:tc>
      </w:tr>
      <w:tr w:rsidR="008E5DE4" w14:paraId="63A14035" w14:textId="77777777">
        <w:trPr>
          <w:cantSplit/>
        </w:trPr>
        <w:tc>
          <w:tcPr>
            <w:tcW w:w="5726" w:type="dxa"/>
            <w:vAlign w:val="bottom"/>
          </w:tcPr>
          <w:p w14:paraId="6E345078" w14:textId="77777777" w:rsidR="008E5DE4" w:rsidRDefault="00780368">
            <w:pPr>
              <w:widowControl w:val="0"/>
              <w:ind w:left="113" w:right="-57" w:hanging="113"/>
            </w:pPr>
            <w:r>
              <w:t> </w:t>
            </w:r>
          </w:p>
        </w:tc>
        <w:tc>
          <w:tcPr>
            <w:tcW w:w="567" w:type="dxa"/>
            <w:vAlign w:val="bottom"/>
          </w:tcPr>
          <w:p w14:paraId="6800022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35E939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E51CFE4" w14:textId="77777777" w:rsidR="008E5DE4" w:rsidRDefault="008E5DE4">
            <w:pPr>
              <w:widowControl w:val="0"/>
              <w:pBdr>
                <w:top w:val="nil"/>
                <w:left w:val="nil"/>
                <w:bottom w:val="nil"/>
                <w:right w:val="nil"/>
                <w:between w:val="nil"/>
              </w:pBdr>
              <w:jc w:val="right"/>
              <w:rPr>
                <w:color w:val="000000"/>
              </w:rPr>
            </w:pPr>
          </w:p>
        </w:tc>
      </w:tr>
      <w:tr w:rsidR="008E5DE4" w14:paraId="7D41DDA5" w14:textId="77777777">
        <w:trPr>
          <w:cantSplit/>
        </w:trPr>
        <w:tc>
          <w:tcPr>
            <w:tcW w:w="5726" w:type="dxa"/>
            <w:vAlign w:val="bottom"/>
          </w:tcPr>
          <w:p w14:paraId="3C291E0D" w14:textId="77777777" w:rsidR="008E5DE4" w:rsidRDefault="00780368">
            <w:pPr>
              <w:widowControl w:val="0"/>
              <w:ind w:left="113" w:right="-57" w:hanging="113"/>
              <w:rPr>
                <w:b/>
              </w:rPr>
            </w:pPr>
            <w:r>
              <w:rPr>
                <w:b/>
              </w:rPr>
              <w:t xml:space="preserve">Carrying amount </w:t>
            </w:r>
            <w:proofErr w:type="gramStart"/>
            <w:r>
              <w:rPr>
                <w:b/>
              </w:rPr>
              <w:t>at</w:t>
            </w:r>
            <w:proofErr w:type="gramEnd"/>
            <w:r>
              <w:rPr>
                <w:b/>
              </w:rPr>
              <w:t xml:space="preserve"> 31 December </w:t>
            </w:r>
          </w:p>
        </w:tc>
        <w:tc>
          <w:tcPr>
            <w:tcW w:w="567" w:type="dxa"/>
            <w:vAlign w:val="bottom"/>
          </w:tcPr>
          <w:p w14:paraId="1072A8AD"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19BDA10F"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AD8765F" w14:textId="77777777" w:rsidR="008E5DE4" w:rsidRDefault="008E5DE4">
            <w:pPr>
              <w:widowControl w:val="0"/>
              <w:pBdr>
                <w:top w:val="nil"/>
                <w:left w:val="nil"/>
                <w:bottom w:val="nil"/>
                <w:right w:val="nil"/>
                <w:between w:val="nil"/>
              </w:pBdr>
              <w:jc w:val="right"/>
              <w:rPr>
                <w:b/>
                <w:color w:val="000000"/>
              </w:rPr>
            </w:pPr>
          </w:p>
        </w:tc>
      </w:tr>
      <w:tr w:rsidR="008E5DE4" w14:paraId="0452239F" w14:textId="77777777">
        <w:trPr>
          <w:cantSplit/>
        </w:trPr>
        <w:tc>
          <w:tcPr>
            <w:tcW w:w="5726" w:type="dxa"/>
            <w:tcBorders>
              <w:bottom w:val="single" w:sz="12" w:space="0" w:color="000000"/>
            </w:tcBorders>
            <w:vAlign w:val="bottom"/>
          </w:tcPr>
          <w:p w14:paraId="62E0F98D" w14:textId="77777777" w:rsidR="008E5DE4" w:rsidRDefault="00780368">
            <w:pPr>
              <w:widowControl w:val="0"/>
              <w:ind w:left="113" w:right="-57" w:hanging="113"/>
            </w:pPr>
            <w:r>
              <w:t> </w:t>
            </w:r>
          </w:p>
        </w:tc>
        <w:tc>
          <w:tcPr>
            <w:tcW w:w="567" w:type="dxa"/>
            <w:tcBorders>
              <w:bottom w:val="single" w:sz="12" w:space="0" w:color="000000"/>
            </w:tcBorders>
            <w:vAlign w:val="bottom"/>
          </w:tcPr>
          <w:p w14:paraId="6BD284BD"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063B43C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2AA48369" w14:textId="77777777" w:rsidR="008E5DE4" w:rsidRDefault="008E5DE4">
            <w:pPr>
              <w:widowControl w:val="0"/>
              <w:pBdr>
                <w:top w:val="nil"/>
                <w:left w:val="nil"/>
                <w:bottom w:val="nil"/>
                <w:right w:val="nil"/>
                <w:between w:val="nil"/>
              </w:pBdr>
              <w:jc w:val="right"/>
              <w:rPr>
                <w:color w:val="000000"/>
              </w:rPr>
            </w:pPr>
          </w:p>
        </w:tc>
      </w:tr>
    </w:tbl>
    <w:p w14:paraId="5E2D4162" w14:textId="77777777" w:rsidR="008E5DE4" w:rsidRDefault="00780368">
      <w:pPr>
        <w:widowControl w:val="0"/>
        <w:pBdr>
          <w:top w:val="nil"/>
          <w:left w:val="nil"/>
          <w:bottom w:val="nil"/>
          <w:right w:val="nil"/>
          <w:between w:val="nil"/>
        </w:pBdr>
        <w:spacing w:before="200" w:after="200"/>
        <w:jc w:val="both"/>
        <w:rPr>
          <w:i/>
          <w:color w:val="000000"/>
          <w:sz w:val="20"/>
          <w:szCs w:val="20"/>
        </w:rPr>
      </w:pPr>
      <w:r>
        <w:rPr>
          <w:i/>
          <w:color w:val="000000"/>
          <w:sz w:val="20"/>
          <w:szCs w:val="20"/>
        </w:rPr>
        <w:t xml:space="preserve">Goodwill Impairment Test </w:t>
      </w:r>
    </w:p>
    <w:p w14:paraId="09323667" w14:textId="77777777" w:rsidR="008E5DE4" w:rsidRDefault="00780368">
      <w:pPr>
        <w:widowControl w:val="0"/>
        <w:pBdr>
          <w:top w:val="nil"/>
          <w:left w:val="nil"/>
          <w:bottom w:val="nil"/>
          <w:right w:val="nil"/>
          <w:between w:val="nil"/>
        </w:pBdr>
        <w:spacing w:before="200" w:after="200"/>
        <w:jc w:val="both"/>
        <w:rPr>
          <w:color w:val="000000"/>
        </w:rPr>
      </w:pPr>
      <w:r>
        <w:rPr>
          <w:color w:val="000000"/>
          <w:sz w:val="20"/>
          <w:szCs w:val="20"/>
        </w:rPr>
        <w:t xml:space="preserve">Goodwill is allocated to cash-generating units (CGUs, which represent the lowest level within the Group at which the goodwill is monitored by </w:t>
      </w:r>
      <w:proofErr w:type="gramStart"/>
      <w:r>
        <w:rPr>
          <w:color w:val="000000"/>
          <w:sz w:val="20"/>
          <w:szCs w:val="20"/>
        </w:rPr>
        <w:t>management</w:t>
      </w:r>
      <w:proofErr w:type="gramEnd"/>
      <w:r>
        <w:rPr>
          <w:color w:val="000000"/>
          <w:sz w:val="20"/>
          <w:szCs w:val="20"/>
        </w:rPr>
        <w:t xml:space="preserve"> and which are not larger than a segment) as follows:</w:t>
      </w:r>
    </w:p>
    <w:tbl>
      <w:tblPr>
        <w:tblStyle w:val="afff1"/>
        <w:tblW w:w="9365" w:type="dxa"/>
        <w:tblLayout w:type="fixed"/>
        <w:tblLook w:val="0000" w:firstRow="0" w:lastRow="0" w:firstColumn="0" w:lastColumn="0" w:noHBand="0" w:noVBand="0"/>
      </w:tblPr>
      <w:tblGrid>
        <w:gridCol w:w="5726"/>
        <w:gridCol w:w="567"/>
        <w:gridCol w:w="1532"/>
        <w:gridCol w:w="1540"/>
      </w:tblGrid>
      <w:tr w:rsidR="008E5DE4" w14:paraId="43E832B1" w14:textId="77777777">
        <w:trPr>
          <w:cantSplit/>
        </w:trPr>
        <w:tc>
          <w:tcPr>
            <w:tcW w:w="5726" w:type="dxa"/>
            <w:tcBorders>
              <w:bottom w:val="single" w:sz="4" w:space="0" w:color="000000"/>
            </w:tcBorders>
            <w:vAlign w:val="bottom"/>
          </w:tcPr>
          <w:p w14:paraId="665DD32D"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567" w:type="dxa"/>
            <w:tcBorders>
              <w:bottom w:val="single" w:sz="4" w:space="0" w:color="000000"/>
            </w:tcBorders>
            <w:vAlign w:val="bottom"/>
          </w:tcPr>
          <w:p w14:paraId="387B434F" w14:textId="77777777" w:rsidR="008E5DE4" w:rsidRDefault="008E5DE4">
            <w:pPr>
              <w:widowControl w:val="0"/>
              <w:pBdr>
                <w:top w:val="nil"/>
                <w:left w:val="nil"/>
                <w:bottom w:val="nil"/>
                <w:right w:val="nil"/>
                <w:between w:val="nil"/>
              </w:pBdr>
              <w:ind w:left="-57" w:right="-57"/>
              <w:jc w:val="center"/>
              <w:rPr>
                <w:b/>
                <w:color w:val="000000"/>
              </w:rPr>
            </w:pPr>
          </w:p>
        </w:tc>
        <w:tc>
          <w:tcPr>
            <w:tcW w:w="1532" w:type="dxa"/>
            <w:tcBorders>
              <w:bottom w:val="single" w:sz="4" w:space="0" w:color="000000"/>
            </w:tcBorders>
            <w:vAlign w:val="bottom"/>
          </w:tcPr>
          <w:p w14:paraId="6BD1FEFE" w14:textId="1560AAF5" w:rsidR="008E5DE4" w:rsidRDefault="008614F8">
            <w:pPr>
              <w:widowControl w:val="0"/>
              <w:pBdr>
                <w:top w:val="nil"/>
                <w:left w:val="nil"/>
                <w:bottom w:val="nil"/>
                <w:right w:val="nil"/>
                <w:between w:val="nil"/>
              </w:pBdr>
              <w:jc w:val="right"/>
              <w:rPr>
                <w:b/>
                <w:color w:val="000000"/>
              </w:rPr>
            </w:pPr>
            <w:r>
              <w:rPr>
                <w:b/>
                <w:color w:val="000000"/>
              </w:rPr>
              <w:t>2025</w:t>
            </w:r>
          </w:p>
        </w:tc>
        <w:tc>
          <w:tcPr>
            <w:tcW w:w="1540" w:type="dxa"/>
            <w:tcBorders>
              <w:bottom w:val="single" w:sz="4" w:space="0" w:color="000000"/>
            </w:tcBorders>
            <w:vAlign w:val="bottom"/>
          </w:tcPr>
          <w:p w14:paraId="7230598C" w14:textId="4D2AE862"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7B2437DC" w14:textId="77777777">
        <w:trPr>
          <w:cantSplit/>
        </w:trPr>
        <w:tc>
          <w:tcPr>
            <w:tcW w:w="5726" w:type="dxa"/>
            <w:vAlign w:val="bottom"/>
          </w:tcPr>
          <w:p w14:paraId="3DED7A41" w14:textId="77777777" w:rsidR="008E5DE4" w:rsidRDefault="00780368">
            <w:pPr>
              <w:widowControl w:val="0"/>
              <w:pBdr>
                <w:top w:val="nil"/>
                <w:left w:val="nil"/>
                <w:bottom w:val="nil"/>
                <w:right w:val="nil"/>
                <w:between w:val="nil"/>
              </w:pBdr>
              <w:rPr>
                <w:b/>
                <w:color w:val="000000"/>
              </w:rPr>
            </w:pPr>
            <w:r>
              <w:rPr>
                <w:b/>
                <w:color w:val="000000"/>
              </w:rPr>
              <w:t> </w:t>
            </w:r>
          </w:p>
        </w:tc>
        <w:tc>
          <w:tcPr>
            <w:tcW w:w="567" w:type="dxa"/>
            <w:vAlign w:val="bottom"/>
          </w:tcPr>
          <w:p w14:paraId="5A77F42A" w14:textId="77777777" w:rsidR="008E5DE4" w:rsidRDefault="008E5DE4">
            <w:pPr>
              <w:widowControl w:val="0"/>
              <w:pBdr>
                <w:top w:val="nil"/>
                <w:left w:val="nil"/>
                <w:bottom w:val="nil"/>
                <w:right w:val="nil"/>
                <w:between w:val="nil"/>
              </w:pBdr>
              <w:ind w:left="-57" w:right="-57"/>
              <w:jc w:val="center"/>
              <w:rPr>
                <w:color w:val="000000"/>
              </w:rPr>
            </w:pPr>
          </w:p>
        </w:tc>
        <w:tc>
          <w:tcPr>
            <w:tcW w:w="1532" w:type="dxa"/>
            <w:vAlign w:val="bottom"/>
          </w:tcPr>
          <w:p w14:paraId="46DEE652" w14:textId="77777777" w:rsidR="008E5DE4" w:rsidRDefault="008E5DE4">
            <w:pPr>
              <w:widowControl w:val="0"/>
              <w:pBdr>
                <w:top w:val="nil"/>
                <w:left w:val="nil"/>
                <w:bottom w:val="nil"/>
                <w:right w:val="nil"/>
                <w:between w:val="nil"/>
              </w:pBdr>
              <w:jc w:val="right"/>
              <w:rPr>
                <w:b/>
                <w:color w:val="000000"/>
              </w:rPr>
            </w:pPr>
          </w:p>
        </w:tc>
        <w:tc>
          <w:tcPr>
            <w:tcW w:w="1540" w:type="dxa"/>
            <w:vAlign w:val="bottom"/>
          </w:tcPr>
          <w:p w14:paraId="7036A350" w14:textId="77777777" w:rsidR="008E5DE4" w:rsidRDefault="008E5DE4">
            <w:pPr>
              <w:widowControl w:val="0"/>
              <w:pBdr>
                <w:top w:val="nil"/>
                <w:left w:val="nil"/>
                <w:bottom w:val="nil"/>
                <w:right w:val="nil"/>
                <w:between w:val="nil"/>
              </w:pBdr>
              <w:jc w:val="right"/>
              <w:rPr>
                <w:b/>
                <w:color w:val="000000"/>
              </w:rPr>
            </w:pPr>
          </w:p>
        </w:tc>
      </w:tr>
      <w:tr w:rsidR="008E5DE4" w14:paraId="5B93FB0A" w14:textId="77777777">
        <w:trPr>
          <w:cantSplit/>
        </w:trPr>
        <w:tc>
          <w:tcPr>
            <w:tcW w:w="5726" w:type="dxa"/>
            <w:vAlign w:val="bottom"/>
          </w:tcPr>
          <w:p w14:paraId="377FE03E" w14:textId="77777777" w:rsidR="008E5DE4" w:rsidRDefault="00780368">
            <w:pPr>
              <w:widowControl w:val="0"/>
              <w:pBdr>
                <w:top w:val="nil"/>
                <w:left w:val="nil"/>
                <w:bottom w:val="nil"/>
                <w:right w:val="nil"/>
                <w:between w:val="nil"/>
              </w:pBdr>
              <w:rPr>
                <w:color w:val="0000FF"/>
              </w:rPr>
            </w:pPr>
            <w:r>
              <w:rPr>
                <w:color w:val="0000FF"/>
              </w:rPr>
              <w:t>[CGU 1]</w:t>
            </w:r>
          </w:p>
        </w:tc>
        <w:tc>
          <w:tcPr>
            <w:tcW w:w="567" w:type="dxa"/>
            <w:vAlign w:val="bottom"/>
          </w:tcPr>
          <w:p w14:paraId="3FCA84F6" w14:textId="77777777" w:rsidR="008E5DE4" w:rsidRDefault="008E5DE4">
            <w:pPr>
              <w:widowControl w:val="0"/>
              <w:pBdr>
                <w:top w:val="nil"/>
                <w:left w:val="nil"/>
                <w:bottom w:val="nil"/>
                <w:right w:val="nil"/>
                <w:between w:val="nil"/>
              </w:pBdr>
              <w:ind w:left="-57" w:right="-57"/>
              <w:jc w:val="center"/>
              <w:rPr>
                <w:color w:val="000000"/>
              </w:rPr>
            </w:pPr>
          </w:p>
        </w:tc>
        <w:tc>
          <w:tcPr>
            <w:tcW w:w="1532" w:type="dxa"/>
            <w:vAlign w:val="bottom"/>
          </w:tcPr>
          <w:p w14:paraId="575BB46C" w14:textId="77777777" w:rsidR="008E5DE4" w:rsidRDefault="008E5DE4">
            <w:pPr>
              <w:widowControl w:val="0"/>
              <w:pBdr>
                <w:top w:val="nil"/>
                <w:left w:val="nil"/>
                <w:bottom w:val="nil"/>
                <w:right w:val="nil"/>
                <w:between w:val="nil"/>
              </w:pBdr>
              <w:jc w:val="right"/>
              <w:rPr>
                <w:color w:val="000000"/>
              </w:rPr>
            </w:pPr>
          </w:p>
        </w:tc>
        <w:tc>
          <w:tcPr>
            <w:tcW w:w="1540" w:type="dxa"/>
            <w:vAlign w:val="bottom"/>
          </w:tcPr>
          <w:p w14:paraId="74257204" w14:textId="77777777" w:rsidR="008E5DE4" w:rsidRDefault="008E5DE4">
            <w:pPr>
              <w:widowControl w:val="0"/>
              <w:pBdr>
                <w:top w:val="nil"/>
                <w:left w:val="nil"/>
                <w:bottom w:val="nil"/>
                <w:right w:val="nil"/>
                <w:between w:val="nil"/>
              </w:pBdr>
              <w:jc w:val="right"/>
              <w:rPr>
                <w:color w:val="000000"/>
              </w:rPr>
            </w:pPr>
          </w:p>
        </w:tc>
      </w:tr>
      <w:tr w:rsidR="008E5DE4" w14:paraId="7655892A" w14:textId="77777777">
        <w:trPr>
          <w:cantSplit/>
        </w:trPr>
        <w:tc>
          <w:tcPr>
            <w:tcW w:w="5726" w:type="dxa"/>
            <w:vAlign w:val="bottom"/>
          </w:tcPr>
          <w:p w14:paraId="57128493" w14:textId="77777777" w:rsidR="008E5DE4" w:rsidRDefault="00780368">
            <w:pPr>
              <w:widowControl w:val="0"/>
              <w:pBdr>
                <w:top w:val="nil"/>
                <w:left w:val="nil"/>
                <w:bottom w:val="nil"/>
                <w:right w:val="nil"/>
                <w:between w:val="nil"/>
              </w:pBdr>
              <w:rPr>
                <w:color w:val="0000FF"/>
              </w:rPr>
            </w:pPr>
            <w:r>
              <w:rPr>
                <w:color w:val="0000FF"/>
              </w:rPr>
              <w:t>[CGU 2]</w:t>
            </w:r>
          </w:p>
        </w:tc>
        <w:tc>
          <w:tcPr>
            <w:tcW w:w="567" w:type="dxa"/>
            <w:vAlign w:val="bottom"/>
          </w:tcPr>
          <w:p w14:paraId="7C74E25A" w14:textId="77777777" w:rsidR="008E5DE4" w:rsidRDefault="008E5DE4">
            <w:pPr>
              <w:widowControl w:val="0"/>
              <w:pBdr>
                <w:top w:val="nil"/>
                <w:left w:val="nil"/>
                <w:bottom w:val="nil"/>
                <w:right w:val="nil"/>
                <w:between w:val="nil"/>
              </w:pBdr>
              <w:ind w:left="-57" w:right="-57"/>
              <w:jc w:val="center"/>
              <w:rPr>
                <w:color w:val="000000"/>
              </w:rPr>
            </w:pPr>
          </w:p>
        </w:tc>
        <w:tc>
          <w:tcPr>
            <w:tcW w:w="1532" w:type="dxa"/>
            <w:vAlign w:val="bottom"/>
          </w:tcPr>
          <w:p w14:paraId="2B1C8691" w14:textId="77777777" w:rsidR="008E5DE4" w:rsidRDefault="008E5DE4">
            <w:pPr>
              <w:widowControl w:val="0"/>
              <w:pBdr>
                <w:top w:val="nil"/>
                <w:left w:val="nil"/>
                <w:bottom w:val="nil"/>
                <w:right w:val="nil"/>
                <w:between w:val="nil"/>
              </w:pBdr>
              <w:jc w:val="right"/>
              <w:rPr>
                <w:color w:val="000000"/>
              </w:rPr>
            </w:pPr>
          </w:p>
        </w:tc>
        <w:tc>
          <w:tcPr>
            <w:tcW w:w="1540" w:type="dxa"/>
            <w:vAlign w:val="bottom"/>
          </w:tcPr>
          <w:p w14:paraId="00632380" w14:textId="77777777" w:rsidR="008E5DE4" w:rsidRDefault="008E5DE4">
            <w:pPr>
              <w:widowControl w:val="0"/>
              <w:pBdr>
                <w:top w:val="nil"/>
                <w:left w:val="nil"/>
                <w:bottom w:val="nil"/>
                <w:right w:val="nil"/>
                <w:between w:val="nil"/>
              </w:pBdr>
              <w:jc w:val="right"/>
              <w:rPr>
                <w:color w:val="000000"/>
              </w:rPr>
            </w:pPr>
          </w:p>
        </w:tc>
      </w:tr>
      <w:tr w:rsidR="008E5DE4" w14:paraId="0B1D7E54" w14:textId="77777777">
        <w:trPr>
          <w:cantSplit/>
        </w:trPr>
        <w:tc>
          <w:tcPr>
            <w:tcW w:w="5726" w:type="dxa"/>
            <w:vAlign w:val="bottom"/>
          </w:tcPr>
          <w:p w14:paraId="4A7BFBC8" w14:textId="77777777" w:rsidR="008E5DE4" w:rsidRDefault="00780368">
            <w:pPr>
              <w:widowControl w:val="0"/>
              <w:pBdr>
                <w:top w:val="nil"/>
                <w:left w:val="nil"/>
                <w:bottom w:val="nil"/>
                <w:right w:val="nil"/>
                <w:between w:val="nil"/>
              </w:pBdr>
              <w:rPr>
                <w:color w:val="0000FF"/>
              </w:rPr>
            </w:pPr>
            <w:r>
              <w:rPr>
                <w:color w:val="0000FF"/>
              </w:rPr>
              <w:t>[CGU 3]</w:t>
            </w:r>
          </w:p>
        </w:tc>
        <w:tc>
          <w:tcPr>
            <w:tcW w:w="567" w:type="dxa"/>
            <w:vAlign w:val="bottom"/>
          </w:tcPr>
          <w:p w14:paraId="117702B3" w14:textId="77777777" w:rsidR="008E5DE4" w:rsidRDefault="008E5DE4">
            <w:pPr>
              <w:widowControl w:val="0"/>
              <w:pBdr>
                <w:top w:val="nil"/>
                <w:left w:val="nil"/>
                <w:bottom w:val="nil"/>
                <w:right w:val="nil"/>
                <w:between w:val="nil"/>
              </w:pBdr>
              <w:ind w:left="-57" w:right="-57"/>
              <w:jc w:val="center"/>
              <w:rPr>
                <w:color w:val="000000"/>
              </w:rPr>
            </w:pPr>
          </w:p>
        </w:tc>
        <w:tc>
          <w:tcPr>
            <w:tcW w:w="1532" w:type="dxa"/>
            <w:vAlign w:val="bottom"/>
          </w:tcPr>
          <w:p w14:paraId="1DAF34BE" w14:textId="77777777" w:rsidR="008E5DE4" w:rsidRDefault="008E5DE4">
            <w:pPr>
              <w:widowControl w:val="0"/>
              <w:pBdr>
                <w:top w:val="nil"/>
                <w:left w:val="nil"/>
                <w:bottom w:val="nil"/>
                <w:right w:val="nil"/>
                <w:between w:val="nil"/>
              </w:pBdr>
              <w:jc w:val="right"/>
              <w:rPr>
                <w:color w:val="000000"/>
              </w:rPr>
            </w:pPr>
          </w:p>
        </w:tc>
        <w:tc>
          <w:tcPr>
            <w:tcW w:w="1540" w:type="dxa"/>
            <w:vAlign w:val="bottom"/>
          </w:tcPr>
          <w:p w14:paraId="65871AD6" w14:textId="77777777" w:rsidR="008E5DE4" w:rsidRDefault="008E5DE4">
            <w:pPr>
              <w:widowControl w:val="0"/>
              <w:pBdr>
                <w:top w:val="nil"/>
                <w:left w:val="nil"/>
                <w:bottom w:val="nil"/>
                <w:right w:val="nil"/>
                <w:between w:val="nil"/>
              </w:pBdr>
              <w:jc w:val="right"/>
              <w:rPr>
                <w:color w:val="000000"/>
              </w:rPr>
            </w:pPr>
          </w:p>
        </w:tc>
      </w:tr>
      <w:tr w:rsidR="008E5DE4" w14:paraId="3F1B3A10" w14:textId="77777777">
        <w:trPr>
          <w:cantSplit/>
        </w:trPr>
        <w:tc>
          <w:tcPr>
            <w:tcW w:w="5726" w:type="dxa"/>
            <w:tcBorders>
              <w:bottom w:val="single" w:sz="4" w:space="0" w:color="000000"/>
            </w:tcBorders>
            <w:vAlign w:val="bottom"/>
          </w:tcPr>
          <w:p w14:paraId="0584164A" w14:textId="77777777" w:rsidR="008E5DE4" w:rsidRDefault="00780368">
            <w:pPr>
              <w:widowControl w:val="0"/>
              <w:pBdr>
                <w:top w:val="nil"/>
                <w:left w:val="nil"/>
                <w:bottom w:val="nil"/>
                <w:right w:val="nil"/>
                <w:between w:val="nil"/>
              </w:pBdr>
              <w:rPr>
                <w:color w:val="0000FF"/>
              </w:rPr>
            </w:pPr>
            <w:r>
              <w:rPr>
                <w:color w:val="0000FF"/>
              </w:rPr>
              <w:t>[…]</w:t>
            </w:r>
          </w:p>
        </w:tc>
        <w:tc>
          <w:tcPr>
            <w:tcW w:w="567" w:type="dxa"/>
            <w:tcBorders>
              <w:bottom w:val="single" w:sz="4" w:space="0" w:color="000000"/>
            </w:tcBorders>
            <w:vAlign w:val="bottom"/>
          </w:tcPr>
          <w:p w14:paraId="3757CA15" w14:textId="77777777" w:rsidR="008E5DE4" w:rsidRDefault="008E5DE4">
            <w:pPr>
              <w:widowControl w:val="0"/>
              <w:pBdr>
                <w:top w:val="nil"/>
                <w:left w:val="nil"/>
                <w:bottom w:val="nil"/>
                <w:right w:val="nil"/>
                <w:between w:val="nil"/>
              </w:pBdr>
              <w:ind w:left="-57" w:right="-57"/>
              <w:jc w:val="center"/>
              <w:rPr>
                <w:color w:val="000000"/>
              </w:rPr>
            </w:pPr>
          </w:p>
        </w:tc>
        <w:tc>
          <w:tcPr>
            <w:tcW w:w="1532" w:type="dxa"/>
            <w:tcBorders>
              <w:bottom w:val="single" w:sz="4" w:space="0" w:color="000000"/>
            </w:tcBorders>
            <w:vAlign w:val="bottom"/>
          </w:tcPr>
          <w:p w14:paraId="3DF0601F" w14:textId="77777777" w:rsidR="008E5DE4" w:rsidRDefault="008E5DE4">
            <w:pPr>
              <w:widowControl w:val="0"/>
              <w:pBdr>
                <w:top w:val="nil"/>
                <w:left w:val="nil"/>
                <w:bottom w:val="nil"/>
                <w:right w:val="nil"/>
                <w:between w:val="nil"/>
              </w:pBdr>
              <w:jc w:val="right"/>
              <w:rPr>
                <w:color w:val="000000"/>
              </w:rPr>
            </w:pPr>
          </w:p>
        </w:tc>
        <w:tc>
          <w:tcPr>
            <w:tcW w:w="1540" w:type="dxa"/>
            <w:tcBorders>
              <w:bottom w:val="single" w:sz="4" w:space="0" w:color="000000"/>
            </w:tcBorders>
            <w:vAlign w:val="bottom"/>
          </w:tcPr>
          <w:p w14:paraId="49A44C98" w14:textId="77777777" w:rsidR="008E5DE4" w:rsidRDefault="008E5DE4">
            <w:pPr>
              <w:widowControl w:val="0"/>
              <w:pBdr>
                <w:top w:val="nil"/>
                <w:left w:val="nil"/>
                <w:bottom w:val="nil"/>
                <w:right w:val="nil"/>
                <w:between w:val="nil"/>
              </w:pBdr>
              <w:jc w:val="right"/>
              <w:rPr>
                <w:color w:val="000000"/>
              </w:rPr>
            </w:pPr>
          </w:p>
        </w:tc>
      </w:tr>
      <w:tr w:rsidR="008E5DE4" w14:paraId="49A20BA2" w14:textId="77777777">
        <w:trPr>
          <w:cantSplit/>
        </w:trPr>
        <w:tc>
          <w:tcPr>
            <w:tcW w:w="5726" w:type="dxa"/>
            <w:tcBorders>
              <w:top w:val="single" w:sz="4" w:space="0" w:color="000000"/>
            </w:tcBorders>
            <w:vAlign w:val="bottom"/>
          </w:tcPr>
          <w:p w14:paraId="128F3F4C" w14:textId="77777777" w:rsidR="008E5DE4" w:rsidRDefault="00780368">
            <w:pPr>
              <w:widowControl w:val="0"/>
              <w:pBdr>
                <w:top w:val="nil"/>
                <w:left w:val="nil"/>
                <w:bottom w:val="nil"/>
                <w:right w:val="nil"/>
                <w:between w:val="nil"/>
              </w:pBdr>
              <w:rPr>
                <w:color w:val="000000"/>
              </w:rPr>
            </w:pPr>
            <w:r>
              <w:rPr>
                <w:color w:val="000000"/>
              </w:rPr>
              <w:t> </w:t>
            </w:r>
          </w:p>
        </w:tc>
        <w:tc>
          <w:tcPr>
            <w:tcW w:w="567" w:type="dxa"/>
            <w:tcBorders>
              <w:top w:val="single" w:sz="4" w:space="0" w:color="000000"/>
            </w:tcBorders>
            <w:vAlign w:val="bottom"/>
          </w:tcPr>
          <w:p w14:paraId="1C7C0507" w14:textId="77777777" w:rsidR="008E5DE4" w:rsidRDefault="008E5DE4">
            <w:pPr>
              <w:widowControl w:val="0"/>
              <w:pBdr>
                <w:top w:val="nil"/>
                <w:left w:val="nil"/>
                <w:bottom w:val="nil"/>
                <w:right w:val="nil"/>
                <w:between w:val="nil"/>
              </w:pBdr>
              <w:ind w:left="-57" w:right="-57"/>
              <w:jc w:val="center"/>
              <w:rPr>
                <w:color w:val="000000"/>
              </w:rPr>
            </w:pPr>
          </w:p>
        </w:tc>
        <w:tc>
          <w:tcPr>
            <w:tcW w:w="1532" w:type="dxa"/>
            <w:tcBorders>
              <w:top w:val="single" w:sz="4" w:space="0" w:color="000000"/>
            </w:tcBorders>
            <w:vAlign w:val="bottom"/>
          </w:tcPr>
          <w:p w14:paraId="5CD99CC8" w14:textId="77777777" w:rsidR="008E5DE4" w:rsidRDefault="008E5DE4">
            <w:pPr>
              <w:widowControl w:val="0"/>
              <w:pBdr>
                <w:top w:val="nil"/>
                <w:left w:val="nil"/>
                <w:bottom w:val="nil"/>
                <w:right w:val="nil"/>
                <w:between w:val="nil"/>
              </w:pBdr>
              <w:jc w:val="right"/>
              <w:rPr>
                <w:color w:val="000000"/>
              </w:rPr>
            </w:pPr>
          </w:p>
        </w:tc>
        <w:tc>
          <w:tcPr>
            <w:tcW w:w="1540" w:type="dxa"/>
            <w:tcBorders>
              <w:top w:val="single" w:sz="4" w:space="0" w:color="000000"/>
            </w:tcBorders>
            <w:vAlign w:val="bottom"/>
          </w:tcPr>
          <w:p w14:paraId="23608A30" w14:textId="77777777" w:rsidR="008E5DE4" w:rsidRDefault="008E5DE4">
            <w:pPr>
              <w:widowControl w:val="0"/>
              <w:pBdr>
                <w:top w:val="nil"/>
                <w:left w:val="nil"/>
                <w:bottom w:val="nil"/>
                <w:right w:val="nil"/>
                <w:between w:val="nil"/>
              </w:pBdr>
              <w:jc w:val="right"/>
              <w:rPr>
                <w:color w:val="000000"/>
              </w:rPr>
            </w:pPr>
          </w:p>
        </w:tc>
      </w:tr>
      <w:tr w:rsidR="008E5DE4" w14:paraId="73A6AABE" w14:textId="77777777">
        <w:trPr>
          <w:cantSplit/>
        </w:trPr>
        <w:tc>
          <w:tcPr>
            <w:tcW w:w="5726" w:type="dxa"/>
            <w:vAlign w:val="bottom"/>
          </w:tcPr>
          <w:p w14:paraId="68A52888" w14:textId="77777777" w:rsidR="008E5DE4" w:rsidRDefault="00780368">
            <w:pPr>
              <w:widowControl w:val="0"/>
              <w:pBdr>
                <w:top w:val="nil"/>
                <w:left w:val="nil"/>
                <w:bottom w:val="nil"/>
                <w:right w:val="nil"/>
                <w:between w:val="nil"/>
              </w:pBdr>
              <w:rPr>
                <w:b/>
                <w:color w:val="000000"/>
              </w:rPr>
            </w:pPr>
            <w:r>
              <w:rPr>
                <w:b/>
                <w:color w:val="000000"/>
              </w:rPr>
              <w:t xml:space="preserve">Total carrying amount of goodwill </w:t>
            </w:r>
            <w:proofErr w:type="gramStart"/>
            <w:r>
              <w:rPr>
                <w:b/>
                <w:color w:val="000000"/>
              </w:rPr>
              <w:t>at</w:t>
            </w:r>
            <w:proofErr w:type="gramEnd"/>
            <w:r>
              <w:rPr>
                <w:b/>
                <w:color w:val="000000"/>
              </w:rPr>
              <w:t xml:space="preserve"> 31 December</w:t>
            </w:r>
          </w:p>
        </w:tc>
        <w:tc>
          <w:tcPr>
            <w:tcW w:w="567" w:type="dxa"/>
            <w:vAlign w:val="bottom"/>
          </w:tcPr>
          <w:p w14:paraId="2310CBB7" w14:textId="77777777" w:rsidR="008E5DE4" w:rsidRDefault="008E5DE4">
            <w:pPr>
              <w:widowControl w:val="0"/>
              <w:pBdr>
                <w:top w:val="nil"/>
                <w:left w:val="nil"/>
                <w:bottom w:val="nil"/>
                <w:right w:val="nil"/>
                <w:between w:val="nil"/>
              </w:pBdr>
              <w:ind w:left="-57" w:right="-57"/>
              <w:jc w:val="center"/>
              <w:rPr>
                <w:b/>
                <w:color w:val="000000"/>
              </w:rPr>
            </w:pPr>
          </w:p>
        </w:tc>
        <w:tc>
          <w:tcPr>
            <w:tcW w:w="1532" w:type="dxa"/>
            <w:vAlign w:val="bottom"/>
          </w:tcPr>
          <w:p w14:paraId="5663EAF2" w14:textId="77777777" w:rsidR="008E5DE4" w:rsidRDefault="008E5DE4">
            <w:pPr>
              <w:widowControl w:val="0"/>
              <w:pBdr>
                <w:top w:val="nil"/>
                <w:left w:val="nil"/>
                <w:bottom w:val="nil"/>
                <w:right w:val="nil"/>
                <w:between w:val="nil"/>
              </w:pBdr>
              <w:jc w:val="right"/>
              <w:rPr>
                <w:b/>
                <w:color w:val="000000"/>
              </w:rPr>
            </w:pPr>
          </w:p>
        </w:tc>
        <w:tc>
          <w:tcPr>
            <w:tcW w:w="1540" w:type="dxa"/>
            <w:vAlign w:val="bottom"/>
          </w:tcPr>
          <w:p w14:paraId="523919FC" w14:textId="77777777" w:rsidR="008E5DE4" w:rsidRDefault="008E5DE4">
            <w:pPr>
              <w:widowControl w:val="0"/>
              <w:pBdr>
                <w:top w:val="nil"/>
                <w:left w:val="nil"/>
                <w:bottom w:val="nil"/>
                <w:right w:val="nil"/>
                <w:between w:val="nil"/>
              </w:pBdr>
              <w:jc w:val="right"/>
              <w:rPr>
                <w:b/>
                <w:color w:val="000000"/>
              </w:rPr>
            </w:pPr>
          </w:p>
        </w:tc>
      </w:tr>
      <w:tr w:rsidR="008E5DE4" w14:paraId="633B2633" w14:textId="77777777">
        <w:trPr>
          <w:cantSplit/>
        </w:trPr>
        <w:tc>
          <w:tcPr>
            <w:tcW w:w="5726" w:type="dxa"/>
            <w:tcBorders>
              <w:bottom w:val="single" w:sz="12" w:space="0" w:color="000000"/>
            </w:tcBorders>
            <w:vAlign w:val="bottom"/>
          </w:tcPr>
          <w:p w14:paraId="5BF11ED4" w14:textId="77777777" w:rsidR="008E5DE4" w:rsidRDefault="00780368">
            <w:pPr>
              <w:widowControl w:val="0"/>
              <w:pBdr>
                <w:top w:val="nil"/>
                <w:left w:val="nil"/>
                <w:bottom w:val="nil"/>
                <w:right w:val="nil"/>
                <w:between w:val="nil"/>
              </w:pBdr>
              <w:rPr>
                <w:color w:val="000000"/>
              </w:rPr>
            </w:pPr>
            <w:r>
              <w:rPr>
                <w:color w:val="000000"/>
              </w:rPr>
              <w:t> </w:t>
            </w:r>
          </w:p>
        </w:tc>
        <w:tc>
          <w:tcPr>
            <w:tcW w:w="567" w:type="dxa"/>
            <w:tcBorders>
              <w:bottom w:val="single" w:sz="12" w:space="0" w:color="000000"/>
            </w:tcBorders>
            <w:vAlign w:val="bottom"/>
          </w:tcPr>
          <w:p w14:paraId="4C3882C2" w14:textId="77777777" w:rsidR="008E5DE4" w:rsidRDefault="008E5DE4">
            <w:pPr>
              <w:widowControl w:val="0"/>
              <w:pBdr>
                <w:top w:val="nil"/>
                <w:left w:val="nil"/>
                <w:bottom w:val="nil"/>
                <w:right w:val="nil"/>
                <w:between w:val="nil"/>
              </w:pBdr>
              <w:ind w:left="-57" w:right="-57"/>
              <w:jc w:val="center"/>
              <w:rPr>
                <w:color w:val="000000"/>
              </w:rPr>
            </w:pPr>
          </w:p>
        </w:tc>
        <w:tc>
          <w:tcPr>
            <w:tcW w:w="1532" w:type="dxa"/>
            <w:tcBorders>
              <w:bottom w:val="single" w:sz="12" w:space="0" w:color="000000"/>
            </w:tcBorders>
            <w:vAlign w:val="bottom"/>
          </w:tcPr>
          <w:p w14:paraId="2EFD1ADA" w14:textId="77777777" w:rsidR="008E5DE4" w:rsidRDefault="008E5DE4">
            <w:pPr>
              <w:widowControl w:val="0"/>
              <w:pBdr>
                <w:top w:val="nil"/>
                <w:left w:val="nil"/>
                <w:bottom w:val="nil"/>
                <w:right w:val="nil"/>
                <w:between w:val="nil"/>
              </w:pBdr>
              <w:jc w:val="right"/>
              <w:rPr>
                <w:color w:val="000000"/>
              </w:rPr>
            </w:pPr>
          </w:p>
        </w:tc>
        <w:tc>
          <w:tcPr>
            <w:tcW w:w="1540" w:type="dxa"/>
            <w:tcBorders>
              <w:bottom w:val="single" w:sz="12" w:space="0" w:color="000000"/>
            </w:tcBorders>
            <w:vAlign w:val="bottom"/>
          </w:tcPr>
          <w:p w14:paraId="3EFBF6E3" w14:textId="77777777" w:rsidR="008E5DE4" w:rsidRDefault="008E5DE4">
            <w:pPr>
              <w:widowControl w:val="0"/>
              <w:pBdr>
                <w:top w:val="nil"/>
                <w:left w:val="nil"/>
                <w:bottom w:val="nil"/>
                <w:right w:val="nil"/>
                <w:between w:val="nil"/>
              </w:pBdr>
              <w:jc w:val="right"/>
              <w:rPr>
                <w:color w:val="000000"/>
              </w:rPr>
            </w:pPr>
          </w:p>
        </w:tc>
      </w:tr>
    </w:tbl>
    <w:p w14:paraId="6F355428" w14:textId="77777777" w:rsidR="008E5DE4" w:rsidRDefault="008E5DE4">
      <w:pPr>
        <w:pBdr>
          <w:top w:val="nil"/>
          <w:left w:val="nil"/>
          <w:bottom w:val="nil"/>
          <w:right w:val="nil"/>
          <w:between w:val="nil"/>
        </w:pBdr>
        <w:spacing w:after="120" w:line="228" w:lineRule="auto"/>
        <w:jc w:val="both"/>
        <w:rPr>
          <w:i/>
          <w:color w:val="FF0000"/>
          <w:sz w:val="20"/>
          <w:szCs w:val="20"/>
        </w:rPr>
      </w:pPr>
    </w:p>
    <w:p w14:paraId="1CCBED7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12</w:t>
      </w:r>
      <w:r>
        <w:rPr>
          <w:b/>
          <w:color w:val="000000"/>
          <w:sz w:val="20"/>
          <w:szCs w:val="20"/>
        </w:rPr>
        <w:tab/>
        <w:t>Goodwill (Continued)</w:t>
      </w:r>
    </w:p>
    <w:p w14:paraId="7BE5EC80" w14:textId="29DBCFA2"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recoverable amount of each CGU was determined based on value-in-use calculations. These calculations use cash flow projections based on financial budgets approved by management covering a five-year period. Cash flows beyond the five-year period are extrapolated using the estimated growth rates stated below. The growth rates do not exceed the long-term average growth rate for the business sector of the economy in which the CGU operates. </w:t>
      </w:r>
    </w:p>
    <w:p w14:paraId="3EAEF02C"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Assumptions used for value-in-use calculations to which the recoverable amount is most sensitive were:</w:t>
      </w:r>
    </w:p>
    <w:tbl>
      <w:tblPr>
        <w:tblStyle w:val="afff2"/>
        <w:tblW w:w="9355" w:type="dxa"/>
        <w:tblLayout w:type="fixed"/>
        <w:tblLook w:val="0000" w:firstRow="0" w:lastRow="0" w:firstColumn="0" w:lastColumn="0" w:noHBand="0" w:noVBand="0"/>
      </w:tblPr>
      <w:tblGrid>
        <w:gridCol w:w="5726"/>
        <w:gridCol w:w="567"/>
        <w:gridCol w:w="1531"/>
        <w:gridCol w:w="1531"/>
      </w:tblGrid>
      <w:tr w:rsidR="008E5DE4" w14:paraId="392881D1" w14:textId="77777777">
        <w:trPr>
          <w:cantSplit/>
        </w:trPr>
        <w:tc>
          <w:tcPr>
            <w:tcW w:w="5726" w:type="dxa"/>
            <w:tcBorders>
              <w:bottom w:val="single" w:sz="4" w:space="0" w:color="000000"/>
            </w:tcBorders>
            <w:vAlign w:val="bottom"/>
          </w:tcPr>
          <w:p w14:paraId="5840A39F" w14:textId="77777777" w:rsidR="008E5DE4" w:rsidRDefault="00780368">
            <w:pPr>
              <w:widowControl w:val="0"/>
              <w:pBdr>
                <w:top w:val="nil"/>
                <w:left w:val="nil"/>
                <w:bottom w:val="nil"/>
                <w:right w:val="nil"/>
                <w:between w:val="nil"/>
              </w:pBdr>
              <w:ind w:left="113" w:right="-57" w:hanging="113"/>
              <w:rPr>
                <w:b/>
                <w:color w:val="000000"/>
              </w:rPr>
            </w:pPr>
            <w:r>
              <w:rPr>
                <w:b/>
                <w:color w:val="000000"/>
              </w:rPr>
              <w:t>CGU 1</w:t>
            </w:r>
          </w:p>
        </w:tc>
        <w:tc>
          <w:tcPr>
            <w:tcW w:w="567" w:type="dxa"/>
            <w:tcBorders>
              <w:bottom w:val="single" w:sz="4" w:space="0" w:color="000000"/>
            </w:tcBorders>
            <w:vAlign w:val="bottom"/>
          </w:tcPr>
          <w:p w14:paraId="42D1EA38" w14:textId="77777777" w:rsidR="008E5DE4" w:rsidRDefault="008E5DE4">
            <w:pPr>
              <w:widowControl w:val="0"/>
              <w:pBdr>
                <w:top w:val="nil"/>
                <w:left w:val="nil"/>
                <w:bottom w:val="nil"/>
                <w:right w:val="nil"/>
                <w:between w:val="nil"/>
              </w:pBdr>
              <w:jc w:val="center"/>
              <w:rPr>
                <w:b/>
                <w:color w:val="000000"/>
              </w:rPr>
            </w:pPr>
          </w:p>
        </w:tc>
        <w:tc>
          <w:tcPr>
            <w:tcW w:w="1531" w:type="dxa"/>
            <w:tcBorders>
              <w:bottom w:val="single" w:sz="4" w:space="0" w:color="000000"/>
            </w:tcBorders>
            <w:vAlign w:val="bottom"/>
          </w:tcPr>
          <w:p w14:paraId="0A134FEC" w14:textId="664D0F25"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1EDC197" w14:textId="14523F95"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4FAECC1D" w14:textId="77777777">
        <w:trPr>
          <w:cantSplit/>
        </w:trPr>
        <w:tc>
          <w:tcPr>
            <w:tcW w:w="5726" w:type="dxa"/>
            <w:vAlign w:val="bottom"/>
          </w:tcPr>
          <w:p w14:paraId="6208FF19" w14:textId="77777777" w:rsidR="008E5DE4" w:rsidRDefault="00780368">
            <w:pPr>
              <w:widowControl w:val="0"/>
              <w:pBdr>
                <w:top w:val="nil"/>
                <w:left w:val="nil"/>
                <w:bottom w:val="nil"/>
                <w:right w:val="nil"/>
                <w:between w:val="nil"/>
              </w:pBdr>
              <w:ind w:left="113" w:right="-57" w:hanging="113"/>
              <w:rPr>
                <w:b/>
                <w:color w:val="000000"/>
                <w:sz w:val="14"/>
                <w:szCs w:val="14"/>
              </w:rPr>
            </w:pPr>
            <w:r>
              <w:rPr>
                <w:b/>
                <w:color w:val="000000"/>
                <w:sz w:val="14"/>
                <w:szCs w:val="14"/>
              </w:rPr>
              <w:t> </w:t>
            </w:r>
          </w:p>
        </w:tc>
        <w:tc>
          <w:tcPr>
            <w:tcW w:w="567" w:type="dxa"/>
            <w:vAlign w:val="bottom"/>
          </w:tcPr>
          <w:p w14:paraId="0E2F4990" w14:textId="77777777" w:rsidR="008E5DE4" w:rsidRDefault="008E5DE4">
            <w:pPr>
              <w:widowControl w:val="0"/>
              <w:pBdr>
                <w:top w:val="nil"/>
                <w:left w:val="nil"/>
                <w:bottom w:val="nil"/>
                <w:right w:val="nil"/>
                <w:between w:val="nil"/>
              </w:pBdr>
              <w:jc w:val="center"/>
              <w:rPr>
                <w:color w:val="000000"/>
                <w:sz w:val="14"/>
                <w:szCs w:val="14"/>
              </w:rPr>
            </w:pPr>
          </w:p>
        </w:tc>
        <w:tc>
          <w:tcPr>
            <w:tcW w:w="1531" w:type="dxa"/>
            <w:vAlign w:val="bottom"/>
          </w:tcPr>
          <w:p w14:paraId="4725C6DE" w14:textId="77777777" w:rsidR="008E5DE4" w:rsidRDefault="008E5DE4">
            <w:pPr>
              <w:widowControl w:val="0"/>
              <w:pBdr>
                <w:top w:val="nil"/>
                <w:left w:val="nil"/>
                <w:bottom w:val="nil"/>
                <w:right w:val="nil"/>
                <w:between w:val="nil"/>
              </w:pBdr>
              <w:jc w:val="right"/>
              <w:rPr>
                <w:b/>
                <w:color w:val="000000"/>
                <w:sz w:val="14"/>
                <w:szCs w:val="14"/>
              </w:rPr>
            </w:pPr>
          </w:p>
        </w:tc>
        <w:tc>
          <w:tcPr>
            <w:tcW w:w="1531" w:type="dxa"/>
            <w:vAlign w:val="bottom"/>
          </w:tcPr>
          <w:p w14:paraId="0F4B1D46" w14:textId="77777777" w:rsidR="008E5DE4" w:rsidRDefault="008E5DE4">
            <w:pPr>
              <w:widowControl w:val="0"/>
              <w:pBdr>
                <w:top w:val="nil"/>
                <w:left w:val="nil"/>
                <w:bottom w:val="nil"/>
                <w:right w:val="nil"/>
                <w:between w:val="nil"/>
              </w:pBdr>
              <w:jc w:val="right"/>
              <w:rPr>
                <w:b/>
                <w:color w:val="000000"/>
                <w:sz w:val="14"/>
                <w:szCs w:val="14"/>
              </w:rPr>
            </w:pPr>
          </w:p>
        </w:tc>
      </w:tr>
      <w:tr w:rsidR="008E5DE4" w14:paraId="55423F7C" w14:textId="77777777">
        <w:trPr>
          <w:cantSplit/>
        </w:trPr>
        <w:tc>
          <w:tcPr>
            <w:tcW w:w="5726" w:type="dxa"/>
            <w:vAlign w:val="bottom"/>
          </w:tcPr>
          <w:p w14:paraId="352A1570" w14:textId="77777777" w:rsidR="008E5DE4" w:rsidRDefault="00780368">
            <w:pPr>
              <w:widowControl w:val="0"/>
              <w:pBdr>
                <w:top w:val="nil"/>
                <w:left w:val="nil"/>
                <w:bottom w:val="nil"/>
                <w:right w:val="nil"/>
                <w:between w:val="nil"/>
              </w:pBdr>
              <w:ind w:left="113" w:right="-57" w:hanging="113"/>
              <w:rPr>
                <w:color w:val="000000"/>
              </w:rPr>
            </w:pPr>
            <w:r>
              <w:rPr>
                <w:color w:val="000000"/>
              </w:rPr>
              <w:t>Growth rate beyond five years</w:t>
            </w:r>
          </w:p>
        </w:tc>
        <w:tc>
          <w:tcPr>
            <w:tcW w:w="567" w:type="dxa"/>
            <w:vAlign w:val="bottom"/>
          </w:tcPr>
          <w:p w14:paraId="2A8529C1"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19F9034" w14:textId="77777777" w:rsidR="008E5DE4" w:rsidRDefault="00780368">
            <w:pPr>
              <w:widowControl w:val="0"/>
              <w:pBdr>
                <w:top w:val="nil"/>
                <w:left w:val="nil"/>
                <w:bottom w:val="nil"/>
                <w:right w:val="nil"/>
                <w:between w:val="nil"/>
              </w:pBdr>
              <w:jc w:val="right"/>
              <w:rPr>
                <w:color w:val="000000"/>
              </w:rPr>
            </w:pPr>
            <w:r w:rsidRPr="00160220">
              <w:rPr>
                <w:color w:val="0000FF"/>
              </w:rPr>
              <w:t>X%</w:t>
            </w:r>
            <w:r>
              <w:rPr>
                <w:color w:val="000000"/>
              </w:rPr>
              <w:t xml:space="preserve"> p.a.</w:t>
            </w:r>
          </w:p>
        </w:tc>
        <w:tc>
          <w:tcPr>
            <w:tcW w:w="1531" w:type="dxa"/>
            <w:vAlign w:val="bottom"/>
          </w:tcPr>
          <w:p w14:paraId="716BF27B" w14:textId="1E27FA33" w:rsidR="008E5DE4" w:rsidRDefault="00160220">
            <w:pPr>
              <w:widowControl w:val="0"/>
              <w:pBdr>
                <w:top w:val="nil"/>
                <w:left w:val="nil"/>
                <w:bottom w:val="nil"/>
                <w:right w:val="nil"/>
                <w:between w:val="nil"/>
              </w:pBdr>
              <w:jc w:val="right"/>
              <w:rPr>
                <w:color w:val="000000"/>
              </w:rPr>
            </w:pPr>
            <w:r w:rsidRPr="00160220">
              <w:rPr>
                <w:color w:val="0000FF"/>
              </w:rPr>
              <w:t>X%</w:t>
            </w:r>
            <w:r w:rsidR="00780368">
              <w:rPr>
                <w:color w:val="000000"/>
              </w:rPr>
              <w:t xml:space="preserve"> p.a.</w:t>
            </w:r>
          </w:p>
        </w:tc>
      </w:tr>
      <w:tr w:rsidR="008E5DE4" w14:paraId="32F139BF" w14:textId="77777777">
        <w:trPr>
          <w:cantSplit/>
        </w:trPr>
        <w:tc>
          <w:tcPr>
            <w:tcW w:w="5726" w:type="dxa"/>
            <w:vAlign w:val="bottom"/>
          </w:tcPr>
          <w:p w14:paraId="698A59FA" w14:textId="77777777" w:rsidR="008E5DE4" w:rsidRDefault="00780368">
            <w:pPr>
              <w:widowControl w:val="0"/>
              <w:pBdr>
                <w:top w:val="nil"/>
                <w:left w:val="nil"/>
                <w:bottom w:val="nil"/>
                <w:right w:val="nil"/>
                <w:between w:val="nil"/>
              </w:pBdr>
              <w:ind w:left="113" w:right="-57" w:hanging="113"/>
              <w:rPr>
                <w:color w:val="000000"/>
              </w:rPr>
            </w:pPr>
            <w:r>
              <w:rPr>
                <w:color w:val="000000"/>
              </w:rPr>
              <w:t>Pre-tax discount rate</w:t>
            </w:r>
          </w:p>
        </w:tc>
        <w:tc>
          <w:tcPr>
            <w:tcW w:w="567" w:type="dxa"/>
            <w:vAlign w:val="bottom"/>
          </w:tcPr>
          <w:p w14:paraId="7BAAB52B"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EF51B4B" w14:textId="17098AFE" w:rsidR="008E5DE4" w:rsidRDefault="00160220">
            <w:pPr>
              <w:widowControl w:val="0"/>
              <w:pBdr>
                <w:top w:val="nil"/>
                <w:left w:val="nil"/>
                <w:bottom w:val="nil"/>
                <w:right w:val="nil"/>
                <w:between w:val="nil"/>
              </w:pBdr>
              <w:jc w:val="right"/>
              <w:rPr>
                <w:color w:val="000000"/>
              </w:rPr>
            </w:pPr>
            <w:r w:rsidRPr="00160220">
              <w:rPr>
                <w:color w:val="0000FF"/>
              </w:rPr>
              <w:t>X%</w:t>
            </w:r>
            <w:r w:rsidR="00780368">
              <w:rPr>
                <w:color w:val="000000"/>
              </w:rPr>
              <w:t xml:space="preserve"> p.a.</w:t>
            </w:r>
          </w:p>
        </w:tc>
        <w:tc>
          <w:tcPr>
            <w:tcW w:w="1531" w:type="dxa"/>
            <w:vAlign w:val="bottom"/>
          </w:tcPr>
          <w:p w14:paraId="7C250301" w14:textId="2E732EA8" w:rsidR="008E5DE4" w:rsidRDefault="00160220">
            <w:pPr>
              <w:widowControl w:val="0"/>
              <w:pBdr>
                <w:top w:val="nil"/>
                <w:left w:val="nil"/>
                <w:bottom w:val="nil"/>
                <w:right w:val="nil"/>
                <w:between w:val="nil"/>
              </w:pBdr>
              <w:jc w:val="right"/>
              <w:rPr>
                <w:color w:val="000000"/>
              </w:rPr>
            </w:pPr>
            <w:r w:rsidRPr="00160220">
              <w:rPr>
                <w:color w:val="0000FF"/>
              </w:rPr>
              <w:t>X%</w:t>
            </w:r>
            <w:r w:rsidR="00780368">
              <w:rPr>
                <w:color w:val="000000"/>
              </w:rPr>
              <w:t xml:space="preserve"> p.a.</w:t>
            </w:r>
          </w:p>
        </w:tc>
      </w:tr>
      <w:tr w:rsidR="008E5DE4" w14:paraId="3B02CCD8" w14:textId="77777777">
        <w:trPr>
          <w:cantSplit/>
        </w:trPr>
        <w:tc>
          <w:tcPr>
            <w:tcW w:w="5726" w:type="dxa"/>
            <w:tcBorders>
              <w:bottom w:val="single" w:sz="12" w:space="0" w:color="000000"/>
            </w:tcBorders>
            <w:vAlign w:val="bottom"/>
          </w:tcPr>
          <w:p w14:paraId="313333EF" w14:textId="77777777" w:rsidR="008E5DE4" w:rsidRDefault="00780368">
            <w:pPr>
              <w:widowControl w:val="0"/>
              <w:pBdr>
                <w:top w:val="nil"/>
                <w:left w:val="nil"/>
                <w:bottom w:val="nil"/>
                <w:right w:val="nil"/>
                <w:between w:val="nil"/>
              </w:pBdr>
              <w:ind w:left="113" w:right="-57" w:hanging="113"/>
              <w:rPr>
                <w:b/>
                <w:color w:val="000000"/>
                <w:sz w:val="14"/>
                <w:szCs w:val="14"/>
              </w:rPr>
            </w:pPr>
            <w:r>
              <w:rPr>
                <w:b/>
                <w:color w:val="000000"/>
                <w:sz w:val="14"/>
                <w:szCs w:val="14"/>
              </w:rPr>
              <w:t> </w:t>
            </w:r>
          </w:p>
        </w:tc>
        <w:tc>
          <w:tcPr>
            <w:tcW w:w="567" w:type="dxa"/>
            <w:tcBorders>
              <w:bottom w:val="single" w:sz="12" w:space="0" w:color="000000"/>
            </w:tcBorders>
            <w:vAlign w:val="bottom"/>
          </w:tcPr>
          <w:p w14:paraId="145C34F7" w14:textId="77777777" w:rsidR="008E5DE4" w:rsidRDefault="008E5DE4">
            <w:pPr>
              <w:widowControl w:val="0"/>
              <w:pBdr>
                <w:top w:val="nil"/>
                <w:left w:val="nil"/>
                <w:bottom w:val="nil"/>
                <w:right w:val="nil"/>
                <w:between w:val="nil"/>
              </w:pBdr>
              <w:jc w:val="center"/>
              <w:rPr>
                <w:color w:val="000000"/>
                <w:sz w:val="14"/>
                <w:szCs w:val="14"/>
              </w:rPr>
            </w:pPr>
          </w:p>
        </w:tc>
        <w:tc>
          <w:tcPr>
            <w:tcW w:w="1531" w:type="dxa"/>
            <w:tcBorders>
              <w:bottom w:val="single" w:sz="12" w:space="0" w:color="000000"/>
            </w:tcBorders>
            <w:vAlign w:val="bottom"/>
          </w:tcPr>
          <w:p w14:paraId="306892BE" w14:textId="77777777" w:rsidR="008E5DE4" w:rsidRDefault="008E5DE4">
            <w:pPr>
              <w:widowControl w:val="0"/>
              <w:pBdr>
                <w:top w:val="nil"/>
                <w:left w:val="nil"/>
                <w:bottom w:val="nil"/>
                <w:right w:val="nil"/>
                <w:between w:val="nil"/>
              </w:pBdr>
              <w:jc w:val="right"/>
              <w:rPr>
                <w:color w:val="000000"/>
                <w:sz w:val="14"/>
                <w:szCs w:val="14"/>
              </w:rPr>
            </w:pPr>
          </w:p>
        </w:tc>
        <w:tc>
          <w:tcPr>
            <w:tcW w:w="1531" w:type="dxa"/>
            <w:tcBorders>
              <w:bottom w:val="single" w:sz="12" w:space="0" w:color="000000"/>
            </w:tcBorders>
            <w:vAlign w:val="bottom"/>
          </w:tcPr>
          <w:p w14:paraId="36D2408A" w14:textId="77777777" w:rsidR="008E5DE4" w:rsidRDefault="008E5DE4">
            <w:pPr>
              <w:widowControl w:val="0"/>
              <w:pBdr>
                <w:top w:val="nil"/>
                <w:left w:val="nil"/>
                <w:bottom w:val="nil"/>
                <w:right w:val="nil"/>
                <w:between w:val="nil"/>
              </w:pBdr>
              <w:jc w:val="right"/>
              <w:rPr>
                <w:color w:val="000000"/>
                <w:sz w:val="14"/>
                <w:szCs w:val="14"/>
              </w:rPr>
            </w:pPr>
          </w:p>
        </w:tc>
      </w:tr>
    </w:tbl>
    <w:p w14:paraId="757944B8" w14:textId="77777777" w:rsidR="008E5DE4" w:rsidRDefault="008E5DE4">
      <w:pPr>
        <w:widowControl w:val="0"/>
        <w:pBdr>
          <w:top w:val="nil"/>
          <w:left w:val="nil"/>
          <w:bottom w:val="nil"/>
          <w:right w:val="nil"/>
          <w:between w:val="nil"/>
        </w:pBdr>
        <w:jc w:val="both"/>
        <w:rPr>
          <w:color w:val="000000"/>
          <w:sz w:val="20"/>
          <w:szCs w:val="20"/>
        </w:rPr>
      </w:pPr>
    </w:p>
    <w:tbl>
      <w:tblPr>
        <w:tblStyle w:val="afff3"/>
        <w:tblW w:w="9355" w:type="dxa"/>
        <w:tblLayout w:type="fixed"/>
        <w:tblLook w:val="0000" w:firstRow="0" w:lastRow="0" w:firstColumn="0" w:lastColumn="0" w:noHBand="0" w:noVBand="0"/>
      </w:tblPr>
      <w:tblGrid>
        <w:gridCol w:w="5726"/>
        <w:gridCol w:w="567"/>
        <w:gridCol w:w="1531"/>
        <w:gridCol w:w="1531"/>
      </w:tblGrid>
      <w:tr w:rsidR="008E5DE4" w14:paraId="48D309D3" w14:textId="77777777">
        <w:trPr>
          <w:cantSplit/>
        </w:trPr>
        <w:tc>
          <w:tcPr>
            <w:tcW w:w="5726" w:type="dxa"/>
            <w:tcBorders>
              <w:bottom w:val="single" w:sz="4" w:space="0" w:color="000000"/>
            </w:tcBorders>
            <w:vAlign w:val="bottom"/>
          </w:tcPr>
          <w:p w14:paraId="484E4745" w14:textId="77777777" w:rsidR="008E5DE4" w:rsidRDefault="00780368">
            <w:pPr>
              <w:widowControl w:val="0"/>
              <w:pBdr>
                <w:top w:val="nil"/>
                <w:left w:val="nil"/>
                <w:bottom w:val="nil"/>
                <w:right w:val="nil"/>
                <w:between w:val="nil"/>
              </w:pBdr>
              <w:ind w:left="113" w:right="-57" w:hanging="113"/>
              <w:rPr>
                <w:b/>
                <w:i/>
                <w:color w:val="000000"/>
              </w:rPr>
            </w:pPr>
            <w:r>
              <w:rPr>
                <w:b/>
                <w:color w:val="000000"/>
              </w:rPr>
              <w:t>CGU 2</w:t>
            </w:r>
          </w:p>
        </w:tc>
        <w:tc>
          <w:tcPr>
            <w:tcW w:w="567" w:type="dxa"/>
            <w:tcBorders>
              <w:bottom w:val="single" w:sz="4" w:space="0" w:color="000000"/>
            </w:tcBorders>
            <w:vAlign w:val="bottom"/>
          </w:tcPr>
          <w:p w14:paraId="7E1108CA" w14:textId="77777777" w:rsidR="008E5DE4" w:rsidRDefault="008E5DE4">
            <w:pPr>
              <w:widowControl w:val="0"/>
              <w:pBdr>
                <w:top w:val="nil"/>
                <w:left w:val="nil"/>
                <w:bottom w:val="nil"/>
                <w:right w:val="nil"/>
                <w:between w:val="nil"/>
              </w:pBdr>
              <w:jc w:val="center"/>
              <w:rPr>
                <w:b/>
                <w:color w:val="000000"/>
              </w:rPr>
            </w:pPr>
          </w:p>
        </w:tc>
        <w:tc>
          <w:tcPr>
            <w:tcW w:w="1531" w:type="dxa"/>
            <w:tcBorders>
              <w:bottom w:val="single" w:sz="4" w:space="0" w:color="000000"/>
            </w:tcBorders>
            <w:vAlign w:val="bottom"/>
          </w:tcPr>
          <w:p w14:paraId="6E8B2EB5"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4" w:space="0" w:color="000000"/>
            </w:tcBorders>
            <w:vAlign w:val="bottom"/>
          </w:tcPr>
          <w:p w14:paraId="6C8BC35F" w14:textId="77777777" w:rsidR="008E5DE4" w:rsidRDefault="008E5DE4">
            <w:pPr>
              <w:widowControl w:val="0"/>
              <w:pBdr>
                <w:top w:val="nil"/>
                <w:left w:val="nil"/>
                <w:bottom w:val="nil"/>
                <w:right w:val="nil"/>
                <w:between w:val="nil"/>
              </w:pBdr>
              <w:jc w:val="right"/>
              <w:rPr>
                <w:b/>
                <w:color w:val="000000"/>
              </w:rPr>
            </w:pPr>
          </w:p>
        </w:tc>
      </w:tr>
      <w:tr w:rsidR="008E5DE4" w14:paraId="5A87F124" w14:textId="77777777">
        <w:trPr>
          <w:cantSplit/>
        </w:trPr>
        <w:tc>
          <w:tcPr>
            <w:tcW w:w="5726" w:type="dxa"/>
            <w:vAlign w:val="bottom"/>
          </w:tcPr>
          <w:p w14:paraId="632CB64C" w14:textId="77777777" w:rsidR="008E5DE4" w:rsidRDefault="00780368">
            <w:pPr>
              <w:widowControl w:val="0"/>
              <w:pBdr>
                <w:top w:val="nil"/>
                <w:left w:val="nil"/>
                <w:bottom w:val="nil"/>
                <w:right w:val="nil"/>
                <w:between w:val="nil"/>
              </w:pBdr>
              <w:ind w:left="113" w:right="-57" w:hanging="113"/>
              <w:rPr>
                <w:b/>
                <w:color w:val="000000"/>
                <w:sz w:val="14"/>
                <w:szCs w:val="14"/>
              </w:rPr>
            </w:pPr>
            <w:r>
              <w:rPr>
                <w:b/>
                <w:color w:val="000000"/>
                <w:sz w:val="14"/>
                <w:szCs w:val="14"/>
              </w:rPr>
              <w:t> </w:t>
            </w:r>
          </w:p>
        </w:tc>
        <w:tc>
          <w:tcPr>
            <w:tcW w:w="567" w:type="dxa"/>
            <w:vAlign w:val="bottom"/>
          </w:tcPr>
          <w:p w14:paraId="455A68DC" w14:textId="77777777" w:rsidR="008E5DE4" w:rsidRDefault="008E5DE4">
            <w:pPr>
              <w:widowControl w:val="0"/>
              <w:pBdr>
                <w:top w:val="nil"/>
                <w:left w:val="nil"/>
                <w:bottom w:val="nil"/>
                <w:right w:val="nil"/>
                <w:between w:val="nil"/>
              </w:pBdr>
              <w:jc w:val="center"/>
              <w:rPr>
                <w:color w:val="000000"/>
                <w:sz w:val="14"/>
                <w:szCs w:val="14"/>
              </w:rPr>
            </w:pPr>
          </w:p>
        </w:tc>
        <w:tc>
          <w:tcPr>
            <w:tcW w:w="1531" w:type="dxa"/>
            <w:vAlign w:val="bottom"/>
          </w:tcPr>
          <w:p w14:paraId="3875A54D" w14:textId="77777777" w:rsidR="008E5DE4" w:rsidRDefault="008E5DE4">
            <w:pPr>
              <w:widowControl w:val="0"/>
              <w:pBdr>
                <w:top w:val="nil"/>
                <w:left w:val="nil"/>
                <w:bottom w:val="nil"/>
                <w:right w:val="nil"/>
                <w:between w:val="nil"/>
              </w:pBdr>
              <w:jc w:val="right"/>
              <w:rPr>
                <w:b/>
                <w:color w:val="000000"/>
                <w:sz w:val="14"/>
                <w:szCs w:val="14"/>
              </w:rPr>
            </w:pPr>
          </w:p>
        </w:tc>
        <w:tc>
          <w:tcPr>
            <w:tcW w:w="1531" w:type="dxa"/>
            <w:vAlign w:val="bottom"/>
          </w:tcPr>
          <w:p w14:paraId="14534B99" w14:textId="77777777" w:rsidR="008E5DE4" w:rsidRDefault="008E5DE4">
            <w:pPr>
              <w:widowControl w:val="0"/>
              <w:pBdr>
                <w:top w:val="nil"/>
                <w:left w:val="nil"/>
                <w:bottom w:val="nil"/>
                <w:right w:val="nil"/>
                <w:between w:val="nil"/>
              </w:pBdr>
              <w:jc w:val="right"/>
              <w:rPr>
                <w:b/>
                <w:color w:val="000000"/>
                <w:sz w:val="14"/>
                <w:szCs w:val="14"/>
              </w:rPr>
            </w:pPr>
          </w:p>
        </w:tc>
      </w:tr>
      <w:tr w:rsidR="008E5DE4" w14:paraId="23B29356" w14:textId="77777777">
        <w:trPr>
          <w:cantSplit/>
        </w:trPr>
        <w:tc>
          <w:tcPr>
            <w:tcW w:w="5726" w:type="dxa"/>
            <w:vAlign w:val="bottom"/>
          </w:tcPr>
          <w:p w14:paraId="636A3CED" w14:textId="77777777" w:rsidR="008E5DE4" w:rsidRDefault="00780368">
            <w:pPr>
              <w:widowControl w:val="0"/>
              <w:pBdr>
                <w:top w:val="nil"/>
                <w:left w:val="nil"/>
                <w:bottom w:val="nil"/>
                <w:right w:val="nil"/>
                <w:between w:val="nil"/>
              </w:pBdr>
              <w:ind w:left="113" w:right="-57" w:hanging="113"/>
              <w:rPr>
                <w:color w:val="000000"/>
              </w:rPr>
            </w:pPr>
            <w:r>
              <w:rPr>
                <w:color w:val="000000"/>
              </w:rPr>
              <w:t>Growth rate beyond five years</w:t>
            </w:r>
          </w:p>
        </w:tc>
        <w:tc>
          <w:tcPr>
            <w:tcW w:w="567" w:type="dxa"/>
            <w:vAlign w:val="bottom"/>
          </w:tcPr>
          <w:p w14:paraId="7DB0321A"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B7EFFC3" w14:textId="6DA12734" w:rsidR="008E5DE4" w:rsidRDefault="00160220">
            <w:pPr>
              <w:widowControl w:val="0"/>
              <w:pBdr>
                <w:top w:val="nil"/>
                <w:left w:val="nil"/>
                <w:bottom w:val="nil"/>
                <w:right w:val="nil"/>
                <w:between w:val="nil"/>
              </w:pBdr>
              <w:jc w:val="right"/>
              <w:rPr>
                <w:color w:val="000000"/>
              </w:rPr>
            </w:pPr>
            <w:r w:rsidRPr="00160220">
              <w:rPr>
                <w:color w:val="0000FF"/>
              </w:rPr>
              <w:t>X%</w:t>
            </w:r>
            <w:r w:rsidR="00780368">
              <w:rPr>
                <w:color w:val="000000"/>
              </w:rPr>
              <w:t xml:space="preserve"> p.a.</w:t>
            </w:r>
          </w:p>
        </w:tc>
        <w:tc>
          <w:tcPr>
            <w:tcW w:w="1531" w:type="dxa"/>
            <w:vAlign w:val="bottom"/>
          </w:tcPr>
          <w:p w14:paraId="0226C079" w14:textId="6BCE4F6C" w:rsidR="008E5DE4" w:rsidRDefault="00160220">
            <w:pPr>
              <w:widowControl w:val="0"/>
              <w:pBdr>
                <w:top w:val="nil"/>
                <w:left w:val="nil"/>
                <w:bottom w:val="nil"/>
                <w:right w:val="nil"/>
                <w:between w:val="nil"/>
              </w:pBdr>
              <w:jc w:val="right"/>
              <w:rPr>
                <w:color w:val="000000"/>
              </w:rPr>
            </w:pPr>
            <w:r w:rsidRPr="00160220">
              <w:rPr>
                <w:color w:val="0000FF"/>
              </w:rPr>
              <w:t>X%</w:t>
            </w:r>
            <w:r w:rsidR="00780368">
              <w:rPr>
                <w:color w:val="000000"/>
              </w:rPr>
              <w:t xml:space="preserve"> p.a.</w:t>
            </w:r>
          </w:p>
        </w:tc>
      </w:tr>
      <w:tr w:rsidR="008E5DE4" w14:paraId="5934ADA2" w14:textId="77777777">
        <w:trPr>
          <w:cantSplit/>
        </w:trPr>
        <w:tc>
          <w:tcPr>
            <w:tcW w:w="5726" w:type="dxa"/>
            <w:vAlign w:val="bottom"/>
          </w:tcPr>
          <w:p w14:paraId="14CB189F" w14:textId="77777777" w:rsidR="008E5DE4" w:rsidRDefault="00780368">
            <w:pPr>
              <w:widowControl w:val="0"/>
              <w:pBdr>
                <w:top w:val="nil"/>
                <w:left w:val="nil"/>
                <w:bottom w:val="nil"/>
                <w:right w:val="nil"/>
                <w:between w:val="nil"/>
              </w:pBdr>
              <w:ind w:left="113" w:right="-57" w:hanging="113"/>
              <w:rPr>
                <w:color w:val="000000"/>
              </w:rPr>
            </w:pPr>
            <w:r>
              <w:rPr>
                <w:color w:val="000000"/>
              </w:rPr>
              <w:t>Pre-tax discount rate</w:t>
            </w:r>
          </w:p>
        </w:tc>
        <w:tc>
          <w:tcPr>
            <w:tcW w:w="567" w:type="dxa"/>
            <w:vAlign w:val="bottom"/>
          </w:tcPr>
          <w:p w14:paraId="4E7C5617"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2FF9164" w14:textId="2A47342E" w:rsidR="008E5DE4" w:rsidRDefault="00160220">
            <w:pPr>
              <w:widowControl w:val="0"/>
              <w:pBdr>
                <w:top w:val="nil"/>
                <w:left w:val="nil"/>
                <w:bottom w:val="nil"/>
                <w:right w:val="nil"/>
                <w:between w:val="nil"/>
              </w:pBdr>
              <w:jc w:val="right"/>
              <w:rPr>
                <w:color w:val="000000"/>
              </w:rPr>
            </w:pPr>
            <w:r w:rsidRPr="00160220">
              <w:rPr>
                <w:color w:val="0000FF"/>
              </w:rPr>
              <w:t>X%</w:t>
            </w:r>
            <w:r w:rsidR="00780368">
              <w:rPr>
                <w:color w:val="000000"/>
              </w:rPr>
              <w:t xml:space="preserve"> p.a.</w:t>
            </w:r>
          </w:p>
        </w:tc>
        <w:tc>
          <w:tcPr>
            <w:tcW w:w="1531" w:type="dxa"/>
            <w:vAlign w:val="bottom"/>
          </w:tcPr>
          <w:p w14:paraId="7179656B" w14:textId="2E1AEA5E" w:rsidR="008E5DE4" w:rsidRDefault="00160220">
            <w:pPr>
              <w:widowControl w:val="0"/>
              <w:pBdr>
                <w:top w:val="nil"/>
                <w:left w:val="nil"/>
                <w:bottom w:val="nil"/>
                <w:right w:val="nil"/>
                <w:between w:val="nil"/>
              </w:pBdr>
              <w:jc w:val="right"/>
              <w:rPr>
                <w:color w:val="000000"/>
              </w:rPr>
            </w:pPr>
            <w:r w:rsidRPr="00160220">
              <w:rPr>
                <w:color w:val="0000FF"/>
              </w:rPr>
              <w:t>X%</w:t>
            </w:r>
            <w:r w:rsidR="00780368">
              <w:rPr>
                <w:color w:val="000000"/>
              </w:rPr>
              <w:t xml:space="preserve"> p.a.</w:t>
            </w:r>
          </w:p>
        </w:tc>
      </w:tr>
      <w:tr w:rsidR="008E5DE4" w14:paraId="2D9EFDC3" w14:textId="77777777">
        <w:trPr>
          <w:cantSplit/>
        </w:trPr>
        <w:tc>
          <w:tcPr>
            <w:tcW w:w="5726" w:type="dxa"/>
            <w:tcBorders>
              <w:bottom w:val="single" w:sz="12" w:space="0" w:color="000000"/>
            </w:tcBorders>
            <w:vAlign w:val="bottom"/>
          </w:tcPr>
          <w:p w14:paraId="703FB768" w14:textId="77777777" w:rsidR="008E5DE4" w:rsidRDefault="00780368">
            <w:pPr>
              <w:widowControl w:val="0"/>
              <w:pBdr>
                <w:top w:val="nil"/>
                <w:left w:val="nil"/>
                <w:bottom w:val="nil"/>
                <w:right w:val="nil"/>
                <w:between w:val="nil"/>
              </w:pBdr>
              <w:ind w:left="113" w:right="-57" w:hanging="113"/>
              <w:rPr>
                <w:b/>
                <w:color w:val="000000"/>
                <w:sz w:val="14"/>
                <w:szCs w:val="14"/>
              </w:rPr>
            </w:pPr>
            <w:r>
              <w:rPr>
                <w:b/>
                <w:color w:val="000000"/>
                <w:sz w:val="14"/>
                <w:szCs w:val="14"/>
              </w:rPr>
              <w:t> </w:t>
            </w:r>
          </w:p>
        </w:tc>
        <w:tc>
          <w:tcPr>
            <w:tcW w:w="567" w:type="dxa"/>
            <w:tcBorders>
              <w:bottom w:val="single" w:sz="12" w:space="0" w:color="000000"/>
            </w:tcBorders>
            <w:vAlign w:val="bottom"/>
          </w:tcPr>
          <w:p w14:paraId="576BFCD4" w14:textId="77777777" w:rsidR="008E5DE4" w:rsidRDefault="008E5DE4">
            <w:pPr>
              <w:widowControl w:val="0"/>
              <w:pBdr>
                <w:top w:val="nil"/>
                <w:left w:val="nil"/>
                <w:bottom w:val="nil"/>
                <w:right w:val="nil"/>
                <w:between w:val="nil"/>
              </w:pBdr>
              <w:jc w:val="center"/>
              <w:rPr>
                <w:color w:val="000000"/>
                <w:sz w:val="14"/>
                <w:szCs w:val="14"/>
              </w:rPr>
            </w:pPr>
          </w:p>
        </w:tc>
        <w:tc>
          <w:tcPr>
            <w:tcW w:w="1531" w:type="dxa"/>
            <w:tcBorders>
              <w:bottom w:val="single" w:sz="12" w:space="0" w:color="000000"/>
            </w:tcBorders>
            <w:vAlign w:val="bottom"/>
          </w:tcPr>
          <w:p w14:paraId="64CF2828" w14:textId="77777777" w:rsidR="008E5DE4" w:rsidRDefault="008E5DE4">
            <w:pPr>
              <w:widowControl w:val="0"/>
              <w:pBdr>
                <w:top w:val="nil"/>
                <w:left w:val="nil"/>
                <w:bottom w:val="nil"/>
                <w:right w:val="nil"/>
                <w:between w:val="nil"/>
              </w:pBdr>
              <w:jc w:val="right"/>
              <w:rPr>
                <w:color w:val="000000"/>
                <w:sz w:val="14"/>
                <w:szCs w:val="14"/>
              </w:rPr>
            </w:pPr>
          </w:p>
        </w:tc>
        <w:tc>
          <w:tcPr>
            <w:tcW w:w="1531" w:type="dxa"/>
            <w:tcBorders>
              <w:bottom w:val="single" w:sz="12" w:space="0" w:color="000000"/>
            </w:tcBorders>
            <w:vAlign w:val="bottom"/>
          </w:tcPr>
          <w:p w14:paraId="7A4469E2" w14:textId="77777777" w:rsidR="008E5DE4" w:rsidRDefault="008E5DE4">
            <w:pPr>
              <w:widowControl w:val="0"/>
              <w:pBdr>
                <w:top w:val="nil"/>
                <w:left w:val="nil"/>
                <w:bottom w:val="nil"/>
                <w:right w:val="nil"/>
                <w:between w:val="nil"/>
              </w:pBdr>
              <w:jc w:val="right"/>
              <w:rPr>
                <w:color w:val="000000"/>
                <w:sz w:val="14"/>
                <w:szCs w:val="14"/>
              </w:rPr>
            </w:pPr>
          </w:p>
        </w:tc>
      </w:tr>
    </w:tbl>
    <w:p w14:paraId="4779E2A7" w14:textId="0D1229EA"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Management determined the budgeted gross margin based on past performance and its market expectations. The weighted average growth rates used are consistent with the forecasts included in industry reports. </w:t>
      </w:r>
    </w:p>
    <w:p w14:paraId="29F8FF14" w14:textId="47AC4756"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discount rates used are pre-tax and reflect specific risks relating to the relevant CGUs. If the revised estimated pre-tax discount rate applied to the discounted cash flows of the _____ CGU had been _____ % higher than management’s estimates, the Group would need to reduce the carrying value of goodwill by EUR _____ thousand and property, plant and equipment by EUR _____ thousand. Had this impairment been recognised, the Group would not be able to reverse any impairment losses that arose on goodwill in subsequent periods even if circumstances improve. The recoverable amount of the _____ CGU exceeds </w:t>
      </w:r>
      <w:proofErr w:type="gramStart"/>
      <w:r>
        <w:rPr>
          <w:color w:val="000000"/>
          <w:sz w:val="20"/>
          <w:szCs w:val="20"/>
        </w:rPr>
        <w:t>its</w:t>
      </w:r>
      <w:proofErr w:type="gramEnd"/>
      <w:r>
        <w:rPr>
          <w:color w:val="000000"/>
          <w:sz w:val="20"/>
          <w:szCs w:val="20"/>
        </w:rPr>
        <w:t xml:space="preserve"> carrying amount by EUR _____ thousand. The CGUs’ carrying amount would be equal to value in use at a discount rate of _____ % p.a. </w:t>
      </w:r>
    </w:p>
    <w:p w14:paraId="505E7702" w14:textId="1DBA761D" w:rsidR="008E5DE4" w:rsidRDefault="00780368">
      <w:pPr>
        <w:widowControl w:val="0"/>
        <w:spacing w:before="200" w:after="200"/>
        <w:jc w:val="both"/>
        <w:rPr>
          <w:i/>
          <w:color w:val="FF0000"/>
          <w:sz w:val="20"/>
          <w:szCs w:val="20"/>
        </w:rPr>
      </w:pPr>
      <w:bookmarkStart w:id="21" w:name="_heading=h.1y810tw" w:colFirst="0" w:colLast="0"/>
      <w:bookmarkEnd w:id="21"/>
      <w:r>
        <w:rPr>
          <w:sz w:val="20"/>
          <w:szCs w:val="20"/>
        </w:rPr>
        <w:t>The impairment charge arose in the _____ CGU.</w:t>
      </w:r>
    </w:p>
    <w:p w14:paraId="107784FF" w14:textId="77777777" w:rsidR="009D6ED6" w:rsidRDefault="009D6ED6">
      <w:pPr>
        <w:rPr>
          <w:b/>
          <w:kern w:val="28"/>
          <w:sz w:val="20"/>
        </w:rPr>
      </w:pPr>
      <w:bookmarkStart w:id="22" w:name="_Toc149923612"/>
      <w:r>
        <w:br w:type="page"/>
      </w:r>
    </w:p>
    <w:p w14:paraId="53087246" w14:textId="6F404A83" w:rsidR="008E5DE4" w:rsidRDefault="00780368" w:rsidP="00AC0EA9">
      <w:pPr>
        <w:pStyle w:val="Heading1"/>
        <w:keepLines/>
        <w:numPr>
          <w:ilvl w:val="0"/>
          <w:numId w:val="3"/>
        </w:numPr>
        <w:ind w:left="567" w:hanging="567"/>
      </w:pPr>
      <w:r>
        <w:lastRenderedPageBreak/>
        <w:t>Other Intangible Assets</w:t>
      </w:r>
      <w:bookmarkEnd w:id="22"/>
    </w:p>
    <w:p w14:paraId="0614CC83" w14:textId="29B403BC"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66F67256" w14:textId="77777777" w:rsidR="008E5DE4" w:rsidRDefault="008E5DE4">
      <w:pPr>
        <w:shd w:val="clear" w:color="auto" w:fill="C6D9F1"/>
        <w:rPr>
          <w:i/>
          <w:color w:val="FF0000"/>
          <w:sz w:val="20"/>
          <w:szCs w:val="20"/>
        </w:rPr>
      </w:pPr>
    </w:p>
    <w:p w14:paraId="2228E85D" w14:textId="50146742" w:rsidR="008E5DE4" w:rsidRDefault="00780368">
      <w:pPr>
        <w:widowControl w:val="0"/>
        <w:pBdr>
          <w:top w:val="nil"/>
          <w:left w:val="nil"/>
          <w:bottom w:val="nil"/>
          <w:right w:val="nil"/>
          <w:between w:val="nil"/>
        </w:pBdr>
        <w:shd w:val="clear" w:color="auto" w:fill="C6D9F1"/>
        <w:spacing w:after="120"/>
        <w:jc w:val="both"/>
        <w:rPr>
          <w:color w:val="000000"/>
          <w:sz w:val="20"/>
          <w:szCs w:val="20"/>
        </w:rPr>
      </w:pPr>
      <w:r>
        <w:rPr>
          <w:b/>
          <w:i/>
          <w:color w:val="000000"/>
          <w:sz w:val="20"/>
          <w:szCs w:val="20"/>
        </w:rPr>
        <w:t xml:space="preserve">Intangible assets other than goodwill. </w:t>
      </w:r>
      <w:r>
        <w:rPr>
          <w:color w:val="000000"/>
          <w:sz w:val="20"/>
          <w:szCs w:val="20"/>
        </w:rPr>
        <w:t xml:space="preserve">The Group’s intangible assets other than goodwill have definite useful lives and primarily include capitalised computer software, patents, trademarks and licences </w:t>
      </w:r>
      <w:r>
        <w:rPr>
          <w:color w:val="0000FF"/>
          <w:sz w:val="20"/>
          <w:szCs w:val="20"/>
        </w:rPr>
        <w:t>[specify the nature of any other intangibles]</w:t>
      </w:r>
      <w:r>
        <w:rPr>
          <w:color w:val="000000"/>
          <w:sz w:val="20"/>
          <w:szCs w:val="20"/>
        </w:rPr>
        <w:t xml:space="preserve">. </w:t>
      </w:r>
    </w:p>
    <w:p w14:paraId="16670C62" w14:textId="77777777" w:rsidR="008E5DE4" w:rsidRDefault="00780368">
      <w:pPr>
        <w:widowControl w:val="0"/>
        <w:pBdr>
          <w:top w:val="nil"/>
          <w:left w:val="nil"/>
          <w:bottom w:val="nil"/>
          <w:right w:val="nil"/>
          <w:between w:val="nil"/>
        </w:pBdr>
        <w:shd w:val="clear" w:color="auto" w:fill="C6D9F1"/>
        <w:spacing w:after="120"/>
        <w:jc w:val="both"/>
        <w:rPr>
          <w:color w:val="000000"/>
          <w:sz w:val="20"/>
          <w:szCs w:val="20"/>
        </w:rPr>
      </w:pPr>
      <w:r>
        <w:rPr>
          <w:color w:val="000000"/>
          <w:sz w:val="20"/>
          <w:szCs w:val="20"/>
        </w:rPr>
        <w:t xml:space="preserve">Acquired computer software licences, patents and trademarks </w:t>
      </w:r>
      <w:r>
        <w:rPr>
          <w:color w:val="0000FF"/>
          <w:sz w:val="20"/>
          <w:szCs w:val="20"/>
        </w:rPr>
        <w:t xml:space="preserve">[specify the nature of any other intangibles] </w:t>
      </w:r>
      <w:r>
        <w:rPr>
          <w:color w:val="000000"/>
          <w:sz w:val="20"/>
          <w:szCs w:val="20"/>
        </w:rPr>
        <w:t xml:space="preserve">are capitalised </w:t>
      </w:r>
      <w:proofErr w:type="gramStart"/>
      <w:r>
        <w:rPr>
          <w:color w:val="000000"/>
          <w:sz w:val="20"/>
          <w:szCs w:val="20"/>
        </w:rPr>
        <w:t>on the basis of</w:t>
      </w:r>
      <w:proofErr w:type="gramEnd"/>
      <w:r>
        <w:rPr>
          <w:color w:val="000000"/>
          <w:sz w:val="20"/>
          <w:szCs w:val="20"/>
        </w:rPr>
        <w:t xml:space="preserve"> the costs incurred to acquire and bring them to use. </w:t>
      </w:r>
    </w:p>
    <w:p w14:paraId="0A52C1DA" w14:textId="77777777" w:rsidR="008E5DE4" w:rsidRDefault="00780368">
      <w:pPr>
        <w:widowControl w:val="0"/>
        <w:pBdr>
          <w:top w:val="nil"/>
          <w:left w:val="nil"/>
          <w:bottom w:val="nil"/>
          <w:right w:val="nil"/>
          <w:between w:val="nil"/>
        </w:pBdr>
        <w:shd w:val="clear" w:color="auto" w:fill="C6D9F1"/>
        <w:spacing w:after="120"/>
        <w:jc w:val="both"/>
        <w:rPr>
          <w:color w:val="000000"/>
          <w:sz w:val="20"/>
          <w:szCs w:val="20"/>
        </w:rPr>
      </w:pPr>
      <w:r>
        <w:rPr>
          <w:color w:val="000000"/>
          <w:sz w:val="20"/>
          <w:szCs w:val="20"/>
        </w:rPr>
        <w:t xml:space="preserve">Development costs that are directly associated with identifiable and unique software controlled by the Group are recorded as intangible assets if an inflow of incremental economic benefits exceeding costs is probable. Capitalised costs include employee benefits expense of the software development team and an appropriate portion of relevant overheads. All other costs associated with computer software, e.g. its maintenance, are expensed when incurred. </w:t>
      </w:r>
    </w:p>
    <w:p w14:paraId="23E38F28"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Intangible assets are amortised using the straight-line method over their useful lives:</w:t>
      </w:r>
    </w:p>
    <w:tbl>
      <w:tblPr>
        <w:tblStyle w:val="afff4"/>
        <w:tblW w:w="9360" w:type="dxa"/>
        <w:tblLayout w:type="fixed"/>
        <w:tblLook w:val="0000" w:firstRow="0" w:lastRow="0" w:firstColumn="0" w:lastColumn="0" w:noHBand="0" w:noVBand="0"/>
      </w:tblPr>
      <w:tblGrid>
        <w:gridCol w:w="6519"/>
        <w:gridCol w:w="2841"/>
      </w:tblGrid>
      <w:tr w:rsidR="008E5DE4" w14:paraId="1A827AC2" w14:textId="77777777">
        <w:trPr>
          <w:cantSplit/>
        </w:trPr>
        <w:tc>
          <w:tcPr>
            <w:tcW w:w="6519" w:type="dxa"/>
            <w:vAlign w:val="bottom"/>
          </w:tcPr>
          <w:p w14:paraId="6BF7A587" w14:textId="77777777" w:rsidR="008E5DE4" w:rsidRDefault="008E5DE4">
            <w:pPr>
              <w:widowControl w:val="0"/>
              <w:shd w:val="clear" w:color="auto" w:fill="C6D9F1"/>
            </w:pPr>
          </w:p>
        </w:tc>
        <w:tc>
          <w:tcPr>
            <w:tcW w:w="2841" w:type="dxa"/>
            <w:vAlign w:val="bottom"/>
          </w:tcPr>
          <w:p w14:paraId="16962E7F" w14:textId="77777777" w:rsidR="008E5DE4" w:rsidRDefault="00780368">
            <w:pPr>
              <w:widowControl w:val="0"/>
              <w:shd w:val="clear" w:color="auto" w:fill="C6D9F1"/>
              <w:jc w:val="right"/>
            </w:pPr>
            <w:r>
              <w:rPr>
                <w:u w:val="single"/>
              </w:rPr>
              <w:t>Useful lives in years</w:t>
            </w:r>
          </w:p>
        </w:tc>
      </w:tr>
      <w:tr w:rsidR="008E5DE4" w14:paraId="56415467" w14:textId="77777777">
        <w:trPr>
          <w:cantSplit/>
        </w:trPr>
        <w:tc>
          <w:tcPr>
            <w:tcW w:w="6519" w:type="dxa"/>
            <w:vAlign w:val="bottom"/>
          </w:tcPr>
          <w:p w14:paraId="1AAC15EF" w14:textId="77777777" w:rsidR="008E5DE4" w:rsidRDefault="00780368">
            <w:pPr>
              <w:widowControl w:val="0"/>
              <w:shd w:val="clear" w:color="auto" w:fill="C6D9F1"/>
            </w:pPr>
            <w:r>
              <w:t>Patents</w:t>
            </w:r>
          </w:p>
        </w:tc>
        <w:tc>
          <w:tcPr>
            <w:tcW w:w="2841" w:type="dxa"/>
            <w:vAlign w:val="bottom"/>
          </w:tcPr>
          <w:p w14:paraId="56D220CE" w14:textId="77777777" w:rsidR="008E5DE4" w:rsidRDefault="00780368">
            <w:pPr>
              <w:widowControl w:val="0"/>
              <w:shd w:val="clear" w:color="auto" w:fill="C6D9F1"/>
              <w:jc w:val="right"/>
              <w:rPr>
                <w:color w:val="0000FF"/>
              </w:rPr>
            </w:pPr>
            <w:r>
              <w:rPr>
                <w:color w:val="0000FF"/>
              </w:rPr>
              <w:t>[5-10 years]</w:t>
            </w:r>
          </w:p>
        </w:tc>
      </w:tr>
      <w:tr w:rsidR="008E5DE4" w14:paraId="0954436D" w14:textId="77777777">
        <w:trPr>
          <w:cantSplit/>
        </w:trPr>
        <w:tc>
          <w:tcPr>
            <w:tcW w:w="6519" w:type="dxa"/>
            <w:vAlign w:val="bottom"/>
          </w:tcPr>
          <w:p w14:paraId="234FDDE5" w14:textId="77777777" w:rsidR="008E5DE4" w:rsidRDefault="00780368">
            <w:pPr>
              <w:widowControl w:val="0"/>
              <w:shd w:val="clear" w:color="auto" w:fill="C6D9F1"/>
            </w:pPr>
            <w:r>
              <w:t xml:space="preserve">Trademarks </w:t>
            </w:r>
          </w:p>
        </w:tc>
        <w:tc>
          <w:tcPr>
            <w:tcW w:w="2841" w:type="dxa"/>
            <w:vAlign w:val="bottom"/>
          </w:tcPr>
          <w:p w14:paraId="4A0051F0" w14:textId="77777777" w:rsidR="008E5DE4" w:rsidRDefault="00780368">
            <w:pPr>
              <w:widowControl w:val="0"/>
              <w:shd w:val="clear" w:color="auto" w:fill="C6D9F1"/>
              <w:jc w:val="right"/>
              <w:rPr>
                <w:color w:val="0000FF"/>
              </w:rPr>
            </w:pPr>
            <w:r>
              <w:rPr>
                <w:color w:val="0000FF"/>
              </w:rPr>
              <w:t>[10-20 years]</w:t>
            </w:r>
          </w:p>
        </w:tc>
      </w:tr>
      <w:tr w:rsidR="008E5DE4" w14:paraId="36837857" w14:textId="77777777">
        <w:trPr>
          <w:cantSplit/>
        </w:trPr>
        <w:tc>
          <w:tcPr>
            <w:tcW w:w="6519" w:type="dxa"/>
            <w:vAlign w:val="bottom"/>
          </w:tcPr>
          <w:p w14:paraId="00AB5AE8" w14:textId="77777777" w:rsidR="008E5DE4" w:rsidRDefault="00780368">
            <w:pPr>
              <w:widowControl w:val="0"/>
              <w:shd w:val="clear" w:color="auto" w:fill="C6D9F1"/>
            </w:pPr>
            <w:r>
              <w:t>Software licences</w:t>
            </w:r>
          </w:p>
        </w:tc>
        <w:tc>
          <w:tcPr>
            <w:tcW w:w="2841" w:type="dxa"/>
            <w:vAlign w:val="bottom"/>
          </w:tcPr>
          <w:p w14:paraId="48CB337F" w14:textId="77777777" w:rsidR="008E5DE4" w:rsidRDefault="00780368">
            <w:pPr>
              <w:widowControl w:val="0"/>
              <w:shd w:val="clear" w:color="auto" w:fill="C6D9F1"/>
              <w:jc w:val="right"/>
              <w:rPr>
                <w:color w:val="0000FF"/>
              </w:rPr>
            </w:pPr>
            <w:r>
              <w:rPr>
                <w:color w:val="0000FF"/>
              </w:rPr>
              <w:t>[3 years]</w:t>
            </w:r>
          </w:p>
        </w:tc>
      </w:tr>
      <w:tr w:rsidR="008E5DE4" w14:paraId="5B011B65" w14:textId="77777777">
        <w:trPr>
          <w:cantSplit/>
        </w:trPr>
        <w:tc>
          <w:tcPr>
            <w:tcW w:w="6519" w:type="dxa"/>
            <w:vAlign w:val="bottom"/>
          </w:tcPr>
          <w:p w14:paraId="6CAC6171" w14:textId="77777777" w:rsidR="008E5DE4" w:rsidRDefault="00780368">
            <w:pPr>
              <w:widowControl w:val="0"/>
              <w:shd w:val="clear" w:color="auto" w:fill="C6D9F1"/>
            </w:pPr>
            <w:r>
              <w:t>Capitalised internal software development costs</w:t>
            </w:r>
          </w:p>
        </w:tc>
        <w:tc>
          <w:tcPr>
            <w:tcW w:w="2841" w:type="dxa"/>
            <w:vAlign w:val="bottom"/>
          </w:tcPr>
          <w:p w14:paraId="2C2322F7" w14:textId="77777777" w:rsidR="008E5DE4" w:rsidRDefault="00780368">
            <w:pPr>
              <w:widowControl w:val="0"/>
              <w:shd w:val="clear" w:color="auto" w:fill="C6D9F1"/>
              <w:jc w:val="right"/>
              <w:rPr>
                <w:color w:val="0000FF"/>
              </w:rPr>
            </w:pPr>
            <w:r>
              <w:rPr>
                <w:color w:val="0000FF"/>
              </w:rPr>
              <w:t>[3 years]</w:t>
            </w:r>
          </w:p>
        </w:tc>
      </w:tr>
      <w:tr w:rsidR="008E5DE4" w14:paraId="5DDD9536" w14:textId="77777777">
        <w:trPr>
          <w:cantSplit/>
        </w:trPr>
        <w:tc>
          <w:tcPr>
            <w:tcW w:w="6519" w:type="dxa"/>
            <w:vAlign w:val="bottom"/>
          </w:tcPr>
          <w:p w14:paraId="5484DE56" w14:textId="77777777" w:rsidR="008E5DE4" w:rsidRDefault="00780368">
            <w:pPr>
              <w:widowControl w:val="0"/>
              <w:shd w:val="clear" w:color="auto" w:fill="C6D9F1"/>
            </w:pPr>
            <w:r>
              <w:t>Other licences</w:t>
            </w:r>
          </w:p>
        </w:tc>
        <w:tc>
          <w:tcPr>
            <w:tcW w:w="2841" w:type="dxa"/>
            <w:vAlign w:val="bottom"/>
          </w:tcPr>
          <w:p w14:paraId="0852719F" w14:textId="77777777" w:rsidR="008E5DE4" w:rsidRDefault="00780368">
            <w:pPr>
              <w:widowControl w:val="0"/>
              <w:shd w:val="clear" w:color="auto" w:fill="C6D9F1"/>
              <w:jc w:val="right"/>
              <w:rPr>
                <w:color w:val="0000FF"/>
              </w:rPr>
            </w:pPr>
            <w:r>
              <w:rPr>
                <w:color w:val="0000FF"/>
              </w:rPr>
              <w:t>[5-7 years]</w:t>
            </w:r>
          </w:p>
        </w:tc>
      </w:tr>
    </w:tbl>
    <w:p w14:paraId="18B21827" w14:textId="77777777" w:rsidR="008E5DE4" w:rsidRDefault="00780368">
      <w:pPr>
        <w:widowControl w:val="0"/>
        <w:pBdr>
          <w:top w:val="nil"/>
          <w:left w:val="nil"/>
          <w:bottom w:val="nil"/>
          <w:right w:val="nil"/>
          <w:between w:val="nil"/>
        </w:pBdr>
        <w:shd w:val="clear" w:color="auto" w:fill="C6D9F1"/>
        <w:spacing w:after="120"/>
        <w:jc w:val="both"/>
        <w:rPr>
          <w:b/>
          <w:color w:val="000000"/>
          <w:sz w:val="20"/>
          <w:szCs w:val="20"/>
        </w:rPr>
      </w:pPr>
      <w:r>
        <w:rPr>
          <w:color w:val="000000"/>
          <w:sz w:val="20"/>
          <w:szCs w:val="20"/>
        </w:rPr>
        <w:t>If impaired, the carrying amount of intangible assets is written down to the higher of value in use and fair value less costs of disposal.</w:t>
      </w:r>
    </w:p>
    <w:p w14:paraId="7C77DB6D" w14:textId="77777777" w:rsidR="008E5DE4" w:rsidRDefault="00780368">
      <w:pPr>
        <w:widowControl w:val="0"/>
        <w:pBdr>
          <w:top w:val="nil"/>
          <w:left w:val="nil"/>
          <w:bottom w:val="nil"/>
          <w:right w:val="nil"/>
          <w:between w:val="nil"/>
        </w:pBdr>
        <w:shd w:val="clear" w:color="auto" w:fill="C6D9F1"/>
        <w:spacing w:after="120"/>
        <w:jc w:val="both"/>
        <w:rPr>
          <w:color w:val="000000"/>
          <w:sz w:val="20"/>
          <w:szCs w:val="20"/>
        </w:rPr>
      </w:pPr>
      <w:r>
        <w:rPr>
          <w:b/>
          <w:i/>
          <w:color w:val="000000"/>
          <w:sz w:val="20"/>
          <w:szCs w:val="20"/>
        </w:rPr>
        <w:t xml:space="preserve">Impairment of intangible assets other than goodwill. </w:t>
      </w:r>
      <w:r>
        <w:rPr>
          <w:color w:val="000000"/>
          <w:sz w:val="20"/>
          <w:szCs w:val="20"/>
        </w:rPr>
        <w:t>intangible assets that have an indefinite useful life or intangible assets not ready for use are not subject to amortisation and are tested annually for impairment. Assets that are subject to amortisation are reviewed for impairment whenever events or changes in circumstances indicate that the carrying amount may not be recoverable. An impairment loss is recognised for the amount by which the asset’s carrying amount exceeds its recoverable amount. The recoverable amount is the higher of an asset’s fair value less costs of disposal and value in use. For the purposes of assessing impairment, assets are grouped at the lowest levels for which there are largely independent cash inflows (cash-generating units). Prior impairments of non-financial assets (other than goodwill) are reviewed for possible reversal at each reporting date.</w:t>
      </w:r>
    </w:p>
    <w:p w14:paraId="1D29CF4D" w14:textId="7E61ABC1" w:rsidR="008E5DE4" w:rsidRDefault="00780368">
      <w:pPr>
        <w:widowControl w:val="0"/>
        <w:pBdr>
          <w:top w:val="nil"/>
          <w:left w:val="nil"/>
          <w:bottom w:val="nil"/>
          <w:right w:val="nil"/>
          <w:between w:val="nil"/>
        </w:pBdr>
        <w:shd w:val="clear" w:color="auto" w:fill="C6D9F1"/>
        <w:spacing w:after="120"/>
        <w:jc w:val="both"/>
        <w:rPr>
          <w:i/>
          <w:color w:val="FF0000"/>
          <w:sz w:val="20"/>
          <w:szCs w:val="20"/>
        </w:rPr>
      </w:pPr>
      <w:r>
        <w:rPr>
          <w:b/>
          <w:i/>
          <w:color w:val="000000"/>
          <w:sz w:val="20"/>
          <w:szCs w:val="20"/>
        </w:rPr>
        <w:t xml:space="preserve">Research and development costs. </w:t>
      </w:r>
      <w:r>
        <w:rPr>
          <w:color w:val="000000"/>
          <w:sz w:val="20"/>
          <w:szCs w:val="20"/>
        </w:rPr>
        <w:t xml:space="preserve">Research expenditure is recognised as an expense when incurred. Costs incurred on development projects (relating to the design and testing of new or improved products) are recognised as intangible assets when it is probable that the project will be a success considering its commercial and technological feasibility, and costs can be measured reliably. Other development expenditures are recognised as an expense as incurred. Development costs previously recognised as an expense are not recognised as an asset in a subsequent period. Development costs with a finite useful life that have been capitalised are amortised from the commencement of the commercial production of the product on a straight-line basis over the period of its expected benefit, on average over ____ years. </w:t>
      </w:r>
    </w:p>
    <w:p w14:paraId="68027A5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13</w:t>
      </w:r>
      <w:r>
        <w:rPr>
          <w:b/>
          <w:color w:val="000000"/>
          <w:sz w:val="20"/>
          <w:szCs w:val="20"/>
        </w:rPr>
        <w:tab/>
        <w:t>Other Intangible Assets (Continued)</w:t>
      </w:r>
    </w:p>
    <w:p w14:paraId="421C2C61" w14:textId="77777777" w:rsidR="008E5DE4" w:rsidRDefault="008E5DE4"/>
    <w:tbl>
      <w:tblPr>
        <w:tblStyle w:val="afff5"/>
        <w:tblW w:w="9353" w:type="dxa"/>
        <w:tblLayout w:type="fixed"/>
        <w:tblLook w:val="0000" w:firstRow="0" w:lastRow="0" w:firstColumn="0" w:lastColumn="0" w:noHBand="0" w:noVBand="0"/>
      </w:tblPr>
      <w:tblGrid>
        <w:gridCol w:w="2324"/>
        <w:gridCol w:w="567"/>
        <w:gridCol w:w="1077"/>
        <w:gridCol w:w="1077"/>
        <w:gridCol w:w="1077"/>
        <w:gridCol w:w="1077"/>
        <w:gridCol w:w="1077"/>
        <w:gridCol w:w="1077"/>
      </w:tblGrid>
      <w:tr w:rsidR="008E5DE4" w14:paraId="7F617EB0" w14:textId="77777777">
        <w:trPr>
          <w:cantSplit/>
          <w:tblHeader/>
        </w:trPr>
        <w:tc>
          <w:tcPr>
            <w:tcW w:w="2324" w:type="dxa"/>
            <w:tcBorders>
              <w:bottom w:val="single" w:sz="4" w:space="0" w:color="000000"/>
            </w:tcBorders>
            <w:vAlign w:val="bottom"/>
          </w:tcPr>
          <w:p w14:paraId="4DDF57BC" w14:textId="77777777" w:rsidR="008E5DE4" w:rsidRDefault="00780368">
            <w:pPr>
              <w:keepNext/>
              <w:keepLines/>
              <w:widowControl w:val="0"/>
              <w:pBdr>
                <w:top w:val="nil"/>
                <w:left w:val="nil"/>
                <w:bottom w:val="nil"/>
                <w:right w:val="nil"/>
                <w:between w:val="nil"/>
              </w:pBdr>
              <w:ind w:left="113" w:right="-57" w:hanging="113"/>
              <w:rPr>
                <w:b/>
                <w:i/>
                <w:color w:val="000000"/>
              </w:rPr>
            </w:pPr>
            <w:r>
              <w:rPr>
                <w:i/>
                <w:color w:val="000000"/>
              </w:rPr>
              <w:t>In thousands of EUR</w:t>
            </w:r>
          </w:p>
        </w:tc>
        <w:tc>
          <w:tcPr>
            <w:tcW w:w="567" w:type="dxa"/>
            <w:tcBorders>
              <w:bottom w:val="single" w:sz="4" w:space="0" w:color="000000"/>
            </w:tcBorders>
            <w:vAlign w:val="bottom"/>
          </w:tcPr>
          <w:p w14:paraId="0C35A09D" w14:textId="77777777" w:rsidR="008E5DE4" w:rsidRDefault="00780368">
            <w:pPr>
              <w:keepNext/>
              <w:keepLines/>
              <w:widowControl w:val="0"/>
              <w:pBdr>
                <w:top w:val="nil"/>
                <w:left w:val="nil"/>
                <w:bottom w:val="nil"/>
                <w:right w:val="nil"/>
                <w:between w:val="nil"/>
              </w:pBdr>
              <w:ind w:left="-57" w:right="-57"/>
              <w:jc w:val="center"/>
              <w:rPr>
                <w:b/>
                <w:color w:val="000000"/>
              </w:rPr>
            </w:pPr>
            <w:r>
              <w:rPr>
                <w:b/>
                <w:color w:val="000000"/>
              </w:rPr>
              <w:t>Note</w:t>
            </w:r>
          </w:p>
        </w:tc>
        <w:tc>
          <w:tcPr>
            <w:tcW w:w="1077" w:type="dxa"/>
            <w:tcBorders>
              <w:bottom w:val="single" w:sz="4" w:space="0" w:color="000000"/>
            </w:tcBorders>
          </w:tcPr>
          <w:p w14:paraId="005F6E4C"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Internally developed software</w:t>
            </w:r>
          </w:p>
        </w:tc>
        <w:tc>
          <w:tcPr>
            <w:tcW w:w="1077" w:type="dxa"/>
            <w:tcBorders>
              <w:bottom w:val="single" w:sz="4" w:space="0" w:color="000000"/>
            </w:tcBorders>
          </w:tcPr>
          <w:p w14:paraId="6817031E"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Acquired software licences</w:t>
            </w:r>
          </w:p>
        </w:tc>
        <w:tc>
          <w:tcPr>
            <w:tcW w:w="1077" w:type="dxa"/>
            <w:tcBorders>
              <w:bottom w:val="single" w:sz="4" w:space="0" w:color="000000"/>
            </w:tcBorders>
          </w:tcPr>
          <w:p w14:paraId="55DF87DD" w14:textId="77777777" w:rsidR="008E5DE4" w:rsidRDefault="00780368">
            <w:pPr>
              <w:keepNext/>
              <w:keepLines/>
              <w:widowControl w:val="0"/>
              <w:pBdr>
                <w:top w:val="nil"/>
                <w:left w:val="nil"/>
                <w:bottom w:val="nil"/>
                <w:right w:val="nil"/>
                <w:between w:val="nil"/>
              </w:pBdr>
              <w:ind w:left="-113"/>
              <w:jc w:val="right"/>
              <w:rPr>
                <w:b/>
                <w:color w:val="000000"/>
              </w:rPr>
            </w:pPr>
            <w:proofErr w:type="gramStart"/>
            <w:r>
              <w:rPr>
                <w:b/>
                <w:color w:val="000000"/>
              </w:rPr>
              <w:t>Trade-marks</w:t>
            </w:r>
            <w:proofErr w:type="gramEnd"/>
          </w:p>
        </w:tc>
        <w:tc>
          <w:tcPr>
            <w:tcW w:w="1077" w:type="dxa"/>
            <w:tcBorders>
              <w:bottom w:val="single" w:sz="4" w:space="0" w:color="000000"/>
            </w:tcBorders>
          </w:tcPr>
          <w:p w14:paraId="7B6C1C12"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Licensed techno-logy</w:t>
            </w:r>
          </w:p>
        </w:tc>
        <w:tc>
          <w:tcPr>
            <w:tcW w:w="1077" w:type="dxa"/>
            <w:tcBorders>
              <w:bottom w:val="single" w:sz="4" w:space="0" w:color="000000"/>
            </w:tcBorders>
          </w:tcPr>
          <w:p w14:paraId="7D7DE93A"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Other</w:t>
            </w:r>
          </w:p>
        </w:tc>
        <w:tc>
          <w:tcPr>
            <w:tcW w:w="1077" w:type="dxa"/>
            <w:tcBorders>
              <w:bottom w:val="single" w:sz="4" w:space="0" w:color="000000"/>
            </w:tcBorders>
          </w:tcPr>
          <w:p w14:paraId="62695EAA"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Total</w:t>
            </w:r>
          </w:p>
        </w:tc>
      </w:tr>
      <w:tr w:rsidR="008E5DE4" w14:paraId="5ABE368E" w14:textId="77777777">
        <w:trPr>
          <w:cantSplit/>
          <w:tblHeader/>
        </w:trPr>
        <w:tc>
          <w:tcPr>
            <w:tcW w:w="2324" w:type="dxa"/>
            <w:vAlign w:val="bottom"/>
          </w:tcPr>
          <w:p w14:paraId="5A462B75" w14:textId="77777777" w:rsidR="008E5DE4" w:rsidRDefault="00780368">
            <w:pPr>
              <w:keepNext/>
              <w:keepLines/>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vAlign w:val="bottom"/>
          </w:tcPr>
          <w:p w14:paraId="50FE1BB8" w14:textId="77777777" w:rsidR="008E5DE4" w:rsidRDefault="008E5DE4">
            <w:pPr>
              <w:keepNext/>
              <w:keepLines/>
              <w:widowControl w:val="0"/>
              <w:pBdr>
                <w:top w:val="nil"/>
                <w:left w:val="nil"/>
                <w:bottom w:val="nil"/>
                <w:right w:val="nil"/>
                <w:between w:val="nil"/>
              </w:pBdr>
              <w:ind w:left="-57" w:right="-57"/>
              <w:jc w:val="center"/>
              <w:rPr>
                <w:color w:val="000000"/>
                <w:sz w:val="14"/>
                <w:szCs w:val="14"/>
              </w:rPr>
            </w:pPr>
          </w:p>
        </w:tc>
        <w:tc>
          <w:tcPr>
            <w:tcW w:w="1077" w:type="dxa"/>
            <w:vAlign w:val="bottom"/>
          </w:tcPr>
          <w:p w14:paraId="3F7A311E"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4DBB2C7B"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20A649B2"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2665F16E"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2FEBD28B"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vAlign w:val="bottom"/>
          </w:tcPr>
          <w:p w14:paraId="04F8E036" w14:textId="77777777" w:rsidR="008E5DE4" w:rsidRDefault="008E5DE4">
            <w:pPr>
              <w:keepNext/>
              <w:keepLines/>
              <w:widowControl w:val="0"/>
              <w:pBdr>
                <w:top w:val="nil"/>
                <w:left w:val="nil"/>
                <w:bottom w:val="nil"/>
                <w:right w:val="nil"/>
                <w:between w:val="nil"/>
              </w:pBdr>
              <w:jc w:val="right"/>
              <w:rPr>
                <w:b/>
                <w:color w:val="000000"/>
                <w:sz w:val="14"/>
                <w:szCs w:val="14"/>
              </w:rPr>
            </w:pPr>
          </w:p>
        </w:tc>
      </w:tr>
      <w:tr w:rsidR="008E5DE4" w14:paraId="4BD71A7D" w14:textId="77777777">
        <w:trPr>
          <w:cantSplit/>
          <w:tblHeader/>
        </w:trPr>
        <w:tc>
          <w:tcPr>
            <w:tcW w:w="2324" w:type="dxa"/>
            <w:vAlign w:val="bottom"/>
          </w:tcPr>
          <w:p w14:paraId="4E3FD59A" w14:textId="4D000D03" w:rsidR="008E5DE4" w:rsidRDefault="00780368">
            <w:pPr>
              <w:keepNext/>
              <w:keepLines/>
              <w:widowControl w:val="0"/>
              <w:pBdr>
                <w:top w:val="nil"/>
                <w:left w:val="nil"/>
                <w:bottom w:val="nil"/>
                <w:right w:val="nil"/>
                <w:between w:val="nil"/>
              </w:pBdr>
              <w:ind w:left="113" w:right="-57" w:hanging="113"/>
              <w:rPr>
                <w:color w:val="000000"/>
              </w:rPr>
            </w:pPr>
            <w:r>
              <w:rPr>
                <w:color w:val="000000"/>
              </w:rPr>
              <w:t xml:space="preserve">Cost </w:t>
            </w:r>
            <w:proofErr w:type="gramStart"/>
            <w:r>
              <w:rPr>
                <w:color w:val="000000"/>
              </w:rPr>
              <w:t>at</w:t>
            </w:r>
            <w:proofErr w:type="gramEnd"/>
            <w:r>
              <w:rPr>
                <w:color w:val="000000"/>
              </w:rPr>
              <w:t xml:space="preserve"> 1 January </w:t>
            </w:r>
            <w:r w:rsidR="00FF468A">
              <w:rPr>
                <w:color w:val="000000"/>
              </w:rPr>
              <w:t>2024</w:t>
            </w:r>
          </w:p>
        </w:tc>
        <w:tc>
          <w:tcPr>
            <w:tcW w:w="567" w:type="dxa"/>
            <w:vAlign w:val="bottom"/>
          </w:tcPr>
          <w:p w14:paraId="01F263FE"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077" w:type="dxa"/>
            <w:vAlign w:val="bottom"/>
          </w:tcPr>
          <w:p w14:paraId="4AF2C218" w14:textId="77777777" w:rsidR="008E5DE4" w:rsidRDefault="008E5DE4">
            <w:pPr>
              <w:keepNext/>
              <w:keepLines/>
              <w:widowControl w:val="0"/>
              <w:pBdr>
                <w:top w:val="nil"/>
                <w:left w:val="nil"/>
                <w:bottom w:val="nil"/>
                <w:right w:val="nil"/>
                <w:between w:val="nil"/>
              </w:pBdr>
              <w:jc w:val="right"/>
              <w:rPr>
                <w:color w:val="000000"/>
              </w:rPr>
            </w:pPr>
          </w:p>
        </w:tc>
        <w:tc>
          <w:tcPr>
            <w:tcW w:w="1077" w:type="dxa"/>
            <w:vAlign w:val="bottom"/>
          </w:tcPr>
          <w:p w14:paraId="5E0CDCC0" w14:textId="77777777" w:rsidR="008E5DE4" w:rsidRDefault="008E5DE4">
            <w:pPr>
              <w:keepNext/>
              <w:keepLines/>
              <w:widowControl w:val="0"/>
              <w:pBdr>
                <w:top w:val="nil"/>
                <w:left w:val="nil"/>
                <w:bottom w:val="nil"/>
                <w:right w:val="nil"/>
                <w:between w:val="nil"/>
              </w:pBdr>
              <w:jc w:val="right"/>
              <w:rPr>
                <w:color w:val="000000"/>
              </w:rPr>
            </w:pPr>
          </w:p>
        </w:tc>
        <w:tc>
          <w:tcPr>
            <w:tcW w:w="1077" w:type="dxa"/>
            <w:vAlign w:val="bottom"/>
          </w:tcPr>
          <w:p w14:paraId="2E7D8DEA" w14:textId="77777777" w:rsidR="008E5DE4" w:rsidRDefault="008E5DE4">
            <w:pPr>
              <w:keepNext/>
              <w:keepLines/>
              <w:widowControl w:val="0"/>
              <w:pBdr>
                <w:top w:val="nil"/>
                <w:left w:val="nil"/>
                <w:bottom w:val="nil"/>
                <w:right w:val="nil"/>
                <w:between w:val="nil"/>
              </w:pBdr>
              <w:jc w:val="right"/>
              <w:rPr>
                <w:color w:val="000000"/>
              </w:rPr>
            </w:pPr>
          </w:p>
        </w:tc>
        <w:tc>
          <w:tcPr>
            <w:tcW w:w="1077" w:type="dxa"/>
            <w:vAlign w:val="bottom"/>
          </w:tcPr>
          <w:p w14:paraId="21BA0D85" w14:textId="77777777" w:rsidR="008E5DE4" w:rsidRDefault="008E5DE4">
            <w:pPr>
              <w:keepNext/>
              <w:keepLines/>
              <w:widowControl w:val="0"/>
              <w:pBdr>
                <w:top w:val="nil"/>
                <w:left w:val="nil"/>
                <w:bottom w:val="nil"/>
                <w:right w:val="nil"/>
                <w:between w:val="nil"/>
              </w:pBdr>
              <w:jc w:val="right"/>
              <w:rPr>
                <w:color w:val="000000"/>
              </w:rPr>
            </w:pPr>
          </w:p>
        </w:tc>
        <w:tc>
          <w:tcPr>
            <w:tcW w:w="1077" w:type="dxa"/>
            <w:vAlign w:val="bottom"/>
          </w:tcPr>
          <w:p w14:paraId="79A5740A" w14:textId="77777777" w:rsidR="008E5DE4" w:rsidRDefault="008E5DE4">
            <w:pPr>
              <w:keepNext/>
              <w:keepLines/>
              <w:widowControl w:val="0"/>
              <w:pBdr>
                <w:top w:val="nil"/>
                <w:left w:val="nil"/>
                <w:bottom w:val="nil"/>
                <w:right w:val="nil"/>
                <w:between w:val="nil"/>
              </w:pBdr>
              <w:jc w:val="right"/>
              <w:rPr>
                <w:color w:val="000000"/>
              </w:rPr>
            </w:pPr>
          </w:p>
        </w:tc>
        <w:tc>
          <w:tcPr>
            <w:tcW w:w="1077" w:type="dxa"/>
            <w:vAlign w:val="bottom"/>
          </w:tcPr>
          <w:p w14:paraId="5B61A3D5" w14:textId="77777777" w:rsidR="008E5DE4" w:rsidRDefault="008E5DE4">
            <w:pPr>
              <w:keepNext/>
              <w:keepLines/>
              <w:widowControl w:val="0"/>
              <w:pBdr>
                <w:top w:val="nil"/>
                <w:left w:val="nil"/>
                <w:bottom w:val="nil"/>
                <w:right w:val="nil"/>
                <w:between w:val="nil"/>
              </w:pBdr>
              <w:jc w:val="right"/>
              <w:rPr>
                <w:color w:val="000000"/>
              </w:rPr>
            </w:pPr>
          </w:p>
        </w:tc>
      </w:tr>
      <w:tr w:rsidR="008E5DE4" w14:paraId="71C04374" w14:textId="77777777">
        <w:trPr>
          <w:cantSplit/>
          <w:tblHeader/>
        </w:trPr>
        <w:tc>
          <w:tcPr>
            <w:tcW w:w="2324" w:type="dxa"/>
            <w:vAlign w:val="bottom"/>
          </w:tcPr>
          <w:p w14:paraId="16200DC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xml:space="preserve">Accumulated amortisation </w:t>
            </w:r>
          </w:p>
        </w:tc>
        <w:tc>
          <w:tcPr>
            <w:tcW w:w="567" w:type="dxa"/>
            <w:vAlign w:val="bottom"/>
          </w:tcPr>
          <w:p w14:paraId="66BD08AB"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077" w:type="dxa"/>
            <w:vAlign w:val="bottom"/>
          </w:tcPr>
          <w:p w14:paraId="7D027A9C"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6326A17D"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5C0E2B20"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269947FD"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616B74D3"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726D9A2A" w14:textId="77777777" w:rsidR="008E5DE4" w:rsidRDefault="008E5DE4">
            <w:pPr>
              <w:keepNext/>
              <w:keepLines/>
              <w:widowControl w:val="0"/>
              <w:pBdr>
                <w:top w:val="nil"/>
                <w:left w:val="nil"/>
                <w:bottom w:val="nil"/>
                <w:right w:val="nil"/>
                <w:between w:val="nil"/>
              </w:pBdr>
              <w:jc w:val="right"/>
              <w:rPr>
                <w:b/>
                <w:color w:val="000000"/>
              </w:rPr>
            </w:pPr>
          </w:p>
        </w:tc>
      </w:tr>
      <w:tr w:rsidR="008E5DE4" w14:paraId="733DA033" w14:textId="77777777">
        <w:trPr>
          <w:cantSplit/>
          <w:tblHeader/>
        </w:trPr>
        <w:tc>
          <w:tcPr>
            <w:tcW w:w="2324" w:type="dxa"/>
            <w:tcBorders>
              <w:bottom w:val="single" w:sz="4" w:space="0" w:color="000000"/>
            </w:tcBorders>
            <w:vAlign w:val="bottom"/>
          </w:tcPr>
          <w:p w14:paraId="77E89F44" w14:textId="77777777" w:rsidR="008E5DE4" w:rsidRDefault="00780368">
            <w:pPr>
              <w:keepNext/>
              <w:keepLines/>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4" w:space="0" w:color="000000"/>
            </w:tcBorders>
            <w:vAlign w:val="bottom"/>
          </w:tcPr>
          <w:p w14:paraId="3232E3B9" w14:textId="77777777" w:rsidR="008E5DE4" w:rsidRDefault="008E5DE4">
            <w:pPr>
              <w:keepNext/>
              <w:keepLines/>
              <w:widowControl w:val="0"/>
              <w:pBdr>
                <w:top w:val="nil"/>
                <w:left w:val="nil"/>
                <w:bottom w:val="nil"/>
                <w:right w:val="nil"/>
                <w:between w:val="nil"/>
              </w:pBdr>
              <w:ind w:left="-57" w:right="-57"/>
              <w:jc w:val="center"/>
              <w:rPr>
                <w:color w:val="000000"/>
                <w:sz w:val="14"/>
                <w:szCs w:val="14"/>
              </w:rPr>
            </w:pPr>
          </w:p>
        </w:tc>
        <w:tc>
          <w:tcPr>
            <w:tcW w:w="1077" w:type="dxa"/>
            <w:tcBorders>
              <w:bottom w:val="single" w:sz="4" w:space="0" w:color="000000"/>
            </w:tcBorders>
            <w:vAlign w:val="bottom"/>
          </w:tcPr>
          <w:p w14:paraId="6556F8F6"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5499DD84"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2DD3FD3A"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38A65F9B"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61AE865D"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7F657B71" w14:textId="77777777" w:rsidR="008E5DE4" w:rsidRDefault="008E5DE4">
            <w:pPr>
              <w:keepNext/>
              <w:keepLines/>
              <w:widowControl w:val="0"/>
              <w:pBdr>
                <w:top w:val="nil"/>
                <w:left w:val="nil"/>
                <w:bottom w:val="nil"/>
                <w:right w:val="nil"/>
                <w:between w:val="nil"/>
              </w:pBdr>
              <w:jc w:val="right"/>
              <w:rPr>
                <w:b/>
                <w:color w:val="000000"/>
                <w:sz w:val="14"/>
                <w:szCs w:val="14"/>
              </w:rPr>
            </w:pPr>
          </w:p>
        </w:tc>
      </w:tr>
      <w:tr w:rsidR="008E5DE4" w14:paraId="0E1660DE" w14:textId="77777777">
        <w:trPr>
          <w:cantSplit/>
          <w:tblHeader/>
        </w:trPr>
        <w:tc>
          <w:tcPr>
            <w:tcW w:w="2324" w:type="dxa"/>
            <w:tcBorders>
              <w:top w:val="single" w:sz="4" w:space="0" w:color="000000"/>
            </w:tcBorders>
            <w:vAlign w:val="bottom"/>
          </w:tcPr>
          <w:p w14:paraId="1E37B200" w14:textId="77777777" w:rsidR="008E5DE4" w:rsidRDefault="00780368">
            <w:pPr>
              <w:keepNext/>
              <w:keepLines/>
              <w:widowControl w:val="0"/>
              <w:pBdr>
                <w:top w:val="nil"/>
                <w:left w:val="nil"/>
                <w:bottom w:val="nil"/>
                <w:right w:val="nil"/>
                <w:between w:val="nil"/>
              </w:pBdr>
              <w:ind w:left="113" w:right="-57" w:hanging="113"/>
              <w:rPr>
                <w:color w:val="000000"/>
                <w:sz w:val="14"/>
                <w:szCs w:val="14"/>
              </w:rPr>
            </w:pPr>
            <w:r>
              <w:rPr>
                <w:color w:val="000000"/>
                <w:sz w:val="14"/>
                <w:szCs w:val="14"/>
              </w:rPr>
              <w:t> </w:t>
            </w:r>
          </w:p>
        </w:tc>
        <w:tc>
          <w:tcPr>
            <w:tcW w:w="567" w:type="dxa"/>
            <w:tcBorders>
              <w:top w:val="single" w:sz="4" w:space="0" w:color="000000"/>
            </w:tcBorders>
            <w:vAlign w:val="bottom"/>
          </w:tcPr>
          <w:p w14:paraId="59B46C03" w14:textId="77777777" w:rsidR="008E5DE4" w:rsidRDefault="008E5DE4">
            <w:pPr>
              <w:keepNext/>
              <w:keepLines/>
              <w:widowControl w:val="0"/>
              <w:pBdr>
                <w:top w:val="nil"/>
                <w:left w:val="nil"/>
                <w:bottom w:val="nil"/>
                <w:right w:val="nil"/>
                <w:between w:val="nil"/>
              </w:pBdr>
              <w:ind w:left="-57" w:right="-57"/>
              <w:jc w:val="center"/>
              <w:rPr>
                <w:color w:val="000000"/>
                <w:sz w:val="14"/>
                <w:szCs w:val="14"/>
              </w:rPr>
            </w:pPr>
          </w:p>
        </w:tc>
        <w:tc>
          <w:tcPr>
            <w:tcW w:w="1077" w:type="dxa"/>
            <w:tcBorders>
              <w:top w:val="single" w:sz="4" w:space="0" w:color="000000"/>
            </w:tcBorders>
            <w:vAlign w:val="bottom"/>
          </w:tcPr>
          <w:p w14:paraId="79A089E6"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top w:val="single" w:sz="4" w:space="0" w:color="000000"/>
            </w:tcBorders>
            <w:vAlign w:val="bottom"/>
          </w:tcPr>
          <w:p w14:paraId="1ED74274"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top w:val="single" w:sz="4" w:space="0" w:color="000000"/>
            </w:tcBorders>
            <w:vAlign w:val="bottom"/>
          </w:tcPr>
          <w:p w14:paraId="431D2665"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top w:val="single" w:sz="4" w:space="0" w:color="000000"/>
            </w:tcBorders>
            <w:vAlign w:val="bottom"/>
          </w:tcPr>
          <w:p w14:paraId="5056CAC1"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top w:val="single" w:sz="4" w:space="0" w:color="000000"/>
            </w:tcBorders>
            <w:vAlign w:val="bottom"/>
          </w:tcPr>
          <w:p w14:paraId="2CAD34B1" w14:textId="77777777" w:rsidR="008E5DE4" w:rsidRDefault="008E5DE4">
            <w:pPr>
              <w:keepNext/>
              <w:keepLines/>
              <w:widowControl w:val="0"/>
              <w:pBdr>
                <w:top w:val="nil"/>
                <w:left w:val="nil"/>
                <w:bottom w:val="nil"/>
                <w:right w:val="nil"/>
                <w:between w:val="nil"/>
              </w:pBdr>
              <w:jc w:val="right"/>
              <w:rPr>
                <w:b/>
                <w:color w:val="000000"/>
                <w:sz w:val="14"/>
                <w:szCs w:val="14"/>
              </w:rPr>
            </w:pPr>
          </w:p>
        </w:tc>
        <w:tc>
          <w:tcPr>
            <w:tcW w:w="1077" w:type="dxa"/>
            <w:tcBorders>
              <w:top w:val="single" w:sz="4" w:space="0" w:color="000000"/>
            </w:tcBorders>
            <w:vAlign w:val="bottom"/>
          </w:tcPr>
          <w:p w14:paraId="0BCB3755" w14:textId="77777777" w:rsidR="008E5DE4" w:rsidRDefault="008E5DE4">
            <w:pPr>
              <w:keepNext/>
              <w:keepLines/>
              <w:widowControl w:val="0"/>
              <w:pBdr>
                <w:top w:val="nil"/>
                <w:left w:val="nil"/>
                <w:bottom w:val="nil"/>
                <w:right w:val="nil"/>
                <w:between w:val="nil"/>
              </w:pBdr>
              <w:jc w:val="right"/>
              <w:rPr>
                <w:b/>
                <w:color w:val="000000"/>
                <w:sz w:val="14"/>
                <w:szCs w:val="14"/>
              </w:rPr>
            </w:pPr>
          </w:p>
        </w:tc>
      </w:tr>
      <w:tr w:rsidR="008E5DE4" w14:paraId="26C3F58E" w14:textId="77777777">
        <w:trPr>
          <w:cantSplit/>
          <w:tblHeader/>
        </w:trPr>
        <w:tc>
          <w:tcPr>
            <w:tcW w:w="2324" w:type="dxa"/>
            <w:vAlign w:val="bottom"/>
          </w:tcPr>
          <w:p w14:paraId="0B8EE5D7" w14:textId="18A44C1C" w:rsidR="008E5DE4" w:rsidRDefault="00780368">
            <w:pPr>
              <w:keepNext/>
              <w:keepLines/>
              <w:widowControl w:val="0"/>
              <w:pBdr>
                <w:top w:val="nil"/>
                <w:left w:val="nil"/>
                <w:bottom w:val="nil"/>
                <w:right w:val="nil"/>
                <w:between w:val="nil"/>
              </w:pBdr>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1 January </w:t>
            </w:r>
            <w:r w:rsidR="00FF468A">
              <w:rPr>
                <w:b/>
                <w:color w:val="000000"/>
              </w:rPr>
              <w:t>2024</w:t>
            </w:r>
          </w:p>
        </w:tc>
        <w:tc>
          <w:tcPr>
            <w:tcW w:w="567" w:type="dxa"/>
            <w:vAlign w:val="bottom"/>
          </w:tcPr>
          <w:p w14:paraId="04141DA2" w14:textId="77777777" w:rsidR="008E5DE4" w:rsidRDefault="008E5DE4">
            <w:pPr>
              <w:keepNext/>
              <w:keepLines/>
              <w:widowControl w:val="0"/>
              <w:pBdr>
                <w:top w:val="nil"/>
                <w:left w:val="nil"/>
                <w:bottom w:val="nil"/>
                <w:right w:val="nil"/>
                <w:between w:val="nil"/>
              </w:pBdr>
              <w:ind w:left="-57" w:right="-57"/>
              <w:jc w:val="center"/>
              <w:rPr>
                <w:b/>
                <w:color w:val="000000"/>
              </w:rPr>
            </w:pPr>
          </w:p>
        </w:tc>
        <w:tc>
          <w:tcPr>
            <w:tcW w:w="1077" w:type="dxa"/>
            <w:vAlign w:val="bottom"/>
          </w:tcPr>
          <w:p w14:paraId="12C18FFE"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26BDC955"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59E19559"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3E2B5E82"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20D57FA3" w14:textId="77777777" w:rsidR="008E5DE4" w:rsidRDefault="008E5DE4">
            <w:pPr>
              <w:keepNext/>
              <w:keepLines/>
              <w:widowControl w:val="0"/>
              <w:pBdr>
                <w:top w:val="nil"/>
                <w:left w:val="nil"/>
                <w:bottom w:val="nil"/>
                <w:right w:val="nil"/>
                <w:between w:val="nil"/>
              </w:pBdr>
              <w:jc w:val="right"/>
              <w:rPr>
                <w:b/>
                <w:color w:val="000000"/>
              </w:rPr>
            </w:pPr>
          </w:p>
        </w:tc>
        <w:tc>
          <w:tcPr>
            <w:tcW w:w="1077" w:type="dxa"/>
            <w:vAlign w:val="bottom"/>
          </w:tcPr>
          <w:p w14:paraId="398E64F6" w14:textId="77777777" w:rsidR="008E5DE4" w:rsidRDefault="008E5DE4">
            <w:pPr>
              <w:keepNext/>
              <w:keepLines/>
              <w:widowControl w:val="0"/>
              <w:pBdr>
                <w:top w:val="nil"/>
                <w:left w:val="nil"/>
                <w:bottom w:val="nil"/>
                <w:right w:val="nil"/>
                <w:between w:val="nil"/>
              </w:pBdr>
              <w:jc w:val="right"/>
              <w:rPr>
                <w:b/>
                <w:color w:val="000000"/>
              </w:rPr>
            </w:pPr>
          </w:p>
        </w:tc>
      </w:tr>
      <w:tr w:rsidR="008E5DE4" w14:paraId="37647029" w14:textId="77777777">
        <w:trPr>
          <w:cantSplit/>
          <w:tblHeader/>
        </w:trPr>
        <w:tc>
          <w:tcPr>
            <w:tcW w:w="2324" w:type="dxa"/>
            <w:tcBorders>
              <w:bottom w:val="single" w:sz="12" w:space="0" w:color="000000"/>
            </w:tcBorders>
            <w:vAlign w:val="bottom"/>
          </w:tcPr>
          <w:p w14:paraId="46B0074D"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12" w:space="0" w:color="000000"/>
            </w:tcBorders>
            <w:vAlign w:val="bottom"/>
          </w:tcPr>
          <w:p w14:paraId="6A14F015"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12" w:space="0" w:color="000000"/>
            </w:tcBorders>
            <w:vAlign w:val="bottom"/>
          </w:tcPr>
          <w:p w14:paraId="404B5109"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2470A654"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10A9B91D"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5A2F43C8"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62483CFA"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08581D30" w14:textId="77777777" w:rsidR="008E5DE4" w:rsidRDefault="008E5DE4">
            <w:pPr>
              <w:widowControl w:val="0"/>
              <w:pBdr>
                <w:top w:val="nil"/>
                <w:left w:val="nil"/>
                <w:bottom w:val="nil"/>
                <w:right w:val="nil"/>
                <w:between w:val="nil"/>
              </w:pBdr>
              <w:jc w:val="right"/>
              <w:rPr>
                <w:b/>
                <w:color w:val="000000"/>
                <w:sz w:val="14"/>
                <w:szCs w:val="14"/>
              </w:rPr>
            </w:pPr>
          </w:p>
        </w:tc>
      </w:tr>
      <w:tr w:rsidR="008E5DE4" w14:paraId="6440A828" w14:textId="77777777">
        <w:trPr>
          <w:cantSplit/>
          <w:tblHeader/>
        </w:trPr>
        <w:tc>
          <w:tcPr>
            <w:tcW w:w="2324" w:type="dxa"/>
            <w:tcBorders>
              <w:top w:val="single" w:sz="12" w:space="0" w:color="000000"/>
            </w:tcBorders>
            <w:vAlign w:val="bottom"/>
          </w:tcPr>
          <w:p w14:paraId="232FB7CD"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top w:val="single" w:sz="12" w:space="0" w:color="000000"/>
            </w:tcBorders>
            <w:vAlign w:val="bottom"/>
          </w:tcPr>
          <w:p w14:paraId="78AB0451"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top w:val="single" w:sz="12" w:space="0" w:color="000000"/>
            </w:tcBorders>
            <w:vAlign w:val="bottom"/>
          </w:tcPr>
          <w:p w14:paraId="53D19741"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2AA46DF5"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011B2594"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097D3C84"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24874BB4"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756FFCC2" w14:textId="77777777" w:rsidR="008E5DE4" w:rsidRDefault="008E5DE4">
            <w:pPr>
              <w:widowControl w:val="0"/>
              <w:pBdr>
                <w:top w:val="nil"/>
                <w:left w:val="nil"/>
                <w:bottom w:val="nil"/>
                <w:right w:val="nil"/>
                <w:between w:val="nil"/>
              </w:pBdr>
              <w:jc w:val="right"/>
              <w:rPr>
                <w:color w:val="000000"/>
                <w:sz w:val="14"/>
                <w:szCs w:val="14"/>
              </w:rPr>
            </w:pPr>
          </w:p>
        </w:tc>
      </w:tr>
      <w:tr w:rsidR="008E5DE4" w14:paraId="07BAD6C6" w14:textId="77777777">
        <w:trPr>
          <w:cantSplit/>
          <w:tblHeader/>
        </w:trPr>
        <w:tc>
          <w:tcPr>
            <w:tcW w:w="2324" w:type="dxa"/>
            <w:vAlign w:val="bottom"/>
          </w:tcPr>
          <w:p w14:paraId="1F7FEA90" w14:textId="77777777" w:rsidR="008E5DE4" w:rsidRDefault="00780368">
            <w:pPr>
              <w:widowControl w:val="0"/>
              <w:pBdr>
                <w:top w:val="nil"/>
                <w:left w:val="nil"/>
                <w:bottom w:val="nil"/>
                <w:right w:val="nil"/>
                <w:between w:val="nil"/>
              </w:pBdr>
              <w:ind w:left="113" w:right="-57" w:hanging="113"/>
              <w:rPr>
                <w:color w:val="000000"/>
              </w:rPr>
            </w:pPr>
            <w:r>
              <w:rPr>
                <w:color w:val="000000"/>
              </w:rPr>
              <w:t>Acquisitions through business combinations</w:t>
            </w:r>
          </w:p>
        </w:tc>
        <w:tc>
          <w:tcPr>
            <w:tcW w:w="567" w:type="dxa"/>
            <w:vAlign w:val="bottom"/>
          </w:tcPr>
          <w:p w14:paraId="09565C99" w14:textId="77777777" w:rsidR="008E5DE4" w:rsidRDefault="00780368">
            <w:pPr>
              <w:widowControl w:val="0"/>
              <w:pBdr>
                <w:top w:val="nil"/>
                <w:left w:val="nil"/>
                <w:bottom w:val="nil"/>
                <w:right w:val="nil"/>
                <w:between w:val="nil"/>
              </w:pBdr>
              <w:ind w:left="-57" w:right="-57"/>
              <w:jc w:val="center"/>
              <w:rPr>
                <w:color w:val="000000"/>
              </w:rPr>
            </w:pPr>
            <w:r>
              <w:rPr>
                <w:color w:val="000000"/>
              </w:rPr>
              <w:t>50</w:t>
            </w:r>
          </w:p>
        </w:tc>
        <w:tc>
          <w:tcPr>
            <w:tcW w:w="1077" w:type="dxa"/>
            <w:vAlign w:val="bottom"/>
          </w:tcPr>
          <w:p w14:paraId="512B1B9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DCE710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3D31F7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569FC4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E01167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AC80D81" w14:textId="77777777" w:rsidR="008E5DE4" w:rsidRDefault="008E5DE4">
            <w:pPr>
              <w:widowControl w:val="0"/>
              <w:pBdr>
                <w:top w:val="nil"/>
                <w:left w:val="nil"/>
                <w:bottom w:val="nil"/>
                <w:right w:val="nil"/>
                <w:between w:val="nil"/>
              </w:pBdr>
              <w:jc w:val="right"/>
              <w:rPr>
                <w:color w:val="000000"/>
              </w:rPr>
            </w:pPr>
          </w:p>
        </w:tc>
      </w:tr>
      <w:tr w:rsidR="008E5DE4" w14:paraId="1E42D864" w14:textId="77777777">
        <w:trPr>
          <w:cantSplit/>
          <w:tblHeader/>
        </w:trPr>
        <w:tc>
          <w:tcPr>
            <w:tcW w:w="2324" w:type="dxa"/>
            <w:vAlign w:val="bottom"/>
          </w:tcPr>
          <w:p w14:paraId="25CE134B" w14:textId="77777777" w:rsidR="008E5DE4" w:rsidRDefault="00780368">
            <w:pPr>
              <w:widowControl w:val="0"/>
              <w:pBdr>
                <w:top w:val="nil"/>
                <w:left w:val="nil"/>
                <w:bottom w:val="nil"/>
                <w:right w:val="nil"/>
                <w:between w:val="nil"/>
              </w:pBdr>
              <w:ind w:left="113" w:right="-57" w:hanging="113"/>
              <w:rPr>
                <w:color w:val="000000"/>
              </w:rPr>
            </w:pPr>
            <w:r>
              <w:rPr>
                <w:color w:val="000000"/>
              </w:rPr>
              <w:t>Additions</w:t>
            </w:r>
          </w:p>
        </w:tc>
        <w:tc>
          <w:tcPr>
            <w:tcW w:w="567" w:type="dxa"/>
            <w:vAlign w:val="bottom"/>
          </w:tcPr>
          <w:p w14:paraId="6DC6E1E9"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01D5944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9A6C36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DA3558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E1530C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DFD0B2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FA09362" w14:textId="77777777" w:rsidR="008E5DE4" w:rsidRDefault="008E5DE4">
            <w:pPr>
              <w:widowControl w:val="0"/>
              <w:pBdr>
                <w:top w:val="nil"/>
                <w:left w:val="nil"/>
                <w:bottom w:val="nil"/>
                <w:right w:val="nil"/>
                <w:between w:val="nil"/>
              </w:pBdr>
              <w:jc w:val="right"/>
              <w:rPr>
                <w:color w:val="000000"/>
              </w:rPr>
            </w:pPr>
          </w:p>
        </w:tc>
      </w:tr>
      <w:tr w:rsidR="008E5DE4" w14:paraId="0F906F40" w14:textId="77777777">
        <w:trPr>
          <w:cantSplit/>
          <w:tblHeader/>
        </w:trPr>
        <w:tc>
          <w:tcPr>
            <w:tcW w:w="2324" w:type="dxa"/>
            <w:vAlign w:val="bottom"/>
          </w:tcPr>
          <w:p w14:paraId="05743A3D" w14:textId="77777777" w:rsidR="008E5DE4" w:rsidRDefault="00780368">
            <w:pPr>
              <w:widowControl w:val="0"/>
              <w:pBdr>
                <w:top w:val="nil"/>
                <w:left w:val="nil"/>
                <w:bottom w:val="nil"/>
                <w:right w:val="nil"/>
                <w:between w:val="nil"/>
              </w:pBdr>
              <w:ind w:left="113" w:right="-57" w:hanging="113"/>
              <w:rPr>
                <w:color w:val="000000"/>
              </w:rPr>
            </w:pPr>
            <w:r>
              <w:rPr>
                <w:color w:val="000000"/>
              </w:rPr>
              <w:t>Transfers</w:t>
            </w:r>
          </w:p>
        </w:tc>
        <w:tc>
          <w:tcPr>
            <w:tcW w:w="567" w:type="dxa"/>
            <w:vAlign w:val="bottom"/>
          </w:tcPr>
          <w:p w14:paraId="56EAFBB1"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0FC6A4B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2AA048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F7BA4A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56861B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078F15C"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AD02E64" w14:textId="77777777" w:rsidR="008E5DE4" w:rsidRDefault="008E5DE4">
            <w:pPr>
              <w:widowControl w:val="0"/>
              <w:pBdr>
                <w:top w:val="nil"/>
                <w:left w:val="nil"/>
                <w:bottom w:val="nil"/>
                <w:right w:val="nil"/>
                <w:between w:val="nil"/>
              </w:pBdr>
              <w:jc w:val="right"/>
              <w:rPr>
                <w:color w:val="000000"/>
              </w:rPr>
            </w:pPr>
          </w:p>
        </w:tc>
      </w:tr>
      <w:tr w:rsidR="008E5DE4" w14:paraId="30E1680E" w14:textId="77777777">
        <w:trPr>
          <w:cantSplit/>
          <w:tblHeader/>
        </w:trPr>
        <w:tc>
          <w:tcPr>
            <w:tcW w:w="2324" w:type="dxa"/>
            <w:vAlign w:val="bottom"/>
          </w:tcPr>
          <w:p w14:paraId="33089137" w14:textId="77777777" w:rsidR="008E5DE4" w:rsidRDefault="00780368">
            <w:pPr>
              <w:widowControl w:val="0"/>
              <w:pBdr>
                <w:top w:val="nil"/>
                <w:left w:val="nil"/>
                <w:bottom w:val="nil"/>
                <w:right w:val="nil"/>
                <w:between w:val="nil"/>
              </w:pBdr>
              <w:ind w:left="113" w:right="-57" w:hanging="113"/>
              <w:rPr>
                <w:color w:val="000000"/>
              </w:rPr>
            </w:pPr>
            <w:r>
              <w:rPr>
                <w:color w:val="000000"/>
              </w:rPr>
              <w:t>Reclassification to non-current assets held for sale (or disposal groups)</w:t>
            </w:r>
          </w:p>
        </w:tc>
        <w:tc>
          <w:tcPr>
            <w:tcW w:w="567" w:type="dxa"/>
            <w:vAlign w:val="bottom"/>
          </w:tcPr>
          <w:p w14:paraId="6AB7AFD6" w14:textId="77777777" w:rsidR="008E5DE4" w:rsidRDefault="00780368">
            <w:pPr>
              <w:widowControl w:val="0"/>
              <w:pBdr>
                <w:top w:val="nil"/>
                <w:left w:val="nil"/>
                <w:bottom w:val="nil"/>
                <w:right w:val="nil"/>
                <w:between w:val="nil"/>
              </w:pBdr>
              <w:ind w:left="-57" w:right="-57"/>
              <w:jc w:val="center"/>
              <w:rPr>
                <w:color w:val="000000"/>
              </w:rPr>
            </w:pPr>
            <w:r>
              <w:rPr>
                <w:color w:val="000000"/>
              </w:rPr>
              <w:t>25</w:t>
            </w:r>
          </w:p>
        </w:tc>
        <w:tc>
          <w:tcPr>
            <w:tcW w:w="1077" w:type="dxa"/>
            <w:vAlign w:val="bottom"/>
          </w:tcPr>
          <w:p w14:paraId="23E1A22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2174E6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3266AE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3E0ECD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6EA35B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21A9560" w14:textId="77777777" w:rsidR="008E5DE4" w:rsidRDefault="008E5DE4">
            <w:pPr>
              <w:widowControl w:val="0"/>
              <w:pBdr>
                <w:top w:val="nil"/>
                <w:left w:val="nil"/>
                <w:bottom w:val="nil"/>
                <w:right w:val="nil"/>
                <w:between w:val="nil"/>
              </w:pBdr>
              <w:jc w:val="right"/>
              <w:rPr>
                <w:color w:val="000000"/>
              </w:rPr>
            </w:pPr>
          </w:p>
        </w:tc>
      </w:tr>
      <w:tr w:rsidR="008E5DE4" w14:paraId="047E8C43" w14:textId="77777777">
        <w:trPr>
          <w:cantSplit/>
          <w:tblHeader/>
        </w:trPr>
        <w:tc>
          <w:tcPr>
            <w:tcW w:w="2324" w:type="dxa"/>
            <w:vAlign w:val="bottom"/>
          </w:tcPr>
          <w:p w14:paraId="5261B54E" w14:textId="77777777" w:rsidR="008E5DE4" w:rsidRDefault="00780368">
            <w:pPr>
              <w:widowControl w:val="0"/>
              <w:pBdr>
                <w:top w:val="nil"/>
                <w:left w:val="nil"/>
                <w:bottom w:val="nil"/>
                <w:right w:val="nil"/>
                <w:between w:val="nil"/>
              </w:pBdr>
              <w:ind w:left="113" w:right="-57" w:hanging="113"/>
              <w:rPr>
                <w:color w:val="000000"/>
              </w:rPr>
            </w:pPr>
            <w:r>
              <w:rPr>
                <w:color w:val="000000"/>
              </w:rPr>
              <w:t>Disposals</w:t>
            </w:r>
          </w:p>
        </w:tc>
        <w:tc>
          <w:tcPr>
            <w:tcW w:w="567" w:type="dxa"/>
            <w:vAlign w:val="bottom"/>
          </w:tcPr>
          <w:p w14:paraId="09755179"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74C3442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21A8B0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F542C9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B3F544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7920EB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94AC544" w14:textId="77777777" w:rsidR="008E5DE4" w:rsidRDefault="008E5DE4">
            <w:pPr>
              <w:widowControl w:val="0"/>
              <w:pBdr>
                <w:top w:val="nil"/>
                <w:left w:val="nil"/>
                <w:bottom w:val="nil"/>
                <w:right w:val="nil"/>
                <w:between w:val="nil"/>
              </w:pBdr>
              <w:jc w:val="right"/>
              <w:rPr>
                <w:color w:val="000000"/>
              </w:rPr>
            </w:pPr>
          </w:p>
        </w:tc>
      </w:tr>
      <w:tr w:rsidR="008E5DE4" w14:paraId="4A0095E1" w14:textId="77777777">
        <w:trPr>
          <w:cantSplit/>
          <w:tblHeader/>
        </w:trPr>
        <w:tc>
          <w:tcPr>
            <w:tcW w:w="2324" w:type="dxa"/>
            <w:vAlign w:val="bottom"/>
          </w:tcPr>
          <w:p w14:paraId="05D78F8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Amortisation charge </w:t>
            </w:r>
          </w:p>
        </w:tc>
        <w:tc>
          <w:tcPr>
            <w:tcW w:w="567" w:type="dxa"/>
            <w:vAlign w:val="bottom"/>
          </w:tcPr>
          <w:p w14:paraId="39AAEA51" w14:textId="77777777" w:rsidR="008E5DE4" w:rsidRDefault="00780368">
            <w:pPr>
              <w:widowControl w:val="0"/>
              <w:pBdr>
                <w:top w:val="nil"/>
                <w:left w:val="nil"/>
                <w:bottom w:val="nil"/>
                <w:right w:val="nil"/>
                <w:between w:val="nil"/>
              </w:pBdr>
              <w:ind w:left="-57" w:right="-57"/>
              <w:jc w:val="center"/>
              <w:rPr>
                <w:color w:val="000000"/>
              </w:rPr>
            </w:pPr>
            <w:r>
              <w:rPr>
                <w:color w:val="000000"/>
              </w:rPr>
              <w:t>36</w:t>
            </w:r>
          </w:p>
        </w:tc>
        <w:tc>
          <w:tcPr>
            <w:tcW w:w="1077" w:type="dxa"/>
            <w:vAlign w:val="bottom"/>
          </w:tcPr>
          <w:p w14:paraId="6CEBF3F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2FA98E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2C8B7D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941E92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09B726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680105E" w14:textId="77777777" w:rsidR="008E5DE4" w:rsidRDefault="008E5DE4">
            <w:pPr>
              <w:widowControl w:val="0"/>
              <w:pBdr>
                <w:top w:val="nil"/>
                <w:left w:val="nil"/>
                <w:bottom w:val="nil"/>
                <w:right w:val="nil"/>
                <w:between w:val="nil"/>
              </w:pBdr>
              <w:jc w:val="right"/>
              <w:rPr>
                <w:color w:val="000000"/>
              </w:rPr>
            </w:pPr>
          </w:p>
        </w:tc>
      </w:tr>
      <w:tr w:rsidR="008E5DE4" w14:paraId="04A7B14E" w14:textId="77777777">
        <w:trPr>
          <w:cantSplit/>
          <w:tblHeader/>
        </w:trPr>
        <w:tc>
          <w:tcPr>
            <w:tcW w:w="2324" w:type="dxa"/>
            <w:vAlign w:val="bottom"/>
          </w:tcPr>
          <w:p w14:paraId="1382A74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Impairment charge </w:t>
            </w:r>
          </w:p>
        </w:tc>
        <w:tc>
          <w:tcPr>
            <w:tcW w:w="567" w:type="dxa"/>
            <w:vAlign w:val="bottom"/>
          </w:tcPr>
          <w:p w14:paraId="16579CF8" w14:textId="77777777" w:rsidR="008E5DE4" w:rsidRDefault="00780368">
            <w:pPr>
              <w:widowControl w:val="0"/>
              <w:pBdr>
                <w:top w:val="nil"/>
                <w:left w:val="nil"/>
                <w:bottom w:val="nil"/>
                <w:right w:val="nil"/>
                <w:between w:val="nil"/>
              </w:pBdr>
              <w:ind w:left="-57" w:right="-57"/>
              <w:jc w:val="center"/>
              <w:rPr>
                <w:color w:val="000000"/>
              </w:rPr>
            </w:pPr>
            <w:r>
              <w:rPr>
                <w:color w:val="000000"/>
              </w:rPr>
              <w:t>36</w:t>
            </w:r>
          </w:p>
        </w:tc>
        <w:tc>
          <w:tcPr>
            <w:tcW w:w="1077" w:type="dxa"/>
            <w:vAlign w:val="bottom"/>
          </w:tcPr>
          <w:p w14:paraId="3A2D919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13709E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7829CC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8C6812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2556CD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23D4C60" w14:textId="77777777" w:rsidR="008E5DE4" w:rsidRDefault="008E5DE4">
            <w:pPr>
              <w:widowControl w:val="0"/>
              <w:pBdr>
                <w:top w:val="nil"/>
                <w:left w:val="nil"/>
                <w:bottom w:val="nil"/>
                <w:right w:val="nil"/>
                <w:between w:val="nil"/>
              </w:pBdr>
              <w:jc w:val="right"/>
              <w:rPr>
                <w:color w:val="000000"/>
              </w:rPr>
            </w:pPr>
          </w:p>
        </w:tc>
      </w:tr>
      <w:tr w:rsidR="008E5DE4" w14:paraId="6AFCF0D0" w14:textId="77777777">
        <w:trPr>
          <w:cantSplit/>
          <w:tblHeader/>
        </w:trPr>
        <w:tc>
          <w:tcPr>
            <w:tcW w:w="2324" w:type="dxa"/>
            <w:vAlign w:val="bottom"/>
          </w:tcPr>
          <w:p w14:paraId="3049BA2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Reversals of impairment </w:t>
            </w:r>
          </w:p>
        </w:tc>
        <w:tc>
          <w:tcPr>
            <w:tcW w:w="567" w:type="dxa"/>
            <w:vAlign w:val="bottom"/>
          </w:tcPr>
          <w:p w14:paraId="17785411" w14:textId="77777777" w:rsidR="008E5DE4" w:rsidRDefault="00780368">
            <w:pPr>
              <w:widowControl w:val="0"/>
              <w:pBdr>
                <w:top w:val="nil"/>
                <w:left w:val="nil"/>
                <w:bottom w:val="nil"/>
                <w:right w:val="nil"/>
                <w:between w:val="nil"/>
              </w:pBdr>
              <w:ind w:left="-57" w:right="-57"/>
              <w:jc w:val="center"/>
              <w:rPr>
                <w:color w:val="000000"/>
              </w:rPr>
            </w:pPr>
            <w:r>
              <w:rPr>
                <w:color w:val="000000"/>
              </w:rPr>
              <w:t>36</w:t>
            </w:r>
          </w:p>
        </w:tc>
        <w:tc>
          <w:tcPr>
            <w:tcW w:w="1077" w:type="dxa"/>
            <w:vAlign w:val="bottom"/>
          </w:tcPr>
          <w:p w14:paraId="7E3DC0D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21BE43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30DF33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938161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7B34D8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4B265ED" w14:textId="77777777" w:rsidR="008E5DE4" w:rsidRDefault="008E5DE4">
            <w:pPr>
              <w:widowControl w:val="0"/>
              <w:pBdr>
                <w:top w:val="nil"/>
                <w:left w:val="nil"/>
                <w:bottom w:val="nil"/>
                <w:right w:val="nil"/>
                <w:between w:val="nil"/>
              </w:pBdr>
              <w:jc w:val="right"/>
              <w:rPr>
                <w:color w:val="000000"/>
              </w:rPr>
            </w:pPr>
          </w:p>
        </w:tc>
      </w:tr>
      <w:tr w:rsidR="008E5DE4" w14:paraId="1A3D16DF" w14:textId="77777777">
        <w:trPr>
          <w:cantSplit/>
          <w:tblHeader/>
        </w:trPr>
        <w:tc>
          <w:tcPr>
            <w:tcW w:w="2324" w:type="dxa"/>
            <w:vAlign w:val="bottom"/>
          </w:tcPr>
          <w:p w14:paraId="04AF52DA" w14:textId="77777777" w:rsidR="008E5DE4" w:rsidRDefault="00780368">
            <w:pPr>
              <w:widowControl w:val="0"/>
              <w:pBdr>
                <w:top w:val="nil"/>
                <w:left w:val="nil"/>
                <w:bottom w:val="nil"/>
                <w:right w:val="nil"/>
                <w:between w:val="nil"/>
              </w:pBdr>
              <w:ind w:left="113" w:right="-57" w:hanging="113"/>
              <w:rPr>
                <w:color w:val="0000FF"/>
              </w:rPr>
            </w:pPr>
            <w:r>
              <w:rPr>
                <w:color w:val="0000FF"/>
              </w:rPr>
              <w:t>[Effect of translation to presentation currency]</w:t>
            </w:r>
          </w:p>
        </w:tc>
        <w:tc>
          <w:tcPr>
            <w:tcW w:w="567" w:type="dxa"/>
            <w:vAlign w:val="bottom"/>
          </w:tcPr>
          <w:p w14:paraId="550A2F44"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02C414C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75DDE4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725F8C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6C6D69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523644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9CBCB24" w14:textId="77777777" w:rsidR="008E5DE4" w:rsidRDefault="008E5DE4">
            <w:pPr>
              <w:widowControl w:val="0"/>
              <w:pBdr>
                <w:top w:val="nil"/>
                <w:left w:val="nil"/>
                <w:bottom w:val="nil"/>
                <w:right w:val="nil"/>
                <w:between w:val="nil"/>
              </w:pBdr>
              <w:jc w:val="right"/>
              <w:rPr>
                <w:color w:val="000000"/>
              </w:rPr>
            </w:pPr>
          </w:p>
        </w:tc>
      </w:tr>
      <w:tr w:rsidR="008E5DE4" w14:paraId="4E522124" w14:textId="77777777">
        <w:trPr>
          <w:cantSplit/>
          <w:tblHeader/>
        </w:trPr>
        <w:tc>
          <w:tcPr>
            <w:tcW w:w="2324" w:type="dxa"/>
            <w:vAlign w:val="bottom"/>
          </w:tcPr>
          <w:p w14:paraId="34A326FA" w14:textId="77777777" w:rsidR="008E5DE4" w:rsidRDefault="00780368">
            <w:pPr>
              <w:widowControl w:val="0"/>
              <w:pBdr>
                <w:top w:val="nil"/>
                <w:left w:val="nil"/>
                <w:bottom w:val="nil"/>
                <w:right w:val="nil"/>
                <w:between w:val="nil"/>
              </w:pBdr>
              <w:ind w:left="113" w:right="-57" w:hanging="113"/>
              <w:rPr>
                <w:color w:val="000000"/>
              </w:rPr>
            </w:pPr>
            <w:r>
              <w:rPr>
                <w:color w:val="000000"/>
              </w:rPr>
              <w:t>Other</w:t>
            </w:r>
          </w:p>
        </w:tc>
        <w:tc>
          <w:tcPr>
            <w:tcW w:w="567" w:type="dxa"/>
            <w:vAlign w:val="bottom"/>
          </w:tcPr>
          <w:p w14:paraId="721B26F9"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16B31CB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0614E8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00D834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172218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27CC64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7CF7F43" w14:textId="77777777" w:rsidR="008E5DE4" w:rsidRDefault="008E5DE4">
            <w:pPr>
              <w:widowControl w:val="0"/>
              <w:pBdr>
                <w:top w:val="nil"/>
                <w:left w:val="nil"/>
                <w:bottom w:val="nil"/>
                <w:right w:val="nil"/>
                <w:between w:val="nil"/>
              </w:pBdr>
              <w:jc w:val="right"/>
              <w:rPr>
                <w:color w:val="000000"/>
              </w:rPr>
            </w:pPr>
          </w:p>
        </w:tc>
      </w:tr>
      <w:tr w:rsidR="008E5DE4" w14:paraId="4CBAF5F8" w14:textId="77777777">
        <w:trPr>
          <w:cantSplit/>
          <w:tblHeader/>
        </w:trPr>
        <w:tc>
          <w:tcPr>
            <w:tcW w:w="2324" w:type="dxa"/>
            <w:tcBorders>
              <w:bottom w:val="single" w:sz="4" w:space="0" w:color="000000"/>
            </w:tcBorders>
            <w:vAlign w:val="bottom"/>
          </w:tcPr>
          <w:p w14:paraId="3FCE4489"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4" w:space="0" w:color="000000"/>
            </w:tcBorders>
            <w:vAlign w:val="bottom"/>
          </w:tcPr>
          <w:p w14:paraId="6728092B"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4" w:space="0" w:color="000000"/>
            </w:tcBorders>
            <w:vAlign w:val="bottom"/>
          </w:tcPr>
          <w:p w14:paraId="05F4A8D1"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15FD0683"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26EF85FD"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4DF40FCE"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270F23F6"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0AE34AD8" w14:textId="77777777" w:rsidR="008E5DE4" w:rsidRDefault="008E5DE4">
            <w:pPr>
              <w:widowControl w:val="0"/>
              <w:pBdr>
                <w:top w:val="nil"/>
                <w:left w:val="nil"/>
                <w:bottom w:val="nil"/>
                <w:right w:val="nil"/>
                <w:between w:val="nil"/>
              </w:pBdr>
              <w:jc w:val="right"/>
              <w:rPr>
                <w:color w:val="000000"/>
                <w:sz w:val="14"/>
                <w:szCs w:val="14"/>
              </w:rPr>
            </w:pPr>
          </w:p>
        </w:tc>
      </w:tr>
      <w:tr w:rsidR="008E5DE4" w14:paraId="09B9F5A9" w14:textId="77777777">
        <w:trPr>
          <w:cantSplit/>
          <w:tblHeader/>
        </w:trPr>
        <w:tc>
          <w:tcPr>
            <w:tcW w:w="2324" w:type="dxa"/>
            <w:vAlign w:val="bottom"/>
          </w:tcPr>
          <w:p w14:paraId="3B7AF918"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vAlign w:val="bottom"/>
          </w:tcPr>
          <w:p w14:paraId="77B2EAED"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vAlign w:val="bottom"/>
          </w:tcPr>
          <w:p w14:paraId="25EB84CE"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vAlign w:val="bottom"/>
          </w:tcPr>
          <w:p w14:paraId="57528C4E"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vAlign w:val="bottom"/>
          </w:tcPr>
          <w:p w14:paraId="14DD7264"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vAlign w:val="bottom"/>
          </w:tcPr>
          <w:p w14:paraId="0E7A28F1"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vAlign w:val="bottom"/>
          </w:tcPr>
          <w:p w14:paraId="7F816B61"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vAlign w:val="bottom"/>
          </w:tcPr>
          <w:p w14:paraId="23017388" w14:textId="77777777" w:rsidR="008E5DE4" w:rsidRDefault="008E5DE4">
            <w:pPr>
              <w:widowControl w:val="0"/>
              <w:pBdr>
                <w:top w:val="nil"/>
                <w:left w:val="nil"/>
                <w:bottom w:val="nil"/>
                <w:right w:val="nil"/>
                <w:between w:val="nil"/>
              </w:pBdr>
              <w:jc w:val="right"/>
              <w:rPr>
                <w:b/>
                <w:color w:val="000000"/>
                <w:sz w:val="14"/>
                <w:szCs w:val="14"/>
              </w:rPr>
            </w:pPr>
          </w:p>
        </w:tc>
      </w:tr>
      <w:tr w:rsidR="008E5DE4" w14:paraId="092B50DF" w14:textId="77777777">
        <w:trPr>
          <w:cantSplit/>
          <w:tblHeader/>
        </w:trPr>
        <w:tc>
          <w:tcPr>
            <w:tcW w:w="2324" w:type="dxa"/>
            <w:vAlign w:val="bottom"/>
          </w:tcPr>
          <w:p w14:paraId="3E121249" w14:textId="4E2E4EC6"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amount at </w:t>
            </w:r>
            <w:r>
              <w:rPr>
                <w:b/>
                <w:color w:val="000000"/>
              </w:rPr>
              <w:br/>
              <w:t xml:space="preserve">31 December </w:t>
            </w:r>
            <w:r w:rsidR="00FF468A">
              <w:rPr>
                <w:b/>
                <w:color w:val="000000"/>
              </w:rPr>
              <w:t>2024</w:t>
            </w:r>
          </w:p>
        </w:tc>
        <w:tc>
          <w:tcPr>
            <w:tcW w:w="567" w:type="dxa"/>
            <w:vAlign w:val="bottom"/>
          </w:tcPr>
          <w:p w14:paraId="565455B5" w14:textId="77777777" w:rsidR="008E5DE4" w:rsidRDefault="008E5DE4">
            <w:pPr>
              <w:widowControl w:val="0"/>
              <w:pBdr>
                <w:top w:val="nil"/>
                <w:left w:val="nil"/>
                <w:bottom w:val="nil"/>
                <w:right w:val="nil"/>
                <w:between w:val="nil"/>
              </w:pBdr>
              <w:ind w:left="113" w:right="-57" w:hanging="113"/>
              <w:rPr>
                <w:b/>
                <w:color w:val="000000"/>
              </w:rPr>
            </w:pPr>
          </w:p>
        </w:tc>
        <w:tc>
          <w:tcPr>
            <w:tcW w:w="1077" w:type="dxa"/>
            <w:vAlign w:val="bottom"/>
          </w:tcPr>
          <w:p w14:paraId="7C68DCC3"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DEA2723"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7AEC651E"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9F03652"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6F60BC88"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6D2D97F4" w14:textId="77777777" w:rsidR="008E5DE4" w:rsidRDefault="008E5DE4">
            <w:pPr>
              <w:widowControl w:val="0"/>
              <w:pBdr>
                <w:top w:val="nil"/>
                <w:left w:val="nil"/>
                <w:bottom w:val="nil"/>
                <w:right w:val="nil"/>
                <w:between w:val="nil"/>
              </w:pBdr>
              <w:jc w:val="right"/>
              <w:rPr>
                <w:b/>
                <w:color w:val="000000"/>
              </w:rPr>
            </w:pPr>
          </w:p>
        </w:tc>
      </w:tr>
      <w:tr w:rsidR="008E5DE4" w14:paraId="3B33E813" w14:textId="77777777">
        <w:trPr>
          <w:cantSplit/>
          <w:tblHeader/>
        </w:trPr>
        <w:tc>
          <w:tcPr>
            <w:tcW w:w="2324" w:type="dxa"/>
            <w:tcBorders>
              <w:bottom w:val="single" w:sz="12" w:space="0" w:color="000000"/>
            </w:tcBorders>
            <w:vAlign w:val="bottom"/>
          </w:tcPr>
          <w:p w14:paraId="5DCA3DC5"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12" w:space="0" w:color="000000"/>
            </w:tcBorders>
            <w:vAlign w:val="bottom"/>
          </w:tcPr>
          <w:p w14:paraId="32B0A8B3"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12" w:space="0" w:color="000000"/>
            </w:tcBorders>
            <w:vAlign w:val="bottom"/>
          </w:tcPr>
          <w:p w14:paraId="3E44B7B7"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6D48B567"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19642D07"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33201BB8"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71D421D4"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12" w:space="0" w:color="000000"/>
            </w:tcBorders>
            <w:vAlign w:val="bottom"/>
          </w:tcPr>
          <w:p w14:paraId="7222C6DC" w14:textId="77777777" w:rsidR="008E5DE4" w:rsidRDefault="008E5DE4">
            <w:pPr>
              <w:widowControl w:val="0"/>
              <w:pBdr>
                <w:top w:val="nil"/>
                <w:left w:val="nil"/>
                <w:bottom w:val="nil"/>
                <w:right w:val="nil"/>
                <w:between w:val="nil"/>
              </w:pBdr>
              <w:jc w:val="right"/>
              <w:rPr>
                <w:b/>
                <w:color w:val="000000"/>
                <w:sz w:val="14"/>
                <w:szCs w:val="14"/>
              </w:rPr>
            </w:pPr>
          </w:p>
        </w:tc>
      </w:tr>
      <w:tr w:rsidR="008E5DE4" w14:paraId="4C6CEB11" w14:textId="77777777">
        <w:trPr>
          <w:cantSplit/>
          <w:tblHeader/>
        </w:trPr>
        <w:tc>
          <w:tcPr>
            <w:tcW w:w="2324" w:type="dxa"/>
            <w:vAlign w:val="bottom"/>
          </w:tcPr>
          <w:p w14:paraId="515AE802" w14:textId="77777777" w:rsidR="008E5DE4" w:rsidRDefault="00780368">
            <w:pPr>
              <w:widowControl w:val="0"/>
              <w:pBdr>
                <w:top w:val="nil"/>
                <w:left w:val="nil"/>
                <w:bottom w:val="nil"/>
                <w:right w:val="nil"/>
                <w:between w:val="nil"/>
              </w:pBdr>
              <w:ind w:left="113" w:right="-57" w:hanging="113"/>
              <w:rPr>
                <w:color w:val="000000"/>
                <w:sz w:val="14"/>
                <w:szCs w:val="14"/>
              </w:rPr>
            </w:pPr>
            <w:r>
              <w:rPr>
                <w:color w:val="000000"/>
                <w:sz w:val="14"/>
                <w:szCs w:val="14"/>
              </w:rPr>
              <w:t> </w:t>
            </w:r>
          </w:p>
        </w:tc>
        <w:tc>
          <w:tcPr>
            <w:tcW w:w="567" w:type="dxa"/>
            <w:vAlign w:val="bottom"/>
          </w:tcPr>
          <w:p w14:paraId="27837D07"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vAlign w:val="bottom"/>
          </w:tcPr>
          <w:p w14:paraId="7A604962"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5AEC3E9E"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342B23B8"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76060808"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606F11F7"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201122B3" w14:textId="77777777" w:rsidR="008E5DE4" w:rsidRDefault="008E5DE4">
            <w:pPr>
              <w:widowControl w:val="0"/>
              <w:pBdr>
                <w:top w:val="nil"/>
                <w:left w:val="nil"/>
                <w:bottom w:val="nil"/>
                <w:right w:val="nil"/>
                <w:between w:val="nil"/>
              </w:pBdr>
              <w:jc w:val="right"/>
              <w:rPr>
                <w:color w:val="000000"/>
                <w:sz w:val="14"/>
                <w:szCs w:val="14"/>
              </w:rPr>
            </w:pPr>
          </w:p>
        </w:tc>
      </w:tr>
      <w:tr w:rsidR="008E5DE4" w14:paraId="6C556DAD" w14:textId="77777777">
        <w:trPr>
          <w:cantSplit/>
          <w:tblHeader/>
        </w:trPr>
        <w:tc>
          <w:tcPr>
            <w:tcW w:w="2324" w:type="dxa"/>
            <w:vAlign w:val="bottom"/>
          </w:tcPr>
          <w:p w14:paraId="0982D44E" w14:textId="0EB05635" w:rsidR="008E5DE4" w:rsidRDefault="00780368">
            <w:pPr>
              <w:widowControl w:val="0"/>
              <w:pBdr>
                <w:top w:val="nil"/>
                <w:left w:val="nil"/>
                <w:bottom w:val="nil"/>
                <w:right w:val="nil"/>
                <w:between w:val="nil"/>
              </w:pBdr>
              <w:ind w:left="113" w:right="-57" w:hanging="113"/>
              <w:rPr>
                <w:color w:val="000000"/>
              </w:rPr>
            </w:pPr>
            <w:r>
              <w:rPr>
                <w:color w:val="000000"/>
              </w:rPr>
              <w:t xml:space="preserve">Cost </w:t>
            </w:r>
            <w:proofErr w:type="gramStart"/>
            <w:r>
              <w:rPr>
                <w:color w:val="000000"/>
              </w:rPr>
              <w:t>at</w:t>
            </w:r>
            <w:proofErr w:type="gramEnd"/>
            <w:r>
              <w:rPr>
                <w:color w:val="000000"/>
              </w:rPr>
              <w:t xml:space="preserve"> 31 December </w:t>
            </w:r>
            <w:r w:rsidR="00FF468A">
              <w:rPr>
                <w:color w:val="000000"/>
              </w:rPr>
              <w:t>2024</w:t>
            </w:r>
          </w:p>
        </w:tc>
        <w:tc>
          <w:tcPr>
            <w:tcW w:w="567" w:type="dxa"/>
            <w:vAlign w:val="bottom"/>
          </w:tcPr>
          <w:p w14:paraId="7B1761BD"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4B0D92B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2C21E1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C0A421C"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097048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C94F55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995366A" w14:textId="77777777" w:rsidR="008E5DE4" w:rsidRDefault="008E5DE4">
            <w:pPr>
              <w:widowControl w:val="0"/>
              <w:pBdr>
                <w:top w:val="nil"/>
                <w:left w:val="nil"/>
                <w:bottom w:val="nil"/>
                <w:right w:val="nil"/>
                <w:between w:val="nil"/>
              </w:pBdr>
              <w:jc w:val="right"/>
              <w:rPr>
                <w:color w:val="000000"/>
              </w:rPr>
            </w:pPr>
          </w:p>
        </w:tc>
      </w:tr>
      <w:tr w:rsidR="008E5DE4" w14:paraId="3DF3EF83" w14:textId="77777777">
        <w:trPr>
          <w:cantSplit/>
          <w:tblHeader/>
        </w:trPr>
        <w:tc>
          <w:tcPr>
            <w:tcW w:w="2324" w:type="dxa"/>
            <w:vAlign w:val="bottom"/>
          </w:tcPr>
          <w:p w14:paraId="245D78B7" w14:textId="77777777" w:rsidR="008E5DE4" w:rsidRDefault="00780368">
            <w:pPr>
              <w:widowControl w:val="0"/>
              <w:pBdr>
                <w:top w:val="nil"/>
                <w:left w:val="nil"/>
                <w:bottom w:val="nil"/>
                <w:right w:val="nil"/>
                <w:between w:val="nil"/>
              </w:pBdr>
              <w:ind w:left="113" w:right="-57" w:hanging="113"/>
              <w:rPr>
                <w:color w:val="000000"/>
              </w:rPr>
            </w:pPr>
            <w:r>
              <w:rPr>
                <w:color w:val="000000"/>
              </w:rPr>
              <w:t>Accumulated amortisation</w:t>
            </w:r>
          </w:p>
        </w:tc>
        <w:tc>
          <w:tcPr>
            <w:tcW w:w="567" w:type="dxa"/>
            <w:vAlign w:val="bottom"/>
          </w:tcPr>
          <w:p w14:paraId="30ECC97E"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06FAA56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8A8A7A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9348AD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FBEED1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A9956E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7A8B351" w14:textId="77777777" w:rsidR="008E5DE4" w:rsidRDefault="008E5DE4">
            <w:pPr>
              <w:widowControl w:val="0"/>
              <w:pBdr>
                <w:top w:val="nil"/>
                <w:left w:val="nil"/>
                <w:bottom w:val="nil"/>
                <w:right w:val="nil"/>
                <w:between w:val="nil"/>
              </w:pBdr>
              <w:jc w:val="right"/>
              <w:rPr>
                <w:color w:val="000000"/>
              </w:rPr>
            </w:pPr>
          </w:p>
        </w:tc>
      </w:tr>
      <w:tr w:rsidR="008E5DE4" w14:paraId="09E48A32" w14:textId="77777777">
        <w:trPr>
          <w:cantSplit/>
          <w:tblHeader/>
        </w:trPr>
        <w:tc>
          <w:tcPr>
            <w:tcW w:w="2324" w:type="dxa"/>
            <w:tcBorders>
              <w:bottom w:val="single" w:sz="4" w:space="0" w:color="000000"/>
            </w:tcBorders>
            <w:vAlign w:val="bottom"/>
          </w:tcPr>
          <w:p w14:paraId="52383A33" w14:textId="77777777" w:rsidR="008E5DE4" w:rsidRDefault="00780368">
            <w:pPr>
              <w:widowControl w:val="0"/>
              <w:pBdr>
                <w:top w:val="nil"/>
                <w:left w:val="nil"/>
                <w:bottom w:val="nil"/>
                <w:right w:val="nil"/>
                <w:between w:val="nil"/>
              </w:pBdr>
              <w:ind w:left="113" w:right="-57" w:hanging="113"/>
              <w:rPr>
                <w:color w:val="000000"/>
                <w:sz w:val="14"/>
                <w:szCs w:val="14"/>
              </w:rPr>
            </w:pPr>
            <w:r>
              <w:rPr>
                <w:color w:val="000000"/>
                <w:sz w:val="14"/>
                <w:szCs w:val="14"/>
              </w:rPr>
              <w:t> </w:t>
            </w:r>
          </w:p>
        </w:tc>
        <w:tc>
          <w:tcPr>
            <w:tcW w:w="567" w:type="dxa"/>
            <w:tcBorders>
              <w:bottom w:val="single" w:sz="4" w:space="0" w:color="000000"/>
            </w:tcBorders>
            <w:vAlign w:val="bottom"/>
          </w:tcPr>
          <w:p w14:paraId="521D868D"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4" w:space="0" w:color="000000"/>
            </w:tcBorders>
            <w:vAlign w:val="bottom"/>
          </w:tcPr>
          <w:p w14:paraId="51BFA8C3"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40BA1D00"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3EF772E0"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35FEC81A"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0A4F674A"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233A2D32" w14:textId="77777777" w:rsidR="008E5DE4" w:rsidRDefault="008E5DE4">
            <w:pPr>
              <w:widowControl w:val="0"/>
              <w:pBdr>
                <w:top w:val="nil"/>
                <w:left w:val="nil"/>
                <w:bottom w:val="nil"/>
                <w:right w:val="nil"/>
                <w:between w:val="nil"/>
              </w:pBdr>
              <w:jc w:val="right"/>
              <w:rPr>
                <w:color w:val="000000"/>
                <w:sz w:val="14"/>
                <w:szCs w:val="14"/>
              </w:rPr>
            </w:pPr>
          </w:p>
        </w:tc>
      </w:tr>
      <w:tr w:rsidR="008E5DE4" w14:paraId="588D736B" w14:textId="77777777">
        <w:trPr>
          <w:cantSplit/>
          <w:tblHeader/>
        </w:trPr>
        <w:tc>
          <w:tcPr>
            <w:tcW w:w="2324" w:type="dxa"/>
            <w:vAlign w:val="bottom"/>
          </w:tcPr>
          <w:p w14:paraId="1F964807" w14:textId="77777777" w:rsidR="008E5DE4" w:rsidRDefault="00780368">
            <w:pPr>
              <w:widowControl w:val="0"/>
              <w:pBdr>
                <w:top w:val="nil"/>
                <w:left w:val="nil"/>
                <w:bottom w:val="nil"/>
                <w:right w:val="nil"/>
                <w:between w:val="nil"/>
              </w:pBdr>
              <w:ind w:left="113" w:right="-57" w:hanging="113"/>
              <w:rPr>
                <w:color w:val="000000"/>
                <w:sz w:val="14"/>
                <w:szCs w:val="14"/>
              </w:rPr>
            </w:pPr>
            <w:r>
              <w:rPr>
                <w:color w:val="000000"/>
                <w:sz w:val="14"/>
                <w:szCs w:val="14"/>
              </w:rPr>
              <w:t> </w:t>
            </w:r>
          </w:p>
        </w:tc>
        <w:tc>
          <w:tcPr>
            <w:tcW w:w="567" w:type="dxa"/>
            <w:vAlign w:val="bottom"/>
          </w:tcPr>
          <w:p w14:paraId="6356004B"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vAlign w:val="bottom"/>
          </w:tcPr>
          <w:p w14:paraId="75562F95"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066C6E61"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08D32D79"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28843135"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72608535"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7BE342FA" w14:textId="77777777" w:rsidR="008E5DE4" w:rsidRDefault="008E5DE4">
            <w:pPr>
              <w:widowControl w:val="0"/>
              <w:pBdr>
                <w:top w:val="nil"/>
                <w:left w:val="nil"/>
                <w:bottom w:val="nil"/>
                <w:right w:val="nil"/>
                <w:between w:val="nil"/>
              </w:pBdr>
              <w:jc w:val="right"/>
              <w:rPr>
                <w:color w:val="000000"/>
                <w:sz w:val="14"/>
                <w:szCs w:val="14"/>
              </w:rPr>
            </w:pPr>
          </w:p>
        </w:tc>
      </w:tr>
      <w:tr w:rsidR="008E5DE4" w14:paraId="6FE2899D" w14:textId="77777777">
        <w:trPr>
          <w:cantSplit/>
          <w:tblHeader/>
        </w:trPr>
        <w:tc>
          <w:tcPr>
            <w:tcW w:w="2324" w:type="dxa"/>
            <w:vAlign w:val="bottom"/>
          </w:tcPr>
          <w:p w14:paraId="4591C0CA" w14:textId="62094797"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amount at </w:t>
            </w:r>
            <w:r>
              <w:rPr>
                <w:b/>
                <w:color w:val="000000"/>
              </w:rPr>
              <w:br/>
              <w:t xml:space="preserve">31 December </w:t>
            </w:r>
            <w:r w:rsidR="00FF468A">
              <w:rPr>
                <w:b/>
                <w:color w:val="000000"/>
              </w:rPr>
              <w:t>2024</w:t>
            </w:r>
          </w:p>
        </w:tc>
        <w:tc>
          <w:tcPr>
            <w:tcW w:w="567" w:type="dxa"/>
            <w:vAlign w:val="bottom"/>
          </w:tcPr>
          <w:p w14:paraId="039DD4F6" w14:textId="77777777" w:rsidR="008E5DE4" w:rsidRDefault="008E5DE4">
            <w:pPr>
              <w:widowControl w:val="0"/>
              <w:pBdr>
                <w:top w:val="nil"/>
                <w:left w:val="nil"/>
                <w:bottom w:val="nil"/>
                <w:right w:val="nil"/>
                <w:between w:val="nil"/>
              </w:pBdr>
              <w:ind w:left="113" w:right="-57" w:hanging="113"/>
              <w:rPr>
                <w:b/>
                <w:color w:val="000000"/>
              </w:rPr>
            </w:pPr>
          </w:p>
        </w:tc>
        <w:tc>
          <w:tcPr>
            <w:tcW w:w="1077" w:type="dxa"/>
            <w:vAlign w:val="bottom"/>
          </w:tcPr>
          <w:p w14:paraId="58FF9118"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F6E3A9B"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22CB33F0"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689439AE"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1975AA98"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21E4FA7" w14:textId="77777777" w:rsidR="008E5DE4" w:rsidRDefault="008E5DE4">
            <w:pPr>
              <w:widowControl w:val="0"/>
              <w:pBdr>
                <w:top w:val="nil"/>
                <w:left w:val="nil"/>
                <w:bottom w:val="nil"/>
                <w:right w:val="nil"/>
                <w:between w:val="nil"/>
              </w:pBdr>
              <w:jc w:val="right"/>
              <w:rPr>
                <w:b/>
                <w:color w:val="000000"/>
              </w:rPr>
            </w:pPr>
          </w:p>
        </w:tc>
      </w:tr>
      <w:tr w:rsidR="008E5DE4" w14:paraId="561DCC79" w14:textId="77777777">
        <w:trPr>
          <w:cantSplit/>
          <w:tblHeader/>
        </w:trPr>
        <w:tc>
          <w:tcPr>
            <w:tcW w:w="2324" w:type="dxa"/>
            <w:tcBorders>
              <w:bottom w:val="single" w:sz="12" w:space="0" w:color="000000"/>
            </w:tcBorders>
            <w:vAlign w:val="bottom"/>
          </w:tcPr>
          <w:p w14:paraId="60C644F8" w14:textId="77777777" w:rsidR="008E5DE4" w:rsidRDefault="00780368">
            <w:pPr>
              <w:widowControl w:val="0"/>
              <w:pBdr>
                <w:top w:val="nil"/>
                <w:left w:val="nil"/>
                <w:bottom w:val="nil"/>
                <w:right w:val="nil"/>
                <w:between w:val="nil"/>
              </w:pBdr>
              <w:ind w:left="113" w:right="-57" w:hanging="113"/>
              <w:rPr>
                <w:color w:val="000000"/>
                <w:sz w:val="14"/>
                <w:szCs w:val="14"/>
              </w:rPr>
            </w:pPr>
            <w:r>
              <w:rPr>
                <w:color w:val="000000"/>
                <w:sz w:val="14"/>
                <w:szCs w:val="14"/>
              </w:rPr>
              <w:t> </w:t>
            </w:r>
          </w:p>
        </w:tc>
        <w:tc>
          <w:tcPr>
            <w:tcW w:w="567" w:type="dxa"/>
            <w:tcBorders>
              <w:bottom w:val="single" w:sz="12" w:space="0" w:color="000000"/>
            </w:tcBorders>
            <w:vAlign w:val="bottom"/>
          </w:tcPr>
          <w:p w14:paraId="3150BE87"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12" w:space="0" w:color="000000"/>
            </w:tcBorders>
            <w:vAlign w:val="bottom"/>
          </w:tcPr>
          <w:p w14:paraId="01AA121F"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7485D0E7"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4CAC1D1D"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01E5B5D5"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647D6D1D"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3ACFEF58" w14:textId="77777777" w:rsidR="008E5DE4" w:rsidRDefault="008E5DE4">
            <w:pPr>
              <w:widowControl w:val="0"/>
              <w:pBdr>
                <w:top w:val="nil"/>
                <w:left w:val="nil"/>
                <w:bottom w:val="nil"/>
                <w:right w:val="nil"/>
                <w:between w:val="nil"/>
              </w:pBdr>
              <w:jc w:val="right"/>
              <w:rPr>
                <w:color w:val="000000"/>
                <w:sz w:val="14"/>
                <w:szCs w:val="14"/>
              </w:rPr>
            </w:pPr>
          </w:p>
        </w:tc>
      </w:tr>
      <w:tr w:rsidR="008E5DE4" w14:paraId="1F396669" w14:textId="77777777">
        <w:trPr>
          <w:cantSplit/>
          <w:tblHeader/>
        </w:trPr>
        <w:tc>
          <w:tcPr>
            <w:tcW w:w="2324" w:type="dxa"/>
            <w:tcBorders>
              <w:top w:val="single" w:sz="12" w:space="0" w:color="000000"/>
            </w:tcBorders>
            <w:vAlign w:val="bottom"/>
          </w:tcPr>
          <w:p w14:paraId="503A1F10" w14:textId="77777777" w:rsidR="008E5DE4" w:rsidRDefault="00780368">
            <w:pPr>
              <w:widowControl w:val="0"/>
              <w:pBdr>
                <w:top w:val="nil"/>
                <w:left w:val="nil"/>
                <w:bottom w:val="nil"/>
                <w:right w:val="nil"/>
                <w:between w:val="nil"/>
              </w:pBdr>
              <w:ind w:left="113" w:right="-57" w:hanging="113"/>
              <w:rPr>
                <w:color w:val="000000"/>
                <w:sz w:val="14"/>
                <w:szCs w:val="14"/>
              </w:rPr>
            </w:pPr>
            <w:r>
              <w:rPr>
                <w:color w:val="000000"/>
                <w:sz w:val="14"/>
                <w:szCs w:val="14"/>
              </w:rPr>
              <w:t> </w:t>
            </w:r>
          </w:p>
        </w:tc>
        <w:tc>
          <w:tcPr>
            <w:tcW w:w="567" w:type="dxa"/>
            <w:tcBorders>
              <w:top w:val="single" w:sz="12" w:space="0" w:color="000000"/>
            </w:tcBorders>
            <w:vAlign w:val="bottom"/>
          </w:tcPr>
          <w:p w14:paraId="60C6923C"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top w:val="single" w:sz="12" w:space="0" w:color="000000"/>
            </w:tcBorders>
            <w:vAlign w:val="bottom"/>
          </w:tcPr>
          <w:p w14:paraId="3CE4F771"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36F57641"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01C66B0B"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340526CA"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44ADEA27"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5EFCB1AF" w14:textId="77777777" w:rsidR="008E5DE4" w:rsidRDefault="008E5DE4">
            <w:pPr>
              <w:widowControl w:val="0"/>
              <w:pBdr>
                <w:top w:val="nil"/>
                <w:left w:val="nil"/>
                <w:bottom w:val="nil"/>
                <w:right w:val="nil"/>
                <w:between w:val="nil"/>
              </w:pBdr>
              <w:jc w:val="right"/>
              <w:rPr>
                <w:color w:val="000000"/>
                <w:sz w:val="14"/>
                <w:szCs w:val="14"/>
              </w:rPr>
            </w:pPr>
          </w:p>
        </w:tc>
      </w:tr>
      <w:tr w:rsidR="008E5DE4" w14:paraId="3F804ED3" w14:textId="77777777">
        <w:trPr>
          <w:cantSplit/>
          <w:tblHeader/>
        </w:trPr>
        <w:tc>
          <w:tcPr>
            <w:tcW w:w="2324" w:type="dxa"/>
            <w:vAlign w:val="bottom"/>
          </w:tcPr>
          <w:p w14:paraId="781A89D5" w14:textId="77777777" w:rsidR="008E5DE4" w:rsidRDefault="00780368">
            <w:pPr>
              <w:widowControl w:val="0"/>
              <w:pBdr>
                <w:top w:val="nil"/>
                <w:left w:val="nil"/>
                <w:bottom w:val="nil"/>
                <w:right w:val="nil"/>
                <w:between w:val="nil"/>
              </w:pBdr>
              <w:ind w:left="113" w:right="-57" w:hanging="113"/>
              <w:rPr>
                <w:color w:val="000000"/>
              </w:rPr>
            </w:pPr>
            <w:r>
              <w:rPr>
                <w:color w:val="000000"/>
              </w:rPr>
              <w:t>Acquisitions through business combinations</w:t>
            </w:r>
          </w:p>
        </w:tc>
        <w:tc>
          <w:tcPr>
            <w:tcW w:w="567" w:type="dxa"/>
            <w:vAlign w:val="bottom"/>
          </w:tcPr>
          <w:p w14:paraId="2D26995B" w14:textId="77777777" w:rsidR="008E5DE4" w:rsidRDefault="00780368">
            <w:pPr>
              <w:widowControl w:val="0"/>
              <w:pBdr>
                <w:top w:val="nil"/>
                <w:left w:val="nil"/>
                <w:bottom w:val="nil"/>
                <w:right w:val="nil"/>
                <w:between w:val="nil"/>
              </w:pBdr>
              <w:ind w:left="-57" w:right="-57"/>
              <w:jc w:val="center"/>
              <w:rPr>
                <w:color w:val="000000"/>
              </w:rPr>
            </w:pPr>
            <w:r>
              <w:rPr>
                <w:color w:val="000000"/>
              </w:rPr>
              <w:t>50</w:t>
            </w:r>
          </w:p>
        </w:tc>
        <w:tc>
          <w:tcPr>
            <w:tcW w:w="1077" w:type="dxa"/>
            <w:vAlign w:val="bottom"/>
          </w:tcPr>
          <w:p w14:paraId="3CD5FDF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87CD8A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88F618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F9DEF3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8EF8D3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90853B7" w14:textId="77777777" w:rsidR="008E5DE4" w:rsidRDefault="008E5DE4">
            <w:pPr>
              <w:widowControl w:val="0"/>
              <w:pBdr>
                <w:top w:val="nil"/>
                <w:left w:val="nil"/>
                <w:bottom w:val="nil"/>
                <w:right w:val="nil"/>
                <w:between w:val="nil"/>
              </w:pBdr>
              <w:jc w:val="right"/>
              <w:rPr>
                <w:color w:val="000000"/>
              </w:rPr>
            </w:pPr>
          </w:p>
        </w:tc>
      </w:tr>
      <w:tr w:rsidR="008E5DE4" w14:paraId="3CDD2401" w14:textId="77777777">
        <w:trPr>
          <w:cantSplit/>
          <w:tblHeader/>
        </w:trPr>
        <w:tc>
          <w:tcPr>
            <w:tcW w:w="2324" w:type="dxa"/>
            <w:vAlign w:val="bottom"/>
          </w:tcPr>
          <w:p w14:paraId="385CC919" w14:textId="77777777" w:rsidR="008E5DE4" w:rsidRDefault="00780368">
            <w:pPr>
              <w:widowControl w:val="0"/>
              <w:pBdr>
                <w:top w:val="nil"/>
                <w:left w:val="nil"/>
                <w:bottom w:val="nil"/>
                <w:right w:val="nil"/>
                <w:between w:val="nil"/>
              </w:pBdr>
              <w:ind w:left="113" w:right="-57" w:hanging="113"/>
              <w:rPr>
                <w:color w:val="000000"/>
              </w:rPr>
            </w:pPr>
            <w:r>
              <w:rPr>
                <w:color w:val="000000"/>
              </w:rPr>
              <w:t>Additions</w:t>
            </w:r>
          </w:p>
        </w:tc>
        <w:tc>
          <w:tcPr>
            <w:tcW w:w="567" w:type="dxa"/>
            <w:vAlign w:val="bottom"/>
          </w:tcPr>
          <w:p w14:paraId="5A9B92C1"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1D59EBA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DB3257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CB102F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DCCD66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649879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DE31D04" w14:textId="77777777" w:rsidR="008E5DE4" w:rsidRDefault="008E5DE4">
            <w:pPr>
              <w:widowControl w:val="0"/>
              <w:pBdr>
                <w:top w:val="nil"/>
                <w:left w:val="nil"/>
                <w:bottom w:val="nil"/>
                <w:right w:val="nil"/>
                <w:between w:val="nil"/>
              </w:pBdr>
              <w:jc w:val="right"/>
              <w:rPr>
                <w:color w:val="000000"/>
              </w:rPr>
            </w:pPr>
          </w:p>
        </w:tc>
      </w:tr>
      <w:tr w:rsidR="008E5DE4" w14:paraId="33B54710" w14:textId="77777777">
        <w:trPr>
          <w:cantSplit/>
          <w:tblHeader/>
        </w:trPr>
        <w:tc>
          <w:tcPr>
            <w:tcW w:w="2324" w:type="dxa"/>
            <w:vAlign w:val="bottom"/>
          </w:tcPr>
          <w:p w14:paraId="0ABB1674" w14:textId="77777777" w:rsidR="008E5DE4" w:rsidRDefault="00780368">
            <w:pPr>
              <w:widowControl w:val="0"/>
              <w:pBdr>
                <w:top w:val="nil"/>
                <w:left w:val="nil"/>
                <w:bottom w:val="nil"/>
                <w:right w:val="nil"/>
                <w:between w:val="nil"/>
              </w:pBdr>
              <w:ind w:left="113" w:right="-57" w:hanging="113"/>
              <w:rPr>
                <w:color w:val="000000"/>
              </w:rPr>
            </w:pPr>
            <w:r>
              <w:rPr>
                <w:color w:val="000000"/>
              </w:rPr>
              <w:t>Transfers</w:t>
            </w:r>
          </w:p>
        </w:tc>
        <w:tc>
          <w:tcPr>
            <w:tcW w:w="567" w:type="dxa"/>
            <w:vAlign w:val="bottom"/>
          </w:tcPr>
          <w:p w14:paraId="46591CAF"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63AE366C"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D6AA6B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F89F63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AB7B05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3F4C5F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05B255E" w14:textId="77777777" w:rsidR="008E5DE4" w:rsidRDefault="008E5DE4">
            <w:pPr>
              <w:widowControl w:val="0"/>
              <w:pBdr>
                <w:top w:val="nil"/>
                <w:left w:val="nil"/>
                <w:bottom w:val="nil"/>
                <w:right w:val="nil"/>
                <w:between w:val="nil"/>
              </w:pBdr>
              <w:jc w:val="right"/>
              <w:rPr>
                <w:color w:val="000000"/>
              </w:rPr>
            </w:pPr>
          </w:p>
        </w:tc>
      </w:tr>
      <w:tr w:rsidR="008E5DE4" w14:paraId="65D18BB8" w14:textId="77777777">
        <w:trPr>
          <w:cantSplit/>
          <w:tblHeader/>
        </w:trPr>
        <w:tc>
          <w:tcPr>
            <w:tcW w:w="2324" w:type="dxa"/>
            <w:vAlign w:val="bottom"/>
          </w:tcPr>
          <w:p w14:paraId="4C740854" w14:textId="77777777" w:rsidR="008E5DE4" w:rsidRDefault="00780368">
            <w:pPr>
              <w:widowControl w:val="0"/>
              <w:pBdr>
                <w:top w:val="nil"/>
                <w:left w:val="nil"/>
                <w:bottom w:val="nil"/>
                <w:right w:val="nil"/>
                <w:between w:val="nil"/>
              </w:pBdr>
              <w:ind w:left="113" w:right="-57" w:hanging="113"/>
              <w:rPr>
                <w:color w:val="000000"/>
              </w:rPr>
            </w:pPr>
            <w:r>
              <w:rPr>
                <w:color w:val="000000"/>
              </w:rPr>
              <w:t>Reclassification to non-current assets held for sale (or disposal groups)</w:t>
            </w:r>
          </w:p>
        </w:tc>
        <w:tc>
          <w:tcPr>
            <w:tcW w:w="567" w:type="dxa"/>
            <w:vAlign w:val="bottom"/>
          </w:tcPr>
          <w:p w14:paraId="1A705E5A" w14:textId="77777777" w:rsidR="008E5DE4" w:rsidRDefault="00780368">
            <w:pPr>
              <w:widowControl w:val="0"/>
              <w:pBdr>
                <w:top w:val="nil"/>
                <w:left w:val="nil"/>
                <w:bottom w:val="nil"/>
                <w:right w:val="nil"/>
                <w:between w:val="nil"/>
              </w:pBdr>
              <w:ind w:left="-57" w:right="-57"/>
              <w:jc w:val="center"/>
              <w:rPr>
                <w:color w:val="000000"/>
              </w:rPr>
            </w:pPr>
            <w:r>
              <w:rPr>
                <w:color w:val="000000"/>
              </w:rPr>
              <w:t>25</w:t>
            </w:r>
          </w:p>
        </w:tc>
        <w:tc>
          <w:tcPr>
            <w:tcW w:w="1077" w:type="dxa"/>
            <w:vAlign w:val="bottom"/>
          </w:tcPr>
          <w:p w14:paraId="63E0626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22B329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E401D9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CBC5B8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10F7DC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A58A57D" w14:textId="77777777" w:rsidR="008E5DE4" w:rsidRDefault="008E5DE4">
            <w:pPr>
              <w:widowControl w:val="0"/>
              <w:pBdr>
                <w:top w:val="nil"/>
                <w:left w:val="nil"/>
                <w:bottom w:val="nil"/>
                <w:right w:val="nil"/>
                <w:between w:val="nil"/>
              </w:pBdr>
              <w:jc w:val="right"/>
              <w:rPr>
                <w:color w:val="000000"/>
              </w:rPr>
            </w:pPr>
          </w:p>
        </w:tc>
      </w:tr>
      <w:tr w:rsidR="008E5DE4" w14:paraId="3B9030A2" w14:textId="77777777">
        <w:trPr>
          <w:cantSplit/>
          <w:tblHeader/>
        </w:trPr>
        <w:tc>
          <w:tcPr>
            <w:tcW w:w="2324" w:type="dxa"/>
            <w:vAlign w:val="bottom"/>
          </w:tcPr>
          <w:p w14:paraId="32E9ED7B" w14:textId="77777777" w:rsidR="008E5DE4" w:rsidRDefault="00780368">
            <w:pPr>
              <w:widowControl w:val="0"/>
              <w:pBdr>
                <w:top w:val="nil"/>
                <w:left w:val="nil"/>
                <w:bottom w:val="nil"/>
                <w:right w:val="nil"/>
                <w:between w:val="nil"/>
              </w:pBdr>
              <w:ind w:left="113" w:right="-57" w:hanging="113"/>
              <w:rPr>
                <w:color w:val="000000"/>
              </w:rPr>
            </w:pPr>
            <w:r>
              <w:rPr>
                <w:color w:val="000000"/>
              </w:rPr>
              <w:t>Disposals</w:t>
            </w:r>
          </w:p>
        </w:tc>
        <w:tc>
          <w:tcPr>
            <w:tcW w:w="567" w:type="dxa"/>
            <w:vAlign w:val="bottom"/>
          </w:tcPr>
          <w:p w14:paraId="53486724"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1BA9B9A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94412E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395526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287EFC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406400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ED3B9EB" w14:textId="77777777" w:rsidR="008E5DE4" w:rsidRDefault="008E5DE4">
            <w:pPr>
              <w:widowControl w:val="0"/>
              <w:pBdr>
                <w:top w:val="nil"/>
                <w:left w:val="nil"/>
                <w:bottom w:val="nil"/>
                <w:right w:val="nil"/>
                <w:between w:val="nil"/>
              </w:pBdr>
              <w:jc w:val="right"/>
              <w:rPr>
                <w:color w:val="000000"/>
              </w:rPr>
            </w:pPr>
          </w:p>
        </w:tc>
      </w:tr>
      <w:tr w:rsidR="008E5DE4" w14:paraId="37130E04" w14:textId="77777777">
        <w:trPr>
          <w:cantSplit/>
          <w:tblHeader/>
        </w:trPr>
        <w:tc>
          <w:tcPr>
            <w:tcW w:w="2324" w:type="dxa"/>
            <w:vAlign w:val="bottom"/>
          </w:tcPr>
          <w:p w14:paraId="25A67C8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Amortisation charge </w:t>
            </w:r>
          </w:p>
        </w:tc>
        <w:tc>
          <w:tcPr>
            <w:tcW w:w="567" w:type="dxa"/>
            <w:vAlign w:val="bottom"/>
          </w:tcPr>
          <w:p w14:paraId="7F046AC2" w14:textId="77777777" w:rsidR="008E5DE4" w:rsidRDefault="00780368">
            <w:pPr>
              <w:widowControl w:val="0"/>
              <w:pBdr>
                <w:top w:val="nil"/>
                <w:left w:val="nil"/>
                <w:bottom w:val="nil"/>
                <w:right w:val="nil"/>
                <w:between w:val="nil"/>
              </w:pBdr>
              <w:ind w:left="-57" w:right="-57"/>
              <w:jc w:val="center"/>
              <w:rPr>
                <w:color w:val="000000"/>
              </w:rPr>
            </w:pPr>
            <w:r>
              <w:rPr>
                <w:color w:val="000000"/>
              </w:rPr>
              <w:t>36</w:t>
            </w:r>
          </w:p>
        </w:tc>
        <w:tc>
          <w:tcPr>
            <w:tcW w:w="1077" w:type="dxa"/>
            <w:vAlign w:val="bottom"/>
          </w:tcPr>
          <w:p w14:paraId="6780904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A2B108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12557F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0AB970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1CE100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94AD67C" w14:textId="77777777" w:rsidR="008E5DE4" w:rsidRDefault="008E5DE4">
            <w:pPr>
              <w:widowControl w:val="0"/>
              <w:pBdr>
                <w:top w:val="nil"/>
                <w:left w:val="nil"/>
                <w:bottom w:val="nil"/>
                <w:right w:val="nil"/>
                <w:between w:val="nil"/>
              </w:pBdr>
              <w:jc w:val="right"/>
              <w:rPr>
                <w:color w:val="000000"/>
              </w:rPr>
            </w:pPr>
          </w:p>
        </w:tc>
      </w:tr>
      <w:tr w:rsidR="008E5DE4" w14:paraId="4F0D6DE5" w14:textId="77777777">
        <w:trPr>
          <w:cantSplit/>
          <w:tblHeader/>
        </w:trPr>
        <w:tc>
          <w:tcPr>
            <w:tcW w:w="2324" w:type="dxa"/>
            <w:vAlign w:val="bottom"/>
          </w:tcPr>
          <w:p w14:paraId="710D876B"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Impairment charge </w:t>
            </w:r>
          </w:p>
        </w:tc>
        <w:tc>
          <w:tcPr>
            <w:tcW w:w="567" w:type="dxa"/>
            <w:vAlign w:val="bottom"/>
          </w:tcPr>
          <w:p w14:paraId="2F10F727" w14:textId="77777777" w:rsidR="008E5DE4" w:rsidRDefault="00780368">
            <w:pPr>
              <w:widowControl w:val="0"/>
              <w:pBdr>
                <w:top w:val="nil"/>
                <w:left w:val="nil"/>
                <w:bottom w:val="nil"/>
                <w:right w:val="nil"/>
                <w:between w:val="nil"/>
              </w:pBdr>
              <w:ind w:left="-57" w:right="-57"/>
              <w:jc w:val="center"/>
              <w:rPr>
                <w:color w:val="000000"/>
              </w:rPr>
            </w:pPr>
            <w:r>
              <w:rPr>
                <w:color w:val="000000"/>
              </w:rPr>
              <w:t>36</w:t>
            </w:r>
          </w:p>
        </w:tc>
        <w:tc>
          <w:tcPr>
            <w:tcW w:w="1077" w:type="dxa"/>
            <w:vAlign w:val="bottom"/>
          </w:tcPr>
          <w:p w14:paraId="38E6609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9138CD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E0FF39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500EB0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F46540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8123F26" w14:textId="77777777" w:rsidR="008E5DE4" w:rsidRDefault="008E5DE4">
            <w:pPr>
              <w:widowControl w:val="0"/>
              <w:pBdr>
                <w:top w:val="nil"/>
                <w:left w:val="nil"/>
                <w:bottom w:val="nil"/>
                <w:right w:val="nil"/>
                <w:between w:val="nil"/>
              </w:pBdr>
              <w:jc w:val="right"/>
              <w:rPr>
                <w:color w:val="000000"/>
              </w:rPr>
            </w:pPr>
          </w:p>
        </w:tc>
      </w:tr>
      <w:tr w:rsidR="008E5DE4" w14:paraId="54A6163B" w14:textId="77777777">
        <w:trPr>
          <w:cantSplit/>
          <w:tblHeader/>
        </w:trPr>
        <w:tc>
          <w:tcPr>
            <w:tcW w:w="2324" w:type="dxa"/>
            <w:vAlign w:val="bottom"/>
          </w:tcPr>
          <w:p w14:paraId="513DC2E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Reversals of impairment </w:t>
            </w:r>
          </w:p>
        </w:tc>
        <w:tc>
          <w:tcPr>
            <w:tcW w:w="567" w:type="dxa"/>
            <w:vAlign w:val="bottom"/>
          </w:tcPr>
          <w:p w14:paraId="496B1A85" w14:textId="77777777" w:rsidR="008E5DE4" w:rsidRDefault="00780368">
            <w:pPr>
              <w:widowControl w:val="0"/>
              <w:pBdr>
                <w:top w:val="nil"/>
                <w:left w:val="nil"/>
                <w:bottom w:val="nil"/>
                <w:right w:val="nil"/>
                <w:between w:val="nil"/>
              </w:pBdr>
              <w:ind w:left="-57" w:right="-57"/>
              <w:jc w:val="center"/>
              <w:rPr>
                <w:color w:val="000000"/>
              </w:rPr>
            </w:pPr>
            <w:r>
              <w:rPr>
                <w:color w:val="000000"/>
              </w:rPr>
              <w:t>36</w:t>
            </w:r>
          </w:p>
        </w:tc>
        <w:tc>
          <w:tcPr>
            <w:tcW w:w="1077" w:type="dxa"/>
            <w:vAlign w:val="bottom"/>
          </w:tcPr>
          <w:p w14:paraId="2CE52ACC"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EA79CB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F33F2B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6F264D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C126AB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994985D" w14:textId="77777777" w:rsidR="008E5DE4" w:rsidRDefault="008E5DE4">
            <w:pPr>
              <w:widowControl w:val="0"/>
              <w:pBdr>
                <w:top w:val="nil"/>
                <w:left w:val="nil"/>
                <w:bottom w:val="nil"/>
                <w:right w:val="nil"/>
                <w:between w:val="nil"/>
              </w:pBdr>
              <w:jc w:val="right"/>
              <w:rPr>
                <w:color w:val="000000"/>
              </w:rPr>
            </w:pPr>
          </w:p>
        </w:tc>
      </w:tr>
      <w:tr w:rsidR="008E5DE4" w14:paraId="0D1DA5C9" w14:textId="77777777">
        <w:trPr>
          <w:cantSplit/>
          <w:tblHeader/>
        </w:trPr>
        <w:tc>
          <w:tcPr>
            <w:tcW w:w="2324" w:type="dxa"/>
            <w:vAlign w:val="bottom"/>
          </w:tcPr>
          <w:p w14:paraId="02AFA563" w14:textId="77777777" w:rsidR="008E5DE4" w:rsidRDefault="00780368">
            <w:pPr>
              <w:widowControl w:val="0"/>
              <w:pBdr>
                <w:top w:val="nil"/>
                <w:left w:val="nil"/>
                <w:bottom w:val="nil"/>
                <w:right w:val="nil"/>
                <w:between w:val="nil"/>
              </w:pBdr>
              <w:ind w:left="113" w:right="-57" w:hanging="113"/>
              <w:rPr>
                <w:color w:val="0000FF"/>
              </w:rPr>
            </w:pPr>
            <w:r>
              <w:rPr>
                <w:color w:val="0000FF"/>
              </w:rPr>
              <w:t>[Effect of translation to presentation currency]</w:t>
            </w:r>
          </w:p>
        </w:tc>
        <w:tc>
          <w:tcPr>
            <w:tcW w:w="567" w:type="dxa"/>
            <w:vAlign w:val="bottom"/>
          </w:tcPr>
          <w:p w14:paraId="2768732D"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6D173F4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FE3143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58AFC8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005FD7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0D989D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48994C8" w14:textId="77777777" w:rsidR="008E5DE4" w:rsidRDefault="008E5DE4">
            <w:pPr>
              <w:widowControl w:val="0"/>
              <w:pBdr>
                <w:top w:val="nil"/>
                <w:left w:val="nil"/>
                <w:bottom w:val="nil"/>
                <w:right w:val="nil"/>
                <w:between w:val="nil"/>
              </w:pBdr>
              <w:jc w:val="right"/>
              <w:rPr>
                <w:color w:val="000000"/>
              </w:rPr>
            </w:pPr>
          </w:p>
        </w:tc>
      </w:tr>
      <w:tr w:rsidR="008E5DE4" w14:paraId="4CAA13EA" w14:textId="77777777">
        <w:trPr>
          <w:cantSplit/>
          <w:tblHeader/>
        </w:trPr>
        <w:tc>
          <w:tcPr>
            <w:tcW w:w="2324" w:type="dxa"/>
            <w:vAlign w:val="bottom"/>
          </w:tcPr>
          <w:p w14:paraId="456DBD6D" w14:textId="77777777" w:rsidR="008E5DE4" w:rsidRDefault="00780368">
            <w:pPr>
              <w:widowControl w:val="0"/>
              <w:pBdr>
                <w:top w:val="nil"/>
                <w:left w:val="nil"/>
                <w:bottom w:val="nil"/>
                <w:right w:val="nil"/>
                <w:between w:val="nil"/>
              </w:pBdr>
              <w:ind w:left="113" w:right="-57" w:hanging="113"/>
              <w:rPr>
                <w:color w:val="000000"/>
              </w:rPr>
            </w:pPr>
            <w:r>
              <w:rPr>
                <w:color w:val="000000"/>
              </w:rPr>
              <w:t>Other</w:t>
            </w:r>
          </w:p>
        </w:tc>
        <w:tc>
          <w:tcPr>
            <w:tcW w:w="567" w:type="dxa"/>
            <w:vAlign w:val="bottom"/>
          </w:tcPr>
          <w:p w14:paraId="1E08DB49"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54D14D7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C94E4A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714DD7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6820A4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5D242F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E5F64C8" w14:textId="77777777" w:rsidR="008E5DE4" w:rsidRDefault="008E5DE4">
            <w:pPr>
              <w:widowControl w:val="0"/>
              <w:pBdr>
                <w:top w:val="nil"/>
                <w:left w:val="nil"/>
                <w:bottom w:val="nil"/>
                <w:right w:val="nil"/>
                <w:between w:val="nil"/>
              </w:pBdr>
              <w:jc w:val="right"/>
              <w:rPr>
                <w:color w:val="000000"/>
              </w:rPr>
            </w:pPr>
          </w:p>
        </w:tc>
      </w:tr>
      <w:tr w:rsidR="008E5DE4" w14:paraId="34D572C9" w14:textId="77777777">
        <w:trPr>
          <w:cantSplit/>
          <w:tblHeader/>
        </w:trPr>
        <w:tc>
          <w:tcPr>
            <w:tcW w:w="2324" w:type="dxa"/>
            <w:tcBorders>
              <w:bottom w:val="single" w:sz="4" w:space="0" w:color="000000"/>
            </w:tcBorders>
            <w:vAlign w:val="bottom"/>
          </w:tcPr>
          <w:p w14:paraId="33CAC7E2"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4" w:space="0" w:color="000000"/>
            </w:tcBorders>
            <w:vAlign w:val="bottom"/>
          </w:tcPr>
          <w:p w14:paraId="0562F4B5"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4" w:space="0" w:color="000000"/>
            </w:tcBorders>
            <w:vAlign w:val="bottom"/>
          </w:tcPr>
          <w:p w14:paraId="405281CB"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384A31DF"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11680BC9"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5F98D457"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051701E6"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4" w:space="0" w:color="000000"/>
            </w:tcBorders>
            <w:vAlign w:val="bottom"/>
          </w:tcPr>
          <w:p w14:paraId="5EB0846F" w14:textId="77777777" w:rsidR="008E5DE4" w:rsidRDefault="008E5DE4">
            <w:pPr>
              <w:widowControl w:val="0"/>
              <w:pBdr>
                <w:top w:val="nil"/>
                <w:left w:val="nil"/>
                <w:bottom w:val="nil"/>
                <w:right w:val="nil"/>
                <w:between w:val="nil"/>
              </w:pBdr>
              <w:jc w:val="right"/>
              <w:rPr>
                <w:color w:val="000000"/>
                <w:sz w:val="14"/>
                <w:szCs w:val="14"/>
              </w:rPr>
            </w:pPr>
          </w:p>
        </w:tc>
      </w:tr>
      <w:tr w:rsidR="008E5DE4" w14:paraId="36511819" w14:textId="77777777">
        <w:trPr>
          <w:cantSplit/>
          <w:tblHeader/>
        </w:trPr>
        <w:tc>
          <w:tcPr>
            <w:tcW w:w="2324" w:type="dxa"/>
            <w:vAlign w:val="bottom"/>
          </w:tcPr>
          <w:p w14:paraId="7BA16866"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vAlign w:val="bottom"/>
          </w:tcPr>
          <w:p w14:paraId="7A2F1A05"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vAlign w:val="bottom"/>
          </w:tcPr>
          <w:p w14:paraId="7C063384"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14F338FB"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51DDA98F"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3FBEAB84"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10C6B542"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32245156" w14:textId="77777777" w:rsidR="008E5DE4" w:rsidRDefault="008E5DE4">
            <w:pPr>
              <w:widowControl w:val="0"/>
              <w:pBdr>
                <w:top w:val="nil"/>
                <w:left w:val="nil"/>
                <w:bottom w:val="nil"/>
                <w:right w:val="nil"/>
                <w:between w:val="nil"/>
              </w:pBdr>
              <w:jc w:val="right"/>
              <w:rPr>
                <w:color w:val="000000"/>
                <w:sz w:val="14"/>
                <w:szCs w:val="14"/>
              </w:rPr>
            </w:pPr>
          </w:p>
        </w:tc>
      </w:tr>
      <w:tr w:rsidR="008E5DE4" w14:paraId="5253A6D5" w14:textId="77777777">
        <w:trPr>
          <w:cantSplit/>
          <w:tblHeader/>
        </w:trPr>
        <w:tc>
          <w:tcPr>
            <w:tcW w:w="2324" w:type="dxa"/>
            <w:vAlign w:val="bottom"/>
          </w:tcPr>
          <w:p w14:paraId="60165856" w14:textId="084A7EC9"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amount at </w:t>
            </w:r>
            <w:r>
              <w:rPr>
                <w:b/>
                <w:color w:val="000000"/>
              </w:rPr>
              <w:br/>
              <w:t xml:space="preserve">31 December </w:t>
            </w:r>
            <w:r w:rsidR="008614F8">
              <w:rPr>
                <w:b/>
                <w:color w:val="000000"/>
              </w:rPr>
              <w:t>2025</w:t>
            </w:r>
          </w:p>
        </w:tc>
        <w:tc>
          <w:tcPr>
            <w:tcW w:w="567" w:type="dxa"/>
            <w:vAlign w:val="bottom"/>
          </w:tcPr>
          <w:p w14:paraId="5447D29A" w14:textId="77777777" w:rsidR="008E5DE4" w:rsidRDefault="008E5DE4">
            <w:pPr>
              <w:widowControl w:val="0"/>
              <w:pBdr>
                <w:top w:val="nil"/>
                <w:left w:val="nil"/>
                <w:bottom w:val="nil"/>
                <w:right w:val="nil"/>
                <w:between w:val="nil"/>
              </w:pBdr>
              <w:ind w:left="113" w:right="-57" w:hanging="113"/>
              <w:rPr>
                <w:b/>
                <w:color w:val="000000"/>
              </w:rPr>
            </w:pPr>
          </w:p>
        </w:tc>
        <w:tc>
          <w:tcPr>
            <w:tcW w:w="1077" w:type="dxa"/>
            <w:vAlign w:val="bottom"/>
          </w:tcPr>
          <w:p w14:paraId="62674558"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2EDC3449"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0CE9CE6"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21660F3B"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6362FE95"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67CD8426" w14:textId="77777777" w:rsidR="008E5DE4" w:rsidRDefault="008E5DE4">
            <w:pPr>
              <w:widowControl w:val="0"/>
              <w:pBdr>
                <w:top w:val="nil"/>
                <w:left w:val="nil"/>
                <w:bottom w:val="nil"/>
                <w:right w:val="nil"/>
                <w:between w:val="nil"/>
              </w:pBdr>
              <w:jc w:val="right"/>
              <w:rPr>
                <w:b/>
                <w:color w:val="000000"/>
              </w:rPr>
            </w:pPr>
          </w:p>
        </w:tc>
      </w:tr>
      <w:tr w:rsidR="008E5DE4" w14:paraId="2B8F5D09" w14:textId="77777777">
        <w:trPr>
          <w:cantSplit/>
          <w:tblHeader/>
        </w:trPr>
        <w:tc>
          <w:tcPr>
            <w:tcW w:w="2324" w:type="dxa"/>
            <w:tcBorders>
              <w:bottom w:val="single" w:sz="12" w:space="0" w:color="000000"/>
            </w:tcBorders>
            <w:vAlign w:val="bottom"/>
          </w:tcPr>
          <w:p w14:paraId="6E340AF9"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12" w:space="0" w:color="000000"/>
            </w:tcBorders>
            <w:vAlign w:val="bottom"/>
          </w:tcPr>
          <w:p w14:paraId="5D95EB3D"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12" w:space="0" w:color="000000"/>
            </w:tcBorders>
            <w:vAlign w:val="bottom"/>
          </w:tcPr>
          <w:p w14:paraId="5B6E7BDE"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3892E564"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7676FCD3"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4DCE2024"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77B3D7B9"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4967BB75" w14:textId="77777777" w:rsidR="008E5DE4" w:rsidRDefault="008E5DE4">
            <w:pPr>
              <w:widowControl w:val="0"/>
              <w:pBdr>
                <w:top w:val="nil"/>
                <w:left w:val="nil"/>
                <w:bottom w:val="nil"/>
                <w:right w:val="nil"/>
                <w:between w:val="nil"/>
              </w:pBdr>
              <w:jc w:val="right"/>
              <w:rPr>
                <w:color w:val="000000"/>
                <w:sz w:val="14"/>
                <w:szCs w:val="14"/>
              </w:rPr>
            </w:pPr>
          </w:p>
        </w:tc>
      </w:tr>
      <w:tr w:rsidR="008E5DE4" w14:paraId="04B68738" w14:textId="77777777">
        <w:trPr>
          <w:cantSplit/>
          <w:tblHeader/>
        </w:trPr>
        <w:tc>
          <w:tcPr>
            <w:tcW w:w="2324" w:type="dxa"/>
            <w:tcBorders>
              <w:top w:val="single" w:sz="12" w:space="0" w:color="000000"/>
            </w:tcBorders>
            <w:vAlign w:val="bottom"/>
          </w:tcPr>
          <w:p w14:paraId="35F0DA77"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top w:val="single" w:sz="12" w:space="0" w:color="000000"/>
            </w:tcBorders>
            <w:vAlign w:val="bottom"/>
          </w:tcPr>
          <w:p w14:paraId="73F9E9E8"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top w:val="single" w:sz="12" w:space="0" w:color="000000"/>
            </w:tcBorders>
            <w:vAlign w:val="bottom"/>
          </w:tcPr>
          <w:p w14:paraId="558F71F3"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7B135D1A"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30E7A8E1"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42469216"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285F215F"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top w:val="single" w:sz="12" w:space="0" w:color="000000"/>
            </w:tcBorders>
            <w:vAlign w:val="bottom"/>
          </w:tcPr>
          <w:p w14:paraId="64900902" w14:textId="77777777" w:rsidR="008E5DE4" w:rsidRDefault="008E5DE4">
            <w:pPr>
              <w:widowControl w:val="0"/>
              <w:pBdr>
                <w:top w:val="nil"/>
                <w:left w:val="nil"/>
                <w:bottom w:val="nil"/>
                <w:right w:val="nil"/>
                <w:between w:val="nil"/>
              </w:pBdr>
              <w:jc w:val="right"/>
              <w:rPr>
                <w:color w:val="000000"/>
                <w:sz w:val="14"/>
                <w:szCs w:val="14"/>
              </w:rPr>
            </w:pPr>
          </w:p>
        </w:tc>
      </w:tr>
      <w:tr w:rsidR="008E5DE4" w14:paraId="6C6881AF" w14:textId="77777777">
        <w:trPr>
          <w:cantSplit/>
          <w:tblHeader/>
        </w:trPr>
        <w:tc>
          <w:tcPr>
            <w:tcW w:w="2324" w:type="dxa"/>
            <w:vAlign w:val="bottom"/>
          </w:tcPr>
          <w:p w14:paraId="696E1BA0" w14:textId="59BBC208" w:rsidR="008E5DE4" w:rsidRDefault="00780368">
            <w:pPr>
              <w:widowControl w:val="0"/>
              <w:pBdr>
                <w:top w:val="nil"/>
                <w:left w:val="nil"/>
                <w:bottom w:val="nil"/>
                <w:right w:val="nil"/>
                <w:between w:val="nil"/>
              </w:pBdr>
              <w:ind w:left="113" w:right="-57" w:hanging="113"/>
              <w:rPr>
                <w:color w:val="000000"/>
              </w:rPr>
            </w:pPr>
            <w:r>
              <w:rPr>
                <w:color w:val="000000"/>
              </w:rPr>
              <w:t xml:space="preserve">Cost </w:t>
            </w:r>
            <w:proofErr w:type="gramStart"/>
            <w:r>
              <w:rPr>
                <w:color w:val="000000"/>
              </w:rPr>
              <w:t>at</w:t>
            </w:r>
            <w:proofErr w:type="gramEnd"/>
            <w:r>
              <w:rPr>
                <w:color w:val="000000"/>
              </w:rPr>
              <w:t xml:space="preserve"> 31 December </w:t>
            </w:r>
            <w:r w:rsidR="008614F8">
              <w:rPr>
                <w:color w:val="000000"/>
              </w:rPr>
              <w:t>2025</w:t>
            </w:r>
          </w:p>
        </w:tc>
        <w:tc>
          <w:tcPr>
            <w:tcW w:w="567" w:type="dxa"/>
            <w:vAlign w:val="bottom"/>
          </w:tcPr>
          <w:p w14:paraId="4026B060"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2749384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EFFE63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A3076B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047526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B31001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1DCBDC1" w14:textId="77777777" w:rsidR="008E5DE4" w:rsidRDefault="008E5DE4">
            <w:pPr>
              <w:widowControl w:val="0"/>
              <w:pBdr>
                <w:top w:val="nil"/>
                <w:left w:val="nil"/>
                <w:bottom w:val="nil"/>
                <w:right w:val="nil"/>
                <w:between w:val="nil"/>
              </w:pBdr>
              <w:jc w:val="right"/>
              <w:rPr>
                <w:color w:val="000000"/>
              </w:rPr>
            </w:pPr>
          </w:p>
        </w:tc>
      </w:tr>
      <w:tr w:rsidR="008E5DE4" w14:paraId="2E17A899" w14:textId="77777777">
        <w:trPr>
          <w:cantSplit/>
          <w:tblHeader/>
        </w:trPr>
        <w:tc>
          <w:tcPr>
            <w:tcW w:w="2324" w:type="dxa"/>
            <w:vAlign w:val="bottom"/>
          </w:tcPr>
          <w:p w14:paraId="0043F7FC" w14:textId="77777777" w:rsidR="008E5DE4" w:rsidRDefault="00780368">
            <w:pPr>
              <w:widowControl w:val="0"/>
              <w:pBdr>
                <w:top w:val="nil"/>
                <w:left w:val="nil"/>
                <w:bottom w:val="nil"/>
                <w:right w:val="nil"/>
                <w:between w:val="nil"/>
              </w:pBdr>
              <w:ind w:left="113" w:right="-57" w:hanging="113"/>
              <w:rPr>
                <w:color w:val="000000"/>
              </w:rPr>
            </w:pPr>
            <w:r>
              <w:rPr>
                <w:color w:val="000000"/>
              </w:rPr>
              <w:t>Accumulated amortisation</w:t>
            </w:r>
          </w:p>
        </w:tc>
        <w:tc>
          <w:tcPr>
            <w:tcW w:w="567" w:type="dxa"/>
            <w:vAlign w:val="bottom"/>
          </w:tcPr>
          <w:p w14:paraId="4A8D371E" w14:textId="77777777" w:rsidR="008E5DE4" w:rsidRDefault="008E5DE4">
            <w:pPr>
              <w:widowControl w:val="0"/>
              <w:pBdr>
                <w:top w:val="nil"/>
                <w:left w:val="nil"/>
                <w:bottom w:val="nil"/>
                <w:right w:val="nil"/>
                <w:between w:val="nil"/>
              </w:pBdr>
              <w:ind w:left="-57" w:right="-57"/>
              <w:jc w:val="center"/>
              <w:rPr>
                <w:color w:val="000000"/>
              </w:rPr>
            </w:pPr>
          </w:p>
        </w:tc>
        <w:tc>
          <w:tcPr>
            <w:tcW w:w="1077" w:type="dxa"/>
            <w:vAlign w:val="bottom"/>
          </w:tcPr>
          <w:p w14:paraId="26885910"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7CD708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F631AAC"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8032FB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D49993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B873C0E" w14:textId="77777777" w:rsidR="008E5DE4" w:rsidRDefault="008E5DE4">
            <w:pPr>
              <w:widowControl w:val="0"/>
              <w:pBdr>
                <w:top w:val="nil"/>
                <w:left w:val="nil"/>
                <w:bottom w:val="nil"/>
                <w:right w:val="nil"/>
                <w:between w:val="nil"/>
              </w:pBdr>
              <w:jc w:val="right"/>
              <w:rPr>
                <w:color w:val="000000"/>
              </w:rPr>
            </w:pPr>
          </w:p>
        </w:tc>
      </w:tr>
      <w:tr w:rsidR="008E5DE4" w14:paraId="3CC7183F" w14:textId="77777777">
        <w:trPr>
          <w:cantSplit/>
          <w:tblHeader/>
        </w:trPr>
        <w:tc>
          <w:tcPr>
            <w:tcW w:w="2324" w:type="dxa"/>
            <w:tcBorders>
              <w:bottom w:val="single" w:sz="4" w:space="0" w:color="000000"/>
            </w:tcBorders>
            <w:vAlign w:val="bottom"/>
          </w:tcPr>
          <w:p w14:paraId="5CABC24F"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4" w:space="0" w:color="000000"/>
            </w:tcBorders>
            <w:vAlign w:val="bottom"/>
          </w:tcPr>
          <w:p w14:paraId="444A2A8A"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4" w:space="0" w:color="000000"/>
            </w:tcBorders>
            <w:vAlign w:val="bottom"/>
          </w:tcPr>
          <w:p w14:paraId="6C4EC1CD"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246DD53A"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2499E05F"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3E416F3C"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6F5518A7" w14:textId="77777777" w:rsidR="008E5DE4" w:rsidRDefault="008E5DE4">
            <w:pPr>
              <w:widowControl w:val="0"/>
              <w:pBdr>
                <w:top w:val="nil"/>
                <w:left w:val="nil"/>
                <w:bottom w:val="nil"/>
                <w:right w:val="nil"/>
                <w:between w:val="nil"/>
              </w:pBdr>
              <w:jc w:val="right"/>
              <w:rPr>
                <w:b/>
                <w:color w:val="000000"/>
                <w:sz w:val="14"/>
                <w:szCs w:val="14"/>
              </w:rPr>
            </w:pPr>
          </w:p>
        </w:tc>
        <w:tc>
          <w:tcPr>
            <w:tcW w:w="1077" w:type="dxa"/>
            <w:tcBorders>
              <w:bottom w:val="single" w:sz="4" w:space="0" w:color="000000"/>
            </w:tcBorders>
            <w:vAlign w:val="bottom"/>
          </w:tcPr>
          <w:p w14:paraId="2E9F9FED" w14:textId="77777777" w:rsidR="008E5DE4" w:rsidRDefault="008E5DE4">
            <w:pPr>
              <w:widowControl w:val="0"/>
              <w:pBdr>
                <w:top w:val="nil"/>
                <w:left w:val="nil"/>
                <w:bottom w:val="nil"/>
                <w:right w:val="nil"/>
                <w:between w:val="nil"/>
              </w:pBdr>
              <w:jc w:val="right"/>
              <w:rPr>
                <w:b/>
                <w:color w:val="000000"/>
                <w:sz w:val="14"/>
                <w:szCs w:val="14"/>
              </w:rPr>
            </w:pPr>
          </w:p>
        </w:tc>
      </w:tr>
      <w:tr w:rsidR="008E5DE4" w14:paraId="6F922A07" w14:textId="77777777">
        <w:trPr>
          <w:cantSplit/>
          <w:tblHeader/>
        </w:trPr>
        <w:tc>
          <w:tcPr>
            <w:tcW w:w="2324" w:type="dxa"/>
            <w:vAlign w:val="bottom"/>
          </w:tcPr>
          <w:p w14:paraId="3CF9F7DD" w14:textId="77777777" w:rsidR="008E5DE4" w:rsidRDefault="00780368">
            <w:pPr>
              <w:widowControl w:val="0"/>
              <w:pBdr>
                <w:top w:val="nil"/>
                <w:left w:val="nil"/>
                <w:bottom w:val="nil"/>
                <w:right w:val="nil"/>
                <w:between w:val="nil"/>
              </w:pBdr>
              <w:ind w:left="113" w:right="-57" w:hanging="113"/>
              <w:rPr>
                <w:color w:val="000000"/>
                <w:sz w:val="14"/>
                <w:szCs w:val="14"/>
              </w:rPr>
            </w:pPr>
            <w:r>
              <w:rPr>
                <w:color w:val="000000"/>
                <w:sz w:val="14"/>
                <w:szCs w:val="14"/>
              </w:rPr>
              <w:t> </w:t>
            </w:r>
          </w:p>
        </w:tc>
        <w:tc>
          <w:tcPr>
            <w:tcW w:w="567" w:type="dxa"/>
            <w:vAlign w:val="bottom"/>
          </w:tcPr>
          <w:p w14:paraId="5CA69DFE"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vAlign w:val="bottom"/>
          </w:tcPr>
          <w:p w14:paraId="7F0808C3"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72452BD4"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62AF621E"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7D540DB5"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1C9EDFC7" w14:textId="77777777" w:rsidR="008E5DE4" w:rsidRDefault="008E5DE4">
            <w:pPr>
              <w:widowControl w:val="0"/>
              <w:pBdr>
                <w:top w:val="nil"/>
                <w:left w:val="nil"/>
                <w:bottom w:val="nil"/>
                <w:right w:val="nil"/>
                <w:between w:val="nil"/>
              </w:pBdr>
              <w:jc w:val="right"/>
              <w:rPr>
                <w:color w:val="000000"/>
                <w:sz w:val="14"/>
                <w:szCs w:val="14"/>
              </w:rPr>
            </w:pPr>
          </w:p>
        </w:tc>
        <w:tc>
          <w:tcPr>
            <w:tcW w:w="1077" w:type="dxa"/>
            <w:vAlign w:val="bottom"/>
          </w:tcPr>
          <w:p w14:paraId="15FB950F" w14:textId="77777777" w:rsidR="008E5DE4" w:rsidRDefault="008E5DE4">
            <w:pPr>
              <w:widowControl w:val="0"/>
              <w:pBdr>
                <w:top w:val="nil"/>
                <w:left w:val="nil"/>
                <w:bottom w:val="nil"/>
                <w:right w:val="nil"/>
                <w:between w:val="nil"/>
              </w:pBdr>
              <w:jc w:val="right"/>
              <w:rPr>
                <w:color w:val="000000"/>
                <w:sz w:val="14"/>
                <w:szCs w:val="14"/>
              </w:rPr>
            </w:pPr>
          </w:p>
        </w:tc>
      </w:tr>
      <w:tr w:rsidR="008E5DE4" w14:paraId="1A2EEBF0" w14:textId="77777777">
        <w:trPr>
          <w:cantSplit/>
          <w:tblHeader/>
        </w:trPr>
        <w:tc>
          <w:tcPr>
            <w:tcW w:w="2324" w:type="dxa"/>
            <w:vAlign w:val="bottom"/>
          </w:tcPr>
          <w:p w14:paraId="5563369E" w14:textId="5504A6D1"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31 December </w:t>
            </w:r>
            <w:r w:rsidR="008614F8">
              <w:rPr>
                <w:b/>
                <w:color w:val="000000"/>
              </w:rPr>
              <w:t>2025</w:t>
            </w:r>
          </w:p>
        </w:tc>
        <w:tc>
          <w:tcPr>
            <w:tcW w:w="567" w:type="dxa"/>
            <w:vAlign w:val="bottom"/>
          </w:tcPr>
          <w:p w14:paraId="5A3330C6" w14:textId="77777777" w:rsidR="008E5DE4" w:rsidRDefault="008E5DE4">
            <w:pPr>
              <w:widowControl w:val="0"/>
              <w:pBdr>
                <w:top w:val="nil"/>
                <w:left w:val="nil"/>
                <w:bottom w:val="nil"/>
                <w:right w:val="nil"/>
                <w:between w:val="nil"/>
              </w:pBdr>
              <w:ind w:left="113" w:right="-57" w:hanging="113"/>
              <w:rPr>
                <w:b/>
                <w:color w:val="000000"/>
              </w:rPr>
            </w:pPr>
          </w:p>
        </w:tc>
        <w:tc>
          <w:tcPr>
            <w:tcW w:w="1077" w:type="dxa"/>
            <w:vAlign w:val="bottom"/>
          </w:tcPr>
          <w:p w14:paraId="78E312EA"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A5985EE"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1773DD18"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2F5AF32"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364EE3F6"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0B8C2332" w14:textId="77777777" w:rsidR="008E5DE4" w:rsidRDefault="008E5DE4">
            <w:pPr>
              <w:widowControl w:val="0"/>
              <w:pBdr>
                <w:top w:val="nil"/>
                <w:left w:val="nil"/>
                <w:bottom w:val="nil"/>
                <w:right w:val="nil"/>
                <w:between w:val="nil"/>
              </w:pBdr>
              <w:jc w:val="right"/>
              <w:rPr>
                <w:b/>
                <w:color w:val="000000"/>
              </w:rPr>
            </w:pPr>
          </w:p>
        </w:tc>
      </w:tr>
      <w:tr w:rsidR="008E5DE4" w14:paraId="7F9B490A" w14:textId="77777777">
        <w:trPr>
          <w:cantSplit/>
          <w:tblHeader/>
        </w:trPr>
        <w:tc>
          <w:tcPr>
            <w:tcW w:w="2324" w:type="dxa"/>
            <w:tcBorders>
              <w:bottom w:val="single" w:sz="12" w:space="0" w:color="000000"/>
            </w:tcBorders>
            <w:vAlign w:val="bottom"/>
          </w:tcPr>
          <w:p w14:paraId="151E2790"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567" w:type="dxa"/>
            <w:tcBorders>
              <w:bottom w:val="single" w:sz="12" w:space="0" w:color="000000"/>
            </w:tcBorders>
            <w:vAlign w:val="bottom"/>
          </w:tcPr>
          <w:p w14:paraId="40E07CD4" w14:textId="77777777" w:rsidR="008E5DE4" w:rsidRDefault="008E5DE4">
            <w:pPr>
              <w:widowControl w:val="0"/>
              <w:pBdr>
                <w:top w:val="nil"/>
                <w:left w:val="nil"/>
                <w:bottom w:val="nil"/>
                <w:right w:val="nil"/>
                <w:between w:val="nil"/>
              </w:pBdr>
              <w:ind w:left="-57" w:right="-57"/>
              <w:jc w:val="center"/>
              <w:rPr>
                <w:color w:val="000000"/>
                <w:sz w:val="14"/>
                <w:szCs w:val="14"/>
              </w:rPr>
            </w:pPr>
          </w:p>
        </w:tc>
        <w:tc>
          <w:tcPr>
            <w:tcW w:w="1077" w:type="dxa"/>
            <w:tcBorders>
              <w:bottom w:val="single" w:sz="12" w:space="0" w:color="000000"/>
            </w:tcBorders>
            <w:vAlign w:val="bottom"/>
          </w:tcPr>
          <w:p w14:paraId="7F21AFB9"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4A5F3CD3"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42AD44CB"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0C34E6EE"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648C015D" w14:textId="77777777" w:rsidR="008E5DE4" w:rsidRDefault="008E5DE4">
            <w:pPr>
              <w:widowControl w:val="0"/>
              <w:pBdr>
                <w:top w:val="nil"/>
                <w:left w:val="nil"/>
                <w:bottom w:val="nil"/>
                <w:right w:val="nil"/>
                <w:between w:val="nil"/>
              </w:pBdr>
              <w:jc w:val="right"/>
              <w:rPr>
                <w:color w:val="000000"/>
                <w:sz w:val="14"/>
                <w:szCs w:val="14"/>
              </w:rPr>
            </w:pPr>
          </w:p>
        </w:tc>
        <w:tc>
          <w:tcPr>
            <w:tcW w:w="1077" w:type="dxa"/>
            <w:tcBorders>
              <w:bottom w:val="single" w:sz="12" w:space="0" w:color="000000"/>
            </w:tcBorders>
            <w:vAlign w:val="bottom"/>
          </w:tcPr>
          <w:p w14:paraId="6A1D42DF" w14:textId="77777777" w:rsidR="008E5DE4" w:rsidRDefault="008E5DE4">
            <w:pPr>
              <w:widowControl w:val="0"/>
              <w:pBdr>
                <w:top w:val="nil"/>
                <w:left w:val="nil"/>
                <w:bottom w:val="nil"/>
                <w:right w:val="nil"/>
                <w:between w:val="nil"/>
              </w:pBdr>
              <w:jc w:val="right"/>
              <w:rPr>
                <w:color w:val="000000"/>
                <w:sz w:val="14"/>
                <w:szCs w:val="14"/>
              </w:rPr>
            </w:pPr>
          </w:p>
        </w:tc>
      </w:tr>
    </w:tbl>
    <w:p w14:paraId="034DF148"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13</w:t>
      </w:r>
      <w:r>
        <w:rPr>
          <w:b/>
          <w:color w:val="000000"/>
          <w:sz w:val="20"/>
          <w:szCs w:val="20"/>
        </w:rPr>
        <w:tab/>
        <w:t>Other Intangible Assets (Continued)</w:t>
      </w:r>
    </w:p>
    <w:p w14:paraId="5E9BA9A4" w14:textId="599DDF08" w:rsidR="008E5DE4" w:rsidRDefault="00780368">
      <w:pPr>
        <w:widowControl w:val="0"/>
        <w:pBdr>
          <w:top w:val="nil"/>
          <w:left w:val="nil"/>
          <w:bottom w:val="nil"/>
          <w:right w:val="nil"/>
          <w:between w:val="nil"/>
        </w:pBdr>
        <w:spacing w:before="200" w:after="200"/>
        <w:jc w:val="both"/>
        <w:rPr>
          <w:i/>
          <w:color w:val="FF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intangible assets carried at EUR _____ thousand (</w:t>
      </w:r>
      <w:r w:rsidR="00FF468A">
        <w:rPr>
          <w:color w:val="000000"/>
          <w:sz w:val="20"/>
          <w:szCs w:val="20"/>
        </w:rPr>
        <w:t>2024</w:t>
      </w:r>
      <w:r>
        <w:rPr>
          <w:color w:val="000000"/>
          <w:sz w:val="20"/>
          <w:szCs w:val="20"/>
        </w:rPr>
        <w:t>:</w:t>
      </w:r>
      <w:r w:rsidR="00160220">
        <w:rPr>
          <w:color w:val="000000"/>
          <w:sz w:val="20"/>
          <w:szCs w:val="20"/>
        </w:rPr>
        <w:t xml:space="preserve"> </w:t>
      </w:r>
      <w:r>
        <w:rPr>
          <w:color w:val="000000"/>
          <w:sz w:val="20"/>
          <w:szCs w:val="20"/>
        </w:rPr>
        <w:t xml:space="preserve">EUR _____ thousand) have been pledged to third parties as collateral with respect to borrowings. Refer to Note 28. </w:t>
      </w:r>
    </w:p>
    <w:p w14:paraId="7614B763" w14:textId="44B62852" w:rsidR="00CA137B" w:rsidRDefault="00780368" w:rsidP="00CA137B">
      <w:pPr>
        <w:widowControl w:val="0"/>
        <w:spacing w:before="200" w:after="200"/>
        <w:jc w:val="both"/>
      </w:pPr>
      <w:r>
        <w:rPr>
          <w:color w:val="0000FF"/>
          <w:sz w:val="20"/>
          <w:szCs w:val="20"/>
        </w:rPr>
        <w:t xml:space="preserve">[Impairment losses were recognised </w:t>
      </w:r>
      <w:proofErr w:type="gramStart"/>
      <w:r>
        <w:rPr>
          <w:color w:val="0000FF"/>
          <w:sz w:val="20"/>
          <w:szCs w:val="20"/>
        </w:rPr>
        <w:t>as a result of</w:t>
      </w:r>
      <w:proofErr w:type="gramEnd"/>
      <w:r>
        <w:rPr>
          <w:color w:val="0000FF"/>
          <w:sz w:val="20"/>
          <w:szCs w:val="20"/>
        </w:rPr>
        <w:t xml:space="preserve"> the impairment test described in Note 12.]</w:t>
      </w:r>
      <w:r>
        <w:rPr>
          <w:i/>
          <w:color w:val="FF0000"/>
          <w:sz w:val="20"/>
          <w:szCs w:val="20"/>
        </w:rPr>
        <w:t xml:space="preserve"> </w:t>
      </w:r>
      <w:bookmarkStart w:id="23" w:name="_Toc149923613"/>
    </w:p>
    <w:p w14:paraId="53080BB6" w14:textId="17E63890" w:rsidR="008E5DE4" w:rsidRDefault="00780368" w:rsidP="007F183E">
      <w:pPr>
        <w:widowControl w:val="0"/>
        <w:spacing w:before="200" w:after="200"/>
        <w:jc w:val="both"/>
      </w:pPr>
      <w:r>
        <w:t>Investments in Associates and Joint Ventures accounted for using the equity method</w:t>
      </w:r>
      <w:bookmarkEnd w:id="23"/>
    </w:p>
    <w:p w14:paraId="76B62CE4" w14:textId="6CFB2C78"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45E5169F" w14:textId="77777777" w:rsidR="008E5DE4" w:rsidRDefault="008E5DE4">
      <w:pPr>
        <w:shd w:val="clear" w:color="auto" w:fill="C6D9F1"/>
        <w:rPr>
          <w:i/>
          <w:color w:val="FF0000"/>
          <w:sz w:val="20"/>
          <w:szCs w:val="20"/>
        </w:rPr>
      </w:pPr>
    </w:p>
    <w:p w14:paraId="554C8419"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Joint arrangements</w:t>
      </w:r>
      <w:r>
        <w:rPr>
          <w:color w:val="000000"/>
          <w:sz w:val="20"/>
          <w:szCs w:val="20"/>
        </w:rPr>
        <w:t>. Investments in joint arrangements are classified as either joint operations or joint ventures depending on the contractual rights and obligations of each investor. The Group has assessed the nature of its joint arrangements and determined them to be joint ventures. Joint ventures are accounted for using the equity method.</w:t>
      </w:r>
    </w:p>
    <w:p w14:paraId="7374A259"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Under the equity method of accounting, interests in joint ventures are initially recognised at cost and adjusted thereafter to recognise the Group’s share of the post-acquisition profits or losses and movements in other comprehensive income. When the Group’s share of losses in a joint venture equals or exceeds its interests in the joint ventures (which includes any long-term interests that, in substance, form part of the Group’s net investment in the joint ventures), the Group does not recognise further losses, unless it has incurred obligations or made payments on behalf of the joint ventures.</w:t>
      </w:r>
    </w:p>
    <w:p w14:paraId="5C8531E2"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Unrealised gains on transactions between the Group and its joint ventures are eliminated to the extent of the Group’s interest in the joint ventures. Unrealised losses are also eliminated unless the transaction provides evidence of an impairment of the asset transferred. </w:t>
      </w:r>
      <w:r>
        <w:rPr>
          <w:color w:val="0000FF"/>
          <w:sz w:val="20"/>
          <w:szCs w:val="20"/>
        </w:rPr>
        <w:t>[Accounting policies of the joint ventures have been changed where necessary to ensure consistency with the policies adopted by the Group.]</w:t>
      </w:r>
      <w:r>
        <w:rPr>
          <w:color w:val="000000"/>
          <w:sz w:val="20"/>
          <w:szCs w:val="20"/>
        </w:rPr>
        <w:t xml:space="preserve"> </w:t>
      </w:r>
    </w:p>
    <w:p w14:paraId="7CD7872F" w14:textId="75EA4AE9"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Associates</w:t>
      </w:r>
      <w:r>
        <w:rPr>
          <w:color w:val="000000"/>
          <w:sz w:val="20"/>
          <w:szCs w:val="20"/>
        </w:rPr>
        <w:t>. Associates are entities over which the Group has significant influence (directly or indirectly), but not control, generally accompanying a shareholding of between 20 and 50 percent of the voting rights.</w:t>
      </w:r>
      <w:r w:rsidR="00384C09">
        <w:rPr>
          <w:color w:val="000000"/>
          <w:sz w:val="20"/>
          <w:szCs w:val="20"/>
        </w:rPr>
        <w:t xml:space="preserve"> </w:t>
      </w:r>
      <w:r>
        <w:rPr>
          <w:color w:val="000000"/>
          <w:sz w:val="20"/>
          <w:szCs w:val="20"/>
        </w:rPr>
        <w:t>Investments in associates are accounted for using the equity method of accounting and are initially recognised at cost, and the carrying amount is increased or decreased to recognise the investor’s share of the profit or loss of the investee after the date of acquisition. Dividends received from associates reduce the carrying value of the investment in associates. Other post-acquisition changes in the Group’s share of net assets of an associate are recognised as follows: (</w:t>
      </w:r>
      <w:proofErr w:type="spellStart"/>
      <w:r>
        <w:rPr>
          <w:color w:val="000000"/>
          <w:sz w:val="20"/>
          <w:szCs w:val="20"/>
        </w:rPr>
        <w:t>i</w:t>
      </w:r>
      <w:proofErr w:type="spellEnd"/>
      <w:r>
        <w:rPr>
          <w:color w:val="000000"/>
          <w:sz w:val="20"/>
          <w:szCs w:val="20"/>
        </w:rPr>
        <w:t xml:space="preserve">) the Group’s share of profits or losses of associates is recorded in the consolidated profit or loss for the year as the share of results of associates, (ii) the Group’s share of other comprehensive income is recognised in other comprehensive income and presented separately, (iii); all other changes in the Group’s share of the carrying value of net assets of associates are recognised in profit or loss within the share of results of associates. </w:t>
      </w:r>
    </w:p>
    <w:p w14:paraId="736A1F57"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However, when the Group’s share of losses in an </w:t>
      </w:r>
      <w:proofErr w:type="gramStart"/>
      <w:r>
        <w:rPr>
          <w:color w:val="000000"/>
          <w:sz w:val="20"/>
          <w:szCs w:val="20"/>
        </w:rPr>
        <w:t>associate equals</w:t>
      </w:r>
      <w:proofErr w:type="gramEnd"/>
      <w:r>
        <w:rPr>
          <w:color w:val="000000"/>
          <w:sz w:val="20"/>
          <w:szCs w:val="20"/>
        </w:rPr>
        <w:t xml:space="preserve"> or exceeds its interest in the associate, including any other unsecured receivables, the Group does not recognise further losses, unless it has incurred obligations or made payments on behalf of the associate.</w:t>
      </w:r>
    </w:p>
    <w:p w14:paraId="494143D1" w14:textId="63FE4E2D"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14</w:t>
      </w:r>
      <w:r>
        <w:rPr>
          <w:b/>
          <w:color w:val="000000"/>
          <w:sz w:val="20"/>
          <w:szCs w:val="20"/>
        </w:rPr>
        <w:tab/>
        <w:t>Investments in Associates and Joint Ventures accounted for using the equity method</w:t>
      </w:r>
    </w:p>
    <w:p w14:paraId="67D38277"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Unrealised gains on transactions between the Group and its associates are eliminated to the extent of the Group’s interest in the associates; unrealised losses are also eliminated unless the transaction provides evidence of an impairment of the asset transferred.</w:t>
      </w:r>
    </w:p>
    <w:p w14:paraId="3840EB65" w14:textId="77777777" w:rsidR="008E5DE4" w:rsidRDefault="00780368">
      <w:pPr>
        <w:widowControl w:val="0"/>
        <w:pBdr>
          <w:top w:val="nil"/>
          <w:left w:val="nil"/>
          <w:bottom w:val="nil"/>
          <w:right w:val="nil"/>
          <w:between w:val="nil"/>
        </w:pBdr>
        <w:spacing w:before="200" w:after="200"/>
        <w:jc w:val="both"/>
        <w:rPr>
          <w:i/>
          <w:color w:val="000000"/>
          <w:sz w:val="20"/>
          <w:szCs w:val="20"/>
        </w:rPr>
      </w:pPr>
      <w:r>
        <w:rPr>
          <w:color w:val="000000"/>
          <w:sz w:val="20"/>
          <w:szCs w:val="20"/>
        </w:rPr>
        <w:t xml:space="preserve">The table below summarises the movements in the carrying amount of the Group’s investments in associates and joint ventures. </w:t>
      </w:r>
    </w:p>
    <w:tbl>
      <w:tblPr>
        <w:tblStyle w:val="afff6"/>
        <w:tblW w:w="9327" w:type="dxa"/>
        <w:tblLayout w:type="fixed"/>
        <w:tblLook w:val="0000" w:firstRow="0" w:lastRow="0" w:firstColumn="0" w:lastColumn="0" w:noHBand="0" w:noVBand="0"/>
      </w:tblPr>
      <w:tblGrid>
        <w:gridCol w:w="3358"/>
        <w:gridCol w:w="564"/>
        <w:gridCol w:w="1345"/>
        <w:gridCol w:w="1345"/>
        <w:gridCol w:w="1260"/>
        <w:gridCol w:w="1344"/>
        <w:gridCol w:w="111"/>
      </w:tblGrid>
      <w:tr w:rsidR="008E5DE4" w14:paraId="5D3B0CEB" w14:textId="77777777">
        <w:trPr>
          <w:cantSplit/>
        </w:trPr>
        <w:tc>
          <w:tcPr>
            <w:tcW w:w="3358" w:type="dxa"/>
            <w:vAlign w:val="bottom"/>
          </w:tcPr>
          <w:p w14:paraId="2D934534" w14:textId="77777777" w:rsidR="008E5DE4" w:rsidRDefault="008E5DE4">
            <w:pPr>
              <w:widowControl w:val="0"/>
              <w:pBdr>
                <w:top w:val="nil"/>
                <w:left w:val="nil"/>
                <w:bottom w:val="nil"/>
                <w:right w:val="nil"/>
                <w:between w:val="nil"/>
              </w:pBdr>
              <w:ind w:left="113" w:right="-57" w:hanging="113"/>
              <w:rPr>
                <w:i/>
                <w:color w:val="000000"/>
              </w:rPr>
            </w:pPr>
          </w:p>
        </w:tc>
        <w:tc>
          <w:tcPr>
            <w:tcW w:w="564" w:type="dxa"/>
            <w:vAlign w:val="bottom"/>
          </w:tcPr>
          <w:p w14:paraId="05D2A89F" w14:textId="77777777" w:rsidR="008E5DE4" w:rsidRDefault="008E5DE4">
            <w:pPr>
              <w:widowControl w:val="0"/>
              <w:ind w:left="-57" w:right="-57"/>
              <w:jc w:val="center"/>
            </w:pPr>
          </w:p>
        </w:tc>
        <w:tc>
          <w:tcPr>
            <w:tcW w:w="2690" w:type="dxa"/>
            <w:gridSpan w:val="2"/>
            <w:tcBorders>
              <w:bottom w:val="single" w:sz="4" w:space="0" w:color="000000"/>
            </w:tcBorders>
            <w:vAlign w:val="bottom"/>
          </w:tcPr>
          <w:p w14:paraId="7D9B8F3C" w14:textId="139EB031" w:rsidR="008E5DE4" w:rsidRDefault="008614F8">
            <w:pPr>
              <w:widowControl w:val="0"/>
              <w:pBdr>
                <w:top w:val="nil"/>
                <w:left w:val="nil"/>
                <w:bottom w:val="nil"/>
                <w:right w:val="nil"/>
                <w:between w:val="nil"/>
              </w:pBdr>
              <w:jc w:val="center"/>
              <w:rPr>
                <w:b/>
                <w:color w:val="000000"/>
              </w:rPr>
            </w:pPr>
            <w:r>
              <w:rPr>
                <w:b/>
                <w:color w:val="000000"/>
              </w:rPr>
              <w:t>2025</w:t>
            </w:r>
          </w:p>
        </w:tc>
        <w:tc>
          <w:tcPr>
            <w:tcW w:w="2715" w:type="dxa"/>
            <w:gridSpan w:val="3"/>
            <w:tcBorders>
              <w:bottom w:val="single" w:sz="4" w:space="0" w:color="000000"/>
            </w:tcBorders>
            <w:vAlign w:val="bottom"/>
          </w:tcPr>
          <w:p w14:paraId="53D2E8D5" w14:textId="4CDE30A2" w:rsidR="008E5DE4" w:rsidRDefault="00FF468A">
            <w:pPr>
              <w:widowControl w:val="0"/>
              <w:pBdr>
                <w:top w:val="nil"/>
                <w:left w:val="nil"/>
                <w:bottom w:val="nil"/>
                <w:right w:val="nil"/>
                <w:between w:val="nil"/>
              </w:pBdr>
              <w:jc w:val="center"/>
              <w:rPr>
                <w:b/>
                <w:color w:val="000000"/>
              </w:rPr>
            </w:pPr>
            <w:r>
              <w:rPr>
                <w:b/>
                <w:color w:val="000000"/>
              </w:rPr>
              <w:t>2024</w:t>
            </w:r>
          </w:p>
        </w:tc>
      </w:tr>
      <w:tr w:rsidR="008E5DE4" w14:paraId="209DD74F" w14:textId="77777777">
        <w:trPr>
          <w:cantSplit/>
        </w:trPr>
        <w:tc>
          <w:tcPr>
            <w:tcW w:w="3358" w:type="dxa"/>
            <w:tcBorders>
              <w:bottom w:val="single" w:sz="4" w:space="0" w:color="000000"/>
            </w:tcBorders>
            <w:vAlign w:val="bottom"/>
          </w:tcPr>
          <w:p w14:paraId="3D6B6F89"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564" w:type="dxa"/>
            <w:tcBorders>
              <w:bottom w:val="single" w:sz="4" w:space="0" w:color="000000"/>
            </w:tcBorders>
            <w:vAlign w:val="bottom"/>
          </w:tcPr>
          <w:p w14:paraId="5DA29E47" w14:textId="77777777" w:rsidR="008E5DE4" w:rsidRDefault="008E5DE4">
            <w:pPr>
              <w:widowControl w:val="0"/>
              <w:ind w:left="-57" w:right="-57"/>
              <w:jc w:val="center"/>
            </w:pPr>
          </w:p>
        </w:tc>
        <w:tc>
          <w:tcPr>
            <w:tcW w:w="1345" w:type="dxa"/>
            <w:tcBorders>
              <w:top w:val="single" w:sz="4" w:space="0" w:color="000000"/>
              <w:bottom w:val="single" w:sz="4" w:space="0" w:color="000000"/>
            </w:tcBorders>
          </w:tcPr>
          <w:p w14:paraId="429EFCE2" w14:textId="77777777" w:rsidR="008E5DE4" w:rsidRDefault="00780368">
            <w:pPr>
              <w:widowControl w:val="0"/>
              <w:pBdr>
                <w:top w:val="nil"/>
                <w:left w:val="nil"/>
                <w:bottom w:val="nil"/>
                <w:right w:val="nil"/>
                <w:between w:val="nil"/>
              </w:pBdr>
              <w:ind w:left="-113"/>
              <w:rPr>
                <w:b/>
                <w:color w:val="000000"/>
              </w:rPr>
            </w:pPr>
            <w:r>
              <w:rPr>
                <w:b/>
                <w:color w:val="000000"/>
              </w:rPr>
              <w:t>Associates</w:t>
            </w:r>
          </w:p>
        </w:tc>
        <w:tc>
          <w:tcPr>
            <w:tcW w:w="1345" w:type="dxa"/>
            <w:tcBorders>
              <w:top w:val="single" w:sz="4" w:space="0" w:color="000000"/>
              <w:bottom w:val="single" w:sz="4" w:space="0" w:color="000000"/>
            </w:tcBorders>
          </w:tcPr>
          <w:p w14:paraId="685843F0" w14:textId="77777777" w:rsidR="008E5DE4" w:rsidRDefault="00780368">
            <w:pPr>
              <w:widowControl w:val="0"/>
              <w:pBdr>
                <w:top w:val="nil"/>
                <w:left w:val="nil"/>
                <w:bottom w:val="nil"/>
                <w:right w:val="nil"/>
                <w:between w:val="nil"/>
              </w:pBdr>
              <w:ind w:left="-113"/>
              <w:jc w:val="right"/>
              <w:rPr>
                <w:b/>
                <w:color w:val="000000"/>
              </w:rPr>
            </w:pPr>
            <w:r>
              <w:rPr>
                <w:b/>
                <w:color w:val="000000"/>
              </w:rPr>
              <w:t>Joint Ventures</w:t>
            </w:r>
          </w:p>
        </w:tc>
        <w:tc>
          <w:tcPr>
            <w:tcW w:w="1260" w:type="dxa"/>
            <w:tcBorders>
              <w:top w:val="single" w:sz="4" w:space="0" w:color="000000"/>
              <w:bottom w:val="single" w:sz="4" w:space="0" w:color="000000"/>
            </w:tcBorders>
          </w:tcPr>
          <w:p w14:paraId="1D33463A" w14:textId="77777777" w:rsidR="008E5DE4" w:rsidRDefault="00780368">
            <w:pPr>
              <w:widowControl w:val="0"/>
              <w:pBdr>
                <w:top w:val="nil"/>
                <w:left w:val="nil"/>
                <w:bottom w:val="nil"/>
                <w:right w:val="nil"/>
                <w:between w:val="nil"/>
              </w:pBdr>
              <w:ind w:left="4"/>
              <w:rPr>
                <w:b/>
                <w:color w:val="000000"/>
              </w:rPr>
            </w:pPr>
            <w:r>
              <w:rPr>
                <w:b/>
                <w:color w:val="000000"/>
              </w:rPr>
              <w:t>Associates</w:t>
            </w:r>
          </w:p>
        </w:tc>
        <w:tc>
          <w:tcPr>
            <w:tcW w:w="1455" w:type="dxa"/>
            <w:gridSpan w:val="2"/>
            <w:tcBorders>
              <w:top w:val="single" w:sz="4" w:space="0" w:color="000000"/>
              <w:bottom w:val="single" w:sz="4" w:space="0" w:color="000000"/>
            </w:tcBorders>
          </w:tcPr>
          <w:p w14:paraId="5319D218" w14:textId="77777777" w:rsidR="008E5DE4" w:rsidRDefault="00780368">
            <w:pPr>
              <w:widowControl w:val="0"/>
              <w:pBdr>
                <w:top w:val="nil"/>
                <w:left w:val="nil"/>
                <w:bottom w:val="nil"/>
                <w:right w:val="nil"/>
                <w:between w:val="nil"/>
              </w:pBdr>
              <w:ind w:left="-113"/>
              <w:jc w:val="right"/>
              <w:rPr>
                <w:b/>
                <w:color w:val="000000"/>
              </w:rPr>
            </w:pPr>
            <w:r>
              <w:rPr>
                <w:b/>
                <w:color w:val="000000"/>
              </w:rPr>
              <w:t>Joint Ventures</w:t>
            </w:r>
          </w:p>
        </w:tc>
      </w:tr>
      <w:tr w:rsidR="008E5DE4" w14:paraId="0F6CEBB0" w14:textId="77777777">
        <w:trPr>
          <w:cantSplit/>
        </w:trPr>
        <w:tc>
          <w:tcPr>
            <w:tcW w:w="3358" w:type="dxa"/>
            <w:tcBorders>
              <w:top w:val="single" w:sz="4" w:space="0" w:color="000000"/>
            </w:tcBorders>
            <w:vAlign w:val="bottom"/>
          </w:tcPr>
          <w:p w14:paraId="6259BD73" w14:textId="77777777" w:rsidR="008E5DE4" w:rsidRDefault="00780368">
            <w:pPr>
              <w:widowControl w:val="0"/>
              <w:ind w:left="113" w:right="-57" w:hanging="113"/>
            </w:pPr>
            <w:r>
              <w:t> </w:t>
            </w:r>
          </w:p>
        </w:tc>
        <w:tc>
          <w:tcPr>
            <w:tcW w:w="564" w:type="dxa"/>
            <w:tcBorders>
              <w:top w:val="single" w:sz="4" w:space="0" w:color="000000"/>
            </w:tcBorders>
            <w:vAlign w:val="bottom"/>
          </w:tcPr>
          <w:p w14:paraId="27C5D71F" w14:textId="77777777" w:rsidR="008E5DE4" w:rsidRDefault="008E5DE4">
            <w:pPr>
              <w:widowControl w:val="0"/>
              <w:ind w:left="-57" w:right="-57"/>
              <w:jc w:val="center"/>
            </w:pPr>
          </w:p>
        </w:tc>
        <w:tc>
          <w:tcPr>
            <w:tcW w:w="1345" w:type="dxa"/>
            <w:tcBorders>
              <w:top w:val="single" w:sz="4" w:space="0" w:color="000000"/>
            </w:tcBorders>
            <w:vAlign w:val="bottom"/>
          </w:tcPr>
          <w:p w14:paraId="6BDA7AC7" w14:textId="77777777" w:rsidR="008E5DE4" w:rsidRDefault="008E5DE4">
            <w:pPr>
              <w:widowControl w:val="0"/>
              <w:pBdr>
                <w:top w:val="nil"/>
                <w:left w:val="nil"/>
                <w:bottom w:val="nil"/>
                <w:right w:val="nil"/>
                <w:between w:val="nil"/>
              </w:pBdr>
              <w:jc w:val="right"/>
              <w:rPr>
                <w:color w:val="000000"/>
              </w:rPr>
            </w:pPr>
          </w:p>
        </w:tc>
        <w:tc>
          <w:tcPr>
            <w:tcW w:w="1345" w:type="dxa"/>
            <w:tcBorders>
              <w:top w:val="single" w:sz="4" w:space="0" w:color="000000"/>
            </w:tcBorders>
            <w:vAlign w:val="bottom"/>
          </w:tcPr>
          <w:p w14:paraId="37A51F2D" w14:textId="77777777" w:rsidR="008E5DE4" w:rsidRDefault="008E5DE4">
            <w:pPr>
              <w:widowControl w:val="0"/>
              <w:pBdr>
                <w:top w:val="nil"/>
                <w:left w:val="nil"/>
                <w:bottom w:val="nil"/>
                <w:right w:val="nil"/>
                <w:between w:val="nil"/>
              </w:pBdr>
              <w:jc w:val="right"/>
              <w:rPr>
                <w:color w:val="000000"/>
              </w:rPr>
            </w:pPr>
          </w:p>
        </w:tc>
        <w:tc>
          <w:tcPr>
            <w:tcW w:w="1260" w:type="dxa"/>
            <w:tcBorders>
              <w:top w:val="single" w:sz="4" w:space="0" w:color="000000"/>
            </w:tcBorders>
            <w:vAlign w:val="bottom"/>
          </w:tcPr>
          <w:p w14:paraId="54A9D6FD" w14:textId="77777777" w:rsidR="008E5DE4" w:rsidRDefault="008E5DE4">
            <w:pPr>
              <w:widowControl w:val="0"/>
              <w:pBdr>
                <w:top w:val="nil"/>
                <w:left w:val="nil"/>
                <w:bottom w:val="nil"/>
                <w:right w:val="nil"/>
                <w:between w:val="nil"/>
              </w:pBdr>
              <w:jc w:val="right"/>
              <w:rPr>
                <w:color w:val="000000"/>
              </w:rPr>
            </w:pPr>
          </w:p>
        </w:tc>
        <w:tc>
          <w:tcPr>
            <w:tcW w:w="1455" w:type="dxa"/>
            <w:gridSpan w:val="2"/>
            <w:tcBorders>
              <w:top w:val="single" w:sz="4" w:space="0" w:color="000000"/>
            </w:tcBorders>
            <w:vAlign w:val="bottom"/>
          </w:tcPr>
          <w:p w14:paraId="12A9995B" w14:textId="77777777" w:rsidR="008E5DE4" w:rsidRDefault="008E5DE4">
            <w:pPr>
              <w:widowControl w:val="0"/>
              <w:pBdr>
                <w:top w:val="nil"/>
                <w:left w:val="nil"/>
                <w:bottom w:val="nil"/>
                <w:right w:val="nil"/>
                <w:between w:val="nil"/>
              </w:pBdr>
              <w:jc w:val="right"/>
              <w:rPr>
                <w:color w:val="000000"/>
              </w:rPr>
            </w:pPr>
          </w:p>
        </w:tc>
      </w:tr>
      <w:tr w:rsidR="008E5DE4" w14:paraId="062E207F" w14:textId="77777777">
        <w:trPr>
          <w:cantSplit/>
        </w:trPr>
        <w:tc>
          <w:tcPr>
            <w:tcW w:w="3358" w:type="dxa"/>
            <w:vAlign w:val="bottom"/>
          </w:tcPr>
          <w:p w14:paraId="609A782E"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1 January</w:t>
            </w:r>
          </w:p>
        </w:tc>
        <w:tc>
          <w:tcPr>
            <w:tcW w:w="564" w:type="dxa"/>
            <w:vAlign w:val="bottom"/>
          </w:tcPr>
          <w:p w14:paraId="21017439" w14:textId="77777777" w:rsidR="008E5DE4" w:rsidRDefault="008E5DE4">
            <w:pPr>
              <w:widowControl w:val="0"/>
              <w:pBdr>
                <w:top w:val="nil"/>
                <w:left w:val="nil"/>
                <w:bottom w:val="nil"/>
                <w:right w:val="nil"/>
                <w:between w:val="nil"/>
              </w:pBdr>
              <w:ind w:left="-57" w:right="-57"/>
              <w:jc w:val="center"/>
              <w:rPr>
                <w:color w:val="000000"/>
              </w:rPr>
            </w:pPr>
          </w:p>
        </w:tc>
        <w:tc>
          <w:tcPr>
            <w:tcW w:w="1345" w:type="dxa"/>
            <w:vAlign w:val="bottom"/>
          </w:tcPr>
          <w:p w14:paraId="4FD47DAE" w14:textId="77777777" w:rsidR="008E5DE4" w:rsidRDefault="008E5DE4">
            <w:pPr>
              <w:widowControl w:val="0"/>
              <w:pBdr>
                <w:top w:val="nil"/>
                <w:left w:val="nil"/>
                <w:bottom w:val="nil"/>
                <w:right w:val="nil"/>
                <w:between w:val="nil"/>
              </w:pBdr>
              <w:jc w:val="right"/>
              <w:rPr>
                <w:b/>
                <w:color w:val="000000"/>
              </w:rPr>
            </w:pPr>
          </w:p>
        </w:tc>
        <w:tc>
          <w:tcPr>
            <w:tcW w:w="1345" w:type="dxa"/>
            <w:vAlign w:val="bottom"/>
          </w:tcPr>
          <w:p w14:paraId="25E66749" w14:textId="77777777" w:rsidR="008E5DE4" w:rsidRDefault="008E5DE4">
            <w:pPr>
              <w:widowControl w:val="0"/>
              <w:pBdr>
                <w:top w:val="nil"/>
                <w:left w:val="nil"/>
                <w:bottom w:val="nil"/>
                <w:right w:val="nil"/>
                <w:between w:val="nil"/>
              </w:pBdr>
              <w:jc w:val="right"/>
              <w:rPr>
                <w:b/>
                <w:color w:val="000000"/>
              </w:rPr>
            </w:pPr>
          </w:p>
        </w:tc>
        <w:tc>
          <w:tcPr>
            <w:tcW w:w="1260" w:type="dxa"/>
            <w:vAlign w:val="bottom"/>
          </w:tcPr>
          <w:p w14:paraId="131524A7" w14:textId="77777777" w:rsidR="008E5DE4" w:rsidRDefault="008E5DE4">
            <w:pPr>
              <w:widowControl w:val="0"/>
              <w:pBdr>
                <w:top w:val="nil"/>
                <w:left w:val="nil"/>
                <w:bottom w:val="nil"/>
                <w:right w:val="nil"/>
                <w:between w:val="nil"/>
              </w:pBdr>
              <w:jc w:val="right"/>
              <w:rPr>
                <w:b/>
                <w:color w:val="000000"/>
              </w:rPr>
            </w:pPr>
          </w:p>
        </w:tc>
        <w:tc>
          <w:tcPr>
            <w:tcW w:w="1455" w:type="dxa"/>
            <w:gridSpan w:val="2"/>
            <w:vAlign w:val="bottom"/>
          </w:tcPr>
          <w:p w14:paraId="2D2BD8EF" w14:textId="77777777" w:rsidR="008E5DE4" w:rsidRDefault="008E5DE4">
            <w:pPr>
              <w:widowControl w:val="0"/>
              <w:pBdr>
                <w:top w:val="nil"/>
                <w:left w:val="nil"/>
                <w:bottom w:val="nil"/>
                <w:right w:val="nil"/>
                <w:between w:val="nil"/>
              </w:pBdr>
              <w:jc w:val="right"/>
              <w:rPr>
                <w:b/>
                <w:color w:val="000000"/>
              </w:rPr>
            </w:pPr>
          </w:p>
        </w:tc>
      </w:tr>
      <w:tr w:rsidR="008E5DE4" w14:paraId="29F134DC" w14:textId="77777777">
        <w:trPr>
          <w:cantSplit/>
        </w:trPr>
        <w:tc>
          <w:tcPr>
            <w:tcW w:w="3358" w:type="dxa"/>
            <w:vAlign w:val="bottom"/>
          </w:tcPr>
          <w:p w14:paraId="32A1492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4" w:type="dxa"/>
            <w:vAlign w:val="bottom"/>
          </w:tcPr>
          <w:p w14:paraId="70814785" w14:textId="77777777" w:rsidR="008E5DE4" w:rsidRDefault="008E5DE4">
            <w:pPr>
              <w:widowControl w:val="0"/>
              <w:pBdr>
                <w:top w:val="nil"/>
                <w:left w:val="nil"/>
                <w:bottom w:val="nil"/>
                <w:right w:val="nil"/>
                <w:between w:val="nil"/>
              </w:pBdr>
              <w:ind w:left="-57" w:right="-57"/>
              <w:jc w:val="center"/>
              <w:rPr>
                <w:color w:val="000000"/>
              </w:rPr>
            </w:pPr>
          </w:p>
        </w:tc>
        <w:tc>
          <w:tcPr>
            <w:tcW w:w="1345" w:type="dxa"/>
            <w:vAlign w:val="bottom"/>
          </w:tcPr>
          <w:p w14:paraId="2AA1A30B" w14:textId="77777777" w:rsidR="008E5DE4" w:rsidRDefault="008E5DE4">
            <w:pPr>
              <w:widowControl w:val="0"/>
              <w:pBdr>
                <w:top w:val="nil"/>
                <w:left w:val="nil"/>
                <w:bottom w:val="nil"/>
                <w:right w:val="nil"/>
                <w:between w:val="nil"/>
              </w:pBdr>
              <w:jc w:val="right"/>
              <w:rPr>
                <w:color w:val="000000"/>
              </w:rPr>
            </w:pPr>
          </w:p>
        </w:tc>
        <w:tc>
          <w:tcPr>
            <w:tcW w:w="1345" w:type="dxa"/>
            <w:vAlign w:val="bottom"/>
          </w:tcPr>
          <w:p w14:paraId="15F89BDD" w14:textId="77777777" w:rsidR="008E5DE4" w:rsidRDefault="008E5DE4">
            <w:pPr>
              <w:widowControl w:val="0"/>
              <w:pBdr>
                <w:top w:val="nil"/>
                <w:left w:val="nil"/>
                <w:bottom w:val="nil"/>
                <w:right w:val="nil"/>
                <w:between w:val="nil"/>
              </w:pBdr>
              <w:jc w:val="right"/>
              <w:rPr>
                <w:color w:val="000000"/>
              </w:rPr>
            </w:pPr>
          </w:p>
        </w:tc>
        <w:tc>
          <w:tcPr>
            <w:tcW w:w="1260" w:type="dxa"/>
            <w:vAlign w:val="bottom"/>
          </w:tcPr>
          <w:p w14:paraId="7D802FF8" w14:textId="77777777" w:rsidR="008E5DE4" w:rsidRDefault="008E5DE4">
            <w:pPr>
              <w:widowControl w:val="0"/>
              <w:pBdr>
                <w:top w:val="nil"/>
                <w:left w:val="nil"/>
                <w:bottom w:val="nil"/>
                <w:right w:val="nil"/>
                <w:between w:val="nil"/>
              </w:pBdr>
              <w:jc w:val="right"/>
              <w:rPr>
                <w:color w:val="000000"/>
              </w:rPr>
            </w:pPr>
          </w:p>
        </w:tc>
        <w:tc>
          <w:tcPr>
            <w:tcW w:w="1455" w:type="dxa"/>
            <w:gridSpan w:val="2"/>
            <w:vAlign w:val="bottom"/>
          </w:tcPr>
          <w:p w14:paraId="39BD3042" w14:textId="77777777" w:rsidR="008E5DE4" w:rsidRDefault="008E5DE4">
            <w:pPr>
              <w:widowControl w:val="0"/>
              <w:pBdr>
                <w:top w:val="nil"/>
                <w:left w:val="nil"/>
                <w:bottom w:val="nil"/>
                <w:right w:val="nil"/>
                <w:between w:val="nil"/>
              </w:pBdr>
              <w:jc w:val="right"/>
              <w:rPr>
                <w:color w:val="000000"/>
              </w:rPr>
            </w:pPr>
          </w:p>
        </w:tc>
      </w:tr>
      <w:tr w:rsidR="008E5DE4" w14:paraId="291DED53" w14:textId="77777777">
        <w:trPr>
          <w:cantSplit/>
        </w:trPr>
        <w:tc>
          <w:tcPr>
            <w:tcW w:w="3358" w:type="dxa"/>
            <w:vAlign w:val="bottom"/>
          </w:tcPr>
          <w:p w14:paraId="2585B071" w14:textId="77777777" w:rsidR="008E5DE4" w:rsidRDefault="00780368">
            <w:pPr>
              <w:widowControl w:val="0"/>
              <w:pBdr>
                <w:top w:val="nil"/>
                <w:left w:val="nil"/>
                <w:bottom w:val="nil"/>
                <w:right w:val="nil"/>
                <w:between w:val="nil"/>
              </w:pBdr>
              <w:ind w:left="113" w:right="-57" w:hanging="113"/>
              <w:rPr>
                <w:color w:val="000000"/>
              </w:rPr>
            </w:pPr>
            <w:r>
              <w:rPr>
                <w:color w:val="000000"/>
              </w:rPr>
              <w:t>Share of profit of associates and joint ventures</w:t>
            </w:r>
          </w:p>
        </w:tc>
        <w:tc>
          <w:tcPr>
            <w:tcW w:w="564" w:type="dxa"/>
            <w:vAlign w:val="bottom"/>
          </w:tcPr>
          <w:p w14:paraId="14CEB4B2" w14:textId="77777777" w:rsidR="008E5DE4" w:rsidRDefault="008E5DE4">
            <w:pPr>
              <w:widowControl w:val="0"/>
              <w:pBdr>
                <w:top w:val="nil"/>
                <w:left w:val="nil"/>
                <w:bottom w:val="nil"/>
                <w:right w:val="nil"/>
                <w:between w:val="nil"/>
              </w:pBdr>
              <w:ind w:left="-57" w:right="-57"/>
              <w:jc w:val="center"/>
              <w:rPr>
                <w:color w:val="000000"/>
              </w:rPr>
            </w:pPr>
          </w:p>
        </w:tc>
        <w:tc>
          <w:tcPr>
            <w:tcW w:w="1345" w:type="dxa"/>
            <w:vAlign w:val="bottom"/>
          </w:tcPr>
          <w:p w14:paraId="58F6DBBE" w14:textId="77777777" w:rsidR="008E5DE4" w:rsidRDefault="008E5DE4">
            <w:pPr>
              <w:widowControl w:val="0"/>
              <w:pBdr>
                <w:top w:val="nil"/>
                <w:left w:val="nil"/>
                <w:bottom w:val="nil"/>
                <w:right w:val="nil"/>
                <w:between w:val="nil"/>
              </w:pBdr>
              <w:jc w:val="right"/>
              <w:rPr>
                <w:color w:val="000000"/>
              </w:rPr>
            </w:pPr>
          </w:p>
        </w:tc>
        <w:tc>
          <w:tcPr>
            <w:tcW w:w="1345" w:type="dxa"/>
            <w:vAlign w:val="bottom"/>
          </w:tcPr>
          <w:p w14:paraId="1158E204" w14:textId="77777777" w:rsidR="008E5DE4" w:rsidRDefault="008E5DE4">
            <w:pPr>
              <w:widowControl w:val="0"/>
              <w:pBdr>
                <w:top w:val="nil"/>
                <w:left w:val="nil"/>
                <w:bottom w:val="nil"/>
                <w:right w:val="nil"/>
                <w:between w:val="nil"/>
              </w:pBdr>
              <w:jc w:val="right"/>
              <w:rPr>
                <w:color w:val="000000"/>
              </w:rPr>
            </w:pPr>
          </w:p>
        </w:tc>
        <w:tc>
          <w:tcPr>
            <w:tcW w:w="1260" w:type="dxa"/>
            <w:vAlign w:val="bottom"/>
          </w:tcPr>
          <w:p w14:paraId="19E36CB3" w14:textId="77777777" w:rsidR="008E5DE4" w:rsidRDefault="008E5DE4">
            <w:pPr>
              <w:widowControl w:val="0"/>
              <w:pBdr>
                <w:top w:val="nil"/>
                <w:left w:val="nil"/>
                <w:bottom w:val="nil"/>
                <w:right w:val="nil"/>
                <w:between w:val="nil"/>
              </w:pBdr>
              <w:jc w:val="right"/>
              <w:rPr>
                <w:color w:val="000000"/>
              </w:rPr>
            </w:pPr>
          </w:p>
        </w:tc>
        <w:tc>
          <w:tcPr>
            <w:tcW w:w="1455" w:type="dxa"/>
            <w:gridSpan w:val="2"/>
            <w:vAlign w:val="bottom"/>
          </w:tcPr>
          <w:p w14:paraId="44CDE02D" w14:textId="77777777" w:rsidR="008E5DE4" w:rsidRDefault="008E5DE4">
            <w:pPr>
              <w:widowControl w:val="0"/>
              <w:pBdr>
                <w:top w:val="nil"/>
                <w:left w:val="nil"/>
                <w:bottom w:val="nil"/>
                <w:right w:val="nil"/>
                <w:between w:val="nil"/>
              </w:pBdr>
              <w:jc w:val="right"/>
              <w:rPr>
                <w:color w:val="000000"/>
              </w:rPr>
            </w:pPr>
          </w:p>
        </w:tc>
      </w:tr>
      <w:tr w:rsidR="008E5DE4" w14:paraId="19A83B47" w14:textId="77777777">
        <w:trPr>
          <w:cantSplit/>
        </w:trPr>
        <w:tc>
          <w:tcPr>
            <w:tcW w:w="3358" w:type="dxa"/>
            <w:vAlign w:val="bottom"/>
          </w:tcPr>
          <w:p w14:paraId="7C264DDC" w14:textId="77777777" w:rsidR="008E5DE4" w:rsidRDefault="00780368">
            <w:pPr>
              <w:widowControl w:val="0"/>
              <w:pBdr>
                <w:top w:val="nil"/>
                <w:left w:val="nil"/>
                <w:bottom w:val="nil"/>
                <w:right w:val="nil"/>
                <w:between w:val="nil"/>
              </w:pBdr>
              <w:ind w:left="113" w:right="-57" w:hanging="113"/>
              <w:rPr>
                <w:color w:val="000000"/>
              </w:rPr>
            </w:pPr>
            <w:r>
              <w:rPr>
                <w:color w:val="000000"/>
              </w:rPr>
              <w:t>Impairment of investments in associates and joint ventures</w:t>
            </w:r>
          </w:p>
        </w:tc>
        <w:tc>
          <w:tcPr>
            <w:tcW w:w="564" w:type="dxa"/>
            <w:vAlign w:val="bottom"/>
          </w:tcPr>
          <w:p w14:paraId="6485E06A" w14:textId="77777777" w:rsidR="008E5DE4" w:rsidRDefault="008E5DE4">
            <w:pPr>
              <w:widowControl w:val="0"/>
              <w:ind w:left="-57" w:right="-57"/>
              <w:jc w:val="center"/>
            </w:pPr>
          </w:p>
        </w:tc>
        <w:tc>
          <w:tcPr>
            <w:tcW w:w="1345" w:type="dxa"/>
            <w:vAlign w:val="bottom"/>
          </w:tcPr>
          <w:p w14:paraId="7EFF2722" w14:textId="77777777" w:rsidR="008E5DE4" w:rsidRDefault="008E5DE4">
            <w:pPr>
              <w:widowControl w:val="0"/>
              <w:pBdr>
                <w:top w:val="nil"/>
                <w:left w:val="nil"/>
                <w:bottom w:val="nil"/>
                <w:right w:val="nil"/>
                <w:between w:val="nil"/>
              </w:pBdr>
              <w:jc w:val="right"/>
              <w:rPr>
                <w:color w:val="000000"/>
              </w:rPr>
            </w:pPr>
          </w:p>
        </w:tc>
        <w:tc>
          <w:tcPr>
            <w:tcW w:w="1345" w:type="dxa"/>
            <w:vAlign w:val="bottom"/>
          </w:tcPr>
          <w:p w14:paraId="1D8D4162" w14:textId="77777777" w:rsidR="008E5DE4" w:rsidRDefault="008E5DE4">
            <w:pPr>
              <w:widowControl w:val="0"/>
              <w:pBdr>
                <w:top w:val="nil"/>
                <w:left w:val="nil"/>
                <w:bottom w:val="nil"/>
                <w:right w:val="nil"/>
                <w:between w:val="nil"/>
              </w:pBdr>
              <w:jc w:val="right"/>
              <w:rPr>
                <w:color w:val="000000"/>
              </w:rPr>
            </w:pPr>
          </w:p>
        </w:tc>
        <w:tc>
          <w:tcPr>
            <w:tcW w:w="1260" w:type="dxa"/>
            <w:vAlign w:val="bottom"/>
          </w:tcPr>
          <w:p w14:paraId="4F121428" w14:textId="77777777" w:rsidR="008E5DE4" w:rsidRDefault="008E5DE4">
            <w:pPr>
              <w:widowControl w:val="0"/>
              <w:pBdr>
                <w:top w:val="nil"/>
                <w:left w:val="nil"/>
                <w:bottom w:val="nil"/>
                <w:right w:val="nil"/>
                <w:between w:val="nil"/>
              </w:pBdr>
              <w:jc w:val="right"/>
              <w:rPr>
                <w:color w:val="000000"/>
              </w:rPr>
            </w:pPr>
          </w:p>
        </w:tc>
        <w:tc>
          <w:tcPr>
            <w:tcW w:w="1455" w:type="dxa"/>
            <w:gridSpan w:val="2"/>
            <w:vAlign w:val="bottom"/>
          </w:tcPr>
          <w:p w14:paraId="039C2E48" w14:textId="77777777" w:rsidR="008E5DE4" w:rsidRDefault="008E5DE4">
            <w:pPr>
              <w:widowControl w:val="0"/>
              <w:pBdr>
                <w:top w:val="nil"/>
                <w:left w:val="nil"/>
                <w:bottom w:val="nil"/>
                <w:right w:val="nil"/>
                <w:between w:val="nil"/>
              </w:pBdr>
              <w:jc w:val="right"/>
              <w:rPr>
                <w:color w:val="000000"/>
              </w:rPr>
            </w:pPr>
          </w:p>
        </w:tc>
      </w:tr>
      <w:tr w:rsidR="008E5DE4" w14:paraId="60F13344" w14:textId="77777777">
        <w:trPr>
          <w:cantSplit/>
        </w:trPr>
        <w:tc>
          <w:tcPr>
            <w:tcW w:w="3358" w:type="dxa"/>
            <w:vAlign w:val="bottom"/>
          </w:tcPr>
          <w:p w14:paraId="65F6D255" w14:textId="77777777" w:rsidR="008E5DE4" w:rsidRDefault="00780368">
            <w:pPr>
              <w:widowControl w:val="0"/>
              <w:pBdr>
                <w:top w:val="nil"/>
                <w:left w:val="nil"/>
                <w:bottom w:val="nil"/>
                <w:right w:val="nil"/>
                <w:between w:val="nil"/>
              </w:pBdr>
              <w:ind w:left="113" w:right="-57" w:hanging="113"/>
              <w:rPr>
                <w:color w:val="000000"/>
              </w:rPr>
            </w:pPr>
            <w:r>
              <w:rPr>
                <w:color w:val="000000"/>
              </w:rPr>
              <w:t>Share of results of associates and joint ventures</w:t>
            </w:r>
          </w:p>
        </w:tc>
        <w:tc>
          <w:tcPr>
            <w:tcW w:w="564" w:type="dxa"/>
            <w:vAlign w:val="bottom"/>
          </w:tcPr>
          <w:p w14:paraId="48EFE1EB" w14:textId="77777777" w:rsidR="008E5DE4" w:rsidRDefault="008E5DE4">
            <w:pPr>
              <w:widowControl w:val="0"/>
              <w:pBdr>
                <w:top w:val="nil"/>
                <w:left w:val="nil"/>
                <w:bottom w:val="nil"/>
                <w:right w:val="nil"/>
                <w:between w:val="nil"/>
              </w:pBdr>
              <w:ind w:left="-57" w:right="-57"/>
              <w:jc w:val="center"/>
              <w:rPr>
                <w:color w:val="000000"/>
              </w:rPr>
            </w:pPr>
          </w:p>
        </w:tc>
        <w:tc>
          <w:tcPr>
            <w:tcW w:w="1345" w:type="dxa"/>
            <w:vAlign w:val="bottom"/>
          </w:tcPr>
          <w:p w14:paraId="35BAC273" w14:textId="77777777" w:rsidR="008E5DE4" w:rsidRDefault="00000000">
            <w:pPr>
              <w:widowControl w:val="0"/>
              <w:pBdr>
                <w:top w:val="nil"/>
                <w:left w:val="nil"/>
                <w:bottom w:val="nil"/>
                <w:right w:val="nil"/>
                <w:between w:val="nil"/>
              </w:pBdr>
              <w:jc w:val="right"/>
              <w:rPr>
                <w:color w:val="000000"/>
                <w:sz w:val="16"/>
                <w:szCs w:val="16"/>
              </w:rPr>
            </w:pPr>
            <w:sdt>
              <w:sdtPr>
                <w:tag w:val="goog_rdk_8"/>
                <w:id w:val="1759169003"/>
              </w:sdtPr>
              <w:sdtContent>
                <w:r w:rsidR="00780368">
                  <w:rPr>
                    <w:rFonts w:ascii="Arial Unicode MS" w:eastAsia="Arial Unicode MS" w:hAnsi="Arial Unicode MS" w:cs="Arial Unicode MS"/>
                    <w:color w:val="000000"/>
                    <w:sz w:val="16"/>
                    <w:szCs w:val="16"/>
                  </w:rPr>
                  <w:t>∑</w:t>
                </w:r>
              </w:sdtContent>
            </w:sdt>
          </w:p>
        </w:tc>
        <w:tc>
          <w:tcPr>
            <w:tcW w:w="1345" w:type="dxa"/>
            <w:vAlign w:val="bottom"/>
          </w:tcPr>
          <w:p w14:paraId="58C27398" w14:textId="77777777" w:rsidR="008E5DE4" w:rsidRDefault="008E5DE4">
            <w:pPr>
              <w:widowControl w:val="0"/>
              <w:pBdr>
                <w:top w:val="nil"/>
                <w:left w:val="nil"/>
                <w:bottom w:val="nil"/>
                <w:right w:val="nil"/>
                <w:between w:val="nil"/>
              </w:pBdr>
              <w:jc w:val="right"/>
              <w:rPr>
                <w:color w:val="000000"/>
                <w:sz w:val="16"/>
                <w:szCs w:val="16"/>
              </w:rPr>
            </w:pPr>
          </w:p>
          <w:p w14:paraId="36D96270" w14:textId="77777777" w:rsidR="008E5DE4" w:rsidRDefault="00000000">
            <w:pPr>
              <w:widowControl w:val="0"/>
              <w:pBdr>
                <w:top w:val="nil"/>
                <w:left w:val="nil"/>
                <w:bottom w:val="nil"/>
                <w:right w:val="nil"/>
                <w:between w:val="nil"/>
              </w:pBdr>
              <w:jc w:val="right"/>
              <w:rPr>
                <w:color w:val="000000"/>
                <w:sz w:val="16"/>
                <w:szCs w:val="16"/>
              </w:rPr>
            </w:pPr>
            <w:sdt>
              <w:sdtPr>
                <w:tag w:val="goog_rdk_9"/>
                <w:id w:val="-1312403639"/>
              </w:sdtPr>
              <w:sdtContent>
                <w:r w:rsidR="00780368">
                  <w:rPr>
                    <w:rFonts w:ascii="Arial Unicode MS" w:eastAsia="Arial Unicode MS" w:hAnsi="Arial Unicode MS" w:cs="Arial Unicode MS"/>
                    <w:color w:val="000000"/>
                    <w:sz w:val="16"/>
                    <w:szCs w:val="16"/>
                  </w:rPr>
                  <w:t>∑</w:t>
                </w:r>
              </w:sdtContent>
            </w:sdt>
          </w:p>
        </w:tc>
        <w:tc>
          <w:tcPr>
            <w:tcW w:w="1260" w:type="dxa"/>
            <w:vAlign w:val="bottom"/>
          </w:tcPr>
          <w:p w14:paraId="4CA242D2" w14:textId="77777777" w:rsidR="008E5DE4" w:rsidRDefault="008E5DE4">
            <w:pPr>
              <w:widowControl w:val="0"/>
              <w:pBdr>
                <w:top w:val="nil"/>
                <w:left w:val="nil"/>
                <w:bottom w:val="nil"/>
                <w:right w:val="nil"/>
                <w:between w:val="nil"/>
              </w:pBdr>
              <w:jc w:val="right"/>
              <w:rPr>
                <w:color w:val="000000"/>
                <w:sz w:val="16"/>
                <w:szCs w:val="16"/>
              </w:rPr>
            </w:pPr>
          </w:p>
          <w:p w14:paraId="07EA4DDB" w14:textId="77777777" w:rsidR="008E5DE4" w:rsidRDefault="00000000">
            <w:pPr>
              <w:widowControl w:val="0"/>
              <w:pBdr>
                <w:top w:val="nil"/>
                <w:left w:val="nil"/>
                <w:bottom w:val="nil"/>
                <w:right w:val="nil"/>
                <w:between w:val="nil"/>
              </w:pBdr>
              <w:jc w:val="right"/>
              <w:rPr>
                <w:color w:val="000000"/>
                <w:sz w:val="16"/>
                <w:szCs w:val="16"/>
              </w:rPr>
            </w:pPr>
            <w:sdt>
              <w:sdtPr>
                <w:tag w:val="goog_rdk_10"/>
                <w:id w:val="-308945388"/>
              </w:sdtPr>
              <w:sdtContent>
                <w:r w:rsidR="00780368">
                  <w:rPr>
                    <w:rFonts w:ascii="Arial Unicode MS" w:eastAsia="Arial Unicode MS" w:hAnsi="Arial Unicode MS" w:cs="Arial Unicode MS"/>
                    <w:color w:val="000000"/>
                    <w:sz w:val="16"/>
                    <w:szCs w:val="16"/>
                  </w:rPr>
                  <w:t>∑</w:t>
                </w:r>
              </w:sdtContent>
            </w:sdt>
          </w:p>
        </w:tc>
        <w:tc>
          <w:tcPr>
            <w:tcW w:w="1455" w:type="dxa"/>
            <w:gridSpan w:val="2"/>
            <w:vAlign w:val="bottom"/>
          </w:tcPr>
          <w:p w14:paraId="42B97CB0" w14:textId="77777777" w:rsidR="008E5DE4" w:rsidRDefault="00000000">
            <w:pPr>
              <w:widowControl w:val="0"/>
              <w:pBdr>
                <w:top w:val="nil"/>
                <w:left w:val="nil"/>
                <w:bottom w:val="nil"/>
                <w:right w:val="nil"/>
                <w:between w:val="nil"/>
              </w:pBdr>
              <w:jc w:val="right"/>
              <w:rPr>
                <w:color w:val="000000"/>
                <w:sz w:val="16"/>
                <w:szCs w:val="16"/>
              </w:rPr>
            </w:pPr>
            <w:sdt>
              <w:sdtPr>
                <w:tag w:val="goog_rdk_11"/>
                <w:id w:val="506485506"/>
              </w:sdtPr>
              <w:sdtContent>
                <w:r w:rsidR="00780368">
                  <w:rPr>
                    <w:rFonts w:ascii="Arial Unicode MS" w:eastAsia="Arial Unicode MS" w:hAnsi="Arial Unicode MS" w:cs="Arial Unicode MS"/>
                    <w:color w:val="000000"/>
                    <w:sz w:val="16"/>
                    <w:szCs w:val="16"/>
                  </w:rPr>
                  <w:t>∑</w:t>
                </w:r>
              </w:sdtContent>
            </w:sdt>
          </w:p>
        </w:tc>
      </w:tr>
      <w:tr w:rsidR="008E5DE4" w14:paraId="18A377BA" w14:textId="77777777">
        <w:trPr>
          <w:cantSplit/>
        </w:trPr>
        <w:tc>
          <w:tcPr>
            <w:tcW w:w="3358" w:type="dxa"/>
            <w:vAlign w:val="bottom"/>
          </w:tcPr>
          <w:p w14:paraId="2048B4E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4" w:type="dxa"/>
            <w:vAlign w:val="bottom"/>
          </w:tcPr>
          <w:p w14:paraId="20511621" w14:textId="77777777" w:rsidR="008E5DE4" w:rsidRDefault="008E5DE4">
            <w:pPr>
              <w:widowControl w:val="0"/>
              <w:pBdr>
                <w:top w:val="nil"/>
                <w:left w:val="nil"/>
                <w:bottom w:val="nil"/>
                <w:right w:val="nil"/>
                <w:between w:val="nil"/>
              </w:pBdr>
              <w:ind w:left="-57" w:right="-57"/>
              <w:jc w:val="center"/>
              <w:rPr>
                <w:color w:val="000000"/>
              </w:rPr>
            </w:pPr>
          </w:p>
        </w:tc>
        <w:tc>
          <w:tcPr>
            <w:tcW w:w="1345" w:type="dxa"/>
            <w:vAlign w:val="bottom"/>
          </w:tcPr>
          <w:p w14:paraId="61CAAE67" w14:textId="77777777" w:rsidR="008E5DE4" w:rsidRDefault="008E5DE4">
            <w:pPr>
              <w:widowControl w:val="0"/>
              <w:pBdr>
                <w:top w:val="nil"/>
                <w:left w:val="nil"/>
                <w:bottom w:val="nil"/>
                <w:right w:val="nil"/>
                <w:between w:val="nil"/>
              </w:pBdr>
              <w:jc w:val="right"/>
              <w:rPr>
                <w:color w:val="000000"/>
              </w:rPr>
            </w:pPr>
          </w:p>
        </w:tc>
        <w:tc>
          <w:tcPr>
            <w:tcW w:w="1345" w:type="dxa"/>
            <w:vAlign w:val="bottom"/>
          </w:tcPr>
          <w:p w14:paraId="37918B06" w14:textId="77777777" w:rsidR="008E5DE4" w:rsidRDefault="008E5DE4">
            <w:pPr>
              <w:widowControl w:val="0"/>
              <w:pBdr>
                <w:top w:val="nil"/>
                <w:left w:val="nil"/>
                <w:bottom w:val="nil"/>
                <w:right w:val="nil"/>
                <w:between w:val="nil"/>
              </w:pBdr>
              <w:jc w:val="right"/>
              <w:rPr>
                <w:color w:val="000000"/>
              </w:rPr>
            </w:pPr>
          </w:p>
        </w:tc>
        <w:tc>
          <w:tcPr>
            <w:tcW w:w="1260" w:type="dxa"/>
            <w:vAlign w:val="bottom"/>
          </w:tcPr>
          <w:p w14:paraId="658F2458" w14:textId="77777777" w:rsidR="008E5DE4" w:rsidRDefault="008E5DE4">
            <w:pPr>
              <w:widowControl w:val="0"/>
              <w:pBdr>
                <w:top w:val="nil"/>
                <w:left w:val="nil"/>
                <w:bottom w:val="nil"/>
                <w:right w:val="nil"/>
                <w:between w:val="nil"/>
              </w:pBdr>
              <w:jc w:val="right"/>
              <w:rPr>
                <w:color w:val="000000"/>
              </w:rPr>
            </w:pPr>
          </w:p>
        </w:tc>
        <w:tc>
          <w:tcPr>
            <w:tcW w:w="1455" w:type="dxa"/>
            <w:gridSpan w:val="2"/>
            <w:vAlign w:val="bottom"/>
          </w:tcPr>
          <w:p w14:paraId="3F722287" w14:textId="77777777" w:rsidR="008E5DE4" w:rsidRDefault="008E5DE4">
            <w:pPr>
              <w:widowControl w:val="0"/>
              <w:pBdr>
                <w:top w:val="nil"/>
                <w:left w:val="nil"/>
                <w:bottom w:val="nil"/>
                <w:right w:val="nil"/>
                <w:between w:val="nil"/>
              </w:pBdr>
              <w:jc w:val="right"/>
              <w:rPr>
                <w:color w:val="000000"/>
              </w:rPr>
            </w:pPr>
          </w:p>
        </w:tc>
      </w:tr>
      <w:tr w:rsidR="008E5DE4" w14:paraId="0C82F50F" w14:textId="77777777">
        <w:trPr>
          <w:gridAfter w:val="1"/>
          <w:wAfter w:w="111" w:type="dxa"/>
          <w:cantSplit/>
        </w:trPr>
        <w:tc>
          <w:tcPr>
            <w:tcW w:w="3358" w:type="dxa"/>
            <w:vAlign w:val="bottom"/>
          </w:tcPr>
          <w:p w14:paraId="5234D683" w14:textId="77777777" w:rsidR="008E5DE4" w:rsidRDefault="00780368">
            <w:pPr>
              <w:widowControl w:val="0"/>
              <w:pBdr>
                <w:top w:val="nil"/>
                <w:left w:val="nil"/>
                <w:bottom w:val="nil"/>
                <w:right w:val="nil"/>
                <w:between w:val="nil"/>
              </w:pBdr>
              <w:ind w:left="113" w:right="-57" w:hanging="113"/>
              <w:rPr>
                <w:color w:val="000000"/>
              </w:rPr>
            </w:pPr>
            <w:r>
              <w:rPr>
                <w:color w:val="000000"/>
              </w:rPr>
              <w:t>Fair value of net assets of associates and joint ventures acquired</w:t>
            </w:r>
          </w:p>
        </w:tc>
        <w:tc>
          <w:tcPr>
            <w:tcW w:w="564" w:type="dxa"/>
            <w:vAlign w:val="bottom"/>
          </w:tcPr>
          <w:p w14:paraId="5016456B" w14:textId="77777777" w:rsidR="008E5DE4" w:rsidRDefault="008E5DE4">
            <w:pPr>
              <w:widowControl w:val="0"/>
              <w:pBdr>
                <w:top w:val="nil"/>
                <w:left w:val="nil"/>
                <w:bottom w:val="nil"/>
                <w:right w:val="nil"/>
                <w:between w:val="nil"/>
              </w:pBdr>
              <w:ind w:left="-57" w:right="-57"/>
              <w:jc w:val="center"/>
              <w:rPr>
                <w:color w:val="000000"/>
              </w:rPr>
            </w:pPr>
          </w:p>
        </w:tc>
        <w:tc>
          <w:tcPr>
            <w:tcW w:w="1345" w:type="dxa"/>
            <w:vAlign w:val="bottom"/>
          </w:tcPr>
          <w:p w14:paraId="0171EDF2" w14:textId="77777777" w:rsidR="008E5DE4" w:rsidRDefault="008E5DE4">
            <w:pPr>
              <w:widowControl w:val="0"/>
              <w:pBdr>
                <w:top w:val="nil"/>
                <w:left w:val="nil"/>
                <w:bottom w:val="nil"/>
                <w:right w:val="nil"/>
                <w:between w:val="nil"/>
              </w:pBdr>
              <w:jc w:val="right"/>
              <w:rPr>
                <w:color w:val="000000"/>
              </w:rPr>
            </w:pPr>
          </w:p>
        </w:tc>
        <w:tc>
          <w:tcPr>
            <w:tcW w:w="1345" w:type="dxa"/>
            <w:vAlign w:val="bottom"/>
          </w:tcPr>
          <w:p w14:paraId="0AC208C0" w14:textId="77777777" w:rsidR="008E5DE4" w:rsidRDefault="008E5DE4">
            <w:pPr>
              <w:widowControl w:val="0"/>
              <w:pBdr>
                <w:top w:val="nil"/>
                <w:left w:val="nil"/>
                <w:bottom w:val="nil"/>
                <w:right w:val="nil"/>
                <w:between w:val="nil"/>
              </w:pBdr>
              <w:jc w:val="right"/>
              <w:rPr>
                <w:color w:val="000000"/>
              </w:rPr>
            </w:pPr>
          </w:p>
        </w:tc>
        <w:tc>
          <w:tcPr>
            <w:tcW w:w="1260" w:type="dxa"/>
            <w:vAlign w:val="bottom"/>
          </w:tcPr>
          <w:p w14:paraId="50D66B31" w14:textId="77777777" w:rsidR="008E5DE4" w:rsidRDefault="008E5DE4">
            <w:pPr>
              <w:widowControl w:val="0"/>
              <w:pBdr>
                <w:top w:val="nil"/>
                <w:left w:val="nil"/>
                <w:bottom w:val="nil"/>
                <w:right w:val="nil"/>
                <w:between w:val="nil"/>
              </w:pBdr>
              <w:jc w:val="right"/>
              <w:rPr>
                <w:color w:val="000000"/>
              </w:rPr>
            </w:pPr>
          </w:p>
        </w:tc>
        <w:tc>
          <w:tcPr>
            <w:tcW w:w="1344" w:type="dxa"/>
            <w:vAlign w:val="bottom"/>
          </w:tcPr>
          <w:p w14:paraId="4CDB1A0B" w14:textId="77777777" w:rsidR="008E5DE4" w:rsidRDefault="008E5DE4">
            <w:pPr>
              <w:widowControl w:val="0"/>
              <w:pBdr>
                <w:top w:val="nil"/>
                <w:left w:val="nil"/>
                <w:bottom w:val="nil"/>
                <w:right w:val="nil"/>
                <w:between w:val="nil"/>
              </w:pBdr>
              <w:jc w:val="right"/>
              <w:rPr>
                <w:color w:val="000000"/>
              </w:rPr>
            </w:pPr>
          </w:p>
        </w:tc>
      </w:tr>
      <w:tr w:rsidR="008E5DE4" w14:paraId="193D69EF" w14:textId="77777777">
        <w:trPr>
          <w:gridAfter w:val="1"/>
          <w:wAfter w:w="111" w:type="dxa"/>
          <w:cantSplit/>
        </w:trPr>
        <w:tc>
          <w:tcPr>
            <w:tcW w:w="3358" w:type="dxa"/>
            <w:vAlign w:val="bottom"/>
          </w:tcPr>
          <w:p w14:paraId="17000ADB" w14:textId="77777777" w:rsidR="008E5DE4" w:rsidRDefault="00780368">
            <w:pPr>
              <w:widowControl w:val="0"/>
              <w:pBdr>
                <w:top w:val="nil"/>
                <w:left w:val="nil"/>
                <w:bottom w:val="nil"/>
                <w:right w:val="nil"/>
                <w:between w:val="nil"/>
              </w:pBdr>
              <w:ind w:left="113" w:right="-57" w:hanging="113"/>
              <w:rPr>
                <w:color w:val="000000"/>
              </w:rPr>
            </w:pPr>
            <w:r>
              <w:rPr>
                <w:color w:val="000000"/>
              </w:rPr>
              <w:t>Goodwill arising on the acquisition of associates and joint ventures</w:t>
            </w:r>
          </w:p>
        </w:tc>
        <w:tc>
          <w:tcPr>
            <w:tcW w:w="564" w:type="dxa"/>
            <w:vAlign w:val="bottom"/>
          </w:tcPr>
          <w:p w14:paraId="77AD3531" w14:textId="77777777" w:rsidR="008E5DE4" w:rsidRDefault="008E5DE4">
            <w:pPr>
              <w:widowControl w:val="0"/>
              <w:pBdr>
                <w:top w:val="nil"/>
                <w:left w:val="nil"/>
                <w:bottom w:val="nil"/>
                <w:right w:val="nil"/>
                <w:between w:val="nil"/>
              </w:pBdr>
              <w:ind w:left="-57" w:right="-57"/>
              <w:jc w:val="center"/>
              <w:rPr>
                <w:color w:val="000000"/>
              </w:rPr>
            </w:pPr>
          </w:p>
        </w:tc>
        <w:tc>
          <w:tcPr>
            <w:tcW w:w="1345" w:type="dxa"/>
            <w:vAlign w:val="bottom"/>
          </w:tcPr>
          <w:p w14:paraId="4ADE9D80" w14:textId="77777777" w:rsidR="008E5DE4" w:rsidRDefault="008E5DE4">
            <w:pPr>
              <w:widowControl w:val="0"/>
              <w:pBdr>
                <w:top w:val="nil"/>
                <w:left w:val="nil"/>
                <w:bottom w:val="nil"/>
                <w:right w:val="nil"/>
                <w:between w:val="nil"/>
              </w:pBdr>
              <w:jc w:val="right"/>
              <w:rPr>
                <w:color w:val="000000"/>
              </w:rPr>
            </w:pPr>
          </w:p>
        </w:tc>
        <w:tc>
          <w:tcPr>
            <w:tcW w:w="1345" w:type="dxa"/>
            <w:vAlign w:val="bottom"/>
          </w:tcPr>
          <w:p w14:paraId="594D0559" w14:textId="77777777" w:rsidR="008E5DE4" w:rsidRDefault="008E5DE4">
            <w:pPr>
              <w:widowControl w:val="0"/>
              <w:pBdr>
                <w:top w:val="nil"/>
                <w:left w:val="nil"/>
                <w:bottom w:val="nil"/>
                <w:right w:val="nil"/>
                <w:between w:val="nil"/>
              </w:pBdr>
              <w:jc w:val="right"/>
              <w:rPr>
                <w:color w:val="000000"/>
              </w:rPr>
            </w:pPr>
          </w:p>
        </w:tc>
        <w:tc>
          <w:tcPr>
            <w:tcW w:w="1260" w:type="dxa"/>
            <w:vAlign w:val="bottom"/>
          </w:tcPr>
          <w:p w14:paraId="7AD31CF7" w14:textId="77777777" w:rsidR="008E5DE4" w:rsidRDefault="008E5DE4">
            <w:pPr>
              <w:widowControl w:val="0"/>
              <w:pBdr>
                <w:top w:val="nil"/>
                <w:left w:val="nil"/>
                <w:bottom w:val="nil"/>
                <w:right w:val="nil"/>
                <w:between w:val="nil"/>
              </w:pBdr>
              <w:jc w:val="right"/>
              <w:rPr>
                <w:color w:val="000000"/>
              </w:rPr>
            </w:pPr>
          </w:p>
        </w:tc>
        <w:tc>
          <w:tcPr>
            <w:tcW w:w="1344" w:type="dxa"/>
            <w:vAlign w:val="bottom"/>
          </w:tcPr>
          <w:p w14:paraId="100B36AE" w14:textId="77777777" w:rsidR="008E5DE4" w:rsidRDefault="008E5DE4">
            <w:pPr>
              <w:widowControl w:val="0"/>
              <w:pBdr>
                <w:top w:val="nil"/>
                <w:left w:val="nil"/>
                <w:bottom w:val="nil"/>
                <w:right w:val="nil"/>
                <w:between w:val="nil"/>
              </w:pBdr>
              <w:jc w:val="right"/>
              <w:rPr>
                <w:color w:val="000000"/>
              </w:rPr>
            </w:pPr>
          </w:p>
        </w:tc>
      </w:tr>
      <w:tr w:rsidR="008E5DE4" w14:paraId="5A9B725A" w14:textId="77777777">
        <w:trPr>
          <w:gridAfter w:val="1"/>
          <w:wAfter w:w="111" w:type="dxa"/>
          <w:cantSplit/>
        </w:trPr>
        <w:tc>
          <w:tcPr>
            <w:tcW w:w="3358" w:type="dxa"/>
            <w:vAlign w:val="bottom"/>
          </w:tcPr>
          <w:p w14:paraId="6415BC8E" w14:textId="77777777" w:rsidR="008E5DE4" w:rsidRDefault="00780368">
            <w:pPr>
              <w:widowControl w:val="0"/>
              <w:pBdr>
                <w:top w:val="nil"/>
                <w:left w:val="nil"/>
                <w:bottom w:val="nil"/>
                <w:right w:val="nil"/>
                <w:between w:val="nil"/>
              </w:pBdr>
              <w:ind w:left="113" w:right="-57" w:hanging="113"/>
              <w:rPr>
                <w:color w:val="000000"/>
              </w:rPr>
            </w:pPr>
            <w:r>
              <w:rPr>
                <w:color w:val="000000"/>
              </w:rPr>
              <w:t>Share of other comprehensive income of associates and joint ventures</w:t>
            </w:r>
          </w:p>
        </w:tc>
        <w:tc>
          <w:tcPr>
            <w:tcW w:w="564" w:type="dxa"/>
            <w:vAlign w:val="bottom"/>
          </w:tcPr>
          <w:p w14:paraId="30EF7F69" w14:textId="77777777" w:rsidR="008E5DE4" w:rsidRDefault="00780368">
            <w:pPr>
              <w:widowControl w:val="0"/>
              <w:pBdr>
                <w:top w:val="nil"/>
                <w:left w:val="nil"/>
                <w:bottom w:val="nil"/>
                <w:right w:val="nil"/>
                <w:between w:val="nil"/>
              </w:pBdr>
              <w:ind w:left="-57" w:right="-57"/>
              <w:jc w:val="center"/>
              <w:rPr>
                <w:color w:val="000000"/>
              </w:rPr>
            </w:pPr>
            <w:r>
              <w:rPr>
                <w:color w:val="000000"/>
              </w:rPr>
              <w:t>27</w:t>
            </w:r>
          </w:p>
        </w:tc>
        <w:tc>
          <w:tcPr>
            <w:tcW w:w="1345" w:type="dxa"/>
            <w:vAlign w:val="bottom"/>
          </w:tcPr>
          <w:p w14:paraId="6EF7A13B" w14:textId="77777777" w:rsidR="008E5DE4" w:rsidRDefault="008E5DE4">
            <w:pPr>
              <w:widowControl w:val="0"/>
              <w:pBdr>
                <w:top w:val="nil"/>
                <w:left w:val="nil"/>
                <w:bottom w:val="nil"/>
                <w:right w:val="nil"/>
                <w:between w:val="nil"/>
              </w:pBdr>
              <w:jc w:val="right"/>
              <w:rPr>
                <w:color w:val="000000"/>
              </w:rPr>
            </w:pPr>
          </w:p>
        </w:tc>
        <w:tc>
          <w:tcPr>
            <w:tcW w:w="1345" w:type="dxa"/>
            <w:vAlign w:val="bottom"/>
          </w:tcPr>
          <w:p w14:paraId="2CF13637" w14:textId="77777777" w:rsidR="008E5DE4" w:rsidRDefault="008E5DE4">
            <w:pPr>
              <w:widowControl w:val="0"/>
              <w:pBdr>
                <w:top w:val="nil"/>
                <w:left w:val="nil"/>
                <w:bottom w:val="nil"/>
                <w:right w:val="nil"/>
                <w:between w:val="nil"/>
              </w:pBdr>
              <w:jc w:val="right"/>
              <w:rPr>
                <w:color w:val="000000"/>
              </w:rPr>
            </w:pPr>
          </w:p>
        </w:tc>
        <w:tc>
          <w:tcPr>
            <w:tcW w:w="1260" w:type="dxa"/>
            <w:vAlign w:val="bottom"/>
          </w:tcPr>
          <w:p w14:paraId="3CB9B778" w14:textId="77777777" w:rsidR="008E5DE4" w:rsidRDefault="008E5DE4">
            <w:pPr>
              <w:widowControl w:val="0"/>
              <w:pBdr>
                <w:top w:val="nil"/>
                <w:left w:val="nil"/>
                <w:bottom w:val="nil"/>
                <w:right w:val="nil"/>
                <w:between w:val="nil"/>
              </w:pBdr>
              <w:jc w:val="right"/>
              <w:rPr>
                <w:color w:val="000000"/>
              </w:rPr>
            </w:pPr>
          </w:p>
        </w:tc>
        <w:tc>
          <w:tcPr>
            <w:tcW w:w="1344" w:type="dxa"/>
            <w:vAlign w:val="bottom"/>
          </w:tcPr>
          <w:p w14:paraId="3BC0481E" w14:textId="77777777" w:rsidR="008E5DE4" w:rsidRDefault="008E5DE4">
            <w:pPr>
              <w:widowControl w:val="0"/>
              <w:pBdr>
                <w:top w:val="nil"/>
                <w:left w:val="nil"/>
                <w:bottom w:val="nil"/>
                <w:right w:val="nil"/>
                <w:between w:val="nil"/>
              </w:pBdr>
              <w:jc w:val="right"/>
              <w:rPr>
                <w:color w:val="000000"/>
              </w:rPr>
            </w:pPr>
          </w:p>
        </w:tc>
      </w:tr>
      <w:tr w:rsidR="008E5DE4" w14:paraId="1D2A5EAD" w14:textId="77777777">
        <w:trPr>
          <w:gridAfter w:val="1"/>
          <w:wAfter w:w="111" w:type="dxa"/>
          <w:cantSplit/>
        </w:trPr>
        <w:tc>
          <w:tcPr>
            <w:tcW w:w="3358" w:type="dxa"/>
            <w:vAlign w:val="bottom"/>
          </w:tcPr>
          <w:p w14:paraId="187EBD2A" w14:textId="77777777" w:rsidR="008E5DE4" w:rsidRDefault="00780368">
            <w:pPr>
              <w:widowControl w:val="0"/>
              <w:pBdr>
                <w:top w:val="nil"/>
                <w:left w:val="nil"/>
                <w:bottom w:val="nil"/>
                <w:right w:val="nil"/>
                <w:between w:val="nil"/>
              </w:pBdr>
              <w:ind w:left="113" w:right="-57" w:hanging="113"/>
              <w:rPr>
                <w:color w:val="000000"/>
              </w:rPr>
            </w:pPr>
            <w:r>
              <w:rPr>
                <w:color w:val="000000"/>
              </w:rPr>
              <w:t>Dividends received from associates and joint ventures</w:t>
            </w:r>
          </w:p>
        </w:tc>
        <w:tc>
          <w:tcPr>
            <w:tcW w:w="564" w:type="dxa"/>
            <w:vAlign w:val="bottom"/>
          </w:tcPr>
          <w:p w14:paraId="512BBF43" w14:textId="77777777" w:rsidR="008E5DE4" w:rsidRDefault="008E5DE4">
            <w:pPr>
              <w:widowControl w:val="0"/>
              <w:ind w:left="-57" w:right="-57"/>
              <w:jc w:val="center"/>
            </w:pPr>
          </w:p>
        </w:tc>
        <w:tc>
          <w:tcPr>
            <w:tcW w:w="1345" w:type="dxa"/>
            <w:vAlign w:val="bottom"/>
          </w:tcPr>
          <w:p w14:paraId="1655405D" w14:textId="77777777" w:rsidR="008E5DE4" w:rsidRDefault="008E5DE4">
            <w:pPr>
              <w:widowControl w:val="0"/>
              <w:pBdr>
                <w:top w:val="nil"/>
                <w:left w:val="nil"/>
                <w:bottom w:val="nil"/>
                <w:right w:val="nil"/>
                <w:between w:val="nil"/>
              </w:pBdr>
              <w:jc w:val="right"/>
              <w:rPr>
                <w:color w:val="000000"/>
              </w:rPr>
            </w:pPr>
          </w:p>
        </w:tc>
        <w:tc>
          <w:tcPr>
            <w:tcW w:w="1345" w:type="dxa"/>
            <w:vAlign w:val="bottom"/>
          </w:tcPr>
          <w:p w14:paraId="5F92ED26" w14:textId="77777777" w:rsidR="008E5DE4" w:rsidRDefault="008E5DE4">
            <w:pPr>
              <w:widowControl w:val="0"/>
              <w:pBdr>
                <w:top w:val="nil"/>
                <w:left w:val="nil"/>
                <w:bottom w:val="nil"/>
                <w:right w:val="nil"/>
                <w:between w:val="nil"/>
              </w:pBdr>
              <w:jc w:val="right"/>
              <w:rPr>
                <w:color w:val="000000"/>
              </w:rPr>
            </w:pPr>
          </w:p>
        </w:tc>
        <w:tc>
          <w:tcPr>
            <w:tcW w:w="1260" w:type="dxa"/>
            <w:vAlign w:val="bottom"/>
          </w:tcPr>
          <w:p w14:paraId="22A0C1F1" w14:textId="77777777" w:rsidR="008E5DE4" w:rsidRDefault="008E5DE4">
            <w:pPr>
              <w:widowControl w:val="0"/>
              <w:pBdr>
                <w:top w:val="nil"/>
                <w:left w:val="nil"/>
                <w:bottom w:val="nil"/>
                <w:right w:val="nil"/>
                <w:between w:val="nil"/>
              </w:pBdr>
              <w:jc w:val="right"/>
              <w:rPr>
                <w:color w:val="000000"/>
              </w:rPr>
            </w:pPr>
          </w:p>
        </w:tc>
        <w:tc>
          <w:tcPr>
            <w:tcW w:w="1344" w:type="dxa"/>
            <w:vAlign w:val="bottom"/>
          </w:tcPr>
          <w:p w14:paraId="0C3D0D0D" w14:textId="77777777" w:rsidR="008E5DE4" w:rsidRDefault="008E5DE4">
            <w:pPr>
              <w:widowControl w:val="0"/>
              <w:pBdr>
                <w:top w:val="nil"/>
                <w:left w:val="nil"/>
                <w:bottom w:val="nil"/>
                <w:right w:val="nil"/>
                <w:between w:val="nil"/>
              </w:pBdr>
              <w:jc w:val="right"/>
              <w:rPr>
                <w:color w:val="000000"/>
              </w:rPr>
            </w:pPr>
          </w:p>
        </w:tc>
      </w:tr>
      <w:tr w:rsidR="008E5DE4" w14:paraId="161EADDE" w14:textId="77777777">
        <w:trPr>
          <w:gridAfter w:val="1"/>
          <w:wAfter w:w="111" w:type="dxa"/>
          <w:cantSplit/>
        </w:trPr>
        <w:tc>
          <w:tcPr>
            <w:tcW w:w="3358" w:type="dxa"/>
            <w:vAlign w:val="bottom"/>
          </w:tcPr>
          <w:p w14:paraId="7D7EDA1A" w14:textId="77777777" w:rsidR="008E5DE4" w:rsidRDefault="00780368">
            <w:pPr>
              <w:widowControl w:val="0"/>
              <w:pBdr>
                <w:top w:val="nil"/>
                <w:left w:val="nil"/>
                <w:bottom w:val="nil"/>
                <w:right w:val="nil"/>
                <w:between w:val="nil"/>
              </w:pBdr>
              <w:ind w:left="113" w:right="-57" w:hanging="113"/>
              <w:rPr>
                <w:color w:val="0000FF"/>
              </w:rPr>
            </w:pPr>
            <w:r>
              <w:rPr>
                <w:color w:val="0000FF"/>
              </w:rPr>
              <w:t>[Effect of translation to presentation currency]</w:t>
            </w:r>
          </w:p>
        </w:tc>
        <w:tc>
          <w:tcPr>
            <w:tcW w:w="564" w:type="dxa"/>
            <w:vAlign w:val="bottom"/>
          </w:tcPr>
          <w:p w14:paraId="06820DB0" w14:textId="77777777" w:rsidR="008E5DE4" w:rsidRDefault="008E5DE4">
            <w:pPr>
              <w:widowControl w:val="0"/>
              <w:ind w:left="-57" w:right="-57"/>
              <w:jc w:val="center"/>
            </w:pPr>
          </w:p>
        </w:tc>
        <w:tc>
          <w:tcPr>
            <w:tcW w:w="1345" w:type="dxa"/>
            <w:vAlign w:val="bottom"/>
          </w:tcPr>
          <w:p w14:paraId="4653BE54" w14:textId="77777777" w:rsidR="008E5DE4" w:rsidRDefault="008E5DE4">
            <w:pPr>
              <w:widowControl w:val="0"/>
              <w:pBdr>
                <w:top w:val="nil"/>
                <w:left w:val="nil"/>
                <w:bottom w:val="nil"/>
                <w:right w:val="nil"/>
                <w:between w:val="nil"/>
              </w:pBdr>
              <w:jc w:val="right"/>
              <w:rPr>
                <w:color w:val="000000"/>
              </w:rPr>
            </w:pPr>
          </w:p>
        </w:tc>
        <w:tc>
          <w:tcPr>
            <w:tcW w:w="1345" w:type="dxa"/>
            <w:vAlign w:val="bottom"/>
          </w:tcPr>
          <w:p w14:paraId="15B9687F" w14:textId="77777777" w:rsidR="008E5DE4" w:rsidRDefault="008E5DE4">
            <w:pPr>
              <w:widowControl w:val="0"/>
              <w:pBdr>
                <w:top w:val="nil"/>
                <w:left w:val="nil"/>
                <w:bottom w:val="nil"/>
                <w:right w:val="nil"/>
                <w:between w:val="nil"/>
              </w:pBdr>
              <w:jc w:val="right"/>
              <w:rPr>
                <w:color w:val="000000"/>
              </w:rPr>
            </w:pPr>
          </w:p>
        </w:tc>
        <w:tc>
          <w:tcPr>
            <w:tcW w:w="1260" w:type="dxa"/>
            <w:vAlign w:val="bottom"/>
          </w:tcPr>
          <w:p w14:paraId="04EA8AA9" w14:textId="77777777" w:rsidR="008E5DE4" w:rsidRDefault="008E5DE4">
            <w:pPr>
              <w:widowControl w:val="0"/>
              <w:pBdr>
                <w:top w:val="nil"/>
                <w:left w:val="nil"/>
                <w:bottom w:val="nil"/>
                <w:right w:val="nil"/>
                <w:between w:val="nil"/>
              </w:pBdr>
              <w:jc w:val="right"/>
              <w:rPr>
                <w:color w:val="000000"/>
              </w:rPr>
            </w:pPr>
          </w:p>
        </w:tc>
        <w:tc>
          <w:tcPr>
            <w:tcW w:w="1344" w:type="dxa"/>
            <w:vAlign w:val="bottom"/>
          </w:tcPr>
          <w:p w14:paraId="34D6238D" w14:textId="77777777" w:rsidR="008E5DE4" w:rsidRDefault="008E5DE4">
            <w:pPr>
              <w:widowControl w:val="0"/>
              <w:pBdr>
                <w:top w:val="nil"/>
                <w:left w:val="nil"/>
                <w:bottom w:val="nil"/>
                <w:right w:val="nil"/>
                <w:between w:val="nil"/>
              </w:pBdr>
              <w:jc w:val="right"/>
              <w:rPr>
                <w:color w:val="000000"/>
              </w:rPr>
            </w:pPr>
          </w:p>
        </w:tc>
      </w:tr>
      <w:tr w:rsidR="008E5DE4" w14:paraId="4FF9E506" w14:textId="77777777">
        <w:trPr>
          <w:gridAfter w:val="1"/>
          <w:wAfter w:w="111" w:type="dxa"/>
          <w:cantSplit/>
        </w:trPr>
        <w:tc>
          <w:tcPr>
            <w:tcW w:w="3358" w:type="dxa"/>
            <w:tcBorders>
              <w:bottom w:val="single" w:sz="4" w:space="0" w:color="000000"/>
            </w:tcBorders>
            <w:vAlign w:val="bottom"/>
          </w:tcPr>
          <w:p w14:paraId="3200E8B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4" w:type="dxa"/>
            <w:tcBorders>
              <w:bottom w:val="single" w:sz="4" w:space="0" w:color="000000"/>
            </w:tcBorders>
            <w:vAlign w:val="bottom"/>
          </w:tcPr>
          <w:p w14:paraId="67ED018F" w14:textId="77777777" w:rsidR="008E5DE4" w:rsidRDefault="008E5DE4">
            <w:pPr>
              <w:widowControl w:val="0"/>
              <w:ind w:left="-57" w:right="-57"/>
              <w:jc w:val="center"/>
            </w:pPr>
          </w:p>
        </w:tc>
        <w:tc>
          <w:tcPr>
            <w:tcW w:w="1345" w:type="dxa"/>
            <w:tcBorders>
              <w:bottom w:val="single" w:sz="4" w:space="0" w:color="000000"/>
            </w:tcBorders>
            <w:vAlign w:val="bottom"/>
          </w:tcPr>
          <w:p w14:paraId="0A61AA90" w14:textId="77777777" w:rsidR="008E5DE4" w:rsidRDefault="008E5DE4">
            <w:pPr>
              <w:widowControl w:val="0"/>
              <w:pBdr>
                <w:top w:val="nil"/>
                <w:left w:val="nil"/>
                <w:bottom w:val="nil"/>
                <w:right w:val="nil"/>
                <w:between w:val="nil"/>
              </w:pBdr>
              <w:jc w:val="right"/>
              <w:rPr>
                <w:color w:val="000000"/>
              </w:rPr>
            </w:pPr>
          </w:p>
        </w:tc>
        <w:tc>
          <w:tcPr>
            <w:tcW w:w="1345" w:type="dxa"/>
            <w:tcBorders>
              <w:bottom w:val="single" w:sz="4" w:space="0" w:color="000000"/>
            </w:tcBorders>
            <w:vAlign w:val="bottom"/>
          </w:tcPr>
          <w:p w14:paraId="5FD90118" w14:textId="77777777" w:rsidR="008E5DE4" w:rsidRDefault="008E5DE4">
            <w:pPr>
              <w:widowControl w:val="0"/>
              <w:pBdr>
                <w:top w:val="nil"/>
                <w:left w:val="nil"/>
                <w:bottom w:val="nil"/>
                <w:right w:val="nil"/>
                <w:between w:val="nil"/>
              </w:pBdr>
              <w:jc w:val="right"/>
              <w:rPr>
                <w:color w:val="000000"/>
              </w:rPr>
            </w:pPr>
          </w:p>
        </w:tc>
        <w:tc>
          <w:tcPr>
            <w:tcW w:w="1260" w:type="dxa"/>
            <w:tcBorders>
              <w:bottom w:val="single" w:sz="4" w:space="0" w:color="000000"/>
            </w:tcBorders>
            <w:vAlign w:val="bottom"/>
          </w:tcPr>
          <w:p w14:paraId="230BEB0F" w14:textId="77777777" w:rsidR="008E5DE4" w:rsidRDefault="008E5DE4">
            <w:pPr>
              <w:widowControl w:val="0"/>
              <w:pBdr>
                <w:top w:val="nil"/>
                <w:left w:val="nil"/>
                <w:bottom w:val="nil"/>
                <w:right w:val="nil"/>
                <w:between w:val="nil"/>
              </w:pBdr>
              <w:jc w:val="right"/>
              <w:rPr>
                <w:color w:val="000000"/>
              </w:rPr>
            </w:pPr>
          </w:p>
        </w:tc>
        <w:tc>
          <w:tcPr>
            <w:tcW w:w="1344" w:type="dxa"/>
            <w:tcBorders>
              <w:bottom w:val="single" w:sz="4" w:space="0" w:color="000000"/>
            </w:tcBorders>
            <w:vAlign w:val="bottom"/>
          </w:tcPr>
          <w:p w14:paraId="1B456329" w14:textId="77777777" w:rsidR="008E5DE4" w:rsidRDefault="008E5DE4">
            <w:pPr>
              <w:widowControl w:val="0"/>
              <w:pBdr>
                <w:top w:val="nil"/>
                <w:left w:val="nil"/>
                <w:bottom w:val="nil"/>
                <w:right w:val="nil"/>
                <w:between w:val="nil"/>
              </w:pBdr>
              <w:jc w:val="right"/>
              <w:rPr>
                <w:color w:val="000000"/>
              </w:rPr>
            </w:pPr>
          </w:p>
        </w:tc>
      </w:tr>
      <w:tr w:rsidR="008E5DE4" w14:paraId="23A197D9" w14:textId="77777777">
        <w:trPr>
          <w:gridAfter w:val="1"/>
          <w:wAfter w:w="111" w:type="dxa"/>
          <w:cantSplit/>
        </w:trPr>
        <w:tc>
          <w:tcPr>
            <w:tcW w:w="3358" w:type="dxa"/>
            <w:tcBorders>
              <w:top w:val="single" w:sz="4" w:space="0" w:color="000000"/>
            </w:tcBorders>
            <w:vAlign w:val="bottom"/>
          </w:tcPr>
          <w:p w14:paraId="40D3FBCF" w14:textId="77777777" w:rsidR="008E5DE4" w:rsidRDefault="00780368">
            <w:pPr>
              <w:widowControl w:val="0"/>
              <w:ind w:left="113" w:right="-57" w:hanging="113"/>
            </w:pPr>
            <w:r>
              <w:t> </w:t>
            </w:r>
          </w:p>
        </w:tc>
        <w:tc>
          <w:tcPr>
            <w:tcW w:w="564" w:type="dxa"/>
            <w:tcBorders>
              <w:top w:val="single" w:sz="4" w:space="0" w:color="000000"/>
            </w:tcBorders>
            <w:vAlign w:val="bottom"/>
          </w:tcPr>
          <w:p w14:paraId="1F700BDE" w14:textId="77777777" w:rsidR="008E5DE4" w:rsidRDefault="008E5DE4">
            <w:pPr>
              <w:widowControl w:val="0"/>
              <w:ind w:left="-57" w:right="-57"/>
              <w:jc w:val="center"/>
            </w:pPr>
          </w:p>
        </w:tc>
        <w:tc>
          <w:tcPr>
            <w:tcW w:w="1345" w:type="dxa"/>
            <w:tcBorders>
              <w:top w:val="single" w:sz="4" w:space="0" w:color="000000"/>
            </w:tcBorders>
            <w:vAlign w:val="bottom"/>
          </w:tcPr>
          <w:p w14:paraId="28840B0F" w14:textId="77777777" w:rsidR="008E5DE4" w:rsidRDefault="008E5DE4">
            <w:pPr>
              <w:widowControl w:val="0"/>
              <w:pBdr>
                <w:top w:val="nil"/>
                <w:left w:val="nil"/>
                <w:bottom w:val="nil"/>
                <w:right w:val="nil"/>
                <w:between w:val="nil"/>
              </w:pBdr>
              <w:jc w:val="right"/>
              <w:rPr>
                <w:b/>
                <w:color w:val="000000"/>
              </w:rPr>
            </w:pPr>
          </w:p>
        </w:tc>
        <w:tc>
          <w:tcPr>
            <w:tcW w:w="1345" w:type="dxa"/>
            <w:tcBorders>
              <w:top w:val="single" w:sz="4" w:space="0" w:color="000000"/>
            </w:tcBorders>
            <w:vAlign w:val="bottom"/>
          </w:tcPr>
          <w:p w14:paraId="6CA8F5E5" w14:textId="77777777" w:rsidR="008E5DE4" w:rsidRDefault="008E5DE4">
            <w:pPr>
              <w:widowControl w:val="0"/>
              <w:pBdr>
                <w:top w:val="nil"/>
                <w:left w:val="nil"/>
                <w:bottom w:val="nil"/>
                <w:right w:val="nil"/>
                <w:between w:val="nil"/>
              </w:pBdr>
              <w:jc w:val="right"/>
              <w:rPr>
                <w:b/>
                <w:color w:val="000000"/>
              </w:rPr>
            </w:pPr>
          </w:p>
        </w:tc>
        <w:tc>
          <w:tcPr>
            <w:tcW w:w="1260" w:type="dxa"/>
            <w:tcBorders>
              <w:top w:val="single" w:sz="4" w:space="0" w:color="000000"/>
            </w:tcBorders>
            <w:vAlign w:val="bottom"/>
          </w:tcPr>
          <w:p w14:paraId="28EE3BEB" w14:textId="77777777" w:rsidR="008E5DE4" w:rsidRDefault="008E5DE4">
            <w:pPr>
              <w:widowControl w:val="0"/>
              <w:pBdr>
                <w:top w:val="nil"/>
                <w:left w:val="nil"/>
                <w:bottom w:val="nil"/>
                <w:right w:val="nil"/>
                <w:between w:val="nil"/>
              </w:pBdr>
              <w:jc w:val="right"/>
              <w:rPr>
                <w:b/>
                <w:color w:val="000000"/>
              </w:rPr>
            </w:pPr>
          </w:p>
        </w:tc>
        <w:tc>
          <w:tcPr>
            <w:tcW w:w="1344" w:type="dxa"/>
            <w:tcBorders>
              <w:top w:val="single" w:sz="4" w:space="0" w:color="000000"/>
            </w:tcBorders>
            <w:vAlign w:val="bottom"/>
          </w:tcPr>
          <w:p w14:paraId="567D653C" w14:textId="77777777" w:rsidR="008E5DE4" w:rsidRDefault="008E5DE4">
            <w:pPr>
              <w:widowControl w:val="0"/>
              <w:pBdr>
                <w:top w:val="nil"/>
                <w:left w:val="nil"/>
                <w:bottom w:val="nil"/>
                <w:right w:val="nil"/>
                <w:between w:val="nil"/>
              </w:pBdr>
              <w:jc w:val="right"/>
              <w:rPr>
                <w:b/>
                <w:color w:val="000000"/>
              </w:rPr>
            </w:pPr>
          </w:p>
        </w:tc>
      </w:tr>
      <w:tr w:rsidR="008E5DE4" w14:paraId="1148CF2C" w14:textId="77777777">
        <w:trPr>
          <w:gridAfter w:val="1"/>
          <w:wAfter w:w="111" w:type="dxa"/>
          <w:cantSplit/>
        </w:trPr>
        <w:tc>
          <w:tcPr>
            <w:tcW w:w="3358" w:type="dxa"/>
            <w:vAlign w:val="bottom"/>
          </w:tcPr>
          <w:p w14:paraId="094B2CA3"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31 December</w:t>
            </w:r>
          </w:p>
        </w:tc>
        <w:tc>
          <w:tcPr>
            <w:tcW w:w="564" w:type="dxa"/>
            <w:vAlign w:val="bottom"/>
          </w:tcPr>
          <w:p w14:paraId="23FC23A9" w14:textId="77777777" w:rsidR="008E5DE4" w:rsidRDefault="008E5DE4">
            <w:pPr>
              <w:widowControl w:val="0"/>
              <w:ind w:left="-57" w:right="-57"/>
              <w:jc w:val="center"/>
            </w:pPr>
          </w:p>
        </w:tc>
        <w:tc>
          <w:tcPr>
            <w:tcW w:w="1345" w:type="dxa"/>
            <w:vAlign w:val="bottom"/>
          </w:tcPr>
          <w:p w14:paraId="1AF0D7F3" w14:textId="77777777" w:rsidR="008E5DE4" w:rsidRDefault="008E5DE4">
            <w:pPr>
              <w:widowControl w:val="0"/>
              <w:pBdr>
                <w:top w:val="nil"/>
                <w:left w:val="nil"/>
                <w:bottom w:val="nil"/>
                <w:right w:val="nil"/>
                <w:between w:val="nil"/>
              </w:pBdr>
              <w:jc w:val="right"/>
              <w:rPr>
                <w:b/>
                <w:color w:val="000000"/>
              </w:rPr>
            </w:pPr>
          </w:p>
        </w:tc>
        <w:tc>
          <w:tcPr>
            <w:tcW w:w="1345" w:type="dxa"/>
            <w:vAlign w:val="bottom"/>
          </w:tcPr>
          <w:p w14:paraId="249938AE" w14:textId="77777777" w:rsidR="008E5DE4" w:rsidRDefault="008E5DE4">
            <w:pPr>
              <w:widowControl w:val="0"/>
              <w:pBdr>
                <w:top w:val="nil"/>
                <w:left w:val="nil"/>
                <w:bottom w:val="nil"/>
                <w:right w:val="nil"/>
                <w:between w:val="nil"/>
              </w:pBdr>
              <w:jc w:val="right"/>
              <w:rPr>
                <w:b/>
                <w:color w:val="000000"/>
              </w:rPr>
            </w:pPr>
          </w:p>
        </w:tc>
        <w:tc>
          <w:tcPr>
            <w:tcW w:w="1260" w:type="dxa"/>
            <w:vAlign w:val="bottom"/>
          </w:tcPr>
          <w:p w14:paraId="252035EB" w14:textId="77777777" w:rsidR="008E5DE4" w:rsidRDefault="008E5DE4">
            <w:pPr>
              <w:widowControl w:val="0"/>
              <w:pBdr>
                <w:top w:val="nil"/>
                <w:left w:val="nil"/>
                <w:bottom w:val="nil"/>
                <w:right w:val="nil"/>
                <w:between w:val="nil"/>
              </w:pBdr>
              <w:jc w:val="right"/>
              <w:rPr>
                <w:b/>
                <w:color w:val="000000"/>
              </w:rPr>
            </w:pPr>
          </w:p>
        </w:tc>
        <w:tc>
          <w:tcPr>
            <w:tcW w:w="1344" w:type="dxa"/>
            <w:vAlign w:val="bottom"/>
          </w:tcPr>
          <w:p w14:paraId="5FC12F84" w14:textId="77777777" w:rsidR="008E5DE4" w:rsidRDefault="008E5DE4">
            <w:pPr>
              <w:widowControl w:val="0"/>
              <w:pBdr>
                <w:top w:val="nil"/>
                <w:left w:val="nil"/>
                <w:bottom w:val="nil"/>
                <w:right w:val="nil"/>
                <w:between w:val="nil"/>
              </w:pBdr>
              <w:jc w:val="right"/>
              <w:rPr>
                <w:b/>
                <w:color w:val="000000"/>
              </w:rPr>
            </w:pPr>
          </w:p>
        </w:tc>
      </w:tr>
      <w:tr w:rsidR="008E5DE4" w14:paraId="52BF6BFD" w14:textId="77777777">
        <w:trPr>
          <w:gridAfter w:val="1"/>
          <w:wAfter w:w="111" w:type="dxa"/>
          <w:cantSplit/>
        </w:trPr>
        <w:tc>
          <w:tcPr>
            <w:tcW w:w="3358" w:type="dxa"/>
            <w:tcBorders>
              <w:bottom w:val="single" w:sz="12" w:space="0" w:color="000000"/>
            </w:tcBorders>
            <w:vAlign w:val="bottom"/>
          </w:tcPr>
          <w:p w14:paraId="314073E5" w14:textId="77777777" w:rsidR="008E5DE4" w:rsidRDefault="00780368">
            <w:pPr>
              <w:widowControl w:val="0"/>
              <w:ind w:left="113" w:right="-57" w:hanging="113"/>
            </w:pPr>
            <w:r>
              <w:t> </w:t>
            </w:r>
          </w:p>
        </w:tc>
        <w:tc>
          <w:tcPr>
            <w:tcW w:w="564" w:type="dxa"/>
            <w:tcBorders>
              <w:bottom w:val="single" w:sz="12" w:space="0" w:color="000000"/>
            </w:tcBorders>
            <w:vAlign w:val="bottom"/>
          </w:tcPr>
          <w:p w14:paraId="10AAF8C7" w14:textId="77777777" w:rsidR="008E5DE4" w:rsidRDefault="008E5DE4">
            <w:pPr>
              <w:widowControl w:val="0"/>
              <w:ind w:left="-57" w:right="-57"/>
              <w:jc w:val="center"/>
            </w:pPr>
          </w:p>
        </w:tc>
        <w:tc>
          <w:tcPr>
            <w:tcW w:w="1345" w:type="dxa"/>
            <w:tcBorders>
              <w:bottom w:val="single" w:sz="12" w:space="0" w:color="000000"/>
            </w:tcBorders>
            <w:vAlign w:val="bottom"/>
          </w:tcPr>
          <w:p w14:paraId="0A16A2F1" w14:textId="77777777" w:rsidR="008E5DE4" w:rsidRDefault="008E5DE4">
            <w:pPr>
              <w:widowControl w:val="0"/>
              <w:pBdr>
                <w:top w:val="nil"/>
                <w:left w:val="nil"/>
                <w:bottom w:val="nil"/>
                <w:right w:val="nil"/>
                <w:between w:val="nil"/>
              </w:pBdr>
              <w:jc w:val="right"/>
              <w:rPr>
                <w:b/>
                <w:color w:val="000000"/>
              </w:rPr>
            </w:pPr>
          </w:p>
        </w:tc>
        <w:tc>
          <w:tcPr>
            <w:tcW w:w="1345" w:type="dxa"/>
            <w:tcBorders>
              <w:bottom w:val="single" w:sz="12" w:space="0" w:color="000000"/>
            </w:tcBorders>
            <w:vAlign w:val="bottom"/>
          </w:tcPr>
          <w:p w14:paraId="2175B751" w14:textId="77777777" w:rsidR="008E5DE4" w:rsidRDefault="008E5DE4">
            <w:pPr>
              <w:widowControl w:val="0"/>
              <w:pBdr>
                <w:top w:val="nil"/>
                <w:left w:val="nil"/>
                <w:bottom w:val="nil"/>
                <w:right w:val="nil"/>
                <w:between w:val="nil"/>
              </w:pBdr>
              <w:jc w:val="right"/>
              <w:rPr>
                <w:b/>
                <w:color w:val="000000"/>
              </w:rPr>
            </w:pPr>
          </w:p>
        </w:tc>
        <w:tc>
          <w:tcPr>
            <w:tcW w:w="1260" w:type="dxa"/>
            <w:tcBorders>
              <w:bottom w:val="single" w:sz="12" w:space="0" w:color="000000"/>
            </w:tcBorders>
            <w:vAlign w:val="bottom"/>
          </w:tcPr>
          <w:p w14:paraId="3C066802" w14:textId="77777777" w:rsidR="008E5DE4" w:rsidRDefault="008E5DE4">
            <w:pPr>
              <w:widowControl w:val="0"/>
              <w:pBdr>
                <w:top w:val="nil"/>
                <w:left w:val="nil"/>
                <w:bottom w:val="nil"/>
                <w:right w:val="nil"/>
                <w:between w:val="nil"/>
              </w:pBdr>
              <w:jc w:val="right"/>
              <w:rPr>
                <w:b/>
                <w:color w:val="000000"/>
              </w:rPr>
            </w:pPr>
          </w:p>
        </w:tc>
        <w:tc>
          <w:tcPr>
            <w:tcW w:w="1344" w:type="dxa"/>
            <w:tcBorders>
              <w:bottom w:val="single" w:sz="12" w:space="0" w:color="000000"/>
            </w:tcBorders>
            <w:vAlign w:val="bottom"/>
          </w:tcPr>
          <w:p w14:paraId="5CD0D670" w14:textId="77777777" w:rsidR="008E5DE4" w:rsidRDefault="008E5DE4">
            <w:pPr>
              <w:widowControl w:val="0"/>
              <w:pBdr>
                <w:top w:val="nil"/>
                <w:left w:val="nil"/>
                <w:bottom w:val="nil"/>
                <w:right w:val="nil"/>
                <w:between w:val="nil"/>
              </w:pBdr>
              <w:jc w:val="right"/>
              <w:rPr>
                <w:b/>
                <w:color w:val="000000"/>
              </w:rPr>
            </w:pPr>
          </w:p>
        </w:tc>
      </w:tr>
    </w:tbl>
    <w:p w14:paraId="149EB8EE"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14</w:t>
      </w:r>
      <w:r>
        <w:rPr>
          <w:b/>
          <w:color w:val="000000"/>
          <w:sz w:val="20"/>
          <w:szCs w:val="20"/>
        </w:rPr>
        <w:tab/>
        <w:t>Investments in Associates and Joint Ventures accounted for using the equity method (Continued)</w:t>
      </w:r>
    </w:p>
    <w:p w14:paraId="28294B2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Group’s interests in its principal associates and joint ventures were as follows:</w:t>
      </w:r>
    </w:p>
    <w:tbl>
      <w:tblPr>
        <w:tblStyle w:val="afff7"/>
        <w:tblW w:w="9413" w:type="dxa"/>
        <w:tblLayout w:type="fixed"/>
        <w:tblLook w:val="0000" w:firstRow="0" w:lastRow="0" w:firstColumn="0" w:lastColumn="0" w:noHBand="0" w:noVBand="0"/>
      </w:tblPr>
      <w:tblGrid>
        <w:gridCol w:w="3969"/>
        <w:gridCol w:w="1361"/>
        <w:gridCol w:w="1361"/>
        <w:gridCol w:w="1361"/>
        <w:gridCol w:w="1361"/>
      </w:tblGrid>
      <w:tr w:rsidR="008E5DE4" w14:paraId="60009F03" w14:textId="77777777">
        <w:trPr>
          <w:cantSplit/>
        </w:trPr>
        <w:tc>
          <w:tcPr>
            <w:tcW w:w="3969" w:type="dxa"/>
            <w:tcBorders>
              <w:bottom w:val="single" w:sz="4" w:space="0" w:color="000000"/>
            </w:tcBorders>
            <w:vAlign w:val="bottom"/>
          </w:tcPr>
          <w:p w14:paraId="53348542" w14:textId="77777777" w:rsidR="008E5DE4" w:rsidRDefault="00780368">
            <w:pPr>
              <w:widowControl w:val="0"/>
              <w:pBdr>
                <w:top w:val="nil"/>
                <w:left w:val="nil"/>
                <w:bottom w:val="nil"/>
                <w:right w:val="nil"/>
                <w:between w:val="nil"/>
              </w:pBdr>
              <w:ind w:left="113" w:right="-57" w:hanging="113"/>
              <w:rPr>
                <w:b/>
                <w:color w:val="000000"/>
              </w:rPr>
            </w:pPr>
            <w:r>
              <w:rPr>
                <w:b/>
                <w:color w:val="000000"/>
              </w:rPr>
              <w:t>Name</w:t>
            </w:r>
          </w:p>
        </w:tc>
        <w:tc>
          <w:tcPr>
            <w:tcW w:w="1361" w:type="dxa"/>
            <w:tcBorders>
              <w:bottom w:val="single" w:sz="4" w:space="0" w:color="000000"/>
            </w:tcBorders>
          </w:tcPr>
          <w:p w14:paraId="20E9255F"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 ownership interest </w:t>
            </w:r>
          </w:p>
          <w:p w14:paraId="2B4B72AC" w14:textId="77777777" w:rsidR="008E5DE4" w:rsidRDefault="00780368">
            <w:pPr>
              <w:widowControl w:val="0"/>
              <w:pBdr>
                <w:top w:val="nil"/>
                <w:left w:val="nil"/>
                <w:bottom w:val="nil"/>
                <w:right w:val="nil"/>
                <w:between w:val="nil"/>
              </w:pBdr>
              <w:ind w:left="-113"/>
              <w:jc w:val="right"/>
              <w:rPr>
                <w:b/>
                <w:color w:val="000000"/>
              </w:rPr>
            </w:pPr>
            <w:r>
              <w:rPr>
                <w:b/>
                <w:color w:val="000000"/>
              </w:rPr>
              <w:t>held (% of voting rights if different)</w:t>
            </w:r>
          </w:p>
        </w:tc>
        <w:tc>
          <w:tcPr>
            <w:tcW w:w="1361" w:type="dxa"/>
            <w:tcBorders>
              <w:bottom w:val="single" w:sz="4" w:space="0" w:color="000000"/>
            </w:tcBorders>
          </w:tcPr>
          <w:p w14:paraId="087AFD11" w14:textId="77777777" w:rsidR="008E5DE4" w:rsidRDefault="00780368">
            <w:pPr>
              <w:widowControl w:val="0"/>
              <w:pBdr>
                <w:top w:val="nil"/>
                <w:left w:val="nil"/>
                <w:bottom w:val="nil"/>
                <w:right w:val="nil"/>
                <w:between w:val="nil"/>
              </w:pBdr>
              <w:ind w:left="-113"/>
              <w:jc w:val="right"/>
              <w:rPr>
                <w:b/>
                <w:color w:val="000000"/>
              </w:rPr>
            </w:pPr>
            <w:r>
              <w:rPr>
                <w:b/>
                <w:color w:val="000000"/>
              </w:rPr>
              <w:t>Place of business (country of</w:t>
            </w:r>
          </w:p>
          <w:p w14:paraId="714B1AB6" w14:textId="77777777" w:rsidR="008E5DE4" w:rsidRDefault="00780368">
            <w:pPr>
              <w:widowControl w:val="0"/>
              <w:pBdr>
                <w:top w:val="nil"/>
                <w:left w:val="nil"/>
                <w:bottom w:val="nil"/>
                <w:right w:val="nil"/>
                <w:between w:val="nil"/>
              </w:pBdr>
              <w:ind w:left="-113"/>
              <w:jc w:val="right"/>
              <w:rPr>
                <w:b/>
                <w:color w:val="000000"/>
              </w:rPr>
            </w:pPr>
            <w:r>
              <w:rPr>
                <w:b/>
                <w:color w:val="000000"/>
              </w:rPr>
              <w:t>incorporation if different)</w:t>
            </w:r>
          </w:p>
        </w:tc>
        <w:tc>
          <w:tcPr>
            <w:tcW w:w="1361" w:type="dxa"/>
            <w:tcBorders>
              <w:bottom w:val="single" w:sz="4" w:space="0" w:color="000000"/>
            </w:tcBorders>
          </w:tcPr>
          <w:p w14:paraId="694CB86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 ownership interest </w:t>
            </w:r>
          </w:p>
          <w:p w14:paraId="3F4AD355" w14:textId="77777777" w:rsidR="008E5DE4" w:rsidRDefault="00780368">
            <w:pPr>
              <w:widowControl w:val="0"/>
              <w:pBdr>
                <w:top w:val="nil"/>
                <w:left w:val="nil"/>
                <w:bottom w:val="nil"/>
                <w:right w:val="nil"/>
                <w:between w:val="nil"/>
              </w:pBdr>
              <w:ind w:left="-113"/>
              <w:jc w:val="right"/>
              <w:rPr>
                <w:b/>
                <w:color w:val="000000"/>
              </w:rPr>
            </w:pPr>
            <w:r>
              <w:rPr>
                <w:b/>
                <w:color w:val="000000"/>
              </w:rPr>
              <w:t>held (% of voting rights if different)</w:t>
            </w:r>
          </w:p>
        </w:tc>
        <w:tc>
          <w:tcPr>
            <w:tcW w:w="1361" w:type="dxa"/>
            <w:tcBorders>
              <w:bottom w:val="single" w:sz="4" w:space="0" w:color="000000"/>
            </w:tcBorders>
          </w:tcPr>
          <w:p w14:paraId="349A3926" w14:textId="77777777" w:rsidR="008E5DE4" w:rsidRDefault="00780368">
            <w:pPr>
              <w:widowControl w:val="0"/>
              <w:pBdr>
                <w:top w:val="nil"/>
                <w:left w:val="nil"/>
                <w:bottom w:val="nil"/>
                <w:right w:val="nil"/>
                <w:between w:val="nil"/>
              </w:pBdr>
              <w:ind w:left="-113"/>
              <w:jc w:val="right"/>
              <w:rPr>
                <w:b/>
                <w:color w:val="000000"/>
              </w:rPr>
            </w:pPr>
            <w:r>
              <w:rPr>
                <w:b/>
                <w:color w:val="000000"/>
              </w:rPr>
              <w:t>Place of business (country of</w:t>
            </w:r>
          </w:p>
          <w:p w14:paraId="1B8F3568" w14:textId="77777777" w:rsidR="008E5DE4" w:rsidRDefault="00780368">
            <w:pPr>
              <w:widowControl w:val="0"/>
              <w:pBdr>
                <w:top w:val="nil"/>
                <w:left w:val="nil"/>
                <w:bottom w:val="nil"/>
                <w:right w:val="nil"/>
                <w:between w:val="nil"/>
              </w:pBdr>
              <w:ind w:left="-113"/>
              <w:jc w:val="right"/>
              <w:rPr>
                <w:b/>
                <w:color w:val="000000"/>
              </w:rPr>
            </w:pPr>
            <w:r>
              <w:rPr>
                <w:b/>
                <w:color w:val="000000"/>
              </w:rPr>
              <w:t>incorporation if different)</w:t>
            </w:r>
          </w:p>
        </w:tc>
      </w:tr>
      <w:tr w:rsidR="008E5DE4" w14:paraId="15F4138E" w14:textId="77777777">
        <w:trPr>
          <w:cantSplit/>
        </w:trPr>
        <w:tc>
          <w:tcPr>
            <w:tcW w:w="3969" w:type="dxa"/>
            <w:vAlign w:val="bottom"/>
          </w:tcPr>
          <w:p w14:paraId="12E113D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61" w:type="dxa"/>
            <w:vAlign w:val="bottom"/>
          </w:tcPr>
          <w:p w14:paraId="5FC26868"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402C470E"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7DAEC5CA"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34E6D131" w14:textId="77777777" w:rsidR="008E5DE4" w:rsidRDefault="008E5DE4">
            <w:pPr>
              <w:widowControl w:val="0"/>
              <w:pBdr>
                <w:top w:val="nil"/>
                <w:left w:val="nil"/>
                <w:bottom w:val="nil"/>
                <w:right w:val="nil"/>
                <w:between w:val="nil"/>
              </w:pBdr>
              <w:jc w:val="right"/>
              <w:rPr>
                <w:color w:val="000000"/>
              </w:rPr>
            </w:pPr>
          </w:p>
        </w:tc>
      </w:tr>
      <w:tr w:rsidR="008E5DE4" w14:paraId="1CC42F8E" w14:textId="77777777">
        <w:trPr>
          <w:cantSplit/>
        </w:trPr>
        <w:tc>
          <w:tcPr>
            <w:tcW w:w="3969" w:type="dxa"/>
            <w:vAlign w:val="bottom"/>
          </w:tcPr>
          <w:p w14:paraId="4F9EDE64"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Associates</w:t>
            </w:r>
          </w:p>
        </w:tc>
        <w:tc>
          <w:tcPr>
            <w:tcW w:w="1361" w:type="dxa"/>
            <w:vAlign w:val="bottom"/>
          </w:tcPr>
          <w:p w14:paraId="1CC677D3"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04EF96CC"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7678CBF9"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133614AF" w14:textId="77777777" w:rsidR="008E5DE4" w:rsidRDefault="008E5DE4">
            <w:pPr>
              <w:widowControl w:val="0"/>
              <w:pBdr>
                <w:top w:val="nil"/>
                <w:left w:val="nil"/>
                <w:bottom w:val="nil"/>
                <w:right w:val="nil"/>
                <w:between w:val="nil"/>
              </w:pBdr>
              <w:jc w:val="right"/>
              <w:rPr>
                <w:color w:val="000000"/>
              </w:rPr>
            </w:pPr>
          </w:p>
        </w:tc>
      </w:tr>
      <w:tr w:rsidR="008E5DE4" w14:paraId="1F232678" w14:textId="77777777">
        <w:trPr>
          <w:cantSplit/>
        </w:trPr>
        <w:tc>
          <w:tcPr>
            <w:tcW w:w="3969" w:type="dxa"/>
            <w:vAlign w:val="bottom"/>
          </w:tcPr>
          <w:p w14:paraId="2D6113FC" w14:textId="77777777" w:rsidR="008E5DE4" w:rsidRPr="00160220" w:rsidRDefault="00780368">
            <w:pPr>
              <w:widowControl w:val="0"/>
              <w:pBdr>
                <w:top w:val="nil"/>
                <w:left w:val="nil"/>
                <w:bottom w:val="nil"/>
                <w:right w:val="nil"/>
                <w:between w:val="nil"/>
              </w:pBdr>
              <w:ind w:left="113" w:right="-57" w:hanging="113"/>
              <w:rPr>
                <w:color w:val="0000FF"/>
              </w:rPr>
            </w:pPr>
            <w:r w:rsidRPr="00160220">
              <w:rPr>
                <w:color w:val="0000FF"/>
              </w:rPr>
              <w:t>[Associate X]</w:t>
            </w:r>
          </w:p>
        </w:tc>
        <w:tc>
          <w:tcPr>
            <w:tcW w:w="1361" w:type="dxa"/>
            <w:vAlign w:val="bottom"/>
          </w:tcPr>
          <w:p w14:paraId="00486346"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741514CC"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67CBC1EE"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0EDBBE60" w14:textId="77777777" w:rsidR="008E5DE4" w:rsidRDefault="008E5DE4">
            <w:pPr>
              <w:widowControl w:val="0"/>
              <w:pBdr>
                <w:top w:val="nil"/>
                <w:left w:val="nil"/>
                <w:bottom w:val="nil"/>
                <w:right w:val="nil"/>
                <w:between w:val="nil"/>
              </w:pBdr>
              <w:jc w:val="right"/>
              <w:rPr>
                <w:color w:val="000000"/>
              </w:rPr>
            </w:pPr>
          </w:p>
        </w:tc>
      </w:tr>
      <w:tr w:rsidR="008E5DE4" w14:paraId="17FD41E4" w14:textId="77777777">
        <w:trPr>
          <w:cantSplit/>
        </w:trPr>
        <w:tc>
          <w:tcPr>
            <w:tcW w:w="3969" w:type="dxa"/>
            <w:vAlign w:val="bottom"/>
          </w:tcPr>
          <w:p w14:paraId="228788E9" w14:textId="77777777" w:rsidR="008E5DE4" w:rsidRPr="00160220" w:rsidRDefault="00780368">
            <w:pPr>
              <w:widowControl w:val="0"/>
              <w:pBdr>
                <w:top w:val="nil"/>
                <w:left w:val="nil"/>
                <w:bottom w:val="nil"/>
                <w:right w:val="nil"/>
                <w:between w:val="nil"/>
              </w:pBdr>
              <w:ind w:left="113" w:right="-57" w:hanging="113"/>
              <w:rPr>
                <w:color w:val="0000FF"/>
              </w:rPr>
            </w:pPr>
            <w:r w:rsidRPr="00160220">
              <w:rPr>
                <w:color w:val="0000FF"/>
              </w:rPr>
              <w:t>[Associate Y]</w:t>
            </w:r>
          </w:p>
        </w:tc>
        <w:tc>
          <w:tcPr>
            <w:tcW w:w="1361" w:type="dxa"/>
            <w:vAlign w:val="bottom"/>
          </w:tcPr>
          <w:p w14:paraId="449C18C7"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336F64BC"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53783CFD"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46C894B2" w14:textId="77777777" w:rsidR="008E5DE4" w:rsidRDefault="008E5DE4">
            <w:pPr>
              <w:widowControl w:val="0"/>
              <w:pBdr>
                <w:top w:val="nil"/>
                <w:left w:val="nil"/>
                <w:bottom w:val="nil"/>
                <w:right w:val="nil"/>
                <w:between w:val="nil"/>
              </w:pBdr>
              <w:jc w:val="right"/>
              <w:rPr>
                <w:b/>
                <w:color w:val="000000"/>
              </w:rPr>
            </w:pPr>
          </w:p>
        </w:tc>
      </w:tr>
      <w:tr w:rsidR="008E5DE4" w14:paraId="06CACD16" w14:textId="77777777">
        <w:trPr>
          <w:cantSplit/>
        </w:trPr>
        <w:tc>
          <w:tcPr>
            <w:tcW w:w="3969" w:type="dxa"/>
            <w:vAlign w:val="bottom"/>
          </w:tcPr>
          <w:p w14:paraId="69D57768"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61" w:type="dxa"/>
            <w:vAlign w:val="bottom"/>
          </w:tcPr>
          <w:p w14:paraId="3D52B7BC"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295F70CE"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4D774994"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744E9C30" w14:textId="77777777" w:rsidR="008E5DE4" w:rsidRDefault="008E5DE4">
            <w:pPr>
              <w:widowControl w:val="0"/>
              <w:pBdr>
                <w:top w:val="nil"/>
                <w:left w:val="nil"/>
                <w:bottom w:val="nil"/>
                <w:right w:val="nil"/>
                <w:between w:val="nil"/>
              </w:pBdr>
              <w:jc w:val="right"/>
              <w:rPr>
                <w:b/>
                <w:color w:val="000000"/>
              </w:rPr>
            </w:pPr>
          </w:p>
        </w:tc>
      </w:tr>
      <w:tr w:rsidR="008E5DE4" w14:paraId="4FCE9103" w14:textId="77777777">
        <w:trPr>
          <w:cantSplit/>
        </w:trPr>
        <w:tc>
          <w:tcPr>
            <w:tcW w:w="3969" w:type="dxa"/>
            <w:vAlign w:val="bottom"/>
          </w:tcPr>
          <w:p w14:paraId="2D2A6AFB" w14:textId="77777777" w:rsidR="008E5DE4" w:rsidRDefault="00780368">
            <w:pPr>
              <w:widowControl w:val="0"/>
              <w:pBdr>
                <w:top w:val="nil"/>
                <w:left w:val="nil"/>
                <w:bottom w:val="nil"/>
                <w:right w:val="nil"/>
                <w:between w:val="nil"/>
              </w:pBdr>
              <w:ind w:left="113" w:right="-57" w:hanging="113"/>
              <w:rPr>
                <w:color w:val="000000"/>
              </w:rPr>
            </w:pPr>
            <w:r>
              <w:rPr>
                <w:b/>
                <w:i/>
                <w:color w:val="000000"/>
              </w:rPr>
              <w:t>Joint ventures</w:t>
            </w:r>
          </w:p>
        </w:tc>
        <w:tc>
          <w:tcPr>
            <w:tcW w:w="1361" w:type="dxa"/>
            <w:vAlign w:val="bottom"/>
          </w:tcPr>
          <w:p w14:paraId="4F56FC8B"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572346C6"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7F5EF171"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7861823F" w14:textId="77777777" w:rsidR="008E5DE4" w:rsidRDefault="008E5DE4">
            <w:pPr>
              <w:widowControl w:val="0"/>
              <w:pBdr>
                <w:top w:val="nil"/>
                <w:left w:val="nil"/>
                <w:bottom w:val="nil"/>
                <w:right w:val="nil"/>
                <w:between w:val="nil"/>
              </w:pBdr>
              <w:jc w:val="right"/>
              <w:rPr>
                <w:b/>
                <w:color w:val="000000"/>
              </w:rPr>
            </w:pPr>
          </w:p>
        </w:tc>
      </w:tr>
      <w:tr w:rsidR="008E5DE4" w14:paraId="11287AA6" w14:textId="77777777">
        <w:trPr>
          <w:cantSplit/>
        </w:trPr>
        <w:tc>
          <w:tcPr>
            <w:tcW w:w="3969" w:type="dxa"/>
            <w:vAlign w:val="bottom"/>
          </w:tcPr>
          <w:p w14:paraId="429E101C" w14:textId="77777777" w:rsidR="008E5DE4" w:rsidRPr="00160220" w:rsidRDefault="00780368">
            <w:pPr>
              <w:widowControl w:val="0"/>
              <w:pBdr>
                <w:top w:val="nil"/>
                <w:left w:val="nil"/>
                <w:bottom w:val="nil"/>
                <w:right w:val="nil"/>
                <w:between w:val="nil"/>
              </w:pBdr>
              <w:ind w:left="113" w:right="-57" w:hanging="113"/>
              <w:rPr>
                <w:color w:val="0000FF"/>
              </w:rPr>
            </w:pPr>
            <w:r w:rsidRPr="00160220">
              <w:rPr>
                <w:color w:val="0000FF"/>
              </w:rPr>
              <w:t>[Joint Venture X]</w:t>
            </w:r>
          </w:p>
        </w:tc>
        <w:tc>
          <w:tcPr>
            <w:tcW w:w="1361" w:type="dxa"/>
            <w:vAlign w:val="bottom"/>
          </w:tcPr>
          <w:p w14:paraId="44DCCADA"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655EEE60"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05EBC945"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4195213A" w14:textId="77777777" w:rsidR="008E5DE4" w:rsidRDefault="008E5DE4">
            <w:pPr>
              <w:widowControl w:val="0"/>
              <w:pBdr>
                <w:top w:val="nil"/>
                <w:left w:val="nil"/>
                <w:bottom w:val="nil"/>
                <w:right w:val="nil"/>
                <w:between w:val="nil"/>
              </w:pBdr>
              <w:jc w:val="right"/>
              <w:rPr>
                <w:b/>
                <w:color w:val="000000"/>
              </w:rPr>
            </w:pPr>
          </w:p>
        </w:tc>
      </w:tr>
      <w:tr w:rsidR="008E5DE4" w14:paraId="64330C6C" w14:textId="77777777">
        <w:trPr>
          <w:cantSplit/>
        </w:trPr>
        <w:tc>
          <w:tcPr>
            <w:tcW w:w="3969" w:type="dxa"/>
            <w:vAlign w:val="bottom"/>
          </w:tcPr>
          <w:p w14:paraId="58F5FE35" w14:textId="77777777" w:rsidR="008E5DE4" w:rsidRPr="00160220" w:rsidRDefault="00780368">
            <w:pPr>
              <w:widowControl w:val="0"/>
              <w:pBdr>
                <w:top w:val="nil"/>
                <w:left w:val="nil"/>
                <w:bottom w:val="nil"/>
                <w:right w:val="nil"/>
                <w:between w:val="nil"/>
              </w:pBdr>
              <w:ind w:left="113" w:right="-57" w:hanging="113"/>
              <w:rPr>
                <w:color w:val="0000FF"/>
              </w:rPr>
            </w:pPr>
            <w:r w:rsidRPr="00160220">
              <w:rPr>
                <w:color w:val="0000FF"/>
              </w:rPr>
              <w:t>[Joint Venture Y]</w:t>
            </w:r>
          </w:p>
        </w:tc>
        <w:tc>
          <w:tcPr>
            <w:tcW w:w="1361" w:type="dxa"/>
            <w:vAlign w:val="bottom"/>
          </w:tcPr>
          <w:p w14:paraId="7026112A"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7F6D7742"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25851AAF"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7E5D8137" w14:textId="77777777" w:rsidR="008E5DE4" w:rsidRDefault="008E5DE4">
            <w:pPr>
              <w:widowControl w:val="0"/>
              <w:pBdr>
                <w:top w:val="nil"/>
                <w:left w:val="nil"/>
                <w:bottom w:val="nil"/>
                <w:right w:val="nil"/>
                <w:between w:val="nil"/>
              </w:pBdr>
              <w:jc w:val="right"/>
              <w:rPr>
                <w:b/>
                <w:color w:val="000000"/>
              </w:rPr>
            </w:pPr>
          </w:p>
        </w:tc>
      </w:tr>
      <w:tr w:rsidR="008E5DE4" w14:paraId="68268738" w14:textId="77777777">
        <w:trPr>
          <w:cantSplit/>
        </w:trPr>
        <w:tc>
          <w:tcPr>
            <w:tcW w:w="3969" w:type="dxa"/>
            <w:tcBorders>
              <w:bottom w:val="single" w:sz="4" w:space="0" w:color="000000"/>
            </w:tcBorders>
            <w:vAlign w:val="bottom"/>
          </w:tcPr>
          <w:p w14:paraId="15706560"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61" w:type="dxa"/>
            <w:tcBorders>
              <w:bottom w:val="single" w:sz="4" w:space="0" w:color="000000"/>
            </w:tcBorders>
            <w:vAlign w:val="bottom"/>
          </w:tcPr>
          <w:p w14:paraId="13EDDB0F"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26F9975B"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50304DC8"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6824D5AF" w14:textId="77777777" w:rsidR="008E5DE4" w:rsidRDefault="008E5DE4">
            <w:pPr>
              <w:widowControl w:val="0"/>
              <w:pBdr>
                <w:top w:val="nil"/>
                <w:left w:val="nil"/>
                <w:bottom w:val="nil"/>
                <w:right w:val="nil"/>
                <w:between w:val="nil"/>
              </w:pBdr>
              <w:jc w:val="right"/>
              <w:rPr>
                <w:color w:val="000000"/>
              </w:rPr>
            </w:pPr>
          </w:p>
        </w:tc>
      </w:tr>
    </w:tbl>
    <w:p w14:paraId="0C1808A9" w14:textId="4310023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Summarised financial information of each material associate and joint venture is as follows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w:t>
      </w:r>
    </w:p>
    <w:tbl>
      <w:tblPr>
        <w:tblStyle w:val="afff8"/>
        <w:tblW w:w="9412" w:type="dxa"/>
        <w:tblLayout w:type="fixed"/>
        <w:tblLook w:val="0000" w:firstRow="0" w:lastRow="0" w:firstColumn="0" w:lastColumn="0" w:noHBand="0" w:noVBand="0"/>
      </w:tblPr>
      <w:tblGrid>
        <w:gridCol w:w="3742"/>
        <w:gridCol w:w="1134"/>
        <w:gridCol w:w="1134"/>
        <w:gridCol w:w="1134"/>
        <w:gridCol w:w="1134"/>
        <w:gridCol w:w="1134"/>
      </w:tblGrid>
      <w:tr w:rsidR="008E5DE4" w14:paraId="709397C2" w14:textId="77777777">
        <w:trPr>
          <w:cantSplit/>
        </w:trPr>
        <w:tc>
          <w:tcPr>
            <w:tcW w:w="3742" w:type="dxa"/>
            <w:tcBorders>
              <w:bottom w:val="single" w:sz="4" w:space="0" w:color="000000"/>
            </w:tcBorders>
            <w:vAlign w:val="bottom"/>
          </w:tcPr>
          <w:p w14:paraId="1110F491"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528328DB" w14:textId="77777777" w:rsidR="008E5DE4" w:rsidRDefault="00780368">
            <w:pPr>
              <w:widowControl w:val="0"/>
              <w:pBdr>
                <w:top w:val="nil"/>
                <w:left w:val="nil"/>
                <w:bottom w:val="nil"/>
                <w:right w:val="nil"/>
                <w:between w:val="nil"/>
              </w:pBdr>
              <w:ind w:left="-113"/>
              <w:jc w:val="right"/>
              <w:rPr>
                <w:color w:val="000000"/>
              </w:rPr>
            </w:pPr>
            <w:r>
              <w:rPr>
                <w:b/>
                <w:color w:val="000000"/>
              </w:rPr>
              <w:t xml:space="preserve">Associate </w:t>
            </w:r>
            <w:r w:rsidRPr="00160220">
              <w:rPr>
                <w:b/>
                <w:color w:val="0000FF"/>
              </w:rPr>
              <w:t>X</w:t>
            </w:r>
          </w:p>
        </w:tc>
        <w:tc>
          <w:tcPr>
            <w:tcW w:w="1134" w:type="dxa"/>
            <w:tcBorders>
              <w:bottom w:val="single" w:sz="4" w:space="0" w:color="000000"/>
            </w:tcBorders>
          </w:tcPr>
          <w:p w14:paraId="0CC32CA8" w14:textId="77777777" w:rsidR="008E5DE4" w:rsidRDefault="00780368">
            <w:pPr>
              <w:widowControl w:val="0"/>
              <w:pBdr>
                <w:top w:val="nil"/>
                <w:left w:val="nil"/>
                <w:bottom w:val="nil"/>
                <w:right w:val="nil"/>
                <w:between w:val="nil"/>
              </w:pBdr>
              <w:ind w:left="-113"/>
              <w:jc w:val="right"/>
              <w:rPr>
                <w:color w:val="000000"/>
              </w:rPr>
            </w:pPr>
            <w:r>
              <w:rPr>
                <w:b/>
                <w:color w:val="000000"/>
              </w:rPr>
              <w:t xml:space="preserve">Joint Venture </w:t>
            </w:r>
            <w:r w:rsidRPr="00160220">
              <w:rPr>
                <w:b/>
                <w:color w:val="0000FF"/>
              </w:rPr>
              <w:t>Y</w:t>
            </w:r>
          </w:p>
        </w:tc>
        <w:tc>
          <w:tcPr>
            <w:tcW w:w="1134" w:type="dxa"/>
            <w:tcBorders>
              <w:bottom w:val="single" w:sz="4" w:space="0" w:color="000000"/>
            </w:tcBorders>
          </w:tcPr>
          <w:p w14:paraId="3694ED5E" w14:textId="77777777" w:rsidR="008E5DE4" w:rsidRDefault="00780368">
            <w:pPr>
              <w:widowControl w:val="0"/>
              <w:pBdr>
                <w:top w:val="nil"/>
                <w:left w:val="nil"/>
                <w:bottom w:val="nil"/>
                <w:right w:val="nil"/>
                <w:between w:val="nil"/>
              </w:pBdr>
              <w:ind w:left="-113"/>
              <w:jc w:val="right"/>
              <w:rPr>
                <w:color w:val="000000"/>
              </w:rPr>
            </w:pPr>
            <w:r>
              <w:rPr>
                <w:b/>
                <w:color w:val="000000"/>
              </w:rPr>
              <w:t>Other individually immaterial associates</w:t>
            </w:r>
          </w:p>
        </w:tc>
        <w:tc>
          <w:tcPr>
            <w:tcW w:w="1134" w:type="dxa"/>
            <w:tcBorders>
              <w:bottom w:val="single" w:sz="4" w:space="0" w:color="000000"/>
            </w:tcBorders>
          </w:tcPr>
          <w:p w14:paraId="0A62FBCE" w14:textId="77777777" w:rsidR="008E5DE4" w:rsidRDefault="00780368">
            <w:pPr>
              <w:widowControl w:val="0"/>
              <w:pBdr>
                <w:top w:val="nil"/>
                <w:left w:val="nil"/>
                <w:bottom w:val="nil"/>
                <w:right w:val="nil"/>
                <w:between w:val="nil"/>
              </w:pBdr>
              <w:ind w:left="-113"/>
              <w:jc w:val="right"/>
              <w:rPr>
                <w:b/>
                <w:color w:val="000000"/>
              </w:rPr>
            </w:pPr>
            <w:r>
              <w:rPr>
                <w:b/>
                <w:color w:val="000000"/>
              </w:rPr>
              <w:t>Other individually immaterial joint ventures</w:t>
            </w:r>
          </w:p>
        </w:tc>
        <w:tc>
          <w:tcPr>
            <w:tcW w:w="1134" w:type="dxa"/>
            <w:tcBorders>
              <w:bottom w:val="single" w:sz="4" w:space="0" w:color="000000"/>
            </w:tcBorders>
          </w:tcPr>
          <w:p w14:paraId="1262BA59" w14:textId="77777777" w:rsidR="008E5DE4" w:rsidRDefault="00780368">
            <w:pPr>
              <w:widowControl w:val="0"/>
              <w:pBdr>
                <w:top w:val="nil"/>
                <w:left w:val="nil"/>
                <w:bottom w:val="nil"/>
                <w:right w:val="nil"/>
                <w:between w:val="nil"/>
              </w:pBdr>
              <w:ind w:left="-113"/>
              <w:jc w:val="right"/>
              <w:rPr>
                <w:color w:val="000000"/>
              </w:rPr>
            </w:pPr>
            <w:r>
              <w:rPr>
                <w:b/>
                <w:color w:val="000000"/>
              </w:rPr>
              <w:t>Total associates and joint ventures</w:t>
            </w:r>
          </w:p>
        </w:tc>
      </w:tr>
      <w:tr w:rsidR="008E5DE4" w14:paraId="5C525C8A" w14:textId="77777777">
        <w:trPr>
          <w:cantSplit/>
        </w:trPr>
        <w:tc>
          <w:tcPr>
            <w:tcW w:w="3742" w:type="dxa"/>
            <w:tcBorders>
              <w:top w:val="single" w:sz="4" w:space="0" w:color="000000"/>
            </w:tcBorders>
            <w:vAlign w:val="bottom"/>
          </w:tcPr>
          <w:p w14:paraId="6931ECDA" w14:textId="77777777" w:rsidR="008E5DE4" w:rsidRDefault="00780368">
            <w:pPr>
              <w:widowControl w:val="0"/>
              <w:ind w:left="113" w:right="-57" w:hanging="113"/>
            </w:pPr>
            <w:r>
              <w:t> </w:t>
            </w:r>
          </w:p>
        </w:tc>
        <w:tc>
          <w:tcPr>
            <w:tcW w:w="1134" w:type="dxa"/>
            <w:tcBorders>
              <w:top w:val="single" w:sz="4" w:space="0" w:color="000000"/>
            </w:tcBorders>
            <w:vAlign w:val="bottom"/>
          </w:tcPr>
          <w:p w14:paraId="3B585F4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84D13B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FF95DC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C8F1AB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8FFE720" w14:textId="77777777" w:rsidR="008E5DE4" w:rsidRDefault="008E5DE4">
            <w:pPr>
              <w:widowControl w:val="0"/>
              <w:pBdr>
                <w:top w:val="nil"/>
                <w:left w:val="nil"/>
                <w:bottom w:val="nil"/>
                <w:right w:val="nil"/>
                <w:between w:val="nil"/>
              </w:pBdr>
              <w:jc w:val="right"/>
              <w:rPr>
                <w:color w:val="000000"/>
              </w:rPr>
            </w:pPr>
          </w:p>
        </w:tc>
      </w:tr>
      <w:tr w:rsidR="008E5DE4" w14:paraId="005BA476" w14:textId="77777777">
        <w:trPr>
          <w:cantSplit/>
        </w:trPr>
        <w:tc>
          <w:tcPr>
            <w:tcW w:w="3742" w:type="dxa"/>
            <w:vAlign w:val="bottom"/>
          </w:tcPr>
          <w:p w14:paraId="5EB4F086" w14:textId="77777777" w:rsidR="008E5DE4" w:rsidRDefault="00780368">
            <w:pPr>
              <w:widowControl w:val="0"/>
              <w:pBdr>
                <w:top w:val="nil"/>
                <w:left w:val="nil"/>
                <w:bottom w:val="nil"/>
                <w:right w:val="nil"/>
                <w:between w:val="nil"/>
              </w:pBdr>
              <w:ind w:left="113" w:right="-57" w:hanging="113"/>
              <w:rPr>
                <w:color w:val="000000"/>
              </w:rPr>
            </w:pPr>
            <w:r>
              <w:rPr>
                <w:color w:val="000000"/>
              </w:rPr>
              <w:t>Current assets</w:t>
            </w:r>
          </w:p>
        </w:tc>
        <w:tc>
          <w:tcPr>
            <w:tcW w:w="1134" w:type="dxa"/>
            <w:vAlign w:val="bottom"/>
          </w:tcPr>
          <w:p w14:paraId="5E7C2F14"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5D26E968"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38D51E23"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62F1F902"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77EAA8D3" w14:textId="77777777" w:rsidR="008E5DE4" w:rsidRDefault="008E5DE4">
            <w:pPr>
              <w:widowControl w:val="0"/>
              <w:pBdr>
                <w:top w:val="nil"/>
                <w:left w:val="nil"/>
                <w:bottom w:val="nil"/>
                <w:right w:val="nil"/>
                <w:between w:val="nil"/>
              </w:pBdr>
              <w:jc w:val="right"/>
              <w:rPr>
                <w:b/>
                <w:color w:val="000000"/>
              </w:rPr>
            </w:pPr>
          </w:p>
        </w:tc>
      </w:tr>
      <w:tr w:rsidR="008E5DE4" w14:paraId="3C331BD5" w14:textId="77777777">
        <w:trPr>
          <w:cantSplit/>
        </w:trPr>
        <w:tc>
          <w:tcPr>
            <w:tcW w:w="3742" w:type="dxa"/>
            <w:vAlign w:val="bottom"/>
          </w:tcPr>
          <w:p w14:paraId="56C0F571"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assets</w:t>
            </w:r>
          </w:p>
        </w:tc>
        <w:tc>
          <w:tcPr>
            <w:tcW w:w="1134" w:type="dxa"/>
            <w:vAlign w:val="bottom"/>
          </w:tcPr>
          <w:p w14:paraId="4394E13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9007A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D82F00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340271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F29A887" w14:textId="77777777" w:rsidR="008E5DE4" w:rsidRDefault="008E5DE4">
            <w:pPr>
              <w:widowControl w:val="0"/>
              <w:pBdr>
                <w:top w:val="nil"/>
                <w:left w:val="nil"/>
                <w:bottom w:val="nil"/>
                <w:right w:val="nil"/>
                <w:between w:val="nil"/>
              </w:pBdr>
              <w:jc w:val="right"/>
              <w:rPr>
                <w:color w:val="000000"/>
              </w:rPr>
            </w:pPr>
          </w:p>
        </w:tc>
      </w:tr>
      <w:tr w:rsidR="008E5DE4" w14:paraId="182FD506" w14:textId="77777777">
        <w:trPr>
          <w:cantSplit/>
        </w:trPr>
        <w:tc>
          <w:tcPr>
            <w:tcW w:w="3742" w:type="dxa"/>
            <w:vAlign w:val="bottom"/>
          </w:tcPr>
          <w:p w14:paraId="0FBF9D96" w14:textId="77777777" w:rsidR="008E5DE4" w:rsidRDefault="00780368">
            <w:pPr>
              <w:widowControl w:val="0"/>
              <w:pBdr>
                <w:top w:val="nil"/>
                <w:left w:val="nil"/>
                <w:bottom w:val="nil"/>
                <w:right w:val="nil"/>
                <w:between w:val="nil"/>
              </w:pBdr>
              <w:ind w:left="113" w:right="-57" w:hanging="113"/>
              <w:rPr>
                <w:color w:val="000000"/>
              </w:rPr>
            </w:pPr>
            <w:r>
              <w:rPr>
                <w:color w:val="000000"/>
              </w:rPr>
              <w:t>Current liabilities</w:t>
            </w:r>
          </w:p>
        </w:tc>
        <w:tc>
          <w:tcPr>
            <w:tcW w:w="1134" w:type="dxa"/>
            <w:vAlign w:val="bottom"/>
          </w:tcPr>
          <w:p w14:paraId="450D49D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D6F92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7220A0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FE8018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28FF827" w14:textId="77777777" w:rsidR="008E5DE4" w:rsidRDefault="008E5DE4">
            <w:pPr>
              <w:widowControl w:val="0"/>
              <w:pBdr>
                <w:top w:val="nil"/>
                <w:left w:val="nil"/>
                <w:bottom w:val="nil"/>
                <w:right w:val="nil"/>
                <w:between w:val="nil"/>
              </w:pBdr>
              <w:jc w:val="right"/>
              <w:rPr>
                <w:color w:val="000000"/>
              </w:rPr>
            </w:pPr>
          </w:p>
        </w:tc>
      </w:tr>
      <w:tr w:rsidR="008E5DE4" w14:paraId="622AAC18" w14:textId="77777777">
        <w:trPr>
          <w:cantSplit/>
        </w:trPr>
        <w:tc>
          <w:tcPr>
            <w:tcW w:w="3742" w:type="dxa"/>
            <w:vAlign w:val="bottom"/>
          </w:tcPr>
          <w:p w14:paraId="7E0C0D89"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liabilities</w:t>
            </w:r>
          </w:p>
        </w:tc>
        <w:tc>
          <w:tcPr>
            <w:tcW w:w="1134" w:type="dxa"/>
            <w:vAlign w:val="bottom"/>
          </w:tcPr>
          <w:p w14:paraId="2F70301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DF29F6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FD913B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5D65EC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FE9F1B" w14:textId="77777777" w:rsidR="008E5DE4" w:rsidRDefault="008E5DE4">
            <w:pPr>
              <w:widowControl w:val="0"/>
              <w:pBdr>
                <w:top w:val="nil"/>
                <w:left w:val="nil"/>
                <w:bottom w:val="nil"/>
                <w:right w:val="nil"/>
                <w:between w:val="nil"/>
              </w:pBdr>
              <w:jc w:val="right"/>
              <w:rPr>
                <w:color w:val="000000"/>
              </w:rPr>
            </w:pPr>
          </w:p>
        </w:tc>
      </w:tr>
      <w:tr w:rsidR="008E5DE4" w14:paraId="6592B960" w14:textId="77777777">
        <w:trPr>
          <w:cantSplit/>
        </w:trPr>
        <w:tc>
          <w:tcPr>
            <w:tcW w:w="3742" w:type="dxa"/>
            <w:vAlign w:val="bottom"/>
          </w:tcPr>
          <w:p w14:paraId="1A18F408" w14:textId="77777777" w:rsidR="008E5DE4" w:rsidRDefault="00780368">
            <w:pPr>
              <w:widowControl w:val="0"/>
              <w:pBdr>
                <w:top w:val="nil"/>
                <w:left w:val="nil"/>
                <w:bottom w:val="nil"/>
                <w:right w:val="nil"/>
                <w:between w:val="nil"/>
              </w:pBdr>
              <w:ind w:left="113" w:right="-57" w:hanging="113"/>
              <w:rPr>
                <w:color w:val="000000"/>
              </w:rPr>
            </w:pPr>
            <w:r>
              <w:rPr>
                <w:color w:val="000000"/>
              </w:rPr>
              <w:t>Revenue</w:t>
            </w:r>
          </w:p>
        </w:tc>
        <w:tc>
          <w:tcPr>
            <w:tcW w:w="1134" w:type="dxa"/>
            <w:vAlign w:val="bottom"/>
          </w:tcPr>
          <w:p w14:paraId="4A568C2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54CA02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7A97B3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E8047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EFFC76E" w14:textId="77777777" w:rsidR="008E5DE4" w:rsidRDefault="008E5DE4">
            <w:pPr>
              <w:widowControl w:val="0"/>
              <w:pBdr>
                <w:top w:val="nil"/>
                <w:left w:val="nil"/>
                <w:bottom w:val="nil"/>
                <w:right w:val="nil"/>
                <w:between w:val="nil"/>
              </w:pBdr>
              <w:jc w:val="right"/>
              <w:rPr>
                <w:color w:val="000000"/>
              </w:rPr>
            </w:pPr>
          </w:p>
        </w:tc>
      </w:tr>
      <w:tr w:rsidR="008E5DE4" w14:paraId="5140F027" w14:textId="77777777">
        <w:trPr>
          <w:cantSplit/>
        </w:trPr>
        <w:tc>
          <w:tcPr>
            <w:tcW w:w="3742" w:type="dxa"/>
            <w:vAlign w:val="bottom"/>
          </w:tcPr>
          <w:p w14:paraId="48DE7FCD" w14:textId="77777777" w:rsidR="008E5DE4" w:rsidRDefault="00780368">
            <w:pPr>
              <w:widowControl w:val="0"/>
              <w:pBdr>
                <w:top w:val="nil"/>
                <w:left w:val="nil"/>
                <w:bottom w:val="nil"/>
                <w:right w:val="nil"/>
                <w:between w:val="nil"/>
              </w:pBdr>
              <w:ind w:left="113" w:right="-57" w:hanging="113"/>
              <w:rPr>
                <w:color w:val="000000"/>
              </w:rPr>
            </w:pPr>
            <w:r>
              <w:rPr>
                <w:color w:val="000000"/>
              </w:rPr>
              <w:t>Profit or loss from continuing operations</w:t>
            </w:r>
          </w:p>
        </w:tc>
        <w:tc>
          <w:tcPr>
            <w:tcW w:w="1134" w:type="dxa"/>
            <w:vAlign w:val="bottom"/>
          </w:tcPr>
          <w:p w14:paraId="1AD9B2D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CAEB40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53C524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62DEF7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48C1D6" w14:textId="77777777" w:rsidR="008E5DE4" w:rsidRDefault="008E5DE4">
            <w:pPr>
              <w:widowControl w:val="0"/>
              <w:pBdr>
                <w:top w:val="nil"/>
                <w:left w:val="nil"/>
                <w:bottom w:val="nil"/>
                <w:right w:val="nil"/>
                <w:between w:val="nil"/>
              </w:pBdr>
              <w:jc w:val="right"/>
              <w:rPr>
                <w:color w:val="000000"/>
              </w:rPr>
            </w:pPr>
          </w:p>
        </w:tc>
      </w:tr>
      <w:tr w:rsidR="008E5DE4" w14:paraId="2775A7B3" w14:textId="77777777">
        <w:trPr>
          <w:cantSplit/>
        </w:trPr>
        <w:tc>
          <w:tcPr>
            <w:tcW w:w="3742" w:type="dxa"/>
            <w:vAlign w:val="bottom"/>
          </w:tcPr>
          <w:p w14:paraId="4349F7F6" w14:textId="77777777" w:rsidR="008E5DE4" w:rsidRDefault="00780368">
            <w:pPr>
              <w:widowControl w:val="0"/>
              <w:pBdr>
                <w:top w:val="nil"/>
                <w:left w:val="nil"/>
                <w:bottom w:val="nil"/>
                <w:right w:val="nil"/>
                <w:between w:val="nil"/>
              </w:pBdr>
              <w:ind w:left="113" w:right="-57" w:hanging="113"/>
              <w:rPr>
                <w:color w:val="000000"/>
              </w:rPr>
            </w:pPr>
            <w:r>
              <w:rPr>
                <w:color w:val="000000"/>
              </w:rPr>
              <w:t>Profit or loss from discontinued operations</w:t>
            </w:r>
          </w:p>
        </w:tc>
        <w:tc>
          <w:tcPr>
            <w:tcW w:w="1134" w:type="dxa"/>
            <w:vAlign w:val="bottom"/>
          </w:tcPr>
          <w:p w14:paraId="07BA728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C7AC6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52E010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EB1F7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7223C71" w14:textId="77777777" w:rsidR="008E5DE4" w:rsidRDefault="008E5DE4">
            <w:pPr>
              <w:widowControl w:val="0"/>
              <w:pBdr>
                <w:top w:val="nil"/>
                <w:left w:val="nil"/>
                <w:bottom w:val="nil"/>
                <w:right w:val="nil"/>
                <w:between w:val="nil"/>
              </w:pBdr>
              <w:jc w:val="right"/>
              <w:rPr>
                <w:color w:val="000000"/>
              </w:rPr>
            </w:pPr>
          </w:p>
        </w:tc>
      </w:tr>
      <w:tr w:rsidR="008E5DE4" w14:paraId="6DE64BCE" w14:textId="77777777">
        <w:trPr>
          <w:cantSplit/>
        </w:trPr>
        <w:tc>
          <w:tcPr>
            <w:tcW w:w="3742" w:type="dxa"/>
            <w:vAlign w:val="bottom"/>
          </w:tcPr>
          <w:p w14:paraId="67AF4009" w14:textId="77777777" w:rsidR="008E5DE4" w:rsidRDefault="00780368">
            <w:pPr>
              <w:widowControl w:val="0"/>
              <w:pBdr>
                <w:top w:val="nil"/>
                <w:left w:val="nil"/>
                <w:bottom w:val="nil"/>
                <w:right w:val="nil"/>
                <w:between w:val="nil"/>
              </w:pBdr>
              <w:ind w:left="113" w:right="-57" w:hanging="113"/>
              <w:rPr>
                <w:color w:val="000000"/>
              </w:rPr>
            </w:pPr>
            <w:r>
              <w:rPr>
                <w:color w:val="000000"/>
              </w:rPr>
              <w:t>Other comprehensive income</w:t>
            </w:r>
          </w:p>
        </w:tc>
        <w:tc>
          <w:tcPr>
            <w:tcW w:w="1134" w:type="dxa"/>
            <w:vAlign w:val="bottom"/>
          </w:tcPr>
          <w:p w14:paraId="49389A7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89E6F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46DC27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C9D59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7143948" w14:textId="77777777" w:rsidR="008E5DE4" w:rsidRDefault="008E5DE4">
            <w:pPr>
              <w:widowControl w:val="0"/>
              <w:pBdr>
                <w:top w:val="nil"/>
                <w:left w:val="nil"/>
                <w:bottom w:val="nil"/>
                <w:right w:val="nil"/>
                <w:between w:val="nil"/>
              </w:pBdr>
              <w:jc w:val="right"/>
              <w:rPr>
                <w:color w:val="000000"/>
              </w:rPr>
            </w:pPr>
          </w:p>
        </w:tc>
      </w:tr>
      <w:tr w:rsidR="008E5DE4" w14:paraId="2E183890" w14:textId="77777777">
        <w:trPr>
          <w:cantSplit/>
        </w:trPr>
        <w:tc>
          <w:tcPr>
            <w:tcW w:w="3742" w:type="dxa"/>
            <w:vAlign w:val="bottom"/>
          </w:tcPr>
          <w:p w14:paraId="36F71712" w14:textId="77777777" w:rsidR="008E5DE4" w:rsidRDefault="00780368">
            <w:pPr>
              <w:widowControl w:val="0"/>
              <w:pBdr>
                <w:top w:val="nil"/>
                <w:left w:val="nil"/>
                <w:bottom w:val="nil"/>
                <w:right w:val="nil"/>
                <w:between w:val="nil"/>
              </w:pBdr>
              <w:ind w:left="113" w:right="-57" w:hanging="113"/>
              <w:rPr>
                <w:color w:val="000000"/>
              </w:rPr>
            </w:pPr>
            <w:r>
              <w:rPr>
                <w:color w:val="000000"/>
              </w:rPr>
              <w:t>Total comprehensive income</w:t>
            </w:r>
          </w:p>
        </w:tc>
        <w:tc>
          <w:tcPr>
            <w:tcW w:w="1134" w:type="dxa"/>
            <w:vAlign w:val="bottom"/>
          </w:tcPr>
          <w:p w14:paraId="403CE37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AEFCCA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C8A52B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943E0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F1C5C92" w14:textId="77777777" w:rsidR="008E5DE4" w:rsidRDefault="008E5DE4">
            <w:pPr>
              <w:widowControl w:val="0"/>
              <w:pBdr>
                <w:top w:val="nil"/>
                <w:left w:val="nil"/>
                <w:bottom w:val="nil"/>
                <w:right w:val="nil"/>
                <w:between w:val="nil"/>
              </w:pBdr>
              <w:jc w:val="right"/>
              <w:rPr>
                <w:color w:val="000000"/>
              </w:rPr>
            </w:pPr>
          </w:p>
        </w:tc>
      </w:tr>
      <w:tr w:rsidR="008E5DE4" w14:paraId="4D86B5A0" w14:textId="77777777">
        <w:trPr>
          <w:cantSplit/>
        </w:trPr>
        <w:tc>
          <w:tcPr>
            <w:tcW w:w="3742" w:type="dxa"/>
            <w:tcBorders>
              <w:bottom w:val="single" w:sz="12" w:space="0" w:color="000000"/>
            </w:tcBorders>
            <w:vAlign w:val="bottom"/>
          </w:tcPr>
          <w:p w14:paraId="723EB8F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34" w:type="dxa"/>
            <w:tcBorders>
              <w:bottom w:val="single" w:sz="12" w:space="0" w:color="000000"/>
            </w:tcBorders>
            <w:vAlign w:val="bottom"/>
          </w:tcPr>
          <w:p w14:paraId="6B4AAE9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2B191FE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DE92E7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5A9683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F111605" w14:textId="77777777" w:rsidR="008E5DE4" w:rsidRDefault="008E5DE4">
            <w:pPr>
              <w:widowControl w:val="0"/>
              <w:pBdr>
                <w:top w:val="nil"/>
                <w:left w:val="nil"/>
                <w:bottom w:val="nil"/>
                <w:right w:val="nil"/>
                <w:between w:val="nil"/>
              </w:pBdr>
              <w:jc w:val="right"/>
              <w:rPr>
                <w:color w:val="000000"/>
              </w:rPr>
            </w:pPr>
          </w:p>
        </w:tc>
      </w:tr>
    </w:tbl>
    <w:p w14:paraId="43F2A60C" w14:textId="07C753E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Summarised financial information of each material associate and joint venture is as follows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w:t>
      </w:r>
    </w:p>
    <w:tbl>
      <w:tblPr>
        <w:tblStyle w:val="afff9"/>
        <w:tblW w:w="9412" w:type="dxa"/>
        <w:tblLayout w:type="fixed"/>
        <w:tblLook w:val="0000" w:firstRow="0" w:lastRow="0" w:firstColumn="0" w:lastColumn="0" w:noHBand="0" w:noVBand="0"/>
      </w:tblPr>
      <w:tblGrid>
        <w:gridCol w:w="3742"/>
        <w:gridCol w:w="1134"/>
        <w:gridCol w:w="1134"/>
        <w:gridCol w:w="1134"/>
        <w:gridCol w:w="1134"/>
        <w:gridCol w:w="1134"/>
      </w:tblGrid>
      <w:tr w:rsidR="008E5DE4" w14:paraId="1B8B0B07" w14:textId="77777777">
        <w:trPr>
          <w:cantSplit/>
        </w:trPr>
        <w:tc>
          <w:tcPr>
            <w:tcW w:w="3742" w:type="dxa"/>
            <w:tcBorders>
              <w:bottom w:val="single" w:sz="4" w:space="0" w:color="000000"/>
            </w:tcBorders>
            <w:vAlign w:val="bottom"/>
          </w:tcPr>
          <w:p w14:paraId="4ED8FBEA"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75452CE0" w14:textId="77777777" w:rsidR="008E5DE4" w:rsidRDefault="00780368">
            <w:pPr>
              <w:widowControl w:val="0"/>
              <w:pBdr>
                <w:top w:val="nil"/>
                <w:left w:val="nil"/>
                <w:bottom w:val="nil"/>
                <w:right w:val="nil"/>
                <w:between w:val="nil"/>
              </w:pBdr>
              <w:ind w:left="-113"/>
              <w:jc w:val="right"/>
              <w:rPr>
                <w:color w:val="000000"/>
              </w:rPr>
            </w:pPr>
            <w:r>
              <w:rPr>
                <w:b/>
                <w:color w:val="000000"/>
              </w:rPr>
              <w:t xml:space="preserve">Associate </w:t>
            </w:r>
            <w:r w:rsidRPr="00160220">
              <w:rPr>
                <w:b/>
                <w:color w:val="0000FF"/>
              </w:rPr>
              <w:t>X</w:t>
            </w:r>
          </w:p>
        </w:tc>
        <w:tc>
          <w:tcPr>
            <w:tcW w:w="1134" w:type="dxa"/>
            <w:tcBorders>
              <w:bottom w:val="single" w:sz="4" w:space="0" w:color="000000"/>
            </w:tcBorders>
          </w:tcPr>
          <w:p w14:paraId="79D78AA7" w14:textId="77777777" w:rsidR="008E5DE4" w:rsidRDefault="00780368">
            <w:pPr>
              <w:widowControl w:val="0"/>
              <w:pBdr>
                <w:top w:val="nil"/>
                <w:left w:val="nil"/>
                <w:bottom w:val="nil"/>
                <w:right w:val="nil"/>
                <w:between w:val="nil"/>
              </w:pBdr>
              <w:ind w:left="-113"/>
              <w:jc w:val="right"/>
              <w:rPr>
                <w:color w:val="000000"/>
              </w:rPr>
            </w:pPr>
            <w:r>
              <w:rPr>
                <w:b/>
                <w:color w:val="000000"/>
              </w:rPr>
              <w:t xml:space="preserve">Joint Venture </w:t>
            </w:r>
            <w:r w:rsidRPr="00160220">
              <w:rPr>
                <w:b/>
                <w:color w:val="0000FF"/>
              </w:rPr>
              <w:t>Y</w:t>
            </w:r>
          </w:p>
        </w:tc>
        <w:tc>
          <w:tcPr>
            <w:tcW w:w="1134" w:type="dxa"/>
            <w:tcBorders>
              <w:bottom w:val="single" w:sz="4" w:space="0" w:color="000000"/>
            </w:tcBorders>
          </w:tcPr>
          <w:p w14:paraId="5CEF1D7B" w14:textId="77777777" w:rsidR="008E5DE4" w:rsidRDefault="00780368">
            <w:pPr>
              <w:widowControl w:val="0"/>
              <w:pBdr>
                <w:top w:val="nil"/>
                <w:left w:val="nil"/>
                <w:bottom w:val="nil"/>
                <w:right w:val="nil"/>
                <w:between w:val="nil"/>
              </w:pBdr>
              <w:ind w:left="-113"/>
              <w:jc w:val="right"/>
              <w:rPr>
                <w:color w:val="000000"/>
              </w:rPr>
            </w:pPr>
            <w:r>
              <w:rPr>
                <w:b/>
                <w:color w:val="000000"/>
              </w:rPr>
              <w:t>Other individually immaterial associates</w:t>
            </w:r>
          </w:p>
        </w:tc>
        <w:tc>
          <w:tcPr>
            <w:tcW w:w="1134" w:type="dxa"/>
            <w:tcBorders>
              <w:bottom w:val="single" w:sz="4" w:space="0" w:color="000000"/>
            </w:tcBorders>
          </w:tcPr>
          <w:p w14:paraId="5C4AD86A" w14:textId="77777777" w:rsidR="008E5DE4" w:rsidRDefault="00780368">
            <w:pPr>
              <w:widowControl w:val="0"/>
              <w:pBdr>
                <w:top w:val="nil"/>
                <w:left w:val="nil"/>
                <w:bottom w:val="nil"/>
                <w:right w:val="nil"/>
                <w:between w:val="nil"/>
              </w:pBdr>
              <w:ind w:left="-113"/>
              <w:jc w:val="right"/>
              <w:rPr>
                <w:b/>
                <w:color w:val="000000"/>
              </w:rPr>
            </w:pPr>
            <w:r>
              <w:rPr>
                <w:b/>
                <w:color w:val="000000"/>
              </w:rPr>
              <w:t>Other individually immaterial joint ventures</w:t>
            </w:r>
          </w:p>
        </w:tc>
        <w:tc>
          <w:tcPr>
            <w:tcW w:w="1134" w:type="dxa"/>
            <w:tcBorders>
              <w:bottom w:val="single" w:sz="4" w:space="0" w:color="000000"/>
            </w:tcBorders>
          </w:tcPr>
          <w:p w14:paraId="3E5D4774" w14:textId="77777777" w:rsidR="008E5DE4" w:rsidRDefault="00780368">
            <w:pPr>
              <w:widowControl w:val="0"/>
              <w:pBdr>
                <w:top w:val="nil"/>
                <w:left w:val="nil"/>
                <w:bottom w:val="nil"/>
                <w:right w:val="nil"/>
                <w:between w:val="nil"/>
              </w:pBdr>
              <w:ind w:left="-113"/>
              <w:jc w:val="right"/>
              <w:rPr>
                <w:color w:val="000000"/>
              </w:rPr>
            </w:pPr>
            <w:r>
              <w:rPr>
                <w:b/>
                <w:color w:val="000000"/>
              </w:rPr>
              <w:t>Total associates and joint ventures</w:t>
            </w:r>
          </w:p>
        </w:tc>
      </w:tr>
      <w:tr w:rsidR="008E5DE4" w14:paraId="0FE64F41" w14:textId="77777777">
        <w:trPr>
          <w:cantSplit/>
        </w:trPr>
        <w:tc>
          <w:tcPr>
            <w:tcW w:w="3742" w:type="dxa"/>
            <w:tcBorders>
              <w:top w:val="single" w:sz="4" w:space="0" w:color="000000"/>
            </w:tcBorders>
            <w:vAlign w:val="bottom"/>
          </w:tcPr>
          <w:p w14:paraId="4032D5DF" w14:textId="77777777" w:rsidR="008E5DE4" w:rsidRDefault="00780368">
            <w:pPr>
              <w:widowControl w:val="0"/>
              <w:ind w:left="113" w:right="-57" w:hanging="113"/>
            </w:pPr>
            <w:r>
              <w:t> </w:t>
            </w:r>
          </w:p>
        </w:tc>
        <w:tc>
          <w:tcPr>
            <w:tcW w:w="1134" w:type="dxa"/>
            <w:tcBorders>
              <w:top w:val="single" w:sz="4" w:space="0" w:color="000000"/>
            </w:tcBorders>
            <w:vAlign w:val="bottom"/>
          </w:tcPr>
          <w:p w14:paraId="7943AD0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452617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7716CB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5639C1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96702E1" w14:textId="77777777" w:rsidR="008E5DE4" w:rsidRDefault="008E5DE4">
            <w:pPr>
              <w:widowControl w:val="0"/>
              <w:pBdr>
                <w:top w:val="nil"/>
                <w:left w:val="nil"/>
                <w:bottom w:val="nil"/>
                <w:right w:val="nil"/>
                <w:between w:val="nil"/>
              </w:pBdr>
              <w:jc w:val="right"/>
              <w:rPr>
                <w:color w:val="000000"/>
              </w:rPr>
            </w:pPr>
          </w:p>
        </w:tc>
      </w:tr>
      <w:tr w:rsidR="008E5DE4" w14:paraId="152725C9" w14:textId="77777777">
        <w:trPr>
          <w:cantSplit/>
        </w:trPr>
        <w:tc>
          <w:tcPr>
            <w:tcW w:w="3742" w:type="dxa"/>
            <w:vAlign w:val="bottom"/>
          </w:tcPr>
          <w:p w14:paraId="117B181B" w14:textId="77777777" w:rsidR="008E5DE4" w:rsidRDefault="00780368">
            <w:pPr>
              <w:widowControl w:val="0"/>
              <w:pBdr>
                <w:top w:val="nil"/>
                <w:left w:val="nil"/>
                <w:bottom w:val="nil"/>
                <w:right w:val="nil"/>
                <w:between w:val="nil"/>
              </w:pBdr>
              <w:ind w:left="113" w:right="-57" w:hanging="113"/>
              <w:rPr>
                <w:color w:val="000000"/>
              </w:rPr>
            </w:pPr>
            <w:r>
              <w:rPr>
                <w:color w:val="000000"/>
              </w:rPr>
              <w:t>Current assets</w:t>
            </w:r>
          </w:p>
        </w:tc>
        <w:tc>
          <w:tcPr>
            <w:tcW w:w="1134" w:type="dxa"/>
            <w:vAlign w:val="bottom"/>
          </w:tcPr>
          <w:p w14:paraId="3A586CB8"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6D4FAF6D"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2509C79C"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033B6B71"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19957145" w14:textId="77777777" w:rsidR="008E5DE4" w:rsidRDefault="008E5DE4">
            <w:pPr>
              <w:widowControl w:val="0"/>
              <w:pBdr>
                <w:top w:val="nil"/>
                <w:left w:val="nil"/>
                <w:bottom w:val="nil"/>
                <w:right w:val="nil"/>
                <w:between w:val="nil"/>
              </w:pBdr>
              <w:jc w:val="right"/>
              <w:rPr>
                <w:b/>
                <w:color w:val="000000"/>
              </w:rPr>
            </w:pPr>
          </w:p>
        </w:tc>
      </w:tr>
      <w:tr w:rsidR="008E5DE4" w14:paraId="01BA17D3" w14:textId="77777777">
        <w:trPr>
          <w:cantSplit/>
        </w:trPr>
        <w:tc>
          <w:tcPr>
            <w:tcW w:w="3742" w:type="dxa"/>
            <w:vAlign w:val="bottom"/>
          </w:tcPr>
          <w:p w14:paraId="19E13F9A"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assets</w:t>
            </w:r>
          </w:p>
        </w:tc>
        <w:tc>
          <w:tcPr>
            <w:tcW w:w="1134" w:type="dxa"/>
            <w:vAlign w:val="bottom"/>
          </w:tcPr>
          <w:p w14:paraId="7151B78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FACC4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7B7A9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1BA31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4B8856" w14:textId="77777777" w:rsidR="008E5DE4" w:rsidRDefault="008E5DE4">
            <w:pPr>
              <w:widowControl w:val="0"/>
              <w:pBdr>
                <w:top w:val="nil"/>
                <w:left w:val="nil"/>
                <w:bottom w:val="nil"/>
                <w:right w:val="nil"/>
                <w:between w:val="nil"/>
              </w:pBdr>
              <w:jc w:val="right"/>
              <w:rPr>
                <w:color w:val="000000"/>
              </w:rPr>
            </w:pPr>
          </w:p>
        </w:tc>
      </w:tr>
      <w:tr w:rsidR="008E5DE4" w14:paraId="6ACB15E3" w14:textId="77777777">
        <w:trPr>
          <w:cantSplit/>
        </w:trPr>
        <w:tc>
          <w:tcPr>
            <w:tcW w:w="3742" w:type="dxa"/>
            <w:vAlign w:val="bottom"/>
          </w:tcPr>
          <w:p w14:paraId="5B309F31" w14:textId="77777777" w:rsidR="008E5DE4" w:rsidRDefault="00780368">
            <w:pPr>
              <w:widowControl w:val="0"/>
              <w:pBdr>
                <w:top w:val="nil"/>
                <w:left w:val="nil"/>
                <w:bottom w:val="nil"/>
                <w:right w:val="nil"/>
                <w:between w:val="nil"/>
              </w:pBdr>
              <w:ind w:left="113" w:right="-57" w:hanging="113"/>
              <w:rPr>
                <w:color w:val="000000"/>
              </w:rPr>
            </w:pPr>
            <w:r>
              <w:rPr>
                <w:color w:val="000000"/>
              </w:rPr>
              <w:t>Current liabilities</w:t>
            </w:r>
          </w:p>
        </w:tc>
        <w:tc>
          <w:tcPr>
            <w:tcW w:w="1134" w:type="dxa"/>
            <w:vAlign w:val="bottom"/>
          </w:tcPr>
          <w:p w14:paraId="7357F4B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54002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9597F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2F42F2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C2DDFD" w14:textId="77777777" w:rsidR="008E5DE4" w:rsidRDefault="008E5DE4">
            <w:pPr>
              <w:widowControl w:val="0"/>
              <w:pBdr>
                <w:top w:val="nil"/>
                <w:left w:val="nil"/>
                <w:bottom w:val="nil"/>
                <w:right w:val="nil"/>
                <w:between w:val="nil"/>
              </w:pBdr>
              <w:jc w:val="right"/>
              <w:rPr>
                <w:color w:val="000000"/>
              </w:rPr>
            </w:pPr>
          </w:p>
        </w:tc>
      </w:tr>
      <w:tr w:rsidR="008E5DE4" w14:paraId="2AFFE1C7" w14:textId="77777777">
        <w:trPr>
          <w:cantSplit/>
        </w:trPr>
        <w:tc>
          <w:tcPr>
            <w:tcW w:w="3742" w:type="dxa"/>
            <w:vAlign w:val="bottom"/>
          </w:tcPr>
          <w:p w14:paraId="0C13A3A6"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liabilities</w:t>
            </w:r>
          </w:p>
        </w:tc>
        <w:tc>
          <w:tcPr>
            <w:tcW w:w="1134" w:type="dxa"/>
            <w:vAlign w:val="bottom"/>
          </w:tcPr>
          <w:p w14:paraId="6879C64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B8B41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E19A7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EFA55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A6D9D7" w14:textId="77777777" w:rsidR="008E5DE4" w:rsidRDefault="008E5DE4">
            <w:pPr>
              <w:widowControl w:val="0"/>
              <w:pBdr>
                <w:top w:val="nil"/>
                <w:left w:val="nil"/>
                <w:bottom w:val="nil"/>
                <w:right w:val="nil"/>
                <w:between w:val="nil"/>
              </w:pBdr>
              <w:jc w:val="right"/>
              <w:rPr>
                <w:color w:val="000000"/>
              </w:rPr>
            </w:pPr>
          </w:p>
        </w:tc>
      </w:tr>
      <w:tr w:rsidR="008E5DE4" w14:paraId="58FC116F" w14:textId="77777777">
        <w:trPr>
          <w:cantSplit/>
        </w:trPr>
        <w:tc>
          <w:tcPr>
            <w:tcW w:w="3742" w:type="dxa"/>
            <w:vAlign w:val="bottom"/>
          </w:tcPr>
          <w:p w14:paraId="35854C83" w14:textId="77777777" w:rsidR="008E5DE4" w:rsidRDefault="00780368">
            <w:pPr>
              <w:widowControl w:val="0"/>
              <w:pBdr>
                <w:top w:val="nil"/>
                <w:left w:val="nil"/>
                <w:bottom w:val="nil"/>
                <w:right w:val="nil"/>
                <w:between w:val="nil"/>
              </w:pBdr>
              <w:ind w:left="113" w:right="-57" w:hanging="113"/>
              <w:rPr>
                <w:color w:val="000000"/>
              </w:rPr>
            </w:pPr>
            <w:r>
              <w:rPr>
                <w:color w:val="000000"/>
              </w:rPr>
              <w:t>Revenue</w:t>
            </w:r>
          </w:p>
        </w:tc>
        <w:tc>
          <w:tcPr>
            <w:tcW w:w="1134" w:type="dxa"/>
            <w:vAlign w:val="bottom"/>
          </w:tcPr>
          <w:p w14:paraId="55D5006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77E305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F112BC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CA728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1976B4B" w14:textId="77777777" w:rsidR="008E5DE4" w:rsidRDefault="008E5DE4">
            <w:pPr>
              <w:widowControl w:val="0"/>
              <w:pBdr>
                <w:top w:val="nil"/>
                <w:left w:val="nil"/>
                <w:bottom w:val="nil"/>
                <w:right w:val="nil"/>
                <w:between w:val="nil"/>
              </w:pBdr>
              <w:jc w:val="right"/>
              <w:rPr>
                <w:color w:val="000000"/>
              </w:rPr>
            </w:pPr>
          </w:p>
        </w:tc>
      </w:tr>
      <w:tr w:rsidR="008E5DE4" w14:paraId="0BB35BE1" w14:textId="77777777">
        <w:trPr>
          <w:cantSplit/>
        </w:trPr>
        <w:tc>
          <w:tcPr>
            <w:tcW w:w="3742" w:type="dxa"/>
            <w:vAlign w:val="bottom"/>
          </w:tcPr>
          <w:p w14:paraId="5935B7FF" w14:textId="77777777" w:rsidR="008E5DE4" w:rsidRDefault="00780368">
            <w:pPr>
              <w:widowControl w:val="0"/>
              <w:pBdr>
                <w:top w:val="nil"/>
                <w:left w:val="nil"/>
                <w:bottom w:val="nil"/>
                <w:right w:val="nil"/>
                <w:between w:val="nil"/>
              </w:pBdr>
              <w:ind w:left="113" w:right="-57" w:hanging="113"/>
              <w:rPr>
                <w:color w:val="000000"/>
              </w:rPr>
            </w:pPr>
            <w:r>
              <w:rPr>
                <w:color w:val="000000"/>
              </w:rPr>
              <w:t>Profit or loss from continuing operations</w:t>
            </w:r>
          </w:p>
        </w:tc>
        <w:tc>
          <w:tcPr>
            <w:tcW w:w="1134" w:type="dxa"/>
            <w:vAlign w:val="bottom"/>
          </w:tcPr>
          <w:p w14:paraId="7CE0A85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A6473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0661A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DCC2E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E2E9267" w14:textId="77777777" w:rsidR="008E5DE4" w:rsidRDefault="008E5DE4">
            <w:pPr>
              <w:widowControl w:val="0"/>
              <w:pBdr>
                <w:top w:val="nil"/>
                <w:left w:val="nil"/>
                <w:bottom w:val="nil"/>
                <w:right w:val="nil"/>
                <w:between w:val="nil"/>
              </w:pBdr>
              <w:jc w:val="right"/>
              <w:rPr>
                <w:color w:val="000000"/>
              </w:rPr>
            </w:pPr>
          </w:p>
        </w:tc>
      </w:tr>
      <w:tr w:rsidR="008E5DE4" w14:paraId="14CD3D07" w14:textId="77777777">
        <w:trPr>
          <w:cantSplit/>
        </w:trPr>
        <w:tc>
          <w:tcPr>
            <w:tcW w:w="3742" w:type="dxa"/>
            <w:vAlign w:val="bottom"/>
          </w:tcPr>
          <w:p w14:paraId="7AD86DEC" w14:textId="77777777" w:rsidR="008E5DE4" w:rsidRDefault="00780368">
            <w:pPr>
              <w:widowControl w:val="0"/>
              <w:pBdr>
                <w:top w:val="nil"/>
                <w:left w:val="nil"/>
                <w:bottom w:val="nil"/>
                <w:right w:val="nil"/>
                <w:between w:val="nil"/>
              </w:pBdr>
              <w:ind w:left="113" w:right="-57" w:hanging="113"/>
              <w:rPr>
                <w:color w:val="000000"/>
              </w:rPr>
            </w:pPr>
            <w:r>
              <w:rPr>
                <w:color w:val="000000"/>
              </w:rPr>
              <w:t>Profit or loss from discontinued operations</w:t>
            </w:r>
          </w:p>
        </w:tc>
        <w:tc>
          <w:tcPr>
            <w:tcW w:w="1134" w:type="dxa"/>
            <w:vAlign w:val="bottom"/>
          </w:tcPr>
          <w:p w14:paraId="5BFDF6D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8F4472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59F52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C1F11D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FD41AC" w14:textId="77777777" w:rsidR="008E5DE4" w:rsidRDefault="008E5DE4">
            <w:pPr>
              <w:widowControl w:val="0"/>
              <w:pBdr>
                <w:top w:val="nil"/>
                <w:left w:val="nil"/>
                <w:bottom w:val="nil"/>
                <w:right w:val="nil"/>
                <w:between w:val="nil"/>
              </w:pBdr>
              <w:jc w:val="right"/>
              <w:rPr>
                <w:color w:val="000000"/>
              </w:rPr>
            </w:pPr>
          </w:p>
        </w:tc>
      </w:tr>
      <w:tr w:rsidR="008E5DE4" w14:paraId="1B3A8891" w14:textId="77777777">
        <w:trPr>
          <w:cantSplit/>
        </w:trPr>
        <w:tc>
          <w:tcPr>
            <w:tcW w:w="3742" w:type="dxa"/>
            <w:vAlign w:val="bottom"/>
          </w:tcPr>
          <w:p w14:paraId="20AAEB58" w14:textId="77777777" w:rsidR="008E5DE4" w:rsidRDefault="00780368">
            <w:pPr>
              <w:widowControl w:val="0"/>
              <w:pBdr>
                <w:top w:val="nil"/>
                <w:left w:val="nil"/>
                <w:bottom w:val="nil"/>
                <w:right w:val="nil"/>
                <w:between w:val="nil"/>
              </w:pBdr>
              <w:ind w:left="113" w:right="-57" w:hanging="113"/>
              <w:rPr>
                <w:color w:val="000000"/>
              </w:rPr>
            </w:pPr>
            <w:r>
              <w:rPr>
                <w:color w:val="000000"/>
              </w:rPr>
              <w:t>Other comprehensive income</w:t>
            </w:r>
          </w:p>
        </w:tc>
        <w:tc>
          <w:tcPr>
            <w:tcW w:w="1134" w:type="dxa"/>
            <w:vAlign w:val="bottom"/>
          </w:tcPr>
          <w:p w14:paraId="5813527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50056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0EC66F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37A34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980549C" w14:textId="77777777" w:rsidR="008E5DE4" w:rsidRDefault="008E5DE4">
            <w:pPr>
              <w:widowControl w:val="0"/>
              <w:pBdr>
                <w:top w:val="nil"/>
                <w:left w:val="nil"/>
                <w:bottom w:val="nil"/>
                <w:right w:val="nil"/>
                <w:between w:val="nil"/>
              </w:pBdr>
              <w:jc w:val="right"/>
              <w:rPr>
                <w:color w:val="000000"/>
              </w:rPr>
            </w:pPr>
          </w:p>
        </w:tc>
      </w:tr>
      <w:tr w:rsidR="008E5DE4" w14:paraId="56F5E284" w14:textId="77777777">
        <w:trPr>
          <w:cantSplit/>
        </w:trPr>
        <w:tc>
          <w:tcPr>
            <w:tcW w:w="3742" w:type="dxa"/>
            <w:vAlign w:val="bottom"/>
          </w:tcPr>
          <w:p w14:paraId="2F95D661" w14:textId="77777777" w:rsidR="008E5DE4" w:rsidRDefault="00780368">
            <w:pPr>
              <w:widowControl w:val="0"/>
              <w:pBdr>
                <w:top w:val="nil"/>
                <w:left w:val="nil"/>
                <w:bottom w:val="nil"/>
                <w:right w:val="nil"/>
                <w:between w:val="nil"/>
              </w:pBdr>
              <w:ind w:left="113" w:right="-57" w:hanging="113"/>
              <w:rPr>
                <w:color w:val="000000"/>
              </w:rPr>
            </w:pPr>
            <w:r>
              <w:rPr>
                <w:color w:val="000000"/>
              </w:rPr>
              <w:t>Total comprehensive income</w:t>
            </w:r>
          </w:p>
        </w:tc>
        <w:tc>
          <w:tcPr>
            <w:tcW w:w="1134" w:type="dxa"/>
            <w:vAlign w:val="bottom"/>
          </w:tcPr>
          <w:p w14:paraId="224E077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680BA2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372D2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145BA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0CA3D4" w14:textId="77777777" w:rsidR="008E5DE4" w:rsidRDefault="008E5DE4">
            <w:pPr>
              <w:widowControl w:val="0"/>
              <w:pBdr>
                <w:top w:val="nil"/>
                <w:left w:val="nil"/>
                <w:bottom w:val="nil"/>
                <w:right w:val="nil"/>
                <w:between w:val="nil"/>
              </w:pBdr>
              <w:jc w:val="right"/>
              <w:rPr>
                <w:color w:val="000000"/>
              </w:rPr>
            </w:pPr>
          </w:p>
        </w:tc>
      </w:tr>
      <w:tr w:rsidR="008E5DE4" w14:paraId="66F27560" w14:textId="77777777">
        <w:trPr>
          <w:cantSplit/>
        </w:trPr>
        <w:tc>
          <w:tcPr>
            <w:tcW w:w="3742" w:type="dxa"/>
            <w:tcBorders>
              <w:bottom w:val="single" w:sz="12" w:space="0" w:color="000000"/>
            </w:tcBorders>
            <w:vAlign w:val="bottom"/>
          </w:tcPr>
          <w:p w14:paraId="31FFCE60"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34" w:type="dxa"/>
            <w:tcBorders>
              <w:bottom w:val="single" w:sz="12" w:space="0" w:color="000000"/>
            </w:tcBorders>
            <w:vAlign w:val="bottom"/>
          </w:tcPr>
          <w:p w14:paraId="3D9D0C5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4CEF732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192130D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295BEFF1"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4710B4BC" w14:textId="77777777" w:rsidR="008E5DE4" w:rsidRDefault="008E5DE4">
            <w:pPr>
              <w:widowControl w:val="0"/>
              <w:pBdr>
                <w:top w:val="nil"/>
                <w:left w:val="nil"/>
                <w:bottom w:val="nil"/>
                <w:right w:val="nil"/>
                <w:between w:val="nil"/>
              </w:pBdr>
              <w:jc w:val="right"/>
              <w:rPr>
                <w:color w:val="000000"/>
              </w:rPr>
            </w:pPr>
          </w:p>
        </w:tc>
      </w:tr>
    </w:tbl>
    <w:p w14:paraId="7E8DBEFC"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only reconciling difference between the above amounts and the carrying amount of the investments in associates and joint ventures is the elimination of the ownership interest held by the other investors in the associates and joint ventures. </w:t>
      </w:r>
    </w:p>
    <w:p w14:paraId="1EE4C4F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14</w:t>
      </w:r>
      <w:r>
        <w:rPr>
          <w:b/>
          <w:color w:val="000000"/>
          <w:sz w:val="20"/>
          <w:szCs w:val="20"/>
        </w:rPr>
        <w:tab/>
        <w:t>Investments in Associates and Joint Ventures accounted for using the equity method (Continued)</w:t>
      </w:r>
    </w:p>
    <w:p w14:paraId="4964A4C6" w14:textId="1882094E"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fair value of the Group’s investment in </w:t>
      </w:r>
      <w:r>
        <w:rPr>
          <w:color w:val="0000FF"/>
          <w:sz w:val="20"/>
          <w:szCs w:val="20"/>
        </w:rPr>
        <w:t>[associate]</w:t>
      </w:r>
      <w:r>
        <w:rPr>
          <w:color w:val="000000"/>
          <w:sz w:val="20"/>
          <w:szCs w:val="20"/>
        </w:rPr>
        <w:t xml:space="preserve"> _____, which is listed, is EUR _____ thousand (</w:t>
      </w:r>
      <w:r w:rsidR="00FF468A">
        <w:rPr>
          <w:color w:val="000000"/>
          <w:sz w:val="20"/>
          <w:szCs w:val="20"/>
        </w:rPr>
        <w:t>2024</w:t>
      </w:r>
      <w:r>
        <w:rPr>
          <w:color w:val="000000"/>
          <w:sz w:val="20"/>
          <w:szCs w:val="20"/>
        </w:rPr>
        <w:t>:</w:t>
      </w:r>
      <w:r w:rsidR="00160220">
        <w:rPr>
          <w:color w:val="000000"/>
          <w:sz w:val="20"/>
          <w:szCs w:val="20"/>
        </w:rPr>
        <w:t xml:space="preserve"> </w:t>
      </w:r>
      <w:r>
        <w:rPr>
          <w:color w:val="000000"/>
          <w:sz w:val="20"/>
          <w:szCs w:val="20"/>
        </w:rPr>
        <w:t>EUR _____ thousand).</w:t>
      </w:r>
    </w:p>
    <w:p w14:paraId="35121B7E" w14:textId="079A35FF"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[Associate X]</w:t>
      </w:r>
      <w:r>
        <w:rPr>
          <w:color w:val="000000"/>
          <w:sz w:val="20"/>
          <w:szCs w:val="20"/>
        </w:rPr>
        <w:t xml:space="preserve"> has outstanding borrowings from a bank that includes a clause restricting payment of dividends to the investors without the lender’s approval. </w:t>
      </w:r>
    </w:p>
    <w:p w14:paraId="12B58944" w14:textId="086C5A3F" w:rsidR="008E5DE4" w:rsidRDefault="00780368">
      <w:pPr>
        <w:widowControl w:val="0"/>
        <w:spacing w:before="200" w:after="200"/>
        <w:jc w:val="both"/>
        <w:rPr>
          <w:sz w:val="20"/>
          <w:szCs w:val="20"/>
        </w:rPr>
      </w:pPr>
      <w:r>
        <w:rPr>
          <w:sz w:val="20"/>
          <w:szCs w:val="20"/>
        </w:rPr>
        <w:t xml:space="preserve">The Group’s share of contingent liabilities of the associates was EUR _____ thousand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w:t>
      </w:r>
      <w:r w:rsidR="00FF468A">
        <w:rPr>
          <w:sz w:val="20"/>
          <w:szCs w:val="20"/>
        </w:rPr>
        <w:t>2024</w:t>
      </w:r>
      <w:r>
        <w:rPr>
          <w:sz w:val="20"/>
          <w:szCs w:val="20"/>
        </w:rPr>
        <w:t>:</w:t>
      </w:r>
      <w:r w:rsidR="00160220">
        <w:rPr>
          <w:sz w:val="20"/>
          <w:szCs w:val="20"/>
        </w:rPr>
        <w:t xml:space="preserve"> </w:t>
      </w:r>
      <w:r>
        <w:rPr>
          <w:sz w:val="20"/>
          <w:szCs w:val="20"/>
        </w:rPr>
        <w:t xml:space="preserve">EUR _____ thousand). In addition, the Group’s contingent liabilities related to the associates incurred jointly with the other investors in the associate amount to EUR _____ thousand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w:t>
      </w:r>
      <w:r w:rsidR="00FF468A">
        <w:rPr>
          <w:sz w:val="20"/>
          <w:szCs w:val="20"/>
        </w:rPr>
        <w:t>2024</w:t>
      </w:r>
      <w:r>
        <w:rPr>
          <w:sz w:val="20"/>
          <w:szCs w:val="20"/>
        </w:rPr>
        <w:t>:</w:t>
      </w:r>
      <w:r w:rsidR="00160220">
        <w:rPr>
          <w:sz w:val="20"/>
          <w:szCs w:val="20"/>
        </w:rPr>
        <w:t xml:space="preserve"> </w:t>
      </w:r>
      <w:r>
        <w:rPr>
          <w:sz w:val="20"/>
          <w:szCs w:val="20"/>
        </w:rPr>
        <w:t>EUR _____ thousand).</w:t>
      </w:r>
    </w:p>
    <w:p w14:paraId="595FBD09" w14:textId="7C30A8E5" w:rsidR="008E5DE4" w:rsidRDefault="00780368">
      <w:pPr>
        <w:widowControl w:val="0"/>
        <w:spacing w:before="200" w:after="200"/>
        <w:jc w:val="both"/>
        <w:rPr>
          <w:sz w:val="20"/>
          <w:szCs w:val="20"/>
        </w:rPr>
      </w:pPr>
      <w:r>
        <w:rPr>
          <w:sz w:val="20"/>
          <w:szCs w:val="20"/>
        </w:rPr>
        <w:t xml:space="preserve">The carrying value of the Group’s investment in associate _____ is nil. The unrecognised share of loss of this associate is EUR _____ thousand for </w:t>
      </w:r>
      <w:r w:rsidR="008614F8">
        <w:rPr>
          <w:sz w:val="20"/>
          <w:szCs w:val="20"/>
        </w:rPr>
        <w:t>2025</w:t>
      </w:r>
      <w:r>
        <w:rPr>
          <w:sz w:val="20"/>
          <w:szCs w:val="20"/>
        </w:rPr>
        <w:t xml:space="preserve"> (</w:t>
      </w:r>
      <w:r w:rsidR="00FF468A">
        <w:rPr>
          <w:sz w:val="20"/>
          <w:szCs w:val="20"/>
        </w:rPr>
        <w:t>2024</w:t>
      </w:r>
      <w:r>
        <w:rPr>
          <w:sz w:val="20"/>
          <w:szCs w:val="20"/>
        </w:rPr>
        <w:t>:</w:t>
      </w:r>
      <w:r w:rsidR="00160220">
        <w:rPr>
          <w:sz w:val="20"/>
          <w:szCs w:val="20"/>
        </w:rPr>
        <w:t xml:space="preserve"> </w:t>
      </w:r>
      <w:r>
        <w:rPr>
          <w:sz w:val="20"/>
          <w:szCs w:val="20"/>
        </w:rPr>
        <w:t>EUR _____ thousand). Cumulatively, the unrecognised share of losses of this associate is EUR _____ thousand (</w:t>
      </w:r>
      <w:r w:rsidR="00FF468A">
        <w:rPr>
          <w:sz w:val="20"/>
          <w:szCs w:val="20"/>
        </w:rPr>
        <w:t>2024</w:t>
      </w:r>
      <w:r>
        <w:rPr>
          <w:sz w:val="20"/>
          <w:szCs w:val="20"/>
        </w:rPr>
        <w:t>:</w:t>
      </w:r>
      <w:r w:rsidR="00160220">
        <w:rPr>
          <w:sz w:val="20"/>
          <w:szCs w:val="20"/>
        </w:rPr>
        <w:t xml:space="preserve"> </w:t>
      </w:r>
      <w:r>
        <w:rPr>
          <w:sz w:val="20"/>
          <w:szCs w:val="20"/>
        </w:rPr>
        <w:t>EUR _____ thousand).</w:t>
      </w:r>
    </w:p>
    <w:p w14:paraId="48E3D91C" w14:textId="4694349D" w:rsidR="008E5DE4" w:rsidRDefault="00780368">
      <w:pPr>
        <w:widowControl w:val="0"/>
        <w:spacing w:before="200" w:after="200"/>
        <w:jc w:val="both"/>
        <w:rPr>
          <w:sz w:val="20"/>
          <w:szCs w:val="20"/>
        </w:rPr>
      </w:pPr>
      <w:r>
        <w:rPr>
          <w:sz w:val="20"/>
          <w:szCs w:val="20"/>
        </w:rPr>
        <w:t xml:space="preserve">The Group’s share of contingent liabilities of the joint ventures was EUR _____ thousand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w:t>
      </w:r>
      <w:r w:rsidR="00FF468A">
        <w:rPr>
          <w:sz w:val="20"/>
          <w:szCs w:val="20"/>
        </w:rPr>
        <w:t>2024</w:t>
      </w:r>
      <w:r>
        <w:rPr>
          <w:sz w:val="20"/>
          <w:szCs w:val="20"/>
        </w:rPr>
        <w:t>:</w:t>
      </w:r>
      <w:r w:rsidR="00160220">
        <w:rPr>
          <w:sz w:val="20"/>
          <w:szCs w:val="20"/>
        </w:rPr>
        <w:t xml:space="preserve"> </w:t>
      </w:r>
      <w:r>
        <w:rPr>
          <w:sz w:val="20"/>
          <w:szCs w:val="20"/>
        </w:rPr>
        <w:t xml:space="preserve">EUR _____ thousand). In addition, the Group’s contingent liabilities related to the joint ventures incurred jointly with the other investors in the joint ventures amount to EUR _____ thousand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w:t>
      </w:r>
      <w:r w:rsidR="00FF468A">
        <w:rPr>
          <w:sz w:val="20"/>
          <w:szCs w:val="20"/>
        </w:rPr>
        <w:t>2024</w:t>
      </w:r>
      <w:r>
        <w:rPr>
          <w:sz w:val="20"/>
          <w:szCs w:val="20"/>
        </w:rPr>
        <w:t>:</w:t>
      </w:r>
      <w:r w:rsidR="00160220">
        <w:rPr>
          <w:sz w:val="20"/>
          <w:szCs w:val="20"/>
        </w:rPr>
        <w:t xml:space="preserve"> </w:t>
      </w:r>
      <w:r>
        <w:rPr>
          <w:sz w:val="20"/>
          <w:szCs w:val="20"/>
        </w:rPr>
        <w:t>EUR _____ thousand).</w:t>
      </w:r>
    </w:p>
    <w:p w14:paraId="680CF504" w14:textId="005480CF" w:rsidR="008E5DE4" w:rsidRDefault="00780368">
      <w:pPr>
        <w:widowControl w:val="0"/>
        <w:spacing w:before="200" w:after="200"/>
        <w:jc w:val="both"/>
        <w:rPr>
          <w:sz w:val="20"/>
          <w:szCs w:val="20"/>
        </w:rPr>
      </w:pPr>
      <w:r>
        <w:rPr>
          <w:sz w:val="20"/>
          <w:szCs w:val="20"/>
        </w:rPr>
        <w:t xml:space="preserve">The carrying value of the Group’s investment in joint venture _____ is nil. The unrecognised share of loss of this joint venture is EUR _____ thousand for </w:t>
      </w:r>
      <w:r w:rsidR="008614F8">
        <w:rPr>
          <w:sz w:val="20"/>
          <w:szCs w:val="20"/>
        </w:rPr>
        <w:t>2025</w:t>
      </w:r>
      <w:r>
        <w:rPr>
          <w:sz w:val="20"/>
          <w:szCs w:val="20"/>
        </w:rPr>
        <w:t xml:space="preserve"> (</w:t>
      </w:r>
      <w:r w:rsidR="00FF468A">
        <w:rPr>
          <w:sz w:val="20"/>
          <w:szCs w:val="20"/>
        </w:rPr>
        <w:t>2024</w:t>
      </w:r>
      <w:r>
        <w:rPr>
          <w:sz w:val="20"/>
          <w:szCs w:val="20"/>
        </w:rPr>
        <w:t>:</w:t>
      </w:r>
      <w:r w:rsidR="00160220">
        <w:rPr>
          <w:sz w:val="20"/>
          <w:szCs w:val="20"/>
        </w:rPr>
        <w:t xml:space="preserve"> </w:t>
      </w:r>
      <w:r>
        <w:rPr>
          <w:sz w:val="20"/>
          <w:szCs w:val="20"/>
        </w:rPr>
        <w:t>EUR _____ thousand). Cumulatively, the unrecognised share of losses of this joint venture is EUR _____ thousand (</w:t>
      </w:r>
      <w:r w:rsidR="00FF468A">
        <w:rPr>
          <w:sz w:val="20"/>
          <w:szCs w:val="20"/>
        </w:rPr>
        <w:t>2024</w:t>
      </w:r>
      <w:r>
        <w:rPr>
          <w:sz w:val="20"/>
          <w:szCs w:val="20"/>
        </w:rPr>
        <w:t>:</w:t>
      </w:r>
      <w:r w:rsidR="00160220">
        <w:rPr>
          <w:sz w:val="20"/>
          <w:szCs w:val="20"/>
        </w:rPr>
        <w:t xml:space="preserve"> </w:t>
      </w:r>
      <w:r>
        <w:rPr>
          <w:sz w:val="20"/>
          <w:szCs w:val="20"/>
        </w:rPr>
        <w:t>EUR _____ thousand).</w:t>
      </w:r>
    </w:p>
    <w:p w14:paraId="58564FB8" w14:textId="77777777" w:rsidR="00940E55" w:rsidRDefault="00940E55">
      <w:pPr>
        <w:rPr>
          <w:b/>
          <w:kern w:val="28"/>
          <w:sz w:val="20"/>
        </w:rPr>
      </w:pPr>
      <w:bookmarkStart w:id="24" w:name="_Toc149923614"/>
      <w:r>
        <w:br w:type="page"/>
      </w:r>
    </w:p>
    <w:p w14:paraId="54207F3B" w14:textId="7F8ED4FC" w:rsidR="008E5DE4" w:rsidRDefault="00940E55" w:rsidP="007F183E">
      <w:pPr>
        <w:pStyle w:val="Heading1"/>
        <w:numPr>
          <w:ilvl w:val="0"/>
          <w:numId w:val="0"/>
        </w:numPr>
        <w:ind w:left="720" w:hanging="720"/>
      </w:pPr>
      <w:r>
        <w:lastRenderedPageBreak/>
        <w:t>15</w:t>
      </w:r>
      <w:r>
        <w:tab/>
      </w:r>
      <w:r w:rsidR="00780368">
        <w:t>Finance Lease Receivables</w:t>
      </w:r>
      <w:bookmarkEnd w:id="24"/>
    </w:p>
    <w:p w14:paraId="7DBDE008" w14:textId="600D4523"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5C3B20BF" w14:textId="7FE2C05F" w:rsidR="008E5DE4" w:rsidRDefault="00780368">
      <w:pPr>
        <w:shd w:val="clear" w:color="auto" w:fill="C6D9F1"/>
        <w:spacing w:before="200" w:after="200"/>
        <w:jc w:val="both"/>
        <w:rPr>
          <w:sz w:val="20"/>
          <w:szCs w:val="20"/>
        </w:rPr>
      </w:pPr>
      <w:r>
        <w:rPr>
          <w:b/>
          <w:i/>
          <w:sz w:val="20"/>
          <w:szCs w:val="20"/>
        </w:rPr>
        <w:t>Finance lease receivables.</w:t>
      </w:r>
      <w:r>
        <w:rPr>
          <w:sz w:val="20"/>
          <w:szCs w:val="20"/>
        </w:rPr>
        <w:t xml:space="preserve"> Where the Group is a lessor in a lease which transfers substantially all the risks and rewards incidental to ownership to the lessee, the assets leased out are presented as a finance lease receivable at amount equal to the net investment in the lease. At the commencement date measurement of the net investment in the lease comprises the following lease payments:</w:t>
      </w:r>
    </w:p>
    <w:p w14:paraId="6364248A"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fixed payments (including in-substance fixed payments), less any lease incentives payable,</w:t>
      </w:r>
    </w:p>
    <w:p w14:paraId="13DAA438"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variable lease payment that are based on an index or a rate, initially measured using the index or rate as at the commencement date,</w:t>
      </w:r>
    </w:p>
    <w:p w14:paraId="45DAA2E7"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amounts expected to be receivable by the Group under residual value guarantees,</w:t>
      </w:r>
    </w:p>
    <w:p w14:paraId="6FA85859"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the exercise price of a purchase option if the lessee is reasonably certain to exercise that option, and</w:t>
      </w:r>
    </w:p>
    <w:p w14:paraId="285245C5" w14:textId="77777777" w:rsidR="008E5DE4" w:rsidRDefault="00780368">
      <w:pPr>
        <w:widowControl w:val="0"/>
        <w:numPr>
          <w:ilvl w:val="0"/>
          <w:numId w:val="16"/>
        </w:numPr>
        <w:pBdr>
          <w:top w:val="nil"/>
          <w:left w:val="nil"/>
          <w:bottom w:val="nil"/>
          <w:right w:val="nil"/>
          <w:between w:val="nil"/>
        </w:pBdr>
        <w:shd w:val="clear" w:color="auto" w:fill="C6D9F1"/>
        <w:spacing w:before="100" w:after="100"/>
        <w:jc w:val="both"/>
      </w:pPr>
      <w:r>
        <w:rPr>
          <w:color w:val="000000"/>
          <w:sz w:val="20"/>
          <w:szCs w:val="20"/>
        </w:rPr>
        <w:t>payments of penalties for terminating the lease, if the lease term reflects the lessee exercising that option.</w:t>
      </w:r>
    </w:p>
    <w:p w14:paraId="774B5EB8"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Finance lease receivables are initially recognised at commencement (when the lease term begins), using a discount rate implicit in the lease to measure net investment in the lease.</w:t>
      </w:r>
    </w:p>
    <w:p w14:paraId="217DB5FA"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15</w:t>
      </w:r>
      <w:r>
        <w:rPr>
          <w:b/>
          <w:color w:val="000000"/>
          <w:sz w:val="20"/>
          <w:szCs w:val="20"/>
        </w:rPr>
        <w:tab/>
        <w:t>Finance Lease Receivables (Continued)</w:t>
      </w:r>
    </w:p>
    <w:p w14:paraId="6EBAF87B" w14:textId="44DE25F1"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The difference between the gross receivable and the present value represents unearned finance income. This income is recognised over the term of the lease using the net investment method (before tax), which reflects a constant periodic rate of return. Incremental costs directly attributable to negotiating and arranging the lease are included in the initial measurement of the finance lease receivable and reduce the amount of income recognised over the lease term</w:t>
      </w:r>
      <w:r w:rsidR="00160220">
        <w:rPr>
          <w:color w:val="000000"/>
          <w:sz w:val="20"/>
          <w:szCs w:val="20"/>
        </w:rPr>
        <w:t xml:space="preserve"> </w:t>
      </w:r>
      <w:r>
        <w:rPr>
          <w:color w:val="0000FF"/>
          <w:sz w:val="20"/>
          <w:szCs w:val="20"/>
        </w:rPr>
        <w:t>[, except where the Group acts as a manufacturer or dealer lessor, in which case such costs are expensed as part of the selling profit similarly to outright sales]</w:t>
      </w:r>
      <w:r>
        <w:rPr>
          <w:color w:val="000000"/>
          <w:sz w:val="20"/>
          <w:szCs w:val="20"/>
        </w:rPr>
        <w:t xml:space="preserve">. Finance income from leases is recorded within </w:t>
      </w:r>
      <w:r>
        <w:rPr>
          <w:color w:val="0000FF"/>
          <w:sz w:val="20"/>
          <w:szCs w:val="20"/>
        </w:rPr>
        <w:t>[other income]</w:t>
      </w:r>
      <w:r>
        <w:rPr>
          <w:color w:val="000000"/>
          <w:sz w:val="20"/>
          <w:szCs w:val="20"/>
        </w:rPr>
        <w:t xml:space="preserve"> in profit or loss for the year.</w:t>
      </w:r>
    </w:p>
    <w:p w14:paraId="15DB7D86"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Credit loss allowance is recognised </w:t>
      </w:r>
      <w:r>
        <w:rPr>
          <w:color w:val="0000FF"/>
          <w:sz w:val="20"/>
          <w:szCs w:val="20"/>
        </w:rPr>
        <w:t xml:space="preserve">[using a simplified approach at lifetime ECL. The ECL is determined in the same way as for trade receivables.] [in accordance with the general ECL model.] </w:t>
      </w:r>
      <w:r>
        <w:rPr>
          <w:color w:val="000000"/>
          <w:sz w:val="20"/>
          <w:szCs w:val="20"/>
        </w:rPr>
        <w:t>The ECL is recognised through an allowance account to write down the receivables’ net carrying amount to the present value of expected cash flows discounted at the interest rates implicit in the finance leases. The estimated future cash flows reflect the cash flows that may result from obtaining and selling the assets subject to the lease.</w:t>
      </w:r>
    </w:p>
    <w:tbl>
      <w:tblPr>
        <w:tblStyle w:val="afffa"/>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1B7556EC" w14:textId="77777777">
        <w:tc>
          <w:tcPr>
            <w:tcW w:w="9571" w:type="dxa"/>
          </w:tcPr>
          <w:p w14:paraId="206B3474" w14:textId="77777777" w:rsidR="008E5DE4" w:rsidRDefault="00780368">
            <w:pPr>
              <w:rPr>
                <w:b/>
                <w:i/>
                <w:sz w:val="20"/>
                <w:szCs w:val="20"/>
              </w:rPr>
            </w:pPr>
            <w:r>
              <w:rPr>
                <w:b/>
                <w:i/>
                <w:sz w:val="20"/>
                <w:szCs w:val="20"/>
              </w:rPr>
              <w:t>Critical Accounting Estimates and Judgments in Applying Accounting Policies</w:t>
            </w:r>
          </w:p>
          <w:p w14:paraId="4BC81783" w14:textId="77777777" w:rsidR="008E5DE4" w:rsidRDefault="008E5DE4">
            <w:pPr>
              <w:rPr>
                <w:b/>
                <w:i/>
                <w:sz w:val="20"/>
                <w:szCs w:val="20"/>
              </w:rPr>
            </w:pPr>
          </w:p>
          <w:p w14:paraId="563AE078" w14:textId="38FAE9FC"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Classification of leases from the lessor’s perspective.</w:t>
            </w:r>
            <w:r>
              <w:rPr>
                <w:color w:val="000000"/>
                <w:sz w:val="20"/>
                <w:szCs w:val="20"/>
              </w:rPr>
              <w:t xml:space="preserve"> Management applies judgement to determine if substantially all the significant risks and rewards of ownership of lease assets where the Group is a lessor are transferred to counterparties, in particular which risks and rewards are the most significant and what constitutes substantially all risks and rewards.  </w:t>
            </w:r>
          </w:p>
          <w:p w14:paraId="55438C97" w14:textId="45843F0E" w:rsidR="008E5DE4" w:rsidRDefault="00780368" w:rsidP="007F183E">
            <w:pPr>
              <w:widowControl w:val="0"/>
              <w:pBdr>
                <w:top w:val="nil"/>
                <w:left w:val="nil"/>
                <w:bottom w:val="nil"/>
                <w:right w:val="nil"/>
                <w:between w:val="nil"/>
              </w:pBdr>
              <w:spacing w:before="200" w:after="200"/>
              <w:jc w:val="both"/>
            </w:pPr>
            <w:r>
              <w:rPr>
                <w:b/>
                <w:i/>
                <w:color w:val="000000"/>
                <w:sz w:val="20"/>
                <w:szCs w:val="20"/>
              </w:rPr>
              <w:t>Derecognition of finance lease receivables.</w:t>
            </w:r>
          </w:p>
        </w:tc>
      </w:tr>
    </w:tbl>
    <w:p w14:paraId="7F945BF2" w14:textId="77777777" w:rsidR="008E5DE4" w:rsidRDefault="008E5DE4"/>
    <w:p w14:paraId="7998464D"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maturity analysis of the finance lease payments receivable is as follows:</w:t>
      </w:r>
    </w:p>
    <w:tbl>
      <w:tblPr>
        <w:tblStyle w:val="afffb"/>
        <w:tblW w:w="9583" w:type="dxa"/>
        <w:tblLayout w:type="fixed"/>
        <w:tblLook w:val="0000" w:firstRow="0" w:lastRow="0" w:firstColumn="0" w:lastColumn="0" w:noHBand="0" w:noVBand="0"/>
      </w:tblPr>
      <w:tblGrid>
        <w:gridCol w:w="6521"/>
        <w:gridCol w:w="1531"/>
        <w:gridCol w:w="1531"/>
      </w:tblGrid>
      <w:tr w:rsidR="008E5DE4" w14:paraId="72B7C9FB" w14:textId="77777777">
        <w:trPr>
          <w:cantSplit/>
        </w:trPr>
        <w:tc>
          <w:tcPr>
            <w:tcW w:w="6521" w:type="dxa"/>
            <w:tcBorders>
              <w:bottom w:val="single" w:sz="4" w:space="0" w:color="000000"/>
            </w:tcBorders>
            <w:vAlign w:val="bottom"/>
          </w:tcPr>
          <w:p w14:paraId="61CDEDAF"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1531" w:type="dxa"/>
            <w:tcBorders>
              <w:bottom w:val="single" w:sz="4" w:space="0" w:color="000000"/>
            </w:tcBorders>
          </w:tcPr>
          <w:p w14:paraId="34243A33" w14:textId="2B7220EA" w:rsidR="008E5DE4" w:rsidRDefault="00780368">
            <w:pPr>
              <w:widowControl w:val="0"/>
              <w:pBdr>
                <w:top w:val="nil"/>
                <w:left w:val="nil"/>
                <w:bottom w:val="nil"/>
                <w:right w:val="nil"/>
                <w:between w:val="nil"/>
              </w:pBdr>
              <w:jc w:val="right"/>
              <w:rPr>
                <w:b/>
                <w:color w:val="000000"/>
              </w:rPr>
            </w:pPr>
            <w:r>
              <w:rPr>
                <w:b/>
                <w:color w:val="000000"/>
              </w:rPr>
              <w:t xml:space="preserve">31 December </w:t>
            </w:r>
            <w:r w:rsidR="008614F8">
              <w:rPr>
                <w:b/>
                <w:color w:val="000000"/>
              </w:rPr>
              <w:t>2025</w:t>
            </w:r>
          </w:p>
        </w:tc>
        <w:tc>
          <w:tcPr>
            <w:tcW w:w="1531" w:type="dxa"/>
            <w:tcBorders>
              <w:bottom w:val="single" w:sz="4" w:space="0" w:color="000000"/>
            </w:tcBorders>
            <w:vAlign w:val="bottom"/>
          </w:tcPr>
          <w:p w14:paraId="6CD99862" w14:textId="51737338" w:rsidR="008E5DE4" w:rsidRDefault="00780368">
            <w:pPr>
              <w:widowControl w:val="0"/>
              <w:pBdr>
                <w:top w:val="nil"/>
                <w:left w:val="nil"/>
                <w:bottom w:val="nil"/>
                <w:right w:val="nil"/>
                <w:between w:val="nil"/>
              </w:pBdr>
              <w:jc w:val="right"/>
              <w:rPr>
                <w:b/>
                <w:color w:val="000000"/>
              </w:rPr>
            </w:pPr>
            <w:r>
              <w:rPr>
                <w:b/>
                <w:color w:val="000000"/>
              </w:rPr>
              <w:t xml:space="preserve">31 December </w:t>
            </w:r>
            <w:r w:rsidR="00FF468A">
              <w:rPr>
                <w:b/>
                <w:color w:val="000000"/>
              </w:rPr>
              <w:t>2024</w:t>
            </w:r>
          </w:p>
        </w:tc>
      </w:tr>
      <w:tr w:rsidR="008E5DE4" w14:paraId="1B00551D" w14:textId="77777777">
        <w:trPr>
          <w:cantSplit/>
        </w:trPr>
        <w:tc>
          <w:tcPr>
            <w:tcW w:w="6521" w:type="dxa"/>
            <w:vAlign w:val="bottom"/>
          </w:tcPr>
          <w:p w14:paraId="0FCC8F0F"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Pr>
          <w:p w14:paraId="3598E31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54C4BAF" w14:textId="77777777" w:rsidR="008E5DE4" w:rsidRDefault="008E5DE4">
            <w:pPr>
              <w:widowControl w:val="0"/>
              <w:pBdr>
                <w:top w:val="nil"/>
                <w:left w:val="nil"/>
                <w:bottom w:val="nil"/>
                <w:right w:val="nil"/>
                <w:between w:val="nil"/>
              </w:pBdr>
              <w:jc w:val="right"/>
              <w:rPr>
                <w:color w:val="000000"/>
              </w:rPr>
            </w:pPr>
          </w:p>
        </w:tc>
      </w:tr>
      <w:tr w:rsidR="008E5DE4" w14:paraId="2DA16665" w14:textId="77777777">
        <w:trPr>
          <w:cantSplit/>
        </w:trPr>
        <w:tc>
          <w:tcPr>
            <w:tcW w:w="6521" w:type="dxa"/>
            <w:vAlign w:val="bottom"/>
          </w:tcPr>
          <w:p w14:paraId="76CDF985" w14:textId="77777777" w:rsidR="008E5DE4" w:rsidRPr="00160220" w:rsidRDefault="00780368">
            <w:pPr>
              <w:widowControl w:val="0"/>
              <w:pBdr>
                <w:top w:val="nil"/>
                <w:left w:val="nil"/>
                <w:bottom w:val="nil"/>
                <w:right w:val="nil"/>
                <w:between w:val="nil"/>
              </w:pBdr>
              <w:rPr>
                <w:color w:val="0000FF"/>
              </w:rPr>
            </w:pPr>
            <w:r w:rsidRPr="00160220">
              <w:rPr>
                <w:color w:val="0000FF"/>
              </w:rPr>
              <w:t>1 year</w:t>
            </w:r>
          </w:p>
        </w:tc>
        <w:tc>
          <w:tcPr>
            <w:tcW w:w="1531" w:type="dxa"/>
          </w:tcPr>
          <w:p w14:paraId="56EA682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9AAEF0B" w14:textId="77777777" w:rsidR="008E5DE4" w:rsidRDefault="008E5DE4">
            <w:pPr>
              <w:widowControl w:val="0"/>
              <w:pBdr>
                <w:top w:val="nil"/>
                <w:left w:val="nil"/>
                <w:bottom w:val="nil"/>
                <w:right w:val="nil"/>
                <w:between w:val="nil"/>
              </w:pBdr>
              <w:jc w:val="right"/>
              <w:rPr>
                <w:color w:val="000000"/>
              </w:rPr>
            </w:pPr>
          </w:p>
        </w:tc>
      </w:tr>
      <w:tr w:rsidR="008E5DE4" w14:paraId="61189CB7" w14:textId="77777777">
        <w:trPr>
          <w:cantSplit/>
        </w:trPr>
        <w:tc>
          <w:tcPr>
            <w:tcW w:w="6521" w:type="dxa"/>
            <w:vAlign w:val="bottom"/>
          </w:tcPr>
          <w:p w14:paraId="23E1EBA9" w14:textId="77777777" w:rsidR="008E5DE4" w:rsidRPr="00160220" w:rsidRDefault="00780368">
            <w:pPr>
              <w:widowControl w:val="0"/>
              <w:pBdr>
                <w:top w:val="nil"/>
                <w:left w:val="nil"/>
                <w:bottom w:val="nil"/>
                <w:right w:val="nil"/>
                <w:between w:val="nil"/>
              </w:pBdr>
              <w:rPr>
                <w:color w:val="0000FF"/>
              </w:rPr>
            </w:pPr>
            <w:r w:rsidRPr="00160220">
              <w:rPr>
                <w:color w:val="0000FF"/>
              </w:rPr>
              <w:t xml:space="preserve">2 </w:t>
            </w:r>
            <w:proofErr w:type="gramStart"/>
            <w:r w:rsidRPr="00160220">
              <w:rPr>
                <w:color w:val="0000FF"/>
              </w:rPr>
              <w:t>year</w:t>
            </w:r>
            <w:proofErr w:type="gramEnd"/>
          </w:p>
        </w:tc>
        <w:tc>
          <w:tcPr>
            <w:tcW w:w="1531" w:type="dxa"/>
          </w:tcPr>
          <w:p w14:paraId="2D1A8A5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E3ACEB3" w14:textId="77777777" w:rsidR="008E5DE4" w:rsidRDefault="008E5DE4">
            <w:pPr>
              <w:widowControl w:val="0"/>
              <w:pBdr>
                <w:top w:val="nil"/>
                <w:left w:val="nil"/>
                <w:bottom w:val="nil"/>
                <w:right w:val="nil"/>
                <w:between w:val="nil"/>
              </w:pBdr>
              <w:jc w:val="right"/>
              <w:rPr>
                <w:color w:val="000000"/>
              </w:rPr>
            </w:pPr>
          </w:p>
        </w:tc>
      </w:tr>
      <w:tr w:rsidR="008E5DE4" w14:paraId="4B80B63E" w14:textId="77777777">
        <w:trPr>
          <w:cantSplit/>
        </w:trPr>
        <w:tc>
          <w:tcPr>
            <w:tcW w:w="6521" w:type="dxa"/>
            <w:vAlign w:val="bottom"/>
          </w:tcPr>
          <w:p w14:paraId="084103B5" w14:textId="77777777" w:rsidR="008E5DE4" w:rsidRPr="00160220" w:rsidRDefault="00780368">
            <w:pPr>
              <w:widowControl w:val="0"/>
              <w:pBdr>
                <w:top w:val="nil"/>
                <w:left w:val="nil"/>
                <w:bottom w:val="nil"/>
                <w:right w:val="nil"/>
                <w:between w:val="nil"/>
              </w:pBdr>
              <w:rPr>
                <w:color w:val="0000FF"/>
              </w:rPr>
            </w:pPr>
            <w:r w:rsidRPr="00160220">
              <w:rPr>
                <w:color w:val="0000FF"/>
              </w:rPr>
              <w:t xml:space="preserve">3 </w:t>
            </w:r>
            <w:proofErr w:type="gramStart"/>
            <w:r w:rsidRPr="00160220">
              <w:rPr>
                <w:color w:val="0000FF"/>
              </w:rPr>
              <w:t>year</w:t>
            </w:r>
            <w:proofErr w:type="gramEnd"/>
          </w:p>
        </w:tc>
        <w:tc>
          <w:tcPr>
            <w:tcW w:w="1531" w:type="dxa"/>
          </w:tcPr>
          <w:p w14:paraId="4137E77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8B74FE5" w14:textId="77777777" w:rsidR="008E5DE4" w:rsidRDefault="008E5DE4">
            <w:pPr>
              <w:widowControl w:val="0"/>
              <w:pBdr>
                <w:top w:val="nil"/>
                <w:left w:val="nil"/>
                <w:bottom w:val="nil"/>
                <w:right w:val="nil"/>
                <w:between w:val="nil"/>
              </w:pBdr>
              <w:jc w:val="right"/>
              <w:rPr>
                <w:color w:val="000000"/>
              </w:rPr>
            </w:pPr>
          </w:p>
        </w:tc>
      </w:tr>
      <w:tr w:rsidR="008E5DE4" w14:paraId="6340124A" w14:textId="77777777">
        <w:trPr>
          <w:cantSplit/>
        </w:trPr>
        <w:tc>
          <w:tcPr>
            <w:tcW w:w="6521" w:type="dxa"/>
            <w:vAlign w:val="bottom"/>
          </w:tcPr>
          <w:p w14:paraId="23DC4F41" w14:textId="77777777" w:rsidR="008E5DE4" w:rsidRPr="00160220" w:rsidRDefault="00780368">
            <w:pPr>
              <w:widowControl w:val="0"/>
              <w:pBdr>
                <w:top w:val="nil"/>
                <w:left w:val="nil"/>
                <w:bottom w:val="nil"/>
                <w:right w:val="nil"/>
                <w:between w:val="nil"/>
              </w:pBdr>
              <w:rPr>
                <w:color w:val="0000FF"/>
              </w:rPr>
            </w:pPr>
            <w:r w:rsidRPr="00160220">
              <w:rPr>
                <w:color w:val="0000FF"/>
              </w:rPr>
              <w:t xml:space="preserve">4 </w:t>
            </w:r>
            <w:proofErr w:type="gramStart"/>
            <w:r w:rsidRPr="00160220">
              <w:rPr>
                <w:color w:val="0000FF"/>
              </w:rPr>
              <w:t>year</w:t>
            </w:r>
            <w:proofErr w:type="gramEnd"/>
          </w:p>
        </w:tc>
        <w:tc>
          <w:tcPr>
            <w:tcW w:w="1531" w:type="dxa"/>
          </w:tcPr>
          <w:p w14:paraId="55D9253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6757617" w14:textId="77777777" w:rsidR="008E5DE4" w:rsidRDefault="008E5DE4">
            <w:pPr>
              <w:widowControl w:val="0"/>
              <w:pBdr>
                <w:top w:val="nil"/>
                <w:left w:val="nil"/>
                <w:bottom w:val="nil"/>
                <w:right w:val="nil"/>
                <w:between w:val="nil"/>
              </w:pBdr>
              <w:jc w:val="right"/>
              <w:rPr>
                <w:color w:val="000000"/>
              </w:rPr>
            </w:pPr>
          </w:p>
        </w:tc>
      </w:tr>
      <w:tr w:rsidR="008E5DE4" w14:paraId="458480CF" w14:textId="77777777">
        <w:trPr>
          <w:cantSplit/>
        </w:trPr>
        <w:tc>
          <w:tcPr>
            <w:tcW w:w="6521" w:type="dxa"/>
            <w:vAlign w:val="bottom"/>
          </w:tcPr>
          <w:p w14:paraId="2C0A9B18" w14:textId="77777777" w:rsidR="008E5DE4" w:rsidRPr="00160220" w:rsidRDefault="00780368">
            <w:pPr>
              <w:widowControl w:val="0"/>
              <w:pBdr>
                <w:top w:val="nil"/>
                <w:left w:val="nil"/>
                <w:bottom w:val="nil"/>
                <w:right w:val="nil"/>
                <w:between w:val="nil"/>
              </w:pBdr>
              <w:rPr>
                <w:color w:val="0000FF"/>
              </w:rPr>
            </w:pPr>
            <w:r w:rsidRPr="00160220">
              <w:rPr>
                <w:color w:val="0000FF"/>
              </w:rPr>
              <w:t xml:space="preserve">5 </w:t>
            </w:r>
            <w:proofErr w:type="gramStart"/>
            <w:r w:rsidRPr="00160220">
              <w:rPr>
                <w:color w:val="0000FF"/>
              </w:rPr>
              <w:t>year</w:t>
            </w:r>
            <w:proofErr w:type="gramEnd"/>
          </w:p>
        </w:tc>
        <w:tc>
          <w:tcPr>
            <w:tcW w:w="1531" w:type="dxa"/>
          </w:tcPr>
          <w:p w14:paraId="2DECA50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A832DE4" w14:textId="77777777" w:rsidR="008E5DE4" w:rsidRDefault="008E5DE4">
            <w:pPr>
              <w:widowControl w:val="0"/>
              <w:pBdr>
                <w:top w:val="nil"/>
                <w:left w:val="nil"/>
                <w:bottom w:val="nil"/>
                <w:right w:val="nil"/>
                <w:between w:val="nil"/>
              </w:pBdr>
              <w:jc w:val="right"/>
              <w:rPr>
                <w:color w:val="000000"/>
              </w:rPr>
            </w:pPr>
          </w:p>
        </w:tc>
      </w:tr>
      <w:tr w:rsidR="008E5DE4" w14:paraId="5A9F245C" w14:textId="77777777">
        <w:trPr>
          <w:cantSplit/>
        </w:trPr>
        <w:tc>
          <w:tcPr>
            <w:tcW w:w="6521" w:type="dxa"/>
            <w:vAlign w:val="bottom"/>
          </w:tcPr>
          <w:p w14:paraId="074E5E25" w14:textId="77777777" w:rsidR="008E5DE4" w:rsidRPr="00160220" w:rsidRDefault="00780368">
            <w:pPr>
              <w:widowControl w:val="0"/>
              <w:pBdr>
                <w:top w:val="nil"/>
                <w:left w:val="nil"/>
                <w:bottom w:val="nil"/>
                <w:right w:val="nil"/>
                <w:between w:val="nil"/>
              </w:pBdr>
              <w:rPr>
                <w:color w:val="0000FF"/>
              </w:rPr>
            </w:pPr>
            <w:r w:rsidRPr="00160220">
              <w:rPr>
                <w:color w:val="0000FF"/>
              </w:rPr>
              <w:t>Later than 5 years</w:t>
            </w:r>
          </w:p>
        </w:tc>
        <w:tc>
          <w:tcPr>
            <w:tcW w:w="1531" w:type="dxa"/>
          </w:tcPr>
          <w:p w14:paraId="647E55D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DB09709" w14:textId="77777777" w:rsidR="008E5DE4" w:rsidRDefault="008E5DE4">
            <w:pPr>
              <w:widowControl w:val="0"/>
              <w:pBdr>
                <w:top w:val="nil"/>
                <w:left w:val="nil"/>
                <w:bottom w:val="nil"/>
                <w:right w:val="nil"/>
                <w:between w:val="nil"/>
              </w:pBdr>
              <w:jc w:val="right"/>
              <w:rPr>
                <w:color w:val="000000"/>
              </w:rPr>
            </w:pPr>
          </w:p>
        </w:tc>
      </w:tr>
      <w:tr w:rsidR="008E5DE4" w14:paraId="3CF5F439" w14:textId="77777777">
        <w:trPr>
          <w:cantSplit/>
        </w:trPr>
        <w:tc>
          <w:tcPr>
            <w:tcW w:w="6521" w:type="dxa"/>
            <w:tcBorders>
              <w:bottom w:val="single" w:sz="4" w:space="0" w:color="000000"/>
            </w:tcBorders>
            <w:vAlign w:val="bottom"/>
          </w:tcPr>
          <w:p w14:paraId="2642D370"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bottom w:val="single" w:sz="4" w:space="0" w:color="000000"/>
            </w:tcBorders>
          </w:tcPr>
          <w:p w14:paraId="6CB6266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22EB6E5F" w14:textId="77777777" w:rsidR="008E5DE4" w:rsidRDefault="008E5DE4">
            <w:pPr>
              <w:widowControl w:val="0"/>
              <w:pBdr>
                <w:top w:val="nil"/>
                <w:left w:val="nil"/>
                <w:bottom w:val="nil"/>
                <w:right w:val="nil"/>
                <w:between w:val="nil"/>
              </w:pBdr>
              <w:jc w:val="right"/>
              <w:rPr>
                <w:color w:val="000000"/>
              </w:rPr>
            </w:pPr>
          </w:p>
        </w:tc>
      </w:tr>
      <w:tr w:rsidR="008E5DE4" w14:paraId="361DB55C" w14:textId="77777777">
        <w:trPr>
          <w:cantSplit/>
        </w:trPr>
        <w:tc>
          <w:tcPr>
            <w:tcW w:w="6521" w:type="dxa"/>
            <w:vAlign w:val="bottom"/>
          </w:tcPr>
          <w:p w14:paraId="42A71403" w14:textId="77777777" w:rsidR="008E5DE4" w:rsidRDefault="00780368">
            <w:pPr>
              <w:widowControl w:val="0"/>
            </w:pPr>
            <w:r>
              <w:rPr>
                <w:b/>
              </w:rPr>
              <w:t> </w:t>
            </w:r>
          </w:p>
        </w:tc>
        <w:tc>
          <w:tcPr>
            <w:tcW w:w="1531" w:type="dxa"/>
          </w:tcPr>
          <w:p w14:paraId="1EB780BF"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0D2E812" w14:textId="77777777" w:rsidR="008E5DE4" w:rsidRDefault="008E5DE4">
            <w:pPr>
              <w:widowControl w:val="0"/>
              <w:pBdr>
                <w:top w:val="nil"/>
                <w:left w:val="nil"/>
                <w:bottom w:val="nil"/>
                <w:right w:val="nil"/>
                <w:between w:val="nil"/>
              </w:pBdr>
              <w:jc w:val="right"/>
              <w:rPr>
                <w:b/>
                <w:color w:val="000000"/>
              </w:rPr>
            </w:pPr>
          </w:p>
        </w:tc>
      </w:tr>
      <w:tr w:rsidR="008E5DE4" w14:paraId="53BAB765" w14:textId="77777777">
        <w:trPr>
          <w:cantSplit/>
        </w:trPr>
        <w:tc>
          <w:tcPr>
            <w:tcW w:w="6521" w:type="dxa"/>
            <w:vAlign w:val="bottom"/>
          </w:tcPr>
          <w:p w14:paraId="2CC35474" w14:textId="77777777" w:rsidR="008E5DE4" w:rsidRDefault="00780368">
            <w:pPr>
              <w:widowControl w:val="0"/>
              <w:pBdr>
                <w:top w:val="nil"/>
                <w:left w:val="nil"/>
                <w:bottom w:val="nil"/>
                <w:right w:val="nil"/>
                <w:between w:val="nil"/>
              </w:pBdr>
              <w:rPr>
                <w:b/>
                <w:color w:val="000000"/>
              </w:rPr>
            </w:pPr>
            <w:r>
              <w:rPr>
                <w:b/>
                <w:color w:val="000000"/>
              </w:rPr>
              <w:t xml:space="preserve">Total undiscounted finance lease payments receivable </w:t>
            </w:r>
            <w:proofErr w:type="gramStart"/>
            <w:r>
              <w:rPr>
                <w:b/>
                <w:color w:val="000000"/>
              </w:rPr>
              <w:t>at</w:t>
            </w:r>
            <w:proofErr w:type="gramEnd"/>
            <w:r>
              <w:rPr>
                <w:b/>
                <w:color w:val="000000"/>
              </w:rPr>
              <w:t xml:space="preserve"> 31 December</w:t>
            </w:r>
          </w:p>
        </w:tc>
        <w:tc>
          <w:tcPr>
            <w:tcW w:w="1531" w:type="dxa"/>
          </w:tcPr>
          <w:p w14:paraId="5C8BB6C3"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6EF41C2" w14:textId="77777777" w:rsidR="008E5DE4" w:rsidRDefault="008E5DE4">
            <w:pPr>
              <w:widowControl w:val="0"/>
              <w:pBdr>
                <w:top w:val="nil"/>
                <w:left w:val="nil"/>
                <w:bottom w:val="nil"/>
                <w:right w:val="nil"/>
                <w:between w:val="nil"/>
              </w:pBdr>
              <w:jc w:val="right"/>
              <w:rPr>
                <w:b/>
                <w:color w:val="000000"/>
              </w:rPr>
            </w:pPr>
          </w:p>
        </w:tc>
      </w:tr>
      <w:tr w:rsidR="008E5DE4" w14:paraId="667C052A" w14:textId="77777777">
        <w:trPr>
          <w:cantSplit/>
        </w:trPr>
        <w:tc>
          <w:tcPr>
            <w:tcW w:w="6521" w:type="dxa"/>
            <w:tcBorders>
              <w:bottom w:val="single" w:sz="4" w:space="0" w:color="000000"/>
            </w:tcBorders>
            <w:vAlign w:val="bottom"/>
          </w:tcPr>
          <w:p w14:paraId="3D1A8AB6" w14:textId="77777777" w:rsidR="008E5DE4" w:rsidRDefault="008E5DE4">
            <w:pPr>
              <w:widowControl w:val="0"/>
              <w:pBdr>
                <w:top w:val="nil"/>
                <w:left w:val="nil"/>
                <w:bottom w:val="nil"/>
                <w:right w:val="nil"/>
                <w:between w:val="nil"/>
              </w:pBdr>
              <w:rPr>
                <w:b/>
                <w:color w:val="000000"/>
              </w:rPr>
            </w:pPr>
          </w:p>
        </w:tc>
        <w:tc>
          <w:tcPr>
            <w:tcW w:w="1531" w:type="dxa"/>
            <w:tcBorders>
              <w:bottom w:val="single" w:sz="4" w:space="0" w:color="000000"/>
            </w:tcBorders>
          </w:tcPr>
          <w:p w14:paraId="3E484CF9"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4" w:space="0" w:color="000000"/>
            </w:tcBorders>
            <w:vAlign w:val="bottom"/>
          </w:tcPr>
          <w:p w14:paraId="76BDB2A9" w14:textId="77777777" w:rsidR="008E5DE4" w:rsidRDefault="008E5DE4">
            <w:pPr>
              <w:widowControl w:val="0"/>
              <w:pBdr>
                <w:top w:val="nil"/>
                <w:left w:val="nil"/>
                <w:bottom w:val="nil"/>
                <w:right w:val="nil"/>
                <w:between w:val="nil"/>
              </w:pBdr>
              <w:jc w:val="right"/>
              <w:rPr>
                <w:b/>
                <w:color w:val="000000"/>
              </w:rPr>
            </w:pPr>
          </w:p>
        </w:tc>
      </w:tr>
      <w:tr w:rsidR="008E5DE4" w14:paraId="23ABDFE1" w14:textId="77777777">
        <w:trPr>
          <w:cantSplit/>
        </w:trPr>
        <w:tc>
          <w:tcPr>
            <w:tcW w:w="6521" w:type="dxa"/>
            <w:tcBorders>
              <w:top w:val="single" w:sz="4" w:space="0" w:color="000000"/>
            </w:tcBorders>
            <w:vAlign w:val="bottom"/>
          </w:tcPr>
          <w:p w14:paraId="3EDEFB31" w14:textId="77777777" w:rsidR="008E5DE4" w:rsidRDefault="008E5DE4">
            <w:pPr>
              <w:widowControl w:val="0"/>
              <w:pBdr>
                <w:top w:val="nil"/>
                <w:left w:val="nil"/>
                <w:bottom w:val="nil"/>
                <w:right w:val="nil"/>
                <w:between w:val="nil"/>
              </w:pBdr>
              <w:rPr>
                <w:b/>
                <w:color w:val="000000"/>
              </w:rPr>
            </w:pPr>
          </w:p>
        </w:tc>
        <w:tc>
          <w:tcPr>
            <w:tcW w:w="1531" w:type="dxa"/>
            <w:tcBorders>
              <w:top w:val="single" w:sz="4" w:space="0" w:color="000000"/>
            </w:tcBorders>
          </w:tcPr>
          <w:p w14:paraId="0B5765F7"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32EF5C12" w14:textId="77777777" w:rsidR="008E5DE4" w:rsidRDefault="008E5DE4">
            <w:pPr>
              <w:widowControl w:val="0"/>
              <w:pBdr>
                <w:top w:val="nil"/>
                <w:left w:val="nil"/>
                <w:bottom w:val="nil"/>
                <w:right w:val="nil"/>
                <w:between w:val="nil"/>
              </w:pBdr>
              <w:jc w:val="right"/>
              <w:rPr>
                <w:b/>
                <w:color w:val="000000"/>
              </w:rPr>
            </w:pPr>
          </w:p>
        </w:tc>
      </w:tr>
      <w:tr w:rsidR="008E5DE4" w14:paraId="4DD6033A" w14:textId="77777777">
        <w:trPr>
          <w:cantSplit/>
        </w:trPr>
        <w:tc>
          <w:tcPr>
            <w:tcW w:w="6521" w:type="dxa"/>
            <w:vAlign w:val="bottom"/>
          </w:tcPr>
          <w:p w14:paraId="13B87D34" w14:textId="77777777" w:rsidR="008E5DE4" w:rsidRDefault="00780368">
            <w:pPr>
              <w:widowControl w:val="0"/>
              <w:pBdr>
                <w:top w:val="nil"/>
                <w:left w:val="nil"/>
                <w:bottom w:val="nil"/>
                <w:right w:val="nil"/>
                <w:between w:val="nil"/>
              </w:pBdr>
              <w:rPr>
                <w:color w:val="000000"/>
              </w:rPr>
            </w:pPr>
            <w:r>
              <w:rPr>
                <w:color w:val="000000"/>
              </w:rPr>
              <w:t>Unearned finance income</w:t>
            </w:r>
          </w:p>
        </w:tc>
        <w:tc>
          <w:tcPr>
            <w:tcW w:w="1531" w:type="dxa"/>
          </w:tcPr>
          <w:p w14:paraId="27A7EBC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00D6B30" w14:textId="77777777" w:rsidR="008E5DE4" w:rsidRDefault="008E5DE4">
            <w:pPr>
              <w:widowControl w:val="0"/>
              <w:pBdr>
                <w:top w:val="nil"/>
                <w:left w:val="nil"/>
                <w:bottom w:val="nil"/>
                <w:right w:val="nil"/>
                <w:between w:val="nil"/>
              </w:pBdr>
              <w:jc w:val="right"/>
              <w:rPr>
                <w:b/>
                <w:color w:val="000000"/>
              </w:rPr>
            </w:pPr>
          </w:p>
        </w:tc>
      </w:tr>
      <w:tr w:rsidR="008E5DE4" w14:paraId="70D34989" w14:textId="77777777">
        <w:trPr>
          <w:cantSplit/>
        </w:trPr>
        <w:tc>
          <w:tcPr>
            <w:tcW w:w="6521" w:type="dxa"/>
            <w:vAlign w:val="bottom"/>
          </w:tcPr>
          <w:p w14:paraId="2646AC67" w14:textId="77777777" w:rsidR="008E5DE4" w:rsidRDefault="00780368">
            <w:pPr>
              <w:widowControl w:val="0"/>
              <w:pBdr>
                <w:top w:val="nil"/>
                <w:left w:val="nil"/>
                <w:bottom w:val="nil"/>
                <w:right w:val="nil"/>
                <w:between w:val="nil"/>
              </w:pBdr>
              <w:rPr>
                <w:color w:val="000000"/>
              </w:rPr>
            </w:pPr>
            <w:r>
              <w:rPr>
                <w:color w:val="000000"/>
              </w:rPr>
              <w:t>Unguaranteed residual value (at present value)</w:t>
            </w:r>
          </w:p>
        </w:tc>
        <w:tc>
          <w:tcPr>
            <w:tcW w:w="1531" w:type="dxa"/>
          </w:tcPr>
          <w:p w14:paraId="0050A73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12B9A82" w14:textId="77777777" w:rsidR="008E5DE4" w:rsidRDefault="008E5DE4">
            <w:pPr>
              <w:widowControl w:val="0"/>
              <w:pBdr>
                <w:top w:val="nil"/>
                <w:left w:val="nil"/>
                <w:bottom w:val="nil"/>
                <w:right w:val="nil"/>
                <w:between w:val="nil"/>
              </w:pBdr>
              <w:jc w:val="right"/>
              <w:rPr>
                <w:color w:val="000000"/>
              </w:rPr>
            </w:pPr>
          </w:p>
        </w:tc>
      </w:tr>
      <w:tr w:rsidR="008E5DE4" w14:paraId="034A5E86" w14:textId="77777777">
        <w:trPr>
          <w:cantSplit/>
        </w:trPr>
        <w:tc>
          <w:tcPr>
            <w:tcW w:w="6521" w:type="dxa"/>
            <w:vAlign w:val="bottom"/>
          </w:tcPr>
          <w:p w14:paraId="74B912F7" w14:textId="77777777" w:rsidR="008E5DE4" w:rsidRDefault="00780368">
            <w:pPr>
              <w:widowControl w:val="0"/>
              <w:pBdr>
                <w:top w:val="nil"/>
                <w:left w:val="nil"/>
                <w:bottom w:val="nil"/>
                <w:right w:val="nil"/>
                <w:between w:val="nil"/>
              </w:pBdr>
              <w:rPr>
                <w:color w:val="000000"/>
              </w:rPr>
            </w:pPr>
            <w:r>
              <w:rPr>
                <w:color w:val="000000"/>
              </w:rPr>
              <w:t>Allowance for expected credit losses</w:t>
            </w:r>
          </w:p>
        </w:tc>
        <w:tc>
          <w:tcPr>
            <w:tcW w:w="1531" w:type="dxa"/>
          </w:tcPr>
          <w:p w14:paraId="7B1973D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A7E8894" w14:textId="77777777" w:rsidR="008E5DE4" w:rsidRDefault="008E5DE4">
            <w:pPr>
              <w:widowControl w:val="0"/>
              <w:pBdr>
                <w:top w:val="nil"/>
                <w:left w:val="nil"/>
                <w:bottom w:val="nil"/>
                <w:right w:val="nil"/>
                <w:between w:val="nil"/>
              </w:pBdr>
              <w:jc w:val="right"/>
              <w:rPr>
                <w:color w:val="000000"/>
              </w:rPr>
            </w:pPr>
          </w:p>
        </w:tc>
      </w:tr>
      <w:tr w:rsidR="008E5DE4" w14:paraId="2813717C" w14:textId="77777777">
        <w:trPr>
          <w:cantSplit/>
        </w:trPr>
        <w:tc>
          <w:tcPr>
            <w:tcW w:w="6521" w:type="dxa"/>
            <w:tcBorders>
              <w:bottom w:val="single" w:sz="4" w:space="0" w:color="000000"/>
            </w:tcBorders>
            <w:vAlign w:val="bottom"/>
          </w:tcPr>
          <w:p w14:paraId="5718FC77" w14:textId="77777777" w:rsidR="008E5DE4" w:rsidRDefault="008E5DE4">
            <w:pPr>
              <w:widowControl w:val="0"/>
              <w:pBdr>
                <w:top w:val="nil"/>
                <w:left w:val="nil"/>
                <w:bottom w:val="nil"/>
                <w:right w:val="nil"/>
                <w:between w:val="nil"/>
              </w:pBdr>
              <w:rPr>
                <w:b/>
                <w:color w:val="000000"/>
              </w:rPr>
            </w:pPr>
          </w:p>
        </w:tc>
        <w:tc>
          <w:tcPr>
            <w:tcW w:w="1531" w:type="dxa"/>
            <w:tcBorders>
              <w:bottom w:val="single" w:sz="4" w:space="0" w:color="000000"/>
            </w:tcBorders>
          </w:tcPr>
          <w:p w14:paraId="749A4D80"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4" w:space="0" w:color="000000"/>
            </w:tcBorders>
            <w:vAlign w:val="bottom"/>
          </w:tcPr>
          <w:p w14:paraId="5E9C2A66" w14:textId="77777777" w:rsidR="008E5DE4" w:rsidRDefault="008E5DE4">
            <w:pPr>
              <w:widowControl w:val="0"/>
              <w:pBdr>
                <w:top w:val="nil"/>
                <w:left w:val="nil"/>
                <w:bottom w:val="nil"/>
                <w:right w:val="nil"/>
                <w:between w:val="nil"/>
              </w:pBdr>
              <w:jc w:val="right"/>
              <w:rPr>
                <w:b/>
                <w:color w:val="000000"/>
              </w:rPr>
            </w:pPr>
          </w:p>
        </w:tc>
      </w:tr>
      <w:tr w:rsidR="008E5DE4" w14:paraId="066F26A6" w14:textId="77777777">
        <w:trPr>
          <w:cantSplit/>
        </w:trPr>
        <w:tc>
          <w:tcPr>
            <w:tcW w:w="6521" w:type="dxa"/>
            <w:tcBorders>
              <w:top w:val="single" w:sz="4" w:space="0" w:color="000000"/>
            </w:tcBorders>
            <w:vAlign w:val="bottom"/>
          </w:tcPr>
          <w:p w14:paraId="0CF56124" w14:textId="77777777" w:rsidR="008E5DE4" w:rsidRDefault="008E5DE4">
            <w:pPr>
              <w:widowControl w:val="0"/>
              <w:pBdr>
                <w:top w:val="nil"/>
                <w:left w:val="nil"/>
                <w:bottom w:val="nil"/>
                <w:right w:val="nil"/>
                <w:between w:val="nil"/>
              </w:pBdr>
              <w:rPr>
                <w:b/>
                <w:color w:val="000000"/>
              </w:rPr>
            </w:pPr>
          </w:p>
        </w:tc>
        <w:tc>
          <w:tcPr>
            <w:tcW w:w="1531" w:type="dxa"/>
            <w:tcBorders>
              <w:top w:val="single" w:sz="4" w:space="0" w:color="000000"/>
            </w:tcBorders>
          </w:tcPr>
          <w:p w14:paraId="3C9C534E"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5434BE23" w14:textId="77777777" w:rsidR="008E5DE4" w:rsidRDefault="008E5DE4">
            <w:pPr>
              <w:widowControl w:val="0"/>
              <w:pBdr>
                <w:top w:val="nil"/>
                <w:left w:val="nil"/>
                <w:bottom w:val="nil"/>
                <w:right w:val="nil"/>
                <w:between w:val="nil"/>
              </w:pBdr>
              <w:jc w:val="right"/>
              <w:rPr>
                <w:b/>
                <w:color w:val="000000"/>
              </w:rPr>
            </w:pPr>
          </w:p>
        </w:tc>
      </w:tr>
      <w:tr w:rsidR="008E5DE4" w14:paraId="4AF51E59" w14:textId="77777777">
        <w:trPr>
          <w:cantSplit/>
        </w:trPr>
        <w:tc>
          <w:tcPr>
            <w:tcW w:w="6521" w:type="dxa"/>
            <w:vAlign w:val="bottom"/>
          </w:tcPr>
          <w:p w14:paraId="712A714A" w14:textId="77777777" w:rsidR="008E5DE4" w:rsidRDefault="00780368">
            <w:pPr>
              <w:widowControl w:val="0"/>
              <w:pBdr>
                <w:top w:val="nil"/>
                <w:left w:val="nil"/>
                <w:bottom w:val="nil"/>
                <w:right w:val="nil"/>
                <w:between w:val="nil"/>
              </w:pBdr>
              <w:rPr>
                <w:b/>
                <w:color w:val="000000"/>
              </w:rPr>
            </w:pPr>
            <w:r>
              <w:rPr>
                <w:b/>
                <w:color w:val="000000"/>
              </w:rPr>
              <w:t xml:space="preserve">Finance lease receivable </w:t>
            </w:r>
            <w:proofErr w:type="gramStart"/>
            <w:r>
              <w:rPr>
                <w:b/>
                <w:color w:val="000000"/>
              </w:rPr>
              <w:t>at</w:t>
            </w:r>
            <w:proofErr w:type="gramEnd"/>
            <w:r>
              <w:rPr>
                <w:b/>
                <w:color w:val="000000"/>
              </w:rPr>
              <w:t xml:space="preserve"> 31 December</w:t>
            </w:r>
          </w:p>
        </w:tc>
        <w:tc>
          <w:tcPr>
            <w:tcW w:w="1531" w:type="dxa"/>
          </w:tcPr>
          <w:p w14:paraId="04490C90"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1739A5A" w14:textId="77777777" w:rsidR="008E5DE4" w:rsidRDefault="008E5DE4">
            <w:pPr>
              <w:widowControl w:val="0"/>
              <w:pBdr>
                <w:top w:val="nil"/>
                <w:left w:val="nil"/>
                <w:bottom w:val="nil"/>
                <w:right w:val="nil"/>
                <w:between w:val="nil"/>
              </w:pBdr>
              <w:jc w:val="right"/>
              <w:rPr>
                <w:b/>
                <w:color w:val="000000"/>
              </w:rPr>
            </w:pPr>
          </w:p>
        </w:tc>
      </w:tr>
      <w:tr w:rsidR="008E5DE4" w14:paraId="04BF4A14" w14:textId="77777777">
        <w:trPr>
          <w:cantSplit/>
        </w:trPr>
        <w:tc>
          <w:tcPr>
            <w:tcW w:w="6521" w:type="dxa"/>
            <w:tcBorders>
              <w:bottom w:val="single" w:sz="12" w:space="0" w:color="000000"/>
            </w:tcBorders>
            <w:vAlign w:val="bottom"/>
          </w:tcPr>
          <w:p w14:paraId="389A2A41" w14:textId="77777777" w:rsidR="008E5DE4" w:rsidRDefault="008E5DE4">
            <w:pPr>
              <w:widowControl w:val="0"/>
              <w:rPr>
                <w:b/>
              </w:rPr>
            </w:pPr>
          </w:p>
        </w:tc>
        <w:tc>
          <w:tcPr>
            <w:tcW w:w="1531" w:type="dxa"/>
            <w:tcBorders>
              <w:bottom w:val="single" w:sz="12" w:space="0" w:color="000000"/>
            </w:tcBorders>
          </w:tcPr>
          <w:p w14:paraId="0D53D077"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63711854" w14:textId="77777777" w:rsidR="008E5DE4" w:rsidRDefault="008E5DE4">
            <w:pPr>
              <w:widowControl w:val="0"/>
              <w:pBdr>
                <w:top w:val="nil"/>
                <w:left w:val="nil"/>
                <w:bottom w:val="nil"/>
                <w:right w:val="nil"/>
                <w:between w:val="nil"/>
              </w:pBdr>
              <w:jc w:val="right"/>
              <w:rPr>
                <w:b/>
                <w:color w:val="000000"/>
              </w:rPr>
            </w:pPr>
          </w:p>
        </w:tc>
      </w:tr>
    </w:tbl>
    <w:p w14:paraId="39898289"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6B618E1E"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189618A0"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513B7230"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709880E3"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15</w:t>
      </w:r>
      <w:r>
        <w:rPr>
          <w:b/>
          <w:color w:val="000000"/>
          <w:sz w:val="20"/>
          <w:szCs w:val="20"/>
        </w:rPr>
        <w:tab/>
        <w:t>Finance Lease Receivables (Continued)</w:t>
      </w:r>
    </w:p>
    <w:p w14:paraId="73B929BF" w14:textId="52C942CC" w:rsidR="008E5DE4" w:rsidRDefault="008E5DE4">
      <w:pPr>
        <w:widowControl w:val="0"/>
        <w:spacing w:before="200" w:after="200"/>
        <w:jc w:val="both"/>
        <w:rPr>
          <w:sz w:val="20"/>
          <w:szCs w:val="20"/>
        </w:rPr>
      </w:pPr>
    </w:p>
    <w:tbl>
      <w:tblPr>
        <w:tblStyle w:val="afffc"/>
        <w:tblW w:w="9299" w:type="dxa"/>
        <w:tblLayout w:type="fixed"/>
        <w:tblLook w:val="0000" w:firstRow="0" w:lastRow="0" w:firstColumn="0" w:lastColumn="0" w:noHBand="0" w:noVBand="0"/>
      </w:tblPr>
      <w:tblGrid>
        <w:gridCol w:w="6237"/>
        <w:gridCol w:w="1531"/>
        <w:gridCol w:w="1531"/>
      </w:tblGrid>
      <w:tr w:rsidR="008E5DE4" w14:paraId="18145B7E" w14:textId="77777777">
        <w:trPr>
          <w:cantSplit/>
        </w:trPr>
        <w:tc>
          <w:tcPr>
            <w:tcW w:w="6237" w:type="dxa"/>
            <w:tcBorders>
              <w:bottom w:val="single" w:sz="4" w:space="0" w:color="000000"/>
            </w:tcBorders>
            <w:vAlign w:val="bottom"/>
          </w:tcPr>
          <w:p w14:paraId="21836D4A"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531" w:type="dxa"/>
            <w:tcBorders>
              <w:bottom w:val="single" w:sz="4" w:space="0" w:color="000000"/>
            </w:tcBorders>
          </w:tcPr>
          <w:p w14:paraId="4A046EBF" w14:textId="14273DC9"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7197E70" w14:textId="24783461"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7A1993DB" w14:textId="77777777">
        <w:trPr>
          <w:cantSplit/>
        </w:trPr>
        <w:tc>
          <w:tcPr>
            <w:tcW w:w="6237" w:type="dxa"/>
            <w:vAlign w:val="bottom"/>
          </w:tcPr>
          <w:p w14:paraId="6006AB37"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Pr>
          <w:p w14:paraId="7AE350E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DA33AF4" w14:textId="77777777" w:rsidR="008E5DE4" w:rsidRDefault="008E5DE4">
            <w:pPr>
              <w:widowControl w:val="0"/>
              <w:pBdr>
                <w:top w:val="nil"/>
                <w:left w:val="nil"/>
                <w:bottom w:val="nil"/>
                <w:right w:val="nil"/>
                <w:between w:val="nil"/>
              </w:pBdr>
              <w:jc w:val="right"/>
              <w:rPr>
                <w:color w:val="000000"/>
              </w:rPr>
            </w:pPr>
          </w:p>
        </w:tc>
      </w:tr>
      <w:tr w:rsidR="008E5DE4" w14:paraId="6AB1A155" w14:textId="77777777">
        <w:trPr>
          <w:cantSplit/>
        </w:trPr>
        <w:tc>
          <w:tcPr>
            <w:tcW w:w="6237" w:type="dxa"/>
            <w:vAlign w:val="bottom"/>
          </w:tcPr>
          <w:p w14:paraId="424A2415" w14:textId="77777777" w:rsidR="008E5DE4" w:rsidRDefault="00780368">
            <w:pPr>
              <w:widowControl w:val="0"/>
              <w:pBdr>
                <w:top w:val="nil"/>
                <w:left w:val="nil"/>
                <w:bottom w:val="nil"/>
                <w:right w:val="nil"/>
                <w:between w:val="nil"/>
              </w:pBdr>
              <w:ind w:left="113" w:right="-57" w:hanging="113"/>
              <w:rPr>
                <w:color w:val="000000"/>
              </w:rPr>
            </w:pPr>
            <w:r>
              <w:rPr>
                <w:color w:val="000000"/>
              </w:rPr>
              <w:t>Selling profit / (loss) recognised on finance lease arrangements</w:t>
            </w:r>
          </w:p>
        </w:tc>
        <w:tc>
          <w:tcPr>
            <w:tcW w:w="1531" w:type="dxa"/>
          </w:tcPr>
          <w:p w14:paraId="3157064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298CB06" w14:textId="77777777" w:rsidR="008E5DE4" w:rsidRDefault="008E5DE4">
            <w:pPr>
              <w:widowControl w:val="0"/>
              <w:pBdr>
                <w:top w:val="nil"/>
                <w:left w:val="nil"/>
                <w:bottom w:val="nil"/>
                <w:right w:val="nil"/>
                <w:between w:val="nil"/>
              </w:pBdr>
              <w:jc w:val="right"/>
              <w:rPr>
                <w:color w:val="000000"/>
              </w:rPr>
            </w:pPr>
          </w:p>
        </w:tc>
      </w:tr>
      <w:tr w:rsidR="008E5DE4" w14:paraId="5F85A3FB" w14:textId="77777777">
        <w:trPr>
          <w:cantSplit/>
        </w:trPr>
        <w:tc>
          <w:tcPr>
            <w:tcW w:w="6237" w:type="dxa"/>
            <w:vAlign w:val="bottom"/>
          </w:tcPr>
          <w:p w14:paraId="3B873955" w14:textId="77777777" w:rsidR="008E5DE4" w:rsidRDefault="00780368">
            <w:pPr>
              <w:widowControl w:val="0"/>
              <w:pBdr>
                <w:top w:val="nil"/>
                <w:left w:val="nil"/>
                <w:bottom w:val="nil"/>
                <w:right w:val="nil"/>
                <w:between w:val="nil"/>
              </w:pBdr>
              <w:ind w:left="113" w:right="-57" w:hanging="113"/>
              <w:rPr>
                <w:color w:val="000000"/>
              </w:rPr>
            </w:pPr>
            <w:r>
              <w:rPr>
                <w:color w:val="000000"/>
              </w:rPr>
              <w:t>Finance income on the net investment in the lease</w:t>
            </w:r>
          </w:p>
        </w:tc>
        <w:tc>
          <w:tcPr>
            <w:tcW w:w="1531" w:type="dxa"/>
          </w:tcPr>
          <w:p w14:paraId="4DAF4A9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8CD8574" w14:textId="77777777" w:rsidR="008E5DE4" w:rsidRDefault="008E5DE4">
            <w:pPr>
              <w:widowControl w:val="0"/>
              <w:pBdr>
                <w:top w:val="nil"/>
                <w:left w:val="nil"/>
                <w:bottom w:val="nil"/>
                <w:right w:val="nil"/>
                <w:between w:val="nil"/>
              </w:pBdr>
              <w:jc w:val="right"/>
              <w:rPr>
                <w:color w:val="000000"/>
              </w:rPr>
            </w:pPr>
          </w:p>
        </w:tc>
      </w:tr>
      <w:tr w:rsidR="008E5DE4" w14:paraId="6FD7AAE5" w14:textId="77777777">
        <w:trPr>
          <w:cantSplit/>
        </w:trPr>
        <w:tc>
          <w:tcPr>
            <w:tcW w:w="6237" w:type="dxa"/>
            <w:vAlign w:val="bottom"/>
          </w:tcPr>
          <w:p w14:paraId="24F0C328" w14:textId="77777777" w:rsidR="008E5DE4" w:rsidRDefault="00780368">
            <w:pPr>
              <w:widowControl w:val="0"/>
              <w:pBdr>
                <w:top w:val="nil"/>
                <w:left w:val="nil"/>
                <w:bottom w:val="nil"/>
                <w:right w:val="nil"/>
                <w:between w:val="nil"/>
              </w:pBdr>
              <w:ind w:left="85" w:right="-57" w:hanging="85"/>
              <w:rPr>
                <w:color w:val="000000"/>
              </w:rPr>
            </w:pPr>
            <w:r>
              <w:rPr>
                <w:color w:val="000000"/>
              </w:rPr>
              <w:t>Income relating to variable lease payments not included in the measurement of the finance lease receivable</w:t>
            </w:r>
          </w:p>
        </w:tc>
        <w:tc>
          <w:tcPr>
            <w:tcW w:w="1531" w:type="dxa"/>
          </w:tcPr>
          <w:p w14:paraId="437B896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55242C0" w14:textId="77777777" w:rsidR="008E5DE4" w:rsidRDefault="008E5DE4">
            <w:pPr>
              <w:widowControl w:val="0"/>
              <w:pBdr>
                <w:top w:val="nil"/>
                <w:left w:val="nil"/>
                <w:bottom w:val="nil"/>
                <w:right w:val="nil"/>
                <w:between w:val="nil"/>
              </w:pBdr>
              <w:jc w:val="right"/>
              <w:rPr>
                <w:color w:val="000000"/>
              </w:rPr>
            </w:pPr>
          </w:p>
        </w:tc>
      </w:tr>
      <w:tr w:rsidR="008E5DE4" w14:paraId="4485D482" w14:textId="77777777">
        <w:trPr>
          <w:cantSplit/>
        </w:trPr>
        <w:tc>
          <w:tcPr>
            <w:tcW w:w="6237" w:type="dxa"/>
            <w:tcBorders>
              <w:bottom w:val="single" w:sz="12" w:space="0" w:color="000000"/>
            </w:tcBorders>
            <w:vAlign w:val="bottom"/>
          </w:tcPr>
          <w:p w14:paraId="3FC409C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Borders>
              <w:bottom w:val="single" w:sz="12" w:space="0" w:color="000000"/>
            </w:tcBorders>
          </w:tcPr>
          <w:p w14:paraId="5EB8EBFE"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7742460A" w14:textId="77777777" w:rsidR="008E5DE4" w:rsidRDefault="008E5DE4">
            <w:pPr>
              <w:widowControl w:val="0"/>
              <w:pBdr>
                <w:top w:val="nil"/>
                <w:left w:val="nil"/>
                <w:bottom w:val="nil"/>
                <w:right w:val="nil"/>
                <w:between w:val="nil"/>
              </w:pBdr>
              <w:jc w:val="right"/>
              <w:rPr>
                <w:color w:val="000000"/>
              </w:rPr>
            </w:pPr>
          </w:p>
        </w:tc>
      </w:tr>
    </w:tbl>
    <w:p w14:paraId="5D366833"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[The lease agreements do not impose any covenants other than the security interests in the leased assets that are held by the Group. Leased assets may not be used by a lessee as collateral for borrowings.]</w:t>
      </w:r>
      <w:r>
        <w:rPr>
          <w:color w:val="000000"/>
          <w:sz w:val="20"/>
          <w:szCs w:val="20"/>
        </w:rPr>
        <w:t xml:space="preserve"> </w:t>
      </w:r>
    </w:p>
    <w:p w14:paraId="6D0C89E3" w14:textId="77777777" w:rsidR="008E5DE4" w:rsidRDefault="00780368">
      <w:pPr>
        <w:widowControl w:val="0"/>
        <w:spacing w:before="200" w:after="200"/>
        <w:jc w:val="both"/>
        <w:rPr>
          <w:sz w:val="20"/>
          <w:szCs w:val="20"/>
        </w:rPr>
      </w:pPr>
      <w:r>
        <w:rPr>
          <w:sz w:val="20"/>
          <w:szCs w:val="20"/>
        </w:rPr>
        <w:t xml:space="preserve">The Group applies the IFRS 9 simplified approach to measuring expected credit losses which uses a lifetime expected loss allowance for all finance lease receivables. </w:t>
      </w:r>
    </w:p>
    <w:p w14:paraId="1512CD44" w14:textId="77777777" w:rsidR="008E5DE4" w:rsidRDefault="00780368">
      <w:pPr>
        <w:widowControl w:val="0"/>
        <w:spacing w:before="200" w:after="200"/>
        <w:jc w:val="both"/>
        <w:rPr>
          <w:sz w:val="20"/>
          <w:szCs w:val="20"/>
        </w:rPr>
      </w:pPr>
      <w:r>
        <w:rPr>
          <w:sz w:val="20"/>
          <w:szCs w:val="20"/>
        </w:rPr>
        <w:t>To measure the expected credit losses, finance lease receivables have been grouped based on shared credit risk characteristics and the days past due.</w:t>
      </w:r>
    </w:p>
    <w:p w14:paraId="0D5970AA" w14:textId="196276DB" w:rsidR="008E5DE4" w:rsidRDefault="00780368">
      <w:pPr>
        <w:widowControl w:val="0"/>
        <w:spacing w:before="200" w:after="200"/>
        <w:jc w:val="both"/>
        <w:rPr>
          <w:sz w:val="20"/>
          <w:szCs w:val="20"/>
        </w:rPr>
      </w:pPr>
      <w:r>
        <w:rPr>
          <w:sz w:val="20"/>
          <w:szCs w:val="20"/>
        </w:rPr>
        <w:t xml:space="preserve">The expected loss rates are based on the payment profiles of leases over a period of </w:t>
      </w:r>
      <w:r w:rsidRPr="00160220">
        <w:rPr>
          <w:color w:val="0000FF"/>
          <w:sz w:val="20"/>
          <w:szCs w:val="20"/>
        </w:rPr>
        <w:t>36 month</w:t>
      </w:r>
      <w:r w:rsidR="00160220" w:rsidRPr="00160220">
        <w:rPr>
          <w:color w:val="0000FF"/>
          <w:sz w:val="20"/>
          <w:szCs w:val="20"/>
        </w:rPr>
        <w:t>s</w:t>
      </w:r>
      <w:r>
        <w:rPr>
          <w:sz w:val="20"/>
          <w:szCs w:val="20"/>
        </w:rPr>
        <w:t xml:space="preserve"> (31 December </w:t>
      </w:r>
      <w:r w:rsidR="00FF468A">
        <w:rPr>
          <w:sz w:val="20"/>
          <w:szCs w:val="20"/>
        </w:rPr>
        <w:t>2024</w:t>
      </w:r>
      <w:r>
        <w:rPr>
          <w:sz w:val="20"/>
          <w:szCs w:val="20"/>
        </w:rPr>
        <w:t xml:space="preserve">: </w:t>
      </w:r>
      <w:r w:rsidRPr="00160220">
        <w:rPr>
          <w:color w:val="0000FF"/>
          <w:sz w:val="20"/>
          <w:szCs w:val="20"/>
        </w:rPr>
        <w:t>36 months</w:t>
      </w:r>
      <w:r>
        <w:rPr>
          <w:sz w:val="20"/>
          <w:szCs w:val="20"/>
        </w:rPr>
        <w:t xml:space="preserve">) prior to the end of the reporting period and the corresponding historical credit losses experienced within this period. The historical loss rates are adjusted to reflect current and forward-looking information on macroeconomic factors affecting the ability of the lessees to settle the receivables. The Group has identified </w:t>
      </w:r>
      <w:r>
        <w:rPr>
          <w:color w:val="0000FF"/>
          <w:sz w:val="20"/>
          <w:szCs w:val="20"/>
        </w:rPr>
        <w:t>[the gross domestic product and the unemployment rate]</w:t>
      </w:r>
      <w:r>
        <w:rPr>
          <w:sz w:val="20"/>
          <w:szCs w:val="20"/>
        </w:rPr>
        <w:t xml:space="preserve"> of the countries in which it leases its assets to be the most relevant forward</w:t>
      </w:r>
      <w:r w:rsidR="008841ED">
        <w:rPr>
          <w:sz w:val="20"/>
          <w:szCs w:val="20"/>
        </w:rPr>
        <w:t>-</w:t>
      </w:r>
      <w:r>
        <w:rPr>
          <w:sz w:val="20"/>
          <w:szCs w:val="20"/>
        </w:rPr>
        <w:t>looking indicators and, accordingly, adjusts the historical loss rates based on expected changes in these variables.</w:t>
      </w:r>
    </w:p>
    <w:p w14:paraId="3B43DDC2"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15</w:t>
      </w:r>
      <w:r>
        <w:rPr>
          <w:b/>
          <w:color w:val="000000"/>
          <w:sz w:val="20"/>
          <w:szCs w:val="20"/>
        </w:rPr>
        <w:tab/>
        <w:t>Finance Lease Receivables (Continued)</w:t>
      </w:r>
    </w:p>
    <w:p w14:paraId="359F3790" w14:textId="77777777" w:rsidR="008E5DE4" w:rsidRDefault="00780368">
      <w:pPr>
        <w:widowControl w:val="0"/>
        <w:spacing w:before="200" w:after="200"/>
        <w:jc w:val="both"/>
        <w:rPr>
          <w:i/>
          <w:color w:val="0000FF"/>
          <w:sz w:val="20"/>
          <w:szCs w:val="20"/>
        </w:rPr>
      </w:pPr>
      <w:r>
        <w:rPr>
          <w:sz w:val="20"/>
          <w:szCs w:val="20"/>
        </w:rPr>
        <w:t xml:space="preserve">The credit loss allowance for finance lease receivables is determined according to provision matrix presented in the table below. The provision matrix is based the number of days that an asset is past due, adjusted for </w:t>
      </w:r>
      <w:r>
        <w:rPr>
          <w:i/>
          <w:color w:val="0000FF"/>
          <w:sz w:val="20"/>
          <w:szCs w:val="20"/>
        </w:rPr>
        <w:t>[describe forward looking information].</w:t>
      </w:r>
    </w:p>
    <w:tbl>
      <w:tblPr>
        <w:tblStyle w:val="afffd"/>
        <w:tblW w:w="9355" w:type="dxa"/>
        <w:tblLayout w:type="fixed"/>
        <w:tblLook w:val="0000" w:firstRow="0" w:lastRow="0" w:firstColumn="0" w:lastColumn="0" w:noHBand="0" w:noVBand="0"/>
      </w:tblPr>
      <w:tblGrid>
        <w:gridCol w:w="2551"/>
        <w:gridCol w:w="567"/>
        <w:gridCol w:w="992"/>
        <w:gridCol w:w="992"/>
        <w:gridCol w:w="851"/>
        <w:gridCol w:w="568"/>
        <w:gridCol w:w="992"/>
        <w:gridCol w:w="992"/>
        <w:gridCol w:w="850"/>
      </w:tblGrid>
      <w:tr w:rsidR="008E5DE4" w14:paraId="273BA9E6" w14:textId="77777777">
        <w:trPr>
          <w:cantSplit/>
        </w:trPr>
        <w:tc>
          <w:tcPr>
            <w:tcW w:w="2551" w:type="dxa"/>
            <w:vAlign w:val="bottom"/>
          </w:tcPr>
          <w:p w14:paraId="38237238" w14:textId="77777777" w:rsidR="008E5DE4" w:rsidRDefault="008E5DE4">
            <w:pPr>
              <w:widowControl w:val="0"/>
              <w:pBdr>
                <w:top w:val="nil"/>
                <w:left w:val="nil"/>
                <w:bottom w:val="nil"/>
                <w:right w:val="nil"/>
                <w:between w:val="nil"/>
              </w:pBdr>
              <w:rPr>
                <w:i/>
                <w:color w:val="000000"/>
              </w:rPr>
            </w:pPr>
          </w:p>
        </w:tc>
        <w:tc>
          <w:tcPr>
            <w:tcW w:w="3402" w:type="dxa"/>
            <w:gridSpan w:val="4"/>
            <w:tcBorders>
              <w:bottom w:val="single" w:sz="4" w:space="0" w:color="000000"/>
            </w:tcBorders>
          </w:tcPr>
          <w:p w14:paraId="42E19F31" w14:textId="67DD600D" w:rsidR="008E5DE4" w:rsidRDefault="00780368">
            <w:pPr>
              <w:widowControl w:val="0"/>
              <w:pBdr>
                <w:top w:val="nil"/>
                <w:left w:val="nil"/>
                <w:bottom w:val="nil"/>
                <w:right w:val="nil"/>
                <w:between w:val="nil"/>
              </w:pBdr>
              <w:ind w:left="-113"/>
              <w:jc w:val="center"/>
              <w:rPr>
                <w:b/>
                <w:color w:val="000000"/>
              </w:rPr>
            </w:pPr>
            <w:r>
              <w:rPr>
                <w:b/>
                <w:color w:val="000000"/>
              </w:rPr>
              <w:t xml:space="preserve">31 December </w:t>
            </w:r>
            <w:r w:rsidR="008614F8">
              <w:rPr>
                <w:b/>
                <w:color w:val="000000"/>
              </w:rPr>
              <w:t>2025</w:t>
            </w:r>
          </w:p>
        </w:tc>
        <w:tc>
          <w:tcPr>
            <w:tcW w:w="3402" w:type="dxa"/>
            <w:gridSpan w:val="4"/>
            <w:tcBorders>
              <w:bottom w:val="single" w:sz="4" w:space="0" w:color="000000"/>
            </w:tcBorders>
          </w:tcPr>
          <w:p w14:paraId="64A4F443" w14:textId="4071F6D1" w:rsidR="008E5DE4" w:rsidRDefault="00780368">
            <w:pPr>
              <w:widowControl w:val="0"/>
              <w:pBdr>
                <w:top w:val="nil"/>
                <w:left w:val="nil"/>
                <w:bottom w:val="nil"/>
                <w:right w:val="nil"/>
                <w:between w:val="nil"/>
              </w:pBdr>
              <w:ind w:left="-113"/>
              <w:jc w:val="center"/>
              <w:rPr>
                <w:b/>
                <w:color w:val="000000"/>
              </w:rPr>
            </w:pPr>
            <w:r>
              <w:rPr>
                <w:b/>
                <w:color w:val="000000"/>
              </w:rPr>
              <w:t xml:space="preserve">31 December </w:t>
            </w:r>
            <w:r w:rsidR="00FF468A">
              <w:rPr>
                <w:b/>
                <w:color w:val="000000"/>
              </w:rPr>
              <w:t>2024</w:t>
            </w:r>
          </w:p>
        </w:tc>
      </w:tr>
      <w:tr w:rsidR="008E5DE4" w14:paraId="2E4B9CA9" w14:textId="77777777">
        <w:trPr>
          <w:cantSplit/>
        </w:trPr>
        <w:tc>
          <w:tcPr>
            <w:tcW w:w="2551" w:type="dxa"/>
            <w:tcBorders>
              <w:bottom w:val="single" w:sz="4" w:space="0" w:color="000000"/>
            </w:tcBorders>
            <w:vAlign w:val="bottom"/>
          </w:tcPr>
          <w:p w14:paraId="36F1A430" w14:textId="77777777" w:rsidR="008E5DE4" w:rsidRDefault="00780368">
            <w:pPr>
              <w:widowControl w:val="0"/>
              <w:pBdr>
                <w:top w:val="nil"/>
                <w:left w:val="nil"/>
                <w:bottom w:val="nil"/>
                <w:right w:val="nil"/>
                <w:between w:val="nil"/>
              </w:pBdr>
              <w:rPr>
                <w:i/>
                <w:color w:val="000000"/>
              </w:rPr>
            </w:pPr>
            <w:r>
              <w:rPr>
                <w:i/>
                <w:color w:val="000000"/>
              </w:rPr>
              <w:t xml:space="preserve">In % of gross value </w:t>
            </w:r>
          </w:p>
          <w:p w14:paraId="6F3491C9"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567" w:type="dxa"/>
            <w:tcBorders>
              <w:bottom w:val="single" w:sz="4" w:space="0" w:color="000000"/>
            </w:tcBorders>
          </w:tcPr>
          <w:p w14:paraId="4EC9CFB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Loss </w:t>
            </w:r>
          </w:p>
          <w:p w14:paraId="2F339274" w14:textId="77777777" w:rsidR="008E5DE4" w:rsidRDefault="00780368">
            <w:pPr>
              <w:widowControl w:val="0"/>
              <w:pBdr>
                <w:top w:val="nil"/>
                <w:left w:val="nil"/>
                <w:bottom w:val="nil"/>
                <w:right w:val="nil"/>
                <w:between w:val="nil"/>
              </w:pBdr>
              <w:ind w:left="-113"/>
              <w:jc w:val="right"/>
              <w:rPr>
                <w:b/>
                <w:color w:val="000000"/>
              </w:rPr>
            </w:pPr>
            <w:r>
              <w:rPr>
                <w:b/>
                <w:color w:val="000000"/>
              </w:rPr>
              <w:t>Rate</w:t>
            </w:r>
          </w:p>
        </w:tc>
        <w:tc>
          <w:tcPr>
            <w:tcW w:w="992" w:type="dxa"/>
            <w:tcBorders>
              <w:bottom w:val="single" w:sz="4" w:space="0" w:color="000000"/>
            </w:tcBorders>
          </w:tcPr>
          <w:p w14:paraId="68862B3A" w14:textId="77777777" w:rsidR="008E5DE4" w:rsidRDefault="00780368">
            <w:pPr>
              <w:widowControl w:val="0"/>
              <w:pBdr>
                <w:top w:val="nil"/>
                <w:left w:val="nil"/>
                <w:bottom w:val="nil"/>
                <w:right w:val="nil"/>
                <w:between w:val="nil"/>
              </w:pBdr>
              <w:ind w:left="-113"/>
              <w:jc w:val="right"/>
              <w:rPr>
                <w:b/>
                <w:color w:val="000000"/>
              </w:rPr>
            </w:pPr>
            <w:r>
              <w:rPr>
                <w:b/>
                <w:color w:val="000000"/>
              </w:rPr>
              <w:t>Gross</w:t>
            </w:r>
          </w:p>
          <w:p w14:paraId="7E354E05"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w:t>
            </w:r>
          </w:p>
          <w:p w14:paraId="5DFF22FB" w14:textId="77777777" w:rsidR="008E5DE4" w:rsidRDefault="00780368">
            <w:pPr>
              <w:widowControl w:val="0"/>
              <w:pBdr>
                <w:top w:val="nil"/>
                <w:left w:val="nil"/>
                <w:bottom w:val="nil"/>
                <w:right w:val="nil"/>
                <w:between w:val="nil"/>
              </w:pBdr>
              <w:ind w:left="-113"/>
              <w:jc w:val="right"/>
              <w:rPr>
                <w:b/>
                <w:color w:val="000000"/>
              </w:rPr>
            </w:pPr>
            <w:r>
              <w:rPr>
                <w:b/>
                <w:color w:val="000000"/>
              </w:rPr>
              <w:t>amount</w:t>
            </w:r>
          </w:p>
        </w:tc>
        <w:tc>
          <w:tcPr>
            <w:tcW w:w="992" w:type="dxa"/>
            <w:tcBorders>
              <w:bottom w:val="single" w:sz="4" w:space="0" w:color="000000"/>
            </w:tcBorders>
          </w:tcPr>
          <w:p w14:paraId="1FEDD91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w:t>
            </w:r>
          </w:p>
          <w:p w14:paraId="02AF16E3"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ECL </w:t>
            </w:r>
          </w:p>
        </w:tc>
        <w:tc>
          <w:tcPr>
            <w:tcW w:w="851" w:type="dxa"/>
            <w:tcBorders>
              <w:bottom w:val="single" w:sz="4" w:space="0" w:color="000000"/>
            </w:tcBorders>
          </w:tcPr>
          <w:p w14:paraId="120DC4C8" w14:textId="77777777" w:rsidR="008E5DE4" w:rsidRDefault="00780368">
            <w:pPr>
              <w:widowControl w:val="0"/>
              <w:pBdr>
                <w:top w:val="nil"/>
                <w:left w:val="nil"/>
                <w:bottom w:val="nil"/>
                <w:right w:val="nil"/>
                <w:between w:val="nil"/>
              </w:pBdr>
              <w:ind w:left="-113"/>
              <w:jc w:val="right"/>
              <w:rPr>
                <w:b/>
                <w:color w:val="000000"/>
              </w:rPr>
            </w:pPr>
            <w:r>
              <w:rPr>
                <w:b/>
                <w:color w:val="000000"/>
              </w:rPr>
              <w:t>Net carrying value</w:t>
            </w:r>
          </w:p>
        </w:tc>
        <w:tc>
          <w:tcPr>
            <w:tcW w:w="568" w:type="dxa"/>
            <w:tcBorders>
              <w:bottom w:val="single" w:sz="4" w:space="0" w:color="000000"/>
            </w:tcBorders>
          </w:tcPr>
          <w:p w14:paraId="3542D69F"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Loss </w:t>
            </w:r>
          </w:p>
          <w:p w14:paraId="60305173" w14:textId="77777777" w:rsidR="008E5DE4" w:rsidRDefault="00780368">
            <w:pPr>
              <w:widowControl w:val="0"/>
              <w:pBdr>
                <w:top w:val="nil"/>
                <w:left w:val="nil"/>
                <w:bottom w:val="nil"/>
                <w:right w:val="nil"/>
                <w:between w:val="nil"/>
              </w:pBdr>
              <w:ind w:left="-113"/>
              <w:jc w:val="right"/>
              <w:rPr>
                <w:b/>
                <w:color w:val="000000"/>
              </w:rPr>
            </w:pPr>
            <w:r>
              <w:rPr>
                <w:b/>
                <w:color w:val="000000"/>
              </w:rPr>
              <w:t>rate</w:t>
            </w:r>
          </w:p>
        </w:tc>
        <w:tc>
          <w:tcPr>
            <w:tcW w:w="992" w:type="dxa"/>
            <w:tcBorders>
              <w:bottom w:val="single" w:sz="4" w:space="0" w:color="000000"/>
            </w:tcBorders>
          </w:tcPr>
          <w:p w14:paraId="38B191C1" w14:textId="77777777" w:rsidR="008E5DE4" w:rsidRDefault="00780368">
            <w:pPr>
              <w:widowControl w:val="0"/>
              <w:pBdr>
                <w:top w:val="nil"/>
                <w:left w:val="nil"/>
                <w:bottom w:val="nil"/>
                <w:right w:val="nil"/>
                <w:between w:val="nil"/>
              </w:pBdr>
              <w:ind w:left="-113"/>
              <w:jc w:val="right"/>
              <w:rPr>
                <w:b/>
                <w:color w:val="000000"/>
              </w:rPr>
            </w:pPr>
            <w:r>
              <w:rPr>
                <w:b/>
                <w:color w:val="000000"/>
              </w:rPr>
              <w:t>Gross</w:t>
            </w:r>
          </w:p>
          <w:p w14:paraId="0F315EF3"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w:t>
            </w:r>
          </w:p>
          <w:p w14:paraId="74144ED7" w14:textId="77777777" w:rsidR="008E5DE4" w:rsidRDefault="00780368">
            <w:pPr>
              <w:widowControl w:val="0"/>
              <w:pBdr>
                <w:top w:val="nil"/>
                <w:left w:val="nil"/>
                <w:bottom w:val="nil"/>
                <w:right w:val="nil"/>
                <w:between w:val="nil"/>
              </w:pBdr>
              <w:ind w:left="-113"/>
              <w:jc w:val="right"/>
              <w:rPr>
                <w:b/>
                <w:color w:val="000000"/>
              </w:rPr>
            </w:pPr>
            <w:r>
              <w:rPr>
                <w:b/>
                <w:color w:val="000000"/>
              </w:rPr>
              <w:t>amount</w:t>
            </w:r>
          </w:p>
        </w:tc>
        <w:tc>
          <w:tcPr>
            <w:tcW w:w="992" w:type="dxa"/>
            <w:tcBorders>
              <w:bottom w:val="single" w:sz="4" w:space="0" w:color="000000"/>
            </w:tcBorders>
          </w:tcPr>
          <w:p w14:paraId="4A2181A5"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w:t>
            </w:r>
          </w:p>
          <w:p w14:paraId="02777462"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ECL </w:t>
            </w:r>
          </w:p>
        </w:tc>
        <w:tc>
          <w:tcPr>
            <w:tcW w:w="850" w:type="dxa"/>
            <w:tcBorders>
              <w:bottom w:val="single" w:sz="4" w:space="0" w:color="000000"/>
            </w:tcBorders>
          </w:tcPr>
          <w:p w14:paraId="3BB8741F" w14:textId="77777777" w:rsidR="008E5DE4" w:rsidRDefault="00780368">
            <w:pPr>
              <w:widowControl w:val="0"/>
              <w:pBdr>
                <w:top w:val="nil"/>
                <w:left w:val="nil"/>
                <w:bottom w:val="nil"/>
                <w:right w:val="nil"/>
                <w:between w:val="nil"/>
              </w:pBdr>
              <w:ind w:left="-113"/>
              <w:jc w:val="right"/>
              <w:rPr>
                <w:b/>
                <w:color w:val="000000"/>
              </w:rPr>
            </w:pPr>
            <w:r>
              <w:rPr>
                <w:b/>
                <w:color w:val="000000"/>
              </w:rPr>
              <w:t>Net carrying value</w:t>
            </w:r>
          </w:p>
        </w:tc>
      </w:tr>
      <w:tr w:rsidR="008E5DE4" w14:paraId="6EE2054A" w14:textId="77777777">
        <w:trPr>
          <w:cantSplit/>
        </w:trPr>
        <w:tc>
          <w:tcPr>
            <w:tcW w:w="2551" w:type="dxa"/>
            <w:tcBorders>
              <w:top w:val="single" w:sz="4" w:space="0" w:color="000000"/>
            </w:tcBorders>
            <w:vAlign w:val="bottom"/>
          </w:tcPr>
          <w:p w14:paraId="25C5D03E" w14:textId="77777777" w:rsidR="008E5DE4" w:rsidRDefault="00780368">
            <w:pPr>
              <w:widowControl w:val="0"/>
              <w:pBdr>
                <w:top w:val="nil"/>
                <w:left w:val="nil"/>
                <w:bottom w:val="nil"/>
                <w:right w:val="nil"/>
                <w:between w:val="nil"/>
              </w:pBdr>
              <w:rPr>
                <w:color w:val="000000"/>
              </w:rPr>
            </w:pPr>
            <w:r>
              <w:rPr>
                <w:color w:val="000000"/>
              </w:rPr>
              <w:t> </w:t>
            </w:r>
          </w:p>
        </w:tc>
        <w:tc>
          <w:tcPr>
            <w:tcW w:w="567" w:type="dxa"/>
            <w:tcBorders>
              <w:top w:val="single" w:sz="4" w:space="0" w:color="000000"/>
            </w:tcBorders>
            <w:vAlign w:val="bottom"/>
          </w:tcPr>
          <w:p w14:paraId="30D2B3FD"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1E4FC61B"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756FC170" w14:textId="77777777" w:rsidR="008E5DE4" w:rsidRDefault="008E5DE4">
            <w:pPr>
              <w:widowControl w:val="0"/>
              <w:pBdr>
                <w:top w:val="nil"/>
                <w:left w:val="nil"/>
                <w:bottom w:val="nil"/>
                <w:right w:val="nil"/>
                <w:between w:val="nil"/>
              </w:pBdr>
              <w:jc w:val="center"/>
              <w:rPr>
                <w:color w:val="000000"/>
              </w:rPr>
            </w:pPr>
          </w:p>
        </w:tc>
        <w:tc>
          <w:tcPr>
            <w:tcW w:w="851" w:type="dxa"/>
            <w:tcBorders>
              <w:top w:val="single" w:sz="4" w:space="0" w:color="000000"/>
            </w:tcBorders>
          </w:tcPr>
          <w:p w14:paraId="5B5CD867" w14:textId="77777777" w:rsidR="008E5DE4" w:rsidRDefault="008E5DE4">
            <w:pPr>
              <w:widowControl w:val="0"/>
              <w:pBdr>
                <w:top w:val="nil"/>
                <w:left w:val="nil"/>
                <w:bottom w:val="nil"/>
                <w:right w:val="nil"/>
                <w:between w:val="nil"/>
              </w:pBdr>
              <w:jc w:val="center"/>
              <w:rPr>
                <w:color w:val="000000"/>
              </w:rPr>
            </w:pPr>
          </w:p>
        </w:tc>
        <w:tc>
          <w:tcPr>
            <w:tcW w:w="568" w:type="dxa"/>
            <w:tcBorders>
              <w:top w:val="single" w:sz="4" w:space="0" w:color="000000"/>
            </w:tcBorders>
            <w:vAlign w:val="bottom"/>
          </w:tcPr>
          <w:p w14:paraId="13E6C4DB"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171ACC72"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7A21DE71"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tcPr>
          <w:p w14:paraId="005F9BA0" w14:textId="77777777" w:rsidR="008E5DE4" w:rsidRDefault="008E5DE4">
            <w:pPr>
              <w:widowControl w:val="0"/>
              <w:pBdr>
                <w:top w:val="nil"/>
                <w:left w:val="nil"/>
                <w:bottom w:val="nil"/>
                <w:right w:val="nil"/>
                <w:between w:val="nil"/>
              </w:pBdr>
              <w:jc w:val="right"/>
              <w:rPr>
                <w:color w:val="000000"/>
              </w:rPr>
            </w:pPr>
          </w:p>
        </w:tc>
      </w:tr>
      <w:tr w:rsidR="008E5DE4" w14:paraId="269B9FF4" w14:textId="77777777">
        <w:trPr>
          <w:cantSplit/>
        </w:trPr>
        <w:tc>
          <w:tcPr>
            <w:tcW w:w="2551" w:type="dxa"/>
            <w:vAlign w:val="bottom"/>
          </w:tcPr>
          <w:p w14:paraId="6FF1E29D" w14:textId="77777777" w:rsidR="008E5DE4" w:rsidRDefault="00780368">
            <w:pPr>
              <w:widowControl w:val="0"/>
              <w:pBdr>
                <w:top w:val="nil"/>
                <w:left w:val="nil"/>
                <w:bottom w:val="nil"/>
                <w:right w:val="nil"/>
                <w:between w:val="nil"/>
              </w:pBdr>
              <w:rPr>
                <w:b/>
                <w:i/>
                <w:color w:val="000000"/>
              </w:rPr>
            </w:pPr>
            <w:r>
              <w:rPr>
                <w:b/>
                <w:i/>
                <w:color w:val="000000"/>
              </w:rPr>
              <w:t>Finance lease receivables</w:t>
            </w:r>
          </w:p>
          <w:p w14:paraId="2D8F9D7E" w14:textId="77777777" w:rsidR="008E5DE4" w:rsidRDefault="00780368">
            <w:pPr>
              <w:widowControl w:val="0"/>
              <w:pBdr>
                <w:top w:val="nil"/>
                <w:left w:val="nil"/>
                <w:bottom w:val="nil"/>
                <w:right w:val="nil"/>
                <w:between w:val="nil"/>
              </w:pBdr>
              <w:rPr>
                <w:b/>
                <w:i/>
                <w:color w:val="000000"/>
              </w:rPr>
            </w:pPr>
            <w:r>
              <w:rPr>
                <w:color w:val="0000FF"/>
              </w:rPr>
              <w:t>- current</w:t>
            </w:r>
          </w:p>
        </w:tc>
        <w:tc>
          <w:tcPr>
            <w:tcW w:w="567" w:type="dxa"/>
            <w:vAlign w:val="bottom"/>
          </w:tcPr>
          <w:p w14:paraId="7999B95F"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1969601C"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7A98C98A" w14:textId="77777777" w:rsidR="008E5DE4" w:rsidRDefault="008E5DE4">
            <w:pPr>
              <w:widowControl w:val="0"/>
              <w:pBdr>
                <w:top w:val="nil"/>
                <w:left w:val="nil"/>
                <w:bottom w:val="nil"/>
                <w:right w:val="nil"/>
                <w:between w:val="nil"/>
              </w:pBdr>
              <w:jc w:val="right"/>
              <w:rPr>
                <w:i/>
                <w:color w:val="0000FF"/>
              </w:rPr>
            </w:pPr>
          </w:p>
        </w:tc>
        <w:tc>
          <w:tcPr>
            <w:tcW w:w="851" w:type="dxa"/>
          </w:tcPr>
          <w:p w14:paraId="5278BC40"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7CDACCAC"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70EAD220"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7B8C0856" w14:textId="77777777" w:rsidR="008E5DE4" w:rsidRDefault="008E5DE4">
            <w:pPr>
              <w:widowControl w:val="0"/>
              <w:pBdr>
                <w:top w:val="nil"/>
                <w:left w:val="nil"/>
                <w:bottom w:val="nil"/>
                <w:right w:val="nil"/>
                <w:between w:val="nil"/>
              </w:pBdr>
              <w:jc w:val="right"/>
              <w:rPr>
                <w:i/>
                <w:color w:val="0000FF"/>
              </w:rPr>
            </w:pPr>
          </w:p>
        </w:tc>
        <w:tc>
          <w:tcPr>
            <w:tcW w:w="850" w:type="dxa"/>
          </w:tcPr>
          <w:p w14:paraId="4628CF0A" w14:textId="77777777" w:rsidR="008E5DE4" w:rsidRDefault="008E5DE4">
            <w:pPr>
              <w:widowControl w:val="0"/>
              <w:pBdr>
                <w:top w:val="nil"/>
                <w:left w:val="nil"/>
                <w:bottom w:val="nil"/>
                <w:right w:val="nil"/>
                <w:between w:val="nil"/>
              </w:pBdr>
              <w:jc w:val="right"/>
              <w:rPr>
                <w:i/>
                <w:color w:val="0000FF"/>
              </w:rPr>
            </w:pPr>
          </w:p>
        </w:tc>
      </w:tr>
      <w:tr w:rsidR="008E5DE4" w14:paraId="0FC52911" w14:textId="77777777">
        <w:trPr>
          <w:cantSplit/>
        </w:trPr>
        <w:tc>
          <w:tcPr>
            <w:tcW w:w="2551" w:type="dxa"/>
            <w:vAlign w:val="bottom"/>
          </w:tcPr>
          <w:p w14:paraId="3B542E01" w14:textId="77777777" w:rsidR="008E5DE4" w:rsidRDefault="00780368">
            <w:pPr>
              <w:widowControl w:val="0"/>
              <w:pBdr>
                <w:top w:val="nil"/>
                <w:left w:val="nil"/>
                <w:bottom w:val="nil"/>
                <w:right w:val="nil"/>
                <w:between w:val="nil"/>
              </w:pBdr>
              <w:ind w:left="175" w:hanging="175"/>
              <w:rPr>
                <w:color w:val="0000FF"/>
              </w:rPr>
            </w:pPr>
            <w:r>
              <w:rPr>
                <w:color w:val="0000FF"/>
              </w:rPr>
              <w:t>- less than 30 days overdue</w:t>
            </w:r>
          </w:p>
        </w:tc>
        <w:tc>
          <w:tcPr>
            <w:tcW w:w="567" w:type="dxa"/>
            <w:vAlign w:val="bottom"/>
          </w:tcPr>
          <w:p w14:paraId="2775B874"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6A31F6AE"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19D1686D" w14:textId="77777777" w:rsidR="008E5DE4" w:rsidRDefault="008E5DE4">
            <w:pPr>
              <w:widowControl w:val="0"/>
              <w:pBdr>
                <w:top w:val="nil"/>
                <w:left w:val="nil"/>
                <w:bottom w:val="nil"/>
                <w:right w:val="nil"/>
                <w:between w:val="nil"/>
              </w:pBdr>
              <w:jc w:val="right"/>
              <w:rPr>
                <w:i/>
                <w:color w:val="0000FF"/>
              </w:rPr>
            </w:pPr>
          </w:p>
        </w:tc>
        <w:tc>
          <w:tcPr>
            <w:tcW w:w="851" w:type="dxa"/>
          </w:tcPr>
          <w:p w14:paraId="119FD0B4"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3B163839"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5E77AA56"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2FCE97F5" w14:textId="77777777" w:rsidR="008E5DE4" w:rsidRDefault="008E5DE4">
            <w:pPr>
              <w:widowControl w:val="0"/>
              <w:pBdr>
                <w:top w:val="nil"/>
                <w:left w:val="nil"/>
                <w:bottom w:val="nil"/>
                <w:right w:val="nil"/>
                <w:between w:val="nil"/>
              </w:pBdr>
              <w:jc w:val="right"/>
              <w:rPr>
                <w:i/>
                <w:color w:val="0000FF"/>
              </w:rPr>
            </w:pPr>
          </w:p>
        </w:tc>
        <w:tc>
          <w:tcPr>
            <w:tcW w:w="850" w:type="dxa"/>
          </w:tcPr>
          <w:p w14:paraId="23A86F5E" w14:textId="77777777" w:rsidR="008E5DE4" w:rsidRDefault="008E5DE4">
            <w:pPr>
              <w:widowControl w:val="0"/>
              <w:pBdr>
                <w:top w:val="nil"/>
                <w:left w:val="nil"/>
                <w:bottom w:val="nil"/>
                <w:right w:val="nil"/>
                <w:between w:val="nil"/>
              </w:pBdr>
              <w:jc w:val="right"/>
              <w:rPr>
                <w:i/>
                <w:color w:val="0000FF"/>
              </w:rPr>
            </w:pPr>
          </w:p>
        </w:tc>
      </w:tr>
      <w:tr w:rsidR="008E5DE4" w14:paraId="38F39F7B" w14:textId="77777777">
        <w:trPr>
          <w:cantSplit/>
        </w:trPr>
        <w:tc>
          <w:tcPr>
            <w:tcW w:w="2551" w:type="dxa"/>
            <w:vAlign w:val="bottom"/>
          </w:tcPr>
          <w:p w14:paraId="19C52255" w14:textId="77777777" w:rsidR="008E5DE4" w:rsidRDefault="00780368">
            <w:pPr>
              <w:widowControl w:val="0"/>
              <w:pBdr>
                <w:top w:val="nil"/>
                <w:left w:val="nil"/>
                <w:bottom w:val="nil"/>
                <w:right w:val="nil"/>
                <w:between w:val="nil"/>
              </w:pBdr>
              <w:rPr>
                <w:color w:val="0000FF"/>
              </w:rPr>
            </w:pPr>
            <w:r>
              <w:rPr>
                <w:color w:val="0000FF"/>
              </w:rPr>
              <w:t>- 30 to 90 days overdue</w:t>
            </w:r>
          </w:p>
        </w:tc>
        <w:tc>
          <w:tcPr>
            <w:tcW w:w="567" w:type="dxa"/>
            <w:vAlign w:val="bottom"/>
          </w:tcPr>
          <w:p w14:paraId="3AC2D059"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5EBFCC62"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7F10B493" w14:textId="77777777" w:rsidR="008E5DE4" w:rsidRDefault="008E5DE4">
            <w:pPr>
              <w:widowControl w:val="0"/>
              <w:pBdr>
                <w:top w:val="nil"/>
                <w:left w:val="nil"/>
                <w:bottom w:val="nil"/>
                <w:right w:val="nil"/>
                <w:between w:val="nil"/>
              </w:pBdr>
              <w:jc w:val="right"/>
              <w:rPr>
                <w:i/>
                <w:color w:val="0000FF"/>
              </w:rPr>
            </w:pPr>
          </w:p>
        </w:tc>
        <w:tc>
          <w:tcPr>
            <w:tcW w:w="851" w:type="dxa"/>
          </w:tcPr>
          <w:p w14:paraId="3EEC5799"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0BE96D84"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151B07C5"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4905C77D" w14:textId="77777777" w:rsidR="008E5DE4" w:rsidRDefault="008E5DE4">
            <w:pPr>
              <w:widowControl w:val="0"/>
              <w:pBdr>
                <w:top w:val="nil"/>
                <w:left w:val="nil"/>
                <w:bottom w:val="nil"/>
                <w:right w:val="nil"/>
                <w:between w:val="nil"/>
              </w:pBdr>
              <w:jc w:val="right"/>
              <w:rPr>
                <w:i/>
                <w:color w:val="0000FF"/>
              </w:rPr>
            </w:pPr>
          </w:p>
        </w:tc>
        <w:tc>
          <w:tcPr>
            <w:tcW w:w="850" w:type="dxa"/>
          </w:tcPr>
          <w:p w14:paraId="7DC2E5B7" w14:textId="77777777" w:rsidR="008E5DE4" w:rsidRDefault="008E5DE4">
            <w:pPr>
              <w:widowControl w:val="0"/>
              <w:pBdr>
                <w:top w:val="nil"/>
                <w:left w:val="nil"/>
                <w:bottom w:val="nil"/>
                <w:right w:val="nil"/>
                <w:between w:val="nil"/>
              </w:pBdr>
              <w:jc w:val="right"/>
              <w:rPr>
                <w:i/>
                <w:color w:val="0000FF"/>
              </w:rPr>
            </w:pPr>
          </w:p>
        </w:tc>
      </w:tr>
      <w:tr w:rsidR="008E5DE4" w14:paraId="16EF9329" w14:textId="77777777">
        <w:trPr>
          <w:cantSplit/>
        </w:trPr>
        <w:tc>
          <w:tcPr>
            <w:tcW w:w="2551" w:type="dxa"/>
            <w:vAlign w:val="bottom"/>
          </w:tcPr>
          <w:p w14:paraId="753A1137" w14:textId="77777777" w:rsidR="008E5DE4" w:rsidRDefault="00780368">
            <w:pPr>
              <w:widowControl w:val="0"/>
              <w:pBdr>
                <w:top w:val="nil"/>
                <w:left w:val="nil"/>
                <w:bottom w:val="nil"/>
                <w:right w:val="nil"/>
                <w:between w:val="nil"/>
              </w:pBdr>
              <w:rPr>
                <w:color w:val="0000FF"/>
              </w:rPr>
            </w:pPr>
            <w:r>
              <w:rPr>
                <w:color w:val="0000FF"/>
              </w:rPr>
              <w:t>- 91 to 180 days overdue</w:t>
            </w:r>
          </w:p>
        </w:tc>
        <w:tc>
          <w:tcPr>
            <w:tcW w:w="567" w:type="dxa"/>
            <w:vAlign w:val="bottom"/>
          </w:tcPr>
          <w:p w14:paraId="4FB35B86"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2ECAF6ED"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3B6FB45F" w14:textId="77777777" w:rsidR="008E5DE4" w:rsidRDefault="008E5DE4">
            <w:pPr>
              <w:widowControl w:val="0"/>
              <w:pBdr>
                <w:top w:val="nil"/>
                <w:left w:val="nil"/>
                <w:bottom w:val="nil"/>
                <w:right w:val="nil"/>
                <w:between w:val="nil"/>
              </w:pBdr>
              <w:jc w:val="right"/>
              <w:rPr>
                <w:i/>
                <w:color w:val="0000FF"/>
              </w:rPr>
            </w:pPr>
          </w:p>
        </w:tc>
        <w:tc>
          <w:tcPr>
            <w:tcW w:w="851" w:type="dxa"/>
          </w:tcPr>
          <w:p w14:paraId="476764EC"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6497855A"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23E3C2CF"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73B5555D" w14:textId="77777777" w:rsidR="008E5DE4" w:rsidRDefault="008E5DE4">
            <w:pPr>
              <w:widowControl w:val="0"/>
              <w:pBdr>
                <w:top w:val="nil"/>
                <w:left w:val="nil"/>
                <w:bottom w:val="nil"/>
                <w:right w:val="nil"/>
                <w:between w:val="nil"/>
              </w:pBdr>
              <w:jc w:val="right"/>
              <w:rPr>
                <w:i/>
                <w:color w:val="0000FF"/>
              </w:rPr>
            </w:pPr>
          </w:p>
        </w:tc>
        <w:tc>
          <w:tcPr>
            <w:tcW w:w="850" w:type="dxa"/>
          </w:tcPr>
          <w:p w14:paraId="0E98CCA5" w14:textId="77777777" w:rsidR="008E5DE4" w:rsidRDefault="008E5DE4">
            <w:pPr>
              <w:widowControl w:val="0"/>
              <w:pBdr>
                <w:top w:val="nil"/>
                <w:left w:val="nil"/>
                <w:bottom w:val="nil"/>
                <w:right w:val="nil"/>
                <w:between w:val="nil"/>
              </w:pBdr>
              <w:jc w:val="right"/>
              <w:rPr>
                <w:i/>
                <w:color w:val="0000FF"/>
              </w:rPr>
            </w:pPr>
          </w:p>
        </w:tc>
      </w:tr>
      <w:tr w:rsidR="008E5DE4" w14:paraId="608246B1" w14:textId="77777777">
        <w:trPr>
          <w:cantSplit/>
        </w:trPr>
        <w:tc>
          <w:tcPr>
            <w:tcW w:w="2551" w:type="dxa"/>
            <w:vAlign w:val="bottom"/>
          </w:tcPr>
          <w:p w14:paraId="7FED4EBA" w14:textId="77777777" w:rsidR="008E5DE4" w:rsidRDefault="00780368">
            <w:pPr>
              <w:widowControl w:val="0"/>
              <w:pBdr>
                <w:top w:val="nil"/>
                <w:left w:val="nil"/>
                <w:bottom w:val="nil"/>
                <w:right w:val="nil"/>
                <w:between w:val="nil"/>
              </w:pBdr>
              <w:rPr>
                <w:color w:val="0000FF"/>
              </w:rPr>
            </w:pPr>
            <w:r>
              <w:rPr>
                <w:color w:val="0000FF"/>
              </w:rPr>
              <w:t>- 181 to 360 days overdue</w:t>
            </w:r>
          </w:p>
        </w:tc>
        <w:tc>
          <w:tcPr>
            <w:tcW w:w="567" w:type="dxa"/>
            <w:vAlign w:val="bottom"/>
          </w:tcPr>
          <w:p w14:paraId="4DF236AC"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60283D1F"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02BDC9E6" w14:textId="77777777" w:rsidR="008E5DE4" w:rsidRDefault="008E5DE4">
            <w:pPr>
              <w:widowControl w:val="0"/>
              <w:pBdr>
                <w:top w:val="nil"/>
                <w:left w:val="nil"/>
                <w:bottom w:val="nil"/>
                <w:right w:val="nil"/>
                <w:between w:val="nil"/>
              </w:pBdr>
              <w:jc w:val="right"/>
              <w:rPr>
                <w:i/>
                <w:color w:val="0000FF"/>
              </w:rPr>
            </w:pPr>
          </w:p>
        </w:tc>
        <w:tc>
          <w:tcPr>
            <w:tcW w:w="851" w:type="dxa"/>
          </w:tcPr>
          <w:p w14:paraId="45F724CB"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354B47FB"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24153690"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5CDAE5A3" w14:textId="77777777" w:rsidR="008E5DE4" w:rsidRDefault="008E5DE4">
            <w:pPr>
              <w:widowControl w:val="0"/>
              <w:pBdr>
                <w:top w:val="nil"/>
                <w:left w:val="nil"/>
                <w:bottom w:val="nil"/>
                <w:right w:val="nil"/>
                <w:between w:val="nil"/>
              </w:pBdr>
              <w:jc w:val="right"/>
              <w:rPr>
                <w:i/>
                <w:color w:val="0000FF"/>
              </w:rPr>
            </w:pPr>
          </w:p>
        </w:tc>
        <w:tc>
          <w:tcPr>
            <w:tcW w:w="850" w:type="dxa"/>
          </w:tcPr>
          <w:p w14:paraId="54A88850" w14:textId="77777777" w:rsidR="008E5DE4" w:rsidRDefault="008E5DE4">
            <w:pPr>
              <w:widowControl w:val="0"/>
              <w:pBdr>
                <w:top w:val="nil"/>
                <w:left w:val="nil"/>
                <w:bottom w:val="nil"/>
                <w:right w:val="nil"/>
                <w:between w:val="nil"/>
              </w:pBdr>
              <w:jc w:val="right"/>
              <w:rPr>
                <w:i/>
                <w:color w:val="0000FF"/>
              </w:rPr>
            </w:pPr>
          </w:p>
        </w:tc>
      </w:tr>
      <w:tr w:rsidR="008E5DE4" w14:paraId="1FEB797A" w14:textId="77777777">
        <w:trPr>
          <w:cantSplit/>
        </w:trPr>
        <w:tc>
          <w:tcPr>
            <w:tcW w:w="2551" w:type="dxa"/>
            <w:vAlign w:val="bottom"/>
          </w:tcPr>
          <w:p w14:paraId="00DEE825" w14:textId="77777777" w:rsidR="008E5DE4" w:rsidRDefault="00780368">
            <w:pPr>
              <w:widowControl w:val="0"/>
              <w:pBdr>
                <w:top w:val="nil"/>
                <w:left w:val="nil"/>
                <w:bottom w:val="nil"/>
                <w:right w:val="nil"/>
                <w:between w:val="nil"/>
              </w:pBdr>
              <w:rPr>
                <w:color w:val="0000FF"/>
              </w:rPr>
            </w:pPr>
            <w:r>
              <w:rPr>
                <w:color w:val="0000FF"/>
              </w:rPr>
              <w:t>- over 360 days overdue</w:t>
            </w:r>
          </w:p>
        </w:tc>
        <w:tc>
          <w:tcPr>
            <w:tcW w:w="567" w:type="dxa"/>
            <w:vAlign w:val="bottom"/>
          </w:tcPr>
          <w:p w14:paraId="027C7FE1"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7D428333"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7BB02429" w14:textId="77777777" w:rsidR="008E5DE4" w:rsidRDefault="008E5DE4">
            <w:pPr>
              <w:widowControl w:val="0"/>
              <w:pBdr>
                <w:top w:val="nil"/>
                <w:left w:val="nil"/>
                <w:bottom w:val="nil"/>
                <w:right w:val="nil"/>
                <w:between w:val="nil"/>
              </w:pBdr>
              <w:jc w:val="right"/>
              <w:rPr>
                <w:i/>
                <w:color w:val="0000FF"/>
              </w:rPr>
            </w:pPr>
          </w:p>
        </w:tc>
        <w:tc>
          <w:tcPr>
            <w:tcW w:w="851" w:type="dxa"/>
          </w:tcPr>
          <w:p w14:paraId="2F682850"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49DF62CC"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19DE0EDE"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76ED1D8E" w14:textId="77777777" w:rsidR="008E5DE4" w:rsidRDefault="008E5DE4">
            <w:pPr>
              <w:widowControl w:val="0"/>
              <w:pBdr>
                <w:top w:val="nil"/>
                <w:left w:val="nil"/>
                <w:bottom w:val="nil"/>
                <w:right w:val="nil"/>
                <w:between w:val="nil"/>
              </w:pBdr>
              <w:jc w:val="right"/>
              <w:rPr>
                <w:i/>
                <w:color w:val="0000FF"/>
              </w:rPr>
            </w:pPr>
          </w:p>
        </w:tc>
        <w:tc>
          <w:tcPr>
            <w:tcW w:w="850" w:type="dxa"/>
          </w:tcPr>
          <w:p w14:paraId="0193D8A9" w14:textId="77777777" w:rsidR="008E5DE4" w:rsidRDefault="008E5DE4">
            <w:pPr>
              <w:widowControl w:val="0"/>
              <w:pBdr>
                <w:top w:val="nil"/>
                <w:left w:val="nil"/>
                <w:bottom w:val="nil"/>
                <w:right w:val="nil"/>
                <w:between w:val="nil"/>
              </w:pBdr>
              <w:jc w:val="right"/>
              <w:rPr>
                <w:i/>
                <w:color w:val="0000FF"/>
              </w:rPr>
            </w:pPr>
          </w:p>
        </w:tc>
      </w:tr>
      <w:tr w:rsidR="008E5DE4" w14:paraId="12C862C0" w14:textId="77777777">
        <w:trPr>
          <w:cantSplit/>
        </w:trPr>
        <w:tc>
          <w:tcPr>
            <w:tcW w:w="2551" w:type="dxa"/>
            <w:tcBorders>
              <w:bottom w:val="single" w:sz="4" w:space="0" w:color="000000"/>
            </w:tcBorders>
            <w:vAlign w:val="bottom"/>
          </w:tcPr>
          <w:p w14:paraId="27A00BFF" w14:textId="77777777" w:rsidR="008E5DE4" w:rsidRDefault="008E5DE4">
            <w:pPr>
              <w:widowControl w:val="0"/>
              <w:pBdr>
                <w:top w:val="nil"/>
                <w:left w:val="nil"/>
                <w:bottom w:val="nil"/>
                <w:right w:val="nil"/>
                <w:between w:val="nil"/>
              </w:pBdr>
              <w:rPr>
                <w:color w:val="0000FF"/>
              </w:rPr>
            </w:pPr>
          </w:p>
        </w:tc>
        <w:tc>
          <w:tcPr>
            <w:tcW w:w="567" w:type="dxa"/>
            <w:tcBorders>
              <w:bottom w:val="single" w:sz="4" w:space="0" w:color="000000"/>
            </w:tcBorders>
            <w:vAlign w:val="bottom"/>
          </w:tcPr>
          <w:p w14:paraId="41F91056"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0AF49B82"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64FE875E" w14:textId="77777777" w:rsidR="008E5DE4" w:rsidRDefault="008E5DE4">
            <w:pPr>
              <w:widowControl w:val="0"/>
              <w:pBdr>
                <w:top w:val="nil"/>
                <w:left w:val="nil"/>
                <w:bottom w:val="nil"/>
                <w:right w:val="nil"/>
                <w:between w:val="nil"/>
              </w:pBdr>
              <w:jc w:val="right"/>
              <w:rPr>
                <w:i/>
                <w:color w:val="0000FF"/>
              </w:rPr>
            </w:pPr>
          </w:p>
        </w:tc>
        <w:tc>
          <w:tcPr>
            <w:tcW w:w="851" w:type="dxa"/>
            <w:tcBorders>
              <w:bottom w:val="single" w:sz="4" w:space="0" w:color="000000"/>
            </w:tcBorders>
          </w:tcPr>
          <w:p w14:paraId="139C0362" w14:textId="77777777" w:rsidR="008E5DE4" w:rsidRDefault="008E5DE4">
            <w:pPr>
              <w:widowControl w:val="0"/>
              <w:pBdr>
                <w:top w:val="nil"/>
                <w:left w:val="nil"/>
                <w:bottom w:val="nil"/>
                <w:right w:val="nil"/>
                <w:between w:val="nil"/>
              </w:pBdr>
              <w:jc w:val="right"/>
              <w:rPr>
                <w:i/>
                <w:color w:val="0000FF"/>
              </w:rPr>
            </w:pPr>
          </w:p>
        </w:tc>
        <w:tc>
          <w:tcPr>
            <w:tcW w:w="568" w:type="dxa"/>
            <w:tcBorders>
              <w:bottom w:val="single" w:sz="4" w:space="0" w:color="000000"/>
            </w:tcBorders>
            <w:vAlign w:val="bottom"/>
          </w:tcPr>
          <w:p w14:paraId="633A7F18"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562ABA46"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4038E140" w14:textId="77777777" w:rsidR="008E5DE4" w:rsidRDefault="008E5DE4">
            <w:pPr>
              <w:widowControl w:val="0"/>
              <w:pBdr>
                <w:top w:val="nil"/>
                <w:left w:val="nil"/>
                <w:bottom w:val="nil"/>
                <w:right w:val="nil"/>
                <w:between w:val="nil"/>
              </w:pBdr>
              <w:jc w:val="right"/>
              <w:rPr>
                <w:i/>
                <w:color w:val="0000FF"/>
              </w:rPr>
            </w:pPr>
          </w:p>
        </w:tc>
        <w:tc>
          <w:tcPr>
            <w:tcW w:w="850" w:type="dxa"/>
            <w:tcBorders>
              <w:bottom w:val="single" w:sz="4" w:space="0" w:color="000000"/>
            </w:tcBorders>
          </w:tcPr>
          <w:p w14:paraId="61263B93" w14:textId="77777777" w:rsidR="008E5DE4" w:rsidRDefault="008E5DE4">
            <w:pPr>
              <w:widowControl w:val="0"/>
              <w:pBdr>
                <w:top w:val="nil"/>
                <w:left w:val="nil"/>
                <w:bottom w:val="nil"/>
                <w:right w:val="nil"/>
                <w:between w:val="nil"/>
              </w:pBdr>
              <w:jc w:val="right"/>
              <w:rPr>
                <w:i/>
                <w:color w:val="0000FF"/>
              </w:rPr>
            </w:pPr>
          </w:p>
        </w:tc>
      </w:tr>
      <w:tr w:rsidR="008E5DE4" w14:paraId="48659240" w14:textId="77777777">
        <w:trPr>
          <w:cantSplit/>
        </w:trPr>
        <w:tc>
          <w:tcPr>
            <w:tcW w:w="2551" w:type="dxa"/>
            <w:tcBorders>
              <w:top w:val="single" w:sz="4" w:space="0" w:color="000000"/>
            </w:tcBorders>
            <w:vAlign w:val="bottom"/>
          </w:tcPr>
          <w:p w14:paraId="2C812C41" w14:textId="77777777" w:rsidR="008E5DE4" w:rsidRDefault="008E5DE4">
            <w:pPr>
              <w:widowControl w:val="0"/>
              <w:pBdr>
                <w:top w:val="nil"/>
                <w:left w:val="nil"/>
                <w:bottom w:val="nil"/>
                <w:right w:val="nil"/>
                <w:between w:val="nil"/>
              </w:pBdr>
              <w:rPr>
                <w:color w:val="000000"/>
              </w:rPr>
            </w:pPr>
          </w:p>
        </w:tc>
        <w:tc>
          <w:tcPr>
            <w:tcW w:w="567" w:type="dxa"/>
            <w:tcBorders>
              <w:top w:val="single" w:sz="4" w:space="0" w:color="000000"/>
            </w:tcBorders>
            <w:vAlign w:val="bottom"/>
          </w:tcPr>
          <w:p w14:paraId="728B7E8B"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6C829EE4"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6A168F88" w14:textId="77777777" w:rsidR="008E5DE4" w:rsidRDefault="008E5DE4">
            <w:pPr>
              <w:widowControl w:val="0"/>
              <w:pBdr>
                <w:top w:val="nil"/>
                <w:left w:val="nil"/>
                <w:bottom w:val="nil"/>
                <w:right w:val="nil"/>
                <w:between w:val="nil"/>
              </w:pBdr>
              <w:jc w:val="right"/>
              <w:rPr>
                <w:i/>
                <w:color w:val="0000FF"/>
              </w:rPr>
            </w:pPr>
          </w:p>
        </w:tc>
        <w:tc>
          <w:tcPr>
            <w:tcW w:w="851" w:type="dxa"/>
            <w:tcBorders>
              <w:top w:val="single" w:sz="4" w:space="0" w:color="000000"/>
            </w:tcBorders>
          </w:tcPr>
          <w:p w14:paraId="7E8D343C" w14:textId="77777777" w:rsidR="008E5DE4" w:rsidRDefault="008E5DE4">
            <w:pPr>
              <w:widowControl w:val="0"/>
              <w:pBdr>
                <w:top w:val="nil"/>
                <w:left w:val="nil"/>
                <w:bottom w:val="nil"/>
                <w:right w:val="nil"/>
                <w:between w:val="nil"/>
              </w:pBdr>
              <w:jc w:val="right"/>
              <w:rPr>
                <w:i/>
                <w:color w:val="0000FF"/>
              </w:rPr>
            </w:pPr>
          </w:p>
        </w:tc>
        <w:tc>
          <w:tcPr>
            <w:tcW w:w="568" w:type="dxa"/>
            <w:tcBorders>
              <w:top w:val="single" w:sz="4" w:space="0" w:color="000000"/>
            </w:tcBorders>
            <w:vAlign w:val="bottom"/>
          </w:tcPr>
          <w:p w14:paraId="0A19EE37"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1FD476BE"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34DC2ACB" w14:textId="77777777" w:rsidR="008E5DE4" w:rsidRDefault="008E5DE4">
            <w:pPr>
              <w:widowControl w:val="0"/>
              <w:pBdr>
                <w:top w:val="nil"/>
                <w:left w:val="nil"/>
                <w:bottom w:val="nil"/>
                <w:right w:val="nil"/>
                <w:between w:val="nil"/>
              </w:pBdr>
              <w:jc w:val="right"/>
              <w:rPr>
                <w:i/>
                <w:color w:val="0000FF"/>
              </w:rPr>
            </w:pPr>
          </w:p>
        </w:tc>
        <w:tc>
          <w:tcPr>
            <w:tcW w:w="850" w:type="dxa"/>
            <w:tcBorders>
              <w:top w:val="single" w:sz="4" w:space="0" w:color="000000"/>
            </w:tcBorders>
          </w:tcPr>
          <w:p w14:paraId="7D628A6E" w14:textId="77777777" w:rsidR="008E5DE4" w:rsidRDefault="008E5DE4">
            <w:pPr>
              <w:widowControl w:val="0"/>
              <w:pBdr>
                <w:top w:val="nil"/>
                <w:left w:val="nil"/>
                <w:bottom w:val="nil"/>
                <w:right w:val="nil"/>
                <w:between w:val="nil"/>
              </w:pBdr>
              <w:jc w:val="right"/>
              <w:rPr>
                <w:i/>
                <w:color w:val="0000FF"/>
              </w:rPr>
            </w:pPr>
          </w:p>
        </w:tc>
      </w:tr>
      <w:tr w:rsidR="008E5DE4" w14:paraId="406A9FBF" w14:textId="77777777">
        <w:trPr>
          <w:cantSplit/>
        </w:trPr>
        <w:tc>
          <w:tcPr>
            <w:tcW w:w="2551" w:type="dxa"/>
            <w:vAlign w:val="bottom"/>
          </w:tcPr>
          <w:p w14:paraId="7BA8777D" w14:textId="77777777" w:rsidR="008E5DE4" w:rsidRDefault="00780368">
            <w:pPr>
              <w:widowControl w:val="0"/>
              <w:pBdr>
                <w:top w:val="nil"/>
                <w:left w:val="nil"/>
                <w:bottom w:val="nil"/>
                <w:right w:val="nil"/>
                <w:between w:val="nil"/>
              </w:pBdr>
              <w:rPr>
                <w:color w:val="000000"/>
              </w:rPr>
            </w:pPr>
            <w:r>
              <w:rPr>
                <w:b/>
                <w:color w:val="000000"/>
              </w:rPr>
              <w:t xml:space="preserve">Total </w:t>
            </w:r>
          </w:p>
        </w:tc>
        <w:tc>
          <w:tcPr>
            <w:tcW w:w="567" w:type="dxa"/>
            <w:vAlign w:val="bottom"/>
          </w:tcPr>
          <w:p w14:paraId="08FCF93D"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6BF25254"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4A4D510F" w14:textId="77777777" w:rsidR="008E5DE4" w:rsidRDefault="008E5DE4">
            <w:pPr>
              <w:widowControl w:val="0"/>
              <w:pBdr>
                <w:top w:val="nil"/>
                <w:left w:val="nil"/>
                <w:bottom w:val="nil"/>
                <w:right w:val="nil"/>
                <w:between w:val="nil"/>
              </w:pBdr>
              <w:jc w:val="right"/>
              <w:rPr>
                <w:i/>
                <w:color w:val="0000FF"/>
              </w:rPr>
            </w:pPr>
          </w:p>
        </w:tc>
        <w:tc>
          <w:tcPr>
            <w:tcW w:w="851" w:type="dxa"/>
          </w:tcPr>
          <w:p w14:paraId="132B7FB3"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06CEA1F0"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40273899"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3BB31934" w14:textId="77777777" w:rsidR="008E5DE4" w:rsidRDefault="008E5DE4">
            <w:pPr>
              <w:widowControl w:val="0"/>
              <w:pBdr>
                <w:top w:val="nil"/>
                <w:left w:val="nil"/>
                <w:bottom w:val="nil"/>
                <w:right w:val="nil"/>
                <w:between w:val="nil"/>
              </w:pBdr>
              <w:jc w:val="right"/>
              <w:rPr>
                <w:i/>
                <w:color w:val="0000FF"/>
              </w:rPr>
            </w:pPr>
          </w:p>
        </w:tc>
        <w:tc>
          <w:tcPr>
            <w:tcW w:w="850" w:type="dxa"/>
          </w:tcPr>
          <w:p w14:paraId="60DAAEA3" w14:textId="77777777" w:rsidR="008E5DE4" w:rsidRDefault="008E5DE4">
            <w:pPr>
              <w:widowControl w:val="0"/>
              <w:pBdr>
                <w:top w:val="nil"/>
                <w:left w:val="nil"/>
                <w:bottom w:val="nil"/>
                <w:right w:val="nil"/>
                <w:between w:val="nil"/>
              </w:pBdr>
              <w:jc w:val="right"/>
              <w:rPr>
                <w:i/>
                <w:color w:val="0000FF"/>
              </w:rPr>
            </w:pPr>
          </w:p>
        </w:tc>
      </w:tr>
      <w:tr w:rsidR="008E5DE4" w14:paraId="15FF5F3D" w14:textId="77777777">
        <w:trPr>
          <w:cantSplit/>
        </w:trPr>
        <w:tc>
          <w:tcPr>
            <w:tcW w:w="2551" w:type="dxa"/>
            <w:tcBorders>
              <w:bottom w:val="single" w:sz="12" w:space="0" w:color="000000"/>
            </w:tcBorders>
            <w:vAlign w:val="bottom"/>
          </w:tcPr>
          <w:p w14:paraId="557F37E1" w14:textId="77777777" w:rsidR="008E5DE4" w:rsidRDefault="008E5DE4">
            <w:pPr>
              <w:widowControl w:val="0"/>
              <w:pBdr>
                <w:top w:val="nil"/>
                <w:left w:val="nil"/>
                <w:bottom w:val="nil"/>
                <w:right w:val="nil"/>
                <w:between w:val="nil"/>
              </w:pBdr>
              <w:rPr>
                <w:color w:val="000000"/>
              </w:rPr>
            </w:pPr>
          </w:p>
        </w:tc>
        <w:tc>
          <w:tcPr>
            <w:tcW w:w="567" w:type="dxa"/>
            <w:tcBorders>
              <w:bottom w:val="single" w:sz="12" w:space="0" w:color="000000"/>
            </w:tcBorders>
            <w:vAlign w:val="bottom"/>
          </w:tcPr>
          <w:p w14:paraId="0C8F963F"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7B83AAC0"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053A8CFA" w14:textId="77777777" w:rsidR="008E5DE4" w:rsidRDefault="008E5DE4">
            <w:pPr>
              <w:widowControl w:val="0"/>
              <w:pBdr>
                <w:top w:val="nil"/>
                <w:left w:val="nil"/>
                <w:bottom w:val="nil"/>
                <w:right w:val="nil"/>
                <w:between w:val="nil"/>
              </w:pBdr>
              <w:jc w:val="right"/>
              <w:rPr>
                <w:i/>
                <w:color w:val="0000FF"/>
              </w:rPr>
            </w:pPr>
          </w:p>
        </w:tc>
        <w:tc>
          <w:tcPr>
            <w:tcW w:w="851" w:type="dxa"/>
            <w:tcBorders>
              <w:bottom w:val="single" w:sz="12" w:space="0" w:color="000000"/>
            </w:tcBorders>
          </w:tcPr>
          <w:p w14:paraId="323F04CC" w14:textId="77777777" w:rsidR="008E5DE4" w:rsidRDefault="008E5DE4">
            <w:pPr>
              <w:widowControl w:val="0"/>
              <w:pBdr>
                <w:top w:val="nil"/>
                <w:left w:val="nil"/>
                <w:bottom w:val="nil"/>
                <w:right w:val="nil"/>
                <w:between w:val="nil"/>
              </w:pBdr>
              <w:jc w:val="right"/>
              <w:rPr>
                <w:i/>
                <w:color w:val="0000FF"/>
              </w:rPr>
            </w:pPr>
          </w:p>
        </w:tc>
        <w:tc>
          <w:tcPr>
            <w:tcW w:w="568" w:type="dxa"/>
            <w:tcBorders>
              <w:bottom w:val="single" w:sz="12" w:space="0" w:color="000000"/>
            </w:tcBorders>
            <w:vAlign w:val="bottom"/>
          </w:tcPr>
          <w:p w14:paraId="36A7E5DE"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622A54BB"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0D017708" w14:textId="77777777" w:rsidR="008E5DE4" w:rsidRDefault="008E5DE4">
            <w:pPr>
              <w:widowControl w:val="0"/>
              <w:pBdr>
                <w:top w:val="nil"/>
                <w:left w:val="nil"/>
                <w:bottom w:val="nil"/>
                <w:right w:val="nil"/>
                <w:between w:val="nil"/>
              </w:pBdr>
              <w:jc w:val="right"/>
              <w:rPr>
                <w:i/>
                <w:color w:val="0000FF"/>
              </w:rPr>
            </w:pPr>
          </w:p>
        </w:tc>
        <w:tc>
          <w:tcPr>
            <w:tcW w:w="850" w:type="dxa"/>
            <w:tcBorders>
              <w:bottom w:val="single" w:sz="12" w:space="0" w:color="000000"/>
            </w:tcBorders>
          </w:tcPr>
          <w:p w14:paraId="0C40335E" w14:textId="77777777" w:rsidR="008E5DE4" w:rsidRDefault="008E5DE4">
            <w:pPr>
              <w:widowControl w:val="0"/>
              <w:pBdr>
                <w:top w:val="nil"/>
                <w:left w:val="nil"/>
                <w:bottom w:val="nil"/>
                <w:right w:val="nil"/>
                <w:between w:val="nil"/>
              </w:pBdr>
              <w:jc w:val="right"/>
              <w:rPr>
                <w:i/>
                <w:color w:val="0000FF"/>
              </w:rPr>
            </w:pPr>
          </w:p>
        </w:tc>
      </w:tr>
    </w:tbl>
    <w:p w14:paraId="00F56295" w14:textId="12207CAC" w:rsidR="008E5DE4" w:rsidRDefault="00780368">
      <w:pPr>
        <w:widowControl w:val="0"/>
        <w:spacing w:before="200" w:after="200"/>
        <w:jc w:val="both"/>
        <w:rPr>
          <w:i/>
          <w:color w:val="FF0000"/>
          <w:sz w:val="20"/>
          <w:szCs w:val="20"/>
        </w:rPr>
      </w:pPr>
      <w:r>
        <w:rPr>
          <w:sz w:val="20"/>
          <w:szCs w:val="20"/>
        </w:rPr>
        <w:t>The following table explains the changes in the credit loss allowance for finance lease receivables under simplified ECL model between the beginning and the end of the annual period:</w:t>
      </w:r>
    </w:p>
    <w:tbl>
      <w:tblPr>
        <w:tblStyle w:val="afffe"/>
        <w:tblW w:w="9356" w:type="dxa"/>
        <w:tblLayout w:type="fixed"/>
        <w:tblLook w:val="0000" w:firstRow="0" w:lastRow="0" w:firstColumn="0" w:lastColumn="0" w:noHBand="0" w:noVBand="0"/>
      </w:tblPr>
      <w:tblGrid>
        <w:gridCol w:w="3912"/>
        <w:gridCol w:w="1361"/>
        <w:gridCol w:w="1361"/>
        <w:gridCol w:w="1361"/>
        <w:gridCol w:w="1361"/>
      </w:tblGrid>
      <w:tr w:rsidR="008E5DE4" w14:paraId="4E4BDC19" w14:textId="77777777">
        <w:trPr>
          <w:cantSplit/>
          <w:tblHeader/>
        </w:trPr>
        <w:tc>
          <w:tcPr>
            <w:tcW w:w="3912" w:type="dxa"/>
            <w:vAlign w:val="bottom"/>
          </w:tcPr>
          <w:p w14:paraId="60D3A32D" w14:textId="77777777" w:rsidR="008E5DE4" w:rsidRDefault="008E5DE4">
            <w:pPr>
              <w:widowControl w:val="0"/>
              <w:pBdr>
                <w:top w:val="nil"/>
                <w:left w:val="nil"/>
                <w:bottom w:val="nil"/>
                <w:right w:val="nil"/>
                <w:between w:val="nil"/>
              </w:pBdr>
              <w:rPr>
                <w:b/>
                <w:i/>
                <w:color w:val="000000"/>
              </w:rPr>
            </w:pPr>
          </w:p>
        </w:tc>
        <w:tc>
          <w:tcPr>
            <w:tcW w:w="2722" w:type="dxa"/>
            <w:gridSpan w:val="2"/>
            <w:tcBorders>
              <w:bottom w:val="single" w:sz="4" w:space="0" w:color="000000"/>
            </w:tcBorders>
          </w:tcPr>
          <w:p w14:paraId="3227E644" w14:textId="4E93372B" w:rsidR="008E5DE4" w:rsidRDefault="008614F8">
            <w:pPr>
              <w:widowControl w:val="0"/>
              <w:pBdr>
                <w:top w:val="nil"/>
                <w:left w:val="nil"/>
                <w:bottom w:val="nil"/>
                <w:right w:val="nil"/>
                <w:between w:val="nil"/>
              </w:pBdr>
              <w:ind w:left="-113"/>
              <w:jc w:val="center"/>
              <w:rPr>
                <w:b/>
                <w:color w:val="000000"/>
              </w:rPr>
            </w:pPr>
            <w:r>
              <w:rPr>
                <w:b/>
                <w:color w:val="000000"/>
              </w:rPr>
              <w:t>2025</w:t>
            </w:r>
          </w:p>
        </w:tc>
        <w:tc>
          <w:tcPr>
            <w:tcW w:w="2722" w:type="dxa"/>
            <w:gridSpan w:val="2"/>
            <w:tcBorders>
              <w:bottom w:val="single" w:sz="4" w:space="0" w:color="000000"/>
            </w:tcBorders>
          </w:tcPr>
          <w:p w14:paraId="3FB999BE" w14:textId="38CFEA67" w:rsidR="008E5DE4" w:rsidRDefault="00FF468A">
            <w:pPr>
              <w:widowControl w:val="0"/>
              <w:pBdr>
                <w:top w:val="nil"/>
                <w:left w:val="nil"/>
                <w:bottom w:val="nil"/>
                <w:right w:val="nil"/>
                <w:between w:val="nil"/>
              </w:pBdr>
              <w:ind w:left="-113"/>
              <w:jc w:val="center"/>
              <w:rPr>
                <w:b/>
                <w:color w:val="000000"/>
              </w:rPr>
            </w:pPr>
            <w:r>
              <w:rPr>
                <w:b/>
                <w:color w:val="000000"/>
              </w:rPr>
              <w:t>2024</w:t>
            </w:r>
          </w:p>
        </w:tc>
      </w:tr>
      <w:tr w:rsidR="008E5DE4" w14:paraId="13B76495" w14:textId="77777777">
        <w:trPr>
          <w:cantSplit/>
          <w:tblHeader/>
        </w:trPr>
        <w:tc>
          <w:tcPr>
            <w:tcW w:w="3912" w:type="dxa"/>
            <w:tcBorders>
              <w:bottom w:val="single" w:sz="4" w:space="0" w:color="000000"/>
            </w:tcBorders>
            <w:vAlign w:val="bottom"/>
          </w:tcPr>
          <w:p w14:paraId="4F478F43" w14:textId="77777777" w:rsidR="008E5DE4" w:rsidRDefault="00780368">
            <w:pPr>
              <w:widowControl w:val="0"/>
              <w:pBdr>
                <w:top w:val="nil"/>
                <w:left w:val="nil"/>
                <w:bottom w:val="nil"/>
                <w:right w:val="nil"/>
                <w:between w:val="nil"/>
              </w:pBdr>
              <w:rPr>
                <w:i/>
                <w:color w:val="000000"/>
              </w:rPr>
            </w:pPr>
            <w:r>
              <w:rPr>
                <w:i/>
                <w:color w:val="000000"/>
              </w:rPr>
              <w:t>in thousands of EUR</w:t>
            </w:r>
          </w:p>
        </w:tc>
        <w:tc>
          <w:tcPr>
            <w:tcW w:w="1361" w:type="dxa"/>
            <w:tcBorders>
              <w:bottom w:val="single" w:sz="4" w:space="0" w:color="000000"/>
            </w:tcBorders>
          </w:tcPr>
          <w:p w14:paraId="074FD190" w14:textId="77777777" w:rsidR="008E5DE4" w:rsidRDefault="00780368">
            <w:pPr>
              <w:widowControl w:val="0"/>
              <w:pBdr>
                <w:top w:val="nil"/>
                <w:left w:val="nil"/>
                <w:bottom w:val="nil"/>
                <w:right w:val="nil"/>
                <w:between w:val="nil"/>
              </w:pBdr>
              <w:ind w:left="-113"/>
              <w:jc w:val="right"/>
              <w:rPr>
                <w:b/>
                <w:color w:val="000000"/>
              </w:rPr>
            </w:pPr>
            <w:r>
              <w:rPr>
                <w:b/>
                <w:color w:val="000000"/>
              </w:rPr>
              <w:t>Credit loss allowance</w:t>
            </w:r>
          </w:p>
        </w:tc>
        <w:tc>
          <w:tcPr>
            <w:tcW w:w="1361" w:type="dxa"/>
            <w:tcBorders>
              <w:bottom w:val="single" w:sz="4" w:space="0" w:color="000000"/>
            </w:tcBorders>
          </w:tcPr>
          <w:p w14:paraId="1C273B16" w14:textId="77777777" w:rsidR="008E5DE4" w:rsidRDefault="00780368">
            <w:pPr>
              <w:widowControl w:val="0"/>
              <w:pBdr>
                <w:top w:val="nil"/>
                <w:left w:val="nil"/>
                <w:bottom w:val="nil"/>
                <w:right w:val="nil"/>
                <w:between w:val="nil"/>
              </w:pBdr>
              <w:ind w:left="-113"/>
              <w:jc w:val="right"/>
              <w:rPr>
                <w:b/>
                <w:color w:val="000000"/>
              </w:rPr>
            </w:pPr>
            <w:r>
              <w:rPr>
                <w:b/>
                <w:color w:val="000000"/>
              </w:rPr>
              <w:t>Gross carrying value</w:t>
            </w:r>
          </w:p>
        </w:tc>
        <w:tc>
          <w:tcPr>
            <w:tcW w:w="1361" w:type="dxa"/>
            <w:tcBorders>
              <w:bottom w:val="single" w:sz="4" w:space="0" w:color="000000"/>
            </w:tcBorders>
          </w:tcPr>
          <w:p w14:paraId="28127031" w14:textId="77777777" w:rsidR="008E5DE4" w:rsidRDefault="00780368">
            <w:pPr>
              <w:widowControl w:val="0"/>
              <w:pBdr>
                <w:top w:val="nil"/>
                <w:left w:val="nil"/>
                <w:bottom w:val="nil"/>
                <w:right w:val="nil"/>
                <w:between w:val="nil"/>
              </w:pBdr>
              <w:ind w:left="-113"/>
              <w:jc w:val="right"/>
              <w:rPr>
                <w:b/>
                <w:color w:val="000000"/>
              </w:rPr>
            </w:pPr>
            <w:r>
              <w:rPr>
                <w:b/>
                <w:color w:val="000000"/>
              </w:rPr>
              <w:t>Credit loss allowance</w:t>
            </w:r>
          </w:p>
        </w:tc>
        <w:tc>
          <w:tcPr>
            <w:tcW w:w="1361" w:type="dxa"/>
            <w:tcBorders>
              <w:bottom w:val="single" w:sz="4" w:space="0" w:color="000000"/>
            </w:tcBorders>
          </w:tcPr>
          <w:p w14:paraId="6666E04A" w14:textId="77777777" w:rsidR="008E5DE4" w:rsidRDefault="00780368">
            <w:pPr>
              <w:widowControl w:val="0"/>
              <w:pBdr>
                <w:top w:val="nil"/>
                <w:left w:val="nil"/>
                <w:bottom w:val="nil"/>
                <w:right w:val="nil"/>
                <w:between w:val="nil"/>
              </w:pBdr>
              <w:ind w:left="-113"/>
              <w:jc w:val="right"/>
              <w:rPr>
                <w:b/>
                <w:color w:val="000000"/>
              </w:rPr>
            </w:pPr>
            <w:r>
              <w:rPr>
                <w:b/>
                <w:color w:val="000000"/>
              </w:rPr>
              <w:t>Gross carrying value</w:t>
            </w:r>
          </w:p>
        </w:tc>
      </w:tr>
      <w:tr w:rsidR="008E5DE4" w14:paraId="5580C3A6" w14:textId="77777777">
        <w:trPr>
          <w:cantSplit/>
          <w:tblHeader/>
        </w:trPr>
        <w:tc>
          <w:tcPr>
            <w:tcW w:w="3912" w:type="dxa"/>
            <w:vAlign w:val="bottom"/>
          </w:tcPr>
          <w:p w14:paraId="7D9A589B" w14:textId="77777777" w:rsidR="008E5DE4" w:rsidRDefault="008E5DE4">
            <w:pPr>
              <w:widowControl w:val="0"/>
            </w:pPr>
          </w:p>
        </w:tc>
        <w:tc>
          <w:tcPr>
            <w:tcW w:w="1361" w:type="dxa"/>
            <w:vAlign w:val="bottom"/>
          </w:tcPr>
          <w:p w14:paraId="25462028" w14:textId="77777777" w:rsidR="008E5DE4" w:rsidRDefault="008E5DE4">
            <w:pPr>
              <w:widowControl w:val="0"/>
              <w:pBdr>
                <w:top w:val="nil"/>
                <w:left w:val="nil"/>
                <w:bottom w:val="nil"/>
                <w:right w:val="nil"/>
                <w:between w:val="nil"/>
              </w:pBdr>
              <w:jc w:val="right"/>
              <w:rPr>
                <w:color w:val="000000"/>
              </w:rPr>
            </w:pPr>
          </w:p>
        </w:tc>
        <w:tc>
          <w:tcPr>
            <w:tcW w:w="1361" w:type="dxa"/>
          </w:tcPr>
          <w:p w14:paraId="0E4C5D1A" w14:textId="77777777" w:rsidR="008E5DE4" w:rsidRDefault="008E5DE4">
            <w:pPr>
              <w:widowControl w:val="0"/>
              <w:pBdr>
                <w:top w:val="nil"/>
                <w:left w:val="nil"/>
                <w:bottom w:val="nil"/>
                <w:right w:val="nil"/>
                <w:between w:val="nil"/>
              </w:pBdr>
              <w:jc w:val="right"/>
              <w:rPr>
                <w:color w:val="000000"/>
              </w:rPr>
            </w:pPr>
          </w:p>
        </w:tc>
        <w:tc>
          <w:tcPr>
            <w:tcW w:w="1361" w:type="dxa"/>
          </w:tcPr>
          <w:p w14:paraId="229C5543"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627FA243" w14:textId="77777777" w:rsidR="008E5DE4" w:rsidRDefault="008E5DE4">
            <w:pPr>
              <w:widowControl w:val="0"/>
              <w:pBdr>
                <w:top w:val="nil"/>
                <w:left w:val="nil"/>
                <w:bottom w:val="nil"/>
                <w:right w:val="nil"/>
                <w:between w:val="nil"/>
              </w:pBdr>
              <w:jc w:val="right"/>
              <w:rPr>
                <w:color w:val="000000"/>
              </w:rPr>
            </w:pPr>
          </w:p>
        </w:tc>
      </w:tr>
      <w:tr w:rsidR="008E5DE4" w14:paraId="2EBBC604" w14:textId="77777777">
        <w:trPr>
          <w:cantSplit/>
        </w:trPr>
        <w:tc>
          <w:tcPr>
            <w:tcW w:w="3912" w:type="dxa"/>
            <w:vAlign w:val="bottom"/>
          </w:tcPr>
          <w:p w14:paraId="47DE92F1" w14:textId="77777777" w:rsidR="008E5DE4" w:rsidRDefault="00780368">
            <w:pPr>
              <w:widowControl w:val="0"/>
              <w:pBdr>
                <w:top w:val="nil"/>
                <w:left w:val="nil"/>
                <w:bottom w:val="nil"/>
                <w:right w:val="nil"/>
                <w:between w:val="nil"/>
              </w:pBdr>
              <w:rPr>
                <w:b/>
                <w:color w:val="0000FF"/>
              </w:rPr>
            </w:pPr>
            <w:r>
              <w:rPr>
                <w:b/>
                <w:color w:val="000000"/>
              </w:rPr>
              <w:t xml:space="preserve">Balance </w:t>
            </w:r>
            <w:proofErr w:type="gramStart"/>
            <w:r>
              <w:rPr>
                <w:b/>
                <w:color w:val="000000"/>
              </w:rPr>
              <w:t>at</w:t>
            </w:r>
            <w:proofErr w:type="gramEnd"/>
            <w:r>
              <w:rPr>
                <w:b/>
                <w:color w:val="000000"/>
              </w:rPr>
              <w:t xml:space="preserve"> 1 January</w:t>
            </w:r>
          </w:p>
        </w:tc>
        <w:tc>
          <w:tcPr>
            <w:tcW w:w="1361" w:type="dxa"/>
            <w:vAlign w:val="bottom"/>
          </w:tcPr>
          <w:p w14:paraId="40B80702" w14:textId="77777777" w:rsidR="008E5DE4" w:rsidRDefault="008E5DE4">
            <w:pPr>
              <w:widowControl w:val="0"/>
              <w:pBdr>
                <w:top w:val="nil"/>
                <w:left w:val="nil"/>
                <w:bottom w:val="nil"/>
                <w:right w:val="nil"/>
                <w:between w:val="nil"/>
              </w:pBdr>
              <w:jc w:val="right"/>
              <w:rPr>
                <w:color w:val="000000"/>
              </w:rPr>
            </w:pPr>
          </w:p>
        </w:tc>
        <w:tc>
          <w:tcPr>
            <w:tcW w:w="1361" w:type="dxa"/>
          </w:tcPr>
          <w:p w14:paraId="6EF1C14C" w14:textId="77777777" w:rsidR="008E5DE4" w:rsidRDefault="008E5DE4">
            <w:pPr>
              <w:widowControl w:val="0"/>
              <w:pBdr>
                <w:top w:val="nil"/>
                <w:left w:val="nil"/>
                <w:bottom w:val="nil"/>
                <w:right w:val="nil"/>
                <w:between w:val="nil"/>
              </w:pBdr>
              <w:jc w:val="right"/>
              <w:rPr>
                <w:color w:val="000000"/>
              </w:rPr>
            </w:pPr>
          </w:p>
        </w:tc>
        <w:tc>
          <w:tcPr>
            <w:tcW w:w="1361" w:type="dxa"/>
          </w:tcPr>
          <w:p w14:paraId="4B917E30"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27A2E1C3" w14:textId="77777777" w:rsidR="008E5DE4" w:rsidRDefault="008E5DE4">
            <w:pPr>
              <w:widowControl w:val="0"/>
              <w:pBdr>
                <w:top w:val="nil"/>
                <w:left w:val="nil"/>
                <w:bottom w:val="nil"/>
                <w:right w:val="nil"/>
                <w:between w:val="nil"/>
              </w:pBdr>
              <w:jc w:val="right"/>
              <w:rPr>
                <w:color w:val="000000"/>
              </w:rPr>
            </w:pPr>
          </w:p>
        </w:tc>
      </w:tr>
      <w:tr w:rsidR="008E5DE4" w14:paraId="4B1F4634" w14:textId="77777777">
        <w:trPr>
          <w:cantSplit/>
        </w:trPr>
        <w:tc>
          <w:tcPr>
            <w:tcW w:w="3912" w:type="dxa"/>
            <w:vAlign w:val="bottom"/>
          </w:tcPr>
          <w:p w14:paraId="74A84890" w14:textId="77777777" w:rsidR="008E5DE4" w:rsidRDefault="008E5DE4">
            <w:pPr>
              <w:widowControl w:val="0"/>
              <w:pBdr>
                <w:top w:val="nil"/>
                <w:left w:val="nil"/>
                <w:bottom w:val="nil"/>
                <w:right w:val="nil"/>
                <w:between w:val="nil"/>
              </w:pBdr>
              <w:rPr>
                <w:b/>
                <w:color w:val="000000"/>
              </w:rPr>
            </w:pPr>
          </w:p>
        </w:tc>
        <w:tc>
          <w:tcPr>
            <w:tcW w:w="1361" w:type="dxa"/>
            <w:vAlign w:val="bottom"/>
          </w:tcPr>
          <w:p w14:paraId="76F4B698" w14:textId="77777777" w:rsidR="008E5DE4" w:rsidRDefault="008E5DE4">
            <w:pPr>
              <w:widowControl w:val="0"/>
              <w:pBdr>
                <w:top w:val="nil"/>
                <w:left w:val="nil"/>
                <w:bottom w:val="nil"/>
                <w:right w:val="nil"/>
                <w:between w:val="nil"/>
              </w:pBdr>
              <w:jc w:val="right"/>
              <w:rPr>
                <w:color w:val="000000"/>
              </w:rPr>
            </w:pPr>
          </w:p>
        </w:tc>
        <w:tc>
          <w:tcPr>
            <w:tcW w:w="1361" w:type="dxa"/>
          </w:tcPr>
          <w:p w14:paraId="250DCFD8" w14:textId="77777777" w:rsidR="008E5DE4" w:rsidRDefault="008E5DE4">
            <w:pPr>
              <w:widowControl w:val="0"/>
              <w:pBdr>
                <w:top w:val="nil"/>
                <w:left w:val="nil"/>
                <w:bottom w:val="nil"/>
                <w:right w:val="nil"/>
                <w:between w:val="nil"/>
              </w:pBdr>
              <w:jc w:val="right"/>
              <w:rPr>
                <w:color w:val="000000"/>
              </w:rPr>
            </w:pPr>
          </w:p>
        </w:tc>
        <w:tc>
          <w:tcPr>
            <w:tcW w:w="1361" w:type="dxa"/>
          </w:tcPr>
          <w:p w14:paraId="1DEB573B"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687E2A07" w14:textId="77777777" w:rsidR="008E5DE4" w:rsidRDefault="008E5DE4">
            <w:pPr>
              <w:widowControl w:val="0"/>
              <w:pBdr>
                <w:top w:val="nil"/>
                <w:left w:val="nil"/>
                <w:bottom w:val="nil"/>
                <w:right w:val="nil"/>
                <w:between w:val="nil"/>
              </w:pBdr>
              <w:jc w:val="right"/>
              <w:rPr>
                <w:color w:val="000000"/>
              </w:rPr>
            </w:pPr>
          </w:p>
        </w:tc>
      </w:tr>
      <w:tr w:rsidR="008E5DE4" w14:paraId="3FDA574A" w14:textId="77777777">
        <w:trPr>
          <w:cantSplit/>
        </w:trPr>
        <w:tc>
          <w:tcPr>
            <w:tcW w:w="3912" w:type="dxa"/>
            <w:vAlign w:val="bottom"/>
          </w:tcPr>
          <w:p w14:paraId="09D515CE" w14:textId="77777777" w:rsidR="008E5DE4" w:rsidRDefault="00780368">
            <w:pPr>
              <w:widowControl w:val="0"/>
              <w:pBdr>
                <w:top w:val="nil"/>
                <w:left w:val="nil"/>
                <w:bottom w:val="nil"/>
                <w:right w:val="nil"/>
                <w:between w:val="nil"/>
              </w:pBdr>
              <w:ind w:left="170" w:hanging="170"/>
              <w:rPr>
                <w:color w:val="000000"/>
              </w:rPr>
            </w:pPr>
            <w:r>
              <w:rPr>
                <w:color w:val="000000"/>
              </w:rPr>
              <w:t>New finance lease receivables recognised during the period</w:t>
            </w:r>
          </w:p>
        </w:tc>
        <w:tc>
          <w:tcPr>
            <w:tcW w:w="1361" w:type="dxa"/>
            <w:vAlign w:val="bottom"/>
          </w:tcPr>
          <w:p w14:paraId="4EB23C4D" w14:textId="77777777" w:rsidR="008E5DE4" w:rsidRDefault="008E5DE4">
            <w:pPr>
              <w:widowControl w:val="0"/>
              <w:pBdr>
                <w:top w:val="nil"/>
                <w:left w:val="nil"/>
                <w:bottom w:val="nil"/>
                <w:right w:val="nil"/>
                <w:between w:val="nil"/>
              </w:pBdr>
              <w:jc w:val="right"/>
              <w:rPr>
                <w:color w:val="000000"/>
              </w:rPr>
            </w:pPr>
          </w:p>
        </w:tc>
        <w:tc>
          <w:tcPr>
            <w:tcW w:w="1361" w:type="dxa"/>
          </w:tcPr>
          <w:p w14:paraId="26C04638" w14:textId="77777777" w:rsidR="008E5DE4" w:rsidRDefault="008E5DE4">
            <w:pPr>
              <w:widowControl w:val="0"/>
              <w:pBdr>
                <w:top w:val="nil"/>
                <w:left w:val="nil"/>
                <w:bottom w:val="nil"/>
                <w:right w:val="nil"/>
                <w:between w:val="nil"/>
              </w:pBdr>
              <w:jc w:val="right"/>
              <w:rPr>
                <w:color w:val="000000"/>
              </w:rPr>
            </w:pPr>
          </w:p>
        </w:tc>
        <w:tc>
          <w:tcPr>
            <w:tcW w:w="1361" w:type="dxa"/>
          </w:tcPr>
          <w:p w14:paraId="39528991"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2E74547F" w14:textId="77777777" w:rsidR="008E5DE4" w:rsidRDefault="008E5DE4">
            <w:pPr>
              <w:widowControl w:val="0"/>
              <w:pBdr>
                <w:top w:val="nil"/>
                <w:left w:val="nil"/>
                <w:bottom w:val="nil"/>
                <w:right w:val="nil"/>
                <w:between w:val="nil"/>
              </w:pBdr>
              <w:jc w:val="right"/>
              <w:rPr>
                <w:color w:val="000000"/>
              </w:rPr>
            </w:pPr>
          </w:p>
        </w:tc>
      </w:tr>
      <w:tr w:rsidR="008E5DE4" w14:paraId="5203DF42" w14:textId="77777777">
        <w:trPr>
          <w:cantSplit/>
        </w:trPr>
        <w:tc>
          <w:tcPr>
            <w:tcW w:w="3912" w:type="dxa"/>
            <w:vAlign w:val="bottom"/>
          </w:tcPr>
          <w:p w14:paraId="365392D7" w14:textId="77777777" w:rsidR="008E5DE4" w:rsidRDefault="00780368">
            <w:pPr>
              <w:widowControl w:val="0"/>
              <w:pBdr>
                <w:top w:val="nil"/>
                <w:left w:val="nil"/>
                <w:bottom w:val="nil"/>
                <w:right w:val="nil"/>
                <w:between w:val="nil"/>
              </w:pBdr>
              <w:ind w:left="170" w:hanging="170"/>
              <w:rPr>
                <w:color w:val="000000"/>
              </w:rPr>
            </w:pPr>
            <w:r>
              <w:rPr>
                <w:color w:val="000000"/>
              </w:rPr>
              <w:t>Financial assets derecognised during the period</w:t>
            </w:r>
          </w:p>
        </w:tc>
        <w:tc>
          <w:tcPr>
            <w:tcW w:w="1361" w:type="dxa"/>
            <w:vAlign w:val="bottom"/>
          </w:tcPr>
          <w:p w14:paraId="3F351D98" w14:textId="77777777" w:rsidR="008E5DE4" w:rsidRDefault="008E5DE4">
            <w:pPr>
              <w:widowControl w:val="0"/>
              <w:pBdr>
                <w:top w:val="nil"/>
                <w:left w:val="nil"/>
                <w:bottom w:val="nil"/>
                <w:right w:val="nil"/>
                <w:between w:val="nil"/>
              </w:pBdr>
              <w:jc w:val="right"/>
              <w:rPr>
                <w:color w:val="000000"/>
              </w:rPr>
            </w:pPr>
          </w:p>
        </w:tc>
        <w:tc>
          <w:tcPr>
            <w:tcW w:w="1361" w:type="dxa"/>
          </w:tcPr>
          <w:p w14:paraId="73BD21BD" w14:textId="77777777" w:rsidR="008E5DE4" w:rsidRDefault="008E5DE4">
            <w:pPr>
              <w:widowControl w:val="0"/>
              <w:pBdr>
                <w:top w:val="nil"/>
                <w:left w:val="nil"/>
                <w:bottom w:val="nil"/>
                <w:right w:val="nil"/>
                <w:between w:val="nil"/>
              </w:pBdr>
              <w:jc w:val="right"/>
              <w:rPr>
                <w:color w:val="000000"/>
              </w:rPr>
            </w:pPr>
          </w:p>
        </w:tc>
        <w:tc>
          <w:tcPr>
            <w:tcW w:w="1361" w:type="dxa"/>
          </w:tcPr>
          <w:p w14:paraId="39C4417A"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3910BBDD" w14:textId="77777777" w:rsidR="008E5DE4" w:rsidRDefault="008E5DE4">
            <w:pPr>
              <w:widowControl w:val="0"/>
              <w:pBdr>
                <w:top w:val="nil"/>
                <w:left w:val="nil"/>
                <w:bottom w:val="nil"/>
                <w:right w:val="nil"/>
                <w:between w:val="nil"/>
              </w:pBdr>
              <w:jc w:val="right"/>
              <w:rPr>
                <w:color w:val="000000"/>
              </w:rPr>
            </w:pPr>
          </w:p>
        </w:tc>
      </w:tr>
      <w:tr w:rsidR="008E5DE4" w14:paraId="6062340B" w14:textId="77777777">
        <w:trPr>
          <w:cantSplit/>
        </w:trPr>
        <w:tc>
          <w:tcPr>
            <w:tcW w:w="3912" w:type="dxa"/>
            <w:vAlign w:val="bottom"/>
          </w:tcPr>
          <w:p w14:paraId="7998B5DF" w14:textId="77777777" w:rsidR="008E5DE4" w:rsidRDefault="00780368">
            <w:pPr>
              <w:widowControl w:val="0"/>
              <w:pBdr>
                <w:top w:val="nil"/>
                <w:left w:val="nil"/>
                <w:bottom w:val="nil"/>
                <w:right w:val="nil"/>
                <w:between w:val="nil"/>
              </w:pBdr>
              <w:ind w:left="170" w:hanging="170"/>
              <w:rPr>
                <w:color w:val="000000"/>
              </w:rPr>
            </w:pPr>
            <w:r>
              <w:rPr>
                <w:color w:val="000000"/>
              </w:rPr>
              <w:t>Changes in estimates and assumptions</w:t>
            </w:r>
          </w:p>
        </w:tc>
        <w:tc>
          <w:tcPr>
            <w:tcW w:w="1361" w:type="dxa"/>
            <w:vAlign w:val="bottom"/>
          </w:tcPr>
          <w:p w14:paraId="7286367A" w14:textId="77777777" w:rsidR="008E5DE4" w:rsidRDefault="008E5DE4">
            <w:pPr>
              <w:widowControl w:val="0"/>
              <w:pBdr>
                <w:top w:val="nil"/>
                <w:left w:val="nil"/>
                <w:bottom w:val="nil"/>
                <w:right w:val="nil"/>
                <w:between w:val="nil"/>
              </w:pBdr>
              <w:jc w:val="right"/>
              <w:rPr>
                <w:color w:val="000000"/>
              </w:rPr>
            </w:pPr>
          </w:p>
        </w:tc>
        <w:tc>
          <w:tcPr>
            <w:tcW w:w="1361" w:type="dxa"/>
          </w:tcPr>
          <w:p w14:paraId="21E4D9F0" w14:textId="77777777" w:rsidR="008E5DE4" w:rsidRDefault="008E5DE4">
            <w:pPr>
              <w:widowControl w:val="0"/>
              <w:pBdr>
                <w:top w:val="nil"/>
                <w:left w:val="nil"/>
                <w:bottom w:val="nil"/>
                <w:right w:val="nil"/>
                <w:between w:val="nil"/>
              </w:pBdr>
              <w:jc w:val="right"/>
              <w:rPr>
                <w:color w:val="000000"/>
              </w:rPr>
            </w:pPr>
          </w:p>
        </w:tc>
        <w:tc>
          <w:tcPr>
            <w:tcW w:w="1361" w:type="dxa"/>
          </w:tcPr>
          <w:p w14:paraId="63898A27"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2E85DC53" w14:textId="77777777" w:rsidR="008E5DE4" w:rsidRDefault="008E5DE4">
            <w:pPr>
              <w:widowControl w:val="0"/>
              <w:pBdr>
                <w:top w:val="nil"/>
                <w:left w:val="nil"/>
                <w:bottom w:val="nil"/>
                <w:right w:val="nil"/>
                <w:between w:val="nil"/>
              </w:pBdr>
              <w:jc w:val="right"/>
              <w:rPr>
                <w:color w:val="000000"/>
              </w:rPr>
            </w:pPr>
          </w:p>
        </w:tc>
      </w:tr>
      <w:tr w:rsidR="008E5DE4" w14:paraId="56232A09" w14:textId="77777777">
        <w:trPr>
          <w:cantSplit/>
        </w:trPr>
        <w:tc>
          <w:tcPr>
            <w:tcW w:w="3912" w:type="dxa"/>
            <w:vAlign w:val="bottom"/>
          </w:tcPr>
          <w:p w14:paraId="3273664F" w14:textId="77777777" w:rsidR="008E5DE4" w:rsidRDefault="00780368">
            <w:pPr>
              <w:widowControl w:val="0"/>
              <w:pBdr>
                <w:top w:val="nil"/>
                <w:left w:val="nil"/>
                <w:bottom w:val="nil"/>
                <w:right w:val="nil"/>
                <w:between w:val="nil"/>
              </w:pBdr>
              <w:ind w:left="170" w:hanging="170"/>
              <w:rPr>
                <w:color w:val="000000"/>
                <w:vertAlign w:val="superscript"/>
              </w:rPr>
            </w:pPr>
            <w:r>
              <w:rPr>
                <w:color w:val="000000"/>
              </w:rPr>
              <w:t>Other movements</w:t>
            </w:r>
          </w:p>
        </w:tc>
        <w:tc>
          <w:tcPr>
            <w:tcW w:w="1361" w:type="dxa"/>
            <w:vAlign w:val="bottom"/>
          </w:tcPr>
          <w:p w14:paraId="1028B626" w14:textId="77777777" w:rsidR="008E5DE4" w:rsidRDefault="008E5DE4">
            <w:pPr>
              <w:widowControl w:val="0"/>
              <w:pBdr>
                <w:top w:val="nil"/>
                <w:left w:val="nil"/>
                <w:bottom w:val="nil"/>
                <w:right w:val="nil"/>
                <w:between w:val="nil"/>
              </w:pBdr>
              <w:jc w:val="right"/>
              <w:rPr>
                <w:color w:val="000000"/>
              </w:rPr>
            </w:pPr>
          </w:p>
        </w:tc>
        <w:tc>
          <w:tcPr>
            <w:tcW w:w="1361" w:type="dxa"/>
          </w:tcPr>
          <w:p w14:paraId="04E0944B" w14:textId="77777777" w:rsidR="008E5DE4" w:rsidRDefault="008E5DE4">
            <w:pPr>
              <w:widowControl w:val="0"/>
              <w:pBdr>
                <w:top w:val="nil"/>
                <w:left w:val="nil"/>
                <w:bottom w:val="nil"/>
                <w:right w:val="nil"/>
                <w:between w:val="nil"/>
              </w:pBdr>
              <w:jc w:val="right"/>
              <w:rPr>
                <w:color w:val="000000"/>
              </w:rPr>
            </w:pPr>
          </w:p>
        </w:tc>
        <w:tc>
          <w:tcPr>
            <w:tcW w:w="1361" w:type="dxa"/>
          </w:tcPr>
          <w:p w14:paraId="36A5B579"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0E2FAD97" w14:textId="77777777" w:rsidR="008E5DE4" w:rsidRDefault="008E5DE4">
            <w:pPr>
              <w:widowControl w:val="0"/>
              <w:pBdr>
                <w:top w:val="nil"/>
                <w:left w:val="nil"/>
                <w:bottom w:val="nil"/>
                <w:right w:val="nil"/>
                <w:between w:val="nil"/>
              </w:pBdr>
              <w:jc w:val="right"/>
              <w:rPr>
                <w:color w:val="000000"/>
              </w:rPr>
            </w:pPr>
          </w:p>
        </w:tc>
      </w:tr>
      <w:tr w:rsidR="008E5DE4" w14:paraId="4BAF7EC0" w14:textId="77777777">
        <w:trPr>
          <w:cantSplit/>
        </w:trPr>
        <w:tc>
          <w:tcPr>
            <w:tcW w:w="3912" w:type="dxa"/>
            <w:tcBorders>
              <w:bottom w:val="single" w:sz="4" w:space="0" w:color="000000"/>
            </w:tcBorders>
            <w:vAlign w:val="bottom"/>
          </w:tcPr>
          <w:p w14:paraId="1E106D3E" w14:textId="77777777" w:rsidR="008E5DE4" w:rsidRDefault="008E5DE4">
            <w:pPr>
              <w:widowControl w:val="0"/>
              <w:pBdr>
                <w:top w:val="nil"/>
                <w:left w:val="nil"/>
                <w:bottom w:val="nil"/>
                <w:right w:val="nil"/>
                <w:between w:val="nil"/>
              </w:pBdr>
              <w:ind w:left="170" w:hanging="170"/>
              <w:rPr>
                <w:color w:val="000000"/>
              </w:rPr>
            </w:pPr>
          </w:p>
        </w:tc>
        <w:tc>
          <w:tcPr>
            <w:tcW w:w="1361" w:type="dxa"/>
            <w:tcBorders>
              <w:bottom w:val="single" w:sz="4" w:space="0" w:color="000000"/>
            </w:tcBorders>
            <w:vAlign w:val="bottom"/>
          </w:tcPr>
          <w:p w14:paraId="773BB26B"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tcPr>
          <w:p w14:paraId="4838BD57"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tcPr>
          <w:p w14:paraId="43C47FDB"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6469D8D0" w14:textId="77777777" w:rsidR="008E5DE4" w:rsidRDefault="008E5DE4">
            <w:pPr>
              <w:widowControl w:val="0"/>
              <w:pBdr>
                <w:top w:val="nil"/>
                <w:left w:val="nil"/>
                <w:bottom w:val="nil"/>
                <w:right w:val="nil"/>
                <w:between w:val="nil"/>
              </w:pBdr>
              <w:jc w:val="right"/>
              <w:rPr>
                <w:color w:val="000000"/>
              </w:rPr>
            </w:pPr>
          </w:p>
        </w:tc>
      </w:tr>
      <w:tr w:rsidR="008E5DE4" w14:paraId="07D27A17" w14:textId="77777777">
        <w:trPr>
          <w:cantSplit/>
        </w:trPr>
        <w:tc>
          <w:tcPr>
            <w:tcW w:w="3912" w:type="dxa"/>
            <w:tcBorders>
              <w:top w:val="single" w:sz="4" w:space="0" w:color="000000"/>
            </w:tcBorders>
            <w:vAlign w:val="bottom"/>
          </w:tcPr>
          <w:p w14:paraId="269E67C4" w14:textId="77777777" w:rsidR="008E5DE4" w:rsidRDefault="008E5DE4">
            <w:pPr>
              <w:widowControl w:val="0"/>
              <w:pBdr>
                <w:top w:val="nil"/>
                <w:left w:val="nil"/>
                <w:bottom w:val="nil"/>
                <w:right w:val="nil"/>
                <w:between w:val="nil"/>
              </w:pBdr>
              <w:ind w:left="170" w:hanging="170"/>
              <w:rPr>
                <w:color w:val="000000"/>
              </w:rPr>
            </w:pPr>
          </w:p>
        </w:tc>
        <w:tc>
          <w:tcPr>
            <w:tcW w:w="1361" w:type="dxa"/>
            <w:tcBorders>
              <w:top w:val="single" w:sz="4" w:space="0" w:color="000000"/>
            </w:tcBorders>
            <w:vAlign w:val="bottom"/>
          </w:tcPr>
          <w:p w14:paraId="25FF7FC7"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tcPr>
          <w:p w14:paraId="55D5CA43"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tcPr>
          <w:p w14:paraId="05BD456F"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491D65AD" w14:textId="77777777" w:rsidR="008E5DE4" w:rsidRDefault="008E5DE4">
            <w:pPr>
              <w:widowControl w:val="0"/>
              <w:pBdr>
                <w:top w:val="nil"/>
                <w:left w:val="nil"/>
                <w:bottom w:val="nil"/>
                <w:right w:val="nil"/>
                <w:between w:val="nil"/>
              </w:pBdr>
              <w:jc w:val="right"/>
              <w:rPr>
                <w:color w:val="000000"/>
              </w:rPr>
            </w:pPr>
          </w:p>
        </w:tc>
      </w:tr>
      <w:tr w:rsidR="008E5DE4" w14:paraId="41A7BD60" w14:textId="77777777">
        <w:trPr>
          <w:cantSplit/>
        </w:trPr>
        <w:tc>
          <w:tcPr>
            <w:tcW w:w="3912" w:type="dxa"/>
            <w:vAlign w:val="bottom"/>
          </w:tcPr>
          <w:p w14:paraId="30A26879" w14:textId="77777777" w:rsidR="008E5DE4" w:rsidRDefault="00780368">
            <w:pPr>
              <w:widowControl w:val="0"/>
              <w:pBdr>
                <w:top w:val="nil"/>
                <w:left w:val="nil"/>
                <w:bottom w:val="nil"/>
                <w:right w:val="nil"/>
                <w:between w:val="nil"/>
              </w:pBdr>
              <w:ind w:left="170" w:hanging="170"/>
              <w:rPr>
                <w:color w:val="000000"/>
              </w:rPr>
            </w:pPr>
            <w:r>
              <w:rPr>
                <w:color w:val="000000"/>
              </w:rPr>
              <w:t xml:space="preserve">Total credit loss allowance charge in profit or loss for the period </w:t>
            </w:r>
          </w:p>
        </w:tc>
        <w:tc>
          <w:tcPr>
            <w:tcW w:w="1361" w:type="dxa"/>
            <w:vAlign w:val="center"/>
          </w:tcPr>
          <w:p w14:paraId="618EB290" w14:textId="77777777" w:rsidR="008E5DE4" w:rsidRDefault="008E5DE4">
            <w:pPr>
              <w:widowControl w:val="0"/>
              <w:pBdr>
                <w:top w:val="nil"/>
                <w:left w:val="nil"/>
                <w:bottom w:val="nil"/>
                <w:right w:val="nil"/>
                <w:between w:val="nil"/>
              </w:pBdr>
              <w:jc w:val="right"/>
              <w:rPr>
                <w:color w:val="000000"/>
              </w:rPr>
            </w:pPr>
          </w:p>
        </w:tc>
        <w:tc>
          <w:tcPr>
            <w:tcW w:w="1361" w:type="dxa"/>
            <w:vAlign w:val="center"/>
          </w:tcPr>
          <w:p w14:paraId="3A651887" w14:textId="77777777" w:rsidR="008E5DE4" w:rsidRDefault="00780368">
            <w:pPr>
              <w:widowControl w:val="0"/>
              <w:pBdr>
                <w:top w:val="nil"/>
                <w:left w:val="nil"/>
                <w:bottom w:val="nil"/>
                <w:right w:val="nil"/>
                <w:between w:val="nil"/>
              </w:pBdr>
              <w:jc w:val="right"/>
              <w:rPr>
                <w:color w:val="000000"/>
              </w:rPr>
            </w:pPr>
            <w:r>
              <w:rPr>
                <w:color w:val="000000"/>
              </w:rPr>
              <w:t>-</w:t>
            </w:r>
          </w:p>
        </w:tc>
        <w:tc>
          <w:tcPr>
            <w:tcW w:w="1361" w:type="dxa"/>
            <w:vAlign w:val="center"/>
          </w:tcPr>
          <w:p w14:paraId="536AC131" w14:textId="77777777" w:rsidR="008E5DE4" w:rsidRDefault="008E5DE4">
            <w:pPr>
              <w:widowControl w:val="0"/>
              <w:pBdr>
                <w:top w:val="nil"/>
                <w:left w:val="nil"/>
                <w:bottom w:val="nil"/>
                <w:right w:val="nil"/>
                <w:between w:val="nil"/>
              </w:pBdr>
              <w:jc w:val="right"/>
              <w:rPr>
                <w:color w:val="000000"/>
              </w:rPr>
            </w:pPr>
          </w:p>
        </w:tc>
        <w:tc>
          <w:tcPr>
            <w:tcW w:w="1361" w:type="dxa"/>
            <w:vAlign w:val="center"/>
          </w:tcPr>
          <w:p w14:paraId="41825FF3" w14:textId="77777777" w:rsidR="008E5DE4" w:rsidRDefault="00780368">
            <w:pPr>
              <w:widowControl w:val="0"/>
              <w:pBdr>
                <w:top w:val="nil"/>
                <w:left w:val="nil"/>
                <w:bottom w:val="nil"/>
                <w:right w:val="nil"/>
                <w:between w:val="nil"/>
              </w:pBdr>
              <w:jc w:val="right"/>
              <w:rPr>
                <w:color w:val="000000"/>
              </w:rPr>
            </w:pPr>
            <w:r>
              <w:rPr>
                <w:color w:val="000000"/>
              </w:rPr>
              <w:t>-</w:t>
            </w:r>
          </w:p>
        </w:tc>
      </w:tr>
      <w:tr w:rsidR="008E5DE4" w14:paraId="410A4619" w14:textId="77777777">
        <w:trPr>
          <w:cantSplit/>
        </w:trPr>
        <w:tc>
          <w:tcPr>
            <w:tcW w:w="3912" w:type="dxa"/>
            <w:tcBorders>
              <w:bottom w:val="single" w:sz="4" w:space="0" w:color="000000"/>
            </w:tcBorders>
            <w:vAlign w:val="bottom"/>
          </w:tcPr>
          <w:p w14:paraId="5B18EC62" w14:textId="77777777" w:rsidR="008E5DE4" w:rsidRDefault="008E5DE4">
            <w:pPr>
              <w:widowControl w:val="0"/>
              <w:pBdr>
                <w:top w:val="nil"/>
                <w:left w:val="nil"/>
                <w:bottom w:val="nil"/>
                <w:right w:val="nil"/>
                <w:between w:val="nil"/>
              </w:pBdr>
              <w:ind w:left="170" w:hanging="170"/>
              <w:rPr>
                <w:color w:val="000000"/>
              </w:rPr>
            </w:pPr>
          </w:p>
        </w:tc>
        <w:tc>
          <w:tcPr>
            <w:tcW w:w="1361" w:type="dxa"/>
            <w:tcBorders>
              <w:bottom w:val="single" w:sz="4" w:space="0" w:color="000000"/>
            </w:tcBorders>
            <w:vAlign w:val="bottom"/>
          </w:tcPr>
          <w:p w14:paraId="663143A4"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tcPr>
          <w:p w14:paraId="0AFCD4D4"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tcPr>
          <w:p w14:paraId="207D9239"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0C5F59F2" w14:textId="77777777" w:rsidR="008E5DE4" w:rsidRDefault="008E5DE4">
            <w:pPr>
              <w:widowControl w:val="0"/>
              <w:pBdr>
                <w:top w:val="nil"/>
                <w:left w:val="nil"/>
                <w:bottom w:val="nil"/>
                <w:right w:val="nil"/>
                <w:between w:val="nil"/>
              </w:pBdr>
              <w:jc w:val="right"/>
              <w:rPr>
                <w:color w:val="000000"/>
              </w:rPr>
            </w:pPr>
          </w:p>
        </w:tc>
      </w:tr>
      <w:tr w:rsidR="008E5DE4" w14:paraId="610AB109" w14:textId="77777777">
        <w:trPr>
          <w:cantSplit/>
        </w:trPr>
        <w:tc>
          <w:tcPr>
            <w:tcW w:w="3912" w:type="dxa"/>
            <w:tcBorders>
              <w:top w:val="single" w:sz="4" w:space="0" w:color="000000"/>
            </w:tcBorders>
            <w:vAlign w:val="bottom"/>
          </w:tcPr>
          <w:p w14:paraId="422FF4DD" w14:textId="77777777" w:rsidR="008E5DE4" w:rsidRDefault="008E5DE4">
            <w:pPr>
              <w:widowControl w:val="0"/>
              <w:pBdr>
                <w:top w:val="nil"/>
                <w:left w:val="nil"/>
                <w:bottom w:val="nil"/>
                <w:right w:val="nil"/>
                <w:between w:val="nil"/>
              </w:pBdr>
              <w:ind w:left="170" w:hanging="170"/>
              <w:rPr>
                <w:color w:val="000000"/>
              </w:rPr>
            </w:pPr>
          </w:p>
        </w:tc>
        <w:tc>
          <w:tcPr>
            <w:tcW w:w="1361" w:type="dxa"/>
            <w:tcBorders>
              <w:top w:val="single" w:sz="4" w:space="0" w:color="000000"/>
            </w:tcBorders>
            <w:vAlign w:val="bottom"/>
          </w:tcPr>
          <w:p w14:paraId="44D19C93"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tcPr>
          <w:p w14:paraId="38708886"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tcPr>
          <w:p w14:paraId="50323D58"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32682971" w14:textId="77777777" w:rsidR="008E5DE4" w:rsidRDefault="008E5DE4">
            <w:pPr>
              <w:widowControl w:val="0"/>
              <w:pBdr>
                <w:top w:val="nil"/>
                <w:left w:val="nil"/>
                <w:bottom w:val="nil"/>
                <w:right w:val="nil"/>
                <w:between w:val="nil"/>
              </w:pBdr>
              <w:jc w:val="right"/>
              <w:rPr>
                <w:color w:val="000000"/>
              </w:rPr>
            </w:pPr>
          </w:p>
        </w:tc>
      </w:tr>
      <w:tr w:rsidR="008E5DE4" w14:paraId="0F4F1A34" w14:textId="77777777">
        <w:trPr>
          <w:cantSplit/>
        </w:trPr>
        <w:tc>
          <w:tcPr>
            <w:tcW w:w="3912" w:type="dxa"/>
            <w:vAlign w:val="bottom"/>
          </w:tcPr>
          <w:p w14:paraId="72369011" w14:textId="77777777" w:rsidR="008E5DE4" w:rsidRDefault="00780368">
            <w:pPr>
              <w:widowControl w:val="0"/>
              <w:pBdr>
                <w:top w:val="nil"/>
                <w:left w:val="nil"/>
                <w:bottom w:val="nil"/>
                <w:right w:val="nil"/>
                <w:between w:val="nil"/>
              </w:pBdr>
              <w:ind w:left="170" w:hanging="170"/>
              <w:rPr>
                <w:color w:val="000000"/>
              </w:rPr>
            </w:pPr>
            <w:r>
              <w:rPr>
                <w:color w:val="000000"/>
              </w:rPr>
              <w:t>Write-offs</w:t>
            </w:r>
          </w:p>
        </w:tc>
        <w:tc>
          <w:tcPr>
            <w:tcW w:w="1361" w:type="dxa"/>
            <w:vAlign w:val="bottom"/>
          </w:tcPr>
          <w:p w14:paraId="3241C84C" w14:textId="77777777" w:rsidR="008E5DE4" w:rsidRDefault="008E5DE4">
            <w:pPr>
              <w:widowControl w:val="0"/>
              <w:pBdr>
                <w:top w:val="nil"/>
                <w:left w:val="nil"/>
                <w:bottom w:val="nil"/>
                <w:right w:val="nil"/>
                <w:between w:val="nil"/>
              </w:pBdr>
              <w:jc w:val="right"/>
              <w:rPr>
                <w:color w:val="000000"/>
              </w:rPr>
            </w:pPr>
          </w:p>
        </w:tc>
        <w:tc>
          <w:tcPr>
            <w:tcW w:w="1361" w:type="dxa"/>
          </w:tcPr>
          <w:p w14:paraId="20ADE9A6" w14:textId="77777777" w:rsidR="008E5DE4" w:rsidRDefault="008E5DE4">
            <w:pPr>
              <w:widowControl w:val="0"/>
              <w:pBdr>
                <w:top w:val="nil"/>
                <w:left w:val="nil"/>
                <w:bottom w:val="nil"/>
                <w:right w:val="nil"/>
                <w:between w:val="nil"/>
              </w:pBdr>
              <w:jc w:val="right"/>
              <w:rPr>
                <w:color w:val="000000"/>
              </w:rPr>
            </w:pPr>
          </w:p>
        </w:tc>
        <w:tc>
          <w:tcPr>
            <w:tcW w:w="1361" w:type="dxa"/>
          </w:tcPr>
          <w:p w14:paraId="4AE93735"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6FF7C50B" w14:textId="77777777" w:rsidR="008E5DE4" w:rsidRDefault="008E5DE4">
            <w:pPr>
              <w:widowControl w:val="0"/>
              <w:pBdr>
                <w:top w:val="nil"/>
                <w:left w:val="nil"/>
                <w:bottom w:val="nil"/>
                <w:right w:val="nil"/>
                <w:between w:val="nil"/>
              </w:pBdr>
              <w:jc w:val="right"/>
              <w:rPr>
                <w:color w:val="000000"/>
              </w:rPr>
            </w:pPr>
          </w:p>
        </w:tc>
      </w:tr>
      <w:tr w:rsidR="008E5DE4" w14:paraId="48896073" w14:textId="77777777">
        <w:trPr>
          <w:cantSplit/>
        </w:trPr>
        <w:tc>
          <w:tcPr>
            <w:tcW w:w="3912" w:type="dxa"/>
            <w:vAlign w:val="bottom"/>
          </w:tcPr>
          <w:p w14:paraId="68AD033F" w14:textId="77777777" w:rsidR="008E5DE4" w:rsidRDefault="00780368">
            <w:pPr>
              <w:widowControl w:val="0"/>
              <w:pBdr>
                <w:top w:val="nil"/>
                <w:left w:val="nil"/>
                <w:bottom w:val="nil"/>
                <w:right w:val="nil"/>
                <w:between w:val="nil"/>
              </w:pBdr>
              <w:ind w:left="170" w:hanging="170"/>
              <w:rPr>
                <w:color w:val="000000"/>
              </w:rPr>
            </w:pPr>
            <w:r>
              <w:rPr>
                <w:color w:val="000000"/>
              </w:rPr>
              <w:t>Foreign exchange impact</w:t>
            </w:r>
          </w:p>
        </w:tc>
        <w:tc>
          <w:tcPr>
            <w:tcW w:w="1361" w:type="dxa"/>
            <w:vAlign w:val="bottom"/>
          </w:tcPr>
          <w:p w14:paraId="5062773B" w14:textId="77777777" w:rsidR="008E5DE4" w:rsidRDefault="008E5DE4">
            <w:pPr>
              <w:widowControl w:val="0"/>
              <w:pBdr>
                <w:top w:val="nil"/>
                <w:left w:val="nil"/>
                <w:bottom w:val="nil"/>
                <w:right w:val="nil"/>
                <w:between w:val="nil"/>
              </w:pBdr>
              <w:jc w:val="right"/>
              <w:rPr>
                <w:color w:val="000000"/>
              </w:rPr>
            </w:pPr>
          </w:p>
        </w:tc>
        <w:tc>
          <w:tcPr>
            <w:tcW w:w="1361" w:type="dxa"/>
          </w:tcPr>
          <w:p w14:paraId="6C84E920" w14:textId="77777777" w:rsidR="008E5DE4" w:rsidRDefault="008E5DE4">
            <w:pPr>
              <w:widowControl w:val="0"/>
              <w:pBdr>
                <w:top w:val="nil"/>
                <w:left w:val="nil"/>
                <w:bottom w:val="nil"/>
                <w:right w:val="nil"/>
                <w:between w:val="nil"/>
              </w:pBdr>
              <w:jc w:val="right"/>
              <w:rPr>
                <w:color w:val="000000"/>
              </w:rPr>
            </w:pPr>
          </w:p>
        </w:tc>
        <w:tc>
          <w:tcPr>
            <w:tcW w:w="1361" w:type="dxa"/>
          </w:tcPr>
          <w:p w14:paraId="41F05089"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3B4E5E6D" w14:textId="77777777" w:rsidR="008E5DE4" w:rsidRDefault="008E5DE4">
            <w:pPr>
              <w:widowControl w:val="0"/>
              <w:pBdr>
                <w:top w:val="nil"/>
                <w:left w:val="nil"/>
                <w:bottom w:val="nil"/>
                <w:right w:val="nil"/>
                <w:between w:val="nil"/>
              </w:pBdr>
              <w:jc w:val="right"/>
              <w:rPr>
                <w:color w:val="000000"/>
              </w:rPr>
            </w:pPr>
          </w:p>
        </w:tc>
      </w:tr>
      <w:tr w:rsidR="008E5DE4" w14:paraId="150820C8" w14:textId="77777777">
        <w:trPr>
          <w:cantSplit/>
        </w:trPr>
        <w:tc>
          <w:tcPr>
            <w:tcW w:w="3912" w:type="dxa"/>
            <w:vAlign w:val="bottom"/>
          </w:tcPr>
          <w:p w14:paraId="59460859" w14:textId="77777777" w:rsidR="008E5DE4" w:rsidRDefault="00780368">
            <w:pPr>
              <w:widowControl w:val="0"/>
              <w:pBdr>
                <w:top w:val="nil"/>
                <w:left w:val="nil"/>
                <w:bottom w:val="nil"/>
                <w:right w:val="nil"/>
                <w:between w:val="nil"/>
              </w:pBdr>
              <w:ind w:left="170" w:hanging="170"/>
              <w:rPr>
                <w:color w:val="000000"/>
              </w:rPr>
            </w:pPr>
            <w:r>
              <w:rPr>
                <w:color w:val="000000"/>
              </w:rPr>
              <w:t>Modification of contractual cash flows</w:t>
            </w:r>
          </w:p>
        </w:tc>
        <w:tc>
          <w:tcPr>
            <w:tcW w:w="1361" w:type="dxa"/>
            <w:vAlign w:val="bottom"/>
          </w:tcPr>
          <w:p w14:paraId="6EBB1FBC" w14:textId="77777777" w:rsidR="008E5DE4" w:rsidRDefault="008E5DE4">
            <w:pPr>
              <w:widowControl w:val="0"/>
              <w:pBdr>
                <w:top w:val="nil"/>
                <w:left w:val="nil"/>
                <w:bottom w:val="nil"/>
                <w:right w:val="nil"/>
                <w:between w:val="nil"/>
              </w:pBdr>
              <w:jc w:val="right"/>
              <w:rPr>
                <w:color w:val="000000"/>
              </w:rPr>
            </w:pPr>
          </w:p>
        </w:tc>
        <w:tc>
          <w:tcPr>
            <w:tcW w:w="1361" w:type="dxa"/>
          </w:tcPr>
          <w:p w14:paraId="1BBD7499" w14:textId="77777777" w:rsidR="008E5DE4" w:rsidRDefault="008E5DE4">
            <w:pPr>
              <w:widowControl w:val="0"/>
              <w:pBdr>
                <w:top w:val="nil"/>
                <w:left w:val="nil"/>
                <w:bottom w:val="nil"/>
                <w:right w:val="nil"/>
                <w:between w:val="nil"/>
              </w:pBdr>
              <w:jc w:val="right"/>
              <w:rPr>
                <w:color w:val="000000"/>
              </w:rPr>
            </w:pPr>
          </w:p>
        </w:tc>
        <w:tc>
          <w:tcPr>
            <w:tcW w:w="1361" w:type="dxa"/>
          </w:tcPr>
          <w:p w14:paraId="4E2ECA74"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741998CF" w14:textId="77777777" w:rsidR="008E5DE4" w:rsidRDefault="008E5DE4">
            <w:pPr>
              <w:widowControl w:val="0"/>
              <w:pBdr>
                <w:top w:val="nil"/>
                <w:left w:val="nil"/>
                <w:bottom w:val="nil"/>
                <w:right w:val="nil"/>
                <w:between w:val="nil"/>
              </w:pBdr>
              <w:jc w:val="right"/>
              <w:rPr>
                <w:color w:val="000000"/>
              </w:rPr>
            </w:pPr>
          </w:p>
        </w:tc>
      </w:tr>
      <w:tr w:rsidR="008E5DE4" w14:paraId="05773F36" w14:textId="77777777">
        <w:trPr>
          <w:cantSplit/>
        </w:trPr>
        <w:tc>
          <w:tcPr>
            <w:tcW w:w="3912" w:type="dxa"/>
            <w:tcBorders>
              <w:bottom w:val="single" w:sz="4" w:space="0" w:color="000000"/>
            </w:tcBorders>
            <w:vAlign w:val="bottom"/>
          </w:tcPr>
          <w:p w14:paraId="73DE5B90" w14:textId="77777777" w:rsidR="008E5DE4" w:rsidRDefault="008E5DE4">
            <w:pPr>
              <w:widowControl w:val="0"/>
              <w:pBdr>
                <w:top w:val="nil"/>
                <w:left w:val="nil"/>
                <w:bottom w:val="nil"/>
                <w:right w:val="nil"/>
                <w:between w:val="nil"/>
              </w:pBdr>
              <w:rPr>
                <w:b/>
                <w:color w:val="000000"/>
              </w:rPr>
            </w:pPr>
          </w:p>
        </w:tc>
        <w:tc>
          <w:tcPr>
            <w:tcW w:w="1361" w:type="dxa"/>
            <w:tcBorders>
              <w:bottom w:val="single" w:sz="4" w:space="0" w:color="000000"/>
            </w:tcBorders>
            <w:vAlign w:val="bottom"/>
          </w:tcPr>
          <w:p w14:paraId="346BAB62"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tcPr>
          <w:p w14:paraId="219AA30C"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tcPr>
          <w:p w14:paraId="446DD209"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441F7278" w14:textId="77777777" w:rsidR="008E5DE4" w:rsidRDefault="008E5DE4">
            <w:pPr>
              <w:widowControl w:val="0"/>
              <w:pBdr>
                <w:top w:val="nil"/>
                <w:left w:val="nil"/>
                <w:bottom w:val="nil"/>
                <w:right w:val="nil"/>
                <w:between w:val="nil"/>
              </w:pBdr>
              <w:jc w:val="right"/>
              <w:rPr>
                <w:color w:val="000000"/>
              </w:rPr>
            </w:pPr>
          </w:p>
        </w:tc>
      </w:tr>
      <w:tr w:rsidR="008E5DE4" w14:paraId="0F6F29A0" w14:textId="77777777">
        <w:trPr>
          <w:cantSplit/>
        </w:trPr>
        <w:tc>
          <w:tcPr>
            <w:tcW w:w="3912" w:type="dxa"/>
            <w:tcBorders>
              <w:top w:val="single" w:sz="4" w:space="0" w:color="000000"/>
            </w:tcBorders>
            <w:vAlign w:val="bottom"/>
          </w:tcPr>
          <w:p w14:paraId="4AC0B762" w14:textId="77777777" w:rsidR="008E5DE4" w:rsidRDefault="008E5DE4">
            <w:pPr>
              <w:widowControl w:val="0"/>
              <w:pBdr>
                <w:top w:val="nil"/>
                <w:left w:val="nil"/>
                <w:bottom w:val="nil"/>
                <w:right w:val="nil"/>
                <w:between w:val="nil"/>
              </w:pBdr>
              <w:rPr>
                <w:color w:val="000000"/>
                <w:u w:val="single"/>
              </w:rPr>
            </w:pPr>
          </w:p>
        </w:tc>
        <w:tc>
          <w:tcPr>
            <w:tcW w:w="1361" w:type="dxa"/>
            <w:tcBorders>
              <w:top w:val="single" w:sz="4" w:space="0" w:color="000000"/>
            </w:tcBorders>
            <w:vAlign w:val="bottom"/>
          </w:tcPr>
          <w:p w14:paraId="5E48105A"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tcPr>
          <w:p w14:paraId="0DA8402A"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tcPr>
          <w:p w14:paraId="0AB23B37"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72966A0B" w14:textId="77777777" w:rsidR="008E5DE4" w:rsidRDefault="008E5DE4">
            <w:pPr>
              <w:widowControl w:val="0"/>
              <w:pBdr>
                <w:top w:val="nil"/>
                <w:left w:val="nil"/>
                <w:bottom w:val="nil"/>
                <w:right w:val="nil"/>
                <w:between w:val="nil"/>
              </w:pBdr>
              <w:jc w:val="right"/>
              <w:rPr>
                <w:color w:val="000000"/>
              </w:rPr>
            </w:pPr>
          </w:p>
        </w:tc>
      </w:tr>
      <w:tr w:rsidR="008E5DE4" w14:paraId="382D2DF9" w14:textId="77777777">
        <w:trPr>
          <w:cantSplit/>
        </w:trPr>
        <w:tc>
          <w:tcPr>
            <w:tcW w:w="3912" w:type="dxa"/>
            <w:vAlign w:val="bottom"/>
          </w:tcPr>
          <w:p w14:paraId="369C9BE5" w14:textId="77777777" w:rsidR="008E5DE4" w:rsidRDefault="00780368">
            <w:pPr>
              <w:widowControl w:val="0"/>
              <w:pBdr>
                <w:top w:val="nil"/>
                <w:left w:val="nil"/>
                <w:bottom w:val="nil"/>
                <w:right w:val="nil"/>
                <w:between w:val="nil"/>
              </w:pBdr>
              <w:rPr>
                <w:b/>
                <w:color w:val="000000"/>
              </w:rPr>
            </w:pPr>
            <w:r>
              <w:rPr>
                <w:b/>
                <w:color w:val="000000"/>
              </w:rPr>
              <w:t xml:space="preserve">Balance </w:t>
            </w:r>
            <w:proofErr w:type="gramStart"/>
            <w:r>
              <w:rPr>
                <w:b/>
                <w:color w:val="000000"/>
              </w:rPr>
              <w:t>at</w:t>
            </w:r>
            <w:proofErr w:type="gramEnd"/>
            <w:r>
              <w:rPr>
                <w:b/>
                <w:color w:val="000000"/>
              </w:rPr>
              <w:t xml:space="preserve"> 31 December</w:t>
            </w:r>
          </w:p>
        </w:tc>
        <w:tc>
          <w:tcPr>
            <w:tcW w:w="1361" w:type="dxa"/>
            <w:vAlign w:val="bottom"/>
          </w:tcPr>
          <w:p w14:paraId="31155F95" w14:textId="77777777" w:rsidR="008E5DE4" w:rsidRDefault="008E5DE4">
            <w:pPr>
              <w:widowControl w:val="0"/>
              <w:pBdr>
                <w:top w:val="nil"/>
                <w:left w:val="nil"/>
                <w:bottom w:val="nil"/>
                <w:right w:val="nil"/>
                <w:between w:val="nil"/>
              </w:pBdr>
              <w:jc w:val="right"/>
              <w:rPr>
                <w:color w:val="000000"/>
              </w:rPr>
            </w:pPr>
          </w:p>
        </w:tc>
        <w:tc>
          <w:tcPr>
            <w:tcW w:w="1361" w:type="dxa"/>
          </w:tcPr>
          <w:p w14:paraId="1C00A43C" w14:textId="77777777" w:rsidR="008E5DE4" w:rsidRDefault="008E5DE4">
            <w:pPr>
              <w:widowControl w:val="0"/>
              <w:pBdr>
                <w:top w:val="nil"/>
                <w:left w:val="nil"/>
                <w:bottom w:val="nil"/>
                <w:right w:val="nil"/>
                <w:between w:val="nil"/>
              </w:pBdr>
              <w:jc w:val="right"/>
              <w:rPr>
                <w:color w:val="000000"/>
              </w:rPr>
            </w:pPr>
          </w:p>
        </w:tc>
        <w:tc>
          <w:tcPr>
            <w:tcW w:w="1361" w:type="dxa"/>
          </w:tcPr>
          <w:p w14:paraId="5FA941C0"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7B4C462D" w14:textId="77777777" w:rsidR="008E5DE4" w:rsidRDefault="008E5DE4">
            <w:pPr>
              <w:widowControl w:val="0"/>
              <w:pBdr>
                <w:top w:val="nil"/>
                <w:left w:val="nil"/>
                <w:bottom w:val="nil"/>
                <w:right w:val="nil"/>
                <w:between w:val="nil"/>
              </w:pBdr>
              <w:jc w:val="right"/>
              <w:rPr>
                <w:color w:val="000000"/>
              </w:rPr>
            </w:pPr>
          </w:p>
        </w:tc>
      </w:tr>
      <w:tr w:rsidR="008E5DE4" w14:paraId="7F4D24A6" w14:textId="77777777">
        <w:trPr>
          <w:cantSplit/>
        </w:trPr>
        <w:tc>
          <w:tcPr>
            <w:tcW w:w="3912" w:type="dxa"/>
            <w:tcBorders>
              <w:bottom w:val="single" w:sz="12" w:space="0" w:color="000000"/>
            </w:tcBorders>
            <w:vAlign w:val="bottom"/>
          </w:tcPr>
          <w:p w14:paraId="38498C97" w14:textId="77777777" w:rsidR="008E5DE4" w:rsidRDefault="008E5DE4">
            <w:pPr>
              <w:widowControl w:val="0"/>
              <w:pBdr>
                <w:top w:val="nil"/>
                <w:left w:val="nil"/>
                <w:bottom w:val="nil"/>
                <w:right w:val="nil"/>
                <w:between w:val="nil"/>
              </w:pBdr>
              <w:rPr>
                <w:b/>
                <w:color w:val="000000"/>
                <w:u w:val="single"/>
              </w:rPr>
            </w:pPr>
          </w:p>
        </w:tc>
        <w:tc>
          <w:tcPr>
            <w:tcW w:w="1361" w:type="dxa"/>
            <w:tcBorders>
              <w:bottom w:val="single" w:sz="12" w:space="0" w:color="000000"/>
            </w:tcBorders>
            <w:vAlign w:val="bottom"/>
          </w:tcPr>
          <w:p w14:paraId="78A33C3E"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12" w:space="0" w:color="000000"/>
            </w:tcBorders>
          </w:tcPr>
          <w:p w14:paraId="294B09FD"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12" w:space="0" w:color="000000"/>
            </w:tcBorders>
          </w:tcPr>
          <w:p w14:paraId="3ECB054E"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12" w:space="0" w:color="000000"/>
            </w:tcBorders>
            <w:vAlign w:val="bottom"/>
          </w:tcPr>
          <w:p w14:paraId="0D974560" w14:textId="77777777" w:rsidR="008E5DE4" w:rsidRDefault="008E5DE4">
            <w:pPr>
              <w:widowControl w:val="0"/>
              <w:pBdr>
                <w:top w:val="nil"/>
                <w:left w:val="nil"/>
                <w:bottom w:val="nil"/>
                <w:right w:val="nil"/>
                <w:between w:val="nil"/>
              </w:pBdr>
              <w:jc w:val="right"/>
              <w:rPr>
                <w:color w:val="000000"/>
              </w:rPr>
            </w:pPr>
          </w:p>
        </w:tc>
      </w:tr>
    </w:tbl>
    <w:p w14:paraId="4D83FE0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15</w:t>
      </w:r>
      <w:r>
        <w:rPr>
          <w:b/>
          <w:color w:val="000000"/>
          <w:sz w:val="20"/>
          <w:szCs w:val="20"/>
        </w:rPr>
        <w:tab/>
        <w:t>Finance Lease Receivables (Continued)</w:t>
      </w:r>
    </w:p>
    <w:p w14:paraId="5BB5009F" w14:textId="67041374" w:rsidR="008E5DE4" w:rsidRDefault="00780368">
      <w:pPr>
        <w:widowControl w:val="0"/>
        <w:spacing w:before="200" w:after="200"/>
        <w:jc w:val="both"/>
        <w:rPr>
          <w:color w:val="0000FF"/>
          <w:sz w:val="20"/>
          <w:szCs w:val="20"/>
        </w:rPr>
      </w:pPr>
      <w:r>
        <w:rPr>
          <w:color w:val="0000FF"/>
          <w:sz w:val="20"/>
          <w:szCs w:val="20"/>
        </w:rPr>
        <w:t>[Alternative approach if the Group uses a three</w:t>
      </w:r>
      <w:r w:rsidR="00160220">
        <w:rPr>
          <w:color w:val="0000FF"/>
          <w:sz w:val="20"/>
          <w:szCs w:val="20"/>
        </w:rPr>
        <w:t>-</w:t>
      </w:r>
      <w:r>
        <w:rPr>
          <w:color w:val="0000FF"/>
          <w:sz w:val="20"/>
          <w:szCs w:val="20"/>
        </w:rPr>
        <w:t>stage model for impairment of lease receivable:</w:t>
      </w:r>
      <w:r>
        <w:rPr>
          <w:sz w:val="20"/>
          <w:szCs w:val="20"/>
        </w:rPr>
        <w:t xml:space="preserve"> </w:t>
      </w:r>
      <w:r>
        <w:rPr>
          <w:color w:val="0000FF"/>
          <w:sz w:val="20"/>
          <w:szCs w:val="20"/>
        </w:rPr>
        <w:t xml:space="preserve">The tables below contain an analysis of the credit risk exposure of financial lease receivable. The carrying amount of financial lease receivable </w:t>
      </w:r>
      <w:proofErr w:type="gramStart"/>
      <w:r>
        <w:rPr>
          <w:color w:val="0000FF"/>
          <w:sz w:val="20"/>
          <w:szCs w:val="20"/>
        </w:rPr>
        <w:t>at</w:t>
      </w:r>
      <w:proofErr w:type="gramEnd"/>
      <w:r>
        <w:rPr>
          <w:color w:val="0000FF"/>
          <w:sz w:val="20"/>
          <w:szCs w:val="20"/>
        </w:rPr>
        <w:t xml:space="preserve"> 31 December </w:t>
      </w:r>
      <w:r w:rsidR="008614F8">
        <w:rPr>
          <w:color w:val="0000FF"/>
          <w:sz w:val="20"/>
          <w:szCs w:val="20"/>
        </w:rPr>
        <w:t>2025</w:t>
      </w:r>
      <w:r>
        <w:rPr>
          <w:color w:val="0000FF"/>
          <w:sz w:val="20"/>
          <w:szCs w:val="20"/>
        </w:rPr>
        <w:t xml:space="preserve"> below also represents the Group's maximum exposure to credit risk on these assets:</w:t>
      </w:r>
    </w:p>
    <w:tbl>
      <w:tblPr>
        <w:tblStyle w:val="affff"/>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6E235950" w14:textId="77777777">
        <w:trPr>
          <w:cantSplit/>
          <w:tblHeader/>
        </w:trPr>
        <w:tc>
          <w:tcPr>
            <w:tcW w:w="3685" w:type="dxa"/>
            <w:tcBorders>
              <w:bottom w:val="single" w:sz="4" w:space="0" w:color="000000"/>
            </w:tcBorders>
            <w:vAlign w:val="bottom"/>
          </w:tcPr>
          <w:p w14:paraId="49E5C8CD" w14:textId="77777777" w:rsidR="008E5DE4" w:rsidRDefault="00780368">
            <w:pPr>
              <w:widowControl w:val="0"/>
              <w:pBdr>
                <w:top w:val="nil"/>
                <w:left w:val="nil"/>
                <w:bottom w:val="nil"/>
                <w:right w:val="nil"/>
                <w:between w:val="nil"/>
              </w:pBdr>
              <w:ind w:left="113" w:right="-57" w:hanging="113"/>
              <w:rPr>
                <w:b/>
                <w:i/>
                <w:color w:val="0000FF"/>
              </w:rPr>
            </w:pPr>
            <w:r>
              <w:rPr>
                <w:i/>
                <w:color w:val="0000FF"/>
              </w:rPr>
              <w:t>In thousands of EUR</w:t>
            </w:r>
          </w:p>
        </w:tc>
        <w:tc>
          <w:tcPr>
            <w:tcW w:w="1134" w:type="dxa"/>
            <w:tcBorders>
              <w:bottom w:val="single" w:sz="4" w:space="0" w:color="000000"/>
            </w:tcBorders>
          </w:tcPr>
          <w:p w14:paraId="0F552FAD" w14:textId="77777777" w:rsidR="008E5DE4" w:rsidRDefault="00780368">
            <w:pPr>
              <w:widowControl w:val="0"/>
              <w:pBdr>
                <w:top w:val="nil"/>
                <w:left w:val="nil"/>
                <w:bottom w:val="nil"/>
                <w:right w:val="nil"/>
                <w:between w:val="nil"/>
              </w:pBdr>
              <w:ind w:left="-113"/>
              <w:jc w:val="right"/>
              <w:rPr>
                <w:b/>
                <w:color w:val="0000FF"/>
              </w:rPr>
            </w:pPr>
            <w:r>
              <w:rPr>
                <w:b/>
                <w:color w:val="0000FF"/>
              </w:rPr>
              <w:t xml:space="preserve">Stage 1 </w:t>
            </w:r>
          </w:p>
          <w:p w14:paraId="5212B319" w14:textId="77777777" w:rsidR="008E5DE4" w:rsidRDefault="00780368">
            <w:pPr>
              <w:widowControl w:val="0"/>
              <w:pBdr>
                <w:top w:val="nil"/>
                <w:left w:val="nil"/>
                <w:bottom w:val="nil"/>
                <w:right w:val="nil"/>
                <w:between w:val="nil"/>
              </w:pBdr>
              <w:ind w:left="-113"/>
              <w:jc w:val="right"/>
              <w:rPr>
                <w:b/>
                <w:color w:val="0000FF"/>
              </w:rPr>
            </w:pPr>
            <w:r>
              <w:rPr>
                <w:b/>
                <w:color w:val="0000FF"/>
              </w:rPr>
              <w:t>(12-months ECL)</w:t>
            </w:r>
          </w:p>
        </w:tc>
        <w:tc>
          <w:tcPr>
            <w:tcW w:w="1134" w:type="dxa"/>
            <w:tcBorders>
              <w:bottom w:val="single" w:sz="4" w:space="0" w:color="000000"/>
            </w:tcBorders>
          </w:tcPr>
          <w:p w14:paraId="326DA937" w14:textId="77777777" w:rsidR="008E5DE4" w:rsidRDefault="00780368">
            <w:pPr>
              <w:widowControl w:val="0"/>
              <w:pBdr>
                <w:top w:val="nil"/>
                <w:left w:val="nil"/>
                <w:bottom w:val="nil"/>
                <w:right w:val="nil"/>
                <w:between w:val="nil"/>
              </w:pBdr>
              <w:ind w:left="-113"/>
              <w:jc w:val="right"/>
              <w:rPr>
                <w:b/>
                <w:color w:val="0000FF"/>
              </w:rPr>
            </w:pPr>
            <w:r>
              <w:rPr>
                <w:b/>
                <w:color w:val="0000FF"/>
              </w:rPr>
              <w:t>Stage 2</w:t>
            </w:r>
          </w:p>
          <w:p w14:paraId="3401625F" w14:textId="77777777" w:rsidR="008E5DE4" w:rsidRDefault="00780368">
            <w:pPr>
              <w:widowControl w:val="0"/>
              <w:pBdr>
                <w:top w:val="nil"/>
                <w:left w:val="nil"/>
                <w:bottom w:val="nil"/>
                <w:right w:val="nil"/>
                <w:between w:val="nil"/>
              </w:pBdr>
              <w:ind w:left="-113"/>
              <w:jc w:val="right"/>
              <w:rPr>
                <w:b/>
                <w:color w:val="0000FF"/>
              </w:rPr>
            </w:pPr>
            <w:r>
              <w:rPr>
                <w:b/>
                <w:color w:val="0000FF"/>
              </w:rPr>
              <w:t xml:space="preserve">(lifetime ECL for SICR) </w:t>
            </w:r>
          </w:p>
        </w:tc>
        <w:tc>
          <w:tcPr>
            <w:tcW w:w="1134" w:type="dxa"/>
            <w:tcBorders>
              <w:bottom w:val="single" w:sz="4" w:space="0" w:color="000000"/>
            </w:tcBorders>
          </w:tcPr>
          <w:p w14:paraId="3427A39D" w14:textId="77777777" w:rsidR="008E5DE4" w:rsidRDefault="00780368">
            <w:pPr>
              <w:widowControl w:val="0"/>
              <w:pBdr>
                <w:top w:val="nil"/>
                <w:left w:val="nil"/>
                <w:bottom w:val="nil"/>
                <w:right w:val="nil"/>
                <w:between w:val="nil"/>
              </w:pBdr>
              <w:ind w:left="-113"/>
              <w:jc w:val="right"/>
              <w:rPr>
                <w:b/>
                <w:color w:val="0000FF"/>
              </w:rPr>
            </w:pPr>
            <w:r>
              <w:rPr>
                <w:b/>
                <w:color w:val="0000FF"/>
              </w:rPr>
              <w:t>Stage 3</w:t>
            </w:r>
          </w:p>
          <w:p w14:paraId="6FBC945A" w14:textId="77777777" w:rsidR="008E5DE4" w:rsidRDefault="00780368">
            <w:pPr>
              <w:widowControl w:val="0"/>
              <w:pBdr>
                <w:top w:val="nil"/>
                <w:left w:val="nil"/>
                <w:bottom w:val="nil"/>
                <w:right w:val="nil"/>
                <w:between w:val="nil"/>
              </w:pBdr>
              <w:ind w:left="-113"/>
              <w:jc w:val="right"/>
              <w:rPr>
                <w:b/>
                <w:color w:val="0000FF"/>
              </w:rPr>
            </w:pPr>
            <w:r>
              <w:rPr>
                <w:b/>
                <w:color w:val="0000FF"/>
              </w:rPr>
              <w:t>(lifetime ECL for credit im-paired)</w:t>
            </w:r>
          </w:p>
        </w:tc>
        <w:tc>
          <w:tcPr>
            <w:tcW w:w="1134" w:type="dxa"/>
            <w:tcBorders>
              <w:bottom w:val="single" w:sz="4" w:space="0" w:color="000000"/>
            </w:tcBorders>
          </w:tcPr>
          <w:p w14:paraId="30942420" w14:textId="77777777" w:rsidR="008E5DE4" w:rsidRDefault="00780368">
            <w:pPr>
              <w:widowControl w:val="0"/>
              <w:pBdr>
                <w:top w:val="nil"/>
                <w:left w:val="nil"/>
                <w:bottom w:val="nil"/>
                <w:right w:val="nil"/>
                <w:between w:val="nil"/>
              </w:pBdr>
              <w:ind w:left="-113"/>
              <w:jc w:val="right"/>
              <w:rPr>
                <w:b/>
                <w:color w:val="0000FF"/>
              </w:rPr>
            </w:pPr>
            <w:r>
              <w:rPr>
                <w:b/>
                <w:color w:val="0000FF"/>
              </w:rPr>
              <w:t>POCI</w:t>
            </w:r>
          </w:p>
        </w:tc>
        <w:tc>
          <w:tcPr>
            <w:tcW w:w="1134" w:type="dxa"/>
            <w:tcBorders>
              <w:bottom w:val="single" w:sz="4" w:space="0" w:color="000000"/>
            </w:tcBorders>
          </w:tcPr>
          <w:p w14:paraId="3E3ABAF7" w14:textId="77777777" w:rsidR="008E5DE4" w:rsidRDefault="00780368">
            <w:pPr>
              <w:widowControl w:val="0"/>
              <w:pBdr>
                <w:top w:val="nil"/>
                <w:left w:val="nil"/>
                <w:bottom w:val="nil"/>
                <w:right w:val="nil"/>
                <w:between w:val="nil"/>
              </w:pBdr>
              <w:ind w:left="-113"/>
              <w:jc w:val="right"/>
              <w:rPr>
                <w:b/>
                <w:color w:val="0000FF"/>
              </w:rPr>
            </w:pPr>
            <w:r>
              <w:rPr>
                <w:b/>
                <w:color w:val="0000FF"/>
              </w:rPr>
              <w:t>Total</w:t>
            </w:r>
          </w:p>
        </w:tc>
      </w:tr>
      <w:tr w:rsidR="008E5DE4" w14:paraId="3082C6DF" w14:textId="77777777">
        <w:trPr>
          <w:cantSplit/>
          <w:tblHeader/>
        </w:trPr>
        <w:tc>
          <w:tcPr>
            <w:tcW w:w="3685" w:type="dxa"/>
            <w:vAlign w:val="bottom"/>
          </w:tcPr>
          <w:p w14:paraId="5D264C1F" w14:textId="77777777" w:rsidR="008E5DE4" w:rsidRDefault="00780368">
            <w:pPr>
              <w:widowControl w:val="0"/>
              <w:ind w:left="113" w:right="-57" w:hanging="113"/>
              <w:rPr>
                <w:color w:val="0000FF"/>
              </w:rPr>
            </w:pPr>
            <w:r>
              <w:rPr>
                <w:color w:val="0000FF"/>
              </w:rPr>
              <w:t> </w:t>
            </w:r>
          </w:p>
        </w:tc>
        <w:tc>
          <w:tcPr>
            <w:tcW w:w="1134" w:type="dxa"/>
            <w:vAlign w:val="bottom"/>
          </w:tcPr>
          <w:p w14:paraId="2143170F"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25D84D1A"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612B030"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5FE2829"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2577726" w14:textId="77777777" w:rsidR="008E5DE4" w:rsidRDefault="008E5DE4">
            <w:pPr>
              <w:widowControl w:val="0"/>
              <w:pBdr>
                <w:top w:val="nil"/>
                <w:left w:val="nil"/>
                <w:bottom w:val="nil"/>
                <w:right w:val="nil"/>
                <w:between w:val="nil"/>
              </w:pBdr>
              <w:jc w:val="right"/>
              <w:rPr>
                <w:color w:val="0000FF"/>
              </w:rPr>
            </w:pPr>
          </w:p>
        </w:tc>
      </w:tr>
      <w:tr w:rsidR="008E5DE4" w14:paraId="2D333E7E" w14:textId="77777777">
        <w:trPr>
          <w:cantSplit/>
        </w:trPr>
        <w:tc>
          <w:tcPr>
            <w:tcW w:w="3685" w:type="dxa"/>
            <w:vAlign w:val="bottom"/>
          </w:tcPr>
          <w:p w14:paraId="2414193A"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Finance lease receivables</w:t>
            </w:r>
          </w:p>
        </w:tc>
        <w:tc>
          <w:tcPr>
            <w:tcW w:w="1134" w:type="dxa"/>
            <w:vAlign w:val="bottom"/>
          </w:tcPr>
          <w:p w14:paraId="32189319"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3CFF56E"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C076484"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2A7D0A1"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AFB7E90" w14:textId="77777777" w:rsidR="008E5DE4" w:rsidRDefault="008E5DE4">
            <w:pPr>
              <w:widowControl w:val="0"/>
              <w:pBdr>
                <w:top w:val="nil"/>
                <w:left w:val="nil"/>
                <w:bottom w:val="nil"/>
                <w:right w:val="nil"/>
                <w:between w:val="nil"/>
              </w:pBdr>
              <w:jc w:val="right"/>
              <w:rPr>
                <w:color w:val="0000FF"/>
              </w:rPr>
            </w:pPr>
          </w:p>
        </w:tc>
      </w:tr>
      <w:tr w:rsidR="008E5DE4" w14:paraId="252EB4FF" w14:textId="77777777">
        <w:trPr>
          <w:cantSplit/>
        </w:trPr>
        <w:tc>
          <w:tcPr>
            <w:tcW w:w="3685" w:type="dxa"/>
            <w:vAlign w:val="bottom"/>
          </w:tcPr>
          <w:p w14:paraId="21F13BFF" w14:textId="77777777" w:rsidR="008E5DE4" w:rsidRDefault="008E5DE4">
            <w:pPr>
              <w:widowControl w:val="0"/>
              <w:pBdr>
                <w:top w:val="nil"/>
                <w:left w:val="nil"/>
                <w:bottom w:val="nil"/>
                <w:right w:val="nil"/>
                <w:between w:val="nil"/>
              </w:pBdr>
              <w:ind w:left="113" w:right="-57" w:hanging="113"/>
              <w:rPr>
                <w:color w:val="0000FF"/>
              </w:rPr>
            </w:pPr>
          </w:p>
        </w:tc>
        <w:tc>
          <w:tcPr>
            <w:tcW w:w="1134" w:type="dxa"/>
            <w:vAlign w:val="bottom"/>
          </w:tcPr>
          <w:p w14:paraId="3E975F68"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033F458"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431AC75"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30B1F233"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35A5655F" w14:textId="77777777" w:rsidR="008E5DE4" w:rsidRDefault="008E5DE4">
            <w:pPr>
              <w:widowControl w:val="0"/>
              <w:pBdr>
                <w:top w:val="nil"/>
                <w:left w:val="nil"/>
                <w:bottom w:val="nil"/>
                <w:right w:val="nil"/>
                <w:between w:val="nil"/>
              </w:pBdr>
              <w:jc w:val="right"/>
              <w:rPr>
                <w:color w:val="0000FF"/>
              </w:rPr>
            </w:pPr>
          </w:p>
        </w:tc>
      </w:tr>
      <w:tr w:rsidR="008E5DE4" w14:paraId="73DA8347" w14:textId="77777777">
        <w:trPr>
          <w:cantSplit/>
        </w:trPr>
        <w:tc>
          <w:tcPr>
            <w:tcW w:w="3685" w:type="dxa"/>
            <w:vAlign w:val="bottom"/>
          </w:tcPr>
          <w:p w14:paraId="0BE2590E" w14:textId="77777777" w:rsidR="008E5DE4" w:rsidRDefault="00780368">
            <w:pPr>
              <w:widowControl w:val="0"/>
              <w:pBdr>
                <w:top w:val="nil"/>
                <w:left w:val="nil"/>
                <w:bottom w:val="nil"/>
                <w:right w:val="nil"/>
                <w:between w:val="nil"/>
              </w:pBdr>
              <w:ind w:left="113" w:right="-57" w:hanging="113"/>
              <w:rPr>
                <w:color w:val="0000FF"/>
              </w:rPr>
            </w:pPr>
            <w:r>
              <w:rPr>
                <w:color w:val="0000FF"/>
              </w:rPr>
              <w:t>- Excellent</w:t>
            </w:r>
          </w:p>
        </w:tc>
        <w:tc>
          <w:tcPr>
            <w:tcW w:w="1134" w:type="dxa"/>
            <w:vAlign w:val="bottom"/>
          </w:tcPr>
          <w:p w14:paraId="057F2D54"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AFAAEAD"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E0C27C4"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335E9366"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E497A02" w14:textId="77777777" w:rsidR="008E5DE4" w:rsidRDefault="008E5DE4">
            <w:pPr>
              <w:widowControl w:val="0"/>
              <w:pBdr>
                <w:top w:val="nil"/>
                <w:left w:val="nil"/>
                <w:bottom w:val="nil"/>
                <w:right w:val="nil"/>
                <w:between w:val="nil"/>
              </w:pBdr>
              <w:jc w:val="right"/>
              <w:rPr>
                <w:color w:val="0000FF"/>
              </w:rPr>
            </w:pPr>
          </w:p>
        </w:tc>
      </w:tr>
      <w:tr w:rsidR="008E5DE4" w14:paraId="7DB8AB35" w14:textId="77777777">
        <w:trPr>
          <w:cantSplit/>
        </w:trPr>
        <w:tc>
          <w:tcPr>
            <w:tcW w:w="3685" w:type="dxa"/>
            <w:vAlign w:val="bottom"/>
          </w:tcPr>
          <w:p w14:paraId="20EB31DB" w14:textId="77777777" w:rsidR="008E5DE4" w:rsidRDefault="00780368">
            <w:pPr>
              <w:widowControl w:val="0"/>
              <w:pBdr>
                <w:top w:val="nil"/>
                <w:left w:val="nil"/>
                <w:bottom w:val="nil"/>
                <w:right w:val="nil"/>
                <w:between w:val="nil"/>
              </w:pBdr>
              <w:ind w:left="113" w:right="-57" w:hanging="113"/>
              <w:rPr>
                <w:color w:val="0000FF"/>
              </w:rPr>
            </w:pPr>
            <w:r>
              <w:rPr>
                <w:color w:val="0000FF"/>
              </w:rPr>
              <w:t>- Good</w:t>
            </w:r>
          </w:p>
        </w:tc>
        <w:tc>
          <w:tcPr>
            <w:tcW w:w="1134" w:type="dxa"/>
            <w:vAlign w:val="bottom"/>
          </w:tcPr>
          <w:p w14:paraId="79E46A28"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AC98B4C"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30F1CBBC"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721BF11"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4ABCBDC" w14:textId="77777777" w:rsidR="008E5DE4" w:rsidRDefault="008E5DE4">
            <w:pPr>
              <w:widowControl w:val="0"/>
              <w:pBdr>
                <w:top w:val="nil"/>
                <w:left w:val="nil"/>
                <w:bottom w:val="nil"/>
                <w:right w:val="nil"/>
                <w:between w:val="nil"/>
              </w:pBdr>
              <w:jc w:val="right"/>
              <w:rPr>
                <w:color w:val="0000FF"/>
              </w:rPr>
            </w:pPr>
          </w:p>
        </w:tc>
      </w:tr>
      <w:tr w:rsidR="008E5DE4" w14:paraId="728A590D" w14:textId="77777777">
        <w:trPr>
          <w:cantSplit/>
        </w:trPr>
        <w:tc>
          <w:tcPr>
            <w:tcW w:w="3685" w:type="dxa"/>
            <w:vAlign w:val="bottom"/>
          </w:tcPr>
          <w:p w14:paraId="308D0CDC" w14:textId="77777777" w:rsidR="008E5DE4" w:rsidRDefault="00780368">
            <w:pPr>
              <w:widowControl w:val="0"/>
              <w:pBdr>
                <w:top w:val="nil"/>
                <w:left w:val="nil"/>
                <w:bottom w:val="nil"/>
                <w:right w:val="nil"/>
                <w:between w:val="nil"/>
              </w:pBdr>
              <w:ind w:left="113" w:right="-57" w:hanging="113"/>
              <w:rPr>
                <w:color w:val="0000FF"/>
              </w:rPr>
            </w:pPr>
            <w:r>
              <w:rPr>
                <w:color w:val="0000FF"/>
              </w:rPr>
              <w:t>- Satisfactory</w:t>
            </w:r>
          </w:p>
        </w:tc>
        <w:tc>
          <w:tcPr>
            <w:tcW w:w="1134" w:type="dxa"/>
            <w:vAlign w:val="bottom"/>
          </w:tcPr>
          <w:p w14:paraId="2E333076"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CD6DEDA"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A30560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B61BFC9"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007490D" w14:textId="77777777" w:rsidR="008E5DE4" w:rsidRDefault="008E5DE4">
            <w:pPr>
              <w:widowControl w:val="0"/>
              <w:pBdr>
                <w:top w:val="nil"/>
                <w:left w:val="nil"/>
                <w:bottom w:val="nil"/>
                <w:right w:val="nil"/>
                <w:between w:val="nil"/>
              </w:pBdr>
              <w:jc w:val="right"/>
              <w:rPr>
                <w:color w:val="0000FF"/>
              </w:rPr>
            </w:pPr>
          </w:p>
        </w:tc>
      </w:tr>
      <w:tr w:rsidR="008E5DE4" w14:paraId="29606058" w14:textId="77777777">
        <w:trPr>
          <w:cantSplit/>
        </w:trPr>
        <w:tc>
          <w:tcPr>
            <w:tcW w:w="3685" w:type="dxa"/>
            <w:vAlign w:val="bottom"/>
          </w:tcPr>
          <w:p w14:paraId="4087460D" w14:textId="77777777" w:rsidR="008E5DE4" w:rsidRDefault="00780368">
            <w:pPr>
              <w:widowControl w:val="0"/>
              <w:pBdr>
                <w:top w:val="nil"/>
                <w:left w:val="nil"/>
                <w:bottom w:val="nil"/>
                <w:right w:val="nil"/>
                <w:between w:val="nil"/>
              </w:pBdr>
              <w:ind w:left="113" w:right="-57" w:hanging="113"/>
              <w:rPr>
                <w:color w:val="0000FF"/>
              </w:rPr>
            </w:pPr>
            <w:r>
              <w:rPr>
                <w:color w:val="0000FF"/>
              </w:rPr>
              <w:t>- Special monitoring</w:t>
            </w:r>
          </w:p>
        </w:tc>
        <w:tc>
          <w:tcPr>
            <w:tcW w:w="1134" w:type="dxa"/>
            <w:vAlign w:val="bottom"/>
          </w:tcPr>
          <w:p w14:paraId="20974428"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661E676E"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3772C9F1"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9B9FA5E"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EC6BD7D" w14:textId="77777777" w:rsidR="008E5DE4" w:rsidRDefault="008E5DE4">
            <w:pPr>
              <w:widowControl w:val="0"/>
              <w:pBdr>
                <w:top w:val="nil"/>
                <w:left w:val="nil"/>
                <w:bottom w:val="nil"/>
                <w:right w:val="nil"/>
                <w:between w:val="nil"/>
              </w:pBdr>
              <w:jc w:val="right"/>
              <w:rPr>
                <w:color w:val="0000FF"/>
              </w:rPr>
            </w:pPr>
          </w:p>
        </w:tc>
      </w:tr>
      <w:tr w:rsidR="008E5DE4" w14:paraId="3E528FB7" w14:textId="77777777">
        <w:trPr>
          <w:cantSplit/>
        </w:trPr>
        <w:tc>
          <w:tcPr>
            <w:tcW w:w="3685" w:type="dxa"/>
            <w:vAlign w:val="bottom"/>
          </w:tcPr>
          <w:p w14:paraId="715CD43A" w14:textId="77777777" w:rsidR="008E5DE4" w:rsidRDefault="00780368">
            <w:pPr>
              <w:widowControl w:val="0"/>
              <w:pBdr>
                <w:top w:val="nil"/>
                <w:left w:val="nil"/>
                <w:bottom w:val="nil"/>
                <w:right w:val="nil"/>
                <w:between w:val="nil"/>
              </w:pBdr>
              <w:ind w:left="113" w:right="-57" w:hanging="113"/>
              <w:rPr>
                <w:color w:val="0000FF"/>
              </w:rPr>
            </w:pPr>
            <w:r>
              <w:rPr>
                <w:color w:val="0000FF"/>
              </w:rPr>
              <w:t>- Default</w:t>
            </w:r>
          </w:p>
        </w:tc>
        <w:tc>
          <w:tcPr>
            <w:tcW w:w="1134" w:type="dxa"/>
            <w:vAlign w:val="bottom"/>
          </w:tcPr>
          <w:p w14:paraId="1146A11F"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D9FD30A"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77009FD"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03C0335"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953C8FF" w14:textId="77777777" w:rsidR="008E5DE4" w:rsidRDefault="008E5DE4">
            <w:pPr>
              <w:widowControl w:val="0"/>
              <w:pBdr>
                <w:top w:val="nil"/>
                <w:left w:val="nil"/>
                <w:bottom w:val="nil"/>
                <w:right w:val="nil"/>
                <w:between w:val="nil"/>
              </w:pBdr>
              <w:jc w:val="right"/>
              <w:rPr>
                <w:color w:val="0000FF"/>
              </w:rPr>
            </w:pPr>
          </w:p>
        </w:tc>
      </w:tr>
      <w:tr w:rsidR="008E5DE4" w14:paraId="6F0EF67A" w14:textId="77777777">
        <w:trPr>
          <w:cantSplit/>
        </w:trPr>
        <w:tc>
          <w:tcPr>
            <w:tcW w:w="3685" w:type="dxa"/>
            <w:tcBorders>
              <w:bottom w:val="single" w:sz="4" w:space="0" w:color="000000"/>
            </w:tcBorders>
            <w:vAlign w:val="bottom"/>
          </w:tcPr>
          <w:p w14:paraId="006046B8"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bottom w:val="single" w:sz="4" w:space="0" w:color="000000"/>
            </w:tcBorders>
            <w:vAlign w:val="bottom"/>
          </w:tcPr>
          <w:p w14:paraId="0885A15E"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098C402F"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6487134B"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2CFC1917"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5E5B4911" w14:textId="77777777" w:rsidR="008E5DE4" w:rsidRDefault="008E5DE4">
            <w:pPr>
              <w:widowControl w:val="0"/>
              <w:pBdr>
                <w:top w:val="nil"/>
                <w:left w:val="nil"/>
                <w:bottom w:val="nil"/>
                <w:right w:val="nil"/>
                <w:between w:val="nil"/>
              </w:pBdr>
              <w:jc w:val="right"/>
              <w:rPr>
                <w:color w:val="0000FF"/>
              </w:rPr>
            </w:pPr>
          </w:p>
        </w:tc>
      </w:tr>
      <w:tr w:rsidR="008E5DE4" w14:paraId="5B744CE0" w14:textId="77777777">
        <w:trPr>
          <w:cantSplit/>
        </w:trPr>
        <w:tc>
          <w:tcPr>
            <w:tcW w:w="3685" w:type="dxa"/>
            <w:tcBorders>
              <w:top w:val="single" w:sz="4" w:space="0" w:color="000000"/>
            </w:tcBorders>
            <w:vAlign w:val="bottom"/>
          </w:tcPr>
          <w:p w14:paraId="2C129657"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top w:val="single" w:sz="4" w:space="0" w:color="000000"/>
            </w:tcBorders>
            <w:vAlign w:val="bottom"/>
          </w:tcPr>
          <w:p w14:paraId="601E505C"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05FDC193"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72F7EA4F"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2BE4C499"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0256EAA4" w14:textId="77777777" w:rsidR="008E5DE4" w:rsidRDefault="008E5DE4">
            <w:pPr>
              <w:widowControl w:val="0"/>
              <w:pBdr>
                <w:top w:val="nil"/>
                <w:left w:val="nil"/>
                <w:bottom w:val="nil"/>
                <w:right w:val="nil"/>
                <w:between w:val="nil"/>
              </w:pBdr>
              <w:jc w:val="right"/>
              <w:rPr>
                <w:color w:val="0000FF"/>
              </w:rPr>
            </w:pPr>
          </w:p>
        </w:tc>
      </w:tr>
      <w:tr w:rsidR="008E5DE4" w14:paraId="4C39A535" w14:textId="77777777">
        <w:trPr>
          <w:cantSplit/>
        </w:trPr>
        <w:tc>
          <w:tcPr>
            <w:tcW w:w="3685" w:type="dxa"/>
            <w:vAlign w:val="bottom"/>
          </w:tcPr>
          <w:p w14:paraId="17B6092B" w14:textId="77777777" w:rsidR="008E5DE4" w:rsidRDefault="00780368">
            <w:pPr>
              <w:widowControl w:val="0"/>
              <w:pBdr>
                <w:top w:val="nil"/>
                <w:left w:val="nil"/>
                <w:bottom w:val="nil"/>
                <w:right w:val="nil"/>
                <w:between w:val="nil"/>
              </w:pBdr>
              <w:ind w:left="113" w:right="-57" w:hanging="113"/>
              <w:rPr>
                <w:b/>
                <w:color w:val="0000FF"/>
              </w:rPr>
            </w:pPr>
            <w:r>
              <w:rPr>
                <w:b/>
                <w:color w:val="0000FF"/>
              </w:rPr>
              <w:t>Gross carrying amount</w:t>
            </w:r>
          </w:p>
        </w:tc>
        <w:tc>
          <w:tcPr>
            <w:tcW w:w="1134" w:type="dxa"/>
            <w:vAlign w:val="bottom"/>
          </w:tcPr>
          <w:p w14:paraId="3D8A6E4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2B60B84"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CE47962"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4116173"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29D42FC7" w14:textId="77777777" w:rsidR="008E5DE4" w:rsidRDefault="008E5DE4">
            <w:pPr>
              <w:widowControl w:val="0"/>
              <w:pBdr>
                <w:top w:val="nil"/>
                <w:left w:val="nil"/>
                <w:bottom w:val="nil"/>
                <w:right w:val="nil"/>
                <w:between w:val="nil"/>
              </w:pBdr>
              <w:jc w:val="right"/>
              <w:rPr>
                <w:color w:val="0000FF"/>
              </w:rPr>
            </w:pPr>
          </w:p>
        </w:tc>
      </w:tr>
      <w:tr w:rsidR="008E5DE4" w14:paraId="7C78A1CC" w14:textId="77777777">
        <w:trPr>
          <w:cantSplit/>
        </w:trPr>
        <w:tc>
          <w:tcPr>
            <w:tcW w:w="3685" w:type="dxa"/>
            <w:tcBorders>
              <w:bottom w:val="single" w:sz="4" w:space="0" w:color="000000"/>
            </w:tcBorders>
            <w:vAlign w:val="bottom"/>
          </w:tcPr>
          <w:p w14:paraId="5A83B9C5"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bottom w:val="single" w:sz="4" w:space="0" w:color="000000"/>
            </w:tcBorders>
            <w:vAlign w:val="bottom"/>
          </w:tcPr>
          <w:p w14:paraId="0A7A9A67"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1C82211C"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473CF1C8"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081471DB"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13609D20" w14:textId="77777777" w:rsidR="008E5DE4" w:rsidRDefault="008E5DE4">
            <w:pPr>
              <w:widowControl w:val="0"/>
              <w:pBdr>
                <w:top w:val="nil"/>
                <w:left w:val="nil"/>
                <w:bottom w:val="nil"/>
                <w:right w:val="nil"/>
                <w:between w:val="nil"/>
              </w:pBdr>
              <w:jc w:val="right"/>
              <w:rPr>
                <w:color w:val="0000FF"/>
              </w:rPr>
            </w:pPr>
          </w:p>
        </w:tc>
      </w:tr>
      <w:tr w:rsidR="008E5DE4" w14:paraId="533A5112" w14:textId="77777777">
        <w:trPr>
          <w:cantSplit/>
        </w:trPr>
        <w:tc>
          <w:tcPr>
            <w:tcW w:w="3685" w:type="dxa"/>
            <w:tcBorders>
              <w:top w:val="single" w:sz="4" w:space="0" w:color="000000"/>
            </w:tcBorders>
            <w:vAlign w:val="bottom"/>
          </w:tcPr>
          <w:p w14:paraId="3AE412C2"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top w:val="single" w:sz="4" w:space="0" w:color="000000"/>
            </w:tcBorders>
            <w:vAlign w:val="bottom"/>
          </w:tcPr>
          <w:p w14:paraId="5AB07BDC"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3F8C8987"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0D84DB62"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3CE10230"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1F1DBF22" w14:textId="77777777" w:rsidR="008E5DE4" w:rsidRDefault="008E5DE4">
            <w:pPr>
              <w:widowControl w:val="0"/>
              <w:pBdr>
                <w:top w:val="nil"/>
                <w:left w:val="nil"/>
                <w:bottom w:val="nil"/>
                <w:right w:val="nil"/>
                <w:between w:val="nil"/>
              </w:pBdr>
              <w:jc w:val="right"/>
              <w:rPr>
                <w:color w:val="0000FF"/>
              </w:rPr>
            </w:pPr>
          </w:p>
        </w:tc>
      </w:tr>
      <w:tr w:rsidR="008E5DE4" w14:paraId="0C69B144" w14:textId="77777777">
        <w:trPr>
          <w:cantSplit/>
        </w:trPr>
        <w:tc>
          <w:tcPr>
            <w:tcW w:w="3685" w:type="dxa"/>
            <w:vAlign w:val="bottom"/>
          </w:tcPr>
          <w:p w14:paraId="7F44F195" w14:textId="77777777" w:rsidR="008E5DE4" w:rsidRDefault="00780368">
            <w:pPr>
              <w:widowControl w:val="0"/>
              <w:pBdr>
                <w:top w:val="nil"/>
                <w:left w:val="nil"/>
                <w:bottom w:val="nil"/>
                <w:right w:val="nil"/>
                <w:between w:val="nil"/>
              </w:pBdr>
              <w:ind w:left="113" w:right="-57" w:hanging="113"/>
              <w:rPr>
                <w:color w:val="0000FF"/>
              </w:rPr>
            </w:pPr>
            <w:r>
              <w:rPr>
                <w:color w:val="0000FF"/>
              </w:rPr>
              <w:t>Credit loss allowance</w:t>
            </w:r>
          </w:p>
        </w:tc>
        <w:tc>
          <w:tcPr>
            <w:tcW w:w="1134" w:type="dxa"/>
            <w:vAlign w:val="bottom"/>
          </w:tcPr>
          <w:p w14:paraId="12F4DD5D"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6DCF28E"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5520D25"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67CF434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5558205" w14:textId="77777777" w:rsidR="008E5DE4" w:rsidRDefault="008E5DE4">
            <w:pPr>
              <w:widowControl w:val="0"/>
              <w:pBdr>
                <w:top w:val="nil"/>
                <w:left w:val="nil"/>
                <w:bottom w:val="nil"/>
                <w:right w:val="nil"/>
                <w:between w:val="nil"/>
              </w:pBdr>
              <w:jc w:val="right"/>
              <w:rPr>
                <w:color w:val="0000FF"/>
              </w:rPr>
            </w:pPr>
          </w:p>
        </w:tc>
      </w:tr>
      <w:tr w:rsidR="008E5DE4" w14:paraId="2DD7365B" w14:textId="77777777">
        <w:trPr>
          <w:cantSplit/>
        </w:trPr>
        <w:tc>
          <w:tcPr>
            <w:tcW w:w="3685" w:type="dxa"/>
            <w:vAlign w:val="bottom"/>
          </w:tcPr>
          <w:p w14:paraId="4DC24110" w14:textId="77777777" w:rsidR="008E5DE4" w:rsidRDefault="008E5DE4">
            <w:pPr>
              <w:widowControl w:val="0"/>
              <w:pBdr>
                <w:top w:val="nil"/>
                <w:left w:val="nil"/>
                <w:bottom w:val="nil"/>
                <w:right w:val="nil"/>
                <w:between w:val="nil"/>
              </w:pBdr>
              <w:ind w:left="113" w:right="-57" w:hanging="113"/>
              <w:rPr>
                <w:color w:val="0000FF"/>
              </w:rPr>
            </w:pPr>
          </w:p>
        </w:tc>
        <w:tc>
          <w:tcPr>
            <w:tcW w:w="1134" w:type="dxa"/>
            <w:vAlign w:val="bottom"/>
          </w:tcPr>
          <w:p w14:paraId="3046E7F8"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2B3DD0D0"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D808C7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79A517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634ACD6" w14:textId="77777777" w:rsidR="008E5DE4" w:rsidRDefault="008E5DE4">
            <w:pPr>
              <w:widowControl w:val="0"/>
              <w:pBdr>
                <w:top w:val="nil"/>
                <w:left w:val="nil"/>
                <w:bottom w:val="nil"/>
                <w:right w:val="nil"/>
                <w:between w:val="nil"/>
              </w:pBdr>
              <w:jc w:val="right"/>
              <w:rPr>
                <w:color w:val="0000FF"/>
              </w:rPr>
            </w:pPr>
          </w:p>
        </w:tc>
      </w:tr>
      <w:tr w:rsidR="008E5DE4" w14:paraId="19D7DD27" w14:textId="77777777">
        <w:trPr>
          <w:cantSplit/>
        </w:trPr>
        <w:tc>
          <w:tcPr>
            <w:tcW w:w="3685" w:type="dxa"/>
            <w:tcBorders>
              <w:top w:val="single" w:sz="4" w:space="0" w:color="000000"/>
            </w:tcBorders>
            <w:vAlign w:val="bottom"/>
          </w:tcPr>
          <w:p w14:paraId="344D05C5"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top w:val="single" w:sz="4" w:space="0" w:color="000000"/>
            </w:tcBorders>
            <w:vAlign w:val="bottom"/>
          </w:tcPr>
          <w:p w14:paraId="09E31FB3"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6943D44A"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6A3418E9"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6BAC906A"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562D1051" w14:textId="77777777" w:rsidR="008E5DE4" w:rsidRDefault="008E5DE4">
            <w:pPr>
              <w:widowControl w:val="0"/>
              <w:pBdr>
                <w:top w:val="nil"/>
                <w:left w:val="nil"/>
                <w:bottom w:val="nil"/>
                <w:right w:val="nil"/>
                <w:between w:val="nil"/>
              </w:pBdr>
              <w:jc w:val="right"/>
              <w:rPr>
                <w:color w:val="0000FF"/>
              </w:rPr>
            </w:pPr>
          </w:p>
        </w:tc>
      </w:tr>
      <w:tr w:rsidR="008E5DE4" w14:paraId="3FF733AF" w14:textId="77777777">
        <w:trPr>
          <w:cantSplit/>
        </w:trPr>
        <w:tc>
          <w:tcPr>
            <w:tcW w:w="3685" w:type="dxa"/>
            <w:vAlign w:val="bottom"/>
          </w:tcPr>
          <w:p w14:paraId="094BDFF6" w14:textId="77777777" w:rsidR="008E5DE4" w:rsidRDefault="00780368">
            <w:pPr>
              <w:widowControl w:val="0"/>
              <w:pBdr>
                <w:top w:val="nil"/>
                <w:left w:val="nil"/>
                <w:bottom w:val="nil"/>
                <w:right w:val="nil"/>
                <w:between w:val="nil"/>
              </w:pBdr>
              <w:ind w:left="113" w:right="-57" w:hanging="113"/>
              <w:rPr>
                <w:b/>
                <w:color w:val="0000FF"/>
              </w:rPr>
            </w:pPr>
            <w:r>
              <w:rPr>
                <w:b/>
                <w:color w:val="0000FF"/>
              </w:rPr>
              <w:t>Carrying amount</w:t>
            </w:r>
          </w:p>
        </w:tc>
        <w:tc>
          <w:tcPr>
            <w:tcW w:w="1134" w:type="dxa"/>
            <w:vAlign w:val="bottom"/>
          </w:tcPr>
          <w:p w14:paraId="3EDB9C16"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9FFC8E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34CB9971"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1CA5521"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A3074A1" w14:textId="77777777" w:rsidR="008E5DE4" w:rsidRDefault="008E5DE4">
            <w:pPr>
              <w:widowControl w:val="0"/>
              <w:pBdr>
                <w:top w:val="nil"/>
                <w:left w:val="nil"/>
                <w:bottom w:val="nil"/>
                <w:right w:val="nil"/>
                <w:between w:val="nil"/>
              </w:pBdr>
              <w:jc w:val="right"/>
              <w:rPr>
                <w:color w:val="0000FF"/>
              </w:rPr>
            </w:pPr>
          </w:p>
        </w:tc>
      </w:tr>
      <w:tr w:rsidR="008E5DE4" w14:paraId="1230D290" w14:textId="77777777">
        <w:trPr>
          <w:cantSplit/>
        </w:trPr>
        <w:tc>
          <w:tcPr>
            <w:tcW w:w="3685" w:type="dxa"/>
            <w:tcBorders>
              <w:bottom w:val="single" w:sz="12" w:space="0" w:color="000000"/>
            </w:tcBorders>
            <w:vAlign w:val="bottom"/>
          </w:tcPr>
          <w:p w14:paraId="0986A056"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bottom w:val="single" w:sz="12" w:space="0" w:color="000000"/>
            </w:tcBorders>
            <w:vAlign w:val="bottom"/>
          </w:tcPr>
          <w:p w14:paraId="0CC1BBF7"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12" w:space="0" w:color="000000"/>
            </w:tcBorders>
            <w:vAlign w:val="bottom"/>
          </w:tcPr>
          <w:p w14:paraId="7F54B976"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12" w:space="0" w:color="000000"/>
            </w:tcBorders>
            <w:vAlign w:val="bottom"/>
          </w:tcPr>
          <w:p w14:paraId="705BCFB0"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12" w:space="0" w:color="000000"/>
            </w:tcBorders>
            <w:vAlign w:val="bottom"/>
          </w:tcPr>
          <w:p w14:paraId="0D3B7B77"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12" w:space="0" w:color="000000"/>
            </w:tcBorders>
            <w:vAlign w:val="bottom"/>
          </w:tcPr>
          <w:p w14:paraId="3DFC46B1" w14:textId="77777777" w:rsidR="008E5DE4" w:rsidRDefault="008E5DE4">
            <w:pPr>
              <w:widowControl w:val="0"/>
              <w:pBdr>
                <w:top w:val="nil"/>
                <w:left w:val="nil"/>
                <w:bottom w:val="nil"/>
                <w:right w:val="nil"/>
                <w:between w:val="nil"/>
              </w:pBdr>
              <w:jc w:val="right"/>
              <w:rPr>
                <w:color w:val="0000FF"/>
              </w:rPr>
            </w:pPr>
          </w:p>
        </w:tc>
      </w:tr>
    </w:tbl>
    <w:p w14:paraId="760AA51E" w14:textId="2AC57E87" w:rsidR="008E5DE4" w:rsidRDefault="00780368">
      <w:pPr>
        <w:widowControl w:val="0"/>
        <w:spacing w:before="200" w:after="200"/>
        <w:jc w:val="both"/>
        <w:rPr>
          <w:color w:val="0000FF"/>
          <w:sz w:val="20"/>
          <w:szCs w:val="20"/>
        </w:rPr>
      </w:pPr>
      <w:r>
        <w:rPr>
          <w:color w:val="0000FF"/>
          <w:sz w:val="20"/>
          <w:szCs w:val="20"/>
        </w:rPr>
        <w:t xml:space="preserve">The carrying amount of financial lease receivable </w:t>
      </w:r>
      <w:proofErr w:type="gramStart"/>
      <w:r>
        <w:rPr>
          <w:color w:val="0000FF"/>
          <w:sz w:val="20"/>
          <w:szCs w:val="20"/>
        </w:rPr>
        <w:t>at</w:t>
      </w:r>
      <w:proofErr w:type="gramEnd"/>
      <w:r>
        <w:rPr>
          <w:color w:val="0000FF"/>
          <w:sz w:val="20"/>
          <w:szCs w:val="20"/>
        </w:rPr>
        <w:t xml:space="preserve"> 31 December </w:t>
      </w:r>
      <w:r w:rsidR="00FF468A">
        <w:rPr>
          <w:color w:val="0000FF"/>
          <w:sz w:val="20"/>
          <w:szCs w:val="20"/>
        </w:rPr>
        <w:t>2024</w:t>
      </w:r>
      <w:r>
        <w:rPr>
          <w:color w:val="0000FF"/>
          <w:sz w:val="20"/>
          <w:szCs w:val="20"/>
        </w:rPr>
        <w:t xml:space="preserve"> below also represents the Group's maximum exposure to credit risk on these assets:</w:t>
      </w:r>
    </w:p>
    <w:tbl>
      <w:tblPr>
        <w:tblStyle w:val="affff0"/>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470B8846" w14:textId="77777777">
        <w:trPr>
          <w:cantSplit/>
          <w:tblHeader/>
        </w:trPr>
        <w:tc>
          <w:tcPr>
            <w:tcW w:w="3685" w:type="dxa"/>
            <w:tcBorders>
              <w:bottom w:val="single" w:sz="4" w:space="0" w:color="000000"/>
            </w:tcBorders>
            <w:vAlign w:val="bottom"/>
          </w:tcPr>
          <w:p w14:paraId="116D62B1" w14:textId="77777777" w:rsidR="008E5DE4" w:rsidRDefault="00780368">
            <w:pPr>
              <w:widowControl w:val="0"/>
              <w:pBdr>
                <w:top w:val="nil"/>
                <w:left w:val="nil"/>
                <w:bottom w:val="nil"/>
                <w:right w:val="nil"/>
                <w:between w:val="nil"/>
              </w:pBdr>
              <w:ind w:left="113" w:right="-57" w:hanging="113"/>
              <w:rPr>
                <w:b/>
                <w:i/>
                <w:color w:val="0000FF"/>
              </w:rPr>
            </w:pPr>
            <w:r>
              <w:rPr>
                <w:i/>
                <w:color w:val="0000FF"/>
              </w:rPr>
              <w:t>In thousands of EUR</w:t>
            </w:r>
          </w:p>
        </w:tc>
        <w:tc>
          <w:tcPr>
            <w:tcW w:w="1134" w:type="dxa"/>
            <w:tcBorders>
              <w:bottom w:val="single" w:sz="4" w:space="0" w:color="000000"/>
            </w:tcBorders>
          </w:tcPr>
          <w:p w14:paraId="2C6FDE45" w14:textId="77777777" w:rsidR="008E5DE4" w:rsidRDefault="00780368">
            <w:pPr>
              <w:widowControl w:val="0"/>
              <w:pBdr>
                <w:top w:val="nil"/>
                <w:left w:val="nil"/>
                <w:bottom w:val="nil"/>
                <w:right w:val="nil"/>
                <w:between w:val="nil"/>
              </w:pBdr>
              <w:ind w:left="-113"/>
              <w:jc w:val="right"/>
              <w:rPr>
                <w:b/>
                <w:color w:val="0000FF"/>
              </w:rPr>
            </w:pPr>
            <w:r>
              <w:rPr>
                <w:b/>
                <w:color w:val="0000FF"/>
              </w:rPr>
              <w:t xml:space="preserve">Stage 1 </w:t>
            </w:r>
          </w:p>
          <w:p w14:paraId="5AAEB8DC" w14:textId="77777777" w:rsidR="008E5DE4" w:rsidRDefault="00780368">
            <w:pPr>
              <w:widowControl w:val="0"/>
              <w:pBdr>
                <w:top w:val="nil"/>
                <w:left w:val="nil"/>
                <w:bottom w:val="nil"/>
                <w:right w:val="nil"/>
                <w:between w:val="nil"/>
              </w:pBdr>
              <w:ind w:left="-113"/>
              <w:jc w:val="right"/>
              <w:rPr>
                <w:b/>
                <w:color w:val="0000FF"/>
              </w:rPr>
            </w:pPr>
            <w:r>
              <w:rPr>
                <w:b/>
                <w:color w:val="0000FF"/>
              </w:rPr>
              <w:t>(12-months ECL)</w:t>
            </w:r>
          </w:p>
        </w:tc>
        <w:tc>
          <w:tcPr>
            <w:tcW w:w="1134" w:type="dxa"/>
            <w:tcBorders>
              <w:bottom w:val="single" w:sz="4" w:space="0" w:color="000000"/>
            </w:tcBorders>
          </w:tcPr>
          <w:p w14:paraId="7BF6A7CF" w14:textId="77777777" w:rsidR="008E5DE4" w:rsidRDefault="00780368">
            <w:pPr>
              <w:widowControl w:val="0"/>
              <w:pBdr>
                <w:top w:val="nil"/>
                <w:left w:val="nil"/>
                <w:bottom w:val="nil"/>
                <w:right w:val="nil"/>
                <w:between w:val="nil"/>
              </w:pBdr>
              <w:ind w:left="-113"/>
              <w:jc w:val="right"/>
              <w:rPr>
                <w:b/>
                <w:color w:val="0000FF"/>
              </w:rPr>
            </w:pPr>
            <w:r>
              <w:rPr>
                <w:b/>
                <w:color w:val="0000FF"/>
              </w:rPr>
              <w:t>Stage 2</w:t>
            </w:r>
          </w:p>
          <w:p w14:paraId="4090B2E0" w14:textId="77777777" w:rsidR="008E5DE4" w:rsidRDefault="00780368">
            <w:pPr>
              <w:widowControl w:val="0"/>
              <w:pBdr>
                <w:top w:val="nil"/>
                <w:left w:val="nil"/>
                <w:bottom w:val="nil"/>
                <w:right w:val="nil"/>
                <w:between w:val="nil"/>
              </w:pBdr>
              <w:ind w:left="-113"/>
              <w:jc w:val="right"/>
              <w:rPr>
                <w:b/>
                <w:color w:val="0000FF"/>
              </w:rPr>
            </w:pPr>
            <w:r>
              <w:rPr>
                <w:b/>
                <w:color w:val="0000FF"/>
              </w:rPr>
              <w:t xml:space="preserve">(lifetime ECL for SICR) </w:t>
            </w:r>
          </w:p>
        </w:tc>
        <w:tc>
          <w:tcPr>
            <w:tcW w:w="1134" w:type="dxa"/>
            <w:tcBorders>
              <w:bottom w:val="single" w:sz="4" w:space="0" w:color="000000"/>
            </w:tcBorders>
          </w:tcPr>
          <w:p w14:paraId="0A2B0CD3" w14:textId="77777777" w:rsidR="008E5DE4" w:rsidRDefault="00780368">
            <w:pPr>
              <w:widowControl w:val="0"/>
              <w:pBdr>
                <w:top w:val="nil"/>
                <w:left w:val="nil"/>
                <w:bottom w:val="nil"/>
                <w:right w:val="nil"/>
                <w:between w:val="nil"/>
              </w:pBdr>
              <w:ind w:left="-113"/>
              <w:jc w:val="right"/>
              <w:rPr>
                <w:b/>
                <w:color w:val="0000FF"/>
              </w:rPr>
            </w:pPr>
            <w:r>
              <w:rPr>
                <w:b/>
                <w:color w:val="0000FF"/>
              </w:rPr>
              <w:t>Stage 3</w:t>
            </w:r>
          </w:p>
          <w:p w14:paraId="3097BF23" w14:textId="77777777" w:rsidR="008E5DE4" w:rsidRDefault="00780368">
            <w:pPr>
              <w:widowControl w:val="0"/>
              <w:pBdr>
                <w:top w:val="nil"/>
                <w:left w:val="nil"/>
                <w:bottom w:val="nil"/>
                <w:right w:val="nil"/>
                <w:between w:val="nil"/>
              </w:pBdr>
              <w:ind w:left="-113"/>
              <w:jc w:val="right"/>
              <w:rPr>
                <w:b/>
                <w:color w:val="0000FF"/>
              </w:rPr>
            </w:pPr>
            <w:r>
              <w:rPr>
                <w:b/>
                <w:color w:val="0000FF"/>
              </w:rPr>
              <w:t>(lifetime ECL for credit im-paired)</w:t>
            </w:r>
          </w:p>
        </w:tc>
        <w:tc>
          <w:tcPr>
            <w:tcW w:w="1134" w:type="dxa"/>
            <w:tcBorders>
              <w:bottom w:val="single" w:sz="4" w:space="0" w:color="000000"/>
            </w:tcBorders>
          </w:tcPr>
          <w:p w14:paraId="488C7C4E" w14:textId="77777777" w:rsidR="008E5DE4" w:rsidRDefault="00780368">
            <w:pPr>
              <w:widowControl w:val="0"/>
              <w:pBdr>
                <w:top w:val="nil"/>
                <w:left w:val="nil"/>
                <w:bottom w:val="nil"/>
                <w:right w:val="nil"/>
                <w:between w:val="nil"/>
              </w:pBdr>
              <w:ind w:left="-113"/>
              <w:jc w:val="right"/>
              <w:rPr>
                <w:b/>
                <w:color w:val="0000FF"/>
              </w:rPr>
            </w:pPr>
            <w:r>
              <w:rPr>
                <w:b/>
                <w:color w:val="0000FF"/>
              </w:rPr>
              <w:t>POCI</w:t>
            </w:r>
          </w:p>
        </w:tc>
        <w:tc>
          <w:tcPr>
            <w:tcW w:w="1134" w:type="dxa"/>
            <w:tcBorders>
              <w:bottom w:val="single" w:sz="4" w:space="0" w:color="000000"/>
            </w:tcBorders>
          </w:tcPr>
          <w:p w14:paraId="508986F7" w14:textId="77777777" w:rsidR="008E5DE4" w:rsidRDefault="00780368">
            <w:pPr>
              <w:widowControl w:val="0"/>
              <w:pBdr>
                <w:top w:val="nil"/>
                <w:left w:val="nil"/>
                <w:bottom w:val="nil"/>
                <w:right w:val="nil"/>
                <w:between w:val="nil"/>
              </w:pBdr>
              <w:ind w:left="-113"/>
              <w:jc w:val="right"/>
              <w:rPr>
                <w:b/>
                <w:color w:val="0000FF"/>
              </w:rPr>
            </w:pPr>
            <w:r>
              <w:rPr>
                <w:b/>
                <w:color w:val="0000FF"/>
              </w:rPr>
              <w:t>Total</w:t>
            </w:r>
          </w:p>
        </w:tc>
      </w:tr>
      <w:tr w:rsidR="008E5DE4" w14:paraId="0242F5C5" w14:textId="77777777">
        <w:trPr>
          <w:cantSplit/>
          <w:tblHeader/>
        </w:trPr>
        <w:tc>
          <w:tcPr>
            <w:tcW w:w="3685" w:type="dxa"/>
            <w:vAlign w:val="bottom"/>
          </w:tcPr>
          <w:p w14:paraId="2077B767" w14:textId="77777777" w:rsidR="008E5DE4" w:rsidRDefault="00780368">
            <w:pPr>
              <w:widowControl w:val="0"/>
              <w:ind w:left="113" w:right="-57" w:hanging="113"/>
              <w:rPr>
                <w:color w:val="0000FF"/>
              </w:rPr>
            </w:pPr>
            <w:r>
              <w:rPr>
                <w:color w:val="0000FF"/>
              </w:rPr>
              <w:t> </w:t>
            </w:r>
          </w:p>
        </w:tc>
        <w:tc>
          <w:tcPr>
            <w:tcW w:w="1134" w:type="dxa"/>
            <w:vAlign w:val="bottom"/>
          </w:tcPr>
          <w:p w14:paraId="2BC3B952"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EA93C89"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D83FAA9"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B33E34A"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30A342B5" w14:textId="77777777" w:rsidR="008E5DE4" w:rsidRDefault="008E5DE4">
            <w:pPr>
              <w:widowControl w:val="0"/>
              <w:pBdr>
                <w:top w:val="nil"/>
                <w:left w:val="nil"/>
                <w:bottom w:val="nil"/>
                <w:right w:val="nil"/>
                <w:between w:val="nil"/>
              </w:pBdr>
              <w:jc w:val="right"/>
              <w:rPr>
                <w:color w:val="0000FF"/>
              </w:rPr>
            </w:pPr>
          </w:p>
        </w:tc>
      </w:tr>
      <w:tr w:rsidR="008E5DE4" w14:paraId="388957D1" w14:textId="77777777">
        <w:trPr>
          <w:cantSplit/>
        </w:trPr>
        <w:tc>
          <w:tcPr>
            <w:tcW w:w="3685" w:type="dxa"/>
            <w:vAlign w:val="bottom"/>
          </w:tcPr>
          <w:p w14:paraId="5DDB3C23"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Finance lease receivables</w:t>
            </w:r>
          </w:p>
        </w:tc>
        <w:tc>
          <w:tcPr>
            <w:tcW w:w="1134" w:type="dxa"/>
            <w:vAlign w:val="bottom"/>
          </w:tcPr>
          <w:p w14:paraId="3E9F060D"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5B7EA73"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2BAA33CA"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3B91A985"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E2124B0" w14:textId="77777777" w:rsidR="008E5DE4" w:rsidRDefault="008E5DE4">
            <w:pPr>
              <w:widowControl w:val="0"/>
              <w:pBdr>
                <w:top w:val="nil"/>
                <w:left w:val="nil"/>
                <w:bottom w:val="nil"/>
                <w:right w:val="nil"/>
                <w:between w:val="nil"/>
              </w:pBdr>
              <w:jc w:val="right"/>
              <w:rPr>
                <w:color w:val="0000FF"/>
              </w:rPr>
            </w:pPr>
          </w:p>
        </w:tc>
      </w:tr>
      <w:tr w:rsidR="008E5DE4" w14:paraId="68E87B6C" w14:textId="77777777">
        <w:trPr>
          <w:cantSplit/>
        </w:trPr>
        <w:tc>
          <w:tcPr>
            <w:tcW w:w="3685" w:type="dxa"/>
            <w:vAlign w:val="bottom"/>
          </w:tcPr>
          <w:p w14:paraId="07FACBA4" w14:textId="77777777" w:rsidR="008E5DE4" w:rsidRDefault="008E5DE4">
            <w:pPr>
              <w:widowControl w:val="0"/>
              <w:pBdr>
                <w:top w:val="nil"/>
                <w:left w:val="nil"/>
                <w:bottom w:val="nil"/>
                <w:right w:val="nil"/>
                <w:between w:val="nil"/>
              </w:pBdr>
              <w:ind w:left="113" w:right="-57" w:hanging="113"/>
              <w:rPr>
                <w:color w:val="0000FF"/>
              </w:rPr>
            </w:pPr>
          </w:p>
        </w:tc>
        <w:tc>
          <w:tcPr>
            <w:tcW w:w="1134" w:type="dxa"/>
            <w:vAlign w:val="bottom"/>
          </w:tcPr>
          <w:p w14:paraId="3B62F678"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E9633A8"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3489A9C"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3601FB3"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29ACE561" w14:textId="77777777" w:rsidR="008E5DE4" w:rsidRDefault="008E5DE4">
            <w:pPr>
              <w:widowControl w:val="0"/>
              <w:pBdr>
                <w:top w:val="nil"/>
                <w:left w:val="nil"/>
                <w:bottom w:val="nil"/>
                <w:right w:val="nil"/>
                <w:between w:val="nil"/>
              </w:pBdr>
              <w:jc w:val="right"/>
              <w:rPr>
                <w:color w:val="0000FF"/>
              </w:rPr>
            </w:pPr>
          </w:p>
        </w:tc>
      </w:tr>
      <w:tr w:rsidR="008E5DE4" w14:paraId="01914359" w14:textId="77777777">
        <w:trPr>
          <w:cantSplit/>
        </w:trPr>
        <w:tc>
          <w:tcPr>
            <w:tcW w:w="3685" w:type="dxa"/>
            <w:vAlign w:val="bottom"/>
          </w:tcPr>
          <w:p w14:paraId="39D3DF7D" w14:textId="77777777" w:rsidR="008E5DE4" w:rsidRDefault="00780368">
            <w:pPr>
              <w:widowControl w:val="0"/>
              <w:pBdr>
                <w:top w:val="nil"/>
                <w:left w:val="nil"/>
                <w:bottom w:val="nil"/>
                <w:right w:val="nil"/>
                <w:between w:val="nil"/>
              </w:pBdr>
              <w:ind w:left="113" w:right="-57" w:hanging="113"/>
              <w:rPr>
                <w:color w:val="0000FF"/>
              </w:rPr>
            </w:pPr>
            <w:r>
              <w:rPr>
                <w:color w:val="0000FF"/>
              </w:rPr>
              <w:t>- Excellent</w:t>
            </w:r>
          </w:p>
        </w:tc>
        <w:tc>
          <w:tcPr>
            <w:tcW w:w="1134" w:type="dxa"/>
            <w:vAlign w:val="bottom"/>
          </w:tcPr>
          <w:p w14:paraId="10317E8D"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5D0AD48"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19476A0"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797BF4C"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392CB63" w14:textId="77777777" w:rsidR="008E5DE4" w:rsidRDefault="008E5DE4">
            <w:pPr>
              <w:widowControl w:val="0"/>
              <w:pBdr>
                <w:top w:val="nil"/>
                <w:left w:val="nil"/>
                <w:bottom w:val="nil"/>
                <w:right w:val="nil"/>
                <w:between w:val="nil"/>
              </w:pBdr>
              <w:jc w:val="right"/>
              <w:rPr>
                <w:color w:val="0000FF"/>
              </w:rPr>
            </w:pPr>
          </w:p>
        </w:tc>
      </w:tr>
      <w:tr w:rsidR="008E5DE4" w14:paraId="27AFA63C" w14:textId="77777777">
        <w:trPr>
          <w:cantSplit/>
        </w:trPr>
        <w:tc>
          <w:tcPr>
            <w:tcW w:w="3685" w:type="dxa"/>
            <w:vAlign w:val="bottom"/>
          </w:tcPr>
          <w:p w14:paraId="3CD17184" w14:textId="77777777" w:rsidR="008E5DE4" w:rsidRDefault="00780368">
            <w:pPr>
              <w:widowControl w:val="0"/>
              <w:pBdr>
                <w:top w:val="nil"/>
                <w:left w:val="nil"/>
                <w:bottom w:val="nil"/>
                <w:right w:val="nil"/>
                <w:between w:val="nil"/>
              </w:pBdr>
              <w:ind w:left="113" w:right="-57" w:hanging="113"/>
              <w:rPr>
                <w:color w:val="0000FF"/>
              </w:rPr>
            </w:pPr>
            <w:r>
              <w:rPr>
                <w:color w:val="0000FF"/>
              </w:rPr>
              <w:t>- Good</w:t>
            </w:r>
          </w:p>
        </w:tc>
        <w:tc>
          <w:tcPr>
            <w:tcW w:w="1134" w:type="dxa"/>
            <w:vAlign w:val="bottom"/>
          </w:tcPr>
          <w:p w14:paraId="49FCBA08"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F79AB7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9B48112"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CC88541"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3ACCFE0" w14:textId="77777777" w:rsidR="008E5DE4" w:rsidRDefault="008E5DE4">
            <w:pPr>
              <w:widowControl w:val="0"/>
              <w:pBdr>
                <w:top w:val="nil"/>
                <w:left w:val="nil"/>
                <w:bottom w:val="nil"/>
                <w:right w:val="nil"/>
                <w:between w:val="nil"/>
              </w:pBdr>
              <w:jc w:val="right"/>
              <w:rPr>
                <w:color w:val="0000FF"/>
              </w:rPr>
            </w:pPr>
          </w:p>
        </w:tc>
      </w:tr>
      <w:tr w:rsidR="008E5DE4" w14:paraId="173B4790" w14:textId="77777777">
        <w:trPr>
          <w:cantSplit/>
        </w:trPr>
        <w:tc>
          <w:tcPr>
            <w:tcW w:w="3685" w:type="dxa"/>
            <w:vAlign w:val="bottom"/>
          </w:tcPr>
          <w:p w14:paraId="188907D1" w14:textId="77777777" w:rsidR="008E5DE4" w:rsidRDefault="00780368">
            <w:pPr>
              <w:widowControl w:val="0"/>
              <w:pBdr>
                <w:top w:val="nil"/>
                <w:left w:val="nil"/>
                <w:bottom w:val="nil"/>
                <w:right w:val="nil"/>
                <w:between w:val="nil"/>
              </w:pBdr>
              <w:ind w:left="113" w:right="-57" w:hanging="113"/>
              <w:rPr>
                <w:color w:val="0000FF"/>
              </w:rPr>
            </w:pPr>
            <w:r>
              <w:rPr>
                <w:color w:val="0000FF"/>
              </w:rPr>
              <w:t>- Satisfactory</w:t>
            </w:r>
          </w:p>
        </w:tc>
        <w:tc>
          <w:tcPr>
            <w:tcW w:w="1134" w:type="dxa"/>
            <w:vAlign w:val="bottom"/>
          </w:tcPr>
          <w:p w14:paraId="5BFDA35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2C70D05F"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EF69F14"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641C8E9"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34C57C38" w14:textId="77777777" w:rsidR="008E5DE4" w:rsidRDefault="008E5DE4">
            <w:pPr>
              <w:widowControl w:val="0"/>
              <w:pBdr>
                <w:top w:val="nil"/>
                <w:left w:val="nil"/>
                <w:bottom w:val="nil"/>
                <w:right w:val="nil"/>
                <w:between w:val="nil"/>
              </w:pBdr>
              <w:jc w:val="right"/>
              <w:rPr>
                <w:color w:val="0000FF"/>
              </w:rPr>
            </w:pPr>
          </w:p>
        </w:tc>
      </w:tr>
      <w:tr w:rsidR="008E5DE4" w14:paraId="6AC4EC2A" w14:textId="77777777">
        <w:trPr>
          <w:cantSplit/>
        </w:trPr>
        <w:tc>
          <w:tcPr>
            <w:tcW w:w="3685" w:type="dxa"/>
            <w:vAlign w:val="bottom"/>
          </w:tcPr>
          <w:p w14:paraId="58352345" w14:textId="77777777" w:rsidR="008E5DE4" w:rsidRDefault="00780368">
            <w:pPr>
              <w:widowControl w:val="0"/>
              <w:pBdr>
                <w:top w:val="nil"/>
                <w:left w:val="nil"/>
                <w:bottom w:val="nil"/>
                <w:right w:val="nil"/>
                <w:between w:val="nil"/>
              </w:pBdr>
              <w:ind w:left="113" w:right="-57" w:hanging="113"/>
              <w:rPr>
                <w:color w:val="0000FF"/>
              </w:rPr>
            </w:pPr>
            <w:r>
              <w:rPr>
                <w:color w:val="0000FF"/>
              </w:rPr>
              <w:t>- Special monitoring</w:t>
            </w:r>
          </w:p>
        </w:tc>
        <w:tc>
          <w:tcPr>
            <w:tcW w:w="1134" w:type="dxa"/>
            <w:vAlign w:val="bottom"/>
          </w:tcPr>
          <w:p w14:paraId="0997049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1986F6D"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FF75627"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EB100CA"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7783CE5" w14:textId="77777777" w:rsidR="008E5DE4" w:rsidRDefault="008E5DE4">
            <w:pPr>
              <w:widowControl w:val="0"/>
              <w:pBdr>
                <w:top w:val="nil"/>
                <w:left w:val="nil"/>
                <w:bottom w:val="nil"/>
                <w:right w:val="nil"/>
                <w:between w:val="nil"/>
              </w:pBdr>
              <w:jc w:val="right"/>
              <w:rPr>
                <w:color w:val="0000FF"/>
              </w:rPr>
            </w:pPr>
          </w:p>
        </w:tc>
      </w:tr>
      <w:tr w:rsidR="008E5DE4" w14:paraId="74D93A1E" w14:textId="77777777">
        <w:trPr>
          <w:cantSplit/>
        </w:trPr>
        <w:tc>
          <w:tcPr>
            <w:tcW w:w="3685" w:type="dxa"/>
            <w:vAlign w:val="bottom"/>
          </w:tcPr>
          <w:p w14:paraId="1FA4F255" w14:textId="77777777" w:rsidR="008E5DE4" w:rsidRDefault="00780368">
            <w:pPr>
              <w:widowControl w:val="0"/>
              <w:pBdr>
                <w:top w:val="nil"/>
                <w:left w:val="nil"/>
                <w:bottom w:val="nil"/>
                <w:right w:val="nil"/>
                <w:between w:val="nil"/>
              </w:pBdr>
              <w:ind w:left="113" w:right="-57" w:hanging="113"/>
              <w:rPr>
                <w:color w:val="0000FF"/>
              </w:rPr>
            </w:pPr>
            <w:r>
              <w:rPr>
                <w:color w:val="0000FF"/>
              </w:rPr>
              <w:t>- Default</w:t>
            </w:r>
          </w:p>
        </w:tc>
        <w:tc>
          <w:tcPr>
            <w:tcW w:w="1134" w:type="dxa"/>
            <w:vAlign w:val="bottom"/>
          </w:tcPr>
          <w:p w14:paraId="15F17016"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6A65C139"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CB2A19D"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BEEF22E"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28CDA900" w14:textId="77777777" w:rsidR="008E5DE4" w:rsidRDefault="008E5DE4">
            <w:pPr>
              <w:widowControl w:val="0"/>
              <w:pBdr>
                <w:top w:val="nil"/>
                <w:left w:val="nil"/>
                <w:bottom w:val="nil"/>
                <w:right w:val="nil"/>
                <w:between w:val="nil"/>
              </w:pBdr>
              <w:jc w:val="right"/>
              <w:rPr>
                <w:color w:val="0000FF"/>
              </w:rPr>
            </w:pPr>
          </w:p>
        </w:tc>
      </w:tr>
      <w:tr w:rsidR="008E5DE4" w14:paraId="243162CC" w14:textId="77777777">
        <w:trPr>
          <w:cantSplit/>
        </w:trPr>
        <w:tc>
          <w:tcPr>
            <w:tcW w:w="3685" w:type="dxa"/>
            <w:tcBorders>
              <w:bottom w:val="single" w:sz="4" w:space="0" w:color="000000"/>
            </w:tcBorders>
            <w:vAlign w:val="bottom"/>
          </w:tcPr>
          <w:p w14:paraId="4C9777ED"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bottom w:val="single" w:sz="4" w:space="0" w:color="000000"/>
            </w:tcBorders>
            <w:vAlign w:val="bottom"/>
          </w:tcPr>
          <w:p w14:paraId="69E08FA5"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66F390E5"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290A86DF"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13E4DF26"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4E5168E1" w14:textId="77777777" w:rsidR="008E5DE4" w:rsidRDefault="008E5DE4">
            <w:pPr>
              <w:widowControl w:val="0"/>
              <w:pBdr>
                <w:top w:val="nil"/>
                <w:left w:val="nil"/>
                <w:bottom w:val="nil"/>
                <w:right w:val="nil"/>
                <w:between w:val="nil"/>
              </w:pBdr>
              <w:jc w:val="right"/>
              <w:rPr>
                <w:color w:val="0000FF"/>
              </w:rPr>
            </w:pPr>
          </w:p>
        </w:tc>
      </w:tr>
      <w:tr w:rsidR="008E5DE4" w14:paraId="77B61BDE" w14:textId="77777777">
        <w:trPr>
          <w:cantSplit/>
        </w:trPr>
        <w:tc>
          <w:tcPr>
            <w:tcW w:w="3685" w:type="dxa"/>
            <w:tcBorders>
              <w:top w:val="single" w:sz="4" w:space="0" w:color="000000"/>
            </w:tcBorders>
            <w:vAlign w:val="bottom"/>
          </w:tcPr>
          <w:p w14:paraId="15A7E489"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top w:val="single" w:sz="4" w:space="0" w:color="000000"/>
            </w:tcBorders>
            <w:vAlign w:val="bottom"/>
          </w:tcPr>
          <w:p w14:paraId="64F706A0"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73C6246E"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137076EA"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5C8EB8A9"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6A4F1A70" w14:textId="77777777" w:rsidR="008E5DE4" w:rsidRDefault="008E5DE4">
            <w:pPr>
              <w:widowControl w:val="0"/>
              <w:pBdr>
                <w:top w:val="nil"/>
                <w:left w:val="nil"/>
                <w:bottom w:val="nil"/>
                <w:right w:val="nil"/>
                <w:between w:val="nil"/>
              </w:pBdr>
              <w:jc w:val="right"/>
              <w:rPr>
                <w:color w:val="0000FF"/>
              </w:rPr>
            </w:pPr>
          </w:p>
        </w:tc>
      </w:tr>
      <w:tr w:rsidR="008E5DE4" w14:paraId="6F94C23D" w14:textId="77777777">
        <w:trPr>
          <w:cantSplit/>
        </w:trPr>
        <w:tc>
          <w:tcPr>
            <w:tcW w:w="3685" w:type="dxa"/>
            <w:vAlign w:val="bottom"/>
          </w:tcPr>
          <w:p w14:paraId="2058040B" w14:textId="77777777" w:rsidR="008E5DE4" w:rsidRDefault="00780368">
            <w:pPr>
              <w:widowControl w:val="0"/>
              <w:pBdr>
                <w:top w:val="nil"/>
                <w:left w:val="nil"/>
                <w:bottom w:val="nil"/>
                <w:right w:val="nil"/>
                <w:between w:val="nil"/>
              </w:pBdr>
              <w:ind w:left="113" w:right="-57" w:hanging="113"/>
              <w:rPr>
                <w:b/>
                <w:color w:val="0000FF"/>
              </w:rPr>
            </w:pPr>
            <w:r>
              <w:rPr>
                <w:b/>
                <w:color w:val="0000FF"/>
              </w:rPr>
              <w:t>Gross carrying amount</w:t>
            </w:r>
          </w:p>
        </w:tc>
        <w:tc>
          <w:tcPr>
            <w:tcW w:w="1134" w:type="dxa"/>
            <w:vAlign w:val="bottom"/>
          </w:tcPr>
          <w:p w14:paraId="6B9FDF27"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6F40CE1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242FD43A"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9ED76A2"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5ECFC39" w14:textId="77777777" w:rsidR="008E5DE4" w:rsidRDefault="008E5DE4">
            <w:pPr>
              <w:widowControl w:val="0"/>
              <w:pBdr>
                <w:top w:val="nil"/>
                <w:left w:val="nil"/>
                <w:bottom w:val="nil"/>
                <w:right w:val="nil"/>
                <w:between w:val="nil"/>
              </w:pBdr>
              <w:jc w:val="right"/>
              <w:rPr>
                <w:color w:val="0000FF"/>
              </w:rPr>
            </w:pPr>
          </w:p>
        </w:tc>
      </w:tr>
      <w:tr w:rsidR="008E5DE4" w14:paraId="758BAA69" w14:textId="77777777">
        <w:trPr>
          <w:cantSplit/>
        </w:trPr>
        <w:tc>
          <w:tcPr>
            <w:tcW w:w="3685" w:type="dxa"/>
            <w:tcBorders>
              <w:bottom w:val="single" w:sz="4" w:space="0" w:color="000000"/>
            </w:tcBorders>
            <w:vAlign w:val="bottom"/>
          </w:tcPr>
          <w:p w14:paraId="38EC8C75"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bottom w:val="single" w:sz="4" w:space="0" w:color="000000"/>
            </w:tcBorders>
            <w:vAlign w:val="bottom"/>
          </w:tcPr>
          <w:p w14:paraId="65D5265D"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3D2DB106"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1CED1AF5"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4F2FF26F"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4" w:space="0" w:color="000000"/>
            </w:tcBorders>
            <w:vAlign w:val="bottom"/>
          </w:tcPr>
          <w:p w14:paraId="7D746676" w14:textId="77777777" w:rsidR="008E5DE4" w:rsidRDefault="008E5DE4">
            <w:pPr>
              <w:widowControl w:val="0"/>
              <w:pBdr>
                <w:top w:val="nil"/>
                <w:left w:val="nil"/>
                <w:bottom w:val="nil"/>
                <w:right w:val="nil"/>
                <w:between w:val="nil"/>
              </w:pBdr>
              <w:jc w:val="right"/>
              <w:rPr>
                <w:color w:val="0000FF"/>
              </w:rPr>
            </w:pPr>
          </w:p>
        </w:tc>
      </w:tr>
      <w:tr w:rsidR="008E5DE4" w14:paraId="4BA86FA6" w14:textId="77777777">
        <w:trPr>
          <w:cantSplit/>
        </w:trPr>
        <w:tc>
          <w:tcPr>
            <w:tcW w:w="3685" w:type="dxa"/>
            <w:tcBorders>
              <w:top w:val="single" w:sz="4" w:space="0" w:color="000000"/>
            </w:tcBorders>
            <w:vAlign w:val="bottom"/>
          </w:tcPr>
          <w:p w14:paraId="0A156D91"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top w:val="single" w:sz="4" w:space="0" w:color="000000"/>
            </w:tcBorders>
            <w:vAlign w:val="bottom"/>
          </w:tcPr>
          <w:p w14:paraId="73190B0C"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22C9AE1E"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2E2977F6"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07EBE1A7"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7F3C6981" w14:textId="77777777" w:rsidR="008E5DE4" w:rsidRDefault="008E5DE4">
            <w:pPr>
              <w:widowControl w:val="0"/>
              <w:pBdr>
                <w:top w:val="nil"/>
                <w:left w:val="nil"/>
                <w:bottom w:val="nil"/>
                <w:right w:val="nil"/>
                <w:between w:val="nil"/>
              </w:pBdr>
              <w:jc w:val="right"/>
              <w:rPr>
                <w:color w:val="0000FF"/>
              </w:rPr>
            </w:pPr>
          </w:p>
        </w:tc>
      </w:tr>
      <w:tr w:rsidR="008E5DE4" w14:paraId="0C6D6B5D" w14:textId="77777777">
        <w:trPr>
          <w:cantSplit/>
        </w:trPr>
        <w:tc>
          <w:tcPr>
            <w:tcW w:w="3685" w:type="dxa"/>
            <w:vAlign w:val="bottom"/>
          </w:tcPr>
          <w:p w14:paraId="17D021D4" w14:textId="77777777" w:rsidR="008E5DE4" w:rsidRDefault="00780368">
            <w:pPr>
              <w:widowControl w:val="0"/>
              <w:pBdr>
                <w:top w:val="nil"/>
                <w:left w:val="nil"/>
                <w:bottom w:val="nil"/>
                <w:right w:val="nil"/>
                <w:between w:val="nil"/>
              </w:pBdr>
              <w:ind w:left="113" w:right="-57" w:hanging="113"/>
              <w:rPr>
                <w:color w:val="0000FF"/>
              </w:rPr>
            </w:pPr>
            <w:r>
              <w:rPr>
                <w:color w:val="0000FF"/>
              </w:rPr>
              <w:t>Credit loss allowance</w:t>
            </w:r>
          </w:p>
        </w:tc>
        <w:tc>
          <w:tcPr>
            <w:tcW w:w="1134" w:type="dxa"/>
            <w:vAlign w:val="bottom"/>
          </w:tcPr>
          <w:p w14:paraId="26AE726C"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0D6859C0"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747DD49"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B011EC0"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5056E84" w14:textId="77777777" w:rsidR="008E5DE4" w:rsidRDefault="008E5DE4">
            <w:pPr>
              <w:widowControl w:val="0"/>
              <w:pBdr>
                <w:top w:val="nil"/>
                <w:left w:val="nil"/>
                <w:bottom w:val="nil"/>
                <w:right w:val="nil"/>
                <w:between w:val="nil"/>
              </w:pBdr>
              <w:jc w:val="right"/>
              <w:rPr>
                <w:color w:val="0000FF"/>
              </w:rPr>
            </w:pPr>
          </w:p>
        </w:tc>
      </w:tr>
      <w:tr w:rsidR="008E5DE4" w14:paraId="39F5B6A9" w14:textId="77777777">
        <w:trPr>
          <w:cantSplit/>
        </w:trPr>
        <w:tc>
          <w:tcPr>
            <w:tcW w:w="3685" w:type="dxa"/>
            <w:vAlign w:val="bottom"/>
          </w:tcPr>
          <w:p w14:paraId="5CBC851B" w14:textId="77777777" w:rsidR="008E5DE4" w:rsidRDefault="008E5DE4">
            <w:pPr>
              <w:widowControl w:val="0"/>
              <w:pBdr>
                <w:top w:val="nil"/>
                <w:left w:val="nil"/>
                <w:bottom w:val="nil"/>
                <w:right w:val="nil"/>
                <w:between w:val="nil"/>
              </w:pBdr>
              <w:ind w:left="113" w:right="-57" w:hanging="113"/>
              <w:rPr>
                <w:color w:val="0000FF"/>
              </w:rPr>
            </w:pPr>
          </w:p>
        </w:tc>
        <w:tc>
          <w:tcPr>
            <w:tcW w:w="1134" w:type="dxa"/>
            <w:vAlign w:val="bottom"/>
          </w:tcPr>
          <w:p w14:paraId="474B5119"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2F730253"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6A2D069D"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5C63946B"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341AF79" w14:textId="77777777" w:rsidR="008E5DE4" w:rsidRDefault="008E5DE4">
            <w:pPr>
              <w:widowControl w:val="0"/>
              <w:pBdr>
                <w:top w:val="nil"/>
                <w:left w:val="nil"/>
                <w:bottom w:val="nil"/>
                <w:right w:val="nil"/>
                <w:between w:val="nil"/>
              </w:pBdr>
              <w:jc w:val="right"/>
              <w:rPr>
                <w:color w:val="0000FF"/>
              </w:rPr>
            </w:pPr>
          </w:p>
        </w:tc>
      </w:tr>
      <w:tr w:rsidR="008E5DE4" w14:paraId="6BCDF362" w14:textId="77777777">
        <w:trPr>
          <w:cantSplit/>
        </w:trPr>
        <w:tc>
          <w:tcPr>
            <w:tcW w:w="3685" w:type="dxa"/>
            <w:tcBorders>
              <w:top w:val="single" w:sz="4" w:space="0" w:color="000000"/>
            </w:tcBorders>
            <w:vAlign w:val="bottom"/>
          </w:tcPr>
          <w:p w14:paraId="226D350F"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top w:val="single" w:sz="4" w:space="0" w:color="000000"/>
            </w:tcBorders>
            <w:vAlign w:val="bottom"/>
          </w:tcPr>
          <w:p w14:paraId="529934C0"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5A897B58"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674DD7C0"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305AD976" w14:textId="77777777" w:rsidR="008E5DE4" w:rsidRDefault="008E5DE4">
            <w:pPr>
              <w:widowControl w:val="0"/>
              <w:pBdr>
                <w:top w:val="nil"/>
                <w:left w:val="nil"/>
                <w:bottom w:val="nil"/>
                <w:right w:val="nil"/>
                <w:between w:val="nil"/>
              </w:pBdr>
              <w:jc w:val="right"/>
              <w:rPr>
                <w:color w:val="0000FF"/>
              </w:rPr>
            </w:pPr>
          </w:p>
        </w:tc>
        <w:tc>
          <w:tcPr>
            <w:tcW w:w="1134" w:type="dxa"/>
            <w:tcBorders>
              <w:top w:val="single" w:sz="4" w:space="0" w:color="000000"/>
            </w:tcBorders>
            <w:vAlign w:val="bottom"/>
          </w:tcPr>
          <w:p w14:paraId="28554F3F" w14:textId="77777777" w:rsidR="008E5DE4" w:rsidRDefault="008E5DE4">
            <w:pPr>
              <w:widowControl w:val="0"/>
              <w:pBdr>
                <w:top w:val="nil"/>
                <w:left w:val="nil"/>
                <w:bottom w:val="nil"/>
                <w:right w:val="nil"/>
                <w:between w:val="nil"/>
              </w:pBdr>
              <w:jc w:val="right"/>
              <w:rPr>
                <w:color w:val="0000FF"/>
              </w:rPr>
            </w:pPr>
          </w:p>
        </w:tc>
      </w:tr>
      <w:tr w:rsidR="008E5DE4" w14:paraId="61F87609" w14:textId="77777777">
        <w:trPr>
          <w:cantSplit/>
        </w:trPr>
        <w:tc>
          <w:tcPr>
            <w:tcW w:w="3685" w:type="dxa"/>
            <w:vAlign w:val="bottom"/>
          </w:tcPr>
          <w:p w14:paraId="56FEEC17" w14:textId="77777777" w:rsidR="008E5DE4" w:rsidRDefault="00780368">
            <w:pPr>
              <w:widowControl w:val="0"/>
              <w:pBdr>
                <w:top w:val="nil"/>
                <w:left w:val="nil"/>
                <w:bottom w:val="nil"/>
                <w:right w:val="nil"/>
                <w:between w:val="nil"/>
              </w:pBdr>
              <w:ind w:left="113" w:right="-57" w:hanging="113"/>
              <w:rPr>
                <w:b/>
                <w:color w:val="0000FF"/>
              </w:rPr>
            </w:pPr>
            <w:r>
              <w:rPr>
                <w:b/>
                <w:color w:val="0000FF"/>
              </w:rPr>
              <w:t>Carrying amount</w:t>
            </w:r>
          </w:p>
        </w:tc>
        <w:tc>
          <w:tcPr>
            <w:tcW w:w="1134" w:type="dxa"/>
            <w:vAlign w:val="bottom"/>
          </w:tcPr>
          <w:p w14:paraId="0CB40101"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0974440"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762230A0"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18B06130" w14:textId="77777777" w:rsidR="008E5DE4" w:rsidRDefault="008E5DE4">
            <w:pPr>
              <w:widowControl w:val="0"/>
              <w:pBdr>
                <w:top w:val="nil"/>
                <w:left w:val="nil"/>
                <w:bottom w:val="nil"/>
                <w:right w:val="nil"/>
                <w:between w:val="nil"/>
              </w:pBdr>
              <w:jc w:val="right"/>
              <w:rPr>
                <w:color w:val="0000FF"/>
              </w:rPr>
            </w:pPr>
          </w:p>
        </w:tc>
        <w:tc>
          <w:tcPr>
            <w:tcW w:w="1134" w:type="dxa"/>
            <w:vAlign w:val="bottom"/>
          </w:tcPr>
          <w:p w14:paraId="418D3A0A" w14:textId="77777777" w:rsidR="008E5DE4" w:rsidRDefault="008E5DE4">
            <w:pPr>
              <w:widowControl w:val="0"/>
              <w:pBdr>
                <w:top w:val="nil"/>
                <w:left w:val="nil"/>
                <w:bottom w:val="nil"/>
                <w:right w:val="nil"/>
                <w:between w:val="nil"/>
              </w:pBdr>
              <w:jc w:val="right"/>
              <w:rPr>
                <w:color w:val="0000FF"/>
              </w:rPr>
            </w:pPr>
          </w:p>
        </w:tc>
      </w:tr>
      <w:tr w:rsidR="008E5DE4" w14:paraId="04E9E3B2" w14:textId="77777777">
        <w:trPr>
          <w:cantSplit/>
        </w:trPr>
        <w:tc>
          <w:tcPr>
            <w:tcW w:w="3685" w:type="dxa"/>
            <w:tcBorders>
              <w:bottom w:val="single" w:sz="12" w:space="0" w:color="000000"/>
            </w:tcBorders>
            <w:vAlign w:val="bottom"/>
          </w:tcPr>
          <w:p w14:paraId="13D52066" w14:textId="77777777" w:rsidR="008E5DE4" w:rsidRDefault="008E5DE4">
            <w:pPr>
              <w:widowControl w:val="0"/>
              <w:pBdr>
                <w:top w:val="nil"/>
                <w:left w:val="nil"/>
                <w:bottom w:val="nil"/>
                <w:right w:val="nil"/>
                <w:between w:val="nil"/>
              </w:pBdr>
              <w:ind w:left="113" w:right="-57" w:hanging="113"/>
              <w:rPr>
                <w:color w:val="0000FF"/>
              </w:rPr>
            </w:pPr>
          </w:p>
        </w:tc>
        <w:tc>
          <w:tcPr>
            <w:tcW w:w="1134" w:type="dxa"/>
            <w:tcBorders>
              <w:bottom w:val="single" w:sz="12" w:space="0" w:color="000000"/>
            </w:tcBorders>
            <w:vAlign w:val="bottom"/>
          </w:tcPr>
          <w:p w14:paraId="72489675"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12" w:space="0" w:color="000000"/>
            </w:tcBorders>
            <w:vAlign w:val="bottom"/>
          </w:tcPr>
          <w:p w14:paraId="65C1098D"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12" w:space="0" w:color="000000"/>
            </w:tcBorders>
            <w:vAlign w:val="bottom"/>
          </w:tcPr>
          <w:p w14:paraId="39985A96"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12" w:space="0" w:color="000000"/>
            </w:tcBorders>
            <w:vAlign w:val="bottom"/>
          </w:tcPr>
          <w:p w14:paraId="24D809B4" w14:textId="77777777" w:rsidR="008E5DE4" w:rsidRDefault="008E5DE4">
            <w:pPr>
              <w:widowControl w:val="0"/>
              <w:pBdr>
                <w:top w:val="nil"/>
                <w:left w:val="nil"/>
                <w:bottom w:val="nil"/>
                <w:right w:val="nil"/>
                <w:between w:val="nil"/>
              </w:pBdr>
              <w:jc w:val="right"/>
              <w:rPr>
                <w:color w:val="0000FF"/>
              </w:rPr>
            </w:pPr>
          </w:p>
        </w:tc>
        <w:tc>
          <w:tcPr>
            <w:tcW w:w="1134" w:type="dxa"/>
            <w:tcBorders>
              <w:bottom w:val="single" w:sz="12" w:space="0" w:color="000000"/>
            </w:tcBorders>
            <w:vAlign w:val="bottom"/>
          </w:tcPr>
          <w:p w14:paraId="0EF916BC" w14:textId="77777777" w:rsidR="008E5DE4" w:rsidRDefault="008E5DE4">
            <w:pPr>
              <w:widowControl w:val="0"/>
              <w:pBdr>
                <w:top w:val="nil"/>
                <w:left w:val="nil"/>
                <w:bottom w:val="nil"/>
                <w:right w:val="nil"/>
                <w:between w:val="nil"/>
              </w:pBdr>
              <w:jc w:val="right"/>
              <w:rPr>
                <w:color w:val="0000FF"/>
              </w:rPr>
            </w:pPr>
          </w:p>
        </w:tc>
      </w:tr>
    </w:tbl>
    <w:p w14:paraId="1BD0DC63" w14:textId="77777777" w:rsidR="008E5DE4" w:rsidRDefault="008E5DE4">
      <w:pPr>
        <w:widowControl w:val="0"/>
        <w:pBdr>
          <w:top w:val="nil"/>
          <w:left w:val="nil"/>
          <w:bottom w:val="nil"/>
          <w:right w:val="nil"/>
          <w:between w:val="nil"/>
        </w:pBdr>
        <w:spacing w:before="200" w:after="200"/>
        <w:jc w:val="both"/>
        <w:rPr>
          <w:i/>
          <w:color w:val="0000FF"/>
          <w:sz w:val="20"/>
          <w:szCs w:val="20"/>
        </w:rPr>
      </w:pPr>
    </w:p>
    <w:p w14:paraId="36A388B3" w14:textId="77777777" w:rsidR="008E5DE4" w:rsidRDefault="008E5DE4">
      <w:pPr>
        <w:widowControl w:val="0"/>
        <w:pBdr>
          <w:top w:val="nil"/>
          <w:left w:val="nil"/>
          <w:bottom w:val="nil"/>
          <w:right w:val="nil"/>
          <w:between w:val="nil"/>
        </w:pBdr>
        <w:spacing w:before="200" w:after="200"/>
        <w:jc w:val="both"/>
        <w:rPr>
          <w:color w:val="0000FF"/>
          <w:sz w:val="20"/>
          <w:szCs w:val="20"/>
        </w:rPr>
      </w:pPr>
    </w:p>
    <w:p w14:paraId="3AC0007D"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15</w:t>
      </w:r>
      <w:r>
        <w:rPr>
          <w:b/>
          <w:color w:val="000000"/>
          <w:sz w:val="20"/>
          <w:szCs w:val="20"/>
        </w:rPr>
        <w:tab/>
        <w:t>Finance Lease Receivables (Continued)</w:t>
      </w:r>
    </w:p>
    <w:p w14:paraId="72DF7D7E" w14:textId="3FE2B415"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Movements in the credit loss allowance and in the gross amortised cost amount of finance lease receivables in </w:t>
      </w:r>
      <w:r w:rsidR="008614F8">
        <w:rPr>
          <w:color w:val="0000FF"/>
          <w:sz w:val="20"/>
          <w:szCs w:val="20"/>
        </w:rPr>
        <w:t>2025</w:t>
      </w:r>
      <w:r>
        <w:rPr>
          <w:color w:val="0000FF"/>
          <w:sz w:val="20"/>
          <w:szCs w:val="20"/>
        </w:rPr>
        <w:t xml:space="preserve"> were as follows. </w:t>
      </w:r>
    </w:p>
    <w:tbl>
      <w:tblPr>
        <w:tblStyle w:val="affff1"/>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5F05B8DE" w14:textId="77777777">
        <w:trPr>
          <w:cantSplit/>
          <w:trHeight w:val="169"/>
          <w:tblHeader/>
        </w:trPr>
        <w:tc>
          <w:tcPr>
            <w:tcW w:w="3061" w:type="dxa"/>
            <w:vAlign w:val="bottom"/>
          </w:tcPr>
          <w:p w14:paraId="02DE52EC" w14:textId="77777777" w:rsidR="008E5DE4" w:rsidRDefault="008E5DE4">
            <w:pPr>
              <w:widowControl w:val="0"/>
              <w:pBdr>
                <w:top w:val="nil"/>
                <w:left w:val="nil"/>
                <w:bottom w:val="nil"/>
                <w:right w:val="nil"/>
                <w:between w:val="nil"/>
              </w:pBdr>
              <w:ind w:left="113" w:right="-57" w:hanging="113"/>
              <w:rPr>
                <w:i/>
                <w:color w:val="0000FF"/>
              </w:rPr>
            </w:pPr>
          </w:p>
        </w:tc>
        <w:tc>
          <w:tcPr>
            <w:tcW w:w="3156" w:type="dxa"/>
            <w:gridSpan w:val="4"/>
            <w:tcBorders>
              <w:bottom w:val="single" w:sz="4" w:space="0" w:color="000000"/>
            </w:tcBorders>
          </w:tcPr>
          <w:p w14:paraId="261FDCDC" w14:textId="77777777" w:rsidR="008E5DE4" w:rsidRDefault="00780368">
            <w:pPr>
              <w:widowControl w:val="0"/>
              <w:pBdr>
                <w:top w:val="nil"/>
                <w:left w:val="nil"/>
                <w:bottom w:val="nil"/>
                <w:right w:val="nil"/>
                <w:between w:val="nil"/>
              </w:pBdr>
              <w:tabs>
                <w:tab w:val="left" w:pos="3182"/>
              </w:tabs>
              <w:ind w:left="-113"/>
              <w:jc w:val="center"/>
              <w:rPr>
                <w:b/>
                <w:color w:val="0000FF"/>
              </w:rPr>
            </w:pPr>
            <w:r>
              <w:rPr>
                <w:b/>
                <w:color w:val="0000FF"/>
              </w:rPr>
              <w:t>Credit loss allowance</w:t>
            </w:r>
          </w:p>
        </w:tc>
        <w:tc>
          <w:tcPr>
            <w:tcW w:w="3156" w:type="dxa"/>
            <w:gridSpan w:val="4"/>
            <w:tcBorders>
              <w:bottom w:val="single" w:sz="4" w:space="0" w:color="000000"/>
            </w:tcBorders>
          </w:tcPr>
          <w:p w14:paraId="2F68B573" w14:textId="77777777" w:rsidR="008E5DE4" w:rsidRDefault="00780368">
            <w:pPr>
              <w:widowControl w:val="0"/>
              <w:pBdr>
                <w:top w:val="nil"/>
                <w:left w:val="nil"/>
                <w:bottom w:val="nil"/>
                <w:right w:val="nil"/>
                <w:between w:val="nil"/>
              </w:pBdr>
              <w:ind w:left="-113"/>
              <w:jc w:val="center"/>
              <w:rPr>
                <w:b/>
                <w:color w:val="0000FF"/>
              </w:rPr>
            </w:pPr>
            <w:r>
              <w:rPr>
                <w:b/>
                <w:color w:val="0000FF"/>
              </w:rPr>
              <w:t>Gross carrying amount</w:t>
            </w:r>
          </w:p>
        </w:tc>
      </w:tr>
      <w:tr w:rsidR="008E5DE4" w14:paraId="34D72F4C" w14:textId="77777777">
        <w:trPr>
          <w:cantSplit/>
          <w:trHeight w:val="507"/>
          <w:tblHeader/>
        </w:trPr>
        <w:tc>
          <w:tcPr>
            <w:tcW w:w="3061" w:type="dxa"/>
            <w:tcBorders>
              <w:bottom w:val="single" w:sz="4" w:space="0" w:color="000000"/>
            </w:tcBorders>
            <w:vAlign w:val="bottom"/>
          </w:tcPr>
          <w:p w14:paraId="79921069" w14:textId="77777777" w:rsidR="008E5DE4" w:rsidRDefault="008E5DE4">
            <w:pPr>
              <w:widowControl w:val="0"/>
              <w:pBdr>
                <w:top w:val="nil"/>
                <w:left w:val="nil"/>
                <w:bottom w:val="nil"/>
                <w:right w:val="nil"/>
                <w:between w:val="nil"/>
              </w:pBdr>
              <w:ind w:left="113" w:right="-57" w:hanging="113"/>
              <w:rPr>
                <w:i/>
                <w:color w:val="0000FF"/>
              </w:rPr>
            </w:pPr>
          </w:p>
          <w:p w14:paraId="738C7E55" w14:textId="77777777" w:rsidR="008E5DE4" w:rsidRDefault="00780368">
            <w:pPr>
              <w:widowControl w:val="0"/>
              <w:pBdr>
                <w:top w:val="nil"/>
                <w:left w:val="nil"/>
                <w:bottom w:val="nil"/>
                <w:right w:val="nil"/>
                <w:between w:val="nil"/>
              </w:pBdr>
              <w:ind w:left="113" w:right="-57" w:hanging="113"/>
              <w:rPr>
                <w:b/>
                <w:i/>
                <w:color w:val="0000FF"/>
              </w:rPr>
            </w:pPr>
            <w:r>
              <w:rPr>
                <w:i/>
                <w:color w:val="0000FF"/>
              </w:rPr>
              <w:t>In thousands of EUR</w:t>
            </w:r>
          </w:p>
        </w:tc>
        <w:tc>
          <w:tcPr>
            <w:tcW w:w="851" w:type="dxa"/>
            <w:tcBorders>
              <w:top w:val="single" w:sz="4" w:space="0" w:color="000000"/>
              <w:bottom w:val="single" w:sz="4" w:space="0" w:color="000000"/>
            </w:tcBorders>
          </w:tcPr>
          <w:p w14:paraId="6FD77C2F" w14:textId="77777777" w:rsidR="008E5DE4" w:rsidRDefault="00780368">
            <w:pPr>
              <w:widowControl w:val="0"/>
              <w:pBdr>
                <w:top w:val="nil"/>
                <w:left w:val="nil"/>
                <w:bottom w:val="nil"/>
                <w:right w:val="nil"/>
                <w:between w:val="nil"/>
              </w:pBdr>
              <w:ind w:left="-113"/>
              <w:jc w:val="right"/>
              <w:rPr>
                <w:b/>
                <w:color w:val="0000FF"/>
              </w:rPr>
            </w:pPr>
            <w:r>
              <w:rPr>
                <w:b/>
                <w:color w:val="0000FF"/>
              </w:rPr>
              <w:t>Stage 1</w:t>
            </w:r>
          </w:p>
          <w:p w14:paraId="38C41A46" w14:textId="77777777" w:rsidR="008E5DE4" w:rsidRDefault="00780368">
            <w:pPr>
              <w:widowControl w:val="0"/>
              <w:pBdr>
                <w:top w:val="nil"/>
                <w:left w:val="nil"/>
                <w:bottom w:val="nil"/>
                <w:right w:val="nil"/>
                <w:between w:val="nil"/>
              </w:pBdr>
              <w:ind w:left="-255" w:firstLine="142"/>
              <w:jc w:val="right"/>
              <w:rPr>
                <w:b/>
                <w:color w:val="0000FF"/>
              </w:rPr>
            </w:pPr>
            <w:r>
              <w:rPr>
                <w:b/>
                <w:color w:val="0000FF"/>
              </w:rPr>
              <w:t>(12-months ECL)</w:t>
            </w:r>
          </w:p>
        </w:tc>
        <w:tc>
          <w:tcPr>
            <w:tcW w:w="878" w:type="dxa"/>
            <w:tcBorders>
              <w:top w:val="single" w:sz="4" w:space="0" w:color="000000"/>
              <w:bottom w:val="single" w:sz="4" w:space="0" w:color="000000"/>
            </w:tcBorders>
          </w:tcPr>
          <w:p w14:paraId="5630CB5E" w14:textId="77777777" w:rsidR="008E5DE4" w:rsidRDefault="00780368">
            <w:pPr>
              <w:widowControl w:val="0"/>
              <w:pBdr>
                <w:top w:val="nil"/>
                <w:left w:val="nil"/>
                <w:bottom w:val="nil"/>
                <w:right w:val="nil"/>
                <w:between w:val="nil"/>
              </w:pBdr>
              <w:ind w:left="-113"/>
              <w:jc w:val="right"/>
              <w:rPr>
                <w:b/>
                <w:color w:val="0000FF"/>
              </w:rPr>
            </w:pPr>
            <w:r>
              <w:rPr>
                <w:b/>
                <w:color w:val="0000FF"/>
              </w:rPr>
              <w:t>Stage 2</w:t>
            </w:r>
          </w:p>
          <w:p w14:paraId="28F6AA1E" w14:textId="77777777" w:rsidR="008E5DE4" w:rsidRDefault="00780368">
            <w:pPr>
              <w:widowControl w:val="0"/>
              <w:pBdr>
                <w:top w:val="nil"/>
                <w:left w:val="nil"/>
                <w:bottom w:val="nil"/>
                <w:right w:val="nil"/>
                <w:between w:val="nil"/>
              </w:pBdr>
              <w:ind w:left="-113"/>
              <w:jc w:val="right"/>
              <w:rPr>
                <w:b/>
                <w:color w:val="0000FF"/>
              </w:rPr>
            </w:pPr>
            <w:r>
              <w:rPr>
                <w:b/>
                <w:color w:val="0000FF"/>
              </w:rPr>
              <w:t xml:space="preserve">(lifetime ECL for SICR) </w:t>
            </w:r>
          </w:p>
        </w:tc>
        <w:tc>
          <w:tcPr>
            <w:tcW w:w="856" w:type="dxa"/>
            <w:tcBorders>
              <w:top w:val="single" w:sz="4" w:space="0" w:color="000000"/>
              <w:bottom w:val="single" w:sz="4" w:space="0" w:color="000000"/>
            </w:tcBorders>
          </w:tcPr>
          <w:p w14:paraId="19E919FE" w14:textId="77777777" w:rsidR="008E5DE4" w:rsidRDefault="00780368">
            <w:pPr>
              <w:widowControl w:val="0"/>
              <w:pBdr>
                <w:top w:val="nil"/>
                <w:left w:val="nil"/>
                <w:bottom w:val="nil"/>
                <w:right w:val="nil"/>
                <w:between w:val="nil"/>
              </w:pBdr>
              <w:ind w:left="-113"/>
              <w:jc w:val="right"/>
              <w:rPr>
                <w:b/>
                <w:color w:val="0000FF"/>
              </w:rPr>
            </w:pPr>
            <w:r>
              <w:rPr>
                <w:b/>
                <w:color w:val="0000FF"/>
              </w:rPr>
              <w:t>Stage 3</w:t>
            </w:r>
          </w:p>
          <w:p w14:paraId="1E96D7A1" w14:textId="77777777" w:rsidR="008E5DE4" w:rsidRDefault="00780368">
            <w:pPr>
              <w:widowControl w:val="0"/>
              <w:pBdr>
                <w:top w:val="nil"/>
                <w:left w:val="nil"/>
                <w:bottom w:val="nil"/>
                <w:right w:val="nil"/>
                <w:between w:val="nil"/>
              </w:pBdr>
              <w:ind w:left="-113"/>
              <w:jc w:val="right"/>
              <w:rPr>
                <w:b/>
                <w:color w:val="0000FF"/>
              </w:rPr>
            </w:pPr>
            <w:r>
              <w:rPr>
                <w:b/>
                <w:color w:val="0000FF"/>
              </w:rPr>
              <w:t>(lifetime ECL for credit im-paired)</w:t>
            </w:r>
          </w:p>
        </w:tc>
        <w:tc>
          <w:tcPr>
            <w:tcW w:w="571" w:type="dxa"/>
            <w:tcBorders>
              <w:top w:val="single" w:sz="4" w:space="0" w:color="000000"/>
              <w:bottom w:val="single" w:sz="4" w:space="0" w:color="000000"/>
            </w:tcBorders>
          </w:tcPr>
          <w:p w14:paraId="1BDAF15D" w14:textId="77777777" w:rsidR="008E5DE4" w:rsidRDefault="00780368">
            <w:pPr>
              <w:widowControl w:val="0"/>
              <w:pBdr>
                <w:top w:val="nil"/>
                <w:left w:val="nil"/>
                <w:bottom w:val="nil"/>
                <w:right w:val="nil"/>
                <w:between w:val="nil"/>
              </w:pBdr>
              <w:ind w:left="-113"/>
              <w:jc w:val="right"/>
              <w:rPr>
                <w:b/>
                <w:color w:val="0000FF"/>
              </w:rPr>
            </w:pPr>
            <w:r>
              <w:rPr>
                <w:b/>
                <w:color w:val="0000FF"/>
              </w:rPr>
              <w:t>Total</w:t>
            </w:r>
          </w:p>
        </w:tc>
        <w:tc>
          <w:tcPr>
            <w:tcW w:w="871" w:type="dxa"/>
            <w:tcBorders>
              <w:top w:val="single" w:sz="4" w:space="0" w:color="000000"/>
              <w:bottom w:val="single" w:sz="4" w:space="0" w:color="000000"/>
            </w:tcBorders>
          </w:tcPr>
          <w:p w14:paraId="396A4744" w14:textId="77777777" w:rsidR="008E5DE4" w:rsidRDefault="00780368">
            <w:pPr>
              <w:widowControl w:val="0"/>
              <w:pBdr>
                <w:top w:val="nil"/>
                <w:left w:val="nil"/>
                <w:bottom w:val="nil"/>
                <w:right w:val="nil"/>
                <w:between w:val="nil"/>
              </w:pBdr>
              <w:ind w:left="-113"/>
              <w:jc w:val="right"/>
              <w:rPr>
                <w:b/>
                <w:color w:val="0000FF"/>
              </w:rPr>
            </w:pPr>
            <w:r>
              <w:rPr>
                <w:b/>
                <w:color w:val="0000FF"/>
              </w:rPr>
              <w:t>Stage 1</w:t>
            </w:r>
          </w:p>
          <w:p w14:paraId="3D3CC44F" w14:textId="77777777" w:rsidR="008E5DE4" w:rsidRDefault="00780368">
            <w:pPr>
              <w:widowControl w:val="0"/>
              <w:pBdr>
                <w:top w:val="nil"/>
                <w:left w:val="nil"/>
                <w:bottom w:val="nil"/>
                <w:right w:val="nil"/>
                <w:between w:val="nil"/>
              </w:pBdr>
              <w:ind w:left="-113"/>
              <w:jc w:val="right"/>
              <w:rPr>
                <w:b/>
                <w:color w:val="0000FF"/>
              </w:rPr>
            </w:pPr>
            <w:r>
              <w:rPr>
                <w:b/>
                <w:color w:val="0000FF"/>
              </w:rPr>
              <w:t>(12-months ECL)</w:t>
            </w:r>
          </w:p>
        </w:tc>
        <w:tc>
          <w:tcPr>
            <w:tcW w:w="856" w:type="dxa"/>
            <w:tcBorders>
              <w:top w:val="single" w:sz="4" w:space="0" w:color="000000"/>
              <w:bottom w:val="single" w:sz="4" w:space="0" w:color="000000"/>
            </w:tcBorders>
          </w:tcPr>
          <w:p w14:paraId="5F43E4E9" w14:textId="77777777" w:rsidR="008E5DE4" w:rsidRDefault="00780368">
            <w:pPr>
              <w:widowControl w:val="0"/>
              <w:pBdr>
                <w:top w:val="nil"/>
                <w:left w:val="nil"/>
                <w:bottom w:val="nil"/>
                <w:right w:val="nil"/>
                <w:between w:val="nil"/>
              </w:pBdr>
              <w:ind w:left="-113"/>
              <w:jc w:val="right"/>
              <w:rPr>
                <w:b/>
                <w:color w:val="0000FF"/>
              </w:rPr>
            </w:pPr>
            <w:r>
              <w:rPr>
                <w:b/>
                <w:color w:val="0000FF"/>
              </w:rPr>
              <w:t>Stage 2</w:t>
            </w:r>
          </w:p>
          <w:p w14:paraId="4AB1B328" w14:textId="77777777" w:rsidR="008E5DE4" w:rsidRDefault="00780368">
            <w:pPr>
              <w:widowControl w:val="0"/>
              <w:pBdr>
                <w:top w:val="nil"/>
                <w:left w:val="nil"/>
                <w:bottom w:val="nil"/>
                <w:right w:val="nil"/>
                <w:between w:val="nil"/>
              </w:pBdr>
              <w:ind w:left="-113"/>
              <w:jc w:val="right"/>
              <w:rPr>
                <w:b/>
                <w:color w:val="0000FF"/>
              </w:rPr>
            </w:pPr>
            <w:r>
              <w:rPr>
                <w:b/>
                <w:color w:val="0000FF"/>
              </w:rPr>
              <w:t xml:space="preserve">(lifetime ECL for SICR) </w:t>
            </w:r>
          </w:p>
        </w:tc>
        <w:tc>
          <w:tcPr>
            <w:tcW w:w="856" w:type="dxa"/>
            <w:tcBorders>
              <w:top w:val="single" w:sz="4" w:space="0" w:color="000000"/>
              <w:bottom w:val="single" w:sz="4" w:space="0" w:color="000000"/>
            </w:tcBorders>
          </w:tcPr>
          <w:p w14:paraId="1E32F0AE" w14:textId="77777777" w:rsidR="008E5DE4" w:rsidRDefault="00780368">
            <w:pPr>
              <w:widowControl w:val="0"/>
              <w:pBdr>
                <w:top w:val="nil"/>
                <w:left w:val="nil"/>
                <w:bottom w:val="nil"/>
                <w:right w:val="nil"/>
                <w:between w:val="nil"/>
              </w:pBdr>
              <w:ind w:left="-113"/>
              <w:jc w:val="right"/>
              <w:rPr>
                <w:b/>
                <w:color w:val="0000FF"/>
              </w:rPr>
            </w:pPr>
            <w:r>
              <w:rPr>
                <w:b/>
                <w:color w:val="0000FF"/>
              </w:rPr>
              <w:t>Stage 3</w:t>
            </w:r>
          </w:p>
          <w:p w14:paraId="23481350" w14:textId="77777777" w:rsidR="008E5DE4" w:rsidRDefault="00780368">
            <w:pPr>
              <w:widowControl w:val="0"/>
              <w:pBdr>
                <w:top w:val="nil"/>
                <w:left w:val="nil"/>
                <w:bottom w:val="nil"/>
                <w:right w:val="nil"/>
                <w:between w:val="nil"/>
              </w:pBdr>
              <w:ind w:left="-113"/>
              <w:jc w:val="right"/>
              <w:rPr>
                <w:b/>
                <w:color w:val="0000FF"/>
              </w:rPr>
            </w:pPr>
            <w:r>
              <w:rPr>
                <w:b/>
                <w:color w:val="0000FF"/>
              </w:rPr>
              <w:t>(lifetime ECL for credit im-paired)</w:t>
            </w:r>
          </w:p>
        </w:tc>
        <w:tc>
          <w:tcPr>
            <w:tcW w:w="573" w:type="dxa"/>
            <w:tcBorders>
              <w:top w:val="single" w:sz="4" w:space="0" w:color="000000"/>
              <w:bottom w:val="single" w:sz="4" w:space="0" w:color="000000"/>
            </w:tcBorders>
          </w:tcPr>
          <w:p w14:paraId="1F199E36" w14:textId="77777777" w:rsidR="008E5DE4" w:rsidRDefault="00780368">
            <w:pPr>
              <w:widowControl w:val="0"/>
              <w:pBdr>
                <w:top w:val="nil"/>
                <w:left w:val="nil"/>
                <w:bottom w:val="nil"/>
                <w:right w:val="nil"/>
                <w:between w:val="nil"/>
              </w:pBdr>
              <w:ind w:left="-113"/>
              <w:jc w:val="right"/>
              <w:rPr>
                <w:b/>
                <w:color w:val="0000FF"/>
              </w:rPr>
            </w:pPr>
            <w:r>
              <w:rPr>
                <w:b/>
                <w:color w:val="0000FF"/>
              </w:rPr>
              <w:t>Total</w:t>
            </w:r>
          </w:p>
        </w:tc>
      </w:tr>
      <w:tr w:rsidR="008E5DE4" w14:paraId="713C2DCF" w14:textId="77777777">
        <w:trPr>
          <w:cantSplit/>
          <w:trHeight w:val="169"/>
          <w:tblHeader/>
        </w:trPr>
        <w:tc>
          <w:tcPr>
            <w:tcW w:w="3061" w:type="dxa"/>
            <w:vAlign w:val="bottom"/>
          </w:tcPr>
          <w:p w14:paraId="3E3E3A7F" w14:textId="77777777" w:rsidR="008E5DE4" w:rsidRDefault="00780368">
            <w:pPr>
              <w:widowControl w:val="0"/>
              <w:ind w:left="113" w:right="-57" w:hanging="113"/>
              <w:rPr>
                <w:color w:val="0000FF"/>
              </w:rPr>
            </w:pPr>
            <w:r>
              <w:rPr>
                <w:b/>
                <w:color w:val="0000FF"/>
              </w:rPr>
              <w:t> </w:t>
            </w:r>
          </w:p>
        </w:tc>
        <w:tc>
          <w:tcPr>
            <w:tcW w:w="851" w:type="dxa"/>
            <w:vAlign w:val="bottom"/>
          </w:tcPr>
          <w:p w14:paraId="7456E357" w14:textId="77777777" w:rsidR="008E5DE4" w:rsidRDefault="008E5DE4">
            <w:pPr>
              <w:widowControl w:val="0"/>
              <w:pBdr>
                <w:top w:val="nil"/>
                <w:left w:val="nil"/>
                <w:bottom w:val="nil"/>
                <w:right w:val="nil"/>
                <w:between w:val="nil"/>
              </w:pBdr>
              <w:jc w:val="right"/>
              <w:rPr>
                <w:color w:val="0000FF"/>
              </w:rPr>
            </w:pPr>
          </w:p>
        </w:tc>
        <w:tc>
          <w:tcPr>
            <w:tcW w:w="878" w:type="dxa"/>
            <w:tcBorders>
              <w:top w:val="single" w:sz="4" w:space="0" w:color="000000"/>
            </w:tcBorders>
            <w:vAlign w:val="bottom"/>
          </w:tcPr>
          <w:p w14:paraId="445C6C34"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28AFDA70" w14:textId="77777777" w:rsidR="008E5DE4" w:rsidRDefault="008E5DE4">
            <w:pPr>
              <w:widowControl w:val="0"/>
              <w:pBdr>
                <w:top w:val="nil"/>
                <w:left w:val="nil"/>
                <w:bottom w:val="nil"/>
                <w:right w:val="nil"/>
                <w:between w:val="nil"/>
              </w:pBdr>
              <w:jc w:val="right"/>
              <w:rPr>
                <w:color w:val="0000FF"/>
              </w:rPr>
            </w:pPr>
          </w:p>
        </w:tc>
        <w:tc>
          <w:tcPr>
            <w:tcW w:w="571" w:type="dxa"/>
            <w:tcBorders>
              <w:top w:val="single" w:sz="4" w:space="0" w:color="000000"/>
            </w:tcBorders>
            <w:vAlign w:val="bottom"/>
          </w:tcPr>
          <w:p w14:paraId="7D5BC277" w14:textId="77777777" w:rsidR="008E5DE4" w:rsidRDefault="008E5DE4">
            <w:pPr>
              <w:widowControl w:val="0"/>
              <w:pBdr>
                <w:top w:val="nil"/>
                <w:left w:val="nil"/>
                <w:bottom w:val="nil"/>
                <w:right w:val="nil"/>
                <w:between w:val="nil"/>
              </w:pBdr>
              <w:jc w:val="right"/>
              <w:rPr>
                <w:color w:val="0000FF"/>
              </w:rPr>
            </w:pPr>
          </w:p>
        </w:tc>
        <w:tc>
          <w:tcPr>
            <w:tcW w:w="871" w:type="dxa"/>
          </w:tcPr>
          <w:p w14:paraId="44404FE2" w14:textId="77777777" w:rsidR="008E5DE4" w:rsidRDefault="008E5DE4">
            <w:pPr>
              <w:widowControl w:val="0"/>
              <w:pBdr>
                <w:top w:val="nil"/>
                <w:left w:val="nil"/>
                <w:bottom w:val="nil"/>
                <w:right w:val="nil"/>
                <w:between w:val="nil"/>
              </w:pBdr>
              <w:jc w:val="right"/>
              <w:rPr>
                <w:color w:val="0000FF"/>
              </w:rPr>
            </w:pPr>
          </w:p>
        </w:tc>
        <w:tc>
          <w:tcPr>
            <w:tcW w:w="856" w:type="dxa"/>
          </w:tcPr>
          <w:p w14:paraId="7245664B" w14:textId="77777777" w:rsidR="008E5DE4" w:rsidRDefault="008E5DE4">
            <w:pPr>
              <w:widowControl w:val="0"/>
              <w:pBdr>
                <w:top w:val="nil"/>
                <w:left w:val="nil"/>
                <w:bottom w:val="nil"/>
                <w:right w:val="nil"/>
                <w:between w:val="nil"/>
              </w:pBdr>
              <w:jc w:val="right"/>
              <w:rPr>
                <w:color w:val="0000FF"/>
              </w:rPr>
            </w:pPr>
          </w:p>
        </w:tc>
        <w:tc>
          <w:tcPr>
            <w:tcW w:w="856" w:type="dxa"/>
          </w:tcPr>
          <w:p w14:paraId="6B72393D"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180ACBE1" w14:textId="77777777" w:rsidR="008E5DE4" w:rsidRDefault="008E5DE4">
            <w:pPr>
              <w:widowControl w:val="0"/>
              <w:pBdr>
                <w:top w:val="nil"/>
                <w:left w:val="nil"/>
                <w:bottom w:val="nil"/>
                <w:right w:val="nil"/>
                <w:between w:val="nil"/>
              </w:pBdr>
              <w:jc w:val="right"/>
              <w:rPr>
                <w:color w:val="0000FF"/>
              </w:rPr>
            </w:pPr>
          </w:p>
        </w:tc>
      </w:tr>
      <w:tr w:rsidR="008E5DE4" w14:paraId="581D187F" w14:textId="77777777">
        <w:trPr>
          <w:cantSplit/>
          <w:trHeight w:val="169"/>
        </w:trPr>
        <w:tc>
          <w:tcPr>
            <w:tcW w:w="3061" w:type="dxa"/>
            <w:vAlign w:val="bottom"/>
          </w:tcPr>
          <w:p w14:paraId="2CB64B72"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Finance lease receivables</w:t>
            </w:r>
          </w:p>
        </w:tc>
        <w:tc>
          <w:tcPr>
            <w:tcW w:w="851" w:type="dxa"/>
            <w:vAlign w:val="bottom"/>
          </w:tcPr>
          <w:p w14:paraId="687927F5"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0AFED027"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C841C17"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233699D7" w14:textId="77777777" w:rsidR="008E5DE4" w:rsidRDefault="008E5DE4">
            <w:pPr>
              <w:widowControl w:val="0"/>
              <w:pBdr>
                <w:top w:val="nil"/>
                <w:left w:val="nil"/>
                <w:bottom w:val="nil"/>
                <w:right w:val="nil"/>
                <w:between w:val="nil"/>
              </w:pBdr>
              <w:jc w:val="right"/>
              <w:rPr>
                <w:color w:val="0000FF"/>
              </w:rPr>
            </w:pPr>
          </w:p>
        </w:tc>
        <w:tc>
          <w:tcPr>
            <w:tcW w:w="871" w:type="dxa"/>
          </w:tcPr>
          <w:p w14:paraId="00B88DC6" w14:textId="77777777" w:rsidR="008E5DE4" w:rsidRDefault="008E5DE4">
            <w:pPr>
              <w:widowControl w:val="0"/>
              <w:pBdr>
                <w:top w:val="nil"/>
                <w:left w:val="nil"/>
                <w:bottom w:val="nil"/>
                <w:right w:val="nil"/>
                <w:between w:val="nil"/>
              </w:pBdr>
              <w:jc w:val="right"/>
              <w:rPr>
                <w:color w:val="0000FF"/>
              </w:rPr>
            </w:pPr>
          </w:p>
        </w:tc>
        <w:tc>
          <w:tcPr>
            <w:tcW w:w="856" w:type="dxa"/>
          </w:tcPr>
          <w:p w14:paraId="43238F0A" w14:textId="77777777" w:rsidR="008E5DE4" w:rsidRDefault="008E5DE4">
            <w:pPr>
              <w:widowControl w:val="0"/>
              <w:pBdr>
                <w:top w:val="nil"/>
                <w:left w:val="nil"/>
                <w:bottom w:val="nil"/>
                <w:right w:val="nil"/>
                <w:between w:val="nil"/>
              </w:pBdr>
              <w:jc w:val="right"/>
              <w:rPr>
                <w:color w:val="0000FF"/>
              </w:rPr>
            </w:pPr>
          </w:p>
        </w:tc>
        <w:tc>
          <w:tcPr>
            <w:tcW w:w="856" w:type="dxa"/>
          </w:tcPr>
          <w:p w14:paraId="46334F9F"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398255A9" w14:textId="77777777" w:rsidR="008E5DE4" w:rsidRDefault="008E5DE4">
            <w:pPr>
              <w:widowControl w:val="0"/>
              <w:pBdr>
                <w:top w:val="nil"/>
                <w:left w:val="nil"/>
                <w:bottom w:val="nil"/>
                <w:right w:val="nil"/>
                <w:between w:val="nil"/>
              </w:pBdr>
              <w:jc w:val="right"/>
              <w:rPr>
                <w:color w:val="0000FF"/>
              </w:rPr>
            </w:pPr>
          </w:p>
        </w:tc>
      </w:tr>
      <w:tr w:rsidR="008E5DE4" w14:paraId="6B945AE4" w14:textId="77777777">
        <w:trPr>
          <w:cantSplit/>
          <w:trHeight w:val="169"/>
        </w:trPr>
        <w:tc>
          <w:tcPr>
            <w:tcW w:w="3061" w:type="dxa"/>
            <w:vAlign w:val="bottom"/>
          </w:tcPr>
          <w:p w14:paraId="6F41B3C0" w14:textId="77777777" w:rsidR="008E5DE4" w:rsidRDefault="00780368">
            <w:pPr>
              <w:widowControl w:val="0"/>
              <w:pBdr>
                <w:top w:val="nil"/>
                <w:left w:val="nil"/>
                <w:bottom w:val="nil"/>
                <w:right w:val="nil"/>
                <w:between w:val="nil"/>
              </w:pBdr>
              <w:ind w:left="113" w:right="-57" w:hanging="113"/>
              <w:rPr>
                <w:b/>
                <w:i/>
                <w:color w:val="0000FF"/>
              </w:rPr>
            </w:pPr>
            <w:r>
              <w:rPr>
                <w:color w:val="0000FF"/>
              </w:rPr>
              <w:t> </w:t>
            </w:r>
          </w:p>
        </w:tc>
        <w:tc>
          <w:tcPr>
            <w:tcW w:w="851" w:type="dxa"/>
            <w:vAlign w:val="bottom"/>
          </w:tcPr>
          <w:p w14:paraId="4699B101"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11284EB4"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526012FA"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4AC4D484" w14:textId="77777777" w:rsidR="008E5DE4" w:rsidRDefault="008E5DE4">
            <w:pPr>
              <w:widowControl w:val="0"/>
              <w:pBdr>
                <w:top w:val="nil"/>
                <w:left w:val="nil"/>
                <w:bottom w:val="nil"/>
                <w:right w:val="nil"/>
                <w:between w:val="nil"/>
              </w:pBdr>
              <w:jc w:val="right"/>
              <w:rPr>
                <w:color w:val="0000FF"/>
              </w:rPr>
            </w:pPr>
          </w:p>
        </w:tc>
        <w:tc>
          <w:tcPr>
            <w:tcW w:w="871" w:type="dxa"/>
          </w:tcPr>
          <w:p w14:paraId="7C19A1AB" w14:textId="77777777" w:rsidR="008E5DE4" w:rsidRDefault="008E5DE4">
            <w:pPr>
              <w:widowControl w:val="0"/>
              <w:pBdr>
                <w:top w:val="nil"/>
                <w:left w:val="nil"/>
                <w:bottom w:val="nil"/>
                <w:right w:val="nil"/>
                <w:between w:val="nil"/>
              </w:pBdr>
              <w:jc w:val="right"/>
              <w:rPr>
                <w:color w:val="0000FF"/>
              </w:rPr>
            </w:pPr>
          </w:p>
        </w:tc>
        <w:tc>
          <w:tcPr>
            <w:tcW w:w="856" w:type="dxa"/>
          </w:tcPr>
          <w:p w14:paraId="7E5C1587" w14:textId="77777777" w:rsidR="008E5DE4" w:rsidRDefault="008E5DE4">
            <w:pPr>
              <w:widowControl w:val="0"/>
              <w:pBdr>
                <w:top w:val="nil"/>
                <w:left w:val="nil"/>
                <w:bottom w:val="nil"/>
                <w:right w:val="nil"/>
                <w:between w:val="nil"/>
              </w:pBdr>
              <w:jc w:val="right"/>
              <w:rPr>
                <w:color w:val="0000FF"/>
              </w:rPr>
            </w:pPr>
          </w:p>
        </w:tc>
        <w:tc>
          <w:tcPr>
            <w:tcW w:w="856" w:type="dxa"/>
          </w:tcPr>
          <w:p w14:paraId="2DB2D85A"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4122B55C" w14:textId="77777777" w:rsidR="008E5DE4" w:rsidRDefault="008E5DE4">
            <w:pPr>
              <w:widowControl w:val="0"/>
              <w:pBdr>
                <w:top w:val="nil"/>
                <w:left w:val="nil"/>
                <w:bottom w:val="nil"/>
                <w:right w:val="nil"/>
                <w:between w:val="nil"/>
              </w:pBdr>
              <w:jc w:val="right"/>
              <w:rPr>
                <w:color w:val="0000FF"/>
              </w:rPr>
            </w:pPr>
          </w:p>
        </w:tc>
      </w:tr>
      <w:tr w:rsidR="008E5DE4" w14:paraId="38C15338" w14:textId="77777777">
        <w:trPr>
          <w:cantSplit/>
          <w:trHeight w:val="169"/>
        </w:trPr>
        <w:tc>
          <w:tcPr>
            <w:tcW w:w="3061" w:type="dxa"/>
            <w:vAlign w:val="bottom"/>
          </w:tcPr>
          <w:p w14:paraId="356FE02E" w14:textId="22641303" w:rsidR="008E5DE4" w:rsidRDefault="00780368">
            <w:pPr>
              <w:widowControl w:val="0"/>
              <w:pBdr>
                <w:top w:val="nil"/>
                <w:left w:val="nil"/>
                <w:bottom w:val="nil"/>
                <w:right w:val="nil"/>
                <w:between w:val="nil"/>
              </w:pBdr>
              <w:ind w:left="113" w:right="-57" w:hanging="113"/>
              <w:rPr>
                <w:b/>
                <w:color w:val="0000FF"/>
              </w:rPr>
            </w:pPr>
            <w:proofErr w:type="gramStart"/>
            <w:r>
              <w:rPr>
                <w:b/>
                <w:color w:val="0000FF"/>
              </w:rPr>
              <w:t>At</w:t>
            </w:r>
            <w:proofErr w:type="gramEnd"/>
            <w:r>
              <w:rPr>
                <w:b/>
                <w:color w:val="0000FF"/>
              </w:rPr>
              <w:t xml:space="preserve"> 31 December </w:t>
            </w:r>
            <w:r w:rsidR="00FF468A">
              <w:rPr>
                <w:b/>
                <w:color w:val="0000FF"/>
              </w:rPr>
              <w:t>2024</w:t>
            </w:r>
          </w:p>
        </w:tc>
        <w:tc>
          <w:tcPr>
            <w:tcW w:w="851" w:type="dxa"/>
            <w:vAlign w:val="bottom"/>
          </w:tcPr>
          <w:p w14:paraId="1FF80839"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09603F70"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4C6E5F2A"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41459FEE" w14:textId="77777777" w:rsidR="008E5DE4" w:rsidRDefault="008E5DE4">
            <w:pPr>
              <w:widowControl w:val="0"/>
              <w:pBdr>
                <w:top w:val="nil"/>
                <w:left w:val="nil"/>
                <w:bottom w:val="nil"/>
                <w:right w:val="nil"/>
                <w:between w:val="nil"/>
              </w:pBdr>
              <w:jc w:val="right"/>
              <w:rPr>
                <w:color w:val="0000FF"/>
              </w:rPr>
            </w:pPr>
          </w:p>
        </w:tc>
        <w:tc>
          <w:tcPr>
            <w:tcW w:w="871" w:type="dxa"/>
          </w:tcPr>
          <w:p w14:paraId="271546DA" w14:textId="77777777" w:rsidR="008E5DE4" w:rsidRDefault="008E5DE4">
            <w:pPr>
              <w:widowControl w:val="0"/>
              <w:pBdr>
                <w:top w:val="nil"/>
                <w:left w:val="nil"/>
                <w:bottom w:val="nil"/>
                <w:right w:val="nil"/>
                <w:between w:val="nil"/>
              </w:pBdr>
              <w:jc w:val="right"/>
              <w:rPr>
                <w:color w:val="0000FF"/>
              </w:rPr>
            </w:pPr>
          </w:p>
        </w:tc>
        <w:tc>
          <w:tcPr>
            <w:tcW w:w="856" w:type="dxa"/>
          </w:tcPr>
          <w:p w14:paraId="764BE76B" w14:textId="77777777" w:rsidR="008E5DE4" w:rsidRDefault="008E5DE4">
            <w:pPr>
              <w:widowControl w:val="0"/>
              <w:pBdr>
                <w:top w:val="nil"/>
                <w:left w:val="nil"/>
                <w:bottom w:val="nil"/>
                <w:right w:val="nil"/>
                <w:between w:val="nil"/>
              </w:pBdr>
              <w:jc w:val="right"/>
              <w:rPr>
                <w:color w:val="0000FF"/>
              </w:rPr>
            </w:pPr>
          </w:p>
        </w:tc>
        <w:tc>
          <w:tcPr>
            <w:tcW w:w="856" w:type="dxa"/>
          </w:tcPr>
          <w:p w14:paraId="58F9E5FC"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05F8E6F7" w14:textId="77777777" w:rsidR="008E5DE4" w:rsidRDefault="008E5DE4">
            <w:pPr>
              <w:widowControl w:val="0"/>
              <w:pBdr>
                <w:top w:val="nil"/>
                <w:left w:val="nil"/>
                <w:bottom w:val="nil"/>
                <w:right w:val="nil"/>
                <w:between w:val="nil"/>
              </w:pBdr>
              <w:jc w:val="right"/>
              <w:rPr>
                <w:color w:val="0000FF"/>
              </w:rPr>
            </w:pPr>
          </w:p>
        </w:tc>
      </w:tr>
      <w:tr w:rsidR="008E5DE4" w14:paraId="09EF7937" w14:textId="77777777">
        <w:trPr>
          <w:cantSplit/>
          <w:trHeight w:val="676"/>
        </w:trPr>
        <w:tc>
          <w:tcPr>
            <w:tcW w:w="3061" w:type="dxa"/>
            <w:vAlign w:val="bottom"/>
          </w:tcPr>
          <w:p w14:paraId="6BA25BBD" w14:textId="77777777" w:rsidR="008E5DE4" w:rsidRDefault="008E5DE4">
            <w:pPr>
              <w:widowControl w:val="0"/>
              <w:pBdr>
                <w:top w:val="nil"/>
                <w:left w:val="nil"/>
                <w:bottom w:val="nil"/>
                <w:right w:val="nil"/>
                <w:between w:val="nil"/>
              </w:pBdr>
              <w:ind w:left="113" w:right="-57" w:hanging="113"/>
              <w:rPr>
                <w:b/>
                <w:color w:val="0000FF"/>
              </w:rPr>
            </w:pPr>
          </w:p>
          <w:p w14:paraId="4EA65E0A" w14:textId="77777777" w:rsidR="008E5DE4" w:rsidRDefault="00780368">
            <w:pPr>
              <w:widowControl w:val="0"/>
              <w:pBdr>
                <w:top w:val="nil"/>
                <w:left w:val="nil"/>
                <w:bottom w:val="nil"/>
                <w:right w:val="nil"/>
                <w:between w:val="nil"/>
              </w:pBdr>
              <w:ind w:left="113" w:right="-57" w:hanging="113"/>
              <w:rPr>
                <w:b/>
                <w:color w:val="0000FF"/>
              </w:rPr>
            </w:pPr>
            <w:r>
              <w:rPr>
                <w:i/>
                <w:color w:val="0000FF"/>
              </w:rPr>
              <w:t>Movements with impact on credit loss allowance charge for the period:</w:t>
            </w:r>
          </w:p>
        </w:tc>
        <w:tc>
          <w:tcPr>
            <w:tcW w:w="851" w:type="dxa"/>
            <w:vAlign w:val="bottom"/>
          </w:tcPr>
          <w:p w14:paraId="5F72938D"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499373F8"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8D4D294"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579F374E" w14:textId="77777777" w:rsidR="008E5DE4" w:rsidRDefault="008E5DE4">
            <w:pPr>
              <w:widowControl w:val="0"/>
              <w:pBdr>
                <w:top w:val="nil"/>
                <w:left w:val="nil"/>
                <w:bottom w:val="nil"/>
                <w:right w:val="nil"/>
                <w:between w:val="nil"/>
              </w:pBdr>
              <w:jc w:val="right"/>
              <w:rPr>
                <w:color w:val="0000FF"/>
              </w:rPr>
            </w:pPr>
          </w:p>
        </w:tc>
        <w:tc>
          <w:tcPr>
            <w:tcW w:w="871" w:type="dxa"/>
          </w:tcPr>
          <w:p w14:paraId="12198660" w14:textId="77777777" w:rsidR="008E5DE4" w:rsidRDefault="008E5DE4">
            <w:pPr>
              <w:widowControl w:val="0"/>
              <w:pBdr>
                <w:top w:val="nil"/>
                <w:left w:val="nil"/>
                <w:bottom w:val="nil"/>
                <w:right w:val="nil"/>
                <w:between w:val="nil"/>
              </w:pBdr>
              <w:ind w:left="-360"/>
              <w:jc w:val="right"/>
              <w:rPr>
                <w:color w:val="0000FF"/>
              </w:rPr>
            </w:pPr>
          </w:p>
        </w:tc>
        <w:tc>
          <w:tcPr>
            <w:tcW w:w="856" w:type="dxa"/>
          </w:tcPr>
          <w:p w14:paraId="7844DEF2" w14:textId="77777777" w:rsidR="008E5DE4" w:rsidRDefault="008E5DE4">
            <w:pPr>
              <w:widowControl w:val="0"/>
              <w:pBdr>
                <w:top w:val="nil"/>
                <w:left w:val="nil"/>
                <w:bottom w:val="nil"/>
                <w:right w:val="nil"/>
                <w:between w:val="nil"/>
              </w:pBdr>
              <w:jc w:val="right"/>
              <w:rPr>
                <w:color w:val="0000FF"/>
              </w:rPr>
            </w:pPr>
          </w:p>
        </w:tc>
        <w:tc>
          <w:tcPr>
            <w:tcW w:w="856" w:type="dxa"/>
          </w:tcPr>
          <w:p w14:paraId="0529F476"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359400CD" w14:textId="77777777" w:rsidR="008E5DE4" w:rsidRDefault="008E5DE4">
            <w:pPr>
              <w:widowControl w:val="0"/>
              <w:pBdr>
                <w:top w:val="nil"/>
                <w:left w:val="nil"/>
                <w:bottom w:val="nil"/>
                <w:right w:val="nil"/>
                <w:between w:val="nil"/>
              </w:pBdr>
              <w:jc w:val="right"/>
              <w:rPr>
                <w:color w:val="0000FF"/>
              </w:rPr>
            </w:pPr>
          </w:p>
        </w:tc>
      </w:tr>
      <w:tr w:rsidR="008E5DE4" w14:paraId="72B85886" w14:textId="77777777">
        <w:trPr>
          <w:cantSplit/>
          <w:trHeight w:val="184"/>
        </w:trPr>
        <w:tc>
          <w:tcPr>
            <w:tcW w:w="3061" w:type="dxa"/>
            <w:vAlign w:val="bottom"/>
          </w:tcPr>
          <w:p w14:paraId="4309E40F" w14:textId="77777777" w:rsidR="008E5DE4" w:rsidRDefault="00780368">
            <w:pPr>
              <w:widowControl w:val="0"/>
              <w:pBdr>
                <w:top w:val="nil"/>
                <w:left w:val="nil"/>
                <w:bottom w:val="nil"/>
                <w:right w:val="nil"/>
                <w:between w:val="nil"/>
              </w:pBdr>
              <w:ind w:left="113" w:right="-57" w:hanging="113"/>
              <w:rPr>
                <w:color w:val="0000FF"/>
                <w:sz w:val="8"/>
                <w:szCs w:val="8"/>
              </w:rPr>
            </w:pPr>
            <w:r>
              <w:rPr>
                <w:color w:val="0000FF"/>
              </w:rPr>
              <w:t> </w:t>
            </w:r>
          </w:p>
        </w:tc>
        <w:tc>
          <w:tcPr>
            <w:tcW w:w="851" w:type="dxa"/>
            <w:vAlign w:val="bottom"/>
          </w:tcPr>
          <w:p w14:paraId="6D7EEC50"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393CA33D"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664F1D78"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042A7B49"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6CC84834"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5A86E4EE"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040969FD"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7833B51F" w14:textId="77777777" w:rsidR="008E5DE4" w:rsidRDefault="008E5DE4">
            <w:pPr>
              <w:widowControl w:val="0"/>
              <w:pBdr>
                <w:top w:val="nil"/>
                <w:left w:val="nil"/>
                <w:bottom w:val="nil"/>
                <w:right w:val="nil"/>
                <w:between w:val="nil"/>
              </w:pBdr>
              <w:jc w:val="right"/>
              <w:rPr>
                <w:color w:val="0000FF"/>
                <w:highlight w:val="green"/>
              </w:rPr>
            </w:pPr>
          </w:p>
        </w:tc>
      </w:tr>
      <w:tr w:rsidR="008E5DE4" w14:paraId="1C1A4DC7" w14:textId="77777777">
        <w:trPr>
          <w:cantSplit/>
          <w:trHeight w:val="184"/>
        </w:trPr>
        <w:tc>
          <w:tcPr>
            <w:tcW w:w="3061" w:type="dxa"/>
            <w:vAlign w:val="bottom"/>
          </w:tcPr>
          <w:p w14:paraId="25290D09" w14:textId="77777777" w:rsidR="008E5DE4" w:rsidRDefault="00780368">
            <w:pPr>
              <w:widowControl w:val="0"/>
              <w:pBdr>
                <w:top w:val="nil"/>
                <w:left w:val="nil"/>
                <w:bottom w:val="nil"/>
                <w:right w:val="nil"/>
                <w:between w:val="nil"/>
              </w:pBdr>
              <w:ind w:left="113" w:right="-57" w:hanging="113"/>
              <w:rPr>
                <w:color w:val="0000FF"/>
              </w:rPr>
            </w:pPr>
            <w:r>
              <w:rPr>
                <w:color w:val="0000FF"/>
              </w:rPr>
              <w:t>Transfers:</w:t>
            </w:r>
          </w:p>
        </w:tc>
        <w:tc>
          <w:tcPr>
            <w:tcW w:w="851" w:type="dxa"/>
            <w:vAlign w:val="bottom"/>
          </w:tcPr>
          <w:p w14:paraId="32E5CB97"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34C037F9"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4D30164F"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48D4C025"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24DC376A"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2F46AD88"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457C13F2"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44160713" w14:textId="77777777" w:rsidR="008E5DE4" w:rsidRDefault="008E5DE4">
            <w:pPr>
              <w:widowControl w:val="0"/>
              <w:pBdr>
                <w:top w:val="nil"/>
                <w:left w:val="nil"/>
                <w:bottom w:val="nil"/>
                <w:right w:val="nil"/>
                <w:between w:val="nil"/>
              </w:pBdr>
              <w:jc w:val="right"/>
              <w:rPr>
                <w:color w:val="0000FF"/>
                <w:highlight w:val="green"/>
              </w:rPr>
            </w:pPr>
          </w:p>
        </w:tc>
      </w:tr>
      <w:tr w:rsidR="008E5DE4" w14:paraId="5424A1FC" w14:textId="77777777">
        <w:trPr>
          <w:cantSplit/>
          <w:trHeight w:val="80"/>
        </w:trPr>
        <w:tc>
          <w:tcPr>
            <w:tcW w:w="3061" w:type="dxa"/>
            <w:vAlign w:val="bottom"/>
          </w:tcPr>
          <w:p w14:paraId="38269805" w14:textId="77777777" w:rsidR="008E5DE4" w:rsidRDefault="00780368">
            <w:pPr>
              <w:widowControl w:val="0"/>
              <w:pBdr>
                <w:top w:val="nil"/>
                <w:left w:val="nil"/>
                <w:bottom w:val="nil"/>
                <w:right w:val="nil"/>
                <w:between w:val="nil"/>
              </w:pBdr>
              <w:ind w:left="113" w:right="-57" w:hanging="113"/>
              <w:rPr>
                <w:color w:val="0000FF"/>
              </w:rPr>
            </w:pPr>
            <w:r>
              <w:rPr>
                <w:color w:val="0000FF"/>
              </w:rPr>
              <w:t>- to lifetime (from Stage 1 to Stage 2)</w:t>
            </w:r>
          </w:p>
        </w:tc>
        <w:tc>
          <w:tcPr>
            <w:tcW w:w="851" w:type="dxa"/>
            <w:vAlign w:val="bottom"/>
          </w:tcPr>
          <w:p w14:paraId="3BA2D1A8"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7051EBB3"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11CC31C9"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619E93F4"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1B9EF0BA"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3B85D76D"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18A651DB"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3F9F0F8E" w14:textId="77777777" w:rsidR="008E5DE4" w:rsidRDefault="008E5DE4">
            <w:pPr>
              <w:widowControl w:val="0"/>
              <w:pBdr>
                <w:top w:val="nil"/>
                <w:left w:val="nil"/>
                <w:bottom w:val="nil"/>
                <w:right w:val="nil"/>
                <w:between w:val="nil"/>
              </w:pBdr>
              <w:jc w:val="right"/>
              <w:rPr>
                <w:color w:val="0000FF"/>
                <w:highlight w:val="green"/>
              </w:rPr>
            </w:pPr>
          </w:p>
        </w:tc>
      </w:tr>
      <w:tr w:rsidR="008E5DE4" w14:paraId="5B8D90A7" w14:textId="77777777">
        <w:trPr>
          <w:cantSplit/>
          <w:trHeight w:val="80"/>
        </w:trPr>
        <w:tc>
          <w:tcPr>
            <w:tcW w:w="3061" w:type="dxa"/>
            <w:vAlign w:val="bottom"/>
          </w:tcPr>
          <w:p w14:paraId="1C6733DD" w14:textId="77777777" w:rsidR="008E5DE4" w:rsidRDefault="00780368">
            <w:pPr>
              <w:widowControl w:val="0"/>
              <w:pBdr>
                <w:top w:val="nil"/>
                <w:left w:val="nil"/>
                <w:bottom w:val="nil"/>
                <w:right w:val="nil"/>
                <w:between w:val="nil"/>
              </w:pBdr>
              <w:ind w:left="113" w:right="-57" w:hanging="113"/>
              <w:rPr>
                <w:color w:val="0000FF"/>
              </w:rPr>
            </w:pPr>
            <w:r>
              <w:rPr>
                <w:color w:val="0000FF"/>
              </w:rPr>
              <w:t>- to credit-impaired (from Stage 1 and Stage 2 to Stage 3)</w:t>
            </w:r>
          </w:p>
        </w:tc>
        <w:tc>
          <w:tcPr>
            <w:tcW w:w="851" w:type="dxa"/>
            <w:vAlign w:val="bottom"/>
          </w:tcPr>
          <w:p w14:paraId="3E3D6DAB"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55A4FE6E"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35C19C7A"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5F9CB7FB"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1A4AF2D9"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4853406E"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3CDB8E62"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4DF217F2" w14:textId="77777777" w:rsidR="008E5DE4" w:rsidRDefault="008E5DE4">
            <w:pPr>
              <w:widowControl w:val="0"/>
              <w:pBdr>
                <w:top w:val="nil"/>
                <w:left w:val="nil"/>
                <w:bottom w:val="nil"/>
                <w:right w:val="nil"/>
                <w:between w:val="nil"/>
              </w:pBdr>
              <w:jc w:val="right"/>
              <w:rPr>
                <w:color w:val="0000FF"/>
                <w:highlight w:val="green"/>
              </w:rPr>
            </w:pPr>
          </w:p>
        </w:tc>
      </w:tr>
      <w:tr w:rsidR="008E5DE4" w14:paraId="30F1AE1D" w14:textId="77777777">
        <w:trPr>
          <w:cantSplit/>
          <w:trHeight w:val="361"/>
        </w:trPr>
        <w:tc>
          <w:tcPr>
            <w:tcW w:w="3061" w:type="dxa"/>
            <w:vAlign w:val="bottom"/>
          </w:tcPr>
          <w:p w14:paraId="60F34C87" w14:textId="77777777" w:rsidR="008E5DE4" w:rsidRDefault="00780368">
            <w:pPr>
              <w:widowControl w:val="0"/>
              <w:pBdr>
                <w:top w:val="nil"/>
                <w:left w:val="nil"/>
                <w:bottom w:val="nil"/>
                <w:right w:val="nil"/>
                <w:between w:val="nil"/>
              </w:pBdr>
              <w:ind w:left="113" w:right="-57" w:hanging="113"/>
              <w:rPr>
                <w:color w:val="0000FF"/>
              </w:rPr>
            </w:pPr>
            <w:r>
              <w:rPr>
                <w:color w:val="0000FF"/>
              </w:rPr>
              <w:t>- to 12-months ECL (from Stage 2 and Stage 3 to Stage 1)</w:t>
            </w:r>
          </w:p>
        </w:tc>
        <w:tc>
          <w:tcPr>
            <w:tcW w:w="851" w:type="dxa"/>
            <w:vAlign w:val="bottom"/>
          </w:tcPr>
          <w:p w14:paraId="70CBCC87"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5572500D"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1D75EA0D"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4FA0BAB4"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64277E41"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5A236EE9"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1C62BEAF"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1339F17B" w14:textId="77777777" w:rsidR="008E5DE4" w:rsidRDefault="008E5DE4">
            <w:pPr>
              <w:widowControl w:val="0"/>
              <w:pBdr>
                <w:top w:val="nil"/>
                <w:left w:val="nil"/>
                <w:bottom w:val="nil"/>
                <w:right w:val="nil"/>
                <w:between w:val="nil"/>
              </w:pBdr>
              <w:jc w:val="right"/>
              <w:rPr>
                <w:color w:val="0000FF"/>
                <w:highlight w:val="green"/>
              </w:rPr>
            </w:pPr>
          </w:p>
        </w:tc>
      </w:tr>
      <w:tr w:rsidR="008E5DE4" w14:paraId="03940F71" w14:textId="77777777">
        <w:trPr>
          <w:cantSplit/>
          <w:trHeight w:val="169"/>
        </w:trPr>
        <w:tc>
          <w:tcPr>
            <w:tcW w:w="3061" w:type="dxa"/>
            <w:vAlign w:val="bottom"/>
          </w:tcPr>
          <w:p w14:paraId="42B14B61" w14:textId="77777777" w:rsidR="008E5DE4" w:rsidRDefault="00780368">
            <w:pPr>
              <w:widowControl w:val="0"/>
              <w:pBdr>
                <w:top w:val="nil"/>
                <w:left w:val="nil"/>
                <w:bottom w:val="nil"/>
                <w:right w:val="nil"/>
                <w:between w:val="nil"/>
              </w:pBdr>
              <w:ind w:left="113" w:right="-57" w:hanging="113"/>
              <w:rPr>
                <w:color w:val="0000FF"/>
              </w:rPr>
            </w:pPr>
            <w:r>
              <w:rPr>
                <w:color w:val="0000FF"/>
              </w:rPr>
              <w:t>New originated or purchased</w:t>
            </w:r>
          </w:p>
        </w:tc>
        <w:tc>
          <w:tcPr>
            <w:tcW w:w="851" w:type="dxa"/>
            <w:vAlign w:val="bottom"/>
          </w:tcPr>
          <w:p w14:paraId="26A58E99"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385C4C90"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47F20701"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2B039146" w14:textId="77777777" w:rsidR="008E5DE4" w:rsidRDefault="008E5DE4">
            <w:pPr>
              <w:widowControl w:val="0"/>
              <w:pBdr>
                <w:top w:val="nil"/>
                <w:left w:val="nil"/>
                <w:bottom w:val="nil"/>
                <w:right w:val="nil"/>
                <w:between w:val="nil"/>
              </w:pBdr>
              <w:jc w:val="right"/>
              <w:rPr>
                <w:color w:val="0000FF"/>
              </w:rPr>
            </w:pPr>
          </w:p>
        </w:tc>
        <w:tc>
          <w:tcPr>
            <w:tcW w:w="871" w:type="dxa"/>
          </w:tcPr>
          <w:p w14:paraId="42E8F116" w14:textId="77777777" w:rsidR="008E5DE4" w:rsidRDefault="008E5DE4">
            <w:pPr>
              <w:widowControl w:val="0"/>
              <w:pBdr>
                <w:top w:val="nil"/>
                <w:left w:val="nil"/>
                <w:bottom w:val="nil"/>
                <w:right w:val="nil"/>
                <w:between w:val="nil"/>
              </w:pBdr>
              <w:jc w:val="right"/>
              <w:rPr>
                <w:color w:val="0000FF"/>
              </w:rPr>
            </w:pPr>
          </w:p>
        </w:tc>
        <w:tc>
          <w:tcPr>
            <w:tcW w:w="856" w:type="dxa"/>
          </w:tcPr>
          <w:p w14:paraId="7D75BDD8" w14:textId="77777777" w:rsidR="008E5DE4" w:rsidRDefault="008E5DE4">
            <w:pPr>
              <w:widowControl w:val="0"/>
              <w:pBdr>
                <w:top w:val="nil"/>
                <w:left w:val="nil"/>
                <w:bottom w:val="nil"/>
                <w:right w:val="nil"/>
                <w:between w:val="nil"/>
              </w:pBdr>
              <w:jc w:val="right"/>
              <w:rPr>
                <w:color w:val="0000FF"/>
              </w:rPr>
            </w:pPr>
          </w:p>
        </w:tc>
        <w:tc>
          <w:tcPr>
            <w:tcW w:w="856" w:type="dxa"/>
          </w:tcPr>
          <w:p w14:paraId="2900F40B"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249F051E" w14:textId="77777777" w:rsidR="008E5DE4" w:rsidRDefault="008E5DE4">
            <w:pPr>
              <w:widowControl w:val="0"/>
              <w:pBdr>
                <w:top w:val="nil"/>
                <w:left w:val="nil"/>
                <w:bottom w:val="nil"/>
                <w:right w:val="nil"/>
                <w:between w:val="nil"/>
              </w:pBdr>
              <w:jc w:val="right"/>
              <w:rPr>
                <w:color w:val="0000FF"/>
              </w:rPr>
            </w:pPr>
          </w:p>
        </w:tc>
      </w:tr>
      <w:tr w:rsidR="008E5DE4" w14:paraId="0A1E3118" w14:textId="77777777">
        <w:trPr>
          <w:cantSplit/>
          <w:trHeight w:val="232"/>
        </w:trPr>
        <w:tc>
          <w:tcPr>
            <w:tcW w:w="3061" w:type="dxa"/>
            <w:vAlign w:val="bottom"/>
          </w:tcPr>
          <w:p w14:paraId="622116B9" w14:textId="77777777" w:rsidR="008E5DE4" w:rsidRDefault="00780368">
            <w:pPr>
              <w:widowControl w:val="0"/>
              <w:pBdr>
                <w:top w:val="nil"/>
                <w:left w:val="nil"/>
                <w:bottom w:val="nil"/>
                <w:right w:val="nil"/>
                <w:between w:val="nil"/>
              </w:pBdr>
              <w:ind w:left="113" w:right="-57" w:hanging="113"/>
              <w:rPr>
                <w:color w:val="0000FF"/>
              </w:rPr>
            </w:pPr>
            <w:r>
              <w:rPr>
                <w:color w:val="0000FF"/>
              </w:rPr>
              <w:t>Derecognised during the period</w:t>
            </w:r>
          </w:p>
        </w:tc>
        <w:tc>
          <w:tcPr>
            <w:tcW w:w="851" w:type="dxa"/>
            <w:vAlign w:val="bottom"/>
          </w:tcPr>
          <w:p w14:paraId="2A71ABA6"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65D2BD1E"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0AE227B"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136DA8D2" w14:textId="77777777" w:rsidR="008E5DE4" w:rsidRDefault="008E5DE4">
            <w:pPr>
              <w:widowControl w:val="0"/>
              <w:pBdr>
                <w:top w:val="nil"/>
                <w:left w:val="nil"/>
                <w:bottom w:val="nil"/>
                <w:right w:val="nil"/>
                <w:between w:val="nil"/>
              </w:pBdr>
              <w:jc w:val="right"/>
              <w:rPr>
                <w:color w:val="0000FF"/>
              </w:rPr>
            </w:pPr>
          </w:p>
        </w:tc>
        <w:tc>
          <w:tcPr>
            <w:tcW w:w="871" w:type="dxa"/>
          </w:tcPr>
          <w:p w14:paraId="70F2357C" w14:textId="77777777" w:rsidR="008E5DE4" w:rsidRDefault="008E5DE4">
            <w:pPr>
              <w:widowControl w:val="0"/>
              <w:pBdr>
                <w:top w:val="nil"/>
                <w:left w:val="nil"/>
                <w:bottom w:val="nil"/>
                <w:right w:val="nil"/>
                <w:between w:val="nil"/>
              </w:pBdr>
              <w:jc w:val="right"/>
              <w:rPr>
                <w:color w:val="0000FF"/>
              </w:rPr>
            </w:pPr>
          </w:p>
        </w:tc>
        <w:tc>
          <w:tcPr>
            <w:tcW w:w="856" w:type="dxa"/>
          </w:tcPr>
          <w:p w14:paraId="16FAD4E7" w14:textId="77777777" w:rsidR="008E5DE4" w:rsidRDefault="008E5DE4">
            <w:pPr>
              <w:widowControl w:val="0"/>
              <w:pBdr>
                <w:top w:val="nil"/>
                <w:left w:val="nil"/>
                <w:bottom w:val="nil"/>
                <w:right w:val="nil"/>
                <w:between w:val="nil"/>
              </w:pBdr>
              <w:jc w:val="right"/>
              <w:rPr>
                <w:color w:val="0000FF"/>
              </w:rPr>
            </w:pPr>
          </w:p>
        </w:tc>
        <w:tc>
          <w:tcPr>
            <w:tcW w:w="856" w:type="dxa"/>
          </w:tcPr>
          <w:p w14:paraId="2FC66953"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69C372F6" w14:textId="77777777" w:rsidR="008E5DE4" w:rsidRDefault="008E5DE4">
            <w:pPr>
              <w:widowControl w:val="0"/>
              <w:pBdr>
                <w:top w:val="nil"/>
                <w:left w:val="nil"/>
                <w:bottom w:val="nil"/>
                <w:right w:val="nil"/>
                <w:between w:val="nil"/>
              </w:pBdr>
              <w:jc w:val="right"/>
              <w:rPr>
                <w:color w:val="0000FF"/>
              </w:rPr>
            </w:pPr>
          </w:p>
        </w:tc>
      </w:tr>
      <w:tr w:rsidR="008E5DE4" w14:paraId="2D81EDE1" w14:textId="77777777">
        <w:trPr>
          <w:cantSplit/>
          <w:trHeight w:val="80"/>
        </w:trPr>
        <w:tc>
          <w:tcPr>
            <w:tcW w:w="3061" w:type="dxa"/>
            <w:vAlign w:val="bottom"/>
          </w:tcPr>
          <w:p w14:paraId="434E2482" w14:textId="77777777" w:rsidR="008E5DE4" w:rsidRDefault="00780368">
            <w:pPr>
              <w:widowControl w:val="0"/>
              <w:pBdr>
                <w:top w:val="nil"/>
                <w:left w:val="nil"/>
                <w:bottom w:val="nil"/>
                <w:right w:val="nil"/>
                <w:between w:val="nil"/>
              </w:pBdr>
              <w:ind w:left="113" w:right="-57" w:hanging="113"/>
              <w:rPr>
                <w:color w:val="0000FF"/>
              </w:rPr>
            </w:pPr>
            <w:r>
              <w:rPr>
                <w:color w:val="0000FF"/>
              </w:rPr>
              <w:t>Changes to ECL measurement model assumptions</w:t>
            </w:r>
          </w:p>
        </w:tc>
        <w:tc>
          <w:tcPr>
            <w:tcW w:w="851" w:type="dxa"/>
            <w:vAlign w:val="bottom"/>
          </w:tcPr>
          <w:p w14:paraId="27DB714F"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2896B4A0"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89C1832"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5759073C"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0D77772B"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B237574"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5A5DABE5"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56985857" w14:textId="77777777" w:rsidR="008E5DE4" w:rsidRDefault="008E5DE4">
            <w:pPr>
              <w:widowControl w:val="0"/>
              <w:pBdr>
                <w:top w:val="nil"/>
                <w:left w:val="nil"/>
                <w:bottom w:val="nil"/>
                <w:right w:val="nil"/>
                <w:between w:val="nil"/>
              </w:pBdr>
              <w:jc w:val="right"/>
              <w:rPr>
                <w:color w:val="0000FF"/>
              </w:rPr>
            </w:pPr>
          </w:p>
        </w:tc>
      </w:tr>
      <w:tr w:rsidR="008E5DE4" w14:paraId="0A4AB708" w14:textId="77777777">
        <w:trPr>
          <w:cantSplit/>
          <w:trHeight w:val="85"/>
        </w:trPr>
        <w:tc>
          <w:tcPr>
            <w:tcW w:w="3061" w:type="dxa"/>
            <w:vAlign w:val="bottom"/>
          </w:tcPr>
          <w:p w14:paraId="6C8F9645" w14:textId="77777777" w:rsidR="008E5DE4" w:rsidRDefault="00780368">
            <w:pPr>
              <w:widowControl w:val="0"/>
              <w:pBdr>
                <w:top w:val="nil"/>
                <w:left w:val="nil"/>
                <w:bottom w:val="nil"/>
                <w:right w:val="nil"/>
                <w:between w:val="nil"/>
              </w:pBdr>
              <w:ind w:left="113" w:right="-57" w:hanging="113"/>
              <w:rPr>
                <w:color w:val="0000FF"/>
              </w:rPr>
            </w:pPr>
            <w:r>
              <w:rPr>
                <w:color w:val="0000FF"/>
              </w:rPr>
              <w:t xml:space="preserve">Unwinding of discount </w:t>
            </w:r>
          </w:p>
        </w:tc>
        <w:tc>
          <w:tcPr>
            <w:tcW w:w="851" w:type="dxa"/>
            <w:vAlign w:val="bottom"/>
          </w:tcPr>
          <w:p w14:paraId="5B84C47C"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0F72A6C9"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C75296A"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75C28A6A"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43450C94"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4B005E36"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82B0C4A"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56836872" w14:textId="77777777" w:rsidR="008E5DE4" w:rsidRDefault="008E5DE4">
            <w:pPr>
              <w:widowControl w:val="0"/>
              <w:pBdr>
                <w:top w:val="nil"/>
                <w:left w:val="nil"/>
                <w:bottom w:val="nil"/>
                <w:right w:val="nil"/>
                <w:between w:val="nil"/>
              </w:pBdr>
              <w:jc w:val="right"/>
              <w:rPr>
                <w:color w:val="0000FF"/>
              </w:rPr>
            </w:pPr>
          </w:p>
        </w:tc>
      </w:tr>
      <w:tr w:rsidR="008E5DE4" w14:paraId="666B6607" w14:textId="77777777">
        <w:trPr>
          <w:cantSplit/>
          <w:trHeight w:val="169"/>
        </w:trPr>
        <w:tc>
          <w:tcPr>
            <w:tcW w:w="3061" w:type="dxa"/>
            <w:vAlign w:val="bottom"/>
          </w:tcPr>
          <w:p w14:paraId="6F5C6AAC" w14:textId="77777777" w:rsidR="008E5DE4" w:rsidRDefault="00780368">
            <w:pPr>
              <w:widowControl w:val="0"/>
              <w:pBdr>
                <w:top w:val="nil"/>
                <w:left w:val="nil"/>
                <w:bottom w:val="nil"/>
                <w:right w:val="nil"/>
                <w:between w:val="nil"/>
              </w:pBdr>
              <w:ind w:left="113" w:right="-57" w:hanging="113"/>
              <w:rPr>
                <w:color w:val="0000FF"/>
              </w:rPr>
            </w:pPr>
            <w:r>
              <w:rPr>
                <w:color w:val="0000FF"/>
              </w:rPr>
              <w:t>Changes in accrued interest</w:t>
            </w:r>
          </w:p>
        </w:tc>
        <w:tc>
          <w:tcPr>
            <w:tcW w:w="851" w:type="dxa"/>
            <w:vAlign w:val="bottom"/>
          </w:tcPr>
          <w:p w14:paraId="47752E3D"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757BA769"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23D24B67"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55A36364"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7828DD46"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52BDC07D"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548E5134"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72CE10E7" w14:textId="77777777" w:rsidR="008E5DE4" w:rsidRDefault="008E5DE4">
            <w:pPr>
              <w:widowControl w:val="0"/>
              <w:pBdr>
                <w:top w:val="nil"/>
                <w:left w:val="nil"/>
                <w:bottom w:val="nil"/>
                <w:right w:val="nil"/>
                <w:between w:val="nil"/>
              </w:pBdr>
              <w:jc w:val="right"/>
              <w:rPr>
                <w:color w:val="0000FF"/>
              </w:rPr>
            </w:pPr>
          </w:p>
        </w:tc>
      </w:tr>
      <w:tr w:rsidR="008E5DE4" w14:paraId="7DD5225C" w14:textId="77777777">
        <w:trPr>
          <w:cantSplit/>
          <w:trHeight w:val="169"/>
        </w:trPr>
        <w:tc>
          <w:tcPr>
            <w:tcW w:w="3061" w:type="dxa"/>
            <w:vAlign w:val="bottom"/>
          </w:tcPr>
          <w:p w14:paraId="4135FAFA" w14:textId="77777777" w:rsidR="008E5DE4" w:rsidRDefault="00780368">
            <w:pPr>
              <w:widowControl w:val="0"/>
              <w:pBdr>
                <w:top w:val="nil"/>
                <w:left w:val="nil"/>
                <w:bottom w:val="nil"/>
                <w:right w:val="nil"/>
                <w:between w:val="nil"/>
              </w:pBdr>
              <w:ind w:left="113" w:right="-57" w:hanging="113"/>
              <w:rPr>
                <w:color w:val="0000FF"/>
              </w:rPr>
            </w:pPr>
            <w:r>
              <w:rPr>
                <w:color w:val="0000FF"/>
              </w:rPr>
              <w:t>Other movements</w:t>
            </w:r>
          </w:p>
        </w:tc>
        <w:tc>
          <w:tcPr>
            <w:tcW w:w="851" w:type="dxa"/>
            <w:vAlign w:val="bottom"/>
          </w:tcPr>
          <w:p w14:paraId="4EEA19E4"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05F02E34"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A29235B"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473E492D"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3B8A2B80"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EB39369"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0A2AE8AE"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2B2D2445" w14:textId="77777777" w:rsidR="008E5DE4" w:rsidRDefault="008E5DE4">
            <w:pPr>
              <w:widowControl w:val="0"/>
              <w:pBdr>
                <w:top w:val="nil"/>
                <w:left w:val="nil"/>
                <w:bottom w:val="nil"/>
                <w:right w:val="nil"/>
                <w:between w:val="nil"/>
              </w:pBdr>
              <w:jc w:val="right"/>
              <w:rPr>
                <w:color w:val="0000FF"/>
              </w:rPr>
            </w:pPr>
          </w:p>
        </w:tc>
      </w:tr>
      <w:tr w:rsidR="008E5DE4" w14:paraId="724ED109" w14:textId="77777777">
        <w:trPr>
          <w:cantSplit/>
          <w:trHeight w:val="169"/>
        </w:trPr>
        <w:tc>
          <w:tcPr>
            <w:tcW w:w="3061" w:type="dxa"/>
            <w:tcBorders>
              <w:bottom w:val="single" w:sz="4" w:space="0" w:color="000000"/>
            </w:tcBorders>
            <w:vAlign w:val="bottom"/>
          </w:tcPr>
          <w:p w14:paraId="74942592" w14:textId="77777777" w:rsidR="008E5DE4" w:rsidRDefault="00780368">
            <w:pPr>
              <w:widowControl w:val="0"/>
              <w:pBdr>
                <w:top w:val="nil"/>
                <w:left w:val="nil"/>
                <w:bottom w:val="nil"/>
                <w:right w:val="nil"/>
                <w:between w:val="nil"/>
              </w:pBdr>
              <w:ind w:left="113" w:right="-57" w:hanging="113"/>
              <w:rPr>
                <w:color w:val="0000FF"/>
              </w:rPr>
            </w:pPr>
            <w:r>
              <w:rPr>
                <w:b/>
                <w:color w:val="0000FF"/>
              </w:rPr>
              <w:t> </w:t>
            </w:r>
          </w:p>
        </w:tc>
        <w:tc>
          <w:tcPr>
            <w:tcW w:w="851" w:type="dxa"/>
            <w:tcBorders>
              <w:bottom w:val="single" w:sz="4" w:space="0" w:color="000000"/>
            </w:tcBorders>
            <w:vAlign w:val="bottom"/>
          </w:tcPr>
          <w:p w14:paraId="72723F82" w14:textId="77777777" w:rsidR="008E5DE4" w:rsidRDefault="008E5DE4">
            <w:pPr>
              <w:widowControl w:val="0"/>
              <w:pBdr>
                <w:top w:val="nil"/>
                <w:left w:val="nil"/>
                <w:bottom w:val="nil"/>
                <w:right w:val="nil"/>
                <w:between w:val="nil"/>
              </w:pBdr>
              <w:jc w:val="right"/>
              <w:rPr>
                <w:color w:val="0000FF"/>
              </w:rPr>
            </w:pPr>
          </w:p>
        </w:tc>
        <w:tc>
          <w:tcPr>
            <w:tcW w:w="878" w:type="dxa"/>
            <w:tcBorders>
              <w:bottom w:val="single" w:sz="4" w:space="0" w:color="000000"/>
            </w:tcBorders>
            <w:vAlign w:val="bottom"/>
          </w:tcPr>
          <w:p w14:paraId="23FB469B"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79D05CD5" w14:textId="77777777" w:rsidR="008E5DE4" w:rsidRDefault="008E5DE4">
            <w:pPr>
              <w:widowControl w:val="0"/>
              <w:pBdr>
                <w:top w:val="nil"/>
                <w:left w:val="nil"/>
                <w:bottom w:val="nil"/>
                <w:right w:val="nil"/>
                <w:between w:val="nil"/>
              </w:pBdr>
              <w:jc w:val="right"/>
              <w:rPr>
                <w:color w:val="0000FF"/>
              </w:rPr>
            </w:pPr>
          </w:p>
        </w:tc>
        <w:tc>
          <w:tcPr>
            <w:tcW w:w="571" w:type="dxa"/>
            <w:tcBorders>
              <w:bottom w:val="single" w:sz="4" w:space="0" w:color="000000"/>
            </w:tcBorders>
            <w:vAlign w:val="bottom"/>
          </w:tcPr>
          <w:p w14:paraId="49863DE1" w14:textId="77777777" w:rsidR="008E5DE4" w:rsidRDefault="008E5DE4">
            <w:pPr>
              <w:widowControl w:val="0"/>
              <w:pBdr>
                <w:top w:val="nil"/>
                <w:left w:val="nil"/>
                <w:bottom w:val="nil"/>
                <w:right w:val="nil"/>
                <w:between w:val="nil"/>
              </w:pBdr>
              <w:jc w:val="right"/>
              <w:rPr>
                <w:color w:val="0000FF"/>
              </w:rPr>
            </w:pPr>
          </w:p>
        </w:tc>
        <w:tc>
          <w:tcPr>
            <w:tcW w:w="871" w:type="dxa"/>
            <w:tcBorders>
              <w:bottom w:val="single" w:sz="4" w:space="0" w:color="000000"/>
            </w:tcBorders>
            <w:vAlign w:val="bottom"/>
          </w:tcPr>
          <w:p w14:paraId="3E00CD29"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3FCB715D"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7AC8E3F5" w14:textId="77777777" w:rsidR="008E5DE4" w:rsidRDefault="008E5DE4">
            <w:pPr>
              <w:widowControl w:val="0"/>
              <w:pBdr>
                <w:top w:val="nil"/>
                <w:left w:val="nil"/>
                <w:bottom w:val="nil"/>
                <w:right w:val="nil"/>
                <w:between w:val="nil"/>
              </w:pBdr>
              <w:jc w:val="right"/>
              <w:rPr>
                <w:color w:val="0000FF"/>
              </w:rPr>
            </w:pPr>
          </w:p>
        </w:tc>
        <w:tc>
          <w:tcPr>
            <w:tcW w:w="573" w:type="dxa"/>
            <w:tcBorders>
              <w:bottom w:val="single" w:sz="4" w:space="0" w:color="000000"/>
            </w:tcBorders>
            <w:vAlign w:val="bottom"/>
          </w:tcPr>
          <w:p w14:paraId="07DE32C8" w14:textId="77777777" w:rsidR="008E5DE4" w:rsidRDefault="008E5DE4">
            <w:pPr>
              <w:widowControl w:val="0"/>
              <w:pBdr>
                <w:top w:val="nil"/>
                <w:left w:val="nil"/>
                <w:bottom w:val="nil"/>
                <w:right w:val="nil"/>
                <w:between w:val="nil"/>
              </w:pBdr>
              <w:jc w:val="right"/>
              <w:rPr>
                <w:color w:val="0000FF"/>
              </w:rPr>
            </w:pPr>
          </w:p>
        </w:tc>
      </w:tr>
      <w:tr w:rsidR="008E5DE4" w14:paraId="43AB0C6B" w14:textId="77777777">
        <w:trPr>
          <w:cantSplit/>
          <w:trHeight w:val="153"/>
        </w:trPr>
        <w:tc>
          <w:tcPr>
            <w:tcW w:w="3061" w:type="dxa"/>
            <w:tcBorders>
              <w:top w:val="single" w:sz="4" w:space="0" w:color="000000"/>
            </w:tcBorders>
            <w:vAlign w:val="bottom"/>
          </w:tcPr>
          <w:p w14:paraId="54B630D1" w14:textId="77777777" w:rsidR="008E5DE4" w:rsidRDefault="00780368">
            <w:pPr>
              <w:widowControl w:val="0"/>
              <w:pBdr>
                <w:top w:val="nil"/>
                <w:left w:val="nil"/>
                <w:bottom w:val="nil"/>
                <w:right w:val="nil"/>
                <w:between w:val="nil"/>
              </w:pBdr>
              <w:ind w:left="113" w:right="-57" w:hanging="113"/>
              <w:rPr>
                <w:color w:val="0000FF"/>
              </w:rPr>
            </w:pPr>
            <w:r>
              <w:rPr>
                <w:b/>
                <w:color w:val="0000FF"/>
              </w:rPr>
              <w:t> </w:t>
            </w:r>
          </w:p>
        </w:tc>
        <w:tc>
          <w:tcPr>
            <w:tcW w:w="851" w:type="dxa"/>
            <w:tcBorders>
              <w:top w:val="single" w:sz="4" w:space="0" w:color="000000"/>
            </w:tcBorders>
            <w:vAlign w:val="bottom"/>
          </w:tcPr>
          <w:p w14:paraId="6C7BA727" w14:textId="77777777" w:rsidR="008E5DE4" w:rsidRDefault="008E5DE4">
            <w:pPr>
              <w:widowControl w:val="0"/>
              <w:pBdr>
                <w:top w:val="nil"/>
                <w:left w:val="nil"/>
                <w:bottom w:val="nil"/>
                <w:right w:val="nil"/>
                <w:between w:val="nil"/>
              </w:pBdr>
              <w:jc w:val="right"/>
              <w:rPr>
                <w:color w:val="0000FF"/>
              </w:rPr>
            </w:pPr>
          </w:p>
        </w:tc>
        <w:tc>
          <w:tcPr>
            <w:tcW w:w="878" w:type="dxa"/>
            <w:tcBorders>
              <w:top w:val="single" w:sz="4" w:space="0" w:color="000000"/>
            </w:tcBorders>
            <w:vAlign w:val="bottom"/>
          </w:tcPr>
          <w:p w14:paraId="5EC86C37"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49EC6D4B" w14:textId="77777777" w:rsidR="008E5DE4" w:rsidRDefault="008E5DE4">
            <w:pPr>
              <w:widowControl w:val="0"/>
              <w:pBdr>
                <w:top w:val="nil"/>
                <w:left w:val="nil"/>
                <w:bottom w:val="nil"/>
                <w:right w:val="nil"/>
                <w:between w:val="nil"/>
              </w:pBdr>
              <w:jc w:val="right"/>
              <w:rPr>
                <w:color w:val="0000FF"/>
              </w:rPr>
            </w:pPr>
          </w:p>
        </w:tc>
        <w:tc>
          <w:tcPr>
            <w:tcW w:w="571" w:type="dxa"/>
            <w:tcBorders>
              <w:top w:val="single" w:sz="4" w:space="0" w:color="000000"/>
            </w:tcBorders>
            <w:vAlign w:val="bottom"/>
          </w:tcPr>
          <w:p w14:paraId="0E29C4FE" w14:textId="77777777" w:rsidR="008E5DE4" w:rsidRDefault="008E5DE4">
            <w:pPr>
              <w:widowControl w:val="0"/>
              <w:pBdr>
                <w:top w:val="nil"/>
                <w:left w:val="nil"/>
                <w:bottom w:val="nil"/>
                <w:right w:val="nil"/>
                <w:between w:val="nil"/>
              </w:pBdr>
              <w:jc w:val="right"/>
              <w:rPr>
                <w:color w:val="0000FF"/>
              </w:rPr>
            </w:pPr>
          </w:p>
        </w:tc>
        <w:tc>
          <w:tcPr>
            <w:tcW w:w="871" w:type="dxa"/>
            <w:tcBorders>
              <w:top w:val="single" w:sz="4" w:space="0" w:color="000000"/>
            </w:tcBorders>
            <w:vAlign w:val="bottom"/>
          </w:tcPr>
          <w:p w14:paraId="73770994"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38B773A5"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70DC4499" w14:textId="77777777" w:rsidR="008E5DE4" w:rsidRDefault="008E5DE4">
            <w:pPr>
              <w:widowControl w:val="0"/>
              <w:pBdr>
                <w:top w:val="nil"/>
                <w:left w:val="nil"/>
                <w:bottom w:val="nil"/>
                <w:right w:val="nil"/>
                <w:between w:val="nil"/>
              </w:pBdr>
              <w:jc w:val="right"/>
              <w:rPr>
                <w:color w:val="0000FF"/>
              </w:rPr>
            </w:pPr>
          </w:p>
        </w:tc>
        <w:tc>
          <w:tcPr>
            <w:tcW w:w="573" w:type="dxa"/>
            <w:tcBorders>
              <w:top w:val="single" w:sz="4" w:space="0" w:color="000000"/>
            </w:tcBorders>
            <w:vAlign w:val="bottom"/>
          </w:tcPr>
          <w:p w14:paraId="4D40A29C" w14:textId="77777777" w:rsidR="008E5DE4" w:rsidRDefault="008E5DE4">
            <w:pPr>
              <w:widowControl w:val="0"/>
              <w:pBdr>
                <w:top w:val="nil"/>
                <w:left w:val="nil"/>
                <w:bottom w:val="nil"/>
                <w:right w:val="nil"/>
                <w:between w:val="nil"/>
              </w:pBdr>
              <w:jc w:val="right"/>
              <w:rPr>
                <w:color w:val="0000FF"/>
              </w:rPr>
            </w:pPr>
          </w:p>
        </w:tc>
      </w:tr>
      <w:tr w:rsidR="008E5DE4" w14:paraId="084FF210" w14:textId="77777777">
        <w:trPr>
          <w:cantSplit/>
          <w:trHeight w:val="245"/>
        </w:trPr>
        <w:tc>
          <w:tcPr>
            <w:tcW w:w="3061" w:type="dxa"/>
            <w:vAlign w:val="bottom"/>
          </w:tcPr>
          <w:p w14:paraId="1408453B" w14:textId="77777777" w:rsidR="008E5DE4" w:rsidRDefault="00780368">
            <w:pPr>
              <w:widowControl w:val="0"/>
              <w:pBdr>
                <w:top w:val="nil"/>
                <w:left w:val="nil"/>
                <w:bottom w:val="nil"/>
                <w:right w:val="nil"/>
                <w:between w:val="nil"/>
              </w:pBdr>
              <w:ind w:left="113" w:right="-57" w:hanging="113"/>
              <w:rPr>
                <w:b/>
                <w:color w:val="0000FF"/>
              </w:rPr>
            </w:pPr>
            <w:r>
              <w:rPr>
                <w:b/>
                <w:color w:val="0000FF"/>
              </w:rPr>
              <w:t>Total movements with impact on credit loss allowance charge for the period</w:t>
            </w:r>
          </w:p>
        </w:tc>
        <w:tc>
          <w:tcPr>
            <w:tcW w:w="851" w:type="dxa"/>
            <w:vAlign w:val="bottom"/>
          </w:tcPr>
          <w:p w14:paraId="1C54B28A"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78522442"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0245E6CD"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4EB3EC76"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6783483A"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276D65A"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140A0926"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600DB119" w14:textId="77777777" w:rsidR="008E5DE4" w:rsidRDefault="008E5DE4">
            <w:pPr>
              <w:widowControl w:val="0"/>
              <w:pBdr>
                <w:top w:val="nil"/>
                <w:left w:val="nil"/>
                <w:bottom w:val="nil"/>
                <w:right w:val="nil"/>
                <w:between w:val="nil"/>
              </w:pBdr>
              <w:jc w:val="right"/>
              <w:rPr>
                <w:color w:val="0000FF"/>
              </w:rPr>
            </w:pPr>
          </w:p>
        </w:tc>
      </w:tr>
      <w:tr w:rsidR="008E5DE4" w14:paraId="6E5B5C4A" w14:textId="77777777">
        <w:trPr>
          <w:cantSplit/>
          <w:trHeight w:val="80"/>
        </w:trPr>
        <w:tc>
          <w:tcPr>
            <w:tcW w:w="3061" w:type="dxa"/>
            <w:tcBorders>
              <w:bottom w:val="single" w:sz="4" w:space="0" w:color="000000"/>
            </w:tcBorders>
            <w:vAlign w:val="bottom"/>
          </w:tcPr>
          <w:p w14:paraId="7E060B74" w14:textId="77777777" w:rsidR="008E5DE4" w:rsidRDefault="00780368">
            <w:pPr>
              <w:widowControl w:val="0"/>
              <w:pBdr>
                <w:top w:val="nil"/>
                <w:left w:val="nil"/>
                <w:bottom w:val="nil"/>
                <w:right w:val="nil"/>
                <w:between w:val="nil"/>
              </w:pBdr>
              <w:ind w:left="113" w:right="-57" w:hanging="113"/>
              <w:rPr>
                <w:color w:val="0000FF"/>
              </w:rPr>
            </w:pPr>
            <w:r>
              <w:rPr>
                <w:b/>
                <w:color w:val="0000FF"/>
              </w:rPr>
              <w:t> </w:t>
            </w:r>
          </w:p>
        </w:tc>
        <w:tc>
          <w:tcPr>
            <w:tcW w:w="851" w:type="dxa"/>
            <w:tcBorders>
              <w:bottom w:val="single" w:sz="4" w:space="0" w:color="000000"/>
            </w:tcBorders>
            <w:vAlign w:val="bottom"/>
          </w:tcPr>
          <w:p w14:paraId="48F25175" w14:textId="77777777" w:rsidR="008E5DE4" w:rsidRDefault="008E5DE4">
            <w:pPr>
              <w:widowControl w:val="0"/>
              <w:pBdr>
                <w:top w:val="nil"/>
                <w:left w:val="nil"/>
                <w:bottom w:val="nil"/>
                <w:right w:val="nil"/>
                <w:between w:val="nil"/>
              </w:pBdr>
              <w:jc w:val="right"/>
              <w:rPr>
                <w:color w:val="0000FF"/>
              </w:rPr>
            </w:pPr>
          </w:p>
        </w:tc>
        <w:tc>
          <w:tcPr>
            <w:tcW w:w="878" w:type="dxa"/>
            <w:tcBorders>
              <w:bottom w:val="single" w:sz="4" w:space="0" w:color="000000"/>
            </w:tcBorders>
            <w:vAlign w:val="bottom"/>
          </w:tcPr>
          <w:p w14:paraId="132BDA23"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145C2205" w14:textId="77777777" w:rsidR="008E5DE4" w:rsidRDefault="008E5DE4">
            <w:pPr>
              <w:widowControl w:val="0"/>
              <w:pBdr>
                <w:top w:val="nil"/>
                <w:left w:val="nil"/>
                <w:bottom w:val="nil"/>
                <w:right w:val="nil"/>
                <w:between w:val="nil"/>
              </w:pBdr>
              <w:jc w:val="right"/>
              <w:rPr>
                <w:color w:val="0000FF"/>
              </w:rPr>
            </w:pPr>
          </w:p>
        </w:tc>
        <w:tc>
          <w:tcPr>
            <w:tcW w:w="571" w:type="dxa"/>
            <w:tcBorders>
              <w:bottom w:val="single" w:sz="4" w:space="0" w:color="000000"/>
            </w:tcBorders>
            <w:vAlign w:val="bottom"/>
          </w:tcPr>
          <w:p w14:paraId="2D91E139" w14:textId="77777777" w:rsidR="008E5DE4" w:rsidRDefault="008E5DE4">
            <w:pPr>
              <w:widowControl w:val="0"/>
              <w:pBdr>
                <w:top w:val="nil"/>
                <w:left w:val="nil"/>
                <w:bottom w:val="nil"/>
                <w:right w:val="nil"/>
                <w:between w:val="nil"/>
              </w:pBdr>
              <w:jc w:val="right"/>
              <w:rPr>
                <w:color w:val="0000FF"/>
              </w:rPr>
            </w:pPr>
          </w:p>
        </w:tc>
        <w:tc>
          <w:tcPr>
            <w:tcW w:w="871" w:type="dxa"/>
            <w:tcBorders>
              <w:bottom w:val="single" w:sz="4" w:space="0" w:color="000000"/>
            </w:tcBorders>
            <w:vAlign w:val="bottom"/>
          </w:tcPr>
          <w:p w14:paraId="507A2584"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78FE22AC"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48852C00" w14:textId="77777777" w:rsidR="008E5DE4" w:rsidRDefault="008E5DE4">
            <w:pPr>
              <w:widowControl w:val="0"/>
              <w:pBdr>
                <w:top w:val="nil"/>
                <w:left w:val="nil"/>
                <w:bottom w:val="nil"/>
                <w:right w:val="nil"/>
                <w:between w:val="nil"/>
              </w:pBdr>
              <w:jc w:val="right"/>
              <w:rPr>
                <w:color w:val="0000FF"/>
              </w:rPr>
            </w:pPr>
          </w:p>
        </w:tc>
        <w:tc>
          <w:tcPr>
            <w:tcW w:w="573" w:type="dxa"/>
            <w:tcBorders>
              <w:bottom w:val="single" w:sz="4" w:space="0" w:color="000000"/>
            </w:tcBorders>
            <w:vAlign w:val="bottom"/>
          </w:tcPr>
          <w:p w14:paraId="37F5DE3B" w14:textId="77777777" w:rsidR="008E5DE4" w:rsidRDefault="008E5DE4">
            <w:pPr>
              <w:widowControl w:val="0"/>
              <w:pBdr>
                <w:top w:val="nil"/>
                <w:left w:val="nil"/>
                <w:bottom w:val="nil"/>
                <w:right w:val="nil"/>
                <w:between w:val="nil"/>
              </w:pBdr>
              <w:jc w:val="right"/>
              <w:rPr>
                <w:color w:val="0000FF"/>
              </w:rPr>
            </w:pPr>
          </w:p>
        </w:tc>
      </w:tr>
      <w:tr w:rsidR="008E5DE4" w14:paraId="52B4FCAA" w14:textId="77777777">
        <w:trPr>
          <w:cantSplit/>
          <w:trHeight w:val="153"/>
        </w:trPr>
        <w:tc>
          <w:tcPr>
            <w:tcW w:w="3061" w:type="dxa"/>
            <w:tcBorders>
              <w:top w:val="single" w:sz="4" w:space="0" w:color="000000"/>
            </w:tcBorders>
            <w:vAlign w:val="bottom"/>
          </w:tcPr>
          <w:p w14:paraId="41F08170" w14:textId="77777777" w:rsidR="008E5DE4" w:rsidRDefault="00780368">
            <w:pPr>
              <w:widowControl w:val="0"/>
              <w:pBdr>
                <w:top w:val="nil"/>
                <w:left w:val="nil"/>
                <w:bottom w:val="nil"/>
                <w:right w:val="nil"/>
                <w:between w:val="nil"/>
              </w:pBdr>
              <w:ind w:left="113" w:right="-57" w:hanging="113"/>
              <w:rPr>
                <w:color w:val="0000FF"/>
              </w:rPr>
            </w:pPr>
            <w:r>
              <w:rPr>
                <w:b/>
                <w:color w:val="0000FF"/>
              </w:rPr>
              <w:t> </w:t>
            </w:r>
          </w:p>
        </w:tc>
        <w:tc>
          <w:tcPr>
            <w:tcW w:w="851" w:type="dxa"/>
            <w:tcBorders>
              <w:top w:val="single" w:sz="4" w:space="0" w:color="000000"/>
            </w:tcBorders>
            <w:vAlign w:val="bottom"/>
          </w:tcPr>
          <w:p w14:paraId="42A27796" w14:textId="77777777" w:rsidR="008E5DE4" w:rsidRDefault="008E5DE4">
            <w:pPr>
              <w:widowControl w:val="0"/>
              <w:pBdr>
                <w:top w:val="nil"/>
                <w:left w:val="nil"/>
                <w:bottom w:val="nil"/>
                <w:right w:val="nil"/>
                <w:between w:val="nil"/>
              </w:pBdr>
              <w:jc w:val="right"/>
              <w:rPr>
                <w:color w:val="0000FF"/>
              </w:rPr>
            </w:pPr>
          </w:p>
        </w:tc>
        <w:tc>
          <w:tcPr>
            <w:tcW w:w="878" w:type="dxa"/>
            <w:tcBorders>
              <w:top w:val="single" w:sz="4" w:space="0" w:color="000000"/>
            </w:tcBorders>
            <w:vAlign w:val="bottom"/>
          </w:tcPr>
          <w:p w14:paraId="6DD27D6C"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3F228076" w14:textId="77777777" w:rsidR="008E5DE4" w:rsidRDefault="008E5DE4">
            <w:pPr>
              <w:widowControl w:val="0"/>
              <w:pBdr>
                <w:top w:val="nil"/>
                <w:left w:val="nil"/>
                <w:bottom w:val="nil"/>
                <w:right w:val="nil"/>
                <w:between w:val="nil"/>
              </w:pBdr>
              <w:jc w:val="right"/>
              <w:rPr>
                <w:color w:val="0000FF"/>
              </w:rPr>
            </w:pPr>
          </w:p>
        </w:tc>
        <w:tc>
          <w:tcPr>
            <w:tcW w:w="571" w:type="dxa"/>
            <w:tcBorders>
              <w:top w:val="single" w:sz="4" w:space="0" w:color="000000"/>
            </w:tcBorders>
            <w:vAlign w:val="bottom"/>
          </w:tcPr>
          <w:p w14:paraId="29A6FBD2" w14:textId="77777777" w:rsidR="008E5DE4" w:rsidRDefault="008E5DE4">
            <w:pPr>
              <w:widowControl w:val="0"/>
              <w:pBdr>
                <w:top w:val="nil"/>
                <w:left w:val="nil"/>
                <w:bottom w:val="nil"/>
                <w:right w:val="nil"/>
                <w:between w:val="nil"/>
              </w:pBdr>
              <w:jc w:val="right"/>
              <w:rPr>
                <w:color w:val="0000FF"/>
              </w:rPr>
            </w:pPr>
          </w:p>
        </w:tc>
        <w:tc>
          <w:tcPr>
            <w:tcW w:w="871" w:type="dxa"/>
            <w:tcBorders>
              <w:top w:val="single" w:sz="4" w:space="0" w:color="000000"/>
            </w:tcBorders>
            <w:vAlign w:val="bottom"/>
          </w:tcPr>
          <w:p w14:paraId="06176FAC"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4C23DECB"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1726EC43" w14:textId="77777777" w:rsidR="008E5DE4" w:rsidRDefault="008E5DE4">
            <w:pPr>
              <w:widowControl w:val="0"/>
              <w:pBdr>
                <w:top w:val="nil"/>
                <w:left w:val="nil"/>
                <w:bottom w:val="nil"/>
                <w:right w:val="nil"/>
                <w:between w:val="nil"/>
              </w:pBdr>
              <w:jc w:val="right"/>
              <w:rPr>
                <w:color w:val="0000FF"/>
              </w:rPr>
            </w:pPr>
          </w:p>
        </w:tc>
        <w:tc>
          <w:tcPr>
            <w:tcW w:w="573" w:type="dxa"/>
            <w:tcBorders>
              <w:top w:val="single" w:sz="4" w:space="0" w:color="000000"/>
            </w:tcBorders>
            <w:vAlign w:val="bottom"/>
          </w:tcPr>
          <w:p w14:paraId="4B428A00" w14:textId="77777777" w:rsidR="008E5DE4" w:rsidRDefault="008E5DE4">
            <w:pPr>
              <w:widowControl w:val="0"/>
              <w:pBdr>
                <w:top w:val="nil"/>
                <w:left w:val="nil"/>
                <w:bottom w:val="nil"/>
                <w:right w:val="nil"/>
                <w:between w:val="nil"/>
              </w:pBdr>
              <w:jc w:val="right"/>
              <w:rPr>
                <w:color w:val="0000FF"/>
              </w:rPr>
            </w:pPr>
          </w:p>
        </w:tc>
      </w:tr>
      <w:tr w:rsidR="008E5DE4" w14:paraId="5599FCEA" w14:textId="77777777">
        <w:trPr>
          <w:cantSplit/>
          <w:trHeight w:val="692"/>
        </w:trPr>
        <w:tc>
          <w:tcPr>
            <w:tcW w:w="3061" w:type="dxa"/>
            <w:vAlign w:val="bottom"/>
          </w:tcPr>
          <w:p w14:paraId="044DD75C" w14:textId="77777777" w:rsidR="008E5DE4" w:rsidRDefault="00780368">
            <w:pPr>
              <w:widowControl w:val="0"/>
              <w:pBdr>
                <w:top w:val="nil"/>
                <w:left w:val="nil"/>
                <w:bottom w:val="nil"/>
                <w:right w:val="nil"/>
                <w:between w:val="nil"/>
              </w:pBdr>
              <w:ind w:left="113" w:right="-57" w:hanging="113"/>
              <w:rPr>
                <w:b/>
                <w:color w:val="0000FF"/>
              </w:rPr>
            </w:pPr>
            <w:r>
              <w:rPr>
                <w:i/>
                <w:color w:val="0000FF"/>
              </w:rPr>
              <w:t>Movements without impact on credit loss allowance charge for the period:</w:t>
            </w:r>
          </w:p>
          <w:p w14:paraId="394B907B" w14:textId="77777777" w:rsidR="008E5DE4" w:rsidRDefault="008E5DE4">
            <w:pPr>
              <w:widowControl w:val="0"/>
              <w:pBdr>
                <w:top w:val="nil"/>
                <w:left w:val="nil"/>
                <w:bottom w:val="nil"/>
                <w:right w:val="nil"/>
                <w:between w:val="nil"/>
              </w:pBdr>
              <w:ind w:right="-57"/>
              <w:rPr>
                <w:color w:val="0000FF"/>
                <w:sz w:val="8"/>
                <w:szCs w:val="8"/>
              </w:rPr>
            </w:pPr>
          </w:p>
        </w:tc>
        <w:tc>
          <w:tcPr>
            <w:tcW w:w="851" w:type="dxa"/>
            <w:vAlign w:val="bottom"/>
          </w:tcPr>
          <w:p w14:paraId="22F29108"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4EB2AB49"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3761DF05"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40B591F1" w14:textId="77777777" w:rsidR="008E5DE4" w:rsidRDefault="008E5DE4">
            <w:pPr>
              <w:widowControl w:val="0"/>
              <w:pBdr>
                <w:top w:val="nil"/>
                <w:left w:val="nil"/>
                <w:bottom w:val="nil"/>
                <w:right w:val="nil"/>
                <w:between w:val="nil"/>
              </w:pBdr>
              <w:jc w:val="right"/>
              <w:rPr>
                <w:color w:val="0000FF"/>
                <w:highlight w:val="green"/>
              </w:rPr>
            </w:pPr>
          </w:p>
        </w:tc>
        <w:tc>
          <w:tcPr>
            <w:tcW w:w="871" w:type="dxa"/>
            <w:vAlign w:val="bottom"/>
          </w:tcPr>
          <w:p w14:paraId="10AC9D33"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49176E6A"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22F3BDE3"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7BC87E16" w14:textId="77777777" w:rsidR="008E5DE4" w:rsidRDefault="008E5DE4">
            <w:pPr>
              <w:widowControl w:val="0"/>
              <w:pBdr>
                <w:top w:val="nil"/>
                <w:left w:val="nil"/>
                <w:bottom w:val="nil"/>
                <w:right w:val="nil"/>
                <w:between w:val="nil"/>
              </w:pBdr>
              <w:jc w:val="right"/>
              <w:rPr>
                <w:color w:val="0000FF"/>
                <w:highlight w:val="green"/>
              </w:rPr>
            </w:pPr>
          </w:p>
        </w:tc>
      </w:tr>
      <w:tr w:rsidR="008E5DE4" w14:paraId="05B7C543" w14:textId="77777777">
        <w:trPr>
          <w:cantSplit/>
          <w:trHeight w:val="169"/>
        </w:trPr>
        <w:tc>
          <w:tcPr>
            <w:tcW w:w="3061" w:type="dxa"/>
            <w:vAlign w:val="bottom"/>
          </w:tcPr>
          <w:p w14:paraId="0F887EA5" w14:textId="77777777" w:rsidR="008E5DE4" w:rsidRDefault="00780368">
            <w:pPr>
              <w:widowControl w:val="0"/>
              <w:pBdr>
                <w:top w:val="nil"/>
                <w:left w:val="nil"/>
                <w:bottom w:val="nil"/>
                <w:right w:val="nil"/>
                <w:between w:val="nil"/>
              </w:pBdr>
              <w:ind w:left="113" w:right="-57" w:hanging="113"/>
              <w:rPr>
                <w:color w:val="0000FF"/>
              </w:rPr>
            </w:pPr>
            <w:r>
              <w:rPr>
                <w:color w:val="0000FF"/>
              </w:rPr>
              <w:t>Write-offs</w:t>
            </w:r>
          </w:p>
        </w:tc>
        <w:tc>
          <w:tcPr>
            <w:tcW w:w="851" w:type="dxa"/>
            <w:vAlign w:val="bottom"/>
          </w:tcPr>
          <w:p w14:paraId="026F270F"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7D3A16E1"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388CAAEE"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07863A51" w14:textId="77777777" w:rsidR="008E5DE4" w:rsidRDefault="008E5DE4">
            <w:pPr>
              <w:widowControl w:val="0"/>
              <w:pBdr>
                <w:top w:val="nil"/>
                <w:left w:val="nil"/>
                <w:bottom w:val="nil"/>
                <w:right w:val="nil"/>
                <w:between w:val="nil"/>
              </w:pBdr>
              <w:jc w:val="right"/>
              <w:rPr>
                <w:color w:val="0000FF"/>
                <w:highlight w:val="green"/>
              </w:rPr>
            </w:pPr>
          </w:p>
        </w:tc>
        <w:tc>
          <w:tcPr>
            <w:tcW w:w="871" w:type="dxa"/>
            <w:vAlign w:val="bottom"/>
          </w:tcPr>
          <w:p w14:paraId="4377DE56"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689969D3"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607DA2A9"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4ED61385" w14:textId="77777777" w:rsidR="008E5DE4" w:rsidRDefault="008E5DE4">
            <w:pPr>
              <w:widowControl w:val="0"/>
              <w:pBdr>
                <w:top w:val="nil"/>
                <w:left w:val="nil"/>
                <w:bottom w:val="nil"/>
                <w:right w:val="nil"/>
                <w:between w:val="nil"/>
              </w:pBdr>
              <w:jc w:val="right"/>
              <w:rPr>
                <w:color w:val="0000FF"/>
                <w:highlight w:val="green"/>
              </w:rPr>
            </w:pPr>
          </w:p>
        </w:tc>
      </w:tr>
      <w:tr w:rsidR="008E5DE4" w14:paraId="17A3AE1E" w14:textId="77777777">
        <w:trPr>
          <w:cantSplit/>
          <w:trHeight w:val="169"/>
        </w:trPr>
        <w:tc>
          <w:tcPr>
            <w:tcW w:w="3061" w:type="dxa"/>
            <w:vAlign w:val="bottom"/>
          </w:tcPr>
          <w:p w14:paraId="76175D0D" w14:textId="77777777" w:rsidR="008E5DE4" w:rsidRDefault="00780368">
            <w:pPr>
              <w:widowControl w:val="0"/>
              <w:pBdr>
                <w:top w:val="nil"/>
                <w:left w:val="nil"/>
                <w:bottom w:val="nil"/>
                <w:right w:val="nil"/>
                <w:between w:val="nil"/>
              </w:pBdr>
              <w:ind w:left="113" w:right="-57" w:hanging="113"/>
              <w:rPr>
                <w:color w:val="0000FF"/>
              </w:rPr>
            </w:pPr>
            <w:r>
              <w:rPr>
                <w:color w:val="0000FF"/>
              </w:rPr>
              <w:t>Foreign exchange and other movements</w:t>
            </w:r>
          </w:p>
        </w:tc>
        <w:tc>
          <w:tcPr>
            <w:tcW w:w="851" w:type="dxa"/>
            <w:vAlign w:val="bottom"/>
          </w:tcPr>
          <w:p w14:paraId="7959A106"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7E835332"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0F1B9449"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30147662" w14:textId="77777777" w:rsidR="008E5DE4" w:rsidRDefault="008E5DE4">
            <w:pPr>
              <w:widowControl w:val="0"/>
              <w:pBdr>
                <w:top w:val="nil"/>
                <w:left w:val="nil"/>
                <w:bottom w:val="nil"/>
                <w:right w:val="nil"/>
                <w:between w:val="nil"/>
              </w:pBdr>
              <w:jc w:val="right"/>
              <w:rPr>
                <w:color w:val="0000FF"/>
                <w:highlight w:val="green"/>
              </w:rPr>
            </w:pPr>
          </w:p>
        </w:tc>
        <w:tc>
          <w:tcPr>
            <w:tcW w:w="871" w:type="dxa"/>
            <w:vAlign w:val="bottom"/>
          </w:tcPr>
          <w:p w14:paraId="1C0E5A7B"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6DB1E218"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5C3BA283"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76D655BA" w14:textId="77777777" w:rsidR="008E5DE4" w:rsidRDefault="008E5DE4">
            <w:pPr>
              <w:widowControl w:val="0"/>
              <w:pBdr>
                <w:top w:val="nil"/>
                <w:left w:val="nil"/>
                <w:bottom w:val="nil"/>
                <w:right w:val="nil"/>
                <w:between w:val="nil"/>
              </w:pBdr>
              <w:jc w:val="right"/>
              <w:rPr>
                <w:color w:val="0000FF"/>
                <w:highlight w:val="green"/>
              </w:rPr>
            </w:pPr>
          </w:p>
        </w:tc>
      </w:tr>
      <w:tr w:rsidR="008E5DE4" w14:paraId="41E2658E" w14:textId="77777777">
        <w:trPr>
          <w:cantSplit/>
          <w:trHeight w:val="337"/>
        </w:trPr>
        <w:tc>
          <w:tcPr>
            <w:tcW w:w="3061" w:type="dxa"/>
            <w:vAlign w:val="bottom"/>
          </w:tcPr>
          <w:p w14:paraId="7D5B7DF3" w14:textId="77777777" w:rsidR="008E5DE4" w:rsidRDefault="00780368">
            <w:pPr>
              <w:widowControl w:val="0"/>
              <w:pBdr>
                <w:top w:val="nil"/>
                <w:left w:val="nil"/>
                <w:bottom w:val="nil"/>
                <w:right w:val="nil"/>
                <w:between w:val="nil"/>
              </w:pBdr>
              <w:ind w:left="113" w:right="-57" w:hanging="113"/>
              <w:rPr>
                <w:color w:val="0000FF"/>
              </w:rPr>
            </w:pPr>
            <w:r>
              <w:rPr>
                <w:color w:val="0000FF"/>
              </w:rPr>
              <w:t>Modification of contractual cash flows</w:t>
            </w:r>
          </w:p>
        </w:tc>
        <w:tc>
          <w:tcPr>
            <w:tcW w:w="851" w:type="dxa"/>
            <w:vAlign w:val="bottom"/>
          </w:tcPr>
          <w:p w14:paraId="39FBD74D"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0D7F80EA"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F813F9C"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4C724320"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5685FB6A"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D0AF4B6"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585AD6D6"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2FF0BF29" w14:textId="77777777" w:rsidR="008E5DE4" w:rsidRDefault="008E5DE4">
            <w:pPr>
              <w:widowControl w:val="0"/>
              <w:pBdr>
                <w:top w:val="nil"/>
                <w:left w:val="nil"/>
                <w:bottom w:val="nil"/>
                <w:right w:val="nil"/>
                <w:between w:val="nil"/>
              </w:pBdr>
              <w:jc w:val="right"/>
              <w:rPr>
                <w:color w:val="0000FF"/>
              </w:rPr>
            </w:pPr>
          </w:p>
        </w:tc>
      </w:tr>
      <w:tr w:rsidR="008E5DE4" w14:paraId="629545A5" w14:textId="77777777">
        <w:trPr>
          <w:cantSplit/>
          <w:trHeight w:val="231"/>
        </w:trPr>
        <w:tc>
          <w:tcPr>
            <w:tcW w:w="3061" w:type="dxa"/>
            <w:vAlign w:val="bottom"/>
          </w:tcPr>
          <w:p w14:paraId="255ED460" w14:textId="77777777" w:rsidR="008E5DE4" w:rsidRDefault="00780368">
            <w:pPr>
              <w:widowControl w:val="0"/>
              <w:pBdr>
                <w:top w:val="nil"/>
                <w:left w:val="nil"/>
                <w:bottom w:val="nil"/>
                <w:right w:val="nil"/>
                <w:between w:val="nil"/>
              </w:pBdr>
              <w:ind w:left="113" w:right="-57" w:hanging="113"/>
              <w:rPr>
                <w:color w:val="0000FF"/>
              </w:rPr>
            </w:pPr>
            <w:r>
              <w:rPr>
                <w:color w:val="0000FF"/>
              </w:rPr>
              <w:t xml:space="preserve">Unwinding of discount (for Stage 3) </w:t>
            </w:r>
          </w:p>
        </w:tc>
        <w:tc>
          <w:tcPr>
            <w:tcW w:w="851" w:type="dxa"/>
            <w:vAlign w:val="bottom"/>
          </w:tcPr>
          <w:p w14:paraId="42062DE8"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021BFE9E"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0703A501"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31DDD449"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2625B27A"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0F3CC53B"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29672E88"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7670DB2D" w14:textId="77777777" w:rsidR="008E5DE4" w:rsidRDefault="008E5DE4">
            <w:pPr>
              <w:widowControl w:val="0"/>
              <w:pBdr>
                <w:top w:val="nil"/>
                <w:left w:val="nil"/>
                <w:bottom w:val="nil"/>
                <w:right w:val="nil"/>
                <w:between w:val="nil"/>
              </w:pBdr>
              <w:jc w:val="right"/>
              <w:rPr>
                <w:color w:val="0000FF"/>
              </w:rPr>
            </w:pPr>
          </w:p>
        </w:tc>
      </w:tr>
      <w:tr w:rsidR="008E5DE4" w14:paraId="0C1808E9" w14:textId="77777777">
        <w:trPr>
          <w:cantSplit/>
          <w:trHeight w:val="169"/>
        </w:trPr>
        <w:tc>
          <w:tcPr>
            <w:tcW w:w="3061" w:type="dxa"/>
            <w:tcBorders>
              <w:bottom w:val="single" w:sz="4" w:space="0" w:color="000000"/>
            </w:tcBorders>
            <w:vAlign w:val="bottom"/>
          </w:tcPr>
          <w:p w14:paraId="139DA994" w14:textId="77777777" w:rsidR="008E5DE4" w:rsidRDefault="00780368">
            <w:pPr>
              <w:widowControl w:val="0"/>
              <w:pBdr>
                <w:top w:val="nil"/>
                <w:left w:val="nil"/>
                <w:bottom w:val="nil"/>
                <w:right w:val="nil"/>
                <w:between w:val="nil"/>
              </w:pBdr>
              <w:ind w:left="113" w:right="-57" w:hanging="113"/>
              <w:rPr>
                <w:b/>
                <w:color w:val="0000FF"/>
              </w:rPr>
            </w:pPr>
            <w:r>
              <w:rPr>
                <w:b/>
                <w:color w:val="0000FF"/>
              </w:rPr>
              <w:t> </w:t>
            </w:r>
          </w:p>
        </w:tc>
        <w:tc>
          <w:tcPr>
            <w:tcW w:w="851" w:type="dxa"/>
            <w:tcBorders>
              <w:bottom w:val="single" w:sz="4" w:space="0" w:color="000000"/>
            </w:tcBorders>
            <w:vAlign w:val="bottom"/>
          </w:tcPr>
          <w:p w14:paraId="227F560E" w14:textId="77777777" w:rsidR="008E5DE4" w:rsidRDefault="008E5DE4">
            <w:pPr>
              <w:widowControl w:val="0"/>
              <w:pBdr>
                <w:top w:val="nil"/>
                <w:left w:val="nil"/>
                <w:bottom w:val="nil"/>
                <w:right w:val="nil"/>
                <w:between w:val="nil"/>
              </w:pBdr>
              <w:jc w:val="right"/>
              <w:rPr>
                <w:color w:val="0000FF"/>
              </w:rPr>
            </w:pPr>
          </w:p>
        </w:tc>
        <w:tc>
          <w:tcPr>
            <w:tcW w:w="878" w:type="dxa"/>
            <w:tcBorders>
              <w:bottom w:val="single" w:sz="4" w:space="0" w:color="000000"/>
            </w:tcBorders>
            <w:vAlign w:val="bottom"/>
          </w:tcPr>
          <w:p w14:paraId="0A150EE9"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64E9C07B" w14:textId="77777777" w:rsidR="008E5DE4" w:rsidRDefault="008E5DE4">
            <w:pPr>
              <w:widowControl w:val="0"/>
              <w:pBdr>
                <w:top w:val="nil"/>
                <w:left w:val="nil"/>
                <w:bottom w:val="nil"/>
                <w:right w:val="nil"/>
                <w:between w:val="nil"/>
              </w:pBdr>
              <w:jc w:val="right"/>
              <w:rPr>
                <w:color w:val="0000FF"/>
              </w:rPr>
            </w:pPr>
          </w:p>
        </w:tc>
        <w:tc>
          <w:tcPr>
            <w:tcW w:w="571" w:type="dxa"/>
            <w:tcBorders>
              <w:bottom w:val="single" w:sz="4" w:space="0" w:color="000000"/>
            </w:tcBorders>
            <w:vAlign w:val="bottom"/>
          </w:tcPr>
          <w:p w14:paraId="768A2597" w14:textId="77777777" w:rsidR="008E5DE4" w:rsidRDefault="008E5DE4">
            <w:pPr>
              <w:widowControl w:val="0"/>
              <w:pBdr>
                <w:top w:val="nil"/>
                <w:left w:val="nil"/>
                <w:bottom w:val="nil"/>
                <w:right w:val="nil"/>
                <w:between w:val="nil"/>
              </w:pBdr>
              <w:jc w:val="right"/>
              <w:rPr>
                <w:color w:val="0000FF"/>
              </w:rPr>
            </w:pPr>
          </w:p>
        </w:tc>
        <w:tc>
          <w:tcPr>
            <w:tcW w:w="871" w:type="dxa"/>
            <w:tcBorders>
              <w:bottom w:val="single" w:sz="4" w:space="0" w:color="000000"/>
            </w:tcBorders>
            <w:vAlign w:val="bottom"/>
          </w:tcPr>
          <w:p w14:paraId="2CD11C2D"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6D32A9CF"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4BA964A2" w14:textId="77777777" w:rsidR="008E5DE4" w:rsidRDefault="008E5DE4">
            <w:pPr>
              <w:widowControl w:val="0"/>
              <w:pBdr>
                <w:top w:val="nil"/>
                <w:left w:val="nil"/>
                <w:bottom w:val="nil"/>
                <w:right w:val="nil"/>
                <w:between w:val="nil"/>
              </w:pBdr>
              <w:jc w:val="right"/>
              <w:rPr>
                <w:color w:val="0000FF"/>
              </w:rPr>
            </w:pPr>
          </w:p>
        </w:tc>
        <w:tc>
          <w:tcPr>
            <w:tcW w:w="573" w:type="dxa"/>
            <w:tcBorders>
              <w:bottom w:val="single" w:sz="4" w:space="0" w:color="000000"/>
            </w:tcBorders>
            <w:vAlign w:val="bottom"/>
          </w:tcPr>
          <w:p w14:paraId="3C866D33" w14:textId="77777777" w:rsidR="008E5DE4" w:rsidRDefault="008E5DE4">
            <w:pPr>
              <w:widowControl w:val="0"/>
              <w:pBdr>
                <w:top w:val="nil"/>
                <w:left w:val="nil"/>
                <w:bottom w:val="nil"/>
                <w:right w:val="nil"/>
                <w:between w:val="nil"/>
              </w:pBdr>
              <w:jc w:val="right"/>
              <w:rPr>
                <w:color w:val="0000FF"/>
              </w:rPr>
            </w:pPr>
          </w:p>
        </w:tc>
      </w:tr>
      <w:tr w:rsidR="008E5DE4" w14:paraId="34D2BFF3" w14:textId="77777777">
        <w:trPr>
          <w:cantSplit/>
          <w:trHeight w:val="169"/>
        </w:trPr>
        <w:tc>
          <w:tcPr>
            <w:tcW w:w="3061" w:type="dxa"/>
            <w:tcBorders>
              <w:top w:val="single" w:sz="4" w:space="0" w:color="000000"/>
            </w:tcBorders>
            <w:vAlign w:val="bottom"/>
          </w:tcPr>
          <w:p w14:paraId="111A7BC9" w14:textId="77777777" w:rsidR="008E5DE4" w:rsidRDefault="00780368">
            <w:pPr>
              <w:widowControl w:val="0"/>
              <w:pBdr>
                <w:top w:val="nil"/>
                <w:left w:val="nil"/>
                <w:bottom w:val="nil"/>
                <w:right w:val="nil"/>
                <w:between w:val="nil"/>
              </w:pBdr>
              <w:ind w:left="113" w:right="-57" w:hanging="113"/>
              <w:rPr>
                <w:color w:val="0000FF"/>
                <w:u w:val="single"/>
              </w:rPr>
            </w:pPr>
            <w:r>
              <w:rPr>
                <w:b/>
                <w:color w:val="0000FF"/>
              </w:rPr>
              <w:t> </w:t>
            </w:r>
          </w:p>
        </w:tc>
        <w:tc>
          <w:tcPr>
            <w:tcW w:w="851" w:type="dxa"/>
            <w:tcBorders>
              <w:top w:val="single" w:sz="4" w:space="0" w:color="000000"/>
            </w:tcBorders>
            <w:vAlign w:val="bottom"/>
          </w:tcPr>
          <w:p w14:paraId="400B76C8" w14:textId="77777777" w:rsidR="008E5DE4" w:rsidRDefault="008E5DE4">
            <w:pPr>
              <w:widowControl w:val="0"/>
              <w:pBdr>
                <w:top w:val="nil"/>
                <w:left w:val="nil"/>
                <w:bottom w:val="nil"/>
                <w:right w:val="nil"/>
                <w:between w:val="nil"/>
              </w:pBdr>
              <w:jc w:val="right"/>
              <w:rPr>
                <w:color w:val="0000FF"/>
              </w:rPr>
            </w:pPr>
          </w:p>
        </w:tc>
        <w:tc>
          <w:tcPr>
            <w:tcW w:w="878" w:type="dxa"/>
            <w:tcBorders>
              <w:top w:val="single" w:sz="4" w:space="0" w:color="000000"/>
            </w:tcBorders>
            <w:vAlign w:val="bottom"/>
          </w:tcPr>
          <w:p w14:paraId="12D8A94E"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1CE3D63A" w14:textId="77777777" w:rsidR="008E5DE4" w:rsidRDefault="008E5DE4">
            <w:pPr>
              <w:widowControl w:val="0"/>
              <w:pBdr>
                <w:top w:val="nil"/>
                <w:left w:val="nil"/>
                <w:bottom w:val="nil"/>
                <w:right w:val="nil"/>
                <w:between w:val="nil"/>
              </w:pBdr>
              <w:jc w:val="right"/>
              <w:rPr>
                <w:color w:val="0000FF"/>
              </w:rPr>
            </w:pPr>
          </w:p>
        </w:tc>
        <w:tc>
          <w:tcPr>
            <w:tcW w:w="571" w:type="dxa"/>
            <w:tcBorders>
              <w:top w:val="single" w:sz="4" w:space="0" w:color="000000"/>
            </w:tcBorders>
            <w:vAlign w:val="bottom"/>
          </w:tcPr>
          <w:p w14:paraId="6B9E2E15" w14:textId="77777777" w:rsidR="008E5DE4" w:rsidRDefault="008E5DE4">
            <w:pPr>
              <w:widowControl w:val="0"/>
              <w:pBdr>
                <w:top w:val="nil"/>
                <w:left w:val="nil"/>
                <w:bottom w:val="nil"/>
                <w:right w:val="nil"/>
                <w:between w:val="nil"/>
              </w:pBdr>
              <w:jc w:val="right"/>
              <w:rPr>
                <w:color w:val="0000FF"/>
              </w:rPr>
            </w:pPr>
          </w:p>
        </w:tc>
        <w:tc>
          <w:tcPr>
            <w:tcW w:w="871" w:type="dxa"/>
            <w:tcBorders>
              <w:top w:val="single" w:sz="4" w:space="0" w:color="000000"/>
            </w:tcBorders>
            <w:vAlign w:val="bottom"/>
          </w:tcPr>
          <w:p w14:paraId="2E5AD29E"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6D4EBBF5"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008D8791" w14:textId="77777777" w:rsidR="008E5DE4" w:rsidRDefault="008E5DE4">
            <w:pPr>
              <w:widowControl w:val="0"/>
              <w:pBdr>
                <w:top w:val="nil"/>
                <w:left w:val="nil"/>
                <w:bottom w:val="nil"/>
                <w:right w:val="nil"/>
                <w:between w:val="nil"/>
              </w:pBdr>
              <w:jc w:val="right"/>
              <w:rPr>
                <w:color w:val="0000FF"/>
              </w:rPr>
            </w:pPr>
          </w:p>
        </w:tc>
        <w:tc>
          <w:tcPr>
            <w:tcW w:w="573" w:type="dxa"/>
            <w:tcBorders>
              <w:top w:val="single" w:sz="4" w:space="0" w:color="000000"/>
            </w:tcBorders>
            <w:vAlign w:val="bottom"/>
          </w:tcPr>
          <w:p w14:paraId="509665F8" w14:textId="77777777" w:rsidR="008E5DE4" w:rsidRDefault="008E5DE4">
            <w:pPr>
              <w:widowControl w:val="0"/>
              <w:pBdr>
                <w:top w:val="nil"/>
                <w:left w:val="nil"/>
                <w:bottom w:val="nil"/>
                <w:right w:val="nil"/>
                <w:between w:val="nil"/>
              </w:pBdr>
              <w:jc w:val="right"/>
              <w:rPr>
                <w:color w:val="0000FF"/>
              </w:rPr>
            </w:pPr>
          </w:p>
        </w:tc>
      </w:tr>
      <w:tr w:rsidR="008E5DE4" w14:paraId="408FAE81" w14:textId="77777777">
        <w:trPr>
          <w:cantSplit/>
          <w:trHeight w:val="169"/>
        </w:trPr>
        <w:tc>
          <w:tcPr>
            <w:tcW w:w="3061" w:type="dxa"/>
            <w:vAlign w:val="bottom"/>
          </w:tcPr>
          <w:p w14:paraId="141A9EF4" w14:textId="738035D3" w:rsidR="008E5DE4" w:rsidRDefault="00780368">
            <w:pPr>
              <w:widowControl w:val="0"/>
              <w:pBdr>
                <w:top w:val="nil"/>
                <w:left w:val="nil"/>
                <w:bottom w:val="nil"/>
                <w:right w:val="nil"/>
                <w:between w:val="nil"/>
              </w:pBdr>
              <w:ind w:left="113" w:right="-57" w:hanging="113"/>
              <w:rPr>
                <w:b/>
                <w:color w:val="0000FF"/>
              </w:rPr>
            </w:pPr>
            <w:proofErr w:type="gramStart"/>
            <w:r>
              <w:rPr>
                <w:b/>
                <w:color w:val="0000FF"/>
              </w:rPr>
              <w:t>At</w:t>
            </w:r>
            <w:proofErr w:type="gramEnd"/>
            <w:r>
              <w:rPr>
                <w:b/>
                <w:color w:val="0000FF"/>
              </w:rPr>
              <w:t xml:space="preserve"> 31 December </w:t>
            </w:r>
            <w:r w:rsidR="008614F8">
              <w:rPr>
                <w:b/>
                <w:color w:val="0000FF"/>
              </w:rPr>
              <w:t>2025</w:t>
            </w:r>
          </w:p>
        </w:tc>
        <w:tc>
          <w:tcPr>
            <w:tcW w:w="851" w:type="dxa"/>
            <w:vAlign w:val="bottom"/>
          </w:tcPr>
          <w:p w14:paraId="5C50A9AA"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1D89D359"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4B7DC916"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33981CF8"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6D9C36F9"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1CF5E958"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21058440"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6BAF5653" w14:textId="77777777" w:rsidR="008E5DE4" w:rsidRDefault="008E5DE4">
            <w:pPr>
              <w:widowControl w:val="0"/>
              <w:pBdr>
                <w:top w:val="nil"/>
                <w:left w:val="nil"/>
                <w:bottom w:val="nil"/>
                <w:right w:val="nil"/>
                <w:between w:val="nil"/>
              </w:pBdr>
              <w:jc w:val="right"/>
              <w:rPr>
                <w:color w:val="0000FF"/>
              </w:rPr>
            </w:pPr>
          </w:p>
        </w:tc>
      </w:tr>
      <w:tr w:rsidR="008E5DE4" w14:paraId="3F5CADA6" w14:textId="77777777">
        <w:trPr>
          <w:cantSplit/>
          <w:trHeight w:val="169"/>
        </w:trPr>
        <w:tc>
          <w:tcPr>
            <w:tcW w:w="3061" w:type="dxa"/>
            <w:tcBorders>
              <w:bottom w:val="single" w:sz="12" w:space="0" w:color="000000"/>
            </w:tcBorders>
            <w:vAlign w:val="bottom"/>
          </w:tcPr>
          <w:p w14:paraId="63266A8B" w14:textId="77777777" w:rsidR="008E5DE4" w:rsidRDefault="00780368">
            <w:pPr>
              <w:widowControl w:val="0"/>
              <w:pBdr>
                <w:top w:val="nil"/>
                <w:left w:val="nil"/>
                <w:bottom w:val="nil"/>
                <w:right w:val="nil"/>
                <w:between w:val="nil"/>
              </w:pBdr>
              <w:ind w:left="113" w:right="-57" w:hanging="113"/>
              <w:rPr>
                <w:b/>
                <w:color w:val="0000FF"/>
              </w:rPr>
            </w:pPr>
            <w:r>
              <w:rPr>
                <w:b/>
                <w:color w:val="0000FF"/>
              </w:rPr>
              <w:t> </w:t>
            </w:r>
          </w:p>
        </w:tc>
        <w:tc>
          <w:tcPr>
            <w:tcW w:w="851" w:type="dxa"/>
            <w:tcBorders>
              <w:bottom w:val="single" w:sz="12" w:space="0" w:color="000000"/>
            </w:tcBorders>
            <w:vAlign w:val="bottom"/>
          </w:tcPr>
          <w:p w14:paraId="53D254F9" w14:textId="77777777" w:rsidR="008E5DE4" w:rsidRDefault="008E5DE4">
            <w:pPr>
              <w:widowControl w:val="0"/>
              <w:pBdr>
                <w:top w:val="nil"/>
                <w:left w:val="nil"/>
                <w:bottom w:val="nil"/>
                <w:right w:val="nil"/>
                <w:between w:val="nil"/>
              </w:pBdr>
              <w:jc w:val="right"/>
              <w:rPr>
                <w:color w:val="0000FF"/>
              </w:rPr>
            </w:pPr>
          </w:p>
        </w:tc>
        <w:tc>
          <w:tcPr>
            <w:tcW w:w="878" w:type="dxa"/>
            <w:tcBorders>
              <w:bottom w:val="single" w:sz="12" w:space="0" w:color="000000"/>
            </w:tcBorders>
            <w:vAlign w:val="bottom"/>
          </w:tcPr>
          <w:p w14:paraId="4712C5AC"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12" w:space="0" w:color="000000"/>
            </w:tcBorders>
            <w:vAlign w:val="bottom"/>
          </w:tcPr>
          <w:p w14:paraId="363642EF" w14:textId="77777777" w:rsidR="008E5DE4" w:rsidRDefault="008E5DE4">
            <w:pPr>
              <w:widowControl w:val="0"/>
              <w:pBdr>
                <w:top w:val="nil"/>
                <w:left w:val="nil"/>
                <w:bottom w:val="nil"/>
                <w:right w:val="nil"/>
                <w:between w:val="nil"/>
              </w:pBdr>
              <w:jc w:val="right"/>
              <w:rPr>
                <w:color w:val="0000FF"/>
              </w:rPr>
            </w:pPr>
          </w:p>
        </w:tc>
        <w:tc>
          <w:tcPr>
            <w:tcW w:w="571" w:type="dxa"/>
            <w:tcBorders>
              <w:bottom w:val="single" w:sz="12" w:space="0" w:color="000000"/>
            </w:tcBorders>
            <w:vAlign w:val="bottom"/>
          </w:tcPr>
          <w:p w14:paraId="5AB2906E" w14:textId="77777777" w:rsidR="008E5DE4" w:rsidRDefault="008E5DE4">
            <w:pPr>
              <w:widowControl w:val="0"/>
              <w:pBdr>
                <w:top w:val="nil"/>
                <w:left w:val="nil"/>
                <w:bottom w:val="nil"/>
                <w:right w:val="nil"/>
                <w:between w:val="nil"/>
              </w:pBdr>
              <w:jc w:val="right"/>
              <w:rPr>
                <w:color w:val="0000FF"/>
              </w:rPr>
            </w:pPr>
          </w:p>
        </w:tc>
        <w:tc>
          <w:tcPr>
            <w:tcW w:w="871" w:type="dxa"/>
            <w:tcBorders>
              <w:bottom w:val="single" w:sz="12" w:space="0" w:color="000000"/>
            </w:tcBorders>
          </w:tcPr>
          <w:p w14:paraId="0F5BC25A"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12" w:space="0" w:color="000000"/>
            </w:tcBorders>
          </w:tcPr>
          <w:p w14:paraId="4E3BA9DF"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12" w:space="0" w:color="000000"/>
            </w:tcBorders>
          </w:tcPr>
          <w:p w14:paraId="61F0AC2C" w14:textId="77777777" w:rsidR="008E5DE4" w:rsidRDefault="008E5DE4">
            <w:pPr>
              <w:widowControl w:val="0"/>
              <w:pBdr>
                <w:top w:val="nil"/>
                <w:left w:val="nil"/>
                <w:bottom w:val="nil"/>
                <w:right w:val="nil"/>
                <w:between w:val="nil"/>
              </w:pBdr>
              <w:jc w:val="right"/>
              <w:rPr>
                <w:color w:val="0000FF"/>
              </w:rPr>
            </w:pPr>
          </w:p>
        </w:tc>
        <w:tc>
          <w:tcPr>
            <w:tcW w:w="573" w:type="dxa"/>
            <w:tcBorders>
              <w:bottom w:val="single" w:sz="12" w:space="0" w:color="000000"/>
            </w:tcBorders>
            <w:vAlign w:val="bottom"/>
          </w:tcPr>
          <w:p w14:paraId="6909FDDB" w14:textId="77777777" w:rsidR="008E5DE4" w:rsidRDefault="008E5DE4">
            <w:pPr>
              <w:widowControl w:val="0"/>
              <w:pBdr>
                <w:top w:val="nil"/>
                <w:left w:val="nil"/>
                <w:bottom w:val="nil"/>
                <w:right w:val="nil"/>
                <w:between w:val="nil"/>
              </w:pBdr>
              <w:jc w:val="right"/>
              <w:rPr>
                <w:color w:val="0000FF"/>
              </w:rPr>
            </w:pPr>
          </w:p>
        </w:tc>
      </w:tr>
    </w:tbl>
    <w:p w14:paraId="617E9324"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15</w:t>
      </w:r>
      <w:r>
        <w:rPr>
          <w:b/>
          <w:color w:val="000000"/>
          <w:sz w:val="20"/>
          <w:szCs w:val="20"/>
        </w:rPr>
        <w:tab/>
        <w:t>Finance Lease Receivables (Continued)</w:t>
      </w:r>
    </w:p>
    <w:p w14:paraId="4FDFC41D" w14:textId="7C315FD6"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Movements in the credit loss allowance and in the gross amortised cost amount of finance lease receivables in </w:t>
      </w:r>
      <w:r w:rsidR="00FF468A">
        <w:rPr>
          <w:color w:val="0000FF"/>
          <w:sz w:val="20"/>
          <w:szCs w:val="20"/>
        </w:rPr>
        <w:t>2024</w:t>
      </w:r>
      <w:r>
        <w:rPr>
          <w:color w:val="0000FF"/>
          <w:sz w:val="20"/>
          <w:szCs w:val="20"/>
        </w:rPr>
        <w:t xml:space="preserve"> were as follows. </w:t>
      </w:r>
    </w:p>
    <w:tbl>
      <w:tblPr>
        <w:tblStyle w:val="affff2"/>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7BBF5A41" w14:textId="77777777">
        <w:trPr>
          <w:cantSplit/>
          <w:trHeight w:val="169"/>
          <w:tblHeader/>
        </w:trPr>
        <w:tc>
          <w:tcPr>
            <w:tcW w:w="3061" w:type="dxa"/>
            <w:vAlign w:val="bottom"/>
          </w:tcPr>
          <w:p w14:paraId="567365EC" w14:textId="77777777" w:rsidR="008E5DE4" w:rsidRDefault="008E5DE4">
            <w:pPr>
              <w:widowControl w:val="0"/>
              <w:pBdr>
                <w:top w:val="nil"/>
                <w:left w:val="nil"/>
                <w:bottom w:val="nil"/>
                <w:right w:val="nil"/>
                <w:between w:val="nil"/>
              </w:pBdr>
              <w:ind w:left="113" w:right="-57" w:hanging="113"/>
              <w:rPr>
                <w:i/>
                <w:color w:val="0000FF"/>
              </w:rPr>
            </w:pPr>
          </w:p>
        </w:tc>
        <w:tc>
          <w:tcPr>
            <w:tcW w:w="3156" w:type="dxa"/>
            <w:gridSpan w:val="4"/>
            <w:tcBorders>
              <w:bottom w:val="single" w:sz="4" w:space="0" w:color="000000"/>
            </w:tcBorders>
          </w:tcPr>
          <w:p w14:paraId="241A0353" w14:textId="77777777" w:rsidR="008E5DE4" w:rsidRDefault="00780368">
            <w:pPr>
              <w:widowControl w:val="0"/>
              <w:pBdr>
                <w:top w:val="nil"/>
                <w:left w:val="nil"/>
                <w:bottom w:val="nil"/>
                <w:right w:val="nil"/>
                <w:between w:val="nil"/>
              </w:pBdr>
              <w:tabs>
                <w:tab w:val="left" w:pos="3182"/>
              </w:tabs>
              <w:ind w:left="-113"/>
              <w:jc w:val="center"/>
              <w:rPr>
                <w:b/>
                <w:color w:val="0000FF"/>
              </w:rPr>
            </w:pPr>
            <w:r>
              <w:rPr>
                <w:b/>
                <w:color w:val="0000FF"/>
              </w:rPr>
              <w:t>Credit loss allowance</w:t>
            </w:r>
          </w:p>
        </w:tc>
        <w:tc>
          <w:tcPr>
            <w:tcW w:w="3156" w:type="dxa"/>
            <w:gridSpan w:val="4"/>
            <w:tcBorders>
              <w:bottom w:val="single" w:sz="4" w:space="0" w:color="000000"/>
            </w:tcBorders>
          </w:tcPr>
          <w:p w14:paraId="14FE52E8" w14:textId="77777777" w:rsidR="008E5DE4" w:rsidRDefault="00780368">
            <w:pPr>
              <w:widowControl w:val="0"/>
              <w:pBdr>
                <w:top w:val="nil"/>
                <w:left w:val="nil"/>
                <w:bottom w:val="nil"/>
                <w:right w:val="nil"/>
                <w:between w:val="nil"/>
              </w:pBdr>
              <w:ind w:left="-113"/>
              <w:jc w:val="center"/>
              <w:rPr>
                <w:b/>
                <w:color w:val="0000FF"/>
              </w:rPr>
            </w:pPr>
            <w:r>
              <w:rPr>
                <w:b/>
                <w:color w:val="0000FF"/>
              </w:rPr>
              <w:t>Gross carrying amount</w:t>
            </w:r>
          </w:p>
        </w:tc>
      </w:tr>
      <w:tr w:rsidR="008E5DE4" w14:paraId="1CF167F6" w14:textId="77777777">
        <w:trPr>
          <w:cantSplit/>
          <w:trHeight w:val="507"/>
          <w:tblHeader/>
        </w:trPr>
        <w:tc>
          <w:tcPr>
            <w:tcW w:w="3061" w:type="dxa"/>
            <w:tcBorders>
              <w:bottom w:val="single" w:sz="4" w:space="0" w:color="000000"/>
            </w:tcBorders>
            <w:vAlign w:val="bottom"/>
          </w:tcPr>
          <w:p w14:paraId="76F676DB" w14:textId="77777777" w:rsidR="008E5DE4" w:rsidRDefault="008E5DE4">
            <w:pPr>
              <w:widowControl w:val="0"/>
              <w:pBdr>
                <w:top w:val="nil"/>
                <w:left w:val="nil"/>
                <w:bottom w:val="nil"/>
                <w:right w:val="nil"/>
                <w:between w:val="nil"/>
              </w:pBdr>
              <w:ind w:left="113" w:right="-57" w:hanging="113"/>
              <w:rPr>
                <w:i/>
                <w:color w:val="0000FF"/>
              </w:rPr>
            </w:pPr>
          </w:p>
          <w:p w14:paraId="683AAA84" w14:textId="77777777" w:rsidR="008E5DE4" w:rsidRDefault="00780368">
            <w:pPr>
              <w:widowControl w:val="0"/>
              <w:pBdr>
                <w:top w:val="nil"/>
                <w:left w:val="nil"/>
                <w:bottom w:val="nil"/>
                <w:right w:val="nil"/>
                <w:between w:val="nil"/>
              </w:pBdr>
              <w:ind w:left="113" w:right="-57" w:hanging="113"/>
              <w:rPr>
                <w:b/>
                <w:i/>
                <w:color w:val="0000FF"/>
              </w:rPr>
            </w:pPr>
            <w:r>
              <w:rPr>
                <w:i/>
                <w:color w:val="0000FF"/>
              </w:rPr>
              <w:t>In thousands of EUR</w:t>
            </w:r>
          </w:p>
        </w:tc>
        <w:tc>
          <w:tcPr>
            <w:tcW w:w="851" w:type="dxa"/>
            <w:tcBorders>
              <w:top w:val="single" w:sz="4" w:space="0" w:color="000000"/>
              <w:bottom w:val="single" w:sz="4" w:space="0" w:color="000000"/>
            </w:tcBorders>
          </w:tcPr>
          <w:p w14:paraId="2DAC66A4" w14:textId="77777777" w:rsidR="008E5DE4" w:rsidRDefault="00780368">
            <w:pPr>
              <w:widowControl w:val="0"/>
              <w:pBdr>
                <w:top w:val="nil"/>
                <w:left w:val="nil"/>
                <w:bottom w:val="nil"/>
                <w:right w:val="nil"/>
                <w:between w:val="nil"/>
              </w:pBdr>
              <w:ind w:left="-113"/>
              <w:jc w:val="right"/>
              <w:rPr>
                <w:b/>
                <w:color w:val="0000FF"/>
              </w:rPr>
            </w:pPr>
            <w:r>
              <w:rPr>
                <w:b/>
                <w:color w:val="0000FF"/>
              </w:rPr>
              <w:t>Stage 1</w:t>
            </w:r>
          </w:p>
          <w:p w14:paraId="49EA6F81" w14:textId="77777777" w:rsidR="008E5DE4" w:rsidRDefault="00780368">
            <w:pPr>
              <w:widowControl w:val="0"/>
              <w:pBdr>
                <w:top w:val="nil"/>
                <w:left w:val="nil"/>
                <w:bottom w:val="nil"/>
                <w:right w:val="nil"/>
                <w:between w:val="nil"/>
              </w:pBdr>
              <w:ind w:left="-255" w:firstLine="142"/>
              <w:jc w:val="right"/>
              <w:rPr>
                <w:b/>
                <w:color w:val="0000FF"/>
              </w:rPr>
            </w:pPr>
            <w:r>
              <w:rPr>
                <w:b/>
                <w:color w:val="0000FF"/>
              </w:rPr>
              <w:t>(12-months ECL)</w:t>
            </w:r>
          </w:p>
        </w:tc>
        <w:tc>
          <w:tcPr>
            <w:tcW w:w="878" w:type="dxa"/>
            <w:tcBorders>
              <w:top w:val="single" w:sz="4" w:space="0" w:color="000000"/>
              <w:bottom w:val="single" w:sz="4" w:space="0" w:color="000000"/>
            </w:tcBorders>
          </w:tcPr>
          <w:p w14:paraId="41C47E1B" w14:textId="77777777" w:rsidR="008E5DE4" w:rsidRDefault="00780368">
            <w:pPr>
              <w:widowControl w:val="0"/>
              <w:pBdr>
                <w:top w:val="nil"/>
                <w:left w:val="nil"/>
                <w:bottom w:val="nil"/>
                <w:right w:val="nil"/>
                <w:between w:val="nil"/>
              </w:pBdr>
              <w:ind w:left="-113"/>
              <w:jc w:val="right"/>
              <w:rPr>
                <w:b/>
                <w:color w:val="0000FF"/>
              </w:rPr>
            </w:pPr>
            <w:r>
              <w:rPr>
                <w:b/>
                <w:color w:val="0000FF"/>
              </w:rPr>
              <w:t>Stage 2</w:t>
            </w:r>
          </w:p>
          <w:p w14:paraId="2A26AE46" w14:textId="77777777" w:rsidR="008E5DE4" w:rsidRDefault="00780368">
            <w:pPr>
              <w:widowControl w:val="0"/>
              <w:pBdr>
                <w:top w:val="nil"/>
                <w:left w:val="nil"/>
                <w:bottom w:val="nil"/>
                <w:right w:val="nil"/>
                <w:between w:val="nil"/>
              </w:pBdr>
              <w:ind w:left="-113"/>
              <w:jc w:val="right"/>
              <w:rPr>
                <w:b/>
                <w:color w:val="0000FF"/>
              </w:rPr>
            </w:pPr>
            <w:r>
              <w:rPr>
                <w:b/>
                <w:color w:val="0000FF"/>
              </w:rPr>
              <w:t xml:space="preserve">(lifetime ECL for SICR) </w:t>
            </w:r>
          </w:p>
        </w:tc>
        <w:tc>
          <w:tcPr>
            <w:tcW w:w="856" w:type="dxa"/>
            <w:tcBorders>
              <w:top w:val="single" w:sz="4" w:space="0" w:color="000000"/>
              <w:bottom w:val="single" w:sz="4" w:space="0" w:color="000000"/>
            </w:tcBorders>
          </w:tcPr>
          <w:p w14:paraId="28F86C74" w14:textId="77777777" w:rsidR="008E5DE4" w:rsidRDefault="00780368">
            <w:pPr>
              <w:widowControl w:val="0"/>
              <w:pBdr>
                <w:top w:val="nil"/>
                <w:left w:val="nil"/>
                <w:bottom w:val="nil"/>
                <w:right w:val="nil"/>
                <w:between w:val="nil"/>
              </w:pBdr>
              <w:ind w:left="-113"/>
              <w:jc w:val="right"/>
              <w:rPr>
                <w:b/>
                <w:color w:val="0000FF"/>
              </w:rPr>
            </w:pPr>
            <w:r>
              <w:rPr>
                <w:b/>
                <w:color w:val="0000FF"/>
              </w:rPr>
              <w:t>Stage 3</w:t>
            </w:r>
          </w:p>
          <w:p w14:paraId="5D655A62" w14:textId="77777777" w:rsidR="008E5DE4" w:rsidRDefault="00780368">
            <w:pPr>
              <w:widowControl w:val="0"/>
              <w:pBdr>
                <w:top w:val="nil"/>
                <w:left w:val="nil"/>
                <w:bottom w:val="nil"/>
                <w:right w:val="nil"/>
                <w:between w:val="nil"/>
              </w:pBdr>
              <w:ind w:left="-113"/>
              <w:jc w:val="right"/>
              <w:rPr>
                <w:b/>
                <w:color w:val="0000FF"/>
              </w:rPr>
            </w:pPr>
            <w:r>
              <w:rPr>
                <w:b/>
                <w:color w:val="0000FF"/>
              </w:rPr>
              <w:t>(lifetime ECL for credit im-paired)</w:t>
            </w:r>
          </w:p>
        </w:tc>
        <w:tc>
          <w:tcPr>
            <w:tcW w:w="571" w:type="dxa"/>
            <w:tcBorders>
              <w:top w:val="single" w:sz="4" w:space="0" w:color="000000"/>
              <w:bottom w:val="single" w:sz="4" w:space="0" w:color="000000"/>
            </w:tcBorders>
          </w:tcPr>
          <w:p w14:paraId="14493CF1" w14:textId="77777777" w:rsidR="008E5DE4" w:rsidRDefault="00780368">
            <w:pPr>
              <w:widowControl w:val="0"/>
              <w:pBdr>
                <w:top w:val="nil"/>
                <w:left w:val="nil"/>
                <w:bottom w:val="nil"/>
                <w:right w:val="nil"/>
                <w:between w:val="nil"/>
              </w:pBdr>
              <w:ind w:left="-113"/>
              <w:jc w:val="right"/>
              <w:rPr>
                <w:b/>
                <w:color w:val="0000FF"/>
              </w:rPr>
            </w:pPr>
            <w:r>
              <w:rPr>
                <w:b/>
                <w:color w:val="0000FF"/>
              </w:rPr>
              <w:t>Total</w:t>
            </w:r>
          </w:p>
        </w:tc>
        <w:tc>
          <w:tcPr>
            <w:tcW w:w="871" w:type="dxa"/>
            <w:tcBorders>
              <w:top w:val="single" w:sz="4" w:space="0" w:color="000000"/>
              <w:bottom w:val="single" w:sz="4" w:space="0" w:color="000000"/>
            </w:tcBorders>
          </w:tcPr>
          <w:p w14:paraId="58B3AD23" w14:textId="77777777" w:rsidR="008E5DE4" w:rsidRDefault="00780368">
            <w:pPr>
              <w:widowControl w:val="0"/>
              <w:pBdr>
                <w:top w:val="nil"/>
                <w:left w:val="nil"/>
                <w:bottom w:val="nil"/>
                <w:right w:val="nil"/>
                <w:between w:val="nil"/>
              </w:pBdr>
              <w:ind w:left="-113"/>
              <w:jc w:val="right"/>
              <w:rPr>
                <w:b/>
                <w:color w:val="0000FF"/>
              </w:rPr>
            </w:pPr>
            <w:r>
              <w:rPr>
                <w:b/>
                <w:color w:val="0000FF"/>
              </w:rPr>
              <w:t>Stage 1</w:t>
            </w:r>
          </w:p>
          <w:p w14:paraId="0005EB6A" w14:textId="77777777" w:rsidR="008E5DE4" w:rsidRDefault="00780368">
            <w:pPr>
              <w:widowControl w:val="0"/>
              <w:pBdr>
                <w:top w:val="nil"/>
                <w:left w:val="nil"/>
                <w:bottom w:val="nil"/>
                <w:right w:val="nil"/>
                <w:between w:val="nil"/>
              </w:pBdr>
              <w:ind w:left="-113"/>
              <w:jc w:val="right"/>
              <w:rPr>
                <w:b/>
                <w:color w:val="0000FF"/>
              </w:rPr>
            </w:pPr>
            <w:r>
              <w:rPr>
                <w:b/>
                <w:color w:val="0000FF"/>
              </w:rPr>
              <w:t>(12-months ECL)</w:t>
            </w:r>
          </w:p>
        </w:tc>
        <w:tc>
          <w:tcPr>
            <w:tcW w:w="856" w:type="dxa"/>
            <w:tcBorders>
              <w:top w:val="single" w:sz="4" w:space="0" w:color="000000"/>
              <w:bottom w:val="single" w:sz="4" w:space="0" w:color="000000"/>
            </w:tcBorders>
          </w:tcPr>
          <w:p w14:paraId="7E24F0DC" w14:textId="77777777" w:rsidR="008E5DE4" w:rsidRDefault="00780368">
            <w:pPr>
              <w:widowControl w:val="0"/>
              <w:pBdr>
                <w:top w:val="nil"/>
                <w:left w:val="nil"/>
                <w:bottom w:val="nil"/>
                <w:right w:val="nil"/>
                <w:between w:val="nil"/>
              </w:pBdr>
              <w:ind w:left="-113"/>
              <w:jc w:val="right"/>
              <w:rPr>
                <w:b/>
                <w:color w:val="0000FF"/>
              </w:rPr>
            </w:pPr>
            <w:r>
              <w:rPr>
                <w:b/>
                <w:color w:val="0000FF"/>
              </w:rPr>
              <w:t>Stage 2</w:t>
            </w:r>
          </w:p>
          <w:p w14:paraId="6A392055" w14:textId="77777777" w:rsidR="008E5DE4" w:rsidRDefault="00780368">
            <w:pPr>
              <w:widowControl w:val="0"/>
              <w:pBdr>
                <w:top w:val="nil"/>
                <w:left w:val="nil"/>
                <w:bottom w:val="nil"/>
                <w:right w:val="nil"/>
                <w:between w:val="nil"/>
              </w:pBdr>
              <w:ind w:left="-113"/>
              <w:jc w:val="right"/>
              <w:rPr>
                <w:b/>
                <w:color w:val="0000FF"/>
              </w:rPr>
            </w:pPr>
            <w:r>
              <w:rPr>
                <w:b/>
                <w:color w:val="0000FF"/>
              </w:rPr>
              <w:t xml:space="preserve">(lifetime ECL for SICR) </w:t>
            </w:r>
          </w:p>
        </w:tc>
        <w:tc>
          <w:tcPr>
            <w:tcW w:w="856" w:type="dxa"/>
            <w:tcBorders>
              <w:top w:val="single" w:sz="4" w:space="0" w:color="000000"/>
              <w:bottom w:val="single" w:sz="4" w:space="0" w:color="000000"/>
            </w:tcBorders>
          </w:tcPr>
          <w:p w14:paraId="2C9A409C" w14:textId="77777777" w:rsidR="008E5DE4" w:rsidRDefault="00780368">
            <w:pPr>
              <w:widowControl w:val="0"/>
              <w:pBdr>
                <w:top w:val="nil"/>
                <w:left w:val="nil"/>
                <w:bottom w:val="nil"/>
                <w:right w:val="nil"/>
                <w:between w:val="nil"/>
              </w:pBdr>
              <w:ind w:left="-113"/>
              <w:jc w:val="right"/>
              <w:rPr>
                <w:b/>
                <w:color w:val="0000FF"/>
              </w:rPr>
            </w:pPr>
            <w:r>
              <w:rPr>
                <w:b/>
                <w:color w:val="0000FF"/>
              </w:rPr>
              <w:t>Stage 3</w:t>
            </w:r>
          </w:p>
          <w:p w14:paraId="34AD7172" w14:textId="77777777" w:rsidR="008E5DE4" w:rsidRDefault="00780368">
            <w:pPr>
              <w:widowControl w:val="0"/>
              <w:pBdr>
                <w:top w:val="nil"/>
                <w:left w:val="nil"/>
                <w:bottom w:val="nil"/>
                <w:right w:val="nil"/>
                <w:between w:val="nil"/>
              </w:pBdr>
              <w:ind w:left="-113"/>
              <w:jc w:val="right"/>
              <w:rPr>
                <w:b/>
                <w:color w:val="0000FF"/>
              </w:rPr>
            </w:pPr>
            <w:r>
              <w:rPr>
                <w:b/>
                <w:color w:val="0000FF"/>
              </w:rPr>
              <w:t>(lifetime ECL for credit im-paired)</w:t>
            </w:r>
          </w:p>
        </w:tc>
        <w:tc>
          <w:tcPr>
            <w:tcW w:w="573" w:type="dxa"/>
            <w:tcBorders>
              <w:top w:val="single" w:sz="4" w:space="0" w:color="000000"/>
              <w:bottom w:val="single" w:sz="4" w:space="0" w:color="000000"/>
            </w:tcBorders>
          </w:tcPr>
          <w:p w14:paraId="7CE5F4E8" w14:textId="77777777" w:rsidR="008E5DE4" w:rsidRDefault="00780368">
            <w:pPr>
              <w:widowControl w:val="0"/>
              <w:pBdr>
                <w:top w:val="nil"/>
                <w:left w:val="nil"/>
                <w:bottom w:val="nil"/>
                <w:right w:val="nil"/>
                <w:between w:val="nil"/>
              </w:pBdr>
              <w:ind w:left="-113"/>
              <w:jc w:val="right"/>
              <w:rPr>
                <w:b/>
                <w:color w:val="0000FF"/>
              </w:rPr>
            </w:pPr>
            <w:r>
              <w:rPr>
                <w:b/>
                <w:color w:val="0000FF"/>
              </w:rPr>
              <w:t>Total</w:t>
            </w:r>
          </w:p>
        </w:tc>
      </w:tr>
      <w:tr w:rsidR="008E5DE4" w14:paraId="132CC481" w14:textId="77777777">
        <w:trPr>
          <w:cantSplit/>
          <w:trHeight w:val="169"/>
          <w:tblHeader/>
        </w:trPr>
        <w:tc>
          <w:tcPr>
            <w:tcW w:w="3061" w:type="dxa"/>
            <w:vAlign w:val="bottom"/>
          </w:tcPr>
          <w:p w14:paraId="742E0F9F" w14:textId="77777777" w:rsidR="008E5DE4" w:rsidRDefault="008E5DE4">
            <w:pPr>
              <w:widowControl w:val="0"/>
              <w:ind w:left="113" w:right="-57" w:hanging="113"/>
              <w:rPr>
                <w:color w:val="0000FF"/>
              </w:rPr>
            </w:pPr>
          </w:p>
        </w:tc>
        <w:tc>
          <w:tcPr>
            <w:tcW w:w="851" w:type="dxa"/>
            <w:vAlign w:val="bottom"/>
          </w:tcPr>
          <w:p w14:paraId="261A3D00" w14:textId="77777777" w:rsidR="008E5DE4" w:rsidRDefault="008E5DE4">
            <w:pPr>
              <w:widowControl w:val="0"/>
              <w:pBdr>
                <w:top w:val="nil"/>
                <w:left w:val="nil"/>
                <w:bottom w:val="nil"/>
                <w:right w:val="nil"/>
                <w:between w:val="nil"/>
              </w:pBdr>
              <w:jc w:val="right"/>
              <w:rPr>
                <w:color w:val="0000FF"/>
              </w:rPr>
            </w:pPr>
          </w:p>
        </w:tc>
        <w:tc>
          <w:tcPr>
            <w:tcW w:w="878" w:type="dxa"/>
            <w:tcBorders>
              <w:top w:val="single" w:sz="4" w:space="0" w:color="000000"/>
            </w:tcBorders>
            <w:vAlign w:val="bottom"/>
          </w:tcPr>
          <w:p w14:paraId="57A2F4C0"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21945C18" w14:textId="77777777" w:rsidR="008E5DE4" w:rsidRDefault="008E5DE4">
            <w:pPr>
              <w:widowControl w:val="0"/>
              <w:pBdr>
                <w:top w:val="nil"/>
                <w:left w:val="nil"/>
                <w:bottom w:val="nil"/>
                <w:right w:val="nil"/>
                <w:between w:val="nil"/>
              </w:pBdr>
              <w:jc w:val="right"/>
              <w:rPr>
                <w:color w:val="0000FF"/>
              </w:rPr>
            </w:pPr>
          </w:p>
        </w:tc>
        <w:tc>
          <w:tcPr>
            <w:tcW w:w="571" w:type="dxa"/>
            <w:tcBorders>
              <w:top w:val="single" w:sz="4" w:space="0" w:color="000000"/>
            </w:tcBorders>
            <w:vAlign w:val="bottom"/>
          </w:tcPr>
          <w:p w14:paraId="539DBF3D" w14:textId="77777777" w:rsidR="008E5DE4" w:rsidRDefault="008E5DE4">
            <w:pPr>
              <w:widowControl w:val="0"/>
              <w:pBdr>
                <w:top w:val="nil"/>
                <w:left w:val="nil"/>
                <w:bottom w:val="nil"/>
                <w:right w:val="nil"/>
                <w:between w:val="nil"/>
              </w:pBdr>
              <w:jc w:val="right"/>
              <w:rPr>
                <w:color w:val="0000FF"/>
              </w:rPr>
            </w:pPr>
          </w:p>
        </w:tc>
        <w:tc>
          <w:tcPr>
            <w:tcW w:w="871" w:type="dxa"/>
          </w:tcPr>
          <w:p w14:paraId="65BE5BAD" w14:textId="77777777" w:rsidR="008E5DE4" w:rsidRDefault="008E5DE4">
            <w:pPr>
              <w:widowControl w:val="0"/>
              <w:pBdr>
                <w:top w:val="nil"/>
                <w:left w:val="nil"/>
                <w:bottom w:val="nil"/>
                <w:right w:val="nil"/>
                <w:between w:val="nil"/>
              </w:pBdr>
              <w:jc w:val="right"/>
              <w:rPr>
                <w:color w:val="0000FF"/>
              </w:rPr>
            </w:pPr>
          </w:p>
        </w:tc>
        <w:tc>
          <w:tcPr>
            <w:tcW w:w="856" w:type="dxa"/>
          </w:tcPr>
          <w:p w14:paraId="52CFF7DA" w14:textId="77777777" w:rsidR="008E5DE4" w:rsidRDefault="008E5DE4">
            <w:pPr>
              <w:widowControl w:val="0"/>
              <w:pBdr>
                <w:top w:val="nil"/>
                <w:left w:val="nil"/>
                <w:bottom w:val="nil"/>
                <w:right w:val="nil"/>
                <w:between w:val="nil"/>
              </w:pBdr>
              <w:jc w:val="right"/>
              <w:rPr>
                <w:color w:val="0000FF"/>
              </w:rPr>
            </w:pPr>
          </w:p>
        </w:tc>
        <w:tc>
          <w:tcPr>
            <w:tcW w:w="856" w:type="dxa"/>
          </w:tcPr>
          <w:p w14:paraId="0F6457A4"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1782E235" w14:textId="77777777" w:rsidR="008E5DE4" w:rsidRDefault="008E5DE4">
            <w:pPr>
              <w:widowControl w:val="0"/>
              <w:pBdr>
                <w:top w:val="nil"/>
                <w:left w:val="nil"/>
                <w:bottom w:val="nil"/>
                <w:right w:val="nil"/>
                <w:between w:val="nil"/>
              </w:pBdr>
              <w:jc w:val="right"/>
              <w:rPr>
                <w:color w:val="0000FF"/>
              </w:rPr>
            </w:pPr>
          </w:p>
        </w:tc>
      </w:tr>
      <w:tr w:rsidR="008E5DE4" w14:paraId="6982CC02" w14:textId="77777777">
        <w:trPr>
          <w:cantSplit/>
          <w:trHeight w:val="169"/>
        </w:trPr>
        <w:tc>
          <w:tcPr>
            <w:tcW w:w="3061" w:type="dxa"/>
            <w:vAlign w:val="bottom"/>
          </w:tcPr>
          <w:p w14:paraId="377B33A6"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Finance lease receivables</w:t>
            </w:r>
          </w:p>
        </w:tc>
        <w:tc>
          <w:tcPr>
            <w:tcW w:w="851" w:type="dxa"/>
            <w:vAlign w:val="bottom"/>
          </w:tcPr>
          <w:p w14:paraId="0C793648"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21242CDE"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03DA09C8"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5EB5FBEC" w14:textId="77777777" w:rsidR="008E5DE4" w:rsidRDefault="008E5DE4">
            <w:pPr>
              <w:widowControl w:val="0"/>
              <w:pBdr>
                <w:top w:val="nil"/>
                <w:left w:val="nil"/>
                <w:bottom w:val="nil"/>
                <w:right w:val="nil"/>
                <w:between w:val="nil"/>
              </w:pBdr>
              <w:jc w:val="right"/>
              <w:rPr>
                <w:color w:val="0000FF"/>
              </w:rPr>
            </w:pPr>
          </w:p>
        </w:tc>
        <w:tc>
          <w:tcPr>
            <w:tcW w:w="871" w:type="dxa"/>
          </w:tcPr>
          <w:p w14:paraId="068E6468" w14:textId="77777777" w:rsidR="008E5DE4" w:rsidRDefault="008E5DE4">
            <w:pPr>
              <w:widowControl w:val="0"/>
              <w:pBdr>
                <w:top w:val="nil"/>
                <w:left w:val="nil"/>
                <w:bottom w:val="nil"/>
                <w:right w:val="nil"/>
                <w:between w:val="nil"/>
              </w:pBdr>
              <w:jc w:val="right"/>
              <w:rPr>
                <w:color w:val="0000FF"/>
              </w:rPr>
            </w:pPr>
          </w:p>
        </w:tc>
        <w:tc>
          <w:tcPr>
            <w:tcW w:w="856" w:type="dxa"/>
          </w:tcPr>
          <w:p w14:paraId="1FAE8AD4" w14:textId="77777777" w:rsidR="008E5DE4" w:rsidRDefault="008E5DE4">
            <w:pPr>
              <w:widowControl w:val="0"/>
              <w:pBdr>
                <w:top w:val="nil"/>
                <w:left w:val="nil"/>
                <w:bottom w:val="nil"/>
                <w:right w:val="nil"/>
                <w:between w:val="nil"/>
              </w:pBdr>
              <w:jc w:val="right"/>
              <w:rPr>
                <w:color w:val="0000FF"/>
              </w:rPr>
            </w:pPr>
          </w:p>
        </w:tc>
        <w:tc>
          <w:tcPr>
            <w:tcW w:w="856" w:type="dxa"/>
          </w:tcPr>
          <w:p w14:paraId="06109E77"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469BFE97" w14:textId="77777777" w:rsidR="008E5DE4" w:rsidRDefault="008E5DE4">
            <w:pPr>
              <w:widowControl w:val="0"/>
              <w:pBdr>
                <w:top w:val="nil"/>
                <w:left w:val="nil"/>
                <w:bottom w:val="nil"/>
                <w:right w:val="nil"/>
                <w:between w:val="nil"/>
              </w:pBdr>
              <w:jc w:val="right"/>
              <w:rPr>
                <w:color w:val="0000FF"/>
              </w:rPr>
            </w:pPr>
          </w:p>
        </w:tc>
      </w:tr>
      <w:tr w:rsidR="008E5DE4" w14:paraId="0672FB27" w14:textId="77777777">
        <w:trPr>
          <w:cantSplit/>
          <w:trHeight w:val="169"/>
        </w:trPr>
        <w:tc>
          <w:tcPr>
            <w:tcW w:w="3061" w:type="dxa"/>
            <w:vAlign w:val="bottom"/>
          </w:tcPr>
          <w:p w14:paraId="59D94ACE" w14:textId="77777777" w:rsidR="008E5DE4" w:rsidRDefault="008E5DE4">
            <w:pPr>
              <w:widowControl w:val="0"/>
              <w:pBdr>
                <w:top w:val="nil"/>
                <w:left w:val="nil"/>
                <w:bottom w:val="nil"/>
                <w:right w:val="nil"/>
                <w:between w:val="nil"/>
              </w:pBdr>
              <w:ind w:left="113" w:right="-57" w:hanging="113"/>
              <w:rPr>
                <w:b/>
                <w:i/>
                <w:color w:val="0000FF"/>
              </w:rPr>
            </w:pPr>
          </w:p>
        </w:tc>
        <w:tc>
          <w:tcPr>
            <w:tcW w:w="851" w:type="dxa"/>
            <w:vAlign w:val="bottom"/>
          </w:tcPr>
          <w:p w14:paraId="0017B820"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28FF5DB2"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7BA46BC"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7038964D" w14:textId="77777777" w:rsidR="008E5DE4" w:rsidRDefault="008E5DE4">
            <w:pPr>
              <w:widowControl w:val="0"/>
              <w:pBdr>
                <w:top w:val="nil"/>
                <w:left w:val="nil"/>
                <w:bottom w:val="nil"/>
                <w:right w:val="nil"/>
                <w:between w:val="nil"/>
              </w:pBdr>
              <w:jc w:val="right"/>
              <w:rPr>
                <w:color w:val="0000FF"/>
              </w:rPr>
            </w:pPr>
          </w:p>
        </w:tc>
        <w:tc>
          <w:tcPr>
            <w:tcW w:w="871" w:type="dxa"/>
          </w:tcPr>
          <w:p w14:paraId="45EAF96A" w14:textId="77777777" w:rsidR="008E5DE4" w:rsidRDefault="008E5DE4">
            <w:pPr>
              <w:widowControl w:val="0"/>
              <w:pBdr>
                <w:top w:val="nil"/>
                <w:left w:val="nil"/>
                <w:bottom w:val="nil"/>
                <w:right w:val="nil"/>
                <w:between w:val="nil"/>
              </w:pBdr>
              <w:jc w:val="right"/>
              <w:rPr>
                <w:color w:val="0000FF"/>
              </w:rPr>
            </w:pPr>
          </w:p>
        </w:tc>
        <w:tc>
          <w:tcPr>
            <w:tcW w:w="856" w:type="dxa"/>
          </w:tcPr>
          <w:p w14:paraId="626F31A5" w14:textId="77777777" w:rsidR="008E5DE4" w:rsidRDefault="008E5DE4">
            <w:pPr>
              <w:widowControl w:val="0"/>
              <w:pBdr>
                <w:top w:val="nil"/>
                <w:left w:val="nil"/>
                <w:bottom w:val="nil"/>
                <w:right w:val="nil"/>
                <w:between w:val="nil"/>
              </w:pBdr>
              <w:jc w:val="right"/>
              <w:rPr>
                <w:color w:val="0000FF"/>
              </w:rPr>
            </w:pPr>
          </w:p>
        </w:tc>
        <w:tc>
          <w:tcPr>
            <w:tcW w:w="856" w:type="dxa"/>
          </w:tcPr>
          <w:p w14:paraId="5ED0747C"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7E11A850" w14:textId="77777777" w:rsidR="008E5DE4" w:rsidRDefault="008E5DE4">
            <w:pPr>
              <w:widowControl w:val="0"/>
              <w:pBdr>
                <w:top w:val="nil"/>
                <w:left w:val="nil"/>
                <w:bottom w:val="nil"/>
                <w:right w:val="nil"/>
                <w:between w:val="nil"/>
              </w:pBdr>
              <w:jc w:val="right"/>
              <w:rPr>
                <w:color w:val="0000FF"/>
              </w:rPr>
            </w:pPr>
          </w:p>
        </w:tc>
      </w:tr>
      <w:tr w:rsidR="008E5DE4" w14:paraId="3E7D2041" w14:textId="77777777">
        <w:trPr>
          <w:cantSplit/>
          <w:trHeight w:val="169"/>
        </w:trPr>
        <w:tc>
          <w:tcPr>
            <w:tcW w:w="3061" w:type="dxa"/>
            <w:vAlign w:val="bottom"/>
          </w:tcPr>
          <w:p w14:paraId="0419C4D7" w14:textId="00D4C6E9" w:rsidR="008E5DE4" w:rsidRDefault="00780368">
            <w:pPr>
              <w:widowControl w:val="0"/>
              <w:pBdr>
                <w:top w:val="nil"/>
                <w:left w:val="nil"/>
                <w:bottom w:val="nil"/>
                <w:right w:val="nil"/>
                <w:between w:val="nil"/>
              </w:pBdr>
              <w:ind w:left="113" w:right="-57" w:hanging="113"/>
              <w:rPr>
                <w:b/>
                <w:color w:val="0000FF"/>
              </w:rPr>
            </w:pPr>
            <w:proofErr w:type="gramStart"/>
            <w:r>
              <w:rPr>
                <w:b/>
                <w:color w:val="0000FF"/>
              </w:rPr>
              <w:t>At</w:t>
            </w:r>
            <w:proofErr w:type="gramEnd"/>
            <w:r>
              <w:rPr>
                <w:b/>
                <w:color w:val="0000FF"/>
              </w:rPr>
              <w:t xml:space="preserve"> 1 January </w:t>
            </w:r>
            <w:r w:rsidR="00FF468A">
              <w:rPr>
                <w:b/>
                <w:color w:val="0000FF"/>
              </w:rPr>
              <w:t>2024</w:t>
            </w:r>
          </w:p>
        </w:tc>
        <w:tc>
          <w:tcPr>
            <w:tcW w:w="851" w:type="dxa"/>
            <w:vAlign w:val="bottom"/>
          </w:tcPr>
          <w:p w14:paraId="6BA10C06"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1C572A8F"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57086479"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78035C75" w14:textId="77777777" w:rsidR="008E5DE4" w:rsidRDefault="008E5DE4">
            <w:pPr>
              <w:widowControl w:val="0"/>
              <w:pBdr>
                <w:top w:val="nil"/>
                <w:left w:val="nil"/>
                <w:bottom w:val="nil"/>
                <w:right w:val="nil"/>
                <w:between w:val="nil"/>
              </w:pBdr>
              <w:jc w:val="right"/>
              <w:rPr>
                <w:color w:val="0000FF"/>
              </w:rPr>
            </w:pPr>
          </w:p>
        </w:tc>
        <w:tc>
          <w:tcPr>
            <w:tcW w:w="871" w:type="dxa"/>
          </w:tcPr>
          <w:p w14:paraId="33FEE0ED" w14:textId="77777777" w:rsidR="008E5DE4" w:rsidRDefault="008E5DE4">
            <w:pPr>
              <w:widowControl w:val="0"/>
              <w:pBdr>
                <w:top w:val="nil"/>
                <w:left w:val="nil"/>
                <w:bottom w:val="nil"/>
                <w:right w:val="nil"/>
                <w:between w:val="nil"/>
              </w:pBdr>
              <w:jc w:val="right"/>
              <w:rPr>
                <w:color w:val="0000FF"/>
              </w:rPr>
            </w:pPr>
          </w:p>
        </w:tc>
        <w:tc>
          <w:tcPr>
            <w:tcW w:w="856" w:type="dxa"/>
          </w:tcPr>
          <w:p w14:paraId="5407B7A4" w14:textId="77777777" w:rsidR="008E5DE4" w:rsidRDefault="008E5DE4">
            <w:pPr>
              <w:widowControl w:val="0"/>
              <w:pBdr>
                <w:top w:val="nil"/>
                <w:left w:val="nil"/>
                <w:bottom w:val="nil"/>
                <w:right w:val="nil"/>
                <w:between w:val="nil"/>
              </w:pBdr>
              <w:jc w:val="right"/>
              <w:rPr>
                <w:color w:val="0000FF"/>
              </w:rPr>
            </w:pPr>
          </w:p>
        </w:tc>
        <w:tc>
          <w:tcPr>
            <w:tcW w:w="856" w:type="dxa"/>
          </w:tcPr>
          <w:p w14:paraId="471CFCB9"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3E181F7F" w14:textId="77777777" w:rsidR="008E5DE4" w:rsidRDefault="008E5DE4">
            <w:pPr>
              <w:widowControl w:val="0"/>
              <w:pBdr>
                <w:top w:val="nil"/>
                <w:left w:val="nil"/>
                <w:bottom w:val="nil"/>
                <w:right w:val="nil"/>
                <w:between w:val="nil"/>
              </w:pBdr>
              <w:jc w:val="right"/>
              <w:rPr>
                <w:color w:val="0000FF"/>
              </w:rPr>
            </w:pPr>
          </w:p>
        </w:tc>
      </w:tr>
      <w:tr w:rsidR="008E5DE4" w14:paraId="7650365D" w14:textId="77777777">
        <w:trPr>
          <w:cantSplit/>
          <w:trHeight w:val="676"/>
        </w:trPr>
        <w:tc>
          <w:tcPr>
            <w:tcW w:w="3061" w:type="dxa"/>
            <w:vAlign w:val="bottom"/>
          </w:tcPr>
          <w:p w14:paraId="614B44A3" w14:textId="77777777" w:rsidR="008E5DE4" w:rsidRDefault="008E5DE4">
            <w:pPr>
              <w:widowControl w:val="0"/>
              <w:pBdr>
                <w:top w:val="nil"/>
                <w:left w:val="nil"/>
                <w:bottom w:val="nil"/>
                <w:right w:val="nil"/>
                <w:between w:val="nil"/>
              </w:pBdr>
              <w:ind w:left="113" w:right="-57" w:hanging="113"/>
              <w:rPr>
                <w:b/>
                <w:color w:val="0000FF"/>
              </w:rPr>
            </w:pPr>
          </w:p>
          <w:p w14:paraId="1F95180E" w14:textId="77777777" w:rsidR="008E5DE4" w:rsidRDefault="00780368">
            <w:pPr>
              <w:widowControl w:val="0"/>
              <w:pBdr>
                <w:top w:val="nil"/>
                <w:left w:val="nil"/>
                <w:bottom w:val="nil"/>
                <w:right w:val="nil"/>
                <w:between w:val="nil"/>
              </w:pBdr>
              <w:ind w:left="113" w:right="-57" w:hanging="113"/>
              <w:rPr>
                <w:b/>
                <w:color w:val="0000FF"/>
              </w:rPr>
            </w:pPr>
            <w:r>
              <w:rPr>
                <w:i/>
                <w:color w:val="0000FF"/>
              </w:rPr>
              <w:t>Movements with impact on credit loss allowance charge for the period:</w:t>
            </w:r>
          </w:p>
        </w:tc>
        <w:tc>
          <w:tcPr>
            <w:tcW w:w="851" w:type="dxa"/>
            <w:vAlign w:val="bottom"/>
          </w:tcPr>
          <w:p w14:paraId="35C887B6"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690B148D"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9205158"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17DD7AEE" w14:textId="77777777" w:rsidR="008E5DE4" w:rsidRDefault="008E5DE4">
            <w:pPr>
              <w:widowControl w:val="0"/>
              <w:pBdr>
                <w:top w:val="nil"/>
                <w:left w:val="nil"/>
                <w:bottom w:val="nil"/>
                <w:right w:val="nil"/>
                <w:between w:val="nil"/>
              </w:pBdr>
              <w:jc w:val="right"/>
              <w:rPr>
                <w:color w:val="0000FF"/>
              </w:rPr>
            </w:pPr>
          </w:p>
        </w:tc>
        <w:tc>
          <w:tcPr>
            <w:tcW w:w="871" w:type="dxa"/>
          </w:tcPr>
          <w:p w14:paraId="26C1CDC3" w14:textId="77777777" w:rsidR="008E5DE4" w:rsidRDefault="008E5DE4">
            <w:pPr>
              <w:widowControl w:val="0"/>
              <w:pBdr>
                <w:top w:val="nil"/>
                <w:left w:val="nil"/>
                <w:bottom w:val="nil"/>
                <w:right w:val="nil"/>
                <w:between w:val="nil"/>
              </w:pBdr>
              <w:ind w:left="-360"/>
              <w:jc w:val="right"/>
              <w:rPr>
                <w:color w:val="0000FF"/>
              </w:rPr>
            </w:pPr>
          </w:p>
        </w:tc>
        <w:tc>
          <w:tcPr>
            <w:tcW w:w="856" w:type="dxa"/>
          </w:tcPr>
          <w:p w14:paraId="73FF6863" w14:textId="77777777" w:rsidR="008E5DE4" w:rsidRDefault="008E5DE4">
            <w:pPr>
              <w:widowControl w:val="0"/>
              <w:pBdr>
                <w:top w:val="nil"/>
                <w:left w:val="nil"/>
                <w:bottom w:val="nil"/>
                <w:right w:val="nil"/>
                <w:between w:val="nil"/>
              </w:pBdr>
              <w:jc w:val="right"/>
              <w:rPr>
                <w:color w:val="0000FF"/>
              </w:rPr>
            </w:pPr>
          </w:p>
        </w:tc>
        <w:tc>
          <w:tcPr>
            <w:tcW w:w="856" w:type="dxa"/>
          </w:tcPr>
          <w:p w14:paraId="285480CC"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4CDDDC10" w14:textId="77777777" w:rsidR="008E5DE4" w:rsidRDefault="008E5DE4">
            <w:pPr>
              <w:widowControl w:val="0"/>
              <w:pBdr>
                <w:top w:val="nil"/>
                <w:left w:val="nil"/>
                <w:bottom w:val="nil"/>
                <w:right w:val="nil"/>
                <w:between w:val="nil"/>
              </w:pBdr>
              <w:jc w:val="right"/>
              <w:rPr>
                <w:color w:val="0000FF"/>
              </w:rPr>
            </w:pPr>
          </w:p>
        </w:tc>
      </w:tr>
      <w:tr w:rsidR="008E5DE4" w14:paraId="123801EF" w14:textId="77777777">
        <w:trPr>
          <w:cantSplit/>
          <w:trHeight w:val="184"/>
        </w:trPr>
        <w:tc>
          <w:tcPr>
            <w:tcW w:w="3061" w:type="dxa"/>
            <w:vAlign w:val="bottom"/>
          </w:tcPr>
          <w:p w14:paraId="7E4284D8" w14:textId="77777777" w:rsidR="008E5DE4" w:rsidRDefault="008E5DE4">
            <w:pPr>
              <w:widowControl w:val="0"/>
              <w:pBdr>
                <w:top w:val="nil"/>
                <w:left w:val="nil"/>
                <w:bottom w:val="nil"/>
                <w:right w:val="nil"/>
                <w:between w:val="nil"/>
              </w:pBdr>
              <w:ind w:left="113" w:right="-57" w:hanging="113"/>
              <w:rPr>
                <w:color w:val="0000FF"/>
                <w:sz w:val="8"/>
                <w:szCs w:val="8"/>
              </w:rPr>
            </w:pPr>
          </w:p>
        </w:tc>
        <w:tc>
          <w:tcPr>
            <w:tcW w:w="851" w:type="dxa"/>
            <w:vAlign w:val="bottom"/>
          </w:tcPr>
          <w:p w14:paraId="58EF446F"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6E213ACD"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0BD9BA92"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3AD71C53"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69667936"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1B44FD63"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40B9809A"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27877248" w14:textId="77777777" w:rsidR="008E5DE4" w:rsidRDefault="008E5DE4">
            <w:pPr>
              <w:widowControl w:val="0"/>
              <w:pBdr>
                <w:top w:val="nil"/>
                <w:left w:val="nil"/>
                <w:bottom w:val="nil"/>
                <w:right w:val="nil"/>
                <w:between w:val="nil"/>
              </w:pBdr>
              <w:jc w:val="right"/>
              <w:rPr>
                <w:color w:val="0000FF"/>
                <w:highlight w:val="green"/>
              </w:rPr>
            </w:pPr>
          </w:p>
        </w:tc>
      </w:tr>
      <w:tr w:rsidR="008E5DE4" w14:paraId="7C071B6F" w14:textId="77777777">
        <w:trPr>
          <w:cantSplit/>
          <w:trHeight w:val="184"/>
        </w:trPr>
        <w:tc>
          <w:tcPr>
            <w:tcW w:w="3061" w:type="dxa"/>
            <w:vAlign w:val="bottom"/>
          </w:tcPr>
          <w:p w14:paraId="09AEF622" w14:textId="77777777" w:rsidR="008E5DE4" w:rsidRDefault="00780368">
            <w:pPr>
              <w:widowControl w:val="0"/>
              <w:pBdr>
                <w:top w:val="nil"/>
                <w:left w:val="nil"/>
                <w:bottom w:val="nil"/>
                <w:right w:val="nil"/>
                <w:between w:val="nil"/>
              </w:pBdr>
              <w:ind w:left="113" w:right="-57" w:hanging="113"/>
              <w:rPr>
                <w:color w:val="0000FF"/>
              </w:rPr>
            </w:pPr>
            <w:r>
              <w:rPr>
                <w:color w:val="0000FF"/>
              </w:rPr>
              <w:t>Transfers:</w:t>
            </w:r>
          </w:p>
        </w:tc>
        <w:tc>
          <w:tcPr>
            <w:tcW w:w="851" w:type="dxa"/>
            <w:vAlign w:val="bottom"/>
          </w:tcPr>
          <w:p w14:paraId="182534B2"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666348EF"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09F1E27A"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1F8A1A25"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1019BD49"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467F43B4"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1B553459"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2EC5F9A6" w14:textId="77777777" w:rsidR="008E5DE4" w:rsidRDefault="008E5DE4">
            <w:pPr>
              <w:widowControl w:val="0"/>
              <w:pBdr>
                <w:top w:val="nil"/>
                <w:left w:val="nil"/>
                <w:bottom w:val="nil"/>
                <w:right w:val="nil"/>
                <w:between w:val="nil"/>
              </w:pBdr>
              <w:jc w:val="right"/>
              <w:rPr>
                <w:color w:val="0000FF"/>
                <w:highlight w:val="green"/>
              </w:rPr>
            </w:pPr>
          </w:p>
        </w:tc>
      </w:tr>
      <w:tr w:rsidR="008E5DE4" w14:paraId="50EA3532" w14:textId="77777777">
        <w:trPr>
          <w:cantSplit/>
          <w:trHeight w:val="80"/>
        </w:trPr>
        <w:tc>
          <w:tcPr>
            <w:tcW w:w="3061" w:type="dxa"/>
            <w:vAlign w:val="bottom"/>
          </w:tcPr>
          <w:p w14:paraId="37B47220" w14:textId="77777777" w:rsidR="008E5DE4" w:rsidRDefault="00780368">
            <w:pPr>
              <w:widowControl w:val="0"/>
              <w:pBdr>
                <w:top w:val="nil"/>
                <w:left w:val="nil"/>
                <w:bottom w:val="nil"/>
                <w:right w:val="nil"/>
                <w:between w:val="nil"/>
              </w:pBdr>
              <w:ind w:left="113" w:right="-57" w:hanging="113"/>
              <w:rPr>
                <w:color w:val="0000FF"/>
              </w:rPr>
            </w:pPr>
            <w:r>
              <w:rPr>
                <w:color w:val="0000FF"/>
              </w:rPr>
              <w:t>- to lifetime (from Stage 1 to Stage 2)</w:t>
            </w:r>
          </w:p>
        </w:tc>
        <w:tc>
          <w:tcPr>
            <w:tcW w:w="851" w:type="dxa"/>
            <w:vAlign w:val="bottom"/>
          </w:tcPr>
          <w:p w14:paraId="208B18C2"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134189DE"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5452D6C0"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09055A12"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2D5D219B"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68DF1292"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50D84E05"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1535EDA3" w14:textId="77777777" w:rsidR="008E5DE4" w:rsidRDefault="008E5DE4">
            <w:pPr>
              <w:widowControl w:val="0"/>
              <w:pBdr>
                <w:top w:val="nil"/>
                <w:left w:val="nil"/>
                <w:bottom w:val="nil"/>
                <w:right w:val="nil"/>
                <w:between w:val="nil"/>
              </w:pBdr>
              <w:jc w:val="right"/>
              <w:rPr>
                <w:color w:val="0000FF"/>
                <w:highlight w:val="green"/>
              </w:rPr>
            </w:pPr>
          </w:p>
        </w:tc>
      </w:tr>
      <w:tr w:rsidR="008E5DE4" w14:paraId="4885FE61" w14:textId="77777777">
        <w:trPr>
          <w:cantSplit/>
          <w:trHeight w:val="80"/>
        </w:trPr>
        <w:tc>
          <w:tcPr>
            <w:tcW w:w="3061" w:type="dxa"/>
            <w:vAlign w:val="bottom"/>
          </w:tcPr>
          <w:p w14:paraId="440794BB" w14:textId="77777777" w:rsidR="008E5DE4" w:rsidRDefault="00780368">
            <w:pPr>
              <w:widowControl w:val="0"/>
              <w:pBdr>
                <w:top w:val="nil"/>
                <w:left w:val="nil"/>
                <w:bottom w:val="nil"/>
                <w:right w:val="nil"/>
                <w:between w:val="nil"/>
              </w:pBdr>
              <w:ind w:left="113" w:right="-57" w:hanging="113"/>
              <w:rPr>
                <w:color w:val="0000FF"/>
              </w:rPr>
            </w:pPr>
            <w:r>
              <w:rPr>
                <w:color w:val="0000FF"/>
              </w:rPr>
              <w:t>- to credit-impaired (from Stage 1 and Stage 2 to Stage 3)</w:t>
            </w:r>
          </w:p>
        </w:tc>
        <w:tc>
          <w:tcPr>
            <w:tcW w:w="851" w:type="dxa"/>
            <w:vAlign w:val="bottom"/>
          </w:tcPr>
          <w:p w14:paraId="71E1B467"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7AD2D7E3"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05B12511"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77E7AB8E"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0DAD5123"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4D0E6A94"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3D1B98D1"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66C256BA" w14:textId="77777777" w:rsidR="008E5DE4" w:rsidRDefault="008E5DE4">
            <w:pPr>
              <w:widowControl w:val="0"/>
              <w:pBdr>
                <w:top w:val="nil"/>
                <w:left w:val="nil"/>
                <w:bottom w:val="nil"/>
                <w:right w:val="nil"/>
                <w:between w:val="nil"/>
              </w:pBdr>
              <w:jc w:val="right"/>
              <w:rPr>
                <w:color w:val="0000FF"/>
                <w:highlight w:val="green"/>
              </w:rPr>
            </w:pPr>
          </w:p>
        </w:tc>
      </w:tr>
      <w:tr w:rsidR="008E5DE4" w14:paraId="2917C098" w14:textId="77777777">
        <w:trPr>
          <w:cantSplit/>
          <w:trHeight w:val="361"/>
        </w:trPr>
        <w:tc>
          <w:tcPr>
            <w:tcW w:w="3061" w:type="dxa"/>
            <w:vAlign w:val="bottom"/>
          </w:tcPr>
          <w:p w14:paraId="577C9CCA" w14:textId="77777777" w:rsidR="008E5DE4" w:rsidRDefault="00780368">
            <w:pPr>
              <w:widowControl w:val="0"/>
              <w:pBdr>
                <w:top w:val="nil"/>
                <w:left w:val="nil"/>
                <w:bottom w:val="nil"/>
                <w:right w:val="nil"/>
                <w:between w:val="nil"/>
              </w:pBdr>
              <w:ind w:left="113" w:right="-57" w:hanging="113"/>
              <w:rPr>
                <w:color w:val="0000FF"/>
              </w:rPr>
            </w:pPr>
            <w:r>
              <w:rPr>
                <w:color w:val="0000FF"/>
              </w:rPr>
              <w:t>- to 12-months ECL (from Stage 2 and Stage 3 to Stage 1)</w:t>
            </w:r>
          </w:p>
        </w:tc>
        <w:tc>
          <w:tcPr>
            <w:tcW w:w="851" w:type="dxa"/>
            <w:vAlign w:val="bottom"/>
          </w:tcPr>
          <w:p w14:paraId="6297CB25"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74593B81"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1E4CC7BD"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02976B84" w14:textId="77777777" w:rsidR="008E5DE4" w:rsidRDefault="008E5DE4">
            <w:pPr>
              <w:widowControl w:val="0"/>
              <w:pBdr>
                <w:top w:val="nil"/>
                <w:left w:val="nil"/>
                <w:bottom w:val="nil"/>
                <w:right w:val="nil"/>
                <w:between w:val="nil"/>
              </w:pBdr>
              <w:jc w:val="right"/>
              <w:rPr>
                <w:color w:val="0000FF"/>
                <w:highlight w:val="green"/>
              </w:rPr>
            </w:pPr>
          </w:p>
        </w:tc>
        <w:tc>
          <w:tcPr>
            <w:tcW w:w="871" w:type="dxa"/>
          </w:tcPr>
          <w:p w14:paraId="06044FDE"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6E78B1DE" w14:textId="77777777" w:rsidR="008E5DE4" w:rsidRDefault="008E5DE4">
            <w:pPr>
              <w:widowControl w:val="0"/>
              <w:pBdr>
                <w:top w:val="nil"/>
                <w:left w:val="nil"/>
                <w:bottom w:val="nil"/>
                <w:right w:val="nil"/>
                <w:between w:val="nil"/>
              </w:pBdr>
              <w:jc w:val="right"/>
              <w:rPr>
                <w:color w:val="0000FF"/>
                <w:highlight w:val="green"/>
              </w:rPr>
            </w:pPr>
          </w:p>
        </w:tc>
        <w:tc>
          <w:tcPr>
            <w:tcW w:w="856" w:type="dxa"/>
          </w:tcPr>
          <w:p w14:paraId="274C87A7"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3DFCDF85" w14:textId="77777777" w:rsidR="008E5DE4" w:rsidRDefault="008E5DE4">
            <w:pPr>
              <w:widowControl w:val="0"/>
              <w:pBdr>
                <w:top w:val="nil"/>
                <w:left w:val="nil"/>
                <w:bottom w:val="nil"/>
                <w:right w:val="nil"/>
                <w:between w:val="nil"/>
              </w:pBdr>
              <w:jc w:val="right"/>
              <w:rPr>
                <w:color w:val="0000FF"/>
                <w:highlight w:val="green"/>
              </w:rPr>
            </w:pPr>
          </w:p>
        </w:tc>
      </w:tr>
      <w:tr w:rsidR="008E5DE4" w14:paraId="6DB49060" w14:textId="77777777">
        <w:trPr>
          <w:cantSplit/>
          <w:trHeight w:val="169"/>
        </w:trPr>
        <w:tc>
          <w:tcPr>
            <w:tcW w:w="3061" w:type="dxa"/>
            <w:vAlign w:val="bottom"/>
          </w:tcPr>
          <w:p w14:paraId="0F444171" w14:textId="77777777" w:rsidR="008E5DE4" w:rsidRDefault="00780368">
            <w:pPr>
              <w:widowControl w:val="0"/>
              <w:pBdr>
                <w:top w:val="nil"/>
                <w:left w:val="nil"/>
                <w:bottom w:val="nil"/>
                <w:right w:val="nil"/>
                <w:between w:val="nil"/>
              </w:pBdr>
              <w:ind w:left="113" w:right="-57" w:hanging="113"/>
              <w:rPr>
                <w:color w:val="0000FF"/>
              </w:rPr>
            </w:pPr>
            <w:r>
              <w:rPr>
                <w:color w:val="0000FF"/>
              </w:rPr>
              <w:t>New originated or purchased</w:t>
            </w:r>
          </w:p>
        </w:tc>
        <w:tc>
          <w:tcPr>
            <w:tcW w:w="851" w:type="dxa"/>
            <w:vAlign w:val="bottom"/>
          </w:tcPr>
          <w:p w14:paraId="488F44B2"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3B4B46CB"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51E7A353"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3E718F3A" w14:textId="77777777" w:rsidR="008E5DE4" w:rsidRDefault="008E5DE4">
            <w:pPr>
              <w:widowControl w:val="0"/>
              <w:pBdr>
                <w:top w:val="nil"/>
                <w:left w:val="nil"/>
                <w:bottom w:val="nil"/>
                <w:right w:val="nil"/>
                <w:between w:val="nil"/>
              </w:pBdr>
              <w:jc w:val="right"/>
              <w:rPr>
                <w:color w:val="0000FF"/>
              </w:rPr>
            </w:pPr>
          </w:p>
        </w:tc>
        <w:tc>
          <w:tcPr>
            <w:tcW w:w="871" w:type="dxa"/>
          </w:tcPr>
          <w:p w14:paraId="25908960" w14:textId="77777777" w:rsidR="008E5DE4" w:rsidRDefault="008E5DE4">
            <w:pPr>
              <w:widowControl w:val="0"/>
              <w:pBdr>
                <w:top w:val="nil"/>
                <w:left w:val="nil"/>
                <w:bottom w:val="nil"/>
                <w:right w:val="nil"/>
                <w:between w:val="nil"/>
              </w:pBdr>
              <w:jc w:val="right"/>
              <w:rPr>
                <w:color w:val="0000FF"/>
              </w:rPr>
            </w:pPr>
          </w:p>
        </w:tc>
        <w:tc>
          <w:tcPr>
            <w:tcW w:w="856" w:type="dxa"/>
          </w:tcPr>
          <w:p w14:paraId="34F2F188" w14:textId="77777777" w:rsidR="008E5DE4" w:rsidRDefault="008E5DE4">
            <w:pPr>
              <w:widowControl w:val="0"/>
              <w:pBdr>
                <w:top w:val="nil"/>
                <w:left w:val="nil"/>
                <w:bottom w:val="nil"/>
                <w:right w:val="nil"/>
                <w:between w:val="nil"/>
              </w:pBdr>
              <w:jc w:val="right"/>
              <w:rPr>
                <w:color w:val="0000FF"/>
              </w:rPr>
            </w:pPr>
          </w:p>
        </w:tc>
        <w:tc>
          <w:tcPr>
            <w:tcW w:w="856" w:type="dxa"/>
          </w:tcPr>
          <w:p w14:paraId="6728B716"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2004A82D" w14:textId="77777777" w:rsidR="008E5DE4" w:rsidRDefault="008E5DE4">
            <w:pPr>
              <w:widowControl w:val="0"/>
              <w:pBdr>
                <w:top w:val="nil"/>
                <w:left w:val="nil"/>
                <w:bottom w:val="nil"/>
                <w:right w:val="nil"/>
                <w:between w:val="nil"/>
              </w:pBdr>
              <w:jc w:val="right"/>
              <w:rPr>
                <w:color w:val="0000FF"/>
              </w:rPr>
            </w:pPr>
          </w:p>
        </w:tc>
      </w:tr>
      <w:tr w:rsidR="008E5DE4" w14:paraId="089D683C" w14:textId="77777777">
        <w:trPr>
          <w:cantSplit/>
          <w:trHeight w:val="232"/>
        </w:trPr>
        <w:tc>
          <w:tcPr>
            <w:tcW w:w="3061" w:type="dxa"/>
            <w:vAlign w:val="bottom"/>
          </w:tcPr>
          <w:p w14:paraId="43139E66" w14:textId="77777777" w:rsidR="008E5DE4" w:rsidRDefault="00780368">
            <w:pPr>
              <w:widowControl w:val="0"/>
              <w:pBdr>
                <w:top w:val="nil"/>
                <w:left w:val="nil"/>
                <w:bottom w:val="nil"/>
                <w:right w:val="nil"/>
                <w:between w:val="nil"/>
              </w:pBdr>
              <w:ind w:left="113" w:right="-57" w:hanging="113"/>
              <w:rPr>
                <w:color w:val="0000FF"/>
              </w:rPr>
            </w:pPr>
            <w:r>
              <w:rPr>
                <w:color w:val="0000FF"/>
              </w:rPr>
              <w:t>Derecognised during the period</w:t>
            </w:r>
          </w:p>
        </w:tc>
        <w:tc>
          <w:tcPr>
            <w:tcW w:w="851" w:type="dxa"/>
            <w:vAlign w:val="bottom"/>
          </w:tcPr>
          <w:p w14:paraId="62B07BB4"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2786A1A0"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72F34CEA"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7ADAAC62" w14:textId="77777777" w:rsidR="008E5DE4" w:rsidRDefault="008E5DE4">
            <w:pPr>
              <w:widowControl w:val="0"/>
              <w:pBdr>
                <w:top w:val="nil"/>
                <w:left w:val="nil"/>
                <w:bottom w:val="nil"/>
                <w:right w:val="nil"/>
                <w:between w:val="nil"/>
              </w:pBdr>
              <w:jc w:val="right"/>
              <w:rPr>
                <w:color w:val="0000FF"/>
              </w:rPr>
            </w:pPr>
          </w:p>
        </w:tc>
        <w:tc>
          <w:tcPr>
            <w:tcW w:w="871" w:type="dxa"/>
          </w:tcPr>
          <w:p w14:paraId="321423B6" w14:textId="77777777" w:rsidR="008E5DE4" w:rsidRDefault="008E5DE4">
            <w:pPr>
              <w:widowControl w:val="0"/>
              <w:pBdr>
                <w:top w:val="nil"/>
                <w:left w:val="nil"/>
                <w:bottom w:val="nil"/>
                <w:right w:val="nil"/>
                <w:between w:val="nil"/>
              </w:pBdr>
              <w:jc w:val="right"/>
              <w:rPr>
                <w:color w:val="0000FF"/>
              </w:rPr>
            </w:pPr>
          </w:p>
        </w:tc>
        <w:tc>
          <w:tcPr>
            <w:tcW w:w="856" w:type="dxa"/>
          </w:tcPr>
          <w:p w14:paraId="49AADD8D" w14:textId="77777777" w:rsidR="008E5DE4" w:rsidRDefault="008E5DE4">
            <w:pPr>
              <w:widowControl w:val="0"/>
              <w:pBdr>
                <w:top w:val="nil"/>
                <w:left w:val="nil"/>
                <w:bottom w:val="nil"/>
                <w:right w:val="nil"/>
                <w:between w:val="nil"/>
              </w:pBdr>
              <w:jc w:val="right"/>
              <w:rPr>
                <w:color w:val="0000FF"/>
              </w:rPr>
            </w:pPr>
          </w:p>
        </w:tc>
        <w:tc>
          <w:tcPr>
            <w:tcW w:w="856" w:type="dxa"/>
          </w:tcPr>
          <w:p w14:paraId="3B023B4C"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5FA99A9D" w14:textId="77777777" w:rsidR="008E5DE4" w:rsidRDefault="008E5DE4">
            <w:pPr>
              <w:widowControl w:val="0"/>
              <w:pBdr>
                <w:top w:val="nil"/>
                <w:left w:val="nil"/>
                <w:bottom w:val="nil"/>
                <w:right w:val="nil"/>
                <w:between w:val="nil"/>
              </w:pBdr>
              <w:jc w:val="right"/>
              <w:rPr>
                <w:color w:val="0000FF"/>
              </w:rPr>
            </w:pPr>
          </w:p>
        </w:tc>
      </w:tr>
      <w:tr w:rsidR="008E5DE4" w14:paraId="2248493A" w14:textId="77777777">
        <w:trPr>
          <w:cantSplit/>
          <w:trHeight w:val="80"/>
        </w:trPr>
        <w:tc>
          <w:tcPr>
            <w:tcW w:w="3061" w:type="dxa"/>
            <w:vAlign w:val="bottom"/>
          </w:tcPr>
          <w:p w14:paraId="19B46831" w14:textId="77777777" w:rsidR="008E5DE4" w:rsidRDefault="00780368">
            <w:pPr>
              <w:widowControl w:val="0"/>
              <w:pBdr>
                <w:top w:val="nil"/>
                <w:left w:val="nil"/>
                <w:bottom w:val="nil"/>
                <w:right w:val="nil"/>
                <w:between w:val="nil"/>
              </w:pBdr>
              <w:ind w:left="113" w:right="-57" w:hanging="113"/>
              <w:rPr>
                <w:color w:val="0000FF"/>
              </w:rPr>
            </w:pPr>
            <w:r>
              <w:rPr>
                <w:color w:val="0000FF"/>
              </w:rPr>
              <w:t>Changes to ECL measurement model assumptions</w:t>
            </w:r>
          </w:p>
        </w:tc>
        <w:tc>
          <w:tcPr>
            <w:tcW w:w="851" w:type="dxa"/>
            <w:vAlign w:val="bottom"/>
          </w:tcPr>
          <w:p w14:paraId="390DE197"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649423C3"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222CDBBD"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2DF6AAB7"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6B000C23"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7BDE9CDD"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2634B7C2"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4F7A4F7D" w14:textId="77777777" w:rsidR="008E5DE4" w:rsidRDefault="008E5DE4">
            <w:pPr>
              <w:widowControl w:val="0"/>
              <w:pBdr>
                <w:top w:val="nil"/>
                <w:left w:val="nil"/>
                <w:bottom w:val="nil"/>
                <w:right w:val="nil"/>
                <w:between w:val="nil"/>
              </w:pBdr>
              <w:jc w:val="right"/>
              <w:rPr>
                <w:color w:val="0000FF"/>
              </w:rPr>
            </w:pPr>
          </w:p>
        </w:tc>
      </w:tr>
      <w:tr w:rsidR="008E5DE4" w14:paraId="2C79322B" w14:textId="77777777">
        <w:trPr>
          <w:cantSplit/>
          <w:trHeight w:val="85"/>
        </w:trPr>
        <w:tc>
          <w:tcPr>
            <w:tcW w:w="3061" w:type="dxa"/>
            <w:vAlign w:val="bottom"/>
          </w:tcPr>
          <w:p w14:paraId="4A2DEF3E" w14:textId="77777777" w:rsidR="008E5DE4" w:rsidRDefault="00780368">
            <w:pPr>
              <w:widowControl w:val="0"/>
              <w:pBdr>
                <w:top w:val="nil"/>
                <w:left w:val="nil"/>
                <w:bottom w:val="nil"/>
                <w:right w:val="nil"/>
                <w:between w:val="nil"/>
              </w:pBdr>
              <w:ind w:left="113" w:right="-57" w:hanging="113"/>
              <w:rPr>
                <w:color w:val="0000FF"/>
              </w:rPr>
            </w:pPr>
            <w:r>
              <w:rPr>
                <w:color w:val="0000FF"/>
              </w:rPr>
              <w:t xml:space="preserve">Unwinding of discount </w:t>
            </w:r>
          </w:p>
        </w:tc>
        <w:tc>
          <w:tcPr>
            <w:tcW w:w="851" w:type="dxa"/>
            <w:vAlign w:val="bottom"/>
          </w:tcPr>
          <w:p w14:paraId="5F3FE7B3"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31A8B77D"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093FABF"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38073E0A"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08E3D882"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27F5A2A8"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156DE00D"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3338FE1B" w14:textId="77777777" w:rsidR="008E5DE4" w:rsidRDefault="008E5DE4">
            <w:pPr>
              <w:widowControl w:val="0"/>
              <w:pBdr>
                <w:top w:val="nil"/>
                <w:left w:val="nil"/>
                <w:bottom w:val="nil"/>
                <w:right w:val="nil"/>
                <w:between w:val="nil"/>
              </w:pBdr>
              <w:jc w:val="right"/>
              <w:rPr>
                <w:color w:val="0000FF"/>
              </w:rPr>
            </w:pPr>
          </w:p>
        </w:tc>
      </w:tr>
      <w:tr w:rsidR="008E5DE4" w14:paraId="042913D1" w14:textId="77777777">
        <w:trPr>
          <w:cantSplit/>
          <w:trHeight w:val="169"/>
        </w:trPr>
        <w:tc>
          <w:tcPr>
            <w:tcW w:w="3061" w:type="dxa"/>
            <w:vAlign w:val="bottom"/>
          </w:tcPr>
          <w:p w14:paraId="408665BA" w14:textId="77777777" w:rsidR="008E5DE4" w:rsidRDefault="00780368">
            <w:pPr>
              <w:widowControl w:val="0"/>
              <w:pBdr>
                <w:top w:val="nil"/>
                <w:left w:val="nil"/>
                <w:bottom w:val="nil"/>
                <w:right w:val="nil"/>
                <w:between w:val="nil"/>
              </w:pBdr>
              <w:ind w:left="113" w:right="-57" w:hanging="113"/>
              <w:rPr>
                <w:color w:val="0000FF"/>
              </w:rPr>
            </w:pPr>
            <w:r>
              <w:rPr>
                <w:color w:val="0000FF"/>
              </w:rPr>
              <w:t>Changes in accrued interest</w:t>
            </w:r>
          </w:p>
        </w:tc>
        <w:tc>
          <w:tcPr>
            <w:tcW w:w="851" w:type="dxa"/>
            <w:vAlign w:val="bottom"/>
          </w:tcPr>
          <w:p w14:paraId="7EF95CB2"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3F66077C"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4839EC66"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712EE26A"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2EB0E2C9"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52F9109C"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7FF1779"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50345EE3" w14:textId="77777777" w:rsidR="008E5DE4" w:rsidRDefault="008E5DE4">
            <w:pPr>
              <w:widowControl w:val="0"/>
              <w:pBdr>
                <w:top w:val="nil"/>
                <w:left w:val="nil"/>
                <w:bottom w:val="nil"/>
                <w:right w:val="nil"/>
                <w:between w:val="nil"/>
              </w:pBdr>
              <w:jc w:val="right"/>
              <w:rPr>
                <w:color w:val="0000FF"/>
              </w:rPr>
            </w:pPr>
          </w:p>
        </w:tc>
      </w:tr>
      <w:tr w:rsidR="008E5DE4" w14:paraId="0361111B" w14:textId="77777777">
        <w:trPr>
          <w:cantSplit/>
          <w:trHeight w:val="169"/>
        </w:trPr>
        <w:tc>
          <w:tcPr>
            <w:tcW w:w="3061" w:type="dxa"/>
            <w:vAlign w:val="bottom"/>
          </w:tcPr>
          <w:p w14:paraId="36E9FB3D" w14:textId="77777777" w:rsidR="008E5DE4" w:rsidRDefault="00780368">
            <w:pPr>
              <w:widowControl w:val="0"/>
              <w:pBdr>
                <w:top w:val="nil"/>
                <w:left w:val="nil"/>
                <w:bottom w:val="nil"/>
                <w:right w:val="nil"/>
                <w:between w:val="nil"/>
              </w:pBdr>
              <w:ind w:left="113" w:right="-57" w:hanging="113"/>
              <w:rPr>
                <w:color w:val="0000FF"/>
              </w:rPr>
            </w:pPr>
            <w:r>
              <w:rPr>
                <w:color w:val="0000FF"/>
              </w:rPr>
              <w:t>Other movements</w:t>
            </w:r>
          </w:p>
        </w:tc>
        <w:tc>
          <w:tcPr>
            <w:tcW w:w="851" w:type="dxa"/>
            <w:vAlign w:val="bottom"/>
          </w:tcPr>
          <w:p w14:paraId="4958237C"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55561B18"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35A59C2"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1C3252DA"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51A133D6"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04E6CE3"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4BB419A1"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5748152C" w14:textId="77777777" w:rsidR="008E5DE4" w:rsidRDefault="008E5DE4">
            <w:pPr>
              <w:widowControl w:val="0"/>
              <w:pBdr>
                <w:top w:val="nil"/>
                <w:left w:val="nil"/>
                <w:bottom w:val="nil"/>
                <w:right w:val="nil"/>
                <w:between w:val="nil"/>
              </w:pBdr>
              <w:jc w:val="right"/>
              <w:rPr>
                <w:color w:val="0000FF"/>
              </w:rPr>
            </w:pPr>
          </w:p>
        </w:tc>
      </w:tr>
      <w:tr w:rsidR="008E5DE4" w14:paraId="60FD4D3D" w14:textId="77777777">
        <w:trPr>
          <w:cantSplit/>
          <w:trHeight w:val="169"/>
        </w:trPr>
        <w:tc>
          <w:tcPr>
            <w:tcW w:w="3061" w:type="dxa"/>
            <w:tcBorders>
              <w:bottom w:val="single" w:sz="4" w:space="0" w:color="000000"/>
            </w:tcBorders>
            <w:vAlign w:val="bottom"/>
          </w:tcPr>
          <w:p w14:paraId="3DD9DD4D" w14:textId="77777777" w:rsidR="008E5DE4" w:rsidRDefault="008E5DE4">
            <w:pPr>
              <w:widowControl w:val="0"/>
              <w:pBdr>
                <w:top w:val="nil"/>
                <w:left w:val="nil"/>
                <w:bottom w:val="nil"/>
                <w:right w:val="nil"/>
                <w:between w:val="nil"/>
              </w:pBdr>
              <w:ind w:left="113" w:right="-57" w:hanging="113"/>
              <w:rPr>
                <w:color w:val="0000FF"/>
              </w:rPr>
            </w:pPr>
          </w:p>
        </w:tc>
        <w:tc>
          <w:tcPr>
            <w:tcW w:w="851" w:type="dxa"/>
            <w:tcBorders>
              <w:bottom w:val="single" w:sz="4" w:space="0" w:color="000000"/>
            </w:tcBorders>
            <w:vAlign w:val="bottom"/>
          </w:tcPr>
          <w:p w14:paraId="6A0B980E" w14:textId="77777777" w:rsidR="008E5DE4" w:rsidRDefault="008E5DE4">
            <w:pPr>
              <w:widowControl w:val="0"/>
              <w:pBdr>
                <w:top w:val="nil"/>
                <w:left w:val="nil"/>
                <w:bottom w:val="nil"/>
                <w:right w:val="nil"/>
                <w:between w:val="nil"/>
              </w:pBdr>
              <w:jc w:val="right"/>
              <w:rPr>
                <w:color w:val="0000FF"/>
              </w:rPr>
            </w:pPr>
          </w:p>
        </w:tc>
        <w:tc>
          <w:tcPr>
            <w:tcW w:w="878" w:type="dxa"/>
            <w:tcBorders>
              <w:bottom w:val="single" w:sz="4" w:space="0" w:color="000000"/>
            </w:tcBorders>
            <w:vAlign w:val="bottom"/>
          </w:tcPr>
          <w:p w14:paraId="59D53D0E"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64943879" w14:textId="77777777" w:rsidR="008E5DE4" w:rsidRDefault="008E5DE4">
            <w:pPr>
              <w:widowControl w:val="0"/>
              <w:pBdr>
                <w:top w:val="nil"/>
                <w:left w:val="nil"/>
                <w:bottom w:val="nil"/>
                <w:right w:val="nil"/>
                <w:between w:val="nil"/>
              </w:pBdr>
              <w:jc w:val="right"/>
              <w:rPr>
                <w:color w:val="0000FF"/>
              </w:rPr>
            </w:pPr>
          </w:p>
        </w:tc>
        <w:tc>
          <w:tcPr>
            <w:tcW w:w="571" w:type="dxa"/>
            <w:tcBorders>
              <w:bottom w:val="single" w:sz="4" w:space="0" w:color="000000"/>
            </w:tcBorders>
            <w:vAlign w:val="bottom"/>
          </w:tcPr>
          <w:p w14:paraId="25475380" w14:textId="77777777" w:rsidR="008E5DE4" w:rsidRDefault="008E5DE4">
            <w:pPr>
              <w:widowControl w:val="0"/>
              <w:pBdr>
                <w:top w:val="nil"/>
                <w:left w:val="nil"/>
                <w:bottom w:val="nil"/>
                <w:right w:val="nil"/>
                <w:between w:val="nil"/>
              </w:pBdr>
              <w:jc w:val="right"/>
              <w:rPr>
                <w:color w:val="0000FF"/>
              </w:rPr>
            </w:pPr>
          </w:p>
        </w:tc>
        <w:tc>
          <w:tcPr>
            <w:tcW w:w="871" w:type="dxa"/>
            <w:tcBorders>
              <w:bottom w:val="single" w:sz="4" w:space="0" w:color="000000"/>
            </w:tcBorders>
            <w:vAlign w:val="bottom"/>
          </w:tcPr>
          <w:p w14:paraId="3C5B0B4D"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0BCD4C7D"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5DFBFDC6" w14:textId="77777777" w:rsidR="008E5DE4" w:rsidRDefault="008E5DE4">
            <w:pPr>
              <w:widowControl w:val="0"/>
              <w:pBdr>
                <w:top w:val="nil"/>
                <w:left w:val="nil"/>
                <w:bottom w:val="nil"/>
                <w:right w:val="nil"/>
                <w:between w:val="nil"/>
              </w:pBdr>
              <w:jc w:val="right"/>
              <w:rPr>
                <w:color w:val="0000FF"/>
              </w:rPr>
            </w:pPr>
          </w:p>
        </w:tc>
        <w:tc>
          <w:tcPr>
            <w:tcW w:w="573" w:type="dxa"/>
            <w:tcBorders>
              <w:bottom w:val="single" w:sz="4" w:space="0" w:color="000000"/>
            </w:tcBorders>
            <w:vAlign w:val="bottom"/>
          </w:tcPr>
          <w:p w14:paraId="27436EC5" w14:textId="77777777" w:rsidR="008E5DE4" w:rsidRDefault="008E5DE4">
            <w:pPr>
              <w:widowControl w:val="0"/>
              <w:pBdr>
                <w:top w:val="nil"/>
                <w:left w:val="nil"/>
                <w:bottom w:val="nil"/>
                <w:right w:val="nil"/>
                <w:between w:val="nil"/>
              </w:pBdr>
              <w:jc w:val="right"/>
              <w:rPr>
                <w:color w:val="0000FF"/>
              </w:rPr>
            </w:pPr>
          </w:p>
        </w:tc>
      </w:tr>
      <w:tr w:rsidR="008E5DE4" w14:paraId="1A51B21C" w14:textId="77777777">
        <w:trPr>
          <w:cantSplit/>
          <w:trHeight w:val="153"/>
        </w:trPr>
        <w:tc>
          <w:tcPr>
            <w:tcW w:w="3061" w:type="dxa"/>
            <w:tcBorders>
              <w:top w:val="single" w:sz="4" w:space="0" w:color="000000"/>
            </w:tcBorders>
            <w:vAlign w:val="bottom"/>
          </w:tcPr>
          <w:p w14:paraId="7088F68C" w14:textId="77777777" w:rsidR="008E5DE4" w:rsidRDefault="008E5DE4">
            <w:pPr>
              <w:widowControl w:val="0"/>
              <w:pBdr>
                <w:top w:val="nil"/>
                <w:left w:val="nil"/>
                <w:bottom w:val="nil"/>
                <w:right w:val="nil"/>
                <w:between w:val="nil"/>
              </w:pBdr>
              <w:ind w:left="113" w:right="-57" w:hanging="113"/>
              <w:rPr>
                <w:color w:val="0000FF"/>
              </w:rPr>
            </w:pPr>
          </w:p>
        </w:tc>
        <w:tc>
          <w:tcPr>
            <w:tcW w:w="851" w:type="dxa"/>
            <w:tcBorders>
              <w:top w:val="single" w:sz="4" w:space="0" w:color="000000"/>
            </w:tcBorders>
            <w:vAlign w:val="bottom"/>
          </w:tcPr>
          <w:p w14:paraId="51674D72" w14:textId="77777777" w:rsidR="008E5DE4" w:rsidRDefault="008E5DE4">
            <w:pPr>
              <w:widowControl w:val="0"/>
              <w:pBdr>
                <w:top w:val="nil"/>
                <w:left w:val="nil"/>
                <w:bottom w:val="nil"/>
                <w:right w:val="nil"/>
                <w:between w:val="nil"/>
              </w:pBdr>
              <w:jc w:val="right"/>
              <w:rPr>
                <w:color w:val="0000FF"/>
              </w:rPr>
            </w:pPr>
          </w:p>
        </w:tc>
        <w:tc>
          <w:tcPr>
            <w:tcW w:w="878" w:type="dxa"/>
            <w:tcBorders>
              <w:top w:val="single" w:sz="4" w:space="0" w:color="000000"/>
            </w:tcBorders>
            <w:vAlign w:val="bottom"/>
          </w:tcPr>
          <w:p w14:paraId="03130089"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0B082D63" w14:textId="77777777" w:rsidR="008E5DE4" w:rsidRDefault="008E5DE4">
            <w:pPr>
              <w:widowControl w:val="0"/>
              <w:pBdr>
                <w:top w:val="nil"/>
                <w:left w:val="nil"/>
                <w:bottom w:val="nil"/>
                <w:right w:val="nil"/>
                <w:between w:val="nil"/>
              </w:pBdr>
              <w:jc w:val="right"/>
              <w:rPr>
                <w:color w:val="0000FF"/>
              </w:rPr>
            </w:pPr>
          </w:p>
        </w:tc>
        <w:tc>
          <w:tcPr>
            <w:tcW w:w="571" w:type="dxa"/>
            <w:tcBorders>
              <w:top w:val="single" w:sz="4" w:space="0" w:color="000000"/>
            </w:tcBorders>
            <w:vAlign w:val="bottom"/>
          </w:tcPr>
          <w:p w14:paraId="53C1E97C" w14:textId="77777777" w:rsidR="008E5DE4" w:rsidRDefault="008E5DE4">
            <w:pPr>
              <w:widowControl w:val="0"/>
              <w:pBdr>
                <w:top w:val="nil"/>
                <w:left w:val="nil"/>
                <w:bottom w:val="nil"/>
                <w:right w:val="nil"/>
                <w:between w:val="nil"/>
              </w:pBdr>
              <w:jc w:val="right"/>
              <w:rPr>
                <w:color w:val="0000FF"/>
              </w:rPr>
            </w:pPr>
          </w:p>
        </w:tc>
        <w:tc>
          <w:tcPr>
            <w:tcW w:w="871" w:type="dxa"/>
            <w:tcBorders>
              <w:top w:val="single" w:sz="4" w:space="0" w:color="000000"/>
            </w:tcBorders>
            <w:vAlign w:val="bottom"/>
          </w:tcPr>
          <w:p w14:paraId="5127258F"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65D8C29A"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47AE7E1D" w14:textId="77777777" w:rsidR="008E5DE4" w:rsidRDefault="008E5DE4">
            <w:pPr>
              <w:widowControl w:val="0"/>
              <w:pBdr>
                <w:top w:val="nil"/>
                <w:left w:val="nil"/>
                <w:bottom w:val="nil"/>
                <w:right w:val="nil"/>
                <w:between w:val="nil"/>
              </w:pBdr>
              <w:jc w:val="right"/>
              <w:rPr>
                <w:color w:val="0000FF"/>
              </w:rPr>
            </w:pPr>
          </w:p>
        </w:tc>
        <w:tc>
          <w:tcPr>
            <w:tcW w:w="573" w:type="dxa"/>
            <w:tcBorders>
              <w:top w:val="single" w:sz="4" w:space="0" w:color="000000"/>
            </w:tcBorders>
            <w:vAlign w:val="bottom"/>
          </w:tcPr>
          <w:p w14:paraId="0C28F528" w14:textId="77777777" w:rsidR="008E5DE4" w:rsidRDefault="008E5DE4">
            <w:pPr>
              <w:widowControl w:val="0"/>
              <w:pBdr>
                <w:top w:val="nil"/>
                <w:left w:val="nil"/>
                <w:bottom w:val="nil"/>
                <w:right w:val="nil"/>
                <w:between w:val="nil"/>
              </w:pBdr>
              <w:jc w:val="right"/>
              <w:rPr>
                <w:color w:val="0000FF"/>
              </w:rPr>
            </w:pPr>
          </w:p>
        </w:tc>
      </w:tr>
      <w:tr w:rsidR="008E5DE4" w14:paraId="428FD6E8" w14:textId="77777777">
        <w:trPr>
          <w:cantSplit/>
          <w:trHeight w:val="245"/>
        </w:trPr>
        <w:tc>
          <w:tcPr>
            <w:tcW w:w="3061" w:type="dxa"/>
            <w:vAlign w:val="bottom"/>
          </w:tcPr>
          <w:p w14:paraId="4B2AA6F3" w14:textId="77777777" w:rsidR="008E5DE4" w:rsidRDefault="00780368">
            <w:pPr>
              <w:widowControl w:val="0"/>
              <w:pBdr>
                <w:top w:val="nil"/>
                <w:left w:val="nil"/>
                <w:bottom w:val="nil"/>
                <w:right w:val="nil"/>
                <w:between w:val="nil"/>
              </w:pBdr>
              <w:ind w:left="113" w:right="-57" w:hanging="113"/>
              <w:rPr>
                <w:b/>
                <w:color w:val="0000FF"/>
              </w:rPr>
            </w:pPr>
            <w:r>
              <w:rPr>
                <w:b/>
                <w:color w:val="0000FF"/>
              </w:rPr>
              <w:t>Total movements with impact on credit loss allowance charge for the period</w:t>
            </w:r>
          </w:p>
        </w:tc>
        <w:tc>
          <w:tcPr>
            <w:tcW w:w="851" w:type="dxa"/>
            <w:vAlign w:val="bottom"/>
          </w:tcPr>
          <w:p w14:paraId="3E539CC2"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28B18835"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DC328E7"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030502FC"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72502196"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07255F80"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3FCD5A30"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4409AF1D" w14:textId="77777777" w:rsidR="008E5DE4" w:rsidRDefault="008E5DE4">
            <w:pPr>
              <w:widowControl w:val="0"/>
              <w:pBdr>
                <w:top w:val="nil"/>
                <w:left w:val="nil"/>
                <w:bottom w:val="nil"/>
                <w:right w:val="nil"/>
                <w:between w:val="nil"/>
              </w:pBdr>
              <w:jc w:val="right"/>
              <w:rPr>
                <w:color w:val="0000FF"/>
              </w:rPr>
            </w:pPr>
          </w:p>
        </w:tc>
      </w:tr>
      <w:tr w:rsidR="008E5DE4" w14:paraId="47E4BAA6" w14:textId="77777777">
        <w:trPr>
          <w:cantSplit/>
          <w:trHeight w:val="80"/>
        </w:trPr>
        <w:tc>
          <w:tcPr>
            <w:tcW w:w="3061" w:type="dxa"/>
            <w:tcBorders>
              <w:bottom w:val="single" w:sz="4" w:space="0" w:color="000000"/>
            </w:tcBorders>
            <w:vAlign w:val="bottom"/>
          </w:tcPr>
          <w:p w14:paraId="23346749" w14:textId="77777777" w:rsidR="008E5DE4" w:rsidRDefault="008E5DE4">
            <w:pPr>
              <w:widowControl w:val="0"/>
              <w:pBdr>
                <w:top w:val="nil"/>
                <w:left w:val="nil"/>
                <w:bottom w:val="nil"/>
                <w:right w:val="nil"/>
                <w:between w:val="nil"/>
              </w:pBdr>
              <w:ind w:left="113" w:right="-57" w:hanging="113"/>
              <w:rPr>
                <w:color w:val="0000FF"/>
              </w:rPr>
            </w:pPr>
          </w:p>
        </w:tc>
        <w:tc>
          <w:tcPr>
            <w:tcW w:w="851" w:type="dxa"/>
            <w:tcBorders>
              <w:bottom w:val="single" w:sz="4" w:space="0" w:color="000000"/>
            </w:tcBorders>
            <w:vAlign w:val="bottom"/>
          </w:tcPr>
          <w:p w14:paraId="2C6B2FAA" w14:textId="77777777" w:rsidR="008E5DE4" w:rsidRDefault="008E5DE4">
            <w:pPr>
              <w:widowControl w:val="0"/>
              <w:pBdr>
                <w:top w:val="nil"/>
                <w:left w:val="nil"/>
                <w:bottom w:val="nil"/>
                <w:right w:val="nil"/>
                <w:between w:val="nil"/>
              </w:pBdr>
              <w:jc w:val="right"/>
              <w:rPr>
                <w:color w:val="0000FF"/>
              </w:rPr>
            </w:pPr>
          </w:p>
        </w:tc>
        <w:tc>
          <w:tcPr>
            <w:tcW w:w="878" w:type="dxa"/>
            <w:tcBorders>
              <w:bottom w:val="single" w:sz="4" w:space="0" w:color="000000"/>
            </w:tcBorders>
            <w:vAlign w:val="bottom"/>
          </w:tcPr>
          <w:p w14:paraId="271065ED"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3B22EE6B" w14:textId="77777777" w:rsidR="008E5DE4" w:rsidRDefault="008E5DE4">
            <w:pPr>
              <w:widowControl w:val="0"/>
              <w:pBdr>
                <w:top w:val="nil"/>
                <w:left w:val="nil"/>
                <w:bottom w:val="nil"/>
                <w:right w:val="nil"/>
                <w:between w:val="nil"/>
              </w:pBdr>
              <w:jc w:val="right"/>
              <w:rPr>
                <w:color w:val="0000FF"/>
              </w:rPr>
            </w:pPr>
          </w:p>
        </w:tc>
        <w:tc>
          <w:tcPr>
            <w:tcW w:w="571" w:type="dxa"/>
            <w:tcBorders>
              <w:bottom w:val="single" w:sz="4" w:space="0" w:color="000000"/>
            </w:tcBorders>
            <w:vAlign w:val="bottom"/>
          </w:tcPr>
          <w:p w14:paraId="462156FD" w14:textId="77777777" w:rsidR="008E5DE4" w:rsidRDefault="008E5DE4">
            <w:pPr>
              <w:widowControl w:val="0"/>
              <w:pBdr>
                <w:top w:val="nil"/>
                <w:left w:val="nil"/>
                <w:bottom w:val="nil"/>
                <w:right w:val="nil"/>
                <w:between w:val="nil"/>
              </w:pBdr>
              <w:jc w:val="right"/>
              <w:rPr>
                <w:color w:val="0000FF"/>
              </w:rPr>
            </w:pPr>
          </w:p>
        </w:tc>
        <w:tc>
          <w:tcPr>
            <w:tcW w:w="871" w:type="dxa"/>
            <w:tcBorders>
              <w:bottom w:val="single" w:sz="4" w:space="0" w:color="000000"/>
            </w:tcBorders>
            <w:vAlign w:val="bottom"/>
          </w:tcPr>
          <w:p w14:paraId="0812F2C4"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59F80E49"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1C48F27E" w14:textId="77777777" w:rsidR="008E5DE4" w:rsidRDefault="008E5DE4">
            <w:pPr>
              <w:widowControl w:val="0"/>
              <w:pBdr>
                <w:top w:val="nil"/>
                <w:left w:val="nil"/>
                <w:bottom w:val="nil"/>
                <w:right w:val="nil"/>
                <w:between w:val="nil"/>
              </w:pBdr>
              <w:jc w:val="right"/>
              <w:rPr>
                <w:color w:val="0000FF"/>
              </w:rPr>
            </w:pPr>
          </w:p>
        </w:tc>
        <w:tc>
          <w:tcPr>
            <w:tcW w:w="573" w:type="dxa"/>
            <w:tcBorders>
              <w:bottom w:val="single" w:sz="4" w:space="0" w:color="000000"/>
            </w:tcBorders>
            <w:vAlign w:val="bottom"/>
          </w:tcPr>
          <w:p w14:paraId="358B9BCC" w14:textId="77777777" w:rsidR="008E5DE4" w:rsidRDefault="008E5DE4">
            <w:pPr>
              <w:widowControl w:val="0"/>
              <w:pBdr>
                <w:top w:val="nil"/>
                <w:left w:val="nil"/>
                <w:bottom w:val="nil"/>
                <w:right w:val="nil"/>
                <w:between w:val="nil"/>
              </w:pBdr>
              <w:jc w:val="right"/>
              <w:rPr>
                <w:color w:val="0000FF"/>
              </w:rPr>
            </w:pPr>
          </w:p>
        </w:tc>
      </w:tr>
      <w:tr w:rsidR="008E5DE4" w14:paraId="0F633D7C" w14:textId="77777777">
        <w:trPr>
          <w:cantSplit/>
          <w:trHeight w:val="153"/>
        </w:trPr>
        <w:tc>
          <w:tcPr>
            <w:tcW w:w="3061" w:type="dxa"/>
            <w:tcBorders>
              <w:top w:val="single" w:sz="4" w:space="0" w:color="000000"/>
            </w:tcBorders>
            <w:vAlign w:val="bottom"/>
          </w:tcPr>
          <w:p w14:paraId="2CD94E78" w14:textId="77777777" w:rsidR="008E5DE4" w:rsidRDefault="00780368">
            <w:pPr>
              <w:widowControl w:val="0"/>
              <w:pBdr>
                <w:top w:val="nil"/>
                <w:left w:val="nil"/>
                <w:bottom w:val="nil"/>
                <w:right w:val="nil"/>
                <w:between w:val="nil"/>
              </w:pBdr>
              <w:ind w:left="113" w:right="-57" w:hanging="113"/>
              <w:rPr>
                <w:color w:val="0000FF"/>
              </w:rPr>
            </w:pPr>
            <w:r>
              <w:rPr>
                <w:b/>
                <w:color w:val="0000FF"/>
              </w:rPr>
              <w:t> </w:t>
            </w:r>
          </w:p>
        </w:tc>
        <w:tc>
          <w:tcPr>
            <w:tcW w:w="851" w:type="dxa"/>
            <w:tcBorders>
              <w:top w:val="single" w:sz="4" w:space="0" w:color="000000"/>
            </w:tcBorders>
            <w:vAlign w:val="bottom"/>
          </w:tcPr>
          <w:p w14:paraId="27A4151B" w14:textId="77777777" w:rsidR="008E5DE4" w:rsidRDefault="008E5DE4">
            <w:pPr>
              <w:widowControl w:val="0"/>
              <w:pBdr>
                <w:top w:val="nil"/>
                <w:left w:val="nil"/>
                <w:bottom w:val="nil"/>
                <w:right w:val="nil"/>
                <w:between w:val="nil"/>
              </w:pBdr>
              <w:jc w:val="right"/>
              <w:rPr>
                <w:color w:val="0000FF"/>
              </w:rPr>
            </w:pPr>
          </w:p>
        </w:tc>
        <w:tc>
          <w:tcPr>
            <w:tcW w:w="878" w:type="dxa"/>
            <w:tcBorders>
              <w:top w:val="single" w:sz="4" w:space="0" w:color="000000"/>
            </w:tcBorders>
            <w:vAlign w:val="bottom"/>
          </w:tcPr>
          <w:p w14:paraId="5CCA7989"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5EA5569B" w14:textId="77777777" w:rsidR="008E5DE4" w:rsidRDefault="008E5DE4">
            <w:pPr>
              <w:widowControl w:val="0"/>
              <w:pBdr>
                <w:top w:val="nil"/>
                <w:left w:val="nil"/>
                <w:bottom w:val="nil"/>
                <w:right w:val="nil"/>
                <w:between w:val="nil"/>
              </w:pBdr>
              <w:jc w:val="right"/>
              <w:rPr>
                <w:color w:val="0000FF"/>
              </w:rPr>
            </w:pPr>
          </w:p>
        </w:tc>
        <w:tc>
          <w:tcPr>
            <w:tcW w:w="571" w:type="dxa"/>
            <w:tcBorders>
              <w:top w:val="single" w:sz="4" w:space="0" w:color="000000"/>
            </w:tcBorders>
            <w:vAlign w:val="bottom"/>
          </w:tcPr>
          <w:p w14:paraId="07F87059" w14:textId="77777777" w:rsidR="008E5DE4" w:rsidRDefault="008E5DE4">
            <w:pPr>
              <w:widowControl w:val="0"/>
              <w:pBdr>
                <w:top w:val="nil"/>
                <w:left w:val="nil"/>
                <w:bottom w:val="nil"/>
                <w:right w:val="nil"/>
                <w:between w:val="nil"/>
              </w:pBdr>
              <w:jc w:val="right"/>
              <w:rPr>
                <w:color w:val="0000FF"/>
              </w:rPr>
            </w:pPr>
          </w:p>
        </w:tc>
        <w:tc>
          <w:tcPr>
            <w:tcW w:w="871" w:type="dxa"/>
            <w:tcBorders>
              <w:top w:val="single" w:sz="4" w:space="0" w:color="000000"/>
            </w:tcBorders>
            <w:vAlign w:val="bottom"/>
          </w:tcPr>
          <w:p w14:paraId="60FAB95B"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0DA5CCA7"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2CA8C80F" w14:textId="77777777" w:rsidR="008E5DE4" w:rsidRDefault="008E5DE4">
            <w:pPr>
              <w:widowControl w:val="0"/>
              <w:pBdr>
                <w:top w:val="nil"/>
                <w:left w:val="nil"/>
                <w:bottom w:val="nil"/>
                <w:right w:val="nil"/>
                <w:between w:val="nil"/>
              </w:pBdr>
              <w:jc w:val="right"/>
              <w:rPr>
                <w:color w:val="0000FF"/>
              </w:rPr>
            </w:pPr>
          </w:p>
        </w:tc>
        <w:tc>
          <w:tcPr>
            <w:tcW w:w="573" w:type="dxa"/>
            <w:tcBorders>
              <w:top w:val="single" w:sz="4" w:space="0" w:color="000000"/>
            </w:tcBorders>
            <w:vAlign w:val="bottom"/>
          </w:tcPr>
          <w:p w14:paraId="620FB36D" w14:textId="77777777" w:rsidR="008E5DE4" w:rsidRDefault="008E5DE4">
            <w:pPr>
              <w:widowControl w:val="0"/>
              <w:pBdr>
                <w:top w:val="nil"/>
                <w:left w:val="nil"/>
                <w:bottom w:val="nil"/>
                <w:right w:val="nil"/>
                <w:between w:val="nil"/>
              </w:pBdr>
              <w:jc w:val="right"/>
              <w:rPr>
                <w:color w:val="0000FF"/>
              </w:rPr>
            </w:pPr>
          </w:p>
        </w:tc>
      </w:tr>
      <w:tr w:rsidR="008E5DE4" w14:paraId="53061911" w14:textId="77777777">
        <w:trPr>
          <w:cantSplit/>
          <w:trHeight w:val="692"/>
        </w:trPr>
        <w:tc>
          <w:tcPr>
            <w:tcW w:w="3061" w:type="dxa"/>
            <w:vAlign w:val="bottom"/>
          </w:tcPr>
          <w:p w14:paraId="6D3A6C33" w14:textId="77777777" w:rsidR="008E5DE4" w:rsidRDefault="00780368">
            <w:pPr>
              <w:widowControl w:val="0"/>
              <w:pBdr>
                <w:top w:val="nil"/>
                <w:left w:val="nil"/>
                <w:bottom w:val="nil"/>
                <w:right w:val="nil"/>
                <w:between w:val="nil"/>
              </w:pBdr>
              <w:ind w:left="113" w:right="-57" w:hanging="113"/>
              <w:rPr>
                <w:b/>
                <w:color w:val="0000FF"/>
              </w:rPr>
            </w:pPr>
            <w:r>
              <w:rPr>
                <w:i/>
                <w:color w:val="0000FF"/>
              </w:rPr>
              <w:t>Movements without impact on credit loss allowance charge for the period:</w:t>
            </w:r>
          </w:p>
          <w:p w14:paraId="7555DC88" w14:textId="77777777" w:rsidR="008E5DE4" w:rsidRDefault="008E5DE4">
            <w:pPr>
              <w:widowControl w:val="0"/>
              <w:pBdr>
                <w:top w:val="nil"/>
                <w:left w:val="nil"/>
                <w:bottom w:val="nil"/>
                <w:right w:val="nil"/>
                <w:between w:val="nil"/>
              </w:pBdr>
              <w:ind w:right="-57"/>
              <w:rPr>
                <w:color w:val="0000FF"/>
                <w:sz w:val="8"/>
                <w:szCs w:val="8"/>
              </w:rPr>
            </w:pPr>
          </w:p>
        </w:tc>
        <w:tc>
          <w:tcPr>
            <w:tcW w:w="851" w:type="dxa"/>
            <w:vAlign w:val="bottom"/>
          </w:tcPr>
          <w:p w14:paraId="79FA3EEB"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104CC4C5"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6C2575BB"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742281AA" w14:textId="77777777" w:rsidR="008E5DE4" w:rsidRDefault="008E5DE4">
            <w:pPr>
              <w:widowControl w:val="0"/>
              <w:pBdr>
                <w:top w:val="nil"/>
                <w:left w:val="nil"/>
                <w:bottom w:val="nil"/>
                <w:right w:val="nil"/>
                <w:between w:val="nil"/>
              </w:pBdr>
              <w:jc w:val="right"/>
              <w:rPr>
                <w:color w:val="0000FF"/>
                <w:highlight w:val="green"/>
              </w:rPr>
            </w:pPr>
          </w:p>
        </w:tc>
        <w:tc>
          <w:tcPr>
            <w:tcW w:w="871" w:type="dxa"/>
            <w:vAlign w:val="bottom"/>
          </w:tcPr>
          <w:p w14:paraId="6AD544FA"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12C40C28"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06130C36"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23C83781" w14:textId="77777777" w:rsidR="008E5DE4" w:rsidRDefault="008E5DE4">
            <w:pPr>
              <w:widowControl w:val="0"/>
              <w:pBdr>
                <w:top w:val="nil"/>
                <w:left w:val="nil"/>
                <w:bottom w:val="nil"/>
                <w:right w:val="nil"/>
                <w:between w:val="nil"/>
              </w:pBdr>
              <w:jc w:val="right"/>
              <w:rPr>
                <w:color w:val="0000FF"/>
                <w:highlight w:val="green"/>
              </w:rPr>
            </w:pPr>
          </w:p>
        </w:tc>
      </w:tr>
      <w:tr w:rsidR="008E5DE4" w14:paraId="3419124E" w14:textId="77777777">
        <w:trPr>
          <w:cantSplit/>
          <w:trHeight w:val="169"/>
        </w:trPr>
        <w:tc>
          <w:tcPr>
            <w:tcW w:w="3061" w:type="dxa"/>
            <w:vAlign w:val="bottom"/>
          </w:tcPr>
          <w:p w14:paraId="2BFC8CC6" w14:textId="77777777" w:rsidR="008E5DE4" w:rsidRDefault="00780368">
            <w:pPr>
              <w:widowControl w:val="0"/>
              <w:pBdr>
                <w:top w:val="nil"/>
                <w:left w:val="nil"/>
                <w:bottom w:val="nil"/>
                <w:right w:val="nil"/>
                <w:between w:val="nil"/>
              </w:pBdr>
              <w:ind w:left="113" w:right="-57" w:hanging="113"/>
              <w:rPr>
                <w:color w:val="0000FF"/>
              </w:rPr>
            </w:pPr>
            <w:r>
              <w:rPr>
                <w:color w:val="0000FF"/>
              </w:rPr>
              <w:t>Write-offs</w:t>
            </w:r>
          </w:p>
        </w:tc>
        <w:tc>
          <w:tcPr>
            <w:tcW w:w="851" w:type="dxa"/>
            <w:vAlign w:val="bottom"/>
          </w:tcPr>
          <w:p w14:paraId="12B15B7A"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390F1F1A"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142902BD"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045ABB6B" w14:textId="77777777" w:rsidR="008E5DE4" w:rsidRDefault="008E5DE4">
            <w:pPr>
              <w:widowControl w:val="0"/>
              <w:pBdr>
                <w:top w:val="nil"/>
                <w:left w:val="nil"/>
                <w:bottom w:val="nil"/>
                <w:right w:val="nil"/>
                <w:between w:val="nil"/>
              </w:pBdr>
              <w:jc w:val="right"/>
              <w:rPr>
                <w:color w:val="0000FF"/>
                <w:highlight w:val="green"/>
              </w:rPr>
            </w:pPr>
          </w:p>
        </w:tc>
        <w:tc>
          <w:tcPr>
            <w:tcW w:w="871" w:type="dxa"/>
            <w:vAlign w:val="bottom"/>
          </w:tcPr>
          <w:p w14:paraId="27D4B889"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26B8303F"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031F9783"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6E044006" w14:textId="77777777" w:rsidR="008E5DE4" w:rsidRDefault="008E5DE4">
            <w:pPr>
              <w:widowControl w:val="0"/>
              <w:pBdr>
                <w:top w:val="nil"/>
                <w:left w:val="nil"/>
                <w:bottom w:val="nil"/>
                <w:right w:val="nil"/>
                <w:between w:val="nil"/>
              </w:pBdr>
              <w:jc w:val="right"/>
              <w:rPr>
                <w:color w:val="0000FF"/>
                <w:highlight w:val="green"/>
              </w:rPr>
            </w:pPr>
          </w:p>
        </w:tc>
      </w:tr>
      <w:tr w:rsidR="008E5DE4" w14:paraId="71BE863A" w14:textId="77777777">
        <w:trPr>
          <w:cantSplit/>
          <w:trHeight w:val="169"/>
        </w:trPr>
        <w:tc>
          <w:tcPr>
            <w:tcW w:w="3061" w:type="dxa"/>
            <w:vAlign w:val="bottom"/>
          </w:tcPr>
          <w:p w14:paraId="40E008F0" w14:textId="77777777" w:rsidR="008E5DE4" w:rsidRDefault="00780368">
            <w:pPr>
              <w:widowControl w:val="0"/>
              <w:pBdr>
                <w:top w:val="nil"/>
                <w:left w:val="nil"/>
                <w:bottom w:val="nil"/>
                <w:right w:val="nil"/>
                <w:between w:val="nil"/>
              </w:pBdr>
              <w:ind w:left="113" w:right="-57" w:hanging="113"/>
              <w:rPr>
                <w:color w:val="0000FF"/>
              </w:rPr>
            </w:pPr>
            <w:r>
              <w:rPr>
                <w:color w:val="0000FF"/>
              </w:rPr>
              <w:t>Foreign exchange and other movements</w:t>
            </w:r>
          </w:p>
        </w:tc>
        <w:tc>
          <w:tcPr>
            <w:tcW w:w="851" w:type="dxa"/>
            <w:vAlign w:val="bottom"/>
          </w:tcPr>
          <w:p w14:paraId="6DC3A76A" w14:textId="77777777" w:rsidR="008E5DE4" w:rsidRDefault="008E5DE4">
            <w:pPr>
              <w:widowControl w:val="0"/>
              <w:pBdr>
                <w:top w:val="nil"/>
                <w:left w:val="nil"/>
                <w:bottom w:val="nil"/>
                <w:right w:val="nil"/>
                <w:between w:val="nil"/>
              </w:pBdr>
              <w:jc w:val="right"/>
              <w:rPr>
                <w:color w:val="0000FF"/>
                <w:highlight w:val="green"/>
              </w:rPr>
            </w:pPr>
          </w:p>
        </w:tc>
        <w:tc>
          <w:tcPr>
            <w:tcW w:w="878" w:type="dxa"/>
            <w:vAlign w:val="bottom"/>
          </w:tcPr>
          <w:p w14:paraId="05FA919C"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78B0CA23" w14:textId="77777777" w:rsidR="008E5DE4" w:rsidRDefault="008E5DE4">
            <w:pPr>
              <w:widowControl w:val="0"/>
              <w:pBdr>
                <w:top w:val="nil"/>
                <w:left w:val="nil"/>
                <w:bottom w:val="nil"/>
                <w:right w:val="nil"/>
                <w:between w:val="nil"/>
              </w:pBdr>
              <w:jc w:val="right"/>
              <w:rPr>
                <w:color w:val="0000FF"/>
                <w:highlight w:val="green"/>
              </w:rPr>
            </w:pPr>
          </w:p>
        </w:tc>
        <w:tc>
          <w:tcPr>
            <w:tcW w:w="571" w:type="dxa"/>
            <w:vAlign w:val="bottom"/>
          </w:tcPr>
          <w:p w14:paraId="314790F5" w14:textId="77777777" w:rsidR="008E5DE4" w:rsidRDefault="008E5DE4">
            <w:pPr>
              <w:widowControl w:val="0"/>
              <w:pBdr>
                <w:top w:val="nil"/>
                <w:left w:val="nil"/>
                <w:bottom w:val="nil"/>
                <w:right w:val="nil"/>
                <w:between w:val="nil"/>
              </w:pBdr>
              <w:jc w:val="right"/>
              <w:rPr>
                <w:color w:val="0000FF"/>
                <w:highlight w:val="green"/>
              </w:rPr>
            </w:pPr>
          </w:p>
        </w:tc>
        <w:tc>
          <w:tcPr>
            <w:tcW w:w="871" w:type="dxa"/>
            <w:vAlign w:val="bottom"/>
          </w:tcPr>
          <w:p w14:paraId="2190E4BE"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4EA4096A" w14:textId="77777777" w:rsidR="008E5DE4" w:rsidRDefault="008E5DE4">
            <w:pPr>
              <w:widowControl w:val="0"/>
              <w:pBdr>
                <w:top w:val="nil"/>
                <w:left w:val="nil"/>
                <w:bottom w:val="nil"/>
                <w:right w:val="nil"/>
                <w:between w:val="nil"/>
              </w:pBdr>
              <w:jc w:val="right"/>
              <w:rPr>
                <w:color w:val="0000FF"/>
                <w:highlight w:val="green"/>
              </w:rPr>
            </w:pPr>
          </w:p>
        </w:tc>
        <w:tc>
          <w:tcPr>
            <w:tcW w:w="856" w:type="dxa"/>
            <w:vAlign w:val="bottom"/>
          </w:tcPr>
          <w:p w14:paraId="060A10C9" w14:textId="77777777" w:rsidR="008E5DE4" w:rsidRDefault="008E5DE4">
            <w:pPr>
              <w:widowControl w:val="0"/>
              <w:pBdr>
                <w:top w:val="nil"/>
                <w:left w:val="nil"/>
                <w:bottom w:val="nil"/>
                <w:right w:val="nil"/>
                <w:between w:val="nil"/>
              </w:pBdr>
              <w:jc w:val="right"/>
              <w:rPr>
                <w:color w:val="0000FF"/>
                <w:highlight w:val="green"/>
              </w:rPr>
            </w:pPr>
          </w:p>
        </w:tc>
        <w:tc>
          <w:tcPr>
            <w:tcW w:w="573" w:type="dxa"/>
            <w:vAlign w:val="bottom"/>
          </w:tcPr>
          <w:p w14:paraId="4B32AA5D" w14:textId="77777777" w:rsidR="008E5DE4" w:rsidRDefault="008E5DE4">
            <w:pPr>
              <w:widowControl w:val="0"/>
              <w:pBdr>
                <w:top w:val="nil"/>
                <w:left w:val="nil"/>
                <w:bottom w:val="nil"/>
                <w:right w:val="nil"/>
                <w:between w:val="nil"/>
              </w:pBdr>
              <w:jc w:val="right"/>
              <w:rPr>
                <w:color w:val="0000FF"/>
                <w:highlight w:val="green"/>
              </w:rPr>
            </w:pPr>
          </w:p>
        </w:tc>
      </w:tr>
      <w:tr w:rsidR="008E5DE4" w14:paraId="539C329D" w14:textId="77777777">
        <w:trPr>
          <w:cantSplit/>
          <w:trHeight w:val="337"/>
        </w:trPr>
        <w:tc>
          <w:tcPr>
            <w:tcW w:w="3061" w:type="dxa"/>
            <w:vAlign w:val="bottom"/>
          </w:tcPr>
          <w:p w14:paraId="3530541C" w14:textId="77777777" w:rsidR="008E5DE4" w:rsidRDefault="00780368">
            <w:pPr>
              <w:widowControl w:val="0"/>
              <w:pBdr>
                <w:top w:val="nil"/>
                <w:left w:val="nil"/>
                <w:bottom w:val="nil"/>
                <w:right w:val="nil"/>
                <w:between w:val="nil"/>
              </w:pBdr>
              <w:ind w:left="113" w:right="-57" w:hanging="113"/>
              <w:rPr>
                <w:color w:val="0000FF"/>
              </w:rPr>
            </w:pPr>
            <w:r>
              <w:rPr>
                <w:color w:val="0000FF"/>
              </w:rPr>
              <w:t>Modification of contractual cash flows</w:t>
            </w:r>
          </w:p>
        </w:tc>
        <w:tc>
          <w:tcPr>
            <w:tcW w:w="851" w:type="dxa"/>
            <w:vAlign w:val="bottom"/>
          </w:tcPr>
          <w:p w14:paraId="1A178586"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136A26DF"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A61ED89"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49E28745"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126C4E7E"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00BE4E1"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435872EA"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333D596B" w14:textId="77777777" w:rsidR="008E5DE4" w:rsidRDefault="008E5DE4">
            <w:pPr>
              <w:widowControl w:val="0"/>
              <w:pBdr>
                <w:top w:val="nil"/>
                <w:left w:val="nil"/>
                <w:bottom w:val="nil"/>
                <w:right w:val="nil"/>
                <w:between w:val="nil"/>
              </w:pBdr>
              <w:jc w:val="right"/>
              <w:rPr>
                <w:color w:val="0000FF"/>
              </w:rPr>
            </w:pPr>
          </w:p>
        </w:tc>
      </w:tr>
      <w:tr w:rsidR="008E5DE4" w14:paraId="350721F0" w14:textId="77777777">
        <w:trPr>
          <w:cantSplit/>
          <w:trHeight w:val="231"/>
        </w:trPr>
        <w:tc>
          <w:tcPr>
            <w:tcW w:w="3061" w:type="dxa"/>
            <w:vAlign w:val="bottom"/>
          </w:tcPr>
          <w:p w14:paraId="2A4E9B96" w14:textId="77777777" w:rsidR="008E5DE4" w:rsidRDefault="00780368">
            <w:pPr>
              <w:widowControl w:val="0"/>
              <w:pBdr>
                <w:top w:val="nil"/>
                <w:left w:val="nil"/>
                <w:bottom w:val="nil"/>
                <w:right w:val="nil"/>
                <w:between w:val="nil"/>
              </w:pBdr>
              <w:ind w:left="113" w:right="-57" w:hanging="113"/>
              <w:rPr>
                <w:color w:val="0000FF"/>
              </w:rPr>
            </w:pPr>
            <w:r>
              <w:rPr>
                <w:color w:val="0000FF"/>
              </w:rPr>
              <w:t xml:space="preserve">Unwinding of discount (for Stage 3) </w:t>
            </w:r>
          </w:p>
        </w:tc>
        <w:tc>
          <w:tcPr>
            <w:tcW w:w="851" w:type="dxa"/>
            <w:vAlign w:val="bottom"/>
          </w:tcPr>
          <w:p w14:paraId="24B38836"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167D345F"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5C4ECF31"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566F6ADC"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0B634E85"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7BC7FA90"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41E453A2"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6F69484A" w14:textId="77777777" w:rsidR="008E5DE4" w:rsidRDefault="008E5DE4">
            <w:pPr>
              <w:widowControl w:val="0"/>
              <w:pBdr>
                <w:top w:val="nil"/>
                <w:left w:val="nil"/>
                <w:bottom w:val="nil"/>
                <w:right w:val="nil"/>
                <w:between w:val="nil"/>
              </w:pBdr>
              <w:jc w:val="right"/>
              <w:rPr>
                <w:color w:val="0000FF"/>
              </w:rPr>
            </w:pPr>
          </w:p>
        </w:tc>
      </w:tr>
      <w:tr w:rsidR="008E5DE4" w14:paraId="79648002" w14:textId="77777777">
        <w:trPr>
          <w:cantSplit/>
          <w:trHeight w:val="169"/>
        </w:trPr>
        <w:tc>
          <w:tcPr>
            <w:tcW w:w="3061" w:type="dxa"/>
            <w:tcBorders>
              <w:bottom w:val="single" w:sz="4" w:space="0" w:color="000000"/>
            </w:tcBorders>
            <w:vAlign w:val="bottom"/>
          </w:tcPr>
          <w:p w14:paraId="6DADD31F" w14:textId="77777777" w:rsidR="008E5DE4" w:rsidRDefault="00780368">
            <w:pPr>
              <w:widowControl w:val="0"/>
              <w:pBdr>
                <w:top w:val="nil"/>
                <w:left w:val="nil"/>
                <w:bottom w:val="nil"/>
                <w:right w:val="nil"/>
                <w:between w:val="nil"/>
              </w:pBdr>
              <w:ind w:left="113" w:right="-57" w:hanging="113"/>
              <w:rPr>
                <w:b/>
                <w:color w:val="0000FF"/>
              </w:rPr>
            </w:pPr>
            <w:r>
              <w:rPr>
                <w:b/>
                <w:color w:val="0000FF"/>
              </w:rPr>
              <w:t> </w:t>
            </w:r>
          </w:p>
        </w:tc>
        <w:tc>
          <w:tcPr>
            <w:tcW w:w="851" w:type="dxa"/>
            <w:tcBorders>
              <w:bottom w:val="single" w:sz="4" w:space="0" w:color="000000"/>
            </w:tcBorders>
            <w:vAlign w:val="bottom"/>
          </w:tcPr>
          <w:p w14:paraId="40892B6C" w14:textId="77777777" w:rsidR="008E5DE4" w:rsidRDefault="008E5DE4">
            <w:pPr>
              <w:widowControl w:val="0"/>
              <w:pBdr>
                <w:top w:val="nil"/>
                <w:left w:val="nil"/>
                <w:bottom w:val="nil"/>
                <w:right w:val="nil"/>
                <w:between w:val="nil"/>
              </w:pBdr>
              <w:jc w:val="right"/>
              <w:rPr>
                <w:color w:val="0000FF"/>
              </w:rPr>
            </w:pPr>
          </w:p>
        </w:tc>
        <w:tc>
          <w:tcPr>
            <w:tcW w:w="878" w:type="dxa"/>
            <w:tcBorders>
              <w:bottom w:val="single" w:sz="4" w:space="0" w:color="000000"/>
            </w:tcBorders>
            <w:vAlign w:val="bottom"/>
          </w:tcPr>
          <w:p w14:paraId="69539C15"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4797C744" w14:textId="77777777" w:rsidR="008E5DE4" w:rsidRDefault="008E5DE4">
            <w:pPr>
              <w:widowControl w:val="0"/>
              <w:pBdr>
                <w:top w:val="nil"/>
                <w:left w:val="nil"/>
                <w:bottom w:val="nil"/>
                <w:right w:val="nil"/>
                <w:between w:val="nil"/>
              </w:pBdr>
              <w:jc w:val="right"/>
              <w:rPr>
                <w:color w:val="0000FF"/>
              </w:rPr>
            </w:pPr>
          </w:p>
        </w:tc>
        <w:tc>
          <w:tcPr>
            <w:tcW w:w="571" w:type="dxa"/>
            <w:tcBorders>
              <w:bottom w:val="single" w:sz="4" w:space="0" w:color="000000"/>
            </w:tcBorders>
            <w:vAlign w:val="bottom"/>
          </w:tcPr>
          <w:p w14:paraId="24C45C4A" w14:textId="77777777" w:rsidR="008E5DE4" w:rsidRDefault="008E5DE4">
            <w:pPr>
              <w:widowControl w:val="0"/>
              <w:pBdr>
                <w:top w:val="nil"/>
                <w:left w:val="nil"/>
                <w:bottom w:val="nil"/>
                <w:right w:val="nil"/>
                <w:between w:val="nil"/>
              </w:pBdr>
              <w:jc w:val="right"/>
              <w:rPr>
                <w:color w:val="0000FF"/>
              </w:rPr>
            </w:pPr>
          </w:p>
        </w:tc>
        <w:tc>
          <w:tcPr>
            <w:tcW w:w="871" w:type="dxa"/>
            <w:tcBorders>
              <w:bottom w:val="single" w:sz="4" w:space="0" w:color="000000"/>
            </w:tcBorders>
            <w:vAlign w:val="bottom"/>
          </w:tcPr>
          <w:p w14:paraId="1C153B88"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7599902B"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4" w:space="0" w:color="000000"/>
            </w:tcBorders>
            <w:vAlign w:val="bottom"/>
          </w:tcPr>
          <w:p w14:paraId="1F3CB191" w14:textId="77777777" w:rsidR="008E5DE4" w:rsidRDefault="008E5DE4">
            <w:pPr>
              <w:widowControl w:val="0"/>
              <w:pBdr>
                <w:top w:val="nil"/>
                <w:left w:val="nil"/>
                <w:bottom w:val="nil"/>
                <w:right w:val="nil"/>
                <w:between w:val="nil"/>
              </w:pBdr>
              <w:jc w:val="right"/>
              <w:rPr>
                <w:color w:val="0000FF"/>
              </w:rPr>
            </w:pPr>
          </w:p>
        </w:tc>
        <w:tc>
          <w:tcPr>
            <w:tcW w:w="573" w:type="dxa"/>
            <w:tcBorders>
              <w:bottom w:val="single" w:sz="4" w:space="0" w:color="000000"/>
            </w:tcBorders>
            <w:vAlign w:val="bottom"/>
          </w:tcPr>
          <w:p w14:paraId="7674C989" w14:textId="77777777" w:rsidR="008E5DE4" w:rsidRDefault="008E5DE4">
            <w:pPr>
              <w:widowControl w:val="0"/>
              <w:pBdr>
                <w:top w:val="nil"/>
                <w:left w:val="nil"/>
                <w:bottom w:val="nil"/>
                <w:right w:val="nil"/>
                <w:between w:val="nil"/>
              </w:pBdr>
              <w:jc w:val="right"/>
              <w:rPr>
                <w:color w:val="0000FF"/>
              </w:rPr>
            </w:pPr>
          </w:p>
        </w:tc>
      </w:tr>
      <w:tr w:rsidR="008E5DE4" w14:paraId="2DEAD0A7" w14:textId="77777777">
        <w:trPr>
          <w:cantSplit/>
          <w:trHeight w:val="169"/>
        </w:trPr>
        <w:tc>
          <w:tcPr>
            <w:tcW w:w="3061" w:type="dxa"/>
            <w:tcBorders>
              <w:top w:val="single" w:sz="4" w:space="0" w:color="000000"/>
            </w:tcBorders>
            <w:vAlign w:val="bottom"/>
          </w:tcPr>
          <w:p w14:paraId="1F8FB4A8" w14:textId="77777777" w:rsidR="008E5DE4" w:rsidRDefault="00780368">
            <w:pPr>
              <w:widowControl w:val="0"/>
              <w:pBdr>
                <w:top w:val="nil"/>
                <w:left w:val="nil"/>
                <w:bottom w:val="nil"/>
                <w:right w:val="nil"/>
                <w:between w:val="nil"/>
              </w:pBdr>
              <w:ind w:left="113" w:right="-57" w:hanging="113"/>
              <w:rPr>
                <w:color w:val="0000FF"/>
                <w:u w:val="single"/>
              </w:rPr>
            </w:pPr>
            <w:r>
              <w:rPr>
                <w:b/>
                <w:color w:val="0000FF"/>
              </w:rPr>
              <w:t> </w:t>
            </w:r>
          </w:p>
        </w:tc>
        <w:tc>
          <w:tcPr>
            <w:tcW w:w="851" w:type="dxa"/>
            <w:tcBorders>
              <w:top w:val="single" w:sz="4" w:space="0" w:color="000000"/>
            </w:tcBorders>
            <w:vAlign w:val="bottom"/>
          </w:tcPr>
          <w:p w14:paraId="6712421B" w14:textId="77777777" w:rsidR="008E5DE4" w:rsidRDefault="008E5DE4">
            <w:pPr>
              <w:widowControl w:val="0"/>
              <w:pBdr>
                <w:top w:val="nil"/>
                <w:left w:val="nil"/>
                <w:bottom w:val="nil"/>
                <w:right w:val="nil"/>
                <w:between w:val="nil"/>
              </w:pBdr>
              <w:jc w:val="right"/>
              <w:rPr>
                <w:color w:val="0000FF"/>
              </w:rPr>
            </w:pPr>
          </w:p>
        </w:tc>
        <w:tc>
          <w:tcPr>
            <w:tcW w:w="878" w:type="dxa"/>
            <w:tcBorders>
              <w:top w:val="single" w:sz="4" w:space="0" w:color="000000"/>
            </w:tcBorders>
            <w:vAlign w:val="bottom"/>
          </w:tcPr>
          <w:p w14:paraId="427F0509"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1DF11472" w14:textId="77777777" w:rsidR="008E5DE4" w:rsidRDefault="008E5DE4">
            <w:pPr>
              <w:widowControl w:val="0"/>
              <w:pBdr>
                <w:top w:val="nil"/>
                <w:left w:val="nil"/>
                <w:bottom w:val="nil"/>
                <w:right w:val="nil"/>
                <w:between w:val="nil"/>
              </w:pBdr>
              <w:jc w:val="right"/>
              <w:rPr>
                <w:color w:val="0000FF"/>
              </w:rPr>
            </w:pPr>
          </w:p>
        </w:tc>
        <w:tc>
          <w:tcPr>
            <w:tcW w:w="571" w:type="dxa"/>
            <w:tcBorders>
              <w:top w:val="single" w:sz="4" w:space="0" w:color="000000"/>
            </w:tcBorders>
            <w:vAlign w:val="bottom"/>
          </w:tcPr>
          <w:p w14:paraId="44AA1BA7" w14:textId="77777777" w:rsidR="008E5DE4" w:rsidRDefault="008E5DE4">
            <w:pPr>
              <w:widowControl w:val="0"/>
              <w:pBdr>
                <w:top w:val="nil"/>
                <w:left w:val="nil"/>
                <w:bottom w:val="nil"/>
                <w:right w:val="nil"/>
                <w:between w:val="nil"/>
              </w:pBdr>
              <w:jc w:val="right"/>
              <w:rPr>
                <w:color w:val="0000FF"/>
              </w:rPr>
            </w:pPr>
          </w:p>
        </w:tc>
        <w:tc>
          <w:tcPr>
            <w:tcW w:w="871" w:type="dxa"/>
            <w:tcBorders>
              <w:top w:val="single" w:sz="4" w:space="0" w:color="000000"/>
            </w:tcBorders>
            <w:vAlign w:val="bottom"/>
          </w:tcPr>
          <w:p w14:paraId="4CF39F06"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39287C5A" w14:textId="77777777" w:rsidR="008E5DE4" w:rsidRDefault="008E5DE4">
            <w:pPr>
              <w:widowControl w:val="0"/>
              <w:pBdr>
                <w:top w:val="nil"/>
                <w:left w:val="nil"/>
                <w:bottom w:val="nil"/>
                <w:right w:val="nil"/>
                <w:between w:val="nil"/>
              </w:pBdr>
              <w:jc w:val="right"/>
              <w:rPr>
                <w:color w:val="0000FF"/>
              </w:rPr>
            </w:pPr>
          </w:p>
        </w:tc>
        <w:tc>
          <w:tcPr>
            <w:tcW w:w="856" w:type="dxa"/>
            <w:tcBorders>
              <w:top w:val="single" w:sz="4" w:space="0" w:color="000000"/>
            </w:tcBorders>
            <w:vAlign w:val="bottom"/>
          </w:tcPr>
          <w:p w14:paraId="613753FF" w14:textId="77777777" w:rsidR="008E5DE4" w:rsidRDefault="008E5DE4">
            <w:pPr>
              <w:widowControl w:val="0"/>
              <w:pBdr>
                <w:top w:val="nil"/>
                <w:left w:val="nil"/>
                <w:bottom w:val="nil"/>
                <w:right w:val="nil"/>
                <w:between w:val="nil"/>
              </w:pBdr>
              <w:jc w:val="right"/>
              <w:rPr>
                <w:color w:val="0000FF"/>
              </w:rPr>
            </w:pPr>
          </w:p>
        </w:tc>
        <w:tc>
          <w:tcPr>
            <w:tcW w:w="573" w:type="dxa"/>
            <w:tcBorders>
              <w:top w:val="single" w:sz="4" w:space="0" w:color="000000"/>
            </w:tcBorders>
            <w:vAlign w:val="bottom"/>
          </w:tcPr>
          <w:p w14:paraId="229E4C88" w14:textId="77777777" w:rsidR="008E5DE4" w:rsidRDefault="008E5DE4">
            <w:pPr>
              <w:widowControl w:val="0"/>
              <w:pBdr>
                <w:top w:val="nil"/>
                <w:left w:val="nil"/>
                <w:bottom w:val="nil"/>
                <w:right w:val="nil"/>
                <w:between w:val="nil"/>
              </w:pBdr>
              <w:jc w:val="right"/>
              <w:rPr>
                <w:color w:val="0000FF"/>
              </w:rPr>
            </w:pPr>
          </w:p>
        </w:tc>
      </w:tr>
      <w:tr w:rsidR="008E5DE4" w14:paraId="416E0B0B" w14:textId="77777777">
        <w:trPr>
          <w:cantSplit/>
          <w:trHeight w:val="169"/>
        </w:trPr>
        <w:tc>
          <w:tcPr>
            <w:tcW w:w="3061" w:type="dxa"/>
            <w:vAlign w:val="bottom"/>
          </w:tcPr>
          <w:p w14:paraId="245368F1" w14:textId="045CEF72" w:rsidR="008E5DE4" w:rsidRDefault="00780368">
            <w:pPr>
              <w:widowControl w:val="0"/>
              <w:pBdr>
                <w:top w:val="nil"/>
                <w:left w:val="nil"/>
                <w:bottom w:val="nil"/>
                <w:right w:val="nil"/>
                <w:between w:val="nil"/>
              </w:pBdr>
              <w:ind w:left="113" w:right="-57" w:hanging="113"/>
              <w:rPr>
                <w:b/>
                <w:color w:val="0000FF"/>
              </w:rPr>
            </w:pPr>
            <w:proofErr w:type="gramStart"/>
            <w:r>
              <w:rPr>
                <w:b/>
                <w:color w:val="0000FF"/>
              </w:rPr>
              <w:t>At</w:t>
            </w:r>
            <w:proofErr w:type="gramEnd"/>
            <w:r>
              <w:rPr>
                <w:b/>
                <w:color w:val="0000FF"/>
              </w:rPr>
              <w:t xml:space="preserve"> 31 December </w:t>
            </w:r>
            <w:r w:rsidR="00FF468A">
              <w:rPr>
                <w:b/>
                <w:color w:val="0000FF"/>
              </w:rPr>
              <w:t>2024</w:t>
            </w:r>
          </w:p>
        </w:tc>
        <w:tc>
          <w:tcPr>
            <w:tcW w:w="851" w:type="dxa"/>
            <w:vAlign w:val="bottom"/>
          </w:tcPr>
          <w:p w14:paraId="2EEDA9F6" w14:textId="77777777" w:rsidR="008E5DE4" w:rsidRDefault="008E5DE4">
            <w:pPr>
              <w:widowControl w:val="0"/>
              <w:pBdr>
                <w:top w:val="nil"/>
                <w:left w:val="nil"/>
                <w:bottom w:val="nil"/>
                <w:right w:val="nil"/>
                <w:between w:val="nil"/>
              </w:pBdr>
              <w:jc w:val="right"/>
              <w:rPr>
                <w:color w:val="0000FF"/>
              </w:rPr>
            </w:pPr>
          </w:p>
        </w:tc>
        <w:tc>
          <w:tcPr>
            <w:tcW w:w="878" w:type="dxa"/>
            <w:vAlign w:val="bottom"/>
          </w:tcPr>
          <w:p w14:paraId="6E9E15FC"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41BE59A9" w14:textId="77777777" w:rsidR="008E5DE4" w:rsidRDefault="008E5DE4">
            <w:pPr>
              <w:widowControl w:val="0"/>
              <w:pBdr>
                <w:top w:val="nil"/>
                <w:left w:val="nil"/>
                <w:bottom w:val="nil"/>
                <w:right w:val="nil"/>
                <w:between w:val="nil"/>
              </w:pBdr>
              <w:jc w:val="right"/>
              <w:rPr>
                <w:color w:val="0000FF"/>
              </w:rPr>
            </w:pPr>
          </w:p>
        </w:tc>
        <w:tc>
          <w:tcPr>
            <w:tcW w:w="571" w:type="dxa"/>
            <w:vAlign w:val="bottom"/>
          </w:tcPr>
          <w:p w14:paraId="3E827EA3" w14:textId="77777777" w:rsidR="008E5DE4" w:rsidRDefault="008E5DE4">
            <w:pPr>
              <w:widowControl w:val="0"/>
              <w:pBdr>
                <w:top w:val="nil"/>
                <w:left w:val="nil"/>
                <w:bottom w:val="nil"/>
                <w:right w:val="nil"/>
                <w:between w:val="nil"/>
              </w:pBdr>
              <w:jc w:val="right"/>
              <w:rPr>
                <w:color w:val="0000FF"/>
              </w:rPr>
            </w:pPr>
          </w:p>
        </w:tc>
        <w:tc>
          <w:tcPr>
            <w:tcW w:w="871" w:type="dxa"/>
            <w:vAlign w:val="bottom"/>
          </w:tcPr>
          <w:p w14:paraId="2F410FAD"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6E033F3B" w14:textId="77777777" w:rsidR="008E5DE4" w:rsidRDefault="008E5DE4">
            <w:pPr>
              <w:widowControl w:val="0"/>
              <w:pBdr>
                <w:top w:val="nil"/>
                <w:left w:val="nil"/>
                <w:bottom w:val="nil"/>
                <w:right w:val="nil"/>
                <w:between w:val="nil"/>
              </w:pBdr>
              <w:jc w:val="right"/>
              <w:rPr>
                <w:color w:val="0000FF"/>
              </w:rPr>
            </w:pPr>
          </w:p>
        </w:tc>
        <w:tc>
          <w:tcPr>
            <w:tcW w:w="856" w:type="dxa"/>
            <w:vAlign w:val="bottom"/>
          </w:tcPr>
          <w:p w14:paraId="0D9D9D0B" w14:textId="77777777" w:rsidR="008E5DE4" w:rsidRDefault="008E5DE4">
            <w:pPr>
              <w:widowControl w:val="0"/>
              <w:pBdr>
                <w:top w:val="nil"/>
                <w:left w:val="nil"/>
                <w:bottom w:val="nil"/>
                <w:right w:val="nil"/>
                <w:between w:val="nil"/>
              </w:pBdr>
              <w:jc w:val="right"/>
              <w:rPr>
                <w:color w:val="0000FF"/>
              </w:rPr>
            </w:pPr>
          </w:p>
        </w:tc>
        <w:tc>
          <w:tcPr>
            <w:tcW w:w="573" w:type="dxa"/>
            <w:vAlign w:val="bottom"/>
          </w:tcPr>
          <w:p w14:paraId="729E63F8" w14:textId="77777777" w:rsidR="008E5DE4" w:rsidRDefault="008E5DE4">
            <w:pPr>
              <w:widowControl w:val="0"/>
              <w:pBdr>
                <w:top w:val="nil"/>
                <w:left w:val="nil"/>
                <w:bottom w:val="nil"/>
                <w:right w:val="nil"/>
                <w:between w:val="nil"/>
              </w:pBdr>
              <w:jc w:val="right"/>
              <w:rPr>
                <w:color w:val="0000FF"/>
              </w:rPr>
            </w:pPr>
          </w:p>
        </w:tc>
      </w:tr>
      <w:tr w:rsidR="008E5DE4" w14:paraId="22AF6D23" w14:textId="77777777">
        <w:trPr>
          <w:cantSplit/>
          <w:trHeight w:val="169"/>
        </w:trPr>
        <w:tc>
          <w:tcPr>
            <w:tcW w:w="3061" w:type="dxa"/>
            <w:tcBorders>
              <w:bottom w:val="single" w:sz="12" w:space="0" w:color="000000"/>
            </w:tcBorders>
            <w:vAlign w:val="bottom"/>
          </w:tcPr>
          <w:p w14:paraId="35AA78D8" w14:textId="77777777" w:rsidR="008E5DE4" w:rsidRDefault="00780368">
            <w:pPr>
              <w:widowControl w:val="0"/>
              <w:pBdr>
                <w:top w:val="nil"/>
                <w:left w:val="nil"/>
                <w:bottom w:val="nil"/>
                <w:right w:val="nil"/>
                <w:between w:val="nil"/>
              </w:pBdr>
              <w:ind w:left="113" w:right="-57" w:hanging="113"/>
              <w:rPr>
                <w:b/>
                <w:color w:val="0000FF"/>
              </w:rPr>
            </w:pPr>
            <w:r>
              <w:rPr>
                <w:b/>
                <w:color w:val="0000FF"/>
              </w:rPr>
              <w:t> </w:t>
            </w:r>
          </w:p>
        </w:tc>
        <w:tc>
          <w:tcPr>
            <w:tcW w:w="851" w:type="dxa"/>
            <w:tcBorders>
              <w:bottom w:val="single" w:sz="12" w:space="0" w:color="000000"/>
            </w:tcBorders>
            <w:vAlign w:val="bottom"/>
          </w:tcPr>
          <w:p w14:paraId="67EAB3C2" w14:textId="77777777" w:rsidR="008E5DE4" w:rsidRDefault="008E5DE4">
            <w:pPr>
              <w:widowControl w:val="0"/>
              <w:pBdr>
                <w:top w:val="nil"/>
                <w:left w:val="nil"/>
                <w:bottom w:val="nil"/>
                <w:right w:val="nil"/>
                <w:between w:val="nil"/>
              </w:pBdr>
              <w:jc w:val="right"/>
              <w:rPr>
                <w:color w:val="0000FF"/>
              </w:rPr>
            </w:pPr>
          </w:p>
        </w:tc>
        <w:tc>
          <w:tcPr>
            <w:tcW w:w="878" w:type="dxa"/>
            <w:tcBorders>
              <w:bottom w:val="single" w:sz="12" w:space="0" w:color="000000"/>
            </w:tcBorders>
            <w:vAlign w:val="bottom"/>
          </w:tcPr>
          <w:p w14:paraId="31FF09A5"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12" w:space="0" w:color="000000"/>
            </w:tcBorders>
            <w:vAlign w:val="bottom"/>
          </w:tcPr>
          <w:p w14:paraId="2021D590" w14:textId="77777777" w:rsidR="008E5DE4" w:rsidRDefault="008E5DE4">
            <w:pPr>
              <w:widowControl w:val="0"/>
              <w:pBdr>
                <w:top w:val="nil"/>
                <w:left w:val="nil"/>
                <w:bottom w:val="nil"/>
                <w:right w:val="nil"/>
                <w:between w:val="nil"/>
              </w:pBdr>
              <w:jc w:val="right"/>
              <w:rPr>
                <w:color w:val="0000FF"/>
              </w:rPr>
            </w:pPr>
          </w:p>
        </w:tc>
        <w:tc>
          <w:tcPr>
            <w:tcW w:w="571" w:type="dxa"/>
            <w:tcBorders>
              <w:bottom w:val="single" w:sz="12" w:space="0" w:color="000000"/>
            </w:tcBorders>
            <w:vAlign w:val="bottom"/>
          </w:tcPr>
          <w:p w14:paraId="4D0AA7E3" w14:textId="77777777" w:rsidR="008E5DE4" w:rsidRDefault="008E5DE4">
            <w:pPr>
              <w:widowControl w:val="0"/>
              <w:pBdr>
                <w:top w:val="nil"/>
                <w:left w:val="nil"/>
                <w:bottom w:val="nil"/>
                <w:right w:val="nil"/>
                <w:between w:val="nil"/>
              </w:pBdr>
              <w:jc w:val="right"/>
              <w:rPr>
                <w:color w:val="0000FF"/>
              </w:rPr>
            </w:pPr>
          </w:p>
        </w:tc>
        <w:tc>
          <w:tcPr>
            <w:tcW w:w="871" w:type="dxa"/>
            <w:tcBorders>
              <w:bottom w:val="single" w:sz="12" w:space="0" w:color="000000"/>
            </w:tcBorders>
          </w:tcPr>
          <w:p w14:paraId="2CD7A09C"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12" w:space="0" w:color="000000"/>
            </w:tcBorders>
          </w:tcPr>
          <w:p w14:paraId="67393EC9" w14:textId="77777777" w:rsidR="008E5DE4" w:rsidRDefault="008E5DE4">
            <w:pPr>
              <w:widowControl w:val="0"/>
              <w:pBdr>
                <w:top w:val="nil"/>
                <w:left w:val="nil"/>
                <w:bottom w:val="nil"/>
                <w:right w:val="nil"/>
                <w:between w:val="nil"/>
              </w:pBdr>
              <w:jc w:val="right"/>
              <w:rPr>
                <w:color w:val="0000FF"/>
              </w:rPr>
            </w:pPr>
          </w:p>
        </w:tc>
        <w:tc>
          <w:tcPr>
            <w:tcW w:w="856" w:type="dxa"/>
            <w:tcBorders>
              <w:bottom w:val="single" w:sz="12" w:space="0" w:color="000000"/>
            </w:tcBorders>
          </w:tcPr>
          <w:p w14:paraId="1A2A951D" w14:textId="77777777" w:rsidR="008E5DE4" w:rsidRDefault="008E5DE4">
            <w:pPr>
              <w:widowControl w:val="0"/>
              <w:pBdr>
                <w:top w:val="nil"/>
                <w:left w:val="nil"/>
                <w:bottom w:val="nil"/>
                <w:right w:val="nil"/>
                <w:between w:val="nil"/>
              </w:pBdr>
              <w:jc w:val="right"/>
              <w:rPr>
                <w:color w:val="0000FF"/>
              </w:rPr>
            </w:pPr>
          </w:p>
        </w:tc>
        <w:tc>
          <w:tcPr>
            <w:tcW w:w="573" w:type="dxa"/>
            <w:tcBorders>
              <w:bottom w:val="single" w:sz="12" w:space="0" w:color="000000"/>
            </w:tcBorders>
            <w:vAlign w:val="bottom"/>
          </w:tcPr>
          <w:p w14:paraId="6EA7492E" w14:textId="77777777" w:rsidR="008E5DE4" w:rsidRDefault="008E5DE4">
            <w:pPr>
              <w:widowControl w:val="0"/>
              <w:pBdr>
                <w:top w:val="nil"/>
                <w:left w:val="nil"/>
                <w:bottom w:val="nil"/>
                <w:right w:val="nil"/>
                <w:between w:val="nil"/>
              </w:pBdr>
              <w:jc w:val="right"/>
              <w:rPr>
                <w:color w:val="0000FF"/>
              </w:rPr>
            </w:pPr>
          </w:p>
        </w:tc>
      </w:tr>
    </w:tbl>
    <w:p w14:paraId="3EFAA245" w14:textId="47AE6F33" w:rsidR="008E5DE4" w:rsidRDefault="00780368">
      <w:pPr>
        <w:widowControl w:val="0"/>
        <w:pBdr>
          <w:top w:val="nil"/>
          <w:left w:val="nil"/>
          <w:bottom w:val="nil"/>
          <w:right w:val="nil"/>
          <w:between w:val="nil"/>
        </w:pBdr>
        <w:spacing w:before="200" w:after="200"/>
        <w:jc w:val="both"/>
        <w:rPr>
          <w:color w:val="000000"/>
          <w:sz w:val="20"/>
          <w:szCs w:val="20"/>
        </w:rPr>
      </w:pPr>
      <w:r>
        <w:rPr>
          <w:color w:val="000000"/>
        </w:rPr>
        <w:t xml:space="preserve">Finance </w:t>
      </w:r>
      <w:r>
        <w:rPr>
          <w:color w:val="000000"/>
          <w:sz w:val="20"/>
          <w:szCs w:val="20"/>
        </w:rPr>
        <w:t>lease receivables of EUR ____ thousand (</w:t>
      </w:r>
      <w:r w:rsidR="00FF468A">
        <w:rPr>
          <w:color w:val="000000"/>
          <w:sz w:val="20"/>
          <w:szCs w:val="20"/>
        </w:rPr>
        <w:t>2024</w:t>
      </w:r>
      <w:r>
        <w:rPr>
          <w:color w:val="000000"/>
          <w:sz w:val="20"/>
          <w:szCs w:val="20"/>
        </w:rPr>
        <w:t>: EUR ____ thousand) and EUR ____ thousand (</w:t>
      </w:r>
      <w:r w:rsidR="00FF468A">
        <w:rPr>
          <w:color w:val="000000"/>
          <w:sz w:val="20"/>
          <w:szCs w:val="20"/>
        </w:rPr>
        <w:t>2024</w:t>
      </w:r>
      <w:r>
        <w:rPr>
          <w:color w:val="000000"/>
          <w:sz w:val="20"/>
          <w:szCs w:val="20"/>
        </w:rPr>
        <w:t xml:space="preserve">: EUR ____ thousand) relate to leases of equipment and real estate, respectively. </w:t>
      </w:r>
    </w:p>
    <w:p w14:paraId="303000A4"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bookmarkStart w:id="25" w:name="_heading=h.3whwml4" w:colFirst="0" w:colLast="0"/>
      <w:bookmarkEnd w:id="25"/>
      <w:r>
        <w:rPr>
          <w:b/>
          <w:color w:val="000000"/>
          <w:sz w:val="20"/>
          <w:szCs w:val="20"/>
        </w:rPr>
        <w:lastRenderedPageBreak/>
        <w:t>15</w:t>
      </w:r>
      <w:r>
        <w:rPr>
          <w:b/>
          <w:color w:val="000000"/>
          <w:sz w:val="20"/>
          <w:szCs w:val="20"/>
        </w:rPr>
        <w:tab/>
        <w:t>Finance Lease Receivables (Continued)</w:t>
      </w:r>
    </w:p>
    <w:p w14:paraId="3C9569AC"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finance lease receivables are effectively collateralised by the leased assets as the right to the asset reverts to the Group in case of the counterparty’s default. Such collateral can be analysed as follows:</w:t>
      </w:r>
    </w:p>
    <w:tbl>
      <w:tblPr>
        <w:tblStyle w:val="affff3"/>
        <w:tblW w:w="9355" w:type="dxa"/>
        <w:tblLayout w:type="fixed"/>
        <w:tblLook w:val="0000" w:firstRow="0" w:lastRow="0" w:firstColumn="0" w:lastColumn="0" w:noHBand="0" w:noVBand="0"/>
      </w:tblPr>
      <w:tblGrid>
        <w:gridCol w:w="6293"/>
        <w:gridCol w:w="1531"/>
        <w:gridCol w:w="1531"/>
      </w:tblGrid>
      <w:tr w:rsidR="008E5DE4" w14:paraId="54CE9F9A" w14:textId="77777777">
        <w:trPr>
          <w:cantSplit/>
          <w:tblHeader/>
        </w:trPr>
        <w:tc>
          <w:tcPr>
            <w:tcW w:w="6293" w:type="dxa"/>
            <w:tcBorders>
              <w:bottom w:val="single" w:sz="4" w:space="0" w:color="000000"/>
            </w:tcBorders>
            <w:vAlign w:val="bottom"/>
          </w:tcPr>
          <w:p w14:paraId="4B03BA02"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1531" w:type="dxa"/>
            <w:tcBorders>
              <w:bottom w:val="single" w:sz="4" w:space="0" w:color="000000"/>
            </w:tcBorders>
            <w:vAlign w:val="bottom"/>
          </w:tcPr>
          <w:p w14:paraId="6903C65A" w14:textId="5FC9768E"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50DD4C8D" w14:textId="079A11E3"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5964FAD3" w14:textId="77777777">
        <w:trPr>
          <w:cantSplit/>
          <w:tblHeader/>
        </w:trPr>
        <w:tc>
          <w:tcPr>
            <w:tcW w:w="6293" w:type="dxa"/>
            <w:vAlign w:val="bottom"/>
          </w:tcPr>
          <w:p w14:paraId="15CDC3BE" w14:textId="77777777" w:rsidR="008E5DE4" w:rsidRDefault="00780368">
            <w:pPr>
              <w:widowControl w:val="0"/>
            </w:pPr>
            <w:r>
              <w:t xml:space="preserve"> </w:t>
            </w:r>
          </w:p>
        </w:tc>
        <w:tc>
          <w:tcPr>
            <w:tcW w:w="1531" w:type="dxa"/>
            <w:vAlign w:val="bottom"/>
          </w:tcPr>
          <w:p w14:paraId="11DB1FF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E666608" w14:textId="77777777" w:rsidR="008E5DE4" w:rsidRDefault="008E5DE4">
            <w:pPr>
              <w:widowControl w:val="0"/>
              <w:pBdr>
                <w:top w:val="nil"/>
                <w:left w:val="nil"/>
                <w:bottom w:val="nil"/>
                <w:right w:val="nil"/>
                <w:between w:val="nil"/>
              </w:pBdr>
              <w:jc w:val="right"/>
              <w:rPr>
                <w:color w:val="000000"/>
              </w:rPr>
            </w:pPr>
          </w:p>
        </w:tc>
      </w:tr>
      <w:tr w:rsidR="008E5DE4" w14:paraId="615B9A70" w14:textId="77777777">
        <w:trPr>
          <w:cantSplit/>
          <w:tblHeader/>
        </w:trPr>
        <w:tc>
          <w:tcPr>
            <w:tcW w:w="6293" w:type="dxa"/>
            <w:vAlign w:val="bottom"/>
          </w:tcPr>
          <w:p w14:paraId="11F75A28" w14:textId="77777777" w:rsidR="008E5DE4" w:rsidRDefault="00780368">
            <w:pPr>
              <w:widowControl w:val="0"/>
              <w:pBdr>
                <w:top w:val="nil"/>
                <w:left w:val="nil"/>
                <w:bottom w:val="nil"/>
                <w:right w:val="nil"/>
                <w:between w:val="nil"/>
              </w:pBdr>
              <w:rPr>
                <w:color w:val="000000"/>
              </w:rPr>
            </w:pPr>
            <w:r>
              <w:rPr>
                <w:color w:val="000000"/>
              </w:rPr>
              <w:t xml:space="preserve">Finance lease receivables collateralised by: </w:t>
            </w:r>
          </w:p>
        </w:tc>
        <w:tc>
          <w:tcPr>
            <w:tcW w:w="1531" w:type="dxa"/>
            <w:vAlign w:val="bottom"/>
          </w:tcPr>
          <w:p w14:paraId="594A5A6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47B82F5" w14:textId="77777777" w:rsidR="008E5DE4" w:rsidRDefault="008E5DE4">
            <w:pPr>
              <w:widowControl w:val="0"/>
              <w:pBdr>
                <w:top w:val="nil"/>
                <w:left w:val="nil"/>
                <w:bottom w:val="nil"/>
                <w:right w:val="nil"/>
                <w:between w:val="nil"/>
              </w:pBdr>
              <w:jc w:val="right"/>
              <w:rPr>
                <w:color w:val="000000"/>
              </w:rPr>
            </w:pPr>
          </w:p>
        </w:tc>
      </w:tr>
      <w:tr w:rsidR="008E5DE4" w14:paraId="580258AB" w14:textId="77777777">
        <w:trPr>
          <w:cantSplit/>
          <w:tblHeader/>
        </w:trPr>
        <w:tc>
          <w:tcPr>
            <w:tcW w:w="6293" w:type="dxa"/>
            <w:vAlign w:val="bottom"/>
          </w:tcPr>
          <w:p w14:paraId="1240A5B0" w14:textId="77777777" w:rsidR="008E5DE4" w:rsidRDefault="00780368">
            <w:pPr>
              <w:widowControl w:val="0"/>
              <w:pBdr>
                <w:top w:val="nil"/>
                <w:left w:val="nil"/>
                <w:bottom w:val="nil"/>
                <w:right w:val="nil"/>
                <w:between w:val="nil"/>
              </w:pBdr>
              <w:rPr>
                <w:color w:val="000000"/>
              </w:rPr>
            </w:pPr>
            <w:r>
              <w:rPr>
                <w:color w:val="000000"/>
              </w:rPr>
              <w:t>- residential real estate</w:t>
            </w:r>
          </w:p>
        </w:tc>
        <w:tc>
          <w:tcPr>
            <w:tcW w:w="1531" w:type="dxa"/>
            <w:vAlign w:val="bottom"/>
          </w:tcPr>
          <w:p w14:paraId="5521131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0E68ED4" w14:textId="77777777" w:rsidR="008E5DE4" w:rsidRDefault="008E5DE4">
            <w:pPr>
              <w:widowControl w:val="0"/>
              <w:pBdr>
                <w:top w:val="nil"/>
                <w:left w:val="nil"/>
                <w:bottom w:val="nil"/>
                <w:right w:val="nil"/>
                <w:between w:val="nil"/>
              </w:pBdr>
              <w:jc w:val="right"/>
              <w:rPr>
                <w:color w:val="000000"/>
              </w:rPr>
            </w:pPr>
          </w:p>
        </w:tc>
      </w:tr>
      <w:tr w:rsidR="008E5DE4" w14:paraId="51E40513" w14:textId="77777777">
        <w:trPr>
          <w:cantSplit/>
          <w:tblHeader/>
        </w:trPr>
        <w:tc>
          <w:tcPr>
            <w:tcW w:w="6293" w:type="dxa"/>
            <w:vAlign w:val="bottom"/>
          </w:tcPr>
          <w:p w14:paraId="6D10897C" w14:textId="77777777" w:rsidR="008E5DE4" w:rsidRDefault="00780368">
            <w:pPr>
              <w:widowControl w:val="0"/>
              <w:pBdr>
                <w:top w:val="nil"/>
                <w:left w:val="nil"/>
                <w:bottom w:val="nil"/>
                <w:right w:val="nil"/>
                <w:between w:val="nil"/>
              </w:pBdr>
              <w:rPr>
                <w:color w:val="000000"/>
              </w:rPr>
            </w:pPr>
            <w:r>
              <w:rPr>
                <w:color w:val="000000"/>
              </w:rPr>
              <w:t>- other real estate</w:t>
            </w:r>
          </w:p>
        </w:tc>
        <w:tc>
          <w:tcPr>
            <w:tcW w:w="1531" w:type="dxa"/>
            <w:vAlign w:val="bottom"/>
          </w:tcPr>
          <w:p w14:paraId="2E77536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2C886B1" w14:textId="77777777" w:rsidR="008E5DE4" w:rsidRDefault="008E5DE4">
            <w:pPr>
              <w:widowControl w:val="0"/>
              <w:pBdr>
                <w:top w:val="nil"/>
                <w:left w:val="nil"/>
                <w:bottom w:val="nil"/>
                <w:right w:val="nil"/>
                <w:between w:val="nil"/>
              </w:pBdr>
              <w:jc w:val="right"/>
              <w:rPr>
                <w:color w:val="000000"/>
              </w:rPr>
            </w:pPr>
          </w:p>
        </w:tc>
      </w:tr>
      <w:tr w:rsidR="008E5DE4" w14:paraId="51AE8A70" w14:textId="77777777">
        <w:trPr>
          <w:cantSplit/>
          <w:tblHeader/>
        </w:trPr>
        <w:tc>
          <w:tcPr>
            <w:tcW w:w="6293" w:type="dxa"/>
            <w:vAlign w:val="bottom"/>
          </w:tcPr>
          <w:p w14:paraId="33A37C66" w14:textId="77777777" w:rsidR="008E5DE4" w:rsidRDefault="00780368">
            <w:pPr>
              <w:widowControl w:val="0"/>
              <w:pBdr>
                <w:top w:val="nil"/>
                <w:left w:val="nil"/>
                <w:bottom w:val="nil"/>
                <w:right w:val="nil"/>
                <w:between w:val="nil"/>
              </w:pBdr>
              <w:rPr>
                <w:color w:val="000000"/>
              </w:rPr>
            </w:pPr>
            <w:r>
              <w:rPr>
                <w:color w:val="000000"/>
              </w:rPr>
              <w:t>- equipment</w:t>
            </w:r>
          </w:p>
        </w:tc>
        <w:tc>
          <w:tcPr>
            <w:tcW w:w="1531" w:type="dxa"/>
            <w:vAlign w:val="bottom"/>
          </w:tcPr>
          <w:p w14:paraId="21E82E5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347B9C4" w14:textId="77777777" w:rsidR="008E5DE4" w:rsidRDefault="008E5DE4">
            <w:pPr>
              <w:widowControl w:val="0"/>
              <w:pBdr>
                <w:top w:val="nil"/>
                <w:left w:val="nil"/>
                <w:bottom w:val="nil"/>
                <w:right w:val="nil"/>
                <w:between w:val="nil"/>
              </w:pBdr>
              <w:jc w:val="right"/>
              <w:rPr>
                <w:color w:val="000000"/>
              </w:rPr>
            </w:pPr>
          </w:p>
        </w:tc>
      </w:tr>
      <w:tr w:rsidR="008E5DE4" w14:paraId="1D016B88" w14:textId="77777777">
        <w:trPr>
          <w:cantSplit/>
          <w:tblHeader/>
        </w:trPr>
        <w:tc>
          <w:tcPr>
            <w:tcW w:w="6293" w:type="dxa"/>
            <w:vAlign w:val="bottom"/>
          </w:tcPr>
          <w:p w14:paraId="3001DCA8" w14:textId="77777777" w:rsidR="008E5DE4" w:rsidRDefault="00780368">
            <w:pPr>
              <w:widowControl w:val="0"/>
              <w:pBdr>
                <w:top w:val="nil"/>
                <w:left w:val="nil"/>
                <w:bottom w:val="nil"/>
                <w:right w:val="nil"/>
                <w:between w:val="nil"/>
              </w:pBdr>
              <w:rPr>
                <w:color w:val="000000"/>
              </w:rPr>
            </w:pPr>
            <w:r>
              <w:rPr>
                <w:color w:val="000000"/>
              </w:rPr>
              <w:t>- vehicles</w:t>
            </w:r>
          </w:p>
        </w:tc>
        <w:tc>
          <w:tcPr>
            <w:tcW w:w="1531" w:type="dxa"/>
            <w:vAlign w:val="bottom"/>
          </w:tcPr>
          <w:p w14:paraId="527AD71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D99B6AA" w14:textId="77777777" w:rsidR="008E5DE4" w:rsidRDefault="008E5DE4">
            <w:pPr>
              <w:widowControl w:val="0"/>
              <w:pBdr>
                <w:top w:val="nil"/>
                <w:left w:val="nil"/>
                <w:bottom w:val="nil"/>
                <w:right w:val="nil"/>
                <w:between w:val="nil"/>
              </w:pBdr>
              <w:jc w:val="right"/>
              <w:rPr>
                <w:color w:val="000000"/>
              </w:rPr>
            </w:pPr>
          </w:p>
        </w:tc>
      </w:tr>
      <w:tr w:rsidR="008E5DE4" w14:paraId="21F276B9" w14:textId="77777777">
        <w:trPr>
          <w:cantSplit/>
          <w:tblHeader/>
        </w:trPr>
        <w:tc>
          <w:tcPr>
            <w:tcW w:w="6293" w:type="dxa"/>
            <w:vAlign w:val="bottom"/>
          </w:tcPr>
          <w:p w14:paraId="5A86F6BA" w14:textId="77777777" w:rsidR="008E5DE4" w:rsidRDefault="00780368">
            <w:pPr>
              <w:widowControl w:val="0"/>
              <w:pBdr>
                <w:top w:val="nil"/>
                <w:left w:val="nil"/>
                <w:bottom w:val="nil"/>
                <w:right w:val="nil"/>
                <w:between w:val="nil"/>
              </w:pBdr>
              <w:rPr>
                <w:color w:val="000000"/>
              </w:rPr>
            </w:pPr>
            <w:r>
              <w:rPr>
                <w:color w:val="000000"/>
              </w:rPr>
              <w:t>- other assets</w:t>
            </w:r>
          </w:p>
        </w:tc>
        <w:tc>
          <w:tcPr>
            <w:tcW w:w="1531" w:type="dxa"/>
            <w:vAlign w:val="bottom"/>
          </w:tcPr>
          <w:p w14:paraId="06B431D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9E99B2A" w14:textId="77777777" w:rsidR="008E5DE4" w:rsidRDefault="008E5DE4">
            <w:pPr>
              <w:widowControl w:val="0"/>
              <w:pBdr>
                <w:top w:val="nil"/>
                <w:left w:val="nil"/>
                <w:bottom w:val="nil"/>
                <w:right w:val="nil"/>
                <w:between w:val="nil"/>
              </w:pBdr>
              <w:jc w:val="right"/>
              <w:rPr>
                <w:color w:val="000000"/>
              </w:rPr>
            </w:pPr>
          </w:p>
        </w:tc>
      </w:tr>
      <w:tr w:rsidR="008E5DE4" w14:paraId="33989806" w14:textId="77777777">
        <w:trPr>
          <w:cantSplit/>
          <w:tblHeader/>
        </w:trPr>
        <w:tc>
          <w:tcPr>
            <w:tcW w:w="6293" w:type="dxa"/>
            <w:tcBorders>
              <w:bottom w:val="single" w:sz="4" w:space="0" w:color="000000"/>
            </w:tcBorders>
            <w:vAlign w:val="bottom"/>
          </w:tcPr>
          <w:p w14:paraId="6DC1503A"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bottom w:val="single" w:sz="4" w:space="0" w:color="000000"/>
            </w:tcBorders>
            <w:vAlign w:val="bottom"/>
          </w:tcPr>
          <w:p w14:paraId="2C2FA3A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AA6FF30" w14:textId="77777777" w:rsidR="008E5DE4" w:rsidRDefault="008E5DE4">
            <w:pPr>
              <w:widowControl w:val="0"/>
              <w:pBdr>
                <w:top w:val="nil"/>
                <w:left w:val="nil"/>
                <w:bottom w:val="nil"/>
                <w:right w:val="nil"/>
                <w:between w:val="nil"/>
              </w:pBdr>
              <w:jc w:val="right"/>
              <w:rPr>
                <w:color w:val="000000"/>
              </w:rPr>
            </w:pPr>
          </w:p>
        </w:tc>
      </w:tr>
      <w:tr w:rsidR="008E5DE4" w14:paraId="11DF58BB" w14:textId="77777777">
        <w:trPr>
          <w:cantSplit/>
          <w:tblHeader/>
        </w:trPr>
        <w:tc>
          <w:tcPr>
            <w:tcW w:w="6293" w:type="dxa"/>
            <w:tcBorders>
              <w:top w:val="single" w:sz="4" w:space="0" w:color="000000"/>
            </w:tcBorders>
            <w:vAlign w:val="bottom"/>
          </w:tcPr>
          <w:p w14:paraId="000CF1E1" w14:textId="77777777" w:rsidR="008E5DE4" w:rsidRDefault="00780368">
            <w:pPr>
              <w:widowControl w:val="0"/>
              <w:pBdr>
                <w:top w:val="nil"/>
                <w:left w:val="nil"/>
                <w:bottom w:val="nil"/>
                <w:right w:val="nil"/>
                <w:between w:val="nil"/>
              </w:pBdr>
              <w:rPr>
                <w:b/>
                <w:color w:val="000000"/>
              </w:rPr>
            </w:pPr>
            <w:r>
              <w:rPr>
                <w:color w:val="000000"/>
              </w:rPr>
              <w:t> </w:t>
            </w:r>
          </w:p>
        </w:tc>
        <w:tc>
          <w:tcPr>
            <w:tcW w:w="1531" w:type="dxa"/>
            <w:tcBorders>
              <w:top w:val="single" w:sz="4" w:space="0" w:color="000000"/>
            </w:tcBorders>
            <w:vAlign w:val="bottom"/>
          </w:tcPr>
          <w:p w14:paraId="0BA7F419"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454C0EC4" w14:textId="77777777" w:rsidR="008E5DE4" w:rsidRDefault="008E5DE4">
            <w:pPr>
              <w:widowControl w:val="0"/>
              <w:pBdr>
                <w:top w:val="nil"/>
                <w:left w:val="nil"/>
                <w:bottom w:val="nil"/>
                <w:right w:val="nil"/>
                <w:between w:val="nil"/>
              </w:pBdr>
              <w:jc w:val="right"/>
              <w:rPr>
                <w:b/>
                <w:color w:val="000000"/>
              </w:rPr>
            </w:pPr>
          </w:p>
        </w:tc>
      </w:tr>
      <w:tr w:rsidR="008E5DE4" w14:paraId="7732EC11" w14:textId="77777777">
        <w:trPr>
          <w:cantSplit/>
          <w:tblHeader/>
        </w:trPr>
        <w:tc>
          <w:tcPr>
            <w:tcW w:w="6293" w:type="dxa"/>
            <w:vAlign w:val="bottom"/>
          </w:tcPr>
          <w:p w14:paraId="405BB1EF" w14:textId="77777777" w:rsidR="008E5DE4" w:rsidRDefault="00780368">
            <w:pPr>
              <w:widowControl w:val="0"/>
              <w:pBdr>
                <w:top w:val="nil"/>
                <w:left w:val="nil"/>
                <w:bottom w:val="nil"/>
                <w:right w:val="nil"/>
                <w:between w:val="nil"/>
              </w:pBdr>
              <w:rPr>
                <w:b/>
                <w:color w:val="000000"/>
              </w:rPr>
            </w:pPr>
            <w:r>
              <w:rPr>
                <w:b/>
                <w:color w:val="000000"/>
              </w:rPr>
              <w:t xml:space="preserve">Total finance lease receivables </w:t>
            </w:r>
            <w:proofErr w:type="gramStart"/>
            <w:r>
              <w:rPr>
                <w:b/>
                <w:color w:val="000000"/>
              </w:rPr>
              <w:t>at</w:t>
            </w:r>
            <w:proofErr w:type="gramEnd"/>
            <w:r>
              <w:rPr>
                <w:b/>
                <w:color w:val="000000"/>
              </w:rPr>
              <w:t xml:space="preserve"> 31 December</w:t>
            </w:r>
          </w:p>
        </w:tc>
        <w:tc>
          <w:tcPr>
            <w:tcW w:w="1531" w:type="dxa"/>
            <w:vAlign w:val="bottom"/>
          </w:tcPr>
          <w:p w14:paraId="18C5F9E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E11428C" w14:textId="77777777" w:rsidR="008E5DE4" w:rsidRDefault="008E5DE4">
            <w:pPr>
              <w:widowControl w:val="0"/>
              <w:pBdr>
                <w:top w:val="nil"/>
                <w:left w:val="nil"/>
                <w:bottom w:val="nil"/>
                <w:right w:val="nil"/>
                <w:between w:val="nil"/>
              </w:pBdr>
              <w:jc w:val="right"/>
              <w:rPr>
                <w:b/>
                <w:color w:val="000000"/>
              </w:rPr>
            </w:pPr>
          </w:p>
        </w:tc>
      </w:tr>
      <w:tr w:rsidR="008E5DE4" w14:paraId="71B87672" w14:textId="77777777">
        <w:trPr>
          <w:cantSplit/>
          <w:tblHeader/>
        </w:trPr>
        <w:tc>
          <w:tcPr>
            <w:tcW w:w="6293" w:type="dxa"/>
            <w:tcBorders>
              <w:bottom w:val="single" w:sz="12" w:space="0" w:color="000000"/>
            </w:tcBorders>
            <w:vAlign w:val="bottom"/>
          </w:tcPr>
          <w:p w14:paraId="77974813"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bottom w:val="single" w:sz="12" w:space="0" w:color="000000"/>
            </w:tcBorders>
            <w:vAlign w:val="bottom"/>
          </w:tcPr>
          <w:p w14:paraId="01B5038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1854366B" w14:textId="77777777" w:rsidR="008E5DE4" w:rsidRDefault="008E5DE4">
            <w:pPr>
              <w:widowControl w:val="0"/>
              <w:pBdr>
                <w:top w:val="nil"/>
                <w:left w:val="nil"/>
                <w:bottom w:val="nil"/>
                <w:right w:val="nil"/>
                <w:between w:val="nil"/>
              </w:pBdr>
              <w:jc w:val="right"/>
              <w:rPr>
                <w:color w:val="000000"/>
              </w:rPr>
            </w:pPr>
          </w:p>
        </w:tc>
      </w:tr>
    </w:tbl>
    <w:p w14:paraId="4CA4E082" w14:textId="71E5D8F0"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financial effect of the assets held as collateral is presented by disclosing collateral values separately for (</w:t>
      </w:r>
      <w:proofErr w:type="spellStart"/>
      <w:r>
        <w:rPr>
          <w:color w:val="000000"/>
          <w:sz w:val="20"/>
          <w:szCs w:val="20"/>
        </w:rPr>
        <w:t>i</w:t>
      </w:r>
      <w:proofErr w:type="spellEnd"/>
      <w:r>
        <w:rPr>
          <w:color w:val="000000"/>
          <w:sz w:val="20"/>
          <w:szCs w:val="20"/>
        </w:rPr>
        <w:t xml:space="preserve">) those receivables where collateral and other credit enhancements are equal to or exceed the carrying value of the receivable (“over-collateralised assets”) and (ii) those receivables where collateral and other credit enhancements are less than the carrying value of the receivable (“under-collateralised assets”). The effect of collateral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w:t>
      </w:r>
    </w:p>
    <w:tbl>
      <w:tblPr>
        <w:tblStyle w:val="affff4"/>
        <w:tblW w:w="9356" w:type="dxa"/>
        <w:tblLayout w:type="fixed"/>
        <w:tblLook w:val="0000" w:firstRow="0" w:lastRow="0" w:firstColumn="0" w:lastColumn="0" w:noHBand="0" w:noVBand="0"/>
      </w:tblPr>
      <w:tblGrid>
        <w:gridCol w:w="4195"/>
        <w:gridCol w:w="1304"/>
        <w:gridCol w:w="1304"/>
        <w:gridCol w:w="1304"/>
        <w:gridCol w:w="1249"/>
      </w:tblGrid>
      <w:tr w:rsidR="008E5DE4" w14:paraId="0992FD57" w14:textId="77777777">
        <w:trPr>
          <w:cantSplit/>
        </w:trPr>
        <w:tc>
          <w:tcPr>
            <w:tcW w:w="4195" w:type="dxa"/>
            <w:vAlign w:val="bottom"/>
          </w:tcPr>
          <w:p w14:paraId="6C45C70C" w14:textId="77777777" w:rsidR="008E5DE4" w:rsidRDefault="008E5DE4">
            <w:pPr>
              <w:widowControl w:val="0"/>
              <w:pBdr>
                <w:top w:val="nil"/>
                <w:left w:val="nil"/>
                <w:bottom w:val="nil"/>
                <w:right w:val="nil"/>
                <w:between w:val="nil"/>
              </w:pBdr>
              <w:rPr>
                <w:b/>
                <w:i/>
                <w:color w:val="000000"/>
              </w:rPr>
            </w:pPr>
          </w:p>
        </w:tc>
        <w:tc>
          <w:tcPr>
            <w:tcW w:w="2608" w:type="dxa"/>
            <w:gridSpan w:val="2"/>
            <w:tcBorders>
              <w:bottom w:val="single" w:sz="4" w:space="0" w:color="000000"/>
            </w:tcBorders>
            <w:vAlign w:val="bottom"/>
          </w:tcPr>
          <w:p w14:paraId="4BF1FFCF" w14:textId="77777777" w:rsidR="008E5DE4" w:rsidRDefault="00780368">
            <w:pPr>
              <w:widowControl w:val="0"/>
              <w:pBdr>
                <w:top w:val="nil"/>
                <w:left w:val="nil"/>
                <w:bottom w:val="nil"/>
                <w:right w:val="nil"/>
                <w:between w:val="nil"/>
              </w:pBdr>
              <w:jc w:val="center"/>
              <w:rPr>
                <w:b/>
                <w:color w:val="000000"/>
              </w:rPr>
            </w:pPr>
            <w:r>
              <w:rPr>
                <w:b/>
                <w:color w:val="000000"/>
              </w:rPr>
              <w:t>Over-collateralised assets</w:t>
            </w:r>
          </w:p>
        </w:tc>
        <w:tc>
          <w:tcPr>
            <w:tcW w:w="2553" w:type="dxa"/>
            <w:gridSpan w:val="2"/>
            <w:tcBorders>
              <w:bottom w:val="single" w:sz="4" w:space="0" w:color="000000"/>
            </w:tcBorders>
            <w:vAlign w:val="bottom"/>
          </w:tcPr>
          <w:p w14:paraId="1DEF8A22" w14:textId="77777777" w:rsidR="008E5DE4" w:rsidRDefault="00780368">
            <w:pPr>
              <w:widowControl w:val="0"/>
              <w:pBdr>
                <w:top w:val="nil"/>
                <w:left w:val="nil"/>
                <w:bottom w:val="nil"/>
                <w:right w:val="nil"/>
                <w:between w:val="nil"/>
              </w:pBdr>
              <w:jc w:val="center"/>
              <w:rPr>
                <w:b/>
                <w:color w:val="000000"/>
              </w:rPr>
            </w:pPr>
            <w:r>
              <w:rPr>
                <w:b/>
                <w:color w:val="000000"/>
              </w:rPr>
              <w:t>Under-collateralised assets</w:t>
            </w:r>
          </w:p>
        </w:tc>
      </w:tr>
      <w:tr w:rsidR="008E5DE4" w14:paraId="669EA287" w14:textId="77777777">
        <w:trPr>
          <w:cantSplit/>
        </w:trPr>
        <w:tc>
          <w:tcPr>
            <w:tcW w:w="4195" w:type="dxa"/>
            <w:tcBorders>
              <w:bottom w:val="single" w:sz="4" w:space="0" w:color="000000"/>
            </w:tcBorders>
            <w:vAlign w:val="bottom"/>
          </w:tcPr>
          <w:p w14:paraId="670DB4EA" w14:textId="77777777" w:rsidR="008E5DE4" w:rsidRDefault="008E5DE4">
            <w:pPr>
              <w:widowControl w:val="0"/>
              <w:rPr>
                <w:i/>
              </w:rPr>
            </w:pPr>
          </w:p>
          <w:p w14:paraId="13E26BB2" w14:textId="77777777" w:rsidR="008E5DE4" w:rsidRDefault="00780368">
            <w:pPr>
              <w:widowControl w:val="0"/>
              <w:rPr>
                <w:i/>
              </w:rPr>
            </w:pPr>
            <w:r>
              <w:rPr>
                <w:i/>
              </w:rPr>
              <w:t>In thousands of EUR</w:t>
            </w:r>
          </w:p>
        </w:tc>
        <w:tc>
          <w:tcPr>
            <w:tcW w:w="1304" w:type="dxa"/>
            <w:tcBorders>
              <w:top w:val="single" w:sz="4" w:space="0" w:color="000000"/>
              <w:bottom w:val="single" w:sz="4" w:space="0" w:color="000000"/>
            </w:tcBorders>
          </w:tcPr>
          <w:p w14:paraId="704A5AB6"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value of the assets </w:t>
            </w:r>
          </w:p>
        </w:tc>
        <w:tc>
          <w:tcPr>
            <w:tcW w:w="1304" w:type="dxa"/>
            <w:tcBorders>
              <w:top w:val="single" w:sz="4" w:space="0" w:color="000000"/>
              <w:bottom w:val="single" w:sz="4" w:space="0" w:color="000000"/>
            </w:tcBorders>
          </w:tcPr>
          <w:p w14:paraId="6F86EA28"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c>
          <w:tcPr>
            <w:tcW w:w="1304" w:type="dxa"/>
            <w:tcBorders>
              <w:top w:val="single" w:sz="4" w:space="0" w:color="000000"/>
              <w:bottom w:val="single" w:sz="4" w:space="0" w:color="000000"/>
            </w:tcBorders>
          </w:tcPr>
          <w:p w14:paraId="25D1EC0E" w14:textId="77777777" w:rsidR="008E5DE4" w:rsidRDefault="00780368">
            <w:pPr>
              <w:widowControl w:val="0"/>
              <w:pBdr>
                <w:top w:val="nil"/>
                <w:left w:val="nil"/>
                <w:bottom w:val="nil"/>
                <w:right w:val="nil"/>
                <w:between w:val="nil"/>
              </w:pBdr>
              <w:ind w:left="-113"/>
              <w:jc w:val="right"/>
              <w:rPr>
                <w:b/>
                <w:color w:val="000000"/>
              </w:rPr>
            </w:pPr>
            <w:r>
              <w:rPr>
                <w:b/>
                <w:color w:val="000000"/>
              </w:rPr>
              <w:t>Carrying value of the assets</w:t>
            </w:r>
          </w:p>
        </w:tc>
        <w:tc>
          <w:tcPr>
            <w:tcW w:w="1249" w:type="dxa"/>
            <w:tcBorders>
              <w:top w:val="single" w:sz="4" w:space="0" w:color="000000"/>
              <w:bottom w:val="single" w:sz="4" w:space="0" w:color="000000"/>
            </w:tcBorders>
          </w:tcPr>
          <w:p w14:paraId="0159A1BE"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r>
      <w:tr w:rsidR="008E5DE4" w14:paraId="5BB338EE" w14:textId="77777777">
        <w:trPr>
          <w:cantSplit/>
        </w:trPr>
        <w:tc>
          <w:tcPr>
            <w:tcW w:w="4195" w:type="dxa"/>
            <w:tcBorders>
              <w:top w:val="single" w:sz="4" w:space="0" w:color="000000"/>
            </w:tcBorders>
            <w:vAlign w:val="bottom"/>
          </w:tcPr>
          <w:p w14:paraId="6ECE1133" w14:textId="77777777" w:rsidR="008E5DE4" w:rsidRDefault="00780368">
            <w:pPr>
              <w:widowControl w:val="0"/>
              <w:pBdr>
                <w:top w:val="nil"/>
                <w:left w:val="nil"/>
                <w:bottom w:val="nil"/>
                <w:right w:val="nil"/>
                <w:between w:val="nil"/>
              </w:pBdr>
              <w:rPr>
                <w:color w:val="000000"/>
              </w:rPr>
            </w:pPr>
            <w:r>
              <w:rPr>
                <w:color w:val="000000"/>
              </w:rPr>
              <w:t> </w:t>
            </w:r>
          </w:p>
        </w:tc>
        <w:tc>
          <w:tcPr>
            <w:tcW w:w="1304" w:type="dxa"/>
            <w:tcBorders>
              <w:top w:val="single" w:sz="4" w:space="0" w:color="000000"/>
            </w:tcBorders>
            <w:vAlign w:val="bottom"/>
          </w:tcPr>
          <w:p w14:paraId="7276B601"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4F313488"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2DB91C1A" w14:textId="77777777" w:rsidR="008E5DE4" w:rsidRDefault="008E5DE4">
            <w:pPr>
              <w:widowControl w:val="0"/>
              <w:pBdr>
                <w:top w:val="nil"/>
                <w:left w:val="nil"/>
                <w:bottom w:val="nil"/>
                <w:right w:val="nil"/>
                <w:between w:val="nil"/>
              </w:pBdr>
              <w:jc w:val="right"/>
              <w:rPr>
                <w:color w:val="000000"/>
              </w:rPr>
            </w:pPr>
          </w:p>
        </w:tc>
        <w:tc>
          <w:tcPr>
            <w:tcW w:w="1249" w:type="dxa"/>
            <w:tcBorders>
              <w:top w:val="single" w:sz="4" w:space="0" w:color="000000"/>
            </w:tcBorders>
            <w:vAlign w:val="bottom"/>
          </w:tcPr>
          <w:p w14:paraId="3177CAFE" w14:textId="77777777" w:rsidR="008E5DE4" w:rsidRDefault="008E5DE4">
            <w:pPr>
              <w:widowControl w:val="0"/>
              <w:pBdr>
                <w:top w:val="nil"/>
                <w:left w:val="nil"/>
                <w:bottom w:val="nil"/>
                <w:right w:val="nil"/>
                <w:between w:val="nil"/>
              </w:pBdr>
              <w:jc w:val="right"/>
              <w:rPr>
                <w:color w:val="000000"/>
              </w:rPr>
            </w:pPr>
          </w:p>
        </w:tc>
      </w:tr>
      <w:tr w:rsidR="008E5DE4" w14:paraId="6080BF68" w14:textId="77777777">
        <w:trPr>
          <w:cantSplit/>
        </w:trPr>
        <w:tc>
          <w:tcPr>
            <w:tcW w:w="4195" w:type="dxa"/>
            <w:vAlign w:val="bottom"/>
          </w:tcPr>
          <w:p w14:paraId="059BE751" w14:textId="77777777" w:rsidR="008E5DE4" w:rsidRDefault="00780368">
            <w:pPr>
              <w:widowControl w:val="0"/>
              <w:pBdr>
                <w:top w:val="nil"/>
                <w:left w:val="nil"/>
                <w:bottom w:val="nil"/>
                <w:right w:val="nil"/>
                <w:between w:val="nil"/>
              </w:pBdr>
              <w:rPr>
                <w:color w:val="000000"/>
              </w:rPr>
            </w:pPr>
            <w:r>
              <w:rPr>
                <w:color w:val="000000"/>
              </w:rPr>
              <w:t xml:space="preserve">Finance lease receivables collateralised by: </w:t>
            </w:r>
          </w:p>
        </w:tc>
        <w:tc>
          <w:tcPr>
            <w:tcW w:w="1304" w:type="dxa"/>
            <w:vAlign w:val="bottom"/>
          </w:tcPr>
          <w:p w14:paraId="4905D4A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FBB2C4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A9DBEE9" w14:textId="77777777" w:rsidR="008E5DE4" w:rsidRDefault="008E5DE4">
            <w:pPr>
              <w:widowControl w:val="0"/>
              <w:pBdr>
                <w:top w:val="nil"/>
                <w:left w:val="nil"/>
                <w:bottom w:val="nil"/>
                <w:right w:val="nil"/>
                <w:between w:val="nil"/>
              </w:pBdr>
              <w:jc w:val="right"/>
              <w:rPr>
                <w:color w:val="000000"/>
              </w:rPr>
            </w:pPr>
          </w:p>
        </w:tc>
        <w:tc>
          <w:tcPr>
            <w:tcW w:w="1249" w:type="dxa"/>
            <w:vAlign w:val="bottom"/>
          </w:tcPr>
          <w:p w14:paraId="20B1CFE1" w14:textId="77777777" w:rsidR="008E5DE4" w:rsidRDefault="008E5DE4">
            <w:pPr>
              <w:widowControl w:val="0"/>
              <w:pBdr>
                <w:top w:val="nil"/>
                <w:left w:val="nil"/>
                <w:bottom w:val="nil"/>
                <w:right w:val="nil"/>
                <w:between w:val="nil"/>
              </w:pBdr>
              <w:jc w:val="right"/>
              <w:rPr>
                <w:color w:val="000000"/>
              </w:rPr>
            </w:pPr>
          </w:p>
        </w:tc>
      </w:tr>
      <w:tr w:rsidR="008E5DE4" w14:paraId="1E227C42" w14:textId="77777777">
        <w:trPr>
          <w:cantSplit/>
        </w:trPr>
        <w:tc>
          <w:tcPr>
            <w:tcW w:w="4195" w:type="dxa"/>
            <w:vAlign w:val="bottom"/>
          </w:tcPr>
          <w:p w14:paraId="463BDC5C" w14:textId="77777777" w:rsidR="008E5DE4" w:rsidRDefault="00780368">
            <w:pPr>
              <w:widowControl w:val="0"/>
              <w:pBdr>
                <w:top w:val="nil"/>
                <w:left w:val="nil"/>
                <w:bottom w:val="nil"/>
                <w:right w:val="nil"/>
                <w:between w:val="nil"/>
              </w:pBdr>
              <w:rPr>
                <w:color w:val="000000"/>
              </w:rPr>
            </w:pPr>
            <w:r>
              <w:rPr>
                <w:color w:val="000000"/>
              </w:rPr>
              <w:t>- residential real estate</w:t>
            </w:r>
          </w:p>
        </w:tc>
        <w:tc>
          <w:tcPr>
            <w:tcW w:w="1304" w:type="dxa"/>
            <w:vAlign w:val="bottom"/>
          </w:tcPr>
          <w:p w14:paraId="01819EA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4AF147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BB24B11" w14:textId="77777777" w:rsidR="008E5DE4" w:rsidRDefault="008E5DE4">
            <w:pPr>
              <w:widowControl w:val="0"/>
              <w:pBdr>
                <w:top w:val="nil"/>
                <w:left w:val="nil"/>
                <w:bottom w:val="nil"/>
                <w:right w:val="nil"/>
                <w:between w:val="nil"/>
              </w:pBdr>
              <w:jc w:val="right"/>
              <w:rPr>
                <w:color w:val="000000"/>
              </w:rPr>
            </w:pPr>
          </w:p>
        </w:tc>
        <w:tc>
          <w:tcPr>
            <w:tcW w:w="1249" w:type="dxa"/>
            <w:vAlign w:val="bottom"/>
          </w:tcPr>
          <w:p w14:paraId="71F6A4F0" w14:textId="77777777" w:rsidR="008E5DE4" w:rsidRDefault="008E5DE4">
            <w:pPr>
              <w:widowControl w:val="0"/>
              <w:pBdr>
                <w:top w:val="nil"/>
                <w:left w:val="nil"/>
                <w:bottom w:val="nil"/>
                <w:right w:val="nil"/>
                <w:between w:val="nil"/>
              </w:pBdr>
              <w:jc w:val="right"/>
              <w:rPr>
                <w:color w:val="000000"/>
              </w:rPr>
            </w:pPr>
          </w:p>
        </w:tc>
      </w:tr>
      <w:tr w:rsidR="008E5DE4" w14:paraId="61B4F29B" w14:textId="77777777">
        <w:trPr>
          <w:cantSplit/>
        </w:trPr>
        <w:tc>
          <w:tcPr>
            <w:tcW w:w="4195" w:type="dxa"/>
            <w:vAlign w:val="bottom"/>
          </w:tcPr>
          <w:p w14:paraId="2C05A733" w14:textId="77777777" w:rsidR="008E5DE4" w:rsidRDefault="00780368">
            <w:pPr>
              <w:widowControl w:val="0"/>
              <w:pBdr>
                <w:top w:val="nil"/>
                <w:left w:val="nil"/>
                <w:bottom w:val="nil"/>
                <w:right w:val="nil"/>
                <w:between w:val="nil"/>
              </w:pBdr>
              <w:rPr>
                <w:color w:val="000000"/>
              </w:rPr>
            </w:pPr>
            <w:r>
              <w:rPr>
                <w:color w:val="000000"/>
              </w:rPr>
              <w:t>- other real estate</w:t>
            </w:r>
          </w:p>
        </w:tc>
        <w:tc>
          <w:tcPr>
            <w:tcW w:w="1304" w:type="dxa"/>
            <w:vAlign w:val="bottom"/>
          </w:tcPr>
          <w:p w14:paraId="6FEC2458"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13B357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77FB714" w14:textId="77777777" w:rsidR="008E5DE4" w:rsidRDefault="008E5DE4">
            <w:pPr>
              <w:widowControl w:val="0"/>
              <w:pBdr>
                <w:top w:val="nil"/>
                <w:left w:val="nil"/>
                <w:bottom w:val="nil"/>
                <w:right w:val="nil"/>
                <w:between w:val="nil"/>
              </w:pBdr>
              <w:jc w:val="right"/>
              <w:rPr>
                <w:color w:val="000000"/>
              </w:rPr>
            </w:pPr>
          </w:p>
        </w:tc>
        <w:tc>
          <w:tcPr>
            <w:tcW w:w="1249" w:type="dxa"/>
            <w:vAlign w:val="bottom"/>
          </w:tcPr>
          <w:p w14:paraId="299F5CB9" w14:textId="77777777" w:rsidR="008E5DE4" w:rsidRDefault="008E5DE4">
            <w:pPr>
              <w:widowControl w:val="0"/>
              <w:pBdr>
                <w:top w:val="nil"/>
                <w:left w:val="nil"/>
                <w:bottom w:val="nil"/>
                <w:right w:val="nil"/>
                <w:between w:val="nil"/>
              </w:pBdr>
              <w:jc w:val="right"/>
              <w:rPr>
                <w:color w:val="000000"/>
              </w:rPr>
            </w:pPr>
          </w:p>
        </w:tc>
      </w:tr>
      <w:tr w:rsidR="008E5DE4" w14:paraId="0ACD670F" w14:textId="77777777">
        <w:trPr>
          <w:cantSplit/>
        </w:trPr>
        <w:tc>
          <w:tcPr>
            <w:tcW w:w="4195" w:type="dxa"/>
            <w:vAlign w:val="bottom"/>
          </w:tcPr>
          <w:p w14:paraId="75CC167F" w14:textId="77777777" w:rsidR="008E5DE4" w:rsidRDefault="00780368">
            <w:pPr>
              <w:widowControl w:val="0"/>
              <w:pBdr>
                <w:top w:val="nil"/>
                <w:left w:val="nil"/>
                <w:bottom w:val="nil"/>
                <w:right w:val="nil"/>
                <w:between w:val="nil"/>
              </w:pBdr>
              <w:rPr>
                <w:color w:val="000000"/>
              </w:rPr>
            </w:pPr>
            <w:r>
              <w:rPr>
                <w:color w:val="000000"/>
              </w:rPr>
              <w:t>- equipment</w:t>
            </w:r>
          </w:p>
        </w:tc>
        <w:tc>
          <w:tcPr>
            <w:tcW w:w="1304" w:type="dxa"/>
            <w:vAlign w:val="bottom"/>
          </w:tcPr>
          <w:p w14:paraId="3187FF7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95F954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2ED941C" w14:textId="77777777" w:rsidR="008E5DE4" w:rsidRDefault="008E5DE4">
            <w:pPr>
              <w:widowControl w:val="0"/>
              <w:pBdr>
                <w:top w:val="nil"/>
                <w:left w:val="nil"/>
                <w:bottom w:val="nil"/>
                <w:right w:val="nil"/>
                <w:between w:val="nil"/>
              </w:pBdr>
              <w:jc w:val="right"/>
              <w:rPr>
                <w:color w:val="000000"/>
              </w:rPr>
            </w:pPr>
          </w:p>
        </w:tc>
        <w:tc>
          <w:tcPr>
            <w:tcW w:w="1249" w:type="dxa"/>
            <w:vAlign w:val="bottom"/>
          </w:tcPr>
          <w:p w14:paraId="1F57EA8A" w14:textId="77777777" w:rsidR="008E5DE4" w:rsidRDefault="008E5DE4">
            <w:pPr>
              <w:widowControl w:val="0"/>
              <w:pBdr>
                <w:top w:val="nil"/>
                <w:left w:val="nil"/>
                <w:bottom w:val="nil"/>
                <w:right w:val="nil"/>
                <w:between w:val="nil"/>
              </w:pBdr>
              <w:jc w:val="right"/>
              <w:rPr>
                <w:color w:val="000000"/>
              </w:rPr>
            </w:pPr>
          </w:p>
        </w:tc>
      </w:tr>
      <w:tr w:rsidR="008E5DE4" w14:paraId="48972096" w14:textId="77777777">
        <w:trPr>
          <w:cantSplit/>
        </w:trPr>
        <w:tc>
          <w:tcPr>
            <w:tcW w:w="4195" w:type="dxa"/>
            <w:vAlign w:val="bottom"/>
          </w:tcPr>
          <w:p w14:paraId="04F76366" w14:textId="77777777" w:rsidR="008E5DE4" w:rsidRDefault="00780368">
            <w:pPr>
              <w:widowControl w:val="0"/>
              <w:pBdr>
                <w:top w:val="nil"/>
                <w:left w:val="nil"/>
                <w:bottom w:val="nil"/>
                <w:right w:val="nil"/>
                <w:between w:val="nil"/>
              </w:pBdr>
              <w:rPr>
                <w:color w:val="000000"/>
              </w:rPr>
            </w:pPr>
            <w:r>
              <w:rPr>
                <w:color w:val="000000"/>
              </w:rPr>
              <w:t>- vehicles</w:t>
            </w:r>
          </w:p>
        </w:tc>
        <w:tc>
          <w:tcPr>
            <w:tcW w:w="1304" w:type="dxa"/>
            <w:vAlign w:val="bottom"/>
          </w:tcPr>
          <w:p w14:paraId="21ACF555"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34C76FA"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77D1808" w14:textId="77777777" w:rsidR="008E5DE4" w:rsidRDefault="008E5DE4">
            <w:pPr>
              <w:widowControl w:val="0"/>
              <w:pBdr>
                <w:top w:val="nil"/>
                <w:left w:val="nil"/>
                <w:bottom w:val="nil"/>
                <w:right w:val="nil"/>
                <w:between w:val="nil"/>
              </w:pBdr>
              <w:jc w:val="right"/>
              <w:rPr>
                <w:color w:val="000000"/>
              </w:rPr>
            </w:pPr>
          </w:p>
        </w:tc>
        <w:tc>
          <w:tcPr>
            <w:tcW w:w="1249" w:type="dxa"/>
            <w:vAlign w:val="bottom"/>
          </w:tcPr>
          <w:p w14:paraId="050FC221" w14:textId="77777777" w:rsidR="008E5DE4" w:rsidRDefault="008E5DE4">
            <w:pPr>
              <w:widowControl w:val="0"/>
              <w:pBdr>
                <w:top w:val="nil"/>
                <w:left w:val="nil"/>
                <w:bottom w:val="nil"/>
                <w:right w:val="nil"/>
                <w:between w:val="nil"/>
              </w:pBdr>
              <w:jc w:val="right"/>
              <w:rPr>
                <w:color w:val="000000"/>
              </w:rPr>
            </w:pPr>
          </w:p>
        </w:tc>
      </w:tr>
      <w:tr w:rsidR="008E5DE4" w14:paraId="6F300D2E" w14:textId="77777777">
        <w:trPr>
          <w:cantSplit/>
        </w:trPr>
        <w:tc>
          <w:tcPr>
            <w:tcW w:w="4195" w:type="dxa"/>
            <w:vAlign w:val="bottom"/>
          </w:tcPr>
          <w:p w14:paraId="68CA07F6" w14:textId="77777777" w:rsidR="008E5DE4" w:rsidRDefault="00780368">
            <w:pPr>
              <w:widowControl w:val="0"/>
              <w:pBdr>
                <w:top w:val="nil"/>
                <w:left w:val="nil"/>
                <w:bottom w:val="nil"/>
                <w:right w:val="nil"/>
                <w:between w:val="nil"/>
              </w:pBdr>
              <w:rPr>
                <w:color w:val="000000"/>
              </w:rPr>
            </w:pPr>
            <w:r>
              <w:rPr>
                <w:color w:val="000000"/>
              </w:rPr>
              <w:t>- other assets</w:t>
            </w:r>
          </w:p>
        </w:tc>
        <w:tc>
          <w:tcPr>
            <w:tcW w:w="1304" w:type="dxa"/>
            <w:vAlign w:val="bottom"/>
          </w:tcPr>
          <w:p w14:paraId="29A050A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64383F8"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72A7E62" w14:textId="77777777" w:rsidR="008E5DE4" w:rsidRDefault="008E5DE4">
            <w:pPr>
              <w:widowControl w:val="0"/>
              <w:pBdr>
                <w:top w:val="nil"/>
                <w:left w:val="nil"/>
                <w:bottom w:val="nil"/>
                <w:right w:val="nil"/>
                <w:between w:val="nil"/>
              </w:pBdr>
              <w:jc w:val="right"/>
              <w:rPr>
                <w:color w:val="000000"/>
              </w:rPr>
            </w:pPr>
          </w:p>
        </w:tc>
        <w:tc>
          <w:tcPr>
            <w:tcW w:w="1249" w:type="dxa"/>
            <w:vAlign w:val="bottom"/>
          </w:tcPr>
          <w:p w14:paraId="643F65C4" w14:textId="77777777" w:rsidR="008E5DE4" w:rsidRDefault="008E5DE4">
            <w:pPr>
              <w:widowControl w:val="0"/>
              <w:pBdr>
                <w:top w:val="nil"/>
                <w:left w:val="nil"/>
                <w:bottom w:val="nil"/>
                <w:right w:val="nil"/>
                <w:between w:val="nil"/>
              </w:pBdr>
              <w:jc w:val="right"/>
              <w:rPr>
                <w:color w:val="000000"/>
              </w:rPr>
            </w:pPr>
          </w:p>
        </w:tc>
      </w:tr>
      <w:tr w:rsidR="008E5DE4" w14:paraId="5505B321" w14:textId="77777777">
        <w:trPr>
          <w:cantSplit/>
        </w:trPr>
        <w:tc>
          <w:tcPr>
            <w:tcW w:w="4195" w:type="dxa"/>
            <w:tcBorders>
              <w:bottom w:val="single" w:sz="12" w:space="0" w:color="000000"/>
            </w:tcBorders>
            <w:vAlign w:val="bottom"/>
          </w:tcPr>
          <w:p w14:paraId="21769D04" w14:textId="77777777" w:rsidR="008E5DE4" w:rsidRDefault="00780368">
            <w:pPr>
              <w:widowControl w:val="0"/>
              <w:pBdr>
                <w:top w:val="nil"/>
                <w:left w:val="nil"/>
                <w:bottom w:val="nil"/>
                <w:right w:val="nil"/>
                <w:between w:val="nil"/>
              </w:pBdr>
              <w:rPr>
                <w:color w:val="000000"/>
              </w:rPr>
            </w:pPr>
            <w:r>
              <w:rPr>
                <w:color w:val="000000"/>
              </w:rPr>
              <w:t> </w:t>
            </w:r>
          </w:p>
        </w:tc>
        <w:tc>
          <w:tcPr>
            <w:tcW w:w="1304" w:type="dxa"/>
            <w:tcBorders>
              <w:bottom w:val="single" w:sz="12" w:space="0" w:color="000000"/>
            </w:tcBorders>
            <w:vAlign w:val="bottom"/>
          </w:tcPr>
          <w:p w14:paraId="5E726D4E" w14:textId="77777777" w:rsidR="008E5DE4" w:rsidRDefault="008E5DE4">
            <w:pPr>
              <w:widowControl w:val="0"/>
              <w:jc w:val="right"/>
            </w:pPr>
          </w:p>
        </w:tc>
        <w:tc>
          <w:tcPr>
            <w:tcW w:w="1304" w:type="dxa"/>
            <w:tcBorders>
              <w:bottom w:val="single" w:sz="12" w:space="0" w:color="000000"/>
            </w:tcBorders>
            <w:vAlign w:val="bottom"/>
          </w:tcPr>
          <w:p w14:paraId="66D834C8" w14:textId="77777777" w:rsidR="008E5DE4" w:rsidRDefault="008E5DE4">
            <w:pPr>
              <w:widowControl w:val="0"/>
              <w:jc w:val="right"/>
            </w:pPr>
          </w:p>
        </w:tc>
        <w:tc>
          <w:tcPr>
            <w:tcW w:w="1304" w:type="dxa"/>
            <w:tcBorders>
              <w:bottom w:val="single" w:sz="12" w:space="0" w:color="000000"/>
            </w:tcBorders>
            <w:vAlign w:val="bottom"/>
          </w:tcPr>
          <w:p w14:paraId="0F6DC8A2" w14:textId="77777777" w:rsidR="008E5DE4" w:rsidRDefault="008E5DE4">
            <w:pPr>
              <w:widowControl w:val="0"/>
              <w:jc w:val="right"/>
            </w:pPr>
          </w:p>
        </w:tc>
        <w:tc>
          <w:tcPr>
            <w:tcW w:w="1249" w:type="dxa"/>
            <w:tcBorders>
              <w:bottom w:val="single" w:sz="12" w:space="0" w:color="000000"/>
            </w:tcBorders>
            <w:vAlign w:val="bottom"/>
          </w:tcPr>
          <w:p w14:paraId="01B69884" w14:textId="77777777" w:rsidR="008E5DE4" w:rsidRDefault="008E5DE4">
            <w:pPr>
              <w:widowControl w:val="0"/>
              <w:jc w:val="right"/>
            </w:pPr>
          </w:p>
        </w:tc>
      </w:tr>
    </w:tbl>
    <w:p w14:paraId="56B5D527" w14:textId="6D39CD3B"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effect of collateral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w:t>
      </w:r>
    </w:p>
    <w:tbl>
      <w:tblPr>
        <w:tblStyle w:val="affff5"/>
        <w:tblW w:w="9356" w:type="dxa"/>
        <w:tblLayout w:type="fixed"/>
        <w:tblLook w:val="0000" w:firstRow="0" w:lastRow="0" w:firstColumn="0" w:lastColumn="0" w:noHBand="0" w:noVBand="0"/>
      </w:tblPr>
      <w:tblGrid>
        <w:gridCol w:w="4195"/>
        <w:gridCol w:w="1290"/>
        <w:gridCol w:w="1290"/>
        <w:gridCol w:w="28"/>
        <w:gridCol w:w="1262"/>
        <w:gridCol w:w="1291"/>
      </w:tblGrid>
      <w:tr w:rsidR="008E5DE4" w14:paraId="7916FC9C" w14:textId="77777777">
        <w:trPr>
          <w:cantSplit/>
        </w:trPr>
        <w:tc>
          <w:tcPr>
            <w:tcW w:w="4195" w:type="dxa"/>
            <w:vAlign w:val="bottom"/>
          </w:tcPr>
          <w:p w14:paraId="18BF13AF" w14:textId="77777777" w:rsidR="008E5DE4" w:rsidRDefault="008E5DE4">
            <w:pPr>
              <w:widowControl w:val="0"/>
              <w:pBdr>
                <w:top w:val="nil"/>
                <w:left w:val="nil"/>
                <w:bottom w:val="nil"/>
                <w:right w:val="nil"/>
                <w:between w:val="nil"/>
              </w:pBdr>
              <w:rPr>
                <w:b/>
                <w:i/>
                <w:color w:val="000000"/>
              </w:rPr>
            </w:pPr>
          </w:p>
        </w:tc>
        <w:tc>
          <w:tcPr>
            <w:tcW w:w="2608" w:type="dxa"/>
            <w:gridSpan w:val="3"/>
            <w:tcBorders>
              <w:bottom w:val="single" w:sz="4" w:space="0" w:color="000000"/>
            </w:tcBorders>
            <w:vAlign w:val="bottom"/>
          </w:tcPr>
          <w:p w14:paraId="7562E43B" w14:textId="77777777" w:rsidR="008E5DE4" w:rsidRDefault="00780368">
            <w:pPr>
              <w:widowControl w:val="0"/>
              <w:pBdr>
                <w:top w:val="nil"/>
                <w:left w:val="nil"/>
                <w:bottom w:val="nil"/>
                <w:right w:val="nil"/>
                <w:between w:val="nil"/>
              </w:pBdr>
              <w:jc w:val="center"/>
              <w:rPr>
                <w:b/>
                <w:color w:val="000000"/>
              </w:rPr>
            </w:pPr>
            <w:r>
              <w:rPr>
                <w:b/>
                <w:color w:val="000000"/>
              </w:rPr>
              <w:t>Over-collateralised assets</w:t>
            </w:r>
          </w:p>
        </w:tc>
        <w:tc>
          <w:tcPr>
            <w:tcW w:w="2553" w:type="dxa"/>
            <w:gridSpan w:val="2"/>
            <w:tcBorders>
              <w:bottom w:val="single" w:sz="4" w:space="0" w:color="000000"/>
            </w:tcBorders>
            <w:vAlign w:val="bottom"/>
          </w:tcPr>
          <w:p w14:paraId="6DDAAC75" w14:textId="77777777" w:rsidR="008E5DE4" w:rsidRDefault="00780368">
            <w:pPr>
              <w:widowControl w:val="0"/>
              <w:pBdr>
                <w:top w:val="nil"/>
                <w:left w:val="nil"/>
                <w:bottom w:val="nil"/>
                <w:right w:val="nil"/>
                <w:between w:val="nil"/>
              </w:pBdr>
              <w:jc w:val="center"/>
              <w:rPr>
                <w:b/>
                <w:color w:val="000000"/>
              </w:rPr>
            </w:pPr>
            <w:r>
              <w:rPr>
                <w:b/>
                <w:color w:val="000000"/>
              </w:rPr>
              <w:t>Under-collateralised assets</w:t>
            </w:r>
          </w:p>
        </w:tc>
      </w:tr>
      <w:tr w:rsidR="008E5DE4" w14:paraId="4B75F912" w14:textId="77777777">
        <w:trPr>
          <w:cantSplit/>
        </w:trPr>
        <w:tc>
          <w:tcPr>
            <w:tcW w:w="4195" w:type="dxa"/>
            <w:tcBorders>
              <w:bottom w:val="single" w:sz="4" w:space="0" w:color="000000"/>
            </w:tcBorders>
            <w:vAlign w:val="bottom"/>
          </w:tcPr>
          <w:p w14:paraId="01E5F379" w14:textId="77777777" w:rsidR="008E5DE4" w:rsidRDefault="008E5DE4">
            <w:pPr>
              <w:widowControl w:val="0"/>
              <w:rPr>
                <w:i/>
              </w:rPr>
            </w:pPr>
          </w:p>
          <w:p w14:paraId="6DBA13BD" w14:textId="77777777" w:rsidR="008E5DE4" w:rsidRDefault="00780368">
            <w:pPr>
              <w:widowControl w:val="0"/>
              <w:rPr>
                <w:i/>
              </w:rPr>
            </w:pPr>
            <w:r>
              <w:rPr>
                <w:i/>
              </w:rPr>
              <w:t>In thousands of EUR</w:t>
            </w:r>
          </w:p>
        </w:tc>
        <w:tc>
          <w:tcPr>
            <w:tcW w:w="1290" w:type="dxa"/>
            <w:tcBorders>
              <w:top w:val="single" w:sz="4" w:space="0" w:color="000000"/>
              <w:bottom w:val="single" w:sz="4" w:space="0" w:color="000000"/>
            </w:tcBorders>
          </w:tcPr>
          <w:p w14:paraId="16942F01"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value of the assets </w:t>
            </w:r>
          </w:p>
        </w:tc>
        <w:tc>
          <w:tcPr>
            <w:tcW w:w="1290" w:type="dxa"/>
            <w:tcBorders>
              <w:top w:val="single" w:sz="4" w:space="0" w:color="000000"/>
              <w:bottom w:val="single" w:sz="4" w:space="0" w:color="000000"/>
            </w:tcBorders>
          </w:tcPr>
          <w:p w14:paraId="4DDBEEC9"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c>
          <w:tcPr>
            <w:tcW w:w="1290" w:type="dxa"/>
            <w:gridSpan w:val="2"/>
            <w:tcBorders>
              <w:top w:val="single" w:sz="4" w:space="0" w:color="000000"/>
              <w:bottom w:val="single" w:sz="4" w:space="0" w:color="000000"/>
            </w:tcBorders>
          </w:tcPr>
          <w:p w14:paraId="0964826B" w14:textId="77777777" w:rsidR="008E5DE4" w:rsidRDefault="00780368">
            <w:pPr>
              <w:widowControl w:val="0"/>
              <w:pBdr>
                <w:top w:val="nil"/>
                <w:left w:val="nil"/>
                <w:bottom w:val="nil"/>
                <w:right w:val="nil"/>
                <w:between w:val="nil"/>
              </w:pBdr>
              <w:ind w:left="-113"/>
              <w:jc w:val="right"/>
              <w:rPr>
                <w:b/>
                <w:color w:val="000000"/>
              </w:rPr>
            </w:pPr>
            <w:r>
              <w:rPr>
                <w:b/>
                <w:color w:val="000000"/>
              </w:rPr>
              <w:t>Carrying value of the assets</w:t>
            </w:r>
          </w:p>
        </w:tc>
        <w:tc>
          <w:tcPr>
            <w:tcW w:w="1291" w:type="dxa"/>
            <w:tcBorders>
              <w:top w:val="single" w:sz="4" w:space="0" w:color="000000"/>
              <w:bottom w:val="single" w:sz="4" w:space="0" w:color="000000"/>
            </w:tcBorders>
          </w:tcPr>
          <w:p w14:paraId="6FEBFDD6"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r>
      <w:tr w:rsidR="008E5DE4" w14:paraId="29BCEBD5" w14:textId="77777777">
        <w:trPr>
          <w:cantSplit/>
        </w:trPr>
        <w:tc>
          <w:tcPr>
            <w:tcW w:w="4195" w:type="dxa"/>
            <w:tcBorders>
              <w:top w:val="single" w:sz="4" w:space="0" w:color="000000"/>
            </w:tcBorders>
            <w:vAlign w:val="bottom"/>
          </w:tcPr>
          <w:p w14:paraId="07E10AF9" w14:textId="77777777" w:rsidR="008E5DE4" w:rsidRDefault="00780368">
            <w:pPr>
              <w:widowControl w:val="0"/>
              <w:pBdr>
                <w:top w:val="nil"/>
                <w:left w:val="nil"/>
                <w:bottom w:val="nil"/>
                <w:right w:val="nil"/>
                <w:between w:val="nil"/>
              </w:pBdr>
              <w:rPr>
                <w:color w:val="000000"/>
              </w:rPr>
            </w:pPr>
            <w:r>
              <w:rPr>
                <w:color w:val="000000"/>
              </w:rPr>
              <w:t> </w:t>
            </w:r>
          </w:p>
        </w:tc>
        <w:tc>
          <w:tcPr>
            <w:tcW w:w="1290" w:type="dxa"/>
            <w:tcBorders>
              <w:top w:val="single" w:sz="4" w:space="0" w:color="000000"/>
            </w:tcBorders>
            <w:vAlign w:val="bottom"/>
          </w:tcPr>
          <w:p w14:paraId="5F6EA75B" w14:textId="77777777" w:rsidR="008E5DE4" w:rsidRDefault="008E5DE4">
            <w:pPr>
              <w:widowControl w:val="0"/>
              <w:pBdr>
                <w:top w:val="nil"/>
                <w:left w:val="nil"/>
                <w:bottom w:val="nil"/>
                <w:right w:val="nil"/>
                <w:between w:val="nil"/>
              </w:pBdr>
              <w:jc w:val="right"/>
              <w:rPr>
                <w:color w:val="000000"/>
              </w:rPr>
            </w:pPr>
          </w:p>
        </w:tc>
        <w:tc>
          <w:tcPr>
            <w:tcW w:w="1290" w:type="dxa"/>
            <w:tcBorders>
              <w:top w:val="single" w:sz="4" w:space="0" w:color="000000"/>
            </w:tcBorders>
            <w:vAlign w:val="bottom"/>
          </w:tcPr>
          <w:p w14:paraId="3317310A" w14:textId="77777777" w:rsidR="008E5DE4" w:rsidRDefault="008E5DE4">
            <w:pPr>
              <w:widowControl w:val="0"/>
              <w:pBdr>
                <w:top w:val="nil"/>
                <w:left w:val="nil"/>
                <w:bottom w:val="nil"/>
                <w:right w:val="nil"/>
                <w:between w:val="nil"/>
              </w:pBdr>
              <w:jc w:val="right"/>
              <w:rPr>
                <w:color w:val="000000"/>
              </w:rPr>
            </w:pPr>
          </w:p>
        </w:tc>
        <w:tc>
          <w:tcPr>
            <w:tcW w:w="1290" w:type="dxa"/>
            <w:gridSpan w:val="2"/>
            <w:tcBorders>
              <w:top w:val="single" w:sz="4" w:space="0" w:color="000000"/>
            </w:tcBorders>
            <w:vAlign w:val="bottom"/>
          </w:tcPr>
          <w:p w14:paraId="1BC12474" w14:textId="77777777" w:rsidR="008E5DE4" w:rsidRDefault="008E5DE4">
            <w:pPr>
              <w:widowControl w:val="0"/>
              <w:pBdr>
                <w:top w:val="nil"/>
                <w:left w:val="nil"/>
                <w:bottom w:val="nil"/>
                <w:right w:val="nil"/>
                <w:between w:val="nil"/>
              </w:pBdr>
              <w:jc w:val="right"/>
              <w:rPr>
                <w:color w:val="000000"/>
              </w:rPr>
            </w:pPr>
          </w:p>
        </w:tc>
        <w:tc>
          <w:tcPr>
            <w:tcW w:w="1291" w:type="dxa"/>
            <w:tcBorders>
              <w:top w:val="single" w:sz="4" w:space="0" w:color="000000"/>
            </w:tcBorders>
            <w:vAlign w:val="bottom"/>
          </w:tcPr>
          <w:p w14:paraId="5BA0251F" w14:textId="77777777" w:rsidR="008E5DE4" w:rsidRDefault="008E5DE4">
            <w:pPr>
              <w:widowControl w:val="0"/>
              <w:pBdr>
                <w:top w:val="nil"/>
                <w:left w:val="nil"/>
                <w:bottom w:val="nil"/>
                <w:right w:val="nil"/>
                <w:between w:val="nil"/>
              </w:pBdr>
              <w:jc w:val="right"/>
              <w:rPr>
                <w:color w:val="000000"/>
              </w:rPr>
            </w:pPr>
          </w:p>
        </w:tc>
      </w:tr>
      <w:tr w:rsidR="008E5DE4" w14:paraId="503ED1FB" w14:textId="77777777">
        <w:trPr>
          <w:cantSplit/>
        </w:trPr>
        <w:tc>
          <w:tcPr>
            <w:tcW w:w="4195" w:type="dxa"/>
            <w:vAlign w:val="bottom"/>
          </w:tcPr>
          <w:p w14:paraId="4FB00E7D" w14:textId="77777777" w:rsidR="008E5DE4" w:rsidRDefault="00780368">
            <w:pPr>
              <w:widowControl w:val="0"/>
              <w:pBdr>
                <w:top w:val="nil"/>
                <w:left w:val="nil"/>
                <w:bottom w:val="nil"/>
                <w:right w:val="nil"/>
                <w:between w:val="nil"/>
              </w:pBdr>
              <w:rPr>
                <w:color w:val="000000"/>
              </w:rPr>
            </w:pPr>
            <w:r>
              <w:rPr>
                <w:color w:val="000000"/>
              </w:rPr>
              <w:t xml:space="preserve">Finance lease receivables collateralised by: </w:t>
            </w:r>
          </w:p>
        </w:tc>
        <w:tc>
          <w:tcPr>
            <w:tcW w:w="1290" w:type="dxa"/>
            <w:vAlign w:val="bottom"/>
          </w:tcPr>
          <w:p w14:paraId="3028AF85" w14:textId="77777777" w:rsidR="008E5DE4" w:rsidRDefault="008E5DE4">
            <w:pPr>
              <w:widowControl w:val="0"/>
              <w:pBdr>
                <w:top w:val="nil"/>
                <w:left w:val="nil"/>
                <w:bottom w:val="nil"/>
                <w:right w:val="nil"/>
                <w:between w:val="nil"/>
              </w:pBdr>
              <w:jc w:val="right"/>
              <w:rPr>
                <w:color w:val="000000"/>
              </w:rPr>
            </w:pPr>
          </w:p>
        </w:tc>
        <w:tc>
          <w:tcPr>
            <w:tcW w:w="1290" w:type="dxa"/>
            <w:vAlign w:val="bottom"/>
          </w:tcPr>
          <w:p w14:paraId="23E2608D" w14:textId="77777777" w:rsidR="008E5DE4" w:rsidRDefault="008E5DE4">
            <w:pPr>
              <w:widowControl w:val="0"/>
              <w:pBdr>
                <w:top w:val="nil"/>
                <w:left w:val="nil"/>
                <w:bottom w:val="nil"/>
                <w:right w:val="nil"/>
                <w:between w:val="nil"/>
              </w:pBdr>
              <w:jc w:val="right"/>
              <w:rPr>
                <w:color w:val="000000"/>
              </w:rPr>
            </w:pPr>
          </w:p>
        </w:tc>
        <w:tc>
          <w:tcPr>
            <w:tcW w:w="1290" w:type="dxa"/>
            <w:gridSpan w:val="2"/>
            <w:vAlign w:val="bottom"/>
          </w:tcPr>
          <w:p w14:paraId="3E9ED5E4" w14:textId="77777777" w:rsidR="008E5DE4" w:rsidRDefault="008E5DE4">
            <w:pPr>
              <w:widowControl w:val="0"/>
              <w:pBdr>
                <w:top w:val="nil"/>
                <w:left w:val="nil"/>
                <w:bottom w:val="nil"/>
                <w:right w:val="nil"/>
                <w:between w:val="nil"/>
              </w:pBdr>
              <w:jc w:val="right"/>
              <w:rPr>
                <w:color w:val="000000"/>
              </w:rPr>
            </w:pPr>
          </w:p>
        </w:tc>
        <w:tc>
          <w:tcPr>
            <w:tcW w:w="1291" w:type="dxa"/>
            <w:vAlign w:val="bottom"/>
          </w:tcPr>
          <w:p w14:paraId="6E806F68" w14:textId="77777777" w:rsidR="008E5DE4" w:rsidRDefault="008E5DE4">
            <w:pPr>
              <w:widowControl w:val="0"/>
              <w:pBdr>
                <w:top w:val="nil"/>
                <w:left w:val="nil"/>
                <w:bottom w:val="nil"/>
                <w:right w:val="nil"/>
                <w:between w:val="nil"/>
              </w:pBdr>
              <w:jc w:val="right"/>
              <w:rPr>
                <w:color w:val="000000"/>
              </w:rPr>
            </w:pPr>
          </w:p>
        </w:tc>
      </w:tr>
      <w:tr w:rsidR="008E5DE4" w14:paraId="604E196F" w14:textId="77777777">
        <w:trPr>
          <w:cantSplit/>
        </w:trPr>
        <w:tc>
          <w:tcPr>
            <w:tcW w:w="4195" w:type="dxa"/>
            <w:vAlign w:val="bottom"/>
          </w:tcPr>
          <w:p w14:paraId="150A64ED" w14:textId="77777777" w:rsidR="008E5DE4" w:rsidRDefault="00780368">
            <w:pPr>
              <w:widowControl w:val="0"/>
              <w:pBdr>
                <w:top w:val="nil"/>
                <w:left w:val="nil"/>
                <w:bottom w:val="nil"/>
                <w:right w:val="nil"/>
                <w:between w:val="nil"/>
              </w:pBdr>
              <w:rPr>
                <w:color w:val="000000"/>
              </w:rPr>
            </w:pPr>
            <w:r>
              <w:rPr>
                <w:color w:val="000000"/>
              </w:rPr>
              <w:t>- residential real estate</w:t>
            </w:r>
          </w:p>
        </w:tc>
        <w:tc>
          <w:tcPr>
            <w:tcW w:w="1290" w:type="dxa"/>
            <w:vAlign w:val="bottom"/>
          </w:tcPr>
          <w:p w14:paraId="4ACE8A4D" w14:textId="77777777" w:rsidR="008E5DE4" w:rsidRDefault="008E5DE4">
            <w:pPr>
              <w:widowControl w:val="0"/>
              <w:pBdr>
                <w:top w:val="nil"/>
                <w:left w:val="nil"/>
                <w:bottom w:val="nil"/>
                <w:right w:val="nil"/>
                <w:between w:val="nil"/>
              </w:pBdr>
              <w:jc w:val="right"/>
              <w:rPr>
                <w:color w:val="000000"/>
              </w:rPr>
            </w:pPr>
          </w:p>
        </w:tc>
        <w:tc>
          <w:tcPr>
            <w:tcW w:w="1290" w:type="dxa"/>
            <w:vAlign w:val="bottom"/>
          </w:tcPr>
          <w:p w14:paraId="709C7A45" w14:textId="77777777" w:rsidR="008E5DE4" w:rsidRDefault="008E5DE4">
            <w:pPr>
              <w:widowControl w:val="0"/>
              <w:pBdr>
                <w:top w:val="nil"/>
                <w:left w:val="nil"/>
                <w:bottom w:val="nil"/>
                <w:right w:val="nil"/>
                <w:between w:val="nil"/>
              </w:pBdr>
              <w:jc w:val="right"/>
              <w:rPr>
                <w:color w:val="000000"/>
              </w:rPr>
            </w:pPr>
          </w:p>
        </w:tc>
        <w:tc>
          <w:tcPr>
            <w:tcW w:w="1290" w:type="dxa"/>
            <w:gridSpan w:val="2"/>
            <w:vAlign w:val="bottom"/>
          </w:tcPr>
          <w:p w14:paraId="3E0BA227" w14:textId="77777777" w:rsidR="008E5DE4" w:rsidRDefault="008E5DE4">
            <w:pPr>
              <w:widowControl w:val="0"/>
              <w:pBdr>
                <w:top w:val="nil"/>
                <w:left w:val="nil"/>
                <w:bottom w:val="nil"/>
                <w:right w:val="nil"/>
                <w:between w:val="nil"/>
              </w:pBdr>
              <w:jc w:val="right"/>
              <w:rPr>
                <w:color w:val="000000"/>
              </w:rPr>
            </w:pPr>
          </w:p>
        </w:tc>
        <w:tc>
          <w:tcPr>
            <w:tcW w:w="1291" w:type="dxa"/>
            <w:vAlign w:val="bottom"/>
          </w:tcPr>
          <w:p w14:paraId="5F587A06" w14:textId="77777777" w:rsidR="008E5DE4" w:rsidRDefault="008E5DE4">
            <w:pPr>
              <w:widowControl w:val="0"/>
              <w:pBdr>
                <w:top w:val="nil"/>
                <w:left w:val="nil"/>
                <w:bottom w:val="nil"/>
                <w:right w:val="nil"/>
                <w:between w:val="nil"/>
              </w:pBdr>
              <w:jc w:val="right"/>
              <w:rPr>
                <w:color w:val="000000"/>
              </w:rPr>
            </w:pPr>
          </w:p>
        </w:tc>
      </w:tr>
      <w:tr w:rsidR="008E5DE4" w14:paraId="73B62A19" w14:textId="77777777">
        <w:trPr>
          <w:cantSplit/>
        </w:trPr>
        <w:tc>
          <w:tcPr>
            <w:tcW w:w="4195" w:type="dxa"/>
            <w:vAlign w:val="bottom"/>
          </w:tcPr>
          <w:p w14:paraId="2F32AEB0" w14:textId="77777777" w:rsidR="008E5DE4" w:rsidRDefault="00780368">
            <w:pPr>
              <w:widowControl w:val="0"/>
              <w:pBdr>
                <w:top w:val="nil"/>
                <w:left w:val="nil"/>
                <w:bottom w:val="nil"/>
                <w:right w:val="nil"/>
                <w:between w:val="nil"/>
              </w:pBdr>
              <w:rPr>
                <w:color w:val="000000"/>
              </w:rPr>
            </w:pPr>
            <w:r>
              <w:rPr>
                <w:color w:val="000000"/>
              </w:rPr>
              <w:t>- other real estate</w:t>
            </w:r>
          </w:p>
        </w:tc>
        <w:tc>
          <w:tcPr>
            <w:tcW w:w="1290" w:type="dxa"/>
            <w:vAlign w:val="bottom"/>
          </w:tcPr>
          <w:p w14:paraId="466456FA" w14:textId="77777777" w:rsidR="008E5DE4" w:rsidRDefault="008E5DE4">
            <w:pPr>
              <w:widowControl w:val="0"/>
              <w:pBdr>
                <w:top w:val="nil"/>
                <w:left w:val="nil"/>
                <w:bottom w:val="nil"/>
                <w:right w:val="nil"/>
                <w:between w:val="nil"/>
              </w:pBdr>
              <w:jc w:val="right"/>
              <w:rPr>
                <w:color w:val="000000"/>
              </w:rPr>
            </w:pPr>
          </w:p>
        </w:tc>
        <w:tc>
          <w:tcPr>
            <w:tcW w:w="1290" w:type="dxa"/>
            <w:vAlign w:val="bottom"/>
          </w:tcPr>
          <w:p w14:paraId="126981C6" w14:textId="77777777" w:rsidR="008E5DE4" w:rsidRDefault="008E5DE4">
            <w:pPr>
              <w:widowControl w:val="0"/>
              <w:pBdr>
                <w:top w:val="nil"/>
                <w:left w:val="nil"/>
                <w:bottom w:val="nil"/>
                <w:right w:val="nil"/>
                <w:between w:val="nil"/>
              </w:pBdr>
              <w:jc w:val="right"/>
              <w:rPr>
                <w:color w:val="000000"/>
              </w:rPr>
            </w:pPr>
          </w:p>
        </w:tc>
        <w:tc>
          <w:tcPr>
            <w:tcW w:w="1290" w:type="dxa"/>
            <w:gridSpan w:val="2"/>
            <w:vAlign w:val="bottom"/>
          </w:tcPr>
          <w:p w14:paraId="74A4514F" w14:textId="77777777" w:rsidR="008E5DE4" w:rsidRDefault="008E5DE4">
            <w:pPr>
              <w:widowControl w:val="0"/>
              <w:pBdr>
                <w:top w:val="nil"/>
                <w:left w:val="nil"/>
                <w:bottom w:val="nil"/>
                <w:right w:val="nil"/>
                <w:between w:val="nil"/>
              </w:pBdr>
              <w:jc w:val="right"/>
              <w:rPr>
                <w:color w:val="000000"/>
              </w:rPr>
            </w:pPr>
          </w:p>
        </w:tc>
        <w:tc>
          <w:tcPr>
            <w:tcW w:w="1291" w:type="dxa"/>
            <w:vAlign w:val="bottom"/>
          </w:tcPr>
          <w:p w14:paraId="5ED02F5F" w14:textId="77777777" w:rsidR="008E5DE4" w:rsidRDefault="008E5DE4">
            <w:pPr>
              <w:widowControl w:val="0"/>
              <w:pBdr>
                <w:top w:val="nil"/>
                <w:left w:val="nil"/>
                <w:bottom w:val="nil"/>
                <w:right w:val="nil"/>
                <w:between w:val="nil"/>
              </w:pBdr>
              <w:jc w:val="right"/>
              <w:rPr>
                <w:color w:val="000000"/>
              </w:rPr>
            </w:pPr>
          </w:p>
        </w:tc>
      </w:tr>
      <w:tr w:rsidR="008E5DE4" w14:paraId="7CC7B393" w14:textId="77777777">
        <w:trPr>
          <w:cantSplit/>
        </w:trPr>
        <w:tc>
          <w:tcPr>
            <w:tcW w:w="4195" w:type="dxa"/>
            <w:vAlign w:val="bottom"/>
          </w:tcPr>
          <w:p w14:paraId="2E79F213" w14:textId="77777777" w:rsidR="008E5DE4" w:rsidRDefault="00780368">
            <w:pPr>
              <w:widowControl w:val="0"/>
              <w:pBdr>
                <w:top w:val="nil"/>
                <w:left w:val="nil"/>
                <w:bottom w:val="nil"/>
                <w:right w:val="nil"/>
                <w:between w:val="nil"/>
              </w:pBdr>
              <w:rPr>
                <w:color w:val="000000"/>
              </w:rPr>
            </w:pPr>
            <w:r>
              <w:rPr>
                <w:color w:val="000000"/>
              </w:rPr>
              <w:t>- equipment</w:t>
            </w:r>
          </w:p>
        </w:tc>
        <w:tc>
          <w:tcPr>
            <w:tcW w:w="1290" w:type="dxa"/>
            <w:vAlign w:val="bottom"/>
          </w:tcPr>
          <w:p w14:paraId="17489973" w14:textId="77777777" w:rsidR="008E5DE4" w:rsidRDefault="008E5DE4">
            <w:pPr>
              <w:widowControl w:val="0"/>
              <w:pBdr>
                <w:top w:val="nil"/>
                <w:left w:val="nil"/>
                <w:bottom w:val="nil"/>
                <w:right w:val="nil"/>
                <w:between w:val="nil"/>
              </w:pBdr>
              <w:jc w:val="right"/>
              <w:rPr>
                <w:color w:val="000000"/>
              </w:rPr>
            </w:pPr>
          </w:p>
        </w:tc>
        <w:tc>
          <w:tcPr>
            <w:tcW w:w="1290" w:type="dxa"/>
            <w:vAlign w:val="bottom"/>
          </w:tcPr>
          <w:p w14:paraId="57337C62" w14:textId="77777777" w:rsidR="008E5DE4" w:rsidRDefault="008E5DE4">
            <w:pPr>
              <w:widowControl w:val="0"/>
              <w:pBdr>
                <w:top w:val="nil"/>
                <w:left w:val="nil"/>
                <w:bottom w:val="nil"/>
                <w:right w:val="nil"/>
                <w:between w:val="nil"/>
              </w:pBdr>
              <w:jc w:val="right"/>
              <w:rPr>
                <w:color w:val="000000"/>
              </w:rPr>
            </w:pPr>
          </w:p>
        </w:tc>
        <w:tc>
          <w:tcPr>
            <w:tcW w:w="1290" w:type="dxa"/>
            <w:gridSpan w:val="2"/>
            <w:vAlign w:val="bottom"/>
          </w:tcPr>
          <w:p w14:paraId="6D37B0DD" w14:textId="77777777" w:rsidR="008E5DE4" w:rsidRDefault="008E5DE4">
            <w:pPr>
              <w:widowControl w:val="0"/>
              <w:pBdr>
                <w:top w:val="nil"/>
                <w:left w:val="nil"/>
                <w:bottom w:val="nil"/>
                <w:right w:val="nil"/>
                <w:between w:val="nil"/>
              </w:pBdr>
              <w:jc w:val="right"/>
              <w:rPr>
                <w:color w:val="000000"/>
              </w:rPr>
            </w:pPr>
          </w:p>
        </w:tc>
        <w:tc>
          <w:tcPr>
            <w:tcW w:w="1291" w:type="dxa"/>
            <w:vAlign w:val="bottom"/>
          </w:tcPr>
          <w:p w14:paraId="0C88F265" w14:textId="77777777" w:rsidR="008E5DE4" w:rsidRDefault="008E5DE4">
            <w:pPr>
              <w:widowControl w:val="0"/>
              <w:pBdr>
                <w:top w:val="nil"/>
                <w:left w:val="nil"/>
                <w:bottom w:val="nil"/>
                <w:right w:val="nil"/>
                <w:between w:val="nil"/>
              </w:pBdr>
              <w:jc w:val="right"/>
              <w:rPr>
                <w:color w:val="000000"/>
              </w:rPr>
            </w:pPr>
          </w:p>
        </w:tc>
      </w:tr>
      <w:tr w:rsidR="008E5DE4" w14:paraId="0972513D" w14:textId="77777777">
        <w:trPr>
          <w:cantSplit/>
        </w:trPr>
        <w:tc>
          <w:tcPr>
            <w:tcW w:w="4195" w:type="dxa"/>
            <w:vAlign w:val="bottom"/>
          </w:tcPr>
          <w:p w14:paraId="14411906" w14:textId="77777777" w:rsidR="008E5DE4" w:rsidRDefault="00780368">
            <w:pPr>
              <w:widowControl w:val="0"/>
              <w:pBdr>
                <w:top w:val="nil"/>
                <w:left w:val="nil"/>
                <w:bottom w:val="nil"/>
                <w:right w:val="nil"/>
                <w:between w:val="nil"/>
              </w:pBdr>
              <w:rPr>
                <w:color w:val="000000"/>
              </w:rPr>
            </w:pPr>
            <w:r>
              <w:rPr>
                <w:color w:val="000000"/>
              </w:rPr>
              <w:t>- vehicles</w:t>
            </w:r>
          </w:p>
        </w:tc>
        <w:tc>
          <w:tcPr>
            <w:tcW w:w="1290" w:type="dxa"/>
            <w:vAlign w:val="bottom"/>
          </w:tcPr>
          <w:p w14:paraId="2069B028" w14:textId="77777777" w:rsidR="008E5DE4" w:rsidRDefault="008E5DE4">
            <w:pPr>
              <w:widowControl w:val="0"/>
              <w:pBdr>
                <w:top w:val="nil"/>
                <w:left w:val="nil"/>
                <w:bottom w:val="nil"/>
                <w:right w:val="nil"/>
                <w:between w:val="nil"/>
              </w:pBdr>
              <w:jc w:val="right"/>
              <w:rPr>
                <w:color w:val="000000"/>
              </w:rPr>
            </w:pPr>
          </w:p>
        </w:tc>
        <w:tc>
          <w:tcPr>
            <w:tcW w:w="1290" w:type="dxa"/>
            <w:vAlign w:val="bottom"/>
          </w:tcPr>
          <w:p w14:paraId="1197B21F" w14:textId="77777777" w:rsidR="008E5DE4" w:rsidRDefault="008E5DE4">
            <w:pPr>
              <w:widowControl w:val="0"/>
              <w:pBdr>
                <w:top w:val="nil"/>
                <w:left w:val="nil"/>
                <w:bottom w:val="nil"/>
                <w:right w:val="nil"/>
                <w:between w:val="nil"/>
              </w:pBdr>
              <w:jc w:val="right"/>
              <w:rPr>
                <w:color w:val="000000"/>
              </w:rPr>
            </w:pPr>
          </w:p>
        </w:tc>
        <w:tc>
          <w:tcPr>
            <w:tcW w:w="1290" w:type="dxa"/>
            <w:gridSpan w:val="2"/>
            <w:vAlign w:val="bottom"/>
          </w:tcPr>
          <w:p w14:paraId="0398FC99" w14:textId="77777777" w:rsidR="008E5DE4" w:rsidRDefault="008E5DE4">
            <w:pPr>
              <w:widowControl w:val="0"/>
              <w:pBdr>
                <w:top w:val="nil"/>
                <w:left w:val="nil"/>
                <w:bottom w:val="nil"/>
                <w:right w:val="nil"/>
                <w:between w:val="nil"/>
              </w:pBdr>
              <w:jc w:val="right"/>
              <w:rPr>
                <w:color w:val="000000"/>
              </w:rPr>
            </w:pPr>
          </w:p>
        </w:tc>
        <w:tc>
          <w:tcPr>
            <w:tcW w:w="1291" w:type="dxa"/>
            <w:vAlign w:val="bottom"/>
          </w:tcPr>
          <w:p w14:paraId="1F1F28F0" w14:textId="77777777" w:rsidR="008E5DE4" w:rsidRDefault="008E5DE4">
            <w:pPr>
              <w:widowControl w:val="0"/>
              <w:pBdr>
                <w:top w:val="nil"/>
                <w:left w:val="nil"/>
                <w:bottom w:val="nil"/>
                <w:right w:val="nil"/>
                <w:between w:val="nil"/>
              </w:pBdr>
              <w:jc w:val="right"/>
              <w:rPr>
                <w:color w:val="000000"/>
              </w:rPr>
            </w:pPr>
          </w:p>
        </w:tc>
      </w:tr>
      <w:tr w:rsidR="008E5DE4" w14:paraId="2AE40D08" w14:textId="77777777">
        <w:trPr>
          <w:cantSplit/>
        </w:trPr>
        <w:tc>
          <w:tcPr>
            <w:tcW w:w="4195" w:type="dxa"/>
            <w:vAlign w:val="bottom"/>
          </w:tcPr>
          <w:p w14:paraId="01A340AB" w14:textId="77777777" w:rsidR="008E5DE4" w:rsidRDefault="00780368">
            <w:pPr>
              <w:widowControl w:val="0"/>
              <w:pBdr>
                <w:top w:val="nil"/>
                <w:left w:val="nil"/>
                <w:bottom w:val="nil"/>
                <w:right w:val="nil"/>
                <w:between w:val="nil"/>
              </w:pBdr>
              <w:rPr>
                <w:color w:val="000000"/>
              </w:rPr>
            </w:pPr>
            <w:r>
              <w:rPr>
                <w:color w:val="000000"/>
              </w:rPr>
              <w:t>- other assets</w:t>
            </w:r>
          </w:p>
        </w:tc>
        <w:tc>
          <w:tcPr>
            <w:tcW w:w="1290" w:type="dxa"/>
            <w:vAlign w:val="bottom"/>
          </w:tcPr>
          <w:p w14:paraId="6EF499BD" w14:textId="77777777" w:rsidR="008E5DE4" w:rsidRDefault="008E5DE4">
            <w:pPr>
              <w:widowControl w:val="0"/>
              <w:pBdr>
                <w:top w:val="nil"/>
                <w:left w:val="nil"/>
                <w:bottom w:val="nil"/>
                <w:right w:val="nil"/>
                <w:between w:val="nil"/>
              </w:pBdr>
              <w:jc w:val="right"/>
              <w:rPr>
                <w:color w:val="000000"/>
              </w:rPr>
            </w:pPr>
          </w:p>
        </w:tc>
        <w:tc>
          <w:tcPr>
            <w:tcW w:w="1290" w:type="dxa"/>
            <w:vAlign w:val="bottom"/>
          </w:tcPr>
          <w:p w14:paraId="38BADBA7" w14:textId="77777777" w:rsidR="008E5DE4" w:rsidRDefault="008E5DE4">
            <w:pPr>
              <w:widowControl w:val="0"/>
              <w:pBdr>
                <w:top w:val="nil"/>
                <w:left w:val="nil"/>
                <w:bottom w:val="nil"/>
                <w:right w:val="nil"/>
                <w:between w:val="nil"/>
              </w:pBdr>
              <w:jc w:val="right"/>
              <w:rPr>
                <w:color w:val="000000"/>
              </w:rPr>
            </w:pPr>
          </w:p>
        </w:tc>
        <w:tc>
          <w:tcPr>
            <w:tcW w:w="1290" w:type="dxa"/>
            <w:gridSpan w:val="2"/>
            <w:vAlign w:val="bottom"/>
          </w:tcPr>
          <w:p w14:paraId="73895B93" w14:textId="77777777" w:rsidR="008E5DE4" w:rsidRDefault="008E5DE4">
            <w:pPr>
              <w:widowControl w:val="0"/>
              <w:pBdr>
                <w:top w:val="nil"/>
                <w:left w:val="nil"/>
                <w:bottom w:val="nil"/>
                <w:right w:val="nil"/>
                <w:between w:val="nil"/>
              </w:pBdr>
              <w:jc w:val="right"/>
              <w:rPr>
                <w:color w:val="000000"/>
              </w:rPr>
            </w:pPr>
          </w:p>
        </w:tc>
        <w:tc>
          <w:tcPr>
            <w:tcW w:w="1291" w:type="dxa"/>
            <w:vAlign w:val="bottom"/>
          </w:tcPr>
          <w:p w14:paraId="778B024C" w14:textId="77777777" w:rsidR="008E5DE4" w:rsidRDefault="008E5DE4">
            <w:pPr>
              <w:widowControl w:val="0"/>
              <w:pBdr>
                <w:top w:val="nil"/>
                <w:left w:val="nil"/>
                <w:bottom w:val="nil"/>
                <w:right w:val="nil"/>
                <w:between w:val="nil"/>
              </w:pBdr>
              <w:jc w:val="right"/>
              <w:rPr>
                <w:color w:val="000000"/>
              </w:rPr>
            </w:pPr>
          </w:p>
        </w:tc>
      </w:tr>
      <w:tr w:rsidR="008E5DE4" w14:paraId="07A111DF" w14:textId="77777777">
        <w:trPr>
          <w:cantSplit/>
        </w:trPr>
        <w:tc>
          <w:tcPr>
            <w:tcW w:w="4195" w:type="dxa"/>
            <w:tcBorders>
              <w:bottom w:val="single" w:sz="12" w:space="0" w:color="000000"/>
            </w:tcBorders>
            <w:vAlign w:val="bottom"/>
          </w:tcPr>
          <w:p w14:paraId="09D4A348" w14:textId="77777777" w:rsidR="008E5DE4" w:rsidRDefault="00780368">
            <w:pPr>
              <w:widowControl w:val="0"/>
              <w:pBdr>
                <w:top w:val="nil"/>
                <w:left w:val="nil"/>
                <w:bottom w:val="nil"/>
                <w:right w:val="nil"/>
                <w:between w:val="nil"/>
              </w:pBdr>
              <w:rPr>
                <w:color w:val="000000"/>
              </w:rPr>
            </w:pPr>
            <w:r>
              <w:rPr>
                <w:color w:val="000000"/>
              </w:rPr>
              <w:t> </w:t>
            </w:r>
          </w:p>
        </w:tc>
        <w:tc>
          <w:tcPr>
            <w:tcW w:w="1290" w:type="dxa"/>
            <w:tcBorders>
              <w:bottom w:val="single" w:sz="12" w:space="0" w:color="000000"/>
            </w:tcBorders>
            <w:vAlign w:val="bottom"/>
          </w:tcPr>
          <w:p w14:paraId="3D88BD8D" w14:textId="77777777" w:rsidR="008E5DE4" w:rsidRDefault="008E5DE4">
            <w:pPr>
              <w:widowControl w:val="0"/>
              <w:jc w:val="right"/>
              <w:rPr>
                <w:b/>
              </w:rPr>
            </w:pPr>
          </w:p>
        </w:tc>
        <w:tc>
          <w:tcPr>
            <w:tcW w:w="1290" w:type="dxa"/>
            <w:tcBorders>
              <w:bottom w:val="single" w:sz="12" w:space="0" w:color="000000"/>
            </w:tcBorders>
            <w:vAlign w:val="bottom"/>
          </w:tcPr>
          <w:p w14:paraId="41DC8D22" w14:textId="77777777" w:rsidR="008E5DE4" w:rsidRDefault="008E5DE4">
            <w:pPr>
              <w:widowControl w:val="0"/>
              <w:jc w:val="right"/>
              <w:rPr>
                <w:b/>
              </w:rPr>
            </w:pPr>
          </w:p>
        </w:tc>
        <w:tc>
          <w:tcPr>
            <w:tcW w:w="1290" w:type="dxa"/>
            <w:gridSpan w:val="2"/>
            <w:tcBorders>
              <w:bottom w:val="single" w:sz="12" w:space="0" w:color="000000"/>
            </w:tcBorders>
            <w:vAlign w:val="bottom"/>
          </w:tcPr>
          <w:p w14:paraId="451F330F" w14:textId="77777777" w:rsidR="008E5DE4" w:rsidRDefault="008E5DE4">
            <w:pPr>
              <w:widowControl w:val="0"/>
              <w:jc w:val="right"/>
              <w:rPr>
                <w:b/>
              </w:rPr>
            </w:pPr>
          </w:p>
        </w:tc>
        <w:tc>
          <w:tcPr>
            <w:tcW w:w="1291" w:type="dxa"/>
            <w:tcBorders>
              <w:bottom w:val="single" w:sz="12" w:space="0" w:color="000000"/>
            </w:tcBorders>
            <w:vAlign w:val="bottom"/>
          </w:tcPr>
          <w:p w14:paraId="58F69AE4" w14:textId="77777777" w:rsidR="008E5DE4" w:rsidRDefault="008E5DE4">
            <w:pPr>
              <w:widowControl w:val="0"/>
              <w:jc w:val="right"/>
              <w:rPr>
                <w:b/>
              </w:rPr>
            </w:pPr>
          </w:p>
        </w:tc>
      </w:tr>
    </w:tbl>
    <w:p w14:paraId="493740D9"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Refer to Note 53 for information about the fair value of finance lease receivables. </w:t>
      </w:r>
    </w:p>
    <w:p w14:paraId="67BF9E72" w14:textId="2B091C39"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obtained </w:t>
      </w:r>
      <w:r>
        <w:rPr>
          <w:color w:val="0000FF"/>
          <w:sz w:val="20"/>
          <w:szCs w:val="20"/>
        </w:rPr>
        <w:t>[equipment]</w:t>
      </w:r>
      <w:r>
        <w:rPr>
          <w:color w:val="000000"/>
          <w:sz w:val="20"/>
          <w:szCs w:val="20"/>
        </w:rPr>
        <w:t xml:space="preserve"> by terminating finance leases of counterparties which were in breach of their contractual obligations, primarily </w:t>
      </w:r>
      <w:proofErr w:type="gramStart"/>
      <w:r>
        <w:rPr>
          <w:color w:val="000000"/>
          <w:sz w:val="20"/>
          <w:szCs w:val="20"/>
        </w:rPr>
        <w:t>as a result of</w:t>
      </w:r>
      <w:proofErr w:type="gramEnd"/>
      <w:r>
        <w:rPr>
          <w:color w:val="000000"/>
          <w:sz w:val="20"/>
          <w:szCs w:val="20"/>
        </w:rPr>
        <w:t xml:space="preserve"> overdue lease payments.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the remaining carrying amount of such repossessed equipment of EUR _____ thousand (</w:t>
      </w:r>
      <w:r w:rsidR="00FF468A">
        <w:rPr>
          <w:color w:val="000000"/>
          <w:sz w:val="20"/>
          <w:szCs w:val="20"/>
        </w:rPr>
        <w:t>2024</w:t>
      </w:r>
      <w:r>
        <w:rPr>
          <w:color w:val="000000"/>
          <w:sz w:val="20"/>
          <w:szCs w:val="20"/>
        </w:rPr>
        <w:t xml:space="preserve">: EUR ____ thousand) is included in Note 17. </w:t>
      </w:r>
    </w:p>
    <w:p w14:paraId="3D2E5E8B"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36EDE040" w14:textId="4C0BC65C" w:rsidR="008E5DE4" w:rsidRDefault="00C07603" w:rsidP="007F183E">
      <w:pPr>
        <w:pStyle w:val="Heading1"/>
        <w:keepLines/>
        <w:numPr>
          <w:ilvl w:val="0"/>
          <w:numId w:val="0"/>
        </w:numPr>
        <w:ind w:left="567" w:hanging="567"/>
      </w:pPr>
      <w:bookmarkStart w:id="26" w:name="_Toc149923615"/>
      <w:r>
        <w:lastRenderedPageBreak/>
        <w:t xml:space="preserve">16 </w:t>
      </w:r>
      <w:r>
        <w:tab/>
      </w:r>
      <w:r w:rsidR="00780368">
        <w:t>Loans Issued</w:t>
      </w:r>
      <w:bookmarkEnd w:id="26"/>
    </w:p>
    <w:p w14:paraId="0C930695" w14:textId="0E25F303" w:rsidR="008E5DE4" w:rsidRDefault="00090491">
      <w:pPr>
        <w:shd w:val="clear" w:color="auto" w:fill="C6D9F1"/>
        <w:jc w:val="both"/>
        <w:rPr>
          <w:i/>
          <w:color w:val="FF0000"/>
          <w:sz w:val="20"/>
          <w:szCs w:val="20"/>
        </w:rPr>
      </w:pPr>
      <w:r>
        <w:rPr>
          <w:b/>
          <w:i/>
          <w:sz w:val="20"/>
          <w:szCs w:val="20"/>
        </w:rPr>
        <w:t>Material accounting policy information</w:t>
      </w:r>
      <w:r w:rsidR="00780368">
        <w:rPr>
          <w:b/>
          <w:i/>
          <w:sz w:val="20"/>
          <w:szCs w:val="20"/>
        </w:rPr>
        <w:t xml:space="preserve"> </w:t>
      </w:r>
    </w:p>
    <w:p w14:paraId="7F703EBE"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Initial recognition</w:t>
      </w:r>
      <w:r>
        <w:rPr>
          <w:color w:val="000000"/>
          <w:sz w:val="20"/>
          <w:szCs w:val="20"/>
        </w:rPr>
        <w:t>. Loans issued classified at FVTPL are initially recorded at fair value. All other categories of loans issued are initially recorded at fair value adjusted for transaction costs. Fair value at initial recognition is best evidenced by the transaction price. A gain or loss on initial recognition is only recorded if there is a difference between fair value and transaction price which can be evidenced by other observable current market transactions in the same instrument or by a valuation technique whose inputs include only data from observable markets. After the initial recognition, an ECL allowance is recognised for loans issued measured at AC, resulting in an immediate accounting loss.</w:t>
      </w:r>
    </w:p>
    <w:p w14:paraId="1023FD35"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All purchases and sales of loans issued that require delivery within the time frame established by regulation or market convention (“regular way” purchases and sales) are recorded at trade date, which is the date on which the Group commits to deliver a financial asset. All other purchases are recognised when the Group becomes a party to the contractual provisions of the instrument.</w:t>
      </w:r>
    </w:p>
    <w:p w14:paraId="4FB5893C" w14:textId="60E87701" w:rsidR="008E5DE4" w:rsidRDefault="00780368">
      <w:pPr>
        <w:widowControl w:val="0"/>
        <w:pBdr>
          <w:top w:val="nil"/>
          <w:left w:val="nil"/>
          <w:bottom w:val="nil"/>
          <w:right w:val="nil"/>
          <w:between w:val="nil"/>
        </w:pBdr>
        <w:shd w:val="clear" w:color="auto" w:fill="C6D9F1"/>
        <w:spacing w:before="200" w:after="200"/>
        <w:jc w:val="both"/>
        <w:rPr>
          <w:i/>
          <w:color w:val="FF0000"/>
          <w:sz w:val="20"/>
          <w:szCs w:val="20"/>
        </w:rPr>
      </w:pPr>
      <w:r>
        <w:rPr>
          <w:color w:val="0000FF"/>
          <w:sz w:val="20"/>
          <w:szCs w:val="20"/>
        </w:rPr>
        <w:t xml:space="preserve">[The Group uses [discounted cash flow] valuation techniques to determine the fair value of loans to related parties that are not traded in an active market. Differences may arise between the fair value at initial recognition, which </w:t>
      </w:r>
      <w:proofErr w:type="gramStart"/>
      <w:r>
        <w:rPr>
          <w:color w:val="0000FF"/>
          <w:sz w:val="20"/>
          <w:szCs w:val="20"/>
        </w:rPr>
        <w:t>is considered to be</w:t>
      </w:r>
      <w:proofErr w:type="gramEnd"/>
      <w:r>
        <w:rPr>
          <w:color w:val="0000FF"/>
          <w:sz w:val="20"/>
          <w:szCs w:val="20"/>
        </w:rPr>
        <w:t xml:space="preserve"> the transaction price, and the amount determined at initial recognition using a valuation technique with level 3 inputs. If any differences remain after calibration of model inputs, such differences are amortised on a </w:t>
      </w:r>
      <w:proofErr w:type="gramStart"/>
      <w:r>
        <w:rPr>
          <w:color w:val="0000FF"/>
          <w:sz w:val="20"/>
          <w:szCs w:val="20"/>
        </w:rPr>
        <w:t>straight line</w:t>
      </w:r>
      <w:proofErr w:type="gramEnd"/>
      <w:r>
        <w:rPr>
          <w:color w:val="0000FF"/>
          <w:sz w:val="20"/>
          <w:szCs w:val="20"/>
        </w:rPr>
        <w:t xml:space="preserve"> basis over the term of the loans to related parties. The differences are immediately recognised in profit or loss if the valuation uses only level 1 or level 2 inputs.] </w:t>
      </w:r>
    </w:p>
    <w:p w14:paraId="025E985E"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Classification and subsequent measurement – measurement categories.</w:t>
      </w:r>
      <w:r>
        <w:rPr>
          <w:color w:val="000000"/>
          <w:sz w:val="20"/>
          <w:szCs w:val="20"/>
        </w:rPr>
        <w:t xml:space="preserve"> The Group classifies loans issued in the following measurement categories: FVTPL, FVOCI and AC. The classification and subsequent measurement of loans issued depends on: (</w:t>
      </w:r>
      <w:proofErr w:type="spellStart"/>
      <w:r>
        <w:rPr>
          <w:color w:val="000000"/>
          <w:sz w:val="20"/>
          <w:szCs w:val="20"/>
        </w:rPr>
        <w:t>i</w:t>
      </w:r>
      <w:proofErr w:type="spellEnd"/>
      <w:r>
        <w:rPr>
          <w:color w:val="000000"/>
          <w:sz w:val="20"/>
          <w:szCs w:val="20"/>
        </w:rPr>
        <w:t xml:space="preserve">) the Group’s business model for managing the related portfolio of loans issued and (ii) the cash flow characteristics of the loans issued. </w:t>
      </w:r>
    </w:p>
    <w:p w14:paraId="02081243"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FF0000"/>
          <w:sz w:val="20"/>
          <w:szCs w:val="20"/>
        </w:rPr>
      </w:pPr>
      <w:r>
        <w:rPr>
          <w:b/>
          <w:i/>
          <w:color w:val="000000"/>
          <w:sz w:val="20"/>
          <w:szCs w:val="20"/>
        </w:rPr>
        <w:t xml:space="preserve">Classification and subsequent measurement – business model. </w:t>
      </w:r>
      <w:r>
        <w:rPr>
          <w:color w:val="000000"/>
          <w:sz w:val="20"/>
          <w:szCs w:val="20"/>
        </w:rPr>
        <w:t>The business model reflects how the Group manages the assets in order to generate cash flows – whether the Group’s objective is: (</w:t>
      </w:r>
      <w:proofErr w:type="spellStart"/>
      <w:r>
        <w:rPr>
          <w:color w:val="000000"/>
          <w:sz w:val="20"/>
          <w:szCs w:val="20"/>
        </w:rPr>
        <w:t>i</w:t>
      </w:r>
      <w:proofErr w:type="spellEnd"/>
      <w:r>
        <w:rPr>
          <w:color w:val="000000"/>
          <w:sz w:val="20"/>
          <w:szCs w:val="20"/>
        </w:rPr>
        <w:t>) solely to collect the contractual cash flows from the assets (“hold to collect contractual cash flows”,) or (ii) to collect both the contractual cash flows and the cash flows arising from the sale of assets (“hold to collect contractual cash flows and sell”) or, if neither of (</w:t>
      </w:r>
      <w:proofErr w:type="spellStart"/>
      <w:r>
        <w:rPr>
          <w:color w:val="000000"/>
          <w:sz w:val="20"/>
          <w:szCs w:val="20"/>
        </w:rPr>
        <w:t>i</w:t>
      </w:r>
      <w:proofErr w:type="spellEnd"/>
      <w:r>
        <w:rPr>
          <w:color w:val="000000"/>
          <w:sz w:val="20"/>
          <w:szCs w:val="20"/>
        </w:rPr>
        <w:t xml:space="preserve">) and (ii) is applicable, the loans issued are classified as part of “other” business model and measured at FVTPL. </w:t>
      </w:r>
    </w:p>
    <w:p w14:paraId="0AB14C18"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color w:val="000000"/>
          <w:sz w:val="20"/>
          <w:szCs w:val="20"/>
        </w:rPr>
        <w:t>Business model is determined for a group of assets (on a portfolio level) based on all relevant evidence about the activities that the Group undertakes to achieve the objective set out for the portfolio available at the date of the assessment. Factors considered by the Group in determining the business model include</w:t>
      </w:r>
      <w:r>
        <w:rPr>
          <w:color w:val="FF0000"/>
          <w:sz w:val="20"/>
          <w:szCs w:val="20"/>
        </w:rPr>
        <w:t xml:space="preserve"> </w:t>
      </w:r>
      <w:r>
        <w:rPr>
          <w:color w:val="0000FF"/>
          <w:sz w:val="20"/>
          <w:szCs w:val="20"/>
        </w:rPr>
        <w:t xml:space="preserve">[the purpose and composition of a portfolio, </w:t>
      </w:r>
      <w:proofErr w:type="gramStart"/>
      <w:r>
        <w:rPr>
          <w:color w:val="0000FF"/>
          <w:sz w:val="20"/>
          <w:szCs w:val="20"/>
        </w:rPr>
        <w:t>past experience</w:t>
      </w:r>
      <w:proofErr w:type="gramEnd"/>
      <w:r>
        <w:rPr>
          <w:color w:val="0000FF"/>
          <w:sz w:val="20"/>
          <w:szCs w:val="20"/>
        </w:rPr>
        <w:t xml:space="preserve"> on how the cash flows for the respective assets were collected, how risks are assessed and managed, how the assets’ performance is assessed and how managers are compensated].</w:t>
      </w:r>
    </w:p>
    <w:p w14:paraId="4EC0DE39"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b/>
          <w:i/>
          <w:color w:val="000000"/>
          <w:sz w:val="20"/>
          <w:szCs w:val="20"/>
        </w:rPr>
        <w:t>Classification and subsequent measurement – cash flow characteristics.</w:t>
      </w:r>
      <w:r>
        <w:rPr>
          <w:i/>
          <w:color w:val="000000"/>
          <w:sz w:val="20"/>
          <w:szCs w:val="20"/>
        </w:rPr>
        <w:t xml:space="preserve"> </w:t>
      </w:r>
      <w:r>
        <w:rPr>
          <w:color w:val="000000"/>
          <w:sz w:val="20"/>
          <w:szCs w:val="20"/>
        </w:rPr>
        <w:t xml:space="preserve">Where the business model is to hold assets to collect contractual cash flows or to hold contractual cash flows and sell, the Group assesses whether the cash flows represent solely payments of principal and interest (“SPPI”). Loans issued with embedded derivatives are considered in their entirety when determining whether their cash flows are consistent with the SPPI feature. In making this assessment, the Group considers whether the contractual cash flows are consistent with a basic lending arrangement, i.e. interest includes only consideration for credit risk, time value of money, other basic lending risks and profit margin. </w:t>
      </w:r>
    </w:p>
    <w:p w14:paraId="581A1B0C" w14:textId="77777777"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r>
        <w:rPr>
          <w:color w:val="000000"/>
          <w:sz w:val="20"/>
          <w:szCs w:val="20"/>
        </w:rPr>
        <w:t xml:space="preserve">Where the contractual terms introduce exposure to risk or volatility that is inconsistent with a basic lending arrangement, the loan issued is classified and measured at FVTPL. The SPPI assessment is performed on initial recognition of an </w:t>
      </w:r>
      <w:proofErr w:type="gramStart"/>
      <w:r>
        <w:rPr>
          <w:color w:val="000000"/>
          <w:sz w:val="20"/>
          <w:szCs w:val="20"/>
        </w:rPr>
        <w:t>asset</w:t>
      </w:r>
      <w:proofErr w:type="gramEnd"/>
      <w:r>
        <w:rPr>
          <w:color w:val="000000"/>
          <w:sz w:val="20"/>
          <w:szCs w:val="20"/>
        </w:rPr>
        <w:t xml:space="preserve"> and it is not subsequently reassessed. </w:t>
      </w:r>
    </w:p>
    <w:p w14:paraId="7C8C8A0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3698133F" w14:textId="77777777" w:rsidR="008E5DE4" w:rsidRDefault="00780368">
      <w:pPr>
        <w:widowControl w:val="0"/>
        <w:pBdr>
          <w:top w:val="nil"/>
          <w:left w:val="nil"/>
          <w:bottom w:val="nil"/>
          <w:right w:val="nil"/>
          <w:between w:val="nil"/>
        </w:pBdr>
        <w:shd w:val="clear" w:color="auto" w:fill="C6D9F1"/>
        <w:spacing w:after="180" w:line="228" w:lineRule="auto"/>
        <w:jc w:val="both"/>
        <w:rPr>
          <w:color w:val="FF0000"/>
          <w:sz w:val="20"/>
          <w:szCs w:val="20"/>
        </w:rPr>
      </w:pPr>
      <w:r>
        <w:rPr>
          <w:b/>
          <w:i/>
          <w:color w:val="000000"/>
          <w:sz w:val="20"/>
          <w:szCs w:val="20"/>
        </w:rPr>
        <w:t>Reclassification</w:t>
      </w:r>
      <w:r>
        <w:rPr>
          <w:i/>
          <w:color w:val="000000"/>
          <w:sz w:val="20"/>
          <w:szCs w:val="20"/>
        </w:rPr>
        <w:t>.</w:t>
      </w:r>
      <w:r>
        <w:rPr>
          <w:color w:val="000000"/>
          <w:sz w:val="20"/>
          <w:szCs w:val="20"/>
        </w:rPr>
        <w:t xml:space="preserve"> Loans issued are reclassified only when the business model for managing the portfolio </w:t>
      </w:r>
      <w:proofErr w:type="gramStart"/>
      <w:r>
        <w:rPr>
          <w:color w:val="000000"/>
          <w:sz w:val="20"/>
          <w:szCs w:val="20"/>
        </w:rPr>
        <w:t>as a whole changes</w:t>
      </w:r>
      <w:proofErr w:type="gramEnd"/>
      <w:r>
        <w:rPr>
          <w:color w:val="000000"/>
          <w:sz w:val="20"/>
          <w:szCs w:val="20"/>
        </w:rPr>
        <w:t xml:space="preserve">. The reclassification has a prospective effect and takes place from the beginning of the first reporting period that </w:t>
      </w:r>
      <w:proofErr w:type="gramStart"/>
      <w:r>
        <w:rPr>
          <w:color w:val="000000"/>
          <w:sz w:val="20"/>
          <w:szCs w:val="20"/>
        </w:rPr>
        <w:t>follows after</w:t>
      </w:r>
      <w:proofErr w:type="gramEnd"/>
      <w:r>
        <w:rPr>
          <w:color w:val="000000"/>
          <w:sz w:val="20"/>
          <w:szCs w:val="20"/>
        </w:rPr>
        <w:t xml:space="preserve"> the change in the business model. </w:t>
      </w:r>
      <w:r>
        <w:rPr>
          <w:color w:val="0000FF"/>
          <w:sz w:val="20"/>
          <w:szCs w:val="20"/>
        </w:rPr>
        <w:t>[The Group did not change its business model during the current and comparative period and did not make any reclassifications.]</w:t>
      </w:r>
    </w:p>
    <w:p w14:paraId="03273686" w14:textId="77777777"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r>
        <w:rPr>
          <w:b/>
          <w:i/>
          <w:color w:val="000000"/>
          <w:sz w:val="20"/>
          <w:szCs w:val="20"/>
        </w:rPr>
        <w:t>Impairment – credit loss allowance for ECL.</w:t>
      </w:r>
      <w:r>
        <w:rPr>
          <w:b/>
          <w:color w:val="000000"/>
          <w:sz w:val="20"/>
          <w:szCs w:val="20"/>
        </w:rPr>
        <w:t xml:space="preserve"> </w:t>
      </w:r>
      <w:r>
        <w:rPr>
          <w:color w:val="000000"/>
          <w:sz w:val="20"/>
          <w:szCs w:val="20"/>
        </w:rPr>
        <w:t>The Group assesses, on a forward-looking basis, the ECL for loans issued measured at AC and FVOCI. The Group measures ECL and recognises net impairment losses on loans issued at each reporting date. The measurement of ECL reflects: (</w:t>
      </w:r>
      <w:proofErr w:type="spellStart"/>
      <w:r>
        <w:rPr>
          <w:color w:val="000000"/>
          <w:sz w:val="20"/>
          <w:szCs w:val="20"/>
        </w:rPr>
        <w:t>i</w:t>
      </w:r>
      <w:proofErr w:type="spellEnd"/>
      <w:r>
        <w:rPr>
          <w:color w:val="000000"/>
          <w:sz w:val="20"/>
          <w:szCs w:val="20"/>
        </w:rPr>
        <w:t>) an unbiased and probability weighted amount that is determined by evaluating a range of possible outcomes, (ii) time value of money and (iii) all reasonable and supportable information that is available without undue cost and effort at the end of each reporting period about past events, current conditions and forecasts of future conditions.</w:t>
      </w:r>
    </w:p>
    <w:p w14:paraId="126375F8" w14:textId="77777777"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r>
        <w:rPr>
          <w:color w:val="000000"/>
          <w:sz w:val="20"/>
          <w:szCs w:val="20"/>
        </w:rPr>
        <w:t xml:space="preserve">Loans issued measured at AC are presented in the consolidated statement of financial position net of the allowance for ECL. For loans issued measured at FVOCI, changes in amortised cost, net of allowance for ECL, are recognised in profit or loss and other changes in carrying value are recognised in OCI as gains less losses on loans issued measured at FVOCI. </w:t>
      </w:r>
    </w:p>
    <w:p w14:paraId="0CB162EC" w14:textId="08B0093B"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r>
        <w:rPr>
          <w:color w:val="000000"/>
          <w:sz w:val="20"/>
          <w:szCs w:val="20"/>
        </w:rPr>
        <w:t>For loans issued the Group applies a three</w:t>
      </w:r>
      <w:r w:rsidR="00160220">
        <w:rPr>
          <w:color w:val="000000"/>
          <w:sz w:val="20"/>
          <w:szCs w:val="20"/>
        </w:rPr>
        <w:t>-</w:t>
      </w:r>
      <w:r>
        <w:rPr>
          <w:color w:val="000000"/>
          <w:sz w:val="20"/>
          <w:szCs w:val="20"/>
        </w:rPr>
        <w:t xml:space="preserve">stage model for impairment, based on changes in credit quality since initial recognition. A financial instrument that is not credit-impaired on initial recognition is classified in Stage 1. Financial assets in Stage 1 have their ECL measured at an amount equal to the portion of lifetime ECL that results from default events possible within the next 12 months or until contractual maturity, if shorter (“12 Months ECL”). If the Group identifies a significant increase in credit risk (“SICR”) since initial recognition, the asset is transferred to Stage 2 and its ECL is measured based on ECL on a lifetime basis, that is, up until contractual maturity but considering expected prepayments, if any (“Lifetime ECL”). Refer to Note 51 for a description of how the Group determines when a SICR has occurred. If the Group determines that a financial asset is credit-impaired, the asset is transferred to Stage 3 and its ECL is measured as a Lifetime ECL. The Group’s definition of credit impaired assets and definition of default is explained in Note 51. For financial assets that are purchased or originated credit-impaired (“POCI Assets”), the ECL is always measured as a Lifetime ECL. Note 51 provides information about inputs, assumptions and estimation techniques used in measuring ECL, including an explanation of how the Group incorporates forward-looking information in the ECL models. </w:t>
      </w:r>
    </w:p>
    <w:p w14:paraId="0C2CA837" w14:textId="3EC6146D"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Write-off.</w:t>
      </w:r>
      <w:r>
        <w:rPr>
          <w:b/>
          <w:color w:val="000000"/>
          <w:sz w:val="20"/>
          <w:szCs w:val="20"/>
        </w:rPr>
        <w:t xml:space="preserve"> </w:t>
      </w:r>
      <w:r>
        <w:rPr>
          <w:color w:val="000000"/>
          <w:sz w:val="20"/>
          <w:szCs w:val="20"/>
        </w:rPr>
        <w:t>Loans issued are written</w:t>
      </w:r>
      <w:r w:rsidR="007652E2">
        <w:rPr>
          <w:color w:val="000000"/>
          <w:sz w:val="20"/>
          <w:szCs w:val="20"/>
        </w:rPr>
        <w:t xml:space="preserve"> </w:t>
      </w:r>
      <w:r>
        <w:rPr>
          <w:color w:val="000000"/>
          <w:sz w:val="20"/>
          <w:szCs w:val="20"/>
        </w:rPr>
        <w:t xml:space="preserve">off, in whole or in part, when the Group exhausted all practical recovery efforts and has concluded that there is no reasonable expectation of recovery. The write-off represents a derecognition event. </w:t>
      </w:r>
      <w:r>
        <w:rPr>
          <w:color w:val="0000FF"/>
          <w:sz w:val="20"/>
          <w:szCs w:val="20"/>
        </w:rPr>
        <w:t>[Indicators that there is no reasonable expectation of recovery include… [</w:t>
      </w:r>
      <w:r>
        <w:rPr>
          <w:i/>
          <w:color w:val="0000FF"/>
          <w:sz w:val="20"/>
          <w:szCs w:val="20"/>
        </w:rPr>
        <w:t>specify]</w:t>
      </w:r>
      <w:r>
        <w:rPr>
          <w:color w:val="0000FF"/>
          <w:sz w:val="20"/>
          <w:szCs w:val="20"/>
        </w:rPr>
        <w:t>].</w:t>
      </w:r>
      <w:r>
        <w:rPr>
          <w:color w:val="000000"/>
          <w:sz w:val="20"/>
          <w:szCs w:val="20"/>
        </w:rPr>
        <w:t xml:space="preserve"> The Group may write-off loans issued that are still subject to enforcement activity when the Group seeks to recover amounts that are contractually due, however, there is no reasonable expectation of recovery.</w:t>
      </w:r>
    </w:p>
    <w:p w14:paraId="283E0D77"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Derecognition.</w:t>
      </w:r>
      <w:r>
        <w:rPr>
          <w:color w:val="000000"/>
          <w:sz w:val="20"/>
          <w:szCs w:val="20"/>
        </w:rPr>
        <w:t xml:space="preserve"> The Group derecognises loans issued when (a) the assets are redeemed or the rights to cash flows from the assets otherwise expire or (b) the Group has transferred the rights to the cash flows from the loans issued or entered into a qualifying pass-through arrangement whilst (</w:t>
      </w:r>
      <w:proofErr w:type="spellStart"/>
      <w:r>
        <w:rPr>
          <w:color w:val="000000"/>
          <w:sz w:val="20"/>
          <w:szCs w:val="20"/>
        </w:rPr>
        <w:t>i</w:t>
      </w:r>
      <w:proofErr w:type="spellEnd"/>
      <w:r>
        <w:rPr>
          <w:color w:val="000000"/>
          <w:sz w:val="20"/>
          <w:szCs w:val="20"/>
        </w:rPr>
        <w:t xml:space="preserve">) also transferring substantially all the risks and rewards of ownership of the assets or (ii) neither transferring nor retaining substantially all the risks and rewards of ownership but not retaining control. </w:t>
      </w:r>
    </w:p>
    <w:p w14:paraId="6F974CA5"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Control is retained if the counterparty does not have the practical ability to sell the asset in its entirety to an unrelated third party without needing to impose additional restrictions on the sale.</w:t>
      </w:r>
    </w:p>
    <w:p w14:paraId="1A643B8C"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Modification. </w:t>
      </w:r>
      <w:r>
        <w:rPr>
          <w:color w:val="000000"/>
          <w:sz w:val="20"/>
          <w:szCs w:val="20"/>
        </w:rPr>
        <w:t xml:space="preserve">The Group sometimes renegotiates or otherwise modifies the contractual terms of the loans issued. The Group assesses whether the modification of contractual cash flows is substantial considering, among other, the following factors: </w:t>
      </w:r>
      <w:r>
        <w:rPr>
          <w:color w:val="0000FF"/>
          <w:sz w:val="20"/>
          <w:szCs w:val="20"/>
        </w:rPr>
        <w:t>[any new contractual terms that substantially affect the risk profile of the asset (</w:t>
      </w:r>
      <w:proofErr w:type="spellStart"/>
      <w:r>
        <w:rPr>
          <w:color w:val="0000FF"/>
          <w:sz w:val="20"/>
          <w:szCs w:val="20"/>
        </w:rPr>
        <w:t>eg</w:t>
      </w:r>
      <w:proofErr w:type="spellEnd"/>
      <w:r>
        <w:rPr>
          <w:color w:val="0000FF"/>
          <w:sz w:val="20"/>
          <w:szCs w:val="20"/>
        </w:rPr>
        <w:t xml:space="preserve"> profit share or equity-based return), significant change in interest rate, change in the currency denomination, new collateral or credit enhancement that significantly affects the credit risk associated with the asset or a significant extension of a loan when the borrower is not in financial difficulties.]</w:t>
      </w:r>
      <w:r>
        <w:rPr>
          <w:color w:val="000000"/>
          <w:sz w:val="20"/>
          <w:szCs w:val="20"/>
        </w:rPr>
        <w:t xml:space="preserve"> </w:t>
      </w:r>
    </w:p>
    <w:p w14:paraId="124D290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352BA9BD" w14:textId="77777777" w:rsidR="008E5DE4" w:rsidRDefault="00780368">
      <w:pPr>
        <w:widowControl w:val="0"/>
        <w:pBdr>
          <w:top w:val="nil"/>
          <w:left w:val="nil"/>
          <w:bottom w:val="nil"/>
          <w:right w:val="nil"/>
          <w:between w:val="nil"/>
        </w:pBdr>
        <w:shd w:val="clear" w:color="auto" w:fill="C6D9F1"/>
        <w:spacing w:before="200" w:after="200"/>
        <w:jc w:val="both"/>
        <w:rPr>
          <w:b/>
          <w:color w:val="000000"/>
          <w:sz w:val="20"/>
          <w:szCs w:val="20"/>
        </w:rPr>
      </w:pPr>
      <w:r>
        <w:rPr>
          <w:color w:val="000000"/>
          <w:sz w:val="20"/>
          <w:szCs w:val="20"/>
        </w:rPr>
        <w:t xml:space="preserve">If the modified terms are substantially different, the rights to cash flows from the original asset expire and the Group derecognises the original asset and recognises a new asset at its fair value. The date of renegotiation </w:t>
      </w:r>
      <w:proofErr w:type="gramStart"/>
      <w:r>
        <w:rPr>
          <w:color w:val="000000"/>
          <w:sz w:val="20"/>
          <w:szCs w:val="20"/>
        </w:rPr>
        <w:t>is considered to be</w:t>
      </w:r>
      <w:proofErr w:type="gramEnd"/>
      <w:r>
        <w:rPr>
          <w:color w:val="000000"/>
          <w:sz w:val="20"/>
          <w:szCs w:val="20"/>
        </w:rPr>
        <w:t xml:space="preserve"> the date of initial recognition for subsequent impairment calculation purposes, including determining whether a SICR has occurred. The Group also assesses whether the new loan meets the SPPI criterion. Any difference between the carrying amount of the original asset derecognised and fair value of the new substantially modified asset is recognised in profit or loss, unless the substance of the difference is attributed to a capital transaction with owners.</w:t>
      </w:r>
    </w:p>
    <w:p w14:paraId="671B9A57"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In a situation where the renegotiation was driven by financial difficulties of the counterparty and inability to make the originally agreed payments, the Group compares the original and revised expected cash flows to assess whether the risks and rewards of the asset are substantially different </w:t>
      </w:r>
      <w:proofErr w:type="gramStart"/>
      <w:r>
        <w:rPr>
          <w:color w:val="000000"/>
          <w:sz w:val="20"/>
          <w:szCs w:val="20"/>
        </w:rPr>
        <w:t>as a result of</w:t>
      </w:r>
      <w:proofErr w:type="gramEnd"/>
      <w:r>
        <w:rPr>
          <w:color w:val="000000"/>
          <w:sz w:val="20"/>
          <w:szCs w:val="20"/>
        </w:rPr>
        <w:t xml:space="preserve"> the contractual modification. If the risks and rewards do not change, the modified asset is not substantially different from the original </w:t>
      </w:r>
      <w:proofErr w:type="gramStart"/>
      <w:r>
        <w:rPr>
          <w:color w:val="000000"/>
          <w:sz w:val="20"/>
          <w:szCs w:val="20"/>
        </w:rPr>
        <w:t>asset</w:t>
      </w:r>
      <w:proofErr w:type="gramEnd"/>
      <w:r>
        <w:rPr>
          <w:color w:val="000000"/>
          <w:sz w:val="20"/>
          <w:szCs w:val="20"/>
        </w:rPr>
        <w:t xml:space="preserve"> and the modification does not result in derecognition. The Group recalculates the gross carrying amount by discounting the modified contractual cash flows by the original effective interest rate (or credit-adjusted effective interest rate for POCI financial assets), and recognises a modification gain or loss in profit or loss. </w:t>
      </w:r>
    </w:p>
    <w:p w14:paraId="68DC7E63" w14:textId="3AB049E8" w:rsidR="00947512" w:rsidRDefault="00947512"/>
    <w:tbl>
      <w:tblPr>
        <w:tblStyle w:val="affff6"/>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4E4796A9" w14:textId="77777777">
        <w:tc>
          <w:tcPr>
            <w:tcW w:w="9571" w:type="dxa"/>
          </w:tcPr>
          <w:p w14:paraId="28FCDDEA" w14:textId="65B50088" w:rsidR="008E5DE4" w:rsidRDefault="00780368">
            <w:pPr>
              <w:rPr>
                <w:b/>
                <w:i/>
                <w:sz w:val="20"/>
                <w:szCs w:val="20"/>
              </w:rPr>
            </w:pPr>
            <w:r>
              <w:rPr>
                <w:b/>
                <w:i/>
                <w:sz w:val="20"/>
                <w:szCs w:val="20"/>
              </w:rPr>
              <w:t>Critical Accounting Estimates and Judgments in Applying Accounting Policies</w:t>
            </w:r>
          </w:p>
          <w:p w14:paraId="07DA197A" w14:textId="600DBEF2"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Derecognition of loans issued.</w:t>
            </w:r>
            <w:r>
              <w:rPr>
                <w:color w:val="000000"/>
                <w:sz w:val="20"/>
                <w:szCs w:val="20"/>
              </w:rPr>
              <w:t xml:space="preserve"> Management applies judgement to determine if substantially all the significant risks and rewards of ownership of loans issued are transferred to counterparties, in particular which risks and rewards are the most significant and what constitutes substantially all risks and rewards. </w:t>
            </w:r>
          </w:p>
          <w:p w14:paraId="55100B07" w14:textId="77777777" w:rsidR="008E5DE4" w:rsidRDefault="00780368">
            <w:pPr>
              <w:widowControl w:val="0"/>
              <w:spacing w:before="200" w:after="200"/>
              <w:jc w:val="both"/>
              <w:rPr>
                <w:color w:val="000000"/>
                <w:sz w:val="20"/>
                <w:szCs w:val="20"/>
              </w:rPr>
            </w:pPr>
            <w:r>
              <w:rPr>
                <w:b/>
                <w:i/>
                <w:color w:val="000000"/>
                <w:sz w:val="20"/>
                <w:szCs w:val="20"/>
              </w:rPr>
              <w:t>ECL measurement.</w:t>
            </w:r>
            <w:r>
              <w:rPr>
                <w:color w:val="000000"/>
                <w:sz w:val="20"/>
                <w:szCs w:val="20"/>
              </w:rPr>
              <w:t xml:space="preserve"> Measurement of ECLs is a significant estimate that involves determination methodology, models and data inputs. Details of ECL measurement methodology are disclosed in Note 51. The following components have a major impact on credit loss allowance: definition of default, SICR, probability of default (“PD”), exposure at default (“EAD”), and loss given default (“LGD”), as well as models of macro-economic scenarios. The Group regularly reviews and validates the models and inputs </w:t>
            </w:r>
            <w:proofErr w:type="spellStart"/>
            <w:r>
              <w:rPr>
                <w:color w:val="000000"/>
                <w:sz w:val="20"/>
                <w:szCs w:val="20"/>
              </w:rPr>
              <w:t>o</w:t>
            </w:r>
            <w:proofErr w:type="spellEnd"/>
            <w:r>
              <w:rPr>
                <w:color w:val="000000"/>
                <w:sz w:val="20"/>
                <w:szCs w:val="20"/>
              </w:rPr>
              <w:t xml:space="preserve"> the models to reduce any differences between expected credit loss estimates and actual credit loss experience. </w:t>
            </w:r>
          </w:p>
          <w:p w14:paraId="6383DDBD" w14:textId="77777777" w:rsidR="008E5DE4" w:rsidRDefault="00780368">
            <w:pPr>
              <w:pBdr>
                <w:top w:val="nil"/>
                <w:left w:val="nil"/>
                <w:bottom w:val="nil"/>
                <w:right w:val="nil"/>
                <w:between w:val="nil"/>
              </w:pBdr>
              <w:spacing w:after="200"/>
              <w:jc w:val="both"/>
              <w:rPr>
                <w:color w:val="0000FF"/>
                <w:sz w:val="20"/>
                <w:szCs w:val="20"/>
              </w:rPr>
            </w:pPr>
            <w:r>
              <w:rPr>
                <w:color w:val="0000FF"/>
                <w:sz w:val="20"/>
                <w:szCs w:val="20"/>
              </w:rPr>
              <w:t>[Due to significant and rapid changes in the economic environment, the Group decided to adjust the approach to measure ECL for loans issued. The management performed a top-down portfolio analysis and had identified groups of debtors, for which sufficient reasonable and supportable information for the ECL measurement is available only on the industry basis, instead of individual basis. Overlays applied by the management resulted in the increase of ECL for debtors in the following industries:</w:t>
            </w:r>
          </w:p>
          <w:p w14:paraId="54DE7F77" w14:textId="77777777" w:rsidR="008E5DE4" w:rsidRDefault="00780368">
            <w:pPr>
              <w:numPr>
                <w:ilvl w:val="0"/>
                <w:numId w:val="19"/>
              </w:numPr>
              <w:pBdr>
                <w:top w:val="nil"/>
                <w:left w:val="nil"/>
                <w:bottom w:val="nil"/>
                <w:right w:val="nil"/>
                <w:between w:val="nil"/>
              </w:pBdr>
              <w:spacing w:after="200"/>
              <w:jc w:val="both"/>
              <w:rPr>
                <w:color w:val="0000FF"/>
                <w:sz w:val="20"/>
                <w:szCs w:val="20"/>
              </w:rPr>
            </w:pPr>
            <w:r>
              <w:rPr>
                <w:color w:val="0000FF"/>
                <w:sz w:val="20"/>
                <w:szCs w:val="20"/>
              </w:rPr>
              <w:t>Tourism and leisure – average ECL increase of __</w:t>
            </w:r>
            <w:proofErr w:type="gramStart"/>
            <w:r>
              <w:rPr>
                <w:color w:val="0000FF"/>
                <w:sz w:val="20"/>
                <w:szCs w:val="20"/>
              </w:rPr>
              <w:t>%;</w:t>
            </w:r>
            <w:proofErr w:type="gramEnd"/>
          </w:p>
          <w:p w14:paraId="76CCCFF8" w14:textId="77777777" w:rsidR="008E5DE4" w:rsidRDefault="00780368">
            <w:pPr>
              <w:numPr>
                <w:ilvl w:val="0"/>
                <w:numId w:val="19"/>
              </w:numPr>
              <w:pBdr>
                <w:top w:val="nil"/>
                <w:left w:val="nil"/>
                <w:bottom w:val="nil"/>
                <w:right w:val="nil"/>
                <w:between w:val="nil"/>
              </w:pBdr>
              <w:spacing w:after="200"/>
              <w:jc w:val="both"/>
              <w:rPr>
                <w:color w:val="0000FF"/>
                <w:sz w:val="20"/>
                <w:szCs w:val="20"/>
              </w:rPr>
            </w:pPr>
            <w:r>
              <w:rPr>
                <w:color w:val="0000FF"/>
                <w:sz w:val="20"/>
                <w:szCs w:val="20"/>
              </w:rPr>
              <w:t>Transportation – average ECL increase of __</w:t>
            </w:r>
            <w:proofErr w:type="gramStart"/>
            <w:r>
              <w:rPr>
                <w:color w:val="0000FF"/>
                <w:sz w:val="20"/>
                <w:szCs w:val="20"/>
              </w:rPr>
              <w:t>%;</w:t>
            </w:r>
            <w:proofErr w:type="gramEnd"/>
            <w:r>
              <w:rPr>
                <w:color w:val="0000FF"/>
                <w:sz w:val="20"/>
                <w:szCs w:val="20"/>
              </w:rPr>
              <w:t xml:space="preserve"> </w:t>
            </w:r>
          </w:p>
          <w:p w14:paraId="2A5351D5" w14:textId="77777777" w:rsidR="008E5DE4" w:rsidRDefault="00780368">
            <w:pPr>
              <w:numPr>
                <w:ilvl w:val="0"/>
                <w:numId w:val="19"/>
              </w:numPr>
              <w:pBdr>
                <w:top w:val="nil"/>
                <w:left w:val="nil"/>
                <w:bottom w:val="nil"/>
                <w:right w:val="nil"/>
                <w:between w:val="nil"/>
              </w:pBdr>
              <w:spacing w:after="200"/>
              <w:jc w:val="both"/>
              <w:rPr>
                <w:color w:val="0000FF"/>
                <w:sz w:val="20"/>
                <w:szCs w:val="20"/>
              </w:rPr>
            </w:pPr>
            <w:r>
              <w:rPr>
                <w:color w:val="0000FF"/>
                <w:sz w:val="20"/>
                <w:szCs w:val="20"/>
              </w:rPr>
              <w:t>Retail – average ECL increase of __</w:t>
            </w:r>
            <w:proofErr w:type="gramStart"/>
            <w:r>
              <w:rPr>
                <w:color w:val="0000FF"/>
                <w:sz w:val="20"/>
                <w:szCs w:val="20"/>
              </w:rPr>
              <w:t>%;</w:t>
            </w:r>
            <w:proofErr w:type="gramEnd"/>
          </w:p>
          <w:p w14:paraId="59773237" w14:textId="77777777" w:rsidR="008E5DE4" w:rsidRDefault="00780368">
            <w:pPr>
              <w:numPr>
                <w:ilvl w:val="0"/>
                <w:numId w:val="19"/>
              </w:numPr>
              <w:pBdr>
                <w:top w:val="nil"/>
                <w:left w:val="nil"/>
                <w:bottom w:val="nil"/>
                <w:right w:val="nil"/>
                <w:between w:val="nil"/>
              </w:pBdr>
              <w:spacing w:after="200"/>
              <w:jc w:val="both"/>
              <w:rPr>
                <w:color w:val="0000FF"/>
                <w:sz w:val="20"/>
                <w:szCs w:val="20"/>
              </w:rPr>
            </w:pPr>
            <w:r>
              <w:rPr>
                <w:color w:val="0000FF"/>
                <w:sz w:val="20"/>
                <w:szCs w:val="20"/>
              </w:rPr>
              <w:t>Oil and gas – average ECL increase of __%.]</w:t>
            </w:r>
          </w:p>
          <w:p w14:paraId="4CCE6004" w14:textId="0F129ADB" w:rsidR="008E5DE4" w:rsidRDefault="00780368">
            <w:pPr>
              <w:pBdr>
                <w:top w:val="nil"/>
                <w:left w:val="nil"/>
                <w:bottom w:val="nil"/>
                <w:right w:val="nil"/>
                <w:between w:val="nil"/>
              </w:pBdr>
              <w:spacing w:after="200"/>
              <w:jc w:val="both"/>
              <w:rPr>
                <w:color w:val="0000FF"/>
                <w:sz w:val="20"/>
                <w:szCs w:val="20"/>
              </w:rPr>
            </w:pPr>
            <w:r>
              <w:rPr>
                <w:color w:val="0000FF"/>
                <w:sz w:val="20"/>
                <w:szCs w:val="20"/>
              </w:rPr>
              <w:t xml:space="preserve">[The Group implemented relief measures stipulated by </w:t>
            </w:r>
            <w:proofErr w:type="gramStart"/>
            <w:r>
              <w:rPr>
                <w:color w:val="0000FF"/>
                <w:sz w:val="20"/>
                <w:szCs w:val="20"/>
              </w:rPr>
              <w:t>the  [</w:t>
            </w:r>
            <w:proofErr w:type="gramEnd"/>
            <w:r>
              <w:rPr>
                <w:color w:val="0000FF"/>
                <w:sz w:val="20"/>
                <w:szCs w:val="20"/>
              </w:rPr>
              <w:t xml:space="preserve">Country] Government in [date] in response to the spread of COVID-19. Individuals and SMEs that are negatively affected by the virus and lost more than 30% of their income can apply for a </w:t>
            </w:r>
            <w:proofErr w:type="gramStart"/>
            <w:r>
              <w:rPr>
                <w:color w:val="0000FF"/>
                <w:sz w:val="20"/>
                <w:szCs w:val="20"/>
              </w:rPr>
              <w:t>payment holidays</w:t>
            </w:r>
            <w:proofErr w:type="gramEnd"/>
            <w:r>
              <w:rPr>
                <w:color w:val="0000FF"/>
                <w:sz w:val="20"/>
                <w:szCs w:val="20"/>
              </w:rPr>
              <w:t xml:space="preserve"> for up to six months, which </w:t>
            </w:r>
            <w:proofErr w:type="gramStart"/>
            <w:r>
              <w:rPr>
                <w:color w:val="0000FF"/>
                <w:sz w:val="20"/>
                <w:szCs w:val="20"/>
              </w:rPr>
              <w:t>have to</w:t>
            </w:r>
            <w:proofErr w:type="gramEnd"/>
            <w:r>
              <w:rPr>
                <w:color w:val="0000FF"/>
                <w:sz w:val="20"/>
                <w:szCs w:val="20"/>
              </w:rPr>
              <w:t xml:space="preserve"> be granted by the Group. The Group concluded that in most cases such applications evidence a significant increase in credit risk of the financial asset, unless observable mitigating factors </w:t>
            </w:r>
            <w:r>
              <w:rPr>
                <w:i/>
                <w:color w:val="0000FF"/>
                <w:sz w:val="20"/>
                <w:szCs w:val="20"/>
              </w:rPr>
              <w:t>[please specify the factors]</w:t>
            </w:r>
            <w:r>
              <w:rPr>
                <w:color w:val="0000FF"/>
                <w:sz w:val="20"/>
                <w:szCs w:val="20"/>
              </w:rPr>
              <w:t xml:space="preserve"> are identified. Loans to individuals who applied for the relief and for whom, significant increase in credit risk occurred, amounted to EUR ___ thousands as of 31 December </w:t>
            </w:r>
            <w:r w:rsidR="00FF468A">
              <w:rPr>
                <w:color w:val="0000FF"/>
                <w:sz w:val="20"/>
                <w:szCs w:val="20"/>
              </w:rPr>
              <w:t>2024</w:t>
            </w:r>
            <w:r>
              <w:rPr>
                <w:color w:val="0000FF"/>
                <w:sz w:val="20"/>
                <w:szCs w:val="20"/>
              </w:rPr>
              <w:t xml:space="preserve">. Loans to SMEs who applied for the relief and for whom significant increase in credit risk occurred, amounted to EUR ___ thousands as of 31 December </w:t>
            </w:r>
            <w:r w:rsidR="00FF468A">
              <w:rPr>
                <w:color w:val="0000FF"/>
                <w:sz w:val="20"/>
                <w:szCs w:val="20"/>
              </w:rPr>
              <w:t>2024</w:t>
            </w:r>
            <w:r>
              <w:rPr>
                <w:color w:val="0000FF"/>
                <w:sz w:val="20"/>
                <w:szCs w:val="20"/>
              </w:rPr>
              <w:t>.]</w:t>
            </w:r>
          </w:p>
          <w:p w14:paraId="0D369401" w14:textId="20CC1F25" w:rsidR="008E5DE4" w:rsidRDefault="00780368" w:rsidP="007F183E">
            <w:pPr>
              <w:pBdr>
                <w:top w:val="nil"/>
                <w:left w:val="nil"/>
                <w:bottom w:val="nil"/>
                <w:right w:val="nil"/>
                <w:between w:val="nil"/>
              </w:pBdr>
              <w:spacing w:after="200"/>
              <w:jc w:val="both"/>
              <w:rPr>
                <w:i/>
                <w:color w:val="FF0000"/>
                <w:sz w:val="20"/>
                <w:szCs w:val="20"/>
              </w:rPr>
            </w:pPr>
            <w:r>
              <w:rPr>
                <w:color w:val="0000FF"/>
                <w:sz w:val="20"/>
                <w:szCs w:val="20"/>
              </w:rPr>
              <w:t xml:space="preserve">[The Group offered payment holidays and temporary reduction in interest rates on certain financial assets. The Group concluded that these measures result in contractual modification of the respective financial assets. Since there is no additional interest charged to debtors during the payment holiday period, the Group recognised a modification loss in the amount </w:t>
            </w:r>
            <w:proofErr w:type="gramStart"/>
            <w:r>
              <w:rPr>
                <w:color w:val="0000FF"/>
                <w:sz w:val="20"/>
                <w:szCs w:val="20"/>
              </w:rPr>
              <w:t>of  EUR</w:t>
            </w:r>
            <w:proofErr w:type="gramEnd"/>
            <w:r>
              <w:rPr>
                <w:color w:val="0000FF"/>
                <w:sz w:val="20"/>
                <w:szCs w:val="20"/>
              </w:rPr>
              <w:t xml:space="preserve">___ thousand in the period ended 31 December </w:t>
            </w:r>
            <w:r w:rsidR="008614F8">
              <w:rPr>
                <w:color w:val="0000FF"/>
                <w:sz w:val="20"/>
                <w:szCs w:val="20"/>
              </w:rPr>
              <w:t>2025</w:t>
            </w:r>
            <w:r>
              <w:rPr>
                <w:color w:val="0000FF"/>
                <w:sz w:val="20"/>
                <w:szCs w:val="20"/>
              </w:rPr>
              <w:t>.]</w:t>
            </w:r>
          </w:p>
          <w:p w14:paraId="18101C4E" w14:textId="77777777" w:rsidR="00844C35" w:rsidRDefault="00844C35" w:rsidP="00844C35">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285207DC" w14:textId="640A1CEF" w:rsidR="008E5DE4" w:rsidRDefault="00780368">
            <w:pPr>
              <w:widowControl w:val="0"/>
              <w:spacing w:before="200" w:after="200"/>
              <w:jc w:val="both"/>
              <w:rPr>
                <w:color w:val="000000"/>
                <w:sz w:val="20"/>
                <w:szCs w:val="20"/>
              </w:rPr>
            </w:pPr>
            <w:r>
              <w:rPr>
                <w:color w:val="000000"/>
                <w:sz w:val="20"/>
                <w:szCs w:val="20"/>
              </w:rPr>
              <w:t>The Group used supportable forward</w:t>
            </w:r>
            <w:r w:rsidR="007652E2">
              <w:rPr>
                <w:color w:val="000000"/>
                <w:sz w:val="20"/>
                <w:szCs w:val="20"/>
              </w:rPr>
              <w:t>-</w:t>
            </w:r>
            <w:r>
              <w:rPr>
                <w:color w:val="000000"/>
                <w:sz w:val="20"/>
                <w:szCs w:val="20"/>
              </w:rPr>
              <w:t>looking information for measurement of ECL, primarily an outcome of its own macro-economic forecasting model. The most significant forward</w:t>
            </w:r>
            <w:r w:rsidR="007652E2">
              <w:rPr>
                <w:color w:val="000000"/>
                <w:sz w:val="20"/>
                <w:szCs w:val="20"/>
              </w:rPr>
              <w:t>-</w:t>
            </w:r>
            <w:r>
              <w:rPr>
                <w:color w:val="000000"/>
                <w:sz w:val="20"/>
                <w:szCs w:val="20"/>
              </w:rPr>
              <w:t xml:space="preserve">looking assumptions that correlate with ECL level and their assigned weights were as follows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w:t>
            </w:r>
          </w:p>
          <w:tbl>
            <w:tblPr>
              <w:tblStyle w:val="affff7"/>
              <w:tblW w:w="9355" w:type="dxa"/>
              <w:tblInd w:w="113" w:type="dxa"/>
              <w:tblLayout w:type="fixed"/>
              <w:tblLook w:val="0000" w:firstRow="0" w:lastRow="0" w:firstColumn="0" w:lastColumn="0" w:noHBand="0" w:noVBand="0"/>
            </w:tblPr>
            <w:tblGrid>
              <w:gridCol w:w="2121"/>
              <w:gridCol w:w="1272"/>
              <w:gridCol w:w="875"/>
              <w:gridCol w:w="1017"/>
              <w:gridCol w:w="1018"/>
              <w:gridCol w:w="1017"/>
              <w:gridCol w:w="1017"/>
              <w:gridCol w:w="1018"/>
            </w:tblGrid>
            <w:tr w:rsidR="008E5DE4" w14:paraId="7CE5C373" w14:textId="77777777">
              <w:trPr>
                <w:tblHeader/>
              </w:trPr>
              <w:tc>
                <w:tcPr>
                  <w:tcW w:w="2121" w:type="dxa"/>
                  <w:vAlign w:val="bottom"/>
                </w:tcPr>
                <w:p w14:paraId="6E0452B8" w14:textId="77777777" w:rsidR="008E5DE4" w:rsidRDefault="008E5DE4">
                  <w:pPr>
                    <w:widowControl w:val="0"/>
                    <w:pBdr>
                      <w:top w:val="nil"/>
                      <w:left w:val="nil"/>
                      <w:bottom w:val="nil"/>
                      <w:right w:val="nil"/>
                      <w:between w:val="nil"/>
                    </w:pBdr>
                    <w:ind w:left="113" w:right="-57" w:hanging="113"/>
                    <w:rPr>
                      <w:b/>
                      <w:i/>
                      <w:color w:val="000000"/>
                      <w:sz w:val="16"/>
                      <w:szCs w:val="16"/>
                    </w:rPr>
                  </w:pPr>
                </w:p>
              </w:tc>
              <w:tc>
                <w:tcPr>
                  <w:tcW w:w="1272" w:type="dxa"/>
                </w:tcPr>
                <w:p w14:paraId="36E647D8"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875" w:type="dxa"/>
                  <w:vMerge w:val="restart"/>
                </w:tcPr>
                <w:p w14:paraId="3B5EEBA2" w14:textId="77777777" w:rsidR="008E5DE4" w:rsidRDefault="00780368">
                  <w:pPr>
                    <w:widowControl w:val="0"/>
                    <w:pBdr>
                      <w:top w:val="nil"/>
                      <w:left w:val="nil"/>
                      <w:bottom w:val="nil"/>
                      <w:right w:val="nil"/>
                      <w:between w:val="nil"/>
                    </w:pBdr>
                    <w:ind w:right="57"/>
                    <w:jc w:val="right"/>
                    <w:rPr>
                      <w:b/>
                      <w:color w:val="000000"/>
                      <w:sz w:val="16"/>
                      <w:szCs w:val="16"/>
                    </w:rPr>
                  </w:pPr>
                  <w:r>
                    <w:rPr>
                      <w:b/>
                      <w:color w:val="000000"/>
                      <w:sz w:val="16"/>
                      <w:szCs w:val="16"/>
                    </w:rPr>
                    <w:t>Assi-</w:t>
                  </w:r>
                  <w:proofErr w:type="spellStart"/>
                  <w:r>
                    <w:rPr>
                      <w:b/>
                      <w:color w:val="000000"/>
                      <w:sz w:val="16"/>
                      <w:szCs w:val="16"/>
                    </w:rPr>
                    <w:t>gned</w:t>
                  </w:r>
                  <w:proofErr w:type="spellEnd"/>
                  <w:r>
                    <w:rPr>
                      <w:b/>
                      <w:color w:val="000000"/>
                      <w:sz w:val="16"/>
                      <w:szCs w:val="16"/>
                    </w:rPr>
                    <w:t xml:space="preserve"> weight</w:t>
                  </w:r>
                </w:p>
              </w:tc>
              <w:tc>
                <w:tcPr>
                  <w:tcW w:w="5087" w:type="dxa"/>
                  <w:gridSpan w:val="5"/>
                  <w:tcBorders>
                    <w:bottom w:val="single" w:sz="4" w:space="0" w:color="000000"/>
                  </w:tcBorders>
                </w:tcPr>
                <w:p w14:paraId="4382683D"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Assumption for:</w:t>
                  </w:r>
                </w:p>
              </w:tc>
            </w:tr>
            <w:tr w:rsidR="008E5DE4" w14:paraId="56AEDA83" w14:textId="77777777">
              <w:trPr>
                <w:tblHeader/>
              </w:trPr>
              <w:tc>
                <w:tcPr>
                  <w:tcW w:w="2121" w:type="dxa"/>
                  <w:tcBorders>
                    <w:bottom w:val="single" w:sz="4" w:space="0" w:color="000000"/>
                  </w:tcBorders>
                  <w:vAlign w:val="bottom"/>
                </w:tcPr>
                <w:p w14:paraId="15880412" w14:textId="77777777" w:rsidR="008E5DE4" w:rsidRDefault="00780368">
                  <w:pPr>
                    <w:widowControl w:val="0"/>
                    <w:pBdr>
                      <w:top w:val="nil"/>
                      <w:left w:val="nil"/>
                      <w:bottom w:val="nil"/>
                      <w:right w:val="nil"/>
                      <w:between w:val="nil"/>
                    </w:pBdr>
                    <w:ind w:left="113" w:right="-57" w:hanging="113"/>
                    <w:rPr>
                      <w:b/>
                      <w:i/>
                      <w:color w:val="000000"/>
                      <w:sz w:val="16"/>
                      <w:szCs w:val="16"/>
                    </w:rPr>
                  </w:pPr>
                  <w:r>
                    <w:rPr>
                      <w:b/>
                      <w:i/>
                      <w:color w:val="000000"/>
                      <w:sz w:val="16"/>
                      <w:szCs w:val="16"/>
                    </w:rPr>
                    <w:t>Variable</w:t>
                  </w:r>
                </w:p>
              </w:tc>
              <w:tc>
                <w:tcPr>
                  <w:tcW w:w="1272" w:type="dxa"/>
                  <w:tcBorders>
                    <w:bottom w:val="single" w:sz="4" w:space="0" w:color="000000"/>
                  </w:tcBorders>
                  <w:vAlign w:val="bottom"/>
                </w:tcPr>
                <w:p w14:paraId="1E10F298"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Scenario</w:t>
                  </w:r>
                </w:p>
              </w:tc>
              <w:tc>
                <w:tcPr>
                  <w:tcW w:w="875" w:type="dxa"/>
                  <w:vMerge/>
                </w:tcPr>
                <w:p w14:paraId="0B3772B6" w14:textId="77777777" w:rsidR="008E5DE4" w:rsidRDefault="008E5DE4">
                  <w:pPr>
                    <w:widowControl w:val="0"/>
                    <w:pBdr>
                      <w:top w:val="nil"/>
                      <w:left w:val="nil"/>
                      <w:bottom w:val="nil"/>
                      <w:right w:val="nil"/>
                      <w:between w:val="nil"/>
                    </w:pBdr>
                    <w:spacing w:line="276" w:lineRule="auto"/>
                    <w:rPr>
                      <w:b/>
                      <w:color w:val="000000"/>
                      <w:sz w:val="16"/>
                      <w:szCs w:val="16"/>
                    </w:rPr>
                  </w:pPr>
                </w:p>
              </w:tc>
              <w:tc>
                <w:tcPr>
                  <w:tcW w:w="1017" w:type="dxa"/>
                  <w:tcBorders>
                    <w:top w:val="single" w:sz="4" w:space="0" w:color="000000"/>
                    <w:bottom w:val="single" w:sz="4" w:space="0" w:color="000000"/>
                  </w:tcBorders>
                  <w:vAlign w:val="bottom"/>
                </w:tcPr>
                <w:p w14:paraId="69385A26" w14:textId="6492B5D9"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FC134E">
                    <w:rPr>
                      <w:b/>
                      <w:color w:val="000000"/>
                      <w:sz w:val="16"/>
                      <w:szCs w:val="16"/>
                    </w:rPr>
                    <w:t>6</w:t>
                  </w:r>
                </w:p>
              </w:tc>
              <w:tc>
                <w:tcPr>
                  <w:tcW w:w="1018" w:type="dxa"/>
                  <w:tcBorders>
                    <w:top w:val="single" w:sz="4" w:space="0" w:color="000000"/>
                    <w:bottom w:val="single" w:sz="4" w:space="0" w:color="000000"/>
                  </w:tcBorders>
                  <w:vAlign w:val="bottom"/>
                </w:tcPr>
                <w:p w14:paraId="31E76030" w14:textId="6B5741D6"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FC134E">
                    <w:rPr>
                      <w:b/>
                      <w:color w:val="000000"/>
                      <w:sz w:val="16"/>
                      <w:szCs w:val="16"/>
                    </w:rPr>
                    <w:t>7</w:t>
                  </w:r>
                </w:p>
              </w:tc>
              <w:tc>
                <w:tcPr>
                  <w:tcW w:w="1017" w:type="dxa"/>
                  <w:tcBorders>
                    <w:top w:val="single" w:sz="4" w:space="0" w:color="000000"/>
                    <w:bottom w:val="single" w:sz="4" w:space="0" w:color="000000"/>
                  </w:tcBorders>
                  <w:vAlign w:val="bottom"/>
                </w:tcPr>
                <w:p w14:paraId="1461D8FF" w14:textId="0D85A030"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FC134E">
                    <w:rPr>
                      <w:b/>
                      <w:color w:val="000000"/>
                      <w:sz w:val="16"/>
                      <w:szCs w:val="16"/>
                    </w:rPr>
                    <w:t>8</w:t>
                  </w:r>
                </w:p>
              </w:tc>
              <w:tc>
                <w:tcPr>
                  <w:tcW w:w="1017" w:type="dxa"/>
                  <w:tcBorders>
                    <w:top w:val="single" w:sz="4" w:space="0" w:color="000000"/>
                    <w:bottom w:val="single" w:sz="4" w:space="0" w:color="000000"/>
                  </w:tcBorders>
                  <w:vAlign w:val="bottom"/>
                </w:tcPr>
                <w:p w14:paraId="08CE7406" w14:textId="5A5F0510"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FC134E">
                    <w:rPr>
                      <w:b/>
                      <w:color w:val="000000"/>
                      <w:sz w:val="16"/>
                      <w:szCs w:val="16"/>
                    </w:rPr>
                    <w:t>9</w:t>
                  </w:r>
                </w:p>
              </w:tc>
              <w:tc>
                <w:tcPr>
                  <w:tcW w:w="1018" w:type="dxa"/>
                  <w:tcBorders>
                    <w:top w:val="single" w:sz="4" w:space="0" w:color="000000"/>
                    <w:bottom w:val="single" w:sz="4" w:space="0" w:color="000000"/>
                  </w:tcBorders>
                  <w:vAlign w:val="bottom"/>
                </w:tcPr>
                <w:p w14:paraId="7345C54C" w14:textId="0A32FE63"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w:t>
                  </w:r>
                  <w:r w:rsidR="00FC134E">
                    <w:rPr>
                      <w:b/>
                      <w:color w:val="000000"/>
                      <w:sz w:val="16"/>
                      <w:szCs w:val="16"/>
                    </w:rPr>
                    <w:t>30</w:t>
                  </w:r>
                </w:p>
              </w:tc>
            </w:tr>
            <w:tr w:rsidR="008E5DE4" w14:paraId="297CE33E" w14:textId="77777777">
              <w:tc>
                <w:tcPr>
                  <w:tcW w:w="2121" w:type="dxa"/>
                  <w:tcBorders>
                    <w:top w:val="single" w:sz="4" w:space="0" w:color="000000"/>
                  </w:tcBorders>
                  <w:vAlign w:val="bottom"/>
                </w:tcPr>
                <w:p w14:paraId="0D01AEA2" w14:textId="77777777" w:rsidR="008E5DE4" w:rsidRDefault="008E5DE4">
                  <w:pPr>
                    <w:widowControl w:val="0"/>
                    <w:ind w:left="113" w:right="-57" w:hanging="113"/>
                    <w:rPr>
                      <w:sz w:val="16"/>
                      <w:szCs w:val="16"/>
                    </w:rPr>
                  </w:pPr>
                </w:p>
              </w:tc>
              <w:tc>
                <w:tcPr>
                  <w:tcW w:w="1272" w:type="dxa"/>
                  <w:tcBorders>
                    <w:top w:val="single" w:sz="4" w:space="0" w:color="000000"/>
                  </w:tcBorders>
                </w:tcPr>
                <w:p w14:paraId="14952491" w14:textId="77777777" w:rsidR="008E5DE4" w:rsidRDefault="008E5DE4">
                  <w:pPr>
                    <w:widowControl w:val="0"/>
                    <w:pBdr>
                      <w:top w:val="nil"/>
                      <w:left w:val="nil"/>
                      <w:bottom w:val="nil"/>
                      <w:right w:val="nil"/>
                      <w:between w:val="nil"/>
                    </w:pBdr>
                    <w:rPr>
                      <w:color w:val="000000"/>
                      <w:sz w:val="16"/>
                      <w:szCs w:val="16"/>
                    </w:rPr>
                  </w:pPr>
                </w:p>
              </w:tc>
              <w:tc>
                <w:tcPr>
                  <w:tcW w:w="875" w:type="dxa"/>
                  <w:tcBorders>
                    <w:top w:val="single" w:sz="4" w:space="0" w:color="000000"/>
                  </w:tcBorders>
                  <w:vAlign w:val="bottom"/>
                </w:tcPr>
                <w:p w14:paraId="38A88C7E"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352291FE" w14:textId="77777777" w:rsidR="008E5DE4" w:rsidRDefault="008E5DE4">
                  <w:pPr>
                    <w:widowControl w:val="0"/>
                    <w:pBdr>
                      <w:top w:val="nil"/>
                      <w:left w:val="nil"/>
                      <w:bottom w:val="nil"/>
                      <w:right w:val="nil"/>
                      <w:between w:val="nil"/>
                    </w:pBdr>
                    <w:rPr>
                      <w:color w:val="000000"/>
                      <w:sz w:val="16"/>
                      <w:szCs w:val="16"/>
                    </w:rPr>
                  </w:pPr>
                </w:p>
              </w:tc>
              <w:tc>
                <w:tcPr>
                  <w:tcW w:w="1018" w:type="dxa"/>
                  <w:tcBorders>
                    <w:top w:val="single" w:sz="4" w:space="0" w:color="000000"/>
                  </w:tcBorders>
                  <w:vAlign w:val="bottom"/>
                </w:tcPr>
                <w:p w14:paraId="0A479D69"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786E7A57"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41585A76" w14:textId="77777777" w:rsidR="008E5DE4" w:rsidRDefault="008E5DE4">
                  <w:pPr>
                    <w:widowControl w:val="0"/>
                    <w:pBdr>
                      <w:top w:val="nil"/>
                      <w:left w:val="nil"/>
                      <w:bottom w:val="nil"/>
                      <w:right w:val="nil"/>
                      <w:between w:val="nil"/>
                    </w:pBdr>
                    <w:rPr>
                      <w:color w:val="000000"/>
                      <w:sz w:val="16"/>
                      <w:szCs w:val="16"/>
                    </w:rPr>
                  </w:pPr>
                </w:p>
              </w:tc>
              <w:tc>
                <w:tcPr>
                  <w:tcW w:w="1018" w:type="dxa"/>
                  <w:tcBorders>
                    <w:top w:val="single" w:sz="4" w:space="0" w:color="000000"/>
                  </w:tcBorders>
                  <w:vAlign w:val="bottom"/>
                </w:tcPr>
                <w:p w14:paraId="75932845" w14:textId="77777777" w:rsidR="008E5DE4" w:rsidRDefault="008E5DE4">
                  <w:pPr>
                    <w:widowControl w:val="0"/>
                    <w:pBdr>
                      <w:top w:val="nil"/>
                      <w:left w:val="nil"/>
                      <w:bottom w:val="nil"/>
                      <w:right w:val="nil"/>
                      <w:between w:val="nil"/>
                    </w:pBdr>
                    <w:rPr>
                      <w:color w:val="000000"/>
                      <w:sz w:val="16"/>
                      <w:szCs w:val="16"/>
                    </w:rPr>
                  </w:pPr>
                </w:p>
              </w:tc>
            </w:tr>
            <w:tr w:rsidR="008E5DE4" w14:paraId="69E0A690" w14:textId="77777777">
              <w:tc>
                <w:tcPr>
                  <w:tcW w:w="2121" w:type="dxa"/>
                  <w:vAlign w:val="bottom"/>
                </w:tcPr>
                <w:p w14:paraId="372684E3" w14:textId="77777777" w:rsidR="008E5DE4" w:rsidRDefault="00780368">
                  <w:pPr>
                    <w:widowControl w:val="0"/>
                    <w:ind w:right="-57"/>
                    <w:rPr>
                      <w:b/>
                      <w:color w:val="0000FF"/>
                      <w:sz w:val="16"/>
                      <w:szCs w:val="16"/>
                    </w:rPr>
                  </w:pPr>
                  <w:r>
                    <w:rPr>
                      <w:b/>
                      <w:color w:val="0000FF"/>
                      <w:sz w:val="16"/>
                      <w:szCs w:val="16"/>
                    </w:rPr>
                    <w:t>[Central Bank of [Country] key interest rate]</w:t>
                  </w:r>
                </w:p>
              </w:tc>
              <w:tc>
                <w:tcPr>
                  <w:tcW w:w="1272" w:type="dxa"/>
                </w:tcPr>
                <w:p w14:paraId="5BC4B741"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[Base]</w:t>
                  </w:r>
                </w:p>
              </w:tc>
              <w:tc>
                <w:tcPr>
                  <w:tcW w:w="875" w:type="dxa"/>
                  <w:vAlign w:val="bottom"/>
                </w:tcPr>
                <w:p w14:paraId="24B71AB2"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[60%]</w:t>
                  </w:r>
                </w:p>
              </w:tc>
              <w:tc>
                <w:tcPr>
                  <w:tcW w:w="1017" w:type="dxa"/>
                  <w:vAlign w:val="bottom"/>
                </w:tcPr>
                <w:p w14:paraId="1F87EF97"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CFF2DED"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491AE2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3D395FF"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72DFA1A" w14:textId="77777777" w:rsidR="008E5DE4" w:rsidRDefault="008E5DE4">
                  <w:pPr>
                    <w:widowControl w:val="0"/>
                    <w:pBdr>
                      <w:top w:val="nil"/>
                      <w:left w:val="nil"/>
                      <w:bottom w:val="nil"/>
                      <w:right w:val="nil"/>
                      <w:between w:val="nil"/>
                    </w:pBdr>
                    <w:jc w:val="right"/>
                    <w:rPr>
                      <w:color w:val="000000"/>
                      <w:sz w:val="16"/>
                      <w:szCs w:val="16"/>
                    </w:rPr>
                  </w:pPr>
                </w:p>
              </w:tc>
            </w:tr>
            <w:tr w:rsidR="008E5DE4" w14:paraId="7B5B14D0" w14:textId="77777777">
              <w:tc>
                <w:tcPr>
                  <w:tcW w:w="2121" w:type="dxa"/>
                  <w:vAlign w:val="bottom"/>
                </w:tcPr>
                <w:p w14:paraId="6A62CA76" w14:textId="77777777" w:rsidR="008E5DE4" w:rsidRDefault="008E5DE4">
                  <w:pPr>
                    <w:widowControl w:val="0"/>
                    <w:ind w:left="113" w:right="-57" w:hanging="113"/>
                    <w:rPr>
                      <w:color w:val="0000FF"/>
                      <w:sz w:val="16"/>
                      <w:szCs w:val="16"/>
                    </w:rPr>
                  </w:pPr>
                </w:p>
              </w:tc>
              <w:tc>
                <w:tcPr>
                  <w:tcW w:w="1272" w:type="dxa"/>
                </w:tcPr>
                <w:p w14:paraId="6AFDFD23"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[Upside]</w:t>
                  </w:r>
                </w:p>
              </w:tc>
              <w:tc>
                <w:tcPr>
                  <w:tcW w:w="875" w:type="dxa"/>
                  <w:vAlign w:val="bottom"/>
                </w:tcPr>
                <w:p w14:paraId="2CE5139D"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[10%]</w:t>
                  </w:r>
                </w:p>
              </w:tc>
              <w:tc>
                <w:tcPr>
                  <w:tcW w:w="1017" w:type="dxa"/>
                  <w:vAlign w:val="bottom"/>
                </w:tcPr>
                <w:p w14:paraId="6B2E3717"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7044B0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ABEB46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11B354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BD87DB3" w14:textId="77777777" w:rsidR="008E5DE4" w:rsidRDefault="008E5DE4">
                  <w:pPr>
                    <w:widowControl w:val="0"/>
                    <w:pBdr>
                      <w:top w:val="nil"/>
                      <w:left w:val="nil"/>
                      <w:bottom w:val="nil"/>
                      <w:right w:val="nil"/>
                      <w:between w:val="nil"/>
                    </w:pBdr>
                    <w:jc w:val="right"/>
                    <w:rPr>
                      <w:color w:val="000000"/>
                      <w:sz w:val="16"/>
                      <w:szCs w:val="16"/>
                    </w:rPr>
                  </w:pPr>
                </w:p>
              </w:tc>
            </w:tr>
            <w:tr w:rsidR="008E5DE4" w14:paraId="48AD63B9" w14:textId="77777777">
              <w:tc>
                <w:tcPr>
                  <w:tcW w:w="2121" w:type="dxa"/>
                  <w:vAlign w:val="bottom"/>
                </w:tcPr>
                <w:p w14:paraId="703A7921" w14:textId="77777777" w:rsidR="008E5DE4" w:rsidRDefault="008E5DE4">
                  <w:pPr>
                    <w:widowControl w:val="0"/>
                    <w:ind w:left="113" w:right="-57" w:hanging="113"/>
                    <w:rPr>
                      <w:color w:val="0000FF"/>
                      <w:sz w:val="16"/>
                      <w:szCs w:val="16"/>
                    </w:rPr>
                  </w:pPr>
                </w:p>
              </w:tc>
              <w:tc>
                <w:tcPr>
                  <w:tcW w:w="1272" w:type="dxa"/>
                </w:tcPr>
                <w:p w14:paraId="0E45D3B6"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[Downside 1]</w:t>
                  </w:r>
                </w:p>
              </w:tc>
              <w:tc>
                <w:tcPr>
                  <w:tcW w:w="875" w:type="dxa"/>
                  <w:vAlign w:val="bottom"/>
                </w:tcPr>
                <w:p w14:paraId="27D7B62D"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[20%]</w:t>
                  </w:r>
                </w:p>
              </w:tc>
              <w:tc>
                <w:tcPr>
                  <w:tcW w:w="1017" w:type="dxa"/>
                  <w:vAlign w:val="bottom"/>
                </w:tcPr>
                <w:p w14:paraId="197493A6"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850FCB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5FC58F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CEDDD0F"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C4686C7" w14:textId="77777777" w:rsidR="008E5DE4" w:rsidRDefault="008E5DE4">
                  <w:pPr>
                    <w:widowControl w:val="0"/>
                    <w:pBdr>
                      <w:top w:val="nil"/>
                      <w:left w:val="nil"/>
                      <w:bottom w:val="nil"/>
                      <w:right w:val="nil"/>
                      <w:between w:val="nil"/>
                    </w:pBdr>
                    <w:jc w:val="right"/>
                    <w:rPr>
                      <w:color w:val="000000"/>
                      <w:sz w:val="16"/>
                      <w:szCs w:val="16"/>
                    </w:rPr>
                  </w:pPr>
                </w:p>
              </w:tc>
            </w:tr>
            <w:tr w:rsidR="008E5DE4" w14:paraId="1123C422" w14:textId="77777777">
              <w:tc>
                <w:tcPr>
                  <w:tcW w:w="2121" w:type="dxa"/>
                  <w:vAlign w:val="bottom"/>
                </w:tcPr>
                <w:p w14:paraId="3ED78B78" w14:textId="77777777" w:rsidR="008E5DE4" w:rsidRDefault="008E5DE4">
                  <w:pPr>
                    <w:widowControl w:val="0"/>
                    <w:ind w:left="113" w:right="-57" w:hanging="113"/>
                    <w:rPr>
                      <w:color w:val="0000FF"/>
                      <w:sz w:val="16"/>
                      <w:szCs w:val="16"/>
                    </w:rPr>
                  </w:pPr>
                </w:p>
              </w:tc>
              <w:tc>
                <w:tcPr>
                  <w:tcW w:w="1272" w:type="dxa"/>
                </w:tcPr>
                <w:p w14:paraId="6E0E5D92"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[Downside 2]</w:t>
                  </w:r>
                </w:p>
              </w:tc>
              <w:tc>
                <w:tcPr>
                  <w:tcW w:w="875" w:type="dxa"/>
                  <w:vAlign w:val="bottom"/>
                </w:tcPr>
                <w:p w14:paraId="3828A838"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[10%]</w:t>
                  </w:r>
                </w:p>
              </w:tc>
              <w:tc>
                <w:tcPr>
                  <w:tcW w:w="1017" w:type="dxa"/>
                  <w:vAlign w:val="bottom"/>
                </w:tcPr>
                <w:p w14:paraId="0ACA41B1"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C46D282"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406895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9CF865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96209EF" w14:textId="77777777" w:rsidR="008E5DE4" w:rsidRDefault="008E5DE4">
                  <w:pPr>
                    <w:widowControl w:val="0"/>
                    <w:pBdr>
                      <w:top w:val="nil"/>
                      <w:left w:val="nil"/>
                      <w:bottom w:val="nil"/>
                      <w:right w:val="nil"/>
                      <w:between w:val="nil"/>
                    </w:pBdr>
                    <w:jc w:val="right"/>
                    <w:rPr>
                      <w:color w:val="000000"/>
                      <w:sz w:val="16"/>
                      <w:szCs w:val="16"/>
                    </w:rPr>
                  </w:pPr>
                </w:p>
              </w:tc>
            </w:tr>
            <w:tr w:rsidR="008E5DE4" w14:paraId="66EE3A78" w14:textId="77777777">
              <w:tc>
                <w:tcPr>
                  <w:tcW w:w="2121" w:type="dxa"/>
                  <w:vAlign w:val="bottom"/>
                </w:tcPr>
                <w:p w14:paraId="24280992" w14:textId="77777777" w:rsidR="008E5DE4" w:rsidRDefault="008E5DE4">
                  <w:pPr>
                    <w:widowControl w:val="0"/>
                    <w:ind w:left="113" w:right="-57" w:hanging="113"/>
                    <w:rPr>
                      <w:color w:val="0000FF"/>
                      <w:sz w:val="16"/>
                      <w:szCs w:val="16"/>
                    </w:rPr>
                  </w:pPr>
                </w:p>
              </w:tc>
              <w:tc>
                <w:tcPr>
                  <w:tcW w:w="1272" w:type="dxa"/>
                </w:tcPr>
                <w:p w14:paraId="2F03E8E0"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4409B41D"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434F951A"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5F17D4BE"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3049761C"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0D44D808"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252065CD" w14:textId="77777777" w:rsidR="008E5DE4" w:rsidRDefault="008E5DE4">
                  <w:pPr>
                    <w:widowControl w:val="0"/>
                    <w:pBdr>
                      <w:top w:val="nil"/>
                      <w:left w:val="nil"/>
                      <w:bottom w:val="nil"/>
                      <w:right w:val="nil"/>
                      <w:between w:val="nil"/>
                    </w:pBdr>
                    <w:rPr>
                      <w:color w:val="000000"/>
                      <w:sz w:val="16"/>
                      <w:szCs w:val="16"/>
                    </w:rPr>
                  </w:pPr>
                </w:p>
              </w:tc>
            </w:tr>
            <w:tr w:rsidR="008E5DE4" w14:paraId="046EB8ED" w14:textId="77777777">
              <w:tc>
                <w:tcPr>
                  <w:tcW w:w="2121" w:type="dxa"/>
                  <w:vAlign w:val="bottom"/>
                </w:tcPr>
                <w:p w14:paraId="5C45F4FE" w14:textId="77777777" w:rsidR="008E5DE4" w:rsidRDefault="00780368">
                  <w:pPr>
                    <w:widowControl w:val="0"/>
                    <w:ind w:right="-57"/>
                    <w:rPr>
                      <w:b/>
                      <w:color w:val="0000FF"/>
                      <w:sz w:val="16"/>
                      <w:szCs w:val="16"/>
                    </w:rPr>
                  </w:pPr>
                  <w:r>
                    <w:rPr>
                      <w:b/>
                      <w:color w:val="0000FF"/>
                      <w:sz w:val="16"/>
                      <w:szCs w:val="16"/>
                    </w:rPr>
                    <w:t>[Unemployment rate]</w:t>
                  </w:r>
                </w:p>
              </w:tc>
              <w:tc>
                <w:tcPr>
                  <w:tcW w:w="1272" w:type="dxa"/>
                </w:tcPr>
                <w:p w14:paraId="02D4A798"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332E143D"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09CB2D7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29C461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03A8121"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F78AA79"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330DBD9" w14:textId="77777777" w:rsidR="008E5DE4" w:rsidRDefault="008E5DE4">
                  <w:pPr>
                    <w:widowControl w:val="0"/>
                    <w:pBdr>
                      <w:top w:val="nil"/>
                      <w:left w:val="nil"/>
                      <w:bottom w:val="nil"/>
                      <w:right w:val="nil"/>
                      <w:between w:val="nil"/>
                    </w:pBdr>
                    <w:jc w:val="right"/>
                    <w:rPr>
                      <w:color w:val="000000"/>
                      <w:sz w:val="16"/>
                      <w:szCs w:val="16"/>
                    </w:rPr>
                  </w:pPr>
                </w:p>
              </w:tc>
            </w:tr>
            <w:tr w:rsidR="008E5DE4" w14:paraId="7E877440" w14:textId="77777777">
              <w:tc>
                <w:tcPr>
                  <w:tcW w:w="2121" w:type="dxa"/>
                  <w:vAlign w:val="bottom"/>
                </w:tcPr>
                <w:p w14:paraId="26B90C35" w14:textId="77777777" w:rsidR="008E5DE4" w:rsidRDefault="008E5DE4">
                  <w:pPr>
                    <w:widowControl w:val="0"/>
                    <w:ind w:left="113" w:right="-57" w:hanging="113"/>
                    <w:rPr>
                      <w:color w:val="0000FF"/>
                      <w:sz w:val="16"/>
                      <w:szCs w:val="16"/>
                    </w:rPr>
                  </w:pPr>
                </w:p>
              </w:tc>
              <w:tc>
                <w:tcPr>
                  <w:tcW w:w="1272" w:type="dxa"/>
                </w:tcPr>
                <w:p w14:paraId="241608E4"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7C5FCD88"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025CD38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E2BC0A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F8B9680"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9197B54"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19CFC4B" w14:textId="77777777" w:rsidR="008E5DE4" w:rsidRDefault="008E5DE4">
                  <w:pPr>
                    <w:widowControl w:val="0"/>
                    <w:pBdr>
                      <w:top w:val="nil"/>
                      <w:left w:val="nil"/>
                      <w:bottom w:val="nil"/>
                      <w:right w:val="nil"/>
                      <w:between w:val="nil"/>
                    </w:pBdr>
                    <w:jc w:val="right"/>
                    <w:rPr>
                      <w:color w:val="000000"/>
                      <w:sz w:val="16"/>
                      <w:szCs w:val="16"/>
                    </w:rPr>
                  </w:pPr>
                </w:p>
              </w:tc>
            </w:tr>
            <w:tr w:rsidR="008E5DE4" w14:paraId="1E7F845F" w14:textId="77777777">
              <w:tc>
                <w:tcPr>
                  <w:tcW w:w="2121" w:type="dxa"/>
                  <w:vAlign w:val="bottom"/>
                </w:tcPr>
                <w:p w14:paraId="2D83C57F" w14:textId="77777777" w:rsidR="008E5DE4" w:rsidRDefault="008E5DE4">
                  <w:pPr>
                    <w:widowControl w:val="0"/>
                    <w:ind w:left="113" w:right="-57" w:hanging="113"/>
                    <w:rPr>
                      <w:color w:val="0000FF"/>
                      <w:sz w:val="16"/>
                      <w:szCs w:val="16"/>
                    </w:rPr>
                  </w:pPr>
                </w:p>
              </w:tc>
              <w:tc>
                <w:tcPr>
                  <w:tcW w:w="1272" w:type="dxa"/>
                </w:tcPr>
                <w:p w14:paraId="333C5D19"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2DCC5842"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13629D1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9314F46"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3BB1B0F"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C09ADC5"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A5C358F" w14:textId="77777777" w:rsidR="008E5DE4" w:rsidRDefault="008E5DE4">
                  <w:pPr>
                    <w:widowControl w:val="0"/>
                    <w:pBdr>
                      <w:top w:val="nil"/>
                      <w:left w:val="nil"/>
                      <w:bottom w:val="nil"/>
                      <w:right w:val="nil"/>
                      <w:between w:val="nil"/>
                    </w:pBdr>
                    <w:jc w:val="right"/>
                    <w:rPr>
                      <w:color w:val="000000"/>
                      <w:sz w:val="16"/>
                      <w:szCs w:val="16"/>
                    </w:rPr>
                  </w:pPr>
                </w:p>
              </w:tc>
            </w:tr>
            <w:tr w:rsidR="008E5DE4" w14:paraId="7A24CF20" w14:textId="77777777">
              <w:tc>
                <w:tcPr>
                  <w:tcW w:w="2121" w:type="dxa"/>
                  <w:vAlign w:val="bottom"/>
                </w:tcPr>
                <w:p w14:paraId="1D05E6B0" w14:textId="77777777" w:rsidR="008E5DE4" w:rsidRDefault="008E5DE4">
                  <w:pPr>
                    <w:widowControl w:val="0"/>
                    <w:ind w:left="113" w:right="-57" w:hanging="113"/>
                    <w:rPr>
                      <w:color w:val="0000FF"/>
                      <w:sz w:val="16"/>
                      <w:szCs w:val="16"/>
                    </w:rPr>
                  </w:pPr>
                </w:p>
              </w:tc>
              <w:tc>
                <w:tcPr>
                  <w:tcW w:w="1272" w:type="dxa"/>
                </w:tcPr>
                <w:p w14:paraId="066FADEE"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05703B96"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3DAA9ED7"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59C8488"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0953AD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7FFE184"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E7B4578" w14:textId="77777777" w:rsidR="008E5DE4" w:rsidRDefault="008E5DE4">
                  <w:pPr>
                    <w:widowControl w:val="0"/>
                    <w:pBdr>
                      <w:top w:val="nil"/>
                      <w:left w:val="nil"/>
                      <w:bottom w:val="nil"/>
                      <w:right w:val="nil"/>
                      <w:between w:val="nil"/>
                    </w:pBdr>
                    <w:jc w:val="right"/>
                    <w:rPr>
                      <w:color w:val="000000"/>
                      <w:sz w:val="16"/>
                      <w:szCs w:val="16"/>
                    </w:rPr>
                  </w:pPr>
                </w:p>
              </w:tc>
            </w:tr>
            <w:tr w:rsidR="008E5DE4" w14:paraId="6565164D" w14:textId="77777777">
              <w:tc>
                <w:tcPr>
                  <w:tcW w:w="2121" w:type="dxa"/>
                  <w:vAlign w:val="bottom"/>
                </w:tcPr>
                <w:p w14:paraId="712B0A37" w14:textId="77777777" w:rsidR="008E5DE4" w:rsidRDefault="008E5DE4">
                  <w:pPr>
                    <w:widowControl w:val="0"/>
                    <w:ind w:left="113" w:right="-57" w:hanging="113"/>
                    <w:rPr>
                      <w:color w:val="0000FF"/>
                      <w:sz w:val="16"/>
                      <w:szCs w:val="16"/>
                    </w:rPr>
                  </w:pPr>
                </w:p>
              </w:tc>
              <w:tc>
                <w:tcPr>
                  <w:tcW w:w="1272" w:type="dxa"/>
                </w:tcPr>
                <w:p w14:paraId="1B33C91C"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2CB6E4A8"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7F6EBE52"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56883FF5"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440A70B2"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5F923C92"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082A9A10" w14:textId="77777777" w:rsidR="008E5DE4" w:rsidRDefault="008E5DE4">
                  <w:pPr>
                    <w:widowControl w:val="0"/>
                    <w:pBdr>
                      <w:top w:val="nil"/>
                      <w:left w:val="nil"/>
                      <w:bottom w:val="nil"/>
                      <w:right w:val="nil"/>
                      <w:between w:val="nil"/>
                    </w:pBdr>
                    <w:rPr>
                      <w:color w:val="000000"/>
                      <w:sz w:val="16"/>
                      <w:szCs w:val="16"/>
                    </w:rPr>
                  </w:pPr>
                </w:p>
              </w:tc>
            </w:tr>
            <w:tr w:rsidR="008E5DE4" w14:paraId="1DDBB437" w14:textId="77777777">
              <w:tc>
                <w:tcPr>
                  <w:tcW w:w="2121" w:type="dxa"/>
                  <w:vAlign w:val="bottom"/>
                </w:tcPr>
                <w:p w14:paraId="7215748B" w14:textId="77777777" w:rsidR="008E5DE4" w:rsidRDefault="00780368">
                  <w:pPr>
                    <w:widowControl w:val="0"/>
                    <w:ind w:right="-57"/>
                    <w:rPr>
                      <w:b/>
                      <w:color w:val="0000FF"/>
                      <w:sz w:val="16"/>
                      <w:szCs w:val="16"/>
                    </w:rPr>
                  </w:pPr>
                  <w:r>
                    <w:rPr>
                      <w:b/>
                      <w:color w:val="0000FF"/>
                      <w:sz w:val="16"/>
                      <w:szCs w:val="16"/>
                    </w:rPr>
                    <w:t>[GDP Growth rate]</w:t>
                  </w:r>
                </w:p>
              </w:tc>
              <w:tc>
                <w:tcPr>
                  <w:tcW w:w="1272" w:type="dxa"/>
                </w:tcPr>
                <w:p w14:paraId="3C24D9E7"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6CC851DA"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5BF8F75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9362BE8"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E3F58E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F43101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ACDA264" w14:textId="77777777" w:rsidR="008E5DE4" w:rsidRDefault="008E5DE4">
                  <w:pPr>
                    <w:widowControl w:val="0"/>
                    <w:pBdr>
                      <w:top w:val="nil"/>
                      <w:left w:val="nil"/>
                      <w:bottom w:val="nil"/>
                      <w:right w:val="nil"/>
                      <w:between w:val="nil"/>
                    </w:pBdr>
                    <w:jc w:val="right"/>
                    <w:rPr>
                      <w:color w:val="000000"/>
                      <w:sz w:val="16"/>
                      <w:szCs w:val="16"/>
                    </w:rPr>
                  </w:pPr>
                </w:p>
              </w:tc>
            </w:tr>
            <w:tr w:rsidR="008E5DE4" w14:paraId="7EA199D3" w14:textId="77777777">
              <w:tc>
                <w:tcPr>
                  <w:tcW w:w="2121" w:type="dxa"/>
                  <w:vAlign w:val="bottom"/>
                </w:tcPr>
                <w:p w14:paraId="109D6C50" w14:textId="77777777" w:rsidR="008E5DE4" w:rsidRDefault="008E5DE4">
                  <w:pPr>
                    <w:widowControl w:val="0"/>
                    <w:ind w:left="113" w:right="-57" w:hanging="113"/>
                    <w:rPr>
                      <w:color w:val="0000FF"/>
                      <w:sz w:val="16"/>
                      <w:szCs w:val="16"/>
                    </w:rPr>
                  </w:pPr>
                </w:p>
              </w:tc>
              <w:tc>
                <w:tcPr>
                  <w:tcW w:w="1272" w:type="dxa"/>
                </w:tcPr>
                <w:p w14:paraId="0250F3BC"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76A32F63"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6D5DDCB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4E9D4C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9942D28"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4953C16"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C2EE8B2" w14:textId="77777777" w:rsidR="008E5DE4" w:rsidRDefault="008E5DE4">
                  <w:pPr>
                    <w:widowControl w:val="0"/>
                    <w:pBdr>
                      <w:top w:val="nil"/>
                      <w:left w:val="nil"/>
                      <w:bottom w:val="nil"/>
                      <w:right w:val="nil"/>
                      <w:between w:val="nil"/>
                    </w:pBdr>
                    <w:jc w:val="right"/>
                    <w:rPr>
                      <w:color w:val="000000"/>
                      <w:sz w:val="16"/>
                      <w:szCs w:val="16"/>
                    </w:rPr>
                  </w:pPr>
                </w:p>
              </w:tc>
            </w:tr>
            <w:tr w:rsidR="008E5DE4" w14:paraId="78EBD255" w14:textId="77777777">
              <w:tc>
                <w:tcPr>
                  <w:tcW w:w="2121" w:type="dxa"/>
                  <w:vAlign w:val="bottom"/>
                </w:tcPr>
                <w:p w14:paraId="18973774" w14:textId="77777777" w:rsidR="008E5DE4" w:rsidRDefault="008E5DE4">
                  <w:pPr>
                    <w:widowControl w:val="0"/>
                    <w:ind w:left="113" w:right="-57" w:hanging="113"/>
                    <w:rPr>
                      <w:color w:val="0000FF"/>
                      <w:sz w:val="16"/>
                      <w:szCs w:val="16"/>
                    </w:rPr>
                  </w:pPr>
                </w:p>
              </w:tc>
              <w:tc>
                <w:tcPr>
                  <w:tcW w:w="1272" w:type="dxa"/>
                </w:tcPr>
                <w:p w14:paraId="7C372418"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6A70AD71"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7FBACAA6"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BFD3326"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BA0018F"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468B31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FABB280" w14:textId="77777777" w:rsidR="008E5DE4" w:rsidRDefault="008E5DE4">
                  <w:pPr>
                    <w:widowControl w:val="0"/>
                    <w:pBdr>
                      <w:top w:val="nil"/>
                      <w:left w:val="nil"/>
                      <w:bottom w:val="nil"/>
                      <w:right w:val="nil"/>
                      <w:between w:val="nil"/>
                    </w:pBdr>
                    <w:jc w:val="right"/>
                    <w:rPr>
                      <w:color w:val="000000"/>
                      <w:sz w:val="16"/>
                      <w:szCs w:val="16"/>
                    </w:rPr>
                  </w:pPr>
                </w:p>
              </w:tc>
            </w:tr>
            <w:tr w:rsidR="008E5DE4" w14:paraId="51491E7D" w14:textId="77777777">
              <w:tc>
                <w:tcPr>
                  <w:tcW w:w="2121" w:type="dxa"/>
                  <w:vAlign w:val="bottom"/>
                </w:tcPr>
                <w:p w14:paraId="09F0EE35" w14:textId="77777777" w:rsidR="008E5DE4" w:rsidRDefault="008E5DE4">
                  <w:pPr>
                    <w:widowControl w:val="0"/>
                    <w:ind w:left="113" w:right="-57" w:hanging="113"/>
                    <w:rPr>
                      <w:color w:val="0000FF"/>
                      <w:sz w:val="16"/>
                      <w:szCs w:val="16"/>
                    </w:rPr>
                  </w:pPr>
                </w:p>
              </w:tc>
              <w:tc>
                <w:tcPr>
                  <w:tcW w:w="1272" w:type="dxa"/>
                </w:tcPr>
                <w:p w14:paraId="7AEF2D4F"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44AA2988"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4F082DB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7CF4B4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687D5A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41C7955"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367698D" w14:textId="77777777" w:rsidR="008E5DE4" w:rsidRDefault="008E5DE4">
                  <w:pPr>
                    <w:widowControl w:val="0"/>
                    <w:pBdr>
                      <w:top w:val="nil"/>
                      <w:left w:val="nil"/>
                      <w:bottom w:val="nil"/>
                      <w:right w:val="nil"/>
                      <w:between w:val="nil"/>
                    </w:pBdr>
                    <w:jc w:val="right"/>
                    <w:rPr>
                      <w:color w:val="000000"/>
                      <w:sz w:val="16"/>
                      <w:szCs w:val="16"/>
                    </w:rPr>
                  </w:pPr>
                </w:p>
              </w:tc>
            </w:tr>
            <w:tr w:rsidR="008E5DE4" w14:paraId="62C6653E" w14:textId="77777777">
              <w:tc>
                <w:tcPr>
                  <w:tcW w:w="2121" w:type="dxa"/>
                  <w:vAlign w:val="bottom"/>
                </w:tcPr>
                <w:p w14:paraId="7D237A32" w14:textId="77777777" w:rsidR="008E5DE4" w:rsidRDefault="008E5DE4">
                  <w:pPr>
                    <w:widowControl w:val="0"/>
                    <w:ind w:left="113" w:right="-57" w:hanging="113"/>
                    <w:rPr>
                      <w:color w:val="0000FF"/>
                      <w:sz w:val="16"/>
                      <w:szCs w:val="16"/>
                    </w:rPr>
                  </w:pPr>
                </w:p>
              </w:tc>
              <w:tc>
                <w:tcPr>
                  <w:tcW w:w="1272" w:type="dxa"/>
                </w:tcPr>
                <w:p w14:paraId="5513D9BB"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7594C7A7"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67BC4102"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3C16E6EF"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55A6264E"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6218631D"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5C9F3523" w14:textId="77777777" w:rsidR="008E5DE4" w:rsidRDefault="008E5DE4">
                  <w:pPr>
                    <w:widowControl w:val="0"/>
                    <w:pBdr>
                      <w:top w:val="nil"/>
                      <w:left w:val="nil"/>
                      <w:bottom w:val="nil"/>
                      <w:right w:val="nil"/>
                      <w:between w:val="nil"/>
                    </w:pBdr>
                    <w:rPr>
                      <w:color w:val="000000"/>
                      <w:sz w:val="16"/>
                      <w:szCs w:val="16"/>
                    </w:rPr>
                  </w:pPr>
                </w:p>
              </w:tc>
            </w:tr>
            <w:tr w:rsidR="008E5DE4" w14:paraId="01508D44" w14:textId="77777777">
              <w:tc>
                <w:tcPr>
                  <w:tcW w:w="2121" w:type="dxa"/>
                  <w:vAlign w:val="bottom"/>
                </w:tcPr>
                <w:p w14:paraId="7026DA15" w14:textId="77777777" w:rsidR="008E5DE4" w:rsidRDefault="00780368">
                  <w:pPr>
                    <w:widowControl w:val="0"/>
                    <w:ind w:right="-57"/>
                    <w:rPr>
                      <w:b/>
                      <w:color w:val="0000FF"/>
                      <w:sz w:val="16"/>
                      <w:szCs w:val="16"/>
                    </w:rPr>
                  </w:pPr>
                  <w:r>
                    <w:rPr>
                      <w:b/>
                      <w:color w:val="0000FF"/>
                      <w:sz w:val="16"/>
                      <w:szCs w:val="16"/>
                    </w:rPr>
                    <w:t>[House price index]</w:t>
                  </w:r>
                </w:p>
              </w:tc>
              <w:tc>
                <w:tcPr>
                  <w:tcW w:w="1272" w:type="dxa"/>
                </w:tcPr>
                <w:p w14:paraId="1D893A50"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348ECB15"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6511AB0F"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1DC54C2"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CAC8F6A"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3068F93"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DBEF1D6" w14:textId="77777777" w:rsidR="008E5DE4" w:rsidRDefault="008E5DE4">
                  <w:pPr>
                    <w:widowControl w:val="0"/>
                    <w:pBdr>
                      <w:top w:val="nil"/>
                      <w:left w:val="nil"/>
                      <w:bottom w:val="nil"/>
                      <w:right w:val="nil"/>
                      <w:between w:val="nil"/>
                    </w:pBdr>
                    <w:jc w:val="right"/>
                    <w:rPr>
                      <w:color w:val="000000"/>
                      <w:sz w:val="16"/>
                      <w:szCs w:val="16"/>
                    </w:rPr>
                  </w:pPr>
                </w:p>
              </w:tc>
            </w:tr>
            <w:tr w:rsidR="008E5DE4" w14:paraId="5B13C849" w14:textId="77777777">
              <w:tc>
                <w:tcPr>
                  <w:tcW w:w="2121" w:type="dxa"/>
                  <w:vAlign w:val="bottom"/>
                </w:tcPr>
                <w:p w14:paraId="0A481A1C" w14:textId="77777777" w:rsidR="008E5DE4" w:rsidRDefault="008E5DE4">
                  <w:pPr>
                    <w:widowControl w:val="0"/>
                    <w:ind w:left="113" w:right="-57" w:hanging="113"/>
                    <w:rPr>
                      <w:sz w:val="16"/>
                      <w:szCs w:val="16"/>
                    </w:rPr>
                  </w:pPr>
                </w:p>
              </w:tc>
              <w:tc>
                <w:tcPr>
                  <w:tcW w:w="1272" w:type="dxa"/>
                </w:tcPr>
                <w:p w14:paraId="0B1E64B1"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280981FA"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0FCC2156"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527A358"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CB2208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8979E8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BAA3082" w14:textId="77777777" w:rsidR="008E5DE4" w:rsidRDefault="008E5DE4">
                  <w:pPr>
                    <w:widowControl w:val="0"/>
                    <w:pBdr>
                      <w:top w:val="nil"/>
                      <w:left w:val="nil"/>
                      <w:bottom w:val="nil"/>
                      <w:right w:val="nil"/>
                      <w:between w:val="nil"/>
                    </w:pBdr>
                    <w:jc w:val="right"/>
                    <w:rPr>
                      <w:color w:val="000000"/>
                      <w:sz w:val="16"/>
                      <w:szCs w:val="16"/>
                    </w:rPr>
                  </w:pPr>
                </w:p>
              </w:tc>
            </w:tr>
            <w:tr w:rsidR="008E5DE4" w14:paraId="772DFE6B" w14:textId="77777777">
              <w:tc>
                <w:tcPr>
                  <w:tcW w:w="2121" w:type="dxa"/>
                  <w:vAlign w:val="bottom"/>
                </w:tcPr>
                <w:p w14:paraId="20F7894A" w14:textId="77777777" w:rsidR="008E5DE4" w:rsidRDefault="008E5DE4">
                  <w:pPr>
                    <w:widowControl w:val="0"/>
                    <w:ind w:left="113" w:right="-57" w:hanging="113"/>
                    <w:rPr>
                      <w:sz w:val="16"/>
                      <w:szCs w:val="16"/>
                    </w:rPr>
                  </w:pPr>
                </w:p>
              </w:tc>
              <w:tc>
                <w:tcPr>
                  <w:tcW w:w="1272" w:type="dxa"/>
                </w:tcPr>
                <w:p w14:paraId="535A9D85"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5659D5A6"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4F663571"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F1D1EB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B305D8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981A27E"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D43A56D" w14:textId="77777777" w:rsidR="008E5DE4" w:rsidRDefault="008E5DE4">
                  <w:pPr>
                    <w:widowControl w:val="0"/>
                    <w:pBdr>
                      <w:top w:val="nil"/>
                      <w:left w:val="nil"/>
                      <w:bottom w:val="nil"/>
                      <w:right w:val="nil"/>
                      <w:between w:val="nil"/>
                    </w:pBdr>
                    <w:jc w:val="right"/>
                    <w:rPr>
                      <w:color w:val="000000"/>
                      <w:sz w:val="16"/>
                      <w:szCs w:val="16"/>
                    </w:rPr>
                  </w:pPr>
                </w:p>
              </w:tc>
            </w:tr>
            <w:tr w:rsidR="008E5DE4" w14:paraId="732289C7" w14:textId="77777777">
              <w:tc>
                <w:tcPr>
                  <w:tcW w:w="2121" w:type="dxa"/>
                  <w:vAlign w:val="bottom"/>
                </w:tcPr>
                <w:p w14:paraId="3A863513" w14:textId="77777777" w:rsidR="008E5DE4" w:rsidRDefault="008E5DE4">
                  <w:pPr>
                    <w:widowControl w:val="0"/>
                    <w:ind w:left="113" w:right="-57" w:hanging="113"/>
                    <w:rPr>
                      <w:sz w:val="16"/>
                      <w:szCs w:val="16"/>
                    </w:rPr>
                  </w:pPr>
                </w:p>
              </w:tc>
              <w:tc>
                <w:tcPr>
                  <w:tcW w:w="1272" w:type="dxa"/>
                </w:tcPr>
                <w:p w14:paraId="49AEEA73"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566521BB"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00CBE89E"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9A7952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D126D10"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6EEC701"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1555ECB" w14:textId="77777777" w:rsidR="008E5DE4" w:rsidRDefault="008E5DE4">
                  <w:pPr>
                    <w:widowControl w:val="0"/>
                    <w:pBdr>
                      <w:top w:val="nil"/>
                      <w:left w:val="nil"/>
                      <w:bottom w:val="nil"/>
                      <w:right w:val="nil"/>
                      <w:between w:val="nil"/>
                    </w:pBdr>
                    <w:jc w:val="right"/>
                    <w:rPr>
                      <w:color w:val="000000"/>
                      <w:sz w:val="16"/>
                      <w:szCs w:val="16"/>
                    </w:rPr>
                  </w:pPr>
                </w:p>
              </w:tc>
            </w:tr>
            <w:tr w:rsidR="008E5DE4" w14:paraId="799F38BA" w14:textId="77777777">
              <w:tc>
                <w:tcPr>
                  <w:tcW w:w="2121" w:type="dxa"/>
                  <w:tcBorders>
                    <w:bottom w:val="single" w:sz="12" w:space="0" w:color="000000"/>
                  </w:tcBorders>
                  <w:vAlign w:val="bottom"/>
                </w:tcPr>
                <w:p w14:paraId="0F0C9733" w14:textId="77777777" w:rsidR="008E5DE4" w:rsidRDefault="008E5DE4">
                  <w:pPr>
                    <w:widowControl w:val="0"/>
                    <w:ind w:left="113" w:right="-57" w:hanging="113"/>
                    <w:rPr>
                      <w:sz w:val="16"/>
                      <w:szCs w:val="16"/>
                    </w:rPr>
                  </w:pPr>
                </w:p>
              </w:tc>
              <w:tc>
                <w:tcPr>
                  <w:tcW w:w="1272" w:type="dxa"/>
                  <w:tcBorders>
                    <w:bottom w:val="single" w:sz="12" w:space="0" w:color="000000"/>
                  </w:tcBorders>
                </w:tcPr>
                <w:p w14:paraId="71113566" w14:textId="77777777" w:rsidR="008E5DE4" w:rsidRDefault="008E5DE4">
                  <w:pPr>
                    <w:widowControl w:val="0"/>
                    <w:pBdr>
                      <w:top w:val="nil"/>
                      <w:left w:val="nil"/>
                      <w:bottom w:val="nil"/>
                      <w:right w:val="nil"/>
                      <w:between w:val="nil"/>
                    </w:pBdr>
                    <w:rPr>
                      <w:color w:val="000000"/>
                      <w:sz w:val="16"/>
                      <w:szCs w:val="16"/>
                    </w:rPr>
                  </w:pPr>
                </w:p>
              </w:tc>
              <w:tc>
                <w:tcPr>
                  <w:tcW w:w="875" w:type="dxa"/>
                  <w:tcBorders>
                    <w:bottom w:val="single" w:sz="12" w:space="0" w:color="000000"/>
                  </w:tcBorders>
                  <w:vAlign w:val="bottom"/>
                </w:tcPr>
                <w:p w14:paraId="3C3A7AE6"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2A899250" w14:textId="77777777" w:rsidR="008E5DE4" w:rsidRDefault="008E5DE4">
                  <w:pPr>
                    <w:widowControl w:val="0"/>
                    <w:pBdr>
                      <w:top w:val="nil"/>
                      <w:left w:val="nil"/>
                      <w:bottom w:val="nil"/>
                      <w:right w:val="nil"/>
                      <w:between w:val="nil"/>
                    </w:pBdr>
                    <w:rPr>
                      <w:color w:val="000000"/>
                      <w:sz w:val="16"/>
                      <w:szCs w:val="16"/>
                    </w:rPr>
                  </w:pPr>
                </w:p>
              </w:tc>
              <w:tc>
                <w:tcPr>
                  <w:tcW w:w="1018" w:type="dxa"/>
                  <w:tcBorders>
                    <w:bottom w:val="single" w:sz="12" w:space="0" w:color="000000"/>
                  </w:tcBorders>
                  <w:vAlign w:val="bottom"/>
                </w:tcPr>
                <w:p w14:paraId="7ABEC8D9"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042C191B"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2ACBE66B" w14:textId="77777777" w:rsidR="008E5DE4" w:rsidRDefault="008E5DE4">
                  <w:pPr>
                    <w:widowControl w:val="0"/>
                    <w:pBdr>
                      <w:top w:val="nil"/>
                      <w:left w:val="nil"/>
                      <w:bottom w:val="nil"/>
                      <w:right w:val="nil"/>
                      <w:between w:val="nil"/>
                    </w:pBdr>
                    <w:rPr>
                      <w:color w:val="000000"/>
                      <w:sz w:val="16"/>
                      <w:szCs w:val="16"/>
                    </w:rPr>
                  </w:pPr>
                </w:p>
              </w:tc>
              <w:tc>
                <w:tcPr>
                  <w:tcW w:w="1018" w:type="dxa"/>
                  <w:tcBorders>
                    <w:bottom w:val="single" w:sz="12" w:space="0" w:color="000000"/>
                  </w:tcBorders>
                  <w:vAlign w:val="bottom"/>
                </w:tcPr>
                <w:p w14:paraId="6B5366E4" w14:textId="77777777" w:rsidR="008E5DE4" w:rsidRDefault="008E5DE4">
                  <w:pPr>
                    <w:widowControl w:val="0"/>
                    <w:pBdr>
                      <w:top w:val="nil"/>
                      <w:left w:val="nil"/>
                      <w:bottom w:val="nil"/>
                      <w:right w:val="nil"/>
                      <w:between w:val="nil"/>
                    </w:pBdr>
                    <w:rPr>
                      <w:color w:val="000000"/>
                      <w:sz w:val="16"/>
                      <w:szCs w:val="16"/>
                    </w:rPr>
                  </w:pPr>
                </w:p>
              </w:tc>
            </w:tr>
          </w:tbl>
          <w:p w14:paraId="375652B8" w14:textId="77777777" w:rsidR="008E5DE4" w:rsidRDefault="008E5DE4">
            <w:pPr>
              <w:pageBreakBefore/>
              <w:pBdr>
                <w:top w:val="nil"/>
                <w:left w:val="nil"/>
                <w:bottom w:val="nil"/>
                <w:right w:val="nil"/>
                <w:between w:val="nil"/>
              </w:pBdr>
              <w:spacing w:after="240"/>
              <w:ind w:left="567" w:hanging="567"/>
              <w:jc w:val="both"/>
              <w:rPr>
                <w:b/>
                <w:color w:val="000000"/>
                <w:sz w:val="20"/>
                <w:szCs w:val="20"/>
              </w:rPr>
            </w:pPr>
          </w:p>
          <w:p w14:paraId="4916E621" w14:textId="3263267A"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assumptions and assigned weights were as follows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w:t>
            </w:r>
          </w:p>
          <w:tbl>
            <w:tblPr>
              <w:tblStyle w:val="affff8"/>
              <w:tblW w:w="9355" w:type="dxa"/>
              <w:tblInd w:w="113" w:type="dxa"/>
              <w:tblLayout w:type="fixed"/>
              <w:tblLook w:val="0000" w:firstRow="0" w:lastRow="0" w:firstColumn="0" w:lastColumn="0" w:noHBand="0" w:noVBand="0"/>
            </w:tblPr>
            <w:tblGrid>
              <w:gridCol w:w="2121"/>
              <w:gridCol w:w="1272"/>
              <w:gridCol w:w="875"/>
              <w:gridCol w:w="1017"/>
              <w:gridCol w:w="1018"/>
              <w:gridCol w:w="1017"/>
              <w:gridCol w:w="1017"/>
              <w:gridCol w:w="1018"/>
            </w:tblGrid>
            <w:tr w:rsidR="008E5DE4" w14:paraId="3C298067" w14:textId="77777777">
              <w:trPr>
                <w:tblHeader/>
              </w:trPr>
              <w:tc>
                <w:tcPr>
                  <w:tcW w:w="2121" w:type="dxa"/>
                  <w:vAlign w:val="bottom"/>
                </w:tcPr>
                <w:p w14:paraId="0E876632" w14:textId="77777777" w:rsidR="008E5DE4" w:rsidRDefault="008E5DE4">
                  <w:pPr>
                    <w:widowControl w:val="0"/>
                    <w:pBdr>
                      <w:top w:val="nil"/>
                      <w:left w:val="nil"/>
                      <w:bottom w:val="nil"/>
                      <w:right w:val="nil"/>
                      <w:between w:val="nil"/>
                    </w:pBdr>
                    <w:ind w:left="113" w:right="-57" w:hanging="113"/>
                    <w:rPr>
                      <w:b/>
                      <w:i/>
                      <w:color w:val="000000"/>
                      <w:sz w:val="16"/>
                      <w:szCs w:val="16"/>
                    </w:rPr>
                  </w:pPr>
                </w:p>
              </w:tc>
              <w:tc>
                <w:tcPr>
                  <w:tcW w:w="1272" w:type="dxa"/>
                </w:tcPr>
                <w:p w14:paraId="7B683658"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875" w:type="dxa"/>
                  <w:vMerge w:val="restart"/>
                </w:tcPr>
                <w:p w14:paraId="67F9D849" w14:textId="77777777" w:rsidR="008E5DE4" w:rsidRDefault="00780368">
                  <w:pPr>
                    <w:widowControl w:val="0"/>
                    <w:pBdr>
                      <w:top w:val="nil"/>
                      <w:left w:val="nil"/>
                      <w:bottom w:val="nil"/>
                      <w:right w:val="nil"/>
                      <w:between w:val="nil"/>
                    </w:pBdr>
                    <w:ind w:right="57"/>
                    <w:jc w:val="right"/>
                    <w:rPr>
                      <w:b/>
                      <w:color w:val="000000"/>
                      <w:sz w:val="16"/>
                      <w:szCs w:val="16"/>
                    </w:rPr>
                  </w:pPr>
                  <w:r>
                    <w:rPr>
                      <w:b/>
                      <w:color w:val="000000"/>
                      <w:sz w:val="16"/>
                      <w:szCs w:val="16"/>
                    </w:rPr>
                    <w:t>Assi-</w:t>
                  </w:r>
                  <w:proofErr w:type="spellStart"/>
                  <w:r>
                    <w:rPr>
                      <w:b/>
                      <w:color w:val="000000"/>
                      <w:sz w:val="16"/>
                      <w:szCs w:val="16"/>
                    </w:rPr>
                    <w:t>gned</w:t>
                  </w:r>
                  <w:proofErr w:type="spellEnd"/>
                  <w:r>
                    <w:rPr>
                      <w:b/>
                      <w:color w:val="000000"/>
                      <w:sz w:val="16"/>
                      <w:szCs w:val="16"/>
                    </w:rPr>
                    <w:t xml:space="preserve"> weight</w:t>
                  </w:r>
                </w:p>
              </w:tc>
              <w:tc>
                <w:tcPr>
                  <w:tcW w:w="5087" w:type="dxa"/>
                  <w:gridSpan w:val="5"/>
                  <w:tcBorders>
                    <w:bottom w:val="single" w:sz="4" w:space="0" w:color="000000"/>
                  </w:tcBorders>
                </w:tcPr>
                <w:p w14:paraId="76EB4E58"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Assumption for:</w:t>
                  </w:r>
                </w:p>
              </w:tc>
            </w:tr>
            <w:tr w:rsidR="008E5DE4" w14:paraId="51DC935A" w14:textId="77777777">
              <w:trPr>
                <w:tblHeader/>
              </w:trPr>
              <w:tc>
                <w:tcPr>
                  <w:tcW w:w="2121" w:type="dxa"/>
                  <w:tcBorders>
                    <w:bottom w:val="single" w:sz="4" w:space="0" w:color="000000"/>
                  </w:tcBorders>
                  <w:vAlign w:val="bottom"/>
                </w:tcPr>
                <w:p w14:paraId="1F2FC1C4" w14:textId="77777777" w:rsidR="008E5DE4" w:rsidRDefault="00780368">
                  <w:pPr>
                    <w:widowControl w:val="0"/>
                    <w:pBdr>
                      <w:top w:val="nil"/>
                      <w:left w:val="nil"/>
                      <w:bottom w:val="nil"/>
                      <w:right w:val="nil"/>
                      <w:between w:val="nil"/>
                    </w:pBdr>
                    <w:ind w:left="113" w:right="-57" w:hanging="113"/>
                    <w:rPr>
                      <w:b/>
                      <w:i/>
                      <w:color w:val="000000"/>
                      <w:sz w:val="16"/>
                      <w:szCs w:val="16"/>
                    </w:rPr>
                  </w:pPr>
                  <w:r>
                    <w:rPr>
                      <w:b/>
                      <w:i/>
                      <w:color w:val="000000"/>
                      <w:sz w:val="16"/>
                      <w:szCs w:val="16"/>
                    </w:rPr>
                    <w:t>Variable</w:t>
                  </w:r>
                </w:p>
              </w:tc>
              <w:tc>
                <w:tcPr>
                  <w:tcW w:w="1272" w:type="dxa"/>
                  <w:tcBorders>
                    <w:bottom w:val="single" w:sz="4" w:space="0" w:color="000000"/>
                  </w:tcBorders>
                  <w:vAlign w:val="bottom"/>
                </w:tcPr>
                <w:p w14:paraId="06294796"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Scenario</w:t>
                  </w:r>
                </w:p>
              </w:tc>
              <w:tc>
                <w:tcPr>
                  <w:tcW w:w="875" w:type="dxa"/>
                  <w:vMerge/>
                </w:tcPr>
                <w:p w14:paraId="78ABEEA0" w14:textId="77777777" w:rsidR="008E5DE4" w:rsidRDefault="008E5DE4">
                  <w:pPr>
                    <w:widowControl w:val="0"/>
                    <w:pBdr>
                      <w:top w:val="nil"/>
                      <w:left w:val="nil"/>
                      <w:bottom w:val="nil"/>
                      <w:right w:val="nil"/>
                      <w:between w:val="nil"/>
                    </w:pBdr>
                    <w:spacing w:line="276" w:lineRule="auto"/>
                    <w:rPr>
                      <w:b/>
                      <w:color w:val="000000"/>
                      <w:sz w:val="16"/>
                      <w:szCs w:val="16"/>
                    </w:rPr>
                  </w:pPr>
                </w:p>
              </w:tc>
              <w:tc>
                <w:tcPr>
                  <w:tcW w:w="1017" w:type="dxa"/>
                  <w:tcBorders>
                    <w:top w:val="single" w:sz="4" w:space="0" w:color="000000"/>
                    <w:bottom w:val="single" w:sz="4" w:space="0" w:color="000000"/>
                  </w:tcBorders>
                  <w:vAlign w:val="bottom"/>
                </w:tcPr>
                <w:p w14:paraId="76EE659C" w14:textId="20C7DF74"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5</w:t>
                  </w:r>
                </w:p>
              </w:tc>
              <w:tc>
                <w:tcPr>
                  <w:tcW w:w="1018" w:type="dxa"/>
                  <w:tcBorders>
                    <w:top w:val="single" w:sz="4" w:space="0" w:color="000000"/>
                    <w:bottom w:val="single" w:sz="4" w:space="0" w:color="000000"/>
                  </w:tcBorders>
                  <w:vAlign w:val="bottom"/>
                </w:tcPr>
                <w:p w14:paraId="32BD0AAF" w14:textId="2ED42368"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6</w:t>
                  </w:r>
                </w:p>
              </w:tc>
              <w:tc>
                <w:tcPr>
                  <w:tcW w:w="1017" w:type="dxa"/>
                  <w:tcBorders>
                    <w:top w:val="single" w:sz="4" w:space="0" w:color="000000"/>
                    <w:bottom w:val="single" w:sz="4" w:space="0" w:color="000000"/>
                  </w:tcBorders>
                  <w:vAlign w:val="bottom"/>
                </w:tcPr>
                <w:p w14:paraId="194F9C8A" w14:textId="1B5F2473"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7</w:t>
                  </w:r>
                </w:p>
              </w:tc>
              <w:tc>
                <w:tcPr>
                  <w:tcW w:w="1017" w:type="dxa"/>
                  <w:tcBorders>
                    <w:top w:val="single" w:sz="4" w:space="0" w:color="000000"/>
                    <w:bottom w:val="single" w:sz="4" w:space="0" w:color="000000"/>
                  </w:tcBorders>
                  <w:vAlign w:val="bottom"/>
                </w:tcPr>
                <w:p w14:paraId="1E35201E" w14:textId="2C061730"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8</w:t>
                  </w:r>
                </w:p>
              </w:tc>
              <w:tc>
                <w:tcPr>
                  <w:tcW w:w="1018" w:type="dxa"/>
                  <w:tcBorders>
                    <w:top w:val="single" w:sz="4" w:space="0" w:color="000000"/>
                    <w:bottom w:val="single" w:sz="4" w:space="0" w:color="000000"/>
                  </w:tcBorders>
                  <w:vAlign w:val="bottom"/>
                </w:tcPr>
                <w:p w14:paraId="771DEB66" w14:textId="00B443E3"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9</w:t>
                  </w:r>
                </w:p>
              </w:tc>
            </w:tr>
            <w:tr w:rsidR="008E5DE4" w14:paraId="2D29C34A" w14:textId="77777777">
              <w:tc>
                <w:tcPr>
                  <w:tcW w:w="2121" w:type="dxa"/>
                  <w:tcBorders>
                    <w:top w:val="single" w:sz="4" w:space="0" w:color="000000"/>
                  </w:tcBorders>
                  <w:vAlign w:val="bottom"/>
                </w:tcPr>
                <w:p w14:paraId="160DC1BC" w14:textId="77777777" w:rsidR="008E5DE4" w:rsidRDefault="008E5DE4">
                  <w:pPr>
                    <w:widowControl w:val="0"/>
                    <w:ind w:left="113" w:right="-57" w:hanging="113"/>
                    <w:rPr>
                      <w:sz w:val="16"/>
                      <w:szCs w:val="16"/>
                    </w:rPr>
                  </w:pPr>
                </w:p>
              </w:tc>
              <w:tc>
                <w:tcPr>
                  <w:tcW w:w="1272" w:type="dxa"/>
                  <w:tcBorders>
                    <w:top w:val="single" w:sz="4" w:space="0" w:color="000000"/>
                  </w:tcBorders>
                </w:tcPr>
                <w:p w14:paraId="28CDFB33" w14:textId="77777777" w:rsidR="008E5DE4" w:rsidRDefault="008E5DE4">
                  <w:pPr>
                    <w:widowControl w:val="0"/>
                    <w:pBdr>
                      <w:top w:val="nil"/>
                      <w:left w:val="nil"/>
                      <w:bottom w:val="nil"/>
                      <w:right w:val="nil"/>
                      <w:between w:val="nil"/>
                    </w:pBdr>
                    <w:rPr>
                      <w:color w:val="000000"/>
                      <w:sz w:val="16"/>
                      <w:szCs w:val="16"/>
                    </w:rPr>
                  </w:pPr>
                </w:p>
              </w:tc>
              <w:tc>
                <w:tcPr>
                  <w:tcW w:w="875" w:type="dxa"/>
                  <w:tcBorders>
                    <w:top w:val="single" w:sz="4" w:space="0" w:color="000000"/>
                  </w:tcBorders>
                  <w:vAlign w:val="bottom"/>
                </w:tcPr>
                <w:p w14:paraId="012AAC52"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5D2182A1" w14:textId="77777777" w:rsidR="008E5DE4" w:rsidRDefault="008E5DE4">
                  <w:pPr>
                    <w:widowControl w:val="0"/>
                    <w:pBdr>
                      <w:top w:val="nil"/>
                      <w:left w:val="nil"/>
                      <w:bottom w:val="nil"/>
                      <w:right w:val="nil"/>
                      <w:between w:val="nil"/>
                    </w:pBdr>
                    <w:rPr>
                      <w:color w:val="000000"/>
                      <w:sz w:val="16"/>
                      <w:szCs w:val="16"/>
                    </w:rPr>
                  </w:pPr>
                </w:p>
              </w:tc>
              <w:tc>
                <w:tcPr>
                  <w:tcW w:w="1018" w:type="dxa"/>
                  <w:tcBorders>
                    <w:top w:val="single" w:sz="4" w:space="0" w:color="000000"/>
                  </w:tcBorders>
                  <w:vAlign w:val="bottom"/>
                </w:tcPr>
                <w:p w14:paraId="699D4735"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51C1B710"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0F98AF7E" w14:textId="77777777" w:rsidR="008E5DE4" w:rsidRDefault="008E5DE4">
                  <w:pPr>
                    <w:widowControl w:val="0"/>
                    <w:pBdr>
                      <w:top w:val="nil"/>
                      <w:left w:val="nil"/>
                      <w:bottom w:val="nil"/>
                      <w:right w:val="nil"/>
                      <w:between w:val="nil"/>
                    </w:pBdr>
                    <w:rPr>
                      <w:color w:val="000000"/>
                      <w:sz w:val="16"/>
                      <w:szCs w:val="16"/>
                    </w:rPr>
                  </w:pPr>
                </w:p>
              </w:tc>
              <w:tc>
                <w:tcPr>
                  <w:tcW w:w="1018" w:type="dxa"/>
                  <w:tcBorders>
                    <w:top w:val="single" w:sz="4" w:space="0" w:color="000000"/>
                  </w:tcBorders>
                  <w:vAlign w:val="bottom"/>
                </w:tcPr>
                <w:p w14:paraId="6F911D9B" w14:textId="77777777" w:rsidR="008E5DE4" w:rsidRDefault="008E5DE4">
                  <w:pPr>
                    <w:widowControl w:val="0"/>
                    <w:pBdr>
                      <w:top w:val="nil"/>
                      <w:left w:val="nil"/>
                      <w:bottom w:val="nil"/>
                      <w:right w:val="nil"/>
                      <w:between w:val="nil"/>
                    </w:pBdr>
                    <w:rPr>
                      <w:color w:val="000000"/>
                      <w:sz w:val="16"/>
                      <w:szCs w:val="16"/>
                    </w:rPr>
                  </w:pPr>
                </w:p>
              </w:tc>
            </w:tr>
            <w:tr w:rsidR="008E5DE4" w14:paraId="4FE62E37" w14:textId="77777777">
              <w:tc>
                <w:tcPr>
                  <w:tcW w:w="2121" w:type="dxa"/>
                  <w:vAlign w:val="bottom"/>
                </w:tcPr>
                <w:p w14:paraId="3635AAA7" w14:textId="77777777" w:rsidR="008E5DE4" w:rsidRDefault="00780368">
                  <w:pPr>
                    <w:widowControl w:val="0"/>
                    <w:ind w:right="-57"/>
                    <w:rPr>
                      <w:b/>
                      <w:color w:val="0000FF"/>
                      <w:sz w:val="16"/>
                      <w:szCs w:val="16"/>
                    </w:rPr>
                  </w:pPr>
                  <w:r>
                    <w:rPr>
                      <w:b/>
                      <w:color w:val="0000FF"/>
                      <w:sz w:val="16"/>
                      <w:szCs w:val="16"/>
                    </w:rPr>
                    <w:t>[CBC key interest rate]</w:t>
                  </w:r>
                </w:p>
              </w:tc>
              <w:tc>
                <w:tcPr>
                  <w:tcW w:w="1272" w:type="dxa"/>
                </w:tcPr>
                <w:p w14:paraId="43E0880F"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[Base]</w:t>
                  </w:r>
                </w:p>
              </w:tc>
              <w:tc>
                <w:tcPr>
                  <w:tcW w:w="875" w:type="dxa"/>
                  <w:vAlign w:val="bottom"/>
                </w:tcPr>
                <w:p w14:paraId="17D0748E"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[60%]</w:t>
                  </w:r>
                </w:p>
              </w:tc>
              <w:tc>
                <w:tcPr>
                  <w:tcW w:w="1017" w:type="dxa"/>
                  <w:vAlign w:val="bottom"/>
                </w:tcPr>
                <w:p w14:paraId="33141B8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5716091"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9924F9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D039D62"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EB9906B" w14:textId="77777777" w:rsidR="008E5DE4" w:rsidRDefault="008E5DE4">
                  <w:pPr>
                    <w:widowControl w:val="0"/>
                    <w:pBdr>
                      <w:top w:val="nil"/>
                      <w:left w:val="nil"/>
                      <w:bottom w:val="nil"/>
                      <w:right w:val="nil"/>
                      <w:between w:val="nil"/>
                    </w:pBdr>
                    <w:jc w:val="right"/>
                    <w:rPr>
                      <w:color w:val="000000"/>
                      <w:sz w:val="16"/>
                      <w:szCs w:val="16"/>
                    </w:rPr>
                  </w:pPr>
                </w:p>
              </w:tc>
            </w:tr>
            <w:tr w:rsidR="008E5DE4" w14:paraId="346F3B05" w14:textId="77777777">
              <w:tc>
                <w:tcPr>
                  <w:tcW w:w="2121" w:type="dxa"/>
                  <w:vAlign w:val="bottom"/>
                </w:tcPr>
                <w:p w14:paraId="4C87C98C" w14:textId="77777777" w:rsidR="008E5DE4" w:rsidRDefault="008E5DE4">
                  <w:pPr>
                    <w:widowControl w:val="0"/>
                    <w:ind w:left="113" w:right="-57" w:hanging="113"/>
                    <w:rPr>
                      <w:color w:val="0000FF"/>
                      <w:sz w:val="16"/>
                      <w:szCs w:val="16"/>
                    </w:rPr>
                  </w:pPr>
                </w:p>
              </w:tc>
              <w:tc>
                <w:tcPr>
                  <w:tcW w:w="1272" w:type="dxa"/>
                </w:tcPr>
                <w:p w14:paraId="104BEA56"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[Upside]</w:t>
                  </w:r>
                </w:p>
              </w:tc>
              <w:tc>
                <w:tcPr>
                  <w:tcW w:w="875" w:type="dxa"/>
                  <w:vAlign w:val="bottom"/>
                </w:tcPr>
                <w:p w14:paraId="4B699CFD"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[20%]</w:t>
                  </w:r>
                </w:p>
              </w:tc>
              <w:tc>
                <w:tcPr>
                  <w:tcW w:w="1017" w:type="dxa"/>
                  <w:vAlign w:val="bottom"/>
                </w:tcPr>
                <w:p w14:paraId="2DB87525"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872E11D"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A32D2C1"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ACBF8F3"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E1A5D04" w14:textId="77777777" w:rsidR="008E5DE4" w:rsidRDefault="008E5DE4">
                  <w:pPr>
                    <w:widowControl w:val="0"/>
                    <w:pBdr>
                      <w:top w:val="nil"/>
                      <w:left w:val="nil"/>
                      <w:bottom w:val="nil"/>
                      <w:right w:val="nil"/>
                      <w:between w:val="nil"/>
                    </w:pBdr>
                    <w:jc w:val="right"/>
                    <w:rPr>
                      <w:color w:val="000000"/>
                      <w:sz w:val="16"/>
                      <w:szCs w:val="16"/>
                    </w:rPr>
                  </w:pPr>
                </w:p>
              </w:tc>
            </w:tr>
            <w:tr w:rsidR="008E5DE4" w14:paraId="7868096A" w14:textId="77777777">
              <w:tc>
                <w:tcPr>
                  <w:tcW w:w="2121" w:type="dxa"/>
                  <w:vAlign w:val="bottom"/>
                </w:tcPr>
                <w:p w14:paraId="2A37FD1E" w14:textId="77777777" w:rsidR="008E5DE4" w:rsidRDefault="008E5DE4">
                  <w:pPr>
                    <w:widowControl w:val="0"/>
                    <w:ind w:left="113" w:right="-57" w:hanging="113"/>
                    <w:rPr>
                      <w:color w:val="0000FF"/>
                      <w:sz w:val="16"/>
                      <w:szCs w:val="16"/>
                    </w:rPr>
                  </w:pPr>
                </w:p>
              </w:tc>
              <w:tc>
                <w:tcPr>
                  <w:tcW w:w="1272" w:type="dxa"/>
                </w:tcPr>
                <w:p w14:paraId="40F63A9F"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[Downside 1]</w:t>
                  </w:r>
                </w:p>
              </w:tc>
              <w:tc>
                <w:tcPr>
                  <w:tcW w:w="875" w:type="dxa"/>
                  <w:vAlign w:val="bottom"/>
                </w:tcPr>
                <w:p w14:paraId="4133AD9E"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[10%]</w:t>
                  </w:r>
                </w:p>
              </w:tc>
              <w:tc>
                <w:tcPr>
                  <w:tcW w:w="1017" w:type="dxa"/>
                  <w:vAlign w:val="bottom"/>
                </w:tcPr>
                <w:p w14:paraId="769867A7"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FCD690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6431906"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723A8BD"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E0D1EEC" w14:textId="77777777" w:rsidR="008E5DE4" w:rsidRDefault="008E5DE4">
                  <w:pPr>
                    <w:widowControl w:val="0"/>
                    <w:pBdr>
                      <w:top w:val="nil"/>
                      <w:left w:val="nil"/>
                      <w:bottom w:val="nil"/>
                      <w:right w:val="nil"/>
                      <w:between w:val="nil"/>
                    </w:pBdr>
                    <w:jc w:val="right"/>
                    <w:rPr>
                      <w:color w:val="000000"/>
                      <w:sz w:val="16"/>
                      <w:szCs w:val="16"/>
                    </w:rPr>
                  </w:pPr>
                </w:p>
              </w:tc>
            </w:tr>
            <w:tr w:rsidR="008E5DE4" w14:paraId="162EDE7E" w14:textId="77777777">
              <w:tc>
                <w:tcPr>
                  <w:tcW w:w="2121" w:type="dxa"/>
                  <w:vAlign w:val="bottom"/>
                </w:tcPr>
                <w:p w14:paraId="4A3E24DD" w14:textId="77777777" w:rsidR="008E5DE4" w:rsidRDefault="008E5DE4">
                  <w:pPr>
                    <w:widowControl w:val="0"/>
                    <w:ind w:left="113" w:right="-57" w:hanging="113"/>
                    <w:rPr>
                      <w:color w:val="0000FF"/>
                      <w:sz w:val="16"/>
                      <w:szCs w:val="16"/>
                    </w:rPr>
                  </w:pPr>
                </w:p>
              </w:tc>
              <w:tc>
                <w:tcPr>
                  <w:tcW w:w="1272" w:type="dxa"/>
                </w:tcPr>
                <w:p w14:paraId="4D1907C7"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[Downside 2]</w:t>
                  </w:r>
                </w:p>
              </w:tc>
              <w:tc>
                <w:tcPr>
                  <w:tcW w:w="875" w:type="dxa"/>
                  <w:vAlign w:val="bottom"/>
                </w:tcPr>
                <w:p w14:paraId="544C40CC"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[10%]</w:t>
                  </w:r>
                </w:p>
              </w:tc>
              <w:tc>
                <w:tcPr>
                  <w:tcW w:w="1017" w:type="dxa"/>
                  <w:vAlign w:val="bottom"/>
                </w:tcPr>
                <w:p w14:paraId="0C5EB45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8394C7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937496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908860F"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70BAE69" w14:textId="77777777" w:rsidR="008E5DE4" w:rsidRDefault="008E5DE4">
                  <w:pPr>
                    <w:widowControl w:val="0"/>
                    <w:pBdr>
                      <w:top w:val="nil"/>
                      <w:left w:val="nil"/>
                      <w:bottom w:val="nil"/>
                      <w:right w:val="nil"/>
                      <w:between w:val="nil"/>
                    </w:pBdr>
                    <w:jc w:val="right"/>
                    <w:rPr>
                      <w:color w:val="000000"/>
                      <w:sz w:val="16"/>
                      <w:szCs w:val="16"/>
                    </w:rPr>
                  </w:pPr>
                </w:p>
              </w:tc>
            </w:tr>
            <w:tr w:rsidR="008E5DE4" w14:paraId="72B8839D" w14:textId="77777777">
              <w:tc>
                <w:tcPr>
                  <w:tcW w:w="2121" w:type="dxa"/>
                  <w:vAlign w:val="bottom"/>
                </w:tcPr>
                <w:p w14:paraId="1F1A546D" w14:textId="77777777" w:rsidR="008E5DE4" w:rsidRDefault="008E5DE4">
                  <w:pPr>
                    <w:widowControl w:val="0"/>
                    <w:ind w:left="113" w:right="-57" w:hanging="113"/>
                    <w:rPr>
                      <w:color w:val="0000FF"/>
                      <w:sz w:val="16"/>
                      <w:szCs w:val="16"/>
                    </w:rPr>
                  </w:pPr>
                </w:p>
              </w:tc>
              <w:tc>
                <w:tcPr>
                  <w:tcW w:w="1272" w:type="dxa"/>
                </w:tcPr>
                <w:p w14:paraId="5025AC78"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50564D63"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19E3A7FB"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4DB019EE"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77DF9FD1"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59030564"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63F2BFE4" w14:textId="77777777" w:rsidR="008E5DE4" w:rsidRDefault="008E5DE4">
                  <w:pPr>
                    <w:widowControl w:val="0"/>
                    <w:pBdr>
                      <w:top w:val="nil"/>
                      <w:left w:val="nil"/>
                      <w:bottom w:val="nil"/>
                      <w:right w:val="nil"/>
                      <w:between w:val="nil"/>
                    </w:pBdr>
                    <w:rPr>
                      <w:color w:val="000000"/>
                      <w:sz w:val="16"/>
                      <w:szCs w:val="16"/>
                    </w:rPr>
                  </w:pPr>
                </w:p>
              </w:tc>
            </w:tr>
            <w:tr w:rsidR="008E5DE4" w14:paraId="01A0156D" w14:textId="77777777">
              <w:tc>
                <w:tcPr>
                  <w:tcW w:w="2121" w:type="dxa"/>
                  <w:vAlign w:val="bottom"/>
                </w:tcPr>
                <w:p w14:paraId="2B9E0C8E" w14:textId="77777777" w:rsidR="008E5DE4" w:rsidRDefault="00780368">
                  <w:pPr>
                    <w:widowControl w:val="0"/>
                    <w:ind w:right="-57"/>
                    <w:rPr>
                      <w:b/>
                      <w:color w:val="0000FF"/>
                      <w:sz w:val="16"/>
                      <w:szCs w:val="16"/>
                    </w:rPr>
                  </w:pPr>
                  <w:r>
                    <w:rPr>
                      <w:b/>
                      <w:color w:val="0000FF"/>
                      <w:sz w:val="16"/>
                      <w:szCs w:val="16"/>
                    </w:rPr>
                    <w:t>[Unemployment rate]</w:t>
                  </w:r>
                </w:p>
              </w:tc>
              <w:tc>
                <w:tcPr>
                  <w:tcW w:w="1272" w:type="dxa"/>
                </w:tcPr>
                <w:p w14:paraId="69547A6D"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68E99571"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6416F4D4"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FBB4E9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FC3E8ED"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9CBAAA9"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55ED1B6" w14:textId="77777777" w:rsidR="008E5DE4" w:rsidRDefault="008E5DE4">
                  <w:pPr>
                    <w:widowControl w:val="0"/>
                    <w:pBdr>
                      <w:top w:val="nil"/>
                      <w:left w:val="nil"/>
                      <w:bottom w:val="nil"/>
                      <w:right w:val="nil"/>
                      <w:between w:val="nil"/>
                    </w:pBdr>
                    <w:jc w:val="right"/>
                    <w:rPr>
                      <w:color w:val="000000"/>
                      <w:sz w:val="16"/>
                      <w:szCs w:val="16"/>
                    </w:rPr>
                  </w:pPr>
                </w:p>
              </w:tc>
            </w:tr>
            <w:tr w:rsidR="008E5DE4" w14:paraId="32BDF9D0" w14:textId="77777777">
              <w:tc>
                <w:tcPr>
                  <w:tcW w:w="2121" w:type="dxa"/>
                  <w:vAlign w:val="bottom"/>
                </w:tcPr>
                <w:p w14:paraId="7562B60F" w14:textId="77777777" w:rsidR="008E5DE4" w:rsidRDefault="008E5DE4">
                  <w:pPr>
                    <w:widowControl w:val="0"/>
                    <w:ind w:left="113" w:right="-57" w:hanging="113"/>
                    <w:rPr>
                      <w:color w:val="0000FF"/>
                      <w:sz w:val="16"/>
                      <w:szCs w:val="16"/>
                    </w:rPr>
                  </w:pPr>
                </w:p>
              </w:tc>
              <w:tc>
                <w:tcPr>
                  <w:tcW w:w="1272" w:type="dxa"/>
                </w:tcPr>
                <w:p w14:paraId="66EF57E2"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070B56D7"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590F327F"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7111B6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6556CDA"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63DBBA4"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9545140" w14:textId="77777777" w:rsidR="008E5DE4" w:rsidRDefault="008E5DE4">
                  <w:pPr>
                    <w:widowControl w:val="0"/>
                    <w:pBdr>
                      <w:top w:val="nil"/>
                      <w:left w:val="nil"/>
                      <w:bottom w:val="nil"/>
                      <w:right w:val="nil"/>
                      <w:between w:val="nil"/>
                    </w:pBdr>
                    <w:jc w:val="right"/>
                    <w:rPr>
                      <w:color w:val="000000"/>
                      <w:sz w:val="16"/>
                      <w:szCs w:val="16"/>
                    </w:rPr>
                  </w:pPr>
                </w:p>
              </w:tc>
            </w:tr>
            <w:tr w:rsidR="008E5DE4" w14:paraId="6886DA8B" w14:textId="77777777">
              <w:tc>
                <w:tcPr>
                  <w:tcW w:w="2121" w:type="dxa"/>
                  <w:vAlign w:val="bottom"/>
                </w:tcPr>
                <w:p w14:paraId="3D257A41" w14:textId="77777777" w:rsidR="008E5DE4" w:rsidRDefault="008E5DE4">
                  <w:pPr>
                    <w:widowControl w:val="0"/>
                    <w:ind w:left="113" w:right="-57" w:hanging="113"/>
                    <w:rPr>
                      <w:color w:val="0000FF"/>
                      <w:sz w:val="16"/>
                      <w:szCs w:val="16"/>
                    </w:rPr>
                  </w:pPr>
                </w:p>
              </w:tc>
              <w:tc>
                <w:tcPr>
                  <w:tcW w:w="1272" w:type="dxa"/>
                </w:tcPr>
                <w:p w14:paraId="61CFD359"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7CEBDEF6"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7FD57734"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B4AFF33"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72D245D"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9D8DFA6"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008B14F" w14:textId="77777777" w:rsidR="008E5DE4" w:rsidRDefault="008E5DE4">
                  <w:pPr>
                    <w:widowControl w:val="0"/>
                    <w:pBdr>
                      <w:top w:val="nil"/>
                      <w:left w:val="nil"/>
                      <w:bottom w:val="nil"/>
                      <w:right w:val="nil"/>
                      <w:between w:val="nil"/>
                    </w:pBdr>
                    <w:jc w:val="right"/>
                    <w:rPr>
                      <w:color w:val="000000"/>
                      <w:sz w:val="16"/>
                      <w:szCs w:val="16"/>
                    </w:rPr>
                  </w:pPr>
                </w:p>
              </w:tc>
            </w:tr>
            <w:tr w:rsidR="008E5DE4" w14:paraId="1B7B4F54" w14:textId="77777777">
              <w:tc>
                <w:tcPr>
                  <w:tcW w:w="2121" w:type="dxa"/>
                  <w:vAlign w:val="bottom"/>
                </w:tcPr>
                <w:p w14:paraId="187B0534" w14:textId="77777777" w:rsidR="008E5DE4" w:rsidRDefault="008E5DE4">
                  <w:pPr>
                    <w:widowControl w:val="0"/>
                    <w:ind w:left="113" w:right="-57" w:hanging="113"/>
                    <w:rPr>
                      <w:color w:val="0000FF"/>
                      <w:sz w:val="16"/>
                      <w:szCs w:val="16"/>
                    </w:rPr>
                  </w:pPr>
                </w:p>
              </w:tc>
              <w:tc>
                <w:tcPr>
                  <w:tcW w:w="1272" w:type="dxa"/>
                </w:tcPr>
                <w:p w14:paraId="428362EC"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4576D911"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7B723923"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806FD5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F327FD2"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F5E8D7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9667AA1" w14:textId="77777777" w:rsidR="008E5DE4" w:rsidRDefault="008E5DE4">
                  <w:pPr>
                    <w:widowControl w:val="0"/>
                    <w:pBdr>
                      <w:top w:val="nil"/>
                      <w:left w:val="nil"/>
                      <w:bottom w:val="nil"/>
                      <w:right w:val="nil"/>
                      <w:between w:val="nil"/>
                    </w:pBdr>
                    <w:jc w:val="right"/>
                    <w:rPr>
                      <w:color w:val="000000"/>
                      <w:sz w:val="16"/>
                      <w:szCs w:val="16"/>
                    </w:rPr>
                  </w:pPr>
                </w:p>
              </w:tc>
            </w:tr>
            <w:tr w:rsidR="008E5DE4" w14:paraId="23986CB6" w14:textId="77777777">
              <w:tc>
                <w:tcPr>
                  <w:tcW w:w="2121" w:type="dxa"/>
                  <w:vAlign w:val="bottom"/>
                </w:tcPr>
                <w:p w14:paraId="649EFF03" w14:textId="77777777" w:rsidR="008E5DE4" w:rsidRDefault="008E5DE4">
                  <w:pPr>
                    <w:widowControl w:val="0"/>
                    <w:ind w:left="113" w:right="-57" w:hanging="113"/>
                    <w:rPr>
                      <w:color w:val="0000FF"/>
                      <w:sz w:val="16"/>
                      <w:szCs w:val="16"/>
                    </w:rPr>
                  </w:pPr>
                </w:p>
              </w:tc>
              <w:tc>
                <w:tcPr>
                  <w:tcW w:w="1272" w:type="dxa"/>
                </w:tcPr>
                <w:p w14:paraId="42AA0A74"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105FE15B"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49551209"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5FA1C307"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5BC3C2A0"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000E613A"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42B48D2A" w14:textId="77777777" w:rsidR="008E5DE4" w:rsidRDefault="008E5DE4">
                  <w:pPr>
                    <w:widowControl w:val="0"/>
                    <w:pBdr>
                      <w:top w:val="nil"/>
                      <w:left w:val="nil"/>
                      <w:bottom w:val="nil"/>
                      <w:right w:val="nil"/>
                      <w:between w:val="nil"/>
                    </w:pBdr>
                    <w:rPr>
                      <w:color w:val="000000"/>
                      <w:sz w:val="16"/>
                      <w:szCs w:val="16"/>
                    </w:rPr>
                  </w:pPr>
                </w:p>
              </w:tc>
            </w:tr>
            <w:tr w:rsidR="008E5DE4" w14:paraId="211481B4" w14:textId="77777777">
              <w:tc>
                <w:tcPr>
                  <w:tcW w:w="2121" w:type="dxa"/>
                  <w:vAlign w:val="bottom"/>
                </w:tcPr>
                <w:p w14:paraId="298F4B2D" w14:textId="77777777" w:rsidR="008E5DE4" w:rsidRDefault="00780368">
                  <w:pPr>
                    <w:widowControl w:val="0"/>
                    <w:ind w:right="-57"/>
                    <w:rPr>
                      <w:b/>
                      <w:color w:val="0000FF"/>
                      <w:sz w:val="16"/>
                      <w:szCs w:val="16"/>
                    </w:rPr>
                  </w:pPr>
                  <w:r>
                    <w:rPr>
                      <w:b/>
                      <w:color w:val="0000FF"/>
                      <w:sz w:val="16"/>
                      <w:szCs w:val="16"/>
                    </w:rPr>
                    <w:t>[GDP Growth rate]</w:t>
                  </w:r>
                </w:p>
              </w:tc>
              <w:tc>
                <w:tcPr>
                  <w:tcW w:w="1272" w:type="dxa"/>
                </w:tcPr>
                <w:p w14:paraId="7943B4A4"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3575F9BB"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09FA420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0C461E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8EDE1A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8F740C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07CDC1A" w14:textId="77777777" w:rsidR="008E5DE4" w:rsidRDefault="008E5DE4">
                  <w:pPr>
                    <w:widowControl w:val="0"/>
                    <w:pBdr>
                      <w:top w:val="nil"/>
                      <w:left w:val="nil"/>
                      <w:bottom w:val="nil"/>
                      <w:right w:val="nil"/>
                      <w:between w:val="nil"/>
                    </w:pBdr>
                    <w:jc w:val="right"/>
                    <w:rPr>
                      <w:color w:val="000000"/>
                      <w:sz w:val="16"/>
                      <w:szCs w:val="16"/>
                    </w:rPr>
                  </w:pPr>
                </w:p>
              </w:tc>
            </w:tr>
            <w:tr w:rsidR="008E5DE4" w14:paraId="749453AB" w14:textId="77777777">
              <w:tc>
                <w:tcPr>
                  <w:tcW w:w="2121" w:type="dxa"/>
                  <w:vAlign w:val="bottom"/>
                </w:tcPr>
                <w:p w14:paraId="2AC088F8" w14:textId="77777777" w:rsidR="008E5DE4" w:rsidRDefault="008E5DE4">
                  <w:pPr>
                    <w:widowControl w:val="0"/>
                    <w:ind w:left="113" w:right="-57" w:hanging="113"/>
                    <w:rPr>
                      <w:color w:val="0000FF"/>
                      <w:sz w:val="16"/>
                      <w:szCs w:val="16"/>
                    </w:rPr>
                  </w:pPr>
                </w:p>
              </w:tc>
              <w:tc>
                <w:tcPr>
                  <w:tcW w:w="1272" w:type="dxa"/>
                </w:tcPr>
                <w:p w14:paraId="37535CDF"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141EBB7E"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7A0B9A80"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A33168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4F37CB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C04BCF2"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CD14D6F" w14:textId="77777777" w:rsidR="008E5DE4" w:rsidRDefault="008E5DE4">
                  <w:pPr>
                    <w:widowControl w:val="0"/>
                    <w:pBdr>
                      <w:top w:val="nil"/>
                      <w:left w:val="nil"/>
                      <w:bottom w:val="nil"/>
                      <w:right w:val="nil"/>
                      <w:between w:val="nil"/>
                    </w:pBdr>
                    <w:jc w:val="right"/>
                    <w:rPr>
                      <w:color w:val="000000"/>
                      <w:sz w:val="16"/>
                      <w:szCs w:val="16"/>
                    </w:rPr>
                  </w:pPr>
                </w:p>
              </w:tc>
            </w:tr>
            <w:tr w:rsidR="008E5DE4" w14:paraId="2BD4DEC1" w14:textId="77777777">
              <w:tc>
                <w:tcPr>
                  <w:tcW w:w="2121" w:type="dxa"/>
                  <w:vAlign w:val="bottom"/>
                </w:tcPr>
                <w:p w14:paraId="795AB7BC" w14:textId="77777777" w:rsidR="008E5DE4" w:rsidRDefault="008E5DE4">
                  <w:pPr>
                    <w:widowControl w:val="0"/>
                    <w:ind w:left="113" w:right="-57" w:hanging="113"/>
                    <w:rPr>
                      <w:color w:val="0000FF"/>
                      <w:sz w:val="16"/>
                      <w:szCs w:val="16"/>
                    </w:rPr>
                  </w:pPr>
                </w:p>
              </w:tc>
              <w:tc>
                <w:tcPr>
                  <w:tcW w:w="1272" w:type="dxa"/>
                </w:tcPr>
                <w:p w14:paraId="2847A7CD"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5FFD2ABA"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0E5D17CF"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4672BC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5083BE1"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7EDE980"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D23A746" w14:textId="77777777" w:rsidR="008E5DE4" w:rsidRDefault="008E5DE4">
                  <w:pPr>
                    <w:widowControl w:val="0"/>
                    <w:pBdr>
                      <w:top w:val="nil"/>
                      <w:left w:val="nil"/>
                      <w:bottom w:val="nil"/>
                      <w:right w:val="nil"/>
                      <w:between w:val="nil"/>
                    </w:pBdr>
                    <w:jc w:val="right"/>
                    <w:rPr>
                      <w:color w:val="000000"/>
                      <w:sz w:val="16"/>
                      <w:szCs w:val="16"/>
                    </w:rPr>
                  </w:pPr>
                </w:p>
              </w:tc>
            </w:tr>
            <w:tr w:rsidR="008E5DE4" w14:paraId="5337CF06" w14:textId="77777777">
              <w:tc>
                <w:tcPr>
                  <w:tcW w:w="2121" w:type="dxa"/>
                  <w:vAlign w:val="bottom"/>
                </w:tcPr>
                <w:p w14:paraId="2072600A" w14:textId="77777777" w:rsidR="008E5DE4" w:rsidRDefault="008E5DE4">
                  <w:pPr>
                    <w:widowControl w:val="0"/>
                    <w:ind w:left="113" w:right="-57" w:hanging="113"/>
                    <w:rPr>
                      <w:color w:val="0000FF"/>
                      <w:sz w:val="16"/>
                      <w:szCs w:val="16"/>
                    </w:rPr>
                  </w:pPr>
                </w:p>
              </w:tc>
              <w:tc>
                <w:tcPr>
                  <w:tcW w:w="1272" w:type="dxa"/>
                </w:tcPr>
                <w:p w14:paraId="5EDB35E0"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1AAEAED7"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3A762720"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1C7D93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AE587C5"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2967A83"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1E6EDA6" w14:textId="77777777" w:rsidR="008E5DE4" w:rsidRDefault="008E5DE4">
                  <w:pPr>
                    <w:widowControl w:val="0"/>
                    <w:pBdr>
                      <w:top w:val="nil"/>
                      <w:left w:val="nil"/>
                      <w:bottom w:val="nil"/>
                      <w:right w:val="nil"/>
                      <w:between w:val="nil"/>
                    </w:pBdr>
                    <w:jc w:val="right"/>
                    <w:rPr>
                      <w:color w:val="000000"/>
                      <w:sz w:val="16"/>
                      <w:szCs w:val="16"/>
                    </w:rPr>
                  </w:pPr>
                </w:p>
              </w:tc>
            </w:tr>
            <w:tr w:rsidR="008E5DE4" w14:paraId="3542BA81" w14:textId="77777777">
              <w:tc>
                <w:tcPr>
                  <w:tcW w:w="2121" w:type="dxa"/>
                  <w:vAlign w:val="bottom"/>
                </w:tcPr>
                <w:p w14:paraId="1F0DEB3A" w14:textId="77777777" w:rsidR="008E5DE4" w:rsidRDefault="008E5DE4">
                  <w:pPr>
                    <w:widowControl w:val="0"/>
                    <w:ind w:left="113" w:right="-57" w:hanging="113"/>
                    <w:rPr>
                      <w:color w:val="0000FF"/>
                      <w:sz w:val="16"/>
                      <w:szCs w:val="16"/>
                    </w:rPr>
                  </w:pPr>
                </w:p>
              </w:tc>
              <w:tc>
                <w:tcPr>
                  <w:tcW w:w="1272" w:type="dxa"/>
                </w:tcPr>
                <w:p w14:paraId="7405E5EF"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2153082C"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096D4DB0"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414A1A46"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52DED841"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4A1B13DF"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0BD63F30" w14:textId="77777777" w:rsidR="008E5DE4" w:rsidRDefault="008E5DE4">
                  <w:pPr>
                    <w:widowControl w:val="0"/>
                    <w:pBdr>
                      <w:top w:val="nil"/>
                      <w:left w:val="nil"/>
                      <w:bottom w:val="nil"/>
                      <w:right w:val="nil"/>
                      <w:between w:val="nil"/>
                    </w:pBdr>
                    <w:rPr>
                      <w:color w:val="000000"/>
                      <w:sz w:val="16"/>
                      <w:szCs w:val="16"/>
                    </w:rPr>
                  </w:pPr>
                </w:p>
              </w:tc>
            </w:tr>
            <w:tr w:rsidR="008E5DE4" w14:paraId="644AE8D5" w14:textId="77777777">
              <w:tc>
                <w:tcPr>
                  <w:tcW w:w="2121" w:type="dxa"/>
                  <w:vAlign w:val="bottom"/>
                </w:tcPr>
                <w:p w14:paraId="5BF9A4D4" w14:textId="77777777" w:rsidR="008E5DE4" w:rsidRDefault="00780368">
                  <w:pPr>
                    <w:widowControl w:val="0"/>
                    <w:ind w:right="-57"/>
                    <w:rPr>
                      <w:b/>
                      <w:color w:val="0000FF"/>
                      <w:sz w:val="16"/>
                      <w:szCs w:val="16"/>
                    </w:rPr>
                  </w:pPr>
                  <w:r>
                    <w:rPr>
                      <w:b/>
                      <w:color w:val="0000FF"/>
                      <w:sz w:val="16"/>
                      <w:szCs w:val="16"/>
                    </w:rPr>
                    <w:t>[House price index]</w:t>
                  </w:r>
                </w:p>
              </w:tc>
              <w:tc>
                <w:tcPr>
                  <w:tcW w:w="1272" w:type="dxa"/>
                </w:tcPr>
                <w:p w14:paraId="13353B2D"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7C2BDEDF"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3A1213B0"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28A1862"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6D65272"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725E05E"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31D40C8" w14:textId="77777777" w:rsidR="008E5DE4" w:rsidRDefault="008E5DE4">
                  <w:pPr>
                    <w:widowControl w:val="0"/>
                    <w:pBdr>
                      <w:top w:val="nil"/>
                      <w:left w:val="nil"/>
                      <w:bottom w:val="nil"/>
                      <w:right w:val="nil"/>
                      <w:between w:val="nil"/>
                    </w:pBdr>
                    <w:jc w:val="right"/>
                    <w:rPr>
                      <w:color w:val="000000"/>
                      <w:sz w:val="16"/>
                      <w:szCs w:val="16"/>
                    </w:rPr>
                  </w:pPr>
                </w:p>
              </w:tc>
            </w:tr>
            <w:tr w:rsidR="008E5DE4" w14:paraId="2D473762" w14:textId="77777777">
              <w:tc>
                <w:tcPr>
                  <w:tcW w:w="2121" w:type="dxa"/>
                  <w:vAlign w:val="bottom"/>
                </w:tcPr>
                <w:p w14:paraId="28D32BB7" w14:textId="77777777" w:rsidR="008E5DE4" w:rsidRDefault="008E5DE4">
                  <w:pPr>
                    <w:widowControl w:val="0"/>
                    <w:ind w:left="113" w:right="-57" w:hanging="113"/>
                    <w:rPr>
                      <w:sz w:val="16"/>
                      <w:szCs w:val="16"/>
                    </w:rPr>
                  </w:pPr>
                </w:p>
              </w:tc>
              <w:tc>
                <w:tcPr>
                  <w:tcW w:w="1272" w:type="dxa"/>
                </w:tcPr>
                <w:p w14:paraId="4840DA61"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7B069F57"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481BC03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BAA08A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51B90A3"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D88BB9F"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19286B9" w14:textId="77777777" w:rsidR="008E5DE4" w:rsidRDefault="008E5DE4">
                  <w:pPr>
                    <w:widowControl w:val="0"/>
                    <w:pBdr>
                      <w:top w:val="nil"/>
                      <w:left w:val="nil"/>
                      <w:bottom w:val="nil"/>
                      <w:right w:val="nil"/>
                      <w:between w:val="nil"/>
                    </w:pBdr>
                    <w:jc w:val="right"/>
                    <w:rPr>
                      <w:color w:val="000000"/>
                      <w:sz w:val="16"/>
                      <w:szCs w:val="16"/>
                    </w:rPr>
                  </w:pPr>
                </w:p>
              </w:tc>
            </w:tr>
            <w:tr w:rsidR="008E5DE4" w14:paraId="474A2E35" w14:textId="77777777">
              <w:tc>
                <w:tcPr>
                  <w:tcW w:w="2121" w:type="dxa"/>
                  <w:vAlign w:val="bottom"/>
                </w:tcPr>
                <w:p w14:paraId="20246BB7" w14:textId="77777777" w:rsidR="008E5DE4" w:rsidRDefault="008E5DE4">
                  <w:pPr>
                    <w:widowControl w:val="0"/>
                    <w:ind w:left="113" w:right="-57" w:hanging="113"/>
                    <w:rPr>
                      <w:sz w:val="16"/>
                      <w:szCs w:val="16"/>
                    </w:rPr>
                  </w:pPr>
                </w:p>
              </w:tc>
              <w:tc>
                <w:tcPr>
                  <w:tcW w:w="1272" w:type="dxa"/>
                </w:tcPr>
                <w:p w14:paraId="30451F67"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66D276AD"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331FB6E5"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2B8462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2694E7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CF51450"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119010D" w14:textId="77777777" w:rsidR="008E5DE4" w:rsidRDefault="008E5DE4">
                  <w:pPr>
                    <w:widowControl w:val="0"/>
                    <w:pBdr>
                      <w:top w:val="nil"/>
                      <w:left w:val="nil"/>
                      <w:bottom w:val="nil"/>
                      <w:right w:val="nil"/>
                      <w:between w:val="nil"/>
                    </w:pBdr>
                    <w:jc w:val="right"/>
                    <w:rPr>
                      <w:color w:val="000000"/>
                      <w:sz w:val="16"/>
                      <w:szCs w:val="16"/>
                    </w:rPr>
                  </w:pPr>
                </w:p>
              </w:tc>
            </w:tr>
            <w:tr w:rsidR="008E5DE4" w14:paraId="410E7CD5" w14:textId="77777777">
              <w:tc>
                <w:tcPr>
                  <w:tcW w:w="2121" w:type="dxa"/>
                  <w:vAlign w:val="bottom"/>
                </w:tcPr>
                <w:p w14:paraId="03DB82F8" w14:textId="77777777" w:rsidR="008E5DE4" w:rsidRDefault="008E5DE4">
                  <w:pPr>
                    <w:widowControl w:val="0"/>
                    <w:ind w:left="113" w:right="-57" w:hanging="113"/>
                    <w:rPr>
                      <w:sz w:val="16"/>
                      <w:szCs w:val="16"/>
                    </w:rPr>
                  </w:pPr>
                </w:p>
              </w:tc>
              <w:tc>
                <w:tcPr>
                  <w:tcW w:w="1272" w:type="dxa"/>
                </w:tcPr>
                <w:p w14:paraId="173C2429"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7943F7FB"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3F8D5623"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C2E6398"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AAF80C2"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9EB515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39C5FA8" w14:textId="77777777" w:rsidR="008E5DE4" w:rsidRDefault="008E5DE4">
                  <w:pPr>
                    <w:widowControl w:val="0"/>
                    <w:pBdr>
                      <w:top w:val="nil"/>
                      <w:left w:val="nil"/>
                      <w:bottom w:val="nil"/>
                      <w:right w:val="nil"/>
                      <w:between w:val="nil"/>
                    </w:pBdr>
                    <w:jc w:val="right"/>
                    <w:rPr>
                      <w:color w:val="000000"/>
                      <w:sz w:val="16"/>
                      <w:szCs w:val="16"/>
                    </w:rPr>
                  </w:pPr>
                </w:p>
              </w:tc>
            </w:tr>
            <w:tr w:rsidR="008E5DE4" w14:paraId="2F842AD8" w14:textId="77777777">
              <w:tc>
                <w:tcPr>
                  <w:tcW w:w="2121" w:type="dxa"/>
                  <w:tcBorders>
                    <w:bottom w:val="single" w:sz="12" w:space="0" w:color="000000"/>
                  </w:tcBorders>
                  <w:vAlign w:val="bottom"/>
                </w:tcPr>
                <w:p w14:paraId="63D7D82F" w14:textId="77777777" w:rsidR="008E5DE4" w:rsidRDefault="008E5DE4">
                  <w:pPr>
                    <w:widowControl w:val="0"/>
                    <w:ind w:left="113" w:right="-57" w:hanging="113"/>
                    <w:rPr>
                      <w:sz w:val="16"/>
                      <w:szCs w:val="16"/>
                    </w:rPr>
                  </w:pPr>
                </w:p>
              </w:tc>
              <w:tc>
                <w:tcPr>
                  <w:tcW w:w="1272" w:type="dxa"/>
                  <w:tcBorders>
                    <w:bottom w:val="single" w:sz="12" w:space="0" w:color="000000"/>
                  </w:tcBorders>
                </w:tcPr>
                <w:p w14:paraId="6A8D76FC" w14:textId="77777777" w:rsidR="008E5DE4" w:rsidRDefault="008E5DE4">
                  <w:pPr>
                    <w:widowControl w:val="0"/>
                    <w:pBdr>
                      <w:top w:val="nil"/>
                      <w:left w:val="nil"/>
                      <w:bottom w:val="nil"/>
                      <w:right w:val="nil"/>
                      <w:between w:val="nil"/>
                    </w:pBdr>
                    <w:rPr>
                      <w:color w:val="000000"/>
                      <w:sz w:val="16"/>
                      <w:szCs w:val="16"/>
                    </w:rPr>
                  </w:pPr>
                </w:p>
              </w:tc>
              <w:tc>
                <w:tcPr>
                  <w:tcW w:w="875" w:type="dxa"/>
                  <w:tcBorders>
                    <w:bottom w:val="single" w:sz="12" w:space="0" w:color="000000"/>
                  </w:tcBorders>
                  <w:vAlign w:val="bottom"/>
                </w:tcPr>
                <w:p w14:paraId="501AA1AC"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28B9348E" w14:textId="77777777" w:rsidR="008E5DE4" w:rsidRDefault="008E5DE4">
                  <w:pPr>
                    <w:widowControl w:val="0"/>
                    <w:pBdr>
                      <w:top w:val="nil"/>
                      <w:left w:val="nil"/>
                      <w:bottom w:val="nil"/>
                      <w:right w:val="nil"/>
                      <w:between w:val="nil"/>
                    </w:pBdr>
                    <w:rPr>
                      <w:color w:val="000000"/>
                      <w:sz w:val="16"/>
                      <w:szCs w:val="16"/>
                    </w:rPr>
                  </w:pPr>
                </w:p>
              </w:tc>
              <w:tc>
                <w:tcPr>
                  <w:tcW w:w="1018" w:type="dxa"/>
                  <w:tcBorders>
                    <w:bottom w:val="single" w:sz="12" w:space="0" w:color="000000"/>
                  </w:tcBorders>
                  <w:vAlign w:val="bottom"/>
                </w:tcPr>
                <w:p w14:paraId="6421E2BB"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03041427"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4E85C514" w14:textId="77777777" w:rsidR="008E5DE4" w:rsidRDefault="008E5DE4">
                  <w:pPr>
                    <w:widowControl w:val="0"/>
                    <w:pBdr>
                      <w:top w:val="nil"/>
                      <w:left w:val="nil"/>
                      <w:bottom w:val="nil"/>
                      <w:right w:val="nil"/>
                      <w:between w:val="nil"/>
                    </w:pBdr>
                    <w:rPr>
                      <w:color w:val="000000"/>
                      <w:sz w:val="16"/>
                      <w:szCs w:val="16"/>
                    </w:rPr>
                  </w:pPr>
                </w:p>
              </w:tc>
              <w:tc>
                <w:tcPr>
                  <w:tcW w:w="1018" w:type="dxa"/>
                  <w:tcBorders>
                    <w:bottom w:val="single" w:sz="12" w:space="0" w:color="000000"/>
                  </w:tcBorders>
                  <w:vAlign w:val="bottom"/>
                </w:tcPr>
                <w:p w14:paraId="7CE670D9" w14:textId="77777777" w:rsidR="008E5DE4" w:rsidRDefault="008E5DE4">
                  <w:pPr>
                    <w:widowControl w:val="0"/>
                    <w:pBdr>
                      <w:top w:val="nil"/>
                      <w:left w:val="nil"/>
                      <w:bottom w:val="nil"/>
                      <w:right w:val="nil"/>
                      <w:between w:val="nil"/>
                    </w:pBdr>
                    <w:rPr>
                      <w:color w:val="000000"/>
                      <w:sz w:val="16"/>
                      <w:szCs w:val="16"/>
                    </w:rPr>
                  </w:pPr>
                </w:p>
              </w:tc>
            </w:tr>
          </w:tbl>
          <w:p w14:paraId="7C6C7D9A" w14:textId="3C598CF4"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[The Group reduced the weights assigned to the upside scenario during </w:t>
            </w:r>
            <w:r w:rsidR="008614F8">
              <w:rPr>
                <w:color w:val="0000FF"/>
                <w:sz w:val="20"/>
                <w:szCs w:val="20"/>
              </w:rPr>
              <w:t>2025</w:t>
            </w:r>
            <w:r>
              <w:rPr>
                <w:color w:val="0000FF"/>
                <w:sz w:val="20"/>
                <w:szCs w:val="20"/>
              </w:rPr>
              <w:t xml:space="preserve"> </w:t>
            </w:r>
            <w:proofErr w:type="gramStart"/>
            <w:r>
              <w:rPr>
                <w:color w:val="0000FF"/>
                <w:sz w:val="20"/>
                <w:szCs w:val="20"/>
              </w:rPr>
              <w:t>as a result of</w:t>
            </w:r>
            <w:proofErr w:type="gramEnd"/>
            <w:r>
              <w:rPr>
                <w:color w:val="0000FF"/>
                <w:sz w:val="20"/>
                <w:szCs w:val="20"/>
              </w:rPr>
              <w:t xml:space="preserve"> the most recent developments.] </w:t>
            </w:r>
          </w:p>
          <w:p w14:paraId="691B74AE" w14:textId="4D0837F1" w:rsidR="008E5DE4" w:rsidRDefault="00780368">
            <w:pPr>
              <w:widowControl w:val="0"/>
              <w:pBdr>
                <w:top w:val="nil"/>
                <w:left w:val="nil"/>
                <w:bottom w:val="nil"/>
                <w:right w:val="nil"/>
                <w:between w:val="nil"/>
              </w:pBdr>
              <w:spacing w:before="200" w:after="200" w:line="228" w:lineRule="auto"/>
              <w:jc w:val="both"/>
              <w:rPr>
                <w:color w:val="0000FF"/>
                <w:sz w:val="20"/>
                <w:szCs w:val="20"/>
              </w:rPr>
            </w:pPr>
            <w:r>
              <w:rPr>
                <w:color w:val="0000FF"/>
                <w:sz w:val="20"/>
                <w:szCs w:val="20"/>
              </w:rPr>
              <w:t xml:space="preserve">[A change in the weight assigned to base forward looking macro-economic set of assumptions by 10% towards the immediate downside level assumptions would result in an increase in ECL by EUR _____ thousand </w:t>
            </w:r>
            <w:proofErr w:type="gramStart"/>
            <w:r>
              <w:rPr>
                <w:color w:val="0000FF"/>
                <w:sz w:val="20"/>
                <w:szCs w:val="20"/>
              </w:rPr>
              <w:t>at</w:t>
            </w:r>
            <w:proofErr w:type="gramEnd"/>
            <w:r>
              <w:rPr>
                <w:color w:val="0000FF"/>
                <w:sz w:val="20"/>
                <w:szCs w:val="20"/>
              </w:rPr>
              <w:t xml:space="preserve"> 31 December </w:t>
            </w:r>
            <w:r w:rsidR="008614F8">
              <w:rPr>
                <w:color w:val="0000FF"/>
                <w:sz w:val="20"/>
                <w:szCs w:val="20"/>
              </w:rPr>
              <w:t>2025</w:t>
            </w:r>
            <w:r>
              <w:rPr>
                <w:color w:val="0000FF"/>
                <w:sz w:val="20"/>
                <w:szCs w:val="20"/>
              </w:rPr>
              <w:t xml:space="preserve"> (31 December </w:t>
            </w:r>
            <w:r w:rsidR="00FF468A">
              <w:rPr>
                <w:color w:val="0000FF"/>
                <w:sz w:val="20"/>
                <w:szCs w:val="20"/>
              </w:rPr>
              <w:t>2024</w:t>
            </w:r>
            <w:r>
              <w:rPr>
                <w:color w:val="0000FF"/>
                <w:sz w:val="20"/>
                <w:szCs w:val="20"/>
              </w:rPr>
              <w:t xml:space="preserve">: by EUR ______ thousand). A corresponding change towards the upside assumptions would result in a decrease in ECL by EUR _____ thousand </w:t>
            </w:r>
            <w:proofErr w:type="gramStart"/>
            <w:r>
              <w:rPr>
                <w:color w:val="0000FF"/>
                <w:sz w:val="20"/>
                <w:szCs w:val="20"/>
              </w:rPr>
              <w:t>at</w:t>
            </w:r>
            <w:proofErr w:type="gramEnd"/>
            <w:r>
              <w:rPr>
                <w:color w:val="0000FF"/>
                <w:sz w:val="20"/>
                <w:szCs w:val="20"/>
              </w:rPr>
              <w:t xml:space="preserve"> 31 December </w:t>
            </w:r>
            <w:r w:rsidR="008614F8">
              <w:rPr>
                <w:color w:val="0000FF"/>
                <w:sz w:val="20"/>
                <w:szCs w:val="20"/>
              </w:rPr>
              <w:t>2025</w:t>
            </w:r>
            <w:r>
              <w:rPr>
                <w:color w:val="0000FF"/>
                <w:sz w:val="20"/>
                <w:szCs w:val="20"/>
              </w:rPr>
              <w:t xml:space="preserve"> (31 December </w:t>
            </w:r>
            <w:r w:rsidR="00FF468A">
              <w:rPr>
                <w:color w:val="0000FF"/>
                <w:sz w:val="20"/>
                <w:szCs w:val="20"/>
              </w:rPr>
              <w:t>2024</w:t>
            </w:r>
            <w:r>
              <w:rPr>
                <w:color w:val="0000FF"/>
                <w:sz w:val="20"/>
                <w:szCs w:val="20"/>
              </w:rPr>
              <w:t>: by EUR ______ thousand).</w:t>
            </w:r>
          </w:p>
          <w:p w14:paraId="245AA0C2" w14:textId="77777777" w:rsidR="00844C35" w:rsidRDefault="00844C35" w:rsidP="00844C35">
            <w:pPr>
              <w:pageBreakBefore/>
              <w:pBdr>
                <w:top w:val="nil"/>
                <w:left w:val="nil"/>
                <w:bottom w:val="nil"/>
                <w:right w:val="nil"/>
                <w:between w:val="nil"/>
              </w:pBdr>
              <w:spacing w:after="240"/>
              <w:ind w:left="567" w:hanging="567"/>
              <w:jc w:val="both"/>
              <w:rPr>
                <w:b/>
                <w:color w:val="000000"/>
                <w:sz w:val="20"/>
                <w:szCs w:val="20"/>
              </w:rPr>
            </w:pPr>
          </w:p>
          <w:p w14:paraId="3D1A99B4" w14:textId="40875F2A" w:rsidR="00844C35" w:rsidRDefault="00844C35" w:rsidP="00844C35">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5D581B3D" w14:textId="46F25F6E" w:rsidR="008E5DE4" w:rsidRDefault="00780368">
            <w:pPr>
              <w:widowControl w:val="0"/>
              <w:pBdr>
                <w:top w:val="nil"/>
                <w:left w:val="nil"/>
                <w:bottom w:val="nil"/>
                <w:right w:val="nil"/>
                <w:between w:val="nil"/>
              </w:pBdr>
              <w:spacing w:before="200" w:after="200" w:line="228" w:lineRule="auto"/>
              <w:jc w:val="both"/>
              <w:rPr>
                <w:color w:val="0000FF"/>
                <w:sz w:val="20"/>
                <w:szCs w:val="20"/>
              </w:rPr>
            </w:pPr>
            <w:r>
              <w:rPr>
                <w:color w:val="0000FF"/>
                <w:sz w:val="20"/>
                <w:szCs w:val="20"/>
              </w:rPr>
              <w:t>A [</w:t>
            </w:r>
            <w:proofErr w:type="gramStart"/>
            <w:r>
              <w:rPr>
                <w:color w:val="0000FF"/>
                <w:sz w:val="20"/>
                <w:szCs w:val="20"/>
              </w:rPr>
              <w:t>10]%</w:t>
            </w:r>
            <w:proofErr w:type="gramEnd"/>
            <w:r>
              <w:rPr>
                <w:color w:val="0000FF"/>
                <w:sz w:val="20"/>
                <w:szCs w:val="20"/>
              </w:rPr>
              <w:t xml:space="preserve"> increase or decrease in PD estimates at 31 December </w:t>
            </w:r>
            <w:r w:rsidR="008614F8">
              <w:rPr>
                <w:color w:val="0000FF"/>
                <w:sz w:val="20"/>
                <w:szCs w:val="20"/>
              </w:rPr>
              <w:t>2025</w:t>
            </w:r>
            <w:r>
              <w:rPr>
                <w:color w:val="0000FF"/>
                <w:sz w:val="20"/>
                <w:szCs w:val="20"/>
              </w:rPr>
              <w:t xml:space="preserve"> would result in an increase or decrease in total expected credit loss allowances of EUR ____ thousand (31 December </w:t>
            </w:r>
            <w:r w:rsidR="00FF468A">
              <w:rPr>
                <w:color w:val="0000FF"/>
                <w:sz w:val="20"/>
                <w:szCs w:val="20"/>
              </w:rPr>
              <w:t>2024</w:t>
            </w:r>
            <w:r>
              <w:rPr>
                <w:color w:val="0000FF"/>
                <w:sz w:val="20"/>
                <w:szCs w:val="20"/>
              </w:rPr>
              <w:t>: by EUR ______ thousand). A [</w:t>
            </w:r>
            <w:proofErr w:type="gramStart"/>
            <w:r>
              <w:rPr>
                <w:color w:val="0000FF"/>
                <w:sz w:val="20"/>
                <w:szCs w:val="20"/>
              </w:rPr>
              <w:t>10]%</w:t>
            </w:r>
            <w:proofErr w:type="gramEnd"/>
            <w:r>
              <w:rPr>
                <w:color w:val="0000FF"/>
                <w:sz w:val="20"/>
                <w:szCs w:val="20"/>
              </w:rPr>
              <w:t xml:space="preserve"> increase or decrease in LGD estimates at 31 December </w:t>
            </w:r>
            <w:r w:rsidR="008614F8">
              <w:rPr>
                <w:color w:val="0000FF"/>
                <w:sz w:val="20"/>
                <w:szCs w:val="20"/>
              </w:rPr>
              <w:t>2025</w:t>
            </w:r>
            <w:r>
              <w:rPr>
                <w:color w:val="0000FF"/>
                <w:sz w:val="20"/>
                <w:szCs w:val="20"/>
              </w:rPr>
              <w:t xml:space="preserve"> would result in an increase or decrease in total expected credit loss allowances of EUR ____ thousand (31 December </w:t>
            </w:r>
            <w:r w:rsidR="00FF468A">
              <w:rPr>
                <w:color w:val="0000FF"/>
                <w:sz w:val="20"/>
                <w:szCs w:val="20"/>
              </w:rPr>
              <w:t>2024</w:t>
            </w:r>
            <w:r>
              <w:rPr>
                <w:color w:val="0000FF"/>
                <w:sz w:val="20"/>
                <w:szCs w:val="20"/>
              </w:rPr>
              <w:t>: by EUR ______ thousand). A [</w:t>
            </w:r>
            <w:proofErr w:type="gramStart"/>
            <w:r>
              <w:rPr>
                <w:color w:val="0000FF"/>
                <w:sz w:val="20"/>
                <w:szCs w:val="20"/>
              </w:rPr>
              <w:t>10]%</w:t>
            </w:r>
            <w:proofErr w:type="gramEnd"/>
            <w:r>
              <w:rPr>
                <w:color w:val="0000FF"/>
                <w:sz w:val="20"/>
                <w:szCs w:val="20"/>
              </w:rPr>
              <w:t xml:space="preserve"> increase or decrease in PD estimates at 31 December </w:t>
            </w:r>
            <w:r w:rsidR="008614F8">
              <w:rPr>
                <w:color w:val="0000FF"/>
                <w:sz w:val="20"/>
                <w:szCs w:val="20"/>
              </w:rPr>
              <w:t>2025</w:t>
            </w:r>
            <w:r>
              <w:rPr>
                <w:color w:val="0000FF"/>
                <w:sz w:val="20"/>
                <w:szCs w:val="20"/>
              </w:rPr>
              <w:t xml:space="preserve"> would result in an increase or decrease in total expected credit loss allowances of EUR ____ thousand (31 December </w:t>
            </w:r>
            <w:r w:rsidR="00FF468A">
              <w:rPr>
                <w:color w:val="0000FF"/>
                <w:sz w:val="20"/>
                <w:szCs w:val="20"/>
              </w:rPr>
              <w:t>2024</w:t>
            </w:r>
            <w:r>
              <w:rPr>
                <w:color w:val="0000FF"/>
                <w:sz w:val="20"/>
                <w:szCs w:val="20"/>
              </w:rPr>
              <w:t xml:space="preserve">: by EUR ______ thousand). </w:t>
            </w:r>
          </w:p>
          <w:p w14:paraId="001D99F5" w14:textId="52814C2C" w:rsidR="008A5D34" w:rsidRDefault="00780368">
            <w:pPr>
              <w:widowControl w:val="0"/>
              <w:pBdr>
                <w:top w:val="nil"/>
                <w:left w:val="nil"/>
                <w:bottom w:val="nil"/>
                <w:right w:val="nil"/>
                <w:between w:val="nil"/>
              </w:pBdr>
              <w:spacing w:before="200" w:after="200" w:line="228" w:lineRule="auto"/>
              <w:jc w:val="both"/>
              <w:rPr>
                <w:i/>
                <w:color w:val="FF0000"/>
                <w:sz w:val="20"/>
                <w:szCs w:val="20"/>
              </w:rPr>
            </w:pPr>
            <w:r>
              <w:rPr>
                <w:color w:val="0000FF"/>
                <w:sz w:val="20"/>
                <w:szCs w:val="20"/>
              </w:rPr>
              <w:t>A [</w:t>
            </w:r>
            <w:proofErr w:type="gramStart"/>
            <w:r>
              <w:rPr>
                <w:color w:val="0000FF"/>
                <w:sz w:val="20"/>
                <w:szCs w:val="20"/>
              </w:rPr>
              <w:t>10]%</w:t>
            </w:r>
            <w:proofErr w:type="gramEnd"/>
            <w:r>
              <w:rPr>
                <w:color w:val="0000FF"/>
                <w:sz w:val="20"/>
                <w:szCs w:val="20"/>
              </w:rPr>
              <w:t xml:space="preserve"> increase or decrease in credit loss experience based on which the incurred loss allowances were estimated 31 December </w:t>
            </w:r>
            <w:r w:rsidR="008614F8">
              <w:rPr>
                <w:color w:val="0000FF"/>
                <w:sz w:val="20"/>
                <w:szCs w:val="20"/>
              </w:rPr>
              <w:t>2025</w:t>
            </w:r>
            <w:r>
              <w:rPr>
                <w:color w:val="0000FF"/>
                <w:sz w:val="20"/>
                <w:szCs w:val="20"/>
              </w:rPr>
              <w:t xml:space="preserve"> would result in an increase or decrease in credit loss allowances of EUR ____ thousand as of that date (31 December </w:t>
            </w:r>
            <w:r w:rsidR="00FF468A">
              <w:rPr>
                <w:color w:val="0000FF"/>
                <w:sz w:val="20"/>
                <w:szCs w:val="20"/>
              </w:rPr>
              <w:t>2024</w:t>
            </w:r>
            <w:r>
              <w:rPr>
                <w:color w:val="0000FF"/>
                <w:sz w:val="20"/>
                <w:szCs w:val="20"/>
              </w:rPr>
              <w:t xml:space="preserve">: by EUR ______ thousand).] </w:t>
            </w:r>
            <w:r>
              <w:rPr>
                <w:i/>
                <w:color w:val="FF0000"/>
                <w:sz w:val="20"/>
                <w:szCs w:val="20"/>
              </w:rPr>
              <w:t xml:space="preserve"> </w:t>
            </w:r>
          </w:p>
          <w:p w14:paraId="6427A461" w14:textId="21295188" w:rsidR="008E5DE4" w:rsidRDefault="00780368">
            <w:pPr>
              <w:widowControl w:val="0"/>
              <w:pBdr>
                <w:top w:val="nil"/>
                <w:left w:val="nil"/>
                <w:bottom w:val="nil"/>
                <w:right w:val="nil"/>
                <w:between w:val="nil"/>
              </w:pBdr>
              <w:spacing w:before="200" w:after="200" w:line="228" w:lineRule="auto"/>
              <w:jc w:val="both"/>
              <w:rPr>
                <w:i/>
                <w:color w:val="FF0000"/>
                <w:sz w:val="20"/>
                <w:szCs w:val="20"/>
              </w:rPr>
            </w:pPr>
            <w:r>
              <w:rPr>
                <w:b/>
                <w:i/>
                <w:color w:val="000000"/>
                <w:sz w:val="20"/>
                <w:szCs w:val="20"/>
              </w:rPr>
              <w:t xml:space="preserve">Significant increase in credit risk (“SICR”). </w:t>
            </w:r>
            <w:proofErr w:type="gramStart"/>
            <w:r>
              <w:rPr>
                <w:color w:val="000000"/>
                <w:sz w:val="20"/>
                <w:szCs w:val="20"/>
              </w:rPr>
              <w:t>In order to</w:t>
            </w:r>
            <w:proofErr w:type="gramEnd"/>
            <w:r>
              <w:rPr>
                <w:color w:val="000000"/>
                <w:sz w:val="20"/>
                <w:szCs w:val="20"/>
              </w:rPr>
              <w:t xml:space="preserve"> determine whether there has been a significant increase in credit risk, the Group compares the risk of a default occurring over the life of a loan issued at the end of the reporting date with the risk of default at the date of initial recognition. The assessment considers relative increase in credit risk rather than achieving a specific level of credit risk at the end of the reporting period. The Group considers all reasonable and supportable forward</w:t>
            </w:r>
            <w:r w:rsidR="007652E2">
              <w:rPr>
                <w:color w:val="000000"/>
                <w:sz w:val="20"/>
                <w:szCs w:val="20"/>
              </w:rPr>
              <w:t>-</w:t>
            </w:r>
            <w:r>
              <w:rPr>
                <w:color w:val="000000"/>
                <w:sz w:val="20"/>
                <w:szCs w:val="20"/>
              </w:rPr>
              <w:t xml:space="preserve">looking information available without undue cost and effort, which includes a range of factors, including behavioural aspects of </w:t>
            </w:r>
            <w:proofErr w:type="gramStart"/>
            <w:r>
              <w:rPr>
                <w:color w:val="000000"/>
                <w:sz w:val="20"/>
                <w:szCs w:val="20"/>
              </w:rPr>
              <w:t>particular customer</w:t>
            </w:r>
            <w:proofErr w:type="gramEnd"/>
            <w:r>
              <w:rPr>
                <w:color w:val="000000"/>
                <w:sz w:val="20"/>
                <w:szCs w:val="20"/>
              </w:rPr>
              <w:t xml:space="preserve"> portfolios. The Group identifies behavioural indicators of increases in credit risk prior to delinquency and incorporated appropriate forward</w:t>
            </w:r>
            <w:r w:rsidR="007652E2">
              <w:rPr>
                <w:color w:val="000000"/>
                <w:sz w:val="20"/>
                <w:szCs w:val="20"/>
              </w:rPr>
              <w:t>-</w:t>
            </w:r>
            <w:r>
              <w:rPr>
                <w:color w:val="000000"/>
                <w:sz w:val="20"/>
                <w:szCs w:val="20"/>
              </w:rPr>
              <w:t>looking information into the credit risk assessment, either at an individual instrument, or on a portfolio level. Refer to Note 51.</w:t>
            </w:r>
            <w:r>
              <w:rPr>
                <w:color w:val="0000FF"/>
                <w:sz w:val="20"/>
                <w:szCs w:val="20"/>
              </w:rPr>
              <w:t xml:space="preserve"> </w:t>
            </w:r>
          </w:p>
          <w:p w14:paraId="5FDA0610" w14:textId="7B8A5E25" w:rsidR="008E5DE4" w:rsidRDefault="00780368">
            <w:pPr>
              <w:widowControl w:val="0"/>
              <w:pBdr>
                <w:top w:val="nil"/>
                <w:left w:val="nil"/>
                <w:bottom w:val="nil"/>
                <w:right w:val="nil"/>
                <w:between w:val="nil"/>
              </w:pBdr>
              <w:spacing w:before="200" w:after="200"/>
              <w:jc w:val="both"/>
              <w:rPr>
                <w:i/>
                <w:color w:val="FF0000"/>
                <w:sz w:val="20"/>
                <w:szCs w:val="20"/>
              </w:rPr>
            </w:pPr>
            <w:r>
              <w:rPr>
                <w:color w:val="0000FF"/>
                <w:sz w:val="20"/>
                <w:szCs w:val="20"/>
              </w:rPr>
              <w:t xml:space="preserve">[Should ECL on all loans issued at AC be measured at lifetime ECL (that is, including those that are currently in Stage 1 measured at 12-months ECL), the expected credit loss allowance would be higher by EUR ____ thousand as of 31 December </w:t>
            </w:r>
            <w:r w:rsidR="008614F8">
              <w:rPr>
                <w:color w:val="0000FF"/>
                <w:sz w:val="20"/>
                <w:szCs w:val="20"/>
              </w:rPr>
              <w:t>2025</w:t>
            </w:r>
            <w:r>
              <w:rPr>
                <w:color w:val="0000FF"/>
                <w:sz w:val="20"/>
                <w:szCs w:val="20"/>
              </w:rPr>
              <w:t xml:space="preserve"> (31 December </w:t>
            </w:r>
            <w:r w:rsidR="00FF468A">
              <w:rPr>
                <w:color w:val="0000FF"/>
                <w:sz w:val="20"/>
                <w:szCs w:val="20"/>
              </w:rPr>
              <w:t>2024</w:t>
            </w:r>
            <w:r>
              <w:rPr>
                <w:color w:val="0000FF"/>
                <w:sz w:val="20"/>
                <w:szCs w:val="20"/>
              </w:rPr>
              <w:t>: higher by EUR ____ thousand).]</w:t>
            </w:r>
          </w:p>
          <w:p w14:paraId="4A277212"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Business model assessment.</w:t>
            </w:r>
            <w:r>
              <w:rPr>
                <w:color w:val="FF0000"/>
                <w:sz w:val="20"/>
                <w:szCs w:val="20"/>
              </w:rPr>
              <w:t xml:space="preserve"> </w:t>
            </w:r>
            <w:r>
              <w:rPr>
                <w:color w:val="000000"/>
                <w:sz w:val="20"/>
                <w:szCs w:val="20"/>
              </w:rPr>
              <w:t xml:space="preserve">The business model drives classification of loans issued. Management applied judgement in determining the level of aggregation and portfolios of financial instruments when performing the business model assessment. When assessing sales transactions, the Group considers their historical frequency, timing and value, reasons for the sales and expectations about future sales activity. Sales transactions aimed at minimising potential losses due to credit deterioration are considered consistent with the “hold to collect” business model. Other sales before maturity, not related to credit risk management activities, are also consistent with the “hold to collect” business model, </w:t>
            </w:r>
            <w:proofErr w:type="gramStart"/>
            <w:r>
              <w:rPr>
                <w:color w:val="000000"/>
                <w:sz w:val="20"/>
                <w:szCs w:val="20"/>
              </w:rPr>
              <w:t>provided that</w:t>
            </w:r>
            <w:proofErr w:type="gramEnd"/>
            <w:r>
              <w:rPr>
                <w:color w:val="000000"/>
                <w:sz w:val="20"/>
                <w:szCs w:val="20"/>
              </w:rPr>
              <w:t xml:space="preserve"> they are infrequent or insignificant in value, both individually and in aggregate. The Group assesses significance of sales transactions by comparing the value of the sales to the value of the portfolio subject to the business model assessment over the average life of the portfolio. In addition, sales of loans issued expected only in stress case scenario, or in response to an isolated event that is beyond the Group’s control, is not recurring and could not have been anticipated by the Group, are regarded as incidental to the business model objective and do not impact the classification of the respective loans issued. </w:t>
            </w:r>
          </w:p>
          <w:p w14:paraId="665009B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“hold to collect and sell” business model means that assets are held to collect the cash flows, but selling is also integral to achieving the business model’s objective, such as, managing liquidity needs, achieving a particular yield, or matching the duration of the financial assets to the duration of the liabilities that fund those assets.</w:t>
            </w:r>
          </w:p>
          <w:p w14:paraId="2791578C"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residual category includes those portfolios of loans issued, which are managed with the objective of realising cash flows primarily through sale, such as where a pattern of trading exists. Collecting contractual cash flow is often incidental for this business model. </w:t>
            </w:r>
          </w:p>
          <w:p w14:paraId="0DD853D4" w14:textId="77777777"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[The Group assessed that the portfolio of the following financial instruments: [….] meets the criteria for held to collect business model and determined that the past securitisation transactions were infrequent and therefore are not inconsistent with the held to collect business model.]</w:t>
            </w:r>
          </w:p>
          <w:p w14:paraId="5A5C5CB5" w14:textId="77777777" w:rsidR="008E5DE4" w:rsidRDefault="00780368" w:rsidP="007F183E">
            <w:pPr>
              <w:pageBreakBefore/>
              <w:pBdr>
                <w:top w:val="nil"/>
                <w:left w:val="nil"/>
                <w:bottom w:val="nil"/>
                <w:right w:val="nil"/>
                <w:between w:val="nil"/>
              </w:pBdr>
              <w:spacing w:after="240"/>
              <w:jc w:val="both"/>
              <w:rPr>
                <w:color w:val="000000"/>
                <w:sz w:val="20"/>
                <w:szCs w:val="20"/>
              </w:rPr>
            </w:pPr>
            <w:r>
              <w:rPr>
                <w:b/>
                <w:i/>
                <w:color w:val="000000"/>
                <w:sz w:val="20"/>
                <w:szCs w:val="20"/>
              </w:rPr>
              <w:t>Assessment whether cash flows are solely payments of principal and interest (“SPPI”).</w:t>
            </w:r>
            <w:r>
              <w:rPr>
                <w:color w:val="FF0000"/>
                <w:sz w:val="20"/>
                <w:szCs w:val="20"/>
              </w:rPr>
              <w:t xml:space="preserve"> </w:t>
            </w:r>
            <w:r>
              <w:rPr>
                <w:color w:val="000000"/>
                <w:sz w:val="20"/>
                <w:szCs w:val="20"/>
              </w:rPr>
              <w:t xml:space="preserve">Determining whether cash flows from loans issued are solely payments of principal and interest required judgement. </w:t>
            </w:r>
          </w:p>
          <w:p w14:paraId="245D6D03" w14:textId="5ABE71D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time value of money element may be modified, for example, if a contractual interest rate is periodically reset but the frequency of that reset does not match the tenor of the debt instrument’s underlying base interest rate. The effect of the modified time value of money was assessed by comparing relevant instrument’s cash flows against a benchmark debt instrument with SPPI cash flows, in each period and cumulatively over the life of the instrument. The assessment was done for all reasonably possible scenarios, </w:t>
            </w:r>
            <w:r>
              <w:rPr>
                <w:color w:val="000000"/>
                <w:sz w:val="20"/>
                <w:szCs w:val="20"/>
              </w:rPr>
              <w:lastRenderedPageBreak/>
              <w:t xml:space="preserve">including reasonably possible financial stress situation that can occur in financial markets. The Group applied a threshold of </w:t>
            </w:r>
            <w:r>
              <w:rPr>
                <w:color w:val="3820EC"/>
                <w:sz w:val="20"/>
                <w:szCs w:val="20"/>
              </w:rPr>
              <w:t>[5%]</w:t>
            </w:r>
            <w:r>
              <w:rPr>
                <w:color w:val="000000"/>
                <w:sz w:val="20"/>
                <w:szCs w:val="20"/>
              </w:rPr>
              <w:t xml:space="preserve"> to determine whether differences against benchmark instruments are significantly different. In case of a scenario with cash flows that significantly differ from the benchmark, the assessed instrument’s cash flows are not </w:t>
            </w:r>
            <w:proofErr w:type="gramStart"/>
            <w:r>
              <w:rPr>
                <w:color w:val="000000"/>
                <w:sz w:val="20"/>
                <w:szCs w:val="20"/>
              </w:rPr>
              <w:t>SPPI</w:t>
            </w:r>
            <w:proofErr w:type="gramEnd"/>
            <w:r>
              <w:rPr>
                <w:color w:val="000000"/>
                <w:sz w:val="20"/>
                <w:szCs w:val="20"/>
              </w:rPr>
              <w:t xml:space="preserve"> and the instrument is then carried at FVTPL.</w:t>
            </w:r>
          </w:p>
          <w:p w14:paraId="2F2BDD17"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identified and considered contractual terms that change the timing or amount of contractual cash flows. The SPPI criterion is met if a loan allows early settlement and the prepayment amount substantially represents principal and accrued interest, plus a reasonable additional compensation for the early termination of the contract. The asset’s principal is the fair value at initial recognition less subsequent principal repayments, i.e. instalments net of interest determined using the effective interest method. As an exception to this principle, the standard also allows instruments with prepayment features that meet the following condition to meet SPPI: (</w:t>
            </w:r>
            <w:proofErr w:type="spellStart"/>
            <w:r>
              <w:rPr>
                <w:color w:val="000000"/>
                <w:sz w:val="20"/>
                <w:szCs w:val="20"/>
              </w:rPr>
              <w:t>i</w:t>
            </w:r>
            <w:proofErr w:type="spellEnd"/>
            <w:r>
              <w:rPr>
                <w:color w:val="000000"/>
                <w:sz w:val="20"/>
                <w:szCs w:val="20"/>
              </w:rPr>
              <w:t xml:space="preserve">) the asset is originated at a premium or discount, (ii) the prepayment amount represents contractual </w:t>
            </w:r>
            <w:proofErr w:type="spellStart"/>
            <w:r>
              <w:rPr>
                <w:color w:val="000000"/>
                <w:sz w:val="20"/>
                <w:szCs w:val="20"/>
              </w:rPr>
              <w:t>par amount</w:t>
            </w:r>
            <w:proofErr w:type="spellEnd"/>
            <w:r>
              <w:rPr>
                <w:color w:val="000000"/>
                <w:sz w:val="20"/>
                <w:szCs w:val="20"/>
              </w:rPr>
              <w:t xml:space="preserve"> and accrued interest and a reasonable additional compensation for the early termination of the contract, and (ii) the fair value of the prepayment feature is immaterial at initial recognition.</w:t>
            </w:r>
          </w:p>
          <w:p w14:paraId="40CD7C6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Groups’ loans issued include cross-selling clauses that represent a reduction in the interest rate upon the customer </w:t>
            </w:r>
            <w:proofErr w:type="gramStart"/>
            <w:r>
              <w:rPr>
                <w:color w:val="000000"/>
                <w:sz w:val="20"/>
                <w:szCs w:val="20"/>
              </w:rPr>
              <w:t>entering into</w:t>
            </w:r>
            <w:proofErr w:type="gramEnd"/>
            <w:r>
              <w:rPr>
                <w:color w:val="000000"/>
                <w:sz w:val="20"/>
                <w:szCs w:val="20"/>
              </w:rPr>
              <w:t xml:space="preserve"> other contracts with the Group or achieving certain criteria. The cash flows are SPPI if such clauses merely reduce the Group’s overall profit margin on the instrument and there are no other features inconsistent with a basic lending arrangement.</w:t>
            </w:r>
          </w:p>
          <w:p w14:paraId="2629FBA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considered examples in the standard and concluded that features that arise solely from legislation and that are not part of the contract, that is, if legislation changed, the features would no longer apply (such as bail in legislation relevant to bank deposits in certain countries), are not relevant for assessing whether cash flows are SPPI.</w:t>
            </w:r>
          </w:p>
          <w:p w14:paraId="33A7B153"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Group’s loan agreements allow adjusting interest rates in response to certain macro-economic or regulatory changes. Management applied judgement and assessed that the practical ability of the borrowers to refinance the loans would prevent it from resetting the interest rates at an above-market level and hence cash flows were assessed as being SPPI.</w:t>
            </w:r>
          </w:p>
          <w:p w14:paraId="434A8276"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instruments that failed the SPPI test are measured at FVTPL are described in Note 51.</w:t>
            </w:r>
          </w:p>
          <w:p w14:paraId="3B5FC42E" w14:textId="3C7240A7" w:rsidR="008E5DE4" w:rsidRDefault="00780368" w:rsidP="007F183E">
            <w:pPr>
              <w:pageBreakBefore/>
              <w:pBdr>
                <w:top w:val="nil"/>
                <w:left w:val="nil"/>
                <w:bottom w:val="nil"/>
                <w:right w:val="nil"/>
                <w:between w:val="nil"/>
              </w:pBdr>
              <w:tabs>
                <w:tab w:val="left" w:pos="560"/>
              </w:tabs>
              <w:spacing w:after="240"/>
              <w:jc w:val="both"/>
              <w:rPr>
                <w:color w:val="000000"/>
                <w:sz w:val="20"/>
                <w:szCs w:val="20"/>
              </w:rPr>
            </w:pPr>
            <w:r>
              <w:rPr>
                <w:b/>
                <w:i/>
                <w:color w:val="000000"/>
                <w:sz w:val="20"/>
                <w:szCs w:val="20"/>
              </w:rPr>
              <w:t xml:space="preserve">Modification of loans issued. </w:t>
            </w:r>
            <w:r>
              <w:rPr>
                <w:color w:val="000000"/>
                <w:sz w:val="20"/>
                <w:szCs w:val="20"/>
              </w:rPr>
              <w:t xml:space="preserve">When loans issued are contractually modified (e.g. renegotiated), the Group assesses whether the modification is substantial and should result in derecognition of the original asset and recognition of a new asset at fair value. This assessment is based primarily on qualitative factors, described in the relevant accounting policy and it requires significant judgment. In particular, the Group applies judgment in deciding whether credit impaired renegotiated loans should be derecognised and whether the new recognised loans should be considered as credit impaired on initial recognition. The derecognition assessment depends on whether the risks and rewards, that is, the variability of expected (rather than contractual) cash flows, change </w:t>
            </w:r>
            <w:proofErr w:type="gramStart"/>
            <w:r>
              <w:rPr>
                <w:color w:val="000000"/>
                <w:sz w:val="20"/>
                <w:szCs w:val="20"/>
              </w:rPr>
              <w:t>as a result of</w:t>
            </w:r>
            <w:proofErr w:type="gramEnd"/>
            <w:r>
              <w:rPr>
                <w:color w:val="000000"/>
                <w:sz w:val="20"/>
                <w:szCs w:val="20"/>
              </w:rPr>
              <w:t xml:space="preserve"> such modifications. Management determined that risks and rewards did not change </w:t>
            </w:r>
            <w:proofErr w:type="gramStart"/>
            <w:r>
              <w:rPr>
                <w:color w:val="000000"/>
                <w:sz w:val="20"/>
                <w:szCs w:val="20"/>
              </w:rPr>
              <w:t>as a result of</w:t>
            </w:r>
            <w:proofErr w:type="gramEnd"/>
            <w:r>
              <w:rPr>
                <w:color w:val="000000"/>
                <w:sz w:val="20"/>
                <w:szCs w:val="20"/>
              </w:rPr>
              <w:t xml:space="preserve"> modifying such loans and therefore in substantially all such modifications, the loans were neither derecognised nor reclassified out of the credit-impaired stage.</w:t>
            </w:r>
          </w:p>
          <w:p w14:paraId="63F5E31D" w14:textId="04BC7F32"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Write-off policy. </w:t>
            </w:r>
            <w:r>
              <w:rPr>
                <w:color w:val="000000"/>
                <w:sz w:val="20"/>
                <w:szCs w:val="20"/>
              </w:rPr>
              <w:t>Loans issued are written</w:t>
            </w:r>
            <w:r w:rsidR="007652E2">
              <w:rPr>
                <w:color w:val="000000"/>
                <w:sz w:val="20"/>
                <w:szCs w:val="20"/>
              </w:rPr>
              <w:t xml:space="preserve"> </w:t>
            </w:r>
            <w:r>
              <w:rPr>
                <w:color w:val="000000"/>
                <w:sz w:val="20"/>
                <w:szCs w:val="20"/>
              </w:rPr>
              <w:t xml:space="preserve">off, in whole or in part, when the Group exhausted all practical recovery efforts and has concluded that there is no reasonable expectation of recovery. Determining the cash flows for which there is no reasonable expectation of recovery requires judgement. Management considered the following indicators that there is no reasonable expectation of recovery: </w:t>
            </w:r>
            <w:r>
              <w:rPr>
                <w:color w:val="0000FF"/>
                <w:sz w:val="20"/>
                <w:szCs w:val="20"/>
              </w:rPr>
              <w:t>[loans being past due over ___ days, liquidation or bankruptcy proceedings, fair value of collateral is less than the costs to repossess it or enforcement activities were completed]</w:t>
            </w:r>
            <w:r>
              <w:rPr>
                <w:color w:val="000000"/>
                <w:sz w:val="20"/>
                <w:szCs w:val="20"/>
              </w:rPr>
              <w:t>.</w:t>
            </w:r>
            <w:r>
              <w:rPr>
                <w:color w:val="0000FF"/>
                <w:sz w:val="20"/>
                <w:szCs w:val="20"/>
              </w:rPr>
              <w:t xml:space="preserve"> </w:t>
            </w:r>
            <w:r>
              <w:rPr>
                <w:color w:val="000000"/>
                <w:sz w:val="20"/>
                <w:szCs w:val="20"/>
              </w:rPr>
              <w:t xml:space="preserve">Management also considers, based on past practices, that contractual default interest is not collectible for loans overdue over ___ days. Therefore, the default interest was </w:t>
            </w:r>
            <w:proofErr w:type="gramStart"/>
            <w:r>
              <w:rPr>
                <w:color w:val="000000"/>
                <w:sz w:val="20"/>
                <w:szCs w:val="20"/>
              </w:rPr>
              <w:t>written-off</w:t>
            </w:r>
            <w:proofErr w:type="gramEnd"/>
            <w:r>
              <w:rPr>
                <w:color w:val="000000"/>
                <w:sz w:val="20"/>
                <w:szCs w:val="20"/>
              </w:rPr>
              <w:t xml:space="preserve"> from the gross carrying amounts of the respective loans. </w:t>
            </w:r>
          </w:p>
          <w:p w14:paraId="6B16B789"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618BE11A" w14:textId="77777777" w:rsidR="008E5DE4" w:rsidRDefault="008E5DE4"/>
        </w:tc>
      </w:tr>
    </w:tbl>
    <w:p w14:paraId="2B6BA0AC" w14:textId="77777777" w:rsidR="008E5DE4" w:rsidRDefault="008E5DE4"/>
    <w:p w14:paraId="54AA5837" w14:textId="77777777" w:rsidR="00844C35" w:rsidRDefault="00844C35" w:rsidP="00844C35">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7FCF7437" w14:textId="77777777" w:rsidR="00844C35" w:rsidRDefault="00844C35"/>
    <w:tbl>
      <w:tblPr>
        <w:tblStyle w:val="affff9"/>
        <w:tblW w:w="9355" w:type="dxa"/>
        <w:tblLayout w:type="fixed"/>
        <w:tblLook w:val="0000" w:firstRow="0" w:lastRow="0" w:firstColumn="0" w:lastColumn="0" w:noHBand="0" w:noVBand="0"/>
      </w:tblPr>
      <w:tblGrid>
        <w:gridCol w:w="6293"/>
        <w:gridCol w:w="1531"/>
        <w:gridCol w:w="1531"/>
      </w:tblGrid>
      <w:tr w:rsidR="008E5DE4" w14:paraId="628752F3" w14:textId="77777777">
        <w:trPr>
          <w:cantSplit/>
        </w:trPr>
        <w:tc>
          <w:tcPr>
            <w:tcW w:w="6293" w:type="dxa"/>
            <w:tcBorders>
              <w:bottom w:val="single" w:sz="4" w:space="0" w:color="000000"/>
            </w:tcBorders>
            <w:vAlign w:val="bottom"/>
          </w:tcPr>
          <w:p w14:paraId="6E7A472E" w14:textId="77777777" w:rsidR="008E5DE4" w:rsidRDefault="008E5DE4">
            <w:pPr>
              <w:keepNext/>
              <w:keepLines/>
              <w:widowControl w:val="0"/>
              <w:pBdr>
                <w:top w:val="nil"/>
                <w:left w:val="nil"/>
                <w:bottom w:val="nil"/>
                <w:right w:val="nil"/>
                <w:between w:val="nil"/>
              </w:pBdr>
              <w:ind w:left="113" w:right="-57" w:hanging="113"/>
              <w:rPr>
                <w:i/>
                <w:color w:val="000000"/>
              </w:rPr>
            </w:pPr>
          </w:p>
          <w:p w14:paraId="64099FA7" w14:textId="77777777" w:rsidR="008E5DE4" w:rsidRDefault="00780368">
            <w:pPr>
              <w:keepNext/>
              <w:keepLines/>
              <w:widowControl w:val="0"/>
              <w:pBdr>
                <w:top w:val="nil"/>
                <w:left w:val="nil"/>
                <w:bottom w:val="nil"/>
                <w:right w:val="nil"/>
                <w:between w:val="nil"/>
              </w:pBdr>
              <w:ind w:left="113" w:right="-57" w:hanging="113"/>
              <w:rPr>
                <w:b/>
                <w:i/>
                <w:color w:val="000000"/>
              </w:rPr>
            </w:pPr>
            <w:r>
              <w:rPr>
                <w:i/>
                <w:color w:val="000000"/>
              </w:rPr>
              <w:t>In thousands of EUR</w:t>
            </w:r>
          </w:p>
        </w:tc>
        <w:tc>
          <w:tcPr>
            <w:tcW w:w="1531" w:type="dxa"/>
            <w:tcBorders>
              <w:bottom w:val="single" w:sz="4" w:space="0" w:color="000000"/>
            </w:tcBorders>
            <w:vAlign w:val="bottom"/>
          </w:tcPr>
          <w:p w14:paraId="603EB1E4" w14:textId="79856495" w:rsidR="008E5DE4" w:rsidRDefault="008614F8">
            <w:pPr>
              <w:keepNext/>
              <w:keepLines/>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603B6B11" w14:textId="3644330F" w:rsidR="008E5DE4" w:rsidRDefault="00FF468A">
            <w:pPr>
              <w:keepNext/>
              <w:keepLines/>
              <w:widowControl w:val="0"/>
              <w:pBdr>
                <w:top w:val="nil"/>
                <w:left w:val="nil"/>
                <w:bottom w:val="nil"/>
                <w:right w:val="nil"/>
                <w:between w:val="nil"/>
              </w:pBdr>
              <w:jc w:val="right"/>
              <w:rPr>
                <w:b/>
                <w:color w:val="000000"/>
              </w:rPr>
            </w:pPr>
            <w:r>
              <w:rPr>
                <w:b/>
                <w:color w:val="000000"/>
              </w:rPr>
              <w:t>2024</w:t>
            </w:r>
          </w:p>
        </w:tc>
      </w:tr>
      <w:tr w:rsidR="008E5DE4" w14:paraId="50E79D77" w14:textId="77777777">
        <w:trPr>
          <w:cantSplit/>
        </w:trPr>
        <w:tc>
          <w:tcPr>
            <w:tcW w:w="6293" w:type="dxa"/>
            <w:vAlign w:val="bottom"/>
          </w:tcPr>
          <w:p w14:paraId="7C862411"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1531" w:type="dxa"/>
            <w:vAlign w:val="bottom"/>
          </w:tcPr>
          <w:p w14:paraId="4122A0AE" w14:textId="77777777" w:rsidR="008E5DE4" w:rsidRDefault="008E5DE4">
            <w:pPr>
              <w:keepNext/>
              <w:keepLines/>
              <w:widowControl w:val="0"/>
              <w:jc w:val="right"/>
            </w:pPr>
          </w:p>
        </w:tc>
        <w:tc>
          <w:tcPr>
            <w:tcW w:w="1531" w:type="dxa"/>
            <w:vAlign w:val="bottom"/>
          </w:tcPr>
          <w:p w14:paraId="687AFA77" w14:textId="77777777" w:rsidR="008E5DE4" w:rsidRDefault="008E5DE4">
            <w:pPr>
              <w:keepNext/>
              <w:keepLines/>
              <w:widowControl w:val="0"/>
              <w:jc w:val="right"/>
            </w:pPr>
          </w:p>
        </w:tc>
      </w:tr>
      <w:tr w:rsidR="008E5DE4" w14:paraId="7DA1C53D" w14:textId="77777777">
        <w:trPr>
          <w:cantSplit/>
        </w:trPr>
        <w:tc>
          <w:tcPr>
            <w:tcW w:w="6293" w:type="dxa"/>
            <w:vAlign w:val="bottom"/>
          </w:tcPr>
          <w:p w14:paraId="6090D032"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Corporate loans</w:t>
            </w:r>
          </w:p>
        </w:tc>
        <w:tc>
          <w:tcPr>
            <w:tcW w:w="1531" w:type="dxa"/>
            <w:vAlign w:val="bottom"/>
          </w:tcPr>
          <w:p w14:paraId="2E8FF292"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3598DCC" w14:textId="77777777" w:rsidR="008E5DE4" w:rsidRDefault="008E5DE4">
            <w:pPr>
              <w:keepNext/>
              <w:keepLines/>
              <w:widowControl w:val="0"/>
              <w:pBdr>
                <w:top w:val="nil"/>
                <w:left w:val="nil"/>
                <w:bottom w:val="nil"/>
                <w:right w:val="nil"/>
                <w:between w:val="nil"/>
              </w:pBdr>
              <w:jc w:val="right"/>
              <w:rPr>
                <w:color w:val="000000"/>
              </w:rPr>
            </w:pPr>
          </w:p>
        </w:tc>
      </w:tr>
      <w:tr w:rsidR="008E5DE4" w14:paraId="319AC003" w14:textId="77777777">
        <w:trPr>
          <w:cantSplit/>
        </w:trPr>
        <w:tc>
          <w:tcPr>
            <w:tcW w:w="6293" w:type="dxa"/>
            <w:vAlign w:val="bottom"/>
          </w:tcPr>
          <w:p w14:paraId="4218B836" w14:textId="52D660C0" w:rsidR="008E5DE4" w:rsidRDefault="00780368">
            <w:pPr>
              <w:keepNext/>
              <w:keepLines/>
              <w:widowControl w:val="0"/>
              <w:pBdr>
                <w:top w:val="nil"/>
                <w:left w:val="nil"/>
                <w:bottom w:val="nil"/>
                <w:right w:val="nil"/>
                <w:between w:val="nil"/>
              </w:pBdr>
              <w:ind w:left="113" w:right="-57" w:hanging="113"/>
              <w:rPr>
                <w:color w:val="000000"/>
              </w:rPr>
            </w:pPr>
            <w:r>
              <w:rPr>
                <w:color w:val="000000"/>
              </w:rPr>
              <w:t xml:space="preserve">State and municipal organisations </w:t>
            </w:r>
          </w:p>
        </w:tc>
        <w:tc>
          <w:tcPr>
            <w:tcW w:w="1531" w:type="dxa"/>
            <w:vAlign w:val="bottom"/>
          </w:tcPr>
          <w:p w14:paraId="495FBD9E"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8FA339B" w14:textId="77777777" w:rsidR="008E5DE4" w:rsidRDefault="008E5DE4">
            <w:pPr>
              <w:keepNext/>
              <w:keepLines/>
              <w:widowControl w:val="0"/>
              <w:pBdr>
                <w:top w:val="nil"/>
                <w:left w:val="nil"/>
                <w:bottom w:val="nil"/>
                <w:right w:val="nil"/>
                <w:between w:val="nil"/>
              </w:pBdr>
              <w:jc w:val="right"/>
              <w:rPr>
                <w:color w:val="000000"/>
              </w:rPr>
            </w:pPr>
          </w:p>
        </w:tc>
      </w:tr>
      <w:tr w:rsidR="008E5DE4" w14:paraId="1C237C79" w14:textId="77777777">
        <w:trPr>
          <w:cantSplit/>
        </w:trPr>
        <w:tc>
          <w:tcPr>
            <w:tcW w:w="6293" w:type="dxa"/>
            <w:vAlign w:val="bottom"/>
          </w:tcPr>
          <w:p w14:paraId="18C512ED"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1531" w:type="dxa"/>
            <w:vAlign w:val="bottom"/>
          </w:tcPr>
          <w:p w14:paraId="5B73CDC9"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04AA80FF" w14:textId="77777777" w:rsidR="008E5DE4" w:rsidRDefault="008E5DE4">
            <w:pPr>
              <w:keepNext/>
              <w:keepLines/>
              <w:widowControl w:val="0"/>
              <w:pBdr>
                <w:top w:val="nil"/>
                <w:left w:val="nil"/>
                <w:bottom w:val="nil"/>
                <w:right w:val="nil"/>
                <w:between w:val="nil"/>
              </w:pBdr>
              <w:jc w:val="right"/>
              <w:rPr>
                <w:color w:val="000000"/>
              </w:rPr>
            </w:pPr>
          </w:p>
        </w:tc>
      </w:tr>
      <w:tr w:rsidR="008E5DE4" w14:paraId="3AFDB8C7" w14:textId="77777777">
        <w:trPr>
          <w:cantSplit/>
        </w:trPr>
        <w:tc>
          <w:tcPr>
            <w:tcW w:w="6293" w:type="dxa"/>
            <w:vAlign w:val="bottom"/>
          </w:tcPr>
          <w:p w14:paraId="186AEC86"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Less: Credit loss allowance charge in profit or loss</w:t>
            </w:r>
          </w:p>
        </w:tc>
        <w:tc>
          <w:tcPr>
            <w:tcW w:w="1531" w:type="dxa"/>
            <w:vAlign w:val="bottom"/>
          </w:tcPr>
          <w:p w14:paraId="59009DDB"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07B4B7D9" w14:textId="77777777" w:rsidR="008E5DE4" w:rsidRDefault="008E5DE4">
            <w:pPr>
              <w:keepNext/>
              <w:keepLines/>
              <w:widowControl w:val="0"/>
              <w:pBdr>
                <w:top w:val="nil"/>
                <w:left w:val="nil"/>
                <w:bottom w:val="nil"/>
                <w:right w:val="nil"/>
                <w:between w:val="nil"/>
              </w:pBdr>
              <w:jc w:val="right"/>
              <w:rPr>
                <w:color w:val="000000"/>
              </w:rPr>
            </w:pPr>
          </w:p>
        </w:tc>
      </w:tr>
      <w:tr w:rsidR="008E5DE4" w14:paraId="39D5E522" w14:textId="77777777">
        <w:trPr>
          <w:cantSplit/>
        </w:trPr>
        <w:tc>
          <w:tcPr>
            <w:tcW w:w="6293" w:type="dxa"/>
            <w:tcBorders>
              <w:bottom w:val="single" w:sz="4" w:space="0" w:color="000000"/>
            </w:tcBorders>
            <w:vAlign w:val="bottom"/>
          </w:tcPr>
          <w:p w14:paraId="32A685EE"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1531" w:type="dxa"/>
            <w:tcBorders>
              <w:bottom w:val="single" w:sz="4" w:space="0" w:color="000000"/>
            </w:tcBorders>
            <w:vAlign w:val="bottom"/>
          </w:tcPr>
          <w:p w14:paraId="396CDAEC" w14:textId="77777777" w:rsidR="008E5DE4" w:rsidRDefault="008E5DE4">
            <w:pPr>
              <w:keepNext/>
              <w:keepLines/>
              <w:widowControl w:val="0"/>
              <w:jc w:val="right"/>
            </w:pPr>
          </w:p>
        </w:tc>
        <w:tc>
          <w:tcPr>
            <w:tcW w:w="1531" w:type="dxa"/>
            <w:tcBorders>
              <w:bottom w:val="single" w:sz="4" w:space="0" w:color="000000"/>
            </w:tcBorders>
            <w:vAlign w:val="bottom"/>
          </w:tcPr>
          <w:p w14:paraId="201752F3" w14:textId="77777777" w:rsidR="008E5DE4" w:rsidRDefault="008E5DE4">
            <w:pPr>
              <w:keepNext/>
              <w:keepLines/>
              <w:widowControl w:val="0"/>
              <w:jc w:val="right"/>
            </w:pPr>
          </w:p>
        </w:tc>
      </w:tr>
      <w:tr w:rsidR="008E5DE4" w14:paraId="70D7B859" w14:textId="77777777">
        <w:trPr>
          <w:cantSplit/>
        </w:trPr>
        <w:tc>
          <w:tcPr>
            <w:tcW w:w="6293" w:type="dxa"/>
            <w:vAlign w:val="bottom"/>
          </w:tcPr>
          <w:p w14:paraId="5DC40D4F" w14:textId="77777777" w:rsidR="008E5DE4" w:rsidRDefault="008E5DE4">
            <w:pPr>
              <w:keepNext/>
              <w:keepLines/>
              <w:widowControl w:val="0"/>
              <w:pBdr>
                <w:top w:val="nil"/>
                <w:left w:val="nil"/>
                <w:bottom w:val="nil"/>
                <w:right w:val="nil"/>
                <w:between w:val="nil"/>
              </w:pBdr>
              <w:ind w:left="113" w:right="-57" w:hanging="113"/>
              <w:rPr>
                <w:b/>
                <w:color w:val="000000"/>
              </w:rPr>
            </w:pPr>
          </w:p>
        </w:tc>
        <w:tc>
          <w:tcPr>
            <w:tcW w:w="1531" w:type="dxa"/>
            <w:vAlign w:val="bottom"/>
          </w:tcPr>
          <w:p w14:paraId="453F863C" w14:textId="77777777" w:rsidR="008E5DE4" w:rsidRDefault="008E5DE4">
            <w:pPr>
              <w:keepNext/>
              <w:keepLines/>
              <w:widowControl w:val="0"/>
              <w:jc w:val="right"/>
            </w:pPr>
          </w:p>
        </w:tc>
        <w:tc>
          <w:tcPr>
            <w:tcW w:w="1531" w:type="dxa"/>
            <w:vAlign w:val="bottom"/>
          </w:tcPr>
          <w:p w14:paraId="310D9346" w14:textId="77777777" w:rsidR="008E5DE4" w:rsidRDefault="008E5DE4">
            <w:pPr>
              <w:keepNext/>
              <w:keepLines/>
              <w:widowControl w:val="0"/>
              <w:jc w:val="right"/>
            </w:pPr>
          </w:p>
        </w:tc>
      </w:tr>
      <w:tr w:rsidR="008E5DE4" w14:paraId="53C85BEB" w14:textId="77777777">
        <w:trPr>
          <w:cantSplit/>
        </w:trPr>
        <w:tc>
          <w:tcPr>
            <w:tcW w:w="6293" w:type="dxa"/>
            <w:vAlign w:val="bottom"/>
          </w:tcPr>
          <w:p w14:paraId="1EC818F5" w14:textId="77777777" w:rsidR="008E5DE4" w:rsidRDefault="00780368">
            <w:pPr>
              <w:keepNext/>
              <w:keepLines/>
              <w:widowControl w:val="0"/>
              <w:pBdr>
                <w:top w:val="nil"/>
                <w:left w:val="nil"/>
                <w:bottom w:val="nil"/>
                <w:right w:val="nil"/>
                <w:between w:val="nil"/>
              </w:pBdr>
              <w:ind w:left="113" w:right="-57" w:hanging="113"/>
              <w:rPr>
                <w:b/>
                <w:color w:val="000000"/>
              </w:rPr>
            </w:pPr>
            <w:r>
              <w:rPr>
                <w:b/>
                <w:color w:val="000000"/>
              </w:rPr>
              <w:t>Total carrying amount of loans at AC</w:t>
            </w:r>
          </w:p>
        </w:tc>
        <w:tc>
          <w:tcPr>
            <w:tcW w:w="1531" w:type="dxa"/>
            <w:vAlign w:val="bottom"/>
          </w:tcPr>
          <w:p w14:paraId="7D7234C2" w14:textId="77777777" w:rsidR="008E5DE4" w:rsidRDefault="008E5DE4">
            <w:pPr>
              <w:keepNext/>
              <w:keepLines/>
              <w:widowControl w:val="0"/>
              <w:jc w:val="right"/>
            </w:pPr>
          </w:p>
        </w:tc>
        <w:tc>
          <w:tcPr>
            <w:tcW w:w="1531" w:type="dxa"/>
            <w:vAlign w:val="bottom"/>
          </w:tcPr>
          <w:p w14:paraId="215EFACD" w14:textId="77777777" w:rsidR="008E5DE4" w:rsidRDefault="008E5DE4">
            <w:pPr>
              <w:keepNext/>
              <w:keepLines/>
              <w:widowControl w:val="0"/>
              <w:jc w:val="right"/>
            </w:pPr>
          </w:p>
        </w:tc>
      </w:tr>
      <w:tr w:rsidR="008E5DE4" w14:paraId="72EC2AAE" w14:textId="77777777">
        <w:trPr>
          <w:cantSplit/>
        </w:trPr>
        <w:tc>
          <w:tcPr>
            <w:tcW w:w="6293" w:type="dxa"/>
            <w:tcBorders>
              <w:bottom w:val="single" w:sz="4" w:space="0" w:color="000000"/>
            </w:tcBorders>
            <w:vAlign w:val="bottom"/>
          </w:tcPr>
          <w:p w14:paraId="487B3138" w14:textId="77777777" w:rsidR="008E5DE4" w:rsidRDefault="008E5DE4">
            <w:pPr>
              <w:keepNext/>
              <w:keepLines/>
              <w:widowControl w:val="0"/>
              <w:pBdr>
                <w:top w:val="nil"/>
                <w:left w:val="nil"/>
                <w:bottom w:val="nil"/>
                <w:right w:val="nil"/>
                <w:between w:val="nil"/>
              </w:pBdr>
              <w:ind w:left="113" w:right="-57" w:hanging="113"/>
              <w:rPr>
                <w:color w:val="000000"/>
              </w:rPr>
            </w:pPr>
          </w:p>
        </w:tc>
        <w:tc>
          <w:tcPr>
            <w:tcW w:w="1531" w:type="dxa"/>
            <w:tcBorders>
              <w:bottom w:val="single" w:sz="4" w:space="0" w:color="000000"/>
            </w:tcBorders>
            <w:vAlign w:val="bottom"/>
          </w:tcPr>
          <w:p w14:paraId="391C0BEF" w14:textId="77777777" w:rsidR="008E5DE4" w:rsidRDefault="008E5DE4">
            <w:pPr>
              <w:keepNext/>
              <w:keepLines/>
              <w:widowControl w:val="0"/>
              <w:jc w:val="right"/>
            </w:pPr>
          </w:p>
        </w:tc>
        <w:tc>
          <w:tcPr>
            <w:tcW w:w="1531" w:type="dxa"/>
            <w:tcBorders>
              <w:bottom w:val="single" w:sz="4" w:space="0" w:color="000000"/>
            </w:tcBorders>
            <w:vAlign w:val="bottom"/>
          </w:tcPr>
          <w:p w14:paraId="04029A75" w14:textId="77777777" w:rsidR="008E5DE4" w:rsidRDefault="008E5DE4">
            <w:pPr>
              <w:keepNext/>
              <w:keepLines/>
              <w:widowControl w:val="0"/>
              <w:jc w:val="right"/>
            </w:pPr>
          </w:p>
        </w:tc>
      </w:tr>
      <w:tr w:rsidR="008E5DE4" w14:paraId="776DA529" w14:textId="77777777">
        <w:trPr>
          <w:cantSplit/>
        </w:trPr>
        <w:tc>
          <w:tcPr>
            <w:tcW w:w="6293" w:type="dxa"/>
            <w:vAlign w:val="bottom"/>
          </w:tcPr>
          <w:p w14:paraId="692E4D8B" w14:textId="77777777" w:rsidR="008E5DE4" w:rsidRDefault="008E5DE4">
            <w:pPr>
              <w:keepNext/>
              <w:keepLines/>
              <w:widowControl w:val="0"/>
              <w:pBdr>
                <w:top w:val="nil"/>
                <w:left w:val="nil"/>
                <w:bottom w:val="nil"/>
                <w:right w:val="nil"/>
                <w:between w:val="nil"/>
              </w:pBdr>
              <w:ind w:left="113" w:right="-57" w:hanging="113"/>
              <w:rPr>
                <w:color w:val="000000"/>
              </w:rPr>
            </w:pPr>
          </w:p>
        </w:tc>
        <w:tc>
          <w:tcPr>
            <w:tcW w:w="1531" w:type="dxa"/>
            <w:vAlign w:val="bottom"/>
          </w:tcPr>
          <w:p w14:paraId="3061C2E9" w14:textId="77777777" w:rsidR="008E5DE4" w:rsidRDefault="008E5DE4">
            <w:pPr>
              <w:keepNext/>
              <w:keepLines/>
              <w:widowControl w:val="0"/>
              <w:jc w:val="right"/>
            </w:pPr>
          </w:p>
        </w:tc>
        <w:tc>
          <w:tcPr>
            <w:tcW w:w="1531" w:type="dxa"/>
            <w:vAlign w:val="bottom"/>
          </w:tcPr>
          <w:p w14:paraId="317F3053" w14:textId="77777777" w:rsidR="008E5DE4" w:rsidRDefault="008E5DE4">
            <w:pPr>
              <w:keepNext/>
              <w:keepLines/>
              <w:widowControl w:val="0"/>
              <w:jc w:val="right"/>
            </w:pPr>
          </w:p>
        </w:tc>
      </w:tr>
      <w:tr w:rsidR="008E5DE4" w14:paraId="22D4787C" w14:textId="77777777">
        <w:trPr>
          <w:cantSplit/>
        </w:trPr>
        <w:tc>
          <w:tcPr>
            <w:tcW w:w="6293" w:type="dxa"/>
            <w:vAlign w:val="bottom"/>
          </w:tcPr>
          <w:p w14:paraId="4465FAE6"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Loans at FVTPL</w:t>
            </w:r>
          </w:p>
        </w:tc>
        <w:tc>
          <w:tcPr>
            <w:tcW w:w="1531" w:type="dxa"/>
            <w:vAlign w:val="bottom"/>
          </w:tcPr>
          <w:p w14:paraId="17571DB4" w14:textId="77777777" w:rsidR="008E5DE4" w:rsidRDefault="008E5DE4">
            <w:pPr>
              <w:keepNext/>
              <w:keepLines/>
              <w:widowControl w:val="0"/>
              <w:jc w:val="right"/>
            </w:pPr>
          </w:p>
        </w:tc>
        <w:tc>
          <w:tcPr>
            <w:tcW w:w="1531" w:type="dxa"/>
            <w:vAlign w:val="bottom"/>
          </w:tcPr>
          <w:p w14:paraId="041B3532" w14:textId="77777777" w:rsidR="008E5DE4" w:rsidRDefault="008E5DE4">
            <w:pPr>
              <w:keepNext/>
              <w:keepLines/>
              <w:widowControl w:val="0"/>
              <w:jc w:val="right"/>
            </w:pPr>
          </w:p>
        </w:tc>
      </w:tr>
      <w:tr w:rsidR="008E5DE4" w14:paraId="1567815F" w14:textId="77777777">
        <w:trPr>
          <w:cantSplit/>
        </w:trPr>
        <w:tc>
          <w:tcPr>
            <w:tcW w:w="6293" w:type="dxa"/>
            <w:tcBorders>
              <w:bottom w:val="single" w:sz="4" w:space="0" w:color="000000"/>
            </w:tcBorders>
            <w:vAlign w:val="bottom"/>
          </w:tcPr>
          <w:p w14:paraId="4C1F052A" w14:textId="77777777" w:rsidR="008E5DE4" w:rsidRDefault="008E5DE4">
            <w:pPr>
              <w:keepNext/>
              <w:keepLines/>
              <w:widowControl w:val="0"/>
              <w:pBdr>
                <w:top w:val="nil"/>
                <w:left w:val="nil"/>
                <w:bottom w:val="nil"/>
                <w:right w:val="nil"/>
                <w:between w:val="nil"/>
              </w:pBdr>
              <w:ind w:left="113" w:right="-57" w:hanging="113"/>
              <w:rPr>
                <w:color w:val="000000"/>
              </w:rPr>
            </w:pPr>
          </w:p>
        </w:tc>
        <w:tc>
          <w:tcPr>
            <w:tcW w:w="1531" w:type="dxa"/>
            <w:tcBorders>
              <w:bottom w:val="single" w:sz="4" w:space="0" w:color="000000"/>
            </w:tcBorders>
            <w:vAlign w:val="bottom"/>
          </w:tcPr>
          <w:p w14:paraId="5D15E71C" w14:textId="77777777" w:rsidR="008E5DE4" w:rsidRDefault="008E5DE4">
            <w:pPr>
              <w:keepNext/>
              <w:keepLines/>
              <w:widowControl w:val="0"/>
              <w:jc w:val="right"/>
            </w:pPr>
          </w:p>
        </w:tc>
        <w:tc>
          <w:tcPr>
            <w:tcW w:w="1531" w:type="dxa"/>
            <w:tcBorders>
              <w:bottom w:val="single" w:sz="4" w:space="0" w:color="000000"/>
            </w:tcBorders>
            <w:vAlign w:val="bottom"/>
          </w:tcPr>
          <w:p w14:paraId="2C50089F" w14:textId="77777777" w:rsidR="008E5DE4" w:rsidRDefault="008E5DE4">
            <w:pPr>
              <w:keepNext/>
              <w:keepLines/>
              <w:widowControl w:val="0"/>
              <w:jc w:val="right"/>
            </w:pPr>
          </w:p>
        </w:tc>
      </w:tr>
      <w:tr w:rsidR="008E5DE4" w14:paraId="39B341F2" w14:textId="77777777">
        <w:trPr>
          <w:cantSplit/>
        </w:trPr>
        <w:tc>
          <w:tcPr>
            <w:tcW w:w="6293" w:type="dxa"/>
            <w:vAlign w:val="bottom"/>
          </w:tcPr>
          <w:p w14:paraId="3EDAE989" w14:textId="77777777" w:rsidR="008E5DE4" w:rsidRDefault="00780368">
            <w:pPr>
              <w:keepNext/>
              <w:keepLines/>
              <w:widowControl w:val="0"/>
              <w:ind w:left="113" w:right="-57" w:hanging="113"/>
            </w:pPr>
            <w:r>
              <w:t> </w:t>
            </w:r>
          </w:p>
        </w:tc>
        <w:tc>
          <w:tcPr>
            <w:tcW w:w="1531" w:type="dxa"/>
            <w:vAlign w:val="bottom"/>
          </w:tcPr>
          <w:p w14:paraId="6F3E064E" w14:textId="77777777" w:rsidR="008E5DE4" w:rsidRDefault="008E5DE4">
            <w:pPr>
              <w:keepNext/>
              <w:keepLines/>
              <w:widowControl w:val="0"/>
              <w:jc w:val="right"/>
              <w:rPr>
                <w:b/>
              </w:rPr>
            </w:pPr>
          </w:p>
        </w:tc>
        <w:tc>
          <w:tcPr>
            <w:tcW w:w="1531" w:type="dxa"/>
            <w:vAlign w:val="bottom"/>
          </w:tcPr>
          <w:p w14:paraId="3984E0DD" w14:textId="77777777" w:rsidR="008E5DE4" w:rsidRDefault="008E5DE4">
            <w:pPr>
              <w:keepNext/>
              <w:keepLines/>
              <w:widowControl w:val="0"/>
              <w:jc w:val="right"/>
              <w:rPr>
                <w:b/>
              </w:rPr>
            </w:pPr>
          </w:p>
        </w:tc>
      </w:tr>
      <w:tr w:rsidR="008E5DE4" w14:paraId="4E3B1B99" w14:textId="77777777">
        <w:trPr>
          <w:cantSplit/>
        </w:trPr>
        <w:tc>
          <w:tcPr>
            <w:tcW w:w="6293" w:type="dxa"/>
            <w:vAlign w:val="bottom"/>
          </w:tcPr>
          <w:p w14:paraId="2CF5BB94"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loans issued </w:t>
            </w:r>
            <w:proofErr w:type="gramStart"/>
            <w:r>
              <w:rPr>
                <w:b/>
                <w:color w:val="000000"/>
              </w:rPr>
              <w:t>at</w:t>
            </w:r>
            <w:proofErr w:type="gramEnd"/>
            <w:r>
              <w:rPr>
                <w:b/>
                <w:color w:val="000000"/>
              </w:rPr>
              <w:t xml:space="preserve"> 31 December</w:t>
            </w:r>
          </w:p>
        </w:tc>
        <w:tc>
          <w:tcPr>
            <w:tcW w:w="1531" w:type="dxa"/>
            <w:vAlign w:val="bottom"/>
          </w:tcPr>
          <w:p w14:paraId="6A29EE5C"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5AA3834" w14:textId="77777777" w:rsidR="008E5DE4" w:rsidRDefault="008E5DE4">
            <w:pPr>
              <w:widowControl w:val="0"/>
              <w:pBdr>
                <w:top w:val="nil"/>
                <w:left w:val="nil"/>
                <w:bottom w:val="nil"/>
                <w:right w:val="nil"/>
                <w:between w:val="nil"/>
              </w:pBdr>
              <w:jc w:val="right"/>
              <w:rPr>
                <w:b/>
                <w:color w:val="000000"/>
              </w:rPr>
            </w:pPr>
          </w:p>
        </w:tc>
      </w:tr>
      <w:tr w:rsidR="008E5DE4" w14:paraId="61E67C64" w14:textId="77777777">
        <w:trPr>
          <w:cantSplit/>
        </w:trPr>
        <w:tc>
          <w:tcPr>
            <w:tcW w:w="6293" w:type="dxa"/>
            <w:tcBorders>
              <w:bottom w:val="single" w:sz="12" w:space="0" w:color="000000"/>
            </w:tcBorders>
            <w:vAlign w:val="bottom"/>
          </w:tcPr>
          <w:p w14:paraId="4C9EAE53" w14:textId="77777777" w:rsidR="008E5DE4" w:rsidRDefault="00780368">
            <w:pPr>
              <w:widowControl w:val="0"/>
              <w:ind w:left="113" w:right="-57" w:hanging="113"/>
            </w:pPr>
            <w:r>
              <w:t> </w:t>
            </w:r>
          </w:p>
        </w:tc>
        <w:tc>
          <w:tcPr>
            <w:tcW w:w="1531" w:type="dxa"/>
            <w:tcBorders>
              <w:bottom w:val="single" w:sz="12" w:space="0" w:color="000000"/>
            </w:tcBorders>
            <w:vAlign w:val="bottom"/>
          </w:tcPr>
          <w:p w14:paraId="7E9275A6" w14:textId="77777777" w:rsidR="008E5DE4" w:rsidRDefault="008E5DE4">
            <w:pPr>
              <w:widowControl w:val="0"/>
              <w:jc w:val="right"/>
              <w:rPr>
                <w:b/>
              </w:rPr>
            </w:pPr>
          </w:p>
        </w:tc>
        <w:tc>
          <w:tcPr>
            <w:tcW w:w="1531" w:type="dxa"/>
            <w:tcBorders>
              <w:bottom w:val="single" w:sz="12" w:space="0" w:color="000000"/>
            </w:tcBorders>
            <w:vAlign w:val="bottom"/>
          </w:tcPr>
          <w:p w14:paraId="53B856CB" w14:textId="77777777" w:rsidR="008E5DE4" w:rsidRDefault="008E5DE4">
            <w:pPr>
              <w:widowControl w:val="0"/>
              <w:jc w:val="right"/>
              <w:rPr>
                <w:b/>
              </w:rPr>
            </w:pPr>
          </w:p>
        </w:tc>
      </w:tr>
    </w:tbl>
    <w:p w14:paraId="623EEF94" w14:textId="054A983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During </w:t>
      </w:r>
      <w:r w:rsidR="008614F8">
        <w:rPr>
          <w:color w:val="000000"/>
          <w:sz w:val="20"/>
          <w:szCs w:val="20"/>
        </w:rPr>
        <w:t>2025</w:t>
      </w:r>
      <w:r>
        <w:rPr>
          <w:color w:val="000000"/>
          <w:sz w:val="20"/>
          <w:szCs w:val="20"/>
        </w:rPr>
        <w:t>, a loss on initial recognition of loans at rates below market in the amount of EUR ___ thousand (</w:t>
      </w:r>
      <w:r w:rsidR="00FF468A">
        <w:rPr>
          <w:color w:val="000000"/>
          <w:sz w:val="20"/>
          <w:szCs w:val="20"/>
        </w:rPr>
        <w:t>2024</w:t>
      </w:r>
      <w:r>
        <w:rPr>
          <w:color w:val="000000"/>
          <w:sz w:val="20"/>
          <w:szCs w:val="20"/>
        </w:rPr>
        <w:t xml:space="preserve">: EUR ___ thousand) has been recorded in profit or loss for the year </w:t>
      </w:r>
      <w:r>
        <w:rPr>
          <w:color w:val="0000FF"/>
          <w:sz w:val="20"/>
          <w:szCs w:val="20"/>
        </w:rPr>
        <w:t>[consolidated statement of changes in equity because it represented a distribution to the Group’s owners]</w:t>
      </w:r>
      <w:r>
        <w:rPr>
          <w:color w:val="000000"/>
          <w:sz w:val="20"/>
          <w:szCs w:val="20"/>
        </w:rPr>
        <w:t xml:space="preserve">. </w:t>
      </w:r>
    </w:p>
    <w:p w14:paraId="2379E62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167EEA11" w14:textId="5AAC4B76" w:rsidR="008E5DE4" w:rsidRDefault="00780368">
      <w:pPr>
        <w:widowControl w:val="0"/>
        <w:spacing w:before="200" w:after="200"/>
        <w:jc w:val="both"/>
        <w:rPr>
          <w:i/>
          <w:color w:val="FF0000"/>
          <w:sz w:val="20"/>
          <w:szCs w:val="20"/>
        </w:rPr>
      </w:pPr>
      <w:r>
        <w:rPr>
          <w:sz w:val="20"/>
          <w:szCs w:val="20"/>
        </w:rPr>
        <w:t>The following table discloses the changes in the credit loss allowance and gross carrying amount for loans carried at amortised cost between the beginning and the end of the reporting period:</w:t>
      </w:r>
    </w:p>
    <w:tbl>
      <w:tblPr>
        <w:tblStyle w:val="affffa"/>
        <w:tblW w:w="9357" w:type="dxa"/>
        <w:tblLayout w:type="fixed"/>
        <w:tblLook w:val="0000" w:firstRow="0" w:lastRow="0" w:firstColumn="0" w:lastColumn="0" w:noHBand="0" w:noVBand="0"/>
      </w:tblPr>
      <w:tblGrid>
        <w:gridCol w:w="2552"/>
        <w:gridCol w:w="850"/>
        <w:gridCol w:w="850"/>
        <w:gridCol w:w="850"/>
        <w:gridCol w:w="851"/>
        <w:gridCol w:w="851"/>
        <w:gridCol w:w="851"/>
        <w:gridCol w:w="851"/>
        <w:gridCol w:w="851"/>
      </w:tblGrid>
      <w:tr w:rsidR="008E5DE4" w14:paraId="2F936A18" w14:textId="77777777">
        <w:trPr>
          <w:cantSplit/>
          <w:trHeight w:val="169"/>
          <w:tblHeader/>
        </w:trPr>
        <w:tc>
          <w:tcPr>
            <w:tcW w:w="2552" w:type="dxa"/>
            <w:vAlign w:val="bottom"/>
          </w:tcPr>
          <w:p w14:paraId="1DE652BD" w14:textId="77777777" w:rsidR="008E5DE4" w:rsidRDefault="008E5DE4">
            <w:pPr>
              <w:widowControl w:val="0"/>
              <w:pBdr>
                <w:top w:val="nil"/>
                <w:left w:val="nil"/>
                <w:bottom w:val="nil"/>
                <w:right w:val="nil"/>
                <w:between w:val="nil"/>
              </w:pBdr>
              <w:ind w:left="113" w:right="-57" w:hanging="113"/>
              <w:rPr>
                <w:i/>
                <w:color w:val="000000"/>
              </w:rPr>
            </w:pPr>
          </w:p>
        </w:tc>
        <w:tc>
          <w:tcPr>
            <w:tcW w:w="3401" w:type="dxa"/>
            <w:gridSpan w:val="4"/>
            <w:tcBorders>
              <w:bottom w:val="single" w:sz="4" w:space="0" w:color="000000"/>
            </w:tcBorders>
          </w:tcPr>
          <w:p w14:paraId="2800D7DB" w14:textId="77777777" w:rsidR="008E5DE4" w:rsidRDefault="00780368">
            <w:pPr>
              <w:widowControl w:val="0"/>
              <w:pBdr>
                <w:top w:val="nil"/>
                <w:left w:val="nil"/>
                <w:bottom w:val="nil"/>
                <w:right w:val="nil"/>
                <w:between w:val="nil"/>
              </w:pBdr>
              <w:tabs>
                <w:tab w:val="left" w:pos="3182"/>
              </w:tabs>
              <w:ind w:left="113" w:right="113"/>
              <w:jc w:val="center"/>
              <w:rPr>
                <w:b/>
                <w:color w:val="000000"/>
              </w:rPr>
            </w:pPr>
            <w:r>
              <w:rPr>
                <w:b/>
                <w:color w:val="000000"/>
              </w:rPr>
              <w:t>Credit loss allowance</w:t>
            </w:r>
          </w:p>
        </w:tc>
        <w:tc>
          <w:tcPr>
            <w:tcW w:w="3404" w:type="dxa"/>
            <w:gridSpan w:val="4"/>
            <w:tcBorders>
              <w:bottom w:val="single" w:sz="4" w:space="0" w:color="000000"/>
            </w:tcBorders>
          </w:tcPr>
          <w:p w14:paraId="4365B311" w14:textId="77777777" w:rsidR="008E5DE4" w:rsidRDefault="00780368">
            <w:pPr>
              <w:widowControl w:val="0"/>
              <w:pBdr>
                <w:top w:val="nil"/>
                <w:left w:val="nil"/>
                <w:bottom w:val="nil"/>
                <w:right w:val="nil"/>
                <w:between w:val="nil"/>
              </w:pBdr>
              <w:ind w:left="113" w:right="113"/>
              <w:jc w:val="center"/>
              <w:rPr>
                <w:b/>
                <w:color w:val="000000"/>
              </w:rPr>
            </w:pPr>
            <w:r>
              <w:rPr>
                <w:b/>
                <w:color w:val="000000"/>
              </w:rPr>
              <w:t>Gross carrying amount</w:t>
            </w:r>
          </w:p>
        </w:tc>
      </w:tr>
      <w:tr w:rsidR="008E5DE4" w14:paraId="7DCCA1DE" w14:textId="77777777">
        <w:trPr>
          <w:cantSplit/>
          <w:trHeight w:val="507"/>
          <w:tblHeader/>
        </w:trPr>
        <w:tc>
          <w:tcPr>
            <w:tcW w:w="2552" w:type="dxa"/>
            <w:tcBorders>
              <w:bottom w:val="single" w:sz="4" w:space="0" w:color="000000"/>
            </w:tcBorders>
            <w:vAlign w:val="bottom"/>
          </w:tcPr>
          <w:p w14:paraId="4559E92B" w14:textId="77777777" w:rsidR="008E5DE4" w:rsidRDefault="008E5DE4">
            <w:pPr>
              <w:widowControl w:val="0"/>
              <w:pBdr>
                <w:top w:val="nil"/>
                <w:left w:val="nil"/>
                <w:bottom w:val="nil"/>
                <w:right w:val="nil"/>
                <w:between w:val="nil"/>
              </w:pBdr>
              <w:ind w:left="113" w:right="-57" w:hanging="113"/>
              <w:rPr>
                <w:i/>
                <w:color w:val="000000"/>
              </w:rPr>
            </w:pPr>
          </w:p>
          <w:p w14:paraId="2552F748"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0" w:type="dxa"/>
            <w:tcBorders>
              <w:top w:val="single" w:sz="4" w:space="0" w:color="000000"/>
              <w:bottom w:val="single" w:sz="4" w:space="0" w:color="000000"/>
            </w:tcBorders>
          </w:tcPr>
          <w:p w14:paraId="7AE544C4"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488C1B93"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50" w:type="dxa"/>
            <w:tcBorders>
              <w:top w:val="single" w:sz="4" w:space="0" w:color="000000"/>
              <w:bottom w:val="single" w:sz="4" w:space="0" w:color="000000"/>
            </w:tcBorders>
          </w:tcPr>
          <w:p w14:paraId="420AA05B"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CB6A79D"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0" w:type="dxa"/>
            <w:tcBorders>
              <w:top w:val="single" w:sz="4" w:space="0" w:color="000000"/>
              <w:bottom w:val="single" w:sz="4" w:space="0" w:color="000000"/>
            </w:tcBorders>
          </w:tcPr>
          <w:p w14:paraId="764902BB"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69FAB1D3"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851" w:type="dxa"/>
            <w:tcBorders>
              <w:top w:val="single" w:sz="4" w:space="0" w:color="000000"/>
              <w:bottom w:val="single" w:sz="4" w:space="0" w:color="000000"/>
            </w:tcBorders>
          </w:tcPr>
          <w:p w14:paraId="5184C916"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51" w:type="dxa"/>
            <w:tcBorders>
              <w:top w:val="single" w:sz="4" w:space="0" w:color="000000"/>
              <w:bottom w:val="single" w:sz="4" w:space="0" w:color="000000"/>
            </w:tcBorders>
          </w:tcPr>
          <w:p w14:paraId="6E233E3C"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9177D8E"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1" w:type="dxa"/>
            <w:tcBorders>
              <w:top w:val="single" w:sz="4" w:space="0" w:color="000000"/>
              <w:bottom w:val="single" w:sz="4" w:space="0" w:color="000000"/>
            </w:tcBorders>
          </w:tcPr>
          <w:p w14:paraId="753890DE"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161A7E26"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1" w:type="dxa"/>
            <w:tcBorders>
              <w:top w:val="single" w:sz="4" w:space="0" w:color="000000"/>
              <w:bottom w:val="single" w:sz="4" w:space="0" w:color="000000"/>
            </w:tcBorders>
          </w:tcPr>
          <w:p w14:paraId="1166480E"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BE7092B"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851" w:type="dxa"/>
            <w:tcBorders>
              <w:top w:val="single" w:sz="4" w:space="0" w:color="000000"/>
              <w:bottom w:val="single" w:sz="4" w:space="0" w:color="000000"/>
            </w:tcBorders>
          </w:tcPr>
          <w:p w14:paraId="0957866C"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4C96A6ED" w14:textId="77777777">
        <w:trPr>
          <w:cantSplit/>
          <w:trHeight w:val="169"/>
          <w:tblHeader/>
        </w:trPr>
        <w:tc>
          <w:tcPr>
            <w:tcW w:w="2552" w:type="dxa"/>
            <w:tcBorders>
              <w:top w:val="single" w:sz="4" w:space="0" w:color="000000"/>
            </w:tcBorders>
            <w:vAlign w:val="bottom"/>
          </w:tcPr>
          <w:p w14:paraId="2E6AAA2D" w14:textId="77777777" w:rsidR="008E5DE4" w:rsidRDefault="008E5DE4">
            <w:pPr>
              <w:widowControl w:val="0"/>
              <w:ind w:left="113" w:right="-57" w:hanging="113"/>
            </w:pPr>
          </w:p>
        </w:tc>
        <w:tc>
          <w:tcPr>
            <w:tcW w:w="850" w:type="dxa"/>
            <w:tcBorders>
              <w:top w:val="single" w:sz="4" w:space="0" w:color="000000"/>
            </w:tcBorders>
            <w:vAlign w:val="bottom"/>
          </w:tcPr>
          <w:p w14:paraId="4D0F42CF"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5D82DD75"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0076BEAE"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667DBF46"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011FC4C4"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3ACC3419"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46F772F5"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1E01F813" w14:textId="77777777" w:rsidR="008E5DE4" w:rsidRDefault="008E5DE4">
            <w:pPr>
              <w:widowControl w:val="0"/>
              <w:pBdr>
                <w:top w:val="nil"/>
                <w:left w:val="nil"/>
                <w:bottom w:val="nil"/>
                <w:right w:val="nil"/>
                <w:between w:val="nil"/>
              </w:pBdr>
              <w:jc w:val="right"/>
              <w:rPr>
                <w:color w:val="000000"/>
              </w:rPr>
            </w:pPr>
          </w:p>
        </w:tc>
      </w:tr>
      <w:tr w:rsidR="008E5DE4" w14:paraId="5F880837" w14:textId="77777777">
        <w:trPr>
          <w:cantSplit/>
          <w:trHeight w:val="169"/>
        </w:trPr>
        <w:tc>
          <w:tcPr>
            <w:tcW w:w="2552" w:type="dxa"/>
            <w:vAlign w:val="bottom"/>
          </w:tcPr>
          <w:p w14:paraId="4A8EAA83" w14:textId="77777777" w:rsidR="008E5DE4" w:rsidRDefault="00780368">
            <w:pPr>
              <w:widowControl w:val="0"/>
              <w:pBdr>
                <w:top w:val="nil"/>
                <w:left w:val="nil"/>
                <w:bottom w:val="nil"/>
                <w:right w:val="nil"/>
                <w:between w:val="nil"/>
              </w:pBdr>
              <w:ind w:left="113" w:right="-57" w:hanging="113"/>
              <w:rPr>
                <w:b/>
                <w:color w:val="000000"/>
              </w:rPr>
            </w:pPr>
            <w:r>
              <w:rPr>
                <w:b/>
                <w:color w:val="000000"/>
              </w:rPr>
              <w:t>Corporate loans</w:t>
            </w:r>
          </w:p>
          <w:p w14:paraId="5E304A51" w14:textId="77777777" w:rsidR="008E5DE4" w:rsidRDefault="008E5DE4">
            <w:pPr>
              <w:widowControl w:val="0"/>
              <w:pBdr>
                <w:top w:val="nil"/>
                <w:left w:val="nil"/>
                <w:bottom w:val="nil"/>
                <w:right w:val="nil"/>
                <w:between w:val="nil"/>
              </w:pBdr>
              <w:ind w:left="113" w:right="-57" w:hanging="113"/>
              <w:rPr>
                <w:b/>
                <w:i/>
                <w:color w:val="000000"/>
              </w:rPr>
            </w:pPr>
          </w:p>
        </w:tc>
        <w:tc>
          <w:tcPr>
            <w:tcW w:w="850" w:type="dxa"/>
            <w:vAlign w:val="bottom"/>
          </w:tcPr>
          <w:p w14:paraId="7D9FE063"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7970236F"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5E0C41B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7414AEB" w14:textId="77777777" w:rsidR="008E5DE4" w:rsidRDefault="008E5DE4">
            <w:pPr>
              <w:widowControl w:val="0"/>
              <w:pBdr>
                <w:top w:val="nil"/>
                <w:left w:val="nil"/>
                <w:bottom w:val="nil"/>
                <w:right w:val="nil"/>
                <w:between w:val="nil"/>
              </w:pBdr>
              <w:jc w:val="right"/>
              <w:rPr>
                <w:color w:val="000000"/>
              </w:rPr>
            </w:pPr>
          </w:p>
        </w:tc>
        <w:tc>
          <w:tcPr>
            <w:tcW w:w="851" w:type="dxa"/>
          </w:tcPr>
          <w:p w14:paraId="3EE3D983" w14:textId="77777777" w:rsidR="008E5DE4" w:rsidRDefault="008E5DE4">
            <w:pPr>
              <w:widowControl w:val="0"/>
              <w:pBdr>
                <w:top w:val="nil"/>
                <w:left w:val="nil"/>
                <w:bottom w:val="nil"/>
                <w:right w:val="nil"/>
                <w:between w:val="nil"/>
              </w:pBdr>
              <w:jc w:val="right"/>
              <w:rPr>
                <w:color w:val="000000"/>
              </w:rPr>
            </w:pPr>
          </w:p>
        </w:tc>
        <w:tc>
          <w:tcPr>
            <w:tcW w:w="851" w:type="dxa"/>
          </w:tcPr>
          <w:p w14:paraId="461C3CA6" w14:textId="77777777" w:rsidR="008E5DE4" w:rsidRDefault="008E5DE4">
            <w:pPr>
              <w:widowControl w:val="0"/>
              <w:pBdr>
                <w:top w:val="nil"/>
                <w:left w:val="nil"/>
                <w:bottom w:val="nil"/>
                <w:right w:val="nil"/>
                <w:between w:val="nil"/>
              </w:pBdr>
              <w:jc w:val="right"/>
              <w:rPr>
                <w:color w:val="000000"/>
              </w:rPr>
            </w:pPr>
          </w:p>
        </w:tc>
        <w:tc>
          <w:tcPr>
            <w:tcW w:w="851" w:type="dxa"/>
          </w:tcPr>
          <w:p w14:paraId="444F7FC6"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8E5B61B" w14:textId="77777777" w:rsidR="008E5DE4" w:rsidRDefault="008E5DE4">
            <w:pPr>
              <w:widowControl w:val="0"/>
              <w:pBdr>
                <w:top w:val="nil"/>
                <w:left w:val="nil"/>
                <w:bottom w:val="nil"/>
                <w:right w:val="nil"/>
                <w:between w:val="nil"/>
              </w:pBdr>
              <w:jc w:val="right"/>
              <w:rPr>
                <w:color w:val="000000"/>
              </w:rPr>
            </w:pPr>
          </w:p>
        </w:tc>
      </w:tr>
      <w:tr w:rsidR="008E5DE4" w14:paraId="5842C92F" w14:textId="77777777">
        <w:trPr>
          <w:cantSplit/>
          <w:trHeight w:val="169"/>
        </w:trPr>
        <w:tc>
          <w:tcPr>
            <w:tcW w:w="2552" w:type="dxa"/>
            <w:vAlign w:val="bottom"/>
          </w:tcPr>
          <w:p w14:paraId="00B02118" w14:textId="6D93C481"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0" w:type="dxa"/>
            <w:vAlign w:val="bottom"/>
          </w:tcPr>
          <w:p w14:paraId="7FF23389"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9B01A37"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43EA705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3E4BAEF" w14:textId="77777777" w:rsidR="008E5DE4" w:rsidRDefault="008E5DE4">
            <w:pPr>
              <w:widowControl w:val="0"/>
              <w:pBdr>
                <w:top w:val="nil"/>
                <w:left w:val="nil"/>
                <w:bottom w:val="nil"/>
                <w:right w:val="nil"/>
                <w:between w:val="nil"/>
              </w:pBdr>
              <w:jc w:val="right"/>
              <w:rPr>
                <w:color w:val="000000"/>
              </w:rPr>
            </w:pPr>
          </w:p>
        </w:tc>
        <w:tc>
          <w:tcPr>
            <w:tcW w:w="851" w:type="dxa"/>
          </w:tcPr>
          <w:p w14:paraId="48E429EE" w14:textId="77777777" w:rsidR="008E5DE4" w:rsidRDefault="008E5DE4">
            <w:pPr>
              <w:widowControl w:val="0"/>
              <w:pBdr>
                <w:top w:val="nil"/>
                <w:left w:val="nil"/>
                <w:bottom w:val="nil"/>
                <w:right w:val="nil"/>
                <w:between w:val="nil"/>
              </w:pBdr>
              <w:jc w:val="right"/>
              <w:rPr>
                <w:color w:val="000000"/>
              </w:rPr>
            </w:pPr>
          </w:p>
        </w:tc>
        <w:tc>
          <w:tcPr>
            <w:tcW w:w="851" w:type="dxa"/>
          </w:tcPr>
          <w:p w14:paraId="742977C2" w14:textId="77777777" w:rsidR="008E5DE4" w:rsidRDefault="008E5DE4">
            <w:pPr>
              <w:widowControl w:val="0"/>
              <w:pBdr>
                <w:top w:val="nil"/>
                <w:left w:val="nil"/>
                <w:bottom w:val="nil"/>
                <w:right w:val="nil"/>
                <w:between w:val="nil"/>
              </w:pBdr>
              <w:jc w:val="right"/>
              <w:rPr>
                <w:color w:val="000000"/>
              </w:rPr>
            </w:pPr>
          </w:p>
        </w:tc>
        <w:tc>
          <w:tcPr>
            <w:tcW w:w="851" w:type="dxa"/>
          </w:tcPr>
          <w:p w14:paraId="75E447AF"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19EE84E" w14:textId="77777777" w:rsidR="008E5DE4" w:rsidRDefault="008E5DE4">
            <w:pPr>
              <w:widowControl w:val="0"/>
              <w:pBdr>
                <w:top w:val="nil"/>
                <w:left w:val="nil"/>
                <w:bottom w:val="nil"/>
                <w:right w:val="nil"/>
                <w:between w:val="nil"/>
              </w:pBdr>
              <w:jc w:val="right"/>
              <w:rPr>
                <w:color w:val="000000"/>
              </w:rPr>
            </w:pPr>
          </w:p>
        </w:tc>
      </w:tr>
      <w:tr w:rsidR="008E5DE4" w14:paraId="1CF4C45B" w14:textId="77777777">
        <w:trPr>
          <w:cantSplit/>
          <w:trHeight w:val="676"/>
        </w:trPr>
        <w:tc>
          <w:tcPr>
            <w:tcW w:w="2552" w:type="dxa"/>
            <w:vAlign w:val="bottom"/>
          </w:tcPr>
          <w:p w14:paraId="152CE98B" w14:textId="77777777" w:rsidR="008E5DE4" w:rsidRDefault="008E5DE4">
            <w:pPr>
              <w:widowControl w:val="0"/>
              <w:pBdr>
                <w:top w:val="nil"/>
                <w:left w:val="nil"/>
                <w:bottom w:val="nil"/>
                <w:right w:val="nil"/>
                <w:between w:val="nil"/>
              </w:pBdr>
              <w:ind w:left="113" w:right="-57" w:hanging="113"/>
              <w:rPr>
                <w:b/>
                <w:color w:val="000000"/>
              </w:rPr>
            </w:pPr>
          </w:p>
          <w:p w14:paraId="77082853"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0" w:type="dxa"/>
            <w:vAlign w:val="bottom"/>
          </w:tcPr>
          <w:p w14:paraId="0EFFE627"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A2D0C29"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7D3837E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0C50C1A" w14:textId="77777777" w:rsidR="008E5DE4" w:rsidRDefault="008E5DE4">
            <w:pPr>
              <w:widowControl w:val="0"/>
              <w:pBdr>
                <w:top w:val="nil"/>
                <w:left w:val="nil"/>
                <w:bottom w:val="nil"/>
                <w:right w:val="nil"/>
                <w:between w:val="nil"/>
              </w:pBdr>
              <w:jc w:val="right"/>
              <w:rPr>
                <w:color w:val="000000"/>
              </w:rPr>
            </w:pPr>
          </w:p>
        </w:tc>
        <w:tc>
          <w:tcPr>
            <w:tcW w:w="851" w:type="dxa"/>
          </w:tcPr>
          <w:p w14:paraId="526E3F66" w14:textId="77777777" w:rsidR="008E5DE4" w:rsidRDefault="008E5DE4">
            <w:pPr>
              <w:widowControl w:val="0"/>
              <w:pBdr>
                <w:top w:val="nil"/>
                <w:left w:val="nil"/>
                <w:bottom w:val="nil"/>
                <w:right w:val="nil"/>
                <w:between w:val="nil"/>
              </w:pBdr>
              <w:ind w:left="-360"/>
              <w:jc w:val="right"/>
              <w:rPr>
                <w:color w:val="000000"/>
              </w:rPr>
            </w:pPr>
          </w:p>
        </w:tc>
        <w:tc>
          <w:tcPr>
            <w:tcW w:w="851" w:type="dxa"/>
          </w:tcPr>
          <w:p w14:paraId="6A8312EE" w14:textId="77777777" w:rsidR="008E5DE4" w:rsidRDefault="008E5DE4">
            <w:pPr>
              <w:widowControl w:val="0"/>
              <w:pBdr>
                <w:top w:val="nil"/>
                <w:left w:val="nil"/>
                <w:bottom w:val="nil"/>
                <w:right w:val="nil"/>
                <w:between w:val="nil"/>
              </w:pBdr>
              <w:jc w:val="right"/>
              <w:rPr>
                <w:color w:val="000000"/>
              </w:rPr>
            </w:pPr>
          </w:p>
        </w:tc>
        <w:tc>
          <w:tcPr>
            <w:tcW w:w="851" w:type="dxa"/>
          </w:tcPr>
          <w:p w14:paraId="417A1D5C"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4C537A7" w14:textId="77777777" w:rsidR="008E5DE4" w:rsidRDefault="008E5DE4">
            <w:pPr>
              <w:widowControl w:val="0"/>
              <w:pBdr>
                <w:top w:val="nil"/>
                <w:left w:val="nil"/>
                <w:bottom w:val="nil"/>
                <w:right w:val="nil"/>
                <w:between w:val="nil"/>
              </w:pBdr>
              <w:jc w:val="right"/>
              <w:rPr>
                <w:color w:val="000000"/>
              </w:rPr>
            </w:pPr>
          </w:p>
        </w:tc>
      </w:tr>
      <w:tr w:rsidR="008E5DE4" w14:paraId="1BA34A43" w14:textId="77777777">
        <w:trPr>
          <w:cantSplit/>
          <w:trHeight w:val="184"/>
        </w:trPr>
        <w:tc>
          <w:tcPr>
            <w:tcW w:w="2552" w:type="dxa"/>
            <w:vAlign w:val="bottom"/>
          </w:tcPr>
          <w:p w14:paraId="751DA3DB" w14:textId="77777777" w:rsidR="008E5DE4" w:rsidRDefault="008E5DE4">
            <w:pPr>
              <w:widowControl w:val="0"/>
              <w:pBdr>
                <w:top w:val="nil"/>
                <w:left w:val="nil"/>
                <w:bottom w:val="nil"/>
                <w:right w:val="nil"/>
                <w:between w:val="nil"/>
              </w:pBdr>
              <w:ind w:left="113" w:right="-57" w:hanging="113"/>
              <w:rPr>
                <w:color w:val="000000"/>
              </w:rPr>
            </w:pPr>
          </w:p>
        </w:tc>
        <w:tc>
          <w:tcPr>
            <w:tcW w:w="850" w:type="dxa"/>
            <w:vAlign w:val="bottom"/>
          </w:tcPr>
          <w:p w14:paraId="0D240FBC"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3B7C467C"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29A8DCD0"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4E2BE244"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04942838"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42D793D5"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634F21A7"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6DCAE440" w14:textId="77777777" w:rsidR="008E5DE4" w:rsidRDefault="008E5DE4">
            <w:pPr>
              <w:widowControl w:val="0"/>
              <w:pBdr>
                <w:top w:val="nil"/>
                <w:left w:val="nil"/>
                <w:bottom w:val="nil"/>
                <w:right w:val="nil"/>
                <w:between w:val="nil"/>
              </w:pBdr>
              <w:jc w:val="right"/>
              <w:rPr>
                <w:color w:val="000000"/>
                <w:highlight w:val="green"/>
              </w:rPr>
            </w:pPr>
          </w:p>
        </w:tc>
      </w:tr>
      <w:tr w:rsidR="008E5DE4" w14:paraId="145D099A" w14:textId="77777777">
        <w:trPr>
          <w:cantSplit/>
          <w:trHeight w:val="184"/>
        </w:trPr>
        <w:tc>
          <w:tcPr>
            <w:tcW w:w="2552" w:type="dxa"/>
            <w:vAlign w:val="bottom"/>
          </w:tcPr>
          <w:p w14:paraId="6264AC1A"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0" w:type="dxa"/>
            <w:vAlign w:val="bottom"/>
          </w:tcPr>
          <w:p w14:paraId="4B2B5163"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57DE2B0A"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012603F1"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2A71D7D8"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6C724226"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7660987C"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72C6CC33"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4F94A3CF" w14:textId="77777777" w:rsidR="008E5DE4" w:rsidRDefault="008E5DE4">
            <w:pPr>
              <w:widowControl w:val="0"/>
              <w:pBdr>
                <w:top w:val="nil"/>
                <w:left w:val="nil"/>
                <w:bottom w:val="nil"/>
                <w:right w:val="nil"/>
                <w:between w:val="nil"/>
              </w:pBdr>
              <w:jc w:val="right"/>
              <w:rPr>
                <w:color w:val="000000"/>
                <w:highlight w:val="green"/>
              </w:rPr>
            </w:pPr>
          </w:p>
        </w:tc>
      </w:tr>
      <w:tr w:rsidR="008E5DE4" w14:paraId="2BC75ED4" w14:textId="77777777">
        <w:trPr>
          <w:cantSplit/>
          <w:trHeight w:val="80"/>
        </w:trPr>
        <w:tc>
          <w:tcPr>
            <w:tcW w:w="2552" w:type="dxa"/>
            <w:vAlign w:val="bottom"/>
          </w:tcPr>
          <w:p w14:paraId="504624C6"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0" w:type="dxa"/>
            <w:vAlign w:val="bottom"/>
          </w:tcPr>
          <w:p w14:paraId="2DFD92E0"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73F87822"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1E25AB9C"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263551DF"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66929573"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207C5AE2"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5DB75E7A"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5EB04802" w14:textId="77777777" w:rsidR="008E5DE4" w:rsidRDefault="008E5DE4">
            <w:pPr>
              <w:widowControl w:val="0"/>
              <w:pBdr>
                <w:top w:val="nil"/>
                <w:left w:val="nil"/>
                <w:bottom w:val="nil"/>
                <w:right w:val="nil"/>
                <w:between w:val="nil"/>
              </w:pBdr>
              <w:jc w:val="right"/>
              <w:rPr>
                <w:color w:val="000000"/>
                <w:highlight w:val="green"/>
              </w:rPr>
            </w:pPr>
          </w:p>
        </w:tc>
      </w:tr>
      <w:tr w:rsidR="008E5DE4" w14:paraId="089499A5" w14:textId="77777777">
        <w:trPr>
          <w:cantSplit/>
          <w:trHeight w:val="80"/>
        </w:trPr>
        <w:tc>
          <w:tcPr>
            <w:tcW w:w="2552" w:type="dxa"/>
            <w:vAlign w:val="bottom"/>
          </w:tcPr>
          <w:p w14:paraId="1A8DA649"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0" w:type="dxa"/>
            <w:vAlign w:val="bottom"/>
          </w:tcPr>
          <w:p w14:paraId="47310BFF"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3FA6086F"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5F9E5926"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58CEE3F0"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140B65ED"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1451F29E"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26D54FBF"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60611CA4" w14:textId="77777777" w:rsidR="008E5DE4" w:rsidRDefault="008E5DE4">
            <w:pPr>
              <w:widowControl w:val="0"/>
              <w:pBdr>
                <w:top w:val="nil"/>
                <w:left w:val="nil"/>
                <w:bottom w:val="nil"/>
                <w:right w:val="nil"/>
                <w:between w:val="nil"/>
              </w:pBdr>
              <w:jc w:val="right"/>
              <w:rPr>
                <w:color w:val="000000"/>
                <w:highlight w:val="green"/>
              </w:rPr>
            </w:pPr>
          </w:p>
        </w:tc>
      </w:tr>
      <w:tr w:rsidR="008E5DE4" w14:paraId="7958D3BD" w14:textId="77777777">
        <w:trPr>
          <w:cantSplit/>
          <w:trHeight w:val="361"/>
        </w:trPr>
        <w:tc>
          <w:tcPr>
            <w:tcW w:w="2552" w:type="dxa"/>
            <w:vAlign w:val="bottom"/>
          </w:tcPr>
          <w:p w14:paraId="47D70F28"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0" w:type="dxa"/>
            <w:vAlign w:val="bottom"/>
          </w:tcPr>
          <w:p w14:paraId="206D3E8F"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1A05C34D"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6A222228"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3A8559C9"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28D23429"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2327CEF4"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493B3A1C"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0312B5A" w14:textId="77777777" w:rsidR="008E5DE4" w:rsidRDefault="008E5DE4">
            <w:pPr>
              <w:widowControl w:val="0"/>
              <w:pBdr>
                <w:top w:val="nil"/>
                <w:left w:val="nil"/>
                <w:bottom w:val="nil"/>
                <w:right w:val="nil"/>
                <w:between w:val="nil"/>
              </w:pBdr>
              <w:jc w:val="right"/>
              <w:rPr>
                <w:color w:val="000000"/>
                <w:highlight w:val="green"/>
              </w:rPr>
            </w:pPr>
          </w:p>
        </w:tc>
      </w:tr>
      <w:tr w:rsidR="008E5DE4" w14:paraId="1A1C7C3E" w14:textId="77777777">
        <w:trPr>
          <w:cantSplit/>
          <w:trHeight w:val="169"/>
        </w:trPr>
        <w:tc>
          <w:tcPr>
            <w:tcW w:w="2552" w:type="dxa"/>
            <w:vAlign w:val="bottom"/>
          </w:tcPr>
          <w:p w14:paraId="5FBFF4C4"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0" w:type="dxa"/>
            <w:vAlign w:val="bottom"/>
          </w:tcPr>
          <w:p w14:paraId="621DFC36"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33618ADF"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40194C0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586792B" w14:textId="77777777" w:rsidR="008E5DE4" w:rsidRDefault="008E5DE4">
            <w:pPr>
              <w:widowControl w:val="0"/>
              <w:pBdr>
                <w:top w:val="nil"/>
                <w:left w:val="nil"/>
                <w:bottom w:val="nil"/>
                <w:right w:val="nil"/>
                <w:between w:val="nil"/>
              </w:pBdr>
              <w:jc w:val="right"/>
              <w:rPr>
                <w:color w:val="000000"/>
              </w:rPr>
            </w:pPr>
          </w:p>
        </w:tc>
        <w:tc>
          <w:tcPr>
            <w:tcW w:w="851" w:type="dxa"/>
          </w:tcPr>
          <w:p w14:paraId="32E32B2E" w14:textId="77777777" w:rsidR="008E5DE4" w:rsidRDefault="008E5DE4">
            <w:pPr>
              <w:widowControl w:val="0"/>
              <w:pBdr>
                <w:top w:val="nil"/>
                <w:left w:val="nil"/>
                <w:bottom w:val="nil"/>
                <w:right w:val="nil"/>
                <w:between w:val="nil"/>
              </w:pBdr>
              <w:jc w:val="right"/>
              <w:rPr>
                <w:color w:val="000000"/>
              </w:rPr>
            </w:pPr>
          </w:p>
        </w:tc>
        <w:tc>
          <w:tcPr>
            <w:tcW w:w="851" w:type="dxa"/>
          </w:tcPr>
          <w:p w14:paraId="4FFC6544" w14:textId="77777777" w:rsidR="008E5DE4" w:rsidRDefault="008E5DE4">
            <w:pPr>
              <w:widowControl w:val="0"/>
              <w:pBdr>
                <w:top w:val="nil"/>
                <w:left w:val="nil"/>
                <w:bottom w:val="nil"/>
                <w:right w:val="nil"/>
                <w:between w:val="nil"/>
              </w:pBdr>
              <w:jc w:val="right"/>
              <w:rPr>
                <w:color w:val="000000"/>
              </w:rPr>
            </w:pPr>
          </w:p>
        </w:tc>
        <w:tc>
          <w:tcPr>
            <w:tcW w:w="851" w:type="dxa"/>
          </w:tcPr>
          <w:p w14:paraId="20C5CE9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F92B451" w14:textId="77777777" w:rsidR="008E5DE4" w:rsidRDefault="008E5DE4">
            <w:pPr>
              <w:widowControl w:val="0"/>
              <w:pBdr>
                <w:top w:val="nil"/>
                <w:left w:val="nil"/>
                <w:bottom w:val="nil"/>
                <w:right w:val="nil"/>
                <w:between w:val="nil"/>
              </w:pBdr>
              <w:jc w:val="right"/>
              <w:rPr>
                <w:color w:val="000000"/>
              </w:rPr>
            </w:pPr>
          </w:p>
        </w:tc>
      </w:tr>
      <w:tr w:rsidR="008E5DE4" w14:paraId="72122C38" w14:textId="77777777">
        <w:trPr>
          <w:cantSplit/>
          <w:trHeight w:val="232"/>
        </w:trPr>
        <w:tc>
          <w:tcPr>
            <w:tcW w:w="2552" w:type="dxa"/>
            <w:vAlign w:val="bottom"/>
          </w:tcPr>
          <w:p w14:paraId="51D710D1"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0" w:type="dxa"/>
            <w:vAlign w:val="bottom"/>
          </w:tcPr>
          <w:p w14:paraId="42AD07E7"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3150AEE"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5950F00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1160748" w14:textId="77777777" w:rsidR="008E5DE4" w:rsidRDefault="008E5DE4">
            <w:pPr>
              <w:widowControl w:val="0"/>
              <w:pBdr>
                <w:top w:val="nil"/>
                <w:left w:val="nil"/>
                <w:bottom w:val="nil"/>
                <w:right w:val="nil"/>
                <w:between w:val="nil"/>
              </w:pBdr>
              <w:jc w:val="right"/>
              <w:rPr>
                <w:color w:val="000000"/>
              </w:rPr>
            </w:pPr>
          </w:p>
        </w:tc>
        <w:tc>
          <w:tcPr>
            <w:tcW w:w="851" w:type="dxa"/>
          </w:tcPr>
          <w:p w14:paraId="1522167F" w14:textId="77777777" w:rsidR="008E5DE4" w:rsidRDefault="008E5DE4">
            <w:pPr>
              <w:widowControl w:val="0"/>
              <w:pBdr>
                <w:top w:val="nil"/>
                <w:left w:val="nil"/>
                <w:bottom w:val="nil"/>
                <w:right w:val="nil"/>
                <w:between w:val="nil"/>
              </w:pBdr>
              <w:jc w:val="right"/>
              <w:rPr>
                <w:color w:val="000000"/>
              </w:rPr>
            </w:pPr>
          </w:p>
        </w:tc>
        <w:tc>
          <w:tcPr>
            <w:tcW w:w="851" w:type="dxa"/>
          </w:tcPr>
          <w:p w14:paraId="57C5C899" w14:textId="77777777" w:rsidR="008E5DE4" w:rsidRDefault="008E5DE4">
            <w:pPr>
              <w:widowControl w:val="0"/>
              <w:pBdr>
                <w:top w:val="nil"/>
                <w:left w:val="nil"/>
                <w:bottom w:val="nil"/>
                <w:right w:val="nil"/>
                <w:between w:val="nil"/>
              </w:pBdr>
              <w:jc w:val="right"/>
              <w:rPr>
                <w:color w:val="000000"/>
              </w:rPr>
            </w:pPr>
          </w:p>
        </w:tc>
        <w:tc>
          <w:tcPr>
            <w:tcW w:w="851" w:type="dxa"/>
          </w:tcPr>
          <w:p w14:paraId="59AD73D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E41EC46" w14:textId="77777777" w:rsidR="008E5DE4" w:rsidRDefault="008E5DE4">
            <w:pPr>
              <w:widowControl w:val="0"/>
              <w:pBdr>
                <w:top w:val="nil"/>
                <w:left w:val="nil"/>
                <w:bottom w:val="nil"/>
                <w:right w:val="nil"/>
                <w:between w:val="nil"/>
              </w:pBdr>
              <w:jc w:val="right"/>
              <w:rPr>
                <w:color w:val="000000"/>
              </w:rPr>
            </w:pPr>
          </w:p>
        </w:tc>
      </w:tr>
      <w:tr w:rsidR="008E5DE4" w14:paraId="28775DFB" w14:textId="77777777">
        <w:trPr>
          <w:cantSplit/>
          <w:trHeight w:val="80"/>
        </w:trPr>
        <w:tc>
          <w:tcPr>
            <w:tcW w:w="2552" w:type="dxa"/>
            <w:vAlign w:val="bottom"/>
          </w:tcPr>
          <w:p w14:paraId="3E3744AC"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0" w:type="dxa"/>
            <w:vAlign w:val="bottom"/>
          </w:tcPr>
          <w:p w14:paraId="69525CB7"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7BBB758"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7755CC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C75CFEF"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EB6C4C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4A83F5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593C5A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1125C9A" w14:textId="77777777" w:rsidR="008E5DE4" w:rsidRDefault="008E5DE4">
            <w:pPr>
              <w:widowControl w:val="0"/>
              <w:pBdr>
                <w:top w:val="nil"/>
                <w:left w:val="nil"/>
                <w:bottom w:val="nil"/>
                <w:right w:val="nil"/>
                <w:between w:val="nil"/>
              </w:pBdr>
              <w:jc w:val="right"/>
              <w:rPr>
                <w:color w:val="000000"/>
              </w:rPr>
            </w:pPr>
          </w:p>
        </w:tc>
      </w:tr>
      <w:tr w:rsidR="008E5DE4" w14:paraId="51646D29" w14:textId="77777777">
        <w:trPr>
          <w:cantSplit/>
          <w:trHeight w:val="85"/>
        </w:trPr>
        <w:tc>
          <w:tcPr>
            <w:tcW w:w="2552" w:type="dxa"/>
            <w:vAlign w:val="bottom"/>
          </w:tcPr>
          <w:p w14:paraId="065D3E7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0" w:type="dxa"/>
            <w:vAlign w:val="bottom"/>
          </w:tcPr>
          <w:p w14:paraId="42319A91"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4038FE3"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7B39776"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FC652D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6652586"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15D659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70F188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92C3E72" w14:textId="77777777" w:rsidR="008E5DE4" w:rsidRDefault="008E5DE4">
            <w:pPr>
              <w:widowControl w:val="0"/>
              <w:pBdr>
                <w:top w:val="nil"/>
                <w:left w:val="nil"/>
                <w:bottom w:val="nil"/>
                <w:right w:val="nil"/>
                <w:between w:val="nil"/>
              </w:pBdr>
              <w:jc w:val="right"/>
              <w:rPr>
                <w:color w:val="000000"/>
              </w:rPr>
            </w:pPr>
          </w:p>
        </w:tc>
      </w:tr>
      <w:tr w:rsidR="008E5DE4" w14:paraId="261288D6" w14:textId="77777777">
        <w:trPr>
          <w:cantSplit/>
          <w:trHeight w:val="169"/>
        </w:trPr>
        <w:tc>
          <w:tcPr>
            <w:tcW w:w="2552" w:type="dxa"/>
            <w:vAlign w:val="bottom"/>
          </w:tcPr>
          <w:p w14:paraId="14BC9E41"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0" w:type="dxa"/>
            <w:vAlign w:val="bottom"/>
          </w:tcPr>
          <w:p w14:paraId="230FEDB8"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351F77F9"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34A53E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582044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7EB3AE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63FE70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C8F682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49AEA11" w14:textId="77777777" w:rsidR="008E5DE4" w:rsidRDefault="008E5DE4">
            <w:pPr>
              <w:widowControl w:val="0"/>
              <w:pBdr>
                <w:top w:val="nil"/>
                <w:left w:val="nil"/>
                <w:bottom w:val="nil"/>
                <w:right w:val="nil"/>
                <w:between w:val="nil"/>
              </w:pBdr>
              <w:jc w:val="right"/>
              <w:rPr>
                <w:color w:val="000000"/>
              </w:rPr>
            </w:pPr>
          </w:p>
        </w:tc>
      </w:tr>
      <w:tr w:rsidR="008E5DE4" w14:paraId="2326092B" w14:textId="77777777">
        <w:trPr>
          <w:cantSplit/>
          <w:trHeight w:val="169"/>
        </w:trPr>
        <w:tc>
          <w:tcPr>
            <w:tcW w:w="2552" w:type="dxa"/>
            <w:vAlign w:val="bottom"/>
          </w:tcPr>
          <w:p w14:paraId="30183A7B"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0" w:type="dxa"/>
            <w:vAlign w:val="bottom"/>
          </w:tcPr>
          <w:p w14:paraId="2C885820"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5A99C7E"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56E5519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677A9BB"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7B7344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A5DCE0E"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BB6BA64"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C1956DB" w14:textId="77777777" w:rsidR="008E5DE4" w:rsidRDefault="008E5DE4">
            <w:pPr>
              <w:widowControl w:val="0"/>
              <w:pBdr>
                <w:top w:val="nil"/>
                <w:left w:val="nil"/>
                <w:bottom w:val="nil"/>
                <w:right w:val="nil"/>
                <w:between w:val="nil"/>
              </w:pBdr>
              <w:jc w:val="right"/>
              <w:rPr>
                <w:color w:val="000000"/>
              </w:rPr>
            </w:pPr>
          </w:p>
        </w:tc>
      </w:tr>
      <w:tr w:rsidR="008E5DE4" w14:paraId="4BCEFDC6" w14:textId="77777777">
        <w:trPr>
          <w:cantSplit/>
          <w:trHeight w:val="169"/>
        </w:trPr>
        <w:tc>
          <w:tcPr>
            <w:tcW w:w="2552" w:type="dxa"/>
            <w:tcBorders>
              <w:bottom w:val="single" w:sz="4" w:space="0" w:color="000000"/>
            </w:tcBorders>
            <w:vAlign w:val="bottom"/>
          </w:tcPr>
          <w:p w14:paraId="053A88F9"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bottom w:val="single" w:sz="4" w:space="0" w:color="000000"/>
            </w:tcBorders>
            <w:vAlign w:val="bottom"/>
          </w:tcPr>
          <w:p w14:paraId="31A55D79"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4" w:space="0" w:color="000000"/>
            </w:tcBorders>
            <w:vAlign w:val="bottom"/>
          </w:tcPr>
          <w:p w14:paraId="2FFFBA75"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4" w:space="0" w:color="000000"/>
            </w:tcBorders>
            <w:vAlign w:val="bottom"/>
          </w:tcPr>
          <w:p w14:paraId="00A0E9A2"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382F9823"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14EC379B"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451DFFCA"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2AEAB0FD"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0894B421" w14:textId="77777777" w:rsidR="008E5DE4" w:rsidRDefault="008E5DE4">
            <w:pPr>
              <w:widowControl w:val="0"/>
              <w:pBdr>
                <w:top w:val="nil"/>
                <w:left w:val="nil"/>
                <w:bottom w:val="nil"/>
                <w:right w:val="nil"/>
                <w:between w:val="nil"/>
              </w:pBdr>
              <w:jc w:val="right"/>
              <w:rPr>
                <w:color w:val="000000"/>
              </w:rPr>
            </w:pPr>
          </w:p>
        </w:tc>
      </w:tr>
      <w:tr w:rsidR="008E5DE4" w14:paraId="0F4E2799" w14:textId="77777777">
        <w:trPr>
          <w:cantSplit/>
          <w:trHeight w:val="153"/>
        </w:trPr>
        <w:tc>
          <w:tcPr>
            <w:tcW w:w="2552" w:type="dxa"/>
            <w:tcBorders>
              <w:top w:val="single" w:sz="4" w:space="0" w:color="000000"/>
            </w:tcBorders>
            <w:vAlign w:val="bottom"/>
          </w:tcPr>
          <w:p w14:paraId="5EEA8013"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top w:val="single" w:sz="4" w:space="0" w:color="000000"/>
            </w:tcBorders>
            <w:vAlign w:val="bottom"/>
          </w:tcPr>
          <w:p w14:paraId="65404F5D"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6F31834A"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5986AC49"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1E8C56D8"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08EC6CA5"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7110B70D"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294B6802"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4CE1D8FC" w14:textId="77777777" w:rsidR="008E5DE4" w:rsidRDefault="008E5DE4">
            <w:pPr>
              <w:widowControl w:val="0"/>
              <w:pBdr>
                <w:top w:val="nil"/>
                <w:left w:val="nil"/>
                <w:bottom w:val="nil"/>
                <w:right w:val="nil"/>
                <w:between w:val="nil"/>
              </w:pBdr>
              <w:jc w:val="right"/>
              <w:rPr>
                <w:color w:val="000000"/>
              </w:rPr>
            </w:pPr>
          </w:p>
        </w:tc>
      </w:tr>
      <w:tr w:rsidR="008E5DE4" w14:paraId="761D6BB0" w14:textId="77777777">
        <w:trPr>
          <w:cantSplit/>
          <w:trHeight w:val="245"/>
        </w:trPr>
        <w:tc>
          <w:tcPr>
            <w:tcW w:w="2552" w:type="dxa"/>
            <w:vAlign w:val="bottom"/>
          </w:tcPr>
          <w:p w14:paraId="4451C936"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0" w:type="dxa"/>
            <w:vAlign w:val="bottom"/>
          </w:tcPr>
          <w:p w14:paraId="10A0F20A"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9721FCF"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7A3B082F"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45B5F7EC"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0F4F48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0557FB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B114A72"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161F5BF" w14:textId="77777777" w:rsidR="008E5DE4" w:rsidRDefault="008E5DE4">
            <w:pPr>
              <w:widowControl w:val="0"/>
              <w:pBdr>
                <w:top w:val="nil"/>
                <w:left w:val="nil"/>
                <w:bottom w:val="nil"/>
                <w:right w:val="nil"/>
                <w:between w:val="nil"/>
              </w:pBdr>
              <w:jc w:val="right"/>
              <w:rPr>
                <w:color w:val="000000"/>
              </w:rPr>
            </w:pPr>
          </w:p>
        </w:tc>
      </w:tr>
      <w:tr w:rsidR="008E5DE4" w14:paraId="1D460770" w14:textId="77777777">
        <w:trPr>
          <w:cantSplit/>
          <w:trHeight w:val="80"/>
        </w:trPr>
        <w:tc>
          <w:tcPr>
            <w:tcW w:w="2552" w:type="dxa"/>
            <w:tcBorders>
              <w:bottom w:val="single" w:sz="12" w:space="0" w:color="000000"/>
            </w:tcBorders>
            <w:vAlign w:val="bottom"/>
          </w:tcPr>
          <w:p w14:paraId="61B92DD4"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bottom w:val="single" w:sz="12" w:space="0" w:color="000000"/>
            </w:tcBorders>
            <w:vAlign w:val="bottom"/>
          </w:tcPr>
          <w:p w14:paraId="182017A1"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22372766"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38EF3877"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4C5600DA"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1A6B79F3"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28320F15"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23796E20"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04827EC5" w14:textId="77777777" w:rsidR="008E5DE4" w:rsidRDefault="008E5DE4">
            <w:pPr>
              <w:widowControl w:val="0"/>
              <w:pBdr>
                <w:top w:val="nil"/>
                <w:left w:val="nil"/>
                <w:bottom w:val="nil"/>
                <w:right w:val="nil"/>
                <w:between w:val="nil"/>
              </w:pBdr>
              <w:jc w:val="right"/>
              <w:rPr>
                <w:color w:val="000000"/>
              </w:rPr>
            </w:pPr>
          </w:p>
        </w:tc>
      </w:tr>
      <w:tr w:rsidR="008E5DE4" w14:paraId="417227E8" w14:textId="77777777">
        <w:trPr>
          <w:cantSplit/>
          <w:trHeight w:val="153"/>
        </w:trPr>
        <w:tc>
          <w:tcPr>
            <w:tcW w:w="2552" w:type="dxa"/>
            <w:tcBorders>
              <w:top w:val="single" w:sz="12" w:space="0" w:color="000000"/>
            </w:tcBorders>
            <w:vAlign w:val="bottom"/>
          </w:tcPr>
          <w:p w14:paraId="22980C30"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top w:val="single" w:sz="12" w:space="0" w:color="000000"/>
            </w:tcBorders>
            <w:vAlign w:val="bottom"/>
          </w:tcPr>
          <w:p w14:paraId="3E183F44"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12" w:space="0" w:color="000000"/>
            </w:tcBorders>
            <w:vAlign w:val="bottom"/>
          </w:tcPr>
          <w:p w14:paraId="433FE586"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12" w:space="0" w:color="000000"/>
            </w:tcBorders>
            <w:vAlign w:val="bottom"/>
          </w:tcPr>
          <w:p w14:paraId="05552D02"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2FAC6BB6"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04ACF19F"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79BE25B1"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0EB8FBB4"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699CDA5E" w14:textId="77777777" w:rsidR="008E5DE4" w:rsidRDefault="008E5DE4">
            <w:pPr>
              <w:widowControl w:val="0"/>
              <w:pBdr>
                <w:top w:val="nil"/>
                <w:left w:val="nil"/>
                <w:bottom w:val="nil"/>
                <w:right w:val="nil"/>
                <w:between w:val="nil"/>
              </w:pBdr>
              <w:jc w:val="right"/>
              <w:rPr>
                <w:color w:val="000000"/>
              </w:rPr>
            </w:pPr>
          </w:p>
        </w:tc>
      </w:tr>
      <w:tr w:rsidR="008E5DE4" w14:paraId="32B0A642" w14:textId="77777777">
        <w:trPr>
          <w:cantSplit/>
          <w:trHeight w:val="692"/>
        </w:trPr>
        <w:tc>
          <w:tcPr>
            <w:tcW w:w="2552" w:type="dxa"/>
            <w:vAlign w:val="bottom"/>
          </w:tcPr>
          <w:p w14:paraId="5371CE5D"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5006B2E1" w14:textId="77777777" w:rsidR="008E5DE4" w:rsidRDefault="008E5DE4">
            <w:pPr>
              <w:widowControl w:val="0"/>
              <w:pBdr>
                <w:top w:val="nil"/>
                <w:left w:val="nil"/>
                <w:bottom w:val="nil"/>
                <w:right w:val="nil"/>
                <w:between w:val="nil"/>
              </w:pBdr>
              <w:ind w:right="-57"/>
              <w:rPr>
                <w:color w:val="000000"/>
              </w:rPr>
            </w:pPr>
          </w:p>
        </w:tc>
        <w:tc>
          <w:tcPr>
            <w:tcW w:w="850" w:type="dxa"/>
            <w:vAlign w:val="bottom"/>
          </w:tcPr>
          <w:p w14:paraId="2C094D90"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7BF14F65"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737FDDD5"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B6E363C"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1E234708"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4A68D054"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320CF8DD"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36B401AA" w14:textId="77777777" w:rsidR="008E5DE4" w:rsidRDefault="008E5DE4">
            <w:pPr>
              <w:widowControl w:val="0"/>
              <w:pBdr>
                <w:top w:val="nil"/>
                <w:left w:val="nil"/>
                <w:bottom w:val="nil"/>
                <w:right w:val="nil"/>
                <w:between w:val="nil"/>
              </w:pBdr>
              <w:jc w:val="right"/>
              <w:rPr>
                <w:color w:val="000000"/>
                <w:highlight w:val="green"/>
              </w:rPr>
            </w:pPr>
          </w:p>
        </w:tc>
      </w:tr>
      <w:tr w:rsidR="008E5DE4" w14:paraId="789EC5F4" w14:textId="77777777">
        <w:trPr>
          <w:cantSplit/>
          <w:trHeight w:val="169"/>
        </w:trPr>
        <w:tc>
          <w:tcPr>
            <w:tcW w:w="2552" w:type="dxa"/>
            <w:vAlign w:val="bottom"/>
          </w:tcPr>
          <w:p w14:paraId="3DE7011A"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0" w:type="dxa"/>
            <w:vAlign w:val="bottom"/>
          </w:tcPr>
          <w:p w14:paraId="62221517"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508FFA9B"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3E8DF1B0"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667DBD8F"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0DE01E0"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5FFAA991"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2E480C8D"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1D16393E" w14:textId="77777777" w:rsidR="008E5DE4" w:rsidRDefault="008E5DE4">
            <w:pPr>
              <w:widowControl w:val="0"/>
              <w:pBdr>
                <w:top w:val="nil"/>
                <w:left w:val="nil"/>
                <w:bottom w:val="nil"/>
                <w:right w:val="nil"/>
                <w:between w:val="nil"/>
              </w:pBdr>
              <w:jc w:val="right"/>
              <w:rPr>
                <w:color w:val="000000"/>
                <w:highlight w:val="green"/>
              </w:rPr>
            </w:pPr>
          </w:p>
        </w:tc>
      </w:tr>
      <w:tr w:rsidR="008E5DE4" w14:paraId="739BC4EC" w14:textId="77777777">
        <w:trPr>
          <w:cantSplit/>
          <w:trHeight w:val="169"/>
        </w:trPr>
        <w:tc>
          <w:tcPr>
            <w:tcW w:w="2552" w:type="dxa"/>
            <w:vAlign w:val="bottom"/>
          </w:tcPr>
          <w:p w14:paraId="7E1D17F3"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0" w:type="dxa"/>
            <w:vAlign w:val="bottom"/>
          </w:tcPr>
          <w:p w14:paraId="3D2CBE49"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788CDDD8"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4F2793D1"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3C5E8594"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113751A4"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1243B003"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49C415BE"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282EBC6" w14:textId="77777777" w:rsidR="008E5DE4" w:rsidRDefault="008E5DE4">
            <w:pPr>
              <w:widowControl w:val="0"/>
              <w:pBdr>
                <w:top w:val="nil"/>
                <w:left w:val="nil"/>
                <w:bottom w:val="nil"/>
                <w:right w:val="nil"/>
                <w:between w:val="nil"/>
              </w:pBdr>
              <w:jc w:val="right"/>
              <w:rPr>
                <w:color w:val="000000"/>
                <w:highlight w:val="green"/>
              </w:rPr>
            </w:pPr>
          </w:p>
        </w:tc>
      </w:tr>
      <w:tr w:rsidR="008E5DE4" w14:paraId="0CDBEEF7" w14:textId="77777777">
        <w:trPr>
          <w:cantSplit/>
          <w:trHeight w:val="337"/>
        </w:trPr>
        <w:tc>
          <w:tcPr>
            <w:tcW w:w="2552" w:type="dxa"/>
            <w:vAlign w:val="bottom"/>
          </w:tcPr>
          <w:p w14:paraId="39DE8234"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0" w:type="dxa"/>
            <w:vAlign w:val="bottom"/>
          </w:tcPr>
          <w:p w14:paraId="2835E806"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3712ED92"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6C30C72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6548666"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3B4B420"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66EE48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741CBA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22EEA35" w14:textId="77777777" w:rsidR="008E5DE4" w:rsidRDefault="008E5DE4">
            <w:pPr>
              <w:widowControl w:val="0"/>
              <w:pBdr>
                <w:top w:val="nil"/>
                <w:left w:val="nil"/>
                <w:bottom w:val="nil"/>
                <w:right w:val="nil"/>
                <w:between w:val="nil"/>
              </w:pBdr>
              <w:jc w:val="right"/>
              <w:rPr>
                <w:color w:val="000000"/>
              </w:rPr>
            </w:pPr>
          </w:p>
        </w:tc>
      </w:tr>
      <w:tr w:rsidR="008E5DE4" w14:paraId="255C7EC8" w14:textId="77777777">
        <w:trPr>
          <w:cantSplit/>
          <w:trHeight w:val="231"/>
        </w:trPr>
        <w:tc>
          <w:tcPr>
            <w:tcW w:w="2552" w:type="dxa"/>
            <w:vAlign w:val="bottom"/>
          </w:tcPr>
          <w:p w14:paraId="6C6B2902"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0" w:type="dxa"/>
            <w:vAlign w:val="bottom"/>
          </w:tcPr>
          <w:p w14:paraId="6611232A"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3A7F02C3"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3599BA06"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582411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107B8B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046288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E8CEFE0"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4FDB2663" w14:textId="77777777" w:rsidR="008E5DE4" w:rsidRDefault="008E5DE4">
            <w:pPr>
              <w:widowControl w:val="0"/>
              <w:pBdr>
                <w:top w:val="nil"/>
                <w:left w:val="nil"/>
                <w:bottom w:val="nil"/>
                <w:right w:val="nil"/>
                <w:between w:val="nil"/>
              </w:pBdr>
              <w:jc w:val="right"/>
              <w:rPr>
                <w:color w:val="000000"/>
              </w:rPr>
            </w:pPr>
          </w:p>
        </w:tc>
      </w:tr>
      <w:tr w:rsidR="008E5DE4" w14:paraId="67FDB390" w14:textId="77777777">
        <w:trPr>
          <w:cantSplit/>
          <w:trHeight w:val="169"/>
        </w:trPr>
        <w:tc>
          <w:tcPr>
            <w:tcW w:w="2552" w:type="dxa"/>
            <w:tcBorders>
              <w:bottom w:val="single" w:sz="4" w:space="0" w:color="000000"/>
            </w:tcBorders>
            <w:vAlign w:val="bottom"/>
          </w:tcPr>
          <w:p w14:paraId="687877D3" w14:textId="77777777" w:rsidR="008E5DE4" w:rsidRDefault="008E5DE4">
            <w:pPr>
              <w:widowControl w:val="0"/>
              <w:pBdr>
                <w:top w:val="nil"/>
                <w:left w:val="nil"/>
                <w:bottom w:val="nil"/>
                <w:right w:val="nil"/>
                <w:between w:val="nil"/>
              </w:pBdr>
              <w:ind w:left="113" w:right="-57" w:hanging="113"/>
              <w:rPr>
                <w:b/>
                <w:color w:val="000000"/>
              </w:rPr>
            </w:pPr>
          </w:p>
        </w:tc>
        <w:tc>
          <w:tcPr>
            <w:tcW w:w="850" w:type="dxa"/>
            <w:tcBorders>
              <w:bottom w:val="single" w:sz="4" w:space="0" w:color="000000"/>
            </w:tcBorders>
            <w:vAlign w:val="bottom"/>
          </w:tcPr>
          <w:p w14:paraId="7099CA31"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4" w:space="0" w:color="000000"/>
            </w:tcBorders>
            <w:vAlign w:val="bottom"/>
          </w:tcPr>
          <w:p w14:paraId="56EEB342"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4" w:space="0" w:color="000000"/>
            </w:tcBorders>
            <w:vAlign w:val="bottom"/>
          </w:tcPr>
          <w:p w14:paraId="1E5FD5C0"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5D97FA5E"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2A6CDD43"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2D712982"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695235B8"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11E3B75A" w14:textId="77777777" w:rsidR="008E5DE4" w:rsidRDefault="008E5DE4">
            <w:pPr>
              <w:widowControl w:val="0"/>
              <w:pBdr>
                <w:top w:val="nil"/>
                <w:left w:val="nil"/>
                <w:bottom w:val="nil"/>
                <w:right w:val="nil"/>
                <w:between w:val="nil"/>
              </w:pBdr>
              <w:jc w:val="right"/>
              <w:rPr>
                <w:color w:val="000000"/>
              </w:rPr>
            </w:pPr>
          </w:p>
        </w:tc>
      </w:tr>
      <w:tr w:rsidR="008E5DE4" w14:paraId="09C03493" w14:textId="77777777">
        <w:trPr>
          <w:cantSplit/>
          <w:trHeight w:val="169"/>
        </w:trPr>
        <w:tc>
          <w:tcPr>
            <w:tcW w:w="2552" w:type="dxa"/>
            <w:tcBorders>
              <w:top w:val="single" w:sz="4" w:space="0" w:color="000000"/>
            </w:tcBorders>
            <w:vAlign w:val="bottom"/>
          </w:tcPr>
          <w:p w14:paraId="0ADE7A2D" w14:textId="77777777" w:rsidR="008E5DE4" w:rsidRDefault="008E5DE4">
            <w:pPr>
              <w:widowControl w:val="0"/>
              <w:pBdr>
                <w:top w:val="nil"/>
                <w:left w:val="nil"/>
                <w:bottom w:val="nil"/>
                <w:right w:val="nil"/>
                <w:between w:val="nil"/>
              </w:pBdr>
              <w:ind w:left="113" w:right="-57" w:hanging="113"/>
              <w:rPr>
                <w:color w:val="000000"/>
                <w:u w:val="single"/>
              </w:rPr>
            </w:pPr>
          </w:p>
        </w:tc>
        <w:tc>
          <w:tcPr>
            <w:tcW w:w="850" w:type="dxa"/>
            <w:tcBorders>
              <w:top w:val="single" w:sz="4" w:space="0" w:color="000000"/>
            </w:tcBorders>
            <w:vAlign w:val="bottom"/>
          </w:tcPr>
          <w:p w14:paraId="1401C22E"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22830A2C"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1829FAF3"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1D8D0243"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459C90D7"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226D7368"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5BF11474"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4AAA7E68" w14:textId="77777777" w:rsidR="008E5DE4" w:rsidRDefault="008E5DE4">
            <w:pPr>
              <w:widowControl w:val="0"/>
              <w:pBdr>
                <w:top w:val="nil"/>
                <w:left w:val="nil"/>
                <w:bottom w:val="nil"/>
                <w:right w:val="nil"/>
                <w:between w:val="nil"/>
              </w:pBdr>
              <w:jc w:val="right"/>
              <w:rPr>
                <w:color w:val="000000"/>
              </w:rPr>
            </w:pPr>
          </w:p>
        </w:tc>
      </w:tr>
      <w:tr w:rsidR="008E5DE4" w14:paraId="09F05ACC" w14:textId="77777777">
        <w:trPr>
          <w:cantSplit/>
          <w:trHeight w:val="169"/>
        </w:trPr>
        <w:tc>
          <w:tcPr>
            <w:tcW w:w="2552" w:type="dxa"/>
            <w:vAlign w:val="bottom"/>
          </w:tcPr>
          <w:p w14:paraId="2DADA83F" w14:textId="1B0ED200"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0" w:type="dxa"/>
            <w:vAlign w:val="bottom"/>
          </w:tcPr>
          <w:p w14:paraId="7A1C3F3E"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28B31CDE"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7A67477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72E7441"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C2EC68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9838FA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72B96EC"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E49A29E" w14:textId="77777777" w:rsidR="008E5DE4" w:rsidRDefault="008E5DE4">
            <w:pPr>
              <w:widowControl w:val="0"/>
              <w:pBdr>
                <w:top w:val="nil"/>
                <w:left w:val="nil"/>
                <w:bottom w:val="nil"/>
                <w:right w:val="nil"/>
                <w:between w:val="nil"/>
              </w:pBdr>
              <w:jc w:val="right"/>
              <w:rPr>
                <w:color w:val="000000"/>
              </w:rPr>
            </w:pPr>
          </w:p>
        </w:tc>
      </w:tr>
      <w:tr w:rsidR="008E5DE4" w14:paraId="48802D54" w14:textId="77777777">
        <w:trPr>
          <w:cantSplit/>
          <w:trHeight w:val="169"/>
        </w:trPr>
        <w:tc>
          <w:tcPr>
            <w:tcW w:w="2552" w:type="dxa"/>
            <w:tcBorders>
              <w:bottom w:val="single" w:sz="12" w:space="0" w:color="000000"/>
            </w:tcBorders>
            <w:vAlign w:val="bottom"/>
          </w:tcPr>
          <w:p w14:paraId="64D7FDF4" w14:textId="77777777" w:rsidR="008E5DE4" w:rsidRDefault="008E5DE4">
            <w:pPr>
              <w:widowControl w:val="0"/>
              <w:pBdr>
                <w:top w:val="nil"/>
                <w:left w:val="nil"/>
                <w:bottom w:val="nil"/>
                <w:right w:val="nil"/>
                <w:between w:val="nil"/>
              </w:pBdr>
              <w:ind w:left="113" w:right="-57" w:hanging="113"/>
              <w:rPr>
                <w:b/>
                <w:color w:val="000000"/>
              </w:rPr>
            </w:pPr>
          </w:p>
        </w:tc>
        <w:tc>
          <w:tcPr>
            <w:tcW w:w="850" w:type="dxa"/>
            <w:tcBorders>
              <w:bottom w:val="single" w:sz="12" w:space="0" w:color="000000"/>
            </w:tcBorders>
            <w:vAlign w:val="bottom"/>
          </w:tcPr>
          <w:p w14:paraId="4D365C2C"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397AD85B"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38CAE2C4"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5A6A4C86"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3B0689EB"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04E5E307"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0243312E"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66C25693" w14:textId="77777777" w:rsidR="008E5DE4" w:rsidRDefault="008E5DE4">
            <w:pPr>
              <w:widowControl w:val="0"/>
              <w:pBdr>
                <w:top w:val="nil"/>
                <w:left w:val="nil"/>
                <w:bottom w:val="nil"/>
                <w:right w:val="nil"/>
                <w:between w:val="nil"/>
              </w:pBdr>
              <w:jc w:val="right"/>
              <w:rPr>
                <w:color w:val="000000"/>
              </w:rPr>
            </w:pPr>
          </w:p>
        </w:tc>
      </w:tr>
    </w:tbl>
    <w:p w14:paraId="7857DDE2"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tbl>
      <w:tblPr>
        <w:tblStyle w:val="affffb"/>
        <w:tblW w:w="9357" w:type="dxa"/>
        <w:tblLayout w:type="fixed"/>
        <w:tblLook w:val="0000" w:firstRow="0" w:lastRow="0" w:firstColumn="0" w:lastColumn="0" w:noHBand="0" w:noVBand="0"/>
      </w:tblPr>
      <w:tblGrid>
        <w:gridCol w:w="2552"/>
        <w:gridCol w:w="850"/>
        <w:gridCol w:w="850"/>
        <w:gridCol w:w="850"/>
        <w:gridCol w:w="851"/>
        <w:gridCol w:w="851"/>
        <w:gridCol w:w="851"/>
        <w:gridCol w:w="851"/>
        <w:gridCol w:w="851"/>
      </w:tblGrid>
      <w:tr w:rsidR="008E5DE4" w14:paraId="2B09D219" w14:textId="77777777">
        <w:trPr>
          <w:cantSplit/>
          <w:trHeight w:val="169"/>
          <w:tblHeader/>
        </w:trPr>
        <w:tc>
          <w:tcPr>
            <w:tcW w:w="2552" w:type="dxa"/>
            <w:vAlign w:val="bottom"/>
          </w:tcPr>
          <w:p w14:paraId="5DE8164B" w14:textId="77777777" w:rsidR="008E5DE4" w:rsidRDefault="008E5DE4">
            <w:pPr>
              <w:widowControl w:val="0"/>
              <w:pBdr>
                <w:top w:val="nil"/>
                <w:left w:val="nil"/>
                <w:bottom w:val="nil"/>
                <w:right w:val="nil"/>
                <w:between w:val="nil"/>
              </w:pBdr>
              <w:ind w:left="113" w:right="-57" w:hanging="113"/>
              <w:rPr>
                <w:i/>
                <w:color w:val="000000"/>
              </w:rPr>
            </w:pPr>
          </w:p>
        </w:tc>
        <w:tc>
          <w:tcPr>
            <w:tcW w:w="3401" w:type="dxa"/>
            <w:gridSpan w:val="4"/>
            <w:tcBorders>
              <w:bottom w:val="single" w:sz="4" w:space="0" w:color="000000"/>
            </w:tcBorders>
          </w:tcPr>
          <w:p w14:paraId="2BAC2A5E" w14:textId="77777777" w:rsidR="008E5DE4" w:rsidRDefault="00780368">
            <w:pPr>
              <w:widowControl w:val="0"/>
              <w:pBdr>
                <w:top w:val="nil"/>
                <w:left w:val="nil"/>
                <w:bottom w:val="nil"/>
                <w:right w:val="nil"/>
                <w:between w:val="nil"/>
              </w:pBdr>
              <w:tabs>
                <w:tab w:val="left" w:pos="3182"/>
              </w:tabs>
              <w:ind w:left="113" w:right="113"/>
              <w:jc w:val="center"/>
              <w:rPr>
                <w:b/>
                <w:color w:val="000000"/>
              </w:rPr>
            </w:pPr>
            <w:r>
              <w:rPr>
                <w:b/>
                <w:color w:val="000000"/>
              </w:rPr>
              <w:t>Credit loss allowance</w:t>
            </w:r>
          </w:p>
        </w:tc>
        <w:tc>
          <w:tcPr>
            <w:tcW w:w="3404" w:type="dxa"/>
            <w:gridSpan w:val="4"/>
            <w:tcBorders>
              <w:bottom w:val="single" w:sz="4" w:space="0" w:color="000000"/>
            </w:tcBorders>
          </w:tcPr>
          <w:p w14:paraId="06E219F0" w14:textId="77777777" w:rsidR="008E5DE4" w:rsidRDefault="00780368">
            <w:pPr>
              <w:widowControl w:val="0"/>
              <w:pBdr>
                <w:top w:val="nil"/>
                <w:left w:val="nil"/>
                <w:bottom w:val="nil"/>
                <w:right w:val="nil"/>
                <w:between w:val="nil"/>
              </w:pBdr>
              <w:ind w:left="113" w:right="113"/>
              <w:jc w:val="center"/>
              <w:rPr>
                <w:b/>
                <w:color w:val="000000"/>
              </w:rPr>
            </w:pPr>
            <w:r>
              <w:rPr>
                <w:b/>
                <w:color w:val="000000"/>
              </w:rPr>
              <w:t>Gross carrying amount</w:t>
            </w:r>
          </w:p>
        </w:tc>
      </w:tr>
      <w:tr w:rsidR="008E5DE4" w14:paraId="5D9E51F9" w14:textId="77777777">
        <w:trPr>
          <w:cantSplit/>
          <w:trHeight w:val="507"/>
          <w:tblHeader/>
        </w:trPr>
        <w:tc>
          <w:tcPr>
            <w:tcW w:w="2552" w:type="dxa"/>
            <w:tcBorders>
              <w:bottom w:val="single" w:sz="4" w:space="0" w:color="000000"/>
            </w:tcBorders>
            <w:vAlign w:val="bottom"/>
          </w:tcPr>
          <w:p w14:paraId="32CDCE9E" w14:textId="77777777" w:rsidR="008E5DE4" w:rsidRDefault="008E5DE4">
            <w:pPr>
              <w:widowControl w:val="0"/>
              <w:pBdr>
                <w:top w:val="nil"/>
                <w:left w:val="nil"/>
                <w:bottom w:val="nil"/>
                <w:right w:val="nil"/>
                <w:between w:val="nil"/>
              </w:pBdr>
              <w:ind w:left="113" w:right="-57" w:hanging="113"/>
              <w:rPr>
                <w:i/>
                <w:color w:val="000000"/>
              </w:rPr>
            </w:pPr>
          </w:p>
          <w:p w14:paraId="1C7C4C75"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0" w:type="dxa"/>
            <w:tcBorders>
              <w:top w:val="single" w:sz="4" w:space="0" w:color="000000"/>
              <w:bottom w:val="single" w:sz="4" w:space="0" w:color="000000"/>
            </w:tcBorders>
          </w:tcPr>
          <w:p w14:paraId="678DDBCD"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48362342"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50" w:type="dxa"/>
            <w:tcBorders>
              <w:top w:val="single" w:sz="4" w:space="0" w:color="000000"/>
              <w:bottom w:val="single" w:sz="4" w:space="0" w:color="000000"/>
            </w:tcBorders>
          </w:tcPr>
          <w:p w14:paraId="5FF3885F"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1CC385D9"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0" w:type="dxa"/>
            <w:tcBorders>
              <w:top w:val="single" w:sz="4" w:space="0" w:color="000000"/>
              <w:bottom w:val="single" w:sz="4" w:space="0" w:color="000000"/>
            </w:tcBorders>
          </w:tcPr>
          <w:p w14:paraId="13F28770"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5A42909A"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851" w:type="dxa"/>
            <w:tcBorders>
              <w:top w:val="single" w:sz="4" w:space="0" w:color="000000"/>
              <w:bottom w:val="single" w:sz="4" w:space="0" w:color="000000"/>
            </w:tcBorders>
          </w:tcPr>
          <w:p w14:paraId="46B257A2"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51" w:type="dxa"/>
            <w:tcBorders>
              <w:top w:val="single" w:sz="4" w:space="0" w:color="000000"/>
              <w:bottom w:val="single" w:sz="4" w:space="0" w:color="000000"/>
            </w:tcBorders>
          </w:tcPr>
          <w:p w14:paraId="42D8CD13"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124028F9"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1" w:type="dxa"/>
            <w:tcBorders>
              <w:top w:val="single" w:sz="4" w:space="0" w:color="000000"/>
              <w:bottom w:val="single" w:sz="4" w:space="0" w:color="000000"/>
            </w:tcBorders>
          </w:tcPr>
          <w:p w14:paraId="42708E7B"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7316DD19"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1" w:type="dxa"/>
            <w:tcBorders>
              <w:top w:val="single" w:sz="4" w:space="0" w:color="000000"/>
              <w:bottom w:val="single" w:sz="4" w:space="0" w:color="000000"/>
            </w:tcBorders>
          </w:tcPr>
          <w:p w14:paraId="4F2CEECF"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09D2563E"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851" w:type="dxa"/>
            <w:tcBorders>
              <w:top w:val="single" w:sz="4" w:space="0" w:color="000000"/>
              <w:bottom w:val="single" w:sz="4" w:space="0" w:color="000000"/>
            </w:tcBorders>
          </w:tcPr>
          <w:p w14:paraId="6543303C"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3004608A" w14:textId="77777777">
        <w:trPr>
          <w:cantSplit/>
          <w:trHeight w:val="169"/>
          <w:tblHeader/>
        </w:trPr>
        <w:tc>
          <w:tcPr>
            <w:tcW w:w="2552" w:type="dxa"/>
            <w:tcBorders>
              <w:top w:val="single" w:sz="4" w:space="0" w:color="000000"/>
            </w:tcBorders>
            <w:vAlign w:val="bottom"/>
          </w:tcPr>
          <w:p w14:paraId="1DBBB80B" w14:textId="77777777" w:rsidR="008E5DE4" w:rsidRDefault="008E5DE4">
            <w:pPr>
              <w:widowControl w:val="0"/>
              <w:ind w:left="113" w:right="-57" w:hanging="113"/>
            </w:pPr>
          </w:p>
        </w:tc>
        <w:tc>
          <w:tcPr>
            <w:tcW w:w="850" w:type="dxa"/>
            <w:tcBorders>
              <w:top w:val="single" w:sz="4" w:space="0" w:color="000000"/>
            </w:tcBorders>
            <w:vAlign w:val="bottom"/>
          </w:tcPr>
          <w:p w14:paraId="459037C4"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48B835C4"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5DF378B1"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606A0BFF"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5F5B0C7A"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42FA922A"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21C63A0A"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4CAD50DF" w14:textId="77777777" w:rsidR="008E5DE4" w:rsidRDefault="008E5DE4">
            <w:pPr>
              <w:widowControl w:val="0"/>
              <w:pBdr>
                <w:top w:val="nil"/>
                <w:left w:val="nil"/>
                <w:bottom w:val="nil"/>
                <w:right w:val="nil"/>
                <w:between w:val="nil"/>
              </w:pBdr>
              <w:jc w:val="right"/>
              <w:rPr>
                <w:color w:val="000000"/>
              </w:rPr>
            </w:pPr>
          </w:p>
        </w:tc>
      </w:tr>
      <w:tr w:rsidR="008E5DE4" w14:paraId="6FB2325A" w14:textId="77777777">
        <w:trPr>
          <w:cantSplit/>
          <w:trHeight w:val="169"/>
        </w:trPr>
        <w:tc>
          <w:tcPr>
            <w:tcW w:w="2552" w:type="dxa"/>
            <w:vAlign w:val="bottom"/>
          </w:tcPr>
          <w:p w14:paraId="32F86CB2" w14:textId="77777777" w:rsidR="008E5DE4" w:rsidRDefault="00780368">
            <w:pPr>
              <w:widowControl w:val="0"/>
              <w:pBdr>
                <w:top w:val="nil"/>
                <w:left w:val="nil"/>
                <w:bottom w:val="nil"/>
                <w:right w:val="nil"/>
                <w:between w:val="nil"/>
              </w:pBdr>
              <w:ind w:left="113" w:right="-57" w:hanging="113"/>
              <w:rPr>
                <w:b/>
                <w:color w:val="000000"/>
              </w:rPr>
            </w:pPr>
            <w:r>
              <w:rPr>
                <w:b/>
                <w:color w:val="000000"/>
              </w:rPr>
              <w:t>State and municipal organisations</w:t>
            </w:r>
          </w:p>
          <w:p w14:paraId="7F6EA4FA" w14:textId="77777777" w:rsidR="008E5DE4" w:rsidRDefault="008E5DE4">
            <w:pPr>
              <w:widowControl w:val="0"/>
              <w:pBdr>
                <w:top w:val="nil"/>
                <w:left w:val="nil"/>
                <w:bottom w:val="nil"/>
                <w:right w:val="nil"/>
                <w:between w:val="nil"/>
              </w:pBdr>
              <w:ind w:left="113" w:right="-57" w:hanging="113"/>
              <w:rPr>
                <w:b/>
                <w:i/>
                <w:color w:val="000000"/>
              </w:rPr>
            </w:pPr>
          </w:p>
        </w:tc>
        <w:tc>
          <w:tcPr>
            <w:tcW w:w="850" w:type="dxa"/>
            <w:vAlign w:val="bottom"/>
          </w:tcPr>
          <w:p w14:paraId="52BC137D"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444883E"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242B603B"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F1789A2" w14:textId="77777777" w:rsidR="008E5DE4" w:rsidRDefault="008E5DE4">
            <w:pPr>
              <w:widowControl w:val="0"/>
              <w:pBdr>
                <w:top w:val="nil"/>
                <w:left w:val="nil"/>
                <w:bottom w:val="nil"/>
                <w:right w:val="nil"/>
                <w:between w:val="nil"/>
              </w:pBdr>
              <w:jc w:val="right"/>
              <w:rPr>
                <w:color w:val="000000"/>
              </w:rPr>
            </w:pPr>
          </w:p>
        </w:tc>
        <w:tc>
          <w:tcPr>
            <w:tcW w:w="851" w:type="dxa"/>
          </w:tcPr>
          <w:p w14:paraId="3507C94B" w14:textId="77777777" w:rsidR="008E5DE4" w:rsidRDefault="008E5DE4">
            <w:pPr>
              <w:widowControl w:val="0"/>
              <w:pBdr>
                <w:top w:val="nil"/>
                <w:left w:val="nil"/>
                <w:bottom w:val="nil"/>
                <w:right w:val="nil"/>
                <w:between w:val="nil"/>
              </w:pBdr>
              <w:jc w:val="right"/>
              <w:rPr>
                <w:color w:val="000000"/>
              </w:rPr>
            </w:pPr>
          </w:p>
        </w:tc>
        <w:tc>
          <w:tcPr>
            <w:tcW w:w="851" w:type="dxa"/>
          </w:tcPr>
          <w:p w14:paraId="06C219FE" w14:textId="77777777" w:rsidR="008E5DE4" w:rsidRDefault="008E5DE4">
            <w:pPr>
              <w:widowControl w:val="0"/>
              <w:pBdr>
                <w:top w:val="nil"/>
                <w:left w:val="nil"/>
                <w:bottom w:val="nil"/>
                <w:right w:val="nil"/>
                <w:between w:val="nil"/>
              </w:pBdr>
              <w:jc w:val="right"/>
              <w:rPr>
                <w:color w:val="000000"/>
              </w:rPr>
            </w:pPr>
          </w:p>
        </w:tc>
        <w:tc>
          <w:tcPr>
            <w:tcW w:w="851" w:type="dxa"/>
          </w:tcPr>
          <w:p w14:paraId="5F6BCD4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45AF4335" w14:textId="77777777" w:rsidR="008E5DE4" w:rsidRDefault="008E5DE4">
            <w:pPr>
              <w:widowControl w:val="0"/>
              <w:pBdr>
                <w:top w:val="nil"/>
                <w:left w:val="nil"/>
                <w:bottom w:val="nil"/>
                <w:right w:val="nil"/>
                <w:between w:val="nil"/>
              </w:pBdr>
              <w:jc w:val="right"/>
              <w:rPr>
                <w:color w:val="000000"/>
              </w:rPr>
            </w:pPr>
          </w:p>
        </w:tc>
      </w:tr>
      <w:tr w:rsidR="008E5DE4" w14:paraId="725CE744" w14:textId="77777777">
        <w:trPr>
          <w:cantSplit/>
          <w:trHeight w:val="169"/>
        </w:trPr>
        <w:tc>
          <w:tcPr>
            <w:tcW w:w="2552" w:type="dxa"/>
            <w:vAlign w:val="bottom"/>
          </w:tcPr>
          <w:p w14:paraId="22428854" w14:textId="308A9104" w:rsidR="008E5DE4" w:rsidRDefault="00780368">
            <w:pPr>
              <w:widowControl w:val="0"/>
              <w:ind w:left="113" w:right="-57" w:hanging="113"/>
              <w:rPr>
                <w:b/>
              </w:rPr>
            </w:pPr>
            <w:proofErr w:type="gramStart"/>
            <w:r>
              <w:rPr>
                <w:b/>
              </w:rPr>
              <w:t>At</w:t>
            </w:r>
            <w:proofErr w:type="gramEnd"/>
            <w:r>
              <w:rPr>
                <w:b/>
              </w:rPr>
              <w:t xml:space="preserve"> 31 December </w:t>
            </w:r>
            <w:r w:rsidR="00FF468A">
              <w:rPr>
                <w:b/>
              </w:rPr>
              <w:t>2024</w:t>
            </w:r>
          </w:p>
        </w:tc>
        <w:tc>
          <w:tcPr>
            <w:tcW w:w="850" w:type="dxa"/>
            <w:vAlign w:val="bottom"/>
          </w:tcPr>
          <w:p w14:paraId="6D74CC10" w14:textId="77777777" w:rsidR="008E5DE4" w:rsidRDefault="008E5DE4">
            <w:pPr>
              <w:widowControl w:val="0"/>
              <w:ind w:left="113" w:right="-57" w:hanging="113"/>
              <w:rPr>
                <w:b/>
              </w:rPr>
            </w:pPr>
          </w:p>
        </w:tc>
        <w:tc>
          <w:tcPr>
            <w:tcW w:w="850" w:type="dxa"/>
            <w:vAlign w:val="bottom"/>
          </w:tcPr>
          <w:p w14:paraId="34C581F1" w14:textId="77777777" w:rsidR="008E5DE4" w:rsidRDefault="008E5DE4">
            <w:pPr>
              <w:widowControl w:val="0"/>
              <w:ind w:left="113" w:right="-57" w:hanging="113"/>
              <w:rPr>
                <w:b/>
              </w:rPr>
            </w:pPr>
          </w:p>
        </w:tc>
        <w:tc>
          <w:tcPr>
            <w:tcW w:w="850" w:type="dxa"/>
            <w:vAlign w:val="bottom"/>
          </w:tcPr>
          <w:p w14:paraId="1816C568" w14:textId="77777777" w:rsidR="008E5DE4" w:rsidRDefault="008E5DE4">
            <w:pPr>
              <w:widowControl w:val="0"/>
              <w:ind w:left="113" w:right="-57" w:hanging="113"/>
              <w:rPr>
                <w:b/>
              </w:rPr>
            </w:pPr>
          </w:p>
        </w:tc>
        <w:tc>
          <w:tcPr>
            <w:tcW w:w="851" w:type="dxa"/>
            <w:vAlign w:val="bottom"/>
          </w:tcPr>
          <w:p w14:paraId="3C9FEBDE" w14:textId="77777777" w:rsidR="008E5DE4" w:rsidRDefault="008E5DE4">
            <w:pPr>
              <w:widowControl w:val="0"/>
              <w:ind w:left="113" w:right="-57" w:hanging="113"/>
              <w:rPr>
                <w:b/>
              </w:rPr>
            </w:pPr>
          </w:p>
        </w:tc>
        <w:tc>
          <w:tcPr>
            <w:tcW w:w="851" w:type="dxa"/>
          </w:tcPr>
          <w:p w14:paraId="5E286941" w14:textId="77777777" w:rsidR="008E5DE4" w:rsidRDefault="008E5DE4">
            <w:pPr>
              <w:widowControl w:val="0"/>
              <w:pBdr>
                <w:top w:val="nil"/>
                <w:left w:val="nil"/>
                <w:bottom w:val="nil"/>
                <w:right w:val="nil"/>
                <w:between w:val="nil"/>
              </w:pBdr>
              <w:jc w:val="right"/>
              <w:rPr>
                <w:b/>
                <w:color w:val="000000"/>
              </w:rPr>
            </w:pPr>
          </w:p>
        </w:tc>
        <w:tc>
          <w:tcPr>
            <w:tcW w:w="851" w:type="dxa"/>
          </w:tcPr>
          <w:p w14:paraId="4F5AD900" w14:textId="77777777" w:rsidR="008E5DE4" w:rsidRDefault="008E5DE4">
            <w:pPr>
              <w:widowControl w:val="0"/>
              <w:pBdr>
                <w:top w:val="nil"/>
                <w:left w:val="nil"/>
                <w:bottom w:val="nil"/>
                <w:right w:val="nil"/>
                <w:between w:val="nil"/>
              </w:pBdr>
              <w:jc w:val="right"/>
              <w:rPr>
                <w:b/>
                <w:color w:val="000000"/>
              </w:rPr>
            </w:pPr>
          </w:p>
        </w:tc>
        <w:tc>
          <w:tcPr>
            <w:tcW w:w="851" w:type="dxa"/>
          </w:tcPr>
          <w:p w14:paraId="6B43AE89" w14:textId="77777777" w:rsidR="008E5DE4" w:rsidRDefault="008E5DE4">
            <w:pPr>
              <w:widowControl w:val="0"/>
              <w:pBdr>
                <w:top w:val="nil"/>
                <w:left w:val="nil"/>
                <w:bottom w:val="nil"/>
                <w:right w:val="nil"/>
                <w:between w:val="nil"/>
              </w:pBdr>
              <w:jc w:val="right"/>
              <w:rPr>
                <w:b/>
                <w:color w:val="000000"/>
              </w:rPr>
            </w:pPr>
          </w:p>
        </w:tc>
        <w:tc>
          <w:tcPr>
            <w:tcW w:w="851" w:type="dxa"/>
            <w:vAlign w:val="bottom"/>
          </w:tcPr>
          <w:p w14:paraId="1E8BC04C" w14:textId="77777777" w:rsidR="008E5DE4" w:rsidRDefault="008E5DE4">
            <w:pPr>
              <w:widowControl w:val="0"/>
              <w:pBdr>
                <w:top w:val="nil"/>
                <w:left w:val="nil"/>
                <w:bottom w:val="nil"/>
                <w:right w:val="nil"/>
                <w:between w:val="nil"/>
              </w:pBdr>
              <w:jc w:val="right"/>
              <w:rPr>
                <w:b/>
                <w:color w:val="000000"/>
              </w:rPr>
            </w:pPr>
          </w:p>
        </w:tc>
      </w:tr>
      <w:tr w:rsidR="008E5DE4" w14:paraId="2D1056D4" w14:textId="77777777">
        <w:trPr>
          <w:cantSplit/>
          <w:trHeight w:val="169"/>
        </w:trPr>
        <w:tc>
          <w:tcPr>
            <w:tcW w:w="2552" w:type="dxa"/>
            <w:vAlign w:val="bottom"/>
          </w:tcPr>
          <w:p w14:paraId="71211CBA" w14:textId="77777777" w:rsidR="008E5DE4" w:rsidRDefault="008E5DE4">
            <w:pPr>
              <w:widowControl w:val="0"/>
              <w:ind w:left="113" w:right="-57" w:hanging="113"/>
            </w:pPr>
          </w:p>
          <w:p w14:paraId="1E5803AF" w14:textId="77777777" w:rsidR="008E5DE4" w:rsidRDefault="00780368">
            <w:pPr>
              <w:widowControl w:val="0"/>
              <w:ind w:left="113" w:right="-57" w:hanging="113"/>
            </w:pPr>
            <w:r>
              <w:t>Movements with impact on credit loss allowance charge for the period:</w:t>
            </w:r>
          </w:p>
        </w:tc>
        <w:tc>
          <w:tcPr>
            <w:tcW w:w="850" w:type="dxa"/>
            <w:vAlign w:val="bottom"/>
          </w:tcPr>
          <w:p w14:paraId="31920AA5" w14:textId="77777777" w:rsidR="008E5DE4" w:rsidRDefault="008E5DE4">
            <w:pPr>
              <w:widowControl w:val="0"/>
              <w:ind w:left="113" w:right="-57" w:hanging="113"/>
            </w:pPr>
          </w:p>
        </w:tc>
        <w:tc>
          <w:tcPr>
            <w:tcW w:w="850" w:type="dxa"/>
            <w:vAlign w:val="bottom"/>
          </w:tcPr>
          <w:p w14:paraId="4AAF2D03" w14:textId="77777777" w:rsidR="008E5DE4" w:rsidRDefault="008E5DE4">
            <w:pPr>
              <w:widowControl w:val="0"/>
              <w:ind w:left="113" w:right="-57" w:hanging="113"/>
            </w:pPr>
          </w:p>
        </w:tc>
        <w:tc>
          <w:tcPr>
            <w:tcW w:w="850" w:type="dxa"/>
            <w:vAlign w:val="bottom"/>
          </w:tcPr>
          <w:p w14:paraId="3D5EBA76" w14:textId="77777777" w:rsidR="008E5DE4" w:rsidRDefault="008E5DE4">
            <w:pPr>
              <w:widowControl w:val="0"/>
              <w:ind w:left="113" w:right="-57" w:hanging="113"/>
            </w:pPr>
          </w:p>
        </w:tc>
        <w:tc>
          <w:tcPr>
            <w:tcW w:w="851" w:type="dxa"/>
            <w:vAlign w:val="bottom"/>
          </w:tcPr>
          <w:p w14:paraId="762409B2" w14:textId="77777777" w:rsidR="008E5DE4" w:rsidRDefault="008E5DE4">
            <w:pPr>
              <w:widowControl w:val="0"/>
              <w:ind w:left="113" w:right="-57" w:hanging="113"/>
            </w:pPr>
          </w:p>
        </w:tc>
        <w:tc>
          <w:tcPr>
            <w:tcW w:w="851" w:type="dxa"/>
          </w:tcPr>
          <w:p w14:paraId="5F94E0C8" w14:textId="77777777" w:rsidR="008E5DE4" w:rsidRDefault="008E5DE4">
            <w:pPr>
              <w:widowControl w:val="0"/>
              <w:pBdr>
                <w:top w:val="nil"/>
                <w:left w:val="nil"/>
                <w:bottom w:val="nil"/>
                <w:right w:val="nil"/>
                <w:between w:val="nil"/>
              </w:pBdr>
              <w:jc w:val="right"/>
              <w:rPr>
                <w:color w:val="000000"/>
              </w:rPr>
            </w:pPr>
          </w:p>
        </w:tc>
        <w:tc>
          <w:tcPr>
            <w:tcW w:w="851" w:type="dxa"/>
          </w:tcPr>
          <w:p w14:paraId="6D8040E1" w14:textId="77777777" w:rsidR="008E5DE4" w:rsidRDefault="008E5DE4">
            <w:pPr>
              <w:widowControl w:val="0"/>
              <w:pBdr>
                <w:top w:val="nil"/>
                <w:left w:val="nil"/>
                <w:bottom w:val="nil"/>
                <w:right w:val="nil"/>
                <w:between w:val="nil"/>
              </w:pBdr>
              <w:jc w:val="right"/>
              <w:rPr>
                <w:color w:val="000000"/>
              </w:rPr>
            </w:pPr>
          </w:p>
        </w:tc>
        <w:tc>
          <w:tcPr>
            <w:tcW w:w="851" w:type="dxa"/>
          </w:tcPr>
          <w:p w14:paraId="6C45EAF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15460BF" w14:textId="77777777" w:rsidR="008E5DE4" w:rsidRDefault="008E5DE4">
            <w:pPr>
              <w:widowControl w:val="0"/>
              <w:pBdr>
                <w:top w:val="nil"/>
                <w:left w:val="nil"/>
                <w:bottom w:val="nil"/>
                <w:right w:val="nil"/>
                <w:between w:val="nil"/>
              </w:pBdr>
              <w:jc w:val="right"/>
              <w:rPr>
                <w:color w:val="000000"/>
              </w:rPr>
            </w:pPr>
          </w:p>
        </w:tc>
      </w:tr>
      <w:tr w:rsidR="008E5DE4" w14:paraId="670ED16D" w14:textId="77777777">
        <w:trPr>
          <w:cantSplit/>
          <w:trHeight w:val="169"/>
        </w:trPr>
        <w:tc>
          <w:tcPr>
            <w:tcW w:w="2552" w:type="dxa"/>
            <w:vAlign w:val="bottom"/>
          </w:tcPr>
          <w:p w14:paraId="66DFDBE1" w14:textId="77777777" w:rsidR="008E5DE4" w:rsidRDefault="008E5DE4">
            <w:pPr>
              <w:widowControl w:val="0"/>
              <w:ind w:left="113" w:right="-57" w:hanging="113"/>
            </w:pPr>
          </w:p>
        </w:tc>
        <w:tc>
          <w:tcPr>
            <w:tcW w:w="850" w:type="dxa"/>
            <w:vAlign w:val="bottom"/>
          </w:tcPr>
          <w:p w14:paraId="350330EA" w14:textId="77777777" w:rsidR="008E5DE4" w:rsidRDefault="008E5DE4">
            <w:pPr>
              <w:widowControl w:val="0"/>
              <w:ind w:left="113" w:right="-57" w:hanging="113"/>
            </w:pPr>
          </w:p>
        </w:tc>
        <w:tc>
          <w:tcPr>
            <w:tcW w:w="850" w:type="dxa"/>
            <w:vAlign w:val="bottom"/>
          </w:tcPr>
          <w:p w14:paraId="5678433E" w14:textId="77777777" w:rsidR="008E5DE4" w:rsidRDefault="008E5DE4">
            <w:pPr>
              <w:widowControl w:val="0"/>
              <w:ind w:left="113" w:right="-57" w:hanging="113"/>
            </w:pPr>
          </w:p>
        </w:tc>
        <w:tc>
          <w:tcPr>
            <w:tcW w:w="850" w:type="dxa"/>
            <w:vAlign w:val="bottom"/>
          </w:tcPr>
          <w:p w14:paraId="5EB8913D" w14:textId="77777777" w:rsidR="008E5DE4" w:rsidRDefault="008E5DE4">
            <w:pPr>
              <w:widowControl w:val="0"/>
              <w:ind w:left="113" w:right="-57" w:hanging="113"/>
            </w:pPr>
          </w:p>
        </w:tc>
        <w:tc>
          <w:tcPr>
            <w:tcW w:w="851" w:type="dxa"/>
            <w:vAlign w:val="bottom"/>
          </w:tcPr>
          <w:p w14:paraId="69A8CAB1" w14:textId="77777777" w:rsidR="008E5DE4" w:rsidRDefault="008E5DE4">
            <w:pPr>
              <w:widowControl w:val="0"/>
              <w:ind w:left="113" w:right="-57" w:hanging="113"/>
            </w:pPr>
          </w:p>
        </w:tc>
        <w:tc>
          <w:tcPr>
            <w:tcW w:w="851" w:type="dxa"/>
          </w:tcPr>
          <w:p w14:paraId="0B74D9F8" w14:textId="77777777" w:rsidR="008E5DE4" w:rsidRDefault="008E5DE4">
            <w:pPr>
              <w:widowControl w:val="0"/>
              <w:pBdr>
                <w:top w:val="nil"/>
                <w:left w:val="nil"/>
                <w:bottom w:val="nil"/>
                <w:right w:val="nil"/>
                <w:between w:val="nil"/>
              </w:pBdr>
              <w:jc w:val="right"/>
              <w:rPr>
                <w:color w:val="000000"/>
              </w:rPr>
            </w:pPr>
          </w:p>
        </w:tc>
        <w:tc>
          <w:tcPr>
            <w:tcW w:w="851" w:type="dxa"/>
          </w:tcPr>
          <w:p w14:paraId="1CDAC7A0" w14:textId="77777777" w:rsidR="008E5DE4" w:rsidRDefault="008E5DE4">
            <w:pPr>
              <w:widowControl w:val="0"/>
              <w:pBdr>
                <w:top w:val="nil"/>
                <w:left w:val="nil"/>
                <w:bottom w:val="nil"/>
                <w:right w:val="nil"/>
                <w:between w:val="nil"/>
              </w:pBdr>
              <w:jc w:val="right"/>
              <w:rPr>
                <w:color w:val="000000"/>
              </w:rPr>
            </w:pPr>
          </w:p>
        </w:tc>
        <w:tc>
          <w:tcPr>
            <w:tcW w:w="851" w:type="dxa"/>
          </w:tcPr>
          <w:p w14:paraId="10291860"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398C6C9" w14:textId="77777777" w:rsidR="008E5DE4" w:rsidRDefault="008E5DE4">
            <w:pPr>
              <w:widowControl w:val="0"/>
              <w:pBdr>
                <w:top w:val="nil"/>
                <w:left w:val="nil"/>
                <w:bottom w:val="nil"/>
                <w:right w:val="nil"/>
                <w:between w:val="nil"/>
              </w:pBdr>
              <w:jc w:val="right"/>
              <w:rPr>
                <w:color w:val="000000"/>
              </w:rPr>
            </w:pPr>
          </w:p>
        </w:tc>
      </w:tr>
      <w:tr w:rsidR="008E5DE4" w14:paraId="52255F50" w14:textId="77777777">
        <w:trPr>
          <w:cantSplit/>
          <w:trHeight w:val="169"/>
        </w:trPr>
        <w:tc>
          <w:tcPr>
            <w:tcW w:w="2552" w:type="dxa"/>
            <w:vAlign w:val="bottom"/>
          </w:tcPr>
          <w:p w14:paraId="3E853C95" w14:textId="77777777" w:rsidR="008E5DE4" w:rsidRDefault="00780368">
            <w:pPr>
              <w:widowControl w:val="0"/>
              <w:ind w:left="113" w:right="-57" w:hanging="113"/>
            </w:pPr>
            <w:r>
              <w:t>Transfers:</w:t>
            </w:r>
          </w:p>
        </w:tc>
        <w:tc>
          <w:tcPr>
            <w:tcW w:w="850" w:type="dxa"/>
            <w:vAlign w:val="bottom"/>
          </w:tcPr>
          <w:p w14:paraId="1871EEE2" w14:textId="77777777" w:rsidR="008E5DE4" w:rsidRDefault="008E5DE4">
            <w:pPr>
              <w:widowControl w:val="0"/>
              <w:ind w:left="113" w:right="-57" w:hanging="113"/>
            </w:pPr>
          </w:p>
        </w:tc>
        <w:tc>
          <w:tcPr>
            <w:tcW w:w="850" w:type="dxa"/>
            <w:vAlign w:val="bottom"/>
          </w:tcPr>
          <w:p w14:paraId="65E603E7" w14:textId="77777777" w:rsidR="008E5DE4" w:rsidRDefault="008E5DE4">
            <w:pPr>
              <w:widowControl w:val="0"/>
              <w:ind w:left="113" w:right="-57" w:hanging="113"/>
            </w:pPr>
          </w:p>
        </w:tc>
        <w:tc>
          <w:tcPr>
            <w:tcW w:w="850" w:type="dxa"/>
            <w:vAlign w:val="bottom"/>
          </w:tcPr>
          <w:p w14:paraId="4430B0C6" w14:textId="77777777" w:rsidR="008E5DE4" w:rsidRDefault="008E5DE4">
            <w:pPr>
              <w:widowControl w:val="0"/>
              <w:ind w:left="113" w:right="-57" w:hanging="113"/>
            </w:pPr>
          </w:p>
        </w:tc>
        <w:tc>
          <w:tcPr>
            <w:tcW w:w="851" w:type="dxa"/>
            <w:vAlign w:val="bottom"/>
          </w:tcPr>
          <w:p w14:paraId="1AFA7F70" w14:textId="77777777" w:rsidR="008E5DE4" w:rsidRDefault="008E5DE4">
            <w:pPr>
              <w:widowControl w:val="0"/>
              <w:ind w:left="113" w:right="-57" w:hanging="113"/>
            </w:pPr>
          </w:p>
        </w:tc>
        <w:tc>
          <w:tcPr>
            <w:tcW w:w="851" w:type="dxa"/>
          </w:tcPr>
          <w:p w14:paraId="16F7A78F" w14:textId="77777777" w:rsidR="008E5DE4" w:rsidRDefault="008E5DE4">
            <w:pPr>
              <w:widowControl w:val="0"/>
              <w:pBdr>
                <w:top w:val="nil"/>
                <w:left w:val="nil"/>
                <w:bottom w:val="nil"/>
                <w:right w:val="nil"/>
                <w:between w:val="nil"/>
              </w:pBdr>
              <w:jc w:val="right"/>
              <w:rPr>
                <w:color w:val="000000"/>
              </w:rPr>
            </w:pPr>
          </w:p>
        </w:tc>
        <w:tc>
          <w:tcPr>
            <w:tcW w:w="851" w:type="dxa"/>
          </w:tcPr>
          <w:p w14:paraId="35E3D172" w14:textId="77777777" w:rsidR="008E5DE4" w:rsidRDefault="008E5DE4">
            <w:pPr>
              <w:widowControl w:val="0"/>
              <w:pBdr>
                <w:top w:val="nil"/>
                <w:left w:val="nil"/>
                <w:bottom w:val="nil"/>
                <w:right w:val="nil"/>
                <w:between w:val="nil"/>
              </w:pBdr>
              <w:jc w:val="right"/>
              <w:rPr>
                <w:color w:val="000000"/>
              </w:rPr>
            </w:pPr>
          </w:p>
        </w:tc>
        <w:tc>
          <w:tcPr>
            <w:tcW w:w="851" w:type="dxa"/>
          </w:tcPr>
          <w:p w14:paraId="7FE6DA9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65D3E21" w14:textId="77777777" w:rsidR="008E5DE4" w:rsidRDefault="008E5DE4">
            <w:pPr>
              <w:widowControl w:val="0"/>
              <w:pBdr>
                <w:top w:val="nil"/>
                <w:left w:val="nil"/>
                <w:bottom w:val="nil"/>
                <w:right w:val="nil"/>
                <w:between w:val="nil"/>
              </w:pBdr>
              <w:jc w:val="right"/>
              <w:rPr>
                <w:color w:val="000000"/>
              </w:rPr>
            </w:pPr>
          </w:p>
        </w:tc>
      </w:tr>
      <w:tr w:rsidR="008E5DE4" w14:paraId="77A858D1" w14:textId="77777777">
        <w:trPr>
          <w:cantSplit/>
          <w:trHeight w:val="169"/>
        </w:trPr>
        <w:tc>
          <w:tcPr>
            <w:tcW w:w="2552" w:type="dxa"/>
            <w:vAlign w:val="bottom"/>
          </w:tcPr>
          <w:p w14:paraId="7EC66C68" w14:textId="77777777" w:rsidR="008E5DE4" w:rsidRDefault="00780368">
            <w:pPr>
              <w:widowControl w:val="0"/>
              <w:ind w:left="113" w:right="-57" w:hanging="113"/>
            </w:pPr>
            <w:r>
              <w:t>- to lifetime (from Stage 1 to Stage 2)</w:t>
            </w:r>
          </w:p>
        </w:tc>
        <w:tc>
          <w:tcPr>
            <w:tcW w:w="850" w:type="dxa"/>
            <w:vAlign w:val="bottom"/>
          </w:tcPr>
          <w:p w14:paraId="1D39C4A6" w14:textId="77777777" w:rsidR="008E5DE4" w:rsidRDefault="008E5DE4">
            <w:pPr>
              <w:widowControl w:val="0"/>
              <w:ind w:left="113" w:right="-57" w:hanging="113"/>
            </w:pPr>
          </w:p>
        </w:tc>
        <w:tc>
          <w:tcPr>
            <w:tcW w:w="850" w:type="dxa"/>
            <w:vAlign w:val="bottom"/>
          </w:tcPr>
          <w:p w14:paraId="4C39D950" w14:textId="77777777" w:rsidR="008E5DE4" w:rsidRDefault="008E5DE4">
            <w:pPr>
              <w:widowControl w:val="0"/>
              <w:ind w:left="113" w:right="-57" w:hanging="113"/>
            </w:pPr>
          </w:p>
        </w:tc>
        <w:tc>
          <w:tcPr>
            <w:tcW w:w="850" w:type="dxa"/>
            <w:vAlign w:val="bottom"/>
          </w:tcPr>
          <w:p w14:paraId="6252B710" w14:textId="77777777" w:rsidR="008E5DE4" w:rsidRDefault="008E5DE4">
            <w:pPr>
              <w:widowControl w:val="0"/>
              <w:ind w:left="113" w:right="-57" w:hanging="113"/>
            </w:pPr>
          </w:p>
        </w:tc>
        <w:tc>
          <w:tcPr>
            <w:tcW w:w="851" w:type="dxa"/>
            <w:vAlign w:val="bottom"/>
          </w:tcPr>
          <w:p w14:paraId="1A45DB53" w14:textId="77777777" w:rsidR="008E5DE4" w:rsidRDefault="008E5DE4">
            <w:pPr>
              <w:widowControl w:val="0"/>
              <w:ind w:left="113" w:right="-57" w:hanging="113"/>
            </w:pPr>
          </w:p>
        </w:tc>
        <w:tc>
          <w:tcPr>
            <w:tcW w:w="851" w:type="dxa"/>
          </w:tcPr>
          <w:p w14:paraId="04FBB1F5" w14:textId="77777777" w:rsidR="008E5DE4" w:rsidRDefault="008E5DE4">
            <w:pPr>
              <w:widowControl w:val="0"/>
              <w:pBdr>
                <w:top w:val="nil"/>
                <w:left w:val="nil"/>
                <w:bottom w:val="nil"/>
                <w:right w:val="nil"/>
                <w:between w:val="nil"/>
              </w:pBdr>
              <w:jc w:val="right"/>
              <w:rPr>
                <w:color w:val="000000"/>
              </w:rPr>
            </w:pPr>
          </w:p>
        </w:tc>
        <w:tc>
          <w:tcPr>
            <w:tcW w:w="851" w:type="dxa"/>
          </w:tcPr>
          <w:p w14:paraId="46E6BD53" w14:textId="77777777" w:rsidR="008E5DE4" w:rsidRDefault="008E5DE4">
            <w:pPr>
              <w:widowControl w:val="0"/>
              <w:pBdr>
                <w:top w:val="nil"/>
                <w:left w:val="nil"/>
                <w:bottom w:val="nil"/>
                <w:right w:val="nil"/>
                <w:between w:val="nil"/>
              </w:pBdr>
              <w:jc w:val="right"/>
              <w:rPr>
                <w:color w:val="000000"/>
              </w:rPr>
            </w:pPr>
          </w:p>
        </w:tc>
        <w:tc>
          <w:tcPr>
            <w:tcW w:w="851" w:type="dxa"/>
          </w:tcPr>
          <w:p w14:paraId="1CF9F14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BA9AEEC" w14:textId="77777777" w:rsidR="008E5DE4" w:rsidRDefault="008E5DE4">
            <w:pPr>
              <w:widowControl w:val="0"/>
              <w:pBdr>
                <w:top w:val="nil"/>
                <w:left w:val="nil"/>
                <w:bottom w:val="nil"/>
                <w:right w:val="nil"/>
                <w:between w:val="nil"/>
              </w:pBdr>
              <w:jc w:val="right"/>
              <w:rPr>
                <w:color w:val="000000"/>
              </w:rPr>
            </w:pPr>
          </w:p>
        </w:tc>
      </w:tr>
      <w:tr w:rsidR="008E5DE4" w14:paraId="22D05C3A" w14:textId="77777777">
        <w:trPr>
          <w:cantSplit/>
          <w:trHeight w:val="169"/>
        </w:trPr>
        <w:tc>
          <w:tcPr>
            <w:tcW w:w="2552" w:type="dxa"/>
            <w:vAlign w:val="bottom"/>
          </w:tcPr>
          <w:p w14:paraId="106435E7" w14:textId="77777777" w:rsidR="008E5DE4" w:rsidRDefault="00780368">
            <w:pPr>
              <w:widowControl w:val="0"/>
              <w:ind w:left="113" w:right="-57" w:hanging="113"/>
            </w:pPr>
            <w:r>
              <w:t>- to credit-impaired (from Stage 1 and Stage 2 to Stage 3)</w:t>
            </w:r>
          </w:p>
        </w:tc>
        <w:tc>
          <w:tcPr>
            <w:tcW w:w="850" w:type="dxa"/>
            <w:vAlign w:val="bottom"/>
          </w:tcPr>
          <w:p w14:paraId="6F7488A7" w14:textId="77777777" w:rsidR="008E5DE4" w:rsidRDefault="008E5DE4">
            <w:pPr>
              <w:widowControl w:val="0"/>
              <w:ind w:left="113" w:right="-57" w:hanging="113"/>
            </w:pPr>
          </w:p>
        </w:tc>
        <w:tc>
          <w:tcPr>
            <w:tcW w:w="850" w:type="dxa"/>
            <w:vAlign w:val="bottom"/>
          </w:tcPr>
          <w:p w14:paraId="64AB4F2C" w14:textId="77777777" w:rsidR="008E5DE4" w:rsidRDefault="008E5DE4">
            <w:pPr>
              <w:widowControl w:val="0"/>
              <w:ind w:left="113" w:right="-57" w:hanging="113"/>
            </w:pPr>
          </w:p>
        </w:tc>
        <w:tc>
          <w:tcPr>
            <w:tcW w:w="850" w:type="dxa"/>
            <w:vAlign w:val="bottom"/>
          </w:tcPr>
          <w:p w14:paraId="1B094964" w14:textId="77777777" w:rsidR="008E5DE4" w:rsidRDefault="008E5DE4">
            <w:pPr>
              <w:widowControl w:val="0"/>
              <w:ind w:left="113" w:right="-57" w:hanging="113"/>
            </w:pPr>
          </w:p>
        </w:tc>
        <w:tc>
          <w:tcPr>
            <w:tcW w:w="851" w:type="dxa"/>
            <w:vAlign w:val="bottom"/>
          </w:tcPr>
          <w:p w14:paraId="4E514536" w14:textId="77777777" w:rsidR="008E5DE4" w:rsidRDefault="008E5DE4">
            <w:pPr>
              <w:widowControl w:val="0"/>
              <w:ind w:left="113" w:right="-57" w:hanging="113"/>
            </w:pPr>
          </w:p>
        </w:tc>
        <w:tc>
          <w:tcPr>
            <w:tcW w:w="851" w:type="dxa"/>
          </w:tcPr>
          <w:p w14:paraId="1ED91830" w14:textId="77777777" w:rsidR="008E5DE4" w:rsidRDefault="008E5DE4">
            <w:pPr>
              <w:widowControl w:val="0"/>
              <w:pBdr>
                <w:top w:val="nil"/>
                <w:left w:val="nil"/>
                <w:bottom w:val="nil"/>
                <w:right w:val="nil"/>
                <w:between w:val="nil"/>
              </w:pBdr>
              <w:jc w:val="right"/>
              <w:rPr>
                <w:color w:val="000000"/>
              </w:rPr>
            </w:pPr>
          </w:p>
        </w:tc>
        <w:tc>
          <w:tcPr>
            <w:tcW w:w="851" w:type="dxa"/>
          </w:tcPr>
          <w:p w14:paraId="0981AEAD" w14:textId="77777777" w:rsidR="008E5DE4" w:rsidRDefault="008E5DE4">
            <w:pPr>
              <w:widowControl w:val="0"/>
              <w:pBdr>
                <w:top w:val="nil"/>
                <w:left w:val="nil"/>
                <w:bottom w:val="nil"/>
                <w:right w:val="nil"/>
                <w:between w:val="nil"/>
              </w:pBdr>
              <w:jc w:val="right"/>
              <w:rPr>
                <w:color w:val="000000"/>
              </w:rPr>
            </w:pPr>
          </w:p>
        </w:tc>
        <w:tc>
          <w:tcPr>
            <w:tcW w:w="851" w:type="dxa"/>
          </w:tcPr>
          <w:p w14:paraId="4F16D00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9378AB0" w14:textId="77777777" w:rsidR="008E5DE4" w:rsidRDefault="008E5DE4">
            <w:pPr>
              <w:widowControl w:val="0"/>
              <w:pBdr>
                <w:top w:val="nil"/>
                <w:left w:val="nil"/>
                <w:bottom w:val="nil"/>
                <w:right w:val="nil"/>
                <w:between w:val="nil"/>
              </w:pBdr>
              <w:jc w:val="right"/>
              <w:rPr>
                <w:color w:val="000000"/>
              </w:rPr>
            </w:pPr>
          </w:p>
        </w:tc>
      </w:tr>
      <w:tr w:rsidR="008E5DE4" w14:paraId="0BBC6ACF" w14:textId="77777777">
        <w:trPr>
          <w:cantSplit/>
          <w:trHeight w:val="169"/>
        </w:trPr>
        <w:tc>
          <w:tcPr>
            <w:tcW w:w="2552" w:type="dxa"/>
            <w:vAlign w:val="bottom"/>
          </w:tcPr>
          <w:p w14:paraId="2E6EF231" w14:textId="77777777" w:rsidR="008E5DE4" w:rsidRDefault="00780368">
            <w:pPr>
              <w:widowControl w:val="0"/>
              <w:ind w:left="113" w:right="-57" w:hanging="113"/>
            </w:pPr>
            <w:r>
              <w:t>- to 12-months ECL (from Stage 2 and Stage 3 to Stage 1)</w:t>
            </w:r>
          </w:p>
        </w:tc>
        <w:tc>
          <w:tcPr>
            <w:tcW w:w="850" w:type="dxa"/>
            <w:vAlign w:val="bottom"/>
          </w:tcPr>
          <w:p w14:paraId="714E0276" w14:textId="77777777" w:rsidR="008E5DE4" w:rsidRDefault="008E5DE4">
            <w:pPr>
              <w:widowControl w:val="0"/>
              <w:ind w:left="113" w:right="-57" w:hanging="113"/>
            </w:pPr>
          </w:p>
        </w:tc>
        <w:tc>
          <w:tcPr>
            <w:tcW w:w="850" w:type="dxa"/>
            <w:vAlign w:val="bottom"/>
          </w:tcPr>
          <w:p w14:paraId="58C15FB4" w14:textId="77777777" w:rsidR="008E5DE4" w:rsidRDefault="008E5DE4">
            <w:pPr>
              <w:widowControl w:val="0"/>
              <w:ind w:left="113" w:right="-57" w:hanging="113"/>
            </w:pPr>
          </w:p>
        </w:tc>
        <w:tc>
          <w:tcPr>
            <w:tcW w:w="850" w:type="dxa"/>
            <w:vAlign w:val="bottom"/>
          </w:tcPr>
          <w:p w14:paraId="0D815988" w14:textId="77777777" w:rsidR="008E5DE4" w:rsidRDefault="008E5DE4">
            <w:pPr>
              <w:widowControl w:val="0"/>
              <w:ind w:left="113" w:right="-57" w:hanging="113"/>
            </w:pPr>
          </w:p>
        </w:tc>
        <w:tc>
          <w:tcPr>
            <w:tcW w:w="851" w:type="dxa"/>
            <w:vAlign w:val="bottom"/>
          </w:tcPr>
          <w:p w14:paraId="3654616A" w14:textId="77777777" w:rsidR="008E5DE4" w:rsidRDefault="008E5DE4">
            <w:pPr>
              <w:widowControl w:val="0"/>
              <w:ind w:left="113" w:right="-57" w:hanging="113"/>
            </w:pPr>
          </w:p>
        </w:tc>
        <w:tc>
          <w:tcPr>
            <w:tcW w:w="851" w:type="dxa"/>
          </w:tcPr>
          <w:p w14:paraId="5E2A0363" w14:textId="77777777" w:rsidR="008E5DE4" w:rsidRDefault="008E5DE4">
            <w:pPr>
              <w:widowControl w:val="0"/>
              <w:pBdr>
                <w:top w:val="nil"/>
                <w:left w:val="nil"/>
                <w:bottom w:val="nil"/>
                <w:right w:val="nil"/>
                <w:between w:val="nil"/>
              </w:pBdr>
              <w:jc w:val="right"/>
              <w:rPr>
                <w:color w:val="000000"/>
              </w:rPr>
            </w:pPr>
          </w:p>
        </w:tc>
        <w:tc>
          <w:tcPr>
            <w:tcW w:w="851" w:type="dxa"/>
          </w:tcPr>
          <w:p w14:paraId="0CD0CBAD" w14:textId="77777777" w:rsidR="008E5DE4" w:rsidRDefault="008E5DE4">
            <w:pPr>
              <w:widowControl w:val="0"/>
              <w:pBdr>
                <w:top w:val="nil"/>
                <w:left w:val="nil"/>
                <w:bottom w:val="nil"/>
                <w:right w:val="nil"/>
                <w:between w:val="nil"/>
              </w:pBdr>
              <w:jc w:val="right"/>
              <w:rPr>
                <w:color w:val="000000"/>
              </w:rPr>
            </w:pPr>
          </w:p>
        </w:tc>
        <w:tc>
          <w:tcPr>
            <w:tcW w:w="851" w:type="dxa"/>
          </w:tcPr>
          <w:p w14:paraId="4122761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2199D82" w14:textId="77777777" w:rsidR="008E5DE4" w:rsidRDefault="008E5DE4">
            <w:pPr>
              <w:widowControl w:val="0"/>
              <w:pBdr>
                <w:top w:val="nil"/>
                <w:left w:val="nil"/>
                <w:bottom w:val="nil"/>
                <w:right w:val="nil"/>
                <w:between w:val="nil"/>
              </w:pBdr>
              <w:jc w:val="right"/>
              <w:rPr>
                <w:color w:val="000000"/>
              </w:rPr>
            </w:pPr>
          </w:p>
        </w:tc>
      </w:tr>
      <w:tr w:rsidR="008E5DE4" w14:paraId="03611DDB" w14:textId="77777777">
        <w:trPr>
          <w:cantSplit/>
          <w:trHeight w:val="169"/>
        </w:trPr>
        <w:tc>
          <w:tcPr>
            <w:tcW w:w="2552" w:type="dxa"/>
            <w:vAlign w:val="bottom"/>
          </w:tcPr>
          <w:p w14:paraId="565A2DDC" w14:textId="77777777" w:rsidR="008E5DE4" w:rsidRDefault="00780368">
            <w:pPr>
              <w:widowControl w:val="0"/>
              <w:ind w:left="113" w:right="-57" w:hanging="113"/>
            </w:pPr>
            <w:r>
              <w:t>New originated or purchased</w:t>
            </w:r>
          </w:p>
        </w:tc>
        <w:tc>
          <w:tcPr>
            <w:tcW w:w="850" w:type="dxa"/>
            <w:vAlign w:val="bottom"/>
          </w:tcPr>
          <w:p w14:paraId="5C9E46A2" w14:textId="77777777" w:rsidR="008E5DE4" w:rsidRDefault="008E5DE4">
            <w:pPr>
              <w:widowControl w:val="0"/>
              <w:ind w:left="113" w:right="-57" w:hanging="113"/>
            </w:pPr>
          </w:p>
        </w:tc>
        <w:tc>
          <w:tcPr>
            <w:tcW w:w="850" w:type="dxa"/>
            <w:vAlign w:val="bottom"/>
          </w:tcPr>
          <w:p w14:paraId="3F089C67" w14:textId="77777777" w:rsidR="008E5DE4" w:rsidRDefault="008E5DE4">
            <w:pPr>
              <w:widowControl w:val="0"/>
              <w:ind w:left="113" w:right="-57" w:hanging="113"/>
            </w:pPr>
          </w:p>
        </w:tc>
        <w:tc>
          <w:tcPr>
            <w:tcW w:w="850" w:type="dxa"/>
            <w:vAlign w:val="bottom"/>
          </w:tcPr>
          <w:p w14:paraId="4864F64E" w14:textId="77777777" w:rsidR="008E5DE4" w:rsidRDefault="008E5DE4">
            <w:pPr>
              <w:widowControl w:val="0"/>
              <w:ind w:left="113" w:right="-57" w:hanging="113"/>
            </w:pPr>
          </w:p>
        </w:tc>
        <w:tc>
          <w:tcPr>
            <w:tcW w:w="851" w:type="dxa"/>
            <w:vAlign w:val="bottom"/>
          </w:tcPr>
          <w:p w14:paraId="6449F4D6" w14:textId="77777777" w:rsidR="008E5DE4" w:rsidRDefault="008E5DE4">
            <w:pPr>
              <w:widowControl w:val="0"/>
              <w:ind w:left="113" w:right="-57" w:hanging="113"/>
            </w:pPr>
          </w:p>
        </w:tc>
        <w:tc>
          <w:tcPr>
            <w:tcW w:w="851" w:type="dxa"/>
          </w:tcPr>
          <w:p w14:paraId="0442A22B" w14:textId="77777777" w:rsidR="008E5DE4" w:rsidRDefault="008E5DE4">
            <w:pPr>
              <w:widowControl w:val="0"/>
              <w:pBdr>
                <w:top w:val="nil"/>
                <w:left w:val="nil"/>
                <w:bottom w:val="nil"/>
                <w:right w:val="nil"/>
                <w:between w:val="nil"/>
              </w:pBdr>
              <w:jc w:val="right"/>
              <w:rPr>
                <w:color w:val="000000"/>
              </w:rPr>
            </w:pPr>
          </w:p>
        </w:tc>
        <w:tc>
          <w:tcPr>
            <w:tcW w:w="851" w:type="dxa"/>
          </w:tcPr>
          <w:p w14:paraId="0B53F8BB" w14:textId="77777777" w:rsidR="008E5DE4" w:rsidRDefault="008E5DE4">
            <w:pPr>
              <w:widowControl w:val="0"/>
              <w:pBdr>
                <w:top w:val="nil"/>
                <w:left w:val="nil"/>
                <w:bottom w:val="nil"/>
                <w:right w:val="nil"/>
                <w:between w:val="nil"/>
              </w:pBdr>
              <w:jc w:val="right"/>
              <w:rPr>
                <w:color w:val="000000"/>
              </w:rPr>
            </w:pPr>
          </w:p>
        </w:tc>
        <w:tc>
          <w:tcPr>
            <w:tcW w:w="851" w:type="dxa"/>
          </w:tcPr>
          <w:p w14:paraId="2F79DEBF"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16323CB" w14:textId="77777777" w:rsidR="008E5DE4" w:rsidRDefault="008E5DE4">
            <w:pPr>
              <w:widowControl w:val="0"/>
              <w:pBdr>
                <w:top w:val="nil"/>
                <w:left w:val="nil"/>
                <w:bottom w:val="nil"/>
                <w:right w:val="nil"/>
                <w:between w:val="nil"/>
              </w:pBdr>
              <w:jc w:val="right"/>
              <w:rPr>
                <w:color w:val="000000"/>
              </w:rPr>
            </w:pPr>
          </w:p>
        </w:tc>
      </w:tr>
      <w:tr w:rsidR="008E5DE4" w14:paraId="23277190" w14:textId="77777777">
        <w:trPr>
          <w:cantSplit/>
          <w:trHeight w:val="169"/>
        </w:trPr>
        <w:tc>
          <w:tcPr>
            <w:tcW w:w="2552" w:type="dxa"/>
            <w:vAlign w:val="bottom"/>
          </w:tcPr>
          <w:p w14:paraId="3FC31ED2" w14:textId="77777777" w:rsidR="008E5DE4" w:rsidRDefault="00780368">
            <w:pPr>
              <w:widowControl w:val="0"/>
              <w:ind w:left="113" w:right="-57" w:hanging="113"/>
            </w:pPr>
            <w:r>
              <w:t>Derecognised during the period</w:t>
            </w:r>
          </w:p>
        </w:tc>
        <w:tc>
          <w:tcPr>
            <w:tcW w:w="850" w:type="dxa"/>
            <w:vAlign w:val="bottom"/>
          </w:tcPr>
          <w:p w14:paraId="3B8223F9" w14:textId="77777777" w:rsidR="008E5DE4" w:rsidRDefault="008E5DE4">
            <w:pPr>
              <w:widowControl w:val="0"/>
              <w:ind w:left="113" w:right="-57" w:hanging="113"/>
            </w:pPr>
          </w:p>
        </w:tc>
        <w:tc>
          <w:tcPr>
            <w:tcW w:w="850" w:type="dxa"/>
            <w:vAlign w:val="bottom"/>
          </w:tcPr>
          <w:p w14:paraId="0AAADE74" w14:textId="77777777" w:rsidR="008E5DE4" w:rsidRDefault="008E5DE4">
            <w:pPr>
              <w:widowControl w:val="0"/>
              <w:ind w:left="113" w:right="-57" w:hanging="113"/>
            </w:pPr>
          </w:p>
        </w:tc>
        <w:tc>
          <w:tcPr>
            <w:tcW w:w="850" w:type="dxa"/>
            <w:vAlign w:val="bottom"/>
          </w:tcPr>
          <w:p w14:paraId="5824B732" w14:textId="77777777" w:rsidR="008E5DE4" w:rsidRDefault="008E5DE4">
            <w:pPr>
              <w:widowControl w:val="0"/>
              <w:ind w:left="113" w:right="-57" w:hanging="113"/>
            </w:pPr>
          </w:p>
        </w:tc>
        <w:tc>
          <w:tcPr>
            <w:tcW w:w="851" w:type="dxa"/>
            <w:vAlign w:val="bottom"/>
          </w:tcPr>
          <w:p w14:paraId="1394D5B4" w14:textId="77777777" w:rsidR="008E5DE4" w:rsidRDefault="008E5DE4">
            <w:pPr>
              <w:widowControl w:val="0"/>
              <w:ind w:left="113" w:right="-57" w:hanging="113"/>
            </w:pPr>
          </w:p>
        </w:tc>
        <w:tc>
          <w:tcPr>
            <w:tcW w:w="851" w:type="dxa"/>
          </w:tcPr>
          <w:p w14:paraId="4FD71A61" w14:textId="77777777" w:rsidR="008E5DE4" w:rsidRDefault="008E5DE4">
            <w:pPr>
              <w:widowControl w:val="0"/>
              <w:pBdr>
                <w:top w:val="nil"/>
                <w:left w:val="nil"/>
                <w:bottom w:val="nil"/>
                <w:right w:val="nil"/>
                <w:between w:val="nil"/>
              </w:pBdr>
              <w:jc w:val="right"/>
              <w:rPr>
                <w:color w:val="000000"/>
              </w:rPr>
            </w:pPr>
          </w:p>
        </w:tc>
        <w:tc>
          <w:tcPr>
            <w:tcW w:w="851" w:type="dxa"/>
          </w:tcPr>
          <w:p w14:paraId="0A1BD9BA" w14:textId="77777777" w:rsidR="008E5DE4" w:rsidRDefault="008E5DE4">
            <w:pPr>
              <w:widowControl w:val="0"/>
              <w:pBdr>
                <w:top w:val="nil"/>
                <w:left w:val="nil"/>
                <w:bottom w:val="nil"/>
                <w:right w:val="nil"/>
                <w:between w:val="nil"/>
              </w:pBdr>
              <w:jc w:val="right"/>
              <w:rPr>
                <w:color w:val="000000"/>
              </w:rPr>
            </w:pPr>
          </w:p>
        </w:tc>
        <w:tc>
          <w:tcPr>
            <w:tcW w:w="851" w:type="dxa"/>
          </w:tcPr>
          <w:p w14:paraId="697C69EB"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4F842CC" w14:textId="77777777" w:rsidR="008E5DE4" w:rsidRDefault="008E5DE4">
            <w:pPr>
              <w:widowControl w:val="0"/>
              <w:pBdr>
                <w:top w:val="nil"/>
                <w:left w:val="nil"/>
                <w:bottom w:val="nil"/>
                <w:right w:val="nil"/>
                <w:between w:val="nil"/>
              </w:pBdr>
              <w:jc w:val="right"/>
              <w:rPr>
                <w:color w:val="000000"/>
              </w:rPr>
            </w:pPr>
          </w:p>
        </w:tc>
      </w:tr>
      <w:tr w:rsidR="008E5DE4" w14:paraId="26F0A875" w14:textId="77777777">
        <w:trPr>
          <w:cantSplit/>
          <w:trHeight w:val="169"/>
        </w:trPr>
        <w:tc>
          <w:tcPr>
            <w:tcW w:w="2552" w:type="dxa"/>
            <w:vAlign w:val="bottom"/>
          </w:tcPr>
          <w:p w14:paraId="3B3C78E7" w14:textId="77777777" w:rsidR="008E5DE4" w:rsidRDefault="00780368">
            <w:pPr>
              <w:widowControl w:val="0"/>
              <w:ind w:left="113" w:right="-57" w:hanging="113"/>
            </w:pPr>
            <w:r>
              <w:t>Changes to ECL measurement model assumptions</w:t>
            </w:r>
          </w:p>
        </w:tc>
        <w:tc>
          <w:tcPr>
            <w:tcW w:w="850" w:type="dxa"/>
            <w:vAlign w:val="bottom"/>
          </w:tcPr>
          <w:p w14:paraId="19F71CB9" w14:textId="77777777" w:rsidR="008E5DE4" w:rsidRDefault="008E5DE4">
            <w:pPr>
              <w:widowControl w:val="0"/>
              <w:ind w:left="113" w:right="-57" w:hanging="113"/>
            </w:pPr>
          </w:p>
        </w:tc>
        <w:tc>
          <w:tcPr>
            <w:tcW w:w="850" w:type="dxa"/>
            <w:vAlign w:val="bottom"/>
          </w:tcPr>
          <w:p w14:paraId="3815A0C7" w14:textId="77777777" w:rsidR="008E5DE4" w:rsidRDefault="008E5DE4">
            <w:pPr>
              <w:widowControl w:val="0"/>
              <w:ind w:left="113" w:right="-57" w:hanging="113"/>
            </w:pPr>
          </w:p>
        </w:tc>
        <w:tc>
          <w:tcPr>
            <w:tcW w:w="850" w:type="dxa"/>
            <w:vAlign w:val="bottom"/>
          </w:tcPr>
          <w:p w14:paraId="30C5B548" w14:textId="77777777" w:rsidR="008E5DE4" w:rsidRDefault="008E5DE4">
            <w:pPr>
              <w:widowControl w:val="0"/>
              <w:ind w:left="113" w:right="-57" w:hanging="113"/>
            </w:pPr>
          </w:p>
        </w:tc>
        <w:tc>
          <w:tcPr>
            <w:tcW w:w="851" w:type="dxa"/>
            <w:vAlign w:val="bottom"/>
          </w:tcPr>
          <w:p w14:paraId="2BC84D78" w14:textId="77777777" w:rsidR="008E5DE4" w:rsidRDefault="008E5DE4">
            <w:pPr>
              <w:widowControl w:val="0"/>
              <w:ind w:left="113" w:right="-57" w:hanging="113"/>
            </w:pPr>
          </w:p>
        </w:tc>
        <w:tc>
          <w:tcPr>
            <w:tcW w:w="851" w:type="dxa"/>
          </w:tcPr>
          <w:p w14:paraId="3E50C4EB" w14:textId="77777777" w:rsidR="008E5DE4" w:rsidRDefault="008E5DE4">
            <w:pPr>
              <w:widowControl w:val="0"/>
              <w:pBdr>
                <w:top w:val="nil"/>
                <w:left w:val="nil"/>
                <w:bottom w:val="nil"/>
                <w:right w:val="nil"/>
                <w:between w:val="nil"/>
              </w:pBdr>
              <w:jc w:val="right"/>
              <w:rPr>
                <w:color w:val="000000"/>
              </w:rPr>
            </w:pPr>
          </w:p>
        </w:tc>
        <w:tc>
          <w:tcPr>
            <w:tcW w:w="851" w:type="dxa"/>
          </w:tcPr>
          <w:p w14:paraId="3B9F3A6C" w14:textId="77777777" w:rsidR="008E5DE4" w:rsidRDefault="008E5DE4">
            <w:pPr>
              <w:widowControl w:val="0"/>
              <w:pBdr>
                <w:top w:val="nil"/>
                <w:left w:val="nil"/>
                <w:bottom w:val="nil"/>
                <w:right w:val="nil"/>
                <w:between w:val="nil"/>
              </w:pBdr>
              <w:jc w:val="right"/>
              <w:rPr>
                <w:color w:val="000000"/>
              </w:rPr>
            </w:pPr>
          </w:p>
        </w:tc>
        <w:tc>
          <w:tcPr>
            <w:tcW w:w="851" w:type="dxa"/>
          </w:tcPr>
          <w:p w14:paraId="66910CE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5A93204" w14:textId="77777777" w:rsidR="008E5DE4" w:rsidRDefault="008E5DE4">
            <w:pPr>
              <w:widowControl w:val="0"/>
              <w:pBdr>
                <w:top w:val="nil"/>
                <w:left w:val="nil"/>
                <w:bottom w:val="nil"/>
                <w:right w:val="nil"/>
                <w:between w:val="nil"/>
              </w:pBdr>
              <w:jc w:val="right"/>
              <w:rPr>
                <w:color w:val="000000"/>
              </w:rPr>
            </w:pPr>
          </w:p>
        </w:tc>
      </w:tr>
      <w:tr w:rsidR="008E5DE4" w14:paraId="29CCFEBB" w14:textId="77777777">
        <w:trPr>
          <w:cantSplit/>
          <w:trHeight w:val="169"/>
        </w:trPr>
        <w:tc>
          <w:tcPr>
            <w:tcW w:w="2552" w:type="dxa"/>
            <w:vAlign w:val="bottom"/>
          </w:tcPr>
          <w:p w14:paraId="797B64A5" w14:textId="77777777" w:rsidR="008E5DE4" w:rsidRDefault="00780368">
            <w:pPr>
              <w:widowControl w:val="0"/>
              <w:ind w:left="113" w:right="-57" w:hanging="113"/>
            </w:pPr>
            <w:r>
              <w:t xml:space="preserve">Unwinding of discount </w:t>
            </w:r>
          </w:p>
        </w:tc>
        <w:tc>
          <w:tcPr>
            <w:tcW w:w="850" w:type="dxa"/>
            <w:vAlign w:val="bottom"/>
          </w:tcPr>
          <w:p w14:paraId="0DD10D79" w14:textId="77777777" w:rsidR="008E5DE4" w:rsidRDefault="008E5DE4">
            <w:pPr>
              <w:widowControl w:val="0"/>
              <w:ind w:left="113" w:right="-57" w:hanging="113"/>
            </w:pPr>
          </w:p>
        </w:tc>
        <w:tc>
          <w:tcPr>
            <w:tcW w:w="850" w:type="dxa"/>
            <w:vAlign w:val="bottom"/>
          </w:tcPr>
          <w:p w14:paraId="27FE946E" w14:textId="77777777" w:rsidR="008E5DE4" w:rsidRDefault="008E5DE4">
            <w:pPr>
              <w:widowControl w:val="0"/>
              <w:ind w:left="113" w:right="-57" w:hanging="113"/>
            </w:pPr>
          </w:p>
        </w:tc>
        <w:tc>
          <w:tcPr>
            <w:tcW w:w="850" w:type="dxa"/>
            <w:vAlign w:val="bottom"/>
          </w:tcPr>
          <w:p w14:paraId="6C90FFA6" w14:textId="77777777" w:rsidR="008E5DE4" w:rsidRDefault="008E5DE4">
            <w:pPr>
              <w:widowControl w:val="0"/>
              <w:ind w:left="113" w:right="-57" w:hanging="113"/>
            </w:pPr>
          </w:p>
        </w:tc>
        <w:tc>
          <w:tcPr>
            <w:tcW w:w="851" w:type="dxa"/>
            <w:vAlign w:val="bottom"/>
          </w:tcPr>
          <w:p w14:paraId="11AC6C48" w14:textId="77777777" w:rsidR="008E5DE4" w:rsidRDefault="008E5DE4">
            <w:pPr>
              <w:widowControl w:val="0"/>
              <w:ind w:left="113" w:right="-57" w:hanging="113"/>
            </w:pPr>
          </w:p>
        </w:tc>
        <w:tc>
          <w:tcPr>
            <w:tcW w:w="851" w:type="dxa"/>
          </w:tcPr>
          <w:p w14:paraId="1EC2CC11" w14:textId="77777777" w:rsidR="008E5DE4" w:rsidRDefault="008E5DE4">
            <w:pPr>
              <w:widowControl w:val="0"/>
              <w:pBdr>
                <w:top w:val="nil"/>
                <w:left w:val="nil"/>
                <w:bottom w:val="nil"/>
                <w:right w:val="nil"/>
                <w:between w:val="nil"/>
              </w:pBdr>
              <w:jc w:val="right"/>
              <w:rPr>
                <w:color w:val="000000"/>
              </w:rPr>
            </w:pPr>
          </w:p>
        </w:tc>
        <w:tc>
          <w:tcPr>
            <w:tcW w:w="851" w:type="dxa"/>
          </w:tcPr>
          <w:p w14:paraId="321B6DB6" w14:textId="77777777" w:rsidR="008E5DE4" w:rsidRDefault="008E5DE4">
            <w:pPr>
              <w:widowControl w:val="0"/>
              <w:pBdr>
                <w:top w:val="nil"/>
                <w:left w:val="nil"/>
                <w:bottom w:val="nil"/>
                <w:right w:val="nil"/>
                <w:between w:val="nil"/>
              </w:pBdr>
              <w:jc w:val="right"/>
              <w:rPr>
                <w:color w:val="000000"/>
              </w:rPr>
            </w:pPr>
          </w:p>
        </w:tc>
        <w:tc>
          <w:tcPr>
            <w:tcW w:w="851" w:type="dxa"/>
          </w:tcPr>
          <w:p w14:paraId="614CA82C"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4DC7DA5" w14:textId="77777777" w:rsidR="008E5DE4" w:rsidRDefault="008E5DE4">
            <w:pPr>
              <w:widowControl w:val="0"/>
              <w:pBdr>
                <w:top w:val="nil"/>
                <w:left w:val="nil"/>
                <w:bottom w:val="nil"/>
                <w:right w:val="nil"/>
                <w:between w:val="nil"/>
              </w:pBdr>
              <w:jc w:val="right"/>
              <w:rPr>
                <w:color w:val="000000"/>
              </w:rPr>
            </w:pPr>
          </w:p>
        </w:tc>
      </w:tr>
      <w:tr w:rsidR="008E5DE4" w14:paraId="23125354" w14:textId="77777777">
        <w:trPr>
          <w:cantSplit/>
          <w:trHeight w:val="169"/>
        </w:trPr>
        <w:tc>
          <w:tcPr>
            <w:tcW w:w="2552" w:type="dxa"/>
            <w:vAlign w:val="bottom"/>
          </w:tcPr>
          <w:p w14:paraId="385512F7" w14:textId="77777777" w:rsidR="008E5DE4" w:rsidRDefault="00780368">
            <w:pPr>
              <w:widowControl w:val="0"/>
              <w:ind w:left="113" w:right="-57" w:hanging="113"/>
            </w:pPr>
            <w:r>
              <w:t>Changes in accrued interest</w:t>
            </w:r>
          </w:p>
        </w:tc>
        <w:tc>
          <w:tcPr>
            <w:tcW w:w="850" w:type="dxa"/>
            <w:vAlign w:val="bottom"/>
          </w:tcPr>
          <w:p w14:paraId="32C56F10" w14:textId="77777777" w:rsidR="008E5DE4" w:rsidRDefault="008E5DE4">
            <w:pPr>
              <w:widowControl w:val="0"/>
              <w:ind w:left="113" w:right="-57" w:hanging="113"/>
            </w:pPr>
          </w:p>
        </w:tc>
        <w:tc>
          <w:tcPr>
            <w:tcW w:w="850" w:type="dxa"/>
            <w:vAlign w:val="bottom"/>
          </w:tcPr>
          <w:p w14:paraId="5B4290C7" w14:textId="77777777" w:rsidR="008E5DE4" w:rsidRDefault="008E5DE4">
            <w:pPr>
              <w:widowControl w:val="0"/>
              <w:ind w:left="113" w:right="-57" w:hanging="113"/>
            </w:pPr>
          </w:p>
        </w:tc>
        <w:tc>
          <w:tcPr>
            <w:tcW w:w="850" w:type="dxa"/>
            <w:vAlign w:val="bottom"/>
          </w:tcPr>
          <w:p w14:paraId="23B90593" w14:textId="77777777" w:rsidR="008E5DE4" w:rsidRDefault="008E5DE4">
            <w:pPr>
              <w:widowControl w:val="0"/>
              <w:ind w:left="113" w:right="-57" w:hanging="113"/>
            </w:pPr>
          </w:p>
        </w:tc>
        <w:tc>
          <w:tcPr>
            <w:tcW w:w="851" w:type="dxa"/>
            <w:vAlign w:val="bottom"/>
          </w:tcPr>
          <w:p w14:paraId="0C17A5BB" w14:textId="77777777" w:rsidR="008E5DE4" w:rsidRDefault="008E5DE4">
            <w:pPr>
              <w:widowControl w:val="0"/>
              <w:ind w:left="113" w:right="-57" w:hanging="113"/>
            </w:pPr>
          </w:p>
        </w:tc>
        <w:tc>
          <w:tcPr>
            <w:tcW w:w="851" w:type="dxa"/>
          </w:tcPr>
          <w:p w14:paraId="023DBBCC" w14:textId="77777777" w:rsidR="008E5DE4" w:rsidRDefault="008E5DE4">
            <w:pPr>
              <w:widowControl w:val="0"/>
              <w:pBdr>
                <w:top w:val="nil"/>
                <w:left w:val="nil"/>
                <w:bottom w:val="nil"/>
                <w:right w:val="nil"/>
                <w:between w:val="nil"/>
              </w:pBdr>
              <w:jc w:val="right"/>
              <w:rPr>
                <w:color w:val="000000"/>
              </w:rPr>
            </w:pPr>
          </w:p>
        </w:tc>
        <w:tc>
          <w:tcPr>
            <w:tcW w:w="851" w:type="dxa"/>
          </w:tcPr>
          <w:p w14:paraId="155A31D1" w14:textId="77777777" w:rsidR="008E5DE4" w:rsidRDefault="008E5DE4">
            <w:pPr>
              <w:widowControl w:val="0"/>
              <w:pBdr>
                <w:top w:val="nil"/>
                <w:left w:val="nil"/>
                <w:bottom w:val="nil"/>
                <w:right w:val="nil"/>
                <w:between w:val="nil"/>
              </w:pBdr>
              <w:jc w:val="right"/>
              <w:rPr>
                <w:color w:val="000000"/>
              </w:rPr>
            </w:pPr>
          </w:p>
        </w:tc>
        <w:tc>
          <w:tcPr>
            <w:tcW w:w="851" w:type="dxa"/>
          </w:tcPr>
          <w:p w14:paraId="4035D4F4"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C375DB1" w14:textId="77777777" w:rsidR="008E5DE4" w:rsidRDefault="008E5DE4">
            <w:pPr>
              <w:widowControl w:val="0"/>
              <w:pBdr>
                <w:top w:val="nil"/>
                <w:left w:val="nil"/>
                <w:bottom w:val="nil"/>
                <w:right w:val="nil"/>
                <w:between w:val="nil"/>
              </w:pBdr>
              <w:jc w:val="right"/>
              <w:rPr>
                <w:color w:val="000000"/>
              </w:rPr>
            </w:pPr>
          </w:p>
        </w:tc>
      </w:tr>
      <w:tr w:rsidR="008E5DE4" w14:paraId="2327AE03" w14:textId="77777777">
        <w:trPr>
          <w:cantSplit/>
          <w:trHeight w:val="169"/>
        </w:trPr>
        <w:tc>
          <w:tcPr>
            <w:tcW w:w="2552" w:type="dxa"/>
            <w:vAlign w:val="bottom"/>
          </w:tcPr>
          <w:p w14:paraId="11137318" w14:textId="77777777" w:rsidR="008E5DE4" w:rsidRDefault="00780368">
            <w:pPr>
              <w:widowControl w:val="0"/>
              <w:ind w:left="113" w:right="-57" w:hanging="113"/>
            </w:pPr>
            <w:r>
              <w:t>Other movements</w:t>
            </w:r>
          </w:p>
        </w:tc>
        <w:tc>
          <w:tcPr>
            <w:tcW w:w="850" w:type="dxa"/>
            <w:vAlign w:val="bottom"/>
          </w:tcPr>
          <w:p w14:paraId="32330E53" w14:textId="77777777" w:rsidR="008E5DE4" w:rsidRDefault="008E5DE4">
            <w:pPr>
              <w:widowControl w:val="0"/>
              <w:ind w:left="113" w:right="-57" w:hanging="113"/>
            </w:pPr>
          </w:p>
        </w:tc>
        <w:tc>
          <w:tcPr>
            <w:tcW w:w="850" w:type="dxa"/>
            <w:vAlign w:val="bottom"/>
          </w:tcPr>
          <w:p w14:paraId="6BB95F3D" w14:textId="77777777" w:rsidR="008E5DE4" w:rsidRDefault="008E5DE4">
            <w:pPr>
              <w:widowControl w:val="0"/>
              <w:ind w:left="113" w:right="-57" w:hanging="113"/>
            </w:pPr>
          </w:p>
        </w:tc>
        <w:tc>
          <w:tcPr>
            <w:tcW w:w="850" w:type="dxa"/>
            <w:vAlign w:val="bottom"/>
          </w:tcPr>
          <w:p w14:paraId="4187A63D" w14:textId="77777777" w:rsidR="008E5DE4" w:rsidRDefault="008E5DE4">
            <w:pPr>
              <w:widowControl w:val="0"/>
              <w:ind w:left="113" w:right="-57" w:hanging="113"/>
            </w:pPr>
          </w:p>
        </w:tc>
        <w:tc>
          <w:tcPr>
            <w:tcW w:w="851" w:type="dxa"/>
            <w:vAlign w:val="bottom"/>
          </w:tcPr>
          <w:p w14:paraId="0C014E66" w14:textId="77777777" w:rsidR="008E5DE4" w:rsidRDefault="008E5DE4">
            <w:pPr>
              <w:widowControl w:val="0"/>
              <w:ind w:left="113" w:right="-57" w:hanging="113"/>
            </w:pPr>
          </w:p>
        </w:tc>
        <w:tc>
          <w:tcPr>
            <w:tcW w:w="851" w:type="dxa"/>
          </w:tcPr>
          <w:p w14:paraId="29296989" w14:textId="77777777" w:rsidR="008E5DE4" w:rsidRDefault="008E5DE4">
            <w:pPr>
              <w:widowControl w:val="0"/>
              <w:pBdr>
                <w:top w:val="nil"/>
                <w:left w:val="nil"/>
                <w:bottom w:val="nil"/>
                <w:right w:val="nil"/>
                <w:between w:val="nil"/>
              </w:pBdr>
              <w:jc w:val="right"/>
              <w:rPr>
                <w:color w:val="000000"/>
              </w:rPr>
            </w:pPr>
          </w:p>
        </w:tc>
        <w:tc>
          <w:tcPr>
            <w:tcW w:w="851" w:type="dxa"/>
          </w:tcPr>
          <w:p w14:paraId="34C27560" w14:textId="77777777" w:rsidR="008E5DE4" w:rsidRDefault="008E5DE4">
            <w:pPr>
              <w:widowControl w:val="0"/>
              <w:pBdr>
                <w:top w:val="nil"/>
                <w:left w:val="nil"/>
                <w:bottom w:val="nil"/>
                <w:right w:val="nil"/>
                <w:between w:val="nil"/>
              </w:pBdr>
              <w:jc w:val="right"/>
              <w:rPr>
                <w:color w:val="000000"/>
              </w:rPr>
            </w:pPr>
          </w:p>
        </w:tc>
        <w:tc>
          <w:tcPr>
            <w:tcW w:w="851" w:type="dxa"/>
          </w:tcPr>
          <w:p w14:paraId="231DBE1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47124681" w14:textId="77777777" w:rsidR="008E5DE4" w:rsidRDefault="008E5DE4">
            <w:pPr>
              <w:widowControl w:val="0"/>
              <w:pBdr>
                <w:top w:val="nil"/>
                <w:left w:val="nil"/>
                <w:bottom w:val="nil"/>
                <w:right w:val="nil"/>
                <w:between w:val="nil"/>
              </w:pBdr>
              <w:jc w:val="right"/>
              <w:rPr>
                <w:color w:val="000000"/>
              </w:rPr>
            </w:pPr>
          </w:p>
        </w:tc>
      </w:tr>
      <w:tr w:rsidR="008E5DE4" w14:paraId="77D6BD15" w14:textId="77777777">
        <w:trPr>
          <w:cantSplit/>
          <w:trHeight w:val="169"/>
        </w:trPr>
        <w:tc>
          <w:tcPr>
            <w:tcW w:w="2552" w:type="dxa"/>
            <w:tcBorders>
              <w:bottom w:val="single" w:sz="4" w:space="0" w:color="000000"/>
            </w:tcBorders>
            <w:vAlign w:val="bottom"/>
          </w:tcPr>
          <w:p w14:paraId="444B7930" w14:textId="77777777" w:rsidR="008E5DE4" w:rsidRDefault="008E5DE4">
            <w:pPr>
              <w:widowControl w:val="0"/>
              <w:ind w:left="113" w:right="-57" w:hanging="113"/>
            </w:pPr>
          </w:p>
        </w:tc>
        <w:tc>
          <w:tcPr>
            <w:tcW w:w="850" w:type="dxa"/>
            <w:tcBorders>
              <w:bottom w:val="single" w:sz="4" w:space="0" w:color="000000"/>
            </w:tcBorders>
            <w:vAlign w:val="bottom"/>
          </w:tcPr>
          <w:p w14:paraId="1E7506F3" w14:textId="77777777" w:rsidR="008E5DE4" w:rsidRDefault="008E5DE4">
            <w:pPr>
              <w:widowControl w:val="0"/>
              <w:ind w:left="113" w:right="-57" w:hanging="113"/>
            </w:pPr>
          </w:p>
        </w:tc>
        <w:tc>
          <w:tcPr>
            <w:tcW w:w="850" w:type="dxa"/>
            <w:tcBorders>
              <w:bottom w:val="single" w:sz="4" w:space="0" w:color="000000"/>
            </w:tcBorders>
            <w:vAlign w:val="bottom"/>
          </w:tcPr>
          <w:p w14:paraId="0A9849F5" w14:textId="77777777" w:rsidR="008E5DE4" w:rsidRDefault="008E5DE4">
            <w:pPr>
              <w:widowControl w:val="0"/>
              <w:ind w:left="113" w:right="-57" w:hanging="113"/>
            </w:pPr>
          </w:p>
        </w:tc>
        <w:tc>
          <w:tcPr>
            <w:tcW w:w="850" w:type="dxa"/>
            <w:tcBorders>
              <w:bottom w:val="single" w:sz="4" w:space="0" w:color="000000"/>
            </w:tcBorders>
            <w:vAlign w:val="bottom"/>
          </w:tcPr>
          <w:p w14:paraId="0F59FFE4" w14:textId="77777777" w:rsidR="008E5DE4" w:rsidRDefault="008E5DE4">
            <w:pPr>
              <w:widowControl w:val="0"/>
              <w:ind w:left="113" w:right="-57" w:hanging="113"/>
            </w:pPr>
          </w:p>
        </w:tc>
        <w:tc>
          <w:tcPr>
            <w:tcW w:w="851" w:type="dxa"/>
            <w:tcBorders>
              <w:bottom w:val="single" w:sz="4" w:space="0" w:color="000000"/>
            </w:tcBorders>
            <w:vAlign w:val="bottom"/>
          </w:tcPr>
          <w:p w14:paraId="0ABA9709" w14:textId="77777777" w:rsidR="008E5DE4" w:rsidRDefault="008E5DE4">
            <w:pPr>
              <w:widowControl w:val="0"/>
              <w:ind w:left="113" w:right="-57" w:hanging="113"/>
            </w:pPr>
          </w:p>
        </w:tc>
        <w:tc>
          <w:tcPr>
            <w:tcW w:w="851" w:type="dxa"/>
            <w:tcBorders>
              <w:bottom w:val="single" w:sz="4" w:space="0" w:color="000000"/>
            </w:tcBorders>
          </w:tcPr>
          <w:p w14:paraId="3340F981"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tcPr>
          <w:p w14:paraId="5EB09D68"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tcPr>
          <w:p w14:paraId="38938CED"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0F923A64" w14:textId="77777777" w:rsidR="008E5DE4" w:rsidRDefault="008E5DE4">
            <w:pPr>
              <w:widowControl w:val="0"/>
              <w:pBdr>
                <w:top w:val="nil"/>
                <w:left w:val="nil"/>
                <w:bottom w:val="nil"/>
                <w:right w:val="nil"/>
                <w:between w:val="nil"/>
              </w:pBdr>
              <w:jc w:val="right"/>
              <w:rPr>
                <w:color w:val="000000"/>
              </w:rPr>
            </w:pPr>
          </w:p>
        </w:tc>
      </w:tr>
      <w:tr w:rsidR="008E5DE4" w14:paraId="1AE2D10D" w14:textId="77777777">
        <w:trPr>
          <w:cantSplit/>
          <w:trHeight w:val="169"/>
        </w:trPr>
        <w:tc>
          <w:tcPr>
            <w:tcW w:w="2552" w:type="dxa"/>
            <w:tcBorders>
              <w:top w:val="single" w:sz="4" w:space="0" w:color="000000"/>
            </w:tcBorders>
            <w:vAlign w:val="bottom"/>
          </w:tcPr>
          <w:p w14:paraId="0420B5A9" w14:textId="77777777" w:rsidR="008E5DE4" w:rsidRDefault="008E5DE4">
            <w:pPr>
              <w:widowControl w:val="0"/>
              <w:ind w:left="113" w:right="-57" w:hanging="113"/>
            </w:pPr>
          </w:p>
        </w:tc>
        <w:tc>
          <w:tcPr>
            <w:tcW w:w="850" w:type="dxa"/>
            <w:tcBorders>
              <w:top w:val="single" w:sz="4" w:space="0" w:color="000000"/>
            </w:tcBorders>
            <w:vAlign w:val="bottom"/>
          </w:tcPr>
          <w:p w14:paraId="75E5BE94" w14:textId="77777777" w:rsidR="008E5DE4" w:rsidRDefault="008E5DE4">
            <w:pPr>
              <w:widowControl w:val="0"/>
              <w:ind w:left="113" w:right="-57" w:hanging="113"/>
            </w:pPr>
          </w:p>
        </w:tc>
        <w:tc>
          <w:tcPr>
            <w:tcW w:w="850" w:type="dxa"/>
            <w:tcBorders>
              <w:top w:val="single" w:sz="4" w:space="0" w:color="000000"/>
            </w:tcBorders>
            <w:vAlign w:val="bottom"/>
          </w:tcPr>
          <w:p w14:paraId="09CD17B9" w14:textId="77777777" w:rsidR="008E5DE4" w:rsidRDefault="008E5DE4">
            <w:pPr>
              <w:widowControl w:val="0"/>
              <w:ind w:left="113" w:right="-57" w:hanging="113"/>
            </w:pPr>
          </w:p>
        </w:tc>
        <w:tc>
          <w:tcPr>
            <w:tcW w:w="850" w:type="dxa"/>
            <w:tcBorders>
              <w:top w:val="single" w:sz="4" w:space="0" w:color="000000"/>
            </w:tcBorders>
            <w:vAlign w:val="bottom"/>
          </w:tcPr>
          <w:p w14:paraId="1C13D3AC" w14:textId="77777777" w:rsidR="008E5DE4" w:rsidRDefault="008E5DE4">
            <w:pPr>
              <w:widowControl w:val="0"/>
              <w:ind w:left="113" w:right="-57" w:hanging="113"/>
            </w:pPr>
          </w:p>
        </w:tc>
        <w:tc>
          <w:tcPr>
            <w:tcW w:w="851" w:type="dxa"/>
            <w:tcBorders>
              <w:top w:val="single" w:sz="4" w:space="0" w:color="000000"/>
            </w:tcBorders>
            <w:vAlign w:val="bottom"/>
          </w:tcPr>
          <w:p w14:paraId="3FAC418E" w14:textId="77777777" w:rsidR="008E5DE4" w:rsidRDefault="008E5DE4">
            <w:pPr>
              <w:widowControl w:val="0"/>
              <w:ind w:left="113" w:right="-57" w:hanging="113"/>
            </w:pPr>
          </w:p>
        </w:tc>
        <w:tc>
          <w:tcPr>
            <w:tcW w:w="851" w:type="dxa"/>
            <w:tcBorders>
              <w:top w:val="single" w:sz="4" w:space="0" w:color="000000"/>
            </w:tcBorders>
          </w:tcPr>
          <w:p w14:paraId="4E5BB6C8"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2F7FFA76"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5BB8589B"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4A2C270C" w14:textId="77777777" w:rsidR="008E5DE4" w:rsidRDefault="008E5DE4">
            <w:pPr>
              <w:widowControl w:val="0"/>
              <w:pBdr>
                <w:top w:val="nil"/>
                <w:left w:val="nil"/>
                <w:bottom w:val="nil"/>
                <w:right w:val="nil"/>
                <w:between w:val="nil"/>
              </w:pBdr>
              <w:jc w:val="right"/>
              <w:rPr>
                <w:color w:val="000000"/>
              </w:rPr>
            </w:pPr>
          </w:p>
        </w:tc>
      </w:tr>
      <w:tr w:rsidR="008E5DE4" w14:paraId="69ACA3AC" w14:textId="77777777">
        <w:trPr>
          <w:cantSplit/>
          <w:trHeight w:val="169"/>
        </w:trPr>
        <w:tc>
          <w:tcPr>
            <w:tcW w:w="2552" w:type="dxa"/>
            <w:vAlign w:val="bottom"/>
          </w:tcPr>
          <w:p w14:paraId="0A7AA376" w14:textId="77777777" w:rsidR="008E5DE4" w:rsidRDefault="00780368">
            <w:pPr>
              <w:widowControl w:val="0"/>
              <w:ind w:left="113" w:right="-57" w:hanging="113"/>
              <w:rPr>
                <w:b/>
              </w:rPr>
            </w:pPr>
            <w:r>
              <w:rPr>
                <w:b/>
              </w:rPr>
              <w:t>Total movements with impact on credit loss allowance charge for the period</w:t>
            </w:r>
          </w:p>
        </w:tc>
        <w:tc>
          <w:tcPr>
            <w:tcW w:w="850" w:type="dxa"/>
            <w:vAlign w:val="bottom"/>
          </w:tcPr>
          <w:p w14:paraId="1DDDA123" w14:textId="77777777" w:rsidR="008E5DE4" w:rsidRDefault="008E5DE4">
            <w:pPr>
              <w:widowControl w:val="0"/>
              <w:ind w:left="113" w:right="-57" w:hanging="113"/>
              <w:rPr>
                <w:b/>
              </w:rPr>
            </w:pPr>
          </w:p>
        </w:tc>
        <w:tc>
          <w:tcPr>
            <w:tcW w:w="850" w:type="dxa"/>
            <w:vAlign w:val="bottom"/>
          </w:tcPr>
          <w:p w14:paraId="5A7B8930" w14:textId="77777777" w:rsidR="008E5DE4" w:rsidRDefault="008E5DE4">
            <w:pPr>
              <w:widowControl w:val="0"/>
              <w:ind w:left="113" w:right="-57" w:hanging="113"/>
              <w:rPr>
                <w:b/>
              </w:rPr>
            </w:pPr>
          </w:p>
        </w:tc>
        <w:tc>
          <w:tcPr>
            <w:tcW w:w="850" w:type="dxa"/>
            <w:vAlign w:val="bottom"/>
          </w:tcPr>
          <w:p w14:paraId="504AEF99" w14:textId="77777777" w:rsidR="008E5DE4" w:rsidRDefault="008E5DE4">
            <w:pPr>
              <w:widowControl w:val="0"/>
              <w:ind w:left="113" w:right="-57" w:hanging="113"/>
              <w:rPr>
                <w:b/>
              </w:rPr>
            </w:pPr>
          </w:p>
        </w:tc>
        <w:tc>
          <w:tcPr>
            <w:tcW w:w="851" w:type="dxa"/>
            <w:vAlign w:val="bottom"/>
          </w:tcPr>
          <w:p w14:paraId="65D68F68" w14:textId="77777777" w:rsidR="008E5DE4" w:rsidRDefault="008E5DE4">
            <w:pPr>
              <w:widowControl w:val="0"/>
              <w:ind w:left="113" w:right="-57" w:hanging="113"/>
              <w:rPr>
                <w:b/>
              </w:rPr>
            </w:pPr>
          </w:p>
        </w:tc>
        <w:tc>
          <w:tcPr>
            <w:tcW w:w="851" w:type="dxa"/>
          </w:tcPr>
          <w:p w14:paraId="734865EA" w14:textId="77777777" w:rsidR="008E5DE4" w:rsidRDefault="008E5DE4">
            <w:pPr>
              <w:widowControl w:val="0"/>
              <w:pBdr>
                <w:top w:val="nil"/>
                <w:left w:val="nil"/>
                <w:bottom w:val="nil"/>
                <w:right w:val="nil"/>
                <w:between w:val="nil"/>
              </w:pBdr>
              <w:jc w:val="right"/>
              <w:rPr>
                <w:b/>
                <w:color w:val="000000"/>
              </w:rPr>
            </w:pPr>
          </w:p>
        </w:tc>
        <w:tc>
          <w:tcPr>
            <w:tcW w:w="851" w:type="dxa"/>
          </w:tcPr>
          <w:p w14:paraId="3B7AB9BE" w14:textId="77777777" w:rsidR="008E5DE4" w:rsidRDefault="008E5DE4">
            <w:pPr>
              <w:widowControl w:val="0"/>
              <w:pBdr>
                <w:top w:val="nil"/>
                <w:left w:val="nil"/>
                <w:bottom w:val="nil"/>
                <w:right w:val="nil"/>
                <w:between w:val="nil"/>
              </w:pBdr>
              <w:jc w:val="right"/>
              <w:rPr>
                <w:b/>
                <w:color w:val="000000"/>
              </w:rPr>
            </w:pPr>
          </w:p>
        </w:tc>
        <w:tc>
          <w:tcPr>
            <w:tcW w:w="851" w:type="dxa"/>
          </w:tcPr>
          <w:p w14:paraId="6E34920D" w14:textId="77777777" w:rsidR="008E5DE4" w:rsidRDefault="008E5DE4">
            <w:pPr>
              <w:widowControl w:val="0"/>
              <w:pBdr>
                <w:top w:val="nil"/>
                <w:left w:val="nil"/>
                <w:bottom w:val="nil"/>
                <w:right w:val="nil"/>
                <w:between w:val="nil"/>
              </w:pBdr>
              <w:jc w:val="right"/>
              <w:rPr>
                <w:b/>
                <w:color w:val="000000"/>
              </w:rPr>
            </w:pPr>
          </w:p>
        </w:tc>
        <w:tc>
          <w:tcPr>
            <w:tcW w:w="851" w:type="dxa"/>
            <w:vAlign w:val="bottom"/>
          </w:tcPr>
          <w:p w14:paraId="71D3E95E" w14:textId="77777777" w:rsidR="008E5DE4" w:rsidRDefault="008E5DE4">
            <w:pPr>
              <w:widowControl w:val="0"/>
              <w:pBdr>
                <w:top w:val="nil"/>
                <w:left w:val="nil"/>
                <w:bottom w:val="nil"/>
                <w:right w:val="nil"/>
                <w:between w:val="nil"/>
              </w:pBdr>
              <w:jc w:val="right"/>
              <w:rPr>
                <w:b/>
                <w:color w:val="000000"/>
              </w:rPr>
            </w:pPr>
          </w:p>
        </w:tc>
      </w:tr>
      <w:tr w:rsidR="008E5DE4" w14:paraId="7E3C7F48" w14:textId="77777777">
        <w:trPr>
          <w:cantSplit/>
          <w:trHeight w:val="169"/>
        </w:trPr>
        <w:tc>
          <w:tcPr>
            <w:tcW w:w="2552" w:type="dxa"/>
            <w:tcBorders>
              <w:bottom w:val="single" w:sz="12" w:space="0" w:color="000000"/>
            </w:tcBorders>
            <w:vAlign w:val="bottom"/>
          </w:tcPr>
          <w:p w14:paraId="1F0FE650" w14:textId="77777777" w:rsidR="008E5DE4" w:rsidRDefault="008E5DE4">
            <w:pPr>
              <w:widowControl w:val="0"/>
              <w:ind w:left="113" w:right="-57" w:hanging="113"/>
            </w:pPr>
          </w:p>
        </w:tc>
        <w:tc>
          <w:tcPr>
            <w:tcW w:w="850" w:type="dxa"/>
            <w:tcBorders>
              <w:bottom w:val="single" w:sz="12" w:space="0" w:color="000000"/>
            </w:tcBorders>
            <w:vAlign w:val="bottom"/>
          </w:tcPr>
          <w:p w14:paraId="400342F6" w14:textId="77777777" w:rsidR="008E5DE4" w:rsidRDefault="008E5DE4">
            <w:pPr>
              <w:widowControl w:val="0"/>
              <w:ind w:left="113" w:right="-57" w:hanging="113"/>
            </w:pPr>
          </w:p>
        </w:tc>
        <w:tc>
          <w:tcPr>
            <w:tcW w:w="850" w:type="dxa"/>
            <w:tcBorders>
              <w:bottom w:val="single" w:sz="12" w:space="0" w:color="000000"/>
            </w:tcBorders>
            <w:vAlign w:val="bottom"/>
          </w:tcPr>
          <w:p w14:paraId="582C9E2C" w14:textId="77777777" w:rsidR="008E5DE4" w:rsidRDefault="008E5DE4">
            <w:pPr>
              <w:widowControl w:val="0"/>
              <w:ind w:left="113" w:right="-57" w:hanging="113"/>
            </w:pPr>
          </w:p>
        </w:tc>
        <w:tc>
          <w:tcPr>
            <w:tcW w:w="850" w:type="dxa"/>
            <w:tcBorders>
              <w:bottom w:val="single" w:sz="12" w:space="0" w:color="000000"/>
            </w:tcBorders>
            <w:vAlign w:val="bottom"/>
          </w:tcPr>
          <w:p w14:paraId="42BCF0C6" w14:textId="77777777" w:rsidR="008E5DE4" w:rsidRDefault="008E5DE4">
            <w:pPr>
              <w:widowControl w:val="0"/>
              <w:ind w:left="113" w:right="-57" w:hanging="113"/>
            </w:pPr>
          </w:p>
        </w:tc>
        <w:tc>
          <w:tcPr>
            <w:tcW w:w="851" w:type="dxa"/>
            <w:tcBorders>
              <w:bottom w:val="single" w:sz="12" w:space="0" w:color="000000"/>
            </w:tcBorders>
            <w:vAlign w:val="bottom"/>
          </w:tcPr>
          <w:p w14:paraId="656DC042" w14:textId="77777777" w:rsidR="008E5DE4" w:rsidRDefault="008E5DE4">
            <w:pPr>
              <w:widowControl w:val="0"/>
              <w:ind w:left="113" w:right="-57" w:hanging="113"/>
            </w:pPr>
          </w:p>
        </w:tc>
        <w:tc>
          <w:tcPr>
            <w:tcW w:w="851" w:type="dxa"/>
            <w:tcBorders>
              <w:bottom w:val="single" w:sz="12" w:space="0" w:color="000000"/>
            </w:tcBorders>
          </w:tcPr>
          <w:p w14:paraId="3E758622"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3DA79E3E"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626E8CD5"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461DBF30" w14:textId="77777777" w:rsidR="008E5DE4" w:rsidRDefault="008E5DE4">
            <w:pPr>
              <w:widowControl w:val="0"/>
              <w:pBdr>
                <w:top w:val="nil"/>
                <w:left w:val="nil"/>
                <w:bottom w:val="nil"/>
                <w:right w:val="nil"/>
                <w:between w:val="nil"/>
              </w:pBdr>
              <w:jc w:val="right"/>
              <w:rPr>
                <w:color w:val="000000"/>
              </w:rPr>
            </w:pPr>
          </w:p>
        </w:tc>
      </w:tr>
      <w:tr w:rsidR="008E5DE4" w14:paraId="33DB8639" w14:textId="77777777">
        <w:trPr>
          <w:cantSplit/>
          <w:trHeight w:val="169"/>
        </w:trPr>
        <w:tc>
          <w:tcPr>
            <w:tcW w:w="2552" w:type="dxa"/>
            <w:tcBorders>
              <w:top w:val="single" w:sz="12" w:space="0" w:color="000000"/>
            </w:tcBorders>
            <w:vAlign w:val="bottom"/>
          </w:tcPr>
          <w:p w14:paraId="71EBEE1B" w14:textId="77777777" w:rsidR="008E5DE4" w:rsidRDefault="008E5DE4">
            <w:pPr>
              <w:widowControl w:val="0"/>
              <w:ind w:left="113" w:right="-57" w:hanging="113"/>
            </w:pPr>
          </w:p>
        </w:tc>
        <w:tc>
          <w:tcPr>
            <w:tcW w:w="850" w:type="dxa"/>
            <w:tcBorders>
              <w:top w:val="single" w:sz="12" w:space="0" w:color="000000"/>
            </w:tcBorders>
            <w:vAlign w:val="bottom"/>
          </w:tcPr>
          <w:p w14:paraId="031A72E1" w14:textId="77777777" w:rsidR="008E5DE4" w:rsidRDefault="008E5DE4">
            <w:pPr>
              <w:widowControl w:val="0"/>
              <w:ind w:left="113" w:right="-57" w:hanging="113"/>
            </w:pPr>
          </w:p>
        </w:tc>
        <w:tc>
          <w:tcPr>
            <w:tcW w:w="850" w:type="dxa"/>
            <w:tcBorders>
              <w:top w:val="single" w:sz="12" w:space="0" w:color="000000"/>
            </w:tcBorders>
            <w:vAlign w:val="bottom"/>
          </w:tcPr>
          <w:p w14:paraId="28B5D8F6" w14:textId="77777777" w:rsidR="008E5DE4" w:rsidRDefault="008E5DE4">
            <w:pPr>
              <w:widowControl w:val="0"/>
              <w:ind w:left="113" w:right="-57" w:hanging="113"/>
            </w:pPr>
          </w:p>
        </w:tc>
        <w:tc>
          <w:tcPr>
            <w:tcW w:w="850" w:type="dxa"/>
            <w:tcBorders>
              <w:top w:val="single" w:sz="12" w:space="0" w:color="000000"/>
            </w:tcBorders>
            <w:vAlign w:val="bottom"/>
          </w:tcPr>
          <w:p w14:paraId="63512A30" w14:textId="77777777" w:rsidR="008E5DE4" w:rsidRDefault="008E5DE4">
            <w:pPr>
              <w:widowControl w:val="0"/>
              <w:ind w:left="113" w:right="-57" w:hanging="113"/>
            </w:pPr>
          </w:p>
        </w:tc>
        <w:tc>
          <w:tcPr>
            <w:tcW w:w="851" w:type="dxa"/>
            <w:tcBorders>
              <w:top w:val="single" w:sz="12" w:space="0" w:color="000000"/>
            </w:tcBorders>
            <w:vAlign w:val="bottom"/>
          </w:tcPr>
          <w:p w14:paraId="3BCC5598" w14:textId="77777777" w:rsidR="008E5DE4" w:rsidRDefault="008E5DE4">
            <w:pPr>
              <w:widowControl w:val="0"/>
              <w:ind w:left="113" w:right="-57" w:hanging="113"/>
            </w:pPr>
          </w:p>
        </w:tc>
        <w:tc>
          <w:tcPr>
            <w:tcW w:w="851" w:type="dxa"/>
            <w:tcBorders>
              <w:top w:val="single" w:sz="12" w:space="0" w:color="000000"/>
            </w:tcBorders>
          </w:tcPr>
          <w:p w14:paraId="28FC801D"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tcPr>
          <w:p w14:paraId="79CB8E7B"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tcPr>
          <w:p w14:paraId="1125FC7F"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795458B1" w14:textId="77777777" w:rsidR="008E5DE4" w:rsidRDefault="008E5DE4">
            <w:pPr>
              <w:widowControl w:val="0"/>
              <w:pBdr>
                <w:top w:val="nil"/>
                <w:left w:val="nil"/>
                <w:bottom w:val="nil"/>
                <w:right w:val="nil"/>
                <w:between w:val="nil"/>
              </w:pBdr>
              <w:jc w:val="right"/>
              <w:rPr>
                <w:color w:val="000000"/>
              </w:rPr>
            </w:pPr>
          </w:p>
        </w:tc>
      </w:tr>
      <w:tr w:rsidR="008E5DE4" w14:paraId="252F776D" w14:textId="77777777">
        <w:trPr>
          <w:cantSplit/>
          <w:trHeight w:val="169"/>
        </w:trPr>
        <w:tc>
          <w:tcPr>
            <w:tcW w:w="2552" w:type="dxa"/>
            <w:vAlign w:val="bottom"/>
          </w:tcPr>
          <w:p w14:paraId="07B8FF5E" w14:textId="77777777" w:rsidR="008E5DE4" w:rsidRDefault="00780368">
            <w:pPr>
              <w:widowControl w:val="0"/>
              <w:ind w:left="113" w:right="-57" w:hanging="113"/>
            </w:pPr>
            <w:r>
              <w:t>Movements without impact on credit loss allowance charge for the period:</w:t>
            </w:r>
          </w:p>
          <w:p w14:paraId="5F2977A3" w14:textId="77777777" w:rsidR="008E5DE4" w:rsidRDefault="008E5DE4">
            <w:pPr>
              <w:widowControl w:val="0"/>
              <w:ind w:left="113" w:right="-57" w:hanging="113"/>
            </w:pPr>
          </w:p>
        </w:tc>
        <w:tc>
          <w:tcPr>
            <w:tcW w:w="850" w:type="dxa"/>
            <w:vAlign w:val="bottom"/>
          </w:tcPr>
          <w:p w14:paraId="54DF94C9" w14:textId="77777777" w:rsidR="008E5DE4" w:rsidRDefault="008E5DE4">
            <w:pPr>
              <w:widowControl w:val="0"/>
              <w:ind w:left="113" w:right="-57" w:hanging="113"/>
            </w:pPr>
          </w:p>
        </w:tc>
        <w:tc>
          <w:tcPr>
            <w:tcW w:w="850" w:type="dxa"/>
            <w:vAlign w:val="bottom"/>
          </w:tcPr>
          <w:p w14:paraId="205BC46E" w14:textId="77777777" w:rsidR="008E5DE4" w:rsidRDefault="008E5DE4">
            <w:pPr>
              <w:widowControl w:val="0"/>
              <w:ind w:left="113" w:right="-57" w:hanging="113"/>
            </w:pPr>
          </w:p>
        </w:tc>
        <w:tc>
          <w:tcPr>
            <w:tcW w:w="850" w:type="dxa"/>
            <w:vAlign w:val="bottom"/>
          </w:tcPr>
          <w:p w14:paraId="7B8B6887" w14:textId="77777777" w:rsidR="008E5DE4" w:rsidRDefault="008E5DE4">
            <w:pPr>
              <w:widowControl w:val="0"/>
              <w:ind w:left="113" w:right="-57" w:hanging="113"/>
            </w:pPr>
          </w:p>
        </w:tc>
        <w:tc>
          <w:tcPr>
            <w:tcW w:w="851" w:type="dxa"/>
            <w:vAlign w:val="bottom"/>
          </w:tcPr>
          <w:p w14:paraId="2E360891" w14:textId="77777777" w:rsidR="008E5DE4" w:rsidRDefault="008E5DE4">
            <w:pPr>
              <w:widowControl w:val="0"/>
              <w:ind w:left="113" w:right="-57" w:hanging="113"/>
            </w:pPr>
          </w:p>
        </w:tc>
        <w:tc>
          <w:tcPr>
            <w:tcW w:w="851" w:type="dxa"/>
          </w:tcPr>
          <w:p w14:paraId="69F37086" w14:textId="77777777" w:rsidR="008E5DE4" w:rsidRDefault="008E5DE4">
            <w:pPr>
              <w:widowControl w:val="0"/>
              <w:pBdr>
                <w:top w:val="nil"/>
                <w:left w:val="nil"/>
                <w:bottom w:val="nil"/>
                <w:right w:val="nil"/>
                <w:between w:val="nil"/>
              </w:pBdr>
              <w:jc w:val="right"/>
              <w:rPr>
                <w:color w:val="000000"/>
              </w:rPr>
            </w:pPr>
          </w:p>
        </w:tc>
        <w:tc>
          <w:tcPr>
            <w:tcW w:w="851" w:type="dxa"/>
          </w:tcPr>
          <w:p w14:paraId="3B30BA51" w14:textId="77777777" w:rsidR="008E5DE4" w:rsidRDefault="008E5DE4">
            <w:pPr>
              <w:widowControl w:val="0"/>
              <w:pBdr>
                <w:top w:val="nil"/>
                <w:left w:val="nil"/>
                <w:bottom w:val="nil"/>
                <w:right w:val="nil"/>
                <w:between w:val="nil"/>
              </w:pBdr>
              <w:jc w:val="right"/>
              <w:rPr>
                <w:color w:val="000000"/>
              </w:rPr>
            </w:pPr>
          </w:p>
        </w:tc>
        <w:tc>
          <w:tcPr>
            <w:tcW w:w="851" w:type="dxa"/>
          </w:tcPr>
          <w:p w14:paraId="57689602"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24FA9BC" w14:textId="77777777" w:rsidR="008E5DE4" w:rsidRDefault="008E5DE4">
            <w:pPr>
              <w:widowControl w:val="0"/>
              <w:pBdr>
                <w:top w:val="nil"/>
                <w:left w:val="nil"/>
                <w:bottom w:val="nil"/>
                <w:right w:val="nil"/>
                <w:between w:val="nil"/>
              </w:pBdr>
              <w:jc w:val="right"/>
              <w:rPr>
                <w:color w:val="000000"/>
              </w:rPr>
            </w:pPr>
          </w:p>
        </w:tc>
      </w:tr>
      <w:tr w:rsidR="008E5DE4" w14:paraId="5E757A59" w14:textId="77777777">
        <w:trPr>
          <w:cantSplit/>
          <w:trHeight w:val="169"/>
        </w:trPr>
        <w:tc>
          <w:tcPr>
            <w:tcW w:w="2552" w:type="dxa"/>
            <w:vAlign w:val="bottom"/>
          </w:tcPr>
          <w:p w14:paraId="29055A2E" w14:textId="77777777" w:rsidR="008E5DE4" w:rsidRDefault="00780368">
            <w:pPr>
              <w:widowControl w:val="0"/>
              <w:ind w:left="113" w:right="-57" w:hanging="113"/>
            </w:pPr>
            <w:r>
              <w:t>Write-offs</w:t>
            </w:r>
          </w:p>
        </w:tc>
        <w:tc>
          <w:tcPr>
            <w:tcW w:w="850" w:type="dxa"/>
            <w:vAlign w:val="bottom"/>
          </w:tcPr>
          <w:p w14:paraId="4D61586C" w14:textId="77777777" w:rsidR="008E5DE4" w:rsidRDefault="008E5DE4">
            <w:pPr>
              <w:widowControl w:val="0"/>
              <w:ind w:left="113" w:right="-57" w:hanging="113"/>
            </w:pPr>
          </w:p>
        </w:tc>
        <w:tc>
          <w:tcPr>
            <w:tcW w:w="850" w:type="dxa"/>
            <w:vAlign w:val="bottom"/>
          </w:tcPr>
          <w:p w14:paraId="2A8A0C8A" w14:textId="77777777" w:rsidR="008E5DE4" w:rsidRDefault="008E5DE4">
            <w:pPr>
              <w:widowControl w:val="0"/>
              <w:ind w:left="113" w:right="-57" w:hanging="113"/>
            </w:pPr>
          </w:p>
        </w:tc>
        <w:tc>
          <w:tcPr>
            <w:tcW w:w="850" w:type="dxa"/>
            <w:vAlign w:val="bottom"/>
          </w:tcPr>
          <w:p w14:paraId="0D0FD3CA" w14:textId="77777777" w:rsidR="008E5DE4" w:rsidRDefault="008E5DE4">
            <w:pPr>
              <w:widowControl w:val="0"/>
              <w:ind w:left="113" w:right="-57" w:hanging="113"/>
            </w:pPr>
          </w:p>
        </w:tc>
        <w:tc>
          <w:tcPr>
            <w:tcW w:w="851" w:type="dxa"/>
            <w:vAlign w:val="bottom"/>
          </w:tcPr>
          <w:p w14:paraId="333CB510" w14:textId="77777777" w:rsidR="008E5DE4" w:rsidRDefault="008E5DE4">
            <w:pPr>
              <w:widowControl w:val="0"/>
              <w:ind w:left="113" w:right="-57" w:hanging="113"/>
            </w:pPr>
          </w:p>
        </w:tc>
        <w:tc>
          <w:tcPr>
            <w:tcW w:w="851" w:type="dxa"/>
          </w:tcPr>
          <w:p w14:paraId="3AFB07FF" w14:textId="77777777" w:rsidR="008E5DE4" w:rsidRDefault="008E5DE4">
            <w:pPr>
              <w:widowControl w:val="0"/>
              <w:pBdr>
                <w:top w:val="nil"/>
                <w:left w:val="nil"/>
                <w:bottom w:val="nil"/>
                <w:right w:val="nil"/>
                <w:between w:val="nil"/>
              </w:pBdr>
              <w:jc w:val="right"/>
              <w:rPr>
                <w:color w:val="000000"/>
              </w:rPr>
            </w:pPr>
          </w:p>
        </w:tc>
        <w:tc>
          <w:tcPr>
            <w:tcW w:w="851" w:type="dxa"/>
          </w:tcPr>
          <w:p w14:paraId="4B6E8BAA" w14:textId="77777777" w:rsidR="008E5DE4" w:rsidRDefault="008E5DE4">
            <w:pPr>
              <w:widowControl w:val="0"/>
              <w:pBdr>
                <w:top w:val="nil"/>
                <w:left w:val="nil"/>
                <w:bottom w:val="nil"/>
                <w:right w:val="nil"/>
                <w:between w:val="nil"/>
              </w:pBdr>
              <w:jc w:val="right"/>
              <w:rPr>
                <w:color w:val="000000"/>
              </w:rPr>
            </w:pPr>
          </w:p>
        </w:tc>
        <w:tc>
          <w:tcPr>
            <w:tcW w:w="851" w:type="dxa"/>
          </w:tcPr>
          <w:p w14:paraId="6AF0E44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6726ABC" w14:textId="77777777" w:rsidR="008E5DE4" w:rsidRDefault="008E5DE4">
            <w:pPr>
              <w:widowControl w:val="0"/>
              <w:pBdr>
                <w:top w:val="nil"/>
                <w:left w:val="nil"/>
                <w:bottom w:val="nil"/>
                <w:right w:val="nil"/>
                <w:between w:val="nil"/>
              </w:pBdr>
              <w:jc w:val="right"/>
              <w:rPr>
                <w:color w:val="000000"/>
              </w:rPr>
            </w:pPr>
          </w:p>
        </w:tc>
      </w:tr>
      <w:tr w:rsidR="008E5DE4" w14:paraId="3F90222F" w14:textId="77777777">
        <w:trPr>
          <w:cantSplit/>
          <w:trHeight w:val="169"/>
        </w:trPr>
        <w:tc>
          <w:tcPr>
            <w:tcW w:w="2552" w:type="dxa"/>
            <w:vAlign w:val="bottom"/>
          </w:tcPr>
          <w:p w14:paraId="5BE3902E" w14:textId="77777777" w:rsidR="008E5DE4" w:rsidRDefault="00780368">
            <w:pPr>
              <w:widowControl w:val="0"/>
              <w:ind w:left="113" w:right="-57" w:hanging="113"/>
            </w:pPr>
            <w:r>
              <w:t>Foreign exchange and other movements</w:t>
            </w:r>
          </w:p>
        </w:tc>
        <w:tc>
          <w:tcPr>
            <w:tcW w:w="850" w:type="dxa"/>
            <w:vAlign w:val="bottom"/>
          </w:tcPr>
          <w:p w14:paraId="441F2B79" w14:textId="77777777" w:rsidR="008E5DE4" w:rsidRDefault="008E5DE4">
            <w:pPr>
              <w:widowControl w:val="0"/>
              <w:ind w:left="113" w:right="-57" w:hanging="113"/>
            </w:pPr>
          </w:p>
        </w:tc>
        <w:tc>
          <w:tcPr>
            <w:tcW w:w="850" w:type="dxa"/>
            <w:vAlign w:val="bottom"/>
          </w:tcPr>
          <w:p w14:paraId="7AD396F9" w14:textId="77777777" w:rsidR="008E5DE4" w:rsidRDefault="008E5DE4">
            <w:pPr>
              <w:widowControl w:val="0"/>
              <w:ind w:left="113" w:right="-57" w:hanging="113"/>
            </w:pPr>
          </w:p>
        </w:tc>
        <w:tc>
          <w:tcPr>
            <w:tcW w:w="850" w:type="dxa"/>
            <w:vAlign w:val="bottom"/>
          </w:tcPr>
          <w:p w14:paraId="2253BC61" w14:textId="77777777" w:rsidR="008E5DE4" w:rsidRDefault="008E5DE4">
            <w:pPr>
              <w:widowControl w:val="0"/>
              <w:ind w:left="113" w:right="-57" w:hanging="113"/>
            </w:pPr>
          </w:p>
        </w:tc>
        <w:tc>
          <w:tcPr>
            <w:tcW w:w="851" w:type="dxa"/>
            <w:vAlign w:val="bottom"/>
          </w:tcPr>
          <w:p w14:paraId="016E9AB3" w14:textId="77777777" w:rsidR="008E5DE4" w:rsidRDefault="008E5DE4">
            <w:pPr>
              <w:widowControl w:val="0"/>
              <w:ind w:left="113" w:right="-57" w:hanging="113"/>
            </w:pPr>
          </w:p>
        </w:tc>
        <w:tc>
          <w:tcPr>
            <w:tcW w:w="851" w:type="dxa"/>
          </w:tcPr>
          <w:p w14:paraId="0B31871E" w14:textId="77777777" w:rsidR="008E5DE4" w:rsidRDefault="008E5DE4">
            <w:pPr>
              <w:widowControl w:val="0"/>
              <w:pBdr>
                <w:top w:val="nil"/>
                <w:left w:val="nil"/>
                <w:bottom w:val="nil"/>
                <w:right w:val="nil"/>
                <w:between w:val="nil"/>
              </w:pBdr>
              <w:jc w:val="right"/>
              <w:rPr>
                <w:color w:val="000000"/>
              </w:rPr>
            </w:pPr>
          </w:p>
        </w:tc>
        <w:tc>
          <w:tcPr>
            <w:tcW w:w="851" w:type="dxa"/>
          </w:tcPr>
          <w:p w14:paraId="06194552" w14:textId="77777777" w:rsidR="008E5DE4" w:rsidRDefault="008E5DE4">
            <w:pPr>
              <w:widowControl w:val="0"/>
              <w:pBdr>
                <w:top w:val="nil"/>
                <w:left w:val="nil"/>
                <w:bottom w:val="nil"/>
                <w:right w:val="nil"/>
                <w:between w:val="nil"/>
              </w:pBdr>
              <w:jc w:val="right"/>
              <w:rPr>
                <w:color w:val="000000"/>
              </w:rPr>
            </w:pPr>
          </w:p>
        </w:tc>
        <w:tc>
          <w:tcPr>
            <w:tcW w:w="851" w:type="dxa"/>
          </w:tcPr>
          <w:p w14:paraId="12851B5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776B1CF" w14:textId="77777777" w:rsidR="008E5DE4" w:rsidRDefault="008E5DE4">
            <w:pPr>
              <w:widowControl w:val="0"/>
              <w:pBdr>
                <w:top w:val="nil"/>
                <w:left w:val="nil"/>
                <w:bottom w:val="nil"/>
                <w:right w:val="nil"/>
                <w:between w:val="nil"/>
              </w:pBdr>
              <w:jc w:val="right"/>
              <w:rPr>
                <w:color w:val="000000"/>
              </w:rPr>
            </w:pPr>
          </w:p>
        </w:tc>
      </w:tr>
      <w:tr w:rsidR="008E5DE4" w14:paraId="7DD12A87" w14:textId="77777777">
        <w:trPr>
          <w:cantSplit/>
          <w:trHeight w:val="169"/>
        </w:trPr>
        <w:tc>
          <w:tcPr>
            <w:tcW w:w="2552" w:type="dxa"/>
            <w:vAlign w:val="bottom"/>
          </w:tcPr>
          <w:p w14:paraId="177C4E50" w14:textId="77777777" w:rsidR="008E5DE4" w:rsidRDefault="00780368">
            <w:pPr>
              <w:widowControl w:val="0"/>
              <w:ind w:left="113" w:right="-57" w:hanging="113"/>
            </w:pPr>
            <w:r>
              <w:t>Modification of contractual cash flows</w:t>
            </w:r>
          </w:p>
        </w:tc>
        <w:tc>
          <w:tcPr>
            <w:tcW w:w="850" w:type="dxa"/>
            <w:vAlign w:val="bottom"/>
          </w:tcPr>
          <w:p w14:paraId="16D51E25" w14:textId="77777777" w:rsidR="008E5DE4" w:rsidRDefault="008E5DE4">
            <w:pPr>
              <w:widowControl w:val="0"/>
              <w:ind w:left="113" w:right="-57" w:hanging="113"/>
            </w:pPr>
          </w:p>
        </w:tc>
        <w:tc>
          <w:tcPr>
            <w:tcW w:w="850" w:type="dxa"/>
            <w:vAlign w:val="bottom"/>
          </w:tcPr>
          <w:p w14:paraId="08F22512" w14:textId="77777777" w:rsidR="008E5DE4" w:rsidRDefault="008E5DE4">
            <w:pPr>
              <w:widowControl w:val="0"/>
              <w:ind w:left="113" w:right="-57" w:hanging="113"/>
            </w:pPr>
          </w:p>
        </w:tc>
        <w:tc>
          <w:tcPr>
            <w:tcW w:w="850" w:type="dxa"/>
            <w:vAlign w:val="bottom"/>
          </w:tcPr>
          <w:p w14:paraId="4C84DCC9" w14:textId="77777777" w:rsidR="008E5DE4" w:rsidRDefault="008E5DE4">
            <w:pPr>
              <w:widowControl w:val="0"/>
              <w:ind w:left="113" w:right="-57" w:hanging="113"/>
            </w:pPr>
          </w:p>
        </w:tc>
        <w:tc>
          <w:tcPr>
            <w:tcW w:w="851" w:type="dxa"/>
            <w:vAlign w:val="bottom"/>
          </w:tcPr>
          <w:p w14:paraId="2016DC2B" w14:textId="77777777" w:rsidR="008E5DE4" w:rsidRDefault="008E5DE4">
            <w:pPr>
              <w:widowControl w:val="0"/>
              <w:ind w:left="113" w:right="-57" w:hanging="113"/>
            </w:pPr>
          </w:p>
        </w:tc>
        <w:tc>
          <w:tcPr>
            <w:tcW w:w="851" w:type="dxa"/>
          </w:tcPr>
          <w:p w14:paraId="28092C99" w14:textId="77777777" w:rsidR="008E5DE4" w:rsidRDefault="008E5DE4">
            <w:pPr>
              <w:widowControl w:val="0"/>
              <w:pBdr>
                <w:top w:val="nil"/>
                <w:left w:val="nil"/>
                <w:bottom w:val="nil"/>
                <w:right w:val="nil"/>
                <w:between w:val="nil"/>
              </w:pBdr>
              <w:jc w:val="right"/>
              <w:rPr>
                <w:color w:val="000000"/>
              </w:rPr>
            </w:pPr>
          </w:p>
        </w:tc>
        <w:tc>
          <w:tcPr>
            <w:tcW w:w="851" w:type="dxa"/>
          </w:tcPr>
          <w:p w14:paraId="0300AE4C" w14:textId="77777777" w:rsidR="008E5DE4" w:rsidRDefault="008E5DE4">
            <w:pPr>
              <w:widowControl w:val="0"/>
              <w:pBdr>
                <w:top w:val="nil"/>
                <w:left w:val="nil"/>
                <w:bottom w:val="nil"/>
                <w:right w:val="nil"/>
                <w:between w:val="nil"/>
              </w:pBdr>
              <w:jc w:val="right"/>
              <w:rPr>
                <w:color w:val="000000"/>
              </w:rPr>
            </w:pPr>
          </w:p>
        </w:tc>
        <w:tc>
          <w:tcPr>
            <w:tcW w:w="851" w:type="dxa"/>
          </w:tcPr>
          <w:p w14:paraId="4C2B3C60"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1B81382" w14:textId="77777777" w:rsidR="008E5DE4" w:rsidRDefault="008E5DE4">
            <w:pPr>
              <w:widowControl w:val="0"/>
              <w:pBdr>
                <w:top w:val="nil"/>
                <w:left w:val="nil"/>
                <w:bottom w:val="nil"/>
                <w:right w:val="nil"/>
                <w:between w:val="nil"/>
              </w:pBdr>
              <w:jc w:val="right"/>
              <w:rPr>
                <w:color w:val="000000"/>
              </w:rPr>
            </w:pPr>
          </w:p>
        </w:tc>
      </w:tr>
      <w:tr w:rsidR="008E5DE4" w14:paraId="091785E3" w14:textId="77777777">
        <w:trPr>
          <w:cantSplit/>
          <w:trHeight w:val="169"/>
        </w:trPr>
        <w:tc>
          <w:tcPr>
            <w:tcW w:w="2552" w:type="dxa"/>
            <w:vAlign w:val="bottom"/>
          </w:tcPr>
          <w:p w14:paraId="5C59881C" w14:textId="77777777" w:rsidR="008E5DE4" w:rsidRDefault="00780368">
            <w:pPr>
              <w:widowControl w:val="0"/>
              <w:ind w:left="113" w:right="-57" w:hanging="113"/>
            </w:pPr>
            <w:r>
              <w:t>Unwinding of discount (for Stage 3)</w:t>
            </w:r>
          </w:p>
        </w:tc>
        <w:tc>
          <w:tcPr>
            <w:tcW w:w="850" w:type="dxa"/>
            <w:vAlign w:val="bottom"/>
          </w:tcPr>
          <w:p w14:paraId="71C778CE" w14:textId="77777777" w:rsidR="008E5DE4" w:rsidRDefault="008E5DE4">
            <w:pPr>
              <w:widowControl w:val="0"/>
              <w:ind w:left="113" w:right="-57" w:hanging="113"/>
            </w:pPr>
          </w:p>
        </w:tc>
        <w:tc>
          <w:tcPr>
            <w:tcW w:w="850" w:type="dxa"/>
            <w:vAlign w:val="bottom"/>
          </w:tcPr>
          <w:p w14:paraId="0C72607D" w14:textId="77777777" w:rsidR="008E5DE4" w:rsidRDefault="008E5DE4">
            <w:pPr>
              <w:widowControl w:val="0"/>
              <w:ind w:left="113" w:right="-57" w:hanging="113"/>
            </w:pPr>
          </w:p>
        </w:tc>
        <w:tc>
          <w:tcPr>
            <w:tcW w:w="850" w:type="dxa"/>
            <w:vAlign w:val="bottom"/>
          </w:tcPr>
          <w:p w14:paraId="1AEC5362" w14:textId="77777777" w:rsidR="008E5DE4" w:rsidRDefault="008E5DE4">
            <w:pPr>
              <w:widowControl w:val="0"/>
              <w:ind w:left="113" w:right="-57" w:hanging="113"/>
            </w:pPr>
          </w:p>
        </w:tc>
        <w:tc>
          <w:tcPr>
            <w:tcW w:w="851" w:type="dxa"/>
            <w:vAlign w:val="bottom"/>
          </w:tcPr>
          <w:p w14:paraId="7747A460" w14:textId="77777777" w:rsidR="008E5DE4" w:rsidRDefault="008E5DE4">
            <w:pPr>
              <w:widowControl w:val="0"/>
              <w:ind w:left="113" w:right="-57" w:hanging="113"/>
            </w:pPr>
          </w:p>
        </w:tc>
        <w:tc>
          <w:tcPr>
            <w:tcW w:w="851" w:type="dxa"/>
          </w:tcPr>
          <w:p w14:paraId="1279E58C" w14:textId="77777777" w:rsidR="008E5DE4" w:rsidRDefault="008E5DE4">
            <w:pPr>
              <w:widowControl w:val="0"/>
              <w:pBdr>
                <w:top w:val="nil"/>
                <w:left w:val="nil"/>
                <w:bottom w:val="nil"/>
                <w:right w:val="nil"/>
                <w:between w:val="nil"/>
              </w:pBdr>
              <w:jc w:val="right"/>
              <w:rPr>
                <w:color w:val="000000"/>
              </w:rPr>
            </w:pPr>
          </w:p>
        </w:tc>
        <w:tc>
          <w:tcPr>
            <w:tcW w:w="851" w:type="dxa"/>
          </w:tcPr>
          <w:p w14:paraId="6967EA46" w14:textId="77777777" w:rsidR="008E5DE4" w:rsidRDefault="008E5DE4">
            <w:pPr>
              <w:widowControl w:val="0"/>
              <w:pBdr>
                <w:top w:val="nil"/>
                <w:left w:val="nil"/>
                <w:bottom w:val="nil"/>
                <w:right w:val="nil"/>
                <w:between w:val="nil"/>
              </w:pBdr>
              <w:jc w:val="right"/>
              <w:rPr>
                <w:color w:val="000000"/>
              </w:rPr>
            </w:pPr>
          </w:p>
        </w:tc>
        <w:tc>
          <w:tcPr>
            <w:tcW w:w="851" w:type="dxa"/>
          </w:tcPr>
          <w:p w14:paraId="5293650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B97C96E" w14:textId="77777777" w:rsidR="008E5DE4" w:rsidRDefault="008E5DE4">
            <w:pPr>
              <w:widowControl w:val="0"/>
              <w:pBdr>
                <w:top w:val="nil"/>
                <w:left w:val="nil"/>
                <w:bottom w:val="nil"/>
                <w:right w:val="nil"/>
                <w:between w:val="nil"/>
              </w:pBdr>
              <w:jc w:val="right"/>
              <w:rPr>
                <w:color w:val="000000"/>
              </w:rPr>
            </w:pPr>
          </w:p>
        </w:tc>
      </w:tr>
      <w:tr w:rsidR="008E5DE4" w14:paraId="0B2CA368" w14:textId="77777777">
        <w:trPr>
          <w:cantSplit/>
          <w:trHeight w:val="169"/>
        </w:trPr>
        <w:tc>
          <w:tcPr>
            <w:tcW w:w="2552" w:type="dxa"/>
            <w:tcBorders>
              <w:bottom w:val="single" w:sz="4" w:space="0" w:color="000000"/>
            </w:tcBorders>
            <w:vAlign w:val="bottom"/>
          </w:tcPr>
          <w:p w14:paraId="667811EE" w14:textId="77777777" w:rsidR="008E5DE4" w:rsidRDefault="008E5DE4">
            <w:pPr>
              <w:widowControl w:val="0"/>
              <w:ind w:left="113" w:right="-57" w:hanging="113"/>
            </w:pPr>
          </w:p>
        </w:tc>
        <w:tc>
          <w:tcPr>
            <w:tcW w:w="850" w:type="dxa"/>
            <w:tcBorders>
              <w:bottom w:val="single" w:sz="4" w:space="0" w:color="000000"/>
            </w:tcBorders>
            <w:vAlign w:val="bottom"/>
          </w:tcPr>
          <w:p w14:paraId="2754C7B5" w14:textId="77777777" w:rsidR="008E5DE4" w:rsidRDefault="008E5DE4">
            <w:pPr>
              <w:widowControl w:val="0"/>
              <w:ind w:left="113" w:right="-57" w:hanging="113"/>
            </w:pPr>
          </w:p>
        </w:tc>
        <w:tc>
          <w:tcPr>
            <w:tcW w:w="850" w:type="dxa"/>
            <w:tcBorders>
              <w:bottom w:val="single" w:sz="4" w:space="0" w:color="000000"/>
            </w:tcBorders>
            <w:vAlign w:val="bottom"/>
          </w:tcPr>
          <w:p w14:paraId="7A7E21F9" w14:textId="77777777" w:rsidR="008E5DE4" w:rsidRDefault="008E5DE4">
            <w:pPr>
              <w:widowControl w:val="0"/>
              <w:ind w:left="113" w:right="-57" w:hanging="113"/>
            </w:pPr>
          </w:p>
        </w:tc>
        <w:tc>
          <w:tcPr>
            <w:tcW w:w="850" w:type="dxa"/>
            <w:tcBorders>
              <w:bottom w:val="single" w:sz="4" w:space="0" w:color="000000"/>
            </w:tcBorders>
            <w:vAlign w:val="bottom"/>
          </w:tcPr>
          <w:p w14:paraId="53EA48A3" w14:textId="77777777" w:rsidR="008E5DE4" w:rsidRDefault="008E5DE4">
            <w:pPr>
              <w:widowControl w:val="0"/>
              <w:ind w:left="113" w:right="-57" w:hanging="113"/>
            </w:pPr>
          </w:p>
        </w:tc>
        <w:tc>
          <w:tcPr>
            <w:tcW w:w="851" w:type="dxa"/>
            <w:tcBorders>
              <w:bottom w:val="single" w:sz="4" w:space="0" w:color="000000"/>
            </w:tcBorders>
            <w:vAlign w:val="bottom"/>
          </w:tcPr>
          <w:p w14:paraId="5DF186BB" w14:textId="77777777" w:rsidR="008E5DE4" w:rsidRDefault="008E5DE4">
            <w:pPr>
              <w:widowControl w:val="0"/>
              <w:ind w:left="113" w:right="-57" w:hanging="113"/>
            </w:pPr>
          </w:p>
        </w:tc>
        <w:tc>
          <w:tcPr>
            <w:tcW w:w="851" w:type="dxa"/>
            <w:tcBorders>
              <w:bottom w:val="single" w:sz="4" w:space="0" w:color="000000"/>
            </w:tcBorders>
          </w:tcPr>
          <w:p w14:paraId="15CA94E5"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tcPr>
          <w:p w14:paraId="17BECA51"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tcPr>
          <w:p w14:paraId="0D6456F4"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5D6873BB" w14:textId="77777777" w:rsidR="008E5DE4" w:rsidRDefault="008E5DE4">
            <w:pPr>
              <w:widowControl w:val="0"/>
              <w:pBdr>
                <w:top w:val="nil"/>
                <w:left w:val="nil"/>
                <w:bottom w:val="nil"/>
                <w:right w:val="nil"/>
                <w:between w:val="nil"/>
              </w:pBdr>
              <w:jc w:val="right"/>
              <w:rPr>
                <w:color w:val="000000"/>
              </w:rPr>
            </w:pPr>
          </w:p>
        </w:tc>
      </w:tr>
      <w:tr w:rsidR="008E5DE4" w14:paraId="7AE29ECB" w14:textId="77777777">
        <w:trPr>
          <w:cantSplit/>
          <w:trHeight w:val="169"/>
        </w:trPr>
        <w:tc>
          <w:tcPr>
            <w:tcW w:w="2552" w:type="dxa"/>
            <w:tcBorders>
              <w:top w:val="single" w:sz="4" w:space="0" w:color="000000"/>
            </w:tcBorders>
            <w:vAlign w:val="bottom"/>
          </w:tcPr>
          <w:p w14:paraId="4A85716C" w14:textId="77777777" w:rsidR="008E5DE4" w:rsidRDefault="008E5DE4">
            <w:pPr>
              <w:widowControl w:val="0"/>
              <w:ind w:left="113" w:right="-57" w:hanging="113"/>
            </w:pPr>
          </w:p>
        </w:tc>
        <w:tc>
          <w:tcPr>
            <w:tcW w:w="850" w:type="dxa"/>
            <w:tcBorders>
              <w:top w:val="single" w:sz="4" w:space="0" w:color="000000"/>
            </w:tcBorders>
            <w:vAlign w:val="bottom"/>
          </w:tcPr>
          <w:p w14:paraId="7C5D0F40" w14:textId="77777777" w:rsidR="008E5DE4" w:rsidRDefault="008E5DE4">
            <w:pPr>
              <w:widowControl w:val="0"/>
              <w:ind w:left="113" w:right="-57" w:hanging="113"/>
            </w:pPr>
          </w:p>
        </w:tc>
        <w:tc>
          <w:tcPr>
            <w:tcW w:w="850" w:type="dxa"/>
            <w:tcBorders>
              <w:top w:val="single" w:sz="4" w:space="0" w:color="000000"/>
            </w:tcBorders>
            <w:vAlign w:val="bottom"/>
          </w:tcPr>
          <w:p w14:paraId="191F1458" w14:textId="77777777" w:rsidR="008E5DE4" w:rsidRDefault="008E5DE4">
            <w:pPr>
              <w:widowControl w:val="0"/>
              <w:ind w:left="113" w:right="-57" w:hanging="113"/>
            </w:pPr>
          </w:p>
        </w:tc>
        <w:tc>
          <w:tcPr>
            <w:tcW w:w="850" w:type="dxa"/>
            <w:tcBorders>
              <w:top w:val="single" w:sz="4" w:space="0" w:color="000000"/>
            </w:tcBorders>
            <w:vAlign w:val="bottom"/>
          </w:tcPr>
          <w:p w14:paraId="585C44D1" w14:textId="77777777" w:rsidR="008E5DE4" w:rsidRDefault="008E5DE4">
            <w:pPr>
              <w:widowControl w:val="0"/>
              <w:ind w:left="113" w:right="-57" w:hanging="113"/>
            </w:pPr>
          </w:p>
        </w:tc>
        <w:tc>
          <w:tcPr>
            <w:tcW w:w="851" w:type="dxa"/>
            <w:tcBorders>
              <w:top w:val="single" w:sz="4" w:space="0" w:color="000000"/>
            </w:tcBorders>
            <w:vAlign w:val="bottom"/>
          </w:tcPr>
          <w:p w14:paraId="66C8DF63" w14:textId="77777777" w:rsidR="008E5DE4" w:rsidRDefault="008E5DE4">
            <w:pPr>
              <w:widowControl w:val="0"/>
              <w:ind w:left="113" w:right="-57" w:hanging="113"/>
            </w:pPr>
          </w:p>
        </w:tc>
        <w:tc>
          <w:tcPr>
            <w:tcW w:w="851" w:type="dxa"/>
            <w:tcBorders>
              <w:top w:val="single" w:sz="4" w:space="0" w:color="000000"/>
            </w:tcBorders>
          </w:tcPr>
          <w:p w14:paraId="432ED486"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769BE04F"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54F9296A"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75B6A4F1" w14:textId="77777777" w:rsidR="008E5DE4" w:rsidRDefault="008E5DE4">
            <w:pPr>
              <w:widowControl w:val="0"/>
              <w:pBdr>
                <w:top w:val="nil"/>
                <w:left w:val="nil"/>
                <w:bottom w:val="nil"/>
                <w:right w:val="nil"/>
                <w:between w:val="nil"/>
              </w:pBdr>
              <w:jc w:val="right"/>
              <w:rPr>
                <w:color w:val="000000"/>
              </w:rPr>
            </w:pPr>
          </w:p>
        </w:tc>
      </w:tr>
      <w:tr w:rsidR="008E5DE4" w14:paraId="4CF29AFD" w14:textId="77777777">
        <w:trPr>
          <w:cantSplit/>
          <w:trHeight w:val="169"/>
        </w:trPr>
        <w:tc>
          <w:tcPr>
            <w:tcW w:w="2552" w:type="dxa"/>
            <w:vAlign w:val="bottom"/>
          </w:tcPr>
          <w:p w14:paraId="62F2CBA7" w14:textId="07390B2C"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0" w:type="dxa"/>
            <w:vAlign w:val="bottom"/>
          </w:tcPr>
          <w:p w14:paraId="177BB3E4" w14:textId="77777777" w:rsidR="008E5DE4" w:rsidRDefault="008E5DE4">
            <w:pPr>
              <w:widowControl w:val="0"/>
              <w:pBdr>
                <w:top w:val="nil"/>
                <w:left w:val="nil"/>
                <w:bottom w:val="nil"/>
                <w:right w:val="nil"/>
                <w:between w:val="nil"/>
              </w:pBdr>
              <w:ind w:left="113" w:right="-57" w:hanging="113"/>
              <w:rPr>
                <w:b/>
                <w:color w:val="000000"/>
              </w:rPr>
            </w:pPr>
          </w:p>
        </w:tc>
        <w:tc>
          <w:tcPr>
            <w:tcW w:w="850" w:type="dxa"/>
            <w:vAlign w:val="bottom"/>
          </w:tcPr>
          <w:p w14:paraId="7FB0ECB8" w14:textId="77777777" w:rsidR="008E5DE4" w:rsidRDefault="008E5DE4">
            <w:pPr>
              <w:widowControl w:val="0"/>
              <w:pBdr>
                <w:top w:val="nil"/>
                <w:left w:val="nil"/>
                <w:bottom w:val="nil"/>
                <w:right w:val="nil"/>
                <w:between w:val="nil"/>
              </w:pBdr>
              <w:ind w:left="113" w:right="-57" w:hanging="113"/>
              <w:rPr>
                <w:b/>
                <w:color w:val="000000"/>
              </w:rPr>
            </w:pPr>
          </w:p>
        </w:tc>
        <w:tc>
          <w:tcPr>
            <w:tcW w:w="850" w:type="dxa"/>
            <w:vAlign w:val="bottom"/>
          </w:tcPr>
          <w:p w14:paraId="41764634" w14:textId="77777777" w:rsidR="008E5DE4" w:rsidRDefault="008E5DE4">
            <w:pPr>
              <w:widowControl w:val="0"/>
              <w:pBdr>
                <w:top w:val="nil"/>
                <w:left w:val="nil"/>
                <w:bottom w:val="nil"/>
                <w:right w:val="nil"/>
                <w:between w:val="nil"/>
              </w:pBdr>
              <w:ind w:left="113" w:right="-57" w:hanging="113"/>
              <w:rPr>
                <w:b/>
                <w:color w:val="000000"/>
              </w:rPr>
            </w:pPr>
          </w:p>
        </w:tc>
        <w:tc>
          <w:tcPr>
            <w:tcW w:w="851" w:type="dxa"/>
            <w:vAlign w:val="bottom"/>
          </w:tcPr>
          <w:p w14:paraId="7170205D" w14:textId="77777777" w:rsidR="008E5DE4" w:rsidRDefault="008E5DE4">
            <w:pPr>
              <w:widowControl w:val="0"/>
              <w:pBdr>
                <w:top w:val="nil"/>
                <w:left w:val="nil"/>
                <w:bottom w:val="nil"/>
                <w:right w:val="nil"/>
                <w:between w:val="nil"/>
              </w:pBdr>
              <w:ind w:left="113" w:right="-57" w:hanging="113"/>
              <w:rPr>
                <w:b/>
                <w:color w:val="000000"/>
              </w:rPr>
            </w:pPr>
          </w:p>
        </w:tc>
        <w:tc>
          <w:tcPr>
            <w:tcW w:w="851" w:type="dxa"/>
          </w:tcPr>
          <w:p w14:paraId="75968A11" w14:textId="77777777" w:rsidR="008E5DE4" w:rsidRDefault="008E5DE4">
            <w:pPr>
              <w:widowControl w:val="0"/>
              <w:pBdr>
                <w:top w:val="nil"/>
                <w:left w:val="nil"/>
                <w:bottom w:val="nil"/>
                <w:right w:val="nil"/>
                <w:between w:val="nil"/>
              </w:pBdr>
              <w:ind w:left="113" w:right="-57" w:hanging="113"/>
              <w:rPr>
                <w:b/>
                <w:color w:val="000000"/>
              </w:rPr>
            </w:pPr>
          </w:p>
        </w:tc>
        <w:tc>
          <w:tcPr>
            <w:tcW w:w="851" w:type="dxa"/>
          </w:tcPr>
          <w:p w14:paraId="2B3B98CD" w14:textId="77777777" w:rsidR="008E5DE4" w:rsidRDefault="008E5DE4">
            <w:pPr>
              <w:widowControl w:val="0"/>
              <w:pBdr>
                <w:top w:val="nil"/>
                <w:left w:val="nil"/>
                <w:bottom w:val="nil"/>
                <w:right w:val="nil"/>
                <w:between w:val="nil"/>
              </w:pBdr>
              <w:ind w:left="113" w:right="-57" w:hanging="113"/>
              <w:rPr>
                <w:b/>
                <w:color w:val="000000"/>
              </w:rPr>
            </w:pPr>
          </w:p>
        </w:tc>
        <w:tc>
          <w:tcPr>
            <w:tcW w:w="851" w:type="dxa"/>
          </w:tcPr>
          <w:p w14:paraId="2861B63C" w14:textId="77777777" w:rsidR="008E5DE4" w:rsidRDefault="008E5DE4">
            <w:pPr>
              <w:widowControl w:val="0"/>
              <w:pBdr>
                <w:top w:val="nil"/>
                <w:left w:val="nil"/>
                <w:bottom w:val="nil"/>
                <w:right w:val="nil"/>
                <w:between w:val="nil"/>
              </w:pBdr>
              <w:ind w:left="113" w:right="-57" w:hanging="113"/>
              <w:rPr>
                <w:b/>
                <w:color w:val="000000"/>
              </w:rPr>
            </w:pPr>
          </w:p>
        </w:tc>
        <w:tc>
          <w:tcPr>
            <w:tcW w:w="851" w:type="dxa"/>
            <w:vAlign w:val="bottom"/>
          </w:tcPr>
          <w:p w14:paraId="4798D365" w14:textId="77777777" w:rsidR="008E5DE4" w:rsidRDefault="008E5DE4">
            <w:pPr>
              <w:widowControl w:val="0"/>
              <w:pBdr>
                <w:top w:val="nil"/>
                <w:left w:val="nil"/>
                <w:bottom w:val="nil"/>
                <w:right w:val="nil"/>
                <w:between w:val="nil"/>
              </w:pBdr>
              <w:ind w:left="113" w:right="-57" w:hanging="113"/>
              <w:rPr>
                <w:b/>
                <w:color w:val="000000"/>
              </w:rPr>
            </w:pPr>
          </w:p>
        </w:tc>
      </w:tr>
      <w:tr w:rsidR="008E5DE4" w14:paraId="0F6E533B" w14:textId="77777777">
        <w:trPr>
          <w:cantSplit/>
          <w:trHeight w:val="169"/>
        </w:trPr>
        <w:tc>
          <w:tcPr>
            <w:tcW w:w="2552" w:type="dxa"/>
            <w:tcBorders>
              <w:bottom w:val="single" w:sz="12" w:space="0" w:color="000000"/>
            </w:tcBorders>
            <w:vAlign w:val="bottom"/>
          </w:tcPr>
          <w:p w14:paraId="1230B8D3"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bottom w:val="single" w:sz="12" w:space="0" w:color="000000"/>
            </w:tcBorders>
            <w:vAlign w:val="bottom"/>
          </w:tcPr>
          <w:p w14:paraId="722F331E"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17C8F625"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1397A0D1"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3B012E52"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375AC2B3"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2FEC2EBC"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12C9B6BF"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5F7465B2" w14:textId="77777777" w:rsidR="008E5DE4" w:rsidRDefault="008E5DE4">
            <w:pPr>
              <w:widowControl w:val="0"/>
              <w:pBdr>
                <w:top w:val="nil"/>
                <w:left w:val="nil"/>
                <w:bottom w:val="nil"/>
                <w:right w:val="nil"/>
                <w:between w:val="nil"/>
              </w:pBdr>
              <w:jc w:val="right"/>
              <w:rPr>
                <w:color w:val="000000"/>
              </w:rPr>
            </w:pPr>
          </w:p>
        </w:tc>
      </w:tr>
    </w:tbl>
    <w:p w14:paraId="167BB1B0"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225C69B5" w14:textId="56910260" w:rsidR="008E5DE4" w:rsidRDefault="00780368">
      <w:pPr>
        <w:widowControl w:val="0"/>
        <w:spacing w:before="200" w:after="200"/>
        <w:jc w:val="both"/>
        <w:rPr>
          <w:i/>
          <w:color w:val="FF0000"/>
          <w:sz w:val="20"/>
          <w:szCs w:val="20"/>
        </w:rPr>
      </w:pPr>
      <w:r>
        <w:rPr>
          <w:sz w:val="20"/>
          <w:szCs w:val="20"/>
        </w:rPr>
        <w:t>The following table discloses the changes in the credit loss allowance and gross carrying amount for loans carried at amortised cost between the beginning and the end of the comparative period:</w:t>
      </w:r>
    </w:p>
    <w:tbl>
      <w:tblPr>
        <w:tblStyle w:val="affffc"/>
        <w:tblW w:w="9357" w:type="dxa"/>
        <w:tblLayout w:type="fixed"/>
        <w:tblLook w:val="0000" w:firstRow="0" w:lastRow="0" w:firstColumn="0" w:lastColumn="0" w:noHBand="0" w:noVBand="0"/>
      </w:tblPr>
      <w:tblGrid>
        <w:gridCol w:w="2552"/>
        <w:gridCol w:w="850"/>
        <w:gridCol w:w="850"/>
        <w:gridCol w:w="850"/>
        <w:gridCol w:w="851"/>
        <w:gridCol w:w="851"/>
        <w:gridCol w:w="851"/>
        <w:gridCol w:w="851"/>
        <w:gridCol w:w="851"/>
      </w:tblGrid>
      <w:tr w:rsidR="008E5DE4" w14:paraId="40B1FCFE" w14:textId="77777777">
        <w:trPr>
          <w:cantSplit/>
          <w:trHeight w:val="169"/>
          <w:tblHeader/>
        </w:trPr>
        <w:tc>
          <w:tcPr>
            <w:tcW w:w="2552" w:type="dxa"/>
            <w:vAlign w:val="bottom"/>
          </w:tcPr>
          <w:p w14:paraId="4E500425" w14:textId="77777777" w:rsidR="008E5DE4" w:rsidRDefault="008E5DE4">
            <w:pPr>
              <w:widowControl w:val="0"/>
              <w:pBdr>
                <w:top w:val="nil"/>
                <w:left w:val="nil"/>
                <w:bottom w:val="nil"/>
                <w:right w:val="nil"/>
                <w:between w:val="nil"/>
              </w:pBdr>
              <w:ind w:left="113" w:right="-57" w:hanging="113"/>
              <w:rPr>
                <w:i/>
                <w:color w:val="000000"/>
              </w:rPr>
            </w:pPr>
          </w:p>
        </w:tc>
        <w:tc>
          <w:tcPr>
            <w:tcW w:w="3401" w:type="dxa"/>
            <w:gridSpan w:val="4"/>
          </w:tcPr>
          <w:p w14:paraId="6EBBCC8A" w14:textId="77777777" w:rsidR="008E5DE4" w:rsidRDefault="00780368">
            <w:pPr>
              <w:widowControl w:val="0"/>
              <w:pBdr>
                <w:top w:val="nil"/>
                <w:left w:val="nil"/>
                <w:bottom w:val="single" w:sz="4" w:space="1" w:color="000000"/>
                <w:right w:val="nil"/>
                <w:between w:val="nil"/>
              </w:pBdr>
              <w:tabs>
                <w:tab w:val="left" w:pos="3182"/>
              </w:tabs>
              <w:ind w:left="113" w:right="113"/>
              <w:jc w:val="center"/>
              <w:rPr>
                <w:b/>
                <w:color w:val="000000"/>
              </w:rPr>
            </w:pPr>
            <w:r>
              <w:rPr>
                <w:b/>
                <w:color w:val="000000"/>
              </w:rPr>
              <w:t>Credit loss allowance</w:t>
            </w:r>
          </w:p>
        </w:tc>
        <w:tc>
          <w:tcPr>
            <w:tcW w:w="3404" w:type="dxa"/>
            <w:gridSpan w:val="4"/>
          </w:tcPr>
          <w:p w14:paraId="35A2C6D0" w14:textId="77777777" w:rsidR="008E5DE4" w:rsidRDefault="00780368">
            <w:pPr>
              <w:widowControl w:val="0"/>
              <w:pBdr>
                <w:top w:val="nil"/>
                <w:left w:val="nil"/>
                <w:bottom w:val="single" w:sz="4" w:space="1" w:color="000000"/>
                <w:right w:val="nil"/>
                <w:between w:val="nil"/>
              </w:pBdr>
              <w:ind w:left="113" w:right="113"/>
              <w:jc w:val="center"/>
              <w:rPr>
                <w:b/>
                <w:color w:val="000000"/>
              </w:rPr>
            </w:pPr>
            <w:r>
              <w:rPr>
                <w:b/>
                <w:color w:val="000000"/>
              </w:rPr>
              <w:t>Gross carrying amount</w:t>
            </w:r>
          </w:p>
        </w:tc>
      </w:tr>
      <w:tr w:rsidR="008E5DE4" w14:paraId="6446BB1E" w14:textId="77777777">
        <w:trPr>
          <w:cantSplit/>
          <w:trHeight w:val="507"/>
          <w:tblHeader/>
        </w:trPr>
        <w:tc>
          <w:tcPr>
            <w:tcW w:w="2552" w:type="dxa"/>
            <w:tcBorders>
              <w:bottom w:val="single" w:sz="4" w:space="0" w:color="000000"/>
            </w:tcBorders>
            <w:vAlign w:val="bottom"/>
          </w:tcPr>
          <w:p w14:paraId="0743778A" w14:textId="77777777" w:rsidR="008E5DE4" w:rsidRDefault="008E5DE4">
            <w:pPr>
              <w:widowControl w:val="0"/>
              <w:pBdr>
                <w:top w:val="nil"/>
                <w:left w:val="nil"/>
                <w:bottom w:val="nil"/>
                <w:right w:val="nil"/>
                <w:between w:val="nil"/>
              </w:pBdr>
              <w:ind w:left="113" w:right="-57" w:hanging="113"/>
              <w:rPr>
                <w:i/>
                <w:color w:val="000000"/>
              </w:rPr>
            </w:pPr>
          </w:p>
          <w:p w14:paraId="424DA5C0"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0" w:type="dxa"/>
            <w:tcBorders>
              <w:bottom w:val="single" w:sz="4" w:space="0" w:color="000000"/>
            </w:tcBorders>
          </w:tcPr>
          <w:p w14:paraId="37DC8E91"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23562605"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50" w:type="dxa"/>
            <w:tcBorders>
              <w:bottom w:val="single" w:sz="4" w:space="0" w:color="000000"/>
            </w:tcBorders>
          </w:tcPr>
          <w:p w14:paraId="3AFD6363"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5DA911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0" w:type="dxa"/>
            <w:tcBorders>
              <w:bottom w:val="single" w:sz="4" w:space="0" w:color="000000"/>
            </w:tcBorders>
          </w:tcPr>
          <w:p w14:paraId="4CFC6403"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0995A654"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851" w:type="dxa"/>
            <w:tcBorders>
              <w:bottom w:val="single" w:sz="4" w:space="0" w:color="000000"/>
            </w:tcBorders>
          </w:tcPr>
          <w:p w14:paraId="4D1A92D2"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51" w:type="dxa"/>
            <w:tcBorders>
              <w:bottom w:val="single" w:sz="4" w:space="0" w:color="000000"/>
            </w:tcBorders>
          </w:tcPr>
          <w:p w14:paraId="0F7F65DF"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2573DEDA"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1" w:type="dxa"/>
            <w:tcBorders>
              <w:bottom w:val="single" w:sz="4" w:space="0" w:color="000000"/>
            </w:tcBorders>
          </w:tcPr>
          <w:p w14:paraId="69390591"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4B978A9B"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1" w:type="dxa"/>
            <w:tcBorders>
              <w:bottom w:val="single" w:sz="4" w:space="0" w:color="000000"/>
            </w:tcBorders>
          </w:tcPr>
          <w:p w14:paraId="0FAD2A9D"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01487566"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851" w:type="dxa"/>
            <w:tcBorders>
              <w:bottom w:val="single" w:sz="4" w:space="0" w:color="000000"/>
            </w:tcBorders>
          </w:tcPr>
          <w:p w14:paraId="53CC6B8C"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58B696F7" w14:textId="77777777">
        <w:trPr>
          <w:cantSplit/>
          <w:trHeight w:val="169"/>
          <w:tblHeader/>
        </w:trPr>
        <w:tc>
          <w:tcPr>
            <w:tcW w:w="2552" w:type="dxa"/>
            <w:tcBorders>
              <w:top w:val="single" w:sz="4" w:space="0" w:color="000000"/>
            </w:tcBorders>
            <w:vAlign w:val="bottom"/>
          </w:tcPr>
          <w:p w14:paraId="08854A5D" w14:textId="77777777" w:rsidR="008E5DE4" w:rsidRDefault="008E5DE4">
            <w:pPr>
              <w:widowControl w:val="0"/>
              <w:ind w:left="113" w:right="-57" w:hanging="113"/>
            </w:pPr>
          </w:p>
        </w:tc>
        <w:tc>
          <w:tcPr>
            <w:tcW w:w="850" w:type="dxa"/>
            <w:tcBorders>
              <w:top w:val="single" w:sz="4" w:space="0" w:color="000000"/>
            </w:tcBorders>
            <w:vAlign w:val="bottom"/>
          </w:tcPr>
          <w:p w14:paraId="7C828ACD"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3713E371"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11094164"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2B1E5CEA"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46DF50B4"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0027DF1D"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14A70739"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66CCC536" w14:textId="77777777" w:rsidR="008E5DE4" w:rsidRDefault="008E5DE4">
            <w:pPr>
              <w:widowControl w:val="0"/>
              <w:pBdr>
                <w:top w:val="nil"/>
                <w:left w:val="nil"/>
                <w:bottom w:val="nil"/>
                <w:right w:val="nil"/>
                <w:between w:val="nil"/>
              </w:pBdr>
              <w:jc w:val="right"/>
              <w:rPr>
                <w:color w:val="000000"/>
              </w:rPr>
            </w:pPr>
          </w:p>
        </w:tc>
      </w:tr>
      <w:tr w:rsidR="008E5DE4" w14:paraId="772794C8" w14:textId="77777777">
        <w:trPr>
          <w:cantSplit/>
          <w:trHeight w:val="169"/>
        </w:trPr>
        <w:tc>
          <w:tcPr>
            <w:tcW w:w="2552" w:type="dxa"/>
            <w:vAlign w:val="bottom"/>
          </w:tcPr>
          <w:p w14:paraId="6FCA78CA" w14:textId="77777777" w:rsidR="008E5DE4" w:rsidRDefault="00780368">
            <w:pPr>
              <w:widowControl w:val="0"/>
              <w:pBdr>
                <w:top w:val="nil"/>
                <w:left w:val="nil"/>
                <w:bottom w:val="nil"/>
                <w:right w:val="nil"/>
                <w:between w:val="nil"/>
              </w:pBdr>
              <w:ind w:left="113" w:right="-57" w:hanging="113"/>
              <w:rPr>
                <w:b/>
                <w:color w:val="000000"/>
              </w:rPr>
            </w:pPr>
            <w:r>
              <w:rPr>
                <w:b/>
                <w:color w:val="000000"/>
              </w:rPr>
              <w:t>Corporate loans</w:t>
            </w:r>
          </w:p>
          <w:p w14:paraId="4588CF46" w14:textId="77777777" w:rsidR="008E5DE4" w:rsidRDefault="008E5DE4">
            <w:pPr>
              <w:widowControl w:val="0"/>
              <w:pBdr>
                <w:top w:val="nil"/>
                <w:left w:val="nil"/>
                <w:bottom w:val="nil"/>
                <w:right w:val="nil"/>
                <w:between w:val="nil"/>
              </w:pBdr>
              <w:ind w:left="113" w:right="-57" w:hanging="113"/>
              <w:rPr>
                <w:b/>
                <w:i/>
                <w:color w:val="000000"/>
              </w:rPr>
            </w:pPr>
          </w:p>
        </w:tc>
        <w:tc>
          <w:tcPr>
            <w:tcW w:w="850" w:type="dxa"/>
            <w:vAlign w:val="bottom"/>
          </w:tcPr>
          <w:p w14:paraId="2C848DDE"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74434487"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53A8E8C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1F7E0C2" w14:textId="77777777" w:rsidR="008E5DE4" w:rsidRDefault="008E5DE4">
            <w:pPr>
              <w:widowControl w:val="0"/>
              <w:pBdr>
                <w:top w:val="nil"/>
                <w:left w:val="nil"/>
                <w:bottom w:val="nil"/>
                <w:right w:val="nil"/>
                <w:between w:val="nil"/>
              </w:pBdr>
              <w:jc w:val="right"/>
              <w:rPr>
                <w:color w:val="000000"/>
              </w:rPr>
            </w:pPr>
          </w:p>
        </w:tc>
        <w:tc>
          <w:tcPr>
            <w:tcW w:w="851" w:type="dxa"/>
          </w:tcPr>
          <w:p w14:paraId="6D76359C" w14:textId="77777777" w:rsidR="008E5DE4" w:rsidRDefault="008E5DE4">
            <w:pPr>
              <w:widowControl w:val="0"/>
              <w:pBdr>
                <w:top w:val="nil"/>
                <w:left w:val="nil"/>
                <w:bottom w:val="nil"/>
                <w:right w:val="nil"/>
                <w:between w:val="nil"/>
              </w:pBdr>
              <w:jc w:val="right"/>
              <w:rPr>
                <w:color w:val="000000"/>
              </w:rPr>
            </w:pPr>
          </w:p>
        </w:tc>
        <w:tc>
          <w:tcPr>
            <w:tcW w:w="851" w:type="dxa"/>
          </w:tcPr>
          <w:p w14:paraId="6AF39848" w14:textId="77777777" w:rsidR="008E5DE4" w:rsidRDefault="008E5DE4">
            <w:pPr>
              <w:widowControl w:val="0"/>
              <w:pBdr>
                <w:top w:val="nil"/>
                <w:left w:val="nil"/>
                <w:bottom w:val="nil"/>
                <w:right w:val="nil"/>
                <w:between w:val="nil"/>
              </w:pBdr>
              <w:jc w:val="right"/>
              <w:rPr>
                <w:color w:val="000000"/>
              </w:rPr>
            </w:pPr>
          </w:p>
        </w:tc>
        <w:tc>
          <w:tcPr>
            <w:tcW w:w="851" w:type="dxa"/>
          </w:tcPr>
          <w:p w14:paraId="1E25F0AE"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08EF3B1" w14:textId="77777777" w:rsidR="008E5DE4" w:rsidRDefault="008E5DE4">
            <w:pPr>
              <w:widowControl w:val="0"/>
              <w:pBdr>
                <w:top w:val="nil"/>
                <w:left w:val="nil"/>
                <w:bottom w:val="nil"/>
                <w:right w:val="nil"/>
                <w:between w:val="nil"/>
              </w:pBdr>
              <w:jc w:val="right"/>
              <w:rPr>
                <w:color w:val="000000"/>
              </w:rPr>
            </w:pPr>
          </w:p>
        </w:tc>
      </w:tr>
      <w:tr w:rsidR="008E5DE4" w14:paraId="358CFEE1" w14:textId="77777777">
        <w:trPr>
          <w:cantSplit/>
          <w:trHeight w:val="169"/>
        </w:trPr>
        <w:tc>
          <w:tcPr>
            <w:tcW w:w="2552" w:type="dxa"/>
            <w:vAlign w:val="bottom"/>
          </w:tcPr>
          <w:p w14:paraId="4483A16F" w14:textId="4B708AF2"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w:t>
            </w:r>
            <w:r w:rsidR="00FF468A">
              <w:rPr>
                <w:b/>
                <w:color w:val="000000"/>
              </w:rPr>
              <w:t>2024</w:t>
            </w:r>
          </w:p>
        </w:tc>
        <w:tc>
          <w:tcPr>
            <w:tcW w:w="850" w:type="dxa"/>
            <w:vAlign w:val="bottom"/>
          </w:tcPr>
          <w:p w14:paraId="08D50501"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6F2DBD7E"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48CB8B9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43B66988" w14:textId="77777777" w:rsidR="008E5DE4" w:rsidRDefault="008E5DE4">
            <w:pPr>
              <w:widowControl w:val="0"/>
              <w:pBdr>
                <w:top w:val="nil"/>
                <w:left w:val="nil"/>
                <w:bottom w:val="nil"/>
                <w:right w:val="nil"/>
                <w:between w:val="nil"/>
              </w:pBdr>
              <w:jc w:val="right"/>
              <w:rPr>
                <w:color w:val="000000"/>
              </w:rPr>
            </w:pPr>
          </w:p>
        </w:tc>
        <w:tc>
          <w:tcPr>
            <w:tcW w:w="851" w:type="dxa"/>
          </w:tcPr>
          <w:p w14:paraId="47FB6C29" w14:textId="77777777" w:rsidR="008E5DE4" w:rsidRDefault="008E5DE4">
            <w:pPr>
              <w:widowControl w:val="0"/>
              <w:pBdr>
                <w:top w:val="nil"/>
                <w:left w:val="nil"/>
                <w:bottom w:val="nil"/>
                <w:right w:val="nil"/>
                <w:between w:val="nil"/>
              </w:pBdr>
              <w:jc w:val="right"/>
              <w:rPr>
                <w:color w:val="000000"/>
              </w:rPr>
            </w:pPr>
          </w:p>
        </w:tc>
        <w:tc>
          <w:tcPr>
            <w:tcW w:w="851" w:type="dxa"/>
          </w:tcPr>
          <w:p w14:paraId="13712E00" w14:textId="77777777" w:rsidR="008E5DE4" w:rsidRDefault="008E5DE4">
            <w:pPr>
              <w:widowControl w:val="0"/>
              <w:pBdr>
                <w:top w:val="nil"/>
                <w:left w:val="nil"/>
                <w:bottom w:val="nil"/>
                <w:right w:val="nil"/>
                <w:between w:val="nil"/>
              </w:pBdr>
              <w:jc w:val="right"/>
              <w:rPr>
                <w:color w:val="000000"/>
              </w:rPr>
            </w:pPr>
          </w:p>
        </w:tc>
        <w:tc>
          <w:tcPr>
            <w:tcW w:w="851" w:type="dxa"/>
          </w:tcPr>
          <w:p w14:paraId="77FE65F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59A2511" w14:textId="77777777" w:rsidR="008E5DE4" w:rsidRDefault="008E5DE4">
            <w:pPr>
              <w:widowControl w:val="0"/>
              <w:pBdr>
                <w:top w:val="nil"/>
                <w:left w:val="nil"/>
                <w:bottom w:val="nil"/>
                <w:right w:val="nil"/>
                <w:between w:val="nil"/>
              </w:pBdr>
              <w:jc w:val="right"/>
              <w:rPr>
                <w:color w:val="000000"/>
              </w:rPr>
            </w:pPr>
          </w:p>
        </w:tc>
      </w:tr>
      <w:tr w:rsidR="008E5DE4" w14:paraId="50821451" w14:textId="77777777">
        <w:trPr>
          <w:cantSplit/>
          <w:trHeight w:val="676"/>
        </w:trPr>
        <w:tc>
          <w:tcPr>
            <w:tcW w:w="2552" w:type="dxa"/>
            <w:vAlign w:val="bottom"/>
          </w:tcPr>
          <w:p w14:paraId="7D1AC165" w14:textId="77777777" w:rsidR="008E5DE4" w:rsidRDefault="008E5DE4">
            <w:pPr>
              <w:widowControl w:val="0"/>
              <w:pBdr>
                <w:top w:val="nil"/>
                <w:left w:val="nil"/>
                <w:bottom w:val="nil"/>
                <w:right w:val="nil"/>
                <w:between w:val="nil"/>
              </w:pBdr>
              <w:ind w:left="113" w:right="-57" w:hanging="113"/>
              <w:rPr>
                <w:b/>
                <w:color w:val="000000"/>
              </w:rPr>
            </w:pPr>
          </w:p>
          <w:p w14:paraId="067A40B9"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0" w:type="dxa"/>
            <w:vAlign w:val="bottom"/>
          </w:tcPr>
          <w:p w14:paraId="1B11A498"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EE41537"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5F0EA91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0797D1E" w14:textId="77777777" w:rsidR="008E5DE4" w:rsidRDefault="008E5DE4">
            <w:pPr>
              <w:widowControl w:val="0"/>
              <w:pBdr>
                <w:top w:val="nil"/>
                <w:left w:val="nil"/>
                <w:bottom w:val="nil"/>
                <w:right w:val="nil"/>
                <w:between w:val="nil"/>
              </w:pBdr>
              <w:jc w:val="right"/>
              <w:rPr>
                <w:color w:val="000000"/>
              </w:rPr>
            </w:pPr>
          </w:p>
        </w:tc>
        <w:tc>
          <w:tcPr>
            <w:tcW w:w="851" w:type="dxa"/>
          </w:tcPr>
          <w:p w14:paraId="5FC1D6B7" w14:textId="77777777" w:rsidR="008E5DE4" w:rsidRDefault="008E5DE4">
            <w:pPr>
              <w:widowControl w:val="0"/>
              <w:pBdr>
                <w:top w:val="nil"/>
                <w:left w:val="nil"/>
                <w:bottom w:val="nil"/>
                <w:right w:val="nil"/>
                <w:between w:val="nil"/>
              </w:pBdr>
              <w:ind w:left="-360"/>
              <w:jc w:val="right"/>
              <w:rPr>
                <w:color w:val="000000"/>
              </w:rPr>
            </w:pPr>
          </w:p>
        </w:tc>
        <w:tc>
          <w:tcPr>
            <w:tcW w:w="851" w:type="dxa"/>
          </w:tcPr>
          <w:p w14:paraId="2A571D1F" w14:textId="77777777" w:rsidR="008E5DE4" w:rsidRDefault="008E5DE4">
            <w:pPr>
              <w:widowControl w:val="0"/>
              <w:pBdr>
                <w:top w:val="nil"/>
                <w:left w:val="nil"/>
                <w:bottom w:val="nil"/>
                <w:right w:val="nil"/>
                <w:between w:val="nil"/>
              </w:pBdr>
              <w:jc w:val="right"/>
              <w:rPr>
                <w:color w:val="000000"/>
              </w:rPr>
            </w:pPr>
          </w:p>
        </w:tc>
        <w:tc>
          <w:tcPr>
            <w:tcW w:w="851" w:type="dxa"/>
          </w:tcPr>
          <w:p w14:paraId="6B0504A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A906511" w14:textId="77777777" w:rsidR="008E5DE4" w:rsidRDefault="008E5DE4">
            <w:pPr>
              <w:widowControl w:val="0"/>
              <w:pBdr>
                <w:top w:val="nil"/>
                <w:left w:val="nil"/>
                <w:bottom w:val="nil"/>
                <w:right w:val="nil"/>
                <w:between w:val="nil"/>
              </w:pBdr>
              <w:jc w:val="right"/>
              <w:rPr>
                <w:color w:val="000000"/>
              </w:rPr>
            </w:pPr>
          </w:p>
        </w:tc>
      </w:tr>
      <w:tr w:rsidR="008E5DE4" w14:paraId="60FF0341" w14:textId="77777777">
        <w:trPr>
          <w:cantSplit/>
          <w:trHeight w:val="184"/>
        </w:trPr>
        <w:tc>
          <w:tcPr>
            <w:tcW w:w="2552" w:type="dxa"/>
            <w:vAlign w:val="bottom"/>
          </w:tcPr>
          <w:p w14:paraId="29524AC8" w14:textId="77777777" w:rsidR="008E5DE4" w:rsidRDefault="008E5DE4">
            <w:pPr>
              <w:widowControl w:val="0"/>
              <w:pBdr>
                <w:top w:val="nil"/>
                <w:left w:val="nil"/>
                <w:bottom w:val="nil"/>
                <w:right w:val="nil"/>
                <w:between w:val="nil"/>
              </w:pBdr>
              <w:ind w:left="113" w:right="-57" w:hanging="113"/>
              <w:rPr>
                <w:color w:val="000000"/>
              </w:rPr>
            </w:pPr>
          </w:p>
        </w:tc>
        <w:tc>
          <w:tcPr>
            <w:tcW w:w="850" w:type="dxa"/>
            <w:vAlign w:val="bottom"/>
          </w:tcPr>
          <w:p w14:paraId="550BAEF3"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3C438761"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05AD6BAF"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6908CB13"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11638214"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3181FB81"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629A4D37"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54913083" w14:textId="77777777" w:rsidR="008E5DE4" w:rsidRDefault="008E5DE4">
            <w:pPr>
              <w:widowControl w:val="0"/>
              <w:pBdr>
                <w:top w:val="nil"/>
                <w:left w:val="nil"/>
                <w:bottom w:val="nil"/>
                <w:right w:val="nil"/>
                <w:between w:val="nil"/>
              </w:pBdr>
              <w:jc w:val="right"/>
              <w:rPr>
                <w:color w:val="000000"/>
                <w:highlight w:val="green"/>
              </w:rPr>
            </w:pPr>
          </w:p>
        </w:tc>
      </w:tr>
      <w:tr w:rsidR="008E5DE4" w14:paraId="31ED5538" w14:textId="77777777">
        <w:trPr>
          <w:cantSplit/>
          <w:trHeight w:val="184"/>
        </w:trPr>
        <w:tc>
          <w:tcPr>
            <w:tcW w:w="2552" w:type="dxa"/>
            <w:vAlign w:val="bottom"/>
          </w:tcPr>
          <w:p w14:paraId="322CC382"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0" w:type="dxa"/>
            <w:vAlign w:val="bottom"/>
          </w:tcPr>
          <w:p w14:paraId="7A552578"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2F8B653B"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11B74CFF"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40118DD5"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7C7AEAE2"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1291DD62"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00E6C70E"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306F1E62" w14:textId="77777777" w:rsidR="008E5DE4" w:rsidRDefault="008E5DE4">
            <w:pPr>
              <w:widowControl w:val="0"/>
              <w:pBdr>
                <w:top w:val="nil"/>
                <w:left w:val="nil"/>
                <w:bottom w:val="nil"/>
                <w:right w:val="nil"/>
                <w:between w:val="nil"/>
              </w:pBdr>
              <w:jc w:val="right"/>
              <w:rPr>
                <w:color w:val="000000"/>
                <w:highlight w:val="green"/>
              </w:rPr>
            </w:pPr>
          </w:p>
        </w:tc>
      </w:tr>
      <w:tr w:rsidR="008E5DE4" w14:paraId="7DA9F18C" w14:textId="77777777">
        <w:trPr>
          <w:cantSplit/>
          <w:trHeight w:val="80"/>
        </w:trPr>
        <w:tc>
          <w:tcPr>
            <w:tcW w:w="2552" w:type="dxa"/>
            <w:vAlign w:val="bottom"/>
          </w:tcPr>
          <w:p w14:paraId="78EB0C7C"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0" w:type="dxa"/>
            <w:vAlign w:val="bottom"/>
          </w:tcPr>
          <w:p w14:paraId="6C4AF003"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11E6882C"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5402B4CF"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6DF4537"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3E6F048E"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440E908E"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7DCC70AC"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270B7591" w14:textId="77777777" w:rsidR="008E5DE4" w:rsidRDefault="008E5DE4">
            <w:pPr>
              <w:widowControl w:val="0"/>
              <w:pBdr>
                <w:top w:val="nil"/>
                <w:left w:val="nil"/>
                <w:bottom w:val="nil"/>
                <w:right w:val="nil"/>
                <w:between w:val="nil"/>
              </w:pBdr>
              <w:jc w:val="right"/>
              <w:rPr>
                <w:color w:val="000000"/>
                <w:highlight w:val="green"/>
              </w:rPr>
            </w:pPr>
          </w:p>
        </w:tc>
      </w:tr>
      <w:tr w:rsidR="008E5DE4" w14:paraId="76160FE7" w14:textId="77777777">
        <w:trPr>
          <w:cantSplit/>
          <w:trHeight w:val="80"/>
        </w:trPr>
        <w:tc>
          <w:tcPr>
            <w:tcW w:w="2552" w:type="dxa"/>
            <w:vAlign w:val="bottom"/>
          </w:tcPr>
          <w:p w14:paraId="7BA478B3"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0" w:type="dxa"/>
            <w:vAlign w:val="bottom"/>
          </w:tcPr>
          <w:p w14:paraId="6FB75A25"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680A25AA"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6853DE12"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747B4748"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386A80D4"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68DD1F9A"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061247F1"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65E98BC" w14:textId="77777777" w:rsidR="008E5DE4" w:rsidRDefault="008E5DE4">
            <w:pPr>
              <w:widowControl w:val="0"/>
              <w:pBdr>
                <w:top w:val="nil"/>
                <w:left w:val="nil"/>
                <w:bottom w:val="nil"/>
                <w:right w:val="nil"/>
                <w:between w:val="nil"/>
              </w:pBdr>
              <w:jc w:val="right"/>
              <w:rPr>
                <w:color w:val="000000"/>
                <w:highlight w:val="green"/>
              </w:rPr>
            </w:pPr>
          </w:p>
        </w:tc>
      </w:tr>
      <w:tr w:rsidR="008E5DE4" w14:paraId="3887A41C" w14:textId="77777777">
        <w:trPr>
          <w:cantSplit/>
          <w:trHeight w:val="361"/>
        </w:trPr>
        <w:tc>
          <w:tcPr>
            <w:tcW w:w="2552" w:type="dxa"/>
            <w:vAlign w:val="bottom"/>
          </w:tcPr>
          <w:p w14:paraId="476D062E"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0" w:type="dxa"/>
            <w:vAlign w:val="bottom"/>
          </w:tcPr>
          <w:p w14:paraId="3C92F6E4"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6D165D0C"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0DFC757F"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29343E6A"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544B219A"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6154FA84" w14:textId="77777777" w:rsidR="008E5DE4" w:rsidRDefault="008E5DE4">
            <w:pPr>
              <w:widowControl w:val="0"/>
              <w:pBdr>
                <w:top w:val="nil"/>
                <w:left w:val="nil"/>
                <w:bottom w:val="nil"/>
                <w:right w:val="nil"/>
                <w:between w:val="nil"/>
              </w:pBdr>
              <w:jc w:val="right"/>
              <w:rPr>
                <w:color w:val="000000"/>
                <w:highlight w:val="green"/>
              </w:rPr>
            </w:pPr>
          </w:p>
        </w:tc>
        <w:tc>
          <w:tcPr>
            <w:tcW w:w="851" w:type="dxa"/>
          </w:tcPr>
          <w:p w14:paraId="141B9789"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19126BC" w14:textId="77777777" w:rsidR="008E5DE4" w:rsidRDefault="008E5DE4">
            <w:pPr>
              <w:widowControl w:val="0"/>
              <w:pBdr>
                <w:top w:val="nil"/>
                <w:left w:val="nil"/>
                <w:bottom w:val="nil"/>
                <w:right w:val="nil"/>
                <w:between w:val="nil"/>
              </w:pBdr>
              <w:jc w:val="right"/>
              <w:rPr>
                <w:color w:val="000000"/>
                <w:highlight w:val="green"/>
              </w:rPr>
            </w:pPr>
          </w:p>
        </w:tc>
      </w:tr>
      <w:tr w:rsidR="008E5DE4" w14:paraId="5C720052" w14:textId="77777777">
        <w:trPr>
          <w:cantSplit/>
          <w:trHeight w:val="169"/>
        </w:trPr>
        <w:tc>
          <w:tcPr>
            <w:tcW w:w="2552" w:type="dxa"/>
            <w:vAlign w:val="bottom"/>
          </w:tcPr>
          <w:p w14:paraId="46AF8749"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0" w:type="dxa"/>
            <w:vAlign w:val="bottom"/>
          </w:tcPr>
          <w:p w14:paraId="56E5DAE7"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4B0BB286"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ACC9A0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63D7567" w14:textId="77777777" w:rsidR="008E5DE4" w:rsidRDefault="008E5DE4">
            <w:pPr>
              <w:widowControl w:val="0"/>
              <w:pBdr>
                <w:top w:val="nil"/>
                <w:left w:val="nil"/>
                <w:bottom w:val="nil"/>
                <w:right w:val="nil"/>
                <w:between w:val="nil"/>
              </w:pBdr>
              <w:jc w:val="right"/>
              <w:rPr>
                <w:color w:val="000000"/>
              </w:rPr>
            </w:pPr>
          </w:p>
        </w:tc>
        <w:tc>
          <w:tcPr>
            <w:tcW w:w="851" w:type="dxa"/>
          </w:tcPr>
          <w:p w14:paraId="6ECDC41C" w14:textId="77777777" w:rsidR="008E5DE4" w:rsidRDefault="008E5DE4">
            <w:pPr>
              <w:widowControl w:val="0"/>
              <w:pBdr>
                <w:top w:val="nil"/>
                <w:left w:val="nil"/>
                <w:bottom w:val="nil"/>
                <w:right w:val="nil"/>
                <w:between w:val="nil"/>
              </w:pBdr>
              <w:jc w:val="right"/>
              <w:rPr>
                <w:color w:val="000000"/>
              </w:rPr>
            </w:pPr>
          </w:p>
        </w:tc>
        <w:tc>
          <w:tcPr>
            <w:tcW w:w="851" w:type="dxa"/>
          </w:tcPr>
          <w:p w14:paraId="66E96240" w14:textId="77777777" w:rsidR="008E5DE4" w:rsidRDefault="008E5DE4">
            <w:pPr>
              <w:widowControl w:val="0"/>
              <w:pBdr>
                <w:top w:val="nil"/>
                <w:left w:val="nil"/>
                <w:bottom w:val="nil"/>
                <w:right w:val="nil"/>
                <w:between w:val="nil"/>
              </w:pBdr>
              <w:jc w:val="right"/>
              <w:rPr>
                <w:color w:val="000000"/>
              </w:rPr>
            </w:pPr>
          </w:p>
        </w:tc>
        <w:tc>
          <w:tcPr>
            <w:tcW w:w="851" w:type="dxa"/>
          </w:tcPr>
          <w:p w14:paraId="226B29A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42A0E44" w14:textId="77777777" w:rsidR="008E5DE4" w:rsidRDefault="008E5DE4">
            <w:pPr>
              <w:widowControl w:val="0"/>
              <w:pBdr>
                <w:top w:val="nil"/>
                <w:left w:val="nil"/>
                <w:bottom w:val="nil"/>
                <w:right w:val="nil"/>
                <w:between w:val="nil"/>
              </w:pBdr>
              <w:jc w:val="right"/>
              <w:rPr>
                <w:color w:val="000000"/>
              </w:rPr>
            </w:pPr>
          </w:p>
        </w:tc>
      </w:tr>
      <w:tr w:rsidR="008E5DE4" w14:paraId="69C89484" w14:textId="77777777">
        <w:trPr>
          <w:cantSplit/>
          <w:trHeight w:val="232"/>
        </w:trPr>
        <w:tc>
          <w:tcPr>
            <w:tcW w:w="2552" w:type="dxa"/>
            <w:vAlign w:val="bottom"/>
          </w:tcPr>
          <w:p w14:paraId="1C833DC8"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0" w:type="dxa"/>
            <w:vAlign w:val="bottom"/>
          </w:tcPr>
          <w:p w14:paraId="71E5DC06"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A36BF21"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414F0CA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0A587AA" w14:textId="77777777" w:rsidR="008E5DE4" w:rsidRDefault="008E5DE4">
            <w:pPr>
              <w:widowControl w:val="0"/>
              <w:pBdr>
                <w:top w:val="nil"/>
                <w:left w:val="nil"/>
                <w:bottom w:val="nil"/>
                <w:right w:val="nil"/>
                <w:between w:val="nil"/>
              </w:pBdr>
              <w:jc w:val="right"/>
              <w:rPr>
                <w:color w:val="000000"/>
              </w:rPr>
            </w:pPr>
          </w:p>
        </w:tc>
        <w:tc>
          <w:tcPr>
            <w:tcW w:w="851" w:type="dxa"/>
          </w:tcPr>
          <w:p w14:paraId="3952372F" w14:textId="77777777" w:rsidR="008E5DE4" w:rsidRDefault="008E5DE4">
            <w:pPr>
              <w:widowControl w:val="0"/>
              <w:pBdr>
                <w:top w:val="nil"/>
                <w:left w:val="nil"/>
                <w:bottom w:val="nil"/>
                <w:right w:val="nil"/>
                <w:between w:val="nil"/>
              </w:pBdr>
              <w:jc w:val="right"/>
              <w:rPr>
                <w:color w:val="000000"/>
              </w:rPr>
            </w:pPr>
          </w:p>
        </w:tc>
        <w:tc>
          <w:tcPr>
            <w:tcW w:w="851" w:type="dxa"/>
          </w:tcPr>
          <w:p w14:paraId="221BE948" w14:textId="77777777" w:rsidR="008E5DE4" w:rsidRDefault="008E5DE4">
            <w:pPr>
              <w:widowControl w:val="0"/>
              <w:pBdr>
                <w:top w:val="nil"/>
                <w:left w:val="nil"/>
                <w:bottom w:val="nil"/>
                <w:right w:val="nil"/>
                <w:between w:val="nil"/>
              </w:pBdr>
              <w:jc w:val="right"/>
              <w:rPr>
                <w:color w:val="000000"/>
              </w:rPr>
            </w:pPr>
          </w:p>
        </w:tc>
        <w:tc>
          <w:tcPr>
            <w:tcW w:w="851" w:type="dxa"/>
          </w:tcPr>
          <w:p w14:paraId="23D13584"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BFED1EF" w14:textId="77777777" w:rsidR="008E5DE4" w:rsidRDefault="008E5DE4">
            <w:pPr>
              <w:widowControl w:val="0"/>
              <w:pBdr>
                <w:top w:val="nil"/>
                <w:left w:val="nil"/>
                <w:bottom w:val="nil"/>
                <w:right w:val="nil"/>
                <w:between w:val="nil"/>
              </w:pBdr>
              <w:jc w:val="right"/>
              <w:rPr>
                <w:color w:val="000000"/>
              </w:rPr>
            </w:pPr>
          </w:p>
        </w:tc>
      </w:tr>
      <w:tr w:rsidR="008E5DE4" w14:paraId="4FAF9382" w14:textId="77777777">
        <w:trPr>
          <w:cantSplit/>
          <w:trHeight w:val="80"/>
        </w:trPr>
        <w:tc>
          <w:tcPr>
            <w:tcW w:w="2552" w:type="dxa"/>
            <w:vAlign w:val="bottom"/>
          </w:tcPr>
          <w:p w14:paraId="4EF66BDC"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0" w:type="dxa"/>
            <w:vAlign w:val="bottom"/>
          </w:tcPr>
          <w:p w14:paraId="5E94C3F1"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C2DD968"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55FA30F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A363B50"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D8E715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C9FB5A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608C2B4"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922309C" w14:textId="77777777" w:rsidR="008E5DE4" w:rsidRDefault="008E5DE4">
            <w:pPr>
              <w:widowControl w:val="0"/>
              <w:pBdr>
                <w:top w:val="nil"/>
                <w:left w:val="nil"/>
                <w:bottom w:val="nil"/>
                <w:right w:val="nil"/>
                <w:between w:val="nil"/>
              </w:pBdr>
              <w:jc w:val="right"/>
              <w:rPr>
                <w:color w:val="000000"/>
              </w:rPr>
            </w:pPr>
          </w:p>
        </w:tc>
      </w:tr>
      <w:tr w:rsidR="008E5DE4" w14:paraId="31577717" w14:textId="77777777">
        <w:trPr>
          <w:cantSplit/>
          <w:trHeight w:val="85"/>
        </w:trPr>
        <w:tc>
          <w:tcPr>
            <w:tcW w:w="2552" w:type="dxa"/>
            <w:vAlign w:val="bottom"/>
          </w:tcPr>
          <w:p w14:paraId="1DBABCF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0" w:type="dxa"/>
            <w:vAlign w:val="bottom"/>
          </w:tcPr>
          <w:p w14:paraId="1FF0284C"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5B46B9E8"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4356F25E"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99CC800"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EB1AFA0"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1AB37E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08CB49F"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0F9FC79" w14:textId="77777777" w:rsidR="008E5DE4" w:rsidRDefault="008E5DE4">
            <w:pPr>
              <w:widowControl w:val="0"/>
              <w:pBdr>
                <w:top w:val="nil"/>
                <w:left w:val="nil"/>
                <w:bottom w:val="nil"/>
                <w:right w:val="nil"/>
                <w:between w:val="nil"/>
              </w:pBdr>
              <w:jc w:val="right"/>
              <w:rPr>
                <w:color w:val="000000"/>
              </w:rPr>
            </w:pPr>
          </w:p>
        </w:tc>
      </w:tr>
      <w:tr w:rsidR="008E5DE4" w14:paraId="5677AD13" w14:textId="77777777">
        <w:trPr>
          <w:cantSplit/>
          <w:trHeight w:val="169"/>
        </w:trPr>
        <w:tc>
          <w:tcPr>
            <w:tcW w:w="2552" w:type="dxa"/>
            <w:vAlign w:val="bottom"/>
          </w:tcPr>
          <w:p w14:paraId="03806BA0"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0" w:type="dxa"/>
            <w:vAlign w:val="bottom"/>
          </w:tcPr>
          <w:p w14:paraId="70AD8A6D"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4CA4655E"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59D1A50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AB5149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FE4129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BAAF37E"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84BF654"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535A7EA" w14:textId="77777777" w:rsidR="008E5DE4" w:rsidRDefault="008E5DE4">
            <w:pPr>
              <w:widowControl w:val="0"/>
              <w:pBdr>
                <w:top w:val="nil"/>
                <w:left w:val="nil"/>
                <w:bottom w:val="nil"/>
                <w:right w:val="nil"/>
                <w:between w:val="nil"/>
              </w:pBdr>
              <w:jc w:val="right"/>
              <w:rPr>
                <w:color w:val="000000"/>
              </w:rPr>
            </w:pPr>
          </w:p>
        </w:tc>
      </w:tr>
      <w:tr w:rsidR="008E5DE4" w14:paraId="66F5639D" w14:textId="77777777">
        <w:trPr>
          <w:cantSplit/>
          <w:trHeight w:val="169"/>
        </w:trPr>
        <w:tc>
          <w:tcPr>
            <w:tcW w:w="2552" w:type="dxa"/>
            <w:vAlign w:val="bottom"/>
          </w:tcPr>
          <w:p w14:paraId="48378F6A"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0" w:type="dxa"/>
            <w:vAlign w:val="bottom"/>
          </w:tcPr>
          <w:p w14:paraId="1685A35C"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FD8CFB3"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5BA4C03F"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A700FE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81EAA52"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B78D55E"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59E5F3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7B7F315" w14:textId="77777777" w:rsidR="008E5DE4" w:rsidRDefault="008E5DE4">
            <w:pPr>
              <w:widowControl w:val="0"/>
              <w:pBdr>
                <w:top w:val="nil"/>
                <w:left w:val="nil"/>
                <w:bottom w:val="nil"/>
                <w:right w:val="nil"/>
                <w:between w:val="nil"/>
              </w:pBdr>
              <w:jc w:val="right"/>
              <w:rPr>
                <w:color w:val="000000"/>
              </w:rPr>
            </w:pPr>
          </w:p>
        </w:tc>
      </w:tr>
      <w:tr w:rsidR="008E5DE4" w14:paraId="2F86B34B" w14:textId="77777777">
        <w:trPr>
          <w:cantSplit/>
          <w:trHeight w:val="169"/>
        </w:trPr>
        <w:tc>
          <w:tcPr>
            <w:tcW w:w="2552" w:type="dxa"/>
            <w:tcBorders>
              <w:bottom w:val="single" w:sz="4" w:space="0" w:color="000000"/>
            </w:tcBorders>
            <w:vAlign w:val="bottom"/>
          </w:tcPr>
          <w:p w14:paraId="6EFB68F5"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bottom w:val="single" w:sz="4" w:space="0" w:color="000000"/>
            </w:tcBorders>
            <w:vAlign w:val="bottom"/>
          </w:tcPr>
          <w:p w14:paraId="3DF66090"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4" w:space="0" w:color="000000"/>
            </w:tcBorders>
            <w:vAlign w:val="bottom"/>
          </w:tcPr>
          <w:p w14:paraId="2FE33AF9"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4" w:space="0" w:color="000000"/>
            </w:tcBorders>
            <w:vAlign w:val="bottom"/>
          </w:tcPr>
          <w:p w14:paraId="3B5A20F3"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0BAED07D"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4C810674"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0CE16F14"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3F6F0B10"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22083284" w14:textId="77777777" w:rsidR="008E5DE4" w:rsidRDefault="008E5DE4">
            <w:pPr>
              <w:widowControl w:val="0"/>
              <w:pBdr>
                <w:top w:val="nil"/>
                <w:left w:val="nil"/>
                <w:bottom w:val="nil"/>
                <w:right w:val="nil"/>
                <w:between w:val="nil"/>
              </w:pBdr>
              <w:jc w:val="right"/>
              <w:rPr>
                <w:color w:val="000000"/>
              </w:rPr>
            </w:pPr>
          </w:p>
        </w:tc>
      </w:tr>
      <w:tr w:rsidR="008E5DE4" w14:paraId="5FE8817E" w14:textId="77777777">
        <w:trPr>
          <w:cantSplit/>
          <w:trHeight w:val="153"/>
        </w:trPr>
        <w:tc>
          <w:tcPr>
            <w:tcW w:w="2552" w:type="dxa"/>
            <w:tcBorders>
              <w:top w:val="single" w:sz="4" w:space="0" w:color="000000"/>
            </w:tcBorders>
            <w:vAlign w:val="bottom"/>
          </w:tcPr>
          <w:p w14:paraId="5D9906B5"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top w:val="single" w:sz="4" w:space="0" w:color="000000"/>
            </w:tcBorders>
            <w:vAlign w:val="bottom"/>
          </w:tcPr>
          <w:p w14:paraId="52A32C03"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58DC5C42"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18CC42C5"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6F2A3D88"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42876C90"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605CA85A"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5DB36EF1"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47B4031E" w14:textId="77777777" w:rsidR="008E5DE4" w:rsidRDefault="008E5DE4">
            <w:pPr>
              <w:widowControl w:val="0"/>
              <w:pBdr>
                <w:top w:val="nil"/>
                <w:left w:val="nil"/>
                <w:bottom w:val="nil"/>
                <w:right w:val="nil"/>
                <w:between w:val="nil"/>
              </w:pBdr>
              <w:jc w:val="right"/>
              <w:rPr>
                <w:color w:val="000000"/>
              </w:rPr>
            </w:pPr>
          </w:p>
        </w:tc>
      </w:tr>
      <w:tr w:rsidR="008E5DE4" w14:paraId="28EA46A9" w14:textId="77777777">
        <w:trPr>
          <w:cantSplit/>
          <w:trHeight w:val="245"/>
        </w:trPr>
        <w:tc>
          <w:tcPr>
            <w:tcW w:w="2552" w:type="dxa"/>
            <w:vAlign w:val="bottom"/>
          </w:tcPr>
          <w:p w14:paraId="75BCB8AE"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0" w:type="dxa"/>
            <w:vAlign w:val="bottom"/>
          </w:tcPr>
          <w:p w14:paraId="6405D95B"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4F70527F"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2319B532"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C48F796"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64F06B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0C1706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802C630"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D79E8F1" w14:textId="77777777" w:rsidR="008E5DE4" w:rsidRDefault="008E5DE4">
            <w:pPr>
              <w:widowControl w:val="0"/>
              <w:pBdr>
                <w:top w:val="nil"/>
                <w:left w:val="nil"/>
                <w:bottom w:val="nil"/>
                <w:right w:val="nil"/>
                <w:between w:val="nil"/>
              </w:pBdr>
              <w:jc w:val="right"/>
              <w:rPr>
                <w:color w:val="000000"/>
              </w:rPr>
            </w:pPr>
          </w:p>
        </w:tc>
      </w:tr>
      <w:tr w:rsidR="008E5DE4" w14:paraId="73CCB099" w14:textId="77777777">
        <w:trPr>
          <w:cantSplit/>
          <w:trHeight w:val="80"/>
        </w:trPr>
        <w:tc>
          <w:tcPr>
            <w:tcW w:w="2552" w:type="dxa"/>
            <w:tcBorders>
              <w:bottom w:val="single" w:sz="12" w:space="0" w:color="000000"/>
            </w:tcBorders>
            <w:vAlign w:val="bottom"/>
          </w:tcPr>
          <w:p w14:paraId="3EA58475"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bottom w:val="single" w:sz="12" w:space="0" w:color="000000"/>
            </w:tcBorders>
            <w:vAlign w:val="bottom"/>
          </w:tcPr>
          <w:p w14:paraId="6ED745C8"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539CFC39"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4884E635"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2D804E61"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2E4BB1E3"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28F4125B"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3670EC13"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251D6587" w14:textId="77777777" w:rsidR="008E5DE4" w:rsidRDefault="008E5DE4">
            <w:pPr>
              <w:widowControl w:val="0"/>
              <w:pBdr>
                <w:top w:val="nil"/>
                <w:left w:val="nil"/>
                <w:bottom w:val="nil"/>
                <w:right w:val="nil"/>
                <w:between w:val="nil"/>
              </w:pBdr>
              <w:jc w:val="right"/>
              <w:rPr>
                <w:color w:val="000000"/>
              </w:rPr>
            </w:pPr>
          </w:p>
        </w:tc>
      </w:tr>
      <w:tr w:rsidR="008E5DE4" w14:paraId="7B6BE840" w14:textId="77777777">
        <w:trPr>
          <w:cantSplit/>
          <w:trHeight w:val="153"/>
        </w:trPr>
        <w:tc>
          <w:tcPr>
            <w:tcW w:w="2552" w:type="dxa"/>
            <w:tcBorders>
              <w:top w:val="single" w:sz="12" w:space="0" w:color="000000"/>
            </w:tcBorders>
            <w:vAlign w:val="bottom"/>
          </w:tcPr>
          <w:p w14:paraId="0E9FE581"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top w:val="single" w:sz="12" w:space="0" w:color="000000"/>
            </w:tcBorders>
            <w:vAlign w:val="bottom"/>
          </w:tcPr>
          <w:p w14:paraId="27344C86"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12" w:space="0" w:color="000000"/>
            </w:tcBorders>
            <w:vAlign w:val="bottom"/>
          </w:tcPr>
          <w:p w14:paraId="1C686F2C"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12" w:space="0" w:color="000000"/>
            </w:tcBorders>
            <w:vAlign w:val="bottom"/>
          </w:tcPr>
          <w:p w14:paraId="6D7DB131"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0A038636"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44407E30"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7935D698"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21767949"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5917A6EE" w14:textId="77777777" w:rsidR="008E5DE4" w:rsidRDefault="008E5DE4">
            <w:pPr>
              <w:widowControl w:val="0"/>
              <w:pBdr>
                <w:top w:val="nil"/>
                <w:left w:val="nil"/>
                <w:bottom w:val="nil"/>
                <w:right w:val="nil"/>
                <w:between w:val="nil"/>
              </w:pBdr>
              <w:jc w:val="right"/>
              <w:rPr>
                <w:color w:val="000000"/>
              </w:rPr>
            </w:pPr>
          </w:p>
        </w:tc>
      </w:tr>
      <w:tr w:rsidR="008E5DE4" w14:paraId="5106A049" w14:textId="77777777">
        <w:trPr>
          <w:cantSplit/>
          <w:trHeight w:val="692"/>
        </w:trPr>
        <w:tc>
          <w:tcPr>
            <w:tcW w:w="2552" w:type="dxa"/>
            <w:vAlign w:val="bottom"/>
          </w:tcPr>
          <w:p w14:paraId="75B9DFC0"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76C9B65E" w14:textId="77777777" w:rsidR="008E5DE4" w:rsidRDefault="008E5DE4">
            <w:pPr>
              <w:widowControl w:val="0"/>
              <w:pBdr>
                <w:top w:val="nil"/>
                <w:left w:val="nil"/>
                <w:bottom w:val="nil"/>
                <w:right w:val="nil"/>
                <w:between w:val="nil"/>
              </w:pBdr>
              <w:ind w:right="-57"/>
              <w:rPr>
                <w:color w:val="000000"/>
              </w:rPr>
            </w:pPr>
          </w:p>
        </w:tc>
        <w:tc>
          <w:tcPr>
            <w:tcW w:w="850" w:type="dxa"/>
            <w:vAlign w:val="bottom"/>
          </w:tcPr>
          <w:p w14:paraId="33662A76"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7177C383"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1A945FD8"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492DA0A2"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76784568"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7F0BAFD2"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7E651408"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6BE63C8" w14:textId="77777777" w:rsidR="008E5DE4" w:rsidRDefault="008E5DE4">
            <w:pPr>
              <w:widowControl w:val="0"/>
              <w:pBdr>
                <w:top w:val="nil"/>
                <w:left w:val="nil"/>
                <w:bottom w:val="nil"/>
                <w:right w:val="nil"/>
                <w:between w:val="nil"/>
              </w:pBdr>
              <w:jc w:val="right"/>
              <w:rPr>
                <w:color w:val="000000"/>
                <w:highlight w:val="green"/>
              </w:rPr>
            </w:pPr>
          </w:p>
        </w:tc>
      </w:tr>
      <w:tr w:rsidR="008E5DE4" w14:paraId="3DC6438D" w14:textId="77777777">
        <w:trPr>
          <w:cantSplit/>
          <w:trHeight w:val="169"/>
        </w:trPr>
        <w:tc>
          <w:tcPr>
            <w:tcW w:w="2552" w:type="dxa"/>
            <w:vAlign w:val="bottom"/>
          </w:tcPr>
          <w:p w14:paraId="063FE5F1"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0" w:type="dxa"/>
            <w:vAlign w:val="bottom"/>
          </w:tcPr>
          <w:p w14:paraId="5C6504B9"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2A731390"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1BC23370"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43C050A"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0D9A10B3"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6A7F621D"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33E3F07E"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4A8DD236" w14:textId="77777777" w:rsidR="008E5DE4" w:rsidRDefault="008E5DE4">
            <w:pPr>
              <w:widowControl w:val="0"/>
              <w:pBdr>
                <w:top w:val="nil"/>
                <w:left w:val="nil"/>
                <w:bottom w:val="nil"/>
                <w:right w:val="nil"/>
                <w:between w:val="nil"/>
              </w:pBdr>
              <w:jc w:val="right"/>
              <w:rPr>
                <w:color w:val="000000"/>
                <w:highlight w:val="green"/>
              </w:rPr>
            </w:pPr>
          </w:p>
        </w:tc>
      </w:tr>
      <w:tr w:rsidR="008E5DE4" w14:paraId="2292F67D" w14:textId="77777777">
        <w:trPr>
          <w:cantSplit/>
          <w:trHeight w:val="169"/>
        </w:trPr>
        <w:tc>
          <w:tcPr>
            <w:tcW w:w="2552" w:type="dxa"/>
            <w:vAlign w:val="bottom"/>
          </w:tcPr>
          <w:p w14:paraId="7A1A3B35"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0" w:type="dxa"/>
            <w:vAlign w:val="bottom"/>
          </w:tcPr>
          <w:p w14:paraId="5B5E48ED"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4B20A2DC" w14:textId="77777777" w:rsidR="008E5DE4" w:rsidRDefault="008E5DE4">
            <w:pPr>
              <w:widowControl w:val="0"/>
              <w:pBdr>
                <w:top w:val="nil"/>
                <w:left w:val="nil"/>
                <w:bottom w:val="nil"/>
                <w:right w:val="nil"/>
                <w:between w:val="nil"/>
              </w:pBdr>
              <w:jc w:val="right"/>
              <w:rPr>
                <w:color w:val="000000"/>
                <w:highlight w:val="green"/>
              </w:rPr>
            </w:pPr>
          </w:p>
        </w:tc>
        <w:tc>
          <w:tcPr>
            <w:tcW w:w="850" w:type="dxa"/>
            <w:vAlign w:val="bottom"/>
          </w:tcPr>
          <w:p w14:paraId="3E14A7F1"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397B901C"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5454478E"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4049F411"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70251613" w14:textId="77777777" w:rsidR="008E5DE4" w:rsidRDefault="008E5DE4">
            <w:pPr>
              <w:widowControl w:val="0"/>
              <w:pBdr>
                <w:top w:val="nil"/>
                <w:left w:val="nil"/>
                <w:bottom w:val="nil"/>
                <w:right w:val="nil"/>
                <w:between w:val="nil"/>
              </w:pBdr>
              <w:jc w:val="right"/>
              <w:rPr>
                <w:color w:val="000000"/>
                <w:highlight w:val="green"/>
              </w:rPr>
            </w:pPr>
          </w:p>
        </w:tc>
        <w:tc>
          <w:tcPr>
            <w:tcW w:w="851" w:type="dxa"/>
            <w:vAlign w:val="bottom"/>
          </w:tcPr>
          <w:p w14:paraId="59CCD84D" w14:textId="77777777" w:rsidR="008E5DE4" w:rsidRDefault="008E5DE4">
            <w:pPr>
              <w:widowControl w:val="0"/>
              <w:pBdr>
                <w:top w:val="nil"/>
                <w:left w:val="nil"/>
                <w:bottom w:val="nil"/>
                <w:right w:val="nil"/>
                <w:between w:val="nil"/>
              </w:pBdr>
              <w:jc w:val="right"/>
              <w:rPr>
                <w:color w:val="000000"/>
                <w:highlight w:val="green"/>
              </w:rPr>
            </w:pPr>
          </w:p>
        </w:tc>
      </w:tr>
      <w:tr w:rsidR="008E5DE4" w14:paraId="61C3C026" w14:textId="77777777">
        <w:trPr>
          <w:cantSplit/>
          <w:trHeight w:val="337"/>
        </w:trPr>
        <w:tc>
          <w:tcPr>
            <w:tcW w:w="2552" w:type="dxa"/>
            <w:vAlign w:val="bottom"/>
          </w:tcPr>
          <w:p w14:paraId="7B06DE31"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0" w:type="dxa"/>
            <w:vAlign w:val="bottom"/>
          </w:tcPr>
          <w:p w14:paraId="5186F443"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41558EEC"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A58D2BF"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C99A92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DFB06BE"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23EB57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AC4553E"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9072283" w14:textId="77777777" w:rsidR="008E5DE4" w:rsidRDefault="008E5DE4">
            <w:pPr>
              <w:widowControl w:val="0"/>
              <w:pBdr>
                <w:top w:val="nil"/>
                <w:left w:val="nil"/>
                <w:bottom w:val="nil"/>
                <w:right w:val="nil"/>
                <w:between w:val="nil"/>
              </w:pBdr>
              <w:jc w:val="right"/>
              <w:rPr>
                <w:color w:val="000000"/>
              </w:rPr>
            </w:pPr>
          </w:p>
        </w:tc>
      </w:tr>
      <w:tr w:rsidR="008E5DE4" w14:paraId="37E68136" w14:textId="77777777">
        <w:trPr>
          <w:cantSplit/>
          <w:trHeight w:val="231"/>
        </w:trPr>
        <w:tc>
          <w:tcPr>
            <w:tcW w:w="2552" w:type="dxa"/>
            <w:vAlign w:val="bottom"/>
          </w:tcPr>
          <w:p w14:paraId="2DAF535D"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0" w:type="dxa"/>
            <w:vAlign w:val="bottom"/>
          </w:tcPr>
          <w:p w14:paraId="3A1DDD4B"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26BF5D2A"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665E2B6"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DB71A69"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47D141F"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D79CB44"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477E006"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5DA045F" w14:textId="77777777" w:rsidR="008E5DE4" w:rsidRDefault="008E5DE4">
            <w:pPr>
              <w:widowControl w:val="0"/>
              <w:pBdr>
                <w:top w:val="nil"/>
                <w:left w:val="nil"/>
                <w:bottom w:val="nil"/>
                <w:right w:val="nil"/>
                <w:between w:val="nil"/>
              </w:pBdr>
              <w:jc w:val="right"/>
              <w:rPr>
                <w:color w:val="000000"/>
              </w:rPr>
            </w:pPr>
          </w:p>
        </w:tc>
      </w:tr>
      <w:tr w:rsidR="008E5DE4" w14:paraId="6C7D0D00" w14:textId="77777777">
        <w:trPr>
          <w:cantSplit/>
          <w:trHeight w:val="169"/>
        </w:trPr>
        <w:tc>
          <w:tcPr>
            <w:tcW w:w="2552" w:type="dxa"/>
            <w:tcBorders>
              <w:bottom w:val="single" w:sz="4" w:space="0" w:color="000000"/>
            </w:tcBorders>
            <w:vAlign w:val="bottom"/>
          </w:tcPr>
          <w:p w14:paraId="20F7C026" w14:textId="77777777" w:rsidR="008E5DE4" w:rsidRDefault="008E5DE4">
            <w:pPr>
              <w:widowControl w:val="0"/>
              <w:pBdr>
                <w:top w:val="nil"/>
                <w:left w:val="nil"/>
                <w:bottom w:val="nil"/>
                <w:right w:val="nil"/>
                <w:between w:val="nil"/>
              </w:pBdr>
              <w:ind w:left="113" w:right="-57" w:hanging="113"/>
              <w:rPr>
                <w:b/>
                <w:color w:val="000000"/>
              </w:rPr>
            </w:pPr>
          </w:p>
        </w:tc>
        <w:tc>
          <w:tcPr>
            <w:tcW w:w="850" w:type="dxa"/>
            <w:tcBorders>
              <w:bottom w:val="single" w:sz="4" w:space="0" w:color="000000"/>
            </w:tcBorders>
            <w:vAlign w:val="bottom"/>
          </w:tcPr>
          <w:p w14:paraId="5B9328E0"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4" w:space="0" w:color="000000"/>
            </w:tcBorders>
            <w:vAlign w:val="bottom"/>
          </w:tcPr>
          <w:p w14:paraId="3794069F"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4" w:space="0" w:color="000000"/>
            </w:tcBorders>
            <w:vAlign w:val="bottom"/>
          </w:tcPr>
          <w:p w14:paraId="44CED528"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4DD43FBD"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629E1830"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6612E42B"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7DC833B0"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0473E0A0" w14:textId="77777777" w:rsidR="008E5DE4" w:rsidRDefault="008E5DE4">
            <w:pPr>
              <w:widowControl w:val="0"/>
              <w:pBdr>
                <w:top w:val="nil"/>
                <w:left w:val="nil"/>
                <w:bottom w:val="nil"/>
                <w:right w:val="nil"/>
                <w:between w:val="nil"/>
              </w:pBdr>
              <w:jc w:val="right"/>
              <w:rPr>
                <w:color w:val="000000"/>
              </w:rPr>
            </w:pPr>
          </w:p>
        </w:tc>
      </w:tr>
      <w:tr w:rsidR="008E5DE4" w14:paraId="78D21331" w14:textId="77777777">
        <w:trPr>
          <w:cantSplit/>
          <w:trHeight w:val="169"/>
        </w:trPr>
        <w:tc>
          <w:tcPr>
            <w:tcW w:w="2552" w:type="dxa"/>
            <w:tcBorders>
              <w:top w:val="single" w:sz="4" w:space="0" w:color="000000"/>
            </w:tcBorders>
            <w:vAlign w:val="bottom"/>
          </w:tcPr>
          <w:p w14:paraId="14689FA8" w14:textId="77777777" w:rsidR="008E5DE4" w:rsidRDefault="008E5DE4">
            <w:pPr>
              <w:widowControl w:val="0"/>
              <w:pBdr>
                <w:top w:val="nil"/>
                <w:left w:val="nil"/>
                <w:bottom w:val="nil"/>
                <w:right w:val="nil"/>
                <w:between w:val="nil"/>
              </w:pBdr>
              <w:ind w:left="113" w:right="-57" w:hanging="113"/>
              <w:rPr>
                <w:color w:val="000000"/>
                <w:u w:val="single"/>
              </w:rPr>
            </w:pPr>
          </w:p>
        </w:tc>
        <w:tc>
          <w:tcPr>
            <w:tcW w:w="850" w:type="dxa"/>
            <w:tcBorders>
              <w:top w:val="single" w:sz="4" w:space="0" w:color="000000"/>
            </w:tcBorders>
            <w:vAlign w:val="bottom"/>
          </w:tcPr>
          <w:p w14:paraId="0CC19DD1"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7AD00DB9"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vAlign w:val="bottom"/>
          </w:tcPr>
          <w:p w14:paraId="1AAB7842"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3F312DCE"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5CB709A8"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74FA595B"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4342E468"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7841366E" w14:textId="77777777" w:rsidR="008E5DE4" w:rsidRDefault="008E5DE4">
            <w:pPr>
              <w:widowControl w:val="0"/>
              <w:pBdr>
                <w:top w:val="nil"/>
                <w:left w:val="nil"/>
                <w:bottom w:val="nil"/>
                <w:right w:val="nil"/>
                <w:between w:val="nil"/>
              </w:pBdr>
              <w:jc w:val="right"/>
              <w:rPr>
                <w:color w:val="000000"/>
              </w:rPr>
            </w:pPr>
          </w:p>
        </w:tc>
      </w:tr>
      <w:tr w:rsidR="008E5DE4" w14:paraId="0B030D3E" w14:textId="77777777">
        <w:trPr>
          <w:cantSplit/>
          <w:trHeight w:val="169"/>
        </w:trPr>
        <w:tc>
          <w:tcPr>
            <w:tcW w:w="2552" w:type="dxa"/>
            <w:vAlign w:val="bottom"/>
          </w:tcPr>
          <w:p w14:paraId="2E373B1C" w14:textId="0D6282BA"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0" w:type="dxa"/>
            <w:vAlign w:val="bottom"/>
          </w:tcPr>
          <w:p w14:paraId="17E361D6"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092D1F38"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23135DF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908B68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E4F452B"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21D3A3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64F47A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A7C3B7C" w14:textId="77777777" w:rsidR="008E5DE4" w:rsidRDefault="008E5DE4">
            <w:pPr>
              <w:widowControl w:val="0"/>
              <w:pBdr>
                <w:top w:val="nil"/>
                <w:left w:val="nil"/>
                <w:bottom w:val="nil"/>
                <w:right w:val="nil"/>
                <w:between w:val="nil"/>
              </w:pBdr>
              <w:jc w:val="right"/>
              <w:rPr>
                <w:color w:val="000000"/>
              </w:rPr>
            </w:pPr>
          </w:p>
        </w:tc>
      </w:tr>
      <w:tr w:rsidR="008E5DE4" w14:paraId="07D64E4D" w14:textId="77777777">
        <w:trPr>
          <w:cantSplit/>
          <w:trHeight w:val="169"/>
        </w:trPr>
        <w:tc>
          <w:tcPr>
            <w:tcW w:w="2552" w:type="dxa"/>
            <w:tcBorders>
              <w:bottom w:val="single" w:sz="12" w:space="0" w:color="000000"/>
            </w:tcBorders>
            <w:vAlign w:val="bottom"/>
          </w:tcPr>
          <w:p w14:paraId="0F1FCD7B" w14:textId="77777777" w:rsidR="008E5DE4" w:rsidRDefault="008E5DE4">
            <w:pPr>
              <w:widowControl w:val="0"/>
              <w:pBdr>
                <w:top w:val="nil"/>
                <w:left w:val="nil"/>
                <w:bottom w:val="nil"/>
                <w:right w:val="nil"/>
                <w:between w:val="nil"/>
              </w:pBdr>
              <w:ind w:left="113" w:right="-57" w:hanging="113"/>
              <w:rPr>
                <w:b/>
                <w:color w:val="000000"/>
              </w:rPr>
            </w:pPr>
          </w:p>
        </w:tc>
        <w:tc>
          <w:tcPr>
            <w:tcW w:w="850" w:type="dxa"/>
            <w:tcBorders>
              <w:bottom w:val="single" w:sz="12" w:space="0" w:color="000000"/>
            </w:tcBorders>
            <w:vAlign w:val="bottom"/>
          </w:tcPr>
          <w:p w14:paraId="521AA5E0"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635A5312"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1B31CB6F"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60561865"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61F2C7EF"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39ED1595"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5761D556"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5F4226C5" w14:textId="77777777" w:rsidR="008E5DE4" w:rsidRDefault="008E5DE4">
            <w:pPr>
              <w:widowControl w:val="0"/>
              <w:pBdr>
                <w:top w:val="nil"/>
                <w:left w:val="nil"/>
                <w:bottom w:val="nil"/>
                <w:right w:val="nil"/>
                <w:between w:val="nil"/>
              </w:pBdr>
              <w:jc w:val="right"/>
              <w:rPr>
                <w:color w:val="000000"/>
              </w:rPr>
            </w:pPr>
          </w:p>
        </w:tc>
      </w:tr>
    </w:tbl>
    <w:p w14:paraId="4386A7AE"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tbl>
      <w:tblPr>
        <w:tblStyle w:val="affffd"/>
        <w:tblW w:w="9357" w:type="dxa"/>
        <w:tblLayout w:type="fixed"/>
        <w:tblLook w:val="0000" w:firstRow="0" w:lastRow="0" w:firstColumn="0" w:lastColumn="0" w:noHBand="0" w:noVBand="0"/>
      </w:tblPr>
      <w:tblGrid>
        <w:gridCol w:w="2552"/>
        <w:gridCol w:w="850"/>
        <w:gridCol w:w="850"/>
        <w:gridCol w:w="850"/>
        <w:gridCol w:w="851"/>
        <w:gridCol w:w="851"/>
        <w:gridCol w:w="851"/>
        <w:gridCol w:w="851"/>
        <w:gridCol w:w="851"/>
      </w:tblGrid>
      <w:tr w:rsidR="008E5DE4" w14:paraId="54091A36" w14:textId="77777777">
        <w:trPr>
          <w:cantSplit/>
          <w:trHeight w:val="169"/>
          <w:tblHeader/>
        </w:trPr>
        <w:tc>
          <w:tcPr>
            <w:tcW w:w="2552" w:type="dxa"/>
            <w:vAlign w:val="bottom"/>
          </w:tcPr>
          <w:p w14:paraId="1FDB9189" w14:textId="77777777" w:rsidR="008E5DE4" w:rsidRDefault="008E5DE4">
            <w:pPr>
              <w:widowControl w:val="0"/>
              <w:pBdr>
                <w:top w:val="nil"/>
                <w:left w:val="nil"/>
                <w:bottom w:val="nil"/>
                <w:right w:val="nil"/>
                <w:between w:val="nil"/>
              </w:pBdr>
              <w:ind w:left="113" w:right="-57" w:hanging="113"/>
              <w:rPr>
                <w:i/>
                <w:color w:val="000000"/>
              </w:rPr>
            </w:pPr>
          </w:p>
        </w:tc>
        <w:tc>
          <w:tcPr>
            <w:tcW w:w="3401" w:type="dxa"/>
            <w:gridSpan w:val="4"/>
            <w:tcBorders>
              <w:bottom w:val="single" w:sz="4" w:space="0" w:color="000000"/>
            </w:tcBorders>
          </w:tcPr>
          <w:p w14:paraId="456AE7A5" w14:textId="77777777" w:rsidR="008E5DE4" w:rsidRDefault="00780368">
            <w:pPr>
              <w:widowControl w:val="0"/>
              <w:pBdr>
                <w:top w:val="nil"/>
                <w:left w:val="nil"/>
                <w:bottom w:val="nil"/>
                <w:right w:val="nil"/>
                <w:between w:val="nil"/>
              </w:pBdr>
              <w:tabs>
                <w:tab w:val="left" w:pos="3182"/>
              </w:tabs>
              <w:ind w:left="113" w:right="113"/>
              <w:jc w:val="center"/>
              <w:rPr>
                <w:b/>
                <w:color w:val="000000"/>
              </w:rPr>
            </w:pPr>
            <w:r>
              <w:rPr>
                <w:b/>
                <w:color w:val="000000"/>
              </w:rPr>
              <w:t>Credit loss allowance</w:t>
            </w:r>
          </w:p>
        </w:tc>
        <w:tc>
          <w:tcPr>
            <w:tcW w:w="3404" w:type="dxa"/>
            <w:gridSpan w:val="4"/>
            <w:tcBorders>
              <w:bottom w:val="single" w:sz="4" w:space="0" w:color="000000"/>
            </w:tcBorders>
          </w:tcPr>
          <w:p w14:paraId="31458B98" w14:textId="77777777" w:rsidR="008E5DE4" w:rsidRDefault="00780368">
            <w:pPr>
              <w:widowControl w:val="0"/>
              <w:pBdr>
                <w:top w:val="nil"/>
                <w:left w:val="nil"/>
                <w:bottom w:val="nil"/>
                <w:right w:val="nil"/>
                <w:between w:val="nil"/>
              </w:pBdr>
              <w:ind w:left="113" w:right="113"/>
              <w:jc w:val="center"/>
              <w:rPr>
                <w:b/>
                <w:color w:val="000000"/>
              </w:rPr>
            </w:pPr>
            <w:r>
              <w:rPr>
                <w:b/>
                <w:color w:val="000000"/>
              </w:rPr>
              <w:t>Gross carrying amount</w:t>
            </w:r>
          </w:p>
        </w:tc>
      </w:tr>
      <w:tr w:rsidR="008E5DE4" w14:paraId="119926C2" w14:textId="77777777">
        <w:trPr>
          <w:cantSplit/>
          <w:trHeight w:val="507"/>
          <w:tblHeader/>
        </w:trPr>
        <w:tc>
          <w:tcPr>
            <w:tcW w:w="2552" w:type="dxa"/>
            <w:tcBorders>
              <w:bottom w:val="single" w:sz="4" w:space="0" w:color="000000"/>
            </w:tcBorders>
            <w:vAlign w:val="bottom"/>
          </w:tcPr>
          <w:p w14:paraId="7C3F7B35" w14:textId="77777777" w:rsidR="008E5DE4" w:rsidRDefault="008E5DE4">
            <w:pPr>
              <w:widowControl w:val="0"/>
              <w:pBdr>
                <w:top w:val="nil"/>
                <w:left w:val="nil"/>
                <w:bottom w:val="nil"/>
                <w:right w:val="nil"/>
                <w:between w:val="nil"/>
              </w:pBdr>
              <w:ind w:left="113" w:right="-57" w:hanging="113"/>
              <w:rPr>
                <w:i/>
                <w:color w:val="000000"/>
              </w:rPr>
            </w:pPr>
          </w:p>
          <w:p w14:paraId="2A66882E"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0" w:type="dxa"/>
            <w:tcBorders>
              <w:top w:val="single" w:sz="4" w:space="0" w:color="000000"/>
              <w:bottom w:val="single" w:sz="4" w:space="0" w:color="000000"/>
            </w:tcBorders>
          </w:tcPr>
          <w:p w14:paraId="3A832427"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40EC508"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50" w:type="dxa"/>
            <w:tcBorders>
              <w:top w:val="single" w:sz="4" w:space="0" w:color="000000"/>
              <w:bottom w:val="single" w:sz="4" w:space="0" w:color="000000"/>
            </w:tcBorders>
          </w:tcPr>
          <w:p w14:paraId="55A9AE14"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69881DDD"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0" w:type="dxa"/>
            <w:tcBorders>
              <w:top w:val="single" w:sz="4" w:space="0" w:color="000000"/>
              <w:bottom w:val="single" w:sz="4" w:space="0" w:color="000000"/>
            </w:tcBorders>
          </w:tcPr>
          <w:p w14:paraId="25EE9701"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4D23D489"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851" w:type="dxa"/>
            <w:tcBorders>
              <w:top w:val="single" w:sz="4" w:space="0" w:color="000000"/>
              <w:bottom w:val="single" w:sz="4" w:space="0" w:color="000000"/>
            </w:tcBorders>
          </w:tcPr>
          <w:p w14:paraId="729D5712"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51" w:type="dxa"/>
            <w:tcBorders>
              <w:top w:val="single" w:sz="4" w:space="0" w:color="000000"/>
              <w:bottom w:val="single" w:sz="4" w:space="0" w:color="000000"/>
            </w:tcBorders>
          </w:tcPr>
          <w:p w14:paraId="19223C70"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1754192"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1" w:type="dxa"/>
            <w:tcBorders>
              <w:top w:val="single" w:sz="4" w:space="0" w:color="000000"/>
              <w:bottom w:val="single" w:sz="4" w:space="0" w:color="000000"/>
            </w:tcBorders>
          </w:tcPr>
          <w:p w14:paraId="1A615050"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252D179"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1" w:type="dxa"/>
            <w:tcBorders>
              <w:top w:val="single" w:sz="4" w:space="0" w:color="000000"/>
              <w:bottom w:val="single" w:sz="4" w:space="0" w:color="000000"/>
            </w:tcBorders>
          </w:tcPr>
          <w:p w14:paraId="5E3AE293"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4131685"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851" w:type="dxa"/>
            <w:tcBorders>
              <w:top w:val="single" w:sz="4" w:space="0" w:color="000000"/>
              <w:bottom w:val="single" w:sz="4" w:space="0" w:color="000000"/>
            </w:tcBorders>
          </w:tcPr>
          <w:p w14:paraId="3B539C1F"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4BCA4B8B" w14:textId="77777777">
        <w:trPr>
          <w:cantSplit/>
          <w:trHeight w:val="169"/>
        </w:trPr>
        <w:tc>
          <w:tcPr>
            <w:tcW w:w="2552" w:type="dxa"/>
            <w:vAlign w:val="bottom"/>
          </w:tcPr>
          <w:p w14:paraId="3B709D9E" w14:textId="77777777" w:rsidR="008E5DE4" w:rsidRDefault="008E5DE4">
            <w:pPr>
              <w:widowControl w:val="0"/>
              <w:pBdr>
                <w:top w:val="nil"/>
                <w:left w:val="nil"/>
                <w:bottom w:val="nil"/>
                <w:right w:val="nil"/>
                <w:between w:val="nil"/>
              </w:pBdr>
              <w:ind w:left="113" w:right="-57" w:hanging="113"/>
              <w:rPr>
                <w:b/>
                <w:color w:val="000000"/>
              </w:rPr>
            </w:pPr>
          </w:p>
          <w:p w14:paraId="6A5B98A1" w14:textId="77777777" w:rsidR="008E5DE4" w:rsidRDefault="00780368">
            <w:pPr>
              <w:widowControl w:val="0"/>
              <w:pBdr>
                <w:top w:val="nil"/>
                <w:left w:val="nil"/>
                <w:bottom w:val="nil"/>
                <w:right w:val="nil"/>
                <w:between w:val="nil"/>
              </w:pBdr>
              <w:ind w:left="113" w:right="-57" w:hanging="113"/>
              <w:rPr>
                <w:b/>
                <w:color w:val="000000"/>
              </w:rPr>
            </w:pPr>
            <w:r>
              <w:rPr>
                <w:b/>
                <w:color w:val="000000"/>
              </w:rPr>
              <w:t>State and municipal organisations</w:t>
            </w:r>
          </w:p>
          <w:p w14:paraId="56FB3759" w14:textId="77777777" w:rsidR="008E5DE4" w:rsidRDefault="008E5DE4">
            <w:pPr>
              <w:widowControl w:val="0"/>
              <w:pBdr>
                <w:top w:val="nil"/>
                <w:left w:val="nil"/>
                <w:bottom w:val="nil"/>
                <w:right w:val="nil"/>
                <w:between w:val="nil"/>
              </w:pBdr>
              <w:ind w:left="113" w:right="-57" w:hanging="113"/>
              <w:rPr>
                <w:b/>
                <w:i/>
                <w:color w:val="000000"/>
              </w:rPr>
            </w:pPr>
          </w:p>
        </w:tc>
        <w:tc>
          <w:tcPr>
            <w:tcW w:w="850" w:type="dxa"/>
            <w:vAlign w:val="bottom"/>
          </w:tcPr>
          <w:p w14:paraId="7E872985"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2250CB81" w14:textId="77777777" w:rsidR="008E5DE4" w:rsidRDefault="008E5DE4">
            <w:pPr>
              <w:widowControl w:val="0"/>
              <w:pBdr>
                <w:top w:val="nil"/>
                <w:left w:val="nil"/>
                <w:bottom w:val="nil"/>
                <w:right w:val="nil"/>
                <w:between w:val="nil"/>
              </w:pBdr>
              <w:jc w:val="right"/>
              <w:rPr>
                <w:color w:val="000000"/>
              </w:rPr>
            </w:pPr>
          </w:p>
        </w:tc>
        <w:tc>
          <w:tcPr>
            <w:tcW w:w="850" w:type="dxa"/>
            <w:vAlign w:val="bottom"/>
          </w:tcPr>
          <w:p w14:paraId="109BD4D4"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45408F00" w14:textId="77777777" w:rsidR="008E5DE4" w:rsidRDefault="008E5DE4">
            <w:pPr>
              <w:widowControl w:val="0"/>
              <w:pBdr>
                <w:top w:val="nil"/>
                <w:left w:val="nil"/>
                <w:bottom w:val="nil"/>
                <w:right w:val="nil"/>
                <w:between w:val="nil"/>
              </w:pBdr>
              <w:jc w:val="right"/>
              <w:rPr>
                <w:color w:val="000000"/>
              </w:rPr>
            </w:pPr>
          </w:p>
        </w:tc>
        <w:tc>
          <w:tcPr>
            <w:tcW w:w="851" w:type="dxa"/>
          </w:tcPr>
          <w:p w14:paraId="58BABF80" w14:textId="77777777" w:rsidR="008E5DE4" w:rsidRDefault="008E5DE4">
            <w:pPr>
              <w:widowControl w:val="0"/>
              <w:pBdr>
                <w:top w:val="nil"/>
                <w:left w:val="nil"/>
                <w:bottom w:val="nil"/>
                <w:right w:val="nil"/>
                <w:between w:val="nil"/>
              </w:pBdr>
              <w:jc w:val="right"/>
              <w:rPr>
                <w:color w:val="000000"/>
              </w:rPr>
            </w:pPr>
          </w:p>
        </w:tc>
        <w:tc>
          <w:tcPr>
            <w:tcW w:w="851" w:type="dxa"/>
          </w:tcPr>
          <w:p w14:paraId="0F517CCD" w14:textId="77777777" w:rsidR="008E5DE4" w:rsidRDefault="008E5DE4">
            <w:pPr>
              <w:widowControl w:val="0"/>
              <w:pBdr>
                <w:top w:val="nil"/>
                <w:left w:val="nil"/>
                <w:bottom w:val="nil"/>
                <w:right w:val="nil"/>
                <w:between w:val="nil"/>
              </w:pBdr>
              <w:jc w:val="right"/>
              <w:rPr>
                <w:color w:val="000000"/>
              </w:rPr>
            </w:pPr>
          </w:p>
        </w:tc>
        <w:tc>
          <w:tcPr>
            <w:tcW w:w="851" w:type="dxa"/>
          </w:tcPr>
          <w:p w14:paraId="442D7C2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0006FB6" w14:textId="77777777" w:rsidR="008E5DE4" w:rsidRDefault="008E5DE4">
            <w:pPr>
              <w:widowControl w:val="0"/>
              <w:pBdr>
                <w:top w:val="nil"/>
                <w:left w:val="nil"/>
                <w:bottom w:val="nil"/>
                <w:right w:val="nil"/>
                <w:between w:val="nil"/>
              </w:pBdr>
              <w:jc w:val="right"/>
              <w:rPr>
                <w:color w:val="000000"/>
              </w:rPr>
            </w:pPr>
          </w:p>
        </w:tc>
      </w:tr>
      <w:tr w:rsidR="008E5DE4" w14:paraId="3F2E21D1" w14:textId="77777777">
        <w:trPr>
          <w:cantSplit/>
          <w:trHeight w:val="169"/>
        </w:trPr>
        <w:tc>
          <w:tcPr>
            <w:tcW w:w="2552" w:type="dxa"/>
            <w:vAlign w:val="bottom"/>
          </w:tcPr>
          <w:p w14:paraId="2AC0F6B4" w14:textId="3C628F54" w:rsidR="008E5DE4" w:rsidRDefault="00780368">
            <w:pPr>
              <w:widowControl w:val="0"/>
              <w:ind w:left="113" w:right="-57" w:hanging="113"/>
              <w:rPr>
                <w:b/>
              </w:rPr>
            </w:pPr>
            <w:proofErr w:type="gramStart"/>
            <w:r>
              <w:rPr>
                <w:b/>
              </w:rPr>
              <w:t>At</w:t>
            </w:r>
            <w:proofErr w:type="gramEnd"/>
            <w:r>
              <w:rPr>
                <w:b/>
              </w:rPr>
              <w:t xml:space="preserve"> 1 January </w:t>
            </w:r>
            <w:r w:rsidR="00FF468A">
              <w:rPr>
                <w:b/>
              </w:rPr>
              <w:t>2024</w:t>
            </w:r>
          </w:p>
        </w:tc>
        <w:tc>
          <w:tcPr>
            <w:tcW w:w="850" w:type="dxa"/>
            <w:vAlign w:val="bottom"/>
          </w:tcPr>
          <w:p w14:paraId="47C51DC0" w14:textId="77777777" w:rsidR="008E5DE4" w:rsidRDefault="008E5DE4">
            <w:pPr>
              <w:widowControl w:val="0"/>
              <w:ind w:left="113" w:right="-57" w:hanging="113"/>
              <w:rPr>
                <w:b/>
              </w:rPr>
            </w:pPr>
          </w:p>
        </w:tc>
        <w:tc>
          <w:tcPr>
            <w:tcW w:w="850" w:type="dxa"/>
            <w:vAlign w:val="bottom"/>
          </w:tcPr>
          <w:p w14:paraId="701317BA" w14:textId="77777777" w:rsidR="008E5DE4" w:rsidRDefault="008E5DE4">
            <w:pPr>
              <w:widowControl w:val="0"/>
              <w:ind w:left="113" w:right="-57" w:hanging="113"/>
              <w:rPr>
                <w:b/>
              </w:rPr>
            </w:pPr>
          </w:p>
        </w:tc>
        <w:tc>
          <w:tcPr>
            <w:tcW w:w="850" w:type="dxa"/>
            <w:vAlign w:val="bottom"/>
          </w:tcPr>
          <w:p w14:paraId="278237A1" w14:textId="77777777" w:rsidR="008E5DE4" w:rsidRDefault="008E5DE4">
            <w:pPr>
              <w:widowControl w:val="0"/>
              <w:ind w:left="113" w:right="-57" w:hanging="113"/>
              <w:rPr>
                <w:b/>
              </w:rPr>
            </w:pPr>
          </w:p>
        </w:tc>
        <w:tc>
          <w:tcPr>
            <w:tcW w:w="851" w:type="dxa"/>
            <w:vAlign w:val="bottom"/>
          </w:tcPr>
          <w:p w14:paraId="499CD51C" w14:textId="77777777" w:rsidR="008E5DE4" w:rsidRDefault="008E5DE4">
            <w:pPr>
              <w:widowControl w:val="0"/>
              <w:ind w:left="113" w:right="-57" w:hanging="113"/>
              <w:rPr>
                <w:b/>
              </w:rPr>
            </w:pPr>
          </w:p>
        </w:tc>
        <w:tc>
          <w:tcPr>
            <w:tcW w:w="851" w:type="dxa"/>
          </w:tcPr>
          <w:p w14:paraId="20A860CD" w14:textId="77777777" w:rsidR="008E5DE4" w:rsidRDefault="008E5DE4">
            <w:pPr>
              <w:widowControl w:val="0"/>
              <w:pBdr>
                <w:top w:val="nil"/>
                <w:left w:val="nil"/>
                <w:bottom w:val="nil"/>
                <w:right w:val="nil"/>
                <w:between w:val="nil"/>
              </w:pBdr>
              <w:jc w:val="right"/>
              <w:rPr>
                <w:b/>
                <w:color w:val="000000"/>
              </w:rPr>
            </w:pPr>
          </w:p>
        </w:tc>
        <w:tc>
          <w:tcPr>
            <w:tcW w:w="851" w:type="dxa"/>
          </w:tcPr>
          <w:p w14:paraId="769652D7" w14:textId="77777777" w:rsidR="008E5DE4" w:rsidRDefault="008E5DE4">
            <w:pPr>
              <w:widowControl w:val="0"/>
              <w:pBdr>
                <w:top w:val="nil"/>
                <w:left w:val="nil"/>
                <w:bottom w:val="nil"/>
                <w:right w:val="nil"/>
                <w:between w:val="nil"/>
              </w:pBdr>
              <w:jc w:val="right"/>
              <w:rPr>
                <w:b/>
                <w:color w:val="000000"/>
              </w:rPr>
            </w:pPr>
          </w:p>
        </w:tc>
        <w:tc>
          <w:tcPr>
            <w:tcW w:w="851" w:type="dxa"/>
          </w:tcPr>
          <w:p w14:paraId="7FF4EF0C" w14:textId="77777777" w:rsidR="008E5DE4" w:rsidRDefault="008E5DE4">
            <w:pPr>
              <w:widowControl w:val="0"/>
              <w:pBdr>
                <w:top w:val="nil"/>
                <w:left w:val="nil"/>
                <w:bottom w:val="nil"/>
                <w:right w:val="nil"/>
                <w:between w:val="nil"/>
              </w:pBdr>
              <w:jc w:val="right"/>
              <w:rPr>
                <w:b/>
                <w:color w:val="000000"/>
              </w:rPr>
            </w:pPr>
          </w:p>
        </w:tc>
        <w:tc>
          <w:tcPr>
            <w:tcW w:w="851" w:type="dxa"/>
            <w:vAlign w:val="bottom"/>
          </w:tcPr>
          <w:p w14:paraId="7283A3C1" w14:textId="77777777" w:rsidR="008E5DE4" w:rsidRDefault="008E5DE4">
            <w:pPr>
              <w:widowControl w:val="0"/>
              <w:pBdr>
                <w:top w:val="nil"/>
                <w:left w:val="nil"/>
                <w:bottom w:val="nil"/>
                <w:right w:val="nil"/>
                <w:between w:val="nil"/>
              </w:pBdr>
              <w:jc w:val="right"/>
              <w:rPr>
                <w:b/>
                <w:color w:val="000000"/>
              </w:rPr>
            </w:pPr>
          </w:p>
        </w:tc>
      </w:tr>
      <w:tr w:rsidR="008E5DE4" w14:paraId="2E2C3043" w14:textId="77777777">
        <w:trPr>
          <w:cantSplit/>
          <w:trHeight w:val="169"/>
        </w:trPr>
        <w:tc>
          <w:tcPr>
            <w:tcW w:w="2552" w:type="dxa"/>
            <w:vAlign w:val="bottom"/>
          </w:tcPr>
          <w:p w14:paraId="67D42EC2" w14:textId="77777777" w:rsidR="008E5DE4" w:rsidRDefault="008E5DE4">
            <w:pPr>
              <w:widowControl w:val="0"/>
              <w:ind w:left="113" w:right="-57" w:hanging="113"/>
            </w:pPr>
          </w:p>
          <w:p w14:paraId="5212AE87" w14:textId="77777777" w:rsidR="008E5DE4" w:rsidRDefault="00780368">
            <w:pPr>
              <w:widowControl w:val="0"/>
              <w:ind w:left="113" w:right="-57" w:hanging="113"/>
            </w:pPr>
            <w:r>
              <w:t>Movements with impact on credit loss allowance charge for the period:</w:t>
            </w:r>
          </w:p>
        </w:tc>
        <w:tc>
          <w:tcPr>
            <w:tcW w:w="850" w:type="dxa"/>
            <w:vAlign w:val="bottom"/>
          </w:tcPr>
          <w:p w14:paraId="31BE5A05" w14:textId="77777777" w:rsidR="008E5DE4" w:rsidRDefault="008E5DE4">
            <w:pPr>
              <w:widowControl w:val="0"/>
              <w:ind w:left="113" w:right="-57" w:hanging="113"/>
            </w:pPr>
          </w:p>
        </w:tc>
        <w:tc>
          <w:tcPr>
            <w:tcW w:w="850" w:type="dxa"/>
            <w:vAlign w:val="bottom"/>
          </w:tcPr>
          <w:p w14:paraId="6E9037A6" w14:textId="77777777" w:rsidR="008E5DE4" w:rsidRDefault="008E5DE4">
            <w:pPr>
              <w:widowControl w:val="0"/>
              <w:ind w:left="113" w:right="-57" w:hanging="113"/>
            </w:pPr>
          </w:p>
        </w:tc>
        <w:tc>
          <w:tcPr>
            <w:tcW w:w="850" w:type="dxa"/>
            <w:vAlign w:val="bottom"/>
          </w:tcPr>
          <w:p w14:paraId="2DB3C03C" w14:textId="77777777" w:rsidR="008E5DE4" w:rsidRDefault="008E5DE4">
            <w:pPr>
              <w:widowControl w:val="0"/>
              <w:ind w:left="113" w:right="-57" w:hanging="113"/>
            </w:pPr>
          </w:p>
        </w:tc>
        <w:tc>
          <w:tcPr>
            <w:tcW w:w="851" w:type="dxa"/>
            <w:vAlign w:val="bottom"/>
          </w:tcPr>
          <w:p w14:paraId="63E28B0C" w14:textId="77777777" w:rsidR="008E5DE4" w:rsidRDefault="008E5DE4">
            <w:pPr>
              <w:widowControl w:val="0"/>
              <w:ind w:left="113" w:right="-57" w:hanging="113"/>
            </w:pPr>
          </w:p>
        </w:tc>
        <w:tc>
          <w:tcPr>
            <w:tcW w:w="851" w:type="dxa"/>
          </w:tcPr>
          <w:p w14:paraId="04FD2F9E" w14:textId="77777777" w:rsidR="008E5DE4" w:rsidRDefault="008E5DE4">
            <w:pPr>
              <w:widowControl w:val="0"/>
              <w:pBdr>
                <w:top w:val="nil"/>
                <w:left w:val="nil"/>
                <w:bottom w:val="nil"/>
                <w:right w:val="nil"/>
                <w:between w:val="nil"/>
              </w:pBdr>
              <w:jc w:val="right"/>
              <w:rPr>
                <w:color w:val="000000"/>
              </w:rPr>
            </w:pPr>
          </w:p>
        </w:tc>
        <w:tc>
          <w:tcPr>
            <w:tcW w:w="851" w:type="dxa"/>
          </w:tcPr>
          <w:p w14:paraId="0018753A" w14:textId="77777777" w:rsidR="008E5DE4" w:rsidRDefault="008E5DE4">
            <w:pPr>
              <w:widowControl w:val="0"/>
              <w:pBdr>
                <w:top w:val="nil"/>
                <w:left w:val="nil"/>
                <w:bottom w:val="nil"/>
                <w:right w:val="nil"/>
                <w:between w:val="nil"/>
              </w:pBdr>
              <w:jc w:val="right"/>
              <w:rPr>
                <w:color w:val="000000"/>
              </w:rPr>
            </w:pPr>
          </w:p>
        </w:tc>
        <w:tc>
          <w:tcPr>
            <w:tcW w:w="851" w:type="dxa"/>
          </w:tcPr>
          <w:p w14:paraId="4555E7B8"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BA759C9" w14:textId="77777777" w:rsidR="008E5DE4" w:rsidRDefault="008E5DE4">
            <w:pPr>
              <w:widowControl w:val="0"/>
              <w:pBdr>
                <w:top w:val="nil"/>
                <w:left w:val="nil"/>
                <w:bottom w:val="nil"/>
                <w:right w:val="nil"/>
                <w:between w:val="nil"/>
              </w:pBdr>
              <w:jc w:val="right"/>
              <w:rPr>
                <w:color w:val="000000"/>
              </w:rPr>
            </w:pPr>
          </w:p>
        </w:tc>
      </w:tr>
      <w:tr w:rsidR="008E5DE4" w14:paraId="733C127D" w14:textId="77777777">
        <w:trPr>
          <w:cantSplit/>
          <w:trHeight w:val="169"/>
        </w:trPr>
        <w:tc>
          <w:tcPr>
            <w:tcW w:w="2552" w:type="dxa"/>
            <w:vAlign w:val="bottom"/>
          </w:tcPr>
          <w:p w14:paraId="704455AD" w14:textId="77777777" w:rsidR="008E5DE4" w:rsidRDefault="008E5DE4">
            <w:pPr>
              <w:widowControl w:val="0"/>
              <w:ind w:left="113" w:right="-57" w:hanging="113"/>
            </w:pPr>
          </w:p>
        </w:tc>
        <w:tc>
          <w:tcPr>
            <w:tcW w:w="850" w:type="dxa"/>
            <w:vAlign w:val="bottom"/>
          </w:tcPr>
          <w:p w14:paraId="0897B7CD" w14:textId="77777777" w:rsidR="008E5DE4" w:rsidRDefault="008E5DE4">
            <w:pPr>
              <w:widowControl w:val="0"/>
              <w:ind w:left="113" w:right="-57" w:hanging="113"/>
            </w:pPr>
          </w:p>
        </w:tc>
        <w:tc>
          <w:tcPr>
            <w:tcW w:w="850" w:type="dxa"/>
            <w:vAlign w:val="bottom"/>
          </w:tcPr>
          <w:p w14:paraId="3F72E0F4" w14:textId="77777777" w:rsidR="008E5DE4" w:rsidRDefault="008E5DE4">
            <w:pPr>
              <w:widowControl w:val="0"/>
              <w:ind w:left="113" w:right="-57" w:hanging="113"/>
            </w:pPr>
          </w:p>
        </w:tc>
        <w:tc>
          <w:tcPr>
            <w:tcW w:w="850" w:type="dxa"/>
            <w:vAlign w:val="bottom"/>
          </w:tcPr>
          <w:p w14:paraId="352CD44C" w14:textId="77777777" w:rsidR="008E5DE4" w:rsidRDefault="008E5DE4">
            <w:pPr>
              <w:widowControl w:val="0"/>
              <w:ind w:left="113" w:right="-57" w:hanging="113"/>
            </w:pPr>
          </w:p>
        </w:tc>
        <w:tc>
          <w:tcPr>
            <w:tcW w:w="851" w:type="dxa"/>
            <w:vAlign w:val="bottom"/>
          </w:tcPr>
          <w:p w14:paraId="13D9316B" w14:textId="77777777" w:rsidR="008E5DE4" w:rsidRDefault="008E5DE4">
            <w:pPr>
              <w:widowControl w:val="0"/>
              <w:ind w:left="113" w:right="-57" w:hanging="113"/>
            </w:pPr>
          </w:p>
        </w:tc>
        <w:tc>
          <w:tcPr>
            <w:tcW w:w="851" w:type="dxa"/>
          </w:tcPr>
          <w:p w14:paraId="0E498621" w14:textId="77777777" w:rsidR="008E5DE4" w:rsidRDefault="008E5DE4">
            <w:pPr>
              <w:widowControl w:val="0"/>
              <w:pBdr>
                <w:top w:val="nil"/>
                <w:left w:val="nil"/>
                <w:bottom w:val="nil"/>
                <w:right w:val="nil"/>
                <w:between w:val="nil"/>
              </w:pBdr>
              <w:jc w:val="right"/>
              <w:rPr>
                <w:color w:val="000000"/>
              </w:rPr>
            </w:pPr>
          </w:p>
        </w:tc>
        <w:tc>
          <w:tcPr>
            <w:tcW w:w="851" w:type="dxa"/>
          </w:tcPr>
          <w:p w14:paraId="35AB5291" w14:textId="77777777" w:rsidR="008E5DE4" w:rsidRDefault="008E5DE4">
            <w:pPr>
              <w:widowControl w:val="0"/>
              <w:pBdr>
                <w:top w:val="nil"/>
                <w:left w:val="nil"/>
                <w:bottom w:val="nil"/>
                <w:right w:val="nil"/>
                <w:between w:val="nil"/>
              </w:pBdr>
              <w:jc w:val="right"/>
              <w:rPr>
                <w:color w:val="000000"/>
              </w:rPr>
            </w:pPr>
          </w:p>
        </w:tc>
        <w:tc>
          <w:tcPr>
            <w:tcW w:w="851" w:type="dxa"/>
          </w:tcPr>
          <w:p w14:paraId="088B4F7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373F99E" w14:textId="77777777" w:rsidR="008E5DE4" w:rsidRDefault="008E5DE4">
            <w:pPr>
              <w:widowControl w:val="0"/>
              <w:pBdr>
                <w:top w:val="nil"/>
                <w:left w:val="nil"/>
                <w:bottom w:val="nil"/>
                <w:right w:val="nil"/>
                <w:between w:val="nil"/>
              </w:pBdr>
              <w:jc w:val="right"/>
              <w:rPr>
                <w:color w:val="000000"/>
              </w:rPr>
            </w:pPr>
          </w:p>
        </w:tc>
      </w:tr>
      <w:tr w:rsidR="008E5DE4" w14:paraId="78FC4FC9" w14:textId="77777777">
        <w:trPr>
          <w:cantSplit/>
          <w:trHeight w:val="169"/>
        </w:trPr>
        <w:tc>
          <w:tcPr>
            <w:tcW w:w="2552" w:type="dxa"/>
            <w:vAlign w:val="bottom"/>
          </w:tcPr>
          <w:p w14:paraId="629E3B6C" w14:textId="77777777" w:rsidR="008E5DE4" w:rsidRDefault="00780368">
            <w:pPr>
              <w:widowControl w:val="0"/>
              <w:ind w:left="113" w:right="-57" w:hanging="113"/>
            </w:pPr>
            <w:r>
              <w:t>Transfers:</w:t>
            </w:r>
          </w:p>
        </w:tc>
        <w:tc>
          <w:tcPr>
            <w:tcW w:w="850" w:type="dxa"/>
            <w:vAlign w:val="bottom"/>
          </w:tcPr>
          <w:p w14:paraId="6B5A7B5E" w14:textId="77777777" w:rsidR="008E5DE4" w:rsidRDefault="008E5DE4">
            <w:pPr>
              <w:widowControl w:val="0"/>
              <w:ind w:left="113" w:right="-57" w:hanging="113"/>
            </w:pPr>
          </w:p>
        </w:tc>
        <w:tc>
          <w:tcPr>
            <w:tcW w:w="850" w:type="dxa"/>
            <w:vAlign w:val="bottom"/>
          </w:tcPr>
          <w:p w14:paraId="093BBCE3" w14:textId="77777777" w:rsidR="008E5DE4" w:rsidRDefault="008E5DE4">
            <w:pPr>
              <w:widowControl w:val="0"/>
              <w:ind w:left="113" w:right="-57" w:hanging="113"/>
            </w:pPr>
          </w:p>
        </w:tc>
        <w:tc>
          <w:tcPr>
            <w:tcW w:w="850" w:type="dxa"/>
            <w:vAlign w:val="bottom"/>
          </w:tcPr>
          <w:p w14:paraId="53CA0E21" w14:textId="77777777" w:rsidR="008E5DE4" w:rsidRDefault="008E5DE4">
            <w:pPr>
              <w:widowControl w:val="0"/>
              <w:ind w:left="113" w:right="-57" w:hanging="113"/>
            </w:pPr>
          </w:p>
        </w:tc>
        <w:tc>
          <w:tcPr>
            <w:tcW w:w="851" w:type="dxa"/>
            <w:vAlign w:val="bottom"/>
          </w:tcPr>
          <w:p w14:paraId="098CF4A3" w14:textId="77777777" w:rsidR="008E5DE4" w:rsidRDefault="008E5DE4">
            <w:pPr>
              <w:widowControl w:val="0"/>
              <w:ind w:left="113" w:right="-57" w:hanging="113"/>
            </w:pPr>
          </w:p>
        </w:tc>
        <w:tc>
          <w:tcPr>
            <w:tcW w:w="851" w:type="dxa"/>
          </w:tcPr>
          <w:p w14:paraId="7F91D339" w14:textId="77777777" w:rsidR="008E5DE4" w:rsidRDefault="008E5DE4">
            <w:pPr>
              <w:widowControl w:val="0"/>
              <w:pBdr>
                <w:top w:val="nil"/>
                <w:left w:val="nil"/>
                <w:bottom w:val="nil"/>
                <w:right w:val="nil"/>
                <w:between w:val="nil"/>
              </w:pBdr>
              <w:jc w:val="right"/>
              <w:rPr>
                <w:color w:val="000000"/>
              </w:rPr>
            </w:pPr>
          </w:p>
        </w:tc>
        <w:tc>
          <w:tcPr>
            <w:tcW w:w="851" w:type="dxa"/>
          </w:tcPr>
          <w:p w14:paraId="186132E3" w14:textId="77777777" w:rsidR="008E5DE4" w:rsidRDefault="008E5DE4">
            <w:pPr>
              <w:widowControl w:val="0"/>
              <w:pBdr>
                <w:top w:val="nil"/>
                <w:left w:val="nil"/>
                <w:bottom w:val="nil"/>
                <w:right w:val="nil"/>
                <w:between w:val="nil"/>
              </w:pBdr>
              <w:jc w:val="right"/>
              <w:rPr>
                <w:color w:val="000000"/>
              </w:rPr>
            </w:pPr>
          </w:p>
        </w:tc>
        <w:tc>
          <w:tcPr>
            <w:tcW w:w="851" w:type="dxa"/>
          </w:tcPr>
          <w:p w14:paraId="63E9E7A2"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F682265" w14:textId="77777777" w:rsidR="008E5DE4" w:rsidRDefault="008E5DE4">
            <w:pPr>
              <w:widowControl w:val="0"/>
              <w:pBdr>
                <w:top w:val="nil"/>
                <w:left w:val="nil"/>
                <w:bottom w:val="nil"/>
                <w:right w:val="nil"/>
                <w:between w:val="nil"/>
              </w:pBdr>
              <w:jc w:val="right"/>
              <w:rPr>
                <w:color w:val="000000"/>
              </w:rPr>
            </w:pPr>
          </w:p>
        </w:tc>
      </w:tr>
      <w:tr w:rsidR="008E5DE4" w14:paraId="737BDCD9" w14:textId="77777777">
        <w:trPr>
          <w:cantSplit/>
          <w:trHeight w:val="169"/>
        </w:trPr>
        <w:tc>
          <w:tcPr>
            <w:tcW w:w="2552" w:type="dxa"/>
            <w:vAlign w:val="bottom"/>
          </w:tcPr>
          <w:p w14:paraId="028DBCB9" w14:textId="77777777" w:rsidR="008E5DE4" w:rsidRDefault="00780368">
            <w:pPr>
              <w:widowControl w:val="0"/>
              <w:ind w:left="113" w:right="-57" w:hanging="113"/>
            </w:pPr>
            <w:r>
              <w:t>- to lifetime (from Stage 1 to Stage 2)</w:t>
            </w:r>
          </w:p>
        </w:tc>
        <w:tc>
          <w:tcPr>
            <w:tcW w:w="850" w:type="dxa"/>
            <w:vAlign w:val="bottom"/>
          </w:tcPr>
          <w:p w14:paraId="128DAB80" w14:textId="77777777" w:rsidR="008E5DE4" w:rsidRDefault="008E5DE4">
            <w:pPr>
              <w:widowControl w:val="0"/>
              <w:ind w:left="113" w:right="-57" w:hanging="113"/>
            </w:pPr>
          </w:p>
        </w:tc>
        <w:tc>
          <w:tcPr>
            <w:tcW w:w="850" w:type="dxa"/>
            <w:vAlign w:val="bottom"/>
          </w:tcPr>
          <w:p w14:paraId="5FF8FA02" w14:textId="77777777" w:rsidR="008E5DE4" w:rsidRDefault="008E5DE4">
            <w:pPr>
              <w:widowControl w:val="0"/>
              <w:ind w:left="113" w:right="-57" w:hanging="113"/>
            </w:pPr>
          </w:p>
        </w:tc>
        <w:tc>
          <w:tcPr>
            <w:tcW w:w="850" w:type="dxa"/>
            <w:vAlign w:val="bottom"/>
          </w:tcPr>
          <w:p w14:paraId="6D9C0B85" w14:textId="77777777" w:rsidR="008E5DE4" w:rsidRDefault="008E5DE4">
            <w:pPr>
              <w:widowControl w:val="0"/>
              <w:ind w:left="113" w:right="-57" w:hanging="113"/>
            </w:pPr>
          </w:p>
        </w:tc>
        <w:tc>
          <w:tcPr>
            <w:tcW w:w="851" w:type="dxa"/>
            <w:vAlign w:val="bottom"/>
          </w:tcPr>
          <w:p w14:paraId="1672E3A2" w14:textId="77777777" w:rsidR="008E5DE4" w:rsidRDefault="008E5DE4">
            <w:pPr>
              <w:widowControl w:val="0"/>
              <w:ind w:left="113" w:right="-57" w:hanging="113"/>
            </w:pPr>
          </w:p>
        </w:tc>
        <w:tc>
          <w:tcPr>
            <w:tcW w:w="851" w:type="dxa"/>
          </w:tcPr>
          <w:p w14:paraId="50936A22" w14:textId="77777777" w:rsidR="008E5DE4" w:rsidRDefault="008E5DE4">
            <w:pPr>
              <w:widowControl w:val="0"/>
              <w:pBdr>
                <w:top w:val="nil"/>
                <w:left w:val="nil"/>
                <w:bottom w:val="nil"/>
                <w:right w:val="nil"/>
                <w:between w:val="nil"/>
              </w:pBdr>
              <w:jc w:val="right"/>
              <w:rPr>
                <w:color w:val="000000"/>
              </w:rPr>
            </w:pPr>
          </w:p>
        </w:tc>
        <w:tc>
          <w:tcPr>
            <w:tcW w:w="851" w:type="dxa"/>
          </w:tcPr>
          <w:p w14:paraId="425B819A" w14:textId="77777777" w:rsidR="008E5DE4" w:rsidRDefault="008E5DE4">
            <w:pPr>
              <w:widowControl w:val="0"/>
              <w:pBdr>
                <w:top w:val="nil"/>
                <w:left w:val="nil"/>
                <w:bottom w:val="nil"/>
                <w:right w:val="nil"/>
                <w:between w:val="nil"/>
              </w:pBdr>
              <w:jc w:val="right"/>
              <w:rPr>
                <w:color w:val="000000"/>
              </w:rPr>
            </w:pPr>
          </w:p>
        </w:tc>
        <w:tc>
          <w:tcPr>
            <w:tcW w:w="851" w:type="dxa"/>
          </w:tcPr>
          <w:p w14:paraId="4B87D653"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3535FEC7" w14:textId="77777777" w:rsidR="008E5DE4" w:rsidRDefault="008E5DE4">
            <w:pPr>
              <w:widowControl w:val="0"/>
              <w:pBdr>
                <w:top w:val="nil"/>
                <w:left w:val="nil"/>
                <w:bottom w:val="nil"/>
                <w:right w:val="nil"/>
                <w:between w:val="nil"/>
              </w:pBdr>
              <w:jc w:val="right"/>
              <w:rPr>
                <w:color w:val="000000"/>
              </w:rPr>
            </w:pPr>
          </w:p>
        </w:tc>
      </w:tr>
      <w:tr w:rsidR="008E5DE4" w14:paraId="24140883" w14:textId="77777777">
        <w:trPr>
          <w:cantSplit/>
          <w:trHeight w:val="169"/>
        </w:trPr>
        <w:tc>
          <w:tcPr>
            <w:tcW w:w="2552" w:type="dxa"/>
            <w:vAlign w:val="bottom"/>
          </w:tcPr>
          <w:p w14:paraId="71D478C0" w14:textId="77777777" w:rsidR="008E5DE4" w:rsidRDefault="00780368">
            <w:pPr>
              <w:widowControl w:val="0"/>
              <w:ind w:left="113" w:right="-57" w:hanging="113"/>
            </w:pPr>
            <w:r>
              <w:t>- to credit-impaired (from Stage 1 and Stage 2 to Stage 3)</w:t>
            </w:r>
          </w:p>
        </w:tc>
        <w:tc>
          <w:tcPr>
            <w:tcW w:w="850" w:type="dxa"/>
            <w:vAlign w:val="bottom"/>
          </w:tcPr>
          <w:p w14:paraId="7F294AC4" w14:textId="77777777" w:rsidR="008E5DE4" w:rsidRDefault="008E5DE4">
            <w:pPr>
              <w:widowControl w:val="0"/>
              <w:ind w:left="113" w:right="-57" w:hanging="113"/>
            </w:pPr>
          </w:p>
        </w:tc>
        <w:tc>
          <w:tcPr>
            <w:tcW w:w="850" w:type="dxa"/>
            <w:vAlign w:val="bottom"/>
          </w:tcPr>
          <w:p w14:paraId="6E264C7E" w14:textId="77777777" w:rsidR="008E5DE4" w:rsidRDefault="008E5DE4">
            <w:pPr>
              <w:widowControl w:val="0"/>
              <w:ind w:left="113" w:right="-57" w:hanging="113"/>
            </w:pPr>
          </w:p>
        </w:tc>
        <w:tc>
          <w:tcPr>
            <w:tcW w:w="850" w:type="dxa"/>
            <w:vAlign w:val="bottom"/>
          </w:tcPr>
          <w:p w14:paraId="4E517163" w14:textId="77777777" w:rsidR="008E5DE4" w:rsidRDefault="008E5DE4">
            <w:pPr>
              <w:widowControl w:val="0"/>
              <w:ind w:left="113" w:right="-57" w:hanging="113"/>
            </w:pPr>
          </w:p>
        </w:tc>
        <w:tc>
          <w:tcPr>
            <w:tcW w:w="851" w:type="dxa"/>
            <w:vAlign w:val="bottom"/>
          </w:tcPr>
          <w:p w14:paraId="2577C74C" w14:textId="77777777" w:rsidR="008E5DE4" w:rsidRDefault="008E5DE4">
            <w:pPr>
              <w:widowControl w:val="0"/>
              <w:ind w:left="113" w:right="-57" w:hanging="113"/>
            </w:pPr>
          </w:p>
        </w:tc>
        <w:tc>
          <w:tcPr>
            <w:tcW w:w="851" w:type="dxa"/>
          </w:tcPr>
          <w:p w14:paraId="7F256A66" w14:textId="77777777" w:rsidR="008E5DE4" w:rsidRDefault="008E5DE4">
            <w:pPr>
              <w:widowControl w:val="0"/>
              <w:pBdr>
                <w:top w:val="nil"/>
                <w:left w:val="nil"/>
                <w:bottom w:val="nil"/>
                <w:right w:val="nil"/>
                <w:between w:val="nil"/>
              </w:pBdr>
              <w:jc w:val="right"/>
              <w:rPr>
                <w:color w:val="000000"/>
              </w:rPr>
            </w:pPr>
          </w:p>
        </w:tc>
        <w:tc>
          <w:tcPr>
            <w:tcW w:w="851" w:type="dxa"/>
          </w:tcPr>
          <w:p w14:paraId="596FC94F" w14:textId="77777777" w:rsidR="008E5DE4" w:rsidRDefault="008E5DE4">
            <w:pPr>
              <w:widowControl w:val="0"/>
              <w:pBdr>
                <w:top w:val="nil"/>
                <w:left w:val="nil"/>
                <w:bottom w:val="nil"/>
                <w:right w:val="nil"/>
                <w:between w:val="nil"/>
              </w:pBdr>
              <w:jc w:val="right"/>
              <w:rPr>
                <w:color w:val="000000"/>
              </w:rPr>
            </w:pPr>
          </w:p>
        </w:tc>
        <w:tc>
          <w:tcPr>
            <w:tcW w:w="851" w:type="dxa"/>
          </w:tcPr>
          <w:p w14:paraId="308AB816"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4C4FC68" w14:textId="77777777" w:rsidR="008E5DE4" w:rsidRDefault="008E5DE4">
            <w:pPr>
              <w:widowControl w:val="0"/>
              <w:pBdr>
                <w:top w:val="nil"/>
                <w:left w:val="nil"/>
                <w:bottom w:val="nil"/>
                <w:right w:val="nil"/>
                <w:between w:val="nil"/>
              </w:pBdr>
              <w:jc w:val="right"/>
              <w:rPr>
                <w:color w:val="000000"/>
              </w:rPr>
            </w:pPr>
          </w:p>
        </w:tc>
      </w:tr>
      <w:tr w:rsidR="008E5DE4" w14:paraId="09E18950" w14:textId="77777777">
        <w:trPr>
          <w:cantSplit/>
          <w:trHeight w:val="169"/>
        </w:trPr>
        <w:tc>
          <w:tcPr>
            <w:tcW w:w="2552" w:type="dxa"/>
            <w:vAlign w:val="bottom"/>
          </w:tcPr>
          <w:p w14:paraId="2F973E31" w14:textId="77777777" w:rsidR="008E5DE4" w:rsidRDefault="00780368">
            <w:pPr>
              <w:widowControl w:val="0"/>
              <w:ind w:left="113" w:right="-57" w:hanging="113"/>
            </w:pPr>
            <w:r>
              <w:t>- to 12-months ECL (from Stage 2 and Stage 3 to Stage 1)</w:t>
            </w:r>
          </w:p>
        </w:tc>
        <w:tc>
          <w:tcPr>
            <w:tcW w:w="850" w:type="dxa"/>
            <w:vAlign w:val="bottom"/>
          </w:tcPr>
          <w:p w14:paraId="5839A4E8" w14:textId="77777777" w:rsidR="008E5DE4" w:rsidRDefault="008E5DE4">
            <w:pPr>
              <w:widowControl w:val="0"/>
              <w:ind w:left="113" w:right="-57" w:hanging="113"/>
            </w:pPr>
          </w:p>
        </w:tc>
        <w:tc>
          <w:tcPr>
            <w:tcW w:w="850" w:type="dxa"/>
            <w:vAlign w:val="bottom"/>
          </w:tcPr>
          <w:p w14:paraId="36784095" w14:textId="77777777" w:rsidR="008E5DE4" w:rsidRDefault="008E5DE4">
            <w:pPr>
              <w:widowControl w:val="0"/>
              <w:ind w:left="113" w:right="-57" w:hanging="113"/>
            </w:pPr>
          </w:p>
        </w:tc>
        <w:tc>
          <w:tcPr>
            <w:tcW w:w="850" w:type="dxa"/>
            <w:vAlign w:val="bottom"/>
          </w:tcPr>
          <w:p w14:paraId="3E5267F9" w14:textId="77777777" w:rsidR="008E5DE4" w:rsidRDefault="008E5DE4">
            <w:pPr>
              <w:widowControl w:val="0"/>
              <w:ind w:left="113" w:right="-57" w:hanging="113"/>
            </w:pPr>
          </w:p>
        </w:tc>
        <w:tc>
          <w:tcPr>
            <w:tcW w:w="851" w:type="dxa"/>
            <w:vAlign w:val="bottom"/>
          </w:tcPr>
          <w:p w14:paraId="7A6B9F1C" w14:textId="77777777" w:rsidR="008E5DE4" w:rsidRDefault="008E5DE4">
            <w:pPr>
              <w:widowControl w:val="0"/>
              <w:ind w:left="113" w:right="-57" w:hanging="113"/>
            </w:pPr>
          </w:p>
        </w:tc>
        <w:tc>
          <w:tcPr>
            <w:tcW w:w="851" w:type="dxa"/>
          </w:tcPr>
          <w:p w14:paraId="0DC3E558" w14:textId="77777777" w:rsidR="008E5DE4" w:rsidRDefault="008E5DE4">
            <w:pPr>
              <w:widowControl w:val="0"/>
              <w:pBdr>
                <w:top w:val="nil"/>
                <w:left w:val="nil"/>
                <w:bottom w:val="nil"/>
                <w:right w:val="nil"/>
                <w:between w:val="nil"/>
              </w:pBdr>
              <w:jc w:val="right"/>
              <w:rPr>
                <w:color w:val="000000"/>
              </w:rPr>
            </w:pPr>
          </w:p>
        </w:tc>
        <w:tc>
          <w:tcPr>
            <w:tcW w:w="851" w:type="dxa"/>
          </w:tcPr>
          <w:p w14:paraId="2F42114D" w14:textId="77777777" w:rsidR="008E5DE4" w:rsidRDefault="008E5DE4">
            <w:pPr>
              <w:widowControl w:val="0"/>
              <w:pBdr>
                <w:top w:val="nil"/>
                <w:left w:val="nil"/>
                <w:bottom w:val="nil"/>
                <w:right w:val="nil"/>
                <w:between w:val="nil"/>
              </w:pBdr>
              <w:jc w:val="right"/>
              <w:rPr>
                <w:color w:val="000000"/>
              </w:rPr>
            </w:pPr>
          </w:p>
        </w:tc>
        <w:tc>
          <w:tcPr>
            <w:tcW w:w="851" w:type="dxa"/>
          </w:tcPr>
          <w:p w14:paraId="149E708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1D4F64FA" w14:textId="77777777" w:rsidR="008E5DE4" w:rsidRDefault="008E5DE4">
            <w:pPr>
              <w:widowControl w:val="0"/>
              <w:pBdr>
                <w:top w:val="nil"/>
                <w:left w:val="nil"/>
                <w:bottom w:val="nil"/>
                <w:right w:val="nil"/>
                <w:between w:val="nil"/>
              </w:pBdr>
              <w:jc w:val="right"/>
              <w:rPr>
                <w:color w:val="000000"/>
              </w:rPr>
            </w:pPr>
          </w:p>
        </w:tc>
      </w:tr>
      <w:tr w:rsidR="008E5DE4" w14:paraId="489E57EA" w14:textId="77777777">
        <w:trPr>
          <w:cantSplit/>
          <w:trHeight w:val="169"/>
        </w:trPr>
        <w:tc>
          <w:tcPr>
            <w:tcW w:w="2552" w:type="dxa"/>
            <w:vAlign w:val="bottom"/>
          </w:tcPr>
          <w:p w14:paraId="2C5D8846" w14:textId="77777777" w:rsidR="008E5DE4" w:rsidRDefault="00780368">
            <w:pPr>
              <w:widowControl w:val="0"/>
              <w:ind w:left="113" w:right="-57" w:hanging="113"/>
            </w:pPr>
            <w:r>
              <w:t>New originated or purchased</w:t>
            </w:r>
          </w:p>
        </w:tc>
        <w:tc>
          <w:tcPr>
            <w:tcW w:w="850" w:type="dxa"/>
            <w:vAlign w:val="bottom"/>
          </w:tcPr>
          <w:p w14:paraId="1B41A07A" w14:textId="77777777" w:rsidR="008E5DE4" w:rsidRDefault="008E5DE4">
            <w:pPr>
              <w:widowControl w:val="0"/>
              <w:ind w:left="113" w:right="-57" w:hanging="113"/>
            </w:pPr>
          </w:p>
        </w:tc>
        <w:tc>
          <w:tcPr>
            <w:tcW w:w="850" w:type="dxa"/>
            <w:vAlign w:val="bottom"/>
          </w:tcPr>
          <w:p w14:paraId="3FB620E4" w14:textId="77777777" w:rsidR="008E5DE4" w:rsidRDefault="008E5DE4">
            <w:pPr>
              <w:widowControl w:val="0"/>
              <w:ind w:left="113" w:right="-57" w:hanging="113"/>
            </w:pPr>
          </w:p>
        </w:tc>
        <w:tc>
          <w:tcPr>
            <w:tcW w:w="850" w:type="dxa"/>
            <w:vAlign w:val="bottom"/>
          </w:tcPr>
          <w:p w14:paraId="4918A9FD" w14:textId="77777777" w:rsidR="008E5DE4" w:rsidRDefault="008E5DE4">
            <w:pPr>
              <w:widowControl w:val="0"/>
              <w:ind w:left="113" w:right="-57" w:hanging="113"/>
            </w:pPr>
          </w:p>
        </w:tc>
        <w:tc>
          <w:tcPr>
            <w:tcW w:w="851" w:type="dxa"/>
            <w:vAlign w:val="bottom"/>
          </w:tcPr>
          <w:p w14:paraId="523E1C9C" w14:textId="77777777" w:rsidR="008E5DE4" w:rsidRDefault="008E5DE4">
            <w:pPr>
              <w:widowControl w:val="0"/>
              <w:ind w:left="113" w:right="-57" w:hanging="113"/>
            </w:pPr>
          </w:p>
        </w:tc>
        <w:tc>
          <w:tcPr>
            <w:tcW w:w="851" w:type="dxa"/>
          </w:tcPr>
          <w:p w14:paraId="33DC7460" w14:textId="77777777" w:rsidR="008E5DE4" w:rsidRDefault="008E5DE4">
            <w:pPr>
              <w:widowControl w:val="0"/>
              <w:pBdr>
                <w:top w:val="nil"/>
                <w:left w:val="nil"/>
                <w:bottom w:val="nil"/>
                <w:right w:val="nil"/>
                <w:between w:val="nil"/>
              </w:pBdr>
              <w:jc w:val="right"/>
              <w:rPr>
                <w:color w:val="000000"/>
              </w:rPr>
            </w:pPr>
          </w:p>
        </w:tc>
        <w:tc>
          <w:tcPr>
            <w:tcW w:w="851" w:type="dxa"/>
          </w:tcPr>
          <w:p w14:paraId="2B694957" w14:textId="77777777" w:rsidR="008E5DE4" w:rsidRDefault="008E5DE4">
            <w:pPr>
              <w:widowControl w:val="0"/>
              <w:pBdr>
                <w:top w:val="nil"/>
                <w:left w:val="nil"/>
                <w:bottom w:val="nil"/>
                <w:right w:val="nil"/>
                <w:between w:val="nil"/>
              </w:pBdr>
              <w:jc w:val="right"/>
              <w:rPr>
                <w:color w:val="000000"/>
              </w:rPr>
            </w:pPr>
          </w:p>
        </w:tc>
        <w:tc>
          <w:tcPr>
            <w:tcW w:w="851" w:type="dxa"/>
          </w:tcPr>
          <w:p w14:paraId="012F4682"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DB089AD" w14:textId="77777777" w:rsidR="008E5DE4" w:rsidRDefault="008E5DE4">
            <w:pPr>
              <w:widowControl w:val="0"/>
              <w:pBdr>
                <w:top w:val="nil"/>
                <w:left w:val="nil"/>
                <w:bottom w:val="nil"/>
                <w:right w:val="nil"/>
                <w:between w:val="nil"/>
              </w:pBdr>
              <w:jc w:val="right"/>
              <w:rPr>
                <w:color w:val="000000"/>
              </w:rPr>
            </w:pPr>
          </w:p>
        </w:tc>
      </w:tr>
      <w:tr w:rsidR="008E5DE4" w14:paraId="77C24E7F" w14:textId="77777777">
        <w:trPr>
          <w:cantSplit/>
          <w:trHeight w:val="169"/>
        </w:trPr>
        <w:tc>
          <w:tcPr>
            <w:tcW w:w="2552" w:type="dxa"/>
            <w:vAlign w:val="bottom"/>
          </w:tcPr>
          <w:p w14:paraId="7D9F7579" w14:textId="77777777" w:rsidR="008E5DE4" w:rsidRDefault="00780368">
            <w:pPr>
              <w:widowControl w:val="0"/>
              <w:ind w:left="113" w:right="-57" w:hanging="113"/>
            </w:pPr>
            <w:r>
              <w:t>Derecognised during the period</w:t>
            </w:r>
          </w:p>
        </w:tc>
        <w:tc>
          <w:tcPr>
            <w:tcW w:w="850" w:type="dxa"/>
            <w:vAlign w:val="bottom"/>
          </w:tcPr>
          <w:p w14:paraId="696A93CC" w14:textId="77777777" w:rsidR="008E5DE4" w:rsidRDefault="008E5DE4">
            <w:pPr>
              <w:widowControl w:val="0"/>
              <w:ind w:left="113" w:right="-57" w:hanging="113"/>
            </w:pPr>
          </w:p>
        </w:tc>
        <w:tc>
          <w:tcPr>
            <w:tcW w:w="850" w:type="dxa"/>
            <w:vAlign w:val="bottom"/>
          </w:tcPr>
          <w:p w14:paraId="38B4E83B" w14:textId="77777777" w:rsidR="008E5DE4" w:rsidRDefault="008E5DE4">
            <w:pPr>
              <w:widowControl w:val="0"/>
              <w:ind w:left="113" w:right="-57" w:hanging="113"/>
            </w:pPr>
          </w:p>
        </w:tc>
        <w:tc>
          <w:tcPr>
            <w:tcW w:w="850" w:type="dxa"/>
            <w:vAlign w:val="bottom"/>
          </w:tcPr>
          <w:p w14:paraId="0F3DE139" w14:textId="77777777" w:rsidR="008E5DE4" w:rsidRDefault="008E5DE4">
            <w:pPr>
              <w:widowControl w:val="0"/>
              <w:ind w:left="113" w:right="-57" w:hanging="113"/>
            </w:pPr>
          </w:p>
        </w:tc>
        <w:tc>
          <w:tcPr>
            <w:tcW w:w="851" w:type="dxa"/>
            <w:vAlign w:val="bottom"/>
          </w:tcPr>
          <w:p w14:paraId="53F60D9D" w14:textId="77777777" w:rsidR="008E5DE4" w:rsidRDefault="008E5DE4">
            <w:pPr>
              <w:widowControl w:val="0"/>
              <w:ind w:left="113" w:right="-57" w:hanging="113"/>
            </w:pPr>
          </w:p>
        </w:tc>
        <w:tc>
          <w:tcPr>
            <w:tcW w:w="851" w:type="dxa"/>
          </w:tcPr>
          <w:p w14:paraId="21752BEF" w14:textId="77777777" w:rsidR="008E5DE4" w:rsidRDefault="008E5DE4">
            <w:pPr>
              <w:widowControl w:val="0"/>
              <w:pBdr>
                <w:top w:val="nil"/>
                <w:left w:val="nil"/>
                <w:bottom w:val="nil"/>
                <w:right w:val="nil"/>
                <w:between w:val="nil"/>
              </w:pBdr>
              <w:jc w:val="right"/>
              <w:rPr>
                <w:color w:val="000000"/>
              </w:rPr>
            </w:pPr>
          </w:p>
        </w:tc>
        <w:tc>
          <w:tcPr>
            <w:tcW w:w="851" w:type="dxa"/>
          </w:tcPr>
          <w:p w14:paraId="272338E2" w14:textId="77777777" w:rsidR="008E5DE4" w:rsidRDefault="008E5DE4">
            <w:pPr>
              <w:widowControl w:val="0"/>
              <w:pBdr>
                <w:top w:val="nil"/>
                <w:left w:val="nil"/>
                <w:bottom w:val="nil"/>
                <w:right w:val="nil"/>
                <w:between w:val="nil"/>
              </w:pBdr>
              <w:jc w:val="right"/>
              <w:rPr>
                <w:color w:val="000000"/>
              </w:rPr>
            </w:pPr>
          </w:p>
        </w:tc>
        <w:tc>
          <w:tcPr>
            <w:tcW w:w="851" w:type="dxa"/>
          </w:tcPr>
          <w:p w14:paraId="0D49ED6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8253DD7" w14:textId="77777777" w:rsidR="008E5DE4" w:rsidRDefault="008E5DE4">
            <w:pPr>
              <w:widowControl w:val="0"/>
              <w:pBdr>
                <w:top w:val="nil"/>
                <w:left w:val="nil"/>
                <w:bottom w:val="nil"/>
                <w:right w:val="nil"/>
                <w:between w:val="nil"/>
              </w:pBdr>
              <w:jc w:val="right"/>
              <w:rPr>
                <w:color w:val="000000"/>
              </w:rPr>
            </w:pPr>
          </w:p>
        </w:tc>
      </w:tr>
      <w:tr w:rsidR="008E5DE4" w14:paraId="31B77F6B" w14:textId="77777777">
        <w:trPr>
          <w:cantSplit/>
          <w:trHeight w:val="169"/>
        </w:trPr>
        <w:tc>
          <w:tcPr>
            <w:tcW w:w="2552" w:type="dxa"/>
            <w:vAlign w:val="bottom"/>
          </w:tcPr>
          <w:p w14:paraId="744A65D4" w14:textId="77777777" w:rsidR="008E5DE4" w:rsidRDefault="00780368">
            <w:pPr>
              <w:widowControl w:val="0"/>
              <w:ind w:left="113" w:right="-57" w:hanging="113"/>
            </w:pPr>
            <w:r>
              <w:t>Changes to ECL measurement model assumptions</w:t>
            </w:r>
          </w:p>
        </w:tc>
        <w:tc>
          <w:tcPr>
            <w:tcW w:w="850" w:type="dxa"/>
            <w:vAlign w:val="bottom"/>
          </w:tcPr>
          <w:p w14:paraId="6531746B" w14:textId="77777777" w:rsidR="008E5DE4" w:rsidRDefault="008E5DE4">
            <w:pPr>
              <w:widowControl w:val="0"/>
              <w:ind w:left="113" w:right="-57" w:hanging="113"/>
            </w:pPr>
          </w:p>
        </w:tc>
        <w:tc>
          <w:tcPr>
            <w:tcW w:w="850" w:type="dxa"/>
            <w:vAlign w:val="bottom"/>
          </w:tcPr>
          <w:p w14:paraId="354C1732" w14:textId="77777777" w:rsidR="008E5DE4" w:rsidRDefault="008E5DE4">
            <w:pPr>
              <w:widowControl w:val="0"/>
              <w:ind w:left="113" w:right="-57" w:hanging="113"/>
            </w:pPr>
          </w:p>
        </w:tc>
        <w:tc>
          <w:tcPr>
            <w:tcW w:w="850" w:type="dxa"/>
            <w:vAlign w:val="bottom"/>
          </w:tcPr>
          <w:p w14:paraId="4322A956" w14:textId="77777777" w:rsidR="008E5DE4" w:rsidRDefault="008E5DE4">
            <w:pPr>
              <w:widowControl w:val="0"/>
              <w:ind w:left="113" w:right="-57" w:hanging="113"/>
            </w:pPr>
          </w:p>
        </w:tc>
        <w:tc>
          <w:tcPr>
            <w:tcW w:w="851" w:type="dxa"/>
            <w:vAlign w:val="bottom"/>
          </w:tcPr>
          <w:p w14:paraId="23C72FB8" w14:textId="77777777" w:rsidR="008E5DE4" w:rsidRDefault="008E5DE4">
            <w:pPr>
              <w:widowControl w:val="0"/>
              <w:ind w:left="113" w:right="-57" w:hanging="113"/>
            </w:pPr>
          </w:p>
        </w:tc>
        <w:tc>
          <w:tcPr>
            <w:tcW w:w="851" w:type="dxa"/>
          </w:tcPr>
          <w:p w14:paraId="2B7E79C4" w14:textId="77777777" w:rsidR="008E5DE4" w:rsidRDefault="008E5DE4">
            <w:pPr>
              <w:widowControl w:val="0"/>
              <w:pBdr>
                <w:top w:val="nil"/>
                <w:left w:val="nil"/>
                <w:bottom w:val="nil"/>
                <w:right w:val="nil"/>
                <w:between w:val="nil"/>
              </w:pBdr>
              <w:jc w:val="right"/>
              <w:rPr>
                <w:color w:val="000000"/>
              </w:rPr>
            </w:pPr>
          </w:p>
        </w:tc>
        <w:tc>
          <w:tcPr>
            <w:tcW w:w="851" w:type="dxa"/>
          </w:tcPr>
          <w:p w14:paraId="2E121877" w14:textId="77777777" w:rsidR="008E5DE4" w:rsidRDefault="008E5DE4">
            <w:pPr>
              <w:widowControl w:val="0"/>
              <w:pBdr>
                <w:top w:val="nil"/>
                <w:left w:val="nil"/>
                <w:bottom w:val="nil"/>
                <w:right w:val="nil"/>
                <w:between w:val="nil"/>
              </w:pBdr>
              <w:jc w:val="right"/>
              <w:rPr>
                <w:color w:val="000000"/>
              </w:rPr>
            </w:pPr>
          </w:p>
        </w:tc>
        <w:tc>
          <w:tcPr>
            <w:tcW w:w="851" w:type="dxa"/>
          </w:tcPr>
          <w:p w14:paraId="074152EB"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7016B1FF" w14:textId="77777777" w:rsidR="008E5DE4" w:rsidRDefault="008E5DE4">
            <w:pPr>
              <w:widowControl w:val="0"/>
              <w:pBdr>
                <w:top w:val="nil"/>
                <w:left w:val="nil"/>
                <w:bottom w:val="nil"/>
                <w:right w:val="nil"/>
                <w:between w:val="nil"/>
              </w:pBdr>
              <w:jc w:val="right"/>
              <w:rPr>
                <w:color w:val="000000"/>
              </w:rPr>
            </w:pPr>
          </w:p>
        </w:tc>
      </w:tr>
      <w:tr w:rsidR="008E5DE4" w14:paraId="4C2F9DDC" w14:textId="77777777">
        <w:trPr>
          <w:cantSplit/>
          <w:trHeight w:val="169"/>
        </w:trPr>
        <w:tc>
          <w:tcPr>
            <w:tcW w:w="2552" w:type="dxa"/>
            <w:vAlign w:val="bottom"/>
          </w:tcPr>
          <w:p w14:paraId="67A00868" w14:textId="77777777" w:rsidR="008E5DE4" w:rsidRDefault="00780368">
            <w:pPr>
              <w:widowControl w:val="0"/>
              <w:ind w:left="113" w:right="-57" w:hanging="113"/>
            </w:pPr>
            <w:r>
              <w:t xml:space="preserve">Unwinding of discount </w:t>
            </w:r>
          </w:p>
        </w:tc>
        <w:tc>
          <w:tcPr>
            <w:tcW w:w="850" w:type="dxa"/>
            <w:vAlign w:val="bottom"/>
          </w:tcPr>
          <w:p w14:paraId="016F6423" w14:textId="77777777" w:rsidR="008E5DE4" w:rsidRDefault="008E5DE4">
            <w:pPr>
              <w:widowControl w:val="0"/>
              <w:ind w:left="113" w:right="-57" w:hanging="113"/>
            </w:pPr>
          </w:p>
        </w:tc>
        <w:tc>
          <w:tcPr>
            <w:tcW w:w="850" w:type="dxa"/>
            <w:vAlign w:val="bottom"/>
          </w:tcPr>
          <w:p w14:paraId="29614AD6" w14:textId="77777777" w:rsidR="008E5DE4" w:rsidRDefault="008E5DE4">
            <w:pPr>
              <w:widowControl w:val="0"/>
              <w:ind w:left="113" w:right="-57" w:hanging="113"/>
            </w:pPr>
          </w:p>
        </w:tc>
        <w:tc>
          <w:tcPr>
            <w:tcW w:w="850" w:type="dxa"/>
            <w:vAlign w:val="bottom"/>
          </w:tcPr>
          <w:p w14:paraId="1480CF75" w14:textId="77777777" w:rsidR="008E5DE4" w:rsidRDefault="008E5DE4">
            <w:pPr>
              <w:widowControl w:val="0"/>
              <w:ind w:left="113" w:right="-57" w:hanging="113"/>
            </w:pPr>
          </w:p>
        </w:tc>
        <w:tc>
          <w:tcPr>
            <w:tcW w:w="851" w:type="dxa"/>
            <w:vAlign w:val="bottom"/>
          </w:tcPr>
          <w:p w14:paraId="2CA38712" w14:textId="77777777" w:rsidR="008E5DE4" w:rsidRDefault="008E5DE4">
            <w:pPr>
              <w:widowControl w:val="0"/>
              <w:ind w:left="113" w:right="-57" w:hanging="113"/>
            </w:pPr>
          </w:p>
        </w:tc>
        <w:tc>
          <w:tcPr>
            <w:tcW w:w="851" w:type="dxa"/>
          </w:tcPr>
          <w:p w14:paraId="18818B48" w14:textId="77777777" w:rsidR="008E5DE4" w:rsidRDefault="008E5DE4">
            <w:pPr>
              <w:widowControl w:val="0"/>
              <w:pBdr>
                <w:top w:val="nil"/>
                <w:left w:val="nil"/>
                <w:bottom w:val="nil"/>
                <w:right w:val="nil"/>
                <w:between w:val="nil"/>
              </w:pBdr>
              <w:jc w:val="right"/>
              <w:rPr>
                <w:color w:val="000000"/>
              </w:rPr>
            </w:pPr>
          </w:p>
        </w:tc>
        <w:tc>
          <w:tcPr>
            <w:tcW w:w="851" w:type="dxa"/>
          </w:tcPr>
          <w:p w14:paraId="3CC8FACC" w14:textId="77777777" w:rsidR="008E5DE4" w:rsidRDefault="008E5DE4">
            <w:pPr>
              <w:widowControl w:val="0"/>
              <w:pBdr>
                <w:top w:val="nil"/>
                <w:left w:val="nil"/>
                <w:bottom w:val="nil"/>
                <w:right w:val="nil"/>
                <w:between w:val="nil"/>
              </w:pBdr>
              <w:jc w:val="right"/>
              <w:rPr>
                <w:color w:val="000000"/>
              </w:rPr>
            </w:pPr>
          </w:p>
        </w:tc>
        <w:tc>
          <w:tcPr>
            <w:tcW w:w="851" w:type="dxa"/>
          </w:tcPr>
          <w:p w14:paraId="054A37B2"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0B475FB7" w14:textId="77777777" w:rsidR="008E5DE4" w:rsidRDefault="008E5DE4">
            <w:pPr>
              <w:widowControl w:val="0"/>
              <w:pBdr>
                <w:top w:val="nil"/>
                <w:left w:val="nil"/>
                <w:bottom w:val="nil"/>
                <w:right w:val="nil"/>
                <w:between w:val="nil"/>
              </w:pBdr>
              <w:jc w:val="right"/>
              <w:rPr>
                <w:color w:val="000000"/>
              </w:rPr>
            </w:pPr>
          </w:p>
        </w:tc>
      </w:tr>
      <w:tr w:rsidR="008E5DE4" w14:paraId="171665D2" w14:textId="77777777">
        <w:trPr>
          <w:cantSplit/>
          <w:trHeight w:val="169"/>
        </w:trPr>
        <w:tc>
          <w:tcPr>
            <w:tcW w:w="2552" w:type="dxa"/>
            <w:vAlign w:val="bottom"/>
          </w:tcPr>
          <w:p w14:paraId="59C7EB78" w14:textId="77777777" w:rsidR="008E5DE4" w:rsidRDefault="00780368">
            <w:pPr>
              <w:widowControl w:val="0"/>
              <w:ind w:left="113" w:right="-57" w:hanging="113"/>
            </w:pPr>
            <w:r>
              <w:t>Changes in accrued interest</w:t>
            </w:r>
          </w:p>
        </w:tc>
        <w:tc>
          <w:tcPr>
            <w:tcW w:w="850" w:type="dxa"/>
            <w:vAlign w:val="bottom"/>
          </w:tcPr>
          <w:p w14:paraId="65A13FAC" w14:textId="77777777" w:rsidR="008E5DE4" w:rsidRDefault="008E5DE4">
            <w:pPr>
              <w:widowControl w:val="0"/>
              <w:ind w:left="113" w:right="-57" w:hanging="113"/>
            </w:pPr>
          </w:p>
        </w:tc>
        <w:tc>
          <w:tcPr>
            <w:tcW w:w="850" w:type="dxa"/>
            <w:vAlign w:val="bottom"/>
          </w:tcPr>
          <w:p w14:paraId="76148498" w14:textId="77777777" w:rsidR="008E5DE4" w:rsidRDefault="008E5DE4">
            <w:pPr>
              <w:widowControl w:val="0"/>
              <w:ind w:left="113" w:right="-57" w:hanging="113"/>
            </w:pPr>
          </w:p>
        </w:tc>
        <w:tc>
          <w:tcPr>
            <w:tcW w:w="850" w:type="dxa"/>
            <w:vAlign w:val="bottom"/>
          </w:tcPr>
          <w:p w14:paraId="0C2FB6A1" w14:textId="77777777" w:rsidR="008E5DE4" w:rsidRDefault="008E5DE4">
            <w:pPr>
              <w:widowControl w:val="0"/>
              <w:ind w:left="113" w:right="-57" w:hanging="113"/>
            </w:pPr>
          </w:p>
        </w:tc>
        <w:tc>
          <w:tcPr>
            <w:tcW w:w="851" w:type="dxa"/>
            <w:vAlign w:val="bottom"/>
          </w:tcPr>
          <w:p w14:paraId="1D7DF843" w14:textId="77777777" w:rsidR="008E5DE4" w:rsidRDefault="008E5DE4">
            <w:pPr>
              <w:widowControl w:val="0"/>
              <w:ind w:left="113" w:right="-57" w:hanging="113"/>
            </w:pPr>
          </w:p>
        </w:tc>
        <w:tc>
          <w:tcPr>
            <w:tcW w:w="851" w:type="dxa"/>
          </w:tcPr>
          <w:p w14:paraId="04A9D78B" w14:textId="77777777" w:rsidR="008E5DE4" w:rsidRDefault="008E5DE4">
            <w:pPr>
              <w:widowControl w:val="0"/>
              <w:pBdr>
                <w:top w:val="nil"/>
                <w:left w:val="nil"/>
                <w:bottom w:val="nil"/>
                <w:right w:val="nil"/>
                <w:between w:val="nil"/>
              </w:pBdr>
              <w:jc w:val="right"/>
              <w:rPr>
                <w:color w:val="000000"/>
              </w:rPr>
            </w:pPr>
          </w:p>
        </w:tc>
        <w:tc>
          <w:tcPr>
            <w:tcW w:w="851" w:type="dxa"/>
          </w:tcPr>
          <w:p w14:paraId="02BEA1A1" w14:textId="77777777" w:rsidR="008E5DE4" w:rsidRDefault="008E5DE4">
            <w:pPr>
              <w:widowControl w:val="0"/>
              <w:pBdr>
                <w:top w:val="nil"/>
                <w:left w:val="nil"/>
                <w:bottom w:val="nil"/>
                <w:right w:val="nil"/>
                <w:between w:val="nil"/>
              </w:pBdr>
              <w:jc w:val="right"/>
              <w:rPr>
                <w:color w:val="000000"/>
              </w:rPr>
            </w:pPr>
          </w:p>
        </w:tc>
        <w:tc>
          <w:tcPr>
            <w:tcW w:w="851" w:type="dxa"/>
          </w:tcPr>
          <w:p w14:paraId="664B3E74"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6FA7E558" w14:textId="77777777" w:rsidR="008E5DE4" w:rsidRDefault="008E5DE4">
            <w:pPr>
              <w:widowControl w:val="0"/>
              <w:pBdr>
                <w:top w:val="nil"/>
                <w:left w:val="nil"/>
                <w:bottom w:val="nil"/>
                <w:right w:val="nil"/>
                <w:between w:val="nil"/>
              </w:pBdr>
              <w:jc w:val="right"/>
              <w:rPr>
                <w:color w:val="000000"/>
              </w:rPr>
            </w:pPr>
          </w:p>
        </w:tc>
      </w:tr>
      <w:tr w:rsidR="008E5DE4" w14:paraId="65666C4F" w14:textId="77777777">
        <w:trPr>
          <w:cantSplit/>
          <w:trHeight w:val="169"/>
        </w:trPr>
        <w:tc>
          <w:tcPr>
            <w:tcW w:w="2552" w:type="dxa"/>
            <w:vAlign w:val="bottom"/>
          </w:tcPr>
          <w:p w14:paraId="514CDEB6" w14:textId="77777777" w:rsidR="008E5DE4" w:rsidRDefault="00780368">
            <w:pPr>
              <w:widowControl w:val="0"/>
              <w:ind w:left="113" w:right="-57" w:hanging="113"/>
            </w:pPr>
            <w:r>
              <w:t>Other movements</w:t>
            </w:r>
          </w:p>
        </w:tc>
        <w:tc>
          <w:tcPr>
            <w:tcW w:w="850" w:type="dxa"/>
            <w:vAlign w:val="bottom"/>
          </w:tcPr>
          <w:p w14:paraId="0D08D984" w14:textId="77777777" w:rsidR="008E5DE4" w:rsidRDefault="008E5DE4">
            <w:pPr>
              <w:widowControl w:val="0"/>
              <w:ind w:left="113" w:right="-57" w:hanging="113"/>
            </w:pPr>
          </w:p>
        </w:tc>
        <w:tc>
          <w:tcPr>
            <w:tcW w:w="850" w:type="dxa"/>
            <w:vAlign w:val="bottom"/>
          </w:tcPr>
          <w:p w14:paraId="278D57EC" w14:textId="77777777" w:rsidR="008E5DE4" w:rsidRDefault="008E5DE4">
            <w:pPr>
              <w:widowControl w:val="0"/>
              <w:ind w:left="113" w:right="-57" w:hanging="113"/>
            </w:pPr>
          </w:p>
        </w:tc>
        <w:tc>
          <w:tcPr>
            <w:tcW w:w="850" w:type="dxa"/>
            <w:vAlign w:val="bottom"/>
          </w:tcPr>
          <w:p w14:paraId="7472D0B3" w14:textId="77777777" w:rsidR="008E5DE4" w:rsidRDefault="008E5DE4">
            <w:pPr>
              <w:widowControl w:val="0"/>
              <w:ind w:left="113" w:right="-57" w:hanging="113"/>
            </w:pPr>
          </w:p>
        </w:tc>
        <w:tc>
          <w:tcPr>
            <w:tcW w:w="851" w:type="dxa"/>
            <w:vAlign w:val="bottom"/>
          </w:tcPr>
          <w:p w14:paraId="73BD464E" w14:textId="77777777" w:rsidR="008E5DE4" w:rsidRDefault="008E5DE4">
            <w:pPr>
              <w:widowControl w:val="0"/>
              <w:ind w:left="113" w:right="-57" w:hanging="113"/>
            </w:pPr>
          </w:p>
        </w:tc>
        <w:tc>
          <w:tcPr>
            <w:tcW w:w="851" w:type="dxa"/>
          </w:tcPr>
          <w:p w14:paraId="3F3F121A" w14:textId="77777777" w:rsidR="008E5DE4" w:rsidRDefault="008E5DE4">
            <w:pPr>
              <w:widowControl w:val="0"/>
              <w:pBdr>
                <w:top w:val="nil"/>
                <w:left w:val="nil"/>
                <w:bottom w:val="nil"/>
                <w:right w:val="nil"/>
                <w:between w:val="nil"/>
              </w:pBdr>
              <w:jc w:val="right"/>
              <w:rPr>
                <w:color w:val="000000"/>
              </w:rPr>
            </w:pPr>
          </w:p>
        </w:tc>
        <w:tc>
          <w:tcPr>
            <w:tcW w:w="851" w:type="dxa"/>
          </w:tcPr>
          <w:p w14:paraId="71A63B58" w14:textId="77777777" w:rsidR="008E5DE4" w:rsidRDefault="008E5DE4">
            <w:pPr>
              <w:widowControl w:val="0"/>
              <w:pBdr>
                <w:top w:val="nil"/>
                <w:left w:val="nil"/>
                <w:bottom w:val="nil"/>
                <w:right w:val="nil"/>
                <w:between w:val="nil"/>
              </w:pBdr>
              <w:jc w:val="right"/>
              <w:rPr>
                <w:color w:val="000000"/>
              </w:rPr>
            </w:pPr>
          </w:p>
        </w:tc>
        <w:tc>
          <w:tcPr>
            <w:tcW w:w="851" w:type="dxa"/>
          </w:tcPr>
          <w:p w14:paraId="113F9F40"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0CD0C87" w14:textId="77777777" w:rsidR="008E5DE4" w:rsidRDefault="008E5DE4">
            <w:pPr>
              <w:widowControl w:val="0"/>
              <w:pBdr>
                <w:top w:val="nil"/>
                <w:left w:val="nil"/>
                <w:bottom w:val="nil"/>
                <w:right w:val="nil"/>
                <w:between w:val="nil"/>
              </w:pBdr>
              <w:jc w:val="right"/>
              <w:rPr>
                <w:color w:val="000000"/>
              </w:rPr>
            </w:pPr>
          </w:p>
        </w:tc>
      </w:tr>
      <w:tr w:rsidR="008E5DE4" w14:paraId="68D6A876" w14:textId="77777777">
        <w:trPr>
          <w:cantSplit/>
          <w:trHeight w:val="169"/>
        </w:trPr>
        <w:tc>
          <w:tcPr>
            <w:tcW w:w="2552" w:type="dxa"/>
            <w:tcBorders>
              <w:bottom w:val="single" w:sz="4" w:space="0" w:color="000000"/>
            </w:tcBorders>
            <w:vAlign w:val="bottom"/>
          </w:tcPr>
          <w:p w14:paraId="255607AA" w14:textId="77777777" w:rsidR="008E5DE4" w:rsidRDefault="008E5DE4">
            <w:pPr>
              <w:widowControl w:val="0"/>
              <w:ind w:left="113" w:right="-57" w:hanging="113"/>
            </w:pPr>
          </w:p>
        </w:tc>
        <w:tc>
          <w:tcPr>
            <w:tcW w:w="850" w:type="dxa"/>
            <w:tcBorders>
              <w:bottom w:val="single" w:sz="4" w:space="0" w:color="000000"/>
            </w:tcBorders>
            <w:vAlign w:val="bottom"/>
          </w:tcPr>
          <w:p w14:paraId="7070CCFC" w14:textId="77777777" w:rsidR="008E5DE4" w:rsidRDefault="008E5DE4">
            <w:pPr>
              <w:widowControl w:val="0"/>
              <w:ind w:left="113" w:right="-57" w:hanging="113"/>
            </w:pPr>
          </w:p>
        </w:tc>
        <w:tc>
          <w:tcPr>
            <w:tcW w:w="850" w:type="dxa"/>
            <w:tcBorders>
              <w:bottom w:val="single" w:sz="4" w:space="0" w:color="000000"/>
            </w:tcBorders>
            <w:vAlign w:val="bottom"/>
          </w:tcPr>
          <w:p w14:paraId="3274E3A6" w14:textId="77777777" w:rsidR="008E5DE4" w:rsidRDefault="008E5DE4">
            <w:pPr>
              <w:widowControl w:val="0"/>
              <w:ind w:left="113" w:right="-57" w:hanging="113"/>
            </w:pPr>
          </w:p>
        </w:tc>
        <w:tc>
          <w:tcPr>
            <w:tcW w:w="850" w:type="dxa"/>
            <w:tcBorders>
              <w:bottom w:val="single" w:sz="4" w:space="0" w:color="000000"/>
            </w:tcBorders>
            <w:vAlign w:val="bottom"/>
          </w:tcPr>
          <w:p w14:paraId="494E13C6" w14:textId="77777777" w:rsidR="008E5DE4" w:rsidRDefault="008E5DE4">
            <w:pPr>
              <w:widowControl w:val="0"/>
              <w:ind w:left="113" w:right="-57" w:hanging="113"/>
            </w:pPr>
          </w:p>
        </w:tc>
        <w:tc>
          <w:tcPr>
            <w:tcW w:w="851" w:type="dxa"/>
            <w:tcBorders>
              <w:bottom w:val="single" w:sz="4" w:space="0" w:color="000000"/>
            </w:tcBorders>
            <w:vAlign w:val="bottom"/>
          </w:tcPr>
          <w:p w14:paraId="53595CCF" w14:textId="77777777" w:rsidR="008E5DE4" w:rsidRDefault="008E5DE4">
            <w:pPr>
              <w:widowControl w:val="0"/>
              <w:ind w:left="113" w:right="-57" w:hanging="113"/>
            </w:pPr>
          </w:p>
        </w:tc>
        <w:tc>
          <w:tcPr>
            <w:tcW w:w="851" w:type="dxa"/>
            <w:tcBorders>
              <w:bottom w:val="single" w:sz="4" w:space="0" w:color="000000"/>
            </w:tcBorders>
          </w:tcPr>
          <w:p w14:paraId="264A4EC9"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tcPr>
          <w:p w14:paraId="0BBD49D8"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tcPr>
          <w:p w14:paraId="77C68841"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16662CF0" w14:textId="77777777" w:rsidR="008E5DE4" w:rsidRDefault="008E5DE4">
            <w:pPr>
              <w:widowControl w:val="0"/>
              <w:pBdr>
                <w:top w:val="nil"/>
                <w:left w:val="nil"/>
                <w:bottom w:val="nil"/>
                <w:right w:val="nil"/>
                <w:between w:val="nil"/>
              </w:pBdr>
              <w:jc w:val="right"/>
              <w:rPr>
                <w:color w:val="000000"/>
              </w:rPr>
            </w:pPr>
          </w:p>
        </w:tc>
      </w:tr>
      <w:tr w:rsidR="008E5DE4" w14:paraId="44A15CB6" w14:textId="77777777">
        <w:trPr>
          <w:cantSplit/>
          <w:trHeight w:val="169"/>
        </w:trPr>
        <w:tc>
          <w:tcPr>
            <w:tcW w:w="2552" w:type="dxa"/>
            <w:tcBorders>
              <w:top w:val="single" w:sz="4" w:space="0" w:color="000000"/>
            </w:tcBorders>
            <w:vAlign w:val="bottom"/>
          </w:tcPr>
          <w:p w14:paraId="0E099654" w14:textId="77777777" w:rsidR="008E5DE4" w:rsidRDefault="008E5DE4">
            <w:pPr>
              <w:widowControl w:val="0"/>
              <w:ind w:left="113" w:right="-57" w:hanging="113"/>
            </w:pPr>
          </w:p>
        </w:tc>
        <w:tc>
          <w:tcPr>
            <w:tcW w:w="850" w:type="dxa"/>
            <w:tcBorders>
              <w:top w:val="single" w:sz="4" w:space="0" w:color="000000"/>
            </w:tcBorders>
            <w:vAlign w:val="bottom"/>
          </w:tcPr>
          <w:p w14:paraId="20D8D7BB" w14:textId="77777777" w:rsidR="008E5DE4" w:rsidRDefault="008E5DE4">
            <w:pPr>
              <w:widowControl w:val="0"/>
              <w:ind w:left="113" w:right="-57" w:hanging="113"/>
            </w:pPr>
          </w:p>
        </w:tc>
        <w:tc>
          <w:tcPr>
            <w:tcW w:w="850" w:type="dxa"/>
            <w:tcBorders>
              <w:top w:val="single" w:sz="4" w:space="0" w:color="000000"/>
            </w:tcBorders>
            <w:vAlign w:val="bottom"/>
          </w:tcPr>
          <w:p w14:paraId="39D8D1CA" w14:textId="77777777" w:rsidR="008E5DE4" w:rsidRDefault="008E5DE4">
            <w:pPr>
              <w:widowControl w:val="0"/>
              <w:ind w:left="113" w:right="-57" w:hanging="113"/>
            </w:pPr>
          </w:p>
        </w:tc>
        <w:tc>
          <w:tcPr>
            <w:tcW w:w="850" w:type="dxa"/>
            <w:tcBorders>
              <w:top w:val="single" w:sz="4" w:space="0" w:color="000000"/>
            </w:tcBorders>
            <w:vAlign w:val="bottom"/>
          </w:tcPr>
          <w:p w14:paraId="4DF4F658" w14:textId="77777777" w:rsidR="008E5DE4" w:rsidRDefault="008E5DE4">
            <w:pPr>
              <w:widowControl w:val="0"/>
              <w:ind w:left="113" w:right="-57" w:hanging="113"/>
            </w:pPr>
          </w:p>
        </w:tc>
        <w:tc>
          <w:tcPr>
            <w:tcW w:w="851" w:type="dxa"/>
            <w:tcBorders>
              <w:top w:val="single" w:sz="4" w:space="0" w:color="000000"/>
            </w:tcBorders>
            <w:vAlign w:val="bottom"/>
          </w:tcPr>
          <w:p w14:paraId="499B5E24" w14:textId="77777777" w:rsidR="008E5DE4" w:rsidRDefault="008E5DE4">
            <w:pPr>
              <w:widowControl w:val="0"/>
              <w:ind w:left="113" w:right="-57" w:hanging="113"/>
            </w:pPr>
          </w:p>
        </w:tc>
        <w:tc>
          <w:tcPr>
            <w:tcW w:w="851" w:type="dxa"/>
            <w:tcBorders>
              <w:top w:val="single" w:sz="4" w:space="0" w:color="000000"/>
            </w:tcBorders>
          </w:tcPr>
          <w:p w14:paraId="6877728D"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49728581"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4978907C"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314BD118" w14:textId="77777777" w:rsidR="008E5DE4" w:rsidRDefault="008E5DE4">
            <w:pPr>
              <w:widowControl w:val="0"/>
              <w:pBdr>
                <w:top w:val="nil"/>
                <w:left w:val="nil"/>
                <w:bottom w:val="nil"/>
                <w:right w:val="nil"/>
                <w:between w:val="nil"/>
              </w:pBdr>
              <w:jc w:val="right"/>
              <w:rPr>
                <w:color w:val="000000"/>
              </w:rPr>
            </w:pPr>
          </w:p>
        </w:tc>
      </w:tr>
      <w:tr w:rsidR="008E5DE4" w14:paraId="1FE0B041" w14:textId="77777777">
        <w:trPr>
          <w:cantSplit/>
          <w:trHeight w:val="169"/>
        </w:trPr>
        <w:tc>
          <w:tcPr>
            <w:tcW w:w="2552" w:type="dxa"/>
            <w:vAlign w:val="bottom"/>
          </w:tcPr>
          <w:p w14:paraId="7D6E8788" w14:textId="77777777" w:rsidR="008E5DE4" w:rsidRDefault="00780368">
            <w:pPr>
              <w:widowControl w:val="0"/>
              <w:ind w:left="113" w:right="-57" w:hanging="113"/>
              <w:rPr>
                <w:b/>
              </w:rPr>
            </w:pPr>
            <w:r>
              <w:rPr>
                <w:b/>
              </w:rPr>
              <w:t>Total movements with impact on credit loss allowance charge for the period</w:t>
            </w:r>
          </w:p>
        </w:tc>
        <w:tc>
          <w:tcPr>
            <w:tcW w:w="850" w:type="dxa"/>
            <w:vAlign w:val="bottom"/>
          </w:tcPr>
          <w:p w14:paraId="14526F4F" w14:textId="77777777" w:rsidR="008E5DE4" w:rsidRDefault="008E5DE4">
            <w:pPr>
              <w:widowControl w:val="0"/>
              <w:ind w:left="113" w:right="-57" w:hanging="113"/>
              <w:rPr>
                <w:b/>
              </w:rPr>
            </w:pPr>
          </w:p>
        </w:tc>
        <w:tc>
          <w:tcPr>
            <w:tcW w:w="850" w:type="dxa"/>
            <w:vAlign w:val="bottom"/>
          </w:tcPr>
          <w:p w14:paraId="3984E9C3" w14:textId="77777777" w:rsidR="008E5DE4" w:rsidRDefault="008E5DE4">
            <w:pPr>
              <w:widowControl w:val="0"/>
              <w:ind w:left="113" w:right="-57" w:hanging="113"/>
              <w:rPr>
                <w:b/>
              </w:rPr>
            </w:pPr>
          </w:p>
        </w:tc>
        <w:tc>
          <w:tcPr>
            <w:tcW w:w="850" w:type="dxa"/>
            <w:vAlign w:val="bottom"/>
          </w:tcPr>
          <w:p w14:paraId="3B08C34B" w14:textId="77777777" w:rsidR="008E5DE4" w:rsidRDefault="008E5DE4">
            <w:pPr>
              <w:widowControl w:val="0"/>
              <w:ind w:left="113" w:right="-57" w:hanging="113"/>
              <w:rPr>
                <w:b/>
              </w:rPr>
            </w:pPr>
          </w:p>
        </w:tc>
        <w:tc>
          <w:tcPr>
            <w:tcW w:w="851" w:type="dxa"/>
            <w:vAlign w:val="bottom"/>
          </w:tcPr>
          <w:p w14:paraId="5A38EBD6" w14:textId="77777777" w:rsidR="008E5DE4" w:rsidRDefault="008E5DE4">
            <w:pPr>
              <w:widowControl w:val="0"/>
              <w:ind w:left="113" w:right="-57" w:hanging="113"/>
              <w:rPr>
                <w:b/>
              </w:rPr>
            </w:pPr>
          </w:p>
        </w:tc>
        <w:tc>
          <w:tcPr>
            <w:tcW w:w="851" w:type="dxa"/>
          </w:tcPr>
          <w:p w14:paraId="54BC578B" w14:textId="77777777" w:rsidR="008E5DE4" w:rsidRDefault="008E5DE4">
            <w:pPr>
              <w:widowControl w:val="0"/>
              <w:pBdr>
                <w:top w:val="nil"/>
                <w:left w:val="nil"/>
                <w:bottom w:val="nil"/>
                <w:right w:val="nil"/>
                <w:between w:val="nil"/>
              </w:pBdr>
              <w:jc w:val="right"/>
              <w:rPr>
                <w:b/>
                <w:color w:val="000000"/>
              </w:rPr>
            </w:pPr>
          </w:p>
        </w:tc>
        <w:tc>
          <w:tcPr>
            <w:tcW w:w="851" w:type="dxa"/>
          </w:tcPr>
          <w:p w14:paraId="5877516D" w14:textId="77777777" w:rsidR="008E5DE4" w:rsidRDefault="008E5DE4">
            <w:pPr>
              <w:widowControl w:val="0"/>
              <w:pBdr>
                <w:top w:val="nil"/>
                <w:left w:val="nil"/>
                <w:bottom w:val="nil"/>
                <w:right w:val="nil"/>
                <w:between w:val="nil"/>
              </w:pBdr>
              <w:jc w:val="right"/>
              <w:rPr>
                <w:b/>
                <w:color w:val="000000"/>
              </w:rPr>
            </w:pPr>
          </w:p>
        </w:tc>
        <w:tc>
          <w:tcPr>
            <w:tcW w:w="851" w:type="dxa"/>
          </w:tcPr>
          <w:p w14:paraId="747BABF2" w14:textId="77777777" w:rsidR="008E5DE4" w:rsidRDefault="008E5DE4">
            <w:pPr>
              <w:widowControl w:val="0"/>
              <w:pBdr>
                <w:top w:val="nil"/>
                <w:left w:val="nil"/>
                <w:bottom w:val="nil"/>
                <w:right w:val="nil"/>
                <w:between w:val="nil"/>
              </w:pBdr>
              <w:jc w:val="right"/>
              <w:rPr>
                <w:b/>
                <w:color w:val="000000"/>
              </w:rPr>
            </w:pPr>
          </w:p>
        </w:tc>
        <w:tc>
          <w:tcPr>
            <w:tcW w:w="851" w:type="dxa"/>
            <w:vAlign w:val="bottom"/>
          </w:tcPr>
          <w:p w14:paraId="47804B97" w14:textId="77777777" w:rsidR="008E5DE4" w:rsidRDefault="008E5DE4">
            <w:pPr>
              <w:widowControl w:val="0"/>
              <w:pBdr>
                <w:top w:val="nil"/>
                <w:left w:val="nil"/>
                <w:bottom w:val="nil"/>
                <w:right w:val="nil"/>
                <w:between w:val="nil"/>
              </w:pBdr>
              <w:jc w:val="right"/>
              <w:rPr>
                <w:b/>
                <w:color w:val="000000"/>
              </w:rPr>
            </w:pPr>
          </w:p>
        </w:tc>
      </w:tr>
      <w:tr w:rsidR="008E5DE4" w14:paraId="747D9C11" w14:textId="77777777">
        <w:trPr>
          <w:cantSplit/>
          <w:trHeight w:val="169"/>
        </w:trPr>
        <w:tc>
          <w:tcPr>
            <w:tcW w:w="2552" w:type="dxa"/>
            <w:tcBorders>
              <w:bottom w:val="single" w:sz="12" w:space="0" w:color="000000"/>
            </w:tcBorders>
            <w:vAlign w:val="bottom"/>
          </w:tcPr>
          <w:p w14:paraId="09D683A2" w14:textId="77777777" w:rsidR="008E5DE4" w:rsidRDefault="008E5DE4">
            <w:pPr>
              <w:widowControl w:val="0"/>
              <w:ind w:left="113" w:right="-57" w:hanging="113"/>
            </w:pPr>
          </w:p>
        </w:tc>
        <w:tc>
          <w:tcPr>
            <w:tcW w:w="850" w:type="dxa"/>
            <w:tcBorders>
              <w:bottom w:val="single" w:sz="12" w:space="0" w:color="000000"/>
            </w:tcBorders>
            <w:vAlign w:val="bottom"/>
          </w:tcPr>
          <w:p w14:paraId="0584A569" w14:textId="77777777" w:rsidR="008E5DE4" w:rsidRDefault="008E5DE4">
            <w:pPr>
              <w:widowControl w:val="0"/>
              <w:ind w:left="113" w:right="-57" w:hanging="113"/>
            </w:pPr>
          </w:p>
        </w:tc>
        <w:tc>
          <w:tcPr>
            <w:tcW w:w="850" w:type="dxa"/>
            <w:tcBorders>
              <w:bottom w:val="single" w:sz="12" w:space="0" w:color="000000"/>
            </w:tcBorders>
            <w:vAlign w:val="bottom"/>
          </w:tcPr>
          <w:p w14:paraId="4CCA7287" w14:textId="77777777" w:rsidR="008E5DE4" w:rsidRDefault="008E5DE4">
            <w:pPr>
              <w:widowControl w:val="0"/>
              <w:ind w:left="113" w:right="-57" w:hanging="113"/>
            </w:pPr>
          </w:p>
        </w:tc>
        <w:tc>
          <w:tcPr>
            <w:tcW w:w="850" w:type="dxa"/>
            <w:tcBorders>
              <w:bottom w:val="single" w:sz="12" w:space="0" w:color="000000"/>
            </w:tcBorders>
            <w:vAlign w:val="bottom"/>
          </w:tcPr>
          <w:p w14:paraId="0D988687" w14:textId="77777777" w:rsidR="008E5DE4" w:rsidRDefault="008E5DE4">
            <w:pPr>
              <w:widowControl w:val="0"/>
              <w:ind w:left="113" w:right="-57" w:hanging="113"/>
            </w:pPr>
          </w:p>
        </w:tc>
        <w:tc>
          <w:tcPr>
            <w:tcW w:w="851" w:type="dxa"/>
            <w:tcBorders>
              <w:bottom w:val="single" w:sz="12" w:space="0" w:color="000000"/>
            </w:tcBorders>
            <w:vAlign w:val="bottom"/>
          </w:tcPr>
          <w:p w14:paraId="2F6DA895" w14:textId="77777777" w:rsidR="008E5DE4" w:rsidRDefault="008E5DE4">
            <w:pPr>
              <w:widowControl w:val="0"/>
              <w:ind w:left="113" w:right="-57" w:hanging="113"/>
            </w:pPr>
          </w:p>
        </w:tc>
        <w:tc>
          <w:tcPr>
            <w:tcW w:w="851" w:type="dxa"/>
            <w:tcBorders>
              <w:bottom w:val="single" w:sz="12" w:space="0" w:color="000000"/>
            </w:tcBorders>
          </w:tcPr>
          <w:p w14:paraId="1CE9372B"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39F63AB2"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3636A2D8"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69120CB0" w14:textId="77777777" w:rsidR="008E5DE4" w:rsidRDefault="008E5DE4">
            <w:pPr>
              <w:widowControl w:val="0"/>
              <w:pBdr>
                <w:top w:val="nil"/>
                <w:left w:val="nil"/>
                <w:bottom w:val="nil"/>
                <w:right w:val="nil"/>
                <w:between w:val="nil"/>
              </w:pBdr>
              <w:jc w:val="right"/>
              <w:rPr>
                <w:color w:val="000000"/>
              </w:rPr>
            </w:pPr>
          </w:p>
        </w:tc>
      </w:tr>
      <w:tr w:rsidR="008E5DE4" w14:paraId="160C9E92" w14:textId="77777777">
        <w:trPr>
          <w:cantSplit/>
          <w:trHeight w:val="169"/>
        </w:trPr>
        <w:tc>
          <w:tcPr>
            <w:tcW w:w="2552" w:type="dxa"/>
            <w:tcBorders>
              <w:top w:val="single" w:sz="12" w:space="0" w:color="000000"/>
            </w:tcBorders>
            <w:vAlign w:val="bottom"/>
          </w:tcPr>
          <w:p w14:paraId="11D93A1B" w14:textId="77777777" w:rsidR="008E5DE4" w:rsidRDefault="008E5DE4">
            <w:pPr>
              <w:widowControl w:val="0"/>
              <w:ind w:left="113" w:right="-57" w:hanging="113"/>
            </w:pPr>
          </w:p>
        </w:tc>
        <w:tc>
          <w:tcPr>
            <w:tcW w:w="850" w:type="dxa"/>
            <w:tcBorders>
              <w:top w:val="single" w:sz="12" w:space="0" w:color="000000"/>
            </w:tcBorders>
            <w:vAlign w:val="bottom"/>
          </w:tcPr>
          <w:p w14:paraId="5596D016" w14:textId="77777777" w:rsidR="008E5DE4" w:rsidRDefault="008E5DE4">
            <w:pPr>
              <w:widowControl w:val="0"/>
              <w:ind w:left="113" w:right="-57" w:hanging="113"/>
            </w:pPr>
          </w:p>
        </w:tc>
        <w:tc>
          <w:tcPr>
            <w:tcW w:w="850" w:type="dxa"/>
            <w:tcBorders>
              <w:top w:val="single" w:sz="12" w:space="0" w:color="000000"/>
            </w:tcBorders>
            <w:vAlign w:val="bottom"/>
          </w:tcPr>
          <w:p w14:paraId="15B9B143" w14:textId="77777777" w:rsidR="008E5DE4" w:rsidRDefault="008E5DE4">
            <w:pPr>
              <w:widowControl w:val="0"/>
              <w:ind w:left="113" w:right="-57" w:hanging="113"/>
            </w:pPr>
          </w:p>
        </w:tc>
        <w:tc>
          <w:tcPr>
            <w:tcW w:w="850" w:type="dxa"/>
            <w:tcBorders>
              <w:top w:val="single" w:sz="12" w:space="0" w:color="000000"/>
            </w:tcBorders>
            <w:vAlign w:val="bottom"/>
          </w:tcPr>
          <w:p w14:paraId="0FD225F1" w14:textId="77777777" w:rsidR="008E5DE4" w:rsidRDefault="008E5DE4">
            <w:pPr>
              <w:widowControl w:val="0"/>
              <w:ind w:left="113" w:right="-57" w:hanging="113"/>
            </w:pPr>
          </w:p>
        </w:tc>
        <w:tc>
          <w:tcPr>
            <w:tcW w:w="851" w:type="dxa"/>
            <w:tcBorders>
              <w:top w:val="single" w:sz="12" w:space="0" w:color="000000"/>
            </w:tcBorders>
            <w:vAlign w:val="bottom"/>
          </w:tcPr>
          <w:p w14:paraId="0C0656C9" w14:textId="77777777" w:rsidR="008E5DE4" w:rsidRDefault="008E5DE4">
            <w:pPr>
              <w:widowControl w:val="0"/>
              <w:ind w:left="113" w:right="-57" w:hanging="113"/>
            </w:pPr>
          </w:p>
        </w:tc>
        <w:tc>
          <w:tcPr>
            <w:tcW w:w="851" w:type="dxa"/>
            <w:tcBorders>
              <w:top w:val="single" w:sz="12" w:space="0" w:color="000000"/>
            </w:tcBorders>
          </w:tcPr>
          <w:p w14:paraId="6A3C1464"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tcPr>
          <w:p w14:paraId="1DE72316"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tcPr>
          <w:p w14:paraId="4739C5E7"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12" w:space="0" w:color="000000"/>
            </w:tcBorders>
            <w:vAlign w:val="bottom"/>
          </w:tcPr>
          <w:p w14:paraId="0E6A10A1" w14:textId="77777777" w:rsidR="008E5DE4" w:rsidRDefault="008E5DE4">
            <w:pPr>
              <w:widowControl w:val="0"/>
              <w:pBdr>
                <w:top w:val="nil"/>
                <w:left w:val="nil"/>
                <w:bottom w:val="nil"/>
                <w:right w:val="nil"/>
                <w:between w:val="nil"/>
              </w:pBdr>
              <w:jc w:val="right"/>
              <w:rPr>
                <w:color w:val="000000"/>
              </w:rPr>
            </w:pPr>
          </w:p>
        </w:tc>
      </w:tr>
      <w:tr w:rsidR="008E5DE4" w14:paraId="1BBFB279" w14:textId="77777777">
        <w:trPr>
          <w:cantSplit/>
          <w:trHeight w:val="169"/>
        </w:trPr>
        <w:tc>
          <w:tcPr>
            <w:tcW w:w="2552" w:type="dxa"/>
            <w:vAlign w:val="bottom"/>
          </w:tcPr>
          <w:p w14:paraId="7D2C15B6" w14:textId="77777777" w:rsidR="008E5DE4" w:rsidRDefault="00780368">
            <w:pPr>
              <w:widowControl w:val="0"/>
              <w:ind w:left="113" w:right="-57" w:hanging="113"/>
            </w:pPr>
            <w:r>
              <w:t>Movements without impact on credit loss allowance charge for the period:</w:t>
            </w:r>
          </w:p>
          <w:p w14:paraId="1F49DCAF" w14:textId="77777777" w:rsidR="008E5DE4" w:rsidRDefault="008E5DE4">
            <w:pPr>
              <w:widowControl w:val="0"/>
              <w:ind w:left="113" w:right="-57" w:hanging="113"/>
            </w:pPr>
          </w:p>
        </w:tc>
        <w:tc>
          <w:tcPr>
            <w:tcW w:w="850" w:type="dxa"/>
            <w:vAlign w:val="bottom"/>
          </w:tcPr>
          <w:p w14:paraId="6FA3D8E6" w14:textId="77777777" w:rsidR="008E5DE4" w:rsidRDefault="008E5DE4">
            <w:pPr>
              <w:widowControl w:val="0"/>
              <w:ind w:left="113" w:right="-57" w:hanging="113"/>
            </w:pPr>
          </w:p>
        </w:tc>
        <w:tc>
          <w:tcPr>
            <w:tcW w:w="850" w:type="dxa"/>
            <w:vAlign w:val="bottom"/>
          </w:tcPr>
          <w:p w14:paraId="7BC4D9A6" w14:textId="77777777" w:rsidR="008E5DE4" w:rsidRDefault="008E5DE4">
            <w:pPr>
              <w:widowControl w:val="0"/>
              <w:ind w:left="113" w:right="-57" w:hanging="113"/>
            </w:pPr>
          </w:p>
        </w:tc>
        <w:tc>
          <w:tcPr>
            <w:tcW w:w="850" w:type="dxa"/>
            <w:vAlign w:val="bottom"/>
          </w:tcPr>
          <w:p w14:paraId="49DEBD4D" w14:textId="77777777" w:rsidR="008E5DE4" w:rsidRDefault="008E5DE4">
            <w:pPr>
              <w:widowControl w:val="0"/>
              <w:ind w:left="113" w:right="-57" w:hanging="113"/>
            </w:pPr>
          </w:p>
        </w:tc>
        <w:tc>
          <w:tcPr>
            <w:tcW w:w="851" w:type="dxa"/>
            <w:vAlign w:val="bottom"/>
          </w:tcPr>
          <w:p w14:paraId="01110087" w14:textId="77777777" w:rsidR="008E5DE4" w:rsidRDefault="008E5DE4">
            <w:pPr>
              <w:widowControl w:val="0"/>
              <w:ind w:left="113" w:right="-57" w:hanging="113"/>
            </w:pPr>
          </w:p>
        </w:tc>
        <w:tc>
          <w:tcPr>
            <w:tcW w:w="851" w:type="dxa"/>
          </w:tcPr>
          <w:p w14:paraId="044DEE73" w14:textId="77777777" w:rsidR="008E5DE4" w:rsidRDefault="008E5DE4">
            <w:pPr>
              <w:widowControl w:val="0"/>
              <w:pBdr>
                <w:top w:val="nil"/>
                <w:left w:val="nil"/>
                <w:bottom w:val="nil"/>
                <w:right w:val="nil"/>
                <w:between w:val="nil"/>
              </w:pBdr>
              <w:jc w:val="right"/>
              <w:rPr>
                <w:color w:val="000000"/>
              </w:rPr>
            </w:pPr>
          </w:p>
        </w:tc>
        <w:tc>
          <w:tcPr>
            <w:tcW w:w="851" w:type="dxa"/>
          </w:tcPr>
          <w:p w14:paraId="3CC1561F" w14:textId="77777777" w:rsidR="008E5DE4" w:rsidRDefault="008E5DE4">
            <w:pPr>
              <w:widowControl w:val="0"/>
              <w:pBdr>
                <w:top w:val="nil"/>
                <w:left w:val="nil"/>
                <w:bottom w:val="nil"/>
                <w:right w:val="nil"/>
                <w:between w:val="nil"/>
              </w:pBdr>
              <w:jc w:val="right"/>
              <w:rPr>
                <w:color w:val="000000"/>
              </w:rPr>
            </w:pPr>
          </w:p>
        </w:tc>
        <w:tc>
          <w:tcPr>
            <w:tcW w:w="851" w:type="dxa"/>
          </w:tcPr>
          <w:p w14:paraId="6011A5E7"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20168A2D" w14:textId="77777777" w:rsidR="008E5DE4" w:rsidRDefault="008E5DE4">
            <w:pPr>
              <w:widowControl w:val="0"/>
              <w:pBdr>
                <w:top w:val="nil"/>
                <w:left w:val="nil"/>
                <w:bottom w:val="nil"/>
                <w:right w:val="nil"/>
                <w:between w:val="nil"/>
              </w:pBdr>
              <w:jc w:val="right"/>
              <w:rPr>
                <w:color w:val="000000"/>
              </w:rPr>
            </w:pPr>
          </w:p>
        </w:tc>
      </w:tr>
      <w:tr w:rsidR="008E5DE4" w14:paraId="5972094C" w14:textId="77777777">
        <w:trPr>
          <w:cantSplit/>
          <w:trHeight w:val="169"/>
        </w:trPr>
        <w:tc>
          <w:tcPr>
            <w:tcW w:w="2552" w:type="dxa"/>
            <w:vAlign w:val="bottom"/>
          </w:tcPr>
          <w:p w14:paraId="242E826F" w14:textId="77777777" w:rsidR="008E5DE4" w:rsidRDefault="00780368">
            <w:pPr>
              <w:widowControl w:val="0"/>
              <w:ind w:left="113" w:right="-57" w:hanging="113"/>
            </w:pPr>
            <w:r>
              <w:t>Write-offs</w:t>
            </w:r>
          </w:p>
        </w:tc>
        <w:tc>
          <w:tcPr>
            <w:tcW w:w="850" w:type="dxa"/>
            <w:vAlign w:val="bottom"/>
          </w:tcPr>
          <w:p w14:paraId="274E91D3" w14:textId="77777777" w:rsidR="008E5DE4" w:rsidRDefault="008E5DE4">
            <w:pPr>
              <w:widowControl w:val="0"/>
              <w:ind w:left="113" w:right="-57" w:hanging="113"/>
            </w:pPr>
          </w:p>
        </w:tc>
        <w:tc>
          <w:tcPr>
            <w:tcW w:w="850" w:type="dxa"/>
            <w:vAlign w:val="bottom"/>
          </w:tcPr>
          <w:p w14:paraId="0C3D19A8" w14:textId="77777777" w:rsidR="008E5DE4" w:rsidRDefault="008E5DE4">
            <w:pPr>
              <w:widowControl w:val="0"/>
              <w:ind w:left="113" w:right="-57" w:hanging="113"/>
            </w:pPr>
          </w:p>
        </w:tc>
        <w:tc>
          <w:tcPr>
            <w:tcW w:w="850" w:type="dxa"/>
            <w:vAlign w:val="bottom"/>
          </w:tcPr>
          <w:p w14:paraId="1F0DF8E2" w14:textId="77777777" w:rsidR="008E5DE4" w:rsidRDefault="008E5DE4">
            <w:pPr>
              <w:widowControl w:val="0"/>
              <w:ind w:left="113" w:right="-57" w:hanging="113"/>
            </w:pPr>
          </w:p>
        </w:tc>
        <w:tc>
          <w:tcPr>
            <w:tcW w:w="851" w:type="dxa"/>
            <w:vAlign w:val="bottom"/>
          </w:tcPr>
          <w:p w14:paraId="7611A813" w14:textId="77777777" w:rsidR="008E5DE4" w:rsidRDefault="008E5DE4">
            <w:pPr>
              <w:widowControl w:val="0"/>
              <w:ind w:left="113" w:right="-57" w:hanging="113"/>
            </w:pPr>
          </w:p>
        </w:tc>
        <w:tc>
          <w:tcPr>
            <w:tcW w:w="851" w:type="dxa"/>
          </w:tcPr>
          <w:p w14:paraId="1E69E707" w14:textId="77777777" w:rsidR="008E5DE4" w:rsidRDefault="008E5DE4">
            <w:pPr>
              <w:widowControl w:val="0"/>
              <w:pBdr>
                <w:top w:val="nil"/>
                <w:left w:val="nil"/>
                <w:bottom w:val="nil"/>
                <w:right w:val="nil"/>
                <w:between w:val="nil"/>
              </w:pBdr>
              <w:jc w:val="right"/>
              <w:rPr>
                <w:color w:val="000000"/>
              </w:rPr>
            </w:pPr>
          </w:p>
        </w:tc>
        <w:tc>
          <w:tcPr>
            <w:tcW w:w="851" w:type="dxa"/>
          </w:tcPr>
          <w:p w14:paraId="5FD0B069" w14:textId="77777777" w:rsidR="008E5DE4" w:rsidRDefault="008E5DE4">
            <w:pPr>
              <w:widowControl w:val="0"/>
              <w:pBdr>
                <w:top w:val="nil"/>
                <w:left w:val="nil"/>
                <w:bottom w:val="nil"/>
                <w:right w:val="nil"/>
                <w:between w:val="nil"/>
              </w:pBdr>
              <w:jc w:val="right"/>
              <w:rPr>
                <w:color w:val="000000"/>
              </w:rPr>
            </w:pPr>
          </w:p>
        </w:tc>
        <w:tc>
          <w:tcPr>
            <w:tcW w:w="851" w:type="dxa"/>
          </w:tcPr>
          <w:p w14:paraId="640CA72D"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4764CED" w14:textId="77777777" w:rsidR="008E5DE4" w:rsidRDefault="008E5DE4">
            <w:pPr>
              <w:widowControl w:val="0"/>
              <w:pBdr>
                <w:top w:val="nil"/>
                <w:left w:val="nil"/>
                <w:bottom w:val="nil"/>
                <w:right w:val="nil"/>
                <w:between w:val="nil"/>
              </w:pBdr>
              <w:jc w:val="right"/>
              <w:rPr>
                <w:color w:val="000000"/>
              </w:rPr>
            </w:pPr>
          </w:p>
        </w:tc>
      </w:tr>
      <w:tr w:rsidR="008E5DE4" w14:paraId="173FE489" w14:textId="77777777">
        <w:trPr>
          <w:cantSplit/>
          <w:trHeight w:val="169"/>
        </w:trPr>
        <w:tc>
          <w:tcPr>
            <w:tcW w:w="2552" w:type="dxa"/>
            <w:vAlign w:val="bottom"/>
          </w:tcPr>
          <w:p w14:paraId="06DB835A" w14:textId="77777777" w:rsidR="008E5DE4" w:rsidRDefault="00780368">
            <w:pPr>
              <w:widowControl w:val="0"/>
              <w:ind w:left="113" w:right="-57" w:hanging="113"/>
            </w:pPr>
            <w:r>
              <w:t>Foreign exchange and other movements</w:t>
            </w:r>
          </w:p>
        </w:tc>
        <w:tc>
          <w:tcPr>
            <w:tcW w:w="850" w:type="dxa"/>
            <w:vAlign w:val="bottom"/>
          </w:tcPr>
          <w:p w14:paraId="2E4AC5E6" w14:textId="77777777" w:rsidR="008E5DE4" w:rsidRDefault="008E5DE4">
            <w:pPr>
              <w:widowControl w:val="0"/>
              <w:ind w:left="113" w:right="-57" w:hanging="113"/>
            </w:pPr>
          </w:p>
        </w:tc>
        <w:tc>
          <w:tcPr>
            <w:tcW w:w="850" w:type="dxa"/>
            <w:vAlign w:val="bottom"/>
          </w:tcPr>
          <w:p w14:paraId="0596D6DC" w14:textId="77777777" w:rsidR="008E5DE4" w:rsidRDefault="008E5DE4">
            <w:pPr>
              <w:widowControl w:val="0"/>
              <w:ind w:left="113" w:right="-57" w:hanging="113"/>
            </w:pPr>
          </w:p>
        </w:tc>
        <w:tc>
          <w:tcPr>
            <w:tcW w:w="850" w:type="dxa"/>
            <w:vAlign w:val="bottom"/>
          </w:tcPr>
          <w:p w14:paraId="06BD6249" w14:textId="77777777" w:rsidR="008E5DE4" w:rsidRDefault="008E5DE4">
            <w:pPr>
              <w:widowControl w:val="0"/>
              <w:ind w:left="113" w:right="-57" w:hanging="113"/>
            </w:pPr>
          </w:p>
        </w:tc>
        <w:tc>
          <w:tcPr>
            <w:tcW w:w="851" w:type="dxa"/>
            <w:vAlign w:val="bottom"/>
          </w:tcPr>
          <w:p w14:paraId="2A702C04" w14:textId="77777777" w:rsidR="008E5DE4" w:rsidRDefault="008E5DE4">
            <w:pPr>
              <w:widowControl w:val="0"/>
              <w:ind w:left="113" w:right="-57" w:hanging="113"/>
            </w:pPr>
          </w:p>
        </w:tc>
        <w:tc>
          <w:tcPr>
            <w:tcW w:w="851" w:type="dxa"/>
          </w:tcPr>
          <w:p w14:paraId="2C555059" w14:textId="77777777" w:rsidR="008E5DE4" w:rsidRDefault="008E5DE4">
            <w:pPr>
              <w:widowControl w:val="0"/>
              <w:pBdr>
                <w:top w:val="nil"/>
                <w:left w:val="nil"/>
                <w:bottom w:val="nil"/>
                <w:right w:val="nil"/>
                <w:between w:val="nil"/>
              </w:pBdr>
              <w:jc w:val="right"/>
              <w:rPr>
                <w:color w:val="000000"/>
              </w:rPr>
            </w:pPr>
          </w:p>
        </w:tc>
        <w:tc>
          <w:tcPr>
            <w:tcW w:w="851" w:type="dxa"/>
          </w:tcPr>
          <w:p w14:paraId="5FF83754" w14:textId="77777777" w:rsidR="008E5DE4" w:rsidRDefault="008E5DE4">
            <w:pPr>
              <w:widowControl w:val="0"/>
              <w:pBdr>
                <w:top w:val="nil"/>
                <w:left w:val="nil"/>
                <w:bottom w:val="nil"/>
                <w:right w:val="nil"/>
                <w:between w:val="nil"/>
              </w:pBdr>
              <w:jc w:val="right"/>
              <w:rPr>
                <w:color w:val="000000"/>
              </w:rPr>
            </w:pPr>
          </w:p>
        </w:tc>
        <w:tc>
          <w:tcPr>
            <w:tcW w:w="851" w:type="dxa"/>
          </w:tcPr>
          <w:p w14:paraId="506F78EA"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F7E9C52" w14:textId="77777777" w:rsidR="008E5DE4" w:rsidRDefault="008E5DE4">
            <w:pPr>
              <w:widowControl w:val="0"/>
              <w:pBdr>
                <w:top w:val="nil"/>
                <w:left w:val="nil"/>
                <w:bottom w:val="nil"/>
                <w:right w:val="nil"/>
                <w:between w:val="nil"/>
              </w:pBdr>
              <w:jc w:val="right"/>
              <w:rPr>
                <w:color w:val="000000"/>
              </w:rPr>
            </w:pPr>
          </w:p>
        </w:tc>
      </w:tr>
      <w:tr w:rsidR="008E5DE4" w14:paraId="0A8807BE" w14:textId="77777777">
        <w:trPr>
          <w:cantSplit/>
          <w:trHeight w:val="169"/>
        </w:trPr>
        <w:tc>
          <w:tcPr>
            <w:tcW w:w="2552" w:type="dxa"/>
            <w:vAlign w:val="bottom"/>
          </w:tcPr>
          <w:p w14:paraId="092F2115" w14:textId="77777777" w:rsidR="008E5DE4" w:rsidRDefault="00780368">
            <w:pPr>
              <w:widowControl w:val="0"/>
              <w:ind w:left="113" w:right="-57" w:hanging="113"/>
            </w:pPr>
            <w:r>
              <w:t>Modification of contractual cash flows</w:t>
            </w:r>
          </w:p>
        </w:tc>
        <w:tc>
          <w:tcPr>
            <w:tcW w:w="850" w:type="dxa"/>
            <w:vAlign w:val="bottom"/>
          </w:tcPr>
          <w:p w14:paraId="7014D6C7" w14:textId="77777777" w:rsidR="008E5DE4" w:rsidRDefault="008E5DE4">
            <w:pPr>
              <w:widowControl w:val="0"/>
              <w:ind w:left="113" w:right="-57" w:hanging="113"/>
            </w:pPr>
          </w:p>
        </w:tc>
        <w:tc>
          <w:tcPr>
            <w:tcW w:w="850" w:type="dxa"/>
            <w:vAlign w:val="bottom"/>
          </w:tcPr>
          <w:p w14:paraId="6A807A50" w14:textId="77777777" w:rsidR="008E5DE4" w:rsidRDefault="008E5DE4">
            <w:pPr>
              <w:widowControl w:val="0"/>
              <w:ind w:left="113" w:right="-57" w:hanging="113"/>
            </w:pPr>
          </w:p>
        </w:tc>
        <w:tc>
          <w:tcPr>
            <w:tcW w:w="850" w:type="dxa"/>
            <w:vAlign w:val="bottom"/>
          </w:tcPr>
          <w:p w14:paraId="5DE1502A" w14:textId="77777777" w:rsidR="008E5DE4" w:rsidRDefault="008E5DE4">
            <w:pPr>
              <w:widowControl w:val="0"/>
              <w:ind w:left="113" w:right="-57" w:hanging="113"/>
            </w:pPr>
          </w:p>
        </w:tc>
        <w:tc>
          <w:tcPr>
            <w:tcW w:w="851" w:type="dxa"/>
            <w:vAlign w:val="bottom"/>
          </w:tcPr>
          <w:p w14:paraId="27CD33D3" w14:textId="77777777" w:rsidR="008E5DE4" w:rsidRDefault="008E5DE4">
            <w:pPr>
              <w:widowControl w:val="0"/>
              <w:ind w:left="113" w:right="-57" w:hanging="113"/>
            </w:pPr>
          </w:p>
        </w:tc>
        <w:tc>
          <w:tcPr>
            <w:tcW w:w="851" w:type="dxa"/>
          </w:tcPr>
          <w:p w14:paraId="0649F3F5" w14:textId="77777777" w:rsidR="008E5DE4" w:rsidRDefault="008E5DE4">
            <w:pPr>
              <w:widowControl w:val="0"/>
              <w:pBdr>
                <w:top w:val="nil"/>
                <w:left w:val="nil"/>
                <w:bottom w:val="nil"/>
                <w:right w:val="nil"/>
                <w:between w:val="nil"/>
              </w:pBdr>
              <w:jc w:val="right"/>
              <w:rPr>
                <w:color w:val="000000"/>
              </w:rPr>
            </w:pPr>
          </w:p>
        </w:tc>
        <w:tc>
          <w:tcPr>
            <w:tcW w:w="851" w:type="dxa"/>
          </w:tcPr>
          <w:p w14:paraId="5E20AA5C" w14:textId="77777777" w:rsidR="008E5DE4" w:rsidRDefault="008E5DE4">
            <w:pPr>
              <w:widowControl w:val="0"/>
              <w:pBdr>
                <w:top w:val="nil"/>
                <w:left w:val="nil"/>
                <w:bottom w:val="nil"/>
                <w:right w:val="nil"/>
                <w:between w:val="nil"/>
              </w:pBdr>
              <w:jc w:val="right"/>
              <w:rPr>
                <w:color w:val="000000"/>
              </w:rPr>
            </w:pPr>
          </w:p>
        </w:tc>
        <w:tc>
          <w:tcPr>
            <w:tcW w:w="851" w:type="dxa"/>
          </w:tcPr>
          <w:p w14:paraId="263479A5"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462B69D6" w14:textId="77777777" w:rsidR="008E5DE4" w:rsidRDefault="008E5DE4">
            <w:pPr>
              <w:widowControl w:val="0"/>
              <w:pBdr>
                <w:top w:val="nil"/>
                <w:left w:val="nil"/>
                <w:bottom w:val="nil"/>
                <w:right w:val="nil"/>
                <w:between w:val="nil"/>
              </w:pBdr>
              <w:jc w:val="right"/>
              <w:rPr>
                <w:color w:val="000000"/>
              </w:rPr>
            </w:pPr>
          </w:p>
        </w:tc>
      </w:tr>
      <w:tr w:rsidR="008E5DE4" w14:paraId="729EC7F7" w14:textId="77777777">
        <w:trPr>
          <w:cantSplit/>
          <w:trHeight w:val="169"/>
        </w:trPr>
        <w:tc>
          <w:tcPr>
            <w:tcW w:w="2552" w:type="dxa"/>
            <w:vAlign w:val="bottom"/>
          </w:tcPr>
          <w:p w14:paraId="1F9DC510" w14:textId="77777777" w:rsidR="008E5DE4" w:rsidRDefault="00780368">
            <w:pPr>
              <w:widowControl w:val="0"/>
              <w:ind w:left="113" w:right="-57" w:hanging="113"/>
            </w:pPr>
            <w:r>
              <w:t>Unwinding of discount (for Stage 3)</w:t>
            </w:r>
          </w:p>
        </w:tc>
        <w:tc>
          <w:tcPr>
            <w:tcW w:w="850" w:type="dxa"/>
            <w:vAlign w:val="bottom"/>
          </w:tcPr>
          <w:p w14:paraId="029DC3C5" w14:textId="77777777" w:rsidR="008E5DE4" w:rsidRDefault="008E5DE4">
            <w:pPr>
              <w:widowControl w:val="0"/>
              <w:ind w:left="113" w:right="-57" w:hanging="113"/>
            </w:pPr>
          </w:p>
        </w:tc>
        <w:tc>
          <w:tcPr>
            <w:tcW w:w="850" w:type="dxa"/>
            <w:vAlign w:val="bottom"/>
          </w:tcPr>
          <w:p w14:paraId="796BFE95" w14:textId="77777777" w:rsidR="008E5DE4" w:rsidRDefault="008E5DE4">
            <w:pPr>
              <w:widowControl w:val="0"/>
              <w:ind w:left="113" w:right="-57" w:hanging="113"/>
            </w:pPr>
          </w:p>
        </w:tc>
        <w:tc>
          <w:tcPr>
            <w:tcW w:w="850" w:type="dxa"/>
            <w:vAlign w:val="bottom"/>
          </w:tcPr>
          <w:p w14:paraId="3F1285CE" w14:textId="77777777" w:rsidR="008E5DE4" w:rsidRDefault="008E5DE4">
            <w:pPr>
              <w:widowControl w:val="0"/>
              <w:ind w:left="113" w:right="-57" w:hanging="113"/>
            </w:pPr>
          </w:p>
        </w:tc>
        <w:tc>
          <w:tcPr>
            <w:tcW w:w="851" w:type="dxa"/>
            <w:vAlign w:val="bottom"/>
          </w:tcPr>
          <w:p w14:paraId="44A3FAFD" w14:textId="77777777" w:rsidR="008E5DE4" w:rsidRDefault="008E5DE4">
            <w:pPr>
              <w:widowControl w:val="0"/>
              <w:ind w:left="113" w:right="-57" w:hanging="113"/>
            </w:pPr>
          </w:p>
        </w:tc>
        <w:tc>
          <w:tcPr>
            <w:tcW w:w="851" w:type="dxa"/>
          </w:tcPr>
          <w:p w14:paraId="61E09CDE" w14:textId="77777777" w:rsidR="008E5DE4" w:rsidRDefault="008E5DE4">
            <w:pPr>
              <w:widowControl w:val="0"/>
              <w:pBdr>
                <w:top w:val="nil"/>
                <w:left w:val="nil"/>
                <w:bottom w:val="nil"/>
                <w:right w:val="nil"/>
                <w:between w:val="nil"/>
              </w:pBdr>
              <w:jc w:val="right"/>
              <w:rPr>
                <w:color w:val="000000"/>
              </w:rPr>
            </w:pPr>
          </w:p>
        </w:tc>
        <w:tc>
          <w:tcPr>
            <w:tcW w:w="851" w:type="dxa"/>
          </w:tcPr>
          <w:p w14:paraId="00EECC24" w14:textId="77777777" w:rsidR="008E5DE4" w:rsidRDefault="008E5DE4">
            <w:pPr>
              <w:widowControl w:val="0"/>
              <w:pBdr>
                <w:top w:val="nil"/>
                <w:left w:val="nil"/>
                <w:bottom w:val="nil"/>
                <w:right w:val="nil"/>
                <w:between w:val="nil"/>
              </w:pBdr>
              <w:jc w:val="right"/>
              <w:rPr>
                <w:color w:val="000000"/>
              </w:rPr>
            </w:pPr>
          </w:p>
        </w:tc>
        <w:tc>
          <w:tcPr>
            <w:tcW w:w="851" w:type="dxa"/>
          </w:tcPr>
          <w:p w14:paraId="641A2C3C" w14:textId="77777777" w:rsidR="008E5DE4" w:rsidRDefault="008E5DE4">
            <w:pPr>
              <w:widowControl w:val="0"/>
              <w:pBdr>
                <w:top w:val="nil"/>
                <w:left w:val="nil"/>
                <w:bottom w:val="nil"/>
                <w:right w:val="nil"/>
                <w:between w:val="nil"/>
              </w:pBdr>
              <w:jc w:val="right"/>
              <w:rPr>
                <w:color w:val="000000"/>
              </w:rPr>
            </w:pPr>
          </w:p>
        </w:tc>
        <w:tc>
          <w:tcPr>
            <w:tcW w:w="851" w:type="dxa"/>
            <w:vAlign w:val="bottom"/>
          </w:tcPr>
          <w:p w14:paraId="5B1FEB9D" w14:textId="77777777" w:rsidR="008E5DE4" w:rsidRDefault="008E5DE4">
            <w:pPr>
              <w:widowControl w:val="0"/>
              <w:pBdr>
                <w:top w:val="nil"/>
                <w:left w:val="nil"/>
                <w:bottom w:val="nil"/>
                <w:right w:val="nil"/>
                <w:between w:val="nil"/>
              </w:pBdr>
              <w:jc w:val="right"/>
              <w:rPr>
                <w:color w:val="000000"/>
              </w:rPr>
            </w:pPr>
          </w:p>
        </w:tc>
      </w:tr>
      <w:tr w:rsidR="008E5DE4" w14:paraId="5E03BE78" w14:textId="77777777">
        <w:trPr>
          <w:cantSplit/>
          <w:trHeight w:val="169"/>
        </w:trPr>
        <w:tc>
          <w:tcPr>
            <w:tcW w:w="2552" w:type="dxa"/>
            <w:tcBorders>
              <w:bottom w:val="single" w:sz="4" w:space="0" w:color="000000"/>
            </w:tcBorders>
            <w:vAlign w:val="bottom"/>
          </w:tcPr>
          <w:p w14:paraId="506A3814" w14:textId="77777777" w:rsidR="008E5DE4" w:rsidRDefault="008E5DE4">
            <w:pPr>
              <w:widowControl w:val="0"/>
              <w:ind w:left="113" w:right="-57" w:hanging="113"/>
            </w:pPr>
          </w:p>
        </w:tc>
        <w:tc>
          <w:tcPr>
            <w:tcW w:w="850" w:type="dxa"/>
            <w:tcBorders>
              <w:bottom w:val="single" w:sz="4" w:space="0" w:color="000000"/>
            </w:tcBorders>
            <w:vAlign w:val="bottom"/>
          </w:tcPr>
          <w:p w14:paraId="15F64018" w14:textId="77777777" w:rsidR="008E5DE4" w:rsidRDefault="008E5DE4">
            <w:pPr>
              <w:widowControl w:val="0"/>
              <w:ind w:left="113" w:right="-57" w:hanging="113"/>
            </w:pPr>
          </w:p>
        </w:tc>
        <w:tc>
          <w:tcPr>
            <w:tcW w:w="850" w:type="dxa"/>
            <w:tcBorders>
              <w:bottom w:val="single" w:sz="4" w:space="0" w:color="000000"/>
            </w:tcBorders>
            <w:vAlign w:val="bottom"/>
          </w:tcPr>
          <w:p w14:paraId="2305909E" w14:textId="77777777" w:rsidR="008E5DE4" w:rsidRDefault="008E5DE4">
            <w:pPr>
              <w:widowControl w:val="0"/>
              <w:ind w:left="113" w:right="-57" w:hanging="113"/>
            </w:pPr>
          </w:p>
        </w:tc>
        <w:tc>
          <w:tcPr>
            <w:tcW w:w="850" w:type="dxa"/>
            <w:tcBorders>
              <w:bottom w:val="single" w:sz="4" w:space="0" w:color="000000"/>
            </w:tcBorders>
            <w:vAlign w:val="bottom"/>
          </w:tcPr>
          <w:p w14:paraId="2789C435" w14:textId="77777777" w:rsidR="008E5DE4" w:rsidRDefault="008E5DE4">
            <w:pPr>
              <w:widowControl w:val="0"/>
              <w:ind w:left="113" w:right="-57" w:hanging="113"/>
            </w:pPr>
          </w:p>
        </w:tc>
        <w:tc>
          <w:tcPr>
            <w:tcW w:w="851" w:type="dxa"/>
            <w:tcBorders>
              <w:bottom w:val="single" w:sz="4" w:space="0" w:color="000000"/>
            </w:tcBorders>
            <w:vAlign w:val="bottom"/>
          </w:tcPr>
          <w:p w14:paraId="6B38F1AE" w14:textId="77777777" w:rsidR="008E5DE4" w:rsidRDefault="008E5DE4">
            <w:pPr>
              <w:widowControl w:val="0"/>
              <w:ind w:left="113" w:right="-57" w:hanging="113"/>
            </w:pPr>
          </w:p>
        </w:tc>
        <w:tc>
          <w:tcPr>
            <w:tcW w:w="851" w:type="dxa"/>
            <w:tcBorders>
              <w:bottom w:val="single" w:sz="4" w:space="0" w:color="000000"/>
            </w:tcBorders>
          </w:tcPr>
          <w:p w14:paraId="029C848B"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tcPr>
          <w:p w14:paraId="4995845D"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tcPr>
          <w:p w14:paraId="0803C2A7"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4" w:space="0" w:color="000000"/>
            </w:tcBorders>
            <w:vAlign w:val="bottom"/>
          </w:tcPr>
          <w:p w14:paraId="134F2323" w14:textId="77777777" w:rsidR="008E5DE4" w:rsidRDefault="008E5DE4">
            <w:pPr>
              <w:widowControl w:val="0"/>
              <w:pBdr>
                <w:top w:val="nil"/>
                <w:left w:val="nil"/>
                <w:bottom w:val="nil"/>
                <w:right w:val="nil"/>
                <w:between w:val="nil"/>
              </w:pBdr>
              <w:jc w:val="right"/>
              <w:rPr>
                <w:color w:val="000000"/>
              </w:rPr>
            </w:pPr>
          </w:p>
        </w:tc>
      </w:tr>
      <w:tr w:rsidR="008E5DE4" w14:paraId="273233A9" w14:textId="77777777">
        <w:trPr>
          <w:cantSplit/>
          <w:trHeight w:val="169"/>
        </w:trPr>
        <w:tc>
          <w:tcPr>
            <w:tcW w:w="2552" w:type="dxa"/>
            <w:tcBorders>
              <w:top w:val="single" w:sz="4" w:space="0" w:color="000000"/>
            </w:tcBorders>
            <w:vAlign w:val="bottom"/>
          </w:tcPr>
          <w:p w14:paraId="50AEE9BE" w14:textId="77777777" w:rsidR="008E5DE4" w:rsidRDefault="008E5DE4">
            <w:pPr>
              <w:widowControl w:val="0"/>
              <w:ind w:left="113" w:right="-57" w:hanging="113"/>
            </w:pPr>
          </w:p>
        </w:tc>
        <w:tc>
          <w:tcPr>
            <w:tcW w:w="850" w:type="dxa"/>
            <w:tcBorders>
              <w:top w:val="single" w:sz="4" w:space="0" w:color="000000"/>
            </w:tcBorders>
            <w:vAlign w:val="bottom"/>
          </w:tcPr>
          <w:p w14:paraId="614A0A4B" w14:textId="77777777" w:rsidR="008E5DE4" w:rsidRDefault="008E5DE4">
            <w:pPr>
              <w:widowControl w:val="0"/>
              <w:ind w:left="113" w:right="-57" w:hanging="113"/>
            </w:pPr>
          </w:p>
        </w:tc>
        <w:tc>
          <w:tcPr>
            <w:tcW w:w="850" w:type="dxa"/>
            <w:tcBorders>
              <w:top w:val="single" w:sz="4" w:space="0" w:color="000000"/>
            </w:tcBorders>
            <w:vAlign w:val="bottom"/>
          </w:tcPr>
          <w:p w14:paraId="7079CB24" w14:textId="77777777" w:rsidR="008E5DE4" w:rsidRDefault="008E5DE4">
            <w:pPr>
              <w:widowControl w:val="0"/>
              <w:ind w:left="113" w:right="-57" w:hanging="113"/>
            </w:pPr>
          </w:p>
        </w:tc>
        <w:tc>
          <w:tcPr>
            <w:tcW w:w="850" w:type="dxa"/>
            <w:tcBorders>
              <w:top w:val="single" w:sz="4" w:space="0" w:color="000000"/>
            </w:tcBorders>
            <w:vAlign w:val="bottom"/>
          </w:tcPr>
          <w:p w14:paraId="0B731380" w14:textId="77777777" w:rsidR="008E5DE4" w:rsidRDefault="008E5DE4">
            <w:pPr>
              <w:widowControl w:val="0"/>
              <w:ind w:left="113" w:right="-57" w:hanging="113"/>
            </w:pPr>
          </w:p>
        </w:tc>
        <w:tc>
          <w:tcPr>
            <w:tcW w:w="851" w:type="dxa"/>
            <w:tcBorders>
              <w:top w:val="single" w:sz="4" w:space="0" w:color="000000"/>
            </w:tcBorders>
            <w:vAlign w:val="bottom"/>
          </w:tcPr>
          <w:p w14:paraId="58BFCCDF" w14:textId="77777777" w:rsidR="008E5DE4" w:rsidRDefault="008E5DE4">
            <w:pPr>
              <w:widowControl w:val="0"/>
              <w:ind w:left="113" w:right="-57" w:hanging="113"/>
            </w:pPr>
          </w:p>
        </w:tc>
        <w:tc>
          <w:tcPr>
            <w:tcW w:w="851" w:type="dxa"/>
            <w:tcBorders>
              <w:top w:val="single" w:sz="4" w:space="0" w:color="000000"/>
            </w:tcBorders>
          </w:tcPr>
          <w:p w14:paraId="512369C4"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569D6D7A"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tcPr>
          <w:p w14:paraId="707DC306" w14:textId="77777777" w:rsidR="008E5DE4" w:rsidRDefault="008E5DE4">
            <w:pPr>
              <w:widowControl w:val="0"/>
              <w:pBdr>
                <w:top w:val="nil"/>
                <w:left w:val="nil"/>
                <w:bottom w:val="nil"/>
                <w:right w:val="nil"/>
                <w:between w:val="nil"/>
              </w:pBdr>
              <w:jc w:val="right"/>
              <w:rPr>
                <w:color w:val="000000"/>
              </w:rPr>
            </w:pPr>
          </w:p>
        </w:tc>
        <w:tc>
          <w:tcPr>
            <w:tcW w:w="851" w:type="dxa"/>
            <w:tcBorders>
              <w:top w:val="single" w:sz="4" w:space="0" w:color="000000"/>
            </w:tcBorders>
            <w:vAlign w:val="bottom"/>
          </w:tcPr>
          <w:p w14:paraId="23AFB7FD" w14:textId="77777777" w:rsidR="008E5DE4" w:rsidRDefault="008E5DE4">
            <w:pPr>
              <w:widowControl w:val="0"/>
              <w:pBdr>
                <w:top w:val="nil"/>
                <w:left w:val="nil"/>
                <w:bottom w:val="nil"/>
                <w:right w:val="nil"/>
                <w:between w:val="nil"/>
              </w:pBdr>
              <w:jc w:val="right"/>
              <w:rPr>
                <w:color w:val="000000"/>
              </w:rPr>
            </w:pPr>
          </w:p>
        </w:tc>
      </w:tr>
      <w:tr w:rsidR="008E5DE4" w14:paraId="7A1FD2D3" w14:textId="77777777">
        <w:trPr>
          <w:cantSplit/>
          <w:trHeight w:val="169"/>
        </w:trPr>
        <w:tc>
          <w:tcPr>
            <w:tcW w:w="2552" w:type="dxa"/>
            <w:vAlign w:val="bottom"/>
          </w:tcPr>
          <w:p w14:paraId="4BF4B090" w14:textId="17FBCB16"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0" w:type="dxa"/>
            <w:vAlign w:val="bottom"/>
          </w:tcPr>
          <w:p w14:paraId="052659CF" w14:textId="77777777" w:rsidR="008E5DE4" w:rsidRDefault="008E5DE4">
            <w:pPr>
              <w:widowControl w:val="0"/>
              <w:pBdr>
                <w:top w:val="nil"/>
                <w:left w:val="nil"/>
                <w:bottom w:val="nil"/>
                <w:right w:val="nil"/>
                <w:between w:val="nil"/>
              </w:pBdr>
              <w:ind w:left="113" w:right="-57" w:hanging="113"/>
              <w:rPr>
                <w:b/>
                <w:color w:val="000000"/>
              </w:rPr>
            </w:pPr>
          </w:p>
        </w:tc>
        <w:tc>
          <w:tcPr>
            <w:tcW w:w="850" w:type="dxa"/>
            <w:vAlign w:val="bottom"/>
          </w:tcPr>
          <w:p w14:paraId="2B501758" w14:textId="77777777" w:rsidR="008E5DE4" w:rsidRDefault="008E5DE4">
            <w:pPr>
              <w:widowControl w:val="0"/>
              <w:pBdr>
                <w:top w:val="nil"/>
                <w:left w:val="nil"/>
                <w:bottom w:val="nil"/>
                <w:right w:val="nil"/>
                <w:between w:val="nil"/>
              </w:pBdr>
              <w:ind w:left="113" w:right="-57" w:hanging="113"/>
              <w:rPr>
                <w:b/>
                <w:color w:val="000000"/>
              </w:rPr>
            </w:pPr>
          </w:p>
        </w:tc>
        <w:tc>
          <w:tcPr>
            <w:tcW w:w="850" w:type="dxa"/>
            <w:vAlign w:val="bottom"/>
          </w:tcPr>
          <w:p w14:paraId="3A9C46D6" w14:textId="77777777" w:rsidR="008E5DE4" w:rsidRDefault="008E5DE4">
            <w:pPr>
              <w:widowControl w:val="0"/>
              <w:pBdr>
                <w:top w:val="nil"/>
                <w:left w:val="nil"/>
                <w:bottom w:val="nil"/>
                <w:right w:val="nil"/>
                <w:between w:val="nil"/>
              </w:pBdr>
              <w:ind w:left="113" w:right="-57" w:hanging="113"/>
              <w:rPr>
                <w:b/>
                <w:color w:val="000000"/>
              </w:rPr>
            </w:pPr>
          </w:p>
        </w:tc>
        <w:tc>
          <w:tcPr>
            <w:tcW w:w="851" w:type="dxa"/>
            <w:vAlign w:val="bottom"/>
          </w:tcPr>
          <w:p w14:paraId="18565E9B" w14:textId="77777777" w:rsidR="008E5DE4" w:rsidRDefault="008E5DE4">
            <w:pPr>
              <w:widowControl w:val="0"/>
              <w:pBdr>
                <w:top w:val="nil"/>
                <w:left w:val="nil"/>
                <w:bottom w:val="nil"/>
                <w:right w:val="nil"/>
                <w:between w:val="nil"/>
              </w:pBdr>
              <w:ind w:left="113" w:right="-57" w:hanging="113"/>
              <w:rPr>
                <w:b/>
                <w:color w:val="000000"/>
              </w:rPr>
            </w:pPr>
          </w:p>
        </w:tc>
        <w:tc>
          <w:tcPr>
            <w:tcW w:w="851" w:type="dxa"/>
          </w:tcPr>
          <w:p w14:paraId="44781223" w14:textId="77777777" w:rsidR="008E5DE4" w:rsidRDefault="008E5DE4">
            <w:pPr>
              <w:widowControl w:val="0"/>
              <w:pBdr>
                <w:top w:val="nil"/>
                <w:left w:val="nil"/>
                <w:bottom w:val="nil"/>
                <w:right w:val="nil"/>
                <w:between w:val="nil"/>
              </w:pBdr>
              <w:ind w:left="113" w:right="-57" w:hanging="113"/>
              <w:rPr>
                <w:b/>
                <w:color w:val="000000"/>
              </w:rPr>
            </w:pPr>
          </w:p>
        </w:tc>
        <w:tc>
          <w:tcPr>
            <w:tcW w:w="851" w:type="dxa"/>
          </w:tcPr>
          <w:p w14:paraId="4D5C9A89" w14:textId="77777777" w:rsidR="008E5DE4" w:rsidRDefault="008E5DE4">
            <w:pPr>
              <w:widowControl w:val="0"/>
              <w:pBdr>
                <w:top w:val="nil"/>
                <w:left w:val="nil"/>
                <w:bottom w:val="nil"/>
                <w:right w:val="nil"/>
                <w:between w:val="nil"/>
              </w:pBdr>
              <w:ind w:left="113" w:right="-57" w:hanging="113"/>
              <w:rPr>
                <w:b/>
                <w:color w:val="000000"/>
              </w:rPr>
            </w:pPr>
          </w:p>
        </w:tc>
        <w:tc>
          <w:tcPr>
            <w:tcW w:w="851" w:type="dxa"/>
          </w:tcPr>
          <w:p w14:paraId="74A16118" w14:textId="77777777" w:rsidR="008E5DE4" w:rsidRDefault="008E5DE4">
            <w:pPr>
              <w:widowControl w:val="0"/>
              <w:pBdr>
                <w:top w:val="nil"/>
                <w:left w:val="nil"/>
                <w:bottom w:val="nil"/>
                <w:right w:val="nil"/>
                <w:between w:val="nil"/>
              </w:pBdr>
              <w:ind w:left="113" w:right="-57" w:hanging="113"/>
              <w:rPr>
                <w:b/>
                <w:color w:val="000000"/>
              </w:rPr>
            </w:pPr>
          </w:p>
        </w:tc>
        <w:tc>
          <w:tcPr>
            <w:tcW w:w="851" w:type="dxa"/>
            <w:vAlign w:val="bottom"/>
          </w:tcPr>
          <w:p w14:paraId="6E16C210" w14:textId="77777777" w:rsidR="008E5DE4" w:rsidRDefault="008E5DE4">
            <w:pPr>
              <w:widowControl w:val="0"/>
              <w:pBdr>
                <w:top w:val="nil"/>
                <w:left w:val="nil"/>
                <w:bottom w:val="nil"/>
                <w:right w:val="nil"/>
                <w:between w:val="nil"/>
              </w:pBdr>
              <w:ind w:left="113" w:right="-57" w:hanging="113"/>
              <w:rPr>
                <w:b/>
                <w:color w:val="000000"/>
              </w:rPr>
            </w:pPr>
          </w:p>
        </w:tc>
      </w:tr>
      <w:tr w:rsidR="008E5DE4" w14:paraId="5CA579AB" w14:textId="77777777">
        <w:trPr>
          <w:cantSplit/>
          <w:trHeight w:val="169"/>
        </w:trPr>
        <w:tc>
          <w:tcPr>
            <w:tcW w:w="2552" w:type="dxa"/>
            <w:tcBorders>
              <w:bottom w:val="single" w:sz="12" w:space="0" w:color="000000"/>
            </w:tcBorders>
            <w:vAlign w:val="bottom"/>
          </w:tcPr>
          <w:p w14:paraId="31E7E1F6" w14:textId="77777777" w:rsidR="008E5DE4" w:rsidRDefault="008E5DE4">
            <w:pPr>
              <w:widowControl w:val="0"/>
              <w:pBdr>
                <w:top w:val="nil"/>
                <w:left w:val="nil"/>
                <w:bottom w:val="nil"/>
                <w:right w:val="nil"/>
                <w:between w:val="nil"/>
              </w:pBdr>
              <w:ind w:left="113" w:right="-57" w:hanging="113"/>
              <w:rPr>
                <w:color w:val="000000"/>
              </w:rPr>
            </w:pPr>
          </w:p>
        </w:tc>
        <w:tc>
          <w:tcPr>
            <w:tcW w:w="850" w:type="dxa"/>
            <w:tcBorders>
              <w:bottom w:val="single" w:sz="12" w:space="0" w:color="000000"/>
            </w:tcBorders>
            <w:vAlign w:val="bottom"/>
          </w:tcPr>
          <w:p w14:paraId="27D47735"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1CEDE1C1"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12" w:space="0" w:color="000000"/>
            </w:tcBorders>
            <w:vAlign w:val="bottom"/>
          </w:tcPr>
          <w:p w14:paraId="6CFA771C"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5FB870BF"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41CA27BA"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0362EA55"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tcPr>
          <w:p w14:paraId="04C4779B" w14:textId="77777777" w:rsidR="008E5DE4" w:rsidRDefault="008E5DE4">
            <w:pPr>
              <w:widowControl w:val="0"/>
              <w:pBdr>
                <w:top w:val="nil"/>
                <w:left w:val="nil"/>
                <w:bottom w:val="nil"/>
                <w:right w:val="nil"/>
                <w:between w:val="nil"/>
              </w:pBdr>
              <w:jc w:val="right"/>
              <w:rPr>
                <w:color w:val="000000"/>
              </w:rPr>
            </w:pPr>
          </w:p>
        </w:tc>
        <w:tc>
          <w:tcPr>
            <w:tcW w:w="851" w:type="dxa"/>
            <w:tcBorders>
              <w:bottom w:val="single" w:sz="12" w:space="0" w:color="000000"/>
            </w:tcBorders>
            <w:vAlign w:val="bottom"/>
          </w:tcPr>
          <w:p w14:paraId="002D15AF" w14:textId="77777777" w:rsidR="008E5DE4" w:rsidRDefault="008E5DE4">
            <w:pPr>
              <w:widowControl w:val="0"/>
              <w:pBdr>
                <w:top w:val="nil"/>
                <w:left w:val="nil"/>
                <w:bottom w:val="nil"/>
                <w:right w:val="nil"/>
                <w:between w:val="nil"/>
              </w:pBdr>
              <w:jc w:val="right"/>
              <w:rPr>
                <w:color w:val="000000"/>
              </w:rPr>
            </w:pPr>
          </w:p>
        </w:tc>
      </w:tr>
    </w:tbl>
    <w:p w14:paraId="53397D92"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5F933A3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2E2CD9DF" w14:textId="77777777" w:rsidR="008E5DE4" w:rsidRDefault="00780368">
      <w:pPr>
        <w:widowControl w:val="0"/>
        <w:spacing w:before="200" w:after="200"/>
        <w:jc w:val="both"/>
        <w:rPr>
          <w:sz w:val="20"/>
          <w:szCs w:val="20"/>
        </w:rPr>
      </w:pPr>
      <w:r>
        <w:rPr>
          <w:sz w:val="20"/>
          <w:szCs w:val="20"/>
        </w:rPr>
        <w:t xml:space="preserve">The credit loss allowance for loans recognised in the period is impacted by a variety of factors, details of ECL measurement are provided in Note </w:t>
      </w:r>
      <w:hyperlink w:anchor="_heading=h.1opuj5n">
        <w:r>
          <w:rPr>
            <w:color w:val="000000"/>
            <w:sz w:val="20"/>
            <w:szCs w:val="20"/>
          </w:rPr>
          <w:t>51</w:t>
        </w:r>
      </w:hyperlink>
      <w:r>
        <w:rPr>
          <w:sz w:val="20"/>
          <w:szCs w:val="20"/>
        </w:rPr>
        <w:t>. Below main movements in the table are described:</w:t>
      </w:r>
    </w:p>
    <w:p w14:paraId="09AF18F5"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Transfers between Stage 1, 2 and 3 due to balances experiencing significant increases (or decreases) of credit risk or becoming credit-impaired in the period, and the consequent "step up" (or "step down") between 12-month and Lifetime </w:t>
      </w:r>
      <w:proofErr w:type="gramStart"/>
      <w:r>
        <w:rPr>
          <w:color w:val="000000"/>
          <w:sz w:val="20"/>
          <w:szCs w:val="20"/>
        </w:rPr>
        <w:t>ECL;</w:t>
      </w:r>
      <w:proofErr w:type="gramEnd"/>
    </w:p>
    <w:p w14:paraId="1D5D136C"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Additional allowances for new financial instruments recognised during the period, as well as releases for financial instruments derecognised in the </w:t>
      </w:r>
      <w:proofErr w:type="gramStart"/>
      <w:r>
        <w:rPr>
          <w:color w:val="000000"/>
          <w:sz w:val="20"/>
          <w:szCs w:val="20"/>
        </w:rPr>
        <w:t>period;</w:t>
      </w:r>
      <w:proofErr w:type="gramEnd"/>
    </w:p>
    <w:p w14:paraId="16BED45A"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Impact on the measurement of ECL due to changes to model assumptions, including changes in PDs, EADs and LGDs in the period, arising from update of inputs to ECL </w:t>
      </w:r>
      <w:proofErr w:type="gramStart"/>
      <w:r>
        <w:rPr>
          <w:color w:val="000000"/>
          <w:sz w:val="20"/>
          <w:szCs w:val="20"/>
        </w:rPr>
        <w:t>models;</w:t>
      </w:r>
      <w:proofErr w:type="gramEnd"/>
    </w:p>
    <w:p w14:paraId="31E54A6D" w14:textId="77777777" w:rsidR="008E5DE4" w:rsidRDefault="00780368">
      <w:pPr>
        <w:widowControl w:val="0"/>
        <w:numPr>
          <w:ilvl w:val="0"/>
          <w:numId w:val="16"/>
        </w:numPr>
        <w:pBdr>
          <w:top w:val="nil"/>
          <w:left w:val="nil"/>
          <w:bottom w:val="nil"/>
          <w:right w:val="nil"/>
          <w:between w:val="nil"/>
        </w:pBdr>
        <w:spacing w:before="100" w:after="100"/>
        <w:jc w:val="both"/>
        <w:rPr>
          <w:color w:val="000000"/>
          <w:sz w:val="20"/>
          <w:szCs w:val="20"/>
        </w:rPr>
      </w:pPr>
      <w:r>
        <w:rPr>
          <w:color w:val="000000"/>
          <w:sz w:val="20"/>
          <w:szCs w:val="20"/>
        </w:rPr>
        <w:t xml:space="preserve">Unwinding of discount due to the passage of time because ECL is measured on a present value </w:t>
      </w:r>
      <w:proofErr w:type="gramStart"/>
      <w:r>
        <w:rPr>
          <w:color w:val="000000"/>
          <w:sz w:val="20"/>
          <w:szCs w:val="20"/>
        </w:rPr>
        <w:t>basis;</w:t>
      </w:r>
      <w:proofErr w:type="gramEnd"/>
    </w:p>
    <w:p w14:paraId="4465073F"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Foreign exchange translations of assets denominated in foreign currencies and other movements; and</w:t>
      </w:r>
    </w:p>
    <w:p w14:paraId="72D3D8F2"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Write-offs of allowances related to assets that were written off during the period.</w:t>
      </w:r>
    </w:p>
    <w:p w14:paraId="016C10D4" w14:textId="1AECC6FE" w:rsidR="008E5DE4" w:rsidRDefault="00780368">
      <w:pPr>
        <w:widowControl w:val="0"/>
        <w:spacing w:before="200" w:after="200"/>
        <w:jc w:val="both"/>
        <w:rPr>
          <w:i/>
          <w:color w:val="FF0000"/>
          <w:sz w:val="20"/>
          <w:szCs w:val="20"/>
        </w:rPr>
      </w:pPr>
      <w:r>
        <w:rPr>
          <w:sz w:val="20"/>
          <w:szCs w:val="20"/>
        </w:rPr>
        <w:t>The following tables contain an analysis of the credit risk exposure of loans measured at AC and for which an ECL allowance is recognised. The carrying amount of loans below also represents the Group's maximum exposure to credit risk on these loans.</w:t>
      </w:r>
      <w:r>
        <w:rPr>
          <w:i/>
          <w:color w:val="FF0000"/>
          <w:sz w:val="20"/>
          <w:szCs w:val="20"/>
        </w:rPr>
        <w:t xml:space="preserve"> </w:t>
      </w:r>
    </w:p>
    <w:p w14:paraId="29CE384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675302E0" w14:textId="58943DD6" w:rsidR="008E5DE4" w:rsidRDefault="00780368">
      <w:pPr>
        <w:widowControl w:val="0"/>
        <w:spacing w:before="200" w:after="200"/>
        <w:rPr>
          <w:sz w:val="20"/>
          <w:szCs w:val="20"/>
        </w:rPr>
      </w:pPr>
      <w:r>
        <w:rPr>
          <w:sz w:val="20"/>
          <w:szCs w:val="20"/>
        </w:rPr>
        <w:t xml:space="preserve">The credit quality of loans carried at amortised cost is as follows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w:t>
      </w:r>
    </w:p>
    <w:tbl>
      <w:tblPr>
        <w:tblStyle w:val="affffe"/>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4072BA79" w14:textId="77777777">
        <w:trPr>
          <w:cantSplit/>
          <w:tblHeader/>
        </w:trPr>
        <w:tc>
          <w:tcPr>
            <w:tcW w:w="3685" w:type="dxa"/>
            <w:tcBorders>
              <w:bottom w:val="single" w:sz="4" w:space="0" w:color="000000"/>
            </w:tcBorders>
            <w:vAlign w:val="bottom"/>
          </w:tcPr>
          <w:p w14:paraId="76A24A90"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4B137025"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43C222C5"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09BCA58E"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527DEB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05984A82"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3E6F14E6"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468193D2" w14:textId="77777777" w:rsidR="008E5DE4" w:rsidRDefault="00780368">
            <w:pPr>
              <w:widowControl w:val="0"/>
              <w:pBdr>
                <w:top w:val="nil"/>
                <w:left w:val="nil"/>
                <w:bottom w:val="nil"/>
                <w:right w:val="nil"/>
                <w:between w:val="nil"/>
              </w:pBdr>
              <w:ind w:left="-113"/>
              <w:jc w:val="right"/>
              <w:rPr>
                <w:b/>
                <w:color w:val="000000"/>
              </w:rPr>
            </w:pPr>
            <w:r>
              <w:rPr>
                <w:b/>
                <w:color w:val="000000"/>
              </w:rPr>
              <w:t>POCI</w:t>
            </w:r>
          </w:p>
        </w:tc>
        <w:tc>
          <w:tcPr>
            <w:tcW w:w="1134" w:type="dxa"/>
            <w:tcBorders>
              <w:bottom w:val="single" w:sz="4" w:space="0" w:color="000000"/>
            </w:tcBorders>
          </w:tcPr>
          <w:p w14:paraId="7410B814"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0F277903" w14:textId="77777777">
        <w:trPr>
          <w:cantSplit/>
          <w:tblHeader/>
        </w:trPr>
        <w:tc>
          <w:tcPr>
            <w:tcW w:w="3685" w:type="dxa"/>
            <w:vAlign w:val="bottom"/>
          </w:tcPr>
          <w:p w14:paraId="0C687A51" w14:textId="77777777" w:rsidR="008E5DE4" w:rsidRDefault="00780368">
            <w:pPr>
              <w:widowControl w:val="0"/>
              <w:ind w:left="113" w:right="-57" w:hanging="113"/>
            </w:pPr>
            <w:r>
              <w:t> </w:t>
            </w:r>
          </w:p>
        </w:tc>
        <w:tc>
          <w:tcPr>
            <w:tcW w:w="1134" w:type="dxa"/>
            <w:vAlign w:val="bottom"/>
          </w:tcPr>
          <w:p w14:paraId="1F293E6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C4BF27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A1EBD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E26A4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7151730" w14:textId="77777777" w:rsidR="008E5DE4" w:rsidRDefault="008E5DE4">
            <w:pPr>
              <w:widowControl w:val="0"/>
              <w:pBdr>
                <w:top w:val="nil"/>
                <w:left w:val="nil"/>
                <w:bottom w:val="nil"/>
                <w:right w:val="nil"/>
                <w:between w:val="nil"/>
              </w:pBdr>
              <w:jc w:val="right"/>
              <w:rPr>
                <w:color w:val="000000"/>
              </w:rPr>
            </w:pPr>
          </w:p>
        </w:tc>
      </w:tr>
      <w:tr w:rsidR="008E5DE4" w14:paraId="172B3061" w14:textId="77777777">
        <w:trPr>
          <w:cantSplit/>
        </w:trPr>
        <w:tc>
          <w:tcPr>
            <w:tcW w:w="3685" w:type="dxa"/>
            <w:vAlign w:val="bottom"/>
          </w:tcPr>
          <w:p w14:paraId="785A2321"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Corporate loans</w:t>
            </w:r>
          </w:p>
        </w:tc>
        <w:tc>
          <w:tcPr>
            <w:tcW w:w="1134" w:type="dxa"/>
            <w:vAlign w:val="bottom"/>
          </w:tcPr>
          <w:p w14:paraId="3502AE4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2E505C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71A91C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57893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38AC00" w14:textId="77777777" w:rsidR="008E5DE4" w:rsidRDefault="008E5DE4">
            <w:pPr>
              <w:widowControl w:val="0"/>
              <w:pBdr>
                <w:top w:val="nil"/>
                <w:left w:val="nil"/>
                <w:bottom w:val="nil"/>
                <w:right w:val="nil"/>
                <w:between w:val="nil"/>
              </w:pBdr>
              <w:jc w:val="right"/>
              <w:rPr>
                <w:color w:val="000000"/>
              </w:rPr>
            </w:pPr>
          </w:p>
        </w:tc>
      </w:tr>
      <w:tr w:rsidR="008E5DE4" w14:paraId="36C04E41" w14:textId="77777777">
        <w:trPr>
          <w:cantSplit/>
        </w:trPr>
        <w:tc>
          <w:tcPr>
            <w:tcW w:w="3685" w:type="dxa"/>
            <w:vAlign w:val="bottom"/>
          </w:tcPr>
          <w:p w14:paraId="6EEBB6F0"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63D6187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776B9B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C0A6A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9C665C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3C6374" w14:textId="77777777" w:rsidR="008E5DE4" w:rsidRDefault="008E5DE4">
            <w:pPr>
              <w:widowControl w:val="0"/>
              <w:pBdr>
                <w:top w:val="nil"/>
                <w:left w:val="nil"/>
                <w:bottom w:val="nil"/>
                <w:right w:val="nil"/>
                <w:between w:val="nil"/>
              </w:pBdr>
              <w:jc w:val="right"/>
              <w:rPr>
                <w:color w:val="000000"/>
              </w:rPr>
            </w:pPr>
          </w:p>
        </w:tc>
      </w:tr>
      <w:tr w:rsidR="008E5DE4" w14:paraId="123F70C0" w14:textId="77777777">
        <w:trPr>
          <w:cantSplit/>
        </w:trPr>
        <w:tc>
          <w:tcPr>
            <w:tcW w:w="3685" w:type="dxa"/>
            <w:vAlign w:val="bottom"/>
          </w:tcPr>
          <w:p w14:paraId="0A86E9C9" w14:textId="77777777" w:rsidR="008E5DE4" w:rsidRDefault="00780368">
            <w:pPr>
              <w:widowControl w:val="0"/>
              <w:pBdr>
                <w:top w:val="nil"/>
                <w:left w:val="nil"/>
                <w:bottom w:val="nil"/>
                <w:right w:val="nil"/>
                <w:between w:val="nil"/>
              </w:pBdr>
              <w:ind w:left="113" w:right="-57" w:hanging="113"/>
              <w:rPr>
                <w:b/>
                <w:color w:val="000000"/>
              </w:rPr>
            </w:pPr>
            <w:r>
              <w:rPr>
                <w:color w:val="000000"/>
              </w:rPr>
              <w:t>- Excellent</w:t>
            </w:r>
          </w:p>
        </w:tc>
        <w:tc>
          <w:tcPr>
            <w:tcW w:w="1134" w:type="dxa"/>
            <w:vAlign w:val="bottom"/>
          </w:tcPr>
          <w:p w14:paraId="74C3732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9255C5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5324E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5BC9D5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FEC2B21" w14:textId="77777777" w:rsidR="008E5DE4" w:rsidRDefault="008E5DE4">
            <w:pPr>
              <w:widowControl w:val="0"/>
              <w:pBdr>
                <w:top w:val="nil"/>
                <w:left w:val="nil"/>
                <w:bottom w:val="nil"/>
                <w:right w:val="nil"/>
                <w:between w:val="nil"/>
              </w:pBdr>
              <w:jc w:val="right"/>
              <w:rPr>
                <w:color w:val="000000"/>
              </w:rPr>
            </w:pPr>
          </w:p>
        </w:tc>
      </w:tr>
      <w:tr w:rsidR="008E5DE4" w14:paraId="72F1B9B8" w14:textId="77777777">
        <w:trPr>
          <w:cantSplit/>
        </w:trPr>
        <w:tc>
          <w:tcPr>
            <w:tcW w:w="3685" w:type="dxa"/>
            <w:vAlign w:val="bottom"/>
          </w:tcPr>
          <w:p w14:paraId="26D52E79" w14:textId="77777777" w:rsidR="008E5DE4" w:rsidRDefault="00780368">
            <w:pPr>
              <w:widowControl w:val="0"/>
              <w:pBdr>
                <w:top w:val="nil"/>
                <w:left w:val="nil"/>
                <w:bottom w:val="nil"/>
                <w:right w:val="nil"/>
                <w:between w:val="nil"/>
              </w:pBdr>
              <w:ind w:left="113" w:right="-57" w:hanging="113"/>
              <w:rPr>
                <w:b/>
                <w:color w:val="000000"/>
              </w:rPr>
            </w:pPr>
            <w:r>
              <w:rPr>
                <w:color w:val="000000"/>
              </w:rPr>
              <w:t>- Good</w:t>
            </w:r>
          </w:p>
        </w:tc>
        <w:tc>
          <w:tcPr>
            <w:tcW w:w="1134" w:type="dxa"/>
            <w:vAlign w:val="bottom"/>
          </w:tcPr>
          <w:p w14:paraId="5B649EB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28B1C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A3847E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C2C30E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5C0326" w14:textId="77777777" w:rsidR="008E5DE4" w:rsidRDefault="008E5DE4">
            <w:pPr>
              <w:widowControl w:val="0"/>
              <w:pBdr>
                <w:top w:val="nil"/>
                <w:left w:val="nil"/>
                <w:bottom w:val="nil"/>
                <w:right w:val="nil"/>
                <w:between w:val="nil"/>
              </w:pBdr>
              <w:jc w:val="right"/>
              <w:rPr>
                <w:color w:val="000000"/>
              </w:rPr>
            </w:pPr>
          </w:p>
        </w:tc>
      </w:tr>
      <w:tr w:rsidR="008E5DE4" w14:paraId="781C0211" w14:textId="77777777">
        <w:trPr>
          <w:cantSplit/>
        </w:trPr>
        <w:tc>
          <w:tcPr>
            <w:tcW w:w="3685" w:type="dxa"/>
            <w:vAlign w:val="bottom"/>
          </w:tcPr>
          <w:p w14:paraId="3E6EBDC8" w14:textId="77777777" w:rsidR="008E5DE4" w:rsidRDefault="00780368">
            <w:pPr>
              <w:widowControl w:val="0"/>
              <w:pBdr>
                <w:top w:val="nil"/>
                <w:left w:val="nil"/>
                <w:bottom w:val="nil"/>
                <w:right w:val="nil"/>
                <w:between w:val="nil"/>
              </w:pBdr>
              <w:ind w:left="113" w:right="-57" w:hanging="113"/>
              <w:rPr>
                <w:b/>
                <w:color w:val="000000"/>
              </w:rPr>
            </w:pPr>
            <w:r>
              <w:rPr>
                <w:color w:val="000000"/>
              </w:rPr>
              <w:t>- Satisfactory</w:t>
            </w:r>
          </w:p>
        </w:tc>
        <w:tc>
          <w:tcPr>
            <w:tcW w:w="1134" w:type="dxa"/>
            <w:vAlign w:val="bottom"/>
          </w:tcPr>
          <w:p w14:paraId="397377E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DCB8F0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53A6BD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D47D35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83D8AB" w14:textId="77777777" w:rsidR="008E5DE4" w:rsidRDefault="008E5DE4">
            <w:pPr>
              <w:widowControl w:val="0"/>
              <w:pBdr>
                <w:top w:val="nil"/>
                <w:left w:val="nil"/>
                <w:bottom w:val="nil"/>
                <w:right w:val="nil"/>
                <w:between w:val="nil"/>
              </w:pBdr>
              <w:jc w:val="right"/>
              <w:rPr>
                <w:color w:val="000000"/>
              </w:rPr>
            </w:pPr>
          </w:p>
        </w:tc>
      </w:tr>
      <w:tr w:rsidR="008E5DE4" w14:paraId="07766DF7" w14:textId="77777777">
        <w:trPr>
          <w:cantSplit/>
        </w:trPr>
        <w:tc>
          <w:tcPr>
            <w:tcW w:w="3685" w:type="dxa"/>
            <w:vAlign w:val="bottom"/>
          </w:tcPr>
          <w:p w14:paraId="6588403B"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3715139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9D60D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69A1CC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4E1ED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D01C1D9" w14:textId="77777777" w:rsidR="008E5DE4" w:rsidRDefault="008E5DE4">
            <w:pPr>
              <w:widowControl w:val="0"/>
              <w:pBdr>
                <w:top w:val="nil"/>
                <w:left w:val="nil"/>
                <w:bottom w:val="nil"/>
                <w:right w:val="nil"/>
                <w:between w:val="nil"/>
              </w:pBdr>
              <w:jc w:val="right"/>
              <w:rPr>
                <w:color w:val="000000"/>
              </w:rPr>
            </w:pPr>
          </w:p>
        </w:tc>
      </w:tr>
      <w:tr w:rsidR="008E5DE4" w14:paraId="43EA19CA" w14:textId="77777777">
        <w:trPr>
          <w:cantSplit/>
        </w:trPr>
        <w:tc>
          <w:tcPr>
            <w:tcW w:w="3685" w:type="dxa"/>
            <w:vAlign w:val="bottom"/>
          </w:tcPr>
          <w:p w14:paraId="65653ED2" w14:textId="77777777" w:rsidR="008E5DE4" w:rsidRDefault="00780368">
            <w:pPr>
              <w:widowControl w:val="0"/>
              <w:pBdr>
                <w:top w:val="nil"/>
                <w:left w:val="nil"/>
                <w:bottom w:val="nil"/>
                <w:right w:val="nil"/>
                <w:between w:val="nil"/>
              </w:pBdr>
              <w:ind w:left="113" w:right="-57" w:hanging="113"/>
              <w:rPr>
                <w:b/>
                <w:color w:val="000000"/>
              </w:rPr>
            </w:pPr>
            <w:r>
              <w:rPr>
                <w:color w:val="000000"/>
              </w:rPr>
              <w:t>- Default</w:t>
            </w:r>
          </w:p>
        </w:tc>
        <w:tc>
          <w:tcPr>
            <w:tcW w:w="1134" w:type="dxa"/>
            <w:vAlign w:val="bottom"/>
          </w:tcPr>
          <w:p w14:paraId="7827F0ED" w14:textId="77777777" w:rsidR="008E5DE4" w:rsidRDefault="008E5DE4">
            <w:pPr>
              <w:widowControl w:val="0"/>
              <w:pBdr>
                <w:top w:val="nil"/>
                <w:left w:val="nil"/>
                <w:bottom w:val="nil"/>
                <w:right w:val="nil"/>
                <w:between w:val="nil"/>
              </w:pBdr>
              <w:rPr>
                <w:color w:val="000000"/>
              </w:rPr>
            </w:pPr>
          </w:p>
        </w:tc>
        <w:tc>
          <w:tcPr>
            <w:tcW w:w="1134" w:type="dxa"/>
            <w:vAlign w:val="bottom"/>
          </w:tcPr>
          <w:p w14:paraId="2F52B0D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25785A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2AFCF3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DADE9AA" w14:textId="77777777" w:rsidR="008E5DE4" w:rsidRDefault="008E5DE4">
            <w:pPr>
              <w:widowControl w:val="0"/>
              <w:pBdr>
                <w:top w:val="nil"/>
                <w:left w:val="nil"/>
                <w:bottom w:val="nil"/>
                <w:right w:val="nil"/>
                <w:between w:val="nil"/>
              </w:pBdr>
              <w:jc w:val="right"/>
              <w:rPr>
                <w:color w:val="000000"/>
              </w:rPr>
            </w:pPr>
          </w:p>
        </w:tc>
      </w:tr>
      <w:tr w:rsidR="008E5DE4" w14:paraId="47A56612" w14:textId="77777777">
        <w:trPr>
          <w:cantSplit/>
        </w:trPr>
        <w:tc>
          <w:tcPr>
            <w:tcW w:w="3685" w:type="dxa"/>
            <w:tcBorders>
              <w:bottom w:val="single" w:sz="4" w:space="0" w:color="000000"/>
            </w:tcBorders>
            <w:vAlign w:val="bottom"/>
          </w:tcPr>
          <w:p w14:paraId="06EC3E1E"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3017AF4F"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17AD3C33"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BEB237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6BCECF1"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8DAA981" w14:textId="77777777" w:rsidR="008E5DE4" w:rsidRDefault="008E5DE4">
            <w:pPr>
              <w:widowControl w:val="0"/>
              <w:pBdr>
                <w:top w:val="nil"/>
                <w:left w:val="nil"/>
                <w:bottom w:val="nil"/>
                <w:right w:val="nil"/>
                <w:between w:val="nil"/>
              </w:pBdr>
              <w:jc w:val="right"/>
              <w:rPr>
                <w:color w:val="000000"/>
              </w:rPr>
            </w:pPr>
          </w:p>
        </w:tc>
      </w:tr>
      <w:tr w:rsidR="008E5DE4" w14:paraId="4D5C4CC8" w14:textId="77777777">
        <w:trPr>
          <w:cantSplit/>
        </w:trPr>
        <w:tc>
          <w:tcPr>
            <w:tcW w:w="3685" w:type="dxa"/>
            <w:tcBorders>
              <w:top w:val="single" w:sz="4" w:space="0" w:color="000000"/>
            </w:tcBorders>
            <w:vAlign w:val="bottom"/>
          </w:tcPr>
          <w:p w14:paraId="2F49A0D3"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6AB81C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C9EF2A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8CEF8EF"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730B8C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32D5681" w14:textId="77777777" w:rsidR="008E5DE4" w:rsidRDefault="008E5DE4">
            <w:pPr>
              <w:widowControl w:val="0"/>
              <w:pBdr>
                <w:top w:val="nil"/>
                <w:left w:val="nil"/>
                <w:bottom w:val="nil"/>
                <w:right w:val="nil"/>
                <w:between w:val="nil"/>
              </w:pBdr>
              <w:jc w:val="right"/>
              <w:rPr>
                <w:color w:val="000000"/>
              </w:rPr>
            </w:pPr>
          </w:p>
        </w:tc>
      </w:tr>
      <w:tr w:rsidR="008E5DE4" w14:paraId="0493836A" w14:textId="77777777">
        <w:trPr>
          <w:cantSplit/>
        </w:trPr>
        <w:tc>
          <w:tcPr>
            <w:tcW w:w="3685" w:type="dxa"/>
            <w:vAlign w:val="bottom"/>
          </w:tcPr>
          <w:p w14:paraId="68FA7E27" w14:textId="77777777" w:rsidR="008E5DE4" w:rsidRDefault="00780368">
            <w:pPr>
              <w:widowControl w:val="0"/>
              <w:pBdr>
                <w:top w:val="nil"/>
                <w:left w:val="nil"/>
                <w:bottom w:val="nil"/>
                <w:right w:val="nil"/>
                <w:between w:val="nil"/>
              </w:pBdr>
              <w:ind w:left="113" w:right="-57" w:hanging="113"/>
              <w:rPr>
                <w:b/>
                <w:color w:val="000000"/>
              </w:rPr>
            </w:pPr>
            <w:r>
              <w:rPr>
                <w:b/>
                <w:color w:val="000000"/>
              </w:rPr>
              <w:t>Gross carrying amount</w:t>
            </w:r>
          </w:p>
        </w:tc>
        <w:tc>
          <w:tcPr>
            <w:tcW w:w="1134" w:type="dxa"/>
            <w:vAlign w:val="bottom"/>
          </w:tcPr>
          <w:p w14:paraId="6CC694C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4684B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5F169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7F3313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7B4F7CE" w14:textId="77777777" w:rsidR="008E5DE4" w:rsidRDefault="008E5DE4">
            <w:pPr>
              <w:widowControl w:val="0"/>
              <w:pBdr>
                <w:top w:val="nil"/>
                <w:left w:val="nil"/>
                <w:bottom w:val="nil"/>
                <w:right w:val="nil"/>
                <w:between w:val="nil"/>
              </w:pBdr>
              <w:jc w:val="right"/>
              <w:rPr>
                <w:color w:val="000000"/>
              </w:rPr>
            </w:pPr>
          </w:p>
        </w:tc>
      </w:tr>
      <w:tr w:rsidR="008E5DE4" w14:paraId="5FAF87DA" w14:textId="77777777">
        <w:trPr>
          <w:cantSplit/>
        </w:trPr>
        <w:tc>
          <w:tcPr>
            <w:tcW w:w="3685" w:type="dxa"/>
            <w:tcBorders>
              <w:bottom w:val="single" w:sz="4" w:space="0" w:color="000000"/>
            </w:tcBorders>
            <w:vAlign w:val="bottom"/>
          </w:tcPr>
          <w:p w14:paraId="2A252A5D"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6ED6F5B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79E708F"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451059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34FBA4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4A9585C" w14:textId="77777777" w:rsidR="008E5DE4" w:rsidRDefault="008E5DE4">
            <w:pPr>
              <w:widowControl w:val="0"/>
              <w:pBdr>
                <w:top w:val="nil"/>
                <w:left w:val="nil"/>
                <w:bottom w:val="nil"/>
                <w:right w:val="nil"/>
                <w:between w:val="nil"/>
              </w:pBdr>
              <w:jc w:val="right"/>
              <w:rPr>
                <w:color w:val="000000"/>
              </w:rPr>
            </w:pPr>
          </w:p>
        </w:tc>
      </w:tr>
      <w:tr w:rsidR="008E5DE4" w14:paraId="5D27528E" w14:textId="77777777">
        <w:trPr>
          <w:cantSplit/>
        </w:trPr>
        <w:tc>
          <w:tcPr>
            <w:tcW w:w="3685" w:type="dxa"/>
            <w:tcBorders>
              <w:top w:val="single" w:sz="4" w:space="0" w:color="000000"/>
            </w:tcBorders>
            <w:vAlign w:val="bottom"/>
          </w:tcPr>
          <w:p w14:paraId="6BFBAC81"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115C9CC"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2BEB778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355E09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095090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088DA31" w14:textId="77777777" w:rsidR="008E5DE4" w:rsidRDefault="008E5DE4">
            <w:pPr>
              <w:widowControl w:val="0"/>
              <w:pBdr>
                <w:top w:val="nil"/>
                <w:left w:val="nil"/>
                <w:bottom w:val="nil"/>
                <w:right w:val="nil"/>
                <w:between w:val="nil"/>
              </w:pBdr>
              <w:jc w:val="right"/>
              <w:rPr>
                <w:color w:val="000000"/>
              </w:rPr>
            </w:pPr>
          </w:p>
        </w:tc>
      </w:tr>
      <w:tr w:rsidR="008E5DE4" w14:paraId="61F4F364" w14:textId="77777777">
        <w:trPr>
          <w:cantSplit/>
        </w:trPr>
        <w:tc>
          <w:tcPr>
            <w:tcW w:w="3685" w:type="dxa"/>
            <w:vAlign w:val="bottom"/>
          </w:tcPr>
          <w:p w14:paraId="4896F9BC"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34" w:type="dxa"/>
            <w:vAlign w:val="bottom"/>
          </w:tcPr>
          <w:p w14:paraId="62F78D91" w14:textId="77777777" w:rsidR="008E5DE4" w:rsidRDefault="008E5DE4">
            <w:pPr>
              <w:widowControl w:val="0"/>
              <w:pBdr>
                <w:top w:val="nil"/>
                <w:left w:val="nil"/>
                <w:bottom w:val="nil"/>
                <w:right w:val="nil"/>
                <w:between w:val="nil"/>
              </w:pBdr>
              <w:rPr>
                <w:color w:val="000000"/>
              </w:rPr>
            </w:pPr>
          </w:p>
        </w:tc>
        <w:tc>
          <w:tcPr>
            <w:tcW w:w="1134" w:type="dxa"/>
            <w:vAlign w:val="bottom"/>
          </w:tcPr>
          <w:p w14:paraId="4DFEDF9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5D3D37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640D2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59E00C" w14:textId="77777777" w:rsidR="008E5DE4" w:rsidRDefault="008E5DE4">
            <w:pPr>
              <w:widowControl w:val="0"/>
              <w:pBdr>
                <w:top w:val="nil"/>
                <w:left w:val="nil"/>
                <w:bottom w:val="nil"/>
                <w:right w:val="nil"/>
                <w:between w:val="nil"/>
              </w:pBdr>
              <w:jc w:val="right"/>
              <w:rPr>
                <w:color w:val="000000"/>
              </w:rPr>
            </w:pPr>
          </w:p>
        </w:tc>
      </w:tr>
      <w:tr w:rsidR="008E5DE4" w14:paraId="2C14E0E4" w14:textId="77777777">
        <w:trPr>
          <w:cantSplit/>
        </w:trPr>
        <w:tc>
          <w:tcPr>
            <w:tcW w:w="3685" w:type="dxa"/>
            <w:vAlign w:val="bottom"/>
          </w:tcPr>
          <w:p w14:paraId="0D2A24AA"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24CD3F5D" w14:textId="77777777" w:rsidR="008E5DE4" w:rsidRDefault="008E5DE4">
            <w:pPr>
              <w:widowControl w:val="0"/>
              <w:pBdr>
                <w:top w:val="nil"/>
                <w:left w:val="nil"/>
                <w:bottom w:val="nil"/>
                <w:right w:val="nil"/>
                <w:between w:val="nil"/>
              </w:pBdr>
              <w:rPr>
                <w:color w:val="000000"/>
              </w:rPr>
            </w:pPr>
          </w:p>
        </w:tc>
        <w:tc>
          <w:tcPr>
            <w:tcW w:w="1134" w:type="dxa"/>
            <w:vAlign w:val="bottom"/>
          </w:tcPr>
          <w:p w14:paraId="71048FB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09B9B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268CB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F0AC76" w14:textId="77777777" w:rsidR="008E5DE4" w:rsidRDefault="008E5DE4">
            <w:pPr>
              <w:widowControl w:val="0"/>
              <w:pBdr>
                <w:top w:val="nil"/>
                <w:left w:val="nil"/>
                <w:bottom w:val="nil"/>
                <w:right w:val="nil"/>
                <w:between w:val="nil"/>
              </w:pBdr>
              <w:jc w:val="right"/>
              <w:rPr>
                <w:color w:val="000000"/>
              </w:rPr>
            </w:pPr>
          </w:p>
        </w:tc>
      </w:tr>
      <w:tr w:rsidR="008E5DE4" w14:paraId="10FA13D6" w14:textId="77777777">
        <w:trPr>
          <w:cantSplit/>
        </w:trPr>
        <w:tc>
          <w:tcPr>
            <w:tcW w:w="3685" w:type="dxa"/>
            <w:tcBorders>
              <w:top w:val="single" w:sz="4" w:space="0" w:color="000000"/>
            </w:tcBorders>
            <w:vAlign w:val="bottom"/>
          </w:tcPr>
          <w:p w14:paraId="3804633F"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1B6033C1"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54AE366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A69C53D"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6C09B5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6150F56" w14:textId="77777777" w:rsidR="008E5DE4" w:rsidRDefault="008E5DE4">
            <w:pPr>
              <w:widowControl w:val="0"/>
              <w:pBdr>
                <w:top w:val="nil"/>
                <w:left w:val="nil"/>
                <w:bottom w:val="nil"/>
                <w:right w:val="nil"/>
                <w:between w:val="nil"/>
              </w:pBdr>
              <w:jc w:val="right"/>
              <w:rPr>
                <w:color w:val="000000"/>
              </w:rPr>
            </w:pPr>
          </w:p>
        </w:tc>
      </w:tr>
      <w:tr w:rsidR="008E5DE4" w14:paraId="50B6F21E" w14:textId="77777777">
        <w:trPr>
          <w:cantSplit/>
        </w:trPr>
        <w:tc>
          <w:tcPr>
            <w:tcW w:w="3685" w:type="dxa"/>
            <w:vAlign w:val="bottom"/>
          </w:tcPr>
          <w:p w14:paraId="64D7B80E" w14:textId="77777777" w:rsidR="008E5DE4" w:rsidRDefault="00780368">
            <w:pPr>
              <w:widowControl w:val="0"/>
              <w:pBdr>
                <w:top w:val="nil"/>
                <w:left w:val="nil"/>
                <w:bottom w:val="nil"/>
                <w:right w:val="nil"/>
                <w:between w:val="nil"/>
              </w:pBdr>
              <w:ind w:left="113" w:right="-57" w:hanging="113"/>
              <w:rPr>
                <w:b/>
                <w:color w:val="000000"/>
              </w:rPr>
            </w:pPr>
            <w:r>
              <w:rPr>
                <w:b/>
                <w:color w:val="000000"/>
              </w:rPr>
              <w:t>Carrying amount</w:t>
            </w:r>
          </w:p>
        </w:tc>
        <w:tc>
          <w:tcPr>
            <w:tcW w:w="1134" w:type="dxa"/>
            <w:vAlign w:val="bottom"/>
          </w:tcPr>
          <w:p w14:paraId="42BCDD95" w14:textId="77777777" w:rsidR="008E5DE4" w:rsidRDefault="008E5DE4">
            <w:pPr>
              <w:widowControl w:val="0"/>
              <w:pBdr>
                <w:top w:val="nil"/>
                <w:left w:val="nil"/>
                <w:bottom w:val="nil"/>
                <w:right w:val="nil"/>
                <w:between w:val="nil"/>
              </w:pBdr>
              <w:rPr>
                <w:color w:val="000000"/>
              </w:rPr>
            </w:pPr>
          </w:p>
        </w:tc>
        <w:tc>
          <w:tcPr>
            <w:tcW w:w="1134" w:type="dxa"/>
            <w:vAlign w:val="bottom"/>
          </w:tcPr>
          <w:p w14:paraId="628D779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830D8B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4F75CB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ACD012" w14:textId="77777777" w:rsidR="008E5DE4" w:rsidRDefault="008E5DE4">
            <w:pPr>
              <w:widowControl w:val="0"/>
              <w:pBdr>
                <w:top w:val="nil"/>
                <w:left w:val="nil"/>
                <w:bottom w:val="nil"/>
                <w:right w:val="nil"/>
                <w:between w:val="nil"/>
              </w:pBdr>
              <w:jc w:val="right"/>
              <w:rPr>
                <w:color w:val="000000"/>
              </w:rPr>
            </w:pPr>
          </w:p>
        </w:tc>
      </w:tr>
      <w:tr w:rsidR="008E5DE4" w14:paraId="55B4378C" w14:textId="77777777">
        <w:trPr>
          <w:cantSplit/>
        </w:trPr>
        <w:tc>
          <w:tcPr>
            <w:tcW w:w="3685" w:type="dxa"/>
            <w:tcBorders>
              <w:bottom w:val="single" w:sz="12" w:space="0" w:color="000000"/>
            </w:tcBorders>
            <w:vAlign w:val="bottom"/>
          </w:tcPr>
          <w:p w14:paraId="15734FD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03CB27B4" w14:textId="77777777" w:rsidR="008E5DE4" w:rsidRDefault="008E5DE4">
            <w:pPr>
              <w:widowControl w:val="0"/>
              <w:pBdr>
                <w:top w:val="nil"/>
                <w:left w:val="nil"/>
                <w:bottom w:val="nil"/>
                <w:right w:val="nil"/>
                <w:between w:val="nil"/>
              </w:pBdr>
              <w:rPr>
                <w:color w:val="000000"/>
              </w:rPr>
            </w:pPr>
          </w:p>
        </w:tc>
        <w:tc>
          <w:tcPr>
            <w:tcW w:w="1134" w:type="dxa"/>
            <w:tcBorders>
              <w:bottom w:val="single" w:sz="12" w:space="0" w:color="000000"/>
            </w:tcBorders>
            <w:vAlign w:val="bottom"/>
          </w:tcPr>
          <w:p w14:paraId="23BEDF23"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C8304C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95B0F9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357146C1" w14:textId="77777777" w:rsidR="008E5DE4" w:rsidRDefault="008E5DE4">
            <w:pPr>
              <w:widowControl w:val="0"/>
              <w:pBdr>
                <w:top w:val="nil"/>
                <w:left w:val="nil"/>
                <w:bottom w:val="nil"/>
                <w:right w:val="nil"/>
                <w:between w:val="nil"/>
              </w:pBdr>
              <w:jc w:val="right"/>
              <w:rPr>
                <w:color w:val="000000"/>
              </w:rPr>
            </w:pPr>
          </w:p>
        </w:tc>
      </w:tr>
      <w:tr w:rsidR="008E5DE4" w14:paraId="2552001A" w14:textId="77777777">
        <w:trPr>
          <w:cantSplit/>
        </w:trPr>
        <w:tc>
          <w:tcPr>
            <w:tcW w:w="3685" w:type="dxa"/>
            <w:tcBorders>
              <w:top w:val="single" w:sz="12" w:space="0" w:color="000000"/>
            </w:tcBorders>
            <w:vAlign w:val="bottom"/>
          </w:tcPr>
          <w:p w14:paraId="7DC3E31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12" w:space="0" w:color="000000"/>
            </w:tcBorders>
            <w:vAlign w:val="bottom"/>
          </w:tcPr>
          <w:p w14:paraId="5EEC563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2BB3E92D"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3005267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50A2334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7996B2B0" w14:textId="77777777" w:rsidR="008E5DE4" w:rsidRDefault="008E5DE4">
            <w:pPr>
              <w:widowControl w:val="0"/>
              <w:pBdr>
                <w:top w:val="nil"/>
                <w:left w:val="nil"/>
                <w:bottom w:val="nil"/>
                <w:right w:val="nil"/>
                <w:between w:val="nil"/>
              </w:pBdr>
              <w:jc w:val="right"/>
              <w:rPr>
                <w:color w:val="000000"/>
              </w:rPr>
            </w:pPr>
          </w:p>
        </w:tc>
      </w:tr>
      <w:tr w:rsidR="008E5DE4" w14:paraId="41AC5AD1" w14:textId="77777777">
        <w:trPr>
          <w:cantSplit/>
        </w:trPr>
        <w:tc>
          <w:tcPr>
            <w:tcW w:w="3685" w:type="dxa"/>
            <w:vAlign w:val="bottom"/>
          </w:tcPr>
          <w:p w14:paraId="55DAAA27"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State and municipal organisations</w:t>
            </w:r>
          </w:p>
        </w:tc>
        <w:tc>
          <w:tcPr>
            <w:tcW w:w="1134" w:type="dxa"/>
            <w:vAlign w:val="bottom"/>
          </w:tcPr>
          <w:p w14:paraId="40BE89A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8B3FD0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FEA6D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3539A3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950F3F8" w14:textId="77777777" w:rsidR="008E5DE4" w:rsidRDefault="008E5DE4">
            <w:pPr>
              <w:widowControl w:val="0"/>
              <w:pBdr>
                <w:top w:val="nil"/>
                <w:left w:val="nil"/>
                <w:bottom w:val="nil"/>
                <w:right w:val="nil"/>
                <w:between w:val="nil"/>
              </w:pBdr>
              <w:jc w:val="right"/>
              <w:rPr>
                <w:color w:val="000000"/>
              </w:rPr>
            </w:pPr>
          </w:p>
        </w:tc>
      </w:tr>
      <w:tr w:rsidR="008E5DE4" w14:paraId="3DF3B19A" w14:textId="77777777">
        <w:trPr>
          <w:cantSplit/>
        </w:trPr>
        <w:tc>
          <w:tcPr>
            <w:tcW w:w="3685" w:type="dxa"/>
            <w:vAlign w:val="bottom"/>
          </w:tcPr>
          <w:p w14:paraId="0C24E915"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7F0E865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B44D54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AB5FF0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06408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1E58A33" w14:textId="77777777" w:rsidR="008E5DE4" w:rsidRDefault="008E5DE4">
            <w:pPr>
              <w:widowControl w:val="0"/>
              <w:pBdr>
                <w:top w:val="nil"/>
                <w:left w:val="nil"/>
                <w:bottom w:val="nil"/>
                <w:right w:val="nil"/>
                <w:between w:val="nil"/>
              </w:pBdr>
              <w:jc w:val="right"/>
              <w:rPr>
                <w:color w:val="000000"/>
              </w:rPr>
            </w:pPr>
          </w:p>
        </w:tc>
      </w:tr>
      <w:tr w:rsidR="008E5DE4" w14:paraId="7D02B551" w14:textId="77777777">
        <w:trPr>
          <w:cantSplit/>
        </w:trPr>
        <w:tc>
          <w:tcPr>
            <w:tcW w:w="3685" w:type="dxa"/>
            <w:vAlign w:val="bottom"/>
          </w:tcPr>
          <w:p w14:paraId="48F12A13" w14:textId="77777777" w:rsidR="008E5DE4" w:rsidRDefault="00780368">
            <w:pPr>
              <w:widowControl w:val="0"/>
              <w:pBdr>
                <w:top w:val="nil"/>
                <w:left w:val="nil"/>
                <w:bottom w:val="nil"/>
                <w:right w:val="nil"/>
                <w:between w:val="nil"/>
              </w:pBdr>
              <w:ind w:left="113" w:right="-57" w:hanging="113"/>
              <w:rPr>
                <w:color w:val="000000"/>
              </w:rPr>
            </w:pPr>
            <w:r>
              <w:rPr>
                <w:color w:val="000000"/>
              </w:rPr>
              <w:t>- Excellent</w:t>
            </w:r>
          </w:p>
          <w:p w14:paraId="66E7FF87" w14:textId="77777777" w:rsidR="008E5DE4" w:rsidRDefault="00780368">
            <w:pPr>
              <w:widowControl w:val="0"/>
              <w:pBdr>
                <w:top w:val="nil"/>
                <w:left w:val="nil"/>
                <w:bottom w:val="nil"/>
                <w:right w:val="nil"/>
                <w:between w:val="nil"/>
              </w:pBdr>
              <w:ind w:left="113" w:right="-57" w:hanging="113"/>
              <w:rPr>
                <w:color w:val="000000"/>
              </w:rPr>
            </w:pPr>
            <w:r>
              <w:rPr>
                <w:color w:val="000000"/>
              </w:rPr>
              <w:t>- Good</w:t>
            </w:r>
          </w:p>
        </w:tc>
        <w:tc>
          <w:tcPr>
            <w:tcW w:w="1134" w:type="dxa"/>
            <w:vAlign w:val="bottom"/>
          </w:tcPr>
          <w:p w14:paraId="6D42DC1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9018C4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B70909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6794D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8C51D52" w14:textId="77777777" w:rsidR="008E5DE4" w:rsidRDefault="008E5DE4">
            <w:pPr>
              <w:widowControl w:val="0"/>
              <w:pBdr>
                <w:top w:val="nil"/>
                <w:left w:val="nil"/>
                <w:bottom w:val="nil"/>
                <w:right w:val="nil"/>
                <w:between w:val="nil"/>
              </w:pBdr>
              <w:jc w:val="right"/>
              <w:rPr>
                <w:color w:val="000000"/>
              </w:rPr>
            </w:pPr>
          </w:p>
        </w:tc>
      </w:tr>
      <w:tr w:rsidR="008E5DE4" w14:paraId="2275BDE0" w14:textId="77777777">
        <w:trPr>
          <w:cantSplit/>
        </w:trPr>
        <w:tc>
          <w:tcPr>
            <w:tcW w:w="3685" w:type="dxa"/>
            <w:vAlign w:val="bottom"/>
          </w:tcPr>
          <w:p w14:paraId="6BF2DF28" w14:textId="77777777" w:rsidR="008E5DE4" w:rsidRDefault="00780368">
            <w:pPr>
              <w:widowControl w:val="0"/>
              <w:pBdr>
                <w:top w:val="nil"/>
                <w:left w:val="nil"/>
                <w:bottom w:val="nil"/>
                <w:right w:val="nil"/>
                <w:between w:val="nil"/>
              </w:pBdr>
              <w:ind w:left="113" w:right="-57" w:hanging="113"/>
              <w:rPr>
                <w:color w:val="000000"/>
              </w:rPr>
            </w:pPr>
            <w:r>
              <w:rPr>
                <w:color w:val="000000"/>
              </w:rPr>
              <w:t>- Satisfactory</w:t>
            </w:r>
          </w:p>
        </w:tc>
        <w:tc>
          <w:tcPr>
            <w:tcW w:w="1134" w:type="dxa"/>
            <w:vAlign w:val="bottom"/>
          </w:tcPr>
          <w:p w14:paraId="5F67EFC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1657A1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D094F9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93F5D8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EF2C4D3" w14:textId="77777777" w:rsidR="008E5DE4" w:rsidRDefault="008E5DE4">
            <w:pPr>
              <w:widowControl w:val="0"/>
              <w:pBdr>
                <w:top w:val="nil"/>
                <w:left w:val="nil"/>
                <w:bottom w:val="nil"/>
                <w:right w:val="nil"/>
                <w:between w:val="nil"/>
              </w:pBdr>
              <w:jc w:val="right"/>
              <w:rPr>
                <w:color w:val="000000"/>
              </w:rPr>
            </w:pPr>
          </w:p>
        </w:tc>
      </w:tr>
      <w:tr w:rsidR="008E5DE4" w14:paraId="74796432" w14:textId="77777777">
        <w:trPr>
          <w:cantSplit/>
        </w:trPr>
        <w:tc>
          <w:tcPr>
            <w:tcW w:w="3685" w:type="dxa"/>
            <w:vAlign w:val="bottom"/>
          </w:tcPr>
          <w:p w14:paraId="1A021172"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5C63F87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23EB91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B50012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749CFF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BB7B63" w14:textId="77777777" w:rsidR="008E5DE4" w:rsidRDefault="008E5DE4">
            <w:pPr>
              <w:widowControl w:val="0"/>
              <w:pBdr>
                <w:top w:val="nil"/>
                <w:left w:val="nil"/>
                <w:bottom w:val="nil"/>
                <w:right w:val="nil"/>
                <w:between w:val="nil"/>
              </w:pBdr>
              <w:jc w:val="right"/>
              <w:rPr>
                <w:color w:val="000000"/>
              </w:rPr>
            </w:pPr>
          </w:p>
        </w:tc>
      </w:tr>
      <w:tr w:rsidR="008E5DE4" w14:paraId="74FC85F2" w14:textId="77777777">
        <w:trPr>
          <w:cantSplit/>
        </w:trPr>
        <w:tc>
          <w:tcPr>
            <w:tcW w:w="3685" w:type="dxa"/>
            <w:vAlign w:val="bottom"/>
          </w:tcPr>
          <w:p w14:paraId="7005CD32" w14:textId="77777777" w:rsidR="008E5DE4" w:rsidRDefault="00780368">
            <w:pPr>
              <w:widowControl w:val="0"/>
              <w:pBdr>
                <w:top w:val="nil"/>
                <w:left w:val="nil"/>
                <w:bottom w:val="nil"/>
                <w:right w:val="nil"/>
                <w:between w:val="nil"/>
              </w:pBdr>
              <w:ind w:left="113" w:right="-57" w:hanging="113"/>
              <w:rPr>
                <w:color w:val="000000"/>
              </w:rPr>
            </w:pPr>
            <w:r>
              <w:rPr>
                <w:color w:val="000000"/>
              </w:rPr>
              <w:t>- Default</w:t>
            </w:r>
          </w:p>
        </w:tc>
        <w:tc>
          <w:tcPr>
            <w:tcW w:w="1134" w:type="dxa"/>
            <w:vAlign w:val="bottom"/>
          </w:tcPr>
          <w:p w14:paraId="299DDAE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7E3540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1BDD1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2FDDD4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01EB46D" w14:textId="77777777" w:rsidR="008E5DE4" w:rsidRDefault="008E5DE4">
            <w:pPr>
              <w:widowControl w:val="0"/>
              <w:pBdr>
                <w:top w:val="nil"/>
                <w:left w:val="nil"/>
                <w:bottom w:val="nil"/>
                <w:right w:val="nil"/>
                <w:between w:val="nil"/>
              </w:pBdr>
              <w:jc w:val="right"/>
              <w:rPr>
                <w:color w:val="000000"/>
              </w:rPr>
            </w:pPr>
          </w:p>
        </w:tc>
      </w:tr>
      <w:tr w:rsidR="008E5DE4" w14:paraId="55EEC552" w14:textId="77777777">
        <w:trPr>
          <w:cantSplit/>
        </w:trPr>
        <w:tc>
          <w:tcPr>
            <w:tcW w:w="3685" w:type="dxa"/>
            <w:tcBorders>
              <w:bottom w:val="single" w:sz="4" w:space="0" w:color="000000"/>
            </w:tcBorders>
            <w:vAlign w:val="bottom"/>
          </w:tcPr>
          <w:p w14:paraId="16AB98A4"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500B8BA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5F8F80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B50228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C4848F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C23011F" w14:textId="77777777" w:rsidR="008E5DE4" w:rsidRDefault="008E5DE4">
            <w:pPr>
              <w:widowControl w:val="0"/>
              <w:pBdr>
                <w:top w:val="nil"/>
                <w:left w:val="nil"/>
                <w:bottom w:val="nil"/>
                <w:right w:val="nil"/>
                <w:between w:val="nil"/>
              </w:pBdr>
              <w:jc w:val="right"/>
              <w:rPr>
                <w:color w:val="000000"/>
              </w:rPr>
            </w:pPr>
          </w:p>
        </w:tc>
      </w:tr>
      <w:tr w:rsidR="008E5DE4" w14:paraId="30D6E8EB" w14:textId="77777777">
        <w:trPr>
          <w:cantSplit/>
        </w:trPr>
        <w:tc>
          <w:tcPr>
            <w:tcW w:w="3685" w:type="dxa"/>
            <w:tcBorders>
              <w:top w:val="single" w:sz="4" w:space="0" w:color="000000"/>
            </w:tcBorders>
            <w:vAlign w:val="bottom"/>
          </w:tcPr>
          <w:p w14:paraId="4414CA6F"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6CA6D08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69A9A7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424B5C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F5D5D8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BD977D5" w14:textId="77777777" w:rsidR="008E5DE4" w:rsidRDefault="008E5DE4">
            <w:pPr>
              <w:widowControl w:val="0"/>
              <w:pBdr>
                <w:top w:val="nil"/>
                <w:left w:val="nil"/>
                <w:bottom w:val="nil"/>
                <w:right w:val="nil"/>
                <w:between w:val="nil"/>
              </w:pBdr>
              <w:jc w:val="right"/>
              <w:rPr>
                <w:color w:val="000000"/>
              </w:rPr>
            </w:pPr>
          </w:p>
        </w:tc>
      </w:tr>
      <w:tr w:rsidR="008E5DE4" w14:paraId="189966EB" w14:textId="77777777">
        <w:trPr>
          <w:cantSplit/>
        </w:trPr>
        <w:tc>
          <w:tcPr>
            <w:tcW w:w="3685" w:type="dxa"/>
            <w:vAlign w:val="bottom"/>
          </w:tcPr>
          <w:p w14:paraId="3FB23E3C" w14:textId="77777777" w:rsidR="008E5DE4" w:rsidRDefault="00780368">
            <w:pPr>
              <w:widowControl w:val="0"/>
              <w:pBdr>
                <w:top w:val="nil"/>
                <w:left w:val="nil"/>
                <w:bottom w:val="nil"/>
                <w:right w:val="nil"/>
                <w:between w:val="nil"/>
              </w:pBdr>
              <w:ind w:left="113" w:right="-57" w:hanging="113"/>
              <w:rPr>
                <w:b/>
                <w:color w:val="000000"/>
              </w:rPr>
            </w:pPr>
            <w:r>
              <w:rPr>
                <w:b/>
                <w:color w:val="000000"/>
              </w:rPr>
              <w:t>Gross carrying amount</w:t>
            </w:r>
          </w:p>
        </w:tc>
        <w:tc>
          <w:tcPr>
            <w:tcW w:w="1134" w:type="dxa"/>
            <w:vAlign w:val="bottom"/>
          </w:tcPr>
          <w:p w14:paraId="340A6CD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FE8DA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8C60A8" w14:textId="77777777" w:rsidR="008E5DE4" w:rsidRDefault="008E5DE4">
            <w:pPr>
              <w:widowControl w:val="0"/>
              <w:pBdr>
                <w:top w:val="nil"/>
                <w:left w:val="nil"/>
                <w:bottom w:val="nil"/>
                <w:right w:val="nil"/>
                <w:between w:val="nil"/>
              </w:pBdr>
              <w:rPr>
                <w:color w:val="000000"/>
              </w:rPr>
            </w:pPr>
          </w:p>
        </w:tc>
        <w:tc>
          <w:tcPr>
            <w:tcW w:w="1134" w:type="dxa"/>
            <w:vAlign w:val="bottom"/>
          </w:tcPr>
          <w:p w14:paraId="626500F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E21DAD" w14:textId="77777777" w:rsidR="008E5DE4" w:rsidRDefault="008E5DE4">
            <w:pPr>
              <w:widowControl w:val="0"/>
              <w:pBdr>
                <w:top w:val="nil"/>
                <w:left w:val="nil"/>
                <w:bottom w:val="nil"/>
                <w:right w:val="nil"/>
                <w:between w:val="nil"/>
              </w:pBdr>
              <w:jc w:val="right"/>
              <w:rPr>
                <w:color w:val="000000"/>
              </w:rPr>
            </w:pPr>
          </w:p>
        </w:tc>
      </w:tr>
      <w:tr w:rsidR="008E5DE4" w14:paraId="1B166D02" w14:textId="77777777">
        <w:trPr>
          <w:cantSplit/>
        </w:trPr>
        <w:tc>
          <w:tcPr>
            <w:tcW w:w="3685" w:type="dxa"/>
            <w:tcBorders>
              <w:bottom w:val="single" w:sz="4" w:space="0" w:color="000000"/>
            </w:tcBorders>
            <w:vAlign w:val="bottom"/>
          </w:tcPr>
          <w:p w14:paraId="500DFC85"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439D482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3E668E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952F9C6"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3F44FFF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51B8050" w14:textId="77777777" w:rsidR="008E5DE4" w:rsidRDefault="008E5DE4">
            <w:pPr>
              <w:widowControl w:val="0"/>
              <w:pBdr>
                <w:top w:val="nil"/>
                <w:left w:val="nil"/>
                <w:bottom w:val="nil"/>
                <w:right w:val="nil"/>
                <w:between w:val="nil"/>
              </w:pBdr>
              <w:jc w:val="right"/>
              <w:rPr>
                <w:color w:val="000000"/>
              </w:rPr>
            </w:pPr>
          </w:p>
        </w:tc>
      </w:tr>
      <w:tr w:rsidR="008E5DE4" w14:paraId="6926DBAB" w14:textId="77777777">
        <w:trPr>
          <w:cantSplit/>
        </w:trPr>
        <w:tc>
          <w:tcPr>
            <w:tcW w:w="3685" w:type="dxa"/>
            <w:tcBorders>
              <w:top w:val="single" w:sz="4" w:space="0" w:color="000000"/>
            </w:tcBorders>
            <w:vAlign w:val="bottom"/>
          </w:tcPr>
          <w:p w14:paraId="4660A770"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050458FF"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12D6D1E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640602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EB5264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689A25F" w14:textId="77777777" w:rsidR="008E5DE4" w:rsidRDefault="008E5DE4">
            <w:pPr>
              <w:widowControl w:val="0"/>
              <w:pBdr>
                <w:top w:val="nil"/>
                <w:left w:val="nil"/>
                <w:bottom w:val="nil"/>
                <w:right w:val="nil"/>
                <w:between w:val="nil"/>
              </w:pBdr>
              <w:jc w:val="right"/>
              <w:rPr>
                <w:color w:val="000000"/>
              </w:rPr>
            </w:pPr>
          </w:p>
        </w:tc>
      </w:tr>
      <w:tr w:rsidR="008E5DE4" w14:paraId="28673C17" w14:textId="77777777">
        <w:trPr>
          <w:cantSplit/>
        </w:trPr>
        <w:tc>
          <w:tcPr>
            <w:tcW w:w="3685" w:type="dxa"/>
            <w:vAlign w:val="bottom"/>
          </w:tcPr>
          <w:p w14:paraId="12C62210"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34" w:type="dxa"/>
            <w:vAlign w:val="bottom"/>
          </w:tcPr>
          <w:p w14:paraId="56158BB7" w14:textId="77777777" w:rsidR="008E5DE4" w:rsidRDefault="008E5DE4">
            <w:pPr>
              <w:widowControl w:val="0"/>
              <w:pBdr>
                <w:top w:val="nil"/>
                <w:left w:val="nil"/>
                <w:bottom w:val="nil"/>
                <w:right w:val="nil"/>
                <w:between w:val="nil"/>
              </w:pBdr>
              <w:rPr>
                <w:color w:val="000000"/>
              </w:rPr>
            </w:pPr>
          </w:p>
        </w:tc>
        <w:tc>
          <w:tcPr>
            <w:tcW w:w="1134" w:type="dxa"/>
            <w:vAlign w:val="bottom"/>
          </w:tcPr>
          <w:p w14:paraId="139DC56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6AA8C5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7D66E2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4C7667" w14:textId="77777777" w:rsidR="008E5DE4" w:rsidRDefault="008E5DE4">
            <w:pPr>
              <w:widowControl w:val="0"/>
              <w:pBdr>
                <w:top w:val="nil"/>
                <w:left w:val="nil"/>
                <w:bottom w:val="nil"/>
                <w:right w:val="nil"/>
                <w:between w:val="nil"/>
              </w:pBdr>
              <w:jc w:val="right"/>
              <w:rPr>
                <w:color w:val="000000"/>
              </w:rPr>
            </w:pPr>
          </w:p>
        </w:tc>
      </w:tr>
      <w:tr w:rsidR="008E5DE4" w14:paraId="309E4C99" w14:textId="77777777">
        <w:trPr>
          <w:cantSplit/>
        </w:trPr>
        <w:tc>
          <w:tcPr>
            <w:tcW w:w="3685" w:type="dxa"/>
            <w:tcBorders>
              <w:bottom w:val="single" w:sz="4" w:space="0" w:color="000000"/>
            </w:tcBorders>
            <w:vAlign w:val="bottom"/>
          </w:tcPr>
          <w:p w14:paraId="1B78FCC6"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0B85F72C"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2D68122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C8D1A5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C39447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C046B89" w14:textId="77777777" w:rsidR="008E5DE4" w:rsidRDefault="008E5DE4">
            <w:pPr>
              <w:widowControl w:val="0"/>
              <w:pBdr>
                <w:top w:val="nil"/>
                <w:left w:val="nil"/>
                <w:bottom w:val="nil"/>
                <w:right w:val="nil"/>
                <w:between w:val="nil"/>
              </w:pBdr>
              <w:jc w:val="right"/>
              <w:rPr>
                <w:color w:val="000000"/>
              </w:rPr>
            </w:pPr>
          </w:p>
        </w:tc>
      </w:tr>
      <w:tr w:rsidR="008E5DE4" w14:paraId="60A7B1E6" w14:textId="77777777">
        <w:trPr>
          <w:cantSplit/>
        </w:trPr>
        <w:tc>
          <w:tcPr>
            <w:tcW w:w="3685" w:type="dxa"/>
            <w:tcBorders>
              <w:top w:val="single" w:sz="4" w:space="0" w:color="000000"/>
            </w:tcBorders>
            <w:vAlign w:val="bottom"/>
          </w:tcPr>
          <w:p w14:paraId="43ED5DA7"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042EA1D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C047F1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38C6D1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D42267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DCA3031" w14:textId="77777777" w:rsidR="008E5DE4" w:rsidRDefault="008E5DE4">
            <w:pPr>
              <w:widowControl w:val="0"/>
              <w:pBdr>
                <w:top w:val="nil"/>
                <w:left w:val="nil"/>
                <w:bottom w:val="nil"/>
                <w:right w:val="nil"/>
                <w:between w:val="nil"/>
              </w:pBdr>
              <w:jc w:val="right"/>
              <w:rPr>
                <w:color w:val="000000"/>
              </w:rPr>
            </w:pPr>
          </w:p>
        </w:tc>
      </w:tr>
      <w:tr w:rsidR="008E5DE4" w14:paraId="38DBADCF" w14:textId="77777777">
        <w:trPr>
          <w:cantSplit/>
        </w:trPr>
        <w:tc>
          <w:tcPr>
            <w:tcW w:w="3685" w:type="dxa"/>
            <w:vAlign w:val="bottom"/>
          </w:tcPr>
          <w:p w14:paraId="1C60A630" w14:textId="77777777" w:rsidR="008E5DE4" w:rsidRDefault="00780368">
            <w:pPr>
              <w:widowControl w:val="0"/>
              <w:pBdr>
                <w:top w:val="nil"/>
                <w:left w:val="nil"/>
                <w:bottom w:val="nil"/>
                <w:right w:val="nil"/>
                <w:between w:val="nil"/>
              </w:pBdr>
              <w:ind w:left="113" w:right="-57" w:hanging="113"/>
              <w:rPr>
                <w:b/>
                <w:color w:val="000000"/>
              </w:rPr>
            </w:pPr>
            <w:r>
              <w:rPr>
                <w:b/>
                <w:color w:val="000000"/>
              </w:rPr>
              <w:t>Carrying amount</w:t>
            </w:r>
          </w:p>
        </w:tc>
        <w:tc>
          <w:tcPr>
            <w:tcW w:w="1134" w:type="dxa"/>
            <w:vAlign w:val="bottom"/>
          </w:tcPr>
          <w:p w14:paraId="42D44CE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977FC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0ED0A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367C08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E51F2C7" w14:textId="77777777" w:rsidR="008E5DE4" w:rsidRDefault="008E5DE4">
            <w:pPr>
              <w:widowControl w:val="0"/>
              <w:pBdr>
                <w:top w:val="nil"/>
                <w:left w:val="nil"/>
                <w:bottom w:val="nil"/>
                <w:right w:val="nil"/>
                <w:between w:val="nil"/>
              </w:pBdr>
              <w:jc w:val="right"/>
              <w:rPr>
                <w:color w:val="000000"/>
              </w:rPr>
            </w:pPr>
          </w:p>
        </w:tc>
      </w:tr>
      <w:tr w:rsidR="008E5DE4" w14:paraId="71A16FE5" w14:textId="77777777">
        <w:trPr>
          <w:cantSplit/>
        </w:trPr>
        <w:tc>
          <w:tcPr>
            <w:tcW w:w="3685" w:type="dxa"/>
            <w:tcBorders>
              <w:bottom w:val="single" w:sz="12" w:space="0" w:color="000000"/>
            </w:tcBorders>
            <w:vAlign w:val="bottom"/>
          </w:tcPr>
          <w:p w14:paraId="5EA7BF28" w14:textId="77777777" w:rsidR="008E5DE4" w:rsidRDefault="008E5DE4">
            <w:pPr>
              <w:widowControl w:val="0"/>
              <w:pBdr>
                <w:top w:val="nil"/>
                <w:left w:val="nil"/>
                <w:bottom w:val="nil"/>
                <w:right w:val="nil"/>
                <w:between w:val="nil"/>
              </w:pBdr>
              <w:ind w:left="113" w:right="-57" w:hanging="113"/>
              <w:rPr>
                <w:b/>
                <w:color w:val="000000"/>
              </w:rPr>
            </w:pPr>
          </w:p>
        </w:tc>
        <w:tc>
          <w:tcPr>
            <w:tcW w:w="1134" w:type="dxa"/>
            <w:tcBorders>
              <w:bottom w:val="single" w:sz="12" w:space="0" w:color="000000"/>
            </w:tcBorders>
            <w:vAlign w:val="bottom"/>
          </w:tcPr>
          <w:p w14:paraId="645D3D0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7FABA5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18CB671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4E3D80E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28878260" w14:textId="77777777" w:rsidR="008E5DE4" w:rsidRDefault="008E5DE4">
            <w:pPr>
              <w:widowControl w:val="0"/>
              <w:pBdr>
                <w:top w:val="nil"/>
                <w:left w:val="nil"/>
                <w:bottom w:val="nil"/>
                <w:right w:val="nil"/>
                <w:between w:val="nil"/>
              </w:pBdr>
              <w:jc w:val="right"/>
              <w:rPr>
                <w:color w:val="000000"/>
              </w:rPr>
            </w:pPr>
          </w:p>
        </w:tc>
      </w:tr>
    </w:tbl>
    <w:p w14:paraId="594E87EB"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34C13995" w14:textId="257E785F" w:rsidR="008E5DE4" w:rsidRDefault="00780368">
      <w:pPr>
        <w:widowControl w:val="0"/>
        <w:spacing w:before="200" w:after="200"/>
        <w:rPr>
          <w:sz w:val="20"/>
          <w:szCs w:val="20"/>
        </w:rPr>
      </w:pPr>
      <w:r>
        <w:rPr>
          <w:sz w:val="20"/>
          <w:szCs w:val="20"/>
        </w:rPr>
        <w:t xml:space="preserve">The credit quality of loans carried at amortised cost is as follows </w:t>
      </w:r>
      <w:proofErr w:type="gramStart"/>
      <w:r>
        <w:rPr>
          <w:sz w:val="20"/>
          <w:szCs w:val="20"/>
        </w:rPr>
        <w:t>at</w:t>
      </w:r>
      <w:proofErr w:type="gramEnd"/>
      <w:r>
        <w:rPr>
          <w:sz w:val="20"/>
          <w:szCs w:val="20"/>
        </w:rPr>
        <w:t xml:space="preserve"> 31 December </w:t>
      </w:r>
      <w:r w:rsidR="00FF468A">
        <w:rPr>
          <w:sz w:val="20"/>
          <w:szCs w:val="20"/>
        </w:rPr>
        <w:t>2024</w:t>
      </w:r>
      <w:r>
        <w:rPr>
          <w:sz w:val="20"/>
          <w:szCs w:val="20"/>
        </w:rPr>
        <w:t>:</w:t>
      </w:r>
    </w:p>
    <w:tbl>
      <w:tblPr>
        <w:tblStyle w:val="afffff"/>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795F1663" w14:textId="77777777">
        <w:trPr>
          <w:cantSplit/>
          <w:tblHeader/>
        </w:trPr>
        <w:tc>
          <w:tcPr>
            <w:tcW w:w="3685" w:type="dxa"/>
            <w:tcBorders>
              <w:bottom w:val="single" w:sz="4" w:space="0" w:color="000000"/>
            </w:tcBorders>
            <w:vAlign w:val="bottom"/>
          </w:tcPr>
          <w:p w14:paraId="73CAE297"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4963B669"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1159C838"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3C62B94D"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326B9837"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64BB3644"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7D1DC90F"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7AB7360A" w14:textId="77777777" w:rsidR="008E5DE4" w:rsidRDefault="00780368">
            <w:pPr>
              <w:widowControl w:val="0"/>
              <w:pBdr>
                <w:top w:val="nil"/>
                <w:left w:val="nil"/>
                <w:bottom w:val="nil"/>
                <w:right w:val="nil"/>
                <w:between w:val="nil"/>
              </w:pBdr>
              <w:ind w:left="-113"/>
              <w:jc w:val="right"/>
              <w:rPr>
                <w:b/>
                <w:color w:val="000000"/>
              </w:rPr>
            </w:pPr>
            <w:r>
              <w:rPr>
                <w:b/>
                <w:color w:val="000000"/>
              </w:rPr>
              <w:t>POCI</w:t>
            </w:r>
          </w:p>
        </w:tc>
        <w:tc>
          <w:tcPr>
            <w:tcW w:w="1134" w:type="dxa"/>
            <w:tcBorders>
              <w:bottom w:val="single" w:sz="4" w:space="0" w:color="000000"/>
            </w:tcBorders>
          </w:tcPr>
          <w:p w14:paraId="61A1058E"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0A1C5E6C" w14:textId="77777777">
        <w:trPr>
          <w:cantSplit/>
          <w:tblHeader/>
        </w:trPr>
        <w:tc>
          <w:tcPr>
            <w:tcW w:w="3685" w:type="dxa"/>
            <w:vAlign w:val="bottom"/>
          </w:tcPr>
          <w:p w14:paraId="4FEAD331" w14:textId="77777777" w:rsidR="008E5DE4" w:rsidRDefault="00780368">
            <w:pPr>
              <w:widowControl w:val="0"/>
              <w:ind w:left="113" w:right="-57" w:hanging="113"/>
            </w:pPr>
            <w:r>
              <w:t> </w:t>
            </w:r>
          </w:p>
        </w:tc>
        <w:tc>
          <w:tcPr>
            <w:tcW w:w="1134" w:type="dxa"/>
            <w:vAlign w:val="bottom"/>
          </w:tcPr>
          <w:p w14:paraId="7EB4E91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D6040C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0A2B9B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DBC433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A6BF17F" w14:textId="77777777" w:rsidR="008E5DE4" w:rsidRDefault="008E5DE4">
            <w:pPr>
              <w:widowControl w:val="0"/>
              <w:pBdr>
                <w:top w:val="nil"/>
                <w:left w:val="nil"/>
                <w:bottom w:val="nil"/>
                <w:right w:val="nil"/>
                <w:between w:val="nil"/>
              </w:pBdr>
              <w:jc w:val="right"/>
              <w:rPr>
                <w:color w:val="000000"/>
              </w:rPr>
            </w:pPr>
          </w:p>
        </w:tc>
      </w:tr>
      <w:tr w:rsidR="008E5DE4" w14:paraId="2EFC25E9" w14:textId="77777777">
        <w:trPr>
          <w:cantSplit/>
        </w:trPr>
        <w:tc>
          <w:tcPr>
            <w:tcW w:w="3685" w:type="dxa"/>
            <w:vAlign w:val="bottom"/>
          </w:tcPr>
          <w:p w14:paraId="7D5EFB12"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Corporate loans</w:t>
            </w:r>
          </w:p>
        </w:tc>
        <w:tc>
          <w:tcPr>
            <w:tcW w:w="1134" w:type="dxa"/>
            <w:vAlign w:val="bottom"/>
          </w:tcPr>
          <w:p w14:paraId="3FD2D75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9B79A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97924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2D2882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1BD1C86" w14:textId="77777777" w:rsidR="008E5DE4" w:rsidRDefault="008E5DE4">
            <w:pPr>
              <w:widowControl w:val="0"/>
              <w:pBdr>
                <w:top w:val="nil"/>
                <w:left w:val="nil"/>
                <w:bottom w:val="nil"/>
                <w:right w:val="nil"/>
                <w:between w:val="nil"/>
              </w:pBdr>
              <w:jc w:val="right"/>
              <w:rPr>
                <w:color w:val="000000"/>
              </w:rPr>
            </w:pPr>
          </w:p>
        </w:tc>
      </w:tr>
      <w:tr w:rsidR="008E5DE4" w14:paraId="3D364D42" w14:textId="77777777">
        <w:trPr>
          <w:cantSplit/>
        </w:trPr>
        <w:tc>
          <w:tcPr>
            <w:tcW w:w="3685" w:type="dxa"/>
            <w:vAlign w:val="bottom"/>
          </w:tcPr>
          <w:p w14:paraId="1A473556"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38D5E7F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31437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9F5869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B3A2E3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20B0E74" w14:textId="77777777" w:rsidR="008E5DE4" w:rsidRDefault="008E5DE4">
            <w:pPr>
              <w:widowControl w:val="0"/>
              <w:pBdr>
                <w:top w:val="nil"/>
                <w:left w:val="nil"/>
                <w:bottom w:val="nil"/>
                <w:right w:val="nil"/>
                <w:between w:val="nil"/>
              </w:pBdr>
              <w:jc w:val="right"/>
              <w:rPr>
                <w:color w:val="000000"/>
              </w:rPr>
            </w:pPr>
          </w:p>
        </w:tc>
      </w:tr>
      <w:tr w:rsidR="008E5DE4" w14:paraId="4BE887EF" w14:textId="77777777">
        <w:trPr>
          <w:cantSplit/>
        </w:trPr>
        <w:tc>
          <w:tcPr>
            <w:tcW w:w="3685" w:type="dxa"/>
            <w:vAlign w:val="bottom"/>
          </w:tcPr>
          <w:p w14:paraId="673EC400" w14:textId="77777777" w:rsidR="008E5DE4" w:rsidRDefault="00780368">
            <w:pPr>
              <w:widowControl w:val="0"/>
              <w:pBdr>
                <w:top w:val="nil"/>
                <w:left w:val="nil"/>
                <w:bottom w:val="nil"/>
                <w:right w:val="nil"/>
                <w:between w:val="nil"/>
              </w:pBdr>
              <w:ind w:left="113" w:right="-57" w:hanging="113"/>
              <w:rPr>
                <w:color w:val="000000"/>
              </w:rPr>
            </w:pPr>
            <w:r>
              <w:rPr>
                <w:color w:val="000000"/>
              </w:rPr>
              <w:t>- Excellent</w:t>
            </w:r>
          </w:p>
        </w:tc>
        <w:tc>
          <w:tcPr>
            <w:tcW w:w="1134" w:type="dxa"/>
            <w:vAlign w:val="bottom"/>
          </w:tcPr>
          <w:p w14:paraId="6DF22AD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E6230B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7F4397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F4C973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851F9CB" w14:textId="77777777" w:rsidR="008E5DE4" w:rsidRDefault="008E5DE4">
            <w:pPr>
              <w:widowControl w:val="0"/>
              <w:pBdr>
                <w:top w:val="nil"/>
                <w:left w:val="nil"/>
                <w:bottom w:val="nil"/>
                <w:right w:val="nil"/>
                <w:between w:val="nil"/>
              </w:pBdr>
              <w:jc w:val="right"/>
              <w:rPr>
                <w:color w:val="000000"/>
              </w:rPr>
            </w:pPr>
          </w:p>
        </w:tc>
      </w:tr>
      <w:tr w:rsidR="008E5DE4" w14:paraId="013725B2" w14:textId="77777777">
        <w:trPr>
          <w:cantSplit/>
        </w:trPr>
        <w:tc>
          <w:tcPr>
            <w:tcW w:w="3685" w:type="dxa"/>
            <w:vAlign w:val="bottom"/>
          </w:tcPr>
          <w:p w14:paraId="32B3B597" w14:textId="77777777" w:rsidR="008E5DE4" w:rsidRDefault="00780368">
            <w:pPr>
              <w:widowControl w:val="0"/>
              <w:pBdr>
                <w:top w:val="nil"/>
                <w:left w:val="nil"/>
                <w:bottom w:val="nil"/>
                <w:right w:val="nil"/>
                <w:between w:val="nil"/>
              </w:pBdr>
              <w:ind w:left="113" w:right="-57" w:hanging="113"/>
              <w:rPr>
                <w:color w:val="000000"/>
              </w:rPr>
            </w:pPr>
            <w:r>
              <w:rPr>
                <w:color w:val="000000"/>
              </w:rPr>
              <w:t>- Good</w:t>
            </w:r>
          </w:p>
        </w:tc>
        <w:tc>
          <w:tcPr>
            <w:tcW w:w="1134" w:type="dxa"/>
            <w:vAlign w:val="bottom"/>
          </w:tcPr>
          <w:p w14:paraId="334A2C8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F9C477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96E47B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C22D1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49B87C" w14:textId="77777777" w:rsidR="008E5DE4" w:rsidRDefault="008E5DE4">
            <w:pPr>
              <w:widowControl w:val="0"/>
              <w:pBdr>
                <w:top w:val="nil"/>
                <w:left w:val="nil"/>
                <w:bottom w:val="nil"/>
                <w:right w:val="nil"/>
                <w:between w:val="nil"/>
              </w:pBdr>
              <w:jc w:val="right"/>
              <w:rPr>
                <w:color w:val="000000"/>
              </w:rPr>
            </w:pPr>
          </w:p>
        </w:tc>
      </w:tr>
      <w:tr w:rsidR="008E5DE4" w14:paraId="60D9858C" w14:textId="77777777">
        <w:trPr>
          <w:cantSplit/>
        </w:trPr>
        <w:tc>
          <w:tcPr>
            <w:tcW w:w="3685" w:type="dxa"/>
            <w:vAlign w:val="bottom"/>
          </w:tcPr>
          <w:p w14:paraId="3BADDD6E" w14:textId="77777777" w:rsidR="008E5DE4" w:rsidRDefault="00780368">
            <w:pPr>
              <w:widowControl w:val="0"/>
              <w:pBdr>
                <w:top w:val="nil"/>
                <w:left w:val="nil"/>
                <w:bottom w:val="nil"/>
                <w:right w:val="nil"/>
                <w:between w:val="nil"/>
              </w:pBdr>
              <w:ind w:left="113" w:right="-57" w:hanging="113"/>
              <w:rPr>
                <w:color w:val="000000"/>
              </w:rPr>
            </w:pPr>
            <w:r>
              <w:rPr>
                <w:color w:val="000000"/>
              </w:rPr>
              <w:t>- Satisfactory</w:t>
            </w:r>
          </w:p>
        </w:tc>
        <w:tc>
          <w:tcPr>
            <w:tcW w:w="1134" w:type="dxa"/>
            <w:vAlign w:val="bottom"/>
          </w:tcPr>
          <w:p w14:paraId="18148E8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7AD37A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3D9EC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00CAE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773CF03" w14:textId="77777777" w:rsidR="008E5DE4" w:rsidRDefault="008E5DE4">
            <w:pPr>
              <w:widowControl w:val="0"/>
              <w:pBdr>
                <w:top w:val="nil"/>
                <w:left w:val="nil"/>
                <w:bottom w:val="nil"/>
                <w:right w:val="nil"/>
                <w:between w:val="nil"/>
              </w:pBdr>
              <w:jc w:val="right"/>
              <w:rPr>
                <w:color w:val="000000"/>
              </w:rPr>
            </w:pPr>
          </w:p>
        </w:tc>
      </w:tr>
      <w:tr w:rsidR="008E5DE4" w14:paraId="7CD9C729" w14:textId="77777777">
        <w:trPr>
          <w:cantSplit/>
        </w:trPr>
        <w:tc>
          <w:tcPr>
            <w:tcW w:w="3685" w:type="dxa"/>
            <w:vAlign w:val="bottom"/>
          </w:tcPr>
          <w:p w14:paraId="13E53570"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5B3FBA8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6E42A7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3D9AA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63C65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BC3213" w14:textId="77777777" w:rsidR="008E5DE4" w:rsidRDefault="008E5DE4">
            <w:pPr>
              <w:widowControl w:val="0"/>
              <w:pBdr>
                <w:top w:val="nil"/>
                <w:left w:val="nil"/>
                <w:bottom w:val="nil"/>
                <w:right w:val="nil"/>
                <w:between w:val="nil"/>
              </w:pBdr>
              <w:jc w:val="right"/>
              <w:rPr>
                <w:color w:val="000000"/>
              </w:rPr>
            </w:pPr>
          </w:p>
        </w:tc>
      </w:tr>
      <w:tr w:rsidR="008E5DE4" w14:paraId="3F17E6F4" w14:textId="77777777">
        <w:trPr>
          <w:cantSplit/>
        </w:trPr>
        <w:tc>
          <w:tcPr>
            <w:tcW w:w="3685" w:type="dxa"/>
            <w:vAlign w:val="bottom"/>
          </w:tcPr>
          <w:p w14:paraId="49BA5BF1" w14:textId="77777777" w:rsidR="008E5DE4" w:rsidRDefault="00780368">
            <w:pPr>
              <w:widowControl w:val="0"/>
              <w:pBdr>
                <w:top w:val="nil"/>
                <w:left w:val="nil"/>
                <w:bottom w:val="nil"/>
                <w:right w:val="nil"/>
                <w:between w:val="nil"/>
              </w:pBdr>
              <w:ind w:left="113" w:right="-57" w:hanging="113"/>
              <w:rPr>
                <w:color w:val="000000"/>
              </w:rPr>
            </w:pPr>
            <w:r>
              <w:rPr>
                <w:color w:val="000000"/>
              </w:rPr>
              <w:t>- Default</w:t>
            </w:r>
          </w:p>
        </w:tc>
        <w:tc>
          <w:tcPr>
            <w:tcW w:w="1134" w:type="dxa"/>
            <w:vAlign w:val="bottom"/>
          </w:tcPr>
          <w:p w14:paraId="0D6603B2" w14:textId="77777777" w:rsidR="008E5DE4" w:rsidRDefault="008E5DE4">
            <w:pPr>
              <w:widowControl w:val="0"/>
              <w:pBdr>
                <w:top w:val="nil"/>
                <w:left w:val="nil"/>
                <w:bottom w:val="nil"/>
                <w:right w:val="nil"/>
                <w:between w:val="nil"/>
              </w:pBdr>
              <w:rPr>
                <w:color w:val="000000"/>
              </w:rPr>
            </w:pPr>
          </w:p>
        </w:tc>
        <w:tc>
          <w:tcPr>
            <w:tcW w:w="1134" w:type="dxa"/>
            <w:vAlign w:val="bottom"/>
          </w:tcPr>
          <w:p w14:paraId="1DA880A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5C815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BDA344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D13790F" w14:textId="77777777" w:rsidR="008E5DE4" w:rsidRDefault="008E5DE4">
            <w:pPr>
              <w:widowControl w:val="0"/>
              <w:pBdr>
                <w:top w:val="nil"/>
                <w:left w:val="nil"/>
                <w:bottom w:val="nil"/>
                <w:right w:val="nil"/>
                <w:between w:val="nil"/>
              </w:pBdr>
              <w:jc w:val="right"/>
              <w:rPr>
                <w:color w:val="000000"/>
              </w:rPr>
            </w:pPr>
          </w:p>
        </w:tc>
      </w:tr>
      <w:tr w:rsidR="008E5DE4" w14:paraId="032C8EDA" w14:textId="77777777">
        <w:trPr>
          <w:cantSplit/>
        </w:trPr>
        <w:tc>
          <w:tcPr>
            <w:tcW w:w="3685" w:type="dxa"/>
            <w:tcBorders>
              <w:bottom w:val="single" w:sz="4" w:space="0" w:color="000000"/>
            </w:tcBorders>
            <w:vAlign w:val="bottom"/>
          </w:tcPr>
          <w:p w14:paraId="1303E274"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17133E61"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584CD89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71E126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7B451A1"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BAC7C61" w14:textId="77777777" w:rsidR="008E5DE4" w:rsidRDefault="008E5DE4">
            <w:pPr>
              <w:widowControl w:val="0"/>
              <w:pBdr>
                <w:top w:val="nil"/>
                <w:left w:val="nil"/>
                <w:bottom w:val="nil"/>
                <w:right w:val="nil"/>
                <w:between w:val="nil"/>
              </w:pBdr>
              <w:jc w:val="right"/>
              <w:rPr>
                <w:color w:val="000000"/>
              </w:rPr>
            </w:pPr>
          </w:p>
        </w:tc>
      </w:tr>
      <w:tr w:rsidR="008E5DE4" w14:paraId="55B523B9" w14:textId="77777777">
        <w:trPr>
          <w:cantSplit/>
        </w:trPr>
        <w:tc>
          <w:tcPr>
            <w:tcW w:w="3685" w:type="dxa"/>
            <w:tcBorders>
              <w:top w:val="single" w:sz="4" w:space="0" w:color="000000"/>
            </w:tcBorders>
            <w:vAlign w:val="bottom"/>
          </w:tcPr>
          <w:p w14:paraId="5F70ED1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0A44E93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0B3F3F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2A336C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A79474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9B090F1" w14:textId="77777777" w:rsidR="008E5DE4" w:rsidRDefault="008E5DE4">
            <w:pPr>
              <w:widowControl w:val="0"/>
              <w:pBdr>
                <w:top w:val="nil"/>
                <w:left w:val="nil"/>
                <w:bottom w:val="nil"/>
                <w:right w:val="nil"/>
                <w:between w:val="nil"/>
              </w:pBdr>
              <w:jc w:val="right"/>
              <w:rPr>
                <w:color w:val="000000"/>
              </w:rPr>
            </w:pPr>
          </w:p>
        </w:tc>
      </w:tr>
      <w:tr w:rsidR="008E5DE4" w14:paraId="77B15D35" w14:textId="77777777">
        <w:trPr>
          <w:cantSplit/>
        </w:trPr>
        <w:tc>
          <w:tcPr>
            <w:tcW w:w="3685" w:type="dxa"/>
            <w:vAlign w:val="bottom"/>
          </w:tcPr>
          <w:p w14:paraId="21285690" w14:textId="77777777" w:rsidR="008E5DE4" w:rsidRDefault="00780368">
            <w:pPr>
              <w:widowControl w:val="0"/>
              <w:pBdr>
                <w:top w:val="nil"/>
                <w:left w:val="nil"/>
                <w:bottom w:val="nil"/>
                <w:right w:val="nil"/>
                <w:between w:val="nil"/>
              </w:pBdr>
              <w:ind w:left="113" w:right="-57" w:hanging="113"/>
              <w:rPr>
                <w:b/>
                <w:color w:val="000000"/>
              </w:rPr>
            </w:pPr>
            <w:r>
              <w:rPr>
                <w:b/>
                <w:color w:val="000000"/>
              </w:rPr>
              <w:t>Gross carrying amount</w:t>
            </w:r>
          </w:p>
        </w:tc>
        <w:tc>
          <w:tcPr>
            <w:tcW w:w="1134" w:type="dxa"/>
            <w:vAlign w:val="bottom"/>
          </w:tcPr>
          <w:p w14:paraId="238D8A7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804A00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47C5FB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70151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0E6F77D" w14:textId="77777777" w:rsidR="008E5DE4" w:rsidRDefault="008E5DE4">
            <w:pPr>
              <w:widowControl w:val="0"/>
              <w:pBdr>
                <w:top w:val="nil"/>
                <w:left w:val="nil"/>
                <w:bottom w:val="nil"/>
                <w:right w:val="nil"/>
                <w:between w:val="nil"/>
              </w:pBdr>
              <w:jc w:val="right"/>
              <w:rPr>
                <w:color w:val="000000"/>
              </w:rPr>
            </w:pPr>
          </w:p>
        </w:tc>
      </w:tr>
      <w:tr w:rsidR="008E5DE4" w14:paraId="453DA142" w14:textId="77777777">
        <w:trPr>
          <w:cantSplit/>
        </w:trPr>
        <w:tc>
          <w:tcPr>
            <w:tcW w:w="3685" w:type="dxa"/>
            <w:tcBorders>
              <w:bottom w:val="single" w:sz="4" w:space="0" w:color="000000"/>
            </w:tcBorders>
            <w:vAlign w:val="bottom"/>
          </w:tcPr>
          <w:p w14:paraId="6A51C28C"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5DA15E4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2AADFC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05887A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F59C74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23E9096" w14:textId="77777777" w:rsidR="008E5DE4" w:rsidRDefault="008E5DE4">
            <w:pPr>
              <w:widowControl w:val="0"/>
              <w:pBdr>
                <w:top w:val="nil"/>
                <w:left w:val="nil"/>
                <w:bottom w:val="nil"/>
                <w:right w:val="nil"/>
                <w:between w:val="nil"/>
              </w:pBdr>
              <w:jc w:val="right"/>
              <w:rPr>
                <w:color w:val="000000"/>
              </w:rPr>
            </w:pPr>
          </w:p>
        </w:tc>
      </w:tr>
      <w:tr w:rsidR="008E5DE4" w14:paraId="4FB23188" w14:textId="77777777">
        <w:trPr>
          <w:cantSplit/>
        </w:trPr>
        <w:tc>
          <w:tcPr>
            <w:tcW w:w="3685" w:type="dxa"/>
            <w:tcBorders>
              <w:top w:val="single" w:sz="4" w:space="0" w:color="000000"/>
            </w:tcBorders>
            <w:vAlign w:val="bottom"/>
          </w:tcPr>
          <w:p w14:paraId="686047D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50B15F18"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3F9A00F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2232CF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A80CC8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A335E36" w14:textId="77777777" w:rsidR="008E5DE4" w:rsidRDefault="008E5DE4">
            <w:pPr>
              <w:widowControl w:val="0"/>
              <w:pBdr>
                <w:top w:val="nil"/>
                <w:left w:val="nil"/>
                <w:bottom w:val="nil"/>
                <w:right w:val="nil"/>
                <w:between w:val="nil"/>
              </w:pBdr>
              <w:jc w:val="right"/>
              <w:rPr>
                <w:color w:val="000000"/>
              </w:rPr>
            </w:pPr>
          </w:p>
        </w:tc>
      </w:tr>
      <w:tr w:rsidR="008E5DE4" w14:paraId="4E1F545D" w14:textId="77777777">
        <w:trPr>
          <w:cantSplit/>
        </w:trPr>
        <w:tc>
          <w:tcPr>
            <w:tcW w:w="3685" w:type="dxa"/>
            <w:vAlign w:val="bottom"/>
          </w:tcPr>
          <w:p w14:paraId="0223082D"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34" w:type="dxa"/>
            <w:vAlign w:val="bottom"/>
          </w:tcPr>
          <w:p w14:paraId="14FD4AB1" w14:textId="77777777" w:rsidR="008E5DE4" w:rsidRDefault="008E5DE4">
            <w:pPr>
              <w:widowControl w:val="0"/>
              <w:pBdr>
                <w:top w:val="nil"/>
                <w:left w:val="nil"/>
                <w:bottom w:val="nil"/>
                <w:right w:val="nil"/>
                <w:between w:val="nil"/>
              </w:pBdr>
              <w:rPr>
                <w:color w:val="000000"/>
              </w:rPr>
            </w:pPr>
          </w:p>
        </w:tc>
        <w:tc>
          <w:tcPr>
            <w:tcW w:w="1134" w:type="dxa"/>
            <w:vAlign w:val="bottom"/>
          </w:tcPr>
          <w:p w14:paraId="54271F7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EE63A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371041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1B594EF" w14:textId="77777777" w:rsidR="008E5DE4" w:rsidRDefault="008E5DE4">
            <w:pPr>
              <w:widowControl w:val="0"/>
              <w:pBdr>
                <w:top w:val="nil"/>
                <w:left w:val="nil"/>
                <w:bottom w:val="nil"/>
                <w:right w:val="nil"/>
                <w:between w:val="nil"/>
              </w:pBdr>
              <w:jc w:val="right"/>
              <w:rPr>
                <w:color w:val="000000"/>
              </w:rPr>
            </w:pPr>
          </w:p>
        </w:tc>
      </w:tr>
      <w:tr w:rsidR="008E5DE4" w14:paraId="1A2C9F58" w14:textId="77777777">
        <w:trPr>
          <w:cantSplit/>
        </w:trPr>
        <w:tc>
          <w:tcPr>
            <w:tcW w:w="3685" w:type="dxa"/>
            <w:vAlign w:val="bottom"/>
          </w:tcPr>
          <w:p w14:paraId="22F44ED3"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1180C2BB" w14:textId="77777777" w:rsidR="008E5DE4" w:rsidRDefault="008E5DE4">
            <w:pPr>
              <w:widowControl w:val="0"/>
              <w:pBdr>
                <w:top w:val="nil"/>
                <w:left w:val="nil"/>
                <w:bottom w:val="nil"/>
                <w:right w:val="nil"/>
                <w:between w:val="nil"/>
              </w:pBdr>
              <w:rPr>
                <w:color w:val="000000"/>
              </w:rPr>
            </w:pPr>
          </w:p>
        </w:tc>
        <w:tc>
          <w:tcPr>
            <w:tcW w:w="1134" w:type="dxa"/>
            <w:vAlign w:val="bottom"/>
          </w:tcPr>
          <w:p w14:paraId="13BB3DC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13CC2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310843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BAD80A3" w14:textId="77777777" w:rsidR="008E5DE4" w:rsidRDefault="008E5DE4">
            <w:pPr>
              <w:widowControl w:val="0"/>
              <w:pBdr>
                <w:top w:val="nil"/>
                <w:left w:val="nil"/>
                <w:bottom w:val="nil"/>
                <w:right w:val="nil"/>
                <w:between w:val="nil"/>
              </w:pBdr>
              <w:jc w:val="right"/>
              <w:rPr>
                <w:color w:val="000000"/>
              </w:rPr>
            </w:pPr>
          </w:p>
        </w:tc>
      </w:tr>
      <w:tr w:rsidR="008E5DE4" w14:paraId="362E89B8" w14:textId="77777777">
        <w:trPr>
          <w:cantSplit/>
        </w:trPr>
        <w:tc>
          <w:tcPr>
            <w:tcW w:w="3685" w:type="dxa"/>
            <w:tcBorders>
              <w:top w:val="single" w:sz="4" w:space="0" w:color="000000"/>
            </w:tcBorders>
            <w:vAlign w:val="bottom"/>
          </w:tcPr>
          <w:p w14:paraId="3CE9BA4D"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6D9CF2D0"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391C036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2BB91B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0D1C04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9CADA89" w14:textId="77777777" w:rsidR="008E5DE4" w:rsidRDefault="008E5DE4">
            <w:pPr>
              <w:widowControl w:val="0"/>
              <w:pBdr>
                <w:top w:val="nil"/>
                <w:left w:val="nil"/>
                <w:bottom w:val="nil"/>
                <w:right w:val="nil"/>
                <w:between w:val="nil"/>
              </w:pBdr>
              <w:jc w:val="right"/>
              <w:rPr>
                <w:color w:val="000000"/>
              </w:rPr>
            </w:pPr>
          </w:p>
        </w:tc>
      </w:tr>
      <w:tr w:rsidR="008E5DE4" w14:paraId="413A435A" w14:textId="77777777">
        <w:trPr>
          <w:cantSplit/>
        </w:trPr>
        <w:tc>
          <w:tcPr>
            <w:tcW w:w="3685" w:type="dxa"/>
            <w:vAlign w:val="bottom"/>
          </w:tcPr>
          <w:p w14:paraId="32662A6A" w14:textId="77777777" w:rsidR="008E5DE4" w:rsidRDefault="00780368">
            <w:pPr>
              <w:widowControl w:val="0"/>
              <w:pBdr>
                <w:top w:val="nil"/>
                <w:left w:val="nil"/>
                <w:bottom w:val="nil"/>
                <w:right w:val="nil"/>
                <w:between w:val="nil"/>
              </w:pBdr>
              <w:ind w:left="113" w:right="-57" w:hanging="113"/>
              <w:rPr>
                <w:b/>
                <w:color w:val="000000"/>
              </w:rPr>
            </w:pPr>
            <w:r>
              <w:rPr>
                <w:b/>
                <w:color w:val="000000"/>
              </w:rPr>
              <w:t>Carrying amount</w:t>
            </w:r>
          </w:p>
        </w:tc>
        <w:tc>
          <w:tcPr>
            <w:tcW w:w="1134" w:type="dxa"/>
            <w:vAlign w:val="bottom"/>
          </w:tcPr>
          <w:p w14:paraId="147604CB" w14:textId="77777777" w:rsidR="008E5DE4" w:rsidRDefault="008E5DE4">
            <w:pPr>
              <w:widowControl w:val="0"/>
              <w:pBdr>
                <w:top w:val="nil"/>
                <w:left w:val="nil"/>
                <w:bottom w:val="nil"/>
                <w:right w:val="nil"/>
                <w:between w:val="nil"/>
              </w:pBdr>
              <w:rPr>
                <w:color w:val="000000"/>
              </w:rPr>
            </w:pPr>
          </w:p>
        </w:tc>
        <w:tc>
          <w:tcPr>
            <w:tcW w:w="1134" w:type="dxa"/>
            <w:vAlign w:val="bottom"/>
          </w:tcPr>
          <w:p w14:paraId="0EA2A2E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4F885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2EACC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A71E17" w14:textId="77777777" w:rsidR="008E5DE4" w:rsidRDefault="008E5DE4">
            <w:pPr>
              <w:widowControl w:val="0"/>
              <w:pBdr>
                <w:top w:val="nil"/>
                <w:left w:val="nil"/>
                <w:bottom w:val="nil"/>
                <w:right w:val="nil"/>
                <w:between w:val="nil"/>
              </w:pBdr>
              <w:jc w:val="right"/>
              <w:rPr>
                <w:color w:val="000000"/>
              </w:rPr>
            </w:pPr>
          </w:p>
        </w:tc>
      </w:tr>
      <w:tr w:rsidR="008E5DE4" w14:paraId="767B17A2" w14:textId="77777777">
        <w:trPr>
          <w:cantSplit/>
        </w:trPr>
        <w:tc>
          <w:tcPr>
            <w:tcW w:w="3685" w:type="dxa"/>
            <w:tcBorders>
              <w:bottom w:val="single" w:sz="12" w:space="0" w:color="000000"/>
            </w:tcBorders>
            <w:vAlign w:val="bottom"/>
          </w:tcPr>
          <w:p w14:paraId="7336BC38"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15DF9919" w14:textId="77777777" w:rsidR="008E5DE4" w:rsidRDefault="008E5DE4">
            <w:pPr>
              <w:widowControl w:val="0"/>
              <w:pBdr>
                <w:top w:val="nil"/>
                <w:left w:val="nil"/>
                <w:bottom w:val="nil"/>
                <w:right w:val="nil"/>
                <w:between w:val="nil"/>
              </w:pBdr>
              <w:rPr>
                <w:color w:val="000000"/>
              </w:rPr>
            </w:pPr>
          </w:p>
        </w:tc>
        <w:tc>
          <w:tcPr>
            <w:tcW w:w="1134" w:type="dxa"/>
            <w:tcBorders>
              <w:bottom w:val="single" w:sz="12" w:space="0" w:color="000000"/>
            </w:tcBorders>
            <w:vAlign w:val="bottom"/>
          </w:tcPr>
          <w:p w14:paraId="3E01052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482FCEC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D1BD2A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F6D12E7" w14:textId="77777777" w:rsidR="008E5DE4" w:rsidRDefault="008E5DE4">
            <w:pPr>
              <w:widowControl w:val="0"/>
              <w:pBdr>
                <w:top w:val="nil"/>
                <w:left w:val="nil"/>
                <w:bottom w:val="nil"/>
                <w:right w:val="nil"/>
                <w:between w:val="nil"/>
              </w:pBdr>
              <w:jc w:val="right"/>
              <w:rPr>
                <w:color w:val="000000"/>
              </w:rPr>
            </w:pPr>
          </w:p>
        </w:tc>
      </w:tr>
      <w:tr w:rsidR="008E5DE4" w14:paraId="2FE0CB0D" w14:textId="77777777">
        <w:trPr>
          <w:cantSplit/>
        </w:trPr>
        <w:tc>
          <w:tcPr>
            <w:tcW w:w="3685" w:type="dxa"/>
            <w:tcBorders>
              <w:top w:val="single" w:sz="12" w:space="0" w:color="000000"/>
            </w:tcBorders>
            <w:vAlign w:val="bottom"/>
          </w:tcPr>
          <w:p w14:paraId="6B469B62"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12" w:space="0" w:color="000000"/>
            </w:tcBorders>
            <w:vAlign w:val="bottom"/>
          </w:tcPr>
          <w:p w14:paraId="0EC3F06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0DEB0F6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0DBB277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5FE6689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2547003C" w14:textId="77777777" w:rsidR="008E5DE4" w:rsidRDefault="008E5DE4">
            <w:pPr>
              <w:widowControl w:val="0"/>
              <w:pBdr>
                <w:top w:val="nil"/>
                <w:left w:val="nil"/>
                <w:bottom w:val="nil"/>
                <w:right w:val="nil"/>
                <w:between w:val="nil"/>
              </w:pBdr>
              <w:jc w:val="right"/>
              <w:rPr>
                <w:color w:val="000000"/>
              </w:rPr>
            </w:pPr>
          </w:p>
        </w:tc>
      </w:tr>
      <w:tr w:rsidR="008E5DE4" w14:paraId="5423AFB2" w14:textId="77777777">
        <w:trPr>
          <w:cantSplit/>
        </w:trPr>
        <w:tc>
          <w:tcPr>
            <w:tcW w:w="3685" w:type="dxa"/>
            <w:vAlign w:val="bottom"/>
          </w:tcPr>
          <w:p w14:paraId="5DDA6F9D"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State and municipal organisations</w:t>
            </w:r>
          </w:p>
        </w:tc>
        <w:tc>
          <w:tcPr>
            <w:tcW w:w="1134" w:type="dxa"/>
            <w:vAlign w:val="bottom"/>
          </w:tcPr>
          <w:p w14:paraId="1FF8B53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34D27B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1F999C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F8D62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E0D6D37" w14:textId="77777777" w:rsidR="008E5DE4" w:rsidRDefault="008E5DE4">
            <w:pPr>
              <w:widowControl w:val="0"/>
              <w:pBdr>
                <w:top w:val="nil"/>
                <w:left w:val="nil"/>
                <w:bottom w:val="nil"/>
                <w:right w:val="nil"/>
                <w:between w:val="nil"/>
              </w:pBdr>
              <w:jc w:val="right"/>
              <w:rPr>
                <w:color w:val="000000"/>
              </w:rPr>
            </w:pPr>
          </w:p>
        </w:tc>
      </w:tr>
      <w:tr w:rsidR="008E5DE4" w14:paraId="76C7E964" w14:textId="77777777">
        <w:trPr>
          <w:cantSplit/>
        </w:trPr>
        <w:tc>
          <w:tcPr>
            <w:tcW w:w="3685" w:type="dxa"/>
            <w:vAlign w:val="bottom"/>
          </w:tcPr>
          <w:p w14:paraId="78181BE6"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4FF3376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0A10CC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D75495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78BC79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8754AEA" w14:textId="77777777" w:rsidR="008E5DE4" w:rsidRDefault="008E5DE4">
            <w:pPr>
              <w:widowControl w:val="0"/>
              <w:pBdr>
                <w:top w:val="nil"/>
                <w:left w:val="nil"/>
                <w:bottom w:val="nil"/>
                <w:right w:val="nil"/>
                <w:between w:val="nil"/>
              </w:pBdr>
              <w:jc w:val="right"/>
              <w:rPr>
                <w:color w:val="000000"/>
              </w:rPr>
            </w:pPr>
          </w:p>
        </w:tc>
      </w:tr>
      <w:tr w:rsidR="008E5DE4" w14:paraId="3AB7B4EE" w14:textId="77777777">
        <w:trPr>
          <w:cantSplit/>
        </w:trPr>
        <w:tc>
          <w:tcPr>
            <w:tcW w:w="3685" w:type="dxa"/>
            <w:vAlign w:val="bottom"/>
          </w:tcPr>
          <w:p w14:paraId="6E51A13A" w14:textId="77777777" w:rsidR="008E5DE4" w:rsidRDefault="00780368">
            <w:pPr>
              <w:widowControl w:val="0"/>
              <w:pBdr>
                <w:top w:val="nil"/>
                <w:left w:val="nil"/>
                <w:bottom w:val="nil"/>
                <w:right w:val="nil"/>
                <w:between w:val="nil"/>
              </w:pBdr>
              <w:ind w:left="113" w:right="-57" w:hanging="113"/>
              <w:rPr>
                <w:color w:val="000000"/>
              </w:rPr>
            </w:pPr>
            <w:r>
              <w:rPr>
                <w:color w:val="000000"/>
              </w:rPr>
              <w:t>- Excellent</w:t>
            </w:r>
          </w:p>
          <w:p w14:paraId="4CA330AB" w14:textId="77777777" w:rsidR="008E5DE4" w:rsidRDefault="00780368">
            <w:pPr>
              <w:widowControl w:val="0"/>
              <w:pBdr>
                <w:top w:val="nil"/>
                <w:left w:val="nil"/>
                <w:bottom w:val="nil"/>
                <w:right w:val="nil"/>
                <w:between w:val="nil"/>
              </w:pBdr>
              <w:ind w:left="113" w:right="-57" w:hanging="113"/>
              <w:rPr>
                <w:color w:val="000000"/>
              </w:rPr>
            </w:pPr>
            <w:r>
              <w:rPr>
                <w:color w:val="000000"/>
              </w:rPr>
              <w:t>- Good</w:t>
            </w:r>
          </w:p>
        </w:tc>
        <w:tc>
          <w:tcPr>
            <w:tcW w:w="1134" w:type="dxa"/>
            <w:vAlign w:val="bottom"/>
          </w:tcPr>
          <w:p w14:paraId="2B8F010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827AC3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506435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C527BD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66682E" w14:textId="77777777" w:rsidR="008E5DE4" w:rsidRDefault="008E5DE4">
            <w:pPr>
              <w:widowControl w:val="0"/>
              <w:pBdr>
                <w:top w:val="nil"/>
                <w:left w:val="nil"/>
                <w:bottom w:val="nil"/>
                <w:right w:val="nil"/>
                <w:between w:val="nil"/>
              </w:pBdr>
              <w:jc w:val="right"/>
              <w:rPr>
                <w:color w:val="000000"/>
              </w:rPr>
            </w:pPr>
          </w:p>
        </w:tc>
      </w:tr>
      <w:tr w:rsidR="008E5DE4" w14:paraId="1E1459AF" w14:textId="77777777">
        <w:trPr>
          <w:cantSplit/>
        </w:trPr>
        <w:tc>
          <w:tcPr>
            <w:tcW w:w="3685" w:type="dxa"/>
            <w:vAlign w:val="bottom"/>
          </w:tcPr>
          <w:p w14:paraId="34A4F0FE" w14:textId="77777777" w:rsidR="008E5DE4" w:rsidRDefault="00780368">
            <w:pPr>
              <w:widowControl w:val="0"/>
              <w:pBdr>
                <w:top w:val="nil"/>
                <w:left w:val="nil"/>
                <w:bottom w:val="nil"/>
                <w:right w:val="nil"/>
                <w:between w:val="nil"/>
              </w:pBdr>
              <w:ind w:left="113" w:right="-57" w:hanging="113"/>
              <w:rPr>
                <w:color w:val="000000"/>
              </w:rPr>
            </w:pPr>
            <w:r>
              <w:rPr>
                <w:color w:val="000000"/>
              </w:rPr>
              <w:t>- Satisfactory</w:t>
            </w:r>
          </w:p>
        </w:tc>
        <w:tc>
          <w:tcPr>
            <w:tcW w:w="1134" w:type="dxa"/>
            <w:vAlign w:val="bottom"/>
          </w:tcPr>
          <w:p w14:paraId="36BE14A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2AC5A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4ED44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D6E875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44BE16F" w14:textId="77777777" w:rsidR="008E5DE4" w:rsidRDefault="008E5DE4">
            <w:pPr>
              <w:widowControl w:val="0"/>
              <w:pBdr>
                <w:top w:val="nil"/>
                <w:left w:val="nil"/>
                <w:bottom w:val="nil"/>
                <w:right w:val="nil"/>
                <w:between w:val="nil"/>
              </w:pBdr>
              <w:jc w:val="right"/>
              <w:rPr>
                <w:color w:val="000000"/>
              </w:rPr>
            </w:pPr>
          </w:p>
        </w:tc>
      </w:tr>
      <w:tr w:rsidR="008E5DE4" w14:paraId="19E4BCA3" w14:textId="77777777">
        <w:trPr>
          <w:cantSplit/>
        </w:trPr>
        <w:tc>
          <w:tcPr>
            <w:tcW w:w="3685" w:type="dxa"/>
            <w:vAlign w:val="bottom"/>
          </w:tcPr>
          <w:p w14:paraId="0DC159E1"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4DA1D54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47F8B5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104E5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99FDA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6A4C34A" w14:textId="77777777" w:rsidR="008E5DE4" w:rsidRDefault="008E5DE4">
            <w:pPr>
              <w:widowControl w:val="0"/>
              <w:pBdr>
                <w:top w:val="nil"/>
                <w:left w:val="nil"/>
                <w:bottom w:val="nil"/>
                <w:right w:val="nil"/>
                <w:between w:val="nil"/>
              </w:pBdr>
              <w:jc w:val="right"/>
              <w:rPr>
                <w:color w:val="000000"/>
              </w:rPr>
            </w:pPr>
          </w:p>
        </w:tc>
      </w:tr>
      <w:tr w:rsidR="008E5DE4" w14:paraId="23FA3F6D" w14:textId="77777777">
        <w:trPr>
          <w:cantSplit/>
        </w:trPr>
        <w:tc>
          <w:tcPr>
            <w:tcW w:w="3685" w:type="dxa"/>
            <w:vAlign w:val="bottom"/>
          </w:tcPr>
          <w:p w14:paraId="77256904" w14:textId="77777777" w:rsidR="008E5DE4" w:rsidRDefault="00780368">
            <w:pPr>
              <w:widowControl w:val="0"/>
              <w:pBdr>
                <w:top w:val="nil"/>
                <w:left w:val="nil"/>
                <w:bottom w:val="nil"/>
                <w:right w:val="nil"/>
                <w:between w:val="nil"/>
              </w:pBdr>
              <w:ind w:left="113" w:right="-57" w:hanging="113"/>
              <w:rPr>
                <w:color w:val="000000"/>
              </w:rPr>
            </w:pPr>
            <w:r>
              <w:rPr>
                <w:color w:val="000000"/>
              </w:rPr>
              <w:t>- Default</w:t>
            </w:r>
          </w:p>
        </w:tc>
        <w:tc>
          <w:tcPr>
            <w:tcW w:w="1134" w:type="dxa"/>
            <w:vAlign w:val="bottom"/>
          </w:tcPr>
          <w:p w14:paraId="713ABA4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50A4C4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71D291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4BD52F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245C6B" w14:textId="77777777" w:rsidR="008E5DE4" w:rsidRDefault="008E5DE4">
            <w:pPr>
              <w:widowControl w:val="0"/>
              <w:pBdr>
                <w:top w:val="nil"/>
                <w:left w:val="nil"/>
                <w:bottom w:val="nil"/>
                <w:right w:val="nil"/>
                <w:between w:val="nil"/>
              </w:pBdr>
              <w:jc w:val="right"/>
              <w:rPr>
                <w:color w:val="000000"/>
              </w:rPr>
            </w:pPr>
          </w:p>
        </w:tc>
      </w:tr>
      <w:tr w:rsidR="008E5DE4" w14:paraId="3C450006" w14:textId="77777777">
        <w:trPr>
          <w:cantSplit/>
        </w:trPr>
        <w:tc>
          <w:tcPr>
            <w:tcW w:w="3685" w:type="dxa"/>
            <w:tcBorders>
              <w:bottom w:val="single" w:sz="4" w:space="0" w:color="000000"/>
            </w:tcBorders>
            <w:vAlign w:val="bottom"/>
          </w:tcPr>
          <w:p w14:paraId="5260082C"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4926561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EC10BC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EEE2C03"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21B2A9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73D7882" w14:textId="77777777" w:rsidR="008E5DE4" w:rsidRDefault="008E5DE4">
            <w:pPr>
              <w:widowControl w:val="0"/>
              <w:pBdr>
                <w:top w:val="nil"/>
                <w:left w:val="nil"/>
                <w:bottom w:val="nil"/>
                <w:right w:val="nil"/>
                <w:between w:val="nil"/>
              </w:pBdr>
              <w:jc w:val="right"/>
              <w:rPr>
                <w:color w:val="000000"/>
              </w:rPr>
            </w:pPr>
          </w:p>
        </w:tc>
      </w:tr>
      <w:tr w:rsidR="008E5DE4" w14:paraId="1AA033C4" w14:textId="77777777">
        <w:trPr>
          <w:cantSplit/>
        </w:trPr>
        <w:tc>
          <w:tcPr>
            <w:tcW w:w="3685" w:type="dxa"/>
            <w:tcBorders>
              <w:top w:val="single" w:sz="4" w:space="0" w:color="000000"/>
            </w:tcBorders>
            <w:vAlign w:val="bottom"/>
          </w:tcPr>
          <w:p w14:paraId="3E1ECD22"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EB05AD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E9A64A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414B72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9C44F5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B252243" w14:textId="77777777" w:rsidR="008E5DE4" w:rsidRDefault="008E5DE4">
            <w:pPr>
              <w:widowControl w:val="0"/>
              <w:pBdr>
                <w:top w:val="nil"/>
                <w:left w:val="nil"/>
                <w:bottom w:val="nil"/>
                <w:right w:val="nil"/>
                <w:between w:val="nil"/>
              </w:pBdr>
              <w:jc w:val="right"/>
              <w:rPr>
                <w:color w:val="000000"/>
              </w:rPr>
            </w:pPr>
          </w:p>
        </w:tc>
      </w:tr>
      <w:tr w:rsidR="008E5DE4" w14:paraId="330EE512" w14:textId="77777777">
        <w:trPr>
          <w:cantSplit/>
        </w:trPr>
        <w:tc>
          <w:tcPr>
            <w:tcW w:w="3685" w:type="dxa"/>
            <w:vAlign w:val="bottom"/>
          </w:tcPr>
          <w:p w14:paraId="0EEEAE5D" w14:textId="77777777" w:rsidR="008E5DE4" w:rsidRDefault="00780368">
            <w:pPr>
              <w:widowControl w:val="0"/>
              <w:pBdr>
                <w:top w:val="nil"/>
                <w:left w:val="nil"/>
                <w:bottom w:val="nil"/>
                <w:right w:val="nil"/>
                <w:between w:val="nil"/>
              </w:pBdr>
              <w:ind w:left="113" w:right="-57" w:hanging="113"/>
              <w:rPr>
                <w:b/>
                <w:color w:val="000000"/>
              </w:rPr>
            </w:pPr>
            <w:r>
              <w:rPr>
                <w:b/>
                <w:color w:val="000000"/>
              </w:rPr>
              <w:t>Gross carrying amount</w:t>
            </w:r>
          </w:p>
        </w:tc>
        <w:tc>
          <w:tcPr>
            <w:tcW w:w="1134" w:type="dxa"/>
            <w:vAlign w:val="bottom"/>
          </w:tcPr>
          <w:p w14:paraId="75A3D63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5CD65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996A409" w14:textId="77777777" w:rsidR="008E5DE4" w:rsidRDefault="008E5DE4">
            <w:pPr>
              <w:widowControl w:val="0"/>
              <w:pBdr>
                <w:top w:val="nil"/>
                <w:left w:val="nil"/>
                <w:bottom w:val="nil"/>
                <w:right w:val="nil"/>
                <w:between w:val="nil"/>
              </w:pBdr>
              <w:rPr>
                <w:color w:val="000000"/>
              </w:rPr>
            </w:pPr>
          </w:p>
        </w:tc>
        <w:tc>
          <w:tcPr>
            <w:tcW w:w="1134" w:type="dxa"/>
            <w:vAlign w:val="bottom"/>
          </w:tcPr>
          <w:p w14:paraId="531FD97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7E68F2A" w14:textId="77777777" w:rsidR="008E5DE4" w:rsidRDefault="008E5DE4">
            <w:pPr>
              <w:widowControl w:val="0"/>
              <w:pBdr>
                <w:top w:val="nil"/>
                <w:left w:val="nil"/>
                <w:bottom w:val="nil"/>
                <w:right w:val="nil"/>
                <w:between w:val="nil"/>
              </w:pBdr>
              <w:jc w:val="right"/>
              <w:rPr>
                <w:color w:val="000000"/>
              </w:rPr>
            </w:pPr>
          </w:p>
        </w:tc>
      </w:tr>
      <w:tr w:rsidR="008E5DE4" w14:paraId="1369DDD4" w14:textId="77777777">
        <w:trPr>
          <w:cantSplit/>
        </w:trPr>
        <w:tc>
          <w:tcPr>
            <w:tcW w:w="3685" w:type="dxa"/>
            <w:tcBorders>
              <w:bottom w:val="single" w:sz="4" w:space="0" w:color="000000"/>
            </w:tcBorders>
            <w:vAlign w:val="bottom"/>
          </w:tcPr>
          <w:p w14:paraId="5D76C0D3"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2FD03DF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2E5E201"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81C1FD3"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59FDA4D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2AA8980" w14:textId="77777777" w:rsidR="008E5DE4" w:rsidRDefault="008E5DE4">
            <w:pPr>
              <w:widowControl w:val="0"/>
              <w:pBdr>
                <w:top w:val="nil"/>
                <w:left w:val="nil"/>
                <w:bottom w:val="nil"/>
                <w:right w:val="nil"/>
                <w:between w:val="nil"/>
              </w:pBdr>
              <w:jc w:val="right"/>
              <w:rPr>
                <w:color w:val="000000"/>
              </w:rPr>
            </w:pPr>
          </w:p>
        </w:tc>
      </w:tr>
      <w:tr w:rsidR="008E5DE4" w14:paraId="2F0939EE" w14:textId="77777777">
        <w:trPr>
          <w:cantSplit/>
        </w:trPr>
        <w:tc>
          <w:tcPr>
            <w:tcW w:w="3685" w:type="dxa"/>
            <w:tcBorders>
              <w:top w:val="single" w:sz="4" w:space="0" w:color="000000"/>
            </w:tcBorders>
            <w:vAlign w:val="bottom"/>
          </w:tcPr>
          <w:p w14:paraId="5F6FB7E6"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5BEEE0FF"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763A8CC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F38591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FBF495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86D2AA2" w14:textId="77777777" w:rsidR="008E5DE4" w:rsidRDefault="008E5DE4">
            <w:pPr>
              <w:widowControl w:val="0"/>
              <w:pBdr>
                <w:top w:val="nil"/>
                <w:left w:val="nil"/>
                <w:bottom w:val="nil"/>
                <w:right w:val="nil"/>
                <w:between w:val="nil"/>
              </w:pBdr>
              <w:jc w:val="right"/>
              <w:rPr>
                <w:color w:val="000000"/>
              </w:rPr>
            </w:pPr>
          </w:p>
        </w:tc>
      </w:tr>
      <w:tr w:rsidR="008E5DE4" w14:paraId="4B602E93" w14:textId="77777777">
        <w:trPr>
          <w:cantSplit/>
        </w:trPr>
        <w:tc>
          <w:tcPr>
            <w:tcW w:w="3685" w:type="dxa"/>
            <w:vAlign w:val="bottom"/>
          </w:tcPr>
          <w:p w14:paraId="10003854"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34" w:type="dxa"/>
            <w:vAlign w:val="bottom"/>
          </w:tcPr>
          <w:p w14:paraId="737DB253" w14:textId="77777777" w:rsidR="008E5DE4" w:rsidRDefault="008E5DE4">
            <w:pPr>
              <w:widowControl w:val="0"/>
              <w:pBdr>
                <w:top w:val="nil"/>
                <w:left w:val="nil"/>
                <w:bottom w:val="nil"/>
                <w:right w:val="nil"/>
                <w:between w:val="nil"/>
              </w:pBdr>
              <w:rPr>
                <w:color w:val="000000"/>
              </w:rPr>
            </w:pPr>
          </w:p>
        </w:tc>
        <w:tc>
          <w:tcPr>
            <w:tcW w:w="1134" w:type="dxa"/>
            <w:vAlign w:val="bottom"/>
          </w:tcPr>
          <w:p w14:paraId="382F02C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E896F7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8621C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CA27A8" w14:textId="77777777" w:rsidR="008E5DE4" w:rsidRDefault="008E5DE4">
            <w:pPr>
              <w:widowControl w:val="0"/>
              <w:pBdr>
                <w:top w:val="nil"/>
                <w:left w:val="nil"/>
                <w:bottom w:val="nil"/>
                <w:right w:val="nil"/>
                <w:between w:val="nil"/>
              </w:pBdr>
              <w:jc w:val="right"/>
              <w:rPr>
                <w:color w:val="000000"/>
              </w:rPr>
            </w:pPr>
          </w:p>
        </w:tc>
      </w:tr>
      <w:tr w:rsidR="008E5DE4" w14:paraId="664CC6F9" w14:textId="77777777">
        <w:trPr>
          <w:cantSplit/>
        </w:trPr>
        <w:tc>
          <w:tcPr>
            <w:tcW w:w="3685" w:type="dxa"/>
            <w:tcBorders>
              <w:bottom w:val="single" w:sz="4" w:space="0" w:color="000000"/>
            </w:tcBorders>
            <w:vAlign w:val="bottom"/>
          </w:tcPr>
          <w:p w14:paraId="43E78F60"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257424C7"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73B3A40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DA8BA8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D0864A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609F019" w14:textId="77777777" w:rsidR="008E5DE4" w:rsidRDefault="008E5DE4">
            <w:pPr>
              <w:widowControl w:val="0"/>
              <w:pBdr>
                <w:top w:val="nil"/>
                <w:left w:val="nil"/>
                <w:bottom w:val="nil"/>
                <w:right w:val="nil"/>
                <w:between w:val="nil"/>
              </w:pBdr>
              <w:jc w:val="right"/>
              <w:rPr>
                <w:color w:val="000000"/>
              </w:rPr>
            </w:pPr>
          </w:p>
        </w:tc>
      </w:tr>
      <w:tr w:rsidR="008E5DE4" w14:paraId="12A5ECC5" w14:textId="77777777">
        <w:trPr>
          <w:cantSplit/>
        </w:trPr>
        <w:tc>
          <w:tcPr>
            <w:tcW w:w="3685" w:type="dxa"/>
            <w:tcBorders>
              <w:top w:val="single" w:sz="4" w:space="0" w:color="000000"/>
            </w:tcBorders>
            <w:vAlign w:val="bottom"/>
          </w:tcPr>
          <w:p w14:paraId="2A7A1AC5"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2961C90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76962F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1056BC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8047BED"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F12E346" w14:textId="77777777" w:rsidR="008E5DE4" w:rsidRDefault="008E5DE4">
            <w:pPr>
              <w:widowControl w:val="0"/>
              <w:pBdr>
                <w:top w:val="nil"/>
                <w:left w:val="nil"/>
                <w:bottom w:val="nil"/>
                <w:right w:val="nil"/>
                <w:between w:val="nil"/>
              </w:pBdr>
              <w:jc w:val="right"/>
              <w:rPr>
                <w:color w:val="000000"/>
              </w:rPr>
            </w:pPr>
          </w:p>
        </w:tc>
      </w:tr>
      <w:tr w:rsidR="008E5DE4" w14:paraId="7C4B1554" w14:textId="77777777">
        <w:trPr>
          <w:cantSplit/>
        </w:trPr>
        <w:tc>
          <w:tcPr>
            <w:tcW w:w="3685" w:type="dxa"/>
            <w:vAlign w:val="bottom"/>
          </w:tcPr>
          <w:p w14:paraId="0278EA42" w14:textId="77777777" w:rsidR="008E5DE4" w:rsidRDefault="00780368">
            <w:pPr>
              <w:widowControl w:val="0"/>
              <w:pBdr>
                <w:top w:val="nil"/>
                <w:left w:val="nil"/>
                <w:bottom w:val="nil"/>
                <w:right w:val="nil"/>
                <w:between w:val="nil"/>
              </w:pBdr>
              <w:ind w:left="113" w:right="-57" w:hanging="113"/>
              <w:rPr>
                <w:b/>
                <w:color w:val="000000"/>
              </w:rPr>
            </w:pPr>
            <w:r>
              <w:rPr>
                <w:b/>
                <w:color w:val="000000"/>
              </w:rPr>
              <w:t>Carrying amount</w:t>
            </w:r>
          </w:p>
        </w:tc>
        <w:tc>
          <w:tcPr>
            <w:tcW w:w="1134" w:type="dxa"/>
            <w:vAlign w:val="bottom"/>
          </w:tcPr>
          <w:p w14:paraId="73BF8B4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4F814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31E96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7851CD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B03E18" w14:textId="77777777" w:rsidR="008E5DE4" w:rsidRDefault="008E5DE4">
            <w:pPr>
              <w:widowControl w:val="0"/>
              <w:pBdr>
                <w:top w:val="nil"/>
                <w:left w:val="nil"/>
                <w:bottom w:val="nil"/>
                <w:right w:val="nil"/>
                <w:between w:val="nil"/>
              </w:pBdr>
              <w:jc w:val="right"/>
              <w:rPr>
                <w:color w:val="000000"/>
              </w:rPr>
            </w:pPr>
          </w:p>
        </w:tc>
      </w:tr>
      <w:tr w:rsidR="008E5DE4" w14:paraId="0C333AD4" w14:textId="77777777">
        <w:trPr>
          <w:cantSplit/>
        </w:trPr>
        <w:tc>
          <w:tcPr>
            <w:tcW w:w="3685" w:type="dxa"/>
            <w:tcBorders>
              <w:bottom w:val="single" w:sz="12" w:space="0" w:color="000000"/>
            </w:tcBorders>
            <w:vAlign w:val="bottom"/>
          </w:tcPr>
          <w:p w14:paraId="677E25F5" w14:textId="77777777" w:rsidR="008E5DE4" w:rsidRDefault="008E5DE4">
            <w:pPr>
              <w:widowControl w:val="0"/>
              <w:pBdr>
                <w:top w:val="nil"/>
                <w:left w:val="nil"/>
                <w:bottom w:val="nil"/>
                <w:right w:val="nil"/>
                <w:between w:val="nil"/>
              </w:pBdr>
              <w:ind w:left="113" w:right="-57" w:hanging="113"/>
              <w:rPr>
                <w:b/>
                <w:color w:val="000000"/>
              </w:rPr>
            </w:pPr>
          </w:p>
        </w:tc>
        <w:tc>
          <w:tcPr>
            <w:tcW w:w="1134" w:type="dxa"/>
            <w:tcBorders>
              <w:bottom w:val="single" w:sz="12" w:space="0" w:color="000000"/>
            </w:tcBorders>
            <w:vAlign w:val="bottom"/>
          </w:tcPr>
          <w:p w14:paraId="6D831E5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A2EDBFF"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2BAA61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D81D19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8533C0A" w14:textId="77777777" w:rsidR="008E5DE4" w:rsidRDefault="008E5DE4">
            <w:pPr>
              <w:widowControl w:val="0"/>
              <w:pBdr>
                <w:top w:val="nil"/>
                <w:left w:val="nil"/>
                <w:bottom w:val="nil"/>
                <w:right w:val="nil"/>
                <w:between w:val="nil"/>
              </w:pBdr>
              <w:jc w:val="right"/>
              <w:rPr>
                <w:color w:val="000000"/>
              </w:rPr>
            </w:pPr>
          </w:p>
        </w:tc>
      </w:tr>
    </w:tbl>
    <w:p w14:paraId="24649FC6" w14:textId="63BE1C1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financial effect of collateral is presented by disclosing collateral values separately for (</w:t>
      </w:r>
      <w:proofErr w:type="spellStart"/>
      <w:r>
        <w:rPr>
          <w:color w:val="000000"/>
          <w:sz w:val="20"/>
          <w:szCs w:val="20"/>
        </w:rPr>
        <w:t>i</w:t>
      </w:r>
      <w:proofErr w:type="spellEnd"/>
      <w:r>
        <w:rPr>
          <w:color w:val="000000"/>
          <w:sz w:val="20"/>
          <w:szCs w:val="20"/>
        </w:rPr>
        <w:t xml:space="preserve">) those assets where collateral and other credit enhancements are equal to or exceed the carrying value of the asset (“over-collateralised assets”) and (ii) those assets where collateral and other credit enhancements are less than the carrying value of the asset (“under-collateralised assets”). The effect of collateral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w:t>
      </w:r>
    </w:p>
    <w:tbl>
      <w:tblPr>
        <w:tblStyle w:val="afffff0"/>
        <w:tblW w:w="9354" w:type="dxa"/>
        <w:tblLayout w:type="fixed"/>
        <w:tblLook w:val="0000" w:firstRow="0" w:lastRow="0" w:firstColumn="0" w:lastColumn="0" w:noHBand="0" w:noVBand="0"/>
      </w:tblPr>
      <w:tblGrid>
        <w:gridCol w:w="4138"/>
        <w:gridCol w:w="1304"/>
        <w:gridCol w:w="1304"/>
        <w:gridCol w:w="1304"/>
        <w:gridCol w:w="1304"/>
      </w:tblGrid>
      <w:tr w:rsidR="008E5DE4" w14:paraId="0350FE5D" w14:textId="77777777">
        <w:trPr>
          <w:cantSplit/>
          <w:trHeight w:val="189"/>
        </w:trPr>
        <w:tc>
          <w:tcPr>
            <w:tcW w:w="4139" w:type="dxa"/>
            <w:vAlign w:val="bottom"/>
          </w:tcPr>
          <w:p w14:paraId="435230B8" w14:textId="77777777" w:rsidR="008E5DE4" w:rsidRDefault="008E5DE4">
            <w:pPr>
              <w:widowControl w:val="0"/>
              <w:pBdr>
                <w:top w:val="nil"/>
                <w:left w:val="nil"/>
                <w:bottom w:val="nil"/>
                <w:right w:val="nil"/>
                <w:between w:val="nil"/>
              </w:pBdr>
              <w:ind w:left="113" w:right="-57" w:hanging="113"/>
              <w:rPr>
                <w:b/>
                <w:i/>
                <w:color w:val="000000"/>
              </w:rPr>
            </w:pPr>
          </w:p>
        </w:tc>
        <w:tc>
          <w:tcPr>
            <w:tcW w:w="2608" w:type="dxa"/>
            <w:gridSpan w:val="2"/>
            <w:tcBorders>
              <w:bottom w:val="single" w:sz="4" w:space="0" w:color="000000"/>
            </w:tcBorders>
            <w:vAlign w:val="bottom"/>
          </w:tcPr>
          <w:p w14:paraId="4323C8C1" w14:textId="77777777" w:rsidR="008E5DE4" w:rsidRDefault="00780368">
            <w:pPr>
              <w:widowControl w:val="0"/>
              <w:pBdr>
                <w:top w:val="nil"/>
                <w:left w:val="nil"/>
                <w:bottom w:val="nil"/>
                <w:right w:val="nil"/>
                <w:between w:val="nil"/>
              </w:pBdr>
              <w:jc w:val="center"/>
              <w:rPr>
                <w:b/>
                <w:color w:val="000000"/>
              </w:rPr>
            </w:pPr>
            <w:r>
              <w:rPr>
                <w:b/>
                <w:color w:val="000000"/>
              </w:rPr>
              <w:t>Over-collateralised assets</w:t>
            </w:r>
          </w:p>
        </w:tc>
        <w:tc>
          <w:tcPr>
            <w:tcW w:w="2608" w:type="dxa"/>
            <w:gridSpan w:val="2"/>
            <w:tcBorders>
              <w:bottom w:val="single" w:sz="4" w:space="0" w:color="000000"/>
            </w:tcBorders>
            <w:vAlign w:val="bottom"/>
          </w:tcPr>
          <w:p w14:paraId="4ED959A5" w14:textId="77777777" w:rsidR="008E5DE4" w:rsidRDefault="00780368">
            <w:pPr>
              <w:widowControl w:val="0"/>
              <w:pBdr>
                <w:top w:val="nil"/>
                <w:left w:val="nil"/>
                <w:bottom w:val="nil"/>
                <w:right w:val="nil"/>
                <w:between w:val="nil"/>
              </w:pBdr>
              <w:jc w:val="center"/>
              <w:rPr>
                <w:b/>
                <w:color w:val="000000"/>
              </w:rPr>
            </w:pPr>
            <w:r>
              <w:rPr>
                <w:b/>
                <w:color w:val="000000"/>
              </w:rPr>
              <w:t>Under-collateralised assets</w:t>
            </w:r>
          </w:p>
        </w:tc>
      </w:tr>
      <w:tr w:rsidR="008E5DE4" w14:paraId="67EDCDF2" w14:textId="77777777">
        <w:trPr>
          <w:cantSplit/>
        </w:trPr>
        <w:tc>
          <w:tcPr>
            <w:tcW w:w="4139" w:type="dxa"/>
            <w:tcBorders>
              <w:bottom w:val="single" w:sz="4" w:space="0" w:color="000000"/>
            </w:tcBorders>
            <w:vAlign w:val="bottom"/>
          </w:tcPr>
          <w:p w14:paraId="553AED15" w14:textId="77777777" w:rsidR="008E5DE4" w:rsidRDefault="008E5DE4">
            <w:pPr>
              <w:widowControl w:val="0"/>
              <w:ind w:left="113" w:right="-57" w:hanging="113"/>
              <w:rPr>
                <w:i/>
              </w:rPr>
            </w:pPr>
          </w:p>
          <w:p w14:paraId="50A61A6B" w14:textId="77777777" w:rsidR="008E5DE4" w:rsidRDefault="00780368">
            <w:pPr>
              <w:widowControl w:val="0"/>
              <w:ind w:left="113" w:right="-57" w:hanging="113"/>
              <w:rPr>
                <w:i/>
              </w:rPr>
            </w:pPr>
            <w:r>
              <w:rPr>
                <w:i/>
              </w:rPr>
              <w:t>In thousands of EUR</w:t>
            </w:r>
          </w:p>
        </w:tc>
        <w:tc>
          <w:tcPr>
            <w:tcW w:w="1304" w:type="dxa"/>
            <w:tcBorders>
              <w:top w:val="single" w:sz="4" w:space="0" w:color="000000"/>
              <w:bottom w:val="single" w:sz="4" w:space="0" w:color="000000"/>
            </w:tcBorders>
          </w:tcPr>
          <w:p w14:paraId="0F5058E9"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value of the assets </w:t>
            </w:r>
          </w:p>
        </w:tc>
        <w:tc>
          <w:tcPr>
            <w:tcW w:w="1304" w:type="dxa"/>
            <w:tcBorders>
              <w:top w:val="single" w:sz="4" w:space="0" w:color="000000"/>
              <w:bottom w:val="single" w:sz="4" w:space="0" w:color="000000"/>
            </w:tcBorders>
          </w:tcPr>
          <w:p w14:paraId="186F948D"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c>
          <w:tcPr>
            <w:tcW w:w="1304" w:type="dxa"/>
            <w:tcBorders>
              <w:top w:val="single" w:sz="4" w:space="0" w:color="000000"/>
              <w:bottom w:val="single" w:sz="4" w:space="0" w:color="000000"/>
            </w:tcBorders>
          </w:tcPr>
          <w:p w14:paraId="0BA297A7" w14:textId="77777777" w:rsidR="008E5DE4" w:rsidRDefault="00780368">
            <w:pPr>
              <w:widowControl w:val="0"/>
              <w:pBdr>
                <w:top w:val="nil"/>
                <w:left w:val="nil"/>
                <w:bottom w:val="nil"/>
                <w:right w:val="nil"/>
                <w:between w:val="nil"/>
              </w:pBdr>
              <w:ind w:left="-113"/>
              <w:jc w:val="right"/>
              <w:rPr>
                <w:b/>
                <w:color w:val="000000"/>
              </w:rPr>
            </w:pPr>
            <w:r>
              <w:rPr>
                <w:b/>
                <w:color w:val="000000"/>
              </w:rPr>
              <w:t>Carrying value of the assets</w:t>
            </w:r>
          </w:p>
        </w:tc>
        <w:tc>
          <w:tcPr>
            <w:tcW w:w="1304" w:type="dxa"/>
            <w:tcBorders>
              <w:top w:val="single" w:sz="4" w:space="0" w:color="000000"/>
              <w:bottom w:val="single" w:sz="4" w:space="0" w:color="000000"/>
            </w:tcBorders>
          </w:tcPr>
          <w:p w14:paraId="77A09E82"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r>
      <w:tr w:rsidR="008E5DE4" w14:paraId="26B086BD" w14:textId="77777777">
        <w:trPr>
          <w:cantSplit/>
        </w:trPr>
        <w:tc>
          <w:tcPr>
            <w:tcW w:w="4139" w:type="dxa"/>
            <w:tcBorders>
              <w:top w:val="single" w:sz="4" w:space="0" w:color="000000"/>
            </w:tcBorders>
            <w:vAlign w:val="bottom"/>
          </w:tcPr>
          <w:p w14:paraId="2902AC5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top w:val="single" w:sz="4" w:space="0" w:color="000000"/>
            </w:tcBorders>
            <w:vAlign w:val="bottom"/>
          </w:tcPr>
          <w:p w14:paraId="669A168A"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405F87EC"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2BEE2FC5"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6BAB5388" w14:textId="77777777" w:rsidR="008E5DE4" w:rsidRDefault="008E5DE4">
            <w:pPr>
              <w:widowControl w:val="0"/>
              <w:pBdr>
                <w:top w:val="nil"/>
                <w:left w:val="nil"/>
                <w:bottom w:val="nil"/>
                <w:right w:val="nil"/>
                <w:between w:val="nil"/>
              </w:pBdr>
              <w:jc w:val="right"/>
              <w:rPr>
                <w:color w:val="000000"/>
              </w:rPr>
            </w:pPr>
          </w:p>
        </w:tc>
      </w:tr>
      <w:tr w:rsidR="008E5DE4" w14:paraId="36E0E16F" w14:textId="77777777">
        <w:trPr>
          <w:cantSplit/>
        </w:trPr>
        <w:tc>
          <w:tcPr>
            <w:tcW w:w="4139" w:type="dxa"/>
            <w:vAlign w:val="bottom"/>
          </w:tcPr>
          <w:p w14:paraId="5D2DBDBA" w14:textId="77777777" w:rsidR="008E5DE4" w:rsidRDefault="00780368">
            <w:pPr>
              <w:widowControl w:val="0"/>
              <w:pBdr>
                <w:top w:val="nil"/>
                <w:left w:val="nil"/>
                <w:bottom w:val="nil"/>
                <w:right w:val="nil"/>
                <w:between w:val="nil"/>
              </w:pBdr>
              <w:ind w:left="113" w:right="-57" w:hanging="113"/>
              <w:rPr>
                <w:color w:val="000000"/>
              </w:rPr>
            </w:pPr>
            <w:r>
              <w:rPr>
                <w:color w:val="000000"/>
              </w:rPr>
              <w:t>Corporate loans</w:t>
            </w:r>
          </w:p>
        </w:tc>
        <w:tc>
          <w:tcPr>
            <w:tcW w:w="1304" w:type="dxa"/>
            <w:vAlign w:val="bottom"/>
          </w:tcPr>
          <w:p w14:paraId="3ED463D5"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506C55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FCE323D"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46A2381" w14:textId="77777777" w:rsidR="008E5DE4" w:rsidRDefault="008E5DE4">
            <w:pPr>
              <w:widowControl w:val="0"/>
              <w:pBdr>
                <w:top w:val="nil"/>
                <w:left w:val="nil"/>
                <w:bottom w:val="nil"/>
                <w:right w:val="nil"/>
                <w:between w:val="nil"/>
              </w:pBdr>
              <w:jc w:val="right"/>
              <w:rPr>
                <w:color w:val="000000"/>
              </w:rPr>
            </w:pPr>
          </w:p>
        </w:tc>
      </w:tr>
      <w:tr w:rsidR="008E5DE4" w14:paraId="2150EE06" w14:textId="77777777">
        <w:trPr>
          <w:cantSplit/>
        </w:trPr>
        <w:tc>
          <w:tcPr>
            <w:tcW w:w="4139" w:type="dxa"/>
            <w:vAlign w:val="bottom"/>
          </w:tcPr>
          <w:p w14:paraId="6C35236F" w14:textId="6DE6BD6A" w:rsidR="008E5DE4" w:rsidRDefault="00780368">
            <w:pPr>
              <w:widowControl w:val="0"/>
              <w:pBdr>
                <w:top w:val="nil"/>
                <w:left w:val="nil"/>
                <w:bottom w:val="nil"/>
                <w:right w:val="nil"/>
                <w:between w:val="nil"/>
              </w:pBdr>
              <w:ind w:left="113" w:right="-57" w:hanging="113"/>
              <w:rPr>
                <w:color w:val="000000"/>
              </w:rPr>
            </w:pPr>
            <w:r>
              <w:rPr>
                <w:color w:val="000000"/>
              </w:rPr>
              <w:t>State and municipal organisations</w:t>
            </w:r>
          </w:p>
        </w:tc>
        <w:tc>
          <w:tcPr>
            <w:tcW w:w="1304" w:type="dxa"/>
            <w:vAlign w:val="bottom"/>
          </w:tcPr>
          <w:p w14:paraId="4D9D376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3647C8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10B4E9E"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9D3E6FB" w14:textId="77777777" w:rsidR="008E5DE4" w:rsidRDefault="008E5DE4">
            <w:pPr>
              <w:widowControl w:val="0"/>
              <w:pBdr>
                <w:top w:val="nil"/>
                <w:left w:val="nil"/>
                <w:bottom w:val="nil"/>
                <w:right w:val="nil"/>
                <w:between w:val="nil"/>
              </w:pBdr>
              <w:jc w:val="right"/>
              <w:rPr>
                <w:color w:val="000000"/>
              </w:rPr>
            </w:pPr>
          </w:p>
        </w:tc>
      </w:tr>
      <w:tr w:rsidR="008E5DE4" w14:paraId="7953604D" w14:textId="77777777">
        <w:trPr>
          <w:cantSplit/>
        </w:trPr>
        <w:tc>
          <w:tcPr>
            <w:tcW w:w="4139" w:type="dxa"/>
            <w:tcBorders>
              <w:bottom w:val="single" w:sz="12" w:space="0" w:color="000000"/>
            </w:tcBorders>
            <w:vAlign w:val="bottom"/>
          </w:tcPr>
          <w:p w14:paraId="38C8108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bottom w:val="single" w:sz="12" w:space="0" w:color="000000"/>
            </w:tcBorders>
            <w:vAlign w:val="bottom"/>
          </w:tcPr>
          <w:p w14:paraId="6E2FF026" w14:textId="77777777" w:rsidR="008E5DE4" w:rsidRDefault="008E5DE4">
            <w:pPr>
              <w:widowControl w:val="0"/>
              <w:jc w:val="right"/>
              <w:rPr>
                <w:b/>
              </w:rPr>
            </w:pPr>
          </w:p>
        </w:tc>
        <w:tc>
          <w:tcPr>
            <w:tcW w:w="1304" w:type="dxa"/>
            <w:tcBorders>
              <w:bottom w:val="single" w:sz="12" w:space="0" w:color="000000"/>
            </w:tcBorders>
            <w:vAlign w:val="bottom"/>
          </w:tcPr>
          <w:p w14:paraId="401CD678" w14:textId="77777777" w:rsidR="008E5DE4" w:rsidRDefault="008E5DE4">
            <w:pPr>
              <w:widowControl w:val="0"/>
              <w:jc w:val="right"/>
              <w:rPr>
                <w:b/>
              </w:rPr>
            </w:pPr>
          </w:p>
        </w:tc>
        <w:tc>
          <w:tcPr>
            <w:tcW w:w="1304" w:type="dxa"/>
            <w:tcBorders>
              <w:bottom w:val="single" w:sz="12" w:space="0" w:color="000000"/>
            </w:tcBorders>
            <w:vAlign w:val="bottom"/>
          </w:tcPr>
          <w:p w14:paraId="2D5C8C64" w14:textId="77777777" w:rsidR="008E5DE4" w:rsidRDefault="008E5DE4">
            <w:pPr>
              <w:widowControl w:val="0"/>
              <w:jc w:val="right"/>
              <w:rPr>
                <w:b/>
              </w:rPr>
            </w:pPr>
          </w:p>
        </w:tc>
        <w:tc>
          <w:tcPr>
            <w:tcW w:w="1304" w:type="dxa"/>
            <w:tcBorders>
              <w:bottom w:val="single" w:sz="12" w:space="0" w:color="000000"/>
            </w:tcBorders>
            <w:vAlign w:val="bottom"/>
          </w:tcPr>
          <w:p w14:paraId="5282A727" w14:textId="77777777" w:rsidR="008E5DE4" w:rsidRDefault="008E5DE4">
            <w:pPr>
              <w:widowControl w:val="0"/>
              <w:jc w:val="right"/>
              <w:rPr>
                <w:b/>
              </w:rPr>
            </w:pPr>
          </w:p>
        </w:tc>
      </w:tr>
    </w:tbl>
    <w:p w14:paraId="0EA261B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16</w:t>
      </w:r>
      <w:r>
        <w:rPr>
          <w:b/>
          <w:color w:val="000000"/>
          <w:sz w:val="20"/>
          <w:szCs w:val="20"/>
        </w:rPr>
        <w:tab/>
        <w:t>Loans Issued (Continued)</w:t>
      </w:r>
    </w:p>
    <w:p w14:paraId="068B40C9" w14:textId="1F767DAB"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effect of collateral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w:t>
      </w:r>
    </w:p>
    <w:tbl>
      <w:tblPr>
        <w:tblStyle w:val="afffff1"/>
        <w:tblW w:w="9354" w:type="dxa"/>
        <w:tblLayout w:type="fixed"/>
        <w:tblLook w:val="0000" w:firstRow="0" w:lastRow="0" w:firstColumn="0" w:lastColumn="0" w:noHBand="0" w:noVBand="0"/>
      </w:tblPr>
      <w:tblGrid>
        <w:gridCol w:w="4138"/>
        <w:gridCol w:w="1304"/>
        <w:gridCol w:w="1304"/>
        <w:gridCol w:w="1304"/>
        <w:gridCol w:w="1304"/>
      </w:tblGrid>
      <w:tr w:rsidR="008E5DE4" w14:paraId="5F6572F9" w14:textId="77777777">
        <w:trPr>
          <w:cantSplit/>
        </w:trPr>
        <w:tc>
          <w:tcPr>
            <w:tcW w:w="4139" w:type="dxa"/>
            <w:vAlign w:val="bottom"/>
          </w:tcPr>
          <w:p w14:paraId="2741254E" w14:textId="77777777" w:rsidR="008E5DE4" w:rsidRDefault="008E5DE4">
            <w:pPr>
              <w:widowControl w:val="0"/>
              <w:pBdr>
                <w:top w:val="nil"/>
                <w:left w:val="nil"/>
                <w:bottom w:val="nil"/>
                <w:right w:val="nil"/>
                <w:between w:val="nil"/>
              </w:pBdr>
              <w:ind w:left="113" w:right="-57" w:hanging="113"/>
              <w:rPr>
                <w:b/>
                <w:i/>
                <w:color w:val="000000"/>
              </w:rPr>
            </w:pPr>
          </w:p>
        </w:tc>
        <w:tc>
          <w:tcPr>
            <w:tcW w:w="2608" w:type="dxa"/>
            <w:gridSpan w:val="2"/>
            <w:tcBorders>
              <w:bottom w:val="single" w:sz="4" w:space="0" w:color="000000"/>
            </w:tcBorders>
            <w:vAlign w:val="bottom"/>
          </w:tcPr>
          <w:p w14:paraId="0940E35A" w14:textId="77777777" w:rsidR="008E5DE4" w:rsidRDefault="00780368">
            <w:pPr>
              <w:widowControl w:val="0"/>
              <w:pBdr>
                <w:top w:val="nil"/>
                <w:left w:val="nil"/>
                <w:bottom w:val="nil"/>
                <w:right w:val="nil"/>
                <w:between w:val="nil"/>
              </w:pBdr>
              <w:jc w:val="center"/>
              <w:rPr>
                <w:b/>
                <w:color w:val="000000"/>
              </w:rPr>
            </w:pPr>
            <w:r>
              <w:rPr>
                <w:b/>
                <w:color w:val="000000"/>
              </w:rPr>
              <w:t>Over-collateralised assets</w:t>
            </w:r>
          </w:p>
        </w:tc>
        <w:tc>
          <w:tcPr>
            <w:tcW w:w="2608" w:type="dxa"/>
            <w:gridSpan w:val="2"/>
            <w:tcBorders>
              <w:bottom w:val="single" w:sz="4" w:space="0" w:color="000000"/>
            </w:tcBorders>
            <w:vAlign w:val="bottom"/>
          </w:tcPr>
          <w:p w14:paraId="195EA826" w14:textId="77777777" w:rsidR="008E5DE4" w:rsidRDefault="00780368">
            <w:pPr>
              <w:widowControl w:val="0"/>
              <w:pBdr>
                <w:top w:val="nil"/>
                <w:left w:val="nil"/>
                <w:bottom w:val="nil"/>
                <w:right w:val="nil"/>
                <w:between w:val="nil"/>
              </w:pBdr>
              <w:jc w:val="center"/>
              <w:rPr>
                <w:b/>
                <w:color w:val="000000"/>
              </w:rPr>
            </w:pPr>
            <w:r>
              <w:rPr>
                <w:b/>
                <w:color w:val="000000"/>
              </w:rPr>
              <w:t>Under-collateralised assets</w:t>
            </w:r>
          </w:p>
        </w:tc>
      </w:tr>
      <w:tr w:rsidR="008E5DE4" w14:paraId="6EA2B277" w14:textId="77777777">
        <w:trPr>
          <w:cantSplit/>
        </w:trPr>
        <w:tc>
          <w:tcPr>
            <w:tcW w:w="4139" w:type="dxa"/>
            <w:tcBorders>
              <w:bottom w:val="single" w:sz="4" w:space="0" w:color="000000"/>
            </w:tcBorders>
            <w:vAlign w:val="bottom"/>
          </w:tcPr>
          <w:p w14:paraId="51F8AB00" w14:textId="77777777" w:rsidR="008E5DE4" w:rsidRDefault="008E5DE4">
            <w:pPr>
              <w:widowControl w:val="0"/>
              <w:ind w:left="113" w:right="-57" w:hanging="113"/>
              <w:rPr>
                <w:i/>
              </w:rPr>
            </w:pPr>
          </w:p>
          <w:p w14:paraId="4BC4F218" w14:textId="77777777" w:rsidR="008E5DE4" w:rsidRDefault="00780368">
            <w:pPr>
              <w:widowControl w:val="0"/>
              <w:ind w:left="113" w:right="-57" w:hanging="113"/>
              <w:rPr>
                <w:i/>
              </w:rPr>
            </w:pPr>
            <w:r>
              <w:rPr>
                <w:i/>
              </w:rPr>
              <w:t>In thousands of EUR</w:t>
            </w:r>
          </w:p>
        </w:tc>
        <w:tc>
          <w:tcPr>
            <w:tcW w:w="1304" w:type="dxa"/>
            <w:tcBorders>
              <w:top w:val="single" w:sz="4" w:space="0" w:color="000000"/>
              <w:bottom w:val="single" w:sz="4" w:space="0" w:color="000000"/>
            </w:tcBorders>
          </w:tcPr>
          <w:p w14:paraId="5D886D6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value of the assets </w:t>
            </w:r>
          </w:p>
        </w:tc>
        <w:tc>
          <w:tcPr>
            <w:tcW w:w="1304" w:type="dxa"/>
            <w:tcBorders>
              <w:top w:val="single" w:sz="4" w:space="0" w:color="000000"/>
              <w:bottom w:val="single" w:sz="4" w:space="0" w:color="000000"/>
            </w:tcBorders>
          </w:tcPr>
          <w:p w14:paraId="55DA6E86"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c>
          <w:tcPr>
            <w:tcW w:w="1304" w:type="dxa"/>
            <w:tcBorders>
              <w:top w:val="single" w:sz="4" w:space="0" w:color="000000"/>
              <w:bottom w:val="single" w:sz="4" w:space="0" w:color="000000"/>
            </w:tcBorders>
          </w:tcPr>
          <w:p w14:paraId="37CEDD8D" w14:textId="77777777" w:rsidR="008E5DE4" w:rsidRDefault="00780368">
            <w:pPr>
              <w:widowControl w:val="0"/>
              <w:pBdr>
                <w:top w:val="nil"/>
                <w:left w:val="nil"/>
                <w:bottom w:val="nil"/>
                <w:right w:val="nil"/>
                <w:between w:val="nil"/>
              </w:pBdr>
              <w:ind w:left="-113"/>
              <w:jc w:val="right"/>
              <w:rPr>
                <w:b/>
                <w:color w:val="000000"/>
              </w:rPr>
            </w:pPr>
            <w:r>
              <w:rPr>
                <w:b/>
                <w:color w:val="000000"/>
              </w:rPr>
              <w:t>Carrying value of the assets</w:t>
            </w:r>
          </w:p>
        </w:tc>
        <w:tc>
          <w:tcPr>
            <w:tcW w:w="1304" w:type="dxa"/>
            <w:tcBorders>
              <w:top w:val="single" w:sz="4" w:space="0" w:color="000000"/>
              <w:bottom w:val="single" w:sz="4" w:space="0" w:color="000000"/>
            </w:tcBorders>
          </w:tcPr>
          <w:p w14:paraId="16164005"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r>
      <w:tr w:rsidR="008E5DE4" w14:paraId="55636071" w14:textId="77777777">
        <w:trPr>
          <w:cantSplit/>
        </w:trPr>
        <w:tc>
          <w:tcPr>
            <w:tcW w:w="4139" w:type="dxa"/>
            <w:tcBorders>
              <w:top w:val="single" w:sz="4" w:space="0" w:color="000000"/>
            </w:tcBorders>
            <w:vAlign w:val="bottom"/>
          </w:tcPr>
          <w:p w14:paraId="72A5775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top w:val="single" w:sz="4" w:space="0" w:color="000000"/>
            </w:tcBorders>
            <w:vAlign w:val="bottom"/>
          </w:tcPr>
          <w:p w14:paraId="50E0250A"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41F9C1C8"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258BE4A2"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02CEDF91" w14:textId="77777777" w:rsidR="008E5DE4" w:rsidRDefault="008E5DE4">
            <w:pPr>
              <w:widowControl w:val="0"/>
              <w:pBdr>
                <w:top w:val="nil"/>
                <w:left w:val="nil"/>
                <w:bottom w:val="nil"/>
                <w:right w:val="nil"/>
                <w:between w:val="nil"/>
              </w:pBdr>
              <w:jc w:val="right"/>
              <w:rPr>
                <w:color w:val="000000"/>
              </w:rPr>
            </w:pPr>
          </w:p>
        </w:tc>
      </w:tr>
      <w:tr w:rsidR="008E5DE4" w14:paraId="678D88C3" w14:textId="77777777">
        <w:trPr>
          <w:cantSplit/>
        </w:trPr>
        <w:tc>
          <w:tcPr>
            <w:tcW w:w="4139" w:type="dxa"/>
            <w:vAlign w:val="bottom"/>
          </w:tcPr>
          <w:p w14:paraId="6077B3AE" w14:textId="77777777" w:rsidR="008E5DE4" w:rsidRDefault="00780368">
            <w:pPr>
              <w:widowControl w:val="0"/>
              <w:pBdr>
                <w:top w:val="nil"/>
                <w:left w:val="nil"/>
                <w:bottom w:val="nil"/>
                <w:right w:val="nil"/>
                <w:between w:val="nil"/>
              </w:pBdr>
              <w:ind w:left="113" w:right="-57" w:hanging="113"/>
              <w:rPr>
                <w:color w:val="000000"/>
              </w:rPr>
            </w:pPr>
            <w:r>
              <w:rPr>
                <w:color w:val="000000"/>
              </w:rPr>
              <w:t>Corporate loans</w:t>
            </w:r>
          </w:p>
        </w:tc>
        <w:tc>
          <w:tcPr>
            <w:tcW w:w="1304" w:type="dxa"/>
            <w:vAlign w:val="bottom"/>
          </w:tcPr>
          <w:p w14:paraId="6B3508E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CA2847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1BFC1B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476404D" w14:textId="77777777" w:rsidR="008E5DE4" w:rsidRDefault="008E5DE4">
            <w:pPr>
              <w:widowControl w:val="0"/>
              <w:pBdr>
                <w:top w:val="nil"/>
                <w:left w:val="nil"/>
                <w:bottom w:val="nil"/>
                <w:right w:val="nil"/>
                <w:between w:val="nil"/>
              </w:pBdr>
              <w:jc w:val="right"/>
              <w:rPr>
                <w:color w:val="000000"/>
              </w:rPr>
            </w:pPr>
          </w:p>
        </w:tc>
      </w:tr>
      <w:tr w:rsidR="008E5DE4" w14:paraId="16D479B1" w14:textId="77777777">
        <w:trPr>
          <w:cantSplit/>
        </w:trPr>
        <w:tc>
          <w:tcPr>
            <w:tcW w:w="4139" w:type="dxa"/>
            <w:vAlign w:val="bottom"/>
          </w:tcPr>
          <w:p w14:paraId="3BC482EC" w14:textId="47FD8245" w:rsidR="008E5DE4" w:rsidRDefault="00780368">
            <w:pPr>
              <w:widowControl w:val="0"/>
              <w:pBdr>
                <w:top w:val="nil"/>
                <w:left w:val="nil"/>
                <w:bottom w:val="nil"/>
                <w:right w:val="nil"/>
                <w:between w:val="nil"/>
              </w:pBdr>
              <w:ind w:left="113" w:right="-57" w:hanging="113"/>
              <w:rPr>
                <w:color w:val="000000"/>
              </w:rPr>
            </w:pPr>
            <w:r>
              <w:rPr>
                <w:color w:val="000000"/>
              </w:rPr>
              <w:t xml:space="preserve">State and municipal organisations </w:t>
            </w:r>
          </w:p>
        </w:tc>
        <w:tc>
          <w:tcPr>
            <w:tcW w:w="1304" w:type="dxa"/>
            <w:vAlign w:val="bottom"/>
          </w:tcPr>
          <w:p w14:paraId="7CDF68A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1BED57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110076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EF7E336" w14:textId="77777777" w:rsidR="008E5DE4" w:rsidRDefault="008E5DE4">
            <w:pPr>
              <w:widowControl w:val="0"/>
              <w:pBdr>
                <w:top w:val="nil"/>
                <w:left w:val="nil"/>
                <w:bottom w:val="nil"/>
                <w:right w:val="nil"/>
                <w:between w:val="nil"/>
              </w:pBdr>
              <w:jc w:val="right"/>
              <w:rPr>
                <w:color w:val="000000"/>
              </w:rPr>
            </w:pPr>
          </w:p>
        </w:tc>
      </w:tr>
      <w:tr w:rsidR="008E5DE4" w14:paraId="142A3F7A" w14:textId="77777777">
        <w:trPr>
          <w:cantSplit/>
        </w:trPr>
        <w:tc>
          <w:tcPr>
            <w:tcW w:w="4139" w:type="dxa"/>
            <w:tcBorders>
              <w:bottom w:val="single" w:sz="12" w:space="0" w:color="000000"/>
            </w:tcBorders>
            <w:vAlign w:val="bottom"/>
          </w:tcPr>
          <w:p w14:paraId="704D446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bottom w:val="single" w:sz="12" w:space="0" w:color="000000"/>
            </w:tcBorders>
            <w:vAlign w:val="bottom"/>
          </w:tcPr>
          <w:p w14:paraId="5F471497" w14:textId="77777777" w:rsidR="008E5DE4" w:rsidRDefault="008E5DE4">
            <w:pPr>
              <w:widowControl w:val="0"/>
              <w:jc w:val="right"/>
              <w:rPr>
                <w:b/>
              </w:rPr>
            </w:pPr>
          </w:p>
        </w:tc>
        <w:tc>
          <w:tcPr>
            <w:tcW w:w="1304" w:type="dxa"/>
            <w:tcBorders>
              <w:bottom w:val="single" w:sz="12" w:space="0" w:color="000000"/>
            </w:tcBorders>
            <w:vAlign w:val="bottom"/>
          </w:tcPr>
          <w:p w14:paraId="44EDBC99" w14:textId="77777777" w:rsidR="008E5DE4" w:rsidRDefault="008E5DE4">
            <w:pPr>
              <w:widowControl w:val="0"/>
              <w:jc w:val="right"/>
              <w:rPr>
                <w:b/>
              </w:rPr>
            </w:pPr>
          </w:p>
        </w:tc>
        <w:tc>
          <w:tcPr>
            <w:tcW w:w="1304" w:type="dxa"/>
            <w:tcBorders>
              <w:bottom w:val="single" w:sz="12" w:space="0" w:color="000000"/>
            </w:tcBorders>
            <w:vAlign w:val="bottom"/>
          </w:tcPr>
          <w:p w14:paraId="6F6907F4" w14:textId="77777777" w:rsidR="008E5DE4" w:rsidRDefault="008E5DE4">
            <w:pPr>
              <w:widowControl w:val="0"/>
              <w:jc w:val="right"/>
              <w:rPr>
                <w:b/>
              </w:rPr>
            </w:pPr>
          </w:p>
        </w:tc>
        <w:tc>
          <w:tcPr>
            <w:tcW w:w="1304" w:type="dxa"/>
            <w:tcBorders>
              <w:bottom w:val="single" w:sz="12" w:space="0" w:color="000000"/>
            </w:tcBorders>
            <w:vAlign w:val="bottom"/>
          </w:tcPr>
          <w:p w14:paraId="2B631BB2" w14:textId="77777777" w:rsidR="008E5DE4" w:rsidRDefault="008E5DE4">
            <w:pPr>
              <w:widowControl w:val="0"/>
              <w:jc w:val="right"/>
              <w:rPr>
                <w:b/>
              </w:rPr>
            </w:pPr>
          </w:p>
        </w:tc>
      </w:tr>
    </w:tbl>
    <w:p w14:paraId="33D1ED8F"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53 for the estimated fair value of each class of loans. Information on related party balances is disclosed in Note 8.</w:t>
      </w:r>
    </w:p>
    <w:p w14:paraId="1793504F" w14:textId="5DEA8474" w:rsidR="008E5DE4" w:rsidRDefault="00C07603" w:rsidP="007F183E">
      <w:pPr>
        <w:pStyle w:val="Heading1"/>
        <w:numPr>
          <w:ilvl w:val="0"/>
          <w:numId w:val="0"/>
        </w:numPr>
        <w:ind w:left="567" w:hanging="567"/>
      </w:pPr>
      <w:bookmarkStart w:id="27" w:name="_Toc149923616"/>
      <w:r>
        <w:t xml:space="preserve">17 </w:t>
      </w:r>
      <w:r>
        <w:tab/>
      </w:r>
      <w:r w:rsidR="00780368">
        <w:t>Other Non-current Assets</w:t>
      </w:r>
      <w:bookmarkEnd w:id="27"/>
    </w:p>
    <w:p w14:paraId="097C9383" w14:textId="77777777" w:rsidR="008E5DE4" w:rsidRDefault="008E5DE4"/>
    <w:tbl>
      <w:tblPr>
        <w:tblStyle w:val="afffff2"/>
        <w:tblW w:w="9356" w:type="dxa"/>
        <w:tblLayout w:type="fixed"/>
        <w:tblLook w:val="0000" w:firstRow="0" w:lastRow="0" w:firstColumn="0" w:lastColumn="0" w:noHBand="0" w:noVBand="0"/>
      </w:tblPr>
      <w:tblGrid>
        <w:gridCol w:w="5500"/>
        <w:gridCol w:w="794"/>
        <w:gridCol w:w="1531"/>
        <w:gridCol w:w="1531"/>
      </w:tblGrid>
      <w:tr w:rsidR="008E5DE4" w14:paraId="32F879FE" w14:textId="77777777">
        <w:trPr>
          <w:cantSplit/>
        </w:trPr>
        <w:tc>
          <w:tcPr>
            <w:tcW w:w="5500" w:type="dxa"/>
            <w:tcBorders>
              <w:bottom w:val="single" w:sz="4" w:space="0" w:color="000000"/>
            </w:tcBorders>
            <w:vAlign w:val="bottom"/>
          </w:tcPr>
          <w:p w14:paraId="0B33AD88" w14:textId="77777777" w:rsidR="008E5DE4" w:rsidRDefault="00780368">
            <w:pPr>
              <w:widowControl w:val="0"/>
              <w:pBdr>
                <w:top w:val="nil"/>
                <w:left w:val="nil"/>
                <w:bottom w:val="nil"/>
                <w:right w:val="nil"/>
                <w:between w:val="nil"/>
              </w:pBdr>
              <w:ind w:left="113" w:right="-57" w:hanging="113"/>
              <w:rPr>
                <w:b/>
                <w:i/>
                <w:color w:val="000000"/>
              </w:rPr>
            </w:pPr>
            <w:bookmarkStart w:id="28" w:name="_heading=h.3as4poj" w:colFirst="0" w:colLast="0"/>
            <w:bookmarkEnd w:id="28"/>
            <w:r>
              <w:rPr>
                <w:i/>
                <w:color w:val="000000"/>
              </w:rPr>
              <w:t>In thousands of EUR</w:t>
            </w:r>
          </w:p>
        </w:tc>
        <w:tc>
          <w:tcPr>
            <w:tcW w:w="794" w:type="dxa"/>
            <w:tcBorders>
              <w:bottom w:val="single" w:sz="4" w:space="0" w:color="000000"/>
            </w:tcBorders>
            <w:vAlign w:val="bottom"/>
          </w:tcPr>
          <w:p w14:paraId="589502F0"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679E846E" w14:textId="1BC3F376"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474B6898" w14:textId="3D3817E6"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1DAD18F6" w14:textId="77777777">
        <w:trPr>
          <w:cantSplit/>
        </w:trPr>
        <w:tc>
          <w:tcPr>
            <w:tcW w:w="5500" w:type="dxa"/>
            <w:vAlign w:val="bottom"/>
          </w:tcPr>
          <w:p w14:paraId="016CD8E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94" w:type="dxa"/>
            <w:vAlign w:val="bottom"/>
          </w:tcPr>
          <w:p w14:paraId="47C997F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BD6CEB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AC549CE" w14:textId="77777777" w:rsidR="008E5DE4" w:rsidRDefault="008E5DE4">
            <w:pPr>
              <w:widowControl w:val="0"/>
              <w:pBdr>
                <w:top w:val="nil"/>
                <w:left w:val="nil"/>
                <w:bottom w:val="nil"/>
                <w:right w:val="nil"/>
                <w:between w:val="nil"/>
              </w:pBdr>
              <w:jc w:val="right"/>
              <w:rPr>
                <w:color w:val="000000"/>
              </w:rPr>
            </w:pPr>
          </w:p>
        </w:tc>
      </w:tr>
      <w:tr w:rsidR="008E5DE4" w14:paraId="54E30A02" w14:textId="77777777">
        <w:trPr>
          <w:cantSplit/>
        </w:trPr>
        <w:tc>
          <w:tcPr>
            <w:tcW w:w="5500" w:type="dxa"/>
            <w:vAlign w:val="bottom"/>
          </w:tcPr>
          <w:p w14:paraId="14A366E4" w14:textId="77777777" w:rsidR="008E5DE4" w:rsidRDefault="00780368">
            <w:pPr>
              <w:widowControl w:val="0"/>
              <w:pBdr>
                <w:top w:val="nil"/>
                <w:left w:val="nil"/>
                <w:bottom w:val="nil"/>
                <w:right w:val="nil"/>
                <w:between w:val="nil"/>
              </w:pBdr>
              <w:ind w:left="113" w:right="-57" w:hanging="113"/>
              <w:rPr>
                <w:color w:val="000000"/>
              </w:rPr>
            </w:pPr>
            <w:r>
              <w:rPr>
                <w:color w:val="000000"/>
              </w:rPr>
              <w:t>Restricted cash (effective interest rate: _____ – _____ %)</w:t>
            </w:r>
          </w:p>
        </w:tc>
        <w:tc>
          <w:tcPr>
            <w:tcW w:w="794" w:type="dxa"/>
            <w:vAlign w:val="bottom"/>
          </w:tcPr>
          <w:p w14:paraId="5BAF0448"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6444149F"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22D80921" w14:textId="77777777" w:rsidR="008E5DE4" w:rsidRDefault="008E5DE4">
            <w:pPr>
              <w:widowControl w:val="0"/>
              <w:pBdr>
                <w:top w:val="nil"/>
                <w:left w:val="nil"/>
                <w:bottom w:val="nil"/>
                <w:right w:val="nil"/>
                <w:between w:val="nil"/>
              </w:pBdr>
              <w:jc w:val="right"/>
              <w:rPr>
                <w:b/>
                <w:color w:val="000000"/>
              </w:rPr>
            </w:pPr>
          </w:p>
        </w:tc>
      </w:tr>
      <w:tr w:rsidR="008E5DE4" w14:paraId="3BAC70C9" w14:textId="77777777">
        <w:trPr>
          <w:cantSplit/>
        </w:trPr>
        <w:tc>
          <w:tcPr>
            <w:tcW w:w="5500" w:type="dxa"/>
            <w:vAlign w:val="bottom"/>
          </w:tcPr>
          <w:p w14:paraId="2503D275" w14:textId="77777777" w:rsidR="008E5DE4" w:rsidRDefault="00780368">
            <w:pPr>
              <w:widowControl w:val="0"/>
              <w:pBdr>
                <w:top w:val="nil"/>
                <w:left w:val="nil"/>
                <w:bottom w:val="nil"/>
                <w:right w:val="nil"/>
                <w:between w:val="nil"/>
              </w:pBdr>
              <w:ind w:left="113" w:right="-57" w:hanging="113"/>
              <w:rPr>
                <w:color w:val="0000FF"/>
              </w:rPr>
            </w:pPr>
            <w:r>
              <w:rPr>
                <w:color w:val="000000"/>
              </w:rPr>
              <w:t xml:space="preserve">Repossessed collateral </w:t>
            </w:r>
          </w:p>
        </w:tc>
        <w:tc>
          <w:tcPr>
            <w:tcW w:w="794" w:type="dxa"/>
            <w:vAlign w:val="bottom"/>
          </w:tcPr>
          <w:p w14:paraId="1EADA34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65DAD4B"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2CDC932" w14:textId="77777777" w:rsidR="008E5DE4" w:rsidRDefault="008E5DE4">
            <w:pPr>
              <w:widowControl w:val="0"/>
              <w:pBdr>
                <w:top w:val="nil"/>
                <w:left w:val="nil"/>
                <w:bottom w:val="nil"/>
                <w:right w:val="nil"/>
                <w:between w:val="nil"/>
              </w:pBdr>
              <w:jc w:val="right"/>
              <w:rPr>
                <w:b/>
                <w:color w:val="000000"/>
              </w:rPr>
            </w:pPr>
          </w:p>
        </w:tc>
      </w:tr>
      <w:tr w:rsidR="008E5DE4" w14:paraId="515DCA3B" w14:textId="77777777">
        <w:trPr>
          <w:cantSplit/>
        </w:trPr>
        <w:tc>
          <w:tcPr>
            <w:tcW w:w="5500" w:type="dxa"/>
            <w:vAlign w:val="bottom"/>
          </w:tcPr>
          <w:p w14:paraId="616F9EE4" w14:textId="77777777" w:rsidR="008E5DE4" w:rsidRDefault="00780368">
            <w:pPr>
              <w:widowControl w:val="0"/>
              <w:pBdr>
                <w:top w:val="nil"/>
                <w:left w:val="nil"/>
                <w:bottom w:val="nil"/>
                <w:right w:val="nil"/>
                <w:between w:val="nil"/>
              </w:pBdr>
              <w:ind w:left="113" w:right="-57" w:hanging="113"/>
              <w:rPr>
                <w:color w:val="000000"/>
              </w:rPr>
            </w:pPr>
            <w:r>
              <w:rPr>
                <w:color w:val="000000"/>
              </w:rPr>
              <w:t>Assets recognised for costs to obtain or fulfil contracts with customers</w:t>
            </w:r>
          </w:p>
        </w:tc>
        <w:tc>
          <w:tcPr>
            <w:tcW w:w="794" w:type="dxa"/>
            <w:vAlign w:val="bottom"/>
          </w:tcPr>
          <w:p w14:paraId="122F82CC" w14:textId="77777777" w:rsidR="008E5DE4" w:rsidRDefault="00780368">
            <w:pPr>
              <w:widowControl w:val="0"/>
              <w:pBdr>
                <w:top w:val="nil"/>
                <w:left w:val="nil"/>
                <w:bottom w:val="nil"/>
                <w:right w:val="nil"/>
                <w:between w:val="nil"/>
              </w:pBdr>
              <w:ind w:left="-57" w:right="-57"/>
              <w:jc w:val="center"/>
              <w:rPr>
                <w:color w:val="000000"/>
              </w:rPr>
            </w:pPr>
            <w:r>
              <w:rPr>
                <w:color w:val="000000"/>
              </w:rPr>
              <w:t>21</w:t>
            </w:r>
          </w:p>
        </w:tc>
        <w:tc>
          <w:tcPr>
            <w:tcW w:w="1531" w:type="dxa"/>
            <w:vAlign w:val="bottom"/>
          </w:tcPr>
          <w:p w14:paraId="43B98A26"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FF5BCEE" w14:textId="77777777" w:rsidR="008E5DE4" w:rsidRDefault="008E5DE4">
            <w:pPr>
              <w:widowControl w:val="0"/>
              <w:pBdr>
                <w:top w:val="nil"/>
                <w:left w:val="nil"/>
                <w:bottom w:val="nil"/>
                <w:right w:val="nil"/>
                <w:between w:val="nil"/>
              </w:pBdr>
              <w:jc w:val="right"/>
              <w:rPr>
                <w:b/>
                <w:color w:val="000000"/>
              </w:rPr>
            </w:pPr>
          </w:p>
        </w:tc>
      </w:tr>
      <w:tr w:rsidR="008E5DE4" w14:paraId="4F293868" w14:textId="77777777">
        <w:trPr>
          <w:cantSplit/>
        </w:trPr>
        <w:tc>
          <w:tcPr>
            <w:tcW w:w="5500" w:type="dxa"/>
            <w:vAlign w:val="bottom"/>
          </w:tcPr>
          <w:p w14:paraId="1624161F" w14:textId="77777777" w:rsidR="008E5DE4" w:rsidRDefault="00780368">
            <w:pPr>
              <w:widowControl w:val="0"/>
              <w:pBdr>
                <w:top w:val="nil"/>
                <w:left w:val="nil"/>
                <w:bottom w:val="nil"/>
                <w:right w:val="nil"/>
                <w:between w:val="nil"/>
              </w:pBdr>
              <w:ind w:left="113" w:right="-57" w:hanging="113"/>
              <w:rPr>
                <w:color w:val="0000FF"/>
              </w:rPr>
            </w:pPr>
            <w:r>
              <w:rPr>
                <w:color w:val="0000FF"/>
              </w:rPr>
              <w:t>[List major categories of other non-current assets]</w:t>
            </w:r>
          </w:p>
        </w:tc>
        <w:tc>
          <w:tcPr>
            <w:tcW w:w="794" w:type="dxa"/>
            <w:vAlign w:val="bottom"/>
          </w:tcPr>
          <w:p w14:paraId="01717131"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781014AD"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BF633AD" w14:textId="77777777" w:rsidR="008E5DE4" w:rsidRDefault="008E5DE4">
            <w:pPr>
              <w:widowControl w:val="0"/>
              <w:pBdr>
                <w:top w:val="nil"/>
                <w:left w:val="nil"/>
                <w:bottom w:val="nil"/>
                <w:right w:val="nil"/>
                <w:between w:val="nil"/>
              </w:pBdr>
              <w:jc w:val="right"/>
              <w:rPr>
                <w:b/>
                <w:color w:val="000000"/>
              </w:rPr>
            </w:pPr>
          </w:p>
        </w:tc>
      </w:tr>
      <w:tr w:rsidR="008E5DE4" w14:paraId="161A5168" w14:textId="77777777">
        <w:trPr>
          <w:cantSplit/>
        </w:trPr>
        <w:tc>
          <w:tcPr>
            <w:tcW w:w="5500" w:type="dxa"/>
            <w:tcBorders>
              <w:bottom w:val="single" w:sz="4" w:space="0" w:color="000000"/>
            </w:tcBorders>
            <w:vAlign w:val="bottom"/>
          </w:tcPr>
          <w:p w14:paraId="7B65CF5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94" w:type="dxa"/>
            <w:tcBorders>
              <w:bottom w:val="single" w:sz="4" w:space="0" w:color="000000"/>
            </w:tcBorders>
            <w:vAlign w:val="bottom"/>
          </w:tcPr>
          <w:p w14:paraId="0BD0031E"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46144687"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12E27E77" w14:textId="77777777" w:rsidR="008E5DE4" w:rsidRDefault="008E5DE4">
            <w:pPr>
              <w:widowControl w:val="0"/>
              <w:jc w:val="right"/>
            </w:pPr>
          </w:p>
        </w:tc>
      </w:tr>
      <w:tr w:rsidR="008E5DE4" w14:paraId="47EB2734" w14:textId="77777777">
        <w:trPr>
          <w:cantSplit/>
        </w:trPr>
        <w:tc>
          <w:tcPr>
            <w:tcW w:w="5500" w:type="dxa"/>
            <w:vAlign w:val="bottom"/>
          </w:tcPr>
          <w:p w14:paraId="0AB1C2C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794" w:type="dxa"/>
            <w:vAlign w:val="bottom"/>
          </w:tcPr>
          <w:p w14:paraId="6089DE0D"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4187470"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937ACC0" w14:textId="77777777" w:rsidR="008E5DE4" w:rsidRDefault="008E5DE4">
            <w:pPr>
              <w:widowControl w:val="0"/>
              <w:jc w:val="right"/>
              <w:rPr>
                <w:b/>
              </w:rPr>
            </w:pPr>
          </w:p>
        </w:tc>
      </w:tr>
      <w:tr w:rsidR="008E5DE4" w14:paraId="07D3E64D" w14:textId="77777777">
        <w:trPr>
          <w:cantSplit/>
        </w:trPr>
        <w:tc>
          <w:tcPr>
            <w:tcW w:w="5500" w:type="dxa"/>
            <w:vAlign w:val="bottom"/>
          </w:tcPr>
          <w:p w14:paraId="234BCD7C"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other non-current assets </w:t>
            </w:r>
            <w:proofErr w:type="gramStart"/>
            <w:r>
              <w:rPr>
                <w:b/>
                <w:color w:val="000000"/>
              </w:rPr>
              <w:t>at</w:t>
            </w:r>
            <w:proofErr w:type="gramEnd"/>
            <w:r>
              <w:rPr>
                <w:b/>
                <w:color w:val="000000"/>
              </w:rPr>
              <w:t xml:space="preserve"> 31 December</w:t>
            </w:r>
          </w:p>
        </w:tc>
        <w:tc>
          <w:tcPr>
            <w:tcW w:w="794" w:type="dxa"/>
            <w:vAlign w:val="bottom"/>
          </w:tcPr>
          <w:p w14:paraId="2E16CE7D"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BFC4CFB"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921FC2B" w14:textId="77777777" w:rsidR="008E5DE4" w:rsidRDefault="008E5DE4">
            <w:pPr>
              <w:widowControl w:val="0"/>
              <w:pBdr>
                <w:top w:val="nil"/>
                <w:left w:val="nil"/>
                <w:bottom w:val="nil"/>
                <w:right w:val="nil"/>
                <w:between w:val="nil"/>
              </w:pBdr>
              <w:jc w:val="right"/>
              <w:rPr>
                <w:b/>
                <w:color w:val="000000"/>
              </w:rPr>
            </w:pPr>
          </w:p>
        </w:tc>
      </w:tr>
      <w:tr w:rsidR="008E5DE4" w14:paraId="1600D4BA" w14:textId="77777777">
        <w:trPr>
          <w:cantSplit/>
        </w:trPr>
        <w:tc>
          <w:tcPr>
            <w:tcW w:w="5500" w:type="dxa"/>
            <w:tcBorders>
              <w:bottom w:val="single" w:sz="12" w:space="0" w:color="000000"/>
            </w:tcBorders>
            <w:vAlign w:val="bottom"/>
          </w:tcPr>
          <w:p w14:paraId="6736C1EE" w14:textId="77777777" w:rsidR="008E5DE4" w:rsidRDefault="00780368">
            <w:pPr>
              <w:widowControl w:val="0"/>
              <w:ind w:left="113" w:right="-57" w:hanging="113"/>
            </w:pPr>
            <w:r>
              <w:t> </w:t>
            </w:r>
          </w:p>
        </w:tc>
        <w:tc>
          <w:tcPr>
            <w:tcW w:w="794" w:type="dxa"/>
            <w:tcBorders>
              <w:bottom w:val="single" w:sz="12" w:space="0" w:color="000000"/>
            </w:tcBorders>
            <w:vAlign w:val="bottom"/>
          </w:tcPr>
          <w:p w14:paraId="3ABABCE0"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28ECA90E" w14:textId="77777777" w:rsidR="008E5DE4" w:rsidRDefault="008E5DE4">
            <w:pPr>
              <w:widowControl w:val="0"/>
              <w:jc w:val="right"/>
              <w:rPr>
                <w:b/>
              </w:rPr>
            </w:pPr>
          </w:p>
        </w:tc>
        <w:tc>
          <w:tcPr>
            <w:tcW w:w="1531" w:type="dxa"/>
            <w:tcBorders>
              <w:bottom w:val="single" w:sz="12" w:space="0" w:color="000000"/>
            </w:tcBorders>
            <w:vAlign w:val="bottom"/>
          </w:tcPr>
          <w:p w14:paraId="1A1E4319" w14:textId="77777777" w:rsidR="008E5DE4" w:rsidRDefault="008E5DE4">
            <w:pPr>
              <w:widowControl w:val="0"/>
              <w:jc w:val="right"/>
              <w:rPr>
                <w:b/>
              </w:rPr>
            </w:pPr>
          </w:p>
        </w:tc>
      </w:tr>
    </w:tbl>
    <w:p w14:paraId="47DA5129" w14:textId="77777777" w:rsidR="00D73283" w:rsidRDefault="00D73283">
      <w:pPr>
        <w:pBdr>
          <w:top w:val="nil"/>
          <w:left w:val="nil"/>
          <w:bottom w:val="nil"/>
          <w:right w:val="nil"/>
          <w:between w:val="nil"/>
        </w:pBdr>
        <w:spacing w:after="240"/>
        <w:jc w:val="both"/>
        <w:rPr>
          <w:color w:val="000000"/>
          <w:sz w:val="20"/>
          <w:szCs w:val="20"/>
        </w:rPr>
      </w:pPr>
    </w:p>
    <w:p w14:paraId="0CEE02DD" w14:textId="71D307AC" w:rsidR="008E5DE4" w:rsidRDefault="00780368">
      <w:pPr>
        <w:pBdr>
          <w:top w:val="nil"/>
          <w:left w:val="nil"/>
          <w:bottom w:val="nil"/>
          <w:right w:val="nil"/>
          <w:between w:val="nil"/>
        </w:pBdr>
        <w:spacing w:after="240"/>
        <w:jc w:val="both"/>
        <w:rPr>
          <w:color w:val="000000"/>
          <w:sz w:val="20"/>
          <w:szCs w:val="20"/>
        </w:rPr>
      </w:pPr>
      <w:r>
        <w:rPr>
          <w:color w:val="000000"/>
          <w:sz w:val="20"/>
          <w:szCs w:val="20"/>
        </w:rPr>
        <w:t>Restricted cash measured at AC is presented in the consolidated statement of financial position net of the allowance for ECL.</w:t>
      </w:r>
    </w:p>
    <w:p w14:paraId="21F0919C" w14:textId="2E1E724F" w:rsidR="008E5DE4" w:rsidRPr="00176789" w:rsidRDefault="00780368">
      <w:pPr>
        <w:keepNext/>
        <w:keepLines/>
        <w:widowControl w:val="0"/>
        <w:pBdr>
          <w:top w:val="nil"/>
          <w:left w:val="nil"/>
          <w:bottom w:val="nil"/>
          <w:right w:val="nil"/>
          <w:between w:val="nil"/>
        </w:pBdr>
        <w:spacing w:before="200" w:after="200"/>
        <w:jc w:val="both"/>
        <w:rPr>
          <w:color w:val="0000FF"/>
          <w:sz w:val="20"/>
          <w:szCs w:val="20"/>
        </w:rPr>
      </w:pPr>
      <w:r>
        <w:rPr>
          <w:color w:val="0000FF"/>
          <w:sz w:val="20"/>
          <w:szCs w:val="20"/>
        </w:rPr>
        <w:t>[Repossessed collateral represents [sundry] assets acquired by the Group in the settlement of overdue loans. The Group expects to dispose of the assets in the foreseeable future. [The Group’s policy is to sell repossessed collateral through public auction or otherwise as soon as possible.]</w:t>
      </w:r>
      <w:r>
        <w:rPr>
          <w:color w:val="000000"/>
          <w:sz w:val="20"/>
          <w:szCs w:val="20"/>
        </w:rPr>
        <w:t xml:space="preserve"> </w:t>
      </w:r>
      <w:r>
        <w:rPr>
          <w:color w:val="0000FF"/>
          <w:sz w:val="20"/>
          <w:szCs w:val="20"/>
        </w:rPr>
        <w:t xml:space="preserve">The assets do not meet the definition of non-current assets held for sale. The assets were initially recognised at fair value when </w:t>
      </w:r>
      <w:r w:rsidRPr="00176789">
        <w:rPr>
          <w:color w:val="0000FF"/>
          <w:sz w:val="20"/>
          <w:szCs w:val="20"/>
        </w:rPr>
        <w:t>acquired.]</w:t>
      </w:r>
    </w:p>
    <w:p w14:paraId="250EBF6D" w14:textId="47B7A373" w:rsidR="008E5DE4" w:rsidRPr="00176789" w:rsidRDefault="00780368">
      <w:pPr>
        <w:pBdr>
          <w:top w:val="nil"/>
          <w:left w:val="nil"/>
          <w:bottom w:val="nil"/>
          <w:right w:val="nil"/>
          <w:between w:val="nil"/>
        </w:pBdr>
        <w:spacing w:after="240"/>
        <w:jc w:val="both"/>
        <w:rPr>
          <w:color w:val="0000FF"/>
          <w:sz w:val="20"/>
          <w:szCs w:val="20"/>
        </w:rPr>
      </w:pPr>
      <w:r w:rsidRPr="00176789">
        <w:rPr>
          <w:color w:val="0000FF"/>
          <w:sz w:val="20"/>
          <w:szCs w:val="20"/>
        </w:rPr>
        <w:t>[</w:t>
      </w:r>
      <w:proofErr w:type="gramStart"/>
      <w:r w:rsidRPr="00176789">
        <w:rPr>
          <w:color w:val="0000FF"/>
          <w:sz w:val="20"/>
          <w:szCs w:val="20"/>
        </w:rPr>
        <w:t>At</w:t>
      </w:r>
      <w:proofErr w:type="gramEnd"/>
      <w:r w:rsidRPr="00176789">
        <w:rPr>
          <w:color w:val="0000FF"/>
          <w:sz w:val="20"/>
          <w:szCs w:val="20"/>
        </w:rPr>
        <w:t xml:space="preserve"> 31 December </w:t>
      </w:r>
      <w:r w:rsidR="008614F8" w:rsidRPr="00176789">
        <w:rPr>
          <w:color w:val="0000FF"/>
          <w:sz w:val="20"/>
          <w:szCs w:val="20"/>
        </w:rPr>
        <w:t>2025</w:t>
      </w:r>
      <w:r w:rsidRPr="00176789">
        <w:rPr>
          <w:color w:val="0000FF"/>
          <w:sz w:val="20"/>
          <w:szCs w:val="20"/>
        </w:rPr>
        <w:t xml:space="preserve"> non-current assets recognised for costs incurred to obtain or fulfil contracts were EUR___ thousand and EUR ___ thousand, respectively (</w:t>
      </w:r>
      <w:proofErr w:type="gramStart"/>
      <w:r w:rsidRPr="00176789">
        <w:rPr>
          <w:color w:val="0000FF"/>
          <w:sz w:val="20"/>
          <w:szCs w:val="20"/>
        </w:rPr>
        <w:t>at</w:t>
      </w:r>
      <w:proofErr w:type="gramEnd"/>
      <w:r w:rsidRPr="00176789">
        <w:rPr>
          <w:color w:val="0000FF"/>
          <w:sz w:val="20"/>
          <w:szCs w:val="20"/>
        </w:rPr>
        <w:t xml:space="preserve"> 31 December </w:t>
      </w:r>
      <w:r w:rsidR="00FF468A" w:rsidRPr="00176789">
        <w:rPr>
          <w:color w:val="0000FF"/>
          <w:sz w:val="20"/>
          <w:szCs w:val="20"/>
        </w:rPr>
        <w:t>2024</w:t>
      </w:r>
      <w:r w:rsidRPr="00176789">
        <w:rPr>
          <w:color w:val="0000FF"/>
          <w:sz w:val="20"/>
          <w:szCs w:val="20"/>
        </w:rPr>
        <w:t xml:space="preserve">:  EUR___ thousand and EUR ___ thousand, respectively).] </w:t>
      </w:r>
    </w:p>
    <w:p w14:paraId="4409BE39" w14:textId="77777777" w:rsidR="008E5DE4" w:rsidRPr="00176789" w:rsidRDefault="00780368">
      <w:pPr>
        <w:pBdr>
          <w:top w:val="nil"/>
          <w:left w:val="nil"/>
          <w:bottom w:val="nil"/>
          <w:right w:val="nil"/>
          <w:between w:val="nil"/>
        </w:pBdr>
        <w:spacing w:after="240"/>
        <w:jc w:val="both"/>
        <w:rPr>
          <w:color w:val="0000FF"/>
          <w:sz w:val="20"/>
          <w:szCs w:val="20"/>
        </w:rPr>
      </w:pPr>
      <w:r w:rsidRPr="00176789">
        <w:rPr>
          <w:color w:val="0000FF"/>
          <w:sz w:val="20"/>
          <w:szCs w:val="20"/>
        </w:rPr>
        <w:t>[Amortisation and impairment loss recognised as cost of providing services during the reporting period amounted to EUR ___ thousand and EUR ___ thousand, respectively.]</w:t>
      </w:r>
    </w:p>
    <w:p w14:paraId="6E80AA55" w14:textId="088AC7FC" w:rsidR="008E5DE4" w:rsidRDefault="00C07603" w:rsidP="007F183E">
      <w:pPr>
        <w:pStyle w:val="Heading1"/>
        <w:keepLines/>
        <w:numPr>
          <w:ilvl w:val="0"/>
          <w:numId w:val="0"/>
        </w:numPr>
        <w:ind w:left="567" w:hanging="567"/>
      </w:pPr>
      <w:r w:rsidRPr="007F183E">
        <w:t xml:space="preserve">18 </w:t>
      </w:r>
      <w:r>
        <w:tab/>
      </w:r>
      <w:bookmarkStart w:id="29" w:name="_Toc149923617"/>
      <w:r w:rsidR="00780368">
        <w:t>Biological Assets</w:t>
      </w:r>
      <w:bookmarkEnd w:id="29"/>
    </w:p>
    <w:p w14:paraId="59138167" w14:textId="1293F822"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5C5844AD" w14:textId="77777777" w:rsidR="008E5DE4" w:rsidRDefault="008E5DE4">
      <w:pPr>
        <w:shd w:val="clear" w:color="auto" w:fill="C6D9F1"/>
        <w:rPr>
          <w:i/>
          <w:color w:val="FF0000"/>
          <w:sz w:val="20"/>
          <w:szCs w:val="20"/>
        </w:rPr>
      </w:pPr>
    </w:p>
    <w:p w14:paraId="2433404E"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Biological assets.</w:t>
      </w:r>
      <w:r>
        <w:rPr>
          <w:color w:val="000000"/>
          <w:sz w:val="20"/>
          <w:szCs w:val="20"/>
        </w:rPr>
        <w:t xml:space="preserve"> Biological assets of the Group consist of unharvested crops (grain crops, sugar beets and other plant crops) and livestock (pigs and cows). Bearer livestock is classified as non-current assets; consumable livestock and unharvested crops are classified as current assets in the consolidated statement of financial position.</w:t>
      </w:r>
    </w:p>
    <w:p w14:paraId="5D36BD36"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Livestock is measured at their fair value less estimated point-of-sale costs. The fair value of livestock is determined by using valuation techniques, as there is no market for pigs and cows of the same physical conditions, such as weight, age, breed and milking capacity. The fair value of livestock is based on the </w:t>
      </w:r>
      <w:r>
        <w:rPr>
          <w:color w:val="000000"/>
          <w:sz w:val="20"/>
          <w:szCs w:val="20"/>
        </w:rPr>
        <w:lastRenderedPageBreak/>
        <w:t xml:space="preserve">expected volume of milk produced during the productive lives of the dairy cattle, the expected volume of meat at the date of slaughter, the respective anticipated prices, the average expected productive lives of the livestock and future production costs. The discount rate is determined by reference to current market determined pre-tax rate. Point-of-sale costs include all costs that would be necessary to sell the assets. </w:t>
      </w:r>
    </w:p>
    <w:p w14:paraId="1805A865"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00"/>
          <w:sz w:val="20"/>
          <w:szCs w:val="20"/>
        </w:rPr>
        <w:t xml:space="preserve">The fair value of crops in the field is determined by using valuation techniques, as there is no market for winter crops of the same physical condition. The fair value of the Group’s crops is calculated as the present value of anticipated future cash flows from the biological asset before tax. The fair value calculation of crops in the field is based on the existing field under winter crops and the assessments regarding the expected crop yield on harvest, the time of the harvest, the future cultivation, the treatment, harvest costs and selling prices. The discount rate is determined by reference to the current market determined pre-tax rate. </w:t>
      </w:r>
      <w:r>
        <w:rPr>
          <w:color w:val="0000FF"/>
          <w:sz w:val="20"/>
          <w:szCs w:val="20"/>
        </w:rPr>
        <w:t xml:space="preserve">[At the year-end unharvested crops are carried at the accumulated costs incurred, which approximates the fair value since little biological transformation has taken place since initial cost incurrence due to the seasonal nature of the crops. Unharvested crop-growing costs represent costs incurred to plant and maintain seed crops which will be harvested during the subsequent reporting period. </w:t>
      </w:r>
      <w:proofErr w:type="gramStart"/>
      <w:r>
        <w:rPr>
          <w:color w:val="0000FF"/>
          <w:sz w:val="20"/>
          <w:szCs w:val="20"/>
        </w:rPr>
        <w:t>Subsequent to</w:t>
      </w:r>
      <w:proofErr w:type="gramEnd"/>
      <w:r>
        <w:rPr>
          <w:color w:val="0000FF"/>
          <w:sz w:val="20"/>
          <w:szCs w:val="20"/>
        </w:rPr>
        <w:t xml:space="preserve"> the year-end unharvested crops are measured at fair value less estimated point-of-sale costs.]</w:t>
      </w:r>
    </w:p>
    <w:p w14:paraId="2C19F41F"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Upon harvest, grain crops, sugar beets and other plant crops are included into inventory for further processing or for sale and are initially measured at their fair value less estimated point-of-sale costs at the time of harvesting. A gain or loss arising on initial recognition of agricultural produce at fair value less estimated point-of-sale costs is recognised in profit or loss in the period in which it arises. </w:t>
      </w:r>
    </w:p>
    <w:p w14:paraId="7AB72366"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All the gross gains or losses arising from initial recognition of biological assets and from changes in the fair-value-less-cost-to-sell of biological assets are included as a separate line "Gain/ (Loss) on revaluation of biological assets and agricultural produce" above the gross profit line.</w:t>
      </w:r>
    </w:p>
    <w:p w14:paraId="5ED5ED99" w14:textId="77777777" w:rsidR="008E5DE4" w:rsidRDefault="00780368">
      <w:pPr>
        <w:widowControl w:val="0"/>
        <w:pBdr>
          <w:top w:val="nil"/>
          <w:left w:val="nil"/>
          <w:bottom w:val="nil"/>
          <w:right w:val="nil"/>
          <w:between w:val="nil"/>
        </w:pBdr>
        <w:shd w:val="clear" w:color="auto" w:fill="C6D9F1"/>
        <w:spacing w:before="200" w:after="200"/>
        <w:jc w:val="both"/>
        <w:rPr>
          <w:b/>
          <w:i/>
          <w:color w:val="000000"/>
          <w:sz w:val="20"/>
          <w:szCs w:val="20"/>
        </w:rPr>
      </w:pPr>
      <w:r>
        <w:rPr>
          <w:color w:val="000000"/>
          <w:sz w:val="20"/>
          <w:szCs w:val="20"/>
        </w:rPr>
        <w:t>Agricultural produce harvested from the Group’s biological assets is measured at its fair value less estimated costs of disposal at the point of harvest.</w:t>
      </w:r>
    </w:p>
    <w:p w14:paraId="5008F600" w14:textId="77777777" w:rsidR="008E5DE4" w:rsidRDefault="00780368">
      <w:pPr>
        <w:keepNext/>
        <w:keepLines/>
        <w:widowControl w:val="0"/>
        <w:pBdr>
          <w:top w:val="nil"/>
          <w:left w:val="nil"/>
          <w:bottom w:val="nil"/>
          <w:right w:val="nil"/>
          <w:between w:val="nil"/>
        </w:pBdr>
        <w:spacing w:before="200" w:after="200"/>
        <w:jc w:val="both"/>
        <w:rPr>
          <w:color w:val="0000FF"/>
          <w:sz w:val="20"/>
          <w:szCs w:val="20"/>
        </w:rPr>
      </w:pPr>
      <w:r>
        <w:rPr>
          <w:color w:val="0000FF"/>
          <w:sz w:val="20"/>
          <w:szCs w:val="20"/>
        </w:rPr>
        <w:t>[These illustrative consolidated financial statements do not cover disclosures relevant to biological assets.]</w:t>
      </w:r>
    </w:p>
    <w:p w14:paraId="02D23BAA" w14:textId="77777777" w:rsidR="008E5DE4" w:rsidRDefault="008E5DE4">
      <w:pPr>
        <w:keepNext/>
        <w:keepLines/>
        <w:widowControl w:val="0"/>
        <w:pBdr>
          <w:top w:val="nil"/>
          <w:left w:val="nil"/>
          <w:bottom w:val="nil"/>
          <w:right w:val="nil"/>
          <w:between w:val="nil"/>
        </w:pBdr>
        <w:spacing w:before="200" w:after="200"/>
        <w:jc w:val="both"/>
        <w:rPr>
          <w:color w:val="000000"/>
          <w:sz w:val="20"/>
          <w:szCs w:val="20"/>
        </w:rPr>
      </w:pPr>
    </w:p>
    <w:p w14:paraId="56479E2E" w14:textId="75ACEC27" w:rsidR="008E5DE4" w:rsidRDefault="00C07603" w:rsidP="007F183E">
      <w:pPr>
        <w:pStyle w:val="Heading1"/>
        <w:pageBreakBefore/>
        <w:numPr>
          <w:ilvl w:val="0"/>
          <w:numId w:val="0"/>
        </w:numPr>
        <w:ind w:left="567" w:hanging="567"/>
      </w:pPr>
      <w:bookmarkStart w:id="30" w:name="_Toc149923618"/>
      <w:r>
        <w:lastRenderedPageBreak/>
        <w:t xml:space="preserve">19 </w:t>
      </w:r>
      <w:r>
        <w:tab/>
      </w:r>
      <w:r w:rsidR="00780368">
        <w:t>Inventories</w:t>
      </w:r>
      <w:bookmarkEnd w:id="30"/>
    </w:p>
    <w:p w14:paraId="148C381D" w14:textId="71A086F6"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62515C24" w14:textId="77777777" w:rsidR="008E5DE4" w:rsidRDefault="008E5DE4">
      <w:pPr>
        <w:shd w:val="clear" w:color="auto" w:fill="C6D9F1"/>
        <w:rPr>
          <w:i/>
          <w:color w:val="FF0000"/>
          <w:sz w:val="20"/>
          <w:szCs w:val="20"/>
        </w:rPr>
      </w:pPr>
    </w:p>
    <w:p w14:paraId="10EDDBB6" w14:textId="77777777" w:rsidR="008E5DE4" w:rsidRDefault="00780368">
      <w:pPr>
        <w:shd w:val="clear" w:color="auto" w:fill="C6D9F1"/>
        <w:jc w:val="both"/>
        <w:rPr>
          <w:sz w:val="20"/>
          <w:szCs w:val="20"/>
        </w:rPr>
      </w:pPr>
      <w:r>
        <w:rPr>
          <w:sz w:val="20"/>
          <w:szCs w:val="20"/>
        </w:rPr>
        <w:t xml:space="preserve">Inventories are recorded at the lower of cost and net realisable value. The cost of inventory is determined on the </w:t>
      </w:r>
      <w:r>
        <w:rPr>
          <w:color w:val="0000FF"/>
          <w:sz w:val="20"/>
          <w:szCs w:val="20"/>
        </w:rPr>
        <w:t>[weighted average basis / first-in, first-out basis]</w:t>
      </w:r>
      <w:r>
        <w:rPr>
          <w:sz w:val="20"/>
          <w:szCs w:val="20"/>
        </w:rPr>
        <w:t xml:space="preserve">. The cost of finished goods and work in progress comprises raw material, direct labour, other direct costs and related production overheads (based on the normal operating capacity) but excludes borrowing costs. Net realisable value is the estimated selling price in the ordinary course of business, less the estimated cost of completion and selling expenses. </w:t>
      </w:r>
    </w:p>
    <w:p w14:paraId="1012A25F" w14:textId="77777777" w:rsidR="008E5DE4" w:rsidRDefault="008E5DE4"/>
    <w:tbl>
      <w:tblPr>
        <w:tblStyle w:val="afffff3"/>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45146C52" w14:textId="77777777">
        <w:tc>
          <w:tcPr>
            <w:tcW w:w="9571" w:type="dxa"/>
          </w:tcPr>
          <w:p w14:paraId="35EBD467" w14:textId="77777777" w:rsidR="008E5DE4" w:rsidRDefault="00780368">
            <w:pPr>
              <w:rPr>
                <w:b/>
                <w:i/>
                <w:sz w:val="20"/>
                <w:szCs w:val="20"/>
              </w:rPr>
            </w:pPr>
            <w:r>
              <w:rPr>
                <w:b/>
                <w:i/>
                <w:sz w:val="20"/>
                <w:szCs w:val="20"/>
              </w:rPr>
              <w:t>Critical Accounting Estimates and Judgments in Applying Accounting Policies</w:t>
            </w:r>
          </w:p>
          <w:p w14:paraId="33404E9B" w14:textId="6459F073" w:rsidR="008E5DE4" w:rsidRDefault="00780368">
            <w:pPr>
              <w:widowControl w:val="0"/>
              <w:pBdr>
                <w:top w:val="nil"/>
                <w:left w:val="nil"/>
                <w:bottom w:val="nil"/>
                <w:right w:val="nil"/>
                <w:between w:val="nil"/>
              </w:pBdr>
              <w:spacing w:before="200" w:after="200"/>
              <w:jc w:val="both"/>
              <w:rPr>
                <w:color w:val="000000"/>
              </w:rPr>
            </w:pPr>
            <w:r>
              <w:rPr>
                <w:b/>
                <w:i/>
                <w:color w:val="000000"/>
                <w:sz w:val="20"/>
                <w:szCs w:val="20"/>
              </w:rPr>
              <w:t xml:space="preserve">Inventory write-down. </w:t>
            </w:r>
          </w:p>
        </w:tc>
      </w:tr>
    </w:tbl>
    <w:p w14:paraId="3B8C61BA" w14:textId="77777777" w:rsidR="008E5DE4" w:rsidRDefault="008E5DE4"/>
    <w:tbl>
      <w:tblPr>
        <w:tblStyle w:val="afffff4"/>
        <w:tblW w:w="9355" w:type="dxa"/>
        <w:tblLayout w:type="fixed"/>
        <w:tblLook w:val="0000" w:firstRow="0" w:lastRow="0" w:firstColumn="0" w:lastColumn="0" w:noHBand="0" w:noVBand="0"/>
      </w:tblPr>
      <w:tblGrid>
        <w:gridCol w:w="5726"/>
        <w:gridCol w:w="567"/>
        <w:gridCol w:w="1531"/>
        <w:gridCol w:w="1531"/>
      </w:tblGrid>
      <w:tr w:rsidR="008E5DE4" w14:paraId="60280A6F" w14:textId="77777777">
        <w:trPr>
          <w:cantSplit/>
        </w:trPr>
        <w:tc>
          <w:tcPr>
            <w:tcW w:w="5726" w:type="dxa"/>
            <w:tcBorders>
              <w:bottom w:val="single" w:sz="4" w:space="0" w:color="000000"/>
            </w:tcBorders>
            <w:vAlign w:val="bottom"/>
          </w:tcPr>
          <w:p w14:paraId="138DF18B"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567" w:type="dxa"/>
            <w:tcBorders>
              <w:bottom w:val="single" w:sz="4" w:space="0" w:color="000000"/>
            </w:tcBorders>
            <w:vAlign w:val="bottom"/>
          </w:tcPr>
          <w:p w14:paraId="47781439"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tcBorders>
              <w:bottom w:val="single" w:sz="4" w:space="0" w:color="000000"/>
            </w:tcBorders>
            <w:vAlign w:val="bottom"/>
          </w:tcPr>
          <w:p w14:paraId="64ACA76C" w14:textId="690CD9B8"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4E9FB678" w14:textId="59BECA80"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3032130C" w14:textId="77777777">
        <w:trPr>
          <w:cantSplit/>
        </w:trPr>
        <w:tc>
          <w:tcPr>
            <w:tcW w:w="5726" w:type="dxa"/>
            <w:vAlign w:val="bottom"/>
          </w:tcPr>
          <w:p w14:paraId="7B25334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vAlign w:val="bottom"/>
          </w:tcPr>
          <w:p w14:paraId="5D2D9E75"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A24E30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425FB9A" w14:textId="77777777" w:rsidR="008E5DE4" w:rsidRDefault="008E5DE4">
            <w:pPr>
              <w:widowControl w:val="0"/>
              <w:pBdr>
                <w:top w:val="nil"/>
                <w:left w:val="nil"/>
                <w:bottom w:val="nil"/>
                <w:right w:val="nil"/>
                <w:between w:val="nil"/>
              </w:pBdr>
              <w:jc w:val="right"/>
              <w:rPr>
                <w:color w:val="000000"/>
              </w:rPr>
            </w:pPr>
          </w:p>
        </w:tc>
      </w:tr>
      <w:tr w:rsidR="008E5DE4" w14:paraId="1E943D40" w14:textId="77777777">
        <w:trPr>
          <w:cantSplit/>
        </w:trPr>
        <w:tc>
          <w:tcPr>
            <w:tcW w:w="5726" w:type="dxa"/>
            <w:vAlign w:val="bottom"/>
          </w:tcPr>
          <w:p w14:paraId="0C116D82" w14:textId="77777777" w:rsidR="008E5DE4" w:rsidRDefault="00780368">
            <w:pPr>
              <w:widowControl w:val="0"/>
              <w:pBdr>
                <w:top w:val="nil"/>
                <w:left w:val="nil"/>
                <w:bottom w:val="nil"/>
                <w:right w:val="nil"/>
                <w:between w:val="nil"/>
              </w:pBdr>
              <w:ind w:left="113" w:right="-57" w:hanging="113"/>
              <w:rPr>
                <w:color w:val="000000"/>
              </w:rPr>
            </w:pPr>
            <w:r>
              <w:rPr>
                <w:color w:val="000000"/>
              </w:rPr>
              <w:t>Raw materials</w:t>
            </w:r>
          </w:p>
        </w:tc>
        <w:tc>
          <w:tcPr>
            <w:tcW w:w="567" w:type="dxa"/>
            <w:vAlign w:val="bottom"/>
          </w:tcPr>
          <w:p w14:paraId="13A2C5E8"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668F192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AC54FD4" w14:textId="77777777" w:rsidR="008E5DE4" w:rsidRDefault="008E5DE4">
            <w:pPr>
              <w:widowControl w:val="0"/>
              <w:pBdr>
                <w:top w:val="nil"/>
                <w:left w:val="nil"/>
                <w:bottom w:val="nil"/>
                <w:right w:val="nil"/>
                <w:between w:val="nil"/>
              </w:pBdr>
              <w:jc w:val="right"/>
              <w:rPr>
                <w:b/>
                <w:color w:val="000000"/>
              </w:rPr>
            </w:pPr>
          </w:p>
        </w:tc>
      </w:tr>
      <w:tr w:rsidR="008E5DE4" w14:paraId="10C8B17C" w14:textId="77777777">
        <w:trPr>
          <w:cantSplit/>
        </w:trPr>
        <w:tc>
          <w:tcPr>
            <w:tcW w:w="5726" w:type="dxa"/>
            <w:vAlign w:val="bottom"/>
          </w:tcPr>
          <w:p w14:paraId="37FE93CC" w14:textId="77777777" w:rsidR="008E5DE4" w:rsidRDefault="00780368">
            <w:pPr>
              <w:widowControl w:val="0"/>
              <w:pBdr>
                <w:top w:val="nil"/>
                <w:left w:val="nil"/>
                <w:bottom w:val="nil"/>
                <w:right w:val="nil"/>
                <w:between w:val="nil"/>
              </w:pBdr>
              <w:ind w:left="113" w:right="-57" w:hanging="113"/>
              <w:rPr>
                <w:color w:val="000000"/>
              </w:rPr>
            </w:pPr>
            <w:r>
              <w:rPr>
                <w:color w:val="000000"/>
              </w:rPr>
              <w:t>Work in progress</w:t>
            </w:r>
          </w:p>
        </w:tc>
        <w:tc>
          <w:tcPr>
            <w:tcW w:w="567" w:type="dxa"/>
            <w:vAlign w:val="bottom"/>
          </w:tcPr>
          <w:p w14:paraId="3C78C0E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F8CC51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672E504" w14:textId="77777777" w:rsidR="008E5DE4" w:rsidRDefault="008E5DE4">
            <w:pPr>
              <w:widowControl w:val="0"/>
              <w:pBdr>
                <w:top w:val="nil"/>
                <w:left w:val="nil"/>
                <w:bottom w:val="nil"/>
                <w:right w:val="nil"/>
                <w:between w:val="nil"/>
              </w:pBdr>
              <w:jc w:val="right"/>
              <w:rPr>
                <w:color w:val="000000"/>
              </w:rPr>
            </w:pPr>
          </w:p>
        </w:tc>
      </w:tr>
      <w:tr w:rsidR="008E5DE4" w14:paraId="2A519980" w14:textId="77777777">
        <w:trPr>
          <w:cantSplit/>
        </w:trPr>
        <w:tc>
          <w:tcPr>
            <w:tcW w:w="5726" w:type="dxa"/>
            <w:vAlign w:val="bottom"/>
          </w:tcPr>
          <w:p w14:paraId="7E4D8C27"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Finished products – at cost</w:t>
            </w:r>
          </w:p>
        </w:tc>
        <w:tc>
          <w:tcPr>
            <w:tcW w:w="567" w:type="dxa"/>
            <w:vAlign w:val="bottom"/>
          </w:tcPr>
          <w:p w14:paraId="0006B78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CBB2CD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3B38DBE" w14:textId="77777777" w:rsidR="008E5DE4" w:rsidRDefault="008E5DE4">
            <w:pPr>
              <w:widowControl w:val="0"/>
              <w:pBdr>
                <w:top w:val="nil"/>
                <w:left w:val="nil"/>
                <w:bottom w:val="nil"/>
                <w:right w:val="nil"/>
                <w:between w:val="nil"/>
              </w:pBdr>
              <w:jc w:val="right"/>
              <w:rPr>
                <w:color w:val="000000"/>
              </w:rPr>
            </w:pPr>
          </w:p>
        </w:tc>
      </w:tr>
      <w:tr w:rsidR="008E5DE4" w14:paraId="137A4D94" w14:textId="77777777">
        <w:trPr>
          <w:cantSplit/>
        </w:trPr>
        <w:tc>
          <w:tcPr>
            <w:tcW w:w="5726" w:type="dxa"/>
            <w:vAlign w:val="bottom"/>
          </w:tcPr>
          <w:p w14:paraId="177A976C"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Finished products – at fair value less cost to sell</w:t>
            </w:r>
          </w:p>
        </w:tc>
        <w:tc>
          <w:tcPr>
            <w:tcW w:w="567" w:type="dxa"/>
            <w:vAlign w:val="bottom"/>
          </w:tcPr>
          <w:p w14:paraId="550FCE7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A71A3D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4A68648" w14:textId="77777777" w:rsidR="008E5DE4" w:rsidRDefault="008E5DE4">
            <w:pPr>
              <w:widowControl w:val="0"/>
              <w:pBdr>
                <w:top w:val="nil"/>
                <w:left w:val="nil"/>
                <w:bottom w:val="nil"/>
                <w:right w:val="nil"/>
                <w:between w:val="nil"/>
              </w:pBdr>
              <w:jc w:val="right"/>
              <w:rPr>
                <w:color w:val="000000"/>
              </w:rPr>
            </w:pPr>
          </w:p>
        </w:tc>
      </w:tr>
      <w:tr w:rsidR="008E5DE4" w14:paraId="0491B69A" w14:textId="77777777">
        <w:trPr>
          <w:cantSplit/>
        </w:trPr>
        <w:tc>
          <w:tcPr>
            <w:tcW w:w="5726" w:type="dxa"/>
            <w:vAlign w:val="bottom"/>
          </w:tcPr>
          <w:p w14:paraId="55FEDCF0" w14:textId="77777777" w:rsidR="008E5DE4" w:rsidRDefault="00780368">
            <w:pPr>
              <w:widowControl w:val="0"/>
              <w:pBdr>
                <w:top w:val="nil"/>
                <w:left w:val="nil"/>
                <w:bottom w:val="nil"/>
                <w:right w:val="nil"/>
                <w:between w:val="nil"/>
              </w:pBdr>
              <w:ind w:left="113" w:right="-57" w:hanging="113"/>
              <w:rPr>
                <w:color w:val="000000"/>
              </w:rPr>
            </w:pPr>
            <w:r>
              <w:rPr>
                <w:color w:val="000000"/>
              </w:rPr>
              <w:t>Goods for resale</w:t>
            </w:r>
          </w:p>
        </w:tc>
        <w:tc>
          <w:tcPr>
            <w:tcW w:w="567" w:type="dxa"/>
            <w:vAlign w:val="bottom"/>
          </w:tcPr>
          <w:p w14:paraId="2D6EC98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E36919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E7D361C" w14:textId="77777777" w:rsidR="008E5DE4" w:rsidRDefault="008E5DE4">
            <w:pPr>
              <w:widowControl w:val="0"/>
              <w:pBdr>
                <w:top w:val="nil"/>
                <w:left w:val="nil"/>
                <w:bottom w:val="nil"/>
                <w:right w:val="nil"/>
                <w:between w:val="nil"/>
              </w:pBdr>
              <w:jc w:val="right"/>
              <w:rPr>
                <w:color w:val="000000"/>
              </w:rPr>
            </w:pPr>
          </w:p>
        </w:tc>
      </w:tr>
      <w:tr w:rsidR="008E5DE4" w14:paraId="65367610" w14:textId="77777777">
        <w:trPr>
          <w:cantSplit/>
        </w:trPr>
        <w:tc>
          <w:tcPr>
            <w:tcW w:w="5726" w:type="dxa"/>
            <w:tcBorders>
              <w:bottom w:val="single" w:sz="4" w:space="0" w:color="000000"/>
            </w:tcBorders>
            <w:vAlign w:val="bottom"/>
          </w:tcPr>
          <w:p w14:paraId="6516F108"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bottom w:val="single" w:sz="4" w:space="0" w:color="000000"/>
            </w:tcBorders>
            <w:vAlign w:val="bottom"/>
          </w:tcPr>
          <w:p w14:paraId="3C29BDDC"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286587BA"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A14A623" w14:textId="77777777" w:rsidR="008E5DE4" w:rsidRDefault="008E5DE4">
            <w:pPr>
              <w:widowControl w:val="0"/>
              <w:jc w:val="right"/>
            </w:pPr>
          </w:p>
        </w:tc>
      </w:tr>
      <w:tr w:rsidR="008E5DE4" w14:paraId="514027F8" w14:textId="77777777">
        <w:trPr>
          <w:cantSplit/>
        </w:trPr>
        <w:tc>
          <w:tcPr>
            <w:tcW w:w="5726" w:type="dxa"/>
            <w:vAlign w:val="bottom"/>
          </w:tcPr>
          <w:p w14:paraId="755C2C7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vAlign w:val="bottom"/>
          </w:tcPr>
          <w:p w14:paraId="6C2387BB"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A1B0659"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9CF5015" w14:textId="77777777" w:rsidR="008E5DE4" w:rsidRDefault="008E5DE4">
            <w:pPr>
              <w:widowControl w:val="0"/>
              <w:jc w:val="right"/>
              <w:rPr>
                <w:b/>
              </w:rPr>
            </w:pPr>
          </w:p>
        </w:tc>
      </w:tr>
      <w:tr w:rsidR="008E5DE4" w14:paraId="1735DD82" w14:textId="77777777">
        <w:trPr>
          <w:cantSplit/>
        </w:trPr>
        <w:tc>
          <w:tcPr>
            <w:tcW w:w="5726" w:type="dxa"/>
            <w:vAlign w:val="bottom"/>
          </w:tcPr>
          <w:p w14:paraId="254A35FA"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inventories </w:t>
            </w:r>
            <w:proofErr w:type="gramStart"/>
            <w:r>
              <w:rPr>
                <w:b/>
                <w:color w:val="000000"/>
              </w:rPr>
              <w:t>at</w:t>
            </w:r>
            <w:proofErr w:type="gramEnd"/>
            <w:r>
              <w:rPr>
                <w:b/>
                <w:color w:val="000000"/>
              </w:rPr>
              <w:t xml:space="preserve"> 31 December</w:t>
            </w:r>
          </w:p>
        </w:tc>
        <w:tc>
          <w:tcPr>
            <w:tcW w:w="567" w:type="dxa"/>
            <w:vAlign w:val="bottom"/>
          </w:tcPr>
          <w:p w14:paraId="2B058C5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EE5BB40"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E4D5155" w14:textId="77777777" w:rsidR="008E5DE4" w:rsidRDefault="008E5DE4">
            <w:pPr>
              <w:widowControl w:val="0"/>
              <w:pBdr>
                <w:top w:val="nil"/>
                <w:left w:val="nil"/>
                <w:bottom w:val="nil"/>
                <w:right w:val="nil"/>
                <w:between w:val="nil"/>
              </w:pBdr>
              <w:jc w:val="right"/>
              <w:rPr>
                <w:b/>
                <w:color w:val="000000"/>
              </w:rPr>
            </w:pPr>
          </w:p>
        </w:tc>
      </w:tr>
      <w:tr w:rsidR="008E5DE4" w14:paraId="086F3C11" w14:textId="77777777">
        <w:trPr>
          <w:cantSplit/>
        </w:trPr>
        <w:tc>
          <w:tcPr>
            <w:tcW w:w="5726" w:type="dxa"/>
            <w:tcBorders>
              <w:bottom w:val="single" w:sz="12" w:space="0" w:color="000000"/>
            </w:tcBorders>
            <w:vAlign w:val="bottom"/>
          </w:tcPr>
          <w:p w14:paraId="087F7D7A" w14:textId="77777777" w:rsidR="008E5DE4" w:rsidRDefault="00780368">
            <w:pPr>
              <w:widowControl w:val="0"/>
              <w:ind w:left="113" w:right="-57" w:hanging="113"/>
            </w:pPr>
            <w:r>
              <w:t> </w:t>
            </w:r>
          </w:p>
        </w:tc>
        <w:tc>
          <w:tcPr>
            <w:tcW w:w="567" w:type="dxa"/>
            <w:tcBorders>
              <w:bottom w:val="single" w:sz="12" w:space="0" w:color="000000"/>
            </w:tcBorders>
            <w:vAlign w:val="bottom"/>
          </w:tcPr>
          <w:p w14:paraId="1DFD5C1B"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1BC346C9" w14:textId="77777777" w:rsidR="008E5DE4" w:rsidRDefault="008E5DE4">
            <w:pPr>
              <w:widowControl w:val="0"/>
              <w:jc w:val="right"/>
              <w:rPr>
                <w:b/>
              </w:rPr>
            </w:pPr>
          </w:p>
        </w:tc>
        <w:tc>
          <w:tcPr>
            <w:tcW w:w="1531" w:type="dxa"/>
            <w:tcBorders>
              <w:bottom w:val="single" w:sz="12" w:space="0" w:color="000000"/>
            </w:tcBorders>
            <w:vAlign w:val="bottom"/>
          </w:tcPr>
          <w:p w14:paraId="2D7F51BB" w14:textId="77777777" w:rsidR="008E5DE4" w:rsidRDefault="008E5DE4">
            <w:pPr>
              <w:widowControl w:val="0"/>
              <w:jc w:val="right"/>
              <w:rPr>
                <w:b/>
              </w:rPr>
            </w:pPr>
          </w:p>
        </w:tc>
      </w:tr>
    </w:tbl>
    <w:p w14:paraId="2E601671" w14:textId="40794AA8"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Inventories of EUR ____ thousand (</w:t>
      </w:r>
      <w:r w:rsidR="00FF468A">
        <w:rPr>
          <w:color w:val="000000"/>
          <w:sz w:val="20"/>
          <w:szCs w:val="20"/>
        </w:rPr>
        <w:t>2024</w:t>
      </w:r>
      <w:r>
        <w:rPr>
          <w:color w:val="000000"/>
          <w:sz w:val="20"/>
          <w:szCs w:val="20"/>
        </w:rPr>
        <w:t>: EUR ____ thousand) have been pledged as collateral for borrowings. Refer to Note 28.</w:t>
      </w:r>
    </w:p>
    <w:p w14:paraId="3749C4B8" w14:textId="7AFC647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cost of inventories recognised as an expense during the period representing cost of sales amounted to EUR ____ thousand (</w:t>
      </w:r>
      <w:r w:rsidR="00FF468A">
        <w:rPr>
          <w:color w:val="000000"/>
          <w:sz w:val="20"/>
          <w:szCs w:val="20"/>
        </w:rPr>
        <w:t>2024</w:t>
      </w:r>
      <w:r>
        <w:rPr>
          <w:color w:val="000000"/>
          <w:sz w:val="20"/>
          <w:szCs w:val="20"/>
        </w:rPr>
        <w:t>: EUR ____ thousand).</w:t>
      </w:r>
    </w:p>
    <w:p w14:paraId="240C8E41" w14:textId="5D286E5C"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During </w:t>
      </w:r>
      <w:r w:rsidR="008614F8">
        <w:rPr>
          <w:color w:val="000000"/>
          <w:sz w:val="20"/>
          <w:szCs w:val="20"/>
        </w:rPr>
        <w:t>2025</w:t>
      </w:r>
      <w:r>
        <w:rPr>
          <w:color w:val="000000"/>
          <w:sz w:val="20"/>
          <w:szCs w:val="20"/>
        </w:rPr>
        <w:t xml:space="preserve"> the Group reversed EUR ____ thousand (</w:t>
      </w:r>
      <w:r w:rsidR="00FF468A">
        <w:rPr>
          <w:color w:val="000000"/>
          <w:sz w:val="20"/>
          <w:szCs w:val="20"/>
        </w:rPr>
        <w:t>2024</w:t>
      </w:r>
      <w:r>
        <w:rPr>
          <w:color w:val="000000"/>
          <w:sz w:val="20"/>
          <w:szCs w:val="20"/>
        </w:rPr>
        <w:t xml:space="preserve">: EUR ____ thousand) of a previous inventory write-down. The Group has sold all the goods that were previously written down for approximately their net carrying value. The amount reversed has been included in </w:t>
      </w:r>
      <w:r>
        <w:rPr>
          <w:color w:val="0000FF"/>
          <w:sz w:val="20"/>
          <w:szCs w:val="20"/>
        </w:rPr>
        <w:t>[cost of sales]</w:t>
      </w:r>
      <w:r>
        <w:rPr>
          <w:color w:val="000000"/>
          <w:sz w:val="20"/>
          <w:szCs w:val="20"/>
        </w:rPr>
        <w:t xml:space="preserve"> in profit or loss for the year.</w:t>
      </w:r>
    </w:p>
    <w:p w14:paraId="10BA0B10" w14:textId="29C1050C"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Inventories of EUR ____ thousand (</w:t>
      </w:r>
      <w:r w:rsidR="00FF468A">
        <w:rPr>
          <w:color w:val="000000"/>
          <w:sz w:val="20"/>
          <w:szCs w:val="20"/>
        </w:rPr>
        <w:t>2024</w:t>
      </w:r>
      <w:r>
        <w:rPr>
          <w:color w:val="000000"/>
          <w:sz w:val="20"/>
          <w:szCs w:val="20"/>
        </w:rPr>
        <w:t xml:space="preserve">: EUR ____ thousand) are valued at net realisable value as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w:t>
      </w:r>
    </w:p>
    <w:p w14:paraId="3012BBE3" w14:textId="77777777" w:rsidR="009D6ED6" w:rsidRDefault="009D6ED6">
      <w:pPr>
        <w:rPr>
          <w:b/>
          <w:kern w:val="28"/>
          <w:sz w:val="20"/>
        </w:rPr>
      </w:pPr>
      <w:bookmarkStart w:id="31" w:name="_Toc149923619"/>
      <w:r>
        <w:br w:type="page"/>
      </w:r>
    </w:p>
    <w:p w14:paraId="4C47282C" w14:textId="2B9C241B" w:rsidR="008E5DE4" w:rsidRDefault="00C07603" w:rsidP="007F183E">
      <w:pPr>
        <w:pStyle w:val="Heading1"/>
        <w:numPr>
          <w:ilvl w:val="0"/>
          <w:numId w:val="0"/>
        </w:numPr>
        <w:ind w:left="567" w:hanging="567"/>
      </w:pPr>
      <w:r>
        <w:lastRenderedPageBreak/>
        <w:t xml:space="preserve">20 </w:t>
      </w:r>
      <w:r>
        <w:tab/>
      </w:r>
      <w:r w:rsidR="00780368">
        <w:t>Trade and Other Receivables</w:t>
      </w:r>
      <w:bookmarkEnd w:id="31"/>
    </w:p>
    <w:p w14:paraId="60DD0523" w14:textId="1395995D"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1A1AF1CC" w14:textId="77777777" w:rsidR="008E5DE4" w:rsidRDefault="008E5DE4">
      <w:pPr>
        <w:shd w:val="clear" w:color="auto" w:fill="C6D9F1"/>
        <w:rPr>
          <w:i/>
          <w:color w:val="FF0000"/>
          <w:sz w:val="20"/>
          <w:szCs w:val="20"/>
        </w:rPr>
      </w:pPr>
    </w:p>
    <w:p w14:paraId="71FF31AD"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Initial recognition</w:t>
      </w:r>
      <w:r>
        <w:rPr>
          <w:color w:val="000000"/>
          <w:sz w:val="20"/>
          <w:szCs w:val="20"/>
        </w:rPr>
        <w:t>. Trade receivables that result from transactions with customers are initially recorded at their transaction price as defined in IFRS 15, if the trade receivables do not contain a significant financing component. All other trade and other receivables are initially recorded at fair value adjusted for transaction costs, unless they are classified as measured at FVTPL. Fair value at initial recognition is best evidenced by the transaction price. A gain or loss on initial recognition is only recorded if there is a difference between fair value and transaction price which can be evidenced by other observable current market transactions in the same instrument or by a valuation technique whose inputs include only data from observable markets. After the initial recognition, an ECL allowance is recognised for trade and other receivables measured at AC and FVOCI, resulting in an immediate accounting loss.</w:t>
      </w:r>
    </w:p>
    <w:p w14:paraId="6621A837"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All purchases and sales of </w:t>
      </w:r>
      <w:r>
        <w:rPr>
          <w:color w:val="000000"/>
        </w:rPr>
        <w:t>t</w:t>
      </w:r>
      <w:r>
        <w:rPr>
          <w:color w:val="000000"/>
          <w:sz w:val="20"/>
          <w:szCs w:val="20"/>
        </w:rPr>
        <w:t>rade and other receivables that require delivery within the time frame established by regulation or market convention (“regular way” purchases and sales) are recorded at trade date, which is the date on which the Group commits to deliver an asset. All other purchases are recognised when the Group becomes a party to the contractual provisions of the instrument.</w:t>
      </w:r>
    </w:p>
    <w:p w14:paraId="77EAA7F8"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Classification and subsequent measurement – measurement categories.</w:t>
      </w:r>
      <w:r>
        <w:rPr>
          <w:color w:val="000000"/>
          <w:sz w:val="20"/>
          <w:szCs w:val="20"/>
        </w:rPr>
        <w:t xml:space="preserve"> The Group classifies trade and other receivables in the following measurement categories: FVTPL, FVOCI and AC. The classification and subsequent measurement of trade and other receivables </w:t>
      </w:r>
      <w:proofErr w:type="gramStart"/>
      <w:r>
        <w:rPr>
          <w:color w:val="000000"/>
          <w:sz w:val="20"/>
          <w:szCs w:val="20"/>
        </w:rPr>
        <w:t>depends</w:t>
      </w:r>
      <w:proofErr w:type="gramEnd"/>
      <w:r>
        <w:rPr>
          <w:color w:val="000000"/>
          <w:sz w:val="20"/>
          <w:szCs w:val="20"/>
        </w:rPr>
        <w:t xml:space="preserve"> on: (</w:t>
      </w:r>
      <w:proofErr w:type="spellStart"/>
      <w:r>
        <w:rPr>
          <w:color w:val="000000"/>
          <w:sz w:val="20"/>
          <w:szCs w:val="20"/>
        </w:rPr>
        <w:t>i</w:t>
      </w:r>
      <w:proofErr w:type="spellEnd"/>
      <w:r>
        <w:rPr>
          <w:color w:val="000000"/>
          <w:sz w:val="20"/>
          <w:szCs w:val="20"/>
        </w:rPr>
        <w:t xml:space="preserve">) the Group’s business model for managing the related assets portfolio and (ii) the cash flow characteristics of the asset. </w:t>
      </w:r>
    </w:p>
    <w:p w14:paraId="003ADF7E"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FF0000"/>
          <w:sz w:val="20"/>
          <w:szCs w:val="20"/>
        </w:rPr>
      </w:pPr>
      <w:r>
        <w:rPr>
          <w:b/>
          <w:i/>
          <w:color w:val="000000"/>
          <w:sz w:val="20"/>
          <w:szCs w:val="20"/>
        </w:rPr>
        <w:t xml:space="preserve">Classification and subsequent measurement – business model. </w:t>
      </w:r>
      <w:r>
        <w:rPr>
          <w:color w:val="000000"/>
          <w:sz w:val="20"/>
          <w:szCs w:val="20"/>
        </w:rPr>
        <w:t>The business model reflects how the Group manages the assets in order to generate cash flows – whether the Group’s objective is: (</w:t>
      </w:r>
      <w:proofErr w:type="spellStart"/>
      <w:r>
        <w:rPr>
          <w:color w:val="000000"/>
          <w:sz w:val="20"/>
          <w:szCs w:val="20"/>
        </w:rPr>
        <w:t>i</w:t>
      </w:r>
      <w:proofErr w:type="spellEnd"/>
      <w:r>
        <w:rPr>
          <w:color w:val="000000"/>
          <w:sz w:val="20"/>
          <w:szCs w:val="20"/>
        </w:rPr>
        <w:t>) solely to collect the contractual cash flows from the assets (“hold to collect contractual cash flows”,) or (ii) to collect both the contractual cash flows and the cash flows arising from the sale of assets (“hold to collect contractual cash flows and sell”) or, if neither of (</w:t>
      </w:r>
      <w:proofErr w:type="spellStart"/>
      <w:r>
        <w:rPr>
          <w:color w:val="000000"/>
          <w:sz w:val="20"/>
          <w:szCs w:val="20"/>
        </w:rPr>
        <w:t>i</w:t>
      </w:r>
      <w:proofErr w:type="spellEnd"/>
      <w:r>
        <w:rPr>
          <w:color w:val="000000"/>
          <w:sz w:val="20"/>
          <w:szCs w:val="20"/>
        </w:rPr>
        <w:t xml:space="preserve">) and (ii) is applicable, the trade and other receivables are classified as part of “other” business model and measured at FVTPL. </w:t>
      </w:r>
    </w:p>
    <w:p w14:paraId="6D9C84C4"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color w:val="000000"/>
          <w:sz w:val="20"/>
          <w:szCs w:val="20"/>
        </w:rPr>
        <w:t>Business model is determined for a group of assets (on a portfolio level) based on all relevant evidence about the activities that the Group undertakes to achieve the objective set out for the portfolio available at the date of the assessment. Factors considered by the Group in determining the business model include</w:t>
      </w:r>
      <w:r>
        <w:rPr>
          <w:color w:val="FF0000"/>
          <w:sz w:val="20"/>
          <w:szCs w:val="20"/>
        </w:rPr>
        <w:t xml:space="preserve"> </w:t>
      </w:r>
      <w:r>
        <w:rPr>
          <w:color w:val="0000FF"/>
          <w:sz w:val="20"/>
          <w:szCs w:val="20"/>
        </w:rPr>
        <w:t xml:space="preserve">[the purpose and composition of a portfolio, </w:t>
      </w:r>
      <w:proofErr w:type="gramStart"/>
      <w:r>
        <w:rPr>
          <w:color w:val="0000FF"/>
          <w:sz w:val="20"/>
          <w:szCs w:val="20"/>
        </w:rPr>
        <w:t>past experience</w:t>
      </w:r>
      <w:proofErr w:type="gramEnd"/>
      <w:r>
        <w:rPr>
          <w:color w:val="0000FF"/>
          <w:sz w:val="20"/>
          <w:szCs w:val="20"/>
        </w:rPr>
        <w:t xml:space="preserve"> on how the cash flows for the respective assets were collected, how risks are assessed and managed, how the assets’ performance is assessed and how managers are compensated]. [Refer to Note 4 for critical judgements applied by the Group in determining the business models for its financial assets.]</w:t>
      </w:r>
    </w:p>
    <w:p w14:paraId="289E428D" w14:textId="77777777" w:rsidR="008E5DE4" w:rsidRDefault="00780368">
      <w:pPr>
        <w:widowControl w:val="0"/>
        <w:pBdr>
          <w:top w:val="nil"/>
          <w:left w:val="nil"/>
          <w:bottom w:val="nil"/>
          <w:right w:val="nil"/>
          <w:between w:val="nil"/>
        </w:pBdr>
        <w:shd w:val="clear" w:color="auto" w:fill="C6D9F1"/>
        <w:spacing w:after="180" w:line="228" w:lineRule="auto"/>
        <w:jc w:val="both"/>
        <w:rPr>
          <w:color w:val="0000FF"/>
          <w:sz w:val="20"/>
          <w:szCs w:val="20"/>
        </w:rPr>
      </w:pPr>
      <w:r>
        <w:rPr>
          <w:b/>
          <w:i/>
          <w:color w:val="000000"/>
          <w:sz w:val="20"/>
          <w:szCs w:val="20"/>
        </w:rPr>
        <w:t>Reclassification</w:t>
      </w:r>
      <w:r>
        <w:rPr>
          <w:i/>
          <w:color w:val="000000"/>
          <w:sz w:val="20"/>
          <w:szCs w:val="20"/>
        </w:rPr>
        <w:t>.</w:t>
      </w:r>
      <w:r>
        <w:rPr>
          <w:color w:val="000000"/>
          <w:sz w:val="20"/>
          <w:szCs w:val="20"/>
        </w:rPr>
        <w:t xml:space="preserve"> Financial instruments are reclassified only when the business model for managing the portfolio </w:t>
      </w:r>
      <w:proofErr w:type="gramStart"/>
      <w:r>
        <w:rPr>
          <w:color w:val="000000"/>
          <w:sz w:val="20"/>
          <w:szCs w:val="20"/>
        </w:rPr>
        <w:t>as a whole changes</w:t>
      </w:r>
      <w:proofErr w:type="gramEnd"/>
      <w:r>
        <w:rPr>
          <w:color w:val="000000"/>
          <w:sz w:val="20"/>
          <w:szCs w:val="20"/>
        </w:rPr>
        <w:t xml:space="preserve">. The reclassification has a prospective effect and takes place from the beginning of the first reporting period that </w:t>
      </w:r>
      <w:proofErr w:type="gramStart"/>
      <w:r>
        <w:rPr>
          <w:color w:val="000000"/>
          <w:sz w:val="20"/>
          <w:szCs w:val="20"/>
        </w:rPr>
        <w:t>follows after</w:t>
      </w:r>
      <w:proofErr w:type="gramEnd"/>
      <w:r>
        <w:rPr>
          <w:color w:val="000000"/>
          <w:sz w:val="20"/>
          <w:szCs w:val="20"/>
        </w:rPr>
        <w:t xml:space="preserve"> the change in the business model. </w:t>
      </w:r>
      <w:r>
        <w:rPr>
          <w:color w:val="0000FF"/>
          <w:sz w:val="20"/>
          <w:szCs w:val="20"/>
        </w:rPr>
        <w:t>[The Group did not change its business model during the current and comparative period and did not make any reclassifications.]</w:t>
      </w:r>
    </w:p>
    <w:p w14:paraId="5A6BD9F0" w14:textId="12978D54"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Write-off.</w:t>
      </w:r>
      <w:r>
        <w:rPr>
          <w:b/>
          <w:color w:val="000000"/>
          <w:sz w:val="20"/>
          <w:szCs w:val="20"/>
        </w:rPr>
        <w:t xml:space="preserve"> </w:t>
      </w:r>
      <w:r>
        <w:rPr>
          <w:color w:val="000000"/>
          <w:sz w:val="20"/>
          <w:szCs w:val="20"/>
        </w:rPr>
        <w:t>Trade and other receivables are written</w:t>
      </w:r>
      <w:r w:rsidR="00176789">
        <w:rPr>
          <w:color w:val="000000"/>
          <w:sz w:val="20"/>
          <w:szCs w:val="20"/>
        </w:rPr>
        <w:t xml:space="preserve"> </w:t>
      </w:r>
      <w:r>
        <w:rPr>
          <w:color w:val="000000"/>
          <w:sz w:val="20"/>
          <w:szCs w:val="20"/>
        </w:rPr>
        <w:t xml:space="preserve">off, in whole or in part, when the Group exhausted all practical recovery efforts and has concluded that there is no reasonable expectation of recovery. The write-off represents a derecognition event. </w:t>
      </w:r>
      <w:r>
        <w:rPr>
          <w:color w:val="0000FF"/>
          <w:sz w:val="20"/>
          <w:szCs w:val="20"/>
        </w:rPr>
        <w:t>[Indicators that there is no reasonable expectation of recovery include… [</w:t>
      </w:r>
      <w:r>
        <w:rPr>
          <w:i/>
          <w:color w:val="0000FF"/>
          <w:sz w:val="20"/>
          <w:szCs w:val="20"/>
        </w:rPr>
        <w:t>specify]</w:t>
      </w:r>
      <w:r>
        <w:rPr>
          <w:color w:val="0000FF"/>
          <w:sz w:val="20"/>
          <w:szCs w:val="20"/>
        </w:rPr>
        <w:t>].</w:t>
      </w:r>
      <w:r>
        <w:rPr>
          <w:color w:val="000000"/>
          <w:sz w:val="20"/>
          <w:szCs w:val="20"/>
        </w:rPr>
        <w:t xml:space="preserve"> The Group may write-off financial assets that are still subject to enforcement activity when the Group seeks to recover amounts that are contractually due, however, there is no reasonable expectation of recovery.</w:t>
      </w:r>
    </w:p>
    <w:p w14:paraId="7694A74C"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bookmarkStart w:id="32" w:name="_heading=h.147n2zr" w:colFirst="0" w:colLast="0"/>
      <w:bookmarkEnd w:id="32"/>
      <w:r>
        <w:rPr>
          <w:b/>
          <w:i/>
          <w:color w:val="000000"/>
          <w:sz w:val="20"/>
          <w:szCs w:val="20"/>
        </w:rPr>
        <w:t>Derecognition.</w:t>
      </w:r>
      <w:r>
        <w:rPr>
          <w:color w:val="000000"/>
          <w:sz w:val="20"/>
          <w:szCs w:val="20"/>
        </w:rPr>
        <w:t xml:space="preserve"> The Group derecognises trade and other receivables when (a) the assets are redeemed or the rights to cash flows from the assets otherwise expire or (b) the Group has transferred the rights to the cash flows from the financial assets or entered into a qualifying pass-through arrangement whilst (</w:t>
      </w:r>
      <w:proofErr w:type="spellStart"/>
      <w:r>
        <w:rPr>
          <w:color w:val="000000"/>
          <w:sz w:val="20"/>
          <w:szCs w:val="20"/>
        </w:rPr>
        <w:t>i</w:t>
      </w:r>
      <w:proofErr w:type="spellEnd"/>
      <w:r>
        <w:rPr>
          <w:color w:val="000000"/>
          <w:sz w:val="20"/>
          <w:szCs w:val="20"/>
        </w:rPr>
        <w:t xml:space="preserve">) also transferring substantially all the risks and rewards of ownership of the assets or (ii) neither transferring nor retaining substantially all the risks and rewards of ownership but not retaining control. </w:t>
      </w:r>
    </w:p>
    <w:p w14:paraId="3FE30A04"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Control is retained if the counterparty does not have the practical ability to sell the asset in its entirety to an unrelated third party without needing to impose additional restrictions on the sale.</w:t>
      </w:r>
    </w:p>
    <w:p w14:paraId="04041B9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20</w:t>
      </w:r>
      <w:r>
        <w:rPr>
          <w:b/>
          <w:color w:val="000000"/>
          <w:sz w:val="20"/>
          <w:szCs w:val="20"/>
        </w:rPr>
        <w:tab/>
        <w:t>Trade and Other Receivables (Continued)</w:t>
      </w:r>
    </w:p>
    <w:p w14:paraId="2CA3250E"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Modification. </w:t>
      </w:r>
      <w:r>
        <w:rPr>
          <w:color w:val="000000"/>
          <w:sz w:val="20"/>
          <w:szCs w:val="20"/>
        </w:rPr>
        <w:t xml:space="preserve">The Group sometimes renegotiates or otherwise modifies the contractual terms of the trade and other receivables. The Group assesses whether the modification of contractual cash flows is substantial considering, among other, the following factors: </w:t>
      </w:r>
      <w:r>
        <w:rPr>
          <w:color w:val="0000FF"/>
          <w:sz w:val="20"/>
          <w:szCs w:val="20"/>
        </w:rPr>
        <w:t>[any new contractual terms that substantially affect the risk profile of the asset, change in the currency denomination, new collateral or credit enhancement that significantly affects the credit risk associated with the asset or a significant extension of a loan when the borrower is not in financial difficulties.]</w:t>
      </w:r>
      <w:r>
        <w:rPr>
          <w:color w:val="000000"/>
          <w:sz w:val="20"/>
          <w:szCs w:val="20"/>
        </w:rPr>
        <w:t xml:space="preserve"> </w:t>
      </w:r>
    </w:p>
    <w:p w14:paraId="09D16294" w14:textId="77777777" w:rsidR="008E5DE4" w:rsidRDefault="00780368">
      <w:pPr>
        <w:widowControl w:val="0"/>
        <w:pBdr>
          <w:top w:val="nil"/>
          <w:left w:val="nil"/>
          <w:bottom w:val="nil"/>
          <w:right w:val="nil"/>
          <w:between w:val="nil"/>
        </w:pBdr>
        <w:shd w:val="clear" w:color="auto" w:fill="C6D9F1"/>
        <w:spacing w:before="200" w:after="200"/>
        <w:jc w:val="both"/>
        <w:rPr>
          <w:color w:val="000000"/>
        </w:rPr>
      </w:pPr>
      <w:r>
        <w:rPr>
          <w:color w:val="000000"/>
          <w:sz w:val="20"/>
          <w:szCs w:val="20"/>
        </w:rPr>
        <w:t xml:space="preserve">If the modified terms are substantially different, the rights to cash flows from the original asset expire and the Group derecognises the original financial asset and recognises a new asset at its fair value. The date of renegotiation </w:t>
      </w:r>
      <w:proofErr w:type="gramStart"/>
      <w:r>
        <w:rPr>
          <w:color w:val="000000"/>
          <w:sz w:val="20"/>
          <w:szCs w:val="20"/>
        </w:rPr>
        <w:t>is considered to be</w:t>
      </w:r>
      <w:proofErr w:type="gramEnd"/>
      <w:r>
        <w:rPr>
          <w:color w:val="000000"/>
          <w:sz w:val="20"/>
          <w:szCs w:val="20"/>
        </w:rPr>
        <w:t xml:space="preserve"> the date of initial recognition for subsequent impairment calculation purposes, including determining whether a SICR has occurred. The Group also assesses whether the new loan or debt instrument meets the SPPI criterion. Any difference between the carrying amount of the original asset derecognised and fair value of the new substantially modified asset is recognised in profit or loss, unless the substance of the difference is attributed to a capital transaction with owners.</w:t>
      </w:r>
    </w:p>
    <w:p w14:paraId="40BF8F19"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In a situation where the renegotiation was driven by financial difficulties of the counterparty and inability to make the originally agreed payments, the Group compares the original and revised expected cash flows to assess whether the risks and rewards of the asset are substantially different </w:t>
      </w:r>
      <w:proofErr w:type="gramStart"/>
      <w:r>
        <w:rPr>
          <w:color w:val="000000"/>
          <w:sz w:val="20"/>
          <w:szCs w:val="20"/>
        </w:rPr>
        <w:t>as a result of</w:t>
      </w:r>
      <w:proofErr w:type="gramEnd"/>
      <w:r>
        <w:rPr>
          <w:color w:val="000000"/>
          <w:sz w:val="20"/>
          <w:szCs w:val="20"/>
        </w:rPr>
        <w:t xml:space="preserve"> the contractual modification. If the risks and rewards do not change, the modified asset is not substantially different from the original </w:t>
      </w:r>
      <w:proofErr w:type="gramStart"/>
      <w:r>
        <w:rPr>
          <w:color w:val="000000"/>
          <w:sz w:val="20"/>
          <w:szCs w:val="20"/>
        </w:rPr>
        <w:t>asset</w:t>
      </w:r>
      <w:proofErr w:type="gramEnd"/>
      <w:r>
        <w:rPr>
          <w:color w:val="000000"/>
          <w:sz w:val="20"/>
          <w:szCs w:val="20"/>
        </w:rPr>
        <w:t xml:space="preserve"> and the modification does not result in derecognition. The Group recalculates the gross carrying amount by discounting the modified contractual cash flows by the original effective interest rate (or credit-adjusted effective interest rate for POCI financial assets), and recognises a modification gain or loss in profit or loss. </w:t>
      </w:r>
    </w:p>
    <w:p w14:paraId="0FE188ED"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b/>
          <w:i/>
          <w:color w:val="000000"/>
          <w:sz w:val="20"/>
          <w:szCs w:val="20"/>
        </w:rPr>
        <w:t>Prepayments.</w:t>
      </w:r>
      <w:r>
        <w:rPr>
          <w:color w:val="000000"/>
          <w:sz w:val="20"/>
          <w:szCs w:val="20"/>
        </w:rPr>
        <w:t xml:space="preserve"> Prepayments are carried at cost less provision for impairment. A prepayment is classified as non-current when the goods or services relating to the prepayment are expected to be obtained after one year, or when the prepayment relates to an asset which will itself be classified as non-current upon initial recognition. Prepayments to acquire assets are transferred to the carrying amount of the asset once the Group has obtained control of the asset and it is probable that future economic benefits associated with the asset will flow to the Group. Other prepayments are written off to profit or loss when the services relating to the prepayments are received. If there is an indication that the assets, goods or services relating to a prepayment will not be received, the carrying value of the prepayment is written down accordingly and a corresponding impairment loss is recognised in profit or loss for the year.</w:t>
      </w:r>
    </w:p>
    <w:tbl>
      <w:tblPr>
        <w:tblStyle w:val="afffff5"/>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529F1B54" w14:textId="77777777">
        <w:tc>
          <w:tcPr>
            <w:tcW w:w="9571" w:type="dxa"/>
          </w:tcPr>
          <w:p w14:paraId="5A4EB394" w14:textId="77777777" w:rsidR="008E5DE4" w:rsidRDefault="00780368">
            <w:pPr>
              <w:rPr>
                <w:b/>
                <w:i/>
                <w:sz w:val="20"/>
                <w:szCs w:val="20"/>
              </w:rPr>
            </w:pPr>
            <w:r>
              <w:rPr>
                <w:b/>
                <w:i/>
                <w:sz w:val="20"/>
                <w:szCs w:val="20"/>
              </w:rPr>
              <w:t>Critical Accounting Estimates and Judgments in Applying Accounting Policies</w:t>
            </w:r>
          </w:p>
          <w:p w14:paraId="184C198C" w14:textId="7983C292" w:rsidR="008E5DE4" w:rsidRDefault="00780368">
            <w:pPr>
              <w:widowControl w:val="0"/>
              <w:pBdr>
                <w:top w:val="nil"/>
                <w:left w:val="nil"/>
                <w:bottom w:val="nil"/>
                <w:right w:val="nil"/>
                <w:between w:val="nil"/>
              </w:pBdr>
              <w:spacing w:before="200" w:after="200"/>
              <w:rPr>
                <w:color w:val="000000"/>
                <w:sz w:val="20"/>
                <w:szCs w:val="20"/>
              </w:rPr>
            </w:pPr>
            <w:r>
              <w:rPr>
                <w:b/>
                <w:i/>
                <w:color w:val="000000"/>
                <w:sz w:val="20"/>
                <w:szCs w:val="20"/>
              </w:rPr>
              <w:t>Derecognition of trade and other receivables.</w:t>
            </w:r>
            <w:r>
              <w:rPr>
                <w:color w:val="000000"/>
                <w:sz w:val="20"/>
                <w:szCs w:val="20"/>
              </w:rPr>
              <w:t xml:space="preserve"> Management applies judgement to determine if substantially all the significant risks and rewards of ownership of the trade and other receivables are transferred to counterparties, in particular which risks and rewards are the most significant and what constitutes substantially all risks and rewards. </w:t>
            </w:r>
          </w:p>
          <w:p w14:paraId="3A7CCF19" w14:textId="77777777" w:rsidR="008E5DE4" w:rsidRDefault="00780368">
            <w:pPr>
              <w:widowControl w:val="0"/>
              <w:pBdr>
                <w:top w:val="nil"/>
                <w:left w:val="nil"/>
                <w:bottom w:val="nil"/>
                <w:right w:val="nil"/>
                <w:between w:val="nil"/>
              </w:pBdr>
              <w:spacing w:before="200" w:after="200"/>
              <w:jc w:val="both"/>
              <w:rPr>
                <w:color w:val="000000"/>
                <w:sz w:val="20"/>
                <w:szCs w:val="20"/>
              </w:rPr>
            </w:pPr>
            <w:bookmarkStart w:id="33" w:name="_heading=h.3o7alnk" w:colFirst="0" w:colLast="0"/>
            <w:bookmarkEnd w:id="33"/>
            <w:r>
              <w:rPr>
                <w:b/>
                <w:i/>
                <w:color w:val="000000"/>
                <w:sz w:val="20"/>
                <w:szCs w:val="20"/>
              </w:rPr>
              <w:t>Business model assessment.</w:t>
            </w:r>
            <w:r>
              <w:rPr>
                <w:color w:val="FF0000"/>
                <w:sz w:val="20"/>
                <w:szCs w:val="20"/>
              </w:rPr>
              <w:t xml:space="preserve"> </w:t>
            </w:r>
            <w:r>
              <w:rPr>
                <w:color w:val="000000"/>
                <w:sz w:val="20"/>
                <w:szCs w:val="20"/>
              </w:rPr>
              <w:t xml:space="preserve">The business model drives classification of trade and other receivables. Management applied judgement in determining the level of aggregation and portfolios when performing the business model assessment. When assessing sales transactions, the Group considers their historical frequency, timing and value, reasons for the sales and expectations about future sales activity. Sales transactions aimed at minimising potential losses due to credit deterioration are considered consistent with the “hold to collect” business model. Other sales before maturity, not related to credit risk management activities, are also consistent with the “hold to collect” business model, </w:t>
            </w:r>
            <w:proofErr w:type="gramStart"/>
            <w:r>
              <w:rPr>
                <w:color w:val="000000"/>
                <w:sz w:val="20"/>
                <w:szCs w:val="20"/>
              </w:rPr>
              <w:t>provided that</w:t>
            </w:r>
            <w:proofErr w:type="gramEnd"/>
            <w:r>
              <w:rPr>
                <w:color w:val="000000"/>
                <w:sz w:val="20"/>
                <w:szCs w:val="20"/>
              </w:rPr>
              <w:t xml:space="preserve"> they are infrequent or insignificant in value, both individually and in aggregate. The Group assesses significance of sales transactions by comparing the value of the sales to the value of the portfolio subject to the business model assessment over the average life of the portfolio. In addition, sales of financial asset expected only in stress case scenario, or in response to an isolated event that is beyond the Group’s control, is not recurring and could not have been anticipated by the Group, are regarded as incidental to the business model objective and do not impact the classification of the respective financial assets. </w:t>
            </w:r>
          </w:p>
          <w:p w14:paraId="6121D79C"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6A595A3B"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00E76C1E"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492B76D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20</w:t>
            </w:r>
            <w:r>
              <w:rPr>
                <w:b/>
                <w:color w:val="000000"/>
                <w:sz w:val="20"/>
                <w:szCs w:val="20"/>
              </w:rPr>
              <w:tab/>
              <w:t>Trade and Other Receivables (Continued)</w:t>
            </w:r>
          </w:p>
          <w:p w14:paraId="237AFBF0"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“hold to collect and sell” business model means that assets are held to collect the cash flows, but selling is also integral to achieving the business model’s objective, such as, managing liquidity needs, achieving a particular yield, or matching the duration of the financial assets to the duration of the liabilities that fund those assets.</w:t>
            </w:r>
          </w:p>
          <w:p w14:paraId="401FDF5C"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residual category includes those portfolios of trade and other receivables, which are managed with the objective of realising cash flows primarily through sale, such as where a pattern of trading exists. Collecting contractual cash flow is often incidental for this business model. </w:t>
            </w:r>
          </w:p>
          <w:p w14:paraId="21C8969A" w14:textId="77777777"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[The Group assessed that the portfolio of the following financial instruments: [….] meets the criteria for held to collect business model and determined that the past securitisation transactions were infrequent and therefore are not inconsistent with the held to collect business model.]</w:t>
            </w:r>
          </w:p>
          <w:p w14:paraId="2746650B" w14:textId="77777777" w:rsidR="008E5DE4" w:rsidRDefault="008E5DE4">
            <w:pPr>
              <w:widowControl w:val="0"/>
              <w:pBdr>
                <w:top w:val="nil"/>
                <w:left w:val="nil"/>
                <w:bottom w:val="nil"/>
                <w:right w:val="nil"/>
                <w:between w:val="nil"/>
              </w:pBdr>
              <w:spacing w:before="200" w:after="200"/>
              <w:rPr>
                <w:color w:val="000000"/>
              </w:rPr>
            </w:pPr>
          </w:p>
        </w:tc>
      </w:tr>
    </w:tbl>
    <w:p w14:paraId="3CE85888" w14:textId="77777777" w:rsidR="008E5DE4" w:rsidRDefault="008E5DE4"/>
    <w:p w14:paraId="38992C47" w14:textId="77777777" w:rsidR="008E5DE4" w:rsidRDefault="008E5DE4"/>
    <w:tbl>
      <w:tblPr>
        <w:tblStyle w:val="afffff6"/>
        <w:tblW w:w="9355" w:type="dxa"/>
        <w:tblLayout w:type="fixed"/>
        <w:tblLook w:val="0000" w:firstRow="0" w:lastRow="0" w:firstColumn="0" w:lastColumn="0" w:noHBand="0" w:noVBand="0"/>
      </w:tblPr>
      <w:tblGrid>
        <w:gridCol w:w="5726"/>
        <w:gridCol w:w="567"/>
        <w:gridCol w:w="1531"/>
        <w:gridCol w:w="1531"/>
      </w:tblGrid>
      <w:tr w:rsidR="008E5DE4" w14:paraId="4B7E5C08" w14:textId="77777777">
        <w:trPr>
          <w:cantSplit/>
        </w:trPr>
        <w:tc>
          <w:tcPr>
            <w:tcW w:w="5726" w:type="dxa"/>
            <w:tcBorders>
              <w:bottom w:val="single" w:sz="4" w:space="0" w:color="000000"/>
            </w:tcBorders>
            <w:vAlign w:val="bottom"/>
          </w:tcPr>
          <w:p w14:paraId="67447595"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567" w:type="dxa"/>
            <w:tcBorders>
              <w:bottom w:val="single" w:sz="4" w:space="0" w:color="000000"/>
            </w:tcBorders>
            <w:vAlign w:val="bottom"/>
          </w:tcPr>
          <w:p w14:paraId="485FD482"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tcBorders>
              <w:bottom w:val="single" w:sz="4" w:space="0" w:color="000000"/>
            </w:tcBorders>
            <w:vAlign w:val="bottom"/>
          </w:tcPr>
          <w:p w14:paraId="1F6850FA" w14:textId="1B9CE700"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7FF740D0" w14:textId="32ED133F"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3E7F9E7A" w14:textId="77777777">
        <w:trPr>
          <w:cantSplit/>
        </w:trPr>
        <w:tc>
          <w:tcPr>
            <w:tcW w:w="5726" w:type="dxa"/>
            <w:vAlign w:val="bottom"/>
          </w:tcPr>
          <w:p w14:paraId="499D6B1C"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p>
        </w:tc>
        <w:tc>
          <w:tcPr>
            <w:tcW w:w="567" w:type="dxa"/>
            <w:vAlign w:val="bottom"/>
          </w:tcPr>
          <w:p w14:paraId="3722E099"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00F15B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DC1CA6D" w14:textId="77777777" w:rsidR="008E5DE4" w:rsidRDefault="008E5DE4">
            <w:pPr>
              <w:widowControl w:val="0"/>
              <w:pBdr>
                <w:top w:val="nil"/>
                <w:left w:val="nil"/>
                <w:bottom w:val="nil"/>
                <w:right w:val="nil"/>
                <w:between w:val="nil"/>
              </w:pBdr>
              <w:jc w:val="right"/>
              <w:rPr>
                <w:color w:val="000000"/>
              </w:rPr>
            </w:pPr>
          </w:p>
        </w:tc>
      </w:tr>
      <w:tr w:rsidR="008E5DE4" w14:paraId="6E862AC8" w14:textId="77777777">
        <w:trPr>
          <w:cantSplit/>
        </w:trPr>
        <w:tc>
          <w:tcPr>
            <w:tcW w:w="5726" w:type="dxa"/>
            <w:vAlign w:val="bottom"/>
          </w:tcPr>
          <w:p w14:paraId="40EF70EF" w14:textId="77777777" w:rsidR="008E5DE4" w:rsidRDefault="00780368">
            <w:pPr>
              <w:widowControl w:val="0"/>
              <w:pBdr>
                <w:top w:val="nil"/>
                <w:left w:val="nil"/>
                <w:bottom w:val="nil"/>
                <w:right w:val="nil"/>
                <w:between w:val="nil"/>
              </w:pBdr>
              <w:ind w:left="113" w:right="-57" w:hanging="113"/>
              <w:rPr>
                <w:color w:val="000000"/>
              </w:rPr>
            </w:pPr>
            <w:r>
              <w:rPr>
                <w:color w:val="000000"/>
              </w:rPr>
              <w:t>Trade receivables</w:t>
            </w:r>
          </w:p>
        </w:tc>
        <w:tc>
          <w:tcPr>
            <w:tcW w:w="567" w:type="dxa"/>
            <w:vAlign w:val="bottom"/>
          </w:tcPr>
          <w:p w14:paraId="3CCC46A8"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03BF7FF7"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49CCD8B" w14:textId="77777777" w:rsidR="008E5DE4" w:rsidRDefault="008E5DE4">
            <w:pPr>
              <w:widowControl w:val="0"/>
              <w:pBdr>
                <w:top w:val="nil"/>
                <w:left w:val="nil"/>
                <w:bottom w:val="nil"/>
                <w:right w:val="nil"/>
                <w:between w:val="nil"/>
              </w:pBdr>
              <w:jc w:val="right"/>
              <w:rPr>
                <w:b/>
                <w:color w:val="000000"/>
              </w:rPr>
            </w:pPr>
          </w:p>
        </w:tc>
      </w:tr>
      <w:tr w:rsidR="008E5DE4" w14:paraId="49459B2E" w14:textId="77777777">
        <w:trPr>
          <w:cantSplit/>
        </w:trPr>
        <w:tc>
          <w:tcPr>
            <w:tcW w:w="5726" w:type="dxa"/>
            <w:vAlign w:val="bottom"/>
          </w:tcPr>
          <w:p w14:paraId="2C2419F7" w14:textId="4ECC5FF6" w:rsidR="008E5DE4" w:rsidRDefault="00780368">
            <w:pPr>
              <w:widowControl w:val="0"/>
              <w:pBdr>
                <w:top w:val="nil"/>
                <w:left w:val="nil"/>
                <w:bottom w:val="nil"/>
                <w:right w:val="nil"/>
                <w:between w:val="nil"/>
              </w:pBdr>
              <w:ind w:left="113" w:right="-57" w:hanging="113"/>
              <w:rPr>
                <w:color w:val="000000"/>
              </w:rPr>
            </w:pPr>
            <w:r>
              <w:rPr>
                <w:color w:val="000000"/>
              </w:rPr>
              <w:t>Other financial receivables</w:t>
            </w:r>
          </w:p>
        </w:tc>
        <w:tc>
          <w:tcPr>
            <w:tcW w:w="567" w:type="dxa"/>
            <w:vAlign w:val="bottom"/>
          </w:tcPr>
          <w:p w14:paraId="0004F45F"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91F999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C54B8E3" w14:textId="77777777" w:rsidR="008E5DE4" w:rsidRDefault="008E5DE4">
            <w:pPr>
              <w:widowControl w:val="0"/>
              <w:pBdr>
                <w:top w:val="nil"/>
                <w:left w:val="nil"/>
                <w:bottom w:val="nil"/>
                <w:right w:val="nil"/>
                <w:between w:val="nil"/>
              </w:pBdr>
              <w:jc w:val="right"/>
              <w:rPr>
                <w:color w:val="000000"/>
              </w:rPr>
            </w:pPr>
          </w:p>
        </w:tc>
      </w:tr>
      <w:tr w:rsidR="008E5DE4" w14:paraId="3B3626E7" w14:textId="77777777">
        <w:trPr>
          <w:cantSplit/>
        </w:trPr>
        <w:tc>
          <w:tcPr>
            <w:tcW w:w="5726" w:type="dxa"/>
            <w:vAlign w:val="bottom"/>
          </w:tcPr>
          <w:p w14:paraId="0E5F0ED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Less credit loss allowance </w:t>
            </w:r>
          </w:p>
        </w:tc>
        <w:tc>
          <w:tcPr>
            <w:tcW w:w="567" w:type="dxa"/>
            <w:vAlign w:val="bottom"/>
          </w:tcPr>
          <w:p w14:paraId="6FC889B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B5751B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FE6FAF3" w14:textId="77777777" w:rsidR="008E5DE4" w:rsidRDefault="008E5DE4">
            <w:pPr>
              <w:widowControl w:val="0"/>
              <w:pBdr>
                <w:top w:val="nil"/>
                <w:left w:val="nil"/>
                <w:bottom w:val="nil"/>
                <w:right w:val="nil"/>
                <w:between w:val="nil"/>
              </w:pBdr>
              <w:jc w:val="right"/>
              <w:rPr>
                <w:color w:val="000000"/>
              </w:rPr>
            </w:pPr>
          </w:p>
        </w:tc>
      </w:tr>
      <w:tr w:rsidR="008E5DE4" w14:paraId="668B01D2" w14:textId="77777777">
        <w:trPr>
          <w:cantSplit/>
        </w:trPr>
        <w:tc>
          <w:tcPr>
            <w:tcW w:w="5726" w:type="dxa"/>
            <w:tcBorders>
              <w:bottom w:val="single" w:sz="4" w:space="0" w:color="000000"/>
            </w:tcBorders>
            <w:vAlign w:val="bottom"/>
          </w:tcPr>
          <w:p w14:paraId="277F319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bottom w:val="single" w:sz="4" w:space="0" w:color="000000"/>
            </w:tcBorders>
            <w:vAlign w:val="bottom"/>
          </w:tcPr>
          <w:p w14:paraId="559EB7F0"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4503479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29DEE1D9" w14:textId="77777777" w:rsidR="008E5DE4" w:rsidRDefault="008E5DE4">
            <w:pPr>
              <w:widowControl w:val="0"/>
              <w:pBdr>
                <w:top w:val="nil"/>
                <w:left w:val="nil"/>
                <w:bottom w:val="nil"/>
                <w:right w:val="nil"/>
                <w:between w:val="nil"/>
              </w:pBdr>
              <w:jc w:val="right"/>
              <w:rPr>
                <w:color w:val="000000"/>
              </w:rPr>
            </w:pPr>
          </w:p>
        </w:tc>
      </w:tr>
      <w:tr w:rsidR="008E5DE4" w14:paraId="5D919876" w14:textId="77777777">
        <w:trPr>
          <w:cantSplit/>
        </w:trPr>
        <w:tc>
          <w:tcPr>
            <w:tcW w:w="5726" w:type="dxa"/>
            <w:tcBorders>
              <w:top w:val="single" w:sz="4" w:space="0" w:color="000000"/>
            </w:tcBorders>
            <w:vAlign w:val="bottom"/>
          </w:tcPr>
          <w:p w14:paraId="7DD1B3C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top w:val="single" w:sz="4" w:space="0" w:color="000000"/>
            </w:tcBorders>
            <w:vAlign w:val="bottom"/>
          </w:tcPr>
          <w:p w14:paraId="70EA8EA4"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716F1001"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CC5DBE4" w14:textId="77777777" w:rsidR="008E5DE4" w:rsidRDefault="008E5DE4">
            <w:pPr>
              <w:widowControl w:val="0"/>
              <w:pBdr>
                <w:top w:val="nil"/>
                <w:left w:val="nil"/>
                <w:bottom w:val="nil"/>
                <w:right w:val="nil"/>
                <w:between w:val="nil"/>
              </w:pBdr>
              <w:jc w:val="right"/>
              <w:rPr>
                <w:color w:val="000000"/>
              </w:rPr>
            </w:pPr>
          </w:p>
        </w:tc>
      </w:tr>
      <w:tr w:rsidR="008E5DE4" w14:paraId="485DF866" w14:textId="77777777">
        <w:trPr>
          <w:cantSplit/>
        </w:trPr>
        <w:tc>
          <w:tcPr>
            <w:tcW w:w="5726" w:type="dxa"/>
            <w:vAlign w:val="bottom"/>
          </w:tcPr>
          <w:p w14:paraId="3592D084" w14:textId="118A4333" w:rsidR="008E5DE4" w:rsidRDefault="00780368">
            <w:pPr>
              <w:widowControl w:val="0"/>
              <w:pBdr>
                <w:top w:val="nil"/>
                <w:left w:val="nil"/>
                <w:bottom w:val="nil"/>
                <w:right w:val="nil"/>
                <w:between w:val="nil"/>
              </w:pBdr>
              <w:ind w:left="113" w:right="-57" w:hanging="113"/>
              <w:rPr>
                <w:b/>
                <w:i/>
                <w:color w:val="000000"/>
              </w:rPr>
            </w:pPr>
            <w:r>
              <w:rPr>
                <w:b/>
                <w:i/>
                <w:color w:val="000000"/>
              </w:rPr>
              <w:t>Total financial assets within trade and other receivables</w:t>
            </w:r>
          </w:p>
        </w:tc>
        <w:tc>
          <w:tcPr>
            <w:tcW w:w="567" w:type="dxa"/>
            <w:vAlign w:val="bottom"/>
          </w:tcPr>
          <w:p w14:paraId="5C563623" w14:textId="77777777" w:rsidR="008E5DE4" w:rsidRDefault="008E5DE4">
            <w:pPr>
              <w:widowControl w:val="0"/>
              <w:pBdr>
                <w:top w:val="nil"/>
                <w:left w:val="nil"/>
                <w:bottom w:val="nil"/>
                <w:right w:val="nil"/>
                <w:between w:val="nil"/>
              </w:pBdr>
              <w:ind w:left="-57" w:right="-57"/>
              <w:jc w:val="center"/>
              <w:rPr>
                <w:b/>
                <w:i/>
                <w:color w:val="000000"/>
              </w:rPr>
            </w:pPr>
          </w:p>
        </w:tc>
        <w:tc>
          <w:tcPr>
            <w:tcW w:w="1531" w:type="dxa"/>
            <w:vAlign w:val="bottom"/>
          </w:tcPr>
          <w:p w14:paraId="7267C2EA" w14:textId="77777777" w:rsidR="008E5DE4" w:rsidRDefault="008E5DE4">
            <w:pPr>
              <w:widowControl w:val="0"/>
              <w:pBdr>
                <w:top w:val="nil"/>
                <w:left w:val="nil"/>
                <w:bottom w:val="nil"/>
                <w:right w:val="nil"/>
                <w:between w:val="nil"/>
              </w:pBdr>
              <w:jc w:val="right"/>
              <w:rPr>
                <w:b/>
                <w:i/>
                <w:color w:val="000000"/>
              </w:rPr>
            </w:pPr>
          </w:p>
        </w:tc>
        <w:tc>
          <w:tcPr>
            <w:tcW w:w="1531" w:type="dxa"/>
            <w:vAlign w:val="bottom"/>
          </w:tcPr>
          <w:p w14:paraId="11AD81EC" w14:textId="77777777" w:rsidR="008E5DE4" w:rsidRDefault="008E5DE4">
            <w:pPr>
              <w:widowControl w:val="0"/>
              <w:pBdr>
                <w:top w:val="nil"/>
                <w:left w:val="nil"/>
                <w:bottom w:val="nil"/>
                <w:right w:val="nil"/>
                <w:between w:val="nil"/>
              </w:pBdr>
              <w:jc w:val="right"/>
              <w:rPr>
                <w:b/>
                <w:i/>
                <w:color w:val="000000"/>
              </w:rPr>
            </w:pPr>
          </w:p>
        </w:tc>
      </w:tr>
      <w:tr w:rsidR="008E5DE4" w14:paraId="6C48B045" w14:textId="77777777">
        <w:trPr>
          <w:cantSplit/>
        </w:trPr>
        <w:tc>
          <w:tcPr>
            <w:tcW w:w="5726" w:type="dxa"/>
            <w:vAlign w:val="bottom"/>
          </w:tcPr>
          <w:p w14:paraId="580F4DB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vAlign w:val="bottom"/>
          </w:tcPr>
          <w:p w14:paraId="5E24B46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129AE3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70DECF7" w14:textId="77777777" w:rsidR="008E5DE4" w:rsidRDefault="008E5DE4">
            <w:pPr>
              <w:widowControl w:val="0"/>
              <w:pBdr>
                <w:top w:val="nil"/>
                <w:left w:val="nil"/>
                <w:bottom w:val="nil"/>
                <w:right w:val="nil"/>
                <w:between w:val="nil"/>
              </w:pBdr>
              <w:jc w:val="right"/>
              <w:rPr>
                <w:color w:val="000000"/>
              </w:rPr>
            </w:pPr>
          </w:p>
        </w:tc>
      </w:tr>
      <w:tr w:rsidR="008E5DE4" w14:paraId="222C88C3" w14:textId="77777777">
        <w:trPr>
          <w:cantSplit/>
        </w:trPr>
        <w:tc>
          <w:tcPr>
            <w:tcW w:w="5726" w:type="dxa"/>
            <w:vAlign w:val="bottom"/>
          </w:tcPr>
          <w:p w14:paraId="3B9F40A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Other receivables </w:t>
            </w:r>
          </w:p>
        </w:tc>
        <w:tc>
          <w:tcPr>
            <w:tcW w:w="567" w:type="dxa"/>
            <w:vAlign w:val="bottom"/>
          </w:tcPr>
          <w:p w14:paraId="6780FF3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ACAEC8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5E15FFF" w14:textId="77777777" w:rsidR="008E5DE4" w:rsidRDefault="008E5DE4">
            <w:pPr>
              <w:widowControl w:val="0"/>
              <w:pBdr>
                <w:top w:val="nil"/>
                <w:left w:val="nil"/>
                <w:bottom w:val="nil"/>
                <w:right w:val="nil"/>
                <w:between w:val="nil"/>
              </w:pBdr>
              <w:jc w:val="right"/>
              <w:rPr>
                <w:color w:val="000000"/>
              </w:rPr>
            </w:pPr>
          </w:p>
        </w:tc>
      </w:tr>
      <w:tr w:rsidR="008E5DE4" w14:paraId="02BAB555" w14:textId="77777777">
        <w:trPr>
          <w:cantSplit/>
        </w:trPr>
        <w:tc>
          <w:tcPr>
            <w:tcW w:w="5726" w:type="dxa"/>
            <w:vAlign w:val="bottom"/>
          </w:tcPr>
          <w:p w14:paraId="2187737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Prepayments </w:t>
            </w:r>
          </w:p>
        </w:tc>
        <w:tc>
          <w:tcPr>
            <w:tcW w:w="567" w:type="dxa"/>
            <w:vAlign w:val="bottom"/>
          </w:tcPr>
          <w:p w14:paraId="6466434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2309FF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E767D88" w14:textId="77777777" w:rsidR="008E5DE4" w:rsidRDefault="008E5DE4">
            <w:pPr>
              <w:widowControl w:val="0"/>
              <w:pBdr>
                <w:top w:val="nil"/>
                <w:left w:val="nil"/>
                <w:bottom w:val="nil"/>
                <w:right w:val="nil"/>
                <w:between w:val="nil"/>
              </w:pBdr>
              <w:jc w:val="right"/>
              <w:rPr>
                <w:color w:val="000000"/>
              </w:rPr>
            </w:pPr>
          </w:p>
        </w:tc>
      </w:tr>
      <w:tr w:rsidR="008E5DE4" w14:paraId="501ADA95" w14:textId="77777777">
        <w:trPr>
          <w:cantSplit/>
        </w:trPr>
        <w:tc>
          <w:tcPr>
            <w:tcW w:w="5726" w:type="dxa"/>
            <w:vAlign w:val="bottom"/>
          </w:tcPr>
          <w:p w14:paraId="4FCB391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Less impairment provision </w:t>
            </w:r>
          </w:p>
        </w:tc>
        <w:tc>
          <w:tcPr>
            <w:tcW w:w="567" w:type="dxa"/>
            <w:vAlign w:val="bottom"/>
          </w:tcPr>
          <w:p w14:paraId="4259546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8082E1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CDC078F" w14:textId="77777777" w:rsidR="008E5DE4" w:rsidRDefault="008E5DE4">
            <w:pPr>
              <w:widowControl w:val="0"/>
              <w:pBdr>
                <w:top w:val="nil"/>
                <w:left w:val="nil"/>
                <w:bottom w:val="nil"/>
                <w:right w:val="nil"/>
                <w:between w:val="nil"/>
              </w:pBdr>
              <w:jc w:val="right"/>
              <w:rPr>
                <w:color w:val="000000"/>
              </w:rPr>
            </w:pPr>
          </w:p>
        </w:tc>
      </w:tr>
      <w:tr w:rsidR="008E5DE4" w14:paraId="387577A7" w14:textId="77777777">
        <w:trPr>
          <w:cantSplit/>
        </w:trPr>
        <w:tc>
          <w:tcPr>
            <w:tcW w:w="5726" w:type="dxa"/>
            <w:tcBorders>
              <w:bottom w:val="single" w:sz="4" w:space="0" w:color="000000"/>
            </w:tcBorders>
            <w:vAlign w:val="bottom"/>
          </w:tcPr>
          <w:p w14:paraId="314053A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bottom w:val="single" w:sz="4" w:space="0" w:color="000000"/>
            </w:tcBorders>
            <w:vAlign w:val="bottom"/>
          </w:tcPr>
          <w:p w14:paraId="0BD713FB"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55262886"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3ED7A31" w14:textId="77777777" w:rsidR="008E5DE4" w:rsidRDefault="008E5DE4">
            <w:pPr>
              <w:widowControl w:val="0"/>
              <w:jc w:val="right"/>
            </w:pPr>
          </w:p>
        </w:tc>
      </w:tr>
      <w:tr w:rsidR="008E5DE4" w14:paraId="4C6172CD" w14:textId="77777777">
        <w:trPr>
          <w:cantSplit/>
        </w:trPr>
        <w:tc>
          <w:tcPr>
            <w:tcW w:w="5726" w:type="dxa"/>
            <w:vAlign w:val="bottom"/>
          </w:tcPr>
          <w:p w14:paraId="0D7C10F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vAlign w:val="bottom"/>
          </w:tcPr>
          <w:p w14:paraId="6BA2CE2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FCACD5C"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235288E" w14:textId="77777777" w:rsidR="008E5DE4" w:rsidRDefault="008E5DE4">
            <w:pPr>
              <w:widowControl w:val="0"/>
              <w:jc w:val="right"/>
              <w:rPr>
                <w:b/>
              </w:rPr>
            </w:pPr>
          </w:p>
        </w:tc>
      </w:tr>
      <w:tr w:rsidR="008E5DE4" w14:paraId="6A9D421C" w14:textId="77777777">
        <w:trPr>
          <w:cantSplit/>
        </w:trPr>
        <w:tc>
          <w:tcPr>
            <w:tcW w:w="5726" w:type="dxa"/>
            <w:vAlign w:val="bottom"/>
          </w:tcPr>
          <w:p w14:paraId="517E0A8D"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trade and other receivables </w:t>
            </w:r>
            <w:proofErr w:type="gramStart"/>
            <w:r>
              <w:rPr>
                <w:b/>
                <w:color w:val="000000"/>
              </w:rPr>
              <w:t>at</w:t>
            </w:r>
            <w:proofErr w:type="gramEnd"/>
            <w:r>
              <w:rPr>
                <w:b/>
                <w:color w:val="000000"/>
              </w:rPr>
              <w:t xml:space="preserve"> 31 December</w:t>
            </w:r>
          </w:p>
        </w:tc>
        <w:tc>
          <w:tcPr>
            <w:tcW w:w="567" w:type="dxa"/>
            <w:vAlign w:val="bottom"/>
          </w:tcPr>
          <w:p w14:paraId="6B67992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06BC737"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41C62C46" w14:textId="77777777" w:rsidR="008E5DE4" w:rsidRDefault="008E5DE4">
            <w:pPr>
              <w:widowControl w:val="0"/>
              <w:pBdr>
                <w:top w:val="nil"/>
                <w:left w:val="nil"/>
                <w:bottom w:val="nil"/>
                <w:right w:val="nil"/>
                <w:between w:val="nil"/>
              </w:pBdr>
              <w:jc w:val="right"/>
              <w:rPr>
                <w:b/>
                <w:color w:val="000000"/>
              </w:rPr>
            </w:pPr>
          </w:p>
        </w:tc>
      </w:tr>
      <w:tr w:rsidR="008E5DE4" w14:paraId="6AB595C3" w14:textId="77777777">
        <w:trPr>
          <w:cantSplit/>
        </w:trPr>
        <w:tc>
          <w:tcPr>
            <w:tcW w:w="5726" w:type="dxa"/>
            <w:tcBorders>
              <w:bottom w:val="single" w:sz="12" w:space="0" w:color="000000"/>
            </w:tcBorders>
            <w:vAlign w:val="bottom"/>
          </w:tcPr>
          <w:p w14:paraId="2DFE18D2" w14:textId="77777777" w:rsidR="008E5DE4" w:rsidRDefault="00780368">
            <w:pPr>
              <w:widowControl w:val="0"/>
              <w:ind w:left="113" w:right="-57" w:hanging="113"/>
            </w:pPr>
            <w:r>
              <w:t> </w:t>
            </w:r>
          </w:p>
        </w:tc>
        <w:tc>
          <w:tcPr>
            <w:tcW w:w="567" w:type="dxa"/>
            <w:tcBorders>
              <w:bottom w:val="single" w:sz="12" w:space="0" w:color="000000"/>
            </w:tcBorders>
            <w:vAlign w:val="bottom"/>
          </w:tcPr>
          <w:p w14:paraId="080AF24E"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26FE4ECA" w14:textId="77777777" w:rsidR="008E5DE4" w:rsidRDefault="008E5DE4">
            <w:pPr>
              <w:widowControl w:val="0"/>
              <w:jc w:val="right"/>
              <w:rPr>
                <w:b/>
              </w:rPr>
            </w:pPr>
          </w:p>
        </w:tc>
        <w:tc>
          <w:tcPr>
            <w:tcW w:w="1531" w:type="dxa"/>
            <w:tcBorders>
              <w:bottom w:val="single" w:sz="12" w:space="0" w:color="000000"/>
            </w:tcBorders>
            <w:vAlign w:val="bottom"/>
          </w:tcPr>
          <w:p w14:paraId="0521548F" w14:textId="77777777" w:rsidR="008E5DE4" w:rsidRDefault="008E5DE4">
            <w:pPr>
              <w:widowControl w:val="0"/>
              <w:jc w:val="right"/>
              <w:rPr>
                <w:b/>
              </w:rPr>
            </w:pPr>
          </w:p>
        </w:tc>
      </w:tr>
    </w:tbl>
    <w:p w14:paraId="1880245B" w14:textId="673B401C"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Trade receivables of EUR ____ thousand (</w:t>
      </w:r>
      <w:r w:rsidR="00FF468A">
        <w:rPr>
          <w:color w:val="000000"/>
          <w:sz w:val="20"/>
          <w:szCs w:val="20"/>
        </w:rPr>
        <w:t>2024</w:t>
      </w:r>
      <w:r>
        <w:rPr>
          <w:color w:val="000000"/>
          <w:sz w:val="20"/>
          <w:szCs w:val="20"/>
        </w:rPr>
        <w:t>: EUR ____ thousand) net of credit loss allowance are denominated in foreign currency, main</w:t>
      </w:r>
      <w:r w:rsidRPr="007F183E">
        <w:rPr>
          <w:sz w:val="20"/>
          <w:szCs w:val="20"/>
        </w:rPr>
        <w:t xml:space="preserve">ly </w:t>
      </w:r>
      <w:proofErr w:type="gramStart"/>
      <w:r w:rsidRPr="007F183E">
        <w:rPr>
          <w:color w:val="0000FF"/>
          <w:sz w:val="20"/>
          <w:szCs w:val="20"/>
        </w:rPr>
        <w:t xml:space="preserve">[ </w:t>
      </w:r>
      <w:r w:rsidR="00176789">
        <w:rPr>
          <w:color w:val="0000FF"/>
          <w:sz w:val="20"/>
          <w:szCs w:val="20"/>
        </w:rPr>
        <w:t xml:space="preserve"> </w:t>
      </w:r>
      <w:r w:rsidRPr="007F183E">
        <w:rPr>
          <w:color w:val="0000FF"/>
          <w:sz w:val="20"/>
          <w:szCs w:val="20"/>
        </w:rPr>
        <w:t>]</w:t>
      </w:r>
      <w:proofErr w:type="gramEnd"/>
      <w:r w:rsidRPr="007F183E">
        <w:rPr>
          <w:color w:val="0000FF"/>
          <w:sz w:val="20"/>
          <w:szCs w:val="20"/>
        </w:rPr>
        <w:t>% in US Dollars (202</w:t>
      </w:r>
      <w:r w:rsidR="00D73283">
        <w:rPr>
          <w:color w:val="0000FF"/>
          <w:sz w:val="20"/>
          <w:szCs w:val="20"/>
        </w:rPr>
        <w:t>4</w:t>
      </w:r>
      <w:r w:rsidRPr="007F183E">
        <w:rPr>
          <w:color w:val="0000FF"/>
          <w:sz w:val="20"/>
          <w:szCs w:val="20"/>
        </w:rPr>
        <w:t xml:space="preserve">: 35%), </w:t>
      </w:r>
      <w:proofErr w:type="gramStart"/>
      <w:r w:rsidRPr="007F183E">
        <w:rPr>
          <w:color w:val="0000FF"/>
          <w:sz w:val="20"/>
          <w:szCs w:val="20"/>
        </w:rPr>
        <w:t>[</w:t>
      </w:r>
      <w:r w:rsidR="00176789">
        <w:rPr>
          <w:color w:val="0000FF"/>
          <w:sz w:val="20"/>
          <w:szCs w:val="20"/>
        </w:rPr>
        <w:t xml:space="preserve"> </w:t>
      </w:r>
      <w:r w:rsidRPr="007F183E">
        <w:rPr>
          <w:color w:val="0000FF"/>
          <w:sz w:val="20"/>
          <w:szCs w:val="20"/>
        </w:rPr>
        <w:t xml:space="preserve"> ]</w:t>
      </w:r>
      <w:proofErr w:type="gramEnd"/>
      <w:r w:rsidRPr="007F183E">
        <w:rPr>
          <w:color w:val="0000FF"/>
          <w:sz w:val="20"/>
          <w:szCs w:val="20"/>
        </w:rPr>
        <w:t xml:space="preserve">% in </w:t>
      </w:r>
      <w:proofErr w:type="gramStart"/>
      <w:r w:rsidRPr="007F183E">
        <w:rPr>
          <w:color w:val="0000FF"/>
          <w:sz w:val="20"/>
          <w:szCs w:val="20"/>
        </w:rPr>
        <w:t>[</w:t>
      </w:r>
      <w:r w:rsidR="00176789">
        <w:rPr>
          <w:color w:val="0000FF"/>
          <w:sz w:val="20"/>
          <w:szCs w:val="20"/>
        </w:rPr>
        <w:t xml:space="preserve"> </w:t>
      </w:r>
      <w:r w:rsidR="00736A5E">
        <w:rPr>
          <w:color w:val="0000FF"/>
          <w:sz w:val="20"/>
          <w:szCs w:val="20"/>
        </w:rPr>
        <w:t xml:space="preserve"> </w:t>
      </w:r>
      <w:r w:rsidRPr="007F183E">
        <w:rPr>
          <w:color w:val="0000FF"/>
          <w:sz w:val="20"/>
          <w:szCs w:val="20"/>
        </w:rPr>
        <w:t>]</w:t>
      </w:r>
      <w:proofErr w:type="gramEnd"/>
      <w:r w:rsidRPr="007F183E">
        <w:rPr>
          <w:color w:val="0000FF"/>
          <w:sz w:val="20"/>
          <w:szCs w:val="20"/>
        </w:rPr>
        <w:t xml:space="preserve"> (202</w:t>
      </w:r>
      <w:r w:rsidR="00736A5E">
        <w:rPr>
          <w:color w:val="0000FF"/>
          <w:sz w:val="20"/>
          <w:szCs w:val="20"/>
        </w:rPr>
        <w:t>4</w:t>
      </w:r>
      <w:r w:rsidRPr="007F183E">
        <w:rPr>
          <w:color w:val="0000FF"/>
          <w:sz w:val="20"/>
          <w:szCs w:val="20"/>
        </w:rPr>
        <w:t>: 48%)].</w:t>
      </w:r>
    </w:p>
    <w:p w14:paraId="06FF6392"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Refer to Note 44 for information about factoring of trade receivables. </w:t>
      </w:r>
    </w:p>
    <w:p w14:paraId="0E9B8779"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20</w:t>
      </w:r>
      <w:r>
        <w:rPr>
          <w:b/>
          <w:color w:val="000000"/>
          <w:sz w:val="20"/>
          <w:szCs w:val="20"/>
        </w:rPr>
        <w:tab/>
        <w:t>Trade and Other Receivables (Continued)</w:t>
      </w:r>
    </w:p>
    <w:p w14:paraId="0C97356C" w14:textId="77777777" w:rsidR="008E5DE4" w:rsidRDefault="00780368">
      <w:pPr>
        <w:widowControl w:val="0"/>
        <w:spacing w:before="200" w:after="200"/>
        <w:jc w:val="both"/>
        <w:rPr>
          <w:sz w:val="20"/>
          <w:szCs w:val="20"/>
        </w:rPr>
      </w:pPr>
      <w:r>
        <w:rPr>
          <w:sz w:val="20"/>
          <w:szCs w:val="20"/>
        </w:rPr>
        <w:t xml:space="preserve">The Group applies the IFRS 9 simplified approach to measuring expected credit losses which uses a lifetime expected loss allowance for all trade receivables. </w:t>
      </w:r>
    </w:p>
    <w:p w14:paraId="1FE92A4E" w14:textId="77777777" w:rsidR="008E5DE4" w:rsidRDefault="00780368">
      <w:pPr>
        <w:widowControl w:val="0"/>
        <w:spacing w:before="200" w:after="200"/>
        <w:jc w:val="both"/>
        <w:rPr>
          <w:sz w:val="20"/>
          <w:szCs w:val="20"/>
        </w:rPr>
      </w:pPr>
      <w:r>
        <w:rPr>
          <w:sz w:val="20"/>
          <w:szCs w:val="20"/>
        </w:rPr>
        <w:t>To measure the expected credit losses, trade receivables have been grouped based on shared credit risk characteristics and the days past due.</w:t>
      </w:r>
    </w:p>
    <w:p w14:paraId="4F08C368" w14:textId="77777777" w:rsidR="008E5DE4" w:rsidRDefault="00780368">
      <w:pPr>
        <w:widowControl w:val="0"/>
        <w:spacing w:before="200" w:after="200"/>
        <w:jc w:val="both"/>
        <w:rPr>
          <w:sz w:val="20"/>
          <w:szCs w:val="20"/>
        </w:rPr>
      </w:pPr>
      <w:r>
        <w:rPr>
          <w:sz w:val="20"/>
          <w:szCs w:val="20"/>
        </w:rPr>
        <w:t xml:space="preserve">The expected loss rates are based on the payment profiles of customers over a period of 36 month before each balance sheet date and the corresponding historical credit losses experienced within this period. The historical loss rates are adjusted to reflect current and forward-looking information on macroeconomic factors affecting the ability of the customers to settle the receivables. The Group has identified the GDP and the unemployment rate of the countries in which it sells its goods and services to be the most relevant </w:t>
      </w:r>
      <w:proofErr w:type="gramStart"/>
      <w:r>
        <w:rPr>
          <w:sz w:val="20"/>
          <w:szCs w:val="20"/>
        </w:rPr>
        <w:t>factors, and</w:t>
      </w:r>
      <w:proofErr w:type="gramEnd"/>
      <w:r>
        <w:rPr>
          <w:sz w:val="20"/>
          <w:szCs w:val="20"/>
        </w:rPr>
        <w:t xml:space="preserve"> accordingly adjusts the historical loss rates based on expected changes in these factors.</w:t>
      </w:r>
    </w:p>
    <w:p w14:paraId="32DEB000" w14:textId="77777777" w:rsidR="008E5DE4" w:rsidRDefault="00780368">
      <w:pPr>
        <w:widowControl w:val="0"/>
        <w:spacing w:before="200" w:after="200"/>
        <w:jc w:val="both"/>
        <w:rPr>
          <w:i/>
          <w:color w:val="0000FF"/>
          <w:sz w:val="20"/>
          <w:szCs w:val="20"/>
        </w:rPr>
      </w:pPr>
      <w:r>
        <w:rPr>
          <w:sz w:val="20"/>
          <w:szCs w:val="20"/>
        </w:rPr>
        <w:t xml:space="preserve">The credit loss allowance for trade receivables is determined according to provision matrix presented in the table below. The provision matrix is based the number of days that an asset is past due, adjusted for </w:t>
      </w:r>
      <w:r>
        <w:rPr>
          <w:i/>
          <w:color w:val="0000FF"/>
          <w:sz w:val="20"/>
          <w:szCs w:val="20"/>
        </w:rPr>
        <w:t>[describe forward looking information].</w:t>
      </w:r>
    </w:p>
    <w:tbl>
      <w:tblPr>
        <w:tblStyle w:val="afffff7"/>
        <w:tblW w:w="9355" w:type="dxa"/>
        <w:tblLayout w:type="fixed"/>
        <w:tblLook w:val="0000" w:firstRow="0" w:lastRow="0" w:firstColumn="0" w:lastColumn="0" w:noHBand="0" w:noVBand="0"/>
      </w:tblPr>
      <w:tblGrid>
        <w:gridCol w:w="2551"/>
        <w:gridCol w:w="567"/>
        <w:gridCol w:w="992"/>
        <w:gridCol w:w="992"/>
        <w:gridCol w:w="851"/>
        <w:gridCol w:w="568"/>
        <w:gridCol w:w="992"/>
        <w:gridCol w:w="992"/>
        <w:gridCol w:w="850"/>
      </w:tblGrid>
      <w:tr w:rsidR="008E5DE4" w14:paraId="3878B6A5" w14:textId="77777777">
        <w:trPr>
          <w:cantSplit/>
        </w:trPr>
        <w:tc>
          <w:tcPr>
            <w:tcW w:w="2551" w:type="dxa"/>
            <w:vAlign w:val="bottom"/>
          </w:tcPr>
          <w:p w14:paraId="2412B8C2" w14:textId="77777777" w:rsidR="008E5DE4" w:rsidRDefault="008E5DE4">
            <w:pPr>
              <w:widowControl w:val="0"/>
              <w:pBdr>
                <w:top w:val="nil"/>
                <w:left w:val="nil"/>
                <w:bottom w:val="nil"/>
                <w:right w:val="nil"/>
                <w:between w:val="nil"/>
              </w:pBdr>
              <w:rPr>
                <w:i/>
                <w:color w:val="000000"/>
              </w:rPr>
            </w:pPr>
          </w:p>
        </w:tc>
        <w:tc>
          <w:tcPr>
            <w:tcW w:w="3402" w:type="dxa"/>
            <w:gridSpan w:val="4"/>
          </w:tcPr>
          <w:p w14:paraId="7D46AC43" w14:textId="3E10B1A7" w:rsidR="008E5DE4" w:rsidRDefault="00780368">
            <w:pPr>
              <w:widowControl w:val="0"/>
              <w:pBdr>
                <w:top w:val="nil"/>
                <w:left w:val="nil"/>
                <w:bottom w:val="single" w:sz="4" w:space="1" w:color="000000"/>
                <w:right w:val="nil"/>
                <w:between w:val="nil"/>
              </w:pBdr>
              <w:ind w:left="57"/>
              <w:jc w:val="center"/>
              <w:rPr>
                <w:b/>
                <w:color w:val="000000"/>
              </w:rPr>
            </w:pPr>
            <w:r>
              <w:rPr>
                <w:b/>
                <w:color w:val="000000"/>
              </w:rPr>
              <w:t xml:space="preserve">31 December </w:t>
            </w:r>
            <w:r w:rsidR="008614F8">
              <w:rPr>
                <w:b/>
                <w:color w:val="000000"/>
              </w:rPr>
              <w:t>2025</w:t>
            </w:r>
          </w:p>
        </w:tc>
        <w:tc>
          <w:tcPr>
            <w:tcW w:w="3402" w:type="dxa"/>
            <w:gridSpan w:val="4"/>
          </w:tcPr>
          <w:p w14:paraId="1B4B729D" w14:textId="3568F4B3" w:rsidR="008E5DE4" w:rsidRDefault="00780368">
            <w:pPr>
              <w:widowControl w:val="0"/>
              <w:pBdr>
                <w:top w:val="nil"/>
                <w:left w:val="nil"/>
                <w:bottom w:val="single" w:sz="4" w:space="1" w:color="000000"/>
                <w:right w:val="nil"/>
                <w:between w:val="nil"/>
              </w:pBdr>
              <w:ind w:left="-113"/>
              <w:jc w:val="center"/>
              <w:rPr>
                <w:b/>
                <w:color w:val="000000"/>
              </w:rPr>
            </w:pPr>
            <w:r>
              <w:rPr>
                <w:b/>
                <w:color w:val="000000"/>
              </w:rPr>
              <w:t xml:space="preserve">31 December </w:t>
            </w:r>
            <w:r w:rsidR="00FF468A">
              <w:rPr>
                <w:b/>
                <w:color w:val="000000"/>
              </w:rPr>
              <w:t>2024</w:t>
            </w:r>
          </w:p>
        </w:tc>
      </w:tr>
      <w:tr w:rsidR="008E5DE4" w14:paraId="63E912AB" w14:textId="77777777">
        <w:trPr>
          <w:cantSplit/>
        </w:trPr>
        <w:tc>
          <w:tcPr>
            <w:tcW w:w="2551" w:type="dxa"/>
            <w:tcBorders>
              <w:bottom w:val="single" w:sz="4" w:space="0" w:color="000000"/>
            </w:tcBorders>
            <w:vAlign w:val="bottom"/>
          </w:tcPr>
          <w:p w14:paraId="0A03A7F8" w14:textId="77777777" w:rsidR="008E5DE4" w:rsidRDefault="00780368">
            <w:pPr>
              <w:widowControl w:val="0"/>
              <w:pBdr>
                <w:top w:val="nil"/>
                <w:left w:val="nil"/>
                <w:bottom w:val="nil"/>
                <w:right w:val="nil"/>
                <w:between w:val="nil"/>
              </w:pBdr>
              <w:rPr>
                <w:i/>
                <w:color w:val="000000"/>
              </w:rPr>
            </w:pPr>
            <w:r>
              <w:rPr>
                <w:i/>
                <w:color w:val="000000"/>
              </w:rPr>
              <w:t xml:space="preserve">In % of gross value </w:t>
            </w:r>
          </w:p>
          <w:p w14:paraId="494F8845"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567" w:type="dxa"/>
            <w:tcBorders>
              <w:bottom w:val="single" w:sz="4" w:space="0" w:color="000000"/>
            </w:tcBorders>
          </w:tcPr>
          <w:p w14:paraId="0B2B9B3B"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Loss </w:t>
            </w:r>
          </w:p>
          <w:p w14:paraId="22EEE9F2" w14:textId="77777777" w:rsidR="008E5DE4" w:rsidRDefault="00780368">
            <w:pPr>
              <w:widowControl w:val="0"/>
              <w:pBdr>
                <w:top w:val="nil"/>
                <w:left w:val="nil"/>
                <w:bottom w:val="nil"/>
                <w:right w:val="nil"/>
                <w:between w:val="nil"/>
              </w:pBdr>
              <w:ind w:left="-113"/>
              <w:jc w:val="right"/>
              <w:rPr>
                <w:b/>
                <w:color w:val="000000"/>
              </w:rPr>
            </w:pPr>
            <w:r>
              <w:rPr>
                <w:b/>
                <w:color w:val="000000"/>
              </w:rPr>
              <w:t>Rate</w:t>
            </w:r>
          </w:p>
        </w:tc>
        <w:tc>
          <w:tcPr>
            <w:tcW w:w="992" w:type="dxa"/>
            <w:tcBorders>
              <w:bottom w:val="single" w:sz="4" w:space="0" w:color="000000"/>
            </w:tcBorders>
          </w:tcPr>
          <w:p w14:paraId="4291B5A4" w14:textId="77777777" w:rsidR="008E5DE4" w:rsidRDefault="00780368">
            <w:pPr>
              <w:widowControl w:val="0"/>
              <w:pBdr>
                <w:top w:val="nil"/>
                <w:left w:val="nil"/>
                <w:bottom w:val="nil"/>
                <w:right w:val="nil"/>
                <w:between w:val="nil"/>
              </w:pBdr>
              <w:ind w:left="-113"/>
              <w:jc w:val="right"/>
              <w:rPr>
                <w:b/>
                <w:color w:val="000000"/>
              </w:rPr>
            </w:pPr>
            <w:r>
              <w:rPr>
                <w:b/>
                <w:color w:val="000000"/>
              </w:rPr>
              <w:t>Gross</w:t>
            </w:r>
          </w:p>
          <w:p w14:paraId="6AF22E6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w:t>
            </w:r>
          </w:p>
          <w:p w14:paraId="67EB908A" w14:textId="77777777" w:rsidR="008E5DE4" w:rsidRDefault="00780368">
            <w:pPr>
              <w:widowControl w:val="0"/>
              <w:pBdr>
                <w:top w:val="nil"/>
                <w:left w:val="nil"/>
                <w:bottom w:val="nil"/>
                <w:right w:val="nil"/>
                <w:between w:val="nil"/>
              </w:pBdr>
              <w:ind w:left="-113"/>
              <w:jc w:val="right"/>
              <w:rPr>
                <w:b/>
                <w:color w:val="000000"/>
              </w:rPr>
            </w:pPr>
            <w:r>
              <w:rPr>
                <w:b/>
                <w:color w:val="000000"/>
              </w:rPr>
              <w:t>amount</w:t>
            </w:r>
          </w:p>
        </w:tc>
        <w:tc>
          <w:tcPr>
            <w:tcW w:w="992" w:type="dxa"/>
            <w:tcBorders>
              <w:bottom w:val="single" w:sz="4" w:space="0" w:color="000000"/>
            </w:tcBorders>
          </w:tcPr>
          <w:p w14:paraId="5314FE09"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w:t>
            </w:r>
          </w:p>
          <w:p w14:paraId="67627B6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ECL </w:t>
            </w:r>
          </w:p>
        </w:tc>
        <w:tc>
          <w:tcPr>
            <w:tcW w:w="851" w:type="dxa"/>
            <w:tcBorders>
              <w:bottom w:val="single" w:sz="4" w:space="0" w:color="000000"/>
            </w:tcBorders>
          </w:tcPr>
          <w:p w14:paraId="482614D6" w14:textId="77777777" w:rsidR="008E5DE4" w:rsidRDefault="00780368">
            <w:pPr>
              <w:widowControl w:val="0"/>
              <w:pBdr>
                <w:top w:val="nil"/>
                <w:left w:val="nil"/>
                <w:bottom w:val="nil"/>
                <w:right w:val="nil"/>
                <w:between w:val="nil"/>
              </w:pBdr>
              <w:ind w:left="-113"/>
              <w:jc w:val="right"/>
              <w:rPr>
                <w:b/>
                <w:color w:val="000000"/>
              </w:rPr>
            </w:pPr>
            <w:r>
              <w:rPr>
                <w:b/>
                <w:color w:val="000000"/>
              </w:rPr>
              <w:t>Net carrying value</w:t>
            </w:r>
          </w:p>
        </w:tc>
        <w:tc>
          <w:tcPr>
            <w:tcW w:w="568" w:type="dxa"/>
            <w:tcBorders>
              <w:bottom w:val="single" w:sz="4" w:space="0" w:color="000000"/>
            </w:tcBorders>
          </w:tcPr>
          <w:p w14:paraId="77FA2277"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Loss </w:t>
            </w:r>
          </w:p>
          <w:p w14:paraId="52092F6F" w14:textId="77777777" w:rsidR="008E5DE4" w:rsidRDefault="00780368">
            <w:pPr>
              <w:widowControl w:val="0"/>
              <w:pBdr>
                <w:top w:val="nil"/>
                <w:left w:val="nil"/>
                <w:bottom w:val="nil"/>
                <w:right w:val="nil"/>
                <w:between w:val="nil"/>
              </w:pBdr>
              <w:ind w:left="-113"/>
              <w:jc w:val="right"/>
              <w:rPr>
                <w:b/>
                <w:color w:val="000000"/>
              </w:rPr>
            </w:pPr>
            <w:r>
              <w:rPr>
                <w:b/>
                <w:color w:val="000000"/>
              </w:rPr>
              <w:t>rate</w:t>
            </w:r>
          </w:p>
        </w:tc>
        <w:tc>
          <w:tcPr>
            <w:tcW w:w="992" w:type="dxa"/>
            <w:tcBorders>
              <w:bottom w:val="single" w:sz="4" w:space="0" w:color="000000"/>
            </w:tcBorders>
          </w:tcPr>
          <w:p w14:paraId="456D8712" w14:textId="77777777" w:rsidR="008E5DE4" w:rsidRDefault="00780368">
            <w:pPr>
              <w:widowControl w:val="0"/>
              <w:pBdr>
                <w:top w:val="nil"/>
                <w:left w:val="nil"/>
                <w:bottom w:val="nil"/>
                <w:right w:val="nil"/>
                <w:between w:val="nil"/>
              </w:pBdr>
              <w:ind w:left="-113"/>
              <w:jc w:val="right"/>
              <w:rPr>
                <w:b/>
                <w:color w:val="000000"/>
              </w:rPr>
            </w:pPr>
            <w:r>
              <w:rPr>
                <w:b/>
                <w:color w:val="000000"/>
              </w:rPr>
              <w:t>Gross</w:t>
            </w:r>
          </w:p>
          <w:p w14:paraId="15E39DE6"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w:t>
            </w:r>
          </w:p>
          <w:p w14:paraId="582D4AA8" w14:textId="77777777" w:rsidR="008E5DE4" w:rsidRDefault="00780368">
            <w:pPr>
              <w:widowControl w:val="0"/>
              <w:pBdr>
                <w:top w:val="nil"/>
                <w:left w:val="nil"/>
                <w:bottom w:val="nil"/>
                <w:right w:val="nil"/>
                <w:between w:val="nil"/>
              </w:pBdr>
              <w:ind w:left="-113"/>
              <w:jc w:val="right"/>
              <w:rPr>
                <w:b/>
                <w:color w:val="000000"/>
              </w:rPr>
            </w:pPr>
            <w:r>
              <w:rPr>
                <w:b/>
                <w:color w:val="000000"/>
              </w:rPr>
              <w:t>amount</w:t>
            </w:r>
          </w:p>
        </w:tc>
        <w:tc>
          <w:tcPr>
            <w:tcW w:w="992" w:type="dxa"/>
            <w:tcBorders>
              <w:bottom w:val="single" w:sz="4" w:space="0" w:color="000000"/>
            </w:tcBorders>
          </w:tcPr>
          <w:p w14:paraId="5C960185"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w:t>
            </w:r>
          </w:p>
          <w:p w14:paraId="01C53A2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ECL </w:t>
            </w:r>
          </w:p>
        </w:tc>
        <w:tc>
          <w:tcPr>
            <w:tcW w:w="850" w:type="dxa"/>
            <w:tcBorders>
              <w:bottom w:val="single" w:sz="4" w:space="0" w:color="000000"/>
            </w:tcBorders>
          </w:tcPr>
          <w:p w14:paraId="06541CFF" w14:textId="77777777" w:rsidR="008E5DE4" w:rsidRDefault="00780368">
            <w:pPr>
              <w:widowControl w:val="0"/>
              <w:pBdr>
                <w:top w:val="nil"/>
                <w:left w:val="nil"/>
                <w:bottom w:val="nil"/>
                <w:right w:val="nil"/>
                <w:between w:val="nil"/>
              </w:pBdr>
              <w:ind w:left="-113"/>
              <w:jc w:val="right"/>
              <w:rPr>
                <w:b/>
                <w:color w:val="000000"/>
              </w:rPr>
            </w:pPr>
            <w:r>
              <w:rPr>
                <w:b/>
                <w:color w:val="000000"/>
              </w:rPr>
              <w:t>Net carrying value</w:t>
            </w:r>
          </w:p>
        </w:tc>
      </w:tr>
      <w:tr w:rsidR="008E5DE4" w14:paraId="21502597" w14:textId="77777777">
        <w:trPr>
          <w:cantSplit/>
        </w:trPr>
        <w:tc>
          <w:tcPr>
            <w:tcW w:w="2551" w:type="dxa"/>
            <w:tcBorders>
              <w:top w:val="single" w:sz="4" w:space="0" w:color="000000"/>
            </w:tcBorders>
            <w:vAlign w:val="bottom"/>
          </w:tcPr>
          <w:p w14:paraId="7F7E0525" w14:textId="77777777" w:rsidR="008E5DE4" w:rsidRDefault="00780368">
            <w:pPr>
              <w:widowControl w:val="0"/>
              <w:pBdr>
                <w:top w:val="nil"/>
                <w:left w:val="nil"/>
                <w:bottom w:val="nil"/>
                <w:right w:val="nil"/>
                <w:between w:val="nil"/>
              </w:pBdr>
              <w:rPr>
                <w:color w:val="000000"/>
              </w:rPr>
            </w:pPr>
            <w:r>
              <w:rPr>
                <w:color w:val="000000"/>
              </w:rPr>
              <w:t> </w:t>
            </w:r>
          </w:p>
        </w:tc>
        <w:tc>
          <w:tcPr>
            <w:tcW w:w="567" w:type="dxa"/>
            <w:tcBorders>
              <w:top w:val="single" w:sz="4" w:space="0" w:color="000000"/>
            </w:tcBorders>
            <w:vAlign w:val="bottom"/>
          </w:tcPr>
          <w:p w14:paraId="209867F6"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11D9043D"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4D8450A8" w14:textId="77777777" w:rsidR="008E5DE4" w:rsidRDefault="008E5DE4">
            <w:pPr>
              <w:widowControl w:val="0"/>
              <w:pBdr>
                <w:top w:val="nil"/>
                <w:left w:val="nil"/>
                <w:bottom w:val="nil"/>
                <w:right w:val="nil"/>
                <w:between w:val="nil"/>
              </w:pBdr>
              <w:jc w:val="center"/>
              <w:rPr>
                <w:color w:val="000000"/>
              </w:rPr>
            </w:pPr>
          </w:p>
        </w:tc>
        <w:tc>
          <w:tcPr>
            <w:tcW w:w="851" w:type="dxa"/>
            <w:tcBorders>
              <w:top w:val="single" w:sz="4" w:space="0" w:color="000000"/>
            </w:tcBorders>
          </w:tcPr>
          <w:p w14:paraId="68171538" w14:textId="77777777" w:rsidR="008E5DE4" w:rsidRDefault="008E5DE4">
            <w:pPr>
              <w:widowControl w:val="0"/>
              <w:pBdr>
                <w:top w:val="nil"/>
                <w:left w:val="nil"/>
                <w:bottom w:val="nil"/>
                <w:right w:val="nil"/>
                <w:between w:val="nil"/>
              </w:pBdr>
              <w:jc w:val="center"/>
              <w:rPr>
                <w:color w:val="000000"/>
              </w:rPr>
            </w:pPr>
          </w:p>
        </w:tc>
        <w:tc>
          <w:tcPr>
            <w:tcW w:w="568" w:type="dxa"/>
            <w:tcBorders>
              <w:top w:val="single" w:sz="4" w:space="0" w:color="000000"/>
            </w:tcBorders>
            <w:vAlign w:val="bottom"/>
          </w:tcPr>
          <w:p w14:paraId="5895FD87"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0D2C0B5F"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6DBD017E"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tcPr>
          <w:p w14:paraId="06EF31A4" w14:textId="77777777" w:rsidR="008E5DE4" w:rsidRDefault="008E5DE4">
            <w:pPr>
              <w:widowControl w:val="0"/>
              <w:pBdr>
                <w:top w:val="nil"/>
                <w:left w:val="nil"/>
                <w:bottom w:val="nil"/>
                <w:right w:val="nil"/>
                <w:between w:val="nil"/>
              </w:pBdr>
              <w:jc w:val="right"/>
              <w:rPr>
                <w:color w:val="000000"/>
              </w:rPr>
            </w:pPr>
          </w:p>
        </w:tc>
      </w:tr>
      <w:tr w:rsidR="008E5DE4" w14:paraId="288CB79E" w14:textId="77777777">
        <w:trPr>
          <w:cantSplit/>
        </w:trPr>
        <w:tc>
          <w:tcPr>
            <w:tcW w:w="2551" w:type="dxa"/>
            <w:vAlign w:val="bottom"/>
          </w:tcPr>
          <w:p w14:paraId="1ABED080" w14:textId="77777777" w:rsidR="008E5DE4" w:rsidRDefault="00780368">
            <w:pPr>
              <w:widowControl w:val="0"/>
              <w:pBdr>
                <w:top w:val="nil"/>
                <w:left w:val="nil"/>
                <w:bottom w:val="nil"/>
                <w:right w:val="nil"/>
                <w:between w:val="nil"/>
              </w:pBdr>
              <w:ind w:left="227" w:hanging="227"/>
              <w:rPr>
                <w:b/>
                <w:i/>
                <w:color w:val="000000"/>
              </w:rPr>
            </w:pPr>
            <w:r>
              <w:rPr>
                <w:b/>
                <w:i/>
                <w:color w:val="000000"/>
              </w:rPr>
              <w:t>Trade receivables</w:t>
            </w:r>
          </w:p>
          <w:p w14:paraId="25516C48" w14:textId="77777777" w:rsidR="008E5DE4" w:rsidRDefault="00780368">
            <w:pPr>
              <w:widowControl w:val="0"/>
              <w:pBdr>
                <w:top w:val="nil"/>
                <w:left w:val="nil"/>
                <w:bottom w:val="nil"/>
                <w:right w:val="nil"/>
                <w:between w:val="nil"/>
              </w:pBdr>
              <w:ind w:left="227" w:hanging="227"/>
              <w:rPr>
                <w:b/>
                <w:i/>
                <w:color w:val="000000"/>
              </w:rPr>
            </w:pPr>
            <w:r>
              <w:rPr>
                <w:color w:val="0000FF"/>
              </w:rPr>
              <w:t xml:space="preserve">- </w:t>
            </w:r>
            <w:r>
              <w:rPr>
                <w:color w:val="0000FF"/>
              </w:rPr>
              <w:tab/>
              <w:t>current</w:t>
            </w:r>
          </w:p>
        </w:tc>
        <w:tc>
          <w:tcPr>
            <w:tcW w:w="567" w:type="dxa"/>
            <w:vAlign w:val="bottom"/>
          </w:tcPr>
          <w:p w14:paraId="3FB3DF52"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728B2C78"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6035F612" w14:textId="77777777" w:rsidR="008E5DE4" w:rsidRDefault="008E5DE4">
            <w:pPr>
              <w:widowControl w:val="0"/>
              <w:pBdr>
                <w:top w:val="nil"/>
                <w:left w:val="nil"/>
                <w:bottom w:val="nil"/>
                <w:right w:val="nil"/>
                <w:between w:val="nil"/>
              </w:pBdr>
              <w:jc w:val="right"/>
              <w:rPr>
                <w:i/>
                <w:color w:val="0000FF"/>
              </w:rPr>
            </w:pPr>
          </w:p>
        </w:tc>
        <w:tc>
          <w:tcPr>
            <w:tcW w:w="851" w:type="dxa"/>
          </w:tcPr>
          <w:p w14:paraId="112E01C2"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2D063490"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621B3DEB"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4A2356C2" w14:textId="77777777" w:rsidR="008E5DE4" w:rsidRDefault="008E5DE4">
            <w:pPr>
              <w:widowControl w:val="0"/>
              <w:pBdr>
                <w:top w:val="nil"/>
                <w:left w:val="nil"/>
                <w:bottom w:val="nil"/>
                <w:right w:val="nil"/>
                <w:between w:val="nil"/>
              </w:pBdr>
              <w:jc w:val="right"/>
              <w:rPr>
                <w:i/>
                <w:color w:val="0000FF"/>
              </w:rPr>
            </w:pPr>
          </w:p>
        </w:tc>
        <w:tc>
          <w:tcPr>
            <w:tcW w:w="850" w:type="dxa"/>
          </w:tcPr>
          <w:p w14:paraId="48C42A04" w14:textId="77777777" w:rsidR="008E5DE4" w:rsidRDefault="008E5DE4">
            <w:pPr>
              <w:widowControl w:val="0"/>
              <w:pBdr>
                <w:top w:val="nil"/>
                <w:left w:val="nil"/>
                <w:bottom w:val="nil"/>
                <w:right w:val="nil"/>
                <w:between w:val="nil"/>
              </w:pBdr>
              <w:jc w:val="right"/>
              <w:rPr>
                <w:i/>
                <w:color w:val="0000FF"/>
              </w:rPr>
            </w:pPr>
          </w:p>
        </w:tc>
      </w:tr>
      <w:tr w:rsidR="008E5DE4" w14:paraId="15D07629" w14:textId="77777777">
        <w:trPr>
          <w:cantSplit/>
        </w:trPr>
        <w:tc>
          <w:tcPr>
            <w:tcW w:w="2551" w:type="dxa"/>
            <w:vAlign w:val="bottom"/>
          </w:tcPr>
          <w:p w14:paraId="396CEBE9" w14:textId="77777777" w:rsidR="008E5DE4" w:rsidRDefault="00780368">
            <w:pPr>
              <w:widowControl w:val="0"/>
              <w:pBdr>
                <w:top w:val="nil"/>
                <w:left w:val="nil"/>
                <w:bottom w:val="nil"/>
                <w:right w:val="nil"/>
                <w:between w:val="nil"/>
              </w:pBdr>
              <w:ind w:left="227" w:hanging="227"/>
              <w:rPr>
                <w:color w:val="0000FF"/>
              </w:rPr>
            </w:pPr>
            <w:r>
              <w:rPr>
                <w:color w:val="0000FF"/>
              </w:rPr>
              <w:t xml:space="preserve">- </w:t>
            </w:r>
            <w:r>
              <w:rPr>
                <w:color w:val="0000FF"/>
              </w:rPr>
              <w:tab/>
              <w:t>less than 30 days overdue</w:t>
            </w:r>
          </w:p>
        </w:tc>
        <w:tc>
          <w:tcPr>
            <w:tcW w:w="567" w:type="dxa"/>
            <w:vAlign w:val="bottom"/>
          </w:tcPr>
          <w:p w14:paraId="22A31660"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659E1459"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7C7F925D" w14:textId="77777777" w:rsidR="008E5DE4" w:rsidRDefault="008E5DE4">
            <w:pPr>
              <w:widowControl w:val="0"/>
              <w:pBdr>
                <w:top w:val="nil"/>
                <w:left w:val="nil"/>
                <w:bottom w:val="nil"/>
                <w:right w:val="nil"/>
                <w:between w:val="nil"/>
              </w:pBdr>
              <w:jc w:val="right"/>
              <w:rPr>
                <w:i/>
                <w:color w:val="0000FF"/>
              </w:rPr>
            </w:pPr>
          </w:p>
        </w:tc>
        <w:tc>
          <w:tcPr>
            <w:tcW w:w="851" w:type="dxa"/>
          </w:tcPr>
          <w:p w14:paraId="451EF98A"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5057F16F"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58D6020B"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25194E38" w14:textId="77777777" w:rsidR="008E5DE4" w:rsidRDefault="008E5DE4">
            <w:pPr>
              <w:widowControl w:val="0"/>
              <w:pBdr>
                <w:top w:val="nil"/>
                <w:left w:val="nil"/>
                <w:bottom w:val="nil"/>
                <w:right w:val="nil"/>
                <w:between w:val="nil"/>
              </w:pBdr>
              <w:jc w:val="right"/>
              <w:rPr>
                <w:i/>
                <w:color w:val="0000FF"/>
              </w:rPr>
            </w:pPr>
          </w:p>
        </w:tc>
        <w:tc>
          <w:tcPr>
            <w:tcW w:w="850" w:type="dxa"/>
          </w:tcPr>
          <w:p w14:paraId="56DA753C" w14:textId="77777777" w:rsidR="008E5DE4" w:rsidRDefault="008E5DE4">
            <w:pPr>
              <w:widowControl w:val="0"/>
              <w:pBdr>
                <w:top w:val="nil"/>
                <w:left w:val="nil"/>
                <w:bottom w:val="nil"/>
                <w:right w:val="nil"/>
                <w:between w:val="nil"/>
              </w:pBdr>
              <w:jc w:val="right"/>
              <w:rPr>
                <w:i/>
                <w:color w:val="0000FF"/>
              </w:rPr>
            </w:pPr>
          </w:p>
        </w:tc>
      </w:tr>
      <w:tr w:rsidR="008E5DE4" w14:paraId="475F71ED" w14:textId="77777777">
        <w:trPr>
          <w:cantSplit/>
        </w:trPr>
        <w:tc>
          <w:tcPr>
            <w:tcW w:w="2551" w:type="dxa"/>
            <w:vAlign w:val="bottom"/>
          </w:tcPr>
          <w:p w14:paraId="7951C3EE" w14:textId="73010B28" w:rsidR="008E5DE4" w:rsidRDefault="00780368">
            <w:pPr>
              <w:widowControl w:val="0"/>
              <w:pBdr>
                <w:top w:val="nil"/>
                <w:left w:val="nil"/>
                <w:bottom w:val="nil"/>
                <w:right w:val="nil"/>
                <w:between w:val="nil"/>
              </w:pBdr>
              <w:ind w:left="227" w:hanging="227"/>
              <w:rPr>
                <w:color w:val="0000FF"/>
              </w:rPr>
            </w:pPr>
            <w:r>
              <w:rPr>
                <w:color w:val="0000FF"/>
              </w:rPr>
              <w:t xml:space="preserve">- </w:t>
            </w:r>
            <w:r>
              <w:rPr>
                <w:color w:val="0000FF"/>
              </w:rPr>
              <w:tab/>
              <w:t>3</w:t>
            </w:r>
            <w:r w:rsidR="00063A87">
              <w:rPr>
                <w:color w:val="0000FF"/>
              </w:rPr>
              <w:t>1</w:t>
            </w:r>
            <w:r>
              <w:rPr>
                <w:color w:val="0000FF"/>
              </w:rPr>
              <w:t xml:space="preserve"> to 90 days overdue</w:t>
            </w:r>
          </w:p>
        </w:tc>
        <w:tc>
          <w:tcPr>
            <w:tcW w:w="567" w:type="dxa"/>
            <w:vAlign w:val="bottom"/>
          </w:tcPr>
          <w:p w14:paraId="50D674C6"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4E4ABEC0"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24849807" w14:textId="77777777" w:rsidR="008E5DE4" w:rsidRDefault="008E5DE4">
            <w:pPr>
              <w:widowControl w:val="0"/>
              <w:pBdr>
                <w:top w:val="nil"/>
                <w:left w:val="nil"/>
                <w:bottom w:val="nil"/>
                <w:right w:val="nil"/>
                <w:between w:val="nil"/>
              </w:pBdr>
              <w:jc w:val="right"/>
              <w:rPr>
                <w:i/>
                <w:color w:val="0000FF"/>
              </w:rPr>
            </w:pPr>
          </w:p>
        </w:tc>
        <w:tc>
          <w:tcPr>
            <w:tcW w:w="851" w:type="dxa"/>
          </w:tcPr>
          <w:p w14:paraId="0DC91AF0"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771B2D38"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68A2BAD9"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45E6FA43" w14:textId="77777777" w:rsidR="008E5DE4" w:rsidRDefault="008E5DE4">
            <w:pPr>
              <w:widowControl w:val="0"/>
              <w:pBdr>
                <w:top w:val="nil"/>
                <w:left w:val="nil"/>
                <w:bottom w:val="nil"/>
                <w:right w:val="nil"/>
                <w:between w:val="nil"/>
              </w:pBdr>
              <w:jc w:val="right"/>
              <w:rPr>
                <w:i/>
                <w:color w:val="0000FF"/>
              </w:rPr>
            </w:pPr>
          </w:p>
        </w:tc>
        <w:tc>
          <w:tcPr>
            <w:tcW w:w="850" w:type="dxa"/>
          </w:tcPr>
          <w:p w14:paraId="491BB79A" w14:textId="77777777" w:rsidR="008E5DE4" w:rsidRDefault="008E5DE4">
            <w:pPr>
              <w:widowControl w:val="0"/>
              <w:pBdr>
                <w:top w:val="nil"/>
                <w:left w:val="nil"/>
                <w:bottom w:val="nil"/>
                <w:right w:val="nil"/>
                <w:between w:val="nil"/>
              </w:pBdr>
              <w:jc w:val="right"/>
              <w:rPr>
                <w:i/>
                <w:color w:val="0000FF"/>
              </w:rPr>
            </w:pPr>
          </w:p>
        </w:tc>
      </w:tr>
      <w:tr w:rsidR="008E5DE4" w14:paraId="3E35FB56" w14:textId="77777777">
        <w:trPr>
          <w:cantSplit/>
        </w:trPr>
        <w:tc>
          <w:tcPr>
            <w:tcW w:w="2551" w:type="dxa"/>
            <w:vAlign w:val="bottom"/>
          </w:tcPr>
          <w:p w14:paraId="33A268EA" w14:textId="77777777" w:rsidR="008E5DE4" w:rsidRDefault="00780368">
            <w:pPr>
              <w:widowControl w:val="0"/>
              <w:pBdr>
                <w:top w:val="nil"/>
                <w:left w:val="nil"/>
                <w:bottom w:val="nil"/>
                <w:right w:val="nil"/>
                <w:between w:val="nil"/>
              </w:pBdr>
              <w:ind w:left="227" w:hanging="227"/>
              <w:rPr>
                <w:color w:val="0000FF"/>
              </w:rPr>
            </w:pPr>
            <w:r>
              <w:rPr>
                <w:color w:val="0000FF"/>
              </w:rPr>
              <w:t xml:space="preserve">- </w:t>
            </w:r>
            <w:r>
              <w:rPr>
                <w:color w:val="0000FF"/>
              </w:rPr>
              <w:tab/>
              <w:t>91 to 180 days overdue</w:t>
            </w:r>
          </w:p>
        </w:tc>
        <w:tc>
          <w:tcPr>
            <w:tcW w:w="567" w:type="dxa"/>
            <w:vAlign w:val="bottom"/>
          </w:tcPr>
          <w:p w14:paraId="789FAE59"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20F08844"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46A85CF6" w14:textId="77777777" w:rsidR="008E5DE4" w:rsidRDefault="008E5DE4">
            <w:pPr>
              <w:widowControl w:val="0"/>
              <w:pBdr>
                <w:top w:val="nil"/>
                <w:left w:val="nil"/>
                <w:bottom w:val="nil"/>
                <w:right w:val="nil"/>
                <w:between w:val="nil"/>
              </w:pBdr>
              <w:jc w:val="right"/>
              <w:rPr>
                <w:i/>
                <w:color w:val="0000FF"/>
              </w:rPr>
            </w:pPr>
          </w:p>
        </w:tc>
        <w:tc>
          <w:tcPr>
            <w:tcW w:w="851" w:type="dxa"/>
          </w:tcPr>
          <w:p w14:paraId="4403356A"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4A24FA80"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07AAD5EC"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3FDD74E8" w14:textId="77777777" w:rsidR="008E5DE4" w:rsidRDefault="008E5DE4">
            <w:pPr>
              <w:widowControl w:val="0"/>
              <w:pBdr>
                <w:top w:val="nil"/>
                <w:left w:val="nil"/>
                <w:bottom w:val="nil"/>
                <w:right w:val="nil"/>
                <w:between w:val="nil"/>
              </w:pBdr>
              <w:jc w:val="right"/>
              <w:rPr>
                <w:i/>
                <w:color w:val="0000FF"/>
              </w:rPr>
            </w:pPr>
          </w:p>
        </w:tc>
        <w:tc>
          <w:tcPr>
            <w:tcW w:w="850" w:type="dxa"/>
          </w:tcPr>
          <w:p w14:paraId="2DDACEA2" w14:textId="77777777" w:rsidR="008E5DE4" w:rsidRDefault="008E5DE4">
            <w:pPr>
              <w:widowControl w:val="0"/>
              <w:pBdr>
                <w:top w:val="nil"/>
                <w:left w:val="nil"/>
                <w:bottom w:val="nil"/>
                <w:right w:val="nil"/>
                <w:between w:val="nil"/>
              </w:pBdr>
              <w:jc w:val="right"/>
              <w:rPr>
                <w:i/>
                <w:color w:val="0000FF"/>
              </w:rPr>
            </w:pPr>
          </w:p>
        </w:tc>
      </w:tr>
      <w:tr w:rsidR="008E5DE4" w14:paraId="0CFB3911" w14:textId="77777777">
        <w:trPr>
          <w:cantSplit/>
        </w:trPr>
        <w:tc>
          <w:tcPr>
            <w:tcW w:w="2551" w:type="dxa"/>
            <w:vAlign w:val="bottom"/>
          </w:tcPr>
          <w:p w14:paraId="37F7EDF5" w14:textId="77777777" w:rsidR="008E5DE4" w:rsidRDefault="00780368">
            <w:pPr>
              <w:widowControl w:val="0"/>
              <w:pBdr>
                <w:top w:val="nil"/>
                <w:left w:val="nil"/>
                <w:bottom w:val="nil"/>
                <w:right w:val="nil"/>
                <w:between w:val="nil"/>
              </w:pBdr>
              <w:ind w:left="227" w:hanging="227"/>
              <w:rPr>
                <w:color w:val="0000FF"/>
              </w:rPr>
            </w:pPr>
            <w:r>
              <w:rPr>
                <w:color w:val="0000FF"/>
              </w:rPr>
              <w:t xml:space="preserve">- </w:t>
            </w:r>
            <w:r>
              <w:rPr>
                <w:color w:val="0000FF"/>
              </w:rPr>
              <w:tab/>
              <w:t>181 to 360 days overdue</w:t>
            </w:r>
          </w:p>
        </w:tc>
        <w:tc>
          <w:tcPr>
            <w:tcW w:w="567" w:type="dxa"/>
            <w:vAlign w:val="bottom"/>
          </w:tcPr>
          <w:p w14:paraId="3D709011"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2253C1A1"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02381515" w14:textId="77777777" w:rsidR="008E5DE4" w:rsidRDefault="008E5DE4">
            <w:pPr>
              <w:widowControl w:val="0"/>
              <w:pBdr>
                <w:top w:val="nil"/>
                <w:left w:val="nil"/>
                <w:bottom w:val="nil"/>
                <w:right w:val="nil"/>
                <w:between w:val="nil"/>
              </w:pBdr>
              <w:jc w:val="right"/>
              <w:rPr>
                <w:i/>
                <w:color w:val="0000FF"/>
              </w:rPr>
            </w:pPr>
          </w:p>
        </w:tc>
        <w:tc>
          <w:tcPr>
            <w:tcW w:w="851" w:type="dxa"/>
          </w:tcPr>
          <w:p w14:paraId="3C8D8711"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1C83791D"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7ACA0128"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329B6181" w14:textId="77777777" w:rsidR="008E5DE4" w:rsidRDefault="008E5DE4">
            <w:pPr>
              <w:widowControl w:val="0"/>
              <w:pBdr>
                <w:top w:val="nil"/>
                <w:left w:val="nil"/>
                <w:bottom w:val="nil"/>
                <w:right w:val="nil"/>
                <w:between w:val="nil"/>
              </w:pBdr>
              <w:jc w:val="right"/>
              <w:rPr>
                <w:i/>
                <w:color w:val="0000FF"/>
              </w:rPr>
            </w:pPr>
          </w:p>
        </w:tc>
        <w:tc>
          <w:tcPr>
            <w:tcW w:w="850" w:type="dxa"/>
          </w:tcPr>
          <w:p w14:paraId="0DF86304" w14:textId="77777777" w:rsidR="008E5DE4" w:rsidRDefault="008E5DE4">
            <w:pPr>
              <w:widowControl w:val="0"/>
              <w:pBdr>
                <w:top w:val="nil"/>
                <w:left w:val="nil"/>
                <w:bottom w:val="nil"/>
                <w:right w:val="nil"/>
                <w:between w:val="nil"/>
              </w:pBdr>
              <w:jc w:val="right"/>
              <w:rPr>
                <w:i/>
                <w:color w:val="0000FF"/>
              </w:rPr>
            </w:pPr>
          </w:p>
        </w:tc>
      </w:tr>
      <w:tr w:rsidR="008E5DE4" w14:paraId="7467A78F" w14:textId="77777777">
        <w:trPr>
          <w:cantSplit/>
        </w:trPr>
        <w:tc>
          <w:tcPr>
            <w:tcW w:w="2551" w:type="dxa"/>
            <w:vAlign w:val="bottom"/>
          </w:tcPr>
          <w:p w14:paraId="1CC905E3" w14:textId="77777777" w:rsidR="008E5DE4" w:rsidRDefault="00780368">
            <w:pPr>
              <w:widowControl w:val="0"/>
              <w:pBdr>
                <w:top w:val="nil"/>
                <w:left w:val="nil"/>
                <w:bottom w:val="nil"/>
                <w:right w:val="nil"/>
                <w:between w:val="nil"/>
              </w:pBdr>
              <w:ind w:left="227" w:hanging="227"/>
              <w:rPr>
                <w:color w:val="0000FF"/>
              </w:rPr>
            </w:pPr>
            <w:r>
              <w:rPr>
                <w:color w:val="0000FF"/>
              </w:rPr>
              <w:t xml:space="preserve">- </w:t>
            </w:r>
            <w:r>
              <w:rPr>
                <w:color w:val="0000FF"/>
              </w:rPr>
              <w:tab/>
              <w:t>over 360 days overdue</w:t>
            </w:r>
          </w:p>
        </w:tc>
        <w:tc>
          <w:tcPr>
            <w:tcW w:w="567" w:type="dxa"/>
            <w:vAlign w:val="bottom"/>
          </w:tcPr>
          <w:p w14:paraId="66F39E98"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2B1811D9"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5571897F" w14:textId="77777777" w:rsidR="008E5DE4" w:rsidRDefault="008E5DE4">
            <w:pPr>
              <w:widowControl w:val="0"/>
              <w:pBdr>
                <w:top w:val="nil"/>
                <w:left w:val="nil"/>
                <w:bottom w:val="nil"/>
                <w:right w:val="nil"/>
                <w:between w:val="nil"/>
              </w:pBdr>
              <w:jc w:val="right"/>
              <w:rPr>
                <w:i/>
                <w:color w:val="0000FF"/>
              </w:rPr>
            </w:pPr>
          </w:p>
        </w:tc>
        <w:tc>
          <w:tcPr>
            <w:tcW w:w="851" w:type="dxa"/>
          </w:tcPr>
          <w:p w14:paraId="7FB4BAE7"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53733417"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05A24015"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3C81246B" w14:textId="77777777" w:rsidR="008E5DE4" w:rsidRDefault="008E5DE4">
            <w:pPr>
              <w:widowControl w:val="0"/>
              <w:pBdr>
                <w:top w:val="nil"/>
                <w:left w:val="nil"/>
                <w:bottom w:val="nil"/>
                <w:right w:val="nil"/>
                <w:between w:val="nil"/>
              </w:pBdr>
              <w:jc w:val="right"/>
              <w:rPr>
                <w:i/>
                <w:color w:val="0000FF"/>
              </w:rPr>
            </w:pPr>
          </w:p>
        </w:tc>
        <w:tc>
          <w:tcPr>
            <w:tcW w:w="850" w:type="dxa"/>
          </w:tcPr>
          <w:p w14:paraId="415EFEF4" w14:textId="77777777" w:rsidR="008E5DE4" w:rsidRDefault="008E5DE4">
            <w:pPr>
              <w:widowControl w:val="0"/>
              <w:pBdr>
                <w:top w:val="nil"/>
                <w:left w:val="nil"/>
                <w:bottom w:val="nil"/>
                <w:right w:val="nil"/>
                <w:between w:val="nil"/>
              </w:pBdr>
              <w:jc w:val="right"/>
              <w:rPr>
                <w:i/>
                <w:color w:val="0000FF"/>
              </w:rPr>
            </w:pPr>
          </w:p>
        </w:tc>
      </w:tr>
      <w:tr w:rsidR="008E5DE4" w14:paraId="1D35F45B" w14:textId="77777777">
        <w:trPr>
          <w:cantSplit/>
        </w:trPr>
        <w:tc>
          <w:tcPr>
            <w:tcW w:w="2551" w:type="dxa"/>
            <w:tcBorders>
              <w:bottom w:val="single" w:sz="4" w:space="0" w:color="000000"/>
            </w:tcBorders>
            <w:vAlign w:val="bottom"/>
          </w:tcPr>
          <w:p w14:paraId="47941FBF" w14:textId="77777777" w:rsidR="008E5DE4" w:rsidRDefault="008E5DE4">
            <w:pPr>
              <w:widowControl w:val="0"/>
              <w:pBdr>
                <w:top w:val="nil"/>
                <w:left w:val="nil"/>
                <w:bottom w:val="nil"/>
                <w:right w:val="nil"/>
                <w:between w:val="nil"/>
              </w:pBdr>
              <w:rPr>
                <w:color w:val="0000FF"/>
              </w:rPr>
            </w:pPr>
          </w:p>
        </w:tc>
        <w:tc>
          <w:tcPr>
            <w:tcW w:w="567" w:type="dxa"/>
            <w:tcBorders>
              <w:bottom w:val="single" w:sz="4" w:space="0" w:color="000000"/>
            </w:tcBorders>
            <w:vAlign w:val="bottom"/>
          </w:tcPr>
          <w:p w14:paraId="1892B389"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4EFE5DBE"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0F5F2D19" w14:textId="77777777" w:rsidR="008E5DE4" w:rsidRDefault="008E5DE4">
            <w:pPr>
              <w:widowControl w:val="0"/>
              <w:pBdr>
                <w:top w:val="nil"/>
                <w:left w:val="nil"/>
                <w:bottom w:val="nil"/>
                <w:right w:val="nil"/>
                <w:between w:val="nil"/>
              </w:pBdr>
              <w:jc w:val="right"/>
              <w:rPr>
                <w:i/>
                <w:color w:val="0000FF"/>
              </w:rPr>
            </w:pPr>
          </w:p>
        </w:tc>
        <w:tc>
          <w:tcPr>
            <w:tcW w:w="851" w:type="dxa"/>
            <w:tcBorders>
              <w:bottom w:val="single" w:sz="4" w:space="0" w:color="000000"/>
            </w:tcBorders>
          </w:tcPr>
          <w:p w14:paraId="5151E136" w14:textId="77777777" w:rsidR="008E5DE4" w:rsidRDefault="008E5DE4">
            <w:pPr>
              <w:widowControl w:val="0"/>
              <w:pBdr>
                <w:top w:val="nil"/>
                <w:left w:val="nil"/>
                <w:bottom w:val="nil"/>
                <w:right w:val="nil"/>
                <w:between w:val="nil"/>
              </w:pBdr>
              <w:jc w:val="right"/>
              <w:rPr>
                <w:i/>
                <w:color w:val="0000FF"/>
              </w:rPr>
            </w:pPr>
          </w:p>
        </w:tc>
        <w:tc>
          <w:tcPr>
            <w:tcW w:w="568" w:type="dxa"/>
            <w:tcBorders>
              <w:bottom w:val="single" w:sz="4" w:space="0" w:color="000000"/>
            </w:tcBorders>
            <w:vAlign w:val="bottom"/>
          </w:tcPr>
          <w:p w14:paraId="4D39B93F"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3A847D8E"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07D177FF" w14:textId="77777777" w:rsidR="008E5DE4" w:rsidRDefault="008E5DE4">
            <w:pPr>
              <w:widowControl w:val="0"/>
              <w:pBdr>
                <w:top w:val="nil"/>
                <w:left w:val="nil"/>
                <w:bottom w:val="nil"/>
                <w:right w:val="nil"/>
                <w:between w:val="nil"/>
              </w:pBdr>
              <w:jc w:val="right"/>
              <w:rPr>
                <w:i/>
                <w:color w:val="0000FF"/>
              </w:rPr>
            </w:pPr>
          </w:p>
        </w:tc>
        <w:tc>
          <w:tcPr>
            <w:tcW w:w="850" w:type="dxa"/>
            <w:tcBorders>
              <w:bottom w:val="single" w:sz="4" w:space="0" w:color="000000"/>
            </w:tcBorders>
          </w:tcPr>
          <w:p w14:paraId="09F52916" w14:textId="77777777" w:rsidR="008E5DE4" w:rsidRDefault="008E5DE4">
            <w:pPr>
              <w:widowControl w:val="0"/>
              <w:pBdr>
                <w:top w:val="nil"/>
                <w:left w:val="nil"/>
                <w:bottom w:val="nil"/>
                <w:right w:val="nil"/>
                <w:between w:val="nil"/>
              </w:pBdr>
              <w:jc w:val="right"/>
              <w:rPr>
                <w:i/>
                <w:color w:val="0000FF"/>
              </w:rPr>
            </w:pPr>
          </w:p>
        </w:tc>
      </w:tr>
      <w:tr w:rsidR="008E5DE4" w14:paraId="65647D3A" w14:textId="77777777">
        <w:trPr>
          <w:cantSplit/>
        </w:trPr>
        <w:tc>
          <w:tcPr>
            <w:tcW w:w="2551" w:type="dxa"/>
            <w:tcBorders>
              <w:top w:val="single" w:sz="4" w:space="0" w:color="000000"/>
            </w:tcBorders>
            <w:vAlign w:val="bottom"/>
          </w:tcPr>
          <w:p w14:paraId="39EC05D9" w14:textId="77777777" w:rsidR="008E5DE4" w:rsidRDefault="008E5DE4">
            <w:pPr>
              <w:widowControl w:val="0"/>
              <w:pBdr>
                <w:top w:val="nil"/>
                <w:left w:val="nil"/>
                <w:bottom w:val="nil"/>
                <w:right w:val="nil"/>
                <w:between w:val="nil"/>
              </w:pBdr>
              <w:rPr>
                <w:color w:val="000000"/>
              </w:rPr>
            </w:pPr>
          </w:p>
        </w:tc>
        <w:tc>
          <w:tcPr>
            <w:tcW w:w="567" w:type="dxa"/>
            <w:tcBorders>
              <w:top w:val="single" w:sz="4" w:space="0" w:color="000000"/>
            </w:tcBorders>
            <w:vAlign w:val="bottom"/>
          </w:tcPr>
          <w:p w14:paraId="2EA937EA"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2CD2DCEF"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307276E5" w14:textId="77777777" w:rsidR="008E5DE4" w:rsidRDefault="008E5DE4">
            <w:pPr>
              <w:widowControl w:val="0"/>
              <w:pBdr>
                <w:top w:val="nil"/>
                <w:left w:val="nil"/>
                <w:bottom w:val="nil"/>
                <w:right w:val="nil"/>
                <w:between w:val="nil"/>
              </w:pBdr>
              <w:jc w:val="right"/>
              <w:rPr>
                <w:i/>
                <w:color w:val="0000FF"/>
              </w:rPr>
            </w:pPr>
          </w:p>
        </w:tc>
        <w:tc>
          <w:tcPr>
            <w:tcW w:w="851" w:type="dxa"/>
            <w:tcBorders>
              <w:top w:val="single" w:sz="4" w:space="0" w:color="000000"/>
            </w:tcBorders>
          </w:tcPr>
          <w:p w14:paraId="32480044" w14:textId="77777777" w:rsidR="008E5DE4" w:rsidRDefault="008E5DE4">
            <w:pPr>
              <w:widowControl w:val="0"/>
              <w:pBdr>
                <w:top w:val="nil"/>
                <w:left w:val="nil"/>
                <w:bottom w:val="nil"/>
                <w:right w:val="nil"/>
                <w:between w:val="nil"/>
              </w:pBdr>
              <w:jc w:val="right"/>
              <w:rPr>
                <w:i/>
                <w:color w:val="0000FF"/>
              </w:rPr>
            </w:pPr>
          </w:p>
        </w:tc>
        <w:tc>
          <w:tcPr>
            <w:tcW w:w="568" w:type="dxa"/>
            <w:tcBorders>
              <w:top w:val="single" w:sz="4" w:space="0" w:color="000000"/>
            </w:tcBorders>
            <w:vAlign w:val="bottom"/>
          </w:tcPr>
          <w:p w14:paraId="0F3EF8B6"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7DD826F2"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685B0108" w14:textId="77777777" w:rsidR="008E5DE4" w:rsidRDefault="008E5DE4">
            <w:pPr>
              <w:widowControl w:val="0"/>
              <w:pBdr>
                <w:top w:val="nil"/>
                <w:left w:val="nil"/>
                <w:bottom w:val="nil"/>
                <w:right w:val="nil"/>
                <w:between w:val="nil"/>
              </w:pBdr>
              <w:jc w:val="right"/>
              <w:rPr>
                <w:i/>
                <w:color w:val="0000FF"/>
              </w:rPr>
            </w:pPr>
          </w:p>
        </w:tc>
        <w:tc>
          <w:tcPr>
            <w:tcW w:w="850" w:type="dxa"/>
            <w:tcBorders>
              <w:top w:val="single" w:sz="4" w:space="0" w:color="000000"/>
            </w:tcBorders>
          </w:tcPr>
          <w:p w14:paraId="06437823" w14:textId="77777777" w:rsidR="008E5DE4" w:rsidRDefault="008E5DE4">
            <w:pPr>
              <w:widowControl w:val="0"/>
              <w:pBdr>
                <w:top w:val="nil"/>
                <w:left w:val="nil"/>
                <w:bottom w:val="nil"/>
                <w:right w:val="nil"/>
                <w:between w:val="nil"/>
              </w:pBdr>
              <w:jc w:val="right"/>
              <w:rPr>
                <w:i/>
                <w:color w:val="0000FF"/>
              </w:rPr>
            </w:pPr>
          </w:p>
        </w:tc>
      </w:tr>
      <w:tr w:rsidR="008E5DE4" w14:paraId="36E2524E" w14:textId="77777777">
        <w:trPr>
          <w:cantSplit/>
        </w:trPr>
        <w:tc>
          <w:tcPr>
            <w:tcW w:w="2551" w:type="dxa"/>
            <w:vAlign w:val="bottom"/>
          </w:tcPr>
          <w:p w14:paraId="5B2501D8" w14:textId="77777777" w:rsidR="008E5DE4" w:rsidRDefault="00780368">
            <w:pPr>
              <w:widowControl w:val="0"/>
              <w:pBdr>
                <w:top w:val="nil"/>
                <w:left w:val="nil"/>
                <w:bottom w:val="nil"/>
                <w:right w:val="nil"/>
                <w:between w:val="nil"/>
              </w:pBdr>
              <w:rPr>
                <w:color w:val="000000"/>
              </w:rPr>
            </w:pPr>
            <w:r>
              <w:rPr>
                <w:b/>
                <w:color w:val="000000"/>
              </w:rPr>
              <w:t xml:space="preserve">Total </w:t>
            </w:r>
          </w:p>
        </w:tc>
        <w:tc>
          <w:tcPr>
            <w:tcW w:w="567" w:type="dxa"/>
            <w:vAlign w:val="bottom"/>
          </w:tcPr>
          <w:p w14:paraId="35C4AB43"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54EB037A"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56F14CDD" w14:textId="77777777" w:rsidR="008E5DE4" w:rsidRDefault="008E5DE4">
            <w:pPr>
              <w:widowControl w:val="0"/>
              <w:pBdr>
                <w:top w:val="nil"/>
                <w:left w:val="nil"/>
                <w:bottom w:val="nil"/>
                <w:right w:val="nil"/>
                <w:between w:val="nil"/>
              </w:pBdr>
              <w:jc w:val="right"/>
              <w:rPr>
                <w:i/>
                <w:color w:val="0000FF"/>
              </w:rPr>
            </w:pPr>
          </w:p>
        </w:tc>
        <w:tc>
          <w:tcPr>
            <w:tcW w:w="851" w:type="dxa"/>
          </w:tcPr>
          <w:p w14:paraId="021EA98F"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6D5B7C4F"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69BCC6BB"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0A20D139" w14:textId="77777777" w:rsidR="008E5DE4" w:rsidRDefault="008E5DE4">
            <w:pPr>
              <w:widowControl w:val="0"/>
              <w:pBdr>
                <w:top w:val="nil"/>
                <w:left w:val="nil"/>
                <w:bottom w:val="nil"/>
                <w:right w:val="nil"/>
                <w:between w:val="nil"/>
              </w:pBdr>
              <w:jc w:val="right"/>
              <w:rPr>
                <w:i/>
                <w:color w:val="0000FF"/>
              </w:rPr>
            </w:pPr>
          </w:p>
        </w:tc>
        <w:tc>
          <w:tcPr>
            <w:tcW w:w="850" w:type="dxa"/>
          </w:tcPr>
          <w:p w14:paraId="280730A8" w14:textId="77777777" w:rsidR="008E5DE4" w:rsidRDefault="008E5DE4">
            <w:pPr>
              <w:widowControl w:val="0"/>
              <w:pBdr>
                <w:top w:val="nil"/>
                <w:left w:val="nil"/>
                <w:bottom w:val="nil"/>
                <w:right w:val="nil"/>
                <w:between w:val="nil"/>
              </w:pBdr>
              <w:jc w:val="right"/>
              <w:rPr>
                <w:i/>
                <w:color w:val="0000FF"/>
              </w:rPr>
            </w:pPr>
          </w:p>
        </w:tc>
      </w:tr>
      <w:tr w:rsidR="008E5DE4" w14:paraId="62485149" w14:textId="77777777">
        <w:trPr>
          <w:cantSplit/>
        </w:trPr>
        <w:tc>
          <w:tcPr>
            <w:tcW w:w="2551" w:type="dxa"/>
            <w:tcBorders>
              <w:bottom w:val="single" w:sz="12" w:space="0" w:color="000000"/>
            </w:tcBorders>
            <w:vAlign w:val="bottom"/>
          </w:tcPr>
          <w:p w14:paraId="237C59CC" w14:textId="77777777" w:rsidR="008E5DE4" w:rsidRDefault="008E5DE4">
            <w:pPr>
              <w:widowControl w:val="0"/>
              <w:pBdr>
                <w:top w:val="nil"/>
                <w:left w:val="nil"/>
                <w:bottom w:val="nil"/>
                <w:right w:val="nil"/>
                <w:between w:val="nil"/>
              </w:pBdr>
              <w:rPr>
                <w:color w:val="000000"/>
              </w:rPr>
            </w:pPr>
          </w:p>
        </w:tc>
        <w:tc>
          <w:tcPr>
            <w:tcW w:w="567" w:type="dxa"/>
            <w:tcBorders>
              <w:bottom w:val="single" w:sz="12" w:space="0" w:color="000000"/>
            </w:tcBorders>
            <w:vAlign w:val="bottom"/>
          </w:tcPr>
          <w:p w14:paraId="748DAA51"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79CBE301"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1DD087B0" w14:textId="77777777" w:rsidR="008E5DE4" w:rsidRDefault="008E5DE4">
            <w:pPr>
              <w:widowControl w:val="0"/>
              <w:pBdr>
                <w:top w:val="nil"/>
                <w:left w:val="nil"/>
                <w:bottom w:val="nil"/>
                <w:right w:val="nil"/>
                <w:between w:val="nil"/>
              </w:pBdr>
              <w:jc w:val="right"/>
              <w:rPr>
                <w:i/>
                <w:color w:val="0000FF"/>
              </w:rPr>
            </w:pPr>
          </w:p>
        </w:tc>
        <w:tc>
          <w:tcPr>
            <w:tcW w:w="851" w:type="dxa"/>
            <w:tcBorders>
              <w:bottom w:val="single" w:sz="12" w:space="0" w:color="000000"/>
            </w:tcBorders>
          </w:tcPr>
          <w:p w14:paraId="63F23B2F" w14:textId="77777777" w:rsidR="008E5DE4" w:rsidRDefault="008E5DE4">
            <w:pPr>
              <w:widowControl w:val="0"/>
              <w:pBdr>
                <w:top w:val="nil"/>
                <w:left w:val="nil"/>
                <w:bottom w:val="nil"/>
                <w:right w:val="nil"/>
                <w:between w:val="nil"/>
              </w:pBdr>
              <w:jc w:val="right"/>
              <w:rPr>
                <w:i/>
                <w:color w:val="0000FF"/>
              </w:rPr>
            </w:pPr>
          </w:p>
        </w:tc>
        <w:tc>
          <w:tcPr>
            <w:tcW w:w="568" w:type="dxa"/>
            <w:tcBorders>
              <w:bottom w:val="single" w:sz="12" w:space="0" w:color="000000"/>
            </w:tcBorders>
            <w:vAlign w:val="bottom"/>
          </w:tcPr>
          <w:p w14:paraId="5ED56884"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3C17861E"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6D80F188" w14:textId="77777777" w:rsidR="008E5DE4" w:rsidRDefault="008E5DE4">
            <w:pPr>
              <w:widowControl w:val="0"/>
              <w:pBdr>
                <w:top w:val="nil"/>
                <w:left w:val="nil"/>
                <w:bottom w:val="nil"/>
                <w:right w:val="nil"/>
                <w:between w:val="nil"/>
              </w:pBdr>
              <w:jc w:val="right"/>
              <w:rPr>
                <w:i/>
                <w:color w:val="0000FF"/>
              </w:rPr>
            </w:pPr>
          </w:p>
        </w:tc>
        <w:tc>
          <w:tcPr>
            <w:tcW w:w="850" w:type="dxa"/>
            <w:tcBorders>
              <w:bottom w:val="single" w:sz="12" w:space="0" w:color="000000"/>
            </w:tcBorders>
          </w:tcPr>
          <w:p w14:paraId="06BED6EF" w14:textId="77777777" w:rsidR="008E5DE4" w:rsidRDefault="008E5DE4">
            <w:pPr>
              <w:widowControl w:val="0"/>
              <w:pBdr>
                <w:top w:val="nil"/>
                <w:left w:val="nil"/>
                <w:bottom w:val="nil"/>
                <w:right w:val="nil"/>
                <w:between w:val="nil"/>
              </w:pBdr>
              <w:jc w:val="right"/>
              <w:rPr>
                <w:i/>
                <w:color w:val="0000FF"/>
              </w:rPr>
            </w:pPr>
          </w:p>
        </w:tc>
      </w:tr>
    </w:tbl>
    <w:p w14:paraId="0B633BC8" w14:textId="77777777" w:rsidR="008E5DE4" w:rsidRDefault="008E5DE4">
      <w:pPr>
        <w:widowControl w:val="0"/>
        <w:jc w:val="both"/>
        <w:rPr>
          <w:sz w:val="20"/>
          <w:szCs w:val="20"/>
        </w:rPr>
      </w:pPr>
    </w:p>
    <w:p w14:paraId="78F92E76" w14:textId="01D4847A" w:rsidR="008E5DE4" w:rsidRDefault="00780368">
      <w:pPr>
        <w:widowControl w:val="0"/>
        <w:spacing w:after="200"/>
        <w:jc w:val="both"/>
        <w:rPr>
          <w:sz w:val="20"/>
          <w:szCs w:val="20"/>
        </w:rPr>
      </w:pPr>
      <w:r>
        <w:rPr>
          <w:sz w:val="20"/>
          <w:szCs w:val="20"/>
        </w:rPr>
        <w:t>The total amount of undiscounted ECLs at initial recognition for POCI financial assets recognised during the period was EUR ____ thousand (</w:t>
      </w:r>
      <w:r w:rsidR="00FF468A">
        <w:rPr>
          <w:sz w:val="20"/>
          <w:szCs w:val="20"/>
        </w:rPr>
        <w:t>2024</w:t>
      </w:r>
      <w:r>
        <w:rPr>
          <w:sz w:val="20"/>
          <w:szCs w:val="20"/>
        </w:rPr>
        <w:t xml:space="preserve"> – EUR__ thousand). </w:t>
      </w:r>
    </w:p>
    <w:p w14:paraId="0A7857A9"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20</w:t>
      </w:r>
      <w:r>
        <w:rPr>
          <w:b/>
          <w:color w:val="000000"/>
          <w:sz w:val="20"/>
          <w:szCs w:val="20"/>
        </w:rPr>
        <w:tab/>
        <w:t>Trade and Other Receivables (Continued)</w:t>
      </w:r>
    </w:p>
    <w:p w14:paraId="45C7AC5C" w14:textId="64B735F1" w:rsidR="008E5DE4" w:rsidRDefault="00780368">
      <w:pPr>
        <w:widowControl w:val="0"/>
        <w:spacing w:before="200" w:after="200"/>
        <w:jc w:val="both"/>
        <w:rPr>
          <w:i/>
          <w:color w:val="FF0000"/>
          <w:sz w:val="20"/>
          <w:szCs w:val="20"/>
        </w:rPr>
      </w:pPr>
      <w:r>
        <w:rPr>
          <w:sz w:val="20"/>
          <w:szCs w:val="20"/>
        </w:rPr>
        <w:t>The following table explains the changes in the credit loss allowance for trade receivables under simplified ECL model between the beginning and the end of the annual period</w:t>
      </w:r>
      <w:r w:rsidR="006F68D0">
        <w:rPr>
          <w:sz w:val="20"/>
          <w:szCs w:val="20"/>
        </w:rPr>
        <w:t>:</w:t>
      </w:r>
    </w:p>
    <w:tbl>
      <w:tblPr>
        <w:tblStyle w:val="afffff8"/>
        <w:tblW w:w="9355" w:type="dxa"/>
        <w:tblLayout w:type="fixed"/>
        <w:tblLook w:val="0000" w:firstRow="0" w:lastRow="0" w:firstColumn="0" w:lastColumn="0" w:noHBand="0" w:noVBand="0"/>
      </w:tblPr>
      <w:tblGrid>
        <w:gridCol w:w="6293"/>
        <w:gridCol w:w="1531"/>
        <w:gridCol w:w="1531"/>
      </w:tblGrid>
      <w:tr w:rsidR="008E5DE4" w14:paraId="1DC5F66B" w14:textId="77777777">
        <w:trPr>
          <w:cantSplit/>
          <w:tblHeader/>
        </w:trPr>
        <w:tc>
          <w:tcPr>
            <w:tcW w:w="6293" w:type="dxa"/>
            <w:tcBorders>
              <w:bottom w:val="single" w:sz="4" w:space="0" w:color="000000"/>
            </w:tcBorders>
            <w:vAlign w:val="bottom"/>
          </w:tcPr>
          <w:p w14:paraId="182C2795" w14:textId="77777777" w:rsidR="008E5DE4" w:rsidRDefault="00780368">
            <w:pPr>
              <w:widowControl w:val="0"/>
              <w:pBdr>
                <w:top w:val="nil"/>
                <w:left w:val="nil"/>
                <w:bottom w:val="nil"/>
                <w:right w:val="nil"/>
                <w:between w:val="nil"/>
              </w:pBdr>
              <w:rPr>
                <w:i/>
                <w:color w:val="000000"/>
              </w:rPr>
            </w:pPr>
            <w:r>
              <w:rPr>
                <w:i/>
                <w:color w:val="000000"/>
              </w:rPr>
              <w:t>in thousands of EUR</w:t>
            </w:r>
          </w:p>
        </w:tc>
        <w:tc>
          <w:tcPr>
            <w:tcW w:w="1531" w:type="dxa"/>
            <w:tcBorders>
              <w:bottom w:val="single" w:sz="4" w:space="0" w:color="000000"/>
            </w:tcBorders>
          </w:tcPr>
          <w:p w14:paraId="70F730A7" w14:textId="1C3A50EA" w:rsidR="008E5DE4" w:rsidRDefault="008614F8">
            <w:pPr>
              <w:widowControl w:val="0"/>
              <w:pBdr>
                <w:top w:val="nil"/>
                <w:left w:val="nil"/>
                <w:bottom w:val="nil"/>
                <w:right w:val="nil"/>
                <w:between w:val="nil"/>
              </w:pBdr>
              <w:ind w:left="-113"/>
              <w:jc w:val="right"/>
              <w:rPr>
                <w:b/>
                <w:color w:val="000000"/>
              </w:rPr>
            </w:pPr>
            <w:r>
              <w:rPr>
                <w:b/>
                <w:color w:val="000000"/>
              </w:rPr>
              <w:t>2025</w:t>
            </w:r>
          </w:p>
        </w:tc>
        <w:tc>
          <w:tcPr>
            <w:tcW w:w="1531" w:type="dxa"/>
            <w:tcBorders>
              <w:bottom w:val="single" w:sz="4" w:space="0" w:color="000000"/>
            </w:tcBorders>
          </w:tcPr>
          <w:p w14:paraId="56127958" w14:textId="7D52BDB6" w:rsidR="008E5DE4" w:rsidRDefault="00FF468A">
            <w:pPr>
              <w:widowControl w:val="0"/>
              <w:pBdr>
                <w:top w:val="nil"/>
                <w:left w:val="nil"/>
                <w:bottom w:val="nil"/>
                <w:right w:val="nil"/>
                <w:between w:val="nil"/>
              </w:pBdr>
              <w:ind w:left="-113"/>
              <w:jc w:val="right"/>
              <w:rPr>
                <w:b/>
                <w:color w:val="000000"/>
              </w:rPr>
            </w:pPr>
            <w:r>
              <w:rPr>
                <w:b/>
                <w:color w:val="000000"/>
              </w:rPr>
              <w:t>2024</w:t>
            </w:r>
          </w:p>
        </w:tc>
      </w:tr>
      <w:tr w:rsidR="008E5DE4" w14:paraId="5B80655D" w14:textId="77777777">
        <w:trPr>
          <w:cantSplit/>
          <w:tblHeader/>
        </w:trPr>
        <w:tc>
          <w:tcPr>
            <w:tcW w:w="6293" w:type="dxa"/>
            <w:vAlign w:val="bottom"/>
          </w:tcPr>
          <w:p w14:paraId="4E8B2B5B" w14:textId="77777777" w:rsidR="008E5DE4" w:rsidRDefault="008E5DE4">
            <w:pPr>
              <w:widowControl w:val="0"/>
            </w:pPr>
          </w:p>
        </w:tc>
        <w:tc>
          <w:tcPr>
            <w:tcW w:w="1531" w:type="dxa"/>
            <w:vAlign w:val="bottom"/>
          </w:tcPr>
          <w:p w14:paraId="4C0B1CA6" w14:textId="77777777" w:rsidR="008E5DE4" w:rsidRDefault="008E5DE4">
            <w:pPr>
              <w:widowControl w:val="0"/>
              <w:pBdr>
                <w:top w:val="nil"/>
                <w:left w:val="nil"/>
                <w:bottom w:val="nil"/>
                <w:right w:val="nil"/>
                <w:between w:val="nil"/>
              </w:pBdr>
              <w:jc w:val="right"/>
              <w:rPr>
                <w:color w:val="000000"/>
              </w:rPr>
            </w:pPr>
          </w:p>
        </w:tc>
        <w:tc>
          <w:tcPr>
            <w:tcW w:w="1531" w:type="dxa"/>
          </w:tcPr>
          <w:p w14:paraId="6156D6EE" w14:textId="77777777" w:rsidR="008E5DE4" w:rsidRDefault="008E5DE4">
            <w:pPr>
              <w:widowControl w:val="0"/>
              <w:pBdr>
                <w:top w:val="nil"/>
                <w:left w:val="nil"/>
                <w:bottom w:val="nil"/>
                <w:right w:val="nil"/>
                <w:between w:val="nil"/>
              </w:pBdr>
              <w:jc w:val="right"/>
              <w:rPr>
                <w:color w:val="000000"/>
              </w:rPr>
            </w:pPr>
          </w:p>
        </w:tc>
      </w:tr>
      <w:tr w:rsidR="008E5DE4" w14:paraId="34E12341" w14:textId="77777777">
        <w:trPr>
          <w:cantSplit/>
        </w:trPr>
        <w:tc>
          <w:tcPr>
            <w:tcW w:w="6293" w:type="dxa"/>
            <w:vAlign w:val="bottom"/>
          </w:tcPr>
          <w:p w14:paraId="67BD991E" w14:textId="77777777" w:rsidR="008E5DE4" w:rsidRDefault="00780368">
            <w:pPr>
              <w:widowControl w:val="0"/>
              <w:pBdr>
                <w:top w:val="nil"/>
                <w:left w:val="nil"/>
                <w:bottom w:val="nil"/>
                <w:right w:val="nil"/>
                <w:between w:val="nil"/>
              </w:pBdr>
              <w:ind w:left="170" w:hanging="170"/>
              <w:rPr>
                <w:b/>
                <w:color w:val="0000FF"/>
              </w:rPr>
            </w:pPr>
            <w:r>
              <w:rPr>
                <w:b/>
                <w:color w:val="000000"/>
              </w:rPr>
              <w:t xml:space="preserve">Allowance for credit losses on trade receivables </w:t>
            </w:r>
            <w:proofErr w:type="gramStart"/>
            <w:r>
              <w:rPr>
                <w:b/>
                <w:color w:val="000000"/>
              </w:rPr>
              <w:t>at</w:t>
            </w:r>
            <w:proofErr w:type="gramEnd"/>
            <w:r>
              <w:rPr>
                <w:b/>
                <w:color w:val="000000"/>
              </w:rPr>
              <w:t xml:space="preserve"> 1 January</w:t>
            </w:r>
          </w:p>
        </w:tc>
        <w:tc>
          <w:tcPr>
            <w:tcW w:w="1531" w:type="dxa"/>
            <w:vAlign w:val="bottom"/>
          </w:tcPr>
          <w:p w14:paraId="6FA80929" w14:textId="77777777" w:rsidR="008E5DE4" w:rsidRDefault="008E5DE4">
            <w:pPr>
              <w:widowControl w:val="0"/>
              <w:pBdr>
                <w:top w:val="nil"/>
                <w:left w:val="nil"/>
                <w:bottom w:val="nil"/>
                <w:right w:val="nil"/>
                <w:between w:val="nil"/>
              </w:pBdr>
              <w:jc w:val="right"/>
              <w:rPr>
                <w:color w:val="000000"/>
              </w:rPr>
            </w:pPr>
          </w:p>
        </w:tc>
        <w:tc>
          <w:tcPr>
            <w:tcW w:w="1531" w:type="dxa"/>
          </w:tcPr>
          <w:p w14:paraId="1C744E00" w14:textId="77777777" w:rsidR="008E5DE4" w:rsidRDefault="008E5DE4">
            <w:pPr>
              <w:widowControl w:val="0"/>
              <w:pBdr>
                <w:top w:val="nil"/>
                <w:left w:val="nil"/>
                <w:bottom w:val="nil"/>
                <w:right w:val="nil"/>
                <w:between w:val="nil"/>
              </w:pBdr>
              <w:jc w:val="right"/>
              <w:rPr>
                <w:color w:val="000000"/>
              </w:rPr>
            </w:pPr>
          </w:p>
        </w:tc>
      </w:tr>
      <w:tr w:rsidR="008E5DE4" w14:paraId="1B3E883D" w14:textId="77777777">
        <w:trPr>
          <w:cantSplit/>
        </w:trPr>
        <w:tc>
          <w:tcPr>
            <w:tcW w:w="6293" w:type="dxa"/>
            <w:vAlign w:val="bottom"/>
          </w:tcPr>
          <w:p w14:paraId="3C123281" w14:textId="77777777" w:rsidR="008E5DE4" w:rsidRDefault="008E5DE4">
            <w:pPr>
              <w:widowControl w:val="0"/>
              <w:pBdr>
                <w:top w:val="nil"/>
                <w:left w:val="nil"/>
                <w:bottom w:val="nil"/>
                <w:right w:val="nil"/>
                <w:between w:val="nil"/>
              </w:pBdr>
              <w:ind w:left="170" w:hanging="170"/>
              <w:rPr>
                <w:b/>
                <w:color w:val="000000"/>
              </w:rPr>
            </w:pPr>
          </w:p>
        </w:tc>
        <w:tc>
          <w:tcPr>
            <w:tcW w:w="1531" w:type="dxa"/>
            <w:vAlign w:val="bottom"/>
          </w:tcPr>
          <w:p w14:paraId="21285A0E" w14:textId="77777777" w:rsidR="008E5DE4" w:rsidRDefault="008E5DE4">
            <w:pPr>
              <w:widowControl w:val="0"/>
              <w:pBdr>
                <w:top w:val="nil"/>
                <w:left w:val="nil"/>
                <w:bottom w:val="nil"/>
                <w:right w:val="nil"/>
                <w:between w:val="nil"/>
              </w:pBdr>
              <w:jc w:val="right"/>
              <w:rPr>
                <w:color w:val="000000"/>
              </w:rPr>
            </w:pPr>
          </w:p>
        </w:tc>
        <w:tc>
          <w:tcPr>
            <w:tcW w:w="1531" w:type="dxa"/>
          </w:tcPr>
          <w:p w14:paraId="241380BD" w14:textId="77777777" w:rsidR="008E5DE4" w:rsidRDefault="008E5DE4">
            <w:pPr>
              <w:widowControl w:val="0"/>
              <w:pBdr>
                <w:top w:val="nil"/>
                <w:left w:val="nil"/>
                <w:bottom w:val="nil"/>
                <w:right w:val="nil"/>
                <w:between w:val="nil"/>
              </w:pBdr>
              <w:jc w:val="right"/>
              <w:rPr>
                <w:color w:val="000000"/>
              </w:rPr>
            </w:pPr>
          </w:p>
        </w:tc>
      </w:tr>
      <w:tr w:rsidR="008E5DE4" w14:paraId="5DCF749A" w14:textId="77777777">
        <w:trPr>
          <w:cantSplit/>
        </w:trPr>
        <w:tc>
          <w:tcPr>
            <w:tcW w:w="6293" w:type="dxa"/>
            <w:vAlign w:val="bottom"/>
          </w:tcPr>
          <w:p w14:paraId="48FD3AC4" w14:textId="77777777" w:rsidR="008E5DE4" w:rsidRDefault="00780368">
            <w:pPr>
              <w:widowControl w:val="0"/>
              <w:pBdr>
                <w:top w:val="nil"/>
                <w:left w:val="nil"/>
                <w:bottom w:val="nil"/>
                <w:right w:val="nil"/>
                <w:between w:val="nil"/>
              </w:pBdr>
              <w:ind w:left="170" w:hanging="170"/>
              <w:rPr>
                <w:color w:val="000000"/>
              </w:rPr>
            </w:pPr>
            <w:r>
              <w:rPr>
                <w:color w:val="000000"/>
              </w:rPr>
              <w:t>New originated or purchased</w:t>
            </w:r>
          </w:p>
        </w:tc>
        <w:tc>
          <w:tcPr>
            <w:tcW w:w="1531" w:type="dxa"/>
            <w:vAlign w:val="bottom"/>
          </w:tcPr>
          <w:p w14:paraId="35C44A4B" w14:textId="77777777" w:rsidR="008E5DE4" w:rsidRDefault="008E5DE4">
            <w:pPr>
              <w:widowControl w:val="0"/>
              <w:pBdr>
                <w:top w:val="nil"/>
                <w:left w:val="nil"/>
                <w:bottom w:val="nil"/>
                <w:right w:val="nil"/>
                <w:between w:val="nil"/>
              </w:pBdr>
              <w:jc w:val="right"/>
              <w:rPr>
                <w:color w:val="000000"/>
              </w:rPr>
            </w:pPr>
          </w:p>
        </w:tc>
        <w:tc>
          <w:tcPr>
            <w:tcW w:w="1531" w:type="dxa"/>
          </w:tcPr>
          <w:p w14:paraId="4662F7F6" w14:textId="77777777" w:rsidR="008E5DE4" w:rsidRDefault="008E5DE4">
            <w:pPr>
              <w:widowControl w:val="0"/>
              <w:pBdr>
                <w:top w:val="nil"/>
                <w:left w:val="nil"/>
                <w:bottom w:val="nil"/>
                <w:right w:val="nil"/>
                <w:between w:val="nil"/>
              </w:pBdr>
              <w:jc w:val="right"/>
              <w:rPr>
                <w:color w:val="000000"/>
              </w:rPr>
            </w:pPr>
          </w:p>
        </w:tc>
      </w:tr>
      <w:tr w:rsidR="008E5DE4" w14:paraId="5AE1AAA5" w14:textId="77777777">
        <w:trPr>
          <w:cantSplit/>
        </w:trPr>
        <w:tc>
          <w:tcPr>
            <w:tcW w:w="6293" w:type="dxa"/>
            <w:vAlign w:val="bottom"/>
          </w:tcPr>
          <w:p w14:paraId="7AB928C9" w14:textId="77777777" w:rsidR="008E5DE4" w:rsidRDefault="00780368">
            <w:pPr>
              <w:widowControl w:val="0"/>
              <w:pBdr>
                <w:top w:val="nil"/>
                <w:left w:val="nil"/>
                <w:bottom w:val="nil"/>
                <w:right w:val="nil"/>
                <w:between w:val="nil"/>
              </w:pBdr>
              <w:ind w:left="170" w:hanging="170"/>
              <w:rPr>
                <w:color w:val="000000"/>
              </w:rPr>
            </w:pPr>
            <w:r>
              <w:rPr>
                <w:color w:val="000000"/>
              </w:rPr>
              <w:t>Financial assets derecognised during the period</w:t>
            </w:r>
          </w:p>
        </w:tc>
        <w:tc>
          <w:tcPr>
            <w:tcW w:w="1531" w:type="dxa"/>
            <w:vAlign w:val="bottom"/>
          </w:tcPr>
          <w:p w14:paraId="2C5E95FD" w14:textId="77777777" w:rsidR="008E5DE4" w:rsidRDefault="008E5DE4">
            <w:pPr>
              <w:widowControl w:val="0"/>
              <w:pBdr>
                <w:top w:val="nil"/>
                <w:left w:val="nil"/>
                <w:bottom w:val="nil"/>
                <w:right w:val="nil"/>
                <w:between w:val="nil"/>
              </w:pBdr>
              <w:jc w:val="right"/>
              <w:rPr>
                <w:color w:val="000000"/>
              </w:rPr>
            </w:pPr>
          </w:p>
        </w:tc>
        <w:tc>
          <w:tcPr>
            <w:tcW w:w="1531" w:type="dxa"/>
          </w:tcPr>
          <w:p w14:paraId="43ACE533" w14:textId="77777777" w:rsidR="008E5DE4" w:rsidRDefault="008E5DE4">
            <w:pPr>
              <w:widowControl w:val="0"/>
              <w:pBdr>
                <w:top w:val="nil"/>
                <w:left w:val="nil"/>
                <w:bottom w:val="nil"/>
                <w:right w:val="nil"/>
                <w:between w:val="nil"/>
              </w:pBdr>
              <w:jc w:val="right"/>
              <w:rPr>
                <w:color w:val="000000"/>
              </w:rPr>
            </w:pPr>
          </w:p>
        </w:tc>
      </w:tr>
      <w:tr w:rsidR="008E5DE4" w14:paraId="694E4C31" w14:textId="77777777">
        <w:trPr>
          <w:cantSplit/>
        </w:trPr>
        <w:tc>
          <w:tcPr>
            <w:tcW w:w="6293" w:type="dxa"/>
            <w:vAlign w:val="bottom"/>
          </w:tcPr>
          <w:p w14:paraId="1E5C62F8" w14:textId="77777777" w:rsidR="008E5DE4" w:rsidRDefault="00780368">
            <w:pPr>
              <w:widowControl w:val="0"/>
              <w:pBdr>
                <w:top w:val="nil"/>
                <w:left w:val="nil"/>
                <w:bottom w:val="nil"/>
                <w:right w:val="nil"/>
                <w:between w:val="nil"/>
              </w:pBdr>
              <w:ind w:left="170" w:hanging="170"/>
              <w:rPr>
                <w:color w:val="000000"/>
              </w:rPr>
            </w:pPr>
            <w:r>
              <w:rPr>
                <w:color w:val="000000"/>
              </w:rPr>
              <w:t>Changes in estimates and assumptions</w:t>
            </w:r>
          </w:p>
        </w:tc>
        <w:tc>
          <w:tcPr>
            <w:tcW w:w="1531" w:type="dxa"/>
            <w:vAlign w:val="bottom"/>
          </w:tcPr>
          <w:p w14:paraId="594D9491" w14:textId="77777777" w:rsidR="008E5DE4" w:rsidRDefault="008E5DE4">
            <w:pPr>
              <w:widowControl w:val="0"/>
              <w:pBdr>
                <w:top w:val="nil"/>
                <w:left w:val="nil"/>
                <w:bottom w:val="nil"/>
                <w:right w:val="nil"/>
                <w:between w:val="nil"/>
              </w:pBdr>
              <w:jc w:val="right"/>
              <w:rPr>
                <w:color w:val="000000"/>
              </w:rPr>
            </w:pPr>
          </w:p>
        </w:tc>
        <w:tc>
          <w:tcPr>
            <w:tcW w:w="1531" w:type="dxa"/>
          </w:tcPr>
          <w:p w14:paraId="10495BAA" w14:textId="77777777" w:rsidR="008E5DE4" w:rsidRDefault="008E5DE4">
            <w:pPr>
              <w:widowControl w:val="0"/>
              <w:pBdr>
                <w:top w:val="nil"/>
                <w:left w:val="nil"/>
                <w:bottom w:val="nil"/>
                <w:right w:val="nil"/>
                <w:between w:val="nil"/>
              </w:pBdr>
              <w:jc w:val="right"/>
              <w:rPr>
                <w:color w:val="000000"/>
              </w:rPr>
            </w:pPr>
          </w:p>
        </w:tc>
      </w:tr>
      <w:tr w:rsidR="008E5DE4" w14:paraId="5CC89105" w14:textId="77777777">
        <w:trPr>
          <w:cantSplit/>
        </w:trPr>
        <w:tc>
          <w:tcPr>
            <w:tcW w:w="6293" w:type="dxa"/>
            <w:vAlign w:val="bottom"/>
          </w:tcPr>
          <w:p w14:paraId="7BCDDFEB" w14:textId="77777777" w:rsidR="008E5DE4" w:rsidRDefault="00780368">
            <w:pPr>
              <w:widowControl w:val="0"/>
              <w:pBdr>
                <w:top w:val="nil"/>
                <w:left w:val="nil"/>
                <w:bottom w:val="nil"/>
                <w:right w:val="nil"/>
                <w:between w:val="nil"/>
              </w:pBdr>
              <w:ind w:left="170" w:hanging="170"/>
              <w:rPr>
                <w:color w:val="000000"/>
                <w:vertAlign w:val="superscript"/>
              </w:rPr>
            </w:pPr>
            <w:r>
              <w:rPr>
                <w:color w:val="000000"/>
              </w:rPr>
              <w:t>Other movements</w:t>
            </w:r>
          </w:p>
        </w:tc>
        <w:tc>
          <w:tcPr>
            <w:tcW w:w="1531" w:type="dxa"/>
            <w:vAlign w:val="bottom"/>
          </w:tcPr>
          <w:p w14:paraId="24143EB2" w14:textId="77777777" w:rsidR="008E5DE4" w:rsidRDefault="008E5DE4">
            <w:pPr>
              <w:widowControl w:val="0"/>
              <w:pBdr>
                <w:top w:val="nil"/>
                <w:left w:val="nil"/>
                <w:bottom w:val="nil"/>
                <w:right w:val="nil"/>
                <w:between w:val="nil"/>
              </w:pBdr>
              <w:jc w:val="right"/>
              <w:rPr>
                <w:color w:val="000000"/>
              </w:rPr>
            </w:pPr>
          </w:p>
        </w:tc>
        <w:tc>
          <w:tcPr>
            <w:tcW w:w="1531" w:type="dxa"/>
          </w:tcPr>
          <w:p w14:paraId="37B6041D" w14:textId="77777777" w:rsidR="008E5DE4" w:rsidRDefault="008E5DE4">
            <w:pPr>
              <w:widowControl w:val="0"/>
              <w:pBdr>
                <w:top w:val="nil"/>
                <w:left w:val="nil"/>
                <w:bottom w:val="nil"/>
                <w:right w:val="nil"/>
                <w:between w:val="nil"/>
              </w:pBdr>
              <w:jc w:val="right"/>
              <w:rPr>
                <w:color w:val="000000"/>
              </w:rPr>
            </w:pPr>
          </w:p>
        </w:tc>
      </w:tr>
      <w:tr w:rsidR="008E5DE4" w14:paraId="3604FEE9" w14:textId="77777777">
        <w:trPr>
          <w:cantSplit/>
        </w:trPr>
        <w:tc>
          <w:tcPr>
            <w:tcW w:w="6293" w:type="dxa"/>
            <w:tcBorders>
              <w:bottom w:val="single" w:sz="4" w:space="0" w:color="000000"/>
            </w:tcBorders>
            <w:vAlign w:val="bottom"/>
          </w:tcPr>
          <w:p w14:paraId="15704768" w14:textId="77777777" w:rsidR="008E5DE4" w:rsidRDefault="008E5DE4">
            <w:pPr>
              <w:widowControl w:val="0"/>
              <w:pBdr>
                <w:top w:val="nil"/>
                <w:left w:val="nil"/>
                <w:bottom w:val="nil"/>
                <w:right w:val="nil"/>
                <w:between w:val="nil"/>
              </w:pBdr>
              <w:ind w:left="170" w:hanging="170"/>
              <w:rPr>
                <w:color w:val="000000"/>
              </w:rPr>
            </w:pPr>
          </w:p>
        </w:tc>
        <w:tc>
          <w:tcPr>
            <w:tcW w:w="1531" w:type="dxa"/>
            <w:tcBorders>
              <w:bottom w:val="single" w:sz="4" w:space="0" w:color="000000"/>
            </w:tcBorders>
            <w:vAlign w:val="bottom"/>
          </w:tcPr>
          <w:p w14:paraId="0F702B6A"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tcPr>
          <w:p w14:paraId="5D3E31AF" w14:textId="77777777" w:rsidR="008E5DE4" w:rsidRDefault="008E5DE4">
            <w:pPr>
              <w:widowControl w:val="0"/>
              <w:pBdr>
                <w:top w:val="nil"/>
                <w:left w:val="nil"/>
                <w:bottom w:val="nil"/>
                <w:right w:val="nil"/>
                <w:between w:val="nil"/>
              </w:pBdr>
              <w:jc w:val="right"/>
              <w:rPr>
                <w:color w:val="000000"/>
              </w:rPr>
            </w:pPr>
          </w:p>
        </w:tc>
      </w:tr>
      <w:tr w:rsidR="008E5DE4" w14:paraId="6C90926A" w14:textId="77777777">
        <w:trPr>
          <w:cantSplit/>
        </w:trPr>
        <w:tc>
          <w:tcPr>
            <w:tcW w:w="6293" w:type="dxa"/>
            <w:tcBorders>
              <w:top w:val="single" w:sz="4" w:space="0" w:color="000000"/>
            </w:tcBorders>
            <w:vAlign w:val="bottom"/>
          </w:tcPr>
          <w:p w14:paraId="78B3FF8A" w14:textId="77777777" w:rsidR="008E5DE4" w:rsidRDefault="008E5DE4">
            <w:pPr>
              <w:widowControl w:val="0"/>
              <w:pBdr>
                <w:top w:val="nil"/>
                <w:left w:val="nil"/>
                <w:bottom w:val="nil"/>
                <w:right w:val="nil"/>
                <w:between w:val="nil"/>
              </w:pBdr>
              <w:ind w:left="170" w:hanging="170"/>
              <w:rPr>
                <w:color w:val="000000"/>
              </w:rPr>
            </w:pPr>
          </w:p>
        </w:tc>
        <w:tc>
          <w:tcPr>
            <w:tcW w:w="1531" w:type="dxa"/>
            <w:tcBorders>
              <w:top w:val="single" w:sz="4" w:space="0" w:color="000000"/>
            </w:tcBorders>
            <w:vAlign w:val="bottom"/>
          </w:tcPr>
          <w:p w14:paraId="2C5F5B9A"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tcPr>
          <w:p w14:paraId="6149F032" w14:textId="77777777" w:rsidR="008E5DE4" w:rsidRDefault="008E5DE4">
            <w:pPr>
              <w:widowControl w:val="0"/>
              <w:pBdr>
                <w:top w:val="nil"/>
                <w:left w:val="nil"/>
                <w:bottom w:val="nil"/>
                <w:right w:val="nil"/>
                <w:between w:val="nil"/>
              </w:pBdr>
              <w:jc w:val="right"/>
              <w:rPr>
                <w:color w:val="000000"/>
              </w:rPr>
            </w:pPr>
          </w:p>
        </w:tc>
      </w:tr>
      <w:tr w:rsidR="008E5DE4" w14:paraId="09472433" w14:textId="77777777">
        <w:trPr>
          <w:cantSplit/>
        </w:trPr>
        <w:tc>
          <w:tcPr>
            <w:tcW w:w="6293" w:type="dxa"/>
            <w:vAlign w:val="bottom"/>
          </w:tcPr>
          <w:p w14:paraId="014DEE10" w14:textId="623863DF" w:rsidR="008E5DE4" w:rsidRDefault="00780368">
            <w:pPr>
              <w:widowControl w:val="0"/>
              <w:pBdr>
                <w:top w:val="nil"/>
                <w:left w:val="nil"/>
                <w:bottom w:val="nil"/>
                <w:right w:val="nil"/>
                <w:between w:val="nil"/>
              </w:pBdr>
              <w:ind w:left="170" w:hanging="170"/>
              <w:rPr>
                <w:color w:val="000000"/>
              </w:rPr>
            </w:pPr>
            <w:r>
              <w:rPr>
                <w:color w:val="000000"/>
              </w:rPr>
              <w:t>Total credit loss allowance charge in profit or loss for the per</w:t>
            </w:r>
            <w:r w:rsidRPr="00176789">
              <w:t>iod</w:t>
            </w:r>
          </w:p>
        </w:tc>
        <w:tc>
          <w:tcPr>
            <w:tcW w:w="1531" w:type="dxa"/>
            <w:vAlign w:val="bottom"/>
          </w:tcPr>
          <w:p w14:paraId="25B2918A" w14:textId="77777777" w:rsidR="008E5DE4" w:rsidRDefault="008E5DE4">
            <w:pPr>
              <w:widowControl w:val="0"/>
              <w:pBdr>
                <w:top w:val="nil"/>
                <w:left w:val="nil"/>
                <w:bottom w:val="nil"/>
                <w:right w:val="nil"/>
                <w:between w:val="nil"/>
              </w:pBdr>
              <w:jc w:val="right"/>
              <w:rPr>
                <w:color w:val="000000"/>
              </w:rPr>
            </w:pPr>
          </w:p>
        </w:tc>
        <w:tc>
          <w:tcPr>
            <w:tcW w:w="1531" w:type="dxa"/>
          </w:tcPr>
          <w:p w14:paraId="4E8617AD" w14:textId="77777777" w:rsidR="008E5DE4" w:rsidRDefault="008E5DE4">
            <w:pPr>
              <w:widowControl w:val="0"/>
              <w:pBdr>
                <w:top w:val="nil"/>
                <w:left w:val="nil"/>
                <w:bottom w:val="nil"/>
                <w:right w:val="nil"/>
                <w:between w:val="nil"/>
              </w:pBdr>
              <w:jc w:val="right"/>
              <w:rPr>
                <w:color w:val="000000"/>
              </w:rPr>
            </w:pPr>
          </w:p>
        </w:tc>
      </w:tr>
      <w:tr w:rsidR="008E5DE4" w14:paraId="7FA6F658" w14:textId="77777777">
        <w:trPr>
          <w:cantSplit/>
        </w:trPr>
        <w:tc>
          <w:tcPr>
            <w:tcW w:w="6293" w:type="dxa"/>
            <w:tcBorders>
              <w:bottom w:val="single" w:sz="4" w:space="0" w:color="000000"/>
            </w:tcBorders>
            <w:vAlign w:val="bottom"/>
          </w:tcPr>
          <w:p w14:paraId="09447A51" w14:textId="77777777" w:rsidR="008E5DE4" w:rsidRDefault="008E5DE4">
            <w:pPr>
              <w:widowControl w:val="0"/>
              <w:pBdr>
                <w:top w:val="nil"/>
                <w:left w:val="nil"/>
                <w:bottom w:val="nil"/>
                <w:right w:val="nil"/>
                <w:between w:val="nil"/>
              </w:pBdr>
              <w:ind w:left="170" w:hanging="170"/>
              <w:rPr>
                <w:color w:val="000000"/>
              </w:rPr>
            </w:pPr>
          </w:p>
        </w:tc>
        <w:tc>
          <w:tcPr>
            <w:tcW w:w="1531" w:type="dxa"/>
            <w:tcBorders>
              <w:bottom w:val="single" w:sz="4" w:space="0" w:color="000000"/>
            </w:tcBorders>
            <w:vAlign w:val="bottom"/>
          </w:tcPr>
          <w:p w14:paraId="23153B56"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tcPr>
          <w:p w14:paraId="009217C8" w14:textId="77777777" w:rsidR="008E5DE4" w:rsidRDefault="008E5DE4">
            <w:pPr>
              <w:widowControl w:val="0"/>
              <w:pBdr>
                <w:top w:val="nil"/>
                <w:left w:val="nil"/>
                <w:bottom w:val="nil"/>
                <w:right w:val="nil"/>
                <w:between w:val="nil"/>
              </w:pBdr>
              <w:jc w:val="right"/>
              <w:rPr>
                <w:color w:val="000000"/>
              </w:rPr>
            </w:pPr>
          </w:p>
        </w:tc>
      </w:tr>
      <w:tr w:rsidR="008E5DE4" w14:paraId="3A6F0FF7" w14:textId="77777777">
        <w:trPr>
          <w:cantSplit/>
        </w:trPr>
        <w:tc>
          <w:tcPr>
            <w:tcW w:w="6293" w:type="dxa"/>
            <w:tcBorders>
              <w:top w:val="single" w:sz="4" w:space="0" w:color="000000"/>
            </w:tcBorders>
            <w:vAlign w:val="bottom"/>
          </w:tcPr>
          <w:p w14:paraId="434591FE" w14:textId="77777777" w:rsidR="008E5DE4" w:rsidRDefault="008E5DE4">
            <w:pPr>
              <w:widowControl w:val="0"/>
              <w:pBdr>
                <w:top w:val="nil"/>
                <w:left w:val="nil"/>
                <w:bottom w:val="nil"/>
                <w:right w:val="nil"/>
                <w:between w:val="nil"/>
              </w:pBdr>
              <w:ind w:left="170" w:hanging="170"/>
              <w:rPr>
                <w:color w:val="000000"/>
              </w:rPr>
            </w:pPr>
          </w:p>
        </w:tc>
        <w:tc>
          <w:tcPr>
            <w:tcW w:w="1531" w:type="dxa"/>
            <w:tcBorders>
              <w:top w:val="single" w:sz="4" w:space="0" w:color="000000"/>
            </w:tcBorders>
            <w:vAlign w:val="bottom"/>
          </w:tcPr>
          <w:p w14:paraId="5EFEA499"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tcPr>
          <w:p w14:paraId="69FD6DED" w14:textId="77777777" w:rsidR="008E5DE4" w:rsidRDefault="008E5DE4">
            <w:pPr>
              <w:widowControl w:val="0"/>
              <w:pBdr>
                <w:top w:val="nil"/>
                <w:left w:val="nil"/>
                <w:bottom w:val="nil"/>
                <w:right w:val="nil"/>
                <w:between w:val="nil"/>
              </w:pBdr>
              <w:jc w:val="right"/>
              <w:rPr>
                <w:color w:val="000000"/>
              </w:rPr>
            </w:pPr>
          </w:p>
        </w:tc>
      </w:tr>
      <w:tr w:rsidR="008E5DE4" w14:paraId="761F7607" w14:textId="77777777">
        <w:trPr>
          <w:cantSplit/>
        </w:trPr>
        <w:tc>
          <w:tcPr>
            <w:tcW w:w="6293" w:type="dxa"/>
            <w:vAlign w:val="bottom"/>
          </w:tcPr>
          <w:p w14:paraId="51C43BAA" w14:textId="77777777" w:rsidR="008E5DE4" w:rsidRDefault="00780368">
            <w:pPr>
              <w:widowControl w:val="0"/>
              <w:pBdr>
                <w:top w:val="nil"/>
                <w:left w:val="nil"/>
                <w:bottom w:val="nil"/>
                <w:right w:val="nil"/>
                <w:between w:val="nil"/>
              </w:pBdr>
              <w:ind w:left="170" w:hanging="170"/>
              <w:rPr>
                <w:color w:val="000000"/>
              </w:rPr>
            </w:pPr>
            <w:r>
              <w:rPr>
                <w:color w:val="000000"/>
              </w:rPr>
              <w:t>Write-offs</w:t>
            </w:r>
          </w:p>
        </w:tc>
        <w:tc>
          <w:tcPr>
            <w:tcW w:w="1531" w:type="dxa"/>
            <w:vAlign w:val="bottom"/>
          </w:tcPr>
          <w:p w14:paraId="7031C6CA" w14:textId="77777777" w:rsidR="008E5DE4" w:rsidRDefault="008E5DE4">
            <w:pPr>
              <w:widowControl w:val="0"/>
              <w:pBdr>
                <w:top w:val="nil"/>
                <w:left w:val="nil"/>
                <w:bottom w:val="nil"/>
                <w:right w:val="nil"/>
                <w:between w:val="nil"/>
              </w:pBdr>
              <w:jc w:val="right"/>
              <w:rPr>
                <w:color w:val="000000"/>
              </w:rPr>
            </w:pPr>
          </w:p>
        </w:tc>
        <w:tc>
          <w:tcPr>
            <w:tcW w:w="1531" w:type="dxa"/>
          </w:tcPr>
          <w:p w14:paraId="40A43203" w14:textId="77777777" w:rsidR="008E5DE4" w:rsidRDefault="008E5DE4">
            <w:pPr>
              <w:widowControl w:val="0"/>
              <w:pBdr>
                <w:top w:val="nil"/>
                <w:left w:val="nil"/>
                <w:bottom w:val="nil"/>
                <w:right w:val="nil"/>
                <w:between w:val="nil"/>
              </w:pBdr>
              <w:jc w:val="right"/>
              <w:rPr>
                <w:color w:val="000000"/>
              </w:rPr>
            </w:pPr>
          </w:p>
        </w:tc>
      </w:tr>
      <w:tr w:rsidR="008E5DE4" w14:paraId="6AA0E45B" w14:textId="77777777">
        <w:trPr>
          <w:cantSplit/>
        </w:trPr>
        <w:tc>
          <w:tcPr>
            <w:tcW w:w="6293" w:type="dxa"/>
            <w:vAlign w:val="bottom"/>
          </w:tcPr>
          <w:p w14:paraId="2FFFDBB0" w14:textId="77777777" w:rsidR="008E5DE4" w:rsidRDefault="00780368">
            <w:pPr>
              <w:widowControl w:val="0"/>
              <w:pBdr>
                <w:top w:val="nil"/>
                <w:left w:val="nil"/>
                <w:bottom w:val="nil"/>
                <w:right w:val="nil"/>
                <w:between w:val="nil"/>
              </w:pBdr>
              <w:ind w:left="170" w:hanging="170"/>
              <w:rPr>
                <w:color w:val="000000"/>
              </w:rPr>
            </w:pPr>
            <w:r>
              <w:rPr>
                <w:color w:val="000000"/>
              </w:rPr>
              <w:t>Foreign exchange movements</w:t>
            </w:r>
          </w:p>
        </w:tc>
        <w:tc>
          <w:tcPr>
            <w:tcW w:w="1531" w:type="dxa"/>
            <w:vAlign w:val="bottom"/>
          </w:tcPr>
          <w:p w14:paraId="059BAD35" w14:textId="77777777" w:rsidR="008E5DE4" w:rsidRDefault="008E5DE4">
            <w:pPr>
              <w:widowControl w:val="0"/>
              <w:pBdr>
                <w:top w:val="nil"/>
                <w:left w:val="nil"/>
                <w:bottom w:val="nil"/>
                <w:right w:val="nil"/>
                <w:between w:val="nil"/>
              </w:pBdr>
              <w:jc w:val="right"/>
              <w:rPr>
                <w:color w:val="000000"/>
              </w:rPr>
            </w:pPr>
          </w:p>
        </w:tc>
        <w:tc>
          <w:tcPr>
            <w:tcW w:w="1531" w:type="dxa"/>
          </w:tcPr>
          <w:p w14:paraId="40507B8F" w14:textId="77777777" w:rsidR="008E5DE4" w:rsidRDefault="008E5DE4">
            <w:pPr>
              <w:widowControl w:val="0"/>
              <w:pBdr>
                <w:top w:val="nil"/>
                <w:left w:val="nil"/>
                <w:bottom w:val="nil"/>
                <w:right w:val="nil"/>
                <w:between w:val="nil"/>
              </w:pBdr>
              <w:jc w:val="right"/>
              <w:rPr>
                <w:color w:val="000000"/>
              </w:rPr>
            </w:pPr>
          </w:p>
        </w:tc>
      </w:tr>
      <w:tr w:rsidR="008E5DE4" w14:paraId="40BA1AFD" w14:textId="77777777">
        <w:trPr>
          <w:cantSplit/>
        </w:trPr>
        <w:tc>
          <w:tcPr>
            <w:tcW w:w="6293" w:type="dxa"/>
            <w:vAlign w:val="bottom"/>
          </w:tcPr>
          <w:p w14:paraId="396554DF" w14:textId="77777777" w:rsidR="008E5DE4" w:rsidRDefault="00780368">
            <w:pPr>
              <w:widowControl w:val="0"/>
              <w:pBdr>
                <w:top w:val="nil"/>
                <w:left w:val="nil"/>
                <w:bottom w:val="nil"/>
                <w:right w:val="nil"/>
                <w:between w:val="nil"/>
              </w:pBdr>
              <w:ind w:left="170" w:hanging="170"/>
              <w:rPr>
                <w:color w:val="000000"/>
              </w:rPr>
            </w:pPr>
            <w:r>
              <w:rPr>
                <w:color w:val="000000"/>
              </w:rPr>
              <w:t>Modification of contractual cash flows</w:t>
            </w:r>
          </w:p>
        </w:tc>
        <w:tc>
          <w:tcPr>
            <w:tcW w:w="1531" w:type="dxa"/>
            <w:vAlign w:val="bottom"/>
          </w:tcPr>
          <w:p w14:paraId="7F75B25E" w14:textId="77777777" w:rsidR="008E5DE4" w:rsidRDefault="008E5DE4">
            <w:pPr>
              <w:widowControl w:val="0"/>
              <w:pBdr>
                <w:top w:val="nil"/>
                <w:left w:val="nil"/>
                <w:bottom w:val="nil"/>
                <w:right w:val="nil"/>
                <w:between w:val="nil"/>
              </w:pBdr>
              <w:jc w:val="right"/>
              <w:rPr>
                <w:color w:val="000000"/>
              </w:rPr>
            </w:pPr>
          </w:p>
        </w:tc>
        <w:tc>
          <w:tcPr>
            <w:tcW w:w="1531" w:type="dxa"/>
          </w:tcPr>
          <w:p w14:paraId="6148CBAA" w14:textId="77777777" w:rsidR="008E5DE4" w:rsidRDefault="008E5DE4">
            <w:pPr>
              <w:widowControl w:val="0"/>
              <w:pBdr>
                <w:top w:val="nil"/>
                <w:left w:val="nil"/>
                <w:bottom w:val="nil"/>
                <w:right w:val="nil"/>
                <w:between w:val="nil"/>
              </w:pBdr>
              <w:jc w:val="right"/>
              <w:rPr>
                <w:color w:val="000000"/>
              </w:rPr>
            </w:pPr>
          </w:p>
        </w:tc>
      </w:tr>
      <w:tr w:rsidR="008E5DE4" w14:paraId="33B745F0" w14:textId="77777777">
        <w:trPr>
          <w:cantSplit/>
        </w:trPr>
        <w:tc>
          <w:tcPr>
            <w:tcW w:w="6293" w:type="dxa"/>
            <w:tcBorders>
              <w:bottom w:val="single" w:sz="4" w:space="0" w:color="000000"/>
            </w:tcBorders>
            <w:vAlign w:val="bottom"/>
          </w:tcPr>
          <w:p w14:paraId="3EAA3AC5" w14:textId="77777777" w:rsidR="008E5DE4" w:rsidRDefault="008E5DE4">
            <w:pPr>
              <w:widowControl w:val="0"/>
              <w:pBdr>
                <w:top w:val="nil"/>
                <w:left w:val="nil"/>
                <w:bottom w:val="nil"/>
                <w:right w:val="nil"/>
                <w:between w:val="nil"/>
              </w:pBdr>
              <w:ind w:left="170" w:hanging="170"/>
              <w:rPr>
                <w:b/>
                <w:color w:val="000000"/>
              </w:rPr>
            </w:pPr>
          </w:p>
        </w:tc>
        <w:tc>
          <w:tcPr>
            <w:tcW w:w="1531" w:type="dxa"/>
            <w:tcBorders>
              <w:bottom w:val="single" w:sz="4" w:space="0" w:color="000000"/>
            </w:tcBorders>
            <w:vAlign w:val="bottom"/>
          </w:tcPr>
          <w:p w14:paraId="239D6FC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tcPr>
          <w:p w14:paraId="69D5374C" w14:textId="77777777" w:rsidR="008E5DE4" w:rsidRDefault="008E5DE4">
            <w:pPr>
              <w:widowControl w:val="0"/>
              <w:pBdr>
                <w:top w:val="nil"/>
                <w:left w:val="nil"/>
                <w:bottom w:val="nil"/>
                <w:right w:val="nil"/>
                <w:between w:val="nil"/>
              </w:pBdr>
              <w:jc w:val="right"/>
              <w:rPr>
                <w:color w:val="000000"/>
              </w:rPr>
            </w:pPr>
          </w:p>
        </w:tc>
      </w:tr>
      <w:tr w:rsidR="008E5DE4" w14:paraId="49971801" w14:textId="77777777">
        <w:trPr>
          <w:cantSplit/>
        </w:trPr>
        <w:tc>
          <w:tcPr>
            <w:tcW w:w="6293" w:type="dxa"/>
            <w:tcBorders>
              <w:top w:val="single" w:sz="4" w:space="0" w:color="000000"/>
            </w:tcBorders>
            <w:vAlign w:val="bottom"/>
          </w:tcPr>
          <w:p w14:paraId="1902CE2C" w14:textId="77777777" w:rsidR="008E5DE4" w:rsidRDefault="008E5DE4">
            <w:pPr>
              <w:widowControl w:val="0"/>
              <w:pBdr>
                <w:top w:val="nil"/>
                <w:left w:val="nil"/>
                <w:bottom w:val="nil"/>
                <w:right w:val="nil"/>
                <w:between w:val="nil"/>
              </w:pBdr>
              <w:ind w:left="170" w:hanging="170"/>
              <w:rPr>
                <w:color w:val="000000"/>
                <w:u w:val="single"/>
              </w:rPr>
            </w:pPr>
          </w:p>
        </w:tc>
        <w:tc>
          <w:tcPr>
            <w:tcW w:w="1531" w:type="dxa"/>
            <w:tcBorders>
              <w:top w:val="single" w:sz="4" w:space="0" w:color="000000"/>
            </w:tcBorders>
            <w:vAlign w:val="bottom"/>
          </w:tcPr>
          <w:p w14:paraId="1BAC3A7D"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tcPr>
          <w:p w14:paraId="394C9258" w14:textId="77777777" w:rsidR="008E5DE4" w:rsidRDefault="008E5DE4">
            <w:pPr>
              <w:widowControl w:val="0"/>
              <w:pBdr>
                <w:top w:val="nil"/>
                <w:left w:val="nil"/>
                <w:bottom w:val="nil"/>
                <w:right w:val="nil"/>
                <w:between w:val="nil"/>
              </w:pBdr>
              <w:jc w:val="right"/>
              <w:rPr>
                <w:color w:val="000000"/>
              </w:rPr>
            </w:pPr>
          </w:p>
        </w:tc>
      </w:tr>
      <w:tr w:rsidR="008E5DE4" w14:paraId="3A32E05C" w14:textId="77777777">
        <w:trPr>
          <w:cantSplit/>
        </w:trPr>
        <w:tc>
          <w:tcPr>
            <w:tcW w:w="6293" w:type="dxa"/>
            <w:vAlign w:val="bottom"/>
          </w:tcPr>
          <w:p w14:paraId="4480B6A1" w14:textId="77777777" w:rsidR="008E5DE4" w:rsidRDefault="00780368">
            <w:pPr>
              <w:widowControl w:val="0"/>
              <w:pBdr>
                <w:top w:val="nil"/>
                <w:left w:val="nil"/>
                <w:bottom w:val="nil"/>
                <w:right w:val="nil"/>
                <w:between w:val="nil"/>
              </w:pBdr>
              <w:ind w:left="170" w:hanging="170"/>
              <w:rPr>
                <w:b/>
                <w:color w:val="000000"/>
              </w:rPr>
            </w:pPr>
            <w:r>
              <w:rPr>
                <w:b/>
                <w:color w:val="000000"/>
              </w:rPr>
              <w:t xml:space="preserve">Allowance for credit losses on trade receivables </w:t>
            </w:r>
            <w:proofErr w:type="gramStart"/>
            <w:r>
              <w:rPr>
                <w:b/>
                <w:color w:val="000000"/>
              </w:rPr>
              <w:t>at</w:t>
            </w:r>
            <w:proofErr w:type="gramEnd"/>
            <w:r>
              <w:rPr>
                <w:b/>
                <w:color w:val="000000"/>
              </w:rPr>
              <w:t xml:space="preserve"> 31 December</w:t>
            </w:r>
          </w:p>
        </w:tc>
        <w:tc>
          <w:tcPr>
            <w:tcW w:w="1531" w:type="dxa"/>
            <w:vAlign w:val="bottom"/>
          </w:tcPr>
          <w:p w14:paraId="18EB1748" w14:textId="77777777" w:rsidR="008E5DE4" w:rsidRDefault="008E5DE4">
            <w:pPr>
              <w:widowControl w:val="0"/>
              <w:pBdr>
                <w:top w:val="nil"/>
                <w:left w:val="nil"/>
                <w:bottom w:val="nil"/>
                <w:right w:val="nil"/>
                <w:between w:val="nil"/>
              </w:pBdr>
              <w:jc w:val="right"/>
              <w:rPr>
                <w:color w:val="000000"/>
              </w:rPr>
            </w:pPr>
          </w:p>
        </w:tc>
        <w:tc>
          <w:tcPr>
            <w:tcW w:w="1531" w:type="dxa"/>
          </w:tcPr>
          <w:p w14:paraId="0DE8E200" w14:textId="77777777" w:rsidR="008E5DE4" w:rsidRDefault="008E5DE4">
            <w:pPr>
              <w:widowControl w:val="0"/>
              <w:pBdr>
                <w:top w:val="nil"/>
                <w:left w:val="nil"/>
                <w:bottom w:val="nil"/>
                <w:right w:val="nil"/>
                <w:between w:val="nil"/>
              </w:pBdr>
              <w:jc w:val="right"/>
              <w:rPr>
                <w:color w:val="000000"/>
              </w:rPr>
            </w:pPr>
          </w:p>
        </w:tc>
      </w:tr>
      <w:tr w:rsidR="008E5DE4" w14:paraId="770E2649" w14:textId="77777777">
        <w:trPr>
          <w:cantSplit/>
        </w:trPr>
        <w:tc>
          <w:tcPr>
            <w:tcW w:w="6293" w:type="dxa"/>
            <w:tcBorders>
              <w:bottom w:val="single" w:sz="12" w:space="0" w:color="000000"/>
            </w:tcBorders>
            <w:vAlign w:val="bottom"/>
          </w:tcPr>
          <w:p w14:paraId="4CD5F267" w14:textId="77777777" w:rsidR="008E5DE4" w:rsidRDefault="008E5DE4">
            <w:pPr>
              <w:widowControl w:val="0"/>
              <w:pBdr>
                <w:top w:val="nil"/>
                <w:left w:val="nil"/>
                <w:bottom w:val="nil"/>
                <w:right w:val="nil"/>
                <w:between w:val="nil"/>
              </w:pBdr>
              <w:rPr>
                <w:b/>
                <w:color w:val="000000"/>
                <w:u w:val="single"/>
              </w:rPr>
            </w:pPr>
          </w:p>
        </w:tc>
        <w:tc>
          <w:tcPr>
            <w:tcW w:w="1531" w:type="dxa"/>
            <w:tcBorders>
              <w:bottom w:val="single" w:sz="12" w:space="0" w:color="000000"/>
            </w:tcBorders>
            <w:vAlign w:val="bottom"/>
          </w:tcPr>
          <w:p w14:paraId="46C1301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tcPr>
          <w:p w14:paraId="7C5F8214" w14:textId="77777777" w:rsidR="008E5DE4" w:rsidRDefault="008E5DE4">
            <w:pPr>
              <w:widowControl w:val="0"/>
              <w:pBdr>
                <w:top w:val="nil"/>
                <w:left w:val="nil"/>
                <w:bottom w:val="nil"/>
                <w:right w:val="nil"/>
                <w:between w:val="nil"/>
              </w:pBdr>
              <w:jc w:val="right"/>
              <w:rPr>
                <w:color w:val="000000"/>
              </w:rPr>
            </w:pPr>
          </w:p>
        </w:tc>
      </w:tr>
    </w:tbl>
    <w:p w14:paraId="428E4007" w14:textId="6F5948A8" w:rsidR="008E5DE4" w:rsidRDefault="00780368">
      <w:pPr>
        <w:widowControl w:val="0"/>
        <w:spacing w:before="200" w:after="200"/>
        <w:jc w:val="both"/>
        <w:rPr>
          <w:sz w:val="20"/>
          <w:szCs w:val="20"/>
        </w:rPr>
      </w:pPr>
      <w:r>
        <w:rPr>
          <w:sz w:val="20"/>
          <w:szCs w:val="20"/>
        </w:rPr>
        <w:t xml:space="preserve">The tables below contain an analysis of the credit risk exposure of other financial receivables. The carrying amount of other financial receivables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below also represents the Group's maximum exposure to credit risk on these assets:</w:t>
      </w:r>
    </w:p>
    <w:tbl>
      <w:tblPr>
        <w:tblStyle w:val="afffff9"/>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19268D89" w14:textId="77777777">
        <w:trPr>
          <w:cantSplit/>
          <w:tblHeader/>
        </w:trPr>
        <w:tc>
          <w:tcPr>
            <w:tcW w:w="3685" w:type="dxa"/>
            <w:tcBorders>
              <w:bottom w:val="single" w:sz="4" w:space="0" w:color="000000"/>
            </w:tcBorders>
            <w:vAlign w:val="bottom"/>
          </w:tcPr>
          <w:p w14:paraId="663B30DF"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07CEBD2C"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213BF284"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13D367E8"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3045DA5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02D70CA3"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0F0C7D71"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6D3522AE" w14:textId="77777777" w:rsidR="008E5DE4" w:rsidRDefault="00780368">
            <w:pPr>
              <w:widowControl w:val="0"/>
              <w:pBdr>
                <w:top w:val="nil"/>
                <w:left w:val="nil"/>
                <w:bottom w:val="nil"/>
                <w:right w:val="nil"/>
                <w:between w:val="nil"/>
              </w:pBdr>
              <w:ind w:left="-113"/>
              <w:jc w:val="right"/>
              <w:rPr>
                <w:b/>
                <w:color w:val="000000"/>
              </w:rPr>
            </w:pPr>
            <w:r>
              <w:rPr>
                <w:b/>
                <w:color w:val="000000"/>
              </w:rPr>
              <w:t>POCI</w:t>
            </w:r>
          </w:p>
        </w:tc>
        <w:tc>
          <w:tcPr>
            <w:tcW w:w="1134" w:type="dxa"/>
            <w:tcBorders>
              <w:bottom w:val="single" w:sz="4" w:space="0" w:color="000000"/>
            </w:tcBorders>
          </w:tcPr>
          <w:p w14:paraId="2A805AC2"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4F629184" w14:textId="77777777">
        <w:trPr>
          <w:cantSplit/>
          <w:tblHeader/>
        </w:trPr>
        <w:tc>
          <w:tcPr>
            <w:tcW w:w="3685" w:type="dxa"/>
            <w:vAlign w:val="bottom"/>
          </w:tcPr>
          <w:p w14:paraId="77107810" w14:textId="77777777" w:rsidR="008E5DE4" w:rsidRDefault="00780368">
            <w:pPr>
              <w:widowControl w:val="0"/>
              <w:ind w:left="113" w:right="-57" w:hanging="113"/>
            </w:pPr>
            <w:r>
              <w:t> </w:t>
            </w:r>
          </w:p>
        </w:tc>
        <w:tc>
          <w:tcPr>
            <w:tcW w:w="1134" w:type="dxa"/>
            <w:vAlign w:val="bottom"/>
          </w:tcPr>
          <w:p w14:paraId="4DDAFFF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9A6DD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074930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39E0D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E737BD6" w14:textId="77777777" w:rsidR="008E5DE4" w:rsidRDefault="008E5DE4">
            <w:pPr>
              <w:widowControl w:val="0"/>
              <w:pBdr>
                <w:top w:val="nil"/>
                <w:left w:val="nil"/>
                <w:bottom w:val="nil"/>
                <w:right w:val="nil"/>
                <w:between w:val="nil"/>
              </w:pBdr>
              <w:jc w:val="right"/>
              <w:rPr>
                <w:color w:val="000000"/>
              </w:rPr>
            </w:pPr>
          </w:p>
        </w:tc>
      </w:tr>
      <w:tr w:rsidR="008E5DE4" w14:paraId="77D21AEE" w14:textId="77777777">
        <w:trPr>
          <w:cantSplit/>
        </w:trPr>
        <w:tc>
          <w:tcPr>
            <w:tcW w:w="3685" w:type="dxa"/>
            <w:vAlign w:val="bottom"/>
          </w:tcPr>
          <w:p w14:paraId="13754774"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Other financial receivables</w:t>
            </w:r>
          </w:p>
        </w:tc>
        <w:tc>
          <w:tcPr>
            <w:tcW w:w="1134" w:type="dxa"/>
            <w:vAlign w:val="bottom"/>
          </w:tcPr>
          <w:p w14:paraId="1542E01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9BBFF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F20A9B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1ADD4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8A75E1B" w14:textId="77777777" w:rsidR="008E5DE4" w:rsidRDefault="008E5DE4">
            <w:pPr>
              <w:widowControl w:val="0"/>
              <w:pBdr>
                <w:top w:val="nil"/>
                <w:left w:val="nil"/>
                <w:bottom w:val="nil"/>
                <w:right w:val="nil"/>
                <w:between w:val="nil"/>
              </w:pBdr>
              <w:jc w:val="right"/>
              <w:rPr>
                <w:color w:val="000000"/>
              </w:rPr>
            </w:pPr>
          </w:p>
        </w:tc>
      </w:tr>
      <w:tr w:rsidR="008E5DE4" w14:paraId="4A0DAE26" w14:textId="77777777">
        <w:trPr>
          <w:cantSplit/>
        </w:trPr>
        <w:tc>
          <w:tcPr>
            <w:tcW w:w="3685" w:type="dxa"/>
            <w:vAlign w:val="bottom"/>
          </w:tcPr>
          <w:p w14:paraId="52601698"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4B4FA20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908CEF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1F80E4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448970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FD5D9B3" w14:textId="77777777" w:rsidR="008E5DE4" w:rsidRDefault="008E5DE4">
            <w:pPr>
              <w:widowControl w:val="0"/>
              <w:pBdr>
                <w:top w:val="nil"/>
                <w:left w:val="nil"/>
                <w:bottom w:val="nil"/>
                <w:right w:val="nil"/>
                <w:between w:val="nil"/>
              </w:pBdr>
              <w:jc w:val="right"/>
              <w:rPr>
                <w:color w:val="000000"/>
              </w:rPr>
            </w:pPr>
          </w:p>
        </w:tc>
      </w:tr>
      <w:tr w:rsidR="008E5DE4" w14:paraId="54790C7B" w14:textId="77777777">
        <w:trPr>
          <w:cantSplit/>
        </w:trPr>
        <w:tc>
          <w:tcPr>
            <w:tcW w:w="3685" w:type="dxa"/>
            <w:vAlign w:val="bottom"/>
          </w:tcPr>
          <w:p w14:paraId="09DEC70B" w14:textId="77777777" w:rsidR="008E5DE4" w:rsidRDefault="00780368">
            <w:pPr>
              <w:widowControl w:val="0"/>
              <w:pBdr>
                <w:top w:val="nil"/>
                <w:left w:val="nil"/>
                <w:bottom w:val="nil"/>
                <w:right w:val="nil"/>
                <w:between w:val="nil"/>
              </w:pBdr>
              <w:ind w:left="113" w:right="-57" w:hanging="113"/>
              <w:rPr>
                <w:color w:val="000000"/>
              </w:rPr>
            </w:pPr>
            <w:r>
              <w:rPr>
                <w:color w:val="000000"/>
              </w:rPr>
              <w:t>- Excellent</w:t>
            </w:r>
          </w:p>
        </w:tc>
        <w:tc>
          <w:tcPr>
            <w:tcW w:w="1134" w:type="dxa"/>
            <w:vAlign w:val="bottom"/>
          </w:tcPr>
          <w:p w14:paraId="42869F4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9A308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3457A6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765B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6B33805" w14:textId="77777777" w:rsidR="008E5DE4" w:rsidRDefault="008E5DE4">
            <w:pPr>
              <w:widowControl w:val="0"/>
              <w:pBdr>
                <w:top w:val="nil"/>
                <w:left w:val="nil"/>
                <w:bottom w:val="nil"/>
                <w:right w:val="nil"/>
                <w:between w:val="nil"/>
              </w:pBdr>
              <w:jc w:val="right"/>
              <w:rPr>
                <w:color w:val="000000"/>
              </w:rPr>
            </w:pPr>
          </w:p>
        </w:tc>
      </w:tr>
      <w:tr w:rsidR="008E5DE4" w14:paraId="496F6AD0" w14:textId="77777777">
        <w:trPr>
          <w:cantSplit/>
        </w:trPr>
        <w:tc>
          <w:tcPr>
            <w:tcW w:w="3685" w:type="dxa"/>
            <w:vAlign w:val="bottom"/>
          </w:tcPr>
          <w:p w14:paraId="42E09D7B" w14:textId="77777777" w:rsidR="008E5DE4" w:rsidRDefault="00780368">
            <w:pPr>
              <w:widowControl w:val="0"/>
              <w:pBdr>
                <w:top w:val="nil"/>
                <w:left w:val="nil"/>
                <w:bottom w:val="nil"/>
                <w:right w:val="nil"/>
                <w:between w:val="nil"/>
              </w:pBdr>
              <w:ind w:left="113" w:right="-57" w:hanging="113"/>
              <w:rPr>
                <w:color w:val="000000"/>
              </w:rPr>
            </w:pPr>
            <w:r>
              <w:rPr>
                <w:color w:val="000000"/>
              </w:rPr>
              <w:t>- Good</w:t>
            </w:r>
          </w:p>
        </w:tc>
        <w:tc>
          <w:tcPr>
            <w:tcW w:w="1134" w:type="dxa"/>
            <w:vAlign w:val="bottom"/>
          </w:tcPr>
          <w:p w14:paraId="3E06468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1CBC65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85AF2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9D756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3AE1BDC" w14:textId="77777777" w:rsidR="008E5DE4" w:rsidRDefault="008E5DE4">
            <w:pPr>
              <w:widowControl w:val="0"/>
              <w:pBdr>
                <w:top w:val="nil"/>
                <w:left w:val="nil"/>
                <w:bottom w:val="nil"/>
                <w:right w:val="nil"/>
                <w:between w:val="nil"/>
              </w:pBdr>
              <w:jc w:val="right"/>
              <w:rPr>
                <w:color w:val="000000"/>
              </w:rPr>
            </w:pPr>
          </w:p>
        </w:tc>
      </w:tr>
      <w:tr w:rsidR="008E5DE4" w14:paraId="118F2E34" w14:textId="77777777">
        <w:trPr>
          <w:cantSplit/>
        </w:trPr>
        <w:tc>
          <w:tcPr>
            <w:tcW w:w="3685" w:type="dxa"/>
            <w:vAlign w:val="bottom"/>
          </w:tcPr>
          <w:p w14:paraId="526187A0" w14:textId="77777777" w:rsidR="008E5DE4" w:rsidRDefault="00780368">
            <w:pPr>
              <w:widowControl w:val="0"/>
              <w:pBdr>
                <w:top w:val="nil"/>
                <w:left w:val="nil"/>
                <w:bottom w:val="nil"/>
                <w:right w:val="nil"/>
                <w:between w:val="nil"/>
              </w:pBdr>
              <w:ind w:left="113" w:right="-57" w:hanging="113"/>
              <w:rPr>
                <w:color w:val="000000"/>
              </w:rPr>
            </w:pPr>
            <w:r>
              <w:rPr>
                <w:color w:val="000000"/>
              </w:rPr>
              <w:t>- Satisfactory</w:t>
            </w:r>
          </w:p>
        </w:tc>
        <w:tc>
          <w:tcPr>
            <w:tcW w:w="1134" w:type="dxa"/>
            <w:vAlign w:val="bottom"/>
          </w:tcPr>
          <w:p w14:paraId="029CEBB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90B256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A7493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B0E7E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BD3460" w14:textId="77777777" w:rsidR="008E5DE4" w:rsidRDefault="008E5DE4">
            <w:pPr>
              <w:widowControl w:val="0"/>
              <w:pBdr>
                <w:top w:val="nil"/>
                <w:left w:val="nil"/>
                <w:bottom w:val="nil"/>
                <w:right w:val="nil"/>
                <w:between w:val="nil"/>
              </w:pBdr>
              <w:jc w:val="right"/>
              <w:rPr>
                <w:color w:val="000000"/>
              </w:rPr>
            </w:pPr>
          </w:p>
        </w:tc>
      </w:tr>
      <w:tr w:rsidR="008E5DE4" w14:paraId="674BEB93" w14:textId="77777777">
        <w:trPr>
          <w:cantSplit/>
        </w:trPr>
        <w:tc>
          <w:tcPr>
            <w:tcW w:w="3685" w:type="dxa"/>
            <w:vAlign w:val="bottom"/>
          </w:tcPr>
          <w:p w14:paraId="3CEC46E0"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4F67CBE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C053BA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FCF138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2CAD9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B0C05EC" w14:textId="77777777" w:rsidR="008E5DE4" w:rsidRDefault="008E5DE4">
            <w:pPr>
              <w:widowControl w:val="0"/>
              <w:pBdr>
                <w:top w:val="nil"/>
                <w:left w:val="nil"/>
                <w:bottom w:val="nil"/>
                <w:right w:val="nil"/>
                <w:between w:val="nil"/>
              </w:pBdr>
              <w:jc w:val="right"/>
              <w:rPr>
                <w:color w:val="000000"/>
              </w:rPr>
            </w:pPr>
          </w:p>
        </w:tc>
      </w:tr>
      <w:tr w:rsidR="008E5DE4" w14:paraId="259FD53A" w14:textId="77777777">
        <w:trPr>
          <w:cantSplit/>
        </w:trPr>
        <w:tc>
          <w:tcPr>
            <w:tcW w:w="3685" w:type="dxa"/>
            <w:vAlign w:val="bottom"/>
          </w:tcPr>
          <w:p w14:paraId="6699531F" w14:textId="77777777" w:rsidR="008E5DE4" w:rsidRDefault="00780368">
            <w:pPr>
              <w:widowControl w:val="0"/>
              <w:pBdr>
                <w:top w:val="nil"/>
                <w:left w:val="nil"/>
                <w:bottom w:val="nil"/>
                <w:right w:val="nil"/>
                <w:between w:val="nil"/>
              </w:pBdr>
              <w:ind w:left="113" w:right="-57" w:hanging="113"/>
              <w:rPr>
                <w:color w:val="000000"/>
              </w:rPr>
            </w:pPr>
            <w:r>
              <w:rPr>
                <w:color w:val="000000"/>
              </w:rPr>
              <w:t>- Default</w:t>
            </w:r>
          </w:p>
        </w:tc>
        <w:tc>
          <w:tcPr>
            <w:tcW w:w="1134" w:type="dxa"/>
            <w:vAlign w:val="bottom"/>
          </w:tcPr>
          <w:p w14:paraId="2316BB9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A28000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94DFE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95EB44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137D2D4" w14:textId="77777777" w:rsidR="008E5DE4" w:rsidRDefault="008E5DE4">
            <w:pPr>
              <w:widowControl w:val="0"/>
              <w:pBdr>
                <w:top w:val="nil"/>
                <w:left w:val="nil"/>
                <w:bottom w:val="nil"/>
                <w:right w:val="nil"/>
                <w:between w:val="nil"/>
              </w:pBdr>
              <w:jc w:val="right"/>
              <w:rPr>
                <w:color w:val="000000"/>
              </w:rPr>
            </w:pPr>
          </w:p>
        </w:tc>
      </w:tr>
      <w:tr w:rsidR="008E5DE4" w14:paraId="7E0299C1" w14:textId="77777777">
        <w:trPr>
          <w:cantSplit/>
        </w:trPr>
        <w:tc>
          <w:tcPr>
            <w:tcW w:w="3685" w:type="dxa"/>
            <w:tcBorders>
              <w:bottom w:val="single" w:sz="4" w:space="0" w:color="000000"/>
            </w:tcBorders>
            <w:vAlign w:val="bottom"/>
          </w:tcPr>
          <w:p w14:paraId="7FC3CD1C"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15A0B07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09ECAD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6D7FBA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6DF4C2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F795D71" w14:textId="77777777" w:rsidR="008E5DE4" w:rsidRDefault="008E5DE4">
            <w:pPr>
              <w:widowControl w:val="0"/>
              <w:pBdr>
                <w:top w:val="nil"/>
                <w:left w:val="nil"/>
                <w:bottom w:val="nil"/>
                <w:right w:val="nil"/>
                <w:between w:val="nil"/>
              </w:pBdr>
              <w:jc w:val="right"/>
              <w:rPr>
                <w:color w:val="000000"/>
              </w:rPr>
            </w:pPr>
          </w:p>
        </w:tc>
      </w:tr>
      <w:tr w:rsidR="008E5DE4" w14:paraId="02FFB0F2" w14:textId="77777777">
        <w:trPr>
          <w:cantSplit/>
        </w:trPr>
        <w:tc>
          <w:tcPr>
            <w:tcW w:w="3685" w:type="dxa"/>
            <w:tcBorders>
              <w:top w:val="single" w:sz="4" w:space="0" w:color="000000"/>
            </w:tcBorders>
            <w:vAlign w:val="bottom"/>
          </w:tcPr>
          <w:p w14:paraId="44D17BEC"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38BDB7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76FFA3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DDEE57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B16367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E342F1A" w14:textId="77777777" w:rsidR="008E5DE4" w:rsidRDefault="008E5DE4">
            <w:pPr>
              <w:widowControl w:val="0"/>
              <w:pBdr>
                <w:top w:val="nil"/>
                <w:left w:val="nil"/>
                <w:bottom w:val="nil"/>
                <w:right w:val="nil"/>
                <w:between w:val="nil"/>
              </w:pBdr>
              <w:jc w:val="right"/>
              <w:rPr>
                <w:color w:val="000000"/>
              </w:rPr>
            </w:pPr>
          </w:p>
        </w:tc>
      </w:tr>
      <w:tr w:rsidR="008E5DE4" w14:paraId="58F3A3E5" w14:textId="77777777">
        <w:trPr>
          <w:cantSplit/>
        </w:trPr>
        <w:tc>
          <w:tcPr>
            <w:tcW w:w="3685" w:type="dxa"/>
            <w:vAlign w:val="bottom"/>
          </w:tcPr>
          <w:p w14:paraId="2633E5BE" w14:textId="77777777" w:rsidR="008E5DE4" w:rsidRDefault="00780368">
            <w:pPr>
              <w:widowControl w:val="0"/>
              <w:pBdr>
                <w:top w:val="nil"/>
                <w:left w:val="nil"/>
                <w:bottom w:val="nil"/>
                <w:right w:val="nil"/>
                <w:between w:val="nil"/>
              </w:pBdr>
              <w:ind w:left="113" w:right="-57" w:hanging="113"/>
              <w:rPr>
                <w:b/>
                <w:color w:val="000000"/>
              </w:rPr>
            </w:pPr>
            <w:r>
              <w:rPr>
                <w:b/>
                <w:color w:val="000000"/>
              </w:rPr>
              <w:t>Gross carrying amount</w:t>
            </w:r>
          </w:p>
        </w:tc>
        <w:tc>
          <w:tcPr>
            <w:tcW w:w="1134" w:type="dxa"/>
            <w:vAlign w:val="bottom"/>
          </w:tcPr>
          <w:p w14:paraId="30017BD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F90BC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446746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DEBEDA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F090AE4" w14:textId="77777777" w:rsidR="008E5DE4" w:rsidRDefault="008E5DE4">
            <w:pPr>
              <w:widowControl w:val="0"/>
              <w:pBdr>
                <w:top w:val="nil"/>
                <w:left w:val="nil"/>
                <w:bottom w:val="nil"/>
                <w:right w:val="nil"/>
                <w:between w:val="nil"/>
              </w:pBdr>
              <w:jc w:val="right"/>
              <w:rPr>
                <w:color w:val="000000"/>
              </w:rPr>
            </w:pPr>
          </w:p>
        </w:tc>
      </w:tr>
      <w:tr w:rsidR="008E5DE4" w14:paraId="3597A048" w14:textId="77777777">
        <w:trPr>
          <w:cantSplit/>
        </w:trPr>
        <w:tc>
          <w:tcPr>
            <w:tcW w:w="3685" w:type="dxa"/>
            <w:tcBorders>
              <w:bottom w:val="single" w:sz="4" w:space="0" w:color="000000"/>
            </w:tcBorders>
            <w:vAlign w:val="bottom"/>
          </w:tcPr>
          <w:p w14:paraId="15E36495"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4F965A2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60E7D7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4EF0CA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1C529C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3E0793A" w14:textId="77777777" w:rsidR="008E5DE4" w:rsidRDefault="008E5DE4">
            <w:pPr>
              <w:widowControl w:val="0"/>
              <w:pBdr>
                <w:top w:val="nil"/>
                <w:left w:val="nil"/>
                <w:bottom w:val="nil"/>
                <w:right w:val="nil"/>
                <w:between w:val="nil"/>
              </w:pBdr>
              <w:jc w:val="right"/>
              <w:rPr>
                <w:color w:val="000000"/>
              </w:rPr>
            </w:pPr>
          </w:p>
        </w:tc>
      </w:tr>
      <w:tr w:rsidR="008E5DE4" w14:paraId="6FCA614D" w14:textId="77777777">
        <w:trPr>
          <w:cantSplit/>
        </w:trPr>
        <w:tc>
          <w:tcPr>
            <w:tcW w:w="3685" w:type="dxa"/>
            <w:tcBorders>
              <w:top w:val="single" w:sz="4" w:space="0" w:color="000000"/>
            </w:tcBorders>
            <w:vAlign w:val="bottom"/>
          </w:tcPr>
          <w:p w14:paraId="14ECA773"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55E0B09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7E31ABF"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E85EA5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27B634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29D18B9" w14:textId="77777777" w:rsidR="008E5DE4" w:rsidRDefault="008E5DE4">
            <w:pPr>
              <w:widowControl w:val="0"/>
              <w:pBdr>
                <w:top w:val="nil"/>
                <w:left w:val="nil"/>
                <w:bottom w:val="nil"/>
                <w:right w:val="nil"/>
                <w:between w:val="nil"/>
              </w:pBdr>
              <w:jc w:val="right"/>
              <w:rPr>
                <w:color w:val="000000"/>
              </w:rPr>
            </w:pPr>
          </w:p>
        </w:tc>
      </w:tr>
      <w:tr w:rsidR="008E5DE4" w14:paraId="248F9CDC" w14:textId="77777777">
        <w:trPr>
          <w:cantSplit/>
        </w:trPr>
        <w:tc>
          <w:tcPr>
            <w:tcW w:w="3685" w:type="dxa"/>
            <w:vAlign w:val="bottom"/>
          </w:tcPr>
          <w:p w14:paraId="4203ADA0"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34" w:type="dxa"/>
            <w:vAlign w:val="bottom"/>
          </w:tcPr>
          <w:p w14:paraId="2228A74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CA5DB3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D8461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106C50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C0F54F" w14:textId="77777777" w:rsidR="008E5DE4" w:rsidRDefault="008E5DE4">
            <w:pPr>
              <w:widowControl w:val="0"/>
              <w:pBdr>
                <w:top w:val="nil"/>
                <w:left w:val="nil"/>
                <w:bottom w:val="nil"/>
                <w:right w:val="nil"/>
                <w:between w:val="nil"/>
              </w:pBdr>
              <w:jc w:val="right"/>
              <w:rPr>
                <w:color w:val="000000"/>
              </w:rPr>
            </w:pPr>
          </w:p>
        </w:tc>
      </w:tr>
      <w:tr w:rsidR="008E5DE4" w14:paraId="239CE4F4" w14:textId="77777777">
        <w:trPr>
          <w:cantSplit/>
        </w:trPr>
        <w:tc>
          <w:tcPr>
            <w:tcW w:w="3685" w:type="dxa"/>
            <w:vAlign w:val="bottom"/>
          </w:tcPr>
          <w:p w14:paraId="34817080"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64C5AA6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270B5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AEA948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50879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6E5419" w14:textId="77777777" w:rsidR="008E5DE4" w:rsidRDefault="008E5DE4">
            <w:pPr>
              <w:widowControl w:val="0"/>
              <w:pBdr>
                <w:top w:val="nil"/>
                <w:left w:val="nil"/>
                <w:bottom w:val="nil"/>
                <w:right w:val="nil"/>
                <w:between w:val="nil"/>
              </w:pBdr>
              <w:jc w:val="right"/>
              <w:rPr>
                <w:color w:val="000000"/>
              </w:rPr>
            </w:pPr>
          </w:p>
        </w:tc>
      </w:tr>
      <w:tr w:rsidR="008E5DE4" w14:paraId="63037DA9" w14:textId="77777777">
        <w:trPr>
          <w:cantSplit/>
        </w:trPr>
        <w:tc>
          <w:tcPr>
            <w:tcW w:w="3685" w:type="dxa"/>
            <w:tcBorders>
              <w:top w:val="single" w:sz="4" w:space="0" w:color="000000"/>
            </w:tcBorders>
            <w:vAlign w:val="bottom"/>
          </w:tcPr>
          <w:p w14:paraId="55081C03"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3278D5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F6660D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59E7D0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C2EB29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684E2F3" w14:textId="77777777" w:rsidR="008E5DE4" w:rsidRDefault="008E5DE4">
            <w:pPr>
              <w:widowControl w:val="0"/>
              <w:pBdr>
                <w:top w:val="nil"/>
                <w:left w:val="nil"/>
                <w:bottom w:val="nil"/>
                <w:right w:val="nil"/>
                <w:between w:val="nil"/>
              </w:pBdr>
              <w:jc w:val="right"/>
              <w:rPr>
                <w:color w:val="000000"/>
              </w:rPr>
            </w:pPr>
          </w:p>
        </w:tc>
      </w:tr>
      <w:tr w:rsidR="008E5DE4" w14:paraId="5109887E" w14:textId="77777777">
        <w:trPr>
          <w:cantSplit/>
        </w:trPr>
        <w:tc>
          <w:tcPr>
            <w:tcW w:w="3685" w:type="dxa"/>
            <w:vAlign w:val="bottom"/>
          </w:tcPr>
          <w:p w14:paraId="17F8A020" w14:textId="77777777" w:rsidR="008E5DE4" w:rsidRDefault="00780368">
            <w:pPr>
              <w:widowControl w:val="0"/>
              <w:pBdr>
                <w:top w:val="nil"/>
                <w:left w:val="nil"/>
                <w:bottom w:val="nil"/>
                <w:right w:val="nil"/>
                <w:between w:val="nil"/>
              </w:pBdr>
              <w:ind w:left="113" w:right="-57" w:hanging="113"/>
              <w:rPr>
                <w:b/>
                <w:color w:val="000000"/>
              </w:rPr>
            </w:pPr>
            <w:r>
              <w:rPr>
                <w:b/>
                <w:color w:val="000000"/>
              </w:rPr>
              <w:t>Carrying amount</w:t>
            </w:r>
          </w:p>
        </w:tc>
        <w:tc>
          <w:tcPr>
            <w:tcW w:w="1134" w:type="dxa"/>
            <w:vAlign w:val="bottom"/>
          </w:tcPr>
          <w:p w14:paraId="3823BC6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DFF678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A34658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728266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A559A34" w14:textId="77777777" w:rsidR="008E5DE4" w:rsidRDefault="008E5DE4">
            <w:pPr>
              <w:widowControl w:val="0"/>
              <w:pBdr>
                <w:top w:val="nil"/>
                <w:left w:val="nil"/>
                <w:bottom w:val="nil"/>
                <w:right w:val="nil"/>
                <w:between w:val="nil"/>
              </w:pBdr>
              <w:jc w:val="right"/>
              <w:rPr>
                <w:color w:val="000000"/>
              </w:rPr>
            </w:pPr>
          </w:p>
        </w:tc>
      </w:tr>
      <w:tr w:rsidR="008E5DE4" w14:paraId="734B7360" w14:textId="77777777">
        <w:trPr>
          <w:cantSplit/>
        </w:trPr>
        <w:tc>
          <w:tcPr>
            <w:tcW w:w="3685" w:type="dxa"/>
            <w:tcBorders>
              <w:bottom w:val="single" w:sz="12" w:space="0" w:color="000000"/>
            </w:tcBorders>
            <w:vAlign w:val="bottom"/>
          </w:tcPr>
          <w:p w14:paraId="75C62E2D"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4EE65D7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69CBEC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650A22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0E6895F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D4D232E" w14:textId="77777777" w:rsidR="008E5DE4" w:rsidRDefault="008E5DE4">
            <w:pPr>
              <w:widowControl w:val="0"/>
              <w:pBdr>
                <w:top w:val="nil"/>
                <w:left w:val="nil"/>
                <w:bottom w:val="nil"/>
                <w:right w:val="nil"/>
                <w:between w:val="nil"/>
              </w:pBdr>
              <w:jc w:val="right"/>
              <w:rPr>
                <w:color w:val="000000"/>
              </w:rPr>
            </w:pPr>
          </w:p>
        </w:tc>
      </w:tr>
    </w:tbl>
    <w:p w14:paraId="309617A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20</w:t>
      </w:r>
      <w:r>
        <w:rPr>
          <w:b/>
          <w:color w:val="000000"/>
          <w:sz w:val="20"/>
          <w:szCs w:val="20"/>
        </w:rPr>
        <w:tab/>
        <w:t>Trade and Other Receivables (Continued)</w:t>
      </w:r>
    </w:p>
    <w:p w14:paraId="0915F2D5" w14:textId="31231923" w:rsidR="008E5DE4" w:rsidRDefault="00780368">
      <w:pPr>
        <w:widowControl w:val="0"/>
        <w:spacing w:before="200" w:after="200"/>
        <w:jc w:val="both"/>
        <w:rPr>
          <w:sz w:val="20"/>
          <w:szCs w:val="20"/>
        </w:rPr>
      </w:pPr>
      <w:r>
        <w:rPr>
          <w:sz w:val="20"/>
          <w:szCs w:val="20"/>
        </w:rPr>
        <w:t xml:space="preserve">The carrying amount of other receivable </w:t>
      </w:r>
      <w:proofErr w:type="gramStart"/>
      <w:r>
        <w:rPr>
          <w:sz w:val="20"/>
          <w:szCs w:val="20"/>
        </w:rPr>
        <w:t>at</w:t>
      </w:r>
      <w:proofErr w:type="gramEnd"/>
      <w:r>
        <w:rPr>
          <w:sz w:val="20"/>
          <w:szCs w:val="20"/>
        </w:rPr>
        <w:t xml:space="preserve"> 31 December </w:t>
      </w:r>
      <w:r w:rsidR="00FF468A">
        <w:rPr>
          <w:sz w:val="20"/>
          <w:szCs w:val="20"/>
        </w:rPr>
        <w:t>2024</w:t>
      </w:r>
      <w:r>
        <w:rPr>
          <w:sz w:val="20"/>
          <w:szCs w:val="20"/>
        </w:rPr>
        <w:t xml:space="preserve"> below also represents the Group's maximum exposure to credit risk on these assets:</w:t>
      </w:r>
    </w:p>
    <w:tbl>
      <w:tblPr>
        <w:tblStyle w:val="afffffa"/>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62085982" w14:textId="77777777">
        <w:trPr>
          <w:cantSplit/>
          <w:tblHeader/>
        </w:trPr>
        <w:tc>
          <w:tcPr>
            <w:tcW w:w="3685" w:type="dxa"/>
            <w:tcBorders>
              <w:bottom w:val="single" w:sz="4" w:space="0" w:color="000000"/>
            </w:tcBorders>
            <w:vAlign w:val="bottom"/>
          </w:tcPr>
          <w:p w14:paraId="2A117959"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7B6905FF"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07181076"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413C260E"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3B8CC0D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21CF35E7"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25539611"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12B0D808" w14:textId="77777777" w:rsidR="008E5DE4" w:rsidRDefault="00780368">
            <w:pPr>
              <w:widowControl w:val="0"/>
              <w:pBdr>
                <w:top w:val="nil"/>
                <w:left w:val="nil"/>
                <w:bottom w:val="nil"/>
                <w:right w:val="nil"/>
                <w:between w:val="nil"/>
              </w:pBdr>
              <w:ind w:left="-113"/>
              <w:jc w:val="right"/>
              <w:rPr>
                <w:b/>
                <w:color w:val="000000"/>
              </w:rPr>
            </w:pPr>
            <w:r>
              <w:rPr>
                <w:b/>
                <w:color w:val="000000"/>
              </w:rPr>
              <w:t>POCI</w:t>
            </w:r>
          </w:p>
        </w:tc>
        <w:tc>
          <w:tcPr>
            <w:tcW w:w="1134" w:type="dxa"/>
            <w:tcBorders>
              <w:bottom w:val="single" w:sz="4" w:space="0" w:color="000000"/>
            </w:tcBorders>
          </w:tcPr>
          <w:p w14:paraId="255C53D2"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264FF5CE" w14:textId="77777777">
        <w:trPr>
          <w:cantSplit/>
          <w:tblHeader/>
        </w:trPr>
        <w:tc>
          <w:tcPr>
            <w:tcW w:w="3685" w:type="dxa"/>
            <w:vAlign w:val="bottom"/>
          </w:tcPr>
          <w:p w14:paraId="755EAF3C" w14:textId="77777777" w:rsidR="008E5DE4" w:rsidRDefault="00780368">
            <w:pPr>
              <w:widowControl w:val="0"/>
              <w:ind w:left="113" w:right="-57" w:hanging="113"/>
            </w:pPr>
            <w:r>
              <w:t> </w:t>
            </w:r>
          </w:p>
        </w:tc>
        <w:tc>
          <w:tcPr>
            <w:tcW w:w="1134" w:type="dxa"/>
            <w:vAlign w:val="bottom"/>
          </w:tcPr>
          <w:p w14:paraId="4C7576E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602BC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17B53C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34A73E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A4E3B90" w14:textId="77777777" w:rsidR="008E5DE4" w:rsidRDefault="008E5DE4">
            <w:pPr>
              <w:widowControl w:val="0"/>
              <w:pBdr>
                <w:top w:val="nil"/>
                <w:left w:val="nil"/>
                <w:bottom w:val="nil"/>
                <w:right w:val="nil"/>
                <w:between w:val="nil"/>
              </w:pBdr>
              <w:jc w:val="right"/>
              <w:rPr>
                <w:color w:val="000000"/>
              </w:rPr>
            </w:pPr>
          </w:p>
        </w:tc>
      </w:tr>
      <w:tr w:rsidR="008E5DE4" w14:paraId="6D64762D" w14:textId="77777777">
        <w:trPr>
          <w:cantSplit/>
        </w:trPr>
        <w:tc>
          <w:tcPr>
            <w:tcW w:w="3685" w:type="dxa"/>
            <w:vAlign w:val="bottom"/>
          </w:tcPr>
          <w:p w14:paraId="6495A84A"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Other financial receivables</w:t>
            </w:r>
          </w:p>
        </w:tc>
        <w:tc>
          <w:tcPr>
            <w:tcW w:w="1134" w:type="dxa"/>
            <w:vAlign w:val="bottom"/>
          </w:tcPr>
          <w:p w14:paraId="5C66118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2BB181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E9754E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A2525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43D43F1" w14:textId="77777777" w:rsidR="008E5DE4" w:rsidRDefault="008E5DE4">
            <w:pPr>
              <w:widowControl w:val="0"/>
              <w:pBdr>
                <w:top w:val="nil"/>
                <w:left w:val="nil"/>
                <w:bottom w:val="nil"/>
                <w:right w:val="nil"/>
                <w:between w:val="nil"/>
              </w:pBdr>
              <w:jc w:val="right"/>
              <w:rPr>
                <w:color w:val="000000"/>
              </w:rPr>
            </w:pPr>
          </w:p>
        </w:tc>
      </w:tr>
      <w:tr w:rsidR="008E5DE4" w14:paraId="74078965" w14:textId="77777777">
        <w:trPr>
          <w:cantSplit/>
        </w:trPr>
        <w:tc>
          <w:tcPr>
            <w:tcW w:w="3685" w:type="dxa"/>
            <w:vAlign w:val="bottom"/>
          </w:tcPr>
          <w:p w14:paraId="42167F7A"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7425512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A6F2E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DC04DB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727D9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448B2FF" w14:textId="77777777" w:rsidR="008E5DE4" w:rsidRDefault="008E5DE4">
            <w:pPr>
              <w:widowControl w:val="0"/>
              <w:pBdr>
                <w:top w:val="nil"/>
                <w:left w:val="nil"/>
                <w:bottom w:val="nil"/>
                <w:right w:val="nil"/>
                <w:between w:val="nil"/>
              </w:pBdr>
              <w:jc w:val="right"/>
              <w:rPr>
                <w:color w:val="000000"/>
              </w:rPr>
            </w:pPr>
          </w:p>
        </w:tc>
      </w:tr>
      <w:tr w:rsidR="008E5DE4" w14:paraId="62A2DFEA" w14:textId="77777777">
        <w:trPr>
          <w:cantSplit/>
        </w:trPr>
        <w:tc>
          <w:tcPr>
            <w:tcW w:w="3685" w:type="dxa"/>
            <w:vAlign w:val="bottom"/>
          </w:tcPr>
          <w:p w14:paraId="602EE0B3" w14:textId="77777777" w:rsidR="008E5DE4" w:rsidRDefault="00780368">
            <w:pPr>
              <w:widowControl w:val="0"/>
              <w:pBdr>
                <w:top w:val="nil"/>
                <w:left w:val="nil"/>
                <w:bottom w:val="nil"/>
                <w:right w:val="nil"/>
                <w:between w:val="nil"/>
              </w:pBdr>
              <w:ind w:left="113" w:right="-57" w:hanging="113"/>
              <w:rPr>
                <w:color w:val="000000"/>
              </w:rPr>
            </w:pPr>
            <w:r>
              <w:rPr>
                <w:color w:val="000000"/>
              </w:rPr>
              <w:t>- Excellent</w:t>
            </w:r>
          </w:p>
        </w:tc>
        <w:tc>
          <w:tcPr>
            <w:tcW w:w="1134" w:type="dxa"/>
            <w:vAlign w:val="bottom"/>
          </w:tcPr>
          <w:p w14:paraId="016F1A5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E52DB0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BAA017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4085BE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FBBCC8B" w14:textId="77777777" w:rsidR="008E5DE4" w:rsidRDefault="008E5DE4">
            <w:pPr>
              <w:widowControl w:val="0"/>
              <w:pBdr>
                <w:top w:val="nil"/>
                <w:left w:val="nil"/>
                <w:bottom w:val="nil"/>
                <w:right w:val="nil"/>
                <w:between w:val="nil"/>
              </w:pBdr>
              <w:jc w:val="right"/>
              <w:rPr>
                <w:color w:val="000000"/>
              </w:rPr>
            </w:pPr>
          </w:p>
        </w:tc>
      </w:tr>
      <w:tr w:rsidR="008E5DE4" w14:paraId="0B729A79" w14:textId="77777777">
        <w:trPr>
          <w:cantSplit/>
        </w:trPr>
        <w:tc>
          <w:tcPr>
            <w:tcW w:w="3685" w:type="dxa"/>
            <w:vAlign w:val="bottom"/>
          </w:tcPr>
          <w:p w14:paraId="1D74F1BF" w14:textId="77777777" w:rsidR="008E5DE4" w:rsidRDefault="00780368">
            <w:pPr>
              <w:widowControl w:val="0"/>
              <w:pBdr>
                <w:top w:val="nil"/>
                <w:left w:val="nil"/>
                <w:bottom w:val="nil"/>
                <w:right w:val="nil"/>
                <w:between w:val="nil"/>
              </w:pBdr>
              <w:ind w:left="113" w:right="-57" w:hanging="113"/>
              <w:rPr>
                <w:color w:val="000000"/>
              </w:rPr>
            </w:pPr>
            <w:r>
              <w:rPr>
                <w:color w:val="000000"/>
              </w:rPr>
              <w:t>- Good</w:t>
            </w:r>
          </w:p>
        </w:tc>
        <w:tc>
          <w:tcPr>
            <w:tcW w:w="1134" w:type="dxa"/>
            <w:vAlign w:val="bottom"/>
          </w:tcPr>
          <w:p w14:paraId="2A6AE8C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271039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4A2B36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C88B0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8B1A08" w14:textId="77777777" w:rsidR="008E5DE4" w:rsidRDefault="008E5DE4">
            <w:pPr>
              <w:widowControl w:val="0"/>
              <w:pBdr>
                <w:top w:val="nil"/>
                <w:left w:val="nil"/>
                <w:bottom w:val="nil"/>
                <w:right w:val="nil"/>
                <w:between w:val="nil"/>
              </w:pBdr>
              <w:jc w:val="right"/>
              <w:rPr>
                <w:color w:val="000000"/>
              </w:rPr>
            </w:pPr>
          </w:p>
        </w:tc>
      </w:tr>
      <w:tr w:rsidR="008E5DE4" w14:paraId="0DAE31C8" w14:textId="77777777">
        <w:trPr>
          <w:cantSplit/>
        </w:trPr>
        <w:tc>
          <w:tcPr>
            <w:tcW w:w="3685" w:type="dxa"/>
            <w:vAlign w:val="bottom"/>
          </w:tcPr>
          <w:p w14:paraId="469CC748" w14:textId="77777777" w:rsidR="008E5DE4" w:rsidRDefault="00780368">
            <w:pPr>
              <w:widowControl w:val="0"/>
              <w:pBdr>
                <w:top w:val="nil"/>
                <w:left w:val="nil"/>
                <w:bottom w:val="nil"/>
                <w:right w:val="nil"/>
                <w:between w:val="nil"/>
              </w:pBdr>
              <w:ind w:left="113" w:right="-57" w:hanging="113"/>
              <w:rPr>
                <w:color w:val="000000"/>
              </w:rPr>
            </w:pPr>
            <w:r>
              <w:rPr>
                <w:color w:val="000000"/>
              </w:rPr>
              <w:t>- Satisfactory</w:t>
            </w:r>
          </w:p>
        </w:tc>
        <w:tc>
          <w:tcPr>
            <w:tcW w:w="1134" w:type="dxa"/>
            <w:vAlign w:val="bottom"/>
          </w:tcPr>
          <w:p w14:paraId="0795FF4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06E423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0F0385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AAF1A9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A9B94F5" w14:textId="77777777" w:rsidR="008E5DE4" w:rsidRDefault="008E5DE4">
            <w:pPr>
              <w:widowControl w:val="0"/>
              <w:pBdr>
                <w:top w:val="nil"/>
                <w:left w:val="nil"/>
                <w:bottom w:val="nil"/>
                <w:right w:val="nil"/>
                <w:between w:val="nil"/>
              </w:pBdr>
              <w:jc w:val="right"/>
              <w:rPr>
                <w:color w:val="000000"/>
              </w:rPr>
            </w:pPr>
          </w:p>
        </w:tc>
      </w:tr>
      <w:tr w:rsidR="008E5DE4" w14:paraId="1764827C" w14:textId="77777777">
        <w:trPr>
          <w:cantSplit/>
        </w:trPr>
        <w:tc>
          <w:tcPr>
            <w:tcW w:w="3685" w:type="dxa"/>
            <w:vAlign w:val="bottom"/>
          </w:tcPr>
          <w:p w14:paraId="6EB870AA"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34C70DA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363050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8C3A23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4333AA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C5DD941" w14:textId="77777777" w:rsidR="008E5DE4" w:rsidRDefault="008E5DE4">
            <w:pPr>
              <w:widowControl w:val="0"/>
              <w:pBdr>
                <w:top w:val="nil"/>
                <w:left w:val="nil"/>
                <w:bottom w:val="nil"/>
                <w:right w:val="nil"/>
                <w:between w:val="nil"/>
              </w:pBdr>
              <w:jc w:val="right"/>
              <w:rPr>
                <w:color w:val="000000"/>
              </w:rPr>
            </w:pPr>
          </w:p>
        </w:tc>
      </w:tr>
      <w:tr w:rsidR="008E5DE4" w14:paraId="44A57650" w14:textId="77777777">
        <w:trPr>
          <w:cantSplit/>
        </w:trPr>
        <w:tc>
          <w:tcPr>
            <w:tcW w:w="3685" w:type="dxa"/>
            <w:vAlign w:val="bottom"/>
          </w:tcPr>
          <w:p w14:paraId="05EE89CB" w14:textId="77777777" w:rsidR="008E5DE4" w:rsidRDefault="00780368">
            <w:pPr>
              <w:widowControl w:val="0"/>
              <w:pBdr>
                <w:top w:val="nil"/>
                <w:left w:val="nil"/>
                <w:bottom w:val="nil"/>
                <w:right w:val="nil"/>
                <w:between w:val="nil"/>
              </w:pBdr>
              <w:ind w:left="113" w:right="-57" w:hanging="113"/>
              <w:rPr>
                <w:color w:val="000000"/>
              </w:rPr>
            </w:pPr>
            <w:r>
              <w:rPr>
                <w:color w:val="000000"/>
              </w:rPr>
              <w:t>- Default</w:t>
            </w:r>
          </w:p>
        </w:tc>
        <w:tc>
          <w:tcPr>
            <w:tcW w:w="1134" w:type="dxa"/>
            <w:vAlign w:val="bottom"/>
          </w:tcPr>
          <w:p w14:paraId="2B28F3C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D1E157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2ADBE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54262E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ED88CFC" w14:textId="77777777" w:rsidR="008E5DE4" w:rsidRDefault="008E5DE4">
            <w:pPr>
              <w:widowControl w:val="0"/>
              <w:pBdr>
                <w:top w:val="nil"/>
                <w:left w:val="nil"/>
                <w:bottom w:val="nil"/>
                <w:right w:val="nil"/>
                <w:between w:val="nil"/>
              </w:pBdr>
              <w:jc w:val="right"/>
              <w:rPr>
                <w:color w:val="000000"/>
              </w:rPr>
            </w:pPr>
          </w:p>
        </w:tc>
      </w:tr>
      <w:tr w:rsidR="008E5DE4" w14:paraId="12F5FDAF" w14:textId="77777777">
        <w:trPr>
          <w:cantSplit/>
        </w:trPr>
        <w:tc>
          <w:tcPr>
            <w:tcW w:w="3685" w:type="dxa"/>
            <w:tcBorders>
              <w:bottom w:val="single" w:sz="4" w:space="0" w:color="000000"/>
            </w:tcBorders>
            <w:vAlign w:val="bottom"/>
          </w:tcPr>
          <w:p w14:paraId="1AB8C1F1"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3CF4FD1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D9E1A3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560BF6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B9B527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0B88C96" w14:textId="77777777" w:rsidR="008E5DE4" w:rsidRDefault="008E5DE4">
            <w:pPr>
              <w:widowControl w:val="0"/>
              <w:pBdr>
                <w:top w:val="nil"/>
                <w:left w:val="nil"/>
                <w:bottom w:val="nil"/>
                <w:right w:val="nil"/>
                <w:between w:val="nil"/>
              </w:pBdr>
              <w:jc w:val="right"/>
              <w:rPr>
                <w:color w:val="000000"/>
              </w:rPr>
            </w:pPr>
          </w:p>
        </w:tc>
      </w:tr>
      <w:tr w:rsidR="008E5DE4" w14:paraId="4B9006BD" w14:textId="77777777">
        <w:trPr>
          <w:cantSplit/>
        </w:trPr>
        <w:tc>
          <w:tcPr>
            <w:tcW w:w="3685" w:type="dxa"/>
            <w:tcBorders>
              <w:top w:val="single" w:sz="4" w:space="0" w:color="000000"/>
            </w:tcBorders>
            <w:vAlign w:val="bottom"/>
          </w:tcPr>
          <w:p w14:paraId="0211D5FB"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014AA28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749CC3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52B58A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AF4B1B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85337CA" w14:textId="77777777" w:rsidR="008E5DE4" w:rsidRDefault="008E5DE4">
            <w:pPr>
              <w:widowControl w:val="0"/>
              <w:pBdr>
                <w:top w:val="nil"/>
                <w:left w:val="nil"/>
                <w:bottom w:val="nil"/>
                <w:right w:val="nil"/>
                <w:between w:val="nil"/>
              </w:pBdr>
              <w:jc w:val="right"/>
              <w:rPr>
                <w:color w:val="000000"/>
              </w:rPr>
            </w:pPr>
          </w:p>
        </w:tc>
      </w:tr>
      <w:tr w:rsidR="008E5DE4" w14:paraId="0D0F2272" w14:textId="77777777">
        <w:trPr>
          <w:cantSplit/>
        </w:trPr>
        <w:tc>
          <w:tcPr>
            <w:tcW w:w="3685" w:type="dxa"/>
            <w:vAlign w:val="bottom"/>
          </w:tcPr>
          <w:p w14:paraId="6F5F7000" w14:textId="77777777" w:rsidR="008E5DE4" w:rsidRDefault="00780368">
            <w:pPr>
              <w:widowControl w:val="0"/>
              <w:pBdr>
                <w:top w:val="nil"/>
                <w:left w:val="nil"/>
                <w:bottom w:val="nil"/>
                <w:right w:val="nil"/>
                <w:between w:val="nil"/>
              </w:pBdr>
              <w:ind w:left="113" w:right="-57" w:hanging="113"/>
              <w:rPr>
                <w:b/>
                <w:color w:val="000000"/>
              </w:rPr>
            </w:pPr>
            <w:r>
              <w:rPr>
                <w:b/>
                <w:color w:val="000000"/>
              </w:rPr>
              <w:t>Gross carrying amount</w:t>
            </w:r>
          </w:p>
        </w:tc>
        <w:tc>
          <w:tcPr>
            <w:tcW w:w="1134" w:type="dxa"/>
            <w:vAlign w:val="bottom"/>
          </w:tcPr>
          <w:p w14:paraId="3B58AD0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3F3D21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BCECA2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2E8DF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00A0FDB" w14:textId="77777777" w:rsidR="008E5DE4" w:rsidRDefault="008E5DE4">
            <w:pPr>
              <w:widowControl w:val="0"/>
              <w:pBdr>
                <w:top w:val="nil"/>
                <w:left w:val="nil"/>
                <w:bottom w:val="nil"/>
                <w:right w:val="nil"/>
                <w:between w:val="nil"/>
              </w:pBdr>
              <w:jc w:val="right"/>
              <w:rPr>
                <w:color w:val="000000"/>
              </w:rPr>
            </w:pPr>
          </w:p>
        </w:tc>
      </w:tr>
      <w:tr w:rsidR="008E5DE4" w14:paraId="63240982" w14:textId="77777777">
        <w:trPr>
          <w:cantSplit/>
        </w:trPr>
        <w:tc>
          <w:tcPr>
            <w:tcW w:w="3685" w:type="dxa"/>
            <w:tcBorders>
              <w:bottom w:val="single" w:sz="4" w:space="0" w:color="000000"/>
            </w:tcBorders>
            <w:vAlign w:val="bottom"/>
          </w:tcPr>
          <w:p w14:paraId="18A939BF"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2F190F0F"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F636E8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49497E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3941E7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461486B" w14:textId="77777777" w:rsidR="008E5DE4" w:rsidRDefault="008E5DE4">
            <w:pPr>
              <w:widowControl w:val="0"/>
              <w:pBdr>
                <w:top w:val="nil"/>
                <w:left w:val="nil"/>
                <w:bottom w:val="nil"/>
                <w:right w:val="nil"/>
                <w:between w:val="nil"/>
              </w:pBdr>
              <w:jc w:val="right"/>
              <w:rPr>
                <w:color w:val="000000"/>
              </w:rPr>
            </w:pPr>
          </w:p>
        </w:tc>
      </w:tr>
      <w:tr w:rsidR="008E5DE4" w14:paraId="75259123" w14:textId="77777777">
        <w:trPr>
          <w:cantSplit/>
        </w:trPr>
        <w:tc>
          <w:tcPr>
            <w:tcW w:w="3685" w:type="dxa"/>
            <w:tcBorders>
              <w:top w:val="single" w:sz="4" w:space="0" w:color="000000"/>
            </w:tcBorders>
            <w:vAlign w:val="bottom"/>
          </w:tcPr>
          <w:p w14:paraId="788DBBDB"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706CB58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57C9DFD"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8C5B15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330A2C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BE0ABA3" w14:textId="77777777" w:rsidR="008E5DE4" w:rsidRDefault="008E5DE4">
            <w:pPr>
              <w:widowControl w:val="0"/>
              <w:pBdr>
                <w:top w:val="nil"/>
                <w:left w:val="nil"/>
                <w:bottom w:val="nil"/>
                <w:right w:val="nil"/>
                <w:between w:val="nil"/>
              </w:pBdr>
              <w:jc w:val="right"/>
              <w:rPr>
                <w:color w:val="000000"/>
              </w:rPr>
            </w:pPr>
          </w:p>
        </w:tc>
      </w:tr>
      <w:tr w:rsidR="008E5DE4" w14:paraId="3B12B7D2" w14:textId="77777777">
        <w:trPr>
          <w:cantSplit/>
        </w:trPr>
        <w:tc>
          <w:tcPr>
            <w:tcW w:w="3685" w:type="dxa"/>
            <w:vAlign w:val="bottom"/>
          </w:tcPr>
          <w:p w14:paraId="3D3DE579"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34" w:type="dxa"/>
            <w:vAlign w:val="bottom"/>
          </w:tcPr>
          <w:p w14:paraId="0A99333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24F94A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206E7A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DF16D0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F04EFB" w14:textId="77777777" w:rsidR="008E5DE4" w:rsidRDefault="008E5DE4">
            <w:pPr>
              <w:widowControl w:val="0"/>
              <w:pBdr>
                <w:top w:val="nil"/>
                <w:left w:val="nil"/>
                <w:bottom w:val="nil"/>
                <w:right w:val="nil"/>
                <w:between w:val="nil"/>
              </w:pBdr>
              <w:jc w:val="right"/>
              <w:rPr>
                <w:color w:val="000000"/>
              </w:rPr>
            </w:pPr>
          </w:p>
        </w:tc>
      </w:tr>
      <w:tr w:rsidR="008E5DE4" w14:paraId="7E6BAFA8" w14:textId="77777777">
        <w:trPr>
          <w:cantSplit/>
        </w:trPr>
        <w:tc>
          <w:tcPr>
            <w:tcW w:w="3685" w:type="dxa"/>
            <w:vAlign w:val="bottom"/>
          </w:tcPr>
          <w:p w14:paraId="5822B573"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4697E58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4D435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B1D052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35C350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6B821E" w14:textId="77777777" w:rsidR="008E5DE4" w:rsidRDefault="008E5DE4">
            <w:pPr>
              <w:widowControl w:val="0"/>
              <w:pBdr>
                <w:top w:val="nil"/>
                <w:left w:val="nil"/>
                <w:bottom w:val="nil"/>
                <w:right w:val="nil"/>
                <w:between w:val="nil"/>
              </w:pBdr>
              <w:jc w:val="right"/>
              <w:rPr>
                <w:color w:val="000000"/>
              </w:rPr>
            </w:pPr>
          </w:p>
        </w:tc>
      </w:tr>
      <w:tr w:rsidR="008E5DE4" w14:paraId="7FAF0907" w14:textId="77777777">
        <w:trPr>
          <w:cantSplit/>
        </w:trPr>
        <w:tc>
          <w:tcPr>
            <w:tcW w:w="3685" w:type="dxa"/>
            <w:tcBorders>
              <w:top w:val="single" w:sz="4" w:space="0" w:color="000000"/>
            </w:tcBorders>
            <w:vAlign w:val="bottom"/>
          </w:tcPr>
          <w:p w14:paraId="043EBC7E"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75D1D60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E0BF95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C689C8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449A36F"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80FC2C0" w14:textId="77777777" w:rsidR="008E5DE4" w:rsidRDefault="008E5DE4">
            <w:pPr>
              <w:widowControl w:val="0"/>
              <w:pBdr>
                <w:top w:val="nil"/>
                <w:left w:val="nil"/>
                <w:bottom w:val="nil"/>
                <w:right w:val="nil"/>
                <w:between w:val="nil"/>
              </w:pBdr>
              <w:jc w:val="right"/>
              <w:rPr>
                <w:color w:val="000000"/>
              </w:rPr>
            </w:pPr>
          </w:p>
        </w:tc>
      </w:tr>
      <w:tr w:rsidR="008E5DE4" w14:paraId="5931B210" w14:textId="77777777">
        <w:trPr>
          <w:cantSplit/>
        </w:trPr>
        <w:tc>
          <w:tcPr>
            <w:tcW w:w="3685" w:type="dxa"/>
            <w:vAlign w:val="bottom"/>
          </w:tcPr>
          <w:p w14:paraId="78FA441B" w14:textId="77777777" w:rsidR="008E5DE4" w:rsidRDefault="00780368">
            <w:pPr>
              <w:widowControl w:val="0"/>
              <w:pBdr>
                <w:top w:val="nil"/>
                <w:left w:val="nil"/>
                <w:bottom w:val="nil"/>
                <w:right w:val="nil"/>
                <w:between w:val="nil"/>
              </w:pBdr>
              <w:ind w:left="113" w:right="-57" w:hanging="113"/>
              <w:rPr>
                <w:b/>
                <w:color w:val="000000"/>
              </w:rPr>
            </w:pPr>
            <w:r>
              <w:rPr>
                <w:b/>
                <w:color w:val="000000"/>
              </w:rPr>
              <w:t>Carrying amount</w:t>
            </w:r>
          </w:p>
        </w:tc>
        <w:tc>
          <w:tcPr>
            <w:tcW w:w="1134" w:type="dxa"/>
            <w:vAlign w:val="bottom"/>
          </w:tcPr>
          <w:p w14:paraId="3413B5A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2D56A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D63513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2E819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2D7D6D" w14:textId="77777777" w:rsidR="008E5DE4" w:rsidRDefault="008E5DE4">
            <w:pPr>
              <w:widowControl w:val="0"/>
              <w:pBdr>
                <w:top w:val="nil"/>
                <w:left w:val="nil"/>
                <w:bottom w:val="nil"/>
                <w:right w:val="nil"/>
                <w:between w:val="nil"/>
              </w:pBdr>
              <w:jc w:val="right"/>
              <w:rPr>
                <w:color w:val="000000"/>
              </w:rPr>
            </w:pPr>
          </w:p>
        </w:tc>
      </w:tr>
      <w:tr w:rsidR="008E5DE4" w14:paraId="67FD424B" w14:textId="77777777">
        <w:trPr>
          <w:cantSplit/>
        </w:trPr>
        <w:tc>
          <w:tcPr>
            <w:tcW w:w="3685" w:type="dxa"/>
            <w:tcBorders>
              <w:bottom w:val="single" w:sz="12" w:space="0" w:color="000000"/>
            </w:tcBorders>
            <w:vAlign w:val="bottom"/>
          </w:tcPr>
          <w:p w14:paraId="6288E621"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38F1636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1F7FDB23"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07068A5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20F5B6B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0D6EA003" w14:textId="77777777" w:rsidR="008E5DE4" w:rsidRDefault="008E5DE4">
            <w:pPr>
              <w:widowControl w:val="0"/>
              <w:pBdr>
                <w:top w:val="nil"/>
                <w:left w:val="nil"/>
                <w:bottom w:val="nil"/>
                <w:right w:val="nil"/>
                <w:between w:val="nil"/>
              </w:pBdr>
              <w:jc w:val="right"/>
              <w:rPr>
                <w:color w:val="000000"/>
              </w:rPr>
            </w:pPr>
          </w:p>
        </w:tc>
      </w:tr>
    </w:tbl>
    <w:p w14:paraId="79E521B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20</w:t>
      </w:r>
      <w:r>
        <w:rPr>
          <w:b/>
          <w:color w:val="000000"/>
          <w:sz w:val="20"/>
          <w:szCs w:val="20"/>
        </w:rPr>
        <w:tab/>
        <w:t>Trade and Other Receivables (Continued)</w:t>
      </w:r>
    </w:p>
    <w:p w14:paraId="664B6DF4" w14:textId="4099C830"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other financial receivables were as follows in </w:t>
      </w:r>
      <w:r w:rsidR="008614F8">
        <w:rPr>
          <w:color w:val="000000"/>
          <w:sz w:val="20"/>
          <w:szCs w:val="20"/>
        </w:rPr>
        <w:t>2025</w:t>
      </w:r>
      <w:r>
        <w:rPr>
          <w:color w:val="000000"/>
          <w:sz w:val="20"/>
          <w:szCs w:val="20"/>
        </w:rPr>
        <w:t xml:space="preserve">. </w:t>
      </w:r>
    </w:p>
    <w:tbl>
      <w:tblPr>
        <w:tblStyle w:val="afffffb"/>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6AA0B357" w14:textId="77777777">
        <w:trPr>
          <w:cantSplit/>
          <w:trHeight w:val="169"/>
          <w:tblHeader/>
        </w:trPr>
        <w:tc>
          <w:tcPr>
            <w:tcW w:w="3061" w:type="dxa"/>
            <w:vAlign w:val="bottom"/>
          </w:tcPr>
          <w:p w14:paraId="76C608DF"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264F4E0C"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4B71DFBA"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481A7865" w14:textId="77777777">
        <w:trPr>
          <w:cantSplit/>
          <w:trHeight w:val="507"/>
          <w:tblHeader/>
        </w:trPr>
        <w:tc>
          <w:tcPr>
            <w:tcW w:w="3061" w:type="dxa"/>
            <w:tcBorders>
              <w:bottom w:val="single" w:sz="4" w:space="0" w:color="000000"/>
            </w:tcBorders>
            <w:vAlign w:val="bottom"/>
          </w:tcPr>
          <w:p w14:paraId="320D0977" w14:textId="77777777" w:rsidR="008E5DE4" w:rsidRDefault="008E5DE4">
            <w:pPr>
              <w:widowControl w:val="0"/>
              <w:pBdr>
                <w:top w:val="nil"/>
                <w:left w:val="nil"/>
                <w:bottom w:val="nil"/>
                <w:right w:val="nil"/>
                <w:between w:val="nil"/>
              </w:pBdr>
              <w:ind w:left="113" w:right="-57" w:hanging="113"/>
              <w:rPr>
                <w:i/>
                <w:color w:val="000000"/>
              </w:rPr>
            </w:pPr>
          </w:p>
          <w:p w14:paraId="3930F38C"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25FC091E"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0F693C5"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1E8FDE89"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1058EBD0"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3E5B4D53"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4FB23CEC"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03D8066D"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117B2B2A"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3D339A23"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7FAD0D2C"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CDF56BC"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0F0F269E"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53493757"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3ADCEA6F"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4061F9F6" w14:textId="77777777">
        <w:trPr>
          <w:cantSplit/>
          <w:trHeight w:val="169"/>
          <w:tblHeader/>
        </w:trPr>
        <w:tc>
          <w:tcPr>
            <w:tcW w:w="3061" w:type="dxa"/>
            <w:vAlign w:val="bottom"/>
          </w:tcPr>
          <w:p w14:paraId="3A898CE3" w14:textId="77777777" w:rsidR="008E5DE4" w:rsidRDefault="008E5DE4">
            <w:pPr>
              <w:widowControl w:val="0"/>
              <w:ind w:left="113" w:right="-57" w:hanging="113"/>
            </w:pPr>
          </w:p>
        </w:tc>
        <w:tc>
          <w:tcPr>
            <w:tcW w:w="851" w:type="dxa"/>
            <w:vAlign w:val="bottom"/>
          </w:tcPr>
          <w:p w14:paraId="49EEC445"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67EC62C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2976D92"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6537A18" w14:textId="77777777" w:rsidR="008E5DE4" w:rsidRDefault="008E5DE4">
            <w:pPr>
              <w:widowControl w:val="0"/>
              <w:pBdr>
                <w:top w:val="nil"/>
                <w:left w:val="nil"/>
                <w:bottom w:val="nil"/>
                <w:right w:val="nil"/>
                <w:between w:val="nil"/>
              </w:pBdr>
              <w:jc w:val="right"/>
              <w:rPr>
                <w:color w:val="000000"/>
              </w:rPr>
            </w:pPr>
          </w:p>
        </w:tc>
        <w:tc>
          <w:tcPr>
            <w:tcW w:w="871" w:type="dxa"/>
          </w:tcPr>
          <w:p w14:paraId="3B7FAE88" w14:textId="77777777" w:rsidR="008E5DE4" w:rsidRDefault="008E5DE4">
            <w:pPr>
              <w:widowControl w:val="0"/>
              <w:pBdr>
                <w:top w:val="nil"/>
                <w:left w:val="nil"/>
                <w:bottom w:val="nil"/>
                <w:right w:val="nil"/>
                <w:between w:val="nil"/>
              </w:pBdr>
              <w:jc w:val="right"/>
              <w:rPr>
                <w:color w:val="000000"/>
              </w:rPr>
            </w:pPr>
          </w:p>
        </w:tc>
        <w:tc>
          <w:tcPr>
            <w:tcW w:w="856" w:type="dxa"/>
          </w:tcPr>
          <w:p w14:paraId="2C5759A5" w14:textId="77777777" w:rsidR="008E5DE4" w:rsidRDefault="008E5DE4">
            <w:pPr>
              <w:widowControl w:val="0"/>
              <w:pBdr>
                <w:top w:val="nil"/>
                <w:left w:val="nil"/>
                <w:bottom w:val="nil"/>
                <w:right w:val="nil"/>
                <w:between w:val="nil"/>
              </w:pBdr>
              <w:jc w:val="right"/>
              <w:rPr>
                <w:color w:val="000000"/>
              </w:rPr>
            </w:pPr>
          </w:p>
        </w:tc>
        <w:tc>
          <w:tcPr>
            <w:tcW w:w="856" w:type="dxa"/>
          </w:tcPr>
          <w:p w14:paraId="2E16D84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D74AEC8" w14:textId="77777777" w:rsidR="008E5DE4" w:rsidRDefault="008E5DE4">
            <w:pPr>
              <w:widowControl w:val="0"/>
              <w:pBdr>
                <w:top w:val="nil"/>
                <w:left w:val="nil"/>
                <w:bottom w:val="nil"/>
                <w:right w:val="nil"/>
                <w:between w:val="nil"/>
              </w:pBdr>
              <w:jc w:val="right"/>
              <w:rPr>
                <w:color w:val="000000"/>
              </w:rPr>
            </w:pPr>
          </w:p>
        </w:tc>
      </w:tr>
      <w:tr w:rsidR="008E5DE4" w14:paraId="4EF4B484" w14:textId="77777777">
        <w:trPr>
          <w:cantSplit/>
          <w:trHeight w:val="169"/>
        </w:trPr>
        <w:tc>
          <w:tcPr>
            <w:tcW w:w="3061" w:type="dxa"/>
            <w:vAlign w:val="bottom"/>
          </w:tcPr>
          <w:p w14:paraId="09BF1AE7"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Other financial receivables</w:t>
            </w:r>
          </w:p>
        </w:tc>
        <w:tc>
          <w:tcPr>
            <w:tcW w:w="851" w:type="dxa"/>
            <w:vAlign w:val="bottom"/>
          </w:tcPr>
          <w:p w14:paraId="0377BCC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392D6B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34521C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E2E62BB" w14:textId="77777777" w:rsidR="008E5DE4" w:rsidRDefault="008E5DE4">
            <w:pPr>
              <w:widowControl w:val="0"/>
              <w:pBdr>
                <w:top w:val="nil"/>
                <w:left w:val="nil"/>
                <w:bottom w:val="nil"/>
                <w:right w:val="nil"/>
                <w:between w:val="nil"/>
              </w:pBdr>
              <w:jc w:val="right"/>
              <w:rPr>
                <w:color w:val="000000"/>
              </w:rPr>
            </w:pPr>
          </w:p>
        </w:tc>
        <w:tc>
          <w:tcPr>
            <w:tcW w:w="871" w:type="dxa"/>
          </w:tcPr>
          <w:p w14:paraId="748E6EAE" w14:textId="77777777" w:rsidR="008E5DE4" w:rsidRDefault="008E5DE4">
            <w:pPr>
              <w:widowControl w:val="0"/>
              <w:pBdr>
                <w:top w:val="nil"/>
                <w:left w:val="nil"/>
                <w:bottom w:val="nil"/>
                <w:right w:val="nil"/>
                <w:between w:val="nil"/>
              </w:pBdr>
              <w:jc w:val="right"/>
              <w:rPr>
                <w:color w:val="000000"/>
              </w:rPr>
            </w:pPr>
          </w:p>
        </w:tc>
        <w:tc>
          <w:tcPr>
            <w:tcW w:w="856" w:type="dxa"/>
          </w:tcPr>
          <w:p w14:paraId="173905BF" w14:textId="77777777" w:rsidR="008E5DE4" w:rsidRDefault="008E5DE4">
            <w:pPr>
              <w:widowControl w:val="0"/>
              <w:pBdr>
                <w:top w:val="nil"/>
                <w:left w:val="nil"/>
                <w:bottom w:val="nil"/>
                <w:right w:val="nil"/>
                <w:between w:val="nil"/>
              </w:pBdr>
              <w:jc w:val="right"/>
              <w:rPr>
                <w:color w:val="000000"/>
              </w:rPr>
            </w:pPr>
          </w:p>
        </w:tc>
        <w:tc>
          <w:tcPr>
            <w:tcW w:w="856" w:type="dxa"/>
          </w:tcPr>
          <w:p w14:paraId="019E1FA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A31AE33" w14:textId="77777777" w:rsidR="008E5DE4" w:rsidRDefault="008E5DE4">
            <w:pPr>
              <w:widowControl w:val="0"/>
              <w:pBdr>
                <w:top w:val="nil"/>
                <w:left w:val="nil"/>
                <w:bottom w:val="nil"/>
                <w:right w:val="nil"/>
                <w:between w:val="nil"/>
              </w:pBdr>
              <w:jc w:val="right"/>
              <w:rPr>
                <w:color w:val="000000"/>
              </w:rPr>
            </w:pPr>
          </w:p>
        </w:tc>
      </w:tr>
      <w:tr w:rsidR="008E5DE4" w14:paraId="5289D97B" w14:textId="77777777">
        <w:trPr>
          <w:cantSplit/>
          <w:trHeight w:val="169"/>
        </w:trPr>
        <w:tc>
          <w:tcPr>
            <w:tcW w:w="3061" w:type="dxa"/>
            <w:vAlign w:val="bottom"/>
          </w:tcPr>
          <w:p w14:paraId="1CBE1711"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4387A09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527E02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5CDF25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8D778E1" w14:textId="77777777" w:rsidR="008E5DE4" w:rsidRDefault="008E5DE4">
            <w:pPr>
              <w:widowControl w:val="0"/>
              <w:pBdr>
                <w:top w:val="nil"/>
                <w:left w:val="nil"/>
                <w:bottom w:val="nil"/>
                <w:right w:val="nil"/>
                <w:between w:val="nil"/>
              </w:pBdr>
              <w:jc w:val="right"/>
              <w:rPr>
                <w:color w:val="000000"/>
              </w:rPr>
            </w:pPr>
          </w:p>
        </w:tc>
        <w:tc>
          <w:tcPr>
            <w:tcW w:w="871" w:type="dxa"/>
          </w:tcPr>
          <w:p w14:paraId="2D453831" w14:textId="77777777" w:rsidR="008E5DE4" w:rsidRDefault="008E5DE4">
            <w:pPr>
              <w:widowControl w:val="0"/>
              <w:pBdr>
                <w:top w:val="nil"/>
                <w:left w:val="nil"/>
                <w:bottom w:val="nil"/>
                <w:right w:val="nil"/>
                <w:between w:val="nil"/>
              </w:pBdr>
              <w:jc w:val="right"/>
              <w:rPr>
                <w:color w:val="000000"/>
              </w:rPr>
            </w:pPr>
          </w:p>
        </w:tc>
        <w:tc>
          <w:tcPr>
            <w:tcW w:w="856" w:type="dxa"/>
          </w:tcPr>
          <w:p w14:paraId="53896B38" w14:textId="77777777" w:rsidR="008E5DE4" w:rsidRDefault="008E5DE4">
            <w:pPr>
              <w:widowControl w:val="0"/>
              <w:pBdr>
                <w:top w:val="nil"/>
                <w:left w:val="nil"/>
                <w:bottom w:val="nil"/>
                <w:right w:val="nil"/>
                <w:between w:val="nil"/>
              </w:pBdr>
              <w:jc w:val="right"/>
              <w:rPr>
                <w:color w:val="000000"/>
              </w:rPr>
            </w:pPr>
          </w:p>
        </w:tc>
        <w:tc>
          <w:tcPr>
            <w:tcW w:w="856" w:type="dxa"/>
          </w:tcPr>
          <w:p w14:paraId="59E31EC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91FC307" w14:textId="77777777" w:rsidR="008E5DE4" w:rsidRDefault="008E5DE4">
            <w:pPr>
              <w:widowControl w:val="0"/>
              <w:pBdr>
                <w:top w:val="nil"/>
                <w:left w:val="nil"/>
                <w:bottom w:val="nil"/>
                <w:right w:val="nil"/>
                <w:between w:val="nil"/>
              </w:pBdr>
              <w:jc w:val="right"/>
              <w:rPr>
                <w:color w:val="000000"/>
              </w:rPr>
            </w:pPr>
          </w:p>
        </w:tc>
      </w:tr>
      <w:tr w:rsidR="008E5DE4" w14:paraId="184E420D" w14:textId="77777777">
        <w:trPr>
          <w:cantSplit/>
          <w:trHeight w:val="169"/>
        </w:trPr>
        <w:tc>
          <w:tcPr>
            <w:tcW w:w="3061" w:type="dxa"/>
            <w:vAlign w:val="bottom"/>
          </w:tcPr>
          <w:p w14:paraId="0D6919EE" w14:textId="63286AD1"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1414759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FEECE5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76E757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39DF163" w14:textId="77777777" w:rsidR="008E5DE4" w:rsidRDefault="008E5DE4">
            <w:pPr>
              <w:widowControl w:val="0"/>
              <w:pBdr>
                <w:top w:val="nil"/>
                <w:left w:val="nil"/>
                <w:bottom w:val="nil"/>
                <w:right w:val="nil"/>
                <w:between w:val="nil"/>
              </w:pBdr>
              <w:jc w:val="right"/>
              <w:rPr>
                <w:color w:val="000000"/>
              </w:rPr>
            </w:pPr>
          </w:p>
        </w:tc>
        <w:tc>
          <w:tcPr>
            <w:tcW w:w="871" w:type="dxa"/>
          </w:tcPr>
          <w:p w14:paraId="7D42268C" w14:textId="77777777" w:rsidR="008E5DE4" w:rsidRDefault="008E5DE4">
            <w:pPr>
              <w:widowControl w:val="0"/>
              <w:pBdr>
                <w:top w:val="nil"/>
                <w:left w:val="nil"/>
                <w:bottom w:val="nil"/>
                <w:right w:val="nil"/>
                <w:between w:val="nil"/>
              </w:pBdr>
              <w:jc w:val="right"/>
              <w:rPr>
                <w:color w:val="000000"/>
              </w:rPr>
            </w:pPr>
          </w:p>
        </w:tc>
        <w:tc>
          <w:tcPr>
            <w:tcW w:w="856" w:type="dxa"/>
          </w:tcPr>
          <w:p w14:paraId="6DCDC2EA" w14:textId="77777777" w:rsidR="008E5DE4" w:rsidRDefault="008E5DE4">
            <w:pPr>
              <w:widowControl w:val="0"/>
              <w:pBdr>
                <w:top w:val="nil"/>
                <w:left w:val="nil"/>
                <w:bottom w:val="nil"/>
                <w:right w:val="nil"/>
                <w:between w:val="nil"/>
              </w:pBdr>
              <w:jc w:val="right"/>
              <w:rPr>
                <w:color w:val="000000"/>
              </w:rPr>
            </w:pPr>
          </w:p>
        </w:tc>
        <w:tc>
          <w:tcPr>
            <w:tcW w:w="856" w:type="dxa"/>
          </w:tcPr>
          <w:p w14:paraId="09BB872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A3D2F58" w14:textId="77777777" w:rsidR="008E5DE4" w:rsidRDefault="008E5DE4">
            <w:pPr>
              <w:widowControl w:val="0"/>
              <w:pBdr>
                <w:top w:val="nil"/>
                <w:left w:val="nil"/>
                <w:bottom w:val="nil"/>
                <w:right w:val="nil"/>
                <w:between w:val="nil"/>
              </w:pBdr>
              <w:jc w:val="right"/>
              <w:rPr>
                <w:color w:val="000000"/>
              </w:rPr>
            </w:pPr>
          </w:p>
        </w:tc>
      </w:tr>
      <w:tr w:rsidR="008E5DE4" w14:paraId="46724327" w14:textId="77777777">
        <w:trPr>
          <w:cantSplit/>
          <w:trHeight w:val="676"/>
        </w:trPr>
        <w:tc>
          <w:tcPr>
            <w:tcW w:w="3061" w:type="dxa"/>
            <w:vAlign w:val="bottom"/>
          </w:tcPr>
          <w:p w14:paraId="0D48A299" w14:textId="77777777" w:rsidR="008E5DE4" w:rsidRDefault="008E5DE4">
            <w:pPr>
              <w:widowControl w:val="0"/>
              <w:pBdr>
                <w:top w:val="nil"/>
                <w:left w:val="nil"/>
                <w:bottom w:val="nil"/>
                <w:right w:val="nil"/>
                <w:between w:val="nil"/>
              </w:pBdr>
              <w:ind w:left="113" w:right="-57" w:hanging="113"/>
              <w:rPr>
                <w:b/>
                <w:color w:val="000000"/>
              </w:rPr>
            </w:pPr>
          </w:p>
          <w:p w14:paraId="36929210"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2FFA386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D533B1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D0E892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1B01539" w14:textId="77777777" w:rsidR="008E5DE4" w:rsidRDefault="008E5DE4">
            <w:pPr>
              <w:widowControl w:val="0"/>
              <w:pBdr>
                <w:top w:val="nil"/>
                <w:left w:val="nil"/>
                <w:bottom w:val="nil"/>
                <w:right w:val="nil"/>
                <w:between w:val="nil"/>
              </w:pBdr>
              <w:jc w:val="right"/>
              <w:rPr>
                <w:color w:val="000000"/>
              </w:rPr>
            </w:pPr>
          </w:p>
        </w:tc>
        <w:tc>
          <w:tcPr>
            <w:tcW w:w="871" w:type="dxa"/>
          </w:tcPr>
          <w:p w14:paraId="3B2B2252"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00D06BE0" w14:textId="77777777" w:rsidR="008E5DE4" w:rsidRDefault="008E5DE4">
            <w:pPr>
              <w:widowControl w:val="0"/>
              <w:pBdr>
                <w:top w:val="nil"/>
                <w:left w:val="nil"/>
                <w:bottom w:val="nil"/>
                <w:right w:val="nil"/>
                <w:between w:val="nil"/>
              </w:pBdr>
              <w:jc w:val="right"/>
              <w:rPr>
                <w:color w:val="000000"/>
              </w:rPr>
            </w:pPr>
          </w:p>
        </w:tc>
        <w:tc>
          <w:tcPr>
            <w:tcW w:w="856" w:type="dxa"/>
          </w:tcPr>
          <w:p w14:paraId="56C719C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F360533" w14:textId="77777777" w:rsidR="008E5DE4" w:rsidRDefault="008E5DE4">
            <w:pPr>
              <w:widowControl w:val="0"/>
              <w:pBdr>
                <w:top w:val="nil"/>
                <w:left w:val="nil"/>
                <w:bottom w:val="nil"/>
                <w:right w:val="nil"/>
                <w:between w:val="nil"/>
              </w:pBdr>
              <w:jc w:val="right"/>
              <w:rPr>
                <w:color w:val="000000"/>
              </w:rPr>
            </w:pPr>
          </w:p>
        </w:tc>
      </w:tr>
      <w:tr w:rsidR="008E5DE4" w14:paraId="1EFA6664" w14:textId="77777777">
        <w:trPr>
          <w:cantSplit/>
          <w:trHeight w:val="184"/>
        </w:trPr>
        <w:tc>
          <w:tcPr>
            <w:tcW w:w="3061" w:type="dxa"/>
            <w:vAlign w:val="bottom"/>
          </w:tcPr>
          <w:p w14:paraId="28870FE7"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6079D78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D4D276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3ECCB4B"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E3FDD47"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318CF4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9D397A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56DAD7F"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BA5B414" w14:textId="77777777" w:rsidR="008E5DE4" w:rsidRDefault="008E5DE4">
            <w:pPr>
              <w:widowControl w:val="0"/>
              <w:pBdr>
                <w:top w:val="nil"/>
                <w:left w:val="nil"/>
                <w:bottom w:val="nil"/>
                <w:right w:val="nil"/>
                <w:between w:val="nil"/>
              </w:pBdr>
              <w:jc w:val="right"/>
              <w:rPr>
                <w:color w:val="000000"/>
                <w:highlight w:val="green"/>
              </w:rPr>
            </w:pPr>
          </w:p>
        </w:tc>
      </w:tr>
      <w:tr w:rsidR="008E5DE4" w14:paraId="558B3E3F" w14:textId="77777777">
        <w:trPr>
          <w:cantSplit/>
          <w:trHeight w:val="184"/>
        </w:trPr>
        <w:tc>
          <w:tcPr>
            <w:tcW w:w="3061" w:type="dxa"/>
            <w:vAlign w:val="bottom"/>
          </w:tcPr>
          <w:p w14:paraId="0736DF60"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5F241F9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7DBF8A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CDE3B7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49C0B31"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1660AC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2B9369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66EEEDC"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8CE1869" w14:textId="77777777" w:rsidR="008E5DE4" w:rsidRDefault="008E5DE4">
            <w:pPr>
              <w:widowControl w:val="0"/>
              <w:pBdr>
                <w:top w:val="nil"/>
                <w:left w:val="nil"/>
                <w:bottom w:val="nil"/>
                <w:right w:val="nil"/>
                <w:between w:val="nil"/>
              </w:pBdr>
              <w:jc w:val="right"/>
              <w:rPr>
                <w:color w:val="000000"/>
                <w:highlight w:val="green"/>
              </w:rPr>
            </w:pPr>
          </w:p>
        </w:tc>
      </w:tr>
      <w:tr w:rsidR="008E5DE4" w14:paraId="6C4B610B" w14:textId="77777777">
        <w:trPr>
          <w:cantSplit/>
          <w:trHeight w:val="80"/>
        </w:trPr>
        <w:tc>
          <w:tcPr>
            <w:tcW w:w="3061" w:type="dxa"/>
            <w:vAlign w:val="bottom"/>
          </w:tcPr>
          <w:p w14:paraId="59DFE960"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7E08F6B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8ECD6F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0FEB21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60314B0"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F3D995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930DD7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2AC50D4"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7A5BCDE" w14:textId="77777777" w:rsidR="008E5DE4" w:rsidRDefault="008E5DE4">
            <w:pPr>
              <w:widowControl w:val="0"/>
              <w:pBdr>
                <w:top w:val="nil"/>
                <w:left w:val="nil"/>
                <w:bottom w:val="nil"/>
                <w:right w:val="nil"/>
                <w:between w:val="nil"/>
              </w:pBdr>
              <w:jc w:val="right"/>
              <w:rPr>
                <w:color w:val="000000"/>
                <w:highlight w:val="green"/>
              </w:rPr>
            </w:pPr>
          </w:p>
        </w:tc>
      </w:tr>
      <w:tr w:rsidR="008E5DE4" w14:paraId="2AE52089" w14:textId="77777777">
        <w:trPr>
          <w:cantSplit/>
          <w:trHeight w:val="80"/>
        </w:trPr>
        <w:tc>
          <w:tcPr>
            <w:tcW w:w="3061" w:type="dxa"/>
            <w:vAlign w:val="bottom"/>
          </w:tcPr>
          <w:p w14:paraId="22D6DF61"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284453CC"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04F7E7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4B48941"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D026883"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0706AF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3C5606C"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610FA61"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46251B3" w14:textId="77777777" w:rsidR="008E5DE4" w:rsidRDefault="008E5DE4">
            <w:pPr>
              <w:widowControl w:val="0"/>
              <w:pBdr>
                <w:top w:val="nil"/>
                <w:left w:val="nil"/>
                <w:bottom w:val="nil"/>
                <w:right w:val="nil"/>
                <w:between w:val="nil"/>
              </w:pBdr>
              <w:jc w:val="right"/>
              <w:rPr>
                <w:color w:val="000000"/>
                <w:highlight w:val="green"/>
              </w:rPr>
            </w:pPr>
          </w:p>
        </w:tc>
      </w:tr>
      <w:tr w:rsidR="008E5DE4" w14:paraId="216B32D8" w14:textId="77777777">
        <w:trPr>
          <w:cantSplit/>
          <w:trHeight w:val="361"/>
        </w:trPr>
        <w:tc>
          <w:tcPr>
            <w:tcW w:w="3061" w:type="dxa"/>
            <w:vAlign w:val="bottom"/>
          </w:tcPr>
          <w:p w14:paraId="331DFFD0"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20EB927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85E0EF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B719EC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0E53233"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3C3BCA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729ECE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E72FCCB"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C58B02A" w14:textId="77777777" w:rsidR="008E5DE4" w:rsidRDefault="008E5DE4">
            <w:pPr>
              <w:widowControl w:val="0"/>
              <w:pBdr>
                <w:top w:val="nil"/>
                <w:left w:val="nil"/>
                <w:bottom w:val="nil"/>
                <w:right w:val="nil"/>
                <w:between w:val="nil"/>
              </w:pBdr>
              <w:jc w:val="right"/>
              <w:rPr>
                <w:color w:val="000000"/>
                <w:highlight w:val="green"/>
              </w:rPr>
            </w:pPr>
          </w:p>
        </w:tc>
      </w:tr>
      <w:tr w:rsidR="008E5DE4" w14:paraId="670EB49A" w14:textId="77777777">
        <w:trPr>
          <w:cantSplit/>
          <w:trHeight w:val="169"/>
        </w:trPr>
        <w:tc>
          <w:tcPr>
            <w:tcW w:w="3061" w:type="dxa"/>
            <w:vAlign w:val="bottom"/>
          </w:tcPr>
          <w:p w14:paraId="288A5E6A"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5F54C91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2B38D9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D4B949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7909B01" w14:textId="77777777" w:rsidR="008E5DE4" w:rsidRDefault="008E5DE4">
            <w:pPr>
              <w:widowControl w:val="0"/>
              <w:pBdr>
                <w:top w:val="nil"/>
                <w:left w:val="nil"/>
                <w:bottom w:val="nil"/>
                <w:right w:val="nil"/>
                <w:between w:val="nil"/>
              </w:pBdr>
              <w:jc w:val="right"/>
              <w:rPr>
                <w:color w:val="000000"/>
              </w:rPr>
            </w:pPr>
          </w:p>
        </w:tc>
        <w:tc>
          <w:tcPr>
            <w:tcW w:w="871" w:type="dxa"/>
          </w:tcPr>
          <w:p w14:paraId="31976502" w14:textId="77777777" w:rsidR="008E5DE4" w:rsidRDefault="008E5DE4">
            <w:pPr>
              <w:widowControl w:val="0"/>
              <w:pBdr>
                <w:top w:val="nil"/>
                <w:left w:val="nil"/>
                <w:bottom w:val="nil"/>
                <w:right w:val="nil"/>
                <w:between w:val="nil"/>
              </w:pBdr>
              <w:jc w:val="right"/>
              <w:rPr>
                <w:color w:val="000000"/>
              </w:rPr>
            </w:pPr>
          </w:p>
        </w:tc>
        <w:tc>
          <w:tcPr>
            <w:tcW w:w="856" w:type="dxa"/>
          </w:tcPr>
          <w:p w14:paraId="180AC9EE" w14:textId="77777777" w:rsidR="008E5DE4" w:rsidRDefault="008E5DE4">
            <w:pPr>
              <w:widowControl w:val="0"/>
              <w:pBdr>
                <w:top w:val="nil"/>
                <w:left w:val="nil"/>
                <w:bottom w:val="nil"/>
                <w:right w:val="nil"/>
                <w:between w:val="nil"/>
              </w:pBdr>
              <w:jc w:val="right"/>
              <w:rPr>
                <w:color w:val="000000"/>
              </w:rPr>
            </w:pPr>
          </w:p>
        </w:tc>
        <w:tc>
          <w:tcPr>
            <w:tcW w:w="856" w:type="dxa"/>
          </w:tcPr>
          <w:p w14:paraId="70F17EE2"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B9D929E" w14:textId="77777777" w:rsidR="008E5DE4" w:rsidRDefault="008E5DE4">
            <w:pPr>
              <w:widowControl w:val="0"/>
              <w:pBdr>
                <w:top w:val="nil"/>
                <w:left w:val="nil"/>
                <w:bottom w:val="nil"/>
                <w:right w:val="nil"/>
                <w:between w:val="nil"/>
              </w:pBdr>
              <w:jc w:val="right"/>
              <w:rPr>
                <w:color w:val="000000"/>
              </w:rPr>
            </w:pPr>
          </w:p>
        </w:tc>
      </w:tr>
      <w:tr w:rsidR="008E5DE4" w14:paraId="3739AB3B" w14:textId="77777777">
        <w:trPr>
          <w:cantSplit/>
          <w:trHeight w:val="232"/>
        </w:trPr>
        <w:tc>
          <w:tcPr>
            <w:tcW w:w="3061" w:type="dxa"/>
            <w:vAlign w:val="bottom"/>
          </w:tcPr>
          <w:p w14:paraId="3A3365DE"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60D7BB0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F2F036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9A1D2D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02369B0" w14:textId="77777777" w:rsidR="008E5DE4" w:rsidRDefault="008E5DE4">
            <w:pPr>
              <w:widowControl w:val="0"/>
              <w:pBdr>
                <w:top w:val="nil"/>
                <w:left w:val="nil"/>
                <w:bottom w:val="nil"/>
                <w:right w:val="nil"/>
                <w:between w:val="nil"/>
              </w:pBdr>
              <w:jc w:val="right"/>
              <w:rPr>
                <w:color w:val="000000"/>
              </w:rPr>
            </w:pPr>
          </w:p>
        </w:tc>
        <w:tc>
          <w:tcPr>
            <w:tcW w:w="871" w:type="dxa"/>
          </w:tcPr>
          <w:p w14:paraId="599A5303" w14:textId="77777777" w:rsidR="008E5DE4" w:rsidRDefault="008E5DE4">
            <w:pPr>
              <w:widowControl w:val="0"/>
              <w:pBdr>
                <w:top w:val="nil"/>
                <w:left w:val="nil"/>
                <w:bottom w:val="nil"/>
                <w:right w:val="nil"/>
                <w:between w:val="nil"/>
              </w:pBdr>
              <w:jc w:val="right"/>
              <w:rPr>
                <w:color w:val="000000"/>
              </w:rPr>
            </w:pPr>
          </w:p>
        </w:tc>
        <w:tc>
          <w:tcPr>
            <w:tcW w:w="856" w:type="dxa"/>
          </w:tcPr>
          <w:p w14:paraId="106F7E46" w14:textId="77777777" w:rsidR="008E5DE4" w:rsidRDefault="008E5DE4">
            <w:pPr>
              <w:widowControl w:val="0"/>
              <w:pBdr>
                <w:top w:val="nil"/>
                <w:left w:val="nil"/>
                <w:bottom w:val="nil"/>
                <w:right w:val="nil"/>
                <w:between w:val="nil"/>
              </w:pBdr>
              <w:jc w:val="right"/>
              <w:rPr>
                <w:color w:val="000000"/>
              </w:rPr>
            </w:pPr>
          </w:p>
        </w:tc>
        <w:tc>
          <w:tcPr>
            <w:tcW w:w="856" w:type="dxa"/>
          </w:tcPr>
          <w:p w14:paraId="204BF14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C745DA8" w14:textId="77777777" w:rsidR="008E5DE4" w:rsidRDefault="008E5DE4">
            <w:pPr>
              <w:widowControl w:val="0"/>
              <w:pBdr>
                <w:top w:val="nil"/>
                <w:left w:val="nil"/>
                <w:bottom w:val="nil"/>
                <w:right w:val="nil"/>
                <w:between w:val="nil"/>
              </w:pBdr>
              <w:jc w:val="right"/>
              <w:rPr>
                <w:color w:val="000000"/>
              </w:rPr>
            </w:pPr>
          </w:p>
        </w:tc>
      </w:tr>
      <w:tr w:rsidR="008E5DE4" w14:paraId="5802F60A" w14:textId="77777777">
        <w:trPr>
          <w:cantSplit/>
          <w:trHeight w:val="80"/>
        </w:trPr>
        <w:tc>
          <w:tcPr>
            <w:tcW w:w="3061" w:type="dxa"/>
            <w:vAlign w:val="bottom"/>
          </w:tcPr>
          <w:p w14:paraId="3A6ACEED"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2E91216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0BC4FC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34E595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FC55D35"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195797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E62BC4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CDEB48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6C0A83C" w14:textId="77777777" w:rsidR="008E5DE4" w:rsidRDefault="008E5DE4">
            <w:pPr>
              <w:widowControl w:val="0"/>
              <w:pBdr>
                <w:top w:val="nil"/>
                <w:left w:val="nil"/>
                <w:bottom w:val="nil"/>
                <w:right w:val="nil"/>
                <w:between w:val="nil"/>
              </w:pBdr>
              <w:jc w:val="right"/>
              <w:rPr>
                <w:color w:val="000000"/>
              </w:rPr>
            </w:pPr>
          </w:p>
        </w:tc>
      </w:tr>
      <w:tr w:rsidR="008E5DE4" w14:paraId="06C4F3F3" w14:textId="77777777">
        <w:trPr>
          <w:cantSplit/>
          <w:trHeight w:val="85"/>
        </w:trPr>
        <w:tc>
          <w:tcPr>
            <w:tcW w:w="3061" w:type="dxa"/>
            <w:vAlign w:val="bottom"/>
          </w:tcPr>
          <w:p w14:paraId="04A5BB5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6511E7E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AFA723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4FBA38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4BC86A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F87433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32B2B0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A1EFB2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19686FB" w14:textId="77777777" w:rsidR="008E5DE4" w:rsidRDefault="008E5DE4">
            <w:pPr>
              <w:widowControl w:val="0"/>
              <w:pBdr>
                <w:top w:val="nil"/>
                <w:left w:val="nil"/>
                <w:bottom w:val="nil"/>
                <w:right w:val="nil"/>
                <w:between w:val="nil"/>
              </w:pBdr>
              <w:jc w:val="right"/>
              <w:rPr>
                <w:color w:val="000000"/>
              </w:rPr>
            </w:pPr>
          </w:p>
        </w:tc>
      </w:tr>
      <w:tr w:rsidR="008E5DE4" w14:paraId="74FF64ED" w14:textId="77777777">
        <w:trPr>
          <w:cantSplit/>
          <w:trHeight w:val="169"/>
        </w:trPr>
        <w:tc>
          <w:tcPr>
            <w:tcW w:w="3061" w:type="dxa"/>
            <w:vAlign w:val="bottom"/>
          </w:tcPr>
          <w:p w14:paraId="4CCF5D90"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4A4529B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A5DAC0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69CF62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E9D5605"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4F9DBB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06E52B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3683DE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11A9CD6" w14:textId="77777777" w:rsidR="008E5DE4" w:rsidRDefault="008E5DE4">
            <w:pPr>
              <w:widowControl w:val="0"/>
              <w:pBdr>
                <w:top w:val="nil"/>
                <w:left w:val="nil"/>
                <w:bottom w:val="nil"/>
                <w:right w:val="nil"/>
                <w:between w:val="nil"/>
              </w:pBdr>
              <w:jc w:val="right"/>
              <w:rPr>
                <w:color w:val="000000"/>
              </w:rPr>
            </w:pPr>
          </w:p>
        </w:tc>
      </w:tr>
      <w:tr w:rsidR="008E5DE4" w14:paraId="1E1E1AAB" w14:textId="77777777">
        <w:trPr>
          <w:cantSplit/>
          <w:trHeight w:val="169"/>
        </w:trPr>
        <w:tc>
          <w:tcPr>
            <w:tcW w:w="3061" w:type="dxa"/>
            <w:vAlign w:val="bottom"/>
          </w:tcPr>
          <w:p w14:paraId="04CFD83B"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34A6FF5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59D7C8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5BF001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B72486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A510C3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24E373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DA8999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818E535" w14:textId="77777777" w:rsidR="008E5DE4" w:rsidRDefault="008E5DE4">
            <w:pPr>
              <w:widowControl w:val="0"/>
              <w:pBdr>
                <w:top w:val="nil"/>
                <w:left w:val="nil"/>
                <w:bottom w:val="nil"/>
                <w:right w:val="nil"/>
                <w:between w:val="nil"/>
              </w:pBdr>
              <w:jc w:val="right"/>
              <w:rPr>
                <w:color w:val="000000"/>
              </w:rPr>
            </w:pPr>
          </w:p>
        </w:tc>
      </w:tr>
      <w:tr w:rsidR="008E5DE4" w14:paraId="70329977" w14:textId="77777777">
        <w:trPr>
          <w:cantSplit/>
          <w:trHeight w:val="169"/>
        </w:trPr>
        <w:tc>
          <w:tcPr>
            <w:tcW w:w="3061" w:type="dxa"/>
            <w:tcBorders>
              <w:bottom w:val="single" w:sz="4" w:space="0" w:color="000000"/>
            </w:tcBorders>
            <w:vAlign w:val="bottom"/>
          </w:tcPr>
          <w:p w14:paraId="03F1C1A1"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6C9DF71B"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031DBAC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69404D8"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178A990E"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3B1E7C9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B9F544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A71C977"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0A4ABC9D" w14:textId="77777777" w:rsidR="008E5DE4" w:rsidRDefault="008E5DE4">
            <w:pPr>
              <w:widowControl w:val="0"/>
              <w:pBdr>
                <w:top w:val="nil"/>
                <w:left w:val="nil"/>
                <w:bottom w:val="nil"/>
                <w:right w:val="nil"/>
                <w:between w:val="nil"/>
              </w:pBdr>
              <w:jc w:val="right"/>
              <w:rPr>
                <w:color w:val="000000"/>
              </w:rPr>
            </w:pPr>
          </w:p>
        </w:tc>
      </w:tr>
      <w:tr w:rsidR="008E5DE4" w14:paraId="2FEEABEC" w14:textId="77777777">
        <w:trPr>
          <w:cantSplit/>
          <w:trHeight w:val="153"/>
        </w:trPr>
        <w:tc>
          <w:tcPr>
            <w:tcW w:w="3061" w:type="dxa"/>
            <w:tcBorders>
              <w:top w:val="single" w:sz="4" w:space="0" w:color="000000"/>
            </w:tcBorders>
            <w:vAlign w:val="bottom"/>
          </w:tcPr>
          <w:p w14:paraId="6036608A"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21228725"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44A7575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2CE16E4"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7511FD1"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1E3E597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8FBCB9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EBEBFD1"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6D18BD9" w14:textId="77777777" w:rsidR="008E5DE4" w:rsidRDefault="008E5DE4">
            <w:pPr>
              <w:widowControl w:val="0"/>
              <w:pBdr>
                <w:top w:val="nil"/>
                <w:left w:val="nil"/>
                <w:bottom w:val="nil"/>
                <w:right w:val="nil"/>
                <w:between w:val="nil"/>
              </w:pBdr>
              <w:jc w:val="right"/>
              <w:rPr>
                <w:color w:val="000000"/>
              </w:rPr>
            </w:pPr>
          </w:p>
        </w:tc>
      </w:tr>
      <w:tr w:rsidR="008E5DE4" w14:paraId="604DB51E" w14:textId="77777777">
        <w:trPr>
          <w:cantSplit/>
          <w:trHeight w:val="245"/>
        </w:trPr>
        <w:tc>
          <w:tcPr>
            <w:tcW w:w="3061" w:type="dxa"/>
            <w:vAlign w:val="bottom"/>
          </w:tcPr>
          <w:p w14:paraId="72463707"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0AB9ED8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9D9E96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7DBBEF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43A5D41"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E1857A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6E8C2F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A8B86D2"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5BFF603" w14:textId="77777777" w:rsidR="008E5DE4" w:rsidRDefault="008E5DE4">
            <w:pPr>
              <w:widowControl w:val="0"/>
              <w:pBdr>
                <w:top w:val="nil"/>
                <w:left w:val="nil"/>
                <w:bottom w:val="nil"/>
                <w:right w:val="nil"/>
                <w:between w:val="nil"/>
              </w:pBdr>
              <w:jc w:val="right"/>
              <w:rPr>
                <w:color w:val="000000"/>
              </w:rPr>
            </w:pPr>
          </w:p>
        </w:tc>
      </w:tr>
      <w:tr w:rsidR="008E5DE4" w14:paraId="2C3165C5" w14:textId="77777777">
        <w:trPr>
          <w:cantSplit/>
          <w:trHeight w:val="80"/>
        </w:trPr>
        <w:tc>
          <w:tcPr>
            <w:tcW w:w="3061" w:type="dxa"/>
            <w:tcBorders>
              <w:bottom w:val="single" w:sz="4" w:space="0" w:color="000000"/>
            </w:tcBorders>
            <w:vAlign w:val="bottom"/>
          </w:tcPr>
          <w:p w14:paraId="202A2C9F"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0CFE98BF"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1E3687B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D015764"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27825DFD"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4F5C716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87742A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243D589"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7F63A156" w14:textId="77777777" w:rsidR="008E5DE4" w:rsidRDefault="008E5DE4">
            <w:pPr>
              <w:widowControl w:val="0"/>
              <w:pBdr>
                <w:top w:val="nil"/>
                <w:left w:val="nil"/>
                <w:bottom w:val="nil"/>
                <w:right w:val="nil"/>
                <w:between w:val="nil"/>
              </w:pBdr>
              <w:jc w:val="right"/>
              <w:rPr>
                <w:color w:val="000000"/>
              </w:rPr>
            </w:pPr>
          </w:p>
        </w:tc>
      </w:tr>
      <w:tr w:rsidR="008E5DE4" w14:paraId="20CFC176" w14:textId="77777777">
        <w:trPr>
          <w:cantSplit/>
          <w:trHeight w:val="153"/>
        </w:trPr>
        <w:tc>
          <w:tcPr>
            <w:tcW w:w="3061" w:type="dxa"/>
            <w:tcBorders>
              <w:top w:val="single" w:sz="4" w:space="0" w:color="000000"/>
            </w:tcBorders>
            <w:vAlign w:val="bottom"/>
          </w:tcPr>
          <w:p w14:paraId="7E19F4FA"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44D826C9"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354D28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81E236B"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741A28E"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C05DD87"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81069E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8BA6415"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319E4BD4" w14:textId="77777777" w:rsidR="008E5DE4" w:rsidRDefault="008E5DE4">
            <w:pPr>
              <w:widowControl w:val="0"/>
              <w:pBdr>
                <w:top w:val="nil"/>
                <w:left w:val="nil"/>
                <w:bottom w:val="nil"/>
                <w:right w:val="nil"/>
                <w:between w:val="nil"/>
              </w:pBdr>
              <w:jc w:val="right"/>
              <w:rPr>
                <w:color w:val="000000"/>
              </w:rPr>
            </w:pPr>
          </w:p>
        </w:tc>
      </w:tr>
      <w:tr w:rsidR="008E5DE4" w14:paraId="7DC594A9" w14:textId="77777777">
        <w:trPr>
          <w:cantSplit/>
          <w:trHeight w:val="692"/>
        </w:trPr>
        <w:tc>
          <w:tcPr>
            <w:tcW w:w="3061" w:type="dxa"/>
            <w:vAlign w:val="bottom"/>
          </w:tcPr>
          <w:p w14:paraId="5D3D7D3E"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1AFAA844"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1D15EC08"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D0CB2A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B2E1F3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370282B"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10C1D36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6D747A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BE548A2"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6203CB3" w14:textId="77777777" w:rsidR="008E5DE4" w:rsidRDefault="008E5DE4">
            <w:pPr>
              <w:widowControl w:val="0"/>
              <w:pBdr>
                <w:top w:val="nil"/>
                <w:left w:val="nil"/>
                <w:bottom w:val="nil"/>
                <w:right w:val="nil"/>
                <w:between w:val="nil"/>
              </w:pBdr>
              <w:jc w:val="right"/>
              <w:rPr>
                <w:color w:val="000000"/>
                <w:highlight w:val="green"/>
              </w:rPr>
            </w:pPr>
          </w:p>
        </w:tc>
      </w:tr>
      <w:tr w:rsidR="008E5DE4" w14:paraId="41F37AF8" w14:textId="77777777">
        <w:trPr>
          <w:cantSplit/>
          <w:trHeight w:val="169"/>
        </w:trPr>
        <w:tc>
          <w:tcPr>
            <w:tcW w:w="3061" w:type="dxa"/>
            <w:vAlign w:val="bottom"/>
          </w:tcPr>
          <w:p w14:paraId="1FE51E58"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33C9CEB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00B230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64BD5BB"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653290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7F59869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88D76F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61ADF30"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FF12A5F" w14:textId="77777777" w:rsidR="008E5DE4" w:rsidRDefault="008E5DE4">
            <w:pPr>
              <w:widowControl w:val="0"/>
              <w:pBdr>
                <w:top w:val="nil"/>
                <w:left w:val="nil"/>
                <w:bottom w:val="nil"/>
                <w:right w:val="nil"/>
                <w:between w:val="nil"/>
              </w:pBdr>
              <w:jc w:val="right"/>
              <w:rPr>
                <w:color w:val="000000"/>
                <w:highlight w:val="green"/>
              </w:rPr>
            </w:pPr>
          </w:p>
        </w:tc>
      </w:tr>
      <w:tr w:rsidR="008E5DE4" w14:paraId="50657949" w14:textId="77777777">
        <w:trPr>
          <w:cantSplit/>
          <w:trHeight w:val="169"/>
        </w:trPr>
        <w:tc>
          <w:tcPr>
            <w:tcW w:w="3061" w:type="dxa"/>
            <w:vAlign w:val="bottom"/>
          </w:tcPr>
          <w:p w14:paraId="34C14A9F"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7658770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ADB030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F1052CC"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04556D8"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6F21645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F12A56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9607E4B"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5D9D24C" w14:textId="77777777" w:rsidR="008E5DE4" w:rsidRDefault="008E5DE4">
            <w:pPr>
              <w:widowControl w:val="0"/>
              <w:pBdr>
                <w:top w:val="nil"/>
                <w:left w:val="nil"/>
                <w:bottom w:val="nil"/>
                <w:right w:val="nil"/>
                <w:between w:val="nil"/>
              </w:pBdr>
              <w:jc w:val="right"/>
              <w:rPr>
                <w:color w:val="000000"/>
                <w:highlight w:val="green"/>
              </w:rPr>
            </w:pPr>
          </w:p>
        </w:tc>
      </w:tr>
      <w:tr w:rsidR="008E5DE4" w14:paraId="66395758" w14:textId="77777777">
        <w:trPr>
          <w:cantSplit/>
          <w:trHeight w:val="337"/>
        </w:trPr>
        <w:tc>
          <w:tcPr>
            <w:tcW w:w="3061" w:type="dxa"/>
            <w:vAlign w:val="bottom"/>
          </w:tcPr>
          <w:p w14:paraId="5FEAD0E4"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4E5C9FD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26C828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7D827D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A7D6927"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837D54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0FE1C6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F9353F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208C9FA" w14:textId="77777777" w:rsidR="008E5DE4" w:rsidRDefault="008E5DE4">
            <w:pPr>
              <w:widowControl w:val="0"/>
              <w:pBdr>
                <w:top w:val="nil"/>
                <w:left w:val="nil"/>
                <w:bottom w:val="nil"/>
                <w:right w:val="nil"/>
                <w:between w:val="nil"/>
              </w:pBdr>
              <w:jc w:val="right"/>
              <w:rPr>
                <w:color w:val="000000"/>
              </w:rPr>
            </w:pPr>
          </w:p>
        </w:tc>
      </w:tr>
      <w:tr w:rsidR="008E5DE4" w14:paraId="4A4A8776" w14:textId="77777777">
        <w:trPr>
          <w:cantSplit/>
          <w:trHeight w:val="231"/>
        </w:trPr>
        <w:tc>
          <w:tcPr>
            <w:tcW w:w="3061" w:type="dxa"/>
            <w:vAlign w:val="bottom"/>
          </w:tcPr>
          <w:p w14:paraId="40D8B31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851" w:type="dxa"/>
            <w:vAlign w:val="bottom"/>
          </w:tcPr>
          <w:p w14:paraId="545C722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994C78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BB7025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6E2D440"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6F557A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D3017D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90FE7E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2405D5E" w14:textId="77777777" w:rsidR="008E5DE4" w:rsidRDefault="008E5DE4">
            <w:pPr>
              <w:widowControl w:val="0"/>
              <w:pBdr>
                <w:top w:val="nil"/>
                <w:left w:val="nil"/>
                <w:bottom w:val="nil"/>
                <w:right w:val="nil"/>
                <w:between w:val="nil"/>
              </w:pBdr>
              <w:jc w:val="right"/>
              <w:rPr>
                <w:color w:val="000000"/>
              </w:rPr>
            </w:pPr>
          </w:p>
        </w:tc>
      </w:tr>
      <w:tr w:rsidR="008E5DE4" w14:paraId="4D51065C" w14:textId="77777777">
        <w:trPr>
          <w:cantSplit/>
          <w:trHeight w:val="169"/>
        </w:trPr>
        <w:tc>
          <w:tcPr>
            <w:tcW w:w="3061" w:type="dxa"/>
            <w:tcBorders>
              <w:bottom w:val="single" w:sz="4" w:space="0" w:color="000000"/>
            </w:tcBorders>
            <w:vAlign w:val="bottom"/>
          </w:tcPr>
          <w:p w14:paraId="283B8911"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bottom w:val="single" w:sz="4" w:space="0" w:color="000000"/>
            </w:tcBorders>
            <w:vAlign w:val="bottom"/>
          </w:tcPr>
          <w:p w14:paraId="0F062ACB"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7AA46A8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0970958"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0D4E4239"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0E4F429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1BAC2C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4CEDB94"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4ECA98B4" w14:textId="77777777" w:rsidR="008E5DE4" w:rsidRDefault="008E5DE4">
            <w:pPr>
              <w:widowControl w:val="0"/>
              <w:pBdr>
                <w:top w:val="nil"/>
                <w:left w:val="nil"/>
                <w:bottom w:val="nil"/>
                <w:right w:val="nil"/>
                <w:between w:val="nil"/>
              </w:pBdr>
              <w:jc w:val="right"/>
              <w:rPr>
                <w:color w:val="000000"/>
              </w:rPr>
            </w:pPr>
          </w:p>
        </w:tc>
      </w:tr>
      <w:tr w:rsidR="008E5DE4" w14:paraId="64884DA2" w14:textId="77777777">
        <w:trPr>
          <w:cantSplit/>
          <w:trHeight w:val="169"/>
        </w:trPr>
        <w:tc>
          <w:tcPr>
            <w:tcW w:w="3061" w:type="dxa"/>
            <w:tcBorders>
              <w:top w:val="single" w:sz="4" w:space="0" w:color="000000"/>
            </w:tcBorders>
            <w:vAlign w:val="bottom"/>
          </w:tcPr>
          <w:p w14:paraId="386DD083" w14:textId="77777777" w:rsidR="008E5DE4" w:rsidRDefault="00780368">
            <w:pPr>
              <w:widowControl w:val="0"/>
              <w:pBdr>
                <w:top w:val="nil"/>
                <w:left w:val="nil"/>
                <w:bottom w:val="nil"/>
                <w:right w:val="nil"/>
                <w:between w:val="nil"/>
              </w:pBdr>
              <w:ind w:left="113" w:right="-57" w:hanging="113"/>
              <w:rPr>
                <w:color w:val="000000"/>
                <w:u w:val="single"/>
              </w:rPr>
            </w:pPr>
            <w:r>
              <w:rPr>
                <w:color w:val="000000"/>
                <w:u w:val="single"/>
              </w:rPr>
              <w:t> </w:t>
            </w:r>
          </w:p>
        </w:tc>
        <w:tc>
          <w:tcPr>
            <w:tcW w:w="851" w:type="dxa"/>
            <w:tcBorders>
              <w:top w:val="single" w:sz="4" w:space="0" w:color="000000"/>
            </w:tcBorders>
            <w:vAlign w:val="bottom"/>
          </w:tcPr>
          <w:p w14:paraId="67E50A4E"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58C92E92"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90C87E2"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0C5B1B5"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2B3F46F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592663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C6943AC"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7D55ED94" w14:textId="77777777" w:rsidR="008E5DE4" w:rsidRDefault="008E5DE4">
            <w:pPr>
              <w:widowControl w:val="0"/>
              <w:pBdr>
                <w:top w:val="nil"/>
                <w:left w:val="nil"/>
                <w:bottom w:val="nil"/>
                <w:right w:val="nil"/>
                <w:between w:val="nil"/>
              </w:pBdr>
              <w:jc w:val="right"/>
              <w:rPr>
                <w:color w:val="000000"/>
              </w:rPr>
            </w:pPr>
          </w:p>
        </w:tc>
      </w:tr>
      <w:tr w:rsidR="008E5DE4" w14:paraId="17CD0A4A" w14:textId="77777777">
        <w:trPr>
          <w:cantSplit/>
          <w:trHeight w:val="169"/>
        </w:trPr>
        <w:tc>
          <w:tcPr>
            <w:tcW w:w="3061" w:type="dxa"/>
            <w:vAlign w:val="bottom"/>
          </w:tcPr>
          <w:p w14:paraId="5C173E41" w14:textId="54D36D7B"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1" w:type="dxa"/>
            <w:vAlign w:val="bottom"/>
          </w:tcPr>
          <w:p w14:paraId="02BC2DD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838407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10EE70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3C12243"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34C60A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42480E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7719AB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C4896C6" w14:textId="77777777" w:rsidR="008E5DE4" w:rsidRDefault="008E5DE4">
            <w:pPr>
              <w:widowControl w:val="0"/>
              <w:pBdr>
                <w:top w:val="nil"/>
                <w:left w:val="nil"/>
                <w:bottom w:val="nil"/>
                <w:right w:val="nil"/>
                <w:between w:val="nil"/>
              </w:pBdr>
              <w:jc w:val="right"/>
              <w:rPr>
                <w:color w:val="000000"/>
              </w:rPr>
            </w:pPr>
          </w:p>
        </w:tc>
      </w:tr>
      <w:tr w:rsidR="008E5DE4" w14:paraId="2D859AFC" w14:textId="77777777">
        <w:trPr>
          <w:cantSplit/>
          <w:trHeight w:val="169"/>
        </w:trPr>
        <w:tc>
          <w:tcPr>
            <w:tcW w:w="3061" w:type="dxa"/>
            <w:tcBorders>
              <w:bottom w:val="single" w:sz="12" w:space="0" w:color="000000"/>
            </w:tcBorders>
            <w:vAlign w:val="bottom"/>
          </w:tcPr>
          <w:p w14:paraId="301082FD" w14:textId="77777777" w:rsidR="008E5DE4" w:rsidRDefault="00780368">
            <w:pPr>
              <w:widowControl w:val="0"/>
              <w:pBdr>
                <w:top w:val="nil"/>
                <w:left w:val="nil"/>
                <w:bottom w:val="nil"/>
                <w:right w:val="nil"/>
                <w:between w:val="nil"/>
              </w:pBdr>
              <w:ind w:left="113" w:right="-57" w:hanging="113"/>
              <w:rPr>
                <w:b/>
                <w:color w:val="000000"/>
              </w:rPr>
            </w:pPr>
            <w:r>
              <w:rPr>
                <w:color w:val="000000"/>
                <w:u w:val="single"/>
              </w:rPr>
              <w:t> </w:t>
            </w:r>
          </w:p>
        </w:tc>
        <w:tc>
          <w:tcPr>
            <w:tcW w:w="851" w:type="dxa"/>
            <w:tcBorders>
              <w:bottom w:val="single" w:sz="12" w:space="0" w:color="000000"/>
            </w:tcBorders>
            <w:vAlign w:val="bottom"/>
          </w:tcPr>
          <w:p w14:paraId="047DF00B"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6E6E781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1F01D6A3"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2493DB65"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575483A9"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604BDFA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59D01422"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1EA14FF8" w14:textId="77777777" w:rsidR="008E5DE4" w:rsidRDefault="008E5DE4">
            <w:pPr>
              <w:widowControl w:val="0"/>
              <w:pBdr>
                <w:top w:val="nil"/>
                <w:left w:val="nil"/>
                <w:bottom w:val="nil"/>
                <w:right w:val="nil"/>
                <w:between w:val="nil"/>
              </w:pBdr>
              <w:jc w:val="right"/>
              <w:rPr>
                <w:color w:val="000000"/>
              </w:rPr>
            </w:pPr>
          </w:p>
        </w:tc>
      </w:tr>
    </w:tbl>
    <w:p w14:paraId="799790BB"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20</w:t>
      </w:r>
      <w:r>
        <w:rPr>
          <w:b/>
          <w:color w:val="000000"/>
          <w:sz w:val="20"/>
          <w:szCs w:val="20"/>
        </w:rPr>
        <w:tab/>
        <w:t>Trade and Other Receivables (Continued)</w:t>
      </w:r>
    </w:p>
    <w:p w14:paraId="4698584F" w14:textId="1DA20F1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other financial receivables were as follows in </w:t>
      </w:r>
      <w:r w:rsidR="00FF468A">
        <w:rPr>
          <w:color w:val="000000"/>
          <w:sz w:val="20"/>
          <w:szCs w:val="20"/>
        </w:rPr>
        <w:t>2024</w:t>
      </w:r>
      <w:r>
        <w:rPr>
          <w:color w:val="000000"/>
          <w:sz w:val="20"/>
          <w:szCs w:val="20"/>
        </w:rPr>
        <w:t xml:space="preserve">. </w:t>
      </w:r>
    </w:p>
    <w:tbl>
      <w:tblPr>
        <w:tblStyle w:val="afffffc"/>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6B731BF8" w14:textId="77777777">
        <w:trPr>
          <w:cantSplit/>
          <w:trHeight w:val="169"/>
          <w:tblHeader/>
        </w:trPr>
        <w:tc>
          <w:tcPr>
            <w:tcW w:w="3061" w:type="dxa"/>
            <w:vAlign w:val="bottom"/>
          </w:tcPr>
          <w:p w14:paraId="5D80AAA2"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2C1F042F"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3CF0582A"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3F710109" w14:textId="77777777">
        <w:trPr>
          <w:cantSplit/>
          <w:trHeight w:val="507"/>
          <w:tblHeader/>
        </w:trPr>
        <w:tc>
          <w:tcPr>
            <w:tcW w:w="3061" w:type="dxa"/>
            <w:tcBorders>
              <w:bottom w:val="single" w:sz="4" w:space="0" w:color="000000"/>
            </w:tcBorders>
            <w:vAlign w:val="bottom"/>
          </w:tcPr>
          <w:p w14:paraId="3A04FBB2" w14:textId="77777777" w:rsidR="008E5DE4" w:rsidRDefault="008E5DE4">
            <w:pPr>
              <w:widowControl w:val="0"/>
              <w:pBdr>
                <w:top w:val="nil"/>
                <w:left w:val="nil"/>
                <w:bottom w:val="nil"/>
                <w:right w:val="nil"/>
                <w:between w:val="nil"/>
              </w:pBdr>
              <w:ind w:left="113" w:right="-57" w:hanging="113"/>
              <w:rPr>
                <w:i/>
                <w:color w:val="000000"/>
              </w:rPr>
            </w:pPr>
          </w:p>
          <w:p w14:paraId="6C38A637"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544D81EB"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3C7DEA9D"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459E657F"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68A89885"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26F008ED"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61932112"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6468997C"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1BD5241C"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AD6F586"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03960E18"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EA75E3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65D690B0"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7379A3EC"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1C929BD5"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592C693B" w14:textId="77777777">
        <w:trPr>
          <w:cantSplit/>
          <w:trHeight w:val="169"/>
          <w:tblHeader/>
        </w:trPr>
        <w:tc>
          <w:tcPr>
            <w:tcW w:w="3061" w:type="dxa"/>
            <w:vAlign w:val="bottom"/>
          </w:tcPr>
          <w:p w14:paraId="6D419B1F" w14:textId="77777777" w:rsidR="008E5DE4" w:rsidRDefault="008E5DE4">
            <w:pPr>
              <w:widowControl w:val="0"/>
              <w:ind w:left="113" w:right="-57" w:hanging="113"/>
            </w:pPr>
          </w:p>
        </w:tc>
        <w:tc>
          <w:tcPr>
            <w:tcW w:w="851" w:type="dxa"/>
            <w:vAlign w:val="bottom"/>
          </w:tcPr>
          <w:p w14:paraId="08E8E0D6"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69062CD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CF3D9D3"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1F84EB1" w14:textId="77777777" w:rsidR="008E5DE4" w:rsidRDefault="008E5DE4">
            <w:pPr>
              <w:widowControl w:val="0"/>
              <w:pBdr>
                <w:top w:val="nil"/>
                <w:left w:val="nil"/>
                <w:bottom w:val="nil"/>
                <w:right w:val="nil"/>
                <w:between w:val="nil"/>
              </w:pBdr>
              <w:jc w:val="right"/>
              <w:rPr>
                <w:color w:val="000000"/>
              </w:rPr>
            </w:pPr>
          </w:p>
        </w:tc>
        <w:tc>
          <w:tcPr>
            <w:tcW w:w="871" w:type="dxa"/>
          </w:tcPr>
          <w:p w14:paraId="4DEFAA60" w14:textId="77777777" w:rsidR="008E5DE4" w:rsidRDefault="008E5DE4">
            <w:pPr>
              <w:widowControl w:val="0"/>
              <w:pBdr>
                <w:top w:val="nil"/>
                <w:left w:val="nil"/>
                <w:bottom w:val="nil"/>
                <w:right w:val="nil"/>
                <w:between w:val="nil"/>
              </w:pBdr>
              <w:jc w:val="right"/>
              <w:rPr>
                <w:color w:val="000000"/>
              </w:rPr>
            </w:pPr>
          </w:p>
        </w:tc>
        <w:tc>
          <w:tcPr>
            <w:tcW w:w="856" w:type="dxa"/>
          </w:tcPr>
          <w:p w14:paraId="7E68090D" w14:textId="77777777" w:rsidR="008E5DE4" w:rsidRDefault="008E5DE4">
            <w:pPr>
              <w:widowControl w:val="0"/>
              <w:pBdr>
                <w:top w:val="nil"/>
                <w:left w:val="nil"/>
                <w:bottom w:val="nil"/>
                <w:right w:val="nil"/>
                <w:between w:val="nil"/>
              </w:pBdr>
              <w:jc w:val="right"/>
              <w:rPr>
                <w:color w:val="000000"/>
              </w:rPr>
            </w:pPr>
          </w:p>
        </w:tc>
        <w:tc>
          <w:tcPr>
            <w:tcW w:w="856" w:type="dxa"/>
          </w:tcPr>
          <w:p w14:paraId="7830324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C06BA77" w14:textId="77777777" w:rsidR="008E5DE4" w:rsidRDefault="008E5DE4">
            <w:pPr>
              <w:widowControl w:val="0"/>
              <w:pBdr>
                <w:top w:val="nil"/>
                <w:left w:val="nil"/>
                <w:bottom w:val="nil"/>
                <w:right w:val="nil"/>
                <w:between w:val="nil"/>
              </w:pBdr>
              <w:jc w:val="right"/>
              <w:rPr>
                <w:color w:val="000000"/>
              </w:rPr>
            </w:pPr>
          </w:p>
        </w:tc>
      </w:tr>
      <w:tr w:rsidR="008E5DE4" w14:paraId="0CC9E424" w14:textId="77777777">
        <w:trPr>
          <w:cantSplit/>
          <w:trHeight w:val="169"/>
        </w:trPr>
        <w:tc>
          <w:tcPr>
            <w:tcW w:w="3061" w:type="dxa"/>
            <w:vAlign w:val="bottom"/>
          </w:tcPr>
          <w:p w14:paraId="17CDDBF8"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Other financial receivables</w:t>
            </w:r>
          </w:p>
        </w:tc>
        <w:tc>
          <w:tcPr>
            <w:tcW w:w="851" w:type="dxa"/>
            <w:vAlign w:val="bottom"/>
          </w:tcPr>
          <w:p w14:paraId="4F7C834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6C4E78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AF2EA6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41657E4" w14:textId="77777777" w:rsidR="008E5DE4" w:rsidRDefault="008E5DE4">
            <w:pPr>
              <w:widowControl w:val="0"/>
              <w:pBdr>
                <w:top w:val="nil"/>
                <w:left w:val="nil"/>
                <w:bottom w:val="nil"/>
                <w:right w:val="nil"/>
                <w:between w:val="nil"/>
              </w:pBdr>
              <w:jc w:val="right"/>
              <w:rPr>
                <w:color w:val="000000"/>
              </w:rPr>
            </w:pPr>
          </w:p>
        </w:tc>
        <w:tc>
          <w:tcPr>
            <w:tcW w:w="871" w:type="dxa"/>
          </w:tcPr>
          <w:p w14:paraId="783698C5" w14:textId="77777777" w:rsidR="008E5DE4" w:rsidRDefault="008E5DE4">
            <w:pPr>
              <w:widowControl w:val="0"/>
              <w:pBdr>
                <w:top w:val="nil"/>
                <w:left w:val="nil"/>
                <w:bottom w:val="nil"/>
                <w:right w:val="nil"/>
                <w:between w:val="nil"/>
              </w:pBdr>
              <w:jc w:val="right"/>
              <w:rPr>
                <w:color w:val="000000"/>
              </w:rPr>
            </w:pPr>
          </w:p>
        </w:tc>
        <w:tc>
          <w:tcPr>
            <w:tcW w:w="856" w:type="dxa"/>
          </w:tcPr>
          <w:p w14:paraId="618FC0B0" w14:textId="77777777" w:rsidR="008E5DE4" w:rsidRDefault="008E5DE4">
            <w:pPr>
              <w:widowControl w:val="0"/>
              <w:pBdr>
                <w:top w:val="nil"/>
                <w:left w:val="nil"/>
                <w:bottom w:val="nil"/>
                <w:right w:val="nil"/>
                <w:between w:val="nil"/>
              </w:pBdr>
              <w:jc w:val="right"/>
              <w:rPr>
                <w:color w:val="000000"/>
              </w:rPr>
            </w:pPr>
          </w:p>
        </w:tc>
        <w:tc>
          <w:tcPr>
            <w:tcW w:w="856" w:type="dxa"/>
          </w:tcPr>
          <w:p w14:paraId="62E01B5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A85DF07" w14:textId="77777777" w:rsidR="008E5DE4" w:rsidRDefault="008E5DE4">
            <w:pPr>
              <w:widowControl w:val="0"/>
              <w:pBdr>
                <w:top w:val="nil"/>
                <w:left w:val="nil"/>
                <w:bottom w:val="nil"/>
                <w:right w:val="nil"/>
                <w:between w:val="nil"/>
              </w:pBdr>
              <w:jc w:val="right"/>
              <w:rPr>
                <w:color w:val="000000"/>
              </w:rPr>
            </w:pPr>
          </w:p>
        </w:tc>
      </w:tr>
      <w:tr w:rsidR="008E5DE4" w14:paraId="2C21B39A" w14:textId="77777777">
        <w:trPr>
          <w:cantSplit/>
          <w:trHeight w:val="169"/>
        </w:trPr>
        <w:tc>
          <w:tcPr>
            <w:tcW w:w="3061" w:type="dxa"/>
            <w:vAlign w:val="bottom"/>
          </w:tcPr>
          <w:p w14:paraId="3841EF54"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5487307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15B6C5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B5761E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252B148" w14:textId="77777777" w:rsidR="008E5DE4" w:rsidRDefault="008E5DE4">
            <w:pPr>
              <w:widowControl w:val="0"/>
              <w:pBdr>
                <w:top w:val="nil"/>
                <w:left w:val="nil"/>
                <w:bottom w:val="nil"/>
                <w:right w:val="nil"/>
                <w:between w:val="nil"/>
              </w:pBdr>
              <w:jc w:val="right"/>
              <w:rPr>
                <w:color w:val="000000"/>
              </w:rPr>
            </w:pPr>
          </w:p>
        </w:tc>
        <w:tc>
          <w:tcPr>
            <w:tcW w:w="871" w:type="dxa"/>
          </w:tcPr>
          <w:p w14:paraId="2967E801" w14:textId="77777777" w:rsidR="008E5DE4" w:rsidRDefault="008E5DE4">
            <w:pPr>
              <w:widowControl w:val="0"/>
              <w:pBdr>
                <w:top w:val="nil"/>
                <w:left w:val="nil"/>
                <w:bottom w:val="nil"/>
                <w:right w:val="nil"/>
                <w:between w:val="nil"/>
              </w:pBdr>
              <w:jc w:val="right"/>
              <w:rPr>
                <w:color w:val="000000"/>
              </w:rPr>
            </w:pPr>
          </w:p>
        </w:tc>
        <w:tc>
          <w:tcPr>
            <w:tcW w:w="856" w:type="dxa"/>
          </w:tcPr>
          <w:p w14:paraId="123C47D5" w14:textId="77777777" w:rsidR="008E5DE4" w:rsidRDefault="008E5DE4">
            <w:pPr>
              <w:widowControl w:val="0"/>
              <w:pBdr>
                <w:top w:val="nil"/>
                <w:left w:val="nil"/>
                <w:bottom w:val="nil"/>
                <w:right w:val="nil"/>
                <w:between w:val="nil"/>
              </w:pBdr>
              <w:jc w:val="right"/>
              <w:rPr>
                <w:color w:val="000000"/>
              </w:rPr>
            </w:pPr>
          </w:p>
        </w:tc>
        <w:tc>
          <w:tcPr>
            <w:tcW w:w="856" w:type="dxa"/>
          </w:tcPr>
          <w:p w14:paraId="2D9C653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3E3903F" w14:textId="77777777" w:rsidR="008E5DE4" w:rsidRDefault="008E5DE4">
            <w:pPr>
              <w:widowControl w:val="0"/>
              <w:pBdr>
                <w:top w:val="nil"/>
                <w:left w:val="nil"/>
                <w:bottom w:val="nil"/>
                <w:right w:val="nil"/>
                <w:between w:val="nil"/>
              </w:pBdr>
              <w:jc w:val="right"/>
              <w:rPr>
                <w:color w:val="000000"/>
              </w:rPr>
            </w:pPr>
          </w:p>
        </w:tc>
      </w:tr>
      <w:tr w:rsidR="008E5DE4" w14:paraId="532A7884" w14:textId="77777777">
        <w:trPr>
          <w:cantSplit/>
          <w:trHeight w:val="169"/>
        </w:trPr>
        <w:tc>
          <w:tcPr>
            <w:tcW w:w="3061" w:type="dxa"/>
            <w:vAlign w:val="bottom"/>
          </w:tcPr>
          <w:p w14:paraId="23F3F84F" w14:textId="223AD0C5"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w:t>
            </w:r>
            <w:r w:rsidR="00FF468A">
              <w:rPr>
                <w:b/>
                <w:color w:val="000000"/>
              </w:rPr>
              <w:t>2024</w:t>
            </w:r>
          </w:p>
        </w:tc>
        <w:tc>
          <w:tcPr>
            <w:tcW w:w="851" w:type="dxa"/>
            <w:vAlign w:val="bottom"/>
          </w:tcPr>
          <w:p w14:paraId="6189AE9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9FC948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9DBC50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F239037" w14:textId="77777777" w:rsidR="008E5DE4" w:rsidRDefault="008E5DE4">
            <w:pPr>
              <w:widowControl w:val="0"/>
              <w:pBdr>
                <w:top w:val="nil"/>
                <w:left w:val="nil"/>
                <w:bottom w:val="nil"/>
                <w:right w:val="nil"/>
                <w:between w:val="nil"/>
              </w:pBdr>
              <w:jc w:val="right"/>
              <w:rPr>
                <w:color w:val="000000"/>
              </w:rPr>
            </w:pPr>
          </w:p>
        </w:tc>
        <w:tc>
          <w:tcPr>
            <w:tcW w:w="871" w:type="dxa"/>
          </w:tcPr>
          <w:p w14:paraId="02605790" w14:textId="77777777" w:rsidR="008E5DE4" w:rsidRDefault="008E5DE4">
            <w:pPr>
              <w:widowControl w:val="0"/>
              <w:pBdr>
                <w:top w:val="nil"/>
                <w:left w:val="nil"/>
                <w:bottom w:val="nil"/>
                <w:right w:val="nil"/>
                <w:between w:val="nil"/>
              </w:pBdr>
              <w:jc w:val="right"/>
              <w:rPr>
                <w:color w:val="000000"/>
              </w:rPr>
            </w:pPr>
          </w:p>
        </w:tc>
        <w:tc>
          <w:tcPr>
            <w:tcW w:w="856" w:type="dxa"/>
          </w:tcPr>
          <w:p w14:paraId="450BF106" w14:textId="77777777" w:rsidR="008E5DE4" w:rsidRDefault="008E5DE4">
            <w:pPr>
              <w:widowControl w:val="0"/>
              <w:pBdr>
                <w:top w:val="nil"/>
                <w:left w:val="nil"/>
                <w:bottom w:val="nil"/>
                <w:right w:val="nil"/>
                <w:between w:val="nil"/>
              </w:pBdr>
              <w:jc w:val="right"/>
              <w:rPr>
                <w:color w:val="000000"/>
              </w:rPr>
            </w:pPr>
          </w:p>
        </w:tc>
        <w:tc>
          <w:tcPr>
            <w:tcW w:w="856" w:type="dxa"/>
          </w:tcPr>
          <w:p w14:paraId="762A587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1916DB4" w14:textId="77777777" w:rsidR="008E5DE4" w:rsidRDefault="008E5DE4">
            <w:pPr>
              <w:widowControl w:val="0"/>
              <w:pBdr>
                <w:top w:val="nil"/>
                <w:left w:val="nil"/>
                <w:bottom w:val="nil"/>
                <w:right w:val="nil"/>
                <w:between w:val="nil"/>
              </w:pBdr>
              <w:jc w:val="right"/>
              <w:rPr>
                <w:color w:val="000000"/>
              </w:rPr>
            </w:pPr>
          </w:p>
        </w:tc>
      </w:tr>
      <w:tr w:rsidR="008E5DE4" w14:paraId="1B0935F0" w14:textId="77777777">
        <w:trPr>
          <w:cantSplit/>
          <w:trHeight w:val="676"/>
        </w:trPr>
        <w:tc>
          <w:tcPr>
            <w:tcW w:w="3061" w:type="dxa"/>
            <w:vAlign w:val="bottom"/>
          </w:tcPr>
          <w:p w14:paraId="1F5E4FE6" w14:textId="77777777" w:rsidR="008E5DE4" w:rsidRDefault="008E5DE4">
            <w:pPr>
              <w:widowControl w:val="0"/>
              <w:pBdr>
                <w:top w:val="nil"/>
                <w:left w:val="nil"/>
                <w:bottom w:val="nil"/>
                <w:right w:val="nil"/>
                <w:between w:val="nil"/>
              </w:pBdr>
              <w:ind w:left="113" w:right="-57" w:hanging="113"/>
              <w:rPr>
                <w:b/>
                <w:color w:val="000000"/>
              </w:rPr>
            </w:pPr>
          </w:p>
          <w:p w14:paraId="002BEC45"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3013D20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36C606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FBA66A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D018A82" w14:textId="77777777" w:rsidR="008E5DE4" w:rsidRDefault="008E5DE4">
            <w:pPr>
              <w:widowControl w:val="0"/>
              <w:pBdr>
                <w:top w:val="nil"/>
                <w:left w:val="nil"/>
                <w:bottom w:val="nil"/>
                <w:right w:val="nil"/>
                <w:between w:val="nil"/>
              </w:pBdr>
              <w:jc w:val="right"/>
              <w:rPr>
                <w:color w:val="000000"/>
              </w:rPr>
            </w:pPr>
          </w:p>
        </w:tc>
        <w:tc>
          <w:tcPr>
            <w:tcW w:w="871" w:type="dxa"/>
          </w:tcPr>
          <w:p w14:paraId="1F2B75B8"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614FDB2C" w14:textId="77777777" w:rsidR="008E5DE4" w:rsidRDefault="008E5DE4">
            <w:pPr>
              <w:widowControl w:val="0"/>
              <w:pBdr>
                <w:top w:val="nil"/>
                <w:left w:val="nil"/>
                <w:bottom w:val="nil"/>
                <w:right w:val="nil"/>
                <w:between w:val="nil"/>
              </w:pBdr>
              <w:jc w:val="right"/>
              <w:rPr>
                <w:color w:val="000000"/>
              </w:rPr>
            </w:pPr>
          </w:p>
        </w:tc>
        <w:tc>
          <w:tcPr>
            <w:tcW w:w="856" w:type="dxa"/>
          </w:tcPr>
          <w:p w14:paraId="4F98243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AB13349" w14:textId="77777777" w:rsidR="008E5DE4" w:rsidRDefault="008E5DE4">
            <w:pPr>
              <w:widowControl w:val="0"/>
              <w:pBdr>
                <w:top w:val="nil"/>
                <w:left w:val="nil"/>
                <w:bottom w:val="nil"/>
                <w:right w:val="nil"/>
                <w:between w:val="nil"/>
              </w:pBdr>
              <w:jc w:val="right"/>
              <w:rPr>
                <w:color w:val="000000"/>
              </w:rPr>
            </w:pPr>
          </w:p>
        </w:tc>
      </w:tr>
      <w:tr w:rsidR="008E5DE4" w14:paraId="2F73911B" w14:textId="77777777">
        <w:trPr>
          <w:cantSplit/>
          <w:trHeight w:val="184"/>
        </w:trPr>
        <w:tc>
          <w:tcPr>
            <w:tcW w:w="3061" w:type="dxa"/>
            <w:vAlign w:val="bottom"/>
          </w:tcPr>
          <w:p w14:paraId="4B66F76D"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482EF62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CA5082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237D5C1"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3102F6B"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EF801B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B66041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3B8056D"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5B51857" w14:textId="77777777" w:rsidR="008E5DE4" w:rsidRDefault="008E5DE4">
            <w:pPr>
              <w:widowControl w:val="0"/>
              <w:pBdr>
                <w:top w:val="nil"/>
                <w:left w:val="nil"/>
                <w:bottom w:val="nil"/>
                <w:right w:val="nil"/>
                <w:between w:val="nil"/>
              </w:pBdr>
              <w:jc w:val="right"/>
              <w:rPr>
                <w:color w:val="000000"/>
                <w:highlight w:val="green"/>
              </w:rPr>
            </w:pPr>
          </w:p>
        </w:tc>
      </w:tr>
      <w:tr w:rsidR="008E5DE4" w14:paraId="0467A0C2" w14:textId="77777777">
        <w:trPr>
          <w:cantSplit/>
          <w:trHeight w:val="184"/>
        </w:trPr>
        <w:tc>
          <w:tcPr>
            <w:tcW w:w="3061" w:type="dxa"/>
            <w:vAlign w:val="bottom"/>
          </w:tcPr>
          <w:p w14:paraId="7F9287EE"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3375AE79"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4B318E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5CFDBB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22CEE59"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00C0914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691BBBC"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FDC19ED"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9DB7D6D" w14:textId="77777777" w:rsidR="008E5DE4" w:rsidRDefault="008E5DE4">
            <w:pPr>
              <w:widowControl w:val="0"/>
              <w:pBdr>
                <w:top w:val="nil"/>
                <w:left w:val="nil"/>
                <w:bottom w:val="nil"/>
                <w:right w:val="nil"/>
                <w:between w:val="nil"/>
              </w:pBdr>
              <w:jc w:val="right"/>
              <w:rPr>
                <w:color w:val="000000"/>
                <w:highlight w:val="green"/>
              </w:rPr>
            </w:pPr>
          </w:p>
        </w:tc>
      </w:tr>
      <w:tr w:rsidR="008E5DE4" w14:paraId="688544EF" w14:textId="77777777">
        <w:trPr>
          <w:cantSplit/>
          <w:trHeight w:val="80"/>
        </w:trPr>
        <w:tc>
          <w:tcPr>
            <w:tcW w:w="3061" w:type="dxa"/>
            <w:vAlign w:val="bottom"/>
          </w:tcPr>
          <w:p w14:paraId="168EE402"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02CDD6A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DB17C4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CFA341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5AD6E4F"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96DB4A1"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0B7359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F8ED48B"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57C9C4F" w14:textId="77777777" w:rsidR="008E5DE4" w:rsidRDefault="008E5DE4">
            <w:pPr>
              <w:widowControl w:val="0"/>
              <w:pBdr>
                <w:top w:val="nil"/>
                <w:left w:val="nil"/>
                <w:bottom w:val="nil"/>
                <w:right w:val="nil"/>
                <w:between w:val="nil"/>
              </w:pBdr>
              <w:jc w:val="right"/>
              <w:rPr>
                <w:color w:val="000000"/>
                <w:highlight w:val="green"/>
              </w:rPr>
            </w:pPr>
          </w:p>
        </w:tc>
      </w:tr>
      <w:tr w:rsidR="008E5DE4" w14:paraId="2DEEB881" w14:textId="77777777">
        <w:trPr>
          <w:cantSplit/>
          <w:trHeight w:val="80"/>
        </w:trPr>
        <w:tc>
          <w:tcPr>
            <w:tcW w:w="3061" w:type="dxa"/>
            <w:vAlign w:val="bottom"/>
          </w:tcPr>
          <w:p w14:paraId="5BB2748A"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682DCBA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FEB2A6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BC76021"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ABFA53B"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532C111"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72593F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7A9A4E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227DA4D" w14:textId="77777777" w:rsidR="008E5DE4" w:rsidRDefault="008E5DE4">
            <w:pPr>
              <w:widowControl w:val="0"/>
              <w:pBdr>
                <w:top w:val="nil"/>
                <w:left w:val="nil"/>
                <w:bottom w:val="nil"/>
                <w:right w:val="nil"/>
                <w:between w:val="nil"/>
              </w:pBdr>
              <w:jc w:val="right"/>
              <w:rPr>
                <w:color w:val="000000"/>
                <w:highlight w:val="green"/>
              </w:rPr>
            </w:pPr>
          </w:p>
        </w:tc>
      </w:tr>
      <w:tr w:rsidR="008E5DE4" w14:paraId="35112712" w14:textId="77777777">
        <w:trPr>
          <w:cantSplit/>
          <w:trHeight w:val="361"/>
        </w:trPr>
        <w:tc>
          <w:tcPr>
            <w:tcW w:w="3061" w:type="dxa"/>
            <w:vAlign w:val="bottom"/>
          </w:tcPr>
          <w:p w14:paraId="3A29025B"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524C409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255B68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D48D15B"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D946840"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170311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81766DE"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4D218A1"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B07CB5B" w14:textId="77777777" w:rsidR="008E5DE4" w:rsidRDefault="008E5DE4">
            <w:pPr>
              <w:widowControl w:val="0"/>
              <w:pBdr>
                <w:top w:val="nil"/>
                <w:left w:val="nil"/>
                <w:bottom w:val="nil"/>
                <w:right w:val="nil"/>
                <w:between w:val="nil"/>
              </w:pBdr>
              <w:jc w:val="right"/>
              <w:rPr>
                <w:color w:val="000000"/>
                <w:highlight w:val="green"/>
              </w:rPr>
            </w:pPr>
          </w:p>
        </w:tc>
      </w:tr>
      <w:tr w:rsidR="008E5DE4" w14:paraId="306D3364" w14:textId="77777777">
        <w:trPr>
          <w:cantSplit/>
          <w:trHeight w:val="169"/>
        </w:trPr>
        <w:tc>
          <w:tcPr>
            <w:tcW w:w="3061" w:type="dxa"/>
            <w:vAlign w:val="bottom"/>
          </w:tcPr>
          <w:p w14:paraId="6E149C2D"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27B864D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801FEC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F98BEC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1DB12D6" w14:textId="77777777" w:rsidR="008E5DE4" w:rsidRDefault="008E5DE4">
            <w:pPr>
              <w:widowControl w:val="0"/>
              <w:pBdr>
                <w:top w:val="nil"/>
                <w:left w:val="nil"/>
                <w:bottom w:val="nil"/>
                <w:right w:val="nil"/>
                <w:between w:val="nil"/>
              </w:pBdr>
              <w:jc w:val="right"/>
              <w:rPr>
                <w:color w:val="000000"/>
              </w:rPr>
            </w:pPr>
          </w:p>
        </w:tc>
        <w:tc>
          <w:tcPr>
            <w:tcW w:w="871" w:type="dxa"/>
          </w:tcPr>
          <w:p w14:paraId="1C6E66F9" w14:textId="77777777" w:rsidR="008E5DE4" w:rsidRDefault="008E5DE4">
            <w:pPr>
              <w:widowControl w:val="0"/>
              <w:pBdr>
                <w:top w:val="nil"/>
                <w:left w:val="nil"/>
                <w:bottom w:val="nil"/>
                <w:right w:val="nil"/>
                <w:between w:val="nil"/>
              </w:pBdr>
              <w:jc w:val="right"/>
              <w:rPr>
                <w:color w:val="000000"/>
              </w:rPr>
            </w:pPr>
          </w:p>
        </w:tc>
        <w:tc>
          <w:tcPr>
            <w:tcW w:w="856" w:type="dxa"/>
          </w:tcPr>
          <w:p w14:paraId="52712005" w14:textId="77777777" w:rsidR="008E5DE4" w:rsidRDefault="008E5DE4">
            <w:pPr>
              <w:widowControl w:val="0"/>
              <w:pBdr>
                <w:top w:val="nil"/>
                <w:left w:val="nil"/>
                <w:bottom w:val="nil"/>
                <w:right w:val="nil"/>
                <w:between w:val="nil"/>
              </w:pBdr>
              <w:jc w:val="right"/>
              <w:rPr>
                <w:color w:val="000000"/>
              </w:rPr>
            </w:pPr>
          </w:p>
        </w:tc>
        <w:tc>
          <w:tcPr>
            <w:tcW w:w="856" w:type="dxa"/>
          </w:tcPr>
          <w:p w14:paraId="58E6372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2DFD7F9" w14:textId="77777777" w:rsidR="008E5DE4" w:rsidRDefault="008E5DE4">
            <w:pPr>
              <w:widowControl w:val="0"/>
              <w:pBdr>
                <w:top w:val="nil"/>
                <w:left w:val="nil"/>
                <w:bottom w:val="nil"/>
                <w:right w:val="nil"/>
                <w:between w:val="nil"/>
              </w:pBdr>
              <w:jc w:val="right"/>
              <w:rPr>
                <w:color w:val="000000"/>
              </w:rPr>
            </w:pPr>
          </w:p>
        </w:tc>
      </w:tr>
      <w:tr w:rsidR="008E5DE4" w14:paraId="526BC28A" w14:textId="77777777">
        <w:trPr>
          <w:cantSplit/>
          <w:trHeight w:val="232"/>
        </w:trPr>
        <w:tc>
          <w:tcPr>
            <w:tcW w:w="3061" w:type="dxa"/>
            <w:vAlign w:val="bottom"/>
          </w:tcPr>
          <w:p w14:paraId="68594530"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43C035A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FD815A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FC2648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F9875BA" w14:textId="77777777" w:rsidR="008E5DE4" w:rsidRDefault="008E5DE4">
            <w:pPr>
              <w:widowControl w:val="0"/>
              <w:pBdr>
                <w:top w:val="nil"/>
                <w:left w:val="nil"/>
                <w:bottom w:val="nil"/>
                <w:right w:val="nil"/>
                <w:between w:val="nil"/>
              </w:pBdr>
              <w:jc w:val="right"/>
              <w:rPr>
                <w:color w:val="000000"/>
              </w:rPr>
            </w:pPr>
          </w:p>
        </w:tc>
        <w:tc>
          <w:tcPr>
            <w:tcW w:w="871" w:type="dxa"/>
          </w:tcPr>
          <w:p w14:paraId="56E927C0" w14:textId="77777777" w:rsidR="008E5DE4" w:rsidRDefault="008E5DE4">
            <w:pPr>
              <w:widowControl w:val="0"/>
              <w:pBdr>
                <w:top w:val="nil"/>
                <w:left w:val="nil"/>
                <w:bottom w:val="nil"/>
                <w:right w:val="nil"/>
                <w:between w:val="nil"/>
              </w:pBdr>
              <w:jc w:val="right"/>
              <w:rPr>
                <w:color w:val="000000"/>
              </w:rPr>
            </w:pPr>
          </w:p>
        </w:tc>
        <w:tc>
          <w:tcPr>
            <w:tcW w:w="856" w:type="dxa"/>
          </w:tcPr>
          <w:p w14:paraId="49A6E005" w14:textId="77777777" w:rsidR="008E5DE4" w:rsidRDefault="008E5DE4">
            <w:pPr>
              <w:widowControl w:val="0"/>
              <w:pBdr>
                <w:top w:val="nil"/>
                <w:left w:val="nil"/>
                <w:bottom w:val="nil"/>
                <w:right w:val="nil"/>
                <w:between w:val="nil"/>
              </w:pBdr>
              <w:jc w:val="right"/>
              <w:rPr>
                <w:color w:val="000000"/>
              </w:rPr>
            </w:pPr>
          </w:p>
        </w:tc>
        <w:tc>
          <w:tcPr>
            <w:tcW w:w="856" w:type="dxa"/>
          </w:tcPr>
          <w:p w14:paraId="21ECEF8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9AE652A" w14:textId="77777777" w:rsidR="008E5DE4" w:rsidRDefault="008E5DE4">
            <w:pPr>
              <w:widowControl w:val="0"/>
              <w:pBdr>
                <w:top w:val="nil"/>
                <w:left w:val="nil"/>
                <w:bottom w:val="nil"/>
                <w:right w:val="nil"/>
                <w:between w:val="nil"/>
              </w:pBdr>
              <w:jc w:val="right"/>
              <w:rPr>
                <w:color w:val="000000"/>
              </w:rPr>
            </w:pPr>
          </w:p>
        </w:tc>
      </w:tr>
      <w:tr w:rsidR="008E5DE4" w14:paraId="3F578470" w14:textId="77777777">
        <w:trPr>
          <w:cantSplit/>
          <w:trHeight w:val="80"/>
        </w:trPr>
        <w:tc>
          <w:tcPr>
            <w:tcW w:w="3061" w:type="dxa"/>
            <w:vAlign w:val="bottom"/>
          </w:tcPr>
          <w:p w14:paraId="0B131083"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756D260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7592D2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32694E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A2A2F83"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F6DA22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BF1E19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969608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AAA38F3" w14:textId="77777777" w:rsidR="008E5DE4" w:rsidRDefault="008E5DE4">
            <w:pPr>
              <w:widowControl w:val="0"/>
              <w:pBdr>
                <w:top w:val="nil"/>
                <w:left w:val="nil"/>
                <w:bottom w:val="nil"/>
                <w:right w:val="nil"/>
                <w:between w:val="nil"/>
              </w:pBdr>
              <w:jc w:val="right"/>
              <w:rPr>
                <w:color w:val="000000"/>
              </w:rPr>
            </w:pPr>
          </w:p>
        </w:tc>
      </w:tr>
      <w:tr w:rsidR="008E5DE4" w14:paraId="4130EF33" w14:textId="77777777">
        <w:trPr>
          <w:cantSplit/>
          <w:trHeight w:val="85"/>
        </w:trPr>
        <w:tc>
          <w:tcPr>
            <w:tcW w:w="3061" w:type="dxa"/>
            <w:vAlign w:val="bottom"/>
          </w:tcPr>
          <w:p w14:paraId="1B80A571"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315790F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761B81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AE0FC9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446EE5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032765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AF3CA2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59F9B2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710F918" w14:textId="77777777" w:rsidR="008E5DE4" w:rsidRDefault="008E5DE4">
            <w:pPr>
              <w:widowControl w:val="0"/>
              <w:pBdr>
                <w:top w:val="nil"/>
                <w:left w:val="nil"/>
                <w:bottom w:val="nil"/>
                <w:right w:val="nil"/>
                <w:between w:val="nil"/>
              </w:pBdr>
              <w:jc w:val="right"/>
              <w:rPr>
                <w:color w:val="000000"/>
              </w:rPr>
            </w:pPr>
          </w:p>
        </w:tc>
      </w:tr>
      <w:tr w:rsidR="008E5DE4" w14:paraId="59DC781D" w14:textId="77777777">
        <w:trPr>
          <w:cantSplit/>
          <w:trHeight w:val="169"/>
        </w:trPr>
        <w:tc>
          <w:tcPr>
            <w:tcW w:w="3061" w:type="dxa"/>
            <w:vAlign w:val="bottom"/>
          </w:tcPr>
          <w:p w14:paraId="0D555D6F"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1EEE200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04E6E1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BE1B31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CA000DA"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14D64F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127334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7E79CB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B74C5FE" w14:textId="77777777" w:rsidR="008E5DE4" w:rsidRDefault="008E5DE4">
            <w:pPr>
              <w:widowControl w:val="0"/>
              <w:pBdr>
                <w:top w:val="nil"/>
                <w:left w:val="nil"/>
                <w:bottom w:val="nil"/>
                <w:right w:val="nil"/>
                <w:between w:val="nil"/>
              </w:pBdr>
              <w:jc w:val="right"/>
              <w:rPr>
                <w:color w:val="000000"/>
              </w:rPr>
            </w:pPr>
          </w:p>
        </w:tc>
      </w:tr>
      <w:tr w:rsidR="008E5DE4" w14:paraId="6E767F4C" w14:textId="77777777">
        <w:trPr>
          <w:cantSplit/>
          <w:trHeight w:val="169"/>
        </w:trPr>
        <w:tc>
          <w:tcPr>
            <w:tcW w:w="3061" w:type="dxa"/>
            <w:vAlign w:val="bottom"/>
          </w:tcPr>
          <w:p w14:paraId="79F8DE60"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5B78140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8A4C32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3DEB57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1E5307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081E81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2B20C3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38C04B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D9E56D8" w14:textId="77777777" w:rsidR="008E5DE4" w:rsidRDefault="008E5DE4">
            <w:pPr>
              <w:widowControl w:val="0"/>
              <w:pBdr>
                <w:top w:val="nil"/>
                <w:left w:val="nil"/>
                <w:bottom w:val="nil"/>
                <w:right w:val="nil"/>
                <w:between w:val="nil"/>
              </w:pBdr>
              <w:jc w:val="right"/>
              <w:rPr>
                <w:color w:val="000000"/>
              </w:rPr>
            </w:pPr>
          </w:p>
        </w:tc>
      </w:tr>
      <w:tr w:rsidR="008E5DE4" w14:paraId="71B9393F" w14:textId="77777777">
        <w:trPr>
          <w:cantSplit/>
          <w:trHeight w:val="169"/>
        </w:trPr>
        <w:tc>
          <w:tcPr>
            <w:tcW w:w="3061" w:type="dxa"/>
            <w:tcBorders>
              <w:bottom w:val="single" w:sz="4" w:space="0" w:color="000000"/>
            </w:tcBorders>
            <w:vAlign w:val="bottom"/>
          </w:tcPr>
          <w:p w14:paraId="52FE76ED"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072546BB"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C17253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EFC5C91"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1278047D"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2150F2C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97E54B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E84F8ED"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0E4E6D06" w14:textId="77777777" w:rsidR="008E5DE4" w:rsidRDefault="008E5DE4">
            <w:pPr>
              <w:widowControl w:val="0"/>
              <w:pBdr>
                <w:top w:val="nil"/>
                <w:left w:val="nil"/>
                <w:bottom w:val="nil"/>
                <w:right w:val="nil"/>
                <w:between w:val="nil"/>
              </w:pBdr>
              <w:jc w:val="right"/>
              <w:rPr>
                <w:color w:val="000000"/>
              </w:rPr>
            </w:pPr>
          </w:p>
        </w:tc>
      </w:tr>
      <w:tr w:rsidR="008E5DE4" w14:paraId="65229BD0" w14:textId="77777777">
        <w:trPr>
          <w:cantSplit/>
          <w:trHeight w:val="153"/>
        </w:trPr>
        <w:tc>
          <w:tcPr>
            <w:tcW w:w="3061" w:type="dxa"/>
            <w:tcBorders>
              <w:top w:val="single" w:sz="4" w:space="0" w:color="000000"/>
            </w:tcBorders>
            <w:vAlign w:val="bottom"/>
          </w:tcPr>
          <w:p w14:paraId="69D61D52"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562FC14F"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117CA7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8BF1E1C"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6F2DAB6"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DBD427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0AC606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FFA5CC8"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62C61BBA" w14:textId="77777777" w:rsidR="008E5DE4" w:rsidRDefault="008E5DE4">
            <w:pPr>
              <w:widowControl w:val="0"/>
              <w:pBdr>
                <w:top w:val="nil"/>
                <w:left w:val="nil"/>
                <w:bottom w:val="nil"/>
                <w:right w:val="nil"/>
                <w:between w:val="nil"/>
              </w:pBdr>
              <w:jc w:val="right"/>
              <w:rPr>
                <w:color w:val="000000"/>
              </w:rPr>
            </w:pPr>
          </w:p>
        </w:tc>
      </w:tr>
      <w:tr w:rsidR="008E5DE4" w14:paraId="6CF91BC9" w14:textId="77777777">
        <w:trPr>
          <w:cantSplit/>
          <w:trHeight w:val="245"/>
        </w:trPr>
        <w:tc>
          <w:tcPr>
            <w:tcW w:w="3061" w:type="dxa"/>
            <w:vAlign w:val="bottom"/>
          </w:tcPr>
          <w:p w14:paraId="7BC07451"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213B4E0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B2C122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4C1CFF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A550B20"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B98D23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0C68C0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BF7043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E6AA998" w14:textId="77777777" w:rsidR="008E5DE4" w:rsidRDefault="008E5DE4">
            <w:pPr>
              <w:widowControl w:val="0"/>
              <w:pBdr>
                <w:top w:val="nil"/>
                <w:left w:val="nil"/>
                <w:bottom w:val="nil"/>
                <w:right w:val="nil"/>
                <w:between w:val="nil"/>
              </w:pBdr>
              <w:jc w:val="right"/>
              <w:rPr>
                <w:color w:val="000000"/>
              </w:rPr>
            </w:pPr>
          </w:p>
        </w:tc>
      </w:tr>
      <w:tr w:rsidR="008E5DE4" w14:paraId="6ECA725A" w14:textId="77777777">
        <w:trPr>
          <w:cantSplit/>
          <w:trHeight w:val="80"/>
        </w:trPr>
        <w:tc>
          <w:tcPr>
            <w:tcW w:w="3061" w:type="dxa"/>
            <w:tcBorders>
              <w:bottom w:val="single" w:sz="4" w:space="0" w:color="000000"/>
            </w:tcBorders>
            <w:vAlign w:val="bottom"/>
          </w:tcPr>
          <w:p w14:paraId="2BABD99E"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7AC855F1"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7295ECB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CA64319"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11691F9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08ED303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E601B8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80BF610"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1DEB8142" w14:textId="77777777" w:rsidR="008E5DE4" w:rsidRDefault="008E5DE4">
            <w:pPr>
              <w:widowControl w:val="0"/>
              <w:pBdr>
                <w:top w:val="nil"/>
                <w:left w:val="nil"/>
                <w:bottom w:val="nil"/>
                <w:right w:val="nil"/>
                <w:between w:val="nil"/>
              </w:pBdr>
              <w:jc w:val="right"/>
              <w:rPr>
                <w:color w:val="000000"/>
              </w:rPr>
            </w:pPr>
          </w:p>
        </w:tc>
      </w:tr>
      <w:tr w:rsidR="008E5DE4" w14:paraId="723339D6" w14:textId="77777777">
        <w:trPr>
          <w:cantSplit/>
          <w:trHeight w:val="153"/>
        </w:trPr>
        <w:tc>
          <w:tcPr>
            <w:tcW w:w="3061" w:type="dxa"/>
            <w:tcBorders>
              <w:top w:val="single" w:sz="4" w:space="0" w:color="000000"/>
            </w:tcBorders>
            <w:vAlign w:val="bottom"/>
          </w:tcPr>
          <w:p w14:paraId="6791DB6E"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619C0B29"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A651BE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3ED52D9"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5290436B"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037751F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39122E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1F43F59"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522F0DDA" w14:textId="77777777" w:rsidR="008E5DE4" w:rsidRDefault="008E5DE4">
            <w:pPr>
              <w:widowControl w:val="0"/>
              <w:pBdr>
                <w:top w:val="nil"/>
                <w:left w:val="nil"/>
                <w:bottom w:val="nil"/>
                <w:right w:val="nil"/>
                <w:between w:val="nil"/>
              </w:pBdr>
              <w:jc w:val="right"/>
              <w:rPr>
                <w:color w:val="000000"/>
              </w:rPr>
            </w:pPr>
          </w:p>
        </w:tc>
      </w:tr>
      <w:tr w:rsidR="008E5DE4" w14:paraId="3B542C72" w14:textId="77777777">
        <w:trPr>
          <w:cantSplit/>
          <w:trHeight w:val="692"/>
        </w:trPr>
        <w:tc>
          <w:tcPr>
            <w:tcW w:w="3061" w:type="dxa"/>
            <w:vAlign w:val="bottom"/>
          </w:tcPr>
          <w:p w14:paraId="323EB82F"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2B2CBD37"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6E63AE29"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11D4A2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BB2FD0E"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CA2ED1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116E329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B98B82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CDCB6EF"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A62CCB5" w14:textId="77777777" w:rsidR="008E5DE4" w:rsidRDefault="008E5DE4">
            <w:pPr>
              <w:widowControl w:val="0"/>
              <w:pBdr>
                <w:top w:val="nil"/>
                <w:left w:val="nil"/>
                <w:bottom w:val="nil"/>
                <w:right w:val="nil"/>
                <w:between w:val="nil"/>
              </w:pBdr>
              <w:jc w:val="right"/>
              <w:rPr>
                <w:color w:val="000000"/>
                <w:highlight w:val="green"/>
              </w:rPr>
            </w:pPr>
          </w:p>
        </w:tc>
      </w:tr>
      <w:tr w:rsidR="008E5DE4" w14:paraId="2C213936" w14:textId="77777777">
        <w:trPr>
          <w:cantSplit/>
          <w:trHeight w:val="169"/>
        </w:trPr>
        <w:tc>
          <w:tcPr>
            <w:tcW w:w="3061" w:type="dxa"/>
            <w:vAlign w:val="bottom"/>
          </w:tcPr>
          <w:p w14:paraId="2739F273"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7516E1D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9E3F56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94AAF6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1382910"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328BFD1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F7930A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74B38B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BCBFFCE" w14:textId="77777777" w:rsidR="008E5DE4" w:rsidRDefault="008E5DE4">
            <w:pPr>
              <w:widowControl w:val="0"/>
              <w:pBdr>
                <w:top w:val="nil"/>
                <w:left w:val="nil"/>
                <w:bottom w:val="nil"/>
                <w:right w:val="nil"/>
                <w:between w:val="nil"/>
              </w:pBdr>
              <w:jc w:val="right"/>
              <w:rPr>
                <w:color w:val="000000"/>
                <w:highlight w:val="green"/>
              </w:rPr>
            </w:pPr>
          </w:p>
        </w:tc>
      </w:tr>
      <w:tr w:rsidR="008E5DE4" w14:paraId="04E55829" w14:textId="77777777">
        <w:trPr>
          <w:cantSplit/>
          <w:trHeight w:val="169"/>
        </w:trPr>
        <w:tc>
          <w:tcPr>
            <w:tcW w:w="3061" w:type="dxa"/>
            <w:vAlign w:val="bottom"/>
          </w:tcPr>
          <w:p w14:paraId="119C8903"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3D40FB0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0EA10B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E8FC433"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C66A734"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6929509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105992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ED1675F"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277B19B" w14:textId="77777777" w:rsidR="008E5DE4" w:rsidRDefault="008E5DE4">
            <w:pPr>
              <w:widowControl w:val="0"/>
              <w:pBdr>
                <w:top w:val="nil"/>
                <w:left w:val="nil"/>
                <w:bottom w:val="nil"/>
                <w:right w:val="nil"/>
                <w:between w:val="nil"/>
              </w:pBdr>
              <w:jc w:val="right"/>
              <w:rPr>
                <w:color w:val="000000"/>
                <w:highlight w:val="green"/>
              </w:rPr>
            </w:pPr>
          </w:p>
        </w:tc>
      </w:tr>
      <w:tr w:rsidR="008E5DE4" w14:paraId="5D7D299B" w14:textId="77777777">
        <w:trPr>
          <w:cantSplit/>
          <w:trHeight w:val="337"/>
        </w:trPr>
        <w:tc>
          <w:tcPr>
            <w:tcW w:w="3061" w:type="dxa"/>
            <w:vAlign w:val="bottom"/>
          </w:tcPr>
          <w:p w14:paraId="6D73CFFE"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0EFF3ED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11A391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60CD45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539DA4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778A2A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A03A82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955787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EFC3B55" w14:textId="77777777" w:rsidR="008E5DE4" w:rsidRDefault="008E5DE4">
            <w:pPr>
              <w:widowControl w:val="0"/>
              <w:pBdr>
                <w:top w:val="nil"/>
                <w:left w:val="nil"/>
                <w:bottom w:val="nil"/>
                <w:right w:val="nil"/>
                <w:between w:val="nil"/>
              </w:pBdr>
              <w:jc w:val="right"/>
              <w:rPr>
                <w:color w:val="000000"/>
              </w:rPr>
            </w:pPr>
          </w:p>
        </w:tc>
      </w:tr>
      <w:tr w:rsidR="008E5DE4" w14:paraId="67FF5D38" w14:textId="77777777">
        <w:trPr>
          <w:cantSplit/>
          <w:trHeight w:val="231"/>
        </w:trPr>
        <w:tc>
          <w:tcPr>
            <w:tcW w:w="3061" w:type="dxa"/>
            <w:vAlign w:val="bottom"/>
          </w:tcPr>
          <w:p w14:paraId="25B217B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851" w:type="dxa"/>
            <w:vAlign w:val="bottom"/>
          </w:tcPr>
          <w:p w14:paraId="3C44C3B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514FD1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13E9C1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9F63F45"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6E6270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673877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91FBC5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18A0C1C" w14:textId="77777777" w:rsidR="008E5DE4" w:rsidRDefault="008E5DE4">
            <w:pPr>
              <w:widowControl w:val="0"/>
              <w:pBdr>
                <w:top w:val="nil"/>
                <w:left w:val="nil"/>
                <w:bottom w:val="nil"/>
                <w:right w:val="nil"/>
                <w:between w:val="nil"/>
              </w:pBdr>
              <w:jc w:val="right"/>
              <w:rPr>
                <w:color w:val="000000"/>
              </w:rPr>
            </w:pPr>
          </w:p>
        </w:tc>
      </w:tr>
      <w:tr w:rsidR="008E5DE4" w14:paraId="1D049F7F" w14:textId="77777777">
        <w:trPr>
          <w:cantSplit/>
          <w:trHeight w:val="169"/>
        </w:trPr>
        <w:tc>
          <w:tcPr>
            <w:tcW w:w="3061" w:type="dxa"/>
            <w:tcBorders>
              <w:bottom w:val="single" w:sz="4" w:space="0" w:color="000000"/>
            </w:tcBorders>
            <w:vAlign w:val="bottom"/>
          </w:tcPr>
          <w:p w14:paraId="4AA81F62"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851" w:type="dxa"/>
            <w:tcBorders>
              <w:bottom w:val="single" w:sz="4" w:space="0" w:color="000000"/>
            </w:tcBorders>
            <w:vAlign w:val="bottom"/>
          </w:tcPr>
          <w:p w14:paraId="2EC8DDFA"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6AF87E7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A184903"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0B5D15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0A2C6A2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4F1C7C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A89835F"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78818CD4" w14:textId="77777777" w:rsidR="008E5DE4" w:rsidRDefault="008E5DE4">
            <w:pPr>
              <w:widowControl w:val="0"/>
              <w:pBdr>
                <w:top w:val="nil"/>
                <w:left w:val="nil"/>
                <w:bottom w:val="nil"/>
                <w:right w:val="nil"/>
                <w:between w:val="nil"/>
              </w:pBdr>
              <w:jc w:val="right"/>
              <w:rPr>
                <w:color w:val="000000"/>
              </w:rPr>
            </w:pPr>
          </w:p>
        </w:tc>
      </w:tr>
      <w:tr w:rsidR="008E5DE4" w14:paraId="3A232025" w14:textId="77777777">
        <w:trPr>
          <w:cantSplit/>
          <w:trHeight w:val="169"/>
        </w:trPr>
        <w:tc>
          <w:tcPr>
            <w:tcW w:w="3061" w:type="dxa"/>
            <w:tcBorders>
              <w:top w:val="single" w:sz="4" w:space="0" w:color="000000"/>
            </w:tcBorders>
            <w:vAlign w:val="bottom"/>
          </w:tcPr>
          <w:p w14:paraId="556795F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top w:val="single" w:sz="4" w:space="0" w:color="000000"/>
            </w:tcBorders>
            <w:vAlign w:val="bottom"/>
          </w:tcPr>
          <w:p w14:paraId="01F1F65D"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A84ED0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8861BEF"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6BEA6A00"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1AF17B7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D1A2247"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EA1D16A"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10EB9E43" w14:textId="77777777" w:rsidR="008E5DE4" w:rsidRDefault="008E5DE4">
            <w:pPr>
              <w:widowControl w:val="0"/>
              <w:pBdr>
                <w:top w:val="nil"/>
                <w:left w:val="nil"/>
                <w:bottom w:val="nil"/>
                <w:right w:val="nil"/>
                <w:between w:val="nil"/>
              </w:pBdr>
              <w:jc w:val="right"/>
              <w:rPr>
                <w:color w:val="000000"/>
              </w:rPr>
            </w:pPr>
          </w:p>
        </w:tc>
      </w:tr>
      <w:tr w:rsidR="008E5DE4" w14:paraId="40F40C80" w14:textId="77777777">
        <w:trPr>
          <w:cantSplit/>
          <w:trHeight w:val="169"/>
        </w:trPr>
        <w:tc>
          <w:tcPr>
            <w:tcW w:w="3061" w:type="dxa"/>
            <w:vAlign w:val="bottom"/>
          </w:tcPr>
          <w:p w14:paraId="709500EF" w14:textId="39873D72"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1F51B45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C7FDCC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0446A3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BACCB15"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EF7902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A62633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B8410A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48016B7" w14:textId="77777777" w:rsidR="008E5DE4" w:rsidRDefault="008E5DE4">
            <w:pPr>
              <w:widowControl w:val="0"/>
              <w:pBdr>
                <w:top w:val="nil"/>
                <w:left w:val="nil"/>
                <w:bottom w:val="nil"/>
                <w:right w:val="nil"/>
                <w:between w:val="nil"/>
              </w:pBdr>
              <w:jc w:val="right"/>
              <w:rPr>
                <w:color w:val="000000"/>
              </w:rPr>
            </w:pPr>
          </w:p>
        </w:tc>
      </w:tr>
      <w:tr w:rsidR="008E5DE4" w14:paraId="0F54471E" w14:textId="77777777">
        <w:trPr>
          <w:cantSplit/>
          <w:trHeight w:val="169"/>
        </w:trPr>
        <w:tc>
          <w:tcPr>
            <w:tcW w:w="3061" w:type="dxa"/>
            <w:tcBorders>
              <w:bottom w:val="single" w:sz="12" w:space="0" w:color="000000"/>
            </w:tcBorders>
            <w:vAlign w:val="bottom"/>
          </w:tcPr>
          <w:p w14:paraId="6D904FCE"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851" w:type="dxa"/>
            <w:tcBorders>
              <w:bottom w:val="single" w:sz="12" w:space="0" w:color="000000"/>
            </w:tcBorders>
            <w:vAlign w:val="bottom"/>
          </w:tcPr>
          <w:p w14:paraId="545292B6"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7ED33A2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086A51BF"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71CEB7C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226CE0E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45FDAE5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30168CC3"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6C22D50D" w14:textId="77777777" w:rsidR="008E5DE4" w:rsidRDefault="008E5DE4">
            <w:pPr>
              <w:widowControl w:val="0"/>
              <w:pBdr>
                <w:top w:val="nil"/>
                <w:left w:val="nil"/>
                <w:bottom w:val="nil"/>
                <w:right w:val="nil"/>
                <w:between w:val="nil"/>
              </w:pBdr>
              <w:jc w:val="right"/>
              <w:rPr>
                <w:color w:val="000000"/>
              </w:rPr>
            </w:pPr>
          </w:p>
        </w:tc>
      </w:tr>
    </w:tbl>
    <w:p w14:paraId="2F38F2E3" w14:textId="77777777" w:rsidR="008E5DE4" w:rsidRDefault="008E5DE4">
      <w:pPr>
        <w:widowControl w:val="0"/>
        <w:spacing w:before="200" w:after="200"/>
        <w:jc w:val="both"/>
        <w:rPr>
          <w:sz w:val="20"/>
          <w:szCs w:val="20"/>
        </w:rPr>
      </w:pPr>
    </w:p>
    <w:p w14:paraId="36CAAFA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20</w:t>
      </w:r>
      <w:r>
        <w:rPr>
          <w:b/>
          <w:color w:val="000000"/>
          <w:sz w:val="20"/>
          <w:szCs w:val="20"/>
        </w:rPr>
        <w:tab/>
        <w:t>Trade and Other Receivables (Continued)</w:t>
      </w:r>
    </w:p>
    <w:p w14:paraId="18C1748F"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retains legal ownership of inventory sold until the receivable arising from the sale is settled. Receivables collateralised by such inventory or other assets are as follows </w:t>
      </w:r>
      <w:proofErr w:type="gramStart"/>
      <w:r>
        <w:rPr>
          <w:color w:val="000000"/>
          <w:sz w:val="20"/>
          <w:szCs w:val="20"/>
        </w:rPr>
        <w:t>at</w:t>
      </w:r>
      <w:proofErr w:type="gramEnd"/>
      <w:r>
        <w:rPr>
          <w:color w:val="000000"/>
          <w:sz w:val="20"/>
          <w:szCs w:val="20"/>
        </w:rPr>
        <w:t xml:space="preserve"> 31 December:</w:t>
      </w:r>
    </w:p>
    <w:tbl>
      <w:tblPr>
        <w:tblStyle w:val="afffffd"/>
        <w:tblW w:w="9354" w:type="dxa"/>
        <w:tblLayout w:type="fixed"/>
        <w:tblLook w:val="0000" w:firstRow="0" w:lastRow="0" w:firstColumn="0" w:lastColumn="0" w:noHBand="0" w:noVBand="0"/>
      </w:tblPr>
      <w:tblGrid>
        <w:gridCol w:w="4138"/>
        <w:gridCol w:w="1304"/>
        <w:gridCol w:w="1304"/>
        <w:gridCol w:w="1304"/>
        <w:gridCol w:w="1304"/>
      </w:tblGrid>
      <w:tr w:rsidR="008E5DE4" w14:paraId="69C8B0FF" w14:textId="77777777">
        <w:trPr>
          <w:cantSplit/>
          <w:tblHeader/>
        </w:trPr>
        <w:tc>
          <w:tcPr>
            <w:tcW w:w="4139" w:type="dxa"/>
            <w:vMerge w:val="restart"/>
            <w:vAlign w:val="bottom"/>
          </w:tcPr>
          <w:p w14:paraId="50A15216"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2608" w:type="dxa"/>
            <w:gridSpan w:val="2"/>
            <w:tcBorders>
              <w:bottom w:val="single" w:sz="4" w:space="0" w:color="000000"/>
            </w:tcBorders>
          </w:tcPr>
          <w:p w14:paraId="57D7026A" w14:textId="6A8BDF99" w:rsidR="008E5DE4" w:rsidRDefault="008614F8">
            <w:pPr>
              <w:widowControl w:val="0"/>
              <w:pBdr>
                <w:top w:val="nil"/>
                <w:left w:val="nil"/>
                <w:bottom w:val="nil"/>
                <w:right w:val="nil"/>
                <w:between w:val="nil"/>
              </w:pBdr>
              <w:jc w:val="center"/>
              <w:rPr>
                <w:b/>
                <w:color w:val="000000"/>
              </w:rPr>
            </w:pPr>
            <w:r>
              <w:rPr>
                <w:b/>
                <w:color w:val="000000"/>
              </w:rPr>
              <w:t>2025</w:t>
            </w:r>
          </w:p>
        </w:tc>
        <w:tc>
          <w:tcPr>
            <w:tcW w:w="2608" w:type="dxa"/>
            <w:gridSpan w:val="2"/>
            <w:tcBorders>
              <w:bottom w:val="single" w:sz="4" w:space="0" w:color="000000"/>
            </w:tcBorders>
            <w:vAlign w:val="bottom"/>
          </w:tcPr>
          <w:p w14:paraId="6E846FFA" w14:textId="142996C1" w:rsidR="008E5DE4" w:rsidRDefault="00FF468A">
            <w:pPr>
              <w:widowControl w:val="0"/>
              <w:pBdr>
                <w:top w:val="nil"/>
                <w:left w:val="nil"/>
                <w:bottom w:val="nil"/>
                <w:right w:val="nil"/>
                <w:between w:val="nil"/>
              </w:pBdr>
              <w:jc w:val="center"/>
              <w:rPr>
                <w:b/>
                <w:color w:val="000000"/>
              </w:rPr>
            </w:pPr>
            <w:r>
              <w:rPr>
                <w:b/>
                <w:color w:val="000000"/>
              </w:rPr>
              <w:t>2024</w:t>
            </w:r>
          </w:p>
        </w:tc>
      </w:tr>
      <w:tr w:rsidR="008E5DE4" w14:paraId="1505323A" w14:textId="77777777">
        <w:trPr>
          <w:cantSplit/>
          <w:tblHeader/>
        </w:trPr>
        <w:tc>
          <w:tcPr>
            <w:tcW w:w="4139" w:type="dxa"/>
            <w:vMerge/>
            <w:vAlign w:val="bottom"/>
          </w:tcPr>
          <w:p w14:paraId="533B051F" w14:textId="77777777" w:rsidR="008E5DE4" w:rsidRDefault="008E5DE4">
            <w:pPr>
              <w:widowControl w:val="0"/>
              <w:pBdr>
                <w:top w:val="nil"/>
                <w:left w:val="nil"/>
                <w:bottom w:val="nil"/>
                <w:right w:val="nil"/>
                <w:between w:val="nil"/>
              </w:pBdr>
              <w:spacing w:line="276" w:lineRule="auto"/>
              <w:rPr>
                <w:b/>
                <w:color w:val="000000"/>
              </w:rPr>
            </w:pPr>
          </w:p>
        </w:tc>
        <w:tc>
          <w:tcPr>
            <w:tcW w:w="1304" w:type="dxa"/>
            <w:tcBorders>
              <w:top w:val="single" w:sz="4" w:space="0" w:color="000000"/>
              <w:bottom w:val="single" w:sz="4" w:space="0" w:color="000000"/>
            </w:tcBorders>
          </w:tcPr>
          <w:p w14:paraId="1A4051FA" w14:textId="77777777" w:rsidR="008E5DE4" w:rsidRDefault="00780368">
            <w:pPr>
              <w:widowControl w:val="0"/>
              <w:pBdr>
                <w:top w:val="nil"/>
                <w:left w:val="nil"/>
                <w:bottom w:val="nil"/>
                <w:right w:val="nil"/>
                <w:between w:val="nil"/>
              </w:pBdr>
              <w:ind w:left="-113"/>
              <w:jc w:val="right"/>
              <w:rPr>
                <w:b/>
                <w:color w:val="000000"/>
              </w:rPr>
            </w:pPr>
            <w:r>
              <w:rPr>
                <w:b/>
                <w:color w:val="000000"/>
              </w:rPr>
              <w:t>Trade receivables</w:t>
            </w:r>
          </w:p>
        </w:tc>
        <w:tc>
          <w:tcPr>
            <w:tcW w:w="1304" w:type="dxa"/>
            <w:tcBorders>
              <w:top w:val="single" w:sz="4" w:space="0" w:color="000000"/>
              <w:bottom w:val="single" w:sz="4" w:space="0" w:color="000000"/>
            </w:tcBorders>
          </w:tcPr>
          <w:p w14:paraId="3095A3E3" w14:textId="77777777" w:rsidR="008E5DE4" w:rsidRDefault="00780368">
            <w:pPr>
              <w:widowControl w:val="0"/>
              <w:pBdr>
                <w:top w:val="nil"/>
                <w:left w:val="nil"/>
                <w:bottom w:val="nil"/>
                <w:right w:val="nil"/>
                <w:between w:val="nil"/>
              </w:pBdr>
              <w:ind w:left="-113"/>
              <w:jc w:val="right"/>
              <w:rPr>
                <w:b/>
                <w:color w:val="000000"/>
              </w:rPr>
            </w:pPr>
            <w:r>
              <w:rPr>
                <w:b/>
                <w:color w:val="000000"/>
              </w:rPr>
              <w:t>Other financial receivables</w:t>
            </w:r>
          </w:p>
        </w:tc>
        <w:tc>
          <w:tcPr>
            <w:tcW w:w="1304" w:type="dxa"/>
            <w:tcBorders>
              <w:top w:val="single" w:sz="4" w:space="0" w:color="000000"/>
              <w:bottom w:val="single" w:sz="4" w:space="0" w:color="000000"/>
            </w:tcBorders>
          </w:tcPr>
          <w:p w14:paraId="77BCFA8D" w14:textId="77777777" w:rsidR="008E5DE4" w:rsidRDefault="00780368">
            <w:pPr>
              <w:widowControl w:val="0"/>
              <w:pBdr>
                <w:top w:val="nil"/>
                <w:left w:val="nil"/>
                <w:bottom w:val="nil"/>
                <w:right w:val="nil"/>
                <w:between w:val="nil"/>
              </w:pBdr>
              <w:ind w:left="-113"/>
              <w:jc w:val="right"/>
              <w:rPr>
                <w:b/>
                <w:color w:val="000000"/>
              </w:rPr>
            </w:pPr>
            <w:r>
              <w:rPr>
                <w:b/>
                <w:color w:val="000000"/>
              </w:rPr>
              <w:t>Trade receivables</w:t>
            </w:r>
          </w:p>
        </w:tc>
        <w:tc>
          <w:tcPr>
            <w:tcW w:w="1304" w:type="dxa"/>
            <w:tcBorders>
              <w:top w:val="single" w:sz="4" w:space="0" w:color="000000"/>
              <w:bottom w:val="single" w:sz="4" w:space="0" w:color="000000"/>
            </w:tcBorders>
          </w:tcPr>
          <w:p w14:paraId="27E4F12E" w14:textId="77777777" w:rsidR="008E5DE4" w:rsidRDefault="00780368">
            <w:pPr>
              <w:widowControl w:val="0"/>
              <w:pBdr>
                <w:top w:val="nil"/>
                <w:left w:val="nil"/>
                <w:bottom w:val="nil"/>
                <w:right w:val="nil"/>
                <w:between w:val="nil"/>
              </w:pBdr>
              <w:ind w:left="-113"/>
              <w:jc w:val="right"/>
              <w:rPr>
                <w:b/>
                <w:color w:val="000000"/>
              </w:rPr>
            </w:pPr>
            <w:r>
              <w:rPr>
                <w:b/>
                <w:color w:val="000000"/>
              </w:rPr>
              <w:t>Other financial receivables</w:t>
            </w:r>
          </w:p>
        </w:tc>
      </w:tr>
      <w:tr w:rsidR="008E5DE4" w14:paraId="219544D0" w14:textId="77777777">
        <w:trPr>
          <w:cantSplit/>
          <w:tblHeader/>
        </w:trPr>
        <w:tc>
          <w:tcPr>
            <w:tcW w:w="4139" w:type="dxa"/>
            <w:tcBorders>
              <w:top w:val="single" w:sz="4" w:space="0" w:color="000000"/>
            </w:tcBorders>
            <w:vAlign w:val="bottom"/>
          </w:tcPr>
          <w:p w14:paraId="03649D9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top w:val="single" w:sz="4" w:space="0" w:color="000000"/>
            </w:tcBorders>
            <w:vAlign w:val="bottom"/>
          </w:tcPr>
          <w:p w14:paraId="45FF2889"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68C2F8D1"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1AD05D18"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46901C2A" w14:textId="77777777" w:rsidR="008E5DE4" w:rsidRDefault="008E5DE4">
            <w:pPr>
              <w:widowControl w:val="0"/>
              <w:pBdr>
                <w:top w:val="nil"/>
                <w:left w:val="nil"/>
                <w:bottom w:val="nil"/>
                <w:right w:val="nil"/>
                <w:between w:val="nil"/>
              </w:pBdr>
              <w:jc w:val="right"/>
              <w:rPr>
                <w:color w:val="000000"/>
              </w:rPr>
            </w:pPr>
          </w:p>
        </w:tc>
      </w:tr>
      <w:tr w:rsidR="008E5DE4" w14:paraId="7D4A7A8E" w14:textId="77777777">
        <w:trPr>
          <w:cantSplit/>
          <w:tblHeader/>
        </w:trPr>
        <w:tc>
          <w:tcPr>
            <w:tcW w:w="4139" w:type="dxa"/>
            <w:vAlign w:val="bottom"/>
          </w:tcPr>
          <w:p w14:paraId="767D92F6"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Receivables collateralised by: </w:t>
            </w:r>
          </w:p>
        </w:tc>
        <w:tc>
          <w:tcPr>
            <w:tcW w:w="1304" w:type="dxa"/>
            <w:vAlign w:val="bottom"/>
          </w:tcPr>
          <w:p w14:paraId="4A7BD86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C2AF7EA"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7757A7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0E7F263" w14:textId="77777777" w:rsidR="008E5DE4" w:rsidRDefault="008E5DE4">
            <w:pPr>
              <w:widowControl w:val="0"/>
              <w:pBdr>
                <w:top w:val="nil"/>
                <w:left w:val="nil"/>
                <w:bottom w:val="nil"/>
                <w:right w:val="nil"/>
                <w:between w:val="nil"/>
              </w:pBdr>
              <w:jc w:val="right"/>
              <w:rPr>
                <w:color w:val="000000"/>
              </w:rPr>
            </w:pPr>
          </w:p>
        </w:tc>
      </w:tr>
      <w:tr w:rsidR="008E5DE4" w14:paraId="1EED4454" w14:textId="77777777">
        <w:trPr>
          <w:cantSplit/>
          <w:tblHeader/>
        </w:trPr>
        <w:tc>
          <w:tcPr>
            <w:tcW w:w="4139" w:type="dxa"/>
            <w:vAlign w:val="bottom"/>
          </w:tcPr>
          <w:p w14:paraId="2D4C9B70" w14:textId="77777777" w:rsidR="008E5DE4" w:rsidRDefault="00780368">
            <w:pPr>
              <w:widowControl w:val="0"/>
              <w:pBdr>
                <w:top w:val="nil"/>
                <w:left w:val="nil"/>
                <w:bottom w:val="nil"/>
                <w:right w:val="nil"/>
                <w:between w:val="nil"/>
              </w:pBdr>
              <w:ind w:left="113" w:right="-57" w:hanging="113"/>
              <w:rPr>
                <w:color w:val="000000"/>
              </w:rPr>
            </w:pPr>
            <w:r>
              <w:rPr>
                <w:color w:val="000000"/>
              </w:rPr>
              <w:t>- inventory</w:t>
            </w:r>
          </w:p>
        </w:tc>
        <w:tc>
          <w:tcPr>
            <w:tcW w:w="1304" w:type="dxa"/>
            <w:vAlign w:val="bottom"/>
          </w:tcPr>
          <w:p w14:paraId="6EF3E948"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E4967F1"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1255AE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11CF4F0" w14:textId="77777777" w:rsidR="008E5DE4" w:rsidRDefault="008E5DE4">
            <w:pPr>
              <w:widowControl w:val="0"/>
              <w:pBdr>
                <w:top w:val="nil"/>
                <w:left w:val="nil"/>
                <w:bottom w:val="nil"/>
                <w:right w:val="nil"/>
                <w:between w:val="nil"/>
              </w:pBdr>
              <w:jc w:val="right"/>
              <w:rPr>
                <w:color w:val="000000"/>
              </w:rPr>
            </w:pPr>
          </w:p>
        </w:tc>
      </w:tr>
      <w:tr w:rsidR="008E5DE4" w14:paraId="303A2ABA" w14:textId="77777777">
        <w:trPr>
          <w:cantSplit/>
          <w:tblHeader/>
        </w:trPr>
        <w:tc>
          <w:tcPr>
            <w:tcW w:w="4139" w:type="dxa"/>
            <w:vAlign w:val="bottom"/>
          </w:tcPr>
          <w:p w14:paraId="0F62FEC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Pr>
                <w:color w:val="0000FF"/>
              </w:rPr>
              <w:t>[industrial]</w:t>
            </w:r>
            <w:r>
              <w:rPr>
                <w:color w:val="000000"/>
              </w:rPr>
              <w:t xml:space="preserve"> real estate</w:t>
            </w:r>
          </w:p>
        </w:tc>
        <w:tc>
          <w:tcPr>
            <w:tcW w:w="1304" w:type="dxa"/>
            <w:vAlign w:val="bottom"/>
          </w:tcPr>
          <w:p w14:paraId="63D4F99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C77D72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C85EBA8"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8AE4281" w14:textId="77777777" w:rsidR="008E5DE4" w:rsidRDefault="008E5DE4">
            <w:pPr>
              <w:widowControl w:val="0"/>
              <w:pBdr>
                <w:top w:val="nil"/>
                <w:left w:val="nil"/>
                <w:bottom w:val="nil"/>
                <w:right w:val="nil"/>
                <w:between w:val="nil"/>
              </w:pBdr>
              <w:jc w:val="right"/>
              <w:rPr>
                <w:color w:val="000000"/>
              </w:rPr>
            </w:pPr>
          </w:p>
        </w:tc>
      </w:tr>
      <w:tr w:rsidR="008E5DE4" w14:paraId="334785FF" w14:textId="77777777">
        <w:trPr>
          <w:cantSplit/>
          <w:tblHeader/>
        </w:trPr>
        <w:tc>
          <w:tcPr>
            <w:tcW w:w="4139" w:type="dxa"/>
            <w:vAlign w:val="bottom"/>
          </w:tcPr>
          <w:p w14:paraId="4285EF92" w14:textId="77777777" w:rsidR="008E5DE4" w:rsidRDefault="00780368">
            <w:pPr>
              <w:widowControl w:val="0"/>
              <w:pBdr>
                <w:top w:val="nil"/>
                <w:left w:val="nil"/>
                <w:bottom w:val="nil"/>
                <w:right w:val="nil"/>
                <w:between w:val="nil"/>
              </w:pBdr>
              <w:ind w:left="113" w:right="-57" w:hanging="113"/>
              <w:rPr>
                <w:color w:val="000000"/>
              </w:rPr>
            </w:pPr>
            <w:r>
              <w:rPr>
                <w:color w:val="000000"/>
              </w:rPr>
              <w:t>- equipment</w:t>
            </w:r>
          </w:p>
        </w:tc>
        <w:tc>
          <w:tcPr>
            <w:tcW w:w="1304" w:type="dxa"/>
            <w:vAlign w:val="bottom"/>
          </w:tcPr>
          <w:p w14:paraId="2744914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C851C98"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9A6AC9D"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A38E21F" w14:textId="77777777" w:rsidR="008E5DE4" w:rsidRDefault="008E5DE4">
            <w:pPr>
              <w:widowControl w:val="0"/>
              <w:pBdr>
                <w:top w:val="nil"/>
                <w:left w:val="nil"/>
                <w:bottom w:val="nil"/>
                <w:right w:val="nil"/>
                <w:between w:val="nil"/>
              </w:pBdr>
              <w:jc w:val="right"/>
              <w:rPr>
                <w:color w:val="000000"/>
              </w:rPr>
            </w:pPr>
          </w:p>
        </w:tc>
      </w:tr>
      <w:tr w:rsidR="008E5DE4" w14:paraId="030CB467" w14:textId="77777777">
        <w:trPr>
          <w:cantSplit/>
          <w:tblHeader/>
        </w:trPr>
        <w:tc>
          <w:tcPr>
            <w:tcW w:w="4139" w:type="dxa"/>
            <w:vAlign w:val="bottom"/>
          </w:tcPr>
          <w:p w14:paraId="59EC4D18" w14:textId="77777777" w:rsidR="008E5DE4" w:rsidRDefault="00780368">
            <w:pPr>
              <w:widowControl w:val="0"/>
              <w:pBdr>
                <w:top w:val="nil"/>
                <w:left w:val="nil"/>
                <w:bottom w:val="nil"/>
                <w:right w:val="nil"/>
                <w:between w:val="nil"/>
              </w:pBdr>
              <w:ind w:left="113" w:right="-57" w:hanging="113"/>
              <w:rPr>
                <w:color w:val="000000"/>
              </w:rPr>
            </w:pPr>
            <w:r>
              <w:rPr>
                <w:color w:val="000000"/>
              </w:rPr>
              <w:t>- vehicles</w:t>
            </w:r>
          </w:p>
        </w:tc>
        <w:tc>
          <w:tcPr>
            <w:tcW w:w="1304" w:type="dxa"/>
            <w:vAlign w:val="bottom"/>
          </w:tcPr>
          <w:p w14:paraId="59567A2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599A56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26B3BD4"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6E324EE" w14:textId="77777777" w:rsidR="008E5DE4" w:rsidRDefault="008E5DE4">
            <w:pPr>
              <w:widowControl w:val="0"/>
              <w:pBdr>
                <w:top w:val="nil"/>
                <w:left w:val="nil"/>
                <w:bottom w:val="nil"/>
                <w:right w:val="nil"/>
                <w:between w:val="nil"/>
              </w:pBdr>
              <w:jc w:val="right"/>
              <w:rPr>
                <w:color w:val="000000"/>
              </w:rPr>
            </w:pPr>
          </w:p>
        </w:tc>
      </w:tr>
      <w:tr w:rsidR="008E5DE4" w14:paraId="0083A5C1" w14:textId="77777777">
        <w:trPr>
          <w:cantSplit/>
          <w:tblHeader/>
        </w:trPr>
        <w:tc>
          <w:tcPr>
            <w:tcW w:w="4139" w:type="dxa"/>
            <w:tcBorders>
              <w:bottom w:val="single" w:sz="4" w:space="0" w:color="000000"/>
            </w:tcBorders>
            <w:vAlign w:val="bottom"/>
          </w:tcPr>
          <w:p w14:paraId="1971834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bottom w:val="single" w:sz="4" w:space="0" w:color="000000"/>
            </w:tcBorders>
            <w:vAlign w:val="bottom"/>
          </w:tcPr>
          <w:p w14:paraId="32C6D713"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1135C3EE"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56AA34A3"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5AB22D60" w14:textId="77777777" w:rsidR="008E5DE4" w:rsidRDefault="008E5DE4">
            <w:pPr>
              <w:widowControl w:val="0"/>
              <w:pBdr>
                <w:top w:val="nil"/>
                <w:left w:val="nil"/>
                <w:bottom w:val="nil"/>
                <w:right w:val="nil"/>
                <w:between w:val="nil"/>
              </w:pBdr>
              <w:jc w:val="right"/>
              <w:rPr>
                <w:color w:val="000000"/>
              </w:rPr>
            </w:pPr>
          </w:p>
        </w:tc>
      </w:tr>
      <w:tr w:rsidR="008E5DE4" w14:paraId="1A58E732" w14:textId="77777777">
        <w:trPr>
          <w:cantSplit/>
          <w:tblHeader/>
        </w:trPr>
        <w:tc>
          <w:tcPr>
            <w:tcW w:w="4139" w:type="dxa"/>
            <w:tcBorders>
              <w:top w:val="single" w:sz="4" w:space="0" w:color="000000"/>
            </w:tcBorders>
            <w:vAlign w:val="bottom"/>
          </w:tcPr>
          <w:p w14:paraId="557A837A"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1304" w:type="dxa"/>
            <w:tcBorders>
              <w:top w:val="single" w:sz="4" w:space="0" w:color="000000"/>
            </w:tcBorders>
            <w:vAlign w:val="bottom"/>
          </w:tcPr>
          <w:p w14:paraId="5812B929"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61563707"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4389FF47"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20132AAD" w14:textId="77777777" w:rsidR="008E5DE4" w:rsidRDefault="008E5DE4">
            <w:pPr>
              <w:widowControl w:val="0"/>
              <w:pBdr>
                <w:top w:val="nil"/>
                <w:left w:val="nil"/>
                <w:bottom w:val="nil"/>
                <w:right w:val="nil"/>
                <w:between w:val="nil"/>
              </w:pBdr>
              <w:jc w:val="right"/>
              <w:rPr>
                <w:b/>
                <w:color w:val="000000"/>
              </w:rPr>
            </w:pPr>
          </w:p>
        </w:tc>
      </w:tr>
      <w:tr w:rsidR="008E5DE4" w14:paraId="6FC85C63" w14:textId="77777777">
        <w:trPr>
          <w:cantSplit/>
          <w:tblHeader/>
        </w:trPr>
        <w:tc>
          <w:tcPr>
            <w:tcW w:w="4139" w:type="dxa"/>
            <w:vAlign w:val="bottom"/>
          </w:tcPr>
          <w:p w14:paraId="5FAA336B"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collateralised receivables </w:t>
            </w:r>
            <w:proofErr w:type="gramStart"/>
            <w:r>
              <w:rPr>
                <w:b/>
                <w:color w:val="000000"/>
              </w:rPr>
              <w:t>at</w:t>
            </w:r>
            <w:proofErr w:type="gramEnd"/>
            <w:r>
              <w:rPr>
                <w:b/>
                <w:color w:val="000000"/>
              </w:rPr>
              <w:t xml:space="preserve"> 31 December</w:t>
            </w:r>
          </w:p>
        </w:tc>
        <w:tc>
          <w:tcPr>
            <w:tcW w:w="1304" w:type="dxa"/>
            <w:vAlign w:val="bottom"/>
          </w:tcPr>
          <w:p w14:paraId="1F8369F0"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0F83DC68"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50AB2872"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513B6CC3" w14:textId="77777777" w:rsidR="008E5DE4" w:rsidRDefault="008E5DE4">
            <w:pPr>
              <w:widowControl w:val="0"/>
              <w:pBdr>
                <w:top w:val="nil"/>
                <w:left w:val="nil"/>
                <w:bottom w:val="nil"/>
                <w:right w:val="nil"/>
                <w:between w:val="nil"/>
              </w:pBdr>
              <w:jc w:val="right"/>
              <w:rPr>
                <w:b/>
                <w:color w:val="000000"/>
              </w:rPr>
            </w:pPr>
          </w:p>
        </w:tc>
      </w:tr>
      <w:tr w:rsidR="008E5DE4" w14:paraId="64789B13" w14:textId="77777777">
        <w:trPr>
          <w:cantSplit/>
          <w:tblHeader/>
        </w:trPr>
        <w:tc>
          <w:tcPr>
            <w:tcW w:w="4139" w:type="dxa"/>
            <w:tcBorders>
              <w:bottom w:val="single" w:sz="12" w:space="0" w:color="000000"/>
            </w:tcBorders>
            <w:vAlign w:val="bottom"/>
          </w:tcPr>
          <w:p w14:paraId="748D4337"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bottom w:val="single" w:sz="12" w:space="0" w:color="000000"/>
            </w:tcBorders>
            <w:vAlign w:val="bottom"/>
          </w:tcPr>
          <w:p w14:paraId="6A587B8E"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12" w:space="0" w:color="000000"/>
            </w:tcBorders>
            <w:vAlign w:val="bottom"/>
          </w:tcPr>
          <w:p w14:paraId="5F88EA0D"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12" w:space="0" w:color="000000"/>
            </w:tcBorders>
            <w:vAlign w:val="bottom"/>
          </w:tcPr>
          <w:p w14:paraId="2287CB0B"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12" w:space="0" w:color="000000"/>
            </w:tcBorders>
            <w:vAlign w:val="bottom"/>
          </w:tcPr>
          <w:p w14:paraId="4E852210" w14:textId="77777777" w:rsidR="008E5DE4" w:rsidRDefault="008E5DE4">
            <w:pPr>
              <w:widowControl w:val="0"/>
              <w:pBdr>
                <w:top w:val="nil"/>
                <w:left w:val="nil"/>
                <w:bottom w:val="nil"/>
                <w:right w:val="nil"/>
                <w:between w:val="nil"/>
              </w:pBdr>
              <w:jc w:val="right"/>
              <w:rPr>
                <w:color w:val="000000"/>
              </w:rPr>
            </w:pPr>
          </w:p>
        </w:tc>
      </w:tr>
    </w:tbl>
    <w:p w14:paraId="01E20AE3"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disclosure above represents the lower of the carrying value of the receivable or collateral taken.</w:t>
      </w:r>
    </w:p>
    <w:p w14:paraId="57C857EB" w14:textId="707BFF5D"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financial effect of collateral is presented by disclosing collateral values separately for (</w:t>
      </w:r>
      <w:proofErr w:type="spellStart"/>
      <w:r>
        <w:rPr>
          <w:color w:val="000000"/>
          <w:sz w:val="20"/>
          <w:szCs w:val="20"/>
        </w:rPr>
        <w:t>i</w:t>
      </w:r>
      <w:proofErr w:type="spellEnd"/>
      <w:r>
        <w:rPr>
          <w:color w:val="000000"/>
          <w:sz w:val="20"/>
          <w:szCs w:val="20"/>
        </w:rPr>
        <w:t xml:space="preserve">) those assets where collateral and other credit enhancements are equal to or exceed the carrying value of the asset (“over-collateralised assets”) and (ii) those assets where collateral and other credit enhancements are less than the carrying value of the asset (“under-collateralised assets”). The effect of collateral at </w:t>
      </w:r>
      <w:r>
        <w:rPr>
          <w:color w:val="000000"/>
          <w:sz w:val="20"/>
          <w:szCs w:val="20"/>
        </w:rPr>
        <w:br/>
        <w:t xml:space="preserve">31 December </w:t>
      </w:r>
      <w:r w:rsidR="008614F8">
        <w:rPr>
          <w:color w:val="000000"/>
          <w:sz w:val="20"/>
          <w:szCs w:val="20"/>
        </w:rPr>
        <w:t>2025</w:t>
      </w:r>
      <w:r>
        <w:rPr>
          <w:color w:val="000000"/>
          <w:sz w:val="20"/>
          <w:szCs w:val="20"/>
        </w:rPr>
        <w:t xml:space="preserve">: </w:t>
      </w:r>
    </w:p>
    <w:tbl>
      <w:tblPr>
        <w:tblStyle w:val="afffffe"/>
        <w:tblW w:w="9318" w:type="dxa"/>
        <w:tblLayout w:type="fixed"/>
        <w:tblLook w:val="0000" w:firstRow="0" w:lastRow="0" w:firstColumn="0" w:lastColumn="0" w:noHBand="0" w:noVBand="0"/>
      </w:tblPr>
      <w:tblGrid>
        <w:gridCol w:w="4139"/>
        <w:gridCol w:w="1294"/>
        <w:gridCol w:w="1295"/>
        <w:gridCol w:w="1295"/>
        <w:gridCol w:w="1295"/>
      </w:tblGrid>
      <w:tr w:rsidR="008E5DE4" w14:paraId="412FF8EC" w14:textId="77777777">
        <w:trPr>
          <w:cantSplit/>
        </w:trPr>
        <w:tc>
          <w:tcPr>
            <w:tcW w:w="4139" w:type="dxa"/>
            <w:vAlign w:val="bottom"/>
          </w:tcPr>
          <w:p w14:paraId="3BE1A7B8" w14:textId="77777777" w:rsidR="008E5DE4" w:rsidRDefault="008E5DE4">
            <w:pPr>
              <w:widowControl w:val="0"/>
              <w:pBdr>
                <w:top w:val="nil"/>
                <w:left w:val="nil"/>
                <w:bottom w:val="nil"/>
                <w:right w:val="nil"/>
                <w:between w:val="nil"/>
              </w:pBdr>
              <w:ind w:left="113" w:right="-57" w:hanging="113"/>
              <w:rPr>
                <w:b/>
                <w:i/>
                <w:color w:val="000000"/>
              </w:rPr>
            </w:pPr>
          </w:p>
        </w:tc>
        <w:tc>
          <w:tcPr>
            <w:tcW w:w="2589" w:type="dxa"/>
            <w:gridSpan w:val="2"/>
            <w:tcBorders>
              <w:bottom w:val="single" w:sz="4" w:space="0" w:color="000000"/>
            </w:tcBorders>
            <w:vAlign w:val="bottom"/>
          </w:tcPr>
          <w:p w14:paraId="5AEC040D" w14:textId="77777777" w:rsidR="008E5DE4" w:rsidRDefault="00780368">
            <w:pPr>
              <w:widowControl w:val="0"/>
              <w:pBdr>
                <w:top w:val="nil"/>
                <w:left w:val="nil"/>
                <w:bottom w:val="nil"/>
                <w:right w:val="nil"/>
                <w:between w:val="nil"/>
              </w:pBdr>
              <w:jc w:val="center"/>
              <w:rPr>
                <w:b/>
                <w:color w:val="000000"/>
              </w:rPr>
            </w:pPr>
            <w:r>
              <w:rPr>
                <w:b/>
                <w:color w:val="000000"/>
              </w:rPr>
              <w:t>Over-collateralised assets</w:t>
            </w:r>
          </w:p>
        </w:tc>
        <w:tc>
          <w:tcPr>
            <w:tcW w:w="2590" w:type="dxa"/>
            <w:gridSpan w:val="2"/>
            <w:tcBorders>
              <w:bottom w:val="single" w:sz="4" w:space="0" w:color="000000"/>
            </w:tcBorders>
            <w:vAlign w:val="bottom"/>
          </w:tcPr>
          <w:p w14:paraId="2B644822" w14:textId="77777777" w:rsidR="008E5DE4" w:rsidRDefault="00780368">
            <w:pPr>
              <w:widowControl w:val="0"/>
              <w:pBdr>
                <w:top w:val="nil"/>
                <w:left w:val="nil"/>
                <w:bottom w:val="nil"/>
                <w:right w:val="nil"/>
                <w:between w:val="nil"/>
              </w:pBdr>
              <w:jc w:val="center"/>
              <w:rPr>
                <w:b/>
                <w:color w:val="000000"/>
              </w:rPr>
            </w:pPr>
            <w:r>
              <w:rPr>
                <w:b/>
                <w:color w:val="000000"/>
              </w:rPr>
              <w:t>Under-collateralised assets</w:t>
            </w:r>
          </w:p>
        </w:tc>
      </w:tr>
      <w:tr w:rsidR="008E5DE4" w14:paraId="4D478891" w14:textId="77777777">
        <w:trPr>
          <w:cantSplit/>
        </w:trPr>
        <w:tc>
          <w:tcPr>
            <w:tcW w:w="4139" w:type="dxa"/>
            <w:tcBorders>
              <w:bottom w:val="single" w:sz="4" w:space="0" w:color="000000"/>
            </w:tcBorders>
            <w:vAlign w:val="bottom"/>
          </w:tcPr>
          <w:p w14:paraId="686D54E4" w14:textId="77777777" w:rsidR="008E5DE4" w:rsidRDefault="008E5DE4">
            <w:pPr>
              <w:widowControl w:val="0"/>
              <w:ind w:left="113" w:right="-57" w:hanging="113"/>
              <w:rPr>
                <w:i/>
              </w:rPr>
            </w:pPr>
          </w:p>
          <w:p w14:paraId="455EA2E4" w14:textId="77777777" w:rsidR="008E5DE4" w:rsidRDefault="00780368">
            <w:pPr>
              <w:widowControl w:val="0"/>
              <w:ind w:left="113" w:right="-57" w:hanging="113"/>
              <w:rPr>
                <w:i/>
              </w:rPr>
            </w:pPr>
            <w:r>
              <w:rPr>
                <w:i/>
              </w:rPr>
              <w:t>In thousands of EUR</w:t>
            </w:r>
          </w:p>
        </w:tc>
        <w:tc>
          <w:tcPr>
            <w:tcW w:w="1294" w:type="dxa"/>
            <w:tcBorders>
              <w:top w:val="single" w:sz="4" w:space="0" w:color="000000"/>
              <w:bottom w:val="single" w:sz="4" w:space="0" w:color="000000"/>
            </w:tcBorders>
          </w:tcPr>
          <w:p w14:paraId="5A9BEC87"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value of the assets </w:t>
            </w:r>
          </w:p>
        </w:tc>
        <w:tc>
          <w:tcPr>
            <w:tcW w:w="1295" w:type="dxa"/>
            <w:tcBorders>
              <w:top w:val="single" w:sz="4" w:space="0" w:color="000000"/>
              <w:bottom w:val="single" w:sz="4" w:space="0" w:color="000000"/>
            </w:tcBorders>
          </w:tcPr>
          <w:p w14:paraId="2ACDDFDF"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c>
          <w:tcPr>
            <w:tcW w:w="1295" w:type="dxa"/>
            <w:tcBorders>
              <w:top w:val="single" w:sz="4" w:space="0" w:color="000000"/>
              <w:bottom w:val="single" w:sz="4" w:space="0" w:color="000000"/>
            </w:tcBorders>
          </w:tcPr>
          <w:p w14:paraId="371225E9" w14:textId="77777777" w:rsidR="008E5DE4" w:rsidRDefault="00780368">
            <w:pPr>
              <w:widowControl w:val="0"/>
              <w:pBdr>
                <w:top w:val="nil"/>
                <w:left w:val="nil"/>
                <w:bottom w:val="nil"/>
                <w:right w:val="nil"/>
                <w:between w:val="nil"/>
              </w:pBdr>
              <w:ind w:left="-113"/>
              <w:jc w:val="right"/>
              <w:rPr>
                <w:b/>
                <w:color w:val="000000"/>
              </w:rPr>
            </w:pPr>
            <w:r>
              <w:rPr>
                <w:b/>
                <w:color w:val="000000"/>
              </w:rPr>
              <w:t>Carrying value of the assets</w:t>
            </w:r>
          </w:p>
        </w:tc>
        <w:tc>
          <w:tcPr>
            <w:tcW w:w="1295" w:type="dxa"/>
            <w:tcBorders>
              <w:top w:val="single" w:sz="4" w:space="0" w:color="000000"/>
              <w:bottom w:val="single" w:sz="4" w:space="0" w:color="000000"/>
            </w:tcBorders>
          </w:tcPr>
          <w:p w14:paraId="4E452274" w14:textId="77777777" w:rsidR="008E5DE4" w:rsidRDefault="00780368">
            <w:pPr>
              <w:widowControl w:val="0"/>
              <w:pBdr>
                <w:top w:val="nil"/>
                <w:left w:val="nil"/>
                <w:bottom w:val="nil"/>
                <w:right w:val="nil"/>
                <w:between w:val="nil"/>
              </w:pBdr>
              <w:ind w:left="-113"/>
              <w:jc w:val="right"/>
              <w:rPr>
                <w:b/>
                <w:color w:val="000000"/>
              </w:rPr>
            </w:pPr>
            <w:r>
              <w:rPr>
                <w:b/>
                <w:color w:val="000000"/>
              </w:rPr>
              <w:t>Fair value of collateral</w:t>
            </w:r>
          </w:p>
        </w:tc>
      </w:tr>
      <w:tr w:rsidR="008E5DE4" w14:paraId="4191421C" w14:textId="77777777">
        <w:trPr>
          <w:cantSplit/>
        </w:trPr>
        <w:tc>
          <w:tcPr>
            <w:tcW w:w="4139" w:type="dxa"/>
            <w:tcBorders>
              <w:top w:val="single" w:sz="4" w:space="0" w:color="000000"/>
            </w:tcBorders>
            <w:vAlign w:val="bottom"/>
          </w:tcPr>
          <w:p w14:paraId="4C4F070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294" w:type="dxa"/>
            <w:tcBorders>
              <w:top w:val="single" w:sz="4" w:space="0" w:color="000000"/>
            </w:tcBorders>
            <w:vAlign w:val="bottom"/>
          </w:tcPr>
          <w:p w14:paraId="0ECC9386" w14:textId="77777777" w:rsidR="008E5DE4" w:rsidRDefault="008E5DE4">
            <w:pPr>
              <w:widowControl w:val="0"/>
              <w:pBdr>
                <w:top w:val="nil"/>
                <w:left w:val="nil"/>
                <w:bottom w:val="nil"/>
                <w:right w:val="nil"/>
                <w:between w:val="nil"/>
              </w:pBdr>
              <w:jc w:val="right"/>
              <w:rPr>
                <w:color w:val="000000"/>
              </w:rPr>
            </w:pPr>
          </w:p>
        </w:tc>
        <w:tc>
          <w:tcPr>
            <w:tcW w:w="1295" w:type="dxa"/>
            <w:tcBorders>
              <w:top w:val="single" w:sz="4" w:space="0" w:color="000000"/>
            </w:tcBorders>
            <w:vAlign w:val="bottom"/>
          </w:tcPr>
          <w:p w14:paraId="59442D35" w14:textId="77777777" w:rsidR="008E5DE4" w:rsidRDefault="008E5DE4">
            <w:pPr>
              <w:widowControl w:val="0"/>
              <w:pBdr>
                <w:top w:val="nil"/>
                <w:left w:val="nil"/>
                <w:bottom w:val="nil"/>
                <w:right w:val="nil"/>
                <w:between w:val="nil"/>
              </w:pBdr>
              <w:jc w:val="right"/>
              <w:rPr>
                <w:color w:val="000000"/>
              </w:rPr>
            </w:pPr>
          </w:p>
        </w:tc>
        <w:tc>
          <w:tcPr>
            <w:tcW w:w="1295" w:type="dxa"/>
            <w:tcBorders>
              <w:top w:val="single" w:sz="4" w:space="0" w:color="000000"/>
            </w:tcBorders>
            <w:vAlign w:val="bottom"/>
          </w:tcPr>
          <w:p w14:paraId="27872691" w14:textId="77777777" w:rsidR="008E5DE4" w:rsidRDefault="008E5DE4">
            <w:pPr>
              <w:widowControl w:val="0"/>
              <w:pBdr>
                <w:top w:val="nil"/>
                <w:left w:val="nil"/>
                <w:bottom w:val="nil"/>
                <w:right w:val="nil"/>
                <w:between w:val="nil"/>
              </w:pBdr>
              <w:jc w:val="right"/>
              <w:rPr>
                <w:color w:val="000000"/>
              </w:rPr>
            </w:pPr>
          </w:p>
        </w:tc>
        <w:tc>
          <w:tcPr>
            <w:tcW w:w="1295" w:type="dxa"/>
            <w:tcBorders>
              <w:top w:val="single" w:sz="4" w:space="0" w:color="000000"/>
            </w:tcBorders>
            <w:vAlign w:val="bottom"/>
          </w:tcPr>
          <w:p w14:paraId="06DF5A20" w14:textId="77777777" w:rsidR="008E5DE4" w:rsidRDefault="008E5DE4">
            <w:pPr>
              <w:widowControl w:val="0"/>
              <w:pBdr>
                <w:top w:val="nil"/>
                <w:left w:val="nil"/>
                <w:bottom w:val="nil"/>
                <w:right w:val="nil"/>
                <w:between w:val="nil"/>
              </w:pBdr>
              <w:jc w:val="right"/>
              <w:rPr>
                <w:color w:val="000000"/>
              </w:rPr>
            </w:pPr>
          </w:p>
        </w:tc>
      </w:tr>
      <w:tr w:rsidR="008E5DE4" w14:paraId="5714C0BC" w14:textId="77777777">
        <w:trPr>
          <w:cantSplit/>
        </w:trPr>
        <w:tc>
          <w:tcPr>
            <w:tcW w:w="4139" w:type="dxa"/>
            <w:vAlign w:val="bottom"/>
          </w:tcPr>
          <w:p w14:paraId="7CA206C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Receivables collateralised by: </w:t>
            </w:r>
          </w:p>
        </w:tc>
        <w:tc>
          <w:tcPr>
            <w:tcW w:w="1294" w:type="dxa"/>
            <w:vAlign w:val="bottom"/>
          </w:tcPr>
          <w:p w14:paraId="6EEA3177"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29789F23"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137DD3C4"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5D31B5B5" w14:textId="77777777" w:rsidR="008E5DE4" w:rsidRDefault="008E5DE4">
            <w:pPr>
              <w:widowControl w:val="0"/>
              <w:pBdr>
                <w:top w:val="nil"/>
                <w:left w:val="nil"/>
                <w:bottom w:val="nil"/>
                <w:right w:val="nil"/>
                <w:between w:val="nil"/>
              </w:pBdr>
              <w:jc w:val="right"/>
              <w:rPr>
                <w:color w:val="000000"/>
              </w:rPr>
            </w:pPr>
          </w:p>
        </w:tc>
      </w:tr>
      <w:tr w:rsidR="008E5DE4" w14:paraId="02124DC2" w14:textId="77777777">
        <w:trPr>
          <w:cantSplit/>
        </w:trPr>
        <w:tc>
          <w:tcPr>
            <w:tcW w:w="4139" w:type="dxa"/>
            <w:vAlign w:val="bottom"/>
          </w:tcPr>
          <w:p w14:paraId="5232E049" w14:textId="77777777" w:rsidR="008E5DE4" w:rsidRDefault="00780368">
            <w:pPr>
              <w:widowControl w:val="0"/>
              <w:pBdr>
                <w:top w:val="nil"/>
                <w:left w:val="nil"/>
                <w:bottom w:val="nil"/>
                <w:right w:val="nil"/>
                <w:between w:val="nil"/>
              </w:pBdr>
              <w:ind w:left="113" w:right="-57" w:hanging="113"/>
              <w:rPr>
                <w:color w:val="000000"/>
              </w:rPr>
            </w:pPr>
            <w:r>
              <w:rPr>
                <w:color w:val="000000"/>
              </w:rPr>
              <w:t>- inventory</w:t>
            </w:r>
          </w:p>
        </w:tc>
        <w:tc>
          <w:tcPr>
            <w:tcW w:w="1294" w:type="dxa"/>
            <w:vAlign w:val="bottom"/>
          </w:tcPr>
          <w:p w14:paraId="04D33142"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35155132"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0DD8C90D"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50A5C20D" w14:textId="77777777" w:rsidR="008E5DE4" w:rsidRDefault="008E5DE4">
            <w:pPr>
              <w:widowControl w:val="0"/>
              <w:pBdr>
                <w:top w:val="nil"/>
                <w:left w:val="nil"/>
                <w:bottom w:val="nil"/>
                <w:right w:val="nil"/>
                <w:between w:val="nil"/>
              </w:pBdr>
              <w:jc w:val="right"/>
              <w:rPr>
                <w:color w:val="000000"/>
              </w:rPr>
            </w:pPr>
          </w:p>
        </w:tc>
      </w:tr>
      <w:tr w:rsidR="008E5DE4" w14:paraId="3E0D2963" w14:textId="77777777">
        <w:trPr>
          <w:cantSplit/>
        </w:trPr>
        <w:tc>
          <w:tcPr>
            <w:tcW w:w="4139" w:type="dxa"/>
            <w:vAlign w:val="bottom"/>
          </w:tcPr>
          <w:p w14:paraId="133DC79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Pr>
                <w:color w:val="0000FF"/>
              </w:rPr>
              <w:t>[industrial]</w:t>
            </w:r>
            <w:r>
              <w:rPr>
                <w:color w:val="000000"/>
              </w:rPr>
              <w:t xml:space="preserve"> real estate</w:t>
            </w:r>
          </w:p>
        </w:tc>
        <w:tc>
          <w:tcPr>
            <w:tcW w:w="1294" w:type="dxa"/>
            <w:vAlign w:val="bottom"/>
          </w:tcPr>
          <w:p w14:paraId="441DF971"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4CF746E1"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456715FB"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1EC31BC5" w14:textId="77777777" w:rsidR="008E5DE4" w:rsidRDefault="008E5DE4">
            <w:pPr>
              <w:widowControl w:val="0"/>
              <w:pBdr>
                <w:top w:val="nil"/>
                <w:left w:val="nil"/>
                <w:bottom w:val="nil"/>
                <w:right w:val="nil"/>
                <w:between w:val="nil"/>
              </w:pBdr>
              <w:jc w:val="right"/>
              <w:rPr>
                <w:color w:val="000000"/>
              </w:rPr>
            </w:pPr>
          </w:p>
        </w:tc>
      </w:tr>
      <w:tr w:rsidR="008E5DE4" w14:paraId="366AC60E" w14:textId="77777777">
        <w:trPr>
          <w:cantSplit/>
        </w:trPr>
        <w:tc>
          <w:tcPr>
            <w:tcW w:w="4139" w:type="dxa"/>
            <w:vAlign w:val="bottom"/>
          </w:tcPr>
          <w:p w14:paraId="19F9861F" w14:textId="77777777" w:rsidR="008E5DE4" w:rsidRDefault="00780368">
            <w:pPr>
              <w:widowControl w:val="0"/>
              <w:pBdr>
                <w:top w:val="nil"/>
                <w:left w:val="nil"/>
                <w:bottom w:val="nil"/>
                <w:right w:val="nil"/>
                <w:between w:val="nil"/>
              </w:pBdr>
              <w:ind w:left="113" w:right="-57" w:hanging="113"/>
              <w:rPr>
                <w:color w:val="000000"/>
              </w:rPr>
            </w:pPr>
            <w:r>
              <w:rPr>
                <w:color w:val="000000"/>
              </w:rPr>
              <w:t>- equipment</w:t>
            </w:r>
          </w:p>
        </w:tc>
        <w:tc>
          <w:tcPr>
            <w:tcW w:w="1294" w:type="dxa"/>
            <w:vAlign w:val="bottom"/>
          </w:tcPr>
          <w:p w14:paraId="149B0DDC"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1B6F660C"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1BAAABE2"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7D90C88D" w14:textId="77777777" w:rsidR="008E5DE4" w:rsidRDefault="008E5DE4">
            <w:pPr>
              <w:widowControl w:val="0"/>
              <w:pBdr>
                <w:top w:val="nil"/>
                <w:left w:val="nil"/>
                <w:bottom w:val="nil"/>
                <w:right w:val="nil"/>
                <w:between w:val="nil"/>
              </w:pBdr>
              <w:jc w:val="right"/>
              <w:rPr>
                <w:color w:val="000000"/>
              </w:rPr>
            </w:pPr>
          </w:p>
        </w:tc>
      </w:tr>
      <w:tr w:rsidR="008E5DE4" w14:paraId="1DF76CA5" w14:textId="77777777">
        <w:trPr>
          <w:cantSplit/>
        </w:trPr>
        <w:tc>
          <w:tcPr>
            <w:tcW w:w="4139" w:type="dxa"/>
            <w:vAlign w:val="bottom"/>
          </w:tcPr>
          <w:p w14:paraId="393CD23D" w14:textId="77777777" w:rsidR="008E5DE4" w:rsidRDefault="00780368">
            <w:pPr>
              <w:widowControl w:val="0"/>
              <w:pBdr>
                <w:top w:val="nil"/>
                <w:left w:val="nil"/>
                <w:bottom w:val="nil"/>
                <w:right w:val="nil"/>
                <w:between w:val="nil"/>
              </w:pBdr>
              <w:ind w:left="113" w:right="-57" w:hanging="113"/>
              <w:rPr>
                <w:color w:val="000000"/>
              </w:rPr>
            </w:pPr>
            <w:r>
              <w:rPr>
                <w:color w:val="000000"/>
              </w:rPr>
              <w:t>- vehicles</w:t>
            </w:r>
          </w:p>
        </w:tc>
        <w:tc>
          <w:tcPr>
            <w:tcW w:w="1294" w:type="dxa"/>
            <w:vAlign w:val="bottom"/>
          </w:tcPr>
          <w:p w14:paraId="6D5A4F1D"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3C9A0D63"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7D00608F" w14:textId="77777777" w:rsidR="008E5DE4" w:rsidRDefault="008E5DE4">
            <w:pPr>
              <w:widowControl w:val="0"/>
              <w:pBdr>
                <w:top w:val="nil"/>
                <w:left w:val="nil"/>
                <w:bottom w:val="nil"/>
                <w:right w:val="nil"/>
                <w:between w:val="nil"/>
              </w:pBdr>
              <w:jc w:val="right"/>
              <w:rPr>
                <w:color w:val="000000"/>
              </w:rPr>
            </w:pPr>
          </w:p>
        </w:tc>
        <w:tc>
          <w:tcPr>
            <w:tcW w:w="1295" w:type="dxa"/>
            <w:vAlign w:val="bottom"/>
          </w:tcPr>
          <w:p w14:paraId="128546BD" w14:textId="77777777" w:rsidR="008E5DE4" w:rsidRDefault="008E5DE4">
            <w:pPr>
              <w:widowControl w:val="0"/>
              <w:pBdr>
                <w:top w:val="nil"/>
                <w:left w:val="nil"/>
                <w:bottom w:val="nil"/>
                <w:right w:val="nil"/>
                <w:between w:val="nil"/>
              </w:pBdr>
              <w:jc w:val="right"/>
              <w:rPr>
                <w:color w:val="000000"/>
              </w:rPr>
            </w:pPr>
          </w:p>
        </w:tc>
      </w:tr>
      <w:tr w:rsidR="008E5DE4" w14:paraId="4D6DC05E" w14:textId="77777777">
        <w:trPr>
          <w:cantSplit/>
        </w:trPr>
        <w:tc>
          <w:tcPr>
            <w:tcW w:w="4139" w:type="dxa"/>
            <w:tcBorders>
              <w:bottom w:val="single" w:sz="12" w:space="0" w:color="000000"/>
            </w:tcBorders>
            <w:vAlign w:val="bottom"/>
          </w:tcPr>
          <w:p w14:paraId="380FC15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294" w:type="dxa"/>
            <w:tcBorders>
              <w:bottom w:val="single" w:sz="12" w:space="0" w:color="000000"/>
            </w:tcBorders>
            <w:vAlign w:val="bottom"/>
          </w:tcPr>
          <w:p w14:paraId="4F78364A" w14:textId="77777777" w:rsidR="008E5DE4" w:rsidRDefault="008E5DE4">
            <w:pPr>
              <w:widowControl w:val="0"/>
              <w:jc w:val="right"/>
              <w:rPr>
                <w:b/>
              </w:rPr>
            </w:pPr>
          </w:p>
        </w:tc>
        <w:tc>
          <w:tcPr>
            <w:tcW w:w="1295" w:type="dxa"/>
            <w:tcBorders>
              <w:bottom w:val="single" w:sz="12" w:space="0" w:color="000000"/>
            </w:tcBorders>
            <w:vAlign w:val="bottom"/>
          </w:tcPr>
          <w:p w14:paraId="51C78402" w14:textId="77777777" w:rsidR="008E5DE4" w:rsidRDefault="008E5DE4">
            <w:pPr>
              <w:widowControl w:val="0"/>
              <w:jc w:val="right"/>
              <w:rPr>
                <w:b/>
              </w:rPr>
            </w:pPr>
          </w:p>
        </w:tc>
        <w:tc>
          <w:tcPr>
            <w:tcW w:w="1295" w:type="dxa"/>
            <w:tcBorders>
              <w:bottom w:val="single" w:sz="12" w:space="0" w:color="000000"/>
            </w:tcBorders>
            <w:vAlign w:val="bottom"/>
          </w:tcPr>
          <w:p w14:paraId="6E20135F" w14:textId="77777777" w:rsidR="008E5DE4" w:rsidRDefault="008E5DE4">
            <w:pPr>
              <w:widowControl w:val="0"/>
              <w:jc w:val="right"/>
              <w:rPr>
                <w:b/>
              </w:rPr>
            </w:pPr>
          </w:p>
        </w:tc>
        <w:tc>
          <w:tcPr>
            <w:tcW w:w="1295" w:type="dxa"/>
            <w:tcBorders>
              <w:bottom w:val="single" w:sz="12" w:space="0" w:color="000000"/>
            </w:tcBorders>
            <w:vAlign w:val="bottom"/>
          </w:tcPr>
          <w:p w14:paraId="5F940AC3" w14:textId="77777777" w:rsidR="008E5DE4" w:rsidRDefault="008E5DE4">
            <w:pPr>
              <w:widowControl w:val="0"/>
              <w:jc w:val="right"/>
              <w:rPr>
                <w:b/>
              </w:rPr>
            </w:pPr>
          </w:p>
        </w:tc>
      </w:tr>
    </w:tbl>
    <w:p w14:paraId="0679B4B6" w14:textId="285E1B50"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effect of collateral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w:t>
      </w:r>
    </w:p>
    <w:tbl>
      <w:tblPr>
        <w:tblStyle w:val="affffff"/>
        <w:tblW w:w="9354" w:type="dxa"/>
        <w:tblLayout w:type="fixed"/>
        <w:tblLook w:val="0000" w:firstRow="0" w:lastRow="0" w:firstColumn="0" w:lastColumn="0" w:noHBand="0" w:noVBand="0"/>
      </w:tblPr>
      <w:tblGrid>
        <w:gridCol w:w="4138"/>
        <w:gridCol w:w="1304"/>
        <w:gridCol w:w="1304"/>
        <w:gridCol w:w="1304"/>
        <w:gridCol w:w="1304"/>
      </w:tblGrid>
      <w:tr w:rsidR="008E5DE4" w14:paraId="3730C77F" w14:textId="77777777">
        <w:trPr>
          <w:cantSplit/>
        </w:trPr>
        <w:tc>
          <w:tcPr>
            <w:tcW w:w="4139" w:type="dxa"/>
            <w:vAlign w:val="bottom"/>
          </w:tcPr>
          <w:p w14:paraId="06166670" w14:textId="77777777" w:rsidR="008E5DE4" w:rsidRDefault="008E5DE4">
            <w:pPr>
              <w:widowControl w:val="0"/>
              <w:pBdr>
                <w:top w:val="nil"/>
                <w:left w:val="nil"/>
                <w:bottom w:val="nil"/>
                <w:right w:val="nil"/>
                <w:between w:val="nil"/>
              </w:pBdr>
              <w:ind w:left="113" w:right="-57" w:hanging="113"/>
              <w:rPr>
                <w:b/>
                <w:i/>
                <w:color w:val="000000"/>
              </w:rPr>
            </w:pPr>
          </w:p>
        </w:tc>
        <w:tc>
          <w:tcPr>
            <w:tcW w:w="2608" w:type="dxa"/>
            <w:gridSpan w:val="2"/>
            <w:tcBorders>
              <w:bottom w:val="single" w:sz="4" w:space="0" w:color="000000"/>
            </w:tcBorders>
            <w:vAlign w:val="bottom"/>
          </w:tcPr>
          <w:p w14:paraId="246492A2" w14:textId="77777777" w:rsidR="008E5DE4" w:rsidRDefault="00780368">
            <w:pPr>
              <w:widowControl w:val="0"/>
              <w:pBdr>
                <w:top w:val="nil"/>
                <w:left w:val="nil"/>
                <w:bottom w:val="nil"/>
                <w:right w:val="nil"/>
                <w:between w:val="nil"/>
              </w:pBdr>
              <w:jc w:val="center"/>
              <w:rPr>
                <w:b/>
                <w:color w:val="000000"/>
              </w:rPr>
            </w:pPr>
            <w:r>
              <w:rPr>
                <w:b/>
                <w:color w:val="000000"/>
              </w:rPr>
              <w:t>Over-collateralised assets</w:t>
            </w:r>
          </w:p>
        </w:tc>
        <w:tc>
          <w:tcPr>
            <w:tcW w:w="2608" w:type="dxa"/>
            <w:gridSpan w:val="2"/>
            <w:tcBorders>
              <w:bottom w:val="single" w:sz="4" w:space="0" w:color="000000"/>
            </w:tcBorders>
            <w:vAlign w:val="bottom"/>
          </w:tcPr>
          <w:p w14:paraId="415A1051" w14:textId="77777777" w:rsidR="008E5DE4" w:rsidRDefault="00780368">
            <w:pPr>
              <w:widowControl w:val="0"/>
              <w:pBdr>
                <w:top w:val="nil"/>
                <w:left w:val="nil"/>
                <w:bottom w:val="nil"/>
                <w:right w:val="nil"/>
                <w:between w:val="nil"/>
              </w:pBdr>
              <w:jc w:val="center"/>
              <w:rPr>
                <w:b/>
                <w:color w:val="000000"/>
              </w:rPr>
            </w:pPr>
            <w:r>
              <w:rPr>
                <w:b/>
                <w:color w:val="000000"/>
              </w:rPr>
              <w:t>Under-collateralised assets</w:t>
            </w:r>
          </w:p>
        </w:tc>
      </w:tr>
      <w:tr w:rsidR="008E5DE4" w14:paraId="38F08FF0" w14:textId="77777777">
        <w:trPr>
          <w:cantSplit/>
        </w:trPr>
        <w:tc>
          <w:tcPr>
            <w:tcW w:w="4139" w:type="dxa"/>
            <w:tcBorders>
              <w:bottom w:val="single" w:sz="4" w:space="0" w:color="000000"/>
            </w:tcBorders>
            <w:vAlign w:val="bottom"/>
          </w:tcPr>
          <w:p w14:paraId="65622555" w14:textId="77777777" w:rsidR="008E5DE4" w:rsidRDefault="008E5DE4">
            <w:pPr>
              <w:widowControl w:val="0"/>
              <w:ind w:left="113" w:right="-57" w:hanging="113"/>
              <w:rPr>
                <w:i/>
              </w:rPr>
            </w:pPr>
          </w:p>
          <w:p w14:paraId="013F11B0" w14:textId="77777777" w:rsidR="008E5DE4" w:rsidRDefault="00780368">
            <w:pPr>
              <w:widowControl w:val="0"/>
              <w:ind w:left="113" w:right="-57" w:hanging="113"/>
              <w:rPr>
                <w:i/>
              </w:rPr>
            </w:pPr>
            <w:r>
              <w:rPr>
                <w:i/>
              </w:rPr>
              <w:t>In thousands of EUR</w:t>
            </w:r>
          </w:p>
        </w:tc>
        <w:tc>
          <w:tcPr>
            <w:tcW w:w="1304" w:type="dxa"/>
            <w:tcBorders>
              <w:top w:val="single" w:sz="4" w:space="0" w:color="000000"/>
              <w:bottom w:val="single" w:sz="4" w:space="0" w:color="000000"/>
            </w:tcBorders>
          </w:tcPr>
          <w:p w14:paraId="6B963E50" w14:textId="77777777" w:rsidR="008E5DE4" w:rsidRDefault="00780368">
            <w:pPr>
              <w:widowControl w:val="0"/>
              <w:pBdr>
                <w:top w:val="nil"/>
                <w:left w:val="nil"/>
                <w:bottom w:val="nil"/>
                <w:right w:val="nil"/>
                <w:between w:val="nil"/>
              </w:pBdr>
              <w:jc w:val="right"/>
              <w:rPr>
                <w:b/>
                <w:color w:val="000000"/>
              </w:rPr>
            </w:pPr>
            <w:r>
              <w:rPr>
                <w:b/>
                <w:color w:val="000000"/>
              </w:rPr>
              <w:t xml:space="preserve">Carrying value of the assets </w:t>
            </w:r>
          </w:p>
        </w:tc>
        <w:tc>
          <w:tcPr>
            <w:tcW w:w="1304" w:type="dxa"/>
            <w:tcBorders>
              <w:top w:val="single" w:sz="4" w:space="0" w:color="000000"/>
              <w:bottom w:val="single" w:sz="4" w:space="0" w:color="000000"/>
            </w:tcBorders>
          </w:tcPr>
          <w:p w14:paraId="7DE177CC" w14:textId="77777777" w:rsidR="008E5DE4" w:rsidRDefault="00780368">
            <w:pPr>
              <w:widowControl w:val="0"/>
              <w:pBdr>
                <w:top w:val="nil"/>
                <w:left w:val="nil"/>
                <w:bottom w:val="nil"/>
                <w:right w:val="nil"/>
                <w:between w:val="nil"/>
              </w:pBdr>
              <w:jc w:val="right"/>
              <w:rPr>
                <w:b/>
                <w:color w:val="000000"/>
              </w:rPr>
            </w:pPr>
            <w:r>
              <w:rPr>
                <w:b/>
                <w:color w:val="000000"/>
              </w:rPr>
              <w:t>Fair value of collateral</w:t>
            </w:r>
          </w:p>
        </w:tc>
        <w:tc>
          <w:tcPr>
            <w:tcW w:w="1304" w:type="dxa"/>
            <w:tcBorders>
              <w:top w:val="single" w:sz="4" w:space="0" w:color="000000"/>
              <w:bottom w:val="single" w:sz="4" w:space="0" w:color="000000"/>
            </w:tcBorders>
          </w:tcPr>
          <w:p w14:paraId="4DBDD8B3" w14:textId="77777777" w:rsidR="008E5DE4" w:rsidRDefault="00780368">
            <w:pPr>
              <w:widowControl w:val="0"/>
              <w:pBdr>
                <w:top w:val="nil"/>
                <w:left w:val="nil"/>
                <w:bottom w:val="nil"/>
                <w:right w:val="nil"/>
                <w:between w:val="nil"/>
              </w:pBdr>
              <w:jc w:val="right"/>
              <w:rPr>
                <w:b/>
                <w:color w:val="000000"/>
              </w:rPr>
            </w:pPr>
            <w:r>
              <w:rPr>
                <w:b/>
                <w:color w:val="000000"/>
              </w:rPr>
              <w:t>Carrying value of the assets</w:t>
            </w:r>
          </w:p>
        </w:tc>
        <w:tc>
          <w:tcPr>
            <w:tcW w:w="1304" w:type="dxa"/>
            <w:tcBorders>
              <w:top w:val="single" w:sz="4" w:space="0" w:color="000000"/>
              <w:bottom w:val="single" w:sz="4" w:space="0" w:color="000000"/>
            </w:tcBorders>
          </w:tcPr>
          <w:p w14:paraId="072F3428" w14:textId="77777777" w:rsidR="008E5DE4" w:rsidRDefault="00780368">
            <w:pPr>
              <w:widowControl w:val="0"/>
              <w:pBdr>
                <w:top w:val="nil"/>
                <w:left w:val="nil"/>
                <w:bottom w:val="nil"/>
                <w:right w:val="nil"/>
                <w:between w:val="nil"/>
              </w:pBdr>
              <w:jc w:val="right"/>
              <w:rPr>
                <w:b/>
                <w:color w:val="000000"/>
              </w:rPr>
            </w:pPr>
            <w:r>
              <w:rPr>
                <w:b/>
                <w:color w:val="000000"/>
              </w:rPr>
              <w:t>Fair value of collateral</w:t>
            </w:r>
          </w:p>
        </w:tc>
      </w:tr>
      <w:tr w:rsidR="008E5DE4" w14:paraId="4AAC81EE" w14:textId="77777777">
        <w:trPr>
          <w:cantSplit/>
        </w:trPr>
        <w:tc>
          <w:tcPr>
            <w:tcW w:w="4139" w:type="dxa"/>
            <w:tcBorders>
              <w:top w:val="single" w:sz="4" w:space="0" w:color="000000"/>
            </w:tcBorders>
            <w:vAlign w:val="bottom"/>
          </w:tcPr>
          <w:p w14:paraId="7FCEC6D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top w:val="single" w:sz="4" w:space="0" w:color="000000"/>
            </w:tcBorders>
            <w:vAlign w:val="bottom"/>
          </w:tcPr>
          <w:p w14:paraId="3AB04D4D"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18925938"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41756F71"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5141216F" w14:textId="77777777" w:rsidR="008E5DE4" w:rsidRDefault="008E5DE4">
            <w:pPr>
              <w:widowControl w:val="0"/>
              <w:pBdr>
                <w:top w:val="nil"/>
                <w:left w:val="nil"/>
                <w:bottom w:val="nil"/>
                <w:right w:val="nil"/>
                <w:between w:val="nil"/>
              </w:pBdr>
              <w:jc w:val="right"/>
              <w:rPr>
                <w:color w:val="000000"/>
              </w:rPr>
            </w:pPr>
          </w:p>
        </w:tc>
      </w:tr>
      <w:tr w:rsidR="008E5DE4" w14:paraId="32B1394F" w14:textId="77777777">
        <w:trPr>
          <w:cantSplit/>
        </w:trPr>
        <w:tc>
          <w:tcPr>
            <w:tcW w:w="4139" w:type="dxa"/>
            <w:vAlign w:val="bottom"/>
          </w:tcPr>
          <w:p w14:paraId="570162CC"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Receivables collateralised by: </w:t>
            </w:r>
          </w:p>
        </w:tc>
        <w:tc>
          <w:tcPr>
            <w:tcW w:w="1304" w:type="dxa"/>
            <w:vAlign w:val="bottom"/>
          </w:tcPr>
          <w:p w14:paraId="6B38160E"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1B31124"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DA58E3C"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34E6CD0" w14:textId="77777777" w:rsidR="008E5DE4" w:rsidRDefault="008E5DE4">
            <w:pPr>
              <w:widowControl w:val="0"/>
              <w:pBdr>
                <w:top w:val="nil"/>
                <w:left w:val="nil"/>
                <w:bottom w:val="nil"/>
                <w:right w:val="nil"/>
                <w:between w:val="nil"/>
              </w:pBdr>
              <w:jc w:val="right"/>
              <w:rPr>
                <w:color w:val="000000"/>
              </w:rPr>
            </w:pPr>
          </w:p>
        </w:tc>
      </w:tr>
      <w:tr w:rsidR="008E5DE4" w14:paraId="46080A9F" w14:textId="77777777">
        <w:trPr>
          <w:cantSplit/>
        </w:trPr>
        <w:tc>
          <w:tcPr>
            <w:tcW w:w="4139" w:type="dxa"/>
            <w:vAlign w:val="bottom"/>
          </w:tcPr>
          <w:p w14:paraId="53F06C0E" w14:textId="77777777" w:rsidR="008E5DE4" w:rsidRDefault="00780368">
            <w:pPr>
              <w:widowControl w:val="0"/>
              <w:pBdr>
                <w:top w:val="nil"/>
                <w:left w:val="nil"/>
                <w:bottom w:val="nil"/>
                <w:right w:val="nil"/>
                <w:between w:val="nil"/>
              </w:pBdr>
              <w:ind w:left="113" w:right="-57" w:hanging="113"/>
              <w:rPr>
                <w:color w:val="000000"/>
              </w:rPr>
            </w:pPr>
            <w:r>
              <w:rPr>
                <w:color w:val="000000"/>
              </w:rPr>
              <w:t>- inventory</w:t>
            </w:r>
          </w:p>
        </w:tc>
        <w:tc>
          <w:tcPr>
            <w:tcW w:w="1304" w:type="dxa"/>
            <w:vAlign w:val="bottom"/>
          </w:tcPr>
          <w:p w14:paraId="496E458E"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66F24B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0E048F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75AEB78" w14:textId="77777777" w:rsidR="008E5DE4" w:rsidRDefault="008E5DE4">
            <w:pPr>
              <w:widowControl w:val="0"/>
              <w:pBdr>
                <w:top w:val="nil"/>
                <w:left w:val="nil"/>
                <w:bottom w:val="nil"/>
                <w:right w:val="nil"/>
                <w:between w:val="nil"/>
              </w:pBdr>
              <w:jc w:val="right"/>
              <w:rPr>
                <w:color w:val="000000"/>
              </w:rPr>
            </w:pPr>
          </w:p>
        </w:tc>
      </w:tr>
      <w:tr w:rsidR="008E5DE4" w14:paraId="17AA80E7" w14:textId="77777777">
        <w:trPr>
          <w:cantSplit/>
        </w:trPr>
        <w:tc>
          <w:tcPr>
            <w:tcW w:w="4139" w:type="dxa"/>
            <w:vAlign w:val="bottom"/>
          </w:tcPr>
          <w:p w14:paraId="3D8C602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Pr>
                <w:color w:val="0000FF"/>
              </w:rPr>
              <w:t>[industrial]</w:t>
            </w:r>
            <w:r>
              <w:rPr>
                <w:color w:val="000000"/>
              </w:rPr>
              <w:t xml:space="preserve"> real estate</w:t>
            </w:r>
          </w:p>
        </w:tc>
        <w:tc>
          <w:tcPr>
            <w:tcW w:w="1304" w:type="dxa"/>
            <w:vAlign w:val="bottom"/>
          </w:tcPr>
          <w:p w14:paraId="4D51DC09"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87328A0"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54EA566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D022DF9" w14:textId="77777777" w:rsidR="008E5DE4" w:rsidRDefault="008E5DE4">
            <w:pPr>
              <w:widowControl w:val="0"/>
              <w:pBdr>
                <w:top w:val="nil"/>
                <w:left w:val="nil"/>
                <w:bottom w:val="nil"/>
                <w:right w:val="nil"/>
                <w:between w:val="nil"/>
              </w:pBdr>
              <w:jc w:val="right"/>
              <w:rPr>
                <w:color w:val="000000"/>
              </w:rPr>
            </w:pPr>
          </w:p>
        </w:tc>
      </w:tr>
      <w:tr w:rsidR="008E5DE4" w14:paraId="16C2FC0D" w14:textId="77777777">
        <w:trPr>
          <w:cantSplit/>
        </w:trPr>
        <w:tc>
          <w:tcPr>
            <w:tcW w:w="4139" w:type="dxa"/>
            <w:vAlign w:val="bottom"/>
          </w:tcPr>
          <w:p w14:paraId="031FD06C" w14:textId="77777777" w:rsidR="008E5DE4" w:rsidRDefault="00780368">
            <w:pPr>
              <w:widowControl w:val="0"/>
              <w:pBdr>
                <w:top w:val="nil"/>
                <w:left w:val="nil"/>
                <w:bottom w:val="nil"/>
                <w:right w:val="nil"/>
                <w:between w:val="nil"/>
              </w:pBdr>
              <w:ind w:left="113" w:right="-57" w:hanging="113"/>
              <w:rPr>
                <w:color w:val="000000"/>
              </w:rPr>
            </w:pPr>
            <w:r>
              <w:rPr>
                <w:color w:val="000000"/>
              </w:rPr>
              <w:t>- equipment</w:t>
            </w:r>
          </w:p>
        </w:tc>
        <w:tc>
          <w:tcPr>
            <w:tcW w:w="1304" w:type="dxa"/>
            <w:vAlign w:val="bottom"/>
          </w:tcPr>
          <w:p w14:paraId="768B830B"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12F2599"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8C23F03"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EF84D86" w14:textId="77777777" w:rsidR="008E5DE4" w:rsidRDefault="008E5DE4">
            <w:pPr>
              <w:widowControl w:val="0"/>
              <w:pBdr>
                <w:top w:val="nil"/>
                <w:left w:val="nil"/>
                <w:bottom w:val="nil"/>
                <w:right w:val="nil"/>
                <w:between w:val="nil"/>
              </w:pBdr>
              <w:jc w:val="right"/>
              <w:rPr>
                <w:color w:val="000000"/>
              </w:rPr>
            </w:pPr>
          </w:p>
        </w:tc>
      </w:tr>
      <w:tr w:rsidR="008E5DE4" w14:paraId="77F30B59" w14:textId="77777777">
        <w:trPr>
          <w:cantSplit/>
        </w:trPr>
        <w:tc>
          <w:tcPr>
            <w:tcW w:w="4139" w:type="dxa"/>
            <w:vAlign w:val="bottom"/>
          </w:tcPr>
          <w:p w14:paraId="514C47A1" w14:textId="77777777" w:rsidR="008E5DE4" w:rsidRDefault="00780368">
            <w:pPr>
              <w:widowControl w:val="0"/>
              <w:pBdr>
                <w:top w:val="nil"/>
                <w:left w:val="nil"/>
                <w:bottom w:val="nil"/>
                <w:right w:val="nil"/>
                <w:between w:val="nil"/>
              </w:pBdr>
              <w:ind w:left="113" w:right="-57" w:hanging="113"/>
              <w:rPr>
                <w:color w:val="000000"/>
              </w:rPr>
            </w:pPr>
            <w:r>
              <w:rPr>
                <w:color w:val="000000"/>
              </w:rPr>
              <w:t>- vehicles</w:t>
            </w:r>
          </w:p>
        </w:tc>
        <w:tc>
          <w:tcPr>
            <w:tcW w:w="1304" w:type="dxa"/>
            <w:vAlign w:val="bottom"/>
          </w:tcPr>
          <w:p w14:paraId="7664BB3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116EEAA6"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672CA8A9"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374F4ABD" w14:textId="77777777" w:rsidR="008E5DE4" w:rsidRDefault="008E5DE4">
            <w:pPr>
              <w:widowControl w:val="0"/>
              <w:pBdr>
                <w:top w:val="nil"/>
                <w:left w:val="nil"/>
                <w:bottom w:val="nil"/>
                <w:right w:val="nil"/>
                <w:between w:val="nil"/>
              </w:pBdr>
              <w:jc w:val="right"/>
              <w:rPr>
                <w:color w:val="000000"/>
              </w:rPr>
            </w:pPr>
          </w:p>
        </w:tc>
      </w:tr>
      <w:tr w:rsidR="008E5DE4" w14:paraId="3572CC21" w14:textId="77777777">
        <w:trPr>
          <w:cantSplit/>
        </w:trPr>
        <w:tc>
          <w:tcPr>
            <w:tcW w:w="4139" w:type="dxa"/>
            <w:tcBorders>
              <w:bottom w:val="single" w:sz="12" w:space="0" w:color="000000"/>
            </w:tcBorders>
            <w:vAlign w:val="bottom"/>
          </w:tcPr>
          <w:p w14:paraId="42075B9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bottom w:val="single" w:sz="12" w:space="0" w:color="000000"/>
            </w:tcBorders>
            <w:vAlign w:val="bottom"/>
          </w:tcPr>
          <w:p w14:paraId="2F520FF8" w14:textId="77777777" w:rsidR="008E5DE4" w:rsidRDefault="008E5DE4">
            <w:pPr>
              <w:widowControl w:val="0"/>
              <w:jc w:val="right"/>
              <w:rPr>
                <w:b/>
              </w:rPr>
            </w:pPr>
          </w:p>
        </w:tc>
        <w:tc>
          <w:tcPr>
            <w:tcW w:w="1304" w:type="dxa"/>
            <w:tcBorders>
              <w:bottom w:val="single" w:sz="12" w:space="0" w:color="000000"/>
            </w:tcBorders>
            <w:vAlign w:val="bottom"/>
          </w:tcPr>
          <w:p w14:paraId="7A3B5B95" w14:textId="77777777" w:rsidR="008E5DE4" w:rsidRDefault="008E5DE4">
            <w:pPr>
              <w:widowControl w:val="0"/>
              <w:jc w:val="right"/>
              <w:rPr>
                <w:b/>
              </w:rPr>
            </w:pPr>
          </w:p>
        </w:tc>
        <w:tc>
          <w:tcPr>
            <w:tcW w:w="1304" w:type="dxa"/>
            <w:tcBorders>
              <w:bottom w:val="single" w:sz="12" w:space="0" w:color="000000"/>
            </w:tcBorders>
            <w:vAlign w:val="bottom"/>
          </w:tcPr>
          <w:p w14:paraId="52354FB3" w14:textId="77777777" w:rsidR="008E5DE4" w:rsidRDefault="008E5DE4">
            <w:pPr>
              <w:widowControl w:val="0"/>
              <w:jc w:val="right"/>
              <w:rPr>
                <w:b/>
              </w:rPr>
            </w:pPr>
          </w:p>
        </w:tc>
        <w:tc>
          <w:tcPr>
            <w:tcW w:w="1304" w:type="dxa"/>
            <w:tcBorders>
              <w:bottom w:val="single" w:sz="12" w:space="0" w:color="000000"/>
            </w:tcBorders>
            <w:vAlign w:val="bottom"/>
          </w:tcPr>
          <w:p w14:paraId="623F6782" w14:textId="77777777" w:rsidR="008E5DE4" w:rsidRDefault="008E5DE4">
            <w:pPr>
              <w:widowControl w:val="0"/>
              <w:jc w:val="right"/>
              <w:rPr>
                <w:b/>
              </w:rPr>
            </w:pPr>
          </w:p>
        </w:tc>
      </w:tr>
    </w:tbl>
    <w:p w14:paraId="100DE908"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20</w:t>
      </w:r>
      <w:r>
        <w:rPr>
          <w:b/>
          <w:color w:val="000000"/>
          <w:sz w:val="20"/>
          <w:szCs w:val="20"/>
        </w:rPr>
        <w:tab/>
        <w:t>Trade and Other Receivables (Continued)</w:t>
      </w:r>
    </w:p>
    <w:p w14:paraId="00B17F9F"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Movements in prepayments are as follows:</w:t>
      </w:r>
    </w:p>
    <w:tbl>
      <w:tblPr>
        <w:tblStyle w:val="affffff0"/>
        <w:tblW w:w="9412" w:type="dxa"/>
        <w:tblLayout w:type="fixed"/>
        <w:tblLook w:val="0000" w:firstRow="0" w:lastRow="0" w:firstColumn="0" w:lastColumn="0" w:noHBand="0" w:noVBand="0"/>
      </w:tblPr>
      <w:tblGrid>
        <w:gridCol w:w="4819"/>
        <w:gridCol w:w="1531"/>
        <w:gridCol w:w="1531"/>
        <w:gridCol w:w="1531"/>
      </w:tblGrid>
      <w:tr w:rsidR="008E5DE4" w14:paraId="3B34DC93" w14:textId="77777777">
        <w:trPr>
          <w:cantSplit/>
        </w:trPr>
        <w:tc>
          <w:tcPr>
            <w:tcW w:w="4819" w:type="dxa"/>
            <w:tcBorders>
              <w:bottom w:val="single" w:sz="4" w:space="0" w:color="000000"/>
            </w:tcBorders>
            <w:vAlign w:val="bottom"/>
          </w:tcPr>
          <w:p w14:paraId="3479B494" w14:textId="77777777" w:rsidR="008E5DE4" w:rsidRDefault="00780368">
            <w:pPr>
              <w:widowControl w:val="0"/>
              <w:pBdr>
                <w:top w:val="nil"/>
                <w:left w:val="nil"/>
                <w:bottom w:val="nil"/>
                <w:right w:val="nil"/>
                <w:between w:val="nil"/>
              </w:pBdr>
              <w:ind w:left="113" w:right="-57" w:hanging="113"/>
              <w:rPr>
                <w:b/>
                <w:i/>
                <w:color w:val="000000"/>
              </w:rPr>
            </w:pPr>
            <w:bookmarkStart w:id="34" w:name="_heading=h.23ckvvd" w:colFirst="0" w:colLast="0"/>
            <w:bookmarkEnd w:id="34"/>
            <w:r>
              <w:rPr>
                <w:i/>
                <w:color w:val="000000"/>
              </w:rPr>
              <w:t>In thousands of EUR</w:t>
            </w:r>
          </w:p>
        </w:tc>
        <w:tc>
          <w:tcPr>
            <w:tcW w:w="1531" w:type="dxa"/>
            <w:tcBorders>
              <w:bottom w:val="single" w:sz="4" w:space="0" w:color="000000"/>
            </w:tcBorders>
          </w:tcPr>
          <w:p w14:paraId="3C1165FD" w14:textId="77777777" w:rsidR="008E5DE4" w:rsidRDefault="00780368">
            <w:pPr>
              <w:widowControl w:val="0"/>
              <w:pBdr>
                <w:top w:val="nil"/>
                <w:left w:val="nil"/>
                <w:bottom w:val="nil"/>
                <w:right w:val="nil"/>
                <w:between w:val="nil"/>
              </w:pBdr>
              <w:jc w:val="right"/>
              <w:rPr>
                <w:b/>
                <w:color w:val="000000"/>
              </w:rPr>
            </w:pPr>
            <w:r>
              <w:rPr>
                <w:b/>
                <w:color w:val="000000"/>
              </w:rPr>
              <w:t>Prepayments for services</w:t>
            </w:r>
          </w:p>
        </w:tc>
        <w:tc>
          <w:tcPr>
            <w:tcW w:w="1531" w:type="dxa"/>
            <w:tcBorders>
              <w:bottom w:val="single" w:sz="4" w:space="0" w:color="000000"/>
            </w:tcBorders>
          </w:tcPr>
          <w:p w14:paraId="0282602F" w14:textId="100871C3" w:rsidR="008E5DE4" w:rsidRDefault="00780368">
            <w:pPr>
              <w:widowControl w:val="0"/>
              <w:pBdr>
                <w:top w:val="nil"/>
                <w:left w:val="nil"/>
                <w:bottom w:val="nil"/>
                <w:right w:val="nil"/>
                <w:between w:val="nil"/>
              </w:pBdr>
              <w:jc w:val="right"/>
              <w:rPr>
                <w:b/>
                <w:color w:val="000000"/>
              </w:rPr>
            </w:pPr>
            <w:r>
              <w:rPr>
                <w:b/>
                <w:color w:val="000000"/>
              </w:rPr>
              <w:t>Other prepayments</w:t>
            </w:r>
          </w:p>
        </w:tc>
        <w:tc>
          <w:tcPr>
            <w:tcW w:w="1531" w:type="dxa"/>
            <w:tcBorders>
              <w:bottom w:val="single" w:sz="4" w:space="0" w:color="000000"/>
            </w:tcBorders>
          </w:tcPr>
          <w:p w14:paraId="5EB0AEF5" w14:textId="77777777" w:rsidR="008E5DE4" w:rsidRDefault="00780368">
            <w:pPr>
              <w:widowControl w:val="0"/>
              <w:pBdr>
                <w:top w:val="nil"/>
                <w:left w:val="nil"/>
                <w:bottom w:val="nil"/>
                <w:right w:val="nil"/>
                <w:between w:val="nil"/>
              </w:pBdr>
              <w:jc w:val="right"/>
              <w:rPr>
                <w:b/>
                <w:color w:val="000000"/>
              </w:rPr>
            </w:pPr>
            <w:r>
              <w:rPr>
                <w:b/>
                <w:color w:val="000000"/>
              </w:rPr>
              <w:t>Total</w:t>
            </w:r>
          </w:p>
        </w:tc>
      </w:tr>
      <w:tr w:rsidR="008E5DE4" w14:paraId="41558FE8" w14:textId="77777777">
        <w:trPr>
          <w:cantSplit/>
        </w:trPr>
        <w:tc>
          <w:tcPr>
            <w:tcW w:w="4819" w:type="dxa"/>
            <w:vAlign w:val="bottom"/>
          </w:tcPr>
          <w:p w14:paraId="75FECFA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vAlign w:val="bottom"/>
          </w:tcPr>
          <w:p w14:paraId="4B70910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879B53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029740B" w14:textId="77777777" w:rsidR="008E5DE4" w:rsidRDefault="008E5DE4">
            <w:pPr>
              <w:widowControl w:val="0"/>
              <w:pBdr>
                <w:top w:val="nil"/>
                <w:left w:val="nil"/>
                <w:bottom w:val="nil"/>
                <w:right w:val="nil"/>
                <w:between w:val="nil"/>
              </w:pBdr>
              <w:jc w:val="right"/>
              <w:rPr>
                <w:color w:val="000000"/>
              </w:rPr>
            </w:pPr>
          </w:p>
        </w:tc>
      </w:tr>
      <w:tr w:rsidR="008E5DE4" w14:paraId="35284502" w14:textId="77777777">
        <w:trPr>
          <w:cantSplit/>
        </w:trPr>
        <w:tc>
          <w:tcPr>
            <w:tcW w:w="4819" w:type="dxa"/>
            <w:vAlign w:val="bottom"/>
          </w:tcPr>
          <w:p w14:paraId="0A7E7CD1" w14:textId="722A9357" w:rsidR="008E5DE4" w:rsidRDefault="00780368">
            <w:pPr>
              <w:widowControl w:val="0"/>
              <w:pBdr>
                <w:top w:val="nil"/>
                <w:left w:val="nil"/>
                <w:bottom w:val="nil"/>
                <w:right w:val="nil"/>
                <w:between w:val="nil"/>
              </w:pBdr>
              <w:ind w:left="113" w:right="-57" w:hanging="113"/>
              <w:rPr>
                <w:b/>
                <w:color w:val="000000"/>
              </w:rPr>
            </w:pPr>
            <w:r>
              <w:rPr>
                <w:b/>
                <w:color w:val="000000"/>
              </w:rPr>
              <w:t xml:space="preserve">Carrying value </w:t>
            </w:r>
            <w:proofErr w:type="gramStart"/>
            <w:r>
              <w:rPr>
                <w:b/>
                <w:color w:val="000000"/>
              </w:rPr>
              <w:t>at</w:t>
            </w:r>
            <w:proofErr w:type="gramEnd"/>
            <w:r>
              <w:rPr>
                <w:b/>
                <w:color w:val="000000"/>
              </w:rPr>
              <w:t xml:space="preserve"> 1 January </w:t>
            </w:r>
            <w:r w:rsidR="00FF468A">
              <w:rPr>
                <w:b/>
                <w:color w:val="000000"/>
              </w:rPr>
              <w:t>2024</w:t>
            </w:r>
          </w:p>
        </w:tc>
        <w:tc>
          <w:tcPr>
            <w:tcW w:w="1531" w:type="dxa"/>
            <w:vAlign w:val="bottom"/>
          </w:tcPr>
          <w:p w14:paraId="318726FB"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28EF48D8"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ECA6241" w14:textId="77777777" w:rsidR="008E5DE4" w:rsidRDefault="008E5DE4">
            <w:pPr>
              <w:widowControl w:val="0"/>
              <w:pBdr>
                <w:top w:val="nil"/>
                <w:left w:val="nil"/>
                <w:bottom w:val="nil"/>
                <w:right w:val="nil"/>
                <w:between w:val="nil"/>
              </w:pBdr>
              <w:jc w:val="right"/>
              <w:rPr>
                <w:b/>
                <w:color w:val="000000"/>
              </w:rPr>
            </w:pPr>
          </w:p>
        </w:tc>
      </w:tr>
      <w:tr w:rsidR="008E5DE4" w14:paraId="78FD23F9" w14:textId="77777777">
        <w:trPr>
          <w:cantSplit/>
        </w:trPr>
        <w:tc>
          <w:tcPr>
            <w:tcW w:w="4819" w:type="dxa"/>
            <w:vAlign w:val="bottom"/>
          </w:tcPr>
          <w:p w14:paraId="64EC3F0E" w14:textId="77777777" w:rsidR="008E5DE4" w:rsidRDefault="008E5DE4">
            <w:pPr>
              <w:widowControl w:val="0"/>
              <w:pBdr>
                <w:top w:val="nil"/>
                <w:left w:val="nil"/>
                <w:bottom w:val="nil"/>
                <w:right w:val="nil"/>
                <w:between w:val="nil"/>
              </w:pBdr>
              <w:ind w:left="113" w:right="-57" w:hanging="113"/>
              <w:rPr>
                <w:b/>
                <w:color w:val="000000"/>
              </w:rPr>
            </w:pPr>
          </w:p>
        </w:tc>
        <w:tc>
          <w:tcPr>
            <w:tcW w:w="1531" w:type="dxa"/>
            <w:vAlign w:val="bottom"/>
          </w:tcPr>
          <w:p w14:paraId="563BFA6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60297C9"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C85EDB6" w14:textId="77777777" w:rsidR="008E5DE4" w:rsidRDefault="008E5DE4">
            <w:pPr>
              <w:widowControl w:val="0"/>
              <w:pBdr>
                <w:top w:val="nil"/>
                <w:left w:val="nil"/>
                <w:bottom w:val="nil"/>
                <w:right w:val="nil"/>
                <w:between w:val="nil"/>
              </w:pBdr>
              <w:jc w:val="right"/>
              <w:rPr>
                <w:b/>
                <w:color w:val="000000"/>
              </w:rPr>
            </w:pPr>
          </w:p>
        </w:tc>
      </w:tr>
      <w:tr w:rsidR="008E5DE4" w14:paraId="17E8CE2B" w14:textId="77777777">
        <w:trPr>
          <w:cantSplit/>
        </w:trPr>
        <w:tc>
          <w:tcPr>
            <w:tcW w:w="4819" w:type="dxa"/>
            <w:vAlign w:val="bottom"/>
          </w:tcPr>
          <w:p w14:paraId="225A04E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Additions </w:t>
            </w:r>
          </w:p>
        </w:tc>
        <w:tc>
          <w:tcPr>
            <w:tcW w:w="1531" w:type="dxa"/>
            <w:vAlign w:val="bottom"/>
          </w:tcPr>
          <w:p w14:paraId="727A550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A1BC75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6BBA654" w14:textId="77777777" w:rsidR="008E5DE4" w:rsidRDefault="008E5DE4">
            <w:pPr>
              <w:widowControl w:val="0"/>
              <w:pBdr>
                <w:top w:val="nil"/>
                <w:left w:val="nil"/>
                <w:bottom w:val="nil"/>
                <w:right w:val="nil"/>
                <w:between w:val="nil"/>
              </w:pBdr>
              <w:jc w:val="right"/>
              <w:rPr>
                <w:color w:val="000000"/>
              </w:rPr>
            </w:pPr>
          </w:p>
        </w:tc>
      </w:tr>
      <w:tr w:rsidR="008E5DE4" w14:paraId="2203D740" w14:textId="77777777">
        <w:trPr>
          <w:cantSplit/>
        </w:trPr>
        <w:tc>
          <w:tcPr>
            <w:tcW w:w="4819" w:type="dxa"/>
            <w:vAlign w:val="bottom"/>
          </w:tcPr>
          <w:p w14:paraId="5939FF97"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Prepayments derecognised </w:t>
            </w:r>
            <w:r>
              <w:rPr>
                <w:color w:val="0000FF"/>
              </w:rPr>
              <w:t>[transferred to construction in progress]</w:t>
            </w:r>
            <w:r>
              <w:rPr>
                <w:color w:val="000000"/>
              </w:rPr>
              <w:t xml:space="preserve"> on receipt of related goods or services</w:t>
            </w:r>
          </w:p>
        </w:tc>
        <w:tc>
          <w:tcPr>
            <w:tcW w:w="1531" w:type="dxa"/>
            <w:vAlign w:val="bottom"/>
          </w:tcPr>
          <w:p w14:paraId="210F37F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FE3F9F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7F87741" w14:textId="77777777" w:rsidR="008E5DE4" w:rsidRDefault="008E5DE4">
            <w:pPr>
              <w:widowControl w:val="0"/>
              <w:pBdr>
                <w:top w:val="nil"/>
                <w:left w:val="nil"/>
                <w:bottom w:val="nil"/>
                <w:right w:val="nil"/>
                <w:between w:val="nil"/>
              </w:pBdr>
              <w:jc w:val="right"/>
              <w:rPr>
                <w:color w:val="000000"/>
              </w:rPr>
            </w:pPr>
          </w:p>
        </w:tc>
      </w:tr>
      <w:tr w:rsidR="008E5DE4" w14:paraId="41DBB468" w14:textId="77777777">
        <w:trPr>
          <w:cantSplit/>
        </w:trPr>
        <w:tc>
          <w:tcPr>
            <w:tcW w:w="4819" w:type="dxa"/>
            <w:vAlign w:val="bottom"/>
          </w:tcPr>
          <w:p w14:paraId="0865758A" w14:textId="77777777" w:rsidR="008E5DE4" w:rsidRDefault="00780368">
            <w:pPr>
              <w:widowControl w:val="0"/>
              <w:pBdr>
                <w:top w:val="nil"/>
                <w:left w:val="nil"/>
                <w:bottom w:val="nil"/>
                <w:right w:val="nil"/>
                <w:between w:val="nil"/>
              </w:pBdr>
              <w:ind w:left="113" w:right="-57" w:hanging="113"/>
              <w:rPr>
                <w:color w:val="000000"/>
              </w:rPr>
            </w:pPr>
            <w:r>
              <w:rPr>
                <w:color w:val="000000"/>
              </w:rPr>
              <w:t>Translation to presentation currency</w:t>
            </w:r>
          </w:p>
        </w:tc>
        <w:tc>
          <w:tcPr>
            <w:tcW w:w="1531" w:type="dxa"/>
            <w:vAlign w:val="bottom"/>
          </w:tcPr>
          <w:p w14:paraId="375AE6F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55B04D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FD5A303" w14:textId="77777777" w:rsidR="008E5DE4" w:rsidRDefault="008E5DE4">
            <w:pPr>
              <w:widowControl w:val="0"/>
              <w:pBdr>
                <w:top w:val="nil"/>
                <w:left w:val="nil"/>
                <w:bottom w:val="nil"/>
                <w:right w:val="nil"/>
                <w:between w:val="nil"/>
              </w:pBdr>
              <w:jc w:val="right"/>
              <w:rPr>
                <w:color w:val="000000"/>
              </w:rPr>
            </w:pPr>
          </w:p>
        </w:tc>
      </w:tr>
      <w:tr w:rsidR="008E5DE4" w14:paraId="2BF0A78C" w14:textId="77777777">
        <w:trPr>
          <w:cantSplit/>
        </w:trPr>
        <w:tc>
          <w:tcPr>
            <w:tcW w:w="4819" w:type="dxa"/>
            <w:tcBorders>
              <w:bottom w:val="single" w:sz="4" w:space="0" w:color="000000"/>
            </w:tcBorders>
            <w:vAlign w:val="bottom"/>
          </w:tcPr>
          <w:p w14:paraId="24A4DF9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Borders>
              <w:bottom w:val="single" w:sz="4" w:space="0" w:color="000000"/>
            </w:tcBorders>
            <w:vAlign w:val="bottom"/>
          </w:tcPr>
          <w:p w14:paraId="642337B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61E4639"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278B626" w14:textId="77777777" w:rsidR="008E5DE4" w:rsidRDefault="008E5DE4">
            <w:pPr>
              <w:widowControl w:val="0"/>
              <w:pBdr>
                <w:top w:val="nil"/>
                <w:left w:val="nil"/>
                <w:bottom w:val="nil"/>
                <w:right w:val="nil"/>
                <w:between w:val="nil"/>
              </w:pBdr>
              <w:jc w:val="right"/>
              <w:rPr>
                <w:color w:val="000000"/>
              </w:rPr>
            </w:pPr>
          </w:p>
        </w:tc>
      </w:tr>
      <w:tr w:rsidR="008E5DE4" w14:paraId="0FB4DD62" w14:textId="77777777">
        <w:trPr>
          <w:cantSplit/>
        </w:trPr>
        <w:tc>
          <w:tcPr>
            <w:tcW w:w="4819" w:type="dxa"/>
            <w:tcBorders>
              <w:top w:val="single" w:sz="4" w:space="0" w:color="000000"/>
            </w:tcBorders>
            <w:vAlign w:val="bottom"/>
          </w:tcPr>
          <w:p w14:paraId="4A58743C"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p>
        </w:tc>
        <w:tc>
          <w:tcPr>
            <w:tcW w:w="1531" w:type="dxa"/>
            <w:tcBorders>
              <w:top w:val="single" w:sz="4" w:space="0" w:color="000000"/>
            </w:tcBorders>
            <w:vAlign w:val="bottom"/>
          </w:tcPr>
          <w:p w14:paraId="3E6FFB7D"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690FAE25" w14:textId="77777777" w:rsidR="008E5DE4" w:rsidRDefault="008E5DE4">
            <w:pPr>
              <w:widowControl w:val="0"/>
              <w:jc w:val="right"/>
              <w:rPr>
                <w:b/>
              </w:rPr>
            </w:pPr>
          </w:p>
        </w:tc>
        <w:tc>
          <w:tcPr>
            <w:tcW w:w="1531" w:type="dxa"/>
            <w:tcBorders>
              <w:top w:val="single" w:sz="4" w:space="0" w:color="000000"/>
            </w:tcBorders>
            <w:vAlign w:val="bottom"/>
          </w:tcPr>
          <w:p w14:paraId="1998A313" w14:textId="77777777" w:rsidR="008E5DE4" w:rsidRDefault="008E5DE4">
            <w:pPr>
              <w:widowControl w:val="0"/>
              <w:jc w:val="right"/>
              <w:rPr>
                <w:b/>
              </w:rPr>
            </w:pPr>
          </w:p>
        </w:tc>
      </w:tr>
      <w:tr w:rsidR="008E5DE4" w14:paraId="36BAC257" w14:textId="77777777">
        <w:trPr>
          <w:cantSplit/>
        </w:trPr>
        <w:tc>
          <w:tcPr>
            <w:tcW w:w="4819" w:type="dxa"/>
            <w:vAlign w:val="bottom"/>
          </w:tcPr>
          <w:p w14:paraId="289DA509" w14:textId="0D6A83B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prepayments </w:t>
            </w:r>
            <w:proofErr w:type="gramStart"/>
            <w:r>
              <w:rPr>
                <w:b/>
                <w:color w:val="000000"/>
              </w:rPr>
              <w:t>at</w:t>
            </w:r>
            <w:proofErr w:type="gramEnd"/>
            <w:r>
              <w:rPr>
                <w:b/>
                <w:color w:val="000000"/>
              </w:rPr>
              <w:t xml:space="preserve"> 31 December </w:t>
            </w:r>
            <w:r w:rsidR="00FF468A">
              <w:rPr>
                <w:b/>
                <w:color w:val="000000"/>
              </w:rPr>
              <w:t>2024</w:t>
            </w:r>
          </w:p>
        </w:tc>
        <w:tc>
          <w:tcPr>
            <w:tcW w:w="1531" w:type="dxa"/>
            <w:vAlign w:val="bottom"/>
          </w:tcPr>
          <w:p w14:paraId="42D11918"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ABC8AD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E27C4EE" w14:textId="77777777" w:rsidR="008E5DE4" w:rsidRDefault="008E5DE4">
            <w:pPr>
              <w:widowControl w:val="0"/>
              <w:pBdr>
                <w:top w:val="nil"/>
                <w:left w:val="nil"/>
                <w:bottom w:val="nil"/>
                <w:right w:val="nil"/>
                <w:between w:val="nil"/>
              </w:pBdr>
              <w:jc w:val="right"/>
              <w:rPr>
                <w:b/>
                <w:color w:val="000000"/>
              </w:rPr>
            </w:pPr>
          </w:p>
        </w:tc>
      </w:tr>
      <w:tr w:rsidR="008E5DE4" w14:paraId="5E6E25C0" w14:textId="77777777">
        <w:trPr>
          <w:cantSplit/>
        </w:trPr>
        <w:tc>
          <w:tcPr>
            <w:tcW w:w="4819" w:type="dxa"/>
            <w:vAlign w:val="bottom"/>
          </w:tcPr>
          <w:p w14:paraId="35BE6251"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531" w:type="dxa"/>
            <w:vAlign w:val="bottom"/>
          </w:tcPr>
          <w:p w14:paraId="63CE87A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537F84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F3C7C02" w14:textId="77777777" w:rsidR="008E5DE4" w:rsidRDefault="008E5DE4">
            <w:pPr>
              <w:widowControl w:val="0"/>
              <w:pBdr>
                <w:top w:val="nil"/>
                <w:left w:val="nil"/>
                <w:bottom w:val="nil"/>
                <w:right w:val="nil"/>
                <w:between w:val="nil"/>
              </w:pBdr>
              <w:jc w:val="right"/>
              <w:rPr>
                <w:color w:val="000000"/>
              </w:rPr>
            </w:pPr>
          </w:p>
        </w:tc>
      </w:tr>
      <w:tr w:rsidR="008E5DE4" w14:paraId="09C2903F" w14:textId="77777777">
        <w:trPr>
          <w:cantSplit/>
        </w:trPr>
        <w:tc>
          <w:tcPr>
            <w:tcW w:w="4819" w:type="dxa"/>
            <w:vAlign w:val="bottom"/>
          </w:tcPr>
          <w:p w14:paraId="42AB2C76" w14:textId="77777777" w:rsidR="008E5DE4" w:rsidRDefault="00780368">
            <w:pPr>
              <w:widowControl w:val="0"/>
              <w:pBdr>
                <w:top w:val="nil"/>
                <w:left w:val="nil"/>
                <w:bottom w:val="nil"/>
                <w:right w:val="nil"/>
                <w:between w:val="nil"/>
              </w:pBdr>
              <w:ind w:left="113" w:right="-57" w:hanging="113"/>
              <w:rPr>
                <w:color w:val="000000"/>
              </w:rPr>
            </w:pPr>
            <w:r>
              <w:rPr>
                <w:color w:val="000000"/>
              </w:rPr>
              <w:t>Additions</w:t>
            </w:r>
          </w:p>
        </w:tc>
        <w:tc>
          <w:tcPr>
            <w:tcW w:w="1531" w:type="dxa"/>
            <w:vAlign w:val="bottom"/>
          </w:tcPr>
          <w:p w14:paraId="3BD5926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B5EEDC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3D411FA" w14:textId="77777777" w:rsidR="008E5DE4" w:rsidRDefault="008E5DE4">
            <w:pPr>
              <w:widowControl w:val="0"/>
              <w:pBdr>
                <w:top w:val="nil"/>
                <w:left w:val="nil"/>
                <w:bottom w:val="nil"/>
                <w:right w:val="nil"/>
                <w:between w:val="nil"/>
              </w:pBdr>
              <w:jc w:val="right"/>
              <w:rPr>
                <w:color w:val="000000"/>
              </w:rPr>
            </w:pPr>
          </w:p>
        </w:tc>
      </w:tr>
      <w:tr w:rsidR="008E5DE4" w14:paraId="2FA13743" w14:textId="77777777">
        <w:trPr>
          <w:cantSplit/>
        </w:trPr>
        <w:tc>
          <w:tcPr>
            <w:tcW w:w="4819" w:type="dxa"/>
            <w:vAlign w:val="bottom"/>
          </w:tcPr>
          <w:p w14:paraId="08246DF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Prepayments derecognised </w:t>
            </w:r>
            <w:r>
              <w:rPr>
                <w:color w:val="0000FF"/>
              </w:rPr>
              <w:t>[transferred to construction in progress]</w:t>
            </w:r>
            <w:r>
              <w:rPr>
                <w:color w:val="000000"/>
              </w:rPr>
              <w:t xml:space="preserve"> on receipt of related goods or services</w:t>
            </w:r>
          </w:p>
        </w:tc>
        <w:tc>
          <w:tcPr>
            <w:tcW w:w="1531" w:type="dxa"/>
            <w:vAlign w:val="bottom"/>
          </w:tcPr>
          <w:p w14:paraId="789C907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95E6A3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61C882F" w14:textId="77777777" w:rsidR="008E5DE4" w:rsidRDefault="008E5DE4">
            <w:pPr>
              <w:widowControl w:val="0"/>
              <w:pBdr>
                <w:top w:val="nil"/>
                <w:left w:val="nil"/>
                <w:bottom w:val="nil"/>
                <w:right w:val="nil"/>
                <w:between w:val="nil"/>
              </w:pBdr>
              <w:jc w:val="right"/>
              <w:rPr>
                <w:color w:val="000000"/>
              </w:rPr>
            </w:pPr>
          </w:p>
        </w:tc>
      </w:tr>
      <w:tr w:rsidR="008E5DE4" w14:paraId="5FC679D3" w14:textId="77777777">
        <w:trPr>
          <w:cantSplit/>
        </w:trPr>
        <w:tc>
          <w:tcPr>
            <w:tcW w:w="4819" w:type="dxa"/>
            <w:vAlign w:val="bottom"/>
          </w:tcPr>
          <w:p w14:paraId="56D1C40E" w14:textId="77777777" w:rsidR="008E5DE4" w:rsidRDefault="00780368">
            <w:pPr>
              <w:widowControl w:val="0"/>
              <w:pBdr>
                <w:top w:val="nil"/>
                <w:left w:val="nil"/>
                <w:bottom w:val="nil"/>
                <w:right w:val="nil"/>
                <w:between w:val="nil"/>
              </w:pBdr>
              <w:ind w:left="113" w:right="-57" w:hanging="113"/>
              <w:rPr>
                <w:color w:val="000000"/>
              </w:rPr>
            </w:pPr>
            <w:r>
              <w:rPr>
                <w:color w:val="000000"/>
              </w:rPr>
              <w:t>Translation to presentation currency</w:t>
            </w:r>
          </w:p>
        </w:tc>
        <w:tc>
          <w:tcPr>
            <w:tcW w:w="1531" w:type="dxa"/>
            <w:vAlign w:val="bottom"/>
          </w:tcPr>
          <w:p w14:paraId="485B283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C22019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FA31E18" w14:textId="77777777" w:rsidR="008E5DE4" w:rsidRDefault="008E5DE4">
            <w:pPr>
              <w:widowControl w:val="0"/>
              <w:pBdr>
                <w:top w:val="nil"/>
                <w:left w:val="nil"/>
                <w:bottom w:val="nil"/>
                <w:right w:val="nil"/>
                <w:between w:val="nil"/>
              </w:pBdr>
              <w:jc w:val="right"/>
              <w:rPr>
                <w:color w:val="000000"/>
              </w:rPr>
            </w:pPr>
          </w:p>
        </w:tc>
      </w:tr>
      <w:tr w:rsidR="008E5DE4" w14:paraId="4933D739" w14:textId="77777777">
        <w:trPr>
          <w:cantSplit/>
        </w:trPr>
        <w:tc>
          <w:tcPr>
            <w:tcW w:w="4819" w:type="dxa"/>
            <w:tcBorders>
              <w:bottom w:val="single" w:sz="4" w:space="0" w:color="000000"/>
            </w:tcBorders>
            <w:vAlign w:val="bottom"/>
          </w:tcPr>
          <w:p w14:paraId="5C3C7E46"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tcBorders>
              <w:bottom w:val="single" w:sz="4" w:space="0" w:color="000000"/>
            </w:tcBorders>
            <w:vAlign w:val="bottom"/>
          </w:tcPr>
          <w:p w14:paraId="17C52F7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02BB3251"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6285FC7B" w14:textId="77777777" w:rsidR="008E5DE4" w:rsidRDefault="008E5DE4">
            <w:pPr>
              <w:widowControl w:val="0"/>
              <w:pBdr>
                <w:top w:val="nil"/>
                <w:left w:val="nil"/>
                <w:bottom w:val="nil"/>
                <w:right w:val="nil"/>
                <w:between w:val="nil"/>
              </w:pBdr>
              <w:jc w:val="right"/>
              <w:rPr>
                <w:color w:val="000000"/>
              </w:rPr>
            </w:pPr>
          </w:p>
        </w:tc>
      </w:tr>
      <w:tr w:rsidR="008E5DE4" w14:paraId="4CC1CBF9" w14:textId="77777777">
        <w:trPr>
          <w:cantSplit/>
        </w:trPr>
        <w:tc>
          <w:tcPr>
            <w:tcW w:w="4819" w:type="dxa"/>
            <w:tcBorders>
              <w:top w:val="single" w:sz="4" w:space="0" w:color="000000"/>
            </w:tcBorders>
            <w:vAlign w:val="bottom"/>
          </w:tcPr>
          <w:p w14:paraId="64D47CB2"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531" w:type="dxa"/>
            <w:tcBorders>
              <w:top w:val="single" w:sz="4" w:space="0" w:color="000000"/>
            </w:tcBorders>
            <w:vAlign w:val="bottom"/>
          </w:tcPr>
          <w:p w14:paraId="46C0B47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69D755F3"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050931A2" w14:textId="77777777" w:rsidR="008E5DE4" w:rsidRDefault="008E5DE4">
            <w:pPr>
              <w:widowControl w:val="0"/>
              <w:pBdr>
                <w:top w:val="nil"/>
                <w:left w:val="nil"/>
                <w:bottom w:val="nil"/>
                <w:right w:val="nil"/>
                <w:between w:val="nil"/>
              </w:pBdr>
              <w:jc w:val="right"/>
              <w:rPr>
                <w:color w:val="000000"/>
              </w:rPr>
            </w:pPr>
          </w:p>
        </w:tc>
      </w:tr>
      <w:tr w:rsidR="008E5DE4" w14:paraId="12FF61F9" w14:textId="77777777">
        <w:trPr>
          <w:cantSplit/>
        </w:trPr>
        <w:tc>
          <w:tcPr>
            <w:tcW w:w="4819" w:type="dxa"/>
            <w:vAlign w:val="bottom"/>
          </w:tcPr>
          <w:p w14:paraId="41BAEB2B" w14:textId="55634A6D"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prepayments </w:t>
            </w:r>
            <w:proofErr w:type="gramStart"/>
            <w:r>
              <w:rPr>
                <w:b/>
                <w:color w:val="000000"/>
              </w:rPr>
              <w:t>at</w:t>
            </w:r>
            <w:proofErr w:type="gramEnd"/>
            <w:r>
              <w:rPr>
                <w:b/>
                <w:color w:val="000000"/>
              </w:rPr>
              <w:t xml:space="preserve"> 31 December </w:t>
            </w:r>
            <w:r w:rsidR="008614F8">
              <w:rPr>
                <w:b/>
                <w:color w:val="000000"/>
              </w:rPr>
              <w:t>2025</w:t>
            </w:r>
          </w:p>
        </w:tc>
        <w:tc>
          <w:tcPr>
            <w:tcW w:w="1531" w:type="dxa"/>
            <w:vAlign w:val="bottom"/>
          </w:tcPr>
          <w:p w14:paraId="3ADCB70C"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40672CD0"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12EFF27" w14:textId="77777777" w:rsidR="008E5DE4" w:rsidRDefault="008E5DE4">
            <w:pPr>
              <w:widowControl w:val="0"/>
              <w:pBdr>
                <w:top w:val="nil"/>
                <w:left w:val="nil"/>
                <w:bottom w:val="nil"/>
                <w:right w:val="nil"/>
                <w:between w:val="nil"/>
              </w:pBdr>
              <w:jc w:val="right"/>
              <w:rPr>
                <w:b/>
                <w:color w:val="000000"/>
              </w:rPr>
            </w:pPr>
          </w:p>
        </w:tc>
      </w:tr>
      <w:tr w:rsidR="008E5DE4" w14:paraId="2CA256AC" w14:textId="77777777">
        <w:trPr>
          <w:cantSplit/>
        </w:trPr>
        <w:tc>
          <w:tcPr>
            <w:tcW w:w="4819" w:type="dxa"/>
            <w:tcBorders>
              <w:bottom w:val="single" w:sz="12" w:space="0" w:color="000000"/>
            </w:tcBorders>
            <w:vAlign w:val="bottom"/>
          </w:tcPr>
          <w:p w14:paraId="6A5E4906" w14:textId="77777777" w:rsidR="008E5DE4" w:rsidRDefault="00780368">
            <w:pPr>
              <w:widowControl w:val="0"/>
              <w:ind w:left="113" w:right="-57" w:hanging="113"/>
            </w:pPr>
            <w:r>
              <w:t> </w:t>
            </w:r>
          </w:p>
        </w:tc>
        <w:tc>
          <w:tcPr>
            <w:tcW w:w="1531" w:type="dxa"/>
            <w:tcBorders>
              <w:bottom w:val="single" w:sz="12" w:space="0" w:color="000000"/>
            </w:tcBorders>
            <w:vAlign w:val="bottom"/>
          </w:tcPr>
          <w:p w14:paraId="3E245488" w14:textId="77777777" w:rsidR="008E5DE4" w:rsidRDefault="008E5DE4">
            <w:pPr>
              <w:widowControl w:val="0"/>
              <w:jc w:val="right"/>
              <w:rPr>
                <w:b/>
              </w:rPr>
            </w:pPr>
          </w:p>
        </w:tc>
        <w:tc>
          <w:tcPr>
            <w:tcW w:w="1531" w:type="dxa"/>
            <w:tcBorders>
              <w:bottom w:val="single" w:sz="12" w:space="0" w:color="000000"/>
            </w:tcBorders>
            <w:vAlign w:val="bottom"/>
          </w:tcPr>
          <w:p w14:paraId="12CBA7B9" w14:textId="77777777" w:rsidR="008E5DE4" w:rsidRDefault="008E5DE4">
            <w:pPr>
              <w:widowControl w:val="0"/>
              <w:jc w:val="right"/>
              <w:rPr>
                <w:b/>
              </w:rPr>
            </w:pPr>
          </w:p>
        </w:tc>
        <w:tc>
          <w:tcPr>
            <w:tcW w:w="1531" w:type="dxa"/>
            <w:tcBorders>
              <w:bottom w:val="single" w:sz="12" w:space="0" w:color="000000"/>
            </w:tcBorders>
            <w:vAlign w:val="bottom"/>
          </w:tcPr>
          <w:p w14:paraId="29EE0E2B" w14:textId="77777777" w:rsidR="008E5DE4" w:rsidRDefault="008E5DE4">
            <w:pPr>
              <w:widowControl w:val="0"/>
              <w:jc w:val="right"/>
              <w:rPr>
                <w:b/>
              </w:rPr>
            </w:pPr>
          </w:p>
        </w:tc>
      </w:tr>
    </w:tbl>
    <w:p w14:paraId="6AE3D029" w14:textId="47F9EFF8" w:rsidR="008E5DE4" w:rsidRDefault="00C07603" w:rsidP="007F183E">
      <w:pPr>
        <w:pStyle w:val="Heading1"/>
        <w:numPr>
          <w:ilvl w:val="0"/>
          <w:numId w:val="0"/>
        </w:numPr>
      </w:pPr>
      <w:bookmarkStart w:id="35" w:name="_Toc149923620"/>
      <w:r>
        <w:t>21</w:t>
      </w:r>
      <w:r>
        <w:tab/>
      </w:r>
      <w:r w:rsidR="00780368">
        <w:t>Assets and Liabilities arising from Contracts with Customers</w:t>
      </w:r>
      <w:bookmarkEnd w:id="35"/>
    </w:p>
    <w:p w14:paraId="40B5A044" w14:textId="77777777" w:rsidR="008E5DE4" w:rsidRDefault="008E5DE4"/>
    <w:p w14:paraId="12D235C9" w14:textId="77777777" w:rsidR="008E5DE4" w:rsidRDefault="00780368">
      <w:pPr>
        <w:pBdr>
          <w:top w:val="nil"/>
          <w:left w:val="nil"/>
          <w:bottom w:val="nil"/>
          <w:right w:val="nil"/>
          <w:between w:val="nil"/>
        </w:pBdr>
        <w:spacing w:after="240"/>
        <w:jc w:val="both"/>
        <w:rPr>
          <w:color w:val="000000"/>
          <w:sz w:val="20"/>
          <w:szCs w:val="20"/>
        </w:rPr>
      </w:pPr>
      <w:r>
        <w:rPr>
          <w:color w:val="000000"/>
          <w:sz w:val="20"/>
          <w:szCs w:val="20"/>
        </w:rPr>
        <w:t>The Group has recognised the following assets and liabilities arising from contracts with customers:</w:t>
      </w:r>
    </w:p>
    <w:tbl>
      <w:tblPr>
        <w:tblStyle w:val="affffff1"/>
        <w:tblW w:w="9440" w:type="dxa"/>
        <w:tblLayout w:type="fixed"/>
        <w:tblLook w:val="0400" w:firstRow="0" w:lastRow="0" w:firstColumn="0" w:lastColumn="0" w:noHBand="0" w:noVBand="1"/>
      </w:tblPr>
      <w:tblGrid>
        <w:gridCol w:w="5556"/>
        <w:gridCol w:w="851"/>
        <w:gridCol w:w="1559"/>
        <w:gridCol w:w="1474"/>
      </w:tblGrid>
      <w:tr w:rsidR="008E5DE4" w14:paraId="42909FA8" w14:textId="77777777">
        <w:trPr>
          <w:cantSplit/>
        </w:trPr>
        <w:tc>
          <w:tcPr>
            <w:tcW w:w="5556" w:type="dxa"/>
            <w:tcBorders>
              <w:bottom w:val="single" w:sz="4" w:space="0" w:color="000000"/>
            </w:tcBorders>
            <w:vAlign w:val="bottom"/>
          </w:tcPr>
          <w:p w14:paraId="256614C5" w14:textId="77777777" w:rsidR="008E5DE4" w:rsidRDefault="00780368">
            <w:pPr>
              <w:widowControl w:val="0"/>
              <w:pBdr>
                <w:top w:val="nil"/>
                <w:left w:val="nil"/>
                <w:bottom w:val="nil"/>
                <w:right w:val="nil"/>
                <w:between w:val="nil"/>
              </w:pBdr>
              <w:rPr>
                <w:i/>
                <w:color w:val="000000"/>
              </w:rPr>
            </w:pPr>
            <w:r>
              <w:rPr>
                <w:i/>
                <w:color w:val="000000"/>
              </w:rPr>
              <w:t>In thousands of EUR</w:t>
            </w:r>
          </w:p>
        </w:tc>
        <w:tc>
          <w:tcPr>
            <w:tcW w:w="851" w:type="dxa"/>
            <w:tcBorders>
              <w:bottom w:val="single" w:sz="4" w:space="0" w:color="000000"/>
            </w:tcBorders>
            <w:vAlign w:val="bottom"/>
          </w:tcPr>
          <w:p w14:paraId="58379E9C" w14:textId="77777777" w:rsidR="008E5DE4" w:rsidRDefault="00780368">
            <w:pPr>
              <w:widowControl w:val="0"/>
              <w:ind w:left="-57" w:right="-57"/>
              <w:jc w:val="center"/>
              <w:rPr>
                <w:b/>
              </w:rPr>
            </w:pPr>
            <w:r>
              <w:rPr>
                <w:b/>
              </w:rPr>
              <w:t>Note</w:t>
            </w:r>
          </w:p>
        </w:tc>
        <w:tc>
          <w:tcPr>
            <w:tcW w:w="1559" w:type="dxa"/>
            <w:tcBorders>
              <w:bottom w:val="single" w:sz="4" w:space="0" w:color="000000"/>
            </w:tcBorders>
            <w:vAlign w:val="bottom"/>
          </w:tcPr>
          <w:p w14:paraId="68CCA6BA" w14:textId="58E12081" w:rsidR="008E5DE4" w:rsidRDefault="00780368">
            <w:pPr>
              <w:widowControl w:val="0"/>
              <w:jc w:val="right"/>
              <w:rPr>
                <w:b/>
              </w:rPr>
            </w:pPr>
            <w:r>
              <w:rPr>
                <w:b/>
              </w:rPr>
              <w:t xml:space="preserve">31 December </w:t>
            </w:r>
            <w:r w:rsidR="008614F8">
              <w:rPr>
                <w:b/>
              </w:rPr>
              <w:t>2025</w:t>
            </w:r>
          </w:p>
        </w:tc>
        <w:tc>
          <w:tcPr>
            <w:tcW w:w="1474" w:type="dxa"/>
            <w:tcBorders>
              <w:bottom w:val="single" w:sz="4" w:space="0" w:color="000000"/>
            </w:tcBorders>
            <w:vAlign w:val="bottom"/>
          </w:tcPr>
          <w:p w14:paraId="0E252888" w14:textId="1BC0AD89" w:rsidR="008E5DE4" w:rsidRDefault="00780368">
            <w:pPr>
              <w:widowControl w:val="0"/>
              <w:jc w:val="right"/>
              <w:rPr>
                <w:b/>
              </w:rPr>
            </w:pPr>
            <w:r>
              <w:rPr>
                <w:b/>
              </w:rPr>
              <w:t xml:space="preserve">31 December </w:t>
            </w:r>
            <w:r w:rsidR="00FF468A">
              <w:rPr>
                <w:b/>
              </w:rPr>
              <w:t>2024</w:t>
            </w:r>
            <w:r>
              <w:rPr>
                <w:b/>
              </w:rPr>
              <w:t xml:space="preserve"> </w:t>
            </w:r>
          </w:p>
        </w:tc>
      </w:tr>
      <w:tr w:rsidR="008E5DE4" w14:paraId="2AD6D5C5" w14:textId="77777777">
        <w:trPr>
          <w:cantSplit/>
        </w:trPr>
        <w:tc>
          <w:tcPr>
            <w:tcW w:w="5556" w:type="dxa"/>
            <w:tcBorders>
              <w:top w:val="single" w:sz="4" w:space="0" w:color="000000"/>
            </w:tcBorders>
            <w:vAlign w:val="bottom"/>
          </w:tcPr>
          <w:p w14:paraId="4149B6FD" w14:textId="77777777" w:rsidR="008E5DE4" w:rsidRDefault="00780368">
            <w:pPr>
              <w:widowControl w:val="0"/>
            </w:pPr>
            <w:r>
              <w:rPr>
                <w:b/>
              </w:rPr>
              <w:t> </w:t>
            </w:r>
          </w:p>
        </w:tc>
        <w:tc>
          <w:tcPr>
            <w:tcW w:w="851" w:type="dxa"/>
            <w:tcBorders>
              <w:top w:val="single" w:sz="4" w:space="0" w:color="000000"/>
            </w:tcBorders>
            <w:vAlign w:val="bottom"/>
          </w:tcPr>
          <w:p w14:paraId="43FDE246" w14:textId="77777777" w:rsidR="008E5DE4" w:rsidRDefault="008E5DE4">
            <w:pPr>
              <w:widowControl w:val="0"/>
              <w:ind w:left="-57" w:right="-57"/>
              <w:jc w:val="center"/>
            </w:pPr>
          </w:p>
        </w:tc>
        <w:tc>
          <w:tcPr>
            <w:tcW w:w="1559" w:type="dxa"/>
            <w:tcBorders>
              <w:top w:val="single" w:sz="4" w:space="0" w:color="000000"/>
            </w:tcBorders>
            <w:vAlign w:val="bottom"/>
          </w:tcPr>
          <w:p w14:paraId="7DDE7383" w14:textId="77777777" w:rsidR="008E5DE4" w:rsidRDefault="008E5DE4">
            <w:pPr>
              <w:widowControl w:val="0"/>
              <w:jc w:val="right"/>
            </w:pPr>
          </w:p>
        </w:tc>
        <w:tc>
          <w:tcPr>
            <w:tcW w:w="1474" w:type="dxa"/>
            <w:tcBorders>
              <w:top w:val="single" w:sz="4" w:space="0" w:color="000000"/>
            </w:tcBorders>
            <w:vAlign w:val="bottom"/>
          </w:tcPr>
          <w:p w14:paraId="5A0271DB" w14:textId="77777777" w:rsidR="008E5DE4" w:rsidRDefault="008E5DE4">
            <w:pPr>
              <w:widowControl w:val="0"/>
              <w:jc w:val="right"/>
            </w:pPr>
          </w:p>
        </w:tc>
      </w:tr>
      <w:tr w:rsidR="008E5DE4" w14:paraId="4D7A06C2" w14:textId="77777777">
        <w:trPr>
          <w:cantSplit/>
        </w:trPr>
        <w:tc>
          <w:tcPr>
            <w:tcW w:w="5556" w:type="dxa"/>
            <w:vAlign w:val="bottom"/>
          </w:tcPr>
          <w:p w14:paraId="0ED3C009" w14:textId="77777777" w:rsidR="008E5DE4" w:rsidRDefault="00780368">
            <w:pPr>
              <w:widowControl w:val="0"/>
            </w:pPr>
            <w:r>
              <w:t>Current contract assets from contracts with customers</w:t>
            </w:r>
          </w:p>
        </w:tc>
        <w:tc>
          <w:tcPr>
            <w:tcW w:w="851" w:type="dxa"/>
            <w:vAlign w:val="bottom"/>
          </w:tcPr>
          <w:p w14:paraId="6C7AC819" w14:textId="77777777" w:rsidR="008E5DE4" w:rsidRDefault="008E5DE4">
            <w:pPr>
              <w:widowControl w:val="0"/>
              <w:ind w:left="-57" w:right="-57"/>
              <w:jc w:val="center"/>
            </w:pPr>
          </w:p>
        </w:tc>
        <w:tc>
          <w:tcPr>
            <w:tcW w:w="1559" w:type="dxa"/>
            <w:vAlign w:val="bottom"/>
          </w:tcPr>
          <w:p w14:paraId="3D5B5514" w14:textId="77777777" w:rsidR="008E5DE4" w:rsidRDefault="008E5DE4">
            <w:pPr>
              <w:widowControl w:val="0"/>
              <w:jc w:val="right"/>
            </w:pPr>
          </w:p>
        </w:tc>
        <w:tc>
          <w:tcPr>
            <w:tcW w:w="1474" w:type="dxa"/>
            <w:vAlign w:val="bottom"/>
          </w:tcPr>
          <w:p w14:paraId="73DBAC9D" w14:textId="77777777" w:rsidR="008E5DE4" w:rsidRDefault="008E5DE4">
            <w:pPr>
              <w:widowControl w:val="0"/>
              <w:jc w:val="right"/>
            </w:pPr>
          </w:p>
        </w:tc>
      </w:tr>
      <w:tr w:rsidR="008E5DE4" w14:paraId="3A2FB7D2" w14:textId="77777777">
        <w:trPr>
          <w:cantSplit/>
        </w:trPr>
        <w:tc>
          <w:tcPr>
            <w:tcW w:w="5556" w:type="dxa"/>
            <w:vAlign w:val="bottom"/>
          </w:tcPr>
          <w:p w14:paraId="5D6226E7" w14:textId="77777777" w:rsidR="008E5DE4" w:rsidRDefault="00780368">
            <w:pPr>
              <w:widowControl w:val="0"/>
            </w:pPr>
            <w:r>
              <w:t>Loss allowance</w:t>
            </w:r>
          </w:p>
        </w:tc>
        <w:tc>
          <w:tcPr>
            <w:tcW w:w="851" w:type="dxa"/>
            <w:vAlign w:val="bottom"/>
          </w:tcPr>
          <w:p w14:paraId="197B5160" w14:textId="77777777" w:rsidR="008E5DE4" w:rsidRDefault="008E5DE4">
            <w:pPr>
              <w:widowControl w:val="0"/>
              <w:ind w:left="-57" w:right="-57"/>
              <w:jc w:val="center"/>
            </w:pPr>
          </w:p>
        </w:tc>
        <w:tc>
          <w:tcPr>
            <w:tcW w:w="1559" w:type="dxa"/>
            <w:vAlign w:val="bottom"/>
          </w:tcPr>
          <w:p w14:paraId="2AED811B" w14:textId="77777777" w:rsidR="008E5DE4" w:rsidRDefault="008E5DE4">
            <w:pPr>
              <w:widowControl w:val="0"/>
              <w:jc w:val="right"/>
            </w:pPr>
          </w:p>
        </w:tc>
        <w:tc>
          <w:tcPr>
            <w:tcW w:w="1474" w:type="dxa"/>
            <w:vAlign w:val="bottom"/>
          </w:tcPr>
          <w:p w14:paraId="747EA93E" w14:textId="77777777" w:rsidR="008E5DE4" w:rsidRDefault="008E5DE4">
            <w:pPr>
              <w:widowControl w:val="0"/>
              <w:jc w:val="right"/>
            </w:pPr>
          </w:p>
        </w:tc>
      </w:tr>
      <w:tr w:rsidR="008E5DE4" w14:paraId="7CC22D55" w14:textId="77777777">
        <w:trPr>
          <w:cantSplit/>
        </w:trPr>
        <w:tc>
          <w:tcPr>
            <w:tcW w:w="5556" w:type="dxa"/>
            <w:tcBorders>
              <w:bottom w:val="single" w:sz="4" w:space="0" w:color="000000"/>
            </w:tcBorders>
            <w:vAlign w:val="bottom"/>
          </w:tcPr>
          <w:p w14:paraId="53ABB659" w14:textId="77777777" w:rsidR="008E5DE4" w:rsidRDefault="008E5DE4">
            <w:pPr>
              <w:widowControl w:val="0"/>
            </w:pPr>
          </w:p>
        </w:tc>
        <w:tc>
          <w:tcPr>
            <w:tcW w:w="851" w:type="dxa"/>
            <w:tcBorders>
              <w:bottom w:val="single" w:sz="4" w:space="0" w:color="000000"/>
            </w:tcBorders>
            <w:vAlign w:val="bottom"/>
          </w:tcPr>
          <w:p w14:paraId="7D7F63F9" w14:textId="77777777" w:rsidR="008E5DE4" w:rsidRDefault="008E5DE4">
            <w:pPr>
              <w:widowControl w:val="0"/>
              <w:ind w:left="-57" w:right="-57"/>
              <w:jc w:val="center"/>
            </w:pPr>
          </w:p>
        </w:tc>
        <w:tc>
          <w:tcPr>
            <w:tcW w:w="1559" w:type="dxa"/>
            <w:tcBorders>
              <w:bottom w:val="single" w:sz="4" w:space="0" w:color="000000"/>
            </w:tcBorders>
            <w:vAlign w:val="bottom"/>
          </w:tcPr>
          <w:p w14:paraId="1B2B3A06" w14:textId="77777777" w:rsidR="008E5DE4" w:rsidRDefault="008E5DE4">
            <w:pPr>
              <w:widowControl w:val="0"/>
              <w:jc w:val="right"/>
            </w:pPr>
          </w:p>
        </w:tc>
        <w:tc>
          <w:tcPr>
            <w:tcW w:w="1474" w:type="dxa"/>
            <w:tcBorders>
              <w:bottom w:val="single" w:sz="4" w:space="0" w:color="000000"/>
            </w:tcBorders>
            <w:vAlign w:val="bottom"/>
          </w:tcPr>
          <w:p w14:paraId="645DC7AD" w14:textId="77777777" w:rsidR="008E5DE4" w:rsidRDefault="008E5DE4">
            <w:pPr>
              <w:widowControl w:val="0"/>
              <w:jc w:val="right"/>
            </w:pPr>
          </w:p>
        </w:tc>
      </w:tr>
      <w:tr w:rsidR="008E5DE4" w14:paraId="692272AA" w14:textId="77777777">
        <w:trPr>
          <w:cantSplit/>
        </w:trPr>
        <w:tc>
          <w:tcPr>
            <w:tcW w:w="5556" w:type="dxa"/>
            <w:tcBorders>
              <w:top w:val="single" w:sz="4" w:space="0" w:color="000000"/>
            </w:tcBorders>
            <w:vAlign w:val="bottom"/>
          </w:tcPr>
          <w:p w14:paraId="40520EE3" w14:textId="77777777" w:rsidR="008E5DE4" w:rsidRDefault="008E5DE4">
            <w:pPr>
              <w:widowControl w:val="0"/>
              <w:rPr>
                <w:b/>
              </w:rPr>
            </w:pPr>
          </w:p>
          <w:p w14:paraId="271201CB" w14:textId="77777777" w:rsidR="008E5DE4" w:rsidRDefault="00780368">
            <w:pPr>
              <w:widowControl w:val="0"/>
              <w:rPr>
                <w:b/>
              </w:rPr>
            </w:pPr>
            <w:r>
              <w:rPr>
                <w:b/>
              </w:rPr>
              <w:t>Total current contract assets</w:t>
            </w:r>
          </w:p>
        </w:tc>
        <w:tc>
          <w:tcPr>
            <w:tcW w:w="851" w:type="dxa"/>
            <w:tcBorders>
              <w:top w:val="single" w:sz="4" w:space="0" w:color="000000"/>
            </w:tcBorders>
            <w:vAlign w:val="bottom"/>
          </w:tcPr>
          <w:p w14:paraId="78DB8EBA" w14:textId="77777777" w:rsidR="008E5DE4" w:rsidRDefault="008E5DE4">
            <w:pPr>
              <w:widowControl w:val="0"/>
              <w:ind w:left="-57" w:right="-57"/>
              <w:jc w:val="center"/>
              <w:rPr>
                <w:b/>
              </w:rPr>
            </w:pPr>
          </w:p>
        </w:tc>
        <w:tc>
          <w:tcPr>
            <w:tcW w:w="1559" w:type="dxa"/>
            <w:tcBorders>
              <w:top w:val="single" w:sz="4" w:space="0" w:color="000000"/>
            </w:tcBorders>
            <w:vAlign w:val="bottom"/>
          </w:tcPr>
          <w:p w14:paraId="19FF6870" w14:textId="77777777" w:rsidR="008E5DE4" w:rsidRDefault="008E5DE4">
            <w:pPr>
              <w:widowControl w:val="0"/>
              <w:jc w:val="right"/>
              <w:rPr>
                <w:b/>
              </w:rPr>
            </w:pPr>
          </w:p>
        </w:tc>
        <w:tc>
          <w:tcPr>
            <w:tcW w:w="1474" w:type="dxa"/>
            <w:tcBorders>
              <w:top w:val="single" w:sz="4" w:space="0" w:color="000000"/>
            </w:tcBorders>
            <w:vAlign w:val="bottom"/>
          </w:tcPr>
          <w:p w14:paraId="765655B2" w14:textId="77777777" w:rsidR="008E5DE4" w:rsidRDefault="008E5DE4">
            <w:pPr>
              <w:widowControl w:val="0"/>
              <w:jc w:val="right"/>
              <w:rPr>
                <w:b/>
              </w:rPr>
            </w:pPr>
          </w:p>
        </w:tc>
      </w:tr>
      <w:tr w:rsidR="008E5DE4" w14:paraId="346B747E" w14:textId="77777777">
        <w:trPr>
          <w:cantSplit/>
        </w:trPr>
        <w:tc>
          <w:tcPr>
            <w:tcW w:w="5556" w:type="dxa"/>
            <w:tcBorders>
              <w:bottom w:val="single" w:sz="4" w:space="0" w:color="000000"/>
            </w:tcBorders>
            <w:vAlign w:val="bottom"/>
          </w:tcPr>
          <w:p w14:paraId="6995DE43" w14:textId="77777777" w:rsidR="008E5DE4" w:rsidRDefault="008E5DE4">
            <w:pPr>
              <w:widowControl w:val="0"/>
              <w:pBdr>
                <w:top w:val="nil"/>
                <w:left w:val="nil"/>
                <w:bottom w:val="nil"/>
                <w:right w:val="nil"/>
                <w:between w:val="nil"/>
              </w:pBdr>
              <w:rPr>
                <w:color w:val="000000"/>
              </w:rPr>
            </w:pPr>
          </w:p>
        </w:tc>
        <w:tc>
          <w:tcPr>
            <w:tcW w:w="851" w:type="dxa"/>
            <w:tcBorders>
              <w:bottom w:val="single" w:sz="4" w:space="0" w:color="000000"/>
            </w:tcBorders>
            <w:vAlign w:val="bottom"/>
          </w:tcPr>
          <w:p w14:paraId="357CAFDE" w14:textId="77777777" w:rsidR="008E5DE4" w:rsidRDefault="008E5DE4">
            <w:pPr>
              <w:widowControl w:val="0"/>
              <w:ind w:left="-57" w:right="-57"/>
              <w:jc w:val="center"/>
            </w:pPr>
          </w:p>
        </w:tc>
        <w:tc>
          <w:tcPr>
            <w:tcW w:w="1559" w:type="dxa"/>
            <w:tcBorders>
              <w:bottom w:val="single" w:sz="4" w:space="0" w:color="000000"/>
            </w:tcBorders>
            <w:vAlign w:val="bottom"/>
          </w:tcPr>
          <w:p w14:paraId="0B73B756" w14:textId="77777777" w:rsidR="008E5DE4" w:rsidRDefault="008E5DE4">
            <w:pPr>
              <w:widowControl w:val="0"/>
              <w:jc w:val="right"/>
            </w:pPr>
          </w:p>
        </w:tc>
        <w:tc>
          <w:tcPr>
            <w:tcW w:w="1474" w:type="dxa"/>
            <w:tcBorders>
              <w:bottom w:val="single" w:sz="4" w:space="0" w:color="000000"/>
            </w:tcBorders>
            <w:vAlign w:val="bottom"/>
          </w:tcPr>
          <w:p w14:paraId="714D0FFE" w14:textId="77777777" w:rsidR="008E5DE4" w:rsidRDefault="008E5DE4">
            <w:pPr>
              <w:widowControl w:val="0"/>
              <w:jc w:val="right"/>
            </w:pPr>
          </w:p>
        </w:tc>
      </w:tr>
      <w:tr w:rsidR="008E5DE4" w14:paraId="271AD708" w14:textId="77777777">
        <w:trPr>
          <w:cantSplit/>
        </w:trPr>
        <w:tc>
          <w:tcPr>
            <w:tcW w:w="5556" w:type="dxa"/>
            <w:tcBorders>
              <w:top w:val="single" w:sz="4" w:space="0" w:color="000000"/>
            </w:tcBorders>
            <w:vAlign w:val="bottom"/>
          </w:tcPr>
          <w:p w14:paraId="1960CAEF" w14:textId="77777777" w:rsidR="008E5DE4" w:rsidRDefault="008E5DE4">
            <w:pPr>
              <w:widowControl w:val="0"/>
              <w:rPr>
                <w:b/>
              </w:rPr>
            </w:pPr>
          </w:p>
        </w:tc>
        <w:tc>
          <w:tcPr>
            <w:tcW w:w="851" w:type="dxa"/>
            <w:tcBorders>
              <w:top w:val="single" w:sz="4" w:space="0" w:color="000000"/>
            </w:tcBorders>
            <w:vAlign w:val="bottom"/>
          </w:tcPr>
          <w:p w14:paraId="3155FF67" w14:textId="77777777" w:rsidR="008E5DE4" w:rsidRDefault="008E5DE4">
            <w:pPr>
              <w:widowControl w:val="0"/>
              <w:ind w:left="-57" w:right="-57"/>
              <w:jc w:val="center"/>
            </w:pPr>
          </w:p>
        </w:tc>
        <w:tc>
          <w:tcPr>
            <w:tcW w:w="1559" w:type="dxa"/>
            <w:tcBorders>
              <w:top w:val="single" w:sz="4" w:space="0" w:color="000000"/>
            </w:tcBorders>
            <w:vAlign w:val="bottom"/>
          </w:tcPr>
          <w:p w14:paraId="4B33DE52" w14:textId="77777777" w:rsidR="008E5DE4" w:rsidRDefault="008E5DE4">
            <w:pPr>
              <w:widowControl w:val="0"/>
              <w:jc w:val="right"/>
              <w:rPr>
                <w:b/>
              </w:rPr>
            </w:pPr>
          </w:p>
        </w:tc>
        <w:tc>
          <w:tcPr>
            <w:tcW w:w="1474" w:type="dxa"/>
            <w:tcBorders>
              <w:top w:val="single" w:sz="4" w:space="0" w:color="000000"/>
            </w:tcBorders>
            <w:vAlign w:val="bottom"/>
          </w:tcPr>
          <w:p w14:paraId="1FE4C9B5" w14:textId="77777777" w:rsidR="008E5DE4" w:rsidRDefault="008E5DE4">
            <w:pPr>
              <w:widowControl w:val="0"/>
              <w:jc w:val="right"/>
              <w:rPr>
                <w:b/>
              </w:rPr>
            </w:pPr>
          </w:p>
        </w:tc>
      </w:tr>
      <w:tr w:rsidR="008E5DE4" w14:paraId="34B74920" w14:textId="77777777">
        <w:trPr>
          <w:cantSplit/>
        </w:trPr>
        <w:tc>
          <w:tcPr>
            <w:tcW w:w="5556" w:type="dxa"/>
            <w:vAlign w:val="bottom"/>
          </w:tcPr>
          <w:p w14:paraId="4BB8232D" w14:textId="77777777" w:rsidR="008E5DE4" w:rsidRDefault="00780368">
            <w:pPr>
              <w:widowControl w:val="0"/>
              <w:rPr>
                <w:b/>
              </w:rPr>
            </w:pPr>
            <w:r>
              <w:rPr>
                <w:b/>
              </w:rPr>
              <w:t>Non-current assets recognised for costs incurred to obtain or fulfil a contract</w:t>
            </w:r>
          </w:p>
        </w:tc>
        <w:tc>
          <w:tcPr>
            <w:tcW w:w="851" w:type="dxa"/>
            <w:vAlign w:val="bottom"/>
          </w:tcPr>
          <w:p w14:paraId="722A43F2" w14:textId="77777777" w:rsidR="008E5DE4" w:rsidRDefault="00780368">
            <w:pPr>
              <w:widowControl w:val="0"/>
              <w:ind w:left="-57" w:right="-57"/>
              <w:jc w:val="center"/>
            </w:pPr>
            <w:r>
              <w:t>17</w:t>
            </w:r>
          </w:p>
        </w:tc>
        <w:tc>
          <w:tcPr>
            <w:tcW w:w="1559" w:type="dxa"/>
            <w:vAlign w:val="bottom"/>
          </w:tcPr>
          <w:p w14:paraId="5A7D8982" w14:textId="77777777" w:rsidR="008E5DE4" w:rsidRDefault="008E5DE4">
            <w:pPr>
              <w:widowControl w:val="0"/>
              <w:jc w:val="right"/>
              <w:rPr>
                <w:b/>
              </w:rPr>
            </w:pPr>
          </w:p>
        </w:tc>
        <w:tc>
          <w:tcPr>
            <w:tcW w:w="1474" w:type="dxa"/>
            <w:vAlign w:val="bottom"/>
          </w:tcPr>
          <w:p w14:paraId="1D111DF7" w14:textId="77777777" w:rsidR="008E5DE4" w:rsidRDefault="008E5DE4">
            <w:pPr>
              <w:widowControl w:val="0"/>
              <w:jc w:val="right"/>
              <w:rPr>
                <w:b/>
              </w:rPr>
            </w:pPr>
          </w:p>
        </w:tc>
      </w:tr>
      <w:tr w:rsidR="008E5DE4" w14:paraId="7EB86C15" w14:textId="77777777">
        <w:trPr>
          <w:cantSplit/>
        </w:trPr>
        <w:tc>
          <w:tcPr>
            <w:tcW w:w="5556" w:type="dxa"/>
            <w:tcBorders>
              <w:bottom w:val="single" w:sz="4" w:space="0" w:color="000000"/>
            </w:tcBorders>
            <w:vAlign w:val="bottom"/>
          </w:tcPr>
          <w:p w14:paraId="767D1388" w14:textId="77777777" w:rsidR="008E5DE4" w:rsidRDefault="008E5DE4">
            <w:pPr>
              <w:widowControl w:val="0"/>
              <w:rPr>
                <w:b/>
              </w:rPr>
            </w:pPr>
          </w:p>
        </w:tc>
        <w:tc>
          <w:tcPr>
            <w:tcW w:w="851" w:type="dxa"/>
            <w:tcBorders>
              <w:bottom w:val="single" w:sz="4" w:space="0" w:color="000000"/>
            </w:tcBorders>
            <w:vAlign w:val="bottom"/>
          </w:tcPr>
          <w:p w14:paraId="3763507A" w14:textId="77777777" w:rsidR="008E5DE4" w:rsidRDefault="008E5DE4">
            <w:pPr>
              <w:widowControl w:val="0"/>
              <w:ind w:left="-57" w:right="-57"/>
              <w:jc w:val="center"/>
            </w:pPr>
          </w:p>
        </w:tc>
        <w:tc>
          <w:tcPr>
            <w:tcW w:w="1559" w:type="dxa"/>
            <w:tcBorders>
              <w:bottom w:val="single" w:sz="4" w:space="0" w:color="000000"/>
            </w:tcBorders>
            <w:vAlign w:val="bottom"/>
          </w:tcPr>
          <w:p w14:paraId="78132CC3" w14:textId="77777777" w:rsidR="008E5DE4" w:rsidRDefault="008E5DE4">
            <w:pPr>
              <w:widowControl w:val="0"/>
              <w:jc w:val="right"/>
              <w:rPr>
                <w:b/>
              </w:rPr>
            </w:pPr>
          </w:p>
        </w:tc>
        <w:tc>
          <w:tcPr>
            <w:tcW w:w="1474" w:type="dxa"/>
            <w:tcBorders>
              <w:bottom w:val="single" w:sz="4" w:space="0" w:color="000000"/>
            </w:tcBorders>
            <w:vAlign w:val="bottom"/>
          </w:tcPr>
          <w:p w14:paraId="12A929E2" w14:textId="77777777" w:rsidR="008E5DE4" w:rsidRDefault="008E5DE4">
            <w:pPr>
              <w:widowControl w:val="0"/>
              <w:jc w:val="right"/>
              <w:rPr>
                <w:b/>
              </w:rPr>
            </w:pPr>
          </w:p>
        </w:tc>
      </w:tr>
      <w:tr w:rsidR="008E5DE4" w14:paraId="407A7586" w14:textId="77777777">
        <w:trPr>
          <w:cantSplit/>
        </w:trPr>
        <w:tc>
          <w:tcPr>
            <w:tcW w:w="5556" w:type="dxa"/>
            <w:tcBorders>
              <w:top w:val="single" w:sz="4" w:space="0" w:color="000000"/>
            </w:tcBorders>
            <w:vAlign w:val="bottom"/>
          </w:tcPr>
          <w:p w14:paraId="04176F8C" w14:textId="77777777" w:rsidR="008E5DE4" w:rsidRDefault="008E5DE4">
            <w:pPr>
              <w:widowControl w:val="0"/>
              <w:pBdr>
                <w:top w:val="nil"/>
                <w:left w:val="nil"/>
                <w:bottom w:val="nil"/>
                <w:right w:val="nil"/>
                <w:between w:val="nil"/>
              </w:pBdr>
              <w:rPr>
                <w:color w:val="000000"/>
              </w:rPr>
            </w:pPr>
          </w:p>
        </w:tc>
        <w:tc>
          <w:tcPr>
            <w:tcW w:w="851" w:type="dxa"/>
            <w:tcBorders>
              <w:top w:val="single" w:sz="4" w:space="0" w:color="000000"/>
            </w:tcBorders>
            <w:vAlign w:val="bottom"/>
          </w:tcPr>
          <w:p w14:paraId="121F0289" w14:textId="77777777" w:rsidR="008E5DE4" w:rsidRDefault="008E5DE4">
            <w:pPr>
              <w:widowControl w:val="0"/>
              <w:ind w:left="-57" w:right="-57"/>
              <w:jc w:val="center"/>
            </w:pPr>
          </w:p>
        </w:tc>
        <w:tc>
          <w:tcPr>
            <w:tcW w:w="1559" w:type="dxa"/>
            <w:tcBorders>
              <w:top w:val="single" w:sz="4" w:space="0" w:color="000000"/>
            </w:tcBorders>
            <w:vAlign w:val="bottom"/>
          </w:tcPr>
          <w:p w14:paraId="4AB10FD8" w14:textId="77777777" w:rsidR="008E5DE4" w:rsidRDefault="008E5DE4">
            <w:pPr>
              <w:widowControl w:val="0"/>
              <w:jc w:val="right"/>
            </w:pPr>
          </w:p>
        </w:tc>
        <w:tc>
          <w:tcPr>
            <w:tcW w:w="1474" w:type="dxa"/>
            <w:tcBorders>
              <w:top w:val="single" w:sz="4" w:space="0" w:color="000000"/>
            </w:tcBorders>
            <w:vAlign w:val="bottom"/>
          </w:tcPr>
          <w:p w14:paraId="05B9B5A7" w14:textId="77777777" w:rsidR="008E5DE4" w:rsidRDefault="008E5DE4">
            <w:pPr>
              <w:widowControl w:val="0"/>
              <w:jc w:val="right"/>
            </w:pPr>
          </w:p>
        </w:tc>
      </w:tr>
      <w:tr w:rsidR="008E5DE4" w14:paraId="635F8846" w14:textId="77777777">
        <w:trPr>
          <w:cantSplit/>
        </w:trPr>
        <w:tc>
          <w:tcPr>
            <w:tcW w:w="5556" w:type="dxa"/>
            <w:vAlign w:val="bottom"/>
          </w:tcPr>
          <w:p w14:paraId="34FB75D0" w14:textId="77777777" w:rsidR="008E5DE4" w:rsidRDefault="00780368">
            <w:pPr>
              <w:widowControl w:val="0"/>
              <w:pBdr>
                <w:top w:val="nil"/>
                <w:left w:val="nil"/>
                <w:bottom w:val="nil"/>
                <w:right w:val="nil"/>
                <w:between w:val="nil"/>
              </w:pBdr>
              <w:rPr>
                <w:color w:val="000000"/>
              </w:rPr>
            </w:pPr>
            <w:r>
              <w:rPr>
                <w:color w:val="000000"/>
              </w:rPr>
              <w:t>Contract liabilities – advances from customers</w:t>
            </w:r>
          </w:p>
        </w:tc>
        <w:tc>
          <w:tcPr>
            <w:tcW w:w="851" w:type="dxa"/>
            <w:vAlign w:val="bottom"/>
          </w:tcPr>
          <w:p w14:paraId="2DE38820" w14:textId="77777777" w:rsidR="008E5DE4" w:rsidRDefault="008E5DE4">
            <w:pPr>
              <w:widowControl w:val="0"/>
              <w:ind w:left="-57" w:right="-57"/>
              <w:jc w:val="center"/>
            </w:pPr>
          </w:p>
        </w:tc>
        <w:tc>
          <w:tcPr>
            <w:tcW w:w="1559" w:type="dxa"/>
            <w:vAlign w:val="bottom"/>
          </w:tcPr>
          <w:p w14:paraId="0CEA0C1E" w14:textId="77777777" w:rsidR="008E5DE4" w:rsidRDefault="008E5DE4">
            <w:pPr>
              <w:widowControl w:val="0"/>
              <w:jc w:val="right"/>
            </w:pPr>
          </w:p>
        </w:tc>
        <w:tc>
          <w:tcPr>
            <w:tcW w:w="1474" w:type="dxa"/>
            <w:vAlign w:val="bottom"/>
          </w:tcPr>
          <w:p w14:paraId="09DFA23C" w14:textId="77777777" w:rsidR="008E5DE4" w:rsidRDefault="008E5DE4">
            <w:pPr>
              <w:widowControl w:val="0"/>
              <w:jc w:val="right"/>
            </w:pPr>
          </w:p>
        </w:tc>
      </w:tr>
      <w:tr w:rsidR="008E5DE4" w14:paraId="26B0D8A1" w14:textId="77777777">
        <w:trPr>
          <w:cantSplit/>
        </w:trPr>
        <w:tc>
          <w:tcPr>
            <w:tcW w:w="5556" w:type="dxa"/>
            <w:vAlign w:val="bottom"/>
          </w:tcPr>
          <w:p w14:paraId="62FBD346" w14:textId="77777777" w:rsidR="008E5DE4" w:rsidRDefault="00780368">
            <w:pPr>
              <w:widowControl w:val="0"/>
            </w:pPr>
            <w:r>
              <w:t>Contract liabilities – customer loyalty programmes</w:t>
            </w:r>
          </w:p>
        </w:tc>
        <w:tc>
          <w:tcPr>
            <w:tcW w:w="851" w:type="dxa"/>
            <w:vAlign w:val="bottom"/>
          </w:tcPr>
          <w:p w14:paraId="71E50935" w14:textId="77777777" w:rsidR="008E5DE4" w:rsidRDefault="008E5DE4">
            <w:pPr>
              <w:widowControl w:val="0"/>
              <w:ind w:left="-57" w:right="-57"/>
              <w:jc w:val="center"/>
            </w:pPr>
          </w:p>
        </w:tc>
        <w:tc>
          <w:tcPr>
            <w:tcW w:w="1559" w:type="dxa"/>
            <w:vAlign w:val="bottom"/>
          </w:tcPr>
          <w:p w14:paraId="7A9F1BDA" w14:textId="77777777" w:rsidR="008E5DE4" w:rsidRDefault="008E5DE4">
            <w:pPr>
              <w:widowControl w:val="0"/>
              <w:jc w:val="right"/>
            </w:pPr>
          </w:p>
        </w:tc>
        <w:tc>
          <w:tcPr>
            <w:tcW w:w="1474" w:type="dxa"/>
            <w:vAlign w:val="bottom"/>
          </w:tcPr>
          <w:p w14:paraId="44FC8616" w14:textId="77777777" w:rsidR="008E5DE4" w:rsidRDefault="008E5DE4">
            <w:pPr>
              <w:widowControl w:val="0"/>
              <w:jc w:val="right"/>
            </w:pPr>
          </w:p>
        </w:tc>
      </w:tr>
      <w:tr w:rsidR="008E5DE4" w14:paraId="33F73736" w14:textId="77777777">
        <w:trPr>
          <w:cantSplit/>
        </w:trPr>
        <w:tc>
          <w:tcPr>
            <w:tcW w:w="5556" w:type="dxa"/>
            <w:vAlign w:val="bottom"/>
          </w:tcPr>
          <w:p w14:paraId="69735BC6" w14:textId="77777777" w:rsidR="008E5DE4" w:rsidRDefault="00780368">
            <w:pPr>
              <w:widowControl w:val="0"/>
            </w:pPr>
            <w:r>
              <w:t>Contract liabilities – other [to provide description]</w:t>
            </w:r>
          </w:p>
        </w:tc>
        <w:tc>
          <w:tcPr>
            <w:tcW w:w="851" w:type="dxa"/>
            <w:vAlign w:val="bottom"/>
          </w:tcPr>
          <w:p w14:paraId="0994991E" w14:textId="77777777" w:rsidR="008E5DE4" w:rsidRDefault="008E5DE4">
            <w:pPr>
              <w:widowControl w:val="0"/>
              <w:ind w:left="-57" w:right="-57"/>
              <w:jc w:val="center"/>
            </w:pPr>
          </w:p>
        </w:tc>
        <w:tc>
          <w:tcPr>
            <w:tcW w:w="1559" w:type="dxa"/>
            <w:vAlign w:val="bottom"/>
          </w:tcPr>
          <w:p w14:paraId="24C2D3BD" w14:textId="77777777" w:rsidR="008E5DE4" w:rsidRDefault="008E5DE4">
            <w:pPr>
              <w:widowControl w:val="0"/>
              <w:jc w:val="right"/>
            </w:pPr>
          </w:p>
        </w:tc>
        <w:tc>
          <w:tcPr>
            <w:tcW w:w="1474" w:type="dxa"/>
            <w:vAlign w:val="bottom"/>
          </w:tcPr>
          <w:p w14:paraId="6141CA35" w14:textId="77777777" w:rsidR="008E5DE4" w:rsidRDefault="008E5DE4">
            <w:pPr>
              <w:widowControl w:val="0"/>
              <w:jc w:val="right"/>
            </w:pPr>
          </w:p>
        </w:tc>
      </w:tr>
      <w:tr w:rsidR="008E5DE4" w14:paraId="6A8B9CBE" w14:textId="77777777">
        <w:trPr>
          <w:cantSplit/>
        </w:trPr>
        <w:tc>
          <w:tcPr>
            <w:tcW w:w="5556" w:type="dxa"/>
            <w:vAlign w:val="bottom"/>
          </w:tcPr>
          <w:p w14:paraId="2E0DD1EF" w14:textId="77777777" w:rsidR="008E5DE4" w:rsidRDefault="008E5DE4">
            <w:pPr>
              <w:widowControl w:val="0"/>
            </w:pPr>
          </w:p>
        </w:tc>
        <w:tc>
          <w:tcPr>
            <w:tcW w:w="851" w:type="dxa"/>
            <w:vAlign w:val="bottom"/>
          </w:tcPr>
          <w:p w14:paraId="633B83F5" w14:textId="77777777" w:rsidR="008E5DE4" w:rsidRDefault="008E5DE4">
            <w:pPr>
              <w:widowControl w:val="0"/>
              <w:ind w:left="-57" w:right="-57"/>
              <w:jc w:val="center"/>
            </w:pPr>
          </w:p>
        </w:tc>
        <w:tc>
          <w:tcPr>
            <w:tcW w:w="1559" w:type="dxa"/>
            <w:vAlign w:val="bottom"/>
          </w:tcPr>
          <w:p w14:paraId="7D422870" w14:textId="77777777" w:rsidR="008E5DE4" w:rsidRDefault="008E5DE4">
            <w:pPr>
              <w:widowControl w:val="0"/>
              <w:jc w:val="right"/>
            </w:pPr>
          </w:p>
        </w:tc>
        <w:tc>
          <w:tcPr>
            <w:tcW w:w="1474" w:type="dxa"/>
            <w:vAlign w:val="bottom"/>
          </w:tcPr>
          <w:p w14:paraId="6E165A1A" w14:textId="77777777" w:rsidR="008E5DE4" w:rsidRDefault="008E5DE4">
            <w:pPr>
              <w:widowControl w:val="0"/>
              <w:jc w:val="right"/>
            </w:pPr>
          </w:p>
        </w:tc>
      </w:tr>
      <w:tr w:rsidR="008E5DE4" w14:paraId="7E93DEB0" w14:textId="77777777">
        <w:trPr>
          <w:cantSplit/>
        </w:trPr>
        <w:tc>
          <w:tcPr>
            <w:tcW w:w="5556" w:type="dxa"/>
            <w:tcBorders>
              <w:top w:val="single" w:sz="4" w:space="0" w:color="000000"/>
            </w:tcBorders>
            <w:vAlign w:val="bottom"/>
          </w:tcPr>
          <w:p w14:paraId="09090443" w14:textId="77777777" w:rsidR="008E5DE4" w:rsidRDefault="00780368">
            <w:pPr>
              <w:widowControl w:val="0"/>
              <w:rPr>
                <w:b/>
              </w:rPr>
            </w:pPr>
            <w:r>
              <w:rPr>
                <w:b/>
              </w:rPr>
              <w:t> </w:t>
            </w:r>
          </w:p>
        </w:tc>
        <w:tc>
          <w:tcPr>
            <w:tcW w:w="851" w:type="dxa"/>
            <w:tcBorders>
              <w:top w:val="single" w:sz="4" w:space="0" w:color="000000"/>
            </w:tcBorders>
            <w:vAlign w:val="bottom"/>
          </w:tcPr>
          <w:p w14:paraId="39F52CA5" w14:textId="77777777" w:rsidR="008E5DE4" w:rsidRDefault="008E5DE4">
            <w:pPr>
              <w:widowControl w:val="0"/>
              <w:ind w:left="-57" w:right="-57"/>
              <w:jc w:val="center"/>
              <w:rPr>
                <w:b/>
              </w:rPr>
            </w:pPr>
          </w:p>
        </w:tc>
        <w:tc>
          <w:tcPr>
            <w:tcW w:w="1559" w:type="dxa"/>
            <w:tcBorders>
              <w:top w:val="single" w:sz="4" w:space="0" w:color="000000"/>
            </w:tcBorders>
            <w:vAlign w:val="bottom"/>
          </w:tcPr>
          <w:p w14:paraId="0DBE9986" w14:textId="77777777" w:rsidR="008E5DE4" w:rsidRDefault="008E5DE4">
            <w:pPr>
              <w:widowControl w:val="0"/>
              <w:jc w:val="right"/>
              <w:rPr>
                <w:b/>
              </w:rPr>
            </w:pPr>
          </w:p>
        </w:tc>
        <w:tc>
          <w:tcPr>
            <w:tcW w:w="1474" w:type="dxa"/>
            <w:tcBorders>
              <w:top w:val="single" w:sz="4" w:space="0" w:color="000000"/>
            </w:tcBorders>
            <w:vAlign w:val="bottom"/>
          </w:tcPr>
          <w:p w14:paraId="64146C84" w14:textId="77777777" w:rsidR="008E5DE4" w:rsidRDefault="008E5DE4">
            <w:pPr>
              <w:widowControl w:val="0"/>
              <w:jc w:val="right"/>
              <w:rPr>
                <w:b/>
              </w:rPr>
            </w:pPr>
          </w:p>
        </w:tc>
      </w:tr>
      <w:tr w:rsidR="008E5DE4" w14:paraId="5984E0F6" w14:textId="77777777">
        <w:trPr>
          <w:cantSplit/>
        </w:trPr>
        <w:tc>
          <w:tcPr>
            <w:tcW w:w="5556" w:type="dxa"/>
            <w:vAlign w:val="bottom"/>
          </w:tcPr>
          <w:p w14:paraId="09D304DF" w14:textId="77777777" w:rsidR="008E5DE4" w:rsidRDefault="00780368">
            <w:pPr>
              <w:widowControl w:val="0"/>
              <w:rPr>
                <w:b/>
              </w:rPr>
            </w:pPr>
            <w:r>
              <w:rPr>
                <w:b/>
              </w:rPr>
              <w:t>Total current contract liabilities</w:t>
            </w:r>
          </w:p>
        </w:tc>
        <w:tc>
          <w:tcPr>
            <w:tcW w:w="851" w:type="dxa"/>
            <w:vAlign w:val="bottom"/>
          </w:tcPr>
          <w:p w14:paraId="7F6E8718" w14:textId="77777777" w:rsidR="008E5DE4" w:rsidRDefault="008E5DE4">
            <w:pPr>
              <w:widowControl w:val="0"/>
              <w:ind w:left="-57" w:right="-57"/>
              <w:jc w:val="center"/>
              <w:rPr>
                <w:b/>
              </w:rPr>
            </w:pPr>
          </w:p>
        </w:tc>
        <w:tc>
          <w:tcPr>
            <w:tcW w:w="1559" w:type="dxa"/>
            <w:vAlign w:val="bottom"/>
          </w:tcPr>
          <w:p w14:paraId="4E41AABD" w14:textId="77777777" w:rsidR="008E5DE4" w:rsidRDefault="008E5DE4">
            <w:pPr>
              <w:widowControl w:val="0"/>
              <w:jc w:val="right"/>
              <w:rPr>
                <w:b/>
              </w:rPr>
            </w:pPr>
          </w:p>
        </w:tc>
        <w:tc>
          <w:tcPr>
            <w:tcW w:w="1474" w:type="dxa"/>
            <w:vAlign w:val="bottom"/>
          </w:tcPr>
          <w:p w14:paraId="483FFACA" w14:textId="77777777" w:rsidR="008E5DE4" w:rsidRDefault="008E5DE4">
            <w:pPr>
              <w:widowControl w:val="0"/>
              <w:jc w:val="right"/>
              <w:rPr>
                <w:b/>
              </w:rPr>
            </w:pPr>
          </w:p>
        </w:tc>
      </w:tr>
      <w:tr w:rsidR="008E5DE4" w14:paraId="6DA46C13" w14:textId="77777777">
        <w:trPr>
          <w:cantSplit/>
        </w:trPr>
        <w:tc>
          <w:tcPr>
            <w:tcW w:w="5556" w:type="dxa"/>
            <w:tcBorders>
              <w:bottom w:val="single" w:sz="12" w:space="0" w:color="000000"/>
            </w:tcBorders>
            <w:vAlign w:val="bottom"/>
          </w:tcPr>
          <w:p w14:paraId="59B72571" w14:textId="77777777" w:rsidR="008E5DE4" w:rsidRDefault="00780368">
            <w:pPr>
              <w:widowControl w:val="0"/>
              <w:rPr>
                <w:b/>
              </w:rPr>
            </w:pPr>
            <w:r>
              <w:rPr>
                <w:b/>
              </w:rPr>
              <w:t> </w:t>
            </w:r>
          </w:p>
        </w:tc>
        <w:tc>
          <w:tcPr>
            <w:tcW w:w="851" w:type="dxa"/>
            <w:tcBorders>
              <w:bottom w:val="single" w:sz="12" w:space="0" w:color="000000"/>
            </w:tcBorders>
            <w:vAlign w:val="bottom"/>
          </w:tcPr>
          <w:p w14:paraId="6224455A" w14:textId="77777777" w:rsidR="008E5DE4" w:rsidRDefault="008E5DE4">
            <w:pPr>
              <w:widowControl w:val="0"/>
              <w:ind w:left="-57" w:right="-57"/>
              <w:jc w:val="center"/>
              <w:rPr>
                <w:b/>
              </w:rPr>
            </w:pPr>
          </w:p>
        </w:tc>
        <w:tc>
          <w:tcPr>
            <w:tcW w:w="1559" w:type="dxa"/>
            <w:tcBorders>
              <w:bottom w:val="single" w:sz="12" w:space="0" w:color="000000"/>
            </w:tcBorders>
            <w:vAlign w:val="bottom"/>
          </w:tcPr>
          <w:p w14:paraId="24857DB7" w14:textId="77777777" w:rsidR="008E5DE4" w:rsidRDefault="008E5DE4">
            <w:pPr>
              <w:widowControl w:val="0"/>
              <w:jc w:val="right"/>
              <w:rPr>
                <w:b/>
              </w:rPr>
            </w:pPr>
          </w:p>
        </w:tc>
        <w:tc>
          <w:tcPr>
            <w:tcW w:w="1474" w:type="dxa"/>
            <w:tcBorders>
              <w:bottom w:val="single" w:sz="12" w:space="0" w:color="000000"/>
            </w:tcBorders>
            <w:vAlign w:val="bottom"/>
          </w:tcPr>
          <w:p w14:paraId="30349E2A" w14:textId="77777777" w:rsidR="008E5DE4" w:rsidRDefault="008E5DE4">
            <w:pPr>
              <w:widowControl w:val="0"/>
              <w:jc w:val="right"/>
              <w:rPr>
                <w:b/>
              </w:rPr>
            </w:pPr>
          </w:p>
        </w:tc>
      </w:tr>
    </w:tbl>
    <w:p w14:paraId="57D3054B" w14:textId="5452A6C3" w:rsidR="008E5DE4" w:rsidRDefault="00780368">
      <w:pPr>
        <w:pBdr>
          <w:top w:val="nil"/>
          <w:left w:val="nil"/>
          <w:bottom w:val="nil"/>
          <w:right w:val="nil"/>
          <w:between w:val="nil"/>
        </w:pBdr>
        <w:spacing w:before="200" w:after="200"/>
        <w:jc w:val="both"/>
        <w:rPr>
          <w:color w:val="3820EC"/>
          <w:sz w:val="20"/>
          <w:szCs w:val="20"/>
        </w:rPr>
      </w:pPr>
      <w:r>
        <w:rPr>
          <w:color w:val="3820EC"/>
          <w:sz w:val="20"/>
          <w:szCs w:val="20"/>
        </w:rPr>
        <w:t>[</w:t>
      </w:r>
      <w:proofErr w:type="gramStart"/>
      <w:r>
        <w:rPr>
          <w:color w:val="3820EC"/>
          <w:sz w:val="20"/>
          <w:szCs w:val="20"/>
        </w:rPr>
        <w:t>At</w:t>
      </w:r>
      <w:proofErr w:type="gramEnd"/>
      <w:r>
        <w:rPr>
          <w:color w:val="3820EC"/>
          <w:sz w:val="20"/>
          <w:szCs w:val="20"/>
        </w:rPr>
        <w:t xml:space="preserve"> 31 December </w:t>
      </w:r>
      <w:r w:rsidR="008614F8">
        <w:rPr>
          <w:color w:val="3820EC"/>
          <w:sz w:val="20"/>
          <w:szCs w:val="20"/>
        </w:rPr>
        <w:t>2025</w:t>
      </w:r>
      <w:r>
        <w:rPr>
          <w:color w:val="3820EC"/>
          <w:sz w:val="20"/>
          <w:szCs w:val="20"/>
        </w:rPr>
        <w:t xml:space="preserve"> the Group recognised EUR___ </w:t>
      </w:r>
      <w:proofErr w:type="spellStart"/>
      <w:r>
        <w:rPr>
          <w:color w:val="3820EC"/>
          <w:sz w:val="20"/>
          <w:szCs w:val="20"/>
        </w:rPr>
        <w:t>thousand</w:t>
      </w:r>
      <w:proofErr w:type="spellEnd"/>
      <w:r>
        <w:rPr>
          <w:color w:val="3820EC"/>
          <w:sz w:val="20"/>
          <w:szCs w:val="20"/>
        </w:rPr>
        <w:t xml:space="preserve"> of contract asset</w:t>
      </w:r>
      <w:r>
        <w:rPr>
          <w:color w:val="000000"/>
          <w:sz w:val="20"/>
          <w:szCs w:val="20"/>
        </w:rPr>
        <w:t xml:space="preserve"> </w:t>
      </w:r>
      <w:r>
        <w:rPr>
          <w:color w:val="3820EC"/>
          <w:sz w:val="20"/>
          <w:szCs w:val="20"/>
        </w:rPr>
        <w:t>net of impairment loss provisions in respect of the following contracts: [….] (</w:t>
      </w:r>
      <w:proofErr w:type="gramStart"/>
      <w:r>
        <w:rPr>
          <w:color w:val="3820EC"/>
          <w:sz w:val="20"/>
          <w:szCs w:val="20"/>
        </w:rPr>
        <w:t>at</w:t>
      </w:r>
      <w:proofErr w:type="gramEnd"/>
      <w:r>
        <w:rPr>
          <w:color w:val="3820EC"/>
          <w:sz w:val="20"/>
          <w:szCs w:val="20"/>
        </w:rPr>
        <w:t xml:space="preserve"> 31 December </w:t>
      </w:r>
      <w:r w:rsidR="00FF468A">
        <w:rPr>
          <w:color w:val="3820EC"/>
          <w:sz w:val="20"/>
          <w:szCs w:val="20"/>
        </w:rPr>
        <w:t>2024</w:t>
      </w:r>
      <w:r>
        <w:rPr>
          <w:color w:val="3820EC"/>
          <w:sz w:val="20"/>
          <w:szCs w:val="20"/>
        </w:rPr>
        <w:t>:</w:t>
      </w:r>
      <w:r w:rsidR="00181448">
        <w:rPr>
          <w:color w:val="3820EC"/>
          <w:sz w:val="20"/>
          <w:szCs w:val="20"/>
        </w:rPr>
        <w:t xml:space="preserve"> </w:t>
      </w:r>
      <w:proofErr w:type="spellStart"/>
      <w:r>
        <w:rPr>
          <w:color w:val="3820EC"/>
          <w:sz w:val="20"/>
          <w:szCs w:val="20"/>
        </w:rPr>
        <w:t>EUR___thousand</w:t>
      </w:r>
      <w:proofErr w:type="spellEnd"/>
      <w:r>
        <w:rPr>
          <w:color w:val="3820EC"/>
          <w:sz w:val="20"/>
          <w:szCs w:val="20"/>
        </w:rPr>
        <w:t>).]</w:t>
      </w:r>
    </w:p>
    <w:p w14:paraId="557EF9C4" w14:textId="77777777" w:rsidR="008E5DE4" w:rsidRDefault="00780368">
      <w:pPr>
        <w:spacing w:before="200" w:after="200"/>
        <w:jc w:val="both"/>
        <w:rPr>
          <w:sz w:val="20"/>
          <w:szCs w:val="20"/>
        </w:rPr>
      </w:pPr>
      <w:r>
        <w:rPr>
          <w:sz w:val="20"/>
          <w:szCs w:val="20"/>
        </w:rPr>
        <w:t>The Group applies the IFRS 9 simplified approach to measuring expected credit losses which uses a lifetime expected loss allowance for contract assets. To measure the expected credit losses, contract assets have been grouped based on shared credit risk characteristics and the days outstanding as unbilled. The contract assets relate to unbilled work in progress and have substantially similar risk characteristics as the trade receivables for the same types of contracts. However, the longer the contract asset is outstanding the higher is the increased risk that it will not be collected.</w:t>
      </w:r>
    </w:p>
    <w:p w14:paraId="0340C726" w14:textId="77777777" w:rsidR="008E5DE4" w:rsidRDefault="00780368">
      <w:pPr>
        <w:pageBreakBefore/>
        <w:pBdr>
          <w:top w:val="nil"/>
          <w:left w:val="nil"/>
          <w:bottom w:val="nil"/>
          <w:right w:val="nil"/>
          <w:between w:val="nil"/>
        </w:pBdr>
        <w:spacing w:after="240"/>
        <w:ind w:left="567" w:hanging="567"/>
        <w:jc w:val="both"/>
        <w:rPr>
          <w:b/>
          <w:i/>
          <w:color w:val="0000FF"/>
          <w:sz w:val="20"/>
          <w:szCs w:val="20"/>
        </w:rPr>
      </w:pPr>
      <w:r>
        <w:rPr>
          <w:b/>
          <w:color w:val="000000"/>
          <w:sz w:val="20"/>
          <w:szCs w:val="20"/>
        </w:rPr>
        <w:lastRenderedPageBreak/>
        <w:t>21</w:t>
      </w:r>
      <w:r>
        <w:rPr>
          <w:b/>
          <w:color w:val="000000"/>
          <w:sz w:val="20"/>
          <w:szCs w:val="20"/>
        </w:rPr>
        <w:tab/>
        <w:t>Assets and Liabilities Arising from Contracts with Customers (Continued)</w:t>
      </w:r>
    </w:p>
    <w:p w14:paraId="6724A257" w14:textId="6ED1AD8F" w:rsidR="008E5DE4" w:rsidRDefault="00780368">
      <w:pPr>
        <w:spacing w:before="200" w:after="200"/>
        <w:jc w:val="both"/>
        <w:rPr>
          <w:sz w:val="20"/>
          <w:szCs w:val="20"/>
        </w:rPr>
      </w:pPr>
      <w:r>
        <w:rPr>
          <w:sz w:val="20"/>
          <w:szCs w:val="20"/>
        </w:rPr>
        <w:t xml:space="preserve">The expected loss rates are based on the past data collected over a period of 36 month (31 December </w:t>
      </w:r>
      <w:r w:rsidR="00FF468A">
        <w:rPr>
          <w:sz w:val="20"/>
          <w:szCs w:val="20"/>
        </w:rPr>
        <w:t>2024</w:t>
      </w:r>
      <w:r>
        <w:rPr>
          <w:sz w:val="20"/>
          <w:szCs w:val="20"/>
        </w:rPr>
        <w:t xml:space="preserve">: 36 months) prior to the end of the reporting period and the corresponding historical losses experienced within this period. The historical loss rates are adjusted to reflect current and forward-looking information on macroeconomic factors affecting the ability of the customers to settle the receivables. The Group has identified </w:t>
      </w:r>
      <w:r>
        <w:rPr>
          <w:color w:val="0000FF"/>
          <w:sz w:val="20"/>
          <w:szCs w:val="20"/>
        </w:rPr>
        <w:t>[the gross domestic product and the unemployment rate]</w:t>
      </w:r>
      <w:r>
        <w:rPr>
          <w:sz w:val="20"/>
          <w:szCs w:val="20"/>
        </w:rPr>
        <w:t xml:space="preserve"> of the countries in which it sells its goods and services to be the most relevant </w:t>
      </w:r>
      <w:proofErr w:type="gramStart"/>
      <w:r>
        <w:rPr>
          <w:sz w:val="20"/>
          <w:szCs w:val="20"/>
        </w:rPr>
        <w:t>indicators, and</w:t>
      </w:r>
      <w:proofErr w:type="gramEnd"/>
      <w:r>
        <w:rPr>
          <w:sz w:val="20"/>
          <w:szCs w:val="20"/>
        </w:rPr>
        <w:t xml:space="preserve"> accordingly adjusts the historical loss rates based on expected changes in these variables.</w:t>
      </w:r>
    </w:p>
    <w:p w14:paraId="0374E3E4" w14:textId="77777777" w:rsidR="008E5DE4" w:rsidRDefault="00780368">
      <w:pPr>
        <w:spacing w:before="200" w:after="200"/>
        <w:jc w:val="both"/>
      </w:pPr>
      <w:r>
        <w:rPr>
          <w:sz w:val="20"/>
          <w:szCs w:val="20"/>
        </w:rPr>
        <w:t>The credit loss allowance for contract assets is determined according to provision matrix presented in the table below.</w:t>
      </w:r>
    </w:p>
    <w:tbl>
      <w:tblPr>
        <w:tblStyle w:val="affffff2"/>
        <w:tblW w:w="9355" w:type="dxa"/>
        <w:tblLayout w:type="fixed"/>
        <w:tblLook w:val="0000" w:firstRow="0" w:lastRow="0" w:firstColumn="0" w:lastColumn="0" w:noHBand="0" w:noVBand="0"/>
      </w:tblPr>
      <w:tblGrid>
        <w:gridCol w:w="2551"/>
        <w:gridCol w:w="567"/>
        <w:gridCol w:w="992"/>
        <w:gridCol w:w="992"/>
        <w:gridCol w:w="851"/>
        <w:gridCol w:w="568"/>
        <w:gridCol w:w="992"/>
        <w:gridCol w:w="992"/>
        <w:gridCol w:w="850"/>
      </w:tblGrid>
      <w:tr w:rsidR="008E5DE4" w14:paraId="3EEF9950" w14:textId="77777777">
        <w:trPr>
          <w:cantSplit/>
        </w:trPr>
        <w:tc>
          <w:tcPr>
            <w:tcW w:w="2551" w:type="dxa"/>
            <w:vAlign w:val="bottom"/>
          </w:tcPr>
          <w:p w14:paraId="365744BF" w14:textId="77777777" w:rsidR="008E5DE4" w:rsidRDefault="008E5DE4">
            <w:pPr>
              <w:widowControl w:val="0"/>
              <w:pBdr>
                <w:top w:val="nil"/>
                <w:left w:val="nil"/>
                <w:bottom w:val="nil"/>
                <w:right w:val="nil"/>
                <w:between w:val="nil"/>
              </w:pBdr>
              <w:rPr>
                <w:i/>
                <w:color w:val="000000"/>
              </w:rPr>
            </w:pPr>
          </w:p>
        </w:tc>
        <w:tc>
          <w:tcPr>
            <w:tcW w:w="3402" w:type="dxa"/>
            <w:gridSpan w:val="4"/>
            <w:tcBorders>
              <w:bottom w:val="single" w:sz="4" w:space="0" w:color="000000"/>
            </w:tcBorders>
          </w:tcPr>
          <w:p w14:paraId="4CF51F97" w14:textId="71A7BE5A" w:rsidR="008E5DE4" w:rsidRDefault="00780368">
            <w:pPr>
              <w:widowControl w:val="0"/>
              <w:pBdr>
                <w:top w:val="nil"/>
                <w:left w:val="nil"/>
                <w:bottom w:val="nil"/>
                <w:right w:val="nil"/>
                <w:between w:val="nil"/>
              </w:pBdr>
              <w:ind w:left="-113"/>
              <w:jc w:val="center"/>
              <w:rPr>
                <w:b/>
                <w:color w:val="000000"/>
              </w:rPr>
            </w:pPr>
            <w:r>
              <w:rPr>
                <w:b/>
                <w:color w:val="000000"/>
              </w:rPr>
              <w:t xml:space="preserve">31 December </w:t>
            </w:r>
            <w:r w:rsidR="008614F8">
              <w:rPr>
                <w:b/>
                <w:color w:val="000000"/>
              </w:rPr>
              <w:t>2025</w:t>
            </w:r>
          </w:p>
        </w:tc>
        <w:tc>
          <w:tcPr>
            <w:tcW w:w="3402" w:type="dxa"/>
            <w:gridSpan w:val="4"/>
            <w:tcBorders>
              <w:bottom w:val="single" w:sz="4" w:space="0" w:color="000000"/>
            </w:tcBorders>
          </w:tcPr>
          <w:p w14:paraId="72C9B347" w14:textId="35286638" w:rsidR="008E5DE4" w:rsidRDefault="00780368">
            <w:pPr>
              <w:widowControl w:val="0"/>
              <w:pBdr>
                <w:top w:val="nil"/>
                <w:left w:val="nil"/>
                <w:bottom w:val="nil"/>
                <w:right w:val="nil"/>
                <w:between w:val="nil"/>
              </w:pBdr>
              <w:ind w:left="-113"/>
              <w:jc w:val="center"/>
              <w:rPr>
                <w:b/>
                <w:color w:val="000000"/>
              </w:rPr>
            </w:pPr>
            <w:r>
              <w:rPr>
                <w:b/>
                <w:color w:val="000000"/>
              </w:rPr>
              <w:t xml:space="preserve">31 December </w:t>
            </w:r>
            <w:r w:rsidR="00FF468A">
              <w:rPr>
                <w:b/>
                <w:color w:val="000000"/>
              </w:rPr>
              <w:t>2024</w:t>
            </w:r>
          </w:p>
        </w:tc>
      </w:tr>
      <w:tr w:rsidR="008E5DE4" w14:paraId="1377F7FB" w14:textId="77777777">
        <w:trPr>
          <w:cantSplit/>
        </w:trPr>
        <w:tc>
          <w:tcPr>
            <w:tcW w:w="2551" w:type="dxa"/>
            <w:tcBorders>
              <w:bottom w:val="single" w:sz="4" w:space="0" w:color="000000"/>
            </w:tcBorders>
            <w:vAlign w:val="bottom"/>
          </w:tcPr>
          <w:p w14:paraId="08D968E8" w14:textId="77777777" w:rsidR="008E5DE4" w:rsidRDefault="00780368">
            <w:pPr>
              <w:widowControl w:val="0"/>
              <w:pBdr>
                <w:top w:val="nil"/>
                <w:left w:val="nil"/>
                <w:bottom w:val="nil"/>
                <w:right w:val="nil"/>
                <w:between w:val="nil"/>
              </w:pBdr>
              <w:rPr>
                <w:i/>
                <w:color w:val="000000"/>
              </w:rPr>
            </w:pPr>
            <w:r>
              <w:rPr>
                <w:i/>
                <w:color w:val="000000"/>
              </w:rPr>
              <w:t xml:space="preserve">In % of gross value </w:t>
            </w:r>
          </w:p>
          <w:p w14:paraId="179A53C4"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567" w:type="dxa"/>
            <w:tcBorders>
              <w:bottom w:val="single" w:sz="4" w:space="0" w:color="000000"/>
            </w:tcBorders>
          </w:tcPr>
          <w:p w14:paraId="168C449F"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Loss </w:t>
            </w:r>
          </w:p>
          <w:p w14:paraId="1E314701" w14:textId="77777777" w:rsidR="008E5DE4" w:rsidRDefault="00780368">
            <w:pPr>
              <w:widowControl w:val="0"/>
              <w:pBdr>
                <w:top w:val="nil"/>
                <w:left w:val="nil"/>
                <w:bottom w:val="nil"/>
                <w:right w:val="nil"/>
                <w:between w:val="nil"/>
              </w:pBdr>
              <w:ind w:left="-113"/>
              <w:jc w:val="right"/>
              <w:rPr>
                <w:b/>
                <w:color w:val="000000"/>
              </w:rPr>
            </w:pPr>
            <w:r>
              <w:rPr>
                <w:b/>
                <w:color w:val="000000"/>
              </w:rPr>
              <w:t>Rate</w:t>
            </w:r>
          </w:p>
        </w:tc>
        <w:tc>
          <w:tcPr>
            <w:tcW w:w="992" w:type="dxa"/>
            <w:tcBorders>
              <w:bottom w:val="single" w:sz="4" w:space="0" w:color="000000"/>
            </w:tcBorders>
          </w:tcPr>
          <w:p w14:paraId="637DB087" w14:textId="77777777" w:rsidR="008E5DE4" w:rsidRDefault="00780368">
            <w:pPr>
              <w:widowControl w:val="0"/>
              <w:pBdr>
                <w:top w:val="nil"/>
                <w:left w:val="nil"/>
                <w:bottom w:val="nil"/>
                <w:right w:val="nil"/>
                <w:between w:val="nil"/>
              </w:pBdr>
              <w:ind w:left="-113"/>
              <w:jc w:val="right"/>
              <w:rPr>
                <w:b/>
                <w:color w:val="000000"/>
              </w:rPr>
            </w:pPr>
            <w:r>
              <w:rPr>
                <w:b/>
                <w:color w:val="000000"/>
              </w:rPr>
              <w:t>Gross</w:t>
            </w:r>
          </w:p>
          <w:p w14:paraId="67EA099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w:t>
            </w:r>
          </w:p>
          <w:p w14:paraId="187F3BA1" w14:textId="77777777" w:rsidR="008E5DE4" w:rsidRDefault="00780368">
            <w:pPr>
              <w:widowControl w:val="0"/>
              <w:pBdr>
                <w:top w:val="nil"/>
                <w:left w:val="nil"/>
                <w:bottom w:val="nil"/>
                <w:right w:val="nil"/>
                <w:between w:val="nil"/>
              </w:pBdr>
              <w:ind w:left="-113"/>
              <w:jc w:val="right"/>
              <w:rPr>
                <w:b/>
                <w:color w:val="000000"/>
              </w:rPr>
            </w:pPr>
            <w:r>
              <w:rPr>
                <w:b/>
                <w:color w:val="000000"/>
              </w:rPr>
              <w:t>amount</w:t>
            </w:r>
          </w:p>
        </w:tc>
        <w:tc>
          <w:tcPr>
            <w:tcW w:w="992" w:type="dxa"/>
            <w:tcBorders>
              <w:bottom w:val="single" w:sz="4" w:space="0" w:color="000000"/>
            </w:tcBorders>
          </w:tcPr>
          <w:p w14:paraId="641F4B6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w:t>
            </w:r>
          </w:p>
          <w:p w14:paraId="1F9DA0C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ECL </w:t>
            </w:r>
          </w:p>
        </w:tc>
        <w:tc>
          <w:tcPr>
            <w:tcW w:w="851" w:type="dxa"/>
            <w:tcBorders>
              <w:bottom w:val="single" w:sz="4" w:space="0" w:color="000000"/>
            </w:tcBorders>
          </w:tcPr>
          <w:p w14:paraId="7D2E3973" w14:textId="77777777" w:rsidR="008E5DE4" w:rsidRDefault="00780368">
            <w:pPr>
              <w:widowControl w:val="0"/>
              <w:pBdr>
                <w:top w:val="nil"/>
                <w:left w:val="nil"/>
                <w:bottom w:val="nil"/>
                <w:right w:val="nil"/>
                <w:between w:val="nil"/>
              </w:pBdr>
              <w:ind w:left="-113"/>
              <w:jc w:val="right"/>
              <w:rPr>
                <w:b/>
                <w:color w:val="000000"/>
              </w:rPr>
            </w:pPr>
            <w:r>
              <w:rPr>
                <w:b/>
                <w:color w:val="000000"/>
              </w:rPr>
              <w:t>Net carrying value</w:t>
            </w:r>
          </w:p>
        </w:tc>
        <w:tc>
          <w:tcPr>
            <w:tcW w:w="568" w:type="dxa"/>
            <w:tcBorders>
              <w:bottom w:val="single" w:sz="4" w:space="0" w:color="000000"/>
            </w:tcBorders>
          </w:tcPr>
          <w:p w14:paraId="715EE956"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Loss </w:t>
            </w:r>
          </w:p>
          <w:p w14:paraId="612A6C1F" w14:textId="77777777" w:rsidR="008E5DE4" w:rsidRDefault="00780368">
            <w:pPr>
              <w:widowControl w:val="0"/>
              <w:pBdr>
                <w:top w:val="nil"/>
                <w:left w:val="nil"/>
                <w:bottom w:val="nil"/>
                <w:right w:val="nil"/>
                <w:between w:val="nil"/>
              </w:pBdr>
              <w:ind w:left="-113"/>
              <w:jc w:val="right"/>
              <w:rPr>
                <w:b/>
                <w:color w:val="000000"/>
              </w:rPr>
            </w:pPr>
            <w:r>
              <w:rPr>
                <w:b/>
                <w:color w:val="000000"/>
              </w:rPr>
              <w:t>rate</w:t>
            </w:r>
          </w:p>
        </w:tc>
        <w:tc>
          <w:tcPr>
            <w:tcW w:w="992" w:type="dxa"/>
            <w:tcBorders>
              <w:bottom w:val="single" w:sz="4" w:space="0" w:color="000000"/>
            </w:tcBorders>
          </w:tcPr>
          <w:p w14:paraId="3382C00C" w14:textId="77777777" w:rsidR="008E5DE4" w:rsidRDefault="00780368">
            <w:pPr>
              <w:widowControl w:val="0"/>
              <w:pBdr>
                <w:top w:val="nil"/>
                <w:left w:val="nil"/>
                <w:bottom w:val="nil"/>
                <w:right w:val="nil"/>
                <w:between w:val="nil"/>
              </w:pBdr>
              <w:ind w:left="-113"/>
              <w:jc w:val="right"/>
              <w:rPr>
                <w:b/>
                <w:color w:val="000000"/>
              </w:rPr>
            </w:pPr>
            <w:r>
              <w:rPr>
                <w:b/>
                <w:color w:val="000000"/>
              </w:rPr>
              <w:t>Gross</w:t>
            </w:r>
          </w:p>
          <w:p w14:paraId="3A0E5D95"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carrying </w:t>
            </w:r>
          </w:p>
          <w:p w14:paraId="5428F312" w14:textId="77777777" w:rsidR="008E5DE4" w:rsidRDefault="00780368">
            <w:pPr>
              <w:widowControl w:val="0"/>
              <w:pBdr>
                <w:top w:val="nil"/>
                <w:left w:val="nil"/>
                <w:bottom w:val="nil"/>
                <w:right w:val="nil"/>
                <w:between w:val="nil"/>
              </w:pBdr>
              <w:ind w:left="-113"/>
              <w:jc w:val="right"/>
              <w:rPr>
                <w:b/>
                <w:color w:val="000000"/>
              </w:rPr>
            </w:pPr>
            <w:r>
              <w:rPr>
                <w:b/>
                <w:color w:val="000000"/>
              </w:rPr>
              <w:t>amount</w:t>
            </w:r>
          </w:p>
        </w:tc>
        <w:tc>
          <w:tcPr>
            <w:tcW w:w="992" w:type="dxa"/>
            <w:tcBorders>
              <w:bottom w:val="single" w:sz="4" w:space="0" w:color="000000"/>
            </w:tcBorders>
          </w:tcPr>
          <w:p w14:paraId="4201E07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w:t>
            </w:r>
          </w:p>
          <w:p w14:paraId="5D0E0B47"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ECL </w:t>
            </w:r>
          </w:p>
        </w:tc>
        <w:tc>
          <w:tcPr>
            <w:tcW w:w="850" w:type="dxa"/>
            <w:tcBorders>
              <w:bottom w:val="single" w:sz="4" w:space="0" w:color="000000"/>
            </w:tcBorders>
          </w:tcPr>
          <w:p w14:paraId="7ED383E6" w14:textId="77777777" w:rsidR="008E5DE4" w:rsidRDefault="00780368">
            <w:pPr>
              <w:widowControl w:val="0"/>
              <w:pBdr>
                <w:top w:val="nil"/>
                <w:left w:val="nil"/>
                <w:bottom w:val="nil"/>
                <w:right w:val="nil"/>
                <w:between w:val="nil"/>
              </w:pBdr>
              <w:ind w:left="-113"/>
              <w:jc w:val="right"/>
              <w:rPr>
                <w:b/>
                <w:color w:val="000000"/>
              </w:rPr>
            </w:pPr>
            <w:r>
              <w:rPr>
                <w:b/>
                <w:color w:val="000000"/>
              </w:rPr>
              <w:t>Net carrying value</w:t>
            </w:r>
          </w:p>
        </w:tc>
      </w:tr>
      <w:tr w:rsidR="008E5DE4" w14:paraId="6D14F2DC" w14:textId="77777777">
        <w:trPr>
          <w:cantSplit/>
        </w:trPr>
        <w:tc>
          <w:tcPr>
            <w:tcW w:w="2551" w:type="dxa"/>
            <w:tcBorders>
              <w:top w:val="single" w:sz="4" w:space="0" w:color="000000"/>
            </w:tcBorders>
            <w:vAlign w:val="bottom"/>
          </w:tcPr>
          <w:p w14:paraId="7C712189" w14:textId="77777777" w:rsidR="008E5DE4" w:rsidRDefault="00780368">
            <w:pPr>
              <w:widowControl w:val="0"/>
              <w:pBdr>
                <w:top w:val="nil"/>
                <w:left w:val="nil"/>
                <w:bottom w:val="nil"/>
                <w:right w:val="nil"/>
                <w:between w:val="nil"/>
              </w:pBdr>
              <w:rPr>
                <w:color w:val="000000"/>
              </w:rPr>
            </w:pPr>
            <w:r>
              <w:rPr>
                <w:color w:val="000000"/>
              </w:rPr>
              <w:t> </w:t>
            </w:r>
          </w:p>
        </w:tc>
        <w:tc>
          <w:tcPr>
            <w:tcW w:w="567" w:type="dxa"/>
            <w:tcBorders>
              <w:top w:val="single" w:sz="4" w:space="0" w:color="000000"/>
            </w:tcBorders>
            <w:vAlign w:val="bottom"/>
          </w:tcPr>
          <w:p w14:paraId="1B207E4E"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489A41CA"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60DAB8D9" w14:textId="77777777" w:rsidR="008E5DE4" w:rsidRDefault="008E5DE4">
            <w:pPr>
              <w:widowControl w:val="0"/>
              <w:pBdr>
                <w:top w:val="nil"/>
                <w:left w:val="nil"/>
                <w:bottom w:val="nil"/>
                <w:right w:val="nil"/>
                <w:between w:val="nil"/>
              </w:pBdr>
              <w:jc w:val="center"/>
              <w:rPr>
                <w:color w:val="000000"/>
              </w:rPr>
            </w:pPr>
          </w:p>
        </w:tc>
        <w:tc>
          <w:tcPr>
            <w:tcW w:w="851" w:type="dxa"/>
            <w:tcBorders>
              <w:top w:val="single" w:sz="4" w:space="0" w:color="000000"/>
            </w:tcBorders>
          </w:tcPr>
          <w:p w14:paraId="41F24E33" w14:textId="77777777" w:rsidR="008E5DE4" w:rsidRDefault="008E5DE4">
            <w:pPr>
              <w:widowControl w:val="0"/>
              <w:pBdr>
                <w:top w:val="nil"/>
                <w:left w:val="nil"/>
                <w:bottom w:val="nil"/>
                <w:right w:val="nil"/>
                <w:between w:val="nil"/>
              </w:pBdr>
              <w:jc w:val="center"/>
              <w:rPr>
                <w:color w:val="000000"/>
              </w:rPr>
            </w:pPr>
          </w:p>
        </w:tc>
        <w:tc>
          <w:tcPr>
            <w:tcW w:w="568" w:type="dxa"/>
            <w:tcBorders>
              <w:top w:val="single" w:sz="4" w:space="0" w:color="000000"/>
            </w:tcBorders>
            <w:vAlign w:val="bottom"/>
          </w:tcPr>
          <w:p w14:paraId="07AECD8D"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58105796" w14:textId="77777777" w:rsidR="008E5DE4" w:rsidRDefault="008E5DE4">
            <w:pPr>
              <w:widowControl w:val="0"/>
              <w:pBdr>
                <w:top w:val="nil"/>
                <w:left w:val="nil"/>
                <w:bottom w:val="nil"/>
                <w:right w:val="nil"/>
                <w:between w:val="nil"/>
              </w:pBdr>
              <w:jc w:val="center"/>
              <w:rPr>
                <w:color w:val="000000"/>
              </w:rPr>
            </w:pPr>
          </w:p>
        </w:tc>
        <w:tc>
          <w:tcPr>
            <w:tcW w:w="992" w:type="dxa"/>
            <w:tcBorders>
              <w:top w:val="single" w:sz="4" w:space="0" w:color="000000"/>
            </w:tcBorders>
            <w:vAlign w:val="bottom"/>
          </w:tcPr>
          <w:p w14:paraId="05FD0CA2" w14:textId="77777777" w:rsidR="008E5DE4" w:rsidRDefault="008E5DE4">
            <w:pPr>
              <w:widowControl w:val="0"/>
              <w:pBdr>
                <w:top w:val="nil"/>
                <w:left w:val="nil"/>
                <w:bottom w:val="nil"/>
                <w:right w:val="nil"/>
                <w:between w:val="nil"/>
              </w:pBdr>
              <w:jc w:val="right"/>
              <w:rPr>
                <w:color w:val="000000"/>
              </w:rPr>
            </w:pPr>
          </w:p>
        </w:tc>
        <w:tc>
          <w:tcPr>
            <w:tcW w:w="850" w:type="dxa"/>
            <w:tcBorders>
              <w:top w:val="single" w:sz="4" w:space="0" w:color="000000"/>
            </w:tcBorders>
          </w:tcPr>
          <w:p w14:paraId="57DA4EFC" w14:textId="77777777" w:rsidR="008E5DE4" w:rsidRDefault="008E5DE4">
            <w:pPr>
              <w:widowControl w:val="0"/>
              <w:pBdr>
                <w:top w:val="nil"/>
                <w:left w:val="nil"/>
                <w:bottom w:val="nil"/>
                <w:right w:val="nil"/>
                <w:between w:val="nil"/>
              </w:pBdr>
              <w:jc w:val="right"/>
              <w:rPr>
                <w:color w:val="000000"/>
              </w:rPr>
            </w:pPr>
          </w:p>
        </w:tc>
      </w:tr>
      <w:tr w:rsidR="008E5DE4" w14:paraId="5C5AFE15" w14:textId="77777777">
        <w:trPr>
          <w:cantSplit/>
        </w:trPr>
        <w:tc>
          <w:tcPr>
            <w:tcW w:w="2551" w:type="dxa"/>
            <w:vAlign w:val="bottom"/>
          </w:tcPr>
          <w:p w14:paraId="57B5CF8A" w14:textId="77777777" w:rsidR="008E5DE4" w:rsidRDefault="00780368">
            <w:pPr>
              <w:widowControl w:val="0"/>
              <w:pBdr>
                <w:top w:val="nil"/>
                <w:left w:val="nil"/>
                <w:bottom w:val="nil"/>
                <w:right w:val="nil"/>
                <w:between w:val="nil"/>
              </w:pBdr>
              <w:ind w:left="227" w:hanging="227"/>
              <w:rPr>
                <w:b/>
                <w:i/>
                <w:color w:val="000000"/>
              </w:rPr>
            </w:pPr>
            <w:r>
              <w:rPr>
                <w:b/>
                <w:i/>
                <w:color w:val="000000"/>
              </w:rPr>
              <w:t>Contract assets</w:t>
            </w:r>
          </w:p>
          <w:p w14:paraId="74E7D771" w14:textId="77777777" w:rsidR="008E5DE4" w:rsidRDefault="00780368">
            <w:pPr>
              <w:widowControl w:val="0"/>
              <w:pBdr>
                <w:top w:val="nil"/>
                <w:left w:val="nil"/>
                <w:bottom w:val="nil"/>
                <w:right w:val="nil"/>
                <w:between w:val="nil"/>
              </w:pBdr>
              <w:ind w:left="227" w:hanging="227"/>
              <w:rPr>
                <w:b/>
                <w:i/>
                <w:color w:val="000000"/>
              </w:rPr>
            </w:pPr>
            <w:r>
              <w:rPr>
                <w:color w:val="0000FF"/>
              </w:rPr>
              <w:t xml:space="preserve">- </w:t>
            </w:r>
            <w:r>
              <w:rPr>
                <w:color w:val="0000FF"/>
              </w:rPr>
              <w:tab/>
              <w:t>outstanding as unbilled for less than 90 days</w:t>
            </w:r>
          </w:p>
        </w:tc>
        <w:tc>
          <w:tcPr>
            <w:tcW w:w="567" w:type="dxa"/>
            <w:vAlign w:val="bottom"/>
          </w:tcPr>
          <w:p w14:paraId="7D4102FB"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421C5DFB"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554E3754" w14:textId="77777777" w:rsidR="008E5DE4" w:rsidRDefault="008E5DE4">
            <w:pPr>
              <w:widowControl w:val="0"/>
              <w:pBdr>
                <w:top w:val="nil"/>
                <w:left w:val="nil"/>
                <w:bottom w:val="nil"/>
                <w:right w:val="nil"/>
                <w:between w:val="nil"/>
              </w:pBdr>
              <w:jc w:val="right"/>
              <w:rPr>
                <w:i/>
                <w:color w:val="0000FF"/>
              </w:rPr>
            </w:pPr>
          </w:p>
        </w:tc>
        <w:tc>
          <w:tcPr>
            <w:tcW w:w="851" w:type="dxa"/>
          </w:tcPr>
          <w:p w14:paraId="34AD86DB"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001B4446"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3116D433"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53D766CB" w14:textId="77777777" w:rsidR="008E5DE4" w:rsidRDefault="008E5DE4">
            <w:pPr>
              <w:widowControl w:val="0"/>
              <w:pBdr>
                <w:top w:val="nil"/>
                <w:left w:val="nil"/>
                <w:bottom w:val="nil"/>
                <w:right w:val="nil"/>
                <w:between w:val="nil"/>
              </w:pBdr>
              <w:jc w:val="right"/>
              <w:rPr>
                <w:i/>
                <w:color w:val="0000FF"/>
              </w:rPr>
            </w:pPr>
          </w:p>
        </w:tc>
        <w:tc>
          <w:tcPr>
            <w:tcW w:w="850" w:type="dxa"/>
          </w:tcPr>
          <w:p w14:paraId="098F5FCD" w14:textId="77777777" w:rsidR="008E5DE4" w:rsidRDefault="008E5DE4">
            <w:pPr>
              <w:widowControl w:val="0"/>
              <w:pBdr>
                <w:top w:val="nil"/>
                <w:left w:val="nil"/>
                <w:bottom w:val="nil"/>
                <w:right w:val="nil"/>
                <w:between w:val="nil"/>
              </w:pBdr>
              <w:jc w:val="right"/>
              <w:rPr>
                <w:i/>
                <w:color w:val="0000FF"/>
              </w:rPr>
            </w:pPr>
          </w:p>
        </w:tc>
      </w:tr>
      <w:tr w:rsidR="008E5DE4" w14:paraId="6F1904AC" w14:textId="77777777">
        <w:trPr>
          <w:cantSplit/>
        </w:trPr>
        <w:tc>
          <w:tcPr>
            <w:tcW w:w="2551" w:type="dxa"/>
            <w:vAlign w:val="bottom"/>
          </w:tcPr>
          <w:p w14:paraId="29D257D4" w14:textId="77777777" w:rsidR="008E5DE4" w:rsidRDefault="00780368">
            <w:pPr>
              <w:widowControl w:val="0"/>
              <w:pBdr>
                <w:top w:val="nil"/>
                <w:left w:val="nil"/>
                <w:bottom w:val="nil"/>
                <w:right w:val="nil"/>
                <w:between w:val="nil"/>
              </w:pBdr>
              <w:ind w:left="227" w:hanging="227"/>
              <w:rPr>
                <w:color w:val="0000FF"/>
              </w:rPr>
            </w:pPr>
            <w:r>
              <w:rPr>
                <w:color w:val="0000FF"/>
              </w:rPr>
              <w:t xml:space="preserve">- </w:t>
            </w:r>
            <w:r>
              <w:rPr>
                <w:color w:val="0000FF"/>
              </w:rPr>
              <w:tab/>
              <w:t>outstanding as unbilled for 91 – 365 days</w:t>
            </w:r>
          </w:p>
        </w:tc>
        <w:tc>
          <w:tcPr>
            <w:tcW w:w="567" w:type="dxa"/>
            <w:vAlign w:val="bottom"/>
          </w:tcPr>
          <w:p w14:paraId="05801E96"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1F22074F"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777F189E" w14:textId="77777777" w:rsidR="008E5DE4" w:rsidRDefault="008E5DE4">
            <w:pPr>
              <w:widowControl w:val="0"/>
              <w:pBdr>
                <w:top w:val="nil"/>
                <w:left w:val="nil"/>
                <w:bottom w:val="nil"/>
                <w:right w:val="nil"/>
                <w:between w:val="nil"/>
              </w:pBdr>
              <w:jc w:val="right"/>
              <w:rPr>
                <w:i/>
                <w:color w:val="0000FF"/>
              </w:rPr>
            </w:pPr>
          </w:p>
        </w:tc>
        <w:tc>
          <w:tcPr>
            <w:tcW w:w="851" w:type="dxa"/>
          </w:tcPr>
          <w:p w14:paraId="61E06B12"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79786D2C"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1C0136CF"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75A0668F" w14:textId="77777777" w:rsidR="008E5DE4" w:rsidRDefault="008E5DE4">
            <w:pPr>
              <w:widowControl w:val="0"/>
              <w:pBdr>
                <w:top w:val="nil"/>
                <w:left w:val="nil"/>
                <w:bottom w:val="nil"/>
                <w:right w:val="nil"/>
                <w:between w:val="nil"/>
              </w:pBdr>
              <w:jc w:val="right"/>
              <w:rPr>
                <w:i/>
                <w:color w:val="0000FF"/>
              </w:rPr>
            </w:pPr>
          </w:p>
        </w:tc>
        <w:tc>
          <w:tcPr>
            <w:tcW w:w="850" w:type="dxa"/>
          </w:tcPr>
          <w:p w14:paraId="258B611B" w14:textId="77777777" w:rsidR="008E5DE4" w:rsidRDefault="008E5DE4">
            <w:pPr>
              <w:widowControl w:val="0"/>
              <w:pBdr>
                <w:top w:val="nil"/>
                <w:left w:val="nil"/>
                <w:bottom w:val="nil"/>
                <w:right w:val="nil"/>
                <w:between w:val="nil"/>
              </w:pBdr>
              <w:jc w:val="right"/>
              <w:rPr>
                <w:i/>
                <w:color w:val="0000FF"/>
              </w:rPr>
            </w:pPr>
          </w:p>
        </w:tc>
      </w:tr>
      <w:tr w:rsidR="008E5DE4" w14:paraId="53719FD8" w14:textId="77777777">
        <w:trPr>
          <w:cantSplit/>
        </w:trPr>
        <w:tc>
          <w:tcPr>
            <w:tcW w:w="2551" w:type="dxa"/>
            <w:vAlign w:val="bottom"/>
          </w:tcPr>
          <w:p w14:paraId="2DD53FB5" w14:textId="77777777" w:rsidR="008E5DE4" w:rsidRDefault="00780368">
            <w:pPr>
              <w:widowControl w:val="0"/>
              <w:pBdr>
                <w:top w:val="nil"/>
                <w:left w:val="nil"/>
                <w:bottom w:val="nil"/>
                <w:right w:val="nil"/>
                <w:between w:val="nil"/>
              </w:pBdr>
              <w:ind w:left="227" w:hanging="227"/>
              <w:rPr>
                <w:color w:val="0000FF"/>
              </w:rPr>
            </w:pPr>
            <w:r>
              <w:rPr>
                <w:color w:val="0000FF"/>
              </w:rPr>
              <w:t xml:space="preserve">- </w:t>
            </w:r>
            <w:r>
              <w:rPr>
                <w:color w:val="0000FF"/>
              </w:rPr>
              <w:tab/>
              <w:t>outstanding as unbilled longer than 365 days</w:t>
            </w:r>
          </w:p>
        </w:tc>
        <w:tc>
          <w:tcPr>
            <w:tcW w:w="567" w:type="dxa"/>
            <w:vAlign w:val="bottom"/>
          </w:tcPr>
          <w:p w14:paraId="68F9DB18"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5457077A"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29C6B268" w14:textId="77777777" w:rsidR="008E5DE4" w:rsidRDefault="008E5DE4">
            <w:pPr>
              <w:widowControl w:val="0"/>
              <w:pBdr>
                <w:top w:val="nil"/>
                <w:left w:val="nil"/>
                <w:bottom w:val="nil"/>
                <w:right w:val="nil"/>
                <w:between w:val="nil"/>
              </w:pBdr>
              <w:jc w:val="right"/>
              <w:rPr>
                <w:i/>
                <w:color w:val="0000FF"/>
              </w:rPr>
            </w:pPr>
          </w:p>
        </w:tc>
        <w:tc>
          <w:tcPr>
            <w:tcW w:w="851" w:type="dxa"/>
          </w:tcPr>
          <w:p w14:paraId="46B70683"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7681BB69"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69FF9398"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0CCE1027" w14:textId="77777777" w:rsidR="008E5DE4" w:rsidRDefault="008E5DE4">
            <w:pPr>
              <w:widowControl w:val="0"/>
              <w:pBdr>
                <w:top w:val="nil"/>
                <w:left w:val="nil"/>
                <w:bottom w:val="nil"/>
                <w:right w:val="nil"/>
                <w:between w:val="nil"/>
              </w:pBdr>
              <w:jc w:val="right"/>
              <w:rPr>
                <w:i/>
                <w:color w:val="0000FF"/>
              </w:rPr>
            </w:pPr>
          </w:p>
        </w:tc>
        <w:tc>
          <w:tcPr>
            <w:tcW w:w="850" w:type="dxa"/>
          </w:tcPr>
          <w:p w14:paraId="584E6B27" w14:textId="77777777" w:rsidR="008E5DE4" w:rsidRDefault="008E5DE4">
            <w:pPr>
              <w:widowControl w:val="0"/>
              <w:pBdr>
                <w:top w:val="nil"/>
                <w:left w:val="nil"/>
                <w:bottom w:val="nil"/>
                <w:right w:val="nil"/>
                <w:between w:val="nil"/>
              </w:pBdr>
              <w:jc w:val="right"/>
              <w:rPr>
                <w:i/>
                <w:color w:val="0000FF"/>
              </w:rPr>
            </w:pPr>
          </w:p>
        </w:tc>
      </w:tr>
      <w:tr w:rsidR="008E5DE4" w14:paraId="3BC381E0" w14:textId="77777777">
        <w:trPr>
          <w:cantSplit/>
        </w:trPr>
        <w:tc>
          <w:tcPr>
            <w:tcW w:w="2551" w:type="dxa"/>
            <w:tcBorders>
              <w:bottom w:val="single" w:sz="4" w:space="0" w:color="000000"/>
            </w:tcBorders>
            <w:vAlign w:val="bottom"/>
          </w:tcPr>
          <w:p w14:paraId="490DF1CB" w14:textId="77777777" w:rsidR="008E5DE4" w:rsidRDefault="008E5DE4">
            <w:pPr>
              <w:widowControl w:val="0"/>
              <w:pBdr>
                <w:top w:val="nil"/>
                <w:left w:val="nil"/>
                <w:bottom w:val="nil"/>
                <w:right w:val="nil"/>
                <w:between w:val="nil"/>
              </w:pBdr>
              <w:rPr>
                <w:color w:val="0000FF"/>
              </w:rPr>
            </w:pPr>
          </w:p>
        </w:tc>
        <w:tc>
          <w:tcPr>
            <w:tcW w:w="567" w:type="dxa"/>
            <w:tcBorders>
              <w:bottom w:val="single" w:sz="4" w:space="0" w:color="000000"/>
            </w:tcBorders>
            <w:vAlign w:val="bottom"/>
          </w:tcPr>
          <w:p w14:paraId="3701C7CC"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5A5AA8C9"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630A1264" w14:textId="77777777" w:rsidR="008E5DE4" w:rsidRDefault="008E5DE4">
            <w:pPr>
              <w:widowControl w:val="0"/>
              <w:pBdr>
                <w:top w:val="nil"/>
                <w:left w:val="nil"/>
                <w:bottom w:val="nil"/>
                <w:right w:val="nil"/>
                <w:between w:val="nil"/>
              </w:pBdr>
              <w:jc w:val="right"/>
              <w:rPr>
                <w:i/>
                <w:color w:val="0000FF"/>
              </w:rPr>
            </w:pPr>
          </w:p>
        </w:tc>
        <w:tc>
          <w:tcPr>
            <w:tcW w:w="851" w:type="dxa"/>
            <w:tcBorders>
              <w:bottom w:val="single" w:sz="4" w:space="0" w:color="000000"/>
            </w:tcBorders>
          </w:tcPr>
          <w:p w14:paraId="14706B56" w14:textId="77777777" w:rsidR="008E5DE4" w:rsidRDefault="008E5DE4">
            <w:pPr>
              <w:widowControl w:val="0"/>
              <w:pBdr>
                <w:top w:val="nil"/>
                <w:left w:val="nil"/>
                <w:bottom w:val="nil"/>
                <w:right w:val="nil"/>
                <w:between w:val="nil"/>
              </w:pBdr>
              <w:jc w:val="right"/>
              <w:rPr>
                <w:i/>
                <w:color w:val="0000FF"/>
              </w:rPr>
            </w:pPr>
          </w:p>
        </w:tc>
        <w:tc>
          <w:tcPr>
            <w:tcW w:w="568" w:type="dxa"/>
            <w:tcBorders>
              <w:bottom w:val="single" w:sz="4" w:space="0" w:color="000000"/>
            </w:tcBorders>
            <w:vAlign w:val="bottom"/>
          </w:tcPr>
          <w:p w14:paraId="37D27006"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1F206F59"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4" w:space="0" w:color="000000"/>
            </w:tcBorders>
            <w:vAlign w:val="bottom"/>
          </w:tcPr>
          <w:p w14:paraId="3A5C62A7" w14:textId="77777777" w:rsidR="008E5DE4" w:rsidRDefault="008E5DE4">
            <w:pPr>
              <w:widowControl w:val="0"/>
              <w:pBdr>
                <w:top w:val="nil"/>
                <w:left w:val="nil"/>
                <w:bottom w:val="nil"/>
                <w:right w:val="nil"/>
                <w:between w:val="nil"/>
              </w:pBdr>
              <w:jc w:val="right"/>
              <w:rPr>
                <w:i/>
                <w:color w:val="0000FF"/>
              </w:rPr>
            </w:pPr>
          </w:p>
        </w:tc>
        <w:tc>
          <w:tcPr>
            <w:tcW w:w="850" w:type="dxa"/>
            <w:tcBorders>
              <w:bottom w:val="single" w:sz="4" w:space="0" w:color="000000"/>
            </w:tcBorders>
          </w:tcPr>
          <w:p w14:paraId="054178CA" w14:textId="77777777" w:rsidR="008E5DE4" w:rsidRDefault="008E5DE4">
            <w:pPr>
              <w:widowControl w:val="0"/>
              <w:pBdr>
                <w:top w:val="nil"/>
                <w:left w:val="nil"/>
                <w:bottom w:val="nil"/>
                <w:right w:val="nil"/>
                <w:between w:val="nil"/>
              </w:pBdr>
              <w:jc w:val="right"/>
              <w:rPr>
                <w:i/>
                <w:color w:val="0000FF"/>
              </w:rPr>
            </w:pPr>
          </w:p>
        </w:tc>
      </w:tr>
      <w:tr w:rsidR="008E5DE4" w14:paraId="714342BF" w14:textId="77777777">
        <w:trPr>
          <w:cantSplit/>
        </w:trPr>
        <w:tc>
          <w:tcPr>
            <w:tcW w:w="2551" w:type="dxa"/>
            <w:tcBorders>
              <w:top w:val="single" w:sz="4" w:space="0" w:color="000000"/>
            </w:tcBorders>
            <w:vAlign w:val="bottom"/>
          </w:tcPr>
          <w:p w14:paraId="565A3375" w14:textId="77777777" w:rsidR="008E5DE4" w:rsidRDefault="008E5DE4">
            <w:pPr>
              <w:widowControl w:val="0"/>
              <w:pBdr>
                <w:top w:val="nil"/>
                <w:left w:val="nil"/>
                <w:bottom w:val="nil"/>
                <w:right w:val="nil"/>
                <w:between w:val="nil"/>
              </w:pBdr>
              <w:rPr>
                <w:color w:val="000000"/>
              </w:rPr>
            </w:pPr>
          </w:p>
        </w:tc>
        <w:tc>
          <w:tcPr>
            <w:tcW w:w="567" w:type="dxa"/>
            <w:tcBorders>
              <w:top w:val="single" w:sz="4" w:space="0" w:color="000000"/>
            </w:tcBorders>
            <w:vAlign w:val="bottom"/>
          </w:tcPr>
          <w:p w14:paraId="5D74FB79"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6BE04757"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161DD483" w14:textId="77777777" w:rsidR="008E5DE4" w:rsidRDefault="008E5DE4">
            <w:pPr>
              <w:widowControl w:val="0"/>
              <w:pBdr>
                <w:top w:val="nil"/>
                <w:left w:val="nil"/>
                <w:bottom w:val="nil"/>
                <w:right w:val="nil"/>
                <w:between w:val="nil"/>
              </w:pBdr>
              <w:jc w:val="right"/>
              <w:rPr>
                <w:i/>
                <w:color w:val="0000FF"/>
              </w:rPr>
            </w:pPr>
          </w:p>
        </w:tc>
        <w:tc>
          <w:tcPr>
            <w:tcW w:w="851" w:type="dxa"/>
            <w:tcBorders>
              <w:top w:val="single" w:sz="4" w:space="0" w:color="000000"/>
            </w:tcBorders>
          </w:tcPr>
          <w:p w14:paraId="116E5B77" w14:textId="77777777" w:rsidR="008E5DE4" w:rsidRDefault="008E5DE4">
            <w:pPr>
              <w:widowControl w:val="0"/>
              <w:pBdr>
                <w:top w:val="nil"/>
                <w:left w:val="nil"/>
                <w:bottom w:val="nil"/>
                <w:right w:val="nil"/>
                <w:between w:val="nil"/>
              </w:pBdr>
              <w:jc w:val="right"/>
              <w:rPr>
                <w:i/>
                <w:color w:val="0000FF"/>
              </w:rPr>
            </w:pPr>
          </w:p>
        </w:tc>
        <w:tc>
          <w:tcPr>
            <w:tcW w:w="568" w:type="dxa"/>
            <w:tcBorders>
              <w:top w:val="single" w:sz="4" w:space="0" w:color="000000"/>
            </w:tcBorders>
            <w:vAlign w:val="bottom"/>
          </w:tcPr>
          <w:p w14:paraId="51B7AEB5"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0EB644BA" w14:textId="77777777" w:rsidR="008E5DE4" w:rsidRDefault="008E5DE4">
            <w:pPr>
              <w:widowControl w:val="0"/>
              <w:pBdr>
                <w:top w:val="nil"/>
                <w:left w:val="nil"/>
                <w:bottom w:val="nil"/>
                <w:right w:val="nil"/>
                <w:between w:val="nil"/>
              </w:pBdr>
              <w:jc w:val="right"/>
              <w:rPr>
                <w:i/>
                <w:color w:val="0000FF"/>
              </w:rPr>
            </w:pPr>
          </w:p>
        </w:tc>
        <w:tc>
          <w:tcPr>
            <w:tcW w:w="992" w:type="dxa"/>
            <w:tcBorders>
              <w:top w:val="single" w:sz="4" w:space="0" w:color="000000"/>
            </w:tcBorders>
            <w:vAlign w:val="bottom"/>
          </w:tcPr>
          <w:p w14:paraId="0177476D" w14:textId="77777777" w:rsidR="008E5DE4" w:rsidRDefault="008E5DE4">
            <w:pPr>
              <w:widowControl w:val="0"/>
              <w:pBdr>
                <w:top w:val="nil"/>
                <w:left w:val="nil"/>
                <w:bottom w:val="nil"/>
                <w:right w:val="nil"/>
                <w:between w:val="nil"/>
              </w:pBdr>
              <w:jc w:val="right"/>
              <w:rPr>
                <w:i/>
                <w:color w:val="0000FF"/>
              </w:rPr>
            </w:pPr>
          </w:p>
        </w:tc>
        <w:tc>
          <w:tcPr>
            <w:tcW w:w="850" w:type="dxa"/>
            <w:tcBorders>
              <w:top w:val="single" w:sz="4" w:space="0" w:color="000000"/>
            </w:tcBorders>
          </w:tcPr>
          <w:p w14:paraId="57FBC862" w14:textId="77777777" w:rsidR="008E5DE4" w:rsidRDefault="008E5DE4">
            <w:pPr>
              <w:widowControl w:val="0"/>
              <w:pBdr>
                <w:top w:val="nil"/>
                <w:left w:val="nil"/>
                <w:bottom w:val="nil"/>
                <w:right w:val="nil"/>
                <w:between w:val="nil"/>
              </w:pBdr>
              <w:jc w:val="right"/>
              <w:rPr>
                <w:i/>
                <w:color w:val="0000FF"/>
              </w:rPr>
            </w:pPr>
          </w:p>
        </w:tc>
      </w:tr>
      <w:tr w:rsidR="008E5DE4" w14:paraId="7ED5D783" w14:textId="77777777">
        <w:trPr>
          <w:cantSplit/>
        </w:trPr>
        <w:tc>
          <w:tcPr>
            <w:tcW w:w="2551" w:type="dxa"/>
            <w:vAlign w:val="bottom"/>
          </w:tcPr>
          <w:p w14:paraId="3C649B50" w14:textId="77777777" w:rsidR="008E5DE4" w:rsidRDefault="00780368">
            <w:pPr>
              <w:widowControl w:val="0"/>
              <w:pBdr>
                <w:top w:val="nil"/>
                <w:left w:val="nil"/>
                <w:bottom w:val="nil"/>
                <w:right w:val="nil"/>
                <w:between w:val="nil"/>
              </w:pBdr>
              <w:rPr>
                <w:color w:val="000000"/>
              </w:rPr>
            </w:pPr>
            <w:r>
              <w:rPr>
                <w:b/>
                <w:color w:val="000000"/>
              </w:rPr>
              <w:t xml:space="preserve">Total </w:t>
            </w:r>
          </w:p>
        </w:tc>
        <w:tc>
          <w:tcPr>
            <w:tcW w:w="567" w:type="dxa"/>
            <w:vAlign w:val="bottom"/>
          </w:tcPr>
          <w:p w14:paraId="7AA724B3"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7937E2A8"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6FFF3C24" w14:textId="77777777" w:rsidR="008E5DE4" w:rsidRDefault="008E5DE4">
            <w:pPr>
              <w:widowControl w:val="0"/>
              <w:pBdr>
                <w:top w:val="nil"/>
                <w:left w:val="nil"/>
                <w:bottom w:val="nil"/>
                <w:right w:val="nil"/>
                <w:between w:val="nil"/>
              </w:pBdr>
              <w:jc w:val="right"/>
              <w:rPr>
                <w:i/>
                <w:color w:val="0000FF"/>
              </w:rPr>
            </w:pPr>
          </w:p>
        </w:tc>
        <w:tc>
          <w:tcPr>
            <w:tcW w:w="851" w:type="dxa"/>
          </w:tcPr>
          <w:p w14:paraId="2DB32DAF" w14:textId="77777777" w:rsidR="008E5DE4" w:rsidRDefault="008E5DE4">
            <w:pPr>
              <w:widowControl w:val="0"/>
              <w:pBdr>
                <w:top w:val="nil"/>
                <w:left w:val="nil"/>
                <w:bottom w:val="nil"/>
                <w:right w:val="nil"/>
                <w:between w:val="nil"/>
              </w:pBdr>
              <w:jc w:val="right"/>
              <w:rPr>
                <w:i/>
                <w:color w:val="0000FF"/>
              </w:rPr>
            </w:pPr>
          </w:p>
        </w:tc>
        <w:tc>
          <w:tcPr>
            <w:tcW w:w="568" w:type="dxa"/>
            <w:vAlign w:val="bottom"/>
          </w:tcPr>
          <w:p w14:paraId="4DEC6F1C" w14:textId="77777777" w:rsidR="008E5DE4" w:rsidRDefault="00780368">
            <w:pPr>
              <w:widowControl w:val="0"/>
              <w:pBdr>
                <w:top w:val="nil"/>
                <w:left w:val="nil"/>
                <w:bottom w:val="nil"/>
                <w:right w:val="nil"/>
                <w:between w:val="nil"/>
              </w:pBdr>
              <w:jc w:val="right"/>
              <w:rPr>
                <w:i/>
                <w:color w:val="0000FF"/>
              </w:rPr>
            </w:pPr>
            <w:r>
              <w:rPr>
                <w:i/>
                <w:color w:val="0000FF"/>
              </w:rPr>
              <w:t>-</w:t>
            </w:r>
          </w:p>
        </w:tc>
        <w:tc>
          <w:tcPr>
            <w:tcW w:w="992" w:type="dxa"/>
            <w:vAlign w:val="bottom"/>
          </w:tcPr>
          <w:p w14:paraId="026F6B87" w14:textId="77777777" w:rsidR="008E5DE4" w:rsidRDefault="008E5DE4">
            <w:pPr>
              <w:widowControl w:val="0"/>
              <w:pBdr>
                <w:top w:val="nil"/>
                <w:left w:val="nil"/>
                <w:bottom w:val="nil"/>
                <w:right w:val="nil"/>
                <w:between w:val="nil"/>
              </w:pBdr>
              <w:jc w:val="right"/>
              <w:rPr>
                <w:i/>
                <w:color w:val="0000FF"/>
              </w:rPr>
            </w:pPr>
          </w:p>
        </w:tc>
        <w:tc>
          <w:tcPr>
            <w:tcW w:w="992" w:type="dxa"/>
            <w:vAlign w:val="bottom"/>
          </w:tcPr>
          <w:p w14:paraId="077CD22B" w14:textId="77777777" w:rsidR="008E5DE4" w:rsidRDefault="008E5DE4">
            <w:pPr>
              <w:widowControl w:val="0"/>
              <w:pBdr>
                <w:top w:val="nil"/>
                <w:left w:val="nil"/>
                <w:bottom w:val="nil"/>
                <w:right w:val="nil"/>
                <w:between w:val="nil"/>
              </w:pBdr>
              <w:jc w:val="right"/>
              <w:rPr>
                <w:i/>
                <w:color w:val="0000FF"/>
              </w:rPr>
            </w:pPr>
          </w:p>
        </w:tc>
        <w:tc>
          <w:tcPr>
            <w:tcW w:w="850" w:type="dxa"/>
          </w:tcPr>
          <w:p w14:paraId="5A9770F9" w14:textId="77777777" w:rsidR="008E5DE4" w:rsidRDefault="008E5DE4">
            <w:pPr>
              <w:widowControl w:val="0"/>
              <w:pBdr>
                <w:top w:val="nil"/>
                <w:left w:val="nil"/>
                <w:bottom w:val="nil"/>
                <w:right w:val="nil"/>
                <w:between w:val="nil"/>
              </w:pBdr>
              <w:jc w:val="right"/>
              <w:rPr>
                <w:i/>
                <w:color w:val="0000FF"/>
              </w:rPr>
            </w:pPr>
          </w:p>
        </w:tc>
      </w:tr>
      <w:tr w:rsidR="008E5DE4" w14:paraId="0EF8AD12" w14:textId="77777777">
        <w:trPr>
          <w:cantSplit/>
        </w:trPr>
        <w:tc>
          <w:tcPr>
            <w:tcW w:w="2551" w:type="dxa"/>
            <w:tcBorders>
              <w:bottom w:val="single" w:sz="12" w:space="0" w:color="000000"/>
            </w:tcBorders>
            <w:vAlign w:val="bottom"/>
          </w:tcPr>
          <w:p w14:paraId="6CB9B00D" w14:textId="77777777" w:rsidR="008E5DE4" w:rsidRDefault="008E5DE4">
            <w:pPr>
              <w:widowControl w:val="0"/>
              <w:pBdr>
                <w:top w:val="nil"/>
                <w:left w:val="nil"/>
                <w:bottom w:val="nil"/>
                <w:right w:val="nil"/>
                <w:between w:val="nil"/>
              </w:pBdr>
              <w:rPr>
                <w:color w:val="000000"/>
              </w:rPr>
            </w:pPr>
          </w:p>
        </w:tc>
        <w:tc>
          <w:tcPr>
            <w:tcW w:w="567" w:type="dxa"/>
            <w:tcBorders>
              <w:bottom w:val="single" w:sz="12" w:space="0" w:color="000000"/>
            </w:tcBorders>
            <w:vAlign w:val="bottom"/>
          </w:tcPr>
          <w:p w14:paraId="2AA3DF7B"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6BC135CB"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6E398ADB" w14:textId="77777777" w:rsidR="008E5DE4" w:rsidRDefault="008E5DE4">
            <w:pPr>
              <w:widowControl w:val="0"/>
              <w:pBdr>
                <w:top w:val="nil"/>
                <w:left w:val="nil"/>
                <w:bottom w:val="nil"/>
                <w:right w:val="nil"/>
                <w:between w:val="nil"/>
              </w:pBdr>
              <w:jc w:val="right"/>
              <w:rPr>
                <w:i/>
                <w:color w:val="0000FF"/>
              </w:rPr>
            </w:pPr>
          </w:p>
        </w:tc>
        <w:tc>
          <w:tcPr>
            <w:tcW w:w="851" w:type="dxa"/>
            <w:tcBorders>
              <w:bottom w:val="single" w:sz="12" w:space="0" w:color="000000"/>
            </w:tcBorders>
          </w:tcPr>
          <w:p w14:paraId="3090D2CB" w14:textId="77777777" w:rsidR="008E5DE4" w:rsidRDefault="008E5DE4">
            <w:pPr>
              <w:widowControl w:val="0"/>
              <w:pBdr>
                <w:top w:val="nil"/>
                <w:left w:val="nil"/>
                <w:bottom w:val="nil"/>
                <w:right w:val="nil"/>
                <w:between w:val="nil"/>
              </w:pBdr>
              <w:jc w:val="right"/>
              <w:rPr>
                <w:i/>
                <w:color w:val="0000FF"/>
              </w:rPr>
            </w:pPr>
          </w:p>
        </w:tc>
        <w:tc>
          <w:tcPr>
            <w:tcW w:w="568" w:type="dxa"/>
            <w:tcBorders>
              <w:bottom w:val="single" w:sz="12" w:space="0" w:color="000000"/>
            </w:tcBorders>
            <w:vAlign w:val="bottom"/>
          </w:tcPr>
          <w:p w14:paraId="3EF38A7E"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2014C7F6" w14:textId="77777777" w:rsidR="008E5DE4" w:rsidRDefault="008E5DE4">
            <w:pPr>
              <w:widowControl w:val="0"/>
              <w:pBdr>
                <w:top w:val="nil"/>
                <w:left w:val="nil"/>
                <w:bottom w:val="nil"/>
                <w:right w:val="nil"/>
                <w:between w:val="nil"/>
              </w:pBdr>
              <w:jc w:val="right"/>
              <w:rPr>
                <w:i/>
                <w:color w:val="0000FF"/>
              </w:rPr>
            </w:pPr>
          </w:p>
        </w:tc>
        <w:tc>
          <w:tcPr>
            <w:tcW w:w="992" w:type="dxa"/>
            <w:tcBorders>
              <w:bottom w:val="single" w:sz="12" w:space="0" w:color="000000"/>
            </w:tcBorders>
            <w:vAlign w:val="bottom"/>
          </w:tcPr>
          <w:p w14:paraId="5847E715" w14:textId="77777777" w:rsidR="008E5DE4" w:rsidRDefault="008E5DE4">
            <w:pPr>
              <w:widowControl w:val="0"/>
              <w:pBdr>
                <w:top w:val="nil"/>
                <w:left w:val="nil"/>
                <w:bottom w:val="nil"/>
                <w:right w:val="nil"/>
                <w:between w:val="nil"/>
              </w:pBdr>
              <w:jc w:val="right"/>
              <w:rPr>
                <w:i/>
                <w:color w:val="0000FF"/>
              </w:rPr>
            </w:pPr>
          </w:p>
        </w:tc>
        <w:tc>
          <w:tcPr>
            <w:tcW w:w="850" w:type="dxa"/>
            <w:tcBorders>
              <w:bottom w:val="single" w:sz="12" w:space="0" w:color="000000"/>
            </w:tcBorders>
          </w:tcPr>
          <w:p w14:paraId="5978EBBE" w14:textId="77777777" w:rsidR="008E5DE4" w:rsidRDefault="008E5DE4">
            <w:pPr>
              <w:widowControl w:val="0"/>
              <w:pBdr>
                <w:top w:val="nil"/>
                <w:left w:val="nil"/>
                <w:bottom w:val="nil"/>
                <w:right w:val="nil"/>
                <w:between w:val="nil"/>
              </w:pBdr>
              <w:jc w:val="right"/>
              <w:rPr>
                <w:i/>
                <w:color w:val="0000FF"/>
              </w:rPr>
            </w:pPr>
          </w:p>
        </w:tc>
      </w:tr>
    </w:tbl>
    <w:p w14:paraId="7514453B" w14:textId="77777777" w:rsidR="008E5DE4" w:rsidRDefault="00780368">
      <w:pPr>
        <w:widowControl w:val="0"/>
        <w:spacing w:before="200" w:after="200"/>
        <w:jc w:val="both"/>
        <w:rPr>
          <w:i/>
          <w:color w:val="FF0000"/>
          <w:sz w:val="20"/>
          <w:szCs w:val="20"/>
        </w:rPr>
      </w:pPr>
      <w:r>
        <w:rPr>
          <w:sz w:val="20"/>
          <w:szCs w:val="20"/>
        </w:rPr>
        <w:t>The following table explains the changes in the credit loss allowance for contract assets under simplified ECL model between the beginning and the end of the annual period</w:t>
      </w:r>
      <w:r>
        <w:rPr>
          <w:i/>
          <w:sz w:val="20"/>
          <w:szCs w:val="20"/>
        </w:rPr>
        <w:t>:</w:t>
      </w:r>
    </w:p>
    <w:tbl>
      <w:tblPr>
        <w:tblStyle w:val="affffff3"/>
        <w:tblW w:w="9361" w:type="dxa"/>
        <w:tblLayout w:type="fixed"/>
        <w:tblLook w:val="0000" w:firstRow="0" w:lastRow="0" w:firstColumn="0" w:lastColumn="0" w:noHBand="0" w:noVBand="0"/>
      </w:tblPr>
      <w:tblGrid>
        <w:gridCol w:w="6299"/>
        <w:gridCol w:w="1531"/>
        <w:gridCol w:w="1531"/>
      </w:tblGrid>
      <w:tr w:rsidR="008E5DE4" w14:paraId="32229A7B" w14:textId="77777777">
        <w:trPr>
          <w:cantSplit/>
          <w:tblHeader/>
        </w:trPr>
        <w:tc>
          <w:tcPr>
            <w:tcW w:w="6299" w:type="dxa"/>
            <w:tcBorders>
              <w:bottom w:val="single" w:sz="4" w:space="0" w:color="000000"/>
            </w:tcBorders>
            <w:vAlign w:val="bottom"/>
          </w:tcPr>
          <w:p w14:paraId="25B0E365"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1531" w:type="dxa"/>
            <w:tcBorders>
              <w:bottom w:val="single" w:sz="4" w:space="0" w:color="000000"/>
            </w:tcBorders>
          </w:tcPr>
          <w:p w14:paraId="0E105005" w14:textId="44054D3C" w:rsidR="008E5DE4" w:rsidRDefault="008614F8">
            <w:pPr>
              <w:widowControl w:val="0"/>
              <w:pBdr>
                <w:top w:val="nil"/>
                <w:left w:val="nil"/>
                <w:bottom w:val="nil"/>
                <w:right w:val="nil"/>
                <w:between w:val="nil"/>
              </w:pBdr>
              <w:ind w:left="-113"/>
              <w:jc w:val="right"/>
              <w:rPr>
                <w:b/>
                <w:color w:val="000000"/>
              </w:rPr>
            </w:pPr>
            <w:r>
              <w:rPr>
                <w:b/>
                <w:color w:val="000000"/>
              </w:rPr>
              <w:t>2025</w:t>
            </w:r>
          </w:p>
        </w:tc>
        <w:tc>
          <w:tcPr>
            <w:tcW w:w="1531" w:type="dxa"/>
            <w:tcBorders>
              <w:bottom w:val="single" w:sz="4" w:space="0" w:color="000000"/>
            </w:tcBorders>
          </w:tcPr>
          <w:p w14:paraId="22DA7761" w14:textId="77765290" w:rsidR="008E5DE4" w:rsidRDefault="00FF468A">
            <w:pPr>
              <w:widowControl w:val="0"/>
              <w:pBdr>
                <w:top w:val="nil"/>
                <w:left w:val="nil"/>
                <w:bottom w:val="nil"/>
                <w:right w:val="nil"/>
                <w:between w:val="nil"/>
              </w:pBdr>
              <w:ind w:left="-113"/>
              <w:jc w:val="right"/>
              <w:rPr>
                <w:b/>
                <w:color w:val="000000"/>
              </w:rPr>
            </w:pPr>
            <w:r>
              <w:rPr>
                <w:b/>
                <w:color w:val="000000"/>
              </w:rPr>
              <w:t>2024</w:t>
            </w:r>
          </w:p>
        </w:tc>
      </w:tr>
      <w:tr w:rsidR="008E5DE4" w14:paraId="6A8BE72F" w14:textId="77777777">
        <w:trPr>
          <w:cantSplit/>
        </w:trPr>
        <w:tc>
          <w:tcPr>
            <w:tcW w:w="6299" w:type="dxa"/>
            <w:tcBorders>
              <w:top w:val="single" w:sz="4" w:space="0" w:color="000000"/>
            </w:tcBorders>
            <w:vAlign w:val="bottom"/>
          </w:tcPr>
          <w:p w14:paraId="748D3D24" w14:textId="77777777" w:rsidR="008E5DE4" w:rsidRDefault="008E5DE4">
            <w:pPr>
              <w:widowControl w:val="0"/>
              <w:pBdr>
                <w:top w:val="nil"/>
                <w:left w:val="nil"/>
                <w:bottom w:val="nil"/>
                <w:right w:val="nil"/>
                <w:between w:val="nil"/>
              </w:pBdr>
              <w:rPr>
                <w:b/>
                <w:color w:val="000000"/>
              </w:rPr>
            </w:pPr>
          </w:p>
        </w:tc>
        <w:tc>
          <w:tcPr>
            <w:tcW w:w="1531" w:type="dxa"/>
            <w:tcBorders>
              <w:top w:val="single" w:sz="4" w:space="0" w:color="000000"/>
            </w:tcBorders>
            <w:vAlign w:val="bottom"/>
          </w:tcPr>
          <w:p w14:paraId="696F93D3"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7886E854" w14:textId="77777777" w:rsidR="008E5DE4" w:rsidRDefault="008E5DE4">
            <w:pPr>
              <w:widowControl w:val="0"/>
              <w:pBdr>
                <w:top w:val="nil"/>
                <w:left w:val="nil"/>
                <w:bottom w:val="nil"/>
                <w:right w:val="nil"/>
                <w:between w:val="nil"/>
              </w:pBdr>
              <w:jc w:val="right"/>
              <w:rPr>
                <w:b/>
                <w:color w:val="000000"/>
              </w:rPr>
            </w:pPr>
          </w:p>
        </w:tc>
      </w:tr>
      <w:tr w:rsidR="008E5DE4" w14:paraId="43203B9D" w14:textId="77777777">
        <w:trPr>
          <w:cantSplit/>
        </w:trPr>
        <w:tc>
          <w:tcPr>
            <w:tcW w:w="6299" w:type="dxa"/>
            <w:vAlign w:val="bottom"/>
          </w:tcPr>
          <w:p w14:paraId="1430DBE8" w14:textId="77777777" w:rsidR="008E5DE4" w:rsidRDefault="00780368">
            <w:pPr>
              <w:widowControl w:val="0"/>
              <w:pBdr>
                <w:top w:val="nil"/>
                <w:left w:val="nil"/>
                <w:bottom w:val="nil"/>
                <w:right w:val="nil"/>
                <w:between w:val="nil"/>
              </w:pBdr>
              <w:rPr>
                <w:color w:val="000000"/>
              </w:rPr>
            </w:pPr>
            <w:r>
              <w:rPr>
                <w:color w:val="000000"/>
              </w:rPr>
              <w:t xml:space="preserve">Allowance for credit losses on contract assets </w:t>
            </w:r>
            <w:proofErr w:type="gramStart"/>
            <w:r>
              <w:rPr>
                <w:color w:val="000000"/>
              </w:rPr>
              <w:t>at</w:t>
            </w:r>
            <w:proofErr w:type="gramEnd"/>
            <w:r>
              <w:rPr>
                <w:color w:val="000000"/>
              </w:rPr>
              <w:t xml:space="preserve"> 1 January </w:t>
            </w:r>
          </w:p>
        </w:tc>
        <w:tc>
          <w:tcPr>
            <w:tcW w:w="1531" w:type="dxa"/>
            <w:vAlign w:val="bottom"/>
          </w:tcPr>
          <w:p w14:paraId="317100F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73FBC1B" w14:textId="77777777" w:rsidR="008E5DE4" w:rsidRDefault="008E5DE4">
            <w:pPr>
              <w:widowControl w:val="0"/>
              <w:pBdr>
                <w:top w:val="nil"/>
                <w:left w:val="nil"/>
                <w:bottom w:val="nil"/>
                <w:right w:val="nil"/>
                <w:between w:val="nil"/>
              </w:pBdr>
              <w:jc w:val="right"/>
              <w:rPr>
                <w:color w:val="000000"/>
              </w:rPr>
            </w:pPr>
          </w:p>
        </w:tc>
      </w:tr>
      <w:tr w:rsidR="008E5DE4" w14:paraId="6AE6854C" w14:textId="77777777">
        <w:trPr>
          <w:cantSplit/>
        </w:trPr>
        <w:tc>
          <w:tcPr>
            <w:tcW w:w="6299" w:type="dxa"/>
            <w:vAlign w:val="bottom"/>
          </w:tcPr>
          <w:p w14:paraId="469BCDC7" w14:textId="77777777" w:rsidR="008E5DE4" w:rsidRDefault="008E5DE4">
            <w:pPr>
              <w:widowControl w:val="0"/>
              <w:pBdr>
                <w:top w:val="nil"/>
                <w:left w:val="nil"/>
                <w:bottom w:val="nil"/>
                <w:right w:val="nil"/>
                <w:between w:val="nil"/>
              </w:pBdr>
              <w:rPr>
                <w:color w:val="000000"/>
              </w:rPr>
            </w:pPr>
          </w:p>
        </w:tc>
        <w:tc>
          <w:tcPr>
            <w:tcW w:w="1531" w:type="dxa"/>
            <w:vAlign w:val="bottom"/>
          </w:tcPr>
          <w:p w14:paraId="623219A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70F8ED0" w14:textId="77777777" w:rsidR="008E5DE4" w:rsidRDefault="008E5DE4">
            <w:pPr>
              <w:widowControl w:val="0"/>
              <w:pBdr>
                <w:top w:val="nil"/>
                <w:left w:val="nil"/>
                <w:bottom w:val="nil"/>
                <w:right w:val="nil"/>
                <w:between w:val="nil"/>
              </w:pBdr>
              <w:jc w:val="right"/>
              <w:rPr>
                <w:color w:val="000000"/>
              </w:rPr>
            </w:pPr>
          </w:p>
        </w:tc>
      </w:tr>
      <w:tr w:rsidR="008E5DE4" w14:paraId="426DDAD3" w14:textId="77777777">
        <w:trPr>
          <w:cantSplit/>
        </w:trPr>
        <w:tc>
          <w:tcPr>
            <w:tcW w:w="6299" w:type="dxa"/>
            <w:vAlign w:val="bottom"/>
          </w:tcPr>
          <w:p w14:paraId="2894963E" w14:textId="77777777" w:rsidR="008E5DE4" w:rsidRDefault="00780368">
            <w:pPr>
              <w:widowControl w:val="0"/>
              <w:pBdr>
                <w:top w:val="nil"/>
                <w:left w:val="nil"/>
                <w:bottom w:val="nil"/>
                <w:right w:val="nil"/>
                <w:between w:val="nil"/>
              </w:pBdr>
              <w:rPr>
                <w:color w:val="000000"/>
              </w:rPr>
            </w:pPr>
            <w:r>
              <w:rPr>
                <w:color w:val="000000"/>
              </w:rPr>
              <w:t>New originated or purchased</w:t>
            </w:r>
          </w:p>
        </w:tc>
        <w:tc>
          <w:tcPr>
            <w:tcW w:w="1531" w:type="dxa"/>
            <w:vAlign w:val="bottom"/>
          </w:tcPr>
          <w:p w14:paraId="6754961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30E30AB" w14:textId="77777777" w:rsidR="008E5DE4" w:rsidRDefault="008E5DE4">
            <w:pPr>
              <w:widowControl w:val="0"/>
              <w:pBdr>
                <w:top w:val="nil"/>
                <w:left w:val="nil"/>
                <w:bottom w:val="nil"/>
                <w:right w:val="nil"/>
                <w:between w:val="nil"/>
              </w:pBdr>
              <w:jc w:val="right"/>
              <w:rPr>
                <w:color w:val="000000"/>
              </w:rPr>
            </w:pPr>
          </w:p>
        </w:tc>
      </w:tr>
      <w:tr w:rsidR="008E5DE4" w14:paraId="24085A26" w14:textId="77777777">
        <w:trPr>
          <w:cantSplit/>
        </w:trPr>
        <w:tc>
          <w:tcPr>
            <w:tcW w:w="6299" w:type="dxa"/>
            <w:vAlign w:val="bottom"/>
          </w:tcPr>
          <w:p w14:paraId="0B70AE2B" w14:textId="77777777" w:rsidR="008E5DE4" w:rsidRDefault="00780368">
            <w:pPr>
              <w:widowControl w:val="0"/>
              <w:pBdr>
                <w:top w:val="nil"/>
                <w:left w:val="nil"/>
                <w:bottom w:val="nil"/>
                <w:right w:val="nil"/>
                <w:between w:val="nil"/>
              </w:pBdr>
              <w:rPr>
                <w:color w:val="000000"/>
              </w:rPr>
            </w:pPr>
            <w:r>
              <w:rPr>
                <w:color w:val="000000"/>
              </w:rPr>
              <w:t>Assets derecognised during the period</w:t>
            </w:r>
          </w:p>
        </w:tc>
        <w:tc>
          <w:tcPr>
            <w:tcW w:w="1531" w:type="dxa"/>
            <w:vAlign w:val="bottom"/>
          </w:tcPr>
          <w:p w14:paraId="7CD64F1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4A5B472" w14:textId="77777777" w:rsidR="008E5DE4" w:rsidRDefault="008E5DE4">
            <w:pPr>
              <w:widowControl w:val="0"/>
              <w:pBdr>
                <w:top w:val="nil"/>
                <w:left w:val="nil"/>
                <w:bottom w:val="nil"/>
                <w:right w:val="nil"/>
                <w:between w:val="nil"/>
              </w:pBdr>
              <w:jc w:val="right"/>
              <w:rPr>
                <w:color w:val="000000"/>
              </w:rPr>
            </w:pPr>
          </w:p>
        </w:tc>
      </w:tr>
      <w:tr w:rsidR="008E5DE4" w14:paraId="670FB395" w14:textId="77777777">
        <w:trPr>
          <w:cantSplit/>
        </w:trPr>
        <w:tc>
          <w:tcPr>
            <w:tcW w:w="6299" w:type="dxa"/>
            <w:vAlign w:val="bottom"/>
          </w:tcPr>
          <w:p w14:paraId="6F772A62" w14:textId="77777777" w:rsidR="008E5DE4" w:rsidRDefault="00780368">
            <w:pPr>
              <w:widowControl w:val="0"/>
              <w:pBdr>
                <w:top w:val="nil"/>
                <w:left w:val="nil"/>
                <w:bottom w:val="nil"/>
                <w:right w:val="nil"/>
                <w:between w:val="nil"/>
              </w:pBdr>
              <w:rPr>
                <w:color w:val="000000"/>
              </w:rPr>
            </w:pPr>
            <w:r>
              <w:rPr>
                <w:color w:val="000000"/>
              </w:rPr>
              <w:t>Changes in estimates and assumptions</w:t>
            </w:r>
          </w:p>
        </w:tc>
        <w:tc>
          <w:tcPr>
            <w:tcW w:w="1531" w:type="dxa"/>
            <w:vAlign w:val="bottom"/>
          </w:tcPr>
          <w:p w14:paraId="49A1F5D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5617699" w14:textId="77777777" w:rsidR="008E5DE4" w:rsidRDefault="008E5DE4">
            <w:pPr>
              <w:widowControl w:val="0"/>
              <w:pBdr>
                <w:top w:val="nil"/>
                <w:left w:val="nil"/>
                <w:bottom w:val="nil"/>
                <w:right w:val="nil"/>
                <w:between w:val="nil"/>
              </w:pBdr>
              <w:jc w:val="right"/>
              <w:rPr>
                <w:color w:val="000000"/>
              </w:rPr>
            </w:pPr>
          </w:p>
        </w:tc>
      </w:tr>
      <w:tr w:rsidR="008E5DE4" w14:paraId="77E7D09B" w14:textId="77777777">
        <w:trPr>
          <w:cantSplit/>
        </w:trPr>
        <w:tc>
          <w:tcPr>
            <w:tcW w:w="6299" w:type="dxa"/>
            <w:vAlign w:val="bottom"/>
          </w:tcPr>
          <w:p w14:paraId="60693976" w14:textId="77777777" w:rsidR="008E5DE4" w:rsidRDefault="00780368">
            <w:pPr>
              <w:widowControl w:val="0"/>
              <w:pBdr>
                <w:top w:val="nil"/>
                <w:left w:val="nil"/>
                <w:bottom w:val="nil"/>
                <w:right w:val="nil"/>
                <w:between w:val="nil"/>
              </w:pBdr>
              <w:rPr>
                <w:color w:val="000000"/>
              </w:rPr>
            </w:pPr>
            <w:r>
              <w:rPr>
                <w:color w:val="000000"/>
              </w:rPr>
              <w:t>Other movements</w:t>
            </w:r>
          </w:p>
        </w:tc>
        <w:tc>
          <w:tcPr>
            <w:tcW w:w="1531" w:type="dxa"/>
            <w:vAlign w:val="bottom"/>
          </w:tcPr>
          <w:p w14:paraId="3FCE580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A130D08" w14:textId="77777777" w:rsidR="008E5DE4" w:rsidRDefault="008E5DE4">
            <w:pPr>
              <w:widowControl w:val="0"/>
              <w:pBdr>
                <w:top w:val="nil"/>
                <w:left w:val="nil"/>
                <w:bottom w:val="nil"/>
                <w:right w:val="nil"/>
                <w:between w:val="nil"/>
              </w:pBdr>
              <w:jc w:val="right"/>
              <w:rPr>
                <w:color w:val="000000"/>
              </w:rPr>
            </w:pPr>
          </w:p>
        </w:tc>
      </w:tr>
      <w:tr w:rsidR="008E5DE4" w14:paraId="73DCFF06" w14:textId="77777777">
        <w:trPr>
          <w:cantSplit/>
        </w:trPr>
        <w:tc>
          <w:tcPr>
            <w:tcW w:w="6299" w:type="dxa"/>
            <w:tcBorders>
              <w:bottom w:val="single" w:sz="4" w:space="0" w:color="000000"/>
            </w:tcBorders>
            <w:vAlign w:val="bottom"/>
          </w:tcPr>
          <w:p w14:paraId="133ACF4F" w14:textId="77777777" w:rsidR="008E5DE4" w:rsidRDefault="008E5DE4">
            <w:pPr>
              <w:widowControl w:val="0"/>
              <w:pBdr>
                <w:top w:val="nil"/>
                <w:left w:val="nil"/>
                <w:bottom w:val="nil"/>
                <w:right w:val="nil"/>
                <w:between w:val="nil"/>
              </w:pBdr>
              <w:rPr>
                <w:color w:val="000000"/>
              </w:rPr>
            </w:pPr>
          </w:p>
        </w:tc>
        <w:tc>
          <w:tcPr>
            <w:tcW w:w="1531" w:type="dxa"/>
            <w:tcBorders>
              <w:bottom w:val="single" w:sz="4" w:space="0" w:color="000000"/>
            </w:tcBorders>
            <w:vAlign w:val="bottom"/>
          </w:tcPr>
          <w:p w14:paraId="522FCD0F"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0EDA9D9B" w14:textId="77777777" w:rsidR="008E5DE4" w:rsidRDefault="008E5DE4">
            <w:pPr>
              <w:widowControl w:val="0"/>
              <w:pBdr>
                <w:top w:val="nil"/>
                <w:left w:val="nil"/>
                <w:bottom w:val="nil"/>
                <w:right w:val="nil"/>
                <w:between w:val="nil"/>
              </w:pBdr>
              <w:jc w:val="right"/>
              <w:rPr>
                <w:color w:val="000000"/>
              </w:rPr>
            </w:pPr>
          </w:p>
        </w:tc>
      </w:tr>
      <w:tr w:rsidR="008E5DE4" w14:paraId="0DC140C6" w14:textId="77777777">
        <w:trPr>
          <w:cantSplit/>
        </w:trPr>
        <w:tc>
          <w:tcPr>
            <w:tcW w:w="6299" w:type="dxa"/>
            <w:tcBorders>
              <w:top w:val="single" w:sz="4" w:space="0" w:color="000000"/>
            </w:tcBorders>
            <w:vAlign w:val="bottom"/>
          </w:tcPr>
          <w:p w14:paraId="00308078" w14:textId="77777777" w:rsidR="008E5DE4" w:rsidRDefault="008E5DE4">
            <w:pPr>
              <w:widowControl w:val="0"/>
              <w:pBdr>
                <w:top w:val="nil"/>
                <w:left w:val="nil"/>
                <w:bottom w:val="nil"/>
                <w:right w:val="nil"/>
                <w:between w:val="nil"/>
              </w:pBdr>
              <w:rPr>
                <w:color w:val="000000"/>
              </w:rPr>
            </w:pPr>
          </w:p>
        </w:tc>
        <w:tc>
          <w:tcPr>
            <w:tcW w:w="1531" w:type="dxa"/>
            <w:tcBorders>
              <w:top w:val="single" w:sz="4" w:space="0" w:color="000000"/>
            </w:tcBorders>
            <w:vAlign w:val="bottom"/>
          </w:tcPr>
          <w:p w14:paraId="5FBD35A9"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78C08BD4" w14:textId="77777777" w:rsidR="008E5DE4" w:rsidRDefault="008E5DE4">
            <w:pPr>
              <w:widowControl w:val="0"/>
              <w:pBdr>
                <w:top w:val="nil"/>
                <w:left w:val="nil"/>
                <w:bottom w:val="nil"/>
                <w:right w:val="nil"/>
                <w:between w:val="nil"/>
              </w:pBdr>
              <w:jc w:val="right"/>
              <w:rPr>
                <w:color w:val="000000"/>
              </w:rPr>
            </w:pPr>
          </w:p>
        </w:tc>
      </w:tr>
      <w:tr w:rsidR="008E5DE4" w14:paraId="52F525B8" w14:textId="77777777">
        <w:trPr>
          <w:cantSplit/>
        </w:trPr>
        <w:tc>
          <w:tcPr>
            <w:tcW w:w="6299" w:type="dxa"/>
            <w:vAlign w:val="bottom"/>
          </w:tcPr>
          <w:p w14:paraId="49DEB00A" w14:textId="77777777" w:rsidR="008E5DE4" w:rsidRDefault="00780368">
            <w:pPr>
              <w:widowControl w:val="0"/>
              <w:pBdr>
                <w:top w:val="nil"/>
                <w:left w:val="nil"/>
                <w:bottom w:val="nil"/>
                <w:right w:val="nil"/>
                <w:between w:val="nil"/>
              </w:pBdr>
              <w:rPr>
                <w:b/>
                <w:color w:val="000000"/>
              </w:rPr>
            </w:pPr>
            <w:r>
              <w:rPr>
                <w:b/>
                <w:color w:val="000000"/>
              </w:rPr>
              <w:t xml:space="preserve">Balance </w:t>
            </w:r>
            <w:proofErr w:type="gramStart"/>
            <w:r>
              <w:rPr>
                <w:b/>
                <w:color w:val="000000"/>
              </w:rPr>
              <w:t>at</w:t>
            </w:r>
            <w:proofErr w:type="gramEnd"/>
            <w:r>
              <w:rPr>
                <w:b/>
                <w:color w:val="000000"/>
              </w:rPr>
              <w:t xml:space="preserve"> 31 December </w:t>
            </w:r>
          </w:p>
        </w:tc>
        <w:tc>
          <w:tcPr>
            <w:tcW w:w="1531" w:type="dxa"/>
            <w:vAlign w:val="bottom"/>
          </w:tcPr>
          <w:p w14:paraId="7F144DBD"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48F75142" w14:textId="77777777" w:rsidR="008E5DE4" w:rsidRDefault="008E5DE4">
            <w:pPr>
              <w:widowControl w:val="0"/>
              <w:pBdr>
                <w:top w:val="nil"/>
                <w:left w:val="nil"/>
                <w:bottom w:val="nil"/>
                <w:right w:val="nil"/>
                <w:between w:val="nil"/>
              </w:pBdr>
              <w:jc w:val="right"/>
              <w:rPr>
                <w:b/>
                <w:color w:val="000000"/>
              </w:rPr>
            </w:pPr>
          </w:p>
        </w:tc>
      </w:tr>
      <w:tr w:rsidR="008E5DE4" w14:paraId="169D253D" w14:textId="77777777">
        <w:trPr>
          <w:cantSplit/>
        </w:trPr>
        <w:tc>
          <w:tcPr>
            <w:tcW w:w="6299" w:type="dxa"/>
            <w:tcBorders>
              <w:bottom w:val="single" w:sz="12" w:space="0" w:color="000000"/>
            </w:tcBorders>
            <w:vAlign w:val="bottom"/>
          </w:tcPr>
          <w:p w14:paraId="21B4EE65" w14:textId="77777777" w:rsidR="008E5DE4" w:rsidRDefault="008E5DE4">
            <w:pPr>
              <w:widowControl w:val="0"/>
              <w:pBdr>
                <w:top w:val="nil"/>
                <w:left w:val="nil"/>
                <w:bottom w:val="nil"/>
                <w:right w:val="nil"/>
                <w:between w:val="nil"/>
              </w:pBdr>
              <w:rPr>
                <w:color w:val="000000"/>
              </w:rPr>
            </w:pPr>
          </w:p>
        </w:tc>
        <w:tc>
          <w:tcPr>
            <w:tcW w:w="1531" w:type="dxa"/>
            <w:tcBorders>
              <w:bottom w:val="single" w:sz="12" w:space="0" w:color="000000"/>
            </w:tcBorders>
            <w:vAlign w:val="bottom"/>
          </w:tcPr>
          <w:p w14:paraId="352A5768"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34680BE5" w14:textId="77777777" w:rsidR="008E5DE4" w:rsidRDefault="008E5DE4">
            <w:pPr>
              <w:widowControl w:val="0"/>
              <w:pBdr>
                <w:top w:val="nil"/>
                <w:left w:val="nil"/>
                <w:bottom w:val="nil"/>
                <w:right w:val="nil"/>
                <w:between w:val="nil"/>
              </w:pBdr>
              <w:jc w:val="right"/>
              <w:rPr>
                <w:color w:val="000000"/>
              </w:rPr>
            </w:pPr>
          </w:p>
        </w:tc>
      </w:tr>
    </w:tbl>
    <w:p w14:paraId="119FFC28" w14:textId="3088E3B5" w:rsidR="008E5DE4" w:rsidRDefault="00780368">
      <w:pPr>
        <w:pBdr>
          <w:top w:val="nil"/>
          <w:left w:val="nil"/>
          <w:bottom w:val="nil"/>
          <w:right w:val="nil"/>
          <w:between w:val="nil"/>
        </w:pBdr>
        <w:spacing w:before="200" w:after="200"/>
        <w:jc w:val="both"/>
        <w:rPr>
          <w:color w:val="3820EC"/>
          <w:sz w:val="20"/>
          <w:szCs w:val="20"/>
        </w:rPr>
      </w:pPr>
      <w:r>
        <w:rPr>
          <w:color w:val="3820EC"/>
          <w:sz w:val="20"/>
          <w:szCs w:val="20"/>
        </w:rPr>
        <w:t>[</w:t>
      </w:r>
      <w:proofErr w:type="gramStart"/>
      <w:r>
        <w:rPr>
          <w:color w:val="3820EC"/>
          <w:sz w:val="20"/>
          <w:szCs w:val="20"/>
        </w:rPr>
        <w:t>At</w:t>
      </w:r>
      <w:proofErr w:type="gramEnd"/>
      <w:r>
        <w:rPr>
          <w:color w:val="3820EC"/>
          <w:sz w:val="20"/>
          <w:szCs w:val="20"/>
        </w:rPr>
        <w:t xml:space="preserve"> 31 December </w:t>
      </w:r>
      <w:r w:rsidR="008614F8">
        <w:rPr>
          <w:color w:val="3820EC"/>
          <w:sz w:val="20"/>
          <w:szCs w:val="20"/>
        </w:rPr>
        <w:t>2025</w:t>
      </w:r>
      <w:r>
        <w:rPr>
          <w:color w:val="3820EC"/>
          <w:sz w:val="20"/>
          <w:szCs w:val="20"/>
        </w:rPr>
        <w:t xml:space="preserve"> the Group recognised EUR___ </w:t>
      </w:r>
      <w:proofErr w:type="spellStart"/>
      <w:r>
        <w:rPr>
          <w:color w:val="3820EC"/>
          <w:sz w:val="20"/>
          <w:szCs w:val="20"/>
        </w:rPr>
        <w:t>thousand</w:t>
      </w:r>
      <w:proofErr w:type="spellEnd"/>
      <w:r>
        <w:rPr>
          <w:color w:val="3820EC"/>
          <w:sz w:val="20"/>
          <w:szCs w:val="20"/>
        </w:rPr>
        <w:t xml:space="preserve"> of contract liabilities</w:t>
      </w:r>
      <w:r>
        <w:rPr>
          <w:color w:val="000000"/>
          <w:sz w:val="20"/>
          <w:szCs w:val="20"/>
        </w:rPr>
        <w:t xml:space="preserve"> </w:t>
      </w:r>
      <w:r>
        <w:rPr>
          <w:color w:val="3820EC"/>
          <w:sz w:val="20"/>
          <w:szCs w:val="20"/>
        </w:rPr>
        <w:t>in respect of the following contracts: [….] (</w:t>
      </w:r>
      <w:proofErr w:type="gramStart"/>
      <w:r>
        <w:rPr>
          <w:color w:val="3820EC"/>
          <w:sz w:val="20"/>
          <w:szCs w:val="20"/>
        </w:rPr>
        <w:t>at</w:t>
      </w:r>
      <w:proofErr w:type="gramEnd"/>
      <w:r>
        <w:rPr>
          <w:color w:val="3820EC"/>
          <w:sz w:val="20"/>
          <w:szCs w:val="20"/>
        </w:rPr>
        <w:t xml:space="preserve"> 31 December </w:t>
      </w:r>
      <w:r w:rsidR="00FF468A">
        <w:rPr>
          <w:color w:val="3820EC"/>
          <w:sz w:val="20"/>
          <w:szCs w:val="20"/>
        </w:rPr>
        <w:t>2024</w:t>
      </w:r>
      <w:r>
        <w:rPr>
          <w:color w:val="3820EC"/>
          <w:sz w:val="20"/>
          <w:szCs w:val="20"/>
        </w:rPr>
        <w:t>:</w:t>
      </w:r>
      <w:r w:rsidR="00176789">
        <w:rPr>
          <w:color w:val="3820EC"/>
          <w:sz w:val="20"/>
          <w:szCs w:val="20"/>
        </w:rPr>
        <w:t xml:space="preserve"> </w:t>
      </w:r>
      <w:r>
        <w:rPr>
          <w:color w:val="3820EC"/>
          <w:sz w:val="20"/>
          <w:szCs w:val="20"/>
        </w:rPr>
        <w:t>EUR ___ thousand).]</w:t>
      </w:r>
    </w:p>
    <w:p w14:paraId="419940C8" w14:textId="77777777" w:rsidR="008E5DE4" w:rsidRDefault="00780368">
      <w:pPr>
        <w:pBdr>
          <w:top w:val="nil"/>
          <w:left w:val="nil"/>
          <w:bottom w:val="nil"/>
          <w:right w:val="nil"/>
          <w:between w:val="nil"/>
        </w:pBdr>
        <w:spacing w:before="200" w:after="200"/>
        <w:jc w:val="both"/>
        <w:rPr>
          <w:color w:val="000000"/>
          <w:sz w:val="20"/>
          <w:szCs w:val="20"/>
        </w:rPr>
      </w:pPr>
      <w:r>
        <w:rPr>
          <w:color w:val="000000"/>
          <w:sz w:val="20"/>
          <w:szCs w:val="20"/>
        </w:rPr>
        <w:t>Significant changes in contract assets and contract liabilities.</w:t>
      </w:r>
    </w:p>
    <w:p w14:paraId="37990466" w14:textId="77777777" w:rsidR="008E5DE4" w:rsidRDefault="00780368">
      <w:pPr>
        <w:pageBreakBefore/>
        <w:pBdr>
          <w:top w:val="nil"/>
          <w:left w:val="nil"/>
          <w:bottom w:val="nil"/>
          <w:right w:val="nil"/>
          <w:between w:val="nil"/>
        </w:pBdr>
        <w:spacing w:after="240"/>
        <w:ind w:left="567" w:hanging="567"/>
        <w:jc w:val="both"/>
        <w:rPr>
          <w:b/>
          <w:i/>
          <w:color w:val="0000FF"/>
          <w:sz w:val="20"/>
          <w:szCs w:val="20"/>
        </w:rPr>
      </w:pPr>
      <w:r>
        <w:rPr>
          <w:b/>
          <w:color w:val="000000"/>
          <w:sz w:val="20"/>
          <w:szCs w:val="20"/>
        </w:rPr>
        <w:lastRenderedPageBreak/>
        <w:t>21</w:t>
      </w:r>
      <w:r>
        <w:rPr>
          <w:b/>
          <w:color w:val="000000"/>
          <w:sz w:val="20"/>
          <w:szCs w:val="20"/>
        </w:rPr>
        <w:tab/>
        <w:t>Assets and Liabilities Arising from Contracts with Customers (Continued)</w:t>
      </w:r>
    </w:p>
    <w:p w14:paraId="044A9925" w14:textId="77777777" w:rsidR="008E5DE4" w:rsidRDefault="00780368">
      <w:pPr>
        <w:pBdr>
          <w:top w:val="nil"/>
          <w:left w:val="nil"/>
          <w:bottom w:val="nil"/>
          <w:right w:val="nil"/>
          <w:between w:val="nil"/>
        </w:pBdr>
        <w:spacing w:before="200" w:after="200"/>
        <w:jc w:val="both"/>
        <w:rPr>
          <w:color w:val="000000"/>
          <w:sz w:val="20"/>
          <w:szCs w:val="20"/>
        </w:rPr>
      </w:pPr>
      <w:r>
        <w:rPr>
          <w:color w:val="000000"/>
          <w:sz w:val="20"/>
          <w:szCs w:val="20"/>
        </w:rPr>
        <w:t>Revenue recognised in relation to contract liabilities.</w:t>
      </w:r>
    </w:p>
    <w:p w14:paraId="3CE1DCFC" w14:textId="58E92C37" w:rsidR="008E5DE4" w:rsidRDefault="00780368">
      <w:pPr>
        <w:pBdr>
          <w:top w:val="nil"/>
          <w:left w:val="nil"/>
          <w:bottom w:val="nil"/>
          <w:right w:val="nil"/>
          <w:between w:val="nil"/>
        </w:pBdr>
        <w:spacing w:before="200" w:after="200"/>
        <w:jc w:val="both"/>
        <w:rPr>
          <w:color w:val="3820EC"/>
          <w:sz w:val="20"/>
          <w:szCs w:val="20"/>
        </w:rPr>
      </w:pPr>
      <w:r>
        <w:rPr>
          <w:color w:val="3820EC"/>
          <w:sz w:val="20"/>
          <w:szCs w:val="20"/>
        </w:rPr>
        <w:t xml:space="preserve">[ EUR___ </w:t>
      </w:r>
      <w:proofErr w:type="spellStart"/>
      <w:r>
        <w:rPr>
          <w:color w:val="3820EC"/>
          <w:sz w:val="20"/>
          <w:szCs w:val="20"/>
        </w:rPr>
        <w:t>thousand</w:t>
      </w:r>
      <w:proofErr w:type="spellEnd"/>
      <w:r>
        <w:rPr>
          <w:color w:val="3820EC"/>
          <w:sz w:val="20"/>
          <w:szCs w:val="20"/>
        </w:rPr>
        <w:t xml:space="preserve"> of revenue was recognised in the current reporting period related to the contract liabilities as </w:t>
      </w:r>
      <w:proofErr w:type="gramStart"/>
      <w:r>
        <w:rPr>
          <w:color w:val="3820EC"/>
          <w:sz w:val="20"/>
          <w:szCs w:val="20"/>
        </w:rPr>
        <w:t>at</w:t>
      </w:r>
      <w:proofErr w:type="gramEnd"/>
      <w:r>
        <w:rPr>
          <w:color w:val="3820EC"/>
          <w:sz w:val="20"/>
          <w:szCs w:val="20"/>
        </w:rPr>
        <w:t xml:space="preserve"> 31 December </w:t>
      </w:r>
      <w:r w:rsidR="008614F8">
        <w:rPr>
          <w:color w:val="3820EC"/>
          <w:sz w:val="20"/>
          <w:szCs w:val="20"/>
        </w:rPr>
        <w:t>2025</w:t>
      </w:r>
      <w:r>
        <w:rPr>
          <w:color w:val="3820EC"/>
          <w:sz w:val="20"/>
          <w:szCs w:val="20"/>
        </w:rPr>
        <w:t xml:space="preserve"> (</w:t>
      </w:r>
      <w:r w:rsidR="00FF468A">
        <w:rPr>
          <w:color w:val="3820EC"/>
          <w:sz w:val="20"/>
          <w:szCs w:val="20"/>
        </w:rPr>
        <w:t>2024</w:t>
      </w:r>
      <w:r>
        <w:rPr>
          <w:color w:val="3820EC"/>
          <w:sz w:val="20"/>
          <w:szCs w:val="20"/>
        </w:rPr>
        <w:t>:</w:t>
      </w:r>
      <w:r w:rsidR="00176789">
        <w:rPr>
          <w:color w:val="3820EC"/>
          <w:sz w:val="20"/>
          <w:szCs w:val="20"/>
        </w:rPr>
        <w:t xml:space="preserve"> </w:t>
      </w:r>
      <w:r>
        <w:rPr>
          <w:color w:val="3820EC"/>
          <w:sz w:val="20"/>
          <w:szCs w:val="20"/>
        </w:rPr>
        <w:t>EUR ___ thousand), of which EUR ___ thousand (</w:t>
      </w:r>
      <w:r w:rsidR="00FF468A">
        <w:rPr>
          <w:color w:val="3820EC"/>
          <w:sz w:val="20"/>
          <w:szCs w:val="20"/>
        </w:rPr>
        <w:t>2024</w:t>
      </w:r>
      <w:r>
        <w:rPr>
          <w:color w:val="3820EC"/>
          <w:sz w:val="20"/>
          <w:szCs w:val="20"/>
        </w:rPr>
        <w:t>:</w:t>
      </w:r>
      <w:r w:rsidR="00176789">
        <w:rPr>
          <w:color w:val="3820EC"/>
          <w:sz w:val="20"/>
          <w:szCs w:val="20"/>
        </w:rPr>
        <w:t xml:space="preserve"> </w:t>
      </w:r>
      <w:r>
        <w:rPr>
          <w:color w:val="3820EC"/>
          <w:sz w:val="20"/>
          <w:szCs w:val="20"/>
        </w:rPr>
        <w:t>EUR ___ thousand) related to advances and EUR ___ thousand (</w:t>
      </w:r>
      <w:r w:rsidR="00FF468A">
        <w:rPr>
          <w:color w:val="3820EC"/>
          <w:sz w:val="20"/>
          <w:szCs w:val="20"/>
        </w:rPr>
        <w:t>2024</w:t>
      </w:r>
      <w:r>
        <w:rPr>
          <w:color w:val="3820EC"/>
          <w:sz w:val="20"/>
          <w:szCs w:val="20"/>
        </w:rPr>
        <w:t>:</w:t>
      </w:r>
      <w:r w:rsidR="00176789">
        <w:rPr>
          <w:color w:val="3820EC"/>
          <w:sz w:val="20"/>
          <w:szCs w:val="20"/>
        </w:rPr>
        <w:t xml:space="preserve"> </w:t>
      </w:r>
      <w:r>
        <w:rPr>
          <w:color w:val="3820EC"/>
          <w:sz w:val="20"/>
          <w:szCs w:val="20"/>
        </w:rPr>
        <w:t>EUR ___ thousand) – to customer loyalty programme.]</w:t>
      </w:r>
    </w:p>
    <w:p w14:paraId="3FE78065" w14:textId="77777777" w:rsidR="008E5DE4" w:rsidRDefault="00780368">
      <w:pPr>
        <w:pBdr>
          <w:top w:val="nil"/>
          <w:left w:val="nil"/>
          <w:bottom w:val="nil"/>
          <w:right w:val="nil"/>
          <w:between w:val="nil"/>
        </w:pBdr>
        <w:spacing w:before="200" w:after="200"/>
        <w:jc w:val="both"/>
        <w:rPr>
          <w:color w:val="000000"/>
          <w:sz w:val="20"/>
          <w:szCs w:val="20"/>
        </w:rPr>
      </w:pPr>
      <w:r>
        <w:rPr>
          <w:color w:val="000000"/>
          <w:sz w:val="20"/>
          <w:szCs w:val="20"/>
        </w:rPr>
        <w:t>Unsatisfied long-term contracts with customers</w:t>
      </w:r>
    </w:p>
    <w:p w14:paraId="2F357C28" w14:textId="04522EA6" w:rsidR="008E5DE4" w:rsidRDefault="00780368">
      <w:pPr>
        <w:spacing w:before="200" w:after="200"/>
        <w:jc w:val="both"/>
        <w:rPr>
          <w:rFonts w:ascii="Georgia" w:eastAsia="Georgia" w:hAnsi="Georgia" w:cs="Georgia"/>
          <w:i/>
          <w:sz w:val="20"/>
          <w:szCs w:val="20"/>
        </w:rPr>
      </w:pPr>
      <w:r>
        <w:rPr>
          <w:sz w:val="20"/>
          <w:szCs w:val="20"/>
        </w:rPr>
        <w:t>The following table presents information on unsatisfied performance obligations resulting from long-term contracts with customers</w:t>
      </w:r>
      <w:r>
        <w:rPr>
          <w:color w:val="3820EC"/>
          <w:sz w:val="20"/>
          <w:szCs w:val="20"/>
        </w:rPr>
        <w:t xml:space="preserve"> </w:t>
      </w:r>
      <w:proofErr w:type="gramStart"/>
      <w:r w:rsidRPr="007F183E">
        <w:rPr>
          <w:iCs/>
          <w:color w:val="0000FF"/>
          <w:sz w:val="20"/>
          <w:szCs w:val="20"/>
        </w:rPr>
        <w:t>[</w:t>
      </w:r>
      <w:r w:rsidR="006F68D0" w:rsidRPr="007F183E">
        <w:rPr>
          <w:iCs/>
          <w:color w:val="0000FF"/>
          <w:sz w:val="20"/>
          <w:szCs w:val="20"/>
        </w:rPr>
        <w:t xml:space="preserve"> </w:t>
      </w:r>
      <w:r w:rsidR="00176789">
        <w:rPr>
          <w:iCs/>
          <w:color w:val="0000FF"/>
          <w:sz w:val="20"/>
          <w:szCs w:val="20"/>
        </w:rPr>
        <w:t xml:space="preserve"> </w:t>
      </w:r>
      <w:r w:rsidRPr="007F183E">
        <w:rPr>
          <w:iCs/>
          <w:color w:val="0000FF"/>
          <w:sz w:val="20"/>
          <w:szCs w:val="20"/>
        </w:rPr>
        <w:t>]</w:t>
      </w:r>
      <w:proofErr w:type="gramEnd"/>
      <w:r>
        <w:rPr>
          <w:color w:val="3820EC"/>
          <w:sz w:val="20"/>
          <w:szCs w:val="20"/>
        </w:rPr>
        <w:t xml:space="preserve">. </w:t>
      </w:r>
    </w:p>
    <w:tbl>
      <w:tblPr>
        <w:tblStyle w:val="affffff4"/>
        <w:tblW w:w="9355" w:type="dxa"/>
        <w:tblLayout w:type="fixed"/>
        <w:tblLook w:val="0400" w:firstRow="0" w:lastRow="0" w:firstColumn="0" w:lastColumn="0" w:noHBand="0" w:noVBand="1"/>
      </w:tblPr>
      <w:tblGrid>
        <w:gridCol w:w="5726"/>
        <w:gridCol w:w="567"/>
        <w:gridCol w:w="1531"/>
        <w:gridCol w:w="1531"/>
      </w:tblGrid>
      <w:tr w:rsidR="008E5DE4" w14:paraId="1BC4D088" w14:textId="77777777">
        <w:trPr>
          <w:cantSplit/>
        </w:trPr>
        <w:tc>
          <w:tcPr>
            <w:tcW w:w="5726" w:type="dxa"/>
            <w:tcBorders>
              <w:bottom w:val="single" w:sz="4" w:space="0" w:color="000000"/>
            </w:tcBorders>
            <w:vAlign w:val="bottom"/>
          </w:tcPr>
          <w:p w14:paraId="31E8DFBA"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567" w:type="dxa"/>
            <w:tcBorders>
              <w:bottom w:val="single" w:sz="4" w:space="0" w:color="000000"/>
            </w:tcBorders>
            <w:vAlign w:val="bottom"/>
          </w:tcPr>
          <w:p w14:paraId="4DDBAA34" w14:textId="77777777" w:rsidR="008E5DE4" w:rsidRDefault="00780368">
            <w:pPr>
              <w:widowControl w:val="0"/>
              <w:ind w:left="-57" w:right="-57"/>
              <w:jc w:val="center"/>
              <w:rPr>
                <w:b/>
              </w:rPr>
            </w:pPr>
            <w:r>
              <w:rPr>
                <w:b/>
              </w:rPr>
              <w:t>Note</w:t>
            </w:r>
          </w:p>
        </w:tc>
        <w:tc>
          <w:tcPr>
            <w:tcW w:w="1531" w:type="dxa"/>
            <w:tcBorders>
              <w:bottom w:val="single" w:sz="4" w:space="0" w:color="000000"/>
            </w:tcBorders>
            <w:vAlign w:val="bottom"/>
          </w:tcPr>
          <w:p w14:paraId="7F1D593D" w14:textId="0436E408" w:rsidR="008E5DE4" w:rsidRDefault="00780368">
            <w:pPr>
              <w:widowControl w:val="0"/>
              <w:jc w:val="right"/>
              <w:rPr>
                <w:b/>
              </w:rPr>
            </w:pPr>
            <w:r>
              <w:rPr>
                <w:b/>
              </w:rPr>
              <w:t xml:space="preserve">31 December </w:t>
            </w:r>
            <w:r w:rsidR="008614F8">
              <w:rPr>
                <w:b/>
              </w:rPr>
              <w:t>2025</w:t>
            </w:r>
          </w:p>
        </w:tc>
        <w:tc>
          <w:tcPr>
            <w:tcW w:w="1531" w:type="dxa"/>
            <w:tcBorders>
              <w:bottom w:val="single" w:sz="4" w:space="0" w:color="000000"/>
            </w:tcBorders>
          </w:tcPr>
          <w:p w14:paraId="23F57CE3" w14:textId="70A2144E" w:rsidR="008E5DE4" w:rsidRDefault="00780368">
            <w:pPr>
              <w:widowControl w:val="0"/>
              <w:jc w:val="right"/>
              <w:rPr>
                <w:b/>
              </w:rPr>
            </w:pPr>
            <w:r>
              <w:rPr>
                <w:b/>
              </w:rPr>
              <w:t xml:space="preserve">31 December </w:t>
            </w:r>
            <w:r w:rsidR="00FF468A">
              <w:rPr>
                <w:b/>
              </w:rPr>
              <w:t>2024</w:t>
            </w:r>
          </w:p>
        </w:tc>
      </w:tr>
      <w:tr w:rsidR="008E5DE4" w14:paraId="74543F66" w14:textId="77777777">
        <w:trPr>
          <w:cantSplit/>
        </w:trPr>
        <w:tc>
          <w:tcPr>
            <w:tcW w:w="5726" w:type="dxa"/>
            <w:tcBorders>
              <w:top w:val="single" w:sz="4" w:space="0" w:color="000000"/>
            </w:tcBorders>
            <w:vAlign w:val="bottom"/>
          </w:tcPr>
          <w:p w14:paraId="6880B07E" w14:textId="77777777" w:rsidR="008E5DE4" w:rsidRDefault="00780368">
            <w:pPr>
              <w:widowControl w:val="0"/>
              <w:ind w:left="113" w:right="-57" w:hanging="113"/>
            </w:pPr>
            <w:r>
              <w:rPr>
                <w:b/>
              </w:rPr>
              <w:t> </w:t>
            </w:r>
          </w:p>
        </w:tc>
        <w:tc>
          <w:tcPr>
            <w:tcW w:w="567" w:type="dxa"/>
            <w:tcBorders>
              <w:top w:val="single" w:sz="4" w:space="0" w:color="000000"/>
            </w:tcBorders>
            <w:vAlign w:val="bottom"/>
          </w:tcPr>
          <w:p w14:paraId="2BFFCFBB" w14:textId="77777777" w:rsidR="008E5DE4" w:rsidRDefault="008E5DE4">
            <w:pPr>
              <w:widowControl w:val="0"/>
              <w:ind w:left="-57" w:right="-57"/>
              <w:jc w:val="center"/>
            </w:pPr>
          </w:p>
        </w:tc>
        <w:tc>
          <w:tcPr>
            <w:tcW w:w="1531" w:type="dxa"/>
            <w:tcBorders>
              <w:top w:val="single" w:sz="4" w:space="0" w:color="000000"/>
            </w:tcBorders>
            <w:vAlign w:val="bottom"/>
          </w:tcPr>
          <w:p w14:paraId="0FD0F960" w14:textId="77777777" w:rsidR="008E5DE4" w:rsidRDefault="008E5DE4">
            <w:pPr>
              <w:widowControl w:val="0"/>
              <w:jc w:val="right"/>
            </w:pPr>
          </w:p>
        </w:tc>
        <w:tc>
          <w:tcPr>
            <w:tcW w:w="1531" w:type="dxa"/>
            <w:tcBorders>
              <w:top w:val="single" w:sz="4" w:space="0" w:color="000000"/>
            </w:tcBorders>
          </w:tcPr>
          <w:p w14:paraId="5EFB9371" w14:textId="77777777" w:rsidR="008E5DE4" w:rsidRDefault="008E5DE4">
            <w:pPr>
              <w:widowControl w:val="0"/>
              <w:jc w:val="right"/>
            </w:pPr>
          </w:p>
        </w:tc>
      </w:tr>
      <w:tr w:rsidR="008E5DE4" w14:paraId="616C24EB" w14:textId="77777777">
        <w:trPr>
          <w:cantSplit/>
        </w:trPr>
        <w:tc>
          <w:tcPr>
            <w:tcW w:w="5726" w:type="dxa"/>
            <w:vAlign w:val="bottom"/>
          </w:tcPr>
          <w:p w14:paraId="5F1114BA" w14:textId="77777777" w:rsidR="008E5DE4" w:rsidRDefault="00780368">
            <w:pPr>
              <w:widowControl w:val="0"/>
              <w:ind w:left="113" w:right="-57" w:hanging="113"/>
            </w:pPr>
            <w:r>
              <w:t>Aggregate amount of the transaction price allocated to long-term contracts that are fully unsatisfied</w:t>
            </w:r>
          </w:p>
        </w:tc>
        <w:tc>
          <w:tcPr>
            <w:tcW w:w="567" w:type="dxa"/>
            <w:vAlign w:val="bottom"/>
          </w:tcPr>
          <w:p w14:paraId="2D551A55" w14:textId="77777777" w:rsidR="008E5DE4" w:rsidRDefault="008E5DE4">
            <w:pPr>
              <w:widowControl w:val="0"/>
              <w:ind w:left="-57" w:right="-57"/>
              <w:jc w:val="center"/>
            </w:pPr>
          </w:p>
        </w:tc>
        <w:tc>
          <w:tcPr>
            <w:tcW w:w="1531" w:type="dxa"/>
            <w:vAlign w:val="bottom"/>
          </w:tcPr>
          <w:p w14:paraId="34E004E6" w14:textId="77777777" w:rsidR="008E5DE4" w:rsidRDefault="008E5DE4">
            <w:pPr>
              <w:widowControl w:val="0"/>
              <w:jc w:val="right"/>
            </w:pPr>
          </w:p>
        </w:tc>
        <w:tc>
          <w:tcPr>
            <w:tcW w:w="1531" w:type="dxa"/>
          </w:tcPr>
          <w:p w14:paraId="1128B31D" w14:textId="77777777" w:rsidR="008E5DE4" w:rsidRDefault="008E5DE4">
            <w:pPr>
              <w:widowControl w:val="0"/>
              <w:jc w:val="right"/>
            </w:pPr>
          </w:p>
        </w:tc>
      </w:tr>
      <w:tr w:rsidR="008E5DE4" w14:paraId="32E2396C" w14:textId="77777777">
        <w:trPr>
          <w:cantSplit/>
        </w:trPr>
        <w:tc>
          <w:tcPr>
            <w:tcW w:w="5726" w:type="dxa"/>
            <w:vAlign w:val="bottom"/>
          </w:tcPr>
          <w:p w14:paraId="0CD12CDB" w14:textId="77777777" w:rsidR="008E5DE4" w:rsidRDefault="008E5DE4">
            <w:pPr>
              <w:widowControl w:val="0"/>
              <w:ind w:left="113" w:right="-57" w:hanging="113"/>
            </w:pPr>
          </w:p>
        </w:tc>
        <w:tc>
          <w:tcPr>
            <w:tcW w:w="567" w:type="dxa"/>
            <w:vAlign w:val="bottom"/>
          </w:tcPr>
          <w:p w14:paraId="4FB28D19" w14:textId="77777777" w:rsidR="008E5DE4" w:rsidRDefault="008E5DE4">
            <w:pPr>
              <w:widowControl w:val="0"/>
              <w:ind w:left="-57" w:right="-57"/>
              <w:jc w:val="center"/>
            </w:pPr>
          </w:p>
        </w:tc>
        <w:tc>
          <w:tcPr>
            <w:tcW w:w="1531" w:type="dxa"/>
            <w:vAlign w:val="bottom"/>
          </w:tcPr>
          <w:p w14:paraId="0FDBD320" w14:textId="77777777" w:rsidR="008E5DE4" w:rsidRDefault="008E5DE4">
            <w:pPr>
              <w:widowControl w:val="0"/>
              <w:jc w:val="right"/>
            </w:pPr>
          </w:p>
        </w:tc>
        <w:tc>
          <w:tcPr>
            <w:tcW w:w="1531" w:type="dxa"/>
          </w:tcPr>
          <w:p w14:paraId="7F3F1A55" w14:textId="77777777" w:rsidR="008E5DE4" w:rsidRDefault="008E5DE4">
            <w:pPr>
              <w:widowControl w:val="0"/>
              <w:jc w:val="right"/>
            </w:pPr>
          </w:p>
        </w:tc>
      </w:tr>
      <w:tr w:rsidR="008E5DE4" w14:paraId="765BDFE7" w14:textId="77777777">
        <w:trPr>
          <w:cantSplit/>
        </w:trPr>
        <w:tc>
          <w:tcPr>
            <w:tcW w:w="5726" w:type="dxa"/>
            <w:vAlign w:val="bottom"/>
          </w:tcPr>
          <w:p w14:paraId="2BC1B888" w14:textId="77777777" w:rsidR="008E5DE4" w:rsidRDefault="00780368">
            <w:pPr>
              <w:widowControl w:val="0"/>
              <w:ind w:left="113" w:right="-57" w:hanging="113"/>
            </w:pPr>
            <w:r>
              <w:t>Aggregate amount of the transaction price allocated to long-term contracts that are partially unsatisfied</w:t>
            </w:r>
          </w:p>
        </w:tc>
        <w:tc>
          <w:tcPr>
            <w:tcW w:w="567" w:type="dxa"/>
            <w:vAlign w:val="bottom"/>
          </w:tcPr>
          <w:p w14:paraId="41D0FA25" w14:textId="77777777" w:rsidR="008E5DE4" w:rsidRDefault="008E5DE4">
            <w:pPr>
              <w:widowControl w:val="0"/>
              <w:ind w:left="-57" w:right="-57"/>
              <w:jc w:val="center"/>
            </w:pPr>
          </w:p>
        </w:tc>
        <w:tc>
          <w:tcPr>
            <w:tcW w:w="1531" w:type="dxa"/>
            <w:vAlign w:val="bottom"/>
          </w:tcPr>
          <w:p w14:paraId="091934E3" w14:textId="77777777" w:rsidR="008E5DE4" w:rsidRDefault="008E5DE4">
            <w:pPr>
              <w:widowControl w:val="0"/>
              <w:jc w:val="right"/>
            </w:pPr>
          </w:p>
        </w:tc>
        <w:tc>
          <w:tcPr>
            <w:tcW w:w="1531" w:type="dxa"/>
          </w:tcPr>
          <w:p w14:paraId="270E9AF8" w14:textId="77777777" w:rsidR="008E5DE4" w:rsidRDefault="008E5DE4">
            <w:pPr>
              <w:widowControl w:val="0"/>
              <w:jc w:val="right"/>
            </w:pPr>
          </w:p>
        </w:tc>
      </w:tr>
      <w:tr w:rsidR="008E5DE4" w14:paraId="2B1B50C6" w14:textId="77777777">
        <w:trPr>
          <w:cantSplit/>
        </w:trPr>
        <w:tc>
          <w:tcPr>
            <w:tcW w:w="5726" w:type="dxa"/>
            <w:tcBorders>
              <w:bottom w:val="single" w:sz="12" w:space="0" w:color="000000"/>
            </w:tcBorders>
            <w:vAlign w:val="bottom"/>
          </w:tcPr>
          <w:p w14:paraId="3DA98985" w14:textId="77777777" w:rsidR="008E5DE4" w:rsidRDefault="00780368">
            <w:pPr>
              <w:widowControl w:val="0"/>
              <w:ind w:left="113" w:right="-57" w:hanging="113"/>
              <w:rPr>
                <w:b/>
              </w:rPr>
            </w:pPr>
            <w:r>
              <w:rPr>
                <w:b/>
              </w:rPr>
              <w:t> </w:t>
            </w:r>
          </w:p>
        </w:tc>
        <w:tc>
          <w:tcPr>
            <w:tcW w:w="567" w:type="dxa"/>
            <w:tcBorders>
              <w:bottom w:val="single" w:sz="12" w:space="0" w:color="000000"/>
            </w:tcBorders>
            <w:vAlign w:val="bottom"/>
          </w:tcPr>
          <w:p w14:paraId="2C0D7CAC" w14:textId="77777777" w:rsidR="008E5DE4" w:rsidRDefault="008E5DE4">
            <w:pPr>
              <w:widowControl w:val="0"/>
              <w:ind w:left="-57" w:right="-57"/>
              <w:jc w:val="center"/>
              <w:rPr>
                <w:b/>
              </w:rPr>
            </w:pPr>
          </w:p>
        </w:tc>
        <w:tc>
          <w:tcPr>
            <w:tcW w:w="1531" w:type="dxa"/>
            <w:tcBorders>
              <w:bottom w:val="single" w:sz="12" w:space="0" w:color="000000"/>
            </w:tcBorders>
            <w:vAlign w:val="bottom"/>
          </w:tcPr>
          <w:p w14:paraId="1C74A5A8" w14:textId="77777777" w:rsidR="008E5DE4" w:rsidRDefault="008E5DE4">
            <w:pPr>
              <w:widowControl w:val="0"/>
              <w:jc w:val="right"/>
              <w:rPr>
                <w:b/>
              </w:rPr>
            </w:pPr>
          </w:p>
        </w:tc>
        <w:tc>
          <w:tcPr>
            <w:tcW w:w="1531" w:type="dxa"/>
            <w:tcBorders>
              <w:bottom w:val="single" w:sz="12" w:space="0" w:color="000000"/>
            </w:tcBorders>
          </w:tcPr>
          <w:p w14:paraId="4203E956" w14:textId="77777777" w:rsidR="008E5DE4" w:rsidRDefault="008E5DE4">
            <w:pPr>
              <w:widowControl w:val="0"/>
              <w:jc w:val="right"/>
              <w:rPr>
                <w:b/>
              </w:rPr>
            </w:pPr>
          </w:p>
        </w:tc>
      </w:tr>
    </w:tbl>
    <w:p w14:paraId="7ADF839E" w14:textId="73A43CEA" w:rsidR="008E5DE4" w:rsidRDefault="00780368">
      <w:pPr>
        <w:pBdr>
          <w:top w:val="nil"/>
          <w:left w:val="nil"/>
          <w:bottom w:val="nil"/>
          <w:right w:val="nil"/>
          <w:between w:val="nil"/>
        </w:pBdr>
        <w:spacing w:before="200" w:after="200"/>
        <w:jc w:val="both"/>
        <w:rPr>
          <w:color w:val="000000"/>
          <w:sz w:val="20"/>
          <w:szCs w:val="20"/>
        </w:rPr>
      </w:pPr>
      <w:r>
        <w:rPr>
          <w:color w:val="000000"/>
          <w:sz w:val="20"/>
          <w:szCs w:val="20"/>
        </w:rPr>
        <w:t xml:space="preserve">Management expects that __ % (EUR ___ thousand) of the transaction price allocated to the unsatisfied contracts as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will be recognised as revenue during the next reporting period. The remaining __% (EUR ___ thousand) will be recognised in the ___ financial year. The amount disclosed above includes an estimate of variable consideration in the amount of ___ </w:t>
      </w:r>
      <w:r w:rsidRPr="00176789">
        <w:rPr>
          <w:color w:val="0000FF"/>
          <w:sz w:val="20"/>
          <w:szCs w:val="20"/>
        </w:rPr>
        <w:t>[does not include variable consideration of EUR ___ thousand which is constrained]</w:t>
      </w:r>
      <w:r>
        <w:rPr>
          <w:color w:val="000000"/>
          <w:sz w:val="20"/>
          <w:szCs w:val="20"/>
        </w:rPr>
        <w:t>.</w:t>
      </w:r>
    </w:p>
    <w:p w14:paraId="6BC92F2B" w14:textId="77777777" w:rsidR="008E5DE4" w:rsidRDefault="00780368">
      <w:pPr>
        <w:pBdr>
          <w:top w:val="nil"/>
          <w:left w:val="nil"/>
          <w:bottom w:val="nil"/>
          <w:right w:val="nil"/>
          <w:between w:val="nil"/>
        </w:pBdr>
        <w:spacing w:before="200" w:after="200"/>
        <w:jc w:val="both"/>
        <w:rPr>
          <w:color w:val="000000"/>
          <w:sz w:val="20"/>
          <w:szCs w:val="20"/>
        </w:rPr>
      </w:pPr>
      <w:r>
        <w:rPr>
          <w:color w:val="000000"/>
          <w:sz w:val="20"/>
          <w:szCs w:val="20"/>
        </w:rPr>
        <w:t>All other contracts are for periods of one year or less or are billed based on time incurred. As permitted by IFRS 15, the transaction price allocated to these unsatisfied contracts is not disclosed.</w:t>
      </w:r>
    </w:p>
    <w:p w14:paraId="20237EAE" w14:textId="0C0A0CD7" w:rsidR="008E5DE4" w:rsidRDefault="00C07603" w:rsidP="007F183E">
      <w:pPr>
        <w:pStyle w:val="Heading1"/>
        <w:numPr>
          <w:ilvl w:val="0"/>
          <w:numId w:val="0"/>
        </w:numPr>
        <w:ind w:left="567" w:hanging="567"/>
        <w:rPr>
          <w:color w:val="0000FF"/>
        </w:rPr>
      </w:pPr>
      <w:bookmarkStart w:id="36" w:name="_Toc149923621"/>
      <w:r>
        <w:t xml:space="preserve">22 </w:t>
      </w:r>
      <w:r>
        <w:tab/>
      </w:r>
      <w:r w:rsidR="00780368">
        <w:t>Investments in Debt Securities</w:t>
      </w:r>
      <w:bookmarkEnd w:id="36"/>
      <w:r w:rsidR="00780368">
        <w:rPr>
          <w:color w:val="0000FF"/>
        </w:rPr>
        <w:t xml:space="preserve"> </w:t>
      </w:r>
    </w:p>
    <w:p w14:paraId="0CBFAF02" w14:textId="619C914B"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576BF7E7" w14:textId="77777777" w:rsidR="008E5DE4" w:rsidRDefault="008E5DE4">
      <w:pPr>
        <w:shd w:val="clear" w:color="auto" w:fill="C6D9F1"/>
        <w:jc w:val="both"/>
        <w:rPr>
          <w:sz w:val="20"/>
          <w:szCs w:val="20"/>
        </w:rPr>
      </w:pPr>
    </w:p>
    <w:p w14:paraId="64124989"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bookmarkStart w:id="37" w:name="_heading=h.1hmsyys" w:colFirst="0" w:colLast="0"/>
      <w:bookmarkEnd w:id="37"/>
      <w:r>
        <w:rPr>
          <w:b/>
          <w:i/>
          <w:color w:val="000000"/>
          <w:sz w:val="20"/>
          <w:szCs w:val="20"/>
        </w:rPr>
        <w:t>Initial recognition</w:t>
      </w:r>
      <w:r>
        <w:rPr>
          <w:color w:val="000000"/>
          <w:sz w:val="20"/>
          <w:szCs w:val="20"/>
        </w:rPr>
        <w:t>. Investments in debt securities at FVTPL are initially recorded at fair value. All other investments in debt securities are initially recorded at fair value adjusted for transaction costs. Fair value at initial recognition is best evidenced by the transaction price. A gain or loss on initial recognition is only recorded if there is a difference between fair value and transaction price which can be evidenced by other observable current market transactions in the same instrument or by a valuation technique whose inputs include only data from observable markets. After the initial recognition, an ECL allowance is recognised for investments in debt securities measured at AC and FVOCI, resulting in an immediate accounting loss.</w:t>
      </w:r>
    </w:p>
    <w:p w14:paraId="2C9BE6D6"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All purchases and sales of investments in debt securities that require delivery within the time frame established by regulation or market convention (“regular way” purchases and sales) are recorded at trade date, which is the date on which the Group commits to deliver a financial asset. All other purchases are recognised when the Group becomes a party to the contractual provisions of the instrument.</w:t>
      </w:r>
    </w:p>
    <w:p w14:paraId="73F35FF4"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5AB50707" w14:textId="6A11A33F" w:rsidR="008E5DE4" w:rsidRDefault="00780368">
      <w:pPr>
        <w:widowControl w:val="0"/>
        <w:pBdr>
          <w:top w:val="nil"/>
          <w:left w:val="nil"/>
          <w:bottom w:val="nil"/>
          <w:right w:val="nil"/>
          <w:between w:val="nil"/>
        </w:pBdr>
        <w:shd w:val="clear" w:color="auto" w:fill="C6D9F1"/>
        <w:spacing w:before="200" w:after="200"/>
        <w:jc w:val="both"/>
        <w:rPr>
          <w:i/>
          <w:color w:val="FF0000"/>
          <w:sz w:val="20"/>
          <w:szCs w:val="20"/>
        </w:rPr>
      </w:pPr>
      <w:r>
        <w:rPr>
          <w:color w:val="0000FF"/>
          <w:sz w:val="20"/>
          <w:szCs w:val="20"/>
        </w:rPr>
        <w:t xml:space="preserve">[The Group uses [discounted cash flow] valuation techniques to determine the fair value of investments in debt securities that are not traded in an active market. Differences may arise between the fair value at initial recognition, which </w:t>
      </w:r>
      <w:proofErr w:type="gramStart"/>
      <w:r>
        <w:rPr>
          <w:color w:val="0000FF"/>
          <w:sz w:val="20"/>
          <w:szCs w:val="20"/>
        </w:rPr>
        <w:t>is considered to be</w:t>
      </w:r>
      <w:proofErr w:type="gramEnd"/>
      <w:r>
        <w:rPr>
          <w:color w:val="0000FF"/>
          <w:sz w:val="20"/>
          <w:szCs w:val="20"/>
        </w:rPr>
        <w:t xml:space="preserve"> the transaction price, and the amount determined at initial recognition using a valuation technique with level 3 inputs. If any differences remain after calibration of model inputs, such differences are amortised on a straight</w:t>
      </w:r>
      <w:r w:rsidR="00176789">
        <w:rPr>
          <w:color w:val="0000FF"/>
          <w:sz w:val="20"/>
          <w:szCs w:val="20"/>
        </w:rPr>
        <w:t>-</w:t>
      </w:r>
      <w:r>
        <w:rPr>
          <w:color w:val="0000FF"/>
          <w:sz w:val="20"/>
          <w:szCs w:val="20"/>
        </w:rPr>
        <w:t>line basis over the term of the investments in debt securities. The differences are immediately recognised in profit or loss if the valuation uses only level 1 or level 2 inputs.]</w:t>
      </w:r>
    </w:p>
    <w:p w14:paraId="6DDB8D41"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Classification and subsequent measurement – measurement categories.</w:t>
      </w:r>
      <w:r>
        <w:rPr>
          <w:color w:val="000000"/>
          <w:sz w:val="20"/>
          <w:szCs w:val="20"/>
        </w:rPr>
        <w:t xml:space="preserve"> The Group classifies investments in debt securities in the following measurement categories: FVTPL, FVOCI and AC. The classification and subsequent measurement of debt financial assets </w:t>
      </w:r>
      <w:proofErr w:type="gramStart"/>
      <w:r>
        <w:rPr>
          <w:color w:val="000000"/>
          <w:sz w:val="20"/>
          <w:szCs w:val="20"/>
        </w:rPr>
        <w:t>depends</w:t>
      </w:r>
      <w:proofErr w:type="gramEnd"/>
      <w:r>
        <w:rPr>
          <w:color w:val="000000"/>
          <w:sz w:val="20"/>
          <w:szCs w:val="20"/>
        </w:rPr>
        <w:t xml:space="preserve"> on: (</w:t>
      </w:r>
      <w:proofErr w:type="spellStart"/>
      <w:r>
        <w:rPr>
          <w:color w:val="000000"/>
          <w:sz w:val="20"/>
          <w:szCs w:val="20"/>
        </w:rPr>
        <w:t>i</w:t>
      </w:r>
      <w:proofErr w:type="spellEnd"/>
      <w:r>
        <w:rPr>
          <w:color w:val="000000"/>
          <w:sz w:val="20"/>
          <w:szCs w:val="20"/>
        </w:rPr>
        <w:t xml:space="preserve">) the Group’s business model for managing the related assets portfolio and (ii) the cash flow characteristics of the asset. </w:t>
      </w:r>
    </w:p>
    <w:p w14:paraId="1AC6DE2B"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FF0000"/>
          <w:sz w:val="20"/>
          <w:szCs w:val="20"/>
        </w:rPr>
      </w:pPr>
      <w:r>
        <w:rPr>
          <w:b/>
          <w:i/>
          <w:color w:val="000000"/>
          <w:sz w:val="20"/>
          <w:szCs w:val="20"/>
        </w:rPr>
        <w:t xml:space="preserve">Classification and subsequent measurement – business model. </w:t>
      </w:r>
      <w:r>
        <w:rPr>
          <w:color w:val="000000"/>
          <w:sz w:val="20"/>
          <w:szCs w:val="20"/>
        </w:rPr>
        <w:t>The business model reflects how the Group manages the assets in order to generate cash flows – whether the Group’s objective is: (</w:t>
      </w:r>
      <w:proofErr w:type="spellStart"/>
      <w:r>
        <w:rPr>
          <w:color w:val="000000"/>
          <w:sz w:val="20"/>
          <w:szCs w:val="20"/>
        </w:rPr>
        <w:t>i</w:t>
      </w:r>
      <w:proofErr w:type="spellEnd"/>
      <w:r>
        <w:rPr>
          <w:color w:val="000000"/>
          <w:sz w:val="20"/>
          <w:szCs w:val="20"/>
        </w:rPr>
        <w:t>) solely to collect the contractual cash flows from the assets (“hold to collect contractual cash flows”,) or (ii) to collect both the contractual cash flows and the cash flows arising from the sale of assets (“hold to collect contractual cash flows and sell”) or, if neither of (</w:t>
      </w:r>
      <w:proofErr w:type="spellStart"/>
      <w:r>
        <w:rPr>
          <w:color w:val="000000"/>
          <w:sz w:val="20"/>
          <w:szCs w:val="20"/>
        </w:rPr>
        <w:t>i</w:t>
      </w:r>
      <w:proofErr w:type="spellEnd"/>
      <w:r>
        <w:rPr>
          <w:color w:val="000000"/>
          <w:sz w:val="20"/>
          <w:szCs w:val="20"/>
        </w:rPr>
        <w:t xml:space="preserve">) and (ii) is applicable, the financial assets are classified as part of “other” business model and measured at FVTPL. </w:t>
      </w:r>
    </w:p>
    <w:p w14:paraId="5A45CC4B"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color w:val="000000"/>
          <w:sz w:val="20"/>
          <w:szCs w:val="20"/>
        </w:rPr>
        <w:t>Business model is determined for a group of assets (on a portfolio level) based on all relevant evidence about the activities that the Group undertakes to achieve the objective set out for the portfolio available at the date of the assessment. Factors considered by the Group in determining the business model include</w:t>
      </w:r>
      <w:r>
        <w:rPr>
          <w:color w:val="FF0000"/>
          <w:sz w:val="20"/>
          <w:szCs w:val="20"/>
        </w:rPr>
        <w:t xml:space="preserve"> </w:t>
      </w:r>
      <w:r>
        <w:rPr>
          <w:color w:val="0000FF"/>
          <w:sz w:val="20"/>
          <w:szCs w:val="20"/>
        </w:rPr>
        <w:t xml:space="preserve">[the purpose and composition of a portfolio, </w:t>
      </w:r>
      <w:proofErr w:type="gramStart"/>
      <w:r>
        <w:rPr>
          <w:color w:val="0000FF"/>
          <w:sz w:val="20"/>
          <w:szCs w:val="20"/>
        </w:rPr>
        <w:t>past experience</w:t>
      </w:r>
      <w:proofErr w:type="gramEnd"/>
      <w:r>
        <w:rPr>
          <w:color w:val="0000FF"/>
          <w:sz w:val="20"/>
          <w:szCs w:val="20"/>
        </w:rPr>
        <w:t xml:space="preserve"> on how the cash flows for the respective assets were collected, how risks are assessed and managed, how the assets’ performance is assessed and how managers are compensated]. </w:t>
      </w:r>
    </w:p>
    <w:p w14:paraId="42BB4DAF"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b/>
          <w:i/>
          <w:color w:val="000000"/>
          <w:sz w:val="20"/>
          <w:szCs w:val="20"/>
        </w:rPr>
        <w:t>Classification and subsequent measurement – cash flow characteristics.</w:t>
      </w:r>
      <w:r>
        <w:rPr>
          <w:i/>
          <w:color w:val="000000"/>
          <w:sz w:val="20"/>
          <w:szCs w:val="20"/>
        </w:rPr>
        <w:t xml:space="preserve"> </w:t>
      </w:r>
      <w:r>
        <w:rPr>
          <w:color w:val="000000"/>
          <w:sz w:val="20"/>
          <w:szCs w:val="20"/>
        </w:rPr>
        <w:t xml:space="preserve">Where the business model is to hold assets to collect contractual cash flows or to hold contractual cash flows and sell, the Group assesses whether the cash flows represent solely payments of principal and interest (“SPPI”). Investments in debt securities with embedded derivatives are considered in their entirety when determining whether their cash flows are consistent with the SPPI feature. In making this assessment, the Group considers whether the contractual cash flows are consistent with a basic lending arrangement, i.e. interest includes only consideration for credit risk, time value of money, other basic lending risks and profit margin. </w:t>
      </w:r>
    </w:p>
    <w:p w14:paraId="26A016C1" w14:textId="77777777"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r>
        <w:rPr>
          <w:color w:val="000000"/>
          <w:sz w:val="20"/>
          <w:szCs w:val="20"/>
        </w:rPr>
        <w:t xml:space="preserve">Where the contractual terms introduce exposure to risk or volatility that is inconsistent with a basic lending arrangement, the financial asset is classified and measured at FVTPL. The SPPI assessment is performed on initial recognition of an </w:t>
      </w:r>
      <w:proofErr w:type="gramStart"/>
      <w:r>
        <w:rPr>
          <w:color w:val="000000"/>
          <w:sz w:val="20"/>
          <w:szCs w:val="20"/>
        </w:rPr>
        <w:t>asset</w:t>
      </w:r>
      <w:proofErr w:type="gramEnd"/>
      <w:r>
        <w:rPr>
          <w:color w:val="000000"/>
          <w:sz w:val="20"/>
          <w:szCs w:val="20"/>
        </w:rPr>
        <w:t xml:space="preserve"> and it is not subsequently reassessed. </w:t>
      </w:r>
    </w:p>
    <w:p w14:paraId="6695BE55" w14:textId="77777777" w:rsidR="008E5DE4" w:rsidRDefault="00780368">
      <w:pPr>
        <w:widowControl w:val="0"/>
        <w:pBdr>
          <w:top w:val="nil"/>
          <w:left w:val="nil"/>
          <w:bottom w:val="nil"/>
          <w:right w:val="nil"/>
          <w:between w:val="nil"/>
        </w:pBdr>
        <w:shd w:val="clear" w:color="auto" w:fill="C6D9F1"/>
        <w:spacing w:after="180" w:line="228" w:lineRule="auto"/>
        <w:jc w:val="both"/>
        <w:rPr>
          <w:color w:val="FF0000"/>
          <w:sz w:val="20"/>
          <w:szCs w:val="20"/>
        </w:rPr>
      </w:pPr>
      <w:r>
        <w:rPr>
          <w:b/>
          <w:i/>
          <w:color w:val="000000"/>
          <w:sz w:val="20"/>
          <w:szCs w:val="20"/>
        </w:rPr>
        <w:t>Reclassification</w:t>
      </w:r>
      <w:r>
        <w:rPr>
          <w:i/>
          <w:color w:val="000000"/>
          <w:sz w:val="20"/>
          <w:szCs w:val="20"/>
        </w:rPr>
        <w:t>.</w:t>
      </w:r>
      <w:r>
        <w:rPr>
          <w:color w:val="000000"/>
          <w:sz w:val="20"/>
          <w:szCs w:val="20"/>
        </w:rPr>
        <w:t xml:space="preserve"> Investments in debt securities are reclassified only when the business model for managing the portfolio </w:t>
      </w:r>
      <w:proofErr w:type="gramStart"/>
      <w:r>
        <w:rPr>
          <w:color w:val="000000"/>
          <w:sz w:val="20"/>
          <w:szCs w:val="20"/>
        </w:rPr>
        <w:t>as a whole changes</w:t>
      </w:r>
      <w:proofErr w:type="gramEnd"/>
      <w:r>
        <w:rPr>
          <w:color w:val="000000"/>
          <w:sz w:val="20"/>
          <w:szCs w:val="20"/>
        </w:rPr>
        <w:t xml:space="preserve">. The reclassification has a prospective effect and takes place from the beginning of the first reporting period that </w:t>
      </w:r>
      <w:proofErr w:type="gramStart"/>
      <w:r>
        <w:rPr>
          <w:color w:val="000000"/>
          <w:sz w:val="20"/>
          <w:szCs w:val="20"/>
        </w:rPr>
        <w:t>follows after</w:t>
      </w:r>
      <w:proofErr w:type="gramEnd"/>
      <w:r>
        <w:rPr>
          <w:color w:val="000000"/>
          <w:sz w:val="20"/>
          <w:szCs w:val="20"/>
        </w:rPr>
        <w:t xml:space="preserve"> the change in the business model. </w:t>
      </w:r>
      <w:r>
        <w:rPr>
          <w:color w:val="0000FF"/>
          <w:sz w:val="20"/>
          <w:szCs w:val="20"/>
        </w:rPr>
        <w:t>[The Group did not change its business model during the current and comparative period and did not make any reclassifications.]</w:t>
      </w:r>
    </w:p>
    <w:p w14:paraId="19B3A304" w14:textId="77777777"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bookmarkStart w:id="38" w:name="_heading=h.41mghml" w:colFirst="0" w:colLast="0"/>
      <w:bookmarkEnd w:id="38"/>
      <w:r>
        <w:rPr>
          <w:b/>
          <w:i/>
          <w:color w:val="000000"/>
          <w:sz w:val="20"/>
          <w:szCs w:val="20"/>
        </w:rPr>
        <w:t>Impairment – credit loss allowance for ECL.</w:t>
      </w:r>
      <w:r>
        <w:rPr>
          <w:b/>
          <w:color w:val="000000"/>
          <w:sz w:val="20"/>
          <w:szCs w:val="20"/>
        </w:rPr>
        <w:t xml:space="preserve"> </w:t>
      </w:r>
      <w:r>
        <w:rPr>
          <w:color w:val="000000"/>
          <w:sz w:val="20"/>
          <w:szCs w:val="20"/>
        </w:rPr>
        <w:t>The Group assesses, on a forward-looking basis, the ECL for investments in debt securities measured at AC and FVOCI. The Group measures ECL and recognises net impairment losses on investments in debt securities at each reporting date. The measurement of ECL reflects: (</w:t>
      </w:r>
      <w:proofErr w:type="spellStart"/>
      <w:r>
        <w:rPr>
          <w:color w:val="000000"/>
          <w:sz w:val="20"/>
          <w:szCs w:val="20"/>
        </w:rPr>
        <w:t>i</w:t>
      </w:r>
      <w:proofErr w:type="spellEnd"/>
      <w:r>
        <w:rPr>
          <w:color w:val="000000"/>
          <w:sz w:val="20"/>
          <w:szCs w:val="20"/>
        </w:rPr>
        <w:t>) an unbiased and probability weighted amount that is determined by evaluating a range of possible outcomes, (ii) time value of money and (iii) all reasonable and supportable information that is available without undue cost and effort at the end of each reporting period about past events, current conditions and forecasts of future conditions.</w:t>
      </w:r>
    </w:p>
    <w:p w14:paraId="1B8185A8" w14:textId="77777777"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r>
        <w:rPr>
          <w:color w:val="000000"/>
          <w:sz w:val="20"/>
          <w:szCs w:val="20"/>
        </w:rPr>
        <w:t xml:space="preserve">Investments in debt securities measured at AC are presented in the consolidated statement of financial position net of the allowance for ECL. For investments in debt securities measured at FVOCI, changes in amortised cost, net of allowance for ECL, are recognised in profit or loss and other changes in carrying value are recognised in OCI as gains less losses on debt instruments measured at FVOCI. </w:t>
      </w:r>
    </w:p>
    <w:p w14:paraId="52F13028"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09D15C3B" w14:textId="74DC0B9F"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r>
        <w:rPr>
          <w:color w:val="000000"/>
          <w:sz w:val="20"/>
          <w:szCs w:val="20"/>
        </w:rPr>
        <w:t>For investments in debt securities the Group applies a three</w:t>
      </w:r>
      <w:r w:rsidR="00162A99">
        <w:rPr>
          <w:color w:val="000000"/>
          <w:sz w:val="20"/>
          <w:szCs w:val="20"/>
        </w:rPr>
        <w:t>-</w:t>
      </w:r>
      <w:r>
        <w:rPr>
          <w:color w:val="000000"/>
          <w:sz w:val="20"/>
          <w:szCs w:val="20"/>
        </w:rPr>
        <w:t xml:space="preserve">stage model for impairment, based on changes in credit quality since initial recognition. A financial instrument that is not credit-impaired on initial recognition is classified in Stage 1. Financial assets in Stage 1 have their ECL measured at an amount equal to the portion of lifetime ECL that results from default events possible within the next 12 months or until contractual maturity, if shorter (“12 Months ECL”). If the Group identifies a significant increase in credit risk (“SICR”) since initial recognition, the asset is transferred to Stage 2 and its ECL is measured based on ECL on a lifetime basis, that is, up until contractual maturity but considering expected prepayments, if any (“Lifetime ECL”). Refer to Note 51 for a description of how the Group determines when a SICR has occurred. If the Group determines that a financial asset is credit-impaired, the asset is transferred to Stage 3 and its ECL is measured as a Lifetime ECL. The Group’s definition of credit impaired assets and definition of default is explained in Note 51. For financial assets that are purchased or originated credit-impaired (“POCI Assets”), the ECL is always measured as a Lifetime ECL. Note 51 provides information about inputs, assumptions and estimation techniques used in measuring ECL, including an explanation of how the Group incorporates forward-looking information in the ECL models. </w:t>
      </w:r>
    </w:p>
    <w:p w14:paraId="3FCBF3EA" w14:textId="2FE59AC6"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Write-off.</w:t>
      </w:r>
      <w:r>
        <w:rPr>
          <w:b/>
          <w:color w:val="000000"/>
          <w:sz w:val="20"/>
          <w:szCs w:val="20"/>
        </w:rPr>
        <w:t xml:space="preserve"> </w:t>
      </w:r>
      <w:r>
        <w:rPr>
          <w:color w:val="000000"/>
          <w:sz w:val="20"/>
          <w:szCs w:val="20"/>
        </w:rPr>
        <w:t>Investments in debt securities are written</w:t>
      </w:r>
      <w:r w:rsidR="00176789">
        <w:rPr>
          <w:color w:val="000000"/>
          <w:sz w:val="20"/>
          <w:szCs w:val="20"/>
        </w:rPr>
        <w:t xml:space="preserve"> </w:t>
      </w:r>
      <w:r>
        <w:rPr>
          <w:color w:val="000000"/>
          <w:sz w:val="20"/>
          <w:szCs w:val="20"/>
        </w:rPr>
        <w:t xml:space="preserve">off, in whole or in part, when the Group exhausted all practical recovery efforts and has concluded that there is no reasonable expectation of recovery. The write-off represents a derecognition event. </w:t>
      </w:r>
      <w:r>
        <w:rPr>
          <w:color w:val="0000FF"/>
          <w:sz w:val="20"/>
          <w:szCs w:val="20"/>
        </w:rPr>
        <w:t>[Indicators that there is no reasonable expectation of recovery include… [</w:t>
      </w:r>
      <w:r>
        <w:rPr>
          <w:i/>
          <w:color w:val="0000FF"/>
          <w:sz w:val="20"/>
          <w:szCs w:val="20"/>
        </w:rPr>
        <w:t>specify]</w:t>
      </w:r>
      <w:r>
        <w:rPr>
          <w:color w:val="0000FF"/>
          <w:sz w:val="20"/>
          <w:szCs w:val="20"/>
        </w:rPr>
        <w:t>].</w:t>
      </w:r>
      <w:r>
        <w:rPr>
          <w:color w:val="000000"/>
          <w:sz w:val="20"/>
          <w:szCs w:val="20"/>
        </w:rPr>
        <w:t xml:space="preserve"> The Group may write-off investments in debt securities that are still subject to enforcement activity when the Group seeks to recover amounts that are contractually due, however, there is no reasonable expectation of recovery.</w:t>
      </w:r>
    </w:p>
    <w:p w14:paraId="0E591F7E"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Derecognition.</w:t>
      </w:r>
      <w:r>
        <w:rPr>
          <w:color w:val="000000"/>
          <w:sz w:val="20"/>
          <w:szCs w:val="20"/>
        </w:rPr>
        <w:t xml:space="preserve"> The Group derecognises investments in debt securities when (a) the assets are redeemed or the rights to cash flows from the assets otherwise expire or (b) the Group has transferred the rights to the cash flows from the financial assets or entered into a qualifying pass-through arrangement whilst (</w:t>
      </w:r>
      <w:proofErr w:type="spellStart"/>
      <w:r>
        <w:rPr>
          <w:color w:val="000000"/>
          <w:sz w:val="20"/>
          <w:szCs w:val="20"/>
        </w:rPr>
        <w:t>i</w:t>
      </w:r>
      <w:proofErr w:type="spellEnd"/>
      <w:r>
        <w:rPr>
          <w:color w:val="000000"/>
          <w:sz w:val="20"/>
          <w:szCs w:val="20"/>
        </w:rPr>
        <w:t xml:space="preserve">) also transferring substantially all the risks and rewards of ownership of the assets or (ii) neither transferring nor retaining substantially all the risks and rewards of ownership but not retaining control. </w:t>
      </w:r>
    </w:p>
    <w:p w14:paraId="0C19E331"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Control is retained if the counterparty does not have the practical ability to sell the asset in its entirety to an unrelated third party without needing to impose additional restrictions on the sale.</w:t>
      </w:r>
    </w:p>
    <w:p w14:paraId="582D8E0A"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Modification. </w:t>
      </w:r>
      <w:r>
        <w:rPr>
          <w:color w:val="000000"/>
          <w:sz w:val="20"/>
          <w:szCs w:val="20"/>
        </w:rPr>
        <w:t xml:space="preserve">The Group sometimes renegotiates or otherwise modifies the contractual terms of the investments in debt securities. The Group assesses whether the modification of contractual cash flows is substantial considering, among other, the following factors: </w:t>
      </w:r>
      <w:r>
        <w:rPr>
          <w:color w:val="0000FF"/>
          <w:sz w:val="20"/>
          <w:szCs w:val="20"/>
        </w:rPr>
        <w:t>[any new contractual terms that substantially affect the risk profile of the asset (</w:t>
      </w:r>
      <w:proofErr w:type="spellStart"/>
      <w:r>
        <w:rPr>
          <w:color w:val="0000FF"/>
          <w:sz w:val="20"/>
          <w:szCs w:val="20"/>
        </w:rPr>
        <w:t>eg</w:t>
      </w:r>
      <w:proofErr w:type="spellEnd"/>
      <w:r>
        <w:rPr>
          <w:color w:val="0000FF"/>
          <w:sz w:val="20"/>
          <w:szCs w:val="20"/>
        </w:rPr>
        <w:t xml:space="preserve"> profit share or equity-based return), significant change in interest rate, change in the currency denomination, new collateral or credit enhancement that significantly affects the credit risk associated with the asset or a significant extension of an investment in debt securities when the borrower is not in financial difficulties.]</w:t>
      </w:r>
      <w:r>
        <w:rPr>
          <w:color w:val="000000"/>
          <w:sz w:val="20"/>
          <w:szCs w:val="20"/>
        </w:rPr>
        <w:t xml:space="preserve"> </w:t>
      </w:r>
    </w:p>
    <w:p w14:paraId="66AEFB29" w14:textId="77777777" w:rsidR="008E5DE4" w:rsidRDefault="00780368">
      <w:pPr>
        <w:widowControl w:val="0"/>
        <w:pBdr>
          <w:top w:val="nil"/>
          <w:left w:val="nil"/>
          <w:bottom w:val="nil"/>
          <w:right w:val="nil"/>
          <w:between w:val="nil"/>
        </w:pBdr>
        <w:shd w:val="clear" w:color="auto" w:fill="C6D9F1"/>
        <w:spacing w:before="200" w:after="200"/>
        <w:jc w:val="both"/>
        <w:rPr>
          <w:b/>
          <w:color w:val="000000"/>
          <w:sz w:val="20"/>
          <w:szCs w:val="20"/>
        </w:rPr>
      </w:pPr>
      <w:r>
        <w:rPr>
          <w:color w:val="000000"/>
          <w:sz w:val="20"/>
          <w:szCs w:val="20"/>
        </w:rPr>
        <w:t xml:space="preserve">If the modified terms are substantially different, the rights to cash flows from the original asset expire and the Group derecognises the original investment in debt securities and recognises a new asset at its fair value. The date of renegotiation </w:t>
      </w:r>
      <w:proofErr w:type="gramStart"/>
      <w:r>
        <w:rPr>
          <w:color w:val="000000"/>
          <w:sz w:val="20"/>
          <w:szCs w:val="20"/>
        </w:rPr>
        <w:t>is considered to be</w:t>
      </w:r>
      <w:proofErr w:type="gramEnd"/>
      <w:r>
        <w:rPr>
          <w:color w:val="000000"/>
          <w:sz w:val="20"/>
          <w:szCs w:val="20"/>
        </w:rPr>
        <w:t xml:space="preserve"> the date of initial recognition for subsequent impairment calculation purposes, including determining whether a SICR has occurred. The Group also assesses whether the investment in debt securities meets the SPPI criterion. Any difference between the carrying amount of the original asset derecognised and fair value of the new substantially modified asset is recognised in profit or loss, unless the substance of the difference is attributed to a capital transaction with owners.</w:t>
      </w:r>
    </w:p>
    <w:p w14:paraId="61E63274"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In a situation where the renegotiation was driven by financial difficulties of the counterparty and inability to make the originally agreed payments, the Group compares the original and revised expected cash flows to assess whether the risks and rewards of the asset are substantially different </w:t>
      </w:r>
      <w:proofErr w:type="gramStart"/>
      <w:r>
        <w:rPr>
          <w:color w:val="000000"/>
          <w:sz w:val="20"/>
          <w:szCs w:val="20"/>
        </w:rPr>
        <w:t>as a result of</w:t>
      </w:r>
      <w:proofErr w:type="gramEnd"/>
      <w:r>
        <w:rPr>
          <w:color w:val="000000"/>
          <w:sz w:val="20"/>
          <w:szCs w:val="20"/>
        </w:rPr>
        <w:t xml:space="preserve"> the contractual modification. If the risks and rewards do not change, the modified asset is not substantially different from the original </w:t>
      </w:r>
      <w:proofErr w:type="gramStart"/>
      <w:r>
        <w:rPr>
          <w:color w:val="000000"/>
          <w:sz w:val="20"/>
          <w:szCs w:val="20"/>
        </w:rPr>
        <w:t>asset</w:t>
      </w:r>
      <w:proofErr w:type="gramEnd"/>
      <w:r>
        <w:rPr>
          <w:color w:val="000000"/>
          <w:sz w:val="20"/>
          <w:szCs w:val="20"/>
        </w:rPr>
        <w:t xml:space="preserve"> and the modification does not result in derecognition. The Group recalculates the gross carrying amount by discounting the modified contractual cash flows by the original effective interest rate (or credit-adjusted effective interest rate for POCI financial assets), and recognises a modification gain or loss in profit or loss. </w:t>
      </w:r>
    </w:p>
    <w:tbl>
      <w:tblPr>
        <w:tblStyle w:val="affffff5"/>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69C4287B" w14:textId="77777777">
        <w:tc>
          <w:tcPr>
            <w:tcW w:w="9571" w:type="dxa"/>
          </w:tcPr>
          <w:p w14:paraId="572A6ED2"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11EA5099" w14:textId="77777777" w:rsidR="008E5DE4" w:rsidRDefault="00780368">
            <w:pPr>
              <w:rPr>
                <w:b/>
                <w:i/>
                <w:sz w:val="20"/>
                <w:szCs w:val="20"/>
              </w:rPr>
            </w:pPr>
            <w:r>
              <w:rPr>
                <w:b/>
                <w:i/>
                <w:sz w:val="20"/>
                <w:szCs w:val="20"/>
              </w:rPr>
              <w:t>Critical Accounting Estimates and Judgments in Applying Accounting Policies</w:t>
            </w:r>
          </w:p>
          <w:p w14:paraId="6522BD0B" w14:textId="77777777" w:rsidR="008E5DE4" w:rsidRDefault="008E5DE4">
            <w:pPr>
              <w:rPr>
                <w:b/>
                <w:i/>
                <w:sz w:val="20"/>
                <w:szCs w:val="20"/>
              </w:rPr>
            </w:pPr>
          </w:p>
          <w:p w14:paraId="00BB496F" w14:textId="345CE1A5"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Derecognition of investments in debt securities.</w:t>
            </w:r>
            <w:r>
              <w:rPr>
                <w:color w:val="000000"/>
                <w:sz w:val="20"/>
                <w:szCs w:val="20"/>
              </w:rPr>
              <w:t xml:space="preserve"> Management applies judgement to determine if substantially all the significant risks and rewards of ownership of investments in debt securities are transferred to counterparties, in particular which risks and rewards are the most significant and what constitutes substantially all risks and rewards. </w:t>
            </w:r>
          </w:p>
          <w:p w14:paraId="2BFCD329" w14:textId="77777777" w:rsidR="008E5DE4" w:rsidRDefault="00780368">
            <w:pPr>
              <w:widowControl w:val="0"/>
              <w:spacing w:before="200" w:after="200"/>
              <w:jc w:val="both"/>
              <w:rPr>
                <w:color w:val="000000"/>
                <w:sz w:val="20"/>
                <w:szCs w:val="20"/>
              </w:rPr>
            </w:pPr>
            <w:r>
              <w:rPr>
                <w:b/>
                <w:i/>
                <w:color w:val="000000"/>
                <w:sz w:val="20"/>
                <w:szCs w:val="20"/>
              </w:rPr>
              <w:t>ECL measurement.</w:t>
            </w:r>
            <w:r>
              <w:rPr>
                <w:color w:val="000000"/>
                <w:sz w:val="20"/>
                <w:szCs w:val="20"/>
              </w:rPr>
              <w:t xml:space="preserve"> Measurement of ECLs is a significant estimate that involves determination methodology, models and data inputs. Details of ECL measurement methodology are disclosed in Note 51. The following components have a major impact on credit loss allowance: definition of default, SICR, probability of default (“PD”), exposure at default (“EAD”), and loss given default (“LGD”), as well as models of macro-economic scenarios. The Group regularly reviews and validates the models and inputs </w:t>
            </w:r>
            <w:proofErr w:type="spellStart"/>
            <w:r>
              <w:rPr>
                <w:color w:val="000000"/>
                <w:sz w:val="20"/>
                <w:szCs w:val="20"/>
              </w:rPr>
              <w:t>o</w:t>
            </w:r>
            <w:proofErr w:type="spellEnd"/>
            <w:r>
              <w:rPr>
                <w:color w:val="000000"/>
                <w:sz w:val="20"/>
                <w:szCs w:val="20"/>
              </w:rPr>
              <w:t xml:space="preserve"> the models to reduce any differences between expected credit loss estimates and actual credit loss experience. </w:t>
            </w:r>
          </w:p>
          <w:p w14:paraId="1D3D8957" w14:textId="77777777" w:rsidR="008E5DE4" w:rsidRDefault="00780368">
            <w:pPr>
              <w:pBdr>
                <w:top w:val="nil"/>
                <w:left w:val="nil"/>
                <w:bottom w:val="nil"/>
                <w:right w:val="nil"/>
                <w:between w:val="nil"/>
              </w:pBdr>
              <w:spacing w:after="200"/>
              <w:jc w:val="both"/>
              <w:rPr>
                <w:color w:val="0000FF"/>
                <w:sz w:val="20"/>
                <w:szCs w:val="20"/>
              </w:rPr>
            </w:pPr>
            <w:r>
              <w:rPr>
                <w:color w:val="0000FF"/>
                <w:sz w:val="20"/>
                <w:szCs w:val="20"/>
              </w:rPr>
              <w:t>[Due to significant and rapid changes in the economic environment, the Group decided to adjust the approach to measure ECL for investments in debt securities. The management performed a top-down portfolio analysis and had identified groups of debtors, for which sufficient reasonable and supportable information for the ECL measurement is available only on the industry basis, instead of individual basis. Overlays applied by the management resulted in the increase of ECL for debtors in the following industries:</w:t>
            </w:r>
          </w:p>
          <w:p w14:paraId="5CCA8B7C" w14:textId="77777777" w:rsidR="008E5DE4" w:rsidRDefault="00780368">
            <w:pPr>
              <w:numPr>
                <w:ilvl w:val="0"/>
                <w:numId w:val="19"/>
              </w:numPr>
              <w:pBdr>
                <w:top w:val="nil"/>
                <w:left w:val="nil"/>
                <w:bottom w:val="nil"/>
                <w:right w:val="nil"/>
                <w:between w:val="nil"/>
              </w:pBdr>
              <w:spacing w:after="200"/>
              <w:jc w:val="both"/>
              <w:rPr>
                <w:color w:val="0000FF"/>
                <w:sz w:val="20"/>
                <w:szCs w:val="20"/>
              </w:rPr>
            </w:pPr>
            <w:r>
              <w:rPr>
                <w:color w:val="0000FF"/>
                <w:sz w:val="20"/>
                <w:szCs w:val="20"/>
              </w:rPr>
              <w:t>Tourism and leisure – average ECL increase of __</w:t>
            </w:r>
            <w:proofErr w:type="gramStart"/>
            <w:r>
              <w:rPr>
                <w:color w:val="0000FF"/>
                <w:sz w:val="20"/>
                <w:szCs w:val="20"/>
              </w:rPr>
              <w:t>%;</w:t>
            </w:r>
            <w:proofErr w:type="gramEnd"/>
          </w:p>
          <w:p w14:paraId="6155F112" w14:textId="77777777" w:rsidR="008E5DE4" w:rsidRDefault="00780368">
            <w:pPr>
              <w:numPr>
                <w:ilvl w:val="0"/>
                <w:numId w:val="19"/>
              </w:numPr>
              <w:pBdr>
                <w:top w:val="nil"/>
                <w:left w:val="nil"/>
                <w:bottom w:val="nil"/>
                <w:right w:val="nil"/>
                <w:between w:val="nil"/>
              </w:pBdr>
              <w:spacing w:after="200"/>
              <w:jc w:val="both"/>
              <w:rPr>
                <w:color w:val="0000FF"/>
                <w:sz w:val="20"/>
                <w:szCs w:val="20"/>
              </w:rPr>
            </w:pPr>
            <w:r>
              <w:rPr>
                <w:color w:val="0000FF"/>
                <w:sz w:val="20"/>
                <w:szCs w:val="20"/>
              </w:rPr>
              <w:t>Transportation – average ECL increase of __</w:t>
            </w:r>
            <w:proofErr w:type="gramStart"/>
            <w:r>
              <w:rPr>
                <w:color w:val="0000FF"/>
                <w:sz w:val="20"/>
                <w:szCs w:val="20"/>
              </w:rPr>
              <w:t>%;</w:t>
            </w:r>
            <w:proofErr w:type="gramEnd"/>
            <w:r>
              <w:rPr>
                <w:color w:val="0000FF"/>
                <w:sz w:val="20"/>
                <w:szCs w:val="20"/>
              </w:rPr>
              <w:t xml:space="preserve"> </w:t>
            </w:r>
          </w:p>
          <w:p w14:paraId="390E199B" w14:textId="77777777" w:rsidR="008E5DE4" w:rsidRDefault="00780368">
            <w:pPr>
              <w:numPr>
                <w:ilvl w:val="0"/>
                <w:numId w:val="19"/>
              </w:numPr>
              <w:pBdr>
                <w:top w:val="nil"/>
                <w:left w:val="nil"/>
                <w:bottom w:val="nil"/>
                <w:right w:val="nil"/>
                <w:between w:val="nil"/>
              </w:pBdr>
              <w:spacing w:after="200"/>
              <w:jc w:val="both"/>
              <w:rPr>
                <w:color w:val="0000FF"/>
                <w:sz w:val="20"/>
                <w:szCs w:val="20"/>
              </w:rPr>
            </w:pPr>
            <w:r>
              <w:rPr>
                <w:color w:val="0000FF"/>
                <w:sz w:val="20"/>
                <w:szCs w:val="20"/>
              </w:rPr>
              <w:t>Retail – average ECL increase of __</w:t>
            </w:r>
            <w:proofErr w:type="gramStart"/>
            <w:r>
              <w:rPr>
                <w:color w:val="0000FF"/>
                <w:sz w:val="20"/>
                <w:szCs w:val="20"/>
              </w:rPr>
              <w:t>%;</w:t>
            </w:r>
            <w:proofErr w:type="gramEnd"/>
          </w:p>
          <w:p w14:paraId="6CF90F85" w14:textId="77777777" w:rsidR="008E5DE4" w:rsidRDefault="00780368">
            <w:pPr>
              <w:numPr>
                <w:ilvl w:val="0"/>
                <w:numId w:val="19"/>
              </w:numPr>
              <w:pBdr>
                <w:top w:val="nil"/>
                <w:left w:val="nil"/>
                <w:bottom w:val="nil"/>
                <w:right w:val="nil"/>
                <w:between w:val="nil"/>
              </w:pBdr>
              <w:spacing w:after="200"/>
              <w:jc w:val="both"/>
              <w:rPr>
                <w:color w:val="0000FF"/>
                <w:sz w:val="20"/>
                <w:szCs w:val="20"/>
              </w:rPr>
            </w:pPr>
            <w:r>
              <w:rPr>
                <w:color w:val="0000FF"/>
                <w:sz w:val="20"/>
                <w:szCs w:val="20"/>
              </w:rPr>
              <w:t>Oil and gas – average ECL increase of __%.]</w:t>
            </w:r>
          </w:p>
          <w:p w14:paraId="59290BEA" w14:textId="77777777" w:rsidR="008E5DE4" w:rsidRDefault="008E5DE4" w:rsidP="007F183E">
            <w:pPr>
              <w:pageBreakBefore/>
              <w:pBdr>
                <w:top w:val="nil"/>
                <w:left w:val="nil"/>
                <w:bottom w:val="nil"/>
                <w:right w:val="nil"/>
                <w:between w:val="nil"/>
              </w:pBdr>
              <w:spacing w:after="240"/>
              <w:jc w:val="both"/>
              <w:rPr>
                <w:b/>
                <w:color w:val="000000"/>
                <w:sz w:val="20"/>
                <w:szCs w:val="20"/>
              </w:rPr>
            </w:pPr>
          </w:p>
          <w:p w14:paraId="3CEC71EE" w14:textId="4270AAF7" w:rsidR="008E5DE4" w:rsidRDefault="00780368" w:rsidP="007F183E">
            <w:pPr>
              <w:pageBreakBefore/>
              <w:pBdr>
                <w:top w:val="nil"/>
                <w:left w:val="nil"/>
                <w:bottom w:val="nil"/>
                <w:right w:val="nil"/>
                <w:between w:val="nil"/>
              </w:pBdr>
              <w:spacing w:after="240"/>
              <w:jc w:val="both"/>
              <w:rPr>
                <w:color w:val="000000"/>
                <w:sz w:val="20"/>
                <w:szCs w:val="20"/>
              </w:rPr>
            </w:pPr>
            <w:r>
              <w:rPr>
                <w:color w:val="000000"/>
                <w:sz w:val="20"/>
                <w:szCs w:val="20"/>
              </w:rPr>
              <w:t>The Group used supportable forward</w:t>
            </w:r>
            <w:r w:rsidR="00176789">
              <w:rPr>
                <w:color w:val="000000"/>
                <w:sz w:val="20"/>
                <w:szCs w:val="20"/>
              </w:rPr>
              <w:t>-</w:t>
            </w:r>
            <w:r>
              <w:rPr>
                <w:color w:val="000000"/>
                <w:sz w:val="20"/>
                <w:szCs w:val="20"/>
              </w:rPr>
              <w:t>looking information for measurement of ECL, primarily an outcome of its own macro-economic forecasting model. The most significant forward</w:t>
            </w:r>
            <w:r w:rsidR="00176789">
              <w:rPr>
                <w:color w:val="000000"/>
                <w:sz w:val="20"/>
                <w:szCs w:val="20"/>
              </w:rPr>
              <w:t>-</w:t>
            </w:r>
            <w:r>
              <w:rPr>
                <w:color w:val="000000"/>
                <w:sz w:val="20"/>
                <w:szCs w:val="20"/>
              </w:rPr>
              <w:t xml:space="preserve">looking assumptions that correlate with ECL level and their assigned weights were as follows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w:t>
            </w:r>
          </w:p>
          <w:tbl>
            <w:tblPr>
              <w:tblStyle w:val="affffff6"/>
              <w:tblW w:w="9355" w:type="dxa"/>
              <w:tblInd w:w="113" w:type="dxa"/>
              <w:tblLayout w:type="fixed"/>
              <w:tblLook w:val="0000" w:firstRow="0" w:lastRow="0" w:firstColumn="0" w:lastColumn="0" w:noHBand="0" w:noVBand="0"/>
            </w:tblPr>
            <w:tblGrid>
              <w:gridCol w:w="2121"/>
              <w:gridCol w:w="1272"/>
              <w:gridCol w:w="875"/>
              <w:gridCol w:w="1017"/>
              <w:gridCol w:w="1018"/>
              <w:gridCol w:w="1017"/>
              <w:gridCol w:w="1017"/>
              <w:gridCol w:w="1018"/>
            </w:tblGrid>
            <w:tr w:rsidR="008E5DE4" w14:paraId="50004A49" w14:textId="77777777">
              <w:trPr>
                <w:tblHeader/>
              </w:trPr>
              <w:tc>
                <w:tcPr>
                  <w:tcW w:w="2121" w:type="dxa"/>
                  <w:vAlign w:val="bottom"/>
                </w:tcPr>
                <w:p w14:paraId="55DB8203" w14:textId="77777777" w:rsidR="008E5DE4" w:rsidRDefault="008E5DE4">
                  <w:pPr>
                    <w:widowControl w:val="0"/>
                    <w:pBdr>
                      <w:top w:val="nil"/>
                      <w:left w:val="nil"/>
                      <w:bottom w:val="nil"/>
                      <w:right w:val="nil"/>
                      <w:between w:val="nil"/>
                    </w:pBdr>
                    <w:ind w:left="113" w:right="-57" w:hanging="113"/>
                    <w:rPr>
                      <w:b/>
                      <w:i/>
                      <w:color w:val="000000"/>
                      <w:sz w:val="16"/>
                      <w:szCs w:val="16"/>
                    </w:rPr>
                  </w:pPr>
                </w:p>
              </w:tc>
              <w:tc>
                <w:tcPr>
                  <w:tcW w:w="1272" w:type="dxa"/>
                </w:tcPr>
                <w:p w14:paraId="6117A306"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875" w:type="dxa"/>
                  <w:vMerge w:val="restart"/>
                </w:tcPr>
                <w:p w14:paraId="62D619A2" w14:textId="77777777" w:rsidR="008E5DE4" w:rsidRDefault="00780368">
                  <w:pPr>
                    <w:widowControl w:val="0"/>
                    <w:pBdr>
                      <w:top w:val="nil"/>
                      <w:left w:val="nil"/>
                      <w:bottom w:val="nil"/>
                      <w:right w:val="nil"/>
                      <w:between w:val="nil"/>
                    </w:pBdr>
                    <w:ind w:right="57"/>
                    <w:jc w:val="right"/>
                    <w:rPr>
                      <w:b/>
                      <w:color w:val="000000"/>
                      <w:sz w:val="16"/>
                      <w:szCs w:val="16"/>
                    </w:rPr>
                  </w:pPr>
                  <w:r>
                    <w:rPr>
                      <w:b/>
                      <w:color w:val="000000"/>
                      <w:sz w:val="16"/>
                      <w:szCs w:val="16"/>
                    </w:rPr>
                    <w:t>Assi-</w:t>
                  </w:r>
                  <w:proofErr w:type="spellStart"/>
                  <w:r>
                    <w:rPr>
                      <w:b/>
                      <w:color w:val="000000"/>
                      <w:sz w:val="16"/>
                      <w:szCs w:val="16"/>
                    </w:rPr>
                    <w:t>gned</w:t>
                  </w:r>
                  <w:proofErr w:type="spellEnd"/>
                  <w:r>
                    <w:rPr>
                      <w:b/>
                      <w:color w:val="000000"/>
                      <w:sz w:val="16"/>
                      <w:szCs w:val="16"/>
                    </w:rPr>
                    <w:t xml:space="preserve"> weight</w:t>
                  </w:r>
                </w:p>
              </w:tc>
              <w:tc>
                <w:tcPr>
                  <w:tcW w:w="5087" w:type="dxa"/>
                  <w:gridSpan w:val="5"/>
                  <w:tcBorders>
                    <w:bottom w:val="single" w:sz="4" w:space="0" w:color="000000"/>
                  </w:tcBorders>
                </w:tcPr>
                <w:p w14:paraId="4AA250BD"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Assumption for:</w:t>
                  </w:r>
                </w:p>
              </w:tc>
            </w:tr>
            <w:tr w:rsidR="008E5DE4" w14:paraId="21A2D6A7" w14:textId="77777777">
              <w:trPr>
                <w:tblHeader/>
              </w:trPr>
              <w:tc>
                <w:tcPr>
                  <w:tcW w:w="2121" w:type="dxa"/>
                  <w:tcBorders>
                    <w:bottom w:val="single" w:sz="4" w:space="0" w:color="000000"/>
                  </w:tcBorders>
                  <w:vAlign w:val="bottom"/>
                </w:tcPr>
                <w:p w14:paraId="362EB460" w14:textId="77777777" w:rsidR="008E5DE4" w:rsidRDefault="00780368">
                  <w:pPr>
                    <w:widowControl w:val="0"/>
                    <w:pBdr>
                      <w:top w:val="nil"/>
                      <w:left w:val="nil"/>
                      <w:bottom w:val="nil"/>
                      <w:right w:val="nil"/>
                      <w:between w:val="nil"/>
                    </w:pBdr>
                    <w:ind w:left="113" w:right="-57" w:hanging="113"/>
                    <w:rPr>
                      <w:b/>
                      <w:i/>
                      <w:color w:val="000000"/>
                      <w:sz w:val="16"/>
                      <w:szCs w:val="16"/>
                    </w:rPr>
                  </w:pPr>
                  <w:r>
                    <w:rPr>
                      <w:b/>
                      <w:i/>
                      <w:color w:val="000000"/>
                      <w:sz w:val="16"/>
                      <w:szCs w:val="16"/>
                    </w:rPr>
                    <w:t>Variable</w:t>
                  </w:r>
                </w:p>
              </w:tc>
              <w:tc>
                <w:tcPr>
                  <w:tcW w:w="1272" w:type="dxa"/>
                  <w:tcBorders>
                    <w:bottom w:val="single" w:sz="4" w:space="0" w:color="000000"/>
                  </w:tcBorders>
                  <w:vAlign w:val="bottom"/>
                </w:tcPr>
                <w:p w14:paraId="38CAA942"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Scenario</w:t>
                  </w:r>
                </w:p>
              </w:tc>
              <w:tc>
                <w:tcPr>
                  <w:tcW w:w="875" w:type="dxa"/>
                  <w:vMerge/>
                </w:tcPr>
                <w:p w14:paraId="51CC0F69" w14:textId="77777777" w:rsidR="008E5DE4" w:rsidRDefault="008E5DE4">
                  <w:pPr>
                    <w:widowControl w:val="0"/>
                    <w:pBdr>
                      <w:top w:val="nil"/>
                      <w:left w:val="nil"/>
                      <w:bottom w:val="nil"/>
                      <w:right w:val="nil"/>
                      <w:between w:val="nil"/>
                    </w:pBdr>
                    <w:spacing w:line="276" w:lineRule="auto"/>
                    <w:rPr>
                      <w:b/>
                      <w:color w:val="000000"/>
                      <w:sz w:val="16"/>
                      <w:szCs w:val="16"/>
                    </w:rPr>
                  </w:pPr>
                </w:p>
              </w:tc>
              <w:tc>
                <w:tcPr>
                  <w:tcW w:w="1017" w:type="dxa"/>
                  <w:tcBorders>
                    <w:top w:val="single" w:sz="4" w:space="0" w:color="000000"/>
                    <w:bottom w:val="single" w:sz="4" w:space="0" w:color="000000"/>
                  </w:tcBorders>
                  <w:vAlign w:val="bottom"/>
                </w:tcPr>
                <w:p w14:paraId="1C77FF18" w14:textId="2838054D"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7101D0">
                    <w:rPr>
                      <w:b/>
                      <w:color w:val="000000"/>
                      <w:sz w:val="16"/>
                      <w:szCs w:val="16"/>
                    </w:rPr>
                    <w:t>6</w:t>
                  </w:r>
                </w:p>
              </w:tc>
              <w:tc>
                <w:tcPr>
                  <w:tcW w:w="1018" w:type="dxa"/>
                  <w:tcBorders>
                    <w:top w:val="single" w:sz="4" w:space="0" w:color="000000"/>
                    <w:bottom w:val="single" w:sz="4" w:space="0" w:color="000000"/>
                  </w:tcBorders>
                  <w:vAlign w:val="bottom"/>
                </w:tcPr>
                <w:p w14:paraId="42820E4A" w14:textId="08302A7A"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7101D0">
                    <w:rPr>
                      <w:b/>
                      <w:color w:val="000000"/>
                      <w:sz w:val="16"/>
                      <w:szCs w:val="16"/>
                    </w:rPr>
                    <w:t>7</w:t>
                  </w:r>
                </w:p>
              </w:tc>
              <w:tc>
                <w:tcPr>
                  <w:tcW w:w="1017" w:type="dxa"/>
                  <w:tcBorders>
                    <w:top w:val="single" w:sz="4" w:space="0" w:color="000000"/>
                    <w:bottom w:val="single" w:sz="4" w:space="0" w:color="000000"/>
                  </w:tcBorders>
                  <w:vAlign w:val="bottom"/>
                </w:tcPr>
                <w:p w14:paraId="126B0D2B" w14:textId="3ADA3315"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7101D0">
                    <w:rPr>
                      <w:b/>
                      <w:color w:val="000000"/>
                      <w:sz w:val="16"/>
                      <w:szCs w:val="16"/>
                    </w:rPr>
                    <w:t>8</w:t>
                  </w:r>
                </w:p>
              </w:tc>
              <w:tc>
                <w:tcPr>
                  <w:tcW w:w="1017" w:type="dxa"/>
                  <w:tcBorders>
                    <w:top w:val="single" w:sz="4" w:space="0" w:color="000000"/>
                    <w:bottom w:val="single" w:sz="4" w:space="0" w:color="000000"/>
                  </w:tcBorders>
                  <w:vAlign w:val="bottom"/>
                </w:tcPr>
                <w:p w14:paraId="2FE4EDC2" w14:textId="5FE67F46"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7101D0">
                    <w:rPr>
                      <w:b/>
                      <w:color w:val="000000"/>
                      <w:sz w:val="16"/>
                      <w:szCs w:val="16"/>
                    </w:rPr>
                    <w:t>9</w:t>
                  </w:r>
                </w:p>
              </w:tc>
              <w:tc>
                <w:tcPr>
                  <w:tcW w:w="1018" w:type="dxa"/>
                  <w:tcBorders>
                    <w:top w:val="single" w:sz="4" w:space="0" w:color="000000"/>
                    <w:bottom w:val="single" w:sz="4" w:space="0" w:color="000000"/>
                  </w:tcBorders>
                  <w:vAlign w:val="bottom"/>
                </w:tcPr>
                <w:p w14:paraId="7C81FBB9" w14:textId="243B039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w:t>
                  </w:r>
                  <w:r w:rsidR="007101D0">
                    <w:rPr>
                      <w:b/>
                      <w:color w:val="000000"/>
                      <w:sz w:val="16"/>
                      <w:szCs w:val="16"/>
                    </w:rPr>
                    <w:t>30</w:t>
                  </w:r>
                </w:p>
              </w:tc>
            </w:tr>
            <w:tr w:rsidR="008E5DE4" w14:paraId="75522753" w14:textId="77777777">
              <w:tc>
                <w:tcPr>
                  <w:tcW w:w="2121" w:type="dxa"/>
                  <w:tcBorders>
                    <w:top w:val="single" w:sz="4" w:space="0" w:color="000000"/>
                  </w:tcBorders>
                  <w:vAlign w:val="bottom"/>
                </w:tcPr>
                <w:p w14:paraId="7F11949D" w14:textId="77777777" w:rsidR="008E5DE4" w:rsidRDefault="008E5DE4">
                  <w:pPr>
                    <w:widowControl w:val="0"/>
                    <w:ind w:left="113" w:right="-57" w:hanging="113"/>
                    <w:rPr>
                      <w:sz w:val="16"/>
                      <w:szCs w:val="16"/>
                    </w:rPr>
                  </w:pPr>
                </w:p>
              </w:tc>
              <w:tc>
                <w:tcPr>
                  <w:tcW w:w="1272" w:type="dxa"/>
                  <w:tcBorders>
                    <w:top w:val="single" w:sz="4" w:space="0" w:color="000000"/>
                  </w:tcBorders>
                </w:tcPr>
                <w:p w14:paraId="607F43F8" w14:textId="77777777" w:rsidR="008E5DE4" w:rsidRDefault="008E5DE4">
                  <w:pPr>
                    <w:widowControl w:val="0"/>
                    <w:pBdr>
                      <w:top w:val="nil"/>
                      <w:left w:val="nil"/>
                      <w:bottom w:val="nil"/>
                      <w:right w:val="nil"/>
                      <w:between w:val="nil"/>
                    </w:pBdr>
                    <w:rPr>
                      <w:color w:val="000000"/>
                      <w:sz w:val="16"/>
                      <w:szCs w:val="16"/>
                    </w:rPr>
                  </w:pPr>
                </w:p>
              </w:tc>
              <w:tc>
                <w:tcPr>
                  <w:tcW w:w="875" w:type="dxa"/>
                  <w:tcBorders>
                    <w:top w:val="single" w:sz="4" w:space="0" w:color="000000"/>
                  </w:tcBorders>
                  <w:vAlign w:val="bottom"/>
                </w:tcPr>
                <w:p w14:paraId="0D5F6188"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1F2D491E" w14:textId="77777777" w:rsidR="008E5DE4" w:rsidRDefault="008E5DE4">
                  <w:pPr>
                    <w:widowControl w:val="0"/>
                    <w:pBdr>
                      <w:top w:val="nil"/>
                      <w:left w:val="nil"/>
                      <w:bottom w:val="nil"/>
                      <w:right w:val="nil"/>
                      <w:between w:val="nil"/>
                    </w:pBdr>
                    <w:rPr>
                      <w:color w:val="000000"/>
                      <w:sz w:val="16"/>
                      <w:szCs w:val="16"/>
                    </w:rPr>
                  </w:pPr>
                </w:p>
              </w:tc>
              <w:tc>
                <w:tcPr>
                  <w:tcW w:w="1018" w:type="dxa"/>
                  <w:tcBorders>
                    <w:top w:val="single" w:sz="4" w:space="0" w:color="000000"/>
                  </w:tcBorders>
                  <w:vAlign w:val="bottom"/>
                </w:tcPr>
                <w:p w14:paraId="275ACBE8"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614D4C1C"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6D6DBD4A" w14:textId="77777777" w:rsidR="008E5DE4" w:rsidRDefault="008E5DE4">
                  <w:pPr>
                    <w:widowControl w:val="0"/>
                    <w:pBdr>
                      <w:top w:val="nil"/>
                      <w:left w:val="nil"/>
                      <w:bottom w:val="nil"/>
                      <w:right w:val="nil"/>
                      <w:between w:val="nil"/>
                    </w:pBdr>
                    <w:rPr>
                      <w:color w:val="000000"/>
                      <w:sz w:val="16"/>
                      <w:szCs w:val="16"/>
                    </w:rPr>
                  </w:pPr>
                </w:p>
              </w:tc>
              <w:tc>
                <w:tcPr>
                  <w:tcW w:w="1018" w:type="dxa"/>
                  <w:tcBorders>
                    <w:top w:val="single" w:sz="4" w:space="0" w:color="000000"/>
                  </w:tcBorders>
                  <w:vAlign w:val="bottom"/>
                </w:tcPr>
                <w:p w14:paraId="2603A809" w14:textId="77777777" w:rsidR="008E5DE4" w:rsidRDefault="008E5DE4">
                  <w:pPr>
                    <w:widowControl w:val="0"/>
                    <w:pBdr>
                      <w:top w:val="nil"/>
                      <w:left w:val="nil"/>
                      <w:bottom w:val="nil"/>
                      <w:right w:val="nil"/>
                      <w:between w:val="nil"/>
                    </w:pBdr>
                    <w:rPr>
                      <w:color w:val="000000"/>
                      <w:sz w:val="16"/>
                      <w:szCs w:val="16"/>
                    </w:rPr>
                  </w:pPr>
                </w:p>
              </w:tc>
            </w:tr>
            <w:tr w:rsidR="008E5DE4" w14:paraId="5E5C2515" w14:textId="77777777">
              <w:tc>
                <w:tcPr>
                  <w:tcW w:w="2121" w:type="dxa"/>
                  <w:vAlign w:val="bottom"/>
                </w:tcPr>
                <w:p w14:paraId="6BBB94FC" w14:textId="77777777" w:rsidR="008E5DE4" w:rsidRDefault="00780368">
                  <w:pPr>
                    <w:widowControl w:val="0"/>
                    <w:ind w:right="-57"/>
                    <w:rPr>
                      <w:b/>
                      <w:color w:val="0000FF"/>
                      <w:sz w:val="16"/>
                      <w:szCs w:val="16"/>
                    </w:rPr>
                  </w:pPr>
                  <w:r>
                    <w:rPr>
                      <w:b/>
                      <w:color w:val="0000FF"/>
                      <w:sz w:val="16"/>
                      <w:szCs w:val="16"/>
                    </w:rPr>
                    <w:t>[Central Bank of [Country] key interest rate]</w:t>
                  </w:r>
                </w:p>
              </w:tc>
              <w:tc>
                <w:tcPr>
                  <w:tcW w:w="1272" w:type="dxa"/>
                </w:tcPr>
                <w:p w14:paraId="164F6EE0"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[Base]</w:t>
                  </w:r>
                </w:p>
              </w:tc>
              <w:tc>
                <w:tcPr>
                  <w:tcW w:w="875" w:type="dxa"/>
                  <w:vAlign w:val="bottom"/>
                </w:tcPr>
                <w:p w14:paraId="005D4D70"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[60%]</w:t>
                  </w:r>
                </w:p>
              </w:tc>
              <w:tc>
                <w:tcPr>
                  <w:tcW w:w="1017" w:type="dxa"/>
                  <w:vAlign w:val="bottom"/>
                </w:tcPr>
                <w:p w14:paraId="16706ECC"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25748E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995728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556E37C"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161C1FF" w14:textId="77777777" w:rsidR="008E5DE4" w:rsidRDefault="008E5DE4">
                  <w:pPr>
                    <w:widowControl w:val="0"/>
                    <w:pBdr>
                      <w:top w:val="nil"/>
                      <w:left w:val="nil"/>
                      <w:bottom w:val="nil"/>
                      <w:right w:val="nil"/>
                      <w:between w:val="nil"/>
                    </w:pBdr>
                    <w:jc w:val="right"/>
                    <w:rPr>
                      <w:color w:val="000000"/>
                      <w:sz w:val="16"/>
                      <w:szCs w:val="16"/>
                    </w:rPr>
                  </w:pPr>
                </w:p>
              </w:tc>
            </w:tr>
            <w:tr w:rsidR="008E5DE4" w14:paraId="0C565B5F" w14:textId="77777777">
              <w:tc>
                <w:tcPr>
                  <w:tcW w:w="2121" w:type="dxa"/>
                  <w:vAlign w:val="bottom"/>
                </w:tcPr>
                <w:p w14:paraId="1007817B" w14:textId="77777777" w:rsidR="008E5DE4" w:rsidRDefault="008E5DE4">
                  <w:pPr>
                    <w:widowControl w:val="0"/>
                    <w:ind w:left="113" w:right="-57" w:hanging="113"/>
                    <w:rPr>
                      <w:color w:val="0000FF"/>
                      <w:sz w:val="16"/>
                      <w:szCs w:val="16"/>
                    </w:rPr>
                  </w:pPr>
                </w:p>
              </w:tc>
              <w:tc>
                <w:tcPr>
                  <w:tcW w:w="1272" w:type="dxa"/>
                </w:tcPr>
                <w:p w14:paraId="0AFEFFEA"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[Upside]</w:t>
                  </w:r>
                </w:p>
              </w:tc>
              <w:tc>
                <w:tcPr>
                  <w:tcW w:w="875" w:type="dxa"/>
                  <w:vAlign w:val="bottom"/>
                </w:tcPr>
                <w:p w14:paraId="73AC5845"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[10%]</w:t>
                  </w:r>
                </w:p>
              </w:tc>
              <w:tc>
                <w:tcPr>
                  <w:tcW w:w="1017" w:type="dxa"/>
                  <w:vAlign w:val="bottom"/>
                </w:tcPr>
                <w:p w14:paraId="35C34BF9"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0466181"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71767B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7F350E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C7414FE" w14:textId="77777777" w:rsidR="008E5DE4" w:rsidRDefault="008E5DE4">
                  <w:pPr>
                    <w:widowControl w:val="0"/>
                    <w:pBdr>
                      <w:top w:val="nil"/>
                      <w:left w:val="nil"/>
                      <w:bottom w:val="nil"/>
                      <w:right w:val="nil"/>
                      <w:between w:val="nil"/>
                    </w:pBdr>
                    <w:jc w:val="right"/>
                    <w:rPr>
                      <w:color w:val="000000"/>
                      <w:sz w:val="16"/>
                      <w:szCs w:val="16"/>
                    </w:rPr>
                  </w:pPr>
                </w:p>
              </w:tc>
            </w:tr>
            <w:tr w:rsidR="008E5DE4" w14:paraId="188665C9" w14:textId="77777777">
              <w:tc>
                <w:tcPr>
                  <w:tcW w:w="2121" w:type="dxa"/>
                  <w:vAlign w:val="bottom"/>
                </w:tcPr>
                <w:p w14:paraId="67FC122B" w14:textId="77777777" w:rsidR="008E5DE4" w:rsidRDefault="008E5DE4">
                  <w:pPr>
                    <w:widowControl w:val="0"/>
                    <w:ind w:left="113" w:right="-57" w:hanging="113"/>
                    <w:rPr>
                      <w:color w:val="0000FF"/>
                      <w:sz w:val="16"/>
                      <w:szCs w:val="16"/>
                    </w:rPr>
                  </w:pPr>
                </w:p>
              </w:tc>
              <w:tc>
                <w:tcPr>
                  <w:tcW w:w="1272" w:type="dxa"/>
                </w:tcPr>
                <w:p w14:paraId="4C51E079"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[Downside 1]</w:t>
                  </w:r>
                </w:p>
              </w:tc>
              <w:tc>
                <w:tcPr>
                  <w:tcW w:w="875" w:type="dxa"/>
                  <w:vAlign w:val="bottom"/>
                </w:tcPr>
                <w:p w14:paraId="7C1D6E86"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[20%]</w:t>
                  </w:r>
                </w:p>
              </w:tc>
              <w:tc>
                <w:tcPr>
                  <w:tcW w:w="1017" w:type="dxa"/>
                  <w:vAlign w:val="bottom"/>
                </w:tcPr>
                <w:p w14:paraId="10261274"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F9EA4B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421B94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CCDA67E"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879177A" w14:textId="77777777" w:rsidR="008E5DE4" w:rsidRDefault="008E5DE4">
                  <w:pPr>
                    <w:widowControl w:val="0"/>
                    <w:pBdr>
                      <w:top w:val="nil"/>
                      <w:left w:val="nil"/>
                      <w:bottom w:val="nil"/>
                      <w:right w:val="nil"/>
                      <w:between w:val="nil"/>
                    </w:pBdr>
                    <w:jc w:val="right"/>
                    <w:rPr>
                      <w:color w:val="000000"/>
                      <w:sz w:val="16"/>
                      <w:szCs w:val="16"/>
                    </w:rPr>
                  </w:pPr>
                </w:p>
              </w:tc>
            </w:tr>
            <w:tr w:rsidR="008E5DE4" w14:paraId="2D4271D8" w14:textId="77777777">
              <w:tc>
                <w:tcPr>
                  <w:tcW w:w="2121" w:type="dxa"/>
                  <w:vAlign w:val="bottom"/>
                </w:tcPr>
                <w:p w14:paraId="76FB87EA" w14:textId="77777777" w:rsidR="008E5DE4" w:rsidRDefault="008E5DE4">
                  <w:pPr>
                    <w:widowControl w:val="0"/>
                    <w:ind w:left="113" w:right="-57" w:hanging="113"/>
                    <w:rPr>
                      <w:color w:val="0000FF"/>
                      <w:sz w:val="16"/>
                      <w:szCs w:val="16"/>
                    </w:rPr>
                  </w:pPr>
                </w:p>
              </w:tc>
              <w:tc>
                <w:tcPr>
                  <w:tcW w:w="1272" w:type="dxa"/>
                </w:tcPr>
                <w:p w14:paraId="2A9A092E"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[Downside 2]</w:t>
                  </w:r>
                </w:p>
              </w:tc>
              <w:tc>
                <w:tcPr>
                  <w:tcW w:w="875" w:type="dxa"/>
                  <w:vAlign w:val="bottom"/>
                </w:tcPr>
                <w:p w14:paraId="725EF636"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[10%]</w:t>
                  </w:r>
                </w:p>
              </w:tc>
              <w:tc>
                <w:tcPr>
                  <w:tcW w:w="1017" w:type="dxa"/>
                  <w:vAlign w:val="bottom"/>
                </w:tcPr>
                <w:p w14:paraId="401860E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24ACF0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AF5B14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E9E3023"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5A95C2F" w14:textId="77777777" w:rsidR="008E5DE4" w:rsidRDefault="008E5DE4">
                  <w:pPr>
                    <w:widowControl w:val="0"/>
                    <w:pBdr>
                      <w:top w:val="nil"/>
                      <w:left w:val="nil"/>
                      <w:bottom w:val="nil"/>
                      <w:right w:val="nil"/>
                      <w:between w:val="nil"/>
                    </w:pBdr>
                    <w:jc w:val="right"/>
                    <w:rPr>
                      <w:color w:val="000000"/>
                      <w:sz w:val="16"/>
                      <w:szCs w:val="16"/>
                    </w:rPr>
                  </w:pPr>
                </w:p>
              </w:tc>
            </w:tr>
            <w:tr w:rsidR="008E5DE4" w14:paraId="47268484" w14:textId="77777777">
              <w:tc>
                <w:tcPr>
                  <w:tcW w:w="2121" w:type="dxa"/>
                  <w:vAlign w:val="bottom"/>
                </w:tcPr>
                <w:p w14:paraId="691649E0" w14:textId="77777777" w:rsidR="008E5DE4" w:rsidRDefault="008E5DE4">
                  <w:pPr>
                    <w:widowControl w:val="0"/>
                    <w:ind w:left="113" w:right="-57" w:hanging="113"/>
                    <w:rPr>
                      <w:color w:val="0000FF"/>
                      <w:sz w:val="16"/>
                      <w:szCs w:val="16"/>
                    </w:rPr>
                  </w:pPr>
                </w:p>
              </w:tc>
              <w:tc>
                <w:tcPr>
                  <w:tcW w:w="1272" w:type="dxa"/>
                </w:tcPr>
                <w:p w14:paraId="171D117C"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5134863B"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670E6A83"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2F18FEB4"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6CF0146F"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514CC662"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09637259" w14:textId="77777777" w:rsidR="008E5DE4" w:rsidRDefault="008E5DE4">
                  <w:pPr>
                    <w:widowControl w:val="0"/>
                    <w:pBdr>
                      <w:top w:val="nil"/>
                      <w:left w:val="nil"/>
                      <w:bottom w:val="nil"/>
                      <w:right w:val="nil"/>
                      <w:between w:val="nil"/>
                    </w:pBdr>
                    <w:rPr>
                      <w:color w:val="000000"/>
                      <w:sz w:val="16"/>
                      <w:szCs w:val="16"/>
                    </w:rPr>
                  </w:pPr>
                </w:p>
              </w:tc>
            </w:tr>
            <w:tr w:rsidR="008E5DE4" w14:paraId="6943E6EA" w14:textId="77777777">
              <w:tc>
                <w:tcPr>
                  <w:tcW w:w="2121" w:type="dxa"/>
                  <w:vAlign w:val="bottom"/>
                </w:tcPr>
                <w:p w14:paraId="2BB6A108" w14:textId="77777777" w:rsidR="008E5DE4" w:rsidRDefault="00780368">
                  <w:pPr>
                    <w:widowControl w:val="0"/>
                    <w:ind w:right="-57"/>
                    <w:rPr>
                      <w:b/>
                      <w:color w:val="0000FF"/>
                      <w:sz w:val="16"/>
                      <w:szCs w:val="16"/>
                    </w:rPr>
                  </w:pPr>
                  <w:r>
                    <w:rPr>
                      <w:b/>
                      <w:color w:val="0000FF"/>
                      <w:sz w:val="16"/>
                      <w:szCs w:val="16"/>
                    </w:rPr>
                    <w:t>[Unemployment rate]</w:t>
                  </w:r>
                </w:p>
              </w:tc>
              <w:tc>
                <w:tcPr>
                  <w:tcW w:w="1272" w:type="dxa"/>
                </w:tcPr>
                <w:p w14:paraId="184C8B06"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4B7E13DC"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3ECCBEF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FC777C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24AE9E8"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EFC303C"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BD36E86" w14:textId="77777777" w:rsidR="008E5DE4" w:rsidRDefault="008E5DE4">
                  <w:pPr>
                    <w:widowControl w:val="0"/>
                    <w:pBdr>
                      <w:top w:val="nil"/>
                      <w:left w:val="nil"/>
                      <w:bottom w:val="nil"/>
                      <w:right w:val="nil"/>
                      <w:between w:val="nil"/>
                    </w:pBdr>
                    <w:jc w:val="right"/>
                    <w:rPr>
                      <w:color w:val="000000"/>
                      <w:sz w:val="16"/>
                      <w:szCs w:val="16"/>
                    </w:rPr>
                  </w:pPr>
                </w:p>
              </w:tc>
            </w:tr>
            <w:tr w:rsidR="008E5DE4" w14:paraId="64159488" w14:textId="77777777">
              <w:tc>
                <w:tcPr>
                  <w:tcW w:w="2121" w:type="dxa"/>
                  <w:vAlign w:val="bottom"/>
                </w:tcPr>
                <w:p w14:paraId="6CFE8FD9" w14:textId="77777777" w:rsidR="008E5DE4" w:rsidRDefault="008E5DE4">
                  <w:pPr>
                    <w:widowControl w:val="0"/>
                    <w:ind w:left="113" w:right="-57" w:hanging="113"/>
                    <w:rPr>
                      <w:color w:val="0000FF"/>
                      <w:sz w:val="16"/>
                      <w:szCs w:val="16"/>
                    </w:rPr>
                  </w:pPr>
                </w:p>
              </w:tc>
              <w:tc>
                <w:tcPr>
                  <w:tcW w:w="1272" w:type="dxa"/>
                </w:tcPr>
                <w:p w14:paraId="7CE166CC"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6E31A0C2"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00F12E0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F7FD6FA"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6670825"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9B031C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772A44A" w14:textId="77777777" w:rsidR="008E5DE4" w:rsidRDefault="008E5DE4">
                  <w:pPr>
                    <w:widowControl w:val="0"/>
                    <w:pBdr>
                      <w:top w:val="nil"/>
                      <w:left w:val="nil"/>
                      <w:bottom w:val="nil"/>
                      <w:right w:val="nil"/>
                      <w:between w:val="nil"/>
                    </w:pBdr>
                    <w:jc w:val="right"/>
                    <w:rPr>
                      <w:color w:val="000000"/>
                      <w:sz w:val="16"/>
                      <w:szCs w:val="16"/>
                    </w:rPr>
                  </w:pPr>
                </w:p>
              </w:tc>
            </w:tr>
            <w:tr w:rsidR="008E5DE4" w14:paraId="514A8352" w14:textId="77777777">
              <w:tc>
                <w:tcPr>
                  <w:tcW w:w="2121" w:type="dxa"/>
                  <w:vAlign w:val="bottom"/>
                </w:tcPr>
                <w:p w14:paraId="2AF00398" w14:textId="77777777" w:rsidR="008E5DE4" w:rsidRDefault="008E5DE4">
                  <w:pPr>
                    <w:widowControl w:val="0"/>
                    <w:ind w:left="113" w:right="-57" w:hanging="113"/>
                    <w:rPr>
                      <w:color w:val="0000FF"/>
                      <w:sz w:val="16"/>
                      <w:szCs w:val="16"/>
                    </w:rPr>
                  </w:pPr>
                </w:p>
              </w:tc>
              <w:tc>
                <w:tcPr>
                  <w:tcW w:w="1272" w:type="dxa"/>
                </w:tcPr>
                <w:p w14:paraId="54C69E0F"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62AA75FF"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407D9B97"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DC6D58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FFAAEE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F14AE5C"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771BC1E" w14:textId="77777777" w:rsidR="008E5DE4" w:rsidRDefault="008E5DE4">
                  <w:pPr>
                    <w:widowControl w:val="0"/>
                    <w:pBdr>
                      <w:top w:val="nil"/>
                      <w:left w:val="nil"/>
                      <w:bottom w:val="nil"/>
                      <w:right w:val="nil"/>
                      <w:between w:val="nil"/>
                    </w:pBdr>
                    <w:jc w:val="right"/>
                    <w:rPr>
                      <w:color w:val="000000"/>
                      <w:sz w:val="16"/>
                      <w:szCs w:val="16"/>
                    </w:rPr>
                  </w:pPr>
                </w:p>
              </w:tc>
            </w:tr>
            <w:tr w:rsidR="008E5DE4" w14:paraId="6F51C100" w14:textId="77777777">
              <w:tc>
                <w:tcPr>
                  <w:tcW w:w="2121" w:type="dxa"/>
                  <w:vAlign w:val="bottom"/>
                </w:tcPr>
                <w:p w14:paraId="329CB203" w14:textId="77777777" w:rsidR="008E5DE4" w:rsidRDefault="008E5DE4">
                  <w:pPr>
                    <w:widowControl w:val="0"/>
                    <w:ind w:left="113" w:right="-57" w:hanging="113"/>
                    <w:rPr>
                      <w:color w:val="0000FF"/>
                      <w:sz w:val="16"/>
                      <w:szCs w:val="16"/>
                    </w:rPr>
                  </w:pPr>
                </w:p>
              </w:tc>
              <w:tc>
                <w:tcPr>
                  <w:tcW w:w="1272" w:type="dxa"/>
                </w:tcPr>
                <w:p w14:paraId="4065F308"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222960DC"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2875A16E"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3BEB3B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600E9D2"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C16C034"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FD87D75" w14:textId="77777777" w:rsidR="008E5DE4" w:rsidRDefault="008E5DE4">
                  <w:pPr>
                    <w:widowControl w:val="0"/>
                    <w:pBdr>
                      <w:top w:val="nil"/>
                      <w:left w:val="nil"/>
                      <w:bottom w:val="nil"/>
                      <w:right w:val="nil"/>
                      <w:between w:val="nil"/>
                    </w:pBdr>
                    <w:jc w:val="right"/>
                    <w:rPr>
                      <w:color w:val="000000"/>
                      <w:sz w:val="16"/>
                      <w:szCs w:val="16"/>
                    </w:rPr>
                  </w:pPr>
                </w:p>
              </w:tc>
            </w:tr>
            <w:tr w:rsidR="008E5DE4" w14:paraId="1C1C64C8" w14:textId="77777777">
              <w:tc>
                <w:tcPr>
                  <w:tcW w:w="2121" w:type="dxa"/>
                  <w:vAlign w:val="bottom"/>
                </w:tcPr>
                <w:p w14:paraId="2E66127D" w14:textId="77777777" w:rsidR="008E5DE4" w:rsidRDefault="008E5DE4">
                  <w:pPr>
                    <w:widowControl w:val="0"/>
                    <w:ind w:left="113" w:right="-57" w:hanging="113"/>
                    <w:rPr>
                      <w:color w:val="0000FF"/>
                      <w:sz w:val="16"/>
                      <w:szCs w:val="16"/>
                    </w:rPr>
                  </w:pPr>
                </w:p>
              </w:tc>
              <w:tc>
                <w:tcPr>
                  <w:tcW w:w="1272" w:type="dxa"/>
                </w:tcPr>
                <w:p w14:paraId="1CE0180F"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5C07B856"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2F37A09F"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0419C463"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6B8FCE86"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06F2CC3D"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2B9206D2" w14:textId="77777777" w:rsidR="008E5DE4" w:rsidRDefault="008E5DE4">
                  <w:pPr>
                    <w:widowControl w:val="0"/>
                    <w:pBdr>
                      <w:top w:val="nil"/>
                      <w:left w:val="nil"/>
                      <w:bottom w:val="nil"/>
                      <w:right w:val="nil"/>
                      <w:between w:val="nil"/>
                    </w:pBdr>
                    <w:rPr>
                      <w:color w:val="000000"/>
                      <w:sz w:val="16"/>
                      <w:szCs w:val="16"/>
                    </w:rPr>
                  </w:pPr>
                </w:p>
              </w:tc>
            </w:tr>
            <w:tr w:rsidR="008E5DE4" w14:paraId="6F4B362B" w14:textId="77777777">
              <w:tc>
                <w:tcPr>
                  <w:tcW w:w="2121" w:type="dxa"/>
                  <w:vAlign w:val="bottom"/>
                </w:tcPr>
                <w:p w14:paraId="085312DE" w14:textId="77777777" w:rsidR="008E5DE4" w:rsidRDefault="00780368">
                  <w:pPr>
                    <w:widowControl w:val="0"/>
                    <w:ind w:right="-57"/>
                    <w:rPr>
                      <w:b/>
                      <w:color w:val="0000FF"/>
                      <w:sz w:val="16"/>
                      <w:szCs w:val="16"/>
                    </w:rPr>
                  </w:pPr>
                  <w:r>
                    <w:rPr>
                      <w:b/>
                      <w:color w:val="0000FF"/>
                      <w:sz w:val="16"/>
                      <w:szCs w:val="16"/>
                    </w:rPr>
                    <w:t>[GDP Growth rate]</w:t>
                  </w:r>
                </w:p>
              </w:tc>
              <w:tc>
                <w:tcPr>
                  <w:tcW w:w="1272" w:type="dxa"/>
                </w:tcPr>
                <w:p w14:paraId="760789B0"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1A3A2A3D"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44731F0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F7A4A9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18BCCF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B43A262"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CB96456" w14:textId="77777777" w:rsidR="008E5DE4" w:rsidRDefault="008E5DE4">
                  <w:pPr>
                    <w:widowControl w:val="0"/>
                    <w:pBdr>
                      <w:top w:val="nil"/>
                      <w:left w:val="nil"/>
                      <w:bottom w:val="nil"/>
                      <w:right w:val="nil"/>
                      <w:between w:val="nil"/>
                    </w:pBdr>
                    <w:jc w:val="right"/>
                    <w:rPr>
                      <w:color w:val="000000"/>
                      <w:sz w:val="16"/>
                      <w:szCs w:val="16"/>
                    </w:rPr>
                  </w:pPr>
                </w:p>
              </w:tc>
            </w:tr>
            <w:tr w:rsidR="008E5DE4" w14:paraId="28FBD326" w14:textId="77777777">
              <w:tc>
                <w:tcPr>
                  <w:tcW w:w="2121" w:type="dxa"/>
                  <w:vAlign w:val="bottom"/>
                </w:tcPr>
                <w:p w14:paraId="336A046F" w14:textId="77777777" w:rsidR="008E5DE4" w:rsidRDefault="008E5DE4">
                  <w:pPr>
                    <w:widowControl w:val="0"/>
                    <w:ind w:left="113" w:right="-57" w:hanging="113"/>
                    <w:rPr>
                      <w:color w:val="0000FF"/>
                      <w:sz w:val="16"/>
                      <w:szCs w:val="16"/>
                    </w:rPr>
                  </w:pPr>
                </w:p>
              </w:tc>
              <w:tc>
                <w:tcPr>
                  <w:tcW w:w="1272" w:type="dxa"/>
                </w:tcPr>
                <w:p w14:paraId="0538F710"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756AC107"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1B7C2DC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5F58F2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8818CC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D03992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E17FAC2" w14:textId="77777777" w:rsidR="008E5DE4" w:rsidRDefault="008E5DE4">
                  <w:pPr>
                    <w:widowControl w:val="0"/>
                    <w:pBdr>
                      <w:top w:val="nil"/>
                      <w:left w:val="nil"/>
                      <w:bottom w:val="nil"/>
                      <w:right w:val="nil"/>
                      <w:between w:val="nil"/>
                    </w:pBdr>
                    <w:jc w:val="right"/>
                    <w:rPr>
                      <w:color w:val="000000"/>
                      <w:sz w:val="16"/>
                      <w:szCs w:val="16"/>
                    </w:rPr>
                  </w:pPr>
                </w:p>
              </w:tc>
            </w:tr>
            <w:tr w:rsidR="008E5DE4" w14:paraId="3393FAED" w14:textId="77777777">
              <w:tc>
                <w:tcPr>
                  <w:tcW w:w="2121" w:type="dxa"/>
                  <w:vAlign w:val="bottom"/>
                </w:tcPr>
                <w:p w14:paraId="5FE01738" w14:textId="77777777" w:rsidR="008E5DE4" w:rsidRDefault="008E5DE4">
                  <w:pPr>
                    <w:widowControl w:val="0"/>
                    <w:ind w:left="113" w:right="-57" w:hanging="113"/>
                    <w:rPr>
                      <w:color w:val="0000FF"/>
                      <w:sz w:val="16"/>
                      <w:szCs w:val="16"/>
                    </w:rPr>
                  </w:pPr>
                </w:p>
              </w:tc>
              <w:tc>
                <w:tcPr>
                  <w:tcW w:w="1272" w:type="dxa"/>
                </w:tcPr>
                <w:p w14:paraId="32E7A4F3"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7BAFBD70"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2003769D"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FEA2181"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4141BBF"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279259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CA4A67D" w14:textId="77777777" w:rsidR="008E5DE4" w:rsidRDefault="008E5DE4">
                  <w:pPr>
                    <w:widowControl w:val="0"/>
                    <w:pBdr>
                      <w:top w:val="nil"/>
                      <w:left w:val="nil"/>
                      <w:bottom w:val="nil"/>
                      <w:right w:val="nil"/>
                      <w:between w:val="nil"/>
                    </w:pBdr>
                    <w:jc w:val="right"/>
                    <w:rPr>
                      <w:color w:val="000000"/>
                      <w:sz w:val="16"/>
                      <w:szCs w:val="16"/>
                    </w:rPr>
                  </w:pPr>
                </w:p>
              </w:tc>
            </w:tr>
            <w:tr w:rsidR="008E5DE4" w14:paraId="69EB518F" w14:textId="77777777">
              <w:tc>
                <w:tcPr>
                  <w:tcW w:w="2121" w:type="dxa"/>
                  <w:vAlign w:val="bottom"/>
                </w:tcPr>
                <w:p w14:paraId="4F0E370E" w14:textId="77777777" w:rsidR="008E5DE4" w:rsidRDefault="008E5DE4">
                  <w:pPr>
                    <w:widowControl w:val="0"/>
                    <w:ind w:left="113" w:right="-57" w:hanging="113"/>
                    <w:rPr>
                      <w:color w:val="0000FF"/>
                      <w:sz w:val="16"/>
                      <w:szCs w:val="16"/>
                    </w:rPr>
                  </w:pPr>
                </w:p>
              </w:tc>
              <w:tc>
                <w:tcPr>
                  <w:tcW w:w="1272" w:type="dxa"/>
                </w:tcPr>
                <w:p w14:paraId="6F62EF92"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418DABED"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73096E8C"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BE2EDB1"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BC56A7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F91C519"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6432B92" w14:textId="77777777" w:rsidR="008E5DE4" w:rsidRDefault="008E5DE4">
                  <w:pPr>
                    <w:widowControl w:val="0"/>
                    <w:pBdr>
                      <w:top w:val="nil"/>
                      <w:left w:val="nil"/>
                      <w:bottom w:val="nil"/>
                      <w:right w:val="nil"/>
                      <w:between w:val="nil"/>
                    </w:pBdr>
                    <w:jc w:val="right"/>
                    <w:rPr>
                      <w:color w:val="000000"/>
                      <w:sz w:val="16"/>
                      <w:szCs w:val="16"/>
                    </w:rPr>
                  </w:pPr>
                </w:p>
              </w:tc>
            </w:tr>
            <w:tr w:rsidR="008E5DE4" w14:paraId="758426C4" w14:textId="77777777">
              <w:tc>
                <w:tcPr>
                  <w:tcW w:w="2121" w:type="dxa"/>
                  <w:vAlign w:val="bottom"/>
                </w:tcPr>
                <w:p w14:paraId="03A4CCC5" w14:textId="77777777" w:rsidR="008E5DE4" w:rsidRDefault="008E5DE4">
                  <w:pPr>
                    <w:widowControl w:val="0"/>
                    <w:ind w:left="113" w:right="-57" w:hanging="113"/>
                    <w:rPr>
                      <w:color w:val="0000FF"/>
                      <w:sz w:val="16"/>
                      <w:szCs w:val="16"/>
                    </w:rPr>
                  </w:pPr>
                </w:p>
              </w:tc>
              <w:tc>
                <w:tcPr>
                  <w:tcW w:w="1272" w:type="dxa"/>
                </w:tcPr>
                <w:p w14:paraId="645051AB"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7859FE7C"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2F84D46F"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15D663B2"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5CBB4E12"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18AF0167"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0CD57F5F" w14:textId="77777777" w:rsidR="008E5DE4" w:rsidRDefault="008E5DE4">
                  <w:pPr>
                    <w:widowControl w:val="0"/>
                    <w:pBdr>
                      <w:top w:val="nil"/>
                      <w:left w:val="nil"/>
                      <w:bottom w:val="nil"/>
                      <w:right w:val="nil"/>
                      <w:between w:val="nil"/>
                    </w:pBdr>
                    <w:rPr>
                      <w:color w:val="000000"/>
                      <w:sz w:val="16"/>
                      <w:szCs w:val="16"/>
                    </w:rPr>
                  </w:pPr>
                </w:p>
              </w:tc>
            </w:tr>
            <w:tr w:rsidR="008E5DE4" w14:paraId="74F699AC" w14:textId="77777777">
              <w:tc>
                <w:tcPr>
                  <w:tcW w:w="2121" w:type="dxa"/>
                  <w:vAlign w:val="bottom"/>
                </w:tcPr>
                <w:p w14:paraId="69D02370" w14:textId="77777777" w:rsidR="008E5DE4" w:rsidRDefault="00780368">
                  <w:pPr>
                    <w:widowControl w:val="0"/>
                    <w:ind w:right="-57"/>
                    <w:rPr>
                      <w:b/>
                      <w:color w:val="0000FF"/>
                      <w:sz w:val="16"/>
                      <w:szCs w:val="16"/>
                    </w:rPr>
                  </w:pPr>
                  <w:r>
                    <w:rPr>
                      <w:b/>
                      <w:color w:val="0000FF"/>
                      <w:sz w:val="16"/>
                      <w:szCs w:val="16"/>
                    </w:rPr>
                    <w:t>[House price index]</w:t>
                  </w:r>
                </w:p>
              </w:tc>
              <w:tc>
                <w:tcPr>
                  <w:tcW w:w="1272" w:type="dxa"/>
                </w:tcPr>
                <w:p w14:paraId="70EC71CD"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39D6B7D0"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7D568797"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B9CB4A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5CC1E66"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2B708E5"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2DD0ADE" w14:textId="77777777" w:rsidR="008E5DE4" w:rsidRDefault="008E5DE4">
                  <w:pPr>
                    <w:widowControl w:val="0"/>
                    <w:pBdr>
                      <w:top w:val="nil"/>
                      <w:left w:val="nil"/>
                      <w:bottom w:val="nil"/>
                      <w:right w:val="nil"/>
                      <w:between w:val="nil"/>
                    </w:pBdr>
                    <w:jc w:val="right"/>
                    <w:rPr>
                      <w:color w:val="000000"/>
                      <w:sz w:val="16"/>
                      <w:szCs w:val="16"/>
                    </w:rPr>
                  </w:pPr>
                </w:p>
              </w:tc>
            </w:tr>
            <w:tr w:rsidR="008E5DE4" w14:paraId="051FD7C5" w14:textId="77777777">
              <w:tc>
                <w:tcPr>
                  <w:tcW w:w="2121" w:type="dxa"/>
                  <w:vAlign w:val="bottom"/>
                </w:tcPr>
                <w:p w14:paraId="33725014" w14:textId="77777777" w:rsidR="008E5DE4" w:rsidRDefault="008E5DE4">
                  <w:pPr>
                    <w:widowControl w:val="0"/>
                    <w:ind w:left="113" w:right="-57" w:hanging="113"/>
                    <w:rPr>
                      <w:sz w:val="16"/>
                      <w:szCs w:val="16"/>
                    </w:rPr>
                  </w:pPr>
                </w:p>
              </w:tc>
              <w:tc>
                <w:tcPr>
                  <w:tcW w:w="1272" w:type="dxa"/>
                </w:tcPr>
                <w:p w14:paraId="4376CBBC"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3F72B52D"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2E9D5CEF"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60311A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EC8B21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46523AE"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7167F57" w14:textId="77777777" w:rsidR="008E5DE4" w:rsidRDefault="008E5DE4">
                  <w:pPr>
                    <w:widowControl w:val="0"/>
                    <w:pBdr>
                      <w:top w:val="nil"/>
                      <w:left w:val="nil"/>
                      <w:bottom w:val="nil"/>
                      <w:right w:val="nil"/>
                      <w:between w:val="nil"/>
                    </w:pBdr>
                    <w:jc w:val="right"/>
                    <w:rPr>
                      <w:color w:val="000000"/>
                      <w:sz w:val="16"/>
                      <w:szCs w:val="16"/>
                    </w:rPr>
                  </w:pPr>
                </w:p>
              </w:tc>
            </w:tr>
            <w:tr w:rsidR="008E5DE4" w14:paraId="6D148E28" w14:textId="77777777">
              <w:tc>
                <w:tcPr>
                  <w:tcW w:w="2121" w:type="dxa"/>
                  <w:vAlign w:val="bottom"/>
                </w:tcPr>
                <w:p w14:paraId="31A545A8" w14:textId="77777777" w:rsidR="008E5DE4" w:rsidRDefault="008E5DE4">
                  <w:pPr>
                    <w:widowControl w:val="0"/>
                    <w:ind w:left="113" w:right="-57" w:hanging="113"/>
                    <w:rPr>
                      <w:sz w:val="16"/>
                      <w:szCs w:val="16"/>
                    </w:rPr>
                  </w:pPr>
                </w:p>
              </w:tc>
              <w:tc>
                <w:tcPr>
                  <w:tcW w:w="1272" w:type="dxa"/>
                </w:tcPr>
                <w:p w14:paraId="2C6E1480"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16153D82"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47E550E2"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35CD1D5"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AEAA926"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7680FA9"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E2DC612" w14:textId="77777777" w:rsidR="008E5DE4" w:rsidRDefault="008E5DE4">
                  <w:pPr>
                    <w:widowControl w:val="0"/>
                    <w:pBdr>
                      <w:top w:val="nil"/>
                      <w:left w:val="nil"/>
                      <w:bottom w:val="nil"/>
                      <w:right w:val="nil"/>
                      <w:between w:val="nil"/>
                    </w:pBdr>
                    <w:jc w:val="right"/>
                    <w:rPr>
                      <w:color w:val="000000"/>
                      <w:sz w:val="16"/>
                      <w:szCs w:val="16"/>
                    </w:rPr>
                  </w:pPr>
                </w:p>
              </w:tc>
            </w:tr>
            <w:tr w:rsidR="008E5DE4" w14:paraId="1BCA1E45" w14:textId="77777777">
              <w:tc>
                <w:tcPr>
                  <w:tcW w:w="2121" w:type="dxa"/>
                  <w:vAlign w:val="bottom"/>
                </w:tcPr>
                <w:p w14:paraId="489E8AD8" w14:textId="77777777" w:rsidR="008E5DE4" w:rsidRDefault="008E5DE4">
                  <w:pPr>
                    <w:widowControl w:val="0"/>
                    <w:ind w:left="113" w:right="-57" w:hanging="113"/>
                    <w:rPr>
                      <w:sz w:val="16"/>
                      <w:szCs w:val="16"/>
                    </w:rPr>
                  </w:pPr>
                </w:p>
              </w:tc>
              <w:tc>
                <w:tcPr>
                  <w:tcW w:w="1272" w:type="dxa"/>
                </w:tcPr>
                <w:p w14:paraId="0541531E"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361E66CA"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475A1266"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580A3AD"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3140EC6"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3877D21"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FD7FB21" w14:textId="77777777" w:rsidR="008E5DE4" w:rsidRDefault="008E5DE4">
                  <w:pPr>
                    <w:widowControl w:val="0"/>
                    <w:pBdr>
                      <w:top w:val="nil"/>
                      <w:left w:val="nil"/>
                      <w:bottom w:val="nil"/>
                      <w:right w:val="nil"/>
                      <w:between w:val="nil"/>
                    </w:pBdr>
                    <w:jc w:val="right"/>
                    <w:rPr>
                      <w:color w:val="000000"/>
                      <w:sz w:val="16"/>
                      <w:szCs w:val="16"/>
                    </w:rPr>
                  </w:pPr>
                </w:p>
              </w:tc>
            </w:tr>
            <w:tr w:rsidR="008E5DE4" w14:paraId="0CEA076A" w14:textId="77777777">
              <w:tc>
                <w:tcPr>
                  <w:tcW w:w="2121" w:type="dxa"/>
                  <w:tcBorders>
                    <w:bottom w:val="single" w:sz="12" w:space="0" w:color="000000"/>
                  </w:tcBorders>
                  <w:vAlign w:val="bottom"/>
                </w:tcPr>
                <w:p w14:paraId="33F80B84" w14:textId="77777777" w:rsidR="008E5DE4" w:rsidRDefault="008E5DE4">
                  <w:pPr>
                    <w:widowControl w:val="0"/>
                    <w:ind w:left="113" w:right="-57" w:hanging="113"/>
                    <w:rPr>
                      <w:sz w:val="16"/>
                      <w:szCs w:val="16"/>
                    </w:rPr>
                  </w:pPr>
                </w:p>
              </w:tc>
              <w:tc>
                <w:tcPr>
                  <w:tcW w:w="1272" w:type="dxa"/>
                  <w:tcBorders>
                    <w:bottom w:val="single" w:sz="12" w:space="0" w:color="000000"/>
                  </w:tcBorders>
                </w:tcPr>
                <w:p w14:paraId="4DDEA79C" w14:textId="77777777" w:rsidR="008E5DE4" w:rsidRDefault="008E5DE4">
                  <w:pPr>
                    <w:widowControl w:val="0"/>
                    <w:pBdr>
                      <w:top w:val="nil"/>
                      <w:left w:val="nil"/>
                      <w:bottom w:val="nil"/>
                      <w:right w:val="nil"/>
                      <w:between w:val="nil"/>
                    </w:pBdr>
                    <w:rPr>
                      <w:color w:val="000000"/>
                      <w:sz w:val="16"/>
                      <w:szCs w:val="16"/>
                    </w:rPr>
                  </w:pPr>
                </w:p>
              </w:tc>
              <w:tc>
                <w:tcPr>
                  <w:tcW w:w="875" w:type="dxa"/>
                  <w:tcBorders>
                    <w:bottom w:val="single" w:sz="12" w:space="0" w:color="000000"/>
                  </w:tcBorders>
                  <w:vAlign w:val="bottom"/>
                </w:tcPr>
                <w:p w14:paraId="71D0F1A6"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77D34F4F" w14:textId="77777777" w:rsidR="008E5DE4" w:rsidRDefault="008E5DE4">
                  <w:pPr>
                    <w:widowControl w:val="0"/>
                    <w:pBdr>
                      <w:top w:val="nil"/>
                      <w:left w:val="nil"/>
                      <w:bottom w:val="nil"/>
                      <w:right w:val="nil"/>
                      <w:between w:val="nil"/>
                    </w:pBdr>
                    <w:rPr>
                      <w:color w:val="000000"/>
                      <w:sz w:val="16"/>
                      <w:szCs w:val="16"/>
                    </w:rPr>
                  </w:pPr>
                </w:p>
              </w:tc>
              <w:tc>
                <w:tcPr>
                  <w:tcW w:w="1018" w:type="dxa"/>
                  <w:tcBorders>
                    <w:bottom w:val="single" w:sz="12" w:space="0" w:color="000000"/>
                  </w:tcBorders>
                  <w:vAlign w:val="bottom"/>
                </w:tcPr>
                <w:p w14:paraId="00967A05"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27D3D015"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03E28D4D" w14:textId="77777777" w:rsidR="008E5DE4" w:rsidRDefault="008E5DE4">
                  <w:pPr>
                    <w:widowControl w:val="0"/>
                    <w:pBdr>
                      <w:top w:val="nil"/>
                      <w:left w:val="nil"/>
                      <w:bottom w:val="nil"/>
                      <w:right w:val="nil"/>
                      <w:between w:val="nil"/>
                    </w:pBdr>
                    <w:rPr>
                      <w:color w:val="000000"/>
                      <w:sz w:val="16"/>
                      <w:szCs w:val="16"/>
                    </w:rPr>
                  </w:pPr>
                </w:p>
              </w:tc>
              <w:tc>
                <w:tcPr>
                  <w:tcW w:w="1018" w:type="dxa"/>
                  <w:tcBorders>
                    <w:bottom w:val="single" w:sz="12" w:space="0" w:color="000000"/>
                  </w:tcBorders>
                  <w:vAlign w:val="bottom"/>
                </w:tcPr>
                <w:p w14:paraId="25536F85" w14:textId="77777777" w:rsidR="008E5DE4" w:rsidRDefault="008E5DE4">
                  <w:pPr>
                    <w:widowControl w:val="0"/>
                    <w:pBdr>
                      <w:top w:val="nil"/>
                      <w:left w:val="nil"/>
                      <w:bottom w:val="nil"/>
                      <w:right w:val="nil"/>
                      <w:between w:val="nil"/>
                    </w:pBdr>
                    <w:rPr>
                      <w:color w:val="000000"/>
                      <w:sz w:val="16"/>
                      <w:szCs w:val="16"/>
                    </w:rPr>
                  </w:pPr>
                </w:p>
              </w:tc>
            </w:tr>
          </w:tbl>
          <w:p w14:paraId="7FDF833F" w14:textId="77777777" w:rsidR="00055CF1" w:rsidRDefault="00055CF1">
            <w:pPr>
              <w:widowControl w:val="0"/>
              <w:pBdr>
                <w:top w:val="nil"/>
                <w:left w:val="nil"/>
                <w:bottom w:val="nil"/>
                <w:right w:val="nil"/>
                <w:between w:val="nil"/>
              </w:pBdr>
              <w:spacing w:before="200" w:after="200"/>
              <w:jc w:val="both"/>
              <w:rPr>
                <w:color w:val="000000"/>
                <w:sz w:val="20"/>
                <w:szCs w:val="20"/>
              </w:rPr>
            </w:pPr>
          </w:p>
          <w:p w14:paraId="17A8FFFC" w14:textId="77777777" w:rsidR="00055CF1" w:rsidRDefault="00055CF1">
            <w:pPr>
              <w:widowControl w:val="0"/>
              <w:pBdr>
                <w:top w:val="nil"/>
                <w:left w:val="nil"/>
                <w:bottom w:val="nil"/>
                <w:right w:val="nil"/>
                <w:between w:val="nil"/>
              </w:pBdr>
              <w:spacing w:before="200" w:after="200"/>
              <w:jc w:val="both"/>
              <w:rPr>
                <w:color w:val="000000"/>
                <w:sz w:val="20"/>
                <w:szCs w:val="20"/>
              </w:rPr>
            </w:pPr>
          </w:p>
          <w:p w14:paraId="532126AB" w14:textId="77777777" w:rsidR="00055CF1" w:rsidRDefault="00055CF1" w:rsidP="00055CF1">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092B3149" w14:textId="744345E5"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assumptions and assigned weights were as follows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w:t>
            </w:r>
          </w:p>
          <w:tbl>
            <w:tblPr>
              <w:tblStyle w:val="affffff7"/>
              <w:tblW w:w="9355" w:type="dxa"/>
              <w:tblInd w:w="113" w:type="dxa"/>
              <w:tblLayout w:type="fixed"/>
              <w:tblLook w:val="0000" w:firstRow="0" w:lastRow="0" w:firstColumn="0" w:lastColumn="0" w:noHBand="0" w:noVBand="0"/>
            </w:tblPr>
            <w:tblGrid>
              <w:gridCol w:w="2121"/>
              <w:gridCol w:w="1272"/>
              <w:gridCol w:w="875"/>
              <w:gridCol w:w="1017"/>
              <w:gridCol w:w="1018"/>
              <w:gridCol w:w="1017"/>
              <w:gridCol w:w="1017"/>
              <w:gridCol w:w="1018"/>
            </w:tblGrid>
            <w:tr w:rsidR="008E5DE4" w14:paraId="27CF9B66" w14:textId="77777777">
              <w:trPr>
                <w:tblHeader/>
              </w:trPr>
              <w:tc>
                <w:tcPr>
                  <w:tcW w:w="2121" w:type="dxa"/>
                  <w:vAlign w:val="bottom"/>
                </w:tcPr>
                <w:p w14:paraId="590E6917" w14:textId="77777777" w:rsidR="008E5DE4" w:rsidRDefault="008E5DE4">
                  <w:pPr>
                    <w:widowControl w:val="0"/>
                    <w:pBdr>
                      <w:top w:val="nil"/>
                      <w:left w:val="nil"/>
                      <w:bottom w:val="nil"/>
                      <w:right w:val="nil"/>
                      <w:between w:val="nil"/>
                    </w:pBdr>
                    <w:ind w:left="113" w:right="-57" w:hanging="113"/>
                    <w:rPr>
                      <w:b/>
                      <w:i/>
                      <w:color w:val="000000"/>
                      <w:sz w:val="16"/>
                      <w:szCs w:val="16"/>
                    </w:rPr>
                  </w:pPr>
                </w:p>
              </w:tc>
              <w:tc>
                <w:tcPr>
                  <w:tcW w:w="1272" w:type="dxa"/>
                </w:tcPr>
                <w:p w14:paraId="18E275F5"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875" w:type="dxa"/>
                  <w:vMerge w:val="restart"/>
                </w:tcPr>
                <w:p w14:paraId="42D3E4A9" w14:textId="77777777" w:rsidR="008E5DE4" w:rsidRDefault="00780368">
                  <w:pPr>
                    <w:widowControl w:val="0"/>
                    <w:pBdr>
                      <w:top w:val="nil"/>
                      <w:left w:val="nil"/>
                      <w:bottom w:val="nil"/>
                      <w:right w:val="nil"/>
                      <w:between w:val="nil"/>
                    </w:pBdr>
                    <w:ind w:right="57"/>
                    <w:jc w:val="right"/>
                    <w:rPr>
                      <w:b/>
                      <w:color w:val="000000"/>
                      <w:sz w:val="16"/>
                      <w:szCs w:val="16"/>
                    </w:rPr>
                  </w:pPr>
                  <w:r>
                    <w:rPr>
                      <w:b/>
                      <w:color w:val="000000"/>
                      <w:sz w:val="16"/>
                      <w:szCs w:val="16"/>
                    </w:rPr>
                    <w:t>Assi-</w:t>
                  </w:r>
                  <w:proofErr w:type="spellStart"/>
                  <w:r>
                    <w:rPr>
                      <w:b/>
                      <w:color w:val="000000"/>
                      <w:sz w:val="16"/>
                      <w:szCs w:val="16"/>
                    </w:rPr>
                    <w:t>gned</w:t>
                  </w:r>
                  <w:proofErr w:type="spellEnd"/>
                  <w:r>
                    <w:rPr>
                      <w:b/>
                      <w:color w:val="000000"/>
                      <w:sz w:val="16"/>
                      <w:szCs w:val="16"/>
                    </w:rPr>
                    <w:t xml:space="preserve"> weight</w:t>
                  </w:r>
                </w:p>
              </w:tc>
              <w:tc>
                <w:tcPr>
                  <w:tcW w:w="5087" w:type="dxa"/>
                  <w:gridSpan w:val="5"/>
                  <w:tcBorders>
                    <w:bottom w:val="single" w:sz="4" w:space="0" w:color="000000"/>
                  </w:tcBorders>
                </w:tcPr>
                <w:p w14:paraId="55F80B20"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Assumption for:</w:t>
                  </w:r>
                </w:p>
              </w:tc>
            </w:tr>
            <w:tr w:rsidR="008E5DE4" w14:paraId="50345F5A" w14:textId="77777777">
              <w:trPr>
                <w:tblHeader/>
              </w:trPr>
              <w:tc>
                <w:tcPr>
                  <w:tcW w:w="2121" w:type="dxa"/>
                  <w:tcBorders>
                    <w:bottom w:val="single" w:sz="4" w:space="0" w:color="000000"/>
                  </w:tcBorders>
                  <w:vAlign w:val="bottom"/>
                </w:tcPr>
                <w:p w14:paraId="62896A8D" w14:textId="77777777" w:rsidR="008E5DE4" w:rsidRDefault="00780368">
                  <w:pPr>
                    <w:widowControl w:val="0"/>
                    <w:pBdr>
                      <w:top w:val="nil"/>
                      <w:left w:val="nil"/>
                      <w:bottom w:val="nil"/>
                      <w:right w:val="nil"/>
                      <w:between w:val="nil"/>
                    </w:pBdr>
                    <w:ind w:left="113" w:right="-57" w:hanging="113"/>
                    <w:rPr>
                      <w:b/>
                      <w:i/>
                      <w:color w:val="000000"/>
                      <w:sz w:val="16"/>
                      <w:szCs w:val="16"/>
                    </w:rPr>
                  </w:pPr>
                  <w:r>
                    <w:rPr>
                      <w:b/>
                      <w:i/>
                      <w:color w:val="000000"/>
                      <w:sz w:val="16"/>
                      <w:szCs w:val="16"/>
                    </w:rPr>
                    <w:t>Variable</w:t>
                  </w:r>
                </w:p>
              </w:tc>
              <w:tc>
                <w:tcPr>
                  <w:tcW w:w="1272" w:type="dxa"/>
                  <w:tcBorders>
                    <w:bottom w:val="single" w:sz="4" w:space="0" w:color="000000"/>
                  </w:tcBorders>
                  <w:vAlign w:val="bottom"/>
                </w:tcPr>
                <w:p w14:paraId="4CC97C89"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Scenario</w:t>
                  </w:r>
                </w:p>
              </w:tc>
              <w:tc>
                <w:tcPr>
                  <w:tcW w:w="875" w:type="dxa"/>
                  <w:vMerge/>
                </w:tcPr>
                <w:p w14:paraId="68BB8163" w14:textId="77777777" w:rsidR="008E5DE4" w:rsidRDefault="008E5DE4">
                  <w:pPr>
                    <w:widowControl w:val="0"/>
                    <w:pBdr>
                      <w:top w:val="nil"/>
                      <w:left w:val="nil"/>
                      <w:bottom w:val="nil"/>
                      <w:right w:val="nil"/>
                      <w:between w:val="nil"/>
                    </w:pBdr>
                    <w:spacing w:line="276" w:lineRule="auto"/>
                    <w:rPr>
                      <w:b/>
                      <w:color w:val="000000"/>
                      <w:sz w:val="16"/>
                      <w:szCs w:val="16"/>
                    </w:rPr>
                  </w:pPr>
                </w:p>
              </w:tc>
              <w:tc>
                <w:tcPr>
                  <w:tcW w:w="1017" w:type="dxa"/>
                  <w:tcBorders>
                    <w:top w:val="single" w:sz="4" w:space="0" w:color="000000"/>
                    <w:bottom w:val="single" w:sz="4" w:space="0" w:color="000000"/>
                  </w:tcBorders>
                  <w:vAlign w:val="bottom"/>
                </w:tcPr>
                <w:p w14:paraId="7C5FA933" w14:textId="27BD7B15"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5</w:t>
                  </w:r>
                </w:p>
              </w:tc>
              <w:tc>
                <w:tcPr>
                  <w:tcW w:w="1018" w:type="dxa"/>
                  <w:tcBorders>
                    <w:top w:val="single" w:sz="4" w:space="0" w:color="000000"/>
                    <w:bottom w:val="single" w:sz="4" w:space="0" w:color="000000"/>
                  </w:tcBorders>
                  <w:vAlign w:val="bottom"/>
                </w:tcPr>
                <w:p w14:paraId="7CEAFB7D" w14:textId="2B279B23"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6</w:t>
                  </w:r>
                </w:p>
              </w:tc>
              <w:tc>
                <w:tcPr>
                  <w:tcW w:w="1017" w:type="dxa"/>
                  <w:tcBorders>
                    <w:top w:val="single" w:sz="4" w:space="0" w:color="000000"/>
                    <w:bottom w:val="single" w:sz="4" w:space="0" w:color="000000"/>
                  </w:tcBorders>
                  <w:vAlign w:val="bottom"/>
                </w:tcPr>
                <w:p w14:paraId="5DBEF540" w14:textId="297764A2"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7</w:t>
                  </w:r>
                </w:p>
              </w:tc>
              <w:tc>
                <w:tcPr>
                  <w:tcW w:w="1017" w:type="dxa"/>
                  <w:tcBorders>
                    <w:top w:val="single" w:sz="4" w:space="0" w:color="000000"/>
                    <w:bottom w:val="single" w:sz="4" w:space="0" w:color="000000"/>
                  </w:tcBorders>
                  <w:vAlign w:val="bottom"/>
                </w:tcPr>
                <w:p w14:paraId="01D3886C" w14:textId="645C694D"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8</w:t>
                  </w:r>
                </w:p>
              </w:tc>
              <w:tc>
                <w:tcPr>
                  <w:tcW w:w="1018" w:type="dxa"/>
                  <w:tcBorders>
                    <w:top w:val="single" w:sz="4" w:space="0" w:color="000000"/>
                    <w:bottom w:val="single" w:sz="4" w:space="0" w:color="000000"/>
                  </w:tcBorders>
                  <w:vAlign w:val="bottom"/>
                </w:tcPr>
                <w:p w14:paraId="2B25477D" w14:textId="48408FA1"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202</w:t>
                  </w:r>
                  <w:r w:rsidR="008614F8">
                    <w:rPr>
                      <w:b/>
                      <w:color w:val="000000"/>
                      <w:sz w:val="16"/>
                      <w:szCs w:val="16"/>
                    </w:rPr>
                    <w:t>9</w:t>
                  </w:r>
                </w:p>
              </w:tc>
            </w:tr>
            <w:tr w:rsidR="008E5DE4" w14:paraId="0FFDA25C" w14:textId="77777777">
              <w:tc>
                <w:tcPr>
                  <w:tcW w:w="2121" w:type="dxa"/>
                  <w:tcBorders>
                    <w:top w:val="single" w:sz="4" w:space="0" w:color="000000"/>
                  </w:tcBorders>
                  <w:vAlign w:val="bottom"/>
                </w:tcPr>
                <w:p w14:paraId="043AE17B" w14:textId="77777777" w:rsidR="008E5DE4" w:rsidRDefault="008E5DE4">
                  <w:pPr>
                    <w:widowControl w:val="0"/>
                    <w:ind w:left="113" w:right="-57" w:hanging="113"/>
                    <w:rPr>
                      <w:sz w:val="16"/>
                      <w:szCs w:val="16"/>
                    </w:rPr>
                  </w:pPr>
                </w:p>
              </w:tc>
              <w:tc>
                <w:tcPr>
                  <w:tcW w:w="1272" w:type="dxa"/>
                  <w:tcBorders>
                    <w:top w:val="single" w:sz="4" w:space="0" w:color="000000"/>
                  </w:tcBorders>
                </w:tcPr>
                <w:p w14:paraId="61E8E0BB" w14:textId="77777777" w:rsidR="008E5DE4" w:rsidRDefault="008E5DE4">
                  <w:pPr>
                    <w:widowControl w:val="0"/>
                    <w:pBdr>
                      <w:top w:val="nil"/>
                      <w:left w:val="nil"/>
                      <w:bottom w:val="nil"/>
                      <w:right w:val="nil"/>
                      <w:between w:val="nil"/>
                    </w:pBdr>
                    <w:rPr>
                      <w:color w:val="000000"/>
                      <w:sz w:val="16"/>
                      <w:szCs w:val="16"/>
                    </w:rPr>
                  </w:pPr>
                </w:p>
              </w:tc>
              <w:tc>
                <w:tcPr>
                  <w:tcW w:w="875" w:type="dxa"/>
                  <w:tcBorders>
                    <w:top w:val="single" w:sz="4" w:space="0" w:color="000000"/>
                  </w:tcBorders>
                  <w:vAlign w:val="bottom"/>
                </w:tcPr>
                <w:p w14:paraId="3E0256DA"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7ACAB8C4" w14:textId="77777777" w:rsidR="008E5DE4" w:rsidRDefault="008E5DE4">
                  <w:pPr>
                    <w:widowControl w:val="0"/>
                    <w:pBdr>
                      <w:top w:val="nil"/>
                      <w:left w:val="nil"/>
                      <w:bottom w:val="nil"/>
                      <w:right w:val="nil"/>
                      <w:between w:val="nil"/>
                    </w:pBdr>
                    <w:rPr>
                      <w:color w:val="000000"/>
                      <w:sz w:val="16"/>
                      <w:szCs w:val="16"/>
                    </w:rPr>
                  </w:pPr>
                </w:p>
              </w:tc>
              <w:tc>
                <w:tcPr>
                  <w:tcW w:w="1018" w:type="dxa"/>
                  <w:tcBorders>
                    <w:top w:val="single" w:sz="4" w:space="0" w:color="000000"/>
                  </w:tcBorders>
                  <w:vAlign w:val="bottom"/>
                </w:tcPr>
                <w:p w14:paraId="4E1F33A9"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1E0DA8FF" w14:textId="77777777" w:rsidR="008E5DE4" w:rsidRDefault="008E5DE4">
                  <w:pPr>
                    <w:widowControl w:val="0"/>
                    <w:pBdr>
                      <w:top w:val="nil"/>
                      <w:left w:val="nil"/>
                      <w:bottom w:val="nil"/>
                      <w:right w:val="nil"/>
                      <w:between w:val="nil"/>
                    </w:pBdr>
                    <w:rPr>
                      <w:color w:val="000000"/>
                      <w:sz w:val="16"/>
                      <w:szCs w:val="16"/>
                    </w:rPr>
                  </w:pPr>
                </w:p>
              </w:tc>
              <w:tc>
                <w:tcPr>
                  <w:tcW w:w="1017" w:type="dxa"/>
                  <w:tcBorders>
                    <w:top w:val="single" w:sz="4" w:space="0" w:color="000000"/>
                  </w:tcBorders>
                  <w:vAlign w:val="bottom"/>
                </w:tcPr>
                <w:p w14:paraId="0D1906DF" w14:textId="77777777" w:rsidR="008E5DE4" w:rsidRDefault="008E5DE4">
                  <w:pPr>
                    <w:widowControl w:val="0"/>
                    <w:pBdr>
                      <w:top w:val="nil"/>
                      <w:left w:val="nil"/>
                      <w:bottom w:val="nil"/>
                      <w:right w:val="nil"/>
                      <w:between w:val="nil"/>
                    </w:pBdr>
                    <w:rPr>
                      <w:color w:val="000000"/>
                      <w:sz w:val="16"/>
                      <w:szCs w:val="16"/>
                    </w:rPr>
                  </w:pPr>
                </w:p>
              </w:tc>
              <w:tc>
                <w:tcPr>
                  <w:tcW w:w="1018" w:type="dxa"/>
                  <w:tcBorders>
                    <w:top w:val="single" w:sz="4" w:space="0" w:color="000000"/>
                  </w:tcBorders>
                  <w:vAlign w:val="bottom"/>
                </w:tcPr>
                <w:p w14:paraId="14295063" w14:textId="77777777" w:rsidR="008E5DE4" w:rsidRDefault="008E5DE4">
                  <w:pPr>
                    <w:widowControl w:val="0"/>
                    <w:pBdr>
                      <w:top w:val="nil"/>
                      <w:left w:val="nil"/>
                      <w:bottom w:val="nil"/>
                      <w:right w:val="nil"/>
                      <w:between w:val="nil"/>
                    </w:pBdr>
                    <w:rPr>
                      <w:color w:val="000000"/>
                      <w:sz w:val="16"/>
                      <w:szCs w:val="16"/>
                    </w:rPr>
                  </w:pPr>
                </w:p>
              </w:tc>
            </w:tr>
            <w:tr w:rsidR="008E5DE4" w14:paraId="10D4656E" w14:textId="77777777">
              <w:tc>
                <w:tcPr>
                  <w:tcW w:w="2121" w:type="dxa"/>
                  <w:vAlign w:val="bottom"/>
                </w:tcPr>
                <w:p w14:paraId="104A6656" w14:textId="77777777" w:rsidR="008E5DE4" w:rsidRDefault="00780368">
                  <w:pPr>
                    <w:widowControl w:val="0"/>
                    <w:ind w:right="-57"/>
                    <w:rPr>
                      <w:b/>
                      <w:color w:val="0000FF"/>
                      <w:sz w:val="16"/>
                      <w:szCs w:val="16"/>
                    </w:rPr>
                  </w:pPr>
                  <w:r>
                    <w:rPr>
                      <w:b/>
                      <w:color w:val="0000FF"/>
                      <w:sz w:val="16"/>
                      <w:szCs w:val="16"/>
                    </w:rPr>
                    <w:t>[CBC key interest rate]</w:t>
                  </w:r>
                </w:p>
              </w:tc>
              <w:tc>
                <w:tcPr>
                  <w:tcW w:w="1272" w:type="dxa"/>
                </w:tcPr>
                <w:p w14:paraId="1144AC97"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[Base]</w:t>
                  </w:r>
                </w:p>
              </w:tc>
              <w:tc>
                <w:tcPr>
                  <w:tcW w:w="875" w:type="dxa"/>
                  <w:vAlign w:val="bottom"/>
                </w:tcPr>
                <w:p w14:paraId="129DCAF1"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[60%]</w:t>
                  </w:r>
                </w:p>
              </w:tc>
              <w:tc>
                <w:tcPr>
                  <w:tcW w:w="1017" w:type="dxa"/>
                  <w:vAlign w:val="bottom"/>
                </w:tcPr>
                <w:p w14:paraId="4A7F27DD"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B29187D"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29D26A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1E10487"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0776E6E" w14:textId="77777777" w:rsidR="008E5DE4" w:rsidRDefault="008E5DE4">
                  <w:pPr>
                    <w:widowControl w:val="0"/>
                    <w:pBdr>
                      <w:top w:val="nil"/>
                      <w:left w:val="nil"/>
                      <w:bottom w:val="nil"/>
                      <w:right w:val="nil"/>
                      <w:between w:val="nil"/>
                    </w:pBdr>
                    <w:jc w:val="right"/>
                    <w:rPr>
                      <w:color w:val="000000"/>
                      <w:sz w:val="16"/>
                      <w:szCs w:val="16"/>
                    </w:rPr>
                  </w:pPr>
                </w:p>
              </w:tc>
            </w:tr>
            <w:tr w:rsidR="008E5DE4" w14:paraId="1B00FA1C" w14:textId="77777777">
              <w:tc>
                <w:tcPr>
                  <w:tcW w:w="2121" w:type="dxa"/>
                  <w:vAlign w:val="bottom"/>
                </w:tcPr>
                <w:p w14:paraId="3F43DCEA" w14:textId="77777777" w:rsidR="008E5DE4" w:rsidRDefault="008E5DE4">
                  <w:pPr>
                    <w:widowControl w:val="0"/>
                    <w:ind w:left="113" w:right="-57" w:hanging="113"/>
                    <w:rPr>
                      <w:color w:val="0000FF"/>
                      <w:sz w:val="16"/>
                      <w:szCs w:val="16"/>
                    </w:rPr>
                  </w:pPr>
                </w:p>
              </w:tc>
              <w:tc>
                <w:tcPr>
                  <w:tcW w:w="1272" w:type="dxa"/>
                </w:tcPr>
                <w:p w14:paraId="297EE070"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[Upside]</w:t>
                  </w:r>
                </w:p>
              </w:tc>
              <w:tc>
                <w:tcPr>
                  <w:tcW w:w="875" w:type="dxa"/>
                  <w:vAlign w:val="bottom"/>
                </w:tcPr>
                <w:p w14:paraId="037503F4"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[20%]</w:t>
                  </w:r>
                </w:p>
              </w:tc>
              <w:tc>
                <w:tcPr>
                  <w:tcW w:w="1017" w:type="dxa"/>
                  <w:vAlign w:val="bottom"/>
                </w:tcPr>
                <w:p w14:paraId="3B256442"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4840FC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95EB416"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12FABED"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5CE3675B" w14:textId="77777777" w:rsidR="008E5DE4" w:rsidRDefault="008E5DE4">
                  <w:pPr>
                    <w:widowControl w:val="0"/>
                    <w:pBdr>
                      <w:top w:val="nil"/>
                      <w:left w:val="nil"/>
                      <w:bottom w:val="nil"/>
                      <w:right w:val="nil"/>
                      <w:between w:val="nil"/>
                    </w:pBdr>
                    <w:jc w:val="right"/>
                    <w:rPr>
                      <w:color w:val="000000"/>
                      <w:sz w:val="16"/>
                      <w:szCs w:val="16"/>
                    </w:rPr>
                  </w:pPr>
                </w:p>
              </w:tc>
            </w:tr>
            <w:tr w:rsidR="008E5DE4" w14:paraId="0A453782" w14:textId="77777777">
              <w:tc>
                <w:tcPr>
                  <w:tcW w:w="2121" w:type="dxa"/>
                  <w:vAlign w:val="bottom"/>
                </w:tcPr>
                <w:p w14:paraId="0F87B4CE" w14:textId="77777777" w:rsidR="008E5DE4" w:rsidRDefault="008E5DE4">
                  <w:pPr>
                    <w:widowControl w:val="0"/>
                    <w:ind w:left="113" w:right="-57" w:hanging="113"/>
                    <w:rPr>
                      <w:color w:val="0000FF"/>
                      <w:sz w:val="16"/>
                      <w:szCs w:val="16"/>
                    </w:rPr>
                  </w:pPr>
                </w:p>
              </w:tc>
              <w:tc>
                <w:tcPr>
                  <w:tcW w:w="1272" w:type="dxa"/>
                </w:tcPr>
                <w:p w14:paraId="642FF1E4"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[Downside 1]</w:t>
                  </w:r>
                </w:p>
              </w:tc>
              <w:tc>
                <w:tcPr>
                  <w:tcW w:w="875" w:type="dxa"/>
                  <w:vAlign w:val="bottom"/>
                </w:tcPr>
                <w:p w14:paraId="1E5F945E"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[10%]</w:t>
                  </w:r>
                </w:p>
              </w:tc>
              <w:tc>
                <w:tcPr>
                  <w:tcW w:w="1017" w:type="dxa"/>
                  <w:vAlign w:val="bottom"/>
                </w:tcPr>
                <w:p w14:paraId="53CB9A23"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4E50F33"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284F33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1745196"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66ACCF2" w14:textId="77777777" w:rsidR="008E5DE4" w:rsidRDefault="008E5DE4">
                  <w:pPr>
                    <w:widowControl w:val="0"/>
                    <w:pBdr>
                      <w:top w:val="nil"/>
                      <w:left w:val="nil"/>
                      <w:bottom w:val="nil"/>
                      <w:right w:val="nil"/>
                      <w:between w:val="nil"/>
                    </w:pBdr>
                    <w:jc w:val="right"/>
                    <w:rPr>
                      <w:color w:val="000000"/>
                      <w:sz w:val="16"/>
                      <w:szCs w:val="16"/>
                    </w:rPr>
                  </w:pPr>
                </w:p>
              </w:tc>
            </w:tr>
            <w:tr w:rsidR="008E5DE4" w14:paraId="5C92195B" w14:textId="77777777">
              <w:tc>
                <w:tcPr>
                  <w:tcW w:w="2121" w:type="dxa"/>
                  <w:vAlign w:val="bottom"/>
                </w:tcPr>
                <w:p w14:paraId="1C6F36AB" w14:textId="77777777" w:rsidR="008E5DE4" w:rsidRDefault="008E5DE4">
                  <w:pPr>
                    <w:widowControl w:val="0"/>
                    <w:ind w:left="113" w:right="-57" w:hanging="113"/>
                    <w:rPr>
                      <w:color w:val="0000FF"/>
                      <w:sz w:val="16"/>
                      <w:szCs w:val="16"/>
                    </w:rPr>
                  </w:pPr>
                </w:p>
              </w:tc>
              <w:tc>
                <w:tcPr>
                  <w:tcW w:w="1272" w:type="dxa"/>
                </w:tcPr>
                <w:p w14:paraId="7190F9B0" w14:textId="77777777" w:rsidR="008E5DE4" w:rsidRDefault="00780368">
                  <w:pPr>
                    <w:widowControl w:val="0"/>
                    <w:pBdr>
                      <w:top w:val="nil"/>
                      <w:left w:val="nil"/>
                      <w:bottom w:val="nil"/>
                      <w:right w:val="nil"/>
                      <w:between w:val="nil"/>
                    </w:pBdr>
                    <w:ind w:left="-57"/>
                    <w:rPr>
                      <w:color w:val="0000FF"/>
                      <w:sz w:val="16"/>
                      <w:szCs w:val="16"/>
                    </w:rPr>
                  </w:pPr>
                  <w:r>
                    <w:rPr>
                      <w:color w:val="0000FF"/>
                      <w:sz w:val="16"/>
                      <w:szCs w:val="16"/>
                    </w:rPr>
                    <w:t>[Downside 2]</w:t>
                  </w:r>
                </w:p>
              </w:tc>
              <w:tc>
                <w:tcPr>
                  <w:tcW w:w="875" w:type="dxa"/>
                  <w:vAlign w:val="bottom"/>
                </w:tcPr>
                <w:p w14:paraId="61C7BE49" w14:textId="77777777" w:rsidR="008E5DE4" w:rsidRDefault="00780368">
                  <w:pPr>
                    <w:widowControl w:val="0"/>
                    <w:pBdr>
                      <w:top w:val="nil"/>
                      <w:left w:val="nil"/>
                      <w:bottom w:val="nil"/>
                      <w:right w:val="nil"/>
                      <w:between w:val="nil"/>
                    </w:pBdr>
                    <w:jc w:val="right"/>
                    <w:rPr>
                      <w:color w:val="0000FF"/>
                      <w:sz w:val="16"/>
                      <w:szCs w:val="16"/>
                    </w:rPr>
                  </w:pPr>
                  <w:r>
                    <w:rPr>
                      <w:color w:val="0000FF"/>
                      <w:sz w:val="16"/>
                      <w:szCs w:val="16"/>
                    </w:rPr>
                    <w:t>[10%]</w:t>
                  </w:r>
                </w:p>
              </w:tc>
              <w:tc>
                <w:tcPr>
                  <w:tcW w:w="1017" w:type="dxa"/>
                  <w:vAlign w:val="bottom"/>
                </w:tcPr>
                <w:p w14:paraId="46DBDF5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C14113A"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8E5CB3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2B2D607"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1C98F79" w14:textId="77777777" w:rsidR="008E5DE4" w:rsidRDefault="008E5DE4">
                  <w:pPr>
                    <w:widowControl w:val="0"/>
                    <w:pBdr>
                      <w:top w:val="nil"/>
                      <w:left w:val="nil"/>
                      <w:bottom w:val="nil"/>
                      <w:right w:val="nil"/>
                      <w:between w:val="nil"/>
                    </w:pBdr>
                    <w:jc w:val="right"/>
                    <w:rPr>
                      <w:color w:val="000000"/>
                      <w:sz w:val="16"/>
                      <w:szCs w:val="16"/>
                    </w:rPr>
                  </w:pPr>
                </w:p>
              </w:tc>
            </w:tr>
            <w:tr w:rsidR="008E5DE4" w14:paraId="2B921EDC" w14:textId="77777777">
              <w:tc>
                <w:tcPr>
                  <w:tcW w:w="2121" w:type="dxa"/>
                  <w:vAlign w:val="bottom"/>
                </w:tcPr>
                <w:p w14:paraId="6BE39066" w14:textId="77777777" w:rsidR="008E5DE4" w:rsidRDefault="008E5DE4">
                  <w:pPr>
                    <w:widowControl w:val="0"/>
                    <w:ind w:left="113" w:right="-57" w:hanging="113"/>
                    <w:rPr>
                      <w:color w:val="0000FF"/>
                      <w:sz w:val="16"/>
                      <w:szCs w:val="16"/>
                    </w:rPr>
                  </w:pPr>
                </w:p>
              </w:tc>
              <w:tc>
                <w:tcPr>
                  <w:tcW w:w="1272" w:type="dxa"/>
                </w:tcPr>
                <w:p w14:paraId="142778D1"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4952A2CC"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023C40C8"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5C8DF5DF"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4D1E5537"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1FB7EA5C"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6DA69AEB" w14:textId="77777777" w:rsidR="008E5DE4" w:rsidRDefault="008E5DE4">
                  <w:pPr>
                    <w:widowControl w:val="0"/>
                    <w:pBdr>
                      <w:top w:val="nil"/>
                      <w:left w:val="nil"/>
                      <w:bottom w:val="nil"/>
                      <w:right w:val="nil"/>
                      <w:between w:val="nil"/>
                    </w:pBdr>
                    <w:rPr>
                      <w:color w:val="000000"/>
                      <w:sz w:val="16"/>
                      <w:szCs w:val="16"/>
                    </w:rPr>
                  </w:pPr>
                </w:p>
              </w:tc>
            </w:tr>
            <w:tr w:rsidR="008E5DE4" w14:paraId="67F5B178" w14:textId="77777777">
              <w:tc>
                <w:tcPr>
                  <w:tcW w:w="2121" w:type="dxa"/>
                  <w:vAlign w:val="bottom"/>
                </w:tcPr>
                <w:p w14:paraId="1FB6B092" w14:textId="77777777" w:rsidR="008E5DE4" w:rsidRDefault="00780368">
                  <w:pPr>
                    <w:widowControl w:val="0"/>
                    <w:ind w:right="-57"/>
                    <w:rPr>
                      <w:b/>
                      <w:color w:val="0000FF"/>
                      <w:sz w:val="16"/>
                      <w:szCs w:val="16"/>
                    </w:rPr>
                  </w:pPr>
                  <w:r>
                    <w:rPr>
                      <w:b/>
                      <w:color w:val="0000FF"/>
                      <w:sz w:val="16"/>
                      <w:szCs w:val="16"/>
                    </w:rPr>
                    <w:t>[Unemployment rate]</w:t>
                  </w:r>
                </w:p>
              </w:tc>
              <w:tc>
                <w:tcPr>
                  <w:tcW w:w="1272" w:type="dxa"/>
                </w:tcPr>
                <w:p w14:paraId="3EA091ED"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310B167A"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116A16F2"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2DFF067A"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BA8318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E805B75"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D4194C9" w14:textId="77777777" w:rsidR="008E5DE4" w:rsidRDefault="008E5DE4">
                  <w:pPr>
                    <w:widowControl w:val="0"/>
                    <w:pBdr>
                      <w:top w:val="nil"/>
                      <w:left w:val="nil"/>
                      <w:bottom w:val="nil"/>
                      <w:right w:val="nil"/>
                      <w:between w:val="nil"/>
                    </w:pBdr>
                    <w:jc w:val="right"/>
                    <w:rPr>
                      <w:color w:val="000000"/>
                      <w:sz w:val="16"/>
                      <w:szCs w:val="16"/>
                    </w:rPr>
                  </w:pPr>
                </w:p>
              </w:tc>
            </w:tr>
            <w:tr w:rsidR="008E5DE4" w14:paraId="4D30C3D6" w14:textId="77777777">
              <w:tc>
                <w:tcPr>
                  <w:tcW w:w="2121" w:type="dxa"/>
                  <w:vAlign w:val="bottom"/>
                </w:tcPr>
                <w:p w14:paraId="57A62940" w14:textId="77777777" w:rsidR="008E5DE4" w:rsidRDefault="008E5DE4">
                  <w:pPr>
                    <w:widowControl w:val="0"/>
                    <w:ind w:left="113" w:right="-57" w:hanging="113"/>
                    <w:rPr>
                      <w:color w:val="0000FF"/>
                      <w:sz w:val="16"/>
                      <w:szCs w:val="16"/>
                    </w:rPr>
                  </w:pPr>
                </w:p>
              </w:tc>
              <w:tc>
                <w:tcPr>
                  <w:tcW w:w="1272" w:type="dxa"/>
                </w:tcPr>
                <w:p w14:paraId="1C89623B"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5D8A2D13"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18F02239"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F5DA2E6"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63F2240"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4F11E324"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C43B983" w14:textId="77777777" w:rsidR="008E5DE4" w:rsidRDefault="008E5DE4">
                  <w:pPr>
                    <w:widowControl w:val="0"/>
                    <w:pBdr>
                      <w:top w:val="nil"/>
                      <w:left w:val="nil"/>
                      <w:bottom w:val="nil"/>
                      <w:right w:val="nil"/>
                      <w:between w:val="nil"/>
                    </w:pBdr>
                    <w:jc w:val="right"/>
                    <w:rPr>
                      <w:color w:val="000000"/>
                      <w:sz w:val="16"/>
                      <w:szCs w:val="16"/>
                    </w:rPr>
                  </w:pPr>
                </w:p>
              </w:tc>
            </w:tr>
            <w:tr w:rsidR="008E5DE4" w14:paraId="24F9751E" w14:textId="77777777">
              <w:tc>
                <w:tcPr>
                  <w:tcW w:w="2121" w:type="dxa"/>
                  <w:vAlign w:val="bottom"/>
                </w:tcPr>
                <w:p w14:paraId="62D5BC49" w14:textId="77777777" w:rsidR="008E5DE4" w:rsidRDefault="008E5DE4">
                  <w:pPr>
                    <w:widowControl w:val="0"/>
                    <w:ind w:left="113" w:right="-57" w:hanging="113"/>
                    <w:rPr>
                      <w:color w:val="0000FF"/>
                      <w:sz w:val="16"/>
                      <w:szCs w:val="16"/>
                    </w:rPr>
                  </w:pPr>
                </w:p>
              </w:tc>
              <w:tc>
                <w:tcPr>
                  <w:tcW w:w="1272" w:type="dxa"/>
                </w:tcPr>
                <w:p w14:paraId="3CA52AAA"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2762960C"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0C231F7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A7B725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CDE90CE"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1660BD2"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2E06116" w14:textId="77777777" w:rsidR="008E5DE4" w:rsidRDefault="008E5DE4">
                  <w:pPr>
                    <w:widowControl w:val="0"/>
                    <w:pBdr>
                      <w:top w:val="nil"/>
                      <w:left w:val="nil"/>
                      <w:bottom w:val="nil"/>
                      <w:right w:val="nil"/>
                      <w:between w:val="nil"/>
                    </w:pBdr>
                    <w:jc w:val="right"/>
                    <w:rPr>
                      <w:color w:val="000000"/>
                      <w:sz w:val="16"/>
                      <w:szCs w:val="16"/>
                    </w:rPr>
                  </w:pPr>
                </w:p>
              </w:tc>
            </w:tr>
            <w:tr w:rsidR="008E5DE4" w14:paraId="28BB1B63" w14:textId="77777777">
              <w:tc>
                <w:tcPr>
                  <w:tcW w:w="2121" w:type="dxa"/>
                  <w:vAlign w:val="bottom"/>
                </w:tcPr>
                <w:p w14:paraId="110EB793" w14:textId="77777777" w:rsidR="008E5DE4" w:rsidRDefault="008E5DE4">
                  <w:pPr>
                    <w:widowControl w:val="0"/>
                    <w:ind w:left="113" w:right="-57" w:hanging="113"/>
                    <w:rPr>
                      <w:color w:val="0000FF"/>
                      <w:sz w:val="16"/>
                      <w:szCs w:val="16"/>
                    </w:rPr>
                  </w:pPr>
                </w:p>
              </w:tc>
              <w:tc>
                <w:tcPr>
                  <w:tcW w:w="1272" w:type="dxa"/>
                </w:tcPr>
                <w:p w14:paraId="7CA5344D"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68D46D20"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386B47E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6B25C9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397918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8B6E579"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B8E2F58" w14:textId="77777777" w:rsidR="008E5DE4" w:rsidRDefault="008E5DE4">
                  <w:pPr>
                    <w:widowControl w:val="0"/>
                    <w:pBdr>
                      <w:top w:val="nil"/>
                      <w:left w:val="nil"/>
                      <w:bottom w:val="nil"/>
                      <w:right w:val="nil"/>
                      <w:between w:val="nil"/>
                    </w:pBdr>
                    <w:jc w:val="right"/>
                    <w:rPr>
                      <w:color w:val="000000"/>
                      <w:sz w:val="16"/>
                      <w:szCs w:val="16"/>
                    </w:rPr>
                  </w:pPr>
                </w:p>
              </w:tc>
            </w:tr>
            <w:tr w:rsidR="008E5DE4" w14:paraId="706E00A9" w14:textId="77777777">
              <w:tc>
                <w:tcPr>
                  <w:tcW w:w="2121" w:type="dxa"/>
                  <w:vAlign w:val="bottom"/>
                </w:tcPr>
                <w:p w14:paraId="2D166554" w14:textId="77777777" w:rsidR="008E5DE4" w:rsidRDefault="008E5DE4">
                  <w:pPr>
                    <w:widowControl w:val="0"/>
                    <w:ind w:left="113" w:right="-57" w:hanging="113"/>
                    <w:rPr>
                      <w:color w:val="0000FF"/>
                      <w:sz w:val="16"/>
                      <w:szCs w:val="16"/>
                    </w:rPr>
                  </w:pPr>
                </w:p>
              </w:tc>
              <w:tc>
                <w:tcPr>
                  <w:tcW w:w="1272" w:type="dxa"/>
                </w:tcPr>
                <w:p w14:paraId="4F3A227A"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04498FCB"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151E20B0"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3FD8AD6B"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7681C586"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6B8395D8"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32187C86" w14:textId="77777777" w:rsidR="008E5DE4" w:rsidRDefault="008E5DE4">
                  <w:pPr>
                    <w:widowControl w:val="0"/>
                    <w:pBdr>
                      <w:top w:val="nil"/>
                      <w:left w:val="nil"/>
                      <w:bottom w:val="nil"/>
                      <w:right w:val="nil"/>
                      <w:between w:val="nil"/>
                    </w:pBdr>
                    <w:rPr>
                      <w:color w:val="000000"/>
                      <w:sz w:val="16"/>
                      <w:szCs w:val="16"/>
                    </w:rPr>
                  </w:pPr>
                </w:p>
              </w:tc>
            </w:tr>
            <w:tr w:rsidR="008E5DE4" w14:paraId="0FB5887F" w14:textId="77777777">
              <w:tc>
                <w:tcPr>
                  <w:tcW w:w="2121" w:type="dxa"/>
                  <w:vAlign w:val="bottom"/>
                </w:tcPr>
                <w:p w14:paraId="471C4762" w14:textId="77777777" w:rsidR="008E5DE4" w:rsidRDefault="00780368">
                  <w:pPr>
                    <w:widowControl w:val="0"/>
                    <w:ind w:right="-57"/>
                    <w:rPr>
                      <w:b/>
                      <w:color w:val="0000FF"/>
                      <w:sz w:val="16"/>
                      <w:szCs w:val="16"/>
                    </w:rPr>
                  </w:pPr>
                  <w:r>
                    <w:rPr>
                      <w:b/>
                      <w:color w:val="0000FF"/>
                      <w:sz w:val="16"/>
                      <w:szCs w:val="16"/>
                    </w:rPr>
                    <w:t>[GDP Growth rate]</w:t>
                  </w:r>
                </w:p>
              </w:tc>
              <w:tc>
                <w:tcPr>
                  <w:tcW w:w="1272" w:type="dxa"/>
                </w:tcPr>
                <w:p w14:paraId="22EB5B56"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3A1BB8D3"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548E5489"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34DFC75"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1DB1BE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DCA2916"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6F97055C" w14:textId="77777777" w:rsidR="008E5DE4" w:rsidRDefault="008E5DE4">
                  <w:pPr>
                    <w:widowControl w:val="0"/>
                    <w:pBdr>
                      <w:top w:val="nil"/>
                      <w:left w:val="nil"/>
                      <w:bottom w:val="nil"/>
                      <w:right w:val="nil"/>
                      <w:between w:val="nil"/>
                    </w:pBdr>
                    <w:jc w:val="right"/>
                    <w:rPr>
                      <w:color w:val="000000"/>
                      <w:sz w:val="16"/>
                      <w:szCs w:val="16"/>
                    </w:rPr>
                  </w:pPr>
                </w:p>
              </w:tc>
            </w:tr>
            <w:tr w:rsidR="008E5DE4" w14:paraId="6575B274" w14:textId="77777777">
              <w:tc>
                <w:tcPr>
                  <w:tcW w:w="2121" w:type="dxa"/>
                  <w:vAlign w:val="bottom"/>
                </w:tcPr>
                <w:p w14:paraId="42421D2B" w14:textId="77777777" w:rsidR="008E5DE4" w:rsidRDefault="008E5DE4">
                  <w:pPr>
                    <w:widowControl w:val="0"/>
                    <w:ind w:left="113" w:right="-57" w:hanging="113"/>
                    <w:rPr>
                      <w:color w:val="0000FF"/>
                      <w:sz w:val="16"/>
                      <w:szCs w:val="16"/>
                    </w:rPr>
                  </w:pPr>
                </w:p>
              </w:tc>
              <w:tc>
                <w:tcPr>
                  <w:tcW w:w="1272" w:type="dxa"/>
                </w:tcPr>
                <w:p w14:paraId="7D65DAD3"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4788D98C"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680EA44D"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4C21303"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4602949"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281CD580"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5374C44" w14:textId="77777777" w:rsidR="008E5DE4" w:rsidRDefault="008E5DE4">
                  <w:pPr>
                    <w:widowControl w:val="0"/>
                    <w:pBdr>
                      <w:top w:val="nil"/>
                      <w:left w:val="nil"/>
                      <w:bottom w:val="nil"/>
                      <w:right w:val="nil"/>
                      <w:between w:val="nil"/>
                    </w:pBdr>
                    <w:jc w:val="right"/>
                    <w:rPr>
                      <w:color w:val="000000"/>
                      <w:sz w:val="16"/>
                      <w:szCs w:val="16"/>
                    </w:rPr>
                  </w:pPr>
                </w:p>
              </w:tc>
            </w:tr>
            <w:tr w:rsidR="008E5DE4" w14:paraId="105808A8" w14:textId="77777777">
              <w:tc>
                <w:tcPr>
                  <w:tcW w:w="2121" w:type="dxa"/>
                  <w:vAlign w:val="bottom"/>
                </w:tcPr>
                <w:p w14:paraId="6F4BFFC1" w14:textId="77777777" w:rsidR="008E5DE4" w:rsidRDefault="008E5DE4">
                  <w:pPr>
                    <w:widowControl w:val="0"/>
                    <w:ind w:left="113" w:right="-57" w:hanging="113"/>
                    <w:rPr>
                      <w:color w:val="0000FF"/>
                      <w:sz w:val="16"/>
                      <w:szCs w:val="16"/>
                    </w:rPr>
                  </w:pPr>
                </w:p>
              </w:tc>
              <w:tc>
                <w:tcPr>
                  <w:tcW w:w="1272" w:type="dxa"/>
                </w:tcPr>
                <w:p w14:paraId="519F735E"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6D19B87C"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0EC75700"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1061487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F267A56"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230256A"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C1803D7" w14:textId="77777777" w:rsidR="008E5DE4" w:rsidRDefault="008E5DE4">
                  <w:pPr>
                    <w:widowControl w:val="0"/>
                    <w:pBdr>
                      <w:top w:val="nil"/>
                      <w:left w:val="nil"/>
                      <w:bottom w:val="nil"/>
                      <w:right w:val="nil"/>
                      <w:between w:val="nil"/>
                    </w:pBdr>
                    <w:jc w:val="right"/>
                    <w:rPr>
                      <w:color w:val="000000"/>
                      <w:sz w:val="16"/>
                      <w:szCs w:val="16"/>
                    </w:rPr>
                  </w:pPr>
                </w:p>
              </w:tc>
            </w:tr>
            <w:tr w:rsidR="008E5DE4" w14:paraId="31B5EC94" w14:textId="77777777">
              <w:tc>
                <w:tcPr>
                  <w:tcW w:w="2121" w:type="dxa"/>
                  <w:vAlign w:val="bottom"/>
                </w:tcPr>
                <w:p w14:paraId="1C50CC52" w14:textId="77777777" w:rsidR="008E5DE4" w:rsidRDefault="008E5DE4">
                  <w:pPr>
                    <w:widowControl w:val="0"/>
                    <w:ind w:left="113" w:right="-57" w:hanging="113"/>
                    <w:rPr>
                      <w:color w:val="0000FF"/>
                      <w:sz w:val="16"/>
                      <w:szCs w:val="16"/>
                    </w:rPr>
                  </w:pPr>
                </w:p>
              </w:tc>
              <w:tc>
                <w:tcPr>
                  <w:tcW w:w="1272" w:type="dxa"/>
                </w:tcPr>
                <w:p w14:paraId="62BB3254"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42869C1E"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411FF3BB"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01D615B1"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D0AE91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69CDD43"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AE1563A" w14:textId="77777777" w:rsidR="008E5DE4" w:rsidRDefault="008E5DE4">
                  <w:pPr>
                    <w:widowControl w:val="0"/>
                    <w:pBdr>
                      <w:top w:val="nil"/>
                      <w:left w:val="nil"/>
                      <w:bottom w:val="nil"/>
                      <w:right w:val="nil"/>
                      <w:between w:val="nil"/>
                    </w:pBdr>
                    <w:jc w:val="right"/>
                    <w:rPr>
                      <w:color w:val="000000"/>
                      <w:sz w:val="16"/>
                      <w:szCs w:val="16"/>
                    </w:rPr>
                  </w:pPr>
                </w:p>
              </w:tc>
            </w:tr>
            <w:tr w:rsidR="008E5DE4" w14:paraId="59FBDE8A" w14:textId="77777777">
              <w:tc>
                <w:tcPr>
                  <w:tcW w:w="2121" w:type="dxa"/>
                  <w:vAlign w:val="bottom"/>
                </w:tcPr>
                <w:p w14:paraId="2B41A6D5" w14:textId="77777777" w:rsidR="008E5DE4" w:rsidRDefault="008E5DE4">
                  <w:pPr>
                    <w:widowControl w:val="0"/>
                    <w:ind w:left="113" w:right="-57" w:hanging="113"/>
                    <w:rPr>
                      <w:color w:val="0000FF"/>
                      <w:sz w:val="16"/>
                      <w:szCs w:val="16"/>
                    </w:rPr>
                  </w:pPr>
                </w:p>
              </w:tc>
              <w:tc>
                <w:tcPr>
                  <w:tcW w:w="1272" w:type="dxa"/>
                </w:tcPr>
                <w:p w14:paraId="10AA14A5" w14:textId="77777777" w:rsidR="008E5DE4" w:rsidRDefault="008E5DE4">
                  <w:pPr>
                    <w:widowControl w:val="0"/>
                    <w:pBdr>
                      <w:top w:val="nil"/>
                      <w:left w:val="nil"/>
                      <w:bottom w:val="nil"/>
                      <w:right w:val="nil"/>
                      <w:between w:val="nil"/>
                    </w:pBdr>
                    <w:rPr>
                      <w:color w:val="000000"/>
                      <w:sz w:val="16"/>
                      <w:szCs w:val="16"/>
                    </w:rPr>
                  </w:pPr>
                </w:p>
              </w:tc>
              <w:tc>
                <w:tcPr>
                  <w:tcW w:w="875" w:type="dxa"/>
                  <w:vAlign w:val="bottom"/>
                </w:tcPr>
                <w:p w14:paraId="67E6BA8E"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198FD7C5"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3E554F8C"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69D9836D" w14:textId="77777777" w:rsidR="008E5DE4" w:rsidRDefault="008E5DE4">
                  <w:pPr>
                    <w:widowControl w:val="0"/>
                    <w:pBdr>
                      <w:top w:val="nil"/>
                      <w:left w:val="nil"/>
                      <w:bottom w:val="nil"/>
                      <w:right w:val="nil"/>
                      <w:between w:val="nil"/>
                    </w:pBdr>
                    <w:rPr>
                      <w:color w:val="000000"/>
                      <w:sz w:val="16"/>
                      <w:szCs w:val="16"/>
                    </w:rPr>
                  </w:pPr>
                </w:p>
              </w:tc>
              <w:tc>
                <w:tcPr>
                  <w:tcW w:w="1017" w:type="dxa"/>
                  <w:vAlign w:val="bottom"/>
                </w:tcPr>
                <w:p w14:paraId="5893D712" w14:textId="77777777" w:rsidR="008E5DE4" w:rsidRDefault="008E5DE4">
                  <w:pPr>
                    <w:widowControl w:val="0"/>
                    <w:pBdr>
                      <w:top w:val="nil"/>
                      <w:left w:val="nil"/>
                      <w:bottom w:val="nil"/>
                      <w:right w:val="nil"/>
                      <w:between w:val="nil"/>
                    </w:pBdr>
                    <w:rPr>
                      <w:color w:val="000000"/>
                      <w:sz w:val="16"/>
                      <w:szCs w:val="16"/>
                    </w:rPr>
                  </w:pPr>
                </w:p>
              </w:tc>
              <w:tc>
                <w:tcPr>
                  <w:tcW w:w="1018" w:type="dxa"/>
                  <w:vAlign w:val="bottom"/>
                </w:tcPr>
                <w:p w14:paraId="3AAEABA6" w14:textId="77777777" w:rsidR="008E5DE4" w:rsidRDefault="008E5DE4">
                  <w:pPr>
                    <w:widowControl w:val="0"/>
                    <w:pBdr>
                      <w:top w:val="nil"/>
                      <w:left w:val="nil"/>
                      <w:bottom w:val="nil"/>
                      <w:right w:val="nil"/>
                      <w:between w:val="nil"/>
                    </w:pBdr>
                    <w:rPr>
                      <w:color w:val="000000"/>
                      <w:sz w:val="16"/>
                      <w:szCs w:val="16"/>
                    </w:rPr>
                  </w:pPr>
                </w:p>
              </w:tc>
            </w:tr>
            <w:tr w:rsidR="008E5DE4" w14:paraId="22644762" w14:textId="77777777">
              <w:tc>
                <w:tcPr>
                  <w:tcW w:w="2121" w:type="dxa"/>
                  <w:vAlign w:val="bottom"/>
                </w:tcPr>
                <w:p w14:paraId="2E9528CE" w14:textId="77777777" w:rsidR="008E5DE4" w:rsidRDefault="00780368">
                  <w:pPr>
                    <w:widowControl w:val="0"/>
                    <w:ind w:right="-57"/>
                    <w:rPr>
                      <w:b/>
                      <w:color w:val="0000FF"/>
                      <w:sz w:val="16"/>
                      <w:szCs w:val="16"/>
                    </w:rPr>
                  </w:pPr>
                  <w:r>
                    <w:rPr>
                      <w:b/>
                      <w:color w:val="0000FF"/>
                      <w:sz w:val="16"/>
                      <w:szCs w:val="16"/>
                    </w:rPr>
                    <w:t>[House price index]</w:t>
                  </w:r>
                </w:p>
              </w:tc>
              <w:tc>
                <w:tcPr>
                  <w:tcW w:w="1272" w:type="dxa"/>
                </w:tcPr>
                <w:p w14:paraId="2B4B240E"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[Base]</w:t>
                  </w:r>
                </w:p>
              </w:tc>
              <w:tc>
                <w:tcPr>
                  <w:tcW w:w="875" w:type="dxa"/>
                  <w:vAlign w:val="bottom"/>
                </w:tcPr>
                <w:p w14:paraId="7CB2EFEB"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[60%]</w:t>
                  </w:r>
                </w:p>
              </w:tc>
              <w:tc>
                <w:tcPr>
                  <w:tcW w:w="1017" w:type="dxa"/>
                  <w:vAlign w:val="bottom"/>
                </w:tcPr>
                <w:p w14:paraId="77AB0B78"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77E3F998"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FEB37EC"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DCD54BD"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938C82D" w14:textId="77777777" w:rsidR="008E5DE4" w:rsidRDefault="008E5DE4">
                  <w:pPr>
                    <w:widowControl w:val="0"/>
                    <w:pBdr>
                      <w:top w:val="nil"/>
                      <w:left w:val="nil"/>
                      <w:bottom w:val="nil"/>
                      <w:right w:val="nil"/>
                      <w:between w:val="nil"/>
                    </w:pBdr>
                    <w:jc w:val="right"/>
                    <w:rPr>
                      <w:color w:val="000000"/>
                      <w:sz w:val="16"/>
                      <w:szCs w:val="16"/>
                    </w:rPr>
                  </w:pPr>
                </w:p>
              </w:tc>
            </w:tr>
            <w:tr w:rsidR="008E5DE4" w14:paraId="02BF99E9" w14:textId="77777777">
              <w:tc>
                <w:tcPr>
                  <w:tcW w:w="2121" w:type="dxa"/>
                  <w:vAlign w:val="bottom"/>
                </w:tcPr>
                <w:p w14:paraId="7C1336B1" w14:textId="77777777" w:rsidR="008E5DE4" w:rsidRDefault="008E5DE4">
                  <w:pPr>
                    <w:widowControl w:val="0"/>
                    <w:ind w:left="113" w:right="-57" w:hanging="113"/>
                    <w:rPr>
                      <w:sz w:val="16"/>
                      <w:szCs w:val="16"/>
                    </w:rPr>
                  </w:pPr>
                </w:p>
              </w:tc>
              <w:tc>
                <w:tcPr>
                  <w:tcW w:w="1272" w:type="dxa"/>
                </w:tcPr>
                <w:p w14:paraId="08261812"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[Upside]</w:t>
                  </w:r>
                </w:p>
              </w:tc>
              <w:tc>
                <w:tcPr>
                  <w:tcW w:w="875" w:type="dxa"/>
                  <w:vAlign w:val="bottom"/>
                </w:tcPr>
                <w:p w14:paraId="38761014"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[20%]</w:t>
                  </w:r>
                </w:p>
              </w:tc>
              <w:tc>
                <w:tcPr>
                  <w:tcW w:w="1017" w:type="dxa"/>
                  <w:vAlign w:val="bottom"/>
                </w:tcPr>
                <w:p w14:paraId="2453A92E"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88E225A"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3FC8ABF7"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1079F155"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12C121C" w14:textId="77777777" w:rsidR="008E5DE4" w:rsidRDefault="008E5DE4">
                  <w:pPr>
                    <w:widowControl w:val="0"/>
                    <w:pBdr>
                      <w:top w:val="nil"/>
                      <w:left w:val="nil"/>
                      <w:bottom w:val="nil"/>
                      <w:right w:val="nil"/>
                      <w:between w:val="nil"/>
                    </w:pBdr>
                    <w:jc w:val="right"/>
                    <w:rPr>
                      <w:color w:val="000000"/>
                      <w:sz w:val="16"/>
                      <w:szCs w:val="16"/>
                    </w:rPr>
                  </w:pPr>
                </w:p>
              </w:tc>
            </w:tr>
            <w:tr w:rsidR="008E5DE4" w14:paraId="7E1C632B" w14:textId="77777777">
              <w:tc>
                <w:tcPr>
                  <w:tcW w:w="2121" w:type="dxa"/>
                  <w:vAlign w:val="bottom"/>
                </w:tcPr>
                <w:p w14:paraId="0B803C0A" w14:textId="77777777" w:rsidR="008E5DE4" w:rsidRDefault="008E5DE4">
                  <w:pPr>
                    <w:widowControl w:val="0"/>
                    <w:ind w:left="113" w:right="-57" w:hanging="113"/>
                    <w:rPr>
                      <w:sz w:val="16"/>
                      <w:szCs w:val="16"/>
                    </w:rPr>
                  </w:pPr>
                </w:p>
              </w:tc>
              <w:tc>
                <w:tcPr>
                  <w:tcW w:w="1272" w:type="dxa"/>
                </w:tcPr>
                <w:p w14:paraId="518C0E8C"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1]</w:t>
                  </w:r>
                </w:p>
              </w:tc>
              <w:tc>
                <w:tcPr>
                  <w:tcW w:w="875" w:type="dxa"/>
                  <w:vAlign w:val="bottom"/>
                </w:tcPr>
                <w:p w14:paraId="0516E333"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5A16D79E"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95ABC2A"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68F16315"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0F7315F1"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D1D74F3" w14:textId="77777777" w:rsidR="008E5DE4" w:rsidRDefault="008E5DE4">
                  <w:pPr>
                    <w:widowControl w:val="0"/>
                    <w:pBdr>
                      <w:top w:val="nil"/>
                      <w:left w:val="nil"/>
                      <w:bottom w:val="nil"/>
                      <w:right w:val="nil"/>
                      <w:between w:val="nil"/>
                    </w:pBdr>
                    <w:jc w:val="right"/>
                    <w:rPr>
                      <w:color w:val="000000"/>
                      <w:sz w:val="16"/>
                      <w:szCs w:val="16"/>
                    </w:rPr>
                  </w:pPr>
                </w:p>
              </w:tc>
            </w:tr>
            <w:tr w:rsidR="008E5DE4" w14:paraId="1EEE4406" w14:textId="77777777">
              <w:tc>
                <w:tcPr>
                  <w:tcW w:w="2121" w:type="dxa"/>
                  <w:vAlign w:val="bottom"/>
                </w:tcPr>
                <w:p w14:paraId="2215611C" w14:textId="77777777" w:rsidR="008E5DE4" w:rsidRDefault="008E5DE4">
                  <w:pPr>
                    <w:widowControl w:val="0"/>
                    <w:ind w:left="113" w:right="-57" w:hanging="113"/>
                    <w:rPr>
                      <w:sz w:val="16"/>
                      <w:szCs w:val="16"/>
                    </w:rPr>
                  </w:pPr>
                </w:p>
              </w:tc>
              <w:tc>
                <w:tcPr>
                  <w:tcW w:w="1272" w:type="dxa"/>
                </w:tcPr>
                <w:p w14:paraId="293B25A5" w14:textId="77777777" w:rsidR="008E5DE4" w:rsidRDefault="00780368">
                  <w:pPr>
                    <w:widowControl w:val="0"/>
                    <w:pBdr>
                      <w:top w:val="nil"/>
                      <w:left w:val="nil"/>
                      <w:bottom w:val="nil"/>
                      <w:right w:val="nil"/>
                      <w:between w:val="nil"/>
                    </w:pBdr>
                    <w:ind w:left="-57"/>
                    <w:rPr>
                      <w:color w:val="000000"/>
                      <w:sz w:val="16"/>
                      <w:szCs w:val="16"/>
                    </w:rPr>
                  </w:pPr>
                  <w:r>
                    <w:rPr>
                      <w:color w:val="0000FF"/>
                      <w:sz w:val="16"/>
                      <w:szCs w:val="16"/>
                    </w:rPr>
                    <w:t>[Downside 2]</w:t>
                  </w:r>
                </w:p>
              </w:tc>
              <w:tc>
                <w:tcPr>
                  <w:tcW w:w="875" w:type="dxa"/>
                  <w:vAlign w:val="bottom"/>
                </w:tcPr>
                <w:p w14:paraId="5D2006CD" w14:textId="77777777" w:rsidR="008E5DE4" w:rsidRDefault="00780368">
                  <w:pPr>
                    <w:widowControl w:val="0"/>
                    <w:pBdr>
                      <w:top w:val="nil"/>
                      <w:left w:val="nil"/>
                      <w:bottom w:val="nil"/>
                      <w:right w:val="nil"/>
                      <w:between w:val="nil"/>
                    </w:pBdr>
                    <w:jc w:val="right"/>
                    <w:rPr>
                      <w:color w:val="000000"/>
                      <w:sz w:val="16"/>
                      <w:szCs w:val="16"/>
                    </w:rPr>
                  </w:pPr>
                  <w:r>
                    <w:rPr>
                      <w:color w:val="0000FF"/>
                      <w:sz w:val="16"/>
                      <w:szCs w:val="16"/>
                    </w:rPr>
                    <w:t>[10%]</w:t>
                  </w:r>
                </w:p>
              </w:tc>
              <w:tc>
                <w:tcPr>
                  <w:tcW w:w="1017" w:type="dxa"/>
                  <w:vAlign w:val="bottom"/>
                </w:tcPr>
                <w:p w14:paraId="30B1DAD6"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322520F4"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556E08FB" w14:textId="77777777" w:rsidR="008E5DE4" w:rsidRDefault="008E5DE4">
                  <w:pPr>
                    <w:widowControl w:val="0"/>
                    <w:pBdr>
                      <w:top w:val="nil"/>
                      <w:left w:val="nil"/>
                      <w:bottom w:val="nil"/>
                      <w:right w:val="nil"/>
                      <w:between w:val="nil"/>
                    </w:pBdr>
                    <w:jc w:val="right"/>
                    <w:rPr>
                      <w:color w:val="000000"/>
                      <w:sz w:val="16"/>
                      <w:szCs w:val="16"/>
                    </w:rPr>
                  </w:pPr>
                </w:p>
              </w:tc>
              <w:tc>
                <w:tcPr>
                  <w:tcW w:w="1017" w:type="dxa"/>
                  <w:vAlign w:val="bottom"/>
                </w:tcPr>
                <w:p w14:paraId="795B64F0" w14:textId="77777777" w:rsidR="008E5DE4" w:rsidRDefault="008E5DE4">
                  <w:pPr>
                    <w:widowControl w:val="0"/>
                    <w:pBdr>
                      <w:top w:val="nil"/>
                      <w:left w:val="nil"/>
                      <w:bottom w:val="nil"/>
                      <w:right w:val="nil"/>
                      <w:between w:val="nil"/>
                    </w:pBdr>
                    <w:jc w:val="right"/>
                    <w:rPr>
                      <w:color w:val="000000"/>
                      <w:sz w:val="16"/>
                      <w:szCs w:val="16"/>
                    </w:rPr>
                  </w:pPr>
                </w:p>
              </w:tc>
              <w:tc>
                <w:tcPr>
                  <w:tcW w:w="1018" w:type="dxa"/>
                  <w:vAlign w:val="bottom"/>
                </w:tcPr>
                <w:p w14:paraId="423C50A3" w14:textId="77777777" w:rsidR="008E5DE4" w:rsidRDefault="008E5DE4">
                  <w:pPr>
                    <w:widowControl w:val="0"/>
                    <w:pBdr>
                      <w:top w:val="nil"/>
                      <w:left w:val="nil"/>
                      <w:bottom w:val="nil"/>
                      <w:right w:val="nil"/>
                      <w:between w:val="nil"/>
                    </w:pBdr>
                    <w:jc w:val="right"/>
                    <w:rPr>
                      <w:color w:val="000000"/>
                      <w:sz w:val="16"/>
                      <w:szCs w:val="16"/>
                    </w:rPr>
                  </w:pPr>
                </w:p>
              </w:tc>
            </w:tr>
            <w:tr w:rsidR="008E5DE4" w14:paraId="4C7AAFA6" w14:textId="77777777">
              <w:tc>
                <w:tcPr>
                  <w:tcW w:w="2121" w:type="dxa"/>
                  <w:tcBorders>
                    <w:bottom w:val="single" w:sz="12" w:space="0" w:color="000000"/>
                  </w:tcBorders>
                  <w:vAlign w:val="bottom"/>
                </w:tcPr>
                <w:p w14:paraId="35B4669C" w14:textId="77777777" w:rsidR="008E5DE4" w:rsidRDefault="008E5DE4">
                  <w:pPr>
                    <w:widowControl w:val="0"/>
                    <w:ind w:left="113" w:right="-57" w:hanging="113"/>
                    <w:rPr>
                      <w:sz w:val="16"/>
                      <w:szCs w:val="16"/>
                    </w:rPr>
                  </w:pPr>
                </w:p>
              </w:tc>
              <w:tc>
                <w:tcPr>
                  <w:tcW w:w="1272" w:type="dxa"/>
                  <w:tcBorders>
                    <w:bottom w:val="single" w:sz="12" w:space="0" w:color="000000"/>
                  </w:tcBorders>
                </w:tcPr>
                <w:p w14:paraId="64D12CA3" w14:textId="77777777" w:rsidR="008E5DE4" w:rsidRDefault="008E5DE4">
                  <w:pPr>
                    <w:widowControl w:val="0"/>
                    <w:pBdr>
                      <w:top w:val="nil"/>
                      <w:left w:val="nil"/>
                      <w:bottom w:val="nil"/>
                      <w:right w:val="nil"/>
                      <w:between w:val="nil"/>
                    </w:pBdr>
                    <w:rPr>
                      <w:color w:val="000000"/>
                      <w:sz w:val="16"/>
                      <w:szCs w:val="16"/>
                    </w:rPr>
                  </w:pPr>
                </w:p>
              </w:tc>
              <w:tc>
                <w:tcPr>
                  <w:tcW w:w="875" w:type="dxa"/>
                  <w:tcBorders>
                    <w:bottom w:val="single" w:sz="12" w:space="0" w:color="000000"/>
                  </w:tcBorders>
                  <w:vAlign w:val="bottom"/>
                </w:tcPr>
                <w:p w14:paraId="47AA4B5F"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6B1A5366" w14:textId="77777777" w:rsidR="008E5DE4" w:rsidRDefault="008E5DE4">
                  <w:pPr>
                    <w:widowControl w:val="0"/>
                    <w:pBdr>
                      <w:top w:val="nil"/>
                      <w:left w:val="nil"/>
                      <w:bottom w:val="nil"/>
                      <w:right w:val="nil"/>
                      <w:between w:val="nil"/>
                    </w:pBdr>
                    <w:rPr>
                      <w:color w:val="000000"/>
                      <w:sz w:val="16"/>
                      <w:szCs w:val="16"/>
                    </w:rPr>
                  </w:pPr>
                </w:p>
              </w:tc>
              <w:tc>
                <w:tcPr>
                  <w:tcW w:w="1018" w:type="dxa"/>
                  <w:tcBorders>
                    <w:bottom w:val="single" w:sz="12" w:space="0" w:color="000000"/>
                  </w:tcBorders>
                  <w:vAlign w:val="bottom"/>
                </w:tcPr>
                <w:p w14:paraId="6BFE72BA"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1B844162" w14:textId="77777777" w:rsidR="008E5DE4" w:rsidRDefault="008E5DE4">
                  <w:pPr>
                    <w:widowControl w:val="0"/>
                    <w:pBdr>
                      <w:top w:val="nil"/>
                      <w:left w:val="nil"/>
                      <w:bottom w:val="nil"/>
                      <w:right w:val="nil"/>
                      <w:between w:val="nil"/>
                    </w:pBdr>
                    <w:rPr>
                      <w:color w:val="000000"/>
                      <w:sz w:val="16"/>
                      <w:szCs w:val="16"/>
                    </w:rPr>
                  </w:pPr>
                </w:p>
              </w:tc>
              <w:tc>
                <w:tcPr>
                  <w:tcW w:w="1017" w:type="dxa"/>
                  <w:tcBorders>
                    <w:bottom w:val="single" w:sz="12" w:space="0" w:color="000000"/>
                  </w:tcBorders>
                  <w:vAlign w:val="bottom"/>
                </w:tcPr>
                <w:p w14:paraId="3BCD1129" w14:textId="77777777" w:rsidR="008E5DE4" w:rsidRDefault="008E5DE4">
                  <w:pPr>
                    <w:widowControl w:val="0"/>
                    <w:pBdr>
                      <w:top w:val="nil"/>
                      <w:left w:val="nil"/>
                      <w:bottom w:val="nil"/>
                      <w:right w:val="nil"/>
                      <w:between w:val="nil"/>
                    </w:pBdr>
                    <w:rPr>
                      <w:color w:val="000000"/>
                      <w:sz w:val="16"/>
                      <w:szCs w:val="16"/>
                    </w:rPr>
                  </w:pPr>
                </w:p>
              </w:tc>
              <w:tc>
                <w:tcPr>
                  <w:tcW w:w="1018" w:type="dxa"/>
                  <w:tcBorders>
                    <w:bottom w:val="single" w:sz="12" w:space="0" w:color="000000"/>
                  </w:tcBorders>
                  <w:vAlign w:val="bottom"/>
                </w:tcPr>
                <w:p w14:paraId="45183374" w14:textId="77777777" w:rsidR="008E5DE4" w:rsidRDefault="008E5DE4">
                  <w:pPr>
                    <w:widowControl w:val="0"/>
                    <w:pBdr>
                      <w:top w:val="nil"/>
                      <w:left w:val="nil"/>
                      <w:bottom w:val="nil"/>
                      <w:right w:val="nil"/>
                      <w:between w:val="nil"/>
                    </w:pBdr>
                    <w:rPr>
                      <w:color w:val="000000"/>
                      <w:sz w:val="16"/>
                      <w:szCs w:val="16"/>
                    </w:rPr>
                  </w:pPr>
                </w:p>
              </w:tc>
            </w:tr>
          </w:tbl>
          <w:p w14:paraId="19B14A39" w14:textId="52DCBF11"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[The Group reduced the weights assigned to the upside scenario during </w:t>
            </w:r>
            <w:r w:rsidR="008614F8">
              <w:rPr>
                <w:color w:val="0000FF"/>
                <w:sz w:val="20"/>
                <w:szCs w:val="20"/>
              </w:rPr>
              <w:t>2025</w:t>
            </w:r>
            <w:r>
              <w:rPr>
                <w:color w:val="0000FF"/>
                <w:sz w:val="20"/>
                <w:szCs w:val="20"/>
              </w:rPr>
              <w:t xml:space="preserve"> </w:t>
            </w:r>
            <w:proofErr w:type="gramStart"/>
            <w:r>
              <w:rPr>
                <w:color w:val="0000FF"/>
                <w:sz w:val="20"/>
                <w:szCs w:val="20"/>
              </w:rPr>
              <w:t>as a result of</w:t>
            </w:r>
            <w:proofErr w:type="gramEnd"/>
            <w:r>
              <w:rPr>
                <w:color w:val="0000FF"/>
                <w:sz w:val="20"/>
                <w:szCs w:val="20"/>
              </w:rPr>
              <w:t xml:space="preserve"> the most recent developments.] </w:t>
            </w:r>
          </w:p>
          <w:p w14:paraId="41793B28" w14:textId="563AA1B4" w:rsidR="008E5DE4" w:rsidRDefault="00780368">
            <w:pPr>
              <w:widowControl w:val="0"/>
              <w:pBdr>
                <w:top w:val="nil"/>
                <w:left w:val="nil"/>
                <w:bottom w:val="nil"/>
                <w:right w:val="nil"/>
                <w:between w:val="nil"/>
              </w:pBdr>
              <w:spacing w:before="200" w:after="200" w:line="228" w:lineRule="auto"/>
              <w:jc w:val="both"/>
              <w:rPr>
                <w:color w:val="0000FF"/>
                <w:sz w:val="20"/>
                <w:szCs w:val="20"/>
              </w:rPr>
            </w:pPr>
            <w:r>
              <w:rPr>
                <w:color w:val="0000FF"/>
                <w:sz w:val="20"/>
                <w:szCs w:val="20"/>
              </w:rPr>
              <w:t xml:space="preserve">[A change in the weight assigned to base forward looking macro-economic set of assumptions by 10% towards the immediate downside level assumptions would result in an increase in ECL by EUR _____ thousand </w:t>
            </w:r>
            <w:proofErr w:type="gramStart"/>
            <w:r>
              <w:rPr>
                <w:color w:val="0000FF"/>
                <w:sz w:val="20"/>
                <w:szCs w:val="20"/>
              </w:rPr>
              <w:t>at</w:t>
            </w:r>
            <w:proofErr w:type="gramEnd"/>
            <w:r>
              <w:rPr>
                <w:color w:val="0000FF"/>
                <w:sz w:val="20"/>
                <w:szCs w:val="20"/>
              </w:rPr>
              <w:t xml:space="preserve"> 31 December </w:t>
            </w:r>
            <w:r w:rsidR="00FF468A">
              <w:rPr>
                <w:color w:val="0000FF"/>
                <w:sz w:val="20"/>
                <w:szCs w:val="20"/>
              </w:rPr>
              <w:t>2024</w:t>
            </w:r>
            <w:r>
              <w:rPr>
                <w:color w:val="0000FF"/>
                <w:sz w:val="20"/>
                <w:szCs w:val="20"/>
              </w:rPr>
              <w:t xml:space="preserve"> (31 December 202</w:t>
            </w:r>
            <w:r w:rsidR="00912B42">
              <w:rPr>
                <w:color w:val="0000FF"/>
                <w:sz w:val="20"/>
                <w:szCs w:val="20"/>
              </w:rPr>
              <w:t>2</w:t>
            </w:r>
            <w:r>
              <w:rPr>
                <w:color w:val="0000FF"/>
                <w:sz w:val="20"/>
                <w:szCs w:val="20"/>
              </w:rPr>
              <w:t xml:space="preserve">: by EUR ______ thousand). A corresponding change towards the upside assumptions would result in a decrease in ECL by EUR _____ thousand </w:t>
            </w:r>
            <w:proofErr w:type="gramStart"/>
            <w:r>
              <w:rPr>
                <w:color w:val="0000FF"/>
                <w:sz w:val="20"/>
                <w:szCs w:val="20"/>
              </w:rPr>
              <w:t>at</w:t>
            </w:r>
            <w:proofErr w:type="gramEnd"/>
            <w:r>
              <w:rPr>
                <w:color w:val="0000FF"/>
                <w:sz w:val="20"/>
                <w:szCs w:val="20"/>
              </w:rPr>
              <w:t xml:space="preserve"> 31 December </w:t>
            </w:r>
            <w:r w:rsidR="008614F8">
              <w:rPr>
                <w:color w:val="0000FF"/>
                <w:sz w:val="20"/>
                <w:szCs w:val="20"/>
              </w:rPr>
              <w:t xml:space="preserve">2025 </w:t>
            </w:r>
            <w:r>
              <w:rPr>
                <w:color w:val="0000FF"/>
                <w:sz w:val="20"/>
                <w:szCs w:val="20"/>
              </w:rPr>
              <w:t xml:space="preserve">(31 December </w:t>
            </w:r>
            <w:r w:rsidR="00FF468A">
              <w:rPr>
                <w:color w:val="0000FF"/>
                <w:sz w:val="20"/>
                <w:szCs w:val="20"/>
              </w:rPr>
              <w:t>2024</w:t>
            </w:r>
            <w:r>
              <w:rPr>
                <w:color w:val="0000FF"/>
                <w:sz w:val="20"/>
                <w:szCs w:val="20"/>
              </w:rPr>
              <w:t>: by EUR ______ thousand).</w:t>
            </w:r>
          </w:p>
          <w:p w14:paraId="27B95AE9" w14:textId="31BF94BC" w:rsidR="008E5DE4" w:rsidRDefault="00780368">
            <w:pPr>
              <w:widowControl w:val="0"/>
              <w:pBdr>
                <w:top w:val="nil"/>
                <w:left w:val="nil"/>
                <w:bottom w:val="nil"/>
                <w:right w:val="nil"/>
                <w:between w:val="nil"/>
              </w:pBdr>
              <w:spacing w:before="200" w:after="200" w:line="228" w:lineRule="auto"/>
              <w:jc w:val="both"/>
              <w:rPr>
                <w:color w:val="0000FF"/>
                <w:sz w:val="20"/>
                <w:szCs w:val="20"/>
              </w:rPr>
            </w:pPr>
            <w:r>
              <w:rPr>
                <w:color w:val="0000FF"/>
                <w:sz w:val="20"/>
                <w:szCs w:val="20"/>
              </w:rPr>
              <w:t>A [</w:t>
            </w:r>
            <w:proofErr w:type="gramStart"/>
            <w:r>
              <w:rPr>
                <w:color w:val="0000FF"/>
                <w:sz w:val="20"/>
                <w:szCs w:val="20"/>
              </w:rPr>
              <w:t>10]%</w:t>
            </w:r>
            <w:proofErr w:type="gramEnd"/>
            <w:r>
              <w:rPr>
                <w:color w:val="0000FF"/>
                <w:sz w:val="20"/>
                <w:szCs w:val="20"/>
              </w:rPr>
              <w:t xml:space="preserve"> increase or decrease in PD estimates at 31 December </w:t>
            </w:r>
            <w:r w:rsidR="008614F8">
              <w:rPr>
                <w:color w:val="0000FF"/>
                <w:sz w:val="20"/>
                <w:szCs w:val="20"/>
              </w:rPr>
              <w:t>2025</w:t>
            </w:r>
            <w:r>
              <w:rPr>
                <w:color w:val="0000FF"/>
                <w:sz w:val="20"/>
                <w:szCs w:val="20"/>
              </w:rPr>
              <w:t xml:space="preserve"> would result in an increase or decrease in total expected credit loss allowances of EUR ____ thousand (31 December </w:t>
            </w:r>
            <w:r w:rsidR="00FF468A">
              <w:rPr>
                <w:color w:val="0000FF"/>
                <w:sz w:val="20"/>
                <w:szCs w:val="20"/>
              </w:rPr>
              <w:t>2024</w:t>
            </w:r>
            <w:r>
              <w:rPr>
                <w:color w:val="0000FF"/>
                <w:sz w:val="20"/>
                <w:szCs w:val="20"/>
              </w:rPr>
              <w:t>: by EUR ______ thousand). A [</w:t>
            </w:r>
            <w:proofErr w:type="gramStart"/>
            <w:r>
              <w:rPr>
                <w:color w:val="0000FF"/>
                <w:sz w:val="20"/>
                <w:szCs w:val="20"/>
              </w:rPr>
              <w:t>10]%</w:t>
            </w:r>
            <w:proofErr w:type="gramEnd"/>
            <w:r>
              <w:rPr>
                <w:color w:val="0000FF"/>
                <w:sz w:val="20"/>
                <w:szCs w:val="20"/>
              </w:rPr>
              <w:t xml:space="preserve"> increase or decrease in LGD estimates at 31 December </w:t>
            </w:r>
            <w:r w:rsidR="008614F8">
              <w:rPr>
                <w:color w:val="0000FF"/>
                <w:sz w:val="20"/>
                <w:szCs w:val="20"/>
              </w:rPr>
              <w:t>2025</w:t>
            </w:r>
            <w:r>
              <w:rPr>
                <w:color w:val="0000FF"/>
                <w:sz w:val="20"/>
                <w:szCs w:val="20"/>
              </w:rPr>
              <w:t xml:space="preserve"> would result in an increase or decrease in total expected credit loss allowances of EUR ____ thousand (31 December </w:t>
            </w:r>
            <w:r w:rsidR="00FF468A">
              <w:rPr>
                <w:color w:val="0000FF"/>
                <w:sz w:val="20"/>
                <w:szCs w:val="20"/>
              </w:rPr>
              <w:t>2024</w:t>
            </w:r>
            <w:r>
              <w:rPr>
                <w:color w:val="0000FF"/>
                <w:sz w:val="20"/>
                <w:szCs w:val="20"/>
              </w:rPr>
              <w:t>: by EUR ______ thousand). A [</w:t>
            </w:r>
            <w:proofErr w:type="gramStart"/>
            <w:r>
              <w:rPr>
                <w:color w:val="0000FF"/>
                <w:sz w:val="20"/>
                <w:szCs w:val="20"/>
              </w:rPr>
              <w:t>10]%</w:t>
            </w:r>
            <w:proofErr w:type="gramEnd"/>
            <w:r>
              <w:rPr>
                <w:color w:val="0000FF"/>
                <w:sz w:val="20"/>
                <w:szCs w:val="20"/>
              </w:rPr>
              <w:t xml:space="preserve"> increase or decrease in PD estimates at 31 December </w:t>
            </w:r>
            <w:r w:rsidR="008614F8">
              <w:rPr>
                <w:color w:val="0000FF"/>
                <w:sz w:val="20"/>
                <w:szCs w:val="20"/>
              </w:rPr>
              <w:t>2025</w:t>
            </w:r>
            <w:r>
              <w:rPr>
                <w:color w:val="0000FF"/>
                <w:sz w:val="20"/>
                <w:szCs w:val="20"/>
              </w:rPr>
              <w:t xml:space="preserve"> would result in an increase or decrease in total expected credit loss allowances of EUR ____ thousand (31 December </w:t>
            </w:r>
            <w:r w:rsidR="00FF468A">
              <w:rPr>
                <w:color w:val="0000FF"/>
                <w:sz w:val="20"/>
                <w:szCs w:val="20"/>
              </w:rPr>
              <w:t>2024</w:t>
            </w:r>
            <w:r>
              <w:rPr>
                <w:color w:val="0000FF"/>
                <w:sz w:val="20"/>
                <w:szCs w:val="20"/>
              </w:rPr>
              <w:t xml:space="preserve">: by EUR ______ thousand). </w:t>
            </w:r>
          </w:p>
          <w:p w14:paraId="0CE15AD7" w14:textId="419FF5D1" w:rsidR="008E5DE4" w:rsidRDefault="00780368">
            <w:pPr>
              <w:widowControl w:val="0"/>
              <w:pBdr>
                <w:top w:val="nil"/>
                <w:left w:val="nil"/>
                <w:bottom w:val="nil"/>
                <w:right w:val="nil"/>
                <w:between w:val="nil"/>
              </w:pBdr>
              <w:spacing w:before="200" w:after="200" w:line="228" w:lineRule="auto"/>
              <w:jc w:val="both"/>
              <w:rPr>
                <w:i/>
                <w:color w:val="FF0000"/>
                <w:sz w:val="20"/>
                <w:szCs w:val="20"/>
              </w:rPr>
            </w:pPr>
            <w:r>
              <w:rPr>
                <w:color w:val="0000FF"/>
                <w:sz w:val="20"/>
                <w:szCs w:val="20"/>
              </w:rPr>
              <w:t>A [</w:t>
            </w:r>
            <w:proofErr w:type="gramStart"/>
            <w:r>
              <w:rPr>
                <w:color w:val="0000FF"/>
                <w:sz w:val="20"/>
                <w:szCs w:val="20"/>
              </w:rPr>
              <w:t>10]%</w:t>
            </w:r>
            <w:proofErr w:type="gramEnd"/>
            <w:r>
              <w:rPr>
                <w:color w:val="0000FF"/>
                <w:sz w:val="20"/>
                <w:szCs w:val="20"/>
              </w:rPr>
              <w:t xml:space="preserve"> increase or decrease in credit loss experience based on which the incurred loss allowances were estimated 31 December </w:t>
            </w:r>
            <w:r w:rsidR="008614F8">
              <w:rPr>
                <w:color w:val="0000FF"/>
                <w:sz w:val="20"/>
                <w:szCs w:val="20"/>
              </w:rPr>
              <w:t>2025</w:t>
            </w:r>
            <w:r>
              <w:rPr>
                <w:color w:val="0000FF"/>
                <w:sz w:val="20"/>
                <w:szCs w:val="20"/>
              </w:rPr>
              <w:t xml:space="preserve"> would result in an increase or decrease in credit loss allowances of EUR ____ thousand as of that date (31 December </w:t>
            </w:r>
            <w:r w:rsidR="00FF468A">
              <w:rPr>
                <w:color w:val="0000FF"/>
                <w:sz w:val="20"/>
                <w:szCs w:val="20"/>
              </w:rPr>
              <w:t>2024</w:t>
            </w:r>
            <w:r>
              <w:rPr>
                <w:color w:val="0000FF"/>
                <w:sz w:val="20"/>
                <w:szCs w:val="20"/>
              </w:rPr>
              <w:t xml:space="preserve">: by EUR ______ thousand).] </w:t>
            </w:r>
          </w:p>
          <w:p w14:paraId="3C669471" w14:textId="168FC174" w:rsidR="008E5DE4" w:rsidRDefault="00780368">
            <w:pPr>
              <w:widowControl w:val="0"/>
              <w:pBdr>
                <w:top w:val="nil"/>
                <w:left w:val="nil"/>
                <w:bottom w:val="nil"/>
                <w:right w:val="nil"/>
                <w:between w:val="nil"/>
              </w:pBdr>
              <w:spacing w:before="200" w:after="200" w:line="228" w:lineRule="auto"/>
              <w:jc w:val="both"/>
              <w:rPr>
                <w:i/>
                <w:color w:val="FF0000"/>
                <w:sz w:val="20"/>
                <w:szCs w:val="20"/>
              </w:rPr>
            </w:pPr>
            <w:r>
              <w:rPr>
                <w:b/>
                <w:i/>
                <w:color w:val="000000"/>
                <w:sz w:val="20"/>
                <w:szCs w:val="20"/>
              </w:rPr>
              <w:t xml:space="preserve">Significant increase in credit risk (“SICR”). </w:t>
            </w:r>
            <w:proofErr w:type="gramStart"/>
            <w:r>
              <w:rPr>
                <w:color w:val="000000"/>
                <w:sz w:val="20"/>
                <w:szCs w:val="20"/>
              </w:rPr>
              <w:t>In order to</w:t>
            </w:r>
            <w:proofErr w:type="gramEnd"/>
            <w:r>
              <w:rPr>
                <w:color w:val="000000"/>
                <w:sz w:val="20"/>
                <w:szCs w:val="20"/>
              </w:rPr>
              <w:t xml:space="preserve"> determine whether there has been a significant increase in credit risk, the Group compares the risk of a default occurring over the life of an investment in debt securities at the end of the reporting date with the risk of default at the date of initial recognition. The assessment considers relative increase in credit risk rather than achieving a specific level of credit risk at the end of the reporting period. The Group considers all reasonable and supportable forward</w:t>
            </w:r>
            <w:r w:rsidR="00176789">
              <w:rPr>
                <w:color w:val="000000"/>
                <w:sz w:val="20"/>
                <w:szCs w:val="20"/>
              </w:rPr>
              <w:t>-</w:t>
            </w:r>
            <w:r>
              <w:rPr>
                <w:color w:val="000000"/>
                <w:sz w:val="20"/>
                <w:szCs w:val="20"/>
              </w:rPr>
              <w:t xml:space="preserve">looking information available without undue cost and effort, which includes a range of factors, including behavioural aspects of </w:t>
            </w:r>
            <w:proofErr w:type="gramStart"/>
            <w:r>
              <w:rPr>
                <w:color w:val="000000"/>
                <w:sz w:val="20"/>
                <w:szCs w:val="20"/>
              </w:rPr>
              <w:t>particular customer</w:t>
            </w:r>
            <w:proofErr w:type="gramEnd"/>
            <w:r>
              <w:rPr>
                <w:color w:val="000000"/>
                <w:sz w:val="20"/>
                <w:szCs w:val="20"/>
              </w:rPr>
              <w:t xml:space="preserve"> portfolios. The Group identifies behavioural indicators of increases in credit risk prior to delinquency and incorporated appropriate forward</w:t>
            </w:r>
            <w:r w:rsidR="00176789">
              <w:rPr>
                <w:color w:val="000000"/>
                <w:sz w:val="20"/>
                <w:szCs w:val="20"/>
              </w:rPr>
              <w:t>-</w:t>
            </w:r>
            <w:r>
              <w:rPr>
                <w:color w:val="000000"/>
                <w:sz w:val="20"/>
                <w:szCs w:val="20"/>
              </w:rPr>
              <w:t>looking information into the credit risk assessment, either at an individual instrument, or on a portfolio level. Refer to Note 51.</w:t>
            </w:r>
          </w:p>
          <w:p w14:paraId="46597E94" w14:textId="61ADD9EE" w:rsidR="008E5DE4" w:rsidRDefault="00780368">
            <w:pPr>
              <w:widowControl w:val="0"/>
              <w:pBdr>
                <w:top w:val="nil"/>
                <w:left w:val="nil"/>
                <w:bottom w:val="nil"/>
                <w:right w:val="nil"/>
                <w:between w:val="nil"/>
              </w:pBdr>
              <w:spacing w:before="200" w:after="200"/>
              <w:jc w:val="both"/>
              <w:rPr>
                <w:i/>
                <w:color w:val="FF0000"/>
                <w:sz w:val="20"/>
                <w:szCs w:val="20"/>
              </w:rPr>
            </w:pPr>
            <w:r>
              <w:rPr>
                <w:color w:val="0000FF"/>
                <w:sz w:val="20"/>
                <w:szCs w:val="20"/>
              </w:rPr>
              <w:t xml:space="preserve">[Should ECL on all investments in debt securities at AC be measured at lifetime ECL (that is, including those that are currently in Stage 1 measured at 12-months ECL), the expected credit loss allowance would be higher by EUR ____ thousand as of 31 December </w:t>
            </w:r>
            <w:r w:rsidR="008614F8">
              <w:rPr>
                <w:color w:val="0000FF"/>
                <w:sz w:val="20"/>
                <w:szCs w:val="20"/>
              </w:rPr>
              <w:t>2025</w:t>
            </w:r>
            <w:r>
              <w:rPr>
                <w:color w:val="0000FF"/>
                <w:sz w:val="20"/>
                <w:szCs w:val="20"/>
              </w:rPr>
              <w:t xml:space="preserve"> (31 December </w:t>
            </w:r>
            <w:r w:rsidR="00FF468A">
              <w:rPr>
                <w:color w:val="0000FF"/>
                <w:sz w:val="20"/>
                <w:szCs w:val="20"/>
              </w:rPr>
              <w:t>2024</w:t>
            </w:r>
            <w:r>
              <w:rPr>
                <w:color w:val="0000FF"/>
                <w:sz w:val="20"/>
                <w:szCs w:val="20"/>
              </w:rPr>
              <w:t>: higher by EUR ____ thousand).]</w:t>
            </w:r>
          </w:p>
          <w:p w14:paraId="7E1973EA" w14:textId="77777777" w:rsidR="00055CF1" w:rsidRDefault="00055CF1">
            <w:pPr>
              <w:widowControl w:val="0"/>
              <w:pBdr>
                <w:top w:val="nil"/>
                <w:left w:val="nil"/>
                <w:bottom w:val="nil"/>
                <w:right w:val="nil"/>
                <w:between w:val="nil"/>
              </w:pBdr>
              <w:spacing w:before="200" w:after="200"/>
              <w:jc w:val="both"/>
              <w:rPr>
                <w:b/>
                <w:i/>
                <w:color w:val="000000"/>
                <w:sz w:val="20"/>
                <w:szCs w:val="20"/>
              </w:rPr>
            </w:pPr>
          </w:p>
          <w:p w14:paraId="5A2FB9A5" w14:textId="77777777" w:rsidR="00055CF1" w:rsidRDefault="00055CF1" w:rsidP="00055CF1">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7259D133" w14:textId="5E38FEA2"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Business model assessment.</w:t>
            </w:r>
            <w:r>
              <w:rPr>
                <w:color w:val="FF0000"/>
                <w:sz w:val="20"/>
                <w:szCs w:val="20"/>
              </w:rPr>
              <w:t xml:space="preserve"> </w:t>
            </w:r>
            <w:r>
              <w:rPr>
                <w:color w:val="000000"/>
                <w:sz w:val="20"/>
                <w:szCs w:val="20"/>
              </w:rPr>
              <w:t xml:space="preserve">The business model drives classification of investments in debt securities. Management applied judgement in determining the level of aggregation and portfolios when performing the business model assessment. When assessing sales transactions, the Group considers their historical frequency, timing and value, reasons for the sales and expectations about future sales activity. Sales transactions aimed at minimising potential losses due to credit deterioration are considered consistent with the “hold to collect” business model. Other sales before maturity, not related to credit risk management activities, are also consistent with the “hold to collect” business model, </w:t>
            </w:r>
            <w:proofErr w:type="gramStart"/>
            <w:r>
              <w:rPr>
                <w:color w:val="000000"/>
                <w:sz w:val="20"/>
                <w:szCs w:val="20"/>
              </w:rPr>
              <w:t>provided that</w:t>
            </w:r>
            <w:proofErr w:type="gramEnd"/>
            <w:r>
              <w:rPr>
                <w:color w:val="000000"/>
                <w:sz w:val="20"/>
                <w:szCs w:val="20"/>
              </w:rPr>
              <w:t xml:space="preserve"> they are infrequent or insignificant in value, both individually and in aggregate. The Group assesses significance of sales transactions by comparing the value of the sales to the value of the portfolio subject to the business model assessment over the average life of the portfolio. In addition, sales of financial asset expected only in stress case scenario, or in response to an isolated event that is beyond the Group’s control, is not recurring and could not have been anticipated by the Group, are regarded as incidental to the business model objective and do not impact the classification of the respective financial assets. </w:t>
            </w:r>
          </w:p>
          <w:p w14:paraId="7ABB7EC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“hold to collect and sell” business model means that assets are held to collect the cash flows, but selling is also integral to achieving the business model’s objective, such as, managing liquidity needs, achieving a particular yield, or matching the duration of the financial assets to the duration of the liabilities that fund those assets.</w:t>
            </w:r>
          </w:p>
          <w:p w14:paraId="05FB457B"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residual category includes those portfolios of financial assets, which are managed with the objective of realising cash flows primarily through sale, such as where a pattern of trading exists. Collecting contractual cash flow is often incidental for this business model. </w:t>
            </w:r>
          </w:p>
          <w:p w14:paraId="13A5212E" w14:textId="77777777"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[The Group assessed that the portfolio of the following investments in debt securities: [….] meets the criteria for held to collect business model and determined that the past securitisation transactions were infrequent and therefore are not inconsistent with the held to collect business model.]</w:t>
            </w:r>
          </w:p>
          <w:p w14:paraId="4FE2B74E"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Assessment whether cash flows are solely payments of principal and interest (“SPPI”).</w:t>
            </w:r>
            <w:r>
              <w:rPr>
                <w:color w:val="FF0000"/>
                <w:sz w:val="20"/>
                <w:szCs w:val="20"/>
              </w:rPr>
              <w:t xml:space="preserve"> </w:t>
            </w:r>
            <w:r>
              <w:rPr>
                <w:color w:val="000000"/>
                <w:sz w:val="20"/>
                <w:szCs w:val="20"/>
              </w:rPr>
              <w:t xml:space="preserve">Determining whether a financial asset’s cash flows are solely payments of principal and interest required judgement. </w:t>
            </w:r>
          </w:p>
          <w:p w14:paraId="479F12BD" w14:textId="45E74DE9"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time value of money element may be modified, for example, if a contractual interest rate is periodically reset but the frequency of that reset does not match the tenor of the debt instrument’s underlying base interest rate. The effect of the modified time value of money was assessed by comparing relevant instrument’s cash flows against a benchmark debt instrument with SPPI cash flows, in each period and cumulatively over the life of the instrument. The assessment was done for all reasonably possible scenarios, including reasonably possible financial stress situation that can occur in financial markets. The Group applied a threshold of </w:t>
            </w:r>
            <w:r>
              <w:rPr>
                <w:color w:val="3820EC"/>
                <w:sz w:val="20"/>
                <w:szCs w:val="20"/>
              </w:rPr>
              <w:t>[5%]</w:t>
            </w:r>
            <w:r>
              <w:rPr>
                <w:color w:val="000000"/>
                <w:sz w:val="20"/>
                <w:szCs w:val="20"/>
              </w:rPr>
              <w:t xml:space="preserve"> to determine whether differences against benchmark instruments are significantly different. In case of a scenario with cash flows that significantly differ from the benchmark, the assessed instrument’s cash flows are not </w:t>
            </w:r>
            <w:proofErr w:type="gramStart"/>
            <w:r>
              <w:rPr>
                <w:color w:val="000000"/>
                <w:sz w:val="20"/>
                <w:szCs w:val="20"/>
              </w:rPr>
              <w:t>SPPI</w:t>
            </w:r>
            <w:proofErr w:type="gramEnd"/>
            <w:r>
              <w:rPr>
                <w:color w:val="000000"/>
                <w:sz w:val="20"/>
                <w:szCs w:val="20"/>
              </w:rPr>
              <w:t xml:space="preserve"> and the instrument is then carried at FVTPL.</w:t>
            </w:r>
          </w:p>
          <w:p w14:paraId="3C9EA99D"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identified and considered contractual terms that change the timing or amount of contractual cash flows. The SPPI criterion is met if a debt security allows early settlement and the prepayment amount substantially represents principal and accrued interest, plus a reasonable additional compensation for the early termination of the contract. The asset’s principal is the fair value at initial recognition less subsequent principal repayments, i.e. instalments net of interest determined using the effective interest method. As an exception to this principle, the standard also allows instruments with prepayment features that meet the following condition to meet SPPI: (</w:t>
            </w:r>
            <w:proofErr w:type="spellStart"/>
            <w:r>
              <w:rPr>
                <w:color w:val="000000"/>
                <w:sz w:val="20"/>
                <w:szCs w:val="20"/>
              </w:rPr>
              <w:t>i</w:t>
            </w:r>
            <w:proofErr w:type="spellEnd"/>
            <w:r>
              <w:rPr>
                <w:color w:val="000000"/>
                <w:sz w:val="20"/>
                <w:szCs w:val="20"/>
              </w:rPr>
              <w:t xml:space="preserve">) the asset is originated at a premium or discount, (ii) the prepayment amount represents contractual </w:t>
            </w:r>
            <w:proofErr w:type="spellStart"/>
            <w:r>
              <w:rPr>
                <w:color w:val="000000"/>
                <w:sz w:val="20"/>
                <w:szCs w:val="20"/>
              </w:rPr>
              <w:t>par amount</w:t>
            </w:r>
            <w:proofErr w:type="spellEnd"/>
            <w:r>
              <w:rPr>
                <w:color w:val="000000"/>
                <w:sz w:val="20"/>
                <w:szCs w:val="20"/>
              </w:rPr>
              <w:t xml:space="preserve"> and accrued interest and a reasonable additional compensation for the early termination of the contract, and (ii) the fair value of the prepayment feature is immaterial at initial recognition.</w:t>
            </w:r>
          </w:p>
          <w:p w14:paraId="2DDDB46B"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considered examples in the standard and concluded that features that arise solely from legislation and that are not part of the contract, that is, if legislation changed, the features would no longer apply (such as bail in legislation relevant to bank deposits in certain countries), are not relevant for assessing whether cash flows are SPPI.</w:t>
            </w:r>
          </w:p>
          <w:p w14:paraId="2D5F322E"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instruments that failed the SPPI test are measured at FVTPL are described in Note 51.</w:t>
            </w:r>
          </w:p>
          <w:p w14:paraId="501E81E7" w14:textId="77777777" w:rsidR="00055CF1" w:rsidRDefault="00055CF1">
            <w:pPr>
              <w:widowControl w:val="0"/>
              <w:pBdr>
                <w:top w:val="nil"/>
                <w:left w:val="nil"/>
                <w:bottom w:val="nil"/>
                <w:right w:val="nil"/>
                <w:between w:val="nil"/>
              </w:pBdr>
              <w:spacing w:before="200" w:after="200"/>
              <w:jc w:val="both"/>
              <w:rPr>
                <w:i/>
                <w:color w:val="FF0000"/>
                <w:sz w:val="20"/>
                <w:szCs w:val="20"/>
              </w:rPr>
            </w:pPr>
          </w:p>
          <w:p w14:paraId="1652C2C9" w14:textId="77777777" w:rsidR="00055CF1" w:rsidRDefault="00055CF1" w:rsidP="00055CF1">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154419BC" w14:textId="540B7173"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Modification of investments in debt securities. </w:t>
            </w:r>
            <w:r>
              <w:rPr>
                <w:color w:val="000000"/>
                <w:sz w:val="20"/>
                <w:szCs w:val="20"/>
              </w:rPr>
              <w:t xml:space="preserve">When investments in debt securities are contractually modified (e.g. renegotiated), the Group assesses whether the modification is substantial and should result in derecognition of the original asset and recognition of a new asset at fair value. This assessment is based primarily on qualitative factors, described in the relevant accounting policy and it requires significant judgment. In particular, the Group applies judgment in deciding whether credit impaired renegotiated investments in debt securities should be derecognised and whether the new recognised investments in debt securities should be considered as credit impaired on initial recognition. The derecognition assessment depends on whether the risks and rewards, that is, the variability of expected (rather than contractual) cash flows, change </w:t>
            </w:r>
            <w:proofErr w:type="gramStart"/>
            <w:r>
              <w:rPr>
                <w:color w:val="000000"/>
                <w:sz w:val="20"/>
                <w:szCs w:val="20"/>
              </w:rPr>
              <w:t>as a result of</w:t>
            </w:r>
            <w:proofErr w:type="gramEnd"/>
            <w:r>
              <w:rPr>
                <w:color w:val="000000"/>
                <w:sz w:val="20"/>
                <w:szCs w:val="20"/>
              </w:rPr>
              <w:t xml:space="preserve"> such modifications. Management determined that risks and rewards did not change </w:t>
            </w:r>
            <w:proofErr w:type="gramStart"/>
            <w:r>
              <w:rPr>
                <w:color w:val="000000"/>
                <w:sz w:val="20"/>
                <w:szCs w:val="20"/>
              </w:rPr>
              <w:t>as a result of</w:t>
            </w:r>
            <w:proofErr w:type="gramEnd"/>
            <w:r>
              <w:rPr>
                <w:color w:val="000000"/>
                <w:sz w:val="20"/>
                <w:szCs w:val="20"/>
              </w:rPr>
              <w:t xml:space="preserve"> modifying such investments in debt securities and therefore in substantially all such modifications, the investments in debt securities were neither derecognised nor reclassified out of the credit-impaired stage. </w:t>
            </w:r>
          </w:p>
          <w:p w14:paraId="1212794D" w14:textId="0936BBA2"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Write-off policy. </w:t>
            </w:r>
            <w:r>
              <w:rPr>
                <w:color w:val="000000"/>
                <w:sz w:val="20"/>
                <w:szCs w:val="20"/>
              </w:rPr>
              <w:t>Investments in debt securities are written</w:t>
            </w:r>
            <w:r w:rsidR="00176789">
              <w:rPr>
                <w:color w:val="000000"/>
                <w:sz w:val="20"/>
                <w:szCs w:val="20"/>
              </w:rPr>
              <w:t xml:space="preserve"> </w:t>
            </w:r>
            <w:r>
              <w:rPr>
                <w:color w:val="000000"/>
                <w:sz w:val="20"/>
                <w:szCs w:val="20"/>
              </w:rPr>
              <w:t xml:space="preserve">off, in whole or in part, when the Group exhausted all practical recovery efforts and has concluded that there is no reasonable expectation of recovery. Determining the cash flows for which there is no reasonable expectation of recovery requires judgement. Management considered the following indicators that there is no reasonable expectation of recovery: </w:t>
            </w:r>
            <w:r>
              <w:rPr>
                <w:color w:val="0000FF"/>
                <w:sz w:val="20"/>
                <w:szCs w:val="20"/>
              </w:rPr>
              <w:t>[investments in debt securities being past due over ___ days, liquidation or bankruptcy proceedings, fair value of collateral is less than the costs to repossess it or enforcement activities were completed]</w:t>
            </w:r>
            <w:r>
              <w:rPr>
                <w:color w:val="000000"/>
                <w:sz w:val="20"/>
                <w:szCs w:val="20"/>
              </w:rPr>
              <w:t>.</w:t>
            </w:r>
            <w:r>
              <w:rPr>
                <w:color w:val="0000FF"/>
                <w:sz w:val="20"/>
                <w:szCs w:val="20"/>
              </w:rPr>
              <w:t xml:space="preserve"> </w:t>
            </w:r>
            <w:r>
              <w:rPr>
                <w:color w:val="000000"/>
                <w:sz w:val="20"/>
                <w:szCs w:val="20"/>
              </w:rPr>
              <w:t>Management also considers, based on past practices, that contractual default interest is not collectible for debt securities overdue over ___ days. Therefore, the default interest was written</w:t>
            </w:r>
            <w:r w:rsidR="00176789">
              <w:rPr>
                <w:color w:val="000000"/>
                <w:sz w:val="20"/>
                <w:szCs w:val="20"/>
              </w:rPr>
              <w:t xml:space="preserve"> </w:t>
            </w:r>
            <w:r>
              <w:rPr>
                <w:color w:val="000000"/>
                <w:sz w:val="20"/>
                <w:szCs w:val="20"/>
              </w:rPr>
              <w:t>off from the gross carrying amounts of the respective debt securities.</w:t>
            </w:r>
          </w:p>
        </w:tc>
      </w:tr>
    </w:tbl>
    <w:p w14:paraId="52570CB5" w14:textId="0E08BFCB" w:rsidR="008E5DE4" w:rsidRDefault="008E5DE4">
      <w:pPr>
        <w:widowControl w:val="0"/>
        <w:pBdr>
          <w:top w:val="nil"/>
          <w:left w:val="nil"/>
          <w:bottom w:val="nil"/>
          <w:right w:val="nil"/>
          <w:between w:val="nil"/>
        </w:pBdr>
        <w:spacing w:before="200" w:after="200"/>
        <w:jc w:val="both"/>
        <w:rPr>
          <w:i/>
          <w:color w:val="FF0000"/>
        </w:rPr>
      </w:pPr>
    </w:p>
    <w:tbl>
      <w:tblPr>
        <w:tblStyle w:val="affffff8"/>
        <w:tblW w:w="9355" w:type="dxa"/>
        <w:tblInd w:w="3" w:type="dxa"/>
        <w:tblLayout w:type="fixed"/>
        <w:tblLook w:val="0000" w:firstRow="0" w:lastRow="0" w:firstColumn="0" w:lastColumn="0" w:noHBand="0" w:noVBand="0"/>
      </w:tblPr>
      <w:tblGrid>
        <w:gridCol w:w="6293"/>
        <w:gridCol w:w="1531"/>
        <w:gridCol w:w="1531"/>
      </w:tblGrid>
      <w:tr w:rsidR="008E5DE4" w14:paraId="50F650AD" w14:textId="77777777">
        <w:trPr>
          <w:cantSplit/>
        </w:trPr>
        <w:tc>
          <w:tcPr>
            <w:tcW w:w="6293" w:type="dxa"/>
            <w:tcBorders>
              <w:bottom w:val="single" w:sz="4" w:space="0" w:color="000000"/>
            </w:tcBorders>
            <w:vAlign w:val="bottom"/>
          </w:tcPr>
          <w:p w14:paraId="708F64E0"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531" w:type="dxa"/>
            <w:tcBorders>
              <w:bottom w:val="single" w:sz="4" w:space="0" w:color="000000"/>
            </w:tcBorders>
            <w:vAlign w:val="bottom"/>
          </w:tcPr>
          <w:p w14:paraId="481DDF82" w14:textId="262375AC" w:rsidR="008E5DE4" w:rsidRDefault="00780368">
            <w:pPr>
              <w:widowControl w:val="0"/>
              <w:pBdr>
                <w:top w:val="nil"/>
                <w:left w:val="nil"/>
                <w:bottom w:val="nil"/>
                <w:right w:val="nil"/>
                <w:between w:val="nil"/>
              </w:pBdr>
              <w:jc w:val="right"/>
              <w:rPr>
                <w:b/>
                <w:color w:val="000000"/>
              </w:rPr>
            </w:pPr>
            <w:r>
              <w:rPr>
                <w:b/>
                <w:color w:val="000000"/>
              </w:rPr>
              <w:t xml:space="preserve">31 December </w:t>
            </w:r>
            <w:r w:rsidR="008614F8">
              <w:rPr>
                <w:b/>
                <w:color w:val="000000"/>
              </w:rPr>
              <w:t>2025</w:t>
            </w:r>
          </w:p>
        </w:tc>
        <w:tc>
          <w:tcPr>
            <w:tcW w:w="1531" w:type="dxa"/>
            <w:tcBorders>
              <w:bottom w:val="single" w:sz="4" w:space="0" w:color="000000"/>
            </w:tcBorders>
            <w:vAlign w:val="bottom"/>
          </w:tcPr>
          <w:p w14:paraId="3D145B10" w14:textId="1E1EFE91" w:rsidR="008E5DE4" w:rsidRDefault="00780368">
            <w:pPr>
              <w:widowControl w:val="0"/>
              <w:pBdr>
                <w:top w:val="nil"/>
                <w:left w:val="nil"/>
                <w:bottom w:val="nil"/>
                <w:right w:val="nil"/>
                <w:between w:val="nil"/>
              </w:pBdr>
              <w:jc w:val="right"/>
              <w:rPr>
                <w:b/>
                <w:color w:val="000000"/>
              </w:rPr>
            </w:pPr>
            <w:r>
              <w:rPr>
                <w:b/>
                <w:color w:val="000000"/>
              </w:rPr>
              <w:t xml:space="preserve">31 December </w:t>
            </w:r>
            <w:r w:rsidR="00FF468A">
              <w:rPr>
                <w:b/>
                <w:color w:val="000000"/>
              </w:rPr>
              <w:t>2024</w:t>
            </w:r>
          </w:p>
        </w:tc>
      </w:tr>
      <w:tr w:rsidR="008E5DE4" w14:paraId="56666D00" w14:textId="77777777">
        <w:trPr>
          <w:cantSplit/>
        </w:trPr>
        <w:tc>
          <w:tcPr>
            <w:tcW w:w="6293" w:type="dxa"/>
            <w:vAlign w:val="bottom"/>
          </w:tcPr>
          <w:p w14:paraId="1481CADA" w14:textId="77777777" w:rsidR="008E5DE4" w:rsidRDefault="00780368">
            <w:pPr>
              <w:widowControl w:val="0"/>
              <w:pBdr>
                <w:top w:val="nil"/>
                <w:left w:val="nil"/>
                <w:bottom w:val="nil"/>
                <w:right w:val="nil"/>
                <w:between w:val="nil"/>
              </w:pBdr>
              <w:rPr>
                <w:i/>
                <w:color w:val="000000"/>
              </w:rPr>
            </w:pPr>
            <w:r>
              <w:rPr>
                <w:i/>
                <w:color w:val="000000"/>
              </w:rPr>
              <w:t> </w:t>
            </w:r>
          </w:p>
        </w:tc>
        <w:tc>
          <w:tcPr>
            <w:tcW w:w="1531" w:type="dxa"/>
            <w:vAlign w:val="bottom"/>
          </w:tcPr>
          <w:p w14:paraId="524FC40B" w14:textId="77777777" w:rsidR="008E5DE4" w:rsidRDefault="008E5DE4">
            <w:pPr>
              <w:widowControl w:val="0"/>
              <w:pBdr>
                <w:top w:val="nil"/>
                <w:left w:val="nil"/>
                <w:bottom w:val="nil"/>
                <w:right w:val="nil"/>
                <w:between w:val="nil"/>
              </w:pBdr>
              <w:rPr>
                <w:i/>
                <w:color w:val="000000"/>
              </w:rPr>
            </w:pPr>
          </w:p>
        </w:tc>
        <w:tc>
          <w:tcPr>
            <w:tcW w:w="1531" w:type="dxa"/>
            <w:vAlign w:val="bottom"/>
          </w:tcPr>
          <w:p w14:paraId="5920B256" w14:textId="77777777" w:rsidR="008E5DE4" w:rsidRDefault="008E5DE4">
            <w:pPr>
              <w:widowControl w:val="0"/>
              <w:pBdr>
                <w:top w:val="nil"/>
                <w:left w:val="nil"/>
                <w:bottom w:val="nil"/>
                <w:right w:val="nil"/>
                <w:between w:val="nil"/>
              </w:pBdr>
              <w:rPr>
                <w:i/>
                <w:color w:val="000000"/>
              </w:rPr>
            </w:pPr>
          </w:p>
        </w:tc>
      </w:tr>
      <w:tr w:rsidR="008E5DE4" w14:paraId="4E2A5FFE" w14:textId="77777777">
        <w:trPr>
          <w:cantSplit/>
        </w:trPr>
        <w:tc>
          <w:tcPr>
            <w:tcW w:w="6293" w:type="dxa"/>
            <w:vAlign w:val="bottom"/>
          </w:tcPr>
          <w:p w14:paraId="32707816" w14:textId="77777777" w:rsidR="008E5DE4" w:rsidRDefault="00780368">
            <w:pPr>
              <w:widowControl w:val="0"/>
              <w:pBdr>
                <w:top w:val="nil"/>
                <w:left w:val="nil"/>
                <w:bottom w:val="nil"/>
                <w:right w:val="nil"/>
                <w:between w:val="nil"/>
              </w:pBdr>
              <w:rPr>
                <w:color w:val="000000"/>
              </w:rPr>
            </w:pPr>
            <w:r>
              <w:rPr>
                <w:color w:val="000000"/>
              </w:rPr>
              <w:t>Debt securities mandatorily measured at FVTPL</w:t>
            </w:r>
          </w:p>
        </w:tc>
        <w:tc>
          <w:tcPr>
            <w:tcW w:w="1531" w:type="dxa"/>
            <w:vAlign w:val="bottom"/>
          </w:tcPr>
          <w:p w14:paraId="1FBBAABA" w14:textId="77777777" w:rsidR="008E5DE4" w:rsidRDefault="008E5DE4">
            <w:pPr>
              <w:widowControl w:val="0"/>
              <w:pBdr>
                <w:top w:val="nil"/>
                <w:left w:val="nil"/>
                <w:bottom w:val="nil"/>
                <w:right w:val="nil"/>
                <w:between w:val="nil"/>
              </w:pBdr>
              <w:jc w:val="right"/>
              <w:rPr>
                <w:color w:val="000000"/>
                <w:sz w:val="16"/>
                <w:szCs w:val="16"/>
              </w:rPr>
            </w:pPr>
          </w:p>
        </w:tc>
        <w:tc>
          <w:tcPr>
            <w:tcW w:w="1531" w:type="dxa"/>
            <w:vAlign w:val="bottom"/>
          </w:tcPr>
          <w:p w14:paraId="7D916707" w14:textId="77777777" w:rsidR="008E5DE4" w:rsidRDefault="008E5DE4">
            <w:pPr>
              <w:widowControl w:val="0"/>
              <w:pBdr>
                <w:top w:val="nil"/>
                <w:left w:val="nil"/>
                <w:bottom w:val="nil"/>
                <w:right w:val="nil"/>
                <w:between w:val="nil"/>
              </w:pBdr>
              <w:jc w:val="right"/>
              <w:rPr>
                <w:color w:val="000000"/>
              </w:rPr>
            </w:pPr>
          </w:p>
        </w:tc>
      </w:tr>
      <w:tr w:rsidR="008E5DE4" w14:paraId="17FBDB11" w14:textId="77777777">
        <w:trPr>
          <w:cantSplit/>
        </w:trPr>
        <w:tc>
          <w:tcPr>
            <w:tcW w:w="6293" w:type="dxa"/>
            <w:vAlign w:val="bottom"/>
          </w:tcPr>
          <w:p w14:paraId="4AB17534" w14:textId="77777777" w:rsidR="008E5DE4" w:rsidRDefault="00780368">
            <w:pPr>
              <w:widowControl w:val="0"/>
              <w:pBdr>
                <w:top w:val="nil"/>
                <w:left w:val="nil"/>
                <w:bottom w:val="nil"/>
                <w:right w:val="nil"/>
                <w:between w:val="nil"/>
              </w:pBdr>
              <w:rPr>
                <w:color w:val="000000"/>
              </w:rPr>
            </w:pPr>
            <w:r>
              <w:rPr>
                <w:color w:val="000000"/>
              </w:rPr>
              <w:t>Debt securities designated as at FVTPL at initial recognition</w:t>
            </w:r>
          </w:p>
        </w:tc>
        <w:tc>
          <w:tcPr>
            <w:tcW w:w="1531" w:type="dxa"/>
            <w:vAlign w:val="bottom"/>
          </w:tcPr>
          <w:p w14:paraId="14EA353E" w14:textId="77777777" w:rsidR="008E5DE4" w:rsidRDefault="008E5DE4">
            <w:pPr>
              <w:widowControl w:val="0"/>
              <w:pBdr>
                <w:top w:val="nil"/>
                <w:left w:val="nil"/>
                <w:bottom w:val="nil"/>
                <w:right w:val="nil"/>
                <w:between w:val="nil"/>
              </w:pBdr>
              <w:jc w:val="right"/>
              <w:rPr>
                <w:color w:val="000000"/>
                <w:sz w:val="16"/>
                <w:szCs w:val="16"/>
              </w:rPr>
            </w:pPr>
          </w:p>
        </w:tc>
        <w:tc>
          <w:tcPr>
            <w:tcW w:w="1531" w:type="dxa"/>
            <w:vAlign w:val="bottom"/>
          </w:tcPr>
          <w:p w14:paraId="78094DD5" w14:textId="77777777" w:rsidR="008E5DE4" w:rsidRDefault="008E5DE4">
            <w:pPr>
              <w:widowControl w:val="0"/>
              <w:pBdr>
                <w:top w:val="nil"/>
                <w:left w:val="nil"/>
                <w:bottom w:val="nil"/>
                <w:right w:val="nil"/>
                <w:between w:val="nil"/>
              </w:pBdr>
              <w:jc w:val="right"/>
              <w:rPr>
                <w:color w:val="000000"/>
              </w:rPr>
            </w:pPr>
          </w:p>
        </w:tc>
      </w:tr>
      <w:tr w:rsidR="008E5DE4" w14:paraId="1947077C" w14:textId="77777777">
        <w:trPr>
          <w:cantSplit/>
        </w:trPr>
        <w:tc>
          <w:tcPr>
            <w:tcW w:w="6293" w:type="dxa"/>
            <w:vAlign w:val="bottom"/>
          </w:tcPr>
          <w:p w14:paraId="340FEA3A" w14:textId="77777777" w:rsidR="008E5DE4" w:rsidRDefault="00780368">
            <w:pPr>
              <w:widowControl w:val="0"/>
              <w:pBdr>
                <w:top w:val="nil"/>
                <w:left w:val="nil"/>
                <w:bottom w:val="nil"/>
                <w:right w:val="nil"/>
                <w:between w:val="nil"/>
              </w:pBdr>
              <w:rPr>
                <w:color w:val="000000"/>
              </w:rPr>
            </w:pPr>
            <w:r>
              <w:rPr>
                <w:color w:val="000000"/>
              </w:rPr>
              <w:t>Debt securities at FVOCI</w:t>
            </w:r>
          </w:p>
        </w:tc>
        <w:tc>
          <w:tcPr>
            <w:tcW w:w="1531" w:type="dxa"/>
            <w:vAlign w:val="bottom"/>
          </w:tcPr>
          <w:p w14:paraId="61997EBF" w14:textId="77777777" w:rsidR="008E5DE4" w:rsidRDefault="008E5DE4">
            <w:pPr>
              <w:widowControl w:val="0"/>
              <w:pBdr>
                <w:top w:val="nil"/>
                <w:left w:val="nil"/>
                <w:bottom w:val="nil"/>
                <w:right w:val="nil"/>
                <w:between w:val="nil"/>
              </w:pBdr>
              <w:jc w:val="right"/>
              <w:rPr>
                <w:color w:val="000000"/>
                <w:sz w:val="16"/>
                <w:szCs w:val="16"/>
              </w:rPr>
            </w:pPr>
          </w:p>
        </w:tc>
        <w:tc>
          <w:tcPr>
            <w:tcW w:w="1531" w:type="dxa"/>
            <w:vAlign w:val="bottom"/>
          </w:tcPr>
          <w:p w14:paraId="58A050C2" w14:textId="77777777" w:rsidR="008E5DE4" w:rsidRDefault="008E5DE4">
            <w:pPr>
              <w:widowControl w:val="0"/>
              <w:pBdr>
                <w:top w:val="nil"/>
                <w:left w:val="nil"/>
                <w:bottom w:val="nil"/>
                <w:right w:val="nil"/>
                <w:between w:val="nil"/>
              </w:pBdr>
              <w:jc w:val="right"/>
              <w:rPr>
                <w:color w:val="000000"/>
              </w:rPr>
            </w:pPr>
          </w:p>
        </w:tc>
      </w:tr>
      <w:tr w:rsidR="008E5DE4" w14:paraId="790A3DCE" w14:textId="77777777">
        <w:trPr>
          <w:cantSplit/>
        </w:trPr>
        <w:tc>
          <w:tcPr>
            <w:tcW w:w="6293" w:type="dxa"/>
            <w:vAlign w:val="bottom"/>
          </w:tcPr>
          <w:p w14:paraId="54F6CDD4" w14:textId="77777777" w:rsidR="008E5DE4" w:rsidRDefault="00780368">
            <w:pPr>
              <w:widowControl w:val="0"/>
              <w:pBdr>
                <w:top w:val="nil"/>
                <w:left w:val="nil"/>
                <w:bottom w:val="nil"/>
                <w:right w:val="nil"/>
                <w:between w:val="nil"/>
              </w:pBdr>
              <w:rPr>
                <w:i/>
                <w:color w:val="000000"/>
              </w:rPr>
            </w:pPr>
            <w:r>
              <w:rPr>
                <w:color w:val="000000"/>
              </w:rPr>
              <w:t>Debt securities at AC</w:t>
            </w:r>
          </w:p>
        </w:tc>
        <w:tc>
          <w:tcPr>
            <w:tcW w:w="1531" w:type="dxa"/>
            <w:vAlign w:val="bottom"/>
          </w:tcPr>
          <w:p w14:paraId="1B43172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7DD1F64" w14:textId="77777777" w:rsidR="008E5DE4" w:rsidRDefault="008E5DE4">
            <w:pPr>
              <w:widowControl w:val="0"/>
              <w:pBdr>
                <w:top w:val="nil"/>
                <w:left w:val="nil"/>
                <w:bottom w:val="nil"/>
                <w:right w:val="nil"/>
                <w:between w:val="nil"/>
              </w:pBdr>
              <w:jc w:val="right"/>
              <w:rPr>
                <w:color w:val="000000"/>
              </w:rPr>
            </w:pPr>
          </w:p>
        </w:tc>
      </w:tr>
      <w:tr w:rsidR="008E5DE4" w14:paraId="5C14F522" w14:textId="77777777">
        <w:trPr>
          <w:cantSplit/>
        </w:trPr>
        <w:tc>
          <w:tcPr>
            <w:tcW w:w="6293" w:type="dxa"/>
            <w:tcBorders>
              <w:bottom w:val="single" w:sz="4" w:space="0" w:color="000000"/>
            </w:tcBorders>
            <w:vAlign w:val="bottom"/>
          </w:tcPr>
          <w:p w14:paraId="18F1F90E" w14:textId="77777777" w:rsidR="008E5DE4" w:rsidRDefault="00780368">
            <w:pPr>
              <w:widowControl w:val="0"/>
              <w:pBdr>
                <w:top w:val="nil"/>
                <w:left w:val="nil"/>
                <w:bottom w:val="nil"/>
                <w:right w:val="nil"/>
                <w:between w:val="nil"/>
              </w:pBdr>
              <w:rPr>
                <w:i/>
                <w:color w:val="000000"/>
              </w:rPr>
            </w:pPr>
            <w:r>
              <w:rPr>
                <w:i/>
                <w:color w:val="000000"/>
              </w:rPr>
              <w:t> </w:t>
            </w:r>
          </w:p>
        </w:tc>
        <w:tc>
          <w:tcPr>
            <w:tcW w:w="1531" w:type="dxa"/>
            <w:tcBorders>
              <w:bottom w:val="single" w:sz="4" w:space="0" w:color="000000"/>
            </w:tcBorders>
            <w:vAlign w:val="bottom"/>
          </w:tcPr>
          <w:p w14:paraId="15EC533F"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26426477" w14:textId="77777777" w:rsidR="008E5DE4" w:rsidRDefault="008E5DE4">
            <w:pPr>
              <w:widowControl w:val="0"/>
              <w:pBdr>
                <w:top w:val="nil"/>
                <w:left w:val="nil"/>
                <w:bottom w:val="nil"/>
                <w:right w:val="nil"/>
                <w:between w:val="nil"/>
              </w:pBdr>
              <w:jc w:val="right"/>
              <w:rPr>
                <w:color w:val="000000"/>
              </w:rPr>
            </w:pPr>
          </w:p>
        </w:tc>
      </w:tr>
      <w:tr w:rsidR="008E5DE4" w14:paraId="0C1B93C3" w14:textId="77777777">
        <w:trPr>
          <w:cantSplit/>
        </w:trPr>
        <w:tc>
          <w:tcPr>
            <w:tcW w:w="6293" w:type="dxa"/>
            <w:tcBorders>
              <w:top w:val="single" w:sz="4" w:space="0" w:color="000000"/>
            </w:tcBorders>
            <w:vAlign w:val="bottom"/>
          </w:tcPr>
          <w:p w14:paraId="2B0CF344" w14:textId="77777777" w:rsidR="008E5DE4" w:rsidRDefault="00780368">
            <w:pPr>
              <w:widowControl w:val="0"/>
              <w:pBdr>
                <w:top w:val="nil"/>
                <w:left w:val="nil"/>
                <w:bottom w:val="nil"/>
                <w:right w:val="nil"/>
                <w:between w:val="nil"/>
              </w:pBdr>
              <w:rPr>
                <w:i/>
                <w:color w:val="000000"/>
              </w:rPr>
            </w:pPr>
            <w:r>
              <w:rPr>
                <w:i/>
                <w:color w:val="000000"/>
              </w:rPr>
              <w:t> </w:t>
            </w:r>
          </w:p>
        </w:tc>
        <w:tc>
          <w:tcPr>
            <w:tcW w:w="1531" w:type="dxa"/>
            <w:tcBorders>
              <w:top w:val="single" w:sz="4" w:space="0" w:color="000000"/>
            </w:tcBorders>
            <w:vAlign w:val="bottom"/>
          </w:tcPr>
          <w:p w14:paraId="2ADD5058"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0760153E" w14:textId="77777777" w:rsidR="008E5DE4" w:rsidRDefault="008E5DE4">
            <w:pPr>
              <w:widowControl w:val="0"/>
              <w:pBdr>
                <w:top w:val="nil"/>
                <w:left w:val="nil"/>
                <w:bottom w:val="nil"/>
                <w:right w:val="nil"/>
                <w:between w:val="nil"/>
              </w:pBdr>
              <w:jc w:val="right"/>
              <w:rPr>
                <w:color w:val="000000"/>
              </w:rPr>
            </w:pPr>
          </w:p>
        </w:tc>
      </w:tr>
      <w:tr w:rsidR="008E5DE4" w14:paraId="1D9BEC5A" w14:textId="77777777">
        <w:trPr>
          <w:cantSplit/>
        </w:trPr>
        <w:tc>
          <w:tcPr>
            <w:tcW w:w="6293" w:type="dxa"/>
            <w:vAlign w:val="bottom"/>
          </w:tcPr>
          <w:p w14:paraId="19006813" w14:textId="77777777" w:rsidR="008E5DE4" w:rsidRDefault="00780368">
            <w:pPr>
              <w:widowControl w:val="0"/>
              <w:pBdr>
                <w:top w:val="nil"/>
                <w:left w:val="nil"/>
                <w:bottom w:val="nil"/>
                <w:right w:val="nil"/>
                <w:between w:val="nil"/>
              </w:pBdr>
              <w:rPr>
                <w:i/>
                <w:color w:val="000000"/>
              </w:rPr>
            </w:pPr>
            <w:r>
              <w:rPr>
                <w:b/>
                <w:color w:val="000000"/>
              </w:rPr>
              <w:t xml:space="preserve">Total investments in debt securities </w:t>
            </w:r>
          </w:p>
        </w:tc>
        <w:tc>
          <w:tcPr>
            <w:tcW w:w="1531" w:type="dxa"/>
            <w:vAlign w:val="bottom"/>
          </w:tcPr>
          <w:p w14:paraId="3FA5584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538582F" w14:textId="77777777" w:rsidR="008E5DE4" w:rsidRDefault="008E5DE4">
            <w:pPr>
              <w:widowControl w:val="0"/>
              <w:pBdr>
                <w:top w:val="nil"/>
                <w:left w:val="nil"/>
                <w:bottom w:val="nil"/>
                <w:right w:val="nil"/>
                <w:between w:val="nil"/>
              </w:pBdr>
              <w:jc w:val="right"/>
              <w:rPr>
                <w:color w:val="000000"/>
              </w:rPr>
            </w:pPr>
          </w:p>
        </w:tc>
      </w:tr>
      <w:tr w:rsidR="008E5DE4" w14:paraId="5A2334C0" w14:textId="77777777">
        <w:trPr>
          <w:cantSplit/>
        </w:trPr>
        <w:tc>
          <w:tcPr>
            <w:tcW w:w="6293" w:type="dxa"/>
            <w:tcBorders>
              <w:bottom w:val="single" w:sz="12" w:space="0" w:color="000000"/>
            </w:tcBorders>
            <w:vAlign w:val="bottom"/>
          </w:tcPr>
          <w:p w14:paraId="01C6F40B" w14:textId="77777777" w:rsidR="008E5DE4" w:rsidRDefault="008E5DE4">
            <w:pPr>
              <w:widowControl w:val="0"/>
              <w:pBdr>
                <w:top w:val="nil"/>
                <w:left w:val="nil"/>
                <w:bottom w:val="nil"/>
                <w:right w:val="nil"/>
                <w:between w:val="nil"/>
              </w:pBdr>
              <w:rPr>
                <w:i/>
                <w:color w:val="000000"/>
              </w:rPr>
            </w:pPr>
          </w:p>
        </w:tc>
        <w:tc>
          <w:tcPr>
            <w:tcW w:w="1531" w:type="dxa"/>
            <w:tcBorders>
              <w:bottom w:val="single" w:sz="12" w:space="0" w:color="000000"/>
            </w:tcBorders>
            <w:vAlign w:val="bottom"/>
          </w:tcPr>
          <w:p w14:paraId="488CF814" w14:textId="77777777" w:rsidR="008E5DE4" w:rsidRDefault="008E5DE4">
            <w:pPr>
              <w:widowControl w:val="0"/>
              <w:pBdr>
                <w:top w:val="nil"/>
                <w:left w:val="nil"/>
                <w:bottom w:val="nil"/>
                <w:right w:val="nil"/>
                <w:between w:val="nil"/>
              </w:pBdr>
              <w:rPr>
                <w:color w:val="000000"/>
              </w:rPr>
            </w:pPr>
          </w:p>
        </w:tc>
        <w:tc>
          <w:tcPr>
            <w:tcW w:w="1531" w:type="dxa"/>
            <w:tcBorders>
              <w:bottom w:val="single" w:sz="12" w:space="0" w:color="000000"/>
            </w:tcBorders>
            <w:vAlign w:val="bottom"/>
          </w:tcPr>
          <w:p w14:paraId="6315E5F1" w14:textId="77777777" w:rsidR="008E5DE4" w:rsidRDefault="008E5DE4">
            <w:pPr>
              <w:widowControl w:val="0"/>
              <w:pBdr>
                <w:top w:val="nil"/>
                <w:left w:val="nil"/>
                <w:bottom w:val="nil"/>
                <w:right w:val="nil"/>
                <w:between w:val="nil"/>
              </w:pBdr>
              <w:rPr>
                <w:color w:val="000000"/>
              </w:rPr>
            </w:pPr>
          </w:p>
        </w:tc>
      </w:tr>
    </w:tbl>
    <w:p w14:paraId="13ABA0AA"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3A3F5759" w14:textId="21365AA1"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table below discloses investments in debt securities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by measurement categories and classes:</w:t>
      </w:r>
    </w:p>
    <w:tbl>
      <w:tblPr>
        <w:tblStyle w:val="affffff9"/>
        <w:tblW w:w="9412" w:type="dxa"/>
        <w:tblLayout w:type="fixed"/>
        <w:tblLook w:val="0000" w:firstRow="0" w:lastRow="0" w:firstColumn="0" w:lastColumn="0" w:noHBand="0" w:noVBand="0"/>
      </w:tblPr>
      <w:tblGrid>
        <w:gridCol w:w="3742"/>
        <w:gridCol w:w="1191"/>
        <w:gridCol w:w="1191"/>
        <w:gridCol w:w="1077"/>
        <w:gridCol w:w="1077"/>
        <w:gridCol w:w="1134"/>
      </w:tblGrid>
      <w:tr w:rsidR="008E5DE4" w14:paraId="793B37F2" w14:textId="77777777">
        <w:trPr>
          <w:cantSplit/>
        </w:trPr>
        <w:tc>
          <w:tcPr>
            <w:tcW w:w="3742" w:type="dxa"/>
            <w:tcBorders>
              <w:bottom w:val="single" w:sz="4" w:space="0" w:color="000000"/>
            </w:tcBorders>
            <w:vAlign w:val="bottom"/>
          </w:tcPr>
          <w:p w14:paraId="2B06D703"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91" w:type="dxa"/>
            <w:tcBorders>
              <w:bottom w:val="single" w:sz="4" w:space="0" w:color="000000"/>
            </w:tcBorders>
          </w:tcPr>
          <w:p w14:paraId="40735439" w14:textId="77777777" w:rsidR="008E5DE4" w:rsidRDefault="00780368">
            <w:pPr>
              <w:widowControl w:val="0"/>
              <w:pBdr>
                <w:top w:val="nil"/>
                <w:left w:val="nil"/>
                <w:bottom w:val="nil"/>
                <w:right w:val="nil"/>
                <w:between w:val="nil"/>
              </w:pBdr>
              <w:ind w:left="-113"/>
              <w:jc w:val="right"/>
              <w:rPr>
                <w:b/>
                <w:color w:val="000000"/>
              </w:rPr>
            </w:pPr>
            <w:r>
              <w:rPr>
                <w:b/>
                <w:color w:val="000000"/>
              </w:rPr>
              <w:t>Debt securities mandatorily measured at FVTPL</w:t>
            </w:r>
          </w:p>
        </w:tc>
        <w:tc>
          <w:tcPr>
            <w:tcW w:w="1191" w:type="dxa"/>
            <w:tcBorders>
              <w:bottom w:val="single" w:sz="4" w:space="0" w:color="000000"/>
            </w:tcBorders>
          </w:tcPr>
          <w:p w14:paraId="2372E926" w14:textId="77777777" w:rsidR="008E5DE4" w:rsidRDefault="00780368">
            <w:pPr>
              <w:widowControl w:val="0"/>
              <w:pBdr>
                <w:top w:val="nil"/>
                <w:left w:val="nil"/>
                <w:bottom w:val="nil"/>
                <w:right w:val="nil"/>
                <w:between w:val="nil"/>
              </w:pBdr>
              <w:ind w:left="-113"/>
              <w:jc w:val="right"/>
              <w:rPr>
                <w:b/>
                <w:color w:val="000000"/>
              </w:rPr>
            </w:pPr>
            <w:r>
              <w:rPr>
                <w:b/>
                <w:color w:val="000000"/>
              </w:rPr>
              <w:t>Debt securities designated as at FVTPL at initial recognition</w:t>
            </w:r>
          </w:p>
        </w:tc>
        <w:tc>
          <w:tcPr>
            <w:tcW w:w="1077" w:type="dxa"/>
            <w:tcBorders>
              <w:bottom w:val="single" w:sz="4" w:space="0" w:color="000000"/>
            </w:tcBorders>
          </w:tcPr>
          <w:p w14:paraId="0A671380" w14:textId="77777777" w:rsidR="008E5DE4" w:rsidRDefault="00780368">
            <w:pPr>
              <w:widowControl w:val="0"/>
              <w:pBdr>
                <w:top w:val="nil"/>
                <w:left w:val="nil"/>
                <w:bottom w:val="nil"/>
                <w:right w:val="nil"/>
                <w:between w:val="nil"/>
              </w:pBdr>
              <w:ind w:left="-113"/>
              <w:jc w:val="right"/>
              <w:rPr>
                <w:b/>
                <w:color w:val="000000"/>
              </w:rPr>
            </w:pPr>
            <w:r>
              <w:rPr>
                <w:b/>
                <w:color w:val="000000"/>
              </w:rPr>
              <w:t>Debt securities at FVOCI</w:t>
            </w:r>
          </w:p>
        </w:tc>
        <w:tc>
          <w:tcPr>
            <w:tcW w:w="1077" w:type="dxa"/>
            <w:tcBorders>
              <w:bottom w:val="single" w:sz="4" w:space="0" w:color="000000"/>
            </w:tcBorders>
          </w:tcPr>
          <w:p w14:paraId="2F63CDEC" w14:textId="77777777" w:rsidR="008E5DE4" w:rsidRDefault="00780368">
            <w:pPr>
              <w:widowControl w:val="0"/>
              <w:pBdr>
                <w:top w:val="nil"/>
                <w:left w:val="nil"/>
                <w:bottom w:val="nil"/>
                <w:right w:val="nil"/>
                <w:between w:val="nil"/>
              </w:pBdr>
              <w:ind w:left="-113"/>
              <w:jc w:val="right"/>
              <w:rPr>
                <w:b/>
                <w:color w:val="000000"/>
              </w:rPr>
            </w:pPr>
            <w:r>
              <w:rPr>
                <w:b/>
                <w:color w:val="000000"/>
              </w:rPr>
              <w:t>Debt securities at AC</w:t>
            </w:r>
          </w:p>
        </w:tc>
        <w:tc>
          <w:tcPr>
            <w:tcW w:w="1134" w:type="dxa"/>
            <w:tcBorders>
              <w:bottom w:val="single" w:sz="4" w:space="0" w:color="000000"/>
            </w:tcBorders>
          </w:tcPr>
          <w:p w14:paraId="22DFA7F5"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6F81FB4D" w14:textId="77777777">
        <w:trPr>
          <w:cantSplit/>
        </w:trPr>
        <w:tc>
          <w:tcPr>
            <w:tcW w:w="3742" w:type="dxa"/>
            <w:vAlign w:val="bottom"/>
          </w:tcPr>
          <w:p w14:paraId="6FDE25DD" w14:textId="77777777" w:rsidR="008E5DE4" w:rsidRDefault="00780368">
            <w:pPr>
              <w:widowControl w:val="0"/>
              <w:ind w:left="113" w:right="-57" w:hanging="113"/>
              <w:rPr>
                <w:b/>
                <w:u w:val="single"/>
              </w:rPr>
            </w:pPr>
            <w:r>
              <w:t> </w:t>
            </w:r>
          </w:p>
        </w:tc>
        <w:tc>
          <w:tcPr>
            <w:tcW w:w="1191" w:type="dxa"/>
            <w:vAlign w:val="bottom"/>
          </w:tcPr>
          <w:p w14:paraId="385F7F4E" w14:textId="77777777" w:rsidR="008E5DE4" w:rsidRDefault="008E5DE4">
            <w:pPr>
              <w:widowControl w:val="0"/>
              <w:jc w:val="right"/>
            </w:pPr>
          </w:p>
        </w:tc>
        <w:tc>
          <w:tcPr>
            <w:tcW w:w="1191" w:type="dxa"/>
            <w:vAlign w:val="bottom"/>
          </w:tcPr>
          <w:p w14:paraId="42A39C17" w14:textId="77777777" w:rsidR="008E5DE4" w:rsidRDefault="008E5DE4">
            <w:pPr>
              <w:widowControl w:val="0"/>
              <w:jc w:val="right"/>
            </w:pPr>
          </w:p>
        </w:tc>
        <w:tc>
          <w:tcPr>
            <w:tcW w:w="1077" w:type="dxa"/>
            <w:vAlign w:val="bottom"/>
          </w:tcPr>
          <w:p w14:paraId="19A80682" w14:textId="77777777" w:rsidR="008E5DE4" w:rsidRDefault="008E5DE4">
            <w:pPr>
              <w:widowControl w:val="0"/>
              <w:jc w:val="right"/>
            </w:pPr>
          </w:p>
        </w:tc>
        <w:tc>
          <w:tcPr>
            <w:tcW w:w="1077" w:type="dxa"/>
            <w:vAlign w:val="bottom"/>
          </w:tcPr>
          <w:p w14:paraId="5E0E6F22" w14:textId="77777777" w:rsidR="008E5DE4" w:rsidRDefault="008E5DE4">
            <w:pPr>
              <w:widowControl w:val="0"/>
              <w:jc w:val="right"/>
            </w:pPr>
          </w:p>
        </w:tc>
        <w:tc>
          <w:tcPr>
            <w:tcW w:w="1134" w:type="dxa"/>
            <w:vAlign w:val="bottom"/>
          </w:tcPr>
          <w:p w14:paraId="6ACA573F" w14:textId="77777777" w:rsidR="008E5DE4" w:rsidRDefault="008E5DE4">
            <w:pPr>
              <w:widowControl w:val="0"/>
              <w:jc w:val="right"/>
            </w:pPr>
          </w:p>
        </w:tc>
      </w:tr>
      <w:tr w:rsidR="008E5DE4" w14:paraId="7199F893" w14:textId="77777777">
        <w:trPr>
          <w:cantSplit/>
        </w:trPr>
        <w:tc>
          <w:tcPr>
            <w:tcW w:w="3742" w:type="dxa"/>
            <w:vAlign w:val="bottom"/>
          </w:tcPr>
          <w:p w14:paraId="6892BD12" w14:textId="77777777" w:rsidR="008E5DE4" w:rsidRDefault="00780368">
            <w:pPr>
              <w:widowControl w:val="0"/>
              <w:pBdr>
                <w:top w:val="nil"/>
                <w:left w:val="nil"/>
                <w:bottom w:val="nil"/>
                <w:right w:val="nil"/>
                <w:between w:val="nil"/>
              </w:pBdr>
              <w:ind w:left="113" w:right="-57" w:hanging="113"/>
              <w:rPr>
                <w:color w:val="000000"/>
              </w:rPr>
            </w:pPr>
            <w:r>
              <w:rPr>
                <w:color w:val="0000FF"/>
              </w:rPr>
              <w:t>[Country]</w:t>
            </w:r>
            <w:r>
              <w:rPr>
                <w:color w:val="000000"/>
              </w:rPr>
              <w:t xml:space="preserve"> government bonds</w:t>
            </w:r>
          </w:p>
        </w:tc>
        <w:tc>
          <w:tcPr>
            <w:tcW w:w="1191" w:type="dxa"/>
            <w:vAlign w:val="bottom"/>
          </w:tcPr>
          <w:p w14:paraId="606C3E5E"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33A18C6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793B5E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8B6A6D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22ADE2A" w14:textId="77777777" w:rsidR="008E5DE4" w:rsidRDefault="008E5DE4">
            <w:pPr>
              <w:widowControl w:val="0"/>
              <w:pBdr>
                <w:top w:val="nil"/>
                <w:left w:val="nil"/>
                <w:bottom w:val="nil"/>
                <w:right w:val="nil"/>
                <w:between w:val="nil"/>
              </w:pBdr>
              <w:jc w:val="right"/>
              <w:rPr>
                <w:color w:val="000000"/>
              </w:rPr>
            </w:pPr>
          </w:p>
        </w:tc>
      </w:tr>
      <w:tr w:rsidR="008E5DE4" w14:paraId="55BBBEE3" w14:textId="77777777">
        <w:trPr>
          <w:cantSplit/>
        </w:trPr>
        <w:tc>
          <w:tcPr>
            <w:tcW w:w="3742" w:type="dxa"/>
            <w:vAlign w:val="bottom"/>
          </w:tcPr>
          <w:p w14:paraId="3AE22167" w14:textId="77777777" w:rsidR="008E5DE4" w:rsidRDefault="00780368">
            <w:pPr>
              <w:widowControl w:val="0"/>
              <w:pBdr>
                <w:top w:val="nil"/>
                <w:left w:val="nil"/>
                <w:bottom w:val="nil"/>
                <w:right w:val="nil"/>
                <w:between w:val="nil"/>
              </w:pBdr>
              <w:ind w:left="113" w:right="-57" w:hanging="113"/>
              <w:rPr>
                <w:color w:val="000000"/>
              </w:rPr>
            </w:pPr>
            <w:r>
              <w:rPr>
                <w:color w:val="000000"/>
              </w:rPr>
              <w:t>Municipal bonds</w:t>
            </w:r>
          </w:p>
        </w:tc>
        <w:tc>
          <w:tcPr>
            <w:tcW w:w="1191" w:type="dxa"/>
            <w:vAlign w:val="bottom"/>
          </w:tcPr>
          <w:p w14:paraId="10284BF4"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74F699D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377E06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8E7FA6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7D087F" w14:textId="77777777" w:rsidR="008E5DE4" w:rsidRDefault="008E5DE4">
            <w:pPr>
              <w:widowControl w:val="0"/>
              <w:pBdr>
                <w:top w:val="nil"/>
                <w:left w:val="nil"/>
                <w:bottom w:val="nil"/>
                <w:right w:val="nil"/>
                <w:between w:val="nil"/>
              </w:pBdr>
              <w:jc w:val="right"/>
              <w:rPr>
                <w:color w:val="000000"/>
              </w:rPr>
            </w:pPr>
          </w:p>
        </w:tc>
      </w:tr>
      <w:tr w:rsidR="008E5DE4" w14:paraId="7954FA74" w14:textId="77777777">
        <w:trPr>
          <w:cantSplit/>
        </w:trPr>
        <w:tc>
          <w:tcPr>
            <w:tcW w:w="3742" w:type="dxa"/>
            <w:vAlign w:val="bottom"/>
          </w:tcPr>
          <w:p w14:paraId="1E96E0A2" w14:textId="77777777" w:rsidR="008E5DE4" w:rsidRDefault="00780368">
            <w:pPr>
              <w:widowControl w:val="0"/>
              <w:pBdr>
                <w:top w:val="nil"/>
                <w:left w:val="nil"/>
                <w:bottom w:val="nil"/>
                <w:right w:val="nil"/>
                <w:between w:val="nil"/>
              </w:pBdr>
              <w:ind w:left="113" w:right="-57" w:hanging="113"/>
              <w:rPr>
                <w:color w:val="000000"/>
              </w:rPr>
            </w:pPr>
            <w:r>
              <w:rPr>
                <w:color w:val="000000"/>
              </w:rPr>
              <w:t>Corporate bonds</w:t>
            </w:r>
          </w:p>
        </w:tc>
        <w:tc>
          <w:tcPr>
            <w:tcW w:w="1191" w:type="dxa"/>
            <w:vAlign w:val="bottom"/>
          </w:tcPr>
          <w:p w14:paraId="1D347C59"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01931F7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42B473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B56DB4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E27D64D" w14:textId="77777777" w:rsidR="008E5DE4" w:rsidRDefault="008E5DE4">
            <w:pPr>
              <w:widowControl w:val="0"/>
              <w:pBdr>
                <w:top w:val="nil"/>
                <w:left w:val="nil"/>
                <w:bottom w:val="nil"/>
                <w:right w:val="nil"/>
                <w:between w:val="nil"/>
              </w:pBdr>
              <w:jc w:val="right"/>
              <w:rPr>
                <w:color w:val="000000"/>
              </w:rPr>
            </w:pPr>
          </w:p>
        </w:tc>
      </w:tr>
      <w:tr w:rsidR="008E5DE4" w14:paraId="1F9BEDF1" w14:textId="77777777">
        <w:trPr>
          <w:cantSplit/>
        </w:trPr>
        <w:tc>
          <w:tcPr>
            <w:tcW w:w="3742" w:type="dxa"/>
            <w:vAlign w:val="bottom"/>
          </w:tcPr>
          <w:p w14:paraId="4C19262E" w14:textId="00B28B5E" w:rsidR="008E5DE4" w:rsidRDefault="00780368">
            <w:pPr>
              <w:widowControl w:val="0"/>
              <w:pBdr>
                <w:top w:val="nil"/>
                <w:left w:val="nil"/>
                <w:bottom w:val="nil"/>
                <w:right w:val="nil"/>
                <w:between w:val="nil"/>
              </w:pBdr>
              <w:ind w:left="113" w:right="-57" w:hanging="113"/>
              <w:rPr>
                <w:color w:val="000000"/>
              </w:rPr>
            </w:pPr>
            <w:r>
              <w:rPr>
                <w:color w:val="000000"/>
              </w:rPr>
              <w:t xml:space="preserve">Promissory notes </w:t>
            </w:r>
          </w:p>
        </w:tc>
        <w:tc>
          <w:tcPr>
            <w:tcW w:w="1191" w:type="dxa"/>
            <w:vAlign w:val="bottom"/>
          </w:tcPr>
          <w:p w14:paraId="7BDA9E3B"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0CF5306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54D9EE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DD6D1F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4127AD" w14:textId="77777777" w:rsidR="008E5DE4" w:rsidRDefault="008E5DE4">
            <w:pPr>
              <w:widowControl w:val="0"/>
              <w:pBdr>
                <w:top w:val="nil"/>
                <w:left w:val="nil"/>
                <w:bottom w:val="nil"/>
                <w:right w:val="nil"/>
                <w:between w:val="nil"/>
              </w:pBdr>
              <w:jc w:val="right"/>
              <w:rPr>
                <w:color w:val="000000"/>
              </w:rPr>
            </w:pPr>
          </w:p>
        </w:tc>
      </w:tr>
      <w:tr w:rsidR="008E5DE4" w14:paraId="0F7A78EB" w14:textId="77777777">
        <w:trPr>
          <w:cantSplit/>
        </w:trPr>
        <w:tc>
          <w:tcPr>
            <w:tcW w:w="3742" w:type="dxa"/>
            <w:tcBorders>
              <w:bottom w:val="single" w:sz="4" w:space="0" w:color="000000"/>
            </w:tcBorders>
            <w:vAlign w:val="bottom"/>
          </w:tcPr>
          <w:p w14:paraId="3C040514" w14:textId="77777777" w:rsidR="008E5DE4" w:rsidRDefault="008E5DE4">
            <w:pPr>
              <w:widowControl w:val="0"/>
              <w:pBdr>
                <w:top w:val="nil"/>
                <w:left w:val="nil"/>
                <w:bottom w:val="nil"/>
                <w:right w:val="nil"/>
                <w:between w:val="nil"/>
              </w:pBdr>
              <w:ind w:left="113" w:right="-57" w:hanging="113"/>
              <w:rPr>
                <w:color w:val="000000"/>
              </w:rPr>
            </w:pPr>
          </w:p>
        </w:tc>
        <w:tc>
          <w:tcPr>
            <w:tcW w:w="1191" w:type="dxa"/>
            <w:tcBorders>
              <w:bottom w:val="single" w:sz="4" w:space="0" w:color="000000"/>
            </w:tcBorders>
            <w:vAlign w:val="bottom"/>
          </w:tcPr>
          <w:p w14:paraId="01439188"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4" w:space="0" w:color="000000"/>
            </w:tcBorders>
            <w:vAlign w:val="bottom"/>
          </w:tcPr>
          <w:p w14:paraId="1832C9E7"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6F785EEF"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77DEEF1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E8856E6" w14:textId="77777777" w:rsidR="008E5DE4" w:rsidRDefault="008E5DE4">
            <w:pPr>
              <w:widowControl w:val="0"/>
              <w:pBdr>
                <w:top w:val="nil"/>
                <w:left w:val="nil"/>
                <w:bottom w:val="nil"/>
                <w:right w:val="nil"/>
                <w:between w:val="nil"/>
              </w:pBdr>
              <w:jc w:val="right"/>
              <w:rPr>
                <w:color w:val="000000"/>
              </w:rPr>
            </w:pPr>
          </w:p>
        </w:tc>
      </w:tr>
      <w:tr w:rsidR="008E5DE4" w14:paraId="48A5E0CD" w14:textId="77777777">
        <w:trPr>
          <w:cantSplit/>
        </w:trPr>
        <w:tc>
          <w:tcPr>
            <w:tcW w:w="3742" w:type="dxa"/>
            <w:tcBorders>
              <w:top w:val="single" w:sz="4" w:space="0" w:color="000000"/>
            </w:tcBorders>
            <w:vAlign w:val="bottom"/>
          </w:tcPr>
          <w:p w14:paraId="687D8E29" w14:textId="77777777" w:rsidR="008E5DE4" w:rsidRDefault="008E5DE4">
            <w:pPr>
              <w:widowControl w:val="0"/>
              <w:pBdr>
                <w:top w:val="nil"/>
                <w:left w:val="nil"/>
                <w:bottom w:val="nil"/>
                <w:right w:val="nil"/>
                <w:between w:val="nil"/>
              </w:pBdr>
              <w:ind w:left="113" w:right="-57" w:hanging="113"/>
              <w:rPr>
                <w:color w:val="000000"/>
              </w:rPr>
            </w:pPr>
          </w:p>
        </w:tc>
        <w:tc>
          <w:tcPr>
            <w:tcW w:w="1191" w:type="dxa"/>
            <w:tcBorders>
              <w:top w:val="single" w:sz="4" w:space="0" w:color="000000"/>
            </w:tcBorders>
            <w:vAlign w:val="bottom"/>
          </w:tcPr>
          <w:p w14:paraId="33C39CFA" w14:textId="77777777" w:rsidR="008E5DE4" w:rsidRDefault="008E5DE4">
            <w:pPr>
              <w:widowControl w:val="0"/>
              <w:pBdr>
                <w:top w:val="nil"/>
                <w:left w:val="nil"/>
                <w:bottom w:val="nil"/>
                <w:right w:val="nil"/>
                <w:between w:val="nil"/>
              </w:pBdr>
              <w:jc w:val="right"/>
              <w:rPr>
                <w:color w:val="000000"/>
              </w:rPr>
            </w:pPr>
          </w:p>
        </w:tc>
        <w:tc>
          <w:tcPr>
            <w:tcW w:w="1191" w:type="dxa"/>
            <w:tcBorders>
              <w:top w:val="single" w:sz="4" w:space="0" w:color="000000"/>
            </w:tcBorders>
            <w:vAlign w:val="bottom"/>
          </w:tcPr>
          <w:p w14:paraId="7269F3BD"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65B8A074"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76F079A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277CAA6" w14:textId="77777777" w:rsidR="008E5DE4" w:rsidRDefault="008E5DE4">
            <w:pPr>
              <w:widowControl w:val="0"/>
              <w:pBdr>
                <w:top w:val="nil"/>
                <w:left w:val="nil"/>
                <w:bottom w:val="nil"/>
                <w:right w:val="nil"/>
                <w:between w:val="nil"/>
              </w:pBdr>
              <w:jc w:val="right"/>
              <w:rPr>
                <w:color w:val="000000"/>
              </w:rPr>
            </w:pPr>
          </w:p>
        </w:tc>
      </w:tr>
      <w:tr w:rsidR="008E5DE4" w14:paraId="2BE3289F" w14:textId="77777777">
        <w:trPr>
          <w:cantSplit/>
        </w:trPr>
        <w:tc>
          <w:tcPr>
            <w:tcW w:w="3742" w:type="dxa"/>
            <w:vAlign w:val="bottom"/>
          </w:tcPr>
          <w:p w14:paraId="1EADEF8B" w14:textId="4B9848A8" w:rsidR="008E5DE4" w:rsidRDefault="00780368">
            <w:pPr>
              <w:widowControl w:val="0"/>
              <w:pBdr>
                <w:top w:val="nil"/>
                <w:left w:val="nil"/>
                <w:bottom w:val="nil"/>
                <w:right w:val="nil"/>
                <w:between w:val="nil"/>
              </w:pBdr>
              <w:ind w:left="113" w:right="-57" w:hanging="113"/>
              <w:rPr>
                <w:color w:val="000000"/>
              </w:rPr>
            </w:pPr>
            <w:r>
              <w:rPr>
                <w:color w:val="000000"/>
              </w:rPr>
              <w:t xml:space="preserve">Total investments in debt securities </w:t>
            </w:r>
            <w:r>
              <w:rPr>
                <w:color w:val="000000"/>
              </w:rPr>
              <w:br/>
            </w:r>
            <w:proofErr w:type="gramStart"/>
            <w:r>
              <w:rPr>
                <w:color w:val="000000"/>
              </w:rPr>
              <w:t>at</w:t>
            </w:r>
            <w:proofErr w:type="gramEnd"/>
            <w:r>
              <w:rPr>
                <w:color w:val="000000"/>
              </w:rPr>
              <w:t xml:space="preserve"> 31 December </w:t>
            </w:r>
            <w:r w:rsidR="008614F8">
              <w:rPr>
                <w:color w:val="000000"/>
              </w:rPr>
              <w:t>2025</w:t>
            </w:r>
            <w:r>
              <w:rPr>
                <w:color w:val="000000"/>
              </w:rPr>
              <w:t xml:space="preserve"> (fair value or gross carrying value)</w:t>
            </w:r>
          </w:p>
        </w:tc>
        <w:tc>
          <w:tcPr>
            <w:tcW w:w="1191" w:type="dxa"/>
            <w:vAlign w:val="bottom"/>
          </w:tcPr>
          <w:p w14:paraId="11CB7487"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4542080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13ADC1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A1A5F9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D2A3D1" w14:textId="77777777" w:rsidR="008E5DE4" w:rsidRDefault="008E5DE4">
            <w:pPr>
              <w:widowControl w:val="0"/>
              <w:pBdr>
                <w:top w:val="nil"/>
                <w:left w:val="nil"/>
                <w:bottom w:val="nil"/>
                <w:right w:val="nil"/>
                <w:between w:val="nil"/>
              </w:pBdr>
              <w:jc w:val="right"/>
              <w:rPr>
                <w:color w:val="000000"/>
              </w:rPr>
            </w:pPr>
          </w:p>
        </w:tc>
      </w:tr>
      <w:tr w:rsidR="008E5DE4" w14:paraId="38758ADF" w14:textId="77777777">
        <w:trPr>
          <w:cantSplit/>
        </w:trPr>
        <w:tc>
          <w:tcPr>
            <w:tcW w:w="3742" w:type="dxa"/>
            <w:tcBorders>
              <w:bottom w:val="single" w:sz="4" w:space="0" w:color="000000"/>
            </w:tcBorders>
            <w:vAlign w:val="bottom"/>
          </w:tcPr>
          <w:p w14:paraId="449A2F3C" w14:textId="77777777" w:rsidR="008E5DE4" w:rsidRDefault="008E5DE4">
            <w:pPr>
              <w:widowControl w:val="0"/>
              <w:pBdr>
                <w:top w:val="nil"/>
                <w:left w:val="nil"/>
                <w:bottom w:val="nil"/>
                <w:right w:val="nil"/>
                <w:between w:val="nil"/>
              </w:pBdr>
              <w:ind w:left="113" w:right="-57" w:hanging="113"/>
              <w:rPr>
                <w:color w:val="000000"/>
              </w:rPr>
            </w:pPr>
          </w:p>
        </w:tc>
        <w:tc>
          <w:tcPr>
            <w:tcW w:w="1191" w:type="dxa"/>
            <w:tcBorders>
              <w:bottom w:val="single" w:sz="4" w:space="0" w:color="000000"/>
            </w:tcBorders>
            <w:vAlign w:val="bottom"/>
          </w:tcPr>
          <w:p w14:paraId="6A12DD1C"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4" w:space="0" w:color="000000"/>
            </w:tcBorders>
            <w:vAlign w:val="bottom"/>
          </w:tcPr>
          <w:p w14:paraId="70B96844"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13E1E487"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5C08D13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94EA0A4" w14:textId="77777777" w:rsidR="008E5DE4" w:rsidRDefault="008E5DE4">
            <w:pPr>
              <w:widowControl w:val="0"/>
              <w:pBdr>
                <w:top w:val="nil"/>
                <w:left w:val="nil"/>
                <w:bottom w:val="nil"/>
                <w:right w:val="nil"/>
                <w:between w:val="nil"/>
              </w:pBdr>
              <w:jc w:val="right"/>
              <w:rPr>
                <w:color w:val="000000"/>
              </w:rPr>
            </w:pPr>
          </w:p>
        </w:tc>
      </w:tr>
      <w:tr w:rsidR="008E5DE4" w14:paraId="22A3D4CD" w14:textId="77777777">
        <w:trPr>
          <w:cantSplit/>
        </w:trPr>
        <w:tc>
          <w:tcPr>
            <w:tcW w:w="3742" w:type="dxa"/>
            <w:tcBorders>
              <w:top w:val="single" w:sz="4" w:space="0" w:color="000000"/>
            </w:tcBorders>
            <w:vAlign w:val="bottom"/>
          </w:tcPr>
          <w:p w14:paraId="105D57F1" w14:textId="77777777" w:rsidR="008E5DE4" w:rsidRDefault="008E5DE4">
            <w:pPr>
              <w:widowControl w:val="0"/>
              <w:pBdr>
                <w:top w:val="nil"/>
                <w:left w:val="nil"/>
                <w:bottom w:val="nil"/>
                <w:right w:val="nil"/>
                <w:between w:val="nil"/>
              </w:pBdr>
              <w:ind w:left="113" w:right="-57" w:hanging="113"/>
              <w:rPr>
                <w:b/>
                <w:color w:val="000000"/>
              </w:rPr>
            </w:pPr>
          </w:p>
        </w:tc>
        <w:tc>
          <w:tcPr>
            <w:tcW w:w="1191" w:type="dxa"/>
            <w:tcBorders>
              <w:top w:val="single" w:sz="4" w:space="0" w:color="000000"/>
            </w:tcBorders>
            <w:vAlign w:val="bottom"/>
          </w:tcPr>
          <w:p w14:paraId="6803849A" w14:textId="77777777" w:rsidR="008E5DE4" w:rsidRDefault="008E5DE4">
            <w:pPr>
              <w:widowControl w:val="0"/>
              <w:pBdr>
                <w:top w:val="nil"/>
                <w:left w:val="nil"/>
                <w:bottom w:val="nil"/>
                <w:right w:val="nil"/>
                <w:between w:val="nil"/>
              </w:pBdr>
              <w:jc w:val="right"/>
              <w:rPr>
                <w:color w:val="000000"/>
              </w:rPr>
            </w:pPr>
          </w:p>
        </w:tc>
        <w:tc>
          <w:tcPr>
            <w:tcW w:w="1191" w:type="dxa"/>
            <w:tcBorders>
              <w:top w:val="single" w:sz="4" w:space="0" w:color="000000"/>
            </w:tcBorders>
            <w:vAlign w:val="bottom"/>
          </w:tcPr>
          <w:p w14:paraId="6A02EFCB"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0DB63583"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222F923F"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60A4272" w14:textId="77777777" w:rsidR="008E5DE4" w:rsidRDefault="008E5DE4">
            <w:pPr>
              <w:widowControl w:val="0"/>
              <w:pBdr>
                <w:top w:val="nil"/>
                <w:left w:val="nil"/>
                <w:bottom w:val="nil"/>
                <w:right w:val="nil"/>
                <w:between w:val="nil"/>
              </w:pBdr>
              <w:jc w:val="right"/>
              <w:rPr>
                <w:color w:val="000000"/>
              </w:rPr>
            </w:pPr>
          </w:p>
        </w:tc>
      </w:tr>
      <w:tr w:rsidR="008E5DE4" w14:paraId="38AA24FB" w14:textId="77777777">
        <w:trPr>
          <w:cantSplit/>
        </w:trPr>
        <w:tc>
          <w:tcPr>
            <w:tcW w:w="3742" w:type="dxa"/>
            <w:vAlign w:val="bottom"/>
          </w:tcPr>
          <w:p w14:paraId="02277798"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91" w:type="dxa"/>
            <w:vAlign w:val="bottom"/>
          </w:tcPr>
          <w:p w14:paraId="3F23C1C2" w14:textId="77777777" w:rsidR="008E5DE4" w:rsidRDefault="00780368">
            <w:pPr>
              <w:widowControl w:val="0"/>
              <w:pBdr>
                <w:top w:val="nil"/>
                <w:left w:val="nil"/>
                <w:bottom w:val="nil"/>
                <w:right w:val="nil"/>
                <w:between w:val="nil"/>
              </w:pBdr>
              <w:jc w:val="right"/>
              <w:rPr>
                <w:color w:val="000000"/>
              </w:rPr>
            </w:pPr>
            <w:r>
              <w:rPr>
                <w:color w:val="000000"/>
              </w:rPr>
              <w:t>-</w:t>
            </w:r>
          </w:p>
        </w:tc>
        <w:tc>
          <w:tcPr>
            <w:tcW w:w="1191" w:type="dxa"/>
            <w:vAlign w:val="bottom"/>
          </w:tcPr>
          <w:p w14:paraId="59CD0A84" w14:textId="77777777" w:rsidR="008E5DE4" w:rsidRDefault="00780368">
            <w:pPr>
              <w:widowControl w:val="0"/>
              <w:pBdr>
                <w:top w:val="nil"/>
                <w:left w:val="nil"/>
                <w:bottom w:val="nil"/>
                <w:right w:val="nil"/>
                <w:between w:val="nil"/>
              </w:pBdr>
              <w:jc w:val="right"/>
              <w:rPr>
                <w:color w:val="000000"/>
              </w:rPr>
            </w:pPr>
            <w:r>
              <w:rPr>
                <w:color w:val="000000"/>
              </w:rPr>
              <w:t>-</w:t>
            </w:r>
          </w:p>
        </w:tc>
        <w:tc>
          <w:tcPr>
            <w:tcW w:w="1077" w:type="dxa"/>
            <w:vAlign w:val="bottom"/>
          </w:tcPr>
          <w:p w14:paraId="2A194F0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7F9C10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36EB1DC" w14:textId="77777777" w:rsidR="008E5DE4" w:rsidRDefault="008E5DE4">
            <w:pPr>
              <w:widowControl w:val="0"/>
              <w:pBdr>
                <w:top w:val="nil"/>
                <w:left w:val="nil"/>
                <w:bottom w:val="nil"/>
                <w:right w:val="nil"/>
                <w:between w:val="nil"/>
              </w:pBdr>
              <w:jc w:val="right"/>
              <w:rPr>
                <w:color w:val="000000"/>
              </w:rPr>
            </w:pPr>
          </w:p>
        </w:tc>
      </w:tr>
      <w:tr w:rsidR="008E5DE4" w14:paraId="754A00F6" w14:textId="77777777">
        <w:trPr>
          <w:cantSplit/>
        </w:trPr>
        <w:tc>
          <w:tcPr>
            <w:tcW w:w="3742" w:type="dxa"/>
            <w:vAlign w:val="bottom"/>
          </w:tcPr>
          <w:p w14:paraId="725985C6" w14:textId="77777777" w:rsidR="008E5DE4" w:rsidRDefault="008E5DE4">
            <w:pPr>
              <w:widowControl w:val="0"/>
              <w:pBdr>
                <w:top w:val="nil"/>
                <w:left w:val="nil"/>
                <w:bottom w:val="nil"/>
                <w:right w:val="nil"/>
                <w:between w:val="nil"/>
              </w:pBdr>
              <w:ind w:left="113" w:right="-57" w:hanging="113"/>
              <w:rPr>
                <w:color w:val="000000"/>
              </w:rPr>
            </w:pPr>
          </w:p>
        </w:tc>
        <w:tc>
          <w:tcPr>
            <w:tcW w:w="1191" w:type="dxa"/>
            <w:vAlign w:val="bottom"/>
          </w:tcPr>
          <w:p w14:paraId="6F6DFFE7"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69FF2E3C"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D9DB49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62634A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BE3027" w14:textId="77777777" w:rsidR="008E5DE4" w:rsidRDefault="008E5DE4">
            <w:pPr>
              <w:widowControl w:val="0"/>
              <w:pBdr>
                <w:top w:val="nil"/>
                <w:left w:val="nil"/>
                <w:bottom w:val="nil"/>
                <w:right w:val="nil"/>
                <w:between w:val="nil"/>
              </w:pBdr>
              <w:jc w:val="right"/>
              <w:rPr>
                <w:color w:val="000000"/>
              </w:rPr>
            </w:pPr>
          </w:p>
        </w:tc>
      </w:tr>
      <w:tr w:rsidR="008E5DE4" w14:paraId="152F5F48" w14:textId="77777777">
        <w:trPr>
          <w:cantSplit/>
        </w:trPr>
        <w:tc>
          <w:tcPr>
            <w:tcW w:w="3742" w:type="dxa"/>
            <w:tcBorders>
              <w:top w:val="single" w:sz="4" w:space="0" w:color="000000"/>
            </w:tcBorders>
            <w:vAlign w:val="bottom"/>
          </w:tcPr>
          <w:p w14:paraId="3313D16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91" w:type="dxa"/>
            <w:tcBorders>
              <w:top w:val="single" w:sz="4" w:space="0" w:color="000000"/>
            </w:tcBorders>
            <w:vAlign w:val="bottom"/>
          </w:tcPr>
          <w:p w14:paraId="1A5650BD" w14:textId="77777777" w:rsidR="008E5DE4" w:rsidRDefault="008E5DE4">
            <w:pPr>
              <w:widowControl w:val="0"/>
              <w:pBdr>
                <w:top w:val="nil"/>
                <w:left w:val="nil"/>
                <w:bottom w:val="nil"/>
                <w:right w:val="nil"/>
                <w:between w:val="nil"/>
              </w:pBdr>
              <w:jc w:val="right"/>
              <w:rPr>
                <w:color w:val="000000"/>
              </w:rPr>
            </w:pPr>
          </w:p>
        </w:tc>
        <w:tc>
          <w:tcPr>
            <w:tcW w:w="1191" w:type="dxa"/>
            <w:tcBorders>
              <w:top w:val="single" w:sz="4" w:space="0" w:color="000000"/>
            </w:tcBorders>
            <w:vAlign w:val="bottom"/>
          </w:tcPr>
          <w:p w14:paraId="7C642C16"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29FC487F"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4E75F76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EA0AD91" w14:textId="77777777" w:rsidR="008E5DE4" w:rsidRDefault="008E5DE4">
            <w:pPr>
              <w:widowControl w:val="0"/>
              <w:pBdr>
                <w:top w:val="nil"/>
                <w:left w:val="nil"/>
                <w:bottom w:val="nil"/>
                <w:right w:val="nil"/>
                <w:between w:val="nil"/>
              </w:pBdr>
              <w:jc w:val="right"/>
              <w:rPr>
                <w:color w:val="000000"/>
              </w:rPr>
            </w:pPr>
          </w:p>
        </w:tc>
      </w:tr>
      <w:tr w:rsidR="008E5DE4" w14:paraId="70962E3F" w14:textId="77777777">
        <w:trPr>
          <w:cantSplit/>
        </w:trPr>
        <w:tc>
          <w:tcPr>
            <w:tcW w:w="3742" w:type="dxa"/>
            <w:vAlign w:val="bottom"/>
          </w:tcPr>
          <w:p w14:paraId="55670B32" w14:textId="1E38E010"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investments in debt securities </w:t>
            </w:r>
            <w:r>
              <w:rPr>
                <w:b/>
                <w:color w:val="000000"/>
              </w:rPr>
              <w:br/>
            </w:r>
            <w:proofErr w:type="gramStart"/>
            <w:r>
              <w:rPr>
                <w:b/>
                <w:color w:val="000000"/>
              </w:rPr>
              <w:t>at</w:t>
            </w:r>
            <w:proofErr w:type="gramEnd"/>
            <w:r>
              <w:rPr>
                <w:b/>
                <w:color w:val="000000"/>
              </w:rPr>
              <w:t xml:space="preserve"> 31 December </w:t>
            </w:r>
            <w:r w:rsidR="008614F8">
              <w:rPr>
                <w:b/>
                <w:color w:val="000000"/>
              </w:rPr>
              <w:t>2025</w:t>
            </w:r>
            <w:r>
              <w:rPr>
                <w:b/>
                <w:color w:val="000000"/>
              </w:rPr>
              <w:t xml:space="preserve"> (carrying value)</w:t>
            </w:r>
          </w:p>
        </w:tc>
        <w:tc>
          <w:tcPr>
            <w:tcW w:w="1191" w:type="dxa"/>
            <w:vAlign w:val="bottom"/>
          </w:tcPr>
          <w:p w14:paraId="6D256649" w14:textId="77777777" w:rsidR="008E5DE4" w:rsidRDefault="008E5DE4">
            <w:pPr>
              <w:widowControl w:val="0"/>
              <w:pBdr>
                <w:top w:val="nil"/>
                <w:left w:val="nil"/>
                <w:bottom w:val="nil"/>
                <w:right w:val="nil"/>
                <w:between w:val="nil"/>
              </w:pBdr>
              <w:jc w:val="right"/>
              <w:rPr>
                <w:b/>
                <w:color w:val="000000"/>
              </w:rPr>
            </w:pPr>
          </w:p>
        </w:tc>
        <w:tc>
          <w:tcPr>
            <w:tcW w:w="1191" w:type="dxa"/>
            <w:vAlign w:val="bottom"/>
          </w:tcPr>
          <w:p w14:paraId="4ED1F8A7"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683CFB81"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06895FBB"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5F2A3092" w14:textId="77777777" w:rsidR="008E5DE4" w:rsidRDefault="008E5DE4">
            <w:pPr>
              <w:widowControl w:val="0"/>
              <w:pBdr>
                <w:top w:val="nil"/>
                <w:left w:val="nil"/>
                <w:bottom w:val="nil"/>
                <w:right w:val="nil"/>
                <w:between w:val="nil"/>
              </w:pBdr>
              <w:jc w:val="right"/>
              <w:rPr>
                <w:b/>
                <w:color w:val="000000"/>
              </w:rPr>
            </w:pPr>
          </w:p>
        </w:tc>
      </w:tr>
      <w:tr w:rsidR="008E5DE4" w14:paraId="6124C94F" w14:textId="77777777">
        <w:trPr>
          <w:cantSplit/>
        </w:trPr>
        <w:tc>
          <w:tcPr>
            <w:tcW w:w="3742" w:type="dxa"/>
            <w:tcBorders>
              <w:bottom w:val="single" w:sz="12" w:space="0" w:color="000000"/>
            </w:tcBorders>
            <w:vAlign w:val="bottom"/>
          </w:tcPr>
          <w:p w14:paraId="4C792597"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91" w:type="dxa"/>
            <w:tcBorders>
              <w:bottom w:val="single" w:sz="12" w:space="0" w:color="000000"/>
            </w:tcBorders>
            <w:vAlign w:val="bottom"/>
          </w:tcPr>
          <w:p w14:paraId="5EA3F1B0"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12" w:space="0" w:color="000000"/>
            </w:tcBorders>
            <w:vAlign w:val="bottom"/>
          </w:tcPr>
          <w:p w14:paraId="527BD2FD"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735A1CE2"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6312F64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97FA689" w14:textId="77777777" w:rsidR="008E5DE4" w:rsidRDefault="008E5DE4">
            <w:pPr>
              <w:widowControl w:val="0"/>
              <w:pBdr>
                <w:top w:val="nil"/>
                <w:left w:val="nil"/>
                <w:bottom w:val="nil"/>
                <w:right w:val="nil"/>
                <w:between w:val="nil"/>
              </w:pBdr>
              <w:jc w:val="right"/>
              <w:rPr>
                <w:color w:val="000000"/>
              </w:rPr>
            </w:pPr>
          </w:p>
        </w:tc>
      </w:tr>
    </w:tbl>
    <w:p w14:paraId="5B4BB8FC" w14:textId="084E7B28"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table below discloses investments in debt securities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by measurement categories and classes:</w:t>
      </w:r>
    </w:p>
    <w:tbl>
      <w:tblPr>
        <w:tblStyle w:val="affffffa"/>
        <w:tblW w:w="9412" w:type="dxa"/>
        <w:tblLayout w:type="fixed"/>
        <w:tblLook w:val="0000" w:firstRow="0" w:lastRow="0" w:firstColumn="0" w:lastColumn="0" w:noHBand="0" w:noVBand="0"/>
      </w:tblPr>
      <w:tblGrid>
        <w:gridCol w:w="3742"/>
        <w:gridCol w:w="1191"/>
        <w:gridCol w:w="1191"/>
        <w:gridCol w:w="1077"/>
        <w:gridCol w:w="1077"/>
        <w:gridCol w:w="1134"/>
      </w:tblGrid>
      <w:tr w:rsidR="008E5DE4" w14:paraId="0480E898" w14:textId="77777777">
        <w:trPr>
          <w:cantSplit/>
        </w:trPr>
        <w:tc>
          <w:tcPr>
            <w:tcW w:w="3742" w:type="dxa"/>
            <w:tcBorders>
              <w:bottom w:val="single" w:sz="4" w:space="0" w:color="000000"/>
            </w:tcBorders>
            <w:vAlign w:val="bottom"/>
          </w:tcPr>
          <w:p w14:paraId="03047ADC"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91" w:type="dxa"/>
            <w:tcBorders>
              <w:bottom w:val="single" w:sz="4" w:space="0" w:color="000000"/>
            </w:tcBorders>
          </w:tcPr>
          <w:p w14:paraId="5DE9FF32" w14:textId="77777777" w:rsidR="008E5DE4" w:rsidRDefault="00780368">
            <w:pPr>
              <w:widowControl w:val="0"/>
              <w:pBdr>
                <w:top w:val="nil"/>
                <w:left w:val="nil"/>
                <w:bottom w:val="nil"/>
                <w:right w:val="nil"/>
                <w:between w:val="nil"/>
              </w:pBdr>
              <w:ind w:left="-113"/>
              <w:jc w:val="right"/>
              <w:rPr>
                <w:b/>
                <w:color w:val="000000"/>
              </w:rPr>
            </w:pPr>
            <w:r>
              <w:rPr>
                <w:b/>
                <w:color w:val="000000"/>
              </w:rPr>
              <w:t>Debt securities mandatorily measured at FVTPL</w:t>
            </w:r>
          </w:p>
        </w:tc>
        <w:tc>
          <w:tcPr>
            <w:tcW w:w="1191" w:type="dxa"/>
            <w:tcBorders>
              <w:bottom w:val="single" w:sz="4" w:space="0" w:color="000000"/>
            </w:tcBorders>
          </w:tcPr>
          <w:p w14:paraId="74F0009F" w14:textId="77777777" w:rsidR="008E5DE4" w:rsidRDefault="00780368">
            <w:pPr>
              <w:widowControl w:val="0"/>
              <w:pBdr>
                <w:top w:val="nil"/>
                <w:left w:val="nil"/>
                <w:bottom w:val="nil"/>
                <w:right w:val="nil"/>
                <w:between w:val="nil"/>
              </w:pBdr>
              <w:ind w:left="-113"/>
              <w:jc w:val="right"/>
              <w:rPr>
                <w:b/>
                <w:color w:val="000000"/>
              </w:rPr>
            </w:pPr>
            <w:r>
              <w:rPr>
                <w:b/>
                <w:color w:val="000000"/>
              </w:rPr>
              <w:t>Debt securities designated as at FVTPL at initial recognition</w:t>
            </w:r>
          </w:p>
        </w:tc>
        <w:tc>
          <w:tcPr>
            <w:tcW w:w="1077" w:type="dxa"/>
            <w:tcBorders>
              <w:bottom w:val="single" w:sz="4" w:space="0" w:color="000000"/>
            </w:tcBorders>
          </w:tcPr>
          <w:p w14:paraId="3654D457" w14:textId="77777777" w:rsidR="008E5DE4" w:rsidRDefault="00780368">
            <w:pPr>
              <w:widowControl w:val="0"/>
              <w:pBdr>
                <w:top w:val="nil"/>
                <w:left w:val="nil"/>
                <w:bottom w:val="nil"/>
                <w:right w:val="nil"/>
                <w:between w:val="nil"/>
              </w:pBdr>
              <w:ind w:left="-113"/>
              <w:jc w:val="right"/>
              <w:rPr>
                <w:b/>
                <w:color w:val="000000"/>
              </w:rPr>
            </w:pPr>
            <w:r>
              <w:rPr>
                <w:b/>
                <w:color w:val="000000"/>
              </w:rPr>
              <w:t>Debt securities at FVOCI</w:t>
            </w:r>
          </w:p>
        </w:tc>
        <w:tc>
          <w:tcPr>
            <w:tcW w:w="1077" w:type="dxa"/>
            <w:tcBorders>
              <w:bottom w:val="single" w:sz="4" w:space="0" w:color="000000"/>
            </w:tcBorders>
          </w:tcPr>
          <w:p w14:paraId="6F62DBC1" w14:textId="77777777" w:rsidR="008E5DE4" w:rsidRDefault="00780368">
            <w:pPr>
              <w:widowControl w:val="0"/>
              <w:pBdr>
                <w:top w:val="nil"/>
                <w:left w:val="nil"/>
                <w:bottom w:val="nil"/>
                <w:right w:val="nil"/>
                <w:between w:val="nil"/>
              </w:pBdr>
              <w:ind w:left="-113"/>
              <w:jc w:val="right"/>
              <w:rPr>
                <w:b/>
                <w:color w:val="000000"/>
              </w:rPr>
            </w:pPr>
            <w:r>
              <w:rPr>
                <w:b/>
                <w:color w:val="000000"/>
              </w:rPr>
              <w:t>Debt securities at AC</w:t>
            </w:r>
          </w:p>
        </w:tc>
        <w:tc>
          <w:tcPr>
            <w:tcW w:w="1134" w:type="dxa"/>
            <w:tcBorders>
              <w:bottom w:val="single" w:sz="4" w:space="0" w:color="000000"/>
            </w:tcBorders>
          </w:tcPr>
          <w:p w14:paraId="3E956643"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7069C705" w14:textId="77777777">
        <w:trPr>
          <w:cantSplit/>
        </w:trPr>
        <w:tc>
          <w:tcPr>
            <w:tcW w:w="3742" w:type="dxa"/>
            <w:vAlign w:val="bottom"/>
          </w:tcPr>
          <w:p w14:paraId="6067B0EF" w14:textId="77777777" w:rsidR="008E5DE4" w:rsidRDefault="00780368">
            <w:pPr>
              <w:widowControl w:val="0"/>
              <w:ind w:left="113" w:right="-57" w:hanging="113"/>
              <w:rPr>
                <w:b/>
                <w:u w:val="single"/>
              </w:rPr>
            </w:pPr>
            <w:r>
              <w:t> </w:t>
            </w:r>
          </w:p>
        </w:tc>
        <w:tc>
          <w:tcPr>
            <w:tcW w:w="1191" w:type="dxa"/>
            <w:vAlign w:val="bottom"/>
          </w:tcPr>
          <w:p w14:paraId="04FBB6FD" w14:textId="77777777" w:rsidR="008E5DE4" w:rsidRDefault="008E5DE4">
            <w:pPr>
              <w:widowControl w:val="0"/>
              <w:jc w:val="right"/>
            </w:pPr>
          </w:p>
        </w:tc>
        <w:tc>
          <w:tcPr>
            <w:tcW w:w="1191" w:type="dxa"/>
            <w:vAlign w:val="bottom"/>
          </w:tcPr>
          <w:p w14:paraId="47A7CC8B" w14:textId="77777777" w:rsidR="008E5DE4" w:rsidRDefault="008E5DE4">
            <w:pPr>
              <w:widowControl w:val="0"/>
              <w:jc w:val="right"/>
            </w:pPr>
          </w:p>
        </w:tc>
        <w:tc>
          <w:tcPr>
            <w:tcW w:w="1077" w:type="dxa"/>
            <w:vAlign w:val="bottom"/>
          </w:tcPr>
          <w:p w14:paraId="0B5ED906" w14:textId="77777777" w:rsidR="008E5DE4" w:rsidRDefault="008E5DE4">
            <w:pPr>
              <w:widowControl w:val="0"/>
              <w:jc w:val="right"/>
            </w:pPr>
          </w:p>
        </w:tc>
        <w:tc>
          <w:tcPr>
            <w:tcW w:w="1077" w:type="dxa"/>
            <w:vAlign w:val="bottom"/>
          </w:tcPr>
          <w:p w14:paraId="50B87D91" w14:textId="77777777" w:rsidR="008E5DE4" w:rsidRDefault="008E5DE4">
            <w:pPr>
              <w:widowControl w:val="0"/>
              <w:jc w:val="right"/>
            </w:pPr>
          </w:p>
        </w:tc>
        <w:tc>
          <w:tcPr>
            <w:tcW w:w="1134" w:type="dxa"/>
            <w:vAlign w:val="bottom"/>
          </w:tcPr>
          <w:p w14:paraId="50B5FAF7" w14:textId="77777777" w:rsidR="008E5DE4" w:rsidRDefault="008E5DE4">
            <w:pPr>
              <w:widowControl w:val="0"/>
              <w:jc w:val="right"/>
            </w:pPr>
          </w:p>
        </w:tc>
      </w:tr>
      <w:tr w:rsidR="008E5DE4" w14:paraId="695A524B" w14:textId="77777777">
        <w:trPr>
          <w:cantSplit/>
        </w:trPr>
        <w:tc>
          <w:tcPr>
            <w:tcW w:w="3742" w:type="dxa"/>
            <w:vAlign w:val="bottom"/>
          </w:tcPr>
          <w:p w14:paraId="2504FD3C" w14:textId="77777777" w:rsidR="008E5DE4" w:rsidRDefault="00780368">
            <w:pPr>
              <w:widowControl w:val="0"/>
              <w:pBdr>
                <w:top w:val="nil"/>
                <w:left w:val="nil"/>
                <w:bottom w:val="nil"/>
                <w:right w:val="nil"/>
                <w:between w:val="nil"/>
              </w:pBdr>
              <w:ind w:left="113" w:right="-57" w:hanging="113"/>
              <w:rPr>
                <w:color w:val="000000"/>
              </w:rPr>
            </w:pPr>
            <w:r>
              <w:rPr>
                <w:color w:val="0000FF"/>
              </w:rPr>
              <w:t>[Country]</w:t>
            </w:r>
            <w:r>
              <w:rPr>
                <w:color w:val="000000"/>
              </w:rPr>
              <w:t xml:space="preserve"> government bonds</w:t>
            </w:r>
          </w:p>
        </w:tc>
        <w:tc>
          <w:tcPr>
            <w:tcW w:w="1191" w:type="dxa"/>
            <w:vAlign w:val="bottom"/>
          </w:tcPr>
          <w:p w14:paraId="4B73A85C"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2F0EA8C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06E1F4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BB2D51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A59538" w14:textId="77777777" w:rsidR="008E5DE4" w:rsidRDefault="008E5DE4">
            <w:pPr>
              <w:widowControl w:val="0"/>
              <w:pBdr>
                <w:top w:val="nil"/>
                <w:left w:val="nil"/>
                <w:bottom w:val="nil"/>
                <w:right w:val="nil"/>
                <w:between w:val="nil"/>
              </w:pBdr>
              <w:jc w:val="right"/>
              <w:rPr>
                <w:color w:val="000000"/>
              </w:rPr>
            </w:pPr>
          </w:p>
        </w:tc>
      </w:tr>
      <w:tr w:rsidR="008E5DE4" w14:paraId="7FFA983F" w14:textId="77777777">
        <w:trPr>
          <w:cantSplit/>
        </w:trPr>
        <w:tc>
          <w:tcPr>
            <w:tcW w:w="3742" w:type="dxa"/>
            <w:vAlign w:val="bottom"/>
          </w:tcPr>
          <w:p w14:paraId="4913F5FD" w14:textId="77777777" w:rsidR="008E5DE4" w:rsidRDefault="00780368">
            <w:pPr>
              <w:widowControl w:val="0"/>
              <w:pBdr>
                <w:top w:val="nil"/>
                <w:left w:val="nil"/>
                <w:bottom w:val="nil"/>
                <w:right w:val="nil"/>
                <w:between w:val="nil"/>
              </w:pBdr>
              <w:ind w:left="113" w:right="-57" w:hanging="113"/>
              <w:rPr>
                <w:color w:val="000000"/>
              </w:rPr>
            </w:pPr>
            <w:r>
              <w:rPr>
                <w:color w:val="000000"/>
              </w:rPr>
              <w:t>Municipal bonds</w:t>
            </w:r>
          </w:p>
        </w:tc>
        <w:tc>
          <w:tcPr>
            <w:tcW w:w="1191" w:type="dxa"/>
            <w:vAlign w:val="bottom"/>
          </w:tcPr>
          <w:p w14:paraId="1DD0D696"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6FC4ECA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0B73999"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029A3A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8794938" w14:textId="77777777" w:rsidR="008E5DE4" w:rsidRDefault="008E5DE4">
            <w:pPr>
              <w:widowControl w:val="0"/>
              <w:pBdr>
                <w:top w:val="nil"/>
                <w:left w:val="nil"/>
                <w:bottom w:val="nil"/>
                <w:right w:val="nil"/>
                <w:between w:val="nil"/>
              </w:pBdr>
              <w:jc w:val="right"/>
              <w:rPr>
                <w:color w:val="000000"/>
              </w:rPr>
            </w:pPr>
          </w:p>
        </w:tc>
      </w:tr>
      <w:tr w:rsidR="008E5DE4" w14:paraId="0ED730FF" w14:textId="77777777">
        <w:trPr>
          <w:cantSplit/>
        </w:trPr>
        <w:tc>
          <w:tcPr>
            <w:tcW w:w="3742" w:type="dxa"/>
            <w:vAlign w:val="bottom"/>
          </w:tcPr>
          <w:p w14:paraId="4BAF9DD9" w14:textId="77777777" w:rsidR="008E5DE4" w:rsidRDefault="00780368">
            <w:pPr>
              <w:widowControl w:val="0"/>
              <w:pBdr>
                <w:top w:val="nil"/>
                <w:left w:val="nil"/>
                <w:bottom w:val="nil"/>
                <w:right w:val="nil"/>
                <w:between w:val="nil"/>
              </w:pBdr>
              <w:ind w:left="113" w:right="-57" w:hanging="113"/>
              <w:rPr>
                <w:color w:val="000000"/>
              </w:rPr>
            </w:pPr>
            <w:r>
              <w:rPr>
                <w:color w:val="000000"/>
              </w:rPr>
              <w:t>Corporate bonds</w:t>
            </w:r>
          </w:p>
        </w:tc>
        <w:tc>
          <w:tcPr>
            <w:tcW w:w="1191" w:type="dxa"/>
            <w:vAlign w:val="bottom"/>
          </w:tcPr>
          <w:p w14:paraId="2B477C81"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70801F3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E39EC8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F33BA6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E82E6A5" w14:textId="77777777" w:rsidR="008E5DE4" w:rsidRDefault="008E5DE4">
            <w:pPr>
              <w:widowControl w:val="0"/>
              <w:pBdr>
                <w:top w:val="nil"/>
                <w:left w:val="nil"/>
                <w:bottom w:val="nil"/>
                <w:right w:val="nil"/>
                <w:between w:val="nil"/>
              </w:pBdr>
              <w:jc w:val="right"/>
              <w:rPr>
                <w:color w:val="000000"/>
              </w:rPr>
            </w:pPr>
          </w:p>
        </w:tc>
      </w:tr>
      <w:tr w:rsidR="008E5DE4" w14:paraId="6673AA12" w14:textId="77777777">
        <w:trPr>
          <w:cantSplit/>
        </w:trPr>
        <w:tc>
          <w:tcPr>
            <w:tcW w:w="3742" w:type="dxa"/>
            <w:vAlign w:val="bottom"/>
          </w:tcPr>
          <w:p w14:paraId="707F4D13" w14:textId="62BF92EA" w:rsidR="008E5DE4" w:rsidRDefault="00780368">
            <w:pPr>
              <w:widowControl w:val="0"/>
              <w:pBdr>
                <w:top w:val="nil"/>
                <w:left w:val="nil"/>
                <w:bottom w:val="nil"/>
                <w:right w:val="nil"/>
                <w:between w:val="nil"/>
              </w:pBdr>
              <w:ind w:left="113" w:right="-57" w:hanging="113"/>
              <w:rPr>
                <w:color w:val="000000"/>
              </w:rPr>
            </w:pPr>
            <w:r>
              <w:rPr>
                <w:color w:val="000000"/>
              </w:rPr>
              <w:t>Promissory notes</w:t>
            </w:r>
          </w:p>
        </w:tc>
        <w:tc>
          <w:tcPr>
            <w:tcW w:w="1191" w:type="dxa"/>
            <w:vAlign w:val="bottom"/>
          </w:tcPr>
          <w:p w14:paraId="5EBCB2B5"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0820BDAC"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B1922E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E5C292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0A43434" w14:textId="77777777" w:rsidR="008E5DE4" w:rsidRDefault="008E5DE4">
            <w:pPr>
              <w:widowControl w:val="0"/>
              <w:pBdr>
                <w:top w:val="nil"/>
                <w:left w:val="nil"/>
                <w:bottom w:val="nil"/>
                <w:right w:val="nil"/>
                <w:between w:val="nil"/>
              </w:pBdr>
              <w:jc w:val="right"/>
              <w:rPr>
                <w:color w:val="000000"/>
              </w:rPr>
            </w:pPr>
          </w:p>
        </w:tc>
      </w:tr>
      <w:tr w:rsidR="008E5DE4" w14:paraId="43E9AF78" w14:textId="77777777">
        <w:trPr>
          <w:cantSplit/>
        </w:trPr>
        <w:tc>
          <w:tcPr>
            <w:tcW w:w="3742" w:type="dxa"/>
            <w:tcBorders>
              <w:bottom w:val="single" w:sz="4" w:space="0" w:color="000000"/>
            </w:tcBorders>
            <w:vAlign w:val="bottom"/>
          </w:tcPr>
          <w:p w14:paraId="7E50660D" w14:textId="77777777" w:rsidR="008E5DE4" w:rsidRDefault="008E5DE4">
            <w:pPr>
              <w:widowControl w:val="0"/>
              <w:pBdr>
                <w:top w:val="nil"/>
                <w:left w:val="nil"/>
                <w:bottom w:val="nil"/>
                <w:right w:val="nil"/>
                <w:between w:val="nil"/>
              </w:pBdr>
              <w:ind w:left="113" w:right="-57" w:hanging="113"/>
              <w:rPr>
                <w:color w:val="000000"/>
              </w:rPr>
            </w:pPr>
          </w:p>
        </w:tc>
        <w:tc>
          <w:tcPr>
            <w:tcW w:w="1191" w:type="dxa"/>
            <w:tcBorders>
              <w:bottom w:val="single" w:sz="4" w:space="0" w:color="000000"/>
            </w:tcBorders>
            <w:vAlign w:val="bottom"/>
          </w:tcPr>
          <w:p w14:paraId="6D68080A"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4" w:space="0" w:color="000000"/>
            </w:tcBorders>
            <w:vAlign w:val="bottom"/>
          </w:tcPr>
          <w:p w14:paraId="4B0969A2"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43264B63"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2F26DF2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14B618B" w14:textId="77777777" w:rsidR="008E5DE4" w:rsidRDefault="008E5DE4">
            <w:pPr>
              <w:widowControl w:val="0"/>
              <w:pBdr>
                <w:top w:val="nil"/>
                <w:left w:val="nil"/>
                <w:bottom w:val="nil"/>
                <w:right w:val="nil"/>
                <w:between w:val="nil"/>
              </w:pBdr>
              <w:jc w:val="right"/>
              <w:rPr>
                <w:color w:val="000000"/>
              </w:rPr>
            </w:pPr>
          </w:p>
        </w:tc>
      </w:tr>
      <w:tr w:rsidR="008E5DE4" w14:paraId="15DE7429" w14:textId="77777777">
        <w:trPr>
          <w:cantSplit/>
        </w:trPr>
        <w:tc>
          <w:tcPr>
            <w:tcW w:w="3742" w:type="dxa"/>
            <w:tcBorders>
              <w:top w:val="single" w:sz="4" w:space="0" w:color="000000"/>
            </w:tcBorders>
            <w:vAlign w:val="bottom"/>
          </w:tcPr>
          <w:p w14:paraId="76FD5B3E" w14:textId="77777777" w:rsidR="008E5DE4" w:rsidRDefault="008E5DE4">
            <w:pPr>
              <w:widowControl w:val="0"/>
              <w:pBdr>
                <w:top w:val="nil"/>
                <w:left w:val="nil"/>
                <w:bottom w:val="nil"/>
                <w:right w:val="nil"/>
                <w:between w:val="nil"/>
              </w:pBdr>
              <w:ind w:left="113" w:right="-57" w:hanging="113"/>
              <w:rPr>
                <w:color w:val="000000"/>
              </w:rPr>
            </w:pPr>
          </w:p>
        </w:tc>
        <w:tc>
          <w:tcPr>
            <w:tcW w:w="1191" w:type="dxa"/>
            <w:tcBorders>
              <w:top w:val="single" w:sz="4" w:space="0" w:color="000000"/>
            </w:tcBorders>
            <w:vAlign w:val="bottom"/>
          </w:tcPr>
          <w:p w14:paraId="70A25E38" w14:textId="77777777" w:rsidR="008E5DE4" w:rsidRDefault="008E5DE4">
            <w:pPr>
              <w:widowControl w:val="0"/>
              <w:pBdr>
                <w:top w:val="nil"/>
                <w:left w:val="nil"/>
                <w:bottom w:val="nil"/>
                <w:right w:val="nil"/>
                <w:between w:val="nil"/>
              </w:pBdr>
              <w:jc w:val="right"/>
              <w:rPr>
                <w:color w:val="000000"/>
              </w:rPr>
            </w:pPr>
          </w:p>
        </w:tc>
        <w:tc>
          <w:tcPr>
            <w:tcW w:w="1191" w:type="dxa"/>
            <w:tcBorders>
              <w:top w:val="single" w:sz="4" w:space="0" w:color="000000"/>
            </w:tcBorders>
            <w:vAlign w:val="bottom"/>
          </w:tcPr>
          <w:p w14:paraId="20057E8F"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0DD5034D"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3FEC622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A7E99C8" w14:textId="77777777" w:rsidR="008E5DE4" w:rsidRDefault="008E5DE4">
            <w:pPr>
              <w:widowControl w:val="0"/>
              <w:pBdr>
                <w:top w:val="nil"/>
                <w:left w:val="nil"/>
                <w:bottom w:val="nil"/>
                <w:right w:val="nil"/>
                <w:between w:val="nil"/>
              </w:pBdr>
              <w:jc w:val="right"/>
              <w:rPr>
                <w:color w:val="000000"/>
              </w:rPr>
            </w:pPr>
          </w:p>
        </w:tc>
      </w:tr>
      <w:tr w:rsidR="008E5DE4" w14:paraId="6AFAE3B2" w14:textId="77777777">
        <w:trPr>
          <w:cantSplit/>
        </w:trPr>
        <w:tc>
          <w:tcPr>
            <w:tcW w:w="3742" w:type="dxa"/>
            <w:vAlign w:val="bottom"/>
          </w:tcPr>
          <w:p w14:paraId="121B0EF5" w14:textId="7512BFFA" w:rsidR="008E5DE4" w:rsidRDefault="00780368">
            <w:pPr>
              <w:widowControl w:val="0"/>
              <w:pBdr>
                <w:top w:val="nil"/>
                <w:left w:val="nil"/>
                <w:bottom w:val="nil"/>
                <w:right w:val="nil"/>
                <w:between w:val="nil"/>
              </w:pBdr>
              <w:ind w:left="113" w:right="-57" w:hanging="113"/>
              <w:rPr>
                <w:color w:val="000000"/>
              </w:rPr>
            </w:pPr>
            <w:r>
              <w:rPr>
                <w:color w:val="000000"/>
              </w:rPr>
              <w:t xml:space="preserve">Total investments in debt securities </w:t>
            </w:r>
            <w:r>
              <w:rPr>
                <w:color w:val="000000"/>
              </w:rPr>
              <w:br/>
            </w:r>
            <w:proofErr w:type="gramStart"/>
            <w:r>
              <w:rPr>
                <w:color w:val="000000"/>
              </w:rPr>
              <w:t>at</w:t>
            </w:r>
            <w:proofErr w:type="gramEnd"/>
            <w:r>
              <w:rPr>
                <w:color w:val="000000"/>
              </w:rPr>
              <w:t xml:space="preserve"> 31 December </w:t>
            </w:r>
            <w:r w:rsidR="00FF468A">
              <w:rPr>
                <w:color w:val="000000"/>
              </w:rPr>
              <w:t>2024</w:t>
            </w:r>
            <w:r>
              <w:rPr>
                <w:color w:val="000000"/>
              </w:rPr>
              <w:t xml:space="preserve"> (fair value or gross carrying value)</w:t>
            </w:r>
          </w:p>
        </w:tc>
        <w:tc>
          <w:tcPr>
            <w:tcW w:w="1191" w:type="dxa"/>
            <w:vAlign w:val="bottom"/>
          </w:tcPr>
          <w:p w14:paraId="33197A1D"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736E6B5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E1913B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31734C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502DD4" w14:textId="77777777" w:rsidR="008E5DE4" w:rsidRDefault="008E5DE4">
            <w:pPr>
              <w:widowControl w:val="0"/>
              <w:pBdr>
                <w:top w:val="nil"/>
                <w:left w:val="nil"/>
                <w:bottom w:val="nil"/>
                <w:right w:val="nil"/>
                <w:between w:val="nil"/>
              </w:pBdr>
              <w:jc w:val="right"/>
              <w:rPr>
                <w:color w:val="000000"/>
              </w:rPr>
            </w:pPr>
          </w:p>
        </w:tc>
      </w:tr>
      <w:tr w:rsidR="008E5DE4" w14:paraId="7C70A5F5" w14:textId="77777777">
        <w:trPr>
          <w:cantSplit/>
        </w:trPr>
        <w:tc>
          <w:tcPr>
            <w:tcW w:w="3742" w:type="dxa"/>
            <w:tcBorders>
              <w:bottom w:val="single" w:sz="4" w:space="0" w:color="000000"/>
            </w:tcBorders>
            <w:vAlign w:val="bottom"/>
          </w:tcPr>
          <w:p w14:paraId="35FE2105" w14:textId="77777777" w:rsidR="008E5DE4" w:rsidRDefault="008E5DE4">
            <w:pPr>
              <w:widowControl w:val="0"/>
              <w:pBdr>
                <w:top w:val="nil"/>
                <w:left w:val="nil"/>
                <w:bottom w:val="nil"/>
                <w:right w:val="nil"/>
                <w:between w:val="nil"/>
              </w:pBdr>
              <w:ind w:left="113" w:right="-57" w:hanging="113"/>
              <w:rPr>
                <w:color w:val="000000"/>
              </w:rPr>
            </w:pPr>
          </w:p>
        </w:tc>
        <w:tc>
          <w:tcPr>
            <w:tcW w:w="1191" w:type="dxa"/>
            <w:tcBorders>
              <w:bottom w:val="single" w:sz="4" w:space="0" w:color="000000"/>
            </w:tcBorders>
            <w:vAlign w:val="bottom"/>
          </w:tcPr>
          <w:p w14:paraId="7145924F"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4" w:space="0" w:color="000000"/>
            </w:tcBorders>
            <w:vAlign w:val="bottom"/>
          </w:tcPr>
          <w:p w14:paraId="150AC435"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5915E11F"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376A411F"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2511A75" w14:textId="77777777" w:rsidR="008E5DE4" w:rsidRDefault="008E5DE4">
            <w:pPr>
              <w:widowControl w:val="0"/>
              <w:pBdr>
                <w:top w:val="nil"/>
                <w:left w:val="nil"/>
                <w:bottom w:val="nil"/>
                <w:right w:val="nil"/>
                <w:between w:val="nil"/>
              </w:pBdr>
              <w:jc w:val="right"/>
              <w:rPr>
                <w:color w:val="000000"/>
              </w:rPr>
            </w:pPr>
          </w:p>
        </w:tc>
      </w:tr>
      <w:tr w:rsidR="008E5DE4" w14:paraId="7873DD93" w14:textId="77777777">
        <w:trPr>
          <w:cantSplit/>
        </w:trPr>
        <w:tc>
          <w:tcPr>
            <w:tcW w:w="3742" w:type="dxa"/>
            <w:tcBorders>
              <w:top w:val="single" w:sz="4" w:space="0" w:color="000000"/>
            </w:tcBorders>
            <w:vAlign w:val="bottom"/>
          </w:tcPr>
          <w:p w14:paraId="089BB5B3" w14:textId="77777777" w:rsidR="008E5DE4" w:rsidRDefault="008E5DE4">
            <w:pPr>
              <w:widowControl w:val="0"/>
              <w:pBdr>
                <w:top w:val="nil"/>
                <w:left w:val="nil"/>
                <w:bottom w:val="nil"/>
                <w:right w:val="nil"/>
                <w:between w:val="nil"/>
              </w:pBdr>
              <w:ind w:left="113" w:right="-57" w:hanging="113"/>
              <w:rPr>
                <w:b/>
                <w:color w:val="000000"/>
              </w:rPr>
            </w:pPr>
          </w:p>
        </w:tc>
        <w:tc>
          <w:tcPr>
            <w:tcW w:w="1191" w:type="dxa"/>
            <w:tcBorders>
              <w:top w:val="single" w:sz="4" w:space="0" w:color="000000"/>
            </w:tcBorders>
            <w:vAlign w:val="bottom"/>
          </w:tcPr>
          <w:p w14:paraId="58964AA6" w14:textId="77777777" w:rsidR="008E5DE4" w:rsidRDefault="008E5DE4">
            <w:pPr>
              <w:widowControl w:val="0"/>
              <w:pBdr>
                <w:top w:val="nil"/>
                <w:left w:val="nil"/>
                <w:bottom w:val="nil"/>
                <w:right w:val="nil"/>
                <w:between w:val="nil"/>
              </w:pBdr>
              <w:jc w:val="right"/>
              <w:rPr>
                <w:color w:val="000000"/>
              </w:rPr>
            </w:pPr>
          </w:p>
        </w:tc>
        <w:tc>
          <w:tcPr>
            <w:tcW w:w="1191" w:type="dxa"/>
            <w:tcBorders>
              <w:top w:val="single" w:sz="4" w:space="0" w:color="000000"/>
            </w:tcBorders>
            <w:vAlign w:val="bottom"/>
          </w:tcPr>
          <w:p w14:paraId="18BAAC1B"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4C694D91"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7ED191A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8CCEB83" w14:textId="77777777" w:rsidR="008E5DE4" w:rsidRDefault="008E5DE4">
            <w:pPr>
              <w:widowControl w:val="0"/>
              <w:pBdr>
                <w:top w:val="nil"/>
                <w:left w:val="nil"/>
                <w:bottom w:val="nil"/>
                <w:right w:val="nil"/>
                <w:between w:val="nil"/>
              </w:pBdr>
              <w:jc w:val="right"/>
              <w:rPr>
                <w:color w:val="000000"/>
              </w:rPr>
            </w:pPr>
          </w:p>
        </w:tc>
      </w:tr>
      <w:tr w:rsidR="008E5DE4" w14:paraId="0FB4B2F7" w14:textId="77777777">
        <w:trPr>
          <w:cantSplit/>
        </w:trPr>
        <w:tc>
          <w:tcPr>
            <w:tcW w:w="3742" w:type="dxa"/>
            <w:vAlign w:val="bottom"/>
          </w:tcPr>
          <w:p w14:paraId="10083A34"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91" w:type="dxa"/>
            <w:vAlign w:val="bottom"/>
          </w:tcPr>
          <w:p w14:paraId="26ADA2A7" w14:textId="77777777" w:rsidR="008E5DE4" w:rsidRDefault="00780368">
            <w:pPr>
              <w:widowControl w:val="0"/>
              <w:pBdr>
                <w:top w:val="nil"/>
                <w:left w:val="nil"/>
                <w:bottom w:val="nil"/>
                <w:right w:val="nil"/>
                <w:between w:val="nil"/>
              </w:pBdr>
              <w:jc w:val="right"/>
              <w:rPr>
                <w:color w:val="000000"/>
              </w:rPr>
            </w:pPr>
            <w:r>
              <w:rPr>
                <w:color w:val="000000"/>
              </w:rPr>
              <w:t>-</w:t>
            </w:r>
          </w:p>
        </w:tc>
        <w:tc>
          <w:tcPr>
            <w:tcW w:w="1191" w:type="dxa"/>
            <w:vAlign w:val="bottom"/>
          </w:tcPr>
          <w:p w14:paraId="6E459843" w14:textId="77777777" w:rsidR="008E5DE4" w:rsidRDefault="00780368">
            <w:pPr>
              <w:widowControl w:val="0"/>
              <w:pBdr>
                <w:top w:val="nil"/>
                <w:left w:val="nil"/>
                <w:bottom w:val="nil"/>
                <w:right w:val="nil"/>
                <w:between w:val="nil"/>
              </w:pBdr>
              <w:jc w:val="right"/>
              <w:rPr>
                <w:color w:val="000000"/>
              </w:rPr>
            </w:pPr>
            <w:r>
              <w:rPr>
                <w:color w:val="000000"/>
              </w:rPr>
              <w:t>-</w:t>
            </w:r>
          </w:p>
        </w:tc>
        <w:tc>
          <w:tcPr>
            <w:tcW w:w="1077" w:type="dxa"/>
            <w:vAlign w:val="bottom"/>
          </w:tcPr>
          <w:p w14:paraId="7EEF39FF" w14:textId="77777777" w:rsidR="008E5DE4" w:rsidRDefault="00780368">
            <w:pPr>
              <w:widowControl w:val="0"/>
              <w:pBdr>
                <w:top w:val="nil"/>
                <w:left w:val="nil"/>
                <w:bottom w:val="nil"/>
                <w:right w:val="nil"/>
                <w:between w:val="nil"/>
              </w:pBdr>
              <w:jc w:val="right"/>
              <w:rPr>
                <w:color w:val="000000"/>
              </w:rPr>
            </w:pPr>
            <w:r>
              <w:rPr>
                <w:color w:val="000000"/>
              </w:rPr>
              <w:t>-</w:t>
            </w:r>
          </w:p>
        </w:tc>
        <w:tc>
          <w:tcPr>
            <w:tcW w:w="1077" w:type="dxa"/>
            <w:vAlign w:val="bottom"/>
          </w:tcPr>
          <w:p w14:paraId="3A90EEF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2D236B" w14:textId="77777777" w:rsidR="008E5DE4" w:rsidRDefault="008E5DE4">
            <w:pPr>
              <w:widowControl w:val="0"/>
              <w:pBdr>
                <w:top w:val="nil"/>
                <w:left w:val="nil"/>
                <w:bottom w:val="nil"/>
                <w:right w:val="nil"/>
                <w:between w:val="nil"/>
              </w:pBdr>
              <w:jc w:val="right"/>
              <w:rPr>
                <w:color w:val="000000"/>
              </w:rPr>
            </w:pPr>
          </w:p>
        </w:tc>
      </w:tr>
      <w:tr w:rsidR="008E5DE4" w14:paraId="2FD5764B" w14:textId="77777777">
        <w:trPr>
          <w:cantSplit/>
        </w:trPr>
        <w:tc>
          <w:tcPr>
            <w:tcW w:w="3742" w:type="dxa"/>
            <w:vAlign w:val="bottom"/>
          </w:tcPr>
          <w:p w14:paraId="22426135" w14:textId="77777777" w:rsidR="008E5DE4" w:rsidRDefault="008E5DE4">
            <w:pPr>
              <w:widowControl w:val="0"/>
              <w:pBdr>
                <w:top w:val="nil"/>
                <w:left w:val="nil"/>
                <w:bottom w:val="nil"/>
                <w:right w:val="nil"/>
                <w:between w:val="nil"/>
              </w:pBdr>
              <w:ind w:left="113" w:right="-57" w:hanging="113"/>
              <w:rPr>
                <w:color w:val="000000"/>
              </w:rPr>
            </w:pPr>
          </w:p>
        </w:tc>
        <w:tc>
          <w:tcPr>
            <w:tcW w:w="1191" w:type="dxa"/>
            <w:vAlign w:val="bottom"/>
          </w:tcPr>
          <w:p w14:paraId="6797FFEC"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4D42007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81989A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6C1FD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38DF25" w14:textId="77777777" w:rsidR="008E5DE4" w:rsidRDefault="008E5DE4">
            <w:pPr>
              <w:widowControl w:val="0"/>
              <w:pBdr>
                <w:top w:val="nil"/>
                <w:left w:val="nil"/>
                <w:bottom w:val="nil"/>
                <w:right w:val="nil"/>
                <w:between w:val="nil"/>
              </w:pBdr>
              <w:jc w:val="right"/>
              <w:rPr>
                <w:color w:val="000000"/>
              </w:rPr>
            </w:pPr>
          </w:p>
        </w:tc>
      </w:tr>
      <w:tr w:rsidR="008E5DE4" w14:paraId="221343EF" w14:textId="77777777">
        <w:trPr>
          <w:cantSplit/>
        </w:trPr>
        <w:tc>
          <w:tcPr>
            <w:tcW w:w="3742" w:type="dxa"/>
            <w:tcBorders>
              <w:top w:val="single" w:sz="4" w:space="0" w:color="000000"/>
            </w:tcBorders>
            <w:vAlign w:val="bottom"/>
          </w:tcPr>
          <w:p w14:paraId="2B27EBA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91" w:type="dxa"/>
            <w:tcBorders>
              <w:top w:val="single" w:sz="4" w:space="0" w:color="000000"/>
            </w:tcBorders>
            <w:vAlign w:val="bottom"/>
          </w:tcPr>
          <w:p w14:paraId="3587EEF6" w14:textId="77777777" w:rsidR="008E5DE4" w:rsidRDefault="008E5DE4">
            <w:pPr>
              <w:widowControl w:val="0"/>
              <w:pBdr>
                <w:top w:val="nil"/>
                <w:left w:val="nil"/>
                <w:bottom w:val="nil"/>
                <w:right w:val="nil"/>
                <w:between w:val="nil"/>
              </w:pBdr>
              <w:jc w:val="right"/>
              <w:rPr>
                <w:color w:val="000000"/>
              </w:rPr>
            </w:pPr>
          </w:p>
        </w:tc>
        <w:tc>
          <w:tcPr>
            <w:tcW w:w="1191" w:type="dxa"/>
            <w:tcBorders>
              <w:top w:val="single" w:sz="4" w:space="0" w:color="000000"/>
            </w:tcBorders>
            <w:vAlign w:val="bottom"/>
          </w:tcPr>
          <w:p w14:paraId="3AE71AED"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4F00BB7B" w14:textId="77777777" w:rsidR="008E5DE4" w:rsidRDefault="008E5DE4">
            <w:pPr>
              <w:widowControl w:val="0"/>
              <w:pBdr>
                <w:top w:val="nil"/>
                <w:left w:val="nil"/>
                <w:bottom w:val="nil"/>
                <w:right w:val="nil"/>
                <w:between w:val="nil"/>
              </w:pBdr>
              <w:jc w:val="right"/>
              <w:rPr>
                <w:color w:val="000000"/>
              </w:rPr>
            </w:pPr>
          </w:p>
        </w:tc>
        <w:tc>
          <w:tcPr>
            <w:tcW w:w="1077" w:type="dxa"/>
            <w:tcBorders>
              <w:top w:val="single" w:sz="4" w:space="0" w:color="000000"/>
            </w:tcBorders>
            <w:vAlign w:val="bottom"/>
          </w:tcPr>
          <w:p w14:paraId="6A253F2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1F51429" w14:textId="77777777" w:rsidR="008E5DE4" w:rsidRDefault="008E5DE4">
            <w:pPr>
              <w:widowControl w:val="0"/>
              <w:pBdr>
                <w:top w:val="nil"/>
                <w:left w:val="nil"/>
                <w:bottom w:val="nil"/>
                <w:right w:val="nil"/>
                <w:between w:val="nil"/>
              </w:pBdr>
              <w:jc w:val="right"/>
              <w:rPr>
                <w:color w:val="000000"/>
              </w:rPr>
            </w:pPr>
          </w:p>
        </w:tc>
      </w:tr>
      <w:tr w:rsidR="008E5DE4" w14:paraId="421D3957" w14:textId="77777777">
        <w:trPr>
          <w:cantSplit/>
        </w:trPr>
        <w:tc>
          <w:tcPr>
            <w:tcW w:w="3742" w:type="dxa"/>
            <w:vAlign w:val="bottom"/>
          </w:tcPr>
          <w:p w14:paraId="5821F5E6" w14:textId="3F041BB3"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investments in debt securities </w:t>
            </w:r>
            <w:r>
              <w:rPr>
                <w:b/>
                <w:color w:val="000000"/>
              </w:rPr>
              <w:br/>
            </w:r>
            <w:proofErr w:type="gramStart"/>
            <w:r>
              <w:rPr>
                <w:b/>
                <w:color w:val="000000"/>
              </w:rPr>
              <w:t>at</w:t>
            </w:r>
            <w:proofErr w:type="gramEnd"/>
            <w:r>
              <w:rPr>
                <w:b/>
                <w:color w:val="000000"/>
              </w:rPr>
              <w:t xml:space="preserve"> 31 December </w:t>
            </w:r>
            <w:r w:rsidR="00FF468A">
              <w:rPr>
                <w:b/>
                <w:color w:val="000000"/>
              </w:rPr>
              <w:t>2024</w:t>
            </w:r>
            <w:r>
              <w:rPr>
                <w:b/>
                <w:color w:val="000000"/>
              </w:rPr>
              <w:t xml:space="preserve"> (carrying value)</w:t>
            </w:r>
          </w:p>
        </w:tc>
        <w:tc>
          <w:tcPr>
            <w:tcW w:w="1191" w:type="dxa"/>
            <w:vAlign w:val="bottom"/>
          </w:tcPr>
          <w:p w14:paraId="29E35CBC" w14:textId="77777777" w:rsidR="008E5DE4" w:rsidRDefault="008E5DE4">
            <w:pPr>
              <w:widowControl w:val="0"/>
              <w:pBdr>
                <w:top w:val="nil"/>
                <w:left w:val="nil"/>
                <w:bottom w:val="nil"/>
                <w:right w:val="nil"/>
                <w:between w:val="nil"/>
              </w:pBdr>
              <w:jc w:val="right"/>
              <w:rPr>
                <w:b/>
                <w:color w:val="000000"/>
              </w:rPr>
            </w:pPr>
          </w:p>
        </w:tc>
        <w:tc>
          <w:tcPr>
            <w:tcW w:w="1191" w:type="dxa"/>
            <w:vAlign w:val="bottom"/>
          </w:tcPr>
          <w:p w14:paraId="12696C85"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7174E415"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2C5EFB8E"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52E54F3A" w14:textId="77777777" w:rsidR="008E5DE4" w:rsidRDefault="008E5DE4">
            <w:pPr>
              <w:widowControl w:val="0"/>
              <w:pBdr>
                <w:top w:val="nil"/>
                <w:left w:val="nil"/>
                <w:bottom w:val="nil"/>
                <w:right w:val="nil"/>
                <w:between w:val="nil"/>
              </w:pBdr>
              <w:jc w:val="right"/>
              <w:rPr>
                <w:b/>
                <w:color w:val="000000"/>
              </w:rPr>
            </w:pPr>
          </w:p>
        </w:tc>
      </w:tr>
      <w:tr w:rsidR="008E5DE4" w14:paraId="2F34F436" w14:textId="77777777">
        <w:trPr>
          <w:cantSplit/>
        </w:trPr>
        <w:tc>
          <w:tcPr>
            <w:tcW w:w="3742" w:type="dxa"/>
            <w:tcBorders>
              <w:bottom w:val="single" w:sz="12" w:space="0" w:color="000000"/>
            </w:tcBorders>
            <w:vAlign w:val="bottom"/>
          </w:tcPr>
          <w:p w14:paraId="762D8D3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91" w:type="dxa"/>
            <w:tcBorders>
              <w:bottom w:val="single" w:sz="12" w:space="0" w:color="000000"/>
            </w:tcBorders>
            <w:vAlign w:val="bottom"/>
          </w:tcPr>
          <w:p w14:paraId="4C8EF27C"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12" w:space="0" w:color="000000"/>
            </w:tcBorders>
            <w:vAlign w:val="bottom"/>
          </w:tcPr>
          <w:p w14:paraId="22F95CC9"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53694769"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08E5706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5169A93" w14:textId="77777777" w:rsidR="008E5DE4" w:rsidRDefault="008E5DE4">
            <w:pPr>
              <w:widowControl w:val="0"/>
              <w:pBdr>
                <w:top w:val="nil"/>
                <w:left w:val="nil"/>
                <w:bottom w:val="nil"/>
                <w:right w:val="nil"/>
                <w:between w:val="nil"/>
              </w:pBdr>
              <w:jc w:val="right"/>
              <w:rPr>
                <w:color w:val="000000"/>
              </w:rPr>
            </w:pPr>
          </w:p>
        </w:tc>
      </w:tr>
    </w:tbl>
    <w:p w14:paraId="1D898A4B" w14:textId="77777777" w:rsidR="008E5DE4" w:rsidRDefault="00780368">
      <w:pPr>
        <w:widowControl w:val="0"/>
        <w:numPr>
          <w:ilvl w:val="0"/>
          <w:numId w:val="6"/>
        </w:numPr>
        <w:pBdr>
          <w:top w:val="nil"/>
          <w:left w:val="nil"/>
          <w:bottom w:val="nil"/>
          <w:right w:val="nil"/>
          <w:between w:val="nil"/>
        </w:pBdr>
        <w:spacing w:before="200" w:after="200"/>
        <w:ind w:left="0" w:firstLine="0"/>
        <w:rPr>
          <w:i/>
          <w:color w:val="FF0000"/>
          <w:sz w:val="20"/>
          <w:szCs w:val="20"/>
        </w:rPr>
      </w:pPr>
      <w:r>
        <w:rPr>
          <w:b/>
          <w:color w:val="000000"/>
          <w:sz w:val="20"/>
          <w:szCs w:val="20"/>
        </w:rPr>
        <w:t xml:space="preserve">Investments in debt securities at FVTPL </w:t>
      </w:r>
    </w:p>
    <w:p w14:paraId="408B2E72"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Debt securities mandatorily classified as at FVTPL by the Group represent securities held for trading and securities in a ‘held to sell’ business model. </w:t>
      </w:r>
    </w:p>
    <w:p w14:paraId="3681A50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26A4E0AD" w14:textId="6A73FD89" w:rsidR="008E5DE4" w:rsidRDefault="00780368">
      <w:pPr>
        <w:keepNext/>
        <w:keepLines/>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On initial recognition, the Group has irrevocably designated some of its securities at FVTPL. </w:t>
      </w:r>
    </w:p>
    <w:p w14:paraId="1E4C0C3D"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Debt securities at FVTPL are carried at fair value, which also reflects any credit risk related write-downs and best represents Group’s maximum exposure to credit risk.</w:t>
      </w:r>
    </w:p>
    <w:p w14:paraId="667E4D42" w14:textId="7ED26B80"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debt securities at FVTPL are not collateralised. </w:t>
      </w:r>
    </w:p>
    <w:p w14:paraId="1666D9A9" w14:textId="7B29E36E" w:rsidR="008E5DE4" w:rsidRDefault="00780368">
      <w:pPr>
        <w:widowControl w:val="0"/>
        <w:pBdr>
          <w:top w:val="nil"/>
          <w:left w:val="nil"/>
          <w:bottom w:val="nil"/>
          <w:right w:val="nil"/>
          <w:between w:val="nil"/>
        </w:pBdr>
        <w:spacing w:before="200" w:after="200"/>
        <w:jc w:val="both"/>
        <w:rPr>
          <w:color w:val="FF000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debt securities at FVTPL with a carrying value of EUR ____ thousand have been pledged to third parties as collateral with respect to the borrowings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–EUR ___thousand) (refer to Notes 28 and 8). The counterparty is not allowed to sell further or repledge the investments. </w:t>
      </w:r>
    </w:p>
    <w:p w14:paraId="02B8E577" w14:textId="77777777" w:rsidR="008E5DE4" w:rsidRDefault="00780368">
      <w:pPr>
        <w:widowControl w:val="0"/>
        <w:numPr>
          <w:ilvl w:val="0"/>
          <w:numId w:val="6"/>
        </w:numPr>
        <w:pBdr>
          <w:top w:val="nil"/>
          <w:left w:val="nil"/>
          <w:bottom w:val="nil"/>
          <w:right w:val="nil"/>
          <w:between w:val="nil"/>
        </w:pBdr>
        <w:spacing w:before="200" w:after="200"/>
        <w:ind w:left="0" w:firstLine="0"/>
        <w:rPr>
          <w:b/>
          <w:color w:val="000000"/>
          <w:sz w:val="20"/>
          <w:szCs w:val="20"/>
        </w:rPr>
      </w:pPr>
      <w:r>
        <w:rPr>
          <w:b/>
          <w:color w:val="000000"/>
          <w:sz w:val="20"/>
          <w:szCs w:val="20"/>
        </w:rPr>
        <w:t>Investments in debt securities at FVOCI</w:t>
      </w:r>
    </w:p>
    <w:p w14:paraId="0A47BB22" w14:textId="539FB8F0" w:rsidR="008E5DE4" w:rsidRDefault="00780368">
      <w:pPr>
        <w:widowControl w:val="0"/>
        <w:spacing w:before="200" w:after="200"/>
        <w:jc w:val="both"/>
        <w:rPr>
          <w:i/>
          <w:color w:val="FF0000"/>
          <w:sz w:val="20"/>
          <w:szCs w:val="20"/>
        </w:rPr>
      </w:pPr>
      <w:r>
        <w:rPr>
          <w:sz w:val="20"/>
          <w:szCs w:val="20"/>
        </w:rPr>
        <w:t xml:space="preserve">The table below contains an analysis of the credit risk exposure of debt securities measured at FVOCI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for which an ECL allowance is recognised, based on credit risk grades. Refer to Note 51</w:t>
      </w:r>
      <w:r>
        <w:t xml:space="preserve"> </w:t>
      </w:r>
      <w:r>
        <w:rPr>
          <w:sz w:val="20"/>
          <w:szCs w:val="20"/>
        </w:rPr>
        <w:t xml:space="preserve">for the description of credit risk grading system used by the Group and the approach to ECL measurement, including the definition of default and SICR as applicable to debt securities at FVOCI: </w:t>
      </w:r>
    </w:p>
    <w:tbl>
      <w:tblPr>
        <w:tblStyle w:val="affffffb"/>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1A290D5F" w14:textId="77777777">
        <w:trPr>
          <w:cantSplit/>
          <w:tblHeader/>
        </w:trPr>
        <w:tc>
          <w:tcPr>
            <w:tcW w:w="3685" w:type="dxa"/>
            <w:tcBorders>
              <w:bottom w:val="single" w:sz="4" w:space="0" w:color="000000"/>
            </w:tcBorders>
            <w:vAlign w:val="bottom"/>
          </w:tcPr>
          <w:p w14:paraId="7CE2C3F8"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2284EFE8"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60F45459"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1854B599"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04C76B3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71685B57"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4B851450"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4B6916B5" w14:textId="77777777" w:rsidR="008E5DE4" w:rsidRDefault="00780368">
            <w:pPr>
              <w:widowControl w:val="0"/>
              <w:pBdr>
                <w:top w:val="nil"/>
                <w:left w:val="nil"/>
                <w:bottom w:val="nil"/>
                <w:right w:val="nil"/>
                <w:between w:val="nil"/>
              </w:pBdr>
              <w:ind w:left="-113"/>
              <w:jc w:val="right"/>
              <w:rPr>
                <w:b/>
                <w:color w:val="000000"/>
              </w:rPr>
            </w:pPr>
            <w:r>
              <w:rPr>
                <w:b/>
                <w:color w:val="000000"/>
              </w:rPr>
              <w:t>POCI</w:t>
            </w:r>
          </w:p>
        </w:tc>
        <w:tc>
          <w:tcPr>
            <w:tcW w:w="1134" w:type="dxa"/>
            <w:tcBorders>
              <w:bottom w:val="single" w:sz="4" w:space="0" w:color="000000"/>
            </w:tcBorders>
          </w:tcPr>
          <w:p w14:paraId="1998E8D6"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7797B9BE" w14:textId="77777777">
        <w:trPr>
          <w:cantSplit/>
          <w:tblHeader/>
        </w:trPr>
        <w:tc>
          <w:tcPr>
            <w:tcW w:w="3685" w:type="dxa"/>
            <w:vAlign w:val="bottom"/>
          </w:tcPr>
          <w:p w14:paraId="33F2AEC2" w14:textId="77777777" w:rsidR="008E5DE4" w:rsidRDefault="008E5DE4">
            <w:pPr>
              <w:widowControl w:val="0"/>
              <w:ind w:left="113" w:right="-57" w:hanging="113"/>
              <w:rPr>
                <w:sz w:val="14"/>
                <w:szCs w:val="14"/>
              </w:rPr>
            </w:pPr>
          </w:p>
        </w:tc>
        <w:tc>
          <w:tcPr>
            <w:tcW w:w="1134" w:type="dxa"/>
            <w:vAlign w:val="bottom"/>
          </w:tcPr>
          <w:p w14:paraId="002719A1" w14:textId="77777777" w:rsidR="008E5DE4" w:rsidRDefault="008E5DE4">
            <w:pPr>
              <w:widowControl w:val="0"/>
              <w:pBdr>
                <w:top w:val="nil"/>
                <w:left w:val="nil"/>
                <w:bottom w:val="nil"/>
                <w:right w:val="nil"/>
                <w:between w:val="nil"/>
              </w:pBdr>
              <w:jc w:val="right"/>
              <w:rPr>
                <w:color w:val="000000"/>
                <w:sz w:val="14"/>
                <w:szCs w:val="14"/>
              </w:rPr>
            </w:pPr>
          </w:p>
        </w:tc>
        <w:tc>
          <w:tcPr>
            <w:tcW w:w="1134" w:type="dxa"/>
            <w:vAlign w:val="bottom"/>
          </w:tcPr>
          <w:p w14:paraId="770EDE19" w14:textId="77777777" w:rsidR="008E5DE4" w:rsidRDefault="008E5DE4">
            <w:pPr>
              <w:widowControl w:val="0"/>
              <w:pBdr>
                <w:top w:val="nil"/>
                <w:left w:val="nil"/>
                <w:bottom w:val="nil"/>
                <w:right w:val="nil"/>
                <w:between w:val="nil"/>
              </w:pBdr>
              <w:jc w:val="right"/>
              <w:rPr>
                <w:color w:val="000000"/>
                <w:sz w:val="14"/>
                <w:szCs w:val="14"/>
              </w:rPr>
            </w:pPr>
          </w:p>
        </w:tc>
        <w:tc>
          <w:tcPr>
            <w:tcW w:w="1134" w:type="dxa"/>
            <w:vAlign w:val="bottom"/>
          </w:tcPr>
          <w:p w14:paraId="106B5029" w14:textId="77777777" w:rsidR="008E5DE4" w:rsidRDefault="008E5DE4">
            <w:pPr>
              <w:widowControl w:val="0"/>
              <w:pBdr>
                <w:top w:val="nil"/>
                <w:left w:val="nil"/>
                <w:bottom w:val="nil"/>
                <w:right w:val="nil"/>
                <w:between w:val="nil"/>
              </w:pBdr>
              <w:jc w:val="right"/>
              <w:rPr>
                <w:color w:val="000000"/>
                <w:sz w:val="14"/>
                <w:szCs w:val="14"/>
              </w:rPr>
            </w:pPr>
          </w:p>
        </w:tc>
        <w:tc>
          <w:tcPr>
            <w:tcW w:w="1134" w:type="dxa"/>
            <w:vAlign w:val="bottom"/>
          </w:tcPr>
          <w:p w14:paraId="7FEEE61E" w14:textId="77777777" w:rsidR="008E5DE4" w:rsidRDefault="008E5DE4">
            <w:pPr>
              <w:widowControl w:val="0"/>
              <w:pBdr>
                <w:top w:val="nil"/>
                <w:left w:val="nil"/>
                <w:bottom w:val="nil"/>
                <w:right w:val="nil"/>
                <w:between w:val="nil"/>
              </w:pBdr>
              <w:jc w:val="right"/>
              <w:rPr>
                <w:color w:val="000000"/>
                <w:sz w:val="14"/>
                <w:szCs w:val="14"/>
              </w:rPr>
            </w:pPr>
          </w:p>
        </w:tc>
        <w:tc>
          <w:tcPr>
            <w:tcW w:w="1134" w:type="dxa"/>
            <w:vAlign w:val="bottom"/>
          </w:tcPr>
          <w:p w14:paraId="0AFF1A11" w14:textId="77777777" w:rsidR="008E5DE4" w:rsidRDefault="008E5DE4">
            <w:pPr>
              <w:widowControl w:val="0"/>
              <w:pBdr>
                <w:top w:val="nil"/>
                <w:left w:val="nil"/>
                <w:bottom w:val="nil"/>
                <w:right w:val="nil"/>
                <w:between w:val="nil"/>
              </w:pBdr>
              <w:jc w:val="right"/>
              <w:rPr>
                <w:color w:val="000000"/>
                <w:sz w:val="14"/>
                <w:szCs w:val="14"/>
              </w:rPr>
            </w:pPr>
          </w:p>
        </w:tc>
      </w:tr>
      <w:tr w:rsidR="008E5DE4" w14:paraId="471DC29D" w14:textId="77777777">
        <w:trPr>
          <w:cantSplit/>
        </w:trPr>
        <w:tc>
          <w:tcPr>
            <w:tcW w:w="3685" w:type="dxa"/>
            <w:vAlign w:val="bottom"/>
          </w:tcPr>
          <w:p w14:paraId="12BD9760" w14:textId="77777777" w:rsidR="008E5DE4" w:rsidRDefault="00780368">
            <w:pPr>
              <w:widowControl w:val="0"/>
              <w:pBdr>
                <w:top w:val="nil"/>
                <w:left w:val="nil"/>
                <w:bottom w:val="nil"/>
                <w:right w:val="nil"/>
                <w:between w:val="nil"/>
              </w:pBdr>
              <w:ind w:left="113" w:right="-57" w:hanging="113"/>
              <w:rPr>
                <w:i/>
                <w:color w:val="000000"/>
              </w:rPr>
            </w:pPr>
            <w:r>
              <w:rPr>
                <w:b/>
                <w:i/>
                <w:color w:val="0000FF"/>
              </w:rPr>
              <w:t xml:space="preserve"> [Country]</w:t>
            </w:r>
            <w:r>
              <w:rPr>
                <w:color w:val="000000"/>
              </w:rPr>
              <w:t xml:space="preserve"> </w:t>
            </w:r>
            <w:r>
              <w:rPr>
                <w:b/>
                <w:i/>
                <w:color w:val="000000"/>
              </w:rPr>
              <w:t>government bonds</w:t>
            </w:r>
          </w:p>
        </w:tc>
        <w:tc>
          <w:tcPr>
            <w:tcW w:w="1134" w:type="dxa"/>
            <w:vAlign w:val="bottom"/>
          </w:tcPr>
          <w:p w14:paraId="0E650057" w14:textId="77777777" w:rsidR="008E5DE4" w:rsidRDefault="008E5DE4">
            <w:pPr>
              <w:widowControl w:val="0"/>
              <w:pBdr>
                <w:top w:val="nil"/>
                <w:left w:val="nil"/>
                <w:bottom w:val="nil"/>
                <w:right w:val="nil"/>
                <w:between w:val="nil"/>
              </w:pBdr>
              <w:jc w:val="both"/>
              <w:rPr>
                <w:i/>
                <w:color w:val="000000"/>
              </w:rPr>
            </w:pPr>
          </w:p>
        </w:tc>
        <w:tc>
          <w:tcPr>
            <w:tcW w:w="1134" w:type="dxa"/>
            <w:vAlign w:val="bottom"/>
          </w:tcPr>
          <w:p w14:paraId="53CAC180" w14:textId="77777777" w:rsidR="008E5DE4" w:rsidRDefault="008E5DE4">
            <w:pPr>
              <w:widowControl w:val="0"/>
              <w:pBdr>
                <w:top w:val="nil"/>
                <w:left w:val="nil"/>
                <w:bottom w:val="nil"/>
                <w:right w:val="nil"/>
                <w:between w:val="nil"/>
              </w:pBdr>
              <w:jc w:val="both"/>
              <w:rPr>
                <w:i/>
                <w:color w:val="000000"/>
              </w:rPr>
            </w:pPr>
          </w:p>
        </w:tc>
        <w:tc>
          <w:tcPr>
            <w:tcW w:w="1134" w:type="dxa"/>
            <w:vAlign w:val="bottom"/>
          </w:tcPr>
          <w:p w14:paraId="246E38AC" w14:textId="77777777" w:rsidR="008E5DE4" w:rsidRDefault="008E5DE4">
            <w:pPr>
              <w:widowControl w:val="0"/>
              <w:pBdr>
                <w:top w:val="nil"/>
                <w:left w:val="nil"/>
                <w:bottom w:val="nil"/>
                <w:right w:val="nil"/>
                <w:between w:val="nil"/>
              </w:pBdr>
              <w:jc w:val="both"/>
              <w:rPr>
                <w:i/>
                <w:color w:val="000000"/>
              </w:rPr>
            </w:pPr>
          </w:p>
        </w:tc>
        <w:tc>
          <w:tcPr>
            <w:tcW w:w="1134" w:type="dxa"/>
            <w:vAlign w:val="bottom"/>
          </w:tcPr>
          <w:p w14:paraId="3380EAEA" w14:textId="77777777" w:rsidR="008E5DE4" w:rsidRDefault="008E5DE4">
            <w:pPr>
              <w:widowControl w:val="0"/>
              <w:pBdr>
                <w:top w:val="nil"/>
                <w:left w:val="nil"/>
                <w:bottom w:val="nil"/>
                <w:right w:val="nil"/>
                <w:between w:val="nil"/>
              </w:pBdr>
              <w:jc w:val="both"/>
              <w:rPr>
                <w:i/>
                <w:color w:val="000000"/>
              </w:rPr>
            </w:pPr>
          </w:p>
        </w:tc>
        <w:tc>
          <w:tcPr>
            <w:tcW w:w="1134" w:type="dxa"/>
            <w:vAlign w:val="bottom"/>
          </w:tcPr>
          <w:p w14:paraId="73C0D0F8" w14:textId="77777777" w:rsidR="008E5DE4" w:rsidRDefault="008E5DE4">
            <w:pPr>
              <w:widowControl w:val="0"/>
              <w:pBdr>
                <w:top w:val="nil"/>
                <w:left w:val="nil"/>
                <w:bottom w:val="nil"/>
                <w:right w:val="nil"/>
                <w:between w:val="nil"/>
              </w:pBdr>
              <w:jc w:val="both"/>
              <w:rPr>
                <w:i/>
                <w:color w:val="000000"/>
              </w:rPr>
            </w:pPr>
          </w:p>
        </w:tc>
      </w:tr>
      <w:tr w:rsidR="008E5DE4" w14:paraId="2FD3646A" w14:textId="77777777">
        <w:trPr>
          <w:cantSplit/>
        </w:trPr>
        <w:tc>
          <w:tcPr>
            <w:tcW w:w="3685" w:type="dxa"/>
            <w:vAlign w:val="bottom"/>
          </w:tcPr>
          <w:p w14:paraId="5BBFD913"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69F7982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A94D95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63FD1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F1EEB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D5FD0A1" w14:textId="77777777" w:rsidR="008E5DE4" w:rsidRDefault="008E5DE4">
            <w:pPr>
              <w:widowControl w:val="0"/>
              <w:pBdr>
                <w:top w:val="nil"/>
                <w:left w:val="nil"/>
                <w:bottom w:val="nil"/>
                <w:right w:val="nil"/>
                <w:between w:val="nil"/>
              </w:pBdr>
              <w:jc w:val="right"/>
              <w:rPr>
                <w:color w:val="000000"/>
              </w:rPr>
            </w:pPr>
          </w:p>
        </w:tc>
      </w:tr>
      <w:tr w:rsidR="008E5DE4" w14:paraId="43DDC881" w14:textId="77777777">
        <w:trPr>
          <w:cantSplit/>
        </w:trPr>
        <w:tc>
          <w:tcPr>
            <w:tcW w:w="3685" w:type="dxa"/>
            <w:vAlign w:val="bottom"/>
          </w:tcPr>
          <w:p w14:paraId="5BC00BA0"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718AE02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7C608A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34658B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C635E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0FAFF3" w14:textId="77777777" w:rsidR="008E5DE4" w:rsidRDefault="008E5DE4">
            <w:pPr>
              <w:widowControl w:val="0"/>
              <w:pBdr>
                <w:top w:val="nil"/>
                <w:left w:val="nil"/>
                <w:bottom w:val="nil"/>
                <w:right w:val="nil"/>
                <w:between w:val="nil"/>
              </w:pBdr>
              <w:jc w:val="right"/>
              <w:rPr>
                <w:color w:val="000000"/>
              </w:rPr>
            </w:pPr>
          </w:p>
        </w:tc>
      </w:tr>
      <w:tr w:rsidR="008E5DE4" w14:paraId="13E0BB74" w14:textId="77777777">
        <w:trPr>
          <w:cantSplit/>
        </w:trPr>
        <w:tc>
          <w:tcPr>
            <w:tcW w:w="3685" w:type="dxa"/>
            <w:vAlign w:val="bottom"/>
          </w:tcPr>
          <w:p w14:paraId="2E61E4CA"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7C92F0B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C2AC7A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39F35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A380CE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35375F2" w14:textId="77777777" w:rsidR="008E5DE4" w:rsidRDefault="008E5DE4">
            <w:pPr>
              <w:widowControl w:val="0"/>
              <w:pBdr>
                <w:top w:val="nil"/>
                <w:left w:val="nil"/>
                <w:bottom w:val="nil"/>
                <w:right w:val="nil"/>
                <w:between w:val="nil"/>
              </w:pBdr>
              <w:jc w:val="right"/>
              <w:rPr>
                <w:color w:val="000000"/>
              </w:rPr>
            </w:pPr>
          </w:p>
        </w:tc>
      </w:tr>
      <w:tr w:rsidR="008E5DE4" w14:paraId="65A087CE" w14:textId="77777777">
        <w:trPr>
          <w:cantSplit/>
        </w:trPr>
        <w:tc>
          <w:tcPr>
            <w:tcW w:w="3685" w:type="dxa"/>
            <w:tcBorders>
              <w:bottom w:val="single" w:sz="4" w:space="0" w:color="000000"/>
            </w:tcBorders>
            <w:vAlign w:val="bottom"/>
          </w:tcPr>
          <w:p w14:paraId="2F841241"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bottom w:val="single" w:sz="4" w:space="0" w:color="000000"/>
            </w:tcBorders>
            <w:vAlign w:val="bottom"/>
          </w:tcPr>
          <w:p w14:paraId="78BD1B88" w14:textId="77777777" w:rsidR="008E5DE4" w:rsidRDefault="008E5DE4">
            <w:pPr>
              <w:widowControl w:val="0"/>
              <w:pBdr>
                <w:top w:val="nil"/>
                <w:left w:val="nil"/>
                <w:bottom w:val="nil"/>
                <w:right w:val="nil"/>
                <w:between w:val="nil"/>
              </w:pBdr>
              <w:rPr>
                <w:color w:val="000000"/>
                <w:sz w:val="14"/>
                <w:szCs w:val="14"/>
              </w:rPr>
            </w:pPr>
          </w:p>
        </w:tc>
        <w:tc>
          <w:tcPr>
            <w:tcW w:w="1134" w:type="dxa"/>
            <w:tcBorders>
              <w:bottom w:val="single" w:sz="4" w:space="0" w:color="000000"/>
            </w:tcBorders>
            <w:vAlign w:val="bottom"/>
          </w:tcPr>
          <w:p w14:paraId="09D61B08"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75D7C7A9"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7213A2B7"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76563E4A" w14:textId="77777777" w:rsidR="008E5DE4" w:rsidRDefault="008E5DE4">
            <w:pPr>
              <w:widowControl w:val="0"/>
              <w:pBdr>
                <w:top w:val="nil"/>
                <w:left w:val="nil"/>
                <w:bottom w:val="nil"/>
                <w:right w:val="nil"/>
                <w:between w:val="nil"/>
              </w:pBdr>
              <w:jc w:val="right"/>
              <w:rPr>
                <w:color w:val="000000"/>
                <w:sz w:val="14"/>
                <w:szCs w:val="14"/>
              </w:rPr>
            </w:pPr>
          </w:p>
        </w:tc>
      </w:tr>
      <w:tr w:rsidR="008E5DE4" w14:paraId="20864CC8" w14:textId="77777777">
        <w:trPr>
          <w:cantSplit/>
        </w:trPr>
        <w:tc>
          <w:tcPr>
            <w:tcW w:w="3685" w:type="dxa"/>
            <w:tcBorders>
              <w:top w:val="single" w:sz="4" w:space="0" w:color="000000"/>
            </w:tcBorders>
            <w:vAlign w:val="bottom"/>
          </w:tcPr>
          <w:p w14:paraId="5A86CB77"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top w:val="single" w:sz="4" w:space="0" w:color="000000"/>
            </w:tcBorders>
            <w:vAlign w:val="bottom"/>
          </w:tcPr>
          <w:p w14:paraId="00388813"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13C8ED56"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1E45CB12"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768C36AD"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7C1A85A7" w14:textId="77777777" w:rsidR="008E5DE4" w:rsidRDefault="008E5DE4">
            <w:pPr>
              <w:widowControl w:val="0"/>
              <w:pBdr>
                <w:top w:val="nil"/>
                <w:left w:val="nil"/>
                <w:bottom w:val="nil"/>
                <w:right w:val="nil"/>
                <w:between w:val="nil"/>
              </w:pBdr>
              <w:jc w:val="right"/>
              <w:rPr>
                <w:color w:val="000000"/>
                <w:sz w:val="14"/>
                <w:szCs w:val="14"/>
              </w:rPr>
            </w:pPr>
          </w:p>
        </w:tc>
      </w:tr>
      <w:tr w:rsidR="008E5DE4" w14:paraId="3697FB3C" w14:textId="77777777">
        <w:trPr>
          <w:cantSplit/>
        </w:trPr>
        <w:tc>
          <w:tcPr>
            <w:tcW w:w="3685" w:type="dxa"/>
            <w:vAlign w:val="bottom"/>
          </w:tcPr>
          <w:p w14:paraId="5B3C6AE6"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Total AC gross carrying amount </w:t>
            </w:r>
          </w:p>
        </w:tc>
        <w:tc>
          <w:tcPr>
            <w:tcW w:w="1134" w:type="dxa"/>
            <w:vAlign w:val="bottom"/>
          </w:tcPr>
          <w:p w14:paraId="37DDD60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46836D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D0C925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6573BA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98F911" w14:textId="77777777" w:rsidR="008E5DE4" w:rsidRDefault="008E5DE4">
            <w:pPr>
              <w:widowControl w:val="0"/>
              <w:pBdr>
                <w:top w:val="nil"/>
                <w:left w:val="nil"/>
                <w:bottom w:val="nil"/>
                <w:right w:val="nil"/>
                <w:between w:val="nil"/>
              </w:pBdr>
              <w:jc w:val="right"/>
              <w:rPr>
                <w:color w:val="000000"/>
              </w:rPr>
            </w:pPr>
          </w:p>
        </w:tc>
      </w:tr>
      <w:tr w:rsidR="008E5DE4" w14:paraId="666495D2" w14:textId="77777777">
        <w:trPr>
          <w:cantSplit/>
        </w:trPr>
        <w:tc>
          <w:tcPr>
            <w:tcW w:w="3685" w:type="dxa"/>
            <w:tcBorders>
              <w:bottom w:val="single" w:sz="4" w:space="0" w:color="000000"/>
            </w:tcBorders>
            <w:vAlign w:val="bottom"/>
          </w:tcPr>
          <w:p w14:paraId="7F8E0296"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bottom w:val="single" w:sz="4" w:space="0" w:color="000000"/>
            </w:tcBorders>
            <w:vAlign w:val="bottom"/>
          </w:tcPr>
          <w:p w14:paraId="060633E0"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3700C3C2"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3362C9D6"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6FE5E0D8"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60EFB0F5" w14:textId="77777777" w:rsidR="008E5DE4" w:rsidRDefault="008E5DE4">
            <w:pPr>
              <w:widowControl w:val="0"/>
              <w:pBdr>
                <w:top w:val="nil"/>
                <w:left w:val="nil"/>
                <w:bottom w:val="nil"/>
                <w:right w:val="nil"/>
                <w:between w:val="nil"/>
              </w:pBdr>
              <w:jc w:val="right"/>
              <w:rPr>
                <w:color w:val="000000"/>
                <w:sz w:val="14"/>
                <w:szCs w:val="14"/>
              </w:rPr>
            </w:pPr>
          </w:p>
        </w:tc>
      </w:tr>
      <w:tr w:rsidR="008E5DE4" w14:paraId="61168998" w14:textId="77777777">
        <w:trPr>
          <w:cantSplit/>
        </w:trPr>
        <w:tc>
          <w:tcPr>
            <w:tcW w:w="3685" w:type="dxa"/>
            <w:tcBorders>
              <w:top w:val="single" w:sz="4" w:space="0" w:color="000000"/>
            </w:tcBorders>
            <w:vAlign w:val="bottom"/>
          </w:tcPr>
          <w:p w14:paraId="3BD48BEE"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top w:val="single" w:sz="4" w:space="0" w:color="000000"/>
            </w:tcBorders>
            <w:vAlign w:val="bottom"/>
          </w:tcPr>
          <w:p w14:paraId="6408FFDA" w14:textId="77777777" w:rsidR="008E5DE4" w:rsidRDefault="008E5DE4">
            <w:pPr>
              <w:widowControl w:val="0"/>
              <w:pBdr>
                <w:top w:val="nil"/>
                <w:left w:val="nil"/>
                <w:bottom w:val="nil"/>
                <w:right w:val="nil"/>
                <w:between w:val="nil"/>
              </w:pBdr>
              <w:rPr>
                <w:color w:val="000000"/>
                <w:sz w:val="14"/>
                <w:szCs w:val="14"/>
              </w:rPr>
            </w:pPr>
          </w:p>
        </w:tc>
        <w:tc>
          <w:tcPr>
            <w:tcW w:w="1134" w:type="dxa"/>
            <w:tcBorders>
              <w:top w:val="single" w:sz="4" w:space="0" w:color="000000"/>
            </w:tcBorders>
            <w:vAlign w:val="bottom"/>
          </w:tcPr>
          <w:p w14:paraId="484C3898"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2F23F65D"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11AF0AC8"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033D4897" w14:textId="77777777" w:rsidR="008E5DE4" w:rsidRDefault="008E5DE4">
            <w:pPr>
              <w:widowControl w:val="0"/>
              <w:pBdr>
                <w:top w:val="nil"/>
                <w:left w:val="nil"/>
                <w:bottom w:val="nil"/>
                <w:right w:val="nil"/>
                <w:between w:val="nil"/>
              </w:pBdr>
              <w:jc w:val="right"/>
              <w:rPr>
                <w:color w:val="000000"/>
                <w:sz w:val="14"/>
                <w:szCs w:val="14"/>
              </w:rPr>
            </w:pPr>
          </w:p>
        </w:tc>
      </w:tr>
      <w:tr w:rsidR="008E5DE4" w14:paraId="412526C9" w14:textId="77777777">
        <w:trPr>
          <w:cantSplit/>
        </w:trPr>
        <w:tc>
          <w:tcPr>
            <w:tcW w:w="3685" w:type="dxa"/>
            <w:vAlign w:val="bottom"/>
          </w:tcPr>
          <w:p w14:paraId="38A963AA" w14:textId="77777777" w:rsidR="008E5DE4" w:rsidRDefault="00780368">
            <w:pPr>
              <w:widowControl w:val="0"/>
              <w:pBdr>
                <w:top w:val="nil"/>
                <w:left w:val="nil"/>
                <w:bottom w:val="nil"/>
                <w:right w:val="nil"/>
                <w:between w:val="nil"/>
              </w:pBdr>
              <w:ind w:left="113" w:right="-57" w:hanging="113"/>
              <w:rPr>
                <w:color w:val="000000"/>
              </w:rPr>
            </w:pPr>
            <w:r>
              <w:rPr>
                <w:color w:val="000000"/>
              </w:rPr>
              <w:t>Less credit loss allowance</w:t>
            </w:r>
          </w:p>
        </w:tc>
        <w:tc>
          <w:tcPr>
            <w:tcW w:w="1134" w:type="dxa"/>
            <w:vAlign w:val="bottom"/>
          </w:tcPr>
          <w:p w14:paraId="55613A43" w14:textId="77777777" w:rsidR="008E5DE4" w:rsidRDefault="008E5DE4">
            <w:pPr>
              <w:widowControl w:val="0"/>
              <w:pBdr>
                <w:top w:val="nil"/>
                <w:left w:val="nil"/>
                <w:bottom w:val="nil"/>
                <w:right w:val="nil"/>
                <w:between w:val="nil"/>
              </w:pBdr>
              <w:rPr>
                <w:color w:val="000000"/>
              </w:rPr>
            </w:pPr>
          </w:p>
        </w:tc>
        <w:tc>
          <w:tcPr>
            <w:tcW w:w="1134" w:type="dxa"/>
            <w:vAlign w:val="bottom"/>
          </w:tcPr>
          <w:p w14:paraId="0E04FD7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07BE7D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C79EC6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6E5E51" w14:textId="77777777" w:rsidR="008E5DE4" w:rsidRDefault="008E5DE4">
            <w:pPr>
              <w:widowControl w:val="0"/>
              <w:pBdr>
                <w:top w:val="nil"/>
                <w:left w:val="nil"/>
                <w:bottom w:val="nil"/>
                <w:right w:val="nil"/>
                <w:between w:val="nil"/>
              </w:pBdr>
              <w:jc w:val="right"/>
              <w:rPr>
                <w:color w:val="000000"/>
              </w:rPr>
            </w:pPr>
          </w:p>
        </w:tc>
      </w:tr>
      <w:tr w:rsidR="008E5DE4" w14:paraId="524BA14D" w14:textId="77777777">
        <w:trPr>
          <w:cantSplit/>
        </w:trPr>
        <w:tc>
          <w:tcPr>
            <w:tcW w:w="3685" w:type="dxa"/>
            <w:vAlign w:val="bottom"/>
          </w:tcPr>
          <w:p w14:paraId="494DD34C" w14:textId="77777777" w:rsidR="008E5DE4" w:rsidRDefault="00780368">
            <w:pPr>
              <w:widowControl w:val="0"/>
              <w:pBdr>
                <w:top w:val="nil"/>
                <w:left w:val="nil"/>
                <w:bottom w:val="nil"/>
                <w:right w:val="nil"/>
                <w:between w:val="nil"/>
              </w:pBdr>
              <w:ind w:left="113" w:right="-57" w:hanging="113"/>
              <w:rPr>
                <w:color w:val="000000"/>
              </w:rPr>
            </w:pPr>
            <w:r>
              <w:rPr>
                <w:color w:val="000000"/>
              </w:rPr>
              <w:t>Less fair value adjustment from AC to FV</w:t>
            </w:r>
          </w:p>
        </w:tc>
        <w:tc>
          <w:tcPr>
            <w:tcW w:w="1134" w:type="dxa"/>
            <w:vAlign w:val="bottom"/>
          </w:tcPr>
          <w:p w14:paraId="49AFE220" w14:textId="77777777" w:rsidR="008E5DE4" w:rsidRDefault="008E5DE4">
            <w:pPr>
              <w:widowControl w:val="0"/>
              <w:pBdr>
                <w:top w:val="nil"/>
                <w:left w:val="nil"/>
                <w:bottom w:val="nil"/>
                <w:right w:val="nil"/>
                <w:between w:val="nil"/>
              </w:pBdr>
              <w:rPr>
                <w:color w:val="000000"/>
              </w:rPr>
            </w:pPr>
          </w:p>
        </w:tc>
        <w:tc>
          <w:tcPr>
            <w:tcW w:w="1134" w:type="dxa"/>
            <w:vAlign w:val="bottom"/>
          </w:tcPr>
          <w:p w14:paraId="7B82C57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2DDFF8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A1D3B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43C0E3" w14:textId="77777777" w:rsidR="008E5DE4" w:rsidRDefault="008E5DE4">
            <w:pPr>
              <w:widowControl w:val="0"/>
              <w:pBdr>
                <w:top w:val="nil"/>
                <w:left w:val="nil"/>
                <w:bottom w:val="nil"/>
                <w:right w:val="nil"/>
                <w:between w:val="nil"/>
              </w:pBdr>
              <w:jc w:val="right"/>
              <w:rPr>
                <w:color w:val="000000"/>
              </w:rPr>
            </w:pPr>
          </w:p>
        </w:tc>
      </w:tr>
      <w:tr w:rsidR="008E5DE4" w14:paraId="4F7140BA" w14:textId="77777777">
        <w:trPr>
          <w:cantSplit/>
        </w:trPr>
        <w:tc>
          <w:tcPr>
            <w:tcW w:w="3685" w:type="dxa"/>
            <w:tcBorders>
              <w:bottom w:val="single" w:sz="4" w:space="0" w:color="000000"/>
            </w:tcBorders>
            <w:vAlign w:val="bottom"/>
          </w:tcPr>
          <w:p w14:paraId="3A77E2D6"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bottom w:val="single" w:sz="4" w:space="0" w:color="000000"/>
            </w:tcBorders>
            <w:vAlign w:val="bottom"/>
          </w:tcPr>
          <w:p w14:paraId="2445F9BF" w14:textId="77777777" w:rsidR="008E5DE4" w:rsidRDefault="008E5DE4">
            <w:pPr>
              <w:widowControl w:val="0"/>
              <w:pBdr>
                <w:top w:val="nil"/>
                <w:left w:val="nil"/>
                <w:bottom w:val="nil"/>
                <w:right w:val="nil"/>
                <w:between w:val="nil"/>
              </w:pBdr>
              <w:rPr>
                <w:color w:val="000000"/>
                <w:sz w:val="14"/>
                <w:szCs w:val="14"/>
              </w:rPr>
            </w:pPr>
          </w:p>
        </w:tc>
        <w:tc>
          <w:tcPr>
            <w:tcW w:w="1134" w:type="dxa"/>
            <w:tcBorders>
              <w:bottom w:val="single" w:sz="4" w:space="0" w:color="000000"/>
            </w:tcBorders>
            <w:vAlign w:val="bottom"/>
          </w:tcPr>
          <w:p w14:paraId="2B8ACB3C"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06A39524"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4C9D3F79"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4798E40A" w14:textId="77777777" w:rsidR="008E5DE4" w:rsidRDefault="008E5DE4">
            <w:pPr>
              <w:widowControl w:val="0"/>
              <w:pBdr>
                <w:top w:val="nil"/>
                <w:left w:val="nil"/>
                <w:bottom w:val="nil"/>
                <w:right w:val="nil"/>
                <w:between w:val="nil"/>
              </w:pBdr>
              <w:jc w:val="right"/>
              <w:rPr>
                <w:color w:val="000000"/>
                <w:sz w:val="14"/>
                <w:szCs w:val="14"/>
              </w:rPr>
            </w:pPr>
          </w:p>
        </w:tc>
      </w:tr>
      <w:tr w:rsidR="008E5DE4" w14:paraId="4380B871" w14:textId="77777777">
        <w:trPr>
          <w:cantSplit/>
        </w:trPr>
        <w:tc>
          <w:tcPr>
            <w:tcW w:w="3685" w:type="dxa"/>
            <w:tcBorders>
              <w:top w:val="single" w:sz="4" w:space="0" w:color="000000"/>
            </w:tcBorders>
            <w:vAlign w:val="bottom"/>
          </w:tcPr>
          <w:p w14:paraId="46CD0B64"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top w:val="single" w:sz="4" w:space="0" w:color="000000"/>
            </w:tcBorders>
            <w:vAlign w:val="bottom"/>
          </w:tcPr>
          <w:p w14:paraId="433AE3C7" w14:textId="77777777" w:rsidR="008E5DE4" w:rsidRDefault="008E5DE4">
            <w:pPr>
              <w:widowControl w:val="0"/>
              <w:pBdr>
                <w:top w:val="nil"/>
                <w:left w:val="nil"/>
                <w:bottom w:val="nil"/>
                <w:right w:val="nil"/>
                <w:between w:val="nil"/>
              </w:pBdr>
              <w:rPr>
                <w:color w:val="000000"/>
                <w:sz w:val="14"/>
                <w:szCs w:val="14"/>
              </w:rPr>
            </w:pPr>
          </w:p>
        </w:tc>
        <w:tc>
          <w:tcPr>
            <w:tcW w:w="1134" w:type="dxa"/>
            <w:tcBorders>
              <w:top w:val="single" w:sz="4" w:space="0" w:color="000000"/>
            </w:tcBorders>
            <w:vAlign w:val="bottom"/>
          </w:tcPr>
          <w:p w14:paraId="45412B13"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701E5350"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566F14FA"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7E84B0D4" w14:textId="77777777" w:rsidR="008E5DE4" w:rsidRDefault="008E5DE4">
            <w:pPr>
              <w:widowControl w:val="0"/>
              <w:pBdr>
                <w:top w:val="nil"/>
                <w:left w:val="nil"/>
                <w:bottom w:val="nil"/>
                <w:right w:val="nil"/>
                <w:between w:val="nil"/>
              </w:pBdr>
              <w:jc w:val="right"/>
              <w:rPr>
                <w:color w:val="000000"/>
                <w:sz w:val="14"/>
                <w:szCs w:val="14"/>
              </w:rPr>
            </w:pPr>
          </w:p>
        </w:tc>
      </w:tr>
      <w:tr w:rsidR="008E5DE4" w14:paraId="4136DF27" w14:textId="77777777">
        <w:trPr>
          <w:cantSplit/>
        </w:trPr>
        <w:tc>
          <w:tcPr>
            <w:tcW w:w="3685" w:type="dxa"/>
            <w:vAlign w:val="bottom"/>
          </w:tcPr>
          <w:p w14:paraId="3C30919B" w14:textId="77777777" w:rsidR="008E5DE4" w:rsidRDefault="00780368">
            <w:pPr>
              <w:widowControl w:val="0"/>
              <w:pBdr>
                <w:top w:val="nil"/>
                <w:left w:val="nil"/>
                <w:bottom w:val="nil"/>
                <w:right w:val="nil"/>
                <w:between w:val="nil"/>
              </w:pBdr>
              <w:ind w:left="113" w:right="-57" w:hanging="113"/>
              <w:rPr>
                <w:color w:val="000000"/>
              </w:rPr>
            </w:pPr>
            <w:r>
              <w:rPr>
                <w:color w:val="000000"/>
              </w:rPr>
              <w:t>Carrying value (fair value)</w:t>
            </w:r>
          </w:p>
        </w:tc>
        <w:tc>
          <w:tcPr>
            <w:tcW w:w="1134" w:type="dxa"/>
            <w:vAlign w:val="bottom"/>
          </w:tcPr>
          <w:p w14:paraId="2E4EB6E2" w14:textId="77777777" w:rsidR="008E5DE4" w:rsidRDefault="008E5DE4">
            <w:pPr>
              <w:widowControl w:val="0"/>
              <w:pBdr>
                <w:top w:val="nil"/>
                <w:left w:val="nil"/>
                <w:bottom w:val="nil"/>
                <w:right w:val="nil"/>
                <w:between w:val="nil"/>
              </w:pBdr>
              <w:rPr>
                <w:color w:val="000000"/>
              </w:rPr>
            </w:pPr>
          </w:p>
        </w:tc>
        <w:tc>
          <w:tcPr>
            <w:tcW w:w="1134" w:type="dxa"/>
            <w:vAlign w:val="bottom"/>
          </w:tcPr>
          <w:p w14:paraId="1CCAD23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EE96B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17C58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A03072B" w14:textId="77777777" w:rsidR="008E5DE4" w:rsidRDefault="008E5DE4">
            <w:pPr>
              <w:widowControl w:val="0"/>
              <w:pBdr>
                <w:top w:val="nil"/>
                <w:left w:val="nil"/>
                <w:bottom w:val="nil"/>
                <w:right w:val="nil"/>
                <w:between w:val="nil"/>
              </w:pBdr>
              <w:jc w:val="right"/>
              <w:rPr>
                <w:color w:val="000000"/>
              </w:rPr>
            </w:pPr>
          </w:p>
        </w:tc>
      </w:tr>
      <w:tr w:rsidR="008E5DE4" w14:paraId="4A5961AF" w14:textId="77777777">
        <w:trPr>
          <w:cantSplit/>
        </w:trPr>
        <w:tc>
          <w:tcPr>
            <w:tcW w:w="3685" w:type="dxa"/>
            <w:tcBorders>
              <w:bottom w:val="single" w:sz="12" w:space="0" w:color="000000"/>
            </w:tcBorders>
            <w:vAlign w:val="bottom"/>
          </w:tcPr>
          <w:p w14:paraId="711BAF89"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bottom w:val="single" w:sz="12" w:space="0" w:color="000000"/>
            </w:tcBorders>
            <w:vAlign w:val="bottom"/>
          </w:tcPr>
          <w:p w14:paraId="4E2A08D7" w14:textId="77777777" w:rsidR="008E5DE4" w:rsidRDefault="008E5DE4">
            <w:pPr>
              <w:widowControl w:val="0"/>
              <w:pBdr>
                <w:top w:val="nil"/>
                <w:left w:val="nil"/>
                <w:bottom w:val="nil"/>
                <w:right w:val="nil"/>
                <w:between w:val="nil"/>
              </w:pBdr>
              <w:rPr>
                <w:color w:val="000000"/>
                <w:sz w:val="14"/>
                <w:szCs w:val="14"/>
              </w:rPr>
            </w:pPr>
          </w:p>
        </w:tc>
        <w:tc>
          <w:tcPr>
            <w:tcW w:w="1134" w:type="dxa"/>
            <w:tcBorders>
              <w:bottom w:val="single" w:sz="12" w:space="0" w:color="000000"/>
            </w:tcBorders>
            <w:vAlign w:val="bottom"/>
          </w:tcPr>
          <w:p w14:paraId="3DA1F380"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090755B6"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796FE348"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546F3BE3" w14:textId="77777777" w:rsidR="008E5DE4" w:rsidRDefault="008E5DE4">
            <w:pPr>
              <w:widowControl w:val="0"/>
              <w:pBdr>
                <w:top w:val="nil"/>
                <w:left w:val="nil"/>
                <w:bottom w:val="nil"/>
                <w:right w:val="nil"/>
                <w:between w:val="nil"/>
              </w:pBdr>
              <w:jc w:val="right"/>
              <w:rPr>
                <w:color w:val="000000"/>
                <w:sz w:val="14"/>
                <w:szCs w:val="14"/>
              </w:rPr>
            </w:pPr>
          </w:p>
        </w:tc>
      </w:tr>
      <w:tr w:rsidR="008E5DE4" w14:paraId="263A2E32" w14:textId="77777777">
        <w:trPr>
          <w:cantSplit/>
        </w:trPr>
        <w:tc>
          <w:tcPr>
            <w:tcW w:w="3685" w:type="dxa"/>
            <w:tcBorders>
              <w:top w:val="single" w:sz="12" w:space="0" w:color="000000"/>
            </w:tcBorders>
            <w:vAlign w:val="bottom"/>
          </w:tcPr>
          <w:p w14:paraId="620557D4"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top w:val="single" w:sz="12" w:space="0" w:color="000000"/>
            </w:tcBorders>
            <w:vAlign w:val="bottom"/>
          </w:tcPr>
          <w:p w14:paraId="02075761"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12" w:space="0" w:color="000000"/>
            </w:tcBorders>
            <w:vAlign w:val="bottom"/>
          </w:tcPr>
          <w:p w14:paraId="6EAFE546"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12" w:space="0" w:color="000000"/>
            </w:tcBorders>
            <w:vAlign w:val="bottom"/>
          </w:tcPr>
          <w:p w14:paraId="6CFBA1BF"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12" w:space="0" w:color="000000"/>
            </w:tcBorders>
            <w:vAlign w:val="bottom"/>
          </w:tcPr>
          <w:p w14:paraId="0C78FBC6"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12" w:space="0" w:color="000000"/>
            </w:tcBorders>
            <w:vAlign w:val="bottom"/>
          </w:tcPr>
          <w:p w14:paraId="185F9740" w14:textId="77777777" w:rsidR="008E5DE4" w:rsidRDefault="008E5DE4">
            <w:pPr>
              <w:widowControl w:val="0"/>
              <w:pBdr>
                <w:top w:val="nil"/>
                <w:left w:val="nil"/>
                <w:bottom w:val="nil"/>
                <w:right w:val="nil"/>
                <w:between w:val="nil"/>
              </w:pBdr>
              <w:jc w:val="right"/>
              <w:rPr>
                <w:color w:val="000000"/>
                <w:sz w:val="14"/>
                <w:szCs w:val="14"/>
              </w:rPr>
            </w:pPr>
          </w:p>
        </w:tc>
      </w:tr>
      <w:tr w:rsidR="008E5DE4" w14:paraId="3744FFFA" w14:textId="77777777">
        <w:trPr>
          <w:cantSplit/>
        </w:trPr>
        <w:tc>
          <w:tcPr>
            <w:tcW w:w="3685" w:type="dxa"/>
            <w:vAlign w:val="bottom"/>
          </w:tcPr>
          <w:p w14:paraId="210AF3A1"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Municipal bonds</w:t>
            </w:r>
          </w:p>
        </w:tc>
        <w:tc>
          <w:tcPr>
            <w:tcW w:w="1134" w:type="dxa"/>
            <w:vAlign w:val="bottom"/>
          </w:tcPr>
          <w:p w14:paraId="3C313B8F"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47C6AF25"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2C3A023F"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487502A1"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4BF2A8DD" w14:textId="77777777" w:rsidR="008E5DE4" w:rsidRDefault="008E5DE4">
            <w:pPr>
              <w:widowControl w:val="0"/>
              <w:pBdr>
                <w:top w:val="nil"/>
                <w:left w:val="nil"/>
                <w:bottom w:val="nil"/>
                <w:right w:val="nil"/>
                <w:between w:val="nil"/>
              </w:pBdr>
              <w:rPr>
                <w:b/>
                <w:i/>
                <w:color w:val="000000"/>
              </w:rPr>
            </w:pPr>
          </w:p>
        </w:tc>
      </w:tr>
      <w:tr w:rsidR="008E5DE4" w14:paraId="4E248D8E" w14:textId="77777777">
        <w:trPr>
          <w:cantSplit/>
        </w:trPr>
        <w:tc>
          <w:tcPr>
            <w:tcW w:w="3685" w:type="dxa"/>
            <w:vAlign w:val="bottom"/>
          </w:tcPr>
          <w:p w14:paraId="6D1CDD8E"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076C723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669BE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97779F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78E76B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F6CDB44" w14:textId="77777777" w:rsidR="008E5DE4" w:rsidRDefault="008E5DE4">
            <w:pPr>
              <w:widowControl w:val="0"/>
              <w:pBdr>
                <w:top w:val="nil"/>
                <w:left w:val="nil"/>
                <w:bottom w:val="nil"/>
                <w:right w:val="nil"/>
                <w:between w:val="nil"/>
              </w:pBdr>
              <w:jc w:val="right"/>
              <w:rPr>
                <w:color w:val="000000"/>
              </w:rPr>
            </w:pPr>
          </w:p>
        </w:tc>
      </w:tr>
      <w:tr w:rsidR="008E5DE4" w14:paraId="33A77CDE" w14:textId="77777777">
        <w:trPr>
          <w:cantSplit/>
        </w:trPr>
        <w:tc>
          <w:tcPr>
            <w:tcW w:w="3685" w:type="dxa"/>
            <w:vAlign w:val="bottom"/>
          </w:tcPr>
          <w:p w14:paraId="6B574FDC"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0F9F8B8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6B7B2F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58DB0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BD6C78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B22E50" w14:textId="77777777" w:rsidR="008E5DE4" w:rsidRDefault="008E5DE4">
            <w:pPr>
              <w:widowControl w:val="0"/>
              <w:pBdr>
                <w:top w:val="nil"/>
                <w:left w:val="nil"/>
                <w:bottom w:val="nil"/>
                <w:right w:val="nil"/>
                <w:between w:val="nil"/>
              </w:pBdr>
              <w:jc w:val="right"/>
              <w:rPr>
                <w:color w:val="000000"/>
              </w:rPr>
            </w:pPr>
          </w:p>
        </w:tc>
      </w:tr>
      <w:tr w:rsidR="008E5DE4" w14:paraId="6CD5E1B3" w14:textId="77777777">
        <w:trPr>
          <w:cantSplit/>
        </w:trPr>
        <w:tc>
          <w:tcPr>
            <w:tcW w:w="3685" w:type="dxa"/>
            <w:vAlign w:val="bottom"/>
          </w:tcPr>
          <w:p w14:paraId="3B6E2744"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0BE534A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2168B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3BB3F5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1791CF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58B99F" w14:textId="77777777" w:rsidR="008E5DE4" w:rsidRDefault="008E5DE4">
            <w:pPr>
              <w:widowControl w:val="0"/>
              <w:pBdr>
                <w:top w:val="nil"/>
                <w:left w:val="nil"/>
                <w:bottom w:val="nil"/>
                <w:right w:val="nil"/>
                <w:between w:val="nil"/>
              </w:pBdr>
              <w:jc w:val="right"/>
              <w:rPr>
                <w:color w:val="000000"/>
              </w:rPr>
            </w:pPr>
          </w:p>
        </w:tc>
      </w:tr>
      <w:tr w:rsidR="008E5DE4" w14:paraId="4B79B4D9" w14:textId="77777777">
        <w:trPr>
          <w:cantSplit/>
        </w:trPr>
        <w:tc>
          <w:tcPr>
            <w:tcW w:w="3685" w:type="dxa"/>
            <w:vAlign w:val="bottom"/>
          </w:tcPr>
          <w:p w14:paraId="6440812B"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19A8334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C2F5E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660FFC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241531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F1DF62B" w14:textId="77777777" w:rsidR="008E5DE4" w:rsidRDefault="008E5DE4">
            <w:pPr>
              <w:widowControl w:val="0"/>
              <w:pBdr>
                <w:top w:val="nil"/>
                <w:left w:val="nil"/>
                <w:bottom w:val="nil"/>
                <w:right w:val="nil"/>
                <w:between w:val="nil"/>
              </w:pBdr>
              <w:jc w:val="right"/>
              <w:rPr>
                <w:color w:val="000000"/>
              </w:rPr>
            </w:pPr>
          </w:p>
        </w:tc>
      </w:tr>
      <w:tr w:rsidR="008E5DE4" w14:paraId="48852A66" w14:textId="77777777">
        <w:trPr>
          <w:cantSplit/>
        </w:trPr>
        <w:tc>
          <w:tcPr>
            <w:tcW w:w="3685" w:type="dxa"/>
            <w:vAlign w:val="bottom"/>
          </w:tcPr>
          <w:p w14:paraId="171BD1E2" w14:textId="77777777" w:rsidR="008E5DE4" w:rsidRDefault="00780368">
            <w:pPr>
              <w:widowControl w:val="0"/>
              <w:pBdr>
                <w:top w:val="nil"/>
                <w:left w:val="nil"/>
                <w:bottom w:val="nil"/>
                <w:right w:val="nil"/>
                <w:between w:val="nil"/>
              </w:pBdr>
              <w:ind w:left="113" w:right="-57" w:hanging="113"/>
              <w:rPr>
                <w:color w:val="0000FF"/>
              </w:rPr>
            </w:pPr>
            <w:r>
              <w:rPr>
                <w:color w:val="000000"/>
              </w:rPr>
              <w:t>- Default</w:t>
            </w:r>
          </w:p>
        </w:tc>
        <w:tc>
          <w:tcPr>
            <w:tcW w:w="1134" w:type="dxa"/>
            <w:vAlign w:val="bottom"/>
          </w:tcPr>
          <w:p w14:paraId="214F97E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58359B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16022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65C390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B048C40" w14:textId="77777777" w:rsidR="008E5DE4" w:rsidRDefault="008E5DE4">
            <w:pPr>
              <w:widowControl w:val="0"/>
              <w:pBdr>
                <w:top w:val="nil"/>
                <w:left w:val="nil"/>
                <w:bottom w:val="nil"/>
                <w:right w:val="nil"/>
                <w:between w:val="nil"/>
              </w:pBdr>
              <w:jc w:val="right"/>
              <w:rPr>
                <w:color w:val="000000"/>
              </w:rPr>
            </w:pPr>
          </w:p>
        </w:tc>
      </w:tr>
      <w:tr w:rsidR="008E5DE4" w14:paraId="68CFD9E5" w14:textId="77777777">
        <w:trPr>
          <w:cantSplit/>
        </w:trPr>
        <w:tc>
          <w:tcPr>
            <w:tcW w:w="3685" w:type="dxa"/>
            <w:tcBorders>
              <w:bottom w:val="single" w:sz="4" w:space="0" w:color="000000"/>
            </w:tcBorders>
            <w:vAlign w:val="bottom"/>
          </w:tcPr>
          <w:p w14:paraId="37B858E8"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bottom w:val="single" w:sz="4" w:space="0" w:color="000000"/>
            </w:tcBorders>
            <w:vAlign w:val="bottom"/>
          </w:tcPr>
          <w:p w14:paraId="36378B8E" w14:textId="77777777" w:rsidR="008E5DE4" w:rsidRDefault="008E5DE4">
            <w:pPr>
              <w:widowControl w:val="0"/>
              <w:pBdr>
                <w:top w:val="nil"/>
                <w:left w:val="nil"/>
                <w:bottom w:val="nil"/>
                <w:right w:val="nil"/>
                <w:between w:val="nil"/>
              </w:pBdr>
              <w:rPr>
                <w:color w:val="000000"/>
                <w:sz w:val="14"/>
                <w:szCs w:val="14"/>
              </w:rPr>
            </w:pPr>
          </w:p>
        </w:tc>
        <w:tc>
          <w:tcPr>
            <w:tcW w:w="1134" w:type="dxa"/>
            <w:tcBorders>
              <w:bottom w:val="single" w:sz="4" w:space="0" w:color="000000"/>
            </w:tcBorders>
            <w:vAlign w:val="bottom"/>
          </w:tcPr>
          <w:p w14:paraId="0BF1A72C"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50A6FBA1"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3110359E"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55E5B7FA" w14:textId="77777777" w:rsidR="008E5DE4" w:rsidRDefault="008E5DE4">
            <w:pPr>
              <w:widowControl w:val="0"/>
              <w:pBdr>
                <w:top w:val="nil"/>
                <w:left w:val="nil"/>
                <w:bottom w:val="nil"/>
                <w:right w:val="nil"/>
                <w:between w:val="nil"/>
              </w:pBdr>
              <w:jc w:val="right"/>
              <w:rPr>
                <w:color w:val="000000"/>
                <w:sz w:val="14"/>
                <w:szCs w:val="14"/>
              </w:rPr>
            </w:pPr>
          </w:p>
        </w:tc>
      </w:tr>
      <w:tr w:rsidR="008E5DE4" w14:paraId="1C3DCA8D" w14:textId="77777777">
        <w:trPr>
          <w:cantSplit/>
        </w:trPr>
        <w:tc>
          <w:tcPr>
            <w:tcW w:w="3685" w:type="dxa"/>
            <w:tcBorders>
              <w:top w:val="single" w:sz="4" w:space="0" w:color="000000"/>
            </w:tcBorders>
            <w:vAlign w:val="bottom"/>
          </w:tcPr>
          <w:p w14:paraId="08E70B80"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top w:val="single" w:sz="4" w:space="0" w:color="000000"/>
            </w:tcBorders>
            <w:vAlign w:val="bottom"/>
          </w:tcPr>
          <w:p w14:paraId="22B0D0CB"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7446C46C"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59EA6AC7"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110F44C3"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11CDB8F8" w14:textId="77777777" w:rsidR="008E5DE4" w:rsidRDefault="008E5DE4">
            <w:pPr>
              <w:widowControl w:val="0"/>
              <w:pBdr>
                <w:top w:val="nil"/>
                <w:left w:val="nil"/>
                <w:bottom w:val="nil"/>
                <w:right w:val="nil"/>
                <w:between w:val="nil"/>
              </w:pBdr>
              <w:jc w:val="right"/>
              <w:rPr>
                <w:color w:val="000000"/>
                <w:sz w:val="14"/>
                <w:szCs w:val="14"/>
              </w:rPr>
            </w:pPr>
          </w:p>
        </w:tc>
      </w:tr>
      <w:tr w:rsidR="008E5DE4" w14:paraId="2F026DAD" w14:textId="77777777">
        <w:trPr>
          <w:cantSplit/>
        </w:trPr>
        <w:tc>
          <w:tcPr>
            <w:tcW w:w="3685" w:type="dxa"/>
            <w:vAlign w:val="bottom"/>
          </w:tcPr>
          <w:p w14:paraId="09904F81" w14:textId="77777777" w:rsidR="008E5DE4" w:rsidRDefault="00780368">
            <w:pPr>
              <w:widowControl w:val="0"/>
              <w:pBdr>
                <w:top w:val="nil"/>
                <w:left w:val="nil"/>
                <w:bottom w:val="nil"/>
                <w:right w:val="nil"/>
                <w:between w:val="nil"/>
              </w:pBdr>
              <w:ind w:left="113" w:right="-57" w:hanging="113"/>
              <w:rPr>
                <w:color w:val="000000"/>
              </w:rPr>
            </w:pPr>
            <w:r>
              <w:rPr>
                <w:color w:val="000000"/>
              </w:rPr>
              <w:t>Total AC gross carrying amount</w:t>
            </w:r>
          </w:p>
        </w:tc>
        <w:tc>
          <w:tcPr>
            <w:tcW w:w="1134" w:type="dxa"/>
            <w:vAlign w:val="bottom"/>
          </w:tcPr>
          <w:p w14:paraId="0046B7E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409903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DEED83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EE9815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F147612" w14:textId="77777777" w:rsidR="008E5DE4" w:rsidRDefault="008E5DE4">
            <w:pPr>
              <w:widowControl w:val="0"/>
              <w:pBdr>
                <w:top w:val="nil"/>
                <w:left w:val="nil"/>
                <w:bottom w:val="nil"/>
                <w:right w:val="nil"/>
                <w:between w:val="nil"/>
              </w:pBdr>
              <w:jc w:val="right"/>
              <w:rPr>
                <w:color w:val="000000"/>
              </w:rPr>
            </w:pPr>
          </w:p>
        </w:tc>
      </w:tr>
      <w:tr w:rsidR="008E5DE4" w14:paraId="026EF8E0" w14:textId="77777777">
        <w:trPr>
          <w:cantSplit/>
        </w:trPr>
        <w:tc>
          <w:tcPr>
            <w:tcW w:w="3685" w:type="dxa"/>
            <w:tcBorders>
              <w:bottom w:val="single" w:sz="4" w:space="0" w:color="000000"/>
            </w:tcBorders>
            <w:vAlign w:val="bottom"/>
          </w:tcPr>
          <w:p w14:paraId="0B365739"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bottom w:val="single" w:sz="4" w:space="0" w:color="000000"/>
            </w:tcBorders>
            <w:vAlign w:val="bottom"/>
          </w:tcPr>
          <w:p w14:paraId="3EBCE339"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6F65E06A"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325F3320"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09392CC4"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71772262" w14:textId="77777777" w:rsidR="008E5DE4" w:rsidRDefault="008E5DE4">
            <w:pPr>
              <w:widowControl w:val="0"/>
              <w:pBdr>
                <w:top w:val="nil"/>
                <w:left w:val="nil"/>
                <w:bottom w:val="nil"/>
                <w:right w:val="nil"/>
                <w:between w:val="nil"/>
              </w:pBdr>
              <w:jc w:val="right"/>
              <w:rPr>
                <w:color w:val="000000"/>
                <w:sz w:val="14"/>
                <w:szCs w:val="14"/>
              </w:rPr>
            </w:pPr>
          </w:p>
        </w:tc>
      </w:tr>
      <w:tr w:rsidR="008E5DE4" w14:paraId="66D3C27C" w14:textId="77777777">
        <w:trPr>
          <w:cantSplit/>
        </w:trPr>
        <w:tc>
          <w:tcPr>
            <w:tcW w:w="3685" w:type="dxa"/>
            <w:tcBorders>
              <w:top w:val="single" w:sz="4" w:space="0" w:color="000000"/>
            </w:tcBorders>
            <w:vAlign w:val="bottom"/>
          </w:tcPr>
          <w:p w14:paraId="764E52CF"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top w:val="single" w:sz="4" w:space="0" w:color="000000"/>
            </w:tcBorders>
            <w:vAlign w:val="bottom"/>
          </w:tcPr>
          <w:p w14:paraId="35CBBA33" w14:textId="77777777" w:rsidR="008E5DE4" w:rsidRDefault="008E5DE4">
            <w:pPr>
              <w:widowControl w:val="0"/>
              <w:pBdr>
                <w:top w:val="nil"/>
                <w:left w:val="nil"/>
                <w:bottom w:val="nil"/>
                <w:right w:val="nil"/>
                <w:between w:val="nil"/>
              </w:pBdr>
              <w:rPr>
                <w:color w:val="000000"/>
                <w:sz w:val="14"/>
                <w:szCs w:val="14"/>
              </w:rPr>
            </w:pPr>
          </w:p>
        </w:tc>
        <w:tc>
          <w:tcPr>
            <w:tcW w:w="1134" w:type="dxa"/>
            <w:tcBorders>
              <w:top w:val="single" w:sz="4" w:space="0" w:color="000000"/>
            </w:tcBorders>
            <w:vAlign w:val="bottom"/>
          </w:tcPr>
          <w:p w14:paraId="63B30FC4"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6770B8DA"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6A707D8D"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788D7BD0" w14:textId="77777777" w:rsidR="008E5DE4" w:rsidRDefault="008E5DE4">
            <w:pPr>
              <w:widowControl w:val="0"/>
              <w:pBdr>
                <w:top w:val="nil"/>
                <w:left w:val="nil"/>
                <w:bottom w:val="nil"/>
                <w:right w:val="nil"/>
                <w:between w:val="nil"/>
              </w:pBdr>
              <w:jc w:val="right"/>
              <w:rPr>
                <w:color w:val="000000"/>
                <w:sz w:val="14"/>
                <w:szCs w:val="14"/>
              </w:rPr>
            </w:pPr>
          </w:p>
        </w:tc>
      </w:tr>
      <w:tr w:rsidR="008E5DE4" w14:paraId="6E5DD0D4" w14:textId="77777777">
        <w:trPr>
          <w:cantSplit/>
        </w:trPr>
        <w:tc>
          <w:tcPr>
            <w:tcW w:w="3685" w:type="dxa"/>
            <w:vAlign w:val="bottom"/>
          </w:tcPr>
          <w:p w14:paraId="64D90CD9" w14:textId="77777777" w:rsidR="008E5DE4" w:rsidRDefault="00780368">
            <w:pPr>
              <w:widowControl w:val="0"/>
              <w:pBdr>
                <w:top w:val="nil"/>
                <w:left w:val="nil"/>
                <w:bottom w:val="nil"/>
                <w:right w:val="nil"/>
                <w:between w:val="nil"/>
              </w:pBdr>
              <w:ind w:left="113" w:right="-57" w:hanging="113"/>
              <w:rPr>
                <w:color w:val="000000"/>
              </w:rPr>
            </w:pPr>
            <w:r>
              <w:rPr>
                <w:color w:val="000000"/>
              </w:rPr>
              <w:t>Less credit loss allowance</w:t>
            </w:r>
          </w:p>
        </w:tc>
        <w:tc>
          <w:tcPr>
            <w:tcW w:w="1134" w:type="dxa"/>
            <w:vAlign w:val="bottom"/>
          </w:tcPr>
          <w:p w14:paraId="75CEE00F" w14:textId="77777777" w:rsidR="008E5DE4" w:rsidRDefault="008E5DE4">
            <w:pPr>
              <w:widowControl w:val="0"/>
              <w:pBdr>
                <w:top w:val="nil"/>
                <w:left w:val="nil"/>
                <w:bottom w:val="nil"/>
                <w:right w:val="nil"/>
                <w:between w:val="nil"/>
              </w:pBdr>
              <w:rPr>
                <w:color w:val="000000"/>
              </w:rPr>
            </w:pPr>
          </w:p>
        </w:tc>
        <w:tc>
          <w:tcPr>
            <w:tcW w:w="1134" w:type="dxa"/>
            <w:vAlign w:val="bottom"/>
          </w:tcPr>
          <w:p w14:paraId="1C7689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A8A817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E94760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0802024" w14:textId="77777777" w:rsidR="008E5DE4" w:rsidRDefault="008E5DE4">
            <w:pPr>
              <w:widowControl w:val="0"/>
              <w:pBdr>
                <w:top w:val="nil"/>
                <w:left w:val="nil"/>
                <w:bottom w:val="nil"/>
                <w:right w:val="nil"/>
                <w:between w:val="nil"/>
              </w:pBdr>
              <w:jc w:val="right"/>
              <w:rPr>
                <w:color w:val="000000"/>
              </w:rPr>
            </w:pPr>
          </w:p>
        </w:tc>
      </w:tr>
      <w:tr w:rsidR="008E5DE4" w14:paraId="693783F3" w14:textId="77777777">
        <w:trPr>
          <w:cantSplit/>
        </w:trPr>
        <w:tc>
          <w:tcPr>
            <w:tcW w:w="3685" w:type="dxa"/>
            <w:vAlign w:val="bottom"/>
          </w:tcPr>
          <w:p w14:paraId="2021475C" w14:textId="77777777" w:rsidR="008E5DE4" w:rsidRDefault="00780368">
            <w:pPr>
              <w:widowControl w:val="0"/>
              <w:pBdr>
                <w:top w:val="nil"/>
                <w:left w:val="nil"/>
                <w:bottom w:val="nil"/>
                <w:right w:val="nil"/>
                <w:between w:val="nil"/>
              </w:pBdr>
              <w:ind w:left="113" w:right="-57" w:hanging="113"/>
              <w:rPr>
                <w:color w:val="000000"/>
              </w:rPr>
            </w:pPr>
            <w:r>
              <w:rPr>
                <w:color w:val="000000"/>
              </w:rPr>
              <w:t>Less fair value adjustment from AC to FV</w:t>
            </w:r>
          </w:p>
        </w:tc>
        <w:tc>
          <w:tcPr>
            <w:tcW w:w="1134" w:type="dxa"/>
            <w:vAlign w:val="bottom"/>
          </w:tcPr>
          <w:p w14:paraId="37BB4F17" w14:textId="77777777" w:rsidR="008E5DE4" w:rsidRDefault="008E5DE4">
            <w:pPr>
              <w:widowControl w:val="0"/>
              <w:pBdr>
                <w:top w:val="nil"/>
                <w:left w:val="nil"/>
                <w:bottom w:val="nil"/>
                <w:right w:val="nil"/>
                <w:between w:val="nil"/>
              </w:pBdr>
              <w:rPr>
                <w:color w:val="000000"/>
              </w:rPr>
            </w:pPr>
          </w:p>
        </w:tc>
        <w:tc>
          <w:tcPr>
            <w:tcW w:w="1134" w:type="dxa"/>
            <w:vAlign w:val="bottom"/>
          </w:tcPr>
          <w:p w14:paraId="27D607D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F683F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431669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6384EE4" w14:textId="77777777" w:rsidR="008E5DE4" w:rsidRDefault="008E5DE4">
            <w:pPr>
              <w:widowControl w:val="0"/>
              <w:pBdr>
                <w:top w:val="nil"/>
                <w:left w:val="nil"/>
                <w:bottom w:val="nil"/>
                <w:right w:val="nil"/>
                <w:between w:val="nil"/>
              </w:pBdr>
              <w:jc w:val="right"/>
              <w:rPr>
                <w:color w:val="000000"/>
              </w:rPr>
            </w:pPr>
          </w:p>
        </w:tc>
      </w:tr>
      <w:tr w:rsidR="008E5DE4" w14:paraId="4DDC135F" w14:textId="77777777">
        <w:trPr>
          <w:cantSplit/>
        </w:trPr>
        <w:tc>
          <w:tcPr>
            <w:tcW w:w="3685" w:type="dxa"/>
            <w:tcBorders>
              <w:bottom w:val="single" w:sz="4" w:space="0" w:color="000000"/>
            </w:tcBorders>
            <w:vAlign w:val="bottom"/>
          </w:tcPr>
          <w:p w14:paraId="11CDFCB0"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bottom w:val="single" w:sz="4" w:space="0" w:color="000000"/>
            </w:tcBorders>
            <w:vAlign w:val="bottom"/>
          </w:tcPr>
          <w:p w14:paraId="2663A5A2" w14:textId="77777777" w:rsidR="008E5DE4" w:rsidRDefault="008E5DE4">
            <w:pPr>
              <w:widowControl w:val="0"/>
              <w:pBdr>
                <w:top w:val="nil"/>
                <w:left w:val="nil"/>
                <w:bottom w:val="nil"/>
                <w:right w:val="nil"/>
                <w:between w:val="nil"/>
              </w:pBdr>
              <w:rPr>
                <w:color w:val="000000"/>
                <w:sz w:val="14"/>
                <w:szCs w:val="14"/>
              </w:rPr>
            </w:pPr>
          </w:p>
        </w:tc>
        <w:tc>
          <w:tcPr>
            <w:tcW w:w="1134" w:type="dxa"/>
            <w:tcBorders>
              <w:bottom w:val="single" w:sz="4" w:space="0" w:color="000000"/>
            </w:tcBorders>
            <w:vAlign w:val="bottom"/>
          </w:tcPr>
          <w:p w14:paraId="57D60C72"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49A84E06"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58C62980"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4" w:space="0" w:color="000000"/>
            </w:tcBorders>
            <w:vAlign w:val="bottom"/>
          </w:tcPr>
          <w:p w14:paraId="4532EDDD" w14:textId="77777777" w:rsidR="008E5DE4" w:rsidRDefault="008E5DE4">
            <w:pPr>
              <w:widowControl w:val="0"/>
              <w:pBdr>
                <w:top w:val="nil"/>
                <w:left w:val="nil"/>
                <w:bottom w:val="nil"/>
                <w:right w:val="nil"/>
                <w:between w:val="nil"/>
              </w:pBdr>
              <w:jc w:val="right"/>
              <w:rPr>
                <w:color w:val="000000"/>
                <w:sz w:val="14"/>
                <w:szCs w:val="14"/>
              </w:rPr>
            </w:pPr>
          </w:p>
        </w:tc>
      </w:tr>
      <w:tr w:rsidR="008E5DE4" w14:paraId="221CB8BA" w14:textId="77777777">
        <w:trPr>
          <w:cantSplit/>
        </w:trPr>
        <w:tc>
          <w:tcPr>
            <w:tcW w:w="3685" w:type="dxa"/>
            <w:tcBorders>
              <w:top w:val="single" w:sz="4" w:space="0" w:color="000000"/>
            </w:tcBorders>
            <w:vAlign w:val="bottom"/>
          </w:tcPr>
          <w:p w14:paraId="0EE0066C"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top w:val="single" w:sz="4" w:space="0" w:color="000000"/>
            </w:tcBorders>
            <w:vAlign w:val="bottom"/>
          </w:tcPr>
          <w:p w14:paraId="436307B8" w14:textId="77777777" w:rsidR="008E5DE4" w:rsidRDefault="008E5DE4">
            <w:pPr>
              <w:widowControl w:val="0"/>
              <w:pBdr>
                <w:top w:val="nil"/>
                <w:left w:val="nil"/>
                <w:bottom w:val="nil"/>
                <w:right w:val="nil"/>
                <w:between w:val="nil"/>
              </w:pBdr>
              <w:rPr>
                <w:color w:val="000000"/>
                <w:sz w:val="14"/>
                <w:szCs w:val="14"/>
              </w:rPr>
            </w:pPr>
          </w:p>
        </w:tc>
        <w:tc>
          <w:tcPr>
            <w:tcW w:w="1134" w:type="dxa"/>
            <w:tcBorders>
              <w:top w:val="single" w:sz="4" w:space="0" w:color="000000"/>
            </w:tcBorders>
            <w:vAlign w:val="bottom"/>
          </w:tcPr>
          <w:p w14:paraId="492BF74F"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36BB66E5"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4E6726D3"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66493901" w14:textId="77777777" w:rsidR="008E5DE4" w:rsidRDefault="008E5DE4">
            <w:pPr>
              <w:widowControl w:val="0"/>
              <w:pBdr>
                <w:top w:val="nil"/>
                <w:left w:val="nil"/>
                <w:bottom w:val="nil"/>
                <w:right w:val="nil"/>
                <w:between w:val="nil"/>
              </w:pBdr>
              <w:jc w:val="right"/>
              <w:rPr>
                <w:color w:val="000000"/>
                <w:sz w:val="14"/>
                <w:szCs w:val="14"/>
              </w:rPr>
            </w:pPr>
          </w:p>
        </w:tc>
      </w:tr>
      <w:tr w:rsidR="008E5DE4" w14:paraId="3816D60F" w14:textId="77777777">
        <w:trPr>
          <w:cantSplit/>
        </w:trPr>
        <w:tc>
          <w:tcPr>
            <w:tcW w:w="3685" w:type="dxa"/>
            <w:vAlign w:val="bottom"/>
          </w:tcPr>
          <w:p w14:paraId="42E7777C" w14:textId="77777777" w:rsidR="008E5DE4" w:rsidRDefault="00780368">
            <w:pPr>
              <w:widowControl w:val="0"/>
              <w:pBdr>
                <w:top w:val="nil"/>
                <w:left w:val="nil"/>
                <w:bottom w:val="nil"/>
                <w:right w:val="nil"/>
                <w:between w:val="nil"/>
              </w:pBdr>
              <w:ind w:left="113" w:right="-57" w:hanging="113"/>
              <w:rPr>
                <w:color w:val="000000"/>
              </w:rPr>
            </w:pPr>
            <w:r>
              <w:rPr>
                <w:color w:val="000000"/>
              </w:rPr>
              <w:t>Carrying value (fair value)</w:t>
            </w:r>
          </w:p>
        </w:tc>
        <w:tc>
          <w:tcPr>
            <w:tcW w:w="1134" w:type="dxa"/>
            <w:vAlign w:val="bottom"/>
          </w:tcPr>
          <w:p w14:paraId="44DFA790" w14:textId="77777777" w:rsidR="008E5DE4" w:rsidRDefault="008E5DE4">
            <w:pPr>
              <w:widowControl w:val="0"/>
              <w:pBdr>
                <w:top w:val="nil"/>
                <w:left w:val="nil"/>
                <w:bottom w:val="nil"/>
                <w:right w:val="nil"/>
                <w:between w:val="nil"/>
              </w:pBdr>
              <w:rPr>
                <w:color w:val="000000"/>
              </w:rPr>
            </w:pPr>
          </w:p>
        </w:tc>
        <w:tc>
          <w:tcPr>
            <w:tcW w:w="1134" w:type="dxa"/>
            <w:vAlign w:val="bottom"/>
          </w:tcPr>
          <w:p w14:paraId="532C1F2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EB3B47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F202EC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AE4196" w14:textId="77777777" w:rsidR="008E5DE4" w:rsidRDefault="008E5DE4">
            <w:pPr>
              <w:widowControl w:val="0"/>
              <w:pBdr>
                <w:top w:val="nil"/>
                <w:left w:val="nil"/>
                <w:bottom w:val="nil"/>
                <w:right w:val="nil"/>
                <w:between w:val="nil"/>
              </w:pBdr>
              <w:jc w:val="right"/>
              <w:rPr>
                <w:color w:val="000000"/>
              </w:rPr>
            </w:pPr>
          </w:p>
        </w:tc>
      </w:tr>
      <w:tr w:rsidR="008E5DE4" w14:paraId="5AA230EC" w14:textId="77777777">
        <w:trPr>
          <w:cantSplit/>
        </w:trPr>
        <w:tc>
          <w:tcPr>
            <w:tcW w:w="3685" w:type="dxa"/>
            <w:tcBorders>
              <w:bottom w:val="single" w:sz="12" w:space="0" w:color="000000"/>
            </w:tcBorders>
            <w:vAlign w:val="bottom"/>
          </w:tcPr>
          <w:p w14:paraId="5F1ECAA0" w14:textId="77777777" w:rsidR="008E5DE4" w:rsidRDefault="008E5DE4">
            <w:pPr>
              <w:widowControl w:val="0"/>
              <w:pBdr>
                <w:top w:val="nil"/>
                <w:left w:val="nil"/>
                <w:bottom w:val="nil"/>
                <w:right w:val="nil"/>
                <w:between w:val="nil"/>
              </w:pBdr>
              <w:ind w:left="113" w:right="-57" w:hanging="113"/>
              <w:rPr>
                <w:color w:val="000000"/>
                <w:sz w:val="14"/>
                <w:szCs w:val="14"/>
              </w:rPr>
            </w:pPr>
          </w:p>
        </w:tc>
        <w:tc>
          <w:tcPr>
            <w:tcW w:w="1134" w:type="dxa"/>
            <w:tcBorders>
              <w:bottom w:val="single" w:sz="12" w:space="0" w:color="000000"/>
            </w:tcBorders>
            <w:vAlign w:val="bottom"/>
          </w:tcPr>
          <w:p w14:paraId="3B5044E0" w14:textId="77777777" w:rsidR="008E5DE4" w:rsidRDefault="008E5DE4">
            <w:pPr>
              <w:widowControl w:val="0"/>
              <w:pBdr>
                <w:top w:val="nil"/>
                <w:left w:val="nil"/>
                <w:bottom w:val="nil"/>
                <w:right w:val="nil"/>
                <w:between w:val="nil"/>
              </w:pBdr>
              <w:rPr>
                <w:color w:val="000000"/>
                <w:sz w:val="14"/>
                <w:szCs w:val="14"/>
              </w:rPr>
            </w:pPr>
          </w:p>
        </w:tc>
        <w:tc>
          <w:tcPr>
            <w:tcW w:w="1134" w:type="dxa"/>
            <w:tcBorders>
              <w:bottom w:val="single" w:sz="12" w:space="0" w:color="000000"/>
            </w:tcBorders>
            <w:vAlign w:val="bottom"/>
          </w:tcPr>
          <w:p w14:paraId="116F1CAB"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6EAB970C"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47CE99C6"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5BEE28DB" w14:textId="77777777" w:rsidR="008E5DE4" w:rsidRDefault="008E5DE4">
            <w:pPr>
              <w:widowControl w:val="0"/>
              <w:pBdr>
                <w:top w:val="nil"/>
                <w:left w:val="nil"/>
                <w:bottom w:val="nil"/>
                <w:right w:val="nil"/>
                <w:between w:val="nil"/>
              </w:pBdr>
              <w:jc w:val="right"/>
              <w:rPr>
                <w:color w:val="000000"/>
                <w:sz w:val="14"/>
                <w:szCs w:val="14"/>
              </w:rPr>
            </w:pPr>
          </w:p>
        </w:tc>
      </w:tr>
    </w:tbl>
    <w:p w14:paraId="1B3BC5F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tbl>
      <w:tblPr>
        <w:tblStyle w:val="affffffc"/>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6B2F07D3" w14:textId="77777777">
        <w:trPr>
          <w:cantSplit/>
          <w:tblHeader/>
        </w:trPr>
        <w:tc>
          <w:tcPr>
            <w:tcW w:w="3685" w:type="dxa"/>
            <w:tcBorders>
              <w:bottom w:val="single" w:sz="4" w:space="0" w:color="000000"/>
            </w:tcBorders>
            <w:vAlign w:val="bottom"/>
          </w:tcPr>
          <w:p w14:paraId="5F278F91"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0BBB95E8"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36728BCC"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6369D285"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6DBE281B"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33159450"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5DE78851"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166581AA" w14:textId="77777777" w:rsidR="008E5DE4" w:rsidRDefault="00780368">
            <w:pPr>
              <w:widowControl w:val="0"/>
              <w:pBdr>
                <w:top w:val="nil"/>
                <w:left w:val="nil"/>
                <w:bottom w:val="nil"/>
                <w:right w:val="nil"/>
                <w:between w:val="nil"/>
              </w:pBdr>
              <w:ind w:left="-113"/>
              <w:jc w:val="right"/>
              <w:rPr>
                <w:b/>
                <w:color w:val="000000"/>
              </w:rPr>
            </w:pPr>
            <w:r>
              <w:rPr>
                <w:b/>
                <w:color w:val="000000"/>
              </w:rPr>
              <w:t>POCI</w:t>
            </w:r>
          </w:p>
        </w:tc>
        <w:tc>
          <w:tcPr>
            <w:tcW w:w="1134" w:type="dxa"/>
            <w:tcBorders>
              <w:bottom w:val="single" w:sz="4" w:space="0" w:color="000000"/>
            </w:tcBorders>
          </w:tcPr>
          <w:p w14:paraId="4F2C225C"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217B21F8" w14:textId="77777777">
        <w:trPr>
          <w:cantSplit/>
        </w:trPr>
        <w:tc>
          <w:tcPr>
            <w:tcW w:w="3685" w:type="dxa"/>
            <w:tcBorders>
              <w:top w:val="single" w:sz="4" w:space="0" w:color="000000"/>
            </w:tcBorders>
            <w:vAlign w:val="bottom"/>
          </w:tcPr>
          <w:p w14:paraId="064C12C8"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2F79302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738925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054105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402CA0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A0DE0F0" w14:textId="77777777" w:rsidR="008E5DE4" w:rsidRDefault="008E5DE4">
            <w:pPr>
              <w:widowControl w:val="0"/>
              <w:pBdr>
                <w:top w:val="nil"/>
                <w:left w:val="nil"/>
                <w:bottom w:val="nil"/>
                <w:right w:val="nil"/>
                <w:between w:val="nil"/>
              </w:pBdr>
              <w:jc w:val="right"/>
              <w:rPr>
                <w:color w:val="000000"/>
              </w:rPr>
            </w:pPr>
          </w:p>
        </w:tc>
      </w:tr>
      <w:tr w:rsidR="008E5DE4" w14:paraId="505D9670" w14:textId="77777777">
        <w:trPr>
          <w:cantSplit/>
        </w:trPr>
        <w:tc>
          <w:tcPr>
            <w:tcW w:w="3685" w:type="dxa"/>
            <w:vAlign w:val="bottom"/>
          </w:tcPr>
          <w:p w14:paraId="0BD2E536" w14:textId="77777777" w:rsidR="008E5DE4" w:rsidRDefault="00780368">
            <w:pPr>
              <w:widowControl w:val="0"/>
              <w:pBdr>
                <w:top w:val="nil"/>
                <w:left w:val="nil"/>
                <w:bottom w:val="nil"/>
                <w:right w:val="nil"/>
                <w:between w:val="nil"/>
              </w:pBdr>
              <w:ind w:left="113" w:right="-57" w:hanging="113"/>
              <w:rPr>
                <w:b/>
                <w:color w:val="000000"/>
              </w:rPr>
            </w:pPr>
            <w:r>
              <w:rPr>
                <w:b/>
                <w:i/>
                <w:color w:val="000000"/>
              </w:rPr>
              <w:t>Corporate bonds</w:t>
            </w:r>
          </w:p>
        </w:tc>
        <w:tc>
          <w:tcPr>
            <w:tcW w:w="1134" w:type="dxa"/>
            <w:vAlign w:val="bottom"/>
          </w:tcPr>
          <w:p w14:paraId="34B01259"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61BCAFFB"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1EB80D3F"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15E0F44B"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7208A2E1" w14:textId="77777777" w:rsidR="008E5DE4" w:rsidRDefault="008E5DE4">
            <w:pPr>
              <w:widowControl w:val="0"/>
              <w:pBdr>
                <w:top w:val="nil"/>
                <w:left w:val="nil"/>
                <w:bottom w:val="nil"/>
                <w:right w:val="nil"/>
                <w:between w:val="nil"/>
              </w:pBdr>
              <w:jc w:val="right"/>
              <w:rPr>
                <w:b/>
                <w:color w:val="000000"/>
              </w:rPr>
            </w:pPr>
          </w:p>
        </w:tc>
      </w:tr>
      <w:tr w:rsidR="008E5DE4" w14:paraId="79341CEA" w14:textId="77777777">
        <w:trPr>
          <w:cantSplit/>
        </w:trPr>
        <w:tc>
          <w:tcPr>
            <w:tcW w:w="3685" w:type="dxa"/>
            <w:vAlign w:val="bottom"/>
          </w:tcPr>
          <w:p w14:paraId="3161148A"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745DC16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BD1935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20F35D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C9272B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48CED8" w14:textId="77777777" w:rsidR="008E5DE4" w:rsidRDefault="008E5DE4">
            <w:pPr>
              <w:widowControl w:val="0"/>
              <w:pBdr>
                <w:top w:val="nil"/>
                <w:left w:val="nil"/>
                <w:bottom w:val="nil"/>
                <w:right w:val="nil"/>
                <w:between w:val="nil"/>
              </w:pBdr>
              <w:jc w:val="right"/>
              <w:rPr>
                <w:color w:val="000000"/>
              </w:rPr>
            </w:pPr>
          </w:p>
        </w:tc>
      </w:tr>
      <w:tr w:rsidR="008E5DE4" w14:paraId="15A0361C" w14:textId="77777777">
        <w:trPr>
          <w:cantSplit/>
        </w:trPr>
        <w:tc>
          <w:tcPr>
            <w:tcW w:w="3685" w:type="dxa"/>
            <w:vAlign w:val="bottom"/>
          </w:tcPr>
          <w:p w14:paraId="5F46454D"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25DD846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2D065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58DD7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342DD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8CF5944" w14:textId="77777777" w:rsidR="008E5DE4" w:rsidRDefault="008E5DE4">
            <w:pPr>
              <w:widowControl w:val="0"/>
              <w:pBdr>
                <w:top w:val="nil"/>
                <w:left w:val="nil"/>
                <w:bottom w:val="nil"/>
                <w:right w:val="nil"/>
                <w:between w:val="nil"/>
              </w:pBdr>
              <w:jc w:val="right"/>
              <w:rPr>
                <w:color w:val="000000"/>
              </w:rPr>
            </w:pPr>
          </w:p>
        </w:tc>
      </w:tr>
      <w:tr w:rsidR="008E5DE4" w14:paraId="20714C7D" w14:textId="77777777">
        <w:trPr>
          <w:cantSplit/>
        </w:trPr>
        <w:tc>
          <w:tcPr>
            <w:tcW w:w="3685" w:type="dxa"/>
            <w:vAlign w:val="bottom"/>
          </w:tcPr>
          <w:p w14:paraId="3E4890B0"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00E3727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0AB713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22012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F9200E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F3A7398" w14:textId="77777777" w:rsidR="008E5DE4" w:rsidRDefault="008E5DE4">
            <w:pPr>
              <w:widowControl w:val="0"/>
              <w:pBdr>
                <w:top w:val="nil"/>
                <w:left w:val="nil"/>
                <w:bottom w:val="nil"/>
                <w:right w:val="nil"/>
                <w:between w:val="nil"/>
              </w:pBdr>
              <w:jc w:val="right"/>
              <w:rPr>
                <w:color w:val="000000"/>
              </w:rPr>
            </w:pPr>
          </w:p>
        </w:tc>
      </w:tr>
      <w:tr w:rsidR="008E5DE4" w14:paraId="0A51C3F0" w14:textId="77777777">
        <w:trPr>
          <w:cantSplit/>
        </w:trPr>
        <w:tc>
          <w:tcPr>
            <w:tcW w:w="3685" w:type="dxa"/>
            <w:vAlign w:val="bottom"/>
          </w:tcPr>
          <w:p w14:paraId="359008B7"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71AB1BE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59B14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7F2B42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4F6215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16928E0" w14:textId="77777777" w:rsidR="008E5DE4" w:rsidRDefault="008E5DE4">
            <w:pPr>
              <w:widowControl w:val="0"/>
              <w:pBdr>
                <w:top w:val="nil"/>
                <w:left w:val="nil"/>
                <w:bottom w:val="nil"/>
                <w:right w:val="nil"/>
                <w:between w:val="nil"/>
              </w:pBdr>
              <w:jc w:val="right"/>
              <w:rPr>
                <w:color w:val="000000"/>
              </w:rPr>
            </w:pPr>
          </w:p>
        </w:tc>
      </w:tr>
      <w:tr w:rsidR="008E5DE4" w14:paraId="4D6261F5" w14:textId="77777777">
        <w:trPr>
          <w:cantSplit/>
        </w:trPr>
        <w:tc>
          <w:tcPr>
            <w:tcW w:w="3685" w:type="dxa"/>
            <w:vAlign w:val="bottom"/>
          </w:tcPr>
          <w:p w14:paraId="7DD68841" w14:textId="77777777" w:rsidR="008E5DE4" w:rsidRDefault="00780368">
            <w:pPr>
              <w:widowControl w:val="0"/>
              <w:pBdr>
                <w:top w:val="nil"/>
                <w:left w:val="nil"/>
                <w:bottom w:val="nil"/>
                <w:right w:val="nil"/>
                <w:between w:val="nil"/>
              </w:pBdr>
              <w:ind w:left="113" w:right="-57" w:hanging="113"/>
              <w:rPr>
                <w:color w:val="0000FF"/>
              </w:rPr>
            </w:pPr>
            <w:r>
              <w:rPr>
                <w:color w:val="000000"/>
              </w:rPr>
              <w:t>- Default</w:t>
            </w:r>
          </w:p>
        </w:tc>
        <w:tc>
          <w:tcPr>
            <w:tcW w:w="1134" w:type="dxa"/>
            <w:vAlign w:val="bottom"/>
          </w:tcPr>
          <w:p w14:paraId="2A361D0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0543E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A09E58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8B66CE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7C374E" w14:textId="77777777" w:rsidR="008E5DE4" w:rsidRDefault="008E5DE4">
            <w:pPr>
              <w:widowControl w:val="0"/>
              <w:pBdr>
                <w:top w:val="nil"/>
                <w:left w:val="nil"/>
                <w:bottom w:val="nil"/>
                <w:right w:val="nil"/>
                <w:between w:val="nil"/>
              </w:pBdr>
              <w:jc w:val="right"/>
              <w:rPr>
                <w:color w:val="000000"/>
              </w:rPr>
            </w:pPr>
          </w:p>
        </w:tc>
      </w:tr>
      <w:tr w:rsidR="008E5DE4" w14:paraId="16D6833E" w14:textId="77777777">
        <w:trPr>
          <w:cantSplit/>
        </w:trPr>
        <w:tc>
          <w:tcPr>
            <w:tcW w:w="3685" w:type="dxa"/>
            <w:tcBorders>
              <w:bottom w:val="single" w:sz="4" w:space="0" w:color="000000"/>
            </w:tcBorders>
            <w:vAlign w:val="bottom"/>
          </w:tcPr>
          <w:p w14:paraId="5254DDCD"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1CCDED99"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2320BE2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A2CBC0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13575A3"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AEED10B" w14:textId="77777777" w:rsidR="008E5DE4" w:rsidRDefault="008E5DE4">
            <w:pPr>
              <w:widowControl w:val="0"/>
              <w:pBdr>
                <w:top w:val="nil"/>
                <w:left w:val="nil"/>
                <w:bottom w:val="nil"/>
                <w:right w:val="nil"/>
                <w:between w:val="nil"/>
              </w:pBdr>
              <w:jc w:val="right"/>
              <w:rPr>
                <w:color w:val="000000"/>
              </w:rPr>
            </w:pPr>
          </w:p>
        </w:tc>
      </w:tr>
      <w:tr w:rsidR="008E5DE4" w14:paraId="416C1CF8" w14:textId="77777777">
        <w:trPr>
          <w:cantSplit/>
        </w:trPr>
        <w:tc>
          <w:tcPr>
            <w:tcW w:w="3685" w:type="dxa"/>
            <w:tcBorders>
              <w:top w:val="single" w:sz="4" w:space="0" w:color="000000"/>
            </w:tcBorders>
            <w:vAlign w:val="bottom"/>
          </w:tcPr>
          <w:p w14:paraId="3E7598BF"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4071AC3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3E8386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EC8CEBD"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8B0042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39BF753" w14:textId="77777777" w:rsidR="008E5DE4" w:rsidRDefault="008E5DE4">
            <w:pPr>
              <w:widowControl w:val="0"/>
              <w:pBdr>
                <w:top w:val="nil"/>
                <w:left w:val="nil"/>
                <w:bottom w:val="nil"/>
                <w:right w:val="nil"/>
                <w:between w:val="nil"/>
              </w:pBdr>
              <w:jc w:val="right"/>
              <w:rPr>
                <w:color w:val="000000"/>
              </w:rPr>
            </w:pPr>
          </w:p>
        </w:tc>
      </w:tr>
      <w:tr w:rsidR="008E5DE4" w14:paraId="1991DEBC" w14:textId="77777777">
        <w:trPr>
          <w:cantSplit/>
        </w:trPr>
        <w:tc>
          <w:tcPr>
            <w:tcW w:w="3685" w:type="dxa"/>
            <w:vAlign w:val="bottom"/>
          </w:tcPr>
          <w:p w14:paraId="6BA02CA2" w14:textId="77777777" w:rsidR="008E5DE4" w:rsidRDefault="00780368">
            <w:pPr>
              <w:widowControl w:val="0"/>
              <w:pBdr>
                <w:top w:val="nil"/>
                <w:left w:val="nil"/>
                <w:bottom w:val="nil"/>
                <w:right w:val="nil"/>
                <w:between w:val="nil"/>
              </w:pBdr>
              <w:ind w:left="113" w:right="-57" w:hanging="113"/>
              <w:rPr>
                <w:color w:val="000000"/>
              </w:rPr>
            </w:pPr>
            <w:r>
              <w:rPr>
                <w:color w:val="000000"/>
              </w:rPr>
              <w:t>Total AC gross carrying amount</w:t>
            </w:r>
          </w:p>
        </w:tc>
        <w:tc>
          <w:tcPr>
            <w:tcW w:w="1134" w:type="dxa"/>
            <w:vAlign w:val="bottom"/>
          </w:tcPr>
          <w:p w14:paraId="7ADD3B2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4346F7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AA5DA2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7AF493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9963AD" w14:textId="77777777" w:rsidR="008E5DE4" w:rsidRDefault="008E5DE4">
            <w:pPr>
              <w:widowControl w:val="0"/>
              <w:pBdr>
                <w:top w:val="nil"/>
                <w:left w:val="nil"/>
                <w:bottom w:val="nil"/>
                <w:right w:val="nil"/>
                <w:between w:val="nil"/>
              </w:pBdr>
              <w:jc w:val="right"/>
              <w:rPr>
                <w:color w:val="000000"/>
              </w:rPr>
            </w:pPr>
          </w:p>
        </w:tc>
      </w:tr>
      <w:tr w:rsidR="008E5DE4" w14:paraId="3401AA07" w14:textId="77777777">
        <w:trPr>
          <w:cantSplit/>
        </w:trPr>
        <w:tc>
          <w:tcPr>
            <w:tcW w:w="3685" w:type="dxa"/>
            <w:tcBorders>
              <w:bottom w:val="single" w:sz="4" w:space="0" w:color="000000"/>
            </w:tcBorders>
            <w:vAlign w:val="bottom"/>
          </w:tcPr>
          <w:p w14:paraId="0C1A8195"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6FE9D5D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8BD997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CB4FD31"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661F2A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6A5DC4F" w14:textId="77777777" w:rsidR="008E5DE4" w:rsidRDefault="008E5DE4">
            <w:pPr>
              <w:widowControl w:val="0"/>
              <w:pBdr>
                <w:top w:val="nil"/>
                <w:left w:val="nil"/>
                <w:bottom w:val="nil"/>
                <w:right w:val="nil"/>
                <w:between w:val="nil"/>
              </w:pBdr>
              <w:jc w:val="right"/>
              <w:rPr>
                <w:color w:val="000000"/>
              </w:rPr>
            </w:pPr>
          </w:p>
        </w:tc>
      </w:tr>
      <w:tr w:rsidR="008E5DE4" w14:paraId="31AC9AC7" w14:textId="77777777">
        <w:trPr>
          <w:cantSplit/>
        </w:trPr>
        <w:tc>
          <w:tcPr>
            <w:tcW w:w="3685" w:type="dxa"/>
            <w:tcBorders>
              <w:top w:val="single" w:sz="4" w:space="0" w:color="000000"/>
            </w:tcBorders>
            <w:vAlign w:val="bottom"/>
          </w:tcPr>
          <w:p w14:paraId="3EE49487"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6222CB8B"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6BE77EC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AF80FC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982440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5776D65" w14:textId="77777777" w:rsidR="008E5DE4" w:rsidRDefault="008E5DE4">
            <w:pPr>
              <w:widowControl w:val="0"/>
              <w:pBdr>
                <w:top w:val="nil"/>
                <w:left w:val="nil"/>
                <w:bottom w:val="nil"/>
                <w:right w:val="nil"/>
                <w:between w:val="nil"/>
              </w:pBdr>
              <w:jc w:val="right"/>
              <w:rPr>
                <w:color w:val="000000"/>
              </w:rPr>
            </w:pPr>
          </w:p>
        </w:tc>
      </w:tr>
      <w:tr w:rsidR="008E5DE4" w14:paraId="4186B22E" w14:textId="77777777">
        <w:trPr>
          <w:cantSplit/>
        </w:trPr>
        <w:tc>
          <w:tcPr>
            <w:tcW w:w="3685" w:type="dxa"/>
            <w:vAlign w:val="bottom"/>
          </w:tcPr>
          <w:p w14:paraId="45BA8B06" w14:textId="77777777" w:rsidR="008E5DE4" w:rsidRDefault="00780368">
            <w:pPr>
              <w:widowControl w:val="0"/>
              <w:pBdr>
                <w:top w:val="nil"/>
                <w:left w:val="nil"/>
                <w:bottom w:val="nil"/>
                <w:right w:val="nil"/>
                <w:between w:val="nil"/>
              </w:pBdr>
              <w:ind w:left="113" w:right="-57" w:hanging="113"/>
              <w:rPr>
                <w:color w:val="000000"/>
              </w:rPr>
            </w:pPr>
            <w:r>
              <w:rPr>
                <w:color w:val="000000"/>
              </w:rPr>
              <w:t>Less credit loss allowance</w:t>
            </w:r>
          </w:p>
        </w:tc>
        <w:tc>
          <w:tcPr>
            <w:tcW w:w="1134" w:type="dxa"/>
            <w:vAlign w:val="bottom"/>
          </w:tcPr>
          <w:p w14:paraId="20745101" w14:textId="77777777" w:rsidR="008E5DE4" w:rsidRDefault="008E5DE4">
            <w:pPr>
              <w:widowControl w:val="0"/>
              <w:pBdr>
                <w:top w:val="nil"/>
                <w:left w:val="nil"/>
                <w:bottom w:val="nil"/>
                <w:right w:val="nil"/>
                <w:between w:val="nil"/>
              </w:pBdr>
              <w:rPr>
                <w:color w:val="000000"/>
              </w:rPr>
            </w:pPr>
          </w:p>
        </w:tc>
        <w:tc>
          <w:tcPr>
            <w:tcW w:w="1134" w:type="dxa"/>
            <w:vAlign w:val="bottom"/>
          </w:tcPr>
          <w:p w14:paraId="2954557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35EFE9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588F5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680AD56" w14:textId="77777777" w:rsidR="008E5DE4" w:rsidRDefault="008E5DE4">
            <w:pPr>
              <w:widowControl w:val="0"/>
              <w:pBdr>
                <w:top w:val="nil"/>
                <w:left w:val="nil"/>
                <w:bottom w:val="nil"/>
                <w:right w:val="nil"/>
                <w:between w:val="nil"/>
              </w:pBdr>
              <w:jc w:val="right"/>
              <w:rPr>
                <w:color w:val="000000"/>
              </w:rPr>
            </w:pPr>
          </w:p>
        </w:tc>
      </w:tr>
      <w:tr w:rsidR="008E5DE4" w14:paraId="13EAC69B" w14:textId="77777777">
        <w:trPr>
          <w:cantSplit/>
        </w:trPr>
        <w:tc>
          <w:tcPr>
            <w:tcW w:w="3685" w:type="dxa"/>
            <w:vAlign w:val="bottom"/>
          </w:tcPr>
          <w:p w14:paraId="676E64F4" w14:textId="77777777" w:rsidR="008E5DE4" w:rsidRDefault="00780368">
            <w:pPr>
              <w:widowControl w:val="0"/>
              <w:pBdr>
                <w:top w:val="nil"/>
                <w:left w:val="nil"/>
                <w:bottom w:val="nil"/>
                <w:right w:val="nil"/>
                <w:between w:val="nil"/>
              </w:pBdr>
              <w:ind w:left="113" w:right="-57" w:hanging="113"/>
              <w:rPr>
                <w:color w:val="000000"/>
              </w:rPr>
            </w:pPr>
            <w:r>
              <w:rPr>
                <w:color w:val="000000"/>
              </w:rPr>
              <w:t>Less fair value adjustment from AC to FV</w:t>
            </w:r>
          </w:p>
        </w:tc>
        <w:tc>
          <w:tcPr>
            <w:tcW w:w="1134" w:type="dxa"/>
            <w:vAlign w:val="bottom"/>
          </w:tcPr>
          <w:p w14:paraId="1123C11B" w14:textId="77777777" w:rsidR="008E5DE4" w:rsidRDefault="008E5DE4">
            <w:pPr>
              <w:widowControl w:val="0"/>
              <w:pBdr>
                <w:top w:val="nil"/>
                <w:left w:val="nil"/>
                <w:bottom w:val="nil"/>
                <w:right w:val="nil"/>
                <w:between w:val="nil"/>
              </w:pBdr>
              <w:rPr>
                <w:color w:val="000000"/>
              </w:rPr>
            </w:pPr>
          </w:p>
        </w:tc>
        <w:tc>
          <w:tcPr>
            <w:tcW w:w="1134" w:type="dxa"/>
            <w:vAlign w:val="bottom"/>
          </w:tcPr>
          <w:p w14:paraId="23B3E1D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EB649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F80031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D03C007" w14:textId="77777777" w:rsidR="008E5DE4" w:rsidRDefault="008E5DE4">
            <w:pPr>
              <w:widowControl w:val="0"/>
              <w:pBdr>
                <w:top w:val="nil"/>
                <w:left w:val="nil"/>
                <w:bottom w:val="nil"/>
                <w:right w:val="nil"/>
                <w:between w:val="nil"/>
              </w:pBdr>
              <w:jc w:val="right"/>
              <w:rPr>
                <w:color w:val="000000"/>
              </w:rPr>
            </w:pPr>
          </w:p>
        </w:tc>
      </w:tr>
      <w:tr w:rsidR="008E5DE4" w14:paraId="5B3D96BC" w14:textId="77777777">
        <w:trPr>
          <w:cantSplit/>
        </w:trPr>
        <w:tc>
          <w:tcPr>
            <w:tcW w:w="3685" w:type="dxa"/>
            <w:tcBorders>
              <w:bottom w:val="single" w:sz="4" w:space="0" w:color="000000"/>
            </w:tcBorders>
            <w:vAlign w:val="bottom"/>
          </w:tcPr>
          <w:p w14:paraId="30D1D7BD"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7D4E46AC"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3EFA2C9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E8DA3A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ACC0EB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15E5708" w14:textId="77777777" w:rsidR="008E5DE4" w:rsidRDefault="008E5DE4">
            <w:pPr>
              <w:widowControl w:val="0"/>
              <w:pBdr>
                <w:top w:val="nil"/>
                <w:left w:val="nil"/>
                <w:bottom w:val="nil"/>
                <w:right w:val="nil"/>
                <w:between w:val="nil"/>
              </w:pBdr>
              <w:jc w:val="right"/>
              <w:rPr>
                <w:color w:val="000000"/>
              </w:rPr>
            </w:pPr>
          </w:p>
        </w:tc>
      </w:tr>
      <w:tr w:rsidR="008E5DE4" w14:paraId="445C8BAE" w14:textId="77777777">
        <w:trPr>
          <w:cantSplit/>
        </w:trPr>
        <w:tc>
          <w:tcPr>
            <w:tcW w:w="3685" w:type="dxa"/>
            <w:tcBorders>
              <w:top w:val="single" w:sz="4" w:space="0" w:color="000000"/>
            </w:tcBorders>
            <w:vAlign w:val="bottom"/>
          </w:tcPr>
          <w:p w14:paraId="64CC996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18265FA9"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13309C4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AE921D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CC5311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3F836D6" w14:textId="77777777" w:rsidR="008E5DE4" w:rsidRDefault="008E5DE4">
            <w:pPr>
              <w:widowControl w:val="0"/>
              <w:pBdr>
                <w:top w:val="nil"/>
                <w:left w:val="nil"/>
                <w:bottom w:val="nil"/>
                <w:right w:val="nil"/>
                <w:between w:val="nil"/>
              </w:pBdr>
              <w:jc w:val="right"/>
              <w:rPr>
                <w:color w:val="000000"/>
              </w:rPr>
            </w:pPr>
          </w:p>
        </w:tc>
      </w:tr>
      <w:tr w:rsidR="008E5DE4" w14:paraId="61335B79" w14:textId="77777777">
        <w:trPr>
          <w:cantSplit/>
        </w:trPr>
        <w:tc>
          <w:tcPr>
            <w:tcW w:w="3685" w:type="dxa"/>
            <w:vAlign w:val="bottom"/>
          </w:tcPr>
          <w:p w14:paraId="2D67672E" w14:textId="77777777" w:rsidR="008E5DE4" w:rsidRDefault="00780368">
            <w:pPr>
              <w:widowControl w:val="0"/>
              <w:pBdr>
                <w:top w:val="nil"/>
                <w:left w:val="nil"/>
                <w:bottom w:val="nil"/>
                <w:right w:val="nil"/>
                <w:between w:val="nil"/>
              </w:pBdr>
              <w:ind w:left="113" w:right="-57" w:hanging="113"/>
              <w:rPr>
                <w:color w:val="000000"/>
              </w:rPr>
            </w:pPr>
            <w:r>
              <w:rPr>
                <w:color w:val="000000"/>
              </w:rPr>
              <w:t>Carrying value (fair value)</w:t>
            </w:r>
          </w:p>
        </w:tc>
        <w:tc>
          <w:tcPr>
            <w:tcW w:w="1134" w:type="dxa"/>
            <w:vAlign w:val="bottom"/>
          </w:tcPr>
          <w:p w14:paraId="72EE28CC" w14:textId="77777777" w:rsidR="008E5DE4" w:rsidRDefault="008E5DE4">
            <w:pPr>
              <w:widowControl w:val="0"/>
              <w:pBdr>
                <w:top w:val="nil"/>
                <w:left w:val="nil"/>
                <w:bottom w:val="nil"/>
                <w:right w:val="nil"/>
                <w:between w:val="nil"/>
              </w:pBdr>
              <w:rPr>
                <w:color w:val="000000"/>
              </w:rPr>
            </w:pPr>
          </w:p>
        </w:tc>
        <w:tc>
          <w:tcPr>
            <w:tcW w:w="1134" w:type="dxa"/>
            <w:vAlign w:val="bottom"/>
          </w:tcPr>
          <w:p w14:paraId="35A0193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9F322A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F86115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538C1F" w14:textId="77777777" w:rsidR="008E5DE4" w:rsidRDefault="008E5DE4">
            <w:pPr>
              <w:widowControl w:val="0"/>
              <w:pBdr>
                <w:top w:val="nil"/>
                <w:left w:val="nil"/>
                <w:bottom w:val="nil"/>
                <w:right w:val="nil"/>
                <w:between w:val="nil"/>
              </w:pBdr>
              <w:jc w:val="right"/>
              <w:rPr>
                <w:color w:val="000000"/>
              </w:rPr>
            </w:pPr>
          </w:p>
        </w:tc>
      </w:tr>
      <w:tr w:rsidR="008E5DE4" w14:paraId="5A920D27" w14:textId="77777777">
        <w:trPr>
          <w:cantSplit/>
        </w:trPr>
        <w:tc>
          <w:tcPr>
            <w:tcW w:w="3685" w:type="dxa"/>
            <w:tcBorders>
              <w:bottom w:val="single" w:sz="12" w:space="0" w:color="000000"/>
            </w:tcBorders>
            <w:vAlign w:val="bottom"/>
          </w:tcPr>
          <w:p w14:paraId="0A492579" w14:textId="77777777" w:rsidR="008E5DE4" w:rsidRDefault="008E5DE4">
            <w:pPr>
              <w:widowControl w:val="0"/>
              <w:pBdr>
                <w:top w:val="nil"/>
                <w:left w:val="nil"/>
                <w:bottom w:val="nil"/>
                <w:right w:val="nil"/>
                <w:between w:val="nil"/>
              </w:pBdr>
              <w:ind w:left="113" w:right="-57" w:hanging="113"/>
              <w:rPr>
                <w:b/>
                <w:color w:val="000000"/>
              </w:rPr>
            </w:pPr>
          </w:p>
        </w:tc>
        <w:tc>
          <w:tcPr>
            <w:tcW w:w="1134" w:type="dxa"/>
            <w:tcBorders>
              <w:bottom w:val="single" w:sz="12" w:space="0" w:color="000000"/>
            </w:tcBorders>
            <w:vAlign w:val="bottom"/>
          </w:tcPr>
          <w:p w14:paraId="332F57BE" w14:textId="77777777" w:rsidR="008E5DE4" w:rsidRDefault="008E5DE4">
            <w:pPr>
              <w:widowControl w:val="0"/>
              <w:pBdr>
                <w:top w:val="nil"/>
                <w:left w:val="nil"/>
                <w:bottom w:val="nil"/>
                <w:right w:val="nil"/>
                <w:between w:val="nil"/>
              </w:pBdr>
              <w:rPr>
                <w:b/>
                <w:color w:val="000000"/>
              </w:rPr>
            </w:pPr>
          </w:p>
        </w:tc>
        <w:tc>
          <w:tcPr>
            <w:tcW w:w="1134" w:type="dxa"/>
            <w:tcBorders>
              <w:bottom w:val="single" w:sz="12" w:space="0" w:color="000000"/>
            </w:tcBorders>
            <w:vAlign w:val="bottom"/>
          </w:tcPr>
          <w:p w14:paraId="3A45E41F"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264D59C5"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0079B29D"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57C5CE8E" w14:textId="77777777" w:rsidR="008E5DE4" w:rsidRDefault="008E5DE4">
            <w:pPr>
              <w:widowControl w:val="0"/>
              <w:pBdr>
                <w:top w:val="nil"/>
                <w:left w:val="nil"/>
                <w:bottom w:val="nil"/>
                <w:right w:val="nil"/>
                <w:between w:val="nil"/>
              </w:pBdr>
              <w:jc w:val="right"/>
              <w:rPr>
                <w:b/>
                <w:color w:val="000000"/>
              </w:rPr>
            </w:pPr>
          </w:p>
        </w:tc>
      </w:tr>
      <w:tr w:rsidR="008E5DE4" w14:paraId="3A1B0295" w14:textId="77777777">
        <w:trPr>
          <w:cantSplit/>
        </w:trPr>
        <w:tc>
          <w:tcPr>
            <w:tcW w:w="3685" w:type="dxa"/>
            <w:vAlign w:val="bottom"/>
          </w:tcPr>
          <w:p w14:paraId="300F883B" w14:textId="77777777" w:rsidR="008E5DE4" w:rsidRDefault="008E5DE4">
            <w:pPr>
              <w:widowControl w:val="0"/>
              <w:pBdr>
                <w:top w:val="nil"/>
                <w:left w:val="nil"/>
                <w:bottom w:val="nil"/>
                <w:right w:val="nil"/>
                <w:between w:val="nil"/>
              </w:pBdr>
              <w:rPr>
                <w:b/>
                <w:i/>
                <w:color w:val="000000"/>
              </w:rPr>
            </w:pPr>
          </w:p>
          <w:p w14:paraId="5EEA0AF6" w14:textId="153D6CA9" w:rsidR="008E5DE4" w:rsidRDefault="00780368">
            <w:pPr>
              <w:widowControl w:val="0"/>
              <w:pBdr>
                <w:top w:val="nil"/>
                <w:left w:val="nil"/>
                <w:bottom w:val="nil"/>
                <w:right w:val="nil"/>
                <w:between w:val="nil"/>
              </w:pBdr>
              <w:rPr>
                <w:b/>
                <w:i/>
                <w:color w:val="000000"/>
              </w:rPr>
            </w:pPr>
            <w:r>
              <w:rPr>
                <w:b/>
                <w:i/>
                <w:color w:val="000000"/>
              </w:rPr>
              <w:t>Promissory notes</w:t>
            </w:r>
          </w:p>
        </w:tc>
        <w:tc>
          <w:tcPr>
            <w:tcW w:w="1134" w:type="dxa"/>
            <w:vAlign w:val="bottom"/>
          </w:tcPr>
          <w:p w14:paraId="53B35CCD"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22FC11B8"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3B40933D"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375D6B5E"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15ECD7AF" w14:textId="77777777" w:rsidR="008E5DE4" w:rsidRDefault="008E5DE4">
            <w:pPr>
              <w:widowControl w:val="0"/>
              <w:pBdr>
                <w:top w:val="nil"/>
                <w:left w:val="nil"/>
                <w:bottom w:val="nil"/>
                <w:right w:val="nil"/>
                <w:between w:val="nil"/>
              </w:pBdr>
              <w:rPr>
                <w:b/>
                <w:i/>
                <w:color w:val="000000"/>
              </w:rPr>
            </w:pPr>
          </w:p>
        </w:tc>
      </w:tr>
      <w:tr w:rsidR="008E5DE4" w14:paraId="29AB8A16" w14:textId="77777777">
        <w:trPr>
          <w:cantSplit/>
        </w:trPr>
        <w:tc>
          <w:tcPr>
            <w:tcW w:w="3685" w:type="dxa"/>
            <w:vAlign w:val="bottom"/>
          </w:tcPr>
          <w:p w14:paraId="393ED5D6"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3A9E461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F2AD0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E5B26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F8E0D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0D7963D" w14:textId="77777777" w:rsidR="008E5DE4" w:rsidRDefault="008E5DE4">
            <w:pPr>
              <w:widowControl w:val="0"/>
              <w:pBdr>
                <w:top w:val="nil"/>
                <w:left w:val="nil"/>
                <w:bottom w:val="nil"/>
                <w:right w:val="nil"/>
                <w:between w:val="nil"/>
              </w:pBdr>
              <w:jc w:val="right"/>
              <w:rPr>
                <w:color w:val="000000"/>
              </w:rPr>
            </w:pPr>
          </w:p>
        </w:tc>
      </w:tr>
      <w:tr w:rsidR="008E5DE4" w14:paraId="4FC86DF4" w14:textId="77777777">
        <w:trPr>
          <w:cantSplit/>
        </w:trPr>
        <w:tc>
          <w:tcPr>
            <w:tcW w:w="3685" w:type="dxa"/>
            <w:vAlign w:val="bottom"/>
          </w:tcPr>
          <w:p w14:paraId="34DD455C"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27BAAC5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F718DB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256B41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346E36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18F4149" w14:textId="77777777" w:rsidR="008E5DE4" w:rsidRDefault="008E5DE4">
            <w:pPr>
              <w:widowControl w:val="0"/>
              <w:pBdr>
                <w:top w:val="nil"/>
                <w:left w:val="nil"/>
                <w:bottom w:val="nil"/>
                <w:right w:val="nil"/>
                <w:between w:val="nil"/>
              </w:pBdr>
              <w:jc w:val="right"/>
              <w:rPr>
                <w:color w:val="000000"/>
              </w:rPr>
            </w:pPr>
          </w:p>
        </w:tc>
      </w:tr>
      <w:tr w:rsidR="008E5DE4" w14:paraId="74A97D2F" w14:textId="77777777">
        <w:trPr>
          <w:cantSplit/>
        </w:trPr>
        <w:tc>
          <w:tcPr>
            <w:tcW w:w="3685" w:type="dxa"/>
            <w:vAlign w:val="bottom"/>
          </w:tcPr>
          <w:p w14:paraId="572EFAB6"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4055067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8E6B23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50BD4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7A34F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C4DEDD3" w14:textId="77777777" w:rsidR="008E5DE4" w:rsidRDefault="008E5DE4">
            <w:pPr>
              <w:widowControl w:val="0"/>
              <w:pBdr>
                <w:top w:val="nil"/>
                <w:left w:val="nil"/>
                <w:bottom w:val="nil"/>
                <w:right w:val="nil"/>
                <w:between w:val="nil"/>
              </w:pBdr>
              <w:jc w:val="right"/>
              <w:rPr>
                <w:color w:val="000000"/>
              </w:rPr>
            </w:pPr>
          </w:p>
        </w:tc>
      </w:tr>
      <w:tr w:rsidR="008E5DE4" w14:paraId="6DD39D60" w14:textId="77777777">
        <w:trPr>
          <w:cantSplit/>
        </w:trPr>
        <w:tc>
          <w:tcPr>
            <w:tcW w:w="3685" w:type="dxa"/>
            <w:vAlign w:val="bottom"/>
          </w:tcPr>
          <w:p w14:paraId="2534637F"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65D9B68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C3B7BF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10357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5DFAB4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BAEAEF" w14:textId="77777777" w:rsidR="008E5DE4" w:rsidRDefault="008E5DE4">
            <w:pPr>
              <w:widowControl w:val="0"/>
              <w:pBdr>
                <w:top w:val="nil"/>
                <w:left w:val="nil"/>
                <w:bottom w:val="nil"/>
                <w:right w:val="nil"/>
                <w:between w:val="nil"/>
              </w:pBdr>
              <w:jc w:val="right"/>
              <w:rPr>
                <w:color w:val="000000"/>
              </w:rPr>
            </w:pPr>
          </w:p>
        </w:tc>
      </w:tr>
      <w:tr w:rsidR="008E5DE4" w14:paraId="7F9C530F" w14:textId="77777777">
        <w:trPr>
          <w:cantSplit/>
        </w:trPr>
        <w:tc>
          <w:tcPr>
            <w:tcW w:w="3685" w:type="dxa"/>
            <w:vAlign w:val="bottom"/>
          </w:tcPr>
          <w:p w14:paraId="6A4961CF" w14:textId="77777777" w:rsidR="008E5DE4" w:rsidRDefault="00780368">
            <w:pPr>
              <w:widowControl w:val="0"/>
              <w:pBdr>
                <w:top w:val="nil"/>
                <w:left w:val="nil"/>
                <w:bottom w:val="nil"/>
                <w:right w:val="nil"/>
                <w:between w:val="nil"/>
              </w:pBdr>
              <w:ind w:left="113" w:right="-57" w:hanging="113"/>
              <w:rPr>
                <w:color w:val="0000FF"/>
              </w:rPr>
            </w:pPr>
            <w:r>
              <w:rPr>
                <w:color w:val="000000"/>
              </w:rPr>
              <w:t>- Default</w:t>
            </w:r>
          </w:p>
        </w:tc>
        <w:tc>
          <w:tcPr>
            <w:tcW w:w="1134" w:type="dxa"/>
            <w:vAlign w:val="bottom"/>
          </w:tcPr>
          <w:p w14:paraId="1C3A3EC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88414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33DDFF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C6F5E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D39F8B" w14:textId="77777777" w:rsidR="008E5DE4" w:rsidRDefault="008E5DE4">
            <w:pPr>
              <w:widowControl w:val="0"/>
              <w:pBdr>
                <w:top w:val="nil"/>
                <w:left w:val="nil"/>
                <w:bottom w:val="nil"/>
                <w:right w:val="nil"/>
                <w:between w:val="nil"/>
              </w:pBdr>
              <w:jc w:val="right"/>
              <w:rPr>
                <w:color w:val="000000"/>
              </w:rPr>
            </w:pPr>
          </w:p>
        </w:tc>
      </w:tr>
      <w:tr w:rsidR="008E5DE4" w14:paraId="25CEA457" w14:textId="77777777">
        <w:trPr>
          <w:cantSplit/>
        </w:trPr>
        <w:tc>
          <w:tcPr>
            <w:tcW w:w="3685" w:type="dxa"/>
            <w:tcBorders>
              <w:bottom w:val="single" w:sz="4" w:space="0" w:color="000000"/>
            </w:tcBorders>
            <w:vAlign w:val="bottom"/>
          </w:tcPr>
          <w:p w14:paraId="2B2B762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3D60EBB8"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4A3FD01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D1F629F"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81713D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86069FA" w14:textId="77777777" w:rsidR="008E5DE4" w:rsidRDefault="008E5DE4">
            <w:pPr>
              <w:widowControl w:val="0"/>
              <w:pBdr>
                <w:top w:val="nil"/>
                <w:left w:val="nil"/>
                <w:bottom w:val="nil"/>
                <w:right w:val="nil"/>
                <w:between w:val="nil"/>
              </w:pBdr>
              <w:jc w:val="right"/>
              <w:rPr>
                <w:color w:val="000000"/>
              </w:rPr>
            </w:pPr>
          </w:p>
        </w:tc>
      </w:tr>
      <w:tr w:rsidR="008E5DE4" w14:paraId="30FE4EAC" w14:textId="77777777">
        <w:trPr>
          <w:cantSplit/>
        </w:trPr>
        <w:tc>
          <w:tcPr>
            <w:tcW w:w="3685" w:type="dxa"/>
            <w:tcBorders>
              <w:top w:val="single" w:sz="4" w:space="0" w:color="000000"/>
            </w:tcBorders>
            <w:vAlign w:val="bottom"/>
          </w:tcPr>
          <w:p w14:paraId="038375A6"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6545253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8B0920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8DE1BF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BE37FE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1AEFBCB" w14:textId="77777777" w:rsidR="008E5DE4" w:rsidRDefault="008E5DE4">
            <w:pPr>
              <w:widowControl w:val="0"/>
              <w:pBdr>
                <w:top w:val="nil"/>
                <w:left w:val="nil"/>
                <w:bottom w:val="nil"/>
                <w:right w:val="nil"/>
                <w:between w:val="nil"/>
              </w:pBdr>
              <w:jc w:val="right"/>
              <w:rPr>
                <w:color w:val="000000"/>
              </w:rPr>
            </w:pPr>
          </w:p>
        </w:tc>
      </w:tr>
      <w:tr w:rsidR="008E5DE4" w14:paraId="2B7078E6" w14:textId="77777777">
        <w:trPr>
          <w:cantSplit/>
        </w:trPr>
        <w:tc>
          <w:tcPr>
            <w:tcW w:w="3685" w:type="dxa"/>
            <w:vAlign w:val="bottom"/>
          </w:tcPr>
          <w:p w14:paraId="271CF19B" w14:textId="77777777" w:rsidR="008E5DE4" w:rsidRDefault="00780368">
            <w:pPr>
              <w:widowControl w:val="0"/>
              <w:pBdr>
                <w:top w:val="nil"/>
                <w:left w:val="nil"/>
                <w:bottom w:val="nil"/>
                <w:right w:val="nil"/>
                <w:between w:val="nil"/>
              </w:pBdr>
              <w:ind w:left="113" w:right="-57" w:hanging="113"/>
              <w:rPr>
                <w:color w:val="000000"/>
              </w:rPr>
            </w:pPr>
            <w:r>
              <w:rPr>
                <w:color w:val="000000"/>
              </w:rPr>
              <w:t>Total AC gross carrying amount</w:t>
            </w:r>
          </w:p>
        </w:tc>
        <w:tc>
          <w:tcPr>
            <w:tcW w:w="1134" w:type="dxa"/>
            <w:vAlign w:val="bottom"/>
          </w:tcPr>
          <w:p w14:paraId="1C6D9EF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478A43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34122E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4E3FB7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32C304" w14:textId="77777777" w:rsidR="008E5DE4" w:rsidRDefault="008E5DE4">
            <w:pPr>
              <w:widowControl w:val="0"/>
              <w:pBdr>
                <w:top w:val="nil"/>
                <w:left w:val="nil"/>
                <w:bottom w:val="nil"/>
                <w:right w:val="nil"/>
                <w:between w:val="nil"/>
              </w:pBdr>
              <w:jc w:val="right"/>
              <w:rPr>
                <w:color w:val="000000"/>
              </w:rPr>
            </w:pPr>
          </w:p>
        </w:tc>
      </w:tr>
      <w:tr w:rsidR="008E5DE4" w14:paraId="14BE50E3" w14:textId="77777777">
        <w:trPr>
          <w:cantSplit/>
        </w:trPr>
        <w:tc>
          <w:tcPr>
            <w:tcW w:w="3685" w:type="dxa"/>
            <w:tcBorders>
              <w:bottom w:val="single" w:sz="4" w:space="0" w:color="000000"/>
            </w:tcBorders>
            <w:vAlign w:val="bottom"/>
          </w:tcPr>
          <w:p w14:paraId="14DAE08E"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2BE568A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AEB8F1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9DCBAA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3F1379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7EF5C8C" w14:textId="77777777" w:rsidR="008E5DE4" w:rsidRDefault="008E5DE4">
            <w:pPr>
              <w:widowControl w:val="0"/>
              <w:pBdr>
                <w:top w:val="nil"/>
                <w:left w:val="nil"/>
                <w:bottom w:val="nil"/>
                <w:right w:val="nil"/>
                <w:between w:val="nil"/>
              </w:pBdr>
              <w:jc w:val="right"/>
              <w:rPr>
                <w:color w:val="000000"/>
              </w:rPr>
            </w:pPr>
          </w:p>
        </w:tc>
      </w:tr>
      <w:tr w:rsidR="008E5DE4" w14:paraId="1D426039" w14:textId="77777777">
        <w:trPr>
          <w:cantSplit/>
        </w:trPr>
        <w:tc>
          <w:tcPr>
            <w:tcW w:w="3685" w:type="dxa"/>
            <w:tcBorders>
              <w:top w:val="single" w:sz="4" w:space="0" w:color="000000"/>
            </w:tcBorders>
            <w:vAlign w:val="bottom"/>
          </w:tcPr>
          <w:p w14:paraId="6431C8C3"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64EFD8CC"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605D02E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B44DD8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BF3C28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179EB3D" w14:textId="77777777" w:rsidR="008E5DE4" w:rsidRDefault="008E5DE4">
            <w:pPr>
              <w:widowControl w:val="0"/>
              <w:pBdr>
                <w:top w:val="nil"/>
                <w:left w:val="nil"/>
                <w:bottom w:val="nil"/>
                <w:right w:val="nil"/>
                <w:between w:val="nil"/>
              </w:pBdr>
              <w:jc w:val="right"/>
              <w:rPr>
                <w:color w:val="000000"/>
              </w:rPr>
            </w:pPr>
          </w:p>
        </w:tc>
      </w:tr>
      <w:tr w:rsidR="008E5DE4" w14:paraId="33468DC1" w14:textId="77777777">
        <w:trPr>
          <w:cantSplit/>
        </w:trPr>
        <w:tc>
          <w:tcPr>
            <w:tcW w:w="3685" w:type="dxa"/>
            <w:vAlign w:val="bottom"/>
          </w:tcPr>
          <w:p w14:paraId="1672351D" w14:textId="77777777" w:rsidR="008E5DE4" w:rsidRDefault="00780368">
            <w:pPr>
              <w:widowControl w:val="0"/>
              <w:pBdr>
                <w:top w:val="nil"/>
                <w:left w:val="nil"/>
                <w:bottom w:val="nil"/>
                <w:right w:val="nil"/>
                <w:between w:val="nil"/>
              </w:pBdr>
              <w:ind w:left="113" w:right="-57" w:hanging="113"/>
              <w:rPr>
                <w:color w:val="000000"/>
              </w:rPr>
            </w:pPr>
            <w:r>
              <w:rPr>
                <w:color w:val="000000"/>
              </w:rPr>
              <w:t>Less credit loss allowance</w:t>
            </w:r>
          </w:p>
        </w:tc>
        <w:tc>
          <w:tcPr>
            <w:tcW w:w="1134" w:type="dxa"/>
            <w:vAlign w:val="bottom"/>
          </w:tcPr>
          <w:p w14:paraId="366C5B2C" w14:textId="77777777" w:rsidR="008E5DE4" w:rsidRDefault="008E5DE4">
            <w:pPr>
              <w:widowControl w:val="0"/>
              <w:pBdr>
                <w:top w:val="nil"/>
                <w:left w:val="nil"/>
                <w:bottom w:val="nil"/>
                <w:right w:val="nil"/>
                <w:between w:val="nil"/>
              </w:pBdr>
              <w:rPr>
                <w:color w:val="000000"/>
              </w:rPr>
            </w:pPr>
          </w:p>
        </w:tc>
        <w:tc>
          <w:tcPr>
            <w:tcW w:w="1134" w:type="dxa"/>
            <w:vAlign w:val="bottom"/>
          </w:tcPr>
          <w:p w14:paraId="75F2855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F1689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F454B2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06023B3" w14:textId="77777777" w:rsidR="008E5DE4" w:rsidRDefault="008E5DE4">
            <w:pPr>
              <w:widowControl w:val="0"/>
              <w:pBdr>
                <w:top w:val="nil"/>
                <w:left w:val="nil"/>
                <w:bottom w:val="nil"/>
                <w:right w:val="nil"/>
                <w:between w:val="nil"/>
              </w:pBdr>
              <w:jc w:val="right"/>
              <w:rPr>
                <w:color w:val="000000"/>
              </w:rPr>
            </w:pPr>
          </w:p>
        </w:tc>
      </w:tr>
      <w:tr w:rsidR="008E5DE4" w14:paraId="21EBF8F1" w14:textId="77777777">
        <w:trPr>
          <w:cantSplit/>
        </w:trPr>
        <w:tc>
          <w:tcPr>
            <w:tcW w:w="3685" w:type="dxa"/>
            <w:vAlign w:val="bottom"/>
          </w:tcPr>
          <w:p w14:paraId="34B8E52E" w14:textId="77777777" w:rsidR="008E5DE4" w:rsidRDefault="00780368">
            <w:pPr>
              <w:widowControl w:val="0"/>
              <w:pBdr>
                <w:top w:val="nil"/>
                <w:left w:val="nil"/>
                <w:bottom w:val="nil"/>
                <w:right w:val="nil"/>
                <w:between w:val="nil"/>
              </w:pBdr>
              <w:ind w:left="113" w:right="-57" w:hanging="113"/>
              <w:rPr>
                <w:color w:val="000000"/>
              </w:rPr>
            </w:pPr>
            <w:r>
              <w:rPr>
                <w:color w:val="000000"/>
              </w:rPr>
              <w:t>Less fair value adjustment from AC to FV</w:t>
            </w:r>
          </w:p>
        </w:tc>
        <w:tc>
          <w:tcPr>
            <w:tcW w:w="1134" w:type="dxa"/>
            <w:vAlign w:val="bottom"/>
          </w:tcPr>
          <w:p w14:paraId="343CD4CD" w14:textId="77777777" w:rsidR="008E5DE4" w:rsidRDefault="008E5DE4">
            <w:pPr>
              <w:widowControl w:val="0"/>
              <w:pBdr>
                <w:top w:val="nil"/>
                <w:left w:val="nil"/>
                <w:bottom w:val="nil"/>
                <w:right w:val="nil"/>
                <w:between w:val="nil"/>
              </w:pBdr>
              <w:rPr>
                <w:color w:val="000000"/>
              </w:rPr>
            </w:pPr>
          </w:p>
        </w:tc>
        <w:tc>
          <w:tcPr>
            <w:tcW w:w="1134" w:type="dxa"/>
            <w:vAlign w:val="bottom"/>
          </w:tcPr>
          <w:p w14:paraId="1CBC941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989109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4F38F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C494514" w14:textId="77777777" w:rsidR="008E5DE4" w:rsidRDefault="008E5DE4">
            <w:pPr>
              <w:widowControl w:val="0"/>
              <w:pBdr>
                <w:top w:val="nil"/>
                <w:left w:val="nil"/>
                <w:bottom w:val="nil"/>
                <w:right w:val="nil"/>
                <w:between w:val="nil"/>
              </w:pBdr>
              <w:jc w:val="right"/>
              <w:rPr>
                <w:color w:val="000000"/>
              </w:rPr>
            </w:pPr>
          </w:p>
        </w:tc>
      </w:tr>
      <w:tr w:rsidR="008E5DE4" w14:paraId="5CAFADD8" w14:textId="77777777">
        <w:trPr>
          <w:cantSplit/>
        </w:trPr>
        <w:tc>
          <w:tcPr>
            <w:tcW w:w="3685" w:type="dxa"/>
            <w:tcBorders>
              <w:bottom w:val="single" w:sz="4" w:space="0" w:color="000000"/>
            </w:tcBorders>
            <w:vAlign w:val="bottom"/>
          </w:tcPr>
          <w:p w14:paraId="74BA05F2"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1F83114C"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023B582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9B22F01"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3C21AD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88CCD60" w14:textId="77777777" w:rsidR="008E5DE4" w:rsidRDefault="008E5DE4">
            <w:pPr>
              <w:widowControl w:val="0"/>
              <w:pBdr>
                <w:top w:val="nil"/>
                <w:left w:val="nil"/>
                <w:bottom w:val="nil"/>
                <w:right w:val="nil"/>
                <w:between w:val="nil"/>
              </w:pBdr>
              <w:jc w:val="right"/>
              <w:rPr>
                <w:color w:val="000000"/>
              </w:rPr>
            </w:pPr>
          </w:p>
        </w:tc>
      </w:tr>
      <w:tr w:rsidR="008E5DE4" w14:paraId="6B0C83A8" w14:textId="77777777">
        <w:trPr>
          <w:cantSplit/>
        </w:trPr>
        <w:tc>
          <w:tcPr>
            <w:tcW w:w="3685" w:type="dxa"/>
            <w:tcBorders>
              <w:top w:val="single" w:sz="4" w:space="0" w:color="000000"/>
            </w:tcBorders>
            <w:vAlign w:val="bottom"/>
          </w:tcPr>
          <w:p w14:paraId="5AAD2CBB"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4099E60A"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6B1ADAE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04BF45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CEA226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D3666A4" w14:textId="77777777" w:rsidR="008E5DE4" w:rsidRDefault="008E5DE4">
            <w:pPr>
              <w:widowControl w:val="0"/>
              <w:pBdr>
                <w:top w:val="nil"/>
                <w:left w:val="nil"/>
                <w:bottom w:val="nil"/>
                <w:right w:val="nil"/>
                <w:between w:val="nil"/>
              </w:pBdr>
              <w:jc w:val="right"/>
              <w:rPr>
                <w:color w:val="000000"/>
              </w:rPr>
            </w:pPr>
          </w:p>
        </w:tc>
      </w:tr>
      <w:tr w:rsidR="008E5DE4" w14:paraId="15489FBA" w14:textId="77777777">
        <w:trPr>
          <w:cantSplit/>
        </w:trPr>
        <w:tc>
          <w:tcPr>
            <w:tcW w:w="3685" w:type="dxa"/>
            <w:vAlign w:val="bottom"/>
          </w:tcPr>
          <w:p w14:paraId="5A23BB51" w14:textId="77777777" w:rsidR="008E5DE4" w:rsidRDefault="00780368">
            <w:pPr>
              <w:widowControl w:val="0"/>
              <w:pBdr>
                <w:top w:val="nil"/>
                <w:left w:val="nil"/>
                <w:bottom w:val="nil"/>
                <w:right w:val="nil"/>
                <w:between w:val="nil"/>
              </w:pBdr>
              <w:ind w:left="113" w:right="-57" w:hanging="113"/>
              <w:rPr>
                <w:color w:val="000000"/>
              </w:rPr>
            </w:pPr>
            <w:r>
              <w:rPr>
                <w:color w:val="000000"/>
              </w:rPr>
              <w:t>Carrying value (fair value)</w:t>
            </w:r>
          </w:p>
        </w:tc>
        <w:tc>
          <w:tcPr>
            <w:tcW w:w="1134" w:type="dxa"/>
            <w:vAlign w:val="bottom"/>
          </w:tcPr>
          <w:p w14:paraId="27D5F2DC" w14:textId="77777777" w:rsidR="008E5DE4" w:rsidRDefault="008E5DE4">
            <w:pPr>
              <w:widowControl w:val="0"/>
              <w:pBdr>
                <w:top w:val="nil"/>
                <w:left w:val="nil"/>
                <w:bottom w:val="nil"/>
                <w:right w:val="nil"/>
                <w:between w:val="nil"/>
              </w:pBdr>
              <w:rPr>
                <w:color w:val="000000"/>
              </w:rPr>
            </w:pPr>
          </w:p>
        </w:tc>
        <w:tc>
          <w:tcPr>
            <w:tcW w:w="1134" w:type="dxa"/>
            <w:vAlign w:val="bottom"/>
          </w:tcPr>
          <w:p w14:paraId="55D2B2F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F29A8A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378AC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9D396B0" w14:textId="77777777" w:rsidR="008E5DE4" w:rsidRDefault="008E5DE4">
            <w:pPr>
              <w:widowControl w:val="0"/>
              <w:pBdr>
                <w:top w:val="nil"/>
                <w:left w:val="nil"/>
                <w:bottom w:val="nil"/>
                <w:right w:val="nil"/>
                <w:between w:val="nil"/>
              </w:pBdr>
              <w:jc w:val="right"/>
              <w:rPr>
                <w:color w:val="000000"/>
              </w:rPr>
            </w:pPr>
          </w:p>
        </w:tc>
      </w:tr>
      <w:tr w:rsidR="008E5DE4" w14:paraId="30C7E55C" w14:textId="77777777">
        <w:trPr>
          <w:cantSplit/>
        </w:trPr>
        <w:tc>
          <w:tcPr>
            <w:tcW w:w="3685" w:type="dxa"/>
            <w:tcBorders>
              <w:bottom w:val="single" w:sz="4" w:space="0" w:color="000000"/>
            </w:tcBorders>
            <w:vAlign w:val="bottom"/>
          </w:tcPr>
          <w:p w14:paraId="1E24687B"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75C8FC37"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3A80B96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7555BC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0AF372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CE32323" w14:textId="77777777" w:rsidR="008E5DE4" w:rsidRDefault="008E5DE4">
            <w:pPr>
              <w:widowControl w:val="0"/>
              <w:pBdr>
                <w:top w:val="nil"/>
                <w:left w:val="nil"/>
                <w:bottom w:val="nil"/>
                <w:right w:val="nil"/>
                <w:between w:val="nil"/>
              </w:pBdr>
              <w:jc w:val="right"/>
              <w:rPr>
                <w:color w:val="000000"/>
              </w:rPr>
            </w:pPr>
          </w:p>
        </w:tc>
      </w:tr>
      <w:tr w:rsidR="008E5DE4" w14:paraId="5EA0A598" w14:textId="77777777">
        <w:trPr>
          <w:cantSplit/>
        </w:trPr>
        <w:tc>
          <w:tcPr>
            <w:tcW w:w="3685" w:type="dxa"/>
            <w:tcBorders>
              <w:top w:val="single" w:sz="4" w:space="0" w:color="000000"/>
            </w:tcBorders>
            <w:vAlign w:val="bottom"/>
          </w:tcPr>
          <w:p w14:paraId="7FB6C6C5"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21F4774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A91384F"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02A142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953F3C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4BB405A" w14:textId="77777777" w:rsidR="008E5DE4" w:rsidRDefault="008E5DE4">
            <w:pPr>
              <w:widowControl w:val="0"/>
              <w:pBdr>
                <w:top w:val="nil"/>
                <w:left w:val="nil"/>
                <w:bottom w:val="nil"/>
                <w:right w:val="nil"/>
                <w:between w:val="nil"/>
              </w:pBdr>
              <w:jc w:val="right"/>
              <w:rPr>
                <w:color w:val="000000"/>
              </w:rPr>
            </w:pPr>
          </w:p>
        </w:tc>
      </w:tr>
      <w:tr w:rsidR="008E5DE4" w14:paraId="505F9330" w14:textId="77777777">
        <w:trPr>
          <w:cantSplit/>
        </w:trPr>
        <w:tc>
          <w:tcPr>
            <w:tcW w:w="3685" w:type="dxa"/>
            <w:vAlign w:val="bottom"/>
          </w:tcPr>
          <w:p w14:paraId="53FD9D72"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investments in debt securities measured at FVOCI (fair value)</w:t>
            </w:r>
          </w:p>
        </w:tc>
        <w:tc>
          <w:tcPr>
            <w:tcW w:w="1134" w:type="dxa"/>
            <w:vAlign w:val="bottom"/>
          </w:tcPr>
          <w:p w14:paraId="438E077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AC12D0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FE96CB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FC760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848EAAB" w14:textId="77777777" w:rsidR="008E5DE4" w:rsidRDefault="008E5DE4">
            <w:pPr>
              <w:widowControl w:val="0"/>
              <w:pBdr>
                <w:top w:val="nil"/>
                <w:left w:val="nil"/>
                <w:bottom w:val="nil"/>
                <w:right w:val="nil"/>
                <w:between w:val="nil"/>
              </w:pBdr>
              <w:jc w:val="right"/>
              <w:rPr>
                <w:color w:val="000000"/>
              </w:rPr>
            </w:pPr>
          </w:p>
        </w:tc>
      </w:tr>
      <w:tr w:rsidR="008E5DE4" w14:paraId="35A2801E" w14:textId="77777777">
        <w:trPr>
          <w:cantSplit/>
        </w:trPr>
        <w:tc>
          <w:tcPr>
            <w:tcW w:w="3685" w:type="dxa"/>
            <w:tcBorders>
              <w:bottom w:val="single" w:sz="12" w:space="0" w:color="000000"/>
            </w:tcBorders>
            <w:vAlign w:val="bottom"/>
          </w:tcPr>
          <w:p w14:paraId="7D9E75F2"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431FB921"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330DF65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39B028C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3619CEA3"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1719035B" w14:textId="77777777" w:rsidR="008E5DE4" w:rsidRDefault="008E5DE4">
            <w:pPr>
              <w:widowControl w:val="0"/>
              <w:pBdr>
                <w:top w:val="nil"/>
                <w:left w:val="nil"/>
                <w:bottom w:val="nil"/>
                <w:right w:val="nil"/>
                <w:between w:val="nil"/>
              </w:pBdr>
              <w:jc w:val="right"/>
              <w:rPr>
                <w:color w:val="000000"/>
              </w:rPr>
            </w:pPr>
          </w:p>
        </w:tc>
      </w:tr>
    </w:tbl>
    <w:p w14:paraId="3619D25F" w14:textId="35DE21F0" w:rsidR="008E5DE4" w:rsidRDefault="00780368">
      <w:pPr>
        <w:widowControl w:val="0"/>
        <w:spacing w:before="200" w:after="200"/>
        <w:jc w:val="both"/>
        <w:rPr>
          <w:i/>
          <w:color w:val="FF0000"/>
          <w:sz w:val="20"/>
          <w:szCs w:val="20"/>
        </w:rPr>
      </w:pPr>
      <w:r>
        <w:rPr>
          <w:sz w:val="20"/>
          <w:szCs w:val="20"/>
        </w:rPr>
        <w:t xml:space="preserve">The table below contains an analysis of the credit risk exposure of debt securities measured at FVOCI </w:t>
      </w:r>
      <w:proofErr w:type="gramStart"/>
      <w:r>
        <w:rPr>
          <w:sz w:val="20"/>
          <w:szCs w:val="20"/>
        </w:rPr>
        <w:t>at</w:t>
      </w:r>
      <w:proofErr w:type="gramEnd"/>
      <w:r>
        <w:rPr>
          <w:sz w:val="20"/>
          <w:szCs w:val="20"/>
        </w:rPr>
        <w:t xml:space="preserve"> 31 December </w:t>
      </w:r>
      <w:r w:rsidR="00FF468A">
        <w:rPr>
          <w:sz w:val="20"/>
          <w:szCs w:val="20"/>
        </w:rPr>
        <w:t>2024</w:t>
      </w:r>
      <w:r>
        <w:rPr>
          <w:sz w:val="20"/>
          <w:szCs w:val="20"/>
        </w:rPr>
        <w:t>, for which an ECL allowance is recognised, based on credit risk grades. Refer to Note 51</w:t>
      </w:r>
      <w:r>
        <w:t xml:space="preserve"> </w:t>
      </w:r>
      <w:r>
        <w:rPr>
          <w:sz w:val="20"/>
          <w:szCs w:val="20"/>
        </w:rPr>
        <w:t xml:space="preserve">for the description of credit risk grading system used by the Group and the approach to ECL measurement, including the definition of default and SICR as applicable to debt securities at FVOCI: </w:t>
      </w:r>
    </w:p>
    <w:p w14:paraId="17A84754"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tbl>
      <w:tblPr>
        <w:tblStyle w:val="affffffd"/>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40C67DE1" w14:textId="77777777">
        <w:trPr>
          <w:cantSplit/>
          <w:tblHeader/>
        </w:trPr>
        <w:tc>
          <w:tcPr>
            <w:tcW w:w="3685" w:type="dxa"/>
            <w:tcBorders>
              <w:bottom w:val="single" w:sz="4" w:space="0" w:color="000000"/>
            </w:tcBorders>
            <w:vAlign w:val="bottom"/>
          </w:tcPr>
          <w:p w14:paraId="2DC51990"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7D727E0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2C5AC9A3"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31F63115"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4CC5B551"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57C9B13A"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6FA0DEE0"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09932B4B" w14:textId="77777777" w:rsidR="008E5DE4" w:rsidRDefault="00780368">
            <w:pPr>
              <w:widowControl w:val="0"/>
              <w:pBdr>
                <w:top w:val="nil"/>
                <w:left w:val="nil"/>
                <w:bottom w:val="nil"/>
                <w:right w:val="nil"/>
                <w:between w:val="nil"/>
              </w:pBdr>
              <w:ind w:left="-113"/>
              <w:jc w:val="right"/>
              <w:rPr>
                <w:b/>
                <w:color w:val="000000"/>
              </w:rPr>
            </w:pPr>
            <w:r>
              <w:rPr>
                <w:b/>
                <w:color w:val="000000"/>
              </w:rPr>
              <w:t>POCI</w:t>
            </w:r>
          </w:p>
        </w:tc>
        <w:tc>
          <w:tcPr>
            <w:tcW w:w="1134" w:type="dxa"/>
            <w:tcBorders>
              <w:bottom w:val="single" w:sz="4" w:space="0" w:color="000000"/>
            </w:tcBorders>
          </w:tcPr>
          <w:p w14:paraId="6DF08FB8"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60169FF3" w14:textId="77777777">
        <w:trPr>
          <w:cantSplit/>
          <w:tblHeader/>
        </w:trPr>
        <w:tc>
          <w:tcPr>
            <w:tcW w:w="3685" w:type="dxa"/>
            <w:vAlign w:val="bottom"/>
          </w:tcPr>
          <w:p w14:paraId="19D7FA48" w14:textId="77777777" w:rsidR="008E5DE4" w:rsidRDefault="008E5DE4">
            <w:pPr>
              <w:widowControl w:val="0"/>
              <w:ind w:left="113" w:right="-57" w:hanging="113"/>
            </w:pPr>
          </w:p>
        </w:tc>
        <w:tc>
          <w:tcPr>
            <w:tcW w:w="1134" w:type="dxa"/>
            <w:vAlign w:val="bottom"/>
          </w:tcPr>
          <w:p w14:paraId="0DA951F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3B9E78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DF37FA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76100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529479" w14:textId="77777777" w:rsidR="008E5DE4" w:rsidRDefault="008E5DE4">
            <w:pPr>
              <w:widowControl w:val="0"/>
              <w:pBdr>
                <w:top w:val="nil"/>
                <w:left w:val="nil"/>
                <w:bottom w:val="nil"/>
                <w:right w:val="nil"/>
                <w:between w:val="nil"/>
              </w:pBdr>
              <w:jc w:val="right"/>
              <w:rPr>
                <w:color w:val="000000"/>
              </w:rPr>
            </w:pPr>
          </w:p>
        </w:tc>
      </w:tr>
      <w:tr w:rsidR="008E5DE4" w14:paraId="271C21FC" w14:textId="77777777">
        <w:trPr>
          <w:cantSplit/>
        </w:trPr>
        <w:tc>
          <w:tcPr>
            <w:tcW w:w="3685" w:type="dxa"/>
            <w:vAlign w:val="bottom"/>
          </w:tcPr>
          <w:p w14:paraId="5F03293F" w14:textId="77777777" w:rsidR="008E5DE4" w:rsidRDefault="00780368">
            <w:pPr>
              <w:widowControl w:val="0"/>
              <w:pBdr>
                <w:top w:val="nil"/>
                <w:left w:val="nil"/>
                <w:bottom w:val="nil"/>
                <w:right w:val="nil"/>
                <w:between w:val="nil"/>
              </w:pBdr>
              <w:ind w:left="113" w:right="-57" w:hanging="113"/>
              <w:rPr>
                <w:i/>
                <w:color w:val="000000"/>
              </w:rPr>
            </w:pPr>
            <w:r>
              <w:rPr>
                <w:b/>
                <w:i/>
                <w:color w:val="0000FF"/>
              </w:rPr>
              <w:t>[Country]</w:t>
            </w:r>
            <w:r>
              <w:rPr>
                <w:color w:val="000000"/>
              </w:rPr>
              <w:t xml:space="preserve"> </w:t>
            </w:r>
            <w:r>
              <w:rPr>
                <w:b/>
                <w:i/>
                <w:color w:val="000000"/>
              </w:rPr>
              <w:t>government bonds</w:t>
            </w:r>
          </w:p>
        </w:tc>
        <w:tc>
          <w:tcPr>
            <w:tcW w:w="1134" w:type="dxa"/>
            <w:vAlign w:val="bottom"/>
          </w:tcPr>
          <w:p w14:paraId="175230B4" w14:textId="77777777" w:rsidR="008E5DE4" w:rsidRDefault="008E5DE4">
            <w:pPr>
              <w:widowControl w:val="0"/>
              <w:pBdr>
                <w:top w:val="nil"/>
                <w:left w:val="nil"/>
                <w:bottom w:val="nil"/>
                <w:right w:val="nil"/>
                <w:between w:val="nil"/>
              </w:pBdr>
              <w:jc w:val="both"/>
              <w:rPr>
                <w:i/>
                <w:color w:val="000000"/>
              </w:rPr>
            </w:pPr>
          </w:p>
        </w:tc>
        <w:tc>
          <w:tcPr>
            <w:tcW w:w="1134" w:type="dxa"/>
            <w:vAlign w:val="bottom"/>
          </w:tcPr>
          <w:p w14:paraId="47232290" w14:textId="77777777" w:rsidR="008E5DE4" w:rsidRDefault="008E5DE4">
            <w:pPr>
              <w:widowControl w:val="0"/>
              <w:pBdr>
                <w:top w:val="nil"/>
                <w:left w:val="nil"/>
                <w:bottom w:val="nil"/>
                <w:right w:val="nil"/>
                <w:between w:val="nil"/>
              </w:pBdr>
              <w:jc w:val="both"/>
              <w:rPr>
                <w:i/>
                <w:color w:val="000000"/>
              </w:rPr>
            </w:pPr>
          </w:p>
        </w:tc>
        <w:tc>
          <w:tcPr>
            <w:tcW w:w="1134" w:type="dxa"/>
            <w:vAlign w:val="bottom"/>
          </w:tcPr>
          <w:p w14:paraId="29F1B87E" w14:textId="77777777" w:rsidR="008E5DE4" w:rsidRDefault="008E5DE4">
            <w:pPr>
              <w:widowControl w:val="0"/>
              <w:pBdr>
                <w:top w:val="nil"/>
                <w:left w:val="nil"/>
                <w:bottom w:val="nil"/>
                <w:right w:val="nil"/>
                <w:between w:val="nil"/>
              </w:pBdr>
              <w:jc w:val="both"/>
              <w:rPr>
                <w:i/>
                <w:color w:val="000000"/>
              </w:rPr>
            </w:pPr>
          </w:p>
        </w:tc>
        <w:tc>
          <w:tcPr>
            <w:tcW w:w="1134" w:type="dxa"/>
            <w:vAlign w:val="bottom"/>
          </w:tcPr>
          <w:p w14:paraId="393F8CDF" w14:textId="77777777" w:rsidR="008E5DE4" w:rsidRDefault="008E5DE4">
            <w:pPr>
              <w:widowControl w:val="0"/>
              <w:pBdr>
                <w:top w:val="nil"/>
                <w:left w:val="nil"/>
                <w:bottom w:val="nil"/>
                <w:right w:val="nil"/>
                <w:between w:val="nil"/>
              </w:pBdr>
              <w:jc w:val="both"/>
              <w:rPr>
                <w:i/>
                <w:color w:val="000000"/>
              </w:rPr>
            </w:pPr>
          </w:p>
        </w:tc>
        <w:tc>
          <w:tcPr>
            <w:tcW w:w="1134" w:type="dxa"/>
            <w:vAlign w:val="bottom"/>
          </w:tcPr>
          <w:p w14:paraId="560C0B58" w14:textId="77777777" w:rsidR="008E5DE4" w:rsidRDefault="008E5DE4">
            <w:pPr>
              <w:widowControl w:val="0"/>
              <w:pBdr>
                <w:top w:val="nil"/>
                <w:left w:val="nil"/>
                <w:bottom w:val="nil"/>
                <w:right w:val="nil"/>
                <w:between w:val="nil"/>
              </w:pBdr>
              <w:jc w:val="both"/>
              <w:rPr>
                <w:i/>
                <w:color w:val="000000"/>
              </w:rPr>
            </w:pPr>
          </w:p>
        </w:tc>
      </w:tr>
      <w:tr w:rsidR="008E5DE4" w14:paraId="4FAB74CA" w14:textId="77777777">
        <w:trPr>
          <w:cantSplit/>
        </w:trPr>
        <w:tc>
          <w:tcPr>
            <w:tcW w:w="3685" w:type="dxa"/>
            <w:vAlign w:val="bottom"/>
          </w:tcPr>
          <w:p w14:paraId="7D50936A"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173445A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B6163D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240548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8F85B1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ACB98A2" w14:textId="77777777" w:rsidR="008E5DE4" w:rsidRDefault="008E5DE4">
            <w:pPr>
              <w:widowControl w:val="0"/>
              <w:pBdr>
                <w:top w:val="nil"/>
                <w:left w:val="nil"/>
                <w:bottom w:val="nil"/>
                <w:right w:val="nil"/>
                <w:between w:val="nil"/>
              </w:pBdr>
              <w:jc w:val="right"/>
              <w:rPr>
                <w:color w:val="000000"/>
              </w:rPr>
            </w:pPr>
          </w:p>
        </w:tc>
      </w:tr>
      <w:tr w:rsidR="008E5DE4" w14:paraId="456034DF" w14:textId="77777777">
        <w:trPr>
          <w:cantSplit/>
        </w:trPr>
        <w:tc>
          <w:tcPr>
            <w:tcW w:w="3685" w:type="dxa"/>
            <w:vAlign w:val="bottom"/>
          </w:tcPr>
          <w:p w14:paraId="7FAC3F79"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0E0BF9D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C7CBB1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22699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B390EE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FEBB32" w14:textId="77777777" w:rsidR="008E5DE4" w:rsidRDefault="008E5DE4">
            <w:pPr>
              <w:widowControl w:val="0"/>
              <w:pBdr>
                <w:top w:val="nil"/>
                <w:left w:val="nil"/>
                <w:bottom w:val="nil"/>
                <w:right w:val="nil"/>
                <w:between w:val="nil"/>
              </w:pBdr>
              <w:jc w:val="right"/>
              <w:rPr>
                <w:color w:val="000000"/>
              </w:rPr>
            </w:pPr>
          </w:p>
        </w:tc>
      </w:tr>
      <w:tr w:rsidR="008E5DE4" w14:paraId="756DD818" w14:textId="77777777">
        <w:trPr>
          <w:cantSplit/>
        </w:trPr>
        <w:tc>
          <w:tcPr>
            <w:tcW w:w="3685" w:type="dxa"/>
            <w:vAlign w:val="bottom"/>
          </w:tcPr>
          <w:p w14:paraId="16D92256"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2306F01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C36958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14163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EA52D9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D221F8" w14:textId="77777777" w:rsidR="008E5DE4" w:rsidRDefault="008E5DE4">
            <w:pPr>
              <w:widowControl w:val="0"/>
              <w:pBdr>
                <w:top w:val="nil"/>
                <w:left w:val="nil"/>
                <w:bottom w:val="nil"/>
                <w:right w:val="nil"/>
                <w:between w:val="nil"/>
              </w:pBdr>
              <w:jc w:val="right"/>
              <w:rPr>
                <w:color w:val="000000"/>
              </w:rPr>
            </w:pPr>
          </w:p>
        </w:tc>
      </w:tr>
      <w:tr w:rsidR="008E5DE4" w14:paraId="33031B33" w14:textId="77777777">
        <w:trPr>
          <w:cantSplit/>
        </w:trPr>
        <w:tc>
          <w:tcPr>
            <w:tcW w:w="3685" w:type="dxa"/>
            <w:tcBorders>
              <w:bottom w:val="single" w:sz="4" w:space="0" w:color="000000"/>
            </w:tcBorders>
            <w:vAlign w:val="bottom"/>
          </w:tcPr>
          <w:p w14:paraId="120808FC"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594D641E"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0906B21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0E9B72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124148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03381B0" w14:textId="77777777" w:rsidR="008E5DE4" w:rsidRDefault="008E5DE4">
            <w:pPr>
              <w:widowControl w:val="0"/>
              <w:pBdr>
                <w:top w:val="nil"/>
                <w:left w:val="nil"/>
                <w:bottom w:val="nil"/>
                <w:right w:val="nil"/>
                <w:between w:val="nil"/>
              </w:pBdr>
              <w:jc w:val="right"/>
              <w:rPr>
                <w:color w:val="000000"/>
              </w:rPr>
            </w:pPr>
          </w:p>
        </w:tc>
      </w:tr>
      <w:tr w:rsidR="008E5DE4" w14:paraId="1BBC26D4" w14:textId="77777777">
        <w:trPr>
          <w:cantSplit/>
        </w:trPr>
        <w:tc>
          <w:tcPr>
            <w:tcW w:w="3685" w:type="dxa"/>
            <w:tcBorders>
              <w:top w:val="single" w:sz="4" w:space="0" w:color="000000"/>
            </w:tcBorders>
            <w:vAlign w:val="bottom"/>
          </w:tcPr>
          <w:p w14:paraId="193745CD"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787D8DE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3B8EAB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81189F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3E6522D"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5EB377A" w14:textId="77777777" w:rsidR="008E5DE4" w:rsidRDefault="008E5DE4">
            <w:pPr>
              <w:widowControl w:val="0"/>
              <w:pBdr>
                <w:top w:val="nil"/>
                <w:left w:val="nil"/>
                <w:bottom w:val="nil"/>
                <w:right w:val="nil"/>
                <w:between w:val="nil"/>
              </w:pBdr>
              <w:jc w:val="right"/>
              <w:rPr>
                <w:color w:val="000000"/>
              </w:rPr>
            </w:pPr>
          </w:p>
        </w:tc>
      </w:tr>
      <w:tr w:rsidR="008E5DE4" w14:paraId="25C45BDA" w14:textId="77777777">
        <w:trPr>
          <w:cantSplit/>
        </w:trPr>
        <w:tc>
          <w:tcPr>
            <w:tcW w:w="3685" w:type="dxa"/>
            <w:vAlign w:val="bottom"/>
          </w:tcPr>
          <w:p w14:paraId="1C2A4EE3"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Total AC gross carrying amount </w:t>
            </w:r>
          </w:p>
        </w:tc>
        <w:tc>
          <w:tcPr>
            <w:tcW w:w="1134" w:type="dxa"/>
            <w:vAlign w:val="bottom"/>
          </w:tcPr>
          <w:p w14:paraId="1E2112F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5E13F8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D5022C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52C6E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A5052D" w14:textId="77777777" w:rsidR="008E5DE4" w:rsidRDefault="008E5DE4">
            <w:pPr>
              <w:widowControl w:val="0"/>
              <w:pBdr>
                <w:top w:val="nil"/>
                <w:left w:val="nil"/>
                <w:bottom w:val="nil"/>
                <w:right w:val="nil"/>
                <w:between w:val="nil"/>
              </w:pBdr>
              <w:jc w:val="right"/>
              <w:rPr>
                <w:color w:val="000000"/>
              </w:rPr>
            </w:pPr>
          </w:p>
        </w:tc>
      </w:tr>
      <w:tr w:rsidR="008E5DE4" w14:paraId="2D3D3967" w14:textId="77777777">
        <w:trPr>
          <w:cantSplit/>
        </w:trPr>
        <w:tc>
          <w:tcPr>
            <w:tcW w:w="3685" w:type="dxa"/>
            <w:tcBorders>
              <w:bottom w:val="single" w:sz="4" w:space="0" w:color="000000"/>
            </w:tcBorders>
            <w:vAlign w:val="bottom"/>
          </w:tcPr>
          <w:p w14:paraId="79047F20"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3C8DF30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CB1058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E2D9F1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73C7AF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64702A4" w14:textId="77777777" w:rsidR="008E5DE4" w:rsidRDefault="008E5DE4">
            <w:pPr>
              <w:widowControl w:val="0"/>
              <w:pBdr>
                <w:top w:val="nil"/>
                <w:left w:val="nil"/>
                <w:bottom w:val="nil"/>
                <w:right w:val="nil"/>
                <w:between w:val="nil"/>
              </w:pBdr>
              <w:jc w:val="right"/>
              <w:rPr>
                <w:color w:val="000000"/>
              </w:rPr>
            </w:pPr>
          </w:p>
        </w:tc>
      </w:tr>
      <w:tr w:rsidR="008E5DE4" w14:paraId="26508BCE" w14:textId="77777777">
        <w:trPr>
          <w:cantSplit/>
        </w:trPr>
        <w:tc>
          <w:tcPr>
            <w:tcW w:w="3685" w:type="dxa"/>
            <w:tcBorders>
              <w:top w:val="single" w:sz="4" w:space="0" w:color="000000"/>
            </w:tcBorders>
            <w:vAlign w:val="bottom"/>
          </w:tcPr>
          <w:p w14:paraId="20CFE682"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62CAC4A5"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17E6C95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BC7729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D84C09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8DDF6C3" w14:textId="77777777" w:rsidR="008E5DE4" w:rsidRDefault="008E5DE4">
            <w:pPr>
              <w:widowControl w:val="0"/>
              <w:pBdr>
                <w:top w:val="nil"/>
                <w:left w:val="nil"/>
                <w:bottom w:val="nil"/>
                <w:right w:val="nil"/>
                <w:between w:val="nil"/>
              </w:pBdr>
              <w:jc w:val="right"/>
              <w:rPr>
                <w:color w:val="000000"/>
              </w:rPr>
            </w:pPr>
          </w:p>
        </w:tc>
      </w:tr>
      <w:tr w:rsidR="008E5DE4" w14:paraId="311A7B37" w14:textId="77777777">
        <w:trPr>
          <w:cantSplit/>
        </w:trPr>
        <w:tc>
          <w:tcPr>
            <w:tcW w:w="3685" w:type="dxa"/>
            <w:vAlign w:val="bottom"/>
          </w:tcPr>
          <w:p w14:paraId="7B102610" w14:textId="77777777" w:rsidR="008E5DE4" w:rsidRDefault="00780368">
            <w:pPr>
              <w:widowControl w:val="0"/>
              <w:pBdr>
                <w:top w:val="nil"/>
                <w:left w:val="nil"/>
                <w:bottom w:val="nil"/>
                <w:right w:val="nil"/>
                <w:between w:val="nil"/>
              </w:pBdr>
              <w:ind w:left="113" w:right="-57" w:hanging="113"/>
              <w:rPr>
                <w:color w:val="000000"/>
              </w:rPr>
            </w:pPr>
            <w:r>
              <w:rPr>
                <w:color w:val="000000"/>
              </w:rPr>
              <w:t>Less credit loss allowance</w:t>
            </w:r>
          </w:p>
        </w:tc>
        <w:tc>
          <w:tcPr>
            <w:tcW w:w="1134" w:type="dxa"/>
            <w:vAlign w:val="bottom"/>
          </w:tcPr>
          <w:p w14:paraId="359137E9" w14:textId="77777777" w:rsidR="008E5DE4" w:rsidRDefault="008E5DE4">
            <w:pPr>
              <w:widowControl w:val="0"/>
              <w:pBdr>
                <w:top w:val="nil"/>
                <w:left w:val="nil"/>
                <w:bottom w:val="nil"/>
                <w:right w:val="nil"/>
                <w:between w:val="nil"/>
              </w:pBdr>
              <w:rPr>
                <w:color w:val="000000"/>
              </w:rPr>
            </w:pPr>
          </w:p>
        </w:tc>
        <w:tc>
          <w:tcPr>
            <w:tcW w:w="1134" w:type="dxa"/>
            <w:vAlign w:val="bottom"/>
          </w:tcPr>
          <w:p w14:paraId="1F1AC87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189BA3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B9141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45715C" w14:textId="77777777" w:rsidR="008E5DE4" w:rsidRDefault="008E5DE4">
            <w:pPr>
              <w:widowControl w:val="0"/>
              <w:pBdr>
                <w:top w:val="nil"/>
                <w:left w:val="nil"/>
                <w:bottom w:val="nil"/>
                <w:right w:val="nil"/>
                <w:between w:val="nil"/>
              </w:pBdr>
              <w:jc w:val="right"/>
              <w:rPr>
                <w:color w:val="000000"/>
              </w:rPr>
            </w:pPr>
          </w:p>
        </w:tc>
      </w:tr>
      <w:tr w:rsidR="008E5DE4" w14:paraId="50F17C3D" w14:textId="77777777">
        <w:trPr>
          <w:cantSplit/>
        </w:trPr>
        <w:tc>
          <w:tcPr>
            <w:tcW w:w="3685" w:type="dxa"/>
            <w:vAlign w:val="bottom"/>
          </w:tcPr>
          <w:p w14:paraId="5FF5A793" w14:textId="77777777" w:rsidR="008E5DE4" w:rsidRDefault="00780368">
            <w:pPr>
              <w:widowControl w:val="0"/>
              <w:pBdr>
                <w:top w:val="nil"/>
                <w:left w:val="nil"/>
                <w:bottom w:val="nil"/>
                <w:right w:val="nil"/>
                <w:between w:val="nil"/>
              </w:pBdr>
              <w:ind w:left="113" w:right="-57" w:hanging="113"/>
              <w:rPr>
                <w:color w:val="000000"/>
              </w:rPr>
            </w:pPr>
            <w:r>
              <w:rPr>
                <w:color w:val="000000"/>
              </w:rPr>
              <w:t>Less fair value adjustment from AC to FV</w:t>
            </w:r>
          </w:p>
        </w:tc>
        <w:tc>
          <w:tcPr>
            <w:tcW w:w="1134" w:type="dxa"/>
            <w:vAlign w:val="bottom"/>
          </w:tcPr>
          <w:p w14:paraId="6E2A8DE3" w14:textId="77777777" w:rsidR="008E5DE4" w:rsidRDefault="008E5DE4">
            <w:pPr>
              <w:widowControl w:val="0"/>
              <w:pBdr>
                <w:top w:val="nil"/>
                <w:left w:val="nil"/>
                <w:bottom w:val="nil"/>
                <w:right w:val="nil"/>
                <w:between w:val="nil"/>
              </w:pBdr>
              <w:rPr>
                <w:color w:val="000000"/>
              </w:rPr>
            </w:pPr>
          </w:p>
        </w:tc>
        <w:tc>
          <w:tcPr>
            <w:tcW w:w="1134" w:type="dxa"/>
            <w:vAlign w:val="bottom"/>
          </w:tcPr>
          <w:p w14:paraId="7192355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115892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23B4D5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813214E" w14:textId="77777777" w:rsidR="008E5DE4" w:rsidRDefault="008E5DE4">
            <w:pPr>
              <w:widowControl w:val="0"/>
              <w:pBdr>
                <w:top w:val="nil"/>
                <w:left w:val="nil"/>
                <w:bottom w:val="nil"/>
                <w:right w:val="nil"/>
                <w:between w:val="nil"/>
              </w:pBdr>
              <w:jc w:val="right"/>
              <w:rPr>
                <w:color w:val="000000"/>
              </w:rPr>
            </w:pPr>
          </w:p>
        </w:tc>
      </w:tr>
      <w:tr w:rsidR="008E5DE4" w14:paraId="1CE8F7BF" w14:textId="77777777">
        <w:trPr>
          <w:cantSplit/>
        </w:trPr>
        <w:tc>
          <w:tcPr>
            <w:tcW w:w="3685" w:type="dxa"/>
            <w:tcBorders>
              <w:bottom w:val="single" w:sz="4" w:space="0" w:color="000000"/>
            </w:tcBorders>
            <w:vAlign w:val="bottom"/>
          </w:tcPr>
          <w:p w14:paraId="5B3804E7"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0F20FC78"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7F82464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3D01FD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261439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86B715F" w14:textId="77777777" w:rsidR="008E5DE4" w:rsidRDefault="008E5DE4">
            <w:pPr>
              <w:widowControl w:val="0"/>
              <w:pBdr>
                <w:top w:val="nil"/>
                <w:left w:val="nil"/>
                <w:bottom w:val="nil"/>
                <w:right w:val="nil"/>
                <w:between w:val="nil"/>
              </w:pBdr>
              <w:jc w:val="right"/>
              <w:rPr>
                <w:color w:val="000000"/>
              </w:rPr>
            </w:pPr>
          </w:p>
        </w:tc>
      </w:tr>
      <w:tr w:rsidR="008E5DE4" w14:paraId="1C55B88C" w14:textId="77777777">
        <w:trPr>
          <w:cantSplit/>
        </w:trPr>
        <w:tc>
          <w:tcPr>
            <w:tcW w:w="3685" w:type="dxa"/>
            <w:tcBorders>
              <w:top w:val="single" w:sz="4" w:space="0" w:color="000000"/>
            </w:tcBorders>
            <w:vAlign w:val="bottom"/>
          </w:tcPr>
          <w:p w14:paraId="307510A3"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160C042D"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6608E65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E79C06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FD7ABC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FE5C224" w14:textId="77777777" w:rsidR="008E5DE4" w:rsidRDefault="008E5DE4">
            <w:pPr>
              <w:widowControl w:val="0"/>
              <w:pBdr>
                <w:top w:val="nil"/>
                <w:left w:val="nil"/>
                <w:bottom w:val="nil"/>
                <w:right w:val="nil"/>
                <w:between w:val="nil"/>
              </w:pBdr>
              <w:jc w:val="right"/>
              <w:rPr>
                <w:color w:val="000000"/>
              </w:rPr>
            </w:pPr>
          </w:p>
        </w:tc>
      </w:tr>
      <w:tr w:rsidR="008E5DE4" w14:paraId="423A7D11" w14:textId="77777777">
        <w:trPr>
          <w:cantSplit/>
        </w:trPr>
        <w:tc>
          <w:tcPr>
            <w:tcW w:w="3685" w:type="dxa"/>
            <w:vAlign w:val="bottom"/>
          </w:tcPr>
          <w:p w14:paraId="1F9581B1" w14:textId="77777777" w:rsidR="008E5DE4" w:rsidRDefault="00780368">
            <w:pPr>
              <w:widowControl w:val="0"/>
              <w:pBdr>
                <w:top w:val="nil"/>
                <w:left w:val="nil"/>
                <w:bottom w:val="nil"/>
                <w:right w:val="nil"/>
                <w:between w:val="nil"/>
              </w:pBdr>
              <w:ind w:left="113" w:right="-57" w:hanging="113"/>
              <w:rPr>
                <w:color w:val="000000"/>
              </w:rPr>
            </w:pPr>
            <w:r>
              <w:rPr>
                <w:color w:val="000000"/>
              </w:rPr>
              <w:t>Carrying value (fair value)</w:t>
            </w:r>
          </w:p>
        </w:tc>
        <w:tc>
          <w:tcPr>
            <w:tcW w:w="1134" w:type="dxa"/>
            <w:vAlign w:val="bottom"/>
          </w:tcPr>
          <w:p w14:paraId="459D2AEF" w14:textId="77777777" w:rsidR="008E5DE4" w:rsidRDefault="008E5DE4">
            <w:pPr>
              <w:widowControl w:val="0"/>
              <w:pBdr>
                <w:top w:val="nil"/>
                <w:left w:val="nil"/>
                <w:bottom w:val="nil"/>
                <w:right w:val="nil"/>
                <w:between w:val="nil"/>
              </w:pBdr>
              <w:rPr>
                <w:color w:val="000000"/>
              </w:rPr>
            </w:pPr>
          </w:p>
        </w:tc>
        <w:tc>
          <w:tcPr>
            <w:tcW w:w="1134" w:type="dxa"/>
            <w:vAlign w:val="bottom"/>
          </w:tcPr>
          <w:p w14:paraId="3984DF2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9729EB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D3F6C0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520466D" w14:textId="77777777" w:rsidR="008E5DE4" w:rsidRDefault="008E5DE4">
            <w:pPr>
              <w:widowControl w:val="0"/>
              <w:pBdr>
                <w:top w:val="nil"/>
                <w:left w:val="nil"/>
                <w:bottom w:val="nil"/>
                <w:right w:val="nil"/>
                <w:between w:val="nil"/>
              </w:pBdr>
              <w:jc w:val="right"/>
              <w:rPr>
                <w:color w:val="000000"/>
              </w:rPr>
            </w:pPr>
          </w:p>
        </w:tc>
      </w:tr>
      <w:tr w:rsidR="008E5DE4" w14:paraId="5CE698A1" w14:textId="77777777">
        <w:trPr>
          <w:cantSplit/>
        </w:trPr>
        <w:tc>
          <w:tcPr>
            <w:tcW w:w="3685" w:type="dxa"/>
            <w:tcBorders>
              <w:bottom w:val="single" w:sz="12" w:space="0" w:color="000000"/>
            </w:tcBorders>
            <w:vAlign w:val="bottom"/>
          </w:tcPr>
          <w:p w14:paraId="58DCDB3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2BD3290C" w14:textId="77777777" w:rsidR="008E5DE4" w:rsidRDefault="008E5DE4">
            <w:pPr>
              <w:widowControl w:val="0"/>
              <w:pBdr>
                <w:top w:val="nil"/>
                <w:left w:val="nil"/>
                <w:bottom w:val="nil"/>
                <w:right w:val="nil"/>
                <w:between w:val="nil"/>
              </w:pBdr>
              <w:rPr>
                <w:color w:val="000000"/>
              </w:rPr>
            </w:pPr>
          </w:p>
        </w:tc>
        <w:tc>
          <w:tcPr>
            <w:tcW w:w="1134" w:type="dxa"/>
            <w:tcBorders>
              <w:bottom w:val="single" w:sz="12" w:space="0" w:color="000000"/>
            </w:tcBorders>
            <w:vAlign w:val="bottom"/>
          </w:tcPr>
          <w:p w14:paraId="5EDA7731"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E1B77B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ECD0E1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1BA3259C" w14:textId="77777777" w:rsidR="008E5DE4" w:rsidRDefault="008E5DE4">
            <w:pPr>
              <w:widowControl w:val="0"/>
              <w:pBdr>
                <w:top w:val="nil"/>
                <w:left w:val="nil"/>
                <w:bottom w:val="nil"/>
                <w:right w:val="nil"/>
                <w:between w:val="nil"/>
              </w:pBdr>
              <w:jc w:val="right"/>
              <w:rPr>
                <w:color w:val="000000"/>
              </w:rPr>
            </w:pPr>
          </w:p>
        </w:tc>
      </w:tr>
      <w:tr w:rsidR="008E5DE4" w14:paraId="00DB7389" w14:textId="77777777">
        <w:trPr>
          <w:cantSplit/>
        </w:trPr>
        <w:tc>
          <w:tcPr>
            <w:tcW w:w="3685" w:type="dxa"/>
            <w:tcBorders>
              <w:top w:val="single" w:sz="12" w:space="0" w:color="000000"/>
            </w:tcBorders>
            <w:vAlign w:val="bottom"/>
          </w:tcPr>
          <w:p w14:paraId="157A32DB"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12" w:space="0" w:color="000000"/>
            </w:tcBorders>
            <w:vAlign w:val="bottom"/>
          </w:tcPr>
          <w:p w14:paraId="0BFDB14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1E86FA1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3B3408A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563D14D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0056111F" w14:textId="77777777" w:rsidR="008E5DE4" w:rsidRDefault="008E5DE4">
            <w:pPr>
              <w:widowControl w:val="0"/>
              <w:pBdr>
                <w:top w:val="nil"/>
                <w:left w:val="nil"/>
                <w:bottom w:val="nil"/>
                <w:right w:val="nil"/>
                <w:between w:val="nil"/>
              </w:pBdr>
              <w:jc w:val="right"/>
              <w:rPr>
                <w:color w:val="000000"/>
              </w:rPr>
            </w:pPr>
          </w:p>
        </w:tc>
      </w:tr>
      <w:tr w:rsidR="008E5DE4" w14:paraId="333E1A82" w14:textId="77777777">
        <w:trPr>
          <w:cantSplit/>
        </w:trPr>
        <w:tc>
          <w:tcPr>
            <w:tcW w:w="3685" w:type="dxa"/>
            <w:vAlign w:val="bottom"/>
          </w:tcPr>
          <w:p w14:paraId="7DEBF4C2"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Municipal bonds</w:t>
            </w:r>
          </w:p>
        </w:tc>
        <w:tc>
          <w:tcPr>
            <w:tcW w:w="1134" w:type="dxa"/>
            <w:vAlign w:val="bottom"/>
          </w:tcPr>
          <w:p w14:paraId="6019A235"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5270C7DC"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4BB01F62"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3EB0D1FC"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20749328" w14:textId="77777777" w:rsidR="008E5DE4" w:rsidRDefault="008E5DE4">
            <w:pPr>
              <w:widowControl w:val="0"/>
              <w:pBdr>
                <w:top w:val="nil"/>
                <w:left w:val="nil"/>
                <w:bottom w:val="nil"/>
                <w:right w:val="nil"/>
                <w:between w:val="nil"/>
              </w:pBdr>
              <w:rPr>
                <w:b/>
                <w:i/>
                <w:color w:val="000000"/>
              </w:rPr>
            </w:pPr>
          </w:p>
        </w:tc>
      </w:tr>
      <w:tr w:rsidR="008E5DE4" w14:paraId="6E9A328C" w14:textId="77777777">
        <w:trPr>
          <w:cantSplit/>
        </w:trPr>
        <w:tc>
          <w:tcPr>
            <w:tcW w:w="3685" w:type="dxa"/>
            <w:vAlign w:val="bottom"/>
          </w:tcPr>
          <w:p w14:paraId="708BB0CF"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3A0AEF4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898CC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7EA3A9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FD637D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2A6CBB" w14:textId="77777777" w:rsidR="008E5DE4" w:rsidRDefault="008E5DE4">
            <w:pPr>
              <w:widowControl w:val="0"/>
              <w:pBdr>
                <w:top w:val="nil"/>
                <w:left w:val="nil"/>
                <w:bottom w:val="nil"/>
                <w:right w:val="nil"/>
                <w:between w:val="nil"/>
              </w:pBdr>
              <w:jc w:val="right"/>
              <w:rPr>
                <w:color w:val="000000"/>
              </w:rPr>
            </w:pPr>
          </w:p>
        </w:tc>
      </w:tr>
      <w:tr w:rsidR="008E5DE4" w14:paraId="3C6F7762" w14:textId="77777777">
        <w:trPr>
          <w:cantSplit/>
        </w:trPr>
        <w:tc>
          <w:tcPr>
            <w:tcW w:w="3685" w:type="dxa"/>
            <w:vAlign w:val="bottom"/>
          </w:tcPr>
          <w:p w14:paraId="2C92254A"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7DAD483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B973D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49E397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50EE71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7C42FEC" w14:textId="77777777" w:rsidR="008E5DE4" w:rsidRDefault="008E5DE4">
            <w:pPr>
              <w:widowControl w:val="0"/>
              <w:pBdr>
                <w:top w:val="nil"/>
                <w:left w:val="nil"/>
                <w:bottom w:val="nil"/>
                <w:right w:val="nil"/>
                <w:between w:val="nil"/>
              </w:pBdr>
              <w:jc w:val="right"/>
              <w:rPr>
                <w:color w:val="000000"/>
              </w:rPr>
            </w:pPr>
          </w:p>
        </w:tc>
      </w:tr>
      <w:tr w:rsidR="008E5DE4" w14:paraId="29D42C6B" w14:textId="77777777">
        <w:trPr>
          <w:cantSplit/>
        </w:trPr>
        <w:tc>
          <w:tcPr>
            <w:tcW w:w="3685" w:type="dxa"/>
            <w:vAlign w:val="bottom"/>
          </w:tcPr>
          <w:p w14:paraId="1B43ADD1"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0E6FDBC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44F4B9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114BC9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39314A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C8C9F9E" w14:textId="77777777" w:rsidR="008E5DE4" w:rsidRDefault="008E5DE4">
            <w:pPr>
              <w:widowControl w:val="0"/>
              <w:pBdr>
                <w:top w:val="nil"/>
                <w:left w:val="nil"/>
                <w:bottom w:val="nil"/>
                <w:right w:val="nil"/>
                <w:between w:val="nil"/>
              </w:pBdr>
              <w:jc w:val="right"/>
              <w:rPr>
                <w:color w:val="000000"/>
              </w:rPr>
            </w:pPr>
          </w:p>
        </w:tc>
      </w:tr>
      <w:tr w:rsidR="008E5DE4" w14:paraId="6AAAB55E" w14:textId="77777777">
        <w:trPr>
          <w:cantSplit/>
        </w:trPr>
        <w:tc>
          <w:tcPr>
            <w:tcW w:w="3685" w:type="dxa"/>
            <w:vAlign w:val="bottom"/>
          </w:tcPr>
          <w:p w14:paraId="4BB8CB4E"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0B5C3F4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CF4A61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94A0A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E376C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150FA9B" w14:textId="77777777" w:rsidR="008E5DE4" w:rsidRDefault="008E5DE4">
            <w:pPr>
              <w:widowControl w:val="0"/>
              <w:pBdr>
                <w:top w:val="nil"/>
                <w:left w:val="nil"/>
                <w:bottom w:val="nil"/>
                <w:right w:val="nil"/>
                <w:between w:val="nil"/>
              </w:pBdr>
              <w:jc w:val="right"/>
              <w:rPr>
                <w:color w:val="000000"/>
              </w:rPr>
            </w:pPr>
          </w:p>
        </w:tc>
      </w:tr>
      <w:tr w:rsidR="008E5DE4" w14:paraId="1F1E0B96" w14:textId="77777777">
        <w:trPr>
          <w:cantSplit/>
        </w:trPr>
        <w:tc>
          <w:tcPr>
            <w:tcW w:w="3685" w:type="dxa"/>
            <w:vAlign w:val="bottom"/>
          </w:tcPr>
          <w:p w14:paraId="31FCC5AB" w14:textId="77777777" w:rsidR="008E5DE4" w:rsidRDefault="00780368">
            <w:pPr>
              <w:widowControl w:val="0"/>
              <w:pBdr>
                <w:top w:val="nil"/>
                <w:left w:val="nil"/>
                <w:bottom w:val="nil"/>
                <w:right w:val="nil"/>
                <w:between w:val="nil"/>
              </w:pBdr>
              <w:ind w:left="113" w:right="-57" w:hanging="113"/>
              <w:rPr>
                <w:color w:val="0000FF"/>
              </w:rPr>
            </w:pPr>
            <w:r>
              <w:rPr>
                <w:color w:val="000000"/>
              </w:rPr>
              <w:t>- Default</w:t>
            </w:r>
          </w:p>
        </w:tc>
        <w:tc>
          <w:tcPr>
            <w:tcW w:w="1134" w:type="dxa"/>
            <w:vAlign w:val="bottom"/>
          </w:tcPr>
          <w:p w14:paraId="493807E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593765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52FD08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5ECA1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D7BBD68" w14:textId="77777777" w:rsidR="008E5DE4" w:rsidRDefault="008E5DE4">
            <w:pPr>
              <w:widowControl w:val="0"/>
              <w:pBdr>
                <w:top w:val="nil"/>
                <w:left w:val="nil"/>
                <w:bottom w:val="nil"/>
                <w:right w:val="nil"/>
                <w:between w:val="nil"/>
              </w:pBdr>
              <w:jc w:val="right"/>
              <w:rPr>
                <w:color w:val="000000"/>
              </w:rPr>
            </w:pPr>
          </w:p>
        </w:tc>
      </w:tr>
      <w:tr w:rsidR="008E5DE4" w14:paraId="314D9722" w14:textId="77777777">
        <w:trPr>
          <w:cantSplit/>
        </w:trPr>
        <w:tc>
          <w:tcPr>
            <w:tcW w:w="3685" w:type="dxa"/>
            <w:tcBorders>
              <w:bottom w:val="single" w:sz="4" w:space="0" w:color="000000"/>
            </w:tcBorders>
            <w:vAlign w:val="bottom"/>
          </w:tcPr>
          <w:p w14:paraId="5EAF33EF"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02684BBE"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762E6B6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DDBFF4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BDE217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3B77D46" w14:textId="77777777" w:rsidR="008E5DE4" w:rsidRDefault="008E5DE4">
            <w:pPr>
              <w:widowControl w:val="0"/>
              <w:pBdr>
                <w:top w:val="nil"/>
                <w:left w:val="nil"/>
                <w:bottom w:val="nil"/>
                <w:right w:val="nil"/>
                <w:between w:val="nil"/>
              </w:pBdr>
              <w:jc w:val="right"/>
              <w:rPr>
                <w:color w:val="000000"/>
              </w:rPr>
            </w:pPr>
          </w:p>
        </w:tc>
      </w:tr>
      <w:tr w:rsidR="008E5DE4" w14:paraId="1A886749" w14:textId="77777777">
        <w:trPr>
          <w:cantSplit/>
        </w:trPr>
        <w:tc>
          <w:tcPr>
            <w:tcW w:w="3685" w:type="dxa"/>
            <w:tcBorders>
              <w:top w:val="single" w:sz="4" w:space="0" w:color="000000"/>
            </w:tcBorders>
            <w:vAlign w:val="bottom"/>
          </w:tcPr>
          <w:p w14:paraId="08ABCFBE"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424D5E1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D1EE5A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55C2C7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C22254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4FBCA31" w14:textId="77777777" w:rsidR="008E5DE4" w:rsidRDefault="008E5DE4">
            <w:pPr>
              <w:widowControl w:val="0"/>
              <w:pBdr>
                <w:top w:val="nil"/>
                <w:left w:val="nil"/>
                <w:bottom w:val="nil"/>
                <w:right w:val="nil"/>
                <w:between w:val="nil"/>
              </w:pBdr>
              <w:jc w:val="right"/>
              <w:rPr>
                <w:color w:val="000000"/>
              </w:rPr>
            </w:pPr>
          </w:p>
        </w:tc>
      </w:tr>
      <w:tr w:rsidR="008E5DE4" w14:paraId="3514DAC0" w14:textId="77777777">
        <w:trPr>
          <w:cantSplit/>
        </w:trPr>
        <w:tc>
          <w:tcPr>
            <w:tcW w:w="3685" w:type="dxa"/>
            <w:vAlign w:val="bottom"/>
          </w:tcPr>
          <w:p w14:paraId="7DEF18CF" w14:textId="77777777" w:rsidR="008E5DE4" w:rsidRDefault="00780368">
            <w:pPr>
              <w:widowControl w:val="0"/>
              <w:pBdr>
                <w:top w:val="nil"/>
                <w:left w:val="nil"/>
                <w:bottom w:val="nil"/>
                <w:right w:val="nil"/>
                <w:between w:val="nil"/>
              </w:pBdr>
              <w:ind w:left="113" w:right="-57" w:hanging="113"/>
              <w:rPr>
                <w:color w:val="000000"/>
              </w:rPr>
            </w:pPr>
            <w:r>
              <w:rPr>
                <w:color w:val="000000"/>
              </w:rPr>
              <w:t>Total AC gross carrying amount</w:t>
            </w:r>
          </w:p>
        </w:tc>
        <w:tc>
          <w:tcPr>
            <w:tcW w:w="1134" w:type="dxa"/>
            <w:vAlign w:val="bottom"/>
          </w:tcPr>
          <w:p w14:paraId="5897AD5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DE2C5D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FCCA90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97CC51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2A2A808" w14:textId="77777777" w:rsidR="008E5DE4" w:rsidRDefault="008E5DE4">
            <w:pPr>
              <w:widowControl w:val="0"/>
              <w:pBdr>
                <w:top w:val="nil"/>
                <w:left w:val="nil"/>
                <w:bottom w:val="nil"/>
                <w:right w:val="nil"/>
                <w:between w:val="nil"/>
              </w:pBdr>
              <w:jc w:val="right"/>
              <w:rPr>
                <w:color w:val="000000"/>
              </w:rPr>
            </w:pPr>
          </w:p>
        </w:tc>
      </w:tr>
      <w:tr w:rsidR="008E5DE4" w14:paraId="779DBE63" w14:textId="77777777">
        <w:trPr>
          <w:cantSplit/>
        </w:trPr>
        <w:tc>
          <w:tcPr>
            <w:tcW w:w="3685" w:type="dxa"/>
            <w:tcBorders>
              <w:bottom w:val="single" w:sz="4" w:space="0" w:color="000000"/>
            </w:tcBorders>
            <w:vAlign w:val="bottom"/>
          </w:tcPr>
          <w:p w14:paraId="7C18D928"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604FC97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FF0D6D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56EAC3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1D1266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FBBEDC7" w14:textId="77777777" w:rsidR="008E5DE4" w:rsidRDefault="008E5DE4">
            <w:pPr>
              <w:widowControl w:val="0"/>
              <w:pBdr>
                <w:top w:val="nil"/>
                <w:left w:val="nil"/>
                <w:bottom w:val="nil"/>
                <w:right w:val="nil"/>
                <w:between w:val="nil"/>
              </w:pBdr>
              <w:jc w:val="right"/>
              <w:rPr>
                <w:color w:val="000000"/>
              </w:rPr>
            </w:pPr>
          </w:p>
        </w:tc>
      </w:tr>
      <w:tr w:rsidR="008E5DE4" w14:paraId="621D95CF" w14:textId="77777777">
        <w:trPr>
          <w:cantSplit/>
        </w:trPr>
        <w:tc>
          <w:tcPr>
            <w:tcW w:w="3685" w:type="dxa"/>
            <w:tcBorders>
              <w:top w:val="single" w:sz="4" w:space="0" w:color="000000"/>
            </w:tcBorders>
            <w:vAlign w:val="bottom"/>
          </w:tcPr>
          <w:p w14:paraId="799DDDA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84DACC8"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16EA4F6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5F4AE4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6CDE84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454BE84" w14:textId="77777777" w:rsidR="008E5DE4" w:rsidRDefault="008E5DE4">
            <w:pPr>
              <w:widowControl w:val="0"/>
              <w:pBdr>
                <w:top w:val="nil"/>
                <w:left w:val="nil"/>
                <w:bottom w:val="nil"/>
                <w:right w:val="nil"/>
                <w:between w:val="nil"/>
              </w:pBdr>
              <w:jc w:val="right"/>
              <w:rPr>
                <w:color w:val="000000"/>
              </w:rPr>
            </w:pPr>
          </w:p>
        </w:tc>
      </w:tr>
      <w:tr w:rsidR="008E5DE4" w14:paraId="16F47884" w14:textId="77777777">
        <w:trPr>
          <w:cantSplit/>
        </w:trPr>
        <w:tc>
          <w:tcPr>
            <w:tcW w:w="3685" w:type="dxa"/>
            <w:vAlign w:val="bottom"/>
          </w:tcPr>
          <w:p w14:paraId="24090775" w14:textId="77777777" w:rsidR="008E5DE4" w:rsidRDefault="00780368">
            <w:pPr>
              <w:widowControl w:val="0"/>
              <w:pBdr>
                <w:top w:val="nil"/>
                <w:left w:val="nil"/>
                <w:bottom w:val="nil"/>
                <w:right w:val="nil"/>
                <w:between w:val="nil"/>
              </w:pBdr>
              <w:ind w:left="113" w:right="-57" w:hanging="113"/>
              <w:rPr>
                <w:color w:val="000000"/>
              </w:rPr>
            </w:pPr>
            <w:r>
              <w:rPr>
                <w:color w:val="000000"/>
              </w:rPr>
              <w:t>Less credit loss allowance</w:t>
            </w:r>
          </w:p>
        </w:tc>
        <w:tc>
          <w:tcPr>
            <w:tcW w:w="1134" w:type="dxa"/>
            <w:vAlign w:val="bottom"/>
          </w:tcPr>
          <w:p w14:paraId="096FE481" w14:textId="77777777" w:rsidR="008E5DE4" w:rsidRDefault="008E5DE4">
            <w:pPr>
              <w:widowControl w:val="0"/>
              <w:pBdr>
                <w:top w:val="nil"/>
                <w:left w:val="nil"/>
                <w:bottom w:val="nil"/>
                <w:right w:val="nil"/>
                <w:between w:val="nil"/>
              </w:pBdr>
              <w:rPr>
                <w:color w:val="000000"/>
              </w:rPr>
            </w:pPr>
          </w:p>
        </w:tc>
        <w:tc>
          <w:tcPr>
            <w:tcW w:w="1134" w:type="dxa"/>
            <w:vAlign w:val="bottom"/>
          </w:tcPr>
          <w:p w14:paraId="249DE9E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9230FD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124A66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103600" w14:textId="77777777" w:rsidR="008E5DE4" w:rsidRDefault="008E5DE4">
            <w:pPr>
              <w:widowControl w:val="0"/>
              <w:pBdr>
                <w:top w:val="nil"/>
                <w:left w:val="nil"/>
                <w:bottom w:val="nil"/>
                <w:right w:val="nil"/>
                <w:between w:val="nil"/>
              </w:pBdr>
              <w:jc w:val="right"/>
              <w:rPr>
                <w:color w:val="000000"/>
              </w:rPr>
            </w:pPr>
          </w:p>
        </w:tc>
      </w:tr>
      <w:tr w:rsidR="008E5DE4" w14:paraId="2B066F5A" w14:textId="77777777">
        <w:trPr>
          <w:cantSplit/>
        </w:trPr>
        <w:tc>
          <w:tcPr>
            <w:tcW w:w="3685" w:type="dxa"/>
            <w:vAlign w:val="bottom"/>
          </w:tcPr>
          <w:p w14:paraId="3BC0239D" w14:textId="77777777" w:rsidR="008E5DE4" w:rsidRDefault="00780368">
            <w:pPr>
              <w:widowControl w:val="0"/>
              <w:pBdr>
                <w:top w:val="nil"/>
                <w:left w:val="nil"/>
                <w:bottom w:val="nil"/>
                <w:right w:val="nil"/>
                <w:between w:val="nil"/>
              </w:pBdr>
              <w:ind w:left="113" w:right="-57" w:hanging="113"/>
              <w:rPr>
                <w:color w:val="000000"/>
              </w:rPr>
            </w:pPr>
            <w:r>
              <w:rPr>
                <w:color w:val="000000"/>
              </w:rPr>
              <w:t>Less fair value adjustment from AC to FV</w:t>
            </w:r>
          </w:p>
        </w:tc>
        <w:tc>
          <w:tcPr>
            <w:tcW w:w="1134" w:type="dxa"/>
            <w:vAlign w:val="bottom"/>
          </w:tcPr>
          <w:p w14:paraId="552318B3" w14:textId="77777777" w:rsidR="008E5DE4" w:rsidRDefault="008E5DE4">
            <w:pPr>
              <w:widowControl w:val="0"/>
              <w:pBdr>
                <w:top w:val="nil"/>
                <w:left w:val="nil"/>
                <w:bottom w:val="nil"/>
                <w:right w:val="nil"/>
                <w:between w:val="nil"/>
              </w:pBdr>
              <w:rPr>
                <w:color w:val="000000"/>
              </w:rPr>
            </w:pPr>
          </w:p>
        </w:tc>
        <w:tc>
          <w:tcPr>
            <w:tcW w:w="1134" w:type="dxa"/>
            <w:vAlign w:val="bottom"/>
          </w:tcPr>
          <w:p w14:paraId="3E775C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429388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6B253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57F2DA1" w14:textId="77777777" w:rsidR="008E5DE4" w:rsidRDefault="008E5DE4">
            <w:pPr>
              <w:widowControl w:val="0"/>
              <w:pBdr>
                <w:top w:val="nil"/>
                <w:left w:val="nil"/>
                <w:bottom w:val="nil"/>
                <w:right w:val="nil"/>
                <w:between w:val="nil"/>
              </w:pBdr>
              <w:jc w:val="right"/>
              <w:rPr>
                <w:color w:val="000000"/>
              </w:rPr>
            </w:pPr>
          </w:p>
        </w:tc>
      </w:tr>
      <w:tr w:rsidR="008E5DE4" w14:paraId="73B70457" w14:textId="77777777">
        <w:trPr>
          <w:cantSplit/>
        </w:trPr>
        <w:tc>
          <w:tcPr>
            <w:tcW w:w="3685" w:type="dxa"/>
            <w:tcBorders>
              <w:bottom w:val="single" w:sz="4" w:space="0" w:color="000000"/>
            </w:tcBorders>
            <w:vAlign w:val="bottom"/>
          </w:tcPr>
          <w:p w14:paraId="30EA9EE5"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33DE90CF"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7C6611F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2CC167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A87604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68627F0" w14:textId="77777777" w:rsidR="008E5DE4" w:rsidRDefault="008E5DE4">
            <w:pPr>
              <w:widowControl w:val="0"/>
              <w:pBdr>
                <w:top w:val="nil"/>
                <w:left w:val="nil"/>
                <w:bottom w:val="nil"/>
                <w:right w:val="nil"/>
                <w:between w:val="nil"/>
              </w:pBdr>
              <w:jc w:val="right"/>
              <w:rPr>
                <w:color w:val="000000"/>
              </w:rPr>
            </w:pPr>
          </w:p>
        </w:tc>
      </w:tr>
      <w:tr w:rsidR="008E5DE4" w14:paraId="466B405A" w14:textId="77777777">
        <w:trPr>
          <w:cantSplit/>
        </w:trPr>
        <w:tc>
          <w:tcPr>
            <w:tcW w:w="3685" w:type="dxa"/>
            <w:tcBorders>
              <w:top w:val="single" w:sz="4" w:space="0" w:color="000000"/>
            </w:tcBorders>
            <w:vAlign w:val="bottom"/>
          </w:tcPr>
          <w:p w14:paraId="4F2E7BDC"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4552834F"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0984461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282AD4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A3DBE4D"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DBA7D72" w14:textId="77777777" w:rsidR="008E5DE4" w:rsidRDefault="008E5DE4">
            <w:pPr>
              <w:widowControl w:val="0"/>
              <w:pBdr>
                <w:top w:val="nil"/>
                <w:left w:val="nil"/>
                <w:bottom w:val="nil"/>
                <w:right w:val="nil"/>
                <w:between w:val="nil"/>
              </w:pBdr>
              <w:jc w:val="right"/>
              <w:rPr>
                <w:color w:val="000000"/>
              </w:rPr>
            </w:pPr>
          </w:p>
        </w:tc>
      </w:tr>
      <w:tr w:rsidR="008E5DE4" w14:paraId="41F1FF45" w14:textId="77777777">
        <w:trPr>
          <w:cantSplit/>
        </w:trPr>
        <w:tc>
          <w:tcPr>
            <w:tcW w:w="3685" w:type="dxa"/>
            <w:vAlign w:val="bottom"/>
          </w:tcPr>
          <w:p w14:paraId="1B90908B" w14:textId="77777777" w:rsidR="008E5DE4" w:rsidRDefault="00780368">
            <w:pPr>
              <w:widowControl w:val="0"/>
              <w:pBdr>
                <w:top w:val="nil"/>
                <w:left w:val="nil"/>
                <w:bottom w:val="nil"/>
                <w:right w:val="nil"/>
                <w:between w:val="nil"/>
              </w:pBdr>
              <w:ind w:left="113" w:right="-57" w:hanging="113"/>
              <w:rPr>
                <w:color w:val="000000"/>
              </w:rPr>
            </w:pPr>
            <w:r>
              <w:rPr>
                <w:color w:val="000000"/>
              </w:rPr>
              <w:t>Carrying value (fair value)</w:t>
            </w:r>
          </w:p>
        </w:tc>
        <w:tc>
          <w:tcPr>
            <w:tcW w:w="1134" w:type="dxa"/>
            <w:vAlign w:val="bottom"/>
          </w:tcPr>
          <w:p w14:paraId="1405E1CA" w14:textId="77777777" w:rsidR="008E5DE4" w:rsidRDefault="008E5DE4">
            <w:pPr>
              <w:widowControl w:val="0"/>
              <w:pBdr>
                <w:top w:val="nil"/>
                <w:left w:val="nil"/>
                <w:bottom w:val="nil"/>
                <w:right w:val="nil"/>
                <w:between w:val="nil"/>
              </w:pBdr>
              <w:rPr>
                <w:color w:val="000000"/>
              </w:rPr>
            </w:pPr>
          </w:p>
        </w:tc>
        <w:tc>
          <w:tcPr>
            <w:tcW w:w="1134" w:type="dxa"/>
            <w:vAlign w:val="bottom"/>
          </w:tcPr>
          <w:p w14:paraId="40B3CC3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AD240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4D060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AED0553" w14:textId="77777777" w:rsidR="008E5DE4" w:rsidRDefault="008E5DE4">
            <w:pPr>
              <w:widowControl w:val="0"/>
              <w:pBdr>
                <w:top w:val="nil"/>
                <w:left w:val="nil"/>
                <w:bottom w:val="nil"/>
                <w:right w:val="nil"/>
                <w:between w:val="nil"/>
              </w:pBdr>
              <w:jc w:val="right"/>
              <w:rPr>
                <w:color w:val="000000"/>
              </w:rPr>
            </w:pPr>
          </w:p>
        </w:tc>
      </w:tr>
      <w:tr w:rsidR="008E5DE4" w14:paraId="301C8FEF" w14:textId="77777777">
        <w:trPr>
          <w:cantSplit/>
        </w:trPr>
        <w:tc>
          <w:tcPr>
            <w:tcW w:w="3685" w:type="dxa"/>
            <w:tcBorders>
              <w:bottom w:val="single" w:sz="12" w:space="0" w:color="000000"/>
            </w:tcBorders>
            <w:vAlign w:val="bottom"/>
          </w:tcPr>
          <w:p w14:paraId="7BDAC3CB"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129638C3" w14:textId="77777777" w:rsidR="008E5DE4" w:rsidRDefault="008E5DE4">
            <w:pPr>
              <w:widowControl w:val="0"/>
              <w:pBdr>
                <w:top w:val="nil"/>
                <w:left w:val="nil"/>
                <w:bottom w:val="nil"/>
                <w:right w:val="nil"/>
                <w:between w:val="nil"/>
              </w:pBdr>
              <w:rPr>
                <w:color w:val="000000"/>
              </w:rPr>
            </w:pPr>
          </w:p>
        </w:tc>
        <w:tc>
          <w:tcPr>
            <w:tcW w:w="1134" w:type="dxa"/>
            <w:tcBorders>
              <w:bottom w:val="single" w:sz="12" w:space="0" w:color="000000"/>
            </w:tcBorders>
            <w:vAlign w:val="bottom"/>
          </w:tcPr>
          <w:p w14:paraId="280C479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A24236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76F30A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FAAA22D" w14:textId="77777777" w:rsidR="008E5DE4" w:rsidRDefault="008E5DE4">
            <w:pPr>
              <w:widowControl w:val="0"/>
              <w:pBdr>
                <w:top w:val="nil"/>
                <w:left w:val="nil"/>
                <w:bottom w:val="nil"/>
                <w:right w:val="nil"/>
                <w:between w:val="nil"/>
              </w:pBdr>
              <w:jc w:val="right"/>
              <w:rPr>
                <w:color w:val="000000"/>
              </w:rPr>
            </w:pPr>
          </w:p>
        </w:tc>
      </w:tr>
    </w:tbl>
    <w:p w14:paraId="52CA99C4"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tbl>
      <w:tblPr>
        <w:tblStyle w:val="affffffe"/>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20E722A2" w14:textId="77777777">
        <w:trPr>
          <w:cantSplit/>
          <w:tblHeader/>
        </w:trPr>
        <w:tc>
          <w:tcPr>
            <w:tcW w:w="3685" w:type="dxa"/>
            <w:tcBorders>
              <w:bottom w:val="single" w:sz="4" w:space="0" w:color="000000"/>
            </w:tcBorders>
            <w:vAlign w:val="bottom"/>
          </w:tcPr>
          <w:p w14:paraId="4179DB28"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7AD95708"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7EECD560"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5EC2AD4C"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6D7F2C53"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42D465B0"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694DDC63"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6B0CBECB" w14:textId="77777777" w:rsidR="008E5DE4" w:rsidRDefault="00780368">
            <w:pPr>
              <w:widowControl w:val="0"/>
              <w:pBdr>
                <w:top w:val="nil"/>
                <w:left w:val="nil"/>
                <w:bottom w:val="nil"/>
                <w:right w:val="nil"/>
                <w:between w:val="nil"/>
              </w:pBdr>
              <w:ind w:left="-113"/>
              <w:jc w:val="right"/>
              <w:rPr>
                <w:b/>
                <w:color w:val="000000"/>
              </w:rPr>
            </w:pPr>
            <w:r>
              <w:rPr>
                <w:b/>
                <w:color w:val="000000"/>
              </w:rPr>
              <w:t>POCI</w:t>
            </w:r>
          </w:p>
        </w:tc>
        <w:tc>
          <w:tcPr>
            <w:tcW w:w="1134" w:type="dxa"/>
            <w:tcBorders>
              <w:bottom w:val="single" w:sz="4" w:space="0" w:color="000000"/>
            </w:tcBorders>
          </w:tcPr>
          <w:p w14:paraId="6300631C"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0F286734" w14:textId="77777777">
        <w:trPr>
          <w:cantSplit/>
        </w:trPr>
        <w:tc>
          <w:tcPr>
            <w:tcW w:w="3685" w:type="dxa"/>
            <w:tcBorders>
              <w:top w:val="single" w:sz="4" w:space="0" w:color="000000"/>
            </w:tcBorders>
            <w:vAlign w:val="bottom"/>
          </w:tcPr>
          <w:p w14:paraId="5E28652F"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4EBEAF1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44FD83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626FED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10C3D4D"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D9884B8" w14:textId="77777777" w:rsidR="008E5DE4" w:rsidRDefault="008E5DE4">
            <w:pPr>
              <w:widowControl w:val="0"/>
              <w:pBdr>
                <w:top w:val="nil"/>
                <w:left w:val="nil"/>
                <w:bottom w:val="nil"/>
                <w:right w:val="nil"/>
                <w:between w:val="nil"/>
              </w:pBdr>
              <w:jc w:val="right"/>
              <w:rPr>
                <w:color w:val="000000"/>
              </w:rPr>
            </w:pPr>
          </w:p>
        </w:tc>
      </w:tr>
      <w:tr w:rsidR="008E5DE4" w14:paraId="65136161" w14:textId="77777777">
        <w:trPr>
          <w:cantSplit/>
        </w:trPr>
        <w:tc>
          <w:tcPr>
            <w:tcW w:w="3685" w:type="dxa"/>
            <w:vAlign w:val="bottom"/>
          </w:tcPr>
          <w:p w14:paraId="1C0C0026" w14:textId="77777777" w:rsidR="008E5DE4" w:rsidRDefault="00780368">
            <w:pPr>
              <w:widowControl w:val="0"/>
              <w:pBdr>
                <w:top w:val="nil"/>
                <w:left w:val="nil"/>
                <w:bottom w:val="nil"/>
                <w:right w:val="nil"/>
                <w:between w:val="nil"/>
              </w:pBdr>
              <w:ind w:left="113" w:right="-57" w:hanging="113"/>
              <w:rPr>
                <w:b/>
                <w:color w:val="000000"/>
              </w:rPr>
            </w:pPr>
            <w:r>
              <w:rPr>
                <w:b/>
                <w:i/>
                <w:color w:val="000000"/>
              </w:rPr>
              <w:t>Corporate bonds</w:t>
            </w:r>
          </w:p>
        </w:tc>
        <w:tc>
          <w:tcPr>
            <w:tcW w:w="1134" w:type="dxa"/>
            <w:vAlign w:val="bottom"/>
          </w:tcPr>
          <w:p w14:paraId="136E6582"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0D38EC72"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5BD37813"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5AB2669D"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09177C97" w14:textId="77777777" w:rsidR="008E5DE4" w:rsidRDefault="008E5DE4">
            <w:pPr>
              <w:widowControl w:val="0"/>
              <w:pBdr>
                <w:top w:val="nil"/>
                <w:left w:val="nil"/>
                <w:bottom w:val="nil"/>
                <w:right w:val="nil"/>
                <w:between w:val="nil"/>
              </w:pBdr>
              <w:jc w:val="right"/>
              <w:rPr>
                <w:b/>
                <w:color w:val="000000"/>
              </w:rPr>
            </w:pPr>
          </w:p>
        </w:tc>
      </w:tr>
      <w:tr w:rsidR="008E5DE4" w14:paraId="05121C79" w14:textId="77777777">
        <w:trPr>
          <w:cantSplit/>
        </w:trPr>
        <w:tc>
          <w:tcPr>
            <w:tcW w:w="3685" w:type="dxa"/>
            <w:vAlign w:val="bottom"/>
          </w:tcPr>
          <w:p w14:paraId="338BACBE"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106EBB1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30BE81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AD3EE4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F68386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4819C9" w14:textId="77777777" w:rsidR="008E5DE4" w:rsidRDefault="008E5DE4">
            <w:pPr>
              <w:widowControl w:val="0"/>
              <w:pBdr>
                <w:top w:val="nil"/>
                <w:left w:val="nil"/>
                <w:bottom w:val="nil"/>
                <w:right w:val="nil"/>
                <w:between w:val="nil"/>
              </w:pBdr>
              <w:jc w:val="right"/>
              <w:rPr>
                <w:color w:val="000000"/>
              </w:rPr>
            </w:pPr>
          </w:p>
        </w:tc>
      </w:tr>
      <w:tr w:rsidR="008E5DE4" w14:paraId="2DA2EC76" w14:textId="77777777">
        <w:trPr>
          <w:cantSplit/>
        </w:trPr>
        <w:tc>
          <w:tcPr>
            <w:tcW w:w="3685" w:type="dxa"/>
            <w:vAlign w:val="bottom"/>
          </w:tcPr>
          <w:p w14:paraId="22DB0961"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4803834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9D0787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DA9304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AD506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F380DA" w14:textId="77777777" w:rsidR="008E5DE4" w:rsidRDefault="008E5DE4">
            <w:pPr>
              <w:widowControl w:val="0"/>
              <w:pBdr>
                <w:top w:val="nil"/>
                <w:left w:val="nil"/>
                <w:bottom w:val="nil"/>
                <w:right w:val="nil"/>
                <w:between w:val="nil"/>
              </w:pBdr>
              <w:jc w:val="right"/>
              <w:rPr>
                <w:color w:val="000000"/>
              </w:rPr>
            </w:pPr>
          </w:p>
        </w:tc>
      </w:tr>
      <w:tr w:rsidR="008E5DE4" w14:paraId="1E911921" w14:textId="77777777">
        <w:trPr>
          <w:cantSplit/>
        </w:trPr>
        <w:tc>
          <w:tcPr>
            <w:tcW w:w="3685" w:type="dxa"/>
            <w:vAlign w:val="bottom"/>
          </w:tcPr>
          <w:p w14:paraId="5E56265C"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2A0A79C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EEF9A4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FE190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712811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EF8369" w14:textId="77777777" w:rsidR="008E5DE4" w:rsidRDefault="008E5DE4">
            <w:pPr>
              <w:widowControl w:val="0"/>
              <w:pBdr>
                <w:top w:val="nil"/>
                <w:left w:val="nil"/>
                <w:bottom w:val="nil"/>
                <w:right w:val="nil"/>
                <w:between w:val="nil"/>
              </w:pBdr>
              <w:jc w:val="right"/>
              <w:rPr>
                <w:color w:val="000000"/>
              </w:rPr>
            </w:pPr>
          </w:p>
        </w:tc>
      </w:tr>
      <w:tr w:rsidR="008E5DE4" w14:paraId="4F80A174" w14:textId="77777777">
        <w:trPr>
          <w:cantSplit/>
        </w:trPr>
        <w:tc>
          <w:tcPr>
            <w:tcW w:w="3685" w:type="dxa"/>
            <w:vAlign w:val="bottom"/>
          </w:tcPr>
          <w:p w14:paraId="3F7DD37E"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59274DB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3DCF6C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EF47BA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38681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2FE43EC" w14:textId="77777777" w:rsidR="008E5DE4" w:rsidRDefault="008E5DE4">
            <w:pPr>
              <w:widowControl w:val="0"/>
              <w:pBdr>
                <w:top w:val="nil"/>
                <w:left w:val="nil"/>
                <w:bottom w:val="nil"/>
                <w:right w:val="nil"/>
                <w:between w:val="nil"/>
              </w:pBdr>
              <w:jc w:val="right"/>
              <w:rPr>
                <w:color w:val="000000"/>
              </w:rPr>
            </w:pPr>
          </w:p>
        </w:tc>
      </w:tr>
      <w:tr w:rsidR="008E5DE4" w14:paraId="31AFDEFA" w14:textId="77777777">
        <w:trPr>
          <w:cantSplit/>
        </w:trPr>
        <w:tc>
          <w:tcPr>
            <w:tcW w:w="3685" w:type="dxa"/>
            <w:vAlign w:val="bottom"/>
          </w:tcPr>
          <w:p w14:paraId="14BECE7D" w14:textId="77777777" w:rsidR="008E5DE4" w:rsidRDefault="00780368">
            <w:pPr>
              <w:widowControl w:val="0"/>
              <w:pBdr>
                <w:top w:val="nil"/>
                <w:left w:val="nil"/>
                <w:bottom w:val="nil"/>
                <w:right w:val="nil"/>
                <w:between w:val="nil"/>
              </w:pBdr>
              <w:ind w:left="113" w:right="-57" w:hanging="113"/>
              <w:rPr>
                <w:color w:val="0000FF"/>
              </w:rPr>
            </w:pPr>
            <w:r>
              <w:rPr>
                <w:color w:val="000000"/>
              </w:rPr>
              <w:t>- Default</w:t>
            </w:r>
          </w:p>
        </w:tc>
        <w:tc>
          <w:tcPr>
            <w:tcW w:w="1134" w:type="dxa"/>
            <w:vAlign w:val="bottom"/>
          </w:tcPr>
          <w:p w14:paraId="770441B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5ACF9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D9DAB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FA7C39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2076B65" w14:textId="77777777" w:rsidR="008E5DE4" w:rsidRDefault="008E5DE4">
            <w:pPr>
              <w:widowControl w:val="0"/>
              <w:pBdr>
                <w:top w:val="nil"/>
                <w:left w:val="nil"/>
                <w:bottom w:val="nil"/>
                <w:right w:val="nil"/>
                <w:between w:val="nil"/>
              </w:pBdr>
              <w:jc w:val="right"/>
              <w:rPr>
                <w:color w:val="000000"/>
              </w:rPr>
            </w:pPr>
          </w:p>
        </w:tc>
      </w:tr>
      <w:tr w:rsidR="008E5DE4" w14:paraId="4185DA6E" w14:textId="77777777">
        <w:trPr>
          <w:cantSplit/>
        </w:trPr>
        <w:tc>
          <w:tcPr>
            <w:tcW w:w="3685" w:type="dxa"/>
            <w:tcBorders>
              <w:bottom w:val="single" w:sz="4" w:space="0" w:color="000000"/>
            </w:tcBorders>
            <w:vAlign w:val="bottom"/>
          </w:tcPr>
          <w:p w14:paraId="4309FC21"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711A599F"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1AED2E9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820F3D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337D75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04D536A" w14:textId="77777777" w:rsidR="008E5DE4" w:rsidRDefault="008E5DE4">
            <w:pPr>
              <w:widowControl w:val="0"/>
              <w:pBdr>
                <w:top w:val="nil"/>
                <w:left w:val="nil"/>
                <w:bottom w:val="nil"/>
                <w:right w:val="nil"/>
                <w:between w:val="nil"/>
              </w:pBdr>
              <w:jc w:val="right"/>
              <w:rPr>
                <w:color w:val="000000"/>
              </w:rPr>
            </w:pPr>
          </w:p>
        </w:tc>
      </w:tr>
      <w:tr w:rsidR="008E5DE4" w14:paraId="144AE8DC" w14:textId="77777777">
        <w:trPr>
          <w:cantSplit/>
        </w:trPr>
        <w:tc>
          <w:tcPr>
            <w:tcW w:w="3685" w:type="dxa"/>
            <w:tcBorders>
              <w:top w:val="single" w:sz="4" w:space="0" w:color="000000"/>
            </w:tcBorders>
            <w:vAlign w:val="bottom"/>
          </w:tcPr>
          <w:p w14:paraId="47198E65"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A7889C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D49EC3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7F79C7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139B08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D36398F" w14:textId="77777777" w:rsidR="008E5DE4" w:rsidRDefault="008E5DE4">
            <w:pPr>
              <w:widowControl w:val="0"/>
              <w:pBdr>
                <w:top w:val="nil"/>
                <w:left w:val="nil"/>
                <w:bottom w:val="nil"/>
                <w:right w:val="nil"/>
                <w:between w:val="nil"/>
              </w:pBdr>
              <w:jc w:val="right"/>
              <w:rPr>
                <w:color w:val="000000"/>
              </w:rPr>
            </w:pPr>
          </w:p>
        </w:tc>
      </w:tr>
      <w:tr w:rsidR="008E5DE4" w14:paraId="68CF926E" w14:textId="77777777">
        <w:trPr>
          <w:cantSplit/>
        </w:trPr>
        <w:tc>
          <w:tcPr>
            <w:tcW w:w="3685" w:type="dxa"/>
            <w:vAlign w:val="bottom"/>
          </w:tcPr>
          <w:p w14:paraId="18D40575" w14:textId="77777777" w:rsidR="008E5DE4" w:rsidRDefault="00780368">
            <w:pPr>
              <w:widowControl w:val="0"/>
              <w:pBdr>
                <w:top w:val="nil"/>
                <w:left w:val="nil"/>
                <w:bottom w:val="nil"/>
                <w:right w:val="nil"/>
                <w:between w:val="nil"/>
              </w:pBdr>
              <w:ind w:left="113" w:right="-57" w:hanging="113"/>
              <w:rPr>
                <w:color w:val="000000"/>
              </w:rPr>
            </w:pPr>
            <w:r>
              <w:rPr>
                <w:color w:val="000000"/>
              </w:rPr>
              <w:t>Total AC gross carrying amount</w:t>
            </w:r>
          </w:p>
        </w:tc>
        <w:tc>
          <w:tcPr>
            <w:tcW w:w="1134" w:type="dxa"/>
            <w:vAlign w:val="bottom"/>
          </w:tcPr>
          <w:p w14:paraId="18E2229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654A59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8622D7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76CEE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DEC2EE2" w14:textId="77777777" w:rsidR="008E5DE4" w:rsidRDefault="008E5DE4">
            <w:pPr>
              <w:widowControl w:val="0"/>
              <w:pBdr>
                <w:top w:val="nil"/>
                <w:left w:val="nil"/>
                <w:bottom w:val="nil"/>
                <w:right w:val="nil"/>
                <w:between w:val="nil"/>
              </w:pBdr>
              <w:jc w:val="right"/>
              <w:rPr>
                <w:color w:val="000000"/>
              </w:rPr>
            </w:pPr>
          </w:p>
        </w:tc>
      </w:tr>
      <w:tr w:rsidR="008E5DE4" w14:paraId="322B898E" w14:textId="77777777">
        <w:trPr>
          <w:cantSplit/>
        </w:trPr>
        <w:tc>
          <w:tcPr>
            <w:tcW w:w="3685" w:type="dxa"/>
            <w:tcBorders>
              <w:bottom w:val="single" w:sz="4" w:space="0" w:color="000000"/>
            </w:tcBorders>
            <w:vAlign w:val="bottom"/>
          </w:tcPr>
          <w:p w14:paraId="7E316963"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48A4FC9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C7B0FF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8211C4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947833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78205F6" w14:textId="77777777" w:rsidR="008E5DE4" w:rsidRDefault="008E5DE4">
            <w:pPr>
              <w:widowControl w:val="0"/>
              <w:pBdr>
                <w:top w:val="nil"/>
                <w:left w:val="nil"/>
                <w:bottom w:val="nil"/>
                <w:right w:val="nil"/>
                <w:between w:val="nil"/>
              </w:pBdr>
              <w:jc w:val="right"/>
              <w:rPr>
                <w:color w:val="000000"/>
              </w:rPr>
            </w:pPr>
          </w:p>
        </w:tc>
      </w:tr>
      <w:tr w:rsidR="008E5DE4" w14:paraId="4524DD5F" w14:textId="77777777">
        <w:trPr>
          <w:cantSplit/>
        </w:trPr>
        <w:tc>
          <w:tcPr>
            <w:tcW w:w="3685" w:type="dxa"/>
            <w:tcBorders>
              <w:top w:val="single" w:sz="4" w:space="0" w:color="000000"/>
            </w:tcBorders>
            <w:vAlign w:val="bottom"/>
          </w:tcPr>
          <w:p w14:paraId="4B48E899"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47101185"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4E7CF04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A1AF99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7E6AE6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7BCE834" w14:textId="77777777" w:rsidR="008E5DE4" w:rsidRDefault="008E5DE4">
            <w:pPr>
              <w:widowControl w:val="0"/>
              <w:pBdr>
                <w:top w:val="nil"/>
                <w:left w:val="nil"/>
                <w:bottom w:val="nil"/>
                <w:right w:val="nil"/>
                <w:between w:val="nil"/>
              </w:pBdr>
              <w:jc w:val="right"/>
              <w:rPr>
                <w:color w:val="000000"/>
              </w:rPr>
            </w:pPr>
          </w:p>
        </w:tc>
      </w:tr>
      <w:tr w:rsidR="008E5DE4" w14:paraId="1FF7D483" w14:textId="77777777">
        <w:trPr>
          <w:cantSplit/>
        </w:trPr>
        <w:tc>
          <w:tcPr>
            <w:tcW w:w="3685" w:type="dxa"/>
            <w:vAlign w:val="bottom"/>
          </w:tcPr>
          <w:p w14:paraId="324D4E1E" w14:textId="77777777" w:rsidR="008E5DE4" w:rsidRDefault="00780368">
            <w:pPr>
              <w:widowControl w:val="0"/>
              <w:pBdr>
                <w:top w:val="nil"/>
                <w:left w:val="nil"/>
                <w:bottom w:val="nil"/>
                <w:right w:val="nil"/>
                <w:between w:val="nil"/>
              </w:pBdr>
              <w:ind w:left="113" w:right="-57" w:hanging="113"/>
              <w:rPr>
                <w:color w:val="000000"/>
              </w:rPr>
            </w:pPr>
            <w:r>
              <w:rPr>
                <w:color w:val="000000"/>
              </w:rPr>
              <w:t>Less credit loss allowance</w:t>
            </w:r>
          </w:p>
        </w:tc>
        <w:tc>
          <w:tcPr>
            <w:tcW w:w="1134" w:type="dxa"/>
            <w:vAlign w:val="bottom"/>
          </w:tcPr>
          <w:p w14:paraId="5ABAAF1C" w14:textId="77777777" w:rsidR="008E5DE4" w:rsidRDefault="008E5DE4">
            <w:pPr>
              <w:widowControl w:val="0"/>
              <w:pBdr>
                <w:top w:val="nil"/>
                <w:left w:val="nil"/>
                <w:bottom w:val="nil"/>
                <w:right w:val="nil"/>
                <w:between w:val="nil"/>
              </w:pBdr>
              <w:rPr>
                <w:color w:val="000000"/>
              </w:rPr>
            </w:pPr>
          </w:p>
        </w:tc>
        <w:tc>
          <w:tcPr>
            <w:tcW w:w="1134" w:type="dxa"/>
            <w:vAlign w:val="bottom"/>
          </w:tcPr>
          <w:p w14:paraId="46DCB9A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CCC59B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9ADE4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E4F36D8" w14:textId="77777777" w:rsidR="008E5DE4" w:rsidRDefault="008E5DE4">
            <w:pPr>
              <w:widowControl w:val="0"/>
              <w:pBdr>
                <w:top w:val="nil"/>
                <w:left w:val="nil"/>
                <w:bottom w:val="nil"/>
                <w:right w:val="nil"/>
                <w:between w:val="nil"/>
              </w:pBdr>
              <w:jc w:val="right"/>
              <w:rPr>
                <w:color w:val="000000"/>
              </w:rPr>
            </w:pPr>
          </w:p>
        </w:tc>
      </w:tr>
      <w:tr w:rsidR="008E5DE4" w14:paraId="35400763" w14:textId="77777777">
        <w:trPr>
          <w:cantSplit/>
        </w:trPr>
        <w:tc>
          <w:tcPr>
            <w:tcW w:w="3685" w:type="dxa"/>
            <w:vAlign w:val="bottom"/>
          </w:tcPr>
          <w:p w14:paraId="01A0697B" w14:textId="77777777" w:rsidR="008E5DE4" w:rsidRDefault="00780368">
            <w:pPr>
              <w:widowControl w:val="0"/>
              <w:pBdr>
                <w:top w:val="nil"/>
                <w:left w:val="nil"/>
                <w:bottom w:val="nil"/>
                <w:right w:val="nil"/>
                <w:between w:val="nil"/>
              </w:pBdr>
              <w:ind w:left="113" w:right="-57" w:hanging="113"/>
              <w:rPr>
                <w:color w:val="000000"/>
              </w:rPr>
            </w:pPr>
            <w:r>
              <w:rPr>
                <w:color w:val="000000"/>
              </w:rPr>
              <w:t>Less fair value adjustment from AC to FV</w:t>
            </w:r>
          </w:p>
        </w:tc>
        <w:tc>
          <w:tcPr>
            <w:tcW w:w="1134" w:type="dxa"/>
            <w:vAlign w:val="bottom"/>
          </w:tcPr>
          <w:p w14:paraId="01FB3688" w14:textId="77777777" w:rsidR="008E5DE4" w:rsidRDefault="008E5DE4">
            <w:pPr>
              <w:widowControl w:val="0"/>
              <w:pBdr>
                <w:top w:val="nil"/>
                <w:left w:val="nil"/>
                <w:bottom w:val="nil"/>
                <w:right w:val="nil"/>
                <w:between w:val="nil"/>
              </w:pBdr>
              <w:rPr>
                <w:color w:val="000000"/>
              </w:rPr>
            </w:pPr>
          </w:p>
        </w:tc>
        <w:tc>
          <w:tcPr>
            <w:tcW w:w="1134" w:type="dxa"/>
            <w:vAlign w:val="bottom"/>
          </w:tcPr>
          <w:p w14:paraId="1D679E4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2FE8D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8043F8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06282D" w14:textId="77777777" w:rsidR="008E5DE4" w:rsidRDefault="008E5DE4">
            <w:pPr>
              <w:widowControl w:val="0"/>
              <w:pBdr>
                <w:top w:val="nil"/>
                <w:left w:val="nil"/>
                <w:bottom w:val="nil"/>
                <w:right w:val="nil"/>
                <w:between w:val="nil"/>
              </w:pBdr>
              <w:jc w:val="right"/>
              <w:rPr>
                <w:color w:val="000000"/>
              </w:rPr>
            </w:pPr>
          </w:p>
        </w:tc>
      </w:tr>
      <w:tr w:rsidR="008E5DE4" w14:paraId="26AE6E30" w14:textId="77777777">
        <w:trPr>
          <w:cantSplit/>
        </w:trPr>
        <w:tc>
          <w:tcPr>
            <w:tcW w:w="3685" w:type="dxa"/>
            <w:tcBorders>
              <w:bottom w:val="single" w:sz="4" w:space="0" w:color="000000"/>
            </w:tcBorders>
            <w:vAlign w:val="bottom"/>
          </w:tcPr>
          <w:p w14:paraId="74682DE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5BB658C0"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7D77A99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2B12E7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251535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4F71A07" w14:textId="77777777" w:rsidR="008E5DE4" w:rsidRDefault="008E5DE4">
            <w:pPr>
              <w:widowControl w:val="0"/>
              <w:pBdr>
                <w:top w:val="nil"/>
                <w:left w:val="nil"/>
                <w:bottom w:val="nil"/>
                <w:right w:val="nil"/>
                <w:between w:val="nil"/>
              </w:pBdr>
              <w:jc w:val="right"/>
              <w:rPr>
                <w:color w:val="000000"/>
              </w:rPr>
            </w:pPr>
          </w:p>
        </w:tc>
      </w:tr>
      <w:tr w:rsidR="008E5DE4" w14:paraId="65E20FFF" w14:textId="77777777">
        <w:trPr>
          <w:cantSplit/>
        </w:trPr>
        <w:tc>
          <w:tcPr>
            <w:tcW w:w="3685" w:type="dxa"/>
            <w:tcBorders>
              <w:top w:val="single" w:sz="4" w:space="0" w:color="000000"/>
            </w:tcBorders>
            <w:vAlign w:val="bottom"/>
          </w:tcPr>
          <w:p w14:paraId="0CC5F3A5"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2120AA01"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7D26B08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04EB51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685CDA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62F7682" w14:textId="77777777" w:rsidR="008E5DE4" w:rsidRDefault="008E5DE4">
            <w:pPr>
              <w:widowControl w:val="0"/>
              <w:pBdr>
                <w:top w:val="nil"/>
                <w:left w:val="nil"/>
                <w:bottom w:val="nil"/>
                <w:right w:val="nil"/>
                <w:between w:val="nil"/>
              </w:pBdr>
              <w:jc w:val="right"/>
              <w:rPr>
                <w:color w:val="000000"/>
              </w:rPr>
            </w:pPr>
          </w:p>
        </w:tc>
      </w:tr>
      <w:tr w:rsidR="008E5DE4" w14:paraId="0C187CDE" w14:textId="77777777">
        <w:trPr>
          <w:cantSplit/>
        </w:trPr>
        <w:tc>
          <w:tcPr>
            <w:tcW w:w="3685" w:type="dxa"/>
            <w:vAlign w:val="bottom"/>
          </w:tcPr>
          <w:p w14:paraId="2C8CA160" w14:textId="77777777" w:rsidR="008E5DE4" w:rsidRDefault="00780368">
            <w:pPr>
              <w:widowControl w:val="0"/>
              <w:pBdr>
                <w:top w:val="nil"/>
                <w:left w:val="nil"/>
                <w:bottom w:val="nil"/>
                <w:right w:val="nil"/>
                <w:between w:val="nil"/>
              </w:pBdr>
              <w:ind w:left="113" w:right="-57" w:hanging="113"/>
              <w:rPr>
                <w:color w:val="000000"/>
              </w:rPr>
            </w:pPr>
            <w:r>
              <w:rPr>
                <w:color w:val="000000"/>
              </w:rPr>
              <w:t>Carrying value (fair value)</w:t>
            </w:r>
          </w:p>
        </w:tc>
        <w:tc>
          <w:tcPr>
            <w:tcW w:w="1134" w:type="dxa"/>
            <w:vAlign w:val="bottom"/>
          </w:tcPr>
          <w:p w14:paraId="2A179D65" w14:textId="77777777" w:rsidR="008E5DE4" w:rsidRDefault="008E5DE4">
            <w:pPr>
              <w:widowControl w:val="0"/>
              <w:pBdr>
                <w:top w:val="nil"/>
                <w:left w:val="nil"/>
                <w:bottom w:val="nil"/>
                <w:right w:val="nil"/>
                <w:between w:val="nil"/>
              </w:pBdr>
              <w:rPr>
                <w:color w:val="000000"/>
              </w:rPr>
            </w:pPr>
          </w:p>
        </w:tc>
        <w:tc>
          <w:tcPr>
            <w:tcW w:w="1134" w:type="dxa"/>
            <w:vAlign w:val="bottom"/>
          </w:tcPr>
          <w:p w14:paraId="66FDE40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221DE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E1678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A4D8C9E" w14:textId="77777777" w:rsidR="008E5DE4" w:rsidRDefault="008E5DE4">
            <w:pPr>
              <w:widowControl w:val="0"/>
              <w:pBdr>
                <w:top w:val="nil"/>
                <w:left w:val="nil"/>
                <w:bottom w:val="nil"/>
                <w:right w:val="nil"/>
                <w:between w:val="nil"/>
              </w:pBdr>
              <w:jc w:val="right"/>
              <w:rPr>
                <w:color w:val="000000"/>
              </w:rPr>
            </w:pPr>
          </w:p>
        </w:tc>
      </w:tr>
      <w:tr w:rsidR="008E5DE4" w14:paraId="0418C824" w14:textId="77777777">
        <w:trPr>
          <w:cantSplit/>
        </w:trPr>
        <w:tc>
          <w:tcPr>
            <w:tcW w:w="3685" w:type="dxa"/>
            <w:tcBorders>
              <w:bottom w:val="single" w:sz="12" w:space="0" w:color="000000"/>
            </w:tcBorders>
            <w:vAlign w:val="bottom"/>
          </w:tcPr>
          <w:p w14:paraId="227B00AE" w14:textId="77777777" w:rsidR="008E5DE4" w:rsidRDefault="008E5DE4">
            <w:pPr>
              <w:widowControl w:val="0"/>
              <w:pBdr>
                <w:top w:val="nil"/>
                <w:left w:val="nil"/>
                <w:bottom w:val="nil"/>
                <w:right w:val="nil"/>
                <w:between w:val="nil"/>
              </w:pBdr>
              <w:ind w:left="113" w:right="-57" w:hanging="113"/>
              <w:rPr>
                <w:b/>
                <w:color w:val="000000"/>
              </w:rPr>
            </w:pPr>
          </w:p>
        </w:tc>
        <w:tc>
          <w:tcPr>
            <w:tcW w:w="1134" w:type="dxa"/>
            <w:tcBorders>
              <w:bottom w:val="single" w:sz="12" w:space="0" w:color="000000"/>
            </w:tcBorders>
            <w:vAlign w:val="bottom"/>
          </w:tcPr>
          <w:p w14:paraId="63D5D73E" w14:textId="77777777" w:rsidR="008E5DE4" w:rsidRDefault="008E5DE4">
            <w:pPr>
              <w:widowControl w:val="0"/>
              <w:pBdr>
                <w:top w:val="nil"/>
                <w:left w:val="nil"/>
                <w:bottom w:val="nil"/>
                <w:right w:val="nil"/>
                <w:between w:val="nil"/>
              </w:pBdr>
              <w:rPr>
                <w:b/>
                <w:color w:val="000000"/>
              </w:rPr>
            </w:pPr>
          </w:p>
        </w:tc>
        <w:tc>
          <w:tcPr>
            <w:tcW w:w="1134" w:type="dxa"/>
            <w:tcBorders>
              <w:bottom w:val="single" w:sz="12" w:space="0" w:color="000000"/>
            </w:tcBorders>
            <w:vAlign w:val="bottom"/>
          </w:tcPr>
          <w:p w14:paraId="1DAF6308"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6C76E6E5"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2884D9DA" w14:textId="77777777" w:rsidR="008E5DE4" w:rsidRDefault="008E5DE4">
            <w:pPr>
              <w:widowControl w:val="0"/>
              <w:pBdr>
                <w:top w:val="nil"/>
                <w:left w:val="nil"/>
                <w:bottom w:val="nil"/>
                <w:right w:val="nil"/>
                <w:between w:val="nil"/>
              </w:pBdr>
              <w:jc w:val="right"/>
              <w:rPr>
                <w:b/>
                <w:color w:val="000000"/>
              </w:rPr>
            </w:pPr>
          </w:p>
        </w:tc>
        <w:tc>
          <w:tcPr>
            <w:tcW w:w="1134" w:type="dxa"/>
            <w:tcBorders>
              <w:bottom w:val="single" w:sz="12" w:space="0" w:color="000000"/>
            </w:tcBorders>
            <w:vAlign w:val="bottom"/>
          </w:tcPr>
          <w:p w14:paraId="0BA64103" w14:textId="77777777" w:rsidR="008E5DE4" w:rsidRDefault="008E5DE4">
            <w:pPr>
              <w:widowControl w:val="0"/>
              <w:pBdr>
                <w:top w:val="nil"/>
                <w:left w:val="nil"/>
                <w:bottom w:val="nil"/>
                <w:right w:val="nil"/>
                <w:between w:val="nil"/>
              </w:pBdr>
              <w:jc w:val="right"/>
              <w:rPr>
                <w:b/>
                <w:color w:val="000000"/>
              </w:rPr>
            </w:pPr>
          </w:p>
        </w:tc>
      </w:tr>
      <w:tr w:rsidR="008E5DE4" w14:paraId="412BDC49" w14:textId="77777777">
        <w:trPr>
          <w:cantSplit/>
        </w:trPr>
        <w:tc>
          <w:tcPr>
            <w:tcW w:w="3685" w:type="dxa"/>
            <w:vAlign w:val="bottom"/>
          </w:tcPr>
          <w:p w14:paraId="45C2BB75" w14:textId="77777777" w:rsidR="008E5DE4" w:rsidRDefault="008E5DE4">
            <w:pPr>
              <w:widowControl w:val="0"/>
              <w:pBdr>
                <w:top w:val="nil"/>
                <w:left w:val="nil"/>
                <w:bottom w:val="nil"/>
                <w:right w:val="nil"/>
                <w:between w:val="nil"/>
              </w:pBdr>
              <w:rPr>
                <w:b/>
                <w:i/>
                <w:color w:val="000000"/>
              </w:rPr>
            </w:pPr>
          </w:p>
          <w:p w14:paraId="5A9E620D" w14:textId="1FC36030" w:rsidR="008E5DE4" w:rsidRDefault="00780368">
            <w:pPr>
              <w:widowControl w:val="0"/>
              <w:pBdr>
                <w:top w:val="nil"/>
                <w:left w:val="nil"/>
                <w:bottom w:val="nil"/>
                <w:right w:val="nil"/>
                <w:between w:val="nil"/>
              </w:pBdr>
              <w:rPr>
                <w:b/>
                <w:i/>
                <w:color w:val="000000"/>
              </w:rPr>
            </w:pPr>
            <w:r>
              <w:rPr>
                <w:b/>
                <w:i/>
                <w:color w:val="000000"/>
              </w:rPr>
              <w:t>Promissory notes</w:t>
            </w:r>
          </w:p>
        </w:tc>
        <w:tc>
          <w:tcPr>
            <w:tcW w:w="1134" w:type="dxa"/>
            <w:vAlign w:val="bottom"/>
          </w:tcPr>
          <w:p w14:paraId="092471CE"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562EA096"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55D36F89"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2B6ABAD4" w14:textId="77777777" w:rsidR="008E5DE4" w:rsidRDefault="008E5DE4">
            <w:pPr>
              <w:widowControl w:val="0"/>
              <w:pBdr>
                <w:top w:val="nil"/>
                <w:left w:val="nil"/>
                <w:bottom w:val="nil"/>
                <w:right w:val="nil"/>
                <w:between w:val="nil"/>
              </w:pBdr>
              <w:rPr>
                <w:b/>
                <w:i/>
                <w:color w:val="000000"/>
              </w:rPr>
            </w:pPr>
          </w:p>
        </w:tc>
        <w:tc>
          <w:tcPr>
            <w:tcW w:w="1134" w:type="dxa"/>
            <w:vAlign w:val="bottom"/>
          </w:tcPr>
          <w:p w14:paraId="388E2B9C" w14:textId="77777777" w:rsidR="008E5DE4" w:rsidRDefault="008E5DE4">
            <w:pPr>
              <w:widowControl w:val="0"/>
              <w:pBdr>
                <w:top w:val="nil"/>
                <w:left w:val="nil"/>
                <w:bottom w:val="nil"/>
                <w:right w:val="nil"/>
                <w:between w:val="nil"/>
              </w:pBdr>
              <w:rPr>
                <w:b/>
                <w:i/>
                <w:color w:val="000000"/>
              </w:rPr>
            </w:pPr>
          </w:p>
        </w:tc>
      </w:tr>
      <w:tr w:rsidR="008E5DE4" w14:paraId="506C7075" w14:textId="77777777">
        <w:trPr>
          <w:cantSplit/>
        </w:trPr>
        <w:tc>
          <w:tcPr>
            <w:tcW w:w="3685" w:type="dxa"/>
            <w:vAlign w:val="bottom"/>
          </w:tcPr>
          <w:p w14:paraId="4AAEA37A"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28C259B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2F76AA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8C3B84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78232D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E47BC1" w14:textId="77777777" w:rsidR="008E5DE4" w:rsidRDefault="008E5DE4">
            <w:pPr>
              <w:widowControl w:val="0"/>
              <w:pBdr>
                <w:top w:val="nil"/>
                <w:left w:val="nil"/>
                <w:bottom w:val="nil"/>
                <w:right w:val="nil"/>
                <w:between w:val="nil"/>
              </w:pBdr>
              <w:jc w:val="right"/>
              <w:rPr>
                <w:color w:val="000000"/>
              </w:rPr>
            </w:pPr>
          </w:p>
        </w:tc>
      </w:tr>
      <w:tr w:rsidR="008E5DE4" w14:paraId="67E16167" w14:textId="77777777">
        <w:trPr>
          <w:cantSplit/>
        </w:trPr>
        <w:tc>
          <w:tcPr>
            <w:tcW w:w="3685" w:type="dxa"/>
            <w:vAlign w:val="bottom"/>
          </w:tcPr>
          <w:p w14:paraId="6B230E12"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3ADFB30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2E3584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BE5BA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FCE266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2A3FB03" w14:textId="77777777" w:rsidR="008E5DE4" w:rsidRDefault="008E5DE4">
            <w:pPr>
              <w:widowControl w:val="0"/>
              <w:pBdr>
                <w:top w:val="nil"/>
                <w:left w:val="nil"/>
                <w:bottom w:val="nil"/>
                <w:right w:val="nil"/>
                <w:between w:val="nil"/>
              </w:pBdr>
              <w:jc w:val="right"/>
              <w:rPr>
                <w:color w:val="000000"/>
              </w:rPr>
            </w:pPr>
          </w:p>
        </w:tc>
      </w:tr>
      <w:tr w:rsidR="008E5DE4" w14:paraId="13EF4323" w14:textId="77777777">
        <w:trPr>
          <w:cantSplit/>
        </w:trPr>
        <w:tc>
          <w:tcPr>
            <w:tcW w:w="3685" w:type="dxa"/>
            <w:vAlign w:val="bottom"/>
          </w:tcPr>
          <w:p w14:paraId="4C6298EB"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7D913A7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77C27C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0E69E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101019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A67BFC" w14:textId="77777777" w:rsidR="008E5DE4" w:rsidRDefault="008E5DE4">
            <w:pPr>
              <w:widowControl w:val="0"/>
              <w:pBdr>
                <w:top w:val="nil"/>
                <w:left w:val="nil"/>
                <w:bottom w:val="nil"/>
                <w:right w:val="nil"/>
                <w:between w:val="nil"/>
              </w:pBdr>
              <w:jc w:val="right"/>
              <w:rPr>
                <w:color w:val="000000"/>
              </w:rPr>
            </w:pPr>
          </w:p>
        </w:tc>
      </w:tr>
      <w:tr w:rsidR="008E5DE4" w14:paraId="2E09B273" w14:textId="77777777">
        <w:trPr>
          <w:cantSplit/>
        </w:trPr>
        <w:tc>
          <w:tcPr>
            <w:tcW w:w="3685" w:type="dxa"/>
            <w:vAlign w:val="bottom"/>
          </w:tcPr>
          <w:p w14:paraId="5CEF4392"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6200182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8AC2B8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00F725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A2AE0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AFB1963" w14:textId="77777777" w:rsidR="008E5DE4" w:rsidRDefault="008E5DE4">
            <w:pPr>
              <w:widowControl w:val="0"/>
              <w:pBdr>
                <w:top w:val="nil"/>
                <w:left w:val="nil"/>
                <w:bottom w:val="nil"/>
                <w:right w:val="nil"/>
                <w:between w:val="nil"/>
              </w:pBdr>
              <w:jc w:val="right"/>
              <w:rPr>
                <w:color w:val="000000"/>
              </w:rPr>
            </w:pPr>
          </w:p>
        </w:tc>
      </w:tr>
      <w:tr w:rsidR="008E5DE4" w14:paraId="33786625" w14:textId="77777777">
        <w:trPr>
          <w:cantSplit/>
        </w:trPr>
        <w:tc>
          <w:tcPr>
            <w:tcW w:w="3685" w:type="dxa"/>
            <w:vAlign w:val="bottom"/>
          </w:tcPr>
          <w:p w14:paraId="450FA431" w14:textId="77777777" w:rsidR="008E5DE4" w:rsidRDefault="00780368">
            <w:pPr>
              <w:widowControl w:val="0"/>
              <w:pBdr>
                <w:top w:val="nil"/>
                <w:left w:val="nil"/>
                <w:bottom w:val="nil"/>
                <w:right w:val="nil"/>
                <w:between w:val="nil"/>
              </w:pBdr>
              <w:ind w:left="113" w:right="-57" w:hanging="113"/>
              <w:rPr>
                <w:color w:val="0000FF"/>
              </w:rPr>
            </w:pPr>
            <w:r>
              <w:rPr>
                <w:color w:val="000000"/>
              </w:rPr>
              <w:t>- Default</w:t>
            </w:r>
          </w:p>
        </w:tc>
        <w:tc>
          <w:tcPr>
            <w:tcW w:w="1134" w:type="dxa"/>
            <w:vAlign w:val="bottom"/>
          </w:tcPr>
          <w:p w14:paraId="041AD16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3E041F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D4EBF7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11467A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6D8BA86" w14:textId="77777777" w:rsidR="008E5DE4" w:rsidRDefault="008E5DE4">
            <w:pPr>
              <w:widowControl w:val="0"/>
              <w:pBdr>
                <w:top w:val="nil"/>
                <w:left w:val="nil"/>
                <w:bottom w:val="nil"/>
                <w:right w:val="nil"/>
                <w:between w:val="nil"/>
              </w:pBdr>
              <w:jc w:val="right"/>
              <w:rPr>
                <w:color w:val="000000"/>
              </w:rPr>
            </w:pPr>
          </w:p>
        </w:tc>
      </w:tr>
      <w:tr w:rsidR="008E5DE4" w14:paraId="1C6DFE63" w14:textId="77777777">
        <w:trPr>
          <w:cantSplit/>
        </w:trPr>
        <w:tc>
          <w:tcPr>
            <w:tcW w:w="3685" w:type="dxa"/>
            <w:tcBorders>
              <w:bottom w:val="single" w:sz="4" w:space="0" w:color="000000"/>
            </w:tcBorders>
            <w:vAlign w:val="bottom"/>
          </w:tcPr>
          <w:p w14:paraId="2CF36D83"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11BD0CCA"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1CA05ED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F629C6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5169D1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F946EDE" w14:textId="77777777" w:rsidR="008E5DE4" w:rsidRDefault="008E5DE4">
            <w:pPr>
              <w:widowControl w:val="0"/>
              <w:pBdr>
                <w:top w:val="nil"/>
                <w:left w:val="nil"/>
                <w:bottom w:val="nil"/>
                <w:right w:val="nil"/>
                <w:between w:val="nil"/>
              </w:pBdr>
              <w:jc w:val="right"/>
              <w:rPr>
                <w:color w:val="000000"/>
              </w:rPr>
            </w:pPr>
          </w:p>
        </w:tc>
      </w:tr>
      <w:tr w:rsidR="008E5DE4" w14:paraId="6BBA4158" w14:textId="77777777">
        <w:trPr>
          <w:cantSplit/>
        </w:trPr>
        <w:tc>
          <w:tcPr>
            <w:tcW w:w="3685" w:type="dxa"/>
            <w:tcBorders>
              <w:top w:val="single" w:sz="4" w:space="0" w:color="000000"/>
            </w:tcBorders>
            <w:vAlign w:val="bottom"/>
          </w:tcPr>
          <w:p w14:paraId="42C4D73C"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1481E64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66BDE3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33925E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26F9F5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F402AE4" w14:textId="77777777" w:rsidR="008E5DE4" w:rsidRDefault="008E5DE4">
            <w:pPr>
              <w:widowControl w:val="0"/>
              <w:pBdr>
                <w:top w:val="nil"/>
                <w:left w:val="nil"/>
                <w:bottom w:val="nil"/>
                <w:right w:val="nil"/>
                <w:between w:val="nil"/>
              </w:pBdr>
              <w:jc w:val="right"/>
              <w:rPr>
                <w:color w:val="000000"/>
              </w:rPr>
            </w:pPr>
          </w:p>
        </w:tc>
      </w:tr>
      <w:tr w:rsidR="008E5DE4" w14:paraId="622CAC34" w14:textId="77777777">
        <w:trPr>
          <w:cantSplit/>
        </w:trPr>
        <w:tc>
          <w:tcPr>
            <w:tcW w:w="3685" w:type="dxa"/>
            <w:vAlign w:val="bottom"/>
          </w:tcPr>
          <w:p w14:paraId="6369C8F9" w14:textId="77777777" w:rsidR="008E5DE4" w:rsidRDefault="00780368">
            <w:pPr>
              <w:widowControl w:val="0"/>
              <w:pBdr>
                <w:top w:val="nil"/>
                <w:left w:val="nil"/>
                <w:bottom w:val="nil"/>
                <w:right w:val="nil"/>
                <w:between w:val="nil"/>
              </w:pBdr>
              <w:ind w:left="113" w:right="-57" w:hanging="113"/>
              <w:rPr>
                <w:color w:val="000000"/>
              </w:rPr>
            </w:pPr>
            <w:r>
              <w:rPr>
                <w:color w:val="000000"/>
              </w:rPr>
              <w:t>Total AC gross carrying amount</w:t>
            </w:r>
          </w:p>
        </w:tc>
        <w:tc>
          <w:tcPr>
            <w:tcW w:w="1134" w:type="dxa"/>
            <w:vAlign w:val="bottom"/>
          </w:tcPr>
          <w:p w14:paraId="6C4FE9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CFD66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617C2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E476E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5B23F21" w14:textId="77777777" w:rsidR="008E5DE4" w:rsidRDefault="008E5DE4">
            <w:pPr>
              <w:widowControl w:val="0"/>
              <w:pBdr>
                <w:top w:val="nil"/>
                <w:left w:val="nil"/>
                <w:bottom w:val="nil"/>
                <w:right w:val="nil"/>
                <w:between w:val="nil"/>
              </w:pBdr>
              <w:jc w:val="right"/>
              <w:rPr>
                <w:color w:val="000000"/>
              </w:rPr>
            </w:pPr>
          </w:p>
        </w:tc>
      </w:tr>
      <w:tr w:rsidR="008E5DE4" w14:paraId="4C6C2C5C" w14:textId="77777777">
        <w:trPr>
          <w:cantSplit/>
        </w:trPr>
        <w:tc>
          <w:tcPr>
            <w:tcW w:w="3685" w:type="dxa"/>
            <w:tcBorders>
              <w:bottom w:val="single" w:sz="4" w:space="0" w:color="000000"/>
            </w:tcBorders>
            <w:vAlign w:val="bottom"/>
          </w:tcPr>
          <w:p w14:paraId="66D73136"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6887DB2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EEF4EA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DA8E3D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33A598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08A159F" w14:textId="77777777" w:rsidR="008E5DE4" w:rsidRDefault="008E5DE4">
            <w:pPr>
              <w:widowControl w:val="0"/>
              <w:pBdr>
                <w:top w:val="nil"/>
                <w:left w:val="nil"/>
                <w:bottom w:val="nil"/>
                <w:right w:val="nil"/>
                <w:between w:val="nil"/>
              </w:pBdr>
              <w:jc w:val="right"/>
              <w:rPr>
                <w:color w:val="000000"/>
              </w:rPr>
            </w:pPr>
          </w:p>
        </w:tc>
      </w:tr>
      <w:tr w:rsidR="008E5DE4" w14:paraId="4ED7483C" w14:textId="77777777">
        <w:trPr>
          <w:cantSplit/>
        </w:trPr>
        <w:tc>
          <w:tcPr>
            <w:tcW w:w="3685" w:type="dxa"/>
            <w:tcBorders>
              <w:top w:val="single" w:sz="4" w:space="0" w:color="000000"/>
            </w:tcBorders>
            <w:vAlign w:val="bottom"/>
          </w:tcPr>
          <w:p w14:paraId="6CEE96B8"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1818F939"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111DB43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B9821F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65ABA3F"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1A7D65B" w14:textId="77777777" w:rsidR="008E5DE4" w:rsidRDefault="008E5DE4">
            <w:pPr>
              <w:widowControl w:val="0"/>
              <w:pBdr>
                <w:top w:val="nil"/>
                <w:left w:val="nil"/>
                <w:bottom w:val="nil"/>
                <w:right w:val="nil"/>
                <w:between w:val="nil"/>
              </w:pBdr>
              <w:jc w:val="right"/>
              <w:rPr>
                <w:color w:val="000000"/>
              </w:rPr>
            </w:pPr>
          </w:p>
        </w:tc>
      </w:tr>
      <w:tr w:rsidR="008E5DE4" w14:paraId="31BFF8BE" w14:textId="77777777">
        <w:trPr>
          <w:cantSplit/>
        </w:trPr>
        <w:tc>
          <w:tcPr>
            <w:tcW w:w="3685" w:type="dxa"/>
            <w:vAlign w:val="bottom"/>
          </w:tcPr>
          <w:p w14:paraId="33FB0448" w14:textId="77777777" w:rsidR="008E5DE4" w:rsidRDefault="00780368">
            <w:pPr>
              <w:widowControl w:val="0"/>
              <w:pBdr>
                <w:top w:val="nil"/>
                <w:left w:val="nil"/>
                <w:bottom w:val="nil"/>
                <w:right w:val="nil"/>
                <w:between w:val="nil"/>
              </w:pBdr>
              <w:ind w:left="113" w:right="-57" w:hanging="113"/>
              <w:rPr>
                <w:color w:val="000000"/>
              </w:rPr>
            </w:pPr>
            <w:r>
              <w:rPr>
                <w:color w:val="000000"/>
              </w:rPr>
              <w:t>Less credit loss allowance</w:t>
            </w:r>
          </w:p>
        </w:tc>
        <w:tc>
          <w:tcPr>
            <w:tcW w:w="1134" w:type="dxa"/>
            <w:vAlign w:val="bottom"/>
          </w:tcPr>
          <w:p w14:paraId="3FE019DE" w14:textId="77777777" w:rsidR="008E5DE4" w:rsidRDefault="008E5DE4">
            <w:pPr>
              <w:widowControl w:val="0"/>
              <w:pBdr>
                <w:top w:val="nil"/>
                <w:left w:val="nil"/>
                <w:bottom w:val="nil"/>
                <w:right w:val="nil"/>
                <w:between w:val="nil"/>
              </w:pBdr>
              <w:rPr>
                <w:color w:val="000000"/>
              </w:rPr>
            </w:pPr>
          </w:p>
        </w:tc>
        <w:tc>
          <w:tcPr>
            <w:tcW w:w="1134" w:type="dxa"/>
            <w:vAlign w:val="bottom"/>
          </w:tcPr>
          <w:p w14:paraId="134D401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59FFE5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EDC0A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D04871A" w14:textId="77777777" w:rsidR="008E5DE4" w:rsidRDefault="008E5DE4">
            <w:pPr>
              <w:widowControl w:val="0"/>
              <w:pBdr>
                <w:top w:val="nil"/>
                <w:left w:val="nil"/>
                <w:bottom w:val="nil"/>
                <w:right w:val="nil"/>
                <w:between w:val="nil"/>
              </w:pBdr>
              <w:jc w:val="right"/>
              <w:rPr>
                <w:color w:val="000000"/>
              </w:rPr>
            </w:pPr>
          </w:p>
        </w:tc>
      </w:tr>
      <w:tr w:rsidR="008E5DE4" w14:paraId="38A3D8E0" w14:textId="77777777">
        <w:trPr>
          <w:cantSplit/>
        </w:trPr>
        <w:tc>
          <w:tcPr>
            <w:tcW w:w="3685" w:type="dxa"/>
            <w:vAlign w:val="bottom"/>
          </w:tcPr>
          <w:p w14:paraId="2CB65416" w14:textId="77777777" w:rsidR="008E5DE4" w:rsidRDefault="00780368">
            <w:pPr>
              <w:widowControl w:val="0"/>
              <w:pBdr>
                <w:top w:val="nil"/>
                <w:left w:val="nil"/>
                <w:bottom w:val="nil"/>
                <w:right w:val="nil"/>
                <w:between w:val="nil"/>
              </w:pBdr>
              <w:ind w:left="113" w:right="-57" w:hanging="113"/>
              <w:rPr>
                <w:color w:val="000000"/>
              </w:rPr>
            </w:pPr>
            <w:r>
              <w:rPr>
                <w:color w:val="000000"/>
              </w:rPr>
              <w:t>Less fair value adjustment from AC to FV</w:t>
            </w:r>
          </w:p>
        </w:tc>
        <w:tc>
          <w:tcPr>
            <w:tcW w:w="1134" w:type="dxa"/>
            <w:vAlign w:val="bottom"/>
          </w:tcPr>
          <w:p w14:paraId="69C49945" w14:textId="77777777" w:rsidR="008E5DE4" w:rsidRDefault="008E5DE4">
            <w:pPr>
              <w:widowControl w:val="0"/>
              <w:pBdr>
                <w:top w:val="nil"/>
                <w:left w:val="nil"/>
                <w:bottom w:val="nil"/>
                <w:right w:val="nil"/>
                <w:between w:val="nil"/>
              </w:pBdr>
              <w:rPr>
                <w:color w:val="000000"/>
              </w:rPr>
            </w:pPr>
          </w:p>
        </w:tc>
        <w:tc>
          <w:tcPr>
            <w:tcW w:w="1134" w:type="dxa"/>
            <w:vAlign w:val="bottom"/>
          </w:tcPr>
          <w:p w14:paraId="3638DEA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C1BC4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60B7F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E7DBC0A" w14:textId="77777777" w:rsidR="008E5DE4" w:rsidRDefault="008E5DE4">
            <w:pPr>
              <w:widowControl w:val="0"/>
              <w:pBdr>
                <w:top w:val="nil"/>
                <w:left w:val="nil"/>
                <w:bottom w:val="nil"/>
                <w:right w:val="nil"/>
                <w:between w:val="nil"/>
              </w:pBdr>
              <w:jc w:val="right"/>
              <w:rPr>
                <w:color w:val="000000"/>
              </w:rPr>
            </w:pPr>
          </w:p>
        </w:tc>
      </w:tr>
      <w:tr w:rsidR="008E5DE4" w14:paraId="3B37C82A" w14:textId="77777777">
        <w:trPr>
          <w:cantSplit/>
        </w:trPr>
        <w:tc>
          <w:tcPr>
            <w:tcW w:w="3685" w:type="dxa"/>
            <w:tcBorders>
              <w:bottom w:val="single" w:sz="4" w:space="0" w:color="000000"/>
            </w:tcBorders>
            <w:vAlign w:val="bottom"/>
          </w:tcPr>
          <w:p w14:paraId="00C3CBFE"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72756EBE"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1E2653F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F6F906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604AF2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CC0CAFA" w14:textId="77777777" w:rsidR="008E5DE4" w:rsidRDefault="008E5DE4">
            <w:pPr>
              <w:widowControl w:val="0"/>
              <w:pBdr>
                <w:top w:val="nil"/>
                <w:left w:val="nil"/>
                <w:bottom w:val="nil"/>
                <w:right w:val="nil"/>
                <w:between w:val="nil"/>
              </w:pBdr>
              <w:jc w:val="right"/>
              <w:rPr>
                <w:color w:val="000000"/>
              </w:rPr>
            </w:pPr>
          </w:p>
        </w:tc>
      </w:tr>
      <w:tr w:rsidR="008E5DE4" w14:paraId="67E05982" w14:textId="77777777">
        <w:trPr>
          <w:cantSplit/>
        </w:trPr>
        <w:tc>
          <w:tcPr>
            <w:tcW w:w="3685" w:type="dxa"/>
            <w:tcBorders>
              <w:top w:val="single" w:sz="4" w:space="0" w:color="000000"/>
            </w:tcBorders>
            <w:vAlign w:val="bottom"/>
          </w:tcPr>
          <w:p w14:paraId="6606CA19"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2D840EEE"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3E3D7EE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8393CF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6E5285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049BCE4" w14:textId="77777777" w:rsidR="008E5DE4" w:rsidRDefault="008E5DE4">
            <w:pPr>
              <w:widowControl w:val="0"/>
              <w:pBdr>
                <w:top w:val="nil"/>
                <w:left w:val="nil"/>
                <w:bottom w:val="nil"/>
                <w:right w:val="nil"/>
                <w:between w:val="nil"/>
              </w:pBdr>
              <w:jc w:val="right"/>
              <w:rPr>
                <w:color w:val="000000"/>
              </w:rPr>
            </w:pPr>
          </w:p>
        </w:tc>
      </w:tr>
      <w:tr w:rsidR="008E5DE4" w14:paraId="69F5455B" w14:textId="77777777">
        <w:trPr>
          <w:cantSplit/>
        </w:trPr>
        <w:tc>
          <w:tcPr>
            <w:tcW w:w="3685" w:type="dxa"/>
            <w:vAlign w:val="bottom"/>
          </w:tcPr>
          <w:p w14:paraId="24D6B289" w14:textId="77777777" w:rsidR="008E5DE4" w:rsidRDefault="00780368">
            <w:pPr>
              <w:widowControl w:val="0"/>
              <w:pBdr>
                <w:top w:val="nil"/>
                <w:left w:val="nil"/>
                <w:bottom w:val="nil"/>
                <w:right w:val="nil"/>
                <w:between w:val="nil"/>
              </w:pBdr>
              <w:ind w:left="113" w:right="-57" w:hanging="113"/>
              <w:rPr>
                <w:color w:val="000000"/>
              </w:rPr>
            </w:pPr>
            <w:r>
              <w:rPr>
                <w:color w:val="000000"/>
              </w:rPr>
              <w:t>Carrying value (fair value)</w:t>
            </w:r>
          </w:p>
        </w:tc>
        <w:tc>
          <w:tcPr>
            <w:tcW w:w="1134" w:type="dxa"/>
            <w:vAlign w:val="bottom"/>
          </w:tcPr>
          <w:p w14:paraId="5B8BF13C" w14:textId="77777777" w:rsidR="008E5DE4" w:rsidRDefault="008E5DE4">
            <w:pPr>
              <w:widowControl w:val="0"/>
              <w:pBdr>
                <w:top w:val="nil"/>
                <w:left w:val="nil"/>
                <w:bottom w:val="nil"/>
                <w:right w:val="nil"/>
                <w:between w:val="nil"/>
              </w:pBdr>
              <w:rPr>
                <w:color w:val="000000"/>
              </w:rPr>
            </w:pPr>
          </w:p>
        </w:tc>
        <w:tc>
          <w:tcPr>
            <w:tcW w:w="1134" w:type="dxa"/>
            <w:vAlign w:val="bottom"/>
          </w:tcPr>
          <w:p w14:paraId="22B25ED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FEE3CD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1A10E4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AAD6B2B" w14:textId="77777777" w:rsidR="008E5DE4" w:rsidRDefault="008E5DE4">
            <w:pPr>
              <w:widowControl w:val="0"/>
              <w:pBdr>
                <w:top w:val="nil"/>
                <w:left w:val="nil"/>
                <w:bottom w:val="nil"/>
                <w:right w:val="nil"/>
                <w:between w:val="nil"/>
              </w:pBdr>
              <w:jc w:val="right"/>
              <w:rPr>
                <w:color w:val="000000"/>
              </w:rPr>
            </w:pPr>
          </w:p>
        </w:tc>
      </w:tr>
      <w:tr w:rsidR="008E5DE4" w14:paraId="7EB15EDB" w14:textId="77777777">
        <w:trPr>
          <w:cantSplit/>
        </w:trPr>
        <w:tc>
          <w:tcPr>
            <w:tcW w:w="3685" w:type="dxa"/>
            <w:tcBorders>
              <w:bottom w:val="single" w:sz="12" w:space="0" w:color="000000"/>
            </w:tcBorders>
            <w:vAlign w:val="bottom"/>
          </w:tcPr>
          <w:p w14:paraId="0172B444"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287A4003" w14:textId="77777777" w:rsidR="008E5DE4" w:rsidRDefault="008E5DE4">
            <w:pPr>
              <w:widowControl w:val="0"/>
              <w:pBdr>
                <w:top w:val="nil"/>
                <w:left w:val="nil"/>
                <w:bottom w:val="nil"/>
                <w:right w:val="nil"/>
                <w:between w:val="nil"/>
              </w:pBdr>
              <w:rPr>
                <w:color w:val="000000"/>
              </w:rPr>
            </w:pPr>
          </w:p>
        </w:tc>
        <w:tc>
          <w:tcPr>
            <w:tcW w:w="1134" w:type="dxa"/>
            <w:tcBorders>
              <w:bottom w:val="single" w:sz="12" w:space="0" w:color="000000"/>
            </w:tcBorders>
            <w:vAlign w:val="bottom"/>
          </w:tcPr>
          <w:p w14:paraId="74F68C7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3178246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919AA9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18B1F930" w14:textId="77777777" w:rsidR="008E5DE4" w:rsidRDefault="008E5DE4">
            <w:pPr>
              <w:widowControl w:val="0"/>
              <w:pBdr>
                <w:top w:val="nil"/>
                <w:left w:val="nil"/>
                <w:bottom w:val="nil"/>
                <w:right w:val="nil"/>
                <w:between w:val="nil"/>
              </w:pBdr>
              <w:jc w:val="right"/>
              <w:rPr>
                <w:color w:val="000000"/>
              </w:rPr>
            </w:pPr>
          </w:p>
        </w:tc>
      </w:tr>
      <w:tr w:rsidR="008E5DE4" w14:paraId="48E72FE5" w14:textId="77777777">
        <w:trPr>
          <w:cantSplit/>
        </w:trPr>
        <w:tc>
          <w:tcPr>
            <w:tcW w:w="3685" w:type="dxa"/>
            <w:tcBorders>
              <w:top w:val="single" w:sz="12" w:space="0" w:color="000000"/>
            </w:tcBorders>
            <w:vAlign w:val="bottom"/>
          </w:tcPr>
          <w:p w14:paraId="7590EF24"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12" w:space="0" w:color="000000"/>
            </w:tcBorders>
            <w:vAlign w:val="bottom"/>
          </w:tcPr>
          <w:p w14:paraId="5433346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4B6D7AA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420642F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0543B45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116ACA7F" w14:textId="77777777" w:rsidR="008E5DE4" w:rsidRDefault="008E5DE4">
            <w:pPr>
              <w:widowControl w:val="0"/>
              <w:pBdr>
                <w:top w:val="nil"/>
                <w:left w:val="nil"/>
                <w:bottom w:val="nil"/>
                <w:right w:val="nil"/>
                <w:between w:val="nil"/>
              </w:pBdr>
              <w:jc w:val="right"/>
              <w:rPr>
                <w:color w:val="000000"/>
              </w:rPr>
            </w:pPr>
          </w:p>
        </w:tc>
      </w:tr>
      <w:tr w:rsidR="008E5DE4" w14:paraId="2579DF86" w14:textId="77777777">
        <w:trPr>
          <w:cantSplit/>
        </w:trPr>
        <w:tc>
          <w:tcPr>
            <w:tcW w:w="3685" w:type="dxa"/>
            <w:vAlign w:val="bottom"/>
          </w:tcPr>
          <w:p w14:paraId="68254226"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investments in debt securities measured at FVOCI (fair value)</w:t>
            </w:r>
          </w:p>
        </w:tc>
        <w:tc>
          <w:tcPr>
            <w:tcW w:w="1134" w:type="dxa"/>
            <w:vAlign w:val="bottom"/>
          </w:tcPr>
          <w:p w14:paraId="7867A37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AF6E92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D5AECE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43F708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CCA243" w14:textId="77777777" w:rsidR="008E5DE4" w:rsidRDefault="008E5DE4">
            <w:pPr>
              <w:widowControl w:val="0"/>
              <w:pBdr>
                <w:top w:val="nil"/>
                <w:left w:val="nil"/>
                <w:bottom w:val="nil"/>
                <w:right w:val="nil"/>
                <w:between w:val="nil"/>
              </w:pBdr>
              <w:jc w:val="right"/>
              <w:rPr>
                <w:color w:val="000000"/>
              </w:rPr>
            </w:pPr>
          </w:p>
        </w:tc>
      </w:tr>
      <w:tr w:rsidR="008E5DE4" w14:paraId="6DDC8FF5" w14:textId="77777777">
        <w:trPr>
          <w:cantSplit/>
        </w:trPr>
        <w:tc>
          <w:tcPr>
            <w:tcW w:w="3685" w:type="dxa"/>
            <w:tcBorders>
              <w:bottom w:val="single" w:sz="12" w:space="0" w:color="000000"/>
            </w:tcBorders>
            <w:vAlign w:val="bottom"/>
          </w:tcPr>
          <w:p w14:paraId="4F80E2D5"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1E8AE65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1B34CB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693737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41C11AF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2833FF79" w14:textId="77777777" w:rsidR="008E5DE4" w:rsidRDefault="008E5DE4">
            <w:pPr>
              <w:widowControl w:val="0"/>
              <w:pBdr>
                <w:top w:val="nil"/>
                <w:left w:val="nil"/>
                <w:bottom w:val="nil"/>
                <w:right w:val="nil"/>
                <w:between w:val="nil"/>
              </w:pBdr>
              <w:jc w:val="right"/>
              <w:rPr>
                <w:color w:val="000000"/>
              </w:rPr>
            </w:pPr>
          </w:p>
        </w:tc>
      </w:tr>
    </w:tbl>
    <w:p w14:paraId="418BA363" w14:textId="62EB49F4"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debt securities at FVOCI are not collateralised. </w:t>
      </w:r>
    </w:p>
    <w:p w14:paraId="2507F0B2" w14:textId="7780F94B" w:rsidR="008E5DE4" w:rsidRDefault="00780368">
      <w:pPr>
        <w:widowControl w:val="0"/>
        <w:pBdr>
          <w:top w:val="nil"/>
          <w:left w:val="nil"/>
          <w:bottom w:val="nil"/>
          <w:right w:val="nil"/>
          <w:between w:val="nil"/>
        </w:pBdr>
        <w:spacing w:before="200" w:after="200"/>
        <w:jc w:val="both"/>
        <w:rPr>
          <w:color w:val="FF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debt securities at FVOCI with a carrying value of EUR ____ thousand have been pledged to third parties as collateral with respect to borrowings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–EUR __ thousand) (refer to Note 28). The counterparty is not allowed to sell further or re-pledge the investments. </w:t>
      </w:r>
    </w:p>
    <w:p w14:paraId="3CA9AD70" w14:textId="77777777" w:rsidR="008E5DE4" w:rsidRDefault="008E5DE4">
      <w:pPr>
        <w:widowControl w:val="0"/>
        <w:spacing w:before="200" w:after="200"/>
        <w:jc w:val="both"/>
        <w:rPr>
          <w:i/>
          <w:color w:val="FF0000"/>
          <w:sz w:val="20"/>
          <w:szCs w:val="20"/>
        </w:rPr>
      </w:pPr>
    </w:p>
    <w:p w14:paraId="546F742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52C90863" w14:textId="6DF940ED"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w:t>
      </w:r>
      <w:r>
        <w:rPr>
          <w:color w:val="0000FF"/>
          <w:sz w:val="20"/>
          <w:szCs w:val="20"/>
        </w:rPr>
        <w:t>[Country]</w:t>
      </w:r>
      <w:r>
        <w:rPr>
          <w:color w:val="000000"/>
          <w:sz w:val="20"/>
          <w:szCs w:val="20"/>
        </w:rPr>
        <w:t xml:space="preserve"> government bonds at FVOCI in </w:t>
      </w:r>
      <w:r w:rsidR="008614F8">
        <w:rPr>
          <w:color w:val="000000"/>
          <w:sz w:val="20"/>
          <w:szCs w:val="20"/>
        </w:rPr>
        <w:t>2025</w:t>
      </w:r>
      <w:r>
        <w:rPr>
          <w:color w:val="000000"/>
          <w:sz w:val="20"/>
          <w:szCs w:val="20"/>
        </w:rPr>
        <w:t xml:space="preserve"> were as follows. </w:t>
      </w:r>
    </w:p>
    <w:tbl>
      <w:tblPr>
        <w:tblStyle w:val="afffffff"/>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6CE4D83A" w14:textId="77777777">
        <w:trPr>
          <w:cantSplit/>
          <w:trHeight w:val="169"/>
          <w:tblHeader/>
        </w:trPr>
        <w:tc>
          <w:tcPr>
            <w:tcW w:w="3061" w:type="dxa"/>
            <w:vAlign w:val="bottom"/>
          </w:tcPr>
          <w:p w14:paraId="0553AB97"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75EA695D"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3CD906C0"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6FD35F87" w14:textId="77777777">
        <w:trPr>
          <w:cantSplit/>
          <w:trHeight w:val="507"/>
          <w:tblHeader/>
        </w:trPr>
        <w:tc>
          <w:tcPr>
            <w:tcW w:w="3061" w:type="dxa"/>
            <w:tcBorders>
              <w:bottom w:val="single" w:sz="4" w:space="0" w:color="000000"/>
            </w:tcBorders>
            <w:vAlign w:val="bottom"/>
          </w:tcPr>
          <w:p w14:paraId="2248192A" w14:textId="77777777" w:rsidR="008E5DE4" w:rsidRDefault="008E5DE4">
            <w:pPr>
              <w:widowControl w:val="0"/>
              <w:pBdr>
                <w:top w:val="nil"/>
                <w:left w:val="nil"/>
                <w:bottom w:val="nil"/>
                <w:right w:val="nil"/>
                <w:between w:val="nil"/>
              </w:pBdr>
              <w:ind w:left="113" w:right="-57" w:hanging="113"/>
              <w:rPr>
                <w:i/>
                <w:color w:val="000000"/>
              </w:rPr>
            </w:pPr>
          </w:p>
          <w:p w14:paraId="42FA2FE8"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130CB458"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696F5E5F"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70844A82"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1E2B61ED"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01588EF4"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3D70CF8D"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2BD734CF"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7A11AD4E"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13328DD0"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15771D70"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15B0FFFF"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425996DA"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01FD1266"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64B7876D"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4A1DE2C4" w14:textId="77777777">
        <w:trPr>
          <w:cantSplit/>
          <w:trHeight w:val="169"/>
          <w:tblHeader/>
        </w:trPr>
        <w:tc>
          <w:tcPr>
            <w:tcW w:w="3061" w:type="dxa"/>
            <w:vAlign w:val="bottom"/>
          </w:tcPr>
          <w:p w14:paraId="1B04A359" w14:textId="77777777" w:rsidR="008E5DE4" w:rsidRDefault="008E5DE4">
            <w:pPr>
              <w:widowControl w:val="0"/>
              <w:ind w:left="113" w:right="-57" w:hanging="113"/>
            </w:pPr>
          </w:p>
        </w:tc>
        <w:tc>
          <w:tcPr>
            <w:tcW w:w="851" w:type="dxa"/>
            <w:vAlign w:val="bottom"/>
          </w:tcPr>
          <w:p w14:paraId="1BFB56FD"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444F09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3CEB20A"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B90F3AA" w14:textId="77777777" w:rsidR="008E5DE4" w:rsidRDefault="008E5DE4">
            <w:pPr>
              <w:widowControl w:val="0"/>
              <w:pBdr>
                <w:top w:val="nil"/>
                <w:left w:val="nil"/>
                <w:bottom w:val="nil"/>
                <w:right w:val="nil"/>
                <w:between w:val="nil"/>
              </w:pBdr>
              <w:jc w:val="right"/>
              <w:rPr>
                <w:color w:val="000000"/>
              </w:rPr>
            </w:pPr>
          </w:p>
        </w:tc>
        <w:tc>
          <w:tcPr>
            <w:tcW w:w="871" w:type="dxa"/>
          </w:tcPr>
          <w:p w14:paraId="22E085EB" w14:textId="77777777" w:rsidR="008E5DE4" w:rsidRDefault="008E5DE4">
            <w:pPr>
              <w:widowControl w:val="0"/>
              <w:pBdr>
                <w:top w:val="nil"/>
                <w:left w:val="nil"/>
                <w:bottom w:val="nil"/>
                <w:right w:val="nil"/>
                <w:between w:val="nil"/>
              </w:pBdr>
              <w:jc w:val="right"/>
              <w:rPr>
                <w:color w:val="000000"/>
              </w:rPr>
            </w:pPr>
          </w:p>
        </w:tc>
        <w:tc>
          <w:tcPr>
            <w:tcW w:w="856" w:type="dxa"/>
          </w:tcPr>
          <w:p w14:paraId="1A7E54F3" w14:textId="77777777" w:rsidR="008E5DE4" w:rsidRDefault="008E5DE4">
            <w:pPr>
              <w:widowControl w:val="0"/>
              <w:pBdr>
                <w:top w:val="nil"/>
                <w:left w:val="nil"/>
                <w:bottom w:val="nil"/>
                <w:right w:val="nil"/>
                <w:between w:val="nil"/>
              </w:pBdr>
              <w:jc w:val="right"/>
              <w:rPr>
                <w:color w:val="000000"/>
              </w:rPr>
            </w:pPr>
          </w:p>
        </w:tc>
        <w:tc>
          <w:tcPr>
            <w:tcW w:w="856" w:type="dxa"/>
          </w:tcPr>
          <w:p w14:paraId="7B8DBA2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72C50A1" w14:textId="77777777" w:rsidR="008E5DE4" w:rsidRDefault="008E5DE4">
            <w:pPr>
              <w:widowControl w:val="0"/>
              <w:pBdr>
                <w:top w:val="nil"/>
                <w:left w:val="nil"/>
                <w:bottom w:val="nil"/>
                <w:right w:val="nil"/>
                <w:between w:val="nil"/>
              </w:pBdr>
              <w:jc w:val="right"/>
              <w:rPr>
                <w:color w:val="000000"/>
              </w:rPr>
            </w:pPr>
          </w:p>
        </w:tc>
      </w:tr>
      <w:tr w:rsidR="008E5DE4" w14:paraId="6C63FD60" w14:textId="77777777">
        <w:trPr>
          <w:cantSplit/>
          <w:trHeight w:val="169"/>
        </w:trPr>
        <w:tc>
          <w:tcPr>
            <w:tcW w:w="3061" w:type="dxa"/>
            <w:vAlign w:val="bottom"/>
          </w:tcPr>
          <w:p w14:paraId="77914E78" w14:textId="77777777" w:rsidR="008E5DE4" w:rsidRDefault="00780368">
            <w:pPr>
              <w:widowControl w:val="0"/>
              <w:pBdr>
                <w:top w:val="nil"/>
                <w:left w:val="nil"/>
                <w:bottom w:val="nil"/>
                <w:right w:val="nil"/>
                <w:between w:val="nil"/>
              </w:pBdr>
              <w:ind w:left="113" w:right="-57" w:hanging="113"/>
              <w:rPr>
                <w:b/>
                <w:i/>
                <w:color w:val="000000"/>
              </w:rPr>
            </w:pPr>
            <w:r>
              <w:rPr>
                <w:b/>
                <w:i/>
                <w:color w:val="0000FF"/>
              </w:rPr>
              <w:t>[Country]</w:t>
            </w:r>
            <w:r>
              <w:rPr>
                <w:b/>
                <w:color w:val="000000"/>
              </w:rPr>
              <w:t xml:space="preserve"> </w:t>
            </w:r>
            <w:r>
              <w:rPr>
                <w:b/>
                <w:i/>
                <w:color w:val="000000"/>
              </w:rPr>
              <w:t>government bonds</w:t>
            </w:r>
          </w:p>
        </w:tc>
        <w:tc>
          <w:tcPr>
            <w:tcW w:w="851" w:type="dxa"/>
            <w:vAlign w:val="bottom"/>
          </w:tcPr>
          <w:p w14:paraId="1C7C468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6ABA44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1C9365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F35A00F" w14:textId="77777777" w:rsidR="008E5DE4" w:rsidRDefault="008E5DE4">
            <w:pPr>
              <w:widowControl w:val="0"/>
              <w:pBdr>
                <w:top w:val="nil"/>
                <w:left w:val="nil"/>
                <w:bottom w:val="nil"/>
                <w:right w:val="nil"/>
                <w:between w:val="nil"/>
              </w:pBdr>
              <w:jc w:val="right"/>
              <w:rPr>
                <w:color w:val="000000"/>
              </w:rPr>
            </w:pPr>
          </w:p>
        </w:tc>
        <w:tc>
          <w:tcPr>
            <w:tcW w:w="871" w:type="dxa"/>
          </w:tcPr>
          <w:p w14:paraId="474A4919" w14:textId="77777777" w:rsidR="008E5DE4" w:rsidRDefault="008E5DE4">
            <w:pPr>
              <w:widowControl w:val="0"/>
              <w:pBdr>
                <w:top w:val="nil"/>
                <w:left w:val="nil"/>
                <w:bottom w:val="nil"/>
                <w:right w:val="nil"/>
                <w:between w:val="nil"/>
              </w:pBdr>
              <w:jc w:val="right"/>
              <w:rPr>
                <w:color w:val="000000"/>
              </w:rPr>
            </w:pPr>
          </w:p>
        </w:tc>
        <w:tc>
          <w:tcPr>
            <w:tcW w:w="856" w:type="dxa"/>
          </w:tcPr>
          <w:p w14:paraId="07E3226C" w14:textId="77777777" w:rsidR="008E5DE4" w:rsidRDefault="008E5DE4">
            <w:pPr>
              <w:widowControl w:val="0"/>
              <w:pBdr>
                <w:top w:val="nil"/>
                <w:left w:val="nil"/>
                <w:bottom w:val="nil"/>
                <w:right w:val="nil"/>
                <w:between w:val="nil"/>
              </w:pBdr>
              <w:jc w:val="right"/>
              <w:rPr>
                <w:color w:val="000000"/>
              </w:rPr>
            </w:pPr>
          </w:p>
        </w:tc>
        <w:tc>
          <w:tcPr>
            <w:tcW w:w="856" w:type="dxa"/>
          </w:tcPr>
          <w:p w14:paraId="2FAC30A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BD3189B" w14:textId="77777777" w:rsidR="008E5DE4" w:rsidRDefault="008E5DE4">
            <w:pPr>
              <w:widowControl w:val="0"/>
              <w:pBdr>
                <w:top w:val="nil"/>
                <w:left w:val="nil"/>
                <w:bottom w:val="nil"/>
                <w:right w:val="nil"/>
                <w:between w:val="nil"/>
              </w:pBdr>
              <w:jc w:val="right"/>
              <w:rPr>
                <w:color w:val="000000"/>
              </w:rPr>
            </w:pPr>
          </w:p>
        </w:tc>
      </w:tr>
      <w:tr w:rsidR="008E5DE4" w14:paraId="6874AE29" w14:textId="77777777">
        <w:trPr>
          <w:cantSplit/>
          <w:trHeight w:val="169"/>
        </w:trPr>
        <w:tc>
          <w:tcPr>
            <w:tcW w:w="3061" w:type="dxa"/>
            <w:vAlign w:val="bottom"/>
          </w:tcPr>
          <w:p w14:paraId="52FC2A82"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2EF7A6F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DCC9D6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DC0670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93DE1FF" w14:textId="77777777" w:rsidR="008E5DE4" w:rsidRDefault="008E5DE4">
            <w:pPr>
              <w:widowControl w:val="0"/>
              <w:pBdr>
                <w:top w:val="nil"/>
                <w:left w:val="nil"/>
                <w:bottom w:val="nil"/>
                <w:right w:val="nil"/>
                <w:between w:val="nil"/>
              </w:pBdr>
              <w:jc w:val="right"/>
              <w:rPr>
                <w:color w:val="000000"/>
              </w:rPr>
            </w:pPr>
          </w:p>
        </w:tc>
        <w:tc>
          <w:tcPr>
            <w:tcW w:w="871" w:type="dxa"/>
          </w:tcPr>
          <w:p w14:paraId="1613B4AD" w14:textId="77777777" w:rsidR="008E5DE4" w:rsidRDefault="008E5DE4">
            <w:pPr>
              <w:widowControl w:val="0"/>
              <w:pBdr>
                <w:top w:val="nil"/>
                <w:left w:val="nil"/>
                <w:bottom w:val="nil"/>
                <w:right w:val="nil"/>
                <w:between w:val="nil"/>
              </w:pBdr>
              <w:jc w:val="right"/>
              <w:rPr>
                <w:color w:val="000000"/>
              </w:rPr>
            </w:pPr>
          </w:p>
        </w:tc>
        <w:tc>
          <w:tcPr>
            <w:tcW w:w="856" w:type="dxa"/>
          </w:tcPr>
          <w:p w14:paraId="0D071DCD" w14:textId="77777777" w:rsidR="008E5DE4" w:rsidRDefault="008E5DE4">
            <w:pPr>
              <w:widowControl w:val="0"/>
              <w:pBdr>
                <w:top w:val="nil"/>
                <w:left w:val="nil"/>
                <w:bottom w:val="nil"/>
                <w:right w:val="nil"/>
                <w:between w:val="nil"/>
              </w:pBdr>
              <w:jc w:val="right"/>
              <w:rPr>
                <w:color w:val="000000"/>
              </w:rPr>
            </w:pPr>
          </w:p>
        </w:tc>
        <w:tc>
          <w:tcPr>
            <w:tcW w:w="856" w:type="dxa"/>
          </w:tcPr>
          <w:p w14:paraId="650F09D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CF9DBDF" w14:textId="77777777" w:rsidR="008E5DE4" w:rsidRDefault="008E5DE4">
            <w:pPr>
              <w:widowControl w:val="0"/>
              <w:pBdr>
                <w:top w:val="nil"/>
                <w:left w:val="nil"/>
                <w:bottom w:val="nil"/>
                <w:right w:val="nil"/>
                <w:between w:val="nil"/>
              </w:pBdr>
              <w:jc w:val="right"/>
              <w:rPr>
                <w:color w:val="000000"/>
              </w:rPr>
            </w:pPr>
          </w:p>
        </w:tc>
      </w:tr>
      <w:tr w:rsidR="008E5DE4" w14:paraId="39CADB91" w14:textId="77777777">
        <w:trPr>
          <w:cantSplit/>
          <w:trHeight w:val="169"/>
        </w:trPr>
        <w:tc>
          <w:tcPr>
            <w:tcW w:w="3061" w:type="dxa"/>
            <w:vAlign w:val="bottom"/>
          </w:tcPr>
          <w:p w14:paraId="5F4A44EB" w14:textId="4AD68012"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3F42C60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FB418D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B2ACF1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456B7E2" w14:textId="77777777" w:rsidR="008E5DE4" w:rsidRDefault="008E5DE4">
            <w:pPr>
              <w:widowControl w:val="0"/>
              <w:pBdr>
                <w:top w:val="nil"/>
                <w:left w:val="nil"/>
                <w:bottom w:val="nil"/>
                <w:right w:val="nil"/>
                <w:between w:val="nil"/>
              </w:pBdr>
              <w:jc w:val="right"/>
              <w:rPr>
                <w:color w:val="000000"/>
              </w:rPr>
            </w:pPr>
          </w:p>
        </w:tc>
        <w:tc>
          <w:tcPr>
            <w:tcW w:w="871" w:type="dxa"/>
          </w:tcPr>
          <w:p w14:paraId="3DD94AD8" w14:textId="77777777" w:rsidR="008E5DE4" w:rsidRDefault="008E5DE4">
            <w:pPr>
              <w:widowControl w:val="0"/>
              <w:pBdr>
                <w:top w:val="nil"/>
                <w:left w:val="nil"/>
                <w:bottom w:val="nil"/>
                <w:right w:val="nil"/>
                <w:between w:val="nil"/>
              </w:pBdr>
              <w:jc w:val="right"/>
              <w:rPr>
                <w:color w:val="000000"/>
              </w:rPr>
            </w:pPr>
          </w:p>
        </w:tc>
        <w:tc>
          <w:tcPr>
            <w:tcW w:w="856" w:type="dxa"/>
          </w:tcPr>
          <w:p w14:paraId="5419101E" w14:textId="77777777" w:rsidR="008E5DE4" w:rsidRDefault="008E5DE4">
            <w:pPr>
              <w:widowControl w:val="0"/>
              <w:pBdr>
                <w:top w:val="nil"/>
                <w:left w:val="nil"/>
                <w:bottom w:val="nil"/>
                <w:right w:val="nil"/>
                <w:between w:val="nil"/>
              </w:pBdr>
              <w:jc w:val="right"/>
              <w:rPr>
                <w:color w:val="000000"/>
              </w:rPr>
            </w:pPr>
          </w:p>
        </w:tc>
        <w:tc>
          <w:tcPr>
            <w:tcW w:w="856" w:type="dxa"/>
          </w:tcPr>
          <w:p w14:paraId="608C2BF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C7F46C5" w14:textId="77777777" w:rsidR="008E5DE4" w:rsidRDefault="008E5DE4">
            <w:pPr>
              <w:widowControl w:val="0"/>
              <w:pBdr>
                <w:top w:val="nil"/>
                <w:left w:val="nil"/>
                <w:bottom w:val="nil"/>
                <w:right w:val="nil"/>
                <w:between w:val="nil"/>
              </w:pBdr>
              <w:jc w:val="right"/>
              <w:rPr>
                <w:color w:val="000000"/>
              </w:rPr>
            </w:pPr>
          </w:p>
        </w:tc>
      </w:tr>
      <w:tr w:rsidR="008E5DE4" w14:paraId="42C3B125" w14:textId="77777777">
        <w:trPr>
          <w:cantSplit/>
          <w:trHeight w:val="676"/>
        </w:trPr>
        <w:tc>
          <w:tcPr>
            <w:tcW w:w="3061" w:type="dxa"/>
            <w:vAlign w:val="bottom"/>
          </w:tcPr>
          <w:p w14:paraId="36562803" w14:textId="77777777" w:rsidR="008E5DE4" w:rsidRDefault="008E5DE4">
            <w:pPr>
              <w:widowControl w:val="0"/>
              <w:pBdr>
                <w:top w:val="nil"/>
                <w:left w:val="nil"/>
                <w:bottom w:val="nil"/>
                <w:right w:val="nil"/>
                <w:between w:val="nil"/>
              </w:pBdr>
              <w:ind w:left="113" w:right="-57" w:hanging="113"/>
              <w:rPr>
                <w:b/>
                <w:color w:val="000000"/>
              </w:rPr>
            </w:pPr>
          </w:p>
          <w:p w14:paraId="2249C8DE"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03ABB4F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D49D95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523E39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CDF74AC" w14:textId="77777777" w:rsidR="008E5DE4" w:rsidRDefault="008E5DE4">
            <w:pPr>
              <w:widowControl w:val="0"/>
              <w:pBdr>
                <w:top w:val="nil"/>
                <w:left w:val="nil"/>
                <w:bottom w:val="nil"/>
                <w:right w:val="nil"/>
                <w:between w:val="nil"/>
              </w:pBdr>
              <w:jc w:val="right"/>
              <w:rPr>
                <w:color w:val="000000"/>
              </w:rPr>
            </w:pPr>
          </w:p>
        </w:tc>
        <w:tc>
          <w:tcPr>
            <w:tcW w:w="871" w:type="dxa"/>
          </w:tcPr>
          <w:p w14:paraId="738BA945"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4FE9C483" w14:textId="77777777" w:rsidR="008E5DE4" w:rsidRDefault="008E5DE4">
            <w:pPr>
              <w:widowControl w:val="0"/>
              <w:pBdr>
                <w:top w:val="nil"/>
                <w:left w:val="nil"/>
                <w:bottom w:val="nil"/>
                <w:right w:val="nil"/>
                <w:between w:val="nil"/>
              </w:pBdr>
              <w:jc w:val="right"/>
              <w:rPr>
                <w:color w:val="000000"/>
              </w:rPr>
            </w:pPr>
          </w:p>
        </w:tc>
        <w:tc>
          <w:tcPr>
            <w:tcW w:w="856" w:type="dxa"/>
          </w:tcPr>
          <w:p w14:paraId="5624A69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717AFE4" w14:textId="77777777" w:rsidR="008E5DE4" w:rsidRDefault="008E5DE4">
            <w:pPr>
              <w:widowControl w:val="0"/>
              <w:pBdr>
                <w:top w:val="nil"/>
                <w:left w:val="nil"/>
                <w:bottom w:val="nil"/>
                <w:right w:val="nil"/>
                <w:between w:val="nil"/>
              </w:pBdr>
              <w:jc w:val="right"/>
              <w:rPr>
                <w:color w:val="000000"/>
              </w:rPr>
            </w:pPr>
          </w:p>
        </w:tc>
      </w:tr>
      <w:tr w:rsidR="008E5DE4" w14:paraId="531C0600" w14:textId="77777777">
        <w:trPr>
          <w:cantSplit/>
          <w:trHeight w:val="184"/>
        </w:trPr>
        <w:tc>
          <w:tcPr>
            <w:tcW w:w="3061" w:type="dxa"/>
            <w:vAlign w:val="bottom"/>
          </w:tcPr>
          <w:p w14:paraId="686FA0D2"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1D7983F7"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9C84EE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486F7C2"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8DBCE80"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38DFC9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920CD1B"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A6955E2"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610871B" w14:textId="77777777" w:rsidR="008E5DE4" w:rsidRDefault="008E5DE4">
            <w:pPr>
              <w:widowControl w:val="0"/>
              <w:pBdr>
                <w:top w:val="nil"/>
                <w:left w:val="nil"/>
                <w:bottom w:val="nil"/>
                <w:right w:val="nil"/>
                <w:between w:val="nil"/>
              </w:pBdr>
              <w:jc w:val="right"/>
              <w:rPr>
                <w:color w:val="000000"/>
                <w:highlight w:val="green"/>
              </w:rPr>
            </w:pPr>
          </w:p>
        </w:tc>
      </w:tr>
      <w:tr w:rsidR="008E5DE4" w14:paraId="742F6C86" w14:textId="77777777">
        <w:trPr>
          <w:cantSplit/>
          <w:trHeight w:val="184"/>
        </w:trPr>
        <w:tc>
          <w:tcPr>
            <w:tcW w:w="3061" w:type="dxa"/>
            <w:vAlign w:val="bottom"/>
          </w:tcPr>
          <w:p w14:paraId="751F1D1E"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45ACF00C"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681E8C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0CC1421"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02CF6CE"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804F4E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13356D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9979567"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74B70B4" w14:textId="77777777" w:rsidR="008E5DE4" w:rsidRDefault="008E5DE4">
            <w:pPr>
              <w:widowControl w:val="0"/>
              <w:pBdr>
                <w:top w:val="nil"/>
                <w:left w:val="nil"/>
                <w:bottom w:val="nil"/>
                <w:right w:val="nil"/>
                <w:between w:val="nil"/>
              </w:pBdr>
              <w:jc w:val="right"/>
              <w:rPr>
                <w:color w:val="000000"/>
                <w:highlight w:val="green"/>
              </w:rPr>
            </w:pPr>
          </w:p>
        </w:tc>
      </w:tr>
      <w:tr w:rsidR="008E5DE4" w14:paraId="684FABF9" w14:textId="77777777">
        <w:trPr>
          <w:cantSplit/>
          <w:trHeight w:val="80"/>
        </w:trPr>
        <w:tc>
          <w:tcPr>
            <w:tcW w:w="3061" w:type="dxa"/>
            <w:vAlign w:val="bottom"/>
          </w:tcPr>
          <w:p w14:paraId="5A63474A"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2DB2D067"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FF1D62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BB2AFF4"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114E62D"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9CF319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CADBD7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049D7F2"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BEE195C" w14:textId="77777777" w:rsidR="008E5DE4" w:rsidRDefault="008E5DE4">
            <w:pPr>
              <w:widowControl w:val="0"/>
              <w:pBdr>
                <w:top w:val="nil"/>
                <w:left w:val="nil"/>
                <w:bottom w:val="nil"/>
                <w:right w:val="nil"/>
                <w:between w:val="nil"/>
              </w:pBdr>
              <w:jc w:val="right"/>
              <w:rPr>
                <w:color w:val="000000"/>
                <w:highlight w:val="green"/>
              </w:rPr>
            </w:pPr>
          </w:p>
        </w:tc>
      </w:tr>
      <w:tr w:rsidR="008E5DE4" w14:paraId="65F9CD96" w14:textId="77777777">
        <w:trPr>
          <w:cantSplit/>
          <w:trHeight w:val="80"/>
        </w:trPr>
        <w:tc>
          <w:tcPr>
            <w:tcW w:w="3061" w:type="dxa"/>
            <w:vAlign w:val="bottom"/>
          </w:tcPr>
          <w:p w14:paraId="5385579B"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3D7EC19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2D536A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89EE0D1"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2236939"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3888B7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85C4E2C"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82FA8F4"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771709B" w14:textId="77777777" w:rsidR="008E5DE4" w:rsidRDefault="008E5DE4">
            <w:pPr>
              <w:widowControl w:val="0"/>
              <w:pBdr>
                <w:top w:val="nil"/>
                <w:left w:val="nil"/>
                <w:bottom w:val="nil"/>
                <w:right w:val="nil"/>
                <w:between w:val="nil"/>
              </w:pBdr>
              <w:jc w:val="right"/>
              <w:rPr>
                <w:color w:val="000000"/>
                <w:highlight w:val="green"/>
              </w:rPr>
            </w:pPr>
          </w:p>
        </w:tc>
      </w:tr>
      <w:tr w:rsidR="008E5DE4" w14:paraId="311A9F33" w14:textId="77777777">
        <w:trPr>
          <w:cantSplit/>
          <w:trHeight w:val="361"/>
        </w:trPr>
        <w:tc>
          <w:tcPr>
            <w:tcW w:w="3061" w:type="dxa"/>
            <w:vAlign w:val="bottom"/>
          </w:tcPr>
          <w:p w14:paraId="3B50E72F"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29C1BAE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82D39E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A12BC3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BCB6265"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48AA36B"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5AC1AD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68E4AD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BDA4F21" w14:textId="77777777" w:rsidR="008E5DE4" w:rsidRDefault="008E5DE4">
            <w:pPr>
              <w:widowControl w:val="0"/>
              <w:pBdr>
                <w:top w:val="nil"/>
                <w:left w:val="nil"/>
                <w:bottom w:val="nil"/>
                <w:right w:val="nil"/>
                <w:between w:val="nil"/>
              </w:pBdr>
              <w:jc w:val="right"/>
              <w:rPr>
                <w:color w:val="000000"/>
                <w:highlight w:val="green"/>
              </w:rPr>
            </w:pPr>
          </w:p>
        </w:tc>
      </w:tr>
      <w:tr w:rsidR="008E5DE4" w14:paraId="09B7875B" w14:textId="77777777">
        <w:trPr>
          <w:cantSplit/>
          <w:trHeight w:val="169"/>
        </w:trPr>
        <w:tc>
          <w:tcPr>
            <w:tcW w:w="3061" w:type="dxa"/>
            <w:vAlign w:val="bottom"/>
          </w:tcPr>
          <w:p w14:paraId="655A24E4"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4E4635F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691173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734E56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350CE3A" w14:textId="77777777" w:rsidR="008E5DE4" w:rsidRDefault="008E5DE4">
            <w:pPr>
              <w:widowControl w:val="0"/>
              <w:pBdr>
                <w:top w:val="nil"/>
                <w:left w:val="nil"/>
                <w:bottom w:val="nil"/>
                <w:right w:val="nil"/>
                <w:between w:val="nil"/>
              </w:pBdr>
              <w:jc w:val="right"/>
              <w:rPr>
                <w:color w:val="000000"/>
              </w:rPr>
            </w:pPr>
          </w:p>
        </w:tc>
        <w:tc>
          <w:tcPr>
            <w:tcW w:w="871" w:type="dxa"/>
          </w:tcPr>
          <w:p w14:paraId="4E043094" w14:textId="77777777" w:rsidR="008E5DE4" w:rsidRDefault="008E5DE4">
            <w:pPr>
              <w:widowControl w:val="0"/>
              <w:pBdr>
                <w:top w:val="nil"/>
                <w:left w:val="nil"/>
                <w:bottom w:val="nil"/>
                <w:right w:val="nil"/>
                <w:between w:val="nil"/>
              </w:pBdr>
              <w:jc w:val="right"/>
              <w:rPr>
                <w:color w:val="000000"/>
              </w:rPr>
            </w:pPr>
          </w:p>
        </w:tc>
        <w:tc>
          <w:tcPr>
            <w:tcW w:w="856" w:type="dxa"/>
          </w:tcPr>
          <w:p w14:paraId="11C88FBD" w14:textId="77777777" w:rsidR="008E5DE4" w:rsidRDefault="008E5DE4">
            <w:pPr>
              <w:widowControl w:val="0"/>
              <w:pBdr>
                <w:top w:val="nil"/>
                <w:left w:val="nil"/>
                <w:bottom w:val="nil"/>
                <w:right w:val="nil"/>
                <w:between w:val="nil"/>
              </w:pBdr>
              <w:jc w:val="right"/>
              <w:rPr>
                <w:color w:val="000000"/>
              </w:rPr>
            </w:pPr>
          </w:p>
        </w:tc>
        <w:tc>
          <w:tcPr>
            <w:tcW w:w="856" w:type="dxa"/>
          </w:tcPr>
          <w:p w14:paraId="563EF45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8308DAA" w14:textId="77777777" w:rsidR="008E5DE4" w:rsidRDefault="008E5DE4">
            <w:pPr>
              <w:widowControl w:val="0"/>
              <w:pBdr>
                <w:top w:val="nil"/>
                <w:left w:val="nil"/>
                <w:bottom w:val="nil"/>
                <w:right w:val="nil"/>
                <w:between w:val="nil"/>
              </w:pBdr>
              <w:jc w:val="right"/>
              <w:rPr>
                <w:color w:val="000000"/>
              </w:rPr>
            </w:pPr>
          </w:p>
        </w:tc>
      </w:tr>
      <w:tr w:rsidR="008E5DE4" w14:paraId="352EDA29" w14:textId="77777777">
        <w:trPr>
          <w:cantSplit/>
          <w:trHeight w:val="232"/>
        </w:trPr>
        <w:tc>
          <w:tcPr>
            <w:tcW w:w="3061" w:type="dxa"/>
            <w:vAlign w:val="bottom"/>
          </w:tcPr>
          <w:p w14:paraId="60D0644E"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35A4F1A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3D7946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064C2C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4912F33" w14:textId="77777777" w:rsidR="008E5DE4" w:rsidRDefault="008E5DE4">
            <w:pPr>
              <w:widowControl w:val="0"/>
              <w:pBdr>
                <w:top w:val="nil"/>
                <w:left w:val="nil"/>
                <w:bottom w:val="nil"/>
                <w:right w:val="nil"/>
                <w:between w:val="nil"/>
              </w:pBdr>
              <w:jc w:val="right"/>
              <w:rPr>
                <w:color w:val="000000"/>
              </w:rPr>
            </w:pPr>
          </w:p>
        </w:tc>
        <w:tc>
          <w:tcPr>
            <w:tcW w:w="871" w:type="dxa"/>
          </w:tcPr>
          <w:p w14:paraId="10CC8861" w14:textId="77777777" w:rsidR="008E5DE4" w:rsidRDefault="008E5DE4">
            <w:pPr>
              <w:widowControl w:val="0"/>
              <w:pBdr>
                <w:top w:val="nil"/>
                <w:left w:val="nil"/>
                <w:bottom w:val="nil"/>
                <w:right w:val="nil"/>
                <w:between w:val="nil"/>
              </w:pBdr>
              <w:jc w:val="right"/>
              <w:rPr>
                <w:color w:val="000000"/>
              </w:rPr>
            </w:pPr>
          </w:p>
        </w:tc>
        <w:tc>
          <w:tcPr>
            <w:tcW w:w="856" w:type="dxa"/>
          </w:tcPr>
          <w:p w14:paraId="1198A458" w14:textId="77777777" w:rsidR="008E5DE4" w:rsidRDefault="008E5DE4">
            <w:pPr>
              <w:widowControl w:val="0"/>
              <w:pBdr>
                <w:top w:val="nil"/>
                <w:left w:val="nil"/>
                <w:bottom w:val="nil"/>
                <w:right w:val="nil"/>
                <w:between w:val="nil"/>
              </w:pBdr>
              <w:jc w:val="right"/>
              <w:rPr>
                <w:color w:val="000000"/>
              </w:rPr>
            </w:pPr>
          </w:p>
        </w:tc>
        <w:tc>
          <w:tcPr>
            <w:tcW w:w="856" w:type="dxa"/>
          </w:tcPr>
          <w:p w14:paraId="27E572C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871EA1B" w14:textId="77777777" w:rsidR="008E5DE4" w:rsidRDefault="008E5DE4">
            <w:pPr>
              <w:widowControl w:val="0"/>
              <w:pBdr>
                <w:top w:val="nil"/>
                <w:left w:val="nil"/>
                <w:bottom w:val="nil"/>
                <w:right w:val="nil"/>
                <w:between w:val="nil"/>
              </w:pBdr>
              <w:jc w:val="right"/>
              <w:rPr>
                <w:color w:val="000000"/>
              </w:rPr>
            </w:pPr>
          </w:p>
        </w:tc>
      </w:tr>
      <w:tr w:rsidR="008E5DE4" w14:paraId="57384AF7" w14:textId="77777777">
        <w:trPr>
          <w:cantSplit/>
          <w:trHeight w:val="80"/>
        </w:trPr>
        <w:tc>
          <w:tcPr>
            <w:tcW w:w="3061" w:type="dxa"/>
            <w:vAlign w:val="bottom"/>
          </w:tcPr>
          <w:p w14:paraId="61743441"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420587E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93B0D5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97BC8C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CD34687"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0456BA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23FD1D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562F03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FA63B27" w14:textId="77777777" w:rsidR="008E5DE4" w:rsidRDefault="008E5DE4">
            <w:pPr>
              <w:widowControl w:val="0"/>
              <w:pBdr>
                <w:top w:val="nil"/>
                <w:left w:val="nil"/>
                <w:bottom w:val="nil"/>
                <w:right w:val="nil"/>
                <w:between w:val="nil"/>
              </w:pBdr>
              <w:jc w:val="right"/>
              <w:rPr>
                <w:color w:val="000000"/>
              </w:rPr>
            </w:pPr>
          </w:p>
        </w:tc>
      </w:tr>
      <w:tr w:rsidR="008E5DE4" w14:paraId="555C3AA5" w14:textId="77777777">
        <w:trPr>
          <w:cantSplit/>
          <w:trHeight w:val="85"/>
        </w:trPr>
        <w:tc>
          <w:tcPr>
            <w:tcW w:w="3061" w:type="dxa"/>
            <w:vAlign w:val="bottom"/>
          </w:tcPr>
          <w:p w14:paraId="25A0D30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25CD741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5EB4C1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ED27E2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C3F2ED5"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EF47AD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41985A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229926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FE1D2AE" w14:textId="77777777" w:rsidR="008E5DE4" w:rsidRDefault="008E5DE4">
            <w:pPr>
              <w:widowControl w:val="0"/>
              <w:pBdr>
                <w:top w:val="nil"/>
                <w:left w:val="nil"/>
                <w:bottom w:val="nil"/>
                <w:right w:val="nil"/>
                <w:between w:val="nil"/>
              </w:pBdr>
              <w:jc w:val="right"/>
              <w:rPr>
                <w:color w:val="000000"/>
              </w:rPr>
            </w:pPr>
          </w:p>
        </w:tc>
      </w:tr>
      <w:tr w:rsidR="008E5DE4" w14:paraId="3C12C656" w14:textId="77777777">
        <w:trPr>
          <w:cantSplit/>
          <w:trHeight w:val="169"/>
        </w:trPr>
        <w:tc>
          <w:tcPr>
            <w:tcW w:w="3061" w:type="dxa"/>
            <w:vAlign w:val="bottom"/>
          </w:tcPr>
          <w:p w14:paraId="4E42B930"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70C739D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602809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90BDD0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72B038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833FFE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DEE20C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36C71E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25A44EB" w14:textId="77777777" w:rsidR="008E5DE4" w:rsidRDefault="008E5DE4">
            <w:pPr>
              <w:widowControl w:val="0"/>
              <w:pBdr>
                <w:top w:val="nil"/>
                <w:left w:val="nil"/>
                <w:bottom w:val="nil"/>
                <w:right w:val="nil"/>
                <w:between w:val="nil"/>
              </w:pBdr>
              <w:jc w:val="right"/>
              <w:rPr>
                <w:color w:val="000000"/>
              </w:rPr>
            </w:pPr>
          </w:p>
        </w:tc>
      </w:tr>
      <w:tr w:rsidR="008E5DE4" w14:paraId="4394D80A" w14:textId="77777777">
        <w:trPr>
          <w:cantSplit/>
          <w:trHeight w:val="169"/>
        </w:trPr>
        <w:tc>
          <w:tcPr>
            <w:tcW w:w="3061" w:type="dxa"/>
            <w:vAlign w:val="bottom"/>
          </w:tcPr>
          <w:p w14:paraId="374F985A"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039476A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197F8B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E2CA85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2421BB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D2F2CA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5D0DA5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854DCC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AA769DB" w14:textId="77777777" w:rsidR="008E5DE4" w:rsidRDefault="008E5DE4">
            <w:pPr>
              <w:widowControl w:val="0"/>
              <w:pBdr>
                <w:top w:val="nil"/>
                <w:left w:val="nil"/>
                <w:bottom w:val="nil"/>
                <w:right w:val="nil"/>
                <w:between w:val="nil"/>
              </w:pBdr>
              <w:jc w:val="right"/>
              <w:rPr>
                <w:color w:val="000000"/>
              </w:rPr>
            </w:pPr>
          </w:p>
        </w:tc>
      </w:tr>
      <w:tr w:rsidR="008E5DE4" w14:paraId="1B830D4D" w14:textId="77777777">
        <w:trPr>
          <w:cantSplit/>
          <w:trHeight w:val="169"/>
        </w:trPr>
        <w:tc>
          <w:tcPr>
            <w:tcW w:w="3061" w:type="dxa"/>
            <w:tcBorders>
              <w:bottom w:val="single" w:sz="4" w:space="0" w:color="000000"/>
            </w:tcBorders>
            <w:vAlign w:val="bottom"/>
          </w:tcPr>
          <w:p w14:paraId="4030DD89"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2DAFABCF"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475EF24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0814B9C"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1B3E73E5"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45F0D1F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2B3A5E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0F173F5"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49FA1EF9" w14:textId="77777777" w:rsidR="008E5DE4" w:rsidRDefault="008E5DE4">
            <w:pPr>
              <w:widowControl w:val="0"/>
              <w:pBdr>
                <w:top w:val="nil"/>
                <w:left w:val="nil"/>
                <w:bottom w:val="nil"/>
                <w:right w:val="nil"/>
                <w:between w:val="nil"/>
              </w:pBdr>
              <w:jc w:val="right"/>
              <w:rPr>
                <w:color w:val="000000"/>
              </w:rPr>
            </w:pPr>
          </w:p>
        </w:tc>
      </w:tr>
      <w:tr w:rsidR="008E5DE4" w14:paraId="5D546A80" w14:textId="77777777">
        <w:trPr>
          <w:cantSplit/>
          <w:trHeight w:val="153"/>
        </w:trPr>
        <w:tc>
          <w:tcPr>
            <w:tcW w:w="3061" w:type="dxa"/>
            <w:tcBorders>
              <w:top w:val="single" w:sz="4" w:space="0" w:color="000000"/>
            </w:tcBorders>
            <w:vAlign w:val="bottom"/>
          </w:tcPr>
          <w:p w14:paraId="0DA215EC"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1E2FB522"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2744AE3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0DD7903"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B781E91"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6A39562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4ABCA5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D7E958B"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3C3BCDD6" w14:textId="77777777" w:rsidR="008E5DE4" w:rsidRDefault="008E5DE4">
            <w:pPr>
              <w:widowControl w:val="0"/>
              <w:pBdr>
                <w:top w:val="nil"/>
                <w:left w:val="nil"/>
                <w:bottom w:val="nil"/>
                <w:right w:val="nil"/>
                <w:between w:val="nil"/>
              </w:pBdr>
              <w:jc w:val="right"/>
              <w:rPr>
                <w:color w:val="000000"/>
              </w:rPr>
            </w:pPr>
          </w:p>
        </w:tc>
      </w:tr>
      <w:tr w:rsidR="008E5DE4" w14:paraId="24D6F840" w14:textId="77777777">
        <w:trPr>
          <w:cantSplit/>
          <w:trHeight w:val="245"/>
        </w:trPr>
        <w:tc>
          <w:tcPr>
            <w:tcW w:w="3061" w:type="dxa"/>
            <w:vAlign w:val="bottom"/>
          </w:tcPr>
          <w:p w14:paraId="0A868F96"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673F343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EC35A8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774D57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82F24B4"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39FF6B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AC9995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30C489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948B1B9" w14:textId="77777777" w:rsidR="008E5DE4" w:rsidRDefault="008E5DE4">
            <w:pPr>
              <w:widowControl w:val="0"/>
              <w:pBdr>
                <w:top w:val="nil"/>
                <w:left w:val="nil"/>
                <w:bottom w:val="nil"/>
                <w:right w:val="nil"/>
                <w:between w:val="nil"/>
              </w:pBdr>
              <w:jc w:val="right"/>
              <w:rPr>
                <w:color w:val="000000"/>
              </w:rPr>
            </w:pPr>
          </w:p>
        </w:tc>
      </w:tr>
      <w:tr w:rsidR="008E5DE4" w14:paraId="7EBAF119" w14:textId="77777777">
        <w:trPr>
          <w:cantSplit/>
          <w:trHeight w:val="80"/>
        </w:trPr>
        <w:tc>
          <w:tcPr>
            <w:tcW w:w="3061" w:type="dxa"/>
            <w:tcBorders>
              <w:bottom w:val="single" w:sz="4" w:space="0" w:color="000000"/>
            </w:tcBorders>
            <w:vAlign w:val="bottom"/>
          </w:tcPr>
          <w:p w14:paraId="65FE7442"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6DBEECFA"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50962D5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C55C8C2"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2037AC3"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0A89853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8C7C0D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23D73EA"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0A9484E5" w14:textId="77777777" w:rsidR="008E5DE4" w:rsidRDefault="008E5DE4">
            <w:pPr>
              <w:widowControl w:val="0"/>
              <w:pBdr>
                <w:top w:val="nil"/>
                <w:left w:val="nil"/>
                <w:bottom w:val="nil"/>
                <w:right w:val="nil"/>
                <w:between w:val="nil"/>
              </w:pBdr>
              <w:jc w:val="right"/>
              <w:rPr>
                <w:color w:val="000000"/>
              </w:rPr>
            </w:pPr>
          </w:p>
        </w:tc>
      </w:tr>
      <w:tr w:rsidR="008E5DE4" w14:paraId="7A26908E" w14:textId="77777777">
        <w:trPr>
          <w:cantSplit/>
          <w:trHeight w:val="153"/>
        </w:trPr>
        <w:tc>
          <w:tcPr>
            <w:tcW w:w="3061" w:type="dxa"/>
            <w:tcBorders>
              <w:top w:val="single" w:sz="4" w:space="0" w:color="000000"/>
            </w:tcBorders>
            <w:vAlign w:val="bottom"/>
          </w:tcPr>
          <w:p w14:paraId="64C04DD9"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40775F9D"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E9BE57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DBE3754"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55D8775"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7022436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D7FE31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E36BC58"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74E46C95" w14:textId="77777777" w:rsidR="008E5DE4" w:rsidRDefault="008E5DE4">
            <w:pPr>
              <w:widowControl w:val="0"/>
              <w:pBdr>
                <w:top w:val="nil"/>
                <w:left w:val="nil"/>
                <w:bottom w:val="nil"/>
                <w:right w:val="nil"/>
                <w:between w:val="nil"/>
              </w:pBdr>
              <w:jc w:val="right"/>
              <w:rPr>
                <w:color w:val="000000"/>
              </w:rPr>
            </w:pPr>
          </w:p>
        </w:tc>
      </w:tr>
      <w:tr w:rsidR="008E5DE4" w14:paraId="5CB3E113" w14:textId="77777777">
        <w:trPr>
          <w:cantSplit/>
          <w:trHeight w:val="692"/>
        </w:trPr>
        <w:tc>
          <w:tcPr>
            <w:tcW w:w="3061" w:type="dxa"/>
            <w:vAlign w:val="bottom"/>
          </w:tcPr>
          <w:p w14:paraId="34847E50"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59EE9E19"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32341986"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3C3E78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D94C75B"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FB0CE31"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2CE3095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CEB0D4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0692421"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C9BB677" w14:textId="77777777" w:rsidR="008E5DE4" w:rsidRDefault="008E5DE4">
            <w:pPr>
              <w:widowControl w:val="0"/>
              <w:pBdr>
                <w:top w:val="nil"/>
                <w:left w:val="nil"/>
                <w:bottom w:val="nil"/>
                <w:right w:val="nil"/>
                <w:between w:val="nil"/>
              </w:pBdr>
              <w:jc w:val="right"/>
              <w:rPr>
                <w:color w:val="000000"/>
                <w:highlight w:val="green"/>
              </w:rPr>
            </w:pPr>
          </w:p>
        </w:tc>
      </w:tr>
      <w:tr w:rsidR="008E5DE4" w14:paraId="76276CE0" w14:textId="77777777">
        <w:trPr>
          <w:cantSplit/>
          <w:trHeight w:val="169"/>
        </w:trPr>
        <w:tc>
          <w:tcPr>
            <w:tcW w:w="3061" w:type="dxa"/>
            <w:vAlign w:val="bottom"/>
          </w:tcPr>
          <w:p w14:paraId="7BCE8910"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3D6D31FC"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1235E1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4DDBED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9EF558A"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5DB1464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4E2060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E0D4A01"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EDCC2BB" w14:textId="77777777" w:rsidR="008E5DE4" w:rsidRDefault="008E5DE4">
            <w:pPr>
              <w:widowControl w:val="0"/>
              <w:pBdr>
                <w:top w:val="nil"/>
                <w:left w:val="nil"/>
                <w:bottom w:val="nil"/>
                <w:right w:val="nil"/>
                <w:between w:val="nil"/>
              </w:pBdr>
              <w:jc w:val="right"/>
              <w:rPr>
                <w:color w:val="000000"/>
                <w:highlight w:val="green"/>
              </w:rPr>
            </w:pPr>
          </w:p>
        </w:tc>
      </w:tr>
      <w:tr w:rsidR="008E5DE4" w14:paraId="70C8365C" w14:textId="77777777">
        <w:trPr>
          <w:cantSplit/>
          <w:trHeight w:val="169"/>
        </w:trPr>
        <w:tc>
          <w:tcPr>
            <w:tcW w:w="3061" w:type="dxa"/>
            <w:vAlign w:val="bottom"/>
          </w:tcPr>
          <w:p w14:paraId="6188D1C6"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58E4714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EDA43D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668D4BD"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EB61D6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B92712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C0BA74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61C4A64"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65EE01B" w14:textId="77777777" w:rsidR="008E5DE4" w:rsidRDefault="008E5DE4">
            <w:pPr>
              <w:widowControl w:val="0"/>
              <w:pBdr>
                <w:top w:val="nil"/>
                <w:left w:val="nil"/>
                <w:bottom w:val="nil"/>
                <w:right w:val="nil"/>
                <w:between w:val="nil"/>
              </w:pBdr>
              <w:jc w:val="right"/>
              <w:rPr>
                <w:color w:val="000000"/>
                <w:highlight w:val="green"/>
              </w:rPr>
            </w:pPr>
          </w:p>
        </w:tc>
      </w:tr>
      <w:tr w:rsidR="008E5DE4" w14:paraId="31434C44" w14:textId="77777777">
        <w:trPr>
          <w:cantSplit/>
          <w:trHeight w:val="337"/>
        </w:trPr>
        <w:tc>
          <w:tcPr>
            <w:tcW w:w="3061" w:type="dxa"/>
            <w:vAlign w:val="bottom"/>
          </w:tcPr>
          <w:p w14:paraId="4BDA5D5C"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133C68A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F881E3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3FC29B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BD9A72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7EF44A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12AD78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39B036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CDD4F97" w14:textId="77777777" w:rsidR="008E5DE4" w:rsidRDefault="008E5DE4">
            <w:pPr>
              <w:widowControl w:val="0"/>
              <w:pBdr>
                <w:top w:val="nil"/>
                <w:left w:val="nil"/>
                <w:bottom w:val="nil"/>
                <w:right w:val="nil"/>
                <w:between w:val="nil"/>
              </w:pBdr>
              <w:jc w:val="right"/>
              <w:rPr>
                <w:color w:val="000000"/>
              </w:rPr>
            </w:pPr>
          </w:p>
        </w:tc>
      </w:tr>
      <w:tr w:rsidR="008E5DE4" w14:paraId="753B466D" w14:textId="77777777">
        <w:trPr>
          <w:cantSplit/>
          <w:trHeight w:val="231"/>
        </w:trPr>
        <w:tc>
          <w:tcPr>
            <w:tcW w:w="3061" w:type="dxa"/>
            <w:vAlign w:val="bottom"/>
          </w:tcPr>
          <w:p w14:paraId="7DD1A291"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851" w:type="dxa"/>
            <w:vAlign w:val="bottom"/>
          </w:tcPr>
          <w:p w14:paraId="6E569B0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B8602E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F29598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05BE662"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0A217B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5759B3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BD0092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6FC399E" w14:textId="77777777" w:rsidR="008E5DE4" w:rsidRDefault="008E5DE4">
            <w:pPr>
              <w:widowControl w:val="0"/>
              <w:pBdr>
                <w:top w:val="nil"/>
                <w:left w:val="nil"/>
                <w:bottom w:val="nil"/>
                <w:right w:val="nil"/>
                <w:between w:val="nil"/>
              </w:pBdr>
              <w:jc w:val="right"/>
              <w:rPr>
                <w:color w:val="000000"/>
              </w:rPr>
            </w:pPr>
          </w:p>
        </w:tc>
      </w:tr>
      <w:tr w:rsidR="008E5DE4" w14:paraId="61067F94" w14:textId="77777777">
        <w:trPr>
          <w:cantSplit/>
          <w:trHeight w:val="169"/>
        </w:trPr>
        <w:tc>
          <w:tcPr>
            <w:tcW w:w="3061" w:type="dxa"/>
            <w:tcBorders>
              <w:bottom w:val="single" w:sz="4" w:space="0" w:color="000000"/>
            </w:tcBorders>
            <w:vAlign w:val="bottom"/>
          </w:tcPr>
          <w:p w14:paraId="7E09B03D"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bottom w:val="single" w:sz="4" w:space="0" w:color="000000"/>
            </w:tcBorders>
            <w:vAlign w:val="bottom"/>
          </w:tcPr>
          <w:p w14:paraId="54BB230C"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2A3C6C3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B0F2555"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3F181B0D"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AD28E3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AA70C0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5846067"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12730153" w14:textId="77777777" w:rsidR="008E5DE4" w:rsidRDefault="008E5DE4">
            <w:pPr>
              <w:widowControl w:val="0"/>
              <w:pBdr>
                <w:top w:val="nil"/>
                <w:left w:val="nil"/>
                <w:bottom w:val="nil"/>
                <w:right w:val="nil"/>
                <w:between w:val="nil"/>
              </w:pBdr>
              <w:jc w:val="right"/>
              <w:rPr>
                <w:color w:val="000000"/>
              </w:rPr>
            </w:pPr>
          </w:p>
        </w:tc>
      </w:tr>
      <w:tr w:rsidR="008E5DE4" w14:paraId="263001CA" w14:textId="77777777">
        <w:trPr>
          <w:cantSplit/>
          <w:trHeight w:val="169"/>
        </w:trPr>
        <w:tc>
          <w:tcPr>
            <w:tcW w:w="3061" w:type="dxa"/>
            <w:tcBorders>
              <w:top w:val="single" w:sz="4" w:space="0" w:color="000000"/>
            </w:tcBorders>
            <w:vAlign w:val="bottom"/>
          </w:tcPr>
          <w:p w14:paraId="515933F8" w14:textId="77777777" w:rsidR="008E5DE4" w:rsidRDefault="00780368">
            <w:pPr>
              <w:widowControl w:val="0"/>
              <w:pBdr>
                <w:top w:val="nil"/>
                <w:left w:val="nil"/>
                <w:bottom w:val="nil"/>
                <w:right w:val="nil"/>
                <w:between w:val="nil"/>
              </w:pBdr>
              <w:ind w:left="113" w:right="-57" w:hanging="113"/>
              <w:rPr>
                <w:color w:val="000000"/>
                <w:u w:val="single"/>
              </w:rPr>
            </w:pPr>
            <w:r>
              <w:rPr>
                <w:b/>
                <w:color w:val="000000"/>
              </w:rPr>
              <w:t> </w:t>
            </w:r>
          </w:p>
        </w:tc>
        <w:tc>
          <w:tcPr>
            <w:tcW w:w="851" w:type="dxa"/>
            <w:tcBorders>
              <w:top w:val="single" w:sz="4" w:space="0" w:color="000000"/>
            </w:tcBorders>
            <w:vAlign w:val="bottom"/>
          </w:tcPr>
          <w:p w14:paraId="662B9DD0"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25223E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43851FA"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4FAD9D5D"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527AE5C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FCEF4B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18DF082"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4D508CA2" w14:textId="77777777" w:rsidR="008E5DE4" w:rsidRDefault="008E5DE4">
            <w:pPr>
              <w:widowControl w:val="0"/>
              <w:pBdr>
                <w:top w:val="nil"/>
                <w:left w:val="nil"/>
                <w:bottom w:val="nil"/>
                <w:right w:val="nil"/>
                <w:between w:val="nil"/>
              </w:pBdr>
              <w:jc w:val="right"/>
              <w:rPr>
                <w:color w:val="000000"/>
              </w:rPr>
            </w:pPr>
          </w:p>
        </w:tc>
      </w:tr>
      <w:tr w:rsidR="008E5DE4" w14:paraId="0CEC76BA" w14:textId="77777777">
        <w:trPr>
          <w:cantSplit/>
          <w:trHeight w:val="169"/>
        </w:trPr>
        <w:tc>
          <w:tcPr>
            <w:tcW w:w="3061" w:type="dxa"/>
            <w:vAlign w:val="bottom"/>
          </w:tcPr>
          <w:p w14:paraId="1AC15B2E" w14:textId="5B546F5A"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1" w:type="dxa"/>
            <w:vAlign w:val="bottom"/>
          </w:tcPr>
          <w:p w14:paraId="06D3C16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4AFC0D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586074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1D2A681"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94A900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C8475B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0A411F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1531F82" w14:textId="77777777" w:rsidR="008E5DE4" w:rsidRDefault="008E5DE4">
            <w:pPr>
              <w:widowControl w:val="0"/>
              <w:pBdr>
                <w:top w:val="nil"/>
                <w:left w:val="nil"/>
                <w:bottom w:val="nil"/>
                <w:right w:val="nil"/>
                <w:between w:val="nil"/>
              </w:pBdr>
              <w:jc w:val="right"/>
              <w:rPr>
                <w:color w:val="000000"/>
              </w:rPr>
            </w:pPr>
          </w:p>
        </w:tc>
      </w:tr>
      <w:tr w:rsidR="008E5DE4" w14:paraId="117CEC73" w14:textId="77777777">
        <w:trPr>
          <w:cantSplit/>
          <w:trHeight w:val="169"/>
        </w:trPr>
        <w:tc>
          <w:tcPr>
            <w:tcW w:w="3061" w:type="dxa"/>
            <w:tcBorders>
              <w:bottom w:val="single" w:sz="12" w:space="0" w:color="000000"/>
            </w:tcBorders>
            <w:vAlign w:val="bottom"/>
          </w:tcPr>
          <w:p w14:paraId="66936F65"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bottom w:val="single" w:sz="12" w:space="0" w:color="000000"/>
            </w:tcBorders>
            <w:vAlign w:val="bottom"/>
          </w:tcPr>
          <w:p w14:paraId="41256DE0"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53F511B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7BB4EC5F"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66DCEB60"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443EAD3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33892EE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30D8B4F9"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04A38DA0" w14:textId="77777777" w:rsidR="008E5DE4" w:rsidRDefault="008E5DE4">
            <w:pPr>
              <w:widowControl w:val="0"/>
              <w:pBdr>
                <w:top w:val="nil"/>
                <w:left w:val="nil"/>
                <w:bottom w:val="nil"/>
                <w:right w:val="nil"/>
                <w:between w:val="nil"/>
              </w:pBdr>
              <w:jc w:val="right"/>
              <w:rPr>
                <w:color w:val="000000"/>
              </w:rPr>
            </w:pPr>
          </w:p>
        </w:tc>
      </w:tr>
    </w:tbl>
    <w:p w14:paraId="0087A989"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6F7F9142"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0BF47C6E"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3D5632BF"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2EE5985D"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3912EC7F" w14:textId="3A610B2C"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w:t>
      </w:r>
      <w:r>
        <w:rPr>
          <w:color w:val="0000FF"/>
          <w:sz w:val="20"/>
          <w:szCs w:val="20"/>
        </w:rPr>
        <w:t>[Country]</w:t>
      </w:r>
      <w:r>
        <w:rPr>
          <w:color w:val="000000"/>
          <w:sz w:val="20"/>
          <w:szCs w:val="20"/>
        </w:rPr>
        <w:t xml:space="preserve"> government bonds at FVOCI in </w:t>
      </w:r>
      <w:r w:rsidR="00FF468A">
        <w:rPr>
          <w:color w:val="000000"/>
          <w:sz w:val="20"/>
          <w:szCs w:val="20"/>
        </w:rPr>
        <w:t>2024</w:t>
      </w:r>
      <w:r>
        <w:rPr>
          <w:color w:val="000000"/>
          <w:sz w:val="20"/>
          <w:szCs w:val="20"/>
        </w:rPr>
        <w:t xml:space="preserve"> were as follows. </w:t>
      </w:r>
    </w:p>
    <w:tbl>
      <w:tblPr>
        <w:tblStyle w:val="afffffff0"/>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1552C445" w14:textId="77777777">
        <w:trPr>
          <w:cantSplit/>
          <w:trHeight w:val="169"/>
          <w:tblHeader/>
        </w:trPr>
        <w:tc>
          <w:tcPr>
            <w:tcW w:w="3061" w:type="dxa"/>
            <w:vAlign w:val="bottom"/>
          </w:tcPr>
          <w:p w14:paraId="26078D45"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0AC34E56"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01A0EA8D"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009F955E" w14:textId="77777777">
        <w:trPr>
          <w:cantSplit/>
          <w:trHeight w:val="507"/>
          <w:tblHeader/>
        </w:trPr>
        <w:tc>
          <w:tcPr>
            <w:tcW w:w="3061" w:type="dxa"/>
            <w:tcBorders>
              <w:bottom w:val="single" w:sz="4" w:space="0" w:color="000000"/>
            </w:tcBorders>
            <w:vAlign w:val="bottom"/>
          </w:tcPr>
          <w:p w14:paraId="23404284" w14:textId="77777777" w:rsidR="008E5DE4" w:rsidRDefault="008E5DE4">
            <w:pPr>
              <w:widowControl w:val="0"/>
              <w:pBdr>
                <w:top w:val="nil"/>
                <w:left w:val="nil"/>
                <w:bottom w:val="nil"/>
                <w:right w:val="nil"/>
                <w:between w:val="nil"/>
              </w:pBdr>
              <w:ind w:left="113" w:right="-57" w:hanging="113"/>
              <w:rPr>
                <w:i/>
                <w:color w:val="000000"/>
              </w:rPr>
            </w:pPr>
          </w:p>
          <w:p w14:paraId="734490D0"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28746F5E"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15E12552"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796168CB"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8FE21D1"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38642252"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748583FE"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4125B02B"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5DE43610"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16FAF8DA"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35299265"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16E2064F"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7818C177"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68C2D7FB"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15E4ABCD"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47136030" w14:textId="77777777">
        <w:trPr>
          <w:cantSplit/>
          <w:trHeight w:val="169"/>
          <w:tblHeader/>
        </w:trPr>
        <w:tc>
          <w:tcPr>
            <w:tcW w:w="3061" w:type="dxa"/>
            <w:vAlign w:val="bottom"/>
          </w:tcPr>
          <w:p w14:paraId="0531EBFA" w14:textId="77777777" w:rsidR="008E5DE4" w:rsidRDefault="008E5DE4">
            <w:pPr>
              <w:widowControl w:val="0"/>
              <w:ind w:left="113" w:right="-57" w:hanging="113"/>
            </w:pPr>
          </w:p>
        </w:tc>
        <w:tc>
          <w:tcPr>
            <w:tcW w:w="851" w:type="dxa"/>
            <w:vAlign w:val="bottom"/>
          </w:tcPr>
          <w:p w14:paraId="67368B78"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2916207"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E6A828F"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71F5D86" w14:textId="77777777" w:rsidR="008E5DE4" w:rsidRDefault="008E5DE4">
            <w:pPr>
              <w:widowControl w:val="0"/>
              <w:pBdr>
                <w:top w:val="nil"/>
                <w:left w:val="nil"/>
                <w:bottom w:val="nil"/>
                <w:right w:val="nil"/>
                <w:between w:val="nil"/>
              </w:pBdr>
              <w:jc w:val="right"/>
              <w:rPr>
                <w:color w:val="000000"/>
              </w:rPr>
            </w:pPr>
          </w:p>
        </w:tc>
        <w:tc>
          <w:tcPr>
            <w:tcW w:w="871" w:type="dxa"/>
          </w:tcPr>
          <w:p w14:paraId="7953B2A5" w14:textId="77777777" w:rsidR="008E5DE4" w:rsidRDefault="008E5DE4">
            <w:pPr>
              <w:widowControl w:val="0"/>
              <w:pBdr>
                <w:top w:val="nil"/>
                <w:left w:val="nil"/>
                <w:bottom w:val="nil"/>
                <w:right w:val="nil"/>
                <w:between w:val="nil"/>
              </w:pBdr>
              <w:jc w:val="right"/>
              <w:rPr>
                <w:color w:val="000000"/>
              </w:rPr>
            </w:pPr>
          </w:p>
        </w:tc>
        <w:tc>
          <w:tcPr>
            <w:tcW w:w="856" w:type="dxa"/>
          </w:tcPr>
          <w:p w14:paraId="1AF96366" w14:textId="77777777" w:rsidR="008E5DE4" w:rsidRDefault="008E5DE4">
            <w:pPr>
              <w:widowControl w:val="0"/>
              <w:pBdr>
                <w:top w:val="nil"/>
                <w:left w:val="nil"/>
                <w:bottom w:val="nil"/>
                <w:right w:val="nil"/>
                <w:between w:val="nil"/>
              </w:pBdr>
              <w:jc w:val="right"/>
              <w:rPr>
                <w:color w:val="000000"/>
              </w:rPr>
            </w:pPr>
          </w:p>
        </w:tc>
        <w:tc>
          <w:tcPr>
            <w:tcW w:w="856" w:type="dxa"/>
          </w:tcPr>
          <w:p w14:paraId="6C66F27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4713BE4" w14:textId="77777777" w:rsidR="008E5DE4" w:rsidRDefault="008E5DE4">
            <w:pPr>
              <w:widowControl w:val="0"/>
              <w:pBdr>
                <w:top w:val="nil"/>
                <w:left w:val="nil"/>
                <w:bottom w:val="nil"/>
                <w:right w:val="nil"/>
                <w:between w:val="nil"/>
              </w:pBdr>
              <w:jc w:val="right"/>
              <w:rPr>
                <w:color w:val="000000"/>
              </w:rPr>
            </w:pPr>
          </w:p>
        </w:tc>
      </w:tr>
      <w:tr w:rsidR="008E5DE4" w14:paraId="63C98AB0" w14:textId="77777777">
        <w:trPr>
          <w:cantSplit/>
          <w:trHeight w:val="169"/>
        </w:trPr>
        <w:tc>
          <w:tcPr>
            <w:tcW w:w="3061" w:type="dxa"/>
            <w:vAlign w:val="bottom"/>
          </w:tcPr>
          <w:p w14:paraId="4D5DDA6B" w14:textId="77777777" w:rsidR="008E5DE4" w:rsidRDefault="00780368">
            <w:pPr>
              <w:widowControl w:val="0"/>
              <w:pBdr>
                <w:top w:val="nil"/>
                <w:left w:val="nil"/>
                <w:bottom w:val="nil"/>
                <w:right w:val="nil"/>
                <w:between w:val="nil"/>
              </w:pBdr>
              <w:ind w:left="113" w:right="-57" w:hanging="113"/>
              <w:rPr>
                <w:b/>
                <w:i/>
                <w:color w:val="000000"/>
              </w:rPr>
            </w:pPr>
            <w:r>
              <w:rPr>
                <w:b/>
                <w:i/>
                <w:color w:val="0000FF"/>
              </w:rPr>
              <w:t>[Country]</w:t>
            </w:r>
            <w:r>
              <w:rPr>
                <w:b/>
                <w:i/>
                <w:color w:val="000000"/>
              </w:rPr>
              <w:t xml:space="preserve"> government bonds</w:t>
            </w:r>
          </w:p>
        </w:tc>
        <w:tc>
          <w:tcPr>
            <w:tcW w:w="851" w:type="dxa"/>
            <w:vAlign w:val="bottom"/>
          </w:tcPr>
          <w:p w14:paraId="2491119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C5BA13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244CE5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4ADAAB6" w14:textId="77777777" w:rsidR="008E5DE4" w:rsidRDefault="008E5DE4">
            <w:pPr>
              <w:widowControl w:val="0"/>
              <w:pBdr>
                <w:top w:val="nil"/>
                <w:left w:val="nil"/>
                <w:bottom w:val="nil"/>
                <w:right w:val="nil"/>
                <w:between w:val="nil"/>
              </w:pBdr>
              <w:jc w:val="right"/>
              <w:rPr>
                <w:color w:val="000000"/>
              </w:rPr>
            </w:pPr>
          </w:p>
        </w:tc>
        <w:tc>
          <w:tcPr>
            <w:tcW w:w="871" w:type="dxa"/>
          </w:tcPr>
          <w:p w14:paraId="457AFBA8" w14:textId="77777777" w:rsidR="008E5DE4" w:rsidRDefault="008E5DE4">
            <w:pPr>
              <w:widowControl w:val="0"/>
              <w:pBdr>
                <w:top w:val="nil"/>
                <w:left w:val="nil"/>
                <w:bottom w:val="nil"/>
                <w:right w:val="nil"/>
                <w:between w:val="nil"/>
              </w:pBdr>
              <w:jc w:val="right"/>
              <w:rPr>
                <w:color w:val="000000"/>
              </w:rPr>
            </w:pPr>
          </w:p>
        </w:tc>
        <w:tc>
          <w:tcPr>
            <w:tcW w:w="856" w:type="dxa"/>
          </w:tcPr>
          <w:p w14:paraId="1A153978" w14:textId="77777777" w:rsidR="008E5DE4" w:rsidRDefault="008E5DE4">
            <w:pPr>
              <w:widowControl w:val="0"/>
              <w:pBdr>
                <w:top w:val="nil"/>
                <w:left w:val="nil"/>
                <w:bottom w:val="nil"/>
                <w:right w:val="nil"/>
                <w:between w:val="nil"/>
              </w:pBdr>
              <w:jc w:val="right"/>
              <w:rPr>
                <w:color w:val="000000"/>
              </w:rPr>
            </w:pPr>
          </w:p>
        </w:tc>
        <w:tc>
          <w:tcPr>
            <w:tcW w:w="856" w:type="dxa"/>
          </w:tcPr>
          <w:p w14:paraId="3B4A777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2D656B7" w14:textId="77777777" w:rsidR="008E5DE4" w:rsidRDefault="008E5DE4">
            <w:pPr>
              <w:widowControl w:val="0"/>
              <w:pBdr>
                <w:top w:val="nil"/>
                <w:left w:val="nil"/>
                <w:bottom w:val="nil"/>
                <w:right w:val="nil"/>
                <w:between w:val="nil"/>
              </w:pBdr>
              <w:jc w:val="right"/>
              <w:rPr>
                <w:color w:val="000000"/>
              </w:rPr>
            </w:pPr>
          </w:p>
        </w:tc>
      </w:tr>
      <w:tr w:rsidR="008E5DE4" w14:paraId="45A0F3FE" w14:textId="77777777">
        <w:trPr>
          <w:cantSplit/>
          <w:trHeight w:val="169"/>
        </w:trPr>
        <w:tc>
          <w:tcPr>
            <w:tcW w:w="3061" w:type="dxa"/>
            <w:vAlign w:val="bottom"/>
          </w:tcPr>
          <w:p w14:paraId="45DA6478"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664D23F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869827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2BDD60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7C7E3F8" w14:textId="77777777" w:rsidR="008E5DE4" w:rsidRDefault="008E5DE4">
            <w:pPr>
              <w:widowControl w:val="0"/>
              <w:pBdr>
                <w:top w:val="nil"/>
                <w:left w:val="nil"/>
                <w:bottom w:val="nil"/>
                <w:right w:val="nil"/>
                <w:between w:val="nil"/>
              </w:pBdr>
              <w:jc w:val="right"/>
              <w:rPr>
                <w:color w:val="000000"/>
              </w:rPr>
            </w:pPr>
          </w:p>
        </w:tc>
        <w:tc>
          <w:tcPr>
            <w:tcW w:w="871" w:type="dxa"/>
          </w:tcPr>
          <w:p w14:paraId="1A816163" w14:textId="77777777" w:rsidR="008E5DE4" w:rsidRDefault="008E5DE4">
            <w:pPr>
              <w:widowControl w:val="0"/>
              <w:pBdr>
                <w:top w:val="nil"/>
                <w:left w:val="nil"/>
                <w:bottom w:val="nil"/>
                <w:right w:val="nil"/>
                <w:between w:val="nil"/>
              </w:pBdr>
              <w:jc w:val="right"/>
              <w:rPr>
                <w:color w:val="000000"/>
              </w:rPr>
            </w:pPr>
          </w:p>
        </w:tc>
        <w:tc>
          <w:tcPr>
            <w:tcW w:w="856" w:type="dxa"/>
          </w:tcPr>
          <w:p w14:paraId="7081C098" w14:textId="77777777" w:rsidR="008E5DE4" w:rsidRDefault="008E5DE4">
            <w:pPr>
              <w:widowControl w:val="0"/>
              <w:pBdr>
                <w:top w:val="nil"/>
                <w:left w:val="nil"/>
                <w:bottom w:val="nil"/>
                <w:right w:val="nil"/>
                <w:between w:val="nil"/>
              </w:pBdr>
              <w:jc w:val="right"/>
              <w:rPr>
                <w:color w:val="000000"/>
              </w:rPr>
            </w:pPr>
          </w:p>
        </w:tc>
        <w:tc>
          <w:tcPr>
            <w:tcW w:w="856" w:type="dxa"/>
          </w:tcPr>
          <w:p w14:paraId="3CC678D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5158520" w14:textId="77777777" w:rsidR="008E5DE4" w:rsidRDefault="008E5DE4">
            <w:pPr>
              <w:widowControl w:val="0"/>
              <w:pBdr>
                <w:top w:val="nil"/>
                <w:left w:val="nil"/>
                <w:bottom w:val="nil"/>
                <w:right w:val="nil"/>
                <w:between w:val="nil"/>
              </w:pBdr>
              <w:jc w:val="right"/>
              <w:rPr>
                <w:color w:val="000000"/>
              </w:rPr>
            </w:pPr>
          </w:p>
        </w:tc>
      </w:tr>
      <w:tr w:rsidR="008E5DE4" w14:paraId="0FA4DD85" w14:textId="77777777">
        <w:trPr>
          <w:cantSplit/>
          <w:trHeight w:val="169"/>
        </w:trPr>
        <w:tc>
          <w:tcPr>
            <w:tcW w:w="3061" w:type="dxa"/>
            <w:vAlign w:val="bottom"/>
          </w:tcPr>
          <w:p w14:paraId="4ABD292B" w14:textId="0439417E"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w:t>
            </w:r>
            <w:r w:rsidR="00FF468A">
              <w:rPr>
                <w:b/>
                <w:color w:val="000000"/>
              </w:rPr>
              <w:t>2024</w:t>
            </w:r>
          </w:p>
        </w:tc>
        <w:tc>
          <w:tcPr>
            <w:tcW w:w="851" w:type="dxa"/>
            <w:vAlign w:val="bottom"/>
          </w:tcPr>
          <w:p w14:paraId="55E144E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E1DAD3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38BA3A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F12E542" w14:textId="77777777" w:rsidR="008E5DE4" w:rsidRDefault="008E5DE4">
            <w:pPr>
              <w:widowControl w:val="0"/>
              <w:pBdr>
                <w:top w:val="nil"/>
                <w:left w:val="nil"/>
                <w:bottom w:val="nil"/>
                <w:right w:val="nil"/>
                <w:between w:val="nil"/>
              </w:pBdr>
              <w:jc w:val="right"/>
              <w:rPr>
                <w:color w:val="000000"/>
              </w:rPr>
            </w:pPr>
          </w:p>
        </w:tc>
        <w:tc>
          <w:tcPr>
            <w:tcW w:w="871" w:type="dxa"/>
          </w:tcPr>
          <w:p w14:paraId="42F204C5" w14:textId="77777777" w:rsidR="008E5DE4" w:rsidRDefault="008E5DE4">
            <w:pPr>
              <w:widowControl w:val="0"/>
              <w:pBdr>
                <w:top w:val="nil"/>
                <w:left w:val="nil"/>
                <w:bottom w:val="nil"/>
                <w:right w:val="nil"/>
                <w:between w:val="nil"/>
              </w:pBdr>
              <w:jc w:val="right"/>
              <w:rPr>
                <w:color w:val="000000"/>
              </w:rPr>
            </w:pPr>
          </w:p>
        </w:tc>
        <w:tc>
          <w:tcPr>
            <w:tcW w:w="856" w:type="dxa"/>
          </w:tcPr>
          <w:p w14:paraId="59ADD3B4" w14:textId="77777777" w:rsidR="008E5DE4" w:rsidRDefault="008E5DE4">
            <w:pPr>
              <w:widowControl w:val="0"/>
              <w:pBdr>
                <w:top w:val="nil"/>
                <w:left w:val="nil"/>
                <w:bottom w:val="nil"/>
                <w:right w:val="nil"/>
                <w:between w:val="nil"/>
              </w:pBdr>
              <w:jc w:val="right"/>
              <w:rPr>
                <w:color w:val="000000"/>
              </w:rPr>
            </w:pPr>
          </w:p>
        </w:tc>
        <w:tc>
          <w:tcPr>
            <w:tcW w:w="856" w:type="dxa"/>
          </w:tcPr>
          <w:p w14:paraId="7C9F8DE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014F919" w14:textId="77777777" w:rsidR="008E5DE4" w:rsidRDefault="008E5DE4">
            <w:pPr>
              <w:widowControl w:val="0"/>
              <w:pBdr>
                <w:top w:val="nil"/>
                <w:left w:val="nil"/>
                <w:bottom w:val="nil"/>
                <w:right w:val="nil"/>
                <w:between w:val="nil"/>
              </w:pBdr>
              <w:jc w:val="right"/>
              <w:rPr>
                <w:color w:val="000000"/>
              </w:rPr>
            </w:pPr>
          </w:p>
        </w:tc>
      </w:tr>
      <w:tr w:rsidR="008E5DE4" w14:paraId="107AE795" w14:textId="77777777">
        <w:trPr>
          <w:cantSplit/>
          <w:trHeight w:val="676"/>
        </w:trPr>
        <w:tc>
          <w:tcPr>
            <w:tcW w:w="3061" w:type="dxa"/>
            <w:vAlign w:val="bottom"/>
          </w:tcPr>
          <w:p w14:paraId="42D2FBF3" w14:textId="77777777" w:rsidR="008E5DE4" w:rsidRDefault="008E5DE4">
            <w:pPr>
              <w:widowControl w:val="0"/>
              <w:pBdr>
                <w:top w:val="nil"/>
                <w:left w:val="nil"/>
                <w:bottom w:val="nil"/>
                <w:right w:val="nil"/>
                <w:between w:val="nil"/>
              </w:pBdr>
              <w:ind w:left="113" w:right="-57" w:hanging="113"/>
              <w:rPr>
                <w:b/>
                <w:color w:val="000000"/>
              </w:rPr>
            </w:pPr>
          </w:p>
          <w:p w14:paraId="331881CE"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4E387E3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84F27F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FBE52E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3804084" w14:textId="77777777" w:rsidR="008E5DE4" w:rsidRDefault="008E5DE4">
            <w:pPr>
              <w:widowControl w:val="0"/>
              <w:pBdr>
                <w:top w:val="nil"/>
                <w:left w:val="nil"/>
                <w:bottom w:val="nil"/>
                <w:right w:val="nil"/>
                <w:between w:val="nil"/>
              </w:pBdr>
              <w:jc w:val="right"/>
              <w:rPr>
                <w:color w:val="000000"/>
              </w:rPr>
            </w:pPr>
          </w:p>
        </w:tc>
        <w:tc>
          <w:tcPr>
            <w:tcW w:w="871" w:type="dxa"/>
          </w:tcPr>
          <w:p w14:paraId="6A37C970"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7937C472" w14:textId="77777777" w:rsidR="008E5DE4" w:rsidRDefault="008E5DE4">
            <w:pPr>
              <w:widowControl w:val="0"/>
              <w:pBdr>
                <w:top w:val="nil"/>
                <w:left w:val="nil"/>
                <w:bottom w:val="nil"/>
                <w:right w:val="nil"/>
                <w:between w:val="nil"/>
              </w:pBdr>
              <w:jc w:val="right"/>
              <w:rPr>
                <w:color w:val="000000"/>
              </w:rPr>
            </w:pPr>
          </w:p>
        </w:tc>
        <w:tc>
          <w:tcPr>
            <w:tcW w:w="856" w:type="dxa"/>
          </w:tcPr>
          <w:p w14:paraId="6B7845C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01A6AAC" w14:textId="77777777" w:rsidR="008E5DE4" w:rsidRDefault="008E5DE4">
            <w:pPr>
              <w:widowControl w:val="0"/>
              <w:pBdr>
                <w:top w:val="nil"/>
                <w:left w:val="nil"/>
                <w:bottom w:val="nil"/>
                <w:right w:val="nil"/>
                <w:between w:val="nil"/>
              </w:pBdr>
              <w:jc w:val="right"/>
              <w:rPr>
                <w:color w:val="000000"/>
              </w:rPr>
            </w:pPr>
          </w:p>
        </w:tc>
      </w:tr>
      <w:tr w:rsidR="008E5DE4" w14:paraId="1C199E08" w14:textId="77777777">
        <w:trPr>
          <w:cantSplit/>
          <w:trHeight w:val="184"/>
        </w:trPr>
        <w:tc>
          <w:tcPr>
            <w:tcW w:w="3061" w:type="dxa"/>
            <w:vAlign w:val="bottom"/>
          </w:tcPr>
          <w:p w14:paraId="56130137"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32228B2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2404F7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835B0AC"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EC7768D"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51BBE5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460DAA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2B11F79"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0112087" w14:textId="77777777" w:rsidR="008E5DE4" w:rsidRDefault="008E5DE4">
            <w:pPr>
              <w:widowControl w:val="0"/>
              <w:pBdr>
                <w:top w:val="nil"/>
                <w:left w:val="nil"/>
                <w:bottom w:val="nil"/>
                <w:right w:val="nil"/>
                <w:between w:val="nil"/>
              </w:pBdr>
              <w:jc w:val="right"/>
              <w:rPr>
                <w:color w:val="000000"/>
                <w:highlight w:val="green"/>
              </w:rPr>
            </w:pPr>
          </w:p>
        </w:tc>
      </w:tr>
      <w:tr w:rsidR="008E5DE4" w14:paraId="09E3F6AA" w14:textId="77777777">
        <w:trPr>
          <w:cantSplit/>
          <w:trHeight w:val="184"/>
        </w:trPr>
        <w:tc>
          <w:tcPr>
            <w:tcW w:w="3061" w:type="dxa"/>
            <w:vAlign w:val="bottom"/>
          </w:tcPr>
          <w:p w14:paraId="1DD05B38"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5D4843A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858C62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0B751A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3C4ABC4"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AFE633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C30BC6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4B86E39"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2693A07" w14:textId="77777777" w:rsidR="008E5DE4" w:rsidRDefault="008E5DE4">
            <w:pPr>
              <w:widowControl w:val="0"/>
              <w:pBdr>
                <w:top w:val="nil"/>
                <w:left w:val="nil"/>
                <w:bottom w:val="nil"/>
                <w:right w:val="nil"/>
                <w:between w:val="nil"/>
              </w:pBdr>
              <w:jc w:val="right"/>
              <w:rPr>
                <w:color w:val="000000"/>
                <w:highlight w:val="green"/>
              </w:rPr>
            </w:pPr>
          </w:p>
        </w:tc>
      </w:tr>
      <w:tr w:rsidR="008E5DE4" w14:paraId="40C29BC8" w14:textId="77777777">
        <w:trPr>
          <w:cantSplit/>
          <w:trHeight w:val="80"/>
        </w:trPr>
        <w:tc>
          <w:tcPr>
            <w:tcW w:w="3061" w:type="dxa"/>
            <w:vAlign w:val="bottom"/>
          </w:tcPr>
          <w:p w14:paraId="097A7C40"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3AFD6856"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69870D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12E2B3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33CDCE3"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0F2A64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7E14237"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7B604C9"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CE24D76" w14:textId="77777777" w:rsidR="008E5DE4" w:rsidRDefault="008E5DE4">
            <w:pPr>
              <w:widowControl w:val="0"/>
              <w:pBdr>
                <w:top w:val="nil"/>
                <w:left w:val="nil"/>
                <w:bottom w:val="nil"/>
                <w:right w:val="nil"/>
                <w:between w:val="nil"/>
              </w:pBdr>
              <w:jc w:val="right"/>
              <w:rPr>
                <w:color w:val="000000"/>
                <w:highlight w:val="green"/>
              </w:rPr>
            </w:pPr>
          </w:p>
        </w:tc>
      </w:tr>
      <w:tr w:rsidR="008E5DE4" w14:paraId="5CBED7D7" w14:textId="77777777">
        <w:trPr>
          <w:cantSplit/>
          <w:trHeight w:val="80"/>
        </w:trPr>
        <w:tc>
          <w:tcPr>
            <w:tcW w:w="3061" w:type="dxa"/>
            <w:vAlign w:val="bottom"/>
          </w:tcPr>
          <w:p w14:paraId="04DF2180"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7F14D6C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D819C9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0611B2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85BA041"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E1FA57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F1BCDDB"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8B4F532"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12F4034" w14:textId="77777777" w:rsidR="008E5DE4" w:rsidRDefault="008E5DE4">
            <w:pPr>
              <w:widowControl w:val="0"/>
              <w:pBdr>
                <w:top w:val="nil"/>
                <w:left w:val="nil"/>
                <w:bottom w:val="nil"/>
                <w:right w:val="nil"/>
                <w:between w:val="nil"/>
              </w:pBdr>
              <w:jc w:val="right"/>
              <w:rPr>
                <w:color w:val="000000"/>
                <w:highlight w:val="green"/>
              </w:rPr>
            </w:pPr>
          </w:p>
        </w:tc>
      </w:tr>
      <w:tr w:rsidR="008E5DE4" w14:paraId="3F94CF7B" w14:textId="77777777">
        <w:trPr>
          <w:cantSplit/>
          <w:trHeight w:val="361"/>
        </w:trPr>
        <w:tc>
          <w:tcPr>
            <w:tcW w:w="3061" w:type="dxa"/>
            <w:vAlign w:val="bottom"/>
          </w:tcPr>
          <w:p w14:paraId="206B41DA"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4DCA0D8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B74E86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F0394E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7741638"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B8533F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02676F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EAF00CE"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ABEAA37" w14:textId="77777777" w:rsidR="008E5DE4" w:rsidRDefault="008E5DE4">
            <w:pPr>
              <w:widowControl w:val="0"/>
              <w:pBdr>
                <w:top w:val="nil"/>
                <w:left w:val="nil"/>
                <w:bottom w:val="nil"/>
                <w:right w:val="nil"/>
                <w:between w:val="nil"/>
              </w:pBdr>
              <w:jc w:val="right"/>
              <w:rPr>
                <w:color w:val="000000"/>
                <w:highlight w:val="green"/>
              </w:rPr>
            </w:pPr>
          </w:p>
        </w:tc>
      </w:tr>
      <w:tr w:rsidR="008E5DE4" w14:paraId="4321C0EA" w14:textId="77777777">
        <w:trPr>
          <w:cantSplit/>
          <w:trHeight w:val="169"/>
        </w:trPr>
        <w:tc>
          <w:tcPr>
            <w:tcW w:w="3061" w:type="dxa"/>
            <w:vAlign w:val="bottom"/>
          </w:tcPr>
          <w:p w14:paraId="4AE870CF"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523C87D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73450B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D09883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1BBC367" w14:textId="77777777" w:rsidR="008E5DE4" w:rsidRDefault="008E5DE4">
            <w:pPr>
              <w:widowControl w:val="0"/>
              <w:pBdr>
                <w:top w:val="nil"/>
                <w:left w:val="nil"/>
                <w:bottom w:val="nil"/>
                <w:right w:val="nil"/>
                <w:between w:val="nil"/>
              </w:pBdr>
              <w:jc w:val="right"/>
              <w:rPr>
                <w:color w:val="000000"/>
              </w:rPr>
            </w:pPr>
          </w:p>
        </w:tc>
        <w:tc>
          <w:tcPr>
            <w:tcW w:w="871" w:type="dxa"/>
          </w:tcPr>
          <w:p w14:paraId="7B44384E" w14:textId="77777777" w:rsidR="008E5DE4" w:rsidRDefault="008E5DE4">
            <w:pPr>
              <w:widowControl w:val="0"/>
              <w:pBdr>
                <w:top w:val="nil"/>
                <w:left w:val="nil"/>
                <w:bottom w:val="nil"/>
                <w:right w:val="nil"/>
                <w:between w:val="nil"/>
              </w:pBdr>
              <w:jc w:val="right"/>
              <w:rPr>
                <w:color w:val="000000"/>
              </w:rPr>
            </w:pPr>
          </w:p>
        </w:tc>
        <w:tc>
          <w:tcPr>
            <w:tcW w:w="856" w:type="dxa"/>
          </w:tcPr>
          <w:p w14:paraId="03310C24" w14:textId="77777777" w:rsidR="008E5DE4" w:rsidRDefault="008E5DE4">
            <w:pPr>
              <w:widowControl w:val="0"/>
              <w:pBdr>
                <w:top w:val="nil"/>
                <w:left w:val="nil"/>
                <w:bottom w:val="nil"/>
                <w:right w:val="nil"/>
                <w:between w:val="nil"/>
              </w:pBdr>
              <w:jc w:val="right"/>
              <w:rPr>
                <w:color w:val="000000"/>
              </w:rPr>
            </w:pPr>
          </w:p>
        </w:tc>
        <w:tc>
          <w:tcPr>
            <w:tcW w:w="856" w:type="dxa"/>
          </w:tcPr>
          <w:p w14:paraId="0BAB61A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8CEDDDA" w14:textId="77777777" w:rsidR="008E5DE4" w:rsidRDefault="008E5DE4">
            <w:pPr>
              <w:widowControl w:val="0"/>
              <w:pBdr>
                <w:top w:val="nil"/>
                <w:left w:val="nil"/>
                <w:bottom w:val="nil"/>
                <w:right w:val="nil"/>
                <w:between w:val="nil"/>
              </w:pBdr>
              <w:jc w:val="right"/>
              <w:rPr>
                <w:color w:val="000000"/>
              </w:rPr>
            </w:pPr>
          </w:p>
        </w:tc>
      </w:tr>
      <w:tr w:rsidR="008E5DE4" w14:paraId="7788FF96" w14:textId="77777777">
        <w:trPr>
          <w:cantSplit/>
          <w:trHeight w:val="232"/>
        </w:trPr>
        <w:tc>
          <w:tcPr>
            <w:tcW w:w="3061" w:type="dxa"/>
            <w:vAlign w:val="bottom"/>
          </w:tcPr>
          <w:p w14:paraId="00F29B91"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7646B2E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149849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C6F3C1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2610589" w14:textId="77777777" w:rsidR="008E5DE4" w:rsidRDefault="008E5DE4">
            <w:pPr>
              <w:widowControl w:val="0"/>
              <w:pBdr>
                <w:top w:val="nil"/>
                <w:left w:val="nil"/>
                <w:bottom w:val="nil"/>
                <w:right w:val="nil"/>
                <w:between w:val="nil"/>
              </w:pBdr>
              <w:jc w:val="right"/>
              <w:rPr>
                <w:color w:val="000000"/>
              </w:rPr>
            </w:pPr>
          </w:p>
        </w:tc>
        <w:tc>
          <w:tcPr>
            <w:tcW w:w="871" w:type="dxa"/>
          </w:tcPr>
          <w:p w14:paraId="3F1E480A" w14:textId="77777777" w:rsidR="008E5DE4" w:rsidRDefault="008E5DE4">
            <w:pPr>
              <w:widowControl w:val="0"/>
              <w:pBdr>
                <w:top w:val="nil"/>
                <w:left w:val="nil"/>
                <w:bottom w:val="nil"/>
                <w:right w:val="nil"/>
                <w:between w:val="nil"/>
              </w:pBdr>
              <w:jc w:val="right"/>
              <w:rPr>
                <w:color w:val="000000"/>
              </w:rPr>
            </w:pPr>
          </w:p>
        </w:tc>
        <w:tc>
          <w:tcPr>
            <w:tcW w:w="856" w:type="dxa"/>
          </w:tcPr>
          <w:p w14:paraId="07BE775C" w14:textId="77777777" w:rsidR="008E5DE4" w:rsidRDefault="008E5DE4">
            <w:pPr>
              <w:widowControl w:val="0"/>
              <w:pBdr>
                <w:top w:val="nil"/>
                <w:left w:val="nil"/>
                <w:bottom w:val="nil"/>
                <w:right w:val="nil"/>
                <w:between w:val="nil"/>
              </w:pBdr>
              <w:jc w:val="right"/>
              <w:rPr>
                <w:color w:val="000000"/>
              </w:rPr>
            </w:pPr>
          </w:p>
        </w:tc>
        <w:tc>
          <w:tcPr>
            <w:tcW w:w="856" w:type="dxa"/>
          </w:tcPr>
          <w:p w14:paraId="30F5C21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F23B2A3" w14:textId="77777777" w:rsidR="008E5DE4" w:rsidRDefault="008E5DE4">
            <w:pPr>
              <w:widowControl w:val="0"/>
              <w:pBdr>
                <w:top w:val="nil"/>
                <w:left w:val="nil"/>
                <w:bottom w:val="nil"/>
                <w:right w:val="nil"/>
                <w:between w:val="nil"/>
              </w:pBdr>
              <w:jc w:val="right"/>
              <w:rPr>
                <w:color w:val="000000"/>
              </w:rPr>
            </w:pPr>
          </w:p>
        </w:tc>
      </w:tr>
      <w:tr w:rsidR="008E5DE4" w14:paraId="7667A9FC" w14:textId="77777777">
        <w:trPr>
          <w:cantSplit/>
          <w:trHeight w:val="80"/>
        </w:trPr>
        <w:tc>
          <w:tcPr>
            <w:tcW w:w="3061" w:type="dxa"/>
            <w:vAlign w:val="bottom"/>
          </w:tcPr>
          <w:p w14:paraId="5DC21EAB"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7B1F65A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E8BA83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EC0F2D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B31DAA1"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29D443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64F5AF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D6051F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334A9EC" w14:textId="77777777" w:rsidR="008E5DE4" w:rsidRDefault="008E5DE4">
            <w:pPr>
              <w:widowControl w:val="0"/>
              <w:pBdr>
                <w:top w:val="nil"/>
                <w:left w:val="nil"/>
                <w:bottom w:val="nil"/>
                <w:right w:val="nil"/>
                <w:between w:val="nil"/>
              </w:pBdr>
              <w:jc w:val="right"/>
              <w:rPr>
                <w:color w:val="000000"/>
              </w:rPr>
            </w:pPr>
          </w:p>
        </w:tc>
      </w:tr>
      <w:tr w:rsidR="008E5DE4" w14:paraId="6E309D71" w14:textId="77777777">
        <w:trPr>
          <w:cantSplit/>
          <w:trHeight w:val="85"/>
        </w:trPr>
        <w:tc>
          <w:tcPr>
            <w:tcW w:w="3061" w:type="dxa"/>
            <w:vAlign w:val="bottom"/>
          </w:tcPr>
          <w:p w14:paraId="01F10DE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17B00DC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80E16A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F875FA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76D6DD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C1BF20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721BCD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456F92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79FF2C1" w14:textId="77777777" w:rsidR="008E5DE4" w:rsidRDefault="008E5DE4">
            <w:pPr>
              <w:widowControl w:val="0"/>
              <w:pBdr>
                <w:top w:val="nil"/>
                <w:left w:val="nil"/>
                <w:bottom w:val="nil"/>
                <w:right w:val="nil"/>
                <w:between w:val="nil"/>
              </w:pBdr>
              <w:jc w:val="right"/>
              <w:rPr>
                <w:color w:val="000000"/>
              </w:rPr>
            </w:pPr>
          </w:p>
        </w:tc>
      </w:tr>
      <w:tr w:rsidR="008E5DE4" w14:paraId="667B9781" w14:textId="77777777">
        <w:trPr>
          <w:cantSplit/>
          <w:trHeight w:val="169"/>
        </w:trPr>
        <w:tc>
          <w:tcPr>
            <w:tcW w:w="3061" w:type="dxa"/>
            <w:vAlign w:val="bottom"/>
          </w:tcPr>
          <w:p w14:paraId="5A14F541"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7111AC8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E14C92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E75BEC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6258BF3"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976BC1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B19F3B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DA803B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1A30821" w14:textId="77777777" w:rsidR="008E5DE4" w:rsidRDefault="008E5DE4">
            <w:pPr>
              <w:widowControl w:val="0"/>
              <w:pBdr>
                <w:top w:val="nil"/>
                <w:left w:val="nil"/>
                <w:bottom w:val="nil"/>
                <w:right w:val="nil"/>
                <w:between w:val="nil"/>
              </w:pBdr>
              <w:jc w:val="right"/>
              <w:rPr>
                <w:color w:val="000000"/>
              </w:rPr>
            </w:pPr>
          </w:p>
        </w:tc>
      </w:tr>
      <w:tr w:rsidR="008E5DE4" w14:paraId="57470B0E" w14:textId="77777777">
        <w:trPr>
          <w:cantSplit/>
          <w:trHeight w:val="169"/>
        </w:trPr>
        <w:tc>
          <w:tcPr>
            <w:tcW w:w="3061" w:type="dxa"/>
            <w:vAlign w:val="bottom"/>
          </w:tcPr>
          <w:p w14:paraId="2E700E93"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1BEBF31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5DABE4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3C3B29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5A644A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6A4D51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C8FE16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6C7AEB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585C0EC" w14:textId="77777777" w:rsidR="008E5DE4" w:rsidRDefault="008E5DE4">
            <w:pPr>
              <w:widowControl w:val="0"/>
              <w:pBdr>
                <w:top w:val="nil"/>
                <w:left w:val="nil"/>
                <w:bottom w:val="nil"/>
                <w:right w:val="nil"/>
                <w:between w:val="nil"/>
              </w:pBdr>
              <w:jc w:val="right"/>
              <w:rPr>
                <w:color w:val="000000"/>
              </w:rPr>
            </w:pPr>
          </w:p>
        </w:tc>
      </w:tr>
      <w:tr w:rsidR="008E5DE4" w14:paraId="6A30A498" w14:textId="77777777">
        <w:trPr>
          <w:cantSplit/>
          <w:trHeight w:val="169"/>
        </w:trPr>
        <w:tc>
          <w:tcPr>
            <w:tcW w:w="3061" w:type="dxa"/>
            <w:tcBorders>
              <w:bottom w:val="single" w:sz="4" w:space="0" w:color="000000"/>
            </w:tcBorders>
            <w:vAlign w:val="bottom"/>
          </w:tcPr>
          <w:p w14:paraId="5B7FF273"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568501DD"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47A55E3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E1B4EA6"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68A50FC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F5ACDC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994797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004E34F"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66912B22" w14:textId="77777777" w:rsidR="008E5DE4" w:rsidRDefault="008E5DE4">
            <w:pPr>
              <w:widowControl w:val="0"/>
              <w:pBdr>
                <w:top w:val="nil"/>
                <w:left w:val="nil"/>
                <w:bottom w:val="nil"/>
                <w:right w:val="nil"/>
                <w:between w:val="nil"/>
              </w:pBdr>
              <w:jc w:val="right"/>
              <w:rPr>
                <w:color w:val="000000"/>
              </w:rPr>
            </w:pPr>
          </w:p>
        </w:tc>
      </w:tr>
      <w:tr w:rsidR="008E5DE4" w14:paraId="6483078C" w14:textId="77777777">
        <w:trPr>
          <w:cantSplit/>
          <w:trHeight w:val="153"/>
        </w:trPr>
        <w:tc>
          <w:tcPr>
            <w:tcW w:w="3061" w:type="dxa"/>
            <w:tcBorders>
              <w:top w:val="single" w:sz="4" w:space="0" w:color="000000"/>
            </w:tcBorders>
            <w:vAlign w:val="bottom"/>
          </w:tcPr>
          <w:p w14:paraId="672754FA"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6AF3DB07"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28267E1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7BF7358"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6B8EC02"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6F42D7E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26278B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6BDC13F"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78AB73B6" w14:textId="77777777" w:rsidR="008E5DE4" w:rsidRDefault="008E5DE4">
            <w:pPr>
              <w:widowControl w:val="0"/>
              <w:pBdr>
                <w:top w:val="nil"/>
                <w:left w:val="nil"/>
                <w:bottom w:val="nil"/>
                <w:right w:val="nil"/>
                <w:between w:val="nil"/>
              </w:pBdr>
              <w:jc w:val="right"/>
              <w:rPr>
                <w:color w:val="000000"/>
              </w:rPr>
            </w:pPr>
          </w:p>
        </w:tc>
      </w:tr>
      <w:tr w:rsidR="008E5DE4" w14:paraId="069F4252" w14:textId="77777777">
        <w:trPr>
          <w:cantSplit/>
          <w:trHeight w:val="245"/>
        </w:trPr>
        <w:tc>
          <w:tcPr>
            <w:tcW w:w="3061" w:type="dxa"/>
            <w:vAlign w:val="bottom"/>
          </w:tcPr>
          <w:p w14:paraId="11C57E92"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6095726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053425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52605A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EB310D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69AAF3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741F03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7A9FA4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EF420E8" w14:textId="77777777" w:rsidR="008E5DE4" w:rsidRDefault="008E5DE4">
            <w:pPr>
              <w:widowControl w:val="0"/>
              <w:pBdr>
                <w:top w:val="nil"/>
                <w:left w:val="nil"/>
                <w:bottom w:val="nil"/>
                <w:right w:val="nil"/>
                <w:between w:val="nil"/>
              </w:pBdr>
              <w:jc w:val="right"/>
              <w:rPr>
                <w:color w:val="000000"/>
              </w:rPr>
            </w:pPr>
          </w:p>
        </w:tc>
      </w:tr>
      <w:tr w:rsidR="008E5DE4" w14:paraId="5A918AC4" w14:textId="77777777">
        <w:trPr>
          <w:cantSplit/>
          <w:trHeight w:val="80"/>
        </w:trPr>
        <w:tc>
          <w:tcPr>
            <w:tcW w:w="3061" w:type="dxa"/>
            <w:tcBorders>
              <w:bottom w:val="single" w:sz="4" w:space="0" w:color="000000"/>
            </w:tcBorders>
            <w:vAlign w:val="bottom"/>
          </w:tcPr>
          <w:p w14:paraId="26BFF5B1"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2D416018"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4010359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8E39BAC"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5ED7DE77"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A7E51E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B19AAA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2B4429A"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786BCC82" w14:textId="77777777" w:rsidR="008E5DE4" w:rsidRDefault="008E5DE4">
            <w:pPr>
              <w:widowControl w:val="0"/>
              <w:pBdr>
                <w:top w:val="nil"/>
                <w:left w:val="nil"/>
                <w:bottom w:val="nil"/>
                <w:right w:val="nil"/>
                <w:between w:val="nil"/>
              </w:pBdr>
              <w:jc w:val="right"/>
              <w:rPr>
                <w:color w:val="000000"/>
              </w:rPr>
            </w:pPr>
          </w:p>
        </w:tc>
      </w:tr>
      <w:tr w:rsidR="008E5DE4" w14:paraId="0E24787A" w14:textId="77777777">
        <w:trPr>
          <w:cantSplit/>
          <w:trHeight w:val="153"/>
        </w:trPr>
        <w:tc>
          <w:tcPr>
            <w:tcW w:w="3061" w:type="dxa"/>
            <w:tcBorders>
              <w:top w:val="single" w:sz="4" w:space="0" w:color="000000"/>
            </w:tcBorders>
            <w:vAlign w:val="bottom"/>
          </w:tcPr>
          <w:p w14:paraId="1C855EA4"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438C8076"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029024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048A48C"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DDD7164"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7353EC1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594CAE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838E1B3"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69376B83" w14:textId="77777777" w:rsidR="008E5DE4" w:rsidRDefault="008E5DE4">
            <w:pPr>
              <w:widowControl w:val="0"/>
              <w:pBdr>
                <w:top w:val="nil"/>
                <w:left w:val="nil"/>
                <w:bottom w:val="nil"/>
                <w:right w:val="nil"/>
                <w:between w:val="nil"/>
              </w:pBdr>
              <w:jc w:val="right"/>
              <w:rPr>
                <w:color w:val="000000"/>
              </w:rPr>
            </w:pPr>
          </w:p>
        </w:tc>
      </w:tr>
      <w:tr w:rsidR="008E5DE4" w14:paraId="1CDDCCFF" w14:textId="77777777">
        <w:trPr>
          <w:cantSplit/>
          <w:trHeight w:val="692"/>
        </w:trPr>
        <w:tc>
          <w:tcPr>
            <w:tcW w:w="3061" w:type="dxa"/>
            <w:vAlign w:val="bottom"/>
          </w:tcPr>
          <w:p w14:paraId="282EABC6"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2180A166"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5EBC910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315BF7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45F4252"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5803AEE"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23617FA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E6BC0B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6CC7D5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DF1B5F1" w14:textId="77777777" w:rsidR="008E5DE4" w:rsidRDefault="008E5DE4">
            <w:pPr>
              <w:widowControl w:val="0"/>
              <w:pBdr>
                <w:top w:val="nil"/>
                <w:left w:val="nil"/>
                <w:bottom w:val="nil"/>
                <w:right w:val="nil"/>
                <w:between w:val="nil"/>
              </w:pBdr>
              <w:jc w:val="right"/>
              <w:rPr>
                <w:color w:val="000000"/>
                <w:highlight w:val="green"/>
              </w:rPr>
            </w:pPr>
          </w:p>
        </w:tc>
      </w:tr>
      <w:tr w:rsidR="008E5DE4" w14:paraId="3D293448" w14:textId="77777777">
        <w:trPr>
          <w:cantSplit/>
          <w:trHeight w:val="169"/>
        </w:trPr>
        <w:tc>
          <w:tcPr>
            <w:tcW w:w="3061" w:type="dxa"/>
            <w:vAlign w:val="bottom"/>
          </w:tcPr>
          <w:p w14:paraId="040E2270"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2D4BE75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3F61D5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3CF6ED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7DAF8DA"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5689B47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BDDEB7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B9EF5B9"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C456464" w14:textId="77777777" w:rsidR="008E5DE4" w:rsidRDefault="008E5DE4">
            <w:pPr>
              <w:widowControl w:val="0"/>
              <w:pBdr>
                <w:top w:val="nil"/>
                <w:left w:val="nil"/>
                <w:bottom w:val="nil"/>
                <w:right w:val="nil"/>
                <w:between w:val="nil"/>
              </w:pBdr>
              <w:jc w:val="right"/>
              <w:rPr>
                <w:color w:val="000000"/>
                <w:highlight w:val="green"/>
              </w:rPr>
            </w:pPr>
          </w:p>
        </w:tc>
      </w:tr>
      <w:tr w:rsidR="008E5DE4" w14:paraId="55FF4A2C" w14:textId="77777777">
        <w:trPr>
          <w:cantSplit/>
          <w:trHeight w:val="169"/>
        </w:trPr>
        <w:tc>
          <w:tcPr>
            <w:tcW w:w="3061" w:type="dxa"/>
            <w:vAlign w:val="bottom"/>
          </w:tcPr>
          <w:p w14:paraId="70C793FB"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3384FE9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028C5B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736FBC5"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3655DB3"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2C8918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383479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E5E9FD4"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F2693C3" w14:textId="77777777" w:rsidR="008E5DE4" w:rsidRDefault="008E5DE4">
            <w:pPr>
              <w:widowControl w:val="0"/>
              <w:pBdr>
                <w:top w:val="nil"/>
                <w:left w:val="nil"/>
                <w:bottom w:val="nil"/>
                <w:right w:val="nil"/>
                <w:between w:val="nil"/>
              </w:pBdr>
              <w:jc w:val="right"/>
              <w:rPr>
                <w:color w:val="000000"/>
                <w:highlight w:val="green"/>
              </w:rPr>
            </w:pPr>
          </w:p>
        </w:tc>
      </w:tr>
      <w:tr w:rsidR="008E5DE4" w14:paraId="2F11EF50" w14:textId="77777777">
        <w:trPr>
          <w:cantSplit/>
          <w:trHeight w:val="337"/>
        </w:trPr>
        <w:tc>
          <w:tcPr>
            <w:tcW w:w="3061" w:type="dxa"/>
            <w:vAlign w:val="bottom"/>
          </w:tcPr>
          <w:p w14:paraId="3DCD6BE0"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0CB04DD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2A5EB7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24647D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D3DB06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2A5685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E9F996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BCDFF0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8BDA93A" w14:textId="77777777" w:rsidR="008E5DE4" w:rsidRDefault="008E5DE4">
            <w:pPr>
              <w:widowControl w:val="0"/>
              <w:pBdr>
                <w:top w:val="nil"/>
                <w:left w:val="nil"/>
                <w:bottom w:val="nil"/>
                <w:right w:val="nil"/>
                <w:between w:val="nil"/>
              </w:pBdr>
              <w:jc w:val="right"/>
              <w:rPr>
                <w:color w:val="000000"/>
              </w:rPr>
            </w:pPr>
          </w:p>
        </w:tc>
      </w:tr>
      <w:tr w:rsidR="008E5DE4" w14:paraId="7976145A" w14:textId="77777777">
        <w:trPr>
          <w:cantSplit/>
          <w:trHeight w:val="231"/>
        </w:trPr>
        <w:tc>
          <w:tcPr>
            <w:tcW w:w="3061" w:type="dxa"/>
            <w:vAlign w:val="bottom"/>
          </w:tcPr>
          <w:p w14:paraId="5E16905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851" w:type="dxa"/>
            <w:vAlign w:val="bottom"/>
          </w:tcPr>
          <w:p w14:paraId="22ACA0B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39D718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A192FF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3521477"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EE7C4C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C745B2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6D90F9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0376DA4" w14:textId="77777777" w:rsidR="008E5DE4" w:rsidRDefault="008E5DE4">
            <w:pPr>
              <w:widowControl w:val="0"/>
              <w:pBdr>
                <w:top w:val="nil"/>
                <w:left w:val="nil"/>
                <w:bottom w:val="nil"/>
                <w:right w:val="nil"/>
                <w:between w:val="nil"/>
              </w:pBdr>
              <w:jc w:val="right"/>
              <w:rPr>
                <w:color w:val="000000"/>
              </w:rPr>
            </w:pPr>
          </w:p>
        </w:tc>
      </w:tr>
      <w:tr w:rsidR="008E5DE4" w14:paraId="5A86FCA5" w14:textId="77777777">
        <w:trPr>
          <w:cantSplit/>
          <w:trHeight w:val="169"/>
        </w:trPr>
        <w:tc>
          <w:tcPr>
            <w:tcW w:w="3061" w:type="dxa"/>
            <w:tcBorders>
              <w:bottom w:val="single" w:sz="4" w:space="0" w:color="000000"/>
            </w:tcBorders>
            <w:vAlign w:val="bottom"/>
          </w:tcPr>
          <w:p w14:paraId="41F7B07D"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bottom w:val="single" w:sz="4" w:space="0" w:color="000000"/>
            </w:tcBorders>
            <w:vAlign w:val="bottom"/>
          </w:tcPr>
          <w:p w14:paraId="563A858C"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1E22396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20113B0"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1E5D16AA"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743B356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E7D5CE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A610C43"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08204F18" w14:textId="77777777" w:rsidR="008E5DE4" w:rsidRDefault="008E5DE4">
            <w:pPr>
              <w:widowControl w:val="0"/>
              <w:pBdr>
                <w:top w:val="nil"/>
                <w:left w:val="nil"/>
                <w:bottom w:val="nil"/>
                <w:right w:val="nil"/>
                <w:between w:val="nil"/>
              </w:pBdr>
              <w:jc w:val="right"/>
              <w:rPr>
                <w:color w:val="000000"/>
              </w:rPr>
            </w:pPr>
          </w:p>
        </w:tc>
      </w:tr>
      <w:tr w:rsidR="008E5DE4" w14:paraId="311C9A23" w14:textId="77777777">
        <w:trPr>
          <w:cantSplit/>
          <w:trHeight w:val="169"/>
        </w:trPr>
        <w:tc>
          <w:tcPr>
            <w:tcW w:w="3061" w:type="dxa"/>
            <w:tcBorders>
              <w:top w:val="single" w:sz="4" w:space="0" w:color="000000"/>
            </w:tcBorders>
            <w:vAlign w:val="bottom"/>
          </w:tcPr>
          <w:p w14:paraId="0797373D" w14:textId="77777777" w:rsidR="008E5DE4" w:rsidRDefault="00780368">
            <w:pPr>
              <w:widowControl w:val="0"/>
              <w:pBdr>
                <w:top w:val="nil"/>
                <w:left w:val="nil"/>
                <w:bottom w:val="nil"/>
                <w:right w:val="nil"/>
                <w:between w:val="nil"/>
              </w:pBdr>
              <w:ind w:left="113" w:right="-57" w:hanging="113"/>
              <w:rPr>
                <w:color w:val="000000"/>
                <w:u w:val="single"/>
              </w:rPr>
            </w:pPr>
            <w:r>
              <w:rPr>
                <w:b/>
                <w:color w:val="000000"/>
              </w:rPr>
              <w:t> </w:t>
            </w:r>
          </w:p>
        </w:tc>
        <w:tc>
          <w:tcPr>
            <w:tcW w:w="851" w:type="dxa"/>
            <w:tcBorders>
              <w:top w:val="single" w:sz="4" w:space="0" w:color="000000"/>
            </w:tcBorders>
            <w:vAlign w:val="bottom"/>
          </w:tcPr>
          <w:p w14:paraId="4F2EC4D9"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5042A0A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71B29F9"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58260B79"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6930EE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2AE932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E4EEDBE"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450377ED" w14:textId="77777777" w:rsidR="008E5DE4" w:rsidRDefault="008E5DE4">
            <w:pPr>
              <w:widowControl w:val="0"/>
              <w:pBdr>
                <w:top w:val="nil"/>
                <w:left w:val="nil"/>
                <w:bottom w:val="nil"/>
                <w:right w:val="nil"/>
                <w:between w:val="nil"/>
              </w:pBdr>
              <w:jc w:val="right"/>
              <w:rPr>
                <w:color w:val="000000"/>
              </w:rPr>
            </w:pPr>
          </w:p>
        </w:tc>
      </w:tr>
      <w:tr w:rsidR="008E5DE4" w14:paraId="783F655F" w14:textId="77777777">
        <w:trPr>
          <w:cantSplit/>
          <w:trHeight w:val="169"/>
        </w:trPr>
        <w:tc>
          <w:tcPr>
            <w:tcW w:w="3061" w:type="dxa"/>
            <w:vAlign w:val="bottom"/>
          </w:tcPr>
          <w:p w14:paraId="3151FECB" w14:textId="3A5C75E6"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31A86F9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5CCBB8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A43308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EA9F9B2"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9DCFA2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D7597D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34FD02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7F04979" w14:textId="77777777" w:rsidR="008E5DE4" w:rsidRDefault="008E5DE4">
            <w:pPr>
              <w:widowControl w:val="0"/>
              <w:pBdr>
                <w:top w:val="nil"/>
                <w:left w:val="nil"/>
                <w:bottom w:val="nil"/>
                <w:right w:val="nil"/>
                <w:between w:val="nil"/>
              </w:pBdr>
              <w:jc w:val="right"/>
              <w:rPr>
                <w:color w:val="000000"/>
              </w:rPr>
            </w:pPr>
          </w:p>
        </w:tc>
      </w:tr>
      <w:tr w:rsidR="008E5DE4" w14:paraId="37A78243" w14:textId="77777777">
        <w:trPr>
          <w:cantSplit/>
          <w:trHeight w:val="169"/>
        </w:trPr>
        <w:tc>
          <w:tcPr>
            <w:tcW w:w="3061" w:type="dxa"/>
            <w:tcBorders>
              <w:bottom w:val="single" w:sz="12" w:space="0" w:color="000000"/>
            </w:tcBorders>
            <w:vAlign w:val="bottom"/>
          </w:tcPr>
          <w:p w14:paraId="3320D31E"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bottom w:val="single" w:sz="12" w:space="0" w:color="000000"/>
            </w:tcBorders>
            <w:vAlign w:val="bottom"/>
          </w:tcPr>
          <w:p w14:paraId="0D4FE511"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4D13755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7E8AA030"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27305A1C"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04FDA3A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117B784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48C25AB7"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631F0248" w14:textId="77777777" w:rsidR="008E5DE4" w:rsidRDefault="008E5DE4">
            <w:pPr>
              <w:widowControl w:val="0"/>
              <w:pBdr>
                <w:top w:val="nil"/>
                <w:left w:val="nil"/>
                <w:bottom w:val="nil"/>
                <w:right w:val="nil"/>
                <w:between w:val="nil"/>
              </w:pBdr>
              <w:jc w:val="right"/>
              <w:rPr>
                <w:color w:val="000000"/>
              </w:rPr>
            </w:pPr>
          </w:p>
        </w:tc>
      </w:tr>
    </w:tbl>
    <w:p w14:paraId="303D12B7" w14:textId="77777777" w:rsidR="008E5DE4" w:rsidRDefault="008E5DE4">
      <w:pPr>
        <w:widowControl w:val="0"/>
        <w:spacing w:before="200" w:after="200"/>
        <w:jc w:val="both"/>
        <w:rPr>
          <w:i/>
          <w:color w:val="FF0000"/>
          <w:sz w:val="20"/>
          <w:szCs w:val="20"/>
        </w:rPr>
      </w:pPr>
    </w:p>
    <w:p w14:paraId="3203D02C" w14:textId="77777777" w:rsidR="008E5DE4" w:rsidRDefault="008E5DE4">
      <w:pPr>
        <w:widowControl w:val="0"/>
        <w:spacing w:before="200" w:after="200"/>
        <w:jc w:val="both"/>
        <w:rPr>
          <w:i/>
          <w:color w:val="FF0000"/>
          <w:sz w:val="20"/>
          <w:szCs w:val="20"/>
        </w:rPr>
      </w:pPr>
    </w:p>
    <w:p w14:paraId="5755EBB8" w14:textId="77777777" w:rsidR="008E5DE4" w:rsidRDefault="008E5DE4">
      <w:pPr>
        <w:widowControl w:val="0"/>
        <w:pBdr>
          <w:top w:val="nil"/>
          <w:left w:val="nil"/>
          <w:bottom w:val="nil"/>
          <w:right w:val="nil"/>
          <w:between w:val="nil"/>
        </w:pBdr>
        <w:spacing w:before="200" w:after="200"/>
        <w:jc w:val="both"/>
        <w:rPr>
          <w:color w:val="000000"/>
        </w:rPr>
      </w:pPr>
    </w:p>
    <w:p w14:paraId="1640D37A" w14:textId="77777777" w:rsidR="008E5DE4" w:rsidRDefault="008E5DE4">
      <w:pPr>
        <w:widowControl w:val="0"/>
        <w:pBdr>
          <w:top w:val="nil"/>
          <w:left w:val="nil"/>
          <w:bottom w:val="nil"/>
          <w:right w:val="nil"/>
          <w:between w:val="nil"/>
        </w:pBdr>
        <w:spacing w:before="200" w:after="200"/>
        <w:jc w:val="both"/>
        <w:rPr>
          <w:color w:val="000000"/>
        </w:rPr>
      </w:pPr>
    </w:p>
    <w:p w14:paraId="4FFDBCCC"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5440B0E7" w14:textId="5E2F022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municipal bonds at FVOCI in </w:t>
      </w:r>
      <w:r w:rsidR="008614F8">
        <w:rPr>
          <w:color w:val="000000"/>
          <w:sz w:val="20"/>
          <w:szCs w:val="20"/>
        </w:rPr>
        <w:t>2025</w:t>
      </w:r>
      <w:r>
        <w:rPr>
          <w:color w:val="000000"/>
          <w:sz w:val="20"/>
          <w:szCs w:val="20"/>
        </w:rPr>
        <w:t xml:space="preserve"> were as follows.</w:t>
      </w:r>
    </w:p>
    <w:tbl>
      <w:tblPr>
        <w:tblStyle w:val="afffffff1"/>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43FE2C66" w14:textId="77777777">
        <w:trPr>
          <w:cantSplit/>
          <w:trHeight w:val="169"/>
          <w:tblHeader/>
        </w:trPr>
        <w:tc>
          <w:tcPr>
            <w:tcW w:w="3061" w:type="dxa"/>
            <w:vAlign w:val="bottom"/>
          </w:tcPr>
          <w:p w14:paraId="50CF831B"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43E57FF2"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566A3849"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19B405BF" w14:textId="77777777">
        <w:trPr>
          <w:cantSplit/>
          <w:trHeight w:val="507"/>
          <w:tblHeader/>
        </w:trPr>
        <w:tc>
          <w:tcPr>
            <w:tcW w:w="3061" w:type="dxa"/>
            <w:tcBorders>
              <w:bottom w:val="single" w:sz="4" w:space="0" w:color="000000"/>
            </w:tcBorders>
            <w:vAlign w:val="bottom"/>
          </w:tcPr>
          <w:p w14:paraId="08FA23C5" w14:textId="77777777" w:rsidR="008E5DE4" w:rsidRDefault="008E5DE4">
            <w:pPr>
              <w:widowControl w:val="0"/>
              <w:pBdr>
                <w:top w:val="nil"/>
                <w:left w:val="nil"/>
                <w:bottom w:val="nil"/>
                <w:right w:val="nil"/>
                <w:between w:val="nil"/>
              </w:pBdr>
              <w:ind w:left="113" w:right="-57" w:hanging="113"/>
              <w:rPr>
                <w:i/>
                <w:color w:val="000000"/>
              </w:rPr>
            </w:pPr>
          </w:p>
          <w:p w14:paraId="7F3AE074"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10C1C292"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74521B66"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0CF21962"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3EC48BDC"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153646CC"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5E46CBB6"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5D01E985"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2D687C71"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1C7ACED3"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2E5D2AFA"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474686BF"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77AC23A0"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21DFB3F4"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1E0750D0"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5CF437D4" w14:textId="77777777">
        <w:trPr>
          <w:cantSplit/>
          <w:trHeight w:val="169"/>
          <w:tblHeader/>
        </w:trPr>
        <w:tc>
          <w:tcPr>
            <w:tcW w:w="3061" w:type="dxa"/>
            <w:vAlign w:val="bottom"/>
          </w:tcPr>
          <w:p w14:paraId="2A4D1D1F" w14:textId="77777777" w:rsidR="008E5DE4" w:rsidRDefault="008E5DE4">
            <w:pPr>
              <w:widowControl w:val="0"/>
              <w:ind w:left="113" w:right="-57" w:hanging="113"/>
            </w:pPr>
          </w:p>
        </w:tc>
        <w:tc>
          <w:tcPr>
            <w:tcW w:w="851" w:type="dxa"/>
            <w:vAlign w:val="bottom"/>
          </w:tcPr>
          <w:p w14:paraId="6B62F298"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4E01A43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00664BE"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053A9CA" w14:textId="77777777" w:rsidR="008E5DE4" w:rsidRDefault="008E5DE4">
            <w:pPr>
              <w:widowControl w:val="0"/>
              <w:pBdr>
                <w:top w:val="nil"/>
                <w:left w:val="nil"/>
                <w:bottom w:val="nil"/>
                <w:right w:val="nil"/>
                <w:between w:val="nil"/>
              </w:pBdr>
              <w:jc w:val="right"/>
              <w:rPr>
                <w:color w:val="000000"/>
              </w:rPr>
            </w:pPr>
          </w:p>
        </w:tc>
        <w:tc>
          <w:tcPr>
            <w:tcW w:w="871" w:type="dxa"/>
          </w:tcPr>
          <w:p w14:paraId="24A558EA" w14:textId="77777777" w:rsidR="008E5DE4" w:rsidRDefault="008E5DE4">
            <w:pPr>
              <w:widowControl w:val="0"/>
              <w:pBdr>
                <w:top w:val="nil"/>
                <w:left w:val="nil"/>
                <w:bottom w:val="nil"/>
                <w:right w:val="nil"/>
                <w:between w:val="nil"/>
              </w:pBdr>
              <w:jc w:val="right"/>
              <w:rPr>
                <w:color w:val="000000"/>
              </w:rPr>
            </w:pPr>
          </w:p>
        </w:tc>
        <w:tc>
          <w:tcPr>
            <w:tcW w:w="856" w:type="dxa"/>
          </w:tcPr>
          <w:p w14:paraId="7650DB21" w14:textId="77777777" w:rsidR="008E5DE4" w:rsidRDefault="008E5DE4">
            <w:pPr>
              <w:widowControl w:val="0"/>
              <w:pBdr>
                <w:top w:val="nil"/>
                <w:left w:val="nil"/>
                <w:bottom w:val="nil"/>
                <w:right w:val="nil"/>
                <w:between w:val="nil"/>
              </w:pBdr>
              <w:jc w:val="right"/>
              <w:rPr>
                <w:color w:val="000000"/>
              </w:rPr>
            </w:pPr>
          </w:p>
        </w:tc>
        <w:tc>
          <w:tcPr>
            <w:tcW w:w="856" w:type="dxa"/>
          </w:tcPr>
          <w:p w14:paraId="16F36C3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38B2AC3" w14:textId="77777777" w:rsidR="008E5DE4" w:rsidRDefault="008E5DE4">
            <w:pPr>
              <w:widowControl w:val="0"/>
              <w:pBdr>
                <w:top w:val="nil"/>
                <w:left w:val="nil"/>
                <w:bottom w:val="nil"/>
                <w:right w:val="nil"/>
                <w:between w:val="nil"/>
              </w:pBdr>
              <w:jc w:val="right"/>
              <w:rPr>
                <w:color w:val="000000"/>
              </w:rPr>
            </w:pPr>
          </w:p>
        </w:tc>
      </w:tr>
      <w:tr w:rsidR="008E5DE4" w14:paraId="19671525" w14:textId="77777777">
        <w:trPr>
          <w:cantSplit/>
          <w:trHeight w:val="169"/>
        </w:trPr>
        <w:tc>
          <w:tcPr>
            <w:tcW w:w="3061" w:type="dxa"/>
            <w:vAlign w:val="bottom"/>
          </w:tcPr>
          <w:p w14:paraId="200EBAAD"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Municipal bonds</w:t>
            </w:r>
          </w:p>
        </w:tc>
        <w:tc>
          <w:tcPr>
            <w:tcW w:w="851" w:type="dxa"/>
            <w:vAlign w:val="bottom"/>
          </w:tcPr>
          <w:p w14:paraId="701C3F9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6C034F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6BB8DC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43A62FC" w14:textId="77777777" w:rsidR="008E5DE4" w:rsidRDefault="008E5DE4">
            <w:pPr>
              <w:widowControl w:val="0"/>
              <w:pBdr>
                <w:top w:val="nil"/>
                <w:left w:val="nil"/>
                <w:bottom w:val="nil"/>
                <w:right w:val="nil"/>
                <w:between w:val="nil"/>
              </w:pBdr>
              <w:jc w:val="right"/>
              <w:rPr>
                <w:color w:val="000000"/>
              </w:rPr>
            </w:pPr>
          </w:p>
        </w:tc>
        <w:tc>
          <w:tcPr>
            <w:tcW w:w="871" w:type="dxa"/>
          </w:tcPr>
          <w:p w14:paraId="3EF41BAA" w14:textId="77777777" w:rsidR="008E5DE4" w:rsidRDefault="008E5DE4">
            <w:pPr>
              <w:widowControl w:val="0"/>
              <w:pBdr>
                <w:top w:val="nil"/>
                <w:left w:val="nil"/>
                <w:bottom w:val="nil"/>
                <w:right w:val="nil"/>
                <w:between w:val="nil"/>
              </w:pBdr>
              <w:jc w:val="right"/>
              <w:rPr>
                <w:color w:val="000000"/>
              </w:rPr>
            </w:pPr>
          </w:p>
        </w:tc>
        <w:tc>
          <w:tcPr>
            <w:tcW w:w="856" w:type="dxa"/>
          </w:tcPr>
          <w:p w14:paraId="35D6127D" w14:textId="77777777" w:rsidR="008E5DE4" w:rsidRDefault="008E5DE4">
            <w:pPr>
              <w:widowControl w:val="0"/>
              <w:pBdr>
                <w:top w:val="nil"/>
                <w:left w:val="nil"/>
                <w:bottom w:val="nil"/>
                <w:right w:val="nil"/>
                <w:between w:val="nil"/>
              </w:pBdr>
              <w:jc w:val="right"/>
              <w:rPr>
                <w:color w:val="000000"/>
              </w:rPr>
            </w:pPr>
          </w:p>
        </w:tc>
        <w:tc>
          <w:tcPr>
            <w:tcW w:w="856" w:type="dxa"/>
          </w:tcPr>
          <w:p w14:paraId="7090150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284BD82" w14:textId="77777777" w:rsidR="008E5DE4" w:rsidRDefault="008E5DE4">
            <w:pPr>
              <w:widowControl w:val="0"/>
              <w:pBdr>
                <w:top w:val="nil"/>
                <w:left w:val="nil"/>
                <w:bottom w:val="nil"/>
                <w:right w:val="nil"/>
                <w:between w:val="nil"/>
              </w:pBdr>
              <w:jc w:val="right"/>
              <w:rPr>
                <w:color w:val="000000"/>
              </w:rPr>
            </w:pPr>
          </w:p>
        </w:tc>
      </w:tr>
      <w:tr w:rsidR="008E5DE4" w14:paraId="6C97657F" w14:textId="77777777">
        <w:trPr>
          <w:cantSplit/>
          <w:trHeight w:val="169"/>
        </w:trPr>
        <w:tc>
          <w:tcPr>
            <w:tcW w:w="3061" w:type="dxa"/>
            <w:vAlign w:val="bottom"/>
          </w:tcPr>
          <w:p w14:paraId="22A2FC04"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61AAFB8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780F86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9C5AF3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FE02601" w14:textId="77777777" w:rsidR="008E5DE4" w:rsidRDefault="008E5DE4">
            <w:pPr>
              <w:widowControl w:val="0"/>
              <w:pBdr>
                <w:top w:val="nil"/>
                <w:left w:val="nil"/>
                <w:bottom w:val="nil"/>
                <w:right w:val="nil"/>
                <w:between w:val="nil"/>
              </w:pBdr>
              <w:jc w:val="right"/>
              <w:rPr>
                <w:color w:val="000000"/>
              </w:rPr>
            </w:pPr>
          </w:p>
        </w:tc>
        <w:tc>
          <w:tcPr>
            <w:tcW w:w="871" w:type="dxa"/>
          </w:tcPr>
          <w:p w14:paraId="751EB759" w14:textId="77777777" w:rsidR="008E5DE4" w:rsidRDefault="008E5DE4">
            <w:pPr>
              <w:widowControl w:val="0"/>
              <w:pBdr>
                <w:top w:val="nil"/>
                <w:left w:val="nil"/>
                <w:bottom w:val="nil"/>
                <w:right w:val="nil"/>
                <w:between w:val="nil"/>
              </w:pBdr>
              <w:jc w:val="right"/>
              <w:rPr>
                <w:color w:val="000000"/>
              </w:rPr>
            </w:pPr>
          </w:p>
        </w:tc>
        <w:tc>
          <w:tcPr>
            <w:tcW w:w="856" w:type="dxa"/>
          </w:tcPr>
          <w:p w14:paraId="366CBA02" w14:textId="77777777" w:rsidR="008E5DE4" w:rsidRDefault="008E5DE4">
            <w:pPr>
              <w:widowControl w:val="0"/>
              <w:pBdr>
                <w:top w:val="nil"/>
                <w:left w:val="nil"/>
                <w:bottom w:val="nil"/>
                <w:right w:val="nil"/>
                <w:between w:val="nil"/>
              </w:pBdr>
              <w:jc w:val="right"/>
              <w:rPr>
                <w:color w:val="000000"/>
              </w:rPr>
            </w:pPr>
          </w:p>
        </w:tc>
        <w:tc>
          <w:tcPr>
            <w:tcW w:w="856" w:type="dxa"/>
          </w:tcPr>
          <w:p w14:paraId="0428AF2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7D334A5" w14:textId="77777777" w:rsidR="008E5DE4" w:rsidRDefault="008E5DE4">
            <w:pPr>
              <w:widowControl w:val="0"/>
              <w:pBdr>
                <w:top w:val="nil"/>
                <w:left w:val="nil"/>
                <w:bottom w:val="nil"/>
                <w:right w:val="nil"/>
                <w:between w:val="nil"/>
              </w:pBdr>
              <w:jc w:val="right"/>
              <w:rPr>
                <w:color w:val="000000"/>
              </w:rPr>
            </w:pPr>
          </w:p>
        </w:tc>
      </w:tr>
      <w:tr w:rsidR="008E5DE4" w14:paraId="180219D7" w14:textId="77777777">
        <w:trPr>
          <w:cantSplit/>
          <w:trHeight w:val="169"/>
        </w:trPr>
        <w:tc>
          <w:tcPr>
            <w:tcW w:w="3061" w:type="dxa"/>
            <w:vAlign w:val="bottom"/>
          </w:tcPr>
          <w:p w14:paraId="071DA4E3" w14:textId="0EEB7769"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174B53B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FD820C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16E1EB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89D9465" w14:textId="77777777" w:rsidR="008E5DE4" w:rsidRDefault="008E5DE4">
            <w:pPr>
              <w:widowControl w:val="0"/>
              <w:pBdr>
                <w:top w:val="nil"/>
                <w:left w:val="nil"/>
                <w:bottom w:val="nil"/>
                <w:right w:val="nil"/>
                <w:between w:val="nil"/>
              </w:pBdr>
              <w:jc w:val="right"/>
              <w:rPr>
                <w:color w:val="000000"/>
              </w:rPr>
            </w:pPr>
          </w:p>
        </w:tc>
        <w:tc>
          <w:tcPr>
            <w:tcW w:w="871" w:type="dxa"/>
          </w:tcPr>
          <w:p w14:paraId="3052C3D4" w14:textId="77777777" w:rsidR="008E5DE4" w:rsidRDefault="008E5DE4">
            <w:pPr>
              <w:widowControl w:val="0"/>
              <w:pBdr>
                <w:top w:val="nil"/>
                <w:left w:val="nil"/>
                <w:bottom w:val="nil"/>
                <w:right w:val="nil"/>
                <w:between w:val="nil"/>
              </w:pBdr>
              <w:jc w:val="right"/>
              <w:rPr>
                <w:color w:val="000000"/>
              </w:rPr>
            </w:pPr>
          </w:p>
        </w:tc>
        <w:tc>
          <w:tcPr>
            <w:tcW w:w="856" w:type="dxa"/>
          </w:tcPr>
          <w:p w14:paraId="722F6D63" w14:textId="77777777" w:rsidR="008E5DE4" w:rsidRDefault="008E5DE4">
            <w:pPr>
              <w:widowControl w:val="0"/>
              <w:pBdr>
                <w:top w:val="nil"/>
                <w:left w:val="nil"/>
                <w:bottom w:val="nil"/>
                <w:right w:val="nil"/>
                <w:between w:val="nil"/>
              </w:pBdr>
              <w:jc w:val="right"/>
              <w:rPr>
                <w:color w:val="000000"/>
              </w:rPr>
            </w:pPr>
          </w:p>
        </w:tc>
        <w:tc>
          <w:tcPr>
            <w:tcW w:w="856" w:type="dxa"/>
          </w:tcPr>
          <w:p w14:paraId="208452D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F6B0742" w14:textId="77777777" w:rsidR="008E5DE4" w:rsidRDefault="008E5DE4">
            <w:pPr>
              <w:widowControl w:val="0"/>
              <w:pBdr>
                <w:top w:val="nil"/>
                <w:left w:val="nil"/>
                <w:bottom w:val="nil"/>
                <w:right w:val="nil"/>
                <w:between w:val="nil"/>
              </w:pBdr>
              <w:jc w:val="right"/>
              <w:rPr>
                <w:color w:val="000000"/>
              </w:rPr>
            </w:pPr>
          </w:p>
        </w:tc>
      </w:tr>
      <w:tr w:rsidR="008E5DE4" w14:paraId="6BECD1A7" w14:textId="77777777">
        <w:trPr>
          <w:cantSplit/>
          <w:trHeight w:val="676"/>
        </w:trPr>
        <w:tc>
          <w:tcPr>
            <w:tcW w:w="3061" w:type="dxa"/>
            <w:vAlign w:val="bottom"/>
          </w:tcPr>
          <w:p w14:paraId="23A5FCB0" w14:textId="77777777" w:rsidR="008E5DE4" w:rsidRDefault="008E5DE4">
            <w:pPr>
              <w:widowControl w:val="0"/>
              <w:pBdr>
                <w:top w:val="nil"/>
                <w:left w:val="nil"/>
                <w:bottom w:val="nil"/>
                <w:right w:val="nil"/>
                <w:between w:val="nil"/>
              </w:pBdr>
              <w:ind w:left="113" w:right="-57" w:hanging="113"/>
              <w:rPr>
                <w:b/>
                <w:color w:val="000000"/>
              </w:rPr>
            </w:pPr>
          </w:p>
          <w:p w14:paraId="31DBAC87"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5376808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42E5BF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18AFC2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BF853D0" w14:textId="77777777" w:rsidR="008E5DE4" w:rsidRDefault="008E5DE4">
            <w:pPr>
              <w:widowControl w:val="0"/>
              <w:pBdr>
                <w:top w:val="nil"/>
                <w:left w:val="nil"/>
                <w:bottom w:val="nil"/>
                <w:right w:val="nil"/>
                <w:between w:val="nil"/>
              </w:pBdr>
              <w:jc w:val="right"/>
              <w:rPr>
                <w:color w:val="000000"/>
              </w:rPr>
            </w:pPr>
          </w:p>
        </w:tc>
        <w:tc>
          <w:tcPr>
            <w:tcW w:w="871" w:type="dxa"/>
          </w:tcPr>
          <w:p w14:paraId="10B41EC5"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690D2017" w14:textId="77777777" w:rsidR="008E5DE4" w:rsidRDefault="008E5DE4">
            <w:pPr>
              <w:widowControl w:val="0"/>
              <w:pBdr>
                <w:top w:val="nil"/>
                <w:left w:val="nil"/>
                <w:bottom w:val="nil"/>
                <w:right w:val="nil"/>
                <w:between w:val="nil"/>
              </w:pBdr>
              <w:jc w:val="right"/>
              <w:rPr>
                <w:color w:val="000000"/>
              </w:rPr>
            </w:pPr>
          </w:p>
        </w:tc>
        <w:tc>
          <w:tcPr>
            <w:tcW w:w="856" w:type="dxa"/>
          </w:tcPr>
          <w:p w14:paraId="3794F8D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91BD5FA" w14:textId="77777777" w:rsidR="008E5DE4" w:rsidRDefault="008E5DE4">
            <w:pPr>
              <w:widowControl w:val="0"/>
              <w:pBdr>
                <w:top w:val="nil"/>
                <w:left w:val="nil"/>
                <w:bottom w:val="nil"/>
                <w:right w:val="nil"/>
                <w:between w:val="nil"/>
              </w:pBdr>
              <w:jc w:val="right"/>
              <w:rPr>
                <w:color w:val="000000"/>
              </w:rPr>
            </w:pPr>
          </w:p>
        </w:tc>
      </w:tr>
      <w:tr w:rsidR="008E5DE4" w14:paraId="655E3CE6" w14:textId="77777777">
        <w:trPr>
          <w:cantSplit/>
          <w:trHeight w:val="184"/>
        </w:trPr>
        <w:tc>
          <w:tcPr>
            <w:tcW w:w="3061" w:type="dxa"/>
            <w:vAlign w:val="bottom"/>
          </w:tcPr>
          <w:p w14:paraId="7733DAD7"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1B5F6EF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730626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63CDCFE"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7F6DD9A"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4A05B4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6DA6FD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5022630"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E7FBC0E" w14:textId="77777777" w:rsidR="008E5DE4" w:rsidRDefault="008E5DE4">
            <w:pPr>
              <w:widowControl w:val="0"/>
              <w:pBdr>
                <w:top w:val="nil"/>
                <w:left w:val="nil"/>
                <w:bottom w:val="nil"/>
                <w:right w:val="nil"/>
                <w:between w:val="nil"/>
              </w:pBdr>
              <w:jc w:val="right"/>
              <w:rPr>
                <w:color w:val="000000"/>
                <w:highlight w:val="green"/>
              </w:rPr>
            </w:pPr>
          </w:p>
        </w:tc>
      </w:tr>
      <w:tr w:rsidR="008E5DE4" w14:paraId="1C87C7E2" w14:textId="77777777">
        <w:trPr>
          <w:cantSplit/>
          <w:trHeight w:val="184"/>
        </w:trPr>
        <w:tc>
          <w:tcPr>
            <w:tcW w:w="3061" w:type="dxa"/>
            <w:vAlign w:val="bottom"/>
          </w:tcPr>
          <w:p w14:paraId="6B533F42"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73AEC2E8"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27828E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6C6120B"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7AEE798"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BF7838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17D3BD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C6E701D"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3CFF8C7" w14:textId="77777777" w:rsidR="008E5DE4" w:rsidRDefault="008E5DE4">
            <w:pPr>
              <w:widowControl w:val="0"/>
              <w:pBdr>
                <w:top w:val="nil"/>
                <w:left w:val="nil"/>
                <w:bottom w:val="nil"/>
                <w:right w:val="nil"/>
                <w:between w:val="nil"/>
              </w:pBdr>
              <w:jc w:val="right"/>
              <w:rPr>
                <w:color w:val="000000"/>
                <w:highlight w:val="green"/>
              </w:rPr>
            </w:pPr>
          </w:p>
        </w:tc>
      </w:tr>
      <w:tr w:rsidR="008E5DE4" w14:paraId="1ED461DA" w14:textId="77777777">
        <w:trPr>
          <w:cantSplit/>
          <w:trHeight w:val="80"/>
        </w:trPr>
        <w:tc>
          <w:tcPr>
            <w:tcW w:w="3061" w:type="dxa"/>
            <w:vAlign w:val="bottom"/>
          </w:tcPr>
          <w:p w14:paraId="200BD78F"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0159541B"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AFC4A6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BBF2CE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02A9D45"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DE0238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ABED1A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57C9EB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8E1F081" w14:textId="77777777" w:rsidR="008E5DE4" w:rsidRDefault="008E5DE4">
            <w:pPr>
              <w:widowControl w:val="0"/>
              <w:pBdr>
                <w:top w:val="nil"/>
                <w:left w:val="nil"/>
                <w:bottom w:val="nil"/>
                <w:right w:val="nil"/>
                <w:between w:val="nil"/>
              </w:pBdr>
              <w:jc w:val="right"/>
              <w:rPr>
                <w:color w:val="000000"/>
                <w:highlight w:val="green"/>
              </w:rPr>
            </w:pPr>
          </w:p>
        </w:tc>
      </w:tr>
      <w:tr w:rsidR="008E5DE4" w14:paraId="6CEF98EC" w14:textId="77777777">
        <w:trPr>
          <w:cantSplit/>
          <w:trHeight w:val="80"/>
        </w:trPr>
        <w:tc>
          <w:tcPr>
            <w:tcW w:w="3061" w:type="dxa"/>
            <w:vAlign w:val="bottom"/>
          </w:tcPr>
          <w:p w14:paraId="54BAABA1"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18572B9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330DDA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4B3612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0A2CBB7"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06E0E5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927DCF1"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953E723"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2D6FE88" w14:textId="77777777" w:rsidR="008E5DE4" w:rsidRDefault="008E5DE4">
            <w:pPr>
              <w:widowControl w:val="0"/>
              <w:pBdr>
                <w:top w:val="nil"/>
                <w:left w:val="nil"/>
                <w:bottom w:val="nil"/>
                <w:right w:val="nil"/>
                <w:between w:val="nil"/>
              </w:pBdr>
              <w:jc w:val="right"/>
              <w:rPr>
                <w:color w:val="000000"/>
                <w:highlight w:val="green"/>
              </w:rPr>
            </w:pPr>
          </w:p>
        </w:tc>
      </w:tr>
      <w:tr w:rsidR="008E5DE4" w14:paraId="333B4486" w14:textId="77777777">
        <w:trPr>
          <w:cantSplit/>
          <w:trHeight w:val="361"/>
        </w:trPr>
        <w:tc>
          <w:tcPr>
            <w:tcW w:w="3061" w:type="dxa"/>
            <w:vAlign w:val="bottom"/>
          </w:tcPr>
          <w:p w14:paraId="3ECA76B1"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78383FE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0F9B9A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753D8AB"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6ABD6E9"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9608AB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7B6D27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BB60C35"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1FF1E55" w14:textId="77777777" w:rsidR="008E5DE4" w:rsidRDefault="008E5DE4">
            <w:pPr>
              <w:widowControl w:val="0"/>
              <w:pBdr>
                <w:top w:val="nil"/>
                <w:left w:val="nil"/>
                <w:bottom w:val="nil"/>
                <w:right w:val="nil"/>
                <w:between w:val="nil"/>
              </w:pBdr>
              <w:jc w:val="right"/>
              <w:rPr>
                <w:color w:val="000000"/>
                <w:highlight w:val="green"/>
              </w:rPr>
            </w:pPr>
          </w:p>
        </w:tc>
      </w:tr>
      <w:tr w:rsidR="008E5DE4" w14:paraId="4BA4EBA2" w14:textId="77777777">
        <w:trPr>
          <w:cantSplit/>
          <w:trHeight w:val="169"/>
        </w:trPr>
        <w:tc>
          <w:tcPr>
            <w:tcW w:w="3061" w:type="dxa"/>
            <w:vAlign w:val="bottom"/>
          </w:tcPr>
          <w:p w14:paraId="03C09184"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0D9B2E5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54DEB6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94D2E9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101B5C4" w14:textId="77777777" w:rsidR="008E5DE4" w:rsidRDefault="008E5DE4">
            <w:pPr>
              <w:widowControl w:val="0"/>
              <w:pBdr>
                <w:top w:val="nil"/>
                <w:left w:val="nil"/>
                <w:bottom w:val="nil"/>
                <w:right w:val="nil"/>
                <w:between w:val="nil"/>
              </w:pBdr>
              <w:jc w:val="right"/>
              <w:rPr>
                <w:color w:val="000000"/>
              </w:rPr>
            </w:pPr>
          </w:p>
        </w:tc>
        <w:tc>
          <w:tcPr>
            <w:tcW w:w="871" w:type="dxa"/>
          </w:tcPr>
          <w:p w14:paraId="49A708A7" w14:textId="77777777" w:rsidR="008E5DE4" w:rsidRDefault="008E5DE4">
            <w:pPr>
              <w:widowControl w:val="0"/>
              <w:pBdr>
                <w:top w:val="nil"/>
                <w:left w:val="nil"/>
                <w:bottom w:val="nil"/>
                <w:right w:val="nil"/>
                <w:between w:val="nil"/>
              </w:pBdr>
              <w:jc w:val="right"/>
              <w:rPr>
                <w:color w:val="000000"/>
              </w:rPr>
            </w:pPr>
          </w:p>
        </w:tc>
        <w:tc>
          <w:tcPr>
            <w:tcW w:w="856" w:type="dxa"/>
          </w:tcPr>
          <w:p w14:paraId="2803D074" w14:textId="77777777" w:rsidR="008E5DE4" w:rsidRDefault="008E5DE4">
            <w:pPr>
              <w:widowControl w:val="0"/>
              <w:pBdr>
                <w:top w:val="nil"/>
                <w:left w:val="nil"/>
                <w:bottom w:val="nil"/>
                <w:right w:val="nil"/>
                <w:between w:val="nil"/>
              </w:pBdr>
              <w:jc w:val="right"/>
              <w:rPr>
                <w:color w:val="000000"/>
              </w:rPr>
            </w:pPr>
          </w:p>
        </w:tc>
        <w:tc>
          <w:tcPr>
            <w:tcW w:w="856" w:type="dxa"/>
          </w:tcPr>
          <w:p w14:paraId="3560A73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7FACD5A" w14:textId="77777777" w:rsidR="008E5DE4" w:rsidRDefault="008E5DE4">
            <w:pPr>
              <w:widowControl w:val="0"/>
              <w:pBdr>
                <w:top w:val="nil"/>
                <w:left w:val="nil"/>
                <w:bottom w:val="nil"/>
                <w:right w:val="nil"/>
                <w:between w:val="nil"/>
              </w:pBdr>
              <w:jc w:val="right"/>
              <w:rPr>
                <w:color w:val="000000"/>
              </w:rPr>
            </w:pPr>
          </w:p>
        </w:tc>
      </w:tr>
      <w:tr w:rsidR="008E5DE4" w14:paraId="71214539" w14:textId="77777777">
        <w:trPr>
          <w:cantSplit/>
          <w:trHeight w:val="232"/>
        </w:trPr>
        <w:tc>
          <w:tcPr>
            <w:tcW w:w="3061" w:type="dxa"/>
            <w:vAlign w:val="bottom"/>
          </w:tcPr>
          <w:p w14:paraId="10F07BF3"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74CFC17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13CCD5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49D57F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345949F" w14:textId="77777777" w:rsidR="008E5DE4" w:rsidRDefault="008E5DE4">
            <w:pPr>
              <w:widowControl w:val="0"/>
              <w:pBdr>
                <w:top w:val="nil"/>
                <w:left w:val="nil"/>
                <w:bottom w:val="nil"/>
                <w:right w:val="nil"/>
                <w:between w:val="nil"/>
              </w:pBdr>
              <w:jc w:val="right"/>
              <w:rPr>
                <w:color w:val="000000"/>
              </w:rPr>
            </w:pPr>
          </w:p>
        </w:tc>
        <w:tc>
          <w:tcPr>
            <w:tcW w:w="871" w:type="dxa"/>
          </w:tcPr>
          <w:p w14:paraId="2F638096" w14:textId="77777777" w:rsidR="008E5DE4" w:rsidRDefault="008E5DE4">
            <w:pPr>
              <w:widowControl w:val="0"/>
              <w:pBdr>
                <w:top w:val="nil"/>
                <w:left w:val="nil"/>
                <w:bottom w:val="nil"/>
                <w:right w:val="nil"/>
                <w:between w:val="nil"/>
              </w:pBdr>
              <w:jc w:val="right"/>
              <w:rPr>
                <w:color w:val="000000"/>
              </w:rPr>
            </w:pPr>
          </w:p>
        </w:tc>
        <w:tc>
          <w:tcPr>
            <w:tcW w:w="856" w:type="dxa"/>
          </w:tcPr>
          <w:p w14:paraId="1748D8C1" w14:textId="77777777" w:rsidR="008E5DE4" w:rsidRDefault="008E5DE4">
            <w:pPr>
              <w:widowControl w:val="0"/>
              <w:pBdr>
                <w:top w:val="nil"/>
                <w:left w:val="nil"/>
                <w:bottom w:val="nil"/>
                <w:right w:val="nil"/>
                <w:between w:val="nil"/>
              </w:pBdr>
              <w:jc w:val="right"/>
              <w:rPr>
                <w:color w:val="000000"/>
              </w:rPr>
            </w:pPr>
          </w:p>
        </w:tc>
        <w:tc>
          <w:tcPr>
            <w:tcW w:w="856" w:type="dxa"/>
          </w:tcPr>
          <w:p w14:paraId="60B02AE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16B6C29" w14:textId="77777777" w:rsidR="008E5DE4" w:rsidRDefault="008E5DE4">
            <w:pPr>
              <w:widowControl w:val="0"/>
              <w:pBdr>
                <w:top w:val="nil"/>
                <w:left w:val="nil"/>
                <w:bottom w:val="nil"/>
                <w:right w:val="nil"/>
                <w:between w:val="nil"/>
              </w:pBdr>
              <w:jc w:val="right"/>
              <w:rPr>
                <w:color w:val="000000"/>
              </w:rPr>
            </w:pPr>
          </w:p>
        </w:tc>
      </w:tr>
      <w:tr w:rsidR="008E5DE4" w14:paraId="289CDA37" w14:textId="77777777">
        <w:trPr>
          <w:cantSplit/>
          <w:trHeight w:val="80"/>
        </w:trPr>
        <w:tc>
          <w:tcPr>
            <w:tcW w:w="3061" w:type="dxa"/>
            <w:vAlign w:val="bottom"/>
          </w:tcPr>
          <w:p w14:paraId="24697DDD"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7E0E5F5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86BDD6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D1981C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6945C1A"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49E1CC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0C1BA4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3142F6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86B54B0" w14:textId="77777777" w:rsidR="008E5DE4" w:rsidRDefault="008E5DE4">
            <w:pPr>
              <w:widowControl w:val="0"/>
              <w:pBdr>
                <w:top w:val="nil"/>
                <w:left w:val="nil"/>
                <w:bottom w:val="nil"/>
                <w:right w:val="nil"/>
                <w:between w:val="nil"/>
              </w:pBdr>
              <w:jc w:val="right"/>
              <w:rPr>
                <w:color w:val="000000"/>
              </w:rPr>
            </w:pPr>
          </w:p>
        </w:tc>
      </w:tr>
      <w:tr w:rsidR="008E5DE4" w14:paraId="2E11AEBB" w14:textId="77777777">
        <w:trPr>
          <w:cantSplit/>
          <w:trHeight w:val="85"/>
        </w:trPr>
        <w:tc>
          <w:tcPr>
            <w:tcW w:w="3061" w:type="dxa"/>
            <w:vAlign w:val="bottom"/>
          </w:tcPr>
          <w:p w14:paraId="246C2BE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64DDE28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F49826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21BBBC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D0064E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32C3CC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323603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F2E652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1ECA20D" w14:textId="77777777" w:rsidR="008E5DE4" w:rsidRDefault="008E5DE4">
            <w:pPr>
              <w:widowControl w:val="0"/>
              <w:pBdr>
                <w:top w:val="nil"/>
                <w:left w:val="nil"/>
                <w:bottom w:val="nil"/>
                <w:right w:val="nil"/>
                <w:between w:val="nil"/>
              </w:pBdr>
              <w:jc w:val="right"/>
              <w:rPr>
                <w:color w:val="000000"/>
              </w:rPr>
            </w:pPr>
          </w:p>
        </w:tc>
      </w:tr>
      <w:tr w:rsidR="008E5DE4" w14:paraId="36DCB1A2" w14:textId="77777777">
        <w:trPr>
          <w:cantSplit/>
          <w:trHeight w:val="169"/>
        </w:trPr>
        <w:tc>
          <w:tcPr>
            <w:tcW w:w="3061" w:type="dxa"/>
            <w:vAlign w:val="bottom"/>
          </w:tcPr>
          <w:p w14:paraId="776905E2"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1313BA0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6D422A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342AD3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FFC390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A257D4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B446A8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AB6C2E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0603BA2" w14:textId="77777777" w:rsidR="008E5DE4" w:rsidRDefault="008E5DE4">
            <w:pPr>
              <w:widowControl w:val="0"/>
              <w:pBdr>
                <w:top w:val="nil"/>
                <w:left w:val="nil"/>
                <w:bottom w:val="nil"/>
                <w:right w:val="nil"/>
                <w:between w:val="nil"/>
              </w:pBdr>
              <w:jc w:val="right"/>
              <w:rPr>
                <w:color w:val="000000"/>
              </w:rPr>
            </w:pPr>
          </w:p>
        </w:tc>
      </w:tr>
      <w:tr w:rsidR="008E5DE4" w14:paraId="6F73BD37" w14:textId="77777777">
        <w:trPr>
          <w:cantSplit/>
          <w:trHeight w:val="169"/>
        </w:trPr>
        <w:tc>
          <w:tcPr>
            <w:tcW w:w="3061" w:type="dxa"/>
            <w:vAlign w:val="bottom"/>
          </w:tcPr>
          <w:p w14:paraId="4B977063"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0BBF6C5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9AB3DE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972EF5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9555C7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AC9E68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E9C941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7EA1D2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B6D6977" w14:textId="77777777" w:rsidR="008E5DE4" w:rsidRDefault="008E5DE4">
            <w:pPr>
              <w:widowControl w:val="0"/>
              <w:pBdr>
                <w:top w:val="nil"/>
                <w:left w:val="nil"/>
                <w:bottom w:val="nil"/>
                <w:right w:val="nil"/>
                <w:between w:val="nil"/>
              </w:pBdr>
              <w:jc w:val="right"/>
              <w:rPr>
                <w:color w:val="000000"/>
              </w:rPr>
            </w:pPr>
          </w:p>
        </w:tc>
      </w:tr>
      <w:tr w:rsidR="008E5DE4" w14:paraId="3F93FCF6" w14:textId="77777777">
        <w:trPr>
          <w:cantSplit/>
          <w:trHeight w:val="169"/>
        </w:trPr>
        <w:tc>
          <w:tcPr>
            <w:tcW w:w="3061" w:type="dxa"/>
            <w:tcBorders>
              <w:bottom w:val="single" w:sz="4" w:space="0" w:color="000000"/>
            </w:tcBorders>
            <w:vAlign w:val="bottom"/>
          </w:tcPr>
          <w:p w14:paraId="462ECFA8"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0CE1306F"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60BC1FB"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C1D81BD"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13071B69"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2B3466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2A11DF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A081F57"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24A741CC" w14:textId="77777777" w:rsidR="008E5DE4" w:rsidRDefault="008E5DE4">
            <w:pPr>
              <w:widowControl w:val="0"/>
              <w:pBdr>
                <w:top w:val="nil"/>
                <w:left w:val="nil"/>
                <w:bottom w:val="nil"/>
                <w:right w:val="nil"/>
                <w:between w:val="nil"/>
              </w:pBdr>
              <w:jc w:val="right"/>
              <w:rPr>
                <w:color w:val="000000"/>
              </w:rPr>
            </w:pPr>
          </w:p>
        </w:tc>
      </w:tr>
      <w:tr w:rsidR="008E5DE4" w14:paraId="4908E1D5" w14:textId="77777777">
        <w:trPr>
          <w:cantSplit/>
          <w:trHeight w:val="153"/>
        </w:trPr>
        <w:tc>
          <w:tcPr>
            <w:tcW w:w="3061" w:type="dxa"/>
            <w:tcBorders>
              <w:top w:val="single" w:sz="4" w:space="0" w:color="000000"/>
            </w:tcBorders>
            <w:vAlign w:val="bottom"/>
          </w:tcPr>
          <w:p w14:paraId="2B5C38A5"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0BF5CC2A"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6FA61FE7"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322C70B"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83AE103"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05D71F2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8D23CA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46EDD8B"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4C35DA6A" w14:textId="77777777" w:rsidR="008E5DE4" w:rsidRDefault="008E5DE4">
            <w:pPr>
              <w:widowControl w:val="0"/>
              <w:pBdr>
                <w:top w:val="nil"/>
                <w:left w:val="nil"/>
                <w:bottom w:val="nil"/>
                <w:right w:val="nil"/>
                <w:between w:val="nil"/>
              </w:pBdr>
              <w:jc w:val="right"/>
              <w:rPr>
                <w:color w:val="000000"/>
              </w:rPr>
            </w:pPr>
          </w:p>
        </w:tc>
      </w:tr>
      <w:tr w:rsidR="008E5DE4" w14:paraId="7303D228" w14:textId="77777777">
        <w:trPr>
          <w:cantSplit/>
          <w:trHeight w:val="245"/>
        </w:trPr>
        <w:tc>
          <w:tcPr>
            <w:tcW w:w="3061" w:type="dxa"/>
            <w:vAlign w:val="bottom"/>
          </w:tcPr>
          <w:p w14:paraId="74CC9399"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6747520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62219A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53DF57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4FF27C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BA6E58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CC1124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5E75FF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859AB0D" w14:textId="77777777" w:rsidR="008E5DE4" w:rsidRDefault="008E5DE4">
            <w:pPr>
              <w:widowControl w:val="0"/>
              <w:pBdr>
                <w:top w:val="nil"/>
                <w:left w:val="nil"/>
                <w:bottom w:val="nil"/>
                <w:right w:val="nil"/>
                <w:between w:val="nil"/>
              </w:pBdr>
              <w:jc w:val="right"/>
              <w:rPr>
                <w:color w:val="000000"/>
              </w:rPr>
            </w:pPr>
          </w:p>
        </w:tc>
      </w:tr>
      <w:tr w:rsidR="008E5DE4" w14:paraId="13B3761D" w14:textId="77777777">
        <w:trPr>
          <w:cantSplit/>
          <w:trHeight w:val="80"/>
        </w:trPr>
        <w:tc>
          <w:tcPr>
            <w:tcW w:w="3061" w:type="dxa"/>
            <w:tcBorders>
              <w:bottom w:val="single" w:sz="4" w:space="0" w:color="000000"/>
            </w:tcBorders>
            <w:vAlign w:val="bottom"/>
          </w:tcPr>
          <w:p w14:paraId="74A250D3"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12039814"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2EEE009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B9AA6EE"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702EA20"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45DCBC9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03BED8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6136958"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41BD3BFF" w14:textId="77777777" w:rsidR="008E5DE4" w:rsidRDefault="008E5DE4">
            <w:pPr>
              <w:widowControl w:val="0"/>
              <w:pBdr>
                <w:top w:val="nil"/>
                <w:left w:val="nil"/>
                <w:bottom w:val="nil"/>
                <w:right w:val="nil"/>
                <w:between w:val="nil"/>
              </w:pBdr>
              <w:jc w:val="right"/>
              <w:rPr>
                <w:color w:val="000000"/>
              </w:rPr>
            </w:pPr>
          </w:p>
        </w:tc>
      </w:tr>
      <w:tr w:rsidR="008E5DE4" w14:paraId="10B88C36" w14:textId="77777777">
        <w:trPr>
          <w:cantSplit/>
          <w:trHeight w:val="153"/>
        </w:trPr>
        <w:tc>
          <w:tcPr>
            <w:tcW w:w="3061" w:type="dxa"/>
            <w:tcBorders>
              <w:top w:val="single" w:sz="4" w:space="0" w:color="000000"/>
            </w:tcBorders>
            <w:vAlign w:val="bottom"/>
          </w:tcPr>
          <w:p w14:paraId="66C6ED28"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78850154"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2190DFA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DE04E40"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126C584"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377431B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FA5293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E2B82CA"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66456ECD" w14:textId="77777777" w:rsidR="008E5DE4" w:rsidRDefault="008E5DE4">
            <w:pPr>
              <w:widowControl w:val="0"/>
              <w:pBdr>
                <w:top w:val="nil"/>
                <w:left w:val="nil"/>
                <w:bottom w:val="nil"/>
                <w:right w:val="nil"/>
                <w:between w:val="nil"/>
              </w:pBdr>
              <w:jc w:val="right"/>
              <w:rPr>
                <w:color w:val="000000"/>
              </w:rPr>
            </w:pPr>
          </w:p>
        </w:tc>
      </w:tr>
      <w:tr w:rsidR="008E5DE4" w14:paraId="1860FB6A" w14:textId="77777777">
        <w:trPr>
          <w:cantSplit/>
          <w:trHeight w:val="692"/>
        </w:trPr>
        <w:tc>
          <w:tcPr>
            <w:tcW w:w="3061" w:type="dxa"/>
            <w:vAlign w:val="bottom"/>
          </w:tcPr>
          <w:p w14:paraId="12E7B003"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5D582600"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19B6AFB6"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07F873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7727E35"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E606017"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62532BF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BCAAC3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93DEC7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7A537F7" w14:textId="77777777" w:rsidR="008E5DE4" w:rsidRDefault="008E5DE4">
            <w:pPr>
              <w:widowControl w:val="0"/>
              <w:pBdr>
                <w:top w:val="nil"/>
                <w:left w:val="nil"/>
                <w:bottom w:val="nil"/>
                <w:right w:val="nil"/>
                <w:between w:val="nil"/>
              </w:pBdr>
              <w:jc w:val="right"/>
              <w:rPr>
                <w:color w:val="000000"/>
                <w:highlight w:val="green"/>
              </w:rPr>
            </w:pPr>
          </w:p>
        </w:tc>
      </w:tr>
      <w:tr w:rsidR="008E5DE4" w14:paraId="72E36093" w14:textId="77777777">
        <w:trPr>
          <w:cantSplit/>
          <w:trHeight w:val="169"/>
        </w:trPr>
        <w:tc>
          <w:tcPr>
            <w:tcW w:w="3061" w:type="dxa"/>
            <w:vAlign w:val="bottom"/>
          </w:tcPr>
          <w:p w14:paraId="5B99CE93"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3696B8A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F3734B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3EF0E7B"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50B33AA"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29C9D65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F3018A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32D903C"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6032D07" w14:textId="77777777" w:rsidR="008E5DE4" w:rsidRDefault="008E5DE4">
            <w:pPr>
              <w:widowControl w:val="0"/>
              <w:pBdr>
                <w:top w:val="nil"/>
                <w:left w:val="nil"/>
                <w:bottom w:val="nil"/>
                <w:right w:val="nil"/>
                <w:between w:val="nil"/>
              </w:pBdr>
              <w:jc w:val="right"/>
              <w:rPr>
                <w:color w:val="000000"/>
                <w:highlight w:val="green"/>
              </w:rPr>
            </w:pPr>
          </w:p>
        </w:tc>
      </w:tr>
      <w:tr w:rsidR="008E5DE4" w14:paraId="1A73E473" w14:textId="77777777">
        <w:trPr>
          <w:cantSplit/>
          <w:trHeight w:val="169"/>
        </w:trPr>
        <w:tc>
          <w:tcPr>
            <w:tcW w:w="3061" w:type="dxa"/>
            <w:vAlign w:val="bottom"/>
          </w:tcPr>
          <w:p w14:paraId="17FCCB22"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5809A83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58685F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4CF367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C696139"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21C3BA6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CD39EA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D7AF35F"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0D730B2" w14:textId="77777777" w:rsidR="008E5DE4" w:rsidRDefault="008E5DE4">
            <w:pPr>
              <w:widowControl w:val="0"/>
              <w:pBdr>
                <w:top w:val="nil"/>
                <w:left w:val="nil"/>
                <w:bottom w:val="nil"/>
                <w:right w:val="nil"/>
                <w:between w:val="nil"/>
              </w:pBdr>
              <w:jc w:val="right"/>
              <w:rPr>
                <w:color w:val="000000"/>
                <w:highlight w:val="green"/>
              </w:rPr>
            </w:pPr>
          </w:p>
        </w:tc>
      </w:tr>
      <w:tr w:rsidR="008E5DE4" w14:paraId="63B77828" w14:textId="77777777">
        <w:trPr>
          <w:cantSplit/>
          <w:trHeight w:val="337"/>
        </w:trPr>
        <w:tc>
          <w:tcPr>
            <w:tcW w:w="3061" w:type="dxa"/>
            <w:vAlign w:val="bottom"/>
          </w:tcPr>
          <w:p w14:paraId="6B0FC3B3"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56D3A58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081534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C63B51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826E9F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7EB059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E436A8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B5A4E5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27CAAF6" w14:textId="77777777" w:rsidR="008E5DE4" w:rsidRDefault="008E5DE4">
            <w:pPr>
              <w:widowControl w:val="0"/>
              <w:pBdr>
                <w:top w:val="nil"/>
                <w:left w:val="nil"/>
                <w:bottom w:val="nil"/>
                <w:right w:val="nil"/>
                <w:between w:val="nil"/>
              </w:pBdr>
              <w:jc w:val="right"/>
              <w:rPr>
                <w:color w:val="000000"/>
              </w:rPr>
            </w:pPr>
          </w:p>
        </w:tc>
      </w:tr>
      <w:tr w:rsidR="008E5DE4" w14:paraId="7D274644" w14:textId="77777777">
        <w:trPr>
          <w:cantSplit/>
          <w:trHeight w:val="231"/>
        </w:trPr>
        <w:tc>
          <w:tcPr>
            <w:tcW w:w="3061" w:type="dxa"/>
            <w:vAlign w:val="bottom"/>
          </w:tcPr>
          <w:p w14:paraId="108979BD"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05100E0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3F69EC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736CEC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CA86E61"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49F6C4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30904D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C0B25B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2B38CA4" w14:textId="77777777" w:rsidR="008E5DE4" w:rsidRDefault="008E5DE4">
            <w:pPr>
              <w:widowControl w:val="0"/>
              <w:pBdr>
                <w:top w:val="nil"/>
                <w:left w:val="nil"/>
                <w:bottom w:val="nil"/>
                <w:right w:val="nil"/>
                <w:between w:val="nil"/>
              </w:pBdr>
              <w:jc w:val="right"/>
              <w:rPr>
                <w:color w:val="000000"/>
              </w:rPr>
            </w:pPr>
          </w:p>
        </w:tc>
      </w:tr>
      <w:tr w:rsidR="008E5DE4" w14:paraId="719378BD" w14:textId="77777777">
        <w:trPr>
          <w:cantSplit/>
          <w:trHeight w:val="169"/>
        </w:trPr>
        <w:tc>
          <w:tcPr>
            <w:tcW w:w="3061" w:type="dxa"/>
            <w:tcBorders>
              <w:bottom w:val="single" w:sz="4" w:space="0" w:color="000000"/>
            </w:tcBorders>
            <w:vAlign w:val="bottom"/>
          </w:tcPr>
          <w:p w14:paraId="66BFA4F9"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6128D17A"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75F91A2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06DF68E"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45988711"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07827D2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408232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73A3F4E"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509B5187" w14:textId="77777777" w:rsidR="008E5DE4" w:rsidRDefault="008E5DE4">
            <w:pPr>
              <w:widowControl w:val="0"/>
              <w:pBdr>
                <w:top w:val="nil"/>
                <w:left w:val="nil"/>
                <w:bottom w:val="nil"/>
                <w:right w:val="nil"/>
                <w:between w:val="nil"/>
              </w:pBdr>
              <w:jc w:val="right"/>
              <w:rPr>
                <w:color w:val="000000"/>
              </w:rPr>
            </w:pPr>
          </w:p>
        </w:tc>
      </w:tr>
      <w:tr w:rsidR="008E5DE4" w14:paraId="7770FBFB" w14:textId="77777777">
        <w:trPr>
          <w:cantSplit/>
          <w:trHeight w:val="169"/>
        </w:trPr>
        <w:tc>
          <w:tcPr>
            <w:tcW w:w="3061" w:type="dxa"/>
            <w:tcBorders>
              <w:top w:val="single" w:sz="4" w:space="0" w:color="000000"/>
            </w:tcBorders>
            <w:vAlign w:val="bottom"/>
          </w:tcPr>
          <w:p w14:paraId="418BDC8D"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2D98EAA9"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5E6F1C4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79CA330"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F2D48A4"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0748C47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DA62A6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AB58018"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5FFFE7EB" w14:textId="77777777" w:rsidR="008E5DE4" w:rsidRDefault="008E5DE4">
            <w:pPr>
              <w:widowControl w:val="0"/>
              <w:pBdr>
                <w:top w:val="nil"/>
                <w:left w:val="nil"/>
                <w:bottom w:val="nil"/>
                <w:right w:val="nil"/>
                <w:between w:val="nil"/>
              </w:pBdr>
              <w:jc w:val="right"/>
              <w:rPr>
                <w:color w:val="000000"/>
              </w:rPr>
            </w:pPr>
          </w:p>
        </w:tc>
      </w:tr>
      <w:tr w:rsidR="008E5DE4" w14:paraId="0C5E5A14" w14:textId="77777777">
        <w:trPr>
          <w:cantSplit/>
          <w:trHeight w:val="169"/>
        </w:trPr>
        <w:tc>
          <w:tcPr>
            <w:tcW w:w="3061" w:type="dxa"/>
            <w:vAlign w:val="bottom"/>
          </w:tcPr>
          <w:p w14:paraId="447FD5AD" w14:textId="0407836E"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1" w:type="dxa"/>
            <w:vAlign w:val="bottom"/>
          </w:tcPr>
          <w:p w14:paraId="773533A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F0C47E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52FD4B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700623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4C4F43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2D9646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8ECAFE2"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B24585B" w14:textId="77777777" w:rsidR="008E5DE4" w:rsidRDefault="008E5DE4">
            <w:pPr>
              <w:widowControl w:val="0"/>
              <w:pBdr>
                <w:top w:val="nil"/>
                <w:left w:val="nil"/>
                <w:bottom w:val="nil"/>
                <w:right w:val="nil"/>
                <w:between w:val="nil"/>
              </w:pBdr>
              <w:jc w:val="right"/>
              <w:rPr>
                <w:color w:val="000000"/>
              </w:rPr>
            </w:pPr>
          </w:p>
        </w:tc>
      </w:tr>
      <w:tr w:rsidR="008E5DE4" w14:paraId="191916FA" w14:textId="77777777">
        <w:trPr>
          <w:cantSplit/>
          <w:trHeight w:val="169"/>
        </w:trPr>
        <w:tc>
          <w:tcPr>
            <w:tcW w:w="3061" w:type="dxa"/>
            <w:tcBorders>
              <w:bottom w:val="single" w:sz="12" w:space="0" w:color="000000"/>
            </w:tcBorders>
            <w:vAlign w:val="bottom"/>
          </w:tcPr>
          <w:p w14:paraId="1AB25B87"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476E0E9A"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64330B8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154D1A60"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49F9856E"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04809B6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54D6EBC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5420FD73"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10A806C9" w14:textId="77777777" w:rsidR="008E5DE4" w:rsidRDefault="008E5DE4">
            <w:pPr>
              <w:widowControl w:val="0"/>
              <w:pBdr>
                <w:top w:val="nil"/>
                <w:left w:val="nil"/>
                <w:bottom w:val="nil"/>
                <w:right w:val="nil"/>
                <w:between w:val="nil"/>
              </w:pBdr>
              <w:jc w:val="right"/>
              <w:rPr>
                <w:color w:val="000000"/>
              </w:rPr>
            </w:pPr>
          </w:p>
        </w:tc>
      </w:tr>
    </w:tbl>
    <w:p w14:paraId="72933302"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1418CACA"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162872FD" w14:textId="3A5A5EDD"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municipal bonds at FVOCI in </w:t>
      </w:r>
      <w:r w:rsidR="00FF468A">
        <w:rPr>
          <w:color w:val="000000"/>
          <w:sz w:val="20"/>
          <w:szCs w:val="20"/>
        </w:rPr>
        <w:t>2024</w:t>
      </w:r>
      <w:r>
        <w:rPr>
          <w:color w:val="000000"/>
          <w:sz w:val="20"/>
          <w:szCs w:val="20"/>
        </w:rPr>
        <w:t xml:space="preserve"> were as follows.</w:t>
      </w:r>
    </w:p>
    <w:tbl>
      <w:tblPr>
        <w:tblStyle w:val="afffffff2"/>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33A3E520" w14:textId="77777777">
        <w:trPr>
          <w:cantSplit/>
          <w:trHeight w:val="169"/>
          <w:tblHeader/>
        </w:trPr>
        <w:tc>
          <w:tcPr>
            <w:tcW w:w="3061" w:type="dxa"/>
            <w:vAlign w:val="bottom"/>
          </w:tcPr>
          <w:p w14:paraId="28D011F4"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514D8067"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2543C331"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10A1A00C" w14:textId="77777777">
        <w:trPr>
          <w:cantSplit/>
          <w:trHeight w:val="507"/>
          <w:tblHeader/>
        </w:trPr>
        <w:tc>
          <w:tcPr>
            <w:tcW w:w="3061" w:type="dxa"/>
            <w:tcBorders>
              <w:bottom w:val="single" w:sz="4" w:space="0" w:color="000000"/>
            </w:tcBorders>
            <w:vAlign w:val="bottom"/>
          </w:tcPr>
          <w:p w14:paraId="3199CA8D" w14:textId="77777777" w:rsidR="008E5DE4" w:rsidRDefault="008E5DE4">
            <w:pPr>
              <w:widowControl w:val="0"/>
              <w:pBdr>
                <w:top w:val="nil"/>
                <w:left w:val="nil"/>
                <w:bottom w:val="nil"/>
                <w:right w:val="nil"/>
                <w:between w:val="nil"/>
              </w:pBdr>
              <w:ind w:left="113" w:right="-57" w:hanging="113"/>
              <w:rPr>
                <w:i/>
                <w:color w:val="000000"/>
              </w:rPr>
            </w:pPr>
          </w:p>
          <w:p w14:paraId="73FC5976"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330106B1"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496A93D6"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18B642ED"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3322AD5"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56A1F1B6"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DC2C622"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5437D939"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7D95357F"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60324883"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0414C1B4"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B57D063"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62E23011"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A5AEEAB"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2D82DE94"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6144381C" w14:textId="77777777">
        <w:trPr>
          <w:cantSplit/>
          <w:trHeight w:val="169"/>
          <w:tblHeader/>
        </w:trPr>
        <w:tc>
          <w:tcPr>
            <w:tcW w:w="3061" w:type="dxa"/>
            <w:vAlign w:val="bottom"/>
          </w:tcPr>
          <w:p w14:paraId="23859C64" w14:textId="77777777" w:rsidR="008E5DE4" w:rsidRDefault="008E5DE4">
            <w:pPr>
              <w:widowControl w:val="0"/>
              <w:ind w:left="113" w:right="-57" w:hanging="113"/>
            </w:pPr>
          </w:p>
        </w:tc>
        <w:tc>
          <w:tcPr>
            <w:tcW w:w="851" w:type="dxa"/>
            <w:vAlign w:val="bottom"/>
          </w:tcPr>
          <w:p w14:paraId="57CD6C5D"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7EC302E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A542175"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8943396" w14:textId="77777777" w:rsidR="008E5DE4" w:rsidRDefault="008E5DE4">
            <w:pPr>
              <w:widowControl w:val="0"/>
              <w:pBdr>
                <w:top w:val="nil"/>
                <w:left w:val="nil"/>
                <w:bottom w:val="nil"/>
                <w:right w:val="nil"/>
                <w:between w:val="nil"/>
              </w:pBdr>
              <w:jc w:val="right"/>
              <w:rPr>
                <w:color w:val="000000"/>
              </w:rPr>
            </w:pPr>
          </w:p>
        </w:tc>
        <w:tc>
          <w:tcPr>
            <w:tcW w:w="871" w:type="dxa"/>
          </w:tcPr>
          <w:p w14:paraId="588BD02A" w14:textId="77777777" w:rsidR="008E5DE4" w:rsidRDefault="008E5DE4">
            <w:pPr>
              <w:widowControl w:val="0"/>
              <w:pBdr>
                <w:top w:val="nil"/>
                <w:left w:val="nil"/>
                <w:bottom w:val="nil"/>
                <w:right w:val="nil"/>
                <w:between w:val="nil"/>
              </w:pBdr>
              <w:jc w:val="right"/>
              <w:rPr>
                <w:color w:val="000000"/>
              </w:rPr>
            </w:pPr>
          </w:p>
        </w:tc>
        <w:tc>
          <w:tcPr>
            <w:tcW w:w="856" w:type="dxa"/>
          </w:tcPr>
          <w:p w14:paraId="06BDD0D3" w14:textId="77777777" w:rsidR="008E5DE4" w:rsidRDefault="008E5DE4">
            <w:pPr>
              <w:widowControl w:val="0"/>
              <w:pBdr>
                <w:top w:val="nil"/>
                <w:left w:val="nil"/>
                <w:bottom w:val="nil"/>
                <w:right w:val="nil"/>
                <w:between w:val="nil"/>
              </w:pBdr>
              <w:jc w:val="right"/>
              <w:rPr>
                <w:color w:val="000000"/>
              </w:rPr>
            </w:pPr>
          </w:p>
        </w:tc>
        <w:tc>
          <w:tcPr>
            <w:tcW w:w="856" w:type="dxa"/>
          </w:tcPr>
          <w:p w14:paraId="3B00E1E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BE73E0D" w14:textId="77777777" w:rsidR="008E5DE4" w:rsidRDefault="008E5DE4">
            <w:pPr>
              <w:widowControl w:val="0"/>
              <w:pBdr>
                <w:top w:val="nil"/>
                <w:left w:val="nil"/>
                <w:bottom w:val="nil"/>
                <w:right w:val="nil"/>
                <w:between w:val="nil"/>
              </w:pBdr>
              <w:jc w:val="right"/>
              <w:rPr>
                <w:color w:val="000000"/>
              </w:rPr>
            </w:pPr>
          </w:p>
        </w:tc>
      </w:tr>
      <w:tr w:rsidR="008E5DE4" w14:paraId="0F5CDBD4" w14:textId="77777777">
        <w:trPr>
          <w:cantSplit/>
          <w:trHeight w:val="169"/>
        </w:trPr>
        <w:tc>
          <w:tcPr>
            <w:tcW w:w="3061" w:type="dxa"/>
            <w:vAlign w:val="bottom"/>
          </w:tcPr>
          <w:p w14:paraId="11297DA4"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Municipal bonds</w:t>
            </w:r>
          </w:p>
        </w:tc>
        <w:tc>
          <w:tcPr>
            <w:tcW w:w="851" w:type="dxa"/>
            <w:vAlign w:val="bottom"/>
          </w:tcPr>
          <w:p w14:paraId="7FC5AC8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D78C0D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C8AAD1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F1EC236" w14:textId="77777777" w:rsidR="008E5DE4" w:rsidRDefault="008E5DE4">
            <w:pPr>
              <w:widowControl w:val="0"/>
              <w:pBdr>
                <w:top w:val="nil"/>
                <w:left w:val="nil"/>
                <w:bottom w:val="nil"/>
                <w:right w:val="nil"/>
                <w:between w:val="nil"/>
              </w:pBdr>
              <w:jc w:val="right"/>
              <w:rPr>
                <w:color w:val="000000"/>
              </w:rPr>
            </w:pPr>
          </w:p>
        </w:tc>
        <w:tc>
          <w:tcPr>
            <w:tcW w:w="871" w:type="dxa"/>
          </w:tcPr>
          <w:p w14:paraId="0A0D8BD4" w14:textId="77777777" w:rsidR="008E5DE4" w:rsidRDefault="008E5DE4">
            <w:pPr>
              <w:widowControl w:val="0"/>
              <w:pBdr>
                <w:top w:val="nil"/>
                <w:left w:val="nil"/>
                <w:bottom w:val="nil"/>
                <w:right w:val="nil"/>
                <w:between w:val="nil"/>
              </w:pBdr>
              <w:jc w:val="right"/>
              <w:rPr>
                <w:color w:val="000000"/>
              </w:rPr>
            </w:pPr>
          </w:p>
        </w:tc>
        <w:tc>
          <w:tcPr>
            <w:tcW w:w="856" w:type="dxa"/>
          </w:tcPr>
          <w:p w14:paraId="44BA0162" w14:textId="77777777" w:rsidR="008E5DE4" w:rsidRDefault="008E5DE4">
            <w:pPr>
              <w:widowControl w:val="0"/>
              <w:pBdr>
                <w:top w:val="nil"/>
                <w:left w:val="nil"/>
                <w:bottom w:val="nil"/>
                <w:right w:val="nil"/>
                <w:between w:val="nil"/>
              </w:pBdr>
              <w:jc w:val="right"/>
              <w:rPr>
                <w:color w:val="000000"/>
              </w:rPr>
            </w:pPr>
          </w:p>
        </w:tc>
        <w:tc>
          <w:tcPr>
            <w:tcW w:w="856" w:type="dxa"/>
          </w:tcPr>
          <w:p w14:paraId="2ED3DD6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0E07E60" w14:textId="77777777" w:rsidR="008E5DE4" w:rsidRDefault="008E5DE4">
            <w:pPr>
              <w:widowControl w:val="0"/>
              <w:pBdr>
                <w:top w:val="nil"/>
                <w:left w:val="nil"/>
                <w:bottom w:val="nil"/>
                <w:right w:val="nil"/>
                <w:between w:val="nil"/>
              </w:pBdr>
              <w:jc w:val="right"/>
              <w:rPr>
                <w:color w:val="000000"/>
              </w:rPr>
            </w:pPr>
          </w:p>
        </w:tc>
      </w:tr>
      <w:tr w:rsidR="008E5DE4" w14:paraId="035BB89F" w14:textId="77777777">
        <w:trPr>
          <w:cantSplit/>
          <w:trHeight w:val="169"/>
        </w:trPr>
        <w:tc>
          <w:tcPr>
            <w:tcW w:w="3061" w:type="dxa"/>
            <w:vAlign w:val="bottom"/>
          </w:tcPr>
          <w:p w14:paraId="786A1B45"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19A51C4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E3BA81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1AC465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9130BE9" w14:textId="77777777" w:rsidR="008E5DE4" w:rsidRDefault="008E5DE4">
            <w:pPr>
              <w:widowControl w:val="0"/>
              <w:pBdr>
                <w:top w:val="nil"/>
                <w:left w:val="nil"/>
                <w:bottom w:val="nil"/>
                <w:right w:val="nil"/>
                <w:between w:val="nil"/>
              </w:pBdr>
              <w:jc w:val="right"/>
              <w:rPr>
                <w:color w:val="000000"/>
              </w:rPr>
            </w:pPr>
          </w:p>
        </w:tc>
        <w:tc>
          <w:tcPr>
            <w:tcW w:w="871" w:type="dxa"/>
          </w:tcPr>
          <w:p w14:paraId="7ABCCC19" w14:textId="77777777" w:rsidR="008E5DE4" w:rsidRDefault="008E5DE4">
            <w:pPr>
              <w:widowControl w:val="0"/>
              <w:pBdr>
                <w:top w:val="nil"/>
                <w:left w:val="nil"/>
                <w:bottom w:val="nil"/>
                <w:right w:val="nil"/>
                <w:between w:val="nil"/>
              </w:pBdr>
              <w:jc w:val="right"/>
              <w:rPr>
                <w:color w:val="000000"/>
              </w:rPr>
            </w:pPr>
          </w:p>
        </w:tc>
        <w:tc>
          <w:tcPr>
            <w:tcW w:w="856" w:type="dxa"/>
          </w:tcPr>
          <w:p w14:paraId="37EEE5DA" w14:textId="77777777" w:rsidR="008E5DE4" w:rsidRDefault="008E5DE4">
            <w:pPr>
              <w:widowControl w:val="0"/>
              <w:pBdr>
                <w:top w:val="nil"/>
                <w:left w:val="nil"/>
                <w:bottom w:val="nil"/>
                <w:right w:val="nil"/>
                <w:between w:val="nil"/>
              </w:pBdr>
              <w:jc w:val="right"/>
              <w:rPr>
                <w:color w:val="000000"/>
              </w:rPr>
            </w:pPr>
          </w:p>
        </w:tc>
        <w:tc>
          <w:tcPr>
            <w:tcW w:w="856" w:type="dxa"/>
          </w:tcPr>
          <w:p w14:paraId="62F49EF4"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D82F0C6" w14:textId="77777777" w:rsidR="008E5DE4" w:rsidRDefault="008E5DE4">
            <w:pPr>
              <w:widowControl w:val="0"/>
              <w:pBdr>
                <w:top w:val="nil"/>
                <w:left w:val="nil"/>
                <w:bottom w:val="nil"/>
                <w:right w:val="nil"/>
                <w:between w:val="nil"/>
              </w:pBdr>
              <w:jc w:val="right"/>
              <w:rPr>
                <w:color w:val="000000"/>
              </w:rPr>
            </w:pPr>
          </w:p>
        </w:tc>
      </w:tr>
      <w:tr w:rsidR="008E5DE4" w14:paraId="2771BACC" w14:textId="77777777">
        <w:trPr>
          <w:cantSplit/>
          <w:trHeight w:val="169"/>
        </w:trPr>
        <w:tc>
          <w:tcPr>
            <w:tcW w:w="3061" w:type="dxa"/>
            <w:vAlign w:val="bottom"/>
          </w:tcPr>
          <w:p w14:paraId="70C65352" w14:textId="76171881"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w:t>
            </w:r>
            <w:r w:rsidR="00FF468A">
              <w:rPr>
                <w:b/>
                <w:color w:val="000000"/>
              </w:rPr>
              <w:t>2024</w:t>
            </w:r>
          </w:p>
        </w:tc>
        <w:tc>
          <w:tcPr>
            <w:tcW w:w="851" w:type="dxa"/>
            <w:vAlign w:val="bottom"/>
          </w:tcPr>
          <w:p w14:paraId="03776D6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7AC983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358CF6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11A40B9" w14:textId="77777777" w:rsidR="008E5DE4" w:rsidRDefault="008E5DE4">
            <w:pPr>
              <w:widowControl w:val="0"/>
              <w:pBdr>
                <w:top w:val="nil"/>
                <w:left w:val="nil"/>
                <w:bottom w:val="nil"/>
                <w:right w:val="nil"/>
                <w:between w:val="nil"/>
              </w:pBdr>
              <w:jc w:val="right"/>
              <w:rPr>
                <w:color w:val="000000"/>
              </w:rPr>
            </w:pPr>
          </w:p>
        </w:tc>
        <w:tc>
          <w:tcPr>
            <w:tcW w:w="871" w:type="dxa"/>
          </w:tcPr>
          <w:p w14:paraId="3731AE8F" w14:textId="77777777" w:rsidR="008E5DE4" w:rsidRDefault="008E5DE4">
            <w:pPr>
              <w:widowControl w:val="0"/>
              <w:pBdr>
                <w:top w:val="nil"/>
                <w:left w:val="nil"/>
                <w:bottom w:val="nil"/>
                <w:right w:val="nil"/>
                <w:between w:val="nil"/>
              </w:pBdr>
              <w:jc w:val="right"/>
              <w:rPr>
                <w:color w:val="000000"/>
              </w:rPr>
            </w:pPr>
          </w:p>
        </w:tc>
        <w:tc>
          <w:tcPr>
            <w:tcW w:w="856" w:type="dxa"/>
          </w:tcPr>
          <w:p w14:paraId="08026404" w14:textId="77777777" w:rsidR="008E5DE4" w:rsidRDefault="008E5DE4">
            <w:pPr>
              <w:widowControl w:val="0"/>
              <w:pBdr>
                <w:top w:val="nil"/>
                <w:left w:val="nil"/>
                <w:bottom w:val="nil"/>
                <w:right w:val="nil"/>
                <w:between w:val="nil"/>
              </w:pBdr>
              <w:jc w:val="right"/>
              <w:rPr>
                <w:color w:val="000000"/>
              </w:rPr>
            </w:pPr>
          </w:p>
        </w:tc>
        <w:tc>
          <w:tcPr>
            <w:tcW w:w="856" w:type="dxa"/>
          </w:tcPr>
          <w:p w14:paraId="5EC3AC8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3BF2817" w14:textId="77777777" w:rsidR="008E5DE4" w:rsidRDefault="008E5DE4">
            <w:pPr>
              <w:widowControl w:val="0"/>
              <w:pBdr>
                <w:top w:val="nil"/>
                <w:left w:val="nil"/>
                <w:bottom w:val="nil"/>
                <w:right w:val="nil"/>
                <w:between w:val="nil"/>
              </w:pBdr>
              <w:jc w:val="right"/>
              <w:rPr>
                <w:color w:val="000000"/>
              </w:rPr>
            </w:pPr>
          </w:p>
        </w:tc>
      </w:tr>
      <w:tr w:rsidR="008E5DE4" w14:paraId="05C7A62D" w14:textId="77777777">
        <w:trPr>
          <w:cantSplit/>
          <w:trHeight w:val="676"/>
        </w:trPr>
        <w:tc>
          <w:tcPr>
            <w:tcW w:w="3061" w:type="dxa"/>
            <w:vAlign w:val="bottom"/>
          </w:tcPr>
          <w:p w14:paraId="5117DFAD" w14:textId="77777777" w:rsidR="008E5DE4" w:rsidRDefault="008E5DE4">
            <w:pPr>
              <w:widowControl w:val="0"/>
              <w:pBdr>
                <w:top w:val="nil"/>
                <w:left w:val="nil"/>
                <w:bottom w:val="nil"/>
                <w:right w:val="nil"/>
                <w:between w:val="nil"/>
              </w:pBdr>
              <w:ind w:left="113" w:right="-57" w:hanging="113"/>
              <w:rPr>
                <w:b/>
                <w:color w:val="000000"/>
              </w:rPr>
            </w:pPr>
          </w:p>
          <w:p w14:paraId="1BECD933"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68553BD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8E5776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623860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BD8ECC5" w14:textId="77777777" w:rsidR="008E5DE4" w:rsidRDefault="008E5DE4">
            <w:pPr>
              <w:widowControl w:val="0"/>
              <w:pBdr>
                <w:top w:val="nil"/>
                <w:left w:val="nil"/>
                <w:bottom w:val="nil"/>
                <w:right w:val="nil"/>
                <w:between w:val="nil"/>
              </w:pBdr>
              <w:jc w:val="right"/>
              <w:rPr>
                <w:color w:val="000000"/>
              </w:rPr>
            </w:pPr>
          </w:p>
        </w:tc>
        <w:tc>
          <w:tcPr>
            <w:tcW w:w="871" w:type="dxa"/>
          </w:tcPr>
          <w:p w14:paraId="6C000693"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58091A68" w14:textId="77777777" w:rsidR="008E5DE4" w:rsidRDefault="008E5DE4">
            <w:pPr>
              <w:widowControl w:val="0"/>
              <w:pBdr>
                <w:top w:val="nil"/>
                <w:left w:val="nil"/>
                <w:bottom w:val="nil"/>
                <w:right w:val="nil"/>
                <w:between w:val="nil"/>
              </w:pBdr>
              <w:jc w:val="right"/>
              <w:rPr>
                <w:color w:val="000000"/>
              </w:rPr>
            </w:pPr>
          </w:p>
        </w:tc>
        <w:tc>
          <w:tcPr>
            <w:tcW w:w="856" w:type="dxa"/>
          </w:tcPr>
          <w:p w14:paraId="7046DBE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96FEC43" w14:textId="77777777" w:rsidR="008E5DE4" w:rsidRDefault="008E5DE4">
            <w:pPr>
              <w:widowControl w:val="0"/>
              <w:pBdr>
                <w:top w:val="nil"/>
                <w:left w:val="nil"/>
                <w:bottom w:val="nil"/>
                <w:right w:val="nil"/>
                <w:between w:val="nil"/>
              </w:pBdr>
              <w:jc w:val="right"/>
              <w:rPr>
                <w:color w:val="000000"/>
              </w:rPr>
            </w:pPr>
          </w:p>
        </w:tc>
      </w:tr>
      <w:tr w:rsidR="008E5DE4" w14:paraId="7937C865" w14:textId="77777777">
        <w:trPr>
          <w:cantSplit/>
          <w:trHeight w:val="184"/>
        </w:trPr>
        <w:tc>
          <w:tcPr>
            <w:tcW w:w="3061" w:type="dxa"/>
            <w:vAlign w:val="bottom"/>
          </w:tcPr>
          <w:p w14:paraId="573ECC09"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1F265E3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DFA5CB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8C3E3C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E05F01A"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4D9191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7A48D1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EC6010D"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D232B0F" w14:textId="77777777" w:rsidR="008E5DE4" w:rsidRDefault="008E5DE4">
            <w:pPr>
              <w:widowControl w:val="0"/>
              <w:pBdr>
                <w:top w:val="nil"/>
                <w:left w:val="nil"/>
                <w:bottom w:val="nil"/>
                <w:right w:val="nil"/>
                <w:between w:val="nil"/>
              </w:pBdr>
              <w:jc w:val="right"/>
              <w:rPr>
                <w:color w:val="000000"/>
                <w:highlight w:val="green"/>
              </w:rPr>
            </w:pPr>
          </w:p>
        </w:tc>
      </w:tr>
      <w:tr w:rsidR="008E5DE4" w14:paraId="4FE67512" w14:textId="77777777">
        <w:trPr>
          <w:cantSplit/>
          <w:trHeight w:val="184"/>
        </w:trPr>
        <w:tc>
          <w:tcPr>
            <w:tcW w:w="3061" w:type="dxa"/>
            <w:vAlign w:val="bottom"/>
          </w:tcPr>
          <w:p w14:paraId="6C0FC4E6"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34018F49"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AE2B45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62E539D"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A4A833A"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799361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BBBF687"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4ED767C"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4E71391" w14:textId="77777777" w:rsidR="008E5DE4" w:rsidRDefault="008E5DE4">
            <w:pPr>
              <w:widowControl w:val="0"/>
              <w:pBdr>
                <w:top w:val="nil"/>
                <w:left w:val="nil"/>
                <w:bottom w:val="nil"/>
                <w:right w:val="nil"/>
                <w:between w:val="nil"/>
              </w:pBdr>
              <w:jc w:val="right"/>
              <w:rPr>
                <w:color w:val="000000"/>
                <w:highlight w:val="green"/>
              </w:rPr>
            </w:pPr>
          </w:p>
        </w:tc>
      </w:tr>
      <w:tr w:rsidR="008E5DE4" w14:paraId="73F5887E" w14:textId="77777777">
        <w:trPr>
          <w:cantSplit/>
          <w:trHeight w:val="80"/>
        </w:trPr>
        <w:tc>
          <w:tcPr>
            <w:tcW w:w="3061" w:type="dxa"/>
            <w:vAlign w:val="bottom"/>
          </w:tcPr>
          <w:p w14:paraId="572613BF"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6AD068E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855D3B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FA8E7E1"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DD483FF"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CD89EC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D5053F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DB3225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C397976" w14:textId="77777777" w:rsidR="008E5DE4" w:rsidRDefault="008E5DE4">
            <w:pPr>
              <w:widowControl w:val="0"/>
              <w:pBdr>
                <w:top w:val="nil"/>
                <w:left w:val="nil"/>
                <w:bottom w:val="nil"/>
                <w:right w:val="nil"/>
                <w:between w:val="nil"/>
              </w:pBdr>
              <w:jc w:val="right"/>
              <w:rPr>
                <w:color w:val="000000"/>
                <w:highlight w:val="green"/>
              </w:rPr>
            </w:pPr>
          </w:p>
        </w:tc>
      </w:tr>
      <w:tr w:rsidR="008E5DE4" w14:paraId="3865CC6A" w14:textId="77777777">
        <w:trPr>
          <w:cantSplit/>
          <w:trHeight w:val="80"/>
        </w:trPr>
        <w:tc>
          <w:tcPr>
            <w:tcW w:w="3061" w:type="dxa"/>
            <w:vAlign w:val="bottom"/>
          </w:tcPr>
          <w:p w14:paraId="2D8247E1"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7A0C512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5937F1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67FA1D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970CB6A"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738633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94340A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413E9F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B034B20" w14:textId="77777777" w:rsidR="008E5DE4" w:rsidRDefault="008E5DE4">
            <w:pPr>
              <w:widowControl w:val="0"/>
              <w:pBdr>
                <w:top w:val="nil"/>
                <w:left w:val="nil"/>
                <w:bottom w:val="nil"/>
                <w:right w:val="nil"/>
                <w:between w:val="nil"/>
              </w:pBdr>
              <w:jc w:val="right"/>
              <w:rPr>
                <w:color w:val="000000"/>
                <w:highlight w:val="green"/>
              </w:rPr>
            </w:pPr>
          </w:p>
        </w:tc>
      </w:tr>
      <w:tr w:rsidR="008E5DE4" w14:paraId="469059AC" w14:textId="77777777">
        <w:trPr>
          <w:cantSplit/>
          <w:trHeight w:val="361"/>
        </w:trPr>
        <w:tc>
          <w:tcPr>
            <w:tcW w:w="3061" w:type="dxa"/>
            <w:vAlign w:val="bottom"/>
          </w:tcPr>
          <w:p w14:paraId="345FC46B"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58FF0267"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A0C18D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D21A76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F1FF635"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835164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7A4CFDB"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8C6B62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A47262C" w14:textId="77777777" w:rsidR="008E5DE4" w:rsidRDefault="008E5DE4">
            <w:pPr>
              <w:widowControl w:val="0"/>
              <w:pBdr>
                <w:top w:val="nil"/>
                <w:left w:val="nil"/>
                <w:bottom w:val="nil"/>
                <w:right w:val="nil"/>
                <w:between w:val="nil"/>
              </w:pBdr>
              <w:jc w:val="right"/>
              <w:rPr>
                <w:color w:val="000000"/>
                <w:highlight w:val="green"/>
              </w:rPr>
            </w:pPr>
          </w:p>
        </w:tc>
      </w:tr>
      <w:tr w:rsidR="008E5DE4" w14:paraId="37241E64" w14:textId="77777777">
        <w:trPr>
          <w:cantSplit/>
          <w:trHeight w:val="169"/>
        </w:trPr>
        <w:tc>
          <w:tcPr>
            <w:tcW w:w="3061" w:type="dxa"/>
            <w:vAlign w:val="bottom"/>
          </w:tcPr>
          <w:p w14:paraId="2ACD06B5"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168724D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99C68A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0688D4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6002A12" w14:textId="77777777" w:rsidR="008E5DE4" w:rsidRDefault="008E5DE4">
            <w:pPr>
              <w:widowControl w:val="0"/>
              <w:pBdr>
                <w:top w:val="nil"/>
                <w:left w:val="nil"/>
                <w:bottom w:val="nil"/>
                <w:right w:val="nil"/>
                <w:between w:val="nil"/>
              </w:pBdr>
              <w:jc w:val="right"/>
              <w:rPr>
                <w:color w:val="000000"/>
              </w:rPr>
            </w:pPr>
          </w:p>
        </w:tc>
        <w:tc>
          <w:tcPr>
            <w:tcW w:w="871" w:type="dxa"/>
          </w:tcPr>
          <w:p w14:paraId="6F5AA923" w14:textId="77777777" w:rsidR="008E5DE4" w:rsidRDefault="008E5DE4">
            <w:pPr>
              <w:widowControl w:val="0"/>
              <w:pBdr>
                <w:top w:val="nil"/>
                <w:left w:val="nil"/>
                <w:bottom w:val="nil"/>
                <w:right w:val="nil"/>
                <w:between w:val="nil"/>
              </w:pBdr>
              <w:jc w:val="right"/>
              <w:rPr>
                <w:color w:val="000000"/>
              </w:rPr>
            </w:pPr>
          </w:p>
        </w:tc>
        <w:tc>
          <w:tcPr>
            <w:tcW w:w="856" w:type="dxa"/>
          </w:tcPr>
          <w:p w14:paraId="04179130" w14:textId="77777777" w:rsidR="008E5DE4" w:rsidRDefault="008E5DE4">
            <w:pPr>
              <w:widowControl w:val="0"/>
              <w:pBdr>
                <w:top w:val="nil"/>
                <w:left w:val="nil"/>
                <w:bottom w:val="nil"/>
                <w:right w:val="nil"/>
                <w:between w:val="nil"/>
              </w:pBdr>
              <w:jc w:val="right"/>
              <w:rPr>
                <w:color w:val="000000"/>
              </w:rPr>
            </w:pPr>
          </w:p>
        </w:tc>
        <w:tc>
          <w:tcPr>
            <w:tcW w:w="856" w:type="dxa"/>
          </w:tcPr>
          <w:p w14:paraId="1729A074"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2FD3697" w14:textId="77777777" w:rsidR="008E5DE4" w:rsidRDefault="008E5DE4">
            <w:pPr>
              <w:widowControl w:val="0"/>
              <w:pBdr>
                <w:top w:val="nil"/>
                <w:left w:val="nil"/>
                <w:bottom w:val="nil"/>
                <w:right w:val="nil"/>
                <w:between w:val="nil"/>
              </w:pBdr>
              <w:jc w:val="right"/>
              <w:rPr>
                <w:color w:val="000000"/>
              </w:rPr>
            </w:pPr>
          </w:p>
        </w:tc>
      </w:tr>
      <w:tr w:rsidR="008E5DE4" w14:paraId="0EF53B64" w14:textId="77777777">
        <w:trPr>
          <w:cantSplit/>
          <w:trHeight w:val="232"/>
        </w:trPr>
        <w:tc>
          <w:tcPr>
            <w:tcW w:w="3061" w:type="dxa"/>
            <w:vAlign w:val="bottom"/>
          </w:tcPr>
          <w:p w14:paraId="7FAEAC81"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6B1CCA5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A8A969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1BEE60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38AB072" w14:textId="77777777" w:rsidR="008E5DE4" w:rsidRDefault="008E5DE4">
            <w:pPr>
              <w:widowControl w:val="0"/>
              <w:pBdr>
                <w:top w:val="nil"/>
                <w:left w:val="nil"/>
                <w:bottom w:val="nil"/>
                <w:right w:val="nil"/>
                <w:between w:val="nil"/>
              </w:pBdr>
              <w:jc w:val="right"/>
              <w:rPr>
                <w:color w:val="000000"/>
              </w:rPr>
            </w:pPr>
          </w:p>
        </w:tc>
        <w:tc>
          <w:tcPr>
            <w:tcW w:w="871" w:type="dxa"/>
          </w:tcPr>
          <w:p w14:paraId="0A9FD777" w14:textId="77777777" w:rsidR="008E5DE4" w:rsidRDefault="008E5DE4">
            <w:pPr>
              <w:widowControl w:val="0"/>
              <w:pBdr>
                <w:top w:val="nil"/>
                <w:left w:val="nil"/>
                <w:bottom w:val="nil"/>
                <w:right w:val="nil"/>
                <w:between w:val="nil"/>
              </w:pBdr>
              <w:jc w:val="right"/>
              <w:rPr>
                <w:color w:val="000000"/>
              </w:rPr>
            </w:pPr>
          </w:p>
        </w:tc>
        <w:tc>
          <w:tcPr>
            <w:tcW w:w="856" w:type="dxa"/>
          </w:tcPr>
          <w:p w14:paraId="31199FBC" w14:textId="77777777" w:rsidR="008E5DE4" w:rsidRDefault="008E5DE4">
            <w:pPr>
              <w:widowControl w:val="0"/>
              <w:pBdr>
                <w:top w:val="nil"/>
                <w:left w:val="nil"/>
                <w:bottom w:val="nil"/>
                <w:right w:val="nil"/>
                <w:between w:val="nil"/>
              </w:pBdr>
              <w:jc w:val="right"/>
              <w:rPr>
                <w:color w:val="000000"/>
              </w:rPr>
            </w:pPr>
          </w:p>
        </w:tc>
        <w:tc>
          <w:tcPr>
            <w:tcW w:w="856" w:type="dxa"/>
          </w:tcPr>
          <w:p w14:paraId="3F11CF4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949CAC9" w14:textId="77777777" w:rsidR="008E5DE4" w:rsidRDefault="008E5DE4">
            <w:pPr>
              <w:widowControl w:val="0"/>
              <w:pBdr>
                <w:top w:val="nil"/>
                <w:left w:val="nil"/>
                <w:bottom w:val="nil"/>
                <w:right w:val="nil"/>
                <w:between w:val="nil"/>
              </w:pBdr>
              <w:jc w:val="right"/>
              <w:rPr>
                <w:color w:val="000000"/>
              </w:rPr>
            </w:pPr>
          </w:p>
        </w:tc>
      </w:tr>
      <w:tr w:rsidR="008E5DE4" w14:paraId="15F6096B" w14:textId="77777777">
        <w:trPr>
          <w:cantSplit/>
          <w:trHeight w:val="80"/>
        </w:trPr>
        <w:tc>
          <w:tcPr>
            <w:tcW w:w="3061" w:type="dxa"/>
            <w:vAlign w:val="bottom"/>
          </w:tcPr>
          <w:p w14:paraId="70F431E8"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632B958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A144CD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7D3893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94347D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528B71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603A91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57BC89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8CB9A94" w14:textId="77777777" w:rsidR="008E5DE4" w:rsidRDefault="008E5DE4">
            <w:pPr>
              <w:widowControl w:val="0"/>
              <w:pBdr>
                <w:top w:val="nil"/>
                <w:left w:val="nil"/>
                <w:bottom w:val="nil"/>
                <w:right w:val="nil"/>
                <w:between w:val="nil"/>
              </w:pBdr>
              <w:jc w:val="right"/>
              <w:rPr>
                <w:color w:val="000000"/>
              </w:rPr>
            </w:pPr>
          </w:p>
        </w:tc>
      </w:tr>
      <w:tr w:rsidR="008E5DE4" w14:paraId="2ACF28B5" w14:textId="77777777">
        <w:trPr>
          <w:cantSplit/>
          <w:trHeight w:val="85"/>
        </w:trPr>
        <w:tc>
          <w:tcPr>
            <w:tcW w:w="3061" w:type="dxa"/>
            <w:vAlign w:val="bottom"/>
          </w:tcPr>
          <w:p w14:paraId="1AD405B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52EB3D8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5A34E6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503F61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40502C4"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F47B8F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D9002E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8CBEE3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27FC5AB" w14:textId="77777777" w:rsidR="008E5DE4" w:rsidRDefault="008E5DE4">
            <w:pPr>
              <w:widowControl w:val="0"/>
              <w:pBdr>
                <w:top w:val="nil"/>
                <w:left w:val="nil"/>
                <w:bottom w:val="nil"/>
                <w:right w:val="nil"/>
                <w:between w:val="nil"/>
              </w:pBdr>
              <w:jc w:val="right"/>
              <w:rPr>
                <w:color w:val="000000"/>
              </w:rPr>
            </w:pPr>
          </w:p>
        </w:tc>
      </w:tr>
      <w:tr w:rsidR="008E5DE4" w14:paraId="19A75340" w14:textId="77777777">
        <w:trPr>
          <w:cantSplit/>
          <w:trHeight w:val="169"/>
        </w:trPr>
        <w:tc>
          <w:tcPr>
            <w:tcW w:w="3061" w:type="dxa"/>
            <w:vAlign w:val="bottom"/>
          </w:tcPr>
          <w:p w14:paraId="68597DB2"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4C37FC9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AE302E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1F3390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ADF849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BEEF79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99D281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D1696D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6A6D789" w14:textId="77777777" w:rsidR="008E5DE4" w:rsidRDefault="008E5DE4">
            <w:pPr>
              <w:widowControl w:val="0"/>
              <w:pBdr>
                <w:top w:val="nil"/>
                <w:left w:val="nil"/>
                <w:bottom w:val="nil"/>
                <w:right w:val="nil"/>
                <w:between w:val="nil"/>
              </w:pBdr>
              <w:jc w:val="right"/>
              <w:rPr>
                <w:color w:val="000000"/>
              </w:rPr>
            </w:pPr>
          </w:p>
        </w:tc>
      </w:tr>
      <w:tr w:rsidR="008E5DE4" w14:paraId="57858F6E" w14:textId="77777777">
        <w:trPr>
          <w:cantSplit/>
          <w:trHeight w:val="169"/>
        </w:trPr>
        <w:tc>
          <w:tcPr>
            <w:tcW w:w="3061" w:type="dxa"/>
            <w:vAlign w:val="bottom"/>
          </w:tcPr>
          <w:p w14:paraId="433185BB"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5DE43BB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7D39AB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BE36A6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E749D12"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ABA9E3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454ACA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F70422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0A5E66B" w14:textId="77777777" w:rsidR="008E5DE4" w:rsidRDefault="008E5DE4">
            <w:pPr>
              <w:widowControl w:val="0"/>
              <w:pBdr>
                <w:top w:val="nil"/>
                <w:left w:val="nil"/>
                <w:bottom w:val="nil"/>
                <w:right w:val="nil"/>
                <w:between w:val="nil"/>
              </w:pBdr>
              <w:jc w:val="right"/>
              <w:rPr>
                <w:color w:val="000000"/>
              </w:rPr>
            </w:pPr>
          </w:p>
        </w:tc>
      </w:tr>
      <w:tr w:rsidR="008E5DE4" w14:paraId="2D8A1A49" w14:textId="77777777">
        <w:trPr>
          <w:cantSplit/>
          <w:trHeight w:val="169"/>
        </w:trPr>
        <w:tc>
          <w:tcPr>
            <w:tcW w:w="3061" w:type="dxa"/>
            <w:tcBorders>
              <w:bottom w:val="single" w:sz="4" w:space="0" w:color="000000"/>
            </w:tcBorders>
            <w:vAlign w:val="bottom"/>
          </w:tcPr>
          <w:p w14:paraId="39DC52C4"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546000F1"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0211124B"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3F77A92"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28261D2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5938C059"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138011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C8F3C6F"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6E0E16B5" w14:textId="77777777" w:rsidR="008E5DE4" w:rsidRDefault="008E5DE4">
            <w:pPr>
              <w:widowControl w:val="0"/>
              <w:pBdr>
                <w:top w:val="nil"/>
                <w:left w:val="nil"/>
                <w:bottom w:val="nil"/>
                <w:right w:val="nil"/>
                <w:between w:val="nil"/>
              </w:pBdr>
              <w:jc w:val="right"/>
              <w:rPr>
                <w:color w:val="000000"/>
              </w:rPr>
            </w:pPr>
          </w:p>
        </w:tc>
      </w:tr>
      <w:tr w:rsidR="008E5DE4" w14:paraId="5814B2F9" w14:textId="77777777">
        <w:trPr>
          <w:cantSplit/>
          <w:trHeight w:val="153"/>
        </w:trPr>
        <w:tc>
          <w:tcPr>
            <w:tcW w:w="3061" w:type="dxa"/>
            <w:tcBorders>
              <w:top w:val="single" w:sz="4" w:space="0" w:color="000000"/>
            </w:tcBorders>
            <w:vAlign w:val="bottom"/>
          </w:tcPr>
          <w:p w14:paraId="261F382A"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16BA6E57"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927B33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313BE0B"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76E7D25"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24C3C36B"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52CA49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CB2B143"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E47159C" w14:textId="77777777" w:rsidR="008E5DE4" w:rsidRDefault="008E5DE4">
            <w:pPr>
              <w:widowControl w:val="0"/>
              <w:pBdr>
                <w:top w:val="nil"/>
                <w:left w:val="nil"/>
                <w:bottom w:val="nil"/>
                <w:right w:val="nil"/>
                <w:between w:val="nil"/>
              </w:pBdr>
              <w:jc w:val="right"/>
              <w:rPr>
                <w:color w:val="000000"/>
              </w:rPr>
            </w:pPr>
          </w:p>
        </w:tc>
      </w:tr>
      <w:tr w:rsidR="008E5DE4" w14:paraId="7DA01A0E" w14:textId="77777777">
        <w:trPr>
          <w:cantSplit/>
          <w:trHeight w:val="245"/>
        </w:trPr>
        <w:tc>
          <w:tcPr>
            <w:tcW w:w="3061" w:type="dxa"/>
            <w:vAlign w:val="bottom"/>
          </w:tcPr>
          <w:p w14:paraId="2D22E83A"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2F33D6E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2C75F7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5A6170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FCDFD0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C71943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C50008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431599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446DD2F" w14:textId="77777777" w:rsidR="008E5DE4" w:rsidRDefault="008E5DE4">
            <w:pPr>
              <w:widowControl w:val="0"/>
              <w:pBdr>
                <w:top w:val="nil"/>
                <w:left w:val="nil"/>
                <w:bottom w:val="nil"/>
                <w:right w:val="nil"/>
                <w:between w:val="nil"/>
              </w:pBdr>
              <w:jc w:val="right"/>
              <w:rPr>
                <w:color w:val="000000"/>
              </w:rPr>
            </w:pPr>
          </w:p>
        </w:tc>
      </w:tr>
      <w:tr w:rsidR="008E5DE4" w14:paraId="4AC2DB69" w14:textId="77777777">
        <w:trPr>
          <w:cantSplit/>
          <w:trHeight w:val="80"/>
        </w:trPr>
        <w:tc>
          <w:tcPr>
            <w:tcW w:w="3061" w:type="dxa"/>
            <w:tcBorders>
              <w:bottom w:val="single" w:sz="4" w:space="0" w:color="000000"/>
            </w:tcBorders>
            <w:vAlign w:val="bottom"/>
          </w:tcPr>
          <w:p w14:paraId="02147DF5"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6730BEA6"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540ECB4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69A80D8"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004DD4EF"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44EE8EF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EEF982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8AC48FD"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2478D652" w14:textId="77777777" w:rsidR="008E5DE4" w:rsidRDefault="008E5DE4">
            <w:pPr>
              <w:widowControl w:val="0"/>
              <w:pBdr>
                <w:top w:val="nil"/>
                <w:left w:val="nil"/>
                <w:bottom w:val="nil"/>
                <w:right w:val="nil"/>
                <w:between w:val="nil"/>
              </w:pBdr>
              <w:jc w:val="right"/>
              <w:rPr>
                <w:color w:val="000000"/>
              </w:rPr>
            </w:pPr>
          </w:p>
        </w:tc>
      </w:tr>
      <w:tr w:rsidR="008E5DE4" w14:paraId="508ED7CF" w14:textId="77777777">
        <w:trPr>
          <w:cantSplit/>
          <w:trHeight w:val="153"/>
        </w:trPr>
        <w:tc>
          <w:tcPr>
            <w:tcW w:w="3061" w:type="dxa"/>
            <w:tcBorders>
              <w:top w:val="single" w:sz="4" w:space="0" w:color="000000"/>
            </w:tcBorders>
            <w:vAlign w:val="bottom"/>
          </w:tcPr>
          <w:p w14:paraId="306819E5"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24B63C5C"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7E366AE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8B07684"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4BF61D1"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6D18942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2F84E2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ADAC146"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6535807B" w14:textId="77777777" w:rsidR="008E5DE4" w:rsidRDefault="008E5DE4">
            <w:pPr>
              <w:widowControl w:val="0"/>
              <w:pBdr>
                <w:top w:val="nil"/>
                <w:left w:val="nil"/>
                <w:bottom w:val="nil"/>
                <w:right w:val="nil"/>
                <w:between w:val="nil"/>
              </w:pBdr>
              <w:jc w:val="right"/>
              <w:rPr>
                <w:color w:val="000000"/>
              </w:rPr>
            </w:pPr>
          </w:p>
        </w:tc>
      </w:tr>
      <w:tr w:rsidR="008E5DE4" w14:paraId="2238ED2F" w14:textId="77777777">
        <w:trPr>
          <w:cantSplit/>
          <w:trHeight w:val="692"/>
        </w:trPr>
        <w:tc>
          <w:tcPr>
            <w:tcW w:w="3061" w:type="dxa"/>
            <w:vAlign w:val="bottom"/>
          </w:tcPr>
          <w:p w14:paraId="12F9F3F9"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1A114DC8"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24E1BF9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37F8D6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F5F51F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6D89CD8"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0F05C6B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BA50F7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64EBF17"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605A934" w14:textId="77777777" w:rsidR="008E5DE4" w:rsidRDefault="008E5DE4">
            <w:pPr>
              <w:widowControl w:val="0"/>
              <w:pBdr>
                <w:top w:val="nil"/>
                <w:left w:val="nil"/>
                <w:bottom w:val="nil"/>
                <w:right w:val="nil"/>
                <w:between w:val="nil"/>
              </w:pBdr>
              <w:jc w:val="right"/>
              <w:rPr>
                <w:color w:val="000000"/>
                <w:highlight w:val="green"/>
              </w:rPr>
            </w:pPr>
          </w:p>
        </w:tc>
      </w:tr>
      <w:tr w:rsidR="008E5DE4" w14:paraId="37ADD802" w14:textId="77777777">
        <w:trPr>
          <w:cantSplit/>
          <w:trHeight w:val="169"/>
        </w:trPr>
        <w:tc>
          <w:tcPr>
            <w:tcW w:w="3061" w:type="dxa"/>
            <w:vAlign w:val="bottom"/>
          </w:tcPr>
          <w:p w14:paraId="7CEFEDE0"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1B85A75C"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17226F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34EF5C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737B7EC"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3F97B06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95726D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F794A7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B2A7A97" w14:textId="77777777" w:rsidR="008E5DE4" w:rsidRDefault="008E5DE4">
            <w:pPr>
              <w:widowControl w:val="0"/>
              <w:pBdr>
                <w:top w:val="nil"/>
                <w:left w:val="nil"/>
                <w:bottom w:val="nil"/>
                <w:right w:val="nil"/>
                <w:between w:val="nil"/>
              </w:pBdr>
              <w:jc w:val="right"/>
              <w:rPr>
                <w:color w:val="000000"/>
                <w:highlight w:val="green"/>
              </w:rPr>
            </w:pPr>
          </w:p>
        </w:tc>
      </w:tr>
      <w:tr w:rsidR="008E5DE4" w14:paraId="1332B5C6" w14:textId="77777777">
        <w:trPr>
          <w:cantSplit/>
          <w:trHeight w:val="169"/>
        </w:trPr>
        <w:tc>
          <w:tcPr>
            <w:tcW w:w="3061" w:type="dxa"/>
            <w:vAlign w:val="bottom"/>
          </w:tcPr>
          <w:p w14:paraId="2344A6CF"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1BC0242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53699B2"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AB312BD"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2E2A4AB"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1BD3FCF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E9BE56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DBC3BD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9509361" w14:textId="77777777" w:rsidR="008E5DE4" w:rsidRDefault="008E5DE4">
            <w:pPr>
              <w:widowControl w:val="0"/>
              <w:pBdr>
                <w:top w:val="nil"/>
                <w:left w:val="nil"/>
                <w:bottom w:val="nil"/>
                <w:right w:val="nil"/>
                <w:between w:val="nil"/>
              </w:pBdr>
              <w:jc w:val="right"/>
              <w:rPr>
                <w:color w:val="000000"/>
                <w:highlight w:val="green"/>
              </w:rPr>
            </w:pPr>
          </w:p>
        </w:tc>
      </w:tr>
      <w:tr w:rsidR="008E5DE4" w14:paraId="29145A45" w14:textId="77777777">
        <w:trPr>
          <w:cantSplit/>
          <w:trHeight w:val="337"/>
        </w:trPr>
        <w:tc>
          <w:tcPr>
            <w:tcW w:w="3061" w:type="dxa"/>
            <w:vAlign w:val="bottom"/>
          </w:tcPr>
          <w:p w14:paraId="1B7435FD"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5447E23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4BDE70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455580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91EE5E0"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1659A5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1DEDEE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E1977D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2184B79" w14:textId="77777777" w:rsidR="008E5DE4" w:rsidRDefault="008E5DE4">
            <w:pPr>
              <w:widowControl w:val="0"/>
              <w:pBdr>
                <w:top w:val="nil"/>
                <w:left w:val="nil"/>
                <w:bottom w:val="nil"/>
                <w:right w:val="nil"/>
                <w:between w:val="nil"/>
              </w:pBdr>
              <w:jc w:val="right"/>
              <w:rPr>
                <w:color w:val="000000"/>
              </w:rPr>
            </w:pPr>
          </w:p>
        </w:tc>
      </w:tr>
      <w:tr w:rsidR="008E5DE4" w14:paraId="093F4975" w14:textId="77777777">
        <w:trPr>
          <w:cantSplit/>
          <w:trHeight w:val="231"/>
        </w:trPr>
        <w:tc>
          <w:tcPr>
            <w:tcW w:w="3061" w:type="dxa"/>
            <w:vAlign w:val="bottom"/>
          </w:tcPr>
          <w:p w14:paraId="0CD7BF8B"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4BDBECF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F1FC0A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02E0A6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152CFF0"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10009F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98A680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DC48EC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8A767A0" w14:textId="77777777" w:rsidR="008E5DE4" w:rsidRDefault="008E5DE4">
            <w:pPr>
              <w:widowControl w:val="0"/>
              <w:pBdr>
                <w:top w:val="nil"/>
                <w:left w:val="nil"/>
                <w:bottom w:val="nil"/>
                <w:right w:val="nil"/>
                <w:between w:val="nil"/>
              </w:pBdr>
              <w:jc w:val="right"/>
              <w:rPr>
                <w:color w:val="000000"/>
              </w:rPr>
            </w:pPr>
          </w:p>
        </w:tc>
      </w:tr>
      <w:tr w:rsidR="008E5DE4" w14:paraId="17619036" w14:textId="77777777">
        <w:trPr>
          <w:cantSplit/>
          <w:trHeight w:val="169"/>
        </w:trPr>
        <w:tc>
          <w:tcPr>
            <w:tcW w:w="3061" w:type="dxa"/>
            <w:tcBorders>
              <w:bottom w:val="single" w:sz="4" w:space="0" w:color="000000"/>
            </w:tcBorders>
            <w:vAlign w:val="bottom"/>
          </w:tcPr>
          <w:p w14:paraId="5BF1C94C"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65C44080"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4EB4AD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1A1DF03"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9F53A92"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4FD4F3F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7A121F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BA15155"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36B9F7BB" w14:textId="77777777" w:rsidR="008E5DE4" w:rsidRDefault="008E5DE4">
            <w:pPr>
              <w:widowControl w:val="0"/>
              <w:pBdr>
                <w:top w:val="nil"/>
                <w:left w:val="nil"/>
                <w:bottom w:val="nil"/>
                <w:right w:val="nil"/>
                <w:between w:val="nil"/>
              </w:pBdr>
              <w:jc w:val="right"/>
              <w:rPr>
                <w:color w:val="000000"/>
              </w:rPr>
            </w:pPr>
          </w:p>
        </w:tc>
      </w:tr>
      <w:tr w:rsidR="008E5DE4" w14:paraId="71DDB22E" w14:textId="77777777">
        <w:trPr>
          <w:cantSplit/>
          <w:trHeight w:val="169"/>
        </w:trPr>
        <w:tc>
          <w:tcPr>
            <w:tcW w:w="3061" w:type="dxa"/>
            <w:tcBorders>
              <w:top w:val="single" w:sz="4" w:space="0" w:color="000000"/>
            </w:tcBorders>
            <w:vAlign w:val="bottom"/>
          </w:tcPr>
          <w:p w14:paraId="14E621D7"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5BACEDC0"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429C4E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172B552"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48A2CC80"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288C2FC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512BB7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AAF9974"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1D9ED853" w14:textId="77777777" w:rsidR="008E5DE4" w:rsidRDefault="008E5DE4">
            <w:pPr>
              <w:widowControl w:val="0"/>
              <w:pBdr>
                <w:top w:val="nil"/>
                <w:left w:val="nil"/>
                <w:bottom w:val="nil"/>
                <w:right w:val="nil"/>
                <w:between w:val="nil"/>
              </w:pBdr>
              <w:jc w:val="right"/>
              <w:rPr>
                <w:color w:val="000000"/>
              </w:rPr>
            </w:pPr>
          </w:p>
        </w:tc>
      </w:tr>
      <w:tr w:rsidR="008E5DE4" w14:paraId="19967F85" w14:textId="77777777">
        <w:trPr>
          <w:cantSplit/>
          <w:trHeight w:val="169"/>
        </w:trPr>
        <w:tc>
          <w:tcPr>
            <w:tcW w:w="3061" w:type="dxa"/>
            <w:vAlign w:val="bottom"/>
          </w:tcPr>
          <w:p w14:paraId="61097A3B" w14:textId="6D01710B"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43A31C7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3873AA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5E1C81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1C6401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D95D0D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779356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0016DF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1E50250" w14:textId="77777777" w:rsidR="008E5DE4" w:rsidRDefault="008E5DE4">
            <w:pPr>
              <w:widowControl w:val="0"/>
              <w:pBdr>
                <w:top w:val="nil"/>
                <w:left w:val="nil"/>
                <w:bottom w:val="nil"/>
                <w:right w:val="nil"/>
                <w:between w:val="nil"/>
              </w:pBdr>
              <w:jc w:val="right"/>
              <w:rPr>
                <w:color w:val="000000"/>
              </w:rPr>
            </w:pPr>
          </w:p>
        </w:tc>
      </w:tr>
      <w:tr w:rsidR="008E5DE4" w14:paraId="6A8F5528" w14:textId="77777777">
        <w:trPr>
          <w:cantSplit/>
          <w:trHeight w:val="169"/>
        </w:trPr>
        <w:tc>
          <w:tcPr>
            <w:tcW w:w="3061" w:type="dxa"/>
            <w:tcBorders>
              <w:bottom w:val="single" w:sz="12" w:space="0" w:color="000000"/>
            </w:tcBorders>
            <w:vAlign w:val="bottom"/>
          </w:tcPr>
          <w:p w14:paraId="3DA6DD98"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458FE69C"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3C8ED91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4F2A5EAE"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277F1C91"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5277BAF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564CA33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551D8C9B"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69A7EF2C" w14:textId="77777777" w:rsidR="008E5DE4" w:rsidRDefault="008E5DE4">
            <w:pPr>
              <w:widowControl w:val="0"/>
              <w:pBdr>
                <w:top w:val="nil"/>
                <w:left w:val="nil"/>
                <w:bottom w:val="nil"/>
                <w:right w:val="nil"/>
                <w:between w:val="nil"/>
              </w:pBdr>
              <w:jc w:val="right"/>
              <w:rPr>
                <w:color w:val="000000"/>
              </w:rPr>
            </w:pPr>
          </w:p>
        </w:tc>
      </w:tr>
    </w:tbl>
    <w:p w14:paraId="17C2C822" w14:textId="77777777" w:rsidR="008E5DE4" w:rsidRDefault="008E5DE4">
      <w:pPr>
        <w:widowControl w:val="0"/>
        <w:pBdr>
          <w:top w:val="nil"/>
          <w:left w:val="nil"/>
          <w:bottom w:val="nil"/>
          <w:right w:val="nil"/>
          <w:between w:val="nil"/>
        </w:pBdr>
        <w:spacing w:before="200" w:after="200"/>
        <w:jc w:val="both"/>
        <w:rPr>
          <w:color w:val="000000"/>
        </w:rPr>
      </w:pPr>
    </w:p>
    <w:p w14:paraId="268489B5" w14:textId="77777777" w:rsidR="008E5DE4" w:rsidRDefault="008E5DE4">
      <w:pPr>
        <w:widowControl w:val="0"/>
        <w:pBdr>
          <w:top w:val="nil"/>
          <w:left w:val="nil"/>
          <w:bottom w:val="nil"/>
          <w:right w:val="nil"/>
          <w:between w:val="nil"/>
        </w:pBdr>
        <w:spacing w:before="200" w:after="200"/>
        <w:jc w:val="both"/>
        <w:rPr>
          <w:color w:val="000000"/>
        </w:rPr>
      </w:pPr>
    </w:p>
    <w:p w14:paraId="45A3B7ED" w14:textId="77777777" w:rsidR="008E5DE4" w:rsidRDefault="008E5DE4">
      <w:pPr>
        <w:widowControl w:val="0"/>
        <w:pBdr>
          <w:top w:val="nil"/>
          <w:left w:val="nil"/>
          <w:bottom w:val="nil"/>
          <w:right w:val="nil"/>
          <w:between w:val="nil"/>
        </w:pBdr>
        <w:spacing w:before="200" w:after="200"/>
        <w:jc w:val="both"/>
        <w:rPr>
          <w:color w:val="000000"/>
        </w:rPr>
      </w:pPr>
    </w:p>
    <w:p w14:paraId="34D3CA6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3C0899F3" w14:textId="10DBC5D0"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corporate bonds at FVOCI in </w:t>
      </w:r>
      <w:r w:rsidR="008614F8">
        <w:rPr>
          <w:color w:val="000000"/>
          <w:sz w:val="20"/>
          <w:szCs w:val="20"/>
        </w:rPr>
        <w:t>2025</w:t>
      </w:r>
      <w:r>
        <w:rPr>
          <w:color w:val="000000"/>
          <w:sz w:val="20"/>
          <w:szCs w:val="20"/>
        </w:rPr>
        <w:t xml:space="preserve"> were as follows.</w:t>
      </w:r>
    </w:p>
    <w:tbl>
      <w:tblPr>
        <w:tblStyle w:val="afffffff3"/>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5E6D576B" w14:textId="77777777">
        <w:trPr>
          <w:cantSplit/>
          <w:trHeight w:val="169"/>
          <w:tblHeader/>
        </w:trPr>
        <w:tc>
          <w:tcPr>
            <w:tcW w:w="3061" w:type="dxa"/>
            <w:vAlign w:val="bottom"/>
          </w:tcPr>
          <w:p w14:paraId="3106D286"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6DC730F3"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0DADC50E"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78F81454" w14:textId="77777777">
        <w:trPr>
          <w:cantSplit/>
          <w:trHeight w:val="507"/>
          <w:tblHeader/>
        </w:trPr>
        <w:tc>
          <w:tcPr>
            <w:tcW w:w="3061" w:type="dxa"/>
            <w:tcBorders>
              <w:bottom w:val="single" w:sz="4" w:space="0" w:color="000000"/>
            </w:tcBorders>
            <w:vAlign w:val="bottom"/>
          </w:tcPr>
          <w:p w14:paraId="23BF7997" w14:textId="77777777" w:rsidR="008E5DE4" w:rsidRDefault="008E5DE4">
            <w:pPr>
              <w:widowControl w:val="0"/>
              <w:pBdr>
                <w:top w:val="nil"/>
                <w:left w:val="nil"/>
                <w:bottom w:val="nil"/>
                <w:right w:val="nil"/>
                <w:between w:val="nil"/>
              </w:pBdr>
              <w:ind w:left="113" w:right="-57" w:hanging="113"/>
              <w:rPr>
                <w:i/>
                <w:color w:val="000000"/>
              </w:rPr>
            </w:pPr>
          </w:p>
          <w:p w14:paraId="03A867E8"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6EA6DEC9"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12BDA501"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106FE511"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FB37E8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1409506B"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445ED0C5"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047BDC61"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1EC21B4E"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179E3D4E"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2CA29521"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743FEAE0"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5322960D"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70E3422B"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596E5678"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5EDF9808" w14:textId="77777777">
        <w:trPr>
          <w:cantSplit/>
          <w:trHeight w:val="169"/>
          <w:tblHeader/>
        </w:trPr>
        <w:tc>
          <w:tcPr>
            <w:tcW w:w="3061" w:type="dxa"/>
            <w:vAlign w:val="bottom"/>
          </w:tcPr>
          <w:p w14:paraId="6030D971" w14:textId="77777777" w:rsidR="008E5DE4" w:rsidRDefault="008E5DE4">
            <w:pPr>
              <w:widowControl w:val="0"/>
              <w:ind w:left="113" w:right="-57" w:hanging="113"/>
            </w:pPr>
          </w:p>
        </w:tc>
        <w:tc>
          <w:tcPr>
            <w:tcW w:w="851" w:type="dxa"/>
            <w:vAlign w:val="bottom"/>
          </w:tcPr>
          <w:p w14:paraId="4D12B8DD"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624AD6F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C24C187"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59213A0C" w14:textId="77777777" w:rsidR="008E5DE4" w:rsidRDefault="008E5DE4">
            <w:pPr>
              <w:widowControl w:val="0"/>
              <w:pBdr>
                <w:top w:val="nil"/>
                <w:left w:val="nil"/>
                <w:bottom w:val="nil"/>
                <w:right w:val="nil"/>
                <w:between w:val="nil"/>
              </w:pBdr>
              <w:jc w:val="right"/>
              <w:rPr>
                <w:color w:val="000000"/>
              </w:rPr>
            </w:pPr>
          </w:p>
        </w:tc>
        <w:tc>
          <w:tcPr>
            <w:tcW w:w="871" w:type="dxa"/>
          </w:tcPr>
          <w:p w14:paraId="6ABCCEAD" w14:textId="77777777" w:rsidR="008E5DE4" w:rsidRDefault="008E5DE4">
            <w:pPr>
              <w:widowControl w:val="0"/>
              <w:pBdr>
                <w:top w:val="nil"/>
                <w:left w:val="nil"/>
                <w:bottom w:val="nil"/>
                <w:right w:val="nil"/>
                <w:between w:val="nil"/>
              </w:pBdr>
              <w:jc w:val="right"/>
              <w:rPr>
                <w:color w:val="000000"/>
              </w:rPr>
            </w:pPr>
          </w:p>
        </w:tc>
        <w:tc>
          <w:tcPr>
            <w:tcW w:w="856" w:type="dxa"/>
          </w:tcPr>
          <w:p w14:paraId="6851A766" w14:textId="77777777" w:rsidR="008E5DE4" w:rsidRDefault="008E5DE4">
            <w:pPr>
              <w:widowControl w:val="0"/>
              <w:pBdr>
                <w:top w:val="nil"/>
                <w:left w:val="nil"/>
                <w:bottom w:val="nil"/>
                <w:right w:val="nil"/>
                <w:between w:val="nil"/>
              </w:pBdr>
              <w:jc w:val="right"/>
              <w:rPr>
                <w:color w:val="000000"/>
              </w:rPr>
            </w:pPr>
          </w:p>
        </w:tc>
        <w:tc>
          <w:tcPr>
            <w:tcW w:w="856" w:type="dxa"/>
          </w:tcPr>
          <w:p w14:paraId="1F8FEB1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F3BA96C" w14:textId="77777777" w:rsidR="008E5DE4" w:rsidRDefault="008E5DE4">
            <w:pPr>
              <w:widowControl w:val="0"/>
              <w:pBdr>
                <w:top w:val="nil"/>
                <w:left w:val="nil"/>
                <w:bottom w:val="nil"/>
                <w:right w:val="nil"/>
                <w:between w:val="nil"/>
              </w:pBdr>
              <w:jc w:val="right"/>
              <w:rPr>
                <w:color w:val="000000"/>
              </w:rPr>
            </w:pPr>
          </w:p>
        </w:tc>
      </w:tr>
      <w:tr w:rsidR="008E5DE4" w14:paraId="6851D95F" w14:textId="77777777">
        <w:trPr>
          <w:cantSplit/>
          <w:trHeight w:val="169"/>
        </w:trPr>
        <w:tc>
          <w:tcPr>
            <w:tcW w:w="3061" w:type="dxa"/>
            <w:vAlign w:val="bottom"/>
          </w:tcPr>
          <w:p w14:paraId="42D8583A"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Corporate bonds</w:t>
            </w:r>
          </w:p>
        </w:tc>
        <w:tc>
          <w:tcPr>
            <w:tcW w:w="851" w:type="dxa"/>
            <w:vAlign w:val="bottom"/>
          </w:tcPr>
          <w:p w14:paraId="00BD837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168156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10A400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1480F12" w14:textId="77777777" w:rsidR="008E5DE4" w:rsidRDefault="008E5DE4">
            <w:pPr>
              <w:widowControl w:val="0"/>
              <w:pBdr>
                <w:top w:val="nil"/>
                <w:left w:val="nil"/>
                <w:bottom w:val="nil"/>
                <w:right w:val="nil"/>
                <w:between w:val="nil"/>
              </w:pBdr>
              <w:jc w:val="right"/>
              <w:rPr>
                <w:color w:val="000000"/>
              </w:rPr>
            </w:pPr>
          </w:p>
        </w:tc>
        <w:tc>
          <w:tcPr>
            <w:tcW w:w="871" w:type="dxa"/>
          </w:tcPr>
          <w:p w14:paraId="5476F6A6" w14:textId="77777777" w:rsidR="008E5DE4" w:rsidRDefault="008E5DE4">
            <w:pPr>
              <w:widowControl w:val="0"/>
              <w:pBdr>
                <w:top w:val="nil"/>
                <w:left w:val="nil"/>
                <w:bottom w:val="nil"/>
                <w:right w:val="nil"/>
                <w:between w:val="nil"/>
              </w:pBdr>
              <w:jc w:val="right"/>
              <w:rPr>
                <w:color w:val="000000"/>
              </w:rPr>
            </w:pPr>
          </w:p>
        </w:tc>
        <w:tc>
          <w:tcPr>
            <w:tcW w:w="856" w:type="dxa"/>
          </w:tcPr>
          <w:p w14:paraId="72E11D03" w14:textId="77777777" w:rsidR="008E5DE4" w:rsidRDefault="008E5DE4">
            <w:pPr>
              <w:widowControl w:val="0"/>
              <w:pBdr>
                <w:top w:val="nil"/>
                <w:left w:val="nil"/>
                <w:bottom w:val="nil"/>
                <w:right w:val="nil"/>
                <w:between w:val="nil"/>
              </w:pBdr>
              <w:jc w:val="right"/>
              <w:rPr>
                <w:color w:val="000000"/>
              </w:rPr>
            </w:pPr>
          </w:p>
        </w:tc>
        <w:tc>
          <w:tcPr>
            <w:tcW w:w="856" w:type="dxa"/>
          </w:tcPr>
          <w:p w14:paraId="4122ECB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3DFB5E4" w14:textId="77777777" w:rsidR="008E5DE4" w:rsidRDefault="008E5DE4">
            <w:pPr>
              <w:widowControl w:val="0"/>
              <w:pBdr>
                <w:top w:val="nil"/>
                <w:left w:val="nil"/>
                <w:bottom w:val="nil"/>
                <w:right w:val="nil"/>
                <w:between w:val="nil"/>
              </w:pBdr>
              <w:jc w:val="right"/>
              <w:rPr>
                <w:color w:val="000000"/>
              </w:rPr>
            </w:pPr>
          </w:p>
        </w:tc>
      </w:tr>
      <w:tr w:rsidR="008E5DE4" w14:paraId="6CCEB889" w14:textId="77777777">
        <w:trPr>
          <w:cantSplit/>
          <w:trHeight w:val="169"/>
        </w:trPr>
        <w:tc>
          <w:tcPr>
            <w:tcW w:w="3061" w:type="dxa"/>
            <w:vAlign w:val="bottom"/>
          </w:tcPr>
          <w:p w14:paraId="270D00EF"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38E9881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217E90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A545EC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1C3F372" w14:textId="77777777" w:rsidR="008E5DE4" w:rsidRDefault="008E5DE4">
            <w:pPr>
              <w:widowControl w:val="0"/>
              <w:pBdr>
                <w:top w:val="nil"/>
                <w:left w:val="nil"/>
                <w:bottom w:val="nil"/>
                <w:right w:val="nil"/>
                <w:between w:val="nil"/>
              </w:pBdr>
              <w:jc w:val="right"/>
              <w:rPr>
                <w:color w:val="000000"/>
              </w:rPr>
            </w:pPr>
          </w:p>
        </w:tc>
        <w:tc>
          <w:tcPr>
            <w:tcW w:w="871" w:type="dxa"/>
          </w:tcPr>
          <w:p w14:paraId="455F3461" w14:textId="77777777" w:rsidR="008E5DE4" w:rsidRDefault="008E5DE4">
            <w:pPr>
              <w:widowControl w:val="0"/>
              <w:pBdr>
                <w:top w:val="nil"/>
                <w:left w:val="nil"/>
                <w:bottom w:val="nil"/>
                <w:right w:val="nil"/>
                <w:between w:val="nil"/>
              </w:pBdr>
              <w:jc w:val="right"/>
              <w:rPr>
                <w:color w:val="000000"/>
              </w:rPr>
            </w:pPr>
          </w:p>
        </w:tc>
        <w:tc>
          <w:tcPr>
            <w:tcW w:w="856" w:type="dxa"/>
          </w:tcPr>
          <w:p w14:paraId="70695084" w14:textId="77777777" w:rsidR="008E5DE4" w:rsidRDefault="008E5DE4">
            <w:pPr>
              <w:widowControl w:val="0"/>
              <w:pBdr>
                <w:top w:val="nil"/>
                <w:left w:val="nil"/>
                <w:bottom w:val="nil"/>
                <w:right w:val="nil"/>
                <w:between w:val="nil"/>
              </w:pBdr>
              <w:jc w:val="right"/>
              <w:rPr>
                <w:color w:val="000000"/>
              </w:rPr>
            </w:pPr>
          </w:p>
        </w:tc>
        <w:tc>
          <w:tcPr>
            <w:tcW w:w="856" w:type="dxa"/>
          </w:tcPr>
          <w:p w14:paraId="1342CBA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48B3DCE" w14:textId="77777777" w:rsidR="008E5DE4" w:rsidRDefault="008E5DE4">
            <w:pPr>
              <w:widowControl w:val="0"/>
              <w:pBdr>
                <w:top w:val="nil"/>
                <w:left w:val="nil"/>
                <w:bottom w:val="nil"/>
                <w:right w:val="nil"/>
                <w:between w:val="nil"/>
              </w:pBdr>
              <w:jc w:val="right"/>
              <w:rPr>
                <w:color w:val="000000"/>
              </w:rPr>
            </w:pPr>
          </w:p>
        </w:tc>
      </w:tr>
      <w:tr w:rsidR="008E5DE4" w14:paraId="0EAEF718" w14:textId="77777777">
        <w:trPr>
          <w:cantSplit/>
          <w:trHeight w:val="169"/>
        </w:trPr>
        <w:tc>
          <w:tcPr>
            <w:tcW w:w="3061" w:type="dxa"/>
            <w:vAlign w:val="bottom"/>
          </w:tcPr>
          <w:p w14:paraId="518A6285" w14:textId="76982FF9"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44F260C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178AC8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D7FB44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732C2BC" w14:textId="77777777" w:rsidR="008E5DE4" w:rsidRDefault="008E5DE4">
            <w:pPr>
              <w:widowControl w:val="0"/>
              <w:pBdr>
                <w:top w:val="nil"/>
                <w:left w:val="nil"/>
                <w:bottom w:val="nil"/>
                <w:right w:val="nil"/>
                <w:between w:val="nil"/>
              </w:pBdr>
              <w:jc w:val="right"/>
              <w:rPr>
                <w:color w:val="000000"/>
              </w:rPr>
            </w:pPr>
          </w:p>
        </w:tc>
        <w:tc>
          <w:tcPr>
            <w:tcW w:w="871" w:type="dxa"/>
          </w:tcPr>
          <w:p w14:paraId="116564B7" w14:textId="77777777" w:rsidR="008E5DE4" w:rsidRDefault="008E5DE4">
            <w:pPr>
              <w:widowControl w:val="0"/>
              <w:pBdr>
                <w:top w:val="nil"/>
                <w:left w:val="nil"/>
                <w:bottom w:val="nil"/>
                <w:right w:val="nil"/>
                <w:between w:val="nil"/>
              </w:pBdr>
              <w:jc w:val="right"/>
              <w:rPr>
                <w:color w:val="000000"/>
              </w:rPr>
            </w:pPr>
          </w:p>
        </w:tc>
        <w:tc>
          <w:tcPr>
            <w:tcW w:w="856" w:type="dxa"/>
          </w:tcPr>
          <w:p w14:paraId="79D57FB7" w14:textId="77777777" w:rsidR="008E5DE4" w:rsidRDefault="008E5DE4">
            <w:pPr>
              <w:widowControl w:val="0"/>
              <w:pBdr>
                <w:top w:val="nil"/>
                <w:left w:val="nil"/>
                <w:bottom w:val="nil"/>
                <w:right w:val="nil"/>
                <w:between w:val="nil"/>
              </w:pBdr>
              <w:jc w:val="right"/>
              <w:rPr>
                <w:color w:val="000000"/>
              </w:rPr>
            </w:pPr>
          </w:p>
        </w:tc>
        <w:tc>
          <w:tcPr>
            <w:tcW w:w="856" w:type="dxa"/>
          </w:tcPr>
          <w:p w14:paraId="0E919B6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3026A26" w14:textId="77777777" w:rsidR="008E5DE4" w:rsidRDefault="008E5DE4">
            <w:pPr>
              <w:widowControl w:val="0"/>
              <w:pBdr>
                <w:top w:val="nil"/>
                <w:left w:val="nil"/>
                <w:bottom w:val="nil"/>
                <w:right w:val="nil"/>
                <w:between w:val="nil"/>
              </w:pBdr>
              <w:jc w:val="right"/>
              <w:rPr>
                <w:color w:val="000000"/>
              </w:rPr>
            </w:pPr>
          </w:p>
        </w:tc>
      </w:tr>
      <w:tr w:rsidR="008E5DE4" w14:paraId="6EBF25D4" w14:textId="77777777">
        <w:trPr>
          <w:cantSplit/>
          <w:trHeight w:val="676"/>
        </w:trPr>
        <w:tc>
          <w:tcPr>
            <w:tcW w:w="3061" w:type="dxa"/>
            <w:vAlign w:val="bottom"/>
          </w:tcPr>
          <w:p w14:paraId="694A0B8A" w14:textId="77777777" w:rsidR="008E5DE4" w:rsidRDefault="008E5DE4">
            <w:pPr>
              <w:widowControl w:val="0"/>
              <w:pBdr>
                <w:top w:val="nil"/>
                <w:left w:val="nil"/>
                <w:bottom w:val="nil"/>
                <w:right w:val="nil"/>
                <w:between w:val="nil"/>
              </w:pBdr>
              <w:ind w:left="113" w:right="-57" w:hanging="113"/>
              <w:rPr>
                <w:b/>
                <w:color w:val="000000"/>
              </w:rPr>
            </w:pPr>
          </w:p>
          <w:p w14:paraId="58A9AA56"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7FF8931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E2F97C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2DE464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439A519" w14:textId="77777777" w:rsidR="008E5DE4" w:rsidRDefault="008E5DE4">
            <w:pPr>
              <w:widowControl w:val="0"/>
              <w:pBdr>
                <w:top w:val="nil"/>
                <w:left w:val="nil"/>
                <w:bottom w:val="nil"/>
                <w:right w:val="nil"/>
                <w:between w:val="nil"/>
              </w:pBdr>
              <w:jc w:val="right"/>
              <w:rPr>
                <w:color w:val="000000"/>
              </w:rPr>
            </w:pPr>
          </w:p>
        </w:tc>
        <w:tc>
          <w:tcPr>
            <w:tcW w:w="871" w:type="dxa"/>
          </w:tcPr>
          <w:p w14:paraId="527F6B21"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7D3DA08F" w14:textId="77777777" w:rsidR="008E5DE4" w:rsidRDefault="008E5DE4">
            <w:pPr>
              <w:widowControl w:val="0"/>
              <w:pBdr>
                <w:top w:val="nil"/>
                <w:left w:val="nil"/>
                <w:bottom w:val="nil"/>
                <w:right w:val="nil"/>
                <w:between w:val="nil"/>
              </w:pBdr>
              <w:jc w:val="right"/>
              <w:rPr>
                <w:color w:val="000000"/>
              </w:rPr>
            </w:pPr>
          </w:p>
        </w:tc>
        <w:tc>
          <w:tcPr>
            <w:tcW w:w="856" w:type="dxa"/>
          </w:tcPr>
          <w:p w14:paraId="40458A6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6DB8662" w14:textId="77777777" w:rsidR="008E5DE4" w:rsidRDefault="008E5DE4">
            <w:pPr>
              <w:widowControl w:val="0"/>
              <w:pBdr>
                <w:top w:val="nil"/>
                <w:left w:val="nil"/>
                <w:bottom w:val="nil"/>
                <w:right w:val="nil"/>
                <w:between w:val="nil"/>
              </w:pBdr>
              <w:jc w:val="right"/>
              <w:rPr>
                <w:color w:val="000000"/>
              </w:rPr>
            </w:pPr>
          </w:p>
        </w:tc>
      </w:tr>
      <w:tr w:rsidR="008E5DE4" w14:paraId="19037C8B" w14:textId="77777777">
        <w:trPr>
          <w:cantSplit/>
          <w:trHeight w:val="184"/>
        </w:trPr>
        <w:tc>
          <w:tcPr>
            <w:tcW w:w="3061" w:type="dxa"/>
            <w:vAlign w:val="bottom"/>
          </w:tcPr>
          <w:p w14:paraId="361B3A1D"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4D914D5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A51D90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0FFBF22"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E5429CF"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DD4B55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43E1EA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E2AC827"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A4D780E" w14:textId="77777777" w:rsidR="008E5DE4" w:rsidRDefault="008E5DE4">
            <w:pPr>
              <w:widowControl w:val="0"/>
              <w:pBdr>
                <w:top w:val="nil"/>
                <w:left w:val="nil"/>
                <w:bottom w:val="nil"/>
                <w:right w:val="nil"/>
                <w:between w:val="nil"/>
              </w:pBdr>
              <w:jc w:val="right"/>
              <w:rPr>
                <w:color w:val="000000"/>
                <w:highlight w:val="green"/>
              </w:rPr>
            </w:pPr>
          </w:p>
        </w:tc>
      </w:tr>
      <w:tr w:rsidR="008E5DE4" w14:paraId="0077CC12" w14:textId="77777777">
        <w:trPr>
          <w:cantSplit/>
          <w:trHeight w:val="184"/>
        </w:trPr>
        <w:tc>
          <w:tcPr>
            <w:tcW w:w="3061" w:type="dxa"/>
            <w:vAlign w:val="bottom"/>
          </w:tcPr>
          <w:p w14:paraId="35CD909A"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2A312EF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BE2F34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C9C8E5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D0D7060"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79D0BBC"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ED804B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038A229"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7B1F102" w14:textId="77777777" w:rsidR="008E5DE4" w:rsidRDefault="008E5DE4">
            <w:pPr>
              <w:widowControl w:val="0"/>
              <w:pBdr>
                <w:top w:val="nil"/>
                <w:left w:val="nil"/>
                <w:bottom w:val="nil"/>
                <w:right w:val="nil"/>
                <w:between w:val="nil"/>
              </w:pBdr>
              <w:jc w:val="right"/>
              <w:rPr>
                <w:color w:val="000000"/>
                <w:highlight w:val="green"/>
              </w:rPr>
            </w:pPr>
          </w:p>
        </w:tc>
      </w:tr>
      <w:tr w:rsidR="008E5DE4" w14:paraId="52A64569" w14:textId="77777777">
        <w:trPr>
          <w:cantSplit/>
          <w:trHeight w:val="80"/>
        </w:trPr>
        <w:tc>
          <w:tcPr>
            <w:tcW w:w="3061" w:type="dxa"/>
            <w:vAlign w:val="bottom"/>
          </w:tcPr>
          <w:p w14:paraId="0EDC8936"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3D8898B6"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C57570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DB23554"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8B4C18A"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0971A5E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7F5349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4EEE011"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B16BEE6" w14:textId="77777777" w:rsidR="008E5DE4" w:rsidRDefault="008E5DE4">
            <w:pPr>
              <w:widowControl w:val="0"/>
              <w:pBdr>
                <w:top w:val="nil"/>
                <w:left w:val="nil"/>
                <w:bottom w:val="nil"/>
                <w:right w:val="nil"/>
                <w:between w:val="nil"/>
              </w:pBdr>
              <w:jc w:val="right"/>
              <w:rPr>
                <w:color w:val="000000"/>
                <w:highlight w:val="green"/>
              </w:rPr>
            </w:pPr>
          </w:p>
        </w:tc>
      </w:tr>
      <w:tr w:rsidR="008E5DE4" w14:paraId="7EA970A8" w14:textId="77777777">
        <w:trPr>
          <w:cantSplit/>
          <w:trHeight w:val="80"/>
        </w:trPr>
        <w:tc>
          <w:tcPr>
            <w:tcW w:w="3061" w:type="dxa"/>
            <w:vAlign w:val="bottom"/>
          </w:tcPr>
          <w:p w14:paraId="4FC1AE67"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544C766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467A7E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7A1629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5504FF7"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5187C0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75B662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86A837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94246F7" w14:textId="77777777" w:rsidR="008E5DE4" w:rsidRDefault="008E5DE4">
            <w:pPr>
              <w:widowControl w:val="0"/>
              <w:pBdr>
                <w:top w:val="nil"/>
                <w:left w:val="nil"/>
                <w:bottom w:val="nil"/>
                <w:right w:val="nil"/>
                <w:between w:val="nil"/>
              </w:pBdr>
              <w:jc w:val="right"/>
              <w:rPr>
                <w:color w:val="000000"/>
                <w:highlight w:val="green"/>
              </w:rPr>
            </w:pPr>
          </w:p>
        </w:tc>
      </w:tr>
      <w:tr w:rsidR="008E5DE4" w14:paraId="34487B28" w14:textId="77777777">
        <w:trPr>
          <w:cantSplit/>
          <w:trHeight w:val="361"/>
        </w:trPr>
        <w:tc>
          <w:tcPr>
            <w:tcW w:w="3061" w:type="dxa"/>
            <w:vAlign w:val="bottom"/>
          </w:tcPr>
          <w:p w14:paraId="4553D1D8"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3BA62C34"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0FA8D7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71238D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11B80DF"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72BD30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74AF86C"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2293B60"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2D79A54" w14:textId="77777777" w:rsidR="008E5DE4" w:rsidRDefault="008E5DE4">
            <w:pPr>
              <w:widowControl w:val="0"/>
              <w:pBdr>
                <w:top w:val="nil"/>
                <w:left w:val="nil"/>
                <w:bottom w:val="nil"/>
                <w:right w:val="nil"/>
                <w:between w:val="nil"/>
              </w:pBdr>
              <w:jc w:val="right"/>
              <w:rPr>
                <w:color w:val="000000"/>
                <w:highlight w:val="green"/>
              </w:rPr>
            </w:pPr>
          </w:p>
        </w:tc>
      </w:tr>
      <w:tr w:rsidR="008E5DE4" w14:paraId="6FFB8563" w14:textId="77777777">
        <w:trPr>
          <w:cantSplit/>
          <w:trHeight w:val="169"/>
        </w:trPr>
        <w:tc>
          <w:tcPr>
            <w:tcW w:w="3061" w:type="dxa"/>
            <w:vAlign w:val="bottom"/>
          </w:tcPr>
          <w:p w14:paraId="5BA983EC"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1136DF2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11AF27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1D5AF2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DAC5948" w14:textId="77777777" w:rsidR="008E5DE4" w:rsidRDefault="008E5DE4">
            <w:pPr>
              <w:widowControl w:val="0"/>
              <w:pBdr>
                <w:top w:val="nil"/>
                <w:left w:val="nil"/>
                <w:bottom w:val="nil"/>
                <w:right w:val="nil"/>
                <w:between w:val="nil"/>
              </w:pBdr>
              <w:jc w:val="right"/>
              <w:rPr>
                <w:color w:val="000000"/>
              </w:rPr>
            </w:pPr>
          </w:p>
        </w:tc>
        <w:tc>
          <w:tcPr>
            <w:tcW w:w="871" w:type="dxa"/>
          </w:tcPr>
          <w:p w14:paraId="57EA11C1" w14:textId="77777777" w:rsidR="008E5DE4" w:rsidRDefault="008E5DE4">
            <w:pPr>
              <w:widowControl w:val="0"/>
              <w:pBdr>
                <w:top w:val="nil"/>
                <w:left w:val="nil"/>
                <w:bottom w:val="nil"/>
                <w:right w:val="nil"/>
                <w:between w:val="nil"/>
              </w:pBdr>
              <w:jc w:val="right"/>
              <w:rPr>
                <w:color w:val="000000"/>
              </w:rPr>
            </w:pPr>
          </w:p>
        </w:tc>
        <w:tc>
          <w:tcPr>
            <w:tcW w:w="856" w:type="dxa"/>
          </w:tcPr>
          <w:p w14:paraId="49B80EAD" w14:textId="77777777" w:rsidR="008E5DE4" w:rsidRDefault="008E5DE4">
            <w:pPr>
              <w:widowControl w:val="0"/>
              <w:pBdr>
                <w:top w:val="nil"/>
                <w:left w:val="nil"/>
                <w:bottom w:val="nil"/>
                <w:right w:val="nil"/>
                <w:between w:val="nil"/>
              </w:pBdr>
              <w:jc w:val="right"/>
              <w:rPr>
                <w:color w:val="000000"/>
              </w:rPr>
            </w:pPr>
          </w:p>
        </w:tc>
        <w:tc>
          <w:tcPr>
            <w:tcW w:w="856" w:type="dxa"/>
          </w:tcPr>
          <w:p w14:paraId="3517DC7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F717DFF" w14:textId="77777777" w:rsidR="008E5DE4" w:rsidRDefault="008E5DE4">
            <w:pPr>
              <w:widowControl w:val="0"/>
              <w:pBdr>
                <w:top w:val="nil"/>
                <w:left w:val="nil"/>
                <w:bottom w:val="nil"/>
                <w:right w:val="nil"/>
                <w:between w:val="nil"/>
              </w:pBdr>
              <w:jc w:val="right"/>
              <w:rPr>
                <w:color w:val="000000"/>
              </w:rPr>
            </w:pPr>
          </w:p>
        </w:tc>
      </w:tr>
      <w:tr w:rsidR="008E5DE4" w14:paraId="04A932EA" w14:textId="77777777">
        <w:trPr>
          <w:cantSplit/>
          <w:trHeight w:val="232"/>
        </w:trPr>
        <w:tc>
          <w:tcPr>
            <w:tcW w:w="3061" w:type="dxa"/>
            <w:vAlign w:val="bottom"/>
          </w:tcPr>
          <w:p w14:paraId="1F391A95"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6CBD841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D816EE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9875F6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9644FC2" w14:textId="77777777" w:rsidR="008E5DE4" w:rsidRDefault="008E5DE4">
            <w:pPr>
              <w:widowControl w:val="0"/>
              <w:pBdr>
                <w:top w:val="nil"/>
                <w:left w:val="nil"/>
                <w:bottom w:val="nil"/>
                <w:right w:val="nil"/>
                <w:between w:val="nil"/>
              </w:pBdr>
              <w:jc w:val="right"/>
              <w:rPr>
                <w:color w:val="000000"/>
              </w:rPr>
            </w:pPr>
          </w:p>
        </w:tc>
        <w:tc>
          <w:tcPr>
            <w:tcW w:w="871" w:type="dxa"/>
          </w:tcPr>
          <w:p w14:paraId="28548EAF" w14:textId="77777777" w:rsidR="008E5DE4" w:rsidRDefault="008E5DE4">
            <w:pPr>
              <w:widowControl w:val="0"/>
              <w:pBdr>
                <w:top w:val="nil"/>
                <w:left w:val="nil"/>
                <w:bottom w:val="nil"/>
                <w:right w:val="nil"/>
                <w:between w:val="nil"/>
              </w:pBdr>
              <w:jc w:val="right"/>
              <w:rPr>
                <w:color w:val="000000"/>
              </w:rPr>
            </w:pPr>
          </w:p>
        </w:tc>
        <w:tc>
          <w:tcPr>
            <w:tcW w:w="856" w:type="dxa"/>
          </w:tcPr>
          <w:p w14:paraId="4EF294CF" w14:textId="77777777" w:rsidR="008E5DE4" w:rsidRDefault="008E5DE4">
            <w:pPr>
              <w:widowControl w:val="0"/>
              <w:pBdr>
                <w:top w:val="nil"/>
                <w:left w:val="nil"/>
                <w:bottom w:val="nil"/>
                <w:right w:val="nil"/>
                <w:between w:val="nil"/>
              </w:pBdr>
              <w:jc w:val="right"/>
              <w:rPr>
                <w:color w:val="000000"/>
              </w:rPr>
            </w:pPr>
          </w:p>
        </w:tc>
        <w:tc>
          <w:tcPr>
            <w:tcW w:w="856" w:type="dxa"/>
          </w:tcPr>
          <w:p w14:paraId="4B439CB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BE1132A" w14:textId="77777777" w:rsidR="008E5DE4" w:rsidRDefault="008E5DE4">
            <w:pPr>
              <w:widowControl w:val="0"/>
              <w:pBdr>
                <w:top w:val="nil"/>
                <w:left w:val="nil"/>
                <w:bottom w:val="nil"/>
                <w:right w:val="nil"/>
                <w:between w:val="nil"/>
              </w:pBdr>
              <w:jc w:val="right"/>
              <w:rPr>
                <w:color w:val="000000"/>
              </w:rPr>
            </w:pPr>
          </w:p>
        </w:tc>
      </w:tr>
      <w:tr w:rsidR="008E5DE4" w14:paraId="3B23A1E7" w14:textId="77777777">
        <w:trPr>
          <w:cantSplit/>
          <w:trHeight w:val="80"/>
        </w:trPr>
        <w:tc>
          <w:tcPr>
            <w:tcW w:w="3061" w:type="dxa"/>
            <w:vAlign w:val="bottom"/>
          </w:tcPr>
          <w:p w14:paraId="6A12E9D6"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72A1A4B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E39B30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695578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A4B9CE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1D0037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422D8F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7EAF7B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C2DFBD9" w14:textId="77777777" w:rsidR="008E5DE4" w:rsidRDefault="008E5DE4">
            <w:pPr>
              <w:widowControl w:val="0"/>
              <w:pBdr>
                <w:top w:val="nil"/>
                <w:left w:val="nil"/>
                <w:bottom w:val="nil"/>
                <w:right w:val="nil"/>
                <w:between w:val="nil"/>
              </w:pBdr>
              <w:jc w:val="right"/>
              <w:rPr>
                <w:color w:val="000000"/>
              </w:rPr>
            </w:pPr>
          </w:p>
        </w:tc>
      </w:tr>
      <w:tr w:rsidR="008E5DE4" w14:paraId="5EB89CCC" w14:textId="77777777">
        <w:trPr>
          <w:cantSplit/>
          <w:trHeight w:val="85"/>
        </w:trPr>
        <w:tc>
          <w:tcPr>
            <w:tcW w:w="3061" w:type="dxa"/>
            <w:vAlign w:val="bottom"/>
          </w:tcPr>
          <w:p w14:paraId="6106EE50"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61F1534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214609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2CAA1F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2B3D55A"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80CA1A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7A27A3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F37045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CAF5E12" w14:textId="77777777" w:rsidR="008E5DE4" w:rsidRDefault="008E5DE4">
            <w:pPr>
              <w:widowControl w:val="0"/>
              <w:pBdr>
                <w:top w:val="nil"/>
                <w:left w:val="nil"/>
                <w:bottom w:val="nil"/>
                <w:right w:val="nil"/>
                <w:between w:val="nil"/>
              </w:pBdr>
              <w:jc w:val="right"/>
              <w:rPr>
                <w:color w:val="000000"/>
              </w:rPr>
            </w:pPr>
          </w:p>
        </w:tc>
      </w:tr>
      <w:tr w:rsidR="008E5DE4" w14:paraId="513E86A8" w14:textId="77777777">
        <w:trPr>
          <w:cantSplit/>
          <w:trHeight w:val="169"/>
        </w:trPr>
        <w:tc>
          <w:tcPr>
            <w:tcW w:w="3061" w:type="dxa"/>
            <w:vAlign w:val="bottom"/>
          </w:tcPr>
          <w:p w14:paraId="6B642A27"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7CB2178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73D452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4938C9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B845984"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F6AD15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FED5C1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FF2601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05CC000" w14:textId="77777777" w:rsidR="008E5DE4" w:rsidRDefault="008E5DE4">
            <w:pPr>
              <w:widowControl w:val="0"/>
              <w:pBdr>
                <w:top w:val="nil"/>
                <w:left w:val="nil"/>
                <w:bottom w:val="nil"/>
                <w:right w:val="nil"/>
                <w:between w:val="nil"/>
              </w:pBdr>
              <w:jc w:val="right"/>
              <w:rPr>
                <w:color w:val="000000"/>
              </w:rPr>
            </w:pPr>
          </w:p>
        </w:tc>
      </w:tr>
      <w:tr w:rsidR="008E5DE4" w14:paraId="70A67772" w14:textId="77777777">
        <w:trPr>
          <w:cantSplit/>
          <w:trHeight w:val="169"/>
        </w:trPr>
        <w:tc>
          <w:tcPr>
            <w:tcW w:w="3061" w:type="dxa"/>
            <w:vAlign w:val="bottom"/>
          </w:tcPr>
          <w:p w14:paraId="66C0BFE2"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0B8E2DA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87B00E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1DE09C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E295D00"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3E196B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05F38B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010206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5B7A0F5" w14:textId="77777777" w:rsidR="008E5DE4" w:rsidRDefault="008E5DE4">
            <w:pPr>
              <w:widowControl w:val="0"/>
              <w:pBdr>
                <w:top w:val="nil"/>
                <w:left w:val="nil"/>
                <w:bottom w:val="nil"/>
                <w:right w:val="nil"/>
                <w:between w:val="nil"/>
              </w:pBdr>
              <w:jc w:val="right"/>
              <w:rPr>
                <w:color w:val="000000"/>
              </w:rPr>
            </w:pPr>
          </w:p>
        </w:tc>
      </w:tr>
      <w:tr w:rsidR="008E5DE4" w14:paraId="20FA86B8" w14:textId="77777777">
        <w:trPr>
          <w:cantSplit/>
          <w:trHeight w:val="169"/>
        </w:trPr>
        <w:tc>
          <w:tcPr>
            <w:tcW w:w="3061" w:type="dxa"/>
            <w:tcBorders>
              <w:bottom w:val="single" w:sz="4" w:space="0" w:color="000000"/>
            </w:tcBorders>
            <w:vAlign w:val="bottom"/>
          </w:tcPr>
          <w:p w14:paraId="3D4150DC"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0DC7E6B6"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48EA7EF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71612C3"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54DAA9CA"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63B09A4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91A6A5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56F0E7B"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208B7454" w14:textId="77777777" w:rsidR="008E5DE4" w:rsidRDefault="008E5DE4">
            <w:pPr>
              <w:widowControl w:val="0"/>
              <w:pBdr>
                <w:top w:val="nil"/>
                <w:left w:val="nil"/>
                <w:bottom w:val="nil"/>
                <w:right w:val="nil"/>
                <w:between w:val="nil"/>
              </w:pBdr>
              <w:jc w:val="right"/>
              <w:rPr>
                <w:color w:val="000000"/>
              </w:rPr>
            </w:pPr>
          </w:p>
        </w:tc>
      </w:tr>
      <w:tr w:rsidR="008E5DE4" w14:paraId="4B2980F3" w14:textId="77777777">
        <w:trPr>
          <w:cantSplit/>
          <w:trHeight w:val="153"/>
        </w:trPr>
        <w:tc>
          <w:tcPr>
            <w:tcW w:w="3061" w:type="dxa"/>
            <w:tcBorders>
              <w:top w:val="single" w:sz="4" w:space="0" w:color="000000"/>
            </w:tcBorders>
            <w:vAlign w:val="bottom"/>
          </w:tcPr>
          <w:p w14:paraId="460F1045"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4AEFEF39"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71B9347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91EECD5"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6270905A"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135EB8E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3E7E7C2"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2B2CAA7"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01545F5" w14:textId="77777777" w:rsidR="008E5DE4" w:rsidRDefault="008E5DE4">
            <w:pPr>
              <w:widowControl w:val="0"/>
              <w:pBdr>
                <w:top w:val="nil"/>
                <w:left w:val="nil"/>
                <w:bottom w:val="nil"/>
                <w:right w:val="nil"/>
                <w:between w:val="nil"/>
              </w:pBdr>
              <w:jc w:val="right"/>
              <w:rPr>
                <w:color w:val="000000"/>
              </w:rPr>
            </w:pPr>
          </w:p>
        </w:tc>
      </w:tr>
      <w:tr w:rsidR="008E5DE4" w14:paraId="49A9323E" w14:textId="77777777">
        <w:trPr>
          <w:cantSplit/>
          <w:trHeight w:val="245"/>
        </w:trPr>
        <w:tc>
          <w:tcPr>
            <w:tcW w:w="3061" w:type="dxa"/>
            <w:vAlign w:val="bottom"/>
          </w:tcPr>
          <w:p w14:paraId="1244C5EB"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73698F1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3A3C44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CAD4D3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F7892D3"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FA5599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56A740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FF32F7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F72295A" w14:textId="77777777" w:rsidR="008E5DE4" w:rsidRDefault="008E5DE4">
            <w:pPr>
              <w:widowControl w:val="0"/>
              <w:pBdr>
                <w:top w:val="nil"/>
                <w:left w:val="nil"/>
                <w:bottom w:val="nil"/>
                <w:right w:val="nil"/>
                <w:between w:val="nil"/>
              </w:pBdr>
              <w:jc w:val="right"/>
              <w:rPr>
                <w:color w:val="000000"/>
              </w:rPr>
            </w:pPr>
          </w:p>
        </w:tc>
      </w:tr>
      <w:tr w:rsidR="008E5DE4" w14:paraId="53B6B156" w14:textId="77777777">
        <w:trPr>
          <w:cantSplit/>
          <w:trHeight w:val="80"/>
        </w:trPr>
        <w:tc>
          <w:tcPr>
            <w:tcW w:w="3061" w:type="dxa"/>
            <w:tcBorders>
              <w:bottom w:val="single" w:sz="4" w:space="0" w:color="000000"/>
            </w:tcBorders>
            <w:vAlign w:val="bottom"/>
          </w:tcPr>
          <w:p w14:paraId="7AF95879"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4AC425FF"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61F2943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22C96A9"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39CB053"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5D2565A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EBA6BB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0C2814D"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50E747B4" w14:textId="77777777" w:rsidR="008E5DE4" w:rsidRDefault="008E5DE4">
            <w:pPr>
              <w:widowControl w:val="0"/>
              <w:pBdr>
                <w:top w:val="nil"/>
                <w:left w:val="nil"/>
                <w:bottom w:val="nil"/>
                <w:right w:val="nil"/>
                <w:between w:val="nil"/>
              </w:pBdr>
              <w:jc w:val="right"/>
              <w:rPr>
                <w:color w:val="000000"/>
              </w:rPr>
            </w:pPr>
          </w:p>
        </w:tc>
      </w:tr>
      <w:tr w:rsidR="008E5DE4" w14:paraId="1BCFFD39" w14:textId="77777777">
        <w:trPr>
          <w:cantSplit/>
          <w:trHeight w:val="153"/>
        </w:trPr>
        <w:tc>
          <w:tcPr>
            <w:tcW w:w="3061" w:type="dxa"/>
            <w:tcBorders>
              <w:top w:val="single" w:sz="4" w:space="0" w:color="000000"/>
            </w:tcBorders>
            <w:vAlign w:val="bottom"/>
          </w:tcPr>
          <w:p w14:paraId="22BE0E21"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7030D251"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C014E7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92BC108"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E994AA4"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79D13D6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B2EAC9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89FA146"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1EFAEFD8" w14:textId="77777777" w:rsidR="008E5DE4" w:rsidRDefault="008E5DE4">
            <w:pPr>
              <w:widowControl w:val="0"/>
              <w:pBdr>
                <w:top w:val="nil"/>
                <w:left w:val="nil"/>
                <w:bottom w:val="nil"/>
                <w:right w:val="nil"/>
                <w:between w:val="nil"/>
              </w:pBdr>
              <w:jc w:val="right"/>
              <w:rPr>
                <w:color w:val="000000"/>
              </w:rPr>
            </w:pPr>
          </w:p>
        </w:tc>
      </w:tr>
      <w:tr w:rsidR="008E5DE4" w14:paraId="1F8682A5" w14:textId="77777777">
        <w:trPr>
          <w:cantSplit/>
          <w:trHeight w:val="692"/>
        </w:trPr>
        <w:tc>
          <w:tcPr>
            <w:tcW w:w="3061" w:type="dxa"/>
            <w:vAlign w:val="bottom"/>
          </w:tcPr>
          <w:p w14:paraId="15323FB0"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43C1FD75"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04254607"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4FC29D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8DD4EB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D2235EC"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047B7E6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0ADA6F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0EC02C3"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932DE4A" w14:textId="77777777" w:rsidR="008E5DE4" w:rsidRDefault="008E5DE4">
            <w:pPr>
              <w:widowControl w:val="0"/>
              <w:pBdr>
                <w:top w:val="nil"/>
                <w:left w:val="nil"/>
                <w:bottom w:val="nil"/>
                <w:right w:val="nil"/>
                <w:between w:val="nil"/>
              </w:pBdr>
              <w:jc w:val="right"/>
              <w:rPr>
                <w:color w:val="000000"/>
                <w:highlight w:val="green"/>
              </w:rPr>
            </w:pPr>
          </w:p>
        </w:tc>
      </w:tr>
      <w:tr w:rsidR="008E5DE4" w14:paraId="6BB6F064" w14:textId="77777777">
        <w:trPr>
          <w:cantSplit/>
          <w:trHeight w:val="169"/>
        </w:trPr>
        <w:tc>
          <w:tcPr>
            <w:tcW w:w="3061" w:type="dxa"/>
            <w:vAlign w:val="bottom"/>
          </w:tcPr>
          <w:p w14:paraId="064EAB8B"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13179E6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C25BEE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F1853D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3554F5A"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7AD1E6E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1949A3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CEC2C09"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B620DC4" w14:textId="77777777" w:rsidR="008E5DE4" w:rsidRDefault="008E5DE4">
            <w:pPr>
              <w:widowControl w:val="0"/>
              <w:pBdr>
                <w:top w:val="nil"/>
                <w:left w:val="nil"/>
                <w:bottom w:val="nil"/>
                <w:right w:val="nil"/>
                <w:between w:val="nil"/>
              </w:pBdr>
              <w:jc w:val="right"/>
              <w:rPr>
                <w:color w:val="000000"/>
                <w:highlight w:val="green"/>
              </w:rPr>
            </w:pPr>
          </w:p>
        </w:tc>
      </w:tr>
      <w:tr w:rsidR="008E5DE4" w14:paraId="678E3C28" w14:textId="77777777">
        <w:trPr>
          <w:cantSplit/>
          <w:trHeight w:val="169"/>
        </w:trPr>
        <w:tc>
          <w:tcPr>
            <w:tcW w:w="3061" w:type="dxa"/>
            <w:vAlign w:val="bottom"/>
          </w:tcPr>
          <w:p w14:paraId="64312483"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4C529CE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85AA95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91FD48F"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52A5D40"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54817E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9CA90F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B2985C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2FE79AA" w14:textId="77777777" w:rsidR="008E5DE4" w:rsidRDefault="008E5DE4">
            <w:pPr>
              <w:widowControl w:val="0"/>
              <w:pBdr>
                <w:top w:val="nil"/>
                <w:left w:val="nil"/>
                <w:bottom w:val="nil"/>
                <w:right w:val="nil"/>
                <w:between w:val="nil"/>
              </w:pBdr>
              <w:jc w:val="right"/>
              <w:rPr>
                <w:color w:val="000000"/>
                <w:highlight w:val="green"/>
              </w:rPr>
            </w:pPr>
          </w:p>
        </w:tc>
      </w:tr>
      <w:tr w:rsidR="008E5DE4" w14:paraId="76C0E5C5" w14:textId="77777777">
        <w:trPr>
          <w:cantSplit/>
          <w:trHeight w:val="337"/>
        </w:trPr>
        <w:tc>
          <w:tcPr>
            <w:tcW w:w="3061" w:type="dxa"/>
            <w:vAlign w:val="bottom"/>
          </w:tcPr>
          <w:p w14:paraId="56A6BCB9"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55A2D82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34B2CE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6077B5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814242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7BCD58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25937C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3BE621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9C5725C" w14:textId="77777777" w:rsidR="008E5DE4" w:rsidRDefault="008E5DE4">
            <w:pPr>
              <w:widowControl w:val="0"/>
              <w:pBdr>
                <w:top w:val="nil"/>
                <w:left w:val="nil"/>
                <w:bottom w:val="nil"/>
                <w:right w:val="nil"/>
                <w:between w:val="nil"/>
              </w:pBdr>
              <w:jc w:val="right"/>
              <w:rPr>
                <w:color w:val="000000"/>
              </w:rPr>
            </w:pPr>
          </w:p>
        </w:tc>
      </w:tr>
      <w:tr w:rsidR="008E5DE4" w14:paraId="7BD8FFE0" w14:textId="77777777">
        <w:trPr>
          <w:cantSplit/>
          <w:trHeight w:val="231"/>
        </w:trPr>
        <w:tc>
          <w:tcPr>
            <w:tcW w:w="3061" w:type="dxa"/>
            <w:vAlign w:val="bottom"/>
          </w:tcPr>
          <w:p w14:paraId="613BB92A"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851" w:type="dxa"/>
            <w:vAlign w:val="bottom"/>
          </w:tcPr>
          <w:p w14:paraId="4B3B712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2719AE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B5125D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325048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E2C09C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A7F395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DC7544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2F854C6" w14:textId="77777777" w:rsidR="008E5DE4" w:rsidRDefault="008E5DE4">
            <w:pPr>
              <w:widowControl w:val="0"/>
              <w:pBdr>
                <w:top w:val="nil"/>
                <w:left w:val="nil"/>
                <w:bottom w:val="nil"/>
                <w:right w:val="nil"/>
                <w:between w:val="nil"/>
              </w:pBdr>
              <w:jc w:val="right"/>
              <w:rPr>
                <w:color w:val="000000"/>
              </w:rPr>
            </w:pPr>
          </w:p>
        </w:tc>
      </w:tr>
      <w:tr w:rsidR="008E5DE4" w14:paraId="4726326C" w14:textId="77777777">
        <w:trPr>
          <w:cantSplit/>
          <w:trHeight w:val="169"/>
        </w:trPr>
        <w:tc>
          <w:tcPr>
            <w:tcW w:w="3061" w:type="dxa"/>
            <w:tcBorders>
              <w:bottom w:val="single" w:sz="4" w:space="0" w:color="000000"/>
            </w:tcBorders>
            <w:vAlign w:val="bottom"/>
          </w:tcPr>
          <w:p w14:paraId="4EDD2D4F"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16201023"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6717B96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431529B"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433ACD2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41DCA6D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8F92187"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8882451"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39E5FCF6" w14:textId="77777777" w:rsidR="008E5DE4" w:rsidRDefault="008E5DE4">
            <w:pPr>
              <w:widowControl w:val="0"/>
              <w:pBdr>
                <w:top w:val="nil"/>
                <w:left w:val="nil"/>
                <w:bottom w:val="nil"/>
                <w:right w:val="nil"/>
                <w:between w:val="nil"/>
              </w:pBdr>
              <w:jc w:val="right"/>
              <w:rPr>
                <w:color w:val="000000"/>
              </w:rPr>
            </w:pPr>
          </w:p>
        </w:tc>
      </w:tr>
      <w:tr w:rsidR="008E5DE4" w14:paraId="5AAA4959" w14:textId="77777777">
        <w:trPr>
          <w:cantSplit/>
          <w:trHeight w:val="169"/>
        </w:trPr>
        <w:tc>
          <w:tcPr>
            <w:tcW w:w="3061" w:type="dxa"/>
            <w:tcBorders>
              <w:top w:val="single" w:sz="4" w:space="0" w:color="000000"/>
            </w:tcBorders>
            <w:vAlign w:val="bottom"/>
          </w:tcPr>
          <w:p w14:paraId="1F6936E6"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226BCAFB"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C56C63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7FF0D50"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EAE8E08"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298B85D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899BCF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CF3AE0A"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5B68B310" w14:textId="77777777" w:rsidR="008E5DE4" w:rsidRDefault="008E5DE4">
            <w:pPr>
              <w:widowControl w:val="0"/>
              <w:pBdr>
                <w:top w:val="nil"/>
                <w:left w:val="nil"/>
                <w:bottom w:val="nil"/>
                <w:right w:val="nil"/>
                <w:between w:val="nil"/>
              </w:pBdr>
              <w:jc w:val="right"/>
              <w:rPr>
                <w:color w:val="000000"/>
              </w:rPr>
            </w:pPr>
          </w:p>
        </w:tc>
      </w:tr>
      <w:tr w:rsidR="008E5DE4" w14:paraId="7680E884" w14:textId="77777777">
        <w:trPr>
          <w:cantSplit/>
          <w:trHeight w:val="169"/>
        </w:trPr>
        <w:tc>
          <w:tcPr>
            <w:tcW w:w="3061" w:type="dxa"/>
            <w:vAlign w:val="bottom"/>
          </w:tcPr>
          <w:p w14:paraId="51CCC1AF" w14:textId="7B27370A"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1" w:type="dxa"/>
            <w:vAlign w:val="bottom"/>
          </w:tcPr>
          <w:p w14:paraId="372F350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9135C2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6C3775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3C56A3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789A41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669D36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4E04C1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BD5072C" w14:textId="77777777" w:rsidR="008E5DE4" w:rsidRDefault="008E5DE4">
            <w:pPr>
              <w:widowControl w:val="0"/>
              <w:pBdr>
                <w:top w:val="nil"/>
                <w:left w:val="nil"/>
                <w:bottom w:val="nil"/>
                <w:right w:val="nil"/>
                <w:between w:val="nil"/>
              </w:pBdr>
              <w:jc w:val="right"/>
              <w:rPr>
                <w:color w:val="000000"/>
              </w:rPr>
            </w:pPr>
          </w:p>
        </w:tc>
      </w:tr>
      <w:tr w:rsidR="008E5DE4" w14:paraId="72D0F383" w14:textId="77777777">
        <w:trPr>
          <w:cantSplit/>
          <w:trHeight w:val="169"/>
        </w:trPr>
        <w:tc>
          <w:tcPr>
            <w:tcW w:w="3061" w:type="dxa"/>
            <w:tcBorders>
              <w:bottom w:val="single" w:sz="12" w:space="0" w:color="000000"/>
            </w:tcBorders>
            <w:vAlign w:val="bottom"/>
          </w:tcPr>
          <w:p w14:paraId="4A64FF5F"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1FA5BD40"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3459FCA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7B3E08D9"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15E674E8"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451F965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67D83C7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6D944A10"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6CEA47CA" w14:textId="77777777" w:rsidR="008E5DE4" w:rsidRDefault="008E5DE4">
            <w:pPr>
              <w:widowControl w:val="0"/>
              <w:pBdr>
                <w:top w:val="nil"/>
                <w:left w:val="nil"/>
                <w:bottom w:val="nil"/>
                <w:right w:val="nil"/>
                <w:between w:val="nil"/>
              </w:pBdr>
              <w:jc w:val="right"/>
              <w:rPr>
                <w:color w:val="000000"/>
              </w:rPr>
            </w:pPr>
          </w:p>
        </w:tc>
      </w:tr>
    </w:tbl>
    <w:p w14:paraId="551ACE6B"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006DB30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0B79799F" w14:textId="41E4759E"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corporate bonds at FVOCI in </w:t>
      </w:r>
      <w:r w:rsidR="00FF468A">
        <w:rPr>
          <w:color w:val="000000"/>
          <w:sz w:val="20"/>
          <w:szCs w:val="20"/>
        </w:rPr>
        <w:t>2024</w:t>
      </w:r>
      <w:r>
        <w:rPr>
          <w:color w:val="000000"/>
          <w:sz w:val="20"/>
          <w:szCs w:val="20"/>
        </w:rPr>
        <w:t xml:space="preserve"> were as follows.</w:t>
      </w:r>
    </w:p>
    <w:tbl>
      <w:tblPr>
        <w:tblStyle w:val="afffffff4"/>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3924CEE4" w14:textId="77777777">
        <w:trPr>
          <w:cantSplit/>
          <w:trHeight w:val="169"/>
          <w:tblHeader/>
        </w:trPr>
        <w:tc>
          <w:tcPr>
            <w:tcW w:w="3061" w:type="dxa"/>
            <w:vAlign w:val="bottom"/>
          </w:tcPr>
          <w:p w14:paraId="4E3B8215"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5BFA433F"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2AF2A15A"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56E378DB" w14:textId="77777777">
        <w:trPr>
          <w:cantSplit/>
          <w:trHeight w:val="507"/>
          <w:tblHeader/>
        </w:trPr>
        <w:tc>
          <w:tcPr>
            <w:tcW w:w="3061" w:type="dxa"/>
            <w:tcBorders>
              <w:bottom w:val="single" w:sz="4" w:space="0" w:color="000000"/>
            </w:tcBorders>
            <w:vAlign w:val="bottom"/>
          </w:tcPr>
          <w:p w14:paraId="5421C875" w14:textId="77777777" w:rsidR="008E5DE4" w:rsidRDefault="008E5DE4">
            <w:pPr>
              <w:widowControl w:val="0"/>
              <w:pBdr>
                <w:top w:val="nil"/>
                <w:left w:val="nil"/>
                <w:bottom w:val="nil"/>
                <w:right w:val="nil"/>
                <w:between w:val="nil"/>
              </w:pBdr>
              <w:ind w:left="113" w:right="-57" w:hanging="113"/>
              <w:rPr>
                <w:i/>
                <w:color w:val="000000"/>
              </w:rPr>
            </w:pPr>
          </w:p>
          <w:p w14:paraId="2F142338"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3297F8B5"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0B2CF7AC"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572632A3"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6F71770C"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6EF0ED69"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2BD0BE45"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022030EA"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28013E4D"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2BFD9C7"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251294EA"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54E7A4E1"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55AD3DB4"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722506CB"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118282E0"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1504944C" w14:textId="77777777">
        <w:trPr>
          <w:cantSplit/>
          <w:trHeight w:val="169"/>
          <w:tblHeader/>
        </w:trPr>
        <w:tc>
          <w:tcPr>
            <w:tcW w:w="3061" w:type="dxa"/>
            <w:vAlign w:val="bottom"/>
          </w:tcPr>
          <w:p w14:paraId="6FA04D36" w14:textId="77777777" w:rsidR="008E5DE4" w:rsidRDefault="008E5DE4">
            <w:pPr>
              <w:widowControl w:val="0"/>
              <w:ind w:left="113" w:right="-57" w:hanging="113"/>
            </w:pPr>
          </w:p>
        </w:tc>
        <w:tc>
          <w:tcPr>
            <w:tcW w:w="851" w:type="dxa"/>
            <w:vAlign w:val="bottom"/>
          </w:tcPr>
          <w:p w14:paraId="73BF00C8"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18DF5B7"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E18271A"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FA0DE13" w14:textId="77777777" w:rsidR="008E5DE4" w:rsidRDefault="008E5DE4">
            <w:pPr>
              <w:widowControl w:val="0"/>
              <w:pBdr>
                <w:top w:val="nil"/>
                <w:left w:val="nil"/>
                <w:bottom w:val="nil"/>
                <w:right w:val="nil"/>
                <w:between w:val="nil"/>
              </w:pBdr>
              <w:jc w:val="right"/>
              <w:rPr>
                <w:color w:val="000000"/>
              </w:rPr>
            </w:pPr>
          </w:p>
        </w:tc>
        <w:tc>
          <w:tcPr>
            <w:tcW w:w="871" w:type="dxa"/>
          </w:tcPr>
          <w:p w14:paraId="197444BD" w14:textId="77777777" w:rsidR="008E5DE4" w:rsidRDefault="008E5DE4">
            <w:pPr>
              <w:widowControl w:val="0"/>
              <w:pBdr>
                <w:top w:val="nil"/>
                <w:left w:val="nil"/>
                <w:bottom w:val="nil"/>
                <w:right w:val="nil"/>
                <w:between w:val="nil"/>
              </w:pBdr>
              <w:jc w:val="right"/>
              <w:rPr>
                <w:color w:val="000000"/>
              </w:rPr>
            </w:pPr>
          </w:p>
        </w:tc>
        <w:tc>
          <w:tcPr>
            <w:tcW w:w="856" w:type="dxa"/>
          </w:tcPr>
          <w:p w14:paraId="1C7DC53A" w14:textId="77777777" w:rsidR="008E5DE4" w:rsidRDefault="008E5DE4">
            <w:pPr>
              <w:widowControl w:val="0"/>
              <w:pBdr>
                <w:top w:val="nil"/>
                <w:left w:val="nil"/>
                <w:bottom w:val="nil"/>
                <w:right w:val="nil"/>
                <w:between w:val="nil"/>
              </w:pBdr>
              <w:jc w:val="right"/>
              <w:rPr>
                <w:color w:val="000000"/>
              </w:rPr>
            </w:pPr>
          </w:p>
        </w:tc>
        <w:tc>
          <w:tcPr>
            <w:tcW w:w="856" w:type="dxa"/>
          </w:tcPr>
          <w:p w14:paraId="20040F4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6C9C12C" w14:textId="77777777" w:rsidR="008E5DE4" w:rsidRDefault="008E5DE4">
            <w:pPr>
              <w:widowControl w:val="0"/>
              <w:pBdr>
                <w:top w:val="nil"/>
                <w:left w:val="nil"/>
                <w:bottom w:val="nil"/>
                <w:right w:val="nil"/>
                <w:between w:val="nil"/>
              </w:pBdr>
              <w:jc w:val="right"/>
              <w:rPr>
                <w:color w:val="000000"/>
              </w:rPr>
            </w:pPr>
          </w:p>
        </w:tc>
      </w:tr>
      <w:tr w:rsidR="008E5DE4" w14:paraId="351FE3AD" w14:textId="77777777">
        <w:trPr>
          <w:cantSplit/>
          <w:trHeight w:val="169"/>
        </w:trPr>
        <w:tc>
          <w:tcPr>
            <w:tcW w:w="3061" w:type="dxa"/>
            <w:vAlign w:val="bottom"/>
          </w:tcPr>
          <w:p w14:paraId="6BB9DCE2"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Corporate bonds</w:t>
            </w:r>
          </w:p>
        </w:tc>
        <w:tc>
          <w:tcPr>
            <w:tcW w:w="851" w:type="dxa"/>
            <w:vAlign w:val="bottom"/>
          </w:tcPr>
          <w:p w14:paraId="545BA98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B84BCA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E46F7A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3970A4C" w14:textId="77777777" w:rsidR="008E5DE4" w:rsidRDefault="008E5DE4">
            <w:pPr>
              <w:widowControl w:val="0"/>
              <w:pBdr>
                <w:top w:val="nil"/>
                <w:left w:val="nil"/>
                <w:bottom w:val="nil"/>
                <w:right w:val="nil"/>
                <w:between w:val="nil"/>
              </w:pBdr>
              <w:jc w:val="right"/>
              <w:rPr>
                <w:color w:val="000000"/>
              </w:rPr>
            </w:pPr>
          </w:p>
        </w:tc>
        <w:tc>
          <w:tcPr>
            <w:tcW w:w="871" w:type="dxa"/>
          </w:tcPr>
          <w:p w14:paraId="6472D688" w14:textId="77777777" w:rsidR="008E5DE4" w:rsidRDefault="008E5DE4">
            <w:pPr>
              <w:widowControl w:val="0"/>
              <w:pBdr>
                <w:top w:val="nil"/>
                <w:left w:val="nil"/>
                <w:bottom w:val="nil"/>
                <w:right w:val="nil"/>
                <w:between w:val="nil"/>
              </w:pBdr>
              <w:jc w:val="right"/>
              <w:rPr>
                <w:color w:val="000000"/>
              </w:rPr>
            </w:pPr>
          </w:p>
        </w:tc>
        <w:tc>
          <w:tcPr>
            <w:tcW w:w="856" w:type="dxa"/>
          </w:tcPr>
          <w:p w14:paraId="249CFFD7" w14:textId="77777777" w:rsidR="008E5DE4" w:rsidRDefault="008E5DE4">
            <w:pPr>
              <w:widowControl w:val="0"/>
              <w:pBdr>
                <w:top w:val="nil"/>
                <w:left w:val="nil"/>
                <w:bottom w:val="nil"/>
                <w:right w:val="nil"/>
                <w:between w:val="nil"/>
              </w:pBdr>
              <w:jc w:val="right"/>
              <w:rPr>
                <w:color w:val="000000"/>
              </w:rPr>
            </w:pPr>
          </w:p>
        </w:tc>
        <w:tc>
          <w:tcPr>
            <w:tcW w:w="856" w:type="dxa"/>
          </w:tcPr>
          <w:p w14:paraId="360FAC2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24D28B8" w14:textId="77777777" w:rsidR="008E5DE4" w:rsidRDefault="008E5DE4">
            <w:pPr>
              <w:widowControl w:val="0"/>
              <w:pBdr>
                <w:top w:val="nil"/>
                <w:left w:val="nil"/>
                <w:bottom w:val="nil"/>
                <w:right w:val="nil"/>
                <w:between w:val="nil"/>
              </w:pBdr>
              <w:jc w:val="right"/>
              <w:rPr>
                <w:color w:val="000000"/>
              </w:rPr>
            </w:pPr>
          </w:p>
        </w:tc>
      </w:tr>
      <w:tr w:rsidR="008E5DE4" w14:paraId="1A60D74C" w14:textId="77777777">
        <w:trPr>
          <w:cantSplit/>
          <w:trHeight w:val="169"/>
        </w:trPr>
        <w:tc>
          <w:tcPr>
            <w:tcW w:w="3061" w:type="dxa"/>
            <w:vAlign w:val="bottom"/>
          </w:tcPr>
          <w:p w14:paraId="236E2C9B"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54B1F81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A879CF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F9E81C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EE6AB42" w14:textId="77777777" w:rsidR="008E5DE4" w:rsidRDefault="008E5DE4">
            <w:pPr>
              <w:widowControl w:val="0"/>
              <w:pBdr>
                <w:top w:val="nil"/>
                <w:left w:val="nil"/>
                <w:bottom w:val="nil"/>
                <w:right w:val="nil"/>
                <w:between w:val="nil"/>
              </w:pBdr>
              <w:jc w:val="right"/>
              <w:rPr>
                <w:color w:val="000000"/>
              </w:rPr>
            </w:pPr>
          </w:p>
        </w:tc>
        <w:tc>
          <w:tcPr>
            <w:tcW w:w="871" w:type="dxa"/>
          </w:tcPr>
          <w:p w14:paraId="4244BA46" w14:textId="77777777" w:rsidR="008E5DE4" w:rsidRDefault="008E5DE4">
            <w:pPr>
              <w:widowControl w:val="0"/>
              <w:pBdr>
                <w:top w:val="nil"/>
                <w:left w:val="nil"/>
                <w:bottom w:val="nil"/>
                <w:right w:val="nil"/>
                <w:between w:val="nil"/>
              </w:pBdr>
              <w:jc w:val="right"/>
              <w:rPr>
                <w:color w:val="000000"/>
              </w:rPr>
            </w:pPr>
          </w:p>
        </w:tc>
        <w:tc>
          <w:tcPr>
            <w:tcW w:w="856" w:type="dxa"/>
          </w:tcPr>
          <w:p w14:paraId="61AAEB37" w14:textId="77777777" w:rsidR="008E5DE4" w:rsidRDefault="008E5DE4">
            <w:pPr>
              <w:widowControl w:val="0"/>
              <w:pBdr>
                <w:top w:val="nil"/>
                <w:left w:val="nil"/>
                <w:bottom w:val="nil"/>
                <w:right w:val="nil"/>
                <w:between w:val="nil"/>
              </w:pBdr>
              <w:jc w:val="right"/>
              <w:rPr>
                <w:color w:val="000000"/>
              </w:rPr>
            </w:pPr>
          </w:p>
        </w:tc>
        <w:tc>
          <w:tcPr>
            <w:tcW w:w="856" w:type="dxa"/>
          </w:tcPr>
          <w:p w14:paraId="750E8A5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9DF6635" w14:textId="77777777" w:rsidR="008E5DE4" w:rsidRDefault="008E5DE4">
            <w:pPr>
              <w:widowControl w:val="0"/>
              <w:pBdr>
                <w:top w:val="nil"/>
                <w:left w:val="nil"/>
                <w:bottom w:val="nil"/>
                <w:right w:val="nil"/>
                <w:between w:val="nil"/>
              </w:pBdr>
              <w:jc w:val="right"/>
              <w:rPr>
                <w:color w:val="000000"/>
              </w:rPr>
            </w:pPr>
          </w:p>
        </w:tc>
      </w:tr>
      <w:tr w:rsidR="008E5DE4" w14:paraId="0B1F7446" w14:textId="77777777">
        <w:trPr>
          <w:cantSplit/>
          <w:trHeight w:val="169"/>
        </w:trPr>
        <w:tc>
          <w:tcPr>
            <w:tcW w:w="3061" w:type="dxa"/>
            <w:vAlign w:val="bottom"/>
          </w:tcPr>
          <w:p w14:paraId="1030427F" w14:textId="13A1CF4B"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w:t>
            </w:r>
            <w:r w:rsidR="00FF468A">
              <w:rPr>
                <w:b/>
                <w:color w:val="000000"/>
              </w:rPr>
              <w:t>2024</w:t>
            </w:r>
          </w:p>
        </w:tc>
        <w:tc>
          <w:tcPr>
            <w:tcW w:w="851" w:type="dxa"/>
            <w:vAlign w:val="bottom"/>
          </w:tcPr>
          <w:p w14:paraId="2673CB5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34CB43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0AA026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52C4A78" w14:textId="77777777" w:rsidR="008E5DE4" w:rsidRDefault="008E5DE4">
            <w:pPr>
              <w:widowControl w:val="0"/>
              <w:pBdr>
                <w:top w:val="nil"/>
                <w:left w:val="nil"/>
                <w:bottom w:val="nil"/>
                <w:right w:val="nil"/>
                <w:between w:val="nil"/>
              </w:pBdr>
              <w:jc w:val="right"/>
              <w:rPr>
                <w:color w:val="000000"/>
              </w:rPr>
            </w:pPr>
          </w:p>
        </w:tc>
        <w:tc>
          <w:tcPr>
            <w:tcW w:w="871" w:type="dxa"/>
          </w:tcPr>
          <w:p w14:paraId="4F31B808" w14:textId="77777777" w:rsidR="008E5DE4" w:rsidRDefault="008E5DE4">
            <w:pPr>
              <w:widowControl w:val="0"/>
              <w:pBdr>
                <w:top w:val="nil"/>
                <w:left w:val="nil"/>
                <w:bottom w:val="nil"/>
                <w:right w:val="nil"/>
                <w:between w:val="nil"/>
              </w:pBdr>
              <w:jc w:val="right"/>
              <w:rPr>
                <w:color w:val="000000"/>
              </w:rPr>
            </w:pPr>
          </w:p>
        </w:tc>
        <w:tc>
          <w:tcPr>
            <w:tcW w:w="856" w:type="dxa"/>
          </w:tcPr>
          <w:p w14:paraId="416DEDF6" w14:textId="77777777" w:rsidR="008E5DE4" w:rsidRDefault="008E5DE4">
            <w:pPr>
              <w:widowControl w:val="0"/>
              <w:pBdr>
                <w:top w:val="nil"/>
                <w:left w:val="nil"/>
                <w:bottom w:val="nil"/>
                <w:right w:val="nil"/>
                <w:between w:val="nil"/>
              </w:pBdr>
              <w:jc w:val="right"/>
              <w:rPr>
                <w:color w:val="000000"/>
              </w:rPr>
            </w:pPr>
          </w:p>
        </w:tc>
        <w:tc>
          <w:tcPr>
            <w:tcW w:w="856" w:type="dxa"/>
          </w:tcPr>
          <w:p w14:paraId="314ED52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8540A64" w14:textId="77777777" w:rsidR="008E5DE4" w:rsidRDefault="008E5DE4">
            <w:pPr>
              <w:widowControl w:val="0"/>
              <w:pBdr>
                <w:top w:val="nil"/>
                <w:left w:val="nil"/>
                <w:bottom w:val="nil"/>
                <w:right w:val="nil"/>
                <w:between w:val="nil"/>
              </w:pBdr>
              <w:jc w:val="right"/>
              <w:rPr>
                <w:color w:val="000000"/>
              </w:rPr>
            </w:pPr>
          </w:p>
        </w:tc>
      </w:tr>
      <w:tr w:rsidR="008E5DE4" w14:paraId="4C544512" w14:textId="77777777">
        <w:trPr>
          <w:cantSplit/>
          <w:trHeight w:val="676"/>
        </w:trPr>
        <w:tc>
          <w:tcPr>
            <w:tcW w:w="3061" w:type="dxa"/>
            <w:vAlign w:val="bottom"/>
          </w:tcPr>
          <w:p w14:paraId="50BC6204" w14:textId="77777777" w:rsidR="008E5DE4" w:rsidRDefault="008E5DE4">
            <w:pPr>
              <w:widowControl w:val="0"/>
              <w:pBdr>
                <w:top w:val="nil"/>
                <w:left w:val="nil"/>
                <w:bottom w:val="nil"/>
                <w:right w:val="nil"/>
                <w:between w:val="nil"/>
              </w:pBdr>
              <w:ind w:left="113" w:right="-57" w:hanging="113"/>
              <w:rPr>
                <w:b/>
                <w:color w:val="000000"/>
              </w:rPr>
            </w:pPr>
          </w:p>
          <w:p w14:paraId="66092352"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079CE1E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892F79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93231A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5A8AC6B" w14:textId="77777777" w:rsidR="008E5DE4" w:rsidRDefault="008E5DE4">
            <w:pPr>
              <w:widowControl w:val="0"/>
              <w:pBdr>
                <w:top w:val="nil"/>
                <w:left w:val="nil"/>
                <w:bottom w:val="nil"/>
                <w:right w:val="nil"/>
                <w:between w:val="nil"/>
              </w:pBdr>
              <w:jc w:val="right"/>
              <w:rPr>
                <w:color w:val="000000"/>
              </w:rPr>
            </w:pPr>
          </w:p>
        </w:tc>
        <w:tc>
          <w:tcPr>
            <w:tcW w:w="871" w:type="dxa"/>
          </w:tcPr>
          <w:p w14:paraId="32EB2DEF"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034DF1FC" w14:textId="77777777" w:rsidR="008E5DE4" w:rsidRDefault="008E5DE4">
            <w:pPr>
              <w:widowControl w:val="0"/>
              <w:pBdr>
                <w:top w:val="nil"/>
                <w:left w:val="nil"/>
                <w:bottom w:val="nil"/>
                <w:right w:val="nil"/>
                <w:between w:val="nil"/>
              </w:pBdr>
              <w:jc w:val="right"/>
              <w:rPr>
                <w:color w:val="000000"/>
              </w:rPr>
            </w:pPr>
          </w:p>
        </w:tc>
        <w:tc>
          <w:tcPr>
            <w:tcW w:w="856" w:type="dxa"/>
          </w:tcPr>
          <w:p w14:paraId="604900F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BB65127" w14:textId="77777777" w:rsidR="008E5DE4" w:rsidRDefault="008E5DE4">
            <w:pPr>
              <w:widowControl w:val="0"/>
              <w:pBdr>
                <w:top w:val="nil"/>
                <w:left w:val="nil"/>
                <w:bottom w:val="nil"/>
                <w:right w:val="nil"/>
                <w:between w:val="nil"/>
              </w:pBdr>
              <w:jc w:val="right"/>
              <w:rPr>
                <w:color w:val="000000"/>
              </w:rPr>
            </w:pPr>
          </w:p>
        </w:tc>
      </w:tr>
      <w:tr w:rsidR="008E5DE4" w14:paraId="49835441" w14:textId="77777777">
        <w:trPr>
          <w:cantSplit/>
          <w:trHeight w:val="184"/>
        </w:trPr>
        <w:tc>
          <w:tcPr>
            <w:tcW w:w="3061" w:type="dxa"/>
            <w:vAlign w:val="bottom"/>
          </w:tcPr>
          <w:p w14:paraId="57EA9FC6"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5F005FC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C66F78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5331CFD"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4EBBDB3"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2D940D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3983BA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235A2E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EB74FF6" w14:textId="77777777" w:rsidR="008E5DE4" w:rsidRDefault="008E5DE4">
            <w:pPr>
              <w:widowControl w:val="0"/>
              <w:pBdr>
                <w:top w:val="nil"/>
                <w:left w:val="nil"/>
                <w:bottom w:val="nil"/>
                <w:right w:val="nil"/>
                <w:between w:val="nil"/>
              </w:pBdr>
              <w:jc w:val="right"/>
              <w:rPr>
                <w:color w:val="000000"/>
                <w:highlight w:val="green"/>
              </w:rPr>
            </w:pPr>
          </w:p>
        </w:tc>
      </w:tr>
      <w:tr w:rsidR="008E5DE4" w14:paraId="560D4AC7" w14:textId="77777777">
        <w:trPr>
          <w:cantSplit/>
          <w:trHeight w:val="184"/>
        </w:trPr>
        <w:tc>
          <w:tcPr>
            <w:tcW w:w="3061" w:type="dxa"/>
            <w:vAlign w:val="bottom"/>
          </w:tcPr>
          <w:p w14:paraId="4E440AD1"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235FDF86"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00EEB3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762D7D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5FFA07C"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ABC8A2B"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E0D544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06744FF"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4CEA143" w14:textId="77777777" w:rsidR="008E5DE4" w:rsidRDefault="008E5DE4">
            <w:pPr>
              <w:widowControl w:val="0"/>
              <w:pBdr>
                <w:top w:val="nil"/>
                <w:left w:val="nil"/>
                <w:bottom w:val="nil"/>
                <w:right w:val="nil"/>
                <w:between w:val="nil"/>
              </w:pBdr>
              <w:jc w:val="right"/>
              <w:rPr>
                <w:color w:val="000000"/>
                <w:highlight w:val="green"/>
              </w:rPr>
            </w:pPr>
          </w:p>
        </w:tc>
      </w:tr>
      <w:tr w:rsidR="008E5DE4" w14:paraId="3215C062" w14:textId="77777777">
        <w:trPr>
          <w:cantSplit/>
          <w:trHeight w:val="80"/>
        </w:trPr>
        <w:tc>
          <w:tcPr>
            <w:tcW w:w="3061" w:type="dxa"/>
            <w:vAlign w:val="bottom"/>
          </w:tcPr>
          <w:p w14:paraId="56FA886B"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645051E7"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862ED5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639494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EBCF4B2"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2042A9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4E2486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800930D"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9162853" w14:textId="77777777" w:rsidR="008E5DE4" w:rsidRDefault="008E5DE4">
            <w:pPr>
              <w:widowControl w:val="0"/>
              <w:pBdr>
                <w:top w:val="nil"/>
                <w:left w:val="nil"/>
                <w:bottom w:val="nil"/>
                <w:right w:val="nil"/>
                <w:between w:val="nil"/>
              </w:pBdr>
              <w:jc w:val="right"/>
              <w:rPr>
                <w:color w:val="000000"/>
                <w:highlight w:val="green"/>
              </w:rPr>
            </w:pPr>
          </w:p>
        </w:tc>
      </w:tr>
      <w:tr w:rsidR="008E5DE4" w14:paraId="6297D192" w14:textId="77777777">
        <w:trPr>
          <w:cantSplit/>
          <w:trHeight w:val="80"/>
        </w:trPr>
        <w:tc>
          <w:tcPr>
            <w:tcW w:w="3061" w:type="dxa"/>
            <w:vAlign w:val="bottom"/>
          </w:tcPr>
          <w:p w14:paraId="07824D57"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2CDDBF0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1F525E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4BC3D5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48A7A25"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F7C85C1"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7240C4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CF932AD"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F19F9FA" w14:textId="77777777" w:rsidR="008E5DE4" w:rsidRDefault="008E5DE4">
            <w:pPr>
              <w:widowControl w:val="0"/>
              <w:pBdr>
                <w:top w:val="nil"/>
                <w:left w:val="nil"/>
                <w:bottom w:val="nil"/>
                <w:right w:val="nil"/>
                <w:between w:val="nil"/>
              </w:pBdr>
              <w:jc w:val="right"/>
              <w:rPr>
                <w:color w:val="000000"/>
                <w:highlight w:val="green"/>
              </w:rPr>
            </w:pPr>
          </w:p>
        </w:tc>
      </w:tr>
      <w:tr w:rsidR="008E5DE4" w14:paraId="50057A05" w14:textId="77777777">
        <w:trPr>
          <w:cantSplit/>
          <w:trHeight w:val="361"/>
        </w:trPr>
        <w:tc>
          <w:tcPr>
            <w:tcW w:w="3061" w:type="dxa"/>
            <w:vAlign w:val="bottom"/>
          </w:tcPr>
          <w:p w14:paraId="754FC180"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0FBF482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840F02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E49705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2679C96"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BEEFE4E"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A9EF20B"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EB865A3"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3200FA9" w14:textId="77777777" w:rsidR="008E5DE4" w:rsidRDefault="008E5DE4">
            <w:pPr>
              <w:widowControl w:val="0"/>
              <w:pBdr>
                <w:top w:val="nil"/>
                <w:left w:val="nil"/>
                <w:bottom w:val="nil"/>
                <w:right w:val="nil"/>
                <w:between w:val="nil"/>
              </w:pBdr>
              <w:jc w:val="right"/>
              <w:rPr>
                <w:color w:val="000000"/>
                <w:highlight w:val="green"/>
              </w:rPr>
            </w:pPr>
          </w:p>
        </w:tc>
      </w:tr>
      <w:tr w:rsidR="008E5DE4" w14:paraId="2EB5BD21" w14:textId="77777777">
        <w:trPr>
          <w:cantSplit/>
          <w:trHeight w:val="169"/>
        </w:trPr>
        <w:tc>
          <w:tcPr>
            <w:tcW w:w="3061" w:type="dxa"/>
            <w:vAlign w:val="bottom"/>
          </w:tcPr>
          <w:p w14:paraId="7D26F16C"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5A08B3B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AE4757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97A155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B927C28" w14:textId="77777777" w:rsidR="008E5DE4" w:rsidRDefault="008E5DE4">
            <w:pPr>
              <w:widowControl w:val="0"/>
              <w:pBdr>
                <w:top w:val="nil"/>
                <w:left w:val="nil"/>
                <w:bottom w:val="nil"/>
                <w:right w:val="nil"/>
                <w:between w:val="nil"/>
              </w:pBdr>
              <w:jc w:val="right"/>
              <w:rPr>
                <w:color w:val="000000"/>
              </w:rPr>
            </w:pPr>
          </w:p>
        </w:tc>
        <w:tc>
          <w:tcPr>
            <w:tcW w:w="871" w:type="dxa"/>
          </w:tcPr>
          <w:p w14:paraId="6DB1EF88" w14:textId="77777777" w:rsidR="008E5DE4" w:rsidRDefault="008E5DE4">
            <w:pPr>
              <w:widowControl w:val="0"/>
              <w:pBdr>
                <w:top w:val="nil"/>
                <w:left w:val="nil"/>
                <w:bottom w:val="nil"/>
                <w:right w:val="nil"/>
                <w:between w:val="nil"/>
              </w:pBdr>
              <w:jc w:val="right"/>
              <w:rPr>
                <w:color w:val="000000"/>
              </w:rPr>
            </w:pPr>
          </w:p>
        </w:tc>
        <w:tc>
          <w:tcPr>
            <w:tcW w:w="856" w:type="dxa"/>
          </w:tcPr>
          <w:p w14:paraId="5E3F2EEA" w14:textId="77777777" w:rsidR="008E5DE4" w:rsidRDefault="008E5DE4">
            <w:pPr>
              <w:widowControl w:val="0"/>
              <w:pBdr>
                <w:top w:val="nil"/>
                <w:left w:val="nil"/>
                <w:bottom w:val="nil"/>
                <w:right w:val="nil"/>
                <w:between w:val="nil"/>
              </w:pBdr>
              <w:jc w:val="right"/>
              <w:rPr>
                <w:color w:val="000000"/>
              </w:rPr>
            </w:pPr>
          </w:p>
        </w:tc>
        <w:tc>
          <w:tcPr>
            <w:tcW w:w="856" w:type="dxa"/>
          </w:tcPr>
          <w:p w14:paraId="38F7A04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ECB778B" w14:textId="77777777" w:rsidR="008E5DE4" w:rsidRDefault="008E5DE4">
            <w:pPr>
              <w:widowControl w:val="0"/>
              <w:pBdr>
                <w:top w:val="nil"/>
                <w:left w:val="nil"/>
                <w:bottom w:val="nil"/>
                <w:right w:val="nil"/>
                <w:between w:val="nil"/>
              </w:pBdr>
              <w:jc w:val="right"/>
              <w:rPr>
                <w:color w:val="000000"/>
              </w:rPr>
            </w:pPr>
          </w:p>
        </w:tc>
      </w:tr>
      <w:tr w:rsidR="008E5DE4" w14:paraId="549EFFCB" w14:textId="77777777">
        <w:trPr>
          <w:cantSplit/>
          <w:trHeight w:val="232"/>
        </w:trPr>
        <w:tc>
          <w:tcPr>
            <w:tcW w:w="3061" w:type="dxa"/>
            <w:vAlign w:val="bottom"/>
          </w:tcPr>
          <w:p w14:paraId="0D256638"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6ECF33E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E0722A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2C90C5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5EBAE90" w14:textId="77777777" w:rsidR="008E5DE4" w:rsidRDefault="008E5DE4">
            <w:pPr>
              <w:widowControl w:val="0"/>
              <w:pBdr>
                <w:top w:val="nil"/>
                <w:left w:val="nil"/>
                <w:bottom w:val="nil"/>
                <w:right w:val="nil"/>
                <w:between w:val="nil"/>
              </w:pBdr>
              <w:jc w:val="right"/>
              <w:rPr>
                <w:color w:val="000000"/>
              </w:rPr>
            </w:pPr>
          </w:p>
        </w:tc>
        <w:tc>
          <w:tcPr>
            <w:tcW w:w="871" w:type="dxa"/>
          </w:tcPr>
          <w:p w14:paraId="7D94AA4B" w14:textId="77777777" w:rsidR="008E5DE4" w:rsidRDefault="008E5DE4">
            <w:pPr>
              <w:widowControl w:val="0"/>
              <w:pBdr>
                <w:top w:val="nil"/>
                <w:left w:val="nil"/>
                <w:bottom w:val="nil"/>
                <w:right w:val="nil"/>
                <w:between w:val="nil"/>
              </w:pBdr>
              <w:jc w:val="right"/>
              <w:rPr>
                <w:color w:val="000000"/>
              </w:rPr>
            </w:pPr>
          </w:p>
        </w:tc>
        <w:tc>
          <w:tcPr>
            <w:tcW w:w="856" w:type="dxa"/>
          </w:tcPr>
          <w:p w14:paraId="4B55F33C" w14:textId="77777777" w:rsidR="008E5DE4" w:rsidRDefault="008E5DE4">
            <w:pPr>
              <w:widowControl w:val="0"/>
              <w:pBdr>
                <w:top w:val="nil"/>
                <w:left w:val="nil"/>
                <w:bottom w:val="nil"/>
                <w:right w:val="nil"/>
                <w:between w:val="nil"/>
              </w:pBdr>
              <w:jc w:val="right"/>
              <w:rPr>
                <w:color w:val="000000"/>
              </w:rPr>
            </w:pPr>
          </w:p>
        </w:tc>
        <w:tc>
          <w:tcPr>
            <w:tcW w:w="856" w:type="dxa"/>
          </w:tcPr>
          <w:p w14:paraId="3B61258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8E998FE" w14:textId="77777777" w:rsidR="008E5DE4" w:rsidRDefault="008E5DE4">
            <w:pPr>
              <w:widowControl w:val="0"/>
              <w:pBdr>
                <w:top w:val="nil"/>
                <w:left w:val="nil"/>
                <w:bottom w:val="nil"/>
                <w:right w:val="nil"/>
                <w:between w:val="nil"/>
              </w:pBdr>
              <w:jc w:val="right"/>
              <w:rPr>
                <w:color w:val="000000"/>
              </w:rPr>
            </w:pPr>
          </w:p>
        </w:tc>
      </w:tr>
      <w:tr w:rsidR="008E5DE4" w14:paraId="4D0AAEBC" w14:textId="77777777">
        <w:trPr>
          <w:cantSplit/>
          <w:trHeight w:val="80"/>
        </w:trPr>
        <w:tc>
          <w:tcPr>
            <w:tcW w:w="3061" w:type="dxa"/>
            <w:vAlign w:val="bottom"/>
          </w:tcPr>
          <w:p w14:paraId="72C7FF6F"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7D9F4CB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34F115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B5A645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5C76C7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E98E09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9EC755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F5D7F5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0EA0691" w14:textId="77777777" w:rsidR="008E5DE4" w:rsidRDefault="008E5DE4">
            <w:pPr>
              <w:widowControl w:val="0"/>
              <w:pBdr>
                <w:top w:val="nil"/>
                <w:left w:val="nil"/>
                <w:bottom w:val="nil"/>
                <w:right w:val="nil"/>
                <w:between w:val="nil"/>
              </w:pBdr>
              <w:jc w:val="right"/>
              <w:rPr>
                <w:color w:val="000000"/>
              </w:rPr>
            </w:pPr>
          </w:p>
        </w:tc>
      </w:tr>
      <w:tr w:rsidR="008E5DE4" w14:paraId="276123F7" w14:textId="77777777">
        <w:trPr>
          <w:cantSplit/>
          <w:trHeight w:val="85"/>
        </w:trPr>
        <w:tc>
          <w:tcPr>
            <w:tcW w:w="3061" w:type="dxa"/>
            <w:vAlign w:val="bottom"/>
          </w:tcPr>
          <w:p w14:paraId="2DDE35C5"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40C1876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B7372A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7021F0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76DF9E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1191E8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BB44A4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E92529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E777219" w14:textId="77777777" w:rsidR="008E5DE4" w:rsidRDefault="008E5DE4">
            <w:pPr>
              <w:widowControl w:val="0"/>
              <w:pBdr>
                <w:top w:val="nil"/>
                <w:left w:val="nil"/>
                <w:bottom w:val="nil"/>
                <w:right w:val="nil"/>
                <w:between w:val="nil"/>
              </w:pBdr>
              <w:jc w:val="right"/>
              <w:rPr>
                <w:color w:val="000000"/>
              </w:rPr>
            </w:pPr>
          </w:p>
        </w:tc>
      </w:tr>
      <w:tr w:rsidR="008E5DE4" w14:paraId="7F0E3F3B" w14:textId="77777777">
        <w:trPr>
          <w:cantSplit/>
          <w:trHeight w:val="169"/>
        </w:trPr>
        <w:tc>
          <w:tcPr>
            <w:tcW w:w="3061" w:type="dxa"/>
            <w:vAlign w:val="bottom"/>
          </w:tcPr>
          <w:p w14:paraId="54AD905F"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21887DF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C54D3A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D47A71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0E23B3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207156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4CD21D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C9897C4"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502FF70" w14:textId="77777777" w:rsidR="008E5DE4" w:rsidRDefault="008E5DE4">
            <w:pPr>
              <w:widowControl w:val="0"/>
              <w:pBdr>
                <w:top w:val="nil"/>
                <w:left w:val="nil"/>
                <w:bottom w:val="nil"/>
                <w:right w:val="nil"/>
                <w:between w:val="nil"/>
              </w:pBdr>
              <w:jc w:val="right"/>
              <w:rPr>
                <w:color w:val="000000"/>
              </w:rPr>
            </w:pPr>
          </w:p>
        </w:tc>
      </w:tr>
      <w:tr w:rsidR="008E5DE4" w14:paraId="18AF0B99" w14:textId="77777777">
        <w:trPr>
          <w:cantSplit/>
          <w:trHeight w:val="169"/>
        </w:trPr>
        <w:tc>
          <w:tcPr>
            <w:tcW w:w="3061" w:type="dxa"/>
            <w:vAlign w:val="bottom"/>
          </w:tcPr>
          <w:p w14:paraId="609CA894"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74FC103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5067DF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51A8BD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673E2F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6D7F7F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650F32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A8D2E5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5383752" w14:textId="77777777" w:rsidR="008E5DE4" w:rsidRDefault="008E5DE4">
            <w:pPr>
              <w:widowControl w:val="0"/>
              <w:pBdr>
                <w:top w:val="nil"/>
                <w:left w:val="nil"/>
                <w:bottom w:val="nil"/>
                <w:right w:val="nil"/>
                <w:between w:val="nil"/>
              </w:pBdr>
              <w:jc w:val="right"/>
              <w:rPr>
                <w:color w:val="000000"/>
              </w:rPr>
            </w:pPr>
          </w:p>
        </w:tc>
      </w:tr>
      <w:tr w:rsidR="008E5DE4" w14:paraId="74BC3217" w14:textId="77777777">
        <w:trPr>
          <w:cantSplit/>
          <w:trHeight w:val="169"/>
        </w:trPr>
        <w:tc>
          <w:tcPr>
            <w:tcW w:w="3061" w:type="dxa"/>
            <w:tcBorders>
              <w:bottom w:val="single" w:sz="4" w:space="0" w:color="000000"/>
            </w:tcBorders>
            <w:vAlign w:val="bottom"/>
          </w:tcPr>
          <w:p w14:paraId="0E5CB903"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1632660F"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2682093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5A9676A"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2EF129D2"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74DE2EB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AB3CD2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ED1DF2E"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446BC047" w14:textId="77777777" w:rsidR="008E5DE4" w:rsidRDefault="008E5DE4">
            <w:pPr>
              <w:widowControl w:val="0"/>
              <w:pBdr>
                <w:top w:val="nil"/>
                <w:left w:val="nil"/>
                <w:bottom w:val="nil"/>
                <w:right w:val="nil"/>
                <w:between w:val="nil"/>
              </w:pBdr>
              <w:jc w:val="right"/>
              <w:rPr>
                <w:color w:val="000000"/>
              </w:rPr>
            </w:pPr>
          </w:p>
        </w:tc>
      </w:tr>
      <w:tr w:rsidR="008E5DE4" w14:paraId="08B57A43" w14:textId="77777777">
        <w:trPr>
          <w:cantSplit/>
          <w:trHeight w:val="153"/>
        </w:trPr>
        <w:tc>
          <w:tcPr>
            <w:tcW w:w="3061" w:type="dxa"/>
            <w:tcBorders>
              <w:top w:val="single" w:sz="4" w:space="0" w:color="000000"/>
            </w:tcBorders>
            <w:vAlign w:val="bottom"/>
          </w:tcPr>
          <w:p w14:paraId="72DA9570"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46A3D7E8"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69EC09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3501F00"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3C22648"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1A43657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6990AE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8443D59"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4CF25BB8" w14:textId="77777777" w:rsidR="008E5DE4" w:rsidRDefault="008E5DE4">
            <w:pPr>
              <w:widowControl w:val="0"/>
              <w:pBdr>
                <w:top w:val="nil"/>
                <w:left w:val="nil"/>
                <w:bottom w:val="nil"/>
                <w:right w:val="nil"/>
                <w:between w:val="nil"/>
              </w:pBdr>
              <w:jc w:val="right"/>
              <w:rPr>
                <w:color w:val="000000"/>
              </w:rPr>
            </w:pPr>
          </w:p>
        </w:tc>
      </w:tr>
      <w:tr w:rsidR="008E5DE4" w14:paraId="5A335EDD" w14:textId="77777777">
        <w:trPr>
          <w:cantSplit/>
          <w:trHeight w:val="245"/>
        </w:trPr>
        <w:tc>
          <w:tcPr>
            <w:tcW w:w="3061" w:type="dxa"/>
            <w:vAlign w:val="bottom"/>
          </w:tcPr>
          <w:p w14:paraId="35201CB4"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2BFA005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0EC6A2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8B1B58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48F02C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D6B097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E575E1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8C1913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4ECC44C" w14:textId="77777777" w:rsidR="008E5DE4" w:rsidRDefault="008E5DE4">
            <w:pPr>
              <w:widowControl w:val="0"/>
              <w:pBdr>
                <w:top w:val="nil"/>
                <w:left w:val="nil"/>
                <w:bottom w:val="nil"/>
                <w:right w:val="nil"/>
                <w:between w:val="nil"/>
              </w:pBdr>
              <w:jc w:val="right"/>
              <w:rPr>
                <w:color w:val="000000"/>
              </w:rPr>
            </w:pPr>
          </w:p>
        </w:tc>
      </w:tr>
      <w:tr w:rsidR="008E5DE4" w14:paraId="13066F68" w14:textId="77777777">
        <w:trPr>
          <w:cantSplit/>
          <w:trHeight w:val="80"/>
        </w:trPr>
        <w:tc>
          <w:tcPr>
            <w:tcW w:w="3061" w:type="dxa"/>
            <w:tcBorders>
              <w:bottom w:val="single" w:sz="4" w:space="0" w:color="000000"/>
            </w:tcBorders>
            <w:vAlign w:val="bottom"/>
          </w:tcPr>
          <w:p w14:paraId="7FCB3A85"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3290F249"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7DAB98A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B0B6EF2"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40AC0990"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22F7B66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41C4B4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C80CACC"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13F0AC15" w14:textId="77777777" w:rsidR="008E5DE4" w:rsidRDefault="008E5DE4">
            <w:pPr>
              <w:widowControl w:val="0"/>
              <w:pBdr>
                <w:top w:val="nil"/>
                <w:left w:val="nil"/>
                <w:bottom w:val="nil"/>
                <w:right w:val="nil"/>
                <w:between w:val="nil"/>
              </w:pBdr>
              <w:jc w:val="right"/>
              <w:rPr>
                <w:color w:val="000000"/>
              </w:rPr>
            </w:pPr>
          </w:p>
        </w:tc>
      </w:tr>
      <w:tr w:rsidR="008E5DE4" w14:paraId="4173DD24" w14:textId="77777777">
        <w:trPr>
          <w:cantSplit/>
          <w:trHeight w:val="153"/>
        </w:trPr>
        <w:tc>
          <w:tcPr>
            <w:tcW w:w="3061" w:type="dxa"/>
            <w:tcBorders>
              <w:top w:val="single" w:sz="4" w:space="0" w:color="000000"/>
            </w:tcBorders>
            <w:vAlign w:val="bottom"/>
          </w:tcPr>
          <w:p w14:paraId="78ECB115"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2B527DB3"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6ACF44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424F143"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8484F2A"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2911BE1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8B695A2"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F972570"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648445BA" w14:textId="77777777" w:rsidR="008E5DE4" w:rsidRDefault="008E5DE4">
            <w:pPr>
              <w:widowControl w:val="0"/>
              <w:pBdr>
                <w:top w:val="nil"/>
                <w:left w:val="nil"/>
                <w:bottom w:val="nil"/>
                <w:right w:val="nil"/>
                <w:between w:val="nil"/>
              </w:pBdr>
              <w:jc w:val="right"/>
              <w:rPr>
                <w:color w:val="000000"/>
              </w:rPr>
            </w:pPr>
          </w:p>
        </w:tc>
      </w:tr>
      <w:tr w:rsidR="008E5DE4" w14:paraId="4184EFDF" w14:textId="77777777">
        <w:trPr>
          <w:cantSplit/>
          <w:trHeight w:val="692"/>
        </w:trPr>
        <w:tc>
          <w:tcPr>
            <w:tcW w:w="3061" w:type="dxa"/>
            <w:vAlign w:val="bottom"/>
          </w:tcPr>
          <w:p w14:paraId="14F78F7D"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784866FA"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0CA38A59"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8FF1FD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E748A9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7F4970C"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D536E0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4B0744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06AC0E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A7765B1" w14:textId="77777777" w:rsidR="008E5DE4" w:rsidRDefault="008E5DE4">
            <w:pPr>
              <w:widowControl w:val="0"/>
              <w:pBdr>
                <w:top w:val="nil"/>
                <w:left w:val="nil"/>
                <w:bottom w:val="nil"/>
                <w:right w:val="nil"/>
                <w:between w:val="nil"/>
              </w:pBdr>
              <w:jc w:val="right"/>
              <w:rPr>
                <w:color w:val="000000"/>
                <w:highlight w:val="green"/>
              </w:rPr>
            </w:pPr>
          </w:p>
        </w:tc>
      </w:tr>
      <w:tr w:rsidR="008E5DE4" w14:paraId="7B1A7026" w14:textId="77777777">
        <w:trPr>
          <w:cantSplit/>
          <w:trHeight w:val="169"/>
        </w:trPr>
        <w:tc>
          <w:tcPr>
            <w:tcW w:w="3061" w:type="dxa"/>
            <w:vAlign w:val="bottom"/>
          </w:tcPr>
          <w:p w14:paraId="23F31D2C"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40B2EEA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B7B974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F674141"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73F38DF"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F75B02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0F4C79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9993DB2"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6E0DA11" w14:textId="77777777" w:rsidR="008E5DE4" w:rsidRDefault="008E5DE4">
            <w:pPr>
              <w:widowControl w:val="0"/>
              <w:pBdr>
                <w:top w:val="nil"/>
                <w:left w:val="nil"/>
                <w:bottom w:val="nil"/>
                <w:right w:val="nil"/>
                <w:between w:val="nil"/>
              </w:pBdr>
              <w:jc w:val="right"/>
              <w:rPr>
                <w:color w:val="000000"/>
                <w:highlight w:val="green"/>
              </w:rPr>
            </w:pPr>
          </w:p>
        </w:tc>
      </w:tr>
      <w:tr w:rsidR="008E5DE4" w14:paraId="6765C51D" w14:textId="77777777">
        <w:trPr>
          <w:cantSplit/>
          <w:trHeight w:val="169"/>
        </w:trPr>
        <w:tc>
          <w:tcPr>
            <w:tcW w:w="3061" w:type="dxa"/>
            <w:vAlign w:val="bottom"/>
          </w:tcPr>
          <w:p w14:paraId="404D67ED"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7498CE54"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530678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D01499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570F6A1"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19B250F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8D9ACD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1C9618C"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5AFE15F" w14:textId="77777777" w:rsidR="008E5DE4" w:rsidRDefault="008E5DE4">
            <w:pPr>
              <w:widowControl w:val="0"/>
              <w:pBdr>
                <w:top w:val="nil"/>
                <w:left w:val="nil"/>
                <w:bottom w:val="nil"/>
                <w:right w:val="nil"/>
                <w:between w:val="nil"/>
              </w:pBdr>
              <w:jc w:val="right"/>
              <w:rPr>
                <w:color w:val="000000"/>
                <w:highlight w:val="green"/>
              </w:rPr>
            </w:pPr>
          </w:p>
        </w:tc>
      </w:tr>
      <w:tr w:rsidR="008E5DE4" w14:paraId="1735F96E" w14:textId="77777777">
        <w:trPr>
          <w:cantSplit/>
          <w:trHeight w:val="337"/>
        </w:trPr>
        <w:tc>
          <w:tcPr>
            <w:tcW w:w="3061" w:type="dxa"/>
            <w:vAlign w:val="bottom"/>
          </w:tcPr>
          <w:p w14:paraId="4647E4F1"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4F26D19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F44224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3E3675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5FF5563"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F7B6AF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CC361D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E8C71E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CFAA919" w14:textId="77777777" w:rsidR="008E5DE4" w:rsidRDefault="008E5DE4">
            <w:pPr>
              <w:widowControl w:val="0"/>
              <w:pBdr>
                <w:top w:val="nil"/>
                <w:left w:val="nil"/>
                <w:bottom w:val="nil"/>
                <w:right w:val="nil"/>
                <w:between w:val="nil"/>
              </w:pBdr>
              <w:jc w:val="right"/>
              <w:rPr>
                <w:color w:val="000000"/>
              </w:rPr>
            </w:pPr>
          </w:p>
        </w:tc>
      </w:tr>
      <w:tr w:rsidR="008E5DE4" w14:paraId="69E69843" w14:textId="77777777">
        <w:trPr>
          <w:cantSplit/>
          <w:trHeight w:val="231"/>
        </w:trPr>
        <w:tc>
          <w:tcPr>
            <w:tcW w:w="3061" w:type="dxa"/>
            <w:vAlign w:val="bottom"/>
          </w:tcPr>
          <w:p w14:paraId="0CAEA02B"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851" w:type="dxa"/>
            <w:vAlign w:val="bottom"/>
          </w:tcPr>
          <w:p w14:paraId="224355B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C3CC50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260163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B41AA1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1278B0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50D4E6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A84B9F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0DF8464" w14:textId="77777777" w:rsidR="008E5DE4" w:rsidRDefault="008E5DE4">
            <w:pPr>
              <w:widowControl w:val="0"/>
              <w:pBdr>
                <w:top w:val="nil"/>
                <w:left w:val="nil"/>
                <w:bottom w:val="nil"/>
                <w:right w:val="nil"/>
                <w:between w:val="nil"/>
              </w:pBdr>
              <w:jc w:val="right"/>
              <w:rPr>
                <w:color w:val="000000"/>
              </w:rPr>
            </w:pPr>
          </w:p>
        </w:tc>
      </w:tr>
      <w:tr w:rsidR="008E5DE4" w14:paraId="29285941" w14:textId="77777777">
        <w:trPr>
          <w:cantSplit/>
          <w:trHeight w:val="169"/>
        </w:trPr>
        <w:tc>
          <w:tcPr>
            <w:tcW w:w="3061" w:type="dxa"/>
            <w:tcBorders>
              <w:bottom w:val="single" w:sz="4" w:space="0" w:color="000000"/>
            </w:tcBorders>
            <w:vAlign w:val="bottom"/>
          </w:tcPr>
          <w:p w14:paraId="4E6C3B6C"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29308C75"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46891F6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5865D0E"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5EACA31F"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FFACF9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3FA292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F095C1D"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051F9F21" w14:textId="77777777" w:rsidR="008E5DE4" w:rsidRDefault="008E5DE4">
            <w:pPr>
              <w:widowControl w:val="0"/>
              <w:pBdr>
                <w:top w:val="nil"/>
                <w:left w:val="nil"/>
                <w:bottom w:val="nil"/>
                <w:right w:val="nil"/>
                <w:between w:val="nil"/>
              </w:pBdr>
              <w:jc w:val="right"/>
              <w:rPr>
                <w:color w:val="000000"/>
              </w:rPr>
            </w:pPr>
          </w:p>
        </w:tc>
      </w:tr>
      <w:tr w:rsidR="008E5DE4" w14:paraId="21EDE48C" w14:textId="77777777">
        <w:trPr>
          <w:cantSplit/>
          <w:trHeight w:val="169"/>
        </w:trPr>
        <w:tc>
          <w:tcPr>
            <w:tcW w:w="3061" w:type="dxa"/>
            <w:tcBorders>
              <w:top w:val="single" w:sz="4" w:space="0" w:color="000000"/>
            </w:tcBorders>
            <w:vAlign w:val="bottom"/>
          </w:tcPr>
          <w:p w14:paraId="0BF4E929"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4DA17581"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4625A4C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D2EB0F2"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347012A"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06048C8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78F58E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153660C"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77EAE35" w14:textId="77777777" w:rsidR="008E5DE4" w:rsidRDefault="008E5DE4">
            <w:pPr>
              <w:widowControl w:val="0"/>
              <w:pBdr>
                <w:top w:val="nil"/>
                <w:left w:val="nil"/>
                <w:bottom w:val="nil"/>
                <w:right w:val="nil"/>
                <w:between w:val="nil"/>
              </w:pBdr>
              <w:jc w:val="right"/>
              <w:rPr>
                <w:color w:val="000000"/>
              </w:rPr>
            </w:pPr>
          </w:p>
        </w:tc>
      </w:tr>
      <w:tr w:rsidR="008E5DE4" w14:paraId="29200E58" w14:textId="77777777">
        <w:trPr>
          <w:cantSplit/>
          <w:trHeight w:val="169"/>
        </w:trPr>
        <w:tc>
          <w:tcPr>
            <w:tcW w:w="3061" w:type="dxa"/>
            <w:vAlign w:val="bottom"/>
          </w:tcPr>
          <w:p w14:paraId="3E6598AA" w14:textId="542DA14A"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5A9E886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EE2A3D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7B353B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59F04DF"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08AA8B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27850A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CBBB38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7E3CC43" w14:textId="77777777" w:rsidR="008E5DE4" w:rsidRDefault="008E5DE4">
            <w:pPr>
              <w:widowControl w:val="0"/>
              <w:pBdr>
                <w:top w:val="nil"/>
                <w:left w:val="nil"/>
                <w:bottom w:val="nil"/>
                <w:right w:val="nil"/>
                <w:between w:val="nil"/>
              </w:pBdr>
              <w:jc w:val="right"/>
              <w:rPr>
                <w:color w:val="000000"/>
              </w:rPr>
            </w:pPr>
          </w:p>
        </w:tc>
      </w:tr>
      <w:tr w:rsidR="008E5DE4" w14:paraId="0927BDDE" w14:textId="77777777">
        <w:trPr>
          <w:cantSplit/>
          <w:trHeight w:val="169"/>
        </w:trPr>
        <w:tc>
          <w:tcPr>
            <w:tcW w:w="3061" w:type="dxa"/>
            <w:tcBorders>
              <w:bottom w:val="single" w:sz="12" w:space="0" w:color="000000"/>
            </w:tcBorders>
            <w:vAlign w:val="bottom"/>
          </w:tcPr>
          <w:p w14:paraId="4DD2FDF1"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3264D454"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613262D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6505F6FE"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30E14CE9"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4E5049E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79310DA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69E55924"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1E99B0FE" w14:textId="77777777" w:rsidR="008E5DE4" w:rsidRDefault="008E5DE4">
            <w:pPr>
              <w:widowControl w:val="0"/>
              <w:pBdr>
                <w:top w:val="nil"/>
                <w:left w:val="nil"/>
                <w:bottom w:val="nil"/>
                <w:right w:val="nil"/>
                <w:between w:val="nil"/>
              </w:pBdr>
              <w:jc w:val="right"/>
              <w:rPr>
                <w:color w:val="000000"/>
              </w:rPr>
            </w:pPr>
          </w:p>
        </w:tc>
      </w:tr>
    </w:tbl>
    <w:p w14:paraId="54ABACF6" w14:textId="77777777" w:rsidR="008E5DE4" w:rsidRDefault="008E5DE4">
      <w:pPr>
        <w:widowControl w:val="0"/>
        <w:pBdr>
          <w:top w:val="nil"/>
          <w:left w:val="nil"/>
          <w:bottom w:val="nil"/>
          <w:right w:val="nil"/>
          <w:between w:val="nil"/>
        </w:pBdr>
        <w:spacing w:before="200" w:after="200"/>
        <w:jc w:val="both"/>
        <w:rPr>
          <w:color w:val="000000"/>
        </w:rPr>
      </w:pPr>
    </w:p>
    <w:p w14:paraId="591745DD" w14:textId="77777777" w:rsidR="008E5DE4" w:rsidRDefault="008E5DE4">
      <w:pPr>
        <w:widowControl w:val="0"/>
        <w:pBdr>
          <w:top w:val="nil"/>
          <w:left w:val="nil"/>
          <w:bottom w:val="nil"/>
          <w:right w:val="nil"/>
          <w:between w:val="nil"/>
        </w:pBdr>
        <w:spacing w:before="200" w:after="200"/>
        <w:jc w:val="both"/>
        <w:rPr>
          <w:color w:val="000000"/>
        </w:rPr>
      </w:pPr>
    </w:p>
    <w:p w14:paraId="6CE009B9" w14:textId="77777777" w:rsidR="008E5DE4" w:rsidRDefault="008E5DE4">
      <w:pPr>
        <w:widowControl w:val="0"/>
        <w:pBdr>
          <w:top w:val="nil"/>
          <w:left w:val="nil"/>
          <w:bottom w:val="nil"/>
          <w:right w:val="nil"/>
          <w:between w:val="nil"/>
        </w:pBdr>
        <w:spacing w:before="200" w:after="200"/>
        <w:jc w:val="both"/>
        <w:rPr>
          <w:color w:val="000000"/>
        </w:rPr>
      </w:pPr>
    </w:p>
    <w:p w14:paraId="69E1E143" w14:textId="77777777" w:rsidR="008E5DE4" w:rsidRDefault="008E5DE4">
      <w:pPr>
        <w:widowControl w:val="0"/>
        <w:pBdr>
          <w:top w:val="nil"/>
          <w:left w:val="nil"/>
          <w:bottom w:val="nil"/>
          <w:right w:val="nil"/>
          <w:between w:val="nil"/>
        </w:pBdr>
        <w:spacing w:before="200" w:after="200"/>
        <w:jc w:val="both"/>
        <w:rPr>
          <w:color w:val="000000"/>
        </w:rPr>
      </w:pPr>
    </w:p>
    <w:p w14:paraId="198BA64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1D76AA97" w14:textId="66B2694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promissory notes at FVOCI in </w:t>
      </w:r>
      <w:r w:rsidR="008614F8">
        <w:rPr>
          <w:color w:val="000000"/>
          <w:sz w:val="20"/>
          <w:szCs w:val="20"/>
        </w:rPr>
        <w:t>2025</w:t>
      </w:r>
      <w:r>
        <w:rPr>
          <w:color w:val="000000"/>
          <w:sz w:val="20"/>
          <w:szCs w:val="20"/>
        </w:rPr>
        <w:t xml:space="preserve"> were as follows.</w:t>
      </w:r>
    </w:p>
    <w:tbl>
      <w:tblPr>
        <w:tblStyle w:val="afffffff5"/>
        <w:tblW w:w="9363" w:type="dxa"/>
        <w:tblLayout w:type="fixed"/>
        <w:tblLook w:val="0000" w:firstRow="0" w:lastRow="0" w:firstColumn="0" w:lastColumn="0" w:noHBand="0" w:noVBand="0"/>
      </w:tblPr>
      <w:tblGrid>
        <w:gridCol w:w="2948"/>
        <w:gridCol w:w="851"/>
        <w:gridCol w:w="878"/>
        <w:gridCol w:w="856"/>
        <w:gridCol w:w="571"/>
        <w:gridCol w:w="871"/>
        <w:gridCol w:w="856"/>
        <w:gridCol w:w="856"/>
        <w:gridCol w:w="676"/>
      </w:tblGrid>
      <w:tr w:rsidR="008E5DE4" w14:paraId="046BBA3C" w14:textId="77777777">
        <w:trPr>
          <w:cantSplit/>
          <w:trHeight w:val="169"/>
          <w:tblHeader/>
        </w:trPr>
        <w:tc>
          <w:tcPr>
            <w:tcW w:w="2948" w:type="dxa"/>
            <w:vAlign w:val="bottom"/>
          </w:tcPr>
          <w:p w14:paraId="6C7B308E"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4D029F49"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259" w:type="dxa"/>
            <w:gridSpan w:val="4"/>
            <w:tcBorders>
              <w:bottom w:val="single" w:sz="4" w:space="0" w:color="000000"/>
            </w:tcBorders>
          </w:tcPr>
          <w:p w14:paraId="78A59C57"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1F2659F1" w14:textId="77777777">
        <w:trPr>
          <w:cantSplit/>
          <w:trHeight w:val="507"/>
          <w:tblHeader/>
        </w:trPr>
        <w:tc>
          <w:tcPr>
            <w:tcW w:w="2948" w:type="dxa"/>
            <w:tcBorders>
              <w:bottom w:val="single" w:sz="4" w:space="0" w:color="000000"/>
            </w:tcBorders>
            <w:vAlign w:val="bottom"/>
          </w:tcPr>
          <w:p w14:paraId="33D43064" w14:textId="77777777" w:rsidR="008E5DE4" w:rsidRDefault="008E5DE4">
            <w:pPr>
              <w:widowControl w:val="0"/>
              <w:pBdr>
                <w:top w:val="nil"/>
                <w:left w:val="nil"/>
                <w:bottom w:val="nil"/>
                <w:right w:val="nil"/>
                <w:between w:val="nil"/>
              </w:pBdr>
              <w:ind w:left="113" w:right="-57" w:hanging="113"/>
              <w:rPr>
                <w:i/>
                <w:color w:val="000000"/>
              </w:rPr>
            </w:pPr>
          </w:p>
          <w:p w14:paraId="6E5146B0"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3F11D063"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297448F2"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6D1F43BA"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63763246"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4873A370"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751CAC5"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37DC9B31"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253A8669"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1433B4B"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1B467B39"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79F1FE6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53BA1800"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25379CA1"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676" w:type="dxa"/>
            <w:tcBorders>
              <w:top w:val="single" w:sz="4" w:space="0" w:color="000000"/>
              <w:bottom w:val="single" w:sz="4" w:space="0" w:color="000000"/>
            </w:tcBorders>
          </w:tcPr>
          <w:p w14:paraId="6180A427"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3254634B" w14:textId="77777777">
        <w:trPr>
          <w:cantSplit/>
          <w:trHeight w:val="169"/>
          <w:tblHeader/>
        </w:trPr>
        <w:tc>
          <w:tcPr>
            <w:tcW w:w="2948" w:type="dxa"/>
            <w:vAlign w:val="bottom"/>
          </w:tcPr>
          <w:p w14:paraId="1D552A00" w14:textId="77777777" w:rsidR="008E5DE4" w:rsidRDefault="008E5DE4">
            <w:pPr>
              <w:widowControl w:val="0"/>
              <w:ind w:left="113" w:right="-57" w:hanging="113"/>
            </w:pPr>
          </w:p>
        </w:tc>
        <w:tc>
          <w:tcPr>
            <w:tcW w:w="851" w:type="dxa"/>
            <w:vAlign w:val="bottom"/>
          </w:tcPr>
          <w:p w14:paraId="6739055C"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18F7F9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91E0C7C"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0D1C1F9" w14:textId="77777777" w:rsidR="008E5DE4" w:rsidRDefault="008E5DE4">
            <w:pPr>
              <w:widowControl w:val="0"/>
              <w:pBdr>
                <w:top w:val="nil"/>
                <w:left w:val="nil"/>
                <w:bottom w:val="nil"/>
                <w:right w:val="nil"/>
                <w:between w:val="nil"/>
              </w:pBdr>
              <w:jc w:val="right"/>
              <w:rPr>
                <w:color w:val="000000"/>
              </w:rPr>
            </w:pPr>
          </w:p>
        </w:tc>
        <w:tc>
          <w:tcPr>
            <w:tcW w:w="871" w:type="dxa"/>
          </w:tcPr>
          <w:p w14:paraId="2A0B2787" w14:textId="77777777" w:rsidR="008E5DE4" w:rsidRDefault="008E5DE4">
            <w:pPr>
              <w:widowControl w:val="0"/>
              <w:pBdr>
                <w:top w:val="nil"/>
                <w:left w:val="nil"/>
                <w:bottom w:val="nil"/>
                <w:right w:val="nil"/>
                <w:between w:val="nil"/>
              </w:pBdr>
              <w:jc w:val="right"/>
              <w:rPr>
                <w:color w:val="000000"/>
              </w:rPr>
            </w:pPr>
          </w:p>
        </w:tc>
        <w:tc>
          <w:tcPr>
            <w:tcW w:w="856" w:type="dxa"/>
          </w:tcPr>
          <w:p w14:paraId="08F8371E" w14:textId="77777777" w:rsidR="008E5DE4" w:rsidRDefault="008E5DE4">
            <w:pPr>
              <w:widowControl w:val="0"/>
              <w:pBdr>
                <w:top w:val="nil"/>
                <w:left w:val="nil"/>
                <w:bottom w:val="nil"/>
                <w:right w:val="nil"/>
                <w:between w:val="nil"/>
              </w:pBdr>
              <w:jc w:val="right"/>
              <w:rPr>
                <w:color w:val="000000"/>
              </w:rPr>
            </w:pPr>
          </w:p>
        </w:tc>
        <w:tc>
          <w:tcPr>
            <w:tcW w:w="856" w:type="dxa"/>
          </w:tcPr>
          <w:p w14:paraId="356741E8"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55582A1C" w14:textId="77777777" w:rsidR="008E5DE4" w:rsidRDefault="008E5DE4">
            <w:pPr>
              <w:widowControl w:val="0"/>
              <w:pBdr>
                <w:top w:val="nil"/>
                <w:left w:val="nil"/>
                <w:bottom w:val="nil"/>
                <w:right w:val="nil"/>
                <w:between w:val="nil"/>
              </w:pBdr>
              <w:jc w:val="right"/>
              <w:rPr>
                <w:color w:val="000000"/>
              </w:rPr>
            </w:pPr>
          </w:p>
        </w:tc>
      </w:tr>
      <w:tr w:rsidR="008E5DE4" w14:paraId="7E4F3103" w14:textId="77777777">
        <w:trPr>
          <w:cantSplit/>
          <w:trHeight w:val="169"/>
        </w:trPr>
        <w:tc>
          <w:tcPr>
            <w:tcW w:w="2948" w:type="dxa"/>
            <w:vAlign w:val="bottom"/>
          </w:tcPr>
          <w:p w14:paraId="6A71F608"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Promissory notes</w:t>
            </w:r>
          </w:p>
        </w:tc>
        <w:tc>
          <w:tcPr>
            <w:tcW w:w="851" w:type="dxa"/>
            <w:vAlign w:val="bottom"/>
          </w:tcPr>
          <w:p w14:paraId="30F87D2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7E7133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6DA20F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92E9B35" w14:textId="77777777" w:rsidR="008E5DE4" w:rsidRDefault="008E5DE4">
            <w:pPr>
              <w:widowControl w:val="0"/>
              <w:pBdr>
                <w:top w:val="nil"/>
                <w:left w:val="nil"/>
                <w:bottom w:val="nil"/>
                <w:right w:val="nil"/>
                <w:between w:val="nil"/>
              </w:pBdr>
              <w:jc w:val="right"/>
              <w:rPr>
                <w:color w:val="000000"/>
              </w:rPr>
            </w:pPr>
          </w:p>
        </w:tc>
        <w:tc>
          <w:tcPr>
            <w:tcW w:w="871" w:type="dxa"/>
          </w:tcPr>
          <w:p w14:paraId="0C054268" w14:textId="77777777" w:rsidR="008E5DE4" w:rsidRDefault="008E5DE4">
            <w:pPr>
              <w:widowControl w:val="0"/>
              <w:pBdr>
                <w:top w:val="nil"/>
                <w:left w:val="nil"/>
                <w:bottom w:val="nil"/>
                <w:right w:val="nil"/>
                <w:between w:val="nil"/>
              </w:pBdr>
              <w:jc w:val="right"/>
              <w:rPr>
                <w:color w:val="000000"/>
              </w:rPr>
            </w:pPr>
          </w:p>
        </w:tc>
        <w:tc>
          <w:tcPr>
            <w:tcW w:w="856" w:type="dxa"/>
          </w:tcPr>
          <w:p w14:paraId="40D156E3" w14:textId="77777777" w:rsidR="008E5DE4" w:rsidRDefault="008E5DE4">
            <w:pPr>
              <w:widowControl w:val="0"/>
              <w:pBdr>
                <w:top w:val="nil"/>
                <w:left w:val="nil"/>
                <w:bottom w:val="nil"/>
                <w:right w:val="nil"/>
                <w:between w:val="nil"/>
              </w:pBdr>
              <w:jc w:val="right"/>
              <w:rPr>
                <w:color w:val="000000"/>
              </w:rPr>
            </w:pPr>
          </w:p>
        </w:tc>
        <w:tc>
          <w:tcPr>
            <w:tcW w:w="856" w:type="dxa"/>
          </w:tcPr>
          <w:p w14:paraId="39FF2AC4"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0D18750D" w14:textId="77777777" w:rsidR="008E5DE4" w:rsidRDefault="008E5DE4">
            <w:pPr>
              <w:widowControl w:val="0"/>
              <w:pBdr>
                <w:top w:val="nil"/>
                <w:left w:val="nil"/>
                <w:bottom w:val="nil"/>
                <w:right w:val="nil"/>
                <w:between w:val="nil"/>
              </w:pBdr>
              <w:jc w:val="right"/>
              <w:rPr>
                <w:color w:val="000000"/>
              </w:rPr>
            </w:pPr>
          </w:p>
        </w:tc>
      </w:tr>
      <w:tr w:rsidR="008E5DE4" w14:paraId="303B395C" w14:textId="77777777">
        <w:trPr>
          <w:cantSplit/>
          <w:trHeight w:val="169"/>
        </w:trPr>
        <w:tc>
          <w:tcPr>
            <w:tcW w:w="2948" w:type="dxa"/>
            <w:vAlign w:val="bottom"/>
          </w:tcPr>
          <w:p w14:paraId="3F183042"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1E002AA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771C20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22D739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4B7402B" w14:textId="77777777" w:rsidR="008E5DE4" w:rsidRDefault="008E5DE4">
            <w:pPr>
              <w:widowControl w:val="0"/>
              <w:pBdr>
                <w:top w:val="nil"/>
                <w:left w:val="nil"/>
                <w:bottom w:val="nil"/>
                <w:right w:val="nil"/>
                <w:between w:val="nil"/>
              </w:pBdr>
              <w:jc w:val="right"/>
              <w:rPr>
                <w:color w:val="000000"/>
              </w:rPr>
            </w:pPr>
          </w:p>
        </w:tc>
        <w:tc>
          <w:tcPr>
            <w:tcW w:w="871" w:type="dxa"/>
          </w:tcPr>
          <w:p w14:paraId="552577D4" w14:textId="77777777" w:rsidR="008E5DE4" w:rsidRDefault="008E5DE4">
            <w:pPr>
              <w:widowControl w:val="0"/>
              <w:pBdr>
                <w:top w:val="nil"/>
                <w:left w:val="nil"/>
                <w:bottom w:val="nil"/>
                <w:right w:val="nil"/>
                <w:between w:val="nil"/>
              </w:pBdr>
              <w:jc w:val="right"/>
              <w:rPr>
                <w:color w:val="000000"/>
              </w:rPr>
            </w:pPr>
          </w:p>
        </w:tc>
        <w:tc>
          <w:tcPr>
            <w:tcW w:w="856" w:type="dxa"/>
          </w:tcPr>
          <w:p w14:paraId="1972E16D" w14:textId="77777777" w:rsidR="008E5DE4" w:rsidRDefault="008E5DE4">
            <w:pPr>
              <w:widowControl w:val="0"/>
              <w:pBdr>
                <w:top w:val="nil"/>
                <w:left w:val="nil"/>
                <w:bottom w:val="nil"/>
                <w:right w:val="nil"/>
                <w:between w:val="nil"/>
              </w:pBdr>
              <w:jc w:val="right"/>
              <w:rPr>
                <w:color w:val="000000"/>
              </w:rPr>
            </w:pPr>
          </w:p>
        </w:tc>
        <w:tc>
          <w:tcPr>
            <w:tcW w:w="856" w:type="dxa"/>
          </w:tcPr>
          <w:p w14:paraId="673ECB2B"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6F050FC7" w14:textId="77777777" w:rsidR="008E5DE4" w:rsidRDefault="008E5DE4">
            <w:pPr>
              <w:widowControl w:val="0"/>
              <w:pBdr>
                <w:top w:val="nil"/>
                <w:left w:val="nil"/>
                <w:bottom w:val="nil"/>
                <w:right w:val="nil"/>
                <w:between w:val="nil"/>
              </w:pBdr>
              <w:jc w:val="right"/>
              <w:rPr>
                <w:color w:val="000000"/>
              </w:rPr>
            </w:pPr>
          </w:p>
        </w:tc>
      </w:tr>
      <w:tr w:rsidR="008E5DE4" w14:paraId="10D63CF0" w14:textId="77777777">
        <w:trPr>
          <w:cantSplit/>
          <w:trHeight w:val="169"/>
        </w:trPr>
        <w:tc>
          <w:tcPr>
            <w:tcW w:w="2948" w:type="dxa"/>
            <w:vAlign w:val="bottom"/>
          </w:tcPr>
          <w:p w14:paraId="6B143FD5" w14:textId="50B2BFB2"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02E1BE2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949782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2922AD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C81271C" w14:textId="77777777" w:rsidR="008E5DE4" w:rsidRDefault="008E5DE4">
            <w:pPr>
              <w:widowControl w:val="0"/>
              <w:pBdr>
                <w:top w:val="nil"/>
                <w:left w:val="nil"/>
                <w:bottom w:val="nil"/>
                <w:right w:val="nil"/>
                <w:between w:val="nil"/>
              </w:pBdr>
              <w:jc w:val="right"/>
              <w:rPr>
                <w:color w:val="000000"/>
              </w:rPr>
            </w:pPr>
          </w:p>
        </w:tc>
        <w:tc>
          <w:tcPr>
            <w:tcW w:w="871" w:type="dxa"/>
          </w:tcPr>
          <w:p w14:paraId="41C623D5" w14:textId="77777777" w:rsidR="008E5DE4" w:rsidRDefault="008E5DE4">
            <w:pPr>
              <w:widowControl w:val="0"/>
              <w:pBdr>
                <w:top w:val="nil"/>
                <w:left w:val="nil"/>
                <w:bottom w:val="nil"/>
                <w:right w:val="nil"/>
                <w:between w:val="nil"/>
              </w:pBdr>
              <w:jc w:val="right"/>
              <w:rPr>
                <w:color w:val="000000"/>
              </w:rPr>
            </w:pPr>
          </w:p>
        </w:tc>
        <w:tc>
          <w:tcPr>
            <w:tcW w:w="856" w:type="dxa"/>
          </w:tcPr>
          <w:p w14:paraId="695977DF" w14:textId="77777777" w:rsidR="008E5DE4" w:rsidRDefault="008E5DE4">
            <w:pPr>
              <w:widowControl w:val="0"/>
              <w:pBdr>
                <w:top w:val="nil"/>
                <w:left w:val="nil"/>
                <w:bottom w:val="nil"/>
                <w:right w:val="nil"/>
                <w:between w:val="nil"/>
              </w:pBdr>
              <w:jc w:val="right"/>
              <w:rPr>
                <w:color w:val="000000"/>
              </w:rPr>
            </w:pPr>
          </w:p>
        </w:tc>
        <w:tc>
          <w:tcPr>
            <w:tcW w:w="856" w:type="dxa"/>
          </w:tcPr>
          <w:p w14:paraId="28588985"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67A06F2F" w14:textId="77777777" w:rsidR="008E5DE4" w:rsidRDefault="008E5DE4">
            <w:pPr>
              <w:widowControl w:val="0"/>
              <w:pBdr>
                <w:top w:val="nil"/>
                <w:left w:val="nil"/>
                <w:bottom w:val="nil"/>
                <w:right w:val="nil"/>
                <w:between w:val="nil"/>
              </w:pBdr>
              <w:jc w:val="right"/>
              <w:rPr>
                <w:color w:val="000000"/>
              </w:rPr>
            </w:pPr>
          </w:p>
        </w:tc>
      </w:tr>
      <w:tr w:rsidR="008E5DE4" w14:paraId="51F60EAF" w14:textId="77777777">
        <w:trPr>
          <w:cantSplit/>
          <w:trHeight w:val="676"/>
        </w:trPr>
        <w:tc>
          <w:tcPr>
            <w:tcW w:w="2948" w:type="dxa"/>
            <w:vAlign w:val="bottom"/>
          </w:tcPr>
          <w:p w14:paraId="05EC7505" w14:textId="77777777" w:rsidR="008E5DE4" w:rsidRDefault="008E5DE4">
            <w:pPr>
              <w:widowControl w:val="0"/>
              <w:pBdr>
                <w:top w:val="nil"/>
                <w:left w:val="nil"/>
                <w:bottom w:val="nil"/>
                <w:right w:val="nil"/>
                <w:between w:val="nil"/>
              </w:pBdr>
              <w:ind w:left="113" w:right="-57" w:hanging="113"/>
              <w:rPr>
                <w:b/>
                <w:color w:val="000000"/>
              </w:rPr>
            </w:pPr>
          </w:p>
          <w:p w14:paraId="5B51EC46"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70E220C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E0F787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28D138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932A831" w14:textId="77777777" w:rsidR="008E5DE4" w:rsidRDefault="008E5DE4">
            <w:pPr>
              <w:widowControl w:val="0"/>
              <w:pBdr>
                <w:top w:val="nil"/>
                <w:left w:val="nil"/>
                <w:bottom w:val="nil"/>
                <w:right w:val="nil"/>
                <w:between w:val="nil"/>
              </w:pBdr>
              <w:jc w:val="right"/>
              <w:rPr>
                <w:color w:val="000000"/>
              </w:rPr>
            </w:pPr>
          </w:p>
        </w:tc>
        <w:tc>
          <w:tcPr>
            <w:tcW w:w="871" w:type="dxa"/>
          </w:tcPr>
          <w:p w14:paraId="476B0F3B"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71342372" w14:textId="77777777" w:rsidR="008E5DE4" w:rsidRDefault="008E5DE4">
            <w:pPr>
              <w:widowControl w:val="0"/>
              <w:pBdr>
                <w:top w:val="nil"/>
                <w:left w:val="nil"/>
                <w:bottom w:val="nil"/>
                <w:right w:val="nil"/>
                <w:between w:val="nil"/>
              </w:pBdr>
              <w:jc w:val="right"/>
              <w:rPr>
                <w:color w:val="000000"/>
              </w:rPr>
            </w:pPr>
          </w:p>
        </w:tc>
        <w:tc>
          <w:tcPr>
            <w:tcW w:w="856" w:type="dxa"/>
          </w:tcPr>
          <w:p w14:paraId="7840C485"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67C0291C" w14:textId="77777777" w:rsidR="008E5DE4" w:rsidRDefault="008E5DE4">
            <w:pPr>
              <w:widowControl w:val="0"/>
              <w:pBdr>
                <w:top w:val="nil"/>
                <w:left w:val="nil"/>
                <w:bottom w:val="nil"/>
                <w:right w:val="nil"/>
                <w:between w:val="nil"/>
              </w:pBdr>
              <w:jc w:val="right"/>
              <w:rPr>
                <w:color w:val="000000"/>
              </w:rPr>
            </w:pPr>
          </w:p>
        </w:tc>
      </w:tr>
      <w:tr w:rsidR="008E5DE4" w14:paraId="0DC6D993" w14:textId="77777777">
        <w:trPr>
          <w:cantSplit/>
          <w:trHeight w:val="184"/>
        </w:trPr>
        <w:tc>
          <w:tcPr>
            <w:tcW w:w="2948" w:type="dxa"/>
            <w:vAlign w:val="bottom"/>
          </w:tcPr>
          <w:p w14:paraId="679E1E8C" w14:textId="77777777" w:rsidR="008E5DE4" w:rsidRDefault="008E5DE4">
            <w:pPr>
              <w:widowControl w:val="0"/>
              <w:pBdr>
                <w:top w:val="nil"/>
                <w:left w:val="nil"/>
                <w:bottom w:val="nil"/>
                <w:right w:val="nil"/>
                <w:between w:val="nil"/>
              </w:pBdr>
              <w:ind w:left="113" w:right="-57" w:hanging="113"/>
              <w:rPr>
                <w:color w:val="000000"/>
              </w:rPr>
            </w:pPr>
          </w:p>
        </w:tc>
        <w:tc>
          <w:tcPr>
            <w:tcW w:w="851" w:type="dxa"/>
            <w:vAlign w:val="bottom"/>
          </w:tcPr>
          <w:p w14:paraId="3806CBE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7CA58F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8C36D45"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C43C7CE"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F551E9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F82C73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7226745"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5DE0A27F" w14:textId="77777777" w:rsidR="008E5DE4" w:rsidRDefault="008E5DE4">
            <w:pPr>
              <w:widowControl w:val="0"/>
              <w:pBdr>
                <w:top w:val="nil"/>
                <w:left w:val="nil"/>
                <w:bottom w:val="nil"/>
                <w:right w:val="nil"/>
                <w:between w:val="nil"/>
              </w:pBdr>
              <w:jc w:val="right"/>
              <w:rPr>
                <w:color w:val="000000"/>
                <w:highlight w:val="green"/>
              </w:rPr>
            </w:pPr>
          </w:p>
        </w:tc>
      </w:tr>
      <w:tr w:rsidR="008E5DE4" w14:paraId="7CDFDF51" w14:textId="77777777">
        <w:trPr>
          <w:cantSplit/>
          <w:trHeight w:val="184"/>
        </w:trPr>
        <w:tc>
          <w:tcPr>
            <w:tcW w:w="2948" w:type="dxa"/>
            <w:vAlign w:val="bottom"/>
          </w:tcPr>
          <w:p w14:paraId="2095A469"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27D118F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BB7F79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BA1AA8D"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418CF7F"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6DD00B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7726F6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C28E8AE"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78735DBC" w14:textId="77777777" w:rsidR="008E5DE4" w:rsidRDefault="008E5DE4">
            <w:pPr>
              <w:widowControl w:val="0"/>
              <w:pBdr>
                <w:top w:val="nil"/>
                <w:left w:val="nil"/>
                <w:bottom w:val="nil"/>
                <w:right w:val="nil"/>
                <w:between w:val="nil"/>
              </w:pBdr>
              <w:jc w:val="right"/>
              <w:rPr>
                <w:color w:val="000000"/>
                <w:highlight w:val="green"/>
              </w:rPr>
            </w:pPr>
          </w:p>
        </w:tc>
      </w:tr>
      <w:tr w:rsidR="008E5DE4" w14:paraId="576424A9" w14:textId="77777777">
        <w:trPr>
          <w:cantSplit/>
          <w:trHeight w:val="80"/>
        </w:trPr>
        <w:tc>
          <w:tcPr>
            <w:tcW w:w="2948" w:type="dxa"/>
            <w:vAlign w:val="bottom"/>
          </w:tcPr>
          <w:p w14:paraId="33872787"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63043EA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4E594D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68BF111"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1AC07C6"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FB2EE4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E6CE2B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242E2D8"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3B055A40" w14:textId="77777777" w:rsidR="008E5DE4" w:rsidRDefault="008E5DE4">
            <w:pPr>
              <w:widowControl w:val="0"/>
              <w:pBdr>
                <w:top w:val="nil"/>
                <w:left w:val="nil"/>
                <w:bottom w:val="nil"/>
                <w:right w:val="nil"/>
                <w:between w:val="nil"/>
              </w:pBdr>
              <w:jc w:val="right"/>
              <w:rPr>
                <w:color w:val="000000"/>
                <w:highlight w:val="green"/>
              </w:rPr>
            </w:pPr>
          </w:p>
        </w:tc>
      </w:tr>
      <w:tr w:rsidR="008E5DE4" w14:paraId="467B71CE" w14:textId="77777777">
        <w:trPr>
          <w:cantSplit/>
          <w:trHeight w:val="80"/>
        </w:trPr>
        <w:tc>
          <w:tcPr>
            <w:tcW w:w="2948" w:type="dxa"/>
            <w:vAlign w:val="bottom"/>
          </w:tcPr>
          <w:p w14:paraId="37DF5850"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0E4BC4A4"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BC3775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4C4E03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FDAD255"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8C3E8BC"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EC456D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D43D762"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0EAAB8AD" w14:textId="77777777" w:rsidR="008E5DE4" w:rsidRDefault="008E5DE4">
            <w:pPr>
              <w:widowControl w:val="0"/>
              <w:pBdr>
                <w:top w:val="nil"/>
                <w:left w:val="nil"/>
                <w:bottom w:val="nil"/>
                <w:right w:val="nil"/>
                <w:between w:val="nil"/>
              </w:pBdr>
              <w:jc w:val="right"/>
              <w:rPr>
                <w:color w:val="000000"/>
                <w:highlight w:val="green"/>
              </w:rPr>
            </w:pPr>
          </w:p>
        </w:tc>
      </w:tr>
      <w:tr w:rsidR="008E5DE4" w14:paraId="6C532E58" w14:textId="77777777">
        <w:trPr>
          <w:cantSplit/>
          <w:trHeight w:val="361"/>
        </w:trPr>
        <w:tc>
          <w:tcPr>
            <w:tcW w:w="2948" w:type="dxa"/>
            <w:vAlign w:val="bottom"/>
          </w:tcPr>
          <w:p w14:paraId="08C9C514"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3F9A508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E112B9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3C1BE5C"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AB090FD"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2B6EAE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E5EE4E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9806037"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1CF7DFD8" w14:textId="77777777" w:rsidR="008E5DE4" w:rsidRDefault="008E5DE4">
            <w:pPr>
              <w:widowControl w:val="0"/>
              <w:pBdr>
                <w:top w:val="nil"/>
                <w:left w:val="nil"/>
                <w:bottom w:val="nil"/>
                <w:right w:val="nil"/>
                <w:between w:val="nil"/>
              </w:pBdr>
              <w:jc w:val="right"/>
              <w:rPr>
                <w:color w:val="000000"/>
                <w:highlight w:val="green"/>
              </w:rPr>
            </w:pPr>
          </w:p>
        </w:tc>
      </w:tr>
      <w:tr w:rsidR="008E5DE4" w14:paraId="0072DD7F" w14:textId="77777777">
        <w:trPr>
          <w:cantSplit/>
          <w:trHeight w:val="169"/>
        </w:trPr>
        <w:tc>
          <w:tcPr>
            <w:tcW w:w="2948" w:type="dxa"/>
            <w:vAlign w:val="bottom"/>
          </w:tcPr>
          <w:p w14:paraId="4E25CDBE"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1B52E1E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5B0C8E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A19623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ADAFA88" w14:textId="77777777" w:rsidR="008E5DE4" w:rsidRDefault="008E5DE4">
            <w:pPr>
              <w:widowControl w:val="0"/>
              <w:pBdr>
                <w:top w:val="nil"/>
                <w:left w:val="nil"/>
                <w:bottom w:val="nil"/>
                <w:right w:val="nil"/>
                <w:between w:val="nil"/>
              </w:pBdr>
              <w:jc w:val="right"/>
              <w:rPr>
                <w:color w:val="000000"/>
              </w:rPr>
            </w:pPr>
          </w:p>
        </w:tc>
        <w:tc>
          <w:tcPr>
            <w:tcW w:w="871" w:type="dxa"/>
          </w:tcPr>
          <w:p w14:paraId="7DC9FFC1" w14:textId="77777777" w:rsidR="008E5DE4" w:rsidRDefault="008E5DE4">
            <w:pPr>
              <w:widowControl w:val="0"/>
              <w:pBdr>
                <w:top w:val="nil"/>
                <w:left w:val="nil"/>
                <w:bottom w:val="nil"/>
                <w:right w:val="nil"/>
                <w:between w:val="nil"/>
              </w:pBdr>
              <w:jc w:val="right"/>
              <w:rPr>
                <w:color w:val="000000"/>
              </w:rPr>
            </w:pPr>
          </w:p>
        </w:tc>
        <w:tc>
          <w:tcPr>
            <w:tcW w:w="856" w:type="dxa"/>
          </w:tcPr>
          <w:p w14:paraId="496592D6" w14:textId="77777777" w:rsidR="008E5DE4" w:rsidRDefault="008E5DE4">
            <w:pPr>
              <w:widowControl w:val="0"/>
              <w:pBdr>
                <w:top w:val="nil"/>
                <w:left w:val="nil"/>
                <w:bottom w:val="nil"/>
                <w:right w:val="nil"/>
                <w:between w:val="nil"/>
              </w:pBdr>
              <w:jc w:val="right"/>
              <w:rPr>
                <w:color w:val="000000"/>
              </w:rPr>
            </w:pPr>
          </w:p>
        </w:tc>
        <w:tc>
          <w:tcPr>
            <w:tcW w:w="856" w:type="dxa"/>
          </w:tcPr>
          <w:p w14:paraId="58BF022B"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32C31113" w14:textId="77777777" w:rsidR="008E5DE4" w:rsidRDefault="008E5DE4">
            <w:pPr>
              <w:widowControl w:val="0"/>
              <w:pBdr>
                <w:top w:val="nil"/>
                <w:left w:val="nil"/>
                <w:bottom w:val="nil"/>
                <w:right w:val="nil"/>
                <w:between w:val="nil"/>
              </w:pBdr>
              <w:jc w:val="right"/>
              <w:rPr>
                <w:color w:val="000000"/>
              </w:rPr>
            </w:pPr>
          </w:p>
        </w:tc>
      </w:tr>
      <w:tr w:rsidR="008E5DE4" w14:paraId="054C54D2" w14:textId="77777777">
        <w:trPr>
          <w:cantSplit/>
          <w:trHeight w:val="232"/>
        </w:trPr>
        <w:tc>
          <w:tcPr>
            <w:tcW w:w="2948" w:type="dxa"/>
            <w:vAlign w:val="bottom"/>
          </w:tcPr>
          <w:p w14:paraId="51A81193"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37B7165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5E0AFB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7C0F9F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14211FB" w14:textId="77777777" w:rsidR="008E5DE4" w:rsidRDefault="008E5DE4">
            <w:pPr>
              <w:widowControl w:val="0"/>
              <w:pBdr>
                <w:top w:val="nil"/>
                <w:left w:val="nil"/>
                <w:bottom w:val="nil"/>
                <w:right w:val="nil"/>
                <w:between w:val="nil"/>
              </w:pBdr>
              <w:jc w:val="right"/>
              <w:rPr>
                <w:color w:val="000000"/>
              </w:rPr>
            </w:pPr>
          </w:p>
        </w:tc>
        <w:tc>
          <w:tcPr>
            <w:tcW w:w="871" w:type="dxa"/>
          </w:tcPr>
          <w:p w14:paraId="3EB8AC31" w14:textId="77777777" w:rsidR="008E5DE4" w:rsidRDefault="008E5DE4">
            <w:pPr>
              <w:widowControl w:val="0"/>
              <w:pBdr>
                <w:top w:val="nil"/>
                <w:left w:val="nil"/>
                <w:bottom w:val="nil"/>
                <w:right w:val="nil"/>
                <w:between w:val="nil"/>
              </w:pBdr>
              <w:jc w:val="right"/>
              <w:rPr>
                <w:color w:val="000000"/>
              </w:rPr>
            </w:pPr>
          </w:p>
        </w:tc>
        <w:tc>
          <w:tcPr>
            <w:tcW w:w="856" w:type="dxa"/>
          </w:tcPr>
          <w:p w14:paraId="4DB29DC1" w14:textId="77777777" w:rsidR="008E5DE4" w:rsidRDefault="008E5DE4">
            <w:pPr>
              <w:widowControl w:val="0"/>
              <w:pBdr>
                <w:top w:val="nil"/>
                <w:left w:val="nil"/>
                <w:bottom w:val="nil"/>
                <w:right w:val="nil"/>
                <w:between w:val="nil"/>
              </w:pBdr>
              <w:jc w:val="right"/>
              <w:rPr>
                <w:color w:val="000000"/>
              </w:rPr>
            </w:pPr>
          </w:p>
        </w:tc>
        <w:tc>
          <w:tcPr>
            <w:tcW w:w="856" w:type="dxa"/>
          </w:tcPr>
          <w:p w14:paraId="585AD9AA"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305D45D2" w14:textId="77777777" w:rsidR="008E5DE4" w:rsidRDefault="008E5DE4">
            <w:pPr>
              <w:widowControl w:val="0"/>
              <w:pBdr>
                <w:top w:val="nil"/>
                <w:left w:val="nil"/>
                <w:bottom w:val="nil"/>
                <w:right w:val="nil"/>
                <w:between w:val="nil"/>
              </w:pBdr>
              <w:jc w:val="right"/>
              <w:rPr>
                <w:color w:val="000000"/>
              </w:rPr>
            </w:pPr>
          </w:p>
        </w:tc>
      </w:tr>
      <w:tr w:rsidR="008E5DE4" w14:paraId="3E58DE46" w14:textId="77777777">
        <w:trPr>
          <w:cantSplit/>
          <w:trHeight w:val="80"/>
        </w:trPr>
        <w:tc>
          <w:tcPr>
            <w:tcW w:w="2948" w:type="dxa"/>
            <w:vAlign w:val="bottom"/>
          </w:tcPr>
          <w:p w14:paraId="5C5EB35C"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3813BDA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8601C8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A32D42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B020B6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87D28F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49979C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EE280CA"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5273C4FC" w14:textId="77777777" w:rsidR="008E5DE4" w:rsidRDefault="008E5DE4">
            <w:pPr>
              <w:widowControl w:val="0"/>
              <w:pBdr>
                <w:top w:val="nil"/>
                <w:left w:val="nil"/>
                <w:bottom w:val="nil"/>
                <w:right w:val="nil"/>
                <w:between w:val="nil"/>
              </w:pBdr>
              <w:jc w:val="right"/>
              <w:rPr>
                <w:color w:val="000000"/>
              </w:rPr>
            </w:pPr>
          </w:p>
        </w:tc>
      </w:tr>
      <w:tr w:rsidR="008E5DE4" w14:paraId="77299F6B" w14:textId="77777777">
        <w:trPr>
          <w:cantSplit/>
          <w:trHeight w:val="85"/>
        </w:trPr>
        <w:tc>
          <w:tcPr>
            <w:tcW w:w="2948" w:type="dxa"/>
            <w:vAlign w:val="bottom"/>
          </w:tcPr>
          <w:p w14:paraId="7253FE6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1B532FC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15D8D7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D09A8D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69FDF74"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E4C55A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17FEDA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3CDA3D3"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03127BF2" w14:textId="77777777" w:rsidR="008E5DE4" w:rsidRDefault="008E5DE4">
            <w:pPr>
              <w:widowControl w:val="0"/>
              <w:pBdr>
                <w:top w:val="nil"/>
                <w:left w:val="nil"/>
                <w:bottom w:val="nil"/>
                <w:right w:val="nil"/>
                <w:between w:val="nil"/>
              </w:pBdr>
              <w:jc w:val="right"/>
              <w:rPr>
                <w:color w:val="000000"/>
              </w:rPr>
            </w:pPr>
          </w:p>
        </w:tc>
      </w:tr>
      <w:tr w:rsidR="008E5DE4" w14:paraId="06C9B438" w14:textId="77777777">
        <w:trPr>
          <w:cantSplit/>
          <w:trHeight w:val="169"/>
        </w:trPr>
        <w:tc>
          <w:tcPr>
            <w:tcW w:w="2948" w:type="dxa"/>
            <w:vAlign w:val="bottom"/>
          </w:tcPr>
          <w:p w14:paraId="12D5C808"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2E67A49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920F0F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FCA217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8724F8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461FFE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EA41A0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887BD89"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4A7F0AAF" w14:textId="77777777" w:rsidR="008E5DE4" w:rsidRDefault="008E5DE4">
            <w:pPr>
              <w:widowControl w:val="0"/>
              <w:pBdr>
                <w:top w:val="nil"/>
                <w:left w:val="nil"/>
                <w:bottom w:val="nil"/>
                <w:right w:val="nil"/>
                <w:between w:val="nil"/>
              </w:pBdr>
              <w:jc w:val="right"/>
              <w:rPr>
                <w:color w:val="000000"/>
              </w:rPr>
            </w:pPr>
          </w:p>
        </w:tc>
      </w:tr>
      <w:tr w:rsidR="008E5DE4" w14:paraId="2E759A86" w14:textId="77777777">
        <w:trPr>
          <w:cantSplit/>
          <w:trHeight w:val="169"/>
        </w:trPr>
        <w:tc>
          <w:tcPr>
            <w:tcW w:w="2948" w:type="dxa"/>
            <w:vAlign w:val="bottom"/>
          </w:tcPr>
          <w:p w14:paraId="03137741"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1CD2A0D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771936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B31B15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C6D09E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E22D98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A01249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8E535AE"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4C492DF9" w14:textId="77777777" w:rsidR="008E5DE4" w:rsidRDefault="008E5DE4">
            <w:pPr>
              <w:widowControl w:val="0"/>
              <w:pBdr>
                <w:top w:val="nil"/>
                <w:left w:val="nil"/>
                <w:bottom w:val="nil"/>
                <w:right w:val="nil"/>
                <w:between w:val="nil"/>
              </w:pBdr>
              <w:jc w:val="right"/>
              <w:rPr>
                <w:color w:val="000000"/>
              </w:rPr>
            </w:pPr>
          </w:p>
        </w:tc>
      </w:tr>
      <w:tr w:rsidR="008E5DE4" w14:paraId="02D4BDEA" w14:textId="77777777">
        <w:trPr>
          <w:cantSplit/>
          <w:trHeight w:val="169"/>
        </w:trPr>
        <w:tc>
          <w:tcPr>
            <w:tcW w:w="2948" w:type="dxa"/>
            <w:tcBorders>
              <w:bottom w:val="single" w:sz="4" w:space="0" w:color="000000"/>
            </w:tcBorders>
            <w:vAlign w:val="bottom"/>
          </w:tcPr>
          <w:p w14:paraId="70B5E430"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0CFFF9A8"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53194B0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C5FC002"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5055C140"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04E39AC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AB4A42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F0AFF74" w14:textId="77777777" w:rsidR="008E5DE4" w:rsidRDefault="008E5DE4">
            <w:pPr>
              <w:widowControl w:val="0"/>
              <w:pBdr>
                <w:top w:val="nil"/>
                <w:left w:val="nil"/>
                <w:bottom w:val="nil"/>
                <w:right w:val="nil"/>
                <w:between w:val="nil"/>
              </w:pBdr>
              <w:jc w:val="right"/>
              <w:rPr>
                <w:color w:val="000000"/>
              </w:rPr>
            </w:pPr>
          </w:p>
        </w:tc>
        <w:tc>
          <w:tcPr>
            <w:tcW w:w="676" w:type="dxa"/>
            <w:tcBorders>
              <w:bottom w:val="single" w:sz="4" w:space="0" w:color="000000"/>
            </w:tcBorders>
            <w:vAlign w:val="bottom"/>
          </w:tcPr>
          <w:p w14:paraId="13F6EC52" w14:textId="77777777" w:rsidR="008E5DE4" w:rsidRDefault="008E5DE4">
            <w:pPr>
              <w:widowControl w:val="0"/>
              <w:pBdr>
                <w:top w:val="nil"/>
                <w:left w:val="nil"/>
                <w:bottom w:val="nil"/>
                <w:right w:val="nil"/>
                <w:between w:val="nil"/>
              </w:pBdr>
              <w:jc w:val="right"/>
              <w:rPr>
                <w:color w:val="000000"/>
              </w:rPr>
            </w:pPr>
          </w:p>
        </w:tc>
      </w:tr>
      <w:tr w:rsidR="008E5DE4" w14:paraId="7EA12B63" w14:textId="77777777">
        <w:trPr>
          <w:cantSplit/>
          <w:trHeight w:val="153"/>
        </w:trPr>
        <w:tc>
          <w:tcPr>
            <w:tcW w:w="2948" w:type="dxa"/>
            <w:tcBorders>
              <w:top w:val="single" w:sz="4" w:space="0" w:color="000000"/>
            </w:tcBorders>
            <w:vAlign w:val="bottom"/>
          </w:tcPr>
          <w:p w14:paraId="36866F5C"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5E6ADC7D"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44997D8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F708C63"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BC69998"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7CFF17B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13D837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FEA8C03" w14:textId="77777777" w:rsidR="008E5DE4" w:rsidRDefault="008E5DE4">
            <w:pPr>
              <w:widowControl w:val="0"/>
              <w:pBdr>
                <w:top w:val="nil"/>
                <w:left w:val="nil"/>
                <w:bottom w:val="nil"/>
                <w:right w:val="nil"/>
                <w:between w:val="nil"/>
              </w:pBdr>
              <w:jc w:val="right"/>
              <w:rPr>
                <w:color w:val="000000"/>
              </w:rPr>
            </w:pPr>
          </w:p>
        </w:tc>
        <w:tc>
          <w:tcPr>
            <w:tcW w:w="676" w:type="dxa"/>
            <w:tcBorders>
              <w:top w:val="single" w:sz="4" w:space="0" w:color="000000"/>
            </w:tcBorders>
            <w:vAlign w:val="bottom"/>
          </w:tcPr>
          <w:p w14:paraId="3409FFA5" w14:textId="77777777" w:rsidR="008E5DE4" w:rsidRDefault="008E5DE4">
            <w:pPr>
              <w:widowControl w:val="0"/>
              <w:pBdr>
                <w:top w:val="nil"/>
                <w:left w:val="nil"/>
                <w:bottom w:val="nil"/>
                <w:right w:val="nil"/>
                <w:between w:val="nil"/>
              </w:pBdr>
              <w:jc w:val="right"/>
              <w:rPr>
                <w:color w:val="000000"/>
              </w:rPr>
            </w:pPr>
          </w:p>
        </w:tc>
      </w:tr>
      <w:tr w:rsidR="008E5DE4" w14:paraId="3CBF8D88" w14:textId="77777777">
        <w:trPr>
          <w:cantSplit/>
          <w:trHeight w:val="245"/>
        </w:trPr>
        <w:tc>
          <w:tcPr>
            <w:tcW w:w="2948" w:type="dxa"/>
            <w:vAlign w:val="bottom"/>
          </w:tcPr>
          <w:p w14:paraId="080A7BFD"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154358A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3ADAE6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90973A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AA772CA"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4EB790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88F3D5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A30073E"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7F92C5EA" w14:textId="77777777" w:rsidR="008E5DE4" w:rsidRDefault="008E5DE4">
            <w:pPr>
              <w:widowControl w:val="0"/>
              <w:pBdr>
                <w:top w:val="nil"/>
                <w:left w:val="nil"/>
                <w:bottom w:val="nil"/>
                <w:right w:val="nil"/>
                <w:between w:val="nil"/>
              </w:pBdr>
              <w:jc w:val="right"/>
              <w:rPr>
                <w:color w:val="000000"/>
              </w:rPr>
            </w:pPr>
          </w:p>
        </w:tc>
      </w:tr>
      <w:tr w:rsidR="008E5DE4" w14:paraId="78C5EBC3" w14:textId="77777777">
        <w:trPr>
          <w:cantSplit/>
          <w:trHeight w:val="80"/>
        </w:trPr>
        <w:tc>
          <w:tcPr>
            <w:tcW w:w="2948" w:type="dxa"/>
            <w:tcBorders>
              <w:bottom w:val="single" w:sz="4" w:space="0" w:color="000000"/>
            </w:tcBorders>
            <w:vAlign w:val="bottom"/>
          </w:tcPr>
          <w:p w14:paraId="1BA5670F"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336F7D52"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5727889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2AF9525"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44F97E30"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326AD7C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7E57737"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91B451B" w14:textId="77777777" w:rsidR="008E5DE4" w:rsidRDefault="008E5DE4">
            <w:pPr>
              <w:widowControl w:val="0"/>
              <w:pBdr>
                <w:top w:val="nil"/>
                <w:left w:val="nil"/>
                <w:bottom w:val="nil"/>
                <w:right w:val="nil"/>
                <w:between w:val="nil"/>
              </w:pBdr>
              <w:jc w:val="right"/>
              <w:rPr>
                <w:color w:val="000000"/>
              </w:rPr>
            </w:pPr>
          </w:p>
        </w:tc>
        <w:tc>
          <w:tcPr>
            <w:tcW w:w="676" w:type="dxa"/>
            <w:tcBorders>
              <w:bottom w:val="single" w:sz="4" w:space="0" w:color="000000"/>
            </w:tcBorders>
            <w:vAlign w:val="bottom"/>
          </w:tcPr>
          <w:p w14:paraId="36370BA1" w14:textId="77777777" w:rsidR="008E5DE4" w:rsidRDefault="008E5DE4">
            <w:pPr>
              <w:widowControl w:val="0"/>
              <w:pBdr>
                <w:top w:val="nil"/>
                <w:left w:val="nil"/>
                <w:bottom w:val="nil"/>
                <w:right w:val="nil"/>
                <w:between w:val="nil"/>
              </w:pBdr>
              <w:jc w:val="right"/>
              <w:rPr>
                <w:color w:val="000000"/>
              </w:rPr>
            </w:pPr>
          </w:p>
        </w:tc>
      </w:tr>
      <w:tr w:rsidR="008E5DE4" w14:paraId="10D684E3" w14:textId="77777777">
        <w:trPr>
          <w:cantSplit/>
          <w:trHeight w:val="153"/>
        </w:trPr>
        <w:tc>
          <w:tcPr>
            <w:tcW w:w="2948" w:type="dxa"/>
            <w:tcBorders>
              <w:top w:val="single" w:sz="4" w:space="0" w:color="000000"/>
            </w:tcBorders>
            <w:vAlign w:val="bottom"/>
          </w:tcPr>
          <w:p w14:paraId="5BF29498"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043B75B2"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781EE56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453CC61"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DD479FC"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B587CBB"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CB5F70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BD20935" w14:textId="77777777" w:rsidR="008E5DE4" w:rsidRDefault="008E5DE4">
            <w:pPr>
              <w:widowControl w:val="0"/>
              <w:pBdr>
                <w:top w:val="nil"/>
                <w:left w:val="nil"/>
                <w:bottom w:val="nil"/>
                <w:right w:val="nil"/>
                <w:between w:val="nil"/>
              </w:pBdr>
              <w:jc w:val="right"/>
              <w:rPr>
                <w:color w:val="000000"/>
              </w:rPr>
            </w:pPr>
          </w:p>
        </w:tc>
        <w:tc>
          <w:tcPr>
            <w:tcW w:w="676" w:type="dxa"/>
            <w:tcBorders>
              <w:top w:val="single" w:sz="4" w:space="0" w:color="000000"/>
            </w:tcBorders>
            <w:vAlign w:val="bottom"/>
          </w:tcPr>
          <w:p w14:paraId="13B7E4F0" w14:textId="77777777" w:rsidR="008E5DE4" w:rsidRDefault="008E5DE4">
            <w:pPr>
              <w:widowControl w:val="0"/>
              <w:pBdr>
                <w:top w:val="nil"/>
                <w:left w:val="nil"/>
                <w:bottom w:val="nil"/>
                <w:right w:val="nil"/>
                <w:between w:val="nil"/>
              </w:pBdr>
              <w:jc w:val="right"/>
              <w:rPr>
                <w:color w:val="000000"/>
              </w:rPr>
            </w:pPr>
          </w:p>
        </w:tc>
      </w:tr>
      <w:tr w:rsidR="008E5DE4" w14:paraId="37DD7011" w14:textId="77777777">
        <w:trPr>
          <w:cantSplit/>
          <w:trHeight w:val="692"/>
        </w:trPr>
        <w:tc>
          <w:tcPr>
            <w:tcW w:w="2948" w:type="dxa"/>
            <w:vAlign w:val="bottom"/>
          </w:tcPr>
          <w:p w14:paraId="10B4A6B3"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7D6BD746" w14:textId="77777777" w:rsidR="008E5DE4" w:rsidRDefault="008E5DE4">
            <w:pPr>
              <w:widowControl w:val="0"/>
              <w:pBdr>
                <w:top w:val="nil"/>
                <w:left w:val="nil"/>
                <w:bottom w:val="nil"/>
                <w:right w:val="nil"/>
                <w:between w:val="nil"/>
              </w:pBdr>
              <w:ind w:right="-57"/>
              <w:rPr>
                <w:color w:val="000000"/>
              </w:rPr>
            </w:pPr>
          </w:p>
        </w:tc>
        <w:tc>
          <w:tcPr>
            <w:tcW w:w="851" w:type="dxa"/>
            <w:vAlign w:val="bottom"/>
          </w:tcPr>
          <w:p w14:paraId="2D2E85C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CCDF13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3AAA17E"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4023DB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550627E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83609B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C1F4C74"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57C4E6F7" w14:textId="77777777" w:rsidR="008E5DE4" w:rsidRDefault="008E5DE4">
            <w:pPr>
              <w:widowControl w:val="0"/>
              <w:pBdr>
                <w:top w:val="nil"/>
                <w:left w:val="nil"/>
                <w:bottom w:val="nil"/>
                <w:right w:val="nil"/>
                <w:between w:val="nil"/>
              </w:pBdr>
              <w:jc w:val="right"/>
              <w:rPr>
                <w:color w:val="000000"/>
                <w:highlight w:val="green"/>
              </w:rPr>
            </w:pPr>
          </w:p>
        </w:tc>
      </w:tr>
      <w:tr w:rsidR="008E5DE4" w14:paraId="6048DC16" w14:textId="77777777">
        <w:trPr>
          <w:cantSplit/>
          <w:trHeight w:val="169"/>
        </w:trPr>
        <w:tc>
          <w:tcPr>
            <w:tcW w:w="2948" w:type="dxa"/>
            <w:vAlign w:val="bottom"/>
          </w:tcPr>
          <w:p w14:paraId="452109F4"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1F879DF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0C3319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B53590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78B718E"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1B9032C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5F895C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C96771E"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2364777E" w14:textId="77777777" w:rsidR="008E5DE4" w:rsidRDefault="008E5DE4">
            <w:pPr>
              <w:widowControl w:val="0"/>
              <w:pBdr>
                <w:top w:val="nil"/>
                <w:left w:val="nil"/>
                <w:bottom w:val="nil"/>
                <w:right w:val="nil"/>
                <w:between w:val="nil"/>
              </w:pBdr>
              <w:jc w:val="right"/>
              <w:rPr>
                <w:color w:val="000000"/>
                <w:highlight w:val="green"/>
              </w:rPr>
            </w:pPr>
          </w:p>
        </w:tc>
      </w:tr>
      <w:tr w:rsidR="008E5DE4" w14:paraId="13307401" w14:textId="77777777">
        <w:trPr>
          <w:cantSplit/>
          <w:trHeight w:val="169"/>
        </w:trPr>
        <w:tc>
          <w:tcPr>
            <w:tcW w:w="2948" w:type="dxa"/>
            <w:vAlign w:val="bottom"/>
          </w:tcPr>
          <w:p w14:paraId="6630247D"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5FF4A9D9"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824CCE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6D4FF4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4510B78"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6431F6E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BD9BC9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B24709B"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6000A114" w14:textId="77777777" w:rsidR="008E5DE4" w:rsidRDefault="008E5DE4">
            <w:pPr>
              <w:widowControl w:val="0"/>
              <w:pBdr>
                <w:top w:val="nil"/>
                <w:left w:val="nil"/>
                <w:bottom w:val="nil"/>
                <w:right w:val="nil"/>
                <w:between w:val="nil"/>
              </w:pBdr>
              <w:jc w:val="right"/>
              <w:rPr>
                <w:color w:val="000000"/>
                <w:highlight w:val="green"/>
              </w:rPr>
            </w:pPr>
          </w:p>
        </w:tc>
      </w:tr>
      <w:tr w:rsidR="008E5DE4" w14:paraId="29E2CDBB" w14:textId="77777777">
        <w:trPr>
          <w:cantSplit/>
          <w:trHeight w:val="337"/>
        </w:trPr>
        <w:tc>
          <w:tcPr>
            <w:tcW w:w="2948" w:type="dxa"/>
            <w:vAlign w:val="bottom"/>
          </w:tcPr>
          <w:p w14:paraId="44DF07E1"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3B3E217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996030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AFF23F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913C7A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6DFDE9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56AF6D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38B46A1"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712169C0" w14:textId="77777777" w:rsidR="008E5DE4" w:rsidRDefault="008E5DE4">
            <w:pPr>
              <w:widowControl w:val="0"/>
              <w:pBdr>
                <w:top w:val="nil"/>
                <w:left w:val="nil"/>
                <w:bottom w:val="nil"/>
                <w:right w:val="nil"/>
                <w:between w:val="nil"/>
              </w:pBdr>
              <w:jc w:val="right"/>
              <w:rPr>
                <w:color w:val="000000"/>
              </w:rPr>
            </w:pPr>
          </w:p>
        </w:tc>
      </w:tr>
      <w:tr w:rsidR="008E5DE4" w14:paraId="5909FECE" w14:textId="77777777">
        <w:trPr>
          <w:cantSplit/>
          <w:trHeight w:val="231"/>
        </w:trPr>
        <w:tc>
          <w:tcPr>
            <w:tcW w:w="2948" w:type="dxa"/>
            <w:vAlign w:val="bottom"/>
          </w:tcPr>
          <w:p w14:paraId="7CFB56D2"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513EB8F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E4AAD2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1E2823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9A992E7"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975807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BCEE35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AF4A00E"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05AD00F2" w14:textId="77777777" w:rsidR="008E5DE4" w:rsidRDefault="008E5DE4">
            <w:pPr>
              <w:widowControl w:val="0"/>
              <w:pBdr>
                <w:top w:val="nil"/>
                <w:left w:val="nil"/>
                <w:bottom w:val="nil"/>
                <w:right w:val="nil"/>
                <w:between w:val="nil"/>
              </w:pBdr>
              <w:jc w:val="right"/>
              <w:rPr>
                <w:color w:val="000000"/>
              </w:rPr>
            </w:pPr>
          </w:p>
        </w:tc>
      </w:tr>
      <w:tr w:rsidR="008E5DE4" w14:paraId="5FCEDA33" w14:textId="77777777">
        <w:trPr>
          <w:cantSplit/>
          <w:trHeight w:val="169"/>
        </w:trPr>
        <w:tc>
          <w:tcPr>
            <w:tcW w:w="2948" w:type="dxa"/>
            <w:tcBorders>
              <w:bottom w:val="single" w:sz="4" w:space="0" w:color="000000"/>
            </w:tcBorders>
            <w:vAlign w:val="bottom"/>
          </w:tcPr>
          <w:p w14:paraId="6F811C32"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47239191"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A9434A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2B3CCDE"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26C74C52"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46C7C04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82933F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FBC984C" w14:textId="77777777" w:rsidR="008E5DE4" w:rsidRDefault="008E5DE4">
            <w:pPr>
              <w:widowControl w:val="0"/>
              <w:pBdr>
                <w:top w:val="nil"/>
                <w:left w:val="nil"/>
                <w:bottom w:val="nil"/>
                <w:right w:val="nil"/>
                <w:between w:val="nil"/>
              </w:pBdr>
              <w:jc w:val="right"/>
              <w:rPr>
                <w:color w:val="000000"/>
              </w:rPr>
            </w:pPr>
          </w:p>
        </w:tc>
        <w:tc>
          <w:tcPr>
            <w:tcW w:w="676" w:type="dxa"/>
            <w:tcBorders>
              <w:bottom w:val="single" w:sz="4" w:space="0" w:color="000000"/>
            </w:tcBorders>
            <w:vAlign w:val="bottom"/>
          </w:tcPr>
          <w:p w14:paraId="612B93B8" w14:textId="77777777" w:rsidR="008E5DE4" w:rsidRDefault="008E5DE4">
            <w:pPr>
              <w:widowControl w:val="0"/>
              <w:pBdr>
                <w:top w:val="nil"/>
                <w:left w:val="nil"/>
                <w:bottom w:val="nil"/>
                <w:right w:val="nil"/>
                <w:between w:val="nil"/>
              </w:pBdr>
              <w:jc w:val="right"/>
              <w:rPr>
                <w:color w:val="000000"/>
              </w:rPr>
            </w:pPr>
          </w:p>
        </w:tc>
      </w:tr>
      <w:tr w:rsidR="008E5DE4" w14:paraId="16C27A27" w14:textId="77777777">
        <w:trPr>
          <w:cantSplit/>
          <w:trHeight w:val="169"/>
        </w:trPr>
        <w:tc>
          <w:tcPr>
            <w:tcW w:w="2948" w:type="dxa"/>
            <w:tcBorders>
              <w:top w:val="single" w:sz="4" w:space="0" w:color="000000"/>
            </w:tcBorders>
            <w:vAlign w:val="bottom"/>
          </w:tcPr>
          <w:p w14:paraId="1D95C6FF"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15FFF0C4"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6C457A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563BAAD"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5DFD2EE0"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54FC31C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A0E5012"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222A5E5" w14:textId="77777777" w:rsidR="008E5DE4" w:rsidRDefault="008E5DE4">
            <w:pPr>
              <w:widowControl w:val="0"/>
              <w:pBdr>
                <w:top w:val="nil"/>
                <w:left w:val="nil"/>
                <w:bottom w:val="nil"/>
                <w:right w:val="nil"/>
                <w:between w:val="nil"/>
              </w:pBdr>
              <w:jc w:val="right"/>
              <w:rPr>
                <w:color w:val="000000"/>
              </w:rPr>
            </w:pPr>
          </w:p>
        </w:tc>
        <w:tc>
          <w:tcPr>
            <w:tcW w:w="676" w:type="dxa"/>
            <w:tcBorders>
              <w:top w:val="single" w:sz="4" w:space="0" w:color="000000"/>
            </w:tcBorders>
            <w:vAlign w:val="bottom"/>
          </w:tcPr>
          <w:p w14:paraId="4643167C" w14:textId="77777777" w:rsidR="008E5DE4" w:rsidRDefault="008E5DE4">
            <w:pPr>
              <w:widowControl w:val="0"/>
              <w:pBdr>
                <w:top w:val="nil"/>
                <w:left w:val="nil"/>
                <w:bottom w:val="nil"/>
                <w:right w:val="nil"/>
                <w:between w:val="nil"/>
              </w:pBdr>
              <w:jc w:val="right"/>
              <w:rPr>
                <w:color w:val="000000"/>
              </w:rPr>
            </w:pPr>
          </w:p>
        </w:tc>
      </w:tr>
      <w:tr w:rsidR="008E5DE4" w14:paraId="3AE5017A" w14:textId="77777777">
        <w:trPr>
          <w:cantSplit/>
          <w:trHeight w:val="169"/>
        </w:trPr>
        <w:tc>
          <w:tcPr>
            <w:tcW w:w="2948" w:type="dxa"/>
            <w:vAlign w:val="bottom"/>
          </w:tcPr>
          <w:p w14:paraId="3DD4DB3F" w14:textId="2D896B35"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1" w:type="dxa"/>
            <w:vAlign w:val="bottom"/>
          </w:tcPr>
          <w:p w14:paraId="29EBD8C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7E727E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9F3715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B4FB99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C8FF5C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9D3B89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A5C6937"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463D5B51" w14:textId="77777777" w:rsidR="008E5DE4" w:rsidRDefault="008E5DE4">
            <w:pPr>
              <w:widowControl w:val="0"/>
              <w:pBdr>
                <w:top w:val="nil"/>
                <w:left w:val="nil"/>
                <w:bottom w:val="nil"/>
                <w:right w:val="nil"/>
                <w:between w:val="nil"/>
              </w:pBdr>
              <w:jc w:val="right"/>
              <w:rPr>
                <w:color w:val="000000"/>
              </w:rPr>
            </w:pPr>
          </w:p>
        </w:tc>
      </w:tr>
      <w:tr w:rsidR="008E5DE4" w14:paraId="11C77AC5" w14:textId="77777777">
        <w:trPr>
          <w:cantSplit/>
          <w:trHeight w:val="169"/>
        </w:trPr>
        <w:tc>
          <w:tcPr>
            <w:tcW w:w="2948" w:type="dxa"/>
            <w:tcBorders>
              <w:bottom w:val="single" w:sz="12" w:space="0" w:color="000000"/>
            </w:tcBorders>
            <w:vAlign w:val="bottom"/>
          </w:tcPr>
          <w:p w14:paraId="7E7670FF"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20D9D203"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5F5A7BC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2D4C68F3"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67630752"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5D1CB4D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3152BD6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4E39DB35" w14:textId="77777777" w:rsidR="008E5DE4" w:rsidRDefault="008E5DE4">
            <w:pPr>
              <w:widowControl w:val="0"/>
              <w:pBdr>
                <w:top w:val="nil"/>
                <w:left w:val="nil"/>
                <w:bottom w:val="nil"/>
                <w:right w:val="nil"/>
                <w:between w:val="nil"/>
              </w:pBdr>
              <w:jc w:val="right"/>
              <w:rPr>
                <w:color w:val="000000"/>
              </w:rPr>
            </w:pPr>
          </w:p>
        </w:tc>
        <w:tc>
          <w:tcPr>
            <w:tcW w:w="676" w:type="dxa"/>
            <w:tcBorders>
              <w:bottom w:val="single" w:sz="12" w:space="0" w:color="000000"/>
            </w:tcBorders>
            <w:vAlign w:val="bottom"/>
          </w:tcPr>
          <w:p w14:paraId="1C9B6D94" w14:textId="77777777" w:rsidR="008E5DE4" w:rsidRDefault="008E5DE4">
            <w:pPr>
              <w:widowControl w:val="0"/>
              <w:pBdr>
                <w:top w:val="nil"/>
                <w:left w:val="nil"/>
                <w:bottom w:val="nil"/>
                <w:right w:val="nil"/>
                <w:between w:val="nil"/>
              </w:pBdr>
              <w:jc w:val="right"/>
              <w:rPr>
                <w:color w:val="000000"/>
              </w:rPr>
            </w:pPr>
          </w:p>
        </w:tc>
      </w:tr>
    </w:tbl>
    <w:p w14:paraId="2CBD8D4B"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7EE232C9"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46C3403B"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4B83F0F9"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1FC05C9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31AE0346" w14:textId="0CA7E5D1"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promissory notes at FVOCI in </w:t>
      </w:r>
      <w:r w:rsidR="00FF468A">
        <w:rPr>
          <w:color w:val="000000"/>
          <w:sz w:val="20"/>
          <w:szCs w:val="20"/>
        </w:rPr>
        <w:t>2024</w:t>
      </w:r>
      <w:r>
        <w:rPr>
          <w:color w:val="000000"/>
          <w:sz w:val="20"/>
          <w:szCs w:val="20"/>
        </w:rPr>
        <w:t xml:space="preserve"> were as follows.</w:t>
      </w:r>
    </w:p>
    <w:tbl>
      <w:tblPr>
        <w:tblStyle w:val="afffffff6"/>
        <w:tblW w:w="9363" w:type="dxa"/>
        <w:tblLayout w:type="fixed"/>
        <w:tblLook w:val="0000" w:firstRow="0" w:lastRow="0" w:firstColumn="0" w:lastColumn="0" w:noHBand="0" w:noVBand="0"/>
      </w:tblPr>
      <w:tblGrid>
        <w:gridCol w:w="2948"/>
        <w:gridCol w:w="851"/>
        <w:gridCol w:w="878"/>
        <w:gridCol w:w="856"/>
        <w:gridCol w:w="571"/>
        <w:gridCol w:w="871"/>
        <w:gridCol w:w="856"/>
        <w:gridCol w:w="856"/>
        <w:gridCol w:w="676"/>
      </w:tblGrid>
      <w:tr w:rsidR="008E5DE4" w14:paraId="74CC5755" w14:textId="77777777">
        <w:trPr>
          <w:cantSplit/>
          <w:trHeight w:val="169"/>
          <w:tblHeader/>
        </w:trPr>
        <w:tc>
          <w:tcPr>
            <w:tcW w:w="2948" w:type="dxa"/>
            <w:vAlign w:val="bottom"/>
          </w:tcPr>
          <w:p w14:paraId="7BC06127"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1E5C155F"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259" w:type="dxa"/>
            <w:gridSpan w:val="4"/>
            <w:tcBorders>
              <w:bottom w:val="single" w:sz="4" w:space="0" w:color="000000"/>
            </w:tcBorders>
          </w:tcPr>
          <w:p w14:paraId="4DACAF42"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5563EF4D" w14:textId="77777777">
        <w:trPr>
          <w:cantSplit/>
          <w:trHeight w:val="507"/>
          <w:tblHeader/>
        </w:trPr>
        <w:tc>
          <w:tcPr>
            <w:tcW w:w="2948" w:type="dxa"/>
            <w:tcBorders>
              <w:bottom w:val="single" w:sz="4" w:space="0" w:color="000000"/>
            </w:tcBorders>
            <w:vAlign w:val="bottom"/>
          </w:tcPr>
          <w:p w14:paraId="5E3F4858" w14:textId="77777777" w:rsidR="008E5DE4" w:rsidRDefault="008E5DE4">
            <w:pPr>
              <w:widowControl w:val="0"/>
              <w:pBdr>
                <w:top w:val="nil"/>
                <w:left w:val="nil"/>
                <w:bottom w:val="nil"/>
                <w:right w:val="nil"/>
                <w:between w:val="nil"/>
              </w:pBdr>
              <w:ind w:left="113" w:right="-57" w:hanging="113"/>
              <w:rPr>
                <w:i/>
                <w:color w:val="000000"/>
              </w:rPr>
            </w:pPr>
          </w:p>
          <w:p w14:paraId="3CC74A89"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44833932"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7935FB51"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26F74F8F"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78B3E19C"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27E31483"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4D969C5D"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25F96D29"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6CDD7B69"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07D449DC"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762220CF"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1651A5A1"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554BD1DA"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58BE7328"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676" w:type="dxa"/>
            <w:tcBorders>
              <w:top w:val="single" w:sz="4" w:space="0" w:color="000000"/>
              <w:bottom w:val="single" w:sz="4" w:space="0" w:color="000000"/>
            </w:tcBorders>
          </w:tcPr>
          <w:p w14:paraId="1D54B301"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05840C0E" w14:textId="77777777">
        <w:trPr>
          <w:cantSplit/>
          <w:trHeight w:val="169"/>
          <w:tblHeader/>
        </w:trPr>
        <w:tc>
          <w:tcPr>
            <w:tcW w:w="2948" w:type="dxa"/>
            <w:vAlign w:val="bottom"/>
          </w:tcPr>
          <w:p w14:paraId="75E030D0" w14:textId="77777777" w:rsidR="008E5DE4" w:rsidRDefault="008E5DE4">
            <w:pPr>
              <w:widowControl w:val="0"/>
              <w:ind w:left="113" w:right="-57" w:hanging="113"/>
            </w:pPr>
          </w:p>
        </w:tc>
        <w:tc>
          <w:tcPr>
            <w:tcW w:w="851" w:type="dxa"/>
            <w:vAlign w:val="bottom"/>
          </w:tcPr>
          <w:p w14:paraId="34BDA595"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6A860F1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3FD7D2F"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EB844C6" w14:textId="77777777" w:rsidR="008E5DE4" w:rsidRDefault="008E5DE4">
            <w:pPr>
              <w:widowControl w:val="0"/>
              <w:pBdr>
                <w:top w:val="nil"/>
                <w:left w:val="nil"/>
                <w:bottom w:val="nil"/>
                <w:right w:val="nil"/>
                <w:between w:val="nil"/>
              </w:pBdr>
              <w:jc w:val="right"/>
              <w:rPr>
                <w:color w:val="000000"/>
              </w:rPr>
            </w:pPr>
          </w:p>
        </w:tc>
        <w:tc>
          <w:tcPr>
            <w:tcW w:w="871" w:type="dxa"/>
          </w:tcPr>
          <w:p w14:paraId="1E332B76" w14:textId="77777777" w:rsidR="008E5DE4" w:rsidRDefault="008E5DE4">
            <w:pPr>
              <w:widowControl w:val="0"/>
              <w:pBdr>
                <w:top w:val="nil"/>
                <w:left w:val="nil"/>
                <w:bottom w:val="nil"/>
                <w:right w:val="nil"/>
                <w:between w:val="nil"/>
              </w:pBdr>
              <w:jc w:val="right"/>
              <w:rPr>
                <w:color w:val="000000"/>
              </w:rPr>
            </w:pPr>
          </w:p>
        </w:tc>
        <w:tc>
          <w:tcPr>
            <w:tcW w:w="856" w:type="dxa"/>
          </w:tcPr>
          <w:p w14:paraId="2C1704F1" w14:textId="77777777" w:rsidR="008E5DE4" w:rsidRDefault="008E5DE4">
            <w:pPr>
              <w:widowControl w:val="0"/>
              <w:pBdr>
                <w:top w:val="nil"/>
                <w:left w:val="nil"/>
                <w:bottom w:val="nil"/>
                <w:right w:val="nil"/>
                <w:between w:val="nil"/>
              </w:pBdr>
              <w:jc w:val="right"/>
              <w:rPr>
                <w:color w:val="000000"/>
              </w:rPr>
            </w:pPr>
          </w:p>
        </w:tc>
        <w:tc>
          <w:tcPr>
            <w:tcW w:w="856" w:type="dxa"/>
          </w:tcPr>
          <w:p w14:paraId="0A255870"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55BE6DB8" w14:textId="77777777" w:rsidR="008E5DE4" w:rsidRDefault="008E5DE4">
            <w:pPr>
              <w:widowControl w:val="0"/>
              <w:pBdr>
                <w:top w:val="nil"/>
                <w:left w:val="nil"/>
                <w:bottom w:val="nil"/>
                <w:right w:val="nil"/>
                <w:between w:val="nil"/>
              </w:pBdr>
              <w:jc w:val="right"/>
              <w:rPr>
                <w:color w:val="000000"/>
              </w:rPr>
            </w:pPr>
          </w:p>
        </w:tc>
      </w:tr>
      <w:tr w:rsidR="008E5DE4" w14:paraId="6E234A22" w14:textId="77777777">
        <w:trPr>
          <w:cantSplit/>
          <w:trHeight w:val="169"/>
        </w:trPr>
        <w:tc>
          <w:tcPr>
            <w:tcW w:w="2948" w:type="dxa"/>
            <w:vAlign w:val="bottom"/>
          </w:tcPr>
          <w:p w14:paraId="35CF3141"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Promissory notes</w:t>
            </w:r>
          </w:p>
        </w:tc>
        <w:tc>
          <w:tcPr>
            <w:tcW w:w="851" w:type="dxa"/>
            <w:vAlign w:val="bottom"/>
          </w:tcPr>
          <w:p w14:paraId="68A15EF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1C5B14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82DDDE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2A7F310" w14:textId="77777777" w:rsidR="008E5DE4" w:rsidRDefault="008E5DE4">
            <w:pPr>
              <w:widowControl w:val="0"/>
              <w:pBdr>
                <w:top w:val="nil"/>
                <w:left w:val="nil"/>
                <w:bottom w:val="nil"/>
                <w:right w:val="nil"/>
                <w:between w:val="nil"/>
              </w:pBdr>
              <w:jc w:val="right"/>
              <w:rPr>
                <w:color w:val="000000"/>
              </w:rPr>
            </w:pPr>
          </w:p>
        </w:tc>
        <w:tc>
          <w:tcPr>
            <w:tcW w:w="871" w:type="dxa"/>
          </w:tcPr>
          <w:p w14:paraId="40249377" w14:textId="77777777" w:rsidR="008E5DE4" w:rsidRDefault="008E5DE4">
            <w:pPr>
              <w:widowControl w:val="0"/>
              <w:pBdr>
                <w:top w:val="nil"/>
                <w:left w:val="nil"/>
                <w:bottom w:val="nil"/>
                <w:right w:val="nil"/>
                <w:between w:val="nil"/>
              </w:pBdr>
              <w:jc w:val="right"/>
              <w:rPr>
                <w:color w:val="000000"/>
              </w:rPr>
            </w:pPr>
          </w:p>
        </w:tc>
        <w:tc>
          <w:tcPr>
            <w:tcW w:w="856" w:type="dxa"/>
          </w:tcPr>
          <w:p w14:paraId="563A1039" w14:textId="77777777" w:rsidR="008E5DE4" w:rsidRDefault="008E5DE4">
            <w:pPr>
              <w:widowControl w:val="0"/>
              <w:pBdr>
                <w:top w:val="nil"/>
                <w:left w:val="nil"/>
                <w:bottom w:val="nil"/>
                <w:right w:val="nil"/>
                <w:between w:val="nil"/>
              </w:pBdr>
              <w:jc w:val="right"/>
              <w:rPr>
                <w:color w:val="000000"/>
              </w:rPr>
            </w:pPr>
          </w:p>
        </w:tc>
        <w:tc>
          <w:tcPr>
            <w:tcW w:w="856" w:type="dxa"/>
          </w:tcPr>
          <w:p w14:paraId="0C8D4C4D"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23B4E789" w14:textId="77777777" w:rsidR="008E5DE4" w:rsidRDefault="008E5DE4">
            <w:pPr>
              <w:widowControl w:val="0"/>
              <w:pBdr>
                <w:top w:val="nil"/>
                <w:left w:val="nil"/>
                <w:bottom w:val="nil"/>
                <w:right w:val="nil"/>
                <w:between w:val="nil"/>
              </w:pBdr>
              <w:jc w:val="right"/>
              <w:rPr>
                <w:color w:val="000000"/>
              </w:rPr>
            </w:pPr>
          </w:p>
        </w:tc>
      </w:tr>
      <w:tr w:rsidR="008E5DE4" w14:paraId="1634376B" w14:textId="77777777">
        <w:trPr>
          <w:cantSplit/>
          <w:trHeight w:val="169"/>
        </w:trPr>
        <w:tc>
          <w:tcPr>
            <w:tcW w:w="2948" w:type="dxa"/>
            <w:vAlign w:val="bottom"/>
          </w:tcPr>
          <w:p w14:paraId="5ADFF29C"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5C6B390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87823D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40344C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C7221B8" w14:textId="77777777" w:rsidR="008E5DE4" w:rsidRDefault="008E5DE4">
            <w:pPr>
              <w:widowControl w:val="0"/>
              <w:pBdr>
                <w:top w:val="nil"/>
                <w:left w:val="nil"/>
                <w:bottom w:val="nil"/>
                <w:right w:val="nil"/>
                <w:between w:val="nil"/>
              </w:pBdr>
              <w:jc w:val="right"/>
              <w:rPr>
                <w:color w:val="000000"/>
              </w:rPr>
            </w:pPr>
          </w:p>
        </w:tc>
        <w:tc>
          <w:tcPr>
            <w:tcW w:w="871" w:type="dxa"/>
          </w:tcPr>
          <w:p w14:paraId="618455C0" w14:textId="77777777" w:rsidR="008E5DE4" w:rsidRDefault="008E5DE4">
            <w:pPr>
              <w:widowControl w:val="0"/>
              <w:pBdr>
                <w:top w:val="nil"/>
                <w:left w:val="nil"/>
                <w:bottom w:val="nil"/>
                <w:right w:val="nil"/>
                <w:between w:val="nil"/>
              </w:pBdr>
              <w:jc w:val="right"/>
              <w:rPr>
                <w:color w:val="000000"/>
              </w:rPr>
            </w:pPr>
          </w:p>
        </w:tc>
        <w:tc>
          <w:tcPr>
            <w:tcW w:w="856" w:type="dxa"/>
          </w:tcPr>
          <w:p w14:paraId="2CDA92A6" w14:textId="77777777" w:rsidR="008E5DE4" w:rsidRDefault="008E5DE4">
            <w:pPr>
              <w:widowControl w:val="0"/>
              <w:pBdr>
                <w:top w:val="nil"/>
                <w:left w:val="nil"/>
                <w:bottom w:val="nil"/>
                <w:right w:val="nil"/>
                <w:between w:val="nil"/>
              </w:pBdr>
              <w:jc w:val="right"/>
              <w:rPr>
                <w:color w:val="000000"/>
              </w:rPr>
            </w:pPr>
          </w:p>
        </w:tc>
        <w:tc>
          <w:tcPr>
            <w:tcW w:w="856" w:type="dxa"/>
          </w:tcPr>
          <w:p w14:paraId="5838B35C"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1245AE16" w14:textId="77777777" w:rsidR="008E5DE4" w:rsidRDefault="008E5DE4">
            <w:pPr>
              <w:widowControl w:val="0"/>
              <w:pBdr>
                <w:top w:val="nil"/>
                <w:left w:val="nil"/>
                <w:bottom w:val="nil"/>
                <w:right w:val="nil"/>
                <w:between w:val="nil"/>
              </w:pBdr>
              <w:jc w:val="right"/>
              <w:rPr>
                <w:color w:val="000000"/>
              </w:rPr>
            </w:pPr>
          </w:p>
        </w:tc>
      </w:tr>
      <w:tr w:rsidR="008E5DE4" w14:paraId="5454D823" w14:textId="77777777">
        <w:trPr>
          <w:cantSplit/>
          <w:trHeight w:val="169"/>
        </w:trPr>
        <w:tc>
          <w:tcPr>
            <w:tcW w:w="2948" w:type="dxa"/>
            <w:vAlign w:val="bottom"/>
          </w:tcPr>
          <w:p w14:paraId="6C3ECAE7" w14:textId="3FEA340A"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w:t>
            </w:r>
            <w:r w:rsidR="00FF468A">
              <w:rPr>
                <w:b/>
                <w:color w:val="000000"/>
              </w:rPr>
              <w:t>2024</w:t>
            </w:r>
          </w:p>
        </w:tc>
        <w:tc>
          <w:tcPr>
            <w:tcW w:w="851" w:type="dxa"/>
            <w:vAlign w:val="bottom"/>
          </w:tcPr>
          <w:p w14:paraId="3FFAE14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6A02C4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9CFFD2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B2ECA8E" w14:textId="77777777" w:rsidR="008E5DE4" w:rsidRDefault="008E5DE4">
            <w:pPr>
              <w:widowControl w:val="0"/>
              <w:pBdr>
                <w:top w:val="nil"/>
                <w:left w:val="nil"/>
                <w:bottom w:val="nil"/>
                <w:right w:val="nil"/>
                <w:between w:val="nil"/>
              </w:pBdr>
              <w:jc w:val="right"/>
              <w:rPr>
                <w:color w:val="000000"/>
              </w:rPr>
            </w:pPr>
          </w:p>
        </w:tc>
        <w:tc>
          <w:tcPr>
            <w:tcW w:w="871" w:type="dxa"/>
          </w:tcPr>
          <w:p w14:paraId="2D1D952F" w14:textId="77777777" w:rsidR="008E5DE4" w:rsidRDefault="008E5DE4">
            <w:pPr>
              <w:widowControl w:val="0"/>
              <w:pBdr>
                <w:top w:val="nil"/>
                <w:left w:val="nil"/>
                <w:bottom w:val="nil"/>
                <w:right w:val="nil"/>
                <w:between w:val="nil"/>
              </w:pBdr>
              <w:jc w:val="right"/>
              <w:rPr>
                <w:color w:val="000000"/>
              </w:rPr>
            </w:pPr>
          </w:p>
        </w:tc>
        <w:tc>
          <w:tcPr>
            <w:tcW w:w="856" w:type="dxa"/>
          </w:tcPr>
          <w:p w14:paraId="62F0FF9E" w14:textId="77777777" w:rsidR="008E5DE4" w:rsidRDefault="008E5DE4">
            <w:pPr>
              <w:widowControl w:val="0"/>
              <w:pBdr>
                <w:top w:val="nil"/>
                <w:left w:val="nil"/>
                <w:bottom w:val="nil"/>
                <w:right w:val="nil"/>
                <w:between w:val="nil"/>
              </w:pBdr>
              <w:jc w:val="right"/>
              <w:rPr>
                <w:color w:val="000000"/>
              </w:rPr>
            </w:pPr>
          </w:p>
        </w:tc>
        <w:tc>
          <w:tcPr>
            <w:tcW w:w="856" w:type="dxa"/>
          </w:tcPr>
          <w:p w14:paraId="528B3E8B"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42EB34C9" w14:textId="77777777" w:rsidR="008E5DE4" w:rsidRDefault="008E5DE4">
            <w:pPr>
              <w:widowControl w:val="0"/>
              <w:pBdr>
                <w:top w:val="nil"/>
                <w:left w:val="nil"/>
                <w:bottom w:val="nil"/>
                <w:right w:val="nil"/>
                <w:between w:val="nil"/>
              </w:pBdr>
              <w:jc w:val="right"/>
              <w:rPr>
                <w:color w:val="000000"/>
              </w:rPr>
            </w:pPr>
          </w:p>
        </w:tc>
      </w:tr>
      <w:tr w:rsidR="008E5DE4" w14:paraId="0CC97009" w14:textId="77777777">
        <w:trPr>
          <w:cantSplit/>
          <w:trHeight w:val="676"/>
        </w:trPr>
        <w:tc>
          <w:tcPr>
            <w:tcW w:w="2948" w:type="dxa"/>
            <w:vAlign w:val="bottom"/>
          </w:tcPr>
          <w:p w14:paraId="55F49DBD" w14:textId="77777777" w:rsidR="008E5DE4" w:rsidRDefault="008E5DE4">
            <w:pPr>
              <w:widowControl w:val="0"/>
              <w:pBdr>
                <w:top w:val="nil"/>
                <w:left w:val="nil"/>
                <w:bottom w:val="nil"/>
                <w:right w:val="nil"/>
                <w:between w:val="nil"/>
              </w:pBdr>
              <w:ind w:left="113" w:right="-57" w:hanging="113"/>
              <w:rPr>
                <w:b/>
                <w:color w:val="000000"/>
              </w:rPr>
            </w:pPr>
          </w:p>
          <w:p w14:paraId="24545280"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51EDAF1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664221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A7B859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FC01000" w14:textId="77777777" w:rsidR="008E5DE4" w:rsidRDefault="008E5DE4">
            <w:pPr>
              <w:widowControl w:val="0"/>
              <w:pBdr>
                <w:top w:val="nil"/>
                <w:left w:val="nil"/>
                <w:bottom w:val="nil"/>
                <w:right w:val="nil"/>
                <w:between w:val="nil"/>
              </w:pBdr>
              <w:jc w:val="right"/>
              <w:rPr>
                <w:color w:val="000000"/>
              </w:rPr>
            </w:pPr>
          </w:p>
        </w:tc>
        <w:tc>
          <w:tcPr>
            <w:tcW w:w="871" w:type="dxa"/>
          </w:tcPr>
          <w:p w14:paraId="2632A14D"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7F62BD84" w14:textId="77777777" w:rsidR="008E5DE4" w:rsidRDefault="008E5DE4">
            <w:pPr>
              <w:widowControl w:val="0"/>
              <w:pBdr>
                <w:top w:val="nil"/>
                <w:left w:val="nil"/>
                <w:bottom w:val="nil"/>
                <w:right w:val="nil"/>
                <w:between w:val="nil"/>
              </w:pBdr>
              <w:jc w:val="right"/>
              <w:rPr>
                <w:color w:val="000000"/>
              </w:rPr>
            </w:pPr>
          </w:p>
        </w:tc>
        <w:tc>
          <w:tcPr>
            <w:tcW w:w="856" w:type="dxa"/>
          </w:tcPr>
          <w:p w14:paraId="0A0D7A27"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4213CDC2" w14:textId="77777777" w:rsidR="008E5DE4" w:rsidRDefault="008E5DE4">
            <w:pPr>
              <w:widowControl w:val="0"/>
              <w:pBdr>
                <w:top w:val="nil"/>
                <w:left w:val="nil"/>
                <w:bottom w:val="nil"/>
                <w:right w:val="nil"/>
                <w:between w:val="nil"/>
              </w:pBdr>
              <w:jc w:val="right"/>
              <w:rPr>
                <w:color w:val="000000"/>
              </w:rPr>
            </w:pPr>
          </w:p>
        </w:tc>
      </w:tr>
      <w:tr w:rsidR="008E5DE4" w14:paraId="2976DDD4" w14:textId="77777777">
        <w:trPr>
          <w:cantSplit/>
          <w:trHeight w:val="184"/>
        </w:trPr>
        <w:tc>
          <w:tcPr>
            <w:tcW w:w="2948" w:type="dxa"/>
            <w:vAlign w:val="bottom"/>
          </w:tcPr>
          <w:p w14:paraId="26DBB39B" w14:textId="77777777" w:rsidR="008E5DE4" w:rsidRDefault="008E5DE4">
            <w:pPr>
              <w:widowControl w:val="0"/>
              <w:pBdr>
                <w:top w:val="nil"/>
                <w:left w:val="nil"/>
                <w:bottom w:val="nil"/>
                <w:right w:val="nil"/>
                <w:between w:val="nil"/>
              </w:pBdr>
              <w:ind w:left="113" w:right="-57" w:hanging="113"/>
              <w:rPr>
                <w:color w:val="000000"/>
              </w:rPr>
            </w:pPr>
          </w:p>
        </w:tc>
        <w:tc>
          <w:tcPr>
            <w:tcW w:w="851" w:type="dxa"/>
            <w:vAlign w:val="bottom"/>
          </w:tcPr>
          <w:p w14:paraId="55860CD6"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2A74B2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6FBEA9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9639C9C"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D7C133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BFB140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A3D3189"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68A1FD14" w14:textId="77777777" w:rsidR="008E5DE4" w:rsidRDefault="008E5DE4">
            <w:pPr>
              <w:widowControl w:val="0"/>
              <w:pBdr>
                <w:top w:val="nil"/>
                <w:left w:val="nil"/>
                <w:bottom w:val="nil"/>
                <w:right w:val="nil"/>
                <w:between w:val="nil"/>
              </w:pBdr>
              <w:jc w:val="right"/>
              <w:rPr>
                <w:color w:val="000000"/>
                <w:highlight w:val="green"/>
              </w:rPr>
            </w:pPr>
          </w:p>
        </w:tc>
      </w:tr>
      <w:tr w:rsidR="008E5DE4" w14:paraId="0483D9FC" w14:textId="77777777">
        <w:trPr>
          <w:cantSplit/>
          <w:trHeight w:val="184"/>
        </w:trPr>
        <w:tc>
          <w:tcPr>
            <w:tcW w:w="2948" w:type="dxa"/>
            <w:vAlign w:val="bottom"/>
          </w:tcPr>
          <w:p w14:paraId="5028E7A1"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4C4AEE9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1B1092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FB8EA45"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4002F75"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62985E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202C61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F7510E1"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39156300" w14:textId="77777777" w:rsidR="008E5DE4" w:rsidRDefault="008E5DE4">
            <w:pPr>
              <w:widowControl w:val="0"/>
              <w:pBdr>
                <w:top w:val="nil"/>
                <w:left w:val="nil"/>
                <w:bottom w:val="nil"/>
                <w:right w:val="nil"/>
                <w:between w:val="nil"/>
              </w:pBdr>
              <w:jc w:val="right"/>
              <w:rPr>
                <w:color w:val="000000"/>
                <w:highlight w:val="green"/>
              </w:rPr>
            </w:pPr>
          </w:p>
        </w:tc>
      </w:tr>
      <w:tr w:rsidR="008E5DE4" w14:paraId="351072C5" w14:textId="77777777">
        <w:trPr>
          <w:cantSplit/>
          <w:trHeight w:val="80"/>
        </w:trPr>
        <w:tc>
          <w:tcPr>
            <w:tcW w:w="2948" w:type="dxa"/>
            <w:vAlign w:val="bottom"/>
          </w:tcPr>
          <w:p w14:paraId="514E4A00"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4379B758"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F7B808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FFEF23E"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2A012A2"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1F7B01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62B10A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D2B06FA"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36B767A8" w14:textId="77777777" w:rsidR="008E5DE4" w:rsidRDefault="008E5DE4">
            <w:pPr>
              <w:widowControl w:val="0"/>
              <w:pBdr>
                <w:top w:val="nil"/>
                <w:left w:val="nil"/>
                <w:bottom w:val="nil"/>
                <w:right w:val="nil"/>
                <w:between w:val="nil"/>
              </w:pBdr>
              <w:jc w:val="right"/>
              <w:rPr>
                <w:color w:val="000000"/>
                <w:highlight w:val="green"/>
              </w:rPr>
            </w:pPr>
          </w:p>
        </w:tc>
      </w:tr>
      <w:tr w:rsidR="008E5DE4" w14:paraId="28DC970F" w14:textId="77777777">
        <w:trPr>
          <w:cantSplit/>
          <w:trHeight w:val="80"/>
        </w:trPr>
        <w:tc>
          <w:tcPr>
            <w:tcW w:w="2948" w:type="dxa"/>
            <w:vAlign w:val="bottom"/>
          </w:tcPr>
          <w:p w14:paraId="530FC821"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1F7D8EA7"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ED66F6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37C172E"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A924754"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8C7590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2AF3097"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5E802E5"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70C3F6B6" w14:textId="77777777" w:rsidR="008E5DE4" w:rsidRDefault="008E5DE4">
            <w:pPr>
              <w:widowControl w:val="0"/>
              <w:pBdr>
                <w:top w:val="nil"/>
                <w:left w:val="nil"/>
                <w:bottom w:val="nil"/>
                <w:right w:val="nil"/>
                <w:between w:val="nil"/>
              </w:pBdr>
              <w:jc w:val="right"/>
              <w:rPr>
                <w:color w:val="000000"/>
                <w:highlight w:val="green"/>
              </w:rPr>
            </w:pPr>
          </w:p>
        </w:tc>
      </w:tr>
      <w:tr w:rsidR="008E5DE4" w14:paraId="6B039555" w14:textId="77777777">
        <w:trPr>
          <w:cantSplit/>
          <w:trHeight w:val="361"/>
        </w:trPr>
        <w:tc>
          <w:tcPr>
            <w:tcW w:w="2948" w:type="dxa"/>
            <w:vAlign w:val="bottom"/>
          </w:tcPr>
          <w:p w14:paraId="319BE681"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44E6A45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F3BE11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7372BBD"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A95B938"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CEF5EBB"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611E70E"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7D9C3A1"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1832AC2A" w14:textId="77777777" w:rsidR="008E5DE4" w:rsidRDefault="008E5DE4">
            <w:pPr>
              <w:widowControl w:val="0"/>
              <w:pBdr>
                <w:top w:val="nil"/>
                <w:left w:val="nil"/>
                <w:bottom w:val="nil"/>
                <w:right w:val="nil"/>
                <w:between w:val="nil"/>
              </w:pBdr>
              <w:jc w:val="right"/>
              <w:rPr>
                <w:color w:val="000000"/>
                <w:highlight w:val="green"/>
              </w:rPr>
            </w:pPr>
          </w:p>
        </w:tc>
      </w:tr>
      <w:tr w:rsidR="008E5DE4" w14:paraId="46C268ED" w14:textId="77777777">
        <w:trPr>
          <w:cantSplit/>
          <w:trHeight w:val="169"/>
        </w:trPr>
        <w:tc>
          <w:tcPr>
            <w:tcW w:w="2948" w:type="dxa"/>
            <w:vAlign w:val="bottom"/>
          </w:tcPr>
          <w:p w14:paraId="0384C210"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17158DB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0EB992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95E381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E99BD0B" w14:textId="77777777" w:rsidR="008E5DE4" w:rsidRDefault="008E5DE4">
            <w:pPr>
              <w:widowControl w:val="0"/>
              <w:pBdr>
                <w:top w:val="nil"/>
                <w:left w:val="nil"/>
                <w:bottom w:val="nil"/>
                <w:right w:val="nil"/>
                <w:between w:val="nil"/>
              </w:pBdr>
              <w:jc w:val="right"/>
              <w:rPr>
                <w:color w:val="000000"/>
              </w:rPr>
            </w:pPr>
          </w:p>
        </w:tc>
        <w:tc>
          <w:tcPr>
            <w:tcW w:w="871" w:type="dxa"/>
          </w:tcPr>
          <w:p w14:paraId="3AF612CF" w14:textId="77777777" w:rsidR="008E5DE4" w:rsidRDefault="008E5DE4">
            <w:pPr>
              <w:widowControl w:val="0"/>
              <w:pBdr>
                <w:top w:val="nil"/>
                <w:left w:val="nil"/>
                <w:bottom w:val="nil"/>
                <w:right w:val="nil"/>
                <w:between w:val="nil"/>
              </w:pBdr>
              <w:jc w:val="right"/>
              <w:rPr>
                <w:color w:val="000000"/>
              </w:rPr>
            </w:pPr>
          </w:p>
        </w:tc>
        <w:tc>
          <w:tcPr>
            <w:tcW w:w="856" w:type="dxa"/>
          </w:tcPr>
          <w:p w14:paraId="0D3C5170" w14:textId="77777777" w:rsidR="008E5DE4" w:rsidRDefault="008E5DE4">
            <w:pPr>
              <w:widowControl w:val="0"/>
              <w:pBdr>
                <w:top w:val="nil"/>
                <w:left w:val="nil"/>
                <w:bottom w:val="nil"/>
                <w:right w:val="nil"/>
                <w:between w:val="nil"/>
              </w:pBdr>
              <w:jc w:val="right"/>
              <w:rPr>
                <w:color w:val="000000"/>
              </w:rPr>
            </w:pPr>
          </w:p>
        </w:tc>
        <w:tc>
          <w:tcPr>
            <w:tcW w:w="856" w:type="dxa"/>
          </w:tcPr>
          <w:p w14:paraId="5E0CFF0A"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33A11C2B" w14:textId="77777777" w:rsidR="008E5DE4" w:rsidRDefault="008E5DE4">
            <w:pPr>
              <w:widowControl w:val="0"/>
              <w:pBdr>
                <w:top w:val="nil"/>
                <w:left w:val="nil"/>
                <w:bottom w:val="nil"/>
                <w:right w:val="nil"/>
                <w:between w:val="nil"/>
              </w:pBdr>
              <w:jc w:val="right"/>
              <w:rPr>
                <w:color w:val="000000"/>
              </w:rPr>
            </w:pPr>
          </w:p>
        </w:tc>
      </w:tr>
      <w:tr w:rsidR="008E5DE4" w14:paraId="103E2940" w14:textId="77777777">
        <w:trPr>
          <w:cantSplit/>
          <w:trHeight w:val="232"/>
        </w:trPr>
        <w:tc>
          <w:tcPr>
            <w:tcW w:w="2948" w:type="dxa"/>
            <w:vAlign w:val="bottom"/>
          </w:tcPr>
          <w:p w14:paraId="2B4014A1"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546437B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3BAF99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7051A7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9D48165" w14:textId="77777777" w:rsidR="008E5DE4" w:rsidRDefault="008E5DE4">
            <w:pPr>
              <w:widowControl w:val="0"/>
              <w:pBdr>
                <w:top w:val="nil"/>
                <w:left w:val="nil"/>
                <w:bottom w:val="nil"/>
                <w:right w:val="nil"/>
                <w:between w:val="nil"/>
              </w:pBdr>
              <w:jc w:val="right"/>
              <w:rPr>
                <w:color w:val="000000"/>
              </w:rPr>
            </w:pPr>
          </w:p>
        </w:tc>
        <w:tc>
          <w:tcPr>
            <w:tcW w:w="871" w:type="dxa"/>
          </w:tcPr>
          <w:p w14:paraId="6874F4CD" w14:textId="77777777" w:rsidR="008E5DE4" w:rsidRDefault="008E5DE4">
            <w:pPr>
              <w:widowControl w:val="0"/>
              <w:pBdr>
                <w:top w:val="nil"/>
                <w:left w:val="nil"/>
                <w:bottom w:val="nil"/>
                <w:right w:val="nil"/>
                <w:between w:val="nil"/>
              </w:pBdr>
              <w:jc w:val="right"/>
              <w:rPr>
                <w:color w:val="000000"/>
              </w:rPr>
            </w:pPr>
          </w:p>
        </w:tc>
        <w:tc>
          <w:tcPr>
            <w:tcW w:w="856" w:type="dxa"/>
          </w:tcPr>
          <w:p w14:paraId="69E05913" w14:textId="77777777" w:rsidR="008E5DE4" w:rsidRDefault="008E5DE4">
            <w:pPr>
              <w:widowControl w:val="0"/>
              <w:pBdr>
                <w:top w:val="nil"/>
                <w:left w:val="nil"/>
                <w:bottom w:val="nil"/>
                <w:right w:val="nil"/>
                <w:between w:val="nil"/>
              </w:pBdr>
              <w:jc w:val="right"/>
              <w:rPr>
                <w:color w:val="000000"/>
              </w:rPr>
            </w:pPr>
          </w:p>
        </w:tc>
        <w:tc>
          <w:tcPr>
            <w:tcW w:w="856" w:type="dxa"/>
          </w:tcPr>
          <w:p w14:paraId="5EC630BA"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74482EF3" w14:textId="77777777" w:rsidR="008E5DE4" w:rsidRDefault="008E5DE4">
            <w:pPr>
              <w:widowControl w:val="0"/>
              <w:pBdr>
                <w:top w:val="nil"/>
                <w:left w:val="nil"/>
                <w:bottom w:val="nil"/>
                <w:right w:val="nil"/>
                <w:between w:val="nil"/>
              </w:pBdr>
              <w:jc w:val="right"/>
              <w:rPr>
                <w:color w:val="000000"/>
              </w:rPr>
            </w:pPr>
          </w:p>
        </w:tc>
      </w:tr>
      <w:tr w:rsidR="008E5DE4" w14:paraId="1DD41C5D" w14:textId="77777777">
        <w:trPr>
          <w:cantSplit/>
          <w:trHeight w:val="80"/>
        </w:trPr>
        <w:tc>
          <w:tcPr>
            <w:tcW w:w="2948" w:type="dxa"/>
            <w:vAlign w:val="bottom"/>
          </w:tcPr>
          <w:p w14:paraId="3BC1313A"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7D8A41A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C059DB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E80BE5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C13CEC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EF1603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D0524C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960B75D"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3E675928" w14:textId="77777777" w:rsidR="008E5DE4" w:rsidRDefault="008E5DE4">
            <w:pPr>
              <w:widowControl w:val="0"/>
              <w:pBdr>
                <w:top w:val="nil"/>
                <w:left w:val="nil"/>
                <w:bottom w:val="nil"/>
                <w:right w:val="nil"/>
                <w:between w:val="nil"/>
              </w:pBdr>
              <w:jc w:val="right"/>
              <w:rPr>
                <w:color w:val="000000"/>
              </w:rPr>
            </w:pPr>
          </w:p>
        </w:tc>
      </w:tr>
      <w:tr w:rsidR="008E5DE4" w14:paraId="2CBA8154" w14:textId="77777777">
        <w:trPr>
          <w:cantSplit/>
          <w:trHeight w:val="85"/>
        </w:trPr>
        <w:tc>
          <w:tcPr>
            <w:tcW w:w="2948" w:type="dxa"/>
            <w:vAlign w:val="bottom"/>
          </w:tcPr>
          <w:p w14:paraId="6D50E48A"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535C6A4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B66389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B95593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B8D39F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3F5E3D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B33906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43736E0"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05411475" w14:textId="77777777" w:rsidR="008E5DE4" w:rsidRDefault="008E5DE4">
            <w:pPr>
              <w:widowControl w:val="0"/>
              <w:pBdr>
                <w:top w:val="nil"/>
                <w:left w:val="nil"/>
                <w:bottom w:val="nil"/>
                <w:right w:val="nil"/>
                <w:between w:val="nil"/>
              </w:pBdr>
              <w:jc w:val="right"/>
              <w:rPr>
                <w:color w:val="000000"/>
              </w:rPr>
            </w:pPr>
          </w:p>
        </w:tc>
      </w:tr>
      <w:tr w:rsidR="008E5DE4" w14:paraId="68414BE5" w14:textId="77777777">
        <w:trPr>
          <w:cantSplit/>
          <w:trHeight w:val="169"/>
        </w:trPr>
        <w:tc>
          <w:tcPr>
            <w:tcW w:w="2948" w:type="dxa"/>
            <w:vAlign w:val="bottom"/>
          </w:tcPr>
          <w:p w14:paraId="0A004F88"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48F7C9F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50C772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A43EC4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ACB78B2"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AE1FA8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A554A9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51C31A5"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25A93ACB" w14:textId="77777777" w:rsidR="008E5DE4" w:rsidRDefault="008E5DE4">
            <w:pPr>
              <w:widowControl w:val="0"/>
              <w:pBdr>
                <w:top w:val="nil"/>
                <w:left w:val="nil"/>
                <w:bottom w:val="nil"/>
                <w:right w:val="nil"/>
                <w:between w:val="nil"/>
              </w:pBdr>
              <w:jc w:val="right"/>
              <w:rPr>
                <w:color w:val="000000"/>
              </w:rPr>
            </w:pPr>
          </w:p>
        </w:tc>
      </w:tr>
      <w:tr w:rsidR="008E5DE4" w14:paraId="3E420292" w14:textId="77777777">
        <w:trPr>
          <w:cantSplit/>
          <w:trHeight w:val="169"/>
        </w:trPr>
        <w:tc>
          <w:tcPr>
            <w:tcW w:w="2948" w:type="dxa"/>
            <w:vAlign w:val="bottom"/>
          </w:tcPr>
          <w:p w14:paraId="2C097B57"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02CD88B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20241E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BA6EC9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DCF847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D19D61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337432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A178F9F"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54EDB4E8" w14:textId="77777777" w:rsidR="008E5DE4" w:rsidRDefault="008E5DE4">
            <w:pPr>
              <w:widowControl w:val="0"/>
              <w:pBdr>
                <w:top w:val="nil"/>
                <w:left w:val="nil"/>
                <w:bottom w:val="nil"/>
                <w:right w:val="nil"/>
                <w:between w:val="nil"/>
              </w:pBdr>
              <w:jc w:val="right"/>
              <w:rPr>
                <w:color w:val="000000"/>
              </w:rPr>
            </w:pPr>
          </w:p>
        </w:tc>
      </w:tr>
      <w:tr w:rsidR="008E5DE4" w14:paraId="67A1FCCA" w14:textId="77777777">
        <w:trPr>
          <w:cantSplit/>
          <w:trHeight w:val="169"/>
        </w:trPr>
        <w:tc>
          <w:tcPr>
            <w:tcW w:w="2948" w:type="dxa"/>
            <w:tcBorders>
              <w:bottom w:val="single" w:sz="4" w:space="0" w:color="000000"/>
            </w:tcBorders>
            <w:vAlign w:val="bottom"/>
          </w:tcPr>
          <w:p w14:paraId="05697029"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3900958F"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66765F6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6378F38"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C7E412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295EE3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CDFF89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74F8494" w14:textId="77777777" w:rsidR="008E5DE4" w:rsidRDefault="008E5DE4">
            <w:pPr>
              <w:widowControl w:val="0"/>
              <w:pBdr>
                <w:top w:val="nil"/>
                <w:left w:val="nil"/>
                <w:bottom w:val="nil"/>
                <w:right w:val="nil"/>
                <w:between w:val="nil"/>
              </w:pBdr>
              <w:jc w:val="right"/>
              <w:rPr>
                <w:color w:val="000000"/>
              </w:rPr>
            </w:pPr>
          </w:p>
        </w:tc>
        <w:tc>
          <w:tcPr>
            <w:tcW w:w="676" w:type="dxa"/>
            <w:tcBorders>
              <w:bottom w:val="single" w:sz="4" w:space="0" w:color="000000"/>
            </w:tcBorders>
            <w:vAlign w:val="bottom"/>
          </w:tcPr>
          <w:p w14:paraId="209DFA8F" w14:textId="77777777" w:rsidR="008E5DE4" w:rsidRDefault="008E5DE4">
            <w:pPr>
              <w:widowControl w:val="0"/>
              <w:pBdr>
                <w:top w:val="nil"/>
                <w:left w:val="nil"/>
                <w:bottom w:val="nil"/>
                <w:right w:val="nil"/>
                <w:between w:val="nil"/>
              </w:pBdr>
              <w:jc w:val="right"/>
              <w:rPr>
                <w:color w:val="000000"/>
              </w:rPr>
            </w:pPr>
          </w:p>
        </w:tc>
      </w:tr>
      <w:tr w:rsidR="008E5DE4" w14:paraId="368BE6AE" w14:textId="77777777">
        <w:trPr>
          <w:cantSplit/>
          <w:trHeight w:val="153"/>
        </w:trPr>
        <w:tc>
          <w:tcPr>
            <w:tcW w:w="2948" w:type="dxa"/>
            <w:tcBorders>
              <w:top w:val="single" w:sz="4" w:space="0" w:color="000000"/>
            </w:tcBorders>
            <w:vAlign w:val="bottom"/>
          </w:tcPr>
          <w:p w14:paraId="4C6BBE1A"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5C68DACA"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D9E4E1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D260ECF"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8130838"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D2F314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682179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7D07298" w14:textId="77777777" w:rsidR="008E5DE4" w:rsidRDefault="008E5DE4">
            <w:pPr>
              <w:widowControl w:val="0"/>
              <w:pBdr>
                <w:top w:val="nil"/>
                <w:left w:val="nil"/>
                <w:bottom w:val="nil"/>
                <w:right w:val="nil"/>
                <w:between w:val="nil"/>
              </w:pBdr>
              <w:jc w:val="right"/>
              <w:rPr>
                <w:color w:val="000000"/>
              </w:rPr>
            </w:pPr>
          </w:p>
        </w:tc>
        <w:tc>
          <w:tcPr>
            <w:tcW w:w="676" w:type="dxa"/>
            <w:tcBorders>
              <w:top w:val="single" w:sz="4" w:space="0" w:color="000000"/>
            </w:tcBorders>
            <w:vAlign w:val="bottom"/>
          </w:tcPr>
          <w:p w14:paraId="42C91087" w14:textId="77777777" w:rsidR="008E5DE4" w:rsidRDefault="008E5DE4">
            <w:pPr>
              <w:widowControl w:val="0"/>
              <w:pBdr>
                <w:top w:val="nil"/>
                <w:left w:val="nil"/>
                <w:bottom w:val="nil"/>
                <w:right w:val="nil"/>
                <w:between w:val="nil"/>
              </w:pBdr>
              <w:jc w:val="right"/>
              <w:rPr>
                <w:color w:val="000000"/>
              </w:rPr>
            </w:pPr>
          </w:p>
        </w:tc>
      </w:tr>
      <w:tr w:rsidR="008E5DE4" w14:paraId="274709D5" w14:textId="77777777">
        <w:trPr>
          <w:cantSplit/>
          <w:trHeight w:val="245"/>
        </w:trPr>
        <w:tc>
          <w:tcPr>
            <w:tcW w:w="2948" w:type="dxa"/>
            <w:vAlign w:val="bottom"/>
          </w:tcPr>
          <w:p w14:paraId="301D80AC"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76DE09B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F26C8E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DF54A1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62717F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4D0060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B83E81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E6BF1B4"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0E247271" w14:textId="77777777" w:rsidR="008E5DE4" w:rsidRDefault="008E5DE4">
            <w:pPr>
              <w:widowControl w:val="0"/>
              <w:pBdr>
                <w:top w:val="nil"/>
                <w:left w:val="nil"/>
                <w:bottom w:val="nil"/>
                <w:right w:val="nil"/>
                <w:between w:val="nil"/>
              </w:pBdr>
              <w:jc w:val="right"/>
              <w:rPr>
                <w:color w:val="000000"/>
              </w:rPr>
            </w:pPr>
          </w:p>
        </w:tc>
      </w:tr>
      <w:tr w:rsidR="008E5DE4" w14:paraId="29435C51" w14:textId="77777777">
        <w:trPr>
          <w:cantSplit/>
          <w:trHeight w:val="80"/>
        </w:trPr>
        <w:tc>
          <w:tcPr>
            <w:tcW w:w="2948" w:type="dxa"/>
            <w:tcBorders>
              <w:bottom w:val="single" w:sz="4" w:space="0" w:color="000000"/>
            </w:tcBorders>
            <w:vAlign w:val="bottom"/>
          </w:tcPr>
          <w:p w14:paraId="6B50ED5E"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1AAF29CF"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4CE3AB0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5247080"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1FCB33E"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06753C1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A8E63C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3963F41" w14:textId="77777777" w:rsidR="008E5DE4" w:rsidRDefault="008E5DE4">
            <w:pPr>
              <w:widowControl w:val="0"/>
              <w:pBdr>
                <w:top w:val="nil"/>
                <w:left w:val="nil"/>
                <w:bottom w:val="nil"/>
                <w:right w:val="nil"/>
                <w:between w:val="nil"/>
              </w:pBdr>
              <w:jc w:val="right"/>
              <w:rPr>
                <w:color w:val="000000"/>
              </w:rPr>
            </w:pPr>
          </w:p>
        </w:tc>
        <w:tc>
          <w:tcPr>
            <w:tcW w:w="676" w:type="dxa"/>
            <w:tcBorders>
              <w:bottom w:val="single" w:sz="4" w:space="0" w:color="000000"/>
            </w:tcBorders>
            <w:vAlign w:val="bottom"/>
          </w:tcPr>
          <w:p w14:paraId="56056D6A" w14:textId="77777777" w:rsidR="008E5DE4" w:rsidRDefault="008E5DE4">
            <w:pPr>
              <w:widowControl w:val="0"/>
              <w:pBdr>
                <w:top w:val="nil"/>
                <w:left w:val="nil"/>
                <w:bottom w:val="nil"/>
                <w:right w:val="nil"/>
                <w:between w:val="nil"/>
              </w:pBdr>
              <w:jc w:val="right"/>
              <w:rPr>
                <w:color w:val="000000"/>
              </w:rPr>
            </w:pPr>
          </w:p>
        </w:tc>
      </w:tr>
      <w:tr w:rsidR="008E5DE4" w14:paraId="0A2C479F" w14:textId="77777777">
        <w:trPr>
          <w:cantSplit/>
          <w:trHeight w:val="153"/>
        </w:trPr>
        <w:tc>
          <w:tcPr>
            <w:tcW w:w="2948" w:type="dxa"/>
            <w:tcBorders>
              <w:top w:val="single" w:sz="4" w:space="0" w:color="000000"/>
            </w:tcBorders>
            <w:vAlign w:val="bottom"/>
          </w:tcPr>
          <w:p w14:paraId="18395CFB"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6BB0BC95"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763F913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FB208BF"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6C0682A4"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50CEC62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794109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64D75ED" w14:textId="77777777" w:rsidR="008E5DE4" w:rsidRDefault="008E5DE4">
            <w:pPr>
              <w:widowControl w:val="0"/>
              <w:pBdr>
                <w:top w:val="nil"/>
                <w:left w:val="nil"/>
                <w:bottom w:val="nil"/>
                <w:right w:val="nil"/>
                <w:between w:val="nil"/>
              </w:pBdr>
              <w:jc w:val="right"/>
              <w:rPr>
                <w:color w:val="000000"/>
              </w:rPr>
            </w:pPr>
          </w:p>
        </w:tc>
        <w:tc>
          <w:tcPr>
            <w:tcW w:w="676" w:type="dxa"/>
            <w:tcBorders>
              <w:top w:val="single" w:sz="4" w:space="0" w:color="000000"/>
            </w:tcBorders>
            <w:vAlign w:val="bottom"/>
          </w:tcPr>
          <w:p w14:paraId="14B1F5B8" w14:textId="77777777" w:rsidR="008E5DE4" w:rsidRDefault="008E5DE4">
            <w:pPr>
              <w:widowControl w:val="0"/>
              <w:pBdr>
                <w:top w:val="nil"/>
                <w:left w:val="nil"/>
                <w:bottom w:val="nil"/>
                <w:right w:val="nil"/>
                <w:between w:val="nil"/>
              </w:pBdr>
              <w:jc w:val="right"/>
              <w:rPr>
                <w:color w:val="000000"/>
              </w:rPr>
            </w:pPr>
          </w:p>
        </w:tc>
      </w:tr>
      <w:tr w:rsidR="008E5DE4" w14:paraId="33315D79" w14:textId="77777777">
        <w:trPr>
          <w:cantSplit/>
          <w:trHeight w:val="692"/>
        </w:trPr>
        <w:tc>
          <w:tcPr>
            <w:tcW w:w="2948" w:type="dxa"/>
            <w:vAlign w:val="bottom"/>
          </w:tcPr>
          <w:p w14:paraId="5FC465F1"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0C87BDD3" w14:textId="77777777" w:rsidR="008E5DE4" w:rsidRDefault="008E5DE4">
            <w:pPr>
              <w:widowControl w:val="0"/>
              <w:pBdr>
                <w:top w:val="nil"/>
                <w:left w:val="nil"/>
                <w:bottom w:val="nil"/>
                <w:right w:val="nil"/>
                <w:between w:val="nil"/>
              </w:pBdr>
              <w:ind w:right="-57"/>
              <w:rPr>
                <w:color w:val="000000"/>
              </w:rPr>
            </w:pPr>
          </w:p>
        </w:tc>
        <w:tc>
          <w:tcPr>
            <w:tcW w:w="851" w:type="dxa"/>
            <w:vAlign w:val="bottom"/>
          </w:tcPr>
          <w:p w14:paraId="4E89F10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CEFE41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A0F3F8C"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6059FDE"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50D308D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B06663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F8B099E"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23FCC57F" w14:textId="77777777" w:rsidR="008E5DE4" w:rsidRDefault="008E5DE4">
            <w:pPr>
              <w:widowControl w:val="0"/>
              <w:pBdr>
                <w:top w:val="nil"/>
                <w:left w:val="nil"/>
                <w:bottom w:val="nil"/>
                <w:right w:val="nil"/>
                <w:between w:val="nil"/>
              </w:pBdr>
              <w:jc w:val="right"/>
              <w:rPr>
                <w:color w:val="000000"/>
                <w:highlight w:val="green"/>
              </w:rPr>
            </w:pPr>
          </w:p>
        </w:tc>
      </w:tr>
      <w:tr w:rsidR="008E5DE4" w14:paraId="53EDF89D" w14:textId="77777777">
        <w:trPr>
          <w:cantSplit/>
          <w:trHeight w:val="169"/>
        </w:trPr>
        <w:tc>
          <w:tcPr>
            <w:tcW w:w="2948" w:type="dxa"/>
            <w:vAlign w:val="bottom"/>
          </w:tcPr>
          <w:p w14:paraId="07DBB79D"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131FAE8C"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177E04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EE44FE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7D9FC4E"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50B0F65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FE6E4F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7EB63AD"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2C5BAC4E" w14:textId="77777777" w:rsidR="008E5DE4" w:rsidRDefault="008E5DE4">
            <w:pPr>
              <w:widowControl w:val="0"/>
              <w:pBdr>
                <w:top w:val="nil"/>
                <w:left w:val="nil"/>
                <w:bottom w:val="nil"/>
                <w:right w:val="nil"/>
                <w:between w:val="nil"/>
              </w:pBdr>
              <w:jc w:val="right"/>
              <w:rPr>
                <w:color w:val="000000"/>
                <w:highlight w:val="green"/>
              </w:rPr>
            </w:pPr>
          </w:p>
        </w:tc>
      </w:tr>
      <w:tr w:rsidR="008E5DE4" w14:paraId="52A23C48" w14:textId="77777777">
        <w:trPr>
          <w:cantSplit/>
          <w:trHeight w:val="169"/>
        </w:trPr>
        <w:tc>
          <w:tcPr>
            <w:tcW w:w="2948" w:type="dxa"/>
            <w:vAlign w:val="bottom"/>
          </w:tcPr>
          <w:p w14:paraId="6B67756D"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7B10C0F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CC8CDC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E8B2EB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C8C4A78"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3D11C09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D159F3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189FCAF" w14:textId="77777777" w:rsidR="008E5DE4" w:rsidRDefault="008E5DE4">
            <w:pPr>
              <w:widowControl w:val="0"/>
              <w:pBdr>
                <w:top w:val="nil"/>
                <w:left w:val="nil"/>
                <w:bottom w:val="nil"/>
                <w:right w:val="nil"/>
                <w:between w:val="nil"/>
              </w:pBdr>
              <w:jc w:val="right"/>
              <w:rPr>
                <w:color w:val="000000"/>
                <w:highlight w:val="green"/>
              </w:rPr>
            </w:pPr>
          </w:p>
        </w:tc>
        <w:tc>
          <w:tcPr>
            <w:tcW w:w="676" w:type="dxa"/>
            <w:vAlign w:val="bottom"/>
          </w:tcPr>
          <w:p w14:paraId="55AFC194" w14:textId="77777777" w:rsidR="008E5DE4" w:rsidRDefault="008E5DE4">
            <w:pPr>
              <w:widowControl w:val="0"/>
              <w:pBdr>
                <w:top w:val="nil"/>
                <w:left w:val="nil"/>
                <w:bottom w:val="nil"/>
                <w:right w:val="nil"/>
                <w:between w:val="nil"/>
              </w:pBdr>
              <w:jc w:val="right"/>
              <w:rPr>
                <w:color w:val="000000"/>
                <w:highlight w:val="green"/>
              </w:rPr>
            </w:pPr>
          </w:p>
        </w:tc>
      </w:tr>
      <w:tr w:rsidR="008E5DE4" w14:paraId="001EAFBF" w14:textId="77777777">
        <w:trPr>
          <w:cantSplit/>
          <w:trHeight w:val="337"/>
        </w:trPr>
        <w:tc>
          <w:tcPr>
            <w:tcW w:w="2948" w:type="dxa"/>
            <w:vAlign w:val="bottom"/>
          </w:tcPr>
          <w:p w14:paraId="34EF771D"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61B96F0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1E50AB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AD866D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AEE42F1"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18ABC5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268368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3020DF4"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20DE02D0" w14:textId="77777777" w:rsidR="008E5DE4" w:rsidRDefault="008E5DE4">
            <w:pPr>
              <w:widowControl w:val="0"/>
              <w:pBdr>
                <w:top w:val="nil"/>
                <w:left w:val="nil"/>
                <w:bottom w:val="nil"/>
                <w:right w:val="nil"/>
                <w:between w:val="nil"/>
              </w:pBdr>
              <w:jc w:val="right"/>
              <w:rPr>
                <w:color w:val="000000"/>
              </w:rPr>
            </w:pPr>
          </w:p>
        </w:tc>
      </w:tr>
      <w:tr w:rsidR="008E5DE4" w14:paraId="308D6F68" w14:textId="77777777">
        <w:trPr>
          <w:cantSplit/>
          <w:trHeight w:val="231"/>
        </w:trPr>
        <w:tc>
          <w:tcPr>
            <w:tcW w:w="2948" w:type="dxa"/>
            <w:vAlign w:val="bottom"/>
          </w:tcPr>
          <w:p w14:paraId="3448DF1F"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6AA46C9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0E7049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9A915D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6B796E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C25B00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CDEE3A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DD00862"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40DE7077" w14:textId="77777777" w:rsidR="008E5DE4" w:rsidRDefault="008E5DE4">
            <w:pPr>
              <w:widowControl w:val="0"/>
              <w:pBdr>
                <w:top w:val="nil"/>
                <w:left w:val="nil"/>
                <w:bottom w:val="nil"/>
                <w:right w:val="nil"/>
                <w:between w:val="nil"/>
              </w:pBdr>
              <w:jc w:val="right"/>
              <w:rPr>
                <w:color w:val="000000"/>
              </w:rPr>
            </w:pPr>
          </w:p>
        </w:tc>
      </w:tr>
      <w:tr w:rsidR="008E5DE4" w14:paraId="2D937AC3" w14:textId="77777777">
        <w:trPr>
          <w:cantSplit/>
          <w:trHeight w:val="169"/>
        </w:trPr>
        <w:tc>
          <w:tcPr>
            <w:tcW w:w="2948" w:type="dxa"/>
            <w:tcBorders>
              <w:bottom w:val="single" w:sz="4" w:space="0" w:color="000000"/>
            </w:tcBorders>
            <w:vAlign w:val="bottom"/>
          </w:tcPr>
          <w:p w14:paraId="3CF7AB05"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0468A82D"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E08732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53690D5"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95F2A45"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52E592A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C38C93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98B4E8B" w14:textId="77777777" w:rsidR="008E5DE4" w:rsidRDefault="008E5DE4">
            <w:pPr>
              <w:widowControl w:val="0"/>
              <w:pBdr>
                <w:top w:val="nil"/>
                <w:left w:val="nil"/>
                <w:bottom w:val="nil"/>
                <w:right w:val="nil"/>
                <w:between w:val="nil"/>
              </w:pBdr>
              <w:jc w:val="right"/>
              <w:rPr>
                <w:color w:val="000000"/>
              </w:rPr>
            </w:pPr>
          </w:p>
        </w:tc>
        <w:tc>
          <w:tcPr>
            <w:tcW w:w="676" w:type="dxa"/>
            <w:tcBorders>
              <w:bottom w:val="single" w:sz="4" w:space="0" w:color="000000"/>
            </w:tcBorders>
            <w:vAlign w:val="bottom"/>
          </w:tcPr>
          <w:p w14:paraId="3050F9FF" w14:textId="77777777" w:rsidR="008E5DE4" w:rsidRDefault="008E5DE4">
            <w:pPr>
              <w:widowControl w:val="0"/>
              <w:pBdr>
                <w:top w:val="nil"/>
                <w:left w:val="nil"/>
                <w:bottom w:val="nil"/>
                <w:right w:val="nil"/>
                <w:between w:val="nil"/>
              </w:pBdr>
              <w:jc w:val="right"/>
              <w:rPr>
                <w:color w:val="000000"/>
              </w:rPr>
            </w:pPr>
          </w:p>
        </w:tc>
      </w:tr>
      <w:tr w:rsidR="008E5DE4" w14:paraId="26992000" w14:textId="77777777">
        <w:trPr>
          <w:cantSplit/>
          <w:trHeight w:val="169"/>
        </w:trPr>
        <w:tc>
          <w:tcPr>
            <w:tcW w:w="2948" w:type="dxa"/>
            <w:tcBorders>
              <w:top w:val="single" w:sz="4" w:space="0" w:color="000000"/>
            </w:tcBorders>
            <w:vAlign w:val="bottom"/>
          </w:tcPr>
          <w:p w14:paraId="0DD95D7D"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66E4454C"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5E4359F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8E00F88"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6C0BF55"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B78DB12"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6792E6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1F64910" w14:textId="77777777" w:rsidR="008E5DE4" w:rsidRDefault="008E5DE4">
            <w:pPr>
              <w:widowControl w:val="0"/>
              <w:pBdr>
                <w:top w:val="nil"/>
                <w:left w:val="nil"/>
                <w:bottom w:val="nil"/>
                <w:right w:val="nil"/>
                <w:between w:val="nil"/>
              </w:pBdr>
              <w:jc w:val="right"/>
              <w:rPr>
                <w:color w:val="000000"/>
              </w:rPr>
            </w:pPr>
          </w:p>
        </w:tc>
        <w:tc>
          <w:tcPr>
            <w:tcW w:w="676" w:type="dxa"/>
            <w:tcBorders>
              <w:top w:val="single" w:sz="4" w:space="0" w:color="000000"/>
            </w:tcBorders>
            <w:vAlign w:val="bottom"/>
          </w:tcPr>
          <w:p w14:paraId="005DB944" w14:textId="77777777" w:rsidR="008E5DE4" w:rsidRDefault="008E5DE4">
            <w:pPr>
              <w:widowControl w:val="0"/>
              <w:pBdr>
                <w:top w:val="nil"/>
                <w:left w:val="nil"/>
                <w:bottom w:val="nil"/>
                <w:right w:val="nil"/>
                <w:between w:val="nil"/>
              </w:pBdr>
              <w:jc w:val="right"/>
              <w:rPr>
                <w:color w:val="000000"/>
              </w:rPr>
            </w:pPr>
          </w:p>
        </w:tc>
      </w:tr>
      <w:tr w:rsidR="008E5DE4" w14:paraId="0E924573" w14:textId="77777777">
        <w:trPr>
          <w:cantSplit/>
          <w:trHeight w:val="169"/>
        </w:trPr>
        <w:tc>
          <w:tcPr>
            <w:tcW w:w="2948" w:type="dxa"/>
            <w:vAlign w:val="bottom"/>
          </w:tcPr>
          <w:p w14:paraId="5B6D5F9D" w14:textId="761102C3"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0DF9FA6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A09131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92F58D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86FFC03"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B23B2A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389163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D26379D" w14:textId="77777777" w:rsidR="008E5DE4" w:rsidRDefault="008E5DE4">
            <w:pPr>
              <w:widowControl w:val="0"/>
              <w:pBdr>
                <w:top w:val="nil"/>
                <w:left w:val="nil"/>
                <w:bottom w:val="nil"/>
                <w:right w:val="nil"/>
                <w:between w:val="nil"/>
              </w:pBdr>
              <w:jc w:val="right"/>
              <w:rPr>
                <w:color w:val="000000"/>
              </w:rPr>
            </w:pPr>
          </w:p>
        </w:tc>
        <w:tc>
          <w:tcPr>
            <w:tcW w:w="676" w:type="dxa"/>
            <w:vAlign w:val="bottom"/>
          </w:tcPr>
          <w:p w14:paraId="2E3050A3" w14:textId="77777777" w:rsidR="008E5DE4" w:rsidRDefault="008E5DE4">
            <w:pPr>
              <w:widowControl w:val="0"/>
              <w:pBdr>
                <w:top w:val="nil"/>
                <w:left w:val="nil"/>
                <w:bottom w:val="nil"/>
                <w:right w:val="nil"/>
                <w:between w:val="nil"/>
              </w:pBdr>
              <w:jc w:val="right"/>
              <w:rPr>
                <w:color w:val="000000"/>
              </w:rPr>
            </w:pPr>
          </w:p>
        </w:tc>
      </w:tr>
      <w:tr w:rsidR="008E5DE4" w14:paraId="75789522" w14:textId="77777777">
        <w:trPr>
          <w:cantSplit/>
          <w:trHeight w:val="169"/>
        </w:trPr>
        <w:tc>
          <w:tcPr>
            <w:tcW w:w="2948" w:type="dxa"/>
            <w:tcBorders>
              <w:bottom w:val="single" w:sz="12" w:space="0" w:color="000000"/>
            </w:tcBorders>
            <w:vAlign w:val="bottom"/>
          </w:tcPr>
          <w:p w14:paraId="1C7F0427"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4FCF088F"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54883F39"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09EE4F6B"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166969F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6512845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126AE6A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2A1E61BE" w14:textId="77777777" w:rsidR="008E5DE4" w:rsidRDefault="008E5DE4">
            <w:pPr>
              <w:widowControl w:val="0"/>
              <w:pBdr>
                <w:top w:val="nil"/>
                <w:left w:val="nil"/>
                <w:bottom w:val="nil"/>
                <w:right w:val="nil"/>
                <w:between w:val="nil"/>
              </w:pBdr>
              <w:jc w:val="right"/>
              <w:rPr>
                <w:color w:val="000000"/>
              </w:rPr>
            </w:pPr>
          </w:p>
        </w:tc>
        <w:tc>
          <w:tcPr>
            <w:tcW w:w="676" w:type="dxa"/>
            <w:tcBorders>
              <w:bottom w:val="single" w:sz="12" w:space="0" w:color="000000"/>
            </w:tcBorders>
            <w:vAlign w:val="bottom"/>
          </w:tcPr>
          <w:p w14:paraId="6A9872CA" w14:textId="77777777" w:rsidR="008E5DE4" w:rsidRDefault="008E5DE4">
            <w:pPr>
              <w:widowControl w:val="0"/>
              <w:pBdr>
                <w:top w:val="nil"/>
                <w:left w:val="nil"/>
                <w:bottom w:val="nil"/>
                <w:right w:val="nil"/>
                <w:between w:val="nil"/>
              </w:pBdr>
              <w:jc w:val="right"/>
              <w:rPr>
                <w:color w:val="000000"/>
              </w:rPr>
            </w:pPr>
          </w:p>
        </w:tc>
      </w:tr>
    </w:tbl>
    <w:p w14:paraId="2DFE2CD1"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0B0A2452" w14:textId="77777777" w:rsidR="008E5DE4" w:rsidRDefault="00780368">
      <w:pPr>
        <w:widowControl w:val="0"/>
        <w:spacing w:before="200" w:after="200" w:line="228" w:lineRule="auto"/>
        <w:rPr>
          <w:b/>
          <w:sz w:val="20"/>
          <w:szCs w:val="20"/>
        </w:rPr>
      </w:pPr>
      <w:r>
        <w:rPr>
          <w:b/>
          <w:sz w:val="20"/>
          <w:szCs w:val="20"/>
        </w:rPr>
        <w:t xml:space="preserve">(c) </w:t>
      </w:r>
      <w:r>
        <w:rPr>
          <w:b/>
          <w:sz w:val="20"/>
          <w:szCs w:val="20"/>
        </w:rPr>
        <w:tab/>
        <w:t>Investments in debt securities at AC</w:t>
      </w:r>
    </w:p>
    <w:p w14:paraId="1F2021D4" w14:textId="06E16935"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The following table contains an analysis of debt securities at AC by credit quality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based on credit risk grades and discloses the balances by three stages for the purpose of ECL measurement. Refer to Note 51 for the description of credit risk grading system used by the Group and the approach to ECL measurement, including the definition of default and SICR as applicable to debt securities at AC. The carrying amount of debt securities at AC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below also represents the Group's maximum exposure to credit risk on these assets:</w:t>
      </w:r>
    </w:p>
    <w:tbl>
      <w:tblPr>
        <w:tblStyle w:val="afffffff7"/>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44E1C216" w14:textId="77777777">
        <w:trPr>
          <w:cantSplit/>
          <w:tblHeader/>
        </w:trPr>
        <w:tc>
          <w:tcPr>
            <w:tcW w:w="3685" w:type="dxa"/>
            <w:tcBorders>
              <w:bottom w:val="single" w:sz="4" w:space="0" w:color="000000"/>
            </w:tcBorders>
            <w:vAlign w:val="bottom"/>
          </w:tcPr>
          <w:p w14:paraId="2EBE72CC"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134" w:type="dxa"/>
            <w:tcBorders>
              <w:bottom w:val="single" w:sz="4" w:space="0" w:color="000000"/>
            </w:tcBorders>
          </w:tcPr>
          <w:p w14:paraId="5B46B91A"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Stage 1 </w:t>
            </w:r>
          </w:p>
          <w:p w14:paraId="4337EEBD"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(12-months ECL)</w:t>
            </w:r>
          </w:p>
        </w:tc>
        <w:tc>
          <w:tcPr>
            <w:tcW w:w="1134" w:type="dxa"/>
            <w:tcBorders>
              <w:bottom w:val="single" w:sz="4" w:space="0" w:color="000000"/>
            </w:tcBorders>
          </w:tcPr>
          <w:p w14:paraId="53CEAFC3"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3B39A348"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(lifetime ECL for SICR) </w:t>
            </w:r>
          </w:p>
        </w:tc>
        <w:tc>
          <w:tcPr>
            <w:tcW w:w="1134" w:type="dxa"/>
            <w:tcBorders>
              <w:bottom w:val="single" w:sz="4" w:space="0" w:color="000000"/>
            </w:tcBorders>
          </w:tcPr>
          <w:p w14:paraId="2D39DA06"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F6DDBFE"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(lifetime ECL for credit im-paired)</w:t>
            </w:r>
          </w:p>
        </w:tc>
        <w:tc>
          <w:tcPr>
            <w:tcW w:w="1134" w:type="dxa"/>
            <w:tcBorders>
              <w:bottom w:val="single" w:sz="4" w:space="0" w:color="000000"/>
            </w:tcBorders>
          </w:tcPr>
          <w:p w14:paraId="549D6182"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POCI</w:t>
            </w:r>
          </w:p>
        </w:tc>
        <w:tc>
          <w:tcPr>
            <w:tcW w:w="1134" w:type="dxa"/>
            <w:tcBorders>
              <w:bottom w:val="single" w:sz="4" w:space="0" w:color="000000"/>
            </w:tcBorders>
          </w:tcPr>
          <w:p w14:paraId="34B2A7F2"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r>
      <w:tr w:rsidR="008E5DE4" w14:paraId="3B05C9BC" w14:textId="77777777">
        <w:trPr>
          <w:cantSplit/>
          <w:tblHeader/>
        </w:trPr>
        <w:tc>
          <w:tcPr>
            <w:tcW w:w="3685" w:type="dxa"/>
            <w:vAlign w:val="bottom"/>
          </w:tcPr>
          <w:p w14:paraId="23DF914C" w14:textId="77777777" w:rsidR="008E5DE4" w:rsidRDefault="008E5DE4">
            <w:pPr>
              <w:widowControl w:val="0"/>
              <w:spacing w:line="228" w:lineRule="auto"/>
              <w:ind w:left="113" w:right="-57" w:hanging="113"/>
            </w:pPr>
          </w:p>
        </w:tc>
        <w:tc>
          <w:tcPr>
            <w:tcW w:w="1134" w:type="dxa"/>
            <w:vAlign w:val="bottom"/>
          </w:tcPr>
          <w:p w14:paraId="52D5D92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0F80D5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723FB6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A71492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710652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AE20025" w14:textId="77777777">
        <w:trPr>
          <w:cantSplit/>
        </w:trPr>
        <w:tc>
          <w:tcPr>
            <w:tcW w:w="3685" w:type="dxa"/>
            <w:vAlign w:val="bottom"/>
          </w:tcPr>
          <w:p w14:paraId="68190417"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FF"/>
              </w:rPr>
              <w:t>[</w:t>
            </w:r>
            <w:r>
              <w:rPr>
                <w:b/>
                <w:i/>
                <w:color w:val="0000FF"/>
              </w:rPr>
              <w:t>Country]</w:t>
            </w:r>
            <w:r>
              <w:rPr>
                <w:b/>
                <w:i/>
                <w:color w:val="000000"/>
              </w:rPr>
              <w:t xml:space="preserve"> government bonds</w:t>
            </w:r>
          </w:p>
        </w:tc>
        <w:tc>
          <w:tcPr>
            <w:tcW w:w="1134" w:type="dxa"/>
            <w:vAlign w:val="bottom"/>
          </w:tcPr>
          <w:p w14:paraId="22BEDB8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EF940A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B31583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F12669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FF6673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02E6D0B" w14:textId="77777777">
        <w:trPr>
          <w:cantSplit/>
        </w:trPr>
        <w:tc>
          <w:tcPr>
            <w:tcW w:w="3685" w:type="dxa"/>
            <w:vAlign w:val="bottom"/>
          </w:tcPr>
          <w:p w14:paraId="3B2C6595"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Excellent</w:t>
            </w:r>
          </w:p>
        </w:tc>
        <w:tc>
          <w:tcPr>
            <w:tcW w:w="1134" w:type="dxa"/>
            <w:vAlign w:val="bottom"/>
          </w:tcPr>
          <w:p w14:paraId="3141CC5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447E1F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4B4B6D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3D653F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05FA44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B8EE1EC" w14:textId="77777777">
        <w:trPr>
          <w:cantSplit/>
        </w:trPr>
        <w:tc>
          <w:tcPr>
            <w:tcW w:w="3685" w:type="dxa"/>
            <w:vAlign w:val="bottom"/>
          </w:tcPr>
          <w:p w14:paraId="401A27BF"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Good</w:t>
            </w:r>
          </w:p>
        </w:tc>
        <w:tc>
          <w:tcPr>
            <w:tcW w:w="1134" w:type="dxa"/>
            <w:vAlign w:val="bottom"/>
          </w:tcPr>
          <w:p w14:paraId="4673B01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F36424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F9AAB2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BA440C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755A45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47F037C" w14:textId="77777777">
        <w:trPr>
          <w:cantSplit/>
        </w:trPr>
        <w:tc>
          <w:tcPr>
            <w:tcW w:w="3685" w:type="dxa"/>
            <w:vAlign w:val="bottom"/>
          </w:tcPr>
          <w:p w14:paraId="037DCA51"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Satisfactory</w:t>
            </w:r>
          </w:p>
        </w:tc>
        <w:tc>
          <w:tcPr>
            <w:tcW w:w="1134" w:type="dxa"/>
            <w:vAlign w:val="bottom"/>
          </w:tcPr>
          <w:p w14:paraId="0BC7460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6D5D0F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3BE281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115A39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631EDD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8215C66" w14:textId="77777777">
        <w:trPr>
          <w:cantSplit/>
        </w:trPr>
        <w:tc>
          <w:tcPr>
            <w:tcW w:w="3685" w:type="dxa"/>
            <w:tcBorders>
              <w:bottom w:val="single" w:sz="4" w:space="0" w:color="000000"/>
            </w:tcBorders>
            <w:vAlign w:val="bottom"/>
          </w:tcPr>
          <w:p w14:paraId="77B5A1D5"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0E0E56E7"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4" w:space="0" w:color="000000"/>
            </w:tcBorders>
            <w:vAlign w:val="bottom"/>
          </w:tcPr>
          <w:p w14:paraId="57288C6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499EEC8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0E5288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2251687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1A10743" w14:textId="77777777">
        <w:trPr>
          <w:cantSplit/>
        </w:trPr>
        <w:tc>
          <w:tcPr>
            <w:tcW w:w="3685" w:type="dxa"/>
            <w:tcBorders>
              <w:top w:val="single" w:sz="4" w:space="0" w:color="000000"/>
            </w:tcBorders>
            <w:vAlign w:val="bottom"/>
          </w:tcPr>
          <w:p w14:paraId="22E26D41"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638612E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99116C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E23430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69CF5DF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355120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B651379" w14:textId="77777777">
        <w:trPr>
          <w:cantSplit/>
        </w:trPr>
        <w:tc>
          <w:tcPr>
            <w:tcW w:w="3685" w:type="dxa"/>
            <w:vAlign w:val="bottom"/>
          </w:tcPr>
          <w:p w14:paraId="19A046B8"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Gross carrying amount</w:t>
            </w:r>
          </w:p>
        </w:tc>
        <w:tc>
          <w:tcPr>
            <w:tcW w:w="1134" w:type="dxa"/>
            <w:vAlign w:val="bottom"/>
          </w:tcPr>
          <w:p w14:paraId="34C5CF3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3AB7C8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4D5662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9BCC83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A59A03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3BCEE0B" w14:textId="77777777">
        <w:trPr>
          <w:cantSplit/>
        </w:trPr>
        <w:tc>
          <w:tcPr>
            <w:tcW w:w="3685" w:type="dxa"/>
            <w:tcBorders>
              <w:bottom w:val="single" w:sz="4" w:space="0" w:color="000000"/>
            </w:tcBorders>
            <w:vAlign w:val="bottom"/>
          </w:tcPr>
          <w:p w14:paraId="7FA8D9D7"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0BB9FD3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9335D2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428A646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523ADAB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36E4D49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55F4544" w14:textId="77777777">
        <w:trPr>
          <w:cantSplit/>
        </w:trPr>
        <w:tc>
          <w:tcPr>
            <w:tcW w:w="3685" w:type="dxa"/>
            <w:tcBorders>
              <w:top w:val="single" w:sz="4" w:space="0" w:color="000000"/>
            </w:tcBorders>
            <w:vAlign w:val="bottom"/>
          </w:tcPr>
          <w:p w14:paraId="0204C429"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0BE61A29"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1586526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D13995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3EE731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DC1F84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4FFB3DA" w14:textId="77777777">
        <w:trPr>
          <w:cantSplit/>
        </w:trPr>
        <w:tc>
          <w:tcPr>
            <w:tcW w:w="3685" w:type="dxa"/>
            <w:vAlign w:val="bottom"/>
          </w:tcPr>
          <w:p w14:paraId="02F10A7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Credit loss allowance</w:t>
            </w:r>
          </w:p>
        </w:tc>
        <w:tc>
          <w:tcPr>
            <w:tcW w:w="1134" w:type="dxa"/>
            <w:vAlign w:val="bottom"/>
          </w:tcPr>
          <w:p w14:paraId="742B12A7"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33777CF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A01061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453605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DA3EE7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FDE1F12" w14:textId="77777777">
        <w:trPr>
          <w:cantSplit/>
        </w:trPr>
        <w:tc>
          <w:tcPr>
            <w:tcW w:w="3685" w:type="dxa"/>
            <w:vAlign w:val="bottom"/>
          </w:tcPr>
          <w:p w14:paraId="20A398A0"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vAlign w:val="bottom"/>
          </w:tcPr>
          <w:p w14:paraId="3F22F137"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3A8CA29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045A1D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A5E970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9D51D9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FCA142E" w14:textId="77777777">
        <w:trPr>
          <w:cantSplit/>
        </w:trPr>
        <w:tc>
          <w:tcPr>
            <w:tcW w:w="3685" w:type="dxa"/>
            <w:tcBorders>
              <w:top w:val="single" w:sz="4" w:space="0" w:color="000000"/>
            </w:tcBorders>
            <w:vAlign w:val="bottom"/>
          </w:tcPr>
          <w:p w14:paraId="375AEC3A"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36253C1F"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4D803CF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BAEAE8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76B88F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371CCC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0CCF60E" w14:textId="77777777">
        <w:trPr>
          <w:cantSplit/>
        </w:trPr>
        <w:tc>
          <w:tcPr>
            <w:tcW w:w="3685" w:type="dxa"/>
            <w:vAlign w:val="bottom"/>
          </w:tcPr>
          <w:p w14:paraId="06752EC3"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Carrying amount</w:t>
            </w:r>
          </w:p>
        </w:tc>
        <w:tc>
          <w:tcPr>
            <w:tcW w:w="1134" w:type="dxa"/>
            <w:vAlign w:val="bottom"/>
          </w:tcPr>
          <w:p w14:paraId="588FA0AA"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191391F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ED2B1E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3FECAB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0B3E7B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EF55A4D" w14:textId="77777777">
        <w:trPr>
          <w:cantSplit/>
        </w:trPr>
        <w:tc>
          <w:tcPr>
            <w:tcW w:w="3685" w:type="dxa"/>
            <w:tcBorders>
              <w:bottom w:val="single" w:sz="12" w:space="0" w:color="000000"/>
            </w:tcBorders>
            <w:vAlign w:val="bottom"/>
          </w:tcPr>
          <w:p w14:paraId="52082EC2"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12" w:space="0" w:color="000000"/>
            </w:tcBorders>
            <w:vAlign w:val="bottom"/>
          </w:tcPr>
          <w:p w14:paraId="1EF6A0BF"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12" w:space="0" w:color="000000"/>
            </w:tcBorders>
            <w:vAlign w:val="bottom"/>
          </w:tcPr>
          <w:p w14:paraId="76817D4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60AFE7F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5763644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1B0A8DF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1293DC2" w14:textId="77777777">
        <w:trPr>
          <w:cantSplit/>
        </w:trPr>
        <w:tc>
          <w:tcPr>
            <w:tcW w:w="3685" w:type="dxa"/>
            <w:tcBorders>
              <w:top w:val="single" w:sz="12" w:space="0" w:color="000000"/>
            </w:tcBorders>
            <w:vAlign w:val="bottom"/>
          </w:tcPr>
          <w:p w14:paraId="25963BCD" w14:textId="77777777" w:rsidR="008E5DE4" w:rsidRDefault="008E5DE4">
            <w:pPr>
              <w:widowControl w:val="0"/>
              <w:pBdr>
                <w:top w:val="nil"/>
                <w:left w:val="nil"/>
                <w:bottom w:val="nil"/>
                <w:right w:val="nil"/>
                <w:between w:val="nil"/>
              </w:pBdr>
              <w:ind w:left="113" w:right="-57" w:hanging="113"/>
              <w:rPr>
                <w:b/>
                <w:i/>
                <w:color w:val="000000"/>
              </w:rPr>
            </w:pPr>
          </w:p>
        </w:tc>
        <w:tc>
          <w:tcPr>
            <w:tcW w:w="1134" w:type="dxa"/>
            <w:tcBorders>
              <w:top w:val="single" w:sz="12" w:space="0" w:color="000000"/>
            </w:tcBorders>
            <w:vAlign w:val="bottom"/>
          </w:tcPr>
          <w:p w14:paraId="0F80FCD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626FB37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7245D33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7BC5F5F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747B16DE" w14:textId="77777777" w:rsidR="008E5DE4" w:rsidRDefault="008E5DE4">
            <w:pPr>
              <w:widowControl w:val="0"/>
              <w:pBdr>
                <w:top w:val="nil"/>
                <w:left w:val="nil"/>
                <w:bottom w:val="nil"/>
                <w:right w:val="nil"/>
                <w:between w:val="nil"/>
              </w:pBdr>
              <w:jc w:val="right"/>
              <w:rPr>
                <w:color w:val="000000"/>
              </w:rPr>
            </w:pPr>
          </w:p>
        </w:tc>
      </w:tr>
      <w:tr w:rsidR="008E5DE4" w14:paraId="7FDEC0AB" w14:textId="77777777">
        <w:trPr>
          <w:cantSplit/>
        </w:trPr>
        <w:tc>
          <w:tcPr>
            <w:tcW w:w="3685" w:type="dxa"/>
            <w:vAlign w:val="bottom"/>
          </w:tcPr>
          <w:p w14:paraId="1632FFBD" w14:textId="77777777" w:rsidR="008E5DE4" w:rsidRDefault="00780368">
            <w:pPr>
              <w:widowControl w:val="0"/>
              <w:pBdr>
                <w:top w:val="nil"/>
                <w:left w:val="nil"/>
                <w:bottom w:val="nil"/>
                <w:right w:val="nil"/>
                <w:between w:val="nil"/>
              </w:pBdr>
              <w:ind w:left="113" w:right="-57" w:hanging="113"/>
              <w:rPr>
                <w:b/>
                <w:color w:val="000000"/>
              </w:rPr>
            </w:pPr>
            <w:r>
              <w:rPr>
                <w:b/>
                <w:i/>
                <w:color w:val="000000"/>
              </w:rPr>
              <w:t>Municipal bonds</w:t>
            </w:r>
          </w:p>
        </w:tc>
        <w:tc>
          <w:tcPr>
            <w:tcW w:w="1134" w:type="dxa"/>
            <w:vAlign w:val="bottom"/>
          </w:tcPr>
          <w:p w14:paraId="3D89BB5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7E4F5F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5BCB3C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4A028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950E7F1" w14:textId="77777777" w:rsidR="008E5DE4" w:rsidRDefault="008E5DE4">
            <w:pPr>
              <w:widowControl w:val="0"/>
              <w:pBdr>
                <w:top w:val="nil"/>
                <w:left w:val="nil"/>
                <w:bottom w:val="nil"/>
                <w:right w:val="nil"/>
                <w:between w:val="nil"/>
              </w:pBdr>
              <w:jc w:val="right"/>
              <w:rPr>
                <w:color w:val="000000"/>
              </w:rPr>
            </w:pPr>
          </w:p>
        </w:tc>
      </w:tr>
      <w:tr w:rsidR="008E5DE4" w14:paraId="51CE0E1A" w14:textId="77777777">
        <w:trPr>
          <w:cantSplit/>
        </w:trPr>
        <w:tc>
          <w:tcPr>
            <w:tcW w:w="3685" w:type="dxa"/>
            <w:vAlign w:val="bottom"/>
          </w:tcPr>
          <w:p w14:paraId="1F926233"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4DCDFE9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2ACCC4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26CA4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D2B5FC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4057E61" w14:textId="77777777" w:rsidR="008E5DE4" w:rsidRDefault="008E5DE4">
            <w:pPr>
              <w:widowControl w:val="0"/>
              <w:pBdr>
                <w:top w:val="nil"/>
                <w:left w:val="nil"/>
                <w:bottom w:val="nil"/>
                <w:right w:val="nil"/>
                <w:between w:val="nil"/>
              </w:pBdr>
              <w:jc w:val="right"/>
              <w:rPr>
                <w:color w:val="000000"/>
              </w:rPr>
            </w:pPr>
          </w:p>
        </w:tc>
      </w:tr>
      <w:tr w:rsidR="008E5DE4" w14:paraId="5E7B8BBA" w14:textId="77777777">
        <w:trPr>
          <w:cantSplit/>
        </w:trPr>
        <w:tc>
          <w:tcPr>
            <w:tcW w:w="3685" w:type="dxa"/>
            <w:vAlign w:val="bottom"/>
          </w:tcPr>
          <w:p w14:paraId="68FFE47E"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3BEDA8F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776DFF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7C073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F2C963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C8B1398" w14:textId="77777777" w:rsidR="008E5DE4" w:rsidRDefault="008E5DE4">
            <w:pPr>
              <w:widowControl w:val="0"/>
              <w:pBdr>
                <w:top w:val="nil"/>
                <w:left w:val="nil"/>
                <w:bottom w:val="nil"/>
                <w:right w:val="nil"/>
                <w:between w:val="nil"/>
              </w:pBdr>
              <w:jc w:val="right"/>
              <w:rPr>
                <w:color w:val="000000"/>
              </w:rPr>
            </w:pPr>
          </w:p>
        </w:tc>
      </w:tr>
      <w:tr w:rsidR="008E5DE4" w14:paraId="058F10DF" w14:textId="77777777">
        <w:trPr>
          <w:cantSplit/>
        </w:trPr>
        <w:tc>
          <w:tcPr>
            <w:tcW w:w="3685" w:type="dxa"/>
            <w:vAlign w:val="bottom"/>
          </w:tcPr>
          <w:p w14:paraId="44AC52C9"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21F0B84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ADAF5D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D15A50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268BD4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7334947" w14:textId="77777777" w:rsidR="008E5DE4" w:rsidRDefault="008E5DE4">
            <w:pPr>
              <w:widowControl w:val="0"/>
              <w:pBdr>
                <w:top w:val="nil"/>
                <w:left w:val="nil"/>
                <w:bottom w:val="nil"/>
                <w:right w:val="nil"/>
                <w:between w:val="nil"/>
              </w:pBdr>
              <w:jc w:val="right"/>
              <w:rPr>
                <w:color w:val="000000"/>
              </w:rPr>
            </w:pPr>
          </w:p>
        </w:tc>
      </w:tr>
      <w:tr w:rsidR="008E5DE4" w14:paraId="64355A1C" w14:textId="77777777">
        <w:trPr>
          <w:cantSplit/>
        </w:trPr>
        <w:tc>
          <w:tcPr>
            <w:tcW w:w="3685" w:type="dxa"/>
            <w:vAlign w:val="bottom"/>
          </w:tcPr>
          <w:p w14:paraId="5C86FA06"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4132AF2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76C92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10CB4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752DC9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E4CA66" w14:textId="77777777" w:rsidR="008E5DE4" w:rsidRDefault="008E5DE4">
            <w:pPr>
              <w:widowControl w:val="0"/>
              <w:pBdr>
                <w:top w:val="nil"/>
                <w:left w:val="nil"/>
                <w:bottom w:val="nil"/>
                <w:right w:val="nil"/>
                <w:between w:val="nil"/>
              </w:pBdr>
              <w:jc w:val="right"/>
              <w:rPr>
                <w:color w:val="000000"/>
              </w:rPr>
            </w:pPr>
          </w:p>
        </w:tc>
      </w:tr>
      <w:tr w:rsidR="008E5DE4" w14:paraId="159EE028" w14:textId="77777777">
        <w:trPr>
          <w:cantSplit/>
        </w:trPr>
        <w:tc>
          <w:tcPr>
            <w:tcW w:w="3685" w:type="dxa"/>
            <w:vAlign w:val="bottom"/>
          </w:tcPr>
          <w:p w14:paraId="6DCEC0B5" w14:textId="77777777" w:rsidR="008E5DE4" w:rsidRDefault="00780368">
            <w:pPr>
              <w:widowControl w:val="0"/>
              <w:pBdr>
                <w:top w:val="nil"/>
                <w:left w:val="nil"/>
                <w:bottom w:val="nil"/>
                <w:right w:val="nil"/>
                <w:between w:val="nil"/>
              </w:pBdr>
              <w:ind w:left="113" w:right="-57" w:hanging="113"/>
              <w:rPr>
                <w:color w:val="0000FF"/>
              </w:rPr>
            </w:pPr>
            <w:r>
              <w:rPr>
                <w:color w:val="000000"/>
              </w:rPr>
              <w:t>- Default</w:t>
            </w:r>
          </w:p>
        </w:tc>
        <w:tc>
          <w:tcPr>
            <w:tcW w:w="1134" w:type="dxa"/>
            <w:vAlign w:val="bottom"/>
          </w:tcPr>
          <w:p w14:paraId="2FC3D19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4BA49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EF5BA1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3F1465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248212" w14:textId="77777777" w:rsidR="008E5DE4" w:rsidRDefault="008E5DE4">
            <w:pPr>
              <w:widowControl w:val="0"/>
              <w:pBdr>
                <w:top w:val="nil"/>
                <w:left w:val="nil"/>
                <w:bottom w:val="nil"/>
                <w:right w:val="nil"/>
                <w:between w:val="nil"/>
              </w:pBdr>
              <w:jc w:val="right"/>
              <w:rPr>
                <w:color w:val="000000"/>
              </w:rPr>
            </w:pPr>
          </w:p>
        </w:tc>
      </w:tr>
      <w:tr w:rsidR="008E5DE4" w14:paraId="35BEBFE9" w14:textId="77777777">
        <w:trPr>
          <w:cantSplit/>
        </w:trPr>
        <w:tc>
          <w:tcPr>
            <w:tcW w:w="3685" w:type="dxa"/>
            <w:tcBorders>
              <w:bottom w:val="single" w:sz="4" w:space="0" w:color="000000"/>
            </w:tcBorders>
            <w:vAlign w:val="bottom"/>
          </w:tcPr>
          <w:p w14:paraId="0B0A1C6D"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1DF1366D"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49C1A93F"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586B1D3"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B60C09F"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9CA6CDB" w14:textId="77777777" w:rsidR="008E5DE4" w:rsidRDefault="008E5DE4">
            <w:pPr>
              <w:widowControl w:val="0"/>
              <w:pBdr>
                <w:top w:val="nil"/>
                <w:left w:val="nil"/>
                <w:bottom w:val="nil"/>
                <w:right w:val="nil"/>
                <w:between w:val="nil"/>
              </w:pBdr>
              <w:jc w:val="right"/>
              <w:rPr>
                <w:color w:val="000000"/>
              </w:rPr>
            </w:pPr>
          </w:p>
        </w:tc>
      </w:tr>
      <w:tr w:rsidR="008E5DE4" w14:paraId="3CFE5709" w14:textId="77777777">
        <w:trPr>
          <w:cantSplit/>
        </w:trPr>
        <w:tc>
          <w:tcPr>
            <w:tcW w:w="3685" w:type="dxa"/>
            <w:tcBorders>
              <w:top w:val="single" w:sz="4" w:space="0" w:color="000000"/>
            </w:tcBorders>
            <w:vAlign w:val="bottom"/>
          </w:tcPr>
          <w:p w14:paraId="71D529E1"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19B48D9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EA855E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AF3A74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0642E8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E599037" w14:textId="77777777" w:rsidR="008E5DE4" w:rsidRDefault="008E5DE4">
            <w:pPr>
              <w:widowControl w:val="0"/>
              <w:pBdr>
                <w:top w:val="nil"/>
                <w:left w:val="nil"/>
                <w:bottom w:val="nil"/>
                <w:right w:val="nil"/>
                <w:between w:val="nil"/>
              </w:pBdr>
              <w:jc w:val="right"/>
              <w:rPr>
                <w:color w:val="000000"/>
              </w:rPr>
            </w:pPr>
          </w:p>
        </w:tc>
      </w:tr>
      <w:tr w:rsidR="008E5DE4" w14:paraId="3A2130DC" w14:textId="77777777">
        <w:trPr>
          <w:cantSplit/>
        </w:trPr>
        <w:tc>
          <w:tcPr>
            <w:tcW w:w="3685" w:type="dxa"/>
            <w:vAlign w:val="bottom"/>
          </w:tcPr>
          <w:p w14:paraId="045DD1EF" w14:textId="77777777" w:rsidR="008E5DE4" w:rsidRDefault="00780368">
            <w:pPr>
              <w:widowControl w:val="0"/>
              <w:pBdr>
                <w:top w:val="nil"/>
                <w:left w:val="nil"/>
                <w:bottom w:val="nil"/>
                <w:right w:val="nil"/>
                <w:between w:val="nil"/>
              </w:pBdr>
              <w:ind w:left="113" w:right="-57" w:hanging="113"/>
              <w:rPr>
                <w:b/>
                <w:color w:val="000000"/>
              </w:rPr>
            </w:pPr>
            <w:r>
              <w:rPr>
                <w:b/>
                <w:color w:val="000000"/>
              </w:rPr>
              <w:t>Gross carrying amount</w:t>
            </w:r>
          </w:p>
        </w:tc>
        <w:tc>
          <w:tcPr>
            <w:tcW w:w="1134" w:type="dxa"/>
            <w:vAlign w:val="bottom"/>
          </w:tcPr>
          <w:p w14:paraId="1E4B734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F91254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501C7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261BF6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F7A927" w14:textId="77777777" w:rsidR="008E5DE4" w:rsidRDefault="008E5DE4">
            <w:pPr>
              <w:widowControl w:val="0"/>
              <w:pBdr>
                <w:top w:val="nil"/>
                <w:left w:val="nil"/>
                <w:bottom w:val="nil"/>
                <w:right w:val="nil"/>
                <w:between w:val="nil"/>
              </w:pBdr>
              <w:jc w:val="right"/>
              <w:rPr>
                <w:color w:val="000000"/>
              </w:rPr>
            </w:pPr>
          </w:p>
        </w:tc>
      </w:tr>
      <w:tr w:rsidR="008E5DE4" w14:paraId="4FE0B90A" w14:textId="77777777">
        <w:trPr>
          <w:cantSplit/>
        </w:trPr>
        <w:tc>
          <w:tcPr>
            <w:tcW w:w="3685" w:type="dxa"/>
            <w:tcBorders>
              <w:bottom w:val="single" w:sz="4" w:space="0" w:color="000000"/>
            </w:tcBorders>
            <w:vAlign w:val="bottom"/>
          </w:tcPr>
          <w:p w14:paraId="265C2CC8"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392ECBB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34A549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59C23A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20FE49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6C0DCBB" w14:textId="77777777" w:rsidR="008E5DE4" w:rsidRDefault="008E5DE4">
            <w:pPr>
              <w:widowControl w:val="0"/>
              <w:pBdr>
                <w:top w:val="nil"/>
                <w:left w:val="nil"/>
                <w:bottom w:val="nil"/>
                <w:right w:val="nil"/>
                <w:between w:val="nil"/>
              </w:pBdr>
              <w:jc w:val="right"/>
              <w:rPr>
                <w:color w:val="000000"/>
              </w:rPr>
            </w:pPr>
          </w:p>
        </w:tc>
      </w:tr>
      <w:tr w:rsidR="008E5DE4" w14:paraId="1894F73E" w14:textId="77777777">
        <w:trPr>
          <w:cantSplit/>
        </w:trPr>
        <w:tc>
          <w:tcPr>
            <w:tcW w:w="3685" w:type="dxa"/>
            <w:tcBorders>
              <w:top w:val="single" w:sz="4" w:space="0" w:color="000000"/>
            </w:tcBorders>
            <w:vAlign w:val="bottom"/>
          </w:tcPr>
          <w:p w14:paraId="7B279CEE"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9BC50AB"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086F93D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B87E2F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71B169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53E782C" w14:textId="77777777" w:rsidR="008E5DE4" w:rsidRDefault="008E5DE4">
            <w:pPr>
              <w:widowControl w:val="0"/>
              <w:pBdr>
                <w:top w:val="nil"/>
                <w:left w:val="nil"/>
                <w:bottom w:val="nil"/>
                <w:right w:val="nil"/>
                <w:between w:val="nil"/>
              </w:pBdr>
              <w:jc w:val="right"/>
              <w:rPr>
                <w:color w:val="000000"/>
              </w:rPr>
            </w:pPr>
          </w:p>
        </w:tc>
      </w:tr>
      <w:tr w:rsidR="008E5DE4" w14:paraId="598293C9" w14:textId="77777777">
        <w:trPr>
          <w:cantSplit/>
        </w:trPr>
        <w:tc>
          <w:tcPr>
            <w:tcW w:w="3685" w:type="dxa"/>
            <w:vAlign w:val="bottom"/>
          </w:tcPr>
          <w:p w14:paraId="25DDD566"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34" w:type="dxa"/>
            <w:vAlign w:val="bottom"/>
          </w:tcPr>
          <w:p w14:paraId="4A5075A8" w14:textId="77777777" w:rsidR="008E5DE4" w:rsidRDefault="008E5DE4">
            <w:pPr>
              <w:widowControl w:val="0"/>
              <w:pBdr>
                <w:top w:val="nil"/>
                <w:left w:val="nil"/>
                <w:bottom w:val="nil"/>
                <w:right w:val="nil"/>
                <w:between w:val="nil"/>
              </w:pBdr>
              <w:rPr>
                <w:color w:val="000000"/>
              </w:rPr>
            </w:pPr>
          </w:p>
        </w:tc>
        <w:tc>
          <w:tcPr>
            <w:tcW w:w="1134" w:type="dxa"/>
            <w:vAlign w:val="bottom"/>
          </w:tcPr>
          <w:p w14:paraId="0BBE927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04957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FE6308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CE1478C" w14:textId="77777777" w:rsidR="008E5DE4" w:rsidRDefault="008E5DE4">
            <w:pPr>
              <w:widowControl w:val="0"/>
              <w:pBdr>
                <w:top w:val="nil"/>
                <w:left w:val="nil"/>
                <w:bottom w:val="nil"/>
                <w:right w:val="nil"/>
                <w:between w:val="nil"/>
              </w:pBdr>
              <w:jc w:val="right"/>
              <w:rPr>
                <w:color w:val="000000"/>
              </w:rPr>
            </w:pPr>
          </w:p>
        </w:tc>
      </w:tr>
      <w:tr w:rsidR="008E5DE4" w14:paraId="20F6A461" w14:textId="77777777">
        <w:trPr>
          <w:cantSplit/>
        </w:trPr>
        <w:tc>
          <w:tcPr>
            <w:tcW w:w="3685" w:type="dxa"/>
            <w:vAlign w:val="bottom"/>
          </w:tcPr>
          <w:p w14:paraId="016C5C44"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351C52CD" w14:textId="77777777" w:rsidR="008E5DE4" w:rsidRDefault="008E5DE4">
            <w:pPr>
              <w:widowControl w:val="0"/>
              <w:pBdr>
                <w:top w:val="nil"/>
                <w:left w:val="nil"/>
                <w:bottom w:val="nil"/>
                <w:right w:val="nil"/>
                <w:between w:val="nil"/>
              </w:pBdr>
              <w:rPr>
                <w:color w:val="000000"/>
              </w:rPr>
            </w:pPr>
          </w:p>
        </w:tc>
        <w:tc>
          <w:tcPr>
            <w:tcW w:w="1134" w:type="dxa"/>
            <w:vAlign w:val="bottom"/>
          </w:tcPr>
          <w:p w14:paraId="1AA161D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33FCA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170EFB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4AA366C" w14:textId="77777777" w:rsidR="008E5DE4" w:rsidRDefault="008E5DE4">
            <w:pPr>
              <w:widowControl w:val="0"/>
              <w:pBdr>
                <w:top w:val="nil"/>
                <w:left w:val="nil"/>
                <w:bottom w:val="nil"/>
                <w:right w:val="nil"/>
                <w:between w:val="nil"/>
              </w:pBdr>
              <w:jc w:val="right"/>
              <w:rPr>
                <w:color w:val="000000"/>
              </w:rPr>
            </w:pPr>
          </w:p>
        </w:tc>
      </w:tr>
      <w:tr w:rsidR="008E5DE4" w14:paraId="32066DBC" w14:textId="77777777">
        <w:trPr>
          <w:cantSplit/>
        </w:trPr>
        <w:tc>
          <w:tcPr>
            <w:tcW w:w="3685" w:type="dxa"/>
            <w:tcBorders>
              <w:top w:val="single" w:sz="4" w:space="0" w:color="000000"/>
            </w:tcBorders>
            <w:vAlign w:val="bottom"/>
          </w:tcPr>
          <w:p w14:paraId="310CDA3B"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551CDDBA"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4F730FA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C2D10E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7EF2CF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D9CC38A" w14:textId="77777777" w:rsidR="008E5DE4" w:rsidRDefault="008E5DE4">
            <w:pPr>
              <w:widowControl w:val="0"/>
              <w:pBdr>
                <w:top w:val="nil"/>
                <w:left w:val="nil"/>
                <w:bottom w:val="nil"/>
                <w:right w:val="nil"/>
                <w:between w:val="nil"/>
              </w:pBdr>
              <w:jc w:val="right"/>
              <w:rPr>
                <w:color w:val="000000"/>
              </w:rPr>
            </w:pPr>
          </w:p>
        </w:tc>
      </w:tr>
      <w:tr w:rsidR="008E5DE4" w14:paraId="0C54E0B0" w14:textId="77777777">
        <w:trPr>
          <w:cantSplit/>
        </w:trPr>
        <w:tc>
          <w:tcPr>
            <w:tcW w:w="3685" w:type="dxa"/>
            <w:vAlign w:val="bottom"/>
          </w:tcPr>
          <w:p w14:paraId="3BAC8EA7" w14:textId="77777777" w:rsidR="008E5DE4" w:rsidRDefault="00780368">
            <w:pPr>
              <w:widowControl w:val="0"/>
              <w:pBdr>
                <w:top w:val="nil"/>
                <w:left w:val="nil"/>
                <w:bottom w:val="nil"/>
                <w:right w:val="nil"/>
                <w:between w:val="nil"/>
              </w:pBdr>
              <w:ind w:left="113" w:right="-57" w:hanging="113"/>
              <w:rPr>
                <w:b/>
                <w:color w:val="000000"/>
              </w:rPr>
            </w:pPr>
            <w:r>
              <w:rPr>
                <w:b/>
                <w:color w:val="000000"/>
              </w:rPr>
              <w:t>Carrying amount</w:t>
            </w:r>
          </w:p>
        </w:tc>
        <w:tc>
          <w:tcPr>
            <w:tcW w:w="1134" w:type="dxa"/>
            <w:vAlign w:val="bottom"/>
          </w:tcPr>
          <w:p w14:paraId="65E96FD6" w14:textId="77777777" w:rsidR="008E5DE4" w:rsidRDefault="008E5DE4">
            <w:pPr>
              <w:widowControl w:val="0"/>
              <w:pBdr>
                <w:top w:val="nil"/>
                <w:left w:val="nil"/>
                <w:bottom w:val="nil"/>
                <w:right w:val="nil"/>
                <w:between w:val="nil"/>
              </w:pBdr>
              <w:rPr>
                <w:color w:val="000000"/>
              </w:rPr>
            </w:pPr>
          </w:p>
        </w:tc>
        <w:tc>
          <w:tcPr>
            <w:tcW w:w="1134" w:type="dxa"/>
            <w:vAlign w:val="bottom"/>
          </w:tcPr>
          <w:p w14:paraId="4774566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523C2A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F03A1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F17CFE" w14:textId="77777777" w:rsidR="008E5DE4" w:rsidRDefault="008E5DE4">
            <w:pPr>
              <w:widowControl w:val="0"/>
              <w:pBdr>
                <w:top w:val="nil"/>
                <w:left w:val="nil"/>
                <w:bottom w:val="nil"/>
                <w:right w:val="nil"/>
                <w:between w:val="nil"/>
              </w:pBdr>
              <w:jc w:val="right"/>
              <w:rPr>
                <w:color w:val="000000"/>
              </w:rPr>
            </w:pPr>
          </w:p>
        </w:tc>
      </w:tr>
      <w:tr w:rsidR="008E5DE4" w14:paraId="5B1EA1BF" w14:textId="77777777">
        <w:trPr>
          <w:cantSplit/>
        </w:trPr>
        <w:tc>
          <w:tcPr>
            <w:tcW w:w="3685" w:type="dxa"/>
            <w:tcBorders>
              <w:bottom w:val="single" w:sz="12" w:space="0" w:color="000000"/>
            </w:tcBorders>
            <w:vAlign w:val="bottom"/>
          </w:tcPr>
          <w:p w14:paraId="2F3C6D32"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3C35E5EA" w14:textId="77777777" w:rsidR="008E5DE4" w:rsidRDefault="008E5DE4">
            <w:pPr>
              <w:widowControl w:val="0"/>
              <w:pBdr>
                <w:top w:val="nil"/>
                <w:left w:val="nil"/>
                <w:bottom w:val="nil"/>
                <w:right w:val="nil"/>
                <w:between w:val="nil"/>
              </w:pBdr>
              <w:rPr>
                <w:color w:val="000000"/>
              </w:rPr>
            </w:pPr>
          </w:p>
        </w:tc>
        <w:tc>
          <w:tcPr>
            <w:tcW w:w="1134" w:type="dxa"/>
            <w:tcBorders>
              <w:bottom w:val="single" w:sz="12" w:space="0" w:color="000000"/>
            </w:tcBorders>
            <w:vAlign w:val="bottom"/>
          </w:tcPr>
          <w:p w14:paraId="7AC2182C"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03264BD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F385AAF"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FFBD4C6" w14:textId="77777777" w:rsidR="008E5DE4" w:rsidRDefault="008E5DE4">
            <w:pPr>
              <w:widowControl w:val="0"/>
              <w:pBdr>
                <w:top w:val="nil"/>
                <w:left w:val="nil"/>
                <w:bottom w:val="nil"/>
                <w:right w:val="nil"/>
                <w:between w:val="nil"/>
              </w:pBdr>
              <w:jc w:val="right"/>
              <w:rPr>
                <w:color w:val="000000"/>
              </w:rPr>
            </w:pPr>
          </w:p>
        </w:tc>
      </w:tr>
    </w:tbl>
    <w:p w14:paraId="412FF2DB"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tbl>
      <w:tblPr>
        <w:tblStyle w:val="afffffff8"/>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67E429A5" w14:textId="77777777">
        <w:trPr>
          <w:cantSplit/>
          <w:tblHeader/>
        </w:trPr>
        <w:tc>
          <w:tcPr>
            <w:tcW w:w="3685" w:type="dxa"/>
            <w:tcBorders>
              <w:bottom w:val="single" w:sz="4" w:space="0" w:color="000000"/>
            </w:tcBorders>
            <w:vAlign w:val="bottom"/>
          </w:tcPr>
          <w:p w14:paraId="6784868F"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134" w:type="dxa"/>
            <w:tcBorders>
              <w:bottom w:val="single" w:sz="4" w:space="0" w:color="000000"/>
            </w:tcBorders>
          </w:tcPr>
          <w:p w14:paraId="622B1555"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Stage 1 </w:t>
            </w:r>
          </w:p>
          <w:p w14:paraId="29DE419C"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(12-months ECL)</w:t>
            </w:r>
          </w:p>
        </w:tc>
        <w:tc>
          <w:tcPr>
            <w:tcW w:w="1134" w:type="dxa"/>
            <w:tcBorders>
              <w:bottom w:val="single" w:sz="4" w:space="0" w:color="000000"/>
            </w:tcBorders>
          </w:tcPr>
          <w:p w14:paraId="4E87CE72"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Stage 2</w:t>
            </w:r>
          </w:p>
          <w:p w14:paraId="4B07BDE9"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(lifetime ECL for SICR) </w:t>
            </w:r>
          </w:p>
        </w:tc>
        <w:tc>
          <w:tcPr>
            <w:tcW w:w="1134" w:type="dxa"/>
            <w:tcBorders>
              <w:bottom w:val="single" w:sz="4" w:space="0" w:color="000000"/>
            </w:tcBorders>
          </w:tcPr>
          <w:p w14:paraId="030D6CF7"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Stage 3</w:t>
            </w:r>
          </w:p>
          <w:p w14:paraId="3519E0A0"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(lifetime ECL for credit im-paired)</w:t>
            </w:r>
          </w:p>
        </w:tc>
        <w:tc>
          <w:tcPr>
            <w:tcW w:w="1134" w:type="dxa"/>
            <w:tcBorders>
              <w:bottom w:val="single" w:sz="4" w:space="0" w:color="000000"/>
            </w:tcBorders>
          </w:tcPr>
          <w:p w14:paraId="3CCB2A00"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POCI</w:t>
            </w:r>
          </w:p>
        </w:tc>
        <w:tc>
          <w:tcPr>
            <w:tcW w:w="1134" w:type="dxa"/>
            <w:tcBorders>
              <w:bottom w:val="single" w:sz="4" w:space="0" w:color="000000"/>
            </w:tcBorders>
          </w:tcPr>
          <w:p w14:paraId="5917249B"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r>
      <w:tr w:rsidR="008E5DE4" w14:paraId="4E44B4FC" w14:textId="77777777">
        <w:trPr>
          <w:cantSplit/>
        </w:trPr>
        <w:tc>
          <w:tcPr>
            <w:tcW w:w="3685" w:type="dxa"/>
            <w:tcBorders>
              <w:top w:val="single" w:sz="4" w:space="0" w:color="000000"/>
            </w:tcBorders>
            <w:vAlign w:val="bottom"/>
          </w:tcPr>
          <w:p w14:paraId="371E88E4"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2976668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E47F86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6A11331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0E2425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316D70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A03F966" w14:textId="77777777">
        <w:trPr>
          <w:cantSplit/>
        </w:trPr>
        <w:tc>
          <w:tcPr>
            <w:tcW w:w="3685" w:type="dxa"/>
            <w:vAlign w:val="bottom"/>
          </w:tcPr>
          <w:p w14:paraId="3CE00848"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i/>
                <w:color w:val="000000"/>
              </w:rPr>
              <w:t>Corporate bonds</w:t>
            </w:r>
          </w:p>
        </w:tc>
        <w:tc>
          <w:tcPr>
            <w:tcW w:w="1134" w:type="dxa"/>
            <w:vAlign w:val="bottom"/>
          </w:tcPr>
          <w:p w14:paraId="79AA78B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BE6C88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FA86D4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B748B5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11266F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535569D" w14:textId="77777777">
        <w:trPr>
          <w:cantSplit/>
        </w:trPr>
        <w:tc>
          <w:tcPr>
            <w:tcW w:w="3685" w:type="dxa"/>
            <w:vAlign w:val="bottom"/>
          </w:tcPr>
          <w:p w14:paraId="0583B3B2"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Excellent</w:t>
            </w:r>
          </w:p>
        </w:tc>
        <w:tc>
          <w:tcPr>
            <w:tcW w:w="1134" w:type="dxa"/>
            <w:vAlign w:val="bottom"/>
          </w:tcPr>
          <w:p w14:paraId="28916E0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E3715D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24E2A1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BB1320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7D944E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4E8CDF4" w14:textId="77777777">
        <w:trPr>
          <w:cantSplit/>
        </w:trPr>
        <w:tc>
          <w:tcPr>
            <w:tcW w:w="3685" w:type="dxa"/>
            <w:vAlign w:val="bottom"/>
          </w:tcPr>
          <w:p w14:paraId="4A48B940"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Good</w:t>
            </w:r>
          </w:p>
        </w:tc>
        <w:tc>
          <w:tcPr>
            <w:tcW w:w="1134" w:type="dxa"/>
            <w:vAlign w:val="bottom"/>
          </w:tcPr>
          <w:p w14:paraId="62F79B8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016444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1459D5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6B2457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01F897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C27B65D" w14:textId="77777777">
        <w:trPr>
          <w:cantSplit/>
        </w:trPr>
        <w:tc>
          <w:tcPr>
            <w:tcW w:w="3685" w:type="dxa"/>
            <w:vAlign w:val="bottom"/>
          </w:tcPr>
          <w:p w14:paraId="6231E6ED"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Satisfactory</w:t>
            </w:r>
          </w:p>
        </w:tc>
        <w:tc>
          <w:tcPr>
            <w:tcW w:w="1134" w:type="dxa"/>
            <w:vAlign w:val="bottom"/>
          </w:tcPr>
          <w:p w14:paraId="2F74F16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45DFE6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4F62E5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35C361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393E79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EA03CD6" w14:textId="77777777">
        <w:trPr>
          <w:cantSplit/>
        </w:trPr>
        <w:tc>
          <w:tcPr>
            <w:tcW w:w="3685" w:type="dxa"/>
            <w:vAlign w:val="bottom"/>
          </w:tcPr>
          <w:p w14:paraId="3A8BDDF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Special monitoring</w:t>
            </w:r>
          </w:p>
        </w:tc>
        <w:tc>
          <w:tcPr>
            <w:tcW w:w="1134" w:type="dxa"/>
            <w:vAlign w:val="bottom"/>
          </w:tcPr>
          <w:p w14:paraId="22CEE77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6932D9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749579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3B141C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2360D1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8F0F3B4" w14:textId="77777777">
        <w:trPr>
          <w:cantSplit/>
        </w:trPr>
        <w:tc>
          <w:tcPr>
            <w:tcW w:w="3685" w:type="dxa"/>
            <w:vAlign w:val="bottom"/>
          </w:tcPr>
          <w:p w14:paraId="744ABAA7"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Default</w:t>
            </w:r>
          </w:p>
        </w:tc>
        <w:tc>
          <w:tcPr>
            <w:tcW w:w="1134" w:type="dxa"/>
            <w:vAlign w:val="bottom"/>
          </w:tcPr>
          <w:p w14:paraId="71E77B7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879A77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E19F1C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45CEA3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B92C73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7AF0869" w14:textId="77777777">
        <w:trPr>
          <w:cantSplit/>
        </w:trPr>
        <w:tc>
          <w:tcPr>
            <w:tcW w:w="3685" w:type="dxa"/>
            <w:tcBorders>
              <w:bottom w:val="single" w:sz="4" w:space="0" w:color="000000"/>
            </w:tcBorders>
            <w:vAlign w:val="bottom"/>
          </w:tcPr>
          <w:p w14:paraId="6EC203C0"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2416C1E8"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4" w:space="0" w:color="000000"/>
            </w:tcBorders>
            <w:vAlign w:val="bottom"/>
          </w:tcPr>
          <w:p w14:paraId="18199D2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29AE99A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2A49E6F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02DCA1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0393927" w14:textId="77777777">
        <w:trPr>
          <w:cantSplit/>
        </w:trPr>
        <w:tc>
          <w:tcPr>
            <w:tcW w:w="3685" w:type="dxa"/>
            <w:tcBorders>
              <w:top w:val="single" w:sz="4" w:space="0" w:color="000000"/>
            </w:tcBorders>
            <w:vAlign w:val="bottom"/>
          </w:tcPr>
          <w:p w14:paraId="00E26A35"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0911205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113509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D07E77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348B03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69C962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40E4259" w14:textId="77777777">
        <w:trPr>
          <w:cantSplit/>
        </w:trPr>
        <w:tc>
          <w:tcPr>
            <w:tcW w:w="3685" w:type="dxa"/>
            <w:vAlign w:val="bottom"/>
          </w:tcPr>
          <w:p w14:paraId="7E52559F"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Gross carrying amount</w:t>
            </w:r>
          </w:p>
        </w:tc>
        <w:tc>
          <w:tcPr>
            <w:tcW w:w="1134" w:type="dxa"/>
            <w:vAlign w:val="bottom"/>
          </w:tcPr>
          <w:p w14:paraId="37ABA76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F41F0F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FC5DF5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515DB8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292C7F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BEC574A" w14:textId="77777777">
        <w:trPr>
          <w:cantSplit/>
        </w:trPr>
        <w:tc>
          <w:tcPr>
            <w:tcW w:w="3685" w:type="dxa"/>
            <w:tcBorders>
              <w:bottom w:val="single" w:sz="4" w:space="0" w:color="000000"/>
            </w:tcBorders>
            <w:vAlign w:val="bottom"/>
          </w:tcPr>
          <w:p w14:paraId="02140E3A"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56727BE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0107DC3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2597A9D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465B1C4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3058DB9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1216908" w14:textId="77777777">
        <w:trPr>
          <w:cantSplit/>
        </w:trPr>
        <w:tc>
          <w:tcPr>
            <w:tcW w:w="3685" w:type="dxa"/>
            <w:tcBorders>
              <w:top w:val="single" w:sz="4" w:space="0" w:color="000000"/>
            </w:tcBorders>
            <w:vAlign w:val="bottom"/>
          </w:tcPr>
          <w:p w14:paraId="14DD9744"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1400B5F7"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7A51894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50CBD7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4CC5EB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F5A2A9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7B03138" w14:textId="77777777">
        <w:trPr>
          <w:cantSplit/>
        </w:trPr>
        <w:tc>
          <w:tcPr>
            <w:tcW w:w="3685" w:type="dxa"/>
            <w:vAlign w:val="bottom"/>
          </w:tcPr>
          <w:p w14:paraId="19C720E4"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Credit loss allowance</w:t>
            </w:r>
          </w:p>
        </w:tc>
        <w:tc>
          <w:tcPr>
            <w:tcW w:w="1134" w:type="dxa"/>
            <w:vAlign w:val="bottom"/>
          </w:tcPr>
          <w:p w14:paraId="07457B29"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0F928D7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448EEB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CFA7A9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03E78E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88A785F" w14:textId="77777777">
        <w:trPr>
          <w:cantSplit/>
        </w:trPr>
        <w:tc>
          <w:tcPr>
            <w:tcW w:w="3685" w:type="dxa"/>
            <w:vAlign w:val="bottom"/>
          </w:tcPr>
          <w:p w14:paraId="6D5D173E"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vAlign w:val="bottom"/>
          </w:tcPr>
          <w:p w14:paraId="2751A6ED"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027DA04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8797C0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798355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5444EA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E785741" w14:textId="77777777">
        <w:trPr>
          <w:cantSplit/>
        </w:trPr>
        <w:tc>
          <w:tcPr>
            <w:tcW w:w="3685" w:type="dxa"/>
            <w:tcBorders>
              <w:top w:val="single" w:sz="4" w:space="0" w:color="000000"/>
            </w:tcBorders>
            <w:vAlign w:val="bottom"/>
          </w:tcPr>
          <w:p w14:paraId="63389938"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0D5AE8D7"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73A33E5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89C9A2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AD39E4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36B827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3202067" w14:textId="77777777">
        <w:trPr>
          <w:cantSplit/>
        </w:trPr>
        <w:tc>
          <w:tcPr>
            <w:tcW w:w="3685" w:type="dxa"/>
            <w:vAlign w:val="bottom"/>
          </w:tcPr>
          <w:p w14:paraId="69B864F4"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Carrying amount</w:t>
            </w:r>
          </w:p>
        </w:tc>
        <w:tc>
          <w:tcPr>
            <w:tcW w:w="1134" w:type="dxa"/>
            <w:vAlign w:val="bottom"/>
          </w:tcPr>
          <w:p w14:paraId="6205C6B8"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12A5782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0FE6A6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B45824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4A4D8D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50C89D9" w14:textId="77777777">
        <w:trPr>
          <w:cantSplit/>
        </w:trPr>
        <w:tc>
          <w:tcPr>
            <w:tcW w:w="3685" w:type="dxa"/>
            <w:tcBorders>
              <w:bottom w:val="single" w:sz="12" w:space="0" w:color="000000"/>
            </w:tcBorders>
            <w:vAlign w:val="bottom"/>
          </w:tcPr>
          <w:p w14:paraId="2287D6E7"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12" w:space="0" w:color="000000"/>
            </w:tcBorders>
            <w:vAlign w:val="bottom"/>
          </w:tcPr>
          <w:p w14:paraId="504C1A55"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12" w:space="0" w:color="000000"/>
            </w:tcBorders>
            <w:vAlign w:val="bottom"/>
          </w:tcPr>
          <w:p w14:paraId="129B147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626D983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21752E2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2779570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3D67708" w14:textId="77777777">
        <w:trPr>
          <w:cantSplit/>
        </w:trPr>
        <w:tc>
          <w:tcPr>
            <w:tcW w:w="3685" w:type="dxa"/>
            <w:vAlign w:val="bottom"/>
          </w:tcPr>
          <w:p w14:paraId="7D112FA8"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vAlign w:val="bottom"/>
          </w:tcPr>
          <w:p w14:paraId="175E3A8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4F8996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020B82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245F74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12B43D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6EE4032" w14:textId="77777777">
        <w:trPr>
          <w:gridAfter w:val="5"/>
          <w:wAfter w:w="5670" w:type="dxa"/>
          <w:cantSplit/>
        </w:trPr>
        <w:tc>
          <w:tcPr>
            <w:tcW w:w="3685" w:type="dxa"/>
            <w:vAlign w:val="bottom"/>
          </w:tcPr>
          <w:p w14:paraId="75A14558" w14:textId="5CAB9333"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Promissory notes</w:t>
            </w:r>
          </w:p>
        </w:tc>
      </w:tr>
      <w:tr w:rsidR="008E5DE4" w14:paraId="79F8B231" w14:textId="77777777">
        <w:trPr>
          <w:cantSplit/>
        </w:trPr>
        <w:tc>
          <w:tcPr>
            <w:tcW w:w="3685" w:type="dxa"/>
            <w:vAlign w:val="bottom"/>
          </w:tcPr>
          <w:p w14:paraId="3D21A87D"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Excellent</w:t>
            </w:r>
          </w:p>
        </w:tc>
        <w:tc>
          <w:tcPr>
            <w:tcW w:w="1134" w:type="dxa"/>
            <w:vAlign w:val="bottom"/>
          </w:tcPr>
          <w:p w14:paraId="4F49939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4AFA29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0FDE83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7C2E3B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AA5E96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652BBA5" w14:textId="77777777">
        <w:trPr>
          <w:cantSplit/>
        </w:trPr>
        <w:tc>
          <w:tcPr>
            <w:tcW w:w="3685" w:type="dxa"/>
            <w:vAlign w:val="bottom"/>
          </w:tcPr>
          <w:p w14:paraId="54D8F976"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Good</w:t>
            </w:r>
          </w:p>
        </w:tc>
        <w:tc>
          <w:tcPr>
            <w:tcW w:w="1134" w:type="dxa"/>
            <w:vAlign w:val="bottom"/>
          </w:tcPr>
          <w:p w14:paraId="22E700D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31894F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118C06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D99C0A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E8097F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372BFF7" w14:textId="77777777">
        <w:trPr>
          <w:cantSplit/>
        </w:trPr>
        <w:tc>
          <w:tcPr>
            <w:tcW w:w="3685" w:type="dxa"/>
            <w:vAlign w:val="bottom"/>
          </w:tcPr>
          <w:p w14:paraId="7EF56568"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Satisfactory</w:t>
            </w:r>
          </w:p>
        </w:tc>
        <w:tc>
          <w:tcPr>
            <w:tcW w:w="1134" w:type="dxa"/>
            <w:vAlign w:val="bottom"/>
          </w:tcPr>
          <w:p w14:paraId="2740370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58BBEE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D27F9C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1A5971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8A3153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525F476" w14:textId="77777777">
        <w:trPr>
          <w:cantSplit/>
        </w:trPr>
        <w:tc>
          <w:tcPr>
            <w:tcW w:w="3685" w:type="dxa"/>
            <w:vAlign w:val="bottom"/>
          </w:tcPr>
          <w:p w14:paraId="143B5BC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Special monitoring</w:t>
            </w:r>
          </w:p>
        </w:tc>
        <w:tc>
          <w:tcPr>
            <w:tcW w:w="1134" w:type="dxa"/>
            <w:vAlign w:val="bottom"/>
          </w:tcPr>
          <w:p w14:paraId="443C63E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BD1EF8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FE01BD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398C73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72081F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5110860" w14:textId="77777777">
        <w:trPr>
          <w:cantSplit/>
        </w:trPr>
        <w:tc>
          <w:tcPr>
            <w:tcW w:w="3685" w:type="dxa"/>
            <w:vAlign w:val="bottom"/>
          </w:tcPr>
          <w:p w14:paraId="5C201AA6"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Default</w:t>
            </w:r>
          </w:p>
        </w:tc>
        <w:tc>
          <w:tcPr>
            <w:tcW w:w="1134" w:type="dxa"/>
            <w:vAlign w:val="bottom"/>
          </w:tcPr>
          <w:p w14:paraId="56AB2C9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FDA985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013024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44AE19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7BE27F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009A6E1" w14:textId="77777777">
        <w:trPr>
          <w:cantSplit/>
        </w:trPr>
        <w:tc>
          <w:tcPr>
            <w:tcW w:w="3685" w:type="dxa"/>
            <w:tcBorders>
              <w:bottom w:val="single" w:sz="4" w:space="0" w:color="000000"/>
            </w:tcBorders>
            <w:vAlign w:val="bottom"/>
          </w:tcPr>
          <w:p w14:paraId="097B2145"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53B8181A"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4" w:space="0" w:color="000000"/>
            </w:tcBorders>
            <w:vAlign w:val="bottom"/>
          </w:tcPr>
          <w:p w14:paraId="5881749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96281D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531C362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C5550C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6F3A530" w14:textId="77777777">
        <w:trPr>
          <w:cantSplit/>
        </w:trPr>
        <w:tc>
          <w:tcPr>
            <w:tcW w:w="3685" w:type="dxa"/>
            <w:tcBorders>
              <w:top w:val="single" w:sz="4" w:space="0" w:color="000000"/>
            </w:tcBorders>
            <w:vAlign w:val="bottom"/>
          </w:tcPr>
          <w:p w14:paraId="3D5400D9"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5AB1491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E4DE36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6D19BD6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F843A9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EC782D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2D54FEC" w14:textId="77777777">
        <w:trPr>
          <w:cantSplit/>
        </w:trPr>
        <w:tc>
          <w:tcPr>
            <w:tcW w:w="3685" w:type="dxa"/>
            <w:vAlign w:val="bottom"/>
          </w:tcPr>
          <w:p w14:paraId="6C14DA8E"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Gross carrying amount</w:t>
            </w:r>
          </w:p>
        </w:tc>
        <w:tc>
          <w:tcPr>
            <w:tcW w:w="1134" w:type="dxa"/>
            <w:vAlign w:val="bottom"/>
          </w:tcPr>
          <w:p w14:paraId="77117BA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4C1E8D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E0DA5D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C9F218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FD7549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D9FA8FA" w14:textId="77777777">
        <w:trPr>
          <w:cantSplit/>
        </w:trPr>
        <w:tc>
          <w:tcPr>
            <w:tcW w:w="3685" w:type="dxa"/>
            <w:tcBorders>
              <w:bottom w:val="single" w:sz="4" w:space="0" w:color="000000"/>
            </w:tcBorders>
            <w:vAlign w:val="bottom"/>
          </w:tcPr>
          <w:p w14:paraId="4C67B839"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421331F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57161C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19C0988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0CA79A4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14D5801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447E1BA" w14:textId="77777777">
        <w:trPr>
          <w:cantSplit/>
        </w:trPr>
        <w:tc>
          <w:tcPr>
            <w:tcW w:w="3685" w:type="dxa"/>
            <w:tcBorders>
              <w:top w:val="single" w:sz="4" w:space="0" w:color="000000"/>
            </w:tcBorders>
            <w:vAlign w:val="bottom"/>
          </w:tcPr>
          <w:p w14:paraId="5122689E"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30146185"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18EE094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EE6BA1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47DE14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C37D08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09E80F8" w14:textId="77777777">
        <w:trPr>
          <w:cantSplit/>
        </w:trPr>
        <w:tc>
          <w:tcPr>
            <w:tcW w:w="3685" w:type="dxa"/>
            <w:vAlign w:val="bottom"/>
          </w:tcPr>
          <w:p w14:paraId="74AB5AC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Credit loss allowance</w:t>
            </w:r>
          </w:p>
        </w:tc>
        <w:tc>
          <w:tcPr>
            <w:tcW w:w="1134" w:type="dxa"/>
            <w:vAlign w:val="bottom"/>
          </w:tcPr>
          <w:p w14:paraId="6CC5BB89"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78B868B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596D8C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707141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59AD9B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FE912E8" w14:textId="77777777">
        <w:trPr>
          <w:cantSplit/>
        </w:trPr>
        <w:tc>
          <w:tcPr>
            <w:tcW w:w="3685" w:type="dxa"/>
            <w:vAlign w:val="bottom"/>
          </w:tcPr>
          <w:p w14:paraId="7BC674DE"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vAlign w:val="bottom"/>
          </w:tcPr>
          <w:p w14:paraId="077E737F"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1921729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3356E6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3D87E8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37B654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8AC1B72" w14:textId="77777777">
        <w:trPr>
          <w:cantSplit/>
        </w:trPr>
        <w:tc>
          <w:tcPr>
            <w:tcW w:w="3685" w:type="dxa"/>
            <w:tcBorders>
              <w:top w:val="single" w:sz="4" w:space="0" w:color="000000"/>
            </w:tcBorders>
            <w:vAlign w:val="bottom"/>
          </w:tcPr>
          <w:p w14:paraId="5B873E5F"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6E70B885"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7563C9B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03F489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66D0256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A38309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42DFAB4" w14:textId="77777777">
        <w:trPr>
          <w:cantSplit/>
        </w:trPr>
        <w:tc>
          <w:tcPr>
            <w:tcW w:w="3685" w:type="dxa"/>
            <w:vAlign w:val="bottom"/>
          </w:tcPr>
          <w:p w14:paraId="3DA5A60D"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Carrying amount</w:t>
            </w:r>
          </w:p>
        </w:tc>
        <w:tc>
          <w:tcPr>
            <w:tcW w:w="1134" w:type="dxa"/>
            <w:vAlign w:val="bottom"/>
          </w:tcPr>
          <w:p w14:paraId="16E01F0F"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2F14503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956896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7E10C9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FAC686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A9F83D6" w14:textId="77777777">
        <w:trPr>
          <w:cantSplit/>
        </w:trPr>
        <w:tc>
          <w:tcPr>
            <w:tcW w:w="3685" w:type="dxa"/>
            <w:tcBorders>
              <w:bottom w:val="single" w:sz="12" w:space="0" w:color="000000"/>
            </w:tcBorders>
            <w:vAlign w:val="bottom"/>
          </w:tcPr>
          <w:p w14:paraId="62F7A993"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12" w:space="0" w:color="000000"/>
            </w:tcBorders>
            <w:vAlign w:val="bottom"/>
          </w:tcPr>
          <w:p w14:paraId="5231529B"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12" w:space="0" w:color="000000"/>
            </w:tcBorders>
            <w:vAlign w:val="bottom"/>
          </w:tcPr>
          <w:p w14:paraId="493AD4D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7104B98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5D4DBC4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0A3C694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D10C32B" w14:textId="77777777">
        <w:trPr>
          <w:cantSplit/>
        </w:trPr>
        <w:tc>
          <w:tcPr>
            <w:tcW w:w="3685" w:type="dxa"/>
            <w:tcBorders>
              <w:top w:val="single" w:sz="4" w:space="0" w:color="000000"/>
            </w:tcBorders>
            <w:vAlign w:val="bottom"/>
          </w:tcPr>
          <w:p w14:paraId="649187AD"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3E0ED70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A5B356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81D7E4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E83127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5670AA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8159D82" w14:textId="77777777">
        <w:trPr>
          <w:cantSplit/>
        </w:trPr>
        <w:tc>
          <w:tcPr>
            <w:tcW w:w="3685" w:type="dxa"/>
            <w:vAlign w:val="bottom"/>
          </w:tcPr>
          <w:p w14:paraId="071C374B"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Total investments in debt securities measured at AC (gross carrying amount)</w:t>
            </w:r>
          </w:p>
        </w:tc>
        <w:tc>
          <w:tcPr>
            <w:tcW w:w="1134" w:type="dxa"/>
            <w:vAlign w:val="bottom"/>
          </w:tcPr>
          <w:p w14:paraId="6081F6A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4E096F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70D9A2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FE01BE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39AE37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506924F" w14:textId="77777777">
        <w:trPr>
          <w:cantSplit/>
        </w:trPr>
        <w:tc>
          <w:tcPr>
            <w:tcW w:w="3685" w:type="dxa"/>
            <w:tcBorders>
              <w:bottom w:val="single" w:sz="4" w:space="0" w:color="000000"/>
            </w:tcBorders>
            <w:vAlign w:val="bottom"/>
          </w:tcPr>
          <w:p w14:paraId="40484411"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w:t>
            </w:r>
          </w:p>
        </w:tc>
        <w:tc>
          <w:tcPr>
            <w:tcW w:w="1134" w:type="dxa"/>
            <w:tcBorders>
              <w:bottom w:val="single" w:sz="4" w:space="0" w:color="000000"/>
            </w:tcBorders>
            <w:vAlign w:val="bottom"/>
          </w:tcPr>
          <w:p w14:paraId="2F6810B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46566D2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CA6A39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1FDE048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2360D63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C4FE9EA" w14:textId="77777777">
        <w:trPr>
          <w:cantSplit/>
        </w:trPr>
        <w:tc>
          <w:tcPr>
            <w:tcW w:w="3685" w:type="dxa"/>
            <w:tcBorders>
              <w:top w:val="single" w:sz="4" w:space="0" w:color="000000"/>
            </w:tcBorders>
            <w:vAlign w:val="bottom"/>
          </w:tcPr>
          <w:p w14:paraId="7827BF7B"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 </w:t>
            </w:r>
          </w:p>
        </w:tc>
        <w:tc>
          <w:tcPr>
            <w:tcW w:w="1134" w:type="dxa"/>
            <w:tcBorders>
              <w:top w:val="single" w:sz="4" w:space="0" w:color="000000"/>
            </w:tcBorders>
            <w:vAlign w:val="bottom"/>
          </w:tcPr>
          <w:p w14:paraId="27E9C94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EDB320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A1A5DA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088A5B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54A3E9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519D176" w14:textId="77777777">
        <w:trPr>
          <w:cantSplit/>
        </w:trPr>
        <w:tc>
          <w:tcPr>
            <w:tcW w:w="3685" w:type="dxa"/>
            <w:vAlign w:val="bottom"/>
          </w:tcPr>
          <w:p w14:paraId="30CDA5A7"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Credit loss allowance</w:t>
            </w:r>
          </w:p>
        </w:tc>
        <w:tc>
          <w:tcPr>
            <w:tcW w:w="1134" w:type="dxa"/>
            <w:vAlign w:val="bottom"/>
          </w:tcPr>
          <w:p w14:paraId="5C58C3D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45F116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E2CBDD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57BDE3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C098AA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D7BCE16" w14:textId="77777777">
        <w:trPr>
          <w:cantSplit/>
        </w:trPr>
        <w:tc>
          <w:tcPr>
            <w:tcW w:w="3685" w:type="dxa"/>
            <w:vAlign w:val="bottom"/>
          </w:tcPr>
          <w:p w14:paraId="4A8561B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1134" w:type="dxa"/>
            <w:vAlign w:val="bottom"/>
          </w:tcPr>
          <w:p w14:paraId="7A01F4F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81F282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E554A2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90A5AB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D45E55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3C62132" w14:textId="77777777">
        <w:trPr>
          <w:cantSplit/>
        </w:trPr>
        <w:tc>
          <w:tcPr>
            <w:tcW w:w="3685" w:type="dxa"/>
            <w:tcBorders>
              <w:top w:val="single" w:sz="4" w:space="0" w:color="000000"/>
            </w:tcBorders>
            <w:vAlign w:val="bottom"/>
          </w:tcPr>
          <w:p w14:paraId="419E048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1134" w:type="dxa"/>
            <w:tcBorders>
              <w:top w:val="single" w:sz="4" w:space="0" w:color="000000"/>
            </w:tcBorders>
            <w:vAlign w:val="bottom"/>
          </w:tcPr>
          <w:p w14:paraId="66205D1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2A1634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46B502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3EF819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64BC4B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1172819" w14:textId="77777777">
        <w:trPr>
          <w:cantSplit/>
        </w:trPr>
        <w:tc>
          <w:tcPr>
            <w:tcW w:w="3685" w:type="dxa"/>
            <w:vAlign w:val="bottom"/>
          </w:tcPr>
          <w:p w14:paraId="32F43742"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Total investments in debt securities measured at AC (carrying amount)</w:t>
            </w:r>
          </w:p>
        </w:tc>
        <w:tc>
          <w:tcPr>
            <w:tcW w:w="1134" w:type="dxa"/>
            <w:vAlign w:val="bottom"/>
          </w:tcPr>
          <w:p w14:paraId="5DF8AC6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7F9D11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5D64C1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9331E0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913A11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3EC7451" w14:textId="77777777">
        <w:trPr>
          <w:cantSplit/>
        </w:trPr>
        <w:tc>
          <w:tcPr>
            <w:tcW w:w="3685" w:type="dxa"/>
            <w:tcBorders>
              <w:bottom w:val="single" w:sz="12" w:space="0" w:color="000000"/>
            </w:tcBorders>
            <w:vAlign w:val="bottom"/>
          </w:tcPr>
          <w:p w14:paraId="306A2AE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1134" w:type="dxa"/>
            <w:tcBorders>
              <w:bottom w:val="single" w:sz="12" w:space="0" w:color="000000"/>
            </w:tcBorders>
            <w:vAlign w:val="bottom"/>
          </w:tcPr>
          <w:p w14:paraId="73FC1E3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2A1FA5A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1B21EB5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7F4DC72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65DF55D3" w14:textId="77777777" w:rsidR="008E5DE4" w:rsidRDefault="008E5DE4">
            <w:pPr>
              <w:widowControl w:val="0"/>
              <w:pBdr>
                <w:top w:val="nil"/>
                <w:left w:val="nil"/>
                <w:bottom w:val="nil"/>
                <w:right w:val="nil"/>
                <w:between w:val="nil"/>
              </w:pBdr>
              <w:spacing w:line="228" w:lineRule="auto"/>
              <w:jc w:val="right"/>
              <w:rPr>
                <w:color w:val="000000"/>
              </w:rPr>
            </w:pPr>
          </w:p>
        </w:tc>
      </w:tr>
    </w:tbl>
    <w:p w14:paraId="61371A25" w14:textId="2A475F32"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The following table contains an analysis of debt securities at AC by credit quality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based on credit risk grades and discloses the balances by three stages for the purpose of ECL measurement. Refer to Note 51 for the description of credit risk grading system used by the Group and the approach to ECL measurement, including the definition of default and SICR as applicable to debt securities at AC. </w:t>
      </w:r>
    </w:p>
    <w:p w14:paraId="19F2EBAA"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174793A7" w14:textId="35B70033"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The carrying amount of debt securities at AC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below also represents the Group's maximum exposure to credit risk on these assets:</w:t>
      </w:r>
    </w:p>
    <w:tbl>
      <w:tblPr>
        <w:tblStyle w:val="afffffff9"/>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62052B7C" w14:textId="77777777">
        <w:trPr>
          <w:cantSplit/>
          <w:tblHeader/>
        </w:trPr>
        <w:tc>
          <w:tcPr>
            <w:tcW w:w="3685" w:type="dxa"/>
            <w:tcBorders>
              <w:bottom w:val="single" w:sz="4" w:space="0" w:color="000000"/>
            </w:tcBorders>
            <w:vAlign w:val="bottom"/>
          </w:tcPr>
          <w:p w14:paraId="2FF83EAB"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134" w:type="dxa"/>
            <w:tcBorders>
              <w:bottom w:val="single" w:sz="4" w:space="0" w:color="000000"/>
            </w:tcBorders>
          </w:tcPr>
          <w:p w14:paraId="6188E728"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Stage 1 </w:t>
            </w:r>
          </w:p>
          <w:p w14:paraId="5C18DCD8"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(12-months ECL)</w:t>
            </w:r>
          </w:p>
        </w:tc>
        <w:tc>
          <w:tcPr>
            <w:tcW w:w="1134" w:type="dxa"/>
            <w:tcBorders>
              <w:bottom w:val="single" w:sz="4" w:space="0" w:color="000000"/>
            </w:tcBorders>
          </w:tcPr>
          <w:p w14:paraId="40DD3937"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01E8B84B"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(lifetime ECL for SICR) </w:t>
            </w:r>
          </w:p>
        </w:tc>
        <w:tc>
          <w:tcPr>
            <w:tcW w:w="1134" w:type="dxa"/>
            <w:tcBorders>
              <w:bottom w:val="single" w:sz="4" w:space="0" w:color="000000"/>
            </w:tcBorders>
          </w:tcPr>
          <w:p w14:paraId="57F2C965"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82511B8"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(lifetime ECL for credit im-paired)</w:t>
            </w:r>
          </w:p>
        </w:tc>
        <w:tc>
          <w:tcPr>
            <w:tcW w:w="1134" w:type="dxa"/>
            <w:tcBorders>
              <w:bottom w:val="single" w:sz="4" w:space="0" w:color="000000"/>
            </w:tcBorders>
          </w:tcPr>
          <w:p w14:paraId="61258B25"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POCI</w:t>
            </w:r>
          </w:p>
        </w:tc>
        <w:tc>
          <w:tcPr>
            <w:tcW w:w="1134" w:type="dxa"/>
            <w:tcBorders>
              <w:bottom w:val="single" w:sz="4" w:space="0" w:color="000000"/>
            </w:tcBorders>
          </w:tcPr>
          <w:p w14:paraId="7857F955"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r>
      <w:tr w:rsidR="008E5DE4" w14:paraId="56142CCB" w14:textId="77777777">
        <w:trPr>
          <w:cantSplit/>
          <w:tblHeader/>
        </w:trPr>
        <w:tc>
          <w:tcPr>
            <w:tcW w:w="3685" w:type="dxa"/>
            <w:vAlign w:val="bottom"/>
          </w:tcPr>
          <w:p w14:paraId="7B622CC1" w14:textId="77777777" w:rsidR="008E5DE4" w:rsidRDefault="008E5DE4">
            <w:pPr>
              <w:widowControl w:val="0"/>
              <w:spacing w:line="228" w:lineRule="auto"/>
              <w:ind w:left="113" w:right="-57" w:hanging="113"/>
            </w:pPr>
          </w:p>
        </w:tc>
        <w:tc>
          <w:tcPr>
            <w:tcW w:w="1134" w:type="dxa"/>
            <w:vAlign w:val="bottom"/>
          </w:tcPr>
          <w:p w14:paraId="005BD9D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EC1763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EE0AC5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C3F783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9F3B93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003BC38" w14:textId="77777777">
        <w:trPr>
          <w:cantSplit/>
        </w:trPr>
        <w:tc>
          <w:tcPr>
            <w:tcW w:w="3685" w:type="dxa"/>
            <w:vAlign w:val="bottom"/>
          </w:tcPr>
          <w:p w14:paraId="5F075717"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i/>
                <w:color w:val="0000FF"/>
                <w:sz w:val="20"/>
                <w:szCs w:val="20"/>
              </w:rPr>
              <w:t>[</w:t>
            </w:r>
            <w:r>
              <w:rPr>
                <w:b/>
                <w:i/>
                <w:color w:val="0000FF"/>
              </w:rPr>
              <w:t>Country]</w:t>
            </w:r>
            <w:r>
              <w:rPr>
                <w:b/>
                <w:i/>
                <w:color w:val="000000"/>
              </w:rPr>
              <w:t xml:space="preserve"> government bonds</w:t>
            </w:r>
          </w:p>
        </w:tc>
        <w:tc>
          <w:tcPr>
            <w:tcW w:w="1134" w:type="dxa"/>
            <w:vAlign w:val="bottom"/>
          </w:tcPr>
          <w:p w14:paraId="37A4E40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BCD804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5BE9DB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CB5A71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FD6D70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ED9BD38" w14:textId="77777777">
        <w:trPr>
          <w:cantSplit/>
        </w:trPr>
        <w:tc>
          <w:tcPr>
            <w:tcW w:w="3685" w:type="dxa"/>
            <w:vAlign w:val="bottom"/>
          </w:tcPr>
          <w:p w14:paraId="5A58B5A4"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Excellent</w:t>
            </w:r>
          </w:p>
        </w:tc>
        <w:tc>
          <w:tcPr>
            <w:tcW w:w="1134" w:type="dxa"/>
            <w:vAlign w:val="bottom"/>
          </w:tcPr>
          <w:p w14:paraId="183D33D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EF9873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5C5C60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F4A4A5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013B37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707B4FB" w14:textId="77777777">
        <w:trPr>
          <w:cantSplit/>
        </w:trPr>
        <w:tc>
          <w:tcPr>
            <w:tcW w:w="3685" w:type="dxa"/>
            <w:vAlign w:val="bottom"/>
          </w:tcPr>
          <w:p w14:paraId="423CDC18"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Good</w:t>
            </w:r>
          </w:p>
        </w:tc>
        <w:tc>
          <w:tcPr>
            <w:tcW w:w="1134" w:type="dxa"/>
            <w:vAlign w:val="bottom"/>
          </w:tcPr>
          <w:p w14:paraId="33D45AE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4AF8BF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D99198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574727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F57D15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22D4CA1" w14:textId="77777777">
        <w:trPr>
          <w:cantSplit/>
        </w:trPr>
        <w:tc>
          <w:tcPr>
            <w:tcW w:w="3685" w:type="dxa"/>
            <w:vAlign w:val="bottom"/>
          </w:tcPr>
          <w:p w14:paraId="4DB6ACA4"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Satisfactory</w:t>
            </w:r>
          </w:p>
        </w:tc>
        <w:tc>
          <w:tcPr>
            <w:tcW w:w="1134" w:type="dxa"/>
            <w:vAlign w:val="bottom"/>
          </w:tcPr>
          <w:p w14:paraId="7409F6E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D51E84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A48455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19986E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9DA2E4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6E4C5A4" w14:textId="77777777">
        <w:trPr>
          <w:cantSplit/>
        </w:trPr>
        <w:tc>
          <w:tcPr>
            <w:tcW w:w="3685" w:type="dxa"/>
            <w:tcBorders>
              <w:bottom w:val="single" w:sz="4" w:space="0" w:color="000000"/>
            </w:tcBorders>
            <w:vAlign w:val="bottom"/>
          </w:tcPr>
          <w:p w14:paraId="2EE18E3D"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1E1A7428"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4" w:space="0" w:color="000000"/>
            </w:tcBorders>
            <w:vAlign w:val="bottom"/>
          </w:tcPr>
          <w:p w14:paraId="77E6ECA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110F55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32A0F96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648D96F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AC86B74" w14:textId="77777777">
        <w:trPr>
          <w:cantSplit/>
        </w:trPr>
        <w:tc>
          <w:tcPr>
            <w:tcW w:w="3685" w:type="dxa"/>
            <w:tcBorders>
              <w:top w:val="single" w:sz="4" w:space="0" w:color="000000"/>
            </w:tcBorders>
            <w:vAlign w:val="bottom"/>
          </w:tcPr>
          <w:p w14:paraId="317EE47E"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6C108D4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2092FB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578659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6DEDB4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E8E0E5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EAA18AE" w14:textId="77777777">
        <w:trPr>
          <w:cantSplit/>
        </w:trPr>
        <w:tc>
          <w:tcPr>
            <w:tcW w:w="3685" w:type="dxa"/>
            <w:vAlign w:val="bottom"/>
          </w:tcPr>
          <w:p w14:paraId="05CF312A"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Gross carrying amount</w:t>
            </w:r>
          </w:p>
        </w:tc>
        <w:tc>
          <w:tcPr>
            <w:tcW w:w="1134" w:type="dxa"/>
            <w:vAlign w:val="bottom"/>
          </w:tcPr>
          <w:p w14:paraId="789DBA9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60B7A9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16A969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12037B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C06099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A9D2F6A" w14:textId="77777777">
        <w:trPr>
          <w:cantSplit/>
        </w:trPr>
        <w:tc>
          <w:tcPr>
            <w:tcW w:w="3685" w:type="dxa"/>
            <w:tcBorders>
              <w:bottom w:val="single" w:sz="4" w:space="0" w:color="000000"/>
            </w:tcBorders>
            <w:vAlign w:val="bottom"/>
          </w:tcPr>
          <w:p w14:paraId="3E81A19B"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0E217B5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3585B61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65A8338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00CD965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6A0D485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7255E7B" w14:textId="77777777">
        <w:trPr>
          <w:cantSplit/>
        </w:trPr>
        <w:tc>
          <w:tcPr>
            <w:tcW w:w="3685" w:type="dxa"/>
            <w:tcBorders>
              <w:top w:val="single" w:sz="4" w:space="0" w:color="000000"/>
            </w:tcBorders>
            <w:vAlign w:val="bottom"/>
          </w:tcPr>
          <w:p w14:paraId="1B30B37A"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36620B1D"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6A512F6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79544E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481701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4B60D3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DAB2B58" w14:textId="77777777">
        <w:trPr>
          <w:cantSplit/>
        </w:trPr>
        <w:tc>
          <w:tcPr>
            <w:tcW w:w="3685" w:type="dxa"/>
            <w:vAlign w:val="bottom"/>
          </w:tcPr>
          <w:p w14:paraId="7FA65F4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Credit loss allowance</w:t>
            </w:r>
          </w:p>
        </w:tc>
        <w:tc>
          <w:tcPr>
            <w:tcW w:w="1134" w:type="dxa"/>
            <w:vAlign w:val="bottom"/>
          </w:tcPr>
          <w:p w14:paraId="2CA3569B"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113E4A5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DB75AE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E28161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2E3F14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BE49B08" w14:textId="77777777">
        <w:trPr>
          <w:cantSplit/>
        </w:trPr>
        <w:tc>
          <w:tcPr>
            <w:tcW w:w="3685" w:type="dxa"/>
            <w:vAlign w:val="bottom"/>
          </w:tcPr>
          <w:p w14:paraId="2AAABBEB"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vAlign w:val="bottom"/>
          </w:tcPr>
          <w:p w14:paraId="72F7F4F8"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2D7DBCB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BBC89A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AFA6E3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464037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2C9D185" w14:textId="77777777">
        <w:trPr>
          <w:cantSplit/>
        </w:trPr>
        <w:tc>
          <w:tcPr>
            <w:tcW w:w="3685" w:type="dxa"/>
            <w:tcBorders>
              <w:top w:val="single" w:sz="4" w:space="0" w:color="000000"/>
            </w:tcBorders>
            <w:vAlign w:val="bottom"/>
          </w:tcPr>
          <w:p w14:paraId="6C1C5659"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1629895F"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5287D0D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F646F7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B154FD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BA4F7F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C181CF2" w14:textId="77777777">
        <w:trPr>
          <w:cantSplit/>
        </w:trPr>
        <w:tc>
          <w:tcPr>
            <w:tcW w:w="3685" w:type="dxa"/>
            <w:vAlign w:val="bottom"/>
          </w:tcPr>
          <w:p w14:paraId="6377886C"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Carrying amount</w:t>
            </w:r>
          </w:p>
        </w:tc>
        <w:tc>
          <w:tcPr>
            <w:tcW w:w="1134" w:type="dxa"/>
            <w:vAlign w:val="bottom"/>
          </w:tcPr>
          <w:p w14:paraId="7BB97E68"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1633608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C0BFC5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2DC0D1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EEE03E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CB5622C" w14:textId="77777777">
        <w:trPr>
          <w:cantSplit/>
        </w:trPr>
        <w:tc>
          <w:tcPr>
            <w:tcW w:w="3685" w:type="dxa"/>
            <w:tcBorders>
              <w:bottom w:val="single" w:sz="12" w:space="0" w:color="000000"/>
            </w:tcBorders>
            <w:vAlign w:val="bottom"/>
          </w:tcPr>
          <w:p w14:paraId="641B3598"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12" w:space="0" w:color="000000"/>
            </w:tcBorders>
            <w:vAlign w:val="bottom"/>
          </w:tcPr>
          <w:p w14:paraId="02E40594"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12" w:space="0" w:color="000000"/>
            </w:tcBorders>
            <w:vAlign w:val="bottom"/>
          </w:tcPr>
          <w:p w14:paraId="00B6ADD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7B372DD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0EE5F50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26F4E9A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B417489" w14:textId="77777777">
        <w:trPr>
          <w:cantSplit/>
        </w:trPr>
        <w:tc>
          <w:tcPr>
            <w:tcW w:w="3685" w:type="dxa"/>
            <w:tcBorders>
              <w:top w:val="single" w:sz="12" w:space="0" w:color="000000"/>
            </w:tcBorders>
            <w:vAlign w:val="bottom"/>
          </w:tcPr>
          <w:p w14:paraId="75840108" w14:textId="77777777" w:rsidR="008E5DE4" w:rsidRDefault="008E5DE4">
            <w:pPr>
              <w:widowControl w:val="0"/>
              <w:pBdr>
                <w:top w:val="nil"/>
                <w:left w:val="nil"/>
                <w:bottom w:val="nil"/>
                <w:right w:val="nil"/>
                <w:between w:val="nil"/>
              </w:pBdr>
              <w:ind w:left="113" w:right="-57" w:hanging="113"/>
              <w:rPr>
                <w:b/>
                <w:i/>
                <w:color w:val="000000"/>
              </w:rPr>
            </w:pPr>
          </w:p>
        </w:tc>
        <w:tc>
          <w:tcPr>
            <w:tcW w:w="1134" w:type="dxa"/>
            <w:tcBorders>
              <w:top w:val="single" w:sz="12" w:space="0" w:color="000000"/>
            </w:tcBorders>
            <w:vAlign w:val="bottom"/>
          </w:tcPr>
          <w:p w14:paraId="642881F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010E0C7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12FFF14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7FD7899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12" w:space="0" w:color="000000"/>
            </w:tcBorders>
            <w:vAlign w:val="bottom"/>
          </w:tcPr>
          <w:p w14:paraId="0AC6E4BA" w14:textId="77777777" w:rsidR="008E5DE4" w:rsidRDefault="008E5DE4">
            <w:pPr>
              <w:widowControl w:val="0"/>
              <w:pBdr>
                <w:top w:val="nil"/>
                <w:left w:val="nil"/>
                <w:bottom w:val="nil"/>
                <w:right w:val="nil"/>
                <w:between w:val="nil"/>
              </w:pBdr>
              <w:jc w:val="right"/>
              <w:rPr>
                <w:color w:val="000000"/>
              </w:rPr>
            </w:pPr>
          </w:p>
        </w:tc>
      </w:tr>
      <w:tr w:rsidR="008E5DE4" w14:paraId="1C665571" w14:textId="77777777">
        <w:trPr>
          <w:cantSplit/>
        </w:trPr>
        <w:tc>
          <w:tcPr>
            <w:tcW w:w="3685" w:type="dxa"/>
            <w:vAlign w:val="bottom"/>
          </w:tcPr>
          <w:p w14:paraId="692071C0" w14:textId="77777777" w:rsidR="008E5DE4" w:rsidRDefault="00780368">
            <w:pPr>
              <w:widowControl w:val="0"/>
              <w:pBdr>
                <w:top w:val="nil"/>
                <w:left w:val="nil"/>
                <w:bottom w:val="nil"/>
                <w:right w:val="nil"/>
                <w:between w:val="nil"/>
              </w:pBdr>
              <w:ind w:left="113" w:right="-57" w:hanging="113"/>
              <w:rPr>
                <w:b/>
                <w:color w:val="000000"/>
              </w:rPr>
            </w:pPr>
            <w:r>
              <w:rPr>
                <w:b/>
                <w:i/>
                <w:color w:val="000000"/>
              </w:rPr>
              <w:t>Municipal bonds</w:t>
            </w:r>
          </w:p>
        </w:tc>
        <w:tc>
          <w:tcPr>
            <w:tcW w:w="1134" w:type="dxa"/>
            <w:vAlign w:val="bottom"/>
          </w:tcPr>
          <w:p w14:paraId="1CB8C59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782035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C6B1E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EA4365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CC5D418" w14:textId="77777777" w:rsidR="008E5DE4" w:rsidRDefault="008E5DE4">
            <w:pPr>
              <w:widowControl w:val="0"/>
              <w:pBdr>
                <w:top w:val="nil"/>
                <w:left w:val="nil"/>
                <w:bottom w:val="nil"/>
                <w:right w:val="nil"/>
                <w:between w:val="nil"/>
              </w:pBdr>
              <w:jc w:val="right"/>
              <w:rPr>
                <w:color w:val="000000"/>
              </w:rPr>
            </w:pPr>
          </w:p>
        </w:tc>
      </w:tr>
      <w:tr w:rsidR="008E5DE4" w14:paraId="625D781F" w14:textId="77777777">
        <w:trPr>
          <w:cantSplit/>
        </w:trPr>
        <w:tc>
          <w:tcPr>
            <w:tcW w:w="3685" w:type="dxa"/>
            <w:vAlign w:val="bottom"/>
          </w:tcPr>
          <w:p w14:paraId="1CE896C9" w14:textId="77777777" w:rsidR="008E5DE4" w:rsidRDefault="00780368">
            <w:pPr>
              <w:widowControl w:val="0"/>
              <w:pBdr>
                <w:top w:val="nil"/>
                <w:left w:val="nil"/>
                <w:bottom w:val="nil"/>
                <w:right w:val="nil"/>
                <w:between w:val="nil"/>
              </w:pBdr>
              <w:ind w:left="113" w:right="-57" w:hanging="113"/>
              <w:rPr>
                <w:color w:val="0000FF"/>
              </w:rPr>
            </w:pPr>
            <w:r>
              <w:rPr>
                <w:color w:val="000000"/>
              </w:rPr>
              <w:t>- Excellent</w:t>
            </w:r>
          </w:p>
        </w:tc>
        <w:tc>
          <w:tcPr>
            <w:tcW w:w="1134" w:type="dxa"/>
            <w:vAlign w:val="bottom"/>
          </w:tcPr>
          <w:p w14:paraId="21ED627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AE7CAC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5AC95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AEB36B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A007F1" w14:textId="77777777" w:rsidR="008E5DE4" w:rsidRDefault="008E5DE4">
            <w:pPr>
              <w:widowControl w:val="0"/>
              <w:pBdr>
                <w:top w:val="nil"/>
                <w:left w:val="nil"/>
                <w:bottom w:val="nil"/>
                <w:right w:val="nil"/>
                <w:between w:val="nil"/>
              </w:pBdr>
              <w:jc w:val="right"/>
              <w:rPr>
                <w:color w:val="000000"/>
              </w:rPr>
            </w:pPr>
          </w:p>
        </w:tc>
      </w:tr>
      <w:tr w:rsidR="008E5DE4" w14:paraId="51753125" w14:textId="77777777">
        <w:trPr>
          <w:cantSplit/>
        </w:trPr>
        <w:tc>
          <w:tcPr>
            <w:tcW w:w="3685" w:type="dxa"/>
            <w:vAlign w:val="bottom"/>
          </w:tcPr>
          <w:p w14:paraId="36D639B8" w14:textId="77777777" w:rsidR="008E5DE4" w:rsidRDefault="00780368">
            <w:pPr>
              <w:widowControl w:val="0"/>
              <w:pBdr>
                <w:top w:val="nil"/>
                <w:left w:val="nil"/>
                <w:bottom w:val="nil"/>
                <w:right w:val="nil"/>
                <w:between w:val="nil"/>
              </w:pBdr>
              <w:ind w:left="113" w:right="-57" w:hanging="113"/>
              <w:rPr>
                <w:color w:val="0000FF"/>
              </w:rPr>
            </w:pPr>
            <w:r>
              <w:rPr>
                <w:color w:val="000000"/>
              </w:rPr>
              <w:t>- Good</w:t>
            </w:r>
          </w:p>
        </w:tc>
        <w:tc>
          <w:tcPr>
            <w:tcW w:w="1134" w:type="dxa"/>
            <w:vAlign w:val="bottom"/>
          </w:tcPr>
          <w:p w14:paraId="5371165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473FBC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8EBCC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EED4D6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BF2EDA" w14:textId="77777777" w:rsidR="008E5DE4" w:rsidRDefault="008E5DE4">
            <w:pPr>
              <w:widowControl w:val="0"/>
              <w:pBdr>
                <w:top w:val="nil"/>
                <w:left w:val="nil"/>
                <w:bottom w:val="nil"/>
                <w:right w:val="nil"/>
                <w:between w:val="nil"/>
              </w:pBdr>
              <w:jc w:val="right"/>
              <w:rPr>
                <w:color w:val="000000"/>
              </w:rPr>
            </w:pPr>
          </w:p>
        </w:tc>
      </w:tr>
      <w:tr w:rsidR="008E5DE4" w14:paraId="7730A25E" w14:textId="77777777">
        <w:trPr>
          <w:cantSplit/>
        </w:trPr>
        <w:tc>
          <w:tcPr>
            <w:tcW w:w="3685" w:type="dxa"/>
            <w:vAlign w:val="bottom"/>
          </w:tcPr>
          <w:p w14:paraId="17EB2B04" w14:textId="77777777" w:rsidR="008E5DE4" w:rsidRDefault="00780368">
            <w:pPr>
              <w:widowControl w:val="0"/>
              <w:pBdr>
                <w:top w:val="nil"/>
                <w:left w:val="nil"/>
                <w:bottom w:val="nil"/>
                <w:right w:val="nil"/>
                <w:between w:val="nil"/>
              </w:pBdr>
              <w:ind w:left="113" w:right="-57" w:hanging="113"/>
              <w:rPr>
                <w:color w:val="0000FF"/>
              </w:rPr>
            </w:pPr>
            <w:r>
              <w:rPr>
                <w:color w:val="000000"/>
              </w:rPr>
              <w:t>- Satisfactory</w:t>
            </w:r>
          </w:p>
        </w:tc>
        <w:tc>
          <w:tcPr>
            <w:tcW w:w="1134" w:type="dxa"/>
            <w:vAlign w:val="bottom"/>
          </w:tcPr>
          <w:p w14:paraId="33DDF26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A8100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E7B135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2A1B8A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3707BD" w14:textId="77777777" w:rsidR="008E5DE4" w:rsidRDefault="008E5DE4">
            <w:pPr>
              <w:widowControl w:val="0"/>
              <w:pBdr>
                <w:top w:val="nil"/>
                <w:left w:val="nil"/>
                <w:bottom w:val="nil"/>
                <w:right w:val="nil"/>
                <w:between w:val="nil"/>
              </w:pBdr>
              <w:jc w:val="right"/>
              <w:rPr>
                <w:color w:val="000000"/>
              </w:rPr>
            </w:pPr>
          </w:p>
        </w:tc>
      </w:tr>
      <w:tr w:rsidR="008E5DE4" w14:paraId="3A4B3EAB" w14:textId="77777777">
        <w:trPr>
          <w:cantSplit/>
        </w:trPr>
        <w:tc>
          <w:tcPr>
            <w:tcW w:w="3685" w:type="dxa"/>
            <w:vAlign w:val="bottom"/>
          </w:tcPr>
          <w:p w14:paraId="1FD1DFA5" w14:textId="77777777" w:rsidR="008E5DE4" w:rsidRDefault="00780368">
            <w:pPr>
              <w:widowControl w:val="0"/>
              <w:pBdr>
                <w:top w:val="nil"/>
                <w:left w:val="nil"/>
                <w:bottom w:val="nil"/>
                <w:right w:val="nil"/>
                <w:between w:val="nil"/>
              </w:pBdr>
              <w:ind w:left="113" w:right="-57" w:hanging="113"/>
              <w:rPr>
                <w:color w:val="000000"/>
              </w:rPr>
            </w:pPr>
            <w:r>
              <w:rPr>
                <w:color w:val="000000"/>
              </w:rPr>
              <w:t>- Special monitoring</w:t>
            </w:r>
          </w:p>
        </w:tc>
        <w:tc>
          <w:tcPr>
            <w:tcW w:w="1134" w:type="dxa"/>
            <w:vAlign w:val="bottom"/>
          </w:tcPr>
          <w:p w14:paraId="517D7B3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5EC77E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BC1602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49222E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5514831" w14:textId="77777777" w:rsidR="008E5DE4" w:rsidRDefault="008E5DE4">
            <w:pPr>
              <w:widowControl w:val="0"/>
              <w:pBdr>
                <w:top w:val="nil"/>
                <w:left w:val="nil"/>
                <w:bottom w:val="nil"/>
                <w:right w:val="nil"/>
                <w:between w:val="nil"/>
              </w:pBdr>
              <w:jc w:val="right"/>
              <w:rPr>
                <w:color w:val="000000"/>
              </w:rPr>
            </w:pPr>
          </w:p>
        </w:tc>
      </w:tr>
      <w:tr w:rsidR="008E5DE4" w14:paraId="715DCEE8" w14:textId="77777777">
        <w:trPr>
          <w:cantSplit/>
        </w:trPr>
        <w:tc>
          <w:tcPr>
            <w:tcW w:w="3685" w:type="dxa"/>
            <w:vAlign w:val="bottom"/>
          </w:tcPr>
          <w:p w14:paraId="73AFE8CE" w14:textId="77777777" w:rsidR="008E5DE4" w:rsidRDefault="00780368">
            <w:pPr>
              <w:widowControl w:val="0"/>
              <w:pBdr>
                <w:top w:val="nil"/>
                <w:left w:val="nil"/>
                <w:bottom w:val="nil"/>
                <w:right w:val="nil"/>
                <w:between w:val="nil"/>
              </w:pBdr>
              <w:ind w:left="113" w:right="-57" w:hanging="113"/>
              <w:rPr>
                <w:color w:val="0000FF"/>
              </w:rPr>
            </w:pPr>
            <w:r>
              <w:rPr>
                <w:color w:val="000000"/>
              </w:rPr>
              <w:t>- Default</w:t>
            </w:r>
          </w:p>
        </w:tc>
        <w:tc>
          <w:tcPr>
            <w:tcW w:w="1134" w:type="dxa"/>
            <w:vAlign w:val="bottom"/>
          </w:tcPr>
          <w:p w14:paraId="3E831A0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8952E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D3D7C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AE2B56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5621DC" w14:textId="77777777" w:rsidR="008E5DE4" w:rsidRDefault="008E5DE4">
            <w:pPr>
              <w:widowControl w:val="0"/>
              <w:pBdr>
                <w:top w:val="nil"/>
                <w:left w:val="nil"/>
                <w:bottom w:val="nil"/>
                <w:right w:val="nil"/>
                <w:between w:val="nil"/>
              </w:pBdr>
              <w:jc w:val="right"/>
              <w:rPr>
                <w:color w:val="000000"/>
              </w:rPr>
            </w:pPr>
          </w:p>
        </w:tc>
      </w:tr>
      <w:tr w:rsidR="008E5DE4" w14:paraId="3A58F403" w14:textId="77777777">
        <w:trPr>
          <w:cantSplit/>
        </w:trPr>
        <w:tc>
          <w:tcPr>
            <w:tcW w:w="3685" w:type="dxa"/>
            <w:tcBorders>
              <w:bottom w:val="single" w:sz="4" w:space="0" w:color="000000"/>
            </w:tcBorders>
            <w:vAlign w:val="bottom"/>
          </w:tcPr>
          <w:p w14:paraId="36D7A041"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092BAEC4" w14:textId="77777777" w:rsidR="008E5DE4" w:rsidRDefault="008E5DE4">
            <w:pPr>
              <w:widowControl w:val="0"/>
              <w:pBdr>
                <w:top w:val="nil"/>
                <w:left w:val="nil"/>
                <w:bottom w:val="nil"/>
                <w:right w:val="nil"/>
                <w:between w:val="nil"/>
              </w:pBdr>
              <w:rPr>
                <w:color w:val="000000"/>
              </w:rPr>
            </w:pPr>
          </w:p>
        </w:tc>
        <w:tc>
          <w:tcPr>
            <w:tcW w:w="1134" w:type="dxa"/>
            <w:tcBorders>
              <w:bottom w:val="single" w:sz="4" w:space="0" w:color="000000"/>
            </w:tcBorders>
            <w:vAlign w:val="bottom"/>
          </w:tcPr>
          <w:p w14:paraId="6BDC3DD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B3C3FA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162196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B76098B" w14:textId="77777777" w:rsidR="008E5DE4" w:rsidRDefault="008E5DE4">
            <w:pPr>
              <w:widowControl w:val="0"/>
              <w:pBdr>
                <w:top w:val="nil"/>
                <w:left w:val="nil"/>
                <w:bottom w:val="nil"/>
                <w:right w:val="nil"/>
                <w:between w:val="nil"/>
              </w:pBdr>
              <w:jc w:val="right"/>
              <w:rPr>
                <w:color w:val="000000"/>
              </w:rPr>
            </w:pPr>
          </w:p>
        </w:tc>
      </w:tr>
      <w:tr w:rsidR="008E5DE4" w14:paraId="2A1B1104" w14:textId="77777777">
        <w:trPr>
          <w:cantSplit/>
        </w:trPr>
        <w:tc>
          <w:tcPr>
            <w:tcW w:w="3685" w:type="dxa"/>
            <w:tcBorders>
              <w:top w:val="single" w:sz="4" w:space="0" w:color="000000"/>
            </w:tcBorders>
            <w:vAlign w:val="bottom"/>
          </w:tcPr>
          <w:p w14:paraId="0195DAC1"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6CF5D26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D95FE1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E422FD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C3249B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0438A3D" w14:textId="77777777" w:rsidR="008E5DE4" w:rsidRDefault="008E5DE4">
            <w:pPr>
              <w:widowControl w:val="0"/>
              <w:pBdr>
                <w:top w:val="nil"/>
                <w:left w:val="nil"/>
                <w:bottom w:val="nil"/>
                <w:right w:val="nil"/>
                <w:between w:val="nil"/>
              </w:pBdr>
              <w:jc w:val="right"/>
              <w:rPr>
                <w:color w:val="000000"/>
              </w:rPr>
            </w:pPr>
          </w:p>
        </w:tc>
      </w:tr>
      <w:tr w:rsidR="008E5DE4" w14:paraId="0F6B8C28" w14:textId="77777777">
        <w:trPr>
          <w:cantSplit/>
        </w:trPr>
        <w:tc>
          <w:tcPr>
            <w:tcW w:w="3685" w:type="dxa"/>
            <w:vAlign w:val="bottom"/>
          </w:tcPr>
          <w:p w14:paraId="6B688B89" w14:textId="77777777" w:rsidR="008E5DE4" w:rsidRDefault="00780368">
            <w:pPr>
              <w:widowControl w:val="0"/>
              <w:pBdr>
                <w:top w:val="nil"/>
                <w:left w:val="nil"/>
                <w:bottom w:val="nil"/>
                <w:right w:val="nil"/>
                <w:between w:val="nil"/>
              </w:pBdr>
              <w:ind w:left="113" w:right="-57" w:hanging="113"/>
              <w:rPr>
                <w:b/>
                <w:color w:val="000000"/>
              </w:rPr>
            </w:pPr>
            <w:r>
              <w:rPr>
                <w:b/>
                <w:color w:val="000000"/>
              </w:rPr>
              <w:t>Gross carrying amount</w:t>
            </w:r>
          </w:p>
        </w:tc>
        <w:tc>
          <w:tcPr>
            <w:tcW w:w="1134" w:type="dxa"/>
            <w:vAlign w:val="bottom"/>
          </w:tcPr>
          <w:p w14:paraId="24BDF2B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616332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B40CC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25AB99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D8F598E" w14:textId="77777777" w:rsidR="008E5DE4" w:rsidRDefault="008E5DE4">
            <w:pPr>
              <w:widowControl w:val="0"/>
              <w:pBdr>
                <w:top w:val="nil"/>
                <w:left w:val="nil"/>
                <w:bottom w:val="nil"/>
                <w:right w:val="nil"/>
                <w:between w:val="nil"/>
              </w:pBdr>
              <w:jc w:val="right"/>
              <w:rPr>
                <w:color w:val="000000"/>
              </w:rPr>
            </w:pPr>
          </w:p>
        </w:tc>
      </w:tr>
      <w:tr w:rsidR="008E5DE4" w14:paraId="7A8E6B0B" w14:textId="77777777">
        <w:trPr>
          <w:cantSplit/>
        </w:trPr>
        <w:tc>
          <w:tcPr>
            <w:tcW w:w="3685" w:type="dxa"/>
            <w:tcBorders>
              <w:bottom w:val="single" w:sz="4" w:space="0" w:color="000000"/>
            </w:tcBorders>
            <w:vAlign w:val="bottom"/>
          </w:tcPr>
          <w:p w14:paraId="2BEC9FC4"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2FB9F5C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C158E8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209D1B2"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DBE6EC8"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DACD5AF" w14:textId="77777777" w:rsidR="008E5DE4" w:rsidRDefault="008E5DE4">
            <w:pPr>
              <w:widowControl w:val="0"/>
              <w:pBdr>
                <w:top w:val="nil"/>
                <w:left w:val="nil"/>
                <w:bottom w:val="nil"/>
                <w:right w:val="nil"/>
                <w:between w:val="nil"/>
              </w:pBdr>
              <w:jc w:val="right"/>
              <w:rPr>
                <w:color w:val="000000"/>
              </w:rPr>
            </w:pPr>
          </w:p>
        </w:tc>
      </w:tr>
      <w:tr w:rsidR="008E5DE4" w14:paraId="2E4B439F" w14:textId="77777777">
        <w:trPr>
          <w:cantSplit/>
        </w:trPr>
        <w:tc>
          <w:tcPr>
            <w:tcW w:w="3685" w:type="dxa"/>
            <w:tcBorders>
              <w:top w:val="single" w:sz="4" w:space="0" w:color="000000"/>
            </w:tcBorders>
            <w:vAlign w:val="bottom"/>
          </w:tcPr>
          <w:p w14:paraId="44AD8858"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505481D7"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5506083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375400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425380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2E38AA9" w14:textId="77777777" w:rsidR="008E5DE4" w:rsidRDefault="008E5DE4">
            <w:pPr>
              <w:widowControl w:val="0"/>
              <w:pBdr>
                <w:top w:val="nil"/>
                <w:left w:val="nil"/>
                <w:bottom w:val="nil"/>
                <w:right w:val="nil"/>
                <w:between w:val="nil"/>
              </w:pBdr>
              <w:jc w:val="right"/>
              <w:rPr>
                <w:color w:val="000000"/>
              </w:rPr>
            </w:pPr>
          </w:p>
        </w:tc>
      </w:tr>
      <w:tr w:rsidR="008E5DE4" w14:paraId="2B137E40" w14:textId="77777777">
        <w:trPr>
          <w:cantSplit/>
        </w:trPr>
        <w:tc>
          <w:tcPr>
            <w:tcW w:w="3685" w:type="dxa"/>
            <w:vAlign w:val="bottom"/>
          </w:tcPr>
          <w:p w14:paraId="186DF684" w14:textId="77777777" w:rsidR="008E5DE4" w:rsidRDefault="00780368">
            <w:pPr>
              <w:widowControl w:val="0"/>
              <w:pBdr>
                <w:top w:val="nil"/>
                <w:left w:val="nil"/>
                <w:bottom w:val="nil"/>
                <w:right w:val="nil"/>
                <w:between w:val="nil"/>
              </w:pBdr>
              <w:ind w:left="113" w:right="-57" w:hanging="113"/>
              <w:rPr>
                <w:color w:val="000000"/>
              </w:rPr>
            </w:pPr>
            <w:r>
              <w:rPr>
                <w:color w:val="000000"/>
              </w:rPr>
              <w:t>Credit loss allowance</w:t>
            </w:r>
          </w:p>
        </w:tc>
        <w:tc>
          <w:tcPr>
            <w:tcW w:w="1134" w:type="dxa"/>
            <w:vAlign w:val="bottom"/>
          </w:tcPr>
          <w:p w14:paraId="4D96F1EE" w14:textId="77777777" w:rsidR="008E5DE4" w:rsidRDefault="008E5DE4">
            <w:pPr>
              <w:widowControl w:val="0"/>
              <w:pBdr>
                <w:top w:val="nil"/>
                <w:left w:val="nil"/>
                <w:bottom w:val="nil"/>
                <w:right w:val="nil"/>
                <w:between w:val="nil"/>
              </w:pBdr>
              <w:rPr>
                <w:color w:val="000000"/>
              </w:rPr>
            </w:pPr>
          </w:p>
        </w:tc>
        <w:tc>
          <w:tcPr>
            <w:tcW w:w="1134" w:type="dxa"/>
            <w:vAlign w:val="bottom"/>
          </w:tcPr>
          <w:p w14:paraId="32CC185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ACEBC7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821DD0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2A2D2A" w14:textId="77777777" w:rsidR="008E5DE4" w:rsidRDefault="008E5DE4">
            <w:pPr>
              <w:widowControl w:val="0"/>
              <w:pBdr>
                <w:top w:val="nil"/>
                <w:left w:val="nil"/>
                <w:bottom w:val="nil"/>
                <w:right w:val="nil"/>
                <w:between w:val="nil"/>
              </w:pBdr>
              <w:jc w:val="right"/>
              <w:rPr>
                <w:color w:val="000000"/>
              </w:rPr>
            </w:pPr>
          </w:p>
        </w:tc>
      </w:tr>
      <w:tr w:rsidR="008E5DE4" w14:paraId="10AB36B6" w14:textId="77777777">
        <w:trPr>
          <w:cantSplit/>
        </w:trPr>
        <w:tc>
          <w:tcPr>
            <w:tcW w:w="3685" w:type="dxa"/>
            <w:vAlign w:val="bottom"/>
          </w:tcPr>
          <w:p w14:paraId="25DF167F"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7A6ED748" w14:textId="77777777" w:rsidR="008E5DE4" w:rsidRDefault="008E5DE4">
            <w:pPr>
              <w:widowControl w:val="0"/>
              <w:pBdr>
                <w:top w:val="nil"/>
                <w:left w:val="nil"/>
                <w:bottom w:val="nil"/>
                <w:right w:val="nil"/>
                <w:between w:val="nil"/>
              </w:pBdr>
              <w:rPr>
                <w:color w:val="000000"/>
              </w:rPr>
            </w:pPr>
          </w:p>
        </w:tc>
        <w:tc>
          <w:tcPr>
            <w:tcW w:w="1134" w:type="dxa"/>
            <w:vAlign w:val="bottom"/>
          </w:tcPr>
          <w:p w14:paraId="0945DA7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DBFEF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DD253B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E1FCC6" w14:textId="77777777" w:rsidR="008E5DE4" w:rsidRDefault="008E5DE4">
            <w:pPr>
              <w:widowControl w:val="0"/>
              <w:pBdr>
                <w:top w:val="nil"/>
                <w:left w:val="nil"/>
                <w:bottom w:val="nil"/>
                <w:right w:val="nil"/>
                <w:between w:val="nil"/>
              </w:pBdr>
              <w:jc w:val="right"/>
              <w:rPr>
                <w:color w:val="000000"/>
              </w:rPr>
            </w:pPr>
          </w:p>
        </w:tc>
      </w:tr>
      <w:tr w:rsidR="008E5DE4" w14:paraId="7F2470CD" w14:textId="77777777">
        <w:trPr>
          <w:cantSplit/>
        </w:trPr>
        <w:tc>
          <w:tcPr>
            <w:tcW w:w="3685" w:type="dxa"/>
            <w:tcBorders>
              <w:top w:val="single" w:sz="4" w:space="0" w:color="000000"/>
            </w:tcBorders>
            <w:vAlign w:val="bottom"/>
          </w:tcPr>
          <w:p w14:paraId="135EA47C"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0D8DDA6" w14:textId="77777777" w:rsidR="008E5DE4" w:rsidRDefault="008E5DE4">
            <w:pPr>
              <w:widowControl w:val="0"/>
              <w:pBdr>
                <w:top w:val="nil"/>
                <w:left w:val="nil"/>
                <w:bottom w:val="nil"/>
                <w:right w:val="nil"/>
                <w:between w:val="nil"/>
              </w:pBdr>
              <w:rPr>
                <w:color w:val="000000"/>
              </w:rPr>
            </w:pPr>
          </w:p>
        </w:tc>
        <w:tc>
          <w:tcPr>
            <w:tcW w:w="1134" w:type="dxa"/>
            <w:tcBorders>
              <w:top w:val="single" w:sz="4" w:space="0" w:color="000000"/>
            </w:tcBorders>
            <w:vAlign w:val="bottom"/>
          </w:tcPr>
          <w:p w14:paraId="0ABBF06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702D47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29CED4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946E0A3" w14:textId="77777777" w:rsidR="008E5DE4" w:rsidRDefault="008E5DE4">
            <w:pPr>
              <w:widowControl w:val="0"/>
              <w:pBdr>
                <w:top w:val="nil"/>
                <w:left w:val="nil"/>
                <w:bottom w:val="nil"/>
                <w:right w:val="nil"/>
                <w:between w:val="nil"/>
              </w:pBdr>
              <w:jc w:val="right"/>
              <w:rPr>
                <w:color w:val="000000"/>
              </w:rPr>
            </w:pPr>
          </w:p>
        </w:tc>
      </w:tr>
      <w:tr w:rsidR="008E5DE4" w14:paraId="133D2DF0" w14:textId="77777777">
        <w:trPr>
          <w:cantSplit/>
        </w:trPr>
        <w:tc>
          <w:tcPr>
            <w:tcW w:w="3685" w:type="dxa"/>
            <w:vAlign w:val="bottom"/>
          </w:tcPr>
          <w:p w14:paraId="34087364" w14:textId="77777777" w:rsidR="008E5DE4" w:rsidRDefault="00780368">
            <w:pPr>
              <w:widowControl w:val="0"/>
              <w:pBdr>
                <w:top w:val="nil"/>
                <w:left w:val="nil"/>
                <w:bottom w:val="nil"/>
                <w:right w:val="nil"/>
                <w:between w:val="nil"/>
              </w:pBdr>
              <w:ind w:left="113" w:right="-57" w:hanging="113"/>
              <w:rPr>
                <w:b/>
                <w:color w:val="000000"/>
              </w:rPr>
            </w:pPr>
            <w:r>
              <w:rPr>
                <w:b/>
                <w:color w:val="000000"/>
              </w:rPr>
              <w:t>Carrying amount</w:t>
            </w:r>
          </w:p>
        </w:tc>
        <w:tc>
          <w:tcPr>
            <w:tcW w:w="1134" w:type="dxa"/>
            <w:vAlign w:val="bottom"/>
          </w:tcPr>
          <w:p w14:paraId="433F942D" w14:textId="77777777" w:rsidR="008E5DE4" w:rsidRDefault="008E5DE4">
            <w:pPr>
              <w:widowControl w:val="0"/>
              <w:pBdr>
                <w:top w:val="nil"/>
                <w:left w:val="nil"/>
                <w:bottom w:val="nil"/>
                <w:right w:val="nil"/>
                <w:between w:val="nil"/>
              </w:pBdr>
              <w:rPr>
                <w:color w:val="000000"/>
              </w:rPr>
            </w:pPr>
          </w:p>
        </w:tc>
        <w:tc>
          <w:tcPr>
            <w:tcW w:w="1134" w:type="dxa"/>
            <w:vAlign w:val="bottom"/>
          </w:tcPr>
          <w:p w14:paraId="79245BC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2E30FC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E04D2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FDD766" w14:textId="77777777" w:rsidR="008E5DE4" w:rsidRDefault="008E5DE4">
            <w:pPr>
              <w:widowControl w:val="0"/>
              <w:pBdr>
                <w:top w:val="nil"/>
                <w:left w:val="nil"/>
                <w:bottom w:val="nil"/>
                <w:right w:val="nil"/>
                <w:between w:val="nil"/>
              </w:pBdr>
              <w:jc w:val="right"/>
              <w:rPr>
                <w:color w:val="000000"/>
              </w:rPr>
            </w:pPr>
          </w:p>
        </w:tc>
      </w:tr>
      <w:tr w:rsidR="008E5DE4" w14:paraId="7F850B91" w14:textId="77777777">
        <w:trPr>
          <w:cantSplit/>
        </w:trPr>
        <w:tc>
          <w:tcPr>
            <w:tcW w:w="3685" w:type="dxa"/>
            <w:tcBorders>
              <w:bottom w:val="single" w:sz="12" w:space="0" w:color="000000"/>
            </w:tcBorders>
            <w:vAlign w:val="bottom"/>
          </w:tcPr>
          <w:p w14:paraId="2D180769"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12" w:space="0" w:color="000000"/>
            </w:tcBorders>
            <w:vAlign w:val="bottom"/>
          </w:tcPr>
          <w:p w14:paraId="0DE11BF7" w14:textId="77777777" w:rsidR="008E5DE4" w:rsidRDefault="008E5DE4">
            <w:pPr>
              <w:widowControl w:val="0"/>
              <w:pBdr>
                <w:top w:val="nil"/>
                <w:left w:val="nil"/>
                <w:bottom w:val="nil"/>
                <w:right w:val="nil"/>
                <w:between w:val="nil"/>
              </w:pBdr>
              <w:rPr>
                <w:color w:val="000000"/>
              </w:rPr>
            </w:pPr>
          </w:p>
        </w:tc>
        <w:tc>
          <w:tcPr>
            <w:tcW w:w="1134" w:type="dxa"/>
            <w:tcBorders>
              <w:bottom w:val="single" w:sz="12" w:space="0" w:color="000000"/>
            </w:tcBorders>
            <w:vAlign w:val="bottom"/>
          </w:tcPr>
          <w:p w14:paraId="0FFA9DE3"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1C87C81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2012C2F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0ACD42B7" w14:textId="77777777" w:rsidR="008E5DE4" w:rsidRDefault="008E5DE4">
            <w:pPr>
              <w:widowControl w:val="0"/>
              <w:pBdr>
                <w:top w:val="nil"/>
                <w:left w:val="nil"/>
                <w:bottom w:val="nil"/>
                <w:right w:val="nil"/>
                <w:between w:val="nil"/>
              </w:pBdr>
              <w:jc w:val="right"/>
              <w:rPr>
                <w:color w:val="000000"/>
              </w:rPr>
            </w:pPr>
          </w:p>
        </w:tc>
      </w:tr>
    </w:tbl>
    <w:p w14:paraId="2E19B682"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tbl>
      <w:tblPr>
        <w:tblStyle w:val="afffffffa"/>
        <w:tblW w:w="9354" w:type="dxa"/>
        <w:tblLayout w:type="fixed"/>
        <w:tblLook w:val="0000" w:firstRow="0" w:lastRow="0" w:firstColumn="0" w:lastColumn="0" w:noHBand="0" w:noVBand="0"/>
      </w:tblPr>
      <w:tblGrid>
        <w:gridCol w:w="3684"/>
        <w:gridCol w:w="1134"/>
        <w:gridCol w:w="1134"/>
        <w:gridCol w:w="1134"/>
        <w:gridCol w:w="1134"/>
        <w:gridCol w:w="1134"/>
      </w:tblGrid>
      <w:tr w:rsidR="008E5DE4" w14:paraId="48EA0ECC" w14:textId="77777777">
        <w:trPr>
          <w:cantSplit/>
          <w:tblHeader/>
        </w:trPr>
        <w:tc>
          <w:tcPr>
            <w:tcW w:w="3685" w:type="dxa"/>
            <w:tcBorders>
              <w:bottom w:val="single" w:sz="4" w:space="0" w:color="000000"/>
            </w:tcBorders>
            <w:vAlign w:val="bottom"/>
          </w:tcPr>
          <w:p w14:paraId="2B7B6462"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134" w:type="dxa"/>
            <w:tcBorders>
              <w:bottom w:val="single" w:sz="4" w:space="0" w:color="000000"/>
            </w:tcBorders>
          </w:tcPr>
          <w:p w14:paraId="37C6BE32"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Stage 1 </w:t>
            </w:r>
          </w:p>
          <w:p w14:paraId="5E7B5FA6"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(12-months ECL)</w:t>
            </w:r>
          </w:p>
        </w:tc>
        <w:tc>
          <w:tcPr>
            <w:tcW w:w="1134" w:type="dxa"/>
            <w:tcBorders>
              <w:bottom w:val="single" w:sz="4" w:space="0" w:color="000000"/>
            </w:tcBorders>
          </w:tcPr>
          <w:p w14:paraId="3E115B31"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Stage 2</w:t>
            </w:r>
          </w:p>
          <w:p w14:paraId="3AE43241"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(lifetime ECL for SICR) </w:t>
            </w:r>
          </w:p>
        </w:tc>
        <w:tc>
          <w:tcPr>
            <w:tcW w:w="1134" w:type="dxa"/>
            <w:tcBorders>
              <w:bottom w:val="single" w:sz="4" w:space="0" w:color="000000"/>
            </w:tcBorders>
          </w:tcPr>
          <w:p w14:paraId="5F68BE14"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Stage 3</w:t>
            </w:r>
          </w:p>
          <w:p w14:paraId="5050F6A2"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(lifetime ECL for credit im-paired)</w:t>
            </w:r>
          </w:p>
        </w:tc>
        <w:tc>
          <w:tcPr>
            <w:tcW w:w="1134" w:type="dxa"/>
            <w:tcBorders>
              <w:bottom w:val="single" w:sz="4" w:space="0" w:color="000000"/>
            </w:tcBorders>
          </w:tcPr>
          <w:p w14:paraId="4D1277DF"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POCI</w:t>
            </w:r>
          </w:p>
        </w:tc>
        <w:tc>
          <w:tcPr>
            <w:tcW w:w="1134" w:type="dxa"/>
            <w:tcBorders>
              <w:bottom w:val="single" w:sz="4" w:space="0" w:color="000000"/>
            </w:tcBorders>
          </w:tcPr>
          <w:p w14:paraId="588D89BD"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r>
      <w:tr w:rsidR="008E5DE4" w14:paraId="6B9899D6" w14:textId="77777777">
        <w:trPr>
          <w:cantSplit/>
        </w:trPr>
        <w:tc>
          <w:tcPr>
            <w:tcW w:w="3685" w:type="dxa"/>
            <w:tcBorders>
              <w:top w:val="single" w:sz="4" w:space="0" w:color="000000"/>
            </w:tcBorders>
            <w:vAlign w:val="bottom"/>
          </w:tcPr>
          <w:p w14:paraId="56467A9B"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68DA659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D79726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725E97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647AB8E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3151A2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D184FAA" w14:textId="77777777">
        <w:trPr>
          <w:cantSplit/>
        </w:trPr>
        <w:tc>
          <w:tcPr>
            <w:tcW w:w="3685" w:type="dxa"/>
            <w:vAlign w:val="bottom"/>
          </w:tcPr>
          <w:p w14:paraId="5852A0E0"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i/>
                <w:color w:val="000000"/>
              </w:rPr>
              <w:t>Corporate bonds</w:t>
            </w:r>
          </w:p>
        </w:tc>
        <w:tc>
          <w:tcPr>
            <w:tcW w:w="1134" w:type="dxa"/>
            <w:vAlign w:val="bottom"/>
          </w:tcPr>
          <w:p w14:paraId="74F28E3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846897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51501D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1F4338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069922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C50830E" w14:textId="77777777">
        <w:trPr>
          <w:cantSplit/>
        </w:trPr>
        <w:tc>
          <w:tcPr>
            <w:tcW w:w="3685" w:type="dxa"/>
            <w:vAlign w:val="bottom"/>
          </w:tcPr>
          <w:p w14:paraId="18B4E568"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Excellent</w:t>
            </w:r>
          </w:p>
        </w:tc>
        <w:tc>
          <w:tcPr>
            <w:tcW w:w="1134" w:type="dxa"/>
            <w:vAlign w:val="bottom"/>
          </w:tcPr>
          <w:p w14:paraId="6ED1868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723727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5EA1AE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1174FF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66358C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5A5C145" w14:textId="77777777">
        <w:trPr>
          <w:cantSplit/>
        </w:trPr>
        <w:tc>
          <w:tcPr>
            <w:tcW w:w="3685" w:type="dxa"/>
            <w:vAlign w:val="bottom"/>
          </w:tcPr>
          <w:p w14:paraId="37C0B0F7"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Good</w:t>
            </w:r>
          </w:p>
        </w:tc>
        <w:tc>
          <w:tcPr>
            <w:tcW w:w="1134" w:type="dxa"/>
            <w:vAlign w:val="bottom"/>
          </w:tcPr>
          <w:p w14:paraId="7651B76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7F551F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9574F0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57F532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0A6AF7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EAC464E" w14:textId="77777777">
        <w:trPr>
          <w:cantSplit/>
        </w:trPr>
        <w:tc>
          <w:tcPr>
            <w:tcW w:w="3685" w:type="dxa"/>
            <w:vAlign w:val="bottom"/>
          </w:tcPr>
          <w:p w14:paraId="12F43C87"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Satisfactory</w:t>
            </w:r>
          </w:p>
        </w:tc>
        <w:tc>
          <w:tcPr>
            <w:tcW w:w="1134" w:type="dxa"/>
            <w:vAlign w:val="bottom"/>
          </w:tcPr>
          <w:p w14:paraId="3EC2B87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F2B458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A17D05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EA09A8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2562A9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9FC79B9" w14:textId="77777777">
        <w:trPr>
          <w:cantSplit/>
        </w:trPr>
        <w:tc>
          <w:tcPr>
            <w:tcW w:w="3685" w:type="dxa"/>
            <w:vAlign w:val="bottom"/>
          </w:tcPr>
          <w:p w14:paraId="321216A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Special monitoring</w:t>
            </w:r>
          </w:p>
        </w:tc>
        <w:tc>
          <w:tcPr>
            <w:tcW w:w="1134" w:type="dxa"/>
            <w:vAlign w:val="bottom"/>
          </w:tcPr>
          <w:p w14:paraId="7AFC938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6B4BA7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E6192F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04ECDC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A38A41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9400EF2" w14:textId="77777777">
        <w:trPr>
          <w:cantSplit/>
        </w:trPr>
        <w:tc>
          <w:tcPr>
            <w:tcW w:w="3685" w:type="dxa"/>
            <w:vAlign w:val="bottom"/>
          </w:tcPr>
          <w:p w14:paraId="25D686D9"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Default</w:t>
            </w:r>
          </w:p>
        </w:tc>
        <w:tc>
          <w:tcPr>
            <w:tcW w:w="1134" w:type="dxa"/>
            <w:vAlign w:val="bottom"/>
          </w:tcPr>
          <w:p w14:paraId="3200081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6439C0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AC6409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2A8BE9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EA4899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D8D8668" w14:textId="77777777">
        <w:trPr>
          <w:cantSplit/>
        </w:trPr>
        <w:tc>
          <w:tcPr>
            <w:tcW w:w="3685" w:type="dxa"/>
            <w:tcBorders>
              <w:bottom w:val="single" w:sz="4" w:space="0" w:color="000000"/>
            </w:tcBorders>
            <w:vAlign w:val="bottom"/>
          </w:tcPr>
          <w:p w14:paraId="698A3BB1"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7720F713"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4" w:space="0" w:color="000000"/>
            </w:tcBorders>
            <w:vAlign w:val="bottom"/>
          </w:tcPr>
          <w:p w14:paraId="46B384D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6FFB3BE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1437434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271BB8C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EB5270A" w14:textId="77777777">
        <w:trPr>
          <w:cantSplit/>
        </w:trPr>
        <w:tc>
          <w:tcPr>
            <w:tcW w:w="3685" w:type="dxa"/>
            <w:tcBorders>
              <w:top w:val="single" w:sz="4" w:space="0" w:color="000000"/>
            </w:tcBorders>
            <w:vAlign w:val="bottom"/>
          </w:tcPr>
          <w:p w14:paraId="696A403C"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2C2F32C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9BB2B1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C702F4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6D2732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299BB5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C1CCB8E" w14:textId="77777777">
        <w:trPr>
          <w:cantSplit/>
        </w:trPr>
        <w:tc>
          <w:tcPr>
            <w:tcW w:w="3685" w:type="dxa"/>
            <w:vAlign w:val="bottom"/>
          </w:tcPr>
          <w:p w14:paraId="76A77F13"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Gross carrying amount</w:t>
            </w:r>
          </w:p>
        </w:tc>
        <w:tc>
          <w:tcPr>
            <w:tcW w:w="1134" w:type="dxa"/>
            <w:vAlign w:val="bottom"/>
          </w:tcPr>
          <w:p w14:paraId="12C2F0F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BA21CE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53B8B1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85465B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8CE443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F1A1E2F" w14:textId="77777777">
        <w:trPr>
          <w:cantSplit/>
        </w:trPr>
        <w:tc>
          <w:tcPr>
            <w:tcW w:w="3685" w:type="dxa"/>
            <w:tcBorders>
              <w:bottom w:val="single" w:sz="4" w:space="0" w:color="000000"/>
            </w:tcBorders>
            <w:vAlign w:val="bottom"/>
          </w:tcPr>
          <w:p w14:paraId="47B9AF92"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39915B9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18738AB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239E818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12DBDE1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17E45EE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EF32C6A" w14:textId="77777777">
        <w:trPr>
          <w:cantSplit/>
        </w:trPr>
        <w:tc>
          <w:tcPr>
            <w:tcW w:w="3685" w:type="dxa"/>
            <w:tcBorders>
              <w:top w:val="single" w:sz="4" w:space="0" w:color="000000"/>
            </w:tcBorders>
            <w:vAlign w:val="bottom"/>
          </w:tcPr>
          <w:p w14:paraId="1804CF7D"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0B989CCB"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78C3DBE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CD91E8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0756F5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43C78C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6F34F6C" w14:textId="77777777">
        <w:trPr>
          <w:cantSplit/>
        </w:trPr>
        <w:tc>
          <w:tcPr>
            <w:tcW w:w="3685" w:type="dxa"/>
            <w:vAlign w:val="bottom"/>
          </w:tcPr>
          <w:p w14:paraId="21FB989E"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Credit loss allowance</w:t>
            </w:r>
          </w:p>
        </w:tc>
        <w:tc>
          <w:tcPr>
            <w:tcW w:w="1134" w:type="dxa"/>
            <w:vAlign w:val="bottom"/>
          </w:tcPr>
          <w:p w14:paraId="4C1AA6C6"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357CD30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0B9AF6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E8BE5A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7F6179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66E96B3" w14:textId="77777777">
        <w:trPr>
          <w:cantSplit/>
        </w:trPr>
        <w:tc>
          <w:tcPr>
            <w:tcW w:w="3685" w:type="dxa"/>
            <w:vAlign w:val="bottom"/>
          </w:tcPr>
          <w:p w14:paraId="4F3AC716"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vAlign w:val="bottom"/>
          </w:tcPr>
          <w:p w14:paraId="1CF48391"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6B680CB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1BCCDC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32F2A8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37F51B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23D9267" w14:textId="77777777">
        <w:trPr>
          <w:cantSplit/>
        </w:trPr>
        <w:tc>
          <w:tcPr>
            <w:tcW w:w="3685" w:type="dxa"/>
            <w:tcBorders>
              <w:top w:val="single" w:sz="4" w:space="0" w:color="000000"/>
            </w:tcBorders>
            <w:vAlign w:val="bottom"/>
          </w:tcPr>
          <w:p w14:paraId="2B9813DD"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043EE007"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7B251EB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A1953A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8AC59B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6FB502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5D7A927" w14:textId="77777777">
        <w:trPr>
          <w:cantSplit/>
        </w:trPr>
        <w:tc>
          <w:tcPr>
            <w:tcW w:w="3685" w:type="dxa"/>
            <w:vAlign w:val="bottom"/>
          </w:tcPr>
          <w:p w14:paraId="5F26246D"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Carrying amount</w:t>
            </w:r>
          </w:p>
        </w:tc>
        <w:tc>
          <w:tcPr>
            <w:tcW w:w="1134" w:type="dxa"/>
            <w:vAlign w:val="bottom"/>
          </w:tcPr>
          <w:p w14:paraId="55504D7A"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04B9200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D0E9D2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4B007F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02E289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5583B2C" w14:textId="77777777">
        <w:trPr>
          <w:cantSplit/>
        </w:trPr>
        <w:tc>
          <w:tcPr>
            <w:tcW w:w="3685" w:type="dxa"/>
            <w:tcBorders>
              <w:bottom w:val="single" w:sz="12" w:space="0" w:color="000000"/>
            </w:tcBorders>
            <w:vAlign w:val="bottom"/>
          </w:tcPr>
          <w:p w14:paraId="6D8132E1"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12" w:space="0" w:color="000000"/>
            </w:tcBorders>
            <w:vAlign w:val="bottom"/>
          </w:tcPr>
          <w:p w14:paraId="1089C95E"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12" w:space="0" w:color="000000"/>
            </w:tcBorders>
            <w:vAlign w:val="bottom"/>
          </w:tcPr>
          <w:p w14:paraId="10FED6B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1B8013D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1B8594B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6EA61A9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CEEE1CD" w14:textId="77777777">
        <w:trPr>
          <w:cantSplit/>
        </w:trPr>
        <w:tc>
          <w:tcPr>
            <w:tcW w:w="3685" w:type="dxa"/>
            <w:vAlign w:val="bottom"/>
          </w:tcPr>
          <w:p w14:paraId="54E2F919"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vAlign w:val="bottom"/>
          </w:tcPr>
          <w:p w14:paraId="227B268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980BDF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B05635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8BFA3B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AF8916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569B48C" w14:textId="77777777">
        <w:trPr>
          <w:gridAfter w:val="5"/>
          <w:wAfter w:w="5670" w:type="dxa"/>
          <w:cantSplit/>
        </w:trPr>
        <w:tc>
          <w:tcPr>
            <w:tcW w:w="3685" w:type="dxa"/>
            <w:vAlign w:val="bottom"/>
          </w:tcPr>
          <w:p w14:paraId="035956F5" w14:textId="1866EE59"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 xml:space="preserve">Promissory notes </w:t>
            </w:r>
          </w:p>
        </w:tc>
      </w:tr>
      <w:tr w:rsidR="008E5DE4" w14:paraId="5DADF143" w14:textId="77777777">
        <w:trPr>
          <w:cantSplit/>
        </w:trPr>
        <w:tc>
          <w:tcPr>
            <w:tcW w:w="3685" w:type="dxa"/>
            <w:vAlign w:val="bottom"/>
          </w:tcPr>
          <w:p w14:paraId="13401389"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Excellent</w:t>
            </w:r>
          </w:p>
        </w:tc>
        <w:tc>
          <w:tcPr>
            <w:tcW w:w="1134" w:type="dxa"/>
            <w:vAlign w:val="bottom"/>
          </w:tcPr>
          <w:p w14:paraId="1C3A3CD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13D0EA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E67CA8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ED156D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FFC50A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17A0CCD" w14:textId="77777777">
        <w:trPr>
          <w:cantSplit/>
        </w:trPr>
        <w:tc>
          <w:tcPr>
            <w:tcW w:w="3685" w:type="dxa"/>
            <w:vAlign w:val="bottom"/>
          </w:tcPr>
          <w:p w14:paraId="750D8572"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Good</w:t>
            </w:r>
          </w:p>
        </w:tc>
        <w:tc>
          <w:tcPr>
            <w:tcW w:w="1134" w:type="dxa"/>
            <w:vAlign w:val="bottom"/>
          </w:tcPr>
          <w:p w14:paraId="22C5505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6A8D3A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5CBAB2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171743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8856B8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06BEF0E" w14:textId="77777777">
        <w:trPr>
          <w:cantSplit/>
        </w:trPr>
        <w:tc>
          <w:tcPr>
            <w:tcW w:w="3685" w:type="dxa"/>
            <w:vAlign w:val="bottom"/>
          </w:tcPr>
          <w:p w14:paraId="724A059D"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Satisfactory</w:t>
            </w:r>
          </w:p>
        </w:tc>
        <w:tc>
          <w:tcPr>
            <w:tcW w:w="1134" w:type="dxa"/>
            <w:vAlign w:val="bottom"/>
          </w:tcPr>
          <w:p w14:paraId="1CC63CA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C121D7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E0285E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1D6BC3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5FF5BA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C430B1B" w14:textId="77777777">
        <w:trPr>
          <w:cantSplit/>
        </w:trPr>
        <w:tc>
          <w:tcPr>
            <w:tcW w:w="3685" w:type="dxa"/>
            <w:vAlign w:val="bottom"/>
          </w:tcPr>
          <w:p w14:paraId="77BEE0A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Special monitoring</w:t>
            </w:r>
          </w:p>
        </w:tc>
        <w:tc>
          <w:tcPr>
            <w:tcW w:w="1134" w:type="dxa"/>
            <w:vAlign w:val="bottom"/>
          </w:tcPr>
          <w:p w14:paraId="70BE189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7C297F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F4DF99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D6BE0A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E97451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91773DC" w14:textId="77777777">
        <w:trPr>
          <w:cantSplit/>
        </w:trPr>
        <w:tc>
          <w:tcPr>
            <w:tcW w:w="3685" w:type="dxa"/>
            <w:vAlign w:val="bottom"/>
          </w:tcPr>
          <w:p w14:paraId="730DCCAB"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00"/>
              </w:rPr>
              <w:t>- Default</w:t>
            </w:r>
          </w:p>
        </w:tc>
        <w:tc>
          <w:tcPr>
            <w:tcW w:w="1134" w:type="dxa"/>
            <w:vAlign w:val="bottom"/>
          </w:tcPr>
          <w:p w14:paraId="7371AF5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B61445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D87E1C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0ED41D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904D2C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91EF1A5" w14:textId="77777777">
        <w:trPr>
          <w:cantSplit/>
        </w:trPr>
        <w:tc>
          <w:tcPr>
            <w:tcW w:w="3685" w:type="dxa"/>
            <w:tcBorders>
              <w:bottom w:val="single" w:sz="4" w:space="0" w:color="000000"/>
            </w:tcBorders>
            <w:vAlign w:val="bottom"/>
          </w:tcPr>
          <w:p w14:paraId="43C4AF04"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6B7AFC19"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4" w:space="0" w:color="000000"/>
            </w:tcBorders>
            <w:vAlign w:val="bottom"/>
          </w:tcPr>
          <w:p w14:paraId="68264E8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209E9BC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FCB173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2D47088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155577B" w14:textId="77777777">
        <w:trPr>
          <w:cantSplit/>
        </w:trPr>
        <w:tc>
          <w:tcPr>
            <w:tcW w:w="3685" w:type="dxa"/>
            <w:tcBorders>
              <w:top w:val="single" w:sz="4" w:space="0" w:color="000000"/>
            </w:tcBorders>
            <w:vAlign w:val="bottom"/>
          </w:tcPr>
          <w:p w14:paraId="53290F2C"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6937E8B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0E7BD9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5617FD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872D64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892C32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EC56A44" w14:textId="77777777">
        <w:trPr>
          <w:cantSplit/>
        </w:trPr>
        <w:tc>
          <w:tcPr>
            <w:tcW w:w="3685" w:type="dxa"/>
            <w:vAlign w:val="bottom"/>
          </w:tcPr>
          <w:p w14:paraId="6209D8E2"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Gross carrying amount</w:t>
            </w:r>
          </w:p>
        </w:tc>
        <w:tc>
          <w:tcPr>
            <w:tcW w:w="1134" w:type="dxa"/>
            <w:vAlign w:val="bottom"/>
          </w:tcPr>
          <w:p w14:paraId="2ED22FB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07D629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53CE06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B7A82B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5F4E36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35F159E" w14:textId="77777777">
        <w:trPr>
          <w:cantSplit/>
        </w:trPr>
        <w:tc>
          <w:tcPr>
            <w:tcW w:w="3685" w:type="dxa"/>
            <w:tcBorders>
              <w:bottom w:val="single" w:sz="4" w:space="0" w:color="000000"/>
            </w:tcBorders>
            <w:vAlign w:val="bottom"/>
          </w:tcPr>
          <w:p w14:paraId="768AB034"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4" w:space="0" w:color="000000"/>
            </w:tcBorders>
            <w:vAlign w:val="bottom"/>
          </w:tcPr>
          <w:p w14:paraId="4196C4A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500448E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4F6DFC9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498026E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5461B4B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1F87DC2" w14:textId="77777777">
        <w:trPr>
          <w:cantSplit/>
        </w:trPr>
        <w:tc>
          <w:tcPr>
            <w:tcW w:w="3685" w:type="dxa"/>
            <w:tcBorders>
              <w:top w:val="single" w:sz="4" w:space="0" w:color="000000"/>
            </w:tcBorders>
            <w:vAlign w:val="bottom"/>
          </w:tcPr>
          <w:p w14:paraId="31CD2444"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25F524B0"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488D419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6E19120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2D61CF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7B21279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542B9EA" w14:textId="77777777">
        <w:trPr>
          <w:cantSplit/>
        </w:trPr>
        <w:tc>
          <w:tcPr>
            <w:tcW w:w="3685" w:type="dxa"/>
            <w:vAlign w:val="bottom"/>
          </w:tcPr>
          <w:p w14:paraId="74FD546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Credit loss allowance</w:t>
            </w:r>
          </w:p>
        </w:tc>
        <w:tc>
          <w:tcPr>
            <w:tcW w:w="1134" w:type="dxa"/>
            <w:vAlign w:val="bottom"/>
          </w:tcPr>
          <w:p w14:paraId="359C57A7"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49DB5FE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FFC2B7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81D482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666EA9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4E64B31" w14:textId="77777777">
        <w:trPr>
          <w:cantSplit/>
        </w:trPr>
        <w:tc>
          <w:tcPr>
            <w:tcW w:w="3685" w:type="dxa"/>
            <w:vAlign w:val="bottom"/>
          </w:tcPr>
          <w:p w14:paraId="3BE300AD"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vAlign w:val="bottom"/>
          </w:tcPr>
          <w:p w14:paraId="0E9DCF4F"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5726B0B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2570E7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0D3A45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25513D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FB5D695" w14:textId="77777777">
        <w:trPr>
          <w:cantSplit/>
        </w:trPr>
        <w:tc>
          <w:tcPr>
            <w:tcW w:w="3685" w:type="dxa"/>
            <w:tcBorders>
              <w:top w:val="single" w:sz="4" w:space="0" w:color="000000"/>
            </w:tcBorders>
            <w:vAlign w:val="bottom"/>
          </w:tcPr>
          <w:p w14:paraId="11DF397F"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3BAD746F"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top w:val="single" w:sz="4" w:space="0" w:color="000000"/>
            </w:tcBorders>
            <w:vAlign w:val="bottom"/>
          </w:tcPr>
          <w:p w14:paraId="0858A21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B4FF99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626110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D6751B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5DF39AC" w14:textId="77777777">
        <w:trPr>
          <w:cantSplit/>
        </w:trPr>
        <w:tc>
          <w:tcPr>
            <w:tcW w:w="3685" w:type="dxa"/>
            <w:vAlign w:val="bottom"/>
          </w:tcPr>
          <w:p w14:paraId="0DF5DF75"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Carrying amount</w:t>
            </w:r>
          </w:p>
        </w:tc>
        <w:tc>
          <w:tcPr>
            <w:tcW w:w="1134" w:type="dxa"/>
            <w:vAlign w:val="bottom"/>
          </w:tcPr>
          <w:p w14:paraId="2C8A505D" w14:textId="77777777" w:rsidR="008E5DE4" w:rsidRDefault="008E5DE4">
            <w:pPr>
              <w:widowControl w:val="0"/>
              <w:pBdr>
                <w:top w:val="nil"/>
                <w:left w:val="nil"/>
                <w:bottom w:val="nil"/>
                <w:right w:val="nil"/>
                <w:between w:val="nil"/>
              </w:pBdr>
              <w:spacing w:line="228" w:lineRule="auto"/>
              <w:rPr>
                <w:color w:val="000000"/>
              </w:rPr>
            </w:pPr>
          </w:p>
        </w:tc>
        <w:tc>
          <w:tcPr>
            <w:tcW w:w="1134" w:type="dxa"/>
            <w:vAlign w:val="bottom"/>
          </w:tcPr>
          <w:p w14:paraId="5139D6D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2F4459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01E3D8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32BE43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086CCE7" w14:textId="77777777">
        <w:trPr>
          <w:cantSplit/>
        </w:trPr>
        <w:tc>
          <w:tcPr>
            <w:tcW w:w="3685" w:type="dxa"/>
            <w:tcBorders>
              <w:bottom w:val="single" w:sz="12" w:space="0" w:color="000000"/>
            </w:tcBorders>
            <w:vAlign w:val="bottom"/>
          </w:tcPr>
          <w:p w14:paraId="1FB44299"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bottom w:val="single" w:sz="12" w:space="0" w:color="000000"/>
            </w:tcBorders>
            <w:vAlign w:val="bottom"/>
          </w:tcPr>
          <w:p w14:paraId="616B9A28" w14:textId="77777777" w:rsidR="008E5DE4" w:rsidRDefault="008E5DE4">
            <w:pPr>
              <w:widowControl w:val="0"/>
              <w:pBdr>
                <w:top w:val="nil"/>
                <w:left w:val="nil"/>
                <w:bottom w:val="nil"/>
                <w:right w:val="nil"/>
                <w:between w:val="nil"/>
              </w:pBdr>
              <w:spacing w:line="228" w:lineRule="auto"/>
              <w:rPr>
                <w:color w:val="000000"/>
              </w:rPr>
            </w:pPr>
          </w:p>
        </w:tc>
        <w:tc>
          <w:tcPr>
            <w:tcW w:w="1134" w:type="dxa"/>
            <w:tcBorders>
              <w:bottom w:val="single" w:sz="12" w:space="0" w:color="000000"/>
            </w:tcBorders>
            <w:vAlign w:val="bottom"/>
          </w:tcPr>
          <w:p w14:paraId="7805E1A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14AF67F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2834388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7669B66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D269695" w14:textId="77777777">
        <w:trPr>
          <w:cantSplit/>
        </w:trPr>
        <w:tc>
          <w:tcPr>
            <w:tcW w:w="3685" w:type="dxa"/>
            <w:tcBorders>
              <w:top w:val="single" w:sz="4" w:space="0" w:color="000000"/>
            </w:tcBorders>
            <w:vAlign w:val="bottom"/>
          </w:tcPr>
          <w:p w14:paraId="5E6FAB22"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1134" w:type="dxa"/>
            <w:tcBorders>
              <w:top w:val="single" w:sz="4" w:space="0" w:color="000000"/>
            </w:tcBorders>
            <w:vAlign w:val="bottom"/>
          </w:tcPr>
          <w:p w14:paraId="7D0522C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4914D81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FB26DB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3B28591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5EE2C4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273FA68" w14:textId="77777777">
        <w:trPr>
          <w:cantSplit/>
        </w:trPr>
        <w:tc>
          <w:tcPr>
            <w:tcW w:w="3685" w:type="dxa"/>
            <w:vAlign w:val="bottom"/>
          </w:tcPr>
          <w:p w14:paraId="7C6BC1B2"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Total investments in debt securities measured at AC (gross carrying amount)</w:t>
            </w:r>
          </w:p>
        </w:tc>
        <w:tc>
          <w:tcPr>
            <w:tcW w:w="1134" w:type="dxa"/>
            <w:vAlign w:val="bottom"/>
          </w:tcPr>
          <w:p w14:paraId="4CF2B55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6237ED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AC57C01"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5332F4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7A93C1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FE06E66" w14:textId="77777777">
        <w:trPr>
          <w:cantSplit/>
        </w:trPr>
        <w:tc>
          <w:tcPr>
            <w:tcW w:w="3685" w:type="dxa"/>
            <w:tcBorders>
              <w:bottom w:val="single" w:sz="4" w:space="0" w:color="000000"/>
            </w:tcBorders>
            <w:vAlign w:val="bottom"/>
          </w:tcPr>
          <w:p w14:paraId="365A2167"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w:t>
            </w:r>
          </w:p>
        </w:tc>
        <w:tc>
          <w:tcPr>
            <w:tcW w:w="1134" w:type="dxa"/>
            <w:tcBorders>
              <w:bottom w:val="single" w:sz="4" w:space="0" w:color="000000"/>
            </w:tcBorders>
            <w:vAlign w:val="bottom"/>
          </w:tcPr>
          <w:p w14:paraId="3AC03A0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7B7FAFB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6C857CD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5812165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4" w:space="0" w:color="000000"/>
            </w:tcBorders>
            <w:vAlign w:val="bottom"/>
          </w:tcPr>
          <w:p w14:paraId="48F025A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BFA9924" w14:textId="77777777">
        <w:trPr>
          <w:cantSplit/>
        </w:trPr>
        <w:tc>
          <w:tcPr>
            <w:tcW w:w="3685" w:type="dxa"/>
            <w:tcBorders>
              <w:top w:val="single" w:sz="4" w:space="0" w:color="000000"/>
            </w:tcBorders>
            <w:vAlign w:val="bottom"/>
          </w:tcPr>
          <w:p w14:paraId="1FF821E3"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 </w:t>
            </w:r>
          </w:p>
        </w:tc>
        <w:tc>
          <w:tcPr>
            <w:tcW w:w="1134" w:type="dxa"/>
            <w:tcBorders>
              <w:top w:val="single" w:sz="4" w:space="0" w:color="000000"/>
            </w:tcBorders>
            <w:vAlign w:val="bottom"/>
          </w:tcPr>
          <w:p w14:paraId="0D38CB59"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56DDCC8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5FD386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E69B8F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8E889C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417A821" w14:textId="77777777">
        <w:trPr>
          <w:cantSplit/>
        </w:trPr>
        <w:tc>
          <w:tcPr>
            <w:tcW w:w="3685" w:type="dxa"/>
            <w:vAlign w:val="bottom"/>
          </w:tcPr>
          <w:p w14:paraId="57D1F1F6"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Credit loss allowance</w:t>
            </w:r>
          </w:p>
        </w:tc>
        <w:tc>
          <w:tcPr>
            <w:tcW w:w="1134" w:type="dxa"/>
            <w:vAlign w:val="bottom"/>
          </w:tcPr>
          <w:p w14:paraId="2C3C5C2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2A94D8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410988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BB7398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F26870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CF40819" w14:textId="77777777">
        <w:trPr>
          <w:cantSplit/>
        </w:trPr>
        <w:tc>
          <w:tcPr>
            <w:tcW w:w="3685" w:type="dxa"/>
            <w:vAlign w:val="bottom"/>
          </w:tcPr>
          <w:p w14:paraId="7A99F2D8"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1134" w:type="dxa"/>
            <w:vAlign w:val="bottom"/>
          </w:tcPr>
          <w:p w14:paraId="7F06482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F0AA11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5D1B2C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8C3B56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7135D6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36A4B86" w14:textId="77777777">
        <w:trPr>
          <w:cantSplit/>
        </w:trPr>
        <w:tc>
          <w:tcPr>
            <w:tcW w:w="3685" w:type="dxa"/>
            <w:tcBorders>
              <w:top w:val="single" w:sz="4" w:space="0" w:color="000000"/>
            </w:tcBorders>
            <w:vAlign w:val="bottom"/>
          </w:tcPr>
          <w:p w14:paraId="28E7775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1134" w:type="dxa"/>
            <w:tcBorders>
              <w:top w:val="single" w:sz="4" w:space="0" w:color="000000"/>
            </w:tcBorders>
            <w:vAlign w:val="bottom"/>
          </w:tcPr>
          <w:p w14:paraId="52D9BFF6"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6A6102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2BC7064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0D47D42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top w:val="single" w:sz="4" w:space="0" w:color="000000"/>
            </w:tcBorders>
            <w:vAlign w:val="bottom"/>
          </w:tcPr>
          <w:p w14:paraId="17A22B7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0F19564" w14:textId="77777777">
        <w:trPr>
          <w:cantSplit/>
        </w:trPr>
        <w:tc>
          <w:tcPr>
            <w:tcW w:w="3685" w:type="dxa"/>
            <w:vAlign w:val="bottom"/>
          </w:tcPr>
          <w:p w14:paraId="5FE01E9B"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Total investments in debt securities measured at AC (carrying amount)</w:t>
            </w:r>
          </w:p>
        </w:tc>
        <w:tc>
          <w:tcPr>
            <w:tcW w:w="1134" w:type="dxa"/>
            <w:vAlign w:val="bottom"/>
          </w:tcPr>
          <w:p w14:paraId="340312B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4F22B0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96AAEDA"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CC290E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2F3EA2A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0DD1CE4" w14:textId="77777777">
        <w:trPr>
          <w:cantSplit/>
        </w:trPr>
        <w:tc>
          <w:tcPr>
            <w:tcW w:w="3685" w:type="dxa"/>
            <w:tcBorders>
              <w:bottom w:val="single" w:sz="12" w:space="0" w:color="000000"/>
            </w:tcBorders>
            <w:vAlign w:val="bottom"/>
          </w:tcPr>
          <w:p w14:paraId="1EFCD8D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1134" w:type="dxa"/>
            <w:tcBorders>
              <w:bottom w:val="single" w:sz="12" w:space="0" w:color="000000"/>
            </w:tcBorders>
            <w:vAlign w:val="bottom"/>
          </w:tcPr>
          <w:p w14:paraId="6516D2A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379CD6E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16EDC55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3AB7AD5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338282B5" w14:textId="77777777" w:rsidR="008E5DE4" w:rsidRDefault="008E5DE4">
            <w:pPr>
              <w:widowControl w:val="0"/>
              <w:pBdr>
                <w:top w:val="nil"/>
                <w:left w:val="nil"/>
                <w:bottom w:val="nil"/>
                <w:right w:val="nil"/>
                <w:between w:val="nil"/>
              </w:pBdr>
              <w:spacing w:line="228" w:lineRule="auto"/>
              <w:jc w:val="right"/>
              <w:rPr>
                <w:color w:val="000000"/>
              </w:rPr>
            </w:pPr>
          </w:p>
        </w:tc>
      </w:tr>
    </w:tbl>
    <w:p w14:paraId="73A9F258" w14:textId="0B2486DD" w:rsidR="008E5DE4" w:rsidRDefault="00780368">
      <w:pPr>
        <w:widowControl w:val="0"/>
        <w:pBdr>
          <w:top w:val="nil"/>
          <w:left w:val="nil"/>
          <w:bottom w:val="nil"/>
          <w:right w:val="nil"/>
          <w:between w:val="nil"/>
        </w:pBdr>
        <w:spacing w:before="200" w:after="200" w:line="228" w:lineRule="auto"/>
        <w:jc w:val="both"/>
        <w:rPr>
          <w:i/>
          <w:color w:val="FF0000"/>
        </w:rPr>
      </w:pPr>
      <w:r>
        <w:rPr>
          <w:color w:val="000000"/>
          <w:sz w:val="20"/>
          <w:szCs w:val="20"/>
        </w:rPr>
        <w:t xml:space="preserve">The debt securities at AC are not collateralised. </w:t>
      </w:r>
    </w:p>
    <w:p w14:paraId="59C31021" w14:textId="13C8FA1D" w:rsidR="008E5DE4" w:rsidRDefault="00780368">
      <w:pPr>
        <w:widowControl w:val="0"/>
        <w:pBdr>
          <w:top w:val="nil"/>
          <w:left w:val="nil"/>
          <w:bottom w:val="nil"/>
          <w:right w:val="nil"/>
          <w:between w:val="nil"/>
        </w:pBdr>
        <w:spacing w:before="200" w:after="200" w:line="228" w:lineRule="auto"/>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debt securities at AC with a carrying value of EUR ____ thousand have been pledged to third parties as collateral with respect to borrowings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w:t>
      </w:r>
      <w:r w:rsidR="00176789">
        <w:rPr>
          <w:color w:val="000000"/>
          <w:sz w:val="20"/>
          <w:szCs w:val="20"/>
        </w:rPr>
        <w:t xml:space="preserve"> </w:t>
      </w:r>
      <w:r>
        <w:rPr>
          <w:color w:val="000000"/>
          <w:sz w:val="20"/>
          <w:szCs w:val="20"/>
        </w:rPr>
        <w:t xml:space="preserve">EUR __ thousand) (refer to Note 28). The counterparty is not allowed to sell further or re-pledge the investments. </w:t>
      </w:r>
    </w:p>
    <w:p w14:paraId="2B4EAD10"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045207F2" w14:textId="04569AF1" w:rsidR="008E5DE4" w:rsidRDefault="00780368">
      <w:pPr>
        <w:widowControl w:val="0"/>
        <w:spacing w:before="200" w:after="200" w:line="228" w:lineRule="auto"/>
        <w:jc w:val="both"/>
        <w:rPr>
          <w:i/>
          <w:color w:val="FF0000"/>
          <w:sz w:val="20"/>
          <w:szCs w:val="20"/>
        </w:rPr>
      </w:pPr>
      <w:r>
        <w:rPr>
          <w:sz w:val="20"/>
          <w:szCs w:val="20"/>
        </w:rPr>
        <w:t>The following table explains the changes in the credit loss allowance and gross carrying amount for debt securities at AC between the beginning and the end of the annual period:</w:t>
      </w:r>
    </w:p>
    <w:tbl>
      <w:tblPr>
        <w:tblStyle w:val="afffffffb"/>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798A04D3" w14:textId="77777777">
        <w:trPr>
          <w:cantSplit/>
          <w:trHeight w:val="169"/>
          <w:tblHeader/>
        </w:trPr>
        <w:tc>
          <w:tcPr>
            <w:tcW w:w="3061" w:type="dxa"/>
            <w:vAlign w:val="bottom"/>
          </w:tcPr>
          <w:p w14:paraId="5A078D2E"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6EBFF560"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553551A5"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6D89B34B" w14:textId="77777777">
        <w:trPr>
          <w:cantSplit/>
          <w:trHeight w:val="507"/>
          <w:tblHeader/>
        </w:trPr>
        <w:tc>
          <w:tcPr>
            <w:tcW w:w="3061" w:type="dxa"/>
            <w:tcBorders>
              <w:bottom w:val="single" w:sz="4" w:space="0" w:color="000000"/>
            </w:tcBorders>
            <w:vAlign w:val="bottom"/>
          </w:tcPr>
          <w:p w14:paraId="3EE80358" w14:textId="77777777" w:rsidR="008E5DE4" w:rsidRDefault="008E5DE4">
            <w:pPr>
              <w:widowControl w:val="0"/>
              <w:pBdr>
                <w:top w:val="nil"/>
                <w:left w:val="nil"/>
                <w:bottom w:val="nil"/>
                <w:right w:val="nil"/>
                <w:between w:val="nil"/>
              </w:pBdr>
              <w:ind w:left="113" w:right="-57" w:hanging="113"/>
              <w:rPr>
                <w:i/>
                <w:color w:val="000000"/>
              </w:rPr>
            </w:pPr>
          </w:p>
          <w:p w14:paraId="65D52800"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3D6C6A75"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033CD7E9"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5033AB1C"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6938241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29CE86AA"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7310F395"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6C5D946F"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5D146986"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7321159D"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5747235E"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5F24A663"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1C100A9E"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2E742365"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387EA4EC"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21DBF109" w14:textId="77777777">
        <w:trPr>
          <w:cantSplit/>
          <w:trHeight w:val="169"/>
          <w:tblHeader/>
        </w:trPr>
        <w:tc>
          <w:tcPr>
            <w:tcW w:w="3061" w:type="dxa"/>
            <w:vAlign w:val="bottom"/>
          </w:tcPr>
          <w:p w14:paraId="56B041FA" w14:textId="77777777" w:rsidR="008E5DE4" w:rsidRDefault="008E5DE4">
            <w:pPr>
              <w:widowControl w:val="0"/>
              <w:ind w:left="113" w:right="-57" w:hanging="113"/>
            </w:pPr>
          </w:p>
        </w:tc>
        <w:tc>
          <w:tcPr>
            <w:tcW w:w="851" w:type="dxa"/>
            <w:vAlign w:val="bottom"/>
          </w:tcPr>
          <w:p w14:paraId="42DFE5DE"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22824B8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B97E6EF"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D8352D1" w14:textId="77777777" w:rsidR="008E5DE4" w:rsidRDefault="008E5DE4">
            <w:pPr>
              <w:widowControl w:val="0"/>
              <w:pBdr>
                <w:top w:val="nil"/>
                <w:left w:val="nil"/>
                <w:bottom w:val="nil"/>
                <w:right w:val="nil"/>
                <w:between w:val="nil"/>
              </w:pBdr>
              <w:jc w:val="right"/>
              <w:rPr>
                <w:color w:val="000000"/>
              </w:rPr>
            </w:pPr>
          </w:p>
        </w:tc>
        <w:tc>
          <w:tcPr>
            <w:tcW w:w="871" w:type="dxa"/>
          </w:tcPr>
          <w:p w14:paraId="020CD64D" w14:textId="77777777" w:rsidR="008E5DE4" w:rsidRDefault="008E5DE4">
            <w:pPr>
              <w:widowControl w:val="0"/>
              <w:pBdr>
                <w:top w:val="nil"/>
                <w:left w:val="nil"/>
                <w:bottom w:val="nil"/>
                <w:right w:val="nil"/>
                <w:between w:val="nil"/>
              </w:pBdr>
              <w:jc w:val="right"/>
              <w:rPr>
                <w:color w:val="000000"/>
              </w:rPr>
            </w:pPr>
          </w:p>
        </w:tc>
        <w:tc>
          <w:tcPr>
            <w:tcW w:w="856" w:type="dxa"/>
          </w:tcPr>
          <w:p w14:paraId="4185E831" w14:textId="77777777" w:rsidR="008E5DE4" w:rsidRDefault="008E5DE4">
            <w:pPr>
              <w:widowControl w:val="0"/>
              <w:pBdr>
                <w:top w:val="nil"/>
                <w:left w:val="nil"/>
                <w:bottom w:val="nil"/>
                <w:right w:val="nil"/>
                <w:between w:val="nil"/>
              </w:pBdr>
              <w:jc w:val="right"/>
              <w:rPr>
                <w:color w:val="000000"/>
              </w:rPr>
            </w:pPr>
          </w:p>
        </w:tc>
        <w:tc>
          <w:tcPr>
            <w:tcW w:w="856" w:type="dxa"/>
          </w:tcPr>
          <w:p w14:paraId="49297DB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7C7AA45" w14:textId="77777777" w:rsidR="008E5DE4" w:rsidRDefault="008E5DE4">
            <w:pPr>
              <w:widowControl w:val="0"/>
              <w:pBdr>
                <w:top w:val="nil"/>
                <w:left w:val="nil"/>
                <w:bottom w:val="nil"/>
                <w:right w:val="nil"/>
                <w:between w:val="nil"/>
              </w:pBdr>
              <w:jc w:val="right"/>
              <w:rPr>
                <w:color w:val="000000"/>
              </w:rPr>
            </w:pPr>
          </w:p>
        </w:tc>
      </w:tr>
      <w:tr w:rsidR="008E5DE4" w14:paraId="452872EA" w14:textId="77777777">
        <w:trPr>
          <w:cantSplit/>
          <w:trHeight w:val="169"/>
        </w:trPr>
        <w:tc>
          <w:tcPr>
            <w:tcW w:w="3061" w:type="dxa"/>
            <w:vAlign w:val="bottom"/>
          </w:tcPr>
          <w:p w14:paraId="0DBAA331"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[Country] government bonds</w:t>
            </w:r>
          </w:p>
        </w:tc>
        <w:tc>
          <w:tcPr>
            <w:tcW w:w="851" w:type="dxa"/>
            <w:vAlign w:val="bottom"/>
          </w:tcPr>
          <w:p w14:paraId="4C1335C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802651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EEBEDE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C11AD20" w14:textId="77777777" w:rsidR="008E5DE4" w:rsidRDefault="008E5DE4">
            <w:pPr>
              <w:widowControl w:val="0"/>
              <w:pBdr>
                <w:top w:val="nil"/>
                <w:left w:val="nil"/>
                <w:bottom w:val="nil"/>
                <w:right w:val="nil"/>
                <w:between w:val="nil"/>
              </w:pBdr>
              <w:jc w:val="right"/>
              <w:rPr>
                <w:color w:val="000000"/>
              </w:rPr>
            </w:pPr>
          </w:p>
        </w:tc>
        <w:tc>
          <w:tcPr>
            <w:tcW w:w="871" w:type="dxa"/>
          </w:tcPr>
          <w:p w14:paraId="3D2B7D0A" w14:textId="77777777" w:rsidR="008E5DE4" w:rsidRDefault="008E5DE4">
            <w:pPr>
              <w:widowControl w:val="0"/>
              <w:pBdr>
                <w:top w:val="nil"/>
                <w:left w:val="nil"/>
                <w:bottom w:val="nil"/>
                <w:right w:val="nil"/>
                <w:between w:val="nil"/>
              </w:pBdr>
              <w:jc w:val="right"/>
              <w:rPr>
                <w:color w:val="000000"/>
              </w:rPr>
            </w:pPr>
          </w:p>
        </w:tc>
        <w:tc>
          <w:tcPr>
            <w:tcW w:w="856" w:type="dxa"/>
          </w:tcPr>
          <w:p w14:paraId="4868CF5C" w14:textId="77777777" w:rsidR="008E5DE4" w:rsidRDefault="008E5DE4">
            <w:pPr>
              <w:widowControl w:val="0"/>
              <w:pBdr>
                <w:top w:val="nil"/>
                <w:left w:val="nil"/>
                <w:bottom w:val="nil"/>
                <w:right w:val="nil"/>
                <w:between w:val="nil"/>
              </w:pBdr>
              <w:jc w:val="right"/>
              <w:rPr>
                <w:color w:val="000000"/>
              </w:rPr>
            </w:pPr>
          </w:p>
        </w:tc>
        <w:tc>
          <w:tcPr>
            <w:tcW w:w="856" w:type="dxa"/>
          </w:tcPr>
          <w:p w14:paraId="77E7D762"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43EB813" w14:textId="77777777" w:rsidR="008E5DE4" w:rsidRDefault="008E5DE4">
            <w:pPr>
              <w:widowControl w:val="0"/>
              <w:pBdr>
                <w:top w:val="nil"/>
                <w:left w:val="nil"/>
                <w:bottom w:val="nil"/>
                <w:right w:val="nil"/>
                <w:between w:val="nil"/>
              </w:pBdr>
              <w:jc w:val="right"/>
              <w:rPr>
                <w:color w:val="000000"/>
              </w:rPr>
            </w:pPr>
          </w:p>
        </w:tc>
      </w:tr>
      <w:tr w:rsidR="008E5DE4" w14:paraId="138AD099" w14:textId="77777777">
        <w:trPr>
          <w:cantSplit/>
          <w:trHeight w:val="169"/>
        </w:trPr>
        <w:tc>
          <w:tcPr>
            <w:tcW w:w="3061" w:type="dxa"/>
            <w:vAlign w:val="bottom"/>
          </w:tcPr>
          <w:p w14:paraId="3BCD55D2"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4F6238D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62AC0D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1347E7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5E4D2A8" w14:textId="77777777" w:rsidR="008E5DE4" w:rsidRDefault="008E5DE4">
            <w:pPr>
              <w:widowControl w:val="0"/>
              <w:pBdr>
                <w:top w:val="nil"/>
                <w:left w:val="nil"/>
                <w:bottom w:val="nil"/>
                <w:right w:val="nil"/>
                <w:between w:val="nil"/>
              </w:pBdr>
              <w:jc w:val="right"/>
              <w:rPr>
                <w:color w:val="000000"/>
              </w:rPr>
            </w:pPr>
          </w:p>
        </w:tc>
        <w:tc>
          <w:tcPr>
            <w:tcW w:w="871" w:type="dxa"/>
          </w:tcPr>
          <w:p w14:paraId="767243AE" w14:textId="77777777" w:rsidR="008E5DE4" w:rsidRDefault="008E5DE4">
            <w:pPr>
              <w:widowControl w:val="0"/>
              <w:pBdr>
                <w:top w:val="nil"/>
                <w:left w:val="nil"/>
                <w:bottom w:val="nil"/>
                <w:right w:val="nil"/>
                <w:between w:val="nil"/>
              </w:pBdr>
              <w:jc w:val="right"/>
              <w:rPr>
                <w:color w:val="000000"/>
              </w:rPr>
            </w:pPr>
          </w:p>
        </w:tc>
        <w:tc>
          <w:tcPr>
            <w:tcW w:w="856" w:type="dxa"/>
          </w:tcPr>
          <w:p w14:paraId="189B6373" w14:textId="77777777" w:rsidR="008E5DE4" w:rsidRDefault="008E5DE4">
            <w:pPr>
              <w:widowControl w:val="0"/>
              <w:pBdr>
                <w:top w:val="nil"/>
                <w:left w:val="nil"/>
                <w:bottom w:val="nil"/>
                <w:right w:val="nil"/>
                <w:between w:val="nil"/>
              </w:pBdr>
              <w:jc w:val="right"/>
              <w:rPr>
                <w:color w:val="000000"/>
              </w:rPr>
            </w:pPr>
          </w:p>
        </w:tc>
        <w:tc>
          <w:tcPr>
            <w:tcW w:w="856" w:type="dxa"/>
          </w:tcPr>
          <w:p w14:paraId="1C42E25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CF2A402" w14:textId="77777777" w:rsidR="008E5DE4" w:rsidRDefault="008E5DE4">
            <w:pPr>
              <w:widowControl w:val="0"/>
              <w:pBdr>
                <w:top w:val="nil"/>
                <w:left w:val="nil"/>
                <w:bottom w:val="nil"/>
                <w:right w:val="nil"/>
                <w:between w:val="nil"/>
              </w:pBdr>
              <w:jc w:val="right"/>
              <w:rPr>
                <w:color w:val="000000"/>
              </w:rPr>
            </w:pPr>
          </w:p>
        </w:tc>
      </w:tr>
      <w:tr w:rsidR="008E5DE4" w14:paraId="4A17EE05" w14:textId="77777777">
        <w:trPr>
          <w:cantSplit/>
          <w:trHeight w:val="169"/>
        </w:trPr>
        <w:tc>
          <w:tcPr>
            <w:tcW w:w="3061" w:type="dxa"/>
            <w:vAlign w:val="bottom"/>
          </w:tcPr>
          <w:p w14:paraId="4F713853" w14:textId="403DE37A"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458AB19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4CB440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4FE4C9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ACBFFD0" w14:textId="77777777" w:rsidR="008E5DE4" w:rsidRDefault="008E5DE4">
            <w:pPr>
              <w:widowControl w:val="0"/>
              <w:pBdr>
                <w:top w:val="nil"/>
                <w:left w:val="nil"/>
                <w:bottom w:val="nil"/>
                <w:right w:val="nil"/>
                <w:between w:val="nil"/>
              </w:pBdr>
              <w:jc w:val="right"/>
              <w:rPr>
                <w:color w:val="000000"/>
              </w:rPr>
            </w:pPr>
          </w:p>
        </w:tc>
        <w:tc>
          <w:tcPr>
            <w:tcW w:w="871" w:type="dxa"/>
          </w:tcPr>
          <w:p w14:paraId="1F219DB0" w14:textId="77777777" w:rsidR="008E5DE4" w:rsidRDefault="008E5DE4">
            <w:pPr>
              <w:widowControl w:val="0"/>
              <w:pBdr>
                <w:top w:val="nil"/>
                <w:left w:val="nil"/>
                <w:bottom w:val="nil"/>
                <w:right w:val="nil"/>
                <w:between w:val="nil"/>
              </w:pBdr>
              <w:jc w:val="right"/>
              <w:rPr>
                <w:color w:val="000000"/>
              </w:rPr>
            </w:pPr>
          </w:p>
        </w:tc>
        <w:tc>
          <w:tcPr>
            <w:tcW w:w="856" w:type="dxa"/>
          </w:tcPr>
          <w:p w14:paraId="67AB3B95" w14:textId="77777777" w:rsidR="008E5DE4" w:rsidRDefault="008E5DE4">
            <w:pPr>
              <w:widowControl w:val="0"/>
              <w:pBdr>
                <w:top w:val="nil"/>
                <w:left w:val="nil"/>
                <w:bottom w:val="nil"/>
                <w:right w:val="nil"/>
                <w:between w:val="nil"/>
              </w:pBdr>
              <w:jc w:val="right"/>
              <w:rPr>
                <w:color w:val="000000"/>
              </w:rPr>
            </w:pPr>
          </w:p>
        </w:tc>
        <w:tc>
          <w:tcPr>
            <w:tcW w:w="856" w:type="dxa"/>
          </w:tcPr>
          <w:p w14:paraId="2F19AA62"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6AA309F" w14:textId="77777777" w:rsidR="008E5DE4" w:rsidRDefault="008E5DE4">
            <w:pPr>
              <w:widowControl w:val="0"/>
              <w:pBdr>
                <w:top w:val="nil"/>
                <w:left w:val="nil"/>
                <w:bottom w:val="nil"/>
                <w:right w:val="nil"/>
                <w:between w:val="nil"/>
              </w:pBdr>
              <w:jc w:val="right"/>
              <w:rPr>
                <w:color w:val="000000"/>
              </w:rPr>
            </w:pPr>
          </w:p>
        </w:tc>
      </w:tr>
      <w:tr w:rsidR="008E5DE4" w14:paraId="14CC744C" w14:textId="77777777">
        <w:trPr>
          <w:cantSplit/>
          <w:trHeight w:val="676"/>
        </w:trPr>
        <w:tc>
          <w:tcPr>
            <w:tcW w:w="3061" w:type="dxa"/>
            <w:vAlign w:val="bottom"/>
          </w:tcPr>
          <w:p w14:paraId="131320BE" w14:textId="77777777" w:rsidR="008E5DE4" w:rsidRDefault="008E5DE4">
            <w:pPr>
              <w:widowControl w:val="0"/>
              <w:pBdr>
                <w:top w:val="nil"/>
                <w:left w:val="nil"/>
                <w:bottom w:val="nil"/>
                <w:right w:val="nil"/>
                <w:between w:val="nil"/>
              </w:pBdr>
              <w:ind w:left="113" w:right="-57" w:hanging="113"/>
              <w:rPr>
                <w:b/>
                <w:color w:val="000000"/>
              </w:rPr>
            </w:pPr>
          </w:p>
          <w:p w14:paraId="5FDBD437"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0F692ED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137381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E707EF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CC46A34" w14:textId="77777777" w:rsidR="008E5DE4" w:rsidRDefault="008E5DE4">
            <w:pPr>
              <w:widowControl w:val="0"/>
              <w:pBdr>
                <w:top w:val="nil"/>
                <w:left w:val="nil"/>
                <w:bottom w:val="nil"/>
                <w:right w:val="nil"/>
                <w:between w:val="nil"/>
              </w:pBdr>
              <w:jc w:val="right"/>
              <w:rPr>
                <w:color w:val="000000"/>
              </w:rPr>
            </w:pPr>
          </w:p>
        </w:tc>
        <w:tc>
          <w:tcPr>
            <w:tcW w:w="871" w:type="dxa"/>
          </w:tcPr>
          <w:p w14:paraId="262B32DF"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624B50A7" w14:textId="77777777" w:rsidR="008E5DE4" w:rsidRDefault="008E5DE4">
            <w:pPr>
              <w:widowControl w:val="0"/>
              <w:pBdr>
                <w:top w:val="nil"/>
                <w:left w:val="nil"/>
                <w:bottom w:val="nil"/>
                <w:right w:val="nil"/>
                <w:between w:val="nil"/>
              </w:pBdr>
              <w:jc w:val="right"/>
              <w:rPr>
                <w:color w:val="000000"/>
              </w:rPr>
            </w:pPr>
          </w:p>
        </w:tc>
        <w:tc>
          <w:tcPr>
            <w:tcW w:w="856" w:type="dxa"/>
          </w:tcPr>
          <w:p w14:paraId="7E6206F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1B2D61B" w14:textId="77777777" w:rsidR="008E5DE4" w:rsidRDefault="008E5DE4">
            <w:pPr>
              <w:widowControl w:val="0"/>
              <w:pBdr>
                <w:top w:val="nil"/>
                <w:left w:val="nil"/>
                <w:bottom w:val="nil"/>
                <w:right w:val="nil"/>
                <w:between w:val="nil"/>
              </w:pBdr>
              <w:jc w:val="right"/>
              <w:rPr>
                <w:color w:val="000000"/>
              </w:rPr>
            </w:pPr>
          </w:p>
        </w:tc>
      </w:tr>
      <w:tr w:rsidR="008E5DE4" w14:paraId="523886D4" w14:textId="77777777">
        <w:trPr>
          <w:cantSplit/>
          <w:trHeight w:val="184"/>
        </w:trPr>
        <w:tc>
          <w:tcPr>
            <w:tcW w:w="3061" w:type="dxa"/>
            <w:vAlign w:val="bottom"/>
          </w:tcPr>
          <w:p w14:paraId="02963AB7" w14:textId="77777777" w:rsidR="008E5DE4" w:rsidRDefault="008E5DE4">
            <w:pPr>
              <w:widowControl w:val="0"/>
              <w:pBdr>
                <w:top w:val="nil"/>
                <w:left w:val="nil"/>
                <w:bottom w:val="nil"/>
                <w:right w:val="nil"/>
                <w:between w:val="nil"/>
              </w:pBdr>
              <w:ind w:left="113" w:right="-57" w:hanging="113"/>
              <w:rPr>
                <w:color w:val="000000"/>
              </w:rPr>
            </w:pPr>
          </w:p>
        </w:tc>
        <w:tc>
          <w:tcPr>
            <w:tcW w:w="851" w:type="dxa"/>
            <w:vAlign w:val="bottom"/>
          </w:tcPr>
          <w:p w14:paraId="58572D4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3721DB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BEA1904"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ECEA91D"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93A7E5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40DFABE"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7591FC4"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1248CC0" w14:textId="77777777" w:rsidR="008E5DE4" w:rsidRDefault="008E5DE4">
            <w:pPr>
              <w:widowControl w:val="0"/>
              <w:pBdr>
                <w:top w:val="nil"/>
                <w:left w:val="nil"/>
                <w:bottom w:val="nil"/>
                <w:right w:val="nil"/>
                <w:between w:val="nil"/>
              </w:pBdr>
              <w:jc w:val="right"/>
              <w:rPr>
                <w:color w:val="000000"/>
                <w:highlight w:val="green"/>
              </w:rPr>
            </w:pPr>
          </w:p>
        </w:tc>
      </w:tr>
      <w:tr w:rsidR="008E5DE4" w14:paraId="4642BA99" w14:textId="77777777">
        <w:trPr>
          <w:cantSplit/>
          <w:trHeight w:val="184"/>
        </w:trPr>
        <w:tc>
          <w:tcPr>
            <w:tcW w:w="3061" w:type="dxa"/>
            <w:vAlign w:val="bottom"/>
          </w:tcPr>
          <w:p w14:paraId="5D994E20"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5D571D08"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2019BF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2C92753"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9F677D7"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F60410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AABA62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611DC44"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63BFC17" w14:textId="77777777" w:rsidR="008E5DE4" w:rsidRDefault="008E5DE4">
            <w:pPr>
              <w:widowControl w:val="0"/>
              <w:pBdr>
                <w:top w:val="nil"/>
                <w:left w:val="nil"/>
                <w:bottom w:val="nil"/>
                <w:right w:val="nil"/>
                <w:between w:val="nil"/>
              </w:pBdr>
              <w:jc w:val="right"/>
              <w:rPr>
                <w:color w:val="000000"/>
                <w:highlight w:val="green"/>
              </w:rPr>
            </w:pPr>
          </w:p>
        </w:tc>
      </w:tr>
      <w:tr w:rsidR="008E5DE4" w14:paraId="3F1C2847" w14:textId="77777777">
        <w:trPr>
          <w:cantSplit/>
          <w:trHeight w:val="80"/>
        </w:trPr>
        <w:tc>
          <w:tcPr>
            <w:tcW w:w="3061" w:type="dxa"/>
            <w:vAlign w:val="bottom"/>
          </w:tcPr>
          <w:p w14:paraId="08FD5AEC"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7A95D35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0D8C47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6F69ED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E38771E"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073EB20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B3FD72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B2E10F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14DC21A" w14:textId="77777777" w:rsidR="008E5DE4" w:rsidRDefault="008E5DE4">
            <w:pPr>
              <w:widowControl w:val="0"/>
              <w:pBdr>
                <w:top w:val="nil"/>
                <w:left w:val="nil"/>
                <w:bottom w:val="nil"/>
                <w:right w:val="nil"/>
                <w:between w:val="nil"/>
              </w:pBdr>
              <w:jc w:val="right"/>
              <w:rPr>
                <w:color w:val="000000"/>
                <w:highlight w:val="green"/>
              </w:rPr>
            </w:pPr>
          </w:p>
        </w:tc>
      </w:tr>
      <w:tr w:rsidR="008E5DE4" w14:paraId="79672861" w14:textId="77777777">
        <w:trPr>
          <w:cantSplit/>
          <w:trHeight w:val="80"/>
        </w:trPr>
        <w:tc>
          <w:tcPr>
            <w:tcW w:w="3061" w:type="dxa"/>
            <w:vAlign w:val="bottom"/>
          </w:tcPr>
          <w:p w14:paraId="3641F48D"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1B4F870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4FB43F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66C798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A7F45D3"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0FA68D51"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38811DB"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6219F3B"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2E65567" w14:textId="77777777" w:rsidR="008E5DE4" w:rsidRDefault="008E5DE4">
            <w:pPr>
              <w:widowControl w:val="0"/>
              <w:pBdr>
                <w:top w:val="nil"/>
                <w:left w:val="nil"/>
                <w:bottom w:val="nil"/>
                <w:right w:val="nil"/>
                <w:between w:val="nil"/>
              </w:pBdr>
              <w:jc w:val="right"/>
              <w:rPr>
                <w:color w:val="000000"/>
                <w:highlight w:val="green"/>
              </w:rPr>
            </w:pPr>
          </w:p>
        </w:tc>
      </w:tr>
      <w:tr w:rsidR="008E5DE4" w14:paraId="21E5CAC2" w14:textId="77777777">
        <w:trPr>
          <w:cantSplit/>
          <w:trHeight w:val="361"/>
        </w:trPr>
        <w:tc>
          <w:tcPr>
            <w:tcW w:w="3061" w:type="dxa"/>
            <w:vAlign w:val="bottom"/>
          </w:tcPr>
          <w:p w14:paraId="05851AE3"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5E651D8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829A9B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15FBE4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11253A5"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71FDC3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C4F62B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C8B3704"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3CA45D5" w14:textId="77777777" w:rsidR="008E5DE4" w:rsidRDefault="008E5DE4">
            <w:pPr>
              <w:widowControl w:val="0"/>
              <w:pBdr>
                <w:top w:val="nil"/>
                <w:left w:val="nil"/>
                <w:bottom w:val="nil"/>
                <w:right w:val="nil"/>
                <w:between w:val="nil"/>
              </w:pBdr>
              <w:jc w:val="right"/>
              <w:rPr>
                <w:color w:val="000000"/>
                <w:highlight w:val="green"/>
              </w:rPr>
            </w:pPr>
          </w:p>
        </w:tc>
      </w:tr>
      <w:tr w:rsidR="008E5DE4" w14:paraId="406FF53C" w14:textId="77777777">
        <w:trPr>
          <w:cantSplit/>
          <w:trHeight w:val="169"/>
        </w:trPr>
        <w:tc>
          <w:tcPr>
            <w:tcW w:w="3061" w:type="dxa"/>
            <w:vAlign w:val="bottom"/>
          </w:tcPr>
          <w:p w14:paraId="07A027CE"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2623CD9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6923BA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30802F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5666A2A" w14:textId="77777777" w:rsidR="008E5DE4" w:rsidRDefault="008E5DE4">
            <w:pPr>
              <w:widowControl w:val="0"/>
              <w:pBdr>
                <w:top w:val="nil"/>
                <w:left w:val="nil"/>
                <w:bottom w:val="nil"/>
                <w:right w:val="nil"/>
                <w:between w:val="nil"/>
              </w:pBdr>
              <w:jc w:val="right"/>
              <w:rPr>
                <w:color w:val="000000"/>
              </w:rPr>
            </w:pPr>
          </w:p>
        </w:tc>
        <w:tc>
          <w:tcPr>
            <w:tcW w:w="871" w:type="dxa"/>
          </w:tcPr>
          <w:p w14:paraId="15039C29" w14:textId="77777777" w:rsidR="008E5DE4" w:rsidRDefault="008E5DE4">
            <w:pPr>
              <w:widowControl w:val="0"/>
              <w:pBdr>
                <w:top w:val="nil"/>
                <w:left w:val="nil"/>
                <w:bottom w:val="nil"/>
                <w:right w:val="nil"/>
                <w:between w:val="nil"/>
              </w:pBdr>
              <w:jc w:val="right"/>
              <w:rPr>
                <w:color w:val="000000"/>
              </w:rPr>
            </w:pPr>
          </w:p>
        </w:tc>
        <w:tc>
          <w:tcPr>
            <w:tcW w:w="856" w:type="dxa"/>
          </w:tcPr>
          <w:p w14:paraId="468A8EA3" w14:textId="77777777" w:rsidR="008E5DE4" w:rsidRDefault="008E5DE4">
            <w:pPr>
              <w:widowControl w:val="0"/>
              <w:pBdr>
                <w:top w:val="nil"/>
                <w:left w:val="nil"/>
                <w:bottom w:val="nil"/>
                <w:right w:val="nil"/>
                <w:between w:val="nil"/>
              </w:pBdr>
              <w:jc w:val="right"/>
              <w:rPr>
                <w:color w:val="000000"/>
              </w:rPr>
            </w:pPr>
          </w:p>
        </w:tc>
        <w:tc>
          <w:tcPr>
            <w:tcW w:w="856" w:type="dxa"/>
          </w:tcPr>
          <w:p w14:paraId="4C8ED07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DE0497D" w14:textId="77777777" w:rsidR="008E5DE4" w:rsidRDefault="008E5DE4">
            <w:pPr>
              <w:widowControl w:val="0"/>
              <w:pBdr>
                <w:top w:val="nil"/>
                <w:left w:val="nil"/>
                <w:bottom w:val="nil"/>
                <w:right w:val="nil"/>
                <w:between w:val="nil"/>
              </w:pBdr>
              <w:jc w:val="right"/>
              <w:rPr>
                <w:color w:val="000000"/>
              </w:rPr>
            </w:pPr>
          </w:p>
        </w:tc>
      </w:tr>
      <w:tr w:rsidR="008E5DE4" w14:paraId="337A2854" w14:textId="77777777">
        <w:trPr>
          <w:cantSplit/>
          <w:trHeight w:val="232"/>
        </w:trPr>
        <w:tc>
          <w:tcPr>
            <w:tcW w:w="3061" w:type="dxa"/>
            <w:vAlign w:val="bottom"/>
          </w:tcPr>
          <w:p w14:paraId="221FDAD0"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3B1A132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25CFAA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409E4A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A96268C" w14:textId="77777777" w:rsidR="008E5DE4" w:rsidRDefault="008E5DE4">
            <w:pPr>
              <w:widowControl w:val="0"/>
              <w:pBdr>
                <w:top w:val="nil"/>
                <w:left w:val="nil"/>
                <w:bottom w:val="nil"/>
                <w:right w:val="nil"/>
                <w:between w:val="nil"/>
              </w:pBdr>
              <w:jc w:val="right"/>
              <w:rPr>
                <w:color w:val="000000"/>
              </w:rPr>
            </w:pPr>
          </w:p>
        </w:tc>
        <w:tc>
          <w:tcPr>
            <w:tcW w:w="871" w:type="dxa"/>
          </w:tcPr>
          <w:p w14:paraId="2D51AC24" w14:textId="77777777" w:rsidR="008E5DE4" w:rsidRDefault="008E5DE4">
            <w:pPr>
              <w:widowControl w:val="0"/>
              <w:pBdr>
                <w:top w:val="nil"/>
                <w:left w:val="nil"/>
                <w:bottom w:val="nil"/>
                <w:right w:val="nil"/>
                <w:between w:val="nil"/>
              </w:pBdr>
              <w:jc w:val="right"/>
              <w:rPr>
                <w:color w:val="000000"/>
              </w:rPr>
            </w:pPr>
          </w:p>
        </w:tc>
        <w:tc>
          <w:tcPr>
            <w:tcW w:w="856" w:type="dxa"/>
          </w:tcPr>
          <w:p w14:paraId="3145AE68" w14:textId="77777777" w:rsidR="008E5DE4" w:rsidRDefault="008E5DE4">
            <w:pPr>
              <w:widowControl w:val="0"/>
              <w:pBdr>
                <w:top w:val="nil"/>
                <w:left w:val="nil"/>
                <w:bottom w:val="nil"/>
                <w:right w:val="nil"/>
                <w:between w:val="nil"/>
              </w:pBdr>
              <w:jc w:val="right"/>
              <w:rPr>
                <w:color w:val="000000"/>
              </w:rPr>
            </w:pPr>
          </w:p>
        </w:tc>
        <w:tc>
          <w:tcPr>
            <w:tcW w:w="856" w:type="dxa"/>
          </w:tcPr>
          <w:p w14:paraId="594090A4"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CF9BAA6" w14:textId="77777777" w:rsidR="008E5DE4" w:rsidRDefault="008E5DE4">
            <w:pPr>
              <w:widowControl w:val="0"/>
              <w:pBdr>
                <w:top w:val="nil"/>
                <w:left w:val="nil"/>
                <w:bottom w:val="nil"/>
                <w:right w:val="nil"/>
                <w:between w:val="nil"/>
              </w:pBdr>
              <w:jc w:val="right"/>
              <w:rPr>
                <w:color w:val="000000"/>
              </w:rPr>
            </w:pPr>
          </w:p>
        </w:tc>
      </w:tr>
      <w:tr w:rsidR="008E5DE4" w14:paraId="523B2100" w14:textId="77777777">
        <w:trPr>
          <w:cantSplit/>
          <w:trHeight w:val="80"/>
        </w:trPr>
        <w:tc>
          <w:tcPr>
            <w:tcW w:w="3061" w:type="dxa"/>
            <w:vAlign w:val="bottom"/>
          </w:tcPr>
          <w:p w14:paraId="7069F6EE"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2C32EF3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90EDF7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AA0196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AFB1BDF"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E690E3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F53CD9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D020F3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30F6FA7" w14:textId="77777777" w:rsidR="008E5DE4" w:rsidRDefault="008E5DE4">
            <w:pPr>
              <w:widowControl w:val="0"/>
              <w:pBdr>
                <w:top w:val="nil"/>
                <w:left w:val="nil"/>
                <w:bottom w:val="nil"/>
                <w:right w:val="nil"/>
                <w:between w:val="nil"/>
              </w:pBdr>
              <w:jc w:val="right"/>
              <w:rPr>
                <w:color w:val="000000"/>
              </w:rPr>
            </w:pPr>
          </w:p>
        </w:tc>
      </w:tr>
      <w:tr w:rsidR="008E5DE4" w14:paraId="7974F0A3" w14:textId="77777777">
        <w:trPr>
          <w:cantSplit/>
          <w:trHeight w:val="85"/>
        </w:trPr>
        <w:tc>
          <w:tcPr>
            <w:tcW w:w="3061" w:type="dxa"/>
            <w:vAlign w:val="bottom"/>
          </w:tcPr>
          <w:p w14:paraId="416DD3D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2D64CCF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F176B0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072DDB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1AF8E7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6F949C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490AD1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D4C211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C9F61BA" w14:textId="77777777" w:rsidR="008E5DE4" w:rsidRDefault="008E5DE4">
            <w:pPr>
              <w:widowControl w:val="0"/>
              <w:pBdr>
                <w:top w:val="nil"/>
                <w:left w:val="nil"/>
                <w:bottom w:val="nil"/>
                <w:right w:val="nil"/>
                <w:between w:val="nil"/>
              </w:pBdr>
              <w:jc w:val="right"/>
              <w:rPr>
                <w:color w:val="000000"/>
              </w:rPr>
            </w:pPr>
          </w:p>
        </w:tc>
      </w:tr>
      <w:tr w:rsidR="008E5DE4" w14:paraId="5EC5273A" w14:textId="77777777">
        <w:trPr>
          <w:cantSplit/>
          <w:trHeight w:val="169"/>
        </w:trPr>
        <w:tc>
          <w:tcPr>
            <w:tcW w:w="3061" w:type="dxa"/>
            <w:vAlign w:val="bottom"/>
          </w:tcPr>
          <w:p w14:paraId="164095C7"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46BEB0C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C91D3E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17B5BE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481609F"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26473F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2C20AD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926F62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6BF2A43" w14:textId="77777777" w:rsidR="008E5DE4" w:rsidRDefault="008E5DE4">
            <w:pPr>
              <w:widowControl w:val="0"/>
              <w:pBdr>
                <w:top w:val="nil"/>
                <w:left w:val="nil"/>
                <w:bottom w:val="nil"/>
                <w:right w:val="nil"/>
                <w:between w:val="nil"/>
              </w:pBdr>
              <w:jc w:val="right"/>
              <w:rPr>
                <w:color w:val="000000"/>
              </w:rPr>
            </w:pPr>
          </w:p>
        </w:tc>
      </w:tr>
      <w:tr w:rsidR="008E5DE4" w14:paraId="1428CBFF" w14:textId="77777777">
        <w:trPr>
          <w:cantSplit/>
          <w:trHeight w:val="169"/>
        </w:trPr>
        <w:tc>
          <w:tcPr>
            <w:tcW w:w="3061" w:type="dxa"/>
            <w:vAlign w:val="bottom"/>
          </w:tcPr>
          <w:p w14:paraId="4C7EC292"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35FB477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3F14D5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B30C36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8C5BE47"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521A4E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6BFF62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D54086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BD2E1AE" w14:textId="77777777" w:rsidR="008E5DE4" w:rsidRDefault="008E5DE4">
            <w:pPr>
              <w:widowControl w:val="0"/>
              <w:pBdr>
                <w:top w:val="nil"/>
                <w:left w:val="nil"/>
                <w:bottom w:val="nil"/>
                <w:right w:val="nil"/>
                <w:between w:val="nil"/>
              </w:pBdr>
              <w:jc w:val="right"/>
              <w:rPr>
                <w:color w:val="000000"/>
              </w:rPr>
            </w:pPr>
          </w:p>
        </w:tc>
      </w:tr>
      <w:tr w:rsidR="008E5DE4" w14:paraId="6C83FAF3" w14:textId="77777777">
        <w:trPr>
          <w:cantSplit/>
          <w:trHeight w:val="169"/>
        </w:trPr>
        <w:tc>
          <w:tcPr>
            <w:tcW w:w="3061" w:type="dxa"/>
            <w:tcBorders>
              <w:bottom w:val="single" w:sz="4" w:space="0" w:color="000000"/>
            </w:tcBorders>
            <w:vAlign w:val="bottom"/>
          </w:tcPr>
          <w:p w14:paraId="7C26ABCE"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729A0A8C"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1A93A1D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CB53849"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3F3D074F"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234E43C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C8B209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06DAE33"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1AC0AB9A" w14:textId="77777777" w:rsidR="008E5DE4" w:rsidRDefault="008E5DE4">
            <w:pPr>
              <w:widowControl w:val="0"/>
              <w:pBdr>
                <w:top w:val="nil"/>
                <w:left w:val="nil"/>
                <w:bottom w:val="nil"/>
                <w:right w:val="nil"/>
                <w:between w:val="nil"/>
              </w:pBdr>
              <w:jc w:val="right"/>
              <w:rPr>
                <w:color w:val="000000"/>
              </w:rPr>
            </w:pPr>
          </w:p>
        </w:tc>
      </w:tr>
      <w:tr w:rsidR="008E5DE4" w14:paraId="01B41521" w14:textId="77777777">
        <w:trPr>
          <w:cantSplit/>
          <w:trHeight w:val="153"/>
        </w:trPr>
        <w:tc>
          <w:tcPr>
            <w:tcW w:w="3061" w:type="dxa"/>
            <w:tcBorders>
              <w:top w:val="single" w:sz="4" w:space="0" w:color="000000"/>
            </w:tcBorders>
            <w:vAlign w:val="bottom"/>
          </w:tcPr>
          <w:p w14:paraId="1E3F2B79"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787389B6"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376F34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55F6421"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790F319"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ECAC6E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43D1D9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7A571B0"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3107577D" w14:textId="77777777" w:rsidR="008E5DE4" w:rsidRDefault="008E5DE4">
            <w:pPr>
              <w:widowControl w:val="0"/>
              <w:pBdr>
                <w:top w:val="nil"/>
                <w:left w:val="nil"/>
                <w:bottom w:val="nil"/>
                <w:right w:val="nil"/>
                <w:between w:val="nil"/>
              </w:pBdr>
              <w:jc w:val="right"/>
              <w:rPr>
                <w:color w:val="000000"/>
              </w:rPr>
            </w:pPr>
          </w:p>
        </w:tc>
      </w:tr>
      <w:tr w:rsidR="008E5DE4" w14:paraId="14885855" w14:textId="77777777">
        <w:trPr>
          <w:cantSplit/>
          <w:trHeight w:val="245"/>
        </w:trPr>
        <w:tc>
          <w:tcPr>
            <w:tcW w:w="3061" w:type="dxa"/>
            <w:vAlign w:val="bottom"/>
          </w:tcPr>
          <w:p w14:paraId="749B47BC"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041BF2B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F3ADA7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FDB5FA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DF2008F"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80C34D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753A2C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E98662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7932F3E" w14:textId="77777777" w:rsidR="008E5DE4" w:rsidRDefault="008E5DE4">
            <w:pPr>
              <w:widowControl w:val="0"/>
              <w:pBdr>
                <w:top w:val="nil"/>
                <w:left w:val="nil"/>
                <w:bottom w:val="nil"/>
                <w:right w:val="nil"/>
                <w:between w:val="nil"/>
              </w:pBdr>
              <w:jc w:val="right"/>
              <w:rPr>
                <w:color w:val="000000"/>
              </w:rPr>
            </w:pPr>
          </w:p>
        </w:tc>
      </w:tr>
      <w:tr w:rsidR="008E5DE4" w14:paraId="4F8841AF" w14:textId="77777777">
        <w:trPr>
          <w:cantSplit/>
          <w:trHeight w:val="80"/>
        </w:trPr>
        <w:tc>
          <w:tcPr>
            <w:tcW w:w="3061" w:type="dxa"/>
            <w:tcBorders>
              <w:bottom w:val="single" w:sz="4" w:space="0" w:color="000000"/>
            </w:tcBorders>
            <w:vAlign w:val="bottom"/>
          </w:tcPr>
          <w:p w14:paraId="4DB1838E"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2E10ADC9"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50E7D1A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86216FB"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161880F0"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4517444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8A3A13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86C04F5"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53070644" w14:textId="77777777" w:rsidR="008E5DE4" w:rsidRDefault="008E5DE4">
            <w:pPr>
              <w:widowControl w:val="0"/>
              <w:pBdr>
                <w:top w:val="nil"/>
                <w:left w:val="nil"/>
                <w:bottom w:val="nil"/>
                <w:right w:val="nil"/>
                <w:between w:val="nil"/>
              </w:pBdr>
              <w:jc w:val="right"/>
              <w:rPr>
                <w:color w:val="000000"/>
              </w:rPr>
            </w:pPr>
          </w:p>
        </w:tc>
      </w:tr>
      <w:tr w:rsidR="008E5DE4" w14:paraId="5D4F8F0D" w14:textId="77777777">
        <w:trPr>
          <w:cantSplit/>
          <w:trHeight w:val="153"/>
        </w:trPr>
        <w:tc>
          <w:tcPr>
            <w:tcW w:w="3061" w:type="dxa"/>
            <w:tcBorders>
              <w:top w:val="single" w:sz="4" w:space="0" w:color="000000"/>
            </w:tcBorders>
            <w:vAlign w:val="bottom"/>
          </w:tcPr>
          <w:p w14:paraId="394CAE64"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4DCB07AC"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0F2270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4D10832"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42344446"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6A2C1C2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93FEAA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4196872"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3DC8D992" w14:textId="77777777" w:rsidR="008E5DE4" w:rsidRDefault="008E5DE4">
            <w:pPr>
              <w:widowControl w:val="0"/>
              <w:pBdr>
                <w:top w:val="nil"/>
                <w:left w:val="nil"/>
                <w:bottom w:val="nil"/>
                <w:right w:val="nil"/>
                <w:between w:val="nil"/>
              </w:pBdr>
              <w:jc w:val="right"/>
              <w:rPr>
                <w:color w:val="000000"/>
              </w:rPr>
            </w:pPr>
          </w:p>
        </w:tc>
      </w:tr>
      <w:tr w:rsidR="008E5DE4" w14:paraId="2ADB9211" w14:textId="77777777">
        <w:trPr>
          <w:cantSplit/>
          <w:trHeight w:val="692"/>
        </w:trPr>
        <w:tc>
          <w:tcPr>
            <w:tcW w:w="3061" w:type="dxa"/>
            <w:vAlign w:val="bottom"/>
          </w:tcPr>
          <w:p w14:paraId="502FDDD5"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575E14BC" w14:textId="77777777" w:rsidR="008E5DE4" w:rsidRDefault="008E5DE4">
            <w:pPr>
              <w:widowControl w:val="0"/>
              <w:pBdr>
                <w:top w:val="nil"/>
                <w:left w:val="nil"/>
                <w:bottom w:val="nil"/>
                <w:right w:val="nil"/>
                <w:between w:val="nil"/>
              </w:pBdr>
              <w:ind w:right="-57"/>
              <w:rPr>
                <w:color w:val="000000"/>
              </w:rPr>
            </w:pPr>
          </w:p>
        </w:tc>
        <w:tc>
          <w:tcPr>
            <w:tcW w:w="851" w:type="dxa"/>
            <w:vAlign w:val="bottom"/>
          </w:tcPr>
          <w:p w14:paraId="4F4E60C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CE30B5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D368455"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F7FA38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EB0FBD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6BAF8E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DEB381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3D3AE89" w14:textId="77777777" w:rsidR="008E5DE4" w:rsidRDefault="008E5DE4">
            <w:pPr>
              <w:widowControl w:val="0"/>
              <w:pBdr>
                <w:top w:val="nil"/>
                <w:left w:val="nil"/>
                <w:bottom w:val="nil"/>
                <w:right w:val="nil"/>
                <w:between w:val="nil"/>
              </w:pBdr>
              <w:jc w:val="right"/>
              <w:rPr>
                <w:color w:val="000000"/>
                <w:highlight w:val="green"/>
              </w:rPr>
            </w:pPr>
          </w:p>
        </w:tc>
      </w:tr>
      <w:tr w:rsidR="008E5DE4" w14:paraId="1565D35F" w14:textId="77777777">
        <w:trPr>
          <w:cantSplit/>
          <w:trHeight w:val="169"/>
        </w:trPr>
        <w:tc>
          <w:tcPr>
            <w:tcW w:w="3061" w:type="dxa"/>
            <w:vAlign w:val="bottom"/>
          </w:tcPr>
          <w:p w14:paraId="447F56EA"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64362672"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C6DE2A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E9C97C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876895B"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6800B0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934C4E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872507F"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486E0AC" w14:textId="77777777" w:rsidR="008E5DE4" w:rsidRDefault="008E5DE4">
            <w:pPr>
              <w:widowControl w:val="0"/>
              <w:pBdr>
                <w:top w:val="nil"/>
                <w:left w:val="nil"/>
                <w:bottom w:val="nil"/>
                <w:right w:val="nil"/>
                <w:between w:val="nil"/>
              </w:pBdr>
              <w:jc w:val="right"/>
              <w:rPr>
                <w:color w:val="000000"/>
                <w:highlight w:val="green"/>
              </w:rPr>
            </w:pPr>
          </w:p>
        </w:tc>
      </w:tr>
      <w:tr w:rsidR="008E5DE4" w14:paraId="550DB102" w14:textId="77777777">
        <w:trPr>
          <w:cantSplit/>
          <w:trHeight w:val="169"/>
        </w:trPr>
        <w:tc>
          <w:tcPr>
            <w:tcW w:w="3061" w:type="dxa"/>
            <w:vAlign w:val="bottom"/>
          </w:tcPr>
          <w:p w14:paraId="7E6A8F6B"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590CE6A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EF91BA2"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5A611F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F0ACFDF"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7CD573E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3CB5EB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BFDACE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DDF27FB" w14:textId="77777777" w:rsidR="008E5DE4" w:rsidRDefault="008E5DE4">
            <w:pPr>
              <w:widowControl w:val="0"/>
              <w:pBdr>
                <w:top w:val="nil"/>
                <w:left w:val="nil"/>
                <w:bottom w:val="nil"/>
                <w:right w:val="nil"/>
                <w:between w:val="nil"/>
              </w:pBdr>
              <w:jc w:val="right"/>
              <w:rPr>
                <w:color w:val="000000"/>
                <w:highlight w:val="green"/>
              </w:rPr>
            </w:pPr>
          </w:p>
        </w:tc>
      </w:tr>
      <w:tr w:rsidR="008E5DE4" w14:paraId="4DB3FA87" w14:textId="77777777">
        <w:trPr>
          <w:cantSplit/>
          <w:trHeight w:val="337"/>
        </w:trPr>
        <w:tc>
          <w:tcPr>
            <w:tcW w:w="3061" w:type="dxa"/>
            <w:vAlign w:val="bottom"/>
          </w:tcPr>
          <w:p w14:paraId="094C77FD"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55A3EBB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C96BE4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E0E416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3EFA1D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B20D9B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64D6A8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2FC41C4"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273C0B1" w14:textId="77777777" w:rsidR="008E5DE4" w:rsidRDefault="008E5DE4">
            <w:pPr>
              <w:widowControl w:val="0"/>
              <w:pBdr>
                <w:top w:val="nil"/>
                <w:left w:val="nil"/>
                <w:bottom w:val="nil"/>
                <w:right w:val="nil"/>
                <w:between w:val="nil"/>
              </w:pBdr>
              <w:jc w:val="right"/>
              <w:rPr>
                <w:color w:val="000000"/>
              </w:rPr>
            </w:pPr>
          </w:p>
        </w:tc>
      </w:tr>
      <w:tr w:rsidR="008E5DE4" w14:paraId="0C79FDC6" w14:textId="77777777">
        <w:trPr>
          <w:cantSplit/>
          <w:trHeight w:val="231"/>
        </w:trPr>
        <w:tc>
          <w:tcPr>
            <w:tcW w:w="3061" w:type="dxa"/>
            <w:vAlign w:val="bottom"/>
          </w:tcPr>
          <w:p w14:paraId="0C9EEEA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851" w:type="dxa"/>
            <w:vAlign w:val="bottom"/>
          </w:tcPr>
          <w:p w14:paraId="4837305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845B2F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4EEE31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B8B3996"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72CDA9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ECA244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BDD85F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C6A1379" w14:textId="77777777" w:rsidR="008E5DE4" w:rsidRDefault="008E5DE4">
            <w:pPr>
              <w:widowControl w:val="0"/>
              <w:pBdr>
                <w:top w:val="nil"/>
                <w:left w:val="nil"/>
                <w:bottom w:val="nil"/>
                <w:right w:val="nil"/>
                <w:between w:val="nil"/>
              </w:pBdr>
              <w:jc w:val="right"/>
              <w:rPr>
                <w:color w:val="000000"/>
              </w:rPr>
            </w:pPr>
          </w:p>
        </w:tc>
      </w:tr>
      <w:tr w:rsidR="008E5DE4" w14:paraId="6E19EB31" w14:textId="77777777">
        <w:trPr>
          <w:cantSplit/>
          <w:trHeight w:val="169"/>
        </w:trPr>
        <w:tc>
          <w:tcPr>
            <w:tcW w:w="3061" w:type="dxa"/>
            <w:tcBorders>
              <w:bottom w:val="single" w:sz="4" w:space="0" w:color="000000"/>
            </w:tcBorders>
            <w:vAlign w:val="bottom"/>
          </w:tcPr>
          <w:p w14:paraId="3F094F4D"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6334038E"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5D793C7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F11B84A"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35D7A98D"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2D9068A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80CA89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8AD5ADD"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6D83A33A" w14:textId="77777777" w:rsidR="008E5DE4" w:rsidRDefault="008E5DE4">
            <w:pPr>
              <w:widowControl w:val="0"/>
              <w:pBdr>
                <w:top w:val="nil"/>
                <w:left w:val="nil"/>
                <w:bottom w:val="nil"/>
                <w:right w:val="nil"/>
                <w:between w:val="nil"/>
              </w:pBdr>
              <w:jc w:val="right"/>
              <w:rPr>
                <w:color w:val="000000"/>
              </w:rPr>
            </w:pPr>
          </w:p>
        </w:tc>
      </w:tr>
      <w:tr w:rsidR="008E5DE4" w14:paraId="344A7C33" w14:textId="77777777">
        <w:trPr>
          <w:cantSplit/>
          <w:trHeight w:val="169"/>
        </w:trPr>
        <w:tc>
          <w:tcPr>
            <w:tcW w:w="3061" w:type="dxa"/>
            <w:tcBorders>
              <w:top w:val="single" w:sz="4" w:space="0" w:color="000000"/>
            </w:tcBorders>
            <w:vAlign w:val="bottom"/>
          </w:tcPr>
          <w:p w14:paraId="7360B234"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5FA17B63"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5107609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311D368"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DE7FFFD"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8548A7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E51C7BB"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2684778"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58AAE39" w14:textId="77777777" w:rsidR="008E5DE4" w:rsidRDefault="008E5DE4">
            <w:pPr>
              <w:widowControl w:val="0"/>
              <w:pBdr>
                <w:top w:val="nil"/>
                <w:left w:val="nil"/>
                <w:bottom w:val="nil"/>
                <w:right w:val="nil"/>
                <w:between w:val="nil"/>
              </w:pBdr>
              <w:jc w:val="right"/>
              <w:rPr>
                <w:color w:val="000000"/>
              </w:rPr>
            </w:pPr>
          </w:p>
        </w:tc>
      </w:tr>
      <w:tr w:rsidR="008E5DE4" w14:paraId="72D3C2C5" w14:textId="77777777">
        <w:trPr>
          <w:cantSplit/>
          <w:trHeight w:val="169"/>
        </w:trPr>
        <w:tc>
          <w:tcPr>
            <w:tcW w:w="3061" w:type="dxa"/>
            <w:vAlign w:val="bottom"/>
          </w:tcPr>
          <w:p w14:paraId="288B92E9" w14:textId="120CD209"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1" w:type="dxa"/>
            <w:vAlign w:val="bottom"/>
          </w:tcPr>
          <w:p w14:paraId="0D8FBB1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E08BE3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076168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D4BFF82"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795E15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BF37D0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7108A5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0986E80" w14:textId="77777777" w:rsidR="008E5DE4" w:rsidRDefault="008E5DE4">
            <w:pPr>
              <w:widowControl w:val="0"/>
              <w:pBdr>
                <w:top w:val="nil"/>
                <w:left w:val="nil"/>
                <w:bottom w:val="nil"/>
                <w:right w:val="nil"/>
                <w:between w:val="nil"/>
              </w:pBdr>
              <w:jc w:val="right"/>
              <w:rPr>
                <w:color w:val="000000"/>
              </w:rPr>
            </w:pPr>
          </w:p>
        </w:tc>
      </w:tr>
      <w:tr w:rsidR="008E5DE4" w14:paraId="45045026" w14:textId="77777777">
        <w:trPr>
          <w:cantSplit/>
          <w:trHeight w:val="169"/>
        </w:trPr>
        <w:tc>
          <w:tcPr>
            <w:tcW w:w="3061" w:type="dxa"/>
            <w:tcBorders>
              <w:bottom w:val="single" w:sz="12" w:space="0" w:color="000000"/>
            </w:tcBorders>
            <w:vAlign w:val="bottom"/>
          </w:tcPr>
          <w:p w14:paraId="40E3E818"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024BAEB9"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2C7AA60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78413F6D"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7A2B2F5B"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65C4B28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4601408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39164FD1"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2800E2AA" w14:textId="77777777" w:rsidR="008E5DE4" w:rsidRDefault="008E5DE4">
            <w:pPr>
              <w:widowControl w:val="0"/>
              <w:pBdr>
                <w:top w:val="nil"/>
                <w:left w:val="nil"/>
                <w:bottom w:val="nil"/>
                <w:right w:val="nil"/>
                <w:between w:val="nil"/>
              </w:pBdr>
              <w:jc w:val="right"/>
              <w:rPr>
                <w:color w:val="000000"/>
              </w:rPr>
            </w:pPr>
          </w:p>
        </w:tc>
      </w:tr>
    </w:tbl>
    <w:p w14:paraId="5183AB14"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4346FFF9" w14:textId="76B4C9E7" w:rsidR="008E5DE4" w:rsidRDefault="00780368">
      <w:pPr>
        <w:widowControl w:val="0"/>
        <w:spacing w:before="200" w:after="200" w:line="228" w:lineRule="auto"/>
        <w:jc w:val="both"/>
        <w:rPr>
          <w:i/>
          <w:color w:val="FF0000"/>
          <w:sz w:val="20"/>
          <w:szCs w:val="20"/>
        </w:rPr>
      </w:pPr>
      <w:r>
        <w:rPr>
          <w:sz w:val="20"/>
          <w:szCs w:val="20"/>
        </w:rPr>
        <w:t>The following table explains the changes in the credit loss allowance and gross carrying amount for debt securities at AC between the beginning and the end of the comparative period:</w:t>
      </w:r>
    </w:p>
    <w:tbl>
      <w:tblPr>
        <w:tblStyle w:val="afffffffc"/>
        <w:tblW w:w="9620" w:type="dxa"/>
        <w:tblLayout w:type="fixed"/>
        <w:tblLook w:val="0000" w:firstRow="0" w:lastRow="0" w:firstColumn="0" w:lastColumn="0" w:noHBand="0" w:noVBand="0"/>
      </w:tblPr>
      <w:tblGrid>
        <w:gridCol w:w="3061"/>
        <w:gridCol w:w="851"/>
        <w:gridCol w:w="878"/>
        <w:gridCol w:w="856"/>
        <w:gridCol w:w="571"/>
        <w:gridCol w:w="247"/>
        <w:gridCol w:w="871"/>
        <w:gridCol w:w="856"/>
        <w:gridCol w:w="856"/>
        <w:gridCol w:w="573"/>
      </w:tblGrid>
      <w:tr w:rsidR="008E5DE4" w14:paraId="7391CB0B" w14:textId="77777777">
        <w:trPr>
          <w:cantSplit/>
          <w:trHeight w:val="169"/>
          <w:tblHeader/>
        </w:trPr>
        <w:tc>
          <w:tcPr>
            <w:tcW w:w="3061" w:type="dxa"/>
            <w:vAlign w:val="bottom"/>
          </w:tcPr>
          <w:p w14:paraId="15D6C7E7"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6BBFB797"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247" w:type="dxa"/>
          </w:tcPr>
          <w:p w14:paraId="34F3116B" w14:textId="77777777" w:rsidR="008E5DE4" w:rsidRDefault="008E5DE4">
            <w:pPr>
              <w:widowControl w:val="0"/>
              <w:pBdr>
                <w:top w:val="nil"/>
                <w:left w:val="nil"/>
                <w:bottom w:val="nil"/>
                <w:right w:val="nil"/>
                <w:between w:val="nil"/>
              </w:pBdr>
              <w:ind w:left="-113"/>
              <w:jc w:val="center"/>
              <w:rPr>
                <w:b/>
                <w:color w:val="000000"/>
              </w:rPr>
            </w:pPr>
          </w:p>
        </w:tc>
        <w:tc>
          <w:tcPr>
            <w:tcW w:w="3156" w:type="dxa"/>
            <w:gridSpan w:val="4"/>
            <w:tcBorders>
              <w:bottom w:val="single" w:sz="4" w:space="0" w:color="000000"/>
            </w:tcBorders>
          </w:tcPr>
          <w:p w14:paraId="6BF00F8F"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1946CA18" w14:textId="77777777">
        <w:trPr>
          <w:cantSplit/>
          <w:trHeight w:val="507"/>
          <w:tblHeader/>
        </w:trPr>
        <w:tc>
          <w:tcPr>
            <w:tcW w:w="3061" w:type="dxa"/>
            <w:tcBorders>
              <w:bottom w:val="single" w:sz="4" w:space="0" w:color="000000"/>
            </w:tcBorders>
            <w:vAlign w:val="bottom"/>
          </w:tcPr>
          <w:p w14:paraId="3B276CFE" w14:textId="77777777" w:rsidR="008E5DE4" w:rsidRDefault="008E5DE4">
            <w:pPr>
              <w:widowControl w:val="0"/>
              <w:pBdr>
                <w:top w:val="nil"/>
                <w:left w:val="nil"/>
                <w:bottom w:val="nil"/>
                <w:right w:val="nil"/>
                <w:between w:val="nil"/>
              </w:pBdr>
              <w:ind w:left="113" w:right="-57" w:hanging="113"/>
              <w:rPr>
                <w:i/>
                <w:color w:val="000000"/>
              </w:rPr>
            </w:pPr>
          </w:p>
          <w:p w14:paraId="728D19D2"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2A248D6B"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7520CB9"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01BF00A9"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1788F2A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7BD14D9A"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279AFD7D"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7FFB77A7"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247" w:type="dxa"/>
            <w:tcBorders>
              <w:bottom w:val="single" w:sz="4" w:space="0" w:color="000000"/>
            </w:tcBorders>
          </w:tcPr>
          <w:p w14:paraId="6D2A3A4D" w14:textId="77777777" w:rsidR="008E5DE4" w:rsidRDefault="008E5DE4">
            <w:pPr>
              <w:widowControl w:val="0"/>
              <w:pBdr>
                <w:top w:val="nil"/>
                <w:left w:val="nil"/>
                <w:bottom w:val="nil"/>
                <w:right w:val="nil"/>
                <w:between w:val="nil"/>
              </w:pBdr>
              <w:ind w:left="-113"/>
              <w:jc w:val="right"/>
              <w:rPr>
                <w:b/>
                <w:color w:val="000000"/>
              </w:rPr>
            </w:pPr>
          </w:p>
        </w:tc>
        <w:tc>
          <w:tcPr>
            <w:tcW w:w="871" w:type="dxa"/>
            <w:tcBorders>
              <w:top w:val="single" w:sz="4" w:space="0" w:color="000000"/>
              <w:bottom w:val="single" w:sz="4" w:space="0" w:color="000000"/>
            </w:tcBorders>
          </w:tcPr>
          <w:p w14:paraId="080B86E6"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3D42E0D3"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49B7CC21"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B1EE0C9"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5AA24DD8"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F91349B"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209BEFAF"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5499A41D" w14:textId="77777777">
        <w:trPr>
          <w:cantSplit/>
          <w:trHeight w:val="169"/>
          <w:tblHeader/>
        </w:trPr>
        <w:tc>
          <w:tcPr>
            <w:tcW w:w="3061" w:type="dxa"/>
            <w:vAlign w:val="bottom"/>
          </w:tcPr>
          <w:p w14:paraId="4BC3B310" w14:textId="77777777" w:rsidR="008E5DE4" w:rsidRDefault="008E5DE4">
            <w:pPr>
              <w:widowControl w:val="0"/>
              <w:ind w:left="113" w:right="-57" w:hanging="113"/>
            </w:pPr>
          </w:p>
        </w:tc>
        <w:tc>
          <w:tcPr>
            <w:tcW w:w="851" w:type="dxa"/>
            <w:vAlign w:val="bottom"/>
          </w:tcPr>
          <w:p w14:paraId="2DB95D6E"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B421F0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2AD0FC1"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4425280" w14:textId="77777777" w:rsidR="008E5DE4" w:rsidRDefault="008E5DE4">
            <w:pPr>
              <w:widowControl w:val="0"/>
              <w:pBdr>
                <w:top w:val="nil"/>
                <w:left w:val="nil"/>
                <w:bottom w:val="nil"/>
                <w:right w:val="nil"/>
                <w:between w:val="nil"/>
              </w:pBdr>
              <w:jc w:val="right"/>
              <w:rPr>
                <w:color w:val="000000"/>
              </w:rPr>
            </w:pPr>
          </w:p>
        </w:tc>
        <w:tc>
          <w:tcPr>
            <w:tcW w:w="247" w:type="dxa"/>
            <w:tcBorders>
              <w:top w:val="single" w:sz="4" w:space="0" w:color="000000"/>
            </w:tcBorders>
          </w:tcPr>
          <w:p w14:paraId="2F63EE37" w14:textId="77777777" w:rsidR="008E5DE4" w:rsidRDefault="008E5DE4">
            <w:pPr>
              <w:widowControl w:val="0"/>
              <w:pBdr>
                <w:top w:val="nil"/>
                <w:left w:val="nil"/>
                <w:bottom w:val="nil"/>
                <w:right w:val="nil"/>
                <w:between w:val="nil"/>
              </w:pBdr>
              <w:jc w:val="right"/>
              <w:rPr>
                <w:color w:val="000000"/>
              </w:rPr>
            </w:pPr>
          </w:p>
        </w:tc>
        <w:tc>
          <w:tcPr>
            <w:tcW w:w="871" w:type="dxa"/>
          </w:tcPr>
          <w:p w14:paraId="27B6753F" w14:textId="77777777" w:rsidR="008E5DE4" w:rsidRDefault="008E5DE4">
            <w:pPr>
              <w:widowControl w:val="0"/>
              <w:pBdr>
                <w:top w:val="nil"/>
                <w:left w:val="nil"/>
                <w:bottom w:val="nil"/>
                <w:right w:val="nil"/>
                <w:between w:val="nil"/>
              </w:pBdr>
              <w:jc w:val="right"/>
              <w:rPr>
                <w:color w:val="000000"/>
              </w:rPr>
            </w:pPr>
          </w:p>
        </w:tc>
        <w:tc>
          <w:tcPr>
            <w:tcW w:w="856" w:type="dxa"/>
          </w:tcPr>
          <w:p w14:paraId="1DBCAD62" w14:textId="77777777" w:rsidR="008E5DE4" w:rsidRDefault="008E5DE4">
            <w:pPr>
              <w:widowControl w:val="0"/>
              <w:pBdr>
                <w:top w:val="nil"/>
                <w:left w:val="nil"/>
                <w:bottom w:val="nil"/>
                <w:right w:val="nil"/>
                <w:between w:val="nil"/>
              </w:pBdr>
              <w:jc w:val="right"/>
              <w:rPr>
                <w:color w:val="000000"/>
              </w:rPr>
            </w:pPr>
          </w:p>
        </w:tc>
        <w:tc>
          <w:tcPr>
            <w:tcW w:w="856" w:type="dxa"/>
          </w:tcPr>
          <w:p w14:paraId="6A54449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DD94E32" w14:textId="77777777" w:rsidR="008E5DE4" w:rsidRDefault="008E5DE4">
            <w:pPr>
              <w:widowControl w:val="0"/>
              <w:pBdr>
                <w:top w:val="nil"/>
                <w:left w:val="nil"/>
                <w:bottom w:val="nil"/>
                <w:right w:val="nil"/>
                <w:between w:val="nil"/>
              </w:pBdr>
              <w:jc w:val="right"/>
              <w:rPr>
                <w:color w:val="000000"/>
              </w:rPr>
            </w:pPr>
          </w:p>
        </w:tc>
      </w:tr>
      <w:tr w:rsidR="008E5DE4" w14:paraId="17FA9482" w14:textId="77777777">
        <w:trPr>
          <w:cantSplit/>
          <w:trHeight w:val="169"/>
        </w:trPr>
        <w:tc>
          <w:tcPr>
            <w:tcW w:w="3061" w:type="dxa"/>
            <w:vAlign w:val="bottom"/>
          </w:tcPr>
          <w:p w14:paraId="2539BF1C"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[Country] government bonds</w:t>
            </w:r>
          </w:p>
        </w:tc>
        <w:tc>
          <w:tcPr>
            <w:tcW w:w="851" w:type="dxa"/>
            <w:vAlign w:val="bottom"/>
          </w:tcPr>
          <w:p w14:paraId="33654F1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0980ED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47EB7C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C5E4848" w14:textId="77777777" w:rsidR="008E5DE4" w:rsidRDefault="008E5DE4">
            <w:pPr>
              <w:widowControl w:val="0"/>
              <w:pBdr>
                <w:top w:val="nil"/>
                <w:left w:val="nil"/>
                <w:bottom w:val="nil"/>
                <w:right w:val="nil"/>
                <w:between w:val="nil"/>
              </w:pBdr>
              <w:jc w:val="right"/>
              <w:rPr>
                <w:color w:val="000000"/>
              </w:rPr>
            </w:pPr>
          </w:p>
        </w:tc>
        <w:tc>
          <w:tcPr>
            <w:tcW w:w="247" w:type="dxa"/>
          </w:tcPr>
          <w:p w14:paraId="0807C21C" w14:textId="77777777" w:rsidR="008E5DE4" w:rsidRDefault="008E5DE4">
            <w:pPr>
              <w:widowControl w:val="0"/>
              <w:pBdr>
                <w:top w:val="nil"/>
                <w:left w:val="nil"/>
                <w:bottom w:val="nil"/>
                <w:right w:val="nil"/>
                <w:between w:val="nil"/>
              </w:pBdr>
              <w:jc w:val="right"/>
              <w:rPr>
                <w:color w:val="000000"/>
              </w:rPr>
            </w:pPr>
          </w:p>
        </w:tc>
        <w:tc>
          <w:tcPr>
            <w:tcW w:w="871" w:type="dxa"/>
          </w:tcPr>
          <w:p w14:paraId="2CAE5862" w14:textId="77777777" w:rsidR="008E5DE4" w:rsidRDefault="008E5DE4">
            <w:pPr>
              <w:widowControl w:val="0"/>
              <w:pBdr>
                <w:top w:val="nil"/>
                <w:left w:val="nil"/>
                <w:bottom w:val="nil"/>
                <w:right w:val="nil"/>
                <w:between w:val="nil"/>
              </w:pBdr>
              <w:jc w:val="right"/>
              <w:rPr>
                <w:color w:val="000000"/>
              </w:rPr>
            </w:pPr>
          </w:p>
        </w:tc>
        <w:tc>
          <w:tcPr>
            <w:tcW w:w="856" w:type="dxa"/>
          </w:tcPr>
          <w:p w14:paraId="37816186" w14:textId="77777777" w:rsidR="008E5DE4" w:rsidRDefault="008E5DE4">
            <w:pPr>
              <w:widowControl w:val="0"/>
              <w:pBdr>
                <w:top w:val="nil"/>
                <w:left w:val="nil"/>
                <w:bottom w:val="nil"/>
                <w:right w:val="nil"/>
                <w:between w:val="nil"/>
              </w:pBdr>
              <w:jc w:val="right"/>
              <w:rPr>
                <w:color w:val="000000"/>
              </w:rPr>
            </w:pPr>
          </w:p>
        </w:tc>
        <w:tc>
          <w:tcPr>
            <w:tcW w:w="856" w:type="dxa"/>
          </w:tcPr>
          <w:p w14:paraId="798714D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E36662C" w14:textId="77777777" w:rsidR="008E5DE4" w:rsidRDefault="008E5DE4">
            <w:pPr>
              <w:widowControl w:val="0"/>
              <w:pBdr>
                <w:top w:val="nil"/>
                <w:left w:val="nil"/>
                <w:bottom w:val="nil"/>
                <w:right w:val="nil"/>
                <w:between w:val="nil"/>
              </w:pBdr>
              <w:jc w:val="right"/>
              <w:rPr>
                <w:color w:val="000000"/>
              </w:rPr>
            </w:pPr>
          </w:p>
        </w:tc>
      </w:tr>
      <w:tr w:rsidR="008E5DE4" w14:paraId="46A17DBB" w14:textId="77777777">
        <w:trPr>
          <w:cantSplit/>
          <w:trHeight w:val="169"/>
        </w:trPr>
        <w:tc>
          <w:tcPr>
            <w:tcW w:w="3061" w:type="dxa"/>
            <w:vAlign w:val="bottom"/>
          </w:tcPr>
          <w:p w14:paraId="031FEFA2"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7B38DA5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F1E0AB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E8CD7E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C42B9B1" w14:textId="77777777" w:rsidR="008E5DE4" w:rsidRDefault="008E5DE4">
            <w:pPr>
              <w:widowControl w:val="0"/>
              <w:pBdr>
                <w:top w:val="nil"/>
                <w:left w:val="nil"/>
                <w:bottom w:val="nil"/>
                <w:right w:val="nil"/>
                <w:between w:val="nil"/>
              </w:pBdr>
              <w:jc w:val="right"/>
              <w:rPr>
                <w:color w:val="000000"/>
              </w:rPr>
            </w:pPr>
          </w:p>
        </w:tc>
        <w:tc>
          <w:tcPr>
            <w:tcW w:w="247" w:type="dxa"/>
          </w:tcPr>
          <w:p w14:paraId="76DA84CD" w14:textId="77777777" w:rsidR="008E5DE4" w:rsidRDefault="008E5DE4">
            <w:pPr>
              <w:widowControl w:val="0"/>
              <w:pBdr>
                <w:top w:val="nil"/>
                <w:left w:val="nil"/>
                <w:bottom w:val="nil"/>
                <w:right w:val="nil"/>
                <w:between w:val="nil"/>
              </w:pBdr>
              <w:jc w:val="right"/>
              <w:rPr>
                <w:color w:val="000000"/>
              </w:rPr>
            </w:pPr>
          </w:p>
        </w:tc>
        <w:tc>
          <w:tcPr>
            <w:tcW w:w="871" w:type="dxa"/>
          </w:tcPr>
          <w:p w14:paraId="3825B3F2" w14:textId="77777777" w:rsidR="008E5DE4" w:rsidRDefault="008E5DE4">
            <w:pPr>
              <w:widowControl w:val="0"/>
              <w:pBdr>
                <w:top w:val="nil"/>
                <w:left w:val="nil"/>
                <w:bottom w:val="nil"/>
                <w:right w:val="nil"/>
                <w:between w:val="nil"/>
              </w:pBdr>
              <w:jc w:val="right"/>
              <w:rPr>
                <w:color w:val="000000"/>
              </w:rPr>
            </w:pPr>
          </w:p>
        </w:tc>
        <w:tc>
          <w:tcPr>
            <w:tcW w:w="856" w:type="dxa"/>
          </w:tcPr>
          <w:p w14:paraId="19750DFA" w14:textId="77777777" w:rsidR="008E5DE4" w:rsidRDefault="008E5DE4">
            <w:pPr>
              <w:widowControl w:val="0"/>
              <w:pBdr>
                <w:top w:val="nil"/>
                <w:left w:val="nil"/>
                <w:bottom w:val="nil"/>
                <w:right w:val="nil"/>
                <w:between w:val="nil"/>
              </w:pBdr>
              <w:jc w:val="right"/>
              <w:rPr>
                <w:color w:val="000000"/>
              </w:rPr>
            </w:pPr>
          </w:p>
        </w:tc>
        <w:tc>
          <w:tcPr>
            <w:tcW w:w="856" w:type="dxa"/>
          </w:tcPr>
          <w:p w14:paraId="3AA5F91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C5226A7" w14:textId="77777777" w:rsidR="008E5DE4" w:rsidRDefault="008E5DE4">
            <w:pPr>
              <w:widowControl w:val="0"/>
              <w:pBdr>
                <w:top w:val="nil"/>
                <w:left w:val="nil"/>
                <w:bottom w:val="nil"/>
                <w:right w:val="nil"/>
                <w:between w:val="nil"/>
              </w:pBdr>
              <w:jc w:val="right"/>
              <w:rPr>
                <w:color w:val="000000"/>
              </w:rPr>
            </w:pPr>
          </w:p>
        </w:tc>
      </w:tr>
      <w:tr w:rsidR="008E5DE4" w14:paraId="66888CE3" w14:textId="77777777">
        <w:trPr>
          <w:cantSplit/>
          <w:trHeight w:val="169"/>
        </w:trPr>
        <w:tc>
          <w:tcPr>
            <w:tcW w:w="3061" w:type="dxa"/>
            <w:vAlign w:val="bottom"/>
          </w:tcPr>
          <w:p w14:paraId="3C613717" w14:textId="58379743"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w:t>
            </w:r>
            <w:r w:rsidR="00FF468A">
              <w:rPr>
                <w:b/>
                <w:color w:val="000000"/>
              </w:rPr>
              <w:t>2024</w:t>
            </w:r>
          </w:p>
        </w:tc>
        <w:tc>
          <w:tcPr>
            <w:tcW w:w="851" w:type="dxa"/>
            <w:vAlign w:val="bottom"/>
          </w:tcPr>
          <w:p w14:paraId="788B441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1C1402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DC667B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F84B721" w14:textId="77777777" w:rsidR="008E5DE4" w:rsidRDefault="008E5DE4">
            <w:pPr>
              <w:widowControl w:val="0"/>
              <w:pBdr>
                <w:top w:val="nil"/>
                <w:left w:val="nil"/>
                <w:bottom w:val="nil"/>
                <w:right w:val="nil"/>
                <w:between w:val="nil"/>
              </w:pBdr>
              <w:jc w:val="right"/>
              <w:rPr>
                <w:color w:val="000000"/>
              </w:rPr>
            </w:pPr>
          </w:p>
        </w:tc>
        <w:tc>
          <w:tcPr>
            <w:tcW w:w="247" w:type="dxa"/>
          </w:tcPr>
          <w:p w14:paraId="21727848" w14:textId="77777777" w:rsidR="008E5DE4" w:rsidRDefault="008E5DE4">
            <w:pPr>
              <w:widowControl w:val="0"/>
              <w:pBdr>
                <w:top w:val="nil"/>
                <w:left w:val="nil"/>
                <w:bottom w:val="nil"/>
                <w:right w:val="nil"/>
                <w:between w:val="nil"/>
              </w:pBdr>
              <w:jc w:val="right"/>
              <w:rPr>
                <w:color w:val="000000"/>
              </w:rPr>
            </w:pPr>
          </w:p>
        </w:tc>
        <w:tc>
          <w:tcPr>
            <w:tcW w:w="871" w:type="dxa"/>
          </w:tcPr>
          <w:p w14:paraId="3F7D2F68" w14:textId="77777777" w:rsidR="008E5DE4" w:rsidRDefault="008E5DE4">
            <w:pPr>
              <w:widowControl w:val="0"/>
              <w:pBdr>
                <w:top w:val="nil"/>
                <w:left w:val="nil"/>
                <w:bottom w:val="nil"/>
                <w:right w:val="nil"/>
                <w:between w:val="nil"/>
              </w:pBdr>
              <w:jc w:val="right"/>
              <w:rPr>
                <w:color w:val="000000"/>
              </w:rPr>
            </w:pPr>
          </w:p>
        </w:tc>
        <w:tc>
          <w:tcPr>
            <w:tcW w:w="856" w:type="dxa"/>
          </w:tcPr>
          <w:p w14:paraId="40908D09" w14:textId="77777777" w:rsidR="008E5DE4" w:rsidRDefault="008E5DE4">
            <w:pPr>
              <w:widowControl w:val="0"/>
              <w:pBdr>
                <w:top w:val="nil"/>
                <w:left w:val="nil"/>
                <w:bottom w:val="nil"/>
                <w:right w:val="nil"/>
                <w:between w:val="nil"/>
              </w:pBdr>
              <w:jc w:val="right"/>
              <w:rPr>
                <w:color w:val="000000"/>
              </w:rPr>
            </w:pPr>
          </w:p>
        </w:tc>
        <w:tc>
          <w:tcPr>
            <w:tcW w:w="856" w:type="dxa"/>
          </w:tcPr>
          <w:p w14:paraId="047F6D7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796FD85" w14:textId="77777777" w:rsidR="008E5DE4" w:rsidRDefault="008E5DE4">
            <w:pPr>
              <w:widowControl w:val="0"/>
              <w:pBdr>
                <w:top w:val="nil"/>
                <w:left w:val="nil"/>
                <w:bottom w:val="nil"/>
                <w:right w:val="nil"/>
                <w:between w:val="nil"/>
              </w:pBdr>
              <w:jc w:val="right"/>
              <w:rPr>
                <w:color w:val="000000"/>
              </w:rPr>
            </w:pPr>
          </w:p>
        </w:tc>
      </w:tr>
      <w:tr w:rsidR="008E5DE4" w14:paraId="09D94751" w14:textId="77777777">
        <w:trPr>
          <w:cantSplit/>
          <w:trHeight w:val="676"/>
        </w:trPr>
        <w:tc>
          <w:tcPr>
            <w:tcW w:w="3061" w:type="dxa"/>
            <w:vAlign w:val="bottom"/>
          </w:tcPr>
          <w:p w14:paraId="1F91DBCD" w14:textId="77777777" w:rsidR="008E5DE4" w:rsidRDefault="008E5DE4">
            <w:pPr>
              <w:widowControl w:val="0"/>
              <w:pBdr>
                <w:top w:val="nil"/>
                <w:left w:val="nil"/>
                <w:bottom w:val="nil"/>
                <w:right w:val="nil"/>
                <w:between w:val="nil"/>
              </w:pBdr>
              <w:ind w:left="113" w:right="-57" w:hanging="113"/>
              <w:rPr>
                <w:b/>
                <w:color w:val="000000"/>
              </w:rPr>
            </w:pPr>
          </w:p>
          <w:p w14:paraId="39A9FA33"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48F04F3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61CD9C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BDAD85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5A98A64" w14:textId="77777777" w:rsidR="008E5DE4" w:rsidRDefault="008E5DE4">
            <w:pPr>
              <w:widowControl w:val="0"/>
              <w:pBdr>
                <w:top w:val="nil"/>
                <w:left w:val="nil"/>
                <w:bottom w:val="nil"/>
                <w:right w:val="nil"/>
                <w:between w:val="nil"/>
              </w:pBdr>
              <w:jc w:val="right"/>
              <w:rPr>
                <w:color w:val="000000"/>
              </w:rPr>
            </w:pPr>
          </w:p>
        </w:tc>
        <w:tc>
          <w:tcPr>
            <w:tcW w:w="247" w:type="dxa"/>
          </w:tcPr>
          <w:p w14:paraId="042F1EE9" w14:textId="77777777" w:rsidR="008E5DE4" w:rsidRDefault="008E5DE4">
            <w:pPr>
              <w:widowControl w:val="0"/>
              <w:pBdr>
                <w:top w:val="nil"/>
                <w:left w:val="nil"/>
                <w:bottom w:val="nil"/>
                <w:right w:val="nil"/>
                <w:between w:val="nil"/>
              </w:pBdr>
              <w:jc w:val="right"/>
              <w:rPr>
                <w:color w:val="000000"/>
              </w:rPr>
            </w:pPr>
          </w:p>
        </w:tc>
        <w:tc>
          <w:tcPr>
            <w:tcW w:w="871" w:type="dxa"/>
          </w:tcPr>
          <w:p w14:paraId="1EC1786F"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7F35FF1B" w14:textId="77777777" w:rsidR="008E5DE4" w:rsidRDefault="008E5DE4">
            <w:pPr>
              <w:widowControl w:val="0"/>
              <w:pBdr>
                <w:top w:val="nil"/>
                <w:left w:val="nil"/>
                <w:bottom w:val="nil"/>
                <w:right w:val="nil"/>
                <w:between w:val="nil"/>
              </w:pBdr>
              <w:jc w:val="right"/>
              <w:rPr>
                <w:color w:val="000000"/>
              </w:rPr>
            </w:pPr>
          </w:p>
        </w:tc>
        <w:tc>
          <w:tcPr>
            <w:tcW w:w="856" w:type="dxa"/>
          </w:tcPr>
          <w:p w14:paraId="5588A54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63928A5" w14:textId="77777777" w:rsidR="008E5DE4" w:rsidRDefault="008E5DE4">
            <w:pPr>
              <w:widowControl w:val="0"/>
              <w:pBdr>
                <w:top w:val="nil"/>
                <w:left w:val="nil"/>
                <w:bottom w:val="nil"/>
                <w:right w:val="nil"/>
                <w:between w:val="nil"/>
              </w:pBdr>
              <w:jc w:val="right"/>
              <w:rPr>
                <w:color w:val="000000"/>
              </w:rPr>
            </w:pPr>
          </w:p>
        </w:tc>
      </w:tr>
      <w:tr w:rsidR="008E5DE4" w14:paraId="48609BF7" w14:textId="77777777">
        <w:trPr>
          <w:cantSplit/>
          <w:trHeight w:val="184"/>
        </w:trPr>
        <w:tc>
          <w:tcPr>
            <w:tcW w:w="3061" w:type="dxa"/>
            <w:vAlign w:val="bottom"/>
          </w:tcPr>
          <w:p w14:paraId="6F91AE30" w14:textId="77777777" w:rsidR="008E5DE4" w:rsidRDefault="008E5DE4">
            <w:pPr>
              <w:widowControl w:val="0"/>
              <w:pBdr>
                <w:top w:val="nil"/>
                <w:left w:val="nil"/>
                <w:bottom w:val="nil"/>
                <w:right w:val="nil"/>
                <w:between w:val="nil"/>
              </w:pBdr>
              <w:ind w:left="113" w:right="-57" w:hanging="113"/>
              <w:rPr>
                <w:color w:val="000000"/>
              </w:rPr>
            </w:pPr>
          </w:p>
        </w:tc>
        <w:tc>
          <w:tcPr>
            <w:tcW w:w="851" w:type="dxa"/>
            <w:vAlign w:val="bottom"/>
          </w:tcPr>
          <w:p w14:paraId="42D4576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7290C7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CCFFE1C"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2543996" w14:textId="77777777" w:rsidR="008E5DE4" w:rsidRDefault="008E5DE4">
            <w:pPr>
              <w:widowControl w:val="0"/>
              <w:pBdr>
                <w:top w:val="nil"/>
                <w:left w:val="nil"/>
                <w:bottom w:val="nil"/>
                <w:right w:val="nil"/>
                <w:between w:val="nil"/>
              </w:pBdr>
              <w:jc w:val="right"/>
              <w:rPr>
                <w:color w:val="000000"/>
                <w:highlight w:val="green"/>
              </w:rPr>
            </w:pPr>
          </w:p>
        </w:tc>
        <w:tc>
          <w:tcPr>
            <w:tcW w:w="247" w:type="dxa"/>
          </w:tcPr>
          <w:p w14:paraId="3431F8EC"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C274FD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B300B8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D383601"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07CA207" w14:textId="77777777" w:rsidR="008E5DE4" w:rsidRDefault="008E5DE4">
            <w:pPr>
              <w:widowControl w:val="0"/>
              <w:pBdr>
                <w:top w:val="nil"/>
                <w:left w:val="nil"/>
                <w:bottom w:val="nil"/>
                <w:right w:val="nil"/>
                <w:between w:val="nil"/>
              </w:pBdr>
              <w:jc w:val="right"/>
              <w:rPr>
                <w:color w:val="000000"/>
                <w:highlight w:val="green"/>
              </w:rPr>
            </w:pPr>
          </w:p>
        </w:tc>
      </w:tr>
      <w:tr w:rsidR="008E5DE4" w14:paraId="09971C10" w14:textId="77777777">
        <w:trPr>
          <w:cantSplit/>
          <w:trHeight w:val="184"/>
        </w:trPr>
        <w:tc>
          <w:tcPr>
            <w:tcW w:w="3061" w:type="dxa"/>
            <w:vAlign w:val="bottom"/>
          </w:tcPr>
          <w:p w14:paraId="3D4C4021"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3144F86C"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DFB172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4B538A5"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74AF23A" w14:textId="77777777" w:rsidR="008E5DE4" w:rsidRDefault="008E5DE4">
            <w:pPr>
              <w:widowControl w:val="0"/>
              <w:pBdr>
                <w:top w:val="nil"/>
                <w:left w:val="nil"/>
                <w:bottom w:val="nil"/>
                <w:right w:val="nil"/>
                <w:between w:val="nil"/>
              </w:pBdr>
              <w:jc w:val="right"/>
              <w:rPr>
                <w:color w:val="000000"/>
                <w:highlight w:val="green"/>
              </w:rPr>
            </w:pPr>
          </w:p>
        </w:tc>
        <w:tc>
          <w:tcPr>
            <w:tcW w:w="247" w:type="dxa"/>
          </w:tcPr>
          <w:p w14:paraId="313B5E35"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D99E78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45307F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0649EB7"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F29971D" w14:textId="77777777" w:rsidR="008E5DE4" w:rsidRDefault="008E5DE4">
            <w:pPr>
              <w:widowControl w:val="0"/>
              <w:pBdr>
                <w:top w:val="nil"/>
                <w:left w:val="nil"/>
                <w:bottom w:val="nil"/>
                <w:right w:val="nil"/>
                <w:between w:val="nil"/>
              </w:pBdr>
              <w:jc w:val="right"/>
              <w:rPr>
                <w:color w:val="000000"/>
                <w:highlight w:val="green"/>
              </w:rPr>
            </w:pPr>
          </w:p>
        </w:tc>
      </w:tr>
      <w:tr w:rsidR="008E5DE4" w14:paraId="4DDB247C" w14:textId="77777777">
        <w:trPr>
          <w:cantSplit/>
          <w:trHeight w:val="80"/>
        </w:trPr>
        <w:tc>
          <w:tcPr>
            <w:tcW w:w="3061" w:type="dxa"/>
            <w:vAlign w:val="bottom"/>
          </w:tcPr>
          <w:p w14:paraId="051C5434"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2AD6FFD2"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520E63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A2CBE6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191108C" w14:textId="77777777" w:rsidR="008E5DE4" w:rsidRDefault="008E5DE4">
            <w:pPr>
              <w:widowControl w:val="0"/>
              <w:pBdr>
                <w:top w:val="nil"/>
                <w:left w:val="nil"/>
                <w:bottom w:val="nil"/>
                <w:right w:val="nil"/>
                <w:between w:val="nil"/>
              </w:pBdr>
              <w:jc w:val="right"/>
              <w:rPr>
                <w:color w:val="000000"/>
                <w:highlight w:val="green"/>
              </w:rPr>
            </w:pPr>
          </w:p>
        </w:tc>
        <w:tc>
          <w:tcPr>
            <w:tcW w:w="247" w:type="dxa"/>
          </w:tcPr>
          <w:p w14:paraId="053474E6"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8754B3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6D31E2C"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C3969B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19A0C6A" w14:textId="77777777" w:rsidR="008E5DE4" w:rsidRDefault="008E5DE4">
            <w:pPr>
              <w:widowControl w:val="0"/>
              <w:pBdr>
                <w:top w:val="nil"/>
                <w:left w:val="nil"/>
                <w:bottom w:val="nil"/>
                <w:right w:val="nil"/>
                <w:between w:val="nil"/>
              </w:pBdr>
              <w:jc w:val="right"/>
              <w:rPr>
                <w:color w:val="000000"/>
                <w:highlight w:val="green"/>
              </w:rPr>
            </w:pPr>
          </w:p>
        </w:tc>
      </w:tr>
      <w:tr w:rsidR="008E5DE4" w14:paraId="11E33E6A" w14:textId="77777777">
        <w:trPr>
          <w:cantSplit/>
          <w:trHeight w:val="80"/>
        </w:trPr>
        <w:tc>
          <w:tcPr>
            <w:tcW w:w="3061" w:type="dxa"/>
            <w:vAlign w:val="bottom"/>
          </w:tcPr>
          <w:p w14:paraId="6B138B0D"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67CA620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A1FFE4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86A2802"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B8D9C22" w14:textId="77777777" w:rsidR="008E5DE4" w:rsidRDefault="008E5DE4">
            <w:pPr>
              <w:widowControl w:val="0"/>
              <w:pBdr>
                <w:top w:val="nil"/>
                <w:left w:val="nil"/>
                <w:bottom w:val="nil"/>
                <w:right w:val="nil"/>
                <w:between w:val="nil"/>
              </w:pBdr>
              <w:jc w:val="right"/>
              <w:rPr>
                <w:color w:val="000000"/>
                <w:highlight w:val="green"/>
              </w:rPr>
            </w:pPr>
          </w:p>
        </w:tc>
        <w:tc>
          <w:tcPr>
            <w:tcW w:w="247" w:type="dxa"/>
          </w:tcPr>
          <w:p w14:paraId="42ABA229"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D78E89E"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280DA8E"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44D354F"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102C241" w14:textId="77777777" w:rsidR="008E5DE4" w:rsidRDefault="008E5DE4">
            <w:pPr>
              <w:widowControl w:val="0"/>
              <w:pBdr>
                <w:top w:val="nil"/>
                <w:left w:val="nil"/>
                <w:bottom w:val="nil"/>
                <w:right w:val="nil"/>
                <w:between w:val="nil"/>
              </w:pBdr>
              <w:jc w:val="right"/>
              <w:rPr>
                <w:color w:val="000000"/>
                <w:highlight w:val="green"/>
              </w:rPr>
            </w:pPr>
          </w:p>
        </w:tc>
      </w:tr>
      <w:tr w:rsidR="008E5DE4" w14:paraId="300EE764" w14:textId="77777777">
        <w:trPr>
          <w:cantSplit/>
          <w:trHeight w:val="361"/>
        </w:trPr>
        <w:tc>
          <w:tcPr>
            <w:tcW w:w="3061" w:type="dxa"/>
            <w:vAlign w:val="bottom"/>
          </w:tcPr>
          <w:p w14:paraId="55DE134A"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4396F338"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0FD966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B80500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489F4A1" w14:textId="77777777" w:rsidR="008E5DE4" w:rsidRDefault="008E5DE4">
            <w:pPr>
              <w:widowControl w:val="0"/>
              <w:pBdr>
                <w:top w:val="nil"/>
                <w:left w:val="nil"/>
                <w:bottom w:val="nil"/>
                <w:right w:val="nil"/>
                <w:between w:val="nil"/>
              </w:pBdr>
              <w:jc w:val="right"/>
              <w:rPr>
                <w:color w:val="000000"/>
                <w:highlight w:val="green"/>
              </w:rPr>
            </w:pPr>
          </w:p>
        </w:tc>
        <w:tc>
          <w:tcPr>
            <w:tcW w:w="247" w:type="dxa"/>
          </w:tcPr>
          <w:p w14:paraId="2B7A9C3B"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9C851D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4F74BE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E272D91"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00BCEF3" w14:textId="77777777" w:rsidR="008E5DE4" w:rsidRDefault="008E5DE4">
            <w:pPr>
              <w:widowControl w:val="0"/>
              <w:pBdr>
                <w:top w:val="nil"/>
                <w:left w:val="nil"/>
                <w:bottom w:val="nil"/>
                <w:right w:val="nil"/>
                <w:between w:val="nil"/>
              </w:pBdr>
              <w:jc w:val="right"/>
              <w:rPr>
                <w:color w:val="000000"/>
                <w:highlight w:val="green"/>
              </w:rPr>
            </w:pPr>
          </w:p>
        </w:tc>
      </w:tr>
      <w:tr w:rsidR="008E5DE4" w14:paraId="25E2A7E6" w14:textId="77777777">
        <w:trPr>
          <w:cantSplit/>
          <w:trHeight w:val="169"/>
        </w:trPr>
        <w:tc>
          <w:tcPr>
            <w:tcW w:w="3061" w:type="dxa"/>
            <w:vAlign w:val="bottom"/>
          </w:tcPr>
          <w:p w14:paraId="46CFBA20"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2A242C7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8CA14E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B91266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A7A3B1E" w14:textId="77777777" w:rsidR="008E5DE4" w:rsidRDefault="008E5DE4">
            <w:pPr>
              <w:widowControl w:val="0"/>
              <w:pBdr>
                <w:top w:val="nil"/>
                <w:left w:val="nil"/>
                <w:bottom w:val="nil"/>
                <w:right w:val="nil"/>
                <w:between w:val="nil"/>
              </w:pBdr>
              <w:jc w:val="right"/>
              <w:rPr>
                <w:color w:val="000000"/>
              </w:rPr>
            </w:pPr>
          </w:p>
        </w:tc>
        <w:tc>
          <w:tcPr>
            <w:tcW w:w="247" w:type="dxa"/>
          </w:tcPr>
          <w:p w14:paraId="1E3ACC9C" w14:textId="77777777" w:rsidR="008E5DE4" w:rsidRDefault="008E5DE4">
            <w:pPr>
              <w:widowControl w:val="0"/>
              <w:pBdr>
                <w:top w:val="nil"/>
                <w:left w:val="nil"/>
                <w:bottom w:val="nil"/>
                <w:right w:val="nil"/>
                <w:between w:val="nil"/>
              </w:pBdr>
              <w:jc w:val="right"/>
              <w:rPr>
                <w:color w:val="000000"/>
              </w:rPr>
            </w:pPr>
          </w:p>
        </w:tc>
        <w:tc>
          <w:tcPr>
            <w:tcW w:w="871" w:type="dxa"/>
          </w:tcPr>
          <w:p w14:paraId="50C846ED" w14:textId="77777777" w:rsidR="008E5DE4" w:rsidRDefault="008E5DE4">
            <w:pPr>
              <w:widowControl w:val="0"/>
              <w:pBdr>
                <w:top w:val="nil"/>
                <w:left w:val="nil"/>
                <w:bottom w:val="nil"/>
                <w:right w:val="nil"/>
                <w:between w:val="nil"/>
              </w:pBdr>
              <w:jc w:val="right"/>
              <w:rPr>
                <w:color w:val="000000"/>
              </w:rPr>
            </w:pPr>
          </w:p>
        </w:tc>
        <w:tc>
          <w:tcPr>
            <w:tcW w:w="856" w:type="dxa"/>
          </w:tcPr>
          <w:p w14:paraId="2E55CC2A" w14:textId="77777777" w:rsidR="008E5DE4" w:rsidRDefault="008E5DE4">
            <w:pPr>
              <w:widowControl w:val="0"/>
              <w:pBdr>
                <w:top w:val="nil"/>
                <w:left w:val="nil"/>
                <w:bottom w:val="nil"/>
                <w:right w:val="nil"/>
                <w:between w:val="nil"/>
              </w:pBdr>
              <w:jc w:val="right"/>
              <w:rPr>
                <w:color w:val="000000"/>
              </w:rPr>
            </w:pPr>
          </w:p>
        </w:tc>
        <w:tc>
          <w:tcPr>
            <w:tcW w:w="856" w:type="dxa"/>
          </w:tcPr>
          <w:p w14:paraId="2C86277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1A519FC" w14:textId="77777777" w:rsidR="008E5DE4" w:rsidRDefault="008E5DE4">
            <w:pPr>
              <w:widowControl w:val="0"/>
              <w:pBdr>
                <w:top w:val="nil"/>
                <w:left w:val="nil"/>
                <w:bottom w:val="nil"/>
                <w:right w:val="nil"/>
                <w:between w:val="nil"/>
              </w:pBdr>
              <w:jc w:val="right"/>
              <w:rPr>
                <w:color w:val="000000"/>
              </w:rPr>
            </w:pPr>
          </w:p>
        </w:tc>
      </w:tr>
      <w:tr w:rsidR="008E5DE4" w14:paraId="56CCABA2" w14:textId="77777777">
        <w:trPr>
          <w:cantSplit/>
          <w:trHeight w:val="232"/>
        </w:trPr>
        <w:tc>
          <w:tcPr>
            <w:tcW w:w="3061" w:type="dxa"/>
            <w:vAlign w:val="bottom"/>
          </w:tcPr>
          <w:p w14:paraId="034FE3BF"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2AE0CAE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CD5332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A1815D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90BB00E" w14:textId="77777777" w:rsidR="008E5DE4" w:rsidRDefault="008E5DE4">
            <w:pPr>
              <w:widowControl w:val="0"/>
              <w:pBdr>
                <w:top w:val="nil"/>
                <w:left w:val="nil"/>
                <w:bottom w:val="nil"/>
                <w:right w:val="nil"/>
                <w:between w:val="nil"/>
              </w:pBdr>
              <w:jc w:val="right"/>
              <w:rPr>
                <w:color w:val="000000"/>
              </w:rPr>
            </w:pPr>
          </w:p>
        </w:tc>
        <w:tc>
          <w:tcPr>
            <w:tcW w:w="247" w:type="dxa"/>
          </w:tcPr>
          <w:p w14:paraId="106DCABA" w14:textId="77777777" w:rsidR="008E5DE4" w:rsidRDefault="008E5DE4">
            <w:pPr>
              <w:widowControl w:val="0"/>
              <w:pBdr>
                <w:top w:val="nil"/>
                <w:left w:val="nil"/>
                <w:bottom w:val="nil"/>
                <w:right w:val="nil"/>
                <w:between w:val="nil"/>
              </w:pBdr>
              <w:jc w:val="right"/>
              <w:rPr>
                <w:color w:val="000000"/>
              </w:rPr>
            </w:pPr>
          </w:p>
        </w:tc>
        <w:tc>
          <w:tcPr>
            <w:tcW w:w="871" w:type="dxa"/>
          </w:tcPr>
          <w:p w14:paraId="5F06F98A" w14:textId="77777777" w:rsidR="008E5DE4" w:rsidRDefault="008E5DE4">
            <w:pPr>
              <w:widowControl w:val="0"/>
              <w:pBdr>
                <w:top w:val="nil"/>
                <w:left w:val="nil"/>
                <w:bottom w:val="nil"/>
                <w:right w:val="nil"/>
                <w:between w:val="nil"/>
              </w:pBdr>
              <w:jc w:val="right"/>
              <w:rPr>
                <w:color w:val="000000"/>
              </w:rPr>
            </w:pPr>
          </w:p>
        </w:tc>
        <w:tc>
          <w:tcPr>
            <w:tcW w:w="856" w:type="dxa"/>
          </w:tcPr>
          <w:p w14:paraId="29A01746" w14:textId="77777777" w:rsidR="008E5DE4" w:rsidRDefault="008E5DE4">
            <w:pPr>
              <w:widowControl w:val="0"/>
              <w:pBdr>
                <w:top w:val="nil"/>
                <w:left w:val="nil"/>
                <w:bottom w:val="nil"/>
                <w:right w:val="nil"/>
                <w:between w:val="nil"/>
              </w:pBdr>
              <w:jc w:val="right"/>
              <w:rPr>
                <w:color w:val="000000"/>
              </w:rPr>
            </w:pPr>
          </w:p>
        </w:tc>
        <w:tc>
          <w:tcPr>
            <w:tcW w:w="856" w:type="dxa"/>
          </w:tcPr>
          <w:p w14:paraId="7DA9A0B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F8830FF" w14:textId="77777777" w:rsidR="008E5DE4" w:rsidRDefault="008E5DE4">
            <w:pPr>
              <w:widowControl w:val="0"/>
              <w:pBdr>
                <w:top w:val="nil"/>
                <w:left w:val="nil"/>
                <w:bottom w:val="nil"/>
                <w:right w:val="nil"/>
                <w:between w:val="nil"/>
              </w:pBdr>
              <w:jc w:val="right"/>
              <w:rPr>
                <w:color w:val="000000"/>
              </w:rPr>
            </w:pPr>
          </w:p>
        </w:tc>
      </w:tr>
      <w:tr w:rsidR="008E5DE4" w14:paraId="4A18060C" w14:textId="77777777">
        <w:trPr>
          <w:cantSplit/>
          <w:trHeight w:val="80"/>
        </w:trPr>
        <w:tc>
          <w:tcPr>
            <w:tcW w:w="3061" w:type="dxa"/>
            <w:vAlign w:val="bottom"/>
          </w:tcPr>
          <w:p w14:paraId="04E14F94"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52B69F8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313ECA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E6B2D0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0ABDF6E" w14:textId="77777777" w:rsidR="008E5DE4" w:rsidRDefault="008E5DE4">
            <w:pPr>
              <w:widowControl w:val="0"/>
              <w:pBdr>
                <w:top w:val="nil"/>
                <w:left w:val="nil"/>
                <w:bottom w:val="nil"/>
                <w:right w:val="nil"/>
                <w:between w:val="nil"/>
              </w:pBdr>
              <w:jc w:val="right"/>
              <w:rPr>
                <w:color w:val="000000"/>
              </w:rPr>
            </w:pPr>
          </w:p>
        </w:tc>
        <w:tc>
          <w:tcPr>
            <w:tcW w:w="247" w:type="dxa"/>
            <w:vAlign w:val="bottom"/>
          </w:tcPr>
          <w:p w14:paraId="7CA7501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9B9112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BD3A3A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13A87D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D79860A" w14:textId="77777777" w:rsidR="008E5DE4" w:rsidRDefault="008E5DE4">
            <w:pPr>
              <w:widowControl w:val="0"/>
              <w:pBdr>
                <w:top w:val="nil"/>
                <w:left w:val="nil"/>
                <w:bottom w:val="nil"/>
                <w:right w:val="nil"/>
                <w:between w:val="nil"/>
              </w:pBdr>
              <w:jc w:val="right"/>
              <w:rPr>
                <w:color w:val="000000"/>
              </w:rPr>
            </w:pPr>
          </w:p>
        </w:tc>
      </w:tr>
      <w:tr w:rsidR="008E5DE4" w14:paraId="75515B44" w14:textId="77777777">
        <w:trPr>
          <w:cantSplit/>
          <w:trHeight w:val="85"/>
        </w:trPr>
        <w:tc>
          <w:tcPr>
            <w:tcW w:w="3061" w:type="dxa"/>
            <w:vAlign w:val="bottom"/>
          </w:tcPr>
          <w:p w14:paraId="16ACE117"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0143E3F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48CF51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EA41B7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8BED04F" w14:textId="77777777" w:rsidR="008E5DE4" w:rsidRDefault="008E5DE4">
            <w:pPr>
              <w:widowControl w:val="0"/>
              <w:pBdr>
                <w:top w:val="nil"/>
                <w:left w:val="nil"/>
                <w:bottom w:val="nil"/>
                <w:right w:val="nil"/>
                <w:between w:val="nil"/>
              </w:pBdr>
              <w:jc w:val="right"/>
              <w:rPr>
                <w:color w:val="000000"/>
              </w:rPr>
            </w:pPr>
          </w:p>
        </w:tc>
        <w:tc>
          <w:tcPr>
            <w:tcW w:w="247" w:type="dxa"/>
            <w:vAlign w:val="bottom"/>
          </w:tcPr>
          <w:p w14:paraId="1B4A0C51"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2C739F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006CD6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003F0F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2403C2E" w14:textId="77777777" w:rsidR="008E5DE4" w:rsidRDefault="008E5DE4">
            <w:pPr>
              <w:widowControl w:val="0"/>
              <w:pBdr>
                <w:top w:val="nil"/>
                <w:left w:val="nil"/>
                <w:bottom w:val="nil"/>
                <w:right w:val="nil"/>
                <w:between w:val="nil"/>
              </w:pBdr>
              <w:jc w:val="right"/>
              <w:rPr>
                <w:color w:val="000000"/>
              </w:rPr>
            </w:pPr>
          </w:p>
        </w:tc>
      </w:tr>
      <w:tr w:rsidR="008E5DE4" w14:paraId="182F0D4D" w14:textId="77777777">
        <w:trPr>
          <w:cantSplit/>
          <w:trHeight w:val="169"/>
        </w:trPr>
        <w:tc>
          <w:tcPr>
            <w:tcW w:w="3061" w:type="dxa"/>
            <w:vAlign w:val="bottom"/>
          </w:tcPr>
          <w:p w14:paraId="4D274680"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76C8849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592E0B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EC3496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4E409D3" w14:textId="77777777" w:rsidR="008E5DE4" w:rsidRDefault="008E5DE4">
            <w:pPr>
              <w:widowControl w:val="0"/>
              <w:pBdr>
                <w:top w:val="nil"/>
                <w:left w:val="nil"/>
                <w:bottom w:val="nil"/>
                <w:right w:val="nil"/>
                <w:between w:val="nil"/>
              </w:pBdr>
              <w:jc w:val="right"/>
              <w:rPr>
                <w:color w:val="000000"/>
              </w:rPr>
            </w:pPr>
          </w:p>
        </w:tc>
        <w:tc>
          <w:tcPr>
            <w:tcW w:w="247" w:type="dxa"/>
            <w:vAlign w:val="bottom"/>
          </w:tcPr>
          <w:p w14:paraId="4B59C4F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DE6CF8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AB3B7D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BA1B35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569D578" w14:textId="77777777" w:rsidR="008E5DE4" w:rsidRDefault="008E5DE4">
            <w:pPr>
              <w:widowControl w:val="0"/>
              <w:pBdr>
                <w:top w:val="nil"/>
                <w:left w:val="nil"/>
                <w:bottom w:val="nil"/>
                <w:right w:val="nil"/>
                <w:between w:val="nil"/>
              </w:pBdr>
              <w:jc w:val="right"/>
              <w:rPr>
                <w:color w:val="000000"/>
              </w:rPr>
            </w:pPr>
          </w:p>
        </w:tc>
      </w:tr>
      <w:tr w:rsidR="008E5DE4" w14:paraId="314C7207" w14:textId="77777777">
        <w:trPr>
          <w:cantSplit/>
          <w:trHeight w:val="169"/>
        </w:trPr>
        <w:tc>
          <w:tcPr>
            <w:tcW w:w="3061" w:type="dxa"/>
            <w:vAlign w:val="bottom"/>
          </w:tcPr>
          <w:p w14:paraId="601DF8FF"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78E6270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075047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4388AD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8324200" w14:textId="77777777" w:rsidR="008E5DE4" w:rsidRDefault="008E5DE4">
            <w:pPr>
              <w:widowControl w:val="0"/>
              <w:pBdr>
                <w:top w:val="nil"/>
                <w:left w:val="nil"/>
                <w:bottom w:val="nil"/>
                <w:right w:val="nil"/>
                <w:between w:val="nil"/>
              </w:pBdr>
              <w:jc w:val="right"/>
              <w:rPr>
                <w:color w:val="000000"/>
              </w:rPr>
            </w:pPr>
          </w:p>
        </w:tc>
        <w:tc>
          <w:tcPr>
            <w:tcW w:w="247" w:type="dxa"/>
            <w:vAlign w:val="bottom"/>
          </w:tcPr>
          <w:p w14:paraId="1B1ADE2F"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0CA5EE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EA8B09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88B92D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D8DBB05" w14:textId="77777777" w:rsidR="008E5DE4" w:rsidRDefault="008E5DE4">
            <w:pPr>
              <w:widowControl w:val="0"/>
              <w:pBdr>
                <w:top w:val="nil"/>
                <w:left w:val="nil"/>
                <w:bottom w:val="nil"/>
                <w:right w:val="nil"/>
                <w:between w:val="nil"/>
              </w:pBdr>
              <w:jc w:val="right"/>
              <w:rPr>
                <w:color w:val="000000"/>
              </w:rPr>
            </w:pPr>
          </w:p>
        </w:tc>
      </w:tr>
      <w:tr w:rsidR="008E5DE4" w14:paraId="5F756419" w14:textId="77777777">
        <w:trPr>
          <w:cantSplit/>
          <w:trHeight w:val="169"/>
        </w:trPr>
        <w:tc>
          <w:tcPr>
            <w:tcW w:w="3061" w:type="dxa"/>
            <w:tcBorders>
              <w:bottom w:val="single" w:sz="4" w:space="0" w:color="000000"/>
            </w:tcBorders>
            <w:vAlign w:val="bottom"/>
          </w:tcPr>
          <w:p w14:paraId="5CBF4DC2"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3216F5CD"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5E089A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20D666C"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571EEACA" w14:textId="77777777" w:rsidR="008E5DE4" w:rsidRDefault="008E5DE4">
            <w:pPr>
              <w:widowControl w:val="0"/>
              <w:pBdr>
                <w:top w:val="nil"/>
                <w:left w:val="nil"/>
                <w:bottom w:val="nil"/>
                <w:right w:val="nil"/>
                <w:between w:val="nil"/>
              </w:pBdr>
              <w:jc w:val="right"/>
              <w:rPr>
                <w:color w:val="000000"/>
              </w:rPr>
            </w:pPr>
          </w:p>
        </w:tc>
        <w:tc>
          <w:tcPr>
            <w:tcW w:w="247" w:type="dxa"/>
            <w:tcBorders>
              <w:bottom w:val="single" w:sz="4" w:space="0" w:color="000000"/>
            </w:tcBorders>
            <w:vAlign w:val="bottom"/>
          </w:tcPr>
          <w:p w14:paraId="58223202"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32E5536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2BDD76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7FE9391"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2C6FFE24" w14:textId="77777777" w:rsidR="008E5DE4" w:rsidRDefault="008E5DE4">
            <w:pPr>
              <w:widowControl w:val="0"/>
              <w:pBdr>
                <w:top w:val="nil"/>
                <w:left w:val="nil"/>
                <w:bottom w:val="nil"/>
                <w:right w:val="nil"/>
                <w:between w:val="nil"/>
              </w:pBdr>
              <w:jc w:val="right"/>
              <w:rPr>
                <w:color w:val="000000"/>
              </w:rPr>
            </w:pPr>
          </w:p>
        </w:tc>
      </w:tr>
      <w:tr w:rsidR="008E5DE4" w14:paraId="5169E981" w14:textId="77777777">
        <w:trPr>
          <w:cantSplit/>
          <w:trHeight w:val="153"/>
        </w:trPr>
        <w:tc>
          <w:tcPr>
            <w:tcW w:w="3061" w:type="dxa"/>
            <w:tcBorders>
              <w:top w:val="single" w:sz="4" w:space="0" w:color="000000"/>
            </w:tcBorders>
            <w:vAlign w:val="bottom"/>
          </w:tcPr>
          <w:p w14:paraId="358DF5B0"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22173C47"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7070336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B6FE3F0"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E881D9E" w14:textId="77777777" w:rsidR="008E5DE4" w:rsidRDefault="008E5DE4">
            <w:pPr>
              <w:widowControl w:val="0"/>
              <w:pBdr>
                <w:top w:val="nil"/>
                <w:left w:val="nil"/>
                <w:bottom w:val="nil"/>
                <w:right w:val="nil"/>
                <w:between w:val="nil"/>
              </w:pBdr>
              <w:jc w:val="right"/>
              <w:rPr>
                <w:color w:val="000000"/>
              </w:rPr>
            </w:pPr>
          </w:p>
        </w:tc>
        <w:tc>
          <w:tcPr>
            <w:tcW w:w="247" w:type="dxa"/>
            <w:tcBorders>
              <w:top w:val="single" w:sz="4" w:space="0" w:color="000000"/>
            </w:tcBorders>
            <w:vAlign w:val="bottom"/>
          </w:tcPr>
          <w:p w14:paraId="36E50F6A"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0C8D2742"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E27C8F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755C28F"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3015DA71" w14:textId="77777777" w:rsidR="008E5DE4" w:rsidRDefault="008E5DE4">
            <w:pPr>
              <w:widowControl w:val="0"/>
              <w:pBdr>
                <w:top w:val="nil"/>
                <w:left w:val="nil"/>
                <w:bottom w:val="nil"/>
                <w:right w:val="nil"/>
                <w:between w:val="nil"/>
              </w:pBdr>
              <w:jc w:val="right"/>
              <w:rPr>
                <w:color w:val="000000"/>
              </w:rPr>
            </w:pPr>
          </w:p>
        </w:tc>
      </w:tr>
      <w:tr w:rsidR="008E5DE4" w14:paraId="237910B3" w14:textId="77777777">
        <w:trPr>
          <w:cantSplit/>
          <w:trHeight w:val="245"/>
        </w:trPr>
        <w:tc>
          <w:tcPr>
            <w:tcW w:w="3061" w:type="dxa"/>
            <w:vAlign w:val="bottom"/>
          </w:tcPr>
          <w:p w14:paraId="672FEC80"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3490E74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604930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888B13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F0407C9" w14:textId="77777777" w:rsidR="008E5DE4" w:rsidRDefault="008E5DE4">
            <w:pPr>
              <w:widowControl w:val="0"/>
              <w:pBdr>
                <w:top w:val="nil"/>
                <w:left w:val="nil"/>
                <w:bottom w:val="nil"/>
                <w:right w:val="nil"/>
                <w:between w:val="nil"/>
              </w:pBdr>
              <w:jc w:val="right"/>
              <w:rPr>
                <w:color w:val="000000"/>
              </w:rPr>
            </w:pPr>
          </w:p>
        </w:tc>
        <w:tc>
          <w:tcPr>
            <w:tcW w:w="247" w:type="dxa"/>
            <w:vAlign w:val="bottom"/>
          </w:tcPr>
          <w:p w14:paraId="38ABA4A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BD967F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E75ACB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36FE7B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718F4ED" w14:textId="77777777" w:rsidR="008E5DE4" w:rsidRDefault="008E5DE4">
            <w:pPr>
              <w:widowControl w:val="0"/>
              <w:pBdr>
                <w:top w:val="nil"/>
                <w:left w:val="nil"/>
                <w:bottom w:val="nil"/>
                <w:right w:val="nil"/>
                <w:between w:val="nil"/>
              </w:pBdr>
              <w:jc w:val="right"/>
              <w:rPr>
                <w:color w:val="000000"/>
              </w:rPr>
            </w:pPr>
          </w:p>
        </w:tc>
      </w:tr>
      <w:tr w:rsidR="008E5DE4" w14:paraId="248E5AB9" w14:textId="77777777">
        <w:trPr>
          <w:cantSplit/>
          <w:trHeight w:val="80"/>
        </w:trPr>
        <w:tc>
          <w:tcPr>
            <w:tcW w:w="3061" w:type="dxa"/>
            <w:tcBorders>
              <w:bottom w:val="single" w:sz="4" w:space="0" w:color="000000"/>
            </w:tcBorders>
            <w:vAlign w:val="bottom"/>
          </w:tcPr>
          <w:p w14:paraId="76826C61"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0484BEC7"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73977D6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5B1EF12"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662D50B1" w14:textId="77777777" w:rsidR="008E5DE4" w:rsidRDefault="008E5DE4">
            <w:pPr>
              <w:widowControl w:val="0"/>
              <w:pBdr>
                <w:top w:val="nil"/>
                <w:left w:val="nil"/>
                <w:bottom w:val="nil"/>
                <w:right w:val="nil"/>
                <w:between w:val="nil"/>
              </w:pBdr>
              <w:jc w:val="right"/>
              <w:rPr>
                <w:color w:val="000000"/>
              </w:rPr>
            </w:pPr>
          </w:p>
        </w:tc>
        <w:tc>
          <w:tcPr>
            <w:tcW w:w="247" w:type="dxa"/>
            <w:tcBorders>
              <w:bottom w:val="single" w:sz="4" w:space="0" w:color="000000"/>
            </w:tcBorders>
            <w:vAlign w:val="bottom"/>
          </w:tcPr>
          <w:p w14:paraId="737D7741"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2F54FA77"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A1978D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E3D2F6F"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3C51AE09" w14:textId="77777777" w:rsidR="008E5DE4" w:rsidRDefault="008E5DE4">
            <w:pPr>
              <w:widowControl w:val="0"/>
              <w:pBdr>
                <w:top w:val="nil"/>
                <w:left w:val="nil"/>
                <w:bottom w:val="nil"/>
                <w:right w:val="nil"/>
                <w:between w:val="nil"/>
              </w:pBdr>
              <w:jc w:val="right"/>
              <w:rPr>
                <w:color w:val="000000"/>
              </w:rPr>
            </w:pPr>
          </w:p>
        </w:tc>
      </w:tr>
      <w:tr w:rsidR="008E5DE4" w14:paraId="0A965B7C" w14:textId="77777777">
        <w:trPr>
          <w:cantSplit/>
          <w:trHeight w:val="153"/>
        </w:trPr>
        <w:tc>
          <w:tcPr>
            <w:tcW w:w="3061" w:type="dxa"/>
            <w:tcBorders>
              <w:top w:val="single" w:sz="4" w:space="0" w:color="000000"/>
            </w:tcBorders>
            <w:vAlign w:val="bottom"/>
          </w:tcPr>
          <w:p w14:paraId="043B41AE"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705354D9"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47EB0237"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DC0DBB6"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AB9A5E5" w14:textId="77777777" w:rsidR="008E5DE4" w:rsidRDefault="008E5DE4">
            <w:pPr>
              <w:widowControl w:val="0"/>
              <w:pBdr>
                <w:top w:val="nil"/>
                <w:left w:val="nil"/>
                <w:bottom w:val="nil"/>
                <w:right w:val="nil"/>
                <w:between w:val="nil"/>
              </w:pBdr>
              <w:jc w:val="right"/>
              <w:rPr>
                <w:color w:val="000000"/>
              </w:rPr>
            </w:pPr>
          </w:p>
        </w:tc>
        <w:tc>
          <w:tcPr>
            <w:tcW w:w="247" w:type="dxa"/>
            <w:tcBorders>
              <w:top w:val="single" w:sz="4" w:space="0" w:color="000000"/>
            </w:tcBorders>
            <w:vAlign w:val="bottom"/>
          </w:tcPr>
          <w:p w14:paraId="0F1DEE54"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0A4CBF7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D5A25D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66AEC12"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EEF3A25" w14:textId="77777777" w:rsidR="008E5DE4" w:rsidRDefault="008E5DE4">
            <w:pPr>
              <w:widowControl w:val="0"/>
              <w:pBdr>
                <w:top w:val="nil"/>
                <w:left w:val="nil"/>
                <w:bottom w:val="nil"/>
                <w:right w:val="nil"/>
                <w:between w:val="nil"/>
              </w:pBdr>
              <w:jc w:val="right"/>
              <w:rPr>
                <w:color w:val="000000"/>
              </w:rPr>
            </w:pPr>
          </w:p>
        </w:tc>
      </w:tr>
      <w:tr w:rsidR="008E5DE4" w14:paraId="00293F90" w14:textId="77777777">
        <w:trPr>
          <w:cantSplit/>
          <w:trHeight w:val="692"/>
        </w:trPr>
        <w:tc>
          <w:tcPr>
            <w:tcW w:w="3061" w:type="dxa"/>
            <w:vAlign w:val="bottom"/>
          </w:tcPr>
          <w:p w14:paraId="454066CF"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52B4E6F8" w14:textId="77777777" w:rsidR="008E5DE4" w:rsidRDefault="008E5DE4">
            <w:pPr>
              <w:widowControl w:val="0"/>
              <w:pBdr>
                <w:top w:val="nil"/>
                <w:left w:val="nil"/>
                <w:bottom w:val="nil"/>
                <w:right w:val="nil"/>
                <w:between w:val="nil"/>
              </w:pBdr>
              <w:ind w:right="-57"/>
              <w:rPr>
                <w:color w:val="000000"/>
              </w:rPr>
            </w:pPr>
          </w:p>
        </w:tc>
        <w:tc>
          <w:tcPr>
            <w:tcW w:w="851" w:type="dxa"/>
            <w:vAlign w:val="bottom"/>
          </w:tcPr>
          <w:p w14:paraId="010D94C9"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1118A9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8FE4C6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EC4C078" w14:textId="77777777" w:rsidR="008E5DE4" w:rsidRDefault="008E5DE4">
            <w:pPr>
              <w:widowControl w:val="0"/>
              <w:pBdr>
                <w:top w:val="nil"/>
                <w:left w:val="nil"/>
                <w:bottom w:val="nil"/>
                <w:right w:val="nil"/>
                <w:between w:val="nil"/>
              </w:pBdr>
              <w:jc w:val="right"/>
              <w:rPr>
                <w:color w:val="000000"/>
                <w:highlight w:val="green"/>
              </w:rPr>
            </w:pPr>
          </w:p>
        </w:tc>
        <w:tc>
          <w:tcPr>
            <w:tcW w:w="247" w:type="dxa"/>
            <w:vAlign w:val="bottom"/>
          </w:tcPr>
          <w:p w14:paraId="0D18B8FD"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087D87A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2CA891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EF9BBED"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DAB5003" w14:textId="77777777" w:rsidR="008E5DE4" w:rsidRDefault="008E5DE4">
            <w:pPr>
              <w:widowControl w:val="0"/>
              <w:pBdr>
                <w:top w:val="nil"/>
                <w:left w:val="nil"/>
                <w:bottom w:val="nil"/>
                <w:right w:val="nil"/>
                <w:between w:val="nil"/>
              </w:pBdr>
              <w:jc w:val="right"/>
              <w:rPr>
                <w:color w:val="000000"/>
                <w:highlight w:val="green"/>
              </w:rPr>
            </w:pPr>
          </w:p>
        </w:tc>
      </w:tr>
      <w:tr w:rsidR="008E5DE4" w14:paraId="056DE091" w14:textId="77777777">
        <w:trPr>
          <w:cantSplit/>
          <w:trHeight w:val="169"/>
        </w:trPr>
        <w:tc>
          <w:tcPr>
            <w:tcW w:w="3061" w:type="dxa"/>
            <w:vAlign w:val="bottom"/>
          </w:tcPr>
          <w:p w14:paraId="49781AD4"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1FAA149B"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AE53B2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71B0D8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3E2BD06" w14:textId="77777777" w:rsidR="008E5DE4" w:rsidRDefault="008E5DE4">
            <w:pPr>
              <w:widowControl w:val="0"/>
              <w:pBdr>
                <w:top w:val="nil"/>
                <w:left w:val="nil"/>
                <w:bottom w:val="nil"/>
                <w:right w:val="nil"/>
                <w:between w:val="nil"/>
              </w:pBdr>
              <w:jc w:val="right"/>
              <w:rPr>
                <w:color w:val="000000"/>
                <w:highlight w:val="green"/>
              </w:rPr>
            </w:pPr>
          </w:p>
        </w:tc>
        <w:tc>
          <w:tcPr>
            <w:tcW w:w="247" w:type="dxa"/>
            <w:vAlign w:val="bottom"/>
          </w:tcPr>
          <w:p w14:paraId="3C7A65DF"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3EA2FBE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DA7536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737082E"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541B948" w14:textId="77777777" w:rsidR="008E5DE4" w:rsidRDefault="008E5DE4">
            <w:pPr>
              <w:widowControl w:val="0"/>
              <w:pBdr>
                <w:top w:val="nil"/>
                <w:left w:val="nil"/>
                <w:bottom w:val="nil"/>
                <w:right w:val="nil"/>
                <w:between w:val="nil"/>
              </w:pBdr>
              <w:jc w:val="right"/>
              <w:rPr>
                <w:color w:val="000000"/>
                <w:highlight w:val="green"/>
              </w:rPr>
            </w:pPr>
          </w:p>
        </w:tc>
      </w:tr>
      <w:tr w:rsidR="008E5DE4" w14:paraId="33EAD274" w14:textId="77777777">
        <w:trPr>
          <w:cantSplit/>
          <w:trHeight w:val="169"/>
        </w:trPr>
        <w:tc>
          <w:tcPr>
            <w:tcW w:w="3061" w:type="dxa"/>
            <w:vAlign w:val="bottom"/>
          </w:tcPr>
          <w:p w14:paraId="634CD33F"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1550F70C"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E22550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626082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C1382A1" w14:textId="77777777" w:rsidR="008E5DE4" w:rsidRDefault="008E5DE4">
            <w:pPr>
              <w:widowControl w:val="0"/>
              <w:pBdr>
                <w:top w:val="nil"/>
                <w:left w:val="nil"/>
                <w:bottom w:val="nil"/>
                <w:right w:val="nil"/>
                <w:between w:val="nil"/>
              </w:pBdr>
              <w:jc w:val="right"/>
              <w:rPr>
                <w:color w:val="000000"/>
                <w:highlight w:val="green"/>
              </w:rPr>
            </w:pPr>
          </w:p>
        </w:tc>
        <w:tc>
          <w:tcPr>
            <w:tcW w:w="247" w:type="dxa"/>
            <w:vAlign w:val="bottom"/>
          </w:tcPr>
          <w:p w14:paraId="738738BF"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2598E48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5850E7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C883D14"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19BDFF0" w14:textId="77777777" w:rsidR="008E5DE4" w:rsidRDefault="008E5DE4">
            <w:pPr>
              <w:widowControl w:val="0"/>
              <w:pBdr>
                <w:top w:val="nil"/>
                <w:left w:val="nil"/>
                <w:bottom w:val="nil"/>
                <w:right w:val="nil"/>
                <w:between w:val="nil"/>
              </w:pBdr>
              <w:jc w:val="right"/>
              <w:rPr>
                <w:color w:val="000000"/>
                <w:highlight w:val="green"/>
              </w:rPr>
            </w:pPr>
          </w:p>
        </w:tc>
      </w:tr>
      <w:tr w:rsidR="008E5DE4" w14:paraId="5998A1B3" w14:textId="77777777">
        <w:trPr>
          <w:cantSplit/>
          <w:trHeight w:val="337"/>
        </w:trPr>
        <w:tc>
          <w:tcPr>
            <w:tcW w:w="3061" w:type="dxa"/>
            <w:vAlign w:val="bottom"/>
          </w:tcPr>
          <w:p w14:paraId="529884EE"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403081A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FEB437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F888EA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4D5E673" w14:textId="77777777" w:rsidR="008E5DE4" w:rsidRDefault="008E5DE4">
            <w:pPr>
              <w:widowControl w:val="0"/>
              <w:pBdr>
                <w:top w:val="nil"/>
                <w:left w:val="nil"/>
                <w:bottom w:val="nil"/>
                <w:right w:val="nil"/>
                <w:between w:val="nil"/>
              </w:pBdr>
              <w:jc w:val="right"/>
              <w:rPr>
                <w:color w:val="000000"/>
              </w:rPr>
            </w:pPr>
          </w:p>
        </w:tc>
        <w:tc>
          <w:tcPr>
            <w:tcW w:w="247" w:type="dxa"/>
            <w:vAlign w:val="bottom"/>
          </w:tcPr>
          <w:p w14:paraId="2CF6A9B0"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DD88B9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7702B1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5313E1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D289994" w14:textId="77777777" w:rsidR="008E5DE4" w:rsidRDefault="008E5DE4">
            <w:pPr>
              <w:widowControl w:val="0"/>
              <w:pBdr>
                <w:top w:val="nil"/>
                <w:left w:val="nil"/>
                <w:bottom w:val="nil"/>
                <w:right w:val="nil"/>
                <w:between w:val="nil"/>
              </w:pBdr>
              <w:jc w:val="right"/>
              <w:rPr>
                <w:color w:val="000000"/>
              </w:rPr>
            </w:pPr>
          </w:p>
        </w:tc>
      </w:tr>
      <w:tr w:rsidR="008E5DE4" w14:paraId="0CFFE055" w14:textId="77777777">
        <w:trPr>
          <w:cantSplit/>
          <w:trHeight w:val="231"/>
        </w:trPr>
        <w:tc>
          <w:tcPr>
            <w:tcW w:w="3061" w:type="dxa"/>
            <w:vAlign w:val="bottom"/>
          </w:tcPr>
          <w:p w14:paraId="4F802F30"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851" w:type="dxa"/>
            <w:vAlign w:val="bottom"/>
          </w:tcPr>
          <w:p w14:paraId="039F122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887B06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887BB5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A2A8A23" w14:textId="77777777" w:rsidR="008E5DE4" w:rsidRDefault="008E5DE4">
            <w:pPr>
              <w:widowControl w:val="0"/>
              <w:pBdr>
                <w:top w:val="nil"/>
                <w:left w:val="nil"/>
                <w:bottom w:val="nil"/>
                <w:right w:val="nil"/>
                <w:between w:val="nil"/>
              </w:pBdr>
              <w:jc w:val="right"/>
              <w:rPr>
                <w:color w:val="000000"/>
              </w:rPr>
            </w:pPr>
          </w:p>
        </w:tc>
        <w:tc>
          <w:tcPr>
            <w:tcW w:w="247" w:type="dxa"/>
            <w:vAlign w:val="bottom"/>
          </w:tcPr>
          <w:p w14:paraId="7D024DE2"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C72C9E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AB8142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2EA24B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B8E4BD4" w14:textId="77777777" w:rsidR="008E5DE4" w:rsidRDefault="008E5DE4">
            <w:pPr>
              <w:widowControl w:val="0"/>
              <w:pBdr>
                <w:top w:val="nil"/>
                <w:left w:val="nil"/>
                <w:bottom w:val="nil"/>
                <w:right w:val="nil"/>
                <w:between w:val="nil"/>
              </w:pBdr>
              <w:jc w:val="right"/>
              <w:rPr>
                <w:color w:val="000000"/>
              </w:rPr>
            </w:pPr>
          </w:p>
        </w:tc>
      </w:tr>
      <w:tr w:rsidR="008E5DE4" w14:paraId="27F4DD66" w14:textId="77777777">
        <w:trPr>
          <w:cantSplit/>
          <w:trHeight w:val="169"/>
        </w:trPr>
        <w:tc>
          <w:tcPr>
            <w:tcW w:w="3061" w:type="dxa"/>
            <w:tcBorders>
              <w:bottom w:val="single" w:sz="4" w:space="0" w:color="000000"/>
            </w:tcBorders>
            <w:vAlign w:val="bottom"/>
          </w:tcPr>
          <w:p w14:paraId="4F4DC7F6"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75FD1336"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08D6FF9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B174EBE"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0834AC8A" w14:textId="77777777" w:rsidR="008E5DE4" w:rsidRDefault="008E5DE4">
            <w:pPr>
              <w:widowControl w:val="0"/>
              <w:pBdr>
                <w:top w:val="nil"/>
                <w:left w:val="nil"/>
                <w:bottom w:val="nil"/>
                <w:right w:val="nil"/>
                <w:between w:val="nil"/>
              </w:pBdr>
              <w:jc w:val="right"/>
              <w:rPr>
                <w:color w:val="000000"/>
              </w:rPr>
            </w:pPr>
          </w:p>
        </w:tc>
        <w:tc>
          <w:tcPr>
            <w:tcW w:w="247" w:type="dxa"/>
            <w:tcBorders>
              <w:bottom w:val="single" w:sz="4" w:space="0" w:color="000000"/>
            </w:tcBorders>
            <w:vAlign w:val="bottom"/>
          </w:tcPr>
          <w:p w14:paraId="67CBD19E"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135900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EE389D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A2C4F35"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60E76404" w14:textId="77777777" w:rsidR="008E5DE4" w:rsidRDefault="008E5DE4">
            <w:pPr>
              <w:widowControl w:val="0"/>
              <w:pBdr>
                <w:top w:val="nil"/>
                <w:left w:val="nil"/>
                <w:bottom w:val="nil"/>
                <w:right w:val="nil"/>
                <w:between w:val="nil"/>
              </w:pBdr>
              <w:jc w:val="right"/>
              <w:rPr>
                <w:color w:val="000000"/>
              </w:rPr>
            </w:pPr>
          </w:p>
        </w:tc>
      </w:tr>
      <w:tr w:rsidR="008E5DE4" w14:paraId="5A39BA00" w14:textId="77777777">
        <w:trPr>
          <w:cantSplit/>
          <w:trHeight w:val="169"/>
        </w:trPr>
        <w:tc>
          <w:tcPr>
            <w:tcW w:w="3061" w:type="dxa"/>
            <w:tcBorders>
              <w:top w:val="single" w:sz="4" w:space="0" w:color="000000"/>
            </w:tcBorders>
            <w:vAlign w:val="bottom"/>
          </w:tcPr>
          <w:p w14:paraId="77DE53C4"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27406B82"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6D6923E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5925DC7"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B24A2FE" w14:textId="77777777" w:rsidR="008E5DE4" w:rsidRDefault="008E5DE4">
            <w:pPr>
              <w:widowControl w:val="0"/>
              <w:pBdr>
                <w:top w:val="nil"/>
                <w:left w:val="nil"/>
                <w:bottom w:val="nil"/>
                <w:right w:val="nil"/>
                <w:between w:val="nil"/>
              </w:pBdr>
              <w:jc w:val="right"/>
              <w:rPr>
                <w:color w:val="000000"/>
              </w:rPr>
            </w:pPr>
          </w:p>
        </w:tc>
        <w:tc>
          <w:tcPr>
            <w:tcW w:w="247" w:type="dxa"/>
            <w:tcBorders>
              <w:top w:val="single" w:sz="4" w:space="0" w:color="000000"/>
            </w:tcBorders>
            <w:vAlign w:val="bottom"/>
          </w:tcPr>
          <w:p w14:paraId="178D9BF4"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2EA4A387"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D223B3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547CB7C"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4E562797" w14:textId="77777777" w:rsidR="008E5DE4" w:rsidRDefault="008E5DE4">
            <w:pPr>
              <w:widowControl w:val="0"/>
              <w:pBdr>
                <w:top w:val="nil"/>
                <w:left w:val="nil"/>
                <w:bottom w:val="nil"/>
                <w:right w:val="nil"/>
                <w:between w:val="nil"/>
              </w:pBdr>
              <w:jc w:val="right"/>
              <w:rPr>
                <w:color w:val="000000"/>
              </w:rPr>
            </w:pPr>
          </w:p>
        </w:tc>
      </w:tr>
      <w:tr w:rsidR="008E5DE4" w14:paraId="2711B10F" w14:textId="77777777">
        <w:trPr>
          <w:cantSplit/>
          <w:trHeight w:val="169"/>
        </w:trPr>
        <w:tc>
          <w:tcPr>
            <w:tcW w:w="3061" w:type="dxa"/>
            <w:vAlign w:val="bottom"/>
          </w:tcPr>
          <w:p w14:paraId="73A16C49" w14:textId="50A4CAA4"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12C4280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A3F6F0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E93300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FA5E671" w14:textId="77777777" w:rsidR="008E5DE4" w:rsidRDefault="008E5DE4">
            <w:pPr>
              <w:widowControl w:val="0"/>
              <w:pBdr>
                <w:top w:val="nil"/>
                <w:left w:val="nil"/>
                <w:bottom w:val="nil"/>
                <w:right w:val="nil"/>
                <w:between w:val="nil"/>
              </w:pBdr>
              <w:jc w:val="right"/>
              <w:rPr>
                <w:color w:val="000000"/>
              </w:rPr>
            </w:pPr>
          </w:p>
        </w:tc>
        <w:tc>
          <w:tcPr>
            <w:tcW w:w="247" w:type="dxa"/>
            <w:vAlign w:val="bottom"/>
          </w:tcPr>
          <w:p w14:paraId="0A86407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B64C12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3536C9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279616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59B6F82" w14:textId="77777777" w:rsidR="008E5DE4" w:rsidRDefault="008E5DE4">
            <w:pPr>
              <w:widowControl w:val="0"/>
              <w:pBdr>
                <w:top w:val="nil"/>
                <w:left w:val="nil"/>
                <w:bottom w:val="nil"/>
                <w:right w:val="nil"/>
                <w:between w:val="nil"/>
              </w:pBdr>
              <w:jc w:val="right"/>
              <w:rPr>
                <w:color w:val="000000"/>
              </w:rPr>
            </w:pPr>
          </w:p>
        </w:tc>
      </w:tr>
      <w:tr w:rsidR="008E5DE4" w14:paraId="4A48ACC0" w14:textId="77777777">
        <w:trPr>
          <w:cantSplit/>
          <w:trHeight w:val="169"/>
        </w:trPr>
        <w:tc>
          <w:tcPr>
            <w:tcW w:w="3061" w:type="dxa"/>
            <w:tcBorders>
              <w:bottom w:val="single" w:sz="12" w:space="0" w:color="000000"/>
            </w:tcBorders>
            <w:vAlign w:val="bottom"/>
          </w:tcPr>
          <w:p w14:paraId="6CC25653"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7676B219"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429B6457"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5E652FCD"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6AE7AF46" w14:textId="77777777" w:rsidR="008E5DE4" w:rsidRDefault="008E5DE4">
            <w:pPr>
              <w:widowControl w:val="0"/>
              <w:pBdr>
                <w:top w:val="nil"/>
                <w:left w:val="nil"/>
                <w:bottom w:val="nil"/>
                <w:right w:val="nil"/>
                <w:between w:val="nil"/>
              </w:pBdr>
              <w:jc w:val="right"/>
              <w:rPr>
                <w:color w:val="000000"/>
              </w:rPr>
            </w:pPr>
          </w:p>
        </w:tc>
        <w:tc>
          <w:tcPr>
            <w:tcW w:w="247" w:type="dxa"/>
            <w:tcBorders>
              <w:bottom w:val="single" w:sz="12" w:space="0" w:color="000000"/>
            </w:tcBorders>
          </w:tcPr>
          <w:p w14:paraId="553C0E88"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7C066C37"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1D72810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4CCBC320"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40099291" w14:textId="77777777" w:rsidR="008E5DE4" w:rsidRDefault="008E5DE4">
            <w:pPr>
              <w:widowControl w:val="0"/>
              <w:pBdr>
                <w:top w:val="nil"/>
                <w:left w:val="nil"/>
                <w:bottom w:val="nil"/>
                <w:right w:val="nil"/>
                <w:between w:val="nil"/>
              </w:pBdr>
              <w:jc w:val="right"/>
              <w:rPr>
                <w:color w:val="000000"/>
              </w:rPr>
            </w:pPr>
          </w:p>
        </w:tc>
      </w:tr>
    </w:tbl>
    <w:p w14:paraId="6118270D" w14:textId="77777777" w:rsidR="008E5DE4" w:rsidRDefault="008E5DE4">
      <w:pPr>
        <w:widowControl w:val="0"/>
        <w:pBdr>
          <w:top w:val="nil"/>
          <w:left w:val="nil"/>
          <w:bottom w:val="nil"/>
          <w:right w:val="nil"/>
          <w:between w:val="nil"/>
        </w:pBdr>
        <w:spacing w:before="200" w:after="200"/>
        <w:jc w:val="both"/>
        <w:rPr>
          <w:color w:val="000000"/>
        </w:rPr>
      </w:pPr>
    </w:p>
    <w:p w14:paraId="769F0DBD" w14:textId="77777777" w:rsidR="008E5DE4" w:rsidRDefault="008E5DE4">
      <w:pPr>
        <w:widowControl w:val="0"/>
        <w:pBdr>
          <w:top w:val="nil"/>
          <w:left w:val="nil"/>
          <w:bottom w:val="nil"/>
          <w:right w:val="nil"/>
          <w:between w:val="nil"/>
        </w:pBdr>
        <w:spacing w:before="200" w:after="200"/>
        <w:jc w:val="both"/>
        <w:rPr>
          <w:color w:val="000000"/>
        </w:rPr>
      </w:pPr>
    </w:p>
    <w:p w14:paraId="4EDEFAB4" w14:textId="77777777" w:rsidR="008E5DE4" w:rsidRDefault="008E5DE4">
      <w:pPr>
        <w:widowControl w:val="0"/>
        <w:pBdr>
          <w:top w:val="nil"/>
          <w:left w:val="nil"/>
          <w:bottom w:val="nil"/>
          <w:right w:val="nil"/>
          <w:between w:val="nil"/>
        </w:pBdr>
        <w:spacing w:before="200" w:after="200"/>
        <w:jc w:val="both"/>
        <w:rPr>
          <w:color w:val="000000"/>
        </w:rPr>
      </w:pPr>
    </w:p>
    <w:p w14:paraId="5B44ACB9"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74A30D2C" w14:textId="34EC9E9D"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municipal bonds carried at AC in </w:t>
      </w:r>
      <w:r w:rsidR="008614F8">
        <w:rPr>
          <w:color w:val="000000"/>
          <w:sz w:val="20"/>
          <w:szCs w:val="20"/>
        </w:rPr>
        <w:t>2025</w:t>
      </w:r>
      <w:r>
        <w:rPr>
          <w:color w:val="000000"/>
          <w:sz w:val="20"/>
          <w:szCs w:val="20"/>
        </w:rPr>
        <w:t xml:space="preserve"> were as follows.</w:t>
      </w:r>
    </w:p>
    <w:tbl>
      <w:tblPr>
        <w:tblStyle w:val="afffffffd"/>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4492CD29" w14:textId="77777777">
        <w:trPr>
          <w:cantSplit/>
          <w:trHeight w:val="169"/>
          <w:tblHeader/>
        </w:trPr>
        <w:tc>
          <w:tcPr>
            <w:tcW w:w="3061" w:type="dxa"/>
            <w:vAlign w:val="bottom"/>
          </w:tcPr>
          <w:p w14:paraId="2E3D3444"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7D0AE21A"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2590F1A3"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3A4ACD42" w14:textId="77777777">
        <w:trPr>
          <w:cantSplit/>
          <w:trHeight w:val="507"/>
          <w:tblHeader/>
        </w:trPr>
        <w:tc>
          <w:tcPr>
            <w:tcW w:w="3061" w:type="dxa"/>
            <w:tcBorders>
              <w:bottom w:val="single" w:sz="4" w:space="0" w:color="000000"/>
            </w:tcBorders>
            <w:vAlign w:val="bottom"/>
          </w:tcPr>
          <w:p w14:paraId="4ED57AA8" w14:textId="77777777" w:rsidR="008E5DE4" w:rsidRDefault="008E5DE4">
            <w:pPr>
              <w:widowControl w:val="0"/>
              <w:pBdr>
                <w:top w:val="nil"/>
                <w:left w:val="nil"/>
                <w:bottom w:val="nil"/>
                <w:right w:val="nil"/>
                <w:between w:val="nil"/>
              </w:pBdr>
              <w:ind w:left="113" w:right="-57" w:hanging="113"/>
              <w:rPr>
                <w:i/>
                <w:color w:val="000000"/>
              </w:rPr>
            </w:pPr>
          </w:p>
          <w:p w14:paraId="6ECF53EC"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22D37D39"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2677AA2F"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57C88292"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42460F67"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14C9BFA2"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AC95BD5"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39D4B3C6"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30019204"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474B6A2F"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333578E6"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56BD1A5"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3456625C"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71083ED5"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645F624B"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2124D960" w14:textId="77777777">
        <w:trPr>
          <w:cantSplit/>
          <w:trHeight w:val="169"/>
          <w:tblHeader/>
        </w:trPr>
        <w:tc>
          <w:tcPr>
            <w:tcW w:w="3061" w:type="dxa"/>
            <w:vAlign w:val="bottom"/>
          </w:tcPr>
          <w:p w14:paraId="62B13A09" w14:textId="77777777" w:rsidR="008E5DE4" w:rsidRDefault="008E5DE4">
            <w:pPr>
              <w:widowControl w:val="0"/>
              <w:ind w:left="113" w:right="-57" w:hanging="113"/>
            </w:pPr>
          </w:p>
        </w:tc>
        <w:tc>
          <w:tcPr>
            <w:tcW w:w="851" w:type="dxa"/>
            <w:vAlign w:val="bottom"/>
          </w:tcPr>
          <w:p w14:paraId="440C5C09"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2933AD4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E8B0E67"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7B45331" w14:textId="77777777" w:rsidR="008E5DE4" w:rsidRDefault="008E5DE4">
            <w:pPr>
              <w:widowControl w:val="0"/>
              <w:pBdr>
                <w:top w:val="nil"/>
                <w:left w:val="nil"/>
                <w:bottom w:val="nil"/>
                <w:right w:val="nil"/>
                <w:between w:val="nil"/>
              </w:pBdr>
              <w:jc w:val="right"/>
              <w:rPr>
                <w:color w:val="000000"/>
              </w:rPr>
            </w:pPr>
          </w:p>
        </w:tc>
        <w:tc>
          <w:tcPr>
            <w:tcW w:w="871" w:type="dxa"/>
          </w:tcPr>
          <w:p w14:paraId="5BE86D78" w14:textId="77777777" w:rsidR="008E5DE4" w:rsidRDefault="008E5DE4">
            <w:pPr>
              <w:widowControl w:val="0"/>
              <w:pBdr>
                <w:top w:val="nil"/>
                <w:left w:val="nil"/>
                <w:bottom w:val="nil"/>
                <w:right w:val="nil"/>
                <w:between w:val="nil"/>
              </w:pBdr>
              <w:jc w:val="right"/>
              <w:rPr>
                <w:color w:val="000000"/>
              </w:rPr>
            </w:pPr>
          </w:p>
        </w:tc>
        <w:tc>
          <w:tcPr>
            <w:tcW w:w="856" w:type="dxa"/>
          </w:tcPr>
          <w:p w14:paraId="7EBC795E" w14:textId="77777777" w:rsidR="008E5DE4" w:rsidRDefault="008E5DE4">
            <w:pPr>
              <w:widowControl w:val="0"/>
              <w:pBdr>
                <w:top w:val="nil"/>
                <w:left w:val="nil"/>
                <w:bottom w:val="nil"/>
                <w:right w:val="nil"/>
                <w:between w:val="nil"/>
              </w:pBdr>
              <w:jc w:val="right"/>
              <w:rPr>
                <w:color w:val="000000"/>
              </w:rPr>
            </w:pPr>
          </w:p>
        </w:tc>
        <w:tc>
          <w:tcPr>
            <w:tcW w:w="856" w:type="dxa"/>
          </w:tcPr>
          <w:p w14:paraId="1F89171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9489910" w14:textId="77777777" w:rsidR="008E5DE4" w:rsidRDefault="008E5DE4">
            <w:pPr>
              <w:widowControl w:val="0"/>
              <w:pBdr>
                <w:top w:val="nil"/>
                <w:left w:val="nil"/>
                <w:bottom w:val="nil"/>
                <w:right w:val="nil"/>
                <w:between w:val="nil"/>
              </w:pBdr>
              <w:jc w:val="right"/>
              <w:rPr>
                <w:color w:val="000000"/>
              </w:rPr>
            </w:pPr>
          </w:p>
        </w:tc>
      </w:tr>
      <w:tr w:rsidR="008E5DE4" w14:paraId="3469AF89" w14:textId="77777777">
        <w:trPr>
          <w:cantSplit/>
          <w:trHeight w:val="169"/>
        </w:trPr>
        <w:tc>
          <w:tcPr>
            <w:tcW w:w="3061" w:type="dxa"/>
            <w:vAlign w:val="bottom"/>
          </w:tcPr>
          <w:p w14:paraId="1DB3F432"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Municipal bonds</w:t>
            </w:r>
          </w:p>
        </w:tc>
        <w:tc>
          <w:tcPr>
            <w:tcW w:w="851" w:type="dxa"/>
            <w:vAlign w:val="bottom"/>
          </w:tcPr>
          <w:p w14:paraId="1BABDE1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B7497A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2EA1C4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A4BEEB7" w14:textId="77777777" w:rsidR="008E5DE4" w:rsidRDefault="008E5DE4">
            <w:pPr>
              <w:widowControl w:val="0"/>
              <w:pBdr>
                <w:top w:val="nil"/>
                <w:left w:val="nil"/>
                <w:bottom w:val="nil"/>
                <w:right w:val="nil"/>
                <w:between w:val="nil"/>
              </w:pBdr>
              <w:jc w:val="right"/>
              <w:rPr>
                <w:color w:val="000000"/>
              </w:rPr>
            </w:pPr>
          </w:p>
        </w:tc>
        <w:tc>
          <w:tcPr>
            <w:tcW w:w="871" w:type="dxa"/>
          </w:tcPr>
          <w:p w14:paraId="2E11C649" w14:textId="77777777" w:rsidR="008E5DE4" w:rsidRDefault="008E5DE4">
            <w:pPr>
              <w:widowControl w:val="0"/>
              <w:pBdr>
                <w:top w:val="nil"/>
                <w:left w:val="nil"/>
                <w:bottom w:val="nil"/>
                <w:right w:val="nil"/>
                <w:between w:val="nil"/>
              </w:pBdr>
              <w:jc w:val="right"/>
              <w:rPr>
                <w:color w:val="000000"/>
              </w:rPr>
            </w:pPr>
          </w:p>
        </w:tc>
        <w:tc>
          <w:tcPr>
            <w:tcW w:w="856" w:type="dxa"/>
          </w:tcPr>
          <w:p w14:paraId="7AF0B642" w14:textId="77777777" w:rsidR="008E5DE4" w:rsidRDefault="008E5DE4">
            <w:pPr>
              <w:widowControl w:val="0"/>
              <w:pBdr>
                <w:top w:val="nil"/>
                <w:left w:val="nil"/>
                <w:bottom w:val="nil"/>
                <w:right w:val="nil"/>
                <w:between w:val="nil"/>
              </w:pBdr>
              <w:jc w:val="right"/>
              <w:rPr>
                <w:color w:val="000000"/>
              </w:rPr>
            </w:pPr>
          </w:p>
        </w:tc>
        <w:tc>
          <w:tcPr>
            <w:tcW w:w="856" w:type="dxa"/>
          </w:tcPr>
          <w:p w14:paraId="7F8CF6B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DE1A451" w14:textId="77777777" w:rsidR="008E5DE4" w:rsidRDefault="008E5DE4">
            <w:pPr>
              <w:widowControl w:val="0"/>
              <w:pBdr>
                <w:top w:val="nil"/>
                <w:left w:val="nil"/>
                <w:bottom w:val="nil"/>
                <w:right w:val="nil"/>
                <w:between w:val="nil"/>
              </w:pBdr>
              <w:jc w:val="right"/>
              <w:rPr>
                <w:color w:val="000000"/>
              </w:rPr>
            </w:pPr>
          </w:p>
        </w:tc>
      </w:tr>
      <w:tr w:rsidR="008E5DE4" w14:paraId="00E88F02" w14:textId="77777777">
        <w:trPr>
          <w:cantSplit/>
          <w:trHeight w:val="169"/>
        </w:trPr>
        <w:tc>
          <w:tcPr>
            <w:tcW w:w="3061" w:type="dxa"/>
            <w:vAlign w:val="bottom"/>
          </w:tcPr>
          <w:p w14:paraId="557FFB20"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29D1EB1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534C3D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44A244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B5EF73D" w14:textId="77777777" w:rsidR="008E5DE4" w:rsidRDefault="008E5DE4">
            <w:pPr>
              <w:widowControl w:val="0"/>
              <w:pBdr>
                <w:top w:val="nil"/>
                <w:left w:val="nil"/>
                <w:bottom w:val="nil"/>
                <w:right w:val="nil"/>
                <w:between w:val="nil"/>
              </w:pBdr>
              <w:jc w:val="right"/>
              <w:rPr>
                <w:color w:val="000000"/>
              </w:rPr>
            </w:pPr>
          </w:p>
        </w:tc>
        <w:tc>
          <w:tcPr>
            <w:tcW w:w="871" w:type="dxa"/>
          </w:tcPr>
          <w:p w14:paraId="753F9628" w14:textId="77777777" w:rsidR="008E5DE4" w:rsidRDefault="008E5DE4">
            <w:pPr>
              <w:widowControl w:val="0"/>
              <w:pBdr>
                <w:top w:val="nil"/>
                <w:left w:val="nil"/>
                <w:bottom w:val="nil"/>
                <w:right w:val="nil"/>
                <w:between w:val="nil"/>
              </w:pBdr>
              <w:jc w:val="right"/>
              <w:rPr>
                <w:color w:val="000000"/>
              </w:rPr>
            </w:pPr>
          </w:p>
        </w:tc>
        <w:tc>
          <w:tcPr>
            <w:tcW w:w="856" w:type="dxa"/>
          </w:tcPr>
          <w:p w14:paraId="237062CF" w14:textId="77777777" w:rsidR="008E5DE4" w:rsidRDefault="008E5DE4">
            <w:pPr>
              <w:widowControl w:val="0"/>
              <w:pBdr>
                <w:top w:val="nil"/>
                <w:left w:val="nil"/>
                <w:bottom w:val="nil"/>
                <w:right w:val="nil"/>
                <w:between w:val="nil"/>
              </w:pBdr>
              <w:jc w:val="right"/>
              <w:rPr>
                <w:color w:val="000000"/>
              </w:rPr>
            </w:pPr>
          </w:p>
        </w:tc>
        <w:tc>
          <w:tcPr>
            <w:tcW w:w="856" w:type="dxa"/>
          </w:tcPr>
          <w:p w14:paraId="298B76C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6590A2F" w14:textId="77777777" w:rsidR="008E5DE4" w:rsidRDefault="008E5DE4">
            <w:pPr>
              <w:widowControl w:val="0"/>
              <w:pBdr>
                <w:top w:val="nil"/>
                <w:left w:val="nil"/>
                <w:bottom w:val="nil"/>
                <w:right w:val="nil"/>
                <w:between w:val="nil"/>
              </w:pBdr>
              <w:jc w:val="right"/>
              <w:rPr>
                <w:color w:val="000000"/>
              </w:rPr>
            </w:pPr>
          </w:p>
        </w:tc>
      </w:tr>
      <w:tr w:rsidR="008E5DE4" w14:paraId="59806D73" w14:textId="77777777">
        <w:trPr>
          <w:cantSplit/>
          <w:trHeight w:val="169"/>
        </w:trPr>
        <w:tc>
          <w:tcPr>
            <w:tcW w:w="3061" w:type="dxa"/>
            <w:vAlign w:val="bottom"/>
          </w:tcPr>
          <w:p w14:paraId="74C302B6" w14:textId="7F0A85EC"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784BE8C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32E8FB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C4B019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489EA74" w14:textId="77777777" w:rsidR="008E5DE4" w:rsidRDefault="008E5DE4">
            <w:pPr>
              <w:widowControl w:val="0"/>
              <w:pBdr>
                <w:top w:val="nil"/>
                <w:left w:val="nil"/>
                <w:bottom w:val="nil"/>
                <w:right w:val="nil"/>
                <w:between w:val="nil"/>
              </w:pBdr>
              <w:jc w:val="right"/>
              <w:rPr>
                <w:color w:val="000000"/>
              </w:rPr>
            </w:pPr>
          </w:p>
        </w:tc>
        <w:tc>
          <w:tcPr>
            <w:tcW w:w="871" w:type="dxa"/>
          </w:tcPr>
          <w:p w14:paraId="19F45F40" w14:textId="77777777" w:rsidR="008E5DE4" w:rsidRDefault="008E5DE4">
            <w:pPr>
              <w:widowControl w:val="0"/>
              <w:pBdr>
                <w:top w:val="nil"/>
                <w:left w:val="nil"/>
                <w:bottom w:val="nil"/>
                <w:right w:val="nil"/>
                <w:between w:val="nil"/>
              </w:pBdr>
              <w:jc w:val="right"/>
              <w:rPr>
                <w:color w:val="000000"/>
              </w:rPr>
            </w:pPr>
          </w:p>
        </w:tc>
        <w:tc>
          <w:tcPr>
            <w:tcW w:w="856" w:type="dxa"/>
          </w:tcPr>
          <w:p w14:paraId="4EF6DE6F" w14:textId="77777777" w:rsidR="008E5DE4" w:rsidRDefault="008E5DE4">
            <w:pPr>
              <w:widowControl w:val="0"/>
              <w:pBdr>
                <w:top w:val="nil"/>
                <w:left w:val="nil"/>
                <w:bottom w:val="nil"/>
                <w:right w:val="nil"/>
                <w:between w:val="nil"/>
              </w:pBdr>
              <w:jc w:val="right"/>
              <w:rPr>
                <w:color w:val="000000"/>
              </w:rPr>
            </w:pPr>
          </w:p>
        </w:tc>
        <w:tc>
          <w:tcPr>
            <w:tcW w:w="856" w:type="dxa"/>
          </w:tcPr>
          <w:p w14:paraId="6FC02D6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A9AA388" w14:textId="77777777" w:rsidR="008E5DE4" w:rsidRDefault="008E5DE4">
            <w:pPr>
              <w:widowControl w:val="0"/>
              <w:pBdr>
                <w:top w:val="nil"/>
                <w:left w:val="nil"/>
                <w:bottom w:val="nil"/>
                <w:right w:val="nil"/>
                <w:between w:val="nil"/>
              </w:pBdr>
              <w:jc w:val="right"/>
              <w:rPr>
                <w:color w:val="000000"/>
              </w:rPr>
            </w:pPr>
          </w:p>
        </w:tc>
      </w:tr>
      <w:tr w:rsidR="008E5DE4" w14:paraId="42CBBF27" w14:textId="77777777">
        <w:trPr>
          <w:cantSplit/>
          <w:trHeight w:val="676"/>
        </w:trPr>
        <w:tc>
          <w:tcPr>
            <w:tcW w:w="3061" w:type="dxa"/>
            <w:vAlign w:val="bottom"/>
          </w:tcPr>
          <w:p w14:paraId="2EF3B4D6" w14:textId="77777777" w:rsidR="008E5DE4" w:rsidRDefault="008E5DE4">
            <w:pPr>
              <w:widowControl w:val="0"/>
              <w:pBdr>
                <w:top w:val="nil"/>
                <w:left w:val="nil"/>
                <w:bottom w:val="nil"/>
                <w:right w:val="nil"/>
                <w:between w:val="nil"/>
              </w:pBdr>
              <w:ind w:left="113" w:right="-57" w:hanging="113"/>
              <w:rPr>
                <w:b/>
                <w:color w:val="000000"/>
              </w:rPr>
            </w:pPr>
          </w:p>
          <w:p w14:paraId="566D4A56"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39C9A1D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753158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96D435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FBC5684" w14:textId="77777777" w:rsidR="008E5DE4" w:rsidRDefault="008E5DE4">
            <w:pPr>
              <w:widowControl w:val="0"/>
              <w:pBdr>
                <w:top w:val="nil"/>
                <w:left w:val="nil"/>
                <w:bottom w:val="nil"/>
                <w:right w:val="nil"/>
                <w:between w:val="nil"/>
              </w:pBdr>
              <w:jc w:val="right"/>
              <w:rPr>
                <w:color w:val="000000"/>
              </w:rPr>
            </w:pPr>
          </w:p>
        </w:tc>
        <w:tc>
          <w:tcPr>
            <w:tcW w:w="871" w:type="dxa"/>
          </w:tcPr>
          <w:p w14:paraId="474FC27F"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59E552FC" w14:textId="77777777" w:rsidR="008E5DE4" w:rsidRDefault="008E5DE4">
            <w:pPr>
              <w:widowControl w:val="0"/>
              <w:pBdr>
                <w:top w:val="nil"/>
                <w:left w:val="nil"/>
                <w:bottom w:val="nil"/>
                <w:right w:val="nil"/>
                <w:between w:val="nil"/>
              </w:pBdr>
              <w:jc w:val="right"/>
              <w:rPr>
                <w:color w:val="000000"/>
              </w:rPr>
            </w:pPr>
          </w:p>
        </w:tc>
        <w:tc>
          <w:tcPr>
            <w:tcW w:w="856" w:type="dxa"/>
          </w:tcPr>
          <w:p w14:paraId="4DAD670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055B349" w14:textId="77777777" w:rsidR="008E5DE4" w:rsidRDefault="008E5DE4">
            <w:pPr>
              <w:widowControl w:val="0"/>
              <w:pBdr>
                <w:top w:val="nil"/>
                <w:left w:val="nil"/>
                <w:bottom w:val="nil"/>
                <w:right w:val="nil"/>
                <w:between w:val="nil"/>
              </w:pBdr>
              <w:jc w:val="right"/>
              <w:rPr>
                <w:color w:val="000000"/>
              </w:rPr>
            </w:pPr>
          </w:p>
        </w:tc>
      </w:tr>
      <w:tr w:rsidR="008E5DE4" w14:paraId="16D90115" w14:textId="77777777">
        <w:trPr>
          <w:cantSplit/>
          <w:trHeight w:val="184"/>
        </w:trPr>
        <w:tc>
          <w:tcPr>
            <w:tcW w:w="3061" w:type="dxa"/>
            <w:vAlign w:val="bottom"/>
          </w:tcPr>
          <w:p w14:paraId="1D710786"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143A56A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D1C112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8C9D024"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142D4E9"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0BEED4B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46299A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5ACEE6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6431713" w14:textId="77777777" w:rsidR="008E5DE4" w:rsidRDefault="008E5DE4">
            <w:pPr>
              <w:widowControl w:val="0"/>
              <w:pBdr>
                <w:top w:val="nil"/>
                <w:left w:val="nil"/>
                <w:bottom w:val="nil"/>
                <w:right w:val="nil"/>
                <w:between w:val="nil"/>
              </w:pBdr>
              <w:jc w:val="right"/>
              <w:rPr>
                <w:color w:val="000000"/>
                <w:highlight w:val="green"/>
              </w:rPr>
            </w:pPr>
          </w:p>
        </w:tc>
      </w:tr>
      <w:tr w:rsidR="008E5DE4" w14:paraId="5DA54578" w14:textId="77777777">
        <w:trPr>
          <w:cantSplit/>
          <w:trHeight w:val="184"/>
        </w:trPr>
        <w:tc>
          <w:tcPr>
            <w:tcW w:w="3061" w:type="dxa"/>
            <w:vAlign w:val="bottom"/>
          </w:tcPr>
          <w:p w14:paraId="1E0B398E"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2FABB588"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95FFE0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2A1CB75"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4070AB7"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0D32E5B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4A2C7FC"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3DF051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DD2DE41" w14:textId="77777777" w:rsidR="008E5DE4" w:rsidRDefault="008E5DE4">
            <w:pPr>
              <w:widowControl w:val="0"/>
              <w:pBdr>
                <w:top w:val="nil"/>
                <w:left w:val="nil"/>
                <w:bottom w:val="nil"/>
                <w:right w:val="nil"/>
                <w:between w:val="nil"/>
              </w:pBdr>
              <w:jc w:val="right"/>
              <w:rPr>
                <w:color w:val="000000"/>
                <w:highlight w:val="green"/>
              </w:rPr>
            </w:pPr>
          </w:p>
        </w:tc>
      </w:tr>
      <w:tr w:rsidR="008E5DE4" w14:paraId="6A14CF12" w14:textId="77777777">
        <w:trPr>
          <w:cantSplit/>
          <w:trHeight w:val="80"/>
        </w:trPr>
        <w:tc>
          <w:tcPr>
            <w:tcW w:w="3061" w:type="dxa"/>
            <w:vAlign w:val="bottom"/>
          </w:tcPr>
          <w:p w14:paraId="2866EEFA"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0FEAB342"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9EB949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DAF2AE3"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40D0062"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1D4991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4024AB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6F856BE"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024AD30" w14:textId="77777777" w:rsidR="008E5DE4" w:rsidRDefault="008E5DE4">
            <w:pPr>
              <w:widowControl w:val="0"/>
              <w:pBdr>
                <w:top w:val="nil"/>
                <w:left w:val="nil"/>
                <w:bottom w:val="nil"/>
                <w:right w:val="nil"/>
                <w:between w:val="nil"/>
              </w:pBdr>
              <w:jc w:val="right"/>
              <w:rPr>
                <w:color w:val="000000"/>
                <w:highlight w:val="green"/>
              </w:rPr>
            </w:pPr>
          </w:p>
        </w:tc>
      </w:tr>
      <w:tr w:rsidR="008E5DE4" w14:paraId="2948EC39" w14:textId="77777777">
        <w:trPr>
          <w:cantSplit/>
          <w:trHeight w:val="80"/>
        </w:trPr>
        <w:tc>
          <w:tcPr>
            <w:tcW w:w="3061" w:type="dxa"/>
            <w:vAlign w:val="bottom"/>
          </w:tcPr>
          <w:p w14:paraId="3B58CE11"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58E6249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0157F9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3CD283D"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08D7837"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E49977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844A6F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CC7344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12DE8CE" w14:textId="77777777" w:rsidR="008E5DE4" w:rsidRDefault="008E5DE4">
            <w:pPr>
              <w:widowControl w:val="0"/>
              <w:pBdr>
                <w:top w:val="nil"/>
                <w:left w:val="nil"/>
                <w:bottom w:val="nil"/>
                <w:right w:val="nil"/>
                <w:between w:val="nil"/>
              </w:pBdr>
              <w:jc w:val="right"/>
              <w:rPr>
                <w:color w:val="000000"/>
                <w:highlight w:val="green"/>
              </w:rPr>
            </w:pPr>
          </w:p>
        </w:tc>
      </w:tr>
      <w:tr w:rsidR="008E5DE4" w14:paraId="56439E45" w14:textId="77777777">
        <w:trPr>
          <w:cantSplit/>
          <w:trHeight w:val="361"/>
        </w:trPr>
        <w:tc>
          <w:tcPr>
            <w:tcW w:w="3061" w:type="dxa"/>
            <w:vAlign w:val="bottom"/>
          </w:tcPr>
          <w:p w14:paraId="6D9B01D3"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6EA1E18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356DF9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6CDCB4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FFC2793"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78728D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73786CB"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83AF1C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85A9645" w14:textId="77777777" w:rsidR="008E5DE4" w:rsidRDefault="008E5DE4">
            <w:pPr>
              <w:widowControl w:val="0"/>
              <w:pBdr>
                <w:top w:val="nil"/>
                <w:left w:val="nil"/>
                <w:bottom w:val="nil"/>
                <w:right w:val="nil"/>
                <w:between w:val="nil"/>
              </w:pBdr>
              <w:jc w:val="right"/>
              <w:rPr>
                <w:color w:val="000000"/>
                <w:highlight w:val="green"/>
              </w:rPr>
            </w:pPr>
          </w:p>
        </w:tc>
      </w:tr>
      <w:tr w:rsidR="008E5DE4" w14:paraId="76C97DB4" w14:textId="77777777">
        <w:trPr>
          <w:cantSplit/>
          <w:trHeight w:val="169"/>
        </w:trPr>
        <w:tc>
          <w:tcPr>
            <w:tcW w:w="3061" w:type="dxa"/>
            <w:vAlign w:val="bottom"/>
          </w:tcPr>
          <w:p w14:paraId="7B1BA8A9"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6F22554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32F593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A7D8E2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DC28651" w14:textId="77777777" w:rsidR="008E5DE4" w:rsidRDefault="008E5DE4">
            <w:pPr>
              <w:widowControl w:val="0"/>
              <w:pBdr>
                <w:top w:val="nil"/>
                <w:left w:val="nil"/>
                <w:bottom w:val="nil"/>
                <w:right w:val="nil"/>
                <w:between w:val="nil"/>
              </w:pBdr>
              <w:jc w:val="right"/>
              <w:rPr>
                <w:color w:val="000000"/>
              </w:rPr>
            </w:pPr>
          </w:p>
        </w:tc>
        <w:tc>
          <w:tcPr>
            <w:tcW w:w="871" w:type="dxa"/>
          </w:tcPr>
          <w:p w14:paraId="0AA7B4B6" w14:textId="77777777" w:rsidR="008E5DE4" w:rsidRDefault="008E5DE4">
            <w:pPr>
              <w:widowControl w:val="0"/>
              <w:pBdr>
                <w:top w:val="nil"/>
                <w:left w:val="nil"/>
                <w:bottom w:val="nil"/>
                <w:right w:val="nil"/>
                <w:between w:val="nil"/>
              </w:pBdr>
              <w:jc w:val="right"/>
              <w:rPr>
                <w:color w:val="000000"/>
              </w:rPr>
            </w:pPr>
          </w:p>
        </w:tc>
        <w:tc>
          <w:tcPr>
            <w:tcW w:w="856" w:type="dxa"/>
          </w:tcPr>
          <w:p w14:paraId="5ECC5114" w14:textId="77777777" w:rsidR="008E5DE4" w:rsidRDefault="008E5DE4">
            <w:pPr>
              <w:widowControl w:val="0"/>
              <w:pBdr>
                <w:top w:val="nil"/>
                <w:left w:val="nil"/>
                <w:bottom w:val="nil"/>
                <w:right w:val="nil"/>
                <w:between w:val="nil"/>
              </w:pBdr>
              <w:jc w:val="right"/>
              <w:rPr>
                <w:color w:val="000000"/>
              </w:rPr>
            </w:pPr>
          </w:p>
        </w:tc>
        <w:tc>
          <w:tcPr>
            <w:tcW w:w="856" w:type="dxa"/>
          </w:tcPr>
          <w:p w14:paraId="5F4F577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1DC2D7B" w14:textId="77777777" w:rsidR="008E5DE4" w:rsidRDefault="008E5DE4">
            <w:pPr>
              <w:widowControl w:val="0"/>
              <w:pBdr>
                <w:top w:val="nil"/>
                <w:left w:val="nil"/>
                <w:bottom w:val="nil"/>
                <w:right w:val="nil"/>
                <w:between w:val="nil"/>
              </w:pBdr>
              <w:jc w:val="right"/>
              <w:rPr>
                <w:color w:val="000000"/>
              </w:rPr>
            </w:pPr>
          </w:p>
        </w:tc>
      </w:tr>
      <w:tr w:rsidR="008E5DE4" w14:paraId="5628456C" w14:textId="77777777">
        <w:trPr>
          <w:cantSplit/>
          <w:trHeight w:val="232"/>
        </w:trPr>
        <w:tc>
          <w:tcPr>
            <w:tcW w:w="3061" w:type="dxa"/>
            <w:vAlign w:val="bottom"/>
          </w:tcPr>
          <w:p w14:paraId="2AE8612C"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2FE4AC6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2B7AA7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B135B0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0987750" w14:textId="77777777" w:rsidR="008E5DE4" w:rsidRDefault="008E5DE4">
            <w:pPr>
              <w:widowControl w:val="0"/>
              <w:pBdr>
                <w:top w:val="nil"/>
                <w:left w:val="nil"/>
                <w:bottom w:val="nil"/>
                <w:right w:val="nil"/>
                <w:between w:val="nil"/>
              </w:pBdr>
              <w:jc w:val="right"/>
              <w:rPr>
                <w:color w:val="000000"/>
              </w:rPr>
            </w:pPr>
          </w:p>
        </w:tc>
        <w:tc>
          <w:tcPr>
            <w:tcW w:w="871" w:type="dxa"/>
          </w:tcPr>
          <w:p w14:paraId="7425E205" w14:textId="77777777" w:rsidR="008E5DE4" w:rsidRDefault="008E5DE4">
            <w:pPr>
              <w:widowControl w:val="0"/>
              <w:pBdr>
                <w:top w:val="nil"/>
                <w:left w:val="nil"/>
                <w:bottom w:val="nil"/>
                <w:right w:val="nil"/>
                <w:between w:val="nil"/>
              </w:pBdr>
              <w:jc w:val="right"/>
              <w:rPr>
                <w:color w:val="000000"/>
              </w:rPr>
            </w:pPr>
          </w:p>
        </w:tc>
        <w:tc>
          <w:tcPr>
            <w:tcW w:w="856" w:type="dxa"/>
          </w:tcPr>
          <w:p w14:paraId="6C5CCF3A" w14:textId="77777777" w:rsidR="008E5DE4" w:rsidRDefault="008E5DE4">
            <w:pPr>
              <w:widowControl w:val="0"/>
              <w:pBdr>
                <w:top w:val="nil"/>
                <w:left w:val="nil"/>
                <w:bottom w:val="nil"/>
                <w:right w:val="nil"/>
                <w:between w:val="nil"/>
              </w:pBdr>
              <w:jc w:val="right"/>
              <w:rPr>
                <w:color w:val="000000"/>
              </w:rPr>
            </w:pPr>
          </w:p>
        </w:tc>
        <w:tc>
          <w:tcPr>
            <w:tcW w:w="856" w:type="dxa"/>
          </w:tcPr>
          <w:p w14:paraId="3F86E1B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48E6793" w14:textId="77777777" w:rsidR="008E5DE4" w:rsidRDefault="008E5DE4">
            <w:pPr>
              <w:widowControl w:val="0"/>
              <w:pBdr>
                <w:top w:val="nil"/>
                <w:left w:val="nil"/>
                <w:bottom w:val="nil"/>
                <w:right w:val="nil"/>
                <w:between w:val="nil"/>
              </w:pBdr>
              <w:jc w:val="right"/>
              <w:rPr>
                <w:color w:val="000000"/>
              </w:rPr>
            </w:pPr>
          </w:p>
        </w:tc>
      </w:tr>
      <w:tr w:rsidR="008E5DE4" w14:paraId="1B18C6C9" w14:textId="77777777">
        <w:trPr>
          <w:cantSplit/>
          <w:trHeight w:val="80"/>
        </w:trPr>
        <w:tc>
          <w:tcPr>
            <w:tcW w:w="3061" w:type="dxa"/>
            <w:vAlign w:val="bottom"/>
          </w:tcPr>
          <w:p w14:paraId="61FC23F6"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20FC8B8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380A65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97AF0B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C7249E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78A8C3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933187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83F57D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118AFB0" w14:textId="77777777" w:rsidR="008E5DE4" w:rsidRDefault="008E5DE4">
            <w:pPr>
              <w:widowControl w:val="0"/>
              <w:pBdr>
                <w:top w:val="nil"/>
                <w:left w:val="nil"/>
                <w:bottom w:val="nil"/>
                <w:right w:val="nil"/>
                <w:between w:val="nil"/>
              </w:pBdr>
              <w:jc w:val="right"/>
              <w:rPr>
                <w:color w:val="000000"/>
              </w:rPr>
            </w:pPr>
          </w:p>
        </w:tc>
      </w:tr>
      <w:tr w:rsidR="008E5DE4" w14:paraId="1B4C5CF8" w14:textId="77777777">
        <w:trPr>
          <w:cantSplit/>
          <w:trHeight w:val="85"/>
        </w:trPr>
        <w:tc>
          <w:tcPr>
            <w:tcW w:w="3061" w:type="dxa"/>
            <w:vAlign w:val="bottom"/>
          </w:tcPr>
          <w:p w14:paraId="208ECA50"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20F428D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1D0A34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C1440A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000C4B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887AB5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7C458E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292A5C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EED93D0" w14:textId="77777777" w:rsidR="008E5DE4" w:rsidRDefault="008E5DE4">
            <w:pPr>
              <w:widowControl w:val="0"/>
              <w:pBdr>
                <w:top w:val="nil"/>
                <w:left w:val="nil"/>
                <w:bottom w:val="nil"/>
                <w:right w:val="nil"/>
                <w:between w:val="nil"/>
              </w:pBdr>
              <w:jc w:val="right"/>
              <w:rPr>
                <w:color w:val="000000"/>
              </w:rPr>
            </w:pPr>
          </w:p>
        </w:tc>
      </w:tr>
      <w:tr w:rsidR="008E5DE4" w14:paraId="0CBAC6B1" w14:textId="77777777">
        <w:trPr>
          <w:cantSplit/>
          <w:trHeight w:val="169"/>
        </w:trPr>
        <w:tc>
          <w:tcPr>
            <w:tcW w:w="3061" w:type="dxa"/>
            <w:vAlign w:val="bottom"/>
          </w:tcPr>
          <w:p w14:paraId="5B9757BB"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580D7F4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8D847D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C48F1C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5701DA2"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92DAE7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88BB4B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29FEED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C9AE11B" w14:textId="77777777" w:rsidR="008E5DE4" w:rsidRDefault="008E5DE4">
            <w:pPr>
              <w:widowControl w:val="0"/>
              <w:pBdr>
                <w:top w:val="nil"/>
                <w:left w:val="nil"/>
                <w:bottom w:val="nil"/>
                <w:right w:val="nil"/>
                <w:between w:val="nil"/>
              </w:pBdr>
              <w:jc w:val="right"/>
              <w:rPr>
                <w:color w:val="000000"/>
              </w:rPr>
            </w:pPr>
          </w:p>
        </w:tc>
      </w:tr>
      <w:tr w:rsidR="008E5DE4" w14:paraId="4889AE9C" w14:textId="77777777">
        <w:trPr>
          <w:cantSplit/>
          <w:trHeight w:val="169"/>
        </w:trPr>
        <w:tc>
          <w:tcPr>
            <w:tcW w:w="3061" w:type="dxa"/>
            <w:vAlign w:val="bottom"/>
          </w:tcPr>
          <w:p w14:paraId="74652DC5"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6899C49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E18CA8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81E4A7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D1AFA9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F0D34E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8B3298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C4E09C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8DAAF74" w14:textId="77777777" w:rsidR="008E5DE4" w:rsidRDefault="008E5DE4">
            <w:pPr>
              <w:widowControl w:val="0"/>
              <w:pBdr>
                <w:top w:val="nil"/>
                <w:left w:val="nil"/>
                <w:bottom w:val="nil"/>
                <w:right w:val="nil"/>
                <w:between w:val="nil"/>
              </w:pBdr>
              <w:jc w:val="right"/>
              <w:rPr>
                <w:color w:val="000000"/>
              </w:rPr>
            </w:pPr>
          </w:p>
        </w:tc>
      </w:tr>
      <w:tr w:rsidR="008E5DE4" w14:paraId="1737CD90" w14:textId="77777777">
        <w:trPr>
          <w:cantSplit/>
          <w:trHeight w:val="169"/>
        </w:trPr>
        <w:tc>
          <w:tcPr>
            <w:tcW w:w="3061" w:type="dxa"/>
            <w:tcBorders>
              <w:bottom w:val="single" w:sz="4" w:space="0" w:color="000000"/>
            </w:tcBorders>
            <w:vAlign w:val="bottom"/>
          </w:tcPr>
          <w:p w14:paraId="64FC7CB9"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4549AE2E"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6AC06E9"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091D737"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5F9FFCA"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2D6EC09"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A29D9D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2967B93"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320F7CE9" w14:textId="77777777" w:rsidR="008E5DE4" w:rsidRDefault="008E5DE4">
            <w:pPr>
              <w:widowControl w:val="0"/>
              <w:pBdr>
                <w:top w:val="nil"/>
                <w:left w:val="nil"/>
                <w:bottom w:val="nil"/>
                <w:right w:val="nil"/>
                <w:between w:val="nil"/>
              </w:pBdr>
              <w:jc w:val="right"/>
              <w:rPr>
                <w:color w:val="000000"/>
              </w:rPr>
            </w:pPr>
          </w:p>
        </w:tc>
      </w:tr>
      <w:tr w:rsidR="008E5DE4" w14:paraId="0BC0AF1F" w14:textId="77777777">
        <w:trPr>
          <w:cantSplit/>
          <w:trHeight w:val="153"/>
        </w:trPr>
        <w:tc>
          <w:tcPr>
            <w:tcW w:w="3061" w:type="dxa"/>
            <w:tcBorders>
              <w:top w:val="single" w:sz="4" w:space="0" w:color="000000"/>
            </w:tcBorders>
            <w:vAlign w:val="bottom"/>
          </w:tcPr>
          <w:p w14:paraId="52D5DBC3"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715CA87F"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AB8F61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4C6989D"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1D9B653"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1834483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8C383C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FA36EAA"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6BD955E2" w14:textId="77777777" w:rsidR="008E5DE4" w:rsidRDefault="008E5DE4">
            <w:pPr>
              <w:widowControl w:val="0"/>
              <w:pBdr>
                <w:top w:val="nil"/>
                <w:left w:val="nil"/>
                <w:bottom w:val="nil"/>
                <w:right w:val="nil"/>
                <w:between w:val="nil"/>
              </w:pBdr>
              <w:jc w:val="right"/>
              <w:rPr>
                <w:color w:val="000000"/>
              </w:rPr>
            </w:pPr>
          </w:p>
        </w:tc>
      </w:tr>
      <w:tr w:rsidR="008E5DE4" w14:paraId="118742B8" w14:textId="77777777">
        <w:trPr>
          <w:cantSplit/>
          <w:trHeight w:val="245"/>
        </w:trPr>
        <w:tc>
          <w:tcPr>
            <w:tcW w:w="3061" w:type="dxa"/>
            <w:vAlign w:val="bottom"/>
          </w:tcPr>
          <w:p w14:paraId="7A0B0104"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1332DE9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192A65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205379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D338F92"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E17D8C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3E5784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54532F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AC0CD0D" w14:textId="77777777" w:rsidR="008E5DE4" w:rsidRDefault="008E5DE4">
            <w:pPr>
              <w:widowControl w:val="0"/>
              <w:pBdr>
                <w:top w:val="nil"/>
                <w:left w:val="nil"/>
                <w:bottom w:val="nil"/>
                <w:right w:val="nil"/>
                <w:between w:val="nil"/>
              </w:pBdr>
              <w:jc w:val="right"/>
              <w:rPr>
                <w:color w:val="000000"/>
              </w:rPr>
            </w:pPr>
          </w:p>
        </w:tc>
      </w:tr>
      <w:tr w:rsidR="008E5DE4" w14:paraId="286D8F93" w14:textId="77777777">
        <w:trPr>
          <w:cantSplit/>
          <w:trHeight w:val="80"/>
        </w:trPr>
        <w:tc>
          <w:tcPr>
            <w:tcW w:w="3061" w:type="dxa"/>
            <w:tcBorders>
              <w:bottom w:val="single" w:sz="4" w:space="0" w:color="000000"/>
            </w:tcBorders>
            <w:vAlign w:val="bottom"/>
          </w:tcPr>
          <w:p w14:paraId="0D173BE7"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4F61C317"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74862FB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AE1113D"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075F2CF3"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694C2D4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A73110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B6137E0"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7BA9494A" w14:textId="77777777" w:rsidR="008E5DE4" w:rsidRDefault="008E5DE4">
            <w:pPr>
              <w:widowControl w:val="0"/>
              <w:pBdr>
                <w:top w:val="nil"/>
                <w:left w:val="nil"/>
                <w:bottom w:val="nil"/>
                <w:right w:val="nil"/>
                <w:between w:val="nil"/>
              </w:pBdr>
              <w:jc w:val="right"/>
              <w:rPr>
                <w:color w:val="000000"/>
              </w:rPr>
            </w:pPr>
          </w:p>
        </w:tc>
      </w:tr>
      <w:tr w:rsidR="008E5DE4" w14:paraId="28F3B5C6" w14:textId="77777777">
        <w:trPr>
          <w:cantSplit/>
          <w:trHeight w:val="153"/>
        </w:trPr>
        <w:tc>
          <w:tcPr>
            <w:tcW w:w="3061" w:type="dxa"/>
            <w:tcBorders>
              <w:top w:val="single" w:sz="4" w:space="0" w:color="000000"/>
            </w:tcBorders>
            <w:vAlign w:val="bottom"/>
          </w:tcPr>
          <w:p w14:paraId="0E29BF44"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729B4467"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499C262B"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671181E"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BB6D7DE"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7084367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B2B4742"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6596D8A"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FCC3AAD" w14:textId="77777777" w:rsidR="008E5DE4" w:rsidRDefault="008E5DE4">
            <w:pPr>
              <w:widowControl w:val="0"/>
              <w:pBdr>
                <w:top w:val="nil"/>
                <w:left w:val="nil"/>
                <w:bottom w:val="nil"/>
                <w:right w:val="nil"/>
                <w:between w:val="nil"/>
              </w:pBdr>
              <w:jc w:val="right"/>
              <w:rPr>
                <w:color w:val="000000"/>
              </w:rPr>
            </w:pPr>
          </w:p>
        </w:tc>
      </w:tr>
      <w:tr w:rsidR="008E5DE4" w14:paraId="00656F1A" w14:textId="77777777">
        <w:trPr>
          <w:cantSplit/>
          <w:trHeight w:val="692"/>
        </w:trPr>
        <w:tc>
          <w:tcPr>
            <w:tcW w:w="3061" w:type="dxa"/>
            <w:vAlign w:val="bottom"/>
          </w:tcPr>
          <w:p w14:paraId="289125E0"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6366DE03"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7C5FF88C"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8CEFC7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7B7059F"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35F4954"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98CE79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D9C8D8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9EE4471"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4C47913" w14:textId="77777777" w:rsidR="008E5DE4" w:rsidRDefault="008E5DE4">
            <w:pPr>
              <w:widowControl w:val="0"/>
              <w:pBdr>
                <w:top w:val="nil"/>
                <w:left w:val="nil"/>
                <w:bottom w:val="nil"/>
                <w:right w:val="nil"/>
                <w:between w:val="nil"/>
              </w:pBdr>
              <w:jc w:val="right"/>
              <w:rPr>
                <w:color w:val="000000"/>
                <w:highlight w:val="green"/>
              </w:rPr>
            </w:pPr>
          </w:p>
        </w:tc>
      </w:tr>
      <w:tr w:rsidR="008E5DE4" w14:paraId="04BEF91A" w14:textId="77777777">
        <w:trPr>
          <w:cantSplit/>
          <w:trHeight w:val="169"/>
        </w:trPr>
        <w:tc>
          <w:tcPr>
            <w:tcW w:w="3061" w:type="dxa"/>
            <w:vAlign w:val="bottom"/>
          </w:tcPr>
          <w:p w14:paraId="4E63D777"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674DD1B6"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F73276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FBB9705"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A9D9DA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5BB57C1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C672EB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D77F593"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E14F319" w14:textId="77777777" w:rsidR="008E5DE4" w:rsidRDefault="008E5DE4">
            <w:pPr>
              <w:widowControl w:val="0"/>
              <w:pBdr>
                <w:top w:val="nil"/>
                <w:left w:val="nil"/>
                <w:bottom w:val="nil"/>
                <w:right w:val="nil"/>
                <w:between w:val="nil"/>
              </w:pBdr>
              <w:jc w:val="right"/>
              <w:rPr>
                <w:color w:val="000000"/>
                <w:highlight w:val="green"/>
              </w:rPr>
            </w:pPr>
          </w:p>
        </w:tc>
      </w:tr>
      <w:tr w:rsidR="008E5DE4" w14:paraId="2B212F11" w14:textId="77777777">
        <w:trPr>
          <w:cantSplit/>
          <w:trHeight w:val="169"/>
        </w:trPr>
        <w:tc>
          <w:tcPr>
            <w:tcW w:w="3061" w:type="dxa"/>
            <w:vAlign w:val="bottom"/>
          </w:tcPr>
          <w:p w14:paraId="2D670707"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6485744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ECBA93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6280E8F"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9C33A6D"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71A51D1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65A161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90E00EB"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945F052" w14:textId="77777777" w:rsidR="008E5DE4" w:rsidRDefault="008E5DE4">
            <w:pPr>
              <w:widowControl w:val="0"/>
              <w:pBdr>
                <w:top w:val="nil"/>
                <w:left w:val="nil"/>
                <w:bottom w:val="nil"/>
                <w:right w:val="nil"/>
                <w:between w:val="nil"/>
              </w:pBdr>
              <w:jc w:val="right"/>
              <w:rPr>
                <w:color w:val="000000"/>
                <w:highlight w:val="green"/>
              </w:rPr>
            </w:pPr>
          </w:p>
        </w:tc>
      </w:tr>
      <w:tr w:rsidR="008E5DE4" w14:paraId="44F4BED1" w14:textId="77777777">
        <w:trPr>
          <w:cantSplit/>
          <w:trHeight w:val="337"/>
        </w:trPr>
        <w:tc>
          <w:tcPr>
            <w:tcW w:w="3061" w:type="dxa"/>
            <w:vAlign w:val="bottom"/>
          </w:tcPr>
          <w:p w14:paraId="33175846"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21A238A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763C2C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934D01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A1F12B6"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51DB7B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01ED5F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A02DAF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A980496" w14:textId="77777777" w:rsidR="008E5DE4" w:rsidRDefault="008E5DE4">
            <w:pPr>
              <w:widowControl w:val="0"/>
              <w:pBdr>
                <w:top w:val="nil"/>
                <w:left w:val="nil"/>
                <w:bottom w:val="nil"/>
                <w:right w:val="nil"/>
                <w:between w:val="nil"/>
              </w:pBdr>
              <w:jc w:val="right"/>
              <w:rPr>
                <w:color w:val="000000"/>
              </w:rPr>
            </w:pPr>
          </w:p>
        </w:tc>
      </w:tr>
      <w:tr w:rsidR="008E5DE4" w14:paraId="585056C4" w14:textId="77777777">
        <w:trPr>
          <w:cantSplit/>
          <w:trHeight w:val="231"/>
        </w:trPr>
        <w:tc>
          <w:tcPr>
            <w:tcW w:w="3061" w:type="dxa"/>
            <w:vAlign w:val="bottom"/>
          </w:tcPr>
          <w:p w14:paraId="7C4926F9"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1D69108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2AAC3A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C20F6F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7AF7A5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1F5F55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3D1BCE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047FF5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51CAE1D" w14:textId="77777777" w:rsidR="008E5DE4" w:rsidRDefault="008E5DE4">
            <w:pPr>
              <w:widowControl w:val="0"/>
              <w:pBdr>
                <w:top w:val="nil"/>
                <w:left w:val="nil"/>
                <w:bottom w:val="nil"/>
                <w:right w:val="nil"/>
                <w:between w:val="nil"/>
              </w:pBdr>
              <w:jc w:val="right"/>
              <w:rPr>
                <w:color w:val="000000"/>
              </w:rPr>
            </w:pPr>
          </w:p>
        </w:tc>
      </w:tr>
      <w:tr w:rsidR="008E5DE4" w14:paraId="058E85C6" w14:textId="77777777">
        <w:trPr>
          <w:cantSplit/>
          <w:trHeight w:val="169"/>
        </w:trPr>
        <w:tc>
          <w:tcPr>
            <w:tcW w:w="3061" w:type="dxa"/>
            <w:tcBorders>
              <w:bottom w:val="single" w:sz="4" w:space="0" w:color="000000"/>
            </w:tcBorders>
            <w:vAlign w:val="bottom"/>
          </w:tcPr>
          <w:p w14:paraId="1D1D7AF1"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0F022BF2"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615CA5D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A52715C"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07D3AADF"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5E4ED55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15AA05B"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CC6764F"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44B597D4" w14:textId="77777777" w:rsidR="008E5DE4" w:rsidRDefault="008E5DE4">
            <w:pPr>
              <w:widowControl w:val="0"/>
              <w:pBdr>
                <w:top w:val="nil"/>
                <w:left w:val="nil"/>
                <w:bottom w:val="nil"/>
                <w:right w:val="nil"/>
                <w:between w:val="nil"/>
              </w:pBdr>
              <w:jc w:val="right"/>
              <w:rPr>
                <w:color w:val="000000"/>
              </w:rPr>
            </w:pPr>
          </w:p>
        </w:tc>
      </w:tr>
      <w:tr w:rsidR="008E5DE4" w14:paraId="17CB2619" w14:textId="77777777">
        <w:trPr>
          <w:cantSplit/>
          <w:trHeight w:val="169"/>
        </w:trPr>
        <w:tc>
          <w:tcPr>
            <w:tcW w:w="3061" w:type="dxa"/>
            <w:tcBorders>
              <w:top w:val="single" w:sz="4" w:space="0" w:color="000000"/>
            </w:tcBorders>
            <w:vAlign w:val="bottom"/>
          </w:tcPr>
          <w:p w14:paraId="47AEA3AB"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11C9AD71"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10F851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B72AB29"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91D26E1"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3E6942A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72EF45B"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F613249"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1ED2CB3A" w14:textId="77777777" w:rsidR="008E5DE4" w:rsidRDefault="008E5DE4">
            <w:pPr>
              <w:widowControl w:val="0"/>
              <w:pBdr>
                <w:top w:val="nil"/>
                <w:left w:val="nil"/>
                <w:bottom w:val="nil"/>
                <w:right w:val="nil"/>
                <w:between w:val="nil"/>
              </w:pBdr>
              <w:jc w:val="right"/>
              <w:rPr>
                <w:color w:val="000000"/>
              </w:rPr>
            </w:pPr>
          </w:p>
        </w:tc>
      </w:tr>
      <w:tr w:rsidR="008E5DE4" w14:paraId="3C86EE62" w14:textId="77777777">
        <w:trPr>
          <w:cantSplit/>
          <w:trHeight w:val="169"/>
        </w:trPr>
        <w:tc>
          <w:tcPr>
            <w:tcW w:w="3061" w:type="dxa"/>
            <w:vAlign w:val="bottom"/>
          </w:tcPr>
          <w:p w14:paraId="67813F22" w14:textId="66940F7C"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1" w:type="dxa"/>
            <w:vAlign w:val="bottom"/>
          </w:tcPr>
          <w:p w14:paraId="645FE21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D70F43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156428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543906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C08C62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7A74EB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88490E2"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0B72157" w14:textId="77777777" w:rsidR="008E5DE4" w:rsidRDefault="008E5DE4">
            <w:pPr>
              <w:widowControl w:val="0"/>
              <w:pBdr>
                <w:top w:val="nil"/>
                <w:left w:val="nil"/>
                <w:bottom w:val="nil"/>
                <w:right w:val="nil"/>
                <w:between w:val="nil"/>
              </w:pBdr>
              <w:jc w:val="right"/>
              <w:rPr>
                <w:color w:val="000000"/>
              </w:rPr>
            </w:pPr>
          </w:p>
        </w:tc>
      </w:tr>
      <w:tr w:rsidR="008E5DE4" w14:paraId="17E1C6F5" w14:textId="77777777">
        <w:trPr>
          <w:cantSplit/>
          <w:trHeight w:val="169"/>
        </w:trPr>
        <w:tc>
          <w:tcPr>
            <w:tcW w:w="3061" w:type="dxa"/>
            <w:tcBorders>
              <w:bottom w:val="single" w:sz="12" w:space="0" w:color="000000"/>
            </w:tcBorders>
            <w:vAlign w:val="bottom"/>
          </w:tcPr>
          <w:p w14:paraId="1F73EF1C"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3DA8BFEB"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0DD75D6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1A28349B"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1376EA8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540F730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6FBC289B"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206EBF71"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53B312B7" w14:textId="77777777" w:rsidR="008E5DE4" w:rsidRDefault="008E5DE4">
            <w:pPr>
              <w:widowControl w:val="0"/>
              <w:pBdr>
                <w:top w:val="nil"/>
                <w:left w:val="nil"/>
                <w:bottom w:val="nil"/>
                <w:right w:val="nil"/>
                <w:between w:val="nil"/>
              </w:pBdr>
              <w:jc w:val="right"/>
              <w:rPr>
                <w:color w:val="000000"/>
              </w:rPr>
            </w:pPr>
          </w:p>
        </w:tc>
      </w:tr>
    </w:tbl>
    <w:p w14:paraId="4B9A5BA0"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7BB9F2EC" w14:textId="2F8A763A"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municipal bonds carried at AC in </w:t>
      </w:r>
      <w:r w:rsidR="00FF468A">
        <w:rPr>
          <w:color w:val="000000"/>
          <w:sz w:val="20"/>
          <w:szCs w:val="20"/>
        </w:rPr>
        <w:t>2024</w:t>
      </w:r>
      <w:r>
        <w:rPr>
          <w:color w:val="000000"/>
          <w:sz w:val="20"/>
          <w:szCs w:val="20"/>
        </w:rPr>
        <w:t xml:space="preserve"> were as follows.</w:t>
      </w:r>
    </w:p>
    <w:tbl>
      <w:tblPr>
        <w:tblStyle w:val="afffffffe"/>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61E196D6" w14:textId="77777777">
        <w:trPr>
          <w:cantSplit/>
          <w:trHeight w:val="169"/>
          <w:tblHeader/>
        </w:trPr>
        <w:tc>
          <w:tcPr>
            <w:tcW w:w="3061" w:type="dxa"/>
            <w:vAlign w:val="bottom"/>
          </w:tcPr>
          <w:p w14:paraId="27A933DC"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21373699"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5E363D7C"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01879F6C" w14:textId="77777777">
        <w:trPr>
          <w:cantSplit/>
          <w:trHeight w:val="507"/>
          <w:tblHeader/>
        </w:trPr>
        <w:tc>
          <w:tcPr>
            <w:tcW w:w="3061" w:type="dxa"/>
            <w:tcBorders>
              <w:bottom w:val="single" w:sz="4" w:space="0" w:color="000000"/>
            </w:tcBorders>
            <w:vAlign w:val="bottom"/>
          </w:tcPr>
          <w:p w14:paraId="266472F3" w14:textId="77777777" w:rsidR="008E5DE4" w:rsidRDefault="008E5DE4">
            <w:pPr>
              <w:widowControl w:val="0"/>
              <w:pBdr>
                <w:top w:val="nil"/>
                <w:left w:val="nil"/>
                <w:bottom w:val="nil"/>
                <w:right w:val="nil"/>
                <w:between w:val="nil"/>
              </w:pBdr>
              <w:ind w:left="113" w:right="-57" w:hanging="113"/>
              <w:rPr>
                <w:i/>
                <w:color w:val="000000"/>
              </w:rPr>
            </w:pPr>
          </w:p>
          <w:p w14:paraId="769A9AA2"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242B2832"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26B1DD02"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10785D36"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749C9F08"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378DDB83"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582AEFC1"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023C9DAD"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6A79B22A"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9B4D791"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09BEAC26"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72DED271"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693C326F"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4567B00E"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35D9D9DC"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7C43A1E9" w14:textId="77777777">
        <w:trPr>
          <w:cantSplit/>
          <w:trHeight w:val="169"/>
          <w:tblHeader/>
        </w:trPr>
        <w:tc>
          <w:tcPr>
            <w:tcW w:w="3061" w:type="dxa"/>
            <w:vAlign w:val="bottom"/>
          </w:tcPr>
          <w:p w14:paraId="4AFBA52F" w14:textId="77777777" w:rsidR="008E5DE4" w:rsidRDefault="008E5DE4">
            <w:pPr>
              <w:widowControl w:val="0"/>
              <w:ind w:left="113" w:right="-57" w:hanging="113"/>
            </w:pPr>
          </w:p>
        </w:tc>
        <w:tc>
          <w:tcPr>
            <w:tcW w:w="851" w:type="dxa"/>
            <w:vAlign w:val="bottom"/>
          </w:tcPr>
          <w:p w14:paraId="32FCE9B2"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2B9E2D0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E3142F2"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2E237F8" w14:textId="77777777" w:rsidR="008E5DE4" w:rsidRDefault="008E5DE4">
            <w:pPr>
              <w:widowControl w:val="0"/>
              <w:pBdr>
                <w:top w:val="nil"/>
                <w:left w:val="nil"/>
                <w:bottom w:val="nil"/>
                <w:right w:val="nil"/>
                <w:between w:val="nil"/>
              </w:pBdr>
              <w:jc w:val="right"/>
              <w:rPr>
                <w:color w:val="000000"/>
              </w:rPr>
            </w:pPr>
          </w:p>
        </w:tc>
        <w:tc>
          <w:tcPr>
            <w:tcW w:w="871" w:type="dxa"/>
          </w:tcPr>
          <w:p w14:paraId="6B8A213F" w14:textId="77777777" w:rsidR="008E5DE4" w:rsidRDefault="008E5DE4">
            <w:pPr>
              <w:widowControl w:val="0"/>
              <w:pBdr>
                <w:top w:val="nil"/>
                <w:left w:val="nil"/>
                <w:bottom w:val="nil"/>
                <w:right w:val="nil"/>
                <w:between w:val="nil"/>
              </w:pBdr>
              <w:jc w:val="right"/>
              <w:rPr>
                <w:color w:val="000000"/>
              </w:rPr>
            </w:pPr>
          </w:p>
        </w:tc>
        <w:tc>
          <w:tcPr>
            <w:tcW w:w="856" w:type="dxa"/>
          </w:tcPr>
          <w:p w14:paraId="2D2A6D57" w14:textId="77777777" w:rsidR="008E5DE4" w:rsidRDefault="008E5DE4">
            <w:pPr>
              <w:widowControl w:val="0"/>
              <w:pBdr>
                <w:top w:val="nil"/>
                <w:left w:val="nil"/>
                <w:bottom w:val="nil"/>
                <w:right w:val="nil"/>
                <w:between w:val="nil"/>
              </w:pBdr>
              <w:jc w:val="right"/>
              <w:rPr>
                <w:color w:val="000000"/>
              </w:rPr>
            </w:pPr>
          </w:p>
        </w:tc>
        <w:tc>
          <w:tcPr>
            <w:tcW w:w="856" w:type="dxa"/>
          </w:tcPr>
          <w:p w14:paraId="4FB17B6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6D7B4E5" w14:textId="77777777" w:rsidR="008E5DE4" w:rsidRDefault="008E5DE4">
            <w:pPr>
              <w:widowControl w:val="0"/>
              <w:pBdr>
                <w:top w:val="nil"/>
                <w:left w:val="nil"/>
                <w:bottom w:val="nil"/>
                <w:right w:val="nil"/>
                <w:between w:val="nil"/>
              </w:pBdr>
              <w:jc w:val="right"/>
              <w:rPr>
                <w:color w:val="000000"/>
              </w:rPr>
            </w:pPr>
          </w:p>
        </w:tc>
      </w:tr>
      <w:tr w:rsidR="008E5DE4" w14:paraId="6122F642" w14:textId="77777777">
        <w:trPr>
          <w:cantSplit/>
          <w:trHeight w:val="169"/>
        </w:trPr>
        <w:tc>
          <w:tcPr>
            <w:tcW w:w="3061" w:type="dxa"/>
            <w:vAlign w:val="bottom"/>
          </w:tcPr>
          <w:p w14:paraId="49A756FD"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Municipal bonds</w:t>
            </w:r>
          </w:p>
        </w:tc>
        <w:tc>
          <w:tcPr>
            <w:tcW w:w="851" w:type="dxa"/>
            <w:vAlign w:val="bottom"/>
          </w:tcPr>
          <w:p w14:paraId="33C0FEC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DF9F99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9E920F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FA3BC3E" w14:textId="77777777" w:rsidR="008E5DE4" w:rsidRDefault="008E5DE4">
            <w:pPr>
              <w:widowControl w:val="0"/>
              <w:pBdr>
                <w:top w:val="nil"/>
                <w:left w:val="nil"/>
                <w:bottom w:val="nil"/>
                <w:right w:val="nil"/>
                <w:between w:val="nil"/>
              </w:pBdr>
              <w:jc w:val="right"/>
              <w:rPr>
                <w:color w:val="000000"/>
              </w:rPr>
            </w:pPr>
          </w:p>
        </w:tc>
        <w:tc>
          <w:tcPr>
            <w:tcW w:w="871" w:type="dxa"/>
          </w:tcPr>
          <w:p w14:paraId="177955B1" w14:textId="77777777" w:rsidR="008E5DE4" w:rsidRDefault="008E5DE4">
            <w:pPr>
              <w:widowControl w:val="0"/>
              <w:pBdr>
                <w:top w:val="nil"/>
                <w:left w:val="nil"/>
                <w:bottom w:val="nil"/>
                <w:right w:val="nil"/>
                <w:between w:val="nil"/>
              </w:pBdr>
              <w:jc w:val="right"/>
              <w:rPr>
                <w:color w:val="000000"/>
              </w:rPr>
            </w:pPr>
          </w:p>
        </w:tc>
        <w:tc>
          <w:tcPr>
            <w:tcW w:w="856" w:type="dxa"/>
          </w:tcPr>
          <w:p w14:paraId="24D91F80" w14:textId="77777777" w:rsidR="008E5DE4" w:rsidRDefault="008E5DE4">
            <w:pPr>
              <w:widowControl w:val="0"/>
              <w:pBdr>
                <w:top w:val="nil"/>
                <w:left w:val="nil"/>
                <w:bottom w:val="nil"/>
                <w:right w:val="nil"/>
                <w:between w:val="nil"/>
              </w:pBdr>
              <w:jc w:val="right"/>
              <w:rPr>
                <w:color w:val="000000"/>
              </w:rPr>
            </w:pPr>
          </w:p>
        </w:tc>
        <w:tc>
          <w:tcPr>
            <w:tcW w:w="856" w:type="dxa"/>
          </w:tcPr>
          <w:p w14:paraId="389A2DD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DDC8D3C" w14:textId="77777777" w:rsidR="008E5DE4" w:rsidRDefault="008E5DE4">
            <w:pPr>
              <w:widowControl w:val="0"/>
              <w:pBdr>
                <w:top w:val="nil"/>
                <w:left w:val="nil"/>
                <w:bottom w:val="nil"/>
                <w:right w:val="nil"/>
                <w:between w:val="nil"/>
              </w:pBdr>
              <w:jc w:val="right"/>
              <w:rPr>
                <w:color w:val="000000"/>
              </w:rPr>
            </w:pPr>
          </w:p>
        </w:tc>
      </w:tr>
      <w:tr w:rsidR="008E5DE4" w14:paraId="32AA2154" w14:textId="77777777">
        <w:trPr>
          <w:cantSplit/>
          <w:trHeight w:val="169"/>
        </w:trPr>
        <w:tc>
          <w:tcPr>
            <w:tcW w:w="3061" w:type="dxa"/>
            <w:vAlign w:val="bottom"/>
          </w:tcPr>
          <w:p w14:paraId="154E3C6A"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75705A5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2469F6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A5E56E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03810EB" w14:textId="77777777" w:rsidR="008E5DE4" w:rsidRDefault="008E5DE4">
            <w:pPr>
              <w:widowControl w:val="0"/>
              <w:pBdr>
                <w:top w:val="nil"/>
                <w:left w:val="nil"/>
                <w:bottom w:val="nil"/>
                <w:right w:val="nil"/>
                <w:between w:val="nil"/>
              </w:pBdr>
              <w:jc w:val="right"/>
              <w:rPr>
                <w:color w:val="000000"/>
              </w:rPr>
            </w:pPr>
          </w:p>
        </w:tc>
        <w:tc>
          <w:tcPr>
            <w:tcW w:w="871" w:type="dxa"/>
          </w:tcPr>
          <w:p w14:paraId="71EDC1AA" w14:textId="77777777" w:rsidR="008E5DE4" w:rsidRDefault="008E5DE4">
            <w:pPr>
              <w:widowControl w:val="0"/>
              <w:pBdr>
                <w:top w:val="nil"/>
                <w:left w:val="nil"/>
                <w:bottom w:val="nil"/>
                <w:right w:val="nil"/>
                <w:between w:val="nil"/>
              </w:pBdr>
              <w:jc w:val="right"/>
              <w:rPr>
                <w:color w:val="000000"/>
              </w:rPr>
            </w:pPr>
          </w:p>
        </w:tc>
        <w:tc>
          <w:tcPr>
            <w:tcW w:w="856" w:type="dxa"/>
          </w:tcPr>
          <w:p w14:paraId="492B7CBC" w14:textId="77777777" w:rsidR="008E5DE4" w:rsidRDefault="008E5DE4">
            <w:pPr>
              <w:widowControl w:val="0"/>
              <w:pBdr>
                <w:top w:val="nil"/>
                <w:left w:val="nil"/>
                <w:bottom w:val="nil"/>
                <w:right w:val="nil"/>
                <w:between w:val="nil"/>
              </w:pBdr>
              <w:jc w:val="right"/>
              <w:rPr>
                <w:color w:val="000000"/>
              </w:rPr>
            </w:pPr>
          </w:p>
        </w:tc>
        <w:tc>
          <w:tcPr>
            <w:tcW w:w="856" w:type="dxa"/>
          </w:tcPr>
          <w:p w14:paraId="245D1A6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2C9CC2A" w14:textId="77777777" w:rsidR="008E5DE4" w:rsidRDefault="008E5DE4">
            <w:pPr>
              <w:widowControl w:val="0"/>
              <w:pBdr>
                <w:top w:val="nil"/>
                <w:left w:val="nil"/>
                <w:bottom w:val="nil"/>
                <w:right w:val="nil"/>
                <w:between w:val="nil"/>
              </w:pBdr>
              <w:jc w:val="right"/>
              <w:rPr>
                <w:color w:val="000000"/>
              </w:rPr>
            </w:pPr>
          </w:p>
        </w:tc>
      </w:tr>
      <w:tr w:rsidR="008E5DE4" w14:paraId="5C5B9EB0" w14:textId="77777777">
        <w:trPr>
          <w:cantSplit/>
          <w:trHeight w:val="169"/>
        </w:trPr>
        <w:tc>
          <w:tcPr>
            <w:tcW w:w="3061" w:type="dxa"/>
            <w:vAlign w:val="bottom"/>
          </w:tcPr>
          <w:p w14:paraId="43CD6497" w14:textId="37D58C8A"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w:t>
            </w:r>
            <w:r w:rsidR="00FF468A">
              <w:rPr>
                <w:b/>
                <w:color w:val="000000"/>
              </w:rPr>
              <w:t>2024</w:t>
            </w:r>
          </w:p>
        </w:tc>
        <w:tc>
          <w:tcPr>
            <w:tcW w:w="851" w:type="dxa"/>
            <w:vAlign w:val="bottom"/>
          </w:tcPr>
          <w:p w14:paraId="3998BCD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392331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ABFCEA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B67C4D1" w14:textId="77777777" w:rsidR="008E5DE4" w:rsidRDefault="008E5DE4">
            <w:pPr>
              <w:widowControl w:val="0"/>
              <w:pBdr>
                <w:top w:val="nil"/>
                <w:left w:val="nil"/>
                <w:bottom w:val="nil"/>
                <w:right w:val="nil"/>
                <w:between w:val="nil"/>
              </w:pBdr>
              <w:jc w:val="right"/>
              <w:rPr>
                <w:color w:val="000000"/>
              </w:rPr>
            </w:pPr>
          </w:p>
        </w:tc>
        <w:tc>
          <w:tcPr>
            <w:tcW w:w="871" w:type="dxa"/>
          </w:tcPr>
          <w:p w14:paraId="56F67232" w14:textId="77777777" w:rsidR="008E5DE4" w:rsidRDefault="008E5DE4">
            <w:pPr>
              <w:widowControl w:val="0"/>
              <w:pBdr>
                <w:top w:val="nil"/>
                <w:left w:val="nil"/>
                <w:bottom w:val="nil"/>
                <w:right w:val="nil"/>
                <w:between w:val="nil"/>
              </w:pBdr>
              <w:jc w:val="right"/>
              <w:rPr>
                <w:color w:val="000000"/>
              </w:rPr>
            </w:pPr>
          </w:p>
        </w:tc>
        <w:tc>
          <w:tcPr>
            <w:tcW w:w="856" w:type="dxa"/>
          </w:tcPr>
          <w:p w14:paraId="4787D423" w14:textId="77777777" w:rsidR="008E5DE4" w:rsidRDefault="008E5DE4">
            <w:pPr>
              <w:widowControl w:val="0"/>
              <w:pBdr>
                <w:top w:val="nil"/>
                <w:left w:val="nil"/>
                <w:bottom w:val="nil"/>
                <w:right w:val="nil"/>
                <w:between w:val="nil"/>
              </w:pBdr>
              <w:jc w:val="right"/>
              <w:rPr>
                <w:color w:val="000000"/>
              </w:rPr>
            </w:pPr>
          </w:p>
        </w:tc>
        <w:tc>
          <w:tcPr>
            <w:tcW w:w="856" w:type="dxa"/>
          </w:tcPr>
          <w:p w14:paraId="40E212B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BF5B633" w14:textId="77777777" w:rsidR="008E5DE4" w:rsidRDefault="008E5DE4">
            <w:pPr>
              <w:widowControl w:val="0"/>
              <w:pBdr>
                <w:top w:val="nil"/>
                <w:left w:val="nil"/>
                <w:bottom w:val="nil"/>
                <w:right w:val="nil"/>
                <w:between w:val="nil"/>
              </w:pBdr>
              <w:jc w:val="right"/>
              <w:rPr>
                <w:color w:val="000000"/>
              </w:rPr>
            </w:pPr>
          </w:p>
        </w:tc>
      </w:tr>
      <w:tr w:rsidR="008E5DE4" w14:paraId="57BE2B4F" w14:textId="77777777">
        <w:trPr>
          <w:cantSplit/>
          <w:trHeight w:val="676"/>
        </w:trPr>
        <w:tc>
          <w:tcPr>
            <w:tcW w:w="3061" w:type="dxa"/>
            <w:vAlign w:val="bottom"/>
          </w:tcPr>
          <w:p w14:paraId="41E3AFD0" w14:textId="77777777" w:rsidR="008E5DE4" w:rsidRDefault="008E5DE4">
            <w:pPr>
              <w:widowControl w:val="0"/>
              <w:pBdr>
                <w:top w:val="nil"/>
                <w:left w:val="nil"/>
                <w:bottom w:val="nil"/>
                <w:right w:val="nil"/>
                <w:between w:val="nil"/>
              </w:pBdr>
              <w:ind w:left="113" w:right="-57" w:hanging="113"/>
              <w:rPr>
                <w:b/>
                <w:color w:val="000000"/>
              </w:rPr>
            </w:pPr>
          </w:p>
          <w:p w14:paraId="56DC8B4A"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65D86FB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B42DDE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F46DA2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C2AF237" w14:textId="77777777" w:rsidR="008E5DE4" w:rsidRDefault="008E5DE4">
            <w:pPr>
              <w:widowControl w:val="0"/>
              <w:pBdr>
                <w:top w:val="nil"/>
                <w:left w:val="nil"/>
                <w:bottom w:val="nil"/>
                <w:right w:val="nil"/>
                <w:between w:val="nil"/>
              </w:pBdr>
              <w:jc w:val="right"/>
              <w:rPr>
                <w:color w:val="000000"/>
              </w:rPr>
            </w:pPr>
          </w:p>
        </w:tc>
        <w:tc>
          <w:tcPr>
            <w:tcW w:w="871" w:type="dxa"/>
          </w:tcPr>
          <w:p w14:paraId="069AF3BD"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01853F47" w14:textId="77777777" w:rsidR="008E5DE4" w:rsidRDefault="008E5DE4">
            <w:pPr>
              <w:widowControl w:val="0"/>
              <w:pBdr>
                <w:top w:val="nil"/>
                <w:left w:val="nil"/>
                <w:bottom w:val="nil"/>
                <w:right w:val="nil"/>
                <w:between w:val="nil"/>
              </w:pBdr>
              <w:jc w:val="right"/>
              <w:rPr>
                <w:color w:val="000000"/>
              </w:rPr>
            </w:pPr>
          </w:p>
        </w:tc>
        <w:tc>
          <w:tcPr>
            <w:tcW w:w="856" w:type="dxa"/>
          </w:tcPr>
          <w:p w14:paraId="6FD9414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CAB6E94" w14:textId="77777777" w:rsidR="008E5DE4" w:rsidRDefault="008E5DE4">
            <w:pPr>
              <w:widowControl w:val="0"/>
              <w:pBdr>
                <w:top w:val="nil"/>
                <w:left w:val="nil"/>
                <w:bottom w:val="nil"/>
                <w:right w:val="nil"/>
                <w:between w:val="nil"/>
              </w:pBdr>
              <w:jc w:val="right"/>
              <w:rPr>
                <w:color w:val="000000"/>
              </w:rPr>
            </w:pPr>
          </w:p>
        </w:tc>
      </w:tr>
      <w:tr w:rsidR="008E5DE4" w14:paraId="199D12CA" w14:textId="77777777">
        <w:trPr>
          <w:cantSplit/>
          <w:trHeight w:val="184"/>
        </w:trPr>
        <w:tc>
          <w:tcPr>
            <w:tcW w:w="3061" w:type="dxa"/>
            <w:vAlign w:val="bottom"/>
          </w:tcPr>
          <w:p w14:paraId="3590662B"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7FAC4BB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FE2CD3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AE7369C"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326B5AB"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F14476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803EB9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9711FE0"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3E09410" w14:textId="77777777" w:rsidR="008E5DE4" w:rsidRDefault="008E5DE4">
            <w:pPr>
              <w:widowControl w:val="0"/>
              <w:pBdr>
                <w:top w:val="nil"/>
                <w:left w:val="nil"/>
                <w:bottom w:val="nil"/>
                <w:right w:val="nil"/>
                <w:between w:val="nil"/>
              </w:pBdr>
              <w:jc w:val="right"/>
              <w:rPr>
                <w:color w:val="000000"/>
                <w:highlight w:val="green"/>
              </w:rPr>
            </w:pPr>
          </w:p>
        </w:tc>
      </w:tr>
      <w:tr w:rsidR="008E5DE4" w14:paraId="2B93CD7B" w14:textId="77777777">
        <w:trPr>
          <w:cantSplit/>
          <w:trHeight w:val="184"/>
        </w:trPr>
        <w:tc>
          <w:tcPr>
            <w:tcW w:w="3061" w:type="dxa"/>
            <w:vAlign w:val="bottom"/>
          </w:tcPr>
          <w:p w14:paraId="39E69537"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5DF743E8"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1F50ED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1466B93"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599C5C9"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74592A0"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316DF77"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F879BD1"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071749F" w14:textId="77777777" w:rsidR="008E5DE4" w:rsidRDefault="008E5DE4">
            <w:pPr>
              <w:widowControl w:val="0"/>
              <w:pBdr>
                <w:top w:val="nil"/>
                <w:left w:val="nil"/>
                <w:bottom w:val="nil"/>
                <w:right w:val="nil"/>
                <w:between w:val="nil"/>
              </w:pBdr>
              <w:jc w:val="right"/>
              <w:rPr>
                <w:color w:val="000000"/>
                <w:highlight w:val="green"/>
              </w:rPr>
            </w:pPr>
          </w:p>
        </w:tc>
      </w:tr>
      <w:tr w:rsidR="008E5DE4" w14:paraId="29A151AA" w14:textId="77777777">
        <w:trPr>
          <w:cantSplit/>
          <w:trHeight w:val="80"/>
        </w:trPr>
        <w:tc>
          <w:tcPr>
            <w:tcW w:w="3061" w:type="dxa"/>
            <w:vAlign w:val="bottom"/>
          </w:tcPr>
          <w:p w14:paraId="603EB9BA"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616810C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059687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1091E21"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5D5B8B8"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31C57C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160BE4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7702765"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4A42EBA" w14:textId="77777777" w:rsidR="008E5DE4" w:rsidRDefault="008E5DE4">
            <w:pPr>
              <w:widowControl w:val="0"/>
              <w:pBdr>
                <w:top w:val="nil"/>
                <w:left w:val="nil"/>
                <w:bottom w:val="nil"/>
                <w:right w:val="nil"/>
                <w:between w:val="nil"/>
              </w:pBdr>
              <w:jc w:val="right"/>
              <w:rPr>
                <w:color w:val="000000"/>
                <w:highlight w:val="green"/>
              </w:rPr>
            </w:pPr>
          </w:p>
        </w:tc>
      </w:tr>
      <w:tr w:rsidR="008E5DE4" w14:paraId="1751A08B" w14:textId="77777777">
        <w:trPr>
          <w:cantSplit/>
          <w:trHeight w:val="80"/>
        </w:trPr>
        <w:tc>
          <w:tcPr>
            <w:tcW w:w="3061" w:type="dxa"/>
            <w:vAlign w:val="bottom"/>
          </w:tcPr>
          <w:p w14:paraId="2CC6B429"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5DFA54B8"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791102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32584EE"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169735C"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57B3C2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3C08D8C"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D030FB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97EFA34" w14:textId="77777777" w:rsidR="008E5DE4" w:rsidRDefault="008E5DE4">
            <w:pPr>
              <w:widowControl w:val="0"/>
              <w:pBdr>
                <w:top w:val="nil"/>
                <w:left w:val="nil"/>
                <w:bottom w:val="nil"/>
                <w:right w:val="nil"/>
                <w:between w:val="nil"/>
              </w:pBdr>
              <w:jc w:val="right"/>
              <w:rPr>
                <w:color w:val="000000"/>
                <w:highlight w:val="green"/>
              </w:rPr>
            </w:pPr>
          </w:p>
        </w:tc>
      </w:tr>
      <w:tr w:rsidR="008E5DE4" w14:paraId="02904C71" w14:textId="77777777">
        <w:trPr>
          <w:cantSplit/>
          <w:trHeight w:val="361"/>
        </w:trPr>
        <w:tc>
          <w:tcPr>
            <w:tcW w:w="3061" w:type="dxa"/>
            <w:vAlign w:val="bottom"/>
          </w:tcPr>
          <w:p w14:paraId="3188AD85"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6375838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E44E04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35D3A7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A98E14A"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607A99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F024AFE"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603C825"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A21ED0F" w14:textId="77777777" w:rsidR="008E5DE4" w:rsidRDefault="008E5DE4">
            <w:pPr>
              <w:widowControl w:val="0"/>
              <w:pBdr>
                <w:top w:val="nil"/>
                <w:left w:val="nil"/>
                <w:bottom w:val="nil"/>
                <w:right w:val="nil"/>
                <w:between w:val="nil"/>
              </w:pBdr>
              <w:jc w:val="right"/>
              <w:rPr>
                <w:color w:val="000000"/>
                <w:highlight w:val="green"/>
              </w:rPr>
            </w:pPr>
          </w:p>
        </w:tc>
      </w:tr>
      <w:tr w:rsidR="008E5DE4" w14:paraId="402F9718" w14:textId="77777777">
        <w:trPr>
          <w:cantSplit/>
          <w:trHeight w:val="169"/>
        </w:trPr>
        <w:tc>
          <w:tcPr>
            <w:tcW w:w="3061" w:type="dxa"/>
            <w:vAlign w:val="bottom"/>
          </w:tcPr>
          <w:p w14:paraId="74D1456B"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1B6106D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44F74E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744171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A35782E" w14:textId="77777777" w:rsidR="008E5DE4" w:rsidRDefault="008E5DE4">
            <w:pPr>
              <w:widowControl w:val="0"/>
              <w:pBdr>
                <w:top w:val="nil"/>
                <w:left w:val="nil"/>
                <w:bottom w:val="nil"/>
                <w:right w:val="nil"/>
                <w:between w:val="nil"/>
              </w:pBdr>
              <w:jc w:val="right"/>
              <w:rPr>
                <w:color w:val="000000"/>
              </w:rPr>
            </w:pPr>
          </w:p>
        </w:tc>
        <w:tc>
          <w:tcPr>
            <w:tcW w:w="871" w:type="dxa"/>
          </w:tcPr>
          <w:p w14:paraId="705085D4" w14:textId="77777777" w:rsidR="008E5DE4" w:rsidRDefault="008E5DE4">
            <w:pPr>
              <w:widowControl w:val="0"/>
              <w:pBdr>
                <w:top w:val="nil"/>
                <w:left w:val="nil"/>
                <w:bottom w:val="nil"/>
                <w:right w:val="nil"/>
                <w:between w:val="nil"/>
              </w:pBdr>
              <w:jc w:val="right"/>
              <w:rPr>
                <w:color w:val="000000"/>
              </w:rPr>
            </w:pPr>
          </w:p>
        </w:tc>
        <w:tc>
          <w:tcPr>
            <w:tcW w:w="856" w:type="dxa"/>
          </w:tcPr>
          <w:p w14:paraId="5C2AFF70" w14:textId="77777777" w:rsidR="008E5DE4" w:rsidRDefault="008E5DE4">
            <w:pPr>
              <w:widowControl w:val="0"/>
              <w:pBdr>
                <w:top w:val="nil"/>
                <w:left w:val="nil"/>
                <w:bottom w:val="nil"/>
                <w:right w:val="nil"/>
                <w:between w:val="nil"/>
              </w:pBdr>
              <w:jc w:val="right"/>
              <w:rPr>
                <w:color w:val="000000"/>
              </w:rPr>
            </w:pPr>
          </w:p>
        </w:tc>
        <w:tc>
          <w:tcPr>
            <w:tcW w:w="856" w:type="dxa"/>
          </w:tcPr>
          <w:p w14:paraId="78965B6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B3D77F4" w14:textId="77777777" w:rsidR="008E5DE4" w:rsidRDefault="008E5DE4">
            <w:pPr>
              <w:widowControl w:val="0"/>
              <w:pBdr>
                <w:top w:val="nil"/>
                <w:left w:val="nil"/>
                <w:bottom w:val="nil"/>
                <w:right w:val="nil"/>
                <w:between w:val="nil"/>
              </w:pBdr>
              <w:jc w:val="right"/>
              <w:rPr>
                <w:color w:val="000000"/>
              </w:rPr>
            </w:pPr>
          </w:p>
        </w:tc>
      </w:tr>
      <w:tr w:rsidR="008E5DE4" w14:paraId="7CD6D71A" w14:textId="77777777">
        <w:trPr>
          <w:cantSplit/>
          <w:trHeight w:val="232"/>
        </w:trPr>
        <w:tc>
          <w:tcPr>
            <w:tcW w:w="3061" w:type="dxa"/>
            <w:vAlign w:val="bottom"/>
          </w:tcPr>
          <w:p w14:paraId="7CC44A2F"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115EDE7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F88682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F103E2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D2CB7BB" w14:textId="77777777" w:rsidR="008E5DE4" w:rsidRDefault="008E5DE4">
            <w:pPr>
              <w:widowControl w:val="0"/>
              <w:pBdr>
                <w:top w:val="nil"/>
                <w:left w:val="nil"/>
                <w:bottom w:val="nil"/>
                <w:right w:val="nil"/>
                <w:between w:val="nil"/>
              </w:pBdr>
              <w:jc w:val="right"/>
              <w:rPr>
                <w:color w:val="000000"/>
              </w:rPr>
            </w:pPr>
          </w:p>
        </w:tc>
        <w:tc>
          <w:tcPr>
            <w:tcW w:w="871" w:type="dxa"/>
          </w:tcPr>
          <w:p w14:paraId="579153CE" w14:textId="77777777" w:rsidR="008E5DE4" w:rsidRDefault="008E5DE4">
            <w:pPr>
              <w:widowControl w:val="0"/>
              <w:pBdr>
                <w:top w:val="nil"/>
                <w:left w:val="nil"/>
                <w:bottom w:val="nil"/>
                <w:right w:val="nil"/>
                <w:between w:val="nil"/>
              </w:pBdr>
              <w:jc w:val="right"/>
              <w:rPr>
                <w:color w:val="000000"/>
              </w:rPr>
            </w:pPr>
          </w:p>
        </w:tc>
        <w:tc>
          <w:tcPr>
            <w:tcW w:w="856" w:type="dxa"/>
          </w:tcPr>
          <w:p w14:paraId="7D48DBA0" w14:textId="77777777" w:rsidR="008E5DE4" w:rsidRDefault="008E5DE4">
            <w:pPr>
              <w:widowControl w:val="0"/>
              <w:pBdr>
                <w:top w:val="nil"/>
                <w:left w:val="nil"/>
                <w:bottom w:val="nil"/>
                <w:right w:val="nil"/>
                <w:between w:val="nil"/>
              </w:pBdr>
              <w:jc w:val="right"/>
              <w:rPr>
                <w:color w:val="000000"/>
              </w:rPr>
            </w:pPr>
          </w:p>
        </w:tc>
        <w:tc>
          <w:tcPr>
            <w:tcW w:w="856" w:type="dxa"/>
          </w:tcPr>
          <w:p w14:paraId="6F1E888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1678E9D" w14:textId="77777777" w:rsidR="008E5DE4" w:rsidRDefault="008E5DE4">
            <w:pPr>
              <w:widowControl w:val="0"/>
              <w:pBdr>
                <w:top w:val="nil"/>
                <w:left w:val="nil"/>
                <w:bottom w:val="nil"/>
                <w:right w:val="nil"/>
                <w:between w:val="nil"/>
              </w:pBdr>
              <w:jc w:val="right"/>
              <w:rPr>
                <w:color w:val="000000"/>
              </w:rPr>
            </w:pPr>
          </w:p>
        </w:tc>
      </w:tr>
      <w:tr w:rsidR="008E5DE4" w14:paraId="03285F29" w14:textId="77777777">
        <w:trPr>
          <w:cantSplit/>
          <w:trHeight w:val="80"/>
        </w:trPr>
        <w:tc>
          <w:tcPr>
            <w:tcW w:w="3061" w:type="dxa"/>
            <w:vAlign w:val="bottom"/>
          </w:tcPr>
          <w:p w14:paraId="5906F7E2"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7B606CA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D34E41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11EFA6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C7A3105"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6B7453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FE8066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349B38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D79C286" w14:textId="77777777" w:rsidR="008E5DE4" w:rsidRDefault="008E5DE4">
            <w:pPr>
              <w:widowControl w:val="0"/>
              <w:pBdr>
                <w:top w:val="nil"/>
                <w:left w:val="nil"/>
                <w:bottom w:val="nil"/>
                <w:right w:val="nil"/>
                <w:between w:val="nil"/>
              </w:pBdr>
              <w:jc w:val="right"/>
              <w:rPr>
                <w:color w:val="000000"/>
              </w:rPr>
            </w:pPr>
          </w:p>
        </w:tc>
      </w:tr>
      <w:tr w:rsidR="008E5DE4" w14:paraId="0C555F56" w14:textId="77777777">
        <w:trPr>
          <w:cantSplit/>
          <w:trHeight w:val="85"/>
        </w:trPr>
        <w:tc>
          <w:tcPr>
            <w:tcW w:w="3061" w:type="dxa"/>
            <w:vAlign w:val="bottom"/>
          </w:tcPr>
          <w:p w14:paraId="3ED74F2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6504924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B6C184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CECA3B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D50FB8C"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6CEE48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A21F18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33A88E6"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7A2D1C0" w14:textId="77777777" w:rsidR="008E5DE4" w:rsidRDefault="008E5DE4">
            <w:pPr>
              <w:widowControl w:val="0"/>
              <w:pBdr>
                <w:top w:val="nil"/>
                <w:left w:val="nil"/>
                <w:bottom w:val="nil"/>
                <w:right w:val="nil"/>
                <w:between w:val="nil"/>
              </w:pBdr>
              <w:jc w:val="right"/>
              <w:rPr>
                <w:color w:val="000000"/>
              </w:rPr>
            </w:pPr>
          </w:p>
        </w:tc>
      </w:tr>
      <w:tr w:rsidR="008E5DE4" w14:paraId="10CE2C3E" w14:textId="77777777">
        <w:trPr>
          <w:cantSplit/>
          <w:trHeight w:val="169"/>
        </w:trPr>
        <w:tc>
          <w:tcPr>
            <w:tcW w:w="3061" w:type="dxa"/>
            <w:vAlign w:val="bottom"/>
          </w:tcPr>
          <w:p w14:paraId="42371CA4"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5752947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616B81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0A0B41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02A254F"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BE615B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4DB5CB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E81A59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EBB418B" w14:textId="77777777" w:rsidR="008E5DE4" w:rsidRDefault="008E5DE4">
            <w:pPr>
              <w:widowControl w:val="0"/>
              <w:pBdr>
                <w:top w:val="nil"/>
                <w:left w:val="nil"/>
                <w:bottom w:val="nil"/>
                <w:right w:val="nil"/>
                <w:between w:val="nil"/>
              </w:pBdr>
              <w:jc w:val="right"/>
              <w:rPr>
                <w:color w:val="000000"/>
              </w:rPr>
            </w:pPr>
          </w:p>
        </w:tc>
      </w:tr>
      <w:tr w:rsidR="008E5DE4" w14:paraId="386385DD" w14:textId="77777777">
        <w:trPr>
          <w:cantSplit/>
          <w:trHeight w:val="169"/>
        </w:trPr>
        <w:tc>
          <w:tcPr>
            <w:tcW w:w="3061" w:type="dxa"/>
            <w:vAlign w:val="bottom"/>
          </w:tcPr>
          <w:p w14:paraId="50840995"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747088C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C3BE02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01247D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85B4553"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07F2D7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9FEE29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24706C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9DC02C7" w14:textId="77777777" w:rsidR="008E5DE4" w:rsidRDefault="008E5DE4">
            <w:pPr>
              <w:widowControl w:val="0"/>
              <w:pBdr>
                <w:top w:val="nil"/>
                <w:left w:val="nil"/>
                <w:bottom w:val="nil"/>
                <w:right w:val="nil"/>
                <w:between w:val="nil"/>
              </w:pBdr>
              <w:jc w:val="right"/>
              <w:rPr>
                <w:color w:val="000000"/>
              </w:rPr>
            </w:pPr>
          </w:p>
        </w:tc>
      </w:tr>
      <w:tr w:rsidR="008E5DE4" w14:paraId="74EA191E" w14:textId="77777777">
        <w:trPr>
          <w:cantSplit/>
          <w:trHeight w:val="169"/>
        </w:trPr>
        <w:tc>
          <w:tcPr>
            <w:tcW w:w="3061" w:type="dxa"/>
            <w:tcBorders>
              <w:bottom w:val="single" w:sz="4" w:space="0" w:color="000000"/>
            </w:tcBorders>
            <w:vAlign w:val="bottom"/>
          </w:tcPr>
          <w:p w14:paraId="5D13514A"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49227433"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49D0AD1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58CCF53"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65FA950B"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5934A46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394FD3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5C2ADA7"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688C9983" w14:textId="77777777" w:rsidR="008E5DE4" w:rsidRDefault="008E5DE4">
            <w:pPr>
              <w:widowControl w:val="0"/>
              <w:pBdr>
                <w:top w:val="nil"/>
                <w:left w:val="nil"/>
                <w:bottom w:val="nil"/>
                <w:right w:val="nil"/>
                <w:between w:val="nil"/>
              </w:pBdr>
              <w:jc w:val="right"/>
              <w:rPr>
                <w:color w:val="000000"/>
              </w:rPr>
            </w:pPr>
          </w:p>
        </w:tc>
      </w:tr>
      <w:tr w:rsidR="008E5DE4" w14:paraId="58D6E28A" w14:textId="77777777">
        <w:trPr>
          <w:cantSplit/>
          <w:trHeight w:val="153"/>
        </w:trPr>
        <w:tc>
          <w:tcPr>
            <w:tcW w:w="3061" w:type="dxa"/>
            <w:tcBorders>
              <w:top w:val="single" w:sz="4" w:space="0" w:color="000000"/>
            </w:tcBorders>
            <w:vAlign w:val="bottom"/>
          </w:tcPr>
          <w:p w14:paraId="53D28EA1"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4FB6A4B5"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2CD9950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2366517"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6BD0E464"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7D6C3A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51C596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B9E6A54"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7621546" w14:textId="77777777" w:rsidR="008E5DE4" w:rsidRDefault="008E5DE4">
            <w:pPr>
              <w:widowControl w:val="0"/>
              <w:pBdr>
                <w:top w:val="nil"/>
                <w:left w:val="nil"/>
                <w:bottom w:val="nil"/>
                <w:right w:val="nil"/>
                <w:between w:val="nil"/>
              </w:pBdr>
              <w:jc w:val="right"/>
              <w:rPr>
                <w:color w:val="000000"/>
              </w:rPr>
            </w:pPr>
          </w:p>
        </w:tc>
      </w:tr>
      <w:tr w:rsidR="008E5DE4" w14:paraId="246F4AAB" w14:textId="77777777">
        <w:trPr>
          <w:cantSplit/>
          <w:trHeight w:val="245"/>
        </w:trPr>
        <w:tc>
          <w:tcPr>
            <w:tcW w:w="3061" w:type="dxa"/>
            <w:vAlign w:val="bottom"/>
          </w:tcPr>
          <w:p w14:paraId="46BDA63E"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749F77C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4C2222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6A4C92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AC66DC2"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96D7DF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88692C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DB97D3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0046A4F" w14:textId="77777777" w:rsidR="008E5DE4" w:rsidRDefault="008E5DE4">
            <w:pPr>
              <w:widowControl w:val="0"/>
              <w:pBdr>
                <w:top w:val="nil"/>
                <w:left w:val="nil"/>
                <w:bottom w:val="nil"/>
                <w:right w:val="nil"/>
                <w:between w:val="nil"/>
              </w:pBdr>
              <w:jc w:val="right"/>
              <w:rPr>
                <w:color w:val="000000"/>
              </w:rPr>
            </w:pPr>
          </w:p>
        </w:tc>
      </w:tr>
      <w:tr w:rsidR="008E5DE4" w14:paraId="51C0D749" w14:textId="77777777">
        <w:trPr>
          <w:cantSplit/>
          <w:trHeight w:val="80"/>
        </w:trPr>
        <w:tc>
          <w:tcPr>
            <w:tcW w:w="3061" w:type="dxa"/>
            <w:tcBorders>
              <w:bottom w:val="single" w:sz="4" w:space="0" w:color="000000"/>
            </w:tcBorders>
            <w:vAlign w:val="bottom"/>
          </w:tcPr>
          <w:p w14:paraId="5C904029"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24FA4E05"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18FE99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900FC2D"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35D73EA3"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D8AC97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05F69F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771081E"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66512337" w14:textId="77777777" w:rsidR="008E5DE4" w:rsidRDefault="008E5DE4">
            <w:pPr>
              <w:widowControl w:val="0"/>
              <w:pBdr>
                <w:top w:val="nil"/>
                <w:left w:val="nil"/>
                <w:bottom w:val="nil"/>
                <w:right w:val="nil"/>
                <w:between w:val="nil"/>
              </w:pBdr>
              <w:jc w:val="right"/>
              <w:rPr>
                <w:color w:val="000000"/>
              </w:rPr>
            </w:pPr>
          </w:p>
        </w:tc>
      </w:tr>
      <w:tr w:rsidR="008E5DE4" w14:paraId="3297D8AA" w14:textId="77777777">
        <w:trPr>
          <w:cantSplit/>
          <w:trHeight w:val="153"/>
        </w:trPr>
        <w:tc>
          <w:tcPr>
            <w:tcW w:w="3061" w:type="dxa"/>
            <w:tcBorders>
              <w:top w:val="single" w:sz="4" w:space="0" w:color="000000"/>
            </w:tcBorders>
            <w:vAlign w:val="bottom"/>
          </w:tcPr>
          <w:p w14:paraId="6E0FF158"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74AAB766"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544ABCC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23876A8"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5B2CE17F"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63D3B68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C0D45E2"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43ED2D5"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692B0626" w14:textId="77777777" w:rsidR="008E5DE4" w:rsidRDefault="008E5DE4">
            <w:pPr>
              <w:widowControl w:val="0"/>
              <w:pBdr>
                <w:top w:val="nil"/>
                <w:left w:val="nil"/>
                <w:bottom w:val="nil"/>
                <w:right w:val="nil"/>
                <w:between w:val="nil"/>
              </w:pBdr>
              <w:jc w:val="right"/>
              <w:rPr>
                <w:color w:val="000000"/>
              </w:rPr>
            </w:pPr>
          </w:p>
        </w:tc>
      </w:tr>
      <w:tr w:rsidR="008E5DE4" w14:paraId="12B558B4" w14:textId="77777777">
        <w:trPr>
          <w:cantSplit/>
          <w:trHeight w:val="692"/>
        </w:trPr>
        <w:tc>
          <w:tcPr>
            <w:tcW w:w="3061" w:type="dxa"/>
            <w:vAlign w:val="bottom"/>
          </w:tcPr>
          <w:p w14:paraId="065FCB14"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23FE5F29"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709577C4"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1208C2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8AE321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DC4D92C"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63CC62F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2FEADB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F5A766E"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C7E41F5" w14:textId="77777777" w:rsidR="008E5DE4" w:rsidRDefault="008E5DE4">
            <w:pPr>
              <w:widowControl w:val="0"/>
              <w:pBdr>
                <w:top w:val="nil"/>
                <w:left w:val="nil"/>
                <w:bottom w:val="nil"/>
                <w:right w:val="nil"/>
                <w:between w:val="nil"/>
              </w:pBdr>
              <w:jc w:val="right"/>
              <w:rPr>
                <w:color w:val="000000"/>
                <w:highlight w:val="green"/>
              </w:rPr>
            </w:pPr>
          </w:p>
        </w:tc>
      </w:tr>
      <w:tr w:rsidR="008E5DE4" w14:paraId="4C944D50" w14:textId="77777777">
        <w:trPr>
          <w:cantSplit/>
          <w:trHeight w:val="169"/>
        </w:trPr>
        <w:tc>
          <w:tcPr>
            <w:tcW w:w="3061" w:type="dxa"/>
            <w:vAlign w:val="bottom"/>
          </w:tcPr>
          <w:p w14:paraId="5218BF3E"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1A6D7CC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5597EB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55E2B5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8B05BD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70BF9D9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20DB84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363FA9F"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D929CC1" w14:textId="77777777" w:rsidR="008E5DE4" w:rsidRDefault="008E5DE4">
            <w:pPr>
              <w:widowControl w:val="0"/>
              <w:pBdr>
                <w:top w:val="nil"/>
                <w:left w:val="nil"/>
                <w:bottom w:val="nil"/>
                <w:right w:val="nil"/>
                <w:between w:val="nil"/>
              </w:pBdr>
              <w:jc w:val="right"/>
              <w:rPr>
                <w:color w:val="000000"/>
                <w:highlight w:val="green"/>
              </w:rPr>
            </w:pPr>
          </w:p>
        </w:tc>
      </w:tr>
      <w:tr w:rsidR="008E5DE4" w14:paraId="617B9FFC" w14:textId="77777777">
        <w:trPr>
          <w:cantSplit/>
          <w:trHeight w:val="169"/>
        </w:trPr>
        <w:tc>
          <w:tcPr>
            <w:tcW w:w="3061" w:type="dxa"/>
            <w:vAlign w:val="bottom"/>
          </w:tcPr>
          <w:p w14:paraId="7066CE8D"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330EE4EB"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D70E23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EA31F7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2FAD6A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C095D8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E56830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7ED5BBC"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7E54457" w14:textId="77777777" w:rsidR="008E5DE4" w:rsidRDefault="008E5DE4">
            <w:pPr>
              <w:widowControl w:val="0"/>
              <w:pBdr>
                <w:top w:val="nil"/>
                <w:left w:val="nil"/>
                <w:bottom w:val="nil"/>
                <w:right w:val="nil"/>
                <w:between w:val="nil"/>
              </w:pBdr>
              <w:jc w:val="right"/>
              <w:rPr>
                <w:color w:val="000000"/>
                <w:highlight w:val="green"/>
              </w:rPr>
            </w:pPr>
          </w:p>
        </w:tc>
      </w:tr>
      <w:tr w:rsidR="008E5DE4" w14:paraId="4CCBA4EA" w14:textId="77777777">
        <w:trPr>
          <w:cantSplit/>
          <w:trHeight w:val="337"/>
        </w:trPr>
        <w:tc>
          <w:tcPr>
            <w:tcW w:w="3061" w:type="dxa"/>
            <w:vAlign w:val="bottom"/>
          </w:tcPr>
          <w:p w14:paraId="5EB57357"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7216C6E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ED9F7F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B09B8F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F0A6CB1"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DF8B7A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9A9D37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32146C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EA43681" w14:textId="77777777" w:rsidR="008E5DE4" w:rsidRDefault="008E5DE4">
            <w:pPr>
              <w:widowControl w:val="0"/>
              <w:pBdr>
                <w:top w:val="nil"/>
                <w:left w:val="nil"/>
                <w:bottom w:val="nil"/>
                <w:right w:val="nil"/>
                <w:between w:val="nil"/>
              </w:pBdr>
              <w:jc w:val="right"/>
              <w:rPr>
                <w:color w:val="000000"/>
              </w:rPr>
            </w:pPr>
          </w:p>
        </w:tc>
      </w:tr>
      <w:tr w:rsidR="008E5DE4" w14:paraId="36E77E68" w14:textId="77777777">
        <w:trPr>
          <w:cantSplit/>
          <w:trHeight w:val="231"/>
        </w:trPr>
        <w:tc>
          <w:tcPr>
            <w:tcW w:w="3061" w:type="dxa"/>
            <w:vAlign w:val="bottom"/>
          </w:tcPr>
          <w:p w14:paraId="3B828BBC"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1A37864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F267F7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2F420B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A97E053"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F85B3C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74FD60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CD1BAF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4FF0820" w14:textId="77777777" w:rsidR="008E5DE4" w:rsidRDefault="008E5DE4">
            <w:pPr>
              <w:widowControl w:val="0"/>
              <w:pBdr>
                <w:top w:val="nil"/>
                <w:left w:val="nil"/>
                <w:bottom w:val="nil"/>
                <w:right w:val="nil"/>
                <w:between w:val="nil"/>
              </w:pBdr>
              <w:jc w:val="right"/>
              <w:rPr>
                <w:color w:val="000000"/>
              </w:rPr>
            </w:pPr>
          </w:p>
        </w:tc>
      </w:tr>
      <w:tr w:rsidR="008E5DE4" w14:paraId="7BDC3AC7" w14:textId="77777777">
        <w:trPr>
          <w:cantSplit/>
          <w:trHeight w:val="169"/>
        </w:trPr>
        <w:tc>
          <w:tcPr>
            <w:tcW w:w="3061" w:type="dxa"/>
            <w:tcBorders>
              <w:bottom w:val="single" w:sz="4" w:space="0" w:color="000000"/>
            </w:tcBorders>
            <w:vAlign w:val="bottom"/>
          </w:tcPr>
          <w:p w14:paraId="69E919E5"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2E935649"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6561FE2B"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B6094AE"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4334C7FA"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5AE8A9E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ACA9B7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9BC20CB"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0142D46E" w14:textId="77777777" w:rsidR="008E5DE4" w:rsidRDefault="008E5DE4">
            <w:pPr>
              <w:widowControl w:val="0"/>
              <w:pBdr>
                <w:top w:val="nil"/>
                <w:left w:val="nil"/>
                <w:bottom w:val="nil"/>
                <w:right w:val="nil"/>
                <w:between w:val="nil"/>
              </w:pBdr>
              <w:jc w:val="right"/>
              <w:rPr>
                <w:color w:val="000000"/>
              </w:rPr>
            </w:pPr>
          </w:p>
        </w:tc>
      </w:tr>
      <w:tr w:rsidR="008E5DE4" w14:paraId="72D20363" w14:textId="77777777">
        <w:trPr>
          <w:cantSplit/>
          <w:trHeight w:val="169"/>
        </w:trPr>
        <w:tc>
          <w:tcPr>
            <w:tcW w:w="3061" w:type="dxa"/>
            <w:tcBorders>
              <w:top w:val="single" w:sz="4" w:space="0" w:color="000000"/>
            </w:tcBorders>
            <w:vAlign w:val="bottom"/>
          </w:tcPr>
          <w:p w14:paraId="4AC7D4B0"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6F3734A2"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3EB1CB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DBA8275"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572BAFC0"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42022C2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86467A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EE92DD5"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2903F1E" w14:textId="77777777" w:rsidR="008E5DE4" w:rsidRDefault="008E5DE4">
            <w:pPr>
              <w:widowControl w:val="0"/>
              <w:pBdr>
                <w:top w:val="nil"/>
                <w:left w:val="nil"/>
                <w:bottom w:val="nil"/>
                <w:right w:val="nil"/>
                <w:between w:val="nil"/>
              </w:pBdr>
              <w:jc w:val="right"/>
              <w:rPr>
                <w:color w:val="000000"/>
              </w:rPr>
            </w:pPr>
          </w:p>
        </w:tc>
      </w:tr>
      <w:tr w:rsidR="008E5DE4" w14:paraId="0AC8E478" w14:textId="77777777">
        <w:trPr>
          <w:cantSplit/>
          <w:trHeight w:val="169"/>
        </w:trPr>
        <w:tc>
          <w:tcPr>
            <w:tcW w:w="3061" w:type="dxa"/>
            <w:vAlign w:val="bottom"/>
          </w:tcPr>
          <w:p w14:paraId="7DD8F495" w14:textId="5FFBC0F6"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072C069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F04CE0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661BFB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F046DA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7F0676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CBBC74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AD938C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A64DEEB" w14:textId="77777777" w:rsidR="008E5DE4" w:rsidRDefault="008E5DE4">
            <w:pPr>
              <w:widowControl w:val="0"/>
              <w:pBdr>
                <w:top w:val="nil"/>
                <w:left w:val="nil"/>
                <w:bottom w:val="nil"/>
                <w:right w:val="nil"/>
                <w:between w:val="nil"/>
              </w:pBdr>
              <w:jc w:val="right"/>
              <w:rPr>
                <w:color w:val="000000"/>
              </w:rPr>
            </w:pPr>
          </w:p>
        </w:tc>
      </w:tr>
      <w:tr w:rsidR="008E5DE4" w14:paraId="51F0952C" w14:textId="77777777">
        <w:trPr>
          <w:cantSplit/>
          <w:trHeight w:val="169"/>
        </w:trPr>
        <w:tc>
          <w:tcPr>
            <w:tcW w:w="3061" w:type="dxa"/>
            <w:tcBorders>
              <w:bottom w:val="single" w:sz="12" w:space="0" w:color="000000"/>
            </w:tcBorders>
            <w:vAlign w:val="bottom"/>
          </w:tcPr>
          <w:p w14:paraId="57F19640"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6A1DFA1A"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1B10A40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68710EDC"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5453ECDB"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32B26CB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02019C8C"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12DF6833"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1FAD2EFE" w14:textId="77777777" w:rsidR="008E5DE4" w:rsidRDefault="008E5DE4">
            <w:pPr>
              <w:widowControl w:val="0"/>
              <w:pBdr>
                <w:top w:val="nil"/>
                <w:left w:val="nil"/>
                <w:bottom w:val="nil"/>
                <w:right w:val="nil"/>
                <w:between w:val="nil"/>
              </w:pBdr>
              <w:jc w:val="right"/>
              <w:rPr>
                <w:color w:val="000000"/>
              </w:rPr>
            </w:pPr>
          </w:p>
        </w:tc>
      </w:tr>
    </w:tbl>
    <w:p w14:paraId="15979D17" w14:textId="77777777" w:rsidR="008E5DE4" w:rsidRDefault="008E5DE4">
      <w:pPr>
        <w:widowControl w:val="0"/>
        <w:pBdr>
          <w:top w:val="nil"/>
          <w:left w:val="nil"/>
          <w:bottom w:val="nil"/>
          <w:right w:val="nil"/>
          <w:between w:val="nil"/>
        </w:pBdr>
        <w:spacing w:before="200" w:after="200"/>
        <w:jc w:val="both"/>
        <w:rPr>
          <w:color w:val="000000"/>
        </w:rPr>
      </w:pPr>
    </w:p>
    <w:p w14:paraId="7472489B" w14:textId="77777777" w:rsidR="008E5DE4" w:rsidRDefault="008E5DE4">
      <w:pPr>
        <w:widowControl w:val="0"/>
        <w:pBdr>
          <w:top w:val="nil"/>
          <w:left w:val="nil"/>
          <w:bottom w:val="nil"/>
          <w:right w:val="nil"/>
          <w:between w:val="nil"/>
        </w:pBdr>
        <w:spacing w:before="200" w:after="200"/>
        <w:jc w:val="both"/>
        <w:rPr>
          <w:color w:val="000000"/>
        </w:rPr>
      </w:pPr>
    </w:p>
    <w:p w14:paraId="5F584690" w14:textId="77777777" w:rsidR="008E5DE4" w:rsidRDefault="008E5DE4">
      <w:pPr>
        <w:widowControl w:val="0"/>
        <w:pBdr>
          <w:top w:val="nil"/>
          <w:left w:val="nil"/>
          <w:bottom w:val="nil"/>
          <w:right w:val="nil"/>
          <w:between w:val="nil"/>
        </w:pBdr>
        <w:spacing w:before="200" w:after="200"/>
        <w:jc w:val="both"/>
        <w:rPr>
          <w:color w:val="000000"/>
        </w:rPr>
      </w:pPr>
    </w:p>
    <w:p w14:paraId="5897DDA6" w14:textId="77777777" w:rsidR="008E5DE4" w:rsidRDefault="008E5DE4">
      <w:pPr>
        <w:widowControl w:val="0"/>
        <w:pBdr>
          <w:top w:val="nil"/>
          <w:left w:val="nil"/>
          <w:bottom w:val="nil"/>
          <w:right w:val="nil"/>
          <w:between w:val="nil"/>
        </w:pBdr>
        <w:spacing w:before="200" w:after="200"/>
        <w:jc w:val="both"/>
        <w:rPr>
          <w:color w:val="000000"/>
        </w:rPr>
      </w:pPr>
    </w:p>
    <w:p w14:paraId="551F1341"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2432784F" w14:textId="57253903"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corporate bonds carried at AC in </w:t>
      </w:r>
      <w:r w:rsidR="008614F8">
        <w:rPr>
          <w:color w:val="000000"/>
          <w:sz w:val="20"/>
          <w:szCs w:val="20"/>
        </w:rPr>
        <w:t>2025</w:t>
      </w:r>
      <w:r>
        <w:rPr>
          <w:color w:val="000000"/>
          <w:sz w:val="20"/>
          <w:szCs w:val="20"/>
        </w:rPr>
        <w:t xml:space="preserve"> were as follows.</w:t>
      </w:r>
    </w:p>
    <w:tbl>
      <w:tblPr>
        <w:tblStyle w:val="affffffff"/>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47693B25" w14:textId="77777777">
        <w:trPr>
          <w:cantSplit/>
          <w:trHeight w:val="169"/>
          <w:tblHeader/>
        </w:trPr>
        <w:tc>
          <w:tcPr>
            <w:tcW w:w="3061" w:type="dxa"/>
            <w:vAlign w:val="bottom"/>
          </w:tcPr>
          <w:p w14:paraId="3F3E446B"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52D38EEB"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191EA33E"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57B2FEB0" w14:textId="77777777">
        <w:trPr>
          <w:cantSplit/>
          <w:trHeight w:val="507"/>
          <w:tblHeader/>
        </w:trPr>
        <w:tc>
          <w:tcPr>
            <w:tcW w:w="3061" w:type="dxa"/>
            <w:tcBorders>
              <w:bottom w:val="single" w:sz="4" w:space="0" w:color="000000"/>
            </w:tcBorders>
            <w:vAlign w:val="bottom"/>
          </w:tcPr>
          <w:p w14:paraId="2B0EC812" w14:textId="77777777" w:rsidR="008E5DE4" w:rsidRDefault="008E5DE4">
            <w:pPr>
              <w:widowControl w:val="0"/>
              <w:pBdr>
                <w:top w:val="nil"/>
                <w:left w:val="nil"/>
                <w:bottom w:val="nil"/>
                <w:right w:val="nil"/>
                <w:between w:val="nil"/>
              </w:pBdr>
              <w:ind w:left="113" w:right="-57" w:hanging="113"/>
              <w:rPr>
                <w:i/>
                <w:color w:val="000000"/>
              </w:rPr>
            </w:pPr>
          </w:p>
          <w:p w14:paraId="711E14E8"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2A14F53B"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0110901C"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73753412"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725B95B1"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3E8A961F"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65ADEF9D"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5CCE3765"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6E3003F7"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4315189C"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1B5DF882"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7F1352E9"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2360C3FC"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524B6074"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30C02E0A"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6F487175" w14:textId="77777777">
        <w:trPr>
          <w:cantSplit/>
          <w:trHeight w:val="169"/>
          <w:tblHeader/>
        </w:trPr>
        <w:tc>
          <w:tcPr>
            <w:tcW w:w="3061" w:type="dxa"/>
            <w:vAlign w:val="bottom"/>
          </w:tcPr>
          <w:p w14:paraId="08E1839A" w14:textId="77777777" w:rsidR="008E5DE4" w:rsidRDefault="008E5DE4">
            <w:pPr>
              <w:widowControl w:val="0"/>
              <w:ind w:left="113" w:right="-57" w:hanging="113"/>
            </w:pPr>
          </w:p>
        </w:tc>
        <w:tc>
          <w:tcPr>
            <w:tcW w:w="851" w:type="dxa"/>
            <w:vAlign w:val="bottom"/>
          </w:tcPr>
          <w:p w14:paraId="4E82605E"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7AB7E38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BA12CD3"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141990E" w14:textId="77777777" w:rsidR="008E5DE4" w:rsidRDefault="008E5DE4">
            <w:pPr>
              <w:widowControl w:val="0"/>
              <w:pBdr>
                <w:top w:val="nil"/>
                <w:left w:val="nil"/>
                <w:bottom w:val="nil"/>
                <w:right w:val="nil"/>
                <w:between w:val="nil"/>
              </w:pBdr>
              <w:jc w:val="right"/>
              <w:rPr>
                <w:color w:val="000000"/>
              </w:rPr>
            </w:pPr>
          </w:p>
        </w:tc>
        <w:tc>
          <w:tcPr>
            <w:tcW w:w="871" w:type="dxa"/>
          </w:tcPr>
          <w:p w14:paraId="7C999868" w14:textId="77777777" w:rsidR="008E5DE4" w:rsidRDefault="008E5DE4">
            <w:pPr>
              <w:widowControl w:val="0"/>
              <w:pBdr>
                <w:top w:val="nil"/>
                <w:left w:val="nil"/>
                <w:bottom w:val="nil"/>
                <w:right w:val="nil"/>
                <w:between w:val="nil"/>
              </w:pBdr>
              <w:jc w:val="right"/>
              <w:rPr>
                <w:color w:val="000000"/>
              </w:rPr>
            </w:pPr>
          </w:p>
        </w:tc>
        <w:tc>
          <w:tcPr>
            <w:tcW w:w="856" w:type="dxa"/>
          </w:tcPr>
          <w:p w14:paraId="2B78C465" w14:textId="77777777" w:rsidR="008E5DE4" w:rsidRDefault="008E5DE4">
            <w:pPr>
              <w:widowControl w:val="0"/>
              <w:pBdr>
                <w:top w:val="nil"/>
                <w:left w:val="nil"/>
                <w:bottom w:val="nil"/>
                <w:right w:val="nil"/>
                <w:between w:val="nil"/>
              </w:pBdr>
              <w:jc w:val="right"/>
              <w:rPr>
                <w:color w:val="000000"/>
              </w:rPr>
            </w:pPr>
          </w:p>
        </w:tc>
        <w:tc>
          <w:tcPr>
            <w:tcW w:w="856" w:type="dxa"/>
          </w:tcPr>
          <w:p w14:paraId="53131ED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F93419A" w14:textId="77777777" w:rsidR="008E5DE4" w:rsidRDefault="008E5DE4">
            <w:pPr>
              <w:widowControl w:val="0"/>
              <w:pBdr>
                <w:top w:val="nil"/>
                <w:left w:val="nil"/>
                <w:bottom w:val="nil"/>
                <w:right w:val="nil"/>
                <w:between w:val="nil"/>
              </w:pBdr>
              <w:jc w:val="right"/>
              <w:rPr>
                <w:color w:val="000000"/>
              </w:rPr>
            </w:pPr>
          </w:p>
        </w:tc>
      </w:tr>
      <w:tr w:rsidR="008E5DE4" w14:paraId="34F9CE68" w14:textId="77777777">
        <w:trPr>
          <w:cantSplit/>
          <w:trHeight w:val="169"/>
        </w:trPr>
        <w:tc>
          <w:tcPr>
            <w:tcW w:w="3061" w:type="dxa"/>
            <w:vAlign w:val="bottom"/>
          </w:tcPr>
          <w:p w14:paraId="49357E67"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Corporate bonds</w:t>
            </w:r>
          </w:p>
        </w:tc>
        <w:tc>
          <w:tcPr>
            <w:tcW w:w="851" w:type="dxa"/>
            <w:vAlign w:val="bottom"/>
          </w:tcPr>
          <w:p w14:paraId="243F1AA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3EE14F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FA8211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009B6B5" w14:textId="77777777" w:rsidR="008E5DE4" w:rsidRDefault="008E5DE4">
            <w:pPr>
              <w:widowControl w:val="0"/>
              <w:pBdr>
                <w:top w:val="nil"/>
                <w:left w:val="nil"/>
                <w:bottom w:val="nil"/>
                <w:right w:val="nil"/>
                <w:between w:val="nil"/>
              </w:pBdr>
              <w:jc w:val="right"/>
              <w:rPr>
                <w:color w:val="000000"/>
              </w:rPr>
            </w:pPr>
          </w:p>
        </w:tc>
        <w:tc>
          <w:tcPr>
            <w:tcW w:w="871" w:type="dxa"/>
          </w:tcPr>
          <w:p w14:paraId="3FB331AB" w14:textId="77777777" w:rsidR="008E5DE4" w:rsidRDefault="008E5DE4">
            <w:pPr>
              <w:widowControl w:val="0"/>
              <w:pBdr>
                <w:top w:val="nil"/>
                <w:left w:val="nil"/>
                <w:bottom w:val="nil"/>
                <w:right w:val="nil"/>
                <w:between w:val="nil"/>
              </w:pBdr>
              <w:jc w:val="right"/>
              <w:rPr>
                <w:color w:val="000000"/>
              </w:rPr>
            </w:pPr>
          </w:p>
        </w:tc>
        <w:tc>
          <w:tcPr>
            <w:tcW w:w="856" w:type="dxa"/>
          </w:tcPr>
          <w:p w14:paraId="588546F5" w14:textId="77777777" w:rsidR="008E5DE4" w:rsidRDefault="008E5DE4">
            <w:pPr>
              <w:widowControl w:val="0"/>
              <w:pBdr>
                <w:top w:val="nil"/>
                <w:left w:val="nil"/>
                <w:bottom w:val="nil"/>
                <w:right w:val="nil"/>
                <w:between w:val="nil"/>
              </w:pBdr>
              <w:jc w:val="right"/>
              <w:rPr>
                <w:color w:val="000000"/>
              </w:rPr>
            </w:pPr>
          </w:p>
        </w:tc>
        <w:tc>
          <w:tcPr>
            <w:tcW w:w="856" w:type="dxa"/>
          </w:tcPr>
          <w:p w14:paraId="0C001D0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B66E205" w14:textId="77777777" w:rsidR="008E5DE4" w:rsidRDefault="008E5DE4">
            <w:pPr>
              <w:widowControl w:val="0"/>
              <w:pBdr>
                <w:top w:val="nil"/>
                <w:left w:val="nil"/>
                <w:bottom w:val="nil"/>
                <w:right w:val="nil"/>
                <w:between w:val="nil"/>
              </w:pBdr>
              <w:jc w:val="right"/>
              <w:rPr>
                <w:color w:val="000000"/>
              </w:rPr>
            </w:pPr>
          </w:p>
        </w:tc>
      </w:tr>
      <w:tr w:rsidR="008E5DE4" w14:paraId="19B272B5" w14:textId="77777777">
        <w:trPr>
          <w:cantSplit/>
          <w:trHeight w:val="169"/>
        </w:trPr>
        <w:tc>
          <w:tcPr>
            <w:tcW w:w="3061" w:type="dxa"/>
            <w:vAlign w:val="bottom"/>
          </w:tcPr>
          <w:p w14:paraId="6E703788"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620F4EB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04CD66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ECAA95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FCEC8EB" w14:textId="77777777" w:rsidR="008E5DE4" w:rsidRDefault="008E5DE4">
            <w:pPr>
              <w:widowControl w:val="0"/>
              <w:pBdr>
                <w:top w:val="nil"/>
                <w:left w:val="nil"/>
                <w:bottom w:val="nil"/>
                <w:right w:val="nil"/>
                <w:between w:val="nil"/>
              </w:pBdr>
              <w:jc w:val="right"/>
              <w:rPr>
                <w:color w:val="000000"/>
              </w:rPr>
            </w:pPr>
          </w:p>
        </w:tc>
        <w:tc>
          <w:tcPr>
            <w:tcW w:w="871" w:type="dxa"/>
          </w:tcPr>
          <w:p w14:paraId="1AFEB996" w14:textId="77777777" w:rsidR="008E5DE4" w:rsidRDefault="008E5DE4">
            <w:pPr>
              <w:widowControl w:val="0"/>
              <w:pBdr>
                <w:top w:val="nil"/>
                <w:left w:val="nil"/>
                <w:bottom w:val="nil"/>
                <w:right w:val="nil"/>
                <w:between w:val="nil"/>
              </w:pBdr>
              <w:jc w:val="right"/>
              <w:rPr>
                <w:color w:val="000000"/>
              </w:rPr>
            </w:pPr>
          </w:p>
        </w:tc>
        <w:tc>
          <w:tcPr>
            <w:tcW w:w="856" w:type="dxa"/>
          </w:tcPr>
          <w:p w14:paraId="39227DA5" w14:textId="77777777" w:rsidR="008E5DE4" w:rsidRDefault="008E5DE4">
            <w:pPr>
              <w:widowControl w:val="0"/>
              <w:pBdr>
                <w:top w:val="nil"/>
                <w:left w:val="nil"/>
                <w:bottom w:val="nil"/>
                <w:right w:val="nil"/>
                <w:between w:val="nil"/>
              </w:pBdr>
              <w:jc w:val="right"/>
              <w:rPr>
                <w:color w:val="000000"/>
              </w:rPr>
            </w:pPr>
          </w:p>
        </w:tc>
        <w:tc>
          <w:tcPr>
            <w:tcW w:w="856" w:type="dxa"/>
          </w:tcPr>
          <w:p w14:paraId="7B3AE7B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DD89AAC" w14:textId="77777777" w:rsidR="008E5DE4" w:rsidRDefault="008E5DE4">
            <w:pPr>
              <w:widowControl w:val="0"/>
              <w:pBdr>
                <w:top w:val="nil"/>
                <w:left w:val="nil"/>
                <w:bottom w:val="nil"/>
                <w:right w:val="nil"/>
                <w:between w:val="nil"/>
              </w:pBdr>
              <w:jc w:val="right"/>
              <w:rPr>
                <w:color w:val="000000"/>
              </w:rPr>
            </w:pPr>
          </w:p>
        </w:tc>
      </w:tr>
      <w:tr w:rsidR="008E5DE4" w14:paraId="4A790C36" w14:textId="77777777">
        <w:trPr>
          <w:cantSplit/>
          <w:trHeight w:val="169"/>
        </w:trPr>
        <w:tc>
          <w:tcPr>
            <w:tcW w:w="3061" w:type="dxa"/>
            <w:vAlign w:val="bottom"/>
          </w:tcPr>
          <w:p w14:paraId="6DE74266" w14:textId="5611DF57"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5BEB292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797B9B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2BD039D"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8407F37" w14:textId="77777777" w:rsidR="008E5DE4" w:rsidRDefault="008E5DE4">
            <w:pPr>
              <w:widowControl w:val="0"/>
              <w:pBdr>
                <w:top w:val="nil"/>
                <w:left w:val="nil"/>
                <w:bottom w:val="nil"/>
                <w:right w:val="nil"/>
                <w:between w:val="nil"/>
              </w:pBdr>
              <w:jc w:val="right"/>
              <w:rPr>
                <w:color w:val="000000"/>
              </w:rPr>
            </w:pPr>
          </w:p>
        </w:tc>
        <w:tc>
          <w:tcPr>
            <w:tcW w:w="871" w:type="dxa"/>
          </w:tcPr>
          <w:p w14:paraId="0D5D5160" w14:textId="77777777" w:rsidR="008E5DE4" w:rsidRDefault="008E5DE4">
            <w:pPr>
              <w:widowControl w:val="0"/>
              <w:pBdr>
                <w:top w:val="nil"/>
                <w:left w:val="nil"/>
                <w:bottom w:val="nil"/>
                <w:right w:val="nil"/>
                <w:between w:val="nil"/>
              </w:pBdr>
              <w:jc w:val="right"/>
              <w:rPr>
                <w:color w:val="000000"/>
              </w:rPr>
            </w:pPr>
          </w:p>
        </w:tc>
        <w:tc>
          <w:tcPr>
            <w:tcW w:w="856" w:type="dxa"/>
          </w:tcPr>
          <w:p w14:paraId="50079508" w14:textId="77777777" w:rsidR="008E5DE4" w:rsidRDefault="008E5DE4">
            <w:pPr>
              <w:widowControl w:val="0"/>
              <w:pBdr>
                <w:top w:val="nil"/>
                <w:left w:val="nil"/>
                <w:bottom w:val="nil"/>
                <w:right w:val="nil"/>
                <w:between w:val="nil"/>
              </w:pBdr>
              <w:jc w:val="right"/>
              <w:rPr>
                <w:color w:val="000000"/>
              </w:rPr>
            </w:pPr>
          </w:p>
        </w:tc>
        <w:tc>
          <w:tcPr>
            <w:tcW w:w="856" w:type="dxa"/>
          </w:tcPr>
          <w:p w14:paraId="4DED46D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2C3BEBD" w14:textId="77777777" w:rsidR="008E5DE4" w:rsidRDefault="008E5DE4">
            <w:pPr>
              <w:widowControl w:val="0"/>
              <w:pBdr>
                <w:top w:val="nil"/>
                <w:left w:val="nil"/>
                <w:bottom w:val="nil"/>
                <w:right w:val="nil"/>
                <w:between w:val="nil"/>
              </w:pBdr>
              <w:jc w:val="right"/>
              <w:rPr>
                <w:color w:val="000000"/>
              </w:rPr>
            </w:pPr>
          </w:p>
        </w:tc>
      </w:tr>
      <w:tr w:rsidR="008E5DE4" w14:paraId="709DDF00" w14:textId="77777777">
        <w:trPr>
          <w:cantSplit/>
          <w:trHeight w:val="676"/>
        </w:trPr>
        <w:tc>
          <w:tcPr>
            <w:tcW w:w="3061" w:type="dxa"/>
            <w:vAlign w:val="bottom"/>
          </w:tcPr>
          <w:p w14:paraId="20D64C42" w14:textId="77777777" w:rsidR="008E5DE4" w:rsidRDefault="008E5DE4">
            <w:pPr>
              <w:widowControl w:val="0"/>
              <w:pBdr>
                <w:top w:val="nil"/>
                <w:left w:val="nil"/>
                <w:bottom w:val="nil"/>
                <w:right w:val="nil"/>
                <w:between w:val="nil"/>
              </w:pBdr>
              <w:ind w:left="113" w:right="-57" w:hanging="113"/>
              <w:rPr>
                <w:b/>
                <w:color w:val="000000"/>
              </w:rPr>
            </w:pPr>
          </w:p>
          <w:p w14:paraId="5838553E"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042B207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58A23A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F86285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8C567D1" w14:textId="77777777" w:rsidR="008E5DE4" w:rsidRDefault="008E5DE4">
            <w:pPr>
              <w:widowControl w:val="0"/>
              <w:pBdr>
                <w:top w:val="nil"/>
                <w:left w:val="nil"/>
                <w:bottom w:val="nil"/>
                <w:right w:val="nil"/>
                <w:between w:val="nil"/>
              </w:pBdr>
              <w:jc w:val="right"/>
              <w:rPr>
                <w:color w:val="000000"/>
              </w:rPr>
            </w:pPr>
          </w:p>
        </w:tc>
        <w:tc>
          <w:tcPr>
            <w:tcW w:w="871" w:type="dxa"/>
          </w:tcPr>
          <w:p w14:paraId="482CA633"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73F0D44E" w14:textId="77777777" w:rsidR="008E5DE4" w:rsidRDefault="008E5DE4">
            <w:pPr>
              <w:widowControl w:val="0"/>
              <w:pBdr>
                <w:top w:val="nil"/>
                <w:left w:val="nil"/>
                <w:bottom w:val="nil"/>
                <w:right w:val="nil"/>
                <w:between w:val="nil"/>
              </w:pBdr>
              <w:jc w:val="right"/>
              <w:rPr>
                <w:color w:val="000000"/>
              </w:rPr>
            </w:pPr>
          </w:p>
        </w:tc>
        <w:tc>
          <w:tcPr>
            <w:tcW w:w="856" w:type="dxa"/>
          </w:tcPr>
          <w:p w14:paraId="790DB61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E104117" w14:textId="77777777" w:rsidR="008E5DE4" w:rsidRDefault="008E5DE4">
            <w:pPr>
              <w:widowControl w:val="0"/>
              <w:pBdr>
                <w:top w:val="nil"/>
                <w:left w:val="nil"/>
                <w:bottom w:val="nil"/>
                <w:right w:val="nil"/>
                <w:between w:val="nil"/>
              </w:pBdr>
              <w:jc w:val="right"/>
              <w:rPr>
                <w:color w:val="000000"/>
              </w:rPr>
            </w:pPr>
          </w:p>
        </w:tc>
      </w:tr>
      <w:tr w:rsidR="008E5DE4" w14:paraId="4DF4961A" w14:textId="77777777">
        <w:trPr>
          <w:cantSplit/>
          <w:trHeight w:val="184"/>
        </w:trPr>
        <w:tc>
          <w:tcPr>
            <w:tcW w:w="3061" w:type="dxa"/>
            <w:vAlign w:val="bottom"/>
          </w:tcPr>
          <w:p w14:paraId="7381066C"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37E04E27"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322FDD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07017FC"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7550F50"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5395811"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3F43C2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BB44B94"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EC45B6E" w14:textId="77777777" w:rsidR="008E5DE4" w:rsidRDefault="008E5DE4">
            <w:pPr>
              <w:widowControl w:val="0"/>
              <w:pBdr>
                <w:top w:val="nil"/>
                <w:left w:val="nil"/>
                <w:bottom w:val="nil"/>
                <w:right w:val="nil"/>
                <w:between w:val="nil"/>
              </w:pBdr>
              <w:jc w:val="right"/>
              <w:rPr>
                <w:color w:val="000000"/>
                <w:highlight w:val="green"/>
              </w:rPr>
            </w:pPr>
          </w:p>
        </w:tc>
      </w:tr>
      <w:tr w:rsidR="008E5DE4" w14:paraId="1C1DCC83" w14:textId="77777777">
        <w:trPr>
          <w:cantSplit/>
          <w:trHeight w:val="184"/>
        </w:trPr>
        <w:tc>
          <w:tcPr>
            <w:tcW w:w="3061" w:type="dxa"/>
            <w:vAlign w:val="bottom"/>
          </w:tcPr>
          <w:p w14:paraId="3B2F4920"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201516C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416EAE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E3EF61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072A299"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8D498CE"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EF6ECC7"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1E6753E"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12CBB65" w14:textId="77777777" w:rsidR="008E5DE4" w:rsidRDefault="008E5DE4">
            <w:pPr>
              <w:widowControl w:val="0"/>
              <w:pBdr>
                <w:top w:val="nil"/>
                <w:left w:val="nil"/>
                <w:bottom w:val="nil"/>
                <w:right w:val="nil"/>
                <w:between w:val="nil"/>
              </w:pBdr>
              <w:jc w:val="right"/>
              <w:rPr>
                <w:color w:val="000000"/>
                <w:highlight w:val="green"/>
              </w:rPr>
            </w:pPr>
          </w:p>
        </w:tc>
      </w:tr>
      <w:tr w:rsidR="008E5DE4" w14:paraId="2DE099BF" w14:textId="77777777">
        <w:trPr>
          <w:cantSplit/>
          <w:trHeight w:val="80"/>
        </w:trPr>
        <w:tc>
          <w:tcPr>
            <w:tcW w:w="3061" w:type="dxa"/>
            <w:vAlign w:val="bottom"/>
          </w:tcPr>
          <w:p w14:paraId="3E3B879F"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0CCEA3E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E73614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B6905F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716AEB8"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C39A873"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B003B4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2EF54EE"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29A2094" w14:textId="77777777" w:rsidR="008E5DE4" w:rsidRDefault="008E5DE4">
            <w:pPr>
              <w:widowControl w:val="0"/>
              <w:pBdr>
                <w:top w:val="nil"/>
                <w:left w:val="nil"/>
                <w:bottom w:val="nil"/>
                <w:right w:val="nil"/>
                <w:between w:val="nil"/>
              </w:pBdr>
              <w:jc w:val="right"/>
              <w:rPr>
                <w:color w:val="000000"/>
                <w:highlight w:val="green"/>
              </w:rPr>
            </w:pPr>
          </w:p>
        </w:tc>
      </w:tr>
      <w:tr w:rsidR="008E5DE4" w14:paraId="706DAFA4" w14:textId="77777777">
        <w:trPr>
          <w:cantSplit/>
          <w:trHeight w:val="80"/>
        </w:trPr>
        <w:tc>
          <w:tcPr>
            <w:tcW w:w="3061" w:type="dxa"/>
            <w:vAlign w:val="bottom"/>
          </w:tcPr>
          <w:p w14:paraId="1C76EEE9"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19B80ECE"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51CA41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6D0DDF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5E099CF"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47979E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345AB37"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2C64E33"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CB2BF9C" w14:textId="77777777" w:rsidR="008E5DE4" w:rsidRDefault="008E5DE4">
            <w:pPr>
              <w:widowControl w:val="0"/>
              <w:pBdr>
                <w:top w:val="nil"/>
                <w:left w:val="nil"/>
                <w:bottom w:val="nil"/>
                <w:right w:val="nil"/>
                <w:between w:val="nil"/>
              </w:pBdr>
              <w:jc w:val="right"/>
              <w:rPr>
                <w:color w:val="000000"/>
                <w:highlight w:val="green"/>
              </w:rPr>
            </w:pPr>
          </w:p>
        </w:tc>
      </w:tr>
      <w:tr w:rsidR="008E5DE4" w14:paraId="08E8C311" w14:textId="77777777">
        <w:trPr>
          <w:cantSplit/>
          <w:trHeight w:val="361"/>
        </w:trPr>
        <w:tc>
          <w:tcPr>
            <w:tcW w:w="3061" w:type="dxa"/>
            <w:vAlign w:val="bottom"/>
          </w:tcPr>
          <w:p w14:paraId="3AF81D0A"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5B7EE937"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EC5C1F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3AFED0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F256236"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83599D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B5BC058"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9EED7BE"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AD783D2" w14:textId="77777777" w:rsidR="008E5DE4" w:rsidRDefault="008E5DE4">
            <w:pPr>
              <w:widowControl w:val="0"/>
              <w:pBdr>
                <w:top w:val="nil"/>
                <w:left w:val="nil"/>
                <w:bottom w:val="nil"/>
                <w:right w:val="nil"/>
                <w:between w:val="nil"/>
              </w:pBdr>
              <w:jc w:val="right"/>
              <w:rPr>
                <w:color w:val="000000"/>
                <w:highlight w:val="green"/>
              </w:rPr>
            </w:pPr>
          </w:p>
        </w:tc>
      </w:tr>
      <w:tr w:rsidR="008E5DE4" w14:paraId="52289D40" w14:textId="77777777">
        <w:trPr>
          <w:cantSplit/>
          <w:trHeight w:val="169"/>
        </w:trPr>
        <w:tc>
          <w:tcPr>
            <w:tcW w:w="3061" w:type="dxa"/>
            <w:vAlign w:val="bottom"/>
          </w:tcPr>
          <w:p w14:paraId="64902A5B"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09B5D45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F9F6A3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1BB8A3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2B14015" w14:textId="77777777" w:rsidR="008E5DE4" w:rsidRDefault="008E5DE4">
            <w:pPr>
              <w:widowControl w:val="0"/>
              <w:pBdr>
                <w:top w:val="nil"/>
                <w:left w:val="nil"/>
                <w:bottom w:val="nil"/>
                <w:right w:val="nil"/>
                <w:between w:val="nil"/>
              </w:pBdr>
              <w:jc w:val="right"/>
              <w:rPr>
                <w:color w:val="000000"/>
              </w:rPr>
            </w:pPr>
          </w:p>
        </w:tc>
        <w:tc>
          <w:tcPr>
            <w:tcW w:w="871" w:type="dxa"/>
          </w:tcPr>
          <w:p w14:paraId="74F44E00" w14:textId="77777777" w:rsidR="008E5DE4" w:rsidRDefault="008E5DE4">
            <w:pPr>
              <w:widowControl w:val="0"/>
              <w:pBdr>
                <w:top w:val="nil"/>
                <w:left w:val="nil"/>
                <w:bottom w:val="nil"/>
                <w:right w:val="nil"/>
                <w:between w:val="nil"/>
              </w:pBdr>
              <w:jc w:val="right"/>
              <w:rPr>
                <w:color w:val="000000"/>
              </w:rPr>
            </w:pPr>
          </w:p>
        </w:tc>
        <w:tc>
          <w:tcPr>
            <w:tcW w:w="856" w:type="dxa"/>
          </w:tcPr>
          <w:p w14:paraId="5B61572D" w14:textId="77777777" w:rsidR="008E5DE4" w:rsidRDefault="008E5DE4">
            <w:pPr>
              <w:widowControl w:val="0"/>
              <w:pBdr>
                <w:top w:val="nil"/>
                <w:left w:val="nil"/>
                <w:bottom w:val="nil"/>
                <w:right w:val="nil"/>
                <w:between w:val="nil"/>
              </w:pBdr>
              <w:jc w:val="right"/>
              <w:rPr>
                <w:color w:val="000000"/>
              </w:rPr>
            </w:pPr>
          </w:p>
        </w:tc>
        <w:tc>
          <w:tcPr>
            <w:tcW w:w="856" w:type="dxa"/>
          </w:tcPr>
          <w:p w14:paraId="405A38E2"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0450047" w14:textId="77777777" w:rsidR="008E5DE4" w:rsidRDefault="008E5DE4">
            <w:pPr>
              <w:widowControl w:val="0"/>
              <w:pBdr>
                <w:top w:val="nil"/>
                <w:left w:val="nil"/>
                <w:bottom w:val="nil"/>
                <w:right w:val="nil"/>
                <w:between w:val="nil"/>
              </w:pBdr>
              <w:jc w:val="right"/>
              <w:rPr>
                <w:color w:val="000000"/>
              </w:rPr>
            </w:pPr>
          </w:p>
        </w:tc>
      </w:tr>
      <w:tr w:rsidR="008E5DE4" w14:paraId="4E63FDCC" w14:textId="77777777">
        <w:trPr>
          <w:cantSplit/>
          <w:trHeight w:val="232"/>
        </w:trPr>
        <w:tc>
          <w:tcPr>
            <w:tcW w:w="3061" w:type="dxa"/>
            <w:vAlign w:val="bottom"/>
          </w:tcPr>
          <w:p w14:paraId="7B258AF2"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6A5058E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770756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054F38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60FF063" w14:textId="77777777" w:rsidR="008E5DE4" w:rsidRDefault="008E5DE4">
            <w:pPr>
              <w:widowControl w:val="0"/>
              <w:pBdr>
                <w:top w:val="nil"/>
                <w:left w:val="nil"/>
                <w:bottom w:val="nil"/>
                <w:right w:val="nil"/>
                <w:between w:val="nil"/>
              </w:pBdr>
              <w:jc w:val="right"/>
              <w:rPr>
                <w:color w:val="000000"/>
              </w:rPr>
            </w:pPr>
          </w:p>
        </w:tc>
        <w:tc>
          <w:tcPr>
            <w:tcW w:w="871" w:type="dxa"/>
          </w:tcPr>
          <w:p w14:paraId="5C85FE73" w14:textId="77777777" w:rsidR="008E5DE4" w:rsidRDefault="008E5DE4">
            <w:pPr>
              <w:widowControl w:val="0"/>
              <w:pBdr>
                <w:top w:val="nil"/>
                <w:left w:val="nil"/>
                <w:bottom w:val="nil"/>
                <w:right w:val="nil"/>
                <w:between w:val="nil"/>
              </w:pBdr>
              <w:jc w:val="right"/>
              <w:rPr>
                <w:color w:val="000000"/>
              </w:rPr>
            </w:pPr>
          </w:p>
        </w:tc>
        <w:tc>
          <w:tcPr>
            <w:tcW w:w="856" w:type="dxa"/>
          </w:tcPr>
          <w:p w14:paraId="1B7F5E9E" w14:textId="77777777" w:rsidR="008E5DE4" w:rsidRDefault="008E5DE4">
            <w:pPr>
              <w:widowControl w:val="0"/>
              <w:pBdr>
                <w:top w:val="nil"/>
                <w:left w:val="nil"/>
                <w:bottom w:val="nil"/>
                <w:right w:val="nil"/>
                <w:between w:val="nil"/>
              </w:pBdr>
              <w:jc w:val="right"/>
              <w:rPr>
                <w:color w:val="000000"/>
              </w:rPr>
            </w:pPr>
          </w:p>
        </w:tc>
        <w:tc>
          <w:tcPr>
            <w:tcW w:w="856" w:type="dxa"/>
          </w:tcPr>
          <w:p w14:paraId="005D88E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F59AD8F" w14:textId="77777777" w:rsidR="008E5DE4" w:rsidRDefault="008E5DE4">
            <w:pPr>
              <w:widowControl w:val="0"/>
              <w:pBdr>
                <w:top w:val="nil"/>
                <w:left w:val="nil"/>
                <w:bottom w:val="nil"/>
                <w:right w:val="nil"/>
                <w:between w:val="nil"/>
              </w:pBdr>
              <w:jc w:val="right"/>
              <w:rPr>
                <w:color w:val="000000"/>
              </w:rPr>
            </w:pPr>
          </w:p>
        </w:tc>
      </w:tr>
      <w:tr w:rsidR="008E5DE4" w14:paraId="53583CFC" w14:textId="77777777">
        <w:trPr>
          <w:cantSplit/>
          <w:trHeight w:val="80"/>
        </w:trPr>
        <w:tc>
          <w:tcPr>
            <w:tcW w:w="3061" w:type="dxa"/>
            <w:vAlign w:val="bottom"/>
          </w:tcPr>
          <w:p w14:paraId="6D0C61D5"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0F1229B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6D6CC0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95D5EF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E10F555"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BA0A24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C7E8D4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DFED6FF"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48AFEA8" w14:textId="77777777" w:rsidR="008E5DE4" w:rsidRDefault="008E5DE4">
            <w:pPr>
              <w:widowControl w:val="0"/>
              <w:pBdr>
                <w:top w:val="nil"/>
                <w:left w:val="nil"/>
                <w:bottom w:val="nil"/>
                <w:right w:val="nil"/>
                <w:between w:val="nil"/>
              </w:pBdr>
              <w:jc w:val="right"/>
              <w:rPr>
                <w:color w:val="000000"/>
              </w:rPr>
            </w:pPr>
          </w:p>
        </w:tc>
      </w:tr>
      <w:tr w:rsidR="008E5DE4" w14:paraId="3EC476EC" w14:textId="77777777">
        <w:trPr>
          <w:cantSplit/>
          <w:trHeight w:val="85"/>
        </w:trPr>
        <w:tc>
          <w:tcPr>
            <w:tcW w:w="3061" w:type="dxa"/>
            <w:vAlign w:val="bottom"/>
          </w:tcPr>
          <w:p w14:paraId="7B28741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59FADA2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78F890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8894F6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6B7E52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7DFE97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40CF05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F6E3A7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2C4B0EE" w14:textId="77777777" w:rsidR="008E5DE4" w:rsidRDefault="008E5DE4">
            <w:pPr>
              <w:widowControl w:val="0"/>
              <w:pBdr>
                <w:top w:val="nil"/>
                <w:left w:val="nil"/>
                <w:bottom w:val="nil"/>
                <w:right w:val="nil"/>
                <w:between w:val="nil"/>
              </w:pBdr>
              <w:jc w:val="right"/>
              <w:rPr>
                <w:color w:val="000000"/>
              </w:rPr>
            </w:pPr>
          </w:p>
        </w:tc>
      </w:tr>
      <w:tr w:rsidR="008E5DE4" w14:paraId="2561BFD2" w14:textId="77777777">
        <w:trPr>
          <w:cantSplit/>
          <w:trHeight w:val="169"/>
        </w:trPr>
        <w:tc>
          <w:tcPr>
            <w:tcW w:w="3061" w:type="dxa"/>
            <w:vAlign w:val="bottom"/>
          </w:tcPr>
          <w:p w14:paraId="12131B1F"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0204308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5C5A03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99FAE7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DF5691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ACD915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B4D855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801CA3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7B7E890" w14:textId="77777777" w:rsidR="008E5DE4" w:rsidRDefault="008E5DE4">
            <w:pPr>
              <w:widowControl w:val="0"/>
              <w:pBdr>
                <w:top w:val="nil"/>
                <w:left w:val="nil"/>
                <w:bottom w:val="nil"/>
                <w:right w:val="nil"/>
                <w:between w:val="nil"/>
              </w:pBdr>
              <w:jc w:val="right"/>
              <w:rPr>
                <w:color w:val="000000"/>
              </w:rPr>
            </w:pPr>
          </w:p>
        </w:tc>
      </w:tr>
      <w:tr w:rsidR="008E5DE4" w14:paraId="2F84E9EC" w14:textId="77777777">
        <w:trPr>
          <w:cantSplit/>
          <w:trHeight w:val="169"/>
        </w:trPr>
        <w:tc>
          <w:tcPr>
            <w:tcW w:w="3061" w:type="dxa"/>
            <w:vAlign w:val="bottom"/>
          </w:tcPr>
          <w:p w14:paraId="32089728"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0E9BB86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6FDAC8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CD03C2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B9FF20A"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21555F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7904AD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593C6B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13A2AB4" w14:textId="77777777" w:rsidR="008E5DE4" w:rsidRDefault="008E5DE4">
            <w:pPr>
              <w:widowControl w:val="0"/>
              <w:pBdr>
                <w:top w:val="nil"/>
                <w:left w:val="nil"/>
                <w:bottom w:val="nil"/>
                <w:right w:val="nil"/>
                <w:between w:val="nil"/>
              </w:pBdr>
              <w:jc w:val="right"/>
              <w:rPr>
                <w:color w:val="000000"/>
              </w:rPr>
            </w:pPr>
          </w:p>
        </w:tc>
      </w:tr>
      <w:tr w:rsidR="008E5DE4" w14:paraId="58434CBE" w14:textId="77777777">
        <w:trPr>
          <w:cantSplit/>
          <w:trHeight w:val="169"/>
        </w:trPr>
        <w:tc>
          <w:tcPr>
            <w:tcW w:w="3061" w:type="dxa"/>
            <w:tcBorders>
              <w:bottom w:val="single" w:sz="4" w:space="0" w:color="000000"/>
            </w:tcBorders>
            <w:vAlign w:val="bottom"/>
          </w:tcPr>
          <w:p w14:paraId="190ED4DC"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6908BDE5"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0F69E4B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C779BC3"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439F87E4"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5A2D200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031889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752454D"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0A396E26" w14:textId="77777777" w:rsidR="008E5DE4" w:rsidRDefault="008E5DE4">
            <w:pPr>
              <w:widowControl w:val="0"/>
              <w:pBdr>
                <w:top w:val="nil"/>
                <w:left w:val="nil"/>
                <w:bottom w:val="nil"/>
                <w:right w:val="nil"/>
                <w:between w:val="nil"/>
              </w:pBdr>
              <w:jc w:val="right"/>
              <w:rPr>
                <w:color w:val="000000"/>
              </w:rPr>
            </w:pPr>
          </w:p>
        </w:tc>
      </w:tr>
      <w:tr w:rsidR="008E5DE4" w14:paraId="1CC699F9" w14:textId="77777777">
        <w:trPr>
          <w:cantSplit/>
          <w:trHeight w:val="153"/>
        </w:trPr>
        <w:tc>
          <w:tcPr>
            <w:tcW w:w="3061" w:type="dxa"/>
            <w:tcBorders>
              <w:top w:val="single" w:sz="4" w:space="0" w:color="000000"/>
            </w:tcBorders>
            <w:vAlign w:val="bottom"/>
          </w:tcPr>
          <w:p w14:paraId="28E403EB"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4E77219E"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4B517CAB"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02896E6"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031A2D1"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0B3FD45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AC0D73C"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30DD64E"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4E33DCD" w14:textId="77777777" w:rsidR="008E5DE4" w:rsidRDefault="008E5DE4">
            <w:pPr>
              <w:widowControl w:val="0"/>
              <w:pBdr>
                <w:top w:val="nil"/>
                <w:left w:val="nil"/>
                <w:bottom w:val="nil"/>
                <w:right w:val="nil"/>
                <w:between w:val="nil"/>
              </w:pBdr>
              <w:jc w:val="right"/>
              <w:rPr>
                <w:color w:val="000000"/>
              </w:rPr>
            </w:pPr>
          </w:p>
        </w:tc>
      </w:tr>
      <w:tr w:rsidR="008E5DE4" w14:paraId="113156EB" w14:textId="77777777">
        <w:trPr>
          <w:cantSplit/>
          <w:trHeight w:val="245"/>
        </w:trPr>
        <w:tc>
          <w:tcPr>
            <w:tcW w:w="3061" w:type="dxa"/>
            <w:vAlign w:val="bottom"/>
          </w:tcPr>
          <w:p w14:paraId="0A0D974A"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46719D5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FADF9E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05A0BC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983D0B4"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0EA4E5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7CBA43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A669DB4"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DBCDB2E" w14:textId="77777777" w:rsidR="008E5DE4" w:rsidRDefault="008E5DE4">
            <w:pPr>
              <w:widowControl w:val="0"/>
              <w:pBdr>
                <w:top w:val="nil"/>
                <w:left w:val="nil"/>
                <w:bottom w:val="nil"/>
                <w:right w:val="nil"/>
                <w:between w:val="nil"/>
              </w:pBdr>
              <w:jc w:val="right"/>
              <w:rPr>
                <w:color w:val="000000"/>
              </w:rPr>
            </w:pPr>
          </w:p>
        </w:tc>
      </w:tr>
      <w:tr w:rsidR="008E5DE4" w14:paraId="37E71DAD" w14:textId="77777777">
        <w:trPr>
          <w:cantSplit/>
          <w:trHeight w:val="80"/>
        </w:trPr>
        <w:tc>
          <w:tcPr>
            <w:tcW w:w="3061" w:type="dxa"/>
            <w:tcBorders>
              <w:bottom w:val="single" w:sz="4" w:space="0" w:color="000000"/>
            </w:tcBorders>
            <w:vAlign w:val="bottom"/>
          </w:tcPr>
          <w:p w14:paraId="2CE03BBB"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31603DEA"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543410B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C7182EF"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59B8F7D8"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2808FE6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C145C3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42320B8"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42AB123A" w14:textId="77777777" w:rsidR="008E5DE4" w:rsidRDefault="008E5DE4">
            <w:pPr>
              <w:widowControl w:val="0"/>
              <w:pBdr>
                <w:top w:val="nil"/>
                <w:left w:val="nil"/>
                <w:bottom w:val="nil"/>
                <w:right w:val="nil"/>
                <w:between w:val="nil"/>
              </w:pBdr>
              <w:jc w:val="right"/>
              <w:rPr>
                <w:color w:val="000000"/>
              </w:rPr>
            </w:pPr>
          </w:p>
        </w:tc>
      </w:tr>
      <w:tr w:rsidR="008E5DE4" w14:paraId="0713B720" w14:textId="77777777">
        <w:trPr>
          <w:cantSplit/>
          <w:trHeight w:val="153"/>
        </w:trPr>
        <w:tc>
          <w:tcPr>
            <w:tcW w:w="3061" w:type="dxa"/>
            <w:tcBorders>
              <w:top w:val="single" w:sz="4" w:space="0" w:color="000000"/>
            </w:tcBorders>
            <w:vAlign w:val="bottom"/>
          </w:tcPr>
          <w:p w14:paraId="386A5130"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61B96205"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FF253E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E888E18"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47C000C4"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2BEA351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302D38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E79894F"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7955612" w14:textId="77777777" w:rsidR="008E5DE4" w:rsidRDefault="008E5DE4">
            <w:pPr>
              <w:widowControl w:val="0"/>
              <w:pBdr>
                <w:top w:val="nil"/>
                <w:left w:val="nil"/>
                <w:bottom w:val="nil"/>
                <w:right w:val="nil"/>
                <w:between w:val="nil"/>
              </w:pBdr>
              <w:jc w:val="right"/>
              <w:rPr>
                <w:color w:val="000000"/>
              </w:rPr>
            </w:pPr>
          </w:p>
        </w:tc>
      </w:tr>
      <w:tr w:rsidR="008E5DE4" w14:paraId="672482E1" w14:textId="77777777">
        <w:trPr>
          <w:cantSplit/>
          <w:trHeight w:val="692"/>
        </w:trPr>
        <w:tc>
          <w:tcPr>
            <w:tcW w:w="3061" w:type="dxa"/>
            <w:vAlign w:val="bottom"/>
          </w:tcPr>
          <w:p w14:paraId="1A64FE26"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2F76C223"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7A02736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B11590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39261FF"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1C673C3"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553F10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053918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102FA60"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A4C2B43" w14:textId="77777777" w:rsidR="008E5DE4" w:rsidRDefault="008E5DE4">
            <w:pPr>
              <w:widowControl w:val="0"/>
              <w:pBdr>
                <w:top w:val="nil"/>
                <w:left w:val="nil"/>
                <w:bottom w:val="nil"/>
                <w:right w:val="nil"/>
                <w:between w:val="nil"/>
              </w:pBdr>
              <w:jc w:val="right"/>
              <w:rPr>
                <w:color w:val="000000"/>
                <w:highlight w:val="green"/>
              </w:rPr>
            </w:pPr>
          </w:p>
        </w:tc>
      </w:tr>
      <w:tr w:rsidR="008E5DE4" w14:paraId="46B40B9A" w14:textId="77777777">
        <w:trPr>
          <w:cantSplit/>
          <w:trHeight w:val="169"/>
        </w:trPr>
        <w:tc>
          <w:tcPr>
            <w:tcW w:w="3061" w:type="dxa"/>
            <w:vAlign w:val="bottom"/>
          </w:tcPr>
          <w:p w14:paraId="7EBDCDE6"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5290DA6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A187AC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82A6BA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E708CDB"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ED88752"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3CC45D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EA0C012"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7F54063" w14:textId="77777777" w:rsidR="008E5DE4" w:rsidRDefault="008E5DE4">
            <w:pPr>
              <w:widowControl w:val="0"/>
              <w:pBdr>
                <w:top w:val="nil"/>
                <w:left w:val="nil"/>
                <w:bottom w:val="nil"/>
                <w:right w:val="nil"/>
                <w:between w:val="nil"/>
              </w:pBdr>
              <w:jc w:val="right"/>
              <w:rPr>
                <w:color w:val="000000"/>
                <w:highlight w:val="green"/>
              </w:rPr>
            </w:pPr>
          </w:p>
        </w:tc>
      </w:tr>
      <w:tr w:rsidR="008E5DE4" w14:paraId="17DFEDC4" w14:textId="77777777">
        <w:trPr>
          <w:cantSplit/>
          <w:trHeight w:val="169"/>
        </w:trPr>
        <w:tc>
          <w:tcPr>
            <w:tcW w:w="3061" w:type="dxa"/>
            <w:vAlign w:val="bottom"/>
          </w:tcPr>
          <w:p w14:paraId="042DF388"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71E4610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16C15D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A8F15D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E4614E1"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519BB68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DB755F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D6A4357"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0A6538B" w14:textId="77777777" w:rsidR="008E5DE4" w:rsidRDefault="008E5DE4">
            <w:pPr>
              <w:widowControl w:val="0"/>
              <w:pBdr>
                <w:top w:val="nil"/>
                <w:left w:val="nil"/>
                <w:bottom w:val="nil"/>
                <w:right w:val="nil"/>
                <w:between w:val="nil"/>
              </w:pBdr>
              <w:jc w:val="right"/>
              <w:rPr>
                <w:color w:val="000000"/>
                <w:highlight w:val="green"/>
              </w:rPr>
            </w:pPr>
          </w:p>
        </w:tc>
      </w:tr>
      <w:tr w:rsidR="008E5DE4" w14:paraId="0BF298E6" w14:textId="77777777">
        <w:trPr>
          <w:cantSplit/>
          <w:trHeight w:val="337"/>
        </w:trPr>
        <w:tc>
          <w:tcPr>
            <w:tcW w:w="3061" w:type="dxa"/>
            <w:vAlign w:val="bottom"/>
          </w:tcPr>
          <w:p w14:paraId="04B12BC2"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1BE863C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D47B86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379563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0ECD11F"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81F6FF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9186C6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90321C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832B265" w14:textId="77777777" w:rsidR="008E5DE4" w:rsidRDefault="008E5DE4">
            <w:pPr>
              <w:widowControl w:val="0"/>
              <w:pBdr>
                <w:top w:val="nil"/>
                <w:left w:val="nil"/>
                <w:bottom w:val="nil"/>
                <w:right w:val="nil"/>
                <w:between w:val="nil"/>
              </w:pBdr>
              <w:jc w:val="right"/>
              <w:rPr>
                <w:color w:val="000000"/>
              </w:rPr>
            </w:pPr>
          </w:p>
        </w:tc>
      </w:tr>
      <w:tr w:rsidR="008E5DE4" w14:paraId="2D579C3D" w14:textId="77777777">
        <w:trPr>
          <w:cantSplit/>
          <w:trHeight w:val="231"/>
        </w:trPr>
        <w:tc>
          <w:tcPr>
            <w:tcW w:w="3061" w:type="dxa"/>
            <w:vAlign w:val="bottom"/>
          </w:tcPr>
          <w:p w14:paraId="74E0589D"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5DB46D8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DDBB76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118BE7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D4ED9F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50D3F5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84489B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863C41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6657572" w14:textId="77777777" w:rsidR="008E5DE4" w:rsidRDefault="008E5DE4">
            <w:pPr>
              <w:widowControl w:val="0"/>
              <w:pBdr>
                <w:top w:val="nil"/>
                <w:left w:val="nil"/>
                <w:bottom w:val="nil"/>
                <w:right w:val="nil"/>
                <w:between w:val="nil"/>
              </w:pBdr>
              <w:jc w:val="right"/>
              <w:rPr>
                <w:color w:val="000000"/>
              </w:rPr>
            </w:pPr>
          </w:p>
        </w:tc>
      </w:tr>
      <w:tr w:rsidR="008E5DE4" w14:paraId="3D1AB80E" w14:textId="77777777">
        <w:trPr>
          <w:cantSplit/>
          <w:trHeight w:val="169"/>
        </w:trPr>
        <w:tc>
          <w:tcPr>
            <w:tcW w:w="3061" w:type="dxa"/>
            <w:tcBorders>
              <w:bottom w:val="single" w:sz="4" w:space="0" w:color="000000"/>
            </w:tcBorders>
            <w:vAlign w:val="bottom"/>
          </w:tcPr>
          <w:p w14:paraId="15119386"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5E553A78"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06B0EFAE"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CE790C5"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6AA9B5FF"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0BB7EF1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A5B73E9"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17A7A7A"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22B96314" w14:textId="77777777" w:rsidR="008E5DE4" w:rsidRDefault="008E5DE4">
            <w:pPr>
              <w:widowControl w:val="0"/>
              <w:pBdr>
                <w:top w:val="nil"/>
                <w:left w:val="nil"/>
                <w:bottom w:val="nil"/>
                <w:right w:val="nil"/>
                <w:between w:val="nil"/>
              </w:pBdr>
              <w:jc w:val="right"/>
              <w:rPr>
                <w:color w:val="000000"/>
              </w:rPr>
            </w:pPr>
          </w:p>
        </w:tc>
      </w:tr>
      <w:tr w:rsidR="008E5DE4" w14:paraId="15D1ABF1" w14:textId="77777777">
        <w:trPr>
          <w:cantSplit/>
          <w:trHeight w:val="169"/>
        </w:trPr>
        <w:tc>
          <w:tcPr>
            <w:tcW w:w="3061" w:type="dxa"/>
            <w:tcBorders>
              <w:top w:val="single" w:sz="4" w:space="0" w:color="000000"/>
            </w:tcBorders>
            <w:vAlign w:val="bottom"/>
          </w:tcPr>
          <w:p w14:paraId="4513B6FE"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20601A2C"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21D8D30B"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625044C"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5228D09"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3989594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533C04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D65484E"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1939542" w14:textId="77777777" w:rsidR="008E5DE4" w:rsidRDefault="008E5DE4">
            <w:pPr>
              <w:widowControl w:val="0"/>
              <w:pBdr>
                <w:top w:val="nil"/>
                <w:left w:val="nil"/>
                <w:bottom w:val="nil"/>
                <w:right w:val="nil"/>
                <w:between w:val="nil"/>
              </w:pBdr>
              <w:jc w:val="right"/>
              <w:rPr>
                <w:color w:val="000000"/>
              </w:rPr>
            </w:pPr>
          </w:p>
        </w:tc>
      </w:tr>
      <w:tr w:rsidR="008E5DE4" w14:paraId="2A29AE3F" w14:textId="77777777">
        <w:trPr>
          <w:cantSplit/>
          <w:trHeight w:val="169"/>
        </w:trPr>
        <w:tc>
          <w:tcPr>
            <w:tcW w:w="3061" w:type="dxa"/>
            <w:vAlign w:val="bottom"/>
          </w:tcPr>
          <w:p w14:paraId="27BE016A" w14:textId="72B72B83"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1" w:type="dxa"/>
            <w:vAlign w:val="bottom"/>
          </w:tcPr>
          <w:p w14:paraId="3F48FBB7"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DED602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68E910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65ECA3A"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D81099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A5A66C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92600F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1FEE1D1" w14:textId="77777777" w:rsidR="008E5DE4" w:rsidRDefault="008E5DE4">
            <w:pPr>
              <w:widowControl w:val="0"/>
              <w:pBdr>
                <w:top w:val="nil"/>
                <w:left w:val="nil"/>
                <w:bottom w:val="nil"/>
                <w:right w:val="nil"/>
                <w:between w:val="nil"/>
              </w:pBdr>
              <w:jc w:val="right"/>
              <w:rPr>
                <w:color w:val="000000"/>
              </w:rPr>
            </w:pPr>
          </w:p>
        </w:tc>
      </w:tr>
      <w:tr w:rsidR="008E5DE4" w14:paraId="561059AC" w14:textId="77777777">
        <w:trPr>
          <w:cantSplit/>
          <w:trHeight w:val="169"/>
        </w:trPr>
        <w:tc>
          <w:tcPr>
            <w:tcW w:w="3061" w:type="dxa"/>
            <w:tcBorders>
              <w:bottom w:val="single" w:sz="12" w:space="0" w:color="000000"/>
            </w:tcBorders>
            <w:vAlign w:val="bottom"/>
          </w:tcPr>
          <w:p w14:paraId="1C0E7DE2"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73000D28"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6405B15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4972241C"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3AE03285"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45FEE4D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5E9D1139"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4AAA95BE"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0D3F724B" w14:textId="77777777" w:rsidR="008E5DE4" w:rsidRDefault="008E5DE4">
            <w:pPr>
              <w:widowControl w:val="0"/>
              <w:pBdr>
                <w:top w:val="nil"/>
                <w:left w:val="nil"/>
                <w:bottom w:val="nil"/>
                <w:right w:val="nil"/>
                <w:between w:val="nil"/>
              </w:pBdr>
              <w:jc w:val="right"/>
              <w:rPr>
                <w:color w:val="000000"/>
              </w:rPr>
            </w:pPr>
          </w:p>
        </w:tc>
      </w:tr>
    </w:tbl>
    <w:p w14:paraId="4C4CFEB0"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40D392A9"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0FAE2661"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27030792"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3A46259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301CB227" w14:textId="2FB4FAE8"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corporate bonds carried at AC in </w:t>
      </w:r>
      <w:r w:rsidR="00FF468A">
        <w:rPr>
          <w:color w:val="000000"/>
          <w:sz w:val="20"/>
          <w:szCs w:val="20"/>
        </w:rPr>
        <w:t>2024</w:t>
      </w:r>
      <w:r>
        <w:rPr>
          <w:color w:val="000000"/>
          <w:sz w:val="20"/>
          <w:szCs w:val="20"/>
        </w:rPr>
        <w:t xml:space="preserve"> were as follows.</w:t>
      </w:r>
    </w:p>
    <w:tbl>
      <w:tblPr>
        <w:tblStyle w:val="affffffff0"/>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277F3DA2" w14:textId="77777777">
        <w:trPr>
          <w:cantSplit/>
          <w:trHeight w:val="169"/>
          <w:tblHeader/>
        </w:trPr>
        <w:tc>
          <w:tcPr>
            <w:tcW w:w="3061" w:type="dxa"/>
            <w:vAlign w:val="bottom"/>
          </w:tcPr>
          <w:p w14:paraId="57EB40A8"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771C5999"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15A64A5B"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286D54FF" w14:textId="77777777">
        <w:trPr>
          <w:cantSplit/>
          <w:trHeight w:val="507"/>
          <w:tblHeader/>
        </w:trPr>
        <w:tc>
          <w:tcPr>
            <w:tcW w:w="3061" w:type="dxa"/>
            <w:tcBorders>
              <w:bottom w:val="single" w:sz="4" w:space="0" w:color="000000"/>
            </w:tcBorders>
            <w:vAlign w:val="bottom"/>
          </w:tcPr>
          <w:p w14:paraId="576C28A5" w14:textId="77777777" w:rsidR="008E5DE4" w:rsidRDefault="008E5DE4">
            <w:pPr>
              <w:widowControl w:val="0"/>
              <w:pBdr>
                <w:top w:val="nil"/>
                <w:left w:val="nil"/>
                <w:bottom w:val="nil"/>
                <w:right w:val="nil"/>
                <w:between w:val="nil"/>
              </w:pBdr>
              <w:ind w:left="113" w:right="-57" w:hanging="113"/>
              <w:rPr>
                <w:i/>
                <w:color w:val="000000"/>
              </w:rPr>
            </w:pPr>
          </w:p>
          <w:p w14:paraId="6B603601"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6504AC10"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7F49CAA2"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4CEFAD79"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1DEE848"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7F81C627"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309BC89F"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636C3860"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49BBB90E"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41B7236E"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29D70888"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396F0D8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74665F0F"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1659C80D"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0D5C491B"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09582027" w14:textId="77777777">
        <w:trPr>
          <w:cantSplit/>
          <w:trHeight w:val="169"/>
          <w:tblHeader/>
        </w:trPr>
        <w:tc>
          <w:tcPr>
            <w:tcW w:w="3061" w:type="dxa"/>
            <w:vAlign w:val="bottom"/>
          </w:tcPr>
          <w:p w14:paraId="0562795B" w14:textId="77777777" w:rsidR="008E5DE4" w:rsidRDefault="008E5DE4">
            <w:pPr>
              <w:widowControl w:val="0"/>
              <w:ind w:left="113" w:right="-57" w:hanging="113"/>
            </w:pPr>
          </w:p>
        </w:tc>
        <w:tc>
          <w:tcPr>
            <w:tcW w:w="851" w:type="dxa"/>
            <w:vAlign w:val="bottom"/>
          </w:tcPr>
          <w:p w14:paraId="2DD64CCF"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14D763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3BE0894"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C5C10BA" w14:textId="77777777" w:rsidR="008E5DE4" w:rsidRDefault="008E5DE4">
            <w:pPr>
              <w:widowControl w:val="0"/>
              <w:pBdr>
                <w:top w:val="nil"/>
                <w:left w:val="nil"/>
                <w:bottom w:val="nil"/>
                <w:right w:val="nil"/>
                <w:between w:val="nil"/>
              </w:pBdr>
              <w:jc w:val="right"/>
              <w:rPr>
                <w:color w:val="000000"/>
              </w:rPr>
            </w:pPr>
          </w:p>
        </w:tc>
        <w:tc>
          <w:tcPr>
            <w:tcW w:w="871" w:type="dxa"/>
          </w:tcPr>
          <w:p w14:paraId="42FA65D2" w14:textId="77777777" w:rsidR="008E5DE4" w:rsidRDefault="008E5DE4">
            <w:pPr>
              <w:widowControl w:val="0"/>
              <w:pBdr>
                <w:top w:val="nil"/>
                <w:left w:val="nil"/>
                <w:bottom w:val="nil"/>
                <w:right w:val="nil"/>
                <w:between w:val="nil"/>
              </w:pBdr>
              <w:jc w:val="right"/>
              <w:rPr>
                <w:color w:val="000000"/>
              </w:rPr>
            </w:pPr>
          </w:p>
        </w:tc>
        <w:tc>
          <w:tcPr>
            <w:tcW w:w="856" w:type="dxa"/>
          </w:tcPr>
          <w:p w14:paraId="1B20F040" w14:textId="77777777" w:rsidR="008E5DE4" w:rsidRDefault="008E5DE4">
            <w:pPr>
              <w:widowControl w:val="0"/>
              <w:pBdr>
                <w:top w:val="nil"/>
                <w:left w:val="nil"/>
                <w:bottom w:val="nil"/>
                <w:right w:val="nil"/>
                <w:between w:val="nil"/>
              </w:pBdr>
              <w:jc w:val="right"/>
              <w:rPr>
                <w:color w:val="000000"/>
              </w:rPr>
            </w:pPr>
          </w:p>
        </w:tc>
        <w:tc>
          <w:tcPr>
            <w:tcW w:w="856" w:type="dxa"/>
          </w:tcPr>
          <w:p w14:paraId="59AD7B4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F5E2256" w14:textId="77777777" w:rsidR="008E5DE4" w:rsidRDefault="008E5DE4">
            <w:pPr>
              <w:widowControl w:val="0"/>
              <w:pBdr>
                <w:top w:val="nil"/>
                <w:left w:val="nil"/>
                <w:bottom w:val="nil"/>
                <w:right w:val="nil"/>
                <w:between w:val="nil"/>
              </w:pBdr>
              <w:jc w:val="right"/>
              <w:rPr>
                <w:color w:val="000000"/>
              </w:rPr>
            </w:pPr>
          </w:p>
        </w:tc>
      </w:tr>
      <w:tr w:rsidR="008E5DE4" w14:paraId="7B123D70" w14:textId="77777777">
        <w:trPr>
          <w:cantSplit/>
          <w:trHeight w:val="169"/>
        </w:trPr>
        <w:tc>
          <w:tcPr>
            <w:tcW w:w="3061" w:type="dxa"/>
            <w:vAlign w:val="bottom"/>
          </w:tcPr>
          <w:p w14:paraId="14D622A8"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Corporate bonds</w:t>
            </w:r>
          </w:p>
        </w:tc>
        <w:tc>
          <w:tcPr>
            <w:tcW w:w="851" w:type="dxa"/>
            <w:vAlign w:val="bottom"/>
          </w:tcPr>
          <w:p w14:paraId="75FC3A2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84EFF8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9AE659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27B3EFE" w14:textId="77777777" w:rsidR="008E5DE4" w:rsidRDefault="008E5DE4">
            <w:pPr>
              <w:widowControl w:val="0"/>
              <w:pBdr>
                <w:top w:val="nil"/>
                <w:left w:val="nil"/>
                <w:bottom w:val="nil"/>
                <w:right w:val="nil"/>
                <w:between w:val="nil"/>
              </w:pBdr>
              <w:jc w:val="right"/>
              <w:rPr>
                <w:color w:val="000000"/>
              </w:rPr>
            </w:pPr>
          </w:p>
        </w:tc>
        <w:tc>
          <w:tcPr>
            <w:tcW w:w="871" w:type="dxa"/>
          </w:tcPr>
          <w:p w14:paraId="7D2C95DF" w14:textId="77777777" w:rsidR="008E5DE4" w:rsidRDefault="008E5DE4">
            <w:pPr>
              <w:widowControl w:val="0"/>
              <w:pBdr>
                <w:top w:val="nil"/>
                <w:left w:val="nil"/>
                <w:bottom w:val="nil"/>
                <w:right w:val="nil"/>
                <w:between w:val="nil"/>
              </w:pBdr>
              <w:jc w:val="right"/>
              <w:rPr>
                <w:color w:val="000000"/>
              </w:rPr>
            </w:pPr>
          </w:p>
        </w:tc>
        <w:tc>
          <w:tcPr>
            <w:tcW w:w="856" w:type="dxa"/>
          </w:tcPr>
          <w:p w14:paraId="327E991A" w14:textId="77777777" w:rsidR="008E5DE4" w:rsidRDefault="008E5DE4">
            <w:pPr>
              <w:widowControl w:val="0"/>
              <w:pBdr>
                <w:top w:val="nil"/>
                <w:left w:val="nil"/>
                <w:bottom w:val="nil"/>
                <w:right w:val="nil"/>
                <w:between w:val="nil"/>
              </w:pBdr>
              <w:jc w:val="right"/>
              <w:rPr>
                <w:color w:val="000000"/>
              </w:rPr>
            </w:pPr>
          </w:p>
        </w:tc>
        <w:tc>
          <w:tcPr>
            <w:tcW w:w="856" w:type="dxa"/>
          </w:tcPr>
          <w:p w14:paraId="3DC4557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0104420" w14:textId="77777777" w:rsidR="008E5DE4" w:rsidRDefault="008E5DE4">
            <w:pPr>
              <w:widowControl w:val="0"/>
              <w:pBdr>
                <w:top w:val="nil"/>
                <w:left w:val="nil"/>
                <w:bottom w:val="nil"/>
                <w:right w:val="nil"/>
                <w:between w:val="nil"/>
              </w:pBdr>
              <w:jc w:val="right"/>
              <w:rPr>
                <w:color w:val="000000"/>
              </w:rPr>
            </w:pPr>
          </w:p>
        </w:tc>
      </w:tr>
      <w:tr w:rsidR="008E5DE4" w14:paraId="22E369A9" w14:textId="77777777">
        <w:trPr>
          <w:cantSplit/>
          <w:trHeight w:val="169"/>
        </w:trPr>
        <w:tc>
          <w:tcPr>
            <w:tcW w:w="3061" w:type="dxa"/>
            <w:vAlign w:val="bottom"/>
          </w:tcPr>
          <w:p w14:paraId="05CBEC46"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7B33F33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305C71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FB395F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78E2CE9" w14:textId="77777777" w:rsidR="008E5DE4" w:rsidRDefault="008E5DE4">
            <w:pPr>
              <w:widowControl w:val="0"/>
              <w:pBdr>
                <w:top w:val="nil"/>
                <w:left w:val="nil"/>
                <w:bottom w:val="nil"/>
                <w:right w:val="nil"/>
                <w:between w:val="nil"/>
              </w:pBdr>
              <w:jc w:val="right"/>
              <w:rPr>
                <w:color w:val="000000"/>
              </w:rPr>
            </w:pPr>
          </w:p>
        </w:tc>
        <w:tc>
          <w:tcPr>
            <w:tcW w:w="871" w:type="dxa"/>
          </w:tcPr>
          <w:p w14:paraId="745D8EE1" w14:textId="77777777" w:rsidR="008E5DE4" w:rsidRDefault="008E5DE4">
            <w:pPr>
              <w:widowControl w:val="0"/>
              <w:pBdr>
                <w:top w:val="nil"/>
                <w:left w:val="nil"/>
                <w:bottom w:val="nil"/>
                <w:right w:val="nil"/>
                <w:between w:val="nil"/>
              </w:pBdr>
              <w:jc w:val="right"/>
              <w:rPr>
                <w:color w:val="000000"/>
              </w:rPr>
            </w:pPr>
          </w:p>
        </w:tc>
        <w:tc>
          <w:tcPr>
            <w:tcW w:w="856" w:type="dxa"/>
          </w:tcPr>
          <w:p w14:paraId="443F3C55" w14:textId="77777777" w:rsidR="008E5DE4" w:rsidRDefault="008E5DE4">
            <w:pPr>
              <w:widowControl w:val="0"/>
              <w:pBdr>
                <w:top w:val="nil"/>
                <w:left w:val="nil"/>
                <w:bottom w:val="nil"/>
                <w:right w:val="nil"/>
                <w:between w:val="nil"/>
              </w:pBdr>
              <w:jc w:val="right"/>
              <w:rPr>
                <w:color w:val="000000"/>
              </w:rPr>
            </w:pPr>
          </w:p>
        </w:tc>
        <w:tc>
          <w:tcPr>
            <w:tcW w:w="856" w:type="dxa"/>
          </w:tcPr>
          <w:p w14:paraId="48FA669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93F77CA" w14:textId="77777777" w:rsidR="008E5DE4" w:rsidRDefault="008E5DE4">
            <w:pPr>
              <w:widowControl w:val="0"/>
              <w:pBdr>
                <w:top w:val="nil"/>
                <w:left w:val="nil"/>
                <w:bottom w:val="nil"/>
                <w:right w:val="nil"/>
                <w:between w:val="nil"/>
              </w:pBdr>
              <w:jc w:val="right"/>
              <w:rPr>
                <w:color w:val="000000"/>
              </w:rPr>
            </w:pPr>
          </w:p>
        </w:tc>
      </w:tr>
      <w:tr w:rsidR="008E5DE4" w14:paraId="56B1067B" w14:textId="77777777">
        <w:trPr>
          <w:cantSplit/>
          <w:trHeight w:val="169"/>
        </w:trPr>
        <w:tc>
          <w:tcPr>
            <w:tcW w:w="3061" w:type="dxa"/>
            <w:vAlign w:val="bottom"/>
          </w:tcPr>
          <w:p w14:paraId="095933BE" w14:textId="249EA562"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w:t>
            </w:r>
            <w:r w:rsidR="00FF468A">
              <w:rPr>
                <w:b/>
                <w:color w:val="000000"/>
              </w:rPr>
              <w:t>2024</w:t>
            </w:r>
          </w:p>
        </w:tc>
        <w:tc>
          <w:tcPr>
            <w:tcW w:w="851" w:type="dxa"/>
            <w:vAlign w:val="bottom"/>
          </w:tcPr>
          <w:p w14:paraId="3E22AE1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37E107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64B343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E202E81" w14:textId="77777777" w:rsidR="008E5DE4" w:rsidRDefault="008E5DE4">
            <w:pPr>
              <w:widowControl w:val="0"/>
              <w:pBdr>
                <w:top w:val="nil"/>
                <w:left w:val="nil"/>
                <w:bottom w:val="nil"/>
                <w:right w:val="nil"/>
                <w:between w:val="nil"/>
              </w:pBdr>
              <w:jc w:val="right"/>
              <w:rPr>
                <w:color w:val="000000"/>
              </w:rPr>
            </w:pPr>
          </w:p>
        </w:tc>
        <w:tc>
          <w:tcPr>
            <w:tcW w:w="871" w:type="dxa"/>
          </w:tcPr>
          <w:p w14:paraId="23A4C7A2" w14:textId="77777777" w:rsidR="008E5DE4" w:rsidRDefault="008E5DE4">
            <w:pPr>
              <w:widowControl w:val="0"/>
              <w:pBdr>
                <w:top w:val="nil"/>
                <w:left w:val="nil"/>
                <w:bottom w:val="nil"/>
                <w:right w:val="nil"/>
                <w:between w:val="nil"/>
              </w:pBdr>
              <w:jc w:val="right"/>
              <w:rPr>
                <w:color w:val="000000"/>
              </w:rPr>
            </w:pPr>
          </w:p>
        </w:tc>
        <w:tc>
          <w:tcPr>
            <w:tcW w:w="856" w:type="dxa"/>
          </w:tcPr>
          <w:p w14:paraId="038B513F" w14:textId="77777777" w:rsidR="008E5DE4" w:rsidRDefault="008E5DE4">
            <w:pPr>
              <w:widowControl w:val="0"/>
              <w:pBdr>
                <w:top w:val="nil"/>
                <w:left w:val="nil"/>
                <w:bottom w:val="nil"/>
                <w:right w:val="nil"/>
                <w:between w:val="nil"/>
              </w:pBdr>
              <w:jc w:val="right"/>
              <w:rPr>
                <w:color w:val="000000"/>
              </w:rPr>
            </w:pPr>
          </w:p>
        </w:tc>
        <w:tc>
          <w:tcPr>
            <w:tcW w:w="856" w:type="dxa"/>
          </w:tcPr>
          <w:p w14:paraId="12B884A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BC4C471" w14:textId="77777777" w:rsidR="008E5DE4" w:rsidRDefault="008E5DE4">
            <w:pPr>
              <w:widowControl w:val="0"/>
              <w:pBdr>
                <w:top w:val="nil"/>
                <w:left w:val="nil"/>
                <w:bottom w:val="nil"/>
                <w:right w:val="nil"/>
                <w:between w:val="nil"/>
              </w:pBdr>
              <w:jc w:val="right"/>
              <w:rPr>
                <w:color w:val="000000"/>
              </w:rPr>
            </w:pPr>
          </w:p>
        </w:tc>
      </w:tr>
      <w:tr w:rsidR="008E5DE4" w14:paraId="375C74A8" w14:textId="77777777">
        <w:trPr>
          <w:cantSplit/>
          <w:trHeight w:val="676"/>
        </w:trPr>
        <w:tc>
          <w:tcPr>
            <w:tcW w:w="3061" w:type="dxa"/>
            <w:vAlign w:val="bottom"/>
          </w:tcPr>
          <w:p w14:paraId="605277F2" w14:textId="77777777" w:rsidR="008E5DE4" w:rsidRDefault="008E5DE4">
            <w:pPr>
              <w:widowControl w:val="0"/>
              <w:pBdr>
                <w:top w:val="nil"/>
                <w:left w:val="nil"/>
                <w:bottom w:val="nil"/>
                <w:right w:val="nil"/>
                <w:between w:val="nil"/>
              </w:pBdr>
              <w:ind w:left="113" w:right="-57" w:hanging="113"/>
              <w:rPr>
                <w:b/>
                <w:color w:val="000000"/>
              </w:rPr>
            </w:pPr>
          </w:p>
          <w:p w14:paraId="56D061E5"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1348660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B7E301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306F81C"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D690E49" w14:textId="77777777" w:rsidR="008E5DE4" w:rsidRDefault="008E5DE4">
            <w:pPr>
              <w:widowControl w:val="0"/>
              <w:pBdr>
                <w:top w:val="nil"/>
                <w:left w:val="nil"/>
                <w:bottom w:val="nil"/>
                <w:right w:val="nil"/>
                <w:between w:val="nil"/>
              </w:pBdr>
              <w:jc w:val="right"/>
              <w:rPr>
                <w:color w:val="000000"/>
              </w:rPr>
            </w:pPr>
          </w:p>
        </w:tc>
        <w:tc>
          <w:tcPr>
            <w:tcW w:w="871" w:type="dxa"/>
          </w:tcPr>
          <w:p w14:paraId="1255BE45"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7E7115EF" w14:textId="77777777" w:rsidR="008E5DE4" w:rsidRDefault="008E5DE4">
            <w:pPr>
              <w:widowControl w:val="0"/>
              <w:pBdr>
                <w:top w:val="nil"/>
                <w:left w:val="nil"/>
                <w:bottom w:val="nil"/>
                <w:right w:val="nil"/>
                <w:between w:val="nil"/>
              </w:pBdr>
              <w:jc w:val="right"/>
              <w:rPr>
                <w:color w:val="000000"/>
              </w:rPr>
            </w:pPr>
          </w:p>
        </w:tc>
        <w:tc>
          <w:tcPr>
            <w:tcW w:w="856" w:type="dxa"/>
          </w:tcPr>
          <w:p w14:paraId="53636CD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853F14A" w14:textId="77777777" w:rsidR="008E5DE4" w:rsidRDefault="008E5DE4">
            <w:pPr>
              <w:widowControl w:val="0"/>
              <w:pBdr>
                <w:top w:val="nil"/>
                <w:left w:val="nil"/>
                <w:bottom w:val="nil"/>
                <w:right w:val="nil"/>
                <w:between w:val="nil"/>
              </w:pBdr>
              <w:jc w:val="right"/>
              <w:rPr>
                <w:color w:val="000000"/>
              </w:rPr>
            </w:pPr>
          </w:p>
        </w:tc>
      </w:tr>
      <w:tr w:rsidR="008E5DE4" w14:paraId="3A8224B7" w14:textId="77777777">
        <w:trPr>
          <w:cantSplit/>
          <w:trHeight w:val="184"/>
        </w:trPr>
        <w:tc>
          <w:tcPr>
            <w:tcW w:w="3061" w:type="dxa"/>
            <w:vAlign w:val="bottom"/>
          </w:tcPr>
          <w:p w14:paraId="70F42386"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6103CB5B"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99D4FAD"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3069615"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EB89598"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A4FCC9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269D8E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1B2503C"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0BCEAA3" w14:textId="77777777" w:rsidR="008E5DE4" w:rsidRDefault="008E5DE4">
            <w:pPr>
              <w:widowControl w:val="0"/>
              <w:pBdr>
                <w:top w:val="nil"/>
                <w:left w:val="nil"/>
                <w:bottom w:val="nil"/>
                <w:right w:val="nil"/>
                <w:between w:val="nil"/>
              </w:pBdr>
              <w:jc w:val="right"/>
              <w:rPr>
                <w:color w:val="000000"/>
                <w:highlight w:val="green"/>
              </w:rPr>
            </w:pPr>
          </w:p>
        </w:tc>
      </w:tr>
      <w:tr w:rsidR="008E5DE4" w14:paraId="2579AB58" w14:textId="77777777">
        <w:trPr>
          <w:cantSplit/>
          <w:trHeight w:val="184"/>
        </w:trPr>
        <w:tc>
          <w:tcPr>
            <w:tcW w:w="3061" w:type="dxa"/>
            <w:vAlign w:val="bottom"/>
          </w:tcPr>
          <w:p w14:paraId="2DC74E7B"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521AA1E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2C1A68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A1E8F2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41671D58"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BDD7FB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B78E1D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77D2A49"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7CBEE17" w14:textId="77777777" w:rsidR="008E5DE4" w:rsidRDefault="008E5DE4">
            <w:pPr>
              <w:widowControl w:val="0"/>
              <w:pBdr>
                <w:top w:val="nil"/>
                <w:left w:val="nil"/>
                <w:bottom w:val="nil"/>
                <w:right w:val="nil"/>
                <w:between w:val="nil"/>
              </w:pBdr>
              <w:jc w:val="right"/>
              <w:rPr>
                <w:color w:val="000000"/>
                <w:highlight w:val="green"/>
              </w:rPr>
            </w:pPr>
          </w:p>
        </w:tc>
      </w:tr>
      <w:tr w:rsidR="008E5DE4" w14:paraId="266C5C79" w14:textId="77777777">
        <w:trPr>
          <w:cantSplit/>
          <w:trHeight w:val="80"/>
        </w:trPr>
        <w:tc>
          <w:tcPr>
            <w:tcW w:w="3061" w:type="dxa"/>
            <w:vAlign w:val="bottom"/>
          </w:tcPr>
          <w:p w14:paraId="47AF1148"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2236C77B"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A8F88B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F7D5FF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7D7BED4"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AC0B00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D2D83F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62C4D8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CA73A17" w14:textId="77777777" w:rsidR="008E5DE4" w:rsidRDefault="008E5DE4">
            <w:pPr>
              <w:widowControl w:val="0"/>
              <w:pBdr>
                <w:top w:val="nil"/>
                <w:left w:val="nil"/>
                <w:bottom w:val="nil"/>
                <w:right w:val="nil"/>
                <w:between w:val="nil"/>
              </w:pBdr>
              <w:jc w:val="right"/>
              <w:rPr>
                <w:color w:val="000000"/>
                <w:highlight w:val="green"/>
              </w:rPr>
            </w:pPr>
          </w:p>
        </w:tc>
      </w:tr>
      <w:tr w:rsidR="008E5DE4" w14:paraId="22926435" w14:textId="77777777">
        <w:trPr>
          <w:cantSplit/>
          <w:trHeight w:val="80"/>
        </w:trPr>
        <w:tc>
          <w:tcPr>
            <w:tcW w:w="3061" w:type="dxa"/>
            <w:vAlign w:val="bottom"/>
          </w:tcPr>
          <w:p w14:paraId="262458D0"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5B6FE8A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6F3CEDE9"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F7FFA0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BA7DE72"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20D979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E7CCC47"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4B58C8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3DCA427" w14:textId="77777777" w:rsidR="008E5DE4" w:rsidRDefault="008E5DE4">
            <w:pPr>
              <w:widowControl w:val="0"/>
              <w:pBdr>
                <w:top w:val="nil"/>
                <w:left w:val="nil"/>
                <w:bottom w:val="nil"/>
                <w:right w:val="nil"/>
                <w:between w:val="nil"/>
              </w:pBdr>
              <w:jc w:val="right"/>
              <w:rPr>
                <w:color w:val="000000"/>
                <w:highlight w:val="green"/>
              </w:rPr>
            </w:pPr>
          </w:p>
        </w:tc>
      </w:tr>
      <w:tr w:rsidR="008E5DE4" w14:paraId="181B0522" w14:textId="77777777">
        <w:trPr>
          <w:cantSplit/>
          <w:trHeight w:val="361"/>
        </w:trPr>
        <w:tc>
          <w:tcPr>
            <w:tcW w:w="3061" w:type="dxa"/>
            <w:vAlign w:val="bottom"/>
          </w:tcPr>
          <w:p w14:paraId="651AF847"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56B3B06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6826B5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45D4E0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A879027"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1DB1FCB1"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037C19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60A3C3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51B4973E" w14:textId="77777777" w:rsidR="008E5DE4" w:rsidRDefault="008E5DE4">
            <w:pPr>
              <w:widowControl w:val="0"/>
              <w:pBdr>
                <w:top w:val="nil"/>
                <w:left w:val="nil"/>
                <w:bottom w:val="nil"/>
                <w:right w:val="nil"/>
                <w:between w:val="nil"/>
              </w:pBdr>
              <w:jc w:val="right"/>
              <w:rPr>
                <w:color w:val="000000"/>
                <w:highlight w:val="green"/>
              </w:rPr>
            </w:pPr>
          </w:p>
        </w:tc>
      </w:tr>
      <w:tr w:rsidR="008E5DE4" w14:paraId="4EB23C06" w14:textId="77777777">
        <w:trPr>
          <w:cantSplit/>
          <w:trHeight w:val="169"/>
        </w:trPr>
        <w:tc>
          <w:tcPr>
            <w:tcW w:w="3061" w:type="dxa"/>
            <w:vAlign w:val="bottom"/>
          </w:tcPr>
          <w:p w14:paraId="5FA0BA7F"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341F8F7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9D0000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B9DFC0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6DAC9E5" w14:textId="77777777" w:rsidR="008E5DE4" w:rsidRDefault="008E5DE4">
            <w:pPr>
              <w:widowControl w:val="0"/>
              <w:pBdr>
                <w:top w:val="nil"/>
                <w:left w:val="nil"/>
                <w:bottom w:val="nil"/>
                <w:right w:val="nil"/>
                <w:between w:val="nil"/>
              </w:pBdr>
              <w:jc w:val="right"/>
              <w:rPr>
                <w:color w:val="000000"/>
              </w:rPr>
            </w:pPr>
          </w:p>
        </w:tc>
        <w:tc>
          <w:tcPr>
            <w:tcW w:w="871" w:type="dxa"/>
          </w:tcPr>
          <w:p w14:paraId="4280544C" w14:textId="77777777" w:rsidR="008E5DE4" w:rsidRDefault="008E5DE4">
            <w:pPr>
              <w:widowControl w:val="0"/>
              <w:pBdr>
                <w:top w:val="nil"/>
                <w:left w:val="nil"/>
                <w:bottom w:val="nil"/>
                <w:right w:val="nil"/>
                <w:between w:val="nil"/>
              </w:pBdr>
              <w:jc w:val="right"/>
              <w:rPr>
                <w:color w:val="000000"/>
              </w:rPr>
            </w:pPr>
          </w:p>
        </w:tc>
        <w:tc>
          <w:tcPr>
            <w:tcW w:w="856" w:type="dxa"/>
          </w:tcPr>
          <w:p w14:paraId="502EB60F" w14:textId="77777777" w:rsidR="008E5DE4" w:rsidRDefault="008E5DE4">
            <w:pPr>
              <w:widowControl w:val="0"/>
              <w:pBdr>
                <w:top w:val="nil"/>
                <w:left w:val="nil"/>
                <w:bottom w:val="nil"/>
                <w:right w:val="nil"/>
                <w:between w:val="nil"/>
              </w:pBdr>
              <w:jc w:val="right"/>
              <w:rPr>
                <w:color w:val="000000"/>
              </w:rPr>
            </w:pPr>
          </w:p>
        </w:tc>
        <w:tc>
          <w:tcPr>
            <w:tcW w:w="856" w:type="dxa"/>
          </w:tcPr>
          <w:p w14:paraId="2B0B3E1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95A77C9" w14:textId="77777777" w:rsidR="008E5DE4" w:rsidRDefault="008E5DE4">
            <w:pPr>
              <w:widowControl w:val="0"/>
              <w:pBdr>
                <w:top w:val="nil"/>
                <w:left w:val="nil"/>
                <w:bottom w:val="nil"/>
                <w:right w:val="nil"/>
                <w:between w:val="nil"/>
              </w:pBdr>
              <w:jc w:val="right"/>
              <w:rPr>
                <w:color w:val="000000"/>
              </w:rPr>
            </w:pPr>
          </w:p>
        </w:tc>
      </w:tr>
      <w:tr w:rsidR="008E5DE4" w14:paraId="111500FC" w14:textId="77777777">
        <w:trPr>
          <w:cantSplit/>
          <w:trHeight w:val="232"/>
        </w:trPr>
        <w:tc>
          <w:tcPr>
            <w:tcW w:w="3061" w:type="dxa"/>
            <w:vAlign w:val="bottom"/>
          </w:tcPr>
          <w:p w14:paraId="26B5A280"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2127C6B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DFE450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EA9DC8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57E047C" w14:textId="77777777" w:rsidR="008E5DE4" w:rsidRDefault="008E5DE4">
            <w:pPr>
              <w:widowControl w:val="0"/>
              <w:pBdr>
                <w:top w:val="nil"/>
                <w:left w:val="nil"/>
                <w:bottom w:val="nil"/>
                <w:right w:val="nil"/>
                <w:between w:val="nil"/>
              </w:pBdr>
              <w:jc w:val="right"/>
              <w:rPr>
                <w:color w:val="000000"/>
              </w:rPr>
            </w:pPr>
          </w:p>
        </w:tc>
        <w:tc>
          <w:tcPr>
            <w:tcW w:w="871" w:type="dxa"/>
          </w:tcPr>
          <w:p w14:paraId="4E7EA9A4" w14:textId="77777777" w:rsidR="008E5DE4" w:rsidRDefault="008E5DE4">
            <w:pPr>
              <w:widowControl w:val="0"/>
              <w:pBdr>
                <w:top w:val="nil"/>
                <w:left w:val="nil"/>
                <w:bottom w:val="nil"/>
                <w:right w:val="nil"/>
                <w:between w:val="nil"/>
              </w:pBdr>
              <w:jc w:val="right"/>
              <w:rPr>
                <w:color w:val="000000"/>
              </w:rPr>
            </w:pPr>
          </w:p>
        </w:tc>
        <w:tc>
          <w:tcPr>
            <w:tcW w:w="856" w:type="dxa"/>
          </w:tcPr>
          <w:p w14:paraId="6C3ED2F0" w14:textId="77777777" w:rsidR="008E5DE4" w:rsidRDefault="008E5DE4">
            <w:pPr>
              <w:widowControl w:val="0"/>
              <w:pBdr>
                <w:top w:val="nil"/>
                <w:left w:val="nil"/>
                <w:bottom w:val="nil"/>
                <w:right w:val="nil"/>
                <w:between w:val="nil"/>
              </w:pBdr>
              <w:jc w:val="right"/>
              <w:rPr>
                <w:color w:val="000000"/>
              </w:rPr>
            </w:pPr>
          </w:p>
        </w:tc>
        <w:tc>
          <w:tcPr>
            <w:tcW w:w="856" w:type="dxa"/>
          </w:tcPr>
          <w:p w14:paraId="412F43A3"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D42A732" w14:textId="77777777" w:rsidR="008E5DE4" w:rsidRDefault="008E5DE4">
            <w:pPr>
              <w:widowControl w:val="0"/>
              <w:pBdr>
                <w:top w:val="nil"/>
                <w:left w:val="nil"/>
                <w:bottom w:val="nil"/>
                <w:right w:val="nil"/>
                <w:between w:val="nil"/>
              </w:pBdr>
              <w:jc w:val="right"/>
              <w:rPr>
                <w:color w:val="000000"/>
              </w:rPr>
            </w:pPr>
          </w:p>
        </w:tc>
      </w:tr>
      <w:tr w:rsidR="008E5DE4" w14:paraId="43686FED" w14:textId="77777777">
        <w:trPr>
          <w:cantSplit/>
          <w:trHeight w:val="80"/>
        </w:trPr>
        <w:tc>
          <w:tcPr>
            <w:tcW w:w="3061" w:type="dxa"/>
            <w:vAlign w:val="bottom"/>
          </w:tcPr>
          <w:p w14:paraId="6DD37286"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63DD7A9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2B59D4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C60324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1763E3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03E7F9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8B12D4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023C954"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7EF53A3" w14:textId="77777777" w:rsidR="008E5DE4" w:rsidRDefault="008E5DE4">
            <w:pPr>
              <w:widowControl w:val="0"/>
              <w:pBdr>
                <w:top w:val="nil"/>
                <w:left w:val="nil"/>
                <w:bottom w:val="nil"/>
                <w:right w:val="nil"/>
                <w:between w:val="nil"/>
              </w:pBdr>
              <w:jc w:val="right"/>
              <w:rPr>
                <w:color w:val="000000"/>
              </w:rPr>
            </w:pPr>
          </w:p>
        </w:tc>
      </w:tr>
      <w:tr w:rsidR="008E5DE4" w14:paraId="347114E2" w14:textId="77777777">
        <w:trPr>
          <w:cantSplit/>
          <w:trHeight w:val="85"/>
        </w:trPr>
        <w:tc>
          <w:tcPr>
            <w:tcW w:w="3061" w:type="dxa"/>
            <w:vAlign w:val="bottom"/>
          </w:tcPr>
          <w:p w14:paraId="189ABD87"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0365A32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D3026F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B52D25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35CA8A0"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4BDEB8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502498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3CAA63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0576958" w14:textId="77777777" w:rsidR="008E5DE4" w:rsidRDefault="008E5DE4">
            <w:pPr>
              <w:widowControl w:val="0"/>
              <w:pBdr>
                <w:top w:val="nil"/>
                <w:left w:val="nil"/>
                <w:bottom w:val="nil"/>
                <w:right w:val="nil"/>
                <w:between w:val="nil"/>
              </w:pBdr>
              <w:jc w:val="right"/>
              <w:rPr>
                <w:color w:val="000000"/>
              </w:rPr>
            </w:pPr>
          </w:p>
        </w:tc>
      </w:tr>
      <w:tr w:rsidR="008E5DE4" w14:paraId="261CC527" w14:textId="77777777">
        <w:trPr>
          <w:cantSplit/>
          <w:trHeight w:val="169"/>
        </w:trPr>
        <w:tc>
          <w:tcPr>
            <w:tcW w:w="3061" w:type="dxa"/>
            <w:vAlign w:val="bottom"/>
          </w:tcPr>
          <w:p w14:paraId="713AF99E"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7E87109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E955EB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36003F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58551B4"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69C55F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69A83A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0BA5E5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8C2D972" w14:textId="77777777" w:rsidR="008E5DE4" w:rsidRDefault="008E5DE4">
            <w:pPr>
              <w:widowControl w:val="0"/>
              <w:pBdr>
                <w:top w:val="nil"/>
                <w:left w:val="nil"/>
                <w:bottom w:val="nil"/>
                <w:right w:val="nil"/>
                <w:between w:val="nil"/>
              </w:pBdr>
              <w:jc w:val="right"/>
              <w:rPr>
                <w:color w:val="000000"/>
              </w:rPr>
            </w:pPr>
          </w:p>
        </w:tc>
      </w:tr>
      <w:tr w:rsidR="008E5DE4" w14:paraId="13A1AE99" w14:textId="77777777">
        <w:trPr>
          <w:cantSplit/>
          <w:trHeight w:val="169"/>
        </w:trPr>
        <w:tc>
          <w:tcPr>
            <w:tcW w:w="3061" w:type="dxa"/>
            <w:vAlign w:val="bottom"/>
          </w:tcPr>
          <w:p w14:paraId="38C441BC"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5C1A979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3369B4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0F0C73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0168410"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AD51B7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C8AE91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81DCB5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A0D8485" w14:textId="77777777" w:rsidR="008E5DE4" w:rsidRDefault="008E5DE4">
            <w:pPr>
              <w:widowControl w:val="0"/>
              <w:pBdr>
                <w:top w:val="nil"/>
                <w:left w:val="nil"/>
                <w:bottom w:val="nil"/>
                <w:right w:val="nil"/>
                <w:between w:val="nil"/>
              </w:pBdr>
              <w:jc w:val="right"/>
              <w:rPr>
                <w:color w:val="000000"/>
              </w:rPr>
            </w:pPr>
          </w:p>
        </w:tc>
      </w:tr>
      <w:tr w:rsidR="008E5DE4" w14:paraId="08058123" w14:textId="77777777">
        <w:trPr>
          <w:cantSplit/>
          <w:trHeight w:val="169"/>
        </w:trPr>
        <w:tc>
          <w:tcPr>
            <w:tcW w:w="3061" w:type="dxa"/>
            <w:tcBorders>
              <w:bottom w:val="single" w:sz="4" w:space="0" w:color="000000"/>
            </w:tcBorders>
            <w:vAlign w:val="bottom"/>
          </w:tcPr>
          <w:p w14:paraId="3CB3D39D"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59C9F212"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35873A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35ABD90"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2B2737F9"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A9B0C3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92FB19B"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5BD602C"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0D1F6229" w14:textId="77777777" w:rsidR="008E5DE4" w:rsidRDefault="008E5DE4">
            <w:pPr>
              <w:widowControl w:val="0"/>
              <w:pBdr>
                <w:top w:val="nil"/>
                <w:left w:val="nil"/>
                <w:bottom w:val="nil"/>
                <w:right w:val="nil"/>
                <w:between w:val="nil"/>
              </w:pBdr>
              <w:jc w:val="right"/>
              <w:rPr>
                <w:color w:val="000000"/>
              </w:rPr>
            </w:pPr>
          </w:p>
        </w:tc>
      </w:tr>
      <w:tr w:rsidR="008E5DE4" w14:paraId="447B9678" w14:textId="77777777">
        <w:trPr>
          <w:cantSplit/>
          <w:trHeight w:val="153"/>
        </w:trPr>
        <w:tc>
          <w:tcPr>
            <w:tcW w:w="3061" w:type="dxa"/>
            <w:tcBorders>
              <w:top w:val="single" w:sz="4" w:space="0" w:color="000000"/>
            </w:tcBorders>
            <w:vAlign w:val="bottom"/>
          </w:tcPr>
          <w:p w14:paraId="5637BEB5"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339BF8ED"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1A9676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AF0A2F2"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5CA81786"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379B4D6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BF5BE43"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D90F99C"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3DC4DDBE" w14:textId="77777777" w:rsidR="008E5DE4" w:rsidRDefault="008E5DE4">
            <w:pPr>
              <w:widowControl w:val="0"/>
              <w:pBdr>
                <w:top w:val="nil"/>
                <w:left w:val="nil"/>
                <w:bottom w:val="nil"/>
                <w:right w:val="nil"/>
                <w:between w:val="nil"/>
              </w:pBdr>
              <w:jc w:val="right"/>
              <w:rPr>
                <w:color w:val="000000"/>
              </w:rPr>
            </w:pPr>
          </w:p>
        </w:tc>
      </w:tr>
      <w:tr w:rsidR="008E5DE4" w14:paraId="480FF70A" w14:textId="77777777">
        <w:trPr>
          <w:cantSplit/>
          <w:trHeight w:val="245"/>
        </w:trPr>
        <w:tc>
          <w:tcPr>
            <w:tcW w:w="3061" w:type="dxa"/>
            <w:vAlign w:val="bottom"/>
          </w:tcPr>
          <w:p w14:paraId="54484844"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74094E4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40C605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9D7E68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AB4BB57"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283C5B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444871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3FEA0F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A72255B" w14:textId="77777777" w:rsidR="008E5DE4" w:rsidRDefault="008E5DE4">
            <w:pPr>
              <w:widowControl w:val="0"/>
              <w:pBdr>
                <w:top w:val="nil"/>
                <w:left w:val="nil"/>
                <w:bottom w:val="nil"/>
                <w:right w:val="nil"/>
                <w:between w:val="nil"/>
              </w:pBdr>
              <w:jc w:val="right"/>
              <w:rPr>
                <w:color w:val="000000"/>
              </w:rPr>
            </w:pPr>
          </w:p>
        </w:tc>
      </w:tr>
      <w:tr w:rsidR="008E5DE4" w14:paraId="63059AEC" w14:textId="77777777">
        <w:trPr>
          <w:cantSplit/>
          <w:trHeight w:val="80"/>
        </w:trPr>
        <w:tc>
          <w:tcPr>
            <w:tcW w:w="3061" w:type="dxa"/>
            <w:tcBorders>
              <w:bottom w:val="single" w:sz="4" w:space="0" w:color="000000"/>
            </w:tcBorders>
            <w:vAlign w:val="bottom"/>
          </w:tcPr>
          <w:p w14:paraId="27851273"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37219B1F"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1F48C9D5"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673B47D"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5FDFFD85"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2F0DB68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C2113E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C04F568"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45477FFB" w14:textId="77777777" w:rsidR="008E5DE4" w:rsidRDefault="008E5DE4">
            <w:pPr>
              <w:widowControl w:val="0"/>
              <w:pBdr>
                <w:top w:val="nil"/>
                <w:left w:val="nil"/>
                <w:bottom w:val="nil"/>
                <w:right w:val="nil"/>
                <w:between w:val="nil"/>
              </w:pBdr>
              <w:jc w:val="right"/>
              <w:rPr>
                <w:color w:val="000000"/>
              </w:rPr>
            </w:pPr>
          </w:p>
        </w:tc>
      </w:tr>
      <w:tr w:rsidR="008E5DE4" w14:paraId="5F1B555F" w14:textId="77777777">
        <w:trPr>
          <w:cantSplit/>
          <w:trHeight w:val="153"/>
        </w:trPr>
        <w:tc>
          <w:tcPr>
            <w:tcW w:w="3061" w:type="dxa"/>
            <w:tcBorders>
              <w:top w:val="single" w:sz="4" w:space="0" w:color="000000"/>
            </w:tcBorders>
            <w:vAlign w:val="bottom"/>
          </w:tcPr>
          <w:p w14:paraId="6915284C"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6BB7E045"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0823B027"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C299006"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41871770"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769AF4A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1A9C4F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8F677C5"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025DAF51" w14:textId="77777777" w:rsidR="008E5DE4" w:rsidRDefault="008E5DE4">
            <w:pPr>
              <w:widowControl w:val="0"/>
              <w:pBdr>
                <w:top w:val="nil"/>
                <w:left w:val="nil"/>
                <w:bottom w:val="nil"/>
                <w:right w:val="nil"/>
                <w:between w:val="nil"/>
              </w:pBdr>
              <w:jc w:val="right"/>
              <w:rPr>
                <w:color w:val="000000"/>
              </w:rPr>
            </w:pPr>
          </w:p>
        </w:tc>
      </w:tr>
      <w:tr w:rsidR="008E5DE4" w14:paraId="58BD83E8" w14:textId="77777777">
        <w:trPr>
          <w:cantSplit/>
          <w:trHeight w:val="692"/>
        </w:trPr>
        <w:tc>
          <w:tcPr>
            <w:tcW w:w="3061" w:type="dxa"/>
            <w:vAlign w:val="bottom"/>
          </w:tcPr>
          <w:p w14:paraId="36A6F807"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3E85FF35"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359C65DA"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BFC2E9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49535BF"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B3BABC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0B394DB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066C18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11AB799"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9024FD6" w14:textId="77777777" w:rsidR="008E5DE4" w:rsidRDefault="008E5DE4">
            <w:pPr>
              <w:widowControl w:val="0"/>
              <w:pBdr>
                <w:top w:val="nil"/>
                <w:left w:val="nil"/>
                <w:bottom w:val="nil"/>
                <w:right w:val="nil"/>
                <w:between w:val="nil"/>
              </w:pBdr>
              <w:jc w:val="right"/>
              <w:rPr>
                <w:color w:val="000000"/>
                <w:highlight w:val="green"/>
              </w:rPr>
            </w:pPr>
          </w:p>
        </w:tc>
      </w:tr>
      <w:tr w:rsidR="008E5DE4" w14:paraId="3310ABB0" w14:textId="77777777">
        <w:trPr>
          <w:cantSplit/>
          <w:trHeight w:val="169"/>
        </w:trPr>
        <w:tc>
          <w:tcPr>
            <w:tcW w:w="3061" w:type="dxa"/>
            <w:vAlign w:val="bottom"/>
          </w:tcPr>
          <w:p w14:paraId="797A39D6"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6109CFC9"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075346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B6819D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3B4902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610AAE0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1C2895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F1CEB03"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370A257" w14:textId="77777777" w:rsidR="008E5DE4" w:rsidRDefault="008E5DE4">
            <w:pPr>
              <w:widowControl w:val="0"/>
              <w:pBdr>
                <w:top w:val="nil"/>
                <w:left w:val="nil"/>
                <w:bottom w:val="nil"/>
                <w:right w:val="nil"/>
                <w:between w:val="nil"/>
              </w:pBdr>
              <w:jc w:val="right"/>
              <w:rPr>
                <w:color w:val="000000"/>
                <w:highlight w:val="green"/>
              </w:rPr>
            </w:pPr>
          </w:p>
        </w:tc>
      </w:tr>
      <w:tr w:rsidR="008E5DE4" w14:paraId="1BBCE54E" w14:textId="77777777">
        <w:trPr>
          <w:cantSplit/>
          <w:trHeight w:val="169"/>
        </w:trPr>
        <w:tc>
          <w:tcPr>
            <w:tcW w:w="3061" w:type="dxa"/>
            <w:vAlign w:val="bottom"/>
          </w:tcPr>
          <w:p w14:paraId="21974EBD"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44B46D4B"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58D1BEC5"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1907452"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DCB1EB8"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146643C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242DA7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9C4972F"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5E8B6E3" w14:textId="77777777" w:rsidR="008E5DE4" w:rsidRDefault="008E5DE4">
            <w:pPr>
              <w:widowControl w:val="0"/>
              <w:pBdr>
                <w:top w:val="nil"/>
                <w:left w:val="nil"/>
                <w:bottom w:val="nil"/>
                <w:right w:val="nil"/>
                <w:between w:val="nil"/>
              </w:pBdr>
              <w:jc w:val="right"/>
              <w:rPr>
                <w:color w:val="000000"/>
                <w:highlight w:val="green"/>
              </w:rPr>
            </w:pPr>
          </w:p>
        </w:tc>
      </w:tr>
      <w:tr w:rsidR="008E5DE4" w14:paraId="2E6113F2" w14:textId="77777777">
        <w:trPr>
          <w:cantSplit/>
          <w:trHeight w:val="337"/>
        </w:trPr>
        <w:tc>
          <w:tcPr>
            <w:tcW w:w="3061" w:type="dxa"/>
            <w:vAlign w:val="bottom"/>
          </w:tcPr>
          <w:p w14:paraId="38B595B6"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293D3FA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DC0EAE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CFF661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CFC94F0"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0EA9C7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380926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67DAD8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E77A0CF" w14:textId="77777777" w:rsidR="008E5DE4" w:rsidRDefault="008E5DE4">
            <w:pPr>
              <w:widowControl w:val="0"/>
              <w:pBdr>
                <w:top w:val="nil"/>
                <w:left w:val="nil"/>
                <w:bottom w:val="nil"/>
                <w:right w:val="nil"/>
                <w:between w:val="nil"/>
              </w:pBdr>
              <w:jc w:val="right"/>
              <w:rPr>
                <w:color w:val="000000"/>
              </w:rPr>
            </w:pPr>
          </w:p>
        </w:tc>
      </w:tr>
      <w:tr w:rsidR="008E5DE4" w14:paraId="416864A7" w14:textId="77777777">
        <w:trPr>
          <w:cantSplit/>
          <w:trHeight w:val="231"/>
        </w:trPr>
        <w:tc>
          <w:tcPr>
            <w:tcW w:w="3061" w:type="dxa"/>
            <w:vAlign w:val="bottom"/>
          </w:tcPr>
          <w:p w14:paraId="5D46F039"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057A953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ABB6F5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3AC43D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2B2542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E537B5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3AEA4C7"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DF40B4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662A532" w14:textId="77777777" w:rsidR="008E5DE4" w:rsidRDefault="008E5DE4">
            <w:pPr>
              <w:widowControl w:val="0"/>
              <w:pBdr>
                <w:top w:val="nil"/>
                <w:left w:val="nil"/>
                <w:bottom w:val="nil"/>
                <w:right w:val="nil"/>
                <w:between w:val="nil"/>
              </w:pBdr>
              <w:jc w:val="right"/>
              <w:rPr>
                <w:color w:val="000000"/>
              </w:rPr>
            </w:pPr>
          </w:p>
        </w:tc>
      </w:tr>
      <w:tr w:rsidR="008E5DE4" w14:paraId="2C96E468" w14:textId="77777777">
        <w:trPr>
          <w:cantSplit/>
          <w:trHeight w:val="169"/>
        </w:trPr>
        <w:tc>
          <w:tcPr>
            <w:tcW w:w="3061" w:type="dxa"/>
            <w:tcBorders>
              <w:bottom w:val="single" w:sz="4" w:space="0" w:color="000000"/>
            </w:tcBorders>
            <w:vAlign w:val="bottom"/>
          </w:tcPr>
          <w:p w14:paraId="5CEA2D50"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1ED93D51"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0F120B7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24DBEAC"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3B98B768"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6CC0F25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11DBA1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C79C187"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56022D76" w14:textId="77777777" w:rsidR="008E5DE4" w:rsidRDefault="008E5DE4">
            <w:pPr>
              <w:widowControl w:val="0"/>
              <w:pBdr>
                <w:top w:val="nil"/>
                <w:left w:val="nil"/>
                <w:bottom w:val="nil"/>
                <w:right w:val="nil"/>
                <w:between w:val="nil"/>
              </w:pBdr>
              <w:jc w:val="right"/>
              <w:rPr>
                <w:color w:val="000000"/>
              </w:rPr>
            </w:pPr>
          </w:p>
        </w:tc>
      </w:tr>
      <w:tr w:rsidR="008E5DE4" w14:paraId="3A0ACB43" w14:textId="77777777">
        <w:trPr>
          <w:cantSplit/>
          <w:trHeight w:val="169"/>
        </w:trPr>
        <w:tc>
          <w:tcPr>
            <w:tcW w:w="3061" w:type="dxa"/>
            <w:tcBorders>
              <w:top w:val="single" w:sz="4" w:space="0" w:color="000000"/>
            </w:tcBorders>
            <w:vAlign w:val="bottom"/>
          </w:tcPr>
          <w:p w14:paraId="33C529C5"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2DE0490D"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05F537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410AFC1"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F333E33"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6BE6287B"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7ABDD8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75F9FED"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4A870D01" w14:textId="77777777" w:rsidR="008E5DE4" w:rsidRDefault="008E5DE4">
            <w:pPr>
              <w:widowControl w:val="0"/>
              <w:pBdr>
                <w:top w:val="nil"/>
                <w:left w:val="nil"/>
                <w:bottom w:val="nil"/>
                <w:right w:val="nil"/>
                <w:between w:val="nil"/>
              </w:pBdr>
              <w:jc w:val="right"/>
              <w:rPr>
                <w:color w:val="000000"/>
              </w:rPr>
            </w:pPr>
          </w:p>
        </w:tc>
      </w:tr>
      <w:tr w:rsidR="008E5DE4" w14:paraId="630C67A5" w14:textId="77777777">
        <w:trPr>
          <w:cantSplit/>
          <w:trHeight w:val="169"/>
        </w:trPr>
        <w:tc>
          <w:tcPr>
            <w:tcW w:w="3061" w:type="dxa"/>
            <w:vAlign w:val="bottom"/>
          </w:tcPr>
          <w:p w14:paraId="4B249265" w14:textId="041A66A5"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55110A5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9C6FA7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1842E1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6E8969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13E6438D"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3BA352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995736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57921A5" w14:textId="77777777" w:rsidR="008E5DE4" w:rsidRDefault="008E5DE4">
            <w:pPr>
              <w:widowControl w:val="0"/>
              <w:pBdr>
                <w:top w:val="nil"/>
                <w:left w:val="nil"/>
                <w:bottom w:val="nil"/>
                <w:right w:val="nil"/>
                <w:between w:val="nil"/>
              </w:pBdr>
              <w:jc w:val="right"/>
              <w:rPr>
                <w:color w:val="000000"/>
              </w:rPr>
            </w:pPr>
          </w:p>
        </w:tc>
      </w:tr>
      <w:tr w:rsidR="008E5DE4" w14:paraId="47DAA47F" w14:textId="77777777">
        <w:trPr>
          <w:cantSplit/>
          <w:trHeight w:val="169"/>
        </w:trPr>
        <w:tc>
          <w:tcPr>
            <w:tcW w:w="3061" w:type="dxa"/>
            <w:tcBorders>
              <w:bottom w:val="single" w:sz="12" w:space="0" w:color="000000"/>
            </w:tcBorders>
            <w:vAlign w:val="bottom"/>
          </w:tcPr>
          <w:p w14:paraId="6DF10153"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51CCCBEE"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38B8503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11E91C67"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36F36287"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321796FB"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4E07EF07"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2169C333"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71724554" w14:textId="77777777" w:rsidR="008E5DE4" w:rsidRDefault="008E5DE4">
            <w:pPr>
              <w:widowControl w:val="0"/>
              <w:pBdr>
                <w:top w:val="nil"/>
                <w:left w:val="nil"/>
                <w:bottom w:val="nil"/>
                <w:right w:val="nil"/>
                <w:between w:val="nil"/>
              </w:pBdr>
              <w:jc w:val="right"/>
              <w:rPr>
                <w:color w:val="000000"/>
              </w:rPr>
            </w:pPr>
          </w:p>
        </w:tc>
      </w:tr>
    </w:tbl>
    <w:p w14:paraId="29E57514"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62C94B0B"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5F50C979"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394E170D"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03D71D60"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6E8EA292" w14:textId="5339A895"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promissory notes carried at AC in </w:t>
      </w:r>
      <w:r w:rsidR="008614F8">
        <w:rPr>
          <w:color w:val="000000"/>
          <w:sz w:val="20"/>
          <w:szCs w:val="20"/>
        </w:rPr>
        <w:t>2025</w:t>
      </w:r>
      <w:r>
        <w:rPr>
          <w:color w:val="000000"/>
          <w:sz w:val="20"/>
          <w:szCs w:val="20"/>
        </w:rPr>
        <w:t xml:space="preserve"> were as follows.</w:t>
      </w:r>
    </w:p>
    <w:tbl>
      <w:tblPr>
        <w:tblStyle w:val="affffffff1"/>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586F13CD" w14:textId="77777777">
        <w:trPr>
          <w:cantSplit/>
          <w:trHeight w:val="169"/>
          <w:tblHeader/>
        </w:trPr>
        <w:tc>
          <w:tcPr>
            <w:tcW w:w="3061" w:type="dxa"/>
            <w:vAlign w:val="bottom"/>
          </w:tcPr>
          <w:p w14:paraId="70FFABCE"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1B6EE5EA"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08770107"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213EC271" w14:textId="77777777">
        <w:trPr>
          <w:cantSplit/>
          <w:trHeight w:val="507"/>
          <w:tblHeader/>
        </w:trPr>
        <w:tc>
          <w:tcPr>
            <w:tcW w:w="3061" w:type="dxa"/>
            <w:tcBorders>
              <w:bottom w:val="single" w:sz="4" w:space="0" w:color="000000"/>
            </w:tcBorders>
            <w:vAlign w:val="bottom"/>
          </w:tcPr>
          <w:p w14:paraId="38578A65" w14:textId="77777777" w:rsidR="008E5DE4" w:rsidRDefault="008E5DE4">
            <w:pPr>
              <w:widowControl w:val="0"/>
              <w:pBdr>
                <w:top w:val="nil"/>
                <w:left w:val="nil"/>
                <w:bottom w:val="nil"/>
                <w:right w:val="nil"/>
                <w:between w:val="nil"/>
              </w:pBdr>
              <w:ind w:left="113" w:right="-57" w:hanging="113"/>
              <w:rPr>
                <w:i/>
                <w:color w:val="000000"/>
              </w:rPr>
            </w:pPr>
          </w:p>
          <w:p w14:paraId="11652640"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70792BC1"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73908864"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0ACD5925"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02E19AD1"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23FCE426"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37C93D54"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3E42A0D9"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1D217CCD"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28BD8164"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0919A6A8"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381B3FE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086EE4E6"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21500195"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1559632F"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4490B30E" w14:textId="77777777">
        <w:trPr>
          <w:cantSplit/>
          <w:trHeight w:val="169"/>
          <w:tblHeader/>
        </w:trPr>
        <w:tc>
          <w:tcPr>
            <w:tcW w:w="3061" w:type="dxa"/>
            <w:vAlign w:val="bottom"/>
          </w:tcPr>
          <w:p w14:paraId="7FB61DA6" w14:textId="77777777" w:rsidR="008E5DE4" w:rsidRDefault="008E5DE4">
            <w:pPr>
              <w:widowControl w:val="0"/>
              <w:ind w:left="113" w:right="-57" w:hanging="113"/>
            </w:pPr>
          </w:p>
        </w:tc>
        <w:tc>
          <w:tcPr>
            <w:tcW w:w="851" w:type="dxa"/>
            <w:vAlign w:val="bottom"/>
          </w:tcPr>
          <w:p w14:paraId="089C56C7"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70B9D24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3C5D527"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78EF256" w14:textId="77777777" w:rsidR="008E5DE4" w:rsidRDefault="008E5DE4">
            <w:pPr>
              <w:widowControl w:val="0"/>
              <w:pBdr>
                <w:top w:val="nil"/>
                <w:left w:val="nil"/>
                <w:bottom w:val="nil"/>
                <w:right w:val="nil"/>
                <w:between w:val="nil"/>
              </w:pBdr>
              <w:jc w:val="right"/>
              <w:rPr>
                <w:color w:val="000000"/>
              </w:rPr>
            </w:pPr>
          </w:p>
        </w:tc>
        <w:tc>
          <w:tcPr>
            <w:tcW w:w="871" w:type="dxa"/>
          </w:tcPr>
          <w:p w14:paraId="41F3BDC9" w14:textId="77777777" w:rsidR="008E5DE4" w:rsidRDefault="008E5DE4">
            <w:pPr>
              <w:widowControl w:val="0"/>
              <w:pBdr>
                <w:top w:val="nil"/>
                <w:left w:val="nil"/>
                <w:bottom w:val="nil"/>
                <w:right w:val="nil"/>
                <w:between w:val="nil"/>
              </w:pBdr>
              <w:jc w:val="right"/>
              <w:rPr>
                <w:color w:val="000000"/>
              </w:rPr>
            </w:pPr>
          </w:p>
        </w:tc>
        <w:tc>
          <w:tcPr>
            <w:tcW w:w="856" w:type="dxa"/>
          </w:tcPr>
          <w:p w14:paraId="3EC49B44" w14:textId="77777777" w:rsidR="008E5DE4" w:rsidRDefault="008E5DE4">
            <w:pPr>
              <w:widowControl w:val="0"/>
              <w:pBdr>
                <w:top w:val="nil"/>
                <w:left w:val="nil"/>
                <w:bottom w:val="nil"/>
                <w:right w:val="nil"/>
                <w:between w:val="nil"/>
              </w:pBdr>
              <w:jc w:val="right"/>
              <w:rPr>
                <w:color w:val="000000"/>
              </w:rPr>
            </w:pPr>
          </w:p>
        </w:tc>
        <w:tc>
          <w:tcPr>
            <w:tcW w:w="856" w:type="dxa"/>
          </w:tcPr>
          <w:p w14:paraId="178551F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0A6A83A" w14:textId="77777777" w:rsidR="008E5DE4" w:rsidRDefault="008E5DE4">
            <w:pPr>
              <w:widowControl w:val="0"/>
              <w:pBdr>
                <w:top w:val="nil"/>
                <w:left w:val="nil"/>
                <w:bottom w:val="nil"/>
                <w:right w:val="nil"/>
                <w:between w:val="nil"/>
              </w:pBdr>
              <w:jc w:val="right"/>
              <w:rPr>
                <w:color w:val="000000"/>
              </w:rPr>
            </w:pPr>
          </w:p>
        </w:tc>
      </w:tr>
      <w:tr w:rsidR="008E5DE4" w14:paraId="47E638E2" w14:textId="77777777">
        <w:trPr>
          <w:cantSplit/>
          <w:trHeight w:val="169"/>
        </w:trPr>
        <w:tc>
          <w:tcPr>
            <w:tcW w:w="3061" w:type="dxa"/>
            <w:vAlign w:val="bottom"/>
          </w:tcPr>
          <w:p w14:paraId="7E31EED5"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Promissory notes</w:t>
            </w:r>
          </w:p>
        </w:tc>
        <w:tc>
          <w:tcPr>
            <w:tcW w:w="851" w:type="dxa"/>
            <w:vAlign w:val="bottom"/>
          </w:tcPr>
          <w:p w14:paraId="5CA45DE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8B3894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AA6A6F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660055B" w14:textId="77777777" w:rsidR="008E5DE4" w:rsidRDefault="008E5DE4">
            <w:pPr>
              <w:widowControl w:val="0"/>
              <w:pBdr>
                <w:top w:val="nil"/>
                <w:left w:val="nil"/>
                <w:bottom w:val="nil"/>
                <w:right w:val="nil"/>
                <w:between w:val="nil"/>
              </w:pBdr>
              <w:jc w:val="right"/>
              <w:rPr>
                <w:color w:val="000000"/>
              </w:rPr>
            </w:pPr>
          </w:p>
        </w:tc>
        <w:tc>
          <w:tcPr>
            <w:tcW w:w="871" w:type="dxa"/>
          </w:tcPr>
          <w:p w14:paraId="1CBA53AB" w14:textId="77777777" w:rsidR="008E5DE4" w:rsidRDefault="008E5DE4">
            <w:pPr>
              <w:widowControl w:val="0"/>
              <w:pBdr>
                <w:top w:val="nil"/>
                <w:left w:val="nil"/>
                <w:bottom w:val="nil"/>
                <w:right w:val="nil"/>
                <w:between w:val="nil"/>
              </w:pBdr>
              <w:jc w:val="right"/>
              <w:rPr>
                <w:color w:val="000000"/>
              </w:rPr>
            </w:pPr>
          </w:p>
        </w:tc>
        <w:tc>
          <w:tcPr>
            <w:tcW w:w="856" w:type="dxa"/>
          </w:tcPr>
          <w:p w14:paraId="33289845" w14:textId="77777777" w:rsidR="008E5DE4" w:rsidRDefault="008E5DE4">
            <w:pPr>
              <w:widowControl w:val="0"/>
              <w:pBdr>
                <w:top w:val="nil"/>
                <w:left w:val="nil"/>
                <w:bottom w:val="nil"/>
                <w:right w:val="nil"/>
                <w:between w:val="nil"/>
              </w:pBdr>
              <w:jc w:val="right"/>
              <w:rPr>
                <w:color w:val="000000"/>
              </w:rPr>
            </w:pPr>
          </w:p>
        </w:tc>
        <w:tc>
          <w:tcPr>
            <w:tcW w:w="856" w:type="dxa"/>
          </w:tcPr>
          <w:p w14:paraId="37665E0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D3290B4" w14:textId="77777777" w:rsidR="008E5DE4" w:rsidRDefault="008E5DE4">
            <w:pPr>
              <w:widowControl w:val="0"/>
              <w:pBdr>
                <w:top w:val="nil"/>
                <w:left w:val="nil"/>
                <w:bottom w:val="nil"/>
                <w:right w:val="nil"/>
                <w:between w:val="nil"/>
              </w:pBdr>
              <w:jc w:val="right"/>
              <w:rPr>
                <w:color w:val="000000"/>
              </w:rPr>
            </w:pPr>
          </w:p>
        </w:tc>
      </w:tr>
      <w:tr w:rsidR="008E5DE4" w14:paraId="09A5E4F7" w14:textId="77777777">
        <w:trPr>
          <w:cantSplit/>
          <w:trHeight w:val="169"/>
        </w:trPr>
        <w:tc>
          <w:tcPr>
            <w:tcW w:w="3061" w:type="dxa"/>
            <w:vAlign w:val="bottom"/>
          </w:tcPr>
          <w:p w14:paraId="66211ABA"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1F0B4F9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FF98E5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3D6F08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7D56E97" w14:textId="77777777" w:rsidR="008E5DE4" w:rsidRDefault="008E5DE4">
            <w:pPr>
              <w:widowControl w:val="0"/>
              <w:pBdr>
                <w:top w:val="nil"/>
                <w:left w:val="nil"/>
                <w:bottom w:val="nil"/>
                <w:right w:val="nil"/>
                <w:between w:val="nil"/>
              </w:pBdr>
              <w:jc w:val="right"/>
              <w:rPr>
                <w:color w:val="000000"/>
              </w:rPr>
            </w:pPr>
          </w:p>
        </w:tc>
        <w:tc>
          <w:tcPr>
            <w:tcW w:w="871" w:type="dxa"/>
          </w:tcPr>
          <w:p w14:paraId="720055B8" w14:textId="77777777" w:rsidR="008E5DE4" w:rsidRDefault="008E5DE4">
            <w:pPr>
              <w:widowControl w:val="0"/>
              <w:pBdr>
                <w:top w:val="nil"/>
                <w:left w:val="nil"/>
                <w:bottom w:val="nil"/>
                <w:right w:val="nil"/>
                <w:between w:val="nil"/>
              </w:pBdr>
              <w:jc w:val="right"/>
              <w:rPr>
                <w:color w:val="000000"/>
              </w:rPr>
            </w:pPr>
          </w:p>
        </w:tc>
        <w:tc>
          <w:tcPr>
            <w:tcW w:w="856" w:type="dxa"/>
          </w:tcPr>
          <w:p w14:paraId="11E55CE5" w14:textId="77777777" w:rsidR="008E5DE4" w:rsidRDefault="008E5DE4">
            <w:pPr>
              <w:widowControl w:val="0"/>
              <w:pBdr>
                <w:top w:val="nil"/>
                <w:left w:val="nil"/>
                <w:bottom w:val="nil"/>
                <w:right w:val="nil"/>
                <w:between w:val="nil"/>
              </w:pBdr>
              <w:jc w:val="right"/>
              <w:rPr>
                <w:color w:val="000000"/>
              </w:rPr>
            </w:pPr>
          </w:p>
        </w:tc>
        <w:tc>
          <w:tcPr>
            <w:tcW w:w="856" w:type="dxa"/>
          </w:tcPr>
          <w:p w14:paraId="27298A2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FA575D2" w14:textId="77777777" w:rsidR="008E5DE4" w:rsidRDefault="008E5DE4">
            <w:pPr>
              <w:widowControl w:val="0"/>
              <w:pBdr>
                <w:top w:val="nil"/>
                <w:left w:val="nil"/>
                <w:bottom w:val="nil"/>
                <w:right w:val="nil"/>
                <w:between w:val="nil"/>
              </w:pBdr>
              <w:jc w:val="right"/>
              <w:rPr>
                <w:color w:val="000000"/>
              </w:rPr>
            </w:pPr>
          </w:p>
        </w:tc>
      </w:tr>
      <w:tr w:rsidR="008E5DE4" w14:paraId="47E3798C" w14:textId="77777777">
        <w:trPr>
          <w:cantSplit/>
          <w:trHeight w:val="169"/>
        </w:trPr>
        <w:tc>
          <w:tcPr>
            <w:tcW w:w="3061" w:type="dxa"/>
            <w:vAlign w:val="bottom"/>
          </w:tcPr>
          <w:p w14:paraId="3C4D8BF5" w14:textId="6FA10C06"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05FF00A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2C81D6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21C7DA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A0DB1A8" w14:textId="77777777" w:rsidR="008E5DE4" w:rsidRDefault="008E5DE4">
            <w:pPr>
              <w:widowControl w:val="0"/>
              <w:pBdr>
                <w:top w:val="nil"/>
                <w:left w:val="nil"/>
                <w:bottom w:val="nil"/>
                <w:right w:val="nil"/>
                <w:between w:val="nil"/>
              </w:pBdr>
              <w:jc w:val="right"/>
              <w:rPr>
                <w:color w:val="000000"/>
              </w:rPr>
            </w:pPr>
          </w:p>
        </w:tc>
        <w:tc>
          <w:tcPr>
            <w:tcW w:w="871" w:type="dxa"/>
          </w:tcPr>
          <w:p w14:paraId="0A655E37" w14:textId="77777777" w:rsidR="008E5DE4" w:rsidRDefault="008E5DE4">
            <w:pPr>
              <w:widowControl w:val="0"/>
              <w:pBdr>
                <w:top w:val="nil"/>
                <w:left w:val="nil"/>
                <w:bottom w:val="nil"/>
                <w:right w:val="nil"/>
                <w:between w:val="nil"/>
              </w:pBdr>
              <w:jc w:val="right"/>
              <w:rPr>
                <w:color w:val="000000"/>
              </w:rPr>
            </w:pPr>
          </w:p>
        </w:tc>
        <w:tc>
          <w:tcPr>
            <w:tcW w:w="856" w:type="dxa"/>
          </w:tcPr>
          <w:p w14:paraId="6DDC11D6" w14:textId="77777777" w:rsidR="008E5DE4" w:rsidRDefault="008E5DE4">
            <w:pPr>
              <w:widowControl w:val="0"/>
              <w:pBdr>
                <w:top w:val="nil"/>
                <w:left w:val="nil"/>
                <w:bottom w:val="nil"/>
                <w:right w:val="nil"/>
                <w:between w:val="nil"/>
              </w:pBdr>
              <w:jc w:val="right"/>
              <w:rPr>
                <w:color w:val="000000"/>
              </w:rPr>
            </w:pPr>
          </w:p>
        </w:tc>
        <w:tc>
          <w:tcPr>
            <w:tcW w:w="856" w:type="dxa"/>
          </w:tcPr>
          <w:p w14:paraId="2EA51EE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F9E5304" w14:textId="77777777" w:rsidR="008E5DE4" w:rsidRDefault="008E5DE4">
            <w:pPr>
              <w:widowControl w:val="0"/>
              <w:pBdr>
                <w:top w:val="nil"/>
                <w:left w:val="nil"/>
                <w:bottom w:val="nil"/>
                <w:right w:val="nil"/>
                <w:between w:val="nil"/>
              </w:pBdr>
              <w:jc w:val="right"/>
              <w:rPr>
                <w:color w:val="000000"/>
              </w:rPr>
            </w:pPr>
          </w:p>
        </w:tc>
      </w:tr>
      <w:tr w:rsidR="008E5DE4" w14:paraId="38DABA0B" w14:textId="77777777">
        <w:trPr>
          <w:cantSplit/>
          <w:trHeight w:val="676"/>
        </w:trPr>
        <w:tc>
          <w:tcPr>
            <w:tcW w:w="3061" w:type="dxa"/>
            <w:vAlign w:val="bottom"/>
          </w:tcPr>
          <w:p w14:paraId="7CBAD96E" w14:textId="77777777" w:rsidR="008E5DE4" w:rsidRDefault="008E5DE4">
            <w:pPr>
              <w:widowControl w:val="0"/>
              <w:pBdr>
                <w:top w:val="nil"/>
                <w:left w:val="nil"/>
                <w:bottom w:val="nil"/>
                <w:right w:val="nil"/>
                <w:between w:val="nil"/>
              </w:pBdr>
              <w:ind w:left="113" w:right="-57" w:hanging="113"/>
              <w:rPr>
                <w:b/>
                <w:color w:val="000000"/>
              </w:rPr>
            </w:pPr>
          </w:p>
          <w:p w14:paraId="27344E8B"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1CB5EE7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A89CEA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3CAAA5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0F50612" w14:textId="77777777" w:rsidR="008E5DE4" w:rsidRDefault="008E5DE4">
            <w:pPr>
              <w:widowControl w:val="0"/>
              <w:pBdr>
                <w:top w:val="nil"/>
                <w:left w:val="nil"/>
                <w:bottom w:val="nil"/>
                <w:right w:val="nil"/>
                <w:between w:val="nil"/>
              </w:pBdr>
              <w:jc w:val="right"/>
              <w:rPr>
                <w:color w:val="000000"/>
              </w:rPr>
            </w:pPr>
          </w:p>
        </w:tc>
        <w:tc>
          <w:tcPr>
            <w:tcW w:w="871" w:type="dxa"/>
          </w:tcPr>
          <w:p w14:paraId="02F6CB2B"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50DCD004" w14:textId="77777777" w:rsidR="008E5DE4" w:rsidRDefault="008E5DE4">
            <w:pPr>
              <w:widowControl w:val="0"/>
              <w:pBdr>
                <w:top w:val="nil"/>
                <w:left w:val="nil"/>
                <w:bottom w:val="nil"/>
                <w:right w:val="nil"/>
                <w:between w:val="nil"/>
              </w:pBdr>
              <w:jc w:val="right"/>
              <w:rPr>
                <w:color w:val="000000"/>
              </w:rPr>
            </w:pPr>
          </w:p>
        </w:tc>
        <w:tc>
          <w:tcPr>
            <w:tcW w:w="856" w:type="dxa"/>
          </w:tcPr>
          <w:p w14:paraId="4225076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19A55CF" w14:textId="77777777" w:rsidR="008E5DE4" w:rsidRDefault="008E5DE4">
            <w:pPr>
              <w:widowControl w:val="0"/>
              <w:pBdr>
                <w:top w:val="nil"/>
                <w:left w:val="nil"/>
                <w:bottom w:val="nil"/>
                <w:right w:val="nil"/>
                <w:between w:val="nil"/>
              </w:pBdr>
              <w:jc w:val="right"/>
              <w:rPr>
                <w:color w:val="000000"/>
              </w:rPr>
            </w:pPr>
          </w:p>
        </w:tc>
      </w:tr>
      <w:tr w:rsidR="008E5DE4" w14:paraId="4BCB6B2F" w14:textId="77777777">
        <w:trPr>
          <w:cantSplit/>
          <w:trHeight w:val="184"/>
        </w:trPr>
        <w:tc>
          <w:tcPr>
            <w:tcW w:w="3061" w:type="dxa"/>
            <w:vAlign w:val="bottom"/>
          </w:tcPr>
          <w:p w14:paraId="3A201BA7"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7CD19F78"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0DFBB9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22BCF57"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5BE2DC0"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3BEDDD0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F44BA1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AA4FEA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26CAC3EF" w14:textId="77777777" w:rsidR="008E5DE4" w:rsidRDefault="008E5DE4">
            <w:pPr>
              <w:widowControl w:val="0"/>
              <w:pBdr>
                <w:top w:val="nil"/>
                <w:left w:val="nil"/>
                <w:bottom w:val="nil"/>
                <w:right w:val="nil"/>
                <w:between w:val="nil"/>
              </w:pBdr>
              <w:jc w:val="right"/>
              <w:rPr>
                <w:color w:val="000000"/>
                <w:highlight w:val="green"/>
              </w:rPr>
            </w:pPr>
          </w:p>
        </w:tc>
      </w:tr>
      <w:tr w:rsidR="008E5DE4" w14:paraId="353FDA00" w14:textId="77777777">
        <w:trPr>
          <w:cantSplit/>
          <w:trHeight w:val="184"/>
        </w:trPr>
        <w:tc>
          <w:tcPr>
            <w:tcW w:w="3061" w:type="dxa"/>
            <w:vAlign w:val="bottom"/>
          </w:tcPr>
          <w:p w14:paraId="55DBCF3A"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6CA9C626"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823971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8682DCA"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FB16F74"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050DA38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746A17E"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BAE54DC"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9FA5FF4" w14:textId="77777777" w:rsidR="008E5DE4" w:rsidRDefault="008E5DE4">
            <w:pPr>
              <w:widowControl w:val="0"/>
              <w:pBdr>
                <w:top w:val="nil"/>
                <w:left w:val="nil"/>
                <w:bottom w:val="nil"/>
                <w:right w:val="nil"/>
                <w:between w:val="nil"/>
              </w:pBdr>
              <w:jc w:val="right"/>
              <w:rPr>
                <w:color w:val="000000"/>
                <w:highlight w:val="green"/>
              </w:rPr>
            </w:pPr>
          </w:p>
        </w:tc>
      </w:tr>
      <w:tr w:rsidR="008E5DE4" w14:paraId="0EB3BDAD" w14:textId="77777777">
        <w:trPr>
          <w:cantSplit/>
          <w:trHeight w:val="80"/>
        </w:trPr>
        <w:tc>
          <w:tcPr>
            <w:tcW w:w="3061" w:type="dxa"/>
            <w:vAlign w:val="bottom"/>
          </w:tcPr>
          <w:p w14:paraId="6D9AFAFA"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6D9B45E0"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8D4825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B99D120"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6F87A0A"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56E9B11"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F3F8EF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645BEDD2"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5BF808F" w14:textId="77777777" w:rsidR="008E5DE4" w:rsidRDefault="008E5DE4">
            <w:pPr>
              <w:widowControl w:val="0"/>
              <w:pBdr>
                <w:top w:val="nil"/>
                <w:left w:val="nil"/>
                <w:bottom w:val="nil"/>
                <w:right w:val="nil"/>
                <w:between w:val="nil"/>
              </w:pBdr>
              <w:jc w:val="right"/>
              <w:rPr>
                <w:color w:val="000000"/>
                <w:highlight w:val="green"/>
              </w:rPr>
            </w:pPr>
          </w:p>
        </w:tc>
      </w:tr>
      <w:tr w:rsidR="008E5DE4" w14:paraId="16A277F7" w14:textId="77777777">
        <w:trPr>
          <w:cantSplit/>
          <w:trHeight w:val="80"/>
        </w:trPr>
        <w:tc>
          <w:tcPr>
            <w:tcW w:w="3061" w:type="dxa"/>
            <w:vAlign w:val="bottom"/>
          </w:tcPr>
          <w:p w14:paraId="20805384"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7610B53C"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A05A72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5EB1DDF"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7E5DA96"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7FF9FE1"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4A5707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9D7D36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7D5F846" w14:textId="77777777" w:rsidR="008E5DE4" w:rsidRDefault="008E5DE4">
            <w:pPr>
              <w:widowControl w:val="0"/>
              <w:pBdr>
                <w:top w:val="nil"/>
                <w:left w:val="nil"/>
                <w:bottom w:val="nil"/>
                <w:right w:val="nil"/>
                <w:between w:val="nil"/>
              </w:pBdr>
              <w:jc w:val="right"/>
              <w:rPr>
                <w:color w:val="000000"/>
                <w:highlight w:val="green"/>
              </w:rPr>
            </w:pPr>
          </w:p>
        </w:tc>
      </w:tr>
      <w:tr w:rsidR="008E5DE4" w14:paraId="3F61003D" w14:textId="77777777">
        <w:trPr>
          <w:cantSplit/>
          <w:trHeight w:val="361"/>
        </w:trPr>
        <w:tc>
          <w:tcPr>
            <w:tcW w:w="3061" w:type="dxa"/>
            <w:vAlign w:val="bottom"/>
          </w:tcPr>
          <w:p w14:paraId="71E0ECBC"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5CE6D65D"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1EBAA78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9BA5FB3"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DF65EEB"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6FA4582D"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ED7AB77"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2D9A41D"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7279A2A1" w14:textId="77777777" w:rsidR="008E5DE4" w:rsidRDefault="008E5DE4">
            <w:pPr>
              <w:widowControl w:val="0"/>
              <w:pBdr>
                <w:top w:val="nil"/>
                <w:left w:val="nil"/>
                <w:bottom w:val="nil"/>
                <w:right w:val="nil"/>
                <w:between w:val="nil"/>
              </w:pBdr>
              <w:jc w:val="right"/>
              <w:rPr>
                <w:color w:val="000000"/>
                <w:highlight w:val="green"/>
              </w:rPr>
            </w:pPr>
          </w:p>
        </w:tc>
      </w:tr>
      <w:tr w:rsidR="008E5DE4" w14:paraId="258470FD" w14:textId="77777777">
        <w:trPr>
          <w:cantSplit/>
          <w:trHeight w:val="169"/>
        </w:trPr>
        <w:tc>
          <w:tcPr>
            <w:tcW w:w="3061" w:type="dxa"/>
            <w:vAlign w:val="bottom"/>
          </w:tcPr>
          <w:p w14:paraId="0752F769"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14EA230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54F947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9009FC3"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7FDA439" w14:textId="77777777" w:rsidR="008E5DE4" w:rsidRDefault="008E5DE4">
            <w:pPr>
              <w:widowControl w:val="0"/>
              <w:pBdr>
                <w:top w:val="nil"/>
                <w:left w:val="nil"/>
                <w:bottom w:val="nil"/>
                <w:right w:val="nil"/>
                <w:between w:val="nil"/>
              </w:pBdr>
              <w:jc w:val="right"/>
              <w:rPr>
                <w:color w:val="000000"/>
              </w:rPr>
            </w:pPr>
          </w:p>
        </w:tc>
        <w:tc>
          <w:tcPr>
            <w:tcW w:w="871" w:type="dxa"/>
          </w:tcPr>
          <w:p w14:paraId="58921B3D" w14:textId="77777777" w:rsidR="008E5DE4" w:rsidRDefault="008E5DE4">
            <w:pPr>
              <w:widowControl w:val="0"/>
              <w:pBdr>
                <w:top w:val="nil"/>
                <w:left w:val="nil"/>
                <w:bottom w:val="nil"/>
                <w:right w:val="nil"/>
                <w:between w:val="nil"/>
              </w:pBdr>
              <w:jc w:val="right"/>
              <w:rPr>
                <w:color w:val="000000"/>
              </w:rPr>
            </w:pPr>
          </w:p>
        </w:tc>
        <w:tc>
          <w:tcPr>
            <w:tcW w:w="856" w:type="dxa"/>
          </w:tcPr>
          <w:p w14:paraId="782BC8CD" w14:textId="77777777" w:rsidR="008E5DE4" w:rsidRDefault="008E5DE4">
            <w:pPr>
              <w:widowControl w:val="0"/>
              <w:pBdr>
                <w:top w:val="nil"/>
                <w:left w:val="nil"/>
                <w:bottom w:val="nil"/>
                <w:right w:val="nil"/>
                <w:between w:val="nil"/>
              </w:pBdr>
              <w:jc w:val="right"/>
              <w:rPr>
                <w:color w:val="000000"/>
              </w:rPr>
            </w:pPr>
          </w:p>
        </w:tc>
        <w:tc>
          <w:tcPr>
            <w:tcW w:w="856" w:type="dxa"/>
          </w:tcPr>
          <w:p w14:paraId="42C351E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5A2A5825" w14:textId="77777777" w:rsidR="008E5DE4" w:rsidRDefault="008E5DE4">
            <w:pPr>
              <w:widowControl w:val="0"/>
              <w:pBdr>
                <w:top w:val="nil"/>
                <w:left w:val="nil"/>
                <w:bottom w:val="nil"/>
                <w:right w:val="nil"/>
                <w:between w:val="nil"/>
              </w:pBdr>
              <w:jc w:val="right"/>
              <w:rPr>
                <w:color w:val="000000"/>
              </w:rPr>
            </w:pPr>
          </w:p>
        </w:tc>
      </w:tr>
      <w:tr w:rsidR="008E5DE4" w14:paraId="04F955FD" w14:textId="77777777">
        <w:trPr>
          <w:cantSplit/>
          <w:trHeight w:val="232"/>
        </w:trPr>
        <w:tc>
          <w:tcPr>
            <w:tcW w:w="3061" w:type="dxa"/>
            <w:vAlign w:val="bottom"/>
          </w:tcPr>
          <w:p w14:paraId="64EF62D0"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4EAEBBA6"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061B35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F29B08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D65ED0E" w14:textId="77777777" w:rsidR="008E5DE4" w:rsidRDefault="008E5DE4">
            <w:pPr>
              <w:widowControl w:val="0"/>
              <w:pBdr>
                <w:top w:val="nil"/>
                <w:left w:val="nil"/>
                <w:bottom w:val="nil"/>
                <w:right w:val="nil"/>
                <w:between w:val="nil"/>
              </w:pBdr>
              <w:jc w:val="right"/>
              <w:rPr>
                <w:color w:val="000000"/>
              </w:rPr>
            </w:pPr>
          </w:p>
        </w:tc>
        <w:tc>
          <w:tcPr>
            <w:tcW w:w="871" w:type="dxa"/>
          </w:tcPr>
          <w:p w14:paraId="2A440CE7" w14:textId="77777777" w:rsidR="008E5DE4" w:rsidRDefault="008E5DE4">
            <w:pPr>
              <w:widowControl w:val="0"/>
              <w:pBdr>
                <w:top w:val="nil"/>
                <w:left w:val="nil"/>
                <w:bottom w:val="nil"/>
                <w:right w:val="nil"/>
                <w:between w:val="nil"/>
              </w:pBdr>
              <w:jc w:val="right"/>
              <w:rPr>
                <w:color w:val="000000"/>
              </w:rPr>
            </w:pPr>
          </w:p>
        </w:tc>
        <w:tc>
          <w:tcPr>
            <w:tcW w:w="856" w:type="dxa"/>
          </w:tcPr>
          <w:p w14:paraId="0FAFB317" w14:textId="77777777" w:rsidR="008E5DE4" w:rsidRDefault="008E5DE4">
            <w:pPr>
              <w:widowControl w:val="0"/>
              <w:pBdr>
                <w:top w:val="nil"/>
                <w:left w:val="nil"/>
                <w:bottom w:val="nil"/>
                <w:right w:val="nil"/>
                <w:between w:val="nil"/>
              </w:pBdr>
              <w:jc w:val="right"/>
              <w:rPr>
                <w:color w:val="000000"/>
              </w:rPr>
            </w:pPr>
          </w:p>
        </w:tc>
        <w:tc>
          <w:tcPr>
            <w:tcW w:w="856" w:type="dxa"/>
          </w:tcPr>
          <w:p w14:paraId="6276438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E09B1DD" w14:textId="77777777" w:rsidR="008E5DE4" w:rsidRDefault="008E5DE4">
            <w:pPr>
              <w:widowControl w:val="0"/>
              <w:pBdr>
                <w:top w:val="nil"/>
                <w:left w:val="nil"/>
                <w:bottom w:val="nil"/>
                <w:right w:val="nil"/>
                <w:between w:val="nil"/>
              </w:pBdr>
              <w:jc w:val="right"/>
              <w:rPr>
                <w:color w:val="000000"/>
              </w:rPr>
            </w:pPr>
          </w:p>
        </w:tc>
      </w:tr>
      <w:tr w:rsidR="008E5DE4" w14:paraId="6D42C770" w14:textId="77777777">
        <w:trPr>
          <w:cantSplit/>
          <w:trHeight w:val="80"/>
        </w:trPr>
        <w:tc>
          <w:tcPr>
            <w:tcW w:w="3061" w:type="dxa"/>
            <w:vAlign w:val="bottom"/>
          </w:tcPr>
          <w:p w14:paraId="6C647132"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6457846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C7F130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208A798"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112155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DCA4B8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4C07A7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727342C"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6094903" w14:textId="77777777" w:rsidR="008E5DE4" w:rsidRDefault="008E5DE4">
            <w:pPr>
              <w:widowControl w:val="0"/>
              <w:pBdr>
                <w:top w:val="nil"/>
                <w:left w:val="nil"/>
                <w:bottom w:val="nil"/>
                <w:right w:val="nil"/>
                <w:between w:val="nil"/>
              </w:pBdr>
              <w:jc w:val="right"/>
              <w:rPr>
                <w:color w:val="000000"/>
              </w:rPr>
            </w:pPr>
          </w:p>
        </w:tc>
      </w:tr>
      <w:tr w:rsidR="008E5DE4" w14:paraId="023D7106" w14:textId="77777777">
        <w:trPr>
          <w:cantSplit/>
          <w:trHeight w:val="85"/>
        </w:trPr>
        <w:tc>
          <w:tcPr>
            <w:tcW w:w="3061" w:type="dxa"/>
            <w:vAlign w:val="bottom"/>
          </w:tcPr>
          <w:p w14:paraId="35E9FB3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6C582E3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DF1289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7AF8045"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2D8DF96"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506558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F0C2CA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119F262"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B749323" w14:textId="77777777" w:rsidR="008E5DE4" w:rsidRDefault="008E5DE4">
            <w:pPr>
              <w:widowControl w:val="0"/>
              <w:pBdr>
                <w:top w:val="nil"/>
                <w:left w:val="nil"/>
                <w:bottom w:val="nil"/>
                <w:right w:val="nil"/>
                <w:between w:val="nil"/>
              </w:pBdr>
              <w:jc w:val="right"/>
              <w:rPr>
                <w:color w:val="000000"/>
              </w:rPr>
            </w:pPr>
          </w:p>
        </w:tc>
      </w:tr>
      <w:tr w:rsidR="008E5DE4" w14:paraId="3BDFFE7F" w14:textId="77777777">
        <w:trPr>
          <w:cantSplit/>
          <w:trHeight w:val="169"/>
        </w:trPr>
        <w:tc>
          <w:tcPr>
            <w:tcW w:w="3061" w:type="dxa"/>
            <w:vAlign w:val="bottom"/>
          </w:tcPr>
          <w:p w14:paraId="0A25955A"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5EDF4A94"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73CF90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92A7A5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DA3BADD"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D447BA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748F84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568CB2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04756F7" w14:textId="77777777" w:rsidR="008E5DE4" w:rsidRDefault="008E5DE4">
            <w:pPr>
              <w:widowControl w:val="0"/>
              <w:pBdr>
                <w:top w:val="nil"/>
                <w:left w:val="nil"/>
                <w:bottom w:val="nil"/>
                <w:right w:val="nil"/>
                <w:between w:val="nil"/>
              </w:pBdr>
              <w:jc w:val="right"/>
              <w:rPr>
                <w:color w:val="000000"/>
              </w:rPr>
            </w:pPr>
          </w:p>
        </w:tc>
      </w:tr>
      <w:tr w:rsidR="008E5DE4" w14:paraId="7BE39989" w14:textId="77777777">
        <w:trPr>
          <w:cantSplit/>
          <w:trHeight w:val="169"/>
        </w:trPr>
        <w:tc>
          <w:tcPr>
            <w:tcW w:w="3061" w:type="dxa"/>
            <w:vAlign w:val="bottom"/>
          </w:tcPr>
          <w:p w14:paraId="1B3333E4"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165A7EE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8C446C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CDC23B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4534B7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A831D9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312684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437E19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ED4FC65" w14:textId="77777777" w:rsidR="008E5DE4" w:rsidRDefault="008E5DE4">
            <w:pPr>
              <w:widowControl w:val="0"/>
              <w:pBdr>
                <w:top w:val="nil"/>
                <w:left w:val="nil"/>
                <w:bottom w:val="nil"/>
                <w:right w:val="nil"/>
                <w:between w:val="nil"/>
              </w:pBdr>
              <w:jc w:val="right"/>
              <w:rPr>
                <w:color w:val="000000"/>
              </w:rPr>
            </w:pPr>
          </w:p>
        </w:tc>
      </w:tr>
      <w:tr w:rsidR="008E5DE4" w14:paraId="12EBCDC3" w14:textId="77777777">
        <w:trPr>
          <w:cantSplit/>
          <w:trHeight w:val="169"/>
        </w:trPr>
        <w:tc>
          <w:tcPr>
            <w:tcW w:w="3061" w:type="dxa"/>
            <w:tcBorders>
              <w:bottom w:val="single" w:sz="4" w:space="0" w:color="000000"/>
            </w:tcBorders>
            <w:vAlign w:val="bottom"/>
          </w:tcPr>
          <w:p w14:paraId="65861DDE"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6534CCA6"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59BF7F0"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B8380CA"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3EF08D9D"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2D759DC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1432715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E324010"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18D08786" w14:textId="77777777" w:rsidR="008E5DE4" w:rsidRDefault="008E5DE4">
            <w:pPr>
              <w:widowControl w:val="0"/>
              <w:pBdr>
                <w:top w:val="nil"/>
                <w:left w:val="nil"/>
                <w:bottom w:val="nil"/>
                <w:right w:val="nil"/>
                <w:between w:val="nil"/>
              </w:pBdr>
              <w:jc w:val="right"/>
              <w:rPr>
                <w:color w:val="000000"/>
              </w:rPr>
            </w:pPr>
          </w:p>
        </w:tc>
      </w:tr>
      <w:tr w:rsidR="008E5DE4" w14:paraId="352A82CD" w14:textId="77777777">
        <w:trPr>
          <w:cantSplit/>
          <w:trHeight w:val="153"/>
        </w:trPr>
        <w:tc>
          <w:tcPr>
            <w:tcW w:w="3061" w:type="dxa"/>
            <w:tcBorders>
              <w:top w:val="single" w:sz="4" w:space="0" w:color="000000"/>
            </w:tcBorders>
            <w:vAlign w:val="bottom"/>
          </w:tcPr>
          <w:p w14:paraId="7B418083"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1AEC1728"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6E410CDB"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09717A8"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4F7369AA"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19A96C3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3AA0C9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DB1F20A"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2E9F6D22" w14:textId="77777777" w:rsidR="008E5DE4" w:rsidRDefault="008E5DE4">
            <w:pPr>
              <w:widowControl w:val="0"/>
              <w:pBdr>
                <w:top w:val="nil"/>
                <w:left w:val="nil"/>
                <w:bottom w:val="nil"/>
                <w:right w:val="nil"/>
                <w:between w:val="nil"/>
              </w:pBdr>
              <w:jc w:val="right"/>
              <w:rPr>
                <w:color w:val="000000"/>
              </w:rPr>
            </w:pPr>
          </w:p>
        </w:tc>
      </w:tr>
      <w:tr w:rsidR="008E5DE4" w14:paraId="12D9D432" w14:textId="77777777">
        <w:trPr>
          <w:cantSplit/>
          <w:trHeight w:val="245"/>
        </w:trPr>
        <w:tc>
          <w:tcPr>
            <w:tcW w:w="3061" w:type="dxa"/>
            <w:vAlign w:val="bottom"/>
          </w:tcPr>
          <w:p w14:paraId="3AE8B6F5"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0CBFAF98"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0C024D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6526F6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38787D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71735EB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206100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DA21CE2"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F3AEE6D" w14:textId="77777777" w:rsidR="008E5DE4" w:rsidRDefault="008E5DE4">
            <w:pPr>
              <w:widowControl w:val="0"/>
              <w:pBdr>
                <w:top w:val="nil"/>
                <w:left w:val="nil"/>
                <w:bottom w:val="nil"/>
                <w:right w:val="nil"/>
                <w:between w:val="nil"/>
              </w:pBdr>
              <w:jc w:val="right"/>
              <w:rPr>
                <w:color w:val="000000"/>
              </w:rPr>
            </w:pPr>
          </w:p>
        </w:tc>
      </w:tr>
      <w:tr w:rsidR="008E5DE4" w14:paraId="2B763615" w14:textId="77777777">
        <w:trPr>
          <w:cantSplit/>
          <w:trHeight w:val="80"/>
        </w:trPr>
        <w:tc>
          <w:tcPr>
            <w:tcW w:w="3061" w:type="dxa"/>
            <w:tcBorders>
              <w:bottom w:val="single" w:sz="4" w:space="0" w:color="000000"/>
            </w:tcBorders>
            <w:vAlign w:val="bottom"/>
          </w:tcPr>
          <w:p w14:paraId="49AE3ABC"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3C101D75"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5146DF3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6EDB598"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085C4AAF"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57A9D37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9228FC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DF21EA2"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3C8DEAD1" w14:textId="77777777" w:rsidR="008E5DE4" w:rsidRDefault="008E5DE4">
            <w:pPr>
              <w:widowControl w:val="0"/>
              <w:pBdr>
                <w:top w:val="nil"/>
                <w:left w:val="nil"/>
                <w:bottom w:val="nil"/>
                <w:right w:val="nil"/>
                <w:between w:val="nil"/>
              </w:pBdr>
              <w:jc w:val="right"/>
              <w:rPr>
                <w:color w:val="000000"/>
              </w:rPr>
            </w:pPr>
          </w:p>
        </w:tc>
      </w:tr>
      <w:tr w:rsidR="008E5DE4" w14:paraId="14C9A251" w14:textId="77777777">
        <w:trPr>
          <w:cantSplit/>
          <w:trHeight w:val="153"/>
        </w:trPr>
        <w:tc>
          <w:tcPr>
            <w:tcW w:w="3061" w:type="dxa"/>
            <w:tcBorders>
              <w:top w:val="single" w:sz="4" w:space="0" w:color="000000"/>
            </w:tcBorders>
            <w:vAlign w:val="bottom"/>
          </w:tcPr>
          <w:p w14:paraId="71059B84"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7F2C19A0"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59E006EF"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0276E9C0"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6F225F2"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32A67B6D"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7D9CC2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979DFEA"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138FF57E" w14:textId="77777777" w:rsidR="008E5DE4" w:rsidRDefault="008E5DE4">
            <w:pPr>
              <w:widowControl w:val="0"/>
              <w:pBdr>
                <w:top w:val="nil"/>
                <w:left w:val="nil"/>
                <w:bottom w:val="nil"/>
                <w:right w:val="nil"/>
                <w:between w:val="nil"/>
              </w:pBdr>
              <w:jc w:val="right"/>
              <w:rPr>
                <w:color w:val="000000"/>
              </w:rPr>
            </w:pPr>
          </w:p>
        </w:tc>
      </w:tr>
      <w:tr w:rsidR="008E5DE4" w14:paraId="4084FEF5" w14:textId="77777777">
        <w:trPr>
          <w:cantSplit/>
          <w:trHeight w:val="692"/>
        </w:trPr>
        <w:tc>
          <w:tcPr>
            <w:tcW w:w="3061" w:type="dxa"/>
            <w:vAlign w:val="bottom"/>
          </w:tcPr>
          <w:p w14:paraId="1664B21A"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30115D86"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253D9B7F"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7832B5B"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E232232"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74E38D5C"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58B3014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644C83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7C12A5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48820EF7" w14:textId="77777777" w:rsidR="008E5DE4" w:rsidRDefault="008E5DE4">
            <w:pPr>
              <w:widowControl w:val="0"/>
              <w:pBdr>
                <w:top w:val="nil"/>
                <w:left w:val="nil"/>
                <w:bottom w:val="nil"/>
                <w:right w:val="nil"/>
                <w:between w:val="nil"/>
              </w:pBdr>
              <w:jc w:val="right"/>
              <w:rPr>
                <w:color w:val="000000"/>
                <w:highlight w:val="green"/>
              </w:rPr>
            </w:pPr>
          </w:p>
        </w:tc>
      </w:tr>
      <w:tr w:rsidR="008E5DE4" w14:paraId="498BA0A8" w14:textId="77777777">
        <w:trPr>
          <w:cantSplit/>
          <w:trHeight w:val="169"/>
        </w:trPr>
        <w:tc>
          <w:tcPr>
            <w:tcW w:w="3061" w:type="dxa"/>
            <w:vAlign w:val="bottom"/>
          </w:tcPr>
          <w:p w14:paraId="4935E60E"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33C773E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5B5AC4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59EC6FB"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574464F2"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75E188FA"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850E2B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2159485"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0EF5B3B" w14:textId="77777777" w:rsidR="008E5DE4" w:rsidRDefault="008E5DE4">
            <w:pPr>
              <w:widowControl w:val="0"/>
              <w:pBdr>
                <w:top w:val="nil"/>
                <w:left w:val="nil"/>
                <w:bottom w:val="nil"/>
                <w:right w:val="nil"/>
                <w:between w:val="nil"/>
              </w:pBdr>
              <w:jc w:val="right"/>
              <w:rPr>
                <w:color w:val="000000"/>
                <w:highlight w:val="green"/>
              </w:rPr>
            </w:pPr>
          </w:p>
        </w:tc>
      </w:tr>
      <w:tr w:rsidR="008E5DE4" w14:paraId="45B0E31F" w14:textId="77777777">
        <w:trPr>
          <w:cantSplit/>
          <w:trHeight w:val="169"/>
        </w:trPr>
        <w:tc>
          <w:tcPr>
            <w:tcW w:w="3061" w:type="dxa"/>
            <w:vAlign w:val="bottom"/>
          </w:tcPr>
          <w:p w14:paraId="0C9F1CAF"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4F1C1C45"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47573D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8E99A62"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4D45993"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017D2A2F"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39C7EF0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6295128"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A1B55A1" w14:textId="77777777" w:rsidR="008E5DE4" w:rsidRDefault="008E5DE4">
            <w:pPr>
              <w:widowControl w:val="0"/>
              <w:pBdr>
                <w:top w:val="nil"/>
                <w:left w:val="nil"/>
                <w:bottom w:val="nil"/>
                <w:right w:val="nil"/>
                <w:between w:val="nil"/>
              </w:pBdr>
              <w:jc w:val="right"/>
              <w:rPr>
                <w:color w:val="000000"/>
                <w:highlight w:val="green"/>
              </w:rPr>
            </w:pPr>
          </w:p>
        </w:tc>
      </w:tr>
      <w:tr w:rsidR="008E5DE4" w14:paraId="4D8067D6" w14:textId="77777777">
        <w:trPr>
          <w:cantSplit/>
          <w:trHeight w:val="337"/>
        </w:trPr>
        <w:tc>
          <w:tcPr>
            <w:tcW w:w="3061" w:type="dxa"/>
            <w:vAlign w:val="bottom"/>
          </w:tcPr>
          <w:p w14:paraId="2E05E9BD"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33E4CA75"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B37B95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3CDA8A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13CBE01E"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0F61A36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FC5C13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0913F6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F3B3580" w14:textId="77777777" w:rsidR="008E5DE4" w:rsidRDefault="008E5DE4">
            <w:pPr>
              <w:widowControl w:val="0"/>
              <w:pBdr>
                <w:top w:val="nil"/>
                <w:left w:val="nil"/>
                <w:bottom w:val="nil"/>
                <w:right w:val="nil"/>
                <w:between w:val="nil"/>
              </w:pBdr>
              <w:jc w:val="right"/>
              <w:rPr>
                <w:color w:val="000000"/>
              </w:rPr>
            </w:pPr>
          </w:p>
        </w:tc>
      </w:tr>
      <w:tr w:rsidR="008E5DE4" w14:paraId="4979AF60" w14:textId="77777777">
        <w:trPr>
          <w:cantSplit/>
          <w:trHeight w:val="231"/>
        </w:trPr>
        <w:tc>
          <w:tcPr>
            <w:tcW w:w="3061" w:type="dxa"/>
            <w:vAlign w:val="bottom"/>
          </w:tcPr>
          <w:p w14:paraId="521C4BCA"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2294766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48FF89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241375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AF3CC34"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25EDE66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2AD76B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3AFBD71"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8038106" w14:textId="77777777" w:rsidR="008E5DE4" w:rsidRDefault="008E5DE4">
            <w:pPr>
              <w:widowControl w:val="0"/>
              <w:pBdr>
                <w:top w:val="nil"/>
                <w:left w:val="nil"/>
                <w:bottom w:val="nil"/>
                <w:right w:val="nil"/>
                <w:between w:val="nil"/>
              </w:pBdr>
              <w:jc w:val="right"/>
              <w:rPr>
                <w:color w:val="000000"/>
              </w:rPr>
            </w:pPr>
          </w:p>
        </w:tc>
      </w:tr>
      <w:tr w:rsidR="008E5DE4" w14:paraId="4F0C3F43" w14:textId="77777777">
        <w:trPr>
          <w:cantSplit/>
          <w:trHeight w:val="169"/>
        </w:trPr>
        <w:tc>
          <w:tcPr>
            <w:tcW w:w="3061" w:type="dxa"/>
            <w:tcBorders>
              <w:bottom w:val="single" w:sz="4" w:space="0" w:color="000000"/>
            </w:tcBorders>
            <w:vAlign w:val="bottom"/>
          </w:tcPr>
          <w:p w14:paraId="5C49DACD"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185BDE04"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1760F66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DD8A02E"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7A8606B5"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02BC53A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DE1F7ED"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30F0F2CD"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269F79B1" w14:textId="77777777" w:rsidR="008E5DE4" w:rsidRDefault="008E5DE4">
            <w:pPr>
              <w:widowControl w:val="0"/>
              <w:pBdr>
                <w:top w:val="nil"/>
                <w:left w:val="nil"/>
                <w:bottom w:val="nil"/>
                <w:right w:val="nil"/>
                <w:between w:val="nil"/>
              </w:pBdr>
              <w:jc w:val="right"/>
              <w:rPr>
                <w:color w:val="000000"/>
              </w:rPr>
            </w:pPr>
          </w:p>
        </w:tc>
      </w:tr>
      <w:tr w:rsidR="008E5DE4" w14:paraId="1051DCD0" w14:textId="77777777">
        <w:trPr>
          <w:cantSplit/>
          <w:trHeight w:val="169"/>
        </w:trPr>
        <w:tc>
          <w:tcPr>
            <w:tcW w:w="3061" w:type="dxa"/>
            <w:tcBorders>
              <w:top w:val="single" w:sz="4" w:space="0" w:color="000000"/>
            </w:tcBorders>
            <w:vAlign w:val="bottom"/>
          </w:tcPr>
          <w:p w14:paraId="23E3BD84"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72EA3210"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D8F8A1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6B1A558"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0820E6A8"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713D6BA8"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C5807D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830931A"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3A880C6F" w14:textId="77777777" w:rsidR="008E5DE4" w:rsidRDefault="008E5DE4">
            <w:pPr>
              <w:widowControl w:val="0"/>
              <w:pBdr>
                <w:top w:val="nil"/>
                <w:left w:val="nil"/>
                <w:bottom w:val="nil"/>
                <w:right w:val="nil"/>
                <w:between w:val="nil"/>
              </w:pBdr>
              <w:jc w:val="right"/>
              <w:rPr>
                <w:color w:val="000000"/>
              </w:rPr>
            </w:pPr>
          </w:p>
        </w:tc>
      </w:tr>
      <w:tr w:rsidR="008E5DE4" w14:paraId="1BC74051" w14:textId="77777777">
        <w:trPr>
          <w:cantSplit/>
          <w:trHeight w:val="169"/>
        </w:trPr>
        <w:tc>
          <w:tcPr>
            <w:tcW w:w="3061" w:type="dxa"/>
            <w:vAlign w:val="bottom"/>
          </w:tcPr>
          <w:p w14:paraId="2F90CCEA" w14:textId="7CAC1197"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851" w:type="dxa"/>
            <w:vAlign w:val="bottom"/>
          </w:tcPr>
          <w:p w14:paraId="6111ED12"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07C0B0FF"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652D7D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3302016"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84BCDE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F27C01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300CE4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0F756BC" w14:textId="77777777" w:rsidR="008E5DE4" w:rsidRDefault="008E5DE4">
            <w:pPr>
              <w:widowControl w:val="0"/>
              <w:pBdr>
                <w:top w:val="nil"/>
                <w:left w:val="nil"/>
                <w:bottom w:val="nil"/>
                <w:right w:val="nil"/>
                <w:between w:val="nil"/>
              </w:pBdr>
              <w:jc w:val="right"/>
              <w:rPr>
                <w:color w:val="000000"/>
              </w:rPr>
            </w:pPr>
          </w:p>
        </w:tc>
      </w:tr>
      <w:tr w:rsidR="008E5DE4" w14:paraId="1198BAE2" w14:textId="77777777">
        <w:trPr>
          <w:cantSplit/>
          <w:trHeight w:val="169"/>
        </w:trPr>
        <w:tc>
          <w:tcPr>
            <w:tcW w:w="3061" w:type="dxa"/>
            <w:tcBorders>
              <w:bottom w:val="single" w:sz="12" w:space="0" w:color="000000"/>
            </w:tcBorders>
            <w:vAlign w:val="bottom"/>
          </w:tcPr>
          <w:p w14:paraId="45FB2AFB"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4FACCAEE"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32F1EDF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06421C75"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314A692E"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0EB1D7CA"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57B01E3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1A835EC0"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3CD6A585" w14:textId="77777777" w:rsidR="008E5DE4" w:rsidRDefault="008E5DE4">
            <w:pPr>
              <w:widowControl w:val="0"/>
              <w:pBdr>
                <w:top w:val="nil"/>
                <w:left w:val="nil"/>
                <w:bottom w:val="nil"/>
                <w:right w:val="nil"/>
                <w:between w:val="nil"/>
              </w:pBdr>
              <w:jc w:val="right"/>
              <w:rPr>
                <w:color w:val="000000"/>
              </w:rPr>
            </w:pPr>
          </w:p>
        </w:tc>
      </w:tr>
    </w:tbl>
    <w:p w14:paraId="2B46223B" w14:textId="77777777" w:rsidR="008E5DE4" w:rsidRDefault="008E5DE4">
      <w:pPr>
        <w:widowControl w:val="0"/>
        <w:pBdr>
          <w:top w:val="nil"/>
          <w:left w:val="nil"/>
          <w:bottom w:val="nil"/>
          <w:right w:val="nil"/>
          <w:between w:val="nil"/>
        </w:pBdr>
        <w:spacing w:before="200" w:after="200"/>
        <w:jc w:val="both"/>
        <w:rPr>
          <w:color w:val="000000"/>
          <w:sz w:val="20"/>
          <w:szCs w:val="20"/>
        </w:rPr>
      </w:pPr>
      <w:bookmarkStart w:id="39" w:name="_heading=h.2grqrue" w:colFirst="0" w:colLast="0"/>
      <w:bookmarkEnd w:id="39"/>
    </w:p>
    <w:p w14:paraId="3C9BF8C4"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46A34E0C"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01F5E9D8"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5218C1E2"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22</w:t>
      </w:r>
      <w:r>
        <w:rPr>
          <w:b/>
          <w:color w:val="000000"/>
          <w:sz w:val="20"/>
          <w:szCs w:val="20"/>
        </w:rPr>
        <w:tab/>
        <w:t>Investments in Debt Securities (Continued)</w:t>
      </w:r>
    </w:p>
    <w:p w14:paraId="1AD2E0B6" w14:textId="59849E8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promissory notes carried at AC in </w:t>
      </w:r>
      <w:r w:rsidR="00FF468A">
        <w:rPr>
          <w:color w:val="000000"/>
          <w:sz w:val="20"/>
          <w:szCs w:val="20"/>
        </w:rPr>
        <w:t>2024</w:t>
      </w:r>
      <w:r>
        <w:rPr>
          <w:color w:val="000000"/>
          <w:sz w:val="20"/>
          <w:szCs w:val="20"/>
        </w:rPr>
        <w:t xml:space="preserve"> were as follows.</w:t>
      </w:r>
    </w:p>
    <w:tbl>
      <w:tblPr>
        <w:tblStyle w:val="affffffff2"/>
        <w:tblW w:w="9373" w:type="dxa"/>
        <w:tblLayout w:type="fixed"/>
        <w:tblLook w:val="0000" w:firstRow="0" w:lastRow="0" w:firstColumn="0" w:lastColumn="0" w:noHBand="0" w:noVBand="0"/>
      </w:tblPr>
      <w:tblGrid>
        <w:gridCol w:w="3061"/>
        <w:gridCol w:w="851"/>
        <w:gridCol w:w="878"/>
        <w:gridCol w:w="856"/>
        <w:gridCol w:w="571"/>
        <w:gridCol w:w="871"/>
        <w:gridCol w:w="856"/>
        <w:gridCol w:w="856"/>
        <w:gridCol w:w="573"/>
      </w:tblGrid>
      <w:tr w:rsidR="008E5DE4" w14:paraId="0DE961A3" w14:textId="77777777">
        <w:trPr>
          <w:cantSplit/>
          <w:trHeight w:val="169"/>
          <w:tblHeader/>
        </w:trPr>
        <w:tc>
          <w:tcPr>
            <w:tcW w:w="3061" w:type="dxa"/>
            <w:vAlign w:val="bottom"/>
          </w:tcPr>
          <w:p w14:paraId="270355EC" w14:textId="77777777" w:rsidR="008E5DE4" w:rsidRDefault="008E5DE4">
            <w:pPr>
              <w:widowControl w:val="0"/>
              <w:pBdr>
                <w:top w:val="nil"/>
                <w:left w:val="nil"/>
                <w:bottom w:val="nil"/>
                <w:right w:val="nil"/>
                <w:between w:val="nil"/>
              </w:pBdr>
              <w:ind w:left="113" w:right="-57" w:hanging="113"/>
              <w:rPr>
                <w:i/>
                <w:color w:val="000000"/>
              </w:rPr>
            </w:pPr>
          </w:p>
        </w:tc>
        <w:tc>
          <w:tcPr>
            <w:tcW w:w="3156" w:type="dxa"/>
            <w:gridSpan w:val="4"/>
            <w:tcBorders>
              <w:bottom w:val="single" w:sz="4" w:space="0" w:color="000000"/>
            </w:tcBorders>
          </w:tcPr>
          <w:p w14:paraId="4604143A" w14:textId="77777777" w:rsidR="008E5DE4" w:rsidRDefault="00780368">
            <w:pPr>
              <w:widowControl w:val="0"/>
              <w:pBdr>
                <w:top w:val="nil"/>
                <w:left w:val="nil"/>
                <w:bottom w:val="nil"/>
                <w:right w:val="nil"/>
                <w:between w:val="nil"/>
              </w:pBdr>
              <w:tabs>
                <w:tab w:val="left" w:pos="3182"/>
              </w:tabs>
              <w:ind w:left="-113"/>
              <w:jc w:val="center"/>
              <w:rPr>
                <w:b/>
                <w:color w:val="000000"/>
              </w:rPr>
            </w:pPr>
            <w:r>
              <w:rPr>
                <w:b/>
                <w:color w:val="000000"/>
              </w:rPr>
              <w:t>Credit loss allowance</w:t>
            </w:r>
          </w:p>
        </w:tc>
        <w:tc>
          <w:tcPr>
            <w:tcW w:w="3156" w:type="dxa"/>
            <w:gridSpan w:val="4"/>
            <w:tcBorders>
              <w:bottom w:val="single" w:sz="4" w:space="0" w:color="000000"/>
            </w:tcBorders>
          </w:tcPr>
          <w:p w14:paraId="2588D894" w14:textId="77777777" w:rsidR="008E5DE4" w:rsidRDefault="00780368">
            <w:pPr>
              <w:widowControl w:val="0"/>
              <w:pBdr>
                <w:top w:val="nil"/>
                <w:left w:val="nil"/>
                <w:bottom w:val="nil"/>
                <w:right w:val="nil"/>
                <w:between w:val="nil"/>
              </w:pBdr>
              <w:ind w:left="-113"/>
              <w:jc w:val="center"/>
              <w:rPr>
                <w:b/>
                <w:color w:val="000000"/>
              </w:rPr>
            </w:pPr>
            <w:r>
              <w:rPr>
                <w:b/>
                <w:color w:val="000000"/>
              </w:rPr>
              <w:t>Gross carrying amount</w:t>
            </w:r>
          </w:p>
        </w:tc>
      </w:tr>
      <w:tr w:rsidR="008E5DE4" w14:paraId="5F3B8C90" w14:textId="77777777">
        <w:trPr>
          <w:cantSplit/>
          <w:trHeight w:val="507"/>
          <w:tblHeader/>
        </w:trPr>
        <w:tc>
          <w:tcPr>
            <w:tcW w:w="3061" w:type="dxa"/>
            <w:tcBorders>
              <w:bottom w:val="single" w:sz="4" w:space="0" w:color="000000"/>
            </w:tcBorders>
            <w:vAlign w:val="bottom"/>
          </w:tcPr>
          <w:p w14:paraId="4D5362B6" w14:textId="77777777" w:rsidR="008E5DE4" w:rsidRDefault="008E5DE4">
            <w:pPr>
              <w:widowControl w:val="0"/>
              <w:pBdr>
                <w:top w:val="nil"/>
                <w:left w:val="nil"/>
                <w:bottom w:val="nil"/>
                <w:right w:val="nil"/>
                <w:between w:val="nil"/>
              </w:pBdr>
              <w:ind w:left="113" w:right="-57" w:hanging="113"/>
              <w:rPr>
                <w:i/>
                <w:color w:val="000000"/>
              </w:rPr>
            </w:pPr>
          </w:p>
          <w:p w14:paraId="12FEB850"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top w:val="single" w:sz="4" w:space="0" w:color="000000"/>
              <w:bottom w:val="single" w:sz="4" w:space="0" w:color="000000"/>
            </w:tcBorders>
          </w:tcPr>
          <w:p w14:paraId="50F18085"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5BDC55A4" w14:textId="77777777" w:rsidR="008E5DE4" w:rsidRDefault="00780368">
            <w:pPr>
              <w:widowControl w:val="0"/>
              <w:pBdr>
                <w:top w:val="nil"/>
                <w:left w:val="nil"/>
                <w:bottom w:val="nil"/>
                <w:right w:val="nil"/>
                <w:between w:val="nil"/>
              </w:pBdr>
              <w:ind w:left="-255" w:firstLine="142"/>
              <w:jc w:val="right"/>
              <w:rPr>
                <w:b/>
                <w:color w:val="000000"/>
              </w:rPr>
            </w:pPr>
            <w:r>
              <w:rPr>
                <w:b/>
                <w:color w:val="000000"/>
              </w:rPr>
              <w:t>(12-months ECL)</w:t>
            </w:r>
          </w:p>
        </w:tc>
        <w:tc>
          <w:tcPr>
            <w:tcW w:w="878" w:type="dxa"/>
            <w:tcBorders>
              <w:top w:val="single" w:sz="4" w:space="0" w:color="000000"/>
              <w:bottom w:val="single" w:sz="4" w:space="0" w:color="000000"/>
            </w:tcBorders>
          </w:tcPr>
          <w:p w14:paraId="2ECE60ED"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3E69309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647A48E1"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424ABDC6"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1" w:type="dxa"/>
            <w:tcBorders>
              <w:top w:val="single" w:sz="4" w:space="0" w:color="000000"/>
              <w:bottom w:val="single" w:sz="4" w:space="0" w:color="000000"/>
            </w:tcBorders>
          </w:tcPr>
          <w:p w14:paraId="485F2D32"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c>
          <w:tcPr>
            <w:tcW w:w="871" w:type="dxa"/>
            <w:tcBorders>
              <w:top w:val="single" w:sz="4" w:space="0" w:color="000000"/>
              <w:bottom w:val="single" w:sz="4" w:space="0" w:color="000000"/>
            </w:tcBorders>
          </w:tcPr>
          <w:p w14:paraId="0655AFF5" w14:textId="77777777" w:rsidR="008E5DE4" w:rsidRDefault="00780368">
            <w:pPr>
              <w:widowControl w:val="0"/>
              <w:pBdr>
                <w:top w:val="nil"/>
                <w:left w:val="nil"/>
                <w:bottom w:val="nil"/>
                <w:right w:val="nil"/>
                <w:between w:val="nil"/>
              </w:pBdr>
              <w:ind w:left="-113"/>
              <w:jc w:val="right"/>
              <w:rPr>
                <w:b/>
                <w:color w:val="000000"/>
              </w:rPr>
            </w:pPr>
            <w:r>
              <w:rPr>
                <w:b/>
                <w:color w:val="000000"/>
              </w:rPr>
              <w:t>Stage 1</w:t>
            </w:r>
          </w:p>
          <w:p w14:paraId="204C06D9"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856" w:type="dxa"/>
            <w:tcBorders>
              <w:top w:val="single" w:sz="4" w:space="0" w:color="000000"/>
              <w:bottom w:val="single" w:sz="4" w:space="0" w:color="000000"/>
            </w:tcBorders>
          </w:tcPr>
          <w:p w14:paraId="1FAF7931"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29C915C8"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856" w:type="dxa"/>
            <w:tcBorders>
              <w:top w:val="single" w:sz="4" w:space="0" w:color="000000"/>
              <w:bottom w:val="single" w:sz="4" w:space="0" w:color="000000"/>
            </w:tcBorders>
          </w:tcPr>
          <w:p w14:paraId="2255705A"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42C3E63E"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573" w:type="dxa"/>
            <w:tcBorders>
              <w:top w:val="single" w:sz="4" w:space="0" w:color="000000"/>
              <w:bottom w:val="single" w:sz="4" w:space="0" w:color="000000"/>
            </w:tcBorders>
          </w:tcPr>
          <w:p w14:paraId="70649F2E"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68EFF985" w14:textId="77777777">
        <w:trPr>
          <w:cantSplit/>
          <w:trHeight w:val="169"/>
          <w:tblHeader/>
        </w:trPr>
        <w:tc>
          <w:tcPr>
            <w:tcW w:w="3061" w:type="dxa"/>
            <w:vAlign w:val="bottom"/>
          </w:tcPr>
          <w:p w14:paraId="0A8C5D09" w14:textId="77777777" w:rsidR="008E5DE4" w:rsidRDefault="008E5DE4">
            <w:pPr>
              <w:widowControl w:val="0"/>
              <w:ind w:left="113" w:right="-57" w:hanging="113"/>
            </w:pPr>
          </w:p>
        </w:tc>
        <w:tc>
          <w:tcPr>
            <w:tcW w:w="851" w:type="dxa"/>
            <w:vAlign w:val="bottom"/>
          </w:tcPr>
          <w:p w14:paraId="45D9EB40"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5422CCF1"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61D1975"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35668A87" w14:textId="77777777" w:rsidR="008E5DE4" w:rsidRDefault="008E5DE4">
            <w:pPr>
              <w:widowControl w:val="0"/>
              <w:pBdr>
                <w:top w:val="nil"/>
                <w:left w:val="nil"/>
                <w:bottom w:val="nil"/>
                <w:right w:val="nil"/>
                <w:between w:val="nil"/>
              </w:pBdr>
              <w:jc w:val="right"/>
              <w:rPr>
                <w:color w:val="000000"/>
              </w:rPr>
            </w:pPr>
          </w:p>
        </w:tc>
        <w:tc>
          <w:tcPr>
            <w:tcW w:w="871" w:type="dxa"/>
          </w:tcPr>
          <w:p w14:paraId="39DD1B89" w14:textId="77777777" w:rsidR="008E5DE4" w:rsidRDefault="008E5DE4">
            <w:pPr>
              <w:widowControl w:val="0"/>
              <w:pBdr>
                <w:top w:val="nil"/>
                <w:left w:val="nil"/>
                <w:bottom w:val="nil"/>
                <w:right w:val="nil"/>
                <w:between w:val="nil"/>
              </w:pBdr>
              <w:jc w:val="right"/>
              <w:rPr>
                <w:color w:val="000000"/>
              </w:rPr>
            </w:pPr>
          </w:p>
        </w:tc>
        <w:tc>
          <w:tcPr>
            <w:tcW w:w="856" w:type="dxa"/>
          </w:tcPr>
          <w:p w14:paraId="72761CF9" w14:textId="77777777" w:rsidR="008E5DE4" w:rsidRDefault="008E5DE4">
            <w:pPr>
              <w:widowControl w:val="0"/>
              <w:pBdr>
                <w:top w:val="nil"/>
                <w:left w:val="nil"/>
                <w:bottom w:val="nil"/>
                <w:right w:val="nil"/>
                <w:between w:val="nil"/>
              </w:pBdr>
              <w:jc w:val="right"/>
              <w:rPr>
                <w:color w:val="000000"/>
              </w:rPr>
            </w:pPr>
          </w:p>
        </w:tc>
        <w:tc>
          <w:tcPr>
            <w:tcW w:w="856" w:type="dxa"/>
          </w:tcPr>
          <w:p w14:paraId="3842843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AD78401" w14:textId="77777777" w:rsidR="008E5DE4" w:rsidRDefault="008E5DE4">
            <w:pPr>
              <w:widowControl w:val="0"/>
              <w:pBdr>
                <w:top w:val="nil"/>
                <w:left w:val="nil"/>
                <w:bottom w:val="nil"/>
                <w:right w:val="nil"/>
                <w:between w:val="nil"/>
              </w:pBdr>
              <w:jc w:val="right"/>
              <w:rPr>
                <w:color w:val="000000"/>
              </w:rPr>
            </w:pPr>
          </w:p>
        </w:tc>
      </w:tr>
      <w:tr w:rsidR="008E5DE4" w14:paraId="7DB1189F" w14:textId="77777777">
        <w:trPr>
          <w:cantSplit/>
          <w:trHeight w:val="169"/>
        </w:trPr>
        <w:tc>
          <w:tcPr>
            <w:tcW w:w="3061" w:type="dxa"/>
            <w:vAlign w:val="bottom"/>
          </w:tcPr>
          <w:p w14:paraId="59445787"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Promissory notes</w:t>
            </w:r>
          </w:p>
        </w:tc>
        <w:tc>
          <w:tcPr>
            <w:tcW w:w="851" w:type="dxa"/>
            <w:vAlign w:val="bottom"/>
          </w:tcPr>
          <w:p w14:paraId="2DDECBAF"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5738B2C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52FF4C2"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BCD763E" w14:textId="77777777" w:rsidR="008E5DE4" w:rsidRDefault="008E5DE4">
            <w:pPr>
              <w:widowControl w:val="0"/>
              <w:pBdr>
                <w:top w:val="nil"/>
                <w:left w:val="nil"/>
                <w:bottom w:val="nil"/>
                <w:right w:val="nil"/>
                <w:between w:val="nil"/>
              </w:pBdr>
              <w:jc w:val="right"/>
              <w:rPr>
                <w:color w:val="000000"/>
              </w:rPr>
            </w:pPr>
          </w:p>
        </w:tc>
        <w:tc>
          <w:tcPr>
            <w:tcW w:w="871" w:type="dxa"/>
          </w:tcPr>
          <w:p w14:paraId="643DF21A" w14:textId="77777777" w:rsidR="008E5DE4" w:rsidRDefault="008E5DE4">
            <w:pPr>
              <w:widowControl w:val="0"/>
              <w:pBdr>
                <w:top w:val="nil"/>
                <w:left w:val="nil"/>
                <w:bottom w:val="nil"/>
                <w:right w:val="nil"/>
                <w:between w:val="nil"/>
              </w:pBdr>
              <w:jc w:val="right"/>
              <w:rPr>
                <w:color w:val="000000"/>
              </w:rPr>
            </w:pPr>
          </w:p>
        </w:tc>
        <w:tc>
          <w:tcPr>
            <w:tcW w:w="856" w:type="dxa"/>
          </w:tcPr>
          <w:p w14:paraId="377DB786" w14:textId="77777777" w:rsidR="008E5DE4" w:rsidRDefault="008E5DE4">
            <w:pPr>
              <w:widowControl w:val="0"/>
              <w:pBdr>
                <w:top w:val="nil"/>
                <w:left w:val="nil"/>
                <w:bottom w:val="nil"/>
                <w:right w:val="nil"/>
                <w:between w:val="nil"/>
              </w:pBdr>
              <w:jc w:val="right"/>
              <w:rPr>
                <w:color w:val="000000"/>
              </w:rPr>
            </w:pPr>
          </w:p>
        </w:tc>
        <w:tc>
          <w:tcPr>
            <w:tcW w:w="856" w:type="dxa"/>
          </w:tcPr>
          <w:p w14:paraId="6CF64E9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4032F36B" w14:textId="77777777" w:rsidR="008E5DE4" w:rsidRDefault="008E5DE4">
            <w:pPr>
              <w:widowControl w:val="0"/>
              <w:pBdr>
                <w:top w:val="nil"/>
                <w:left w:val="nil"/>
                <w:bottom w:val="nil"/>
                <w:right w:val="nil"/>
                <w:between w:val="nil"/>
              </w:pBdr>
              <w:jc w:val="right"/>
              <w:rPr>
                <w:color w:val="000000"/>
              </w:rPr>
            </w:pPr>
          </w:p>
        </w:tc>
      </w:tr>
      <w:tr w:rsidR="008E5DE4" w14:paraId="3D3FFEE2" w14:textId="77777777">
        <w:trPr>
          <w:cantSplit/>
          <w:trHeight w:val="169"/>
        </w:trPr>
        <w:tc>
          <w:tcPr>
            <w:tcW w:w="3061" w:type="dxa"/>
            <w:vAlign w:val="bottom"/>
          </w:tcPr>
          <w:p w14:paraId="0E0A9A47" w14:textId="77777777" w:rsidR="008E5DE4" w:rsidRDefault="008E5DE4">
            <w:pPr>
              <w:widowControl w:val="0"/>
              <w:pBdr>
                <w:top w:val="nil"/>
                <w:left w:val="nil"/>
                <w:bottom w:val="nil"/>
                <w:right w:val="nil"/>
                <w:between w:val="nil"/>
              </w:pBdr>
              <w:ind w:left="113" w:right="-57" w:hanging="113"/>
              <w:rPr>
                <w:b/>
                <w:i/>
                <w:color w:val="000000"/>
              </w:rPr>
            </w:pPr>
          </w:p>
        </w:tc>
        <w:tc>
          <w:tcPr>
            <w:tcW w:w="851" w:type="dxa"/>
            <w:vAlign w:val="bottom"/>
          </w:tcPr>
          <w:p w14:paraId="47CD5BD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C498DA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CCC99F0"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03A443B" w14:textId="77777777" w:rsidR="008E5DE4" w:rsidRDefault="008E5DE4">
            <w:pPr>
              <w:widowControl w:val="0"/>
              <w:pBdr>
                <w:top w:val="nil"/>
                <w:left w:val="nil"/>
                <w:bottom w:val="nil"/>
                <w:right w:val="nil"/>
                <w:between w:val="nil"/>
              </w:pBdr>
              <w:jc w:val="right"/>
              <w:rPr>
                <w:color w:val="000000"/>
              </w:rPr>
            </w:pPr>
          </w:p>
        </w:tc>
        <w:tc>
          <w:tcPr>
            <w:tcW w:w="871" w:type="dxa"/>
          </w:tcPr>
          <w:p w14:paraId="0658868B" w14:textId="77777777" w:rsidR="008E5DE4" w:rsidRDefault="008E5DE4">
            <w:pPr>
              <w:widowControl w:val="0"/>
              <w:pBdr>
                <w:top w:val="nil"/>
                <w:left w:val="nil"/>
                <w:bottom w:val="nil"/>
                <w:right w:val="nil"/>
                <w:between w:val="nil"/>
              </w:pBdr>
              <w:jc w:val="right"/>
              <w:rPr>
                <w:color w:val="000000"/>
              </w:rPr>
            </w:pPr>
          </w:p>
        </w:tc>
        <w:tc>
          <w:tcPr>
            <w:tcW w:w="856" w:type="dxa"/>
          </w:tcPr>
          <w:p w14:paraId="0D2E46C2" w14:textId="77777777" w:rsidR="008E5DE4" w:rsidRDefault="008E5DE4">
            <w:pPr>
              <w:widowControl w:val="0"/>
              <w:pBdr>
                <w:top w:val="nil"/>
                <w:left w:val="nil"/>
                <w:bottom w:val="nil"/>
                <w:right w:val="nil"/>
                <w:between w:val="nil"/>
              </w:pBdr>
              <w:jc w:val="right"/>
              <w:rPr>
                <w:color w:val="000000"/>
              </w:rPr>
            </w:pPr>
          </w:p>
        </w:tc>
        <w:tc>
          <w:tcPr>
            <w:tcW w:w="856" w:type="dxa"/>
          </w:tcPr>
          <w:p w14:paraId="435D462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C5969E2" w14:textId="77777777" w:rsidR="008E5DE4" w:rsidRDefault="008E5DE4">
            <w:pPr>
              <w:widowControl w:val="0"/>
              <w:pBdr>
                <w:top w:val="nil"/>
                <w:left w:val="nil"/>
                <w:bottom w:val="nil"/>
                <w:right w:val="nil"/>
                <w:between w:val="nil"/>
              </w:pBdr>
              <w:jc w:val="right"/>
              <w:rPr>
                <w:color w:val="000000"/>
              </w:rPr>
            </w:pPr>
          </w:p>
        </w:tc>
      </w:tr>
      <w:tr w:rsidR="008E5DE4" w14:paraId="75208CAF" w14:textId="77777777">
        <w:trPr>
          <w:cantSplit/>
          <w:trHeight w:val="169"/>
        </w:trPr>
        <w:tc>
          <w:tcPr>
            <w:tcW w:w="3061" w:type="dxa"/>
            <w:vAlign w:val="bottom"/>
          </w:tcPr>
          <w:p w14:paraId="5B2200A3" w14:textId="77777777" w:rsidR="008E5DE4" w:rsidRDefault="00780368">
            <w:pPr>
              <w:widowControl w:val="0"/>
              <w:pBdr>
                <w:top w:val="nil"/>
                <w:left w:val="nil"/>
                <w:bottom w:val="nil"/>
                <w:right w:val="nil"/>
                <w:between w:val="nil"/>
              </w:pBdr>
              <w:ind w:left="113" w:right="-57" w:hanging="113"/>
              <w:rPr>
                <w:b/>
                <w:color w:val="0000FF"/>
              </w:rPr>
            </w:pPr>
            <w:proofErr w:type="gramStart"/>
            <w:r>
              <w:rPr>
                <w:b/>
                <w:color w:val="000000"/>
              </w:rPr>
              <w:t>At</w:t>
            </w:r>
            <w:proofErr w:type="gramEnd"/>
            <w:r>
              <w:rPr>
                <w:b/>
                <w:color w:val="000000"/>
              </w:rPr>
              <w:t xml:space="preserve"> 1 January 2022</w:t>
            </w:r>
          </w:p>
        </w:tc>
        <w:tc>
          <w:tcPr>
            <w:tcW w:w="851" w:type="dxa"/>
            <w:vAlign w:val="bottom"/>
          </w:tcPr>
          <w:p w14:paraId="427F539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9B5C029"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C99C09B"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17EE0BC" w14:textId="77777777" w:rsidR="008E5DE4" w:rsidRDefault="008E5DE4">
            <w:pPr>
              <w:widowControl w:val="0"/>
              <w:pBdr>
                <w:top w:val="nil"/>
                <w:left w:val="nil"/>
                <w:bottom w:val="nil"/>
                <w:right w:val="nil"/>
                <w:between w:val="nil"/>
              </w:pBdr>
              <w:jc w:val="right"/>
              <w:rPr>
                <w:color w:val="000000"/>
              </w:rPr>
            </w:pPr>
          </w:p>
        </w:tc>
        <w:tc>
          <w:tcPr>
            <w:tcW w:w="871" w:type="dxa"/>
          </w:tcPr>
          <w:p w14:paraId="2B8071C0" w14:textId="77777777" w:rsidR="008E5DE4" w:rsidRDefault="008E5DE4">
            <w:pPr>
              <w:widowControl w:val="0"/>
              <w:pBdr>
                <w:top w:val="nil"/>
                <w:left w:val="nil"/>
                <w:bottom w:val="nil"/>
                <w:right w:val="nil"/>
                <w:between w:val="nil"/>
              </w:pBdr>
              <w:jc w:val="right"/>
              <w:rPr>
                <w:color w:val="000000"/>
              </w:rPr>
            </w:pPr>
          </w:p>
        </w:tc>
        <w:tc>
          <w:tcPr>
            <w:tcW w:w="856" w:type="dxa"/>
          </w:tcPr>
          <w:p w14:paraId="7998AA7D" w14:textId="77777777" w:rsidR="008E5DE4" w:rsidRDefault="008E5DE4">
            <w:pPr>
              <w:widowControl w:val="0"/>
              <w:pBdr>
                <w:top w:val="nil"/>
                <w:left w:val="nil"/>
                <w:bottom w:val="nil"/>
                <w:right w:val="nil"/>
                <w:between w:val="nil"/>
              </w:pBdr>
              <w:jc w:val="right"/>
              <w:rPr>
                <w:color w:val="000000"/>
              </w:rPr>
            </w:pPr>
          </w:p>
        </w:tc>
        <w:tc>
          <w:tcPr>
            <w:tcW w:w="856" w:type="dxa"/>
          </w:tcPr>
          <w:p w14:paraId="70D1722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E14F5A5" w14:textId="77777777" w:rsidR="008E5DE4" w:rsidRDefault="008E5DE4">
            <w:pPr>
              <w:widowControl w:val="0"/>
              <w:pBdr>
                <w:top w:val="nil"/>
                <w:left w:val="nil"/>
                <w:bottom w:val="nil"/>
                <w:right w:val="nil"/>
                <w:between w:val="nil"/>
              </w:pBdr>
              <w:jc w:val="right"/>
              <w:rPr>
                <w:color w:val="000000"/>
              </w:rPr>
            </w:pPr>
          </w:p>
        </w:tc>
      </w:tr>
      <w:tr w:rsidR="008E5DE4" w14:paraId="249CBC9D" w14:textId="77777777">
        <w:trPr>
          <w:cantSplit/>
          <w:trHeight w:val="676"/>
        </w:trPr>
        <w:tc>
          <w:tcPr>
            <w:tcW w:w="3061" w:type="dxa"/>
            <w:vAlign w:val="bottom"/>
          </w:tcPr>
          <w:p w14:paraId="7CC21C4B" w14:textId="77777777" w:rsidR="008E5DE4" w:rsidRDefault="008E5DE4">
            <w:pPr>
              <w:widowControl w:val="0"/>
              <w:pBdr>
                <w:top w:val="nil"/>
                <w:left w:val="nil"/>
                <w:bottom w:val="nil"/>
                <w:right w:val="nil"/>
                <w:between w:val="nil"/>
              </w:pBdr>
              <w:ind w:left="113" w:right="-57" w:hanging="113"/>
              <w:rPr>
                <w:b/>
                <w:color w:val="000000"/>
              </w:rPr>
            </w:pPr>
          </w:p>
          <w:p w14:paraId="3DC459DD"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 impact on credit loss allowance charge for the period:</w:t>
            </w:r>
          </w:p>
        </w:tc>
        <w:tc>
          <w:tcPr>
            <w:tcW w:w="851" w:type="dxa"/>
            <w:vAlign w:val="bottom"/>
          </w:tcPr>
          <w:p w14:paraId="30B84D6D"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97F15C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B736291"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6498FE09" w14:textId="77777777" w:rsidR="008E5DE4" w:rsidRDefault="008E5DE4">
            <w:pPr>
              <w:widowControl w:val="0"/>
              <w:pBdr>
                <w:top w:val="nil"/>
                <w:left w:val="nil"/>
                <w:bottom w:val="nil"/>
                <w:right w:val="nil"/>
                <w:between w:val="nil"/>
              </w:pBdr>
              <w:jc w:val="right"/>
              <w:rPr>
                <w:color w:val="000000"/>
              </w:rPr>
            </w:pPr>
          </w:p>
        </w:tc>
        <w:tc>
          <w:tcPr>
            <w:tcW w:w="871" w:type="dxa"/>
          </w:tcPr>
          <w:p w14:paraId="5C56834C" w14:textId="77777777" w:rsidR="008E5DE4" w:rsidRDefault="008E5DE4">
            <w:pPr>
              <w:widowControl w:val="0"/>
              <w:pBdr>
                <w:top w:val="nil"/>
                <w:left w:val="nil"/>
                <w:bottom w:val="nil"/>
                <w:right w:val="nil"/>
                <w:between w:val="nil"/>
              </w:pBdr>
              <w:ind w:left="-360"/>
              <w:jc w:val="right"/>
              <w:rPr>
                <w:color w:val="000000"/>
              </w:rPr>
            </w:pPr>
          </w:p>
        </w:tc>
        <w:tc>
          <w:tcPr>
            <w:tcW w:w="856" w:type="dxa"/>
          </w:tcPr>
          <w:p w14:paraId="7DF7E740" w14:textId="77777777" w:rsidR="008E5DE4" w:rsidRDefault="008E5DE4">
            <w:pPr>
              <w:widowControl w:val="0"/>
              <w:pBdr>
                <w:top w:val="nil"/>
                <w:left w:val="nil"/>
                <w:bottom w:val="nil"/>
                <w:right w:val="nil"/>
                <w:between w:val="nil"/>
              </w:pBdr>
              <w:jc w:val="right"/>
              <w:rPr>
                <w:color w:val="000000"/>
              </w:rPr>
            </w:pPr>
          </w:p>
        </w:tc>
        <w:tc>
          <w:tcPr>
            <w:tcW w:w="856" w:type="dxa"/>
          </w:tcPr>
          <w:p w14:paraId="2A6F90FD"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151A14CD" w14:textId="77777777" w:rsidR="008E5DE4" w:rsidRDefault="008E5DE4">
            <w:pPr>
              <w:widowControl w:val="0"/>
              <w:pBdr>
                <w:top w:val="nil"/>
                <w:left w:val="nil"/>
                <w:bottom w:val="nil"/>
                <w:right w:val="nil"/>
                <w:between w:val="nil"/>
              </w:pBdr>
              <w:jc w:val="right"/>
              <w:rPr>
                <w:color w:val="000000"/>
              </w:rPr>
            </w:pPr>
          </w:p>
        </w:tc>
      </w:tr>
      <w:tr w:rsidR="008E5DE4" w14:paraId="2A18E08B" w14:textId="77777777">
        <w:trPr>
          <w:cantSplit/>
          <w:trHeight w:val="184"/>
        </w:trPr>
        <w:tc>
          <w:tcPr>
            <w:tcW w:w="3061" w:type="dxa"/>
            <w:vAlign w:val="bottom"/>
          </w:tcPr>
          <w:p w14:paraId="2BFC9918" w14:textId="77777777" w:rsidR="008E5DE4" w:rsidRDefault="008E5DE4">
            <w:pPr>
              <w:widowControl w:val="0"/>
              <w:pBdr>
                <w:top w:val="nil"/>
                <w:left w:val="nil"/>
                <w:bottom w:val="nil"/>
                <w:right w:val="nil"/>
                <w:between w:val="nil"/>
              </w:pBdr>
              <w:ind w:left="113" w:right="-57" w:hanging="113"/>
              <w:rPr>
                <w:color w:val="000000"/>
                <w:sz w:val="8"/>
                <w:szCs w:val="8"/>
              </w:rPr>
            </w:pPr>
          </w:p>
        </w:tc>
        <w:tc>
          <w:tcPr>
            <w:tcW w:w="851" w:type="dxa"/>
            <w:vAlign w:val="bottom"/>
          </w:tcPr>
          <w:p w14:paraId="148A013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D5C759E"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F18E672"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694D7828"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5C07811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6EFC159"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6D92815"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3E382AC" w14:textId="77777777" w:rsidR="008E5DE4" w:rsidRDefault="008E5DE4">
            <w:pPr>
              <w:widowControl w:val="0"/>
              <w:pBdr>
                <w:top w:val="nil"/>
                <w:left w:val="nil"/>
                <w:bottom w:val="nil"/>
                <w:right w:val="nil"/>
                <w:between w:val="nil"/>
              </w:pBdr>
              <w:jc w:val="right"/>
              <w:rPr>
                <w:color w:val="000000"/>
                <w:highlight w:val="green"/>
              </w:rPr>
            </w:pPr>
          </w:p>
        </w:tc>
      </w:tr>
      <w:tr w:rsidR="008E5DE4" w14:paraId="1EFAF331" w14:textId="77777777">
        <w:trPr>
          <w:cantSplit/>
          <w:trHeight w:val="184"/>
        </w:trPr>
        <w:tc>
          <w:tcPr>
            <w:tcW w:w="3061" w:type="dxa"/>
            <w:vAlign w:val="bottom"/>
          </w:tcPr>
          <w:p w14:paraId="176B0918"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851" w:type="dxa"/>
            <w:vAlign w:val="bottom"/>
          </w:tcPr>
          <w:p w14:paraId="004893F9"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7B61580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07BC516"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744C778"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4A4FE5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78BE2ED6"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3317C2DA"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19AE975" w14:textId="77777777" w:rsidR="008E5DE4" w:rsidRDefault="008E5DE4">
            <w:pPr>
              <w:widowControl w:val="0"/>
              <w:pBdr>
                <w:top w:val="nil"/>
                <w:left w:val="nil"/>
                <w:bottom w:val="nil"/>
                <w:right w:val="nil"/>
                <w:between w:val="nil"/>
              </w:pBdr>
              <w:jc w:val="right"/>
              <w:rPr>
                <w:color w:val="000000"/>
                <w:highlight w:val="green"/>
              </w:rPr>
            </w:pPr>
          </w:p>
        </w:tc>
      </w:tr>
      <w:tr w:rsidR="008E5DE4" w14:paraId="6CDD4F47" w14:textId="77777777">
        <w:trPr>
          <w:cantSplit/>
          <w:trHeight w:val="80"/>
        </w:trPr>
        <w:tc>
          <w:tcPr>
            <w:tcW w:w="3061" w:type="dxa"/>
            <w:vAlign w:val="bottom"/>
          </w:tcPr>
          <w:p w14:paraId="1C504F6F"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851" w:type="dxa"/>
            <w:vAlign w:val="bottom"/>
          </w:tcPr>
          <w:p w14:paraId="50040461"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4528D9C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4B376748"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78213A5"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4438564A"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40533B4F"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54172B27"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7DF4EC3" w14:textId="77777777" w:rsidR="008E5DE4" w:rsidRDefault="008E5DE4">
            <w:pPr>
              <w:widowControl w:val="0"/>
              <w:pBdr>
                <w:top w:val="nil"/>
                <w:left w:val="nil"/>
                <w:bottom w:val="nil"/>
                <w:right w:val="nil"/>
                <w:between w:val="nil"/>
              </w:pBdr>
              <w:jc w:val="right"/>
              <w:rPr>
                <w:color w:val="000000"/>
                <w:highlight w:val="green"/>
              </w:rPr>
            </w:pPr>
          </w:p>
        </w:tc>
      </w:tr>
      <w:tr w:rsidR="008E5DE4" w14:paraId="7947AABE" w14:textId="77777777">
        <w:trPr>
          <w:cantSplit/>
          <w:trHeight w:val="80"/>
        </w:trPr>
        <w:tc>
          <w:tcPr>
            <w:tcW w:w="3061" w:type="dxa"/>
            <w:vAlign w:val="bottom"/>
          </w:tcPr>
          <w:p w14:paraId="013738BA"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851" w:type="dxa"/>
            <w:vAlign w:val="bottom"/>
          </w:tcPr>
          <w:p w14:paraId="3E87FAA2"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1A6E22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7A3E0A04"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3913293A"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2F21592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D6536A2"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1EEDB10E"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FAE3583" w14:textId="77777777" w:rsidR="008E5DE4" w:rsidRDefault="008E5DE4">
            <w:pPr>
              <w:widowControl w:val="0"/>
              <w:pBdr>
                <w:top w:val="nil"/>
                <w:left w:val="nil"/>
                <w:bottom w:val="nil"/>
                <w:right w:val="nil"/>
                <w:between w:val="nil"/>
              </w:pBdr>
              <w:jc w:val="right"/>
              <w:rPr>
                <w:color w:val="000000"/>
                <w:highlight w:val="green"/>
              </w:rPr>
            </w:pPr>
          </w:p>
        </w:tc>
      </w:tr>
      <w:tr w:rsidR="008E5DE4" w14:paraId="202C8FE2" w14:textId="77777777">
        <w:trPr>
          <w:cantSplit/>
          <w:trHeight w:val="361"/>
        </w:trPr>
        <w:tc>
          <w:tcPr>
            <w:tcW w:w="3061" w:type="dxa"/>
            <w:vAlign w:val="bottom"/>
          </w:tcPr>
          <w:p w14:paraId="4D6E3827"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851" w:type="dxa"/>
            <w:vAlign w:val="bottom"/>
          </w:tcPr>
          <w:p w14:paraId="186D1732"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C1FA9A3"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55BBAF33"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1C3D2154" w14:textId="77777777" w:rsidR="008E5DE4" w:rsidRDefault="008E5DE4">
            <w:pPr>
              <w:widowControl w:val="0"/>
              <w:pBdr>
                <w:top w:val="nil"/>
                <w:left w:val="nil"/>
                <w:bottom w:val="nil"/>
                <w:right w:val="nil"/>
                <w:between w:val="nil"/>
              </w:pBdr>
              <w:jc w:val="right"/>
              <w:rPr>
                <w:color w:val="000000"/>
                <w:highlight w:val="green"/>
              </w:rPr>
            </w:pPr>
          </w:p>
        </w:tc>
        <w:tc>
          <w:tcPr>
            <w:tcW w:w="871" w:type="dxa"/>
          </w:tcPr>
          <w:p w14:paraId="70345945"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2351B064" w14:textId="77777777" w:rsidR="008E5DE4" w:rsidRDefault="008E5DE4">
            <w:pPr>
              <w:widowControl w:val="0"/>
              <w:pBdr>
                <w:top w:val="nil"/>
                <w:left w:val="nil"/>
                <w:bottom w:val="nil"/>
                <w:right w:val="nil"/>
                <w:between w:val="nil"/>
              </w:pBdr>
              <w:jc w:val="right"/>
              <w:rPr>
                <w:color w:val="000000"/>
                <w:highlight w:val="green"/>
              </w:rPr>
            </w:pPr>
          </w:p>
        </w:tc>
        <w:tc>
          <w:tcPr>
            <w:tcW w:w="856" w:type="dxa"/>
          </w:tcPr>
          <w:p w14:paraId="0FE8BDC7"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6EC53FC6" w14:textId="77777777" w:rsidR="008E5DE4" w:rsidRDefault="008E5DE4">
            <w:pPr>
              <w:widowControl w:val="0"/>
              <w:pBdr>
                <w:top w:val="nil"/>
                <w:left w:val="nil"/>
                <w:bottom w:val="nil"/>
                <w:right w:val="nil"/>
                <w:between w:val="nil"/>
              </w:pBdr>
              <w:jc w:val="right"/>
              <w:rPr>
                <w:color w:val="000000"/>
                <w:highlight w:val="green"/>
              </w:rPr>
            </w:pPr>
          </w:p>
        </w:tc>
      </w:tr>
      <w:tr w:rsidR="008E5DE4" w14:paraId="50D48C51" w14:textId="77777777">
        <w:trPr>
          <w:cantSplit/>
          <w:trHeight w:val="169"/>
        </w:trPr>
        <w:tc>
          <w:tcPr>
            <w:tcW w:w="3061" w:type="dxa"/>
            <w:vAlign w:val="bottom"/>
          </w:tcPr>
          <w:p w14:paraId="68989BCE" w14:textId="77777777" w:rsidR="008E5DE4" w:rsidRDefault="00780368">
            <w:pPr>
              <w:widowControl w:val="0"/>
              <w:pBdr>
                <w:top w:val="nil"/>
                <w:left w:val="nil"/>
                <w:bottom w:val="nil"/>
                <w:right w:val="nil"/>
                <w:between w:val="nil"/>
              </w:pBdr>
              <w:ind w:left="113" w:right="-57" w:hanging="113"/>
              <w:rPr>
                <w:color w:val="000000"/>
              </w:rPr>
            </w:pPr>
            <w:r>
              <w:rPr>
                <w:color w:val="000000"/>
              </w:rPr>
              <w:t>New originated or purchased</w:t>
            </w:r>
          </w:p>
        </w:tc>
        <w:tc>
          <w:tcPr>
            <w:tcW w:w="851" w:type="dxa"/>
            <w:vAlign w:val="bottom"/>
          </w:tcPr>
          <w:p w14:paraId="419E0B5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726232E"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D209159"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574E3EB" w14:textId="77777777" w:rsidR="008E5DE4" w:rsidRDefault="008E5DE4">
            <w:pPr>
              <w:widowControl w:val="0"/>
              <w:pBdr>
                <w:top w:val="nil"/>
                <w:left w:val="nil"/>
                <w:bottom w:val="nil"/>
                <w:right w:val="nil"/>
                <w:between w:val="nil"/>
              </w:pBdr>
              <w:jc w:val="right"/>
              <w:rPr>
                <w:color w:val="000000"/>
              </w:rPr>
            </w:pPr>
          </w:p>
        </w:tc>
        <w:tc>
          <w:tcPr>
            <w:tcW w:w="871" w:type="dxa"/>
          </w:tcPr>
          <w:p w14:paraId="10586705" w14:textId="77777777" w:rsidR="008E5DE4" w:rsidRDefault="008E5DE4">
            <w:pPr>
              <w:widowControl w:val="0"/>
              <w:pBdr>
                <w:top w:val="nil"/>
                <w:left w:val="nil"/>
                <w:bottom w:val="nil"/>
                <w:right w:val="nil"/>
                <w:between w:val="nil"/>
              </w:pBdr>
              <w:jc w:val="right"/>
              <w:rPr>
                <w:color w:val="000000"/>
              </w:rPr>
            </w:pPr>
          </w:p>
        </w:tc>
        <w:tc>
          <w:tcPr>
            <w:tcW w:w="856" w:type="dxa"/>
          </w:tcPr>
          <w:p w14:paraId="2A74EA95" w14:textId="77777777" w:rsidR="008E5DE4" w:rsidRDefault="008E5DE4">
            <w:pPr>
              <w:widowControl w:val="0"/>
              <w:pBdr>
                <w:top w:val="nil"/>
                <w:left w:val="nil"/>
                <w:bottom w:val="nil"/>
                <w:right w:val="nil"/>
                <w:between w:val="nil"/>
              </w:pBdr>
              <w:jc w:val="right"/>
              <w:rPr>
                <w:color w:val="000000"/>
              </w:rPr>
            </w:pPr>
          </w:p>
        </w:tc>
        <w:tc>
          <w:tcPr>
            <w:tcW w:w="856" w:type="dxa"/>
          </w:tcPr>
          <w:p w14:paraId="62581FB5"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9C54AD4" w14:textId="77777777" w:rsidR="008E5DE4" w:rsidRDefault="008E5DE4">
            <w:pPr>
              <w:widowControl w:val="0"/>
              <w:pBdr>
                <w:top w:val="nil"/>
                <w:left w:val="nil"/>
                <w:bottom w:val="nil"/>
                <w:right w:val="nil"/>
                <w:between w:val="nil"/>
              </w:pBdr>
              <w:jc w:val="right"/>
              <w:rPr>
                <w:color w:val="000000"/>
              </w:rPr>
            </w:pPr>
          </w:p>
        </w:tc>
      </w:tr>
      <w:tr w:rsidR="008E5DE4" w14:paraId="097673E2" w14:textId="77777777">
        <w:trPr>
          <w:cantSplit/>
          <w:trHeight w:val="232"/>
        </w:trPr>
        <w:tc>
          <w:tcPr>
            <w:tcW w:w="3061" w:type="dxa"/>
            <w:vAlign w:val="bottom"/>
          </w:tcPr>
          <w:p w14:paraId="0517EF73"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851" w:type="dxa"/>
            <w:vAlign w:val="bottom"/>
          </w:tcPr>
          <w:p w14:paraId="0249B11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01BC6E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4AA55F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35B02771" w14:textId="77777777" w:rsidR="008E5DE4" w:rsidRDefault="008E5DE4">
            <w:pPr>
              <w:widowControl w:val="0"/>
              <w:pBdr>
                <w:top w:val="nil"/>
                <w:left w:val="nil"/>
                <w:bottom w:val="nil"/>
                <w:right w:val="nil"/>
                <w:between w:val="nil"/>
              </w:pBdr>
              <w:jc w:val="right"/>
              <w:rPr>
                <w:color w:val="000000"/>
              </w:rPr>
            </w:pPr>
          </w:p>
        </w:tc>
        <w:tc>
          <w:tcPr>
            <w:tcW w:w="871" w:type="dxa"/>
          </w:tcPr>
          <w:p w14:paraId="41E5DD90" w14:textId="77777777" w:rsidR="008E5DE4" w:rsidRDefault="008E5DE4">
            <w:pPr>
              <w:widowControl w:val="0"/>
              <w:pBdr>
                <w:top w:val="nil"/>
                <w:left w:val="nil"/>
                <w:bottom w:val="nil"/>
                <w:right w:val="nil"/>
                <w:between w:val="nil"/>
              </w:pBdr>
              <w:jc w:val="right"/>
              <w:rPr>
                <w:color w:val="000000"/>
              </w:rPr>
            </w:pPr>
          </w:p>
        </w:tc>
        <w:tc>
          <w:tcPr>
            <w:tcW w:w="856" w:type="dxa"/>
          </w:tcPr>
          <w:p w14:paraId="2A71AA0A" w14:textId="77777777" w:rsidR="008E5DE4" w:rsidRDefault="008E5DE4">
            <w:pPr>
              <w:widowControl w:val="0"/>
              <w:pBdr>
                <w:top w:val="nil"/>
                <w:left w:val="nil"/>
                <w:bottom w:val="nil"/>
                <w:right w:val="nil"/>
                <w:between w:val="nil"/>
              </w:pBdr>
              <w:jc w:val="right"/>
              <w:rPr>
                <w:color w:val="000000"/>
              </w:rPr>
            </w:pPr>
          </w:p>
        </w:tc>
        <w:tc>
          <w:tcPr>
            <w:tcW w:w="856" w:type="dxa"/>
          </w:tcPr>
          <w:p w14:paraId="65951B78"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44BC2A2" w14:textId="77777777" w:rsidR="008E5DE4" w:rsidRDefault="008E5DE4">
            <w:pPr>
              <w:widowControl w:val="0"/>
              <w:pBdr>
                <w:top w:val="nil"/>
                <w:left w:val="nil"/>
                <w:bottom w:val="nil"/>
                <w:right w:val="nil"/>
                <w:between w:val="nil"/>
              </w:pBdr>
              <w:jc w:val="right"/>
              <w:rPr>
                <w:color w:val="000000"/>
              </w:rPr>
            </w:pPr>
          </w:p>
        </w:tc>
      </w:tr>
      <w:tr w:rsidR="008E5DE4" w14:paraId="6150A740" w14:textId="77777777">
        <w:trPr>
          <w:cantSplit/>
          <w:trHeight w:val="80"/>
        </w:trPr>
        <w:tc>
          <w:tcPr>
            <w:tcW w:w="3061" w:type="dxa"/>
            <w:vAlign w:val="bottom"/>
          </w:tcPr>
          <w:p w14:paraId="20484CF7"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ECL measurement model assumptions</w:t>
            </w:r>
          </w:p>
        </w:tc>
        <w:tc>
          <w:tcPr>
            <w:tcW w:w="851" w:type="dxa"/>
            <w:vAlign w:val="bottom"/>
          </w:tcPr>
          <w:p w14:paraId="10BD6B7C"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4DD14006"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F92070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025C555"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410238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A2F96C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EB76A77"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D7C36D7" w14:textId="77777777" w:rsidR="008E5DE4" w:rsidRDefault="008E5DE4">
            <w:pPr>
              <w:widowControl w:val="0"/>
              <w:pBdr>
                <w:top w:val="nil"/>
                <w:left w:val="nil"/>
                <w:bottom w:val="nil"/>
                <w:right w:val="nil"/>
                <w:between w:val="nil"/>
              </w:pBdr>
              <w:jc w:val="right"/>
              <w:rPr>
                <w:color w:val="000000"/>
              </w:rPr>
            </w:pPr>
          </w:p>
        </w:tc>
      </w:tr>
      <w:tr w:rsidR="008E5DE4" w14:paraId="5B398361" w14:textId="77777777">
        <w:trPr>
          <w:cantSplit/>
          <w:trHeight w:val="85"/>
        </w:trPr>
        <w:tc>
          <w:tcPr>
            <w:tcW w:w="3061" w:type="dxa"/>
            <w:vAlign w:val="bottom"/>
          </w:tcPr>
          <w:p w14:paraId="6E2D3796"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w:t>
            </w:r>
          </w:p>
        </w:tc>
        <w:tc>
          <w:tcPr>
            <w:tcW w:w="851" w:type="dxa"/>
            <w:vAlign w:val="bottom"/>
          </w:tcPr>
          <w:p w14:paraId="57BA6090"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241763E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05F9A56"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5EB0A8C9"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A48152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A60C68B"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DADBDF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3D5E06D9" w14:textId="77777777" w:rsidR="008E5DE4" w:rsidRDefault="008E5DE4">
            <w:pPr>
              <w:widowControl w:val="0"/>
              <w:pBdr>
                <w:top w:val="nil"/>
                <w:left w:val="nil"/>
                <w:bottom w:val="nil"/>
                <w:right w:val="nil"/>
                <w:between w:val="nil"/>
              </w:pBdr>
              <w:jc w:val="right"/>
              <w:rPr>
                <w:color w:val="000000"/>
              </w:rPr>
            </w:pPr>
          </w:p>
        </w:tc>
      </w:tr>
      <w:tr w:rsidR="008E5DE4" w14:paraId="2D6C6788" w14:textId="77777777">
        <w:trPr>
          <w:cantSplit/>
          <w:trHeight w:val="169"/>
        </w:trPr>
        <w:tc>
          <w:tcPr>
            <w:tcW w:w="3061" w:type="dxa"/>
            <w:vAlign w:val="bottom"/>
          </w:tcPr>
          <w:p w14:paraId="48720431"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accrued interest</w:t>
            </w:r>
          </w:p>
        </w:tc>
        <w:tc>
          <w:tcPr>
            <w:tcW w:w="851" w:type="dxa"/>
            <w:vAlign w:val="bottom"/>
          </w:tcPr>
          <w:p w14:paraId="5917B17A"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7D0081D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1781095E"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4C5117EA"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E0F51C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CC072F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E065DDE"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654BF114" w14:textId="77777777" w:rsidR="008E5DE4" w:rsidRDefault="008E5DE4">
            <w:pPr>
              <w:widowControl w:val="0"/>
              <w:pBdr>
                <w:top w:val="nil"/>
                <w:left w:val="nil"/>
                <w:bottom w:val="nil"/>
                <w:right w:val="nil"/>
                <w:between w:val="nil"/>
              </w:pBdr>
              <w:jc w:val="right"/>
              <w:rPr>
                <w:color w:val="000000"/>
              </w:rPr>
            </w:pPr>
          </w:p>
        </w:tc>
      </w:tr>
      <w:tr w:rsidR="008E5DE4" w14:paraId="33F4080E" w14:textId="77777777">
        <w:trPr>
          <w:cantSplit/>
          <w:trHeight w:val="169"/>
        </w:trPr>
        <w:tc>
          <w:tcPr>
            <w:tcW w:w="3061" w:type="dxa"/>
            <w:vAlign w:val="bottom"/>
          </w:tcPr>
          <w:p w14:paraId="32CC8906"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851" w:type="dxa"/>
            <w:vAlign w:val="bottom"/>
          </w:tcPr>
          <w:p w14:paraId="6BB182FE"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3FB45F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9B883D4"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6A62718"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F369DB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D4D085C"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0F46A8F0"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24CBA7E0" w14:textId="77777777" w:rsidR="008E5DE4" w:rsidRDefault="008E5DE4">
            <w:pPr>
              <w:widowControl w:val="0"/>
              <w:pBdr>
                <w:top w:val="nil"/>
                <w:left w:val="nil"/>
                <w:bottom w:val="nil"/>
                <w:right w:val="nil"/>
                <w:between w:val="nil"/>
              </w:pBdr>
              <w:jc w:val="right"/>
              <w:rPr>
                <w:color w:val="000000"/>
              </w:rPr>
            </w:pPr>
          </w:p>
        </w:tc>
      </w:tr>
      <w:tr w:rsidR="008E5DE4" w14:paraId="7E626C1E" w14:textId="77777777">
        <w:trPr>
          <w:cantSplit/>
          <w:trHeight w:val="169"/>
        </w:trPr>
        <w:tc>
          <w:tcPr>
            <w:tcW w:w="3061" w:type="dxa"/>
            <w:tcBorders>
              <w:bottom w:val="single" w:sz="4" w:space="0" w:color="000000"/>
            </w:tcBorders>
            <w:vAlign w:val="bottom"/>
          </w:tcPr>
          <w:p w14:paraId="33E5C619"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10ED6BBA"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7F4A6C59"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52B91DC"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538784C1"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10FCC62B"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4C4B223B"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96D1DA0"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6A168E6A" w14:textId="77777777" w:rsidR="008E5DE4" w:rsidRDefault="008E5DE4">
            <w:pPr>
              <w:widowControl w:val="0"/>
              <w:pBdr>
                <w:top w:val="nil"/>
                <w:left w:val="nil"/>
                <w:bottom w:val="nil"/>
                <w:right w:val="nil"/>
                <w:between w:val="nil"/>
              </w:pBdr>
              <w:jc w:val="right"/>
              <w:rPr>
                <w:color w:val="000000"/>
              </w:rPr>
            </w:pPr>
          </w:p>
        </w:tc>
      </w:tr>
      <w:tr w:rsidR="008E5DE4" w14:paraId="6C050211" w14:textId="77777777">
        <w:trPr>
          <w:cantSplit/>
          <w:trHeight w:val="153"/>
        </w:trPr>
        <w:tc>
          <w:tcPr>
            <w:tcW w:w="3061" w:type="dxa"/>
            <w:tcBorders>
              <w:top w:val="single" w:sz="4" w:space="0" w:color="000000"/>
            </w:tcBorders>
            <w:vAlign w:val="bottom"/>
          </w:tcPr>
          <w:p w14:paraId="20DAC585"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03D8344B"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85AE4D6"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2099312"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745C159E"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0BB646D0"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6AC7492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7A4DD107"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1658E990" w14:textId="77777777" w:rsidR="008E5DE4" w:rsidRDefault="008E5DE4">
            <w:pPr>
              <w:widowControl w:val="0"/>
              <w:pBdr>
                <w:top w:val="nil"/>
                <w:left w:val="nil"/>
                <w:bottom w:val="nil"/>
                <w:right w:val="nil"/>
                <w:between w:val="nil"/>
              </w:pBdr>
              <w:jc w:val="right"/>
              <w:rPr>
                <w:color w:val="000000"/>
              </w:rPr>
            </w:pPr>
          </w:p>
        </w:tc>
      </w:tr>
      <w:tr w:rsidR="008E5DE4" w14:paraId="030CB108" w14:textId="77777777">
        <w:trPr>
          <w:cantSplit/>
          <w:trHeight w:val="245"/>
        </w:trPr>
        <w:tc>
          <w:tcPr>
            <w:tcW w:w="3061" w:type="dxa"/>
            <w:vAlign w:val="bottom"/>
          </w:tcPr>
          <w:p w14:paraId="172D2E54"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movements with impact on credit loss allowance charge for the period</w:t>
            </w:r>
          </w:p>
        </w:tc>
        <w:tc>
          <w:tcPr>
            <w:tcW w:w="851" w:type="dxa"/>
            <w:vAlign w:val="bottom"/>
          </w:tcPr>
          <w:p w14:paraId="3B571293"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167064E0"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0DAA62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0F265DDA"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4DEB229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09A4BF3"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A608E5B"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542142B" w14:textId="77777777" w:rsidR="008E5DE4" w:rsidRDefault="008E5DE4">
            <w:pPr>
              <w:widowControl w:val="0"/>
              <w:pBdr>
                <w:top w:val="nil"/>
                <w:left w:val="nil"/>
                <w:bottom w:val="nil"/>
                <w:right w:val="nil"/>
                <w:between w:val="nil"/>
              </w:pBdr>
              <w:jc w:val="right"/>
              <w:rPr>
                <w:color w:val="000000"/>
              </w:rPr>
            </w:pPr>
          </w:p>
        </w:tc>
      </w:tr>
      <w:tr w:rsidR="008E5DE4" w14:paraId="528B12DB" w14:textId="77777777">
        <w:trPr>
          <w:cantSplit/>
          <w:trHeight w:val="80"/>
        </w:trPr>
        <w:tc>
          <w:tcPr>
            <w:tcW w:w="3061" w:type="dxa"/>
            <w:tcBorders>
              <w:bottom w:val="single" w:sz="4" w:space="0" w:color="000000"/>
            </w:tcBorders>
            <w:vAlign w:val="bottom"/>
          </w:tcPr>
          <w:p w14:paraId="18F039AE"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bottom w:val="single" w:sz="4" w:space="0" w:color="000000"/>
            </w:tcBorders>
            <w:vAlign w:val="bottom"/>
          </w:tcPr>
          <w:p w14:paraId="52E17D69"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2F9514A4"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54595D9"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59925722"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5E25A11F"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64A3001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5C469C43"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1BE59B7F" w14:textId="77777777" w:rsidR="008E5DE4" w:rsidRDefault="008E5DE4">
            <w:pPr>
              <w:widowControl w:val="0"/>
              <w:pBdr>
                <w:top w:val="nil"/>
                <w:left w:val="nil"/>
                <w:bottom w:val="nil"/>
                <w:right w:val="nil"/>
                <w:between w:val="nil"/>
              </w:pBdr>
              <w:jc w:val="right"/>
              <w:rPr>
                <w:color w:val="000000"/>
              </w:rPr>
            </w:pPr>
          </w:p>
        </w:tc>
      </w:tr>
      <w:tr w:rsidR="008E5DE4" w14:paraId="1305EAE9" w14:textId="77777777">
        <w:trPr>
          <w:cantSplit/>
          <w:trHeight w:val="153"/>
        </w:trPr>
        <w:tc>
          <w:tcPr>
            <w:tcW w:w="3061" w:type="dxa"/>
            <w:tcBorders>
              <w:top w:val="single" w:sz="4" w:space="0" w:color="000000"/>
            </w:tcBorders>
            <w:vAlign w:val="bottom"/>
          </w:tcPr>
          <w:p w14:paraId="3C5F2C7B" w14:textId="77777777" w:rsidR="008E5DE4" w:rsidRDefault="008E5DE4">
            <w:pPr>
              <w:widowControl w:val="0"/>
              <w:pBdr>
                <w:top w:val="nil"/>
                <w:left w:val="nil"/>
                <w:bottom w:val="nil"/>
                <w:right w:val="nil"/>
                <w:between w:val="nil"/>
              </w:pBdr>
              <w:ind w:left="113" w:right="-57" w:hanging="113"/>
              <w:rPr>
                <w:color w:val="000000"/>
              </w:rPr>
            </w:pPr>
          </w:p>
        </w:tc>
        <w:tc>
          <w:tcPr>
            <w:tcW w:w="851" w:type="dxa"/>
            <w:tcBorders>
              <w:top w:val="single" w:sz="4" w:space="0" w:color="000000"/>
            </w:tcBorders>
            <w:vAlign w:val="bottom"/>
          </w:tcPr>
          <w:p w14:paraId="2A3A4B1E"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19608EF9"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2859AE77"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1386D410"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36823292"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3BDACCD4"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53F0A6EC"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524097A1" w14:textId="77777777" w:rsidR="008E5DE4" w:rsidRDefault="008E5DE4">
            <w:pPr>
              <w:widowControl w:val="0"/>
              <w:pBdr>
                <w:top w:val="nil"/>
                <w:left w:val="nil"/>
                <w:bottom w:val="nil"/>
                <w:right w:val="nil"/>
                <w:between w:val="nil"/>
              </w:pBdr>
              <w:jc w:val="right"/>
              <w:rPr>
                <w:color w:val="000000"/>
              </w:rPr>
            </w:pPr>
          </w:p>
        </w:tc>
      </w:tr>
      <w:tr w:rsidR="008E5DE4" w14:paraId="7E936922" w14:textId="77777777">
        <w:trPr>
          <w:cantSplit/>
          <w:trHeight w:val="692"/>
        </w:trPr>
        <w:tc>
          <w:tcPr>
            <w:tcW w:w="3061" w:type="dxa"/>
            <w:vAlign w:val="bottom"/>
          </w:tcPr>
          <w:p w14:paraId="6511A3F1" w14:textId="77777777" w:rsidR="008E5DE4" w:rsidRDefault="00780368">
            <w:pPr>
              <w:widowControl w:val="0"/>
              <w:pBdr>
                <w:top w:val="nil"/>
                <w:left w:val="nil"/>
                <w:bottom w:val="nil"/>
                <w:right w:val="nil"/>
                <w:between w:val="nil"/>
              </w:pBdr>
              <w:ind w:left="113" w:right="-57" w:hanging="113"/>
              <w:rPr>
                <w:b/>
                <w:color w:val="000000"/>
              </w:rPr>
            </w:pPr>
            <w:r>
              <w:rPr>
                <w:i/>
                <w:color w:val="000000"/>
              </w:rPr>
              <w:t>Movements without impact on credit loss allowance charge for the period:</w:t>
            </w:r>
          </w:p>
          <w:p w14:paraId="70CB3056" w14:textId="77777777" w:rsidR="008E5DE4" w:rsidRDefault="008E5DE4">
            <w:pPr>
              <w:widowControl w:val="0"/>
              <w:pBdr>
                <w:top w:val="nil"/>
                <w:left w:val="nil"/>
                <w:bottom w:val="nil"/>
                <w:right w:val="nil"/>
                <w:between w:val="nil"/>
              </w:pBdr>
              <w:ind w:right="-57"/>
              <w:rPr>
                <w:color w:val="000000"/>
                <w:sz w:val="8"/>
                <w:szCs w:val="8"/>
              </w:rPr>
            </w:pPr>
          </w:p>
        </w:tc>
        <w:tc>
          <w:tcPr>
            <w:tcW w:w="851" w:type="dxa"/>
            <w:vAlign w:val="bottom"/>
          </w:tcPr>
          <w:p w14:paraId="3E0A40A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2A5E8E8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88F68D4"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00B549F0"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45E22326"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F6B5408"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23837313"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04E27447" w14:textId="77777777" w:rsidR="008E5DE4" w:rsidRDefault="008E5DE4">
            <w:pPr>
              <w:widowControl w:val="0"/>
              <w:pBdr>
                <w:top w:val="nil"/>
                <w:left w:val="nil"/>
                <w:bottom w:val="nil"/>
                <w:right w:val="nil"/>
                <w:between w:val="nil"/>
              </w:pBdr>
              <w:jc w:val="right"/>
              <w:rPr>
                <w:color w:val="000000"/>
                <w:highlight w:val="green"/>
              </w:rPr>
            </w:pPr>
          </w:p>
        </w:tc>
      </w:tr>
      <w:tr w:rsidR="008E5DE4" w14:paraId="05A0F10A" w14:textId="77777777">
        <w:trPr>
          <w:cantSplit/>
          <w:trHeight w:val="169"/>
        </w:trPr>
        <w:tc>
          <w:tcPr>
            <w:tcW w:w="3061" w:type="dxa"/>
            <w:vAlign w:val="bottom"/>
          </w:tcPr>
          <w:p w14:paraId="78353708"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851" w:type="dxa"/>
            <w:vAlign w:val="bottom"/>
          </w:tcPr>
          <w:p w14:paraId="2C8D2D83"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3F17BAF4"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C6BFD9B"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5ECEA6B"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0CE9CCD0"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062F50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6F5F8AA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3F56F279" w14:textId="77777777" w:rsidR="008E5DE4" w:rsidRDefault="008E5DE4">
            <w:pPr>
              <w:widowControl w:val="0"/>
              <w:pBdr>
                <w:top w:val="nil"/>
                <w:left w:val="nil"/>
                <w:bottom w:val="nil"/>
                <w:right w:val="nil"/>
                <w:between w:val="nil"/>
              </w:pBdr>
              <w:jc w:val="right"/>
              <w:rPr>
                <w:color w:val="000000"/>
                <w:highlight w:val="green"/>
              </w:rPr>
            </w:pPr>
          </w:p>
        </w:tc>
      </w:tr>
      <w:tr w:rsidR="008E5DE4" w14:paraId="22F8566F" w14:textId="77777777">
        <w:trPr>
          <w:cantSplit/>
          <w:trHeight w:val="169"/>
        </w:trPr>
        <w:tc>
          <w:tcPr>
            <w:tcW w:w="3061" w:type="dxa"/>
            <w:vAlign w:val="bottom"/>
          </w:tcPr>
          <w:p w14:paraId="0A4BC163"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and other movements</w:t>
            </w:r>
          </w:p>
        </w:tc>
        <w:tc>
          <w:tcPr>
            <w:tcW w:w="851" w:type="dxa"/>
            <w:vAlign w:val="bottom"/>
          </w:tcPr>
          <w:p w14:paraId="1746A1A6" w14:textId="77777777" w:rsidR="008E5DE4" w:rsidRDefault="008E5DE4">
            <w:pPr>
              <w:widowControl w:val="0"/>
              <w:pBdr>
                <w:top w:val="nil"/>
                <w:left w:val="nil"/>
                <w:bottom w:val="nil"/>
                <w:right w:val="nil"/>
                <w:between w:val="nil"/>
              </w:pBdr>
              <w:jc w:val="right"/>
              <w:rPr>
                <w:color w:val="000000"/>
                <w:highlight w:val="green"/>
              </w:rPr>
            </w:pPr>
          </w:p>
        </w:tc>
        <w:tc>
          <w:tcPr>
            <w:tcW w:w="878" w:type="dxa"/>
            <w:vAlign w:val="bottom"/>
          </w:tcPr>
          <w:p w14:paraId="0BB41701"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6E32F99" w14:textId="77777777" w:rsidR="008E5DE4" w:rsidRDefault="008E5DE4">
            <w:pPr>
              <w:widowControl w:val="0"/>
              <w:pBdr>
                <w:top w:val="nil"/>
                <w:left w:val="nil"/>
                <w:bottom w:val="nil"/>
                <w:right w:val="nil"/>
                <w:between w:val="nil"/>
              </w:pBdr>
              <w:jc w:val="right"/>
              <w:rPr>
                <w:color w:val="000000"/>
                <w:highlight w:val="green"/>
              </w:rPr>
            </w:pPr>
          </w:p>
        </w:tc>
        <w:tc>
          <w:tcPr>
            <w:tcW w:w="571" w:type="dxa"/>
            <w:vAlign w:val="bottom"/>
          </w:tcPr>
          <w:p w14:paraId="24A5B6D5" w14:textId="77777777" w:rsidR="008E5DE4" w:rsidRDefault="008E5DE4">
            <w:pPr>
              <w:widowControl w:val="0"/>
              <w:pBdr>
                <w:top w:val="nil"/>
                <w:left w:val="nil"/>
                <w:bottom w:val="nil"/>
                <w:right w:val="nil"/>
                <w:between w:val="nil"/>
              </w:pBdr>
              <w:jc w:val="right"/>
              <w:rPr>
                <w:color w:val="000000"/>
                <w:highlight w:val="green"/>
              </w:rPr>
            </w:pPr>
          </w:p>
        </w:tc>
        <w:tc>
          <w:tcPr>
            <w:tcW w:w="871" w:type="dxa"/>
            <w:vAlign w:val="bottom"/>
          </w:tcPr>
          <w:p w14:paraId="0463D057"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043C4D9C" w14:textId="77777777" w:rsidR="008E5DE4" w:rsidRDefault="008E5DE4">
            <w:pPr>
              <w:widowControl w:val="0"/>
              <w:pBdr>
                <w:top w:val="nil"/>
                <w:left w:val="nil"/>
                <w:bottom w:val="nil"/>
                <w:right w:val="nil"/>
                <w:between w:val="nil"/>
              </w:pBdr>
              <w:jc w:val="right"/>
              <w:rPr>
                <w:color w:val="000000"/>
                <w:highlight w:val="green"/>
              </w:rPr>
            </w:pPr>
          </w:p>
        </w:tc>
        <w:tc>
          <w:tcPr>
            <w:tcW w:w="856" w:type="dxa"/>
            <w:vAlign w:val="bottom"/>
          </w:tcPr>
          <w:p w14:paraId="187A0F66" w14:textId="77777777" w:rsidR="008E5DE4" w:rsidRDefault="008E5DE4">
            <w:pPr>
              <w:widowControl w:val="0"/>
              <w:pBdr>
                <w:top w:val="nil"/>
                <w:left w:val="nil"/>
                <w:bottom w:val="nil"/>
                <w:right w:val="nil"/>
                <w:between w:val="nil"/>
              </w:pBdr>
              <w:jc w:val="right"/>
              <w:rPr>
                <w:color w:val="000000"/>
                <w:highlight w:val="green"/>
              </w:rPr>
            </w:pPr>
          </w:p>
        </w:tc>
        <w:tc>
          <w:tcPr>
            <w:tcW w:w="573" w:type="dxa"/>
            <w:vAlign w:val="bottom"/>
          </w:tcPr>
          <w:p w14:paraId="1DAD7899" w14:textId="77777777" w:rsidR="008E5DE4" w:rsidRDefault="008E5DE4">
            <w:pPr>
              <w:widowControl w:val="0"/>
              <w:pBdr>
                <w:top w:val="nil"/>
                <w:left w:val="nil"/>
                <w:bottom w:val="nil"/>
                <w:right w:val="nil"/>
                <w:between w:val="nil"/>
              </w:pBdr>
              <w:jc w:val="right"/>
              <w:rPr>
                <w:color w:val="000000"/>
                <w:highlight w:val="green"/>
              </w:rPr>
            </w:pPr>
          </w:p>
        </w:tc>
      </w:tr>
      <w:tr w:rsidR="008E5DE4" w14:paraId="76708999" w14:textId="77777777">
        <w:trPr>
          <w:cantSplit/>
          <w:trHeight w:val="337"/>
        </w:trPr>
        <w:tc>
          <w:tcPr>
            <w:tcW w:w="3061" w:type="dxa"/>
            <w:vAlign w:val="bottom"/>
          </w:tcPr>
          <w:p w14:paraId="2C18936D"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851" w:type="dxa"/>
            <w:vAlign w:val="bottom"/>
          </w:tcPr>
          <w:p w14:paraId="45DC91CB"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39D1E06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4399B597"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AD83F36"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54FE074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0694692"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1C50F7A"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FEF9D41" w14:textId="77777777" w:rsidR="008E5DE4" w:rsidRDefault="008E5DE4">
            <w:pPr>
              <w:widowControl w:val="0"/>
              <w:pBdr>
                <w:top w:val="nil"/>
                <w:left w:val="nil"/>
                <w:bottom w:val="nil"/>
                <w:right w:val="nil"/>
                <w:between w:val="nil"/>
              </w:pBdr>
              <w:jc w:val="right"/>
              <w:rPr>
                <w:color w:val="000000"/>
              </w:rPr>
            </w:pPr>
          </w:p>
        </w:tc>
      </w:tr>
      <w:tr w:rsidR="008E5DE4" w14:paraId="5FC8AB4D" w14:textId="77777777">
        <w:trPr>
          <w:cantSplit/>
          <w:trHeight w:val="231"/>
        </w:trPr>
        <w:tc>
          <w:tcPr>
            <w:tcW w:w="3061" w:type="dxa"/>
            <w:vAlign w:val="bottom"/>
          </w:tcPr>
          <w:p w14:paraId="565B9B41"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 (for Stage 3)</w:t>
            </w:r>
          </w:p>
        </w:tc>
        <w:tc>
          <w:tcPr>
            <w:tcW w:w="851" w:type="dxa"/>
            <w:vAlign w:val="bottom"/>
          </w:tcPr>
          <w:p w14:paraId="13600361"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56E4FE4"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53FBCBBF"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7DC44A21"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6E5CDBD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7B6A605A"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3AFF6524"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72D7E713" w14:textId="77777777" w:rsidR="008E5DE4" w:rsidRDefault="008E5DE4">
            <w:pPr>
              <w:widowControl w:val="0"/>
              <w:pBdr>
                <w:top w:val="nil"/>
                <w:left w:val="nil"/>
                <w:bottom w:val="nil"/>
                <w:right w:val="nil"/>
                <w:between w:val="nil"/>
              </w:pBdr>
              <w:jc w:val="right"/>
              <w:rPr>
                <w:color w:val="000000"/>
              </w:rPr>
            </w:pPr>
          </w:p>
        </w:tc>
      </w:tr>
      <w:tr w:rsidR="008E5DE4" w14:paraId="45C545E1" w14:textId="77777777">
        <w:trPr>
          <w:cantSplit/>
          <w:trHeight w:val="169"/>
        </w:trPr>
        <w:tc>
          <w:tcPr>
            <w:tcW w:w="3061" w:type="dxa"/>
            <w:tcBorders>
              <w:bottom w:val="single" w:sz="4" w:space="0" w:color="000000"/>
            </w:tcBorders>
            <w:vAlign w:val="bottom"/>
          </w:tcPr>
          <w:p w14:paraId="30609C4A"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4" w:space="0" w:color="000000"/>
            </w:tcBorders>
            <w:vAlign w:val="bottom"/>
          </w:tcPr>
          <w:p w14:paraId="05588B44"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4" w:space="0" w:color="000000"/>
            </w:tcBorders>
            <w:vAlign w:val="bottom"/>
          </w:tcPr>
          <w:p w14:paraId="30E3750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210CCE9B"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4" w:space="0" w:color="000000"/>
            </w:tcBorders>
            <w:vAlign w:val="bottom"/>
          </w:tcPr>
          <w:p w14:paraId="035ED3F9"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4" w:space="0" w:color="000000"/>
            </w:tcBorders>
            <w:vAlign w:val="bottom"/>
          </w:tcPr>
          <w:p w14:paraId="67F6ABC1"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7D280312"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4" w:space="0" w:color="000000"/>
            </w:tcBorders>
            <w:vAlign w:val="bottom"/>
          </w:tcPr>
          <w:p w14:paraId="030AC254"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4" w:space="0" w:color="000000"/>
            </w:tcBorders>
            <w:vAlign w:val="bottom"/>
          </w:tcPr>
          <w:p w14:paraId="4ECDBC7F" w14:textId="77777777" w:rsidR="008E5DE4" w:rsidRDefault="008E5DE4">
            <w:pPr>
              <w:widowControl w:val="0"/>
              <w:pBdr>
                <w:top w:val="nil"/>
                <w:left w:val="nil"/>
                <w:bottom w:val="nil"/>
                <w:right w:val="nil"/>
                <w:between w:val="nil"/>
              </w:pBdr>
              <w:jc w:val="right"/>
              <w:rPr>
                <w:color w:val="000000"/>
              </w:rPr>
            </w:pPr>
          </w:p>
        </w:tc>
      </w:tr>
      <w:tr w:rsidR="008E5DE4" w14:paraId="5DB66711" w14:textId="77777777">
        <w:trPr>
          <w:cantSplit/>
          <w:trHeight w:val="169"/>
        </w:trPr>
        <w:tc>
          <w:tcPr>
            <w:tcW w:w="3061" w:type="dxa"/>
            <w:tcBorders>
              <w:top w:val="single" w:sz="4" w:space="0" w:color="000000"/>
            </w:tcBorders>
            <w:vAlign w:val="bottom"/>
          </w:tcPr>
          <w:p w14:paraId="3C16AF3E" w14:textId="77777777" w:rsidR="008E5DE4" w:rsidRDefault="008E5DE4">
            <w:pPr>
              <w:widowControl w:val="0"/>
              <w:pBdr>
                <w:top w:val="nil"/>
                <w:left w:val="nil"/>
                <w:bottom w:val="nil"/>
                <w:right w:val="nil"/>
                <w:between w:val="nil"/>
              </w:pBdr>
              <w:ind w:left="113" w:right="-57" w:hanging="113"/>
              <w:rPr>
                <w:color w:val="000000"/>
                <w:u w:val="single"/>
              </w:rPr>
            </w:pPr>
          </w:p>
        </w:tc>
        <w:tc>
          <w:tcPr>
            <w:tcW w:w="851" w:type="dxa"/>
            <w:tcBorders>
              <w:top w:val="single" w:sz="4" w:space="0" w:color="000000"/>
            </w:tcBorders>
            <w:vAlign w:val="bottom"/>
          </w:tcPr>
          <w:p w14:paraId="4D4DA395" w14:textId="77777777" w:rsidR="008E5DE4" w:rsidRDefault="008E5DE4">
            <w:pPr>
              <w:widowControl w:val="0"/>
              <w:pBdr>
                <w:top w:val="nil"/>
                <w:left w:val="nil"/>
                <w:bottom w:val="nil"/>
                <w:right w:val="nil"/>
                <w:between w:val="nil"/>
              </w:pBdr>
              <w:jc w:val="right"/>
              <w:rPr>
                <w:color w:val="000000"/>
              </w:rPr>
            </w:pPr>
          </w:p>
        </w:tc>
        <w:tc>
          <w:tcPr>
            <w:tcW w:w="878" w:type="dxa"/>
            <w:tcBorders>
              <w:top w:val="single" w:sz="4" w:space="0" w:color="000000"/>
            </w:tcBorders>
            <w:vAlign w:val="bottom"/>
          </w:tcPr>
          <w:p w14:paraId="36895E9A"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EFEFAC2" w14:textId="77777777" w:rsidR="008E5DE4" w:rsidRDefault="008E5DE4">
            <w:pPr>
              <w:widowControl w:val="0"/>
              <w:pBdr>
                <w:top w:val="nil"/>
                <w:left w:val="nil"/>
                <w:bottom w:val="nil"/>
                <w:right w:val="nil"/>
                <w:between w:val="nil"/>
              </w:pBdr>
              <w:jc w:val="right"/>
              <w:rPr>
                <w:color w:val="000000"/>
              </w:rPr>
            </w:pPr>
          </w:p>
        </w:tc>
        <w:tc>
          <w:tcPr>
            <w:tcW w:w="571" w:type="dxa"/>
            <w:tcBorders>
              <w:top w:val="single" w:sz="4" w:space="0" w:color="000000"/>
            </w:tcBorders>
            <w:vAlign w:val="bottom"/>
          </w:tcPr>
          <w:p w14:paraId="26E6C2E3" w14:textId="77777777" w:rsidR="008E5DE4" w:rsidRDefault="008E5DE4">
            <w:pPr>
              <w:widowControl w:val="0"/>
              <w:pBdr>
                <w:top w:val="nil"/>
                <w:left w:val="nil"/>
                <w:bottom w:val="nil"/>
                <w:right w:val="nil"/>
                <w:between w:val="nil"/>
              </w:pBdr>
              <w:jc w:val="right"/>
              <w:rPr>
                <w:color w:val="000000"/>
              </w:rPr>
            </w:pPr>
          </w:p>
        </w:tc>
        <w:tc>
          <w:tcPr>
            <w:tcW w:w="871" w:type="dxa"/>
            <w:tcBorders>
              <w:top w:val="single" w:sz="4" w:space="0" w:color="000000"/>
            </w:tcBorders>
            <w:vAlign w:val="bottom"/>
          </w:tcPr>
          <w:p w14:paraId="7DCF5335"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15B802CE" w14:textId="77777777" w:rsidR="008E5DE4" w:rsidRDefault="008E5DE4">
            <w:pPr>
              <w:widowControl w:val="0"/>
              <w:pBdr>
                <w:top w:val="nil"/>
                <w:left w:val="nil"/>
                <w:bottom w:val="nil"/>
                <w:right w:val="nil"/>
                <w:between w:val="nil"/>
              </w:pBdr>
              <w:jc w:val="right"/>
              <w:rPr>
                <w:color w:val="000000"/>
              </w:rPr>
            </w:pPr>
          </w:p>
        </w:tc>
        <w:tc>
          <w:tcPr>
            <w:tcW w:w="856" w:type="dxa"/>
            <w:tcBorders>
              <w:top w:val="single" w:sz="4" w:space="0" w:color="000000"/>
            </w:tcBorders>
            <w:vAlign w:val="bottom"/>
          </w:tcPr>
          <w:p w14:paraId="4F5057B3" w14:textId="77777777" w:rsidR="008E5DE4" w:rsidRDefault="008E5DE4">
            <w:pPr>
              <w:widowControl w:val="0"/>
              <w:pBdr>
                <w:top w:val="nil"/>
                <w:left w:val="nil"/>
                <w:bottom w:val="nil"/>
                <w:right w:val="nil"/>
                <w:between w:val="nil"/>
              </w:pBdr>
              <w:jc w:val="right"/>
              <w:rPr>
                <w:color w:val="000000"/>
              </w:rPr>
            </w:pPr>
          </w:p>
        </w:tc>
        <w:tc>
          <w:tcPr>
            <w:tcW w:w="573" w:type="dxa"/>
            <w:tcBorders>
              <w:top w:val="single" w:sz="4" w:space="0" w:color="000000"/>
            </w:tcBorders>
            <w:vAlign w:val="bottom"/>
          </w:tcPr>
          <w:p w14:paraId="58415713" w14:textId="77777777" w:rsidR="008E5DE4" w:rsidRDefault="008E5DE4">
            <w:pPr>
              <w:widowControl w:val="0"/>
              <w:pBdr>
                <w:top w:val="nil"/>
                <w:left w:val="nil"/>
                <w:bottom w:val="nil"/>
                <w:right w:val="nil"/>
                <w:between w:val="nil"/>
              </w:pBdr>
              <w:jc w:val="right"/>
              <w:rPr>
                <w:color w:val="000000"/>
              </w:rPr>
            </w:pPr>
          </w:p>
        </w:tc>
      </w:tr>
      <w:tr w:rsidR="008E5DE4" w14:paraId="5D364EBF" w14:textId="77777777">
        <w:trPr>
          <w:cantSplit/>
          <w:trHeight w:val="169"/>
        </w:trPr>
        <w:tc>
          <w:tcPr>
            <w:tcW w:w="3061" w:type="dxa"/>
            <w:vAlign w:val="bottom"/>
          </w:tcPr>
          <w:p w14:paraId="399CD7FC" w14:textId="756F250F"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31 December </w:t>
            </w:r>
            <w:r w:rsidR="00FF468A">
              <w:rPr>
                <w:b/>
                <w:color w:val="000000"/>
              </w:rPr>
              <w:t>2024</w:t>
            </w:r>
          </w:p>
        </w:tc>
        <w:tc>
          <w:tcPr>
            <w:tcW w:w="851" w:type="dxa"/>
            <w:vAlign w:val="bottom"/>
          </w:tcPr>
          <w:p w14:paraId="5116AC19" w14:textId="77777777" w:rsidR="008E5DE4" w:rsidRDefault="008E5DE4">
            <w:pPr>
              <w:widowControl w:val="0"/>
              <w:pBdr>
                <w:top w:val="nil"/>
                <w:left w:val="nil"/>
                <w:bottom w:val="nil"/>
                <w:right w:val="nil"/>
                <w:between w:val="nil"/>
              </w:pBdr>
              <w:jc w:val="right"/>
              <w:rPr>
                <w:color w:val="000000"/>
              </w:rPr>
            </w:pPr>
          </w:p>
        </w:tc>
        <w:tc>
          <w:tcPr>
            <w:tcW w:w="878" w:type="dxa"/>
            <w:vAlign w:val="bottom"/>
          </w:tcPr>
          <w:p w14:paraId="6DD514D8"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28D938A" w14:textId="77777777" w:rsidR="008E5DE4" w:rsidRDefault="008E5DE4">
            <w:pPr>
              <w:widowControl w:val="0"/>
              <w:pBdr>
                <w:top w:val="nil"/>
                <w:left w:val="nil"/>
                <w:bottom w:val="nil"/>
                <w:right w:val="nil"/>
                <w:between w:val="nil"/>
              </w:pBdr>
              <w:jc w:val="right"/>
              <w:rPr>
                <w:color w:val="000000"/>
              </w:rPr>
            </w:pPr>
          </w:p>
        </w:tc>
        <w:tc>
          <w:tcPr>
            <w:tcW w:w="571" w:type="dxa"/>
            <w:vAlign w:val="bottom"/>
          </w:tcPr>
          <w:p w14:paraId="2C61CC5B" w14:textId="77777777" w:rsidR="008E5DE4" w:rsidRDefault="008E5DE4">
            <w:pPr>
              <w:widowControl w:val="0"/>
              <w:pBdr>
                <w:top w:val="nil"/>
                <w:left w:val="nil"/>
                <w:bottom w:val="nil"/>
                <w:right w:val="nil"/>
                <w:between w:val="nil"/>
              </w:pBdr>
              <w:jc w:val="right"/>
              <w:rPr>
                <w:color w:val="000000"/>
              </w:rPr>
            </w:pPr>
          </w:p>
        </w:tc>
        <w:tc>
          <w:tcPr>
            <w:tcW w:w="871" w:type="dxa"/>
            <w:vAlign w:val="bottom"/>
          </w:tcPr>
          <w:p w14:paraId="3EE993E1"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21DAE9E5" w14:textId="77777777" w:rsidR="008E5DE4" w:rsidRDefault="008E5DE4">
            <w:pPr>
              <w:widowControl w:val="0"/>
              <w:pBdr>
                <w:top w:val="nil"/>
                <w:left w:val="nil"/>
                <w:bottom w:val="nil"/>
                <w:right w:val="nil"/>
                <w:between w:val="nil"/>
              </w:pBdr>
              <w:jc w:val="right"/>
              <w:rPr>
                <w:color w:val="000000"/>
              </w:rPr>
            </w:pPr>
          </w:p>
        </w:tc>
        <w:tc>
          <w:tcPr>
            <w:tcW w:w="856" w:type="dxa"/>
            <w:vAlign w:val="bottom"/>
          </w:tcPr>
          <w:p w14:paraId="664BB0C9" w14:textId="77777777" w:rsidR="008E5DE4" w:rsidRDefault="008E5DE4">
            <w:pPr>
              <w:widowControl w:val="0"/>
              <w:pBdr>
                <w:top w:val="nil"/>
                <w:left w:val="nil"/>
                <w:bottom w:val="nil"/>
                <w:right w:val="nil"/>
                <w:between w:val="nil"/>
              </w:pBdr>
              <w:jc w:val="right"/>
              <w:rPr>
                <w:color w:val="000000"/>
              </w:rPr>
            </w:pPr>
          </w:p>
        </w:tc>
        <w:tc>
          <w:tcPr>
            <w:tcW w:w="573" w:type="dxa"/>
            <w:vAlign w:val="bottom"/>
          </w:tcPr>
          <w:p w14:paraId="00C9EA83" w14:textId="77777777" w:rsidR="008E5DE4" w:rsidRDefault="008E5DE4">
            <w:pPr>
              <w:widowControl w:val="0"/>
              <w:pBdr>
                <w:top w:val="nil"/>
                <w:left w:val="nil"/>
                <w:bottom w:val="nil"/>
                <w:right w:val="nil"/>
                <w:between w:val="nil"/>
              </w:pBdr>
              <w:jc w:val="right"/>
              <w:rPr>
                <w:color w:val="000000"/>
              </w:rPr>
            </w:pPr>
          </w:p>
        </w:tc>
      </w:tr>
      <w:tr w:rsidR="008E5DE4" w14:paraId="15EBE333" w14:textId="77777777">
        <w:trPr>
          <w:cantSplit/>
          <w:trHeight w:val="169"/>
        </w:trPr>
        <w:tc>
          <w:tcPr>
            <w:tcW w:w="3061" w:type="dxa"/>
            <w:tcBorders>
              <w:bottom w:val="single" w:sz="12" w:space="0" w:color="000000"/>
            </w:tcBorders>
            <w:vAlign w:val="bottom"/>
          </w:tcPr>
          <w:p w14:paraId="0777E735" w14:textId="77777777" w:rsidR="008E5DE4" w:rsidRDefault="008E5DE4">
            <w:pPr>
              <w:widowControl w:val="0"/>
              <w:pBdr>
                <w:top w:val="nil"/>
                <w:left w:val="nil"/>
                <w:bottom w:val="nil"/>
                <w:right w:val="nil"/>
                <w:between w:val="nil"/>
              </w:pBdr>
              <w:ind w:left="113" w:right="-57" w:hanging="113"/>
              <w:rPr>
                <w:b/>
                <w:color w:val="000000"/>
              </w:rPr>
            </w:pPr>
          </w:p>
        </w:tc>
        <w:tc>
          <w:tcPr>
            <w:tcW w:w="851" w:type="dxa"/>
            <w:tcBorders>
              <w:bottom w:val="single" w:sz="12" w:space="0" w:color="000000"/>
            </w:tcBorders>
            <w:vAlign w:val="bottom"/>
          </w:tcPr>
          <w:p w14:paraId="1DED97D3" w14:textId="77777777" w:rsidR="008E5DE4" w:rsidRDefault="008E5DE4">
            <w:pPr>
              <w:widowControl w:val="0"/>
              <w:pBdr>
                <w:top w:val="nil"/>
                <w:left w:val="nil"/>
                <w:bottom w:val="nil"/>
                <w:right w:val="nil"/>
                <w:between w:val="nil"/>
              </w:pBdr>
              <w:jc w:val="right"/>
              <w:rPr>
                <w:color w:val="000000"/>
              </w:rPr>
            </w:pPr>
          </w:p>
        </w:tc>
        <w:tc>
          <w:tcPr>
            <w:tcW w:w="878" w:type="dxa"/>
            <w:tcBorders>
              <w:bottom w:val="single" w:sz="12" w:space="0" w:color="000000"/>
            </w:tcBorders>
            <w:vAlign w:val="bottom"/>
          </w:tcPr>
          <w:p w14:paraId="3EE63CA3"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vAlign w:val="bottom"/>
          </w:tcPr>
          <w:p w14:paraId="21B121E4" w14:textId="77777777" w:rsidR="008E5DE4" w:rsidRDefault="008E5DE4">
            <w:pPr>
              <w:widowControl w:val="0"/>
              <w:pBdr>
                <w:top w:val="nil"/>
                <w:left w:val="nil"/>
                <w:bottom w:val="nil"/>
                <w:right w:val="nil"/>
                <w:between w:val="nil"/>
              </w:pBdr>
              <w:jc w:val="right"/>
              <w:rPr>
                <w:color w:val="000000"/>
              </w:rPr>
            </w:pPr>
          </w:p>
        </w:tc>
        <w:tc>
          <w:tcPr>
            <w:tcW w:w="571" w:type="dxa"/>
            <w:tcBorders>
              <w:bottom w:val="single" w:sz="12" w:space="0" w:color="000000"/>
            </w:tcBorders>
            <w:vAlign w:val="bottom"/>
          </w:tcPr>
          <w:p w14:paraId="236DF827" w14:textId="77777777" w:rsidR="008E5DE4" w:rsidRDefault="008E5DE4">
            <w:pPr>
              <w:widowControl w:val="0"/>
              <w:pBdr>
                <w:top w:val="nil"/>
                <w:left w:val="nil"/>
                <w:bottom w:val="nil"/>
                <w:right w:val="nil"/>
                <w:between w:val="nil"/>
              </w:pBdr>
              <w:jc w:val="right"/>
              <w:rPr>
                <w:color w:val="000000"/>
              </w:rPr>
            </w:pPr>
          </w:p>
        </w:tc>
        <w:tc>
          <w:tcPr>
            <w:tcW w:w="871" w:type="dxa"/>
            <w:tcBorders>
              <w:bottom w:val="single" w:sz="12" w:space="0" w:color="000000"/>
            </w:tcBorders>
          </w:tcPr>
          <w:p w14:paraId="4CD5BF38"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3F159306" w14:textId="77777777" w:rsidR="008E5DE4" w:rsidRDefault="008E5DE4">
            <w:pPr>
              <w:widowControl w:val="0"/>
              <w:pBdr>
                <w:top w:val="nil"/>
                <w:left w:val="nil"/>
                <w:bottom w:val="nil"/>
                <w:right w:val="nil"/>
                <w:between w:val="nil"/>
              </w:pBdr>
              <w:jc w:val="right"/>
              <w:rPr>
                <w:color w:val="000000"/>
              </w:rPr>
            </w:pPr>
          </w:p>
        </w:tc>
        <w:tc>
          <w:tcPr>
            <w:tcW w:w="856" w:type="dxa"/>
            <w:tcBorders>
              <w:bottom w:val="single" w:sz="12" w:space="0" w:color="000000"/>
            </w:tcBorders>
          </w:tcPr>
          <w:p w14:paraId="39B61230" w14:textId="77777777" w:rsidR="008E5DE4" w:rsidRDefault="008E5DE4">
            <w:pPr>
              <w:widowControl w:val="0"/>
              <w:pBdr>
                <w:top w:val="nil"/>
                <w:left w:val="nil"/>
                <w:bottom w:val="nil"/>
                <w:right w:val="nil"/>
                <w:between w:val="nil"/>
              </w:pBdr>
              <w:jc w:val="right"/>
              <w:rPr>
                <w:color w:val="000000"/>
              </w:rPr>
            </w:pPr>
          </w:p>
        </w:tc>
        <w:tc>
          <w:tcPr>
            <w:tcW w:w="573" w:type="dxa"/>
            <w:tcBorders>
              <w:bottom w:val="single" w:sz="12" w:space="0" w:color="000000"/>
            </w:tcBorders>
            <w:vAlign w:val="bottom"/>
          </w:tcPr>
          <w:p w14:paraId="18E4A072" w14:textId="77777777" w:rsidR="008E5DE4" w:rsidRDefault="008E5DE4">
            <w:pPr>
              <w:widowControl w:val="0"/>
              <w:pBdr>
                <w:top w:val="nil"/>
                <w:left w:val="nil"/>
                <w:bottom w:val="nil"/>
                <w:right w:val="nil"/>
                <w:between w:val="nil"/>
              </w:pBdr>
              <w:jc w:val="right"/>
              <w:rPr>
                <w:color w:val="000000"/>
              </w:rPr>
            </w:pPr>
          </w:p>
        </w:tc>
      </w:tr>
    </w:tbl>
    <w:p w14:paraId="1577CE55" w14:textId="202FF039" w:rsidR="008E5DE4" w:rsidRDefault="00780368">
      <w:pPr>
        <w:widowControl w:val="0"/>
        <w:spacing w:before="200" w:after="200"/>
        <w:jc w:val="both"/>
        <w:rPr>
          <w:sz w:val="20"/>
          <w:szCs w:val="20"/>
        </w:rPr>
      </w:pPr>
      <w:r>
        <w:rPr>
          <w:sz w:val="20"/>
          <w:szCs w:val="20"/>
        </w:rPr>
        <w:t>The total amount of undiscounted ECLs at initial recognition for POCI financial assets recognised during the period was EUR _____</w:t>
      </w:r>
      <w:r>
        <w:rPr>
          <w:color w:val="0070C0"/>
          <w:sz w:val="20"/>
          <w:szCs w:val="20"/>
        </w:rPr>
        <w:t xml:space="preserve"> </w:t>
      </w:r>
      <w:r>
        <w:rPr>
          <w:sz w:val="20"/>
          <w:szCs w:val="20"/>
        </w:rPr>
        <w:t>thousand (</w:t>
      </w:r>
      <w:r w:rsidR="00FF468A">
        <w:rPr>
          <w:sz w:val="20"/>
          <w:szCs w:val="20"/>
        </w:rPr>
        <w:t>2024</w:t>
      </w:r>
      <w:r>
        <w:rPr>
          <w:sz w:val="20"/>
          <w:szCs w:val="20"/>
        </w:rPr>
        <w:t>:</w:t>
      </w:r>
      <w:r w:rsidR="00176789">
        <w:rPr>
          <w:sz w:val="20"/>
          <w:szCs w:val="20"/>
        </w:rPr>
        <w:t xml:space="preserve"> </w:t>
      </w:r>
      <w:r>
        <w:rPr>
          <w:sz w:val="20"/>
          <w:szCs w:val="20"/>
        </w:rPr>
        <w:t xml:space="preserve">EUR __ thousand). </w:t>
      </w:r>
    </w:p>
    <w:p w14:paraId="30334C33" w14:textId="46EB11F4" w:rsidR="008E5DE4" w:rsidRDefault="00C07603" w:rsidP="007F183E">
      <w:pPr>
        <w:pStyle w:val="Heading1"/>
        <w:pageBreakBefore/>
        <w:numPr>
          <w:ilvl w:val="0"/>
          <w:numId w:val="0"/>
        </w:numPr>
        <w:spacing w:before="0"/>
        <w:ind w:left="567" w:hanging="567"/>
      </w:pPr>
      <w:bookmarkStart w:id="40" w:name="_Toc149923622"/>
      <w:r>
        <w:lastRenderedPageBreak/>
        <w:t xml:space="preserve">23 </w:t>
      </w:r>
      <w:r>
        <w:tab/>
      </w:r>
      <w:r w:rsidR="00780368">
        <w:t>Investments in Equity Securities</w:t>
      </w:r>
      <w:bookmarkEnd w:id="40"/>
    </w:p>
    <w:p w14:paraId="2160FAC6" w14:textId="2A621356" w:rsidR="008E5DE4" w:rsidRDefault="00090491" w:rsidP="007F183E">
      <w:pPr>
        <w:shd w:val="clear" w:color="auto" w:fill="C6D9F1"/>
        <w:rPr>
          <w:i/>
          <w:color w:val="FF0000"/>
          <w:sz w:val="20"/>
          <w:szCs w:val="20"/>
        </w:rPr>
      </w:pPr>
      <w:r>
        <w:rPr>
          <w:b/>
          <w:i/>
          <w:sz w:val="20"/>
          <w:szCs w:val="20"/>
        </w:rPr>
        <w:t>Material accounting policy information</w:t>
      </w:r>
      <w:r w:rsidR="00780368">
        <w:rPr>
          <w:b/>
          <w:i/>
          <w:sz w:val="20"/>
          <w:szCs w:val="20"/>
        </w:rPr>
        <w:t xml:space="preserve"> </w:t>
      </w:r>
    </w:p>
    <w:p w14:paraId="20814DF5"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Initial recognition</w:t>
      </w:r>
      <w:r>
        <w:rPr>
          <w:color w:val="000000"/>
          <w:sz w:val="20"/>
          <w:szCs w:val="20"/>
        </w:rPr>
        <w:t xml:space="preserve">. Investments in equity securities measured at FVTPL are initially recorded at fair value. Investments in equity securities measured at FVOCI are initially recorded at fair value, including transaction costs. Fair value at initial recognition is best evidenced by the transaction price. A gain or loss on initial recognition is only recorded if there is a difference between fair value and transaction price which can be evidenced by other observable current market transactions in the same instrument or by a valuation technique whose inputs include only data from observable markets. </w:t>
      </w:r>
    </w:p>
    <w:p w14:paraId="1B98632F"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All purchases and sales of investments in equity securities that require delivery within the time frame established by regulation or market convention (“regular way” purchases and sales) are recorded at trade date, which is the date on which the Group commits to deliver a financial asset. All other purchases are recognised when the Group becomes a party to the contractual provisions of the instrument.</w:t>
      </w:r>
    </w:p>
    <w:p w14:paraId="4021B7E0" w14:textId="20ADB4BE" w:rsidR="008E5DE4" w:rsidRDefault="00780368">
      <w:pPr>
        <w:widowControl w:val="0"/>
        <w:pBdr>
          <w:top w:val="nil"/>
          <w:left w:val="nil"/>
          <w:bottom w:val="nil"/>
          <w:right w:val="nil"/>
          <w:between w:val="nil"/>
        </w:pBdr>
        <w:shd w:val="clear" w:color="auto" w:fill="C6D9F1"/>
        <w:spacing w:before="200" w:after="200"/>
        <w:jc w:val="both"/>
        <w:rPr>
          <w:i/>
          <w:color w:val="FF0000"/>
          <w:sz w:val="20"/>
          <w:szCs w:val="20"/>
        </w:rPr>
      </w:pPr>
      <w:r>
        <w:rPr>
          <w:color w:val="0000FF"/>
          <w:sz w:val="20"/>
          <w:szCs w:val="20"/>
        </w:rPr>
        <w:t xml:space="preserve">[The Group uses [discounted cash flow] valuation techniques to determine the fair value of [investments in equity securities] that are not traded in an active market. Differences may arise between the fair value at initial recognition, which </w:t>
      </w:r>
      <w:proofErr w:type="gramStart"/>
      <w:r>
        <w:rPr>
          <w:color w:val="0000FF"/>
          <w:sz w:val="20"/>
          <w:szCs w:val="20"/>
        </w:rPr>
        <w:t>is considered to be</w:t>
      </w:r>
      <w:proofErr w:type="gramEnd"/>
      <w:r>
        <w:rPr>
          <w:color w:val="0000FF"/>
          <w:sz w:val="20"/>
          <w:szCs w:val="20"/>
        </w:rPr>
        <w:t xml:space="preserve"> the transaction price, and the amount determined at initial recognition using a valuation technique with level 3 inputs. If any differences remain after calibration of model inputs, such differences are amortised on a </w:t>
      </w:r>
      <w:proofErr w:type="gramStart"/>
      <w:r>
        <w:rPr>
          <w:color w:val="0000FF"/>
          <w:sz w:val="20"/>
          <w:szCs w:val="20"/>
        </w:rPr>
        <w:t>straight line</w:t>
      </w:r>
      <w:proofErr w:type="gramEnd"/>
      <w:r>
        <w:rPr>
          <w:color w:val="0000FF"/>
          <w:sz w:val="20"/>
          <w:szCs w:val="20"/>
        </w:rPr>
        <w:t xml:space="preserve"> basis over the term of the [investments in equity securities]. The differences are immediately recognised in profit or loss if the valuation uses only level 1 or level 2 inputs.]</w:t>
      </w:r>
    </w:p>
    <w:p w14:paraId="6897CFE2"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Classification and subsequent measurement – measurement categories.</w:t>
      </w:r>
      <w:r>
        <w:rPr>
          <w:color w:val="000000"/>
          <w:sz w:val="20"/>
          <w:szCs w:val="20"/>
        </w:rPr>
        <w:t xml:space="preserve"> The Group classifies investments in equity securities as measured at FVTPL, </w:t>
      </w:r>
      <w:proofErr w:type="gramStart"/>
      <w:r>
        <w:rPr>
          <w:color w:val="000000"/>
          <w:sz w:val="20"/>
          <w:szCs w:val="20"/>
        </w:rPr>
        <w:t>with the exception of</w:t>
      </w:r>
      <w:proofErr w:type="gramEnd"/>
      <w:r>
        <w:rPr>
          <w:color w:val="000000"/>
          <w:sz w:val="20"/>
          <w:szCs w:val="20"/>
        </w:rPr>
        <w:t xml:space="preserve"> the investments in equity securities for which the Group made an irrevocable election at initial recognition to present subsequent changes in the fair value in other comprehensive income (equity securities at FVOCI). This irrevocable election is only available for investments in equity securities that are neither held for trading nor contingent consideration recognised by an acquirer in a business combination to which IFRS 3 applies. </w:t>
      </w:r>
    </w:p>
    <w:p w14:paraId="230F0432" w14:textId="77777777" w:rsidR="008E5DE4" w:rsidRDefault="00780368">
      <w:pPr>
        <w:widowControl w:val="0"/>
        <w:pBdr>
          <w:top w:val="nil"/>
          <w:left w:val="nil"/>
          <w:bottom w:val="nil"/>
          <w:right w:val="nil"/>
          <w:between w:val="nil"/>
        </w:pBdr>
        <w:shd w:val="clear" w:color="auto" w:fill="C6D9F1"/>
        <w:spacing w:after="180" w:line="228" w:lineRule="auto"/>
        <w:jc w:val="both"/>
        <w:rPr>
          <w:color w:val="FF0000"/>
          <w:sz w:val="20"/>
          <w:szCs w:val="20"/>
        </w:rPr>
      </w:pPr>
      <w:r>
        <w:rPr>
          <w:b/>
          <w:i/>
          <w:color w:val="000000"/>
          <w:sz w:val="20"/>
          <w:szCs w:val="20"/>
        </w:rPr>
        <w:t>Reclassification</w:t>
      </w:r>
      <w:r>
        <w:rPr>
          <w:i/>
          <w:color w:val="000000"/>
          <w:sz w:val="20"/>
          <w:szCs w:val="20"/>
        </w:rPr>
        <w:t>.</w:t>
      </w:r>
      <w:r>
        <w:rPr>
          <w:color w:val="000000"/>
          <w:sz w:val="20"/>
          <w:szCs w:val="20"/>
        </w:rPr>
        <w:t xml:space="preserve"> Investments in equity securities are not subsequently reclassified between FVTPL and FVOCI, as the election to present subsequent changes in the fair value in other comprehensive income is irrevocable.</w:t>
      </w:r>
    </w:p>
    <w:p w14:paraId="1220A5A5"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Derecognition.</w:t>
      </w:r>
      <w:r>
        <w:rPr>
          <w:color w:val="000000"/>
          <w:sz w:val="20"/>
          <w:szCs w:val="20"/>
        </w:rPr>
        <w:t xml:space="preserve"> The Group derecognises investments in equity securities when (a) the assets are redeemed or the rights to cash flows from the assets otherwise expire or (b) the Group has transferred the rights to the cash flows from the investments in equity securities or entered into a qualifying pass-through arrangement whilst (</w:t>
      </w:r>
      <w:proofErr w:type="spellStart"/>
      <w:r>
        <w:rPr>
          <w:color w:val="000000"/>
          <w:sz w:val="20"/>
          <w:szCs w:val="20"/>
        </w:rPr>
        <w:t>i</w:t>
      </w:r>
      <w:proofErr w:type="spellEnd"/>
      <w:r>
        <w:rPr>
          <w:color w:val="000000"/>
          <w:sz w:val="20"/>
          <w:szCs w:val="20"/>
        </w:rPr>
        <w:t xml:space="preserve">) also transferring substantially all the risks and rewards of ownership of the assets or (ii) neither transferring nor retaining substantially all the risks and rewards of ownership but not retaining control. </w:t>
      </w:r>
    </w:p>
    <w:p w14:paraId="097F5641"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Control is retained if the counterparty does not have the practical ability to sell the asset in its entirety to an unrelated third party without needing to impose additional restrictions on the sale.</w:t>
      </w:r>
    </w:p>
    <w:p w14:paraId="751CAEA3"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 </w:t>
      </w:r>
    </w:p>
    <w:tbl>
      <w:tblPr>
        <w:tblStyle w:val="affffffff3"/>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58B1BDD5" w14:textId="77777777">
        <w:trPr>
          <w:trHeight w:val="70"/>
        </w:trPr>
        <w:tc>
          <w:tcPr>
            <w:tcW w:w="9571" w:type="dxa"/>
          </w:tcPr>
          <w:p w14:paraId="686497CD" w14:textId="77777777" w:rsidR="008E5DE4" w:rsidRDefault="00780368">
            <w:pPr>
              <w:rPr>
                <w:b/>
                <w:i/>
                <w:sz w:val="20"/>
                <w:szCs w:val="20"/>
              </w:rPr>
            </w:pPr>
            <w:r>
              <w:rPr>
                <w:b/>
                <w:i/>
                <w:sz w:val="20"/>
                <w:szCs w:val="20"/>
              </w:rPr>
              <w:t>Critical Accounting Estimates and Judgments in Applying Accounting Policies</w:t>
            </w:r>
          </w:p>
          <w:p w14:paraId="76208596" w14:textId="42FBB058" w:rsidR="008E5DE4" w:rsidRDefault="00780368">
            <w:pPr>
              <w:widowControl w:val="0"/>
              <w:pBdr>
                <w:top w:val="nil"/>
                <w:left w:val="nil"/>
                <w:bottom w:val="nil"/>
                <w:right w:val="nil"/>
                <w:between w:val="nil"/>
              </w:pBdr>
              <w:spacing w:before="200" w:after="200"/>
              <w:jc w:val="both"/>
              <w:rPr>
                <w:color w:val="000000"/>
              </w:rPr>
            </w:pPr>
            <w:r>
              <w:rPr>
                <w:b/>
                <w:i/>
                <w:color w:val="000000"/>
                <w:sz w:val="20"/>
                <w:szCs w:val="20"/>
              </w:rPr>
              <w:t>Derecognition of investments in equity securities.</w:t>
            </w:r>
            <w:r>
              <w:rPr>
                <w:color w:val="000000"/>
                <w:sz w:val="20"/>
                <w:szCs w:val="20"/>
              </w:rPr>
              <w:t xml:space="preserve"> Management applies judgement to determine if substantially all the significant risks and rewards of ownership of investments in equity securities are transferred to counterparties, in particular which risks and rewards are the most significant and what constitutes substantially all risks and rewards.  </w:t>
            </w:r>
          </w:p>
        </w:tc>
      </w:tr>
    </w:tbl>
    <w:p w14:paraId="35CC7569"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23</w:t>
      </w:r>
      <w:r>
        <w:rPr>
          <w:b/>
          <w:color w:val="000000"/>
          <w:sz w:val="20"/>
          <w:szCs w:val="20"/>
        </w:rPr>
        <w:tab/>
        <w:t>Investments in Equity Securities (Continued)</w:t>
      </w:r>
    </w:p>
    <w:p w14:paraId="7FC11F99" w14:textId="412C3447" w:rsidR="008E5DE4" w:rsidRDefault="008E5DE4">
      <w:pPr>
        <w:widowControl w:val="0"/>
        <w:pBdr>
          <w:top w:val="nil"/>
          <w:left w:val="nil"/>
          <w:bottom w:val="nil"/>
          <w:right w:val="nil"/>
          <w:between w:val="nil"/>
        </w:pBdr>
        <w:spacing w:before="200" w:after="200"/>
        <w:jc w:val="both"/>
        <w:rPr>
          <w:i/>
          <w:color w:val="FF0000"/>
        </w:rPr>
      </w:pPr>
    </w:p>
    <w:tbl>
      <w:tblPr>
        <w:tblStyle w:val="affffffff4"/>
        <w:tblW w:w="9356" w:type="dxa"/>
        <w:tblLayout w:type="fixed"/>
        <w:tblLook w:val="0000" w:firstRow="0" w:lastRow="0" w:firstColumn="0" w:lastColumn="0" w:noHBand="0" w:noVBand="0"/>
      </w:tblPr>
      <w:tblGrid>
        <w:gridCol w:w="5103"/>
        <w:gridCol w:w="2268"/>
        <w:gridCol w:w="1985"/>
      </w:tblGrid>
      <w:tr w:rsidR="008E5DE4" w14:paraId="033E9FC3" w14:textId="77777777">
        <w:trPr>
          <w:cantSplit/>
        </w:trPr>
        <w:tc>
          <w:tcPr>
            <w:tcW w:w="5103" w:type="dxa"/>
            <w:tcBorders>
              <w:bottom w:val="single" w:sz="4" w:space="0" w:color="000000"/>
            </w:tcBorders>
            <w:vAlign w:val="bottom"/>
          </w:tcPr>
          <w:p w14:paraId="2EE62459"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2268" w:type="dxa"/>
            <w:tcBorders>
              <w:bottom w:val="single" w:sz="4" w:space="0" w:color="000000"/>
            </w:tcBorders>
            <w:vAlign w:val="bottom"/>
          </w:tcPr>
          <w:p w14:paraId="4E0D363C" w14:textId="25361F5B" w:rsidR="008E5DE4" w:rsidRDefault="00780368">
            <w:pPr>
              <w:widowControl w:val="0"/>
              <w:pBdr>
                <w:top w:val="nil"/>
                <w:left w:val="nil"/>
                <w:bottom w:val="nil"/>
                <w:right w:val="nil"/>
                <w:between w:val="nil"/>
              </w:pBdr>
              <w:jc w:val="right"/>
              <w:rPr>
                <w:b/>
                <w:color w:val="000000"/>
              </w:rPr>
            </w:pPr>
            <w:r>
              <w:rPr>
                <w:b/>
                <w:color w:val="000000"/>
              </w:rPr>
              <w:t xml:space="preserve">31 December </w:t>
            </w:r>
            <w:r w:rsidR="008614F8">
              <w:rPr>
                <w:b/>
                <w:color w:val="000000"/>
              </w:rPr>
              <w:t>2025</w:t>
            </w:r>
          </w:p>
        </w:tc>
        <w:tc>
          <w:tcPr>
            <w:tcW w:w="1985" w:type="dxa"/>
            <w:tcBorders>
              <w:bottom w:val="single" w:sz="4" w:space="0" w:color="000000"/>
            </w:tcBorders>
            <w:vAlign w:val="bottom"/>
          </w:tcPr>
          <w:p w14:paraId="6BE675B5" w14:textId="2A08CC3F" w:rsidR="008E5DE4" w:rsidRDefault="00780368">
            <w:pPr>
              <w:widowControl w:val="0"/>
              <w:pBdr>
                <w:top w:val="nil"/>
                <w:left w:val="nil"/>
                <w:bottom w:val="nil"/>
                <w:right w:val="nil"/>
                <w:between w:val="nil"/>
              </w:pBdr>
              <w:jc w:val="right"/>
              <w:rPr>
                <w:b/>
                <w:color w:val="000000"/>
              </w:rPr>
            </w:pPr>
            <w:r>
              <w:rPr>
                <w:b/>
                <w:color w:val="000000"/>
              </w:rPr>
              <w:t xml:space="preserve">31 December </w:t>
            </w:r>
            <w:r w:rsidR="00FF468A">
              <w:rPr>
                <w:b/>
                <w:color w:val="000000"/>
              </w:rPr>
              <w:t>2024</w:t>
            </w:r>
          </w:p>
        </w:tc>
      </w:tr>
      <w:tr w:rsidR="008E5DE4" w14:paraId="27099C51" w14:textId="77777777">
        <w:trPr>
          <w:cantSplit/>
        </w:trPr>
        <w:tc>
          <w:tcPr>
            <w:tcW w:w="5103" w:type="dxa"/>
            <w:vAlign w:val="bottom"/>
          </w:tcPr>
          <w:p w14:paraId="1483AAD3" w14:textId="77777777" w:rsidR="008E5DE4" w:rsidRDefault="00780368">
            <w:pPr>
              <w:widowControl w:val="0"/>
              <w:pBdr>
                <w:top w:val="nil"/>
                <w:left w:val="nil"/>
                <w:bottom w:val="nil"/>
                <w:right w:val="nil"/>
                <w:between w:val="nil"/>
              </w:pBdr>
              <w:rPr>
                <w:i/>
                <w:color w:val="000000"/>
              </w:rPr>
            </w:pPr>
            <w:r>
              <w:rPr>
                <w:i/>
                <w:color w:val="000000"/>
              </w:rPr>
              <w:t> </w:t>
            </w:r>
          </w:p>
        </w:tc>
        <w:tc>
          <w:tcPr>
            <w:tcW w:w="2268" w:type="dxa"/>
            <w:vAlign w:val="bottom"/>
          </w:tcPr>
          <w:p w14:paraId="1A3D0FDD" w14:textId="77777777" w:rsidR="008E5DE4" w:rsidRDefault="008E5DE4">
            <w:pPr>
              <w:widowControl w:val="0"/>
              <w:pBdr>
                <w:top w:val="nil"/>
                <w:left w:val="nil"/>
                <w:bottom w:val="nil"/>
                <w:right w:val="nil"/>
                <w:between w:val="nil"/>
              </w:pBdr>
              <w:rPr>
                <w:i/>
                <w:color w:val="000000"/>
              </w:rPr>
            </w:pPr>
          </w:p>
        </w:tc>
        <w:tc>
          <w:tcPr>
            <w:tcW w:w="1985" w:type="dxa"/>
            <w:vAlign w:val="bottom"/>
          </w:tcPr>
          <w:p w14:paraId="33964609" w14:textId="77777777" w:rsidR="008E5DE4" w:rsidRDefault="008E5DE4">
            <w:pPr>
              <w:widowControl w:val="0"/>
              <w:pBdr>
                <w:top w:val="nil"/>
                <w:left w:val="nil"/>
                <w:bottom w:val="nil"/>
                <w:right w:val="nil"/>
                <w:between w:val="nil"/>
              </w:pBdr>
              <w:rPr>
                <w:i/>
                <w:color w:val="000000"/>
              </w:rPr>
            </w:pPr>
          </w:p>
        </w:tc>
      </w:tr>
      <w:tr w:rsidR="008E5DE4" w14:paraId="084D42F2" w14:textId="77777777">
        <w:trPr>
          <w:cantSplit/>
        </w:trPr>
        <w:tc>
          <w:tcPr>
            <w:tcW w:w="5103" w:type="dxa"/>
            <w:vAlign w:val="bottom"/>
          </w:tcPr>
          <w:p w14:paraId="36BE891F" w14:textId="77777777" w:rsidR="008E5DE4" w:rsidRDefault="00780368">
            <w:pPr>
              <w:widowControl w:val="0"/>
              <w:pBdr>
                <w:top w:val="nil"/>
                <w:left w:val="nil"/>
                <w:bottom w:val="nil"/>
                <w:right w:val="nil"/>
                <w:between w:val="nil"/>
              </w:pBdr>
              <w:rPr>
                <w:color w:val="000000"/>
              </w:rPr>
            </w:pPr>
            <w:r>
              <w:rPr>
                <w:color w:val="000000"/>
              </w:rPr>
              <w:t>Equity securities at FVTPL</w:t>
            </w:r>
          </w:p>
        </w:tc>
        <w:tc>
          <w:tcPr>
            <w:tcW w:w="2268" w:type="dxa"/>
            <w:vAlign w:val="bottom"/>
          </w:tcPr>
          <w:p w14:paraId="469F3EDB" w14:textId="77777777" w:rsidR="008E5DE4" w:rsidRDefault="008E5DE4">
            <w:pPr>
              <w:widowControl w:val="0"/>
              <w:pBdr>
                <w:top w:val="nil"/>
                <w:left w:val="nil"/>
                <w:bottom w:val="nil"/>
                <w:right w:val="nil"/>
                <w:between w:val="nil"/>
              </w:pBdr>
              <w:jc w:val="right"/>
              <w:rPr>
                <w:color w:val="000000"/>
                <w:sz w:val="16"/>
                <w:szCs w:val="16"/>
              </w:rPr>
            </w:pPr>
          </w:p>
        </w:tc>
        <w:tc>
          <w:tcPr>
            <w:tcW w:w="1985" w:type="dxa"/>
            <w:vAlign w:val="bottom"/>
          </w:tcPr>
          <w:p w14:paraId="663B342B" w14:textId="77777777" w:rsidR="008E5DE4" w:rsidRDefault="008E5DE4">
            <w:pPr>
              <w:widowControl w:val="0"/>
              <w:pBdr>
                <w:top w:val="nil"/>
                <w:left w:val="nil"/>
                <w:bottom w:val="nil"/>
                <w:right w:val="nil"/>
                <w:between w:val="nil"/>
              </w:pBdr>
              <w:jc w:val="right"/>
              <w:rPr>
                <w:color w:val="000000"/>
              </w:rPr>
            </w:pPr>
          </w:p>
        </w:tc>
      </w:tr>
      <w:tr w:rsidR="008E5DE4" w14:paraId="6A8B43F8" w14:textId="77777777">
        <w:trPr>
          <w:cantSplit/>
        </w:trPr>
        <w:tc>
          <w:tcPr>
            <w:tcW w:w="5103" w:type="dxa"/>
            <w:vAlign w:val="bottom"/>
          </w:tcPr>
          <w:p w14:paraId="170DF1EB" w14:textId="77777777" w:rsidR="008E5DE4" w:rsidRDefault="00780368">
            <w:pPr>
              <w:widowControl w:val="0"/>
              <w:pBdr>
                <w:top w:val="nil"/>
                <w:left w:val="nil"/>
                <w:bottom w:val="nil"/>
                <w:right w:val="nil"/>
                <w:between w:val="nil"/>
              </w:pBdr>
              <w:rPr>
                <w:color w:val="000000"/>
              </w:rPr>
            </w:pPr>
            <w:r>
              <w:rPr>
                <w:color w:val="000000"/>
              </w:rPr>
              <w:t>Equity securities at FVOCI</w:t>
            </w:r>
          </w:p>
        </w:tc>
        <w:tc>
          <w:tcPr>
            <w:tcW w:w="2268" w:type="dxa"/>
            <w:vAlign w:val="bottom"/>
          </w:tcPr>
          <w:p w14:paraId="0D067A19" w14:textId="77777777" w:rsidR="008E5DE4" w:rsidRDefault="008E5DE4">
            <w:pPr>
              <w:widowControl w:val="0"/>
              <w:pBdr>
                <w:top w:val="nil"/>
                <w:left w:val="nil"/>
                <w:bottom w:val="nil"/>
                <w:right w:val="nil"/>
                <w:between w:val="nil"/>
              </w:pBdr>
              <w:jc w:val="right"/>
              <w:rPr>
                <w:color w:val="000000"/>
                <w:sz w:val="16"/>
                <w:szCs w:val="16"/>
              </w:rPr>
            </w:pPr>
          </w:p>
        </w:tc>
        <w:tc>
          <w:tcPr>
            <w:tcW w:w="1985" w:type="dxa"/>
            <w:vAlign w:val="bottom"/>
          </w:tcPr>
          <w:p w14:paraId="4C86CDA0" w14:textId="77777777" w:rsidR="008E5DE4" w:rsidRDefault="008E5DE4">
            <w:pPr>
              <w:widowControl w:val="0"/>
              <w:pBdr>
                <w:top w:val="nil"/>
                <w:left w:val="nil"/>
                <w:bottom w:val="nil"/>
                <w:right w:val="nil"/>
                <w:between w:val="nil"/>
              </w:pBdr>
              <w:jc w:val="right"/>
              <w:rPr>
                <w:color w:val="000000"/>
              </w:rPr>
            </w:pPr>
          </w:p>
        </w:tc>
      </w:tr>
      <w:tr w:rsidR="008E5DE4" w14:paraId="4F0370F1" w14:textId="77777777">
        <w:trPr>
          <w:cantSplit/>
        </w:trPr>
        <w:tc>
          <w:tcPr>
            <w:tcW w:w="5103" w:type="dxa"/>
            <w:tcBorders>
              <w:bottom w:val="single" w:sz="4" w:space="0" w:color="000000"/>
            </w:tcBorders>
            <w:vAlign w:val="bottom"/>
          </w:tcPr>
          <w:p w14:paraId="7BBB80EB" w14:textId="77777777" w:rsidR="008E5DE4" w:rsidRDefault="00780368">
            <w:pPr>
              <w:widowControl w:val="0"/>
              <w:pBdr>
                <w:top w:val="nil"/>
                <w:left w:val="nil"/>
                <w:bottom w:val="nil"/>
                <w:right w:val="nil"/>
                <w:between w:val="nil"/>
              </w:pBdr>
              <w:rPr>
                <w:i/>
                <w:color w:val="000000"/>
              </w:rPr>
            </w:pPr>
            <w:r>
              <w:rPr>
                <w:i/>
                <w:color w:val="000000"/>
              </w:rPr>
              <w:t> </w:t>
            </w:r>
          </w:p>
        </w:tc>
        <w:tc>
          <w:tcPr>
            <w:tcW w:w="2268" w:type="dxa"/>
            <w:tcBorders>
              <w:bottom w:val="single" w:sz="4" w:space="0" w:color="000000"/>
            </w:tcBorders>
            <w:vAlign w:val="bottom"/>
          </w:tcPr>
          <w:p w14:paraId="634DB2ED" w14:textId="77777777" w:rsidR="008E5DE4" w:rsidRDefault="008E5DE4">
            <w:pPr>
              <w:widowControl w:val="0"/>
              <w:pBdr>
                <w:top w:val="nil"/>
                <w:left w:val="nil"/>
                <w:bottom w:val="nil"/>
                <w:right w:val="nil"/>
                <w:between w:val="nil"/>
              </w:pBdr>
              <w:jc w:val="right"/>
              <w:rPr>
                <w:i/>
                <w:color w:val="000000"/>
              </w:rPr>
            </w:pPr>
          </w:p>
        </w:tc>
        <w:tc>
          <w:tcPr>
            <w:tcW w:w="1985" w:type="dxa"/>
            <w:tcBorders>
              <w:bottom w:val="single" w:sz="4" w:space="0" w:color="000000"/>
            </w:tcBorders>
            <w:vAlign w:val="bottom"/>
          </w:tcPr>
          <w:p w14:paraId="36D61C2B" w14:textId="77777777" w:rsidR="008E5DE4" w:rsidRDefault="008E5DE4">
            <w:pPr>
              <w:widowControl w:val="0"/>
              <w:pBdr>
                <w:top w:val="nil"/>
                <w:left w:val="nil"/>
                <w:bottom w:val="nil"/>
                <w:right w:val="nil"/>
                <w:between w:val="nil"/>
              </w:pBdr>
              <w:jc w:val="right"/>
              <w:rPr>
                <w:i/>
                <w:color w:val="000000"/>
              </w:rPr>
            </w:pPr>
          </w:p>
        </w:tc>
      </w:tr>
      <w:tr w:rsidR="008E5DE4" w14:paraId="00501EEF" w14:textId="77777777">
        <w:trPr>
          <w:cantSplit/>
        </w:trPr>
        <w:tc>
          <w:tcPr>
            <w:tcW w:w="5103" w:type="dxa"/>
            <w:tcBorders>
              <w:top w:val="single" w:sz="4" w:space="0" w:color="000000"/>
            </w:tcBorders>
            <w:vAlign w:val="bottom"/>
          </w:tcPr>
          <w:p w14:paraId="5210A6CA" w14:textId="77777777" w:rsidR="008E5DE4" w:rsidRDefault="00780368">
            <w:pPr>
              <w:widowControl w:val="0"/>
              <w:pBdr>
                <w:top w:val="nil"/>
                <w:left w:val="nil"/>
                <w:bottom w:val="nil"/>
                <w:right w:val="nil"/>
                <w:between w:val="nil"/>
              </w:pBdr>
              <w:rPr>
                <w:i/>
                <w:color w:val="000000"/>
              </w:rPr>
            </w:pPr>
            <w:r>
              <w:rPr>
                <w:i/>
                <w:color w:val="000000"/>
              </w:rPr>
              <w:t> </w:t>
            </w:r>
          </w:p>
        </w:tc>
        <w:tc>
          <w:tcPr>
            <w:tcW w:w="2268" w:type="dxa"/>
            <w:tcBorders>
              <w:top w:val="single" w:sz="4" w:space="0" w:color="000000"/>
            </w:tcBorders>
            <w:vAlign w:val="bottom"/>
          </w:tcPr>
          <w:p w14:paraId="63DB7A08" w14:textId="77777777" w:rsidR="008E5DE4" w:rsidRDefault="008E5DE4">
            <w:pPr>
              <w:widowControl w:val="0"/>
              <w:pBdr>
                <w:top w:val="nil"/>
                <w:left w:val="nil"/>
                <w:bottom w:val="nil"/>
                <w:right w:val="nil"/>
                <w:between w:val="nil"/>
              </w:pBdr>
              <w:jc w:val="right"/>
              <w:rPr>
                <w:i/>
                <w:color w:val="000000"/>
              </w:rPr>
            </w:pPr>
          </w:p>
        </w:tc>
        <w:tc>
          <w:tcPr>
            <w:tcW w:w="1985" w:type="dxa"/>
            <w:tcBorders>
              <w:top w:val="single" w:sz="4" w:space="0" w:color="000000"/>
            </w:tcBorders>
            <w:vAlign w:val="bottom"/>
          </w:tcPr>
          <w:p w14:paraId="75E57F43" w14:textId="77777777" w:rsidR="008E5DE4" w:rsidRDefault="008E5DE4">
            <w:pPr>
              <w:widowControl w:val="0"/>
              <w:pBdr>
                <w:top w:val="nil"/>
                <w:left w:val="nil"/>
                <w:bottom w:val="nil"/>
                <w:right w:val="nil"/>
                <w:between w:val="nil"/>
              </w:pBdr>
              <w:jc w:val="right"/>
              <w:rPr>
                <w:i/>
                <w:color w:val="000000"/>
              </w:rPr>
            </w:pPr>
          </w:p>
        </w:tc>
      </w:tr>
      <w:tr w:rsidR="008E5DE4" w14:paraId="18A04479" w14:textId="77777777">
        <w:trPr>
          <w:cantSplit/>
        </w:trPr>
        <w:tc>
          <w:tcPr>
            <w:tcW w:w="5103" w:type="dxa"/>
            <w:vAlign w:val="bottom"/>
          </w:tcPr>
          <w:p w14:paraId="1CBF7864" w14:textId="77777777" w:rsidR="008E5DE4" w:rsidRDefault="00780368">
            <w:pPr>
              <w:widowControl w:val="0"/>
              <w:pBdr>
                <w:top w:val="nil"/>
                <w:left w:val="nil"/>
                <w:bottom w:val="nil"/>
                <w:right w:val="nil"/>
                <w:between w:val="nil"/>
              </w:pBdr>
              <w:rPr>
                <w:i/>
                <w:color w:val="000000"/>
              </w:rPr>
            </w:pPr>
            <w:r>
              <w:rPr>
                <w:b/>
                <w:color w:val="000000"/>
              </w:rPr>
              <w:t xml:space="preserve">Total investments in equity securities </w:t>
            </w:r>
          </w:p>
        </w:tc>
        <w:tc>
          <w:tcPr>
            <w:tcW w:w="2268" w:type="dxa"/>
            <w:vAlign w:val="bottom"/>
          </w:tcPr>
          <w:p w14:paraId="787A4554" w14:textId="77777777" w:rsidR="008E5DE4" w:rsidRDefault="008E5DE4">
            <w:pPr>
              <w:widowControl w:val="0"/>
              <w:pBdr>
                <w:top w:val="nil"/>
                <w:left w:val="nil"/>
                <w:bottom w:val="nil"/>
                <w:right w:val="nil"/>
                <w:between w:val="nil"/>
              </w:pBdr>
              <w:jc w:val="right"/>
              <w:rPr>
                <w:i/>
                <w:color w:val="000000"/>
              </w:rPr>
            </w:pPr>
          </w:p>
        </w:tc>
        <w:tc>
          <w:tcPr>
            <w:tcW w:w="1985" w:type="dxa"/>
            <w:vAlign w:val="bottom"/>
          </w:tcPr>
          <w:p w14:paraId="05C2AE2A" w14:textId="77777777" w:rsidR="008E5DE4" w:rsidRDefault="008E5DE4">
            <w:pPr>
              <w:widowControl w:val="0"/>
              <w:pBdr>
                <w:top w:val="nil"/>
                <w:left w:val="nil"/>
                <w:bottom w:val="nil"/>
                <w:right w:val="nil"/>
                <w:between w:val="nil"/>
              </w:pBdr>
              <w:jc w:val="right"/>
              <w:rPr>
                <w:i/>
                <w:color w:val="000000"/>
              </w:rPr>
            </w:pPr>
          </w:p>
        </w:tc>
      </w:tr>
      <w:tr w:rsidR="008E5DE4" w14:paraId="35C7ABD2" w14:textId="77777777">
        <w:trPr>
          <w:cantSplit/>
        </w:trPr>
        <w:tc>
          <w:tcPr>
            <w:tcW w:w="5103" w:type="dxa"/>
            <w:tcBorders>
              <w:bottom w:val="single" w:sz="12" w:space="0" w:color="000000"/>
            </w:tcBorders>
            <w:vAlign w:val="bottom"/>
          </w:tcPr>
          <w:p w14:paraId="576F86CF" w14:textId="77777777" w:rsidR="008E5DE4" w:rsidRDefault="008E5DE4">
            <w:pPr>
              <w:widowControl w:val="0"/>
              <w:pBdr>
                <w:top w:val="nil"/>
                <w:left w:val="nil"/>
                <w:bottom w:val="nil"/>
                <w:right w:val="nil"/>
                <w:between w:val="nil"/>
              </w:pBdr>
              <w:rPr>
                <w:i/>
                <w:color w:val="000000"/>
              </w:rPr>
            </w:pPr>
          </w:p>
        </w:tc>
        <w:tc>
          <w:tcPr>
            <w:tcW w:w="2268" w:type="dxa"/>
            <w:tcBorders>
              <w:bottom w:val="single" w:sz="12" w:space="0" w:color="000000"/>
            </w:tcBorders>
            <w:vAlign w:val="bottom"/>
          </w:tcPr>
          <w:p w14:paraId="6C939D85" w14:textId="77777777" w:rsidR="008E5DE4" w:rsidRDefault="008E5DE4">
            <w:pPr>
              <w:widowControl w:val="0"/>
              <w:pBdr>
                <w:top w:val="nil"/>
                <w:left w:val="nil"/>
                <w:bottom w:val="nil"/>
                <w:right w:val="nil"/>
                <w:between w:val="nil"/>
              </w:pBdr>
              <w:jc w:val="right"/>
              <w:rPr>
                <w:i/>
                <w:color w:val="000000"/>
              </w:rPr>
            </w:pPr>
          </w:p>
        </w:tc>
        <w:tc>
          <w:tcPr>
            <w:tcW w:w="1985" w:type="dxa"/>
            <w:tcBorders>
              <w:bottom w:val="single" w:sz="12" w:space="0" w:color="000000"/>
            </w:tcBorders>
            <w:vAlign w:val="bottom"/>
          </w:tcPr>
          <w:p w14:paraId="760EEDDA" w14:textId="77777777" w:rsidR="008E5DE4" w:rsidRDefault="008E5DE4">
            <w:pPr>
              <w:widowControl w:val="0"/>
              <w:pBdr>
                <w:top w:val="nil"/>
                <w:left w:val="nil"/>
                <w:bottom w:val="nil"/>
                <w:right w:val="nil"/>
                <w:between w:val="nil"/>
              </w:pBdr>
              <w:jc w:val="right"/>
              <w:rPr>
                <w:i/>
                <w:color w:val="000000"/>
              </w:rPr>
            </w:pPr>
          </w:p>
        </w:tc>
      </w:tr>
    </w:tbl>
    <w:p w14:paraId="48177938" w14:textId="6FF096B8"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table below discloses investments in equity securities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by measurement categories and classes:</w:t>
      </w:r>
    </w:p>
    <w:tbl>
      <w:tblPr>
        <w:tblStyle w:val="affffffff5"/>
        <w:tblW w:w="9498" w:type="dxa"/>
        <w:tblLayout w:type="fixed"/>
        <w:tblLook w:val="0000" w:firstRow="0" w:lastRow="0" w:firstColumn="0" w:lastColumn="0" w:noHBand="0" w:noVBand="0"/>
      </w:tblPr>
      <w:tblGrid>
        <w:gridCol w:w="5244"/>
        <w:gridCol w:w="1418"/>
        <w:gridCol w:w="1418"/>
        <w:gridCol w:w="1418"/>
      </w:tblGrid>
      <w:tr w:rsidR="008E5DE4" w14:paraId="22B62674" w14:textId="77777777">
        <w:trPr>
          <w:cantSplit/>
        </w:trPr>
        <w:tc>
          <w:tcPr>
            <w:tcW w:w="5245" w:type="dxa"/>
            <w:tcBorders>
              <w:bottom w:val="single" w:sz="4" w:space="0" w:color="000000"/>
            </w:tcBorders>
            <w:vAlign w:val="bottom"/>
          </w:tcPr>
          <w:p w14:paraId="479242B1"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418" w:type="dxa"/>
            <w:tcBorders>
              <w:bottom w:val="single" w:sz="4" w:space="0" w:color="000000"/>
            </w:tcBorders>
          </w:tcPr>
          <w:p w14:paraId="511568FA" w14:textId="77777777" w:rsidR="008E5DE4" w:rsidRDefault="00780368">
            <w:pPr>
              <w:widowControl w:val="0"/>
              <w:pBdr>
                <w:top w:val="nil"/>
                <w:left w:val="nil"/>
                <w:bottom w:val="nil"/>
                <w:right w:val="nil"/>
                <w:between w:val="nil"/>
              </w:pBdr>
              <w:ind w:left="-113"/>
              <w:jc w:val="right"/>
              <w:rPr>
                <w:b/>
                <w:color w:val="000000"/>
              </w:rPr>
            </w:pPr>
            <w:r>
              <w:rPr>
                <w:b/>
                <w:color w:val="000000"/>
              </w:rPr>
              <w:t>Equity securities at FVTPL</w:t>
            </w:r>
          </w:p>
        </w:tc>
        <w:tc>
          <w:tcPr>
            <w:tcW w:w="1418" w:type="dxa"/>
            <w:tcBorders>
              <w:bottom w:val="single" w:sz="4" w:space="0" w:color="000000"/>
            </w:tcBorders>
          </w:tcPr>
          <w:p w14:paraId="3D690F25" w14:textId="77777777" w:rsidR="008E5DE4" w:rsidRDefault="00780368">
            <w:pPr>
              <w:widowControl w:val="0"/>
              <w:pBdr>
                <w:top w:val="nil"/>
                <w:left w:val="nil"/>
                <w:bottom w:val="nil"/>
                <w:right w:val="nil"/>
                <w:between w:val="nil"/>
              </w:pBdr>
              <w:ind w:left="-113"/>
              <w:jc w:val="right"/>
              <w:rPr>
                <w:b/>
                <w:color w:val="000000"/>
              </w:rPr>
            </w:pPr>
            <w:r>
              <w:rPr>
                <w:b/>
                <w:color w:val="000000"/>
              </w:rPr>
              <w:t>Equity securities at FVOCI</w:t>
            </w:r>
          </w:p>
        </w:tc>
        <w:tc>
          <w:tcPr>
            <w:tcW w:w="1418" w:type="dxa"/>
            <w:tcBorders>
              <w:bottom w:val="single" w:sz="4" w:space="0" w:color="000000"/>
            </w:tcBorders>
          </w:tcPr>
          <w:p w14:paraId="0276CD7F"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6F68BF48" w14:textId="77777777">
        <w:trPr>
          <w:cantSplit/>
        </w:trPr>
        <w:tc>
          <w:tcPr>
            <w:tcW w:w="5245" w:type="dxa"/>
            <w:vAlign w:val="bottom"/>
          </w:tcPr>
          <w:p w14:paraId="40EDF527" w14:textId="77777777" w:rsidR="008E5DE4" w:rsidRDefault="00780368">
            <w:pPr>
              <w:widowControl w:val="0"/>
              <w:ind w:left="113" w:right="-57" w:hanging="113"/>
              <w:rPr>
                <w:b/>
                <w:u w:val="single"/>
              </w:rPr>
            </w:pPr>
            <w:r>
              <w:t> </w:t>
            </w:r>
          </w:p>
        </w:tc>
        <w:tc>
          <w:tcPr>
            <w:tcW w:w="1418" w:type="dxa"/>
            <w:vAlign w:val="bottom"/>
          </w:tcPr>
          <w:p w14:paraId="03E2AED1" w14:textId="77777777" w:rsidR="008E5DE4" w:rsidRDefault="008E5DE4">
            <w:pPr>
              <w:widowControl w:val="0"/>
              <w:jc w:val="right"/>
            </w:pPr>
          </w:p>
        </w:tc>
        <w:tc>
          <w:tcPr>
            <w:tcW w:w="1418" w:type="dxa"/>
            <w:vAlign w:val="bottom"/>
          </w:tcPr>
          <w:p w14:paraId="2A592CA4" w14:textId="77777777" w:rsidR="008E5DE4" w:rsidRDefault="008E5DE4">
            <w:pPr>
              <w:widowControl w:val="0"/>
              <w:jc w:val="right"/>
            </w:pPr>
          </w:p>
        </w:tc>
        <w:tc>
          <w:tcPr>
            <w:tcW w:w="1418" w:type="dxa"/>
            <w:vAlign w:val="bottom"/>
          </w:tcPr>
          <w:p w14:paraId="3A126991" w14:textId="77777777" w:rsidR="008E5DE4" w:rsidRDefault="008E5DE4">
            <w:pPr>
              <w:widowControl w:val="0"/>
              <w:jc w:val="right"/>
            </w:pPr>
          </w:p>
        </w:tc>
      </w:tr>
      <w:tr w:rsidR="008E5DE4" w14:paraId="4F531435" w14:textId="77777777">
        <w:trPr>
          <w:cantSplit/>
        </w:trPr>
        <w:tc>
          <w:tcPr>
            <w:tcW w:w="5245" w:type="dxa"/>
            <w:vAlign w:val="bottom"/>
          </w:tcPr>
          <w:p w14:paraId="207F24AB" w14:textId="77777777" w:rsidR="008E5DE4" w:rsidRDefault="00780368">
            <w:pPr>
              <w:widowControl w:val="0"/>
              <w:ind w:left="113" w:right="-57" w:hanging="113"/>
            </w:pPr>
            <w:r>
              <w:t>Corporate shares</w:t>
            </w:r>
          </w:p>
        </w:tc>
        <w:tc>
          <w:tcPr>
            <w:tcW w:w="1418" w:type="dxa"/>
            <w:vAlign w:val="bottom"/>
          </w:tcPr>
          <w:p w14:paraId="48AE832C"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69EAFAA9"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769F10C4" w14:textId="77777777" w:rsidR="008E5DE4" w:rsidRDefault="008E5DE4">
            <w:pPr>
              <w:widowControl w:val="0"/>
              <w:pBdr>
                <w:top w:val="nil"/>
                <w:left w:val="nil"/>
                <w:bottom w:val="nil"/>
                <w:right w:val="nil"/>
                <w:between w:val="nil"/>
              </w:pBdr>
              <w:jc w:val="right"/>
              <w:rPr>
                <w:color w:val="000000"/>
              </w:rPr>
            </w:pPr>
          </w:p>
        </w:tc>
      </w:tr>
      <w:tr w:rsidR="008E5DE4" w14:paraId="5BDE593F" w14:textId="77777777">
        <w:trPr>
          <w:cantSplit/>
        </w:trPr>
        <w:tc>
          <w:tcPr>
            <w:tcW w:w="5245" w:type="dxa"/>
            <w:vAlign w:val="bottom"/>
          </w:tcPr>
          <w:p w14:paraId="413B0966" w14:textId="77777777" w:rsidR="008E5DE4" w:rsidRDefault="00780368">
            <w:pPr>
              <w:widowControl w:val="0"/>
              <w:ind w:left="113" w:right="-57" w:hanging="113"/>
            </w:pPr>
            <w:r>
              <w:t>American depositary receipts (ADR)</w:t>
            </w:r>
          </w:p>
        </w:tc>
        <w:tc>
          <w:tcPr>
            <w:tcW w:w="1418" w:type="dxa"/>
            <w:vAlign w:val="bottom"/>
          </w:tcPr>
          <w:p w14:paraId="10E46739"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2558AF07"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563F77A8" w14:textId="77777777" w:rsidR="008E5DE4" w:rsidRDefault="008E5DE4">
            <w:pPr>
              <w:widowControl w:val="0"/>
              <w:pBdr>
                <w:top w:val="nil"/>
                <w:left w:val="nil"/>
                <w:bottom w:val="nil"/>
                <w:right w:val="nil"/>
                <w:between w:val="nil"/>
              </w:pBdr>
              <w:jc w:val="right"/>
              <w:rPr>
                <w:color w:val="000000"/>
              </w:rPr>
            </w:pPr>
          </w:p>
        </w:tc>
      </w:tr>
      <w:tr w:rsidR="008E5DE4" w14:paraId="31FB8907" w14:textId="77777777">
        <w:trPr>
          <w:cantSplit/>
        </w:trPr>
        <w:tc>
          <w:tcPr>
            <w:tcW w:w="5245" w:type="dxa"/>
            <w:vAlign w:val="bottom"/>
          </w:tcPr>
          <w:p w14:paraId="7C12B155" w14:textId="77777777" w:rsidR="008E5DE4" w:rsidRDefault="00780368">
            <w:pPr>
              <w:widowControl w:val="0"/>
              <w:ind w:left="113" w:right="-57" w:hanging="113"/>
            </w:pPr>
            <w:r>
              <w:t>Investments in mutual funds</w:t>
            </w:r>
          </w:p>
        </w:tc>
        <w:tc>
          <w:tcPr>
            <w:tcW w:w="1418" w:type="dxa"/>
            <w:vAlign w:val="bottom"/>
          </w:tcPr>
          <w:p w14:paraId="7429F5D9"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08C97C4C"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34B229D4" w14:textId="77777777" w:rsidR="008E5DE4" w:rsidRDefault="008E5DE4">
            <w:pPr>
              <w:widowControl w:val="0"/>
              <w:pBdr>
                <w:top w:val="nil"/>
                <w:left w:val="nil"/>
                <w:bottom w:val="nil"/>
                <w:right w:val="nil"/>
                <w:between w:val="nil"/>
              </w:pBdr>
              <w:jc w:val="right"/>
              <w:rPr>
                <w:color w:val="000000"/>
              </w:rPr>
            </w:pPr>
          </w:p>
        </w:tc>
      </w:tr>
      <w:tr w:rsidR="008E5DE4" w14:paraId="1573E34C" w14:textId="77777777">
        <w:trPr>
          <w:cantSplit/>
        </w:trPr>
        <w:tc>
          <w:tcPr>
            <w:tcW w:w="5245" w:type="dxa"/>
            <w:vAlign w:val="bottom"/>
          </w:tcPr>
          <w:p w14:paraId="19C4914F" w14:textId="57DE5305" w:rsidR="008E5DE4" w:rsidRDefault="00780368">
            <w:pPr>
              <w:widowControl w:val="0"/>
              <w:ind w:left="113" w:right="-57" w:hanging="113"/>
            </w:pPr>
            <w:r>
              <w:t xml:space="preserve">Global depositary receipts (GDR) </w:t>
            </w:r>
          </w:p>
        </w:tc>
        <w:tc>
          <w:tcPr>
            <w:tcW w:w="1418" w:type="dxa"/>
            <w:vAlign w:val="bottom"/>
          </w:tcPr>
          <w:p w14:paraId="25074D48"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242C84DF"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5AF21DF3" w14:textId="77777777" w:rsidR="008E5DE4" w:rsidRDefault="008E5DE4">
            <w:pPr>
              <w:widowControl w:val="0"/>
              <w:pBdr>
                <w:top w:val="nil"/>
                <w:left w:val="nil"/>
                <w:bottom w:val="nil"/>
                <w:right w:val="nil"/>
                <w:between w:val="nil"/>
              </w:pBdr>
              <w:jc w:val="right"/>
              <w:rPr>
                <w:color w:val="000000"/>
              </w:rPr>
            </w:pPr>
          </w:p>
        </w:tc>
      </w:tr>
      <w:tr w:rsidR="008E5DE4" w14:paraId="02D43E17" w14:textId="77777777">
        <w:trPr>
          <w:cantSplit/>
        </w:trPr>
        <w:tc>
          <w:tcPr>
            <w:tcW w:w="5245" w:type="dxa"/>
            <w:tcBorders>
              <w:bottom w:val="single" w:sz="4" w:space="0" w:color="000000"/>
            </w:tcBorders>
            <w:vAlign w:val="bottom"/>
          </w:tcPr>
          <w:p w14:paraId="19E3A34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418" w:type="dxa"/>
            <w:tcBorders>
              <w:bottom w:val="single" w:sz="4" w:space="0" w:color="000000"/>
            </w:tcBorders>
            <w:vAlign w:val="bottom"/>
          </w:tcPr>
          <w:p w14:paraId="4CFC2F10" w14:textId="77777777" w:rsidR="008E5DE4" w:rsidRDefault="008E5DE4">
            <w:pPr>
              <w:widowControl w:val="0"/>
              <w:pBdr>
                <w:top w:val="nil"/>
                <w:left w:val="nil"/>
                <w:bottom w:val="nil"/>
                <w:right w:val="nil"/>
                <w:between w:val="nil"/>
              </w:pBdr>
              <w:jc w:val="right"/>
              <w:rPr>
                <w:color w:val="000000"/>
              </w:rPr>
            </w:pPr>
          </w:p>
        </w:tc>
        <w:tc>
          <w:tcPr>
            <w:tcW w:w="1418" w:type="dxa"/>
            <w:tcBorders>
              <w:bottom w:val="single" w:sz="4" w:space="0" w:color="000000"/>
            </w:tcBorders>
            <w:vAlign w:val="bottom"/>
          </w:tcPr>
          <w:p w14:paraId="01A66936" w14:textId="77777777" w:rsidR="008E5DE4" w:rsidRDefault="008E5DE4">
            <w:pPr>
              <w:widowControl w:val="0"/>
              <w:pBdr>
                <w:top w:val="nil"/>
                <w:left w:val="nil"/>
                <w:bottom w:val="nil"/>
                <w:right w:val="nil"/>
                <w:between w:val="nil"/>
              </w:pBdr>
              <w:jc w:val="right"/>
              <w:rPr>
                <w:color w:val="000000"/>
              </w:rPr>
            </w:pPr>
          </w:p>
        </w:tc>
        <w:tc>
          <w:tcPr>
            <w:tcW w:w="1418" w:type="dxa"/>
            <w:tcBorders>
              <w:bottom w:val="single" w:sz="4" w:space="0" w:color="000000"/>
            </w:tcBorders>
            <w:vAlign w:val="bottom"/>
          </w:tcPr>
          <w:p w14:paraId="681EDB69" w14:textId="77777777" w:rsidR="008E5DE4" w:rsidRDefault="008E5DE4">
            <w:pPr>
              <w:widowControl w:val="0"/>
              <w:pBdr>
                <w:top w:val="nil"/>
                <w:left w:val="nil"/>
                <w:bottom w:val="nil"/>
                <w:right w:val="nil"/>
                <w:between w:val="nil"/>
              </w:pBdr>
              <w:jc w:val="right"/>
              <w:rPr>
                <w:color w:val="000000"/>
              </w:rPr>
            </w:pPr>
          </w:p>
        </w:tc>
      </w:tr>
      <w:tr w:rsidR="008E5DE4" w14:paraId="58968F59" w14:textId="77777777">
        <w:trPr>
          <w:cantSplit/>
        </w:trPr>
        <w:tc>
          <w:tcPr>
            <w:tcW w:w="5245" w:type="dxa"/>
            <w:tcBorders>
              <w:top w:val="single" w:sz="4" w:space="0" w:color="000000"/>
            </w:tcBorders>
            <w:vAlign w:val="bottom"/>
          </w:tcPr>
          <w:p w14:paraId="235EA95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418" w:type="dxa"/>
            <w:tcBorders>
              <w:top w:val="single" w:sz="4" w:space="0" w:color="000000"/>
            </w:tcBorders>
            <w:vAlign w:val="bottom"/>
          </w:tcPr>
          <w:p w14:paraId="01940053" w14:textId="77777777" w:rsidR="008E5DE4" w:rsidRDefault="008E5DE4">
            <w:pPr>
              <w:widowControl w:val="0"/>
              <w:pBdr>
                <w:top w:val="nil"/>
                <w:left w:val="nil"/>
                <w:bottom w:val="nil"/>
                <w:right w:val="nil"/>
                <w:between w:val="nil"/>
              </w:pBdr>
              <w:jc w:val="right"/>
              <w:rPr>
                <w:color w:val="000000"/>
              </w:rPr>
            </w:pPr>
          </w:p>
        </w:tc>
        <w:tc>
          <w:tcPr>
            <w:tcW w:w="1418" w:type="dxa"/>
            <w:tcBorders>
              <w:top w:val="single" w:sz="4" w:space="0" w:color="000000"/>
            </w:tcBorders>
            <w:vAlign w:val="bottom"/>
          </w:tcPr>
          <w:p w14:paraId="25DD28BA" w14:textId="77777777" w:rsidR="008E5DE4" w:rsidRDefault="008E5DE4">
            <w:pPr>
              <w:widowControl w:val="0"/>
              <w:pBdr>
                <w:top w:val="nil"/>
                <w:left w:val="nil"/>
                <w:bottom w:val="nil"/>
                <w:right w:val="nil"/>
                <w:between w:val="nil"/>
              </w:pBdr>
              <w:jc w:val="right"/>
              <w:rPr>
                <w:color w:val="000000"/>
              </w:rPr>
            </w:pPr>
          </w:p>
        </w:tc>
        <w:tc>
          <w:tcPr>
            <w:tcW w:w="1418" w:type="dxa"/>
            <w:tcBorders>
              <w:top w:val="single" w:sz="4" w:space="0" w:color="000000"/>
            </w:tcBorders>
            <w:vAlign w:val="bottom"/>
          </w:tcPr>
          <w:p w14:paraId="3070205E" w14:textId="77777777" w:rsidR="008E5DE4" w:rsidRDefault="008E5DE4">
            <w:pPr>
              <w:widowControl w:val="0"/>
              <w:pBdr>
                <w:top w:val="nil"/>
                <w:left w:val="nil"/>
                <w:bottom w:val="nil"/>
                <w:right w:val="nil"/>
                <w:between w:val="nil"/>
              </w:pBdr>
              <w:jc w:val="right"/>
              <w:rPr>
                <w:color w:val="000000"/>
              </w:rPr>
            </w:pPr>
          </w:p>
        </w:tc>
      </w:tr>
      <w:tr w:rsidR="008E5DE4" w14:paraId="6467AD6B" w14:textId="77777777">
        <w:trPr>
          <w:cantSplit/>
        </w:trPr>
        <w:tc>
          <w:tcPr>
            <w:tcW w:w="5245" w:type="dxa"/>
            <w:vAlign w:val="bottom"/>
          </w:tcPr>
          <w:p w14:paraId="23063FAF" w14:textId="6BAC263E"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investments in equity securities </w:t>
            </w:r>
            <w:proofErr w:type="gramStart"/>
            <w:r>
              <w:rPr>
                <w:b/>
                <w:color w:val="000000"/>
              </w:rPr>
              <w:t>at</w:t>
            </w:r>
            <w:proofErr w:type="gramEnd"/>
            <w:r>
              <w:rPr>
                <w:b/>
                <w:color w:val="000000"/>
              </w:rPr>
              <w:t xml:space="preserve"> 31 December </w:t>
            </w:r>
            <w:r w:rsidR="008614F8">
              <w:rPr>
                <w:b/>
                <w:color w:val="000000"/>
              </w:rPr>
              <w:t>2025</w:t>
            </w:r>
          </w:p>
        </w:tc>
        <w:tc>
          <w:tcPr>
            <w:tcW w:w="1418" w:type="dxa"/>
            <w:vAlign w:val="bottom"/>
          </w:tcPr>
          <w:p w14:paraId="41C5DF69" w14:textId="77777777" w:rsidR="008E5DE4" w:rsidRDefault="008E5DE4">
            <w:pPr>
              <w:widowControl w:val="0"/>
              <w:pBdr>
                <w:top w:val="nil"/>
                <w:left w:val="nil"/>
                <w:bottom w:val="nil"/>
                <w:right w:val="nil"/>
                <w:between w:val="nil"/>
              </w:pBdr>
              <w:jc w:val="right"/>
              <w:rPr>
                <w:b/>
                <w:color w:val="000000"/>
              </w:rPr>
            </w:pPr>
          </w:p>
        </w:tc>
        <w:tc>
          <w:tcPr>
            <w:tcW w:w="1418" w:type="dxa"/>
            <w:vAlign w:val="bottom"/>
          </w:tcPr>
          <w:p w14:paraId="5F1899E2" w14:textId="77777777" w:rsidR="008E5DE4" w:rsidRDefault="008E5DE4">
            <w:pPr>
              <w:widowControl w:val="0"/>
              <w:pBdr>
                <w:top w:val="nil"/>
                <w:left w:val="nil"/>
                <w:bottom w:val="nil"/>
                <w:right w:val="nil"/>
                <w:between w:val="nil"/>
              </w:pBdr>
              <w:jc w:val="right"/>
              <w:rPr>
                <w:b/>
                <w:color w:val="000000"/>
              </w:rPr>
            </w:pPr>
          </w:p>
        </w:tc>
        <w:tc>
          <w:tcPr>
            <w:tcW w:w="1418" w:type="dxa"/>
            <w:vAlign w:val="bottom"/>
          </w:tcPr>
          <w:p w14:paraId="4DD44BAB" w14:textId="77777777" w:rsidR="008E5DE4" w:rsidRDefault="008E5DE4">
            <w:pPr>
              <w:widowControl w:val="0"/>
              <w:pBdr>
                <w:top w:val="nil"/>
                <w:left w:val="nil"/>
                <w:bottom w:val="nil"/>
                <w:right w:val="nil"/>
                <w:between w:val="nil"/>
              </w:pBdr>
              <w:jc w:val="right"/>
              <w:rPr>
                <w:b/>
                <w:color w:val="000000"/>
              </w:rPr>
            </w:pPr>
          </w:p>
        </w:tc>
      </w:tr>
      <w:tr w:rsidR="008E5DE4" w14:paraId="0B2D030D" w14:textId="77777777">
        <w:trPr>
          <w:cantSplit/>
        </w:trPr>
        <w:tc>
          <w:tcPr>
            <w:tcW w:w="5245" w:type="dxa"/>
            <w:tcBorders>
              <w:bottom w:val="single" w:sz="12" w:space="0" w:color="000000"/>
            </w:tcBorders>
            <w:vAlign w:val="bottom"/>
          </w:tcPr>
          <w:p w14:paraId="7874DAF4" w14:textId="77777777" w:rsidR="008E5DE4" w:rsidRDefault="008E5DE4">
            <w:pPr>
              <w:widowControl w:val="0"/>
              <w:pBdr>
                <w:top w:val="nil"/>
                <w:left w:val="nil"/>
                <w:bottom w:val="nil"/>
                <w:right w:val="nil"/>
                <w:between w:val="nil"/>
              </w:pBdr>
              <w:ind w:left="113" w:right="-57" w:hanging="113"/>
              <w:rPr>
                <w:b/>
                <w:color w:val="000000"/>
              </w:rPr>
            </w:pPr>
          </w:p>
        </w:tc>
        <w:tc>
          <w:tcPr>
            <w:tcW w:w="1418" w:type="dxa"/>
            <w:tcBorders>
              <w:bottom w:val="single" w:sz="12" w:space="0" w:color="000000"/>
            </w:tcBorders>
            <w:vAlign w:val="bottom"/>
          </w:tcPr>
          <w:p w14:paraId="3600B0DC" w14:textId="77777777" w:rsidR="008E5DE4" w:rsidRDefault="008E5DE4">
            <w:pPr>
              <w:widowControl w:val="0"/>
              <w:pBdr>
                <w:top w:val="nil"/>
                <w:left w:val="nil"/>
                <w:bottom w:val="nil"/>
                <w:right w:val="nil"/>
                <w:between w:val="nil"/>
              </w:pBdr>
              <w:jc w:val="right"/>
              <w:rPr>
                <w:b/>
                <w:color w:val="000000"/>
              </w:rPr>
            </w:pPr>
          </w:p>
        </w:tc>
        <w:tc>
          <w:tcPr>
            <w:tcW w:w="1418" w:type="dxa"/>
            <w:tcBorders>
              <w:bottom w:val="single" w:sz="12" w:space="0" w:color="000000"/>
            </w:tcBorders>
            <w:vAlign w:val="bottom"/>
          </w:tcPr>
          <w:p w14:paraId="538DC941" w14:textId="77777777" w:rsidR="008E5DE4" w:rsidRDefault="008E5DE4">
            <w:pPr>
              <w:widowControl w:val="0"/>
              <w:pBdr>
                <w:top w:val="nil"/>
                <w:left w:val="nil"/>
                <w:bottom w:val="nil"/>
                <w:right w:val="nil"/>
                <w:between w:val="nil"/>
              </w:pBdr>
              <w:jc w:val="right"/>
              <w:rPr>
                <w:b/>
                <w:color w:val="000000"/>
              </w:rPr>
            </w:pPr>
          </w:p>
        </w:tc>
        <w:tc>
          <w:tcPr>
            <w:tcW w:w="1418" w:type="dxa"/>
            <w:tcBorders>
              <w:bottom w:val="single" w:sz="12" w:space="0" w:color="000000"/>
            </w:tcBorders>
            <w:vAlign w:val="bottom"/>
          </w:tcPr>
          <w:p w14:paraId="016E9A95" w14:textId="77777777" w:rsidR="008E5DE4" w:rsidRDefault="008E5DE4">
            <w:pPr>
              <w:widowControl w:val="0"/>
              <w:pBdr>
                <w:top w:val="nil"/>
                <w:left w:val="nil"/>
                <w:bottom w:val="nil"/>
                <w:right w:val="nil"/>
                <w:between w:val="nil"/>
              </w:pBdr>
              <w:jc w:val="right"/>
              <w:rPr>
                <w:b/>
                <w:color w:val="000000"/>
              </w:rPr>
            </w:pPr>
          </w:p>
        </w:tc>
      </w:tr>
    </w:tbl>
    <w:p w14:paraId="58DAB0AF" w14:textId="3D8C6848"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table below discloses investments in equity securities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by measurement categories and classes:</w:t>
      </w:r>
    </w:p>
    <w:tbl>
      <w:tblPr>
        <w:tblStyle w:val="affffffff6"/>
        <w:tblW w:w="9498" w:type="dxa"/>
        <w:tblLayout w:type="fixed"/>
        <w:tblLook w:val="0000" w:firstRow="0" w:lastRow="0" w:firstColumn="0" w:lastColumn="0" w:noHBand="0" w:noVBand="0"/>
      </w:tblPr>
      <w:tblGrid>
        <w:gridCol w:w="5244"/>
        <w:gridCol w:w="1418"/>
        <w:gridCol w:w="1418"/>
        <w:gridCol w:w="1418"/>
      </w:tblGrid>
      <w:tr w:rsidR="008E5DE4" w14:paraId="4EDA3716" w14:textId="77777777">
        <w:trPr>
          <w:cantSplit/>
        </w:trPr>
        <w:tc>
          <w:tcPr>
            <w:tcW w:w="5245" w:type="dxa"/>
            <w:tcBorders>
              <w:bottom w:val="single" w:sz="4" w:space="0" w:color="000000"/>
            </w:tcBorders>
            <w:vAlign w:val="bottom"/>
          </w:tcPr>
          <w:p w14:paraId="58B9204C"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418" w:type="dxa"/>
            <w:tcBorders>
              <w:bottom w:val="single" w:sz="4" w:space="0" w:color="000000"/>
            </w:tcBorders>
          </w:tcPr>
          <w:p w14:paraId="5118E95C" w14:textId="77777777" w:rsidR="008E5DE4" w:rsidRDefault="00780368">
            <w:pPr>
              <w:widowControl w:val="0"/>
              <w:pBdr>
                <w:top w:val="nil"/>
                <w:left w:val="nil"/>
                <w:bottom w:val="nil"/>
                <w:right w:val="nil"/>
                <w:between w:val="nil"/>
              </w:pBdr>
              <w:ind w:left="-113"/>
              <w:jc w:val="right"/>
              <w:rPr>
                <w:b/>
                <w:color w:val="000000"/>
              </w:rPr>
            </w:pPr>
            <w:r>
              <w:rPr>
                <w:b/>
                <w:color w:val="000000"/>
              </w:rPr>
              <w:t>Equity securities at FVTPL</w:t>
            </w:r>
          </w:p>
        </w:tc>
        <w:tc>
          <w:tcPr>
            <w:tcW w:w="1418" w:type="dxa"/>
            <w:tcBorders>
              <w:bottom w:val="single" w:sz="4" w:space="0" w:color="000000"/>
            </w:tcBorders>
          </w:tcPr>
          <w:p w14:paraId="43BD61E3" w14:textId="77777777" w:rsidR="008E5DE4" w:rsidRDefault="00780368">
            <w:pPr>
              <w:widowControl w:val="0"/>
              <w:pBdr>
                <w:top w:val="nil"/>
                <w:left w:val="nil"/>
                <w:bottom w:val="nil"/>
                <w:right w:val="nil"/>
                <w:between w:val="nil"/>
              </w:pBdr>
              <w:ind w:left="-113"/>
              <w:jc w:val="right"/>
              <w:rPr>
                <w:b/>
                <w:color w:val="000000"/>
              </w:rPr>
            </w:pPr>
            <w:r>
              <w:rPr>
                <w:b/>
                <w:color w:val="000000"/>
              </w:rPr>
              <w:t>Equity securities at FVOCI</w:t>
            </w:r>
          </w:p>
        </w:tc>
        <w:tc>
          <w:tcPr>
            <w:tcW w:w="1418" w:type="dxa"/>
            <w:tcBorders>
              <w:bottom w:val="single" w:sz="4" w:space="0" w:color="000000"/>
            </w:tcBorders>
          </w:tcPr>
          <w:p w14:paraId="536117C8"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7534CBAD" w14:textId="77777777">
        <w:trPr>
          <w:cantSplit/>
        </w:trPr>
        <w:tc>
          <w:tcPr>
            <w:tcW w:w="5245" w:type="dxa"/>
            <w:vAlign w:val="bottom"/>
          </w:tcPr>
          <w:p w14:paraId="24802242" w14:textId="77777777" w:rsidR="008E5DE4" w:rsidRDefault="00780368">
            <w:pPr>
              <w:widowControl w:val="0"/>
              <w:ind w:left="113" w:right="-57" w:hanging="113"/>
              <w:rPr>
                <w:b/>
                <w:u w:val="single"/>
              </w:rPr>
            </w:pPr>
            <w:r>
              <w:t> </w:t>
            </w:r>
          </w:p>
        </w:tc>
        <w:tc>
          <w:tcPr>
            <w:tcW w:w="1418" w:type="dxa"/>
            <w:vAlign w:val="bottom"/>
          </w:tcPr>
          <w:p w14:paraId="62AEFA97" w14:textId="77777777" w:rsidR="008E5DE4" w:rsidRDefault="008E5DE4">
            <w:pPr>
              <w:widowControl w:val="0"/>
              <w:jc w:val="right"/>
            </w:pPr>
          </w:p>
        </w:tc>
        <w:tc>
          <w:tcPr>
            <w:tcW w:w="1418" w:type="dxa"/>
            <w:vAlign w:val="bottom"/>
          </w:tcPr>
          <w:p w14:paraId="6DD07108" w14:textId="77777777" w:rsidR="008E5DE4" w:rsidRDefault="008E5DE4">
            <w:pPr>
              <w:widowControl w:val="0"/>
              <w:jc w:val="right"/>
            </w:pPr>
          </w:p>
        </w:tc>
        <w:tc>
          <w:tcPr>
            <w:tcW w:w="1418" w:type="dxa"/>
            <w:vAlign w:val="bottom"/>
          </w:tcPr>
          <w:p w14:paraId="708D3B9C" w14:textId="77777777" w:rsidR="008E5DE4" w:rsidRDefault="008E5DE4">
            <w:pPr>
              <w:widowControl w:val="0"/>
              <w:jc w:val="right"/>
            </w:pPr>
          </w:p>
        </w:tc>
      </w:tr>
      <w:tr w:rsidR="008E5DE4" w14:paraId="05B76C45" w14:textId="77777777">
        <w:trPr>
          <w:cantSplit/>
        </w:trPr>
        <w:tc>
          <w:tcPr>
            <w:tcW w:w="5245" w:type="dxa"/>
            <w:vAlign w:val="bottom"/>
          </w:tcPr>
          <w:p w14:paraId="05769D5E" w14:textId="77777777" w:rsidR="008E5DE4" w:rsidRDefault="00780368">
            <w:pPr>
              <w:widowControl w:val="0"/>
              <w:ind w:left="113" w:right="-57" w:hanging="113"/>
            </w:pPr>
            <w:r>
              <w:t>Corporate shares</w:t>
            </w:r>
          </w:p>
        </w:tc>
        <w:tc>
          <w:tcPr>
            <w:tcW w:w="1418" w:type="dxa"/>
            <w:vAlign w:val="bottom"/>
          </w:tcPr>
          <w:p w14:paraId="327FD9D2"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6DD40961"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7A78C200" w14:textId="77777777" w:rsidR="008E5DE4" w:rsidRDefault="008E5DE4">
            <w:pPr>
              <w:widowControl w:val="0"/>
              <w:pBdr>
                <w:top w:val="nil"/>
                <w:left w:val="nil"/>
                <w:bottom w:val="nil"/>
                <w:right w:val="nil"/>
                <w:between w:val="nil"/>
              </w:pBdr>
              <w:jc w:val="right"/>
              <w:rPr>
                <w:color w:val="000000"/>
              </w:rPr>
            </w:pPr>
          </w:p>
        </w:tc>
      </w:tr>
      <w:tr w:rsidR="008E5DE4" w14:paraId="15A28212" w14:textId="77777777">
        <w:trPr>
          <w:cantSplit/>
        </w:trPr>
        <w:tc>
          <w:tcPr>
            <w:tcW w:w="5245" w:type="dxa"/>
            <w:vAlign w:val="bottom"/>
          </w:tcPr>
          <w:p w14:paraId="68C146B1" w14:textId="77777777" w:rsidR="008E5DE4" w:rsidRDefault="00780368">
            <w:pPr>
              <w:widowControl w:val="0"/>
              <w:ind w:left="113" w:right="-57" w:hanging="113"/>
            </w:pPr>
            <w:r>
              <w:t>American depositary receipts (ADR)</w:t>
            </w:r>
          </w:p>
        </w:tc>
        <w:tc>
          <w:tcPr>
            <w:tcW w:w="1418" w:type="dxa"/>
            <w:vAlign w:val="bottom"/>
          </w:tcPr>
          <w:p w14:paraId="59C1D3E8"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7BEB62CA"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1039D4B9" w14:textId="77777777" w:rsidR="008E5DE4" w:rsidRDefault="008E5DE4">
            <w:pPr>
              <w:widowControl w:val="0"/>
              <w:pBdr>
                <w:top w:val="nil"/>
                <w:left w:val="nil"/>
                <w:bottom w:val="nil"/>
                <w:right w:val="nil"/>
                <w:between w:val="nil"/>
              </w:pBdr>
              <w:jc w:val="right"/>
              <w:rPr>
                <w:color w:val="000000"/>
              </w:rPr>
            </w:pPr>
          </w:p>
        </w:tc>
      </w:tr>
      <w:tr w:rsidR="008E5DE4" w14:paraId="521D6D4F" w14:textId="77777777">
        <w:trPr>
          <w:cantSplit/>
        </w:trPr>
        <w:tc>
          <w:tcPr>
            <w:tcW w:w="5245" w:type="dxa"/>
            <w:vAlign w:val="bottom"/>
          </w:tcPr>
          <w:p w14:paraId="16649D3F" w14:textId="77777777" w:rsidR="008E5DE4" w:rsidRDefault="00780368">
            <w:pPr>
              <w:widowControl w:val="0"/>
              <w:ind w:left="113" w:right="-57" w:hanging="113"/>
            </w:pPr>
            <w:r>
              <w:t>Investments in mutual funds</w:t>
            </w:r>
          </w:p>
        </w:tc>
        <w:tc>
          <w:tcPr>
            <w:tcW w:w="1418" w:type="dxa"/>
            <w:vAlign w:val="bottom"/>
          </w:tcPr>
          <w:p w14:paraId="2CF12FE9"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3BC7D60F"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7C6BE42C" w14:textId="77777777" w:rsidR="008E5DE4" w:rsidRDefault="008E5DE4">
            <w:pPr>
              <w:widowControl w:val="0"/>
              <w:pBdr>
                <w:top w:val="nil"/>
                <w:left w:val="nil"/>
                <w:bottom w:val="nil"/>
                <w:right w:val="nil"/>
                <w:between w:val="nil"/>
              </w:pBdr>
              <w:jc w:val="right"/>
              <w:rPr>
                <w:color w:val="000000"/>
              </w:rPr>
            </w:pPr>
          </w:p>
        </w:tc>
      </w:tr>
      <w:tr w:rsidR="008E5DE4" w14:paraId="01EBF7C8" w14:textId="77777777">
        <w:trPr>
          <w:cantSplit/>
        </w:trPr>
        <w:tc>
          <w:tcPr>
            <w:tcW w:w="5245" w:type="dxa"/>
            <w:vAlign w:val="bottom"/>
          </w:tcPr>
          <w:p w14:paraId="4DF75D52" w14:textId="0723CEBF" w:rsidR="008E5DE4" w:rsidRDefault="00780368">
            <w:pPr>
              <w:widowControl w:val="0"/>
              <w:ind w:left="113" w:right="-57" w:hanging="113"/>
            </w:pPr>
            <w:r>
              <w:t xml:space="preserve">Global depositary receipts (GDR) </w:t>
            </w:r>
          </w:p>
        </w:tc>
        <w:tc>
          <w:tcPr>
            <w:tcW w:w="1418" w:type="dxa"/>
            <w:vAlign w:val="bottom"/>
          </w:tcPr>
          <w:p w14:paraId="25C3E2AA"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66DB5F5C"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08E630D4" w14:textId="77777777" w:rsidR="008E5DE4" w:rsidRDefault="008E5DE4">
            <w:pPr>
              <w:widowControl w:val="0"/>
              <w:pBdr>
                <w:top w:val="nil"/>
                <w:left w:val="nil"/>
                <w:bottom w:val="nil"/>
                <w:right w:val="nil"/>
                <w:between w:val="nil"/>
              </w:pBdr>
              <w:jc w:val="right"/>
              <w:rPr>
                <w:color w:val="000000"/>
              </w:rPr>
            </w:pPr>
          </w:p>
        </w:tc>
      </w:tr>
      <w:tr w:rsidR="008E5DE4" w14:paraId="57110700" w14:textId="77777777">
        <w:trPr>
          <w:cantSplit/>
        </w:trPr>
        <w:tc>
          <w:tcPr>
            <w:tcW w:w="5245" w:type="dxa"/>
            <w:tcBorders>
              <w:bottom w:val="single" w:sz="4" w:space="0" w:color="000000"/>
            </w:tcBorders>
            <w:vAlign w:val="bottom"/>
          </w:tcPr>
          <w:p w14:paraId="548D6110"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418" w:type="dxa"/>
            <w:tcBorders>
              <w:bottom w:val="single" w:sz="4" w:space="0" w:color="000000"/>
            </w:tcBorders>
            <w:vAlign w:val="bottom"/>
          </w:tcPr>
          <w:p w14:paraId="4ED17F80" w14:textId="77777777" w:rsidR="008E5DE4" w:rsidRDefault="008E5DE4">
            <w:pPr>
              <w:widowControl w:val="0"/>
              <w:pBdr>
                <w:top w:val="nil"/>
                <w:left w:val="nil"/>
                <w:bottom w:val="nil"/>
                <w:right w:val="nil"/>
                <w:between w:val="nil"/>
              </w:pBdr>
              <w:jc w:val="right"/>
              <w:rPr>
                <w:color w:val="000000"/>
              </w:rPr>
            </w:pPr>
          </w:p>
        </w:tc>
        <w:tc>
          <w:tcPr>
            <w:tcW w:w="1418" w:type="dxa"/>
            <w:tcBorders>
              <w:bottom w:val="single" w:sz="4" w:space="0" w:color="000000"/>
            </w:tcBorders>
            <w:vAlign w:val="bottom"/>
          </w:tcPr>
          <w:p w14:paraId="5615366D" w14:textId="77777777" w:rsidR="008E5DE4" w:rsidRDefault="008E5DE4">
            <w:pPr>
              <w:widowControl w:val="0"/>
              <w:pBdr>
                <w:top w:val="nil"/>
                <w:left w:val="nil"/>
                <w:bottom w:val="nil"/>
                <w:right w:val="nil"/>
                <w:between w:val="nil"/>
              </w:pBdr>
              <w:jc w:val="right"/>
              <w:rPr>
                <w:color w:val="000000"/>
              </w:rPr>
            </w:pPr>
          </w:p>
        </w:tc>
        <w:tc>
          <w:tcPr>
            <w:tcW w:w="1418" w:type="dxa"/>
            <w:tcBorders>
              <w:bottom w:val="single" w:sz="4" w:space="0" w:color="000000"/>
            </w:tcBorders>
            <w:vAlign w:val="bottom"/>
          </w:tcPr>
          <w:p w14:paraId="06D5E724" w14:textId="77777777" w:rsidR="008E5DE4" w:rsidRDefault="008E5DE4">
            <w:pPr>
              <w:widowControl w:val="0"/>
              <w:pBdr>
                <w:top w:val="nil"/>
                <w:left w:val="nil"/>
                <w:bottom w:val="nil"/>
                <w:right w:val="nil"/>
                <w:between w:val="nil"/>
              </w:pBdr>
              <w:jc w:val="right"/>
              <w:rPr>
                <w:color w:val="000000"/>
              </w:rPr>
            </w:pPr>
          </w:p>
        </w:tc>
      </w:tr>
      <w:tr w:rsidR="008E5DE4" w14:paraId="71A24CE7" w14:textId="77777777">
        <w:trPr>
          <w:cantSplit/>
        </w:trPr>
        <w:tc>
          <w:tcPr>
            <w:tcW w:w="5245" w:type="dxa"/>
            <w:tcBorders>
              <w:top w:val="single" w:sz="4" w:space="0" w:color="000000"/>
            </w:tcBorders>
            <w:vAlign w:val="bottom"/>
          </w:tcPr>
          <w:p w14:paraId="43466A4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418" w:type="dxa"/>
            <w:tcBorders>
              <w:top w:val="single" w:sz="4" w:space="0" w:color="000000"/>
            </w:tcBorders>
            <w:vAlign w:val="bottom"/>
          </w:tcPr>
          <w:p w14:paraId="7F693455" w14:textId="77777777" w:rsidR="008E5DE4" w:rsidRDefault="008E5DE4">
            <w:pPr>
              <w:widowControl w:val="0"/>
              <w:pBdr>
                <w:top w:val="nil"/>
                <w:left w:val="nil"/>
                <w:bottom w:val="nil"/>
                <w:right w:val="nil"/>
                <w:between w:val="nil"/>
              </w:pBdr>
              <w:jc w:val="right"/>
              <w:rPr>
                <w:color w:val="000000"/>
              </w:rPr>
            </w:pPr>
          </w:p>
        </w:tc>
        <w:tc>
          <w:tcPr>
            <w:tcW w:w="1418" w:type="dxa"/>
            <w:tcBorders>
              <w:top w:val="single" w:sz="4" w:space="0" w:color="000000"/>
            </w:tcBorders>
            <w:vAlign w:val="bottom"/>
          </w:tcPr>
          <w:p w14:paraId="0209A6B4" w14:textId="77777777" w:rsidR="008E5DE4" w:rsidRDefault="008E5DE4">
            <w:pPr>
              <w:widowControl w:val="0"/>
              <w:pBdr>
                <w:top w:val="nil"/>
                <w:left w:val="nil"/>
                <w:bottom w:val="nil"/>
                <w:right w:val="nil"/>
                <w:between w:val="nil"/>
              </w:pBdr>
              <w:jc w:val="right"/>
              <w:rPr>
                <w:color w:val="000000"/>
              </w:rPr>
            </w:pPr>
          </w:p>
        </w:tc>
        <w:tc>
          <w:tcPr>
            <w:tcW w:w="1418" w:type="dxa"/>
            <w:tcBorders>
              <w:top w:val="single" w:sz="4" w:space="0" w:color="000000"/>
            </w:tcBorders>
            <w:vAlign w:val="bottom"/>
          </w:tcPr>
          <w:p w14:paraId="474D0AC0" w14:textId="77777777" w:rsidR="008E5DE4" w:rsidRDefault="008E5DE4">
            <w:pPr>
              <w:widowControl w:val="0"/>
              <w:pBdr>
                <w:top w:val="nil"/>
                <w:left w:val="nil"/>
                <w:bottom w:val="nil"/>
                <w:right w:val="nil"/>
                <w:between w:val="nil"/>
              </w:pBdr>
              <w:jc w:val="right"/>
              <w:rPr>
                <w:color w:val="000000"/>
              </w:rPr>
            </w:pPr>
          </w:p>
        </w:tc>
      </w:tr>
      <w:tr w:rsidR="008E5DE4" w14:paraId="39D9B8D8" w14:textId="77777777">
        <w:trPr>
          <w:cantSplit/>
        </w:trPr>
        <w:tc>
          <w:tcPr>
            <w:tcW w:w="5245" w:type="dxa"/>
            <w:vAlign w:val="bottom"/>
          </w:tcPr>
          <w:p w14:paraId="7A6D3300" w14:textId="0AC9F2C0"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investments in equity securities </w:t>
            </w:r>
            <w:proofErr w:type="gramStart"/>
            <w:r>
              <w:rPr>
                <w:b/>
                <w:color w:val="000000"/>
              </w:rPr>
              <w:t>at</w:t>
            </w:r>
            <w:proofErr w:type="gramEnd"/>
            <w:r>
              <w:rPr>
                <w:b/>
                <w:color w:val="000000"/>
              </w:rPr>
              <w:t xml:space="preserve"> 31 December </w:t>
            </w:r>
            <w:r w:rsidR="00FF468A">
              <w:rPr>
                <w:b/>
                <w:color w:val="000000"/>
              </w:rPr>
              <w:t>2024</w:t>
            </w:r>
          </w:p>
        </w:tc>
        <w:tc>
          <w:tcPr>
            <w:tcW w:w="1418" w:type="dxa"/>
            <w:vAlign w:val="bottom"/>
          </w:tcPr>
          <w:p w14:paraId="4A4A7538" w14:textId="77777777" w:rsidR="008E5DE4" w:rsidRDefault="008E5DE4">
            <w:pPr>
              <w:widowControl w:val="0"/>
              <w:pBdr>
                <w:top w:val="nil"/>
                <w:left w:val="nil"/>
                <w:bottom w:val="nil"/>
                <w:right w:val="nil"/>
                <w:between w:val="nil"/>
              </w:pBdr>
              <w:jc w:val="right"/>
              <w:rPr>
                <w:b/>
                <w:color w:val="000000"/>
              </w:rPr>
            </w:pPr>
          </w:p>
        </w:tc>
        <w:tc>
          <w:tcPr>
            <w:tcW w:w="1418" w:type="dxa"/>
            <w:vAlign w:val="bottom"/>
          </w:tcPr>
          <w:p w14:paraId="257FC6AD" w14:textId="77777777" w:rsidR="008E5DE4" w:rsidRDefault="008E5DE4">
            <w:pPr>
              <w:widowControl w:val="0"/>
              <w:pBdr>
                <w:top w:val="nil"/>
                <w:left w:val="nil"/>
                <w:bottom w:val="nil"/>
                <w:right w:val="nil"/>
                <w:between w:val="nil"/>
              </w:pBdr>
              <w:jc w:val="right"/>
              <w:rPr>
                <w:b/>
                <w:color w:val="000000"/>
              </w:rPr>
            </w:pPr>
          </w:p>
        </w:tc>
        <w:tc>
          <w:tcPr>
            <w:tcW w:w="1418" w:type="dxa"/>
            <w:vAlign w:val="bottom"/>
          </w:tcPr>
          <w:p w14:paraId="31F5B2D1" w14:textId="77777777" w:rsidR="008E5DE4" w:rsidRDefault="008E5DE4">
            <w:pPr>
              <w:widowControl w:val="0"/>
              <w:pBdr>
                <w:top w:val="nil"/>
                <w:left w:val="nil"/>
                <w:bottom w:val="nil"/>
                <w:right w:val="nil"/>
                <w:between w:val="nil"/>
              </w:pBdr>
              <w:jc w:val="right"/>
              <w:rPr>
                <w:b/>
                <w:color w:val="000000"/>
              </w:rPr>
            </w:pPr>
          </w:p>
        </w:tc>
      </w:tr>
      <w:tr w:rsidR="008E5DE4" w14:paraId="38505377" w14:textId="77777777">
        <w:trPr>
          <w:cantSplit/>
        </w:trPr>
        <w:tc>
          <w:tcPr>
            <w:tcW w:w="5245" w:type="dxa"/>
            <w:tcBorders>
              <w:bottom w:val="single" w:sz="12" w:space="0" w:color="000000"/>
            </w:tcBorders>
            <w:vAlign w:val="bottom"/>
          </w:tcPr>
          <w:p w14:paraId="709503CB" w14:textId="77777777" w:rsidR="008E5DE4" w:rsidRDefault="008E5DE4">
            <w:pPr>
              <w:widowControl w:val="0"/>
              <w:pBdr>
                <w:top w:val="nil"/>
                <w:left w:val="nil"/>
                <w:bottom w:val="nil"/>
                <w:right w:val="nil"/>
                <w:between w:val="nil"/>
              </w:pBdr>
              <w:ind w:left="113" w:right="-57" w:hanging="113"/>
              <w:rPr>
                <w:b/>
                <w:color w:val="000000"/>
              </w:rPr>
            </w:pPr>
          </w:p>
        </w:tc>
        <w:tc>
          <w:tcPr>
            <w:tcW w:w="1418" w:type="dxa"/>
            <w:tcBorders>
              <w:bottom w:val="single" w:sz="12" w:space="0" w:color="000000"/>
            </w:tcBorders>
            <w:vAlign w:val="bottom"/>
          </w:tcPr>
          <w:p w14:paraId="1FBF6DF9" w14:textId="77777777" w:rsidR="008E5DE4" w:rsidRDefault="008E5DE4">
            <w:pPr>
              <w:widowControl w:val="0"/>
              <w:pBdr>
                <w:top w:val="nil"/>
                <w:left w:val="nil"/>
                <w:bottom w:val="nil"/>
                <w:right w:val="nil"/>
                <w:between w:val="nil"/>
              </w:pBdr>
              <w:jc w:val="right"/>
              <w:rPr>
                <w:b/>
                <w:color w:val="000000"/>
              </w:rPr>
            </w:pPr>
          </w:p>
        </w:tc>
        <w:tc>
          <w:tcPr>
            <w:tcW w:w="1418" w:type="dxa"/>
            <w:tcBorders>
              <w:bottom w:val="single" w:sz="12" w:space="0" w:color="000000"/>
            </w:tcBorders>
            <w:vAlign w:val="bottom"/>
          </w:tcPr>
          <w:p w14:paraId="0DEA9A3D" w14:textId="77777777" w:rsidR="008E5DE4" w:rsidRDefault="008E5DE4">
            <w:pPr>
              <w:widowControl w:val="0"/>
              <w:pBdr>
                <w:top w:val="nil"/>
                <w:left w:val="nil"/>
                <w:bottom w:val="nil"/>
                <w:right w:val="nil"/>
                <w:between w:val="nil"/>
              </w:pBdr>
              <w:jc w:val="right"/>
              <w:rPr>
                <w:b/>
                <w:color w:val="000000"/>
              </w:rPr>
            </w:pPr>
          </w:p>
        </w:tc>
        <w:tc>
          <w:tcPr>
            <w:tcW w:w="1418" w:type="dxa"/>
            <w:tcBorders>
              <w:bottom w:val="single" w:sz="12" w:space="0" w:color="000000"/>
            </w:tcBorders>
            <w:vAlign w:val="bottom"/>
          </w:tcPr>
          <w:p w14:paraId="7C2BD326" w14:textId="77777777" w:rsidR="008E5DE4" w:rsidRDefault="008E5DE4">
            <w:pPr>
              <w:widowControl w:val="0"/>
              <w:pBdr>
                <w:top w:val="nil"/>
                <w:left w:val="nil"/>
                <w:bottom w:val="nil"/>
                <w:right w:val="nil"/>
                <w:between w:val="nil"/>
              </w:pBdr>
              <w:jc w:val="right"/>
              <w:rPr>
                <w:b/>
                <w:color w:val="000000"/>
              </w:rPr>
            </w:pPr>
          </w:p>
        </w:tc>
      </w:tr>
    </w:tbl>
    <w:p w14:paraId="7C9EBD0A" w14:textId="77777777" w:rsidR="008E5DE4" w:rsidRDefault="00780368">
      <w:pPr>
        <w:widowControl w:val="0"/>
        <w:numPr>
          <w:ilvl w:val="0"/>
          <w:numId w:val="5"/>
        </w:numPr>
        <w:pBdr>
          <w:top w:val="nil"/>
          <w:left w:val="nil"/>
          <w:bottom w:val="nil"/>
          <w:right w:val="nil"/>
          <w:between w:val="nil"/>
        </w:pBdr>
        <w:spacing w:before="200" w:after="200"/>
        <w:ind w:left="0" w:firstLine="0"/>
        <w:rPr>
          <w:b/>
          <w:color w:val="000000"/>
          <w:sz w:val="20"/>
          <w:szCs w:val="20"/>
        </w:rPr>
      </w:pPr>
      <w:r>
        <w:rPr>
          <w:b/>
          <w:color w:val="000000"/>
          <w:sz w:val="20"/>
          <w:szCs w:val="20"/>
        </w:rPr>
        <w:t>Investments in equity securities at FVTPL</w:t>
      </w:r>
    </w:p>
    <w:p w14:paraId="70C72D67" w14:textId="77777777"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Equity securities at FVTPL represent securities held for trading and other equity securities for which FVOCI election was not made on initial recognition. </w:t>
      </w:r>
    </w:p>
    <w:p w14:paraId="2425C387" w14:textId="1BB9CDAB"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securities with a fair value of EUR ____ thousand have been pledged to third parties as collateral with respect to borrowings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–EUR ___ thousand) (refer to Note 28).</w:t>
      </w:r>
    </w:p>
    <w:p w14:paraId="57CAD64D" w14:textId="77777777" w:rsidR="008E5DE4" w:rsidRDefault="00780368">
      <w:pPr>
        <w:widowControl w:val="0"/>
        <w:numPr>
          <w:ilvl w:val="0"/>
          <w:numId w:val="5"/>
        </w:numPr>
        <w:pBdr>
          <w:top w:val="nil"/>
          <w:left w:val="nil"/>
          <w:bottom w:val="nil"/>
          <w:right w:val="nil"/>
          <w:between w:val="nil"/>
        </w:pBdr>
        <w:spacing w:before="200" w:after="200"/>
        <w:ind w:left="0" w:firstLine="0"/>
        <w:rPr>
          <w:b/>
          <w:color w:val="000000"/>
          <w:sz w:val="20"/>
          <w:szCs w:val="20"/>
        </w:rPr>
      </w:pPr>
      <w:r>
        <w:rPr>
          <w:b/>
          <w:color w:val="000000"/>
          <w:sz w:val="20"/>
          <w:szCs w:val="20"/>
        </w:rPr>
        <w:t>Investments in equity securities at FVOCI</w:t>
      </w:r>
    </w:p>
    <w:p w14:paraId="1B8C3406" w14:textId="10DB6A5F"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the Group designated investments disclosed in the following table as equity securities at FVOCI. The FVOCI designation was made because the investments are expected to be held for strategic purposes rather than with a view to profit on a subsequent sale, and there are no plans to dispose of these investments in the short or medium term.</w:t>
      </w:r>
    </w:p>
    <w:p w14:paraId="6CB47ACE"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23</w:t>
      </w:r>
      <w:r>
        <w:rPr>
          <w:b/>
          <w:color w:val="000000"/>
          <w:sz w:val="20"/>
          <w:szCs w:val="20"/>
        </w:rPr>
        <w:tab/>
        <w:t>Investments in Equity Securities (Continued)</w:t>
      </w:r>
    </w:p>
    <w:tbl>
      <w:tblPr>
        <w:tblStyle w:val="affffffff7"/>
        <w:tblW w:w="9355" w:type="dxa"/>
        <w:tblLayout w:type="fixed"/>
        <w:tblLook w:val="0000" w:firstRow="0" w:lastRow="0" w:firstColumn="0" w:lastColumn="0" w:noHBand="0" w:noVBand="0"/>
      </w:tblPr>
      <w:tblGrid>
        <w:gridCol w:w="6293"/>
        <w:gridCol w:w="1531"/>
        <w:gridCol w:w="1531"/>
      </w:tblGrid>
      <w:tr w:rsidR="008E5DE4" w14:paraId="5DBDBB2A" w14:textId="77777777">
        <w:trPr>
          <w:cantSplit/>
        </w:trPr>
        <w:tc>
          <w:tcPr>
            <w:tcW w:w="6293" w:type="dxa"/>
            <w:tcBorders>
              <w:bottom w:val="single" w:sz="4" w:space="0" w:color="000000"/>
            </w:tcBorders>
            <w:vAlign w:val="bottom"/>
          </w:tcPr>
          <w:p w14:paraId="62D82C9E"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1531" w:type="dxa"/>
            <w:tcBorders>
              <w:bottom w:val="single" w:sz="4" w:space="0" w:color="000000"/>
            </w:tcBorders>
          </w:tcPr>
          <w:p w14:paraId="1A3485F0"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Fair value at </w:t>
            </w:r>
          </w:p>
          <w:p w14:paraId="6C03082D" w14:textId="45312F3C" w:rsidR="008E5DE4" w:rsidRDefault="00780368">
            <w:pPr>
              <w:widowControl w:val="0"/>
              <w:pBdr>
                <w:top w:val="nil"/>
                <w:left w:val="nil"/>
                <w:bottom w:val="nil"/>
                <w:right w:val="nil"/>
                <w:between w:val="nil"/>
              </w:pBdr>
              <w:ind w:left="-113"/>
              <w:jc w:val="right"/>
              <w:rPr>
                <w:b/>
                <w:color w:val="000000"/>
              </w:rPr>
            </w:pPr>
            <w:r>
              <w:rPr>
                <w:b/>
                <w:color w:val="000000"/>
              </w:rPr>
              <w:t xml:space="preserve">31 December </w:t>
            </w:r>
            <w:r w:rsidR="008614F8">
              <w:rPr>
                <w:b/>
                <w:color w:val="000000"/>
              </w:rPr>
              <w:t>2025</w:t>
            </w:r>
          </w:p>
        </w:tc>
        <w:tc>
          <w:tcPr>
            <w:tcW w:w="1531" w:type="dxa"/>
            <w:tcBorders>
              <w:bottom w:val="single" w:sz="4" w:space="0" w:color="000000"/>
            </w:tcBorders>
          </w:tcPr>
          <w:p w14:paraId="4B5D84D5" w14:textId="77777777" w:rsidR="008E5DE4" w:rsidRDefault="00780368">
            <w:pPr>
              <w:widowControl w:val="0"/>
              <w:pBdr>
                <w:top w:val="nil"/>
                <w:left w:val="nil"/>
                <w:bottom w:val="nil"/>
                <w:right w:val="nil"/>
                <w:between w:val="nil"/>
              </w:pBdr>
              <w:ind w:left="-113"/>
              <w:jc w:val="right"/>
              <w:rPr>
                <w:b/>
                <w:color w:val="000000"/>
              </w:rPr>
            </w:pPr>
            <w:r>
              <w:rPr>
                <w:b/>
                <w:color w:val="000000"/>
              </w:rPr>
              <w:t>Dividend income recognised for the year</w:t>
            </w:r>
          </w:p>
        </w:tc>
      </w:tr>
      <w:tr w:rsidR="008E5DE4" w14:paraId="2D13ED29" w14:textId="77777777">
        <w:trPr>
          <w:cantSplit/>
        </w:trPr>
        <w:tc>
          <w:tcPr>
            <w:tcW w:w="6293" w:type="dxa"/>
            <w:vAlign w:val="bottom"/>
          </w:tcPr>
          <w:p w14:paraId="52C227A7" w14:textId="77777777" w:rsidR="008E5DE4" w:rsidRDefault="00780368">
            <w:pPr>
              <w:widowControl w:val="0"/>
            </w:pPr>
            <w:r>
              <w:t> </w:t>
            </w:r>
          </w:p>
        </w:tc>
        <w:tc>
          <w:tcPr>
            <w:tcW w:w="1531" w:type="dxa"/>
            <w:vAlign w:val="bottom"/>
          </w:tcPr>
          <w:p w14:paraId="7D7812F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27DBEF8" w14:textId="77777777" w:rsidR="008E5DE4" w:rsidRDefault="008E5DE4">
            <w:pPr>
              <w:widowControl w:val="0"/>
              <w:pBdr>
                <w:top w:val="nil"/>
                <w:left w:val="nil"/>
                <w:bottom w:val="nil"/>
                <w:right w:val="nil"/>
                <w:between w:val="nil"/>
              </w:pBdr>
              <w:jc w:val="right"/>
              <w:rPr>
                <w:color w:val="000000"/>
              </w:rPr>
            </w:pPr>
          </w:p>
        </w:tc>
      </w:tr>
      <w:tr w:rsidR="008E5DE4" w14:paraId="683D828E" w14:textId="77777777">
        <w:trPr>
          <w:cantSplit/>
        </w:trPr>
        <w:tc>
          <w:tcPr>
            <w:tcW w:w="6293" w:type="dxa"/>
            <w:vAlign w:val="bottom"/>
          </w:tcPr>
          <w:p w14:paraId="707E1928" w14:textId="77777777" w:rsidR="008E5DE4" w:rsidRDefault="00780368">
            <w:pPr>
              <w:widowControl w:val="0"/>
              <w:pBdr>
                <w:top w:val="nil"/>
                <w:left w:val="nil"/>
                <w:bottom w:val="nil"/>
                <w:right w:val="nil"/>
                <w:between w:val="nil"/>
              </w:pBdr>
              <w:rPr>
                <w:color w:val="000000"/>
              </w:rPr>
            </w:pPr>
            <w:r>
              <w:rPr>
                <w:color w:val="000000"/>
              </w:rPr>
              <w:t xml:space="preserve">Investment in </w:t>
            </w:r>
            <w:r>
              <w:rPr>
                <w:color w:val="0000FF"/>
              </w:rPr>
              <w:t>[Name]</w:t>
            </w:r>
            <w:r>
              <w:rPr>
                <w:color w:val="000000"/>
              </w:rPr>
              <w:t xml:space="preserve"> Company ordinary shares</w:t>
            </w:r>
          </w:p>
        </w:tc>
        <w:tc>
          <w:tcPr>
            <w:tcW w:w="1531" w:type="dxa"/>
            <w:vAlign w:val="bottom"/>
          </w:tcPr>
          <w:p w14:paraId="30980D8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44B4FB4" w14:textId="77777777" w:rsidR="008E5DE4" w:rsidRDefault="008E5DE4">
            <w:pPr>
              <w:widowControl w:val="0"/>
              <w:pBdr>
                <w:top w:val="nil"/>
                <w:left w:val="nil"/>
                <w:bottom w:val="nil"/>
                <w:right w:val="nil"/>
                <w:between w:val="nil"/>
              </w:pBdr>
              <w:jc w:val="right"/>
              <w:rPr>
                <w:color w:val="000000"/>
              </w:rPr>
            </w:pPr>
          </w:p>
        </w:tc>
      </w:tr>
      <w:tr w:rsidR="008E5DE4" w14:paraId="23A768C9" w14:textId="77777777">
        <w:trPr>
          <w:cantSplit/>
        </w:trPr>
        <w:tc>
          <w:tcPr>
            <w:tcW w:w="6293" w:type="dxa"/>
            <w:vAlign w:val="bottom"/>
          </w:tcPr>
          <w:p w14:paraId="1AC67D72" w14:textId="77777777" w:rsidR="008E5DE4" w:rsidRDefault="00780368">
            <w:pPr>
              <w:widowControl w:val="0"/>
              <w:pBdr>
                <w:top w:val="nil"/>
                <w:left w:val="nil"/>
                <w:bottom w:val="nil"/>
                <w:right w:val="nil"/>
                <w:between w:val="nil"/>
              </w:pBdr>
              <w:rPr>
                <w:color w:val="000000"/>
              </w:rPr>
            </w:pPr>
            <w:r>
              <w:rPr>
                <w:color w:val="000000"/>
              </w:rPr>
              <w:t xml:space="preserve">Investment in </w:t>
            </w:r>
            <w:r>
              <w:rPr>
                <w:color w:val="0000FF"/>
              </w:rPr>
              <w:t xml:space="preserve">[Name] </w:t>
            </w:r>
            <w:r>
              <w:rPr>
                <w:color w:val="000000"/>
              </w:rPr>
              <w:t>Company ordinary shares</w:t>
            </w:r>
          </w:p>
        </w:tc>
        <w:tc>
          <w:tcPr>
            <w:tcW w:w="1531" w:type="dxa"/>
            <w:vAlign w:val="bottom"/>
          </w:tcPr>
          <w:p w14:paraId="4BC73B8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54498D1" w14:textId="77777777" w:rsidR="008E5DE4" w:rsidRDefault="008E5DE4">
            <w:pPr>
              <w:widowControl w:val="0"/>
              <w:pBdr>
                <w:top w:val="nil"/>
                <w:left w:val="nil"/>
                <w:bottom w:val="nil"/>
                <w:right w:val="nil"/>
                <w:between w:val="nil"/>
              </w:pBdr>
              <w:jc w:val="right"/>
              <w:rPr>
                <w:color w:val="000000"/>
              </w:rPr>
            </w:pPr>
          </w:p>
        </w:tc>
      </w:tr>
      <w:tr w:rsidR="008E5DE4" w14:paraId="0BB8FB71" w14:textId="77777777">
        <w:trPr>
          <w:cantSplit/>
        </w:trPr>
        <w:tc>
          <w:tcPr>
            <w:tcW w:w="6293" w:type="dxa"/>
            <w:tcBorders>
              <w:bottom w:val="single" w:sz="4" w:space="0" w:color="000000"/>
            </w:tcBorders>
            <w:vAlign w:val="bottom"/>
          </w:tcPr>
          <w:p w14:paraId="686BBF35"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bottom w:val="single" w:sz="4" w:space="0" w:color="000000"/>
            </w:tcBorders>
            <w:vAlign w:val="bottom"/>
          </w:tcPr>
          <w:p w14:paraId="08934C71"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15E84C04" w14:textId="77777777" w:rsidR="008E5DE4" w:rsidRDefault="008E5DE4">
            <w:pPr>
              <w:widowControl w:val="0"/>
              <w:pBdr>
                <w:top w:val="nil"/>
                <w:left w:val="nil"/>
                <w:bottom w:val="nil"/>
                <w:right w:val="nil"/>
                <w:between w:val="nil"/>
              </w:pBdr>
              <w:jc w:val="right"/>
              <w:rPr>
                <w:color w:val="000000"/>
              </w:rPr>
            </w:pPr>
          </w:p>
        </w:tc>
      </w:tr>
      <w:tr w:rsidR="008E5DE4" w14:paraId="61F20725" w14:textId="77777777">
        <w:trPr>
          <w:cantSplit/>
        </w:trPr>
        <w:tc>
          <w:tcPr>
            <w:tcW w:w="6293" w:type="dxa"/>
            <w:tcBorders>
              <w:top w:val="single" w:sz="4" w:space="0" w:color="000000"/>
            </w:tcBorders>
            <w:vAlign w:val="bottom"/>
          </w:tcPr>
          <w:p w14:paraId="5292C430"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top w:val="single" w:sz="4" w:space="0" w:color="000000"/>
            </w:tcBorders>
            <w:vAlign w:val="bottom"/>
          </w:tcPr>
          <w:p w14:paraId="637D50BC"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98F1A55" w14:textId="77777777" w:rsidR="008E5DE4" w:rsidRDefault="008E5DE4">
            <w:pPr>
              <w:widowControl w:val="0"/>
              <w:pBdr>
                <w:top w:val="nil"/>
                <w:left w:val="nil"/>
                <w:bottom w:val="nil"/>
                <w:right w:val="nil"/>
                <w:between w:val="nil"/>
              </w:pBdr>
              <w:jc w:val="right"/>
              <w:rPr>
                <w:color w:val="000000"/>
              </w:rPr>
            </w:pPr>
          </w:p>
        </w:tc>
      </w:tr>
      <w:tr w:rsidR="008E5DE4" w14:paraId="203DCA3F" w14:textId="77777777">
        <w:trPr>
          <w:cantSplit/>
        </w:trPr>
        <w:tc>
          <w:tcPr>
            <w:tcW w:w="6293" w:type="dxa"/>
            <w:vAlign w:val="bottom"/>
          </w:tcPr>
          <w:p w14:paraId="1D08EF3C" w14:textId="77777777" w:rsidR="008E5DE4" w:rsidRDefault="00780368">
            <w:pPr>
              <w:widowControl w:val="0"/>
              <w:pBdr>
                <w:top w:val="nil"/>
                <w:left w:val="nil"/>
                <w:bottom w:val="nil"/>
                <w:right w:val="nil"/>
                <w:between w:val="nil"/>
              </w:pBdr>
              <w:rPr>
                <w:b/>
                <w:color w:val="000000"/>
              </w:rPr>
            </w:pPr>
            <w:r>
              <w:rPr>
                <w:b/>
                <w:color w:val="000000"/>
              </w:rPr>
              <w:t>Total investments in equity securities at FVOCI</w:t>
            </w:r>
          </w:p>
        </w:tc>
        <w:tc>
          <w:tcPr>
            <w:tcW w:w="1531" w:type="dxa"/>
            <w:vAlign w:val="bottom"/>
          </w:tcPr>
          <w:p w14:paraId="7ACE8DA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11C92EF" w14:textId="77777777" w:rsidR="008E5DE4" w:rsidRDefault="008E5DE4">
            <w:pPr>
              <w:widowControl w:val="0"/>
              <w:pBdr>
                <w:top w:val="nil"/>
                <w:left w:val="nil"/>
                <w:bottom w:val="nil"/>
                <w:right w:val="nil"/>
                <w:between w:val="nil"/>
              </w:pBdr>
              <w:jc w:val="right"/>
              <w:rPr>
                <w:color w:val="000000"/>
              </w:rPr>
            </w:pPr>
          </w:p>
        </w:tc>
      </w:tr>
      <w:tr w:rsidR="008E5DE4" w14:paraId="159A5DA2" w14:textId="77777777">
        <w:trPr>
          <w:cantSplit/>
        </w:trPr>
        <w:tc>
          <w:tcPr>
            <w:tcW w:w="6293" w:type="dxa"/>
            <w:tcBorders>
              <w:bottom w:val="single" w:sz="12" w:space="0" w:color="000000"/>
            </w:tcBorders>
            <w:vAlign w:val="bottom"/>
          </w:tcPr>
          <w:p w14:paraId="7D848A2E" w14:textId="77777777" w:rsidR="008E5DE4" w:rsidRDefault="00780368">
            <w:pPr>
              <w:widowControl w:val="0"/>
            </w:pPr>
            <w:r>
              <w:t> </w:t>
            </w:r>
          </w:p>
        </w:tc>
        <w:tc>
          <w:tcPr>
            <w:tcW w:w="1531" w:type="dxa"/>
            <w:tcBorders>
              <w:bottom w:val="single" w:sz="12" w:space="0" w:color="000000"/>
            </w:tcBorders>
            <w:vAlign w:val="bottom"/>
          </w:tcPr>
          <w:p w14:paraId="60B608D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427ECD64" w14:textId="77777777" w:rsidR="008E5DE4" w:rsidRDefault="008E5DE4">
            <w:pPr>
              <w:widowControl w:val="0"/>
              <w:pBdr>
                <w:top w:val="nil"/>
                <w:left w:val="nil"/>
                <w:bottom w:val="nil"/>
                <w:right w:val="nil"/>
                <w:between w:val="nil"/>
              </w:pBdr>
              <w:jc w:val="right"/>
              <w:rPr>
                <w:color w:val="000000"/>
              </w:rPr>
            </w:pPr>
          </w:p>
        </w:tc>
      </w:tr>
    </w:tbl>
    <w:p w14:paraId="5E06BD55" w14:textId="63ED8548"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the Group designated investments disclosed in the following table as equity securities at FVOCI. The FVOCI designation was made because the investments are expected to be held for strategic purposes rather than with a view to profit on a subsequent sale, and there are no plans to dispose of these investments in the short or medium term.</w:t>
      </w:r>
    </w:p>
    <w:tbl>
      <w:tblPr>
        <w:tblStyle w:val="affffffff8"/>
        <w:tblW w:w="9355" w:type="dxa"/>
        <w:tblLayout w:type="fixed"/>
        <w:tblLook w:val="0000" w:firstRow="0" w:lastRow="0" w:firstColumn="0" w:lastColumn="0" w:noHBand="0" w:noVBand="0"/>
      </w:tblPr>
      <w:tblGrid>
        <w:gridCol w:w="6293"/>
        <w:gridCol w:w="1531"/>
        <w:gridCol w:w="1531"/>
      </w:tblGrid>
      <w:tr w:rsidR="008E5DE4" w14:paraId="58339141" w14:textId="77777777">
        <w:trPr>
          <w:cantSplit/>
        </w:trPr>
        <w:tc>
          <w:tcPr>
            <w:tcW w:w="6293" w:type="dxa"/>
            <w:tcBorders>
              <w:bottom w:val="single" w:sz="4" w:space="0" w:color="000000"/>
            </w:tcBorders>
            <w:vAlign w:val="bottom"/>
          </w:tcPr>
          <w:p w14:paraId="439A4989"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1531" w:type="dxa"/>
            <w:tcBorders>
              <w:bottom w:val="single" w:sz="4" w:space="0" w:color="000000"/>
            </w:tcBorders>
          </w:tcPr>
          <w:p w14:paraId="1103D69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Fair value at </w:t>
            </w:r>
          </w:p>
          <w:p w14:paraId="5B4B9C05" w14:textId="045881E5" w:rsidR="008E5DE4" w:rsidRDefault="00780368">
            <w:pPr>
              <w:widowControl w:val="0"/>
              <w:pBdr>
                <w:top w:val="nil"/>
                <w:left w:val="nil"/>
                <w:bottom w:val="nil"/>
                <w:right w:val="nil"/>
                <w:between w:val="nil"/>
              </w:pBdr>
              <w:ind w:left="-113"/>
              <w:jc w:val="right"/>
              <w:rPr>
                <w:b/>
                <w:color w:val="000000"/>
              </w:rPr>
            </w:pPr>
            <w:r>
              <w:rPr>
                <w:b/>
                <w:color w:val="000000"/>
              </w:rPr>
              <w:t xml:space="preserve">31 December </w:t>
            </w:r>
            <w:r w:rsidR="00FF468A">
              <w:rPr>
                <w:b/>
                <w:color w:val="000000"/>
              </w:rPr>
              <w:t>2024</w:t>
            </w:r>
          </w:p>
        </w:tc>
        <w:tc>
          <w:tcPr>
            <w:tcW w:w="1531" w:type="dxa"/>
            <w:tcBorders>
              <w:bottom w:val="single" w:sz="4" w:space="0" w:color="000000"/>
            </w:tcBorders>
          </w:tcPr>
          <w:p w14:paraId="7EAD44C1" w14:textId="77777777" w:rsidR="008E5DE4" w:rsidRDefault="00780368">
            <w:pPr>
              <w:widowControl w:val="0"/>
              <w:pBdr>
                <w:top w:val="nil"/>
                <w:left w:val="nil"/>
                <w:bottom w:val="nil"/>
                <w:right w:val="nil"/>
                <w:between w:val="nil"/>
              </w:pBdr>
              <w:ind w:left="-113"/>
              <w:jc w:val="right"/>
              <w:rPr>
                <w:b/>
                <w:color w:val="000000"/>
              </w:rPr>
            </w:pPr>
            <w:r>
              <w:rPr>
                <w:b/>
                <w:color w:val="000000"/>
              </w:rPr>
              <w:t>Dividend income recognised for the year</w:t>
            </w:r>
          </w:p>
        </w:tc>
      </w:tr>
      <w:tr w:rsidR="008E5DE4" w14:paraId="04EA4F11" w14:textId="77777777">
        <w:trPr>
          <w:cantSplit/>
        </w:trPr>
        <w:tc>
          <w:tcPr>
            <w:tcW w:w="6293" w:type="dxa"/>
            <w:vAlign w:val="bottom"/>
          </w:tcPr>
          <w:p w14:paraId="4D584F3E" w14:textId="77777777" w:rsidR="008E5DE4" w:rsidRDefault="00780368">
            <w:pPr>
              <w:widowControl w:val="0"/>
            </w:pPr>
            <w:r>
              <w:t> </w:t>
            </w:r>
          </w:p>
        </w:tc>
        <w:tc>
          <w:tcPr>
            <w:tcW w:w="1531" w:type="dxa"/>
            <w:vAlign w:val="bottom"/>
          </w:tcPr>
          <w:p w14:paraId="4FE4D53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8D38036" w14:textId="77777777" w:rsidR="008E5DE4" w:rsidRDefault="008E5DE4">
            <w:pPr>
              <w:widowControl w:val="0"/>
              <w:pBdr>
                <w:top w:val="nil"/>
                <w:left w:val="nil"/>
                <w:bottom w:val="nil"/>
                <w:right w:val="nil"/>
                <w:between w:val="nil"/>
              </w:pBdr>
              <w:jc w:val="right"/>
              <w:rPr>
                <w:color w:val="000000"/>
              </w:rPr>
            </w:pPr>
          </w:p>
        </w:tc>
      </w:tr>
      <w:tr w:rsidR="008E5DE4" w14:paraId="761EDBEC" w14:textId="77777777">
        <w:trPr>
          <w:cantSplit/>
        </w:trPr>
        <w:tc>
          <w:tcPr>
            <w:tcW w:w="6293" w:type="dxa"/>
            <w:vAlign w:val="bottom"/>
          </w:tcPr>
          <w:p w14:paraId="2BE8028A" w14:textId="77777777" w:rsidR="008E5DE4" w:rsidRDefault="00780368">
            <w:pPr>
              <w:widowControl w:val="0"/>
              <w:pBdr>
                <w:top w:val="nil"/>
                <w:left w:val="nil"/>
                <w:bottom w:val="nil"/>
                <w:right w:val="nil"/>
                <w:between w:val="nil"/>
              </w:pBdr>
              <w:rPr>
                <w:color w:val="000000"/>
              </w:rPr>
            </w:pPr>
            <w:r>
              <w:rPr>
                <w:color w:val="000000"/>
              </w:rPr>
              <w:t xml:space="preserve">Investment in </w:t>
            </w:r>
            <w:r>
              <w:rPr>
                <w:color w:val="0000FF"/>
              </w:rPr>
              <w:t>[Name]</w:t>
            </w:r>
            <w:r>
              <w:rPr>
                <w:color w:val="000000"/>
              </w:rPr>
              <w:t xml:space="preserve"> Company ordinary shares</w:t>
            </w:r>
          </w:p>
        </w:tc>
        <w:tc>
          <w:tcPr>
            <w:tcW w:w="1531" w:type="dxa"/>
            <w:vAlign w:val="bottom"/>
          </w:tcPr>
          <w:p w14:paraId="7EB626E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D000DD1" w14:textId="77777777" w:rsidR="008E5DE4" w:rsidRDefault="008E5DE4">
            <w:pPr>
              <w:widowControl w:val="0"/>
              <w:pBdr>
                <w:top w:val="nil"/>
                <w:left w:val="nil"/>
                <w:bottom w:val="nil"/>
                <w:right w:val="nil"/>
                <w:between w:val="nil"/>
              </w:pBdr>
              <w:jc w:val="right"/>
              <w:rPr>
                <w:color w:val="000000"/>
              </w:rPr>
            </w:pPr>
          </w:p>
        </w:tc>
      </w:tr>
      <w:tr w:rsidR="008E5DE4" w14:paraId="49F4A92C" w14:textId="77777777">
        <w:trPr>
          <w:cantSplit/>
        </w:trPr>
        <w:tc>
          <w:tcPr>
            <w:tcW w:w="6293" w:type="dxa"/>
            <w:vAlign w:val="bottom"/>
          </w:tcPr>
          <w:p w14:paraId="18E7D423" w14:textId="77777777" w:rsidR="008E5DE4" w:rsidRDefault="00780368">
            <w:pPr>
              <w:widowControl w:val="0"/>
              <w:pBdr>
                <w:top w:val="nil"/>
                <w:left w:val="nil"/>
                <w:bottom w:val="nil"/>
                <w:right w:val="nil"/>
                <w:between w:val="nil"/>
              </w:pBdr>
              <w:rPr>
                <w:color w:val="000000"/>
              </w:rPr>
            </w:pPr>
            <w:r>
              <w:rPr>
                <w:color w:val="000000"/>
              </w:rPr>
              <w:t xml:space="preserve">Investment in </w:t>
            </w:r>
            <w:r>
              <w:rPr>
                <w:color w:val="0000FF"/>
              </w:rPr>
              <w:t xml:space="preserve">[Name] </w:t>
            </w:r>
            <w:r>
              <w:rPr>
                <w:color w:val="000000"/>
              </w:rPr>
              <w:t>Company ordinary shares</w:t>
            </w:r>
          </w:p>
        </w:tc>
        <w:tc>
          <w:tcPr>
            <w:tcW w:w="1531" w:type="dxa"/>
            <w:vAlign w:val="bottom"/>
          </w:tcPr>
          <w:p w14:paraId="10C20FA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FDFDB80" w14:textId="77777777" w:rsidR="008E5DE4" w:rsidRDefault="008E5DE4">
            <w:pPr>
              <w:widowControl w:val="0"/>
              <w:pBdr>
                <w:top w:val="nil"/>
                <w:left w:val="nil"/>
                <w:bottom w:val="nil"/>
                <w:right w:val="nil"/>
                <w:between w:val="nil"/>
              </w:pBdr>
              <w:jc w:val="right"/>
              <w:rPr>
                <w:color w:val="000000"/>
              </w:rPr>
            </w:pPr>
          </w:p>
        </w:tc>
      </w:tr>
      <w:tr w:rsidR="008E5DE4" w14:paraId="551C67BF" w14:textId="77777777">
        <w:trPr>
          <w:cantSplit/>
        </w:trPr>
        <w:tc>
          <w:tcPr>
            <w:tcW w:w="6293" w:type="dxa"/>
            <w:tcBorders>
              <w:bottom w:val="single" w:sz="4" w:space="0" w:color="000000"/>
            </w:tcBorders>
            <w:vAlign w:val="bottom"/>
          </w:tcPr>
          <w:p w14:paraId="4A0AD793"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bottom w:val="single" w:sz="4" w:space="0" w:color="000000"/>
            </w:tcBorders>
            <w:vAlign w:val="bottom"/>
          </w:tcPr>
          <w:p w14:paraId="1CFCED09"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2E1E2273" w14:textId="77777777" w:rsidR="008E5DE4" w:rsidRDefault="008E5DE4">
            <w:pPr>
              <w:widowControl w:val="0"/>
              <w:pBdr>
                <w:top w:val="nil"/>
                <w:left w:val="nil"/>
                <w:bottom w:val="nil"/>
                <w:right w:val="nil"/>
                <w:between w:val="nil"/>
              </w:pBdr>
              <w:jc w:val="right"/>
              <w:rPr>
                <w:color w:val="000000"/>
              </w:rPr>
            </w:pPr>
          </w:p>
        </w:tc>
      </w:tr>
      <w:tr w:rsidR="008E5DE4" w14:paraId="683BAAF1" w14:textId="77777777">
        <w:trPr>
          <w:cantSplit/>
        </w:trPr>
        <w:tc>
          <w:tcPr>
            <w:tcW w:w="6293" w:type="dxa"/>
            <w:tcBorders>
              <w:top w:val="single" w:sz="4" w:space="0" w:color="000000"/>
            </w:tcBorders>
            <w:vAlign w:val="bottom"/>
          </w:tcPr>
          <w:p w14:paraId="3DC4FFA6" w14:textId="77777777" w:rsidR="008E5DE4" w:rsidRDefault="00780368">
            <w:pPr>
              <w:widowControl w:val="0"/>
              <w:pBdr>
                <w:top w:val="nil"/>
                <w:left w:val="nil"/>
                <w:bottom w:val="nil"/>
                <w:right w:val="nil"/>
                <w:between w:val="nil"/>
              </w:pBdr>
              <w:rPr>
                <w:color w:val="000000"/>
              </w:rPr>
            </w:pPr>
            <w:r>
              <w:rPr>
                <w:color w:val="000000"/>
              </w:rPr>
              <w:t> </w:t>
            </w:r>
          </w:p>
        </w:tc>
        <w:tc>
          <w:tcPr>
            <w:tcW w:w="1531" w:type="dxa"/>
            <w:tcBorders>
              <w:top w:val="single" w:sz="4" w:space="0" w:color="000000"/>
            </w:tcBorders>
            <w:vAlign w:val="bottom"/>
          </w:tcPr>
          <w:p w14:paraId="49906769"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3DBF465" w14:textId="77777777" w:rsidR="008E5DE4" w:rsidRDefault="008E5DE4">
            <w:pPr>
              <w:widowControl w:val="0"/>
              <w:pBdr>
                <w:top w:val="nil"/>
                <w:left w:val="nil"/>
                <w:bottom w:val="nil"/>
                <w:right w:val="nil"/>
                <w:between w:val="nil"/>
              </w:pBdr>
              <w:jc w:val="right"/>
              <w:rPr>
                <w:color w:val="000000"/>
              </w:rPr>
            </w:pPr>
          </w:p>
        </w:tc>
      </w:tr>
      <w:tr w:rsidR="008E5DE4" w14:paraId="64EE0618" w14:textId="77777777">
        <w:trPr>
          <w:cantSplit/>
        </w:trPr>
        <w:tc>
          <w:tcPr>
            <w:tcW w:w="6293" w:type="dxa"/>
            <w:vAlign w:val="bottom"/>
          </w:tcPr>
          <w:p w14:paraId="5419E11A" w14:textId="77777777" w:rsidR="008E5DE4" w:rsidRDefault="00780368">
            <w:pPr>
              <w:widowControl w:val="0"/>
              <w:pBdr>
                <w:top w:val="nil"/>
                <w:left w:val="nil"/>
                <w:bottom w:val="nil"/>
                <w:right w:val="nil"/>
                <w:between w:val="nil"/>
              </w:pBdr>
              <w:rPr>
                <w:b/>
                <w:color w:val="000000"/>
              </w:rPr>
            </w:pPr>
            <w:r>
              <w:rPr>
                <w:b/>
                <w:color w:val="000000"/>
              </w:rPr>
              <w:t>Total investments in equity securities at FVOCI</w:t>
            </w:r>
          </w:p>
        </w:tc>
        <w:tc>
          <w:tcPr>
            <w:tcW w:w="1531" w:type="dxa"/>
            <w:vAlign w:val="bottom"/>
          </w:tcPr>
          <w:p w14:paraId="7FDD7E7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F492A70" w14:textId="77777777" w:rsidR="008E5DE4" w:rsidRDefault="008E5DE4">
            <w:pPr>
              <w:widowControl w:val="0"/>
              <w:pBdr>
                <w:top w:val="nil"/>
                <w:left w:val="nil"/>
                <w:bottom w:val="nil"/>
                <w:right w:val="nil"/>
                <w:between w:val="nil"/>
              </w:pBdr>
              <w:jc w:val="right"/>
              <w:rPr>
                <w:color w:val="000000"/>
              </w:rPr>
            </w:pPr>
          </w:p>
        </w:tc>
      </w:tr>
      <w:tr w:rsidR="008E5DE4" w14:paraId="56A3676D" w14:textId="77777777">
        <w:trPr>
          <w:cantSplit/>
        </w:trPr>
        <w:tc>
          <w:tcPr>
            <w:tcW w:w="6293" w:type="dxa"/>
            <w:tcBorders>
              <w:bottom w:val="single" w:sz="12" w:space="0" w:color="000000"/>
            </w:tcBorders>
            <w:vAlign w:val="bottom"/>
          </w:tcPr>
          <w:p w14:paraId="1A6CA6DB" w14:textId="77777777" w:rsidR="008E5DE4" w:rsidRDefault="00780368">
            <w:pPr>
              <w:widowControl w:val="0"/>
            </w:pPr>
            <w:r>
              <w:t> </w:t>
            </w:r>
          </w:p>
        </w:tc>
        <w:tc>
          <w:tcPr>
            <w:tcW w:w="1531" w:type="dxa"/>
            <w:tcBorders>
              <w:bottom w:val="single" w:sz="12" w:space="0" w:color="000000"/>
            </w:tcBorders>
            <w:vAlign w:val="bottom"/>
          </w:tcPr>
          <w:p w14:paraId="5549D4C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0C73EEF8" w14:textId="77777777" w:rsidR="008E5DE4" w:rsidRDefault="008E5DE4">
            <w:pPr>
              <w:widowControl w:val="0"/>
              <w:pBdr>
                <w:top w:val="nil"/>
                <w:left w:val="nil"/>
                <w:bottom w:val="nil"/>
                <w:right w:val="nil"/>
                <w:between w:val="nil"/>
              </w:pBdr>
              <w:jc w:val="right"/>
              <w:rPr>
                <w:color w:val="000000"/>
              </w:rPr>
            </w:pPr>
          </w:p>
        </w:tc>
      </w:tr>
    </w:tbl>
    <w:p w14:paraId="55C39770" w14:textId="1F47C278"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securities at FVOCI include equity securities with a carrying value of EUR ____ thousand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xml:space="preserve"> EUR ___ thousand) which are not publicly traded. Due to the nature of the local financial markets, it is not possible to obtain current market value for these investments. For these investments, fair value is estimated by reference to the discounted operating cash flows of the investee</w:t>
      </w:r>
      <w:r>
        <w:rPr>
          <w:color w:val="0000FF"/>
          <w:sz w:val="20"/>
          <w:szCs w:val="20"/>
        </w:rPr>
        <w:t xml:space="preserve"> [, the earnings of the investee, the investee’s net asset value]</w:t>
      </w:r>
      <w:r>
        <w:rPr>
          <w:color w:val="000000"/>
          <w:sz w:val="20"/>
          <w:szCs w:val="20"/>
        </w:rPr>
        <w:t xml:space="preserve">. Refer to Note 53. For other investments traded in active markets, fair value is determined by reference to the </w:t>
      </w:r>
      <w:r>
        <w:rPr>
          <w:color w:val="0000FF"/>
          <w:sz w:val="20"/>
          <w:szCs w:val="20"/>
        </w:rPr>
        <w:t>[quoted bid]</w:t>
      </w:r>
      <w:r>
        <w:rPr>
          <w:color w:val="000000"/>
          <w:sz w:val="20"/>
          <w:szCs w:val="20"/>
        </w:rPr>
        <w:t xml:space="preserve"> price at the end of the reporting period.</w:t>
      </w:r>
    </w:p>
    <w:p w14:paraId="4B959188" w14:textId="257E6C55"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FF"/>
          <w:sz w:val="20"/>
          <w:szCs w:val="20"/>
        </w:rPr>
        <w:t xml:space="preserve">[None of these strategic investments was disposed of during </w:t>
      </w:r>
      <w:r w:rsidR="008614F8">
        <w:rPr>
          <w:color w:val="0000FF"/>
          <w:sz w:val="20"/>
          <w:szCs w:val="20"/>
        </w:rPr>
        <w:t>2025</w:t>
      </w:r>
      <w:r>
        <w:rPr>
          <w:color w:val="0000FF"/>
          <w:sz w:val="20"/>
          <w:szCs w:val="20"/>
        </w:rPr>
        <w:t xml:space="preserve">, and there were no transfers of any cumulative gain or loss within equity relating to these investments.] [In </w:t>
      </w:r>
      <w:r w:rsidR="008614F8">
        <w:rPr>
          <w:color w:val="0000FF"/>
          <w:sz w:val="20"/>
          <w:szCs w:val="20"/>
        </w:rPr>
        <w:t>2025</w:t>
      </w:r>
      <w:r>
        <w:rPr>
          <w:color w:val="0000FF"/>
          <w:sz w:val="20"/>
          <w:szCs w:val="20"/>
        </w:rPr>
        <w:t xml:space="preserve">, the Group sold its investment in shares of _____ [name] with fair value of EUR ____ thousand due to change in Group’s strategy (EUR __ thousand in </w:t>
      </w:r>
      <w:r w:rsidR="00FF468A">
        <w:rPr>
          <w:color w:val="0000FF"/>
          <w:sz w:val="20"/>
          <w:szCs w:val="20"/>
        </w:rPr>
        <w:t>2024</w:t>
      </w:r>
      <w:r>
        <w:rPr>
          <w:color w:val="0000FF"/>
          <w:sz w:val="20"/>
          <w:szCs w:val="20"/>
        </w:rPr>
        <w:t>). The Group realised a gain of EUR _____ thousand on the sale which was transferred from FVOCI revaluation reserve to retained earnings directly in equity. Dividend income recognised during the year in relation to sold shares was EUR _____ thousand (EUR ___ thousand in 2022).]</w:t>
      </w:r>
    </w:p>
    <w:p w14:paraId="43FCF32F" w14:textId="7A986C3D" w:rsidR="008E5DE4" w:rsidRDefault="00C07603" w:rsidP="007F183E">
      <w:pPr>
        <w:pStyle w:val="Heading1"/>
        <w:numPr>
          <w:ilvl w:val="0"/>
          <w:numId w:val="0"/>
        </w:numPr>
        <w:spacing w:before="360" w:line="228" w:lineRule="auto"/>
        <w:ind w:left="567" w:hanging="567"/>
      </w:pPr>
      <w:bookmarkStart w:id="41" w:name="_Toc149923623"/>
      <w:r>
        <w:t xml:space="preserve">24 </w:t>
      </w:r>
      <w:r>
        <w:tab/>
      </w:r>
      <w:r w:rsidR="00780368">
        <w:t>Cash and Cash Equivalents</w:t>
      </w:r>
      <w:bookmarkEnd w:id="41"/>
    </w:p>
    <w:p w14:paraId="5506CD60" w14:textId="484F96F3" w:rsidR="008E5DE4" w:rsidRDefault="00090491">
      <w:pPr>
        <w:shd w:val="clear" w:color="auto" w:fill="C6D9F1"/>
        <w:rPr>
          <w:i/>
          <w:color w:val="FF0000"/>
          <w:sz w:val="20"/>
          <w:szCs w:val="20"/>
        </w:rPr>
      </w:pPr>
      <w:r>
        <w:rPr>
          <w:b/>
          <w:i/>
          <w:sz w:val="20"/>
          <w:szCs w:val="20"/>
        </w:rPr>
        <w:t>Material accounting policy information</w:t>
      </w:r>
      <w:r w:rsidR="00780368">
        <w:rPr>
          <w:b/>
          <w:i/>
          <w:sz w:val="20"/>
          <w:szCs w:val="20"/>
        </w:rPr>
        <w:t xml:space="preserve"> </w:t>
      </w:r>
    </w:p>
    <w:p w14:paraId="3A5A1701"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Cash and cash equivalents.</w:t>
      </w:r>
      <w:r>
        <w:rPr>
          <w:color w:val="000000"/>
          <w:sz w:val="20"/>
          <w:szCs w:val="20"/>
        </w:rPr>
        <w:t xml:space="preserve"> Cash and cash equivalents include cash in hand, deposits held at call with banks, and other short-term highly liquid investments with original maturities of three months or less. Cash and cash equivalents are carried at AC because: (</w:t>
      </w:r>
      <w:proofErr w:type="spellStart"/>
      <w:r>
        <w:rPr>
          <w:color w:val="000000"/>
          <w:sz w:val="20"/>
          <w:szCs w:val="20"/>
        </w:rPr>
        <w:t>i</w:t>
      </w:r>
      <w:proofErr w:type="spellEnd"/>
      <w:r>
        <w:rPr>
          <w:color w:val="000000"/>
          <w:sz w:val="20"/>
          <w:szCs w:val="20"/>
        </w:rPr>
        <w:t xml:space="preserve">) they are held for collection of contractual cash flows and those cash flows represent SPPI, and (ii) they are not designated at FVTPL. </w:t>
      </w:r>
    </w:p>
    <w:p w14:paraId="2D3163AC"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24</w:t>
      </w:r>
      <w:r>
        <w:rPr>
          <w:b/>
          <w:color w:val="000000"/>
          <w:sz w:val="20"/>
          <w:szCs w:val="20"/>
        </w:rPr>
        <w:tab/>
        <w:t>Cash and Cash Equivalents (Continued)</w:t>
      </w:r>
    </w:p>
    <w:p w14:paraId="5AC98869" w14:textId="513B2A5E"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Features mandated solely by legislation, such as the bail-in legislation in certain countries, do not have an impact on the SPPI test, unless they are included in contractual terms such that the feature would apply even if the legislation </w:t>
      </w:r>
      <w:proofErr w:type="gramStart"/>
      <w:r>
        <w:rPr>
          <w:color w:val="000000"/>
          <w:sz w:val="20"/>
          <w:szCs w:val="20"/>
        </w:rPr>
        <w:t>is</w:t>
      </w:r>
      <w:proofErr w:type="gramEnd"/>
      <w:r>
        <w:rPr>
          <w:color w:val="000000"/>
          <w:sz w:val="20"/>
          <w:szCs w:val="20"/>
        </w:rPr>
        <w:t xml:space="preserve"> subsequently changed. </w:t>
      </w:r>
      <w:r>
        <w:rPr>
          <w:color w:val="0000FF"/>
          <w:sz w:val="20"/>
          <w:szCs w:val="20"/>
        </w:rPr>
        <w:t>[Restricted balances are excluded from cash and cash equivalents for the purposes of the consolidated statement of cash flows. Balances restricted from being exchanged or used to settle a liability for at least twelve months after the reporting period are included in other non-current assets.]</w:t>
      </w:r>
      <w:r>
        <w:rPr>
          <w:color w:val="000000"/>
          <w:sz w:val="20"/>
          <w:szCs w:val="20"/>
        </w:rPr>
        <w:t xml:space="preserve"> </w:t>
      </w:r>
    </w:p>
    <w:p w14:paraId="00831690" w14:textId="77777777"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bookmarkStart w:id="42" w:name="_heading=h.1v1yuxt" w:colFirst="0" w:colLast="0"/>
      <w:bookmarkEnd w:id="42"/>
      <w:r>
        <w:rPr>
          <w:b/>
          <w:i/>
          <w:color w:val="000000"/>
          <w:sz w:val="20"/>
          <w:szCs w:val="20"/>
        </w:rPr>
        <w:t>Financial assets impairment – credit loss allowance for ECL.</w:t>
      </w:r>
      <w:r>
        <w:rPr>
          <w:b/>
          <w:color w:val="000000"/>
          <w:sz w:val="20"/>
          <w:szCs w:val="20"/>
        </w:rPr>
        <w:t xml:space="preserve"> </w:t>
      </w:r>
      <w:r>
        <w:rPr>
          <w:color w:val="000000"/>
          <w:sz w:val="20"/>
          <w:szCs w:val="20"/>
        </w:rPr>
        <w:t>The Group assesses, on a forward-looking basis, the ECL for cash and cash equivalents measured at AC. The Group measures ECL and recognises net impairment losses on cash and cash equivalents at each reporting date. The measurement of ECL reflects: (</w:t>
      </w:r>
      <w:proofErr w:type="spellStart"/>
      <w:r>
        <w:rPr>
          <w:color w:val="000000"/>
          <w:sz w:val="20"/>
          <w:szCs w:val="20"/>
        </w:rPr>
        <w:t>i</w:t>
      </w:r>
      <w:proofErr w:type="spellEnd"/>
      <w:r>
        <w:rPr>
          <w:color w:val="000000"/>
          <w:sz w:val="20"/>
          <w:szCs w:val="20"/>
        </w:rPr>
        <w:t>) an unbiased and probability weighted amount that is determined by evaluating a range of possible outcomes, (ii) time value of money and (iii) all reasonable and supportable information that is available without undue cost and effort at the end of each reporting period about past events, current conditions and forecasts of future conditions.</w:t>
      </w:r>
    </w:p>
    <w:p w14:paraId="400553CD" w14:textId="77777777"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r>
        <w:rPr>
          <w:color w:val="000000"/>
          <w:sz w:val="20"/>
          <w:szCs w:val="20"/>
        </w:rPr>
        <w:t>Cash and cash equivalents are presented in the consolidated statement of financial position net of the allowance for ECL.</w:t>
      </w:r>
    </w:p>
    <w:p w14:paraId="276CAFE0" w14:textId="526597A9" w:rsidR="008E5DE4" w:rsidRDefault="00780368">
      <w:pPr>
        <w:widowControl w:val="0"/>
        <w:pBdr>
          <w:top w:val="nil"/>
          <w:left w:val="nil"/>
          <w:bottom w:val="nil"/>
          <w:right w:val="nil"/>
          <w:between w:val="nil"/>
        </w:pBdr>
        <w:shd w:val="clear" w:color="auto" w:fill="C6D9F1"/>
        <w:spacing w:after="180" w:line="228" w:lineRule="auto"/>
        <w:jc w:val="both"/>
        <w:rPr>
          <w:color w:val="000000"/>
          <w:sz w:val="20"/>
          <w:szCs w:val="20"/>
        </w:rPr>
      </w:pPr>
      <w:r>
        <w:rPr>
          <w:color w:val="000000"/>
          <w:sz w:val="20"/>
          <w:szCs w:val="20"/>
        </w:rPr>
        <w:t>For cash and cash equivalents the Group applies a three</w:t>
      </w:r>
      <w:r w:rsidR="00176789">
        <w:rPr>
          <w:color w:val="000000"/>
          <w:sz w:val="20"/>
          <w:szCs w:val="20"/>
        </w:rPr>
        <w:t>-</w:t>
      </w:r>
      <w:r>
        <w:rPr>
          <w:color w:val="000000"/>
          <w:sz w:val="20"/>
          <w:szCs w:val="20"/>
        </w:rPr>
        <w:t xml:space="preserve">stage model for impairment, based on changes in credit quality since initial recognition. A financial instrument that is not credit-impaired on initial recognition is classified in Stage 1. Cash and cash equivalents in Stage 1 have their ECL measured at an amount equal to the portion of lifetime ECL that results from default events possible within the next 12 months or until contractual maturity, if shorter (“12 Months ECL”). If the Group identifies a significant increase in credit risk (“SICR”) since initial recognition, the asset is transferred to Stage 2 and its ECL is measured based on ECL on a lifetime basis, that is, up until contractual maturity but considering expected prepayments, if any (“Lifetime ECL”). Refer to Note 51 for a description of how the Group determines when a SICR has occurred. If the Group determines that a financial asset is credit-impaired, the asset is transferred to Stage 3 and its ECL is measured as a Lifetime ECL. The Group’s definition of credit impaired assets and definition of default is explained in Note 51. For cash and cash equivalents that are purchased or originated credit-impaired (“POCI Assets”), the ECL is always measured as a Lifetime ECL. Note 51 provides information about inputs, assumptions and estimation techniques used in measuring ECL, including an explanation of how the Group incorporates forward-looking information in the ECL models. </w:t>
      </w:r>
    </w:p>
    <w:p w14:paraId="0FA3DF7F" w14:textId="7E4832CF" w:rsidR="008E5DE4" w:rsidRDefault="00780368">
      <w:pPr>
        <w:widowControl w:val="0"/>
        <w:pBdr>
          <w:top w:val="nil"/>
          <w:left w:val="nil"/>
          <w:bottom w:val="nil"/>
          <w:right w:val="nil"/>
          <w:between w:val="nil"/>
        </w:pBdr>
        <w:shd w:val="clear" w:color="auto" w:fill="C6D9F1"/>
        <w:spacing w:before="200" w:after="200"/>
        <w:jc w:val="both"/>
        <w:rPr>
          <w:i/>
          <w:color w:val="FF0000"/>
          <w:sz w:val="20"/>
          <w:szCs w:val="20"/>
        </w:rPr>
      </w:pPr>
      <w:bookmarkStart w:id="43" w:name="_heading=h.4f1mdlm" w:colFirst="0" w:colLast="0"/>
      <w:bookmarkEnd w:id="43"/>
      <w:r>
        <w:rPr>
          <w:b/>
          <w:i/>
          <w:color w:val="000000"/>
          <w:sz w:val="20"/>
          <w:szCs w:val="20"/>
        </w:rPr>
        <w:t>Write-off.</w:t>
      </w:r>
      <w:r>
        <w:rPr>
          <w:b/>
          <w:color w:val="000000"/>
          <w:sz w:val="20"/>
          <w:szCs w:val="20"/>
        </w:rPr>
        <w:t xml:space="preserve"> </w:t>
      </w:r>
      <w:r>
        <w:rPr>
          <w:color w:val="000000"/>
          <w:sz w:val="20"/>
          <w:szCs w:val="20"/>
        </w:rPr>
        <w:t>Cash and cash equivalents are written</w:t>
      </w:r>
      <w:r w:rsidR="00176789">
        <w:rPr>
          <w:color w:val="000000"/>
          <w:sz w:val="20"/>
          <w:szCs w:val="20"/>
        </w:rPr>
        <w:t xml:space="preserve"> </w:t>
      </w:r>
      <w:r>
        <w:rPr>
          <w:color w:val="000000"/>
          <w:sz w:val="20"/>
          <w:szCs w:val="20"/>
        </w:rPr>
        <w:t xml:space="preserve">off, in whole or in part, when the Group exhausted all practical recovery efforts and has concluded that there is no reasonable expectation of recovery. The write-off represents a derecognition event. </w:t>
      </w:r>
      <w:r>
        <w:rPr>
          <w:color w:val="0000FF"/>
          <w:sz w:val="20"/>
          <w:szCs w:val="20"/>
        </w:rPr>
        <w:t>[Indicators that there is no reasonable expectation of recovery include… [</w:t>
      </w:r>
      <w:r>
        <w:rPr>
          <w:i/>
          <w:color w:val="0000FF"/>
          <w:sz w:val="20"/>
          <w:szCs w:val="20"/>
        </w:rPr>
        <w:t>specify]</w:t>
      </w:r>
      <w:r>
        <w:rPr>
          <w:color w:val="0000FF"/>
          <w:sz w:val="20"/>
          <w:szCs w:val="20"/>
        </w:rPr>
        <w:t>].</w:t>
      </w:r>
      <w:r>
        <w:rPr>
          <w:color w:val="000000"/>
          <w:sz w:val="20"/>
          <w:szCs w:val="20"/>
        </w:rPr>
        <w:t xml:space="preserve"> The Group may write-off cash and cash equivalents that are still subject to enforcement activity when the Group seeks to recover amounts that are contractually due, however, there is no reasonable expectation of recovery.</w:t>
      </w:r>
    </w:p>
    <w:p w14:paraId="1CC1CAAE" w14:textId="77777777" w:rsidR="008E5DE4" w:rsidRDefault="008E5DE4"/>
    <w:tbl>
      <w:tblPr>
        <w:tblStyle w:val="affffffff9"/>
        <w:tblW w:w="9355" w:type="dxa"/>
        <w:tblLayout w:type="fixed"/>
        <w:tblLook w:val="0000" w:firstRow="0" w:lastRow="0" w:firstColumn="0" w:lastColumn="0" w:noHBand="0" w:noVBand="0"/>
      </w:tblPr>
      <w:tblGrid>
        <w:gridCol w:w="6293"/>
        <w:gridCol w:w="1531"/>
        <w:gridCol w:w="1531"/>
      </w:tblGrid>
      <w:tr w:rsidR="008E5DE4" w14:paraId="13798A49" w14:textId="77777777">
        <w:trPr>
          <w:cantSplit/>
        </w:trPr>
        <w:tc>
          <w:tcPr>
            <w:tcW w:w="6293" w:type="dxa"/>
            <w:tcBorders>
              <w:bottom w:val="single" w:sz="4" w:space="0" w:color="000000"/>
            </w:tcBorders>
            <w:vAlign w:val="bottom"/>
          </w:tcPr>
          <w:p w14:paraId="518929E3"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531" w:type="dxa"/>
            <w:tcBorders>
              <w:bottom w:val="single" w:sz="4" w:space="0" w:color="000000"/>
            </w:tcBorders>
            <w:vAlign w:val="bottom"/>
          </w:tcPr>
          <w:p w14:paraId="1618B78B" w14:textId="184C7ED0" w:rsidR="008E5DE4" w:rsidRDefault="008614F8">
            <w:pPr>
              <w:widowControl w:val="0"/>
              <w:pBdr>
                <w:top w:val="nil"/>
                <w:left w:val="nil"/>
                <w:bottom w:val="nil"/>
                <w:right w:val="nil"/>
                <w:between w:val="nil"/>
              </w:pBdr>
              <w:spacing w:line="228" w:lineRule="auto"/>
              <w:jc w:val="right"/>
              <w:rPr>
                <w:b/>
                <w:color w:val="000000"/>
              </w:rPr>
            </w:pPr>
            <w:r>
              <w:rPr>
                <w:b/>
                <w:color w:val="000000"/>
              </w:rPr>
              <w:t>2025</w:t>
            </w:r>
          </w:p>
        </w:tc>
        <w:tc>
          <w:tcPr>
            <w:tcW w:w="1531" w:type="dxa"/>
            <w:tcBorders>
              <w:bottom w:val="single" w:sz="4" w:space="0" w:color="000000"/>
            </w:tcBorders>
            <w:vAlign w:val="bottom"/>
          </w:tcPr>
          <w:p w14:paraId="4D460D50" w14:textId="0F2F9FA6" w:rsidR="008E5DE4" w:rsidRDefault="00FF468A">
            <w:pPr>
              <w:widowControl w:val="0"/>
              <w:pBdr>
                <w:top w:val="nil"/>
                <w:left w:val="nil"/>
                <w:bottom w:val="nil"/>
                <w:right w:val="nil"/>
                <w:between w:val="nil"/>
              </w:pBdr>
              <w:spacing w:line="228" w:lineRule="auto"/>
              <w:jc w:val="right"/>
              <w:rPr>
                <w:b/>
                <w:color w:val="000000"/>
              </w:rPr>
            </w:pPr>
            <w:r>
              <w:rPr>
                <w:b/>
                <w:color w:val="000000"/>
              </w:rPr>
              <w:t>2024</w:t>
            </w:r>
          </w:p>
        </w:tc>
      </w:tr>
      <w:tr w:rsidR="008E5DE4" w14:paraId="16B9A2B1" w14:textId="77777777">
        <w:trPr>
          <w:cantSplit/>
        </w:trPr>
        <w:tc>
          <w:tcPr>
            <w:tcW w:w="6293" w:type="dxa"/>
            <w:vAlign w:val="bottom"/>
          </w:tcPr>
          <w:p w14:paraId="38BACC4A" w14:textId="77777777" w:rsidR="008E5DE4" w:rsidRDefault="00780368">
            <w:pPr>
              <w:widowControl w:val="0"/>
              <w:spacing w:line="228" w:lineRule="auto"/>
              <w:ind w:left="113" w:right="-57" w:hanging="113"/>
            </w:pPr>
            <w:r>
              <w:rPr>
                <w:color w:val="0000FF"/>
              </w:rPr>
              <w:t> </w:t>
            </w:r>
          </w:p>
        </w:tc>
        <w:tc>
          <w:tcPr>
            <w:tcW w:w="1531" w:type="dxa"/>
            <w:vAlign w:val="bottom"/>
          </w:tcPr>
          <w:p w14:paraId="713C0E71"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80303E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2A1B13C" w14:textId="77777777">
        <w:trPr>
          <w:cantSplit/>
        </w:trPr>
        <w:tc>
          <w:tcPr>
            <w:tcW w:w="6293" w:type="dxa"/>
            <w:vAlign w:val="bottom"/>
          </w:tcPr>
          <w:p w14:paraId="6AA317B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Cash on hand </w:t>
            </w:r>
          </w:p>
        </w:tc>
        <w:tc>
          <w:tcPr>
            <w:tcW w:w="1531" w:type="dxa"/>
            <w:vAlign w:val="bottom"/>
          </w:tcPr>
          <w:p w14:paraId="0DD2E41D"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E85EB5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C7652DC" w14:textId="77777777">
        <w:trPr>
          <w:cantSplit/>
        </w:trPr>
        <w:tc>
          <w:tcPr>
            <w:tcW w:w="6293" w:type="dxa"/>
            <w:vAlign w:val="bottom"/>
          </w:tcPr>
          <w:p w14:paraId="30191BC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Bank balances payable on demand </w:t>
            </w:r>
          </w:p>
        </w:tc>
        <w:tc>
          <w:tcPr>
            <w:tcW w:w="1531" w:type="dxa"/>
            <w:vAlign w:val="bottom"/>
          </w:tcPr>
          <w:p w14:paraId="4E4C2226"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9C6D8C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194C6D9" w14:textId="77777777">
        <w:trPr>
          <w:cantSplit/>
        </w:trPr>
        <w:tc>
          <w:tcPr>
            <w:tcW w:w="6293" w:type="dxa"/>
            <w:vAlign w:val="bottom"/>
          </w:tcPr>
          <w:p w14:paraId="2255873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Term deposits with original maturity of less than three months</w:t>
            </w:r>
          </w:p>
        </w:tc>
        <w:tc>
          <w:tcPr>
            <w:tcW w:w="1531" w:type="dxa"/>
            <w:vAlign w:val="bottom"/>
          </w:tcPr>
          <w:p w14:paraId="4631BCF2"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7D2A79E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258ACE0" w14:textId="77777777">
        <w:trPr>
          <w:cantSplit/>
        </w:trPr>
        <w:tc>
          <w:tcPr>
            <w:tcW w:w="6293" w:type="dxa"/>
            <w:tcBorders>
              <w:bottom w:val="single" w:sz="4" w:space="0" w:color="000000"/>
            </w:tcBorders>
            <w:vAlign w:val="bottom"/>
          </w:tcPr>
          <w:p w14:paraId="239D6AF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FF"/>
              </w:rPr>
              <w:t> </w:t>
            </w:r>
          </w:p>
        </w:tc>
        <w:tc>
          <w:tcPr>
            <w:tcW w:w="1531" w:type="dxa"/>
            <w:tcBorders>
              <w:bottom w:val="single" w:sz="4" w:space="0" w:color="000000"/>
            </w:tcBorders>
            <w:vAlign w:val="bottom"/>
          </w:tcPr>
          <w:p w14:paraId="691C7FE8"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0563D7C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7433031" w14:textId="77777777">
        <w:trPr>
          <w:cantSplit/>
        </w:trPr>
        <w:tc>
          <w:tcPr>
            <w:tcW w:w="6293" w:type="dxa"/>
            <w:vAlign w:val="bottom"/>
          </w:tcPr>
          <w:p w14:paraId="7EECFC3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FF"/>
              </w:rPr>
              <w:t> </w:t>
            </w:r>
          </w:p>
        </w:tc>
        <w:tc>
          <w:tcPr>
            <w:tcW w:w="1531" w:type="dxa"/>
            <w:vAlign w:val="bottom"/>
          </w:tcPr>
          <w:p w14:paraId="6493D670" w14:textId="77777777" w:rsidR="008E5DE4" w:rsidRDefault="008E5DE4">
            <w:pPr>
              <w:widowControl w:val="0"/>
              <w:spacing w:line="228" w:lineRule="auto"/>
              <w:jc w:val="right"/>
              <w:rPr>
                <w:b/>
              </w:rPr>
            </w:pPr>
          </w:p>
        </w:tc>
        <w:tc>
          <w:tcPr>
            <w:tcW w:w="1531" w:type="dxa"/>
            <w:vAlign w:val="bottom"/>
          </w:tcPr>
          <w:p w14:paraId="16968399" w14:textId="77777777" w:rsidR="008E5DE4" w:rsidRDefault="008E5DE4">
            <w:pPr>
              <w:widowControl w:val="0"/>
              <w:spacing w:line="228" w:lineRule="auto"/>
              <w:jc w:val="right"/>
              <w:rPr>
                <w:b/>
              </w:rPr>
            </w:pPr>
          </w:p>
        </w:tc>
      </w:tr>
      <w:tr w:rsidR="008E5DE4" w14:paraId="732AC632" w14:textId="77777777">
        <w:trPr>
          <w:cantSplit/>
        </w:trPr>
        <w:tc>
          <w:tcPr>
            <w:tcW w:w="6293" w:type="dxa"/>
            <w:vAlign w:val="bottom"/>
          </w:tcPr>
          <w:p w14:paraId="579C96B3"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xml:space="preserve">Total cash and cash equivalents </w:t>
            </w:r>
            <w:proofErr w:type="gramStart"/>
            <w:r>
              <w:rPr>
                <w:b/>
                <w:color w:val="000000"/>
              </w:rPr>
              <w:t>at</w:t>
            </w:r>
            <w:proofErr w:type="gramEnd"/>
            <w:r>
              <w:rPr>
                <w:b/>
                <w:color w:val="000000"/>
              </w:rPr>
              <w:t xml:space="preserve"> 31 December</w:t>
            </w:r>
          </w:p>
        </w:tc>
        <w:tc>
          <w:tcPr>
            <w:tcW w:w="1531" w:type="dxa"/>
            <w:vAlign w:val="bottom"/>
          </w:tcPr>
          <w:p w14:paraId="2D4E3522"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2C59269B"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1500D6FB" w14:textId="77777777">
        <w:trPr>
          <w:cantSplit/>
        </w:trPr>
        <w:tc>
          <w:tcPr>
            <w:tcW w:w="6293" w:type="dxa"/>
            <w:tcBorders>
              <w:bottom w:val="single" w:sz="12" w:space="0" w:color="000000"/>
            </w:tcBorders>
            <w:vAlign w:val="bottom"/>
          </w:tcPr>
          <w:p w14:paraId="4B026DB7"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FF"/>
              </w:rPr>
              <w:t> </w:t>
            </w:r>
          </w:p>
        </w:tc>
        <w:tc>
          <w:tcPr>
            <w:tcW w:w="1531" w:type="dxa"/>
            <w:tcBorders>
              <w:bottom w:val="single" w:sz="12" w:space="0" w:color="000000"/>
            </w:tcBorders>
            <w:vAlign w:val="bottom"/>
          </w:tcPr>
          <w:p w14:paraId="3737E191" w14:textId="77777777" w:rsidR="008E5DE4" w:rsidRDefault="008E5DE4">
            <w:pPr>
              <w:widowControl w:val="0"/>
              <w:spacing w:line="228" w:lineRule="auto"/>
              <w:jc w:val="right"/>
              <w:rPr>
                <w:b/>
              </w:rPr>
            </w:pPr>
          </w:p>
        </w:tc>
        <w:tc>
          <w:tcPr>
            <w:tcW w:w="1531" w:type="dxa"/>
            <w:tcBorders>
              <w:bottom w:val="single" w:sz="12" w:space="0" w:color="000000"/>
            </w:tcBorders>
            <w:vAlign w:val="bottom"/>
          </w:tcPr>
          <w:p w14:paraId="75D55A94" w14:textId="77777777" w:rsidR="008E5DE4" w:rsidRDefault="008E5DE4">
            <w:pPr>
              <w:widowControl w:val="0"/>
              <w:spacing w:line="228" w:lineRule="auto"/>
              <w:jc w:val="right"/>
              <w:rPr>
                <w:b/>
              </w:rPr>
            </w:pPr>
          </w:p>
        </w:tc>
      </w:tr>
    </w:tbl>
    <w:p w14:paraId="5C440E5C" w14:textId="42584123" w:rsidR="008E5DE4" w:rsidRDefault="00780368">
      <w:pPr>
        <w:widowControl w:val="0"/>
        <w:pBdr>
          <w:top w:val="nil"/>
          <w:left w:val="nil"/>
          <w:bottom w:val="nil"/>
          <w:right w:val="nil"/>
          <w:between w:val="nil"/>
        </w:pBdr>
        <w:spacing w:before="200" w:after="200" w:line="228" w:lineRule="auto"/>
        <w:jc w:val="both"/>
        <w:rPr>
          <w:i/>
          <w:color w:val="FF0000"/>
          <w:sz w:val="20"/>
          <w:szCs w:val="20"/>
        </w:rPr>
      </w:pPr>
      <w:r>
        <w:rPr>
          <w:color w:val="0000FF"/>
          <w:sz w:val="20"/>
          <w:szCs w:val="20"/>
        </w:rPr>
        <w:t>[Term deposits have original maturities of less than three months.]</w:t>
      </w:r>
    </w:p>
    <w:p w14:paraId="39E7BB96" w14:textId="4EC7BE2C" w:rsidR="008E5DE4" w:rsidRDefault="00780368">
      <w:pPr>
        <w:widowControl w:val="0"/>
        <w:pBdr>
          <w:top w:val="nil"/>
          <w:left w:val="nil"/>
          <w:bottom w:val="nil"/>
          <w:right w:val="nil"/>
          <w:between w:val="nil"/>
        </w:pBdr>
        <w:spacing w:before="200" w:after="200" w:line="228" w:lineRule="auto"/>
        <w:jc w:val="both"/>
        <w:rPr>
          <w:i/>
          <w:color w:val="FF0000"/>
          <w:sz w:val="20"/>
          <w:szCs w:val="20"/>
        </w:rPr>
      </w:pPr>
      <w:r>
        <w:rPr>
          <w:color w:val="0000FF"/>
          <w:sz w:val="20"/>
          <w:szCs w:val="20"/>
        </w:rPr>
        <w:t>[The cash and cash equivalents disclosed above and in the consolidated statement of cash flows include EUR _____ thousand which are held by [company] of the Group. These deposits are subject to regulatory restrictions and are therefore not available for general use by the other entities within the Group.]</w:t>
      </w:r>
      <w:r>
        <w:rPr>
          <w:i/>
          <w:color w:val="FF0000"/>
          <w:sz w:val="20"/>
          <w:szCs w:val="20"/>
        </w:rPr>
        <w:t xml:space="preserve"> </w:t>
      </w:r>
    </w:p>
    <w:p w14:paraId="0A142D02"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24</w:t>
      </w:r>
      <w:r>
        <w:rPr>
          <w:b/>
          <w:color w:val="000000"/>
          <w:sz w:val="20"/>
          <w:szCs w:val="20"/>
        </w:rPr>
        <w:tab/>
        <w:t>Cash and Cash Equivalents (Continued)</w:t>
      </w:r>
    </w:p>
    <w:p w14:paraId="3CE6E832" w14:textId="428F3B23" w:rsidR="008E5DE4" w:rsidRDefault="00780368">
      <w:pPr>
        <w:widowControl w:val="0"/>
        <w:pBdr>
          <w:top w:val="nil"/>
          <w:left w:val="nil"/>
          <w:bottom w:val="nil"/>
          <w:right w:val="nil"/>
          <w:between w:val="nil"/>
        </w:pBdr>
        <w:spacing w:before="200" w:line="228" w:lineRule="auto"/>
        <w:jc w:val="both"/>
        <w:rPr>
          <w:color w:val="000000"/>
          <w:sz w:val="20"/>
          <w:szCs w:val="20"/>
        </w:rPr>
      </w:pPr>
      <w:r>
        <w:rPr>
          <w:color w:val="000000"/>
          <w:sz w:val="20"/>
          <w:szCs w:val="20"/>
        </w:rPr>
        <w:t xml:space="preserve">The table below discloses the credit quality of cash and cash equivalents balances based on credit risk grades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Refer to Note 51 for the description of the Group’s credit risk grading system.</w:t>
      </w:r>
    </w:p>
    <w:tbl>
      <w:tblPr>
        <w:tblStyle w:val="affffffffa"/>
        <w:tblW w:w="9364" w:type="dxa"/>
        <w:tblLayout w:type="fixed"/>
        <w:tblLook w:val="0000" w:firstRow="0" w:lastRow="0" w:firstColumn="0" w:lastColumn="0" w:noHBand="0" w:noVBand="0"/>
      </w:tblPr>
      <w:tblGrid>
        <w:gridCol w:w="5962"/>
        <w:gridCol w:w="1134"/>
        <w:gridCol w:w="1134"/>
        <w:gridCol w:w="1134"/>
      </w:tblGrid>
      <w:tr w:rsidR="008E5DE4" w14:paraId="57596F81" w14:textId="77777777">
        <w:trPr>
          <w:cantSplit/>
          <w:tblHeader/>
        </w:trPr>
        <w:tc>
          <w:tcPr>
            <w:tcW w:w="5963" w:type="dxa"/>
            <w:tcBorders>
              <w:bottom w:val="single" w:sz="4" w:space="0" w:color="000000"/>
            </w:tcBorders>
            <w:vAlign w:val="bottom"/>
          </w:tcPr>
          <w:p w14:paraId="016697D7"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134" w:type="dxa"/>
            <w:tcBorders>
              <w:bottom w:val="single" w:sz="4" w:space="0" w:color="000000"/>
            </w:tcBorders>
          </w:tcPr>
          <w:p w14:paraId="57DBC621"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Bank balances payable on demand</w:t>
            </w:r>
          </w:p>
        </w:tc>
        <w:tc>
          <w:tcPr>
            <w:tcW w:w="1134" w:type="dxa"/>
            <w:tcBorders>
              <w:bottom w:val="single" w:sz="4" w:space="0" w:color="000000"/>
            </w:tcBorders>
          </w:tcPr>
          <w:p w14:paraId="254CD494"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Term deposits </w:t>
            </w:r>
          </w:p>
        </w:tc>
        <w:tc>
          <w:tcPr>
            <w:tcW w:w="1134" w:type="dxa"/>
            <w:tcBorders>
              <w:bottom w:val="single" w:sz="4" w:space="0" w:color="000000"/>
            </w:tcBorders>
          </w:tcPr>
          <w:p w14:paraId="0F8408FC"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Total </w:t>
            </w:r>
          </w:p>
        </w:tc>
      </w:tr>
      <w:tr w:rsidR="008E5DE4" w14:paraId="30D6D4FA" w14:textId="77777777">
        <w:trPr>
          <w:cantSplit/>
          <w:tblHeader/>
        </w:trPr>
        <w:tc>
          <w:tcPr>
            <w:tcW w:w="5963" w:type="dxa"/>
            <w:vAlign w:val="bottom"/>
          </w:tcPr>
          <w:p w14:paraId="1D179E67" w14:textId="77777777" w:rsidR="008E5DE4" w:rsidRDefault="00780368">
            <w:pPr>
              <w:widowControl w:val="0"/>
              <w:spacing w:line="228" w:lineRule="auto"/>
              <w:ind w:left="113" w:right="-57" w:hanging="113"/>
              <w:rPr>
                <w:sz w:val="14"/>
                <w:szCs w:val="14"/>
              </w:rPr>
            </w:pPr>
            <w:r>
              <w:rPr>
                <w:sz w:val="14"/>
                <w:szCs w:val="14"/>
              </w:rPr>
              <w:t> </w:t>
            </w:r>
          </w:p>
        </w:tc>
        <w:tc>
          <w:tcPr>
            <w:tcW w:w="1134" w:type="dxa"/>
            <w:vAlign w:val="bottom"/>
          </w:tcPr>
          <w:p w14:paraId="2E24968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vAlign w:val="bottom"/>
          </w:tcPr>
          <w:p w14:paraId="4CAFB353"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vAlign w:val="bottom"/>
          </w:tcPr>
          <w:p w14:paraId="0B7F61C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6B2E73CC" w14:textId="77777777">
        <w:trPr>
          <w:cantSplit/>
        </w:trPr>
        <w:tc>
          <w:tcPr>
            <w:tcW w:w="5963" w:type="dxa"/>
            <w:vAlign w:val="bottom"/>
          </w:tcPr>
          <w:p w14:paraId="3CB551D0"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 Excellent </w:t>
            </w:r>
          </w:p>
        </w:tc>
        <w:tc>
          <w:tcPr>
            <w:tcW w:w="1134" w:type="dxa"/>
            <w:vAlign w:val="bottom"/>
          </w:tcPr>
          <w:p w14:paraId="13106DF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85812B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5D3033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2FB393C" w14:textId="77777777">
        <w:trPr>
          <w:cantSplit/>
        </w:trPr>
        <w:tc>
          <w:tcPr>
            <w:tcW w:w="5963" w:type="dxa"/>
            <w:vAlign w:val="bottom"/>
          </w:tcPr>
          <w:p w14:paraId="701D42C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Good</w:t>
            </w:r>
          </w:p>
        </w:tc>
        <w:tc>
          <w:tcPr>
            <w:tcW w:w="1134" w:type="dxa"/>
            <w:vAlign w:val="bottom"/>
          </w:tcPr>
          <w:p w14:paraId="2D96EAD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1BAFB6B"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4D4BE0C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E4A3DE6" w14:textId="77777777">
        <w:trPr>
          <w:cantSplit/>
        </w:trPr>
        <w:tc>
          <w:tcPr>
            <w:tcW w:w="5963" w:type="dxa"/>
            <w:vAlign w:val="bottom"/>
          </w:tcPr>
          <w:p w14:paraId="2ACFB82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Satisfactory</w:t>
            </w:r>
          </w:p>
        </w:tc>
        <w:tc>
          <w:tcPr>
            <w:tcW w:w="1134" w:type="dxa"/>
            <w:vAlign w:val="bottom"/>
          </w:tcPr>
          <w:p w14:paraId="7DD92FB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009A25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CA558B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93858C9" w14:textId="77777777">
        <w:trPr>
          <w:cantSplit/>
        </w:trPr>
        <w:tc>
          <w:tcPr>
            <w:tcW w:w="5963" w:type="dxa"/>
            <w:vAlign w:val="bottom"/>
          </w:tcPr>
          <w:p w14:paraId="1135885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Special monitoring</w:t>
            </w:r>
          </w:p>
        </w:tc>
        <w:tc>
          <w:tcPr>
            <w:tcW w:w="1134" w:type="dxa"/>
            <w:vAlign w:val="bottom"/>
          </w:tcPr>
          <w:p w14:paraId="4DBBEE4F"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3DB226D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688CD4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C104049" w14:textId="77777777">
        <w:trPr>
          <w:cantSplit/>
        </w:trPr>
        <w:tc>
          <w:tcPr>
            <w:tcW w:w="5963" w:type="dxa"/>
            <w:tcBorders>
              <w:bottom w:val="single" w:sz="4" w:space="0" w:color="000000"/>
            </w:tcBorders>
            <w:vAlign w:val="bottom"/>
          </w:tcPr>
          <w:p w14:paraId="01B30D30"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color w:val="000000"/>
                <w:sz w:val="14"/>
                <w:szCs w:val="14"/>
              </w:rPr>
              <w:t> </w:t>
            </w:r>
          </w:p>
        </w:tc>
        <w:tc>
          <w:tcPr>
            <w:tcW w:w="1134" w:type="dxa"/>
            <w:tcBorders>
              <w:bottom w:val="single" w:sz="4" w:space="0" w:color="000000"/>
            </w:tcBorders>
            <w:vAlign w:val="bottom"/>
          </w:tcPr>
          <w:p w14:paraId="4D0D88C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bottom w:val="single" w:sz="4" w:space="0" w:color="000000"/>
            </w:tcBorders>
            <w:vAlign w:val="bottom"/>
          </w:tcPr>
          <w:p w14:paraId="1B45502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bottom w:val="single" w:sz="4" w:space="0" w:color="000000"/>
            </w:tcBorders>
            <w:vAlign w:val="bottom"/>
          </w:tcPr>
          <w:p w14:paraId="4D20BD70"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60BFD104" w14:textId="77777777">
        <w:trPr>
          <w:cantSplit/>
        </w:trPr>
        <w:tc>
          <w:tcPr>
            <w:tcW w:w="5963" w:type="dxa"/>
            <w:tcBorders>
              <w:top w:val="single" w:sz="4" w:space="0" w:color="000000"/>
            </w:tcBorders>
            <w:vAlign w:val="bottom"/>
          </w:tcPr>
          <w:p w14:paraId="167F1F1E"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color w:val="000000"/>
                <w:sz w:val="14"/>
                <w:szCs w:val="14"/>
              </w:rPr>
              <w:t> </w:t>
            </w:r>
          </w:p>
        </w:tc>
        <w:tc>
          <w:tcPr>
            <w:tcW w:w="1134" w:type="dxa"/>
            <w:tcBorders>
              <w:top w:val="single" w:sz="4" w:space="0" w:color="000000"/>
            </w:tcBorders>
            <w:vAlign w:val="bottom"/>
          </w:tcPr>
          <w:p w14:paraId="25D97946"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top w:val="single" w:sz="4" w:space="0" w:color="000000"/>
            </w:tcBorders>
            <w:vAlign w:val="bottom"/>
          </w:tcPr>
          <w:p w14:paraId="230E2ED3"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top w:val="single" w:sz="4" w:space="0" w:color="000000"/>
            </w:tcBorders>
            <w:vAlign w:val="bottom"/>
          </w:tcPr>
          <w:p w14:paraId="72271790"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18182329" w14:textId="77777777">
        <w:trPr>
          <w:cantSplit/>
        </w:trPr>
        <w:tc>
          <w:tcPr>
            <w:tcW w:w="5963" w:type="dxa"/>
            <w:vAlign w:val="bottom"/>
          </w:tcPr>
          <w:p w14:paraId="39C28143"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Total cash and cash equivalents, excluding cash on hand</w:t>
            </w:r>
          </w:p>
        </w:tc>
        <w:tc>
          <w:tcPr>
            <w:tcW w:w="1134" w:type="dxa"/>
            <w:vAlign w:val="bottom"/>
          </w:tcPr>
          <w:p w14:paraId="75E5B603"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88486A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5F2E8E5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315E66A" w14:textId="77777777">
        <w:trPr>
          <w:cantSplit/>
        </w:trPr>
        <w:tc>
          <w:tcPr>
            <w:tcW w:w="5963" w:type="dxa"/>
            <w:tcBorders>
              <w:bottom w:val="single" w:sz="12" w:space="0" w:color="000000"/>
            </w:tcBorders>
            <w:vAlign w:val="bottom"/>
          </w:tcPr>
          <w:p w14:paraId="71099729"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1134" w:type="dxa"/>
            <w:tcBorders>
              <w:bottom w:val="single" w:sz="12" w:space="0" w:color="000000"/>
            </w:tcBorders>
            <w:vAlign w:val="bottom"/>
          </w:tcPr>
          <w:p w14:paraId="17F8F3BD"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44AB463E"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tcBorders>
              <w:bottom w:val="single" w:sz="12" w:space="0" w:color="000000"/>
            </w:tcBorders>
            <w:vAlign w:val="bottom"/>
          </w:tcPr>
          <w:p w14:paraId="79B29548" w14:textId="77777777" w:rsidR="008E5DE4" w:rsidRDefault="008E5DE4">
            <w:pPr>
              <w:widowControl w:val="0"/>
              <w:pBdr>
                <w:top w:val="nil"/>
                <w:left w:val="nil"/>
                <w:bottom w:val="nil"/>
                <w:right w:val="nil"/>
                <w:between w:val="nil"/>
              </w:pBdr>
              <w:spacing w:line="228" w:lineRule="auto"/>
              <w:jc w:val="right"/>
              <w:rPr>
                <w:color w:val="000000"/>
              </w:rPr>
            </w:pPr>
          </w:p>
        </w:tc>
      </w:tr>
    </w:tbl>
    <w:p w14:paraId="0A3542B5" w14:textId="26772231" w:rsidR="008E5DE4" w:rsidRDefault="00780368">
      <w:pPr>
        <w:widowControl w:val="0"/>
        <w:pBdr>
          <w:top w:val="nil"/>
          <w:left w:val="nil"/>
          <w:bottom w:val="nil"/>
          <w:right w:val="nil"/>
          <w:between w:val="nil"/>
        </w:pBdr>
        <w:spacing w:before="200" w:line="228" w:lineRule="auto"/>
        <w:jc w:val="both"/>
        <w:rPr>
          <w:color w:val="000000"/>
          <w:sz w:val="20"/>
          <w:szCs w:val="20"/>
        </w:rPr>
      </w:pPr>
      <w:r>
        <w:rPr>
          <w:color w:val="000000"/>
          <w:sz w:val="20"/>
          <w:szCs w:val="20"/>
        </w:rPr>
        <w:t xml:space="preserve">The table below discloses the credit quality of cash and cash equivalents balances based on credit risk grades </w:t>
      </w:r>
      <w:proofErr w:type="gramStart"/>
      <w:r>
        <w:rPr>
          <w:color w:val="000000"/>
          <w:sz w:val="20"/>
          <w:szCs w:val="20"/>
        </w:rPr>
        <w:t>at</w:t>
      </w:r>
      <w:proofErr w:type="gramEnd"/>
      <w:r>
        <w:rPr>
          <w:color w:val="000000"/>
          <w:sz w:val="20"/>
          <w:szCs w:val="20"/>
        </w:rPr>
        <w:t xml:space="preserve"> 31 December </w:t>
      </w:r>
      <w:r w:rsidR="00FF468A">
        <w:rPr>
          <w:color w:val="000000"/>
          <w:sz w:val="20"/>
          <w:szCs w:val="20"/>
        </w:rPr>
        <w:t>2024</w:t>
      </w:r>
      <w:r>
        <w:rPr>
          <w:color w:val="000000"/>
          <w:sz w:val="20"/>
          <w:szCs w:val="20"/>
        </w:rPr>
        <w:t>. Refer to Note 51 for the description of the Group’s credit risk grading system.</w:t>
      </w:r>
    </w:p>
    <w:tbl>
      <w:tblPr>
        <w:tblStyle w:val="affffffffb"/>
        <w:tblW w:w="9364" w:type="dxa"/>
        <w:tblLayout w:type="fixed"/>
        <w:tblLook w:val="0000" w:firstRow="0" w:lastRow="0" w:firstColumn="0" w:lastColumn="0" w:noHBand="0" w:noVBand="0"/>
      </w:tblPr>
      <w:tblGrid>
        <w:gridCol w:w="5962"/>
        <w:gridCol w:w="1134"/>
        <w:gridCol w:w="1134"/>
        <w:gridCol w:w="1134"/>
      </w:tblGrid>
      <w:tr w:rsidR="008E5DE4" w14:paraId="3C103CAF" w14:textId="77777777">
        <w:trPr>
          <w:cantSplit/>
          <w:tblHeader/>
        </w:trPr>
        <w:tc>
          <w:tcPr>
            <w:tcW w:w="5963" w:type="dxa"/>
            <w:tcBorders>
              <w:bottom w:val="single" w:sz="4" w:space="0" w:color="000000"/>
            </w:tcBorders>
            <w:vAlign w:val="bottom"/>
          </w:tcPr>
          <w:p w14:paraId="384CD732"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134" w:type="dxa"/>
            <w:tcBorders>
              <w:bottom w:val="single" w:sz="4" w:space="0" w:color="000000"/>
            </w:tcBorders>
          </w:tcPr>
          <w:p w14:paraId="76E870E7"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Bank balances payable on demand</w:t>
            </w:r>
          </w:p>
        </w:tc>
        <w:tc>
          <w:tcPr>
            <w:tcW w:w="1134" w:type="dxa"/>
            <w:tcBorders>
              <w:bottom w:val="single" w:sz="4" w:space="0" w:color="000000"/>
            </w:tcBorders>
          </w:tcPr>
          <w:p w14:paraId="4E4042A8"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Term deposits </w:t>
            </w:r>
          </w:p>
        </w:tc>
        <w:tc>
          <w:tcPr>
            <w:tcW w:w="1134" w:type="dxa"/>
            <w:tcBorders>
              <w:bottom w:val="single" w:sz="4" w:space="0" w:color="000000"/>
            </w:tcBorders>
          </w:tcPr>
          <w:p w14:paraId="124A00E0"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Total </w:t>
            </w:r>
          </w:p>
        </w:tc>
      </w:tr>
      <w:tr w:rsidR="008E5DE4" w14:paraId="3D9D4E06" w14:textId="77777777">
        <w:trPr>
          <w:cantSplit/>
          <w:tblHeader/>
        </w:trPr>
        <w:tc>
          <w:tcPr>
            <w:tcW w:w="5963" w:type="dxa"/>
            <w:vAlign w:val="bottom"/>
          </w:tcPr>
          <w:p w14:paraId="55F4DEF6" w14:textId="77777777" w:rsidR="008E5DE4" w:rsidRDefault="00780368">
            <w:pPr>
              <w:widowControl w:val="0"/>
              <w:spacing w:line="228" w:lineRule="auto"/>
              <w:ind w:left="113" w:right="-57" w:hanging="113"/>
              <w:rPr>
                <w:sz w:val="14"/>
                <w:szCs w:val="14"/>
              </w:rPr>
            </w:pPr>
            <w:r>
              <w:rPr>
                <w:sz w:val="14"/>
                <w:szCs w:val="14"/>
              </w:rPr>
              <w:t> </w:t>
            </w:r>
          </w:p>
        </w:tc>
        <w:tc>
          <w:tcPr>
            <w:tcW w:w="1134" w:type="dxa"/>
            <w:vAlign w:val="bottom"/>
          </w:tcPr>
          <w:p w14:paraId="2E1A77F5"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vAlign w:val="bottom"/>
          </w:tcPr>
          <w:p w14:paraId="4878BDC2"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vAlign w:val="bottom"/>
          </w:tcPr>
          <w:p w14:paraId="5B148774"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773D9094" w14:textId="77777777">
        <w:trPr>
          <w:cantSplit/>
        </w:trPr>
        <w:tc>
          <w:tcPr>
            <w:tcW w:w="5963" w:type="dxa"/>
            <w:vAlign w:val="bottom"/>
          </w:tcPr>
          <w:p w14:paraId="56C710B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 Excellent </w:t>
            </w:r>
          </w:p>
        </w:tc>
        <w:tc>
          <w:tcPr>
            <w:tcW w:w="1134" w:type="dxa"/>
            <w:vAlign w:val="bottom"/>
          </w:tcPr>
          <w:p w14:paraId="2DD878AC"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49A2990"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0939534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6B4A790" w14:textId="77777777">
        <w:trPr>
          <w:cantSplit/>
        </w:trPr>
        <w:tc>
          <w:tcPr>
            <w:tcW w:w="5963" w:type="dxa"/>
            <w:vAlign w:val="bottom"/>
          </w:tcPr>
          <w:p w14:paraId="0FE07548"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Good</w:t>
            </w:r>
          </w:p>
        </w:tc>
        <w:tc>
          <w:tcPr>
            <w:tcW w:w="1134" w:type="dxa"/>
            <w:vAlign w:val="bottom"/>
          </w:tcPr>
          <w:p w14:paraId="30FFF3D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63A712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B1383D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DF3556C" w14:textId="77777777">
        <w:trPr>
          <w:cantSplit/>
        </w:trPr>
        <w:tc>
          <w:tcPr>
            <w:tcW w:w="5963" w:type="dxa"/>
            <w:vAlign w:val="bottom"/>
          </w:tcPr>
          <w:p w14:paraId="3B8D39D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Satisfactory</w:t>
            </w:r>
          </w:p>
        </w:tc>
        <w:tc>
          <w:tcPr>
            <w:tcW w:w="1134" w:type="dxa"/>
            <w:vAlign w:val="bottom"/>
          </w:tcPr>
          <w:p w14:paraId="33F0067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A346FD4"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8B2C9C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A7E6DE4" w14:textId="77777777">
        <w:trPr>
          <w:cantSplit/>
        </w:trPr>
        <w:tc>
          <w:tcPr>
            <w:tcW w:w="5963" w:type="dxa"/>
            <w:vAlign w:val="bottom"/>
          </w:tcPr>
          <w:p w14:paraId="6B20D55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Special monitoring</w:t>
            </w:r>
          </w:p>
        </w:tc>
        <w:tc>
          <w:tcPr>
            <w:tcW w:w="1134" w:type="dxa"/>
            <w:vAlign w:val="bottom"/>
          </w:tcPr>
          <w:p w14:paraId="65A47065"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7078C927"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64C9BDA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E785543" w14:textId="77777777">
        <w:trPr>
          <w:cantSplit/>
        </w:trPr>
        <w:tc>
          <w:tcPr>
            <w:tcW w:w="5963" w:type="dxa"/>
            <w:tcBorders>
              <w:bottom w:val="single" w:sz="4" w:space="0" w:color="000000"/>
            </w:tcBorders>
            <w:vAlign w:val="bottom"/>
          </w:tcPr>
          <w:p w14:paraId="4F4A87B6"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color w:val="000000"/>
                <w:sz w:val="14"/>
                <w:szCs w:val="14"/>
              </w:rPr>
              <w:t> </w:t>
            </w:r>
          </w:p>
        </w:tc>
        <w:tc>
          <w:tcPr>
            <w:tcW w:w="1134" w:type="dxa"/>
            <w:tcBorders>
              <w:bottom w:val="single" w:sz="4" w:space="0" w:color="000000"/>
            </w:tcBorders>
            <w:vAlign w:val="bottom"/>
          </w:tcPr>
          <w:p w14:paraId="794540AF"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bottom w:val="single" w:sz="4" w:space="0" w:color="000000"/>
            </w:tcBorders>
            <w:vAlign w:val="bottom"/>
          </w:tcPr>
          <w:p w14:paraId="70CF652B"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bottom w:val="single" w:sz="4" w:space="0" w:color="000000"/>
            </w:tcBorders>
            <w:vAlign w:val="bottom"/>
          </w:tcPr>
          <w:p w14:paraId="5F691C8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0A9914C9" w14:textId="77777777">
        <w:trPr>
          <w:cantSplit/>
        </w:trPr>
        <w:tc>
          <w:tcPr>
            <w:tcW w:w="5963" w:type="dxa"/>
            <w:tcBorders>
              <w:top w:val="single" w:sz="4" w:space="0" w:color="000000"/>
            </w:tcBorders>
            <w:vAlign w:val="bottom"/>
          </w:tcPr>
          <w:p w14:paraId="496BCC99"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color w:val="000000"/>
                <w:sz w:val="14"/>
                <w:szCs w:val="14"/>
              </w:rPr>
              <w:t> </w:t>
            </w:r>
          </w:p>
        </w:tc>
        <w:tc>
          <w:tcPr>
            <w:tcW w:w="1134" w:type="dxa"/>
            <w:tcBorders>
              <w:top w:val="single" w:sz="4" w:space="0" w:color="000000"/>
            </w:tcBorders>
            <w:vAlign w:val="bottom"/>
          </w:tcPr>
          <w:p w14:paraId="4794DA94"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top w:val="single" w:sz="4" w:space="0" w:color="000000"/>
            </w:tcBorders>
            <w:vAlign w:val="bottom"/>
          </w:tcPr>
          <w:p w14:paraId="3492472B"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top w:val="single" w:sz="4" w:space="0" w:color="000000"/>
            </w:tcBorders>
            <w:vAlign w:val="bottom"/>
          </w:tcPr>
          <w:p w14:paraId="6AC10992"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7C4AFF33" w14:textId="77777777">
        <w:trPr>
          <w:cantSplit/>
        </w:trPr>
        <w:tc>
          <w:tcPr>
            <w:tcW w:w="5963" w:type="dxa"/>
            <w:vAlign w:val="bottom"/>
          </w:tcPr>
          <w:p w14:paraId="2DBF2854"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Total cash and cash equivalents, excluding cash on hand</w:t>
            </w:r>
          </w:p>
        </w:tc>
        <w:tc>
          <w:tcPr>
            <w:tcW w:w="1134" w:type="dxa"/>
            <w:vAlign w:val="bottom"/>
          </w:tcPr>
          <w:p w14:paraId="197AF908"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DB06B92" w14:textId="77777777" w:rsidR="008E5DE4" w:rsidRDefault="008E5DE4">
            <w:pPr>
              <w:widowControl w:val="0"/>
              <w:pBdr>
                <w:top w:val="nil"/>
                <w:left w:val="nil"/>
                <w:bottom w:val="nil"/>
                <w:right w:val="nil"/>
                <w:between w:val="nil"/>
              </w:pBdr>
              <w:spacing w:line="228" w:lineRule="auto"/>
              <w:jc w:val="right"/>
              <w:rPr>
                <w:color w:val="000000"/>
              </w:rPr>
            </w:pPr>
          </w:p>
        </w:tc>
        <w:tc>
          <w:tcPr>
            <w:tcW w:w="1134" w:type="dxa"/>
            <w:vAlign w:val="bottom"/>
          </w:tcPr>
          <w:p w14:paraId="141B745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DD4D1E8" w14:textId="77777777">
        <w:trPr>
          <w:cantSplit/>
        </w:trPr>
        <w:tc>
          <w:tcPr>
            <w:tcW w:w="5963" w:type="dxa"/>
            <w:tcBorders>
              <w:bottom w:val="single" w:sz="12" w:space="0" w:color="000000"/>
            </w:tcBorders>
            <w:vAlign w:val="bottom"/>
          </w:tcPr>
          <w:p w14:paraId="642D404F"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color w:val="000000"/>
                <w:sz w:val="14"/>
                <w:szCs w:val="14"/>
              </w:rPr>
              <w:t> </w:t>
            </w:r>
          </w:p>
        </w:tc>
        <w:tc>
          <w:tcPr>
            <w:tcW w:w="1134" w:type="dxa"/>
            <w:tcBorders>
              <w:bottom w:val="single" w:sz="12" w:space="0" w:color="000000"/>
            </w:tcBorders>
            <w:vAlign w:val="bottom"/>
          </w:tcPr>
          <w:p w14:paraId="37090F6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bottom w:val="single" w:sz="12" w:space="0" w:color="000000"/>
            </w:tcBorders>
            <w:vAlign w:val="bottom"/>
          </w:tcPr>
          <w:p w14:paraId="71A0FA85"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134" w:type="dxa"/>
            <w:tcBorders>
              <w:bottom w:val="single" w:sz="12" w:space="0" w:color="000000"/>
            </w:tcBorders>
            <w:vAlign w:val="bottom"/>
          </w:tcPr>
          <w:p w14:paraId="47B7B62E"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bl>
    <w:p w14:paraId="1885B143" w14:textId="77777777"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Investing and financing transactions that did not require the use of cash and cash equivalents and were excluded from the consolidated statement of cash flows are presented in Note 42. </w:t>
      </w:r>
    </w:p>
    <w:p w14:paraId="5BEE141B" w14:textId="1BDA2558" w:rsidR="008E5DE4" w:rsidRDefault="00C07603" w:rsidP="007F183E">
      <w:pPr>
        <w:pStyle w:val="Heading1"/>
        <w:numPr>
          <w:ilvl w:val="0"/>
          <w:numId w:val="0"/>
        </w:numPr>
        <w:spacing w:line="228" w:lineRule="auto"/>
        <w:ind w:left="567" w:hanging="567"/>
      </w:pPr>
      <w:bookmarkStart w:id="44" w:name="_Toc149923624"/>
      <w:r>
        <w:t xml:space="preserve">25 </w:t>
      </w:r>
      <w:r>
        <w:tab/>
      </w:r>
      <w:r w:rsidR="00780368">
        <w:t>Non-current Assets Classified as Held for Sale (or Disposal Groups)</w:t>
      </w:r>
      <w:bookmarkEnd w:id="44"/>
    </w:p>
    <w:p w14:paraId="5786358F" w14:textId="42245416"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048D8C16"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Non-current assets and disposal groups (which may include both non-current and current assets) are classified in the consolidated statement of financial position as ‘non-current assets held for sale’ if their carrying amount will be recovered principally through a sale transaction (including loss of control of a subsidiary holding the assets) within twelve months after the reporting period. Assets are reclassified when all of the following conditions are met: (a) the assets are available for immediate sale in their present condition; (b) the Group’s management approved and initiated an active programme to locate a buyer; (c) the assets are actively marketed for sale at a reasonable price; (d) the sale is expected within one year; and (e) it is unlikely that significant changes to the plan to sell will be made or that the plan will be withdrawn. </w:t>
      </w:r>
    </w:p>
    <w:p w14:paraId="4543DCE4"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Non-current assets or disposal groups classified as held for sale in the current period’s consolidated statement of financial position are not reclassified or re-presented in the comparative consolidated statement of financial position to reflect the classification at the end of the current period.</w:t>
      </w:r>
    </w:p>
    <w:p w14:paraId="577DF9C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25</w:t>
      </w:r>
      <w:r>
        <w:rPr>
          <w:b/>
          <w:color w:val="000000"/>
          <w:sz w:val="20"/>
          <w:szCs w:val="20"/>
        </w:rPr>
        <w:tab/>
        <w:t>Non-current Assets Classified as Held for Sale (or Disposal Groups) (Continued)</w:t>
      </w:r>
    </w:p>
    <w:p w14:paraId="16E55205"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A disposal group is a group of assets (current or non-current) to be disposed of, by sale or otherwise, together as a group in a single transaction, and liabilities directly associated with those assets that will be transferred in the transaction. Goodwill is included if the disposal group includes an operation within a cash-generating unit to which goodwill has been allocated on acquisition. Non-current assets are assets that include amounts expected to be recovered or collected more than twelve months after the reporting period. If reclassification is required, both the current and non-current portions of an asset are reclassified.</w:t>
      </w:r>
    </w:p>
    <w:p w14:paraId="768838CB"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Held for sale disposal groups </w:t>
      </w:r>
      <w:proofErr w:type="gramStart"/>
      <w:r>
        <w:rPr>
          <w:color w:val="000000"/>
          <w:sz w:val="20"/>
          <w:szCs w:val="20"/>
        </w:rPr>
        <w:t>as a whole are</w:t>
      </w:r>
      <w:proofErr w:type="gramEnd"/>
      <w:r>
        <w:rPr>
          <w:color w:val="000000"/>
          <w:sz w:val="20"/>
          <w:szCs w:val="20"/>
        </w:rPr>
        <w:t xml:space="preserve"> measured at the lower of their carrying amount and fair value less costs of disposal. Held for sale property, plant and equipment, </w:t>
      </w:r>
      <w:r>
        <w:rPr>
          <w:color w:val="0000FF"/>
          <w:sz w:val="20"/>
          <w:szCs w:val="20"/>
        </w:rPr>
        <w:t>[investment properties and intangible assets]</w:t>
      </w:r>
      <w:r>
        <w:rPr>
          <w:color w:val="000000"/>
          <w:sz w:val="20"/>
          <w:szCs w:val="20"/>
        </w:rPr>
        <w:t xml:space="preserve"> are not depreciated or amortised. Reclassified non-current financial </w:t>
      </w:r>
      <w:proofErr w:type="gramStart"/>
      <w:r>
        <w:rPr>
          <w:color w:val="000000"/>
          <w:sz w:val="20"/>
          <w:szCs w:val="20"/>
        </w:rPr>
        <w:t>instruments</w:t>
      </w:r>
      <w:r>
        <w:rPr>
          <w:color w:val="0000FF"/>
          <w:sz w:val="20"/>
          <w:szCs w:val="20"/>
        </w:rPr>
        <w:t>[</w:t>
      </w:r>
      <w:proofErr w:type="gramEnd"/>
      <w:r>
        <w:rPr>
          <w:color w:val="0000FF"/>
          <w:sz w:val="20"/>
          <w:szCs w:val="20"/>
        </w:rPr>
        <w:t>,]</w:t>
      </w:r>
      <w:r>
        <w:rPr>
          <w:color w:val="000000"/>
          <w:sz w:val="20"/>
          <w:szCs w:val="20"/>
        </w:rPr>
        <w:t xml:space="preserve"> </w:t>
      </w:r>
      <w:r>
        <w:rPr>
          <w:color w:val="0000FF"/>
          <w:sz w:val="20"/>
          <w:szCs w:val="20"/>
        </w:rPr>
        <w:t>[and]</w:t>
      </w:r>
      <w:r>
        <w:rPr>
          <w:color w:val="000000"/>
          <w:sz w:val="20"/>
          <w:szCs w:val="20"/>
        </w:rPr>
        <w:t xml:space="preserve"> deferred </w:t>
      </w:r>
      <w:proofErr w:type="gramStart"/>
      <w:r>
        <w:rPr>
          <w:color w:val="000000"/>
          <w:sz w:val="20"/>
          <w:szCs w:val="20"/>
        </w:rPr>
        <w:t>taxes</w:t>
      </w:r>
      <w:r>
        <w:rPr>
          <w:color w:val="0000FF"/>
          <w:sz w:val="20"/>
          <w:szCs w:val="20"/>
        </w:rPr>
        <w:t>[</w:t>
      </w:r>
      <w:proofErr w:type="gramEnd"/>
      <w:r>
        <w:rPr>
          <w:color w:val="0000FF"/>
          <w:sz w:val="20"/>
          <w:szCs w:val="20"/>
        </w:rPr>
        <w:t>,]</w:t>
      </w:r>
      <w:r>
        <w:rPr>
          <w:color w:val="000000"/>
          <w:sz w:val="20"/>
          <w:szCs w:val="20"/>
        </w:rPr>
        <w:t xml:space="preserve"> </w:t>
      </w:r>
      <w:r>
        <w:rPr>
          <w:color w:val="0000FF"/>
          <w:sz w:val="20"/>
          <w:szCs w:val="20"/>
        </w:rPr>
        <w:t>[and investment properties held at fair value]</w:t>
      </w:r>
      <w:r>
        <w:rPr>
          <w:color w:val="000000"/>
          <w:sz w:val="20"/>
          <w:szCs w:val="20"/>
        </w:rPr>
        <w:t xml:space="preserve"> are not subject to write down to the lower of their carrying amount and fair value less costs of disposal. </w:t>
      </w:r>
    </w:p>
    <w:p w14:paraId="55813A78"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Liabilities directly associated with the disposal group that will be transferred in the disposal transaction are reclassified and presented separately in the consolidated statement of financial position.</w:t>
      </w:r>
    </w:p>
    <w:p w14:paraId="59ACF9A4" w14:textId="77777777" w:rsidR="008E5DE4" w:rsidRDefault="008E5DE4"/>
    <w:p w14:paraId="5BF1DF92" w14:textId="77777777" w:rsidR="008E5DE4" w:rsidRDefault="00780368">
      <w:pPr>
        <w:widowControl w:val="0"/>
        <w:spacing w:before="200" w:after="200" w:line="228" w:lineRule="auto"/>
        <w:rPr>
          <w:sz w:val="20"/>
          <w:szCs w:val="20"/>
        </w:rPr>
      </w:pPr>
      <w:r>
        <w:rPr>
          <w:sz w:val="20"/>
          <w:szCs w:val="20"/>
        </w:rPr>
        <w:t>Major classes of non-current assets classified as held for sale (or disposal groups) are as follows:</w:t>
      </w:r>
    </w:p>
    <w:tbl>
      <w:tblPr>
        <w:tblStyle w:val="affffffffc"/>
        <w:tblW w:w="9355" w:type="dxa"/>
        <w:tblLayout w:type="fixed"/>
        <w:tblLook w:val="0000" w:firstRow="0" w:lastRow="0" w:firstColumn="0" w:lastColumn="0" w:noHBand="0" w:noVBand="0"/>
      </w:tblPr>
      <w:tblGrid>
        <w:gridCol w:w="5726"/>
        <w:gridCol w:w="567"/>
        <w:gridCol w:w="1531"/>
        <w:gridCol w:w="1531"/>
      </w:tblGrid>
      <w:tr w:rsidR="008E5DE4" w14:paraId="6F1D379E" w14:textId="77777777">
        <w:trPr>
          <w:cantSplit/>
        </w:trPr>
        <w:tc>
          <w:tcPr>
            <w:tcW w:w="5726" w:type="dxa"/>
            <w:tcBorders>
              <w:bottom w:val="single" w:sz="4" w:space="0" w:color="000000"/>
            </w:tcBorders>
            <w:vAlign w:val="bottom"/>
          </w:tcPr>
          <w:p w14:paraId="691AB975"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In thousands of EUR</w:t>
            </w:r>
          </w:p>
        </w:tc>
        <w:tc>
          <w:tcPr>
            <w:tcW w:w="567" w:type="dxa"/>
            <w:tcBorders>
              <w:bottom w:val="single" w:sz="4" w:space="0" w:color="000000"/>
            </w:tcBorders>
            <w:vAlign w:val="bottom"/>
          </w:tcPr>
          <w:p w14:paraId="41499A0A" w14:textId="77777777" w:rsidR="008E5DE4" w:rsidRDefault="008E5DE4">
            <w:pPr>
              <w:widowControl w:val="0"/>
              <w:pBdr>
                <w:top w:val="nil"/>
                <w:left w:val="nil"/>
                <w:bottom w:val="nil"/>
                <w:right w:val="nil"/>
                <w:between w:val="nil"/>
              </w:pBdr>
              <w:spacing w:line="228" w:lineRule="auto"/>
              <w:ind w:left="-57" w:right="-57"/>
              <w:jc w:val="center"/>
              <w:rPr>
                <w:b/>
                <w:color w:val="000000"/>
              </w:rPr>
            </w:pPr>
          </w:p>
        </w:tc>
        <w:tc>
          <w:tcPr>
            <w:tcW w:w="1531" w:type="dxa"/>
            <w:tcBorders>
              <w:bottom w:val="single" w:sz="4" w:space="0" w:color="000000"/>
            </w:tcBorders>
            <w:vAlign w:val="bottom"/>
          </w:tcPr>
          <w:p w14:paraId="3FA757FC" w14:textId="7231D49D" w:rsidR="008E5DE4" w:rsidRDefault="008614F8">
            <w:pPr>
              <w:widowControl w:val="0"/>
              <w:pBdr>
                <w:top w:val="nil"/>
                <w:left w:val="nil"/>
                <w:bottom w:val="nil"/>
                <w:right w:val="nil"/>
                <w:between w:val="nil"/>
              </w:pBdr>
              <w:spacing w:line="228" w:lineRule="auto"/>
              <w:jc w:val="right"/>
              <w:rPr>
                <w:b/>
                <w:color w:val="000000"/>
              </w:rPr>
            </w:pPr>
            <w:r>
              <w:rPr>
                <w:b/>
                <w:color w:val="000000"/>
              </w:rPr>
              <w:t>2025</w:t>
            </w:r>
          </w:p>
        </w:tc>
        <w:tc>
          <w:tcPr>
            <w:tcW w:w="1531" w:type="dxa"/>
            <w:tcBorders>
              <w:bottom w:val="single" w:sz="4" w:space="0" w:color="000000"/>
            </w:tcBorders>
            <w:vAlign w:val="bottom"/>
          </w:tcPr>
          <w:p w14:paraId="11E73D09" w14:textId="02F9EA0C" w:rsidR="008E5DE4" w:rsidRDefault="00FF468A">
            <w:pPr>
              <w:widowControl w:val="0"/>
              <w:pBdr>
                <w:top w:val="nil"/>
                <w:left w:val="nil"/>
                <w:bottom w:val="nil"/>
                <w:right w:val="nil"/>
                <w:between w:val="nil"/>
              </w:pBdr>
              <w:spacing w:line="228" w:lineRule="auto"/>
              <w:jc w:val="right"/>
              <w:rPr>
                <w:b/>
                <w:color w:val="000000"/>
              </w:rPr>
            </w:pPr>
            <w:r>
              <w:rPr>
                <w:b/>
                <w:color w:val="000000"/>
              </w:rPr>
              <w:t>2024</w:t>
            </w:r>
          </w:p>
        </w:tc>
      </w:tr>
      <w:tr w:rsidR="008E5DE4" w14:paraId="4AF9D3B1" w14:textId="77777777">
        <w:trPr>
          <w:cantSplit/>
        </w:trPr>
        <w:tc>
          <w:tcPr>
            <w:tcW w:w="5726" w:type="dxa"/>
            <w:vAlign w:val="bottom"/>
          </w:tcPr>
          <w:p w14:paraId="4EEB8ED3" w14:textId="77777777" w:rsidR="008E5DE4" w:rsidRDefault="00780368">
            <w:pPr>
              <w:widowControl w:val="0"/>
              <w:pBdr>
                <w:top w:val="nil"/>
                <w:left w:val="nil"/>
                <w:bottom w:val="nil"/>
                <w:right w:val="nil"/>
                <w:between w:val="nil"/>
              </w:pBdr>
              <w:spacing w:line="228" w:lineRule="auto"/>
              <w:ind w:left="113" w:right="-57" w:hanging="113"/>
              <w:rPr>
                <w:i/>
                <w:color w:val="000000"/>
                <w:sz w:val="14"/>
                <w:szCs w:val="14"/>
              </w:rPr>
            </w:pPr>
            <w:r>
              <w:rPr>
                <w:i/>
                <w:color w:val="000000"/>
                <w:sz w:val="14"/>
                <w:szCs w:val="14"/>
              </w:rPr>
              <w:t> </w:t>
            </w:r>
          </w:p>
        </w:tc>
        <w:tc>
          <w:tcPr>
            <w:tcW w:w="567" w:type="dxa"/>
            <w:vAlign w:val="bottom"/>
          </w:tcPr>
          <w:p w14:paraId="3DD31A2E"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1531" w:type="dxa"/>
            <w:vAlign w:val="bottom"/>
          </w:tcPr>
          <w:p w14:paraId="66A03545"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531" w:type="dxa"/>
            <w:vAlign w:val="bottom"/>
          </w:tcPr>
          <w:p w14:paraId="2B287AC0"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64F80DE8" w14:textId="77777777">
        <w:trPr>
          <w:cantSplit/>
        </w:trPr>
        <w:tc>
          <w:tcPr>
            <w:tcW w:w="5726" w:type="dxa"/>
            <w:vAlign w:val="bottom"/>
          </w:tcPr>
          <w:p w14:paraId="6D3B1320" w14:textId="77777777" w:rsidR="008E5DE4" w:rsidRDefault="00780368">
            <w:pPr>
              <w:widowControl w:val="0"/>
              <w:pBdr>
                <w:top w:val="nil"/>
                <w:left w:val="nil"/>
                <w:bottom w:val="nil"/>
                <w:right w:val="nil"/>
                <w:between w:val="nil"/>
              </w:pBdr>
              <w:spacing w:line="228" w:lineRule="auto"/>
              <w:ind w:left="113" w:right="-57" w:hanging="113"/>
              <w:rPr>
                <w:color w:val="000000"/>
              </w:rPr>
            </w:pPr>
            <w:r>
              <w:rPr>
                <w:i/>
                <w:color w:val="000000"/>
              </w:rPr>
              <w:t>Assets of a disposal group held for sale:</w:t>
            </w:r>
          </w:p>
        </w:tc>
        <w:tc>
          <w:tcPr>
            <w:tcW w:w="567" w:type="dxa"/>
            <w:vAlign w:val="bottom"/>
          </w:tcPr>
          <w:p w14:paraId="0E59AD10"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2150EACC"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384C5F7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D39572B" w14:textId="77777777">
        <w:trPr>
          <w:cantSplit/>
        </w:trPr>
        <w:tc>
          <w:tcPr>
            <w:tcW w:w="5726" w:type="dxa"/>
            <w:vAlign w:val="bottom"/>
          </w:tcPr>
          <w:p w14:paraId="1B3A72C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Property, plant and equipment</w:t>
            </w:r>
          </w:p>
        </w:tc>
        <w:tc>
          <w:tcPr>
            <w:tcW w:w="567" w:type="dxa"/>
            <w:vAlign w:val="bottom"/>
          </w:tcPr>
          <w:p w14:paraId="2C51C237"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579478DE"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75EDC20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9BC023D" w14:textId="77777777">
        <w:trPr>
          <w:cantSplit/>
        </w:trPr>
        <w:tc>
          <w:tcPr>
            <w:tcW w:w="5726" w:type="dxa"/>
            <w:vAlign w:val="bottom"/>
          </w:tcPr>
          <w:p w14:paraId="5BD1D12E"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Investment property</w:t>
            </w:r>
          </w:p>
        </w:tc>
        <w:tc>
          <w:tcPr>
            <w:tcW w:w="567" w:type="dxa"/>
            <w:vAlign w:val="bottom"/>
          </w:tcPr>
          <w:p w14:paraId="1B52B345"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4EB42493"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FEBF25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8CDECA5" w14:textId="77777777">
        <w:trPr>
          <w:cantSplit/>
        </w:trPr>
        <w:tc>
          <w:tcPr>
            <w:tcW w:w="5726" w:type="dxa"/>
            <w:vAlign w:val="bottom"/>
          </w:tcPr>
          <w:p w14:paraId="4CAEBEE4"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Right-of-use assets </w:t>
            </w:r>
          </w:p>
        </w:tc>
        <w:tc>
          <w:tcPr>
            <w:tcW w:w="567" w:type="dxa"/>
            <w:vAlign w:val="bottom"/>
          </w:tcPr>
          <w:p w14:paraId="66DE1DC6"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722912D0"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CC3A64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7ABA86A" w14:textId="77777777">
        <w:trPr>
          <w:cantSplit/>
        </w:trPr>
        <w:tc>
          <w:tcPr>
            <w:tcW w:w="5726" w:type="dxa"/>
            <w:vAlign w:val="bottom"/>
          </w:tcPr>
          <w:p w14:paraId="3EFC586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Goodwill</w:t>
            </w:r>
          </w:p>
        </w:tc>
        <w:tc>
          <w:tcPr>
            <w:tcW w:w="567" w:type="dxa"/>
            <w:vAlign w:val="bottom"/>
          </w:tcPr>
          <w:p w14:paraId="71D80E74"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08AF6A56"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C8F11D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607C3E0" w14:textId="77777777">
        <w:trPr>
          <w:cantSplit/>
        </w:trPr>
        <w:tc>
          <w:tcPr>
            <w:tcW w:w="5726" w:type="dxa"/>
            <w:vAlign w:val="bottom"/>
          </w:tcPr>
          <w:p w14:paraId="7F68BF6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Other intangible assets</w:t>
            </w:r>
          </w:p>
        </w:tc>
        <w:tc>
          <w:tcPr>
            <w:tcW w:w="567" w:type="dxa"/>
            <w:vAlign w:val="bottom"/>
          </w:tcPr>
          <w:p w14:paraId="7083A489"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054C1EF9"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44CEC0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8DAF4C8" w14:textId="77777777">
        <w:trPr>
          <w:cantSplit/>
        </w:trPr>
        <w:tc>
          <w:tcPr>
            <w:tcW w:w="5726" w:type="dxa"/>
            <w:vAlign w:val="bottom"/>
          </w:tcPr>
          <w:p w14:paraId="12F24178"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Investments in associates</w:t>
            </w:r>
          </w:p>
        </w:tc>
        <w:tc>
          <w:tcPr>
            <w:tcW w:w="567" w:type="dxa"/>
            <w:vAlign w:val="bottom"/>
          </w:tcPr>
          <w:p w14:paraId="72C64AF1"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3C360227"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7EFD5CB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816C3AC" w14:textId="77777777">
        <w:trPr>
          <w:cantSplit/>
        </w:trPr>
        <w:tc>
          <w:tcPr>
            <w:tcW w:w="5726" w:type="dxa"/>
            <w:vAlign w:val="bottom"/>
          </w:tcPr>
          <w:p w14:paraId="62ED72E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Deferred income tax asset</w:t>
            </w:r>
          </w:p>
        </w:tc>
        <w:tc>
          <w:tcPr>
            <w:tcW w:w="567" w:type="dxa"/>
            <w:vAlign w:val="bottom"/>
          </w:tcPr>
          <w:p w14:paraId="4A5DBE04"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094F7ED7"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9C1BA5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EEB41DD" w14:textId="77777777">
        <w:trPr>
          <w:cantSplit/>
        </w:trPr>
        <w:tc>
          <w:tcPr>
            <w:tcW w:w="5726" w:type="dxa"/>
            <w:vAlign w:val="bottom"/>
          </w:tcPr>
          <w:p w14:paraId="0C5D611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Finance lease receivables </w:t>
            </w:r>
          </w:p>
        </w:tc>
        <w:tc>
          <w:tcPr>
            <w:tcW w:w="567" w:type="dxa"/>
            <w:vAlign w:val="bottom"/>
          </w:tcPr>
          <w:p w14:paraId="7561C33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428BAA84"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3195C0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AEFD542" w14:textId="77777777">
        <w:trPr>
          <w:cantSplit/>
        </w:trPr>
        <w:tc>
          <w:tcPr>
            <w:tcW w:w="5726" w:type="dxa"/>
            <w:vAlign w:val="bottom"/>
          </w:tcPr>
          <w:p w14:paraId="224AC1A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Other non-current assets</w:t>
            </w:r>
          </w:p>
        </w:tc>
        <w:tc>
          <w:tcPr>
            <w:tcW w:w="567" w:type="dxa"/>
            <w:vAlign w:val="bottom"/>
          </w:tcPr>
          <w:p w14:paraId="28F3487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8306E5A"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15063A1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0DC3722" w14:textId="77777777">
        <w:trPr>
          <w:cantSplit/>
        </w:trPr>
        <w:tc>
          <w:tcPr>
            <w:tcW w:w="5726" w:type="dxa"/>
            <w:vAlign w:val="bottom"/>
          </w:tcPr>
          <w:p w14:paraId="4DD5085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Inventories</w:t>
            </w:r>
          </w:p>
        </w:tc>
        <w:tc>
          <w:tcPr>
            <w:tcW w:w="567" w:type="dxa"/>
            <w:vAlign w:val="bottom"/>
          </w:tcPr>
          <w:p w14:paraId="00ADB066"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2254F4C6"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303F20D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52B7676" w14:textId="77777777">
        <w:trPr>
          <w:cantSplit/>
        </w:trPr>
        <w:tc>
          <w:tcPr>
            <w:tcW w:w="5726" w:type="dxa"/>
            <w:vAlign w:val="bottom"/>
          </w:tcPr>
          <w:p w14:paraId="1B3BCCB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Trade and other receivables</w:t>
            </w:r>
          </w:p>
        </w:tc>
        <w:tc>
          <w:tcPr>
            <w:tcW w:w="567" w:type="dxa"/>
            <w:vAlign w:val="bottom"/>
          </w:tcPr>
          <w:p w14:paraId="60292A89"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2651B13F"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70991C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744AD35" w14:textId="77777777">
        <w:trPr>
          <w:cantSplit/>
        </w:trPr>
        <w:tc>
          <w:tcPr>
            <w:tcW w:w="5726" w:type="dxa"/>
            <w:vAlign w:val="bottom"/>
          </w:tcPr>
          <w:p w14:paraId="5F6C528D"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Current income tax prepayments</w:t>
            </w:r>
          </w:p>
        </w:tc>
        <w:tc>
          <w:tcPr>
            <w:tcW w:w="567" w:type="dxa"/>
            <w:vAlign w:val="bottom"/>
          </w:tcPr>
          <w:p w14:paraId="59A7C237"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3D28D67"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F875E9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550E362" w14:textId="77777777">
        <w:trPr>
          <w:cantSplit/>
        </w:trPr>
        <w:tc>
          <w:tcPr>
            <w:tcW w:w="5726" w:type="dxa"/>
            <w:vAlign w:val="bottom"/>
          </w:tcPr>
          <w:p w14:paraId="00B5A8BE"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Investments in debt securities</w:t>
            </w:r>
          </w:p>
        </w:tc>
        <w:tc>
          <w:tcPr>
            <w:tcW w:w="567" w:type="dxa"/>
            <w:vAlign w:val="bottom"/>
          </w:tcPr>
          <w:p w14:paraId="5417365F"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98DC0F1"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E2FA81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FB973E3" w14:textId="77777777">
        <w:trPr>
          <w:cantSplit/>
        </w:trPr>
        <w:tc>
          <w:tcPr>
            <w:tcW w:w="5726" w:type="dxa"/>
            <w:vAlign w:val="bottom"/>
          </w:tcPr>
          <w:p w14:paraId="7B2FFCD7" w14:textId="36964132"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Cash and cash equivalents</w:t>
            </w:r>
          </w:p>
        </w:tc>
        <w:tc>
          <w:tcPr>
            <w:tcW w:w="567" w:type="dxa"/>
            <w:vAlign w:val="bottom"/>
          </w:tcPr>
          <w:p w14:paraId="7B03C6ED"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5AF377FE"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94F3BE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2B6B73D" w14:textId="77777777">
        <w:trPr>
          <w:cantSplit/>
        </w:trPr>
        <w:tc>
          <w:tcPr>
            <w:tcW w:w="5726" w:type="dxa"/>
            <w:vAlign w:val="bottom"/>
          </w:tcPr>
          <w:p w14:paraId="089FD869"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color w:val="000000"/>
                <w:sz w:val="14"/>
                <w:szCs w:val="14"/>
              </w:rPr>
              <w:t> </w:t>
            </w:r>
          </w:p>
        </w:tc>
        <w:tc>
          <w:tcPr>
            <w:tcW w:w="567" w:type="dxa"/>
            <w:vAlign w:val="bottom"/>
          </w:tcPr>
          <w:p w14:paraId="773DDAE1"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1531" w:type="dxa"/>
            <w:vAlign w:val="bottom"/>
          </w:tcPr>
          <w:p w14:paraId="1B02E66C"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531" w:type="dxa"/>
            <w:vAlign w:val="bottom"/>
          </w:tcPr>
          <w:p w14:paraId="594E7A4D"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4100DDBC" w14:textId="77777777">
        <w:trPr>
          <w:cantSplit/>
        </w:trPr>
        <w:tc>
          <w:tcPr>
            <w:tcW w:w="5726" w:type="dxa"/>
            <w:vAlign w:val="bottom"/>
          </w:tcPr>
          <w:p w14:paraId="26A05BC7"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Non-current assets held for sale:</w:t>
            </w:r>
          </w:p>
        </w:tc>
        <w:tc>
          <w:tcPr>
            <w:tcW w:w="567" w:type="dxa"/>
            <w:vAlign w:val="bottom"/>
          </w:tcPr>
          <w:p w14:paraId="70EDB91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6AE33C83"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A95699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7F2EB53" w14:textId="77777777">
        <w:trPr>
          <w:cantSplit/>
        </w:trPr>
        <w:tc>
          <w:tcPr>
            <w:tcW w:w="5726" w:type="dxa"/>
            <w:vAlign w:val="bottom"/>
          </w:tcPr>
          <w:p w14:paraId="59475641" w14:textId="3D4FF12F"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Property, plant and equipment</w:t>
            </w:r>
            <w:r>
              <w:rPr>
                <w:i/>
                <w:color w:val="FF0000"/>
              </w:rPr>
              <w:t xml:space="preserve"> </w:t>
            </w:r>
          </w:p>
        </w:tc>
        <w:tc>
          <w:tcPr>
            <w:tcW w:w="567" w:type="dxa"/>
            <w:vAlign w:val="bottom"/>
          </w:tcPr>
          <w:p w14:paraId="20C4D71A"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3A7CD1F8"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18FE28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73EB8EE" w14:textId="77777777">
        <w:trPr>
          <w:cantSplit/>
        </w:trPr>
        <w:tc>
          <w:tcPr>
            <w:tcW w:w="5726" w:type="dxa"/>
            <w:tcBorders>
              <w:bottom w:val="single" w:sz="4" w:space="0" w:color="000000"/>
            </w:tcBorders>
            <w:vAlign w:val="bottom"/>
          </w:tcPr>
          <w:p w14:paraId="6D3AC084"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color w:val="000000"/>
                <w:sz w:val="14"/>
                <w:szCs w:val="14"/>
              </w:rPr>
              <w:t> </w:t>
            </w:r>
          </w:p>
        </w:tc>
        <w:tc>
          <w:tcPr>
            <w:tcW w:w="567" w:type="dxa"/>
            <w:tcBorders>
              <w:bottom w:val="single" w:sz="4" w:space="0" w:color="000000"/>
            </w:tcBorders>
            <w:vAlign w:val="bottom"/>
          </w:tcPr>
          <w:p w14:paraId="01F88157"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1531" w:type="dxa"/>
            <w:tcBorders>
              <w:bottom w:val="single" w:sz="4" w:space="0" w:color="000000"/>
            </w:tcBorders>
            <w:vAlign w:val="bottom"/>
          </w:tcPr>
          <w:p w14:paraId="3586A3F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531" w:type="dxa"/>
            <w:tcBorders>
              <w:bottom w:val="single" w:sz="4" w:space="0" w:color="000000"/>
            </w:tcBorders>
            <w:vAlign w:val="bottom"/>
          </w:tcPr>
          <w:p w14:paraId="094D583C"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390B0275" w14:textId="77777777">
        <w:trPr>
          <w:cantSplit/>
        </w:trPr>
        <w:tc>
          <w:tcPr>
            <w:tcW w:w="5726" w:type="dxa"/>
            <w:tcBorders>
              <w:top w:val="single" w:sz="4" w:space="0" w:color="000000"/>
            </w:tcBorders>
            <w:vAlign w:val="bottom"/>
          </w:tcPr>
          <w:p w14:paraId="3C497913" w14:textId="77777777" w:rsidR="008E5DE4" w:rsidRDefault="00780368">
            <w:pPr>
              <w:widowControl w:val="0"/>
              <w:pBdr>
                <w:top w:val="nil"/>
                <w:left w:val="nil"/>
                <w:bottom w:val="nil"/>
                <w:right w:val="nil"/>
                <w:between w:val="nil"/>
              </w:pBdr>
              <w:spacing w:line="228" w:lineRule="auto"/>
              <w:ind w:left="113" w:right="-57" w:hanging="113"/>
              <w:rPr>
                <w:b/>
                <w:color w:val="000000"/>
                <w:sz w:val="14"/>
                <w:szCs w:val="14"/>
              </w:rPr>
            </w:pPr>
            <w:r>
              <w:rPr>
                <w:b/>
                <w:color w:val="000000"/>
                <w:sz w:val="14"/>
                <w:szCs w:val="14"/>
              </w:rPr>
              <w:t> </w:t>
            </w:r>
          </w:p>
        </w:tc>
        <w:tc>
          <w:tcPr>
            <w:tcW w:w="567" w:type="dxa"/>
            <w:tcBorders>
              <w:top w:val="single" w:sz="4" w:space="0" w:color="000000"/>
            </w:tcBorders>
            <w:vAlign w:val="bottom"/>
          </w:tcPr>
          <w:p w14:paraId="69B6960E" w14:textId="77777777" w:rsidR="008E5DE4" w:rsidRDefault="008E5DE4">
            <w:pPr>
              <w:widowControl w:val="0"/>
              <w:pBdr>
                <w:top w:val="nil"/>
                <w:left w:val="nil"/>
                <w:bottom w:val="nil"/>
                <w:right w:val="nil"/>
                <w:between w:val="nil"/>
              </w:pBdr>
              <w:spacing w:line="228" w:lineRule="auto"/>
              <w:ind w:left="-57" w:right="-57"/>
              <w:jc w:val="center"/>
              <w:rPr>
                <w:b/>
                <w:smallCaps/>
                <w:color w:val="000000"/>
                <w:sz w:val="14"/>
                <w:szCs w:val="14"/>
              </w:rPr>
            </w:pPr>
          </w:p>
        </w:tc>
        <w:tc>
          <w:tcPr>
            <w:tcW w:w="1531" w:type="dxa"/>
            <w:tcBorders>
              <w:top w:val="single" w:sz="4" w:space="0" w:color="000000"/>
            </w:tcBorders>
            <w:vAlign w:val="bottom"/>
          </w:tcPr>
          <w:p w14:paraId="1CA79438" w14:textId="77777777" w:rsidR="008E5DE4" w:rsidRDefault="008E5DE4">
            <w:pPr>
              <w:widowControl w:val="0"/>
              <w:pBdr>
                <w:top w:val="nil"/>
                <w:left w:val="nil"/>
                <w:bottom w:val="nil"/>
                <w:right w:val="nil"/>
                <w:between w:val="nil"/>
              </w:pBdr>
              <w:spacing w:line="228" w:lineRule="auto"/>
              <w:jc w:val="right"/>
              <w:rPr>
                <w:b/>
                <w:smallCaps/>
                <w:color w:val="000000"/>
                <w:sz w:val="14"/>
                <w:szCs w:val="14"/>
              </w:rPr>
            </w:pPr>
          </w:p>
        </w:tc>
        <w:tc>
          <w:tcPr>
            <w:tcW w:w="1531" w:type="dxa"/>
            <w:tcBorders>
              <w:top w:val="single" w:sz="4" w:space="0" w:color="000000"/>
            </w:tcBorders>
            <w:vAlign w:val="bottom"/>
          </w:tcPr>
          <w:p w14:paraId="63EDE8DB" w14:textId="77777777" w:rsidR="008E5DE4" w:rsidRDefault="008E5DE4">
            <w:pPr>
              <w:widowControl w:val="0"/>
              <w:pBdr>
                <w:top w:val="nil"/>
                <w:left w:val="nil"/>
                <w:bottom w:val="nil"/>
                <w:right w:val="nil"/>
                <w:between w:val="nil"/>
              </w:pBdr>
              <w:spacing w:line="228" w:lineRule="auto"/>
              <w:jc w:val="right"/>
              <w:rPr>
                <w:b/>
                <w:smallCaps/>
                <w:color w:val="000000"/>
                <w:sz w:val="14"/>
                <w:szCs w:val="14"/>
              </w:rPr>
            </w:pPr>
          </w:p>
        </w:tc>
      </w:tr>
      <w:tr w:rsidR="008E5DE4" w14:paraId="41698E8F" w14:textId="77777777">
        <w:trPr>
          <w:cantSplit/>
        </w:trPr>
        <w:tc>
          <w:tcPr>
            <w:tcW w:w="5726" w:type="dxa"/>
            <w:vAlign w:val="bottom"/>
          </w:tcPr>
          <w:p w14:paraId="766A27BB"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xml:space="preserve">Total non-current assets classified as held for sale (or </w:t>
            </w:r>
            <w:r>
              <w:rPr>
                <w:b/>
                <w:color w:val="000000"/>
              </w:rPr>
              <w:br/>
              <w:t xml:space="preserve">disposal groups) </w:t>
            </w:r>
            <w:proofErr w:type="gramStart"/>
            <w:r>
              <w:rPr>
                <w:b/>
                <w:color w:val="000000"/>
              </w:rPr>
              <w:t>at</w:t>
            </w:r>
            <w:proofErr w:type="gramEnd"/>
            <w:r>
              <w:rPr>
                <w:b/>
                <w:color w:val="000000"/>
              </w:rPr>
              <w:t xml:space="preserve"> 31 December</w:t>
            </w:r>
          </w:p>
        </w:tc>
        <w:tc>
          <w:tcPr>
            <w:tcW w:w="567" w:type="dxa"/>
            <w:vAlign w:val="bottom"/>
          </w:tcPr>
          <w:p w14:paraId="618319FB" w14:textId="77777777" w:rsidR="008E5DE4" w:rsidRDefault="008E5DE4">
            <w:pPr>
              <w:widowControl w:val="0"/>
              <w:pBdr>
                <w:top w:val="nil"/>
                <w:left w:val="nil"/>
                <w:bottom w:val="nil"/>
                <w:right w:val="nil"/>
                <w:between w:val="nil"/>
              </w:pBdr>
              <w:spacing w:line="228" w:lineRule="auto"/>
              <w:ind w:left="-57" w:right="-57"/>
              <w:jc w:val="center"/>
              <w:rPr>
                <w:b/>
                <w:smallCaps/>
                <w:color w:val="000000"/>
              </w:rPr>
            </w:pPr>
          </w:p>
        </w:tc>
        <w:tc>
          <w:tcPr>
            <w:tcW w:w="1531" w:type="dxa"/>
            <w:vAlign w:val="bottom"/>
          </w:tcPr>
          <w:p w14:paraId="7D88A57F"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1531" w:type="dxa"/>
            <w:vAlign w:val="bottom"/>
          </w:tcPr>
          <w:p w14:paraId="7E41E7E1" w14:textId="77777777" w:rsidR="008E5DE4" w:rsidRDefault="008E5DE4">
            <w:pPr>
              <w:widowControl w:val="0"/>
              <w:pBdr>
                <w:top w:val="nil"/>
                <w:left w:val="nil"/>
                <w:bottom w:val="nil"/>
                <w:right w:val="nil"/>
                <w:between w:val="nil"/>
              </w:pBdr>
              <w:spacing w:line="228" w:lineRule="auto"/>
              <w:jc w:val="right"/>
              <w:rPr>
                <w:b/>
                <w:smallCaps/>
                <w:color w:val="000000"/>
              </w:rPr>
            </w:pPr>
          </w:p>
        </w:tc>
      </w:tr>
      <w:tr w:rsidR="008E5DE4" w14:paraId="0A988AF0" w14:textId="77777777">
        <w:trPr>
          <w:cantSplit/>
        </w:trPr>
        <w:tc>
          <w:tcPr>
            <w:tcW w:w="5726" w:type="dxa"/>
            <w:tcBorders>
              <w:bottom w:val="single" w:sz="12" w:space="0" w:color="000000"/>
            </w:tcBorders>
            <w:vAlign w:val="bottom"/>
          </w:tcPr>
          <w:p w14:paraId="098EEC7A" w14:textId="77777777" w:rsidR="008E5DE4" w:rsidRDefault="00780368">
            <w:pPr>
              <w:widowControl w:val="0"/>
              <w:pBdr>
                <w:top w:val="nil"/>
                <w:left w:val="nil"/>
                <w:bottom w:val="nil"/>
                <w:right w:val="nil"/>
                <w:between w:val="nil"/>
              </w:pBdr>
              <w:spacing w:line="228" w:lineRule="auto"/>
              <w:ind w:left="113" w:right="-57" w:hanging="113"/>
              <w:rPr>
                <w:b/>
                <w:color w:val="000000"/>
                <w:sz w:val="12"/>
                <w:szCs w:val="12"/>
              </w:rPr>
            </w:pPr>
            <w:r>
              <w:rPr>
                <w:b/>
                <w:color w:val="000000"/>
                <w:sz w:val="12"/>
                <w:szCs w:val="12"/>
              </w:rPr>
              <w:t> </w:t>
            </w:r>
          </w:p>
        </w:tc>
        <w:tc>
          <w:tcPr>
            <w:tcW w:w="567" w:type="dxa"/>
            <w:tcBorders>
              <w:bottom w:val="single" w:sz="12" w:space="0" w:color="000000"/>
            </w:tcBorders>
            <w:vAlign w:val="bottom"/>
          </w:tcPr>
          <w:p w14:paraId="4B12C6B5" w14:textId="77777777" w:rsidR="008E5DE4" w:rsidRDefault="008E5DE4">
            <w:pPr>
              <w:widowControl w:val="0"/>
              <w:pBdr>
                <w:top w:val="nil"/>
                <w:left w:val="nil"/>
                <w:bottom w:val="nil"/>
                <w:right w:val="nil"/>
                <w:between w:val="nil"/>
              </w:pBdr>
              <w:spacing w:line="228" w:lineRule="auto"/>
              <w:ind w:left="-57" w:right="-57"/>
              <w:jc w:val="center"/>
              <w:rPr>
                <w:b/>
                <w:smallCaps/>
                <w:color w:val="000000"/>
                <w:sz w:val="12"/>
                <w:szCs w:val="12"/>
              </w:rPr>
            </w:pPr>
          </w:p>
        </w:tc>
        <w:tc>
          <w:tcPr>
            <w:tcW w:w="1531" w:type="dxa"/>
            <w:tcBorders>
              <w:bottom w:val="single" w:sz="12" w:space="0" w:color="000000"/>
            </w:tcBorders>
            <w:vAlign w:val="bottom"/>
          </w:tcPr>
          <w:p w14:paraId="2A5DE50C" w14:textId="77777777" w:rsidR="008E5DE4" w:rsidRDefault="008E5DE4">
            <w:pPr>
              <w:widowControl w:val="0"/>
              <w:pBdr>
                <w:top w:val="nil"/>
                <w:left w:val="nil"/>
                <w:bottom w:val="nil"/>
                <w:right w:val="nil"/>
                <w:between w:val="nil"/>
              </w:pBdr>
              <w:spacing w:line="228" w:lineRule="auto"/>
              <w:jc w:val="right"/>
              <w:rPr>
                <w:b/>
                <w:smallCaps/>
                <w:color w:val="000000"/>
                <w:sz w:val="12"/>
                <w:szCs w:val="12"/>
              </w:rPr>
            </w:pPr>
          </w:p>
        </w:tc>
        <w:tc>
          <w:tcPr>
            <w:tcW w:w="1531" w:type="dxa"/>
            <w:tcBorders>
              <w:bottom w:val="single" w:sz="12" w:space="0" w:color="000000"/>
            </w:tcBorders>
            <w:vAlign w:val="bottom"/>
          </w:tcPr>
          <w:p w14:paraId="6F28C849" w14:textId="77777777" w:rsidR="008E5DE4" w:rsidRDefault="008E5DE4">
            <w:pPr>
              <w:widowControl w:val="0"/>
              <w:pBdr>
                <w:top w:val="nil"/>
                <w:left w:val="nil"/>
                <w:bottom w:val="nil"/>
                <w:right w:val="nil"/>
                <w:between w:val="nil"/>
              </w:pBdr>
              <w:spacing w:line="228" w:lineRule="auto"/>
              <w:jc w:val="right"/>
              <w:rPr>
                <w:b/>
                <w:smallCaps/>
                <w:color w:val="000000"/>
                <w:sz w:val="12"/>
                <w:szCs w:val="12"/>
              </w:rPr>
            </w:pPr>
          </w:p>
        </w:tc>
      </w:tr>
    </w:tbl>
    <w:p w14:paraId="1916DAC1"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25</w:t>
      </w:r>
      <w:r>
        <w:rPr>
          <w:b/>
          <w:color w:val="000000"/>
          <w:sz w:val="20"/>
          <w:szCs w:val="20"/>
        </w:rPr>
        <w:tab/>
        <w:t>Non-current Assets Classified as Held for Sale (or Disposal Groups) (Continued)</w:t>
      </w:r>
    </w:p>
    <w:p w14:paraId="1CD2CF1E" w14:textId="77777777" w:rsidR="008E5DE4" w:rsidRDefault="00780368">
      <w:pPr>
        <w:widowControl w:val="0"/>
        <w:spacing w:before="200" w:after="200" w:line="228" w:lineRule="auto"/>
        <w:jc w:val="both"/>
        <w:rPr>
          <w:sz w:val="20"/>
          <w:szCs w:val="20"/>
        </w:rPr>
      </w:pPr>
      <w:r>
        <w:rPr>
          <w:sz w:val="20"/>
          <w:szCs w:val="20"/>
        </w:rPr>
        <w:t>Major classes of liabilities directly associated with disposal groups classified as held for sale are as follows:</w:t>
      </w:r>
    </w:p>
    <w:tbl>
      <w:tblPr>
        <w:tblStyle w:val="affffffffd"/>
        <w:tblW w:w="9355" w:type="dxa"/>
        <w:tblLayout w:type="fixed"/>
        <w:tblLook w:val="0000" w:firstRow="0" w:lastRow="0" w:firstColumn="0" w:lastColumn="0" w:noHBand="0" w:noVBand="0"/>
      </w:tblPr>
      <w:tblGrid>
        <w:gridCol w:w="5726"/>
        <w:gridCol w:w="567"/>
        <w:gridCol w:w="1531"/>
        <w:gridCol w:w="1531"/>
      </w:tblGrid>
      <w:tr w:rsidR="008E5DE4" w14:paraId="54E641E3" w14:textId="77777777">
        <w:trPr>
          <w:cantSplit/>
        </w:trPr>
        <w:tc>
          <w:tcPr>
            <w:tcW w:w="5726" w:type="dxa"/>
            <w:tcBorders>
              <w:bottom w:val="single" w:sz="4" w:space="0" w:color="000000"/>
            </w:tcBorders>
            <w:vAlign w:val="bottom"/>
          </w:tcPr>
          <w:p w14:paraId="5E6083CB"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In thousands of EUR</w:t>
            </w:r>
          </w:p>
        </w:tc>
        <w:tc>
          <w:tcPr>
            <w:tcW w:w="567" w:type="dxa"/>
            <w:tcBorders>
              <w:bottom w:val="single" w:sz="4" w:space="0" w:color="000000"/>
            </w:tcBorders>
            <w:vAlign w:val="bottom"/>
          </w:tcPr>
          <w:p w14:paraId="37ACF10B" w14:textId="77777777" w:rsidR="008E5DE4" w:rsidRDefault="008E5DE4">
            <w:pPr>
              <w:widowControl w:val="0"/>
              <w:pBdr>
                <w:top w:val="nil"/>
                <w:left w:val="nil"/>
                <w:bottom w:val="nil"/>
                <w:right w:val="nil"/>
                <w:between w:val="nil"/>
              </w:pBdr>
              <w:spacing w:line="228" w:lineRule="auto"/>
              <w:ind w:left="-57" w:right="-57"/>
              <w:jc w:val="center"/>
              <w:rPr>
                <w:b/>
                <w:color w:val="000000"/>
              </w:rPr>
            </w:pPr>
          </w:p>
        </w:tc>
        <w:tc>
          <w:tcPr>
            <w:tcW w:w="1531" w:type="dxa"/>
            <w:tcBorders>
              <w:bottom w:val="single" w:sz="4" w:space="0" w:color="000000"/>
            </w:tcBorders>
            <w:vAlign w:val="bottom"/>
          </w:tcPr>
          <w:p w14:paraId="00A7F4DD" w14:textId="05203697" w:rsidR="008E5DE4" w:rsidRDefault="008614F8">
            <w:pPr>
              <w:widowControl w:val="0"/>
              <w:pBdr>
                <w:top w:val="nil"/>
                <w:left w:val="nil"/>
                <w:bottom w:val="nil"/>
                <w:right w:val="nil"/>
                <w:between w:val="nil"/>
              </w:pBdr>
              <w:spacing w:line="228" w:lineRule="auto"/>
              <w:jc w:val="right"/>
              <w:rPr>
                <w:b/>
                <w:color w:val="000000"/>
              </w:rPr>
            </w:pPr>
            <w:r>
              <w:rPr>
                <w:b/>
                <w:color w:val="000000"/>
              </w:rPr>
              <w:t>2025</w:t>
            </w:r>
          </w:p>
        </w:tc>
        <w:tc>
          <w:tcPr>
            <w:tcW w:w="1531" w:type="dxa"/>
            <w:tcBorders>
              <w:bottom w:val="single" w:sz="4" w:space="0" w:color="000000"/>
            </w:tcBorders>
            <w:vAlign w:val="bottom"/>
          </w:tcPr>
          <w:p w14:paraId="466968CC" w14:textId="4FFF3C7D" w:rsidR="008E5DE4" w:rsidRDefault="00FF468A">
            <w:pPr>
              <w:widowControl w:val="0"/>
              <w:pBdr>
                <w:top w:val="nil"/>
                <w:left w:val="nil"/>
                <w:bottom w:val="nil"/>
                <w:right w:val="nil"/>
                <w:between w:val="nil"/>
              </w:pBdr>
              <w:spacing w:line="228" w:lineRule="auto"/>
              <w:jc w:val="right"/>
              <w:rPr>
                <w:b/>
                <w:color w:val="000000"/>
              </w:rPr>
            </w:pPr>
            <w:r>
              <w:rPr>
                <w:b/>
                <w:color w:val="000000"/>
              </w:rPr>
              <w:t>2024</w:t>
            </w:r>
          </w:p>
        </w:tc>
      </w:tr>
      <w:tr w:rsidR="008E5DE4" w14:paraId="1737D507" w14:textId="77777777">
        <w:trPr>
          <w:cantSplit/>
        </w:trPr>
        <w:tc>
          <w:tcPr>
            <w:tcW w:w="5726" w:type="dxa"/>
            <w:vAlign w:val="bottom"/>
          </w:tcPr>
          <w:p w14:paraId="207A765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vAlign w:val="bottom"/>
          </w:tcPr>
          <w:p w14:paraId="151B798C"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5A12A655"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1883E6B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9522263" w14:textId="77777777">
        <w:trPr>
          <w:cantSplit/>
        </w:trPr>
        <w:tc>
          <w:tcPr>
            <w:tcW w:w="5726" w:type="dxa"/>
            <w:vAlign w:val="bottom"/>
          </w:tcPr>
          <w:p w14:paraId="53F42464"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Borrowings</w:t>
            </w:r>
          </w:p>
        </w:tc>
        <w:tc>
          <w:tcPr>
            <w:tcW w:w="567" w:type="dxa"/>
            <w:vAlign w:val="bottom"/>
          </w:tcPr>
          <w:p w14:paraId="5824E8A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AFEC7E2"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3B46E1D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98A3D62" w14:textId="77777777">
        <w:trPr>
          <w:cantSplit/>
        </w:trPr>
        <w:tc>
          <w:tcPr>
            <w:tcW w:w="5726" w:type="dxa"/>
            <w:vAlign w:val="bottom"/>
          </w:tcPr>
          <w:p w14:paraId="4EFDF56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Lease liabilities </w:t>
            </w:r>
          </w:p>
        </w:tc>
        <w:tc>
          <w:tcPr>
            <w:tcW w:w="567" w:type="dxa"/>
            <w:vAlign w:val="bottom"/>
          </w:tcPr>
          <w:p w14:paraId="7FBD18AE"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468D35C"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1481258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BE0ED1B" w14:textId="77777777">
        <w:trPr>
          <w:cantSplit/>
        </w:trPr>
        <w:tc>
          <w:tcPr>
            <w:tcW w:w="5726" w:type="dxa"/>
            <w:vAlign w:val="bottom"/>
          </w:tcPr>
          <w:p w14:paraId="0761A40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Deferred income tax liability</w:t>
            </w:r>
          </w:p>
        </w:tc>
        <w:tc>
          <w:tcPr>
            <w:tcW w:w="567" w:type="dxa"/>
            <w:vAlign w:val="bottom"/>
          </w:tcPr>
          <w:p w14:paraId="47DF838E"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64C6A996"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3464D8E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E873293" w14:textId="77777777">
        <w:trPr>
          <w:cantSplit/>
        </w:trPr>
        <w:tc>
          <w:tcPr>
            <w:tcW w:w="5726" w:type="dxa"/>
            <w:vAlign w:val="bottom"/>
          </w:tcPr>
          <w:p w14:paraId="1EF4F59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Other taxes payable</w:t>
            </w:r>
          </w:p>
        </w:tc>
        <w:tc>
          <w:tcPr>
            <w:tcW w:w="567" w:type="dxa"/>
            <w:vAlign w:val="bottom"/>
          </w:tcPr>
          <w:p w14:paraId="367E27A0"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20C2FE71"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73A7FC4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D7E18BA" w14:textId="77777777">
        <w:trPr>
          <w:cantSplit/>
        </w:trPr>
        <w:tc>
          <w:tcPr>
            <w:tcW w:w="5726" w:type="dxa"/>
            <w:vAlign w:val="bottom"/>
          </w:tcPr>
          <w:p w14:paraId="73ABFD27"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Provisions for liabilities and charges</w:t>
            </w:r>
          </w:p>
        </w:tc>
        <w:tc>
          <w:tcPr>
            <w:tcW w:w="567" w:type="dxa"/>
            <w:vAlign w:val="bottom"/>
          </w:tcPr>
          <w:p w14:paraId="281BB383"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49C26342"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166BD6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8ABD27E" w14:textId="77777777">
        <w:trPr>
          <w:cantSplit/>
        </w:trPr>
        <w:tc>
          <w:tcPr>
            <w:tcW w:w="5726" w:type="dxa"/>
            <w:vAlign w:val="bottom"/>
          </w:tcPr>
          <w:p w14:paraId="09876367"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Trade and other payables</w:t>
            </w:r>
          </w:p>
        </w:tc>
        <w:tc>
          <w:tcPr>
            <w:tcW w:w="567" w:type="dxa"/>
            <w:vAlign w:val="bottom"/>
          </w:tcPr>
          <w:p w14:paraId="29FD1301"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6CCEC3C2"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338E4B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A246B40" w14:textId="77777777">
        <w:trPr>
          <w:cantSplit/>
        </w:trPr>
        <w:tc>
          <w:tcPr>
            <w:tcW w:w="5726" w:type="dxa"/>
            <w:vAlign w:val="bottom"/>
          </w:tcPr>
          <w:p w14:paraId="02B70F9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Current income tax payable</w:t>
            </w:r>
          </w:p>
        </w:tc>
        <w:tc>
          <w:tcPr>
            <w:tcW w:w="567" w:type="dxa"/>
            <w:vAlign w:val="bottom"/>
          </w:tcPr>
          <w:p w14:paraId="43DD7882"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2264E19B"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132FC1A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F1D311A" w14:textId="77777777">
        <w:trPr>
          <w:cantSplit/>
        </w:trPr>
        <w:tc>
          <w:tcPr>
            <w:tcW w:w="5726" w:type="dxa"/>
            <w:tcBorders>
              <w:bottom w:val="single" w:sz="4" w:space="0" w:color="000000"/>
            </w:tcBorders>
            <w:vAlign w:val="bottom"/>
          </w:tcPr>
          <w:p w14:paraId="25BD1C50"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bottom w:val="single" w:sz="4" w:space="0" w:color="000000"/>
            </w:tcBorders>
            <w:vAlign w:val="bottom"/>
          </w:tcPr>
          <w:p w14:paraId="62F40286"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4" w:space="0" w:color="000000"/>
            </w:tcBorders>
            <w:vAlign w:val="bottom"/>
          </w:tcPr>
          <w:p w14:paraId="4611CA3D"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33884DC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BB86C9A" w14:textId="77777777">
        <w:trPr>
          <w:cantSplit/>
        </w:trPr>
        <w:tc>
          <w:tcPr>
            <w:tcW w:w="5726" w:type="dxa"/>
            <w:tcBorders>
              <w:top w:val="single" w:sz="4" w:space="0" w:color="000000"/>
            </w:tcBorders>
            <w:vAlign w:val="bottom"/>
          </w:tcPr>
          <w:p w14:paraId="6DF16971"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w:t>
            </w:r>
          </w:p>
        </w:tc>
        <w:tc>
          <w:tcPr>
            <w:tcW w:w="567" w:type="dxa"/>
            <w:tcBorders>
              <w:top w:val="single" w:sz="4" w:space="0" w:color="000000"/>
            </w:tcBorders>
            <w:vAlign w:val="bottom"/>
          </w:tcPr>
          <w:p w14:paraId="6166FA54" w14:textId="77777777" w:rsidR="008E5DE4" w:rsidRDefault="008E5DE4">
            <w:pPr>
              <w:widowControl w:val="0"/>
              <w:pBdr>
                <w:top w:val="nil"/>
                <w:left w:val="nil"/>
                <w:bottom w:val="nil"/>
                <w:right w:val="nil"/>
                <w:between w:val="nil"/>
              </w:pBdr>
              <w:spacing w:line="228" w:lineRule="auto"/>
              <w:ind w:left="-57" w:right="-57"/>
              <w:jc w:val="center"/>
              <w:rPr>
                <w:b/>
                <w:smallCaps/>
                <w:color w:val="000000"/>
              </w:rPr>
            </w:pPr>
          </w:p>
        </w:tc>
        <w:tc>
          <w:tcPr>
            <w:tcW w:w="1531" w:type="dxa"/>
            <w:tcBorders>
              <w:top w:val="single" w:sz="4" w:space="0" w:color="000000"/>
            </w:tcBorders>
            <w:vAlign w:val="bottom"/>
          </w:tcPr>
          <w:p w14:paraId="469E401B"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1531" w:type="dxa"/>
            <w:tcBorders>
              <w:top w:val="single" w:sz="4" w:space="0" w:color="000000"/>
            </w:tcBorders>
            <w:vAlign w:val="bottom"/>
          </w:tcPr>
          <w:p w14:paraId="400E329C" w14:textId="77777777" w:rsidR="008E5DE4" w:rsidRDefault="008E5DE4">
            <w:pPr>
              <w:widowControl w:val="0"/>
              <w:pBdr>
                <w:top w:val="nil"/>
                <w:left w:val="nil"/>
                <w:bottom w:val="nil"/>
                <w:right w:val="nil"/>
                <w:between w:val="nil"/>
              </w:pBdr>
              <w:spacing w:line="228" w:lineRule="auto"/>
              <w:jc w:val="right"/>
              <w:rPr>
                <w:b/>
                <w:smallCaps/>
                <w:color w:val="000000"/>
              </w:rPr>
            </w:pPr>
          </w:p>
        </w:tc>
      </w:tr>
      <w:tr w:rsidR="008E5DE4" w14:paraId="64EE7A79" w14:textId="77777777">
        <w:trPr>
          <w:cantSplit/>
        </w:trPr>
        <w:tc>
          <w:tcPr>
            <w:tcW w:w="5726" w:type="dxa"/>
            <w:vAlign w:val="bottom"/>
          </w:tcPr>
          <w:p w14:paraId="6D2B394B"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xml:space="preserve">Total liabilities directly associated with disposal groups classified as held for sale </w:t>
            </w:r>
            <w:proofErr w:type="gramStart"/>
            <w:r>
              <w:rPr>
                <w:b/>
                <w:color w:val="000000"/>
              </w:rPr>
              <w:t>at</w:t>
            </w:r>
            <w:proofErr w:type="gramEnd"/>
            <w:r>
              <w:rPr>
                <w:b/>
                <w:color w:val="000000"/>
              </w:rPr>
              <w:t xml:space="preserve"> 31 December</w:t>
            </w:r>
          </w:p>
        </w:tc>
        <w:tc>
          <w:tcPr>
            <w:tcW w:w="567" w:type="dxa"/>
            <w:vAlign w:val="bottom"/>
          </w:tcPr>
          <w:p w14:paraId="2E41DB12" w14:textId="77777777" w:rsidR="008E5DE4" w:rsidRDefault="008E5DE4">
            <w:pPr>
              <w:widowControl w:val="0"/>
              <w:pBdr>
                <w:top w:val="nil"/>
                <w:left w:val="nil"/>
                <w:bottom w:val="nil"/>
                <w:right w:val="nil"/>
                <w:between w:val="nil"/>
              </w:pBdr>
              <w:spacing w:line="228" w:lineRule="auto"/>
              <w:ind w:left="-57" w:right="-57"/>
              <w:jc w:val="center"/>
              <w:rPr>
                <w:b/>
                <w:smallCaps/>
                <w:color w:val="000000"/>
              </w:rPr>
            </w:pPr>
          </w:p>
        </w:tc>
        <w:tc>
          <w:tcPr>
            <w:tcW w:w="1531" w:type="dxa"/>
            <w:vAlign w:val="bottom"/>
          </w:tcPr>
          <w:p w14:paraId="2F7E1FE0"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1531" w:type="dxa"/>
            <w:vAlign w:val="bottom"/>
          </w:tcPr>
          <w:p w14:paraId="1499A227" w14:textId="77777777" w:rsidR="008E5DE4" w:rsidRDefault="008E5DE4">
            <w:pPr>
              <w:widowControl w:val="0"/>
              <w:pBdr>
                <w:top w:val="nil"/>
                <w:left w:val="nil"/>
                <w:bottom w:val="nil"/>
                <w:right w:val="nil"/>
                <w:between w:val="nil"/>
              </w:pBdr>
              <w:spacing w:line="228" w:lineRule="auto"/>
              <w:jc w:val="right"/>
              <w:rPr>
                <w:b/>
                <w:smallCaps/>
                <w:color w:val="000000"/>
              </w:rPr>
            </w:pPr>
          </w:p>
        </w:tc>
      </w:tr>
      <w:tr w:rsidR="008E5DE4" w14:paraId="7AE7E2BF" w14:textId="77777777">
        <w:trPr>
          <w:cantSplit/>
        </w:trPr>
        <w:tc>
          <w:tcPr>
            <w:tcW w:w="5726" w:type="dxa"/>
            <w:tcBorders>
              <w:bottom w:val="single" w:sz="12" w:space="0" w:color="000000"/>
            </w:tcBorders>
            <w:vAlign w:val="bottom"/>
          </w:tcPr>
          <w:p w14:paraId="2BDD58AA"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w:t>
            </w:r>
          </w:p>
        </w:tc>
        <w:tc>
          <w:tcPr>
            <w:tcW w:w="567" w:type="dxa"/>
            <w:tcBorders>
              <w:bottom w:val="single" w:sz="12" w:space="0" w:color="000000"/>
            </w:tcBorders>
            <w:vAlign w:val="bottom"/>
          </w:tcPr>
          <w:p w14:paraId="659F2A07" w14:textId="77777777" w:rsidR="008E5DE4" w:rsidRDefault="008E5DE4">
            <w:pPr>
              <w:widowControl w:val="0"/>
              <w:pBdr>
                <w:top w:val="nil"/>
                <w:left w:val="nil"/>
                <w:bottom w:val="nil"/>
                <w:right w:val="nil"/>
                <w:between w:val="nil"/>
              </w:pBdr>
              <w:spacing w:line="228" w:lineRule="auto"/>
              <w:ind w:left="-57" w:right="-57"/>
              <w:jc w:val="center"/>
              <w:rPr>
                <w:b/>
                <w:smallCaps/>
                <w:color w:val="000000"/>
              </w:rPr>
            </w:pPr>
          </w:p>
        </w:tc>
        <w:tc>
          <w:tcPr>
            <w:tcW w:w="1531" w:type="dxa"/>
            <w:tcBorders>
              <w:bottom w:val="single" w:sz="12" w:space="0" w:color="000000"/>
            </w:tcBorders>
            <w:vAlign w:val="bottom"/>
          </w:tcPr>
          <w:p w14:paraId="261C3832"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1531" w:type="dxa"/>
            <w:tcBorders>
              <w:bottom w:val="single" w:sz="12" w:space="0" w:color="000000"/>
            </w:tcBorders>
            <w:vAlign w:val="bottom"/>
          </w:tcPr>
          <w:p w14:paraId="23A48DFD" w14:textId="77777777" w:rsidR="008E5DE4" w:rsidRDefault="008E5DE4">
            <w:pPr>
              <w:widowControl w:val="0"/>
              <w:pBdr>
                <w:top w:val="nil"/>
                <w:left w:val="nil"/>
                <w:bottom w:val="nil"/>
                <w:right w:val="nil"/>
                <w:between w:val="nil"/>
              </w:pBdr>
              <w:spacing w:line="228" w:lineRule="auto"/>
              <w:jc w:val="right"/>
              <w:rPr>
                <w:b/>
                <w:smallCaps/>
                <w:color w:val="000000"/>
              </w:rPr>
            </w:pPr>
          </w:p>
        </w:tc>
      </w:tr>
    </w:tbl>
    <w:p w14:paraId="756237A3" w14:textId="437B2269" w:rsidR="008E5DE4" w:rsidRDefault="00780368">
      <w:pPr>
        <w:widowControl w:val="0"/>
        <w:spacing w:before="200" w:after="200" w:line="228" w:lineRule="auto"/>
        <w:jc w:val="both"/>
        <w:rPr>
          <w:sz w:val="20"/>
          <w:szCs w:val="20"/>
        </w:rPr>
      </w:pPr>
      <w:r>
        <w:rPr>
          <w:sz w:val="20"/>
          <w:szCs w:val="20"/>
        </w:rPr>
        <w:t>Management approved a plan to sell _____ assets on _____ due to _____. The Group is actively marketing these assets and expects the sale to complete by _____202</w:t>
      </w:r>
      <w:r w:rsidR="008614F8">
        <w:rPr>
          <w:sz w:val="20"/>
          <w:szCs w:val="20"/>
        </w:rPr>
        <w:t>6</w:t>
      </w:r>
      <w:r>
        <w:rPr>
          <w:sz w:val="20"/>
          <w:szCs w:val="20"/>
        </w:rPr>
        <w:t xml:space="preserve">. Refer to Note 36 for the loss on write-down to fair value less costs of disposal of non-current assets (or disposal groups) held for sale that are not discontinued operations. Loss on write-down to fair value less costs of disposal of non-current assets (or disposal groups) that form part of discontinued operations is presented in Note 40. </w:t>
      </w:r>
    </w:p>
    <w:p w14:paraId="6EF35229" w14:textId="0480AE04"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On _____ </w:t>
      </w:r>
      <w:r w:rsidR="008614F8">
        <w:rPr>
          <w:color w:val="000000"/>
          <w:sz w:val="20"/>
          <w:szCs w:val="20"/>
        </w:rPr>
        <w:t>2025</w:t>
      </w:r>
      <w:r>
        <w:rPr>
          <w:color w:val="000000"/>
          <w:sz w:val="20"/>
          <w:szCs w:val="20"/>
        </w:rPr>
        <w:t xml:space="preserve"> the Group disposed _____% of the share capital of _____. The subsidiary was previously classified as a disposal </w:t>
      </w:r>
      <w:proofErr w:type="gramStart"/>
      <w:r>
        <w:rPr>
          <w:color w:val="000000"/>
          <w:sz w:val="20"/>
          <w:szCs w:val="20"/>
        </w:rPr>
        <w:t>group</w:t>
      </w:r>
      <w:proofErr w:type="gramEnd"/>
      <w:r>
        <w:rPr>
          <w:color w:val="000000"/>
          <w:sz w:val="20"/>
          <w:szCs w:val="20"/>
        </w:rPr>
        <w:t xml:space="preserve"> and its assets and liabilities were accordingly reclassified in the consolidated statement of financial position. The details of the disposed assets and liabilities and disposal consideration are as follows:</w:t>
      </w:r>
    </w:p>
    <w:tbl>
      <w:tblPr>
        <w:tblStyle w:val="affffffffe"/>
        <w:tblW w:w="9355" w:type="dxa"/>
        <w:tblLayout w:type="fixed"/>
        <w:tblLook w:val="0000" w:firstRow="0" w:lastRow="0" w:firstColumn="0" w:lastColumn="0" w:noHBand="0" w:noVBand="0"/>
      </w:tblPr>
      <w:tblGrid>
        <w:gridCol w:w="6973"/>
        <w:gridCol w:w="851"/>
        <w:gridCol w:w="1531"/>
      </w:tblGrid>
      <w:tr w:rsidR="008E5DE4" w14:paraId="4AEB3216" w14:textId="77777777">
        <w:trPr>
          <w:cantSplit/>
        </w:trPr>
        <w:tc>
          <w:tcPr>
            <w:tcW w:w="6973" w:type="dxa"/>
            <w:tcBorders>
              <w:bottom w:val="single" w:sz="4" w:space="0" w:color="000000"/>
            </w:tcBorders>
            <w:vAlign w:val="bottom"/>
          </w:tcPr>
          <w:p w14:paraId="07A3EC8E"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bottom w:val="single" w:sz="4" w:space="0" w:color="000000"/>
            </w:tcBorders>
            <w:vAlign w:val="bottom"/>
          </w:tcPr>
          <w:p w14:paraId="36B6A83A"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tcPr>
          <w:p w14:paraId="18608C18" w14:textId="77777777" w:rsidR="008E5DE4" w:rsidRDefault="00780368">
            <w:pPr>
              <w:widowControl w:val="0"/>
              <w:pBdr>
                <w:top w:val="nil"/>
                <w:left w:val="nil"/>
                <w:bottom w:val="nil"/>
                <w:right w:val="nil"/>
                <w:between w:val="nil"/>
              </w:pBdr>
              <w:ind w:left="-113"/>
              <w:jc w:val="right"/>
              <w:rPr>
                <w:b/>
                <w:color w:val="0000FF"/>
              </w:rPr>
            </w:pPr>
            <w:r>
              <w:rPr>
                <w:b/>
                <w:color w:val="0000FF"/>
              </w:rPr>
              <w:t>[Date of disposal]</w:t>
            </w:r>
          </w:p>
        </w:tc>
      </w:tr>
      <w:tr w:rsidR="008E5DE4" w14:paraId="21AB4A3A" w14:textId="77777777">
        <w:trPr>
          <w:cantSplit/>
        </w:trPr>
        <w:tc>
          <w:tcPr>
            <w:tcW w:w="6973" w:type="dxa"/>
            <w:vAlign w:val="bottom"/>
          </w:tcPr>
          <w:p w14:paraId="3BED46C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vAlign w:val="bottom"/>
          </w:tcPr>
          <w:p w14:paraId="18C09FB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0BB6F58" w14:textId="77777777" w:rsidR="008E5DE4" w:rsidRDefault="008E5DE4">
            <w:pPr>
              <w:widowControl w:val="0"/>
              <w:pBdr>
                <w:top w:val="nil"/>
                <w:left w:val="nil"/>
                <w:bottom w:val="nil"/>
                <w:right w:val="nil"/>
                <w:between w:val="nil"/>
              </w:pBdr>
              <w:jc w:val="right"/>
              <w:rPr>
                <w:color w:val="000000"/>
              </w:rPr>
            </w:pPr>
          </w:p>
        </w:tc>
      </w:tr>
      <w:tr w:rsidR="008E5DE4" w14:paraId="0D21B930" w14:textId="77777777">
        <w:trPr>
          <w:cantSplit/>
        </w:trPr>
        <w:tc>
          <w:tcPr>
            <w:tcW w:w="6973" w:type="dxa"/>
            <w:vAlign w:val="bottom"/>
          </w:tcPr>
          <w:p w14:paraId="434B62F2" w14:textId="77777777" w:rsidR="008E5DE4" w:rsidRDefault="00780368">
            <w:pPr>
              <w:widowControl w:val="0"/>
              <w:pBdr>
                <w:top w:val="nil"/>
                <w:left w:val="nil"/>
                <w:bottom w:val="nil"/>
                <w:right w:val="nil"/>
                <w:between w:val="nil"/>
              </w:pBdr>
              <w:ind w:left="113" w:right="-57" w:hanging="113"/>
              <w:rPr>
                <w:color w:val="000000"/>
              </w:rPr>
            </w:pPr>
            <w:r>
              <w:rPr>
                <w:color w:val="000000"/>
              </w:rPr>
              <w:t>Goodwill</w:t>
            </w:r>
          </w:p>
        </w:tc>
        <w:tc>
          <w:tcPr>
            <w:tcW w:w="851" w:type="dxa"/>
            <w:vAlign w:val="bottom"/>
          </w:tcPr>
          <w:p w14:paraId="3E1FA98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FB7115B" w14:textId="77777777" w:rsidR="008E5DE4" w:rsidRDefault="008E5DE4">
            <w:pPr>
              <w:widowControl w:val="0"/>
              <w:pBdr>
                <w:top w:val="nil"/>
                <w:left w:val="nil"/>
                <w:bottom w:val="nil"/>
                <w:right w:val="nil"/>
                <w:between w:val="nil"/>
              </w:pBdr>
              <w:jc w:val="right"/>
              <w:rPr>
                <w:color w:val="000000"/>
              </w:rPr>
            </w:pPr>
          </w:p>
        </w:tc>
      </w:tr>
      <w:tr w:rsidR="008E5DE4" w14:paraId="6C172CBE" w14:textId="77777777">
        <w:trPr>
          <w:cantSplit/>
        </w:trPr>
        <w:tc>
          <w:tcPr>
            <w:tcW w:w="6973" w:type="dxa"/>
            <w:vAlign w:val="bottom"/>
          </w:tcPr>
          <w:p w14:paraId="61CA13D8" w14:textId="77777777" w:rsidR="008E5DE4" w:rsidRDefault="00780368">
            <w:pPr>
              <w:widowControl w:val="0"/>
              <w:pBdr>
                <w:top w:val="nil"/>
                <w:left w:val="nil"/>
                <w:bottom w:val="nil"/>
                <w:right w:val="nil"/>
                <w:between w:val="nil"/>
              </w:pBdr>
              <w:ind w:left="113" w:right="-57" w:hanging="113"/>
              <w:rPr>
                <w:i/>
                <w:color w:val="000000"/>
              </w:rPr>
            </w:pPr>
            <w:r>
              <w:rPr>
                <w:color w:val="000000"/>
              </w:rPr>
              <w:t xml:space="preserve">Cash and cash equivalents </w:t>
            </w:r>
          </w:p>
        </w:tc>
        <w:tc>
          <w:tcPr>
            <w:tcW w:w="851" w:type="dxa"/>
            <w:vAlign w:val="bottom"/>
          </w:tcPr>
          <w:p w14:paraId="2068222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5F32675" w14:textId="77777777" w:rsidR="008E5DE4" w:rsidRDefault="008E5DE4">
            <w:pPr>
              <w:widowControl w:val="0"/>
              <w:pBdr>
                <w:top w:val="nil"/>
                <w:left w:val="nil"/>
                <w:bottom w:val="nil"/>
                <w:right w:val="nil"/>
                <w:between w:val="nil"/>
              </w:pBdr>
              <w:jc w:val="right"/>
              <w:rPr>
                <w:color w:val="000000"/>
              </w:rPr>
            </w:pPr>
          </w:p>
        </w:tc>
      </w:tr>
      <w:tr w:rsidR="008E5DE4" w14:paraId="491AA0C3" w14:textId="77777777">
        <w:trPr>
          <w:cantSplit/>
        </w:trPr>
        <w:tc>
          <w:tcPr>
            <w:tcW w:w="6973" w:type="dxa"/>
            <w:vAlign w:val="bottom"/>
          </w:tcPr>
          <w:p w14:paraId="501C77D9" w14:textId="77777777" w:rsidR="008E5DE4" w:rsidRDefault="00780368">
            <w:pPr>
              <w:widowControl w:val="0"/>
              <w:pBdr>
                <w:top w:val="nil"/>
                <w:left w:val="nil"/>
                <w:bottom w:val="nil"/>
                <w:right w:val="nil"/>
                <w:between w:val="nil"/>
              </w:pBdr>
              <w:ind w:left="113" w:right="-57" w:hanging="113"/>
              <w:rPr>
                <w:i/>
                <w:color w:val="000000"/>
              </w:rPr>
            </w:pPr>
            <w:r>
              <w:rPr>
                <w:color w:val="000000"/>
              </w:rPr>
              <w:t>Property, plant and equipment</w:t>
            </w:r>
          </w:p>
        </w:tc>
        <w:tc>
          <w:tcPr>
            <w:tcW w:w="851" w:type="dxa"/>
            <w:vAlign w:val="bottom"/>
          </w:tcPr>
          <w:p w14:paraId="6F2E9F5D"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AA4A353" w14:textId="77777777" w:rsidR="008E5DE4" w:rsidRDefault="008E5DE4">
            <w:pPr>
              <w:widowControl w:val="0"/>
              <w:pBdr>
                <w:top w:val="nil"/>
                <w:left w:val="nil"/>
                <w:bottom w:val="nil"/>
                <w:right w:val="nil"/>
                <w:between w:val="nil"/>
              </w:pBdr>
              <w:jc w:val="right"/>
              <w:rPr>
                <w:color w:val="000000"/>
              </w:rPr>
            </w:pPr>
          </w:p>
        </w:tc>
      </w:tr>
      <w:tr w:rsidR="008E5DE4" w14:paraId="62028484" w14:textId="77777777">
        <w:trPr>
          <w:cantSplit/>
        </w:trPr>
        <w:tc>
          <w:tcPr>
            <w:tcW w:w="6973" w:type="dxa"/>
            <w:vAlign w:val="bottom"/>
          </w:tcPr>
          <w:p w14:paraId="1D962B1D" w14:textId="77777777" w:rsidR="008E5DE4" w:rsidRDefault="00780368">
            <w:pPr>
              <w:widowControl w:val="0"/>
              <w:pBdr>
                <w:top w:val="nil"/>
                <w:left w:val="nil"/>
                <w:bottom w:val="nil"/>
                <w:right w:val="nil"/>
                <w:between w:val="nil"/>
              </w:pBdr>
              <w:ind w:left="113" w:right="-57" w:hanging="113"/>
              <w:rPr>
                <w:i/>
                <w:color w:val="000000"/>
              </w:rPr>
            </w:pPr>
            <w:r>
              <w:rPr>
                <w:color w:val="000000"/>
              </w:rPr>
              <w:t>Trade and other receivables</w:t>
            </w:r>
          </w:p>
        </w:tc>
        <w:tc>
          <w:tcPr>
            <w:tcW w:w="851" w:type="dxa"/>
            <w:vAlign w:val="bottom"/>
          </w:tcPr>
          <w:p w14:paraId="2500BBF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8370689" w14:textId="77777777" w:rsidR="008E5DE4" w:rsidRDefault="008E5DE4">
            <w:pPr>
              <w:widowControl w:val="0"/>
              <w:pBdr>
                <w:top w:val="nil"/>
                <w:left w:val="nil"/>
                <w:bottom w:val="nil"/>
                <w:right w:val="nil"/>
                <w:between w:val="nil"/>
              </w:pBdr>
              <w:jc w:val="right"/>
              <w:rPr>
                <w:color w:val="000000"/>
              </w:rPr>
            </w:pPr>
          </w:p>
        </w:tc>
      </w:tr>
      <w:tr w:rsidR="008E5DE4" w14:paraId="38B6CE72" w14:textId="77777777">
        <w:trPr>
          <w:cantSplit/>
        </w:trPr>
        <w:tc>
          <w:tcPr>
            <w:tcW w:w="6973" w:type="dxa"/>
            <w:vAlign w:val="bottom"/>
          </w:tcPr>
          <w:p w14:paraId="15A2B87D" w14:textId="77777777" w:rsidR="008E5DE4" w:rsidRDefault="00780368">
            <w:pPr>
              <w:widowControl w:val="0"/>
              <w:pBdr>
                <w:top w:val="nil"/>
                <w:left w:val="nil"/>
                <w:bottom w:val="nil"/>
                <w:right w:val="nil"/>
                <w:between w:val="nil"/>
              </w:pBdr>
              <w:ind w:left="113" w:right="-57" w:hanging="113"/>
              <w:rPr>
                <w:i/>
                <w:color w:val="000000"/>
              </w:rPr>
            </w:pPr>
            <w:r>
              <w:rPr>
                <w:color w:val="000000"/>
              </w:rPr>
              <w:t>Borrowings</w:t>
            </w:r>
          </w:p>
        </w:tc>
        <w:tc>
          <w:tcPr>
            <w:tcW w:w="851" w:type="dxa"/>
            <w:vAlign w:val="bottom"/>
          </w:tcPr>
          <w:p w14:paraId="1E8C428B"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5E18BA4" w14:textId="77777777" w:rsidR="008E5DE4" w:rsidRDefault="008E5DE4">
            <w:pPr>
              <w:widowControl w:val="0"/>
              <w:pBdr>
                <w:top w:val="nil"/>
                <w:left w:val="nil"/>
                <w:bottom w:val="nil"/>
                <w:right w:val="nil"/>
                <w:between w:val="nil"/>
              </w:pBdr>
              <w:jc w:val="right"/>
              <w:rPr>
                <w:color w:val="000000"/>
              </w:rPr>
            </w:pPr>
          </w:p>
        </w:tc>
      </w:tr>
      <w:tr w:rsidR="008E5DE4" w14:paraId="7659DB74" w14:textId="77777777">
        <w:trPr>
          <w:cantSplit/>
        </w:trPr>
        <w:tc>
          <w:tcPr>
            <w:tcW w:w="6973" w:type="dxa"/>
            <w:vAlign w:val="bottom"/>
          </w:tcPr>
          <w:p w14:paraId="581ACA46" w14:textId="77777777" w:rsidR="008E5DE4" w:rsidRDefault="00780368">
            <w:pPr>
              <w:widowControl w:val="0"/>
              <w:pBdr>
                <w:top w:val="nil"/>
                <w:left w:val="nil"/>
                <w:bottom w:val="nil"/>
                <w:right w:val="nil"/>
                <w:between w:val="nil"/>
              </w:pBdr>
              <w:ind w:left="113" w:right="-57" w:hanging="113"/>
              <w:rPr>
                <w:color w:val="000000"/>
              </w:rPr>
            </w:pPr>
            <w:r>
              <w:rPr>
                <w:color w:val="000000"/>
              </w:rPr>
              <w:t>Other liabilities</w:t>
            </w:r>
          </w:p>
        </w:tc>
        <w:tc>
          <w:tcPr>
            <w:tcW w:w="851" w:type="dxa"/>
            <w:vAlign w:val="bottom"/>
          </w:tcPr>
          <w:p w14:paraId="16CEB7A0"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3672096" w14:textId="77777777" w:rsidR="008E5DE4" w:rsidRDefault="008E5DE4">
            <w:pPr>
              <w:widowControl w:val="0"/>
              <w:pBdr>
                <w:top w:val="nil"/>
                <w:left w:val="nil"/>
                <w:bottom w:val="nil"/>
                <w:right w:val="nil"/>
                <w:between w:val="nil"/>
              </w:pBdr>
              <w:jc w:val="right"/>
              <w:rPr>
                <w:color w:val="000000"/>
              </w:rPr>
            </w:pPr>
          </w:p>
        </w:tc>
      </w:tr>
      <w:tr w:rsidR="008E5DE4" w14:paraId="2567E44B" w14:textId="77777777">
        <w:trPr>
          <w:cantSplit/>
        </w:trPr>
        <w:tc>
          <w:tcPr>
            <w:tcW w:w="6973" w:type="dxa"/>
            <w:tcBorders>
              <w:bottom w:val="single" w:sz="4" w:space="0" w:color="000000"/>
            </w:tcBorders>
            <w:vAlign w:val="bottom"/>
          </w:tcPr>
          <w:p w14:paraId="3517D90E"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851" w:type="dxa"/>
            <w:tcBorders>
              <w:bottom w:val="single" w:sz="4" w:space="0" w:color="000000"/>
            </w:tcBorders>
            <w:vAlign w:val="bottom"/>
          </w:tcPr>
          <w:p w14:paraId="6EEEC034"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58508E17" w14:textId="77777777" w:rsidR="008E5DE4" w:rsidRDefault="008E5DE4">
            <w:pPr>
              <w:widowControl w:val="0"/>
              <w:pBdr>
                <w:top w:val="nil"/>
                <w:left w:val="nil"/>
                <w:bottom w:val="nil"/>
                <w:right w:val="nil"/>
                <w:between w:val="nil"/>
              </w:pBdr>
              <w:jc w:val="right"/>
              <w:rPr>
                <w:color w:val="000000"/>
              </w:rPr>
            </w:pPr>
          </w:p>
        </w:tc>
      </w:tr>
      <w:tr w:rsidR="008E5DE4" w14:paraId="3EFDA5DA" w14:textId="77777777">
        <w:trPr>
          <w:cantSplit/>
        </w:trPr>
        <w:tc>
          <w:tcPr>
            <w:tcW w:w="6973" w:type="dxa"/>
            <w:tcBorders>
              <w:top w:val="single" w:sz="4" w:space="0" w:color="000000"/>
            </w:tcBorders>
            <w:vAlign w:val="bottom"/>
          </w:tcPr>
          <w:p w14:paraId="1DADE638"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851" w:type="dxa"/>
            <w:tcBorders>
              <w:top w:val="single" w:sz="4" w:space="0" w:color="000000"/>
            </w:tcBorders>
            <w:vAlign w:val="bottom"/>
          </w:tcPr>
          <w:p w14:paraId="3365A512"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5D7A7C41" w14:textId="77777777" w:rsidR="008E5DE4" w:rsidRDefault="008E5DE4">
            <w:pPr>
              <w:widowControl w:val="0"/>
              <w:pBdr>
                <w:top w:val="nil"/>
                <w:left w:val="nil"/>
                <w:bottom w:val="nil"/>
                <w:right w:val="nil"/>
                <w:between w:val="nil"/>
              </w:pBdr>
              <w:jc w:val="right"/>
              <w:rPr>
                <w:color w:val="000000"/>
              </w:rPr>
            </w:pPr>
          </w:p>
        </w:tc>
      </w:tr>
      <w:tr w:rsidR="008E5DE4" w14:paraId="76C55835" w14:textId="77777777">
        <w:trPr>
          <w:cantSplit/>
        </w:trPr>
        <w:tc>
          <w:tcPr>
            <w:tcW w:w="6973" w:type="dxa"/>
            <w:vAlign w:val="bottom"/>
          </w:tcPr>
          <w:p w14:paraId="23D066AD" w14:textId="77777777" w:rsidR="008E5DE4" w:rsidRDefault="00780368">
            <w:pPr>
              <w:widowControl w:val="0"/>
              <w:pBdr>
                <w:top w:val="nil"/>
                <w:left w:val="nil"/>
                <w:bottom w:val="nil"/>
                <w:right w:val="nil"/>
                <w:between w:val="nil"/>
              </w:pBdr>
              <w:ind w:left="113" w:right="-57" w:hanging="113"/>
              <w:rPr>
                <w:i/>
                <w:color w:val="000000"/>
              </w:rPr>
            </w:pPr>
            <w:r>
              <w:rPr>
                <w:b/>
                <w:color w:val="000000"/>
              </w:rPr>
              <w:t>Net assets of subsidiary, including attributed goodwill</w:t>
            </w:r>
          </w:p>
        </w:tc>
        <w:tc>
          <w:tcPr>
            <w:tcW w:w="851" w:type="dxa"/>
            <w:vAlign w:val="bottom"/>
          </w:tcPr>
          <w:p w14:paraId="0CFFC375"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AFA135B" w14:textId="77777777" w:rsidR="008E5DE4" w:rsidRDefault="008E5DE4">
            <w:pPr>
              <w:widowControl w:val="0"/>
              <w:pBdr>
                <w:top w:val="nil"/>
                <w:left w:val="nil"/>
                <w:bottom w:val="nil"/>
                <w:right w:val="nil"/>
                <w:between w:val="nil"/>
              </w:pBdr>
              <w:jc w:val="right"/>
              <w:rPr>
                <w:b/>
                <w:color w:val="000000"/>
              </w:rPr>
            </w:pPr>
          </w:p>
        </w:tc>
      </w:tr>
      <w:tr w:rsidR="008E5DE4" w14:paraId="54F5FDB0" w14:textId="77777777">
        <w:trPr>
          <w:cantSplit/>
        </w:trPr>
        <w:tc>
          <w:tcPr>
            <w:tcW w:w="6973" w:type="dxa"/>
            <w:vAlign w:val="bottom"/>
          </w:tcPr>
          <w:p w14:paraId="0BD5D46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Less: non-controlling interest </w:t>
            </w:r>
          </w:p>
        </w:tc>
        <w:tc>
          <w:tcPr>
            <w:tcW w:w="851" w:type="dxa"/>
            <w:vAlign w:val="bottom"/>
          </w:tcPr>
          <w:p w14:paraId="254243AB"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A2ABF33" w14:textId="77777777" w:rsidR="008E5DE4" w:rsidRDefault="008E5DE4">
            <w:pPr>
              <w:widowControl w:val="0"/>
              <w:pBdr>
                <w:top w:val="nil"/>
                <w:left w:val="nil"/>
                <w:bottom w:val="nil"/>
                <w:right w:val="nil"/>
                <w:between w:val="nil"/>
              </w:pBdr>
              <w:jc w:val="right"/>
              <w:rPr>
                <w:color w:val="000000"/>
              </w:rPr>
            </w:pPr>
          </w:p>
        </w:tc>
      </w:tr>
      <w:tr w:rsidR="008E5DE4" w14:paraId="6248701F" w14:textId="77777777">
        <w:trPr>
          <w:cantSplit/>
        </w:trPr>
        <w:tc>
          <w:tcPr>
            <w:tcW w:w="6973" w:type="dxa"/>
            <w:tcBorders>
              <w:bottom w:val="single" w:sz="4" w:space="0" w:color="000000"/>
            </w:tcBorders>
            <w:vAlign w:val="bottom"/>
          </w:tcPr>
          <w:p w14:paraId="7C123402"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851" w:type="dxa"/>
            <w:tcBorders>
              <w:bottom w:val="single" w:sz="4" w:space="0" w:color="000000"/>
            </w:tcBorders>
            <w:vAlign w:val="bottom"/>
          </w:tcPr>
          <w:p w14:paraId="61622038"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0C7AE8FA" w14:textId="77777777" w:rsidR="008E5DE4" w:rsidRDefault="008E5DE4">
            <w:pPr>
              <w:widowControl w:val="0"/>
              <w:pBdr>
                <w:top w:val="nil"/>
                <w:left w:val="nil"/>
                <w:bottom w:val="nil"/>
                <w:right w:val="nil"/>
                <w:between w:val="nil"/>
              </w:pBdr>
              <w:jc w:val="right"/>
              <w:rPr>
                <w:color w:val="000000"/>
              </w:rPr>
            </w:pPr>
          </w:p>
        </w:tc>
      </w:tr>
      <w:tr w:rsidR="008E5DE4" w14:paraId="52BDCD0B" w14:textId="77777777">
        <w:trPr>
          <w:cantSplit/>
        </w:trPr>
        <w:tc>
          <w:tcPr>
            <w:tcW w:w="6973" w:type="dxa"/>
            <w:tcBorders>
              <w:top w:val="single" w:sz="4" w:space="0" w:color="000000"/>
            </w:tcBorders>
            <w:vAlign w:val="bottom"/>
          </w:tcPr>
          <w:p w14:paraId="1002430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top w:val="single" w:sz="4" w:space="0" w:color="000000"/>
            </w:tcBorders>
            <w:vAlign w:val="bottom"/>
          </w:tcPr>
          <w:p w14:paraId="41D267B7"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3FE1C134" w14:textId="77777777" w:rsidR="008E5DE4" w:rsidRDefault="008E5DE4">
            <w:pPr>
              <w:widowControl w:val="0"/>
              <w:pBdr>
                <w:top w:val="nil"/>
                <w:left w:val="nil"/>
                <w:bottom w:val="nil"/>
                <w:right w:val="nil"/>
                <w:between w:val="nil"/>
              </w:pBdr>
              <w:jc w:val="right"/>
              <w:rPr>
                <w:b/>
                <w:color w:val="000000"/>
              </w:rPr>
            </w:pPr>
          </w:p>
        </w:tc>
      </w:tr>
      <w:tr w:rsidR="008E5DE4" w14:paraId="0BF0BE16" w14:textId="77777777">
        <w:trPr>
          <w:cantSplit/>
        </w:trPr>
        <w:tc>
          <w:tcPr>
            <w:tcW w:w="6973" w:type="dxa"/>
            <w:vAlign w:val="bottom"/>
          </w:tcPr>
          <w:p w14:paraId="56700114" w14:textId="77777777" w:rsidR="008E5DE4" w:rsidRDefault="00780368">
            <w:pPr>
              <w:widowControl w:val="0"/>
              <w:pBdr>
                <w:top w:val="nil"/>
                <w:left w:val="nil"/>
                <w:bottom w:val="nil"/>
                <w:right w:val="nil"/>
                <w:between w:val="nil"/>
              </w:pBdr>
              <w:ind w:left="113" w:right="-57" w:hanging="113"/>
              <w:rPr>
                <w:b/>
                <w:color w:val="000000"/>
              </w:rPr>
            </w:pPr>
            <w:r>
              <w:rPr>
                <w:b/>
                <w:color w:val="000000"/>
              </w:rPr>
              <w:t>Carrying amount of disposed net assets</w:t>
            </w:r>
          </w:p>
        </w:tc>
        <w:tc>
          <w:tcPr>
            <w:tcW w:w="851" w:type="dxa"/>
            <w:vAlign w:val="bottom"/>
          </w:tcPr>
          <w:p w14:paraId="21E62D31"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16606AE0" w14:textId="77777777" w:rsidR="008E5DE4" w:rsidRDefault="008E5DE4">
            <w:pPr>
              <w:widowControl w:val="0"/>
              <w:pBdr>
                <w:top w:val="nil"/>
                <w:left w:val="nil"/>
                <w:bottom w:val="nil"/>
                <w:right w:val="nil"/>
                <w:between w:val="nil"/>
              </w:pBdr>
              <w:jc w:val="right"/>
              <w:rPr>
                <w:b/>
                <w:color w:val="000000"/>
              </w:rPr>
            </w:pPr>
          </w:p>
        </w:tc>
      </w:tr>
      <w:tr w:rsidR="008E5DE4" w14:paraId="70A5EE80" w14:textId="77777777">
        <w:trPr>
          <w:cantSplit/>
        </w:trPr>
        <w:tc>
          <w:tcPr>
            <w:tcW w:w="6973" w:type="dxa"/>
            <w:tcBorders>
              <w:bottom w:val="single" w:sz="12" w:space="0" w:color="000000"/>
            </w:tcBorders>
            <w:vAlign w:val="bottom"/>
          </w:tcPr>
          <w:p w14:paraId="2DB91A00"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12" w:space="0" w:color="000000"/>
            </w:tcBorders>
            <w:vAlign w:val="bottom"/>
          </w:tcPr>
          <w:p w14:paraId="31273AD5"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4908C622" w14:textId="77777777" w:rsidR="008E5DE4" w:rsidRDefault="008E5DE4">
            <w:pPr>
              <w:widowControl w:val="0"/>
              <w:pBdr>
                <w:top w:val="nil"/>
                <w:left w:val="nil"/>
                <w:bottom w:val="nil"/>
                <w:right w:val="nil"/>
                <w:between w:val="nil"/>
              </w:pBdr>
              <w:jc w:val="right"/>
              <w:rPr>
                <w:b/>
                <w:color w:val="000000"/>
              </w:rPr>
            </w:pPr>
          </w:p>
        </w:tc>
      </w:tr>
    </w:tbl>
    <w:p w14:paraId="28BB90C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25</w:t>
      </w:r>
      <w:r>
        <w:rPr>
          <w:b/>
          <w:color w:val="000000"/>
          <w:sz w:val="20"/>
          <w:szCs w:val="20"/>
        </w:rPr>
        <w:tab/>
        <w:t>Non-current Assets Classified as Held for Sale (or Disposal Groups) (Continued)</w:t>
      </w:r>
    </w:p>
    <w:tbl>
      <w:tblPr>
        <w:tblStyle w:val="afffffffff"/>
        <w:tblW w:w="9355" w:type="dxa"/>
        <w:tblLayout w:type="fixed"/>
        <w:tblLook w:val="0000" w:firstRow="0" w:lastRow="0" w:firstColumn="0" w:lastColumn="0" w:noHBand="0" w:noVBand="0"/>
      </w:tblPr>
      <w:tblGrid>
        <w:gridCol w:w="6973"/>
        <w:gridCol w:w="851"/>
        <w:gridCol w:w="1531"/>
      </w:tblGrid>
      <w:tr w:rsidR="008E5DE4" w14:paraId="5176B9B3" w14:textId="77777777">
        <w:trPr>
          <w:cantSplit/>
        </w:trPr>
        <w:tc>
          <w:tcPr>
            <w:tcW w:w="6973" w:type="dxa"/>
            <w:tcBorders>
              <w:bottom w:val="single" w:sz="4" w:space="0" w:color="000000"/>
            </w:tcBorders>
            <w:vAlign w:val="bottom"/>
          </w:tcPr>
          <w:p w14:paraId="3EADC18A"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851" w:type="dxa"/>
            <w:tcBorders>
              <w:bottom w:val="single" w:sz="4" w:space="0" w:color="000000"/>
            </w:tcBorders>
            <w:vAlign w:val="bottom"/>
          </w:tcPr>
          <w:p w14:paraId="2AE69B28"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tcPr>
          <w:p w14:paraId="6BDB2711" w14:textId="77777777" w:rsidR="008E5DE4" w:rsidRPr="00176789" w:rsidRDefault="00780368">
            <w:pPr>
              <w:widowControl w:val="0"/>
              <w:pBdr>
                <w:top w:val="nil"/>
                <w:left w:val="nil"/>
                <w:bottom w:val="nil"/>
                <w:right w:val="nil"/>
                <w:between w:val="nil"/>
              </w:pBdr>
              <w:ind w:left="-113"/>
              <w:jc w:val="right"/>
              <w:rPr>
                <w:b/>
                <w:bCs/>
                <w:color w:val="000000"/>
              </w:rPr>
            </w:pPr>
            <w:r w:rsidRPr="00176789">
              <w:rPr>
                <w:b/>
                <w:bCs/>
                <w:color w:val="0000FF"/>
              </w:rPr>
              <w:t>[Date of disposal]</w:t>
            </w:r>
          </w:p>
        </w:tc>
      </w:tr>
      <w:tr w:rsidR="008E5DE4" w14:paraId="6EBAC0BC" w14:textId="77777777">
        <w:trPr>
          <w:cantSplit/>
        </w:trPr>
        <w:tc>
          <w:tcPr>
            <w:tcW w:w="6973" w:type="dxa"/>
            <w:tcBorders>
              <w:top w:val="single" w:sz="4" w:space="0" w:color="000000"/>
            </w:tcBorders>
            <w:vAlign w:val="bottom"/>
          </w:tcPr>
          <w:p w14:paraId="52BEF20D" w14:textId="77777777" w:rsidR="008E5DE4" w:rsidRDefault="00780368">
            <w:pPr>
              <w:widowControl w:val="0"/>
              <w:pBdr>
                <w:top w:val="nil"/>
                <w:left w:val="nil"/>
                <w:bottom w:val="nil"/>
                <w:right w:val="nil"/>
                <w:between w:val="nil"/>
              </w:pBdr>
              <w:rPr>
                <w:b/>
                <w:color w:val="000000"/>
              </w:rPr>
            </w:pPr>
            <w:r>
              <w:rPr>
                <w:color w:val="000000"/>
              </w:rPr>
              <w:t> </w:t>
            </w:r>
          </w:p>
        </w:tc>
        <w:tc>
          <w:tcPr>
            <w:tcW w:w="851" w:type="dxa"/>
            <w:tcBorders>
              <w:top w:val="single" w:sz="4" w:space="0" w:color="000000"/>
            </w:tcBorders>
            <w:vAlign w:val="bottom"/>
          </w:tcPr>
          <w:p w14:paraId="0258B764"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tcBorders>
              <w:top w:val="single" w:sz="4" w:space="0" w:color="000000"/>
            </w:tcBorders>
            <w:vAlign w:val="bottom"/>
          </w:tcPr>
          <w:p w14:paraId="20802290" w14:textId="77777777" w:rsidR="008E5DE4" w:rsidRDefault="008E5DE4">
            <w:pPr>
              <w:widowControl w:val="0"/>
              <w:pBdr>
                <w:top w:val="nil"/>
                <w:left w:val="nil"/>
                <w:bottom w:val="nil"/>
                <w:right w:val="nil"/>
                <w:between w:val="nil"/>
              </w:pBdr>
              <w:jc w:val="right"/>
              <w:rPr>
                <w:b/>
                <w:color w:val="000000"/>
              </w:rPr>
            </w:pPr>
          </w:p>
        </w:tc>
      </w:tr>
      <w:tr w:rsidR="008E5DE4" w14:paraId="2E97200A" w14:textId="77777777">
        <w:trPr>
          <w:cantSplit/>
        </w:trPr>
        <w:tc>
          <w:tcPr>
            <w:tcW w:w="6973" w:type="dxa"/>
            <w:vAlign w:val="bottom"/>
          </w:tcPr>
          <w:p w14:paraId="0D80D5A6" w14:textId="77777777" w:rsidR="008E5DE4" w:rsidRDefault="00780368">
            <w:pPr>
              <w:widowControl w:val="0"/>
              <w:pBdr>
                <w:top w:val="nil"/>
                <w:left w:val="nil"/>
                <w:bottom w:val="nil"/>
                <w:right w:val="nil"/>
                <w:between w:val="nil"/>
              </w:pBdr>
              <w:rPr>
                <w:b/>
                <w:color w:val="000000"/>
              </w:rPr>
            </w:pPr>
            <w:r>
              <w:rPr>
                <w:b/>
                <w:color w:val="000000"/>
              </w:rPr>
              <w:t>Total disposal consideration</w:t>
            </w:r>
          </w:p>
        </w:tc>
        <w:tc>
          <w:tcPr>
            <w:tcW w:w="851" w:type="dxa"/>
            <w:vAlign w:val="bottom"/>
          </w:tcPr>
          <w:p w14:paraId="229103C5"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304A5477" w14:textId="77777777" w:rsidR="008E5DE4" w:rsidRDefault="008E5DE4">
            <w:pPr>
              <w:widowControl w:val="0"/>
              <w:pBdr>
                <w:top w:val="nil"/>
                <w:left w:val="nil"/>
                <w:bottom w:val="nil"/>
                <w:right w:val="nil"/>
                <w:between w:val="nil"/>
              </w:pBdr>
              <w:jc w:val="right"/>
              <w:rPr>
                <w:b/>
                <w:color w:val="000000"/>
              </w:rPr>
            </w:pPr>
          </w:p>
        </w:tc>
      </w:tr>
      <w:tr w:rsidR="008E5DE4" w14:paraId="06FE6E8B" w14:textId="77777777">
        <w:trPr>
          <w:cantSplit/>
        </w:trPr>
        <w:tc>
          <w:tcPr>
            <w:tcW w:w="6973" w:type="dxa"/>
            <w:vAlign w:val="bottom"/>
          </w:tcPr>
          <w:p w14:paraId="76B4EC0F" w14:textId="77777777" w:rsidR="008E5DE4" w:rsidRDefault="00780368">
            <w:pPr>
              <w:widowControl w:val="0"/>
              <w:pBdr>
                <w:top w:val="nil"/>
                <w:left w:val="nil"/>
                <w:bottom w:val="nil"/>
                <w:right w:val="nil"/>
                <w:between w:val="nil"/>
              </w:pBdr>
              <w:rPr>
                <w:color w:val="000000"/>
              </w:rPr>
            </w:pPr>
            <w:r>
              <w:rPr>
                <w:color w:val="000000"/>
              </w:rPr>
              <w:t>Less: fair value of receivable arising on disposal</w:t>
            </w:r>
          </w:p>
        </w:tc>
        <w:tc>
          <w:tcPr>
            <w:tcW w:w="851" w:type="dxa"/>
            <w:vAlign w:val="bottom"/>
          </w:tcPr>
          <w:p w14:paraId="15D0DFC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925B787" w14:textId="77777777" w:rsidR="008E5DE4" w:rsidRDefault="008E5DE4">
            <w:pPr>
              <w:widowControl w:val="0"/>
              <w:pBdr>
                <w:top w:val="nil"/>
                <w:left w:val="nil"/>
                <w:bottom w:val="nil"/>
                <w:right w:val="nil"/>
                <w:between w:val="nil"/>
              </w:pBdr>
              <w:jc w:val="right"/>
              <w:rPr>
                <w:b/>
                <w:color w:val="000000"/>
              </w:rPr>
            </w:pPr>
          </w:p>
        </w:tc>
      </w:tr>
      <w:tr w:rsidR="008E5DE4" w14:paraId="59B55500" w14:textId="77777777">
        <w:trPr>
          <w:cantSplit/>
        </w:trPr>
        <w:tc>
          <w:tcPr>
            <w:tcW w:w="6973" w:type="dxa"/>
            <w:vAlign w:val="bottom"/>
          </w:tcPr>
          <w:p w14:paraId="69E37C52" w14:textId="77777777" w:rsidR="008E5DE4" w:rsidRDefault="00780368">
            <w:pPr>
              <w:widowControl w:val="0"/>
              <w:pBdr>
                <w:top w:val="nil"/>
                <w:left w:val="nil"/>
                <w:bottom w:val="nil"/>
                <w:right w:val="nil"/>
                <w:between w:val="nil"/>
              </w:pBdr>
              <w:rPr>
                <w:color w:val="000000"/>
              </w:rPr>
            </w:pPr>
            <w:r>
              <w:rPr>
                <w:color w:val="000000"/>
              </w:rPr>
              <w:t xml:space="preserve">Less: cash and cash equivalents in disposed subsidiary </w:t>
            </w:r>
          </w:p>
        </w:tc>
        <w:tc>
          <w:tcPr>
            <w:tcW w:w="851" w:type="dxa"/>
            <w:vAlign w:val="bottom"/>
          </w:tcPr>
          <w:p w14:paraId="57254DF9"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D2D30C8" w14:textId="77777777" w:rsidR="008E5DE4" w:rsidRDefault="008E5DE4">
            <w:pPr>
              <w:widowControl w:val="0"/>
              <w:pBdr>
                <w:top w:val="nil"/>
                <w:left w:val="nil"/>
                <w:bottom w:val="nil"/>
                <w:right w:val="nil"/>
                <w:between w:val="nil"/>
              </w:pBdr>
              <w:jc w:val="right"/>
              <w:rPr>
                <w:b/>
                <w:color w:val="000000"/>
              </w:rPr>
            </w:pPr>
          </w:p>
        </w:tc>
      </w:tr>
      <w:tr w:rsidR="008E5DE4" w14:paraId="27A07D86" w14:textId="77777777">
        <w:trPr>
          <w:cantSplit/>
        </w:trPr>
        <w:tc>
          <w:tcPr>
            <w:tcW w:w="6973" w:type="dxa"/>
            <w:tcBorders>
              <w:bottom w:val="single" w:sz="4" w:space="0" w:color="000000"/>
            </w:tcBorders>
            <w:vAlign w:val="bottom"/>
          </w:tcPr>
          <w:p w14:paraId="1C8AD3DE" w14:textId="77777777" w:rsidR="008E5DE4" w:rsidRDefault="00780368">
            <w:pPr>
              <w:widowControl w:val="0"/>
              <w:pBdr>
                <w:top w:val="nil"/>
                <w:left w:val="nil"/>
                <w:bottom w:val="nil"/>
                <w:right w:val="nil"/>
                <w:between w:val="nil"/>
              </w:pBdr>
              <w:rPr>
                <w:color w:val="000000"/>
              </w:rPr>
            </w:pPr>
            <w:r>
              <w:rPr>
                <w:color w:val="000000"/>
              </w:rPr>
              <w:t> </w:t>
            </w:r>
          </w:p>
        </w:tc>
        <w:tc>
          <w:tcPr>
            <w:tcW w:w="851" w:type="dxa"/>
            <w:tcBorders>
              <w:bottom w:val="single" w:sz="4" w:space="0" w:color="000000"/>
            </w:tcBorders>
            <w:vAlign w:val="bottom"/>
          </w:tcPr>
          <w:p w14:paraId="14EEB096"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23F9222A" w14:textId="77777777" w:rsidR="008E5DE4" w:rsidRDefault="008E5DE4">
            <w:pPr>
              <w:widowControl w:val="0"/>
              <w:pBdr>
                <w:top w:val="nil"/>
                <w:left w:val="nil"/>
                <w:bottom w:val="nil"/>
                <w:right w:val="nil"/>
                <w:between w:val="nil"/>
              </w:pBdr>
              <w:jc w:val="right"/>
              <w:rPr>
                <w:b/>
                <w:color w:val="000000"/>
              </w:rPr>
            </w:pPr>
          </w:p>
        </w:tc>
      </w:tr>
      <w:tr w:rsidR="008E5DE4" w14:paraId="49ED765C" w14:textId="77777777">
        <w:trPr>
          <w:cantSplit/>
        </w:trPr>
        <w:tc>
          <w:tcPr>
            <w:tcW w:w="6973" w:type="dxa"/>
            <w:tcBorders>
              <w:top w:val="single" w:sz="4" w:space="0" w:color="000000"/>
            </w:tcBorders>
            <w:vAlign w:val="bottom"/>
          </w:tcPr>
          <w:p w14:paraId="52FC5678" w14:textId="77777777" w:rsidR="008E5DE4" w:rsidRDefault="00780368">
            <w:pPr>
              <w:widowControl w:val="0"/>
              <w:pBdr>
                <w:top w:val="nil"/>
                <w:left w:val="nil"/>
                <w:bottom w:val="nil"/>
                <w:right w:val="nil"/>
                <w:between w:val="nil"/>
              </w:pBdr>
              <w:rPr>
                <w:color w:val="000000"/>
              </w:rPr>
            </w:pPr>
            <w:r>
              <w:rPr>
                <w:color w:val="000000"/>
              </w:rPr>
              <w:t> </w:t>
            </w:r>
          </w:p>
        </w:tc>
        <w:tc>
          <w:tcPr>
            <w:tcW w:w="851" w:type="dxa"/>
            <w:tcBorders>
              <w:top w:val="single" w:sz="4" w:space="0" w:color="000000"/>
            </w:tcBorders>
            <w:vAlign w:val="bottom"/>
          </w:tcPr>
          <w:p w14:paraId="358E1CCD"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27F3AAD5" w14:textId="77777777" w:rsidR="008E5DE4" w:rsidRDefault="008E5DE4">
            <w:pPr>
              <w:widowControl w:val="0"/>
              <w:pBdr>
                <w:top w:val="nil"/>
                <w:left w:val="nil"/>
                <w:bottom w:val="nil"/>
                <w:right w:val="nil"/>
                <w:between w:val="nil"/>
              </w:pBdr>
              <w:jc w:val="right"/>
              <w:rPr>
                <w:b/>
                <w:color w:val="000000"/>
              </w:rPr>
            </w:pPr>
          </w:p>
        </w:tc>
      </w:tr>
      <w:tr w:rsidR="008E5DE4" w14:paraId="7C49F164" w14:textId="77777777">
        <w:trPr>
          <w:cantSplit/>
        </w:trPr>
        <w:tc>
          <w:tcPr>
            <w:tcW w:w="6973" w:type="dxa"/>
            <w:vAlign w:val="bottom"/>
          </w:tcPr>
          <w:p w14:paraId="35E27E1D" w14:textId="77777777" w:rsidR="008E5DE4" w:rsidRDefault="00780368">
            <w:pPr>
              <w:widowControl w:val="0"/>
              <w:pBdr>
                <w:top w:val="nil"/>
                <w:left w:val="nil"/>
                <w:bottom w:val="nil"/>
                <w:right w:val="nil"/>
                <w:between w:val="nil"/>
              </w:pBdr>
              <w:rPr>
                <w:b/>
                <w:color w:val="000000"/>
              </w:rPr>
            </w:pPr>
            <w:r>
              <w:rPr>
                <w:b/>
                <w:color w:val="000000"/>
              </w:rPr>
              <w:t>Cash inflow on disposal</w:t>
            </w:r>
          </w:p>
        </w:tc>
        <w:tc>
          <w:tcPr>
            <w:tcW w:w="851" w:type="dxa"/>
            <w:vAlign w:val="bottom"/>
          </w:tcPr>
          <w:p w14:paraId="4D0CFE71"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068A2213" w14:textId="77777777" w:rsidR="008E5DE4" w:rsidRDefault="008E5DE4">
            <w:pPr>
              <w:widowControl w:val="0"/>
              <w:pBdr>
                <w:top w:val="nil"/>
                <w:left w:val="nil"/>
                <w:bottom w:val="nil"/>
                <w:right w:val="nil"/>
                <w:between w:val="nil"/>
              </w:pBdr>
              <w:jc w:val="right"/>
              <w:rPr>
                <w:b/>
                <w:color w:val="000000"/>
              </w:rPr>
            </w:pPr>
          </w:p>
        </w:tc>
      </w:tr>
      <w:tr w:rsidR="008E5DE4" w14:paraId="259C8006" w14:textId="77777777">
        <w:trPr>
          <w:cantSplit/>
        </w:trPr>
        <w:tc>
          <w:tcPr>
            <w:tcW w:w="6973" w:type="dxa"/>
            <w:tcBorders>
              <w:bottom w:val="single" w:sz="12" w:space="0" w:color="000000"/>
            </w:tcBorders>
            <w:vAlign w:val="bottom"/>
          </w:tcPr>
          <w:p w14:paraId="3BBE75E6" w14:textId="77777777" w:rsidR="008E5DE4" w:rsidRDefault="00780368">
            <w:pPr>
              <w:widowControl w:val="0"/>
              <w:pBdr>
                <w:top w:val="nil"/>
                <w:left w:val="nil"/>
                <w:bottom w:val="nil"/>
                <w:right w:val="nil"/>
                <w:between w:val="nil"/>
              </w:pBdr>
              <w:rPr>
                <w:color w:val="000000"/>
              </w:rPr>
            </w:pPr>
            <w:r>
              <w:rPr>
                <w:color w:val="000000"/>
              </w:rPr>
              <w:t> </w:t>
            </w:r>
          </w:p>
        </w:tc>
        <w:tc>
          <w:tcPr>
            <w:tcW w:w="851" w:type="dxa"/>
            <w:tcBorders>
              <w:bottom w:val="single" w:sz="12" w:space="0" w:color="000000"/>
            </w:tcBorders>
            <w:vAlign w:val="bottom"/>
          </w:tcPr>
          <w:p w14:paraId="14BDDA0A"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5262712C" w14:textId="77777777" w:rsidR="008E5DE4" w:rsidRDefault="008E5DE4">
            <w:pPr>
              <w:widowControl w:val="0"/>
              <w:pBdr>
                <w:top w:val="nil"/>
                <w:left w:val="nil"/>
                <w:bottom w:val="nil"/>
                <w:right w:val="nil"/>
                <w:between w:val="nil"/>
              </w:pBdr>
              <w:jc w:val="right"/>
              <w:rPr>
                <w:b/>
                <w:color w:val="000000"/>
              </w:rPr>
            </w:pPr>
          </w:p>
        </w:tc>
      </w:tr>
    </w:tbl>
    <w:p w14:paraId="7FE83440" w14:textId="77777777" w:rsidR="008E5DE4" w:rsidRDefault="00780368">
      <w:pPr>
        <w:widowControl w:val="0"/>
        <w:spacing w:before="200" w:after="200"/>
        <w:jc w:val="both"/>
        <w:rPr>
          <w:sz w:val="20"/>
          <w:szCs w:val="20"/>
        </w:rPr>
      </w:pPr>
      <w:r>
        <w:rPr>
          <w:sz w:val="20"/>
          <w:szCs w:val="20"/>
        </w:rPr>
        <w:t xml:space="preserve">The Group has recorded a gain [loss] from disposal of the subsidiary of EUR _____ thousand within </w:t>
      </w:r>
      <w:r>
        <w:rPr>
          <w:color w:val="0000FF"/>
          <w:sz w:val="20"/>
          <w:szCs w:val="20"/>
        </w:rPr>
        <w:t>[other income]</w:t>
      </w:r>
      <w:r>
        <w:rPr>
          <w:sz w:val="20"/>
          <w:szCs w:val="20"/>
        </w:rPr>
        <w:t xml:space="preserve">. </w:t>
      </w:r>
    </w:p>
    <w:tbl>
      <w:tblPr>
        <w:tblStyle w:val="afffffffff0"/>
        <w:tblW w:w="9343" w:type="dxa"/>
        <w:tblLayout w:type="fixed"/>
        <w:tblLook w:val="0000" w:firstRow="0" w:lastRow="0" w:firstColumn="0" w:lastColumn="0" w:noHBand="0" w:noVBand="0"/>
      </w:tblPr>
      <w:tblGrid>
        <w:gridCol w:w="6973"/>
        <w:gridCol w:w="839"/>
        <w:gridCol w:w="1531"/>
      </w:tblGrid>
      <w:tr w:rsidR="008E5DE4" w14:paraId="5774EABD" w14:textId="77777777">
        <w:trPr>
          <w:cantSplit/>
        </w:trPr>
        <w:tc>
          <w:tcPr>
            <w:tcW w:w="6973" w:type="dxa"/>
            <w:tcBorders>
              <w:bottom w:val="single" w:sz="4" w:space="0" w:color="000000"/>
            </w:tcBorders>
            <w:vAlign w:val="bottom"/>
          </w:tcPr>
          <w:p w14:paraId="0A2985CC"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39" w:type="dxa"/>
            <w:tcBorders>
              <w:bottom w:val="single" w:sz="4" w:space="0" w:color="000000"/>
            </w:tcBorders>
            <w:vAlign w:val="bottom"/>
          </w:tcPr>
          <w:p w14:paraId="75FE910A"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tcPr>
          <w:p w14:paraId="420F13BC" w14:textId="77777777" w:rsidR="008E5DE4" w:rsidRDefault="00780368">
            <w:pPr>
              <w:widowControl w:val="0"/>
              <w:pBdr>
                <w:top w:val="nil"/>
                <w:left w:val="nil"/>
                <w:bottom w:val="nil"/>
                <w:right w:val="nil"/>
                <w:between w:val="nil"/>
              </w:pBdr>
              <w:ind w:left="-113"/>
              <w:jc w:val="right"/>
              <w:rPr>
                <w:b/>
                <w:color w:val="0000FF"/>
              </w:rPr>
            </w:pPr>
            <w:r>
              <w:rPr>
                <w:b/>
                <w:color w:val="0000FF"/>
              </w:rPr>
              <w:t>Gain [loss] on disposal of subsidiary</w:t>
            </w:r>
          </w:p>
        </w:tc>
      </w:tr>
      <w:tr w:rsidR="008E5DE4" w14:paraId="3BF81177" w14:textId="77777777">
        <w:trPr>
          <w:cantSplit/>
        </w:trPr>
        <w:tc>
          <w:tcPr>
            <w:tcW w:w="6973" w:type="dxa"/>
            <w:vAlign w:val="bottom"/>
          </w:tcPr>
          <w:p w14:paraId="3B5E2D87"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39" w:type="dxa"/>
            <w:vAlign w:val="bottom"/>
          </w:tcPr>
          <w:p w14:paraId="270557DB"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3082ECC" w14:textId="77777777" w:rsidR="008E5DE4" w:rsidRDefault="008E5DE4">
            <w:pPr>
              <w:widowControl w:val="0"/>
              <w:pBdr>
                <w:top w:val="nil"/>
                <w:left w:val="nil"/>
                <w:bottom w:val="nil"/>
                <w:right w:val="nil"/>
                <w:between w:val="nil"/>
              </w:pBdr>
              <w:jc w:val="right"/>
              <w:rPr>
                <w:color w:val="000000"/>
              </w:rPr>
            </w:pPr>
          </w:p>
        </w:tc>
      </w:tr>
      <w:tr w:rsidR="008E5DE4" w14:paraId="3937B5E8" w14:textId="77777777">
        <w:trPr>
          <w:cantSplit/>
        </w:trPr>
        <w:tc>
          <w:tcPr>
            <w:tcW w:w="6973" w:type="dxa"/>
            <w:vAlign w:val="bottom"/>
          </w:tcPr>
          <w:p w14:paraId="36C2D567" w14:textId="77777777" w:rsidR="008E5DE4" w:rsidRDefault="00780368">
            <w:pPr>
              <w:widowControl w:val="0"/>
              <w:pBdr>
                <w:top w:val="nil"/>
                <w:left w:val="nil"/>
                <w:bottom w:val="nil"/>
                <w:right w:val="nil"/>
                <w:between w:val="nil"/>
              </w:pBdr>
              <w:ind w:left="113" w:right="-57" w:hanging="113"/>
              <w:rPr>
                <w:color w:val="000000"/>
              </w:rPr>
            </w:pPr>
            <w:r>
              <w:rPr>
                <w:color w:val="000000"/>
              </w:rPr>
              <w:t>Consideration for disposal of the subsidiary</w:t>
            </w:r>
          </w:p>
        </w:tc>
        <w:tc>
          <w:tcPr>
            <w:tcW w:w="839" w:type="dxa"/>
            <w:vAlign w:val="bottom"/>
          </w:tcPr>
          <w:p w14:paraId="6B819BB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63FD0BC" w14:textId="77777777" w:rsidR="008E5DE4" w:rsidRDefault="008E5DE4">
            <w:pPr>
              <w:widowControl w:val="0"/>
              <w:pBdr>
                <w:top w:val="nil"/>
                <w:left w:val="nil"/>
                <w:bottom w:val="nil"/>
                <w:right w:val="nil"/>
                <w:between w:val="nil"/>
              </w:pBdr>
              <w:jc w:val="right"/>
              <w:rPr>
                <w:color w:val="000000"/>
              </w:rPr>
            </w:pPr>
          </w:p>
        </w:tc>
      </w:tr>
      <w:tr w:rsidR="008E5DE4" w14:paraId="4C62AABA" w14:textId="77777777">
        <w:trPr>
          <w:cantSplit/>
        </w:trPr>
        <w:tc>
          <w:tcPr>
            <w:tcW w:w="6973" w:type="dxa"/>
            <w:vAlign w:val="bottom"/>
          </w:tcPr>
          <w:p w14:paraId="294A578E" w14:textId="77777777" w:rsidR="008E5DE4" w:rsidRDefault="00780368">
            <w:pPr>
              <w:widowControl w:val="0"/>
              <w:pBdr>
                <w:top w:val="nil"/>
                <w:left w:val="nil"/>
                <w:bottom w:val="nil"/>
                <w:right w:val="nil"/>
                <w:between w:val="nil"/>
              </w:pBdr>
              <w:ind w:left="113" w:right="-57" w:hanging="113"/>
              <w:rPr>
                <w:i/>
                <w:color w:val="000000"/>
              </w:rPr>
            </w:pPr>
            <w:r>
              <w:rPr>
                <w:color w:val="000000"/>
              </w:rPr>
              <w:t>Carrying amount of disposed net assets, net of non-controlling interest</w:t>
            </w:r>
          </w:p>
        </w:tc>
        <w:tc>
          <w:tcPr>
            <w:tcW w:w="839" w:type="dxa"/>
            <w:vAlign w:val="bottom"/>
          </w:tcPr>
          <w:p w14:paraId="240DA6FF"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ACC5842" w14:textId="77777777" w:rsidR="008E5DE4" w:rsidRDefault="008E5DE4">
            <w:pPr>
              <w:widowControl w:val="0"/>
              <w:pBdr>
                <w:top w:val="nil"/>
                <w:left w:val="nil"/>
                <w:bottom w:val="nil"/>
                <w:right w:val="nil"/>
                <w:between w:val="nil"/>
              </w:pBdr>
              <w:jc w:val="right"/>
              <w:rPr>
                <w:color w:val="000000"/>
              </w:rPr>
            </w:pPr>
          </w:p>
        </w:tc>
      </w:tr>
      <w:tr w:rsidR="008E5DE4" w14:paraId="19B5611B" w14:textId="77777777">
        <w:trPr>
          <w:cantSplit/>
        </w:trPr>
        <w:tc>
          <w:tcPr>
            <w:tcW w:w="6973" w:type="dxa"/>
            <w:vAlign w:val="bottom"/>
          </w:tcPr>
          <w:p w14:paraId="003C77BE" w14:textId="77777777" w:rsidR="008E5DE4" w:rsidRDefault="00780368">
            <w:pPr>
              <w:widowControl w:val="0"/>
              <w:pBdr>
                <w:top w:val="nil"/>
                <w:left w:val="nil"/>
                <w:bottom w:val="nil"/>
                <w:right w:val="nil"/>
                <w:between w:val="nil"/>
              </w:pBdr>
              <w:ind w:left="113" w:right="-57" w:hanging="113"/>
              <w:rPr>
                <w:color w:val="000000"/>
              </w:rPr>
            </w:pPr>
            <w:r>
              <w:rPr>
                <w:color w:val="000000"/>
              </w:rPr>
              <w:t>Cumulative currency translation reserve on foreign operation recycled from other comprehensive income to profit or loss</w:t>
            </w:r>
          </w:p>
        </w:tc>
        <w:tc>
          <w:tcPr>
            <w:tcW w:w="839" w:type="dxa"/>
            <w:vAlign w:val="bottom"/>
          </w:tcPr>
          <w:p w14:paraId="2ACA632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14AB2AD" w14:textId="77777777" w:rsidR="008E5DE4" w:rsidRDefault="008E5DE4">
            <w:pPr>
              <w:widowControl w:val="0"/>
              <w:pBdr>
                <w:top w:val="nil"/>
                <w:left w:val="nil"/>
                <w:bottom w:val="nil"/>
                <w:right w:val="nil"/>
                <w:between w:val="nil"/>
              </w:pBdr>
              <w:jc w:val="right"/>
              <w:rPr>
                <w:color w:val="000000"/>
              </w:rPr>
            </w:pPr>
          </w:p>
        </w:tc>
      </w:tr>
      <w:tr w:rsidR="008E5DE4" w14:paraId="291D21A3" w14:textId="77777777">
        <w:trPr>
          <w:cantSplit/>
        </w:trPr>
        <w:tc>
          <w:tcPr>
            <w:tcW w:w="6973" w:type="dxa"/>
            <w:tcBorders>
              <w:bottom w:val="single" w:sz="4" w:space="0" w:color="000000"/>
            </w:tcBorders>
            <w:vAlign w:val="bottom"/>
          </w:tcPr>
          <w:p w14:paraId="5E5AFC82"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839" w:type="dxa"/>
            <w:tcBorders>
              <w:bottom w:val="single" w:sz="4" w:space="0" w:color="000000"/>
            </w:tcBorders>
            <w:vAlign w:val="bottom"/>
          </w:tcPr>
          <w:p w14:paraId="6395EDCD"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09D0C4DE" w14:textId="77777777" w:rsidR="008E5DE4" w:rsidRDefault="008E5DE4">
            <w:pPr>
              <w:widowControl w:val="0"/>
              <w:pBdr>
                <w:top w:val="nil"/>
                <w:left w:val="nil"/>
                <w:bottom w:val="nil"/>
                <w:right w:val="nil"/>
                <w:between w:val="nil"/>
              </w:pBdr>
              <w:jc w:val="right"/>
              <w:rPr>
                <w:color w:val="000000"/>
              </w:rPr>
            </w:pPr>
          </w:p>
        </w:tc>
      </w:tr>
      <w:tr w:rsidR="008E5DE4" w14:paraId="61F06D29" w14:textId="77777777">
        <w:trPr>
          <w:cantSplit/>
        </w:trPr>
        <w:tc>
          <w:tcPr>
            <w:tcW w:w="6973" w:type="dxa"/>
            <w:tcBorders>
              <w:top w:val="single" w:sz="4" w:space="0" w:color="000000"/>
            </w:tcBorders>
            <w:vAlign w:val="bottom"/>
          </w:tcPr>
          <w:p w14:paraId="5DA02B67"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39" w:type="dxa"/>
            <w:tcBorders>
              <w:top w:val="single" w:sz="4" w:space="0" w:color="000000"/>
            </w:tcBorders>
            <w:vAlign w:val="bottom"/>
          </w:tcPr>
          <w:p w14:paraId="64ADE94E"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7EDC3BD6" w14:textId="77777777" w:rsidR="008E5DE4" w:rsidRDefault="008E5DE4">
            <w:pPr>
              <w:widowControl w:val="0"/>
              <w:pBdr>
                <w:top w:val="nil"/>
                <w:left w:val="nil"/>
                <w:bottom w:val="nil"/>
                <w:right w:val="nil"/>
                <w:between w:val="nil"/>
              </w:pBdr>
              <w:jc w:val="right"/>
              <w:rPr>
                <w:b/>
                <w:color w:val="000000"/>
              </w:rPr>
            </w:pPr>
          </w:p>
        </w:tc>
      </w:tr>
      <w:tr w:rsidR="008E5DE4" w14:paraId="4E3D290F" w14:textId="77777777">
        <w:trPr>
          <w:cantSplit/>
        </w:trPr>
        <w:tc>
          <w:tcPr>
            <w:tcW w:w="6973" w:type="dxa"/>
            <w:vAlign w:val="bottom"/>
          </w:tcPr>
          <w:p w14:paraId="5F98B7CD"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Gain </w:t>
            </w:r>
            <w:r>
              <w:rPr>
                <w:b/>
                <w:color w:val="0000FF"/>
              </w:rPr>
              <w:t>[loss]</w:t>
            </w:r>
            <w:r>
              <w:rPr>
                <w:color w:val="1F497D"/>
              </w:rPr>
              <w:t xml:space="preserve"> </w:t>
            </w:r>
            <w:r>
              <w:rPr>
                <w:b/>
                <w:color w:val="000000"/>
              </w:rPr>
              <w:t>on disposal of subsidiary</w:t>
            </w:r>
          </w:p>
        </w:tc>
        <w:tc>
          <w:tcPr>
            <w:tcW w:w="839" w:type="dxa"/>
            <w:vAlign w:val="bottom"/>
          </w:tcPr>
          <w:p w14:paraId="00D0219F"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4BA684B0" w14:textId="77777777" w:rsidR="008E5DE4" w:rsidRDefault="008E5DE4">
            <w:pPr>
              <w:widowControl w:val="0"/>
              <w:pBdr>
                <w:top w:val="nil"/>
                <w:left w:val="nil"/>
                <w:bottom w:val="nil"/>
                <w:right w:val="nil"/>
                <w:between w:val="nil"/>
              </w:pBdr>
              <w:jc w:val="right"/>
              <w:rPr>
                <w:b/>
                <w:color w:val="000000"/>
              </w:rPr>
            </w:pPr>
          </w:p>
        </w:tc>
      </w:tr>
      <w:tr w:rsidR="008E5DE4" w14:paraId="3918ADF1" w14:textId="77777777">
        <w:trPr>
          <w:cantSplit/>
        </w:trPr>
        <w:tc>
          <w:tcPr>
            <w:tcW w:w="6973" w:type="dxa"/>
            <w:tcBorders>
              <w:bottom w:val="single" w:sz="12" w:space="0" w:color="000000"/>
            </w:tcBorders>
            <w:vAlign w:val="bottom"/>
          </w:tcPr>
          <w:p w14:paraId="1B5CF09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39" w:type="dxa"/>
            <w:tcBorders>
              <w:bottom w:val="single" w:sz="12" w:space="0" w:color="000000"/>
            </w:tcBorders>
            <w:vAlign w:val="bottom"/>
          </w:tcPr>
          <w:p w14:paraId="57862638"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507524FC" w14:textId="77777777" w:rsidR="008E5DE4" w:rsidRDefault="008E5DE4">
            <w:pPr>
              <w:widowControl w:val="0"/>
              <w:pBdr>
                <w:top w:val="nil"/>
                <w:left w:val="nil"/>
                <w:bottom w:val="nil"/>
                <w:right w:val="nil"/>
                <w:between w:val="nil"/>
              </w:pBdr>
              <w:jc w:val="right"/>
              <w:rPr>
                <w:b/>
                <w:color w:val="000000"/>
              </w:rPr>
            </w:pPr>
          </w:p>
        </w:tc>
      </w:tr>
    </w:tbl>
    <w:p w14:paraId="02D5BA97"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portion of the gain or loss on disposal of the subsidiary attributable to measuring the investment retained in the former subsidiary at fair value at the date when control was lost amounts to EUR ____ thousand.</w:t>
      </w:r>
    </w:p>
    <w:p w14:paraId="21D5598E" w14:textId="3FA6F353" w:rsidR="008E5DE4" w:rsidRPr="007F183E" w:rsidRDefault="00C07603" w:rsidP="007F183E">
      <w:pPr>
        <w:pStyle w:val="Heading1"/>
        <w:numPr>
          <w:ilvl w:val="0"/>
          <w:numId w:val="0"/>
        </w:numPr>
        <w:ind w:left="689" w:hanging="689"/>
        <w:rPr>
          <w:color w:val="000000"/>
          <w:kern w:val="0"/>
          <w:szCs w:val="20"/>
        </w:rPr>
      </w:pPr>
      <w:r w:rsidRPr="007F183E">
        <w:rPr>
          <w:color w:val="000000"/>
          <w:szCs w:val="20"/>
        </w:rPr>
        <w:t xml:space="preserve">26 </w:t>
      </w:r>
      <w:r>
        <w:rPr>
          <w:color w:val="000000"/>
          <w:szCs w:val="20"/>
        </w:rPr>
        <w:tab/>
      </w:r>
      <w:bookmarkStart w:id="45" w:name="_Toc149923625"/>
      <w:r w:rsidR="00780368" w:rsidRPr="007F183E">
        <w:rPr>
          <w:color w:val="000000"/>
          <w:kern w:val="0"/>
          <w:szCs w:val="20"/>
        </w:rPr>
        <w:t>Share Capital</w:t>
      </w:r>
      <w:bookmarkEnd w:id="45"/>
      <w:r w:rsidR="00780368" w:rsidRPr="007F183E">
        <w:rPr>
          <w:color w:val="000000"/>
          <w:kern w:val="0"/>
          <w:szCs w:val="20"/>
        </w:rPr>
        <w:t xml:space="preserve"> </w:t>
      </w:r>
    </w:p>
    <w:p w14:paraId="10D95443" w14:textId="3F7FDFAB"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66D9D757"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b/>
          <w:i/>
          <w:color w:val="000000"/>
          <w:sz w:val="20"/>
          <w:szCs w:val="20"/>
        </w:rPr>
        <w:t xml:space="preserve">Share capital. </w:t>
      </w:r>
      <w:r>
        <w:rPr>
          <w:color w:val="000000"/>
          <w:sz w:val="20"/>
          <w:szCs w:val="20"/>
        </w:rPr>
        <w:t xml:space="preserve">Ordinary shares and non-redeemable preference shares with discretionary dividends are both classified as equity. Incremental costs directly attributable to the issue of new shares </w:t>
      </w:r>
      <w:r>
        <w:rPr>
          <w:color w:val="0000FF"/>
          <w:sz w:val="20"/>
          <w:szCs w:val="20"/>
        </w:rPr>
        <w:t>[or options]</w:t>
      </w:r>
      <w:r>
        <w:rPr>
          <w:color w:val="000000"/>
          <w:sz w:val="20"/>
          <w:szCs w:val="20"/>
        </w:rPr>
        <w:t xml:space="preserve"> are shown in equity as a deduction, net of tax, from the proceeds. Any excess of the fair value of consideration received over the par value of shares issued is recorded as share premium in equity.</w:t>
      </w:r>
    </w:p>
    <w:p w14:paraId="4E27184B"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FF"/>
          <w:sz w:val="20"/>
          <w:szCs w:val="20"/>
        </w:rPr>
      </w:pPr>
      <w:r>
        <w:rPr>
          <w:color w:val="0000FF"/>
          <w:sz w:val="20"/>
          <w:szCs w:val="20"/>
        </w:rPr>
        <w:t>[Preference shares which carry a mandatory coupon or are redeemable on a specific date or at the option of the shareholder are classified as financial liabilities and are presented in [borrowings]. The dividends on these preference shares are recognised as interest expense within finance costs on an amortised cost basis using the effective interest method.]</w:t>
      </w:r>
    </w:p>
    <w:p w14:paraId="4CDBE078"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FF"/>
          <w:sz w:val="20"/>
          <w:szCs w:val="20"/>
        </w:rPr>
      </w:pPr>
      <w:r>
        <w:rPr>
          <w:color w:val="0000FF"/>
          <w:sz w:val="20"/>
          <w:szCs w:val="20"/>
        </w:rPr>
        <w:t xml:space="preserve">[Ordinary shares issued to a lender (who is not an owner of the entity) </w:t>
      </w:r>
      <w:proofErr w:type="gramStart"/>
      <w:r>
        <w:rPr>
          <w:color w:val="0000FF"/>
          <w:sz w:val="20"/>
          <w:szCs w:val="20"/>
        </w:rPr>
        <w:t>in order to</w:t>
      </w:r>
      <w:proofErr w:type="gramEnd"/>
      <w:r>
        <w:rPr>
          <w:color w:val="0000FF"/>
          <w:sz w:val="20"/>
          <w:szCs w:val="20"/>
        </w:rPr>
        <w:t xml:space="preserve"> settle a financial liability are recorded at the fair value of the shares issued when the settlement in shares was not part of the original terms and conditions of the borrowing. A gain or loss on the negotiated early extinguishment of the debt is recognised in profit or loss.]</w:t>
      </w:r>
    </w:p>
    <w:p w14:paraId="2A3F32A9"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26</w:t>
      </w:r>
      <w:r>
        <w:rPr>
          <w:b/>
          <w:color w:val="000000"/>
          <w:sz w:val="20"/>
          <w:szCs w:val="20"/>
        </w:rPr>
        <w:tab/>
        <w:t>Share Capital (Continued)</w:t>
      </w:r>
    </w:p>
    <w:p w14:paraId="558759C8" w14:textId="77777777" w:rsidR="008E5DE4" w:rsidRDefault="00780368">
      <w:pPr>
        <w:widowControl w:val="0"/>
        <w:pBdr>
          <w:top w:val="nil"/>
          <w:left w:val="nil"/>
          <w:bottom w:val="nil"/>
          <w:right w:val="nil"/>
          <w:between w:val="nil"/>
        </w:pBdr>
        <w:shd w:val="clear" w:color="auto" w:fill="C6D9F1"/>
        <w:spacing w:before="200" w:after="200" w:line="228" w:lineRule="auto"/>
        <w:jc w:val="both"/>
        <w:rPr>
          <w:b/>
          <w:i/>
          <w:color w:val="000000"/>
          <w:sz w:val="20"/>
          <w:szCs w:val="20"/>
        </w:rPr>
      </w:pPr>
      <w:r>
        <w:rPr>
          <w:b/>
          <w:i/>
          <w:color w:val="0000FF"/>
          <w:sz w:val="20"/>
          <w:szCs w:val="20"/>
        </w:rPr>
        <w:t xml:space="preserve">[Treasury shares. </w:t>
      </w:r>
      <w:r>
        <w:rPr>
          <w:color w:val="0000FF"/>
          <w:sz w:val="20"/>
          <w:szCs w:val="20"/>
        </w:rPr>
        <w:t>Where the Company or its subsidiaries purchase the Company’s equity instruments, the consideration paid, including any directly attributable incremental costs, net of income taxes, is deducted from the equity attributable to the Company’s owners until the equity instruments are reissued, disposed of or cancelled. Where such shares are subsequently sold or reissued, any consideration received, net of any directly attributable incremental transaction costs and the related income tax effects, is included in equity attributable to the Company’s owners.]</w:t>
      </w:r>
    </w:p>
    <w:p w14:paraId="448C2612"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b/>
          <w:i/>
          <w:color w:val="000000"/>
          <w:sz w:val="20"/>
          <w:szCs w:val="20"/>
        </w:rPr>
        <w:t xml:space="preserve">Dividends. </w:t>
      </w:r>
      <w:r>
        <w:rPr>
          <w:color w:val="000000"/>
          <w:sz w:val="20"/>
          <w:szCs w:val="20"/>
        </w:rPr>
        <w:t xml:space="preserve">Dividends are recorded as a liability and deducted from equity in the period in which they are declared and approved. Any dividends declared after the reporting period and before the consolidated financial statements are authorised for issue are disclosed in the subsequent events note. The statutory accounting reports of the Company are the basis for profit distribution and other appropriations.  </w:t>
      </w:r>
      <w:r>
        <w:rPr>
          <w:color w:val="0000FF"/>
          <w:sz w:val="20"/>
          <w:szCs w:val="20"/>
        </w:rPr>
        <w:t>[Country’s]</w:t>
      </w:r>
      <w:r>
        <w:rPr>
          <w:color w:val="000000"/>
          <w:sz w:val="20"/>
          <w:szCs w:val="20"/>
        </w:rPr>
        <w:t xml:space="preserve"> legislation identifies the basis of distribution as the current year net profit. </w:t>
      </w:r>
    </w:p>
    <w:p w14:paraId="648F76AA" w14:textId="5B6C3481" w:rsidR="008E5DE4" w:rsidRDefault="008E5DE4">
      <w:pPr>
        <w:widowControl w:val="0"/>
        <w:pBdr>
          <w:top w:val="nil"/>
          <w:left w:val="nil"/>
          <w:bottom w:val="nil"/>
          <w:right w:val="nil"/>
          <w:between w:val="nil"/>
        </w:pBdr>
        <w:spacing w:before="200" w:after="200"/>
        <w:jc w:val="both"/>
        <w:rPr>
          <w:i/>
          <w:color w:val="FF0000"/>
          <w:sz w:val="20"/>
          <w:szCs w:val="20"/>
        </w:rPr>
      </w:pPr>
    </w:p>
    <w:tbl>
      <w:tblPr>
        <w:tblStyle w:val="afffffffff1"/>
        <w:tblW w:w="9412" w:type="dxa"/>
        <w:tblLayout w:type="fixed"/>
        <w:tblLook w:val="0000" w:firstRow="0" w:lastRow="0" w:firstColumn="0" w:lastColumn="0" w:noHBand="0" w:noVBand="0"/>
      </w:tblPr>
      <w:tblGrid>
        <w:gridCol w:w="2467"/>
        <w:gridCol w:w="1275"/>
        <w:gridCol w:w="1134"/>
        <w:gridCol w:w="1134"/>
        <w:gridCol w:w="1134"/>
        <w:gridCol w:w="1134"/>
        <w:gridCol w:w="1134"/>
      </w:tblGrid>
      <w:tr w:rsidR="008E5DE4" w14:paraId="5DCE1037" w14:textId="77777777">
        <w:trPr>
          <w:cantSplit/>
        </w:trPr>
        <w:tc>
          <w:tcPr>
            <w:tcW w:w="2467" w:type="dxa"/>
            <w:tcBorders>
              <w:bottom w:val="single" w:sz="4" w:space="0" w:color="000000"/>
            </w:tcBorders>
            <w:vAlign w:val="bottom"/>
          </w:tcPr>
          <w:p w14:paraId="6EC8453A"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275" w:type="dxa"/>
            <w:tcBorders>
              <w:bottom w:val="single" w:sz="4" w:space="0" w:color="000000"/>
            </w:tcBorders>
          </w:tcPr>
          <w:p w14:paraId="1414AA60"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Number of outstanding shares </w:t>
            </w:r>
            <w:r>
              <w:rPr>
                <w:b/>
                <w:color w:val="0000FF"/>
              </w:rPr>
              <w:t>[in thousands]</w:t>
            </w:r>
          </w:p>
        </w:tc>
        <w:tc>
          <w:tcPr>
            <w:tcW w:w="1134" w:type="dxa"/>
            <w:tcBorders>
              <w:bottom w:val="single" w:sz="4" w:space="0" w:color="000000"/>
            </w:tcBorders>
          </w:tcPr>
          <w:p w14:paraId="77D8D25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Ordinary shares </w:t>
            </w:r>
          </w:p>
        </w:tc>
        <w:tc>
          <w:tcPr>
            <w:tcW w:w="1134" w:type="dxa"/>
            <w:tcBorders>
              <w:bottom w:val="single" w:sz="4" w:space="0" w:color="000000"/>
            </w:tcBorders>
          </w:tcPr>
          <w:p w14:paraId="540AD0B6" w14:textId="77777777" w:rsidR="008E5DE4" w:rsidRDefault="00780368">
            <w:pPr>
              <w:widowControl w:val="0"/>
              <w:pBdr>
                <w:top w:val="nil"/>
                <w:left w:val="nil"/>
                <w:bottom w:val="nil"/>
                <w:right w:val="nil"/>
                <w:between w:val="nil"/>
              </w:pBdr>
              <w:ind w:left="-113"/>
              <w:jc w:val="right"/>
              <w:rPr>
                <w:b/>
                <w:color w:val="000000"/>
              </w:rPr>
            </w:pPr>
            <w:r>
              <w:rPr>
                <w:b/>
                <w:color w:val="000000"/>
              </w:rPr>
              <w:t>Share premium</w:t>
            </w:r>
          </w:p>
        </w:tc>
        <w:tc>
          <w:tcPr>
            <w:tcW w:w="1134" w:type="dxa"/>
            <w:tcBorders>
              <w:bottom w:val="single" w:sz="4" w:space="0" w:color="000000"/>
            </w:tcBorders>
          </w:tcPr>
          <w:p w14:paraId="3DF5C66F" w14:textId="77777777" w:rsidR="008E5DE4" w:rsidRDefault="00780368">
            <w:pPr>
              <w:widowControl w:val="0"/>
              <w:pBdr>
                <w:top w:val="nil"/>
                <w:left w:val="nil"/>
                <w:bottom w:val="nil"/>
                <w:right w:val="nil"/>
                <w:between w:val="nil"/>
              </w:pBdr>
              <w:ind w:left="-113"/>
              <w:jc w:val="right"/>
              <w:rPr>
                <w:b/>
                <w:color w:val="000000"/>
              </w:rPr>
            </w:pPr>
            <w:r>
              <w:rPr>
                <w:b/>
                <w:color w:val="000000"/>
              </w:rPr>
              <w:t>Preference shares</w:t>
            </w:r>
          </w:p>
        </w:tc>
        <w:tc>
          <w:tcPr>
            <w:tcW w:w="1134" w:type="dxa"/>
            <w:tcBorders>
              <w:bottom w:val="single" w:sz="4" w:space="0" w:color="000000"/>
            </w:tcBorders>
          </w:tcPr>
          <w:p w14:paraId="18CA74E1" w14:textId="77777777" w:rsidR="008E5DE4" w:rsidRDefault="00780368">
            <w:pPr>
              <w:widowControl w:val="0"/>
              <w:pBdr>
                <w:top w:val="nil"/>
                <w:left w:val="nil"/>
                <w:bottom w:val="nil"/>
                <w:right w:val="nil"/>
                <w:between w:val="nil"/>
              </w:pBdr>
              <w:ind w:left="-113"/>
              <w:jc w:val="right"/>
              <w:rPr>
                <w:b/>
                <w:color w:val="000000"/>
              </w:rPr>
            </w:pPr>
            <w:r>
              <w:rPr>
                <w:b/>
                <w:color w:val="000000"/>
              </w:rPr>
              <w:t>Treasury shares</w:t>
            </w:r>
          </w:p>
        </w:tc>
        <w:tc>
          <w:tcPr>
            <w:tcW w:w="1134" w:type="dxa"/>
            <w:tcBorders>
              <w:bottom w:val="single" w:sz="4" w:space="0" w:color="000000"/>
            </w:tcBorders>
          </w:tcPr>
          <w:p w14:paraId="29F2AC70" w14:textId="77777777" w:rsidR="008E5DE4" w:rsidRDefault="00780368">
            <w:pPr>
              <w:widowControl w:val="0"/>
              <w:pBdr>
                <w:top w:val="nil"/>
                <w:left w:val="nil"/>
                <w:bottom w:val="nil"/>
                <w:right w:val="nil"/>
                <w:between w:val="nil"/>
              </w:pBdr>
              <w:ind w:left="-113"/>
              <w:jc w:val="right"/>
              <w:rPr>
                <w:b/>
                <w:color w:val="000000"/>
              </w:rPr>
            </w:pPr>
            <w:r>
              <w:rPr>
                <w:b/>
                <w:color w:val="000000"/>
              </w:rPr>
              <w:t>Total</w:t>
            </w:r>
          </w:p>
        </w:tc>
      </w:tr>
      <w:tr w:rsidR="008E5DE4" w14:paraId="0D53D5D6" w14:textId="77777777">
        <w:trPr>
          <w:cantSplit/>
        </w:trPr>
        <w:tc>
          <w:tcPr>
            <w:tcW w:w="2467" w:type="dxa"/>
            <w:vAlign w:val="bottom"/>
          </w:tcPr>
          <w:p w14:paraId="4550EB6B" w14:textId="77777777" w:rsidR="008E5DE4" w:rsidRDefault="00780368">
            <w:pPr>
              <w:widowControl w:val="0"/>
              <w:ind w:left="113" w:right="-57" w:hanging="113"/>
              <w:rPr>
                <w:b/>
                <w:sz w:val="16"/>
                <w:szCs w:val="16"/>
              </w:rPr>
            </w:pPr>
            <w:r>
              <w:rPr>
                <w:sz w:val="16"/>
                <w:szCs w:val="16"/>
              </w:rPr>
              <w:t> </w:t>
            </w:r>
          </w:p>
        </w:tc>
        <w:tc>
          <w:tcPr>
            <w:tcW w:w="1275" w:type="dxa"/>
            <w:vAlign w:val="bottom"/>
          </w:tcPr>
          <w:p w14:paraId="4C642EC1"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3A627582"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6E42DC6F"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160F70DC"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69695600"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0915330B"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4606E16F" w14:textId="77777777">
        <w:trPr>
          <w:cantSplit/>
        </w:trPr>
        <w:tc>
          <w:tcPr>
            <w:tcW w:w="2467" w:type="dxa"/>
            <w:vAlign w:val="bottom"/>
          </w:tcPr>
          <w:p w14:paraId="643F25FE" w14:textId="56C29012" w:rsidR="008E5DE4" w:rsidRDefault="00780368">
            <w:pPr>
              <w:widowControl w:val="0"/>
              <w:pBdr>
                <w:top w:val="nil"/>
                <w:left w:val="nil"/>
                <w:bottom w:val="nil"/>
                <w:right w:val="nil"/>
                <w:between w:val="nil"/>
              </w:pBdr>
              <w:ind w:left="113" w:right="-57" w:hanging="113"/>
              <w:rPr>
                <w:b/>
                <w:color w:val="000000"/>
              </w:rPr>
            </w:pPr>
            <w:proofErr w:type="gramStart"/>
            <w:r>
              <w:rPr>
                <w:b/>
                <w:color w:val="000000"/>
              </w:rPr>
              <w:t>At</w:t>
            </w:r>
            <w:proofErr w:type="gramEnd"/>
            <w:r>
              <w:rPr>
                <w:b/>
                <w:color w:val="000000"/>
              </w:rPr>
              <w:t xml:space="preserve"> 1 January </w:t>
            </w:r>
            <w:r w:rsidR="00FF468A">
              <w:rPr>
                <w:b/>
                <w:color w:val="000000"/>
              </w:rPr>
              <w:t>2024</w:t>
            </w:r>
          </w:p>
        </w:tc>
        <w:tc>
          <w:tcPr>
            <w:tcW w:w="1275" w:type="dxa"/>
            <w:vAlign w:val="bottom"/>
          </w:tcPr>
          <w:p w14:paraId="65A1646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95A92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787CA1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F60846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C38DF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D2B6D24" w14:textId="77777777" w:rsidR="008E5DE4" w:rsidRDefault="008E5DE4">
            <w:pPr>
              <w:widowControl w:val="0"/>
              <w:pBdr>
                <w:top w:val="nil"/>
                <w:left w:val="nil"/>
                <w:bottom w:val="nil"/>
                <w:right w:val="nil"/>
                <w:between w:val="nil"/>
              </w:pBdr>
              <w:jc w:val="right"/>
              <w:rPr>
                <w:color w:val="000000"/>
              </w:rPr>
            </w:pPr>
          </w:p>
        </w:tc>
      </w:tr>
      <w:tr w:rsidR="008E5DE4" w14:paraId="5A4FD78A" w14:textId="77777777">
        <w:trPr>
          <w:cantSplit/>
        </w:trPr>
        <w:tc>
          <w:tcPr>
            <w:tcW w:w="2467" w:type="dxa"/>
            <w:vAlign w:val="bottom"/>
          </w:tcPr>
          <w:p w14:paraId="1103339F"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1275" w:type="dxa"/>
            <w:vAlign w:val="bottom"/>
          </w:tcPr>
          <w:p w14:paraId="42E01B80"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2A8BD4F1"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5174FA6A"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0FB79EAF"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124F61D0"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vAlign w:val="bottom"/>
          </w:tcPr>
          <w:p w14:paraId="0A6831EC"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703D3060" w14:textId="77777777">
        <w:trPr>
          <w:cantSplit/>
        </w:trPr>
        <w:tc>
          <w:tcPr>
            <w:tcW w:w="2467" w:type="dxa"/>
            <w:vAlign w:val="bottom"/>
          </w:tcPr>
          <w:p w14:paraId="440CBACD" w14:textId="77777777" w:rsidR="008E5DE4" w:rsidRDefault="00780368">
            <w:pPr>
              <w:widowControl w:val="0"/>
              <w:pBdr>
                <w:top w:val="nil"/>
                <w:left w:val="nil"/>
                <w:bottom w:val="nil"/>
                <w:right w:val="nil"/>
                <w:between w:val="nil"/>
              </w:pBdr>
              <w:ind w:left="113" w:right="-57" w:hanging="113"/>
              <w:rPr>
                <w:color w:val="000000"/>
              </w:rPr>
            </w:pPr>
            <w:r>
              <w:rPr>
                <w:color w:val="000000"/>
              </w:rPr>
              <w:t>New shares issued</w:t>
            </w:r>
          </w:p>
        </w:tc>
        <w:tc>
          <w:tcPr>
            <w:tcW w:w="1275" w:type="dxa"/>
            <w:vAlign w:val="bottom"/>
          </w:tcPr>
          <w:p w14:paraId="37671301"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0850E09D"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21C592F2"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33A31253"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1202CDC7"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109CF3AF" w14:textId="77777777" w:rsidR="008E5DE4" w:rsidRDefault="008E5DE4">
            <w:pPr>
              <w:widowControl w:val="0"/>
              <w:pBdr>
                <w:top w:val="nil"/>
                <w:left w:val="nil"/>
                <w:bottom w:val="nil"/>
                <w:right w:val="nil"/>
                <w:between w:val="nil"/>
              </w:pBdr>
              <w:jc w:val="right"/>
              <w:rPr>
                <w:b/>
                <w:color w:val="000000"/>
              </w:rPr>
            </w:pPr>
          </w:p>
        </w:tc>
      </w:tr>
      <w:tr w:rsidR="008E5DE4" w14:paraId="6DB13F4E" w14:textId="77777777">
        <w:trPr>
          <w:cantSplit/>
        </w:trPr>
        <w:tc>
          <w:tcPr>
            <w:tcW w:w="2467" w:type="dxa"/>
            <w:vAlign w:val="bottom"/>
          </w:tcPr>
          <w:p w14:paraId="7675CEBA" w14:textId="77777777" w:rsidR="008E5DE4" w:rsidRDefault="00780368">
            <w:pPr>
              <w:widowControl w:val="0"/>
              <w:pBdr>
                <w:top w:val="nil"/>
                <w:left w:val="nil"/>
                <w:bottom w:val="nil"/>
                <w:right w:val="nil"/>
                <w:between w:val="nil"/>
              </w:pBdr>
              <w:ind w:left="113" w:right="-57" w:hanging="113"/>
              <w:rPr>
                <w:color w:val="000000"/>
              </w:rPr>
            </w:pPr>
            <w:r>
              <w:rPr>
                <w:color w:val="000000"/>
              </w:rPr>
              <w:t>Treasury shares purchased</w:t>
            </w:r>
          </w:p>
        </w:tc>
        <w:tc>
          <w:tcPr>
            <w:tcW w:w="1275" w:type="dxa"/>
            <w:vAlign w:val="bottom"/>
          </w:tcPr>
          <w:p w14:paraId="2088BF84"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3927EDDD"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4BDD18FE"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7C149CB7"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3DCD0D85"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7E8C76A9" w14:textId="77777777" w:rsidR="008E5DE4" w:rsidRDefault="008E5DE4">
            <w:pPr>
              <w:widowControl w:val="0"/>
              <w:pBdr>
                <w:top w:val="nil"/>
                <w:left w:val="nil"/>
                <w:bottom w:val="nil"/>
                <w:right w:val="nil"/>
                <w:between w:val="nil"/>
              </w:pBdr>
              <w:jc w:val="right"/>
              <w:rPr>
                <w:b/>
                <w:color w:val="000000"/>
              </w:rPr>
            </w:pPr>
          </w:p>
        </w:tc>
      </w:tr>
      <w:tr w:rsidR="008E5DE4" w14:paraId="3093E4F3" w14:textId="77777777">
        <w:trPr>
          <w:cantSplit/>
        </w:trPr>
        <w:tc>
          <w:tcPr>
            <w:tcW w:w="2467" w:type="dxa"/>
            <w:vAlign w:val="bottom"/>
          </w:tcPr>
          <w:p w14:paraId="43D694BD" w14:textId="77777777" w:rsidR="008E5DE4" w:rsidRDefault="00780368">
            <w:pPr>
              <w:widowControl w:val="0"/>
              <w:pBdr>
                <w:top w:val="nil"/>
                <w:left w:val="nil"/>
                <w:bottom w:val="nil"/>
                <w:right w:val="nil"/>
                <w:between w:val="nil"/>
              </w:pBdr>
              <w:ind w:left="113" w:right="-57" w:hanging="113"/>
              <w:rPr>
                <w:color w:val="000000"/>
              </w:rPr>
            </w:pPr>
            <w:r>
              <w:rPr>
                <w:color w:val="000000"/>
              </w:rPr>
              <w:t>Treasury shares sold</w:t>
            </w:r>
          </w:p>
        </w:tc>
        <w:tc>
          <w:tcPr>
            <w:tcW w:w="1275" w:type="dxa"/>
            <w:vAlign w:val="bottom"/>
          </w:tcPr>
          <w:p w14:paraId="1A14E4D0"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2E9AC459"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026B5A6F"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6B790E77"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1E2CE9A4" w14:textId="77777777" w:rsidR="008E5DE4" w:rsidRDefault="008E5DE4">
            <w:pPr>
              <w:widowControl w:val="0"/>
              <w:pBdr>
                <w:top w:val="nil"/>
                <w:left w:val="nil"/>
                <w:bottom w:val="nil"/>
                <w:right w:val="nil"/>
                <w:between w:val="nil"/>
              </w:pBdr>
              <w:jc w:val="right"/>
              <w:rPr>
                <w:b/>
                <w:color w:val="000000"/>
              </w:rPr>
            </w:pPr>
          </w:p>
        </w:tc>
        <w:tc>
          <w:tcPr>
            <w:tcW w:w="1134" w:type="dxa"/>
            <w:vAlign w:val="bottom"/>
          </w:tcPr>
          <w:p w14:paraId="3C0BED1A" w14:textId="77777777" w:rsidR="008E5DE4" w:rsidRDefault="008E5DE4">
            <w:pPr>
              <w:widowControl w:val="0"/>
              <w:pBdr>
                <w:top w:val="nil"/>
                <w:left w:val="nil"/>
                <w:bottom w:val="nil"/>
                <w:right w:val="nil"/>
                <w:between w:val="nil"/>
              </w:pBdr>
              <w:jc w:val="right"/>
              <w:rPr>
                <w:b/>
                <w:color w:val="000000"/>
              </w:rPr>
            </w:pPr>
          </w:p>
        </w:tc>
      </w:tr>
      <w:tr w:rsidR="008E5DE4" w14:paraId="5738162B" w14:textId="77777777">
        <w:trPr>
          <w:cantSplit/>
        </w:trPr>
        <w:tc>
          <w:tcPr>
            <w:tcW w:w="2467" w:type="dxa"/>
            <w:tcBorders>
              <w:bottom w:val="single" w:sz="4" w:space="0" w:color="000000"/>
            </w:tcBorders>
            <w:vAlign w:val="bottom"/>
          </w:tcPr>
          <w:p w14:paraId="34C30456"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 </w:t>
            </w:r>
          </w:p>
        </w:tc>
        <w:tc>
          <w:tcPr>
            <w:tcW w:w="1275" w:type="dxa"/>
            <w:tcBorders>
              <w:bottom w:val="single" w:sz="4" w:space="0" w:color="000000"/>
            </w:tcBorders>
            <w:vAlign w:val="bottom"/>
          </w:tcPr>
          <w:p w14:paraId="388A2AB7"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bottom w:val="single" w:sz="4" w:space="0" w:color="000000"/>
            </w:tcBorders>
            <w:vAlign w:val="bottom"/>
          </w:tcPr>
          <w:p w14:paraId="27956F4C"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bottom w:val="single" w:sz="4" w:space="0" w:color="000000"/>
            </w:tcBorders>
            <w:vAlign w:val="bottom"/>
          </w:tcPr>
          <w:p w14:paraId="2ADB6EA8"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bottom w:val="single" w:sz="4" w:space="0" w:color="000000"/>
            </w:tcBorders>
            <w:vAlign w:val="bottom"/>
          </w:tcPr>
          <w:p w14:paraId="3F30F7C7"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bottom w:val="single" w:sz="4" w:space="0" w:color="000000"/>
            </w:tcBorders>
            <w:vAlign w:val="bottom"/>
          </w:tcPr>
          <w:p w14:paraId="549E517A"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bottom w:val="single" w:sz="4" w:space="0" w:color="000000"/>
            </w:tcBorders>
            <w:vAlign w:val="bottom"/>
          </w:tcPr>
          <w:p w14:paraId="58A89A66"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36BF22C0" w14:textId="77777777">
        <w:trPr>
          <w:cantSplit/>
        </w:trPr>
        <w:tc>
          <w:tcPr>
            <w:tcW w:w="2467" w:type="dxa"/>
            <w:tcBorders>
              <w:top w:val="single" w:sz="4" w:space="0" w:color="000000"/>
            </w:tcBorders>
            <w:vAlign w:val="bottom"/>
          </w:tcPr>
          <w:p w14:paraId="1DB744AB" w14:textId="77777777" w:rsidR="008E5DE4" w:rsidRDefault="00780368">
            <w:pPr>
              <w:widowControl w:val="0"/>
              <w:ind w:left="113" w:right="-57" w:hanging="113"/>
              <w:rPr>
                <w:b/>
                <w:sz w:val="16"/>
                <w:szCs w:val="16"/>
              </w:rPr>
            </w:pPr>
            <w:r>
              <w:rPr>
                <w:sz w:val="16"/>
                <w:szCs w:val="16"/>
              </w:rPr>
              <w:t> </w:t>
            </w:r>
          </w:p>
        </w:tc>
        <w:tc>
          <w:tcPr>
            <w:tcW w:w="1275" w:type="dxa"/>
            <w:tcBorders>
              <w:top w:val="single" w:sz="4" w:space="0" w:color="000000"/>
            </w:tcBorders>
            <w:vAlign w:val="bottom"/>
          </w:tcPr>
          <w:p w14:paraId="1AD20DD2"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top w:val="single" w:sz="4" w:space="0" w:color="000000"/>
            </w:tcBorders>
            <w:vAlign w:val="bottom"/>
          </w:tcPr>
          <w:p w14:paraId="0768DF86"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top w:val="single" w:sz="4" w:space="0" w:color="000000"/>
            </w:tcBorders>
            <w:vAlign w:val="bottom"/>
          </w:tcPr>
          <w:p w14:paraId="5D53CDED"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top w:val="single" w:sz="4" w:space="0" w:color="000000"/>
            </w:tcBorders>
            <w:vAlign w:val="bottom"/>
          </w:tcPr>
          <w:p w14:paraId="730FEA6A"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top w:val="single" w:sz="4" w:space="0" w:color="000000"/>
            </w:tcBorders>
            <w:vAlign w:val="bottom"/>
          </w:tcPr>
          <w:p w14:paraId="44A0E53C" w14:textId="77777777" w:rsidR="008E5DE4" w:rsidRDefault="008E5DE4">
            <w:pPr>
              <w:widowControl w:val="0"/>
              <w:pBdr>
                <w:top w:val="nil"/>
                <w:left w:val="nil"/>
                <w:bottom w:val="nil"/>
                <w:right w:val="nil"/>
                <w:between w:val="nil"/>
              </w:pBdr>
              <w:jc w:val="right"/>
              <w:rPr>
                <w:b/>
                <w:color w:val="000000"/>
                <w:sz w:val="16"/>
                <w:szCs w:val="16"/>
              </w:rPr>
            </w:pPr>
          </w:p>
        </w:tc>
        <w:tc>
          <w:tcPr>
            <w:tcW w:w="1134" w:type="dxa"/>
            <w:tcBorders>
              <w:top w:val="single" w:sz="4" w:space="0" w:color="000000"/>
            </w:tcBorders>
            <w:vAlign w:val="bottom"/>
          </w:tcPr>
          <w:p w14:paraId="6B870B08"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12083D54" w14:textId="77777777">
        <w:trPr>
          <w:cantSplit/>
        </w:trPr>
        <w:tc>
          <w:tcPr>
            <w:tcW w:w="2467" w:type="dxa"/>
            <w:vAlign w:val="bottom"/>
          </w:tcPr>
          <w:p w14:paraId="5DA4E881" w14:textId="75C996CC" w:rsidR="008E5DE4" w:rsidRDefault="00780368">
            <w:pPr>
              <w:widowControl w:val="0"/>
              <w:ind w:left="113" w:right="-57" w:hanging="113"/>
              <w:rPr>
                <w:b/>
              </w:rPr>
            </w:pPr>
            <w:proofErr w:type="gramStart"/>
            <w:r>
              <w:rPr>
                <w:b/>
              </w:rPr>
              <w:t>At</w:t>
            </w:r>
            <w:proofErr w:type="gramEnd"/>
            <w:r>
              <w:rPr>
                <w:b/>
              </w:rPr>
              <w:t xml:space="preserve"> 31 December </w:t>
            </w:r>
            <w:r w:rsidR="00FF468A">
              <w:rPr>
                <w:b/>
              </w:rPr>
              <w:t>2024</w:t>
            </w:r>
          </w:p>
        </w:tc>
        <w:tc>
          <w:tcPr>
            <w:tcW w:w="1275" w:type="dxa"/>
            <w:vAlign w:val="bottom"/>
          </w:tcPr>
          <w:p w14:paraId="1A78850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C93B05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8E1A55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39003D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6F0532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B1F4C7" w14:textId="77777777" w:rsidR="008E5DE4" w:rsidRDefault="008E5DE4">
            <w:pPr>
              <w:widowControl w:val="0"/>
              <w:pBdr>
                <w:top w:val="nil"/>
                <w:left w:val="nil"/>
                <w:bottom w:val="nil"/>
                <w:right w:val="nil"/>
                <w:between w:val="nil"/>
              </w:pBdr>
              <w:jc w:val="right"/>
              <w:rPr>
                <w:color w:val="000000"/>
              </w:rPr>
            </w:pPr>
          </w:p>
        </w:tc>
      </w:tr>
      <w:tr w:rsidR="008E5DE4" w14:paraId="663F61EB" w14:textId="77777777">
        <w:trPr>
          <w:cantSplit/>
        </w:trPr>
        <w:tc>
          <w:tcPr>
            <w:tcW w:w="2467" w:type="dxa"/>
            <w:vAlign w:val="bottom"/>
          </w:tcPr>
          <w:p w14:paraId="61257A7C"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1275" w:type="dxa"/>
            <w:vAlign w:val="bottom"/>
          </w:tcPr>
          <w:p w14:paraId="75D8BF02"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1724B95F"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76E83EE9"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46C262D6"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2A567EB1"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534702B3" w14:textId="77777777" w:rsidR="008E5DE4" w:rsidRDefault="008E5DE4">
            <w:pPr>
              <w:widowControl w:val="0"/>
              <w:pBdr>
                <w:top w:val="nil"/>
                <w:left w:val="nil"/>
                <w:bottom w:val="nil"/>
                <w:right w:val="nil"/>
                <w:between w:val="nil"/>
              </w:pBdr>
              <w:jc w:val="right"/>
              <w:rPr>
                <w:color w:val="000000"/>
                <w:sz w:val="16"/>
                <w:szCs w:val="16"/>
              </w:rPr>
            </w:pPr>
          </w:p>
        </w:tc>
      </w:tr>
      <w:tr w:rsidR="008E5DE4" w14:paraId="1B62FFAF" w14:textId="77777777">
        <w:trPr>
          <w:cantSplit/>
        </w:trPr>
        <w:tc>
          <w:tcPr>
            <w:tcW w:w="2467" w:type="dxa"/>
            <w:vAlign w:val="bottom"/>
          </w:tcPr>
          <w:p w14:paraId="289C6CDC" w14:textId="77777777" w:rsidR="008E5DE4" w:rsidRDefault="00780368">
            <w:pPr>
              <w:widowControl w:val="0"/>
              <w:pBdr>
                <w:top w:val="nil"/>
                <w:left w:val="nil"/>
                <w:bottom w:val="nil"/>
                <w:right w:val="nil"/>
                <w:between w:val="nil"/>
              </w:pBdr>
              <w:ind w:left="113" w:right="-57" w:hanging="113"/>
              <w:rPr>
                <w:color w:val="000000"/>
              </w:rPr>
            </w:pPr>
            <w:r>
              <w:rPr>
                <w:color w:val="000000"/>
              </w:rPr>
              <w:t>New shares issued</w:t>
            </w:r>
          </w:p>
        </w:tc>
        <w:tc>
          <w:tcPr>
            <w:tcW w:w="1275" w:type="dxa"/>
            <w:vAlign w:val="bottom"/>
          </w:tcPr>
          <w:p w14:paraId="1408EA6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15008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C3159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41FF8B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994E9B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0D7A1B1" w14:textId="77777777" w:rsidR="008E5DE4" w:rsidRDefault="008E5DE4">
            <w:pPr>
              <w:widowControl w:val="0"/>
              <w:pBdr>
                <w:top w:val="nil"/>
                <w:left w:val="nil"/>
                <w:bottom w:val="nil"/>
                <w:right w:val="nil"/>
                <w:between w:val="nil"/>
              </w:pBdr>
              <w:jc w:val="right"/>
              <w:rPr>
                <w:color w:val="000000"/>
              </w:rPr>
            </w:pPr>
          </w:p>
        </w:tc>
      </w:tr>
      <w:tr w:rsidR="008E5DE4" w14:paraId="16B15223" w14:textId="77777777">
        <w:trPr>
          <w:cantSplit/>
        </w:trPr>
        <w:tc>
          <w:tcPr>
            <w:tcW w:w="2467" w:type="dxa"/>
            <w:vAlign w:val="bottom"/>
          </w:tcPr>
          <w:p w14:paraId="3FF7A422"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Treasury shares purchased</w:t>
            </w:r>
          </w:p>
        </w:tc>
        <w:tc>
          <w:tcPr>
            <w:tcW w:w="1275" w:type="dxa"/>
            <w:vAlign w:val="bottom"/>
          </w:tcPr>
          <w:p w14:paraId="1A6071B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F81AC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9282A3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4E79B3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39F36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E3C9F20" w14:textId="77777777" w:rsidR="008E5DE4" w:rsidRDefault="008E5DE4">
            <w:pPr>
              <w:widowControl w:val="0"/>
              <w:pBdr>
                <w:top w:val="nil"/>
                <w:left w:val="nil"/>
                <w:bottom w:val="nil"/>
                <w:right w:val="nil"/>
                <w:between w:val="nil"/>
              </w:pBdr>
              <w:jc w:val="right"/>
              <w:rPr>
                <w:color w:val="000000"/>
              </w:rPr>
            </w:pPr>
          </w:p>
        </w:tc>
      </w:tr>
      <w:tr w:rsidR="008E5DE4" w14:paraId="41FD5F83" w14:textId="77777777">
        <w:trPr>
          <w:cantSplit/>
        </w:trPr>
        <w:tc>
          <w:tcPr>
            <w:tcW w:w="2467" w:type="dxa"/>
            <w:vAlign w:val="bottom"/>
          </w:tcPr>
          <w:p w14:paraId="2BA8D571" w14:textId="77777777" w:rsidR="008E5DE4" w:rsidRDefault="00780368">
            <w:pPr>
              <w:widowControl w:val="0"/>
              <w:pBdr>
                <w:top w:val="nil"/>
                <w:left w:val="nil"/>
                <w:bottom w:val="nil"/>
                <w:right w:val="nil"/>
                <w:between w:val="nil"/>
              </w:pBdr>
              <w:ind w:left="113" w:right="-57" w:hanging="113"/>
              <w:rPr>
                <w:color w:val="000000"/>
              </w:rPr>
            </w:pPr>
            <w:r>
              <w:rPr>
                <w:color w:val="000000"/>
              </w:rPr>
              <w:t>Treasury shares sold</w:t>
            </w:r>
          </w:p>
        </w:tc>
        <w:tc>
          <w:tcPr>
            <w:tcW w:w="1275" w:type="dxa"/>
            <w:vAlign w:val="bottom"/>
          </w:tcPr>
          <w:p w14:paraId="071129E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880E18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57C4E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292D0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B23DD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FFB2D15" w14:textId="77777777" w:rsidR="008E5DE4" w:rsidRDefault="008E5DE4">
            <w:pPr>
              <w:widowControl w:val="0"/>
              <w:pBdr>
                <w:top w:val="nil"/>
                <w:left w:val="nil"/>
                <w:bottom w:val="nil"/>
                <w:right w:val="nil"/>
                <w:between w:val="nil"/>
              </w:pBdr>
              <w:jc w:val="right"/>
              <w:rPr>
                <w:color w:val="000000"/>
              </w:rPr>
            </w:pPr>
          </w:p>
        </w:tc>
      </w:tr>
      <w:tr w:rsidR="008E5DE4" w14:paraId="6CD908E3" w14:textId="77777777">
        <w:trPr>
          <w:cantSplit/>
        </w:trPr>
        <w:tc>
          <w:tcPr>
            <w:tcW w:w="2467" w:type="dxa"/>
            <w:tcBorders>
              <w:bottom w:val="single" w:sz="4" w:space="0" w:color="000000"/>
            </w:tcBorders>
            <w:vAlign w:val="bottom"/>
          </w:tcPr>
          <w:p w14:paraId="3045F91C"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1275" w:type="dxa"/>
            <w:tcBorders>
              <w:bottom w:val="single" w:sz="4" w:space="0" w:color="000000"/>
            </w:tcBorders>
            <w:vAlign w:val="bottom"/>
          </w:tcPr>
          <w:p w14:paraId="07727CD2"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4E2B2901"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68D0E55A"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30FB8D4E"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3D68BA7C"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75C6F605" w14:textId="77777777" w:rsidR="008E5DE4" w:rsidRDefault="008E5DE4">
            <w:pPr>
              <w:widowControl w:val="0"/>
              <w:pBdr>
                <w:top w:val="nil"/>
                <w:left w:val="nil"/>
                <w:bottom w:val="nil"/>
                <w:right w:val="nil"/>
                <w:between w:val="nil"/>
              </w:pBdr>
              <w:jc w:val="right"/>
              <w:rPr>
                <w:color w:val="000000"/>
                <w:sz w:val="16"/>
                <w:szCs w:val="16"/>
              </w:rPr>
            </w:pPr>
          </w:p>
        </w:tc>
      </w:tr>
      <w:tr w:rsidR="008E5DE4" w14:paraId="0E7727A9" w14:textId="77777777">
        <w:trPr>
          <w:cantSplit/>
        </w:trPr>
        <w:tc>
          <w:tcPr>
            <w:tcW w:w="2467" w:type="dxa"/>
            <w:tcBorders>
              <w:top w:val="single" w:sz="4" w:space="0" w:color="000000"/>
            </w:tcBorders>
            <w:vAlign w:val="bottom"/>
          </w:tcPr>
          <w:p w14:paraId="5D36DC08"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1275" w:type="dxa"/>
            <w:tcBorders>
              <w:top w:val="single" w:sz="4" w:space="0" w:color="000000"/>
            </w:tcBorders>
            <w:vAlign w:val="bottom"/>
          </w:tcPr>
          <w:p w14:paraId="1CA40A95"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5C36AA47"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382F4FD1"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0A15DF98"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042F7575"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2BB9B590" w14:textId="77777777" w:rsidR="008E5DE4" w:rsidRDefault="008E5DE4">
            <w:pPr>
              <w:widowControl w:val="0"/>
              <w:pBdr>
                <w:top w:val="nil"/>
                <w:left w:val="nil"/>
                <w:bottom w:val="nil"/>
                <w:right w:val="nil"/>
                <w:between w:val="nil"/>
              </w:pBdr>
              <w:jc w:val="right"/>
              <w:rPr>
                <w:color w:val="000000"/>
                <w:sz w:val="16"/>
                <w:szCs w:val="16"/>
              </w:rPr>
            </w:pPr>
          </w:p>
        </w:tc>
      </w:tr>
      <w:tr w:rsidR="008E5DE4" w14:paraId="0C9D43E6" w14:textId="77777777">
        <w:trPr>
          <w:cantSplit/>
        </w:trPr>
        <w:tc>
          <w:tcPr>
            <w:tcW w:w="2467" w:type="dxa"/>
            <w:vAlign w:val="bottom"/>
          </w:tcPr>
          <w:p w14:paraId="0C3949C7" w14:textId="2AC5E864" w:rsidR="008E5DE4" w:rsidRDefault="00780368">
            <w:pPr>
              <w:widowControl w:val="0"/>
              <w:pBdr>
                <w:top w:val="nil"/>
                <w:left w:val="nil"/>
                <w:bottom w:val="nil"/>
                <w:right w:val="nil"/>
                <w:between w:val="nil"/>
              </w:pBdr>
              <w:ind w:left="113" w:right="-57" w:hanging="113"/>
              <w:rPr>
                <w:color w:val="000000"/>
              </w:rPr>
            </w:pPr>
            <w:proofErr w:type="gramStart"/>
            <w:r>
              <w:rPr>
                <w:b/>
                <w:color w:val="000000"/>
              </w:rPr>
              <w:t>At</w:t>
            </w:r>
            <w:proofErr w:type="gramEnd"/>
            <w:r>
              <w:rPr>
                <w:b/>
                <w:color w:val="000000"/>
              </w:rPr>
              <w:t xml:space="preserve"> 31 December </w:t>
            </w:r>
            <w:r w:rsidR="008614F8">
              <w:rPr>
                <w:b/>
                <w:color w:val="000000"/>
              </w:rPr>
              <w:t>2025</w:t>
            </w:r>
          </w:p>
        </w:tc>
        <w:tc>
          <w:tcPr>
            <w:tcW w:w="1275" w:type="dxa"/>
            <w:vAlign w:val="bottom"/>
          </w:tcPr>
          <w:p w14:paraId="0CD0006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AD4B1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D265DA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E31D7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EE43C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AA481C" w14:textId="77777777" w:rsidR="008E5DE4" w:rsidRDefault="008E5DE4">
            <w:pPr>
              <w:widowControl w:val="0"/>
              <w:pBdr>
                <w:top w:val="nil"/>
                <w:left w:val="nil"/>
                <w:bottom w:val="nil"/>
                <w:right w:val="nil"/>
                <w:between w:val="nil"/>
              </w:pBdr>
              <w:jc w:val="right"/>
              <w:rPr>
                <w:color w:val="000000"/>
              </w:rPr>
            </w:pPr>
          </w:p>
        </w:tc>
      </w:tr>
      <w:tr w:rsidR="008E5DE4" w14:paraId="7C512361" w14:textId="77777777">
        <w:trPr>
          <w:cantSplit/>
        </w:trPr>
        <w:tc>
          <w:tcPr>
            <w:tcW w:w="2467" w:type="dxa"/>
            <w:tcBorders>
              <w:bottom w:val="single" w:sz="12" w:space="0" w:color="000000"/>
            </w:tcBorders>
            <w:vAlign w:val="bottom"/>
          </w:tcPr>
          <w:p w14:paraId="08428D59" w14:textId="77777777" w:rsidR="008E5DE4" w:rsidRDefault="00780368">
            <w:pPr>
              <w:widowControl w:val="0"/>
              <w:ind w:left="113" w:right="-57" w:hanging="113"/>
              <w:rPr>
                <w:b/>
                <w:sz w:val="14"/>
                <w:szCs w:val="14"/>
              </w:rPr>
            </w:pPr>
            <w:r>
              <w:rPr>
                <w:sz w:val="14"/>
                <w:szCs w:val="14"/>
              </w:rPr>
              <w:t> </w:t>
            </w:r>
          </w:p>
        </w:tc>
        <w:tc>
          <w:tcPr>
            <w:tcW w:w="1275" w:type="dxa"/>
            <w:tcBorders>
              <w:bottom w:val="single" w:sz="12" w:space="0" w:color="000000"/>
            </w:tcBorders>
            <w:vAlign w:val="bottom"/>
          </w:tcPr>
          <w:p w14:paraId="7C354B0C"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238D02A6"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73AB545F"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0ED0B7F3"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782DAD6E"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bottom w:val="single" w:sz="12" w:space="0" w:color="000000"/>
            </w:tcBorders>
            <w:vAlign w:val="bottom"/>
          </w:tcPr>
          <w:p w14:paraId="0B635218" w14:textId="77777777" w:rsidR="008E5DE4" w:rsidRDefault="008E5DE4">
            <w:pPr>
              <w:widowControl w:val="0"/>
              <w:pBdr>
                <w:top w:val="nil"/>
                <w:left w:val="nil"/>
                <w:bottom w:val="nil"/>
                <w:right w:val="nil"/>
                <w:between w:val="nil"/>
              </w:pBdr>
              <w:jc w:val="right"/>
              <w:rPr>
                <w:color w:val="000000"/>
                <w:sz w:val="14"/>
                <w:szCs w:val="14"/>
              </w:rPr>
            </w:pPr>
          </w:p>
        </w:tc>
      </w:tr>
    </w:tbl>
    <w:p w14:paraId="4FC73713"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26</w:t>
      </w:r>
      <w:r>
        <w:rPr>
          <w:b/>
          <w:color w:val="000000"/>
          <w:sz w:val="20"/>
          <w:szCs w:val="20"/>
        </w:rPr>
        <w:tab/>
        <w:t>Share Capital (Continued)</w:t>
      </w:r>
    </w:p>
    <w:p w14:paraId="2898B10A" w14:textId="5B74B945"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nominal registered amount of the Company’s issued share capital is EUR _____thousand (</w:t>
      </w:r>
      <w:r w:rsidR="00FF468A">
        <w:rPr>
          <w:color w:val="000000"/>
          <w:sz w:val="20"/>
          <w:szCs w:val="20"/>
        </w:rPr>
        <w:t>2024</w:t>
      </w:r>
      <w:r>
        <w:rPr>
          <w:color w:val="000000"/>
          <w:sz w:val="20"/>
          <w:szCs w:val="20"/>
        </w:rPr>
        <w:t xml:space="preserve">: EUR _____thousand). </w:t>
      </w:r>
    </w:p>
    <w:p w14:paraId="04CC9E02" w14:textId="654F5176" w:rsidR="008E5DE4" w:rsidRDefault="00780368">
      <w:pPr>
        <w:widowControl w:val="0"/>
        <w:spacing w:before="200" w:after="200"/>
        <w:rPr>
          <w:sz w:val="20"/>
          <w:szCs w:val="20"/>
        </w:rPr>
      </w:pPr>
      <w:r>
        <w:rPr>
          <w:sz w:val="20"/>
          <w:szCs w:val="20"/>
        </w:rPr>
        <w:t>The total authorised number of ordinary shares is ____ thousand shares (</w:t>
      </w:r>
      <w:r w:rsidR="00FF468A">
        <w:rPr>
          <w:sz w:val="20"/>
          <w:szCs w:val="20"/>
        </w:rPr>
        <w:t>2024</w:t>
      </w:r>
      <w:r>
        <w:rPr>
          <w:sz w:val="20"/>
          <w:szCs w:val="20"/>
        </w:rPr>
        <w:t>: ____ thousand shares) with a par value of EUR ____ per share (</w:t>
      </w:r>
      <w:r w:rsidR="00FF468A">
        <w:rPr>
          <w:sz w:val="20"/>
          <w:szCs w:val="20"/>
        </w:rPr>
        <w:t>2024</w:t>
      </w:r>
      <w:r>
        <w:rPr>
          <w:sz w:val="20"/>
          <w:szCs w:val="20"/>
        </w:rPr>
        <w:t xml:space="preserve">: EUR ___ per share). All issued ordinary shares are fully paid. </w:t>
      </w:r>
      <w:r>
        <w:rPr>
          <w:color w:val="0000FF"/>
          <w:sz w:val="20"/>
          <w:szCs w:val="20"/>
        </w:rPr>
        <w:t>[The number of ordinary shares issued but not fully paid in was _____ (</w:t>
      </w:r>
      <w:r w:rsidR="00FF468A">
        <w:rPr>
          <w:color w:val="0000FF"/>
          <w:sz w:val="20"/>
          <w:szCs w:val="20"/>
        </w:rPr>
        <w:t>2024</w:t>
      </w:r>
      <w:r>
        <w:rPr>
          <w:color w:val="0000FF"/>
          <w:sz w:val="20"/>
          <w:szCs w:val="20"/>
        </w:rPr>
        <w:t xml:space="preserve">: _____).] </w:t>
      </w:r>
      <w:r>
        <w:rPr>
          <w:sz w:val="20"/>
          <w:szCs w:val="20"/>
        </w:rPr>
        <w:t>Each ordinary share carries one vote.</w:t>
      </w:r>
    </w:p>
    <w:p w14:paraId="38D6703E" w14:textId="4756EDA0"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total authorised number of preference shares is ____ thousand shares (</w:t>
      </w:r>
      <w:r w:rsidR="00FF468A">
        <w:rPr>
          <w:color w:val="000000"/>
          <w:sz w:val="20"/>
          <w:szCs w:val="20"/>
        </w:rPr>
        <w:t>2024</w:t>
      </w:r>
      <w:r>
        <w:rPr>
          <w:color w:val="000000"/>
          <w:sz w:val="20"/>
          <w:szCs w:val="20"/>
        </w:rPr>
        <w:t>: ____ thousand shares) with a par value of EUR ____ per share (</w:t>
      </w:r>
      <w:r w:rsidR="00FF468A">
        <w:rPr>
          <w:color w:val="000000"/>
          <w:sz w:val="20"/>
          <w:szCs w:val="20"/>
        </w:rPr>
        <w:t>2024</w:t>
      </w:r>
      <w:r>
        <w:rPr>
          <w:color w:val="000000"/>
          <w:sz w:val="20"/>
          <w:szCs w:val="20"/>
        </w:rPr>
        <w:t xml:space="preserve">: EUR ___ per share). All issued preference shares are fully paid. </w:t>
      </w:r>
      <w:r>
        <w:rPr>
          <w:color w:val="0000FF"/>
          <w:sz w:val="20"/>
          <w:szCs w:val="20"/>
        </w:rPr>
        <w:t>[The number of preference shares issued but not fully paid in was _____ (</w:t>
      </w:r>
      <w:r w:rsidR="00FF468A">
        <w:rPr>
          <w:color w:val="0000FF"/>
          <w:sz w:val="20"/>
          <w:szCs w:val="20"/>
        </w:rPr>
        <w:t>2024</w:t>
      </w:r>
      <w:r>
        <w:rPr>
          <w:color w:val="0000FF"/>
          <w:sz w:val="20"/>
          <w:szCs w:val="20"/>
        </w:rPr>
        <w:t xml:space="preserve">: _____).] </w:t>
      </w:r>
    </w:p>
    <w:p w14:paraId="159CD93C"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preference shares are not redeemable and rank ahead of the ordinary shares in the event of the Company’s liquidation. </w:t>
      </w:r>
      <w:r>
        <w:rPr>
          <w:color w:val="0000FF"/>
          <w:sz w:val="20"/>
          <w:szCs w:val="20"/>
        </w:rPr>
        <w:t>[The preference shares give the holders the right to participate in general shareholders’ meetings without voting rights except in instances where decisions are made in relation to re-organisation and liquidation of the Company, and where changes and amendments to the Company’s charter which restrict the rights of preference shareholders are proposed.]</w:t>
      </w:r>
      <w:r>
        <w:rPr>
          <w:color w:val="000000"/>
          <w:sz w:val="20"/>
          <w:szCs w:val="20"/>
        </w:rPr>
        <w:t xml:space="preserve"> </w:t>
      </w:r>
    </w:p>
    <w:p w14:paraId="3D469D0D" w14:textId="71853841"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Preference share dividends are set at ____ % p.a. (</w:t>
      </w:r>
      <w:r w:rsidR="00FF468A">
        <w:rPr>
          <w:color w:val="000000"/>
          <w:sz w:val="20"/>
          <w:szCs w:val="20"/>
        </w:rPr>
        <w:t>2024</w:t>
      </w:r>
      <w:r>
        <w:rPr>
          <w:color w:val="000000"/>
          <w:sz w:val="20"/>
          <w:szCs w:val="20"/>
        </w:rPr>
        <w:t>: ____ % p.a.) and rank above ordinary dividends. If preference dividends are not declared by ordinary shareholders, the preference shareholders obtain the right to vote as ordinary shareholders until such time that the dividend is paid.</w:t>
      </w:r>
    </w:p>
    <w:p w14:paraId="032D669A" w14:textId="007399BB"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treasury shares include _____ </w:t>
      </w:r>
      <w:r>
        <w:rPr>
          <w:color w:val="0000FF"/>
          <w:sz w:val="20"/>
          <w:szCs w:val="20"/>
        </w:rPr>
        <w:t>[ordinary]</w:t>
      </w:r>
      <w:r>
        <w:rPr>
          <w:color w:val="000000"/>
          <w:sz w:val="20"/>
          <w:szCs w:val="20"/>
        </w:rPr>
        <w:t xml:space="preserve"> shares of the Company (</w:t>
      </w:r>
      <w:r w:rsidR="00FF468A">
        <w:rPr>
          <w:color w:val="000000"/>
          <w:sz w:val="20"/>
          <w:szCs w:val="20"/>
        </w:rPr>
        <w:t>2024</w:t>
      </w:r>
      <w:r>
        <w:rPr>
          <w:color w:val="000000"/>
          <w:sz w:val="20"/>
          <w:szCs w:val="20"/>
        </w:rPr>
        <w:t xml:space="preserve">: _____ </w:t>
      </w:r>
      <w:r>
        <w:rPr>
          <w:color w:val="0000FF"/>
          <w:sz w:val="20"/>
          <w:szCs w:val="20"/>
        </w:rPr>
        <w:t>[ordinary]</w:t>
      </w:r>
      <w:r>
        <w:rPr>
          <w:color w:val="000000"/>
          <w:sz w:val="20"/>
          <w:szCs w:val="20"/>
        </w:rPr>
        <w:t xml:space="preserve"> shares) owned by </w:t>
      </w:r>
      <w:r>
        <w:rPr>
          <w:color w:val="0000FF"/>
          <w:sz w:val="20"/>
          <w:szCs w:val="20"/>
        </w:rPr>
        <w:t>[</w:t>
      </w:r>
      <w:proofErr w:type="gramStart"/>
      <w:r>
        <w:rPr>
          <w:color w:val="0000FF"/>
          <w:sz w:val="20"/>
          <w:szCs w:val="20"/>
        </w:rPr>
        <w:t>wholly-owned</w:t>
      </w:r>
      <w:proofErr w:type="gramEnd"/>
      <w:r>
        <w:rPr>
          <w:color w:val="0000FF"/>
          <w:sz w:val="20"/>
          <w:szCs w:val="20"/>
        </w:rPr>
        <w:t>]</w:t>
      </w:r>
      <w:r>
        <w:rPr>
          <w:color w:val="000000"/>
          <w:sz w:val="20"/>
          <w:szCs w:val="20"/>
        </w:rPr>
        <w:t xml:space="preserve"> subsidiaries of the Group. These ordinary shares carry voting rights in the same proportion as other ordinary shares. Voting rights of ordinary shares of the Company held by the entities within the Group are effectively controlled by management of the Group. </w:t>
      </w:r>
    </w:p>
    <w:p w14:paraId="7FC5C89B"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Share premium represents the excess of contributions received over the nominal value of shares issued. </w:t>
      </w:r>
    </w:p>
    <w:p w14:paraId="61ADD806"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Dividends declared and paid during the year were as follows:</w:t>
      </w:r>
    </w:p>
    <w:tbl>
      <w:tblPr>
        <w:tblStyle w:val="afffffffff2"/>
        <w:tblW w:w="9356" w:type="dxa"/>
        <w:tblLayout w:type="fixed"/>
        <w:tblLook w:val="0000" w:firstRow="0" w:lastRow="0" w:firstColumn="0" w:lastColumn="0" w:noHBand="0" w:noVBand="0"/>
      </w:tblPr>
      <w:tblGrid>
        <w:gridCol w:w="3912"/>
        <w:gridCol w:w="1361"/>
        <w:gridCol w:w="1361"/>
        <w:gridCol w:w="1361"/>
        <w:gridCol w:w="1361"/>
      </w:tblGrid>
      <w:tr w:rsidR="008E5DE4" w14:paraId="03DB573E" w14:textId="77777777">
        <w:trPr>
          <w:cantSplit/>
        </w:trPr>
        <w:tc>
          <w:tcPr>
            <w:tcW w:w="3912" w:type="dxa"/>
            <w:vAlign w:val="bottom"/>
          </w:tcPr>
          <w:p w14:paraId="6545365E" w14:textId="77777777" w:rsidR="008E5DE4" w:rsidRDefault="008E5DE4">
            <w:pPr>
              <w:widowControl w:val="0"/>
              <w:ind w:left="113" w:right="-57" w:hanging="113"/>
              <w:rPr>
                <w:b/>
              </w:rPr>
            </w:pPr>
          </w:p>
        </w:tc>
        <w:tc>
          <w:tcPr>
            <w:tcW w:w="2722" w:type="dxa"/>
            <w:gridSpan w:val="2"/>
            <w:tcBorders>
              <w:bottom w:val="single" w:sz="4" w:space="0" w:color="000000"/>
            </w:tcBorders>
            <w:vAlign w:val="bottom"/>
          </w:tcPr>
          <w:p w14:paraId="2B43AC56" w14:textId="5B4A2405" w:rsidR="008E5DE4" w:rsidRDefault="008614F8">
            <w:pPr>
              <w:widowControl w:val="0"/>
              <w:pBdr>
                <w:top w:val="nil"/>
                <w:left w:val="nil"/>
                <w:bottom w:val="nil"/>
                <w:right w:val="nil"/>
                <w:between w:val="nil"/>
              </w:pBdr>
              <w:jc w:val="center"/>
              <w:rPr>
                <w:b/>
                <w:color w:val="000000"/>
              </w:rPr>
            </w:pPr>
            <w:r>
              <w:rPr>
                <w:b/>
                <w:color w:val="000000"/>
              </w:rPr>
              <w:t>2025</w:t>
            </w:r>
          </w:p>
        </w:tc>
        <w:tc>
          <w:tcPr>
            <w:tcW w:w="2722" w:type="dxa"/>
            <w:gridSpan w:val="2"/>
            <w:tcBorders>
              <w:bottom w:val="single" w:sz="4" w:space="0" w:color="000000"/>
            </w:tcBorders>
            <w:vAlign w:val="bottom"/>
          </w:tcPr>
          <w:p w14:paraId="5E372034" w14:textId="39CA9560" w:rsidR="008E5DE4" w:rsidRDefault="00FF468A">
            <w:pPr>
              <w:widowControl w:val="0"/>
              <w:pBdr>
                <w:top w:val="nil"/>
                <w:left w:val="nil"/>
                <w:bottom w:val="nil"/>
                <w:right w:val="nil"/>
                <w:between w:val="nil"/>
              </w:pBdr>
              <w:jc w:val="center"/>
              <w:rPr>
                <w:b/>
                <w:color w:val="000000"/>
              </w:rPr>
            </w:pPr>
            <w:r>
              <w:rPr>
                <w:b/>
                <w:color w:val="000000"/>
              </w:rPr>
              <w:t>2024</w:t>
            </w:r>
          </w:p>
        </w:tc>
      </w:tr>
      <w:tr w:rsidR="008E5DE4" w14:paraId="2E4114A9" w14:textId="77777777">
        <w:trPr>
          <w:cantSplit/>
        </w:trPr>
        <w:tc>
          <w:tcPr>
            <w:tcW w:w="3912" w:type="dxa"/>
            <w:tcBorders>
              <w:bottom w:val="single" w:sz="4" w:space="0" w:color="000000"/>
            </w:tcBorders>
            <w:vAlign w:val="bottom"/>
          </w:tcPr>
          <w:p w14:paraId="10AE8BAA"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361" w:type="dxa"/>
            <w:tcBorders>
              <w:top w:val="single" w:sz="4" w:space="0" w:color="000000"/>
              <w:bottom w:val="single" w:sz="4" w:space="0" w:color="000000"/>
            </w:tcBorders>
            <w:vAlign w:val="bottom"/>
          </w:tcPr>
          <w:p w14:paraId="1330BDB2" w14:textId="77777777" w:rsidR="008E5DE4" w:rsidRDefault="00780368">
            <w:pPr>
              <w:widowControl w:val="0"/>
              <w:jc w:val="center"/>
              <w:rPr>
                <w:b/>
              </w:rPr>
            </w:pPr>
            <w:r>
              <w:rPr>
                <w:b/>
              </w:rPr>
              <w:t>Ordinary</w:t>
            </w:r>
          </w:p>
        </w:tc>
        <w:tc>
          <w:tcPr>
            <w:tcW w:w="1361" w:type="dxa"/>
            <w:tcBorders>
              <w:top w:val="single" w:sz="4" w:space="0" w:color="000000"/>
              <w:bottom w:val="single" w:sz="4" w:space="0" w:color="000000"/>
            </w:tcBorders>
            <w:vAlign w:val="bottom"/>
          </w:tcPr>
          <w:p w14:paraId="4FEA0D56" w14:textId="77777777" w:rsidR="008E5DE4" w:rsidRDefault="00780368">
            <w:pPr>
              <w:widowControl w:val="0"/>
              <w:pBdr>
                <w:top w:val="nil"/>
                <w:left w:val="nil"/>
                <w:bottom w:val="nil"/>
                <w:right w:val="nil"/>
                <w:between w:val="nil"/>
              </w:pBdr>
              <w:jc w:val="center"/>
              <w:rPr>
                <w:b/>
                <w:color w:val="000000"/>
              </w:rPr>
            </w:pPr>
            <w:r>
              <w:rPr>
                <w:b/>
                <w:color w:val="000000"/>
              </w:rPr>
              <w:t>Preference</w:t>
            </w:r>
          </w:p>
        </w:tc>
        <w:tc>
          <w:tcPr>
            <w:tcW w:w="1361" w:type="dxa"/>
            <w:tcBorders>
              <w:top w:val="single" w:sz="4" w:space="0" w:color="000000"/>
              <w:bottom w:val="single" w:sz="4" w:space="0" w:color="000000"/>
            </w:tcBorders>
            <w:vAlign w:val="bottom"/>
          </w:tcPr>
          <w:p w14:paraId="610E7482" w14:textId="77777777" w:rsidR="008E5DE4" w:rsidRDefault="00780368">
            <w:pPr>
              <w:widowControl w:val="0"/>
              <w:pBdr>
                <w:top w:val="nil"/>
                <w:left w:val="nil"/>
                <w:bottom w:val="nil"/>
                <w:right w:val="nil"/>
                <w:between w:val="nil"/>
              </w:pBdr>
              <w:jc w:val="center"/>
              <w:rPr>
                <w:b/>
                <w:color w:val="000000"/>
              </w:rPr>
            </w:pPr>
            <w:r>
              <w:rPr>
                <w:b/>
                <w:color w:val="000000"/>
              </w:rPr>
              <w:t>Ordinary</w:t>
            </w:r>
          </w:p>
        </w:tc>
        <w:tc>
          <w:tcPr>
            <w:tcW w:w="1361" w:type="dxa"/>
            <w:tcBorders>
              <w:top w:val="single" w:sz="4" w:space="0" w:color="000000"/>
              <w:bottom w:val="single" w:sz="4" w:space="0" w:color="000000"/>
            </w:tcBorders>
            <w:vAlign w:val="bottom"/>
          </w:tcPr>
          <w:p w14:paraId="02987805" w14:textId="77777777" w:rsidR="008E5DE4" w:rsidRDefault="00780368">
            <w:pPr>
              <w:widowControl w:val="0"/>
              <w:pBdr>
                <w:top w:val="nil"/>
                <w:left w:val="nil"/>
                <w:bottom w:val="nil"/>
                <w:right w:val="nil"/>
                <w:between w:val="nil"/>
              </w:pBdr>
              <w:jc w:val="center"/>
              <w:rPr>
                <w:b/>
                <w:color w:val="000000"/>
              </w:rPr>
            </w:pPr>
            <w:r>
              <w:rPr>
                <w:b/>
                <w:color w:val="000000"/>
              </w:rPr>
              <w:t>Preference</w:t>
            </w:r>
          </w:p>
        </w:tc>
      </w:tr>
      <w:tr w:rsidR="008E5DE4" w14:paraId="375537A9" w14:textId="77777777">
        <w:trPr>
          <w:cantSplit/>
        </w:trPr>
        <w:tc>
          <w:tcPr>
            <w:tcW w:w="3912" w:type="dxa"/>
            <w:vAlign w:val="bottom"/>
          </w:tcPr>
          <w:p w14:paraId="11C25DC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61" w:type="dxa"/>
            <w:vAlign w:val="bottom"/>
          </w:tcPr>
          <w:p w14:paraId="68939518"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00CBADB6"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20D3D97D" w14:textId="77777777" w:rsidR="008E5DE4" w:rsidRDefault="008E5DE4">
            <w:pPr>
              <w:widowControl w:val="0"/>
              <w:jc w:val="right"/>
            </w:pPr>
          </w:p>
        </w:tc>
        <w:tc>
          <w:tcPr>
            <w:tcW w:w="1361" w:type="dxa"/>
            <w:vAlign w:val="bottom"/>
          </w:tcPr>
          <w:p w14:paraId="7A4B56FE" w14:textId="77777777" w:rsidR="008E5DE4" w:rsidRDefault="008E5DE4">
            <w:pPr>
              <w:widowControl w:val="0"/>
              <w:jc w:val="right"/>
            </w:pPr>
          </w:p>
        </w:tc>
      </w:tr>
      <w:tr w:rsidR="008E5DE4" w14:paraId="66BD674D" w14:textId="77777777">
        <w:trPr>
          <w:cantSplit/>
        </w:trPr>
        <w:tc>
          <w:tcPr>
            <w:tcW w:w="3912" w:type="dxa"/>
            <w:vAlign w:val="bottom"/>
          </w:tcPr>
          <w:p w14:paraId="5B45277C"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Dividends payable </w:t>
            </w:r>
            <w:proofErr w:type="gramStart"/>
            <w:r>
              <w:rPr>
                <w:b/>
                <w:color w:val="000000"/>
              </w:rPr>
              <w:t>at</w:t>
            </w:r>
            <w:proofErr w:type="gramEnd"/>
            <w:r>
              <w:rPr>
                <w:b/>
                <w:color w:val="000000"/>
              </w:rPr>
              <w:t xml:space="preserve"> 1 January</w:t>
            </w:r>
          </w:p>
        </w:tc>
        <w:tc>
          <w:tcPr>
            <w:tcW w:w="1361" w:type="dxa"/>
            <w:vAlign w:val="bottom"/>
          </w:tcPr>
          <w:p w14:paraId="070898C4"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6FD94D13"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7E6EC2BE" w14:textId="77777777" w:rsidR="008E5DE4" w:rsidRDefault="008E5DE4">
            <w:pPr>
              <w:widowControl w:val="0"/>
              <w:jc w:val="right"/>
            </w:pPr>
          </w:p>
        </w:tc>
        <w:tc>
          <w:tcPr>
            <w:tcW w:w="1361" w:type="dxa"/>
            <w:vAlign w:val="bottom"/>
          </w:tcPr>
          <w:p w14:paraId="7A31E224" w14:textId="77777777" w:rsidR="008E5DE4" w:rsidRDefault="008E5DE4">
            <w:pPr>
              <w:widowControl w:val="0"/>
              <w:jc w:val="right"/>
            </w:pPr>
          </w:p>
        </w:tc>
      </w:tr>
      <w:tr w:rsidR="008E5DE4" w14:paraId="08E65186" w14:textId="77777777">
        <w:trPr>
          <w:cantSplit/>
        </w:trPr>
        <w:tc>
          <w:tcPr>
            <w:tcW w:w="3912" w:type="dxa"/>
            <w:vAlign w:val="bottom"/>
          </w:tcPr>
          <w:p w14:paraId="0B30E84A" w14:textId="77777777" w:rsidR="008E5DE4" w:rsidRDefault="00780368">
            <w:pPr>
              <w:widowControl w:val="0"/>
              <w:pBdr>
                <w:top w:val="nil"/>
                <w:left w:val="nil"/>
                <w:bottom w:val="nil"/>
                <w:right w:val="nil"/>
                <w:between w:val="nil"/>
              </w:pBdr>
              <w:ind w:left="113" w:right="-57" w:hanging="113"/>
              <w:rPr>
                <w:color w:val="000000"/>
              </w:rPr>
            </w:pPr>
            <w:r>
              <w:rPr>
                <w:color w:val="000000"/>
              </w:rPr>
              <w:t>Dividends declared during the year</w:t>
            </w:r>
          </w:p>
        </w:tc>
        <w:tc>
          <w:tcPr>
            <w:tcW w:w="1361" w:type="dxa"/>
            <w:vAlign w:val="bottom"/>
          </w:tcPr>
          <w:p w14:paraId="6E4C2743"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7A8B2102"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467E4AAE" w14:textId="77777777" w:rsidR="008E5DE4" w:rsidRDefault="008E5DE4">
            <w:pPr>
              <w:widowControl w:val="0"/>
              <w:jc w:val="right"/>
            </w:pPr>
          </w:p>
        </w:tc>
        <w:tc>
          <w:tcPr>
            <w:tcW w:w="1361" w:type="dxa"/>
            <w:vAlign w:val="bottom"/>
          </w:tcPr>
          <w:p w14:paraId="7603BFE9" w14:textId="77777777" w:rsidR="008E5DE4" w:rsidRDefault="008E5DE4">
            <w:pPr>
              <w:widowControl w:val="0"/>
              <w:jc w:val="right"/>
            </w:pPr>
          </w:p>
        </w:tc>
      </w:tr>
      <w:tr w:rsidR="008E5DE4" w14:paraId="1646BA02" w14:textId="77777777">
        <w:trPr>
          <w:cantSplit/>
        </w:trPr>
        <w:tc>
          <w:tcPr>
            <w:tcW w:w="3912" w:type="dxa"/>
            <w:vAlign w:val="bottom"/>
          </w:tcPr>
          <w:p w14:paraId="06D2292C" w14:textId="77777777" w:rsidR="008E5DE4" w:rsidRDefault="00780368">
            <w:pPr>
              <w:widowControl w:val="0"/>
              <w:pBdr>
                <w:top w:val="nil"/>
                <w:left w:val="nil"/>
                <w:bottom w:val="nil"/>
                <w:right w:val="nil"/>
                <w:between w:val="nil"/>
              </w:pBdr>
              <w:ind w:left="113" w:right="-57" w:hanging="113"/>
              <w:rPr>
                <w:color w:val="000000"/>
              </w:rPr>
            </w:pPr>
            <w:r>
              <w:rPr>
                <w:color w:val="000000"/>
              </w:rPr>
              <w:t>Dividends paid during the year</w:t>
            </w:r>
          </w:p>
        </w:tc>
        <w:tc>
          <w:tcPr>
            <w:tcW w:w="1361" w:type="dxa"/>
            <w:vAlign w:val="bottom"/>
          </w:tcPr>
          <w:p w14:paraId="478225E5"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66F4A2C6"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521564F0" w14:textId="77777777" w:rsidR="008E5DE4" w:rsidRDefault="008E5DE4">
            <w:pPr>
              <w:widowControl w:val="0"/>
              <w:jc w:val="right"/>
            </w:pPr>
          </w:p>
        </w:tc>
        <w:tc>
          <w:tcPr>
            <w:tcW w:w="1361" w:type="dxa"/>
            <w:vAlign w:val="bottom"/>
          </w:tcPr>
          <w:p w14:paraId="19CE3151" w14:textId="77777777" w:rsidR="008E5DE4" w:rsidRDefault="008E5DE4">
            <w:pPr>
              <w:widowControl w:val="0"/>
              <w:jc w:val="right"/>
            </w:pPr>
          </w:p>
        </w:tc>
      </w:tr>
      <w:tr w:rsidR="008E5DE4" w14:paraId="4DD12772" w14:textId="77777777">
        <w:trPr>
          <w:cantSplit/>
        </w:trPr>
        <w:tc>
          <w:tcPr>
            <w:tcW w:w="3912" w:type="dxa"/>
            <w:tcBorders>
              <w:bottom w:val="single" w:sz="4" w:space="0" w:color="000000"/>
            </w:tcBorders>
            <w:vAlign w:val="bottom"/>
          </w:tcPr>
          <w:p w14:paraId="325AA07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61" w:type="dxa"/>
            <w:tcBorders>
              <w:bottom w:val="single" w:sz="4" w:space="0" w:color="000000"/>
            </w:tcBorders>
            <w:vAlign w:val="bottom"/>
          </w:tcPr>
          <w:p w14:paraId="59C9CDFD"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2DF052EE"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77AA3D23" w14:textId="77777777" w:rsidR="008E5DE4" w:rsidRDefault="008E5DE4">
            <w:pPr>
              <w:widowControl w:val="0"/>
              <w:jc w:val="right"/>
            </w:pPr>
          </w:p>
        </w:tc>
        <w:tc>
          <w:tcPr>
            <w:tcW w:w="1361" w:type="dxa"/>
            <w:tcBorders>
              <w:bottom w:val="single" w:sz="4" w:space="0" w:color="000000"/>
            </w:tcBorders>
            <w:vAlign w:val="bottom"/>
          </w:tcPr>
          <w:p w14:paraId="58F86F42" w14:textId="77777777" w:rsidR="008E5DE4" w:rsidRDefault="008E5DE4">
            <w:pPr>
              <w:widowControl w:val="0"/>
              <w:jc w:val="right"/>
            </w:pPr>
          </w:p>
        </w:tc>
      </w:tr>
      <w:tr w:rsidR="008E5DE4" w14:paraId="236B62AD" w14:textId="77777777">
        <w:trPr>
          <w:cantSplit/>
        </w:trPr>
        <w:tc>
          <w:tcPr>
            <w:tcW w:w="3912" w:type="dxa"/>
            <w:tcBorders>
              <w:top w:val="single" w:sz="4" w:space="0" w:color="000000"/>
            </w:tcBorders>
            <w:vAlign w:val="bottom"/>
          </w:tcPr>
          <w:p w14:paraId="6BE30C8A"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361" w:type="dxa"/>
            <w:tcBorders>
              <w:top w:val="single" w:sz="4" w:space="0" w:color="000000"/>
            </w:tcBorders>
            <w:vAlign w:val="bottom"/>
          </w:tcPr>
          <w:p w14:paraId="0064F8F5"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3CAF74FE"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322811A3" w14:textId="77777777" w:rsidR="008E5DE4" w:rsidRDefault="008E5DE4">
            <w:pPr>
              <w:widowControl w:val="0"/>
              <w:jc w:val="right"/>
            </w:pPr>
          </w:p>
        </w:tc>
        <w:tc>
          <w:tcPr>
            <w:tcW w:w="1361" w:type="dxa"/>
            <w:tcBorders>
              <w:top w:val="single" w:sz="4" w:space="0" w:color="000000"/>
            </w:tcBorders>
            <w:vAlign w:val="bottom"/>
          </w:tcPr>
          <w:p w14:paraId="46396884" w14:textId="77777777" w:rsidR="008E5DE4" w:rsidRDefault="008E5DE4">
            <w:pPr>
              <w:widowControl w:val="0"/>
              <w:jc w:val="right"/>
            </w:pPr>
          </w:p>
        </w:tc>
      </w:tr>
      <w:tr w:rsidR="008E5DE4" w14:paraId="6352483B" w14:textId="77777777">
        <w:trPr>
          <w:cantSplit/>
        </w:trPr>
        <w:tc>
          <w:tcPr>
            <w:tcW w:w="3912" w:type="dxa"/>
            <w:vAlign w:val="bottom"/>
          </w:tcPr>
          <w:p w14:paraId="69B54EB4"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Dividends payable </w:t>
            </w:r>
            <w:proofErr w:type="gramStart"/>
            <w:r>
              <w:rPr>
                <w:b/>
                <w:color w:val="000000"/>
              </w:rPr>
              <w:t>at</w:t>
            </w:r>
            <w:proofErr w:type="gramEnd"/>
            <w:r>
              <w:rPr>
                <w:b/>
                <w:color w:val="000000"/>
              </w:rPr>
              <w:t xml:space="preserve"> 31 December </w:t>
            </w:r>
          </w:p>
        </w:tc>
        <w:tc>
          <w:tcPr>
            <w:tcW w:w="1361" w:type="dxa"/>
            <w:vAlign w:val="bottom"/>
          </w:tcPr>
          <w:p w14:paraId="6B9930A5"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6EEC214D"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73C66E72" w14:textId="77777777" w:rsidR="008E5DE4" w:rsidRDefault="008E5DE4">
            <w:pPr>
              <w:widowControl w:val="0"/>
              <w:jc w:val="right"/>
              <w:rPr>
                <w:b/>
              </w:rPr>
            </w:pPr>
          </w:p>
        </w:tc>
        <w:tc>
          <w:tcPr>
            <w:tcW w:w="1361" w:type="dxa"/>
            <w:vAlign w:val="bottom"/>
          </w:tcPr>
          <w:p w14:paraId="1E8805C6" w14:textId="77777777" w:rsidR="008E5DE4" w:rsidRDefault="008E5DE4">
            <w:pPr>
              <w:widowControl w:val="0"/>
              <w:jc w:val="right"/>
              <w:rPr>
                <w:b/>
              </w:rPr>
            </w:pPr>
          </w:p>
        </w:tc>
      </w:tr>
      <w:tr w:rsidR="008E5DE4" w14:paraId="0FFCF386" w14:textId="77777777">
        <w:trPr>
          <w:cantSplit/>
        </w:trPr>
        <w:tc>
          <w:tcPr>
            <w:tcW w:w="3912" w:type="dxa"/>
            <w:tcBorders>
              <w:bottom w:val="single" w:sz="12" w:space="0" w:color="000000"/>
            </w:tcBorders>
            <w:vAlign w:val="bottom"/>
          </w:tcPr>
          <w:p w14:paraId="66A9EE53"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361" w:type="dxa"/>
            <w:tcBorders>
              <w:bottom w:val="single" w:sz="12" w:space="0" w:color="000000"/>
            </w:tcBorders>
            <w:vAlign w:val="bottom"/>
          </w:tcPr>
          <w:p w14:paraId="2028DFC3"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12" w:space="0" w:color="000000"/>
            </w:tcBorders>
            <w:vAlign w:val="bottom"/>
          </w:tcPr>
          <w:p w14:paraId="5B1D0E1C"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12" w:space="0" w:color="000000"/>
            </w:tcBorders>
            <w:vAlign w:val="bottom"/>
          </w:tcPr>
          <w:p w14:paraId="04B332F3" w14:textId="77777777" w:rsidR="008E5DE4" w:rsidRDefault="008E5DE4">
            <w:pPr>
              <w:widowControl w:val="0"/>
              <w:jc w:val="right"/>
            </w:pPr>
          </w:p>
        </w:tc>
        <w:tc>
          <w:tcPr>
            <w:tcW w:w="1361" w:type="dxa"/>
            <w:tcBorders>
              <w:bottom w:val="single" w:sz="12" w:space="0" w:color="000000"/>
            </w:tcBorders>
            <w:vAlign w:val="bottom"/>
          </w:tcPr>
          <w:p w14:paraId="69B64188" w14:textId="77777777" w:rsidR="008E5DE4" w:rsidRDefault="008E5DE4">
            <w:pPr>
              <w:widowControl w:val="0"/>
              <w:jc w:val="right"/>
            </w:pPr>
          </w:p>
        </w:tc>
      </w:tr>
      <w:tr w:rsidR="008E5DE4" w14:paraId="2B0648B7" w14:textId="77777777">
        <w:trPr>
          <w:cantSplit/>
        </w:trPr>
        <w:tc>
          <w:tcPr>
            <w:tcW w:w="3912" w:type="dxa"/>
            <w:tcBorders>
              <w:top w:val="single" w:sz="12" w:space="0" w:color="000000"/>
            </w:tcBorders>
            <w:vAlign w:val="bottom"/>
          </w:tcPr>
          <w:p w14:paraId="76170B7B" w14:textId="77777777" w:rsidR="008E5DE4" w:rsidRDefault="00780368">
            <w:pPr>
              <w:widowControl w:val="0"/>
              <w:ind w:left="113" w:right="-57" w:hanging="113"/>
            </w:pPr>
            <w:r>
              <w:t> </w:t>
            </w:r>
          </w:p>
        </w:tc>
        <w:tc>
          <w:tcPr>
            <w:tcW w:w="1361" w:type="dxa"/>
            <w:tcBorders>
              <w:top w:val="single" w:sz="12" w:space="0" w:color="000000"/>
            </w:tcBorders>
            <w:vAlign w:val="bottom"/>
          </w:tcPr>
          <w:p w14:paraId="6D20698A"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12" w:space="0" w:color="000000"/>
            </w:tcBorders>
            <w:vAlign w:val="bottom"/>
          </w:tcPr>
          <w:p w14:paraId="0F7DB6B7"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12" w:space="0" w:color="000000"/>
            </w:tcBorders>
            <w:vAlign w:val="bottom"/>
          </w:tcPr>
          <w:p w14:paraId="64D74D64" w14:textId="77777777" w:rsidR="008E5DE4" w:rsidRDefault="008E5DE4">
            <w:pPr>
              <w:widowControl w:val="0"/>
              <w:jc w:val="right"/>
            </w:pPr>
          </w:p>
        </w:tc>
        <w:tc>
          <w:tcPr>
            <w:tcW w:w="1361" w:type="dxa"/>
            <w:tcBorders>
              <w:top w:val="single" w:sz="12" w:space="0" w:color="000000"/>
            </w:tcBorders>
            <w:vAlign w:val="bottom"/>
          </w:tcPr>
          <w:p w14:paraId="32C0D709" w14:textId="77777777" w:rsidR="008E5DE4" w:rsidRDefault="008E5DE4">
            <w:pPr>
              <w:widowControl w:val="0"/>
              <w:jc w:val="right"/>
            </w:pPr>
          </w:p>
        </w:tc>
      </w:tr>
      <w:tr w:rsidR="008E5DE4" w14:paraId="459D5DDC" w14:textId="77777777">
        <w:trPr>
          <w:cantSplit/>
        </w:trPr>
        <w:tc>
          <w:tcPr>
            <w:tcW w:w="3912" w:type="dxa"/>
            <w:vAlign w:val="bottom"/>
          </w:tcPr>
          <w:p w14:paraId="2B206328" w14:textId="7C69D113" w:rsidR="008E5DE4" w:rsidRDefault="00780368">
            <w:pPr>
              <w:widowControl w:val="0"/>
              <w:pBdr>
                <w:top w:val="nil"/>
                <w:left w:val="nil"/>
                <w:bottom w:val="nil"/>
                <w:right w:val="nil"/>
                <w:between w:val="nil"/>
              </w:pBdr>
              <w:ind w:left="113" w:right="-57" w:hanging="113"/>
              <w:rPr>
                <w:b/>
                <w:color w:val="000000"/>
              </w:rPr>
            </w:pPr>
            <w:r>
              <w:rPr>
                <w:b/>
                <w:color w:val="000000"/>
              </w:rPr>
              <w:t xml:space="preserve">Dividends per share declared </w:t>
            </w:r>
            <w:r>
              <w:rPr>
                <w:b/>
                <w:color w:val="000000"/>
              </w:rPr>
              <w:br/>
              <w:t>during the year</w:t>
            </w:r>
          </w:p>
        </w:tc>
        <w:tc>
          <w:tcPr>
            <w:tcW w:w="1361" w:type="dxa"/>
            <w:vAlign w:val="bottom"/>
          </w:tcPr>
          <w:p w14:paraId="1488C4BC"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5DF0138C"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5E2AC4FD" w14:textId="77777777" w:rsidR="008E5DE4" w:rsidRDefault="008E5DE4">
            <w:pPr>
              <w:widowControl w:val="0"/>
              <w:jc w:val="right"/>
              <w:rPr>
                <w:b/>
              </w:rPr>
            </w:pPr>
          </w:p>
        </w:tc>
        <w:tc>
          <w:tcPr>
            <w:tcW w:w="1361" w:type="dxa"/>
            <w:vAlign w:val="bottom"/>
          </w:tcPr>
          <w:p w14:paraId="29D403AA" w14:textId="77777777" w:rsidR="008E5DE4" w:rsidRDefault="008E5DE4">
            <w:pPr>
              <w:widowControl w:val="0"/>
              <w:jc w:val="right"/>
              <w:rPr>
                <w:b/>
              </w:rPr>
            </w:pPr>
          </w:p>
        </w:tc>
      </w:tr>
      <w:tr w:rsidR="008E5DE4" w14:paraId="723D351B" w14:textId="77777777">
        <w:trPr>
          <w:cantSplit/>
        </w:trPr>
        <w:tc>
          <w:tcPr>
            <w:tcW w:w="3912" w:type="dxa"/>
            <w:tcBorders>
              <w:bottom w:val="single" w:sz="12" w:space="0" w:color="000000"/>
            </w:tcBorders>
            <w:vAlign w:val="bottom"/>
          </w:tcPr>
          <w:p w14:paraId="4126973D" w14:textId="77777777" w:rsidR="008E5DE4" w:rsidRDefault="00780368">
            <w:pPr>
              <w:widowControl w:val="0"/>
              <w:ind w:left="113" w:right="-57" w:hanging="113"/>
            </w:pPr>
            <w:r>
              <w:t> </w:t>
            </w:r>
          </w:p>
        </w:tc>
        <w:tc>
          <w:tcPr>
            <w:tcW w:w="1361" w:type="dxa"/>
            <w:tcBorders>
              <w:bottom w:val="single" w:sz="12" w:space="0" w:color="000000"/>
            </w:tcBorders>
            <w:vAlign w:val="bottom"/>
          </w:tcPr>
          <w:p w14:paraId="0084E298"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12" w:space="0" w:color="000000"/>
            </w:tcBorders>
            <w:vAlign w:val="bottom"/>
          </w:tcPr>
          <w:p w14:paraId="04F5961F"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12" w:space="0" w:color="000000"/>
            </w:tcBorders>
            <w:vAlign w:val="bottom"/>
          </w:tcPr>
          <w:p w14:paraId="5C8CDFE1" w14:textId="77777777" w:rsidR="008E5DE4" w:rsidRDefault="008E5DE4">
            <w:pPr>
              <w:widowControl w:val="0"/>
              <w:jc w:val="right"/>
            </w:pPr>
          </w:p>
        </w:tc>
        <w:tc>
          <w:tcPr>
            <w:tcW w:w="1361" w:type="dxa"/>
            <w:tcBorders>
              <w:bottom w:val="single" w:sz="12" w:space="0" w:color="000000"/>
            </w:tcBorders>
            <w:vAlign w:val="bottom"/>
          </w:tcPr>
          <w:p w14:paraId="23759E0E" w14:textId="77777777" w:rsidR="008E5DE4" w:rsidRDefault="008E5DE4">
            <w:pPr>
              <w:widowControl w:val="0"/>
              <w:jc w:val="right"/>
            </w:pPr>
          </w:p>
        </w:tc>
      </w:tr>
    </w:tbl>
    <w:p w14:paraId="312B4B9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26</w:t>
      </w:r>
      <w:r>
        <w:rPr>
          <w:b/>
          <w:color w:val="000000"/>
          <w:sz w:val="20"/>
          <w:szCs w:val="20"/>
        </w:rPr>
        <w:tab/>
        <w:t>Share Capital (Continued)</w:t>
      </w:r>
    </w:p>
    <w:p w14:paraId="64FFA038" w14:textId="053A44B4"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All dividends are declared and paid in EUR.</w:t>
      </w:r>
      <w:r>
        <w:rPr>
          <w:i/>
          <w:color w:val="FF0000"/>
          <w:sz w:val="20"/>
          <w:szCs w:val="20"/>
        </w:rPr>
        <w:t xml:space="preserve"> </w:t>
      </w:r>
    </w:p>
    <w:p w14:paraId="3DB25F4F" w14:textId="43936CE1"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In accordance with [Country] legislation, the Company distributes profits as dividends </w:t>
      </w:r>
      <w:proofErr w:type="gramStart"/>
      <w:r>
        <w:rPr>
          <w:color w:val="0000FF"/>
          <w:sz w:val="20"/>
          <w:szCs w:val="20"/>
        </w:rPr>
        <w:t>on the basis of</w:t>
      </w:r>
      <w:proofErr w:type="gramEnd"/>
      <w:r>
        <w:rPr>
          <w:color w:val="0000FF"/>
          <w:sz w:val="20"/>
          <w:szCs w:val="20"/>
        </w:rPr>
        <w:t xml:space="preserve"> financial statements prepared in accordance with [Country] Accounting Rules. The statutory accounting reports of the Company are the basis for profit distribution and other appropriations.  [Country] legislation identifies the basis of distribution as the net profit. For </w:t>
      </w:r>
      <w:r w:rsidR="008614F8">
        <w:rPr>
          <w:color w:val="0000FF"/>
          <w:sz w:val="20"/>
          <w:szCs w:val="20"/>
        </w:rPr>
        <w:t>2025</w:t>
      </w:r>
      <w:r>
        <w:rPr>
          <w:color w:val="0000FF"/>
          <w:sz w:val="20"/>
          <w:szCs w:val="20"/>
        </w:rPr>
        <w:t>, the current year net statutory profit for the Company as reported in the published annual statutory reporting forms was EUR ____ thousand (</w:t>
      </w:r>
      <w:r w:rsidR="00FF468A">
        <w:rPr>
          <w:color w:val="0000FF"/>
          <w:sz w:val="20"/>
          <w:szCs w:val="20"/>
        </w:rPr>
        <w:t>2024</w:t>
      </w:r>
      <w:r>
        <w:rPr>
          <w:color w:val="0000FF"/>
          <w:sz w:val="20"/>
          <w:szCs w:val="20"/>
        </w:rPr>
        <w:t>: EUR ____ thousand) and the closing balance of the accumulated profit including the current year net statutory profit totalled EUR ____ thousand (</w:t>
      </w:r>
      <w:r w:rsidR="00FF468A">
        <w:rPr>
          <w:color w:val="0000FF"/>
          <w:sz w:val="20"/>
          <w:szCs w:val="20"/>
        </w:rPr>
        <w:t>2024</w:t>
      </w:r>
      <w:r>
        <w:rPr>
          <w:color w:val="0000FF"/>
          <w:sz w:val="20"/>
          <w:szCs w:val="20"/>
        </w:rPr>
        <w:t>: EUR ____ thousand). However, this legislation and other statutory laws and regulations are open to legal interpretation and accordingly management believes at present that it would not be appropriate to disclose an amount for distributable reserves in these consolidated financial statements</w:t>
      </w:r>
      <w:r>
        <w:rPr>
          <w:color w:val="0000FF"/>
        </w:rPr>
        <w:t>.</w:t>
      </w:r>
    </w:p>
    <w:p w14:paraId="7EFF20CD" w14:textId="170A1841" w:rsidR="008E5DE4" w:rsidRDefault="00C07603" w:rsidP="007F183E">
      <w:pPr>
        <w:pStyle w:val="Heading1"/>
        <w:numPr>
          <w:ilvl w:val="0"/>
          <w:numId w:val="0"/>
        </w:numPr>
        <w:ind w:left="567" w:hanging="567"/>
      </w:pPr>
      <w:bookmarkStart w:id="46" w:name="_Toc149923626"/>
      <w:r>
        <w:t xml:space="preserve">27 </w:t>
      </w:r>
      <w:r>
        <w:tab/>
      </w:r>
      <w:r w:rsidR="00780368">
        <w:t>Other Comprehensive Income Recognised in Each Component of Equity</w:t>
      </w:r>
      <w:bookmarkEnd w:id="46"/>
    </w:p>
    <w:p w14:paraId="1C9A6723"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An analysis of other comprehensive income by item for each component of equity is as follows:</w:t>
      </w:r>
    </w:p>
    <w:tbl>
      <w:tblPr>
        <w:tblStyle w:val="afffffffff3"/>
        <w:tblW w:w="9416" w:type="dxa"/>
        <w:tblInd w:w="28" w:type="dxa"/>
        <w:tblLayout w:type="fixed"/>
        <w:tblLook w:val="0400" w:firstRow="0" w:lastRow="0" w:firstColumn="0" w:lastColumn="0" w:noHBand="0" w:noVBand="1"/>
      </w:tblPr>
      <w:tblGrid>
        <w:gridCol w:w="1303"/>
        <w:gridCol w:w="454"/>
        <w:gridCol w:w="624"/>
        <w:gridCol w:w="794"/>
        <w:gridCol w:w="794"/>
        <w:gridCol w:w="794"/>
        <w:gridCol w:w="794"/>
        <w:gridCol w:w="794"/>
        <w:gridCol w:w="794"/>
        <w:gridCol w:w="794"/>
        <w:gridCol w:w="738"/>
        <w:gridCol w:w="739"/>
      </w:tblGrid>
      <w:tr w:rsidR="008E5DE4" w14:paraId="51C07772" w14:textId="77777777">
        <w:trPr>
          <w:cantSplit/>
        </w:trPr>
        <w:tc>
          <w:tcPr>
            <w:tcW w:w="1304" w:type="dxa"/>
            <w:vAlign w:val="bottom"/>
          </w:tcPr>
          <w:p w14:paraId="6A737D8F" w14:textId="77777777" w:rsidR="008E5DE4" w:rsidRDefault="008E5DE4">
            <w:pPr>
              <w:widowControl w:val="0"/>
              <w:pBdr>
                <w:top w:val="nil"/>
                <w:left w:val="nil"/>
                <w:bottom w:val="nil"/>
                <w:right w:val="nil"/>
                <w:between w:val="nil"/>
              </w:pBdr>
              <w:ind w:left="56" w:right="-57" w:hanging="113"/>
              <w:rPr>
                <w:b/>
                <w:color w:val="000000"/>
                <w:sz w:val="16"/>
                <w:szCs w:val="16"/>
              </w:rPr>
            </w:pPr>
          </w:p>
        </w:tc>
        <w:tc>
          <w:tcPr>
            <w:tcW w:w="454" w:type="dxa"/>
            <w:vAlign w:val="bottom"/>
          </w:tcPr>
          <w:p w14:paraId="6BA4BA9A"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182" w:type="dxa"/>
            <w:gridSpan w:val="8"/>
          </w:tcPr>
          <w:p w14:paraId="2997961D"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Attributable to owners of the Company</w:t>
            </w:r>
          </w:p>
        </w:tc>
        <w:tc>
          <w:tcPr>
            <w:tcW w:w="738" w:type="dxa"/>
            <w:vMerge w:val="restart"/>
          </w:tcPr>
          <w:p w14:paraId="3766AD3A"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Non-</w:t>
            </w:r>
            <w:proofErr w:type="gramStart"/>
            <w:r>
              <w:rPr>
                <w:b/>
                <w:color w:val="000000"/>
                <w:sz w:val="16"/>
                <w:szCs w:val="16"/>
              </w:rPr>
              <w:t>con-trolling</w:t>
            </w:r>
            <w:proofErr w:type="gramEnd"/>
            <w:r>
              <w:rPr>
                <w:b/>
                <w:color w:val="000000"/>
                <w:sz w:val="16"/>
                <w:szCs w:val="16"/>
              </w:rPr>
              <w:t xml:space="preserve"> </w:t>
            </w:r>
          </w:p>
          <w:p w14:paraId="791069FA" w14:textId="77777777" w:rsidR="008E5DE4" w:rsidRDefault="00780368">
            <w:pPr>
              <w:widowControl w:val="0"/>
              <w:pBdr>
                <w:top w:val="nil"/>
                <w:left w:val="nil"/>
                <w:bottom w:val="nil"/>
                <w:right w:val="nil"/>
                <w:between w:val="nil"/>
              </w:pBdr>
              <w:ind w:left="-113"/>
              <w:jc w:val="right"/>
              <w:rPr>
                <w:color w:val="000000"/>
                <w:sz w:val="16"/>
                <w:szCs w:val="16"/>
              </w:rPr>
            </w:pPr>
            <w:r>
              <w:rPr>
                <w:b/>
                <w:color w:val="000000"/>
                <w:sz w:val="16"/>
                <w:szCs w:val="16"/>
              </w:rPr>
              <w:t>interest</w:t>
            </w:r>
          </w:p>
        </w:tc>
        <w:tc>
          <w:tcPr>
            <w:tcW w:w="739" w:type="dxa"/>
            <w:vMerge w:val="restart"/>
          </w:tcPr>
          <w:p w14:paraId="05BE88D8"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Total</w:t>
            </w:r>
          </w:p>
          <w:p w14:paraId="79948508" w14:textId="77777777" w:rsidR="008E5DE4" w:rsidRDefault="00780368">
            <w:pPr>
              <w:widowControl w:val="0"/>
              <w:pBdr>
                <w:top w:val="nil"/>
                <w:left w:val="nil"/>
                <w:bottom w:val="nil"/>
                <w:right w:val="nil"/>
                <w:between w:val="nil"/>
              </w:pBdr>
              <w:ind w:left="-113"/>
              <w:jc w:val="right"/>
              <w:rPr>
                <w:color w:val="000000"/>
                <w:sz w:val="16"/>
                <w:szCs w:val="16"/>
              </w:rPr>
            </w:pPr>
            <w:r>
              <w:rPr>
                <w:b/>
                <w:color w:val="000000"/>
                <w:sz w:val="16"/>
                <w:szCs w:val="16"/>
              </w:rPr>
              <w:t>Equity</w:t>
            </w:r>
          </w:p>
        </w:tc>
      </w:tr>
      <w:tr w:rsidR="008E5DE4" w14:paraId="1481A264" w14:textId="77777777">
        <w:trPr>
          <w:cantSplit/>
        </w:trPr>
        <w:tc>
          <w:tcPr>
            <w:tcW w:w="1304" w:type="dxa"/>
            <w:tcBorders>
              <w:bottom w:val="single" w:sz="4" w:space="0" w:color="000000"/>
            </w:tcBorders>
            <w:vAlign w:val="bottom"/>
          </w:tcPr>
          <w:p w14:paraId="5FB32DD9" w14:textId="77777777" w:rsidR="008E5DE4" w:rsidRDefault="00780368">
            <w:pPr>
              <w:widowControl w:val="0"/>
              <w:pBdr>
                <w:top w:val="nil"/>
                <w:left w:val="nil"/>
                <w:bottom w:val="nil"/>
                <w:right w:val="nil"/>
                <w:between w:val="nil"/>
              </w:pBdr>
              <w:ind w:left="56" w:right="-57" w:hanging="113"/>
              <w:rPr>
                <w:b/>
                <w:color w:val="000000"/>
                <w:sz w:val="16"/>
                <w:szCs w:val="16"/>
              </w:rPr>
            </w:pPr>
            <w:r>
              <w:rPr>
                <w:i/>
                <w:color w:val="000000"/>
                <w:sz w:val="16"/>
                <w:szCs w:val="16"/>
              </w:rPr>
              <w:t>In thousands of EUR</w:t>
            </w:r>
          </w:p>
        </w:tc>
        <w:tc>
          <w:tcPr>
            <w:tcW w:w="454" w:type="dxa"/>
            <w:tcBorders>
              <w:bottom w:val="single" w:sz="4" w:space="0" w:color="000000"/>
            </w:tcBorders>
            <w:vAlign w:val="bottom"/>
          </w:tcPr>
          <w:p w14:paraId="77F2CB13" w14:textId="77777777" w:rsidR="008E5DE4" w:rsidRDefault="00780368">
            <w:pPr>
              <w:widowControl w:val="0"/>
              <w:pBdr>
                <w:top w:val="nil"/>
                <w:left w:val="nil"/>
                <w:bottom w:val="nil"/>
                <w:right w:val="nil"/>
                <w:between w:val="nil"/>
              </w:pBdr>
              <w:ind w:left="-113" w:right="-113"/>
              <w:jc w:val="center"/>
              <w:rPr>
                <w:color w:val="000000"/>
                <w:sz w:val="16"/>
                <w:szCs w:val="16"/>
              </w:rPr>
            </w:pPr>
            <w:r>
              <w:rPr>
                <w:b/>
                <w:color w:val="000000"/>
                <w:sz w:val="16"/>
                <w:szCs w:val="16"/>
              </w:rPr>
              <w:t>Note</w:t>
            </w:r>
          </w:p>
        </w:tc>
        <w:tc>
          <w:tcPr>
            <w:tcW w:w="624" w:type="dxa"/>
            <w:tcBorders>
              <w:top w:val="single" w:sz="4" w:space="0" w:color="000000"/>
              <w:bottom w:val="single" w:sz="4" w:space="0" w:color="000000"/>
            </w:tcBorders>
          </w:tcPr>
          <w:p w14:paraId="386591A9"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Share</w:t>
            </w:r>
          </w:p>
          <w:p w14:paraId="2B91E0AE"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Capital</w:t>
            </w:r>
          </w:p>
        </w:tc>
        <w:tc>
          <w:tcPr>
            <w:tcW w:w="794" w:type="dxa"/>
            <w:tcBorders>
              <w:top w:val="single" w:sz="4" w:space="0" w:color="000000"/>
              <w:bottom w:val="single" w:sz="4" w:space="0" w:color="000000"/>
            </w:tcBorders>
          </w:tcPr>
          <w:p w14:paraId="16653659"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Share</w:t>
            </w:r>
          </w:p>
          <w:p w14:paraId="43E2C495"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Premium</w:t>
            </w:r>
          </w:p>
        </w:tc>
        <w:tc>
          <w:tcPr>
            <w:tcW w:w="794" w:type="dxa"/>
            <w:tcBorders>
              <w:top w:val="single" w:sz="4" w:space="0" w:color="000000"/>
              <w:bottom w:val="single" w:sz="4" w:space="0" w:color="000000"/>
            </w:tcBorders>
          </w:tcPr>
          <w:p w14:paraId="6D9C5035"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Reva-</w:t>
            </w:r>
            <w:proofErr w:type="spellStart"/>
            <w:r>
              <w:rPr>
                <w:b/>
                <w:color w:val="000000"/>
                <w:sz w:val="16"/>
                <w:szCs w:val="16"/>
              </w:rPr>
              <w:t>luation</w:t>
            </w:r>
            <w:proofErr w:type="spellEnd"/>
            <w:r>
              <w:rPr>
                <w:b/>
                <w:color w:val="000000"/>
                <w:sz w:val="16"/>
                <w:szCs w:val="16"/>
              </w:rPr>
              <w:t xml:space="preserve"> reserve for securities at FVOCI</w:t>
            </w:r>
          </w:p>
        </w:tc>
        <w:tc>
          <w:tcPr>
            <w:tcW w:w="794" w:type="dxa"/>
            <w:tcBorders>
              <w:top w:val="single" w:sz="4" w:space="0" w:color="000000"/>
              <w:bottom w:val="single" w:sz="4" w:space="0" w:color="000000"/>
            </w:tcBorders>
          </w:tcPr>
          <w:p w14:paraId="20BDF76B"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Reva-</w:t>
            </w:r>
            <w:proofErr w:type="spellStart"/>
            <w:r>
              <w:rPr>
                <w:b/>
                <w:color w:val="000000"/>
                <w:sz w:val="16"/>
                <w:szCs w:val="16"/>
              </w:rPr>
              <w:t>luation</w:t>
            </w:r>
            <w:proofErr w:type="spellEnd"/>
            <w:r>
              <w:rPr>
                <w:b/>
                <w:color w:val="000000"/>
                <w:sz w:val="16"/>
                <w:szCs w:val="16"/>
              </w:rPr>
              <w:t xml:space="preserve"> of financial liabilities </w:t>
            </w:r>
            <w:proofErr w:type="spellStart"/>
            <w:r>
              <w:rPr>
                <w:b/>
                <w:color w:val="000000"/>
                <w:sz w:val="16"/>
                <w:szCs w:val="16"/>
              </w:rPr>
              <w:t>attribu</w:t>
            </w:r>
            <w:proofErr w:type="spellEnd"/>
            <w:r>
              <w:rPr>
                <w:b/>
                <w:color w:val="000000"/>
                <w:sz w:val="16"/>
                <w:szCs w:val="16"/>
              </w:rPr>
              <w:t>-table to own credit risk</w:t>
            </w:r>
          </w:p>
        </w:tc>
        <w:tc>
          <w:tcPr>
            <w:tcW w:w="794" w:type="dxa"/>
            <w:tcBorders>
              <w:top w:val="single" w:sz="4" w:space="0" w:color="000000"/>
              <w:bottom w:val="single" w:sz="4" w:space="0" w:color="000000"/>
            </w:tcBorders>
          </w:tcPr>
          <w:p w14:paraId="32C98895"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Reva-</w:t>
            </w:r>
            <w:proofErr w:type="spellStart"/>
            <w:r>
              <w:rPr>
                <w:b/>
                <w:color w:val="000000"/>
                <w:sz w:val="16"/>
                <w:szCs w:val="16"/>
              </w:rPr>
              <w:t>luation</w:t>
            </w:r>
            <w:proofErr w:type="spellEnd"/>
            <w:r>
              <w:rPr>
                <w:b/>
                <w:color w:val="000000"/>
                <w:sz w:val="16"/>
                <w:szCs w:val="16"/>
              </w:rPr>
              <w:t xml:space="preserve"> reserve for PP&amp;E</w:t>
            </w:r>
          </w:p>
        </w:tc>
        <w:tc>
          <w:tcPr>
            <w:tcW w:w="794" w:type="dxa"/>
            <w:tcBorders>
              <w:top w:val="single" w:sz="4" w:space="0" w:color="000000"/>
              <w:bottom w:val="single" w:sz="4" w:space="0" w:color="000000"/>
            </w:tcBorders>
          </w:tcPr>
          <w:p w14:paraId="78898541"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Currency </w:t>
            </w:r>
            <w:proofErr w:type="spellStart"/>
            <w:r>
              <w:rPr>
                <w:b/>
                <w:color w:val="000000"/>
                <w:sz w:val="16"/>
                <w:szCs w:val="16"/>
              </w:rPr>
              <w:t>transla-tion</w:t>
            </w:r>
            <w:proofErr w:type="spellEnd"/>
            <w:r>
              <w:rPr>
                <w:b/>
                <w:color w:val="000000"/>
                <w:sz w:val="16"/>
                <w:szCs w:val="16"/>
              </w:rPr>
              <w:t xml:space="preserve"> reserve</w:t>
            </w:r>
          </w:p>
        </w:tc>
        <w:tc>
          <w:tcPr>
            <w:tcW w:w="794" w:type="dxa"/>
            <w:tcBorders>
              <w:top w:val="single" w:sz="4" w:space="0" w:color="000000"/>
              <w:bottom w:val="single" w:sz="4" w:space="0" w:color="000000"/>
            </w:tcBorders>
          </w:tcPr>
          <w:p w14:paraId="4ECA199B"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Retained</w:t>
            </w:r>
          </w:p>
          <w:p w14:paraId="3A45270D"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earnings</w:t>
            </w:r>
            <w:r>
              <w:rPr>
                <w:b/>
                <w:color w:val="000000"/>
                <w:sz w:val="16"/>
                <w:szCs w:val="16"/>
              </w:rPr>
              <w:br/>
            </w:r>
            <w:r>
              <w:rPr>
                <w:b/>
                <w:color w:val="0000FF"/>
                <w:sz w:val="16"/>
                <w:szCs w:val="16"/>
              </w:rPr>
              <w:t>[Accu-</w:t>
            </w:r>
            <w:proofErr w:type="spellStart"/>
            <w:r>
              <w:rPr>
                <w:b/>
                <w:color w:val="0000FF"/>
                <w:sz w:val="16"/>
                <w:szCs w:val="16"/>
              </w:rPr>
              <w:t>mulated</w:t>
            </w:r>
            <w:proofErr w:type="spellEnd"/>
            <w:r>
              <w:rPr>
                <w:b/>
                <w:color w:val="0000FF"/>
                <w:sz w:val="16"/>
                <w:szCs w:val="16"/>
              </w:rPr>
              <w:t xml:space="preserve"> deficit]</w:t>
            </w:r>
          </w:p>
        </w:tc>
        <w:tc>
          <w:tcPr>
            <w:tcW w:w="794" w:type="dxa"/>
            <w:tcBorders>
              <w:top w:val="single" w:sz="4" w:space="0" w:color="000000"/>
              <w:bottom w:val="single" w:sz="4" w:space="0" w:color="000000"/>
            </w:tcBorders>
          </w:tcPr>
          <w:p w14:paraId="09F7EC1A" w14:textId="77777777" w:rsidR="008E5DE4" w:rsidRDefault="00780368">
            <w:pPr>
              <w:widowControl w:val="0"/>
              <w:pBdr>
                <w:top w:val="nil"/>
                <w:left w:val="nil"/>
                <w:bottom w:val="nil"/>
                <w:right w:val="nil"/>
                <w:between w:val="nil"/>
              </w:pBdr>
              <w:ind w:left="-113" w:hanging="14"/>
              <w:jc w:val="right"/>
              <w:rPr>
                <w:b/>
                <w:color w:val="000000"/>
                <w:sz w:val="16"/>
                <w:szCs w:val="16"/>
              </w:rPr>
            </w:pPr>
            <w:r>
              <w:rPr>
                <w:b/>
                <w:color w:val="000000"/>
                <w:sz w:val="16"/>
                <w:szCs w:val="16"/>
              </w:rPr>
              <w:t>Total</w:t>
            </w:r>
          </w:p>
        </w:tc>
        <w:tc>
          <w:tcPr>
            <w:tcW w:w="738" w:type="dxa"/>
            <w:vMerge/>
          </w:tcPr>
          <w:p w14:paraId="072954C6" w14:textId="77777777" w:rsidR="008E5DE4" w:rsidRDefault="008E5DE4">
            <w:pPr>
              <w:widowControl w:val="0"/>
              <w:pBdr>
                <w:top w:val="nil"/>
                <w:left w:val="nil"/>
                <w:bottom w:val="nil"/>
                <w:right w:val="nil"/>
                <w:between w:val="nil"/>
              </w:pBdr>
              <w:spacing w:line="276" w:lineRule="auto"/>
              <w:rPr>
                <w:b/>
                <w:color w:val="000000"/>
                <w:sz w:val="16"/>
                <w:szCs w:val="16"/>
              </w:rPr>
            </w:pPr>
          </w:p>
        </w:tc>
        <w:tc>
          <w:tcPr>
            <w:tcW w:w="739" w:type="dxa"/>
            <w:vMerge/>
          </w:tcPr>
          <w:p w14:paraId="57A5F3AA" w14:textId="77777777" w:rsidR="008E5DE4" w:rsidRDefault="008E5DE4">
            <w:pPr>
              <w:widowControl w:val="0"/>
              <w:pBdr>
                <w:top w:val="nil"/>
                <w:left w:val="nil"/>
                <w:bottom w:val="nil"/>
                <w:right w:val="nil"/>
                <w:between w:val="nil"/>
              </w:pBdr>
              <w:spacing w:line="276" w:lineRule="auto"/>
              <w:rPr>
                <w:b/>
                <w:color w:val="000000"/>
                <w:sz w:val="16"/>
                <w:szCs w:val="16"/>
              </w:rPr>
            </w:pPr>
          </w:p>
        </w:tc>
      </w:tr>
      <w:tr w:rsidR="008E5DE4" w14:paraId="587F0854" w14:textId="77777777">
        <w:trPr>
          <w:cantSplit/>
        </w:trPr>
        <w:tc>
          <w:tcPr>
            <w:tcW w:w="1304" w:type="dxa"/>
            <w:tcBorders>
              <w:top w:val="single" w:sz="4" w:space="0" w:color="000000"/>
            </w:tcBorders>
            <w:vAlign w:val="bottom"/>
          </w:tcPr>
          <w:p w14:paraId="4C3FA3CE" w14:textId="77777777" w:rsidR="008E5DE4" w:rsidRDefault="00780368">
            <w:pPr>
              <w:widowControl w:val="0"/>
              <w:pBdr>
                <w:top w:val="nil"/>
                <w:left w:val="nil"/>
                <w:bottom w:val="nil"/>
                <w:right w:val="nil"/>
                <w:between w:val="nil"/>
              </w:pBdr>
              <w:ind w:left="56" w:right="-57" w:hanging="113"/>
              <w:rPr>
                <w:b/>
                <w:color w:val="000000"/>
                <w:sz w:val="16"/>
                <w:szCs w:val="16"/>
              </w:rPr>
            </w:pPr>
            <w:r>
              <w:rPr>
                <w:color w:val="000000"/>
                <w:sz w:val="16"/>
                <w:szCs w:val="16"/>
              </w:rPr>
              <w:t> </w:t>
            </w:r>
          </w:p>
        </w:tc>
        <w:tc>
          <w:tcPr>
            <w:tcW w:w="454" w:type="dxa"/>
            <w:tcBorders>
              <w:top w:val="single" w:sz="4" w:space="0" w:color="000000"/>
            </w:tcBorders>
            <w:vAlign w:val="bottom"/>
          </w:tcPr>
          <w:p w14:paraId="407BE8A2" w14:textId="77777777" w:rsidR="008E5DE4" w:rsidRDefault="008E5DE4">
            <w:pPr>
              <w:widowControl w:val="0"/>
              <w:pBdr>
                <w:top w:val="nil"/>
                <w:left w:val="nil"/>
                <w:bottom w:val="nil"/>
                <w:right w:val="nil"/>
                <w:between w:val="nil"/>
              </w:pBdr>
              <w:ind w:left="-113" w:right="-113"/>
              <w:jc w:val="center"/>
              <w:rPr>
                <w:b/>
                <w:color w:val="000000"/>
                <w:sz w:val="16"/>
                <w:szCs w:val="16"/>
              </w:rPr>
            </w:pPr>
          </w:p>
        </w:tc>
        <w:tc>
          <w:tcPr>
            <w:tcW w:w="624" w:type="dxa"/>
            <w:tcBorders>
              <w:top w:val="single" w:sz="4" w:space="0" w:color="000000"/>
            </w:tcBorders>
            <w:vAlign w:val="bottom"/>
          </w:tcPr>
          <w:p w14:paraId="6C985DAC"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Borders>
              <w:top w:val="single" w:sz="4" w:space="0" w:color="000000"/>
            </w:tcBorders>
            <w:vAlign w:val="bottom"/>
          </w:tcPr>
          <w:p w14:paraId="2C4E92FC"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Borders>
              <w:top w:val="single" w:sz="4" w:space="0" w:color="000000"/>
            </w:tcBorders>
          </w:tcPr>
          <w:p w14:paraId="5D699EFE"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Borders>
              <w:top w:val="single" w:sz="4" w:space="0" w:color="000000"/>
            </w:tcBorders>
          </w:tcPr>
          <w:p w14:paraId="3805611F"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Borders>
              <w:top w:val="single" w:sz="4" w:space="0" w:color="000000"/>
            </w:tcBorders>
            <w:vAlign w:val="bottom"/>
          </w:tcPr>
          <w:p w14:paraId="416BBCDA"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Borders>
              <w:top w:val="single" w:sz="4" w:space="0" w:color="000000"/>
            </w:tcBorders>
            <w:vAlign w:val="bottom"/>
          </w:tcPr>
          <w:p w14:paraId="5D38C1D3"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Borders>
              <w:top w:val="single" w:sz="4" w:space="0" w:color="000000"/>
            </w:tcBorders>
            <w:vAlign w:val="bottom"/>
          </w:tcPr>
          <w:p w14:paraId="65709231"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Borders>
              <w:top w:val="single" w:sz="4" w:space="0" w:color="000000"/>
            </w:tcBorders>
            <w:vAlign w:val="bottom"/>
          </w:tcPr>
          <w:p w14:paraId="2AA55A23"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38" w:type="dxa"/>
            <w:tcBorders>
              <w:top w:val="single" w:sz="4" w:space="0" w:color="000000"/>
            </w:tcBorders>
            <w:vAlign w:val="bottom"/>
          </w:tcPr>
          <w:p w14:paraId="247FBF9E"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39" w:type="dxa"/>
            <w:tcBorders>
              <w:top w:val="single" w:sz="4" w:space="0" w:color="000000"/>
            </w:tcBorders>
            <w:vAlign w:val="bottom"/>
          </w:tcPr>
          <w:p w14:paraId="53E6CE23" w14:textId="77777777" w:rsidR="008E5DE4" w:rsidRDefault="008E5DE4">
            <w:pPr>
              <w:widowControl w:val="0"/>
              <w:pBdr>
                <w:top w:val="nil"/>
                <w:left w:val="nil"/>
                <w:bottom w:val="nil"/>
                <w:right w:val="nil"/>
                <w:between w:val="nil"/>
              </w:pBdr>
              <w:ind w:left="-113"/>
              <w:jc w:val="right"/>
              <w:rPr>
                <w:b/>
                <w:color w:val="000000"/>
                <w:sz w:val="16"/>
                <w:szCs w:val="16"/>
              </w:rPr>
            </w:pPr>
          </w:p>
        </w:tc>
      </w:tr>
      <w:tr w:rsidR="008E5DE4" w14:paraId="1DB7F81C" w14:textId="77777777">
        <w:trPr>
          <w:cantSplit/>
        </w:trPr>
        <w:tc>
          <w:tcPr>
            <w:tcW w:w="1304" w:type="dxa"/>
            <w:vAlign w:val="bottom"/>
          </w:tcPr>
          <w:p w14:paraId="1C6F62C6" w14:textId="5C85AA27" w:rsidR="008E5DE4" w:rsidRDefault="00780368">
            <w:pPr>
              <w:widowControl w:val="0"/>
              <w:pBdr>
                <w:top w:val="nil"/>
                <w:left w:val="nil"/>
                <w:bottom w:val="nil"/>
                <w:right w:val="nil"/>
                <w:between w:val="nil"/>
              </w:pBdr>
              <w:ind w:left="56" w:right="-57" w:hanging="113"/>
              <w:rPr>
                <w:b/>
                <w:color w:val="000000"/>
                <w:sz w:val="16"/>
                <w:szCs w:val="16"/>
              </w:rPr>
            </w:pPr>
            <w:r>
              <w:rPr>
                <w:b/>
                <w:color w:val="000000"/>
                <w:sz w:val="16"/>
                <w:szCs w:val="16"/>
              </w:rPr>
              <w:t xml:space="preserve">Year ended 31 December </w:t>
            </w:r>
            <w:r w:rsidR="00FF468A">
              <w:rPr>
                <w:b/>
                <w:color w:val="000000"/>
                <w:sz w:val="16"/>
                <w:szCs w:val="16"/>
              </w:rPr>
              <w:t>2024</w:t>
            </w:r>
          </w:p>
        </w:tc>
        <w:tc>
          <w:tcPr>
            <w:tcW w:w="454" w:type="dxa"/>
            <w:vAlign w:val="bottom"/>
          </w:tcPr>
          <w:p w14:paraId="782CFAC0" w14:textId="77777777" w:rsidR="008E5DE4" w:rsidRDefault="008E5DE4">
            <w:pPr>
              <w:widowControl w:val="0"/>
              <w:pBdr>
                <w:top w:val="nil"/>
                <w:left w:val="nil"/>
                <w:bottom w:val="nil"/>
                <w:right w:val="nil"/>
                <w:between w:val="nil"/>
              </w:pBdr>
              <w:ind w:left="-113" w:right="-113"/>
              <w:jc w:val="center"/>
              <w:rPr>
                <w:b/>
                <w:color w:val="000000"/>
                <w:sz w:val="16"/>
                <w:szCs w:val="16"/>
              </w:rPr>
            </w:pPr>
          </w:p>
        </w:tc>
        <w:tc>
          <w:tcPr>
            <w:tcW w:w="624" w:type="dxa"/>
            <w:vAlign w:val="bottom"/>
          </w:tcPr>
          <w:p w14:paraId="709C9A1F"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42D19990"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Pr>
          <w:p w14:paraId="7DFCFE5A"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Pr>
          <w:p w14:paraId="6DB6C91D"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184E58A5"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10AB7634"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1CE26E94"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35B8D465"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38" w:type="dxa"/>
            <w:vAlign w:val="bottom"/>
          </w:tcPr>
          <w:p w14:paraId="0EB8FC1D"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39" w:type="dxa"/>
            <w:vAlign w:val="bottom"/>
          </w:tcPr>
          <w:p w14:paraId="69AC9AB5" w14:textId="77777777" w:rsidR="008E5DE4" w:rsidRDefault="008E5DE4">
            <w:pPr>
              <w:widowControl w:val="0"/>
              <w:pBdr>
                <w:top w:val="nil"/>
                <w:left w:val="nil"/>
                <w:bottom w:val="nil"/>
                <w:right w:val="nil"/>
                <w:between w:val="nil"/>
              </w:pBdr>
              <w:ind w:left="-113"/>
              <w:jc w:val="right"/>
              <w:rPr>
                <w:b/>
                <w:color w:val="000000"/>
                <w:sz w:val="16"/>
                <w:szCs w:val="16"/>
              </w:rPr>
            </w:pPr>
          </w:p>
        </w:tc>
      </w:tr>
      <w:tr w:rsidR="008E5DE4" w14:paraId="687CE4C9" w14:textId="77777777">
        <w:trPr>
          <w:cantSplit/>
        </w:trPr>
        <w:tc>
          <w:tcPr>
            <w:tcW w:w="1304" w:type="dxa"/>
            <w:vAlign w:val="bottom"/>
          </w:tcPr>
          <w:p w14:paraId="35B6024B" w14:textId="77777777" w:rsidR="008E5DE4" w:rsidRDefault="008E5DE4">
            <w:pPr>
              <w:widowControl w:val="0"/>
              <w:pBdr>
                <w:top w:val="nil"/>
                <w:left w:val="nil"/>
                <w:bottom w:val="nil"/>
                <w:right w:val="nil"/>
                <w:between w:val="nil"/>
              </w:pBdr>
              <w:ind w:left="56" w:right="-57" w:hanging="113"/>
              <w:rPr>
                <w:color w:val="000000"/>
                <w:sz w:val="16"/>
                <w:szCs w:val="16"/>
              </w:rPr>
            </w:pPr>
          </w:p>
        </w:tc>
        <w:tc>
          <w:tcPr>
            <w:tcW w:w="454" w:type="dxa"/>
            <w:vAlign w:val="bottom"/>
          </w:tcPr>
          <w:p w14:paraId="2282D2F6"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vAlign w:val="bottom"/>
          </w:tcPr>
          <w:p w14:paraId="0FE3E76F"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35324C6A"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Pr>
          <w:p w14:paraId="65AA5619"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tcPr>
          <w:p w14:paraId="52B5E3E2"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26F43709"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01F01742"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72B90149"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4" w:type="dxa"/>
            <w:vAlign w:val="bottom"/>
          </w:tcPr>
          <w:p w14:paraId="3E734435"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38" w:type="dxa"/>
            <w:vAlign w:val="bottom"/>
          </w:tcPr>
          <w:p w14:paraId="670C8B61"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39" w:type="dxa"/>
            <w:vAlign w:val="bottom"/>
          </w:tcPr>
          <w:p w14:paraId="674BF82E" w14:textId="77777777" w:rsidR="008E5DE4" w:rsidRDefault="008E5DE4">
            <w:pPr>
              <w:widowControl w:val="0"/>
              <w:pBdr>
                <w:top w:val="nil"/>
                <w:left w:val="nil"/>
                <w:bottom w:val="nil"/>
                <w:right w:val="nil"/>
                <w:between w:val="nil"/>
              </w:pBdr>
              <w:ind w:left="-113"/>
              <w:jc w:val="right"/>
              <w:rPr>
                <w:b/>
                <w:color w:val="000000"/>
                <w:sz w:val="16"/>
                <w:szCs w:val="16"/>
              </w:rPr>
            </w:pPr>
          </w:p>
        </w:tc>
      </w:tr>
      <w:tr w:rsidR="008E5DE4" w14:paraId="409D2A3C" w14:textId="77777777">
        <w:trPr>
          <w:cantSplit/>
        </w:trPr>
        <w:tc>
          <w:tcPr>
            <w:tcW w:w="1304" w:type="dxa"/>
            <w:vAlign w:val="bottom"/>
          </w:tcPr>
          <w:p w14:paraId="1A61D853" w14:textId="77777777" w:rsidR="008E5DE4" w:rsidRDefault="00780368">
            <w:pPr>
              <w:widowControl w:val="0"/>
              <w:pBdr>
                <w:top w:val="nil"/>
                <w:left w:val="nil"/>
                <w:bottom w:val="nil"/>
                <w:right w:val="nil"/>
                <w:between w:val="nil"/>
              </w:pBdr>
              <w:ind w:left="56" w:right="-57" w:hanging="113"/>
              <w:rPr>
                <w:b/>
                <w:color w:val="000000"/>
                <w:sz w:val="16"/>
                <w:szCs w:val="16"/>
              </w:rPr>
            </w:pPr>
            <w:r>
              <w:rPr>
                <w:color w:val="000000"/>
                <w:sz w:val="16"/>
                <w:szCs w:val="16"/>
              </w:rPr>
              <w:t>Securities at FVOCI:</w:t>
            </w:r>
          </w:p>
        </w:tc>
        <w:tc>
          <w:tcPr>
            <w:tcW w:w="454" w:type="dxa"/>
            <w:vAlign w:val="bottom"/>
          </w:tcPr>
          <w:p w14:paraId="36B4B1CF"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vAlign w:val="bottom"/>
          </w:tcPr>
          <w:p w14:paraId="4D161AE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64120AE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2339C9C4"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7AFE295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0385A15E"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388C38D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66D519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5AE0049E"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vAlign w:val="bottom"/>
          </w:tcPr>
          <w:p w14:paraId="5F1DF77D"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vAlign w:val="bottom"/>
          </w:tcPr>
          <w:p w14:paraId="1BAC6B4D"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353E1D9B" w14:textId="77777777">
        <w:trPr>
          <w:cantSplit/>
        </w:trPr>
        <w:tc>
          <w:tcPr>
            <w:tcW w:w="1304" w:type="dxa"/>
            <w:vAlign w:val="bottom"/>
          </w:tcPr>
          <w:p w14:paraId="686A21A7" w14:textId="77777777" w:rsidR="008E5DE4" w:rsidRDefault="00780368">
            <w:pPr>
              <w:widowControl w:val="0"/>
              <w:pBdr>
                <w:top w:val="nil"/>
                <w:left w:val="nil"/>
                <w:bottom w:val="nil"/>
                <w:right w:val="nil"/>
                <w:between w:val="nil"/>
              </w:pBdr>
              <w:ind w:left="56" w:right="-57" w:hanging="113"/>
              <w:rPr>
                <w:b/>
                <w:color w:val="000000"/>
                <w:sz w:val="16"/>
                <w:szCs w:val="16"/>
              </w:rPr>
            </w:pPr>
            <w:r>
              <w:rPr>
                <w:color w:val="000000"/>
                <w:sz w:val="16"/>
                <w:szCs w:val="16"/>
              </w:rPr>
              <w:t xml:space="preserve">- </w:t>
            </w:r>
            <w:r>
              <w:rPr>
                <w:color w:val="000000"/>
                <w:sz w:val="16"/>
                <w:szCs w:val="16"/>
              </w:rPr>
              <w:tab/>
              <w:t>Gains less losses arising during the year</w:t>
            </w:r>
          </w:p>
        </w:tc>
        <w:tc>
          <w:tcPr>
            <w:tcW w:w="454" w:type="dxa"/>
            <w:vAlign w:val="bottom"/>
          </w:tcPr>
          <w:p w14:paraId="4A99E60C"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vAlign w:val="bottom"/>
          </w:tcPr>
          <w:p w14:paraId="0D1B472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6A85997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225DD64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04F15BE6"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3A5F49B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49ADB8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3E5784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45451849"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vAlign w:val="bottom"/>
          </w:tcPr>
          <w:p w14:paraId="06C17B2B"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vAlign w:val="bottom"/>
          </w:tcPr>
          <w:p w14:paraId="479EE182"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031328D2" w14:textId="77777777">
        <w:trPr>
          <w:cantSplit/>
        </w:trPr>
        <w:tc>
          <w:tcPr>
            <w:tcW w:w="1304" w:type="dxa"/>
            <w:vAlign w:val="bottom"/>
          </w:tcPr>
          <w:p w14:paraId="2B0293EF" w14:textId="77777777" w:rsidR="008E5DE4" w:rsidRDefault="00780368">
            <w:pPr>
              <w:widowControl w:val="0"/>
              <w:pBdr>
                <w:top w:val="nil"/>
                <w:left w:val="nil"/>
                <w:bottom w:val="nil"/>
                <w:right w:val="nil"/>
                <w:between w:val="nil"/>
              </w:pBdr>
              <w:ind w:left="56" w:right="-57" w:hanging="113"/>
              <w:rPr>
                <w:b/>
                <w:color w:val="000000"/>
                <w:sz w:val="16"/>
                <w:szCs w:val="16"/>
              </w:rPr>
            </w:pPr>
            <w:r>
              <w:rPr>
                <w:color w:val="000000"/>
                <w:sz w:val="16"/>
                <w:szCs w:val="16"/>
              </w:rPr>
              <w:t xml:space="preserve">- </w:t>
            </w:r>
            <w:r>
              <w:rPr>
                <w:color w:val="000000"/>
                <w:sz w:val="16"/>
                <w:szCs w:val="16"/>
              </w:rPr>
              <w:tab/>
              <w:t>Gains less losses recycled to profit or loss on disposal</w:t>
            </w:r>
          </w:p>
        </w:tc>
        <w:tc>
          <w:tcPr>
            <w:tcW w:w="454" w:type="dxa"/>
            <w:vAlign w:val="bottom"/>
          </w:tcPr>
          <w:p w14:paraId="1CF1FC63"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vAlign w:val="bottom"/>
          </w:tcPr>
          <w:p w14:paraId="0A6C1D2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0A77466"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63296A5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46E133B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4888EDF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481DB5F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36DB403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143A61C2"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vAlign w:val="bottom"/>
          </w:tcPr>
          <w:p w14:paraId="1EC50DAB"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vAlign w:val="bottom"/>
          </w:tcPr>
          <w:p w14:paraId="08AA29D3"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579E50D0" w14:textId="77777777">
        <w:trPr>
          <w:cantSplit/>
        </w:trPr>
        <w:tc>
          <w:tcPr>
            <w:tcW w:w="1304" w:type="dxa"/>
            <w:vAlign w:val="bottom"/>
          </w:tcPr>
          <w:p w14:paraId="1111B75D"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Revaluation of property, plant and equipment</w:t>
            </w:r>
          </w:p>
        </w:tc>
        <w:tc>
          <w:tcPr>
            <w:tcW w:w="454" w:type="dxa"/>
            <w:vAlign w:val="bottom"/>
          </w:tcPr>
          <w:p w14:paraId="6FB431AB"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vAlign w:val="bottom"/>
          </w:tcPr>
          <w:p w14:paraId="6EE25784"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C446074"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66354BEF"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25AEEB2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42806DD8"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5402CB2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0A38DFF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42F54BDE"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vAlign w:val="bottom"/>
          </w:tcPr>
          <w:p w14:paraId="576C5984"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vAlign w:val="bottom"/>
          </w:tcPr>
          <w:p w14:paraId="72B2FCEF"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11DB6744" w14:textId="77777777">
        <w:trPr>
          <w:cantSplit/>
        </w:trPr>
        <w:tc>
          <w:tcPr>
            <w:tcW w:w="1304" w:type="dxa"/>
            <w:vAlign w:val="bottom"/>
          </w:tcPr>
          <w:p w14:paraId="6F8F1C4B"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Share of other comprehensive income of associates and joint ventures</w:t>
            </w:r>
          </w:p>
        </w:tc>
        <w:tc>
          <w:tcPr>
            <w:tcW w:w="454" w:type="dxa"/>
            <w:vAlign w:val="bottom"/>
          </w:tcPr>
          <w:p w14:paraId="603D5631"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vAlign w:val="bottom"/>
          </w:tcPr>
          <w:p w14:paraId="2C2073D6"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408B10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0C7B728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76E5153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4D6C6C1F"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537CCC7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5BD881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031B9CED"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vAlign w:val="bottom"/>
          </w:tcPr>
          <w:p w14:paraId="555FE239"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vAlign w:val="bottom"/>
          </w:tcPr>
          <w:p w14:paraId="5A769267"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38F56538" w14:textId="77777777">
        <w:trPr>
          <w:cantSplit/>
        </w:trPr>
        <w:tc>
          <w:tcPr>
            <w:tcW w:w="1304" w:type="dxa"/>
            <w:vAlign w:val="bottom"/>
          </w:tcPr>
          <w:p w14:paraId="29155A1F"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Exchange differences on translation to presentation currency</w:t>
            </w:r>
          </w:p>
        </w:tc>
        <w:tc>
          <w:tcPr>
            <w:tcW w:w="454" w:type="dxa"/>
            <w:vAlign w:val="bottom"/>
          </w:tcPr>
          <w:p w14:paraId="332F1681"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vAlign w:val="bottom"/>
          </w:tcPr>
          <w:p w14:paraId="307F120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15E3751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5210492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55D232EE"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BF8BA4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100F7CF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3D396EF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5F63AB49"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vAlign w:val="bottom"/>
          </w:tcPr>
          <w:p w14:paraId="0DAF0563"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vAlign w:val="bottom"/>
          </w:tcPr>
          <w:p w14:paraId="0E6E4FBB"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01ADA565" w14:textId="77777777">
        <w:trPr>
          <w:cantSplit/>
        </w:trPr>
        <w:tc>
          <w:tcPr>
            <w:tcW w:w="1304" w:type="dxa"/>
            <w:vAlign w:val="bottom"/>
          </w:tcPr>
          <w:p w14:paraId="3938D63B"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Income tax recorded directly in other comprehensive income</w:t>
            </w:r>
          </w:p>
        </w:tc>
        <w:tc>
          <w:tcPr>
            <w:tcW w:w="454" w:type="dxa"/>
            <w:vAlign w:val="bottom"/>
          </w:tcPr>
          <w:p w14:paraId="547F7AD0"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vAlign w:val="bottom"/>
          </w:tcPr>
          <w:p w14:paraId="39974E3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C9F4BFE"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0633573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7AA4DFD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222B602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751431C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22C74E74"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53198EFB"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vAlign w:val="bottom"/>
          </w:tcPr>
          <w:p w14:paraId="168F2108"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vAlign w:val="bottom"/>
          </w:tcPr>
          <w:p w14:paraId="0BF2EE53"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12CB58A0" w14:textId="77777777">
        <w:trPr>
          <w:cantSplit/>
        </w:trPr>
        <w:tc>
          <w:tcPr>
            <w:tcW w:w="1304" w:type="dxa"/>
            <w:tcBorders>
              <w:bottom w:val="single" w:sz="4" w:space="0" w:color="000000"/>
            </w:tcBorders>
            <w:vAlign w:val="bottom"/>
          </w:tcPr>
          <w:p w14:paraId="7DAED2DA" w14:textId="77777777" w:rsidR="008E5DE4" w:rsidRDefault="00780368">
            <w:pPr>
              <w:widowControl w:val="0"/>
              <w:pBdr>
                <w:top w:val="nil"/>
                <w:left w:val="nil"/>
                <w:bottom w:val="nil"/>
                <w:right w:val="nil"/>
                <w:between w:val="nil"/>
              </w:pBdr>
              <w:ind w:left="56" w:right="-57" w:hanging="113"/>
              <w:rPr>
                <w:b/>
                <w:color w:val="000000"/>
                <w:sz w:val="16"/>
                <w:szCs w:val="16"/>
              </w:rPr>
            </w:pPr>
            <w:r>
              <w:rPr>
                <w:b/>
                <w:color w:val="000000"/>
                <w:sz w:val="16"/>
                <w:szCs w:val="16"/>
              </w:rPr>
              <w:t> </w:t>
            </w:r>
          </w:p>
        </w:tc>
        <w:tc>
          <w:tcPr>
            <w:tcW w:w="454" w:type="dxa"/>
            <w:tcBorders>
              <w:bottom w:val="single" w:sz="4" w:space="0" w:color="000000"/>
            </w:tcBorders>
            <w:vAlign w:val="bottom"/>
          </w:tcPr>
          <w:p w14:paraId="36DBFA1F"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tcBorders>
              <w:bottom w:val="single" w:sz="4" w:space="0" w:color="000000"/>
            </w:tcBorders>
            <w:vAlign w:val="bottom"/>
          </w:tcPr>
          <w:p w14:paraId="30174AA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4" w:space="0" w:color="000000"/>
            </w:tcBorders>
            <w:vAlign w:val="bottom"/>
          </w:tcPr>
          <w:p w14:paraId="0897EF3E"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4" w:space="0" w:color="000000"/>
            </w:tcBorders>
          </w:tcPr>
          <w:p w14:paraId="47C1D9B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4" w:space="0" w:color="000000"/>
            </w:tcBorders>
          </w:tcPr>
          <w:p w14:paraId="72C92FA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4" w:space="0" w:color="000000"/>
            </w:tcBorders>
            <w:vAlign w:val="bottom"/>
          </w:tcPr>
          <w:p w14:paraId="2B36A13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4" w:space="0" w:color="000000"/>
            </w:tcBorders>
            <w:vAlign w:val="bottom"/>
          </w:tcPr>
          <w:p w14:paraId="69D2A83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4" w:space="0" w:color="000000"/>
            </w:tcBorders>
            <w:vAlign w:val="bottom"/>
          </w:tcPr>
          <w:p w14:paraId="518B665F"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4" w:space="0" w:color="000000"/>
            </w:tcBorders>
            <w:vAlign w:val="bottom"/>
          </w:tcPr>
          <w:p w14:paraId="6BE32D0A"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tcBorders>
              <w:bottom w:val="single" w:sz="4" w:space="0" w:color="000000"/>
            </w:tcBorders>
            <w:vAlign w:val="bottom"/>
          </w:tcPr>
          <w:p w14:paraId="0543D35F"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tcBorders>
              <w:bottom w:val="single" w:sz="4" w:space="0" w:color="000000"/>
            </w:tcBorders>
            <w:vAlign w:val="bottom"/>
          </w:tcPr>
          <w:p w14:paraId="16108502"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45B86EF6" w14:textId="77777777">
        <w:trPr>
          <w:cantSplit/>
        </w:trPr>
        <w:tc>
          <w:tcPr>
            <w:tcW w:w="1304" w:type="dxa"/>
            <w:tcBorders>
              <w:top w:val="single" w:sz="4" w:space="0" w:color="000000"/>
            </w:tcBorders>
            <w:vAlign w:val="bottom"/>
          </w:tcPr>
          <w:p w14:paraId="1E139CC3" w14:textId="77777777" w:rsidR="008E5DE4" w:rsidRDefault="00780368">
            <w:pPr>
              <w:widowControl w:val="0"/>
              <w:ind w:left="56" w:right="-57" w:hanging="113"/>
              <w:rPr>
                <w:b/>
                <w:sz w:val="16"/>
                <w:szCs w:val="16"/>
              </w:rPr>
            </w:pPr>
            <w:r>
              <w:rPr>
                <w:sz w:val="16"/>
                <w:szCs w:val="16"/>
              </w:rPr>
              <w:t> </w:t>
            </w:r>
          </w:p>
        </w:tc>
        <w:tc>
          <w:tcPr>
            <w:tcW w:w="454" w:type="dxa"/>
            <w:tcBorders>
              <w:top w:val="single" w:sz="4" w:space="0" w:color="000000"/>
            </w:tcBorders>
            <w:vAlign w:val="bottom"/>
          </w:tcPr>
          <w:p w14:paraId="7171A5E0"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tcBorders>
              <w:top w:val="single" w:sz="4" w:space="0" w:color="000000"/>
            </w:tcBorders>
            <w:vAlign w:val="bottom"/>
          </w:tcPr>
          <w:p w14:paraId="2FF575B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top w:val="single" w:sz="4" w:space="0" w:color="000000"/>
            </w:tcBorders>
            <w:vAlign w:val="bottom"/>
          </w:tcPr>
          <w:p w14:paraId="76B0CFC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top w:val="single" w:sz="4" w:space="0" w:color="000000"/>
            </w:tcBorders>
          </w:tcPr>
          <w:p w14:paraId="781F11C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top w:val="single" w:sz="4" w:space="0" w:color="000000"/>
            </w:tcBorders>
          </w:tcPr>
          <w:p w14:paraId="5AF8EFA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top w:val="single" w:sz="4" w:space="0" w:color="000000"/>
            </w:tcBorders>
            <w:vAlign w:val="bottom"/>
          </w:tcPr>
          <w:p w14:paraId="1B0ED21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top w:val="single" w:sz="4" w:space="0" w:color="000000"/>
            </w:tcBorders>
            <w:vAlign w:val="bottom"/>
          </w:tcPr>
          <w:p w14:paraId="229E1F2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top w:val="single" w:sz="4" w:space="0" w:color="000000"/>
            </w:tcBorders>
            <w:vAlign w:val="bottom"/>
          </w:tcPr>
          <w:p w14:paraId="271D3B56"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top w:val="single" w:sz="4" w:space="0" w:color="000000"/>
            </w:tcBorders>
            <w:vAlign w:val="bottom"/>
          </w:tcPr>
          <w:p w14:paraId="277A1FDF"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tcBorders>
              <w:top w:val="single" w:sz="4" w:space="0" w:color="000000"/>
            </w:tcBorders>
            <w:vAlign w:val="bottom"/>
          </w:tcPr>
          <w:p w14:paraId="13256862"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tcBorders>
              <w:top w:val="single" w:sz="4" w:space="0" w:color="000000"/>
            </w:tcBorders>
            <w:vAlign w:val="bottom"/>
          </w:tcPr>
          <w:p w14:paraId="1D223E30"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22E19275" w14:textId="77777777">
        <w:trPr>
          <w:cantSplit/>
        </w:trPr>
        <w:tc>
          <w:tcPr>
            <w:tcW w:w="1304" w:type="dxa"/>
            <w:vAlign w:val="bottom"/>
          </w:tcPr>
          <w:p w14:paraId="4F859DB2" w14:textId="77777777" w:rsidR="008E5DE4" w:rsidRDefault="00780368">
            <w:pPr>
              <w:widowControl w:val="0"/>
              <w:ind w:left="56" w:right="-57" w:hanging="113"/>
              <w:rPr>
                <w:b/>
                <w:sz w:val="16"/>
                <w:szCs w:val="16"/>
              </w:rPr>
            </w:pPr>
            <w:r>
              <w:rPr>
                <w:b/>
                <w:sz w:val="16"/>
                <w:szCs w:val="16"/>
              </w:rPr>
              <w:t>Total other comprehensive income</w:t>
            </w:r>
          </w:p>
        </w:tc>
        <w:tc>
          <w:tcPr>
            <w:tcW w:w="454" w:type="dxa"/>
            <w:vAlign w:val="bottom"/>
          </w:tcPr>
          <w:p w14:paraId="53FF96B2"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vAlign w:val="bottom"/>
          </w:tcPr>
          <w:p w14:paraId="0F450D2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67152BA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3238E496"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Pr>
          <w:p w14:paraId="4BA6217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3F5DA27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062DEAA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2A909A9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vAlign w:val="bottom"/>
          </w:tcPr>
          <w:p w14:paraId="08880926"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vAlign w:val="bottom"/>
          </w:tcPr>
          <w:p w14:paraId="65D3AC4D"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vAlign w:val="bottom"/>
          </w:tcPr>
          <w:p w14:paraId="0485FA57"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6287BCC8" w14:textId="77777777">
        <w:trPr>
          <w:cantSplit/>
        </w:trPr>
        <w:tc>
          <w:tcPr>
            <w:tcW w:w="1304" w:type="dxa"/>
            <w:tcBorders>
              <w:bottom w:val="single" w:sz="12" w:space="0" w:color="000000"/>
            </w:tcBorders>
            <w:vAlign w:val="bottom"/>
          </w:tcPr>
          <w:p w14:paraId="42BC447B" w14:textId="77777777" w:rsidR="008E5DE4" w:rsidRDefault="008E5DE4">
            <w:pPr>
              <w:widowControl w:val="0"/>
              <w:pBdr>
                <w:top w:val="nil"/>
                <w:left w:val="nil"/>
                <w:bottom w:val="nil"/>
                <w:right w:val="nil"/>
                <w:between w:val="nil"/>
              </w:pBdr>
              <w:ind w:left="56" w:right="-57" w:hanging="113"/>
              <w:rPr>
                <w:color w:val="000000"/>
                <w:sz w:val="16"/>
                <w:szCs w:val="16"/>
              </w:rPr>
            </w:pPr>
          </w:p>
        </w:tc>
        <w:tc>
          <w:tcPr>
            <w:tcW w:w="454" w:type="dxa"/>
            <w:tcBorders>
              <w:bottom w:val="single" w:sz="12" w:space="0" w:color="000000"/>
            </w:tcBorders>
            <w:vAlign w:val="bottom"/>
          </w:tcPr>
          <w:p w14:paraId="4B9C0271"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4" w:type="dxa"/>
            <w:tcBorders>
              <w:bottom w:val="single" w:sz="12" w:space="0" w:color="000000"/>
            </w:tcBorders>
            <w:vAlign w:val="bottom"/>
          </w:tcPr>
          <w:p w14:paraId="3B16882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12" w:space="0" w:color="000000"/>
            </w:tcBorders>
            <w:vAlign w:val="bottom"/>
          </w:tcPr>
          <w:p w14:paraId="6A716D7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12" w:space="0" w:color="000000"/>
            </w:tcBorders>
          </w:tcPr>
          <w:p w14:paraId="1C809A3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12" w:space="0" w:color="000000"/>
            </w:tcBorders>
          </w:tcPr>
          <w:p w14:paraId="0CA9D84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12" w:space="0" w:color="000000"/>
            </w:tcBorders>
            <w:vAlign w:val="bottom"/>
          </w:tcPr>
          <w:p w14:paraId="6AD9CAA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12" w:space="0" w:color="000000"/>
            </w:tcBorders>
            <w:vAlign w:val="bottom"/>
          </w:tcPr>
          <w:p w14:paraId="4040DD8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12" w:space="0" w:color="000000"/>
            </w:tcBorders>
            <w:vAlign w:val="bottom"/>
          </w:tcPr>
          <w:p w14:paraId="137F9B54" w14:textId="77777777" w:rsidR="008E5DE4" w:rsidRDefault="008E5DE4">
            <w:pPr>
              <w:widowControl w:val="0"/>
              <w:pBdr>
                <w:top w:val="nil"/>
                <w:left w:val="nil"/>
                <w:bottom w:val="nil"/>
                <w:right w:val="nil"/>
                <w:between w:val="nil"/>
              </w:pBdr>
              <w:ind w:left="-113"/>
              <w:jc w:val="right"/>
              <w:rPr>
                <w:color w:val="000000"/>
                <w:sz w:val="16"/>
                <w:szCs w:val="16"/>
              </w:rPr>
            </w:pPr>
          </w:p>
        </w:tc>
        <w:tc>
          <w:tcPr>
            <w:tcW w:w="794" w:type="dxa"/>
            <w:tcBorders>
              <w:bottom w:val="single" w:sz="12" w:space="0" w:color="000000"/>
            </w:tcBorders>
            <w:vAlign w:val="bottom"/>
          </w:tcPr>
          <w:p w14:paraId="21768EBA" w14:textId="77777777" w:rsidR="008E5DE4" w:rsidRDefault="008E5DE4">
            <w:pPr>
              <w:widowControl w:val="0"/>
              <w:pBdr>
                <w:top w:val="nil"/>
                <w:left w:val="nil"/>
                <w:bottom w:val="nil"/>
                <w:right w:val="nil"/>
                <w:between w:val="nil"/>
              </w:pBdr>
              <w:ind w:left="-113"/>
              <w:jc w:val="right"/>
              <w:rPr>
                <w:color w:val="000000"/>
                <w:sz w:val="16"/>
                <w:szCs w:val="16"/>
              </w:rPr>
            </w:pPr>
          </w:p>
        </w:tc>
        <w:tc>
          <w:tcPr>
            <w:tcW w:w="738" w:type="dxa"/>
            <w:tcBorders>
              <w:bottom w:val="single" w:sz="12" w:space="0" w:color="000000"/>
            </w:tcBorders>
            <w:vAlign w:val="bottom"/>
          </w:tcPr>
          <w:p w14:paraId="5C4E4BA9" w14:textId="77777777" w:rsidR="008E5DE4" w:rsidRDefault="008E5DE4">
            <w:pPr>
              <w:widowControl w:val="0"/>
              <w:pBdr>
                <w:top w:val="nil"/>
                <w:left w:val="nil"/>
                <w:bottom w:val="nil"/>
                <w:right w:val="nil"/>
                <w:between w:val="nil"/>
              </w:pBdr>
              <w:ind w:left="-113"/>
              <w:jc w:val="right"/>
              <w:rPr>
                <w:color w:val="000000"/>
                <w:sz w:val="16"/>
                <w:szCs w:val="16"/>
              </w:rPr>
            </w:pPr>
          </w:p>
        </w:tc>
        <w:tc>
          <w:tcPr>
            <w:tcW w:w="739" w:type="dxa"/>
            <w:tcBorders>
              <w:bottom w:val="single" w:sz="12" w:space="0" w:color="000000"/>
            </w:tcBorders>
            <w:vAlign w:val="bottom"/>
          </w:tcPr>
          <w:p w14:paraId="42B98748" w14:textId="77777777" w:rsidR="008E5DE4" w:rsidRDefault="008E5DE4">
            <w:pPr>
              <w:widowControl w:val="0"/>
              <w:pBdr>
                <w:top w:val="nil"/>
                <w:left w:val="nil"/>
                <w:bottom w:val="nil"/>
                <w:right w:val="nil"/>
                <w:between w:val="nil"/>
              </w:pBdr>
              <w:ind w:left="-113"/>
              <w:jc w:val="right"/>
              <w:rPr>
                <w:color w:val="000000"/>
                <w:sz w:val="16"/>
                <w:szCs w:val="16"/>
              </w:rPr>
            </w:pPr>
          </w:p>
        </w:tc>
      </w:tr>
    </w:tbl>
    <w:p w14:paraId="0C622684"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27</w:t>
      </w:r>
      <w:r>
        <w:rPr>
          <w:b/>
          <w:color w:val="000000"/>
          <w:sz w:val="20"/>
          <w:szCs w:val="20"/>
        </w:rPr>
        <w:tab/>
        <w:t>Other Comprehensive Income Recognised in Each Component of Equity (Continued)</w:t>
      </w:r>
    </w:p>
    <w:tbl>
      <w:tblPr>
        <w:tblStyle w:val="afffffffff4"/>
        <w:tblW w:w="9417" w:type="dxa"/>
        <w:tblInd w:w="28" w:type="dxa"/>
        <w:tblLayout w:type="fixed"/>
        <w:tblLook w:val="0400" w:firstRow="0" w:lastRow="0" w:firstColumn="0" w:lastColumn="0" w:noHBand="0" w:noVBand="1"/>
      </w:tblPr>
      <w:tblGrid>
        <w:gridCol w:w="1301"/>
        <w:gridCol w:w="454"/>
        <w:gridCol w:w="623"/>
        <w:gridCol w:w="792"/>
        <w:gridCol w:w="791"/>
        <w:gridCol w:w="791"/>
        <w:gridCol w:w="791"/>
        <w:gridCol w:w="791"/>
        <w:gridCol w:w="791"/>
        <w:gridCol w:w="792"/>
        <w:gridCol w:w="735"/>
        <w:gridCol w:w="765"/>
      </w:tblGrid>
      <w:tr w:rsidR="008E5DE4" w14:paraId="19BC908E" w14:textId="77777777">
        <w:trPr>
          <w:cantSplit/>
        </w:trPr>
        <w:tc>
          <w:tcPr>
            <w:tcW w:w="1301" w:type="dxa"/>
            <w:vAlign w:val="bottom"/>
          </w:tcPr>
          <w:p w14:paraId="2C6C51F9" w14:textId="77777777" w:rsidR="008E5DE4" w:rsidRDefault="008E5DE4">
            <w:pPr>
              <w:widowControl w:val="0"/>
              <w:pBdr>
                <w:top w:val="nil"/>
                <w:left w:val="nil"/>
                <w:bottom w:val="nil"/>
                <w:right w:val="nil"/>
                <w:between w:val="nil"/>
              </w:pBdr>
              <w:ind w:left="56" w:right="-57" w:hanging="113"/>
              <w:rPr>
                <w:b/>
                <w:color w:val="000000"/>
                <w:sz w:val="16"/>
                <w:szCs w:val="16"/>
              </w:rPr>
            </w:pPr>
          </w:p>
        </w:tc>
        <w:tc>
          <w:tcPr>
            <w:tcW w:w="454" w:type="dxa"/>
            <w:vAlign w:val="bottom"/>
          </w:tcPr>
          <w:p w14:paraId="529183E4"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162" w:type="dxa"/>
            <w:gridSpan w:val="8"/>
          </w:tcPr>
          <w:p w14:paraId="337D91C7"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Attributable to owners of the Company</w:t>
            </w:r>
          </w:p>
        </w:tc>
        <w:tc>
          <w:tcPr>
            <w:tcW w:w="735" w:type="dxa"/>
            <w:vMerge w:val="restart"/>
          </w:tcPr>
          <w:p w14:paraId="734E51DC"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Non-</w:t>
            </w:r>
            <w:proofErr w:type="gramStart"/>
            <w:r>
              <w:rPr>
                <w:b/>
                <w:color w:val="000000"/>
                <w:sz w:val="16"/>
                <w:szCs w:val="16"/>
              </w:rPr>
              <w:t>con-trolling</w:t>
            </w:r>
            <w:proofErr w:type="gramEnd"/>
            <w:r>
              <w:rPr>
                <w:b/>
                <w:color w:val="000000"/>
                <w:sz w:val="16"/>
                <w:szCs w:val="16"/>
              </w:rPr>
              <w:t xml:space="preserve"> </w:t>
            </w:r>
          </w:p>
          <w:p w14:paraId="1EA76B92" w14:textId="77777777" w:rsidR="008E5DE4" w:rsidRDefault="00780368">
            <w:pPr>
              <w:widowControl w:val="0"/>
              <w:pBdr>
                <w:top w:val="nil"/>
                <w:left w:val="nil"/>
                <w:bottom w:val="nil"/>
                <w:right w:val="nil"/>
                <w:between w:val="nil"/>
              </w:pBdr>
              <w:ind w:left="-113"/>
              <w:jc w:val="right"/>
              <w:rPr>
                <w:color w:val="000000"/>
                <w:sz w:val="16"/>
                <w:szCs w:val="16"/>
              </w:rPr>
            </w:pPr>
            <w:r>
              <w:rPr>
                <w:b/>
                <w:color w:val="000000"/>
                <w:sz w:val="16"/>
                <w:szCs w:val="16"/>
              </w:rPr>
              <w:t>interest</w:t>
            </w:r>
          </w:p>
        </w:tc>
        <w:tc>
          <w:tcPr>
            <w:tcW w:w="765" w:type="dxa"/>
            <w:vMerge w:val="restart"/>
          </w:tcPr>
          <w:p w14:paraId="17D68341"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Total</w:t>
            </w:r>
          </w:p>
          <w:p w14:paraId="1B760578" w14:textId="77777777" w:rsidR="008E5DE4" w:rsidRDefault="00780368">
            <w:pPr>
              <w:widowControl w:val="0"/>
              <w:pBdr>
                <w:top w:val="nil"/>
                <w:left w:val="nil"/>
                <w:bottom w:val="nil"/>
                <w:right w:val="nil"/>
                <w:between w:val="nil"/>
              </w:pBdr>
              <w:ind w:left="-113"/>
              <w:jc w:val="right"/>
              <w:rPr>
                <w:color w:val="000000"/>
                <w:sz w:val="16"/>
                <w:szCs w:val="16"/>
              </w:rPr>
            </w:pPr>
            <w:r>
              <w:rPr>
                <w:b/>
                <w:color w:val="000000"/>
                <w:sz w:val="16"/>
                <w:szCs w:val="16"/>
              </w:rPr>
              <w:t>Equity</w:t>
            </w:r>
          </w:p>
        </w:tc>
      </w:tr>
      <w:tr w:rsidR="008E5DE4" w14:paraId="25D1AF58" w14:textId="77777777">
        <w:trPr>
          <w:cantSplit/>
        </w:trPr>
        <w:tc>
          <w:tcPr>
            <w:tcW w:w="1301" w:type="dxa"/>
            <w:tcBorders>
              <w:bottom w:val="single" w:sz="4" w:space="0" w:color="000000"/>
            </w:tcBorders>
            <w:vAlign w:val="bottom"/>
          </w:tcPr>
          <w:p w14:paraId="720267C2" w14:textId="77777777" w:rsidR="008E5DE4" w:rsidRDefault="00780368">
            <w:pPr>
              <w:widowControl w:val="0"/>
              <w:pBdr>
                <w:top w:val="nil"/>
                <w:left w:val="nil"/>
                <w:bottom w:val="nil"/>
                <w:right w:val="nil"/>
                <w:between w:val="nil"/>
              </w:pBdr>
              <w:ind w:left="56" w:right="-57" w:hanging="113"/>
              <w:rPr>
                <w:b/>
                <w:color w:val="000000"/>
                <w:sz w:val="16"/>
                <w:szCs w:val="16"/>
              </w:rPr>
            </w:pPr>
            <w:r>
              <w:rPr>
                <w:i/>
                <w:color w:val="000000"/>
                <w:sz w:val="16"/>
                <w:szCs w:val="16"/>
              </w:rPr>
              <w:t>In thousands of EUR</w:t>
            </w:r>
          </w:p>
        </w:tc>
        <w:tc>
          <w:tcPr>
            <w:tcW w:w="454" w:type="dxa"/>
            <w:tcBorders>
              <w:bottom w:val="single" w:sz="4" w:space="0" w:color="000000"/>
            </w:tcBorders>
            <w:vAlign w:val="bottom"/>
          </w:tcPr>
          <w:p w14:paraId="615364F3" w14:textId="77777777" w:rsidR="008E5DE4" w:rsidRDefault="00780368">
            <w:pPr>
              <w:widowControl w:val="0"/>
              <w:pBdr>
                <w:top w:val="nil"/>
                <w:left w:val="nil"/>
                <w:bottom w:val="nil"/>
                <w:right w:val="nil"/>
                <w:between w:val="nil"/>
              </w:pBdr>
              <w:ind w:left="-113" w:right="-113"/>
              <w:jc w:val="center"/>
              <w:rPr>
                <w:color w:val="000000"/>
                <w:sz w:val="16"/>
                <w:szCs w:val="16"/>
              </w:rPr>
            </w:pPr>
            <w:r>
              <w:rPr>
                <w:b/>
                <w:color w:val="000000"/>
                <w:sz w:val="16"/>
                <w:szCs w:val="16"/>
              </w:rPr>
              <w:t>Note</w:t>
            </w:r>
          </w:p>
        </w:tc>
        <w:tc>
          <w:tcPr>
            <w:tcW w:w="623" w:type="dxa"/>
            <w:tcBorders>
              <w:top w:val="single" w:sz="4" w:space="0" w:color="000000"/>
              <w:bottom w:val="single" w:sz="4" w:space="0" w:color="000000"/>
            </w:tcBorders>
          </w:tcPr>
          <w:p w14:paraId="5754B8A2"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Share</w:t>
            </w:r>
          </w:p>
          <w:p w14:paraId="683C1071"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Capital</w:t>
            </w:r>
          </w:p>
        </w:tc>
        <w:tc>
          <w:tcPr>
            <w:tcW w:w="792" w:type="dxa"/>
            <w:tcBorders>
              <w:top w:val="single" w:sz="4" w:space="0" w:color="000000"/>
              <w:bottom w:val="single" w:sz="4" w:space="0" w:color="000000"/>
            </w:tcBorders>
          </w:tcPr>
          <w:p w14:paraId="634FA6F9"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Share</w:t>
            </w:r>
          </w:p>
          <w:p w14:paraId="01C59C31"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Premium</w:t>
            </w:r>
          </w:p>
        </w:tc>
        <w:tc>
          <w:tcPr>
            <w:tcW w:w="791" w:type="dxa"/>
            <w:tcBorders>
              <w:top w:val="single" w:sz="4" w:space="0" w:color="000000"/>
              <w:bottom w:val="single" w:sz="4" w:space="0" w:color="000000"/>
            </w:tcBorders>
          </w:tcPr>
          <w:p w14:paraId="1505AF56"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Reva-</w:t>
            </w:r>
            <w:proofErr w:type="spellStart"/>
            <w:r>
              <w:rPr>
                <w:b/>
                <w:color w:val="000000"/>
                <w:sz w:val="16"/>
                <w:szCs w:val="16"/>
              </w:rPr>
              <w:t>luation</w:t>
            </w:r>
            <w:proofErr w:type="spellEnd"/>
            <w:r>
              <w:rPr>
                <w:b/>
                <w:color w:val="000000"/>
                <w:sz w:val="16"/>
                <w:szCs w:val="16"/>
              </w:rPr>
              <w:t xml:space="preserve"> reserve for securities at FVOCI</w:t>
            </w:r>
          </w:p>
        </w:tc>
        <w:tc>
          <w:tcPr>
            <w:tcW w:w="791" w:type="dxa"/>
            <w:tcBorders>
              <w:top w:val="single" w:sz="4" w:space="0" w:color="000000"/>
              <w:bottom w:val="single" w:sz="4" w:space="0" w:color="000000"/>
            </w:tcBorders>
          </w:tcPr>
          <w:p w14:paraId="16243E2E"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Reva-</w:t>
            </w:r>
            <w:proofErr w:type="spellStart"/>
            <w:r>
              <w:rPr>
                <w:b/>
                <w:color w:val="000000"/>
                <w:sz w:val="16"/>
                <w:szCs w:val="16"/>
              </w:rPr>
              <w:t>luation</w:t>
            </w:r>
            <w:proofErr w:type="spellEnd"/>
            <w:r>
              <w:rPr>
                <w:b/>
                <w:color w:val="000000"/>
                <w:sz w:val="16"/>
                <w:szCs w:val="16"/>
              </w:rPr>
              <w:t xml:space="preserve"> of financial liabilities </w:t>
            </w:r>
            <w:proofErr w:type="spellStart"/>
            <w:r>
              <w:rPr>
                <w:b/>
                <w:color w:val="000000"/>
                <w:sz w:val="16"/>
                <w:szCs w:val="16"/>
              </w:rPr>
              <w:t>attribu</w:t>
            </w:r>
            <w:proofErr w:type="spellEnd"/>
            <w:r>
              <w:rPr>
                <w:b/>
                <w:color w:val="000000"/>
                <w:sz w:val="16"/>
                <w:szCs w:val="16"/>
              </w:rPr>
              <w:t>-table to own credit risk</w:t>
            </w:r>
          </w:p>
        </w:tc>
        <w:tc>
          <w:tcPr>
            <w:tcW w:w="791" w:type="dxa"/>
            <w:tcBorders>
              <w:top w:val="single" w:sz="4" w:space="0" w:color="000000"/>
              <w:bottom w:val="single" w:sz="4" w:space="0" w:color="000000"/>
            </w:tcBorders>
          </w:tcPr>
          <w:p w14:paraId="07721D37"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Reva-</w:t>
            </w:r>
            <w:proofErr w:type="spellStart"/>
            <w:r>
              <w:rPr>
                <w:b/>
                <w:color w:val="000000"/>
                <w:sz w:val="16"/>
                <w:szCs w:val="16"/>
              </w:rPr>
              <w:t>luation</w:t>
            </w:r>
            <w:proofErr w:type="spellEnd"/>
            <w:r>
              <w:rPr>
                <w:b/>
                <w:color w:val="000000"/>
                <w:sz w:val="16"/>
                <w:szCs w:val="16"/>
              </w:rPr>
              <w:t xml:space="preserve"> reserve for PP&amp;E</w:t>
            </w:r>
          </w:p>
        </w:tc>
        <w:tc>
          <w:tcPr>
            <w:tcW w:w="791" w:type="dxa"/>
            <w:tcBorders>
              <w:top w:val="single" w:sz="4" w:space="0" w:color="000000"/>
              <w:bottom w:val="single" w:sz="4" w:space="0" w:color="000000"/>
            </w:tcBorders>
          </w:tcPr>
          <w:p w14:paraId="3FD78ACA"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Currency </w:t>
            </w:r>
            <w:proofErr w:type="spellStart"/>
            <w:r>
              <w:rPr>
                <w:b/>
                <w:color w:val="000000"/>
                <w:sz w:val="16"/>
                <w:szCs w:val="16"/>
              </w:rPr>
              <w:t>transla-tion</w:t>
            </w:r>
            <w:proofErr w:type="spellEnd"/>
            <w:r>
              <w:rPr>
                <w:b/>
                <w:color w:val="000000"/>
                <w:sz w:val="16"/>
                <w:szCs w:val="16"/>
              </w:rPr>
              <w:t xml:space="preserve"> reserve</w:t>
            </w:r>
          </w:p>
        </w:tc>
        <w:tc>
          <w:tcPr>
            <w:tcW w:w="791" w:type="dxa"/>
            <w:tcBorders>
              <w:top w:val="single" w:sz="4" w:space="0" w:color="000000"/>
              <w:bottom w:val="single" w:sz="4" w:space="0" w:color="000000"/>
            </w:tcBorders>
          </w:tcPr>
          <w:p w14:paraId="4AF44FFB"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Retained</w:t>
            </w:r>
          </w:p>
          <w:p w14:paraId="19AD3FE8"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earnings</w:t>
            </w:r>
            <w:r>
              <w:rPr>
                <w:b/>
                <w:color w:val="000000"/>
                <w:sz w:val="16"/>
                <w:szCs w:val="16"/>
              </w:rPr>
              <w:br/>
            </w:r>
            <w:r>
              <w:rPr>
                <w:b/>
                <w:color w:val="0000FF"/>
                <w:sz w:val="16"/>
                <w:szCs w:val="16"/>
              </w:rPr>
              <w:t>[Accu-</w:t>
            </w:r>
            <w:proofErr w:type="spellStart"/>
            <w:r>
              <w:rPr>
                <w:b/>
                <w:color w:val="0000FF"/>
                <w:sz w:val="16"/>
                <w:szCs w:val="16"/>
              </w:rPr>
              <w:t>mulated</w:t>
            </w:r>
            <w:proofErr w:type="spellEnd"/>
            <w:r>
              <w:rPr>
                <w:b/>
                <w:color w:val="0000FF"/>
                <w:sz w:val="16"/>
                <w:szCs w:val="16"/>
              </w:rPr>
              <w:t xml:space="preserve"> deficit]</w:t>
            </w:r>
          </w:p>
        </w:tc>
        <w:tc>
          <w:tcPr>
            <w:tcW w:w="792" w:type="dxa"/>
            <w:tcBorders>
              <w:top w:val="single" w:sz="4" w:space="0" w:color="000000"/>
              <w:bottom w:val="single" w:sz="4" w:space="0" w:color="000000"/>
            </w:tcBorders>
          </w:tcPr>
          <w:p w14:paraId="26795417" w14:textId="77777777" w:rsidR="008E5DE4" w:rsidRDefault="00780368">
            <w:pPr>
              <w:widowControl w:val="0"/>
              <w:pBdr>
                <w:top w:val="nil"/>
                <w:left w:val="nil"/>
                <w:bottom w:val="nil"/>
                <w:right w:val="nil"/>
                <w:between w:val="nil"/>
              </w:pBdr>
              <w:ind w:left="-113" w:hanging="14"/>
              <w:jc w:val="right"/>
              <w:rPr>
                <w:b/>
                <w:color w:val="000000"/>
                <w:sz w:val="16"/>
                <w:szCs w:val="16"/>
              </w:rPr>
            </w:pPr>
            <w:r>
              <w:rPr>
                <w:b/>
                <w:color w:val="000000"/>
                <w:sz w:val="16"/>
                <w:szCs w:val="16"/>
              </w:rPr>
              <w:t>Total</w:t>
            </w:r>
          </w:p>
        </w:tc>
        <w:tc>
          <w:tcPr>
            <w:tcW w:w="735" w:type="dxa"/>
            <w:vMerge/>
          </w:tcPr>
          <w:p w14:paraId="179BC1A9" w14:textId="77777777" w:rsidR="008E5DE4" w:rsidRDefault="008E5DE4">
            <w:pPr>
              <w:widowControl w:val="0"/>
              <w:pBdr>
                <w:top w:val="nil"/>
                <w:left w:val="nil"/>
                <w:bottom w:val="nil"/>
                <w:right w:val="nil"/>
                <w:between w:val="nil"/>
              </w:pBdr>
              <w:spacing w:line="276" w:lineRule="auto"/>
              <w:rPr>
                <w:b/>
                <w:color w:val="000000"/>
                <w:sz w:val="16"/>
                <w:szCs w:val="16"/>
              </w:rPr>
            </w:pPr>
          </w:p>
        </w:tc>
        <w:tc>
          <w:tcPr>
            <w:tcW w:w="765" w:type="dxa"/>
            <w:vMerge/>
          </w:tcPr>
          <w:p w14:paraId="4D6138ED" w14:textId="77777777" w:rsidR="008E5DE4" w:rsidRDefault="008E5DE4">
            <w:pPr>
              <w:widowControl w:val="0"/>
              <w:pBdr>
                <w:top w:val="nil"/>
                <w:left w:val="nil"/>
                <w:bottom w:val="nil"/>
                <w:right w:val="nil"/>
                <w:between w:val="nil"/>
              </w:pBdr>
              <w:spacing w:line="276" w:lineRule="auto"/>
              <w:rPr>
                <w:b/>
                <w:color w:val="000000"/>
                <w:sz w:val="16"/>
                <w:szCs w:val="16"/>
              </w:rPr>
            </w:pPr>
          </w:p>
        </w:tc>
      </w:tr>
      <w:tr w:rsidR="008E5DE4" w14:paraId="273BF110" w14:textId="77777777">
        <w:trPr>
          <w:cantSplit/>
        </w:trPr>
        <w:tc>
          <w:tcPr>
            <w:tcW w:w="1301" w:type="dxa"/>
            <w:tcBorders>
              <w:top w:val="single" w:sz="4" w:space="0" w:color="000000"/>
            </w:tcBorders>
            <w:vAlign w:val="bottom"/>
          </w:tcPr>
          <w:p w14:paraId="7840953D" w14:textId="77777777" w:rsidR="008E5DE4" w:rsidRDefault="00780368">
            <w:pPr>
              <w:widowControl w:val="0"/>
              <w:pBdr>
                <w:top w:val="nil"/>
                <w:left w:val="nil"/>
                <w:bottom w:val="nil"/>
                <w:right w:val="nil"/>
                <w:between w:val="nil"/>
              </w:pBdr>
              <w:ind w:left="56" w:right="-57" w:hanging="113"/>
              <w:rPr>
                <w:b/>
                <w:color w:val="000000"/>
                <w:sz w:val="16"/>
                <w:szCs w:val="16"/>
              </w:rPr>
            </w:pPr>
            <w:r>
              <w:rPr>
                <w:color w:val="000000"/>
                <w:sz w:val="16"/>
                <w:szCs w:val="16"/>
              </w:rPr>
              <w:t> </w:t>
            </w:r>
          </w:p>
        </w:tc>
        <w:tc>
          <w:tcPr>
            <w:tcW w:w="454" w:type="dxa"/>
            <w:tcBorders>
              <w:top w:val="single" w:sz="4" w:space="0" w:color="000000"/>
            </w:tcBorders>
            <w:vAlign w:val="bottom"/>
          </w:tcPr>
          <w:p w14:paraId="60AA2FEE" w14:textId="77777777" w:rsidR="008E5DE4" w:rsidRDefault="008E5DE4">
            <w:pPr>
              <w:widowControl w:val="0"/>
              <w:pBdr>
                <w:top w:val="nil"/>
                <w:left w:val="nil"/>
                <w:bottom w:val="nil"/>
                <w:right w:val="nil"/>
                <w:between w:val="nil"/>
              </w:pBdr>
              <w:ind w:left="-113" w:right="-113"/>
              <w:jc w:val="center"/>
              <w:rPr>
                <w:b/>
                <w:color w:val="000000"/>
                <w:sz w:val="16"/>
                <w:szCs w:val="16"/>
              </w:rPr>
            </w:pPr>
          </w:p>
        </w:tc>
        <w:tc>
          <w:tcPr>
            <w:tcW w:w="623" w:type="dxa"/>
            <w:tcBorders>
              <w:top w:val="single" w:sz="4" w:space="0" w:color="000000"/>
            </w:tcBorders>
            <w:vAlign w:val="bottom"/>
          </w:tcPr>
          <w:p w14:paraId="7BFDB784"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2" w:type="dxa"/>
            <w:tcBorders>
              <w:top w:val="single" w:sz="4" w:space="0" w:color="000000"/>
            </w:tcBorders>
            <w:vAlign w:val="bottom"/>
          </w:tcPr>
          <w:p w14:paraId="4F763F09"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1" w:type="dxa"/>
            <w:tcBorders>
              <w:top w:val="single" w:sz="4" w:space="0" w:color="000000"/>
            </w:tcBorders>
          </w:tcPr>
          <w:p w14:paraId="065D0E52"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1" w:type="dxa"/>
            <w:tcBorders>
              <w:top w:val="single" w:sz="4" w:space="0" w:color="000000"/>
            </w:tcBorders>
          </w:tcPr>
          <w:p w14:paraId="3AFB0F4B"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1" w:type="dxa"/>
            <w:tcBorders>
              <w:top w:val="single" w:sz="4" w:space="0" w:color="000000"/>
            </w:tcBorders>
            <w:vAlign w:val="bottom"/>
          </w:tcPr>
          <w:p w14:paraId="4C86903B"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1" w:type="dxa"/>
            <w:tcBorders>
              <w:top w:val="single" w:sz="4" w:space="0" w:color="000000"/>
            </w:tcBorders>
            <w:vAlign w:val="bottom"/>
          </w:tcPr>
          <w:p w14:paraId="6157F50F"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1" w:type="dxa"/>
            <w:tcBorders>
              <w:top w:val="single" w:sz="4" w:space="0" w:color="000000"/>
            </w:tcBorders>
            <w:vAlign w:val="bottom"/>
          </w:tcPr>
          <w:p w14:paraId="0661212F"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92" w:type="dxa"/>
            <w:tcBorders>
              <w:top w:val="single" w:sz="4" w:space="0" w:color="000000"/>
            </w:tcBorders>
            <w:vAlign w:val="bottom"/>
          </w:tcPr>
          <w:p w14:paraId="5742CEA8"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35" w:type="dxa"/>
            <w:tcBorders>
              <w:top w:val="single" w:sz="4" w:space="0" w:color="000000"/>
            </w:tcBorders>
            <w:vAlign w:val="bottom"/>
          </w:tcPr>
          <w:p w14:paraId="38FEE0EB" w14:textId="77777777" w:rsidR="008E5DE4" w:rsidRDefault="008E5DE4">
            <w:pPr>
              <w:widowControl w:val="0"/>
              <w:pBdr>
                <w:top w:val="nil"/>
                <w:left w:val="nil"/>
                <w:bottom w:val="nil"/>
                <w:right w:val="nil"/>
                <w:between w:val="nil"/>
              </w:pBdr>
              <w:ind w:left="-113"/>
              <w:jc w:val="right"/>
              <w:rPr>
                <w:b/>
                <w:color w:val="000000"/>
                <w:sz w:val="16"/>
                <w:szCs w:val="16"/>
              </w:rPr>
            </w:pPr>
          </w:p>
        </w:tc>
        <w:tc>
          <w:tcPr>
            <w:tcW w:w="765" w:type="dxa"/>
            <w:tcBorders>
              <w:top w:val="single" w:sz="4" w:space="0" w:color="000000"/>
            </w:tcBorders>
            <w:vAlign w:val="bottom"/>
          </w:tcPr>
          <w:p w14:paraId="250761B4" w14:textId="77777777" w:rsidR="008E5DE4" w:rsidRDefault="008E5DE4">
            <w:pPr>
              <w:widowControl w:val="0"/>
              <w:pBdr>
                <w:top w:val="nil"/>
                <w:left w:val="nil"/>
                <w:bottom w:val="nil"/>
                <w:right w:val="nil"/>
                <w:between w:val="nil"/>
              </w:pBdr>
              <w:ind w:left="-113"/>
              <w:jc w:val="right"/>
              <w:rPr>
                <w:b/>
                <w:color w:val="000000"/>
                <w:sz w:val="16"/>
                <w:szCs w:val="16"/>
              </w:rPr>
            </w:pPr>
          </w:p>
        </w:tc>
      </w:tr>
      <w:tr w:rsidR="008E5DE4" w14:paraId="2C853E92" w14:textId="77777777">
        <w:trPr>
          <w:cantSplit/>
        </w:trPr>
        <w:tc>
          <w:tcPr>
            <w:tcW w:w="1301" w:type="dxa"/>
            <w:vAlign w:val="bottom"/>
          </w:tcPr>
          <w:p w14:paraId="419BAEE8" w14:textId="64C5F3B6" w:rsidR="008E5DE4" w:rsidRDefault="00780368">
            <w:pPr>
              <w:widowControl w:val="0"/>
              <w:pBdr>
                <w:top w:val="nil"/>
                <w:left w:val="nil"/>
                <w:bottom w:val="nil"/>
                <w:right w:val="nil"/>
                <w:between w:val="nil"/>
              </w:pBdr>
              <w:tabs>
                <w:tab w:val="right" w:pos="8782"/>
              </w:tabs>
              <w:ind w:left="56" w:right="-57" w:hanging="113"/>
              <w:rPr>
                <w:color w:val="000000"/>
                <w:sz w:val="16"/>
                <w:szCs w:val="16"/>
              </w:rPr>
            </w:pPr>
            <w:r>
              <w:rPr>
                <w:b/>
                <w:color w:val="000000"/>
                <w:sz w:val="16"/>
                <w:szCs w:val="16"/>
              </w:rPr>
              <w:t xml:space="preserve">Year ended 31 December </w:t>
            </w:r>
            <w:r w:rsidR="008614F8">
              <w:rPr>
                <w:b/>
                <w:color w:val="000000"/>
                <w:sz w:val="16"/>
                <w:szCs w:val="16"/>
              </w:rPr>
              <w:t>2025</w:t>
            </w:r>
          </w:p>
        </w:tc>
        <w:tc>
          <w:tcPr>
            <w:tcW w:w="454" w:type="dxa"/>
            <w:vAlign w:val="bottom"/>
          </w:tcPr>
          <w:p w14:paraId="0C91C7B0"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4FA6506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3A67525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28CF968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3ECF4DC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31E6B73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7B1055A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3CB203B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144551A2"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425978A3"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7D75D54F"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4F8951BB" w14:textId="77777777">
        <w:trPr>
          <w:cantSplit/>
        </w:trPr>
        <w:tc>
          <w:tcPr>
            <w:tcW w:w="1301" w:type="dxa"/>
            <w:vAlign w:val="bottom"/>
          </w:tcPr>
          <w:p w14:paraId="0EBE3F15" w14:textId="77777777" w:rsidR="008E5DE4" w:rsidRDefault="008E5DE4">
            <w:pPr>
              <w:widowControl w:val="0"/>
              <w:pBdr>
                <w:top w:val="nil"/>
                <w:left w:val="nil"/>
                <w:bottom w:val="nil"/>
                <w:right w:val="nil"/>
                <w:between w:val="nil"/>
              </w:pBdr>
              <w:tabs>
                <w:tab w:val="right" w:pos="8782"/>
              </w:tabs>
              <w:ind w:left="56" w:right="-57" w:hanging="113"/>
              <w:rPr>
                <w:color w:val="000000"/>
                <w:sz w:val="16"/>
                <w:szCs w:val="16"/>
              </w:rPr>
            </w:pPr>
          </w:p>
        </w:tc>
        <w:tc>
          <w:tcPr>
            <w:tcW w:w="454" w:type="dxa"/>
            <w:vAlign w:val="bottom"/>
          </w:tcPr>
          <w:p w14:paraId="3386CC84"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5560AD28"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78DFC32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3B4D9C8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2B7AFBA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28140A6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23DF229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423F2EF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0CFA4680"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786F64E1"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647DF769"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69AFF027" w14:textId="77777777">
        <w:trPr>
          <w:cantSplit/>
        </w:trPr>
        <w:tc>
          <w:tcPr>
            <w:tcW w:w="1301" w:type="dxa"/>
            <w:vAlign w:val="bottom"/>
          </w:tcPr>
          <w:p w14:paraId="621163EC"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Securities at FVOCI:</w:t>
            </w:r>
          </w:p>
        </w:tc>
        <w:tc>
          <w:tcPr>
            <w:tcW w:w="454" w:type="dxa"/>
            <w:vAlign w:val="bottom"/>
          </w:tcPr>
          <w:p w14:paraId="503351A4"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5BCFD28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4ECD3A1F"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323B9B5E"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33C4326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08CE575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6EF84CE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46AA7C7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15763043"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722628F1"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3CFDA501"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321D6920" w14:textId="77777777">
        <w:trPr>
          <w:cantSplit/>
        </w:trPr>
        <w:tc>
          <w:tcPr>
            <w:tcW w:w="1301" w:type="dxa"/>
            <w:vAlign w:val="bottom"/>
          </w:tcPr>
          <w:p w14:paraId="1D9CEB60" w14:textId="77777777" w:rsidR="008E5DE4" w:rsidRDefault="00780368">
            <w:pPr>
              <w:widowControl w:val="0"/>
              <w:pBdr>
                <w:top w:val="nil"/>
                <w:left w:val="nil"/>
                <w:bottom w:val="nil"/>
                <w:right w:val="nil"/>
                <w:between w:val="nil"/>
              </w:pBdr>
              <w:tabs>
                <w:tab w:val="right" w:pos="8782"/>
              </w:tabs>
              <w:ind w:left="56" w:right="-57" w:hanging="113"/>
              <w:rPr>
                <w:color w:val="000000"/>
                <w:sz w:val="16"/>
                <w:szCs w:val="16"/>
              </w:rPr>
            </w:pPr>
            <w:r>
              <w:rPr>
                <w:color w:val="000000"/>
                <w:sz w:val="16"/>
                <w:szCs w:val="16"/>
              </w:rPr>
              <w:t xml:space="preserve">- </w:t>
            </w:r>
            <w:r>
              <w:rPr>
                <w:color w:val="000000"/>
                <w:sz w:val="16"/>
                <w:szCs w:val="16"/>
              </w:rPr>
              <w:tab/>
              <w:t>Gains less losses arising during the year</w:t>
            </w:r>
          </w:p>
        </w:tc>
        <w:tc>
          <w:tcPr>
            <w:tcW w:w="454" w:type="dxa"/>
            <w:vAlign w:val="bottom"/>
          </w:tcPr>
          <w:p w14:paraId="27FE883C"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6ABD2EC6"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76B85EF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1A20C97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76DD542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23F28DC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2B34C51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227A8C2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525F8ADC"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365EF9D5"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74A32709"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7D807DEA" w14:textId="77777777">
        <w:trPr>
          <w:cantSplit/>
        </w:trPr>
        <w:tc>
          <w:tcPr>
            <w:tcW w:w="1301" w:type="dxa"/>
            <w:vAlign w:val="bottom"/>
          </w:tcPr>
          <w:p w14:paraId="2D56B6FC" w14:textId="77777777" w:rsidR="008E5DE4" w:rsidRDefault="00780368">
            <w:pPr>
              <w:widowControl w:val="0"/>
              <w:pBdr>
                <w:top w:val="nil"/>
                <w:left w:val="nil"/>
                <w:bottom w:val="nil"/>
                <w:right w:val="nil"/>
                <w:between w:val="nil"/>
              </w:pBdr>
              <w:tabs>
                <w:tab w:val="right" w:pos="8782"/>
              </w:tabs>
              <w:ind w:left="56" w:right="-57" w:hanging="113"/>
              <w:rPr>
                <w:color w:val="000000"/>
                <w:sz w:val="16"/>
                <w:szCs w:val="16"/>
              </w:rPr>
            </w:pPr>
            <w:r>
              <w:rPr>
                <w:color w:val="000000"/>
                <w:sz w:val="16"/>
                <w:szCs w:val="16"/>
              </w:rPr>
              <w:t xml:space="preserve">- </w:t>
            </w:r>
            <w:r>
              <w:rPr>
                <w:color w:val="000000"/>
                <w:sz w:val="16"/>
                <w:szCs w:val="16"/>
              </w:rPr>
              <w:tab/>
              <w:t>Gains less losses recycled to profit or loss on disposal</w:t>
            </w:r>
          </w:p>
        </w:tc>
        <w:tc>
          <w:tcPr>
            <w:tcW w:w="454" w:type="dxa"/>
            <w:vAlign w:val="bottom"/>
          </w:tcPr>
          <w:p w14:paraId="72B6AA86"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64B8D3BC"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219FB348"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06AD9EC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4DB13F6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23D9A5E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6FBEB98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02E060B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74EBED53"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19FC91FA"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0978E1F1"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4A852ABF" w14:textId="77777777">
        <w:trPr>
          <w:cantSplit/>
        </w:trPr>
        <w:tc>
          <w:tcPr>
            <w:tcW w:w="1301" w:type="dxa"/>
            <w:vAlign w:val="bottom"/>
          </w:tcPr>
          <w:p w14:paraId="456B7005"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Revaluation of property, plant and equipment</w:t>
            </w:r>
          </w:p>
        </w:tc>
        <w:tc>
          <w:tcPr>
            <w:tcW w:w="454" w:type="dxa"/>
            <w:vAlign w:val="bottom"/>
          </w:tcPr>
          <w:p w14:paraId="45B54CF4"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5755FE0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18FE9CF9"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7AD8B4C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669D0D16"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320C057F"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123BA05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148232B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61DFA663"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5BFF07FE"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61E287EB"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0282AA36" w14:textId="77777777">
        <w:trPr>
          <w:cantSplit/>
        </w:trPr>
        <w:tc>
          <w:tcPr>
            <w:tcW w:w="1301" w:type="dxa"/>
            <w:vAlign w:val="bottom"/>
          </w:tcPr>
          <w:p w14:paraId="71C5BC32"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Share of other comprehensive income of associates and joint ventures</w:t>
            </w:r>
          </w:p>
        </w:tc>
        <w:tc>
          <w:tcPr>
            <w:tcW w:w="454" w:type="dxa"/>
            <w:vAlign w:val="bottom"/>
          </w:tcPr>
          <w:p w14:paraId="49D1D010"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1127C01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3D00263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49C7D8B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12D297B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34120A4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33217A1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2654DF6E"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210C3F1A"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6DDD8E80"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67B0BE55"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6C36C004" w14:textId="77777777">
        <w:trPr>
          <w:cantSplit/>
        </w:trPr>
        <w:tc>
          <w:tcPr>
            <w:tcW w:w="1301" w:type="dxa"/>
            <w:vAlign w:val="bottom"/>
          </w:tcPr>
          <w:p w14:paraId="69C8793C"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Exchange differences on translation to presentation currency</w:t>
            </w:r>
          </w:p>
        </w:tc>
        <w:tc>
          <w:tcPr>
            <w:tcW w:w="454" w:type="dxa"/>
            <w:vAlign w:val="bottom"/>
          </w:tcPr>
          <w:p w14:paraId="4ADFE5AA"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0A7A86B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198E2FA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7EC632F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149D204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6AEBACF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6E56640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03484FA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0824EEA0"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0BE316A5"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21E869FC"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109E7D0A" w14:textId="77777777">
        <w:trPr>
          <w:cantSplit/>
        </w:trPr>
        <w:tc>
          <w:tcPr>
            <w:tcW w:w="1301" w:type="dxa"/>
            <w:vAlign w:val="bottom"/>
          </w:tcPr>
          <w:p w14:paraId="0B7139BD"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Income tax recorded directly in other comprehensive income</w:t>
            </w:r>
          </w:p>
        </w:tc>
        <w:tc>
          <w:tcPr>
            <w:tcW w:w="454" w:type="dxa"/>
            <w:vAlign w:val="bottom"/>
          </w:tcPr>
          <w:p w14:paraId="11C0CAE0"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2C33A43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54302F6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579705D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57C8D6C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4EE3CAC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13E65F1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07DB2E2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7E857EFA"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6265389A"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6039487B"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4A671CB3" w14:textId="77777777">
        <w:trPr>
          <w:cantSplit/>
        </w:trPr>
        <w:tc>
          <w:tcPr>
            <w:tcW w:w="1301" w:type="dxa"/>
            <w:tcBorders>
              <w:bottom w:val="single" w:sz="4" w:space="0" w:color="000000"/>
            </w:tcBorders>
            <w:vAlign w:val="bottom"/>
          </w:tcPr>
          <w:p w14:paraId="2B2FA0C1"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 </w:t>
            </w:r>
          </w:p>
        </w:tc>
        <w:tc>
          <w:tcPr>
            <w:tcW w:w="454" w:type="dxa"/>
            <w:tcBorders>
              <w:bottom w:val="single" w:sz="4" w:space="0" w:color="000000"/>
            </w:tcBorders>
            <w:vAlign w:val="bottom"/>
          </w:tcPr>
          <w:p w14:paraId="5D36E7D3"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tcBorders>
              <w:bottom w:val="single" w:sz="4" w:space="0" w:color="000000"/>
            </w:tcBorders>
            <w:vAlign w:val="bottom"/>
          </w:tcPr>
          <w:p w14:paraId="1E68701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tcBorders>
              <w:bottom w:val="single" w:sz="4" w:space="0" w:color="000000"/>
            </w:tcBorders>
            <w:vAlign w:val="bottom"/>
          </w:tcPr>
          <w:p w14:paraId="27A094B8"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4" w:space="0" w:color="000000"/>
            </w:tcBorders>
          </w:tcPr>
          <w:p w14:paraId="56762E6F"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4" w:space="0" w:color="000000"/>
            </w:tcBorders>
            <w:vAlign w:val="bottom"/>
          </w:tcPr>
          <w:p w14:paraId="0EE03F2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4" w:space="0" w:color="000000"/>
            </w:tcBorders>
            <w:vAlign w:val="bottom"/>
          </w:tcPr>
          <w:p w14:paraId="4BE2908E"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4" w:space="0" w:color="000000"/>
            </w:tcBorders>
            <w:vAlign w:val="bottom"/>
          </w:tcPr>
          <w:p w14:paraId="4DD080EF"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4" w:space="0" w:color="000000"/>
            </w:tcBorders>
            <w:vAlign w:val="bottom"/>
          </w:tcPr>
          <w:p w14:paraId="52EF398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tcBorders>
              <w:bottom w:val="single" w:sz="4" w:space="0" w:color="000000"/>
            </w:tcBorders>
            <w:vAlign w:val="bottom"/>
          </w:tcPr>
          <w:p w14:paraId="3E7DB3D3"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776874B3"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7D51E911"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392B9F9B" w14:textId="77777777">
        <w:trPr>
          <w:cantSplit/>
        </w:trPr>
        <w:tc>
          <w:tcPr>
            <w:tcW w:w="1301" w:type="dxa"/>
            <w:tcBorders>
              <w:top w:val="single" w:sz="4" w:space="0" w:color="000000"/>
            </w:tcBorders>
            <w:vAlign w:val="bottom"/>
          </w:tcPr>
          <w:p w14:paraId="70C4CBAD"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 </w:t>
            </w:r>
          </w:p>
        </w:tc>
        <w:tc>
          <w:tcPr>
            <w:tcW w:w="454" w:type="dxa"/>
            <w:tcBorders>
              <w:top w:val="single" w:sz="4" w:space="0" w:color="000000"/>
            </w:tcBorders>
            <w:vAlign w:val="bottom"/>
          </w:tcPr>
          <w:p w14:paraId="48C6A515"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tcBorders>
              <w:top w:val="single" w:sz="4" w:space="0" w:color="000000"/>
            </w:tcBorders>
            <w:vAlign w:val="bottom"/>
          </w:tcPr>
          <w:p w14:paraId="07B7EC93"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tcBorders>
              <w:top w:val="single" w:sz="4" w:space="0" w:color="000000"/>
            </w:tcBorders>
            <w:vAlign w:val="bottom"/>
          </w:tcPr>
          <w:p w14:paraId="35FB83FE"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top w:val="single" w:sz="4" w:space="0" w:color="000000"/>
            </w:tcBorders>
          </w:tcPr>
          <w:p w14:paraId="0D0370C8"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top w:val="single" w:sz="4" w:space="0" w:color="000000"/>
            </w:tcBorders>
            <w:vAlign w:val="bottom"/>
          </w:tcPr>
          <w:p w14:paraId="580A6366"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top w:val="single" w:sz="4" w:space="0" w:color="000000"/>
            </w:tcBorders>
            <w:vAlign w:val="bottom"/>
          </w:tcPr>
          <w:p w14:paraId="2194297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top w:val="single" w:sz="4" w:space="0" w:color="000000"/>
            </w:tcBorders>
            <w:vAlign w:val="bottom"/>
          </w:tcPr>
          <w:p w14:paraId="4C081CF7"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top w:val="single" w:sz="4" w:space="0" w:color="000000"/>
            </w:tcBorders>
            <w:vAlign w:val="bottom"/>
          </w:tcPr>
          <w:p w14:paraId="6E4BFBEE"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tcBorders>
              <w:top w:val="single" w:sz="4" w:space="0" w:color="000000"/>
            </w:tcBorders>
            <w:vAlign w:val="bottom"/>
          </w:tcPr>
          <w:p w14:paraId="740CCF3F"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2A779268"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4838769F"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0EEB57E0" w14:textId="77777777">
        <w:trPr>
          <w:cantSplit/>
        </w:trPr>
        <w:tc>
          <w:tcPr>
            <w:tcW w:w="1301" w:type="dxa"/>
            <w:vAlign w:val="bottom"/>
          </w:tcPr>
          <w:p w14:paraId="5996E216" w14:textId="77777777" w:rsidR="008E5DE4" w:rsidRDefault="00780368">
            <w:pPr>
              <w:widowControl w:val="0"/>
              <w:pBdr>
                <w:top w:val="nil"/>
                <w:left w:val="nil"/>
                <w:bottom w:val="nil"/>
                <w:right w:val="nil"/>
                <w:between w:val="nil"/>
              </w:pBdr>
              <w:ind w:left="56" w:right="-57" w:hanging="113"/>
              <w:rPr>
                <w:color w:val="000000"/>
                <w:sz w:val="16"/>
                <w:szCs w:val="16"/>
              </w:rPr>
            </w:pPr>
            <w:r>
              <w:rPr>
                <w:b/>
                <w:color w:val="000000"/>
                <w:sz w:val="16"/>
                <w:szCs w:val="16"/>
              </w:rPr>
              <w:t>Total other comprehensive income</w:t>
            </w:r>
          </w:p>
        </w:tc>
        <w:tc>
          <w:tcPr>
            <w:tcW w:w="454" w:type="dxa"/>
            <w:vAlign w:val="bottom"/>
          </w:tcPr>
          <w:p w14:paraId="0C6C4B99"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vAlign w:val="bottom"/>
          </w:tcPr>
          <w:p w14:paraId="319CEBBF"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6C0CDCF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Pr>
          <w:p w14:paraId="44851298"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4027339A"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3AF3616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25EB963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vAlign w:val="bottom"/>
          </w:tcPr>
          <w:p w14:paraId="59ED820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vAlign w:val="bottom"/>
          </w:tcPr>
          <w:p w14:paraId="07A16703"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vAlign w:val="bottom"/>
          </w:tcPr>
          <w:p w14:paraId="55F9A139"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vAlign w:val="bottom"/>
          </w:tcPr>
          <w:p w14:paraId="64AAFE51" w14:textId="77777777" w:rsidR="008E5DE4" w:rsidRDefault="008E5DE4">
            <w:pPr>
              <w:widowControl w:val="0"/>
              <w:pBdr>
                <w:top w:val="nil"/>
                <w:left w:val="nil"/>
                <w:bottom w:val="nil"/>
                <w:right w:val="nil"/>
                <w:between w:val="nil"/>
              </w:pBdr>
              <w:ind w:left="-113"/>
              <w:jc w:val="right"/>
              <w:rPr>
                <w:color w:val="000000"/>
                <w:sz w:val="16"/>
                <w:szCs w:val="16"/>
              </w:rPr>
            </w:pPr>
          </w:p>
        </w:tc>
      </w:tr>
      <w:tr w:rsidR="008E5DE4" w14:paraId="0303DD61" w14:textId="77777777">
        <w:trPr>
          <w:cantSplit/>
        </w:trPr>
        <w:tc>
          <w:tcPr>
            <w:tcW w:w="1301" w:type="dxa"/>
            <w:tcBorders>
              <w:bottom w:val="single" w:sz="12" w:space="0" w:color="000000"/>
            </w:tcBorders>
            <w:vAlign w:val="bottom"/>
          </w:tcPr>
          <w:p w14:paraId="7596D5CF" w14:textId="77777777" w:rsidR="008E5DE4" w:rsidRDefault="00780368">
            <w:pPr>
              <w:widowControl w:val="0"/>
              <w:pBdr>
                <w:top w:val="nil"/>
                <w:left w:val="nil"/>
                <w:bottom w:val="nil"/>
                <w:right w:val="nil"/>
                <w:between w:val="nil"/>
              </w:pBdr>
              <w:ind w:left="56" w:right="-57" w:hanging="113"/>
              <w:rPr>
                <w:color w:val="000000"/>
                <w:sz w:val="16"/>
                <w:szCs w:val="16"/>
              </w:rPr>
            </w:pPr>
            <w:r>
              <w:rPr>
                <w:color w:val="000000"/>
                <w:sz w:val="16"/>
                <w:szCs w:val="16"/>
              </w:rPr>
              <w:t> </w:t>
            </w:r>
          </w:p>
        </w:tc>
        <w:tc>
          <w:tcPr>
            <w:tcW w:w="454" w:type="dxa"/>
            <w:tcBorders>
              <w:bottom w:val="single" w:sz="12" w:space="0" w:color="000000"/>
            </w:tcBorders>
            <w:vAlign w:val="bottom"/>
          </w:tcPr>
          <w:p w14:paraId="36955133" w14:textId="77777777" w:rsidR="008E5DE4" w:rsidRDefault="008E5DE4">
            <w:pPr>
              <w:widowControl w:val="0"/>
              <w:pBdr>
                <w:top w:val="nil"/>
                <w:left w:val="nil"/>
                <w:bottom w:val="nil"/>
                <w:right w:val="nil"/>
                <w:between w:val="nil"/>
              </w:pBdr>
              <w:ind w:left="-113" w:right="-113"/>
              <w:jc w:val="center"/>
              <w:rPr>
                <w:color w:val="000000"/>
                <w:sz w:val="16"/>
                <w:szCs w:val="16"/>
              </w:rPr>
            </w:pPr>
          </w:p>
        </w:tc>
        <w:tc>
          <w:tcPr>
            <w:tcW w:w="623" w:type="dxa"/>
            <w:tcBorders>
              <w:bottom w:val="single" w:sz="12" w:space="0" w:color="000000"/>
            </w:tcBorders>
            <w:vAlign w:val="bottom"/>
          </w:tcPr>
          <w:p w14:paraId="1958D3B1"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tcBorders>
              <w:bottom w:val="single" w:sz="12" w:space="0" w:color="000000"/>
            </w:tcBorders>
            <w:vAlign w:val="bottom"/>
          </w:tcPr>
          <w:p w14:paraId="7FBDEFAF"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12" w:space="0" w:color="000000"/>
            </w:tcBorders>
          </w:tcPr>
          <w:p w14:paraId="34A10A3B"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12" w:space="0" w:color="000000"/>
            </w:tcBorders>
            <w:vAlign w:val="bottom"/>
          </w:tcPr>
          <w:p w14:paraId="21124470"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12" w:space="0" w:color="000000"/>
            </w:tcBorders>
            <w:vAlign w:val="bottom"/>
          </w:tcPr>
          <w:p w14:paraId="54D84FB5"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12" w:space="0" w:color="000000"/>
            </w:tcBorders>
            <w:vAlign w:val="bottom"/>
          </w:tcPr>
          <w:p w14:paraId="0976B67D" w14:textId="77777777" w:rsidR="008E5DE4" w:rsidRDefault="008E5DE4">
            <w:pPr>
              <w:widowControl w:val="0"/>
              <w:pBdr>
                <w:top w:val="nil"/>
                <w:left w:val="nil"/>
                <w:bottom w:val="nil"/>
                <w:right w:val="nil"/>
                <w:between w:val="nil"/>
              </w:pBdr>
              <w:ind w:left="-113"/>
              <w:jc w:val="right"/>
              <w:rPr>
                <w:color w:val="000000"/>
                <w:sz w:val="16"/>
                <w:szCs w:val="16"/>
              </w:rPr>
            </w:pPr>
          </w:p>
        </w:tc>
        <w:tc>
          <w:tcPr>
            <w:tcW w:w="791" w:type="dxa"/>
            <w:tcBorders>
              <w:bottom w:val="single" w:sz="12" w:space="0" w:color="000000"/>
            </w:tcBorders>
            <w:vAlign w:val="bottom"/>
          </w:tcPr>
          <w:p w14:paraId="2A4383D2" w14:textId="77777777" w:rsidR="008E5DE4" w:rsidRDefault="008E5DE4">
            <w:pPr>
              <w:widowControl w:val="0"/>
              <w:pBdr>
                <w:top w:val="nil"/>
                <w:left w:val="nil"/>
                <w:bottom w:val="nil"/>
                <w:right w:val="nil"/>
                <w:between w:val="nil"/>
              </w:pBdr>
              <w:ind w:left="-113"/>
              <w:jc w:val="right"/>
              <w:rPr>
                <w:color w:val="000000"/>
                <w:sz w:val="16"/>
                <w:szCs w:val="16"/>
              </w:rPr>
            </w:pPr>
          </w:p>
        </w:tc>
        <w:tc>
          <w:tcPr>
            <w:tcW w:w="792" w:type="dxa"/>
            <w:tcBorders>
              <w:bottom w:val="single" w:sz="12" w:space="0" w:color="000000"/>
            </w:tcBorders>
            <w:vAlign w:val="bottom"/>
          </w:tcPr>
          <w:p w14:paraId="7B24E1C8" w14:textId="77777777" w:rsidR="008E5DE4" w:rsidRDefault="008E5DE4">
            <w:pPr>
              <w:widowControl w:val="0"/>
              <w:pBdr>
                <w:top w:val="nil"/>
                <w:left w:val="nil"/>
                <w:bottom w:val="nil"/>
                <w:right w:val="nil"/>
                <w:between w:val="nil"/>
              </w:pBdr>
              <w:ind w:left="-113"/>
              <w:jc w:val="right"/>
              <w:rPr>
                <w:color w:val="000000"/>
                <w:sz w:val="16"/>
                <w:szCs w:val="16"/>
              </w:rPr>
            </w:pPr>
          </w:p>
        </w:tc>
        <w:tc>
          <w:tcPr>
            <w:tcW w:w="735" w:type="dxa"/>
            <w:tcBorders>
              <w:bottom w:val="single" w:sz="12" w:space="0" w:color="000000"/>
            </w:tcBorders>
            <w:vAlign w:val="bottom"/>
          </w:tcPr>
          <w:p w14:paraId="50F6B555" w14:textId="77777777" w:rsidR="008E5DE4" w:rsidRDefault="008E5DE4">
            <w:pPr>
              <w:widowControl w:val="0"/>
              <w:pBdr>
                <w:top w:val="nil"/>
                <w:left w:val="nil"/>
                <w:bottom w:val="nil"/>
                <w:right w:val="nil"/>
                <w:between w:val="nil"/>
              </w:pBdr>
              <w:ind w:left="-113"/>
              <w:jc w:val="right"/>
              <w:rPr>
                <w:color w:val="000000"/>
                <w:sz w:val="16"/>
                <w:szCs w:val="16"/>
              </w:rPr>
            </w:pPr>
          </w:p>
        </w:tc>
        <w:tc>
          <w:tcPr>
            <w:tcW w:w="765" w:type="dxa"/>
            <w:tcBorders>
              <w:bottom w:val="single" w:sz="12" w:space="0" w:color="000000"/>
            </w:tcBorders>
            <w:vAlign w:val="bottom"/>
          </w:tcPr>
          <w:p w14:paraId="23976B80" w14:textId="77777777" w:rsidR="008E5DE4" w:rsidRDefault="008E5DE4">
            <w:pPr>
              <w:widowControl w:val="0"/>
              <w:pBdr>
                <w:top w:val="nil"/>
                <w:left w:val="nil"/>
                <w:bottom w:val="nil"/>
                <w:right w:val="nil"/>
                <w:between w:val="nil"/>
              </w:pBdr>
              <w:ind w:left="-113"/>
              <w:jc w:val="right"/>
              <w:rPr>
                <w:color w:val="000000"/>
                <w:sz w:val="16"/>
                <w:szCs w:val="16"/>
              </w:rPr>
            </w:pPr>
          </w:p>
        </w:tc>
      </w:tr>
    </w:tbl>
    <w:p w14:paraId="4650777A"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cumulative amounts recognised in other comprehensive income relating to non-current assets held for sale (or disposal group) are as follows:</w:t>
      </w:r>
    </w:p>
    <w:tbl>
      <w:tblPr>
        <w:tblStyle w:val="afffffffff5"/>
        <w:tblW w:w="9417" w:type="dxa"/>
        <w:tblLayout w:type="fixed"/>
        <w:tblLook w:val="0000" w:firstRow="0" w:lastRow="0" w:firstColumn="0" w:lastColumn="0" w:noHBand="0" w:noVBand="0"/>
      </w:tblPr>
      <w:tblGrid>
        <w:gridCol w:w="6335"/>
        <w:gridCol w:w="1541"/>
        <w:gridCol w:w="1541"/>
      </w:tblGrid>
      <w:tr w:rsidR="008E5DE4" w14:paraId="7B4F3E7F" w14:textId="77777777">
        <w:trPr>
          <w:cantSplit/>
        </w:trPr>
        <w:tc>
          <w:tcPr>
            <w:tcW w:w="6335" w:type="dxa"/>
            <w:tcBorders>
              <w:bottom w:val="single" w:sz="4" w:space="0" w:color="000000"/>
            </w:tcBorders>
            <w:vAlign w:val="bottom"/>
          </w:tcPr>
          <w:p w14:paraId="180467BB"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541" w:type="dxa"/>
            <w:tcBorders>
              <w:bottom w:val="single" w:sz="4" w:space="0" w:color="000000"/>
            </w:tcBorders>
            <w:vAlign w:val="bottom"/>
          </w:tcPr>
          <w:p w14:paraId="7C0C2455" w14:textId="7F6528D6" w:rsidR="008E5DE4" w:rsidRDefault="008614F8">
            <w:pPr>
              <w:widowControl w:val="0"/>
              <w:pBdr>
                <w:top w:val="nil"/>
                <w:left w:val="nil"/>
                <w:bottom w:val="nil"/>
                <w:right w:val="nil"/>
                <w:between w:val="nil"/>
              </w:pBdr>
              <w:jc w:val="right"/>
              <w:rPr>
                <w:b/>
                <w:color w:val="000000"/>
              </w:rPr>
            </w:pPr>
            <w:r>
              <w:rPr>
                <w:b/>
                <w:color w:val="000000"/>
              </w:rPr>
              <w:t>2025</w:t>
            </w:r>
          </w:p>
        </w:tc>
        <w:tc>
          <w:tcPr>
            <w:tcW w:w="1541" w:type="dxa"/>
            <w:tcBorders>
              <w:bottom w:val="single" w:sz="4" w:space="0" w:color="000000"/>
            </w:tcBorders>
            <w:vAlign w:val="bottom"/>
          </w:tcPr>
          <w:p w14:paraId="78DAC1F1" w14:textId="35222C15"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3A43B7CF" w14:textId="77777777">
        <w:trPr>
          <w:cantSplit/>
        </w:trPr>
        <w:tc>
          <w:tcPr>
            <w:tcW w:w="6335" w:type="dxa"/>
            <w:tcBorders>
              <w:top w:val="single" w:sz="4" w:space="0" w:color="000000"/>
            </w:tcBorders>
            <w:vAlign w:val="bottom"/>
          </w:tcPr>
          <w:p w14:paraId="2A1D8965" w14:textId="77777777" w:rsidR="008E5DE4" w:rsidRDefault="00780368">
            <w:pPr>
              <w:widowControl w:val="0"/>
              <w:ind w:left="113" w:right="-57" w:hanging="113"/>
            </w:pPr>
            <w:r>
              <w:t> </w:t>
            </w:r>
          </w:p>
        </w:tc>
        <w:tc>
          <w:tcPr>
            <w:tcW w:w="1541" w:type="dxa"/>
            <w:tcBorders>
              <w:top w:val="single" w:sz="4" w:space="0" w:color="000000"/>
            </w:tcBorders>
            <w:vAlign w:val="bottom"/>
          </w:tcPr>
          <w:p w14:paraId="4A2CB9E3" w14:textId="77777777" w:rsidR="008E5DE4" w:rsidRDefault="008E5DE4">
            <w:pPr>
              <w:widowControl w:val="0"/>
              <w:pBdr>
                <w:top w:val="nil"/>
                <w:left w:val="nil"/>
                <w:bottom w:val="nil"/>
                <w:right w:val="nil"/>
                <w:between w:val="nil"/>
              </w:pBdr>
              <w:jc w:val="right"/>
              <w:rPr>
                <w:color w:val="000000"/>
              </w:rPr>
            </w:pPr>
          </w:p>
        </w:tc>
        <w:tc>
          <w:tcPr>
            <w:tcW w:w="1541" w:type="dxa"/>
            <w:tcBorders>
              <w:top w:val="single" w:sz="4" w:space="0" w:color="000000"/>
            </w:tcBorders>
            <w:vAlign w:val="bottom"/>
          </w:tcPr>
          <w:p w14:paraId="30E41D45" w14:textId="77777777" w:rsidR="008E5DE4" w:rsidRDefault="008E5DE4">
            <w:pPr>
              <w:widowControl w:val="0"/>
              <w:pBdr>
                <w:top w:val="nil"/>
                <w:left w:val="nil"/>
                <w:bottom w:val="nil"/>
                <w:right w:val="nil"/>
                <w:between w:val="nil"/>
              </w:pBdr>
              <w:jc w:val="right"/>
              <w:rPr>
                <w:color w:val="000000"/>
              </w:rPr>
            </w:pPr>
          </w:p>
        </w:tc>
      </w:tr>
      <w:tr w:rsidR="008E5DE4" w14:paraId="28D3DEC6" w14:textId="77777777">
        <w:trPr>
          <w:cantSplit/>
        </w:trPr>
        <w:tc>
          <w:tcPr>
            <w:tcW w:w="6335" w:type="dxa"/>
            <w:vAlign w:val="bottom"/>
          </w:tcPr>
          <w:p w14:paraId="52EF4E93" w14:textId="77777777" w:rsidR="008E5DE4" w:rsidRDefault="00780368">
            <w:pPr>
              <w:widowControl w:val="0"/>
              <w:pBdr>
                <w:top w:val="nil"/>
                <w:left w:val="nil"/>
                <w:bottom w:val="nil"/>
                <w:right w:val="nil"/>
                <w:between w:val="nil"/>
              </w:pBdr>
              <w:ind w:left="113" w:right="-57" w:hanging="113"/>
              <w:rPr>
                <w:color w:val="000000"/>
              </w:rPr>
            </w:pPr>
            <w:r>
              <w:rPr>
                <w:color w:val="000000"/>
              </w:rPr>
              <w:t>Revaluation reserve for securities at FVOCI</w:t>
            </w:r>
          </w:p>
        </w:tc>
        <w:tc>
          <w:tcPr>
            <w:tcW w:w="1541" w:type="dxa"/>
            <w:vAlign w:val="bottom"/>
          </w:tcPr>
          <w:p w14:paraId="41A63717" w14:textId="77777777" w:rsidR="008E5DE4" w:rsidRDefault="008E5DE4">
            <w:pPr>
              <w:widowControl w:val="0"/>
              <w:pBdr>
                <w:top w:val="nil"/>
                <w:left w:val="nil"/>
                <w:bottom w:val="nil"/>
                <w:right w:val="nil"/>
                <w:between w:val="nil"/>
              </w:pBdr>
              <w:jc w:val="right"/>
              <w:rPr>
                <w:color w:val="000000"/>
              </w:rPr>
            </w:pPr>
          </w:p>
        </w:tc>
        <w:tc>
          <w:tcPr>
            <w:tcW w:w="1541" w:type="dxa"/>
            <w:vAlign w:val="bottom"/>
          </w:tcPr>
          <w:p w14:paraId="209C5775" w14:textId="77777777" w:rsidR="008E5DE4" w:rsidRDefault="008E5DE4">
            <w:pPr>
              <w:widowControl w:val="0"/>
              <w:pBdr>
                <w:top w:val="nil"/>
                <w:left w:val="nil"/>
                <w:bottom w:val="nil"/>
                <w:right w:val="nil"/>
                <w:between w:val="nil"/>
              </w:pBdr>
              <w:jc w:val="right"/>
              <w:rPr>
                <w:color w:val="000000"/>
              </w:rPr>
            </w:pPr>
          </w:p>
        </w:tc>
      </w:tr>
      <w:tr w:rsidR="008E5DE4" w14:paraId="46FD4CFE" w14:textId="77777777">
        <w:trPr>
          <w:cantSplit/>
        </w:trPr>
        <w:tc>
          <w:tcPr>
            <w:tcW w:w="6335" w:type="dxa"/>
            <w:vAlign w:val="bottom"/>
          </w:tcPr>
          <w:p w14:paraId="63161F67" w14:textId="77777777" w:rsidR="008E5DE4" w:rsidRDefault="00780368">
            <w:pPr>
              <w:widowControl w:val="0"/>
              <w:pBdr>
                <w:top w:val="nil"/>
                <w:left w:val="nil"/>
                <w:bottom w:val="nil"/>
                <w:right w:val="nil"/>
                <w:between w:val="nil"/>
              </w:pBdr>
              <w:ind w:left="113" w:right="-57" w:hanging="113"/>
              <w:rPr>
                <w:color w:val="000000"/>
              </w:rPr>
            </w:pPr>
            <w:r>
              <w:rPr>
                <w:color w:val="000000"/>
              </w:rPr>
              <w:t>Revaluation reserve for property, plant and equipment</w:t>
            </w:r>
          </w:p>
        </w:tc>
        <w:tc>
          <w:tcPr>
            <w:tcW w:w="1541" w:type="dxa"/>
            <w:vAlign w:val="bottom"/>
          </w:tcPr>
          <w:p w14:paraId="62BFAB93" w14:textId="77777777" w:rsidR="008E5DE4" w:rsidRDefault="008E5DE4">
            <w:pPr>
              <w:widowControl w:val="0"/>
              <w:pBdr>
                <w:top w:val="nil"/>
                <w:left w:val="nil"/>
                <w:bottom w:val="nil"/>
                <w:right w:val="nil"/>
                <w:between w:val="nil"/>
              </w:pBdr>
              <w:jc w:val="right"/>
              <w:rPr>
                <w:color w:val="000000"/>
              </w:rPr>
            </w:pPr>
          </w:p>
        </w:tc>
        <w:tc>
          <w:tcPr>
            <w:tcW w:w="1541" w:type="dxa"/>
            <w:vAlign w:val="bottom"/>
          </w:tcPr>
          <w:p w14:paraId="6E261B96" w14:textId="77777777" w:rsidR="008E5DE4" w:rsidRDefault="008E5DE4">
            <w:pPr>
              <w:widowControl w:val="0"/>
              <w:pBdr>
                <w:top w:val="nil"/>
                <w:left w:val="nil"/>
                <w:bottom w:val="nil"/>
                <w:right w:val="nil"/>
                <w:between w:val="nil"/>
              </w:pBdr>
              <w:jc w:val="right"/>
              <w:rPr>
                <w:color w:val="000000"/>
              </w:rPr>
            </w:pPr>
          </w:p>
        </w:tc>
      </w:tr>
      <w:tr w:rsidR="008E5DE4" w14:paraId="63FB2B45" w14:textId="77777777">
        <w:trPr>
          <w:cantSplit/>
        </w:trPr>
        <w:tc>
          <w:tcPr>
            <w:tcW w:w="6335" w:type="dxa"/>
            <w:vAlign w:val="bottom"/>
          </w:tcPr>
          <w:p w14:paraId="7E7F7DB8" w14:textId="77777777" w:rsidR="008E5DE4" w:rsidRDefault="00780368">
            <w:pPr>
              <w:widowControl w:val="0"/>
              <w:pBdr>
                <w:top w:val="nil"/>
                <w:left w:val="nil"/>
                <w:bottom w:val="nil"/>
                <w:right w:val="nil"/>
                <w:between w:val="nil"/>
              </w:pBdr>
              <w:ind w:left="113" w:right="-57" w:hanging="113"/>
              <w:rPr>
                <w:color w:val="000000"/>
              </w:rPr>
            </w:pPr>
            <w:r>
              <w:rPr>
                <w:color w:val="000000"/>
              </w:rPr>
              <w:t>Currency translation reserve</w:t>
            </w:r>
          </w:p>
        </w:tc>
        <w:tc>
          <w:tcPr>
            <w:tcW w:w="1541" w:type="dxa"/>
            <w:vAlign w:val="bottom"/>
          </w:tcPr>
          <w:p w14:paraId="7C06E6B0" w14:textId="77777777" w:rsidR="008E5DE4" w:rsidRDefault="008E5DE4">
            <w:pPr>
              <w:widowControl w:val="0"/>
              <w:pBdr>
                <w:top w:val="nil"/>
                <w:left w:val="nil"/>
                <w:bottom w:val="nil"/>
                <w:right w:val="nil"/>
                <w:between w:val="nil"/>
              </w:pBdr>
              <w:jc w:val="right"/>
              <w:rPr>
                <w:color w:val="000000"/>
              </w:rPr>
            </w:pPr>
          </w:p>
        </w:tc>
        <w:tc>
          <w:tcPr>
            <w:tcW w:w="1541" w:type="dxa"/>
            <w:vAlign w:val="bottom"/>
          </w:tcPr>
          <w:p w14:paraId="2FCCEF0A" w14:textId="77777777" w:rsidR="008E5DE4" w:rsidRDefault="008E5DE4">
            <w:pPr>
              <w:widowControl w:val="0"/>
              <w:pBdr>
                <w:top w:val="nil"/>
                <w:left w:val="nil"/>
                <w:bottom w:val="nil"/>
                <w:right w:val="nil"/>
                <w:between w:val="nil"/>
              </w:pBdr>
              <w:jc w:val="right"/>
              <w:rPr>
                <w:color w:val="000000"/>
              </w:rPr>
            </w:pPr>
          </w:p>
        </w:tc>
      </w:tr>
      <w:tr w:rsidR="008E5DE4" w14:paraId="08DAD695" w14:textId="77777777">
        <w:trPr>
          <w:cantSplit/>
        </w:trPr>
        <w:tc>
          <w:tcPr>
            <w:tcW w:w="6335" w:type="dxa"/>
            <w:tcBorders>
              <w:bottom w:val="single" w:sz="12" w:space="0" w:color="000000"/>
            </w:tcBorders>
            <w:vAlign w:val="bottom"/>
          </w:tcPr>
          <w:p w14:paraId="35B7F1B3" w14:textId="77777777" w:rsidR="008E5DE4" w:rsidRDefault="00780368">
            <w:pPr>
              <w:widowControl w:val="0"/>
              <w:ind w:left="113" w:right="-57" w:hanging="113"/>
            </w:pPr>
            <w:r>
              <w:t> </w:t>
            </w:r>
          </w:p>
        </w:tc>
        <w:tc>
          <w:tcPr>
            <w:tcW w:w="1541" w:type="dxa"/>
            <w:tcBorders>
              <w:bottom w:val="single" w:sz="12" w:space="0" w:color="000000"/>
            </w:tcBorders>
            <w:vAlign w:val="bottom"/>
          </w:tcPr>
          <w:p w14:paraId="6CC02EA0" w14:textId="77777777" w:rsidR="008E5DE4" w:rsidRDefault="008E5DE4">
            <w:pPr>
              <w:widowControl w:val="0"/>
              <w:pBdr>
                <w:top w:val="nil"/>
                <w:left w:val="nil"/>
                <w:bottom w:val="nil"/>
                <w:right w:val="nil"/>
                <w:between w:val="nil"/>
              </w:pBdr>
              <w:jc w:val="right"/>
              <w:rPr>
                <w:b/>
                <w:color w:val="000000"/>
              </w:rPr>
            </w:pPr>
          </w:p>
        </w:tc>
        <w:tc>
          <w:tcPr>
            <w:tcW w:w="1541" w:type="dxa"/>
            <w:tcBorders>
              <w:bottom w:val="single" w:sz="12" w:space="0" w:color="000000"/>
            </w:tcBorders>
            <w:vAlign w:val="bottom"/>
          </w:tcPr>
          <w:p w14:paraId="23C99EB9" w14:textId="77777777" w:rsidR="008E5DE4" w:rsidRDefault="008E5DE4">
            <w:pPr>
              <w:widowControl w:val="0"/>
              <w:pBdr>
                <w:top w:val="nil"/>
                <w:left w:val="nil"/>
                <w:bottom w:val="nil"/>
                <w:right w:val="nil"/>
                <w:between w:val="nil"/>
              </w:pBdr>
              <w:jc w:val="right"/>
              <w:rPr>
                <w:b/>
                <w:color w:val="000000"/>
              </w:rPr>
            </w:pPr>
          </w:p>
        </w:tc>
      </w:tr>
    </w:tbl>
    <w:p w14:paraId="4E66CE85" w14:textId="11C81403" w:rsidR="008E5DE4" w:rsidRDefault="00C07603" w:rsidP="007F183E">
      <w:pPr>
        <w:pStyle w:val="Heading1"/>
        <w:pageBreakBefore/>
        <w:numPr>
          <w:ilvl w:val="0"/>
          <w:numId w:val="0"/>
        </w:numPr>
        <w:spacing w:before="0"/>
        <w:ind w:left="567" w:hanging="567"/>
      </w:pPr>
      <w:bookmarkStart w:id="47" w:name="_Toc149923627"/>
      <w:r>
        <w:lastRenderedPageBreak/>
        <w:t xml:space="preserve">28 </w:t>
      </w:r>
      <w:r>
        <w:tab/>
      </w:r>
      <w:r w:rsidR="00780368">
        <w:t>Borrowings</w:t>
      </w:r>
      <w:bookmarkEnd w:id="47"/>
    </w:p>
    <w:p w14:paraId="590DAD97" w14:textId="4FCC3653"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19611C3B"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Recognition and measurement.</w:t>
      </w:r>
      <w:r>
        <w:rPr>
          <w:color w:val="000000"/>
          <w:sz w:val="20"/>
          <w:szCs w:val="20"/>
        </w:rPr>
        <w:t xml:space="preserve"> Borrowings are recognised initially at fair value, net of transaction costs incurred, and are subsequently carried at AC using the effective interest method, unless they are designated at FVTPL at initial recognition. </w:t>
      </w:r>
    </w:p>
    <w:p w14:paraId="3D84B33D"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Borrowings designated at FVTPL at initial recognition. </w:t>
      </w:r>
      <w:r>
        <w:rPr>
          <w:color w:val="000000"/>
          <w:sz w:val="20"/>
          <w:szCs w:val="20"/>
        </w:rPr>
        <w:t>The Group may designate certain borrowings at FVTPL at initial recognition, either when it eliminates or significantly reduces a measurement or recognition inconsistency (‘an accounting mismatch’) that would otherwise arise from measuring assets or liabilities or recognising the gains and losses on them on different bases, or when the borrowing contains one or more embedded derivatives, subject to meeting the relevant conditions in IFRS 9.</w:t>
      </w:r>
    </w:p>
    <w:p w14:paraId="26DD00A8" w14:textId="1EB5C55D" w:rsidR="008E5DE4" w:rsidRDefault="00780368">
      <w:pPr>
        <w:widowControl w:val="0"/>
        <w:pBdr>
          <w:top w:val="nil"/>
          <w:left w:val="nil"/>
          <w:bottom w:val="nil"/>
          <w:right w:val="nil"/>
          <w:between w:val="nil"/>
        </w:pBdr>
        <w:shd w:val="clear" w:color="auto" w:fill="C6D9F1"/>
        <w:spacing w:before="200" w:after="200"/>
        <w:jc w:val="both"/>
        <w:rPr>
          <w:i/>
          <w:color w:val="FF0000"/>
          <w:sz w:val="20"/>
          <w:szCs w:val="20"/>
        </w:rPr>
      </w:pPr>
      <w:r>
        <w:rPr>
          <w:color w:val="000000"/>
          <w:sz w:val="20"/>
          <w:szCs w:val="20"/>
        </w:rPr>
        <w:t>Gains and losses on such liabilities are presented in profit or loss except for the amount of change in the fair value that is attributable to changes in the credit risk of that liability (determined as the amount that is not attributable to changes in market conditions that give rise to market risk), which is recorded in OCI and is not subsequently reclassified to profit or loss. This is unless such a presentation would create, or enlarge, an accounting mismatch, in which case the gains and losses attributable to changes in credit risk of the liability are also presented in profit or loss.</w:t>
      </w:r>
    </w:p>
    <w:p w14:paraId="076EEA2D" w14:textId="35DBF4F2"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Embedded derivatives. </w:t>
      </w:r>
      <w:r>
        <w:rPr>
          <w:color w:val="000000"/>
          <w:sz w:val="20"/>
          <w:szCs w:val="20"/>
        </w:rPr>
        <w:t>Certain derivative instruments embedded in financial liabilities and other non-financial contracts are treated as separate derivative instruments when their risks and characteristics are not closely related to those of the host contract.</w:t>
      </w:r>
      <w:r>
        <w:rPr>
          <w:i/>
          <w:color w:val="FF0000"/>
          <w:sz w:val="20"/>
          <w:szCs w:val="20"/>
        </w:rPr>
        <w:t xml:space="preserve"> </w:t>
      </w:r>
    </w:p>
    <w:p w14:paraId="451A7C37"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Derecognition. </w:t>
      </w:r>
      <w:r>
        <w:rPr>
          <w:color w:val="000000"/>
          <w:sz w:val="20"/>
          <w:szCs w:val="20"/>
        </w:rPr>
        <w:t>Financial liabilities are derecognised when they are extinguished (i.e. when the obligation specified in the contract is discharged, cancelled or expires).</w:t>
      </w:r>
    </w:p>
    <w:p w14:paraId="241C28D7"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An exchange between the Group and its original lenders of borrowings with substantially different terms, as well as substantial modifications of the terms and conditions of existing borrowings, are accounted for as an extinguishment of the original financial liability and the recognition of a new financial liability. The terms are substantially different if the discounted present value of the cash flows under the new terms, including any fees paid net of any fees received and discounted using the original effective interest rate, is at least 10% different from the discounted present value of the remaining cash flows of the original financial liability. </w:t>
      </w:r>
      <w:r>
        <w:rPr>
          <w:color w:val="0000FF"/>
          <w:sz w:val="20"/>
          <w:szCs w:val="20"/>
        </w:rPr>
        <w:t>[In addition, other qualitative factors, such as the currency that the instrument is denominated in, changes in the type of interest rate, new conversion features attached to the instrument and change in loan covenants are also considered.]</w:t>
      </w:r>
      <w:r>
        <w:rPr>
          <w:color w:val="000000"/>
          <w:sz w:val="20"/>
          <w:szCs w:val="20"/>
        </w:rPr>
        <w:t xml:space="preserve"> If an exchange of borrowings or modification of terms is accounted for as an extinguishment, any costs or fees incurred are recognised as part of the gain or loss on the extinguishment. If the exchange or modification is not accounted for as an extinguishment, any costs or fees incurred adjust the carrying amount of the liability and are amortised over the remaining term of the modified liability.</w:t>
      </w:r>
    </w:p>
    <w:p w14:paraId="6757984B"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28</w:t>
      </w:r>
      <w:r>
        <w:rPr>
          <w:b/>
          <w:color w:val="000000"/>
          <w:sz w:val="20"/>
          <w:szCs w:val="20"/>
        </w:rPr>
        <w:tab/>
        <w:t>Borrowings (Continued)</w:t>
      </w:r>
    </w:p>
    <w:p w14:paraId="41C4FC4A" w14:textId="688FB388" w:rsidR="008E5DE4" w:rsidRPr="006C0F26" w:rsidRDefault="00780368" w:rsidP="006C0F26">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Modifications of borrowings that do not result in extinguishment are accounted for as a change in estimate using a cumulative catch-up method, with any gain or loss recognised in profit or loss, unless the economic substance of the difference in carrying values is attributed to a capital transaction with owners.</w:t>
      </w:r>
    </w:p>
    <w:tbl>
      <w:tblPr>
        <w:tblStyle w:val="afffffffff6"/>
        <w:tblW w:w="9355" w:type="dxa"/>
        <w:tblLayout w:type="fixed"/>
        <w:tblLook w:val="0000" w:firstRow="0" w:lastRow="0" w:firstColumn="0" w:lastColumn="0" w:noHBand="0" w:noVBand="0"/>
      </w:tblPr>
      <w:tblGrid>
        <w:gridCol w:w="6293"/>
        <w:gridCol w:w="1531"/>
        <w:gridCol w:w="1531"/>
      </w:tblGrid>
      <w:tr w:rsidR="008E5DE4" w14:paraId="2F672D7B" w14:textId="77777777">
        <w:trPr>
          <w:cantSplit/>
        </w:trPr>
        <w:tc>
          <w:tcPr>
            <w:tcW w:w="6293" w:type="dxa"/>
            <w:tcBorders>
              <w:bottom w:val="single" w:sz="4" w:space="0" w:color="000000"/>
            </w:tcBorders>
            <w:vAlign w:val="bottom"/>
          </w:tcPr>
          <w:p w14:paraId="3D0F68DE"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531" w:type="dxa"/>
            <w:tcBorders>
              <w:bottom w:val="single" w:sz="4" w:space="0" w:color="000000"/>
            </w:tcBorders>
            <w:vAlign w:val="bottom"/>
          </w:tcPr>
          <w:p w14:paraId="1336D927" w14:textId="150228D0"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3A35721A" w14:textId="6DAD6125"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6DF87EF5" w14:textId="77777777">
        <w:trPr>
          <w:cantSplit/>
        </w:trPr>
        <w:tc>
          <w:tcPr>
            <w:tcW w:w="6293" w:type="dxa"/>
            <w:vAlign w:val="bottom"/>
          </w:tcPr>
          <w:p w14:paraId="24489FF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vAlign w:val="bottom"/>
          </w:tcPr>
          <w:p w14:paraId="112D061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74E9D62" w14:textId="77777777" w:rsidR="008E5DE4" w:rsidRDefault="008E5DE4">
            <w:pPr>
              <w:widowControl w:val="0"/>
              <w:pBdr>
                <w:top w:val="nil"/>
                <w:left w:val="nil"/>
                <w:bottom w:val="nil"/>
                <w:right w:val="nil"/>
                <w:between w:val="nil"/>
              </w:pBdr>
              <w:jc w:val="right"/>
              <w:rPr>
                <w:color w:val="000000"/>
              </w:rPr>
            </w:pPr>
          </w:p>
        </w:tc>
      </w:tr>
      <w:tr w:rsidR="008E5DE4" w14:paraId="2B044BAB" w14:textId="77777777">
        <w:trPr>
          <w:cantSplit/>
        </w:trPr>
        <w:tc>
          <w:tcPr>
            <w:tcW w:w="6293" w:type="dxa"/>
            <w:vAlign w:val="bottom"/>
          </w:tcPr>
          <w:p w14:paraId="712B6C5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Bank overdrafts </w:t>
            </w:r>
          </w:p>
        </w:tc>
        <w:tc>
          <w:tcPr>
            <w:tcW w:w="1531" w:type="dxa"/>
            <w:vAlign w:val="bottom"/>
          </w:tcPr>
          <w:p w14:paraId="29E8692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417AAE7" w14:textId="77777777" w:rsidR="008E5DE4" w:rsidRDefault="008E5DE4">
            <w:pPr>
              <w:widowControl w:val="0"/>
              <w:pBdr>
                <w:top w:val="nil"/>
                <w:left w:val="nil"/>
                <w:bottom w:val="nil"/>
                <w:right w:val="nil"/>
                <w:between w:val="nil"/>
              </w:pBdr>
              <w:jc w:val="right"/>
              <w:rPr>
                <w:color w:val="000000"/>
              </w:rPr>
            </w:pPr>
          </w:p>
        </w:tc>
      </w:tr>
      <w:tr w:rsidR="008E5DE4" w14:paraId="6B6D9545" w14:textId="77777777">
        <w:trPr>
          <w:cantSplit/>
        </w:trPr>
        <w:tc>
          <w:tcPr>
            <w:tcW w:w="6293" w:type="dxa"/>
            <w:vAlign w:val="bottom"/>
          </w:tcPr>
          <w:p w14:paraId="5ED79A3D" w14:textId="77777777" w:rsidR="008E5DE4" w:rsidRDefault="00780368">
            <w:pPr>
              <w:widowControl w:val="0"/>
              <w:pBdr>
                <w:top w:val="nil"/>
                <w:left w:val="nil"/>
                <w:bottom w:val="nil"/>
                <w:right w:val="nil"/>
                <w:between w:val="nil"/>
              </w:pBdr>
              <w:ind w:left="113" w:right="-57" w:hanging="113"/>
              <w:rPr>
                <w:color w:val="000000"/>
              </w:rPr>
            </w:pPr>
            <w:r>
              <w:rPr>
                <w:color w:val="000000"/>
              </w:rPr>
              <w:t>Term loans</w:t>
            </w:r>
          </w:p>
        </w:tc>
        <w:tc>
          <w:tcPr>
            <w:tcW w:w="1531" w:type="dxa"/>
            <w:vAlign w:val="bottom"/>
          </w:tcPr>
          <w:p w14:paraId="1044FC1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186CCDA" w14:textId="77777777" w:rsidR="008E5DE4" w:rsidRDefault="008E5DE4">
            <w:pPr>
              <w:widowControl w:val="0"/>
              <w:pBdr>
                <w:top w:val="nil"/>
                <w:left w:val="nil"/>
                <w:bottom w:val="nil"/>
                <w:right w:val="nil"/>
                <w:between w:val="nil"/>
              </w:pBdr>
              <w:jc w:val="right"/>
              <w:rPr>
                <w:color w:val="000000"/>
              </w:rPr>
            </w:pPr>
          </w:p>
        </w:tc>
      </w:tr>
      <w:tr w:rsidR="008E5DE4" w14:paraId="4BE1BB01" w14:textId="77777777">
        <w:trPr>
          <w:cantSplit/>
        </w:trPr>
        <w:tc>
          <w:tcPr>
            <w:tcW w:w="6293" w:type="dxa"/>
            <w:vAlign w:val="bottom"/>
          </w:tcPr>
          <w:p w14:paraId="66045C3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Promissory notes issued </w:t>
            </w:r>
          </w:p>
        </w:tc>
        <w:tc>
          <w:tcPr>
            <w:tcW w:w="1531" w:type="dxa"/>
            <w:vAlign w:val="bottom"/>
          </w:tcPr>
          <w:p w14:paraId="5053B12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5C118D0" w14:textId="77777777" w:rsidR="008E5DE4" w:rsidRDefault="008E5DE4">
            <w:pPr>
              <w:widowControl w:val="0"/>
              <w:pBdr>
                <w:top w:val="nil"/>
                <w:left w:val="nil"/>
                <w:bottom w:val="nil"/>
                <w:right w:val="nil"/>
                <w:between w:val="nil"/>
              </w:pBdr>
              <w:jc w:val="right"/>
              <w:rPr>
                <w:color w:val="000000"/>
              </w:rPr>
            </w:pPr>
          </w:p>
        </w:tc>
      </w:tr>
      <w:tr w:rsidR="008E5DE4" w14:paraId="1B1974FB" w14:textId="77777777">
        <w:trPr>
          <w:cantSplit/>
        </w:trPr>
        <w:tc>
          <w:tcPr>
            <w:tcW w:w="6293" w:type="dxa"/>
            <w:vAlign w:val="bottom"/>
          </w:tcPr>
          <w:p w14:paraId="2DCFEE3B" w14:textId="77777777" w:rsidR="008E5DE4" w:rsidRDefault="00780368">
            <w:pPr>
              <w:widowControl w:val="0"/>
              <w:pBdr>
                <w:top w:val="nil"/>
                <w:left w:val="nil"/>
                <w:bottom w:val="nil"/>
                <w:right w:val="nil"/>
                <w:between w:val="nil"/>
              </w:pBdr>
              <w:ind w:left="113" w:right="-57" w:hanging="113"/>
              <w:rPr>
                <w:color w:val="000000"/>
              </w:rPr>
            </w:pPr>
            <w:r>
              <w:rPr>
                <w:color w:val="000000"/>
              </w:rPr>
              <w:t>Eurobonds</w:t>
            </w:r>
          </w:p>
        </w:tc>
        <w:tc>
          <w:tcPr>
            <w:tcW w:w="1531" w:type="dxa"/>
            <w:vAlign w:val="bottom"/>
          </w:tcPr>
          <w:p w14:paraId="1CF3113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3E96020" w14:textId="77777777" w:rsidR="008E5DE4" w:rsidRDefault="008E5DE4">
            <w:pPr>
              <w:widowControl w:val="0"/>
              <w:pBdr>
                <w:top w:val="nil"/>
                <w:left w:val="nil"/>
                <w:bottom w:val="nil"/>
                <w:right w:val="nil"/>
                <w:between w:val="nil"/>
              </w:pBdr>
              <w:jc w:val="right"/>
              <w:rPr>
                <w:color w:val="000000"/>
              </w:rPr>
            </w:pPr>
          </w:p>
        </w:tc>
      </w:tr>
      <w:tr w:rsidR="008E5DE4" w14:paraId="650410AB" w14:textId="77777777">
        <w:trPr>
          <w:cantSplit/>
        </w:trPr>
        <w:tc>
          <w:tcPr>
            <w:tcW w:w="6293" w:type="dxa"/>
            <w:vAlign w:val="bottom"/>
          </w:tcPr>
          <w:p w14:paraId="3AA9945B" w14:textId="77777777" w:rsidR="008E5DE4" w:rsidRDefault="00780368">
            <w:pPr>
              <w:widowControl w:val="0"/>
              <w:pBdr>
                <w:top w:val="nil"/>
                <w:left w:val="nil"/>
                <w:bottom w:val="nil"/>
                <w:right w:val="nil"/>
                <w:between w:val="nil"/>
              </w:pBdr>
              <w:ind w:left="113" w:right="-57" w:hanging="113"/>
              <w:rPr>
                <w:color w:val="000000"/>
              </w:rPr>
            </w:pPr>
            <w:r>
              <w:rPr>
                <w:color w:val="000000"/>
              </w:rPr>
              <w:t>Sale and repurchase agreements</w:t>
            </w:r>
          </w:p>
        </w:tc>
        <w:tc>
          <w:tcPr>
            <w:tcW w:w="1531" w:type="dxa"/>
            <w:vAlign w:val="bottom"/>
          </w:tcPr>
          <w:p w14:paraId="16AD325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D71E252" w14:textId="77777777" w:rsidR="008E5DE4" w:rsidRDefault="008E5DE4">
            <w:pPr>
              <w:widowControl w:val="0"/>
              <w:pBdr>
                <w:top w:val="nil"/>
                <w:left w:val="nil"/>
                <w:bottom w:val="nil"/>
                <w:right w:val="nil"/>
                <w:between w:val="nil"/>
              </w:pBdr>
              <w:jc w:val="right"/>
              <w:rPr>
                <w:color w:val="000000"/>
              </w:rPr>
            </w:pPr>
          </w:p>
        </w:tc>
      </w:tr>
      <w:tr w:rsidR="008E5DE4" w14:paraId="613DA0BD" w14:textId="77777777">
        <w:trPr>
          <w:cantSplit/>
        </w:trPr>
        <w:tc>
          <w:tcPr>
            <w:tcW w:w="6293" w:type="dxa"/>
            <w:tcBorders>
              <w:bottom w:val="single" w:sz="4" w:space="0" w:color="000000"/>
            </w:tcBorders>
            <w:vAlign w:val="bottom"/>
          </w:tcPr>
          <w:p w14:paraId="680068C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Borders>
              <w:bottom w:val="single" w:sz="4" w:space="0" w:color="000000"/>
            </w:tcBorders>
            <w:vAlign w:val="bottom"/>
          </w:tcPr>
          <w:p w14:paraId="72BF9EE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C3F3E16" w14:textId="77777777" w:rsidR="008E5DE4" w:rsidRDefault="008E5DE4">
            <w:pPr>
              <w:widowControl w:val="0"/>
              <w:pBdr>
                <w:top w:val="nil"/>
                <w:left w:val="nil"/>
                <w:bottom w:val="nil"/>
                <w:right w:val="nil"/>
                <w:between w:val="nil"/>
              </w:pBdr>
              <w:jc w:val="right"/>
              <w:rPr>
                <w:color w:val="000000"/>
              </w:rPr>
            </w:pPr>
          </w:p>
        </w:tc>
      </w:tr>
      <w:tr w:rsidR="008E5DE4" w14:paraId="5BF3C7FB" w14:textId="77777777">
        <w:trPr>
          <w:cantSplit/>
        </w:trPr>
        <w:tc>
          <w:tcPr>
            <w:tcW w:w="6293" w:type="dxa"/>
            <w:tcBorders>
              <w:top w:val="single" w:sz="4" w:space="0" w:color="000000"/>
            </w:tcBorders>
            <w:vAlign w:val="bottom"/>
          </w:tcPr>
          <w:p w14:paraId="144C6F3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Borders>
              <w:top w:val="single" w:sz="4" w:space="0" w:color="000000"/>
            </w:tcBorders>
            <w:vAlign w:val="bottom"/>
          </w:tcPr>
          <w:p w14:paraId="5352804B"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F10A0C1" w14:textId="77777777" w:rsidR="008E5DE4" w:rsidRDefault="008E5DE4">
            <w:pPr>
              <w:widowControl w:val="0"/>
              <w:pBdr>
                <w:top w:val="nil"/>
                <w:left w:val="nil"/>
                <w:bottom w:val="nil"/>
                <w:right w:val="nil"/>
                <w:between w:val="nil"/>
              </w:pBdr>
              <w:jc w:val="right"/>
              <w:rPr>
                <w:color w:val="000000"/>
              </w:rPr>
            </w:pPr>
          </w:p>
        </w:tc>
      </w:tr>
      <w:tr w:rsidR="008E5DE4" w14:paraId="1127B34E" w14:textId="77777777">
        <w:trPr>
          <w:cantSplit/>
        </w:trPr>
        <w:tc>
          <w:tcPr>
            <w:tcW w:w="6293" w:type="dxa"/>
            <w:vAlign w:val="bottom"/>
          </w:tcPr>
          <w:p w14:paraId="324BC70B"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borrowings</w:t>
            </w:r>
          </w:p>
        </w:tc>
        <w:tc>
          <w:tcPr>
            <w:tcW w:w="1531" w:type="dxa"/>
            <w:vAlign w:val="bottom"/>
          </w:tcPr>
          <w:p w14:paraId="201FC930"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7E760841" w14:textId="77777777" w:rsidR="008E5DE4" w:rsidRDefault="008E5DE4">
            <w:pPr>
              <w:widowControl w:val="0"/>
              <w:pBdr>
                <w:top w:val="nil"/>
                <w:left w:val="nil"/>
                <w:bottom w:val="nil"/>
                <w:right w:val="nil"/>
                <w:between w:val="nil"/>
              </w:pBdr>
              <w:jc w:val="right"/>
              <w:rPr>
                <w:b/>
                <w:smallCaps/>
                <w:color w:val="000000"/>
              </w:rPr>
            </w:pPr>
          </w:p>
        </w:tc>
      </w:tr>
      <w:tr w:rsidR="008E5DE4" w14:paraId="7C6D83F2" w14:textId="77777777">
        <w:trPr>
          <w:cantSplit/>
        </w:trPr>
        <w:tc>
          <w:tcPr>
            <w:tcW w:w="6293" w:type="dxa"/>
            <w:tcBorders>
              <w:bottom w:val="single" w:sz="12" w:space="0" w:color="000000"/>
            </w:tcBorders>
            <w:vAlign w:val="bottom"/>
          </w:tcPr>
          <w:p w14:paraId="3B167D65"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531" w:type="dxa"/>
            <w:tcBorders>
              <w:bottom w:val="single" w:sz="12" w:space="0" w:color="000000"/>
            </w:tcBorders>
            <w:vAlign w:val="bottom"/>
          </w:tcPr>
          <w:p w14:paraId="68D55F29" w14:textId="77777777" w:rsidR="008E5DE4" w:rsidRDefault="008E5DE4">
            <w:pPr>
              <w:widowControl w:val="0"/>
              <w:pBdr>
                <w:top w:val="nil"/>
                <w:left w:val="nil"/>
                <w:bottom w:val="nil"/>
                <w:right w:val="nil"/>
                <w:between w:val="nil"/>
              </w:pBdr>
              <w:jc w:val="right"/>
              <w:rPr>
                <w:b/>
                <w:smallCaps/>
                <w:color w:val="000000"/>
              </w:rPr>
            </w:pPr>
          </w:p>
        </w:tc>
        <w:tc>
          <w:tcPr>
            <w:tcW w:w="1531" w:type="dxa"/>
            <w:tcBorders>
              <w:bottom w:val="single" w:sz="12" w:space="0" w:color="000000"/>
            </w:tcBorders>
            <w:vAlign w:val="bottom"/>
          </w:tcPr>
          <w:p w14:paraId="5CB08F12" w14:textId="77777777" w:rsidR="008E5DE4" w:rsidRDefault="008E5DE4">
            <w:pPr>
              <w:widowControl w:val="0"/>
              <w:pBdr>
                <w:top w:val="nil"/>
                <w:left w:val="nil"/>
                <w:bottom w:val="nil"/>
                <w:right w:val="nil"/>
                <w:between w:val="nil"/>
              </w:pBdr>
              <w:jc w:val="right"/>
              <w:rPr>
                <w:b/>
                <w:smallCaps/>
                <w:color w:val="000000"/>
              </w:rPr>
            </w:pPr>
          </w:p>
        </w:tc>
      </w:tr>
    </w:tbl>
    <w:p w14:paraId="106BD606"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Group’s borrowings are denominated in currencies as follows:</w:t>
      </w:r>
    </w:p>
    <w:tbl>
      <w:tblPr>
        <w:tblStyle w:val="afffffffff7"/>
        <w:tblW w:w="9355" w:type="dxa"/>
        <w:tblLayout w:type="fixed"/>
        <w:tblLook w:val="0000" w:firstRow="0" w:lastRow="0" w:firstColumn="0" w:lastColumn="0" w:noHBand="0" w:noVBand="0"/>
      </w:tblPr>
      <w:tblGrid>
        <w:gridCol w:w="6293"/>
        <w:gridCol w:w="1531"/>
        <w:gridCol w:w="1531"/>
      </w:tblGrid>
      <w:tr w:rsidR="008E5DE4" w14:paraId="70DE5F4C" w14:textId="77777777">
        <w:trPr>
          <w:cantSplit/>
        </w:trPr>
        <w:tc>
          <w:tcPr>
            <w:tcW w:w="6293" w:type="dxa"/>
            <w:tcBorders>
              <w:bottom w:val="single" w:sz="4" w:space="0" w:color="000000"/>
            </w:tcBorders>
            <w:vAlign w:val="bottom"/>
          </w:tcPr>
          <w:p w14:paraId="13FE6871"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531" w:type="dxa"/>
            <w:tcBorders>
              <w:bottom w:val="single" w:sz="4" w:space="0" w:color="000000"/>
            </w:tcBorders>
            <w:vAlign w:val="bottom"/>
          </w:tcPr>
          <w:p w14:paraId="21F97CBC" w14:textId="2AFAD974"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7B330F49" w14:textId="476FFD81" w:rsidR="008E5DE4" w:rsidRDefault="00FF468A">
            <w:pPr>
              <w:widowControl w:val="0"/>
              <w:pBdr>
                <w:top w:val="nil"/>
                <w:left w:val="nil"/>
                <w:bottom w:val="nil"/>
                <w:right w:val="nil"/>
                <w:between w:val="nil"/>
              </w:pBdr>
              <w:jc w:val="right"/>
              <w:rPr>
                <w:b/>
                <w:color w:val="000000"/>
              </w:rPr>
            </w:pPr>
            <w:r>
              <w:rPr>
                <w:b/>
                <w:color w:val="000000"/>
              </w:rPr>
              <w:t>2024</w:t>
            </w:r>
          </w:p>
        </w:tc>
      </w:tr>
      <w:tr w:rsidR="008E5DE4" w14:paraId="52D7EEDA" w14:textId="77777777">
        <w:trPr>
          <w:cantSplit/>
        </w:trPr>
        <w:tc>
          <w:tcPr>
            <w:tcW w:w="6293" w:type="dxa"/>
            <w:vAlign w:val="bottom"/>
          </w:tcPr>
          <w:p w14:paraId="1DFAE98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vAlign w:val="bottom"/>
          </w:tcPr>
          <w:p w14:paraId="3DDD06A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3551A1E" w14:textId="77777777" w:rsidR="008E5DE4" w:rsidRDefault="008E5DE4">
            <w:pPr>
              <w:widowControl w:val="0"/>
              <w:pBdr>
                <w:top w:val="nil"/>
                <w:left w:val="nil"/>
                <w:bottom w:val="nil"/>
                <w:right w:val="nil"/>
                <w:between w:val="nil"/>
              </w:pBdr>
              <w:jc w:val="right"/>
              <w:rPr>
                <w:color w:val="000000"/>
              </w:rPr>
            </w:pPr>
          </w:p>
        </w:tc>
      </w:tr>
      <w:tr w:rsidR="008E5DE4" w14:paraId="22056AE2" w14:textId="77777777">
        <w:trPr>
          <w:cantSplit/>
        </w:trPr>
        <w:tc>
          <w:tcPr>
            <w:tcW w:w="6293" w:type="dxa"/>
            <w:vAlign w:val="bottom"/>
          </w:tcPr>
          <w:p w14:paraId="40F307F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Borrowings denominated in: </w:t>
            </w:r>
            <w:r>
              <w:rPr>
                <w:color w:val="000000"/>
              </w:rPr>
              <w:tab/>
            </w:r>
          </w:p>
          <w:p w14:paraId="4686A391" w14:textId="77777777" w:rsidR="008E5DE4" w:rsidRDefault="00780368">
            <w:pPr>
              <w:widowControl w:val="0"/>
              <w:pBdr>
                <w:top w:val="nil"/>
                <w:left w:val="nil"/>
                <w:bottom w:val="nil"/>
                <w:right w:val="nil"/>
                <w:between w:val="nil"/>
              </w:pBdr>
              <w:ind w:left="113" w:right="-57" w:hanging="113"/>
              <w:rPr>
                <w:color w:val="000000"/>
              </w:rPr>
            </w:pPr>
            <w:r>
              <w:rPr>
                <w:color w:val="000000"/>
              </w:rPr>
              <w:t>- EUR</w:t>
            </w:r>
          </w:p>
        </w:tc>
        <w:tc>
          <w:tcPr>
            <w:tcW w:w="1531" w:type="dxa"/>
            <w:vAlign w:val="bottom"/>
          </w:tcPr>
          <w:p w14:paraId="363DDB0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E085DDA" w14:textId="77777777" w:rsidR="008E5DE4" w:rsidRDefault="008E5DE4">
            <w:pPr>
              <w:widowControl w:val="0"/>
              <w:pBdr>
                <w:top w:val="nil"/>
                <w:left w:val="nil"/>
                <w:bottom w:val="nil"/>
                <w:right w:val="nil"/>
                <w:between w:val="nil"/>
              </w:pBdr>
              <w:jc w:val="right"/>
              <w:rPr>
                <w:color w:val="000000"/>
              </w:rPr>
            </w:pPr>
          </w:p>
        </w:tc>
      </w:tr>
      <w:tr w:rsidR="008E5DE4" w14:paraId="1E92881C" w14:textId="77777777">
        <w:trPr>
          <w:cantSplit/>
        </w:trPr>
        <w:tc>
          <w:tcPr>
            <w:tcW w:w="6293" w:type="dxa"/>
            <w:vAlign w:val="bottom"/>
          </w:tcPr>
          <w:p w14:paraId="44E22F27" w14:textId="77777777" w:rsidR="008E5DE4" w:rsidRDefault="00780368">
            <w:pPr>
              <w:widowControl w:val="0"/>
              <w:pBdr>
                <w:top w:val="nil"/>
                <w:left w:val="nil"/>
                <w:bottom w:val="nil"/>
                <w:right w:val="nil"/>
                <w:between w:val="nil"/>
              </w:pBdr>
              <w:ind w:left="113" w:right="-57" w:hanging="113"/>
              <w:rPr>
                <w:color w:val="000000"/>
              </w:rPr>
            </w:pPr>
            <w:r>
              <w:rPr>
                <w:color w:val="000000"/>
              </w:rPr>
              <w:t>- US Dollars</w:t>
            </w:r>
          </w:p>
        </w:tc>
        <w:tc>
          <w:tcPr>
            <w:tcW w:w="1531" w:type="dxa"/>
            <w:vAlign w:val="bottom"/>
          </w:tcPr>
          <w:p w14:paraId="3437B6D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86E67D7" w14:textId="77777777" w:rsidR="008E5DE4" w:rsidRDefault="008E5DE4">
            <w:pPr>
              <w:widowControl w:val="0"/>
              <w:pBdr>
                <w:top w:val="nil"/>
                <w:left w:val="nil"/>
                <w:bottom w:val="nil"/>
                <w:right w:val="nil"/>
                <w:between w:val="nil"/>
              </w:pBdr>
              <w:jc w:val="right"/>
              <w:rPr>
                <w:color w:val="000000"/>
              </w:rPr>
            </w:pPr>
          </w:p>
        </w:tc>
      </w:tr>
      <w:tr w:rsidR="008E5DE4" w14:paraId="2914C7FE" w14:textId="77777777">
        <w:trPr>
          <w:cantSplit/>
        </w:trPr>
        <w:tc>
          <w:tcPr>
            <w:tcW w:w="6293" w:type="dxa"/>
            <w:vAlign w:val="bottom"/>
          </w:tcPr>
          <w:p w14:paraId="767C6E50" w14:textId="77777777" w:rsidR="008E5DE4" w:rsidRDefault="00780368">
            <w:pPr>
              <w:widowControl w:val="0"/>
              <w:pBdr>
                <w:top w:val="nil"/>
                <w:left w:val="nil"/>
                <w:bottom w:val="nil"/>
                <w:right w:val="nil"/>
                <w:between w:val="nil"/>
              </w:pBdr>
              <w:ind w:left="113" w:right="-57" w:hanging="113"/>
              <w:rPr>
                <w:color w:val="000000"/>
              </w:rPr>
            </w:pPr>
            <w:r>
              <w:rPr>
                <w:color w:val="000000"/>
              </w:rPr>
              <w:t>-  [   ]</w:t>
            </w:r>
          </w:p>
        </w:tc>
        <w:tc>
          <w:tcPr>
            <w:tcW w:w="1531" w:type="dxa"/>
            <w:vAlign w:val="bottom"/>
          </w:tcPr>
          <w:p w14:paraId="1EA0F29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F876AB1" w14:textId="77777777" w:rsidR="008E5DE4" w:rsidRDefault="008E5DE4">
            <w:pPr>
              <w:widowControl w:val="0"/>
              <w:pBdr>
                <w:top w:val="nil"/>
                <w:left w:val="nil"/>
                <w:bottom w:val="nil"/>
                <w:right w:val="nil"/>
                <w:between w:val="nil"/>
              </w:pBdr>
              <w:jc w:val="right"/>
              <w:rPr>
                <w:color w:val="000000"/>
              </w:rPr>
            </w:pPr>
          </w:p>
        </w:tc>
      </w:tr>
      <w:tr w:rsidR="008E5DE4" w14:paraId="3E97CE4F" w14:textId="77777777">
        <w:trPr>
          <w:cantSplit/>
        </w:trPr>
        <w:tc>
          <w:tcPr>
            <w:tcW w:w="6293" w:type="dxa"/>
            <w:vAlign w:val="bottom"/>
          </w:tcPr>
          <w:p w14:paraId="1D491DE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vAlign w:val="bottom"/>
          </w:tcPr>
          <w:p w14:paraId="190C534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8E46F8B" w14:textId="77777777" w:rsidR="008E5DE4" w:rsidRDefault="008E5DE4">
            <w:pPr>
              <w:widowControl w:val="0"/>
              <w:pBdr>
                <w:top w:val="nil"/>
                <w:left w:val="nil"/>
                <w:bottom w:val="nil"/>
                <w:right w:val="nil"/>
                <w:between w:val="nil"/>
              </w:pBdr>
              <w:jc w:val="right"/>
              <w:rPr>
                <w:color w:val="000000"/>
              </w:rPr>
            </w:pPr>
          </w:p>
        </w:tc>
      </w:tr>
      <w:tr w:rsidR="008E5DE4" w14:paraId="26DA15A0" w14:textId="77777777">
        <w:trPr>
          <w:cantSplit/>
        </w:trPr>
        <w:tc>
          <w:tcPr>
            <w:tcW w:w="6293" w:type="dxa"/>
            <w:tcBorders>
              <w:top w:val="single" w:sz="4" w:space="0" w:color="000000"/>
            </w:tcBorders>
            <w:vAlign w:val="bottom"/>
          </w:tcPr>
          <w:p w14:paraId="60D289F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Borders>
              <w:top w:val="single" w:sz="4" w:space="0" w:color="000000"/>
            </w:tcBorders>
            <w:vAlign w:val="bottom"/>
          </w:tcPr>
          <w:p w14:paraId="080467DC"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2C111833" w14:textId="77777777" w:rsidR="008E5DE4" w:rsidRDefault="008E5DE4">
            <w:pPr>
              <w:widowControl w:val="0"/>
              <w:pBdr>
                <w:top w:val="nil"/>
                <w:left w:val="nil"/>
                <w:bottom w:val="nil"/>
                <w:right w:val="nil"/>
                <w:between w:val="nil"/>
              </w:pBdr>
              <w:jc w:val="right"/>
              <w:rPr>
                <w:color w:val="000000"/>
              </w:rPr>
            </w:pPr>
          </w:p>
        </w:tc>
      </w:tr>
      <w:tr w:rsidR="008E5DE4" w14:paraId="1E8ADF31" w14:textId="77777777">
        <w:trPr>
          <w:cantSplit/>
        </w:trPr>
        <w:tc>
          <w:tcPr>
            <w:tcW w:w="6293" w:type="dxa"/>
            <w:vAlign w:val="bottom"/>
          </w:tcPr>
          <w:p w14:paraId="177C5E57"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borrowings </w:t>
            </w:r>
            <w:proofErr w:type="gramStart"/>
            <w:r>
              <w:rPr>
                <w:b/>
                <w:color w:val="000000"/>
              </w:rPr>
              <w:t>at</w:t>
            </w:r>
            <w:proofErr w:type="gramEnd"/>
            <w:r>
              <w:rPr>
                <w:b/>
                <w:color w:val="000000"/>
              </w:rPr>
              <w:t xml:space="preserve"> 31 December</w:t>
            </w:r>
          </w:p>
        </w:tc>
        <w:tc>
          <w:tcPr>
            <w:tcW w:w="1531" w:type="dxa"/>
            <w:vAlign w:val="bottom"/>
          </w:tcPr>
          <w:p w14:paraId="193BE076"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291ED2D4" w14:textId="77777777" w:rsidR="008E5DE4" w:rsidRDefault="008E5DE4">
            <w:pPr>
              <w:widowControl w:val="0"/>
              <w:pBdr>
                <w:top w:val="nil"/>
                <w:left w:val="nil"/>
                <w:bottom w:val="nil"/>
                <w:right w:val="nil"/>
                <w:between w:val="nil"/>
              </w:pBdr>
              <w:jc w:val="right"/>
              <w:rPr>
                <w:b/>
                <w:smallCaps/>
                <w:color w:val="000000"/>
              </w:rPr>
            </w:pPr>
          </w:p>
        </w:tc>
      </w:tr>
      <w:tr w:rsidR="008E5DE4" w14:paraId="2D3FFFE4" w14:textId="77777777">
        <w:trPr>
          <w:cantSplit/>
        </w:trPr>
        <w:tc>
          <w:tcPr>
            <w:tcW w:w="6293" w:type="dxa"/>
            <w:tcBorders>
              <w:bottom w:val="single" w:sz="12" w:space="0" w:color="000000"/>
            </w:tcBorders>
            <w:vAlign w:val="bottom"/>
          </w:tcPr>
          <w:p w14:paraId="50A11BEA"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1531" w:type="dxa"/>
            <w:tcBorders>
              <w:bottom w:val="single" w:sz="12" w:space="0" w:color="000000"/>
            </w:tcBorders>
            <w:vAlign w:val="bottom"/>
          </w:tcPr>
          <w:p w14:paraId="4FB8B3ED" w14:textId="77777777" w:rsidR="008E5DE4" w:rsidRDefault="008E5DE4">
            <w:pPr>
              <w:widowControl w:val="0"/>
              <w:pBdr>
                <w:top w:val="nil"/>
                <w:left w:val="nil"/>
                <w:bottom w:val="nil"/>
                <w:right w:val="nil"/>
                <w:between w:val="nil"/>
              </w:pBdr>
              <w:jc w:val="right"/>
              <w:rPr>
                <w:b/>
                <w:smallCaps/>
                <w:color w:val="000000"/>
              </w:rPr>
            </w:pPr>
          </w:p>
        </w:tc>
        <w:tc>
          <w:tcPr>
            <w:tcW w:w="1531" w:type="dxa"/>
            <w:tcBorders>
              <w:bottom w:val="single" w:sz="12" w:space="0" w:color="000000"/>
            </w:tcBorders>
            <w:vAlign w:val="bottom"/>
          </w:tcPr>
          <w:p w14:paraId="7BDB75B8" w14:textId="77777777" w:rsidR="008E5DE4" w:rsidRDefault="008E5DE4">
            <w:pPr>
              <w:widowControl w:val="0"/>
              <w:pBdr>
                <w:top w:val="nil"/>
                <w:left w:val="nil"/>
                <w:bottom w:val="nil"/>
                <w:right w:val="nil"/>
                <w:between w:val="nil"/>
              </w:pBdr>
              <w:jc w:val="right"/>
              <w:rPr>
                <w:b/>
                <w:smallCaps/>
                <w:color w:val="000000"/>
              </w:rPr>
            </w:pPr>
          </w:p>
        </w:tc>
      </w:tr>
    </w:tbl>
    <w:p w14:paraId="0B48A4F9" w14:textId="0064EC6F" w:rsidR="008E5DE4" w:rsidRDefault="00780368">
      <w:pPr>
        <w:widowControl w:val="0"/>
        <w:pBdr>
          <w:top w:val="nil"/>
          <w:left w:val="nil"/>
          <w:bottom w:val="nil"/>
          <w:right w:val="nil"/>
          <w:between w:val="nil"/>
        </w:pBdr>
        <w:spacing w:before="200" w:after="200"/>
        <w:jc w:val="both"/>
        <w:rPr>
          <w:color w:val="0070C0"/>
          <w:sz w:val="20"/>
          <w:szCs w:val="20"/>
        </w:rPr>
      </w:pPr>
      <w:r>
        <w:rPr>
          <w:color w:val="0000FF"/>
          <w:sz w:val="20"/>
          <w:szCs w:val="20"/>
        </w:rPr>
        <w:t>[Bank borrowings mature until __ and bear average coupons of __% annually (</w:t>
      </w:r>
      <w:r w:rsidR="00FF468A">
        <w:rPr>
          <w:color w:val="0000FF"/>
          <w:sz w:val="20"/>
          <w:szCs w:val="20"/>
        </w:rPr>
        <w:t>2024</w:t>
      </w:r>
      <w:r>
        <w:rPr>
          <w:color w:val="0000FF"/>
          <w:sz w:val="20"/>
          <w:szCs w:val="20"/>
        </w:rPr>
        <w:t>: __% annually).]</w:t>
      </w:r>
    </w:p>
    <w:p w14:paraId="7CEDA172" w14:textId="48662D91" w:rsidR="008E5DE4" w:rsidRDefault="00780368">
      <w:pPr>
        <w:widowControl w:val="0"/>
        <w:pBdr>
          <w:top w:val="nil"/>
          <w:left w:val="nil"/>
          <w:bottom w:val="nil"/>
          <w:right w:val="nil"/>
          <w:between w:val="nil"/>
        </w:pBdr>
        <w:spacing w:before="200" w:after="200"/>
        <w:jc w:val="both"/>
        <w:rPr>
          <w:color w:val="0070C0"/>
          <w:sz w:val="20"/>
          <w:szCs w:val="20"/>
        </w:rPr>
      </w:pPr>
      <w:r>
        <w:rPr>
          <w:color w:val="0000FF"/>
          <w:sz w:val="20"/>
          <w:szCs w:val="20"/>
        </w:rPr>
        <w:t>[On __, the Group issued EUR __% EUR bonds to finance its expansion programme and working capital requirements. The bonds are repayable on __.]</w:t>
      </w:r>
    </w:p>
    <w:p w14:paraId="43578D12" w14:textId="6294949B" w:rsidR="008E5DE4" w:rsidRDefault="00780368">
      <w:pPr>
        <w:widowControl w:val="0"/>
        <w:pBdr>
          <w:top w:val="nil"/>
          <w:left w:val="nil"/>
          <w:bottom w:val="nil"/>
          <w:right w:val="nil"/>
          <w:between w:val="nil"/>
        </w:pBdr>
        <w:spacing w:before="200" w:after="200"/>
        <w:jc w:val="both"/>
        <w:rPr>
          <w:color w:val="0070C0"/>
          <w:sz w:val="20"/>
          <w:szCs w:val="20"/>
        </w:rPr>
      </w:pPr>
      <w:r>
        <w:rPr>
          <w:color w:val="0000FF"/>
          <w:sz w:val="20"/>
          <w:szCs w:val="20"/>
        </w:rPr>
        <w:t>[The exposure of the Group’s borrowings to interest rate changes and the contractual re-pricing dates at the end of the reporting period are disclosed in Note 51].</w:t>
      </w:r>
      <w:r>
        <w:rPr>
          <w:color w:val="0070C0"/>
          <w:sz w:val="20"/>
          <w:szCs w:val="20"/>
        </w:rPr>
        <w:t xml:space="preserve"> </w:t>
      </w:r>
    </w:p>
    <w:p w14:paraId="278DFB61" w14:textId="3AA6347D" w:rsidR="006C0F26"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Property, plant and equipment, inventories and investment properties are pledged as collateral for borrowings of EUR ____ thousand (</w:t>
      </w:r>
      <w:r w:rsidR="00FF468A">
        <w:rPr>
          <w:color w:val="000000"/>
          <w:sz w:val="20"/>
          <w:szCs w:val="20"/>
        </w:rPr>
        <w:t>2024</w:t>
      </w:r>
      <w:r>
        <w:rPr>
          <w:color w:val="000000"/>
          <w:sz w:val="20"/>
          <w:szCs w:val="20"/>
        </w:rPr>
        <w:t>:</w:t>
      </w:r>
      <w:r w:rsidR="00391DA7">
        <w:rPr>
          <w:color w:val="000000"/>
          <w:sz w:val="20"/>
          <w:szCs w:val="20"/>
        </w:rPr>
        <w:t xml:space="preserve"> </w:t>
      </w:r>
      <w:r>
        <w:rPr>
          <w:color w:val="000000"/>
          <w:sz w:val="20"/>
          <w:szCs w:val="20"/>
        </w:rPr>
        <w:t>EUR ____ thousand). Refer to Notes 9, 10 and 19.</w:t>
      </w:r>
    </w:p>
    <w:p w14:paraId="2DDE7EC6" w14:textId="7478E6F5" w:rsidR="006C0F26" w:rsidRDefault="006C0F26">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Refer to Note </w:t>
      </w:r>
      <w:r>
        <w:rPr>
          <w:color w:val="000000"/>
          <w:sz w:val="20"/>
          <w:szCs w:val="20"/>
        </w:rPr>
        <w:fldChar w:fldCharType="begin"/>
      </w:r>
      <w:r>
        <w:rPr>
          <w:color w:val="000000"/>
          <w:sz w:val="20"/>
          <w:szCs w:val="20"/>
        </w:rPr>
        <w:instrText xml:space="preserve"> REF _Ref213414093 \r \h </w:instrText>
      </w:r>
      <w:r>
        <w:rPr>
          <w:color w:val="000000"/>
          <w:sz w:val="20"/>
          <w:szCs w:val="20"/>
        </w:rPr>
      </w:r>
      <w:r>
        <w:rPr>
          <w:color w:val="000000"/>
          <w:sz w:val="20"/>
          <w:szCs w:val="20"/>
        </w:rPr>
        <w:fldChar w:fldCharType="separate"/>
      </w:r>
      <w:r>
        <w:rPr>
          <w:color w:val="000000"/>
          <w:sz w:val="20"/>
          <w:szCs w:val="20"/>
        </w:rPr>
        <w:t>51</w:t>
      </w:r>
      <w:r>
        <w:rPr>
          <w:color w:val="000000"/>
          <w:sz w:val="20"/>
          <w:szCs w:val="20"/>
        </w:rPr>
        <w:fldChar w:fldCharType="end"/>
      </w:r>
      <w:r>
        <w:rPr>
          <w:color w:val="000000"/>
          <w:sz w:val="20"/>
          <w:szCs w:val="20"/>
        </w:rPr>
        <w:t xml:space="preserve"> for information about borrowings that are subject to loan covenants. </w:t>
      </w:r>
    </w:p>
    <w:p w14:paraId="765F94E3" w14:textId="5B36803E"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During </w:t>
      </w:r>
      <w:r w:rsidR="008614F8">
        <w:rPr>
          <w:color w:val="000000"/>
          <w:sz w:val="20"/>
          <w:szCs w:val="20"/>
        </w:rPr>
        <w:t>2025</w:t>
      </w:r>
      <w:r>
        <w:rPr>
          <w:color w:val="000000"/>
          <w:sz w:val="20"/>
          <w:szCs w:val="20"/>
        </w:rPr>
        <w:t xml:space="preserve"> the Group defaulted on the repayment of loans of EUR____ thousand from ____ and ____ (the Lenders) and, as a result, at the end of the reporting period, the Lenders had the option to call these loans. The loans are classified as current at the end of the reporting period because the Lenders waived their right to request immediate redemption only after the reporting period. </w:t>
      </w:r>
    </w:p>
    <w:p w14:paraId="4BDFC392"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28</w:t>
      </w:r>
      <w:r>
        <w:rPr>
          <w:b/>
          <w:color w:val="000000"/>
          <w:sz w:val="20"/>
          <w:szCs w:val="20"/>
        </w:rPr>
        <w:tab/>
        <w:t>Borrowings (Continued)</w:t>
      </w:r>
    </w:p>
    <w:p w14:paraId="625EA2A9" w14:textId="77777777" w:rsidR="008E5DE4" w:rsidRDefault="00780368">
      <w:pPr>
        <w:widowControl w:val="0"/>
        <w:pBdr>
          <w:top w:val="nil"/>
          <w:left w:val="nil"/>
          <w:bottom w:val="nil"/>
          <w:right w:val="nil"/>
          <w:between w:val="nil"/>
        </w:pBdr>
        <w:spacing w:before="200" w:after="200"/>
        <w:jc w:val="both"/>
        <w:rPr>
          <w:b/>
          <w:color w:val="000000"/>
          <w:sz w:val="20"/>
          <w:szCs w:val="20"/>
        </w:rPr>
      </w:pPr>
      <w:r>
        <w:rPr>
          <w:color w:val="000000"/>
          <w:sz w:val="20"/>
          <w:szCs w:val="20"/>
        </w:rPr>
        <w:t xml:space="preserve">The Group does not apply hedge accounting </w:t>
      </w:r>
      <w:r>
        <w:rPr>
          <w:color w:val="0000FF"/>
          <w:sz w:val="20"/>
          <w:szCs w:val="20"/>
        </w:rPr>
        <w:t xml:space="preserve">[and has not </w:t>
      </w:r>
      <w:proofErr w:type="gramStart"/>
      <w:r>
        <w:rPr>
          <w:color w:val="0000FF"/>
          <w:sz w:val="20"/>
          <w:szCs w:val="20"/>
        </w:rPr>
        <w:t>entered into</w:t>
      </w:r>
      <w:proofErr w:type="gramEnd"/>
      <w:r>
        <w:rPr>
          <w:color w:val="0000FF"/>
          <w:sz w:val="20"/>
          <w:szCs w:val="20"/>
        </w:rPr>
        <w:t xml:space="preserve"> any] [for its]</w:t>
      </w:r>
      <w:r>
        <w:rPr>
          <w:color w:val="000000"/>
          <w:sz w:val="20"/>
          <w:szCs w:val="20"/>
        </w:rPr>
        <w:t xml:space="preserve"> hedging arrangements in respect of its foreign currency obligations or interest rate exposures. The carrying amounts and fair values of borrowings are as follows: </w:t>
      </w:r>
    </w:p>
    <w:tbl>
      <w:tblPr>
        <w:tblStyle w:val="afffffffff8"/>
        <w:tblW w:w="9356" w:type="dxa"/>
        <w:tblLayout w:type="fixed"/>
        <w:tblLook w:val="0000" w:firstRow="0" w:lastRow="0" w:firstColumn="0" w:lastColumn="0" w:noHBand="0" w:noVBand="0"/>
      </w:tblPr>
      <w:tblGrid>
        <w:gridCol w:w="3912"/>
        <w:gridCol w:w="1361"/>
        <w:gridCol w:w="1361"/>
        <w:gridCol w:w="1361"/>
        <w:gridCol w:w="1361"/>
      </w:tblGrid>
      <w:tr w:rsidR="008E5DE4" w14:paraId="0D97610C" w14:textId="77777777">
        <w:trPr>
          <w:cantSplit/>
        </w:trPr>
        <w:tc>
          <w:tcPr>
            <w:tcW w:w="3912" w:type="dxa"/>
            <w:vAlign w:val="bottom"/>
          </w:tcPr>
          <w:p w14:paraId="63931970" w14:textId="77777777" w:rsidR="008E5DE4" w:rsidRDefault="008E5DE4">
            <w:pPr>
              <w:widowControl w:val="0"/>
              <w:pBdr>
                <w:top w:val="nil"/>
                <w:left w:val="nil"/>
                <w:bottom w:val="nil"/>
                <w:right w:val="nil"/>
                <w:between w:val="nil"/>
              </w:pBdr>
              <w:ind w:left="113" w:right="-57" w:hanging="113"/>
              <w:rPr>
                <w:b/>
                <w:color w:val="000000"/>
              </w:rPr>
            </w:pPr>
          </w:p>
        </w:tc>
        <w:tc>
          <w:tcPr>
            <w:tcW w:w="2722" w:type="dxa"/>
            <w:gridSpan w:val="2"/>
            <w:tcBorders>
              <w:bottom w:val="single" w:sz="4" w:space="0" w:color="000000"/>
            </w:tcBorders>
            <w:vAlign w:val="bottom"/>
          </w:tcPr>
          <w:p w14:paraId="1D43DB0C" w14:textId="77777777" w:rsidR="008E5DE4" w:rsidRDefault="00780368">
            <w:pPr>
              <w:widowControl w:val="0"/>
              <w:pBdr>
                <w:top w:val="nil"/>
                <w:left w:val="nil"/>
                <w:bottom w:val="nil"/>
                <w:right w:val="nil"/>
                <w:between w:val="nil"/>
              </w:pBdr>
              <w:jc w:val="center"/>
              <w:rPr>
                <w:b/>
                <w:color w:val="000000"/>
              </w:rPr>
            </w:pPr>
            <w:r>
              <w:rPr>
                <w:b/>
                <w:color w:val="000000"/>
              </w:rPr>
              <w:t>Carrying amounts</w:t>
            </w:r>
          </w:p>
        </w:tc>
        <w:tc>
          <w:tcPr>
            <w:tcW w:w="2722" w:type="dxa"/>
            <w:gridSpan w:val="2"/>
            <w:tcBorders>
              <w:bottom w:val="single" w:sz="4" w:space="0" w:color="000000"/>
            </w:tcBorders>
            <w:vAlign w:val="bottom"/>
          </w:tcPr>
          <w:p w14:paraId="4F370A6A" w14:textId="77777777" w:rsidR="008E5DE4" w:rsidRDefault="00780368">
            <w:pPr>
              <w:widowControl w:val="0"/>
              <w:pBdr>
                <w:top w:val="nil"/>
                <w:left w:val="nil"/>
                <w:bottom w:val="nil"/>
                <w:right w:val="nil"/>
                <w:between w:val="nil"/>
              </w:pBdr>
              <w:jc w:val="center"/>
              <w:rPr>
                <w:b/>
                <w:color w:val="000000"/>
              </w:rPr>
            </w:pPr>
            <w:r>
              <w:rPr>
                <w:b/>
                <w:color w:val="000000"/>
              </w:rPr>
              <w:t>Fair values</w:t>
            </w:r>
          </w:p>
        </w:tc>
      </w:tr>
      <w:tr w:rsidR="008E5DE4" w14:paraId="3B6B947F" w14:textId="77777777">
        <w:trPr>
          <w:cantSplit/>
        </w:trPr>
        <w:tc>
          <w:tcPr>
            <w:tcW w:w="3912" w:type="dxa"/>
            <w:tcBorders>
              <w:bottom w:val="single" w:sz="4" w:space="0" w:color="000000"/>
            </w:tcBorders>
            <w:vAlign w:val="bottom"/>
          </w:tcPr>
          <w:p w14:paraId="0372C95A"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361" w:type="dxa"/>
            <w:tcBorders>
              <w:top w:val="single" w:sz="4" w:space="0" w:color="000000"/>
              <w:bottom w:val="single" w:sz="4" w:space="0" w:color="000000"/>
            </w:tcBorders>
          </w:tcPr>
          <w:p w14:paraId="65A339D1" w14:textId="7FF9077C" w:rsidR="008E5DE4" w:rsidRDefault="008614F8">
            <w:pPr>
              <w:widowControl w:val="0"/>
              <w:pBdr>
                <w:top w:val="nil"/>
                <w:left w:val="nil"/>
                <w:bottom w:val="nil"/>
                <w:right w:val="nil"/>
                <w:between w:val="nil"/>
              </w:pBdr>
              <w:ind w:left="-113"/>
              <w:jc w:val="center"/>
              <w:rPr>
                <w:b/>
                <w:color w:val="000000"/>
              </w:rPr>
            </w:pPr>
            <w:r>
              <w:rPr>
                <w:b/>
                <w:color w:val="000000"/>
              </w:rPr>
              <w:t>2025</w:t>
            </w:r>
          </w:p>
        </w:tc>
        <w:tc>
          <w:tcPr>
            <w:tcW w:w="1361" w:type="dxa"/>
            <w:tcBorders>
              <w:top w:val="single" w:sz="4" w:space="0" w:color="000000"/>
              <w:bottom w:val="single" w:sz="4" w:space="0" w:color="000000"/>
            </w:tcBorders>
          </w:tcPr>
          <w:p w14:paraId="41EDE2A3" w14:textId="324DF535" w:rsidR="008E5DE4" w:rsidRDefault="00FF468A">
            <w:pPr>
              <w:widowControl w:val="0"/>
              <w:pBdr>
                <w:top w:val="nil"/>
                <w:left w:val="nil"/>
                <w:bottom w:val="nil"/>
                <w:right w:val="nil"/>
                <w:between w:val="nil"/>
              </w:pBdr>
              <w:ind w:left="-113"/>
              <w:jc w:val="center"/>
              <w:rPr>
                <w:b/>
                <w:color w:val="000000"/>
              </w:rPr>
            </w:pPr>
            <w:r>
              <w:rPr>
                <w:b/>
                <w:color w:val="000000"/>
              </w:rPr>
              <w:t>2024</w:t>
            </w:r>
          </w:p>
        </w:tc>
        <w:tc>
          <w:tcPr>
            <w:tcW w:w="1361" w:type="dxa"/>
            <w:tcBorders>
              <w:top w:val="single" w:sz="4" w:space="0" w:color="000000"/>
              <w:bottom w:val="single" w:sz="4" w:space="0" w:color="000000"/>
            </w:tcBorders>
          </w:tcPr>
          <w:p w14:paraId="5E1C6DA4" w14:textId="60F31996" w:rsidR="008E5DE4" w:rsidRDefault="008614F8">
            <w:pPr>
              <w:widowControl w:val="0"/>
              <w:pBdr>
                <w:top w:val="nil"/>
                <w:left w:val="nil"/>
                <w:bottom w:val="nil"/>
                <w:right w:val="nil"/>
                <w:between w:val="nil"/>
              </w:pBdr>
              <w:ind w:left="-113"/>
              <w:jc w:val="center"/>
              <w:rPr>
                <w:b/>
                <w:color w:val="000000"/>
              </w:rPr>
            </w:pPr>
            <w:r>
              <w:rPr>
                <w:b/>
                <w:color w:val="000000"/>
              </w:rPr>
              <w:t>2025</w:t>
            </w:r>
          </w:p>
        </w:tc>
        <w:tc>
          <w:tcPr>
            <w:tcW w:w="1361" w:type="dxa"/>
            <w:tcBorders>
              <w:top w:val="single" w:sz="4" w:space="0" w:color="000000"/>
              <w:bottom w:val="single" w:sz="4" w:space="0" w:color="000000"/>
            </w:tcBorders>
          </w:tcPr>
          <w:p w14:paraId="03A71209" w14:textId="76C5DC03" w:rsidR="008E5DE4" w:rsidRDefault="00FF468A">
            <w:pPr>
              <w:widowControl w:val="0"/>
              <w:pBdr>
                <w:top w:val="nil"/>
                <w:left w:val="nil"/>
                <w:bottom w:val="nil"/>
                <w:right w:val="nil"/>
                <w:between w:val="nil"/>
              </w:pBdr>
              <w:ind w:left="-113"/>
              <w:jc w:val="center"/>
              <w:rPr>
                <w:b/>
                <w:color w:val="000000"/>
              </w:rPr>
            </w:pPr>
            <w:r>
              <w:rPr>
                <w:b/>
                <w:color w:val="000000"/>
              </w:rPr>
              <w:t>2024</w:t>
            </w:r>
          </w:p>
        </w:tc>
      </w:tr>
      <w:tr w:rsidR="008E5DE4" w14:paraId="7C9C6C43" w14:textId="77777777">
        <w:trPr>
          <w:cantSplit/>
        </w:trPr>
        <w:tc>
          <w:tcPr>
            <w:tcW w:w="3912" w:type="dxa"/>
            <w:tcBorders>
              <w:top w:val="single" w:sz="4" w:space="0" w:color="000000"/>
            </w:tcBorders>
            <w:vAlign w:val="bottom"/>
          </w:tcPr>
          <w:p w14:paraId="292CB2F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61" w:type="dxa"/>
            <w:tcBorders>
              <w:top w:val="single" w:sz="4" w:space="0" w:color="000000"/>
            </w:tcBorders>
            <w:vAlign w:val="bottom"/>
          </w:tcPr>
          <w:p w14:paraId="32D9831F"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5D87FF3F"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4557FC90"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5B80F0A2" w14:textId="77777777" w:rsidR="008E5DE4" w:rsidRDefault="008E5DE4">
            <w:pPr>
              <w:widowControl w:val="0"/>
              <w:pBdr>
                <w:top w:val="nil"/>
                <w:left w:val="nil"/>
                <w:bottom w:val="nil"/>
                <w:right w:val="nil"/>
                <w:between w:val="nil"/>
              </w:pBdr>
              <w:jc w:val="right"/>
              <w:rPr>
                <w:color w:val="000000"/>
              </w:rPr>
            </w:pPr>
          </w:p>
        </w:tc>
      </w:tr>
      <w:tr w:rsidR="008E5DE4" w14:paraId="4BB480FB" w14:textId="77777777">
        <w:trPr>
          <w:cantSplit/>
        </w:trPr>
        <w:tc>
          <w:tcPr>
            <w:tcW w:w="3912" w:type="dxa"/>
            <w:vAlign w:val="bottom"/>
          </w:tcPr>
          <w:p w14:paraId="17F2386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Bank overdrafts </w:t>
            </w:r>
          </w:p>
        </w:tc>
        <w:tc>
          <w:tcPr>
            <w:tcW w:w="1361" w:type="dxa"/>
            <w:vAlign w:val="bottom"/>
          </w:tcPr>
          <w:p w14:paraId="4269CCC3"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6FE1216A"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2ACBD1C6"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683B72EB" w14:textId="77777777" w:rsidR="008E5DE4" w:rsidRDefault="008E5DE4">
            <w:pPr>
              <w:widowControl w:val="0"/>
              <w:pBdr>
                <w:top w:val="nil"/>
                <w:left w:val="nil"/>
                <w:bottom w:val="nil"/>
                <w:right w:val="nil"/>
                <w:between w:val="nil"/>
              </w:pBdr>
              <w:jc w:val="right"/>
              <w:rPr>
                <w:color w:val="000000"/>
              </w:rPr>
            </w:pPr>
          </w:p>
        </w:tc>
      </w:tr>
      <w:tr w:rsidR="008E5DE4" w14:paraId="44DABC6A" w14:textId="77777777">
        <w:trPr>
          <w:cantSplit/>
        </w:trPr>
        <w:tc>
          <w:tcPr>
            <w:tcW w:w="3912" w:type="dxa"/>
            <w:vAlign w:val="bottom"/>
          </w:tcPr>
          <w:p w14:paraId="66C4EE5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Term loans </w:t>
            </w:r>
          </w:p>
        </w:tc>
        <w:tc>
          <w:tcPr>
            <w:tcW w:w="1361" w:type="dxa"/>
            <w:vAlign w:val="bottom"/>
          </w:tcPr>
          <w:p w14:paraId="2BF801DB"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646BF344"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1C606733"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3963CDCB" w14:textId="77777777" w:rsidR="008E5DE4" w:rsidRDefault="008E5DE4">
            <w:pPr>
              <w:widowControl w:val="0"/>
              <w:pBdr>
                <w:top w:val="nil"/>
                <w:left w:val="nil"/>
                <w:bottom w:val="nil"/>
                <w:right w:val="nil"/>
                <w:between w:val="nil"/>
              </w:pBdr>
              <w:jc w:val="right"/>
              <w:rPr>
                <w:color w:val="000000"/>
              </w:rPr>
            </w:pPr>
          </w:p>
        </w:tc>
      </w:tr>
      <w:tr w:rsidR="008E5DE4" w14:paraId="3A9DC06A" w14:textId="77777777">
        <w:trPr>
          <w:cantSplit/>
        </w:trPr>
        <w:tc>
          <w:tcPr>
            <w:tcW w:w="3912" w:type="dxa"/>
            <w:vAlign w:val="bottom"/>
          </w:tcPr>
          <w:p w14:paraId="167AF5EB"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Promissory notes issued </w:t>
            </w:r>
          </w:p>
        </w:tc>
        <w:tc>
          <w:tcPr>
            <w:tcW w:w="1361" w:type="dxa"/>
            <w:vAlign w:val="bottom"/>
          </w:tcPr>
          <w:p w14:paraId="0638EFD2"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51550EA6"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471FDB75"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2C32F996" w14:textId="77777777" w:rsidR="008E5DE4" w:rsidRDefault="008E5DE4">
            <w:pPr>
              <w:widowControl w:val="0"/>
              <w:pBdr>
                <w:top w:val="nil"/>
                <w:left w:val="nil"/>
                <w:bottom w:val="nil"/>
                <w:right w:val="nil"/>
                <w:between w:val="nil"/>
              </w:pBdr>
              <w:jc w:val="right"/>
              <w:rPr>
                <w:color w:val="000000"/>
              </w:rPr>
            </w:pPr>
          </w:p>
        </w:tc>
      </w:tr>
      <w:tr w:rsidR="008E5DE4" w14:paraId="259AD90F" w14:textId="77777777">
        <w:trPr>
          <w:cantSplit/>
        </w:trPr>
        <w:tc>
          <w:tcPr>
            <w:tcW w:w="3912" w:type="dxa"/>
            <w:vAlign w:val="bottom"/>
          </w:tcPr>
          <w:p w14:paraId="50EB82F1" w14:textId="77777777" w:rsidR="008E5DE4" w:rsidRDefault="00780368">
            <w:pPr>
              <w:widowControl w:val="0"/>
              <w:pBdr>
                <w:top w:val="nil"/>
                <w:left w:val="nil"/>
                <w:bottom w:val="nil"/>
                <w:right w:val="nil"/>
                <w:between w:val="nil"/>
              </w:pBdr>
              <w:ind w:left="113" w:right="-57" w:hanging="113"/>
              <w:rPr>
                <w:color w:val="000000"/>
              </w:rPr>
            </w:pPr>
            <w:r>
              <w:rPr>
                <w:color w:val="000000"/>
              </w:rPr>
              <w:t>Eurobonds</w:t>
            </w:r>
          </w:p>
        </w:tc>
        <w:tc>
          <w:tcPr>
            <w:tcW w:w="1361" w:type="dxa"/>
            <w:vAlign w:val="bottom"/>
          </w:tcPr>
          <w:p w14:paraId="760B289F"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25224A22"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2F82C342"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46898AB3" w14:textId="77777777" w:rsidR="008E5DE4" w:rsidRDefault="008E5DE4">
            <w:pPr>
              <w:widowControl w:val="0"/>
              <w:pBdr>
                <w:top w:val="nil"/>
                <w:left w:val="nil"/>
                <w:bottom w:val="nil"/>
                <w:right w:val="nil"/>
                <w:between w:val="nil"/>
              </w:pBdr>
              <w:jc w:val="right"/>
              <w:rPr>
                <w:color w:val="000000"/>
              </w:rPr>
            </w:pPr>
          </w:p>
        </w:tc>
      </w:tr>
      <w:tr w:rsidR="008E5DE4" w14:paraId="6461B0EE" w14:textId="77777777">
        <w:trPr>
          <w:cantSplit/>
        </w:trPr>
        <w:tc>
          <w:tcPr>
            <w:tcW w:w="3912" w:type="dxa"/>
            <w:vAlign w:val="bottom"/>
          </w:tcPr>
          <w:p w14:paraId="4085DABB" w14:textId="77777777" w:rsidR="008E5DE4" w:rsidRDefault="00780368">
            <w:pPr>
              <w:widowControl w:val="0"/>
              <w:pBdr>
                <w:top w:val="nil"/>
                <w:left w:val="nil"/>
                <w:bottom w:val="nil"/>
                <w:right w:val="nil"/>
                <w:between w:val="nil"/>
              </w:pBdr>
              <w:ind w:left="113" w:right="-57" w:hanging="113"/>
              <w:rPr>
                <w:color w:val="000000"/>
              </w:rPr>
            </w:pPr>
            <w:r>
              <w:rPr>
                <w:color w:val="000000"/>
              </w:rPr>
              <w:t>Sale and repurchase agreements</w:t>
            </w:r>
          </w:p>
        </w:tc>
        <w:tc>
          <w:tcPr>
            <w:tcW w:w="1361" w:type="dxa"/>
            <w:vAlign w:val="bottom"/>
          </w:tcPr>
          <w:p w14:paraId="6A25204E"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2D555184"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3D24EE20" w14:textId="77777777" w:rsidR="008E5DE4" w:rsidRDefault="008E5DE4">
            <w:pPr>
              <w:widowControl w:val="0"/>
              <w:pBdr>
                <w:top w:val="nil"/>
                <w:left w:val="nil"/>
                <w:bottom w:val="nil"/>
                <w:right w:val="nil"/>
                <w:between w:val="nil"/>
              </w:pBdr>
              <w:jc w:val="right"/>
              <w:rPr>
                <w:color w:val="000000"/>
              </w:rPr>
            </w:pPr>
          </w:p>
        </w:tc>
        <w:tc>
          <w:tcPr>
            <w:tcW w:w="1361" w:type="dxa"/>
            <w:vAlign w:val="bottom"/>
          </w:tcPr>
          <w:p w14:paraId="4CD00BCE" w14:textId="77777777" w:rsidR="008E5DE4" w:rsidRDefault="008E5DE4">
            <w:pPr>
              <w:widowControl w:val="0"/>
              <w:pBdr>
                <w:top w:val="nil"/>
                <w:left w:val="nil"/>
                <w:bottom w:val="nil"/>
                <w:right w:val="nil"/>
                <w:between w:val="nil"/>
              </w:pBdr>
              <w:jc w:val="right"/>
              <w:rPr>
                <w:color w:val="000000"/>
              </w:rPr>
            </w:pPr>
          </w:p>
        </w:tc>
      </w:tr>
      <w:tr w:rsidR="008E5DE4" w14:paraId="3EBFADE4" w14:textId="77777777">
        <w:trPr>
          <w:cantSplit/>
        </w:trPr>
        <w:tc>
          <w:tcPr>
            <w:tcW w:w="3912" w:type="dxa"/>
            <w:tcBorders>
              <w:bottom w:val="single" w:sz="4" w:space="0" w:color="000000"/>
            </w:tcBorders>
            <w:vAlign w:val="bottom"/>
          </w:tcPr>
          <w:p w14:paraId="12CD8529" w14:textId="77777777" w:rsidR="008E5DE4" w:rsidRDefault="008E5DE4">
            <w:pPr>
              <w:widowControl w:val="0"/>
              <w:pBdr>
                <w:top w:val="nil"/>
                <w:left w:val="nil"/>
                <w:bottom w:val="nil"/>
                <w:right w:val="nil"/>
                <w:between w:val="nil"/>
              </w:pBdr>
              <w:tabs>
                <w:tab w:val="right" w:pos="8782"/>
              </w:tabs>
              <w:ind w:left="113" w:right="-57" w:hanging="113"/>
              <w:rPr>
                <w:b/>
                <w:color w:val="000000"/>
              </w:rPr>
            </w:pPr>
          </w:p>
        </w:tc>
        <w:tc>
          <w:tcPr>
            <w:tcW w:w="1361" w:type="dxa"/>
            <w:tcBorders>
              <w:bottom w:val="single" w:sz="4" w:space="0" w:color="000000"/>
            </w:tcBorders>
            <w:vAlign w:val="bottom"/>
          </w:tcPr>
          <w:p w14:paraId="717A428B"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7A57C7BA"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149626E1" w14:textId="77777777" w:rsidR="008E5DE4" w:rsidRDefault="008E5DE4">
            <w:pPr>
              <w:widowControl w:val="0"/>
              <w:pBdr>
                <w:top w:val="nil"/>
                <w:left w:val="nil"/>
                <w:bottom w:val="nil"/>
                <w:right w:val="nil"/>
                <w:between w:val="nil"/>
              </w:pBdr>
              <w:jc w:val="right"/>
              <w:rPr>
                <w:color w:val="000000"/>
              </w:rPr>
            </w:pPr>
          </w:p>
        </w:tc>
        <w:tc>
          <w:tcPr>
            <w:tcW w:w="1361" w:type="dxa"/>
            <w:tcBorders>
              <w:bottom w:val="single" w:sz="4" w:space="0" w:color="000000"/>
            </w:tcBorders>
            <w:vAlign w:val="bottom"/>
          </w:tcPr>
          <w:p w14:paraId="5F5E4666" w14:textId="77777777" w:rsidR="008E5DE4" w:rsidRDefault="008E5DE4">
            <w:pPr>
              <w:widowControl w:val="0"/>
              <w:pBdr>
                <w:top w:val="nil"/>
                <w:left w:val="nil"/>
                <w:bottom w:val="nil"/>
                <w:right w:val="nil"/>
                <w:between w:val="nil"/>
              </w:pBdr>
              <w:jc w:val="right"/>
              <w:rPr>
                <w:color w:val="000000"/>
              </w:rPr>
            </w:pPr>
          </w:p>
        </w:tc>
      </w:tr>
      <w:tr w:rsidR="008E5DE4" w14:paraId="4599BA75" w14:textId="77777777">
        <w:trPr>
          <w:cantSplit/>
        </w:trPr>
        <w:tc>
          <w:tcPr>
            <w:tcW w:w="3912" w:type="dxa"/>
            <w:tcBorders>
              <w:top w:val="single" w:sz="4" w:space="0" w:color="000000"/>
            </w:tcBorders>
            <w:vAlign w:val="bottom"/>
          </w:tcPr>
          <w:p w14:paraId="5A7EE0D0"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b/>
                <w:color w:val="000000"/>
              </w:rPr>
              <w:t> </w:t>
            </w:r>
          </w:p>
        </w:tc>
        <w:tc>
          <w:tcPr>
            <w:tcW w:w="1361" w:type="dxa"/>
            <w:tcBorders>
              <w:top w:val="single" w:sz="4" w:space="0" w:color="000000"/>
            </w:tcBorders>
            <w:vAlign w:val="bottom"/>
          </w:tcPr>
          <w:p w14:paraId="5083755C"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5E3A368B"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7A4B5074" w14:textId="77777777" w:rsidR="008E5DE4" w:rsidRDefault="008E5DE4">
            <w:pPr>
              <w:widowControl w:val="0"/>
              <w:pBdr>
                <w:top w:val="nil"/>
                <w:left w:val="nil"/>
                <w:bottom w:val="nil"/>
                <w:right w:val="nil"/>
                <w:between w:val="nil"/>
              </w:pBdr>
              <w:jc w:val="right"/>
              <w:rPr>
                <w:color w:val="000000"/>
              </w:rPr>
            </w:pPr>
          </w:p>
        </w:tc>
        <w:tc>
          <w:tcPr>
            <w:tcW w:w="1361" w:type="dxa"/>
            <w:tcBorders>
              <w:top w:val="single" w:sz="4" w:space="0" w:color="000000"/>
            </w:tcBorders>
            <w:vAlign w:val="bottom"/>
          </w:tcPr>
          <w:p w14:paraId="365A69CD" w14:textId="77777777" w:rsidR="008E5DE4" w:rsidRDefault="008E5DE4">
            <w:pPr>
              <w:widowControl w:val="0"/>
              <w:pBdr>
                <w:top w:val="nil"/>
                <w:left w:val="nil"/>
                <w:bottom w:val="nil"/>
                <w:right w:val="nil"/>
                <w:between w:val="nil"/>
              </w:pBdr>
              <w:jc w:val="right"/>
              <w:rPr>
                <w:color w:val="000000"/>
              </w:rPr>
            </w:pPr>
          </w:p>
        </w:tc>
      </w:tr>
      <w:tr w:rsidR="008E5DE4" w14:paraId="0ABE758D" w14:textId="77777777">
        <w:trPr>
          <w:cantSplit/>
        </w:trPr>
        <w:tc>
          <w:tcPr>
            <w:tcW w:w="3912" w:type="dxa"/>
            <w:vAlign w:val="bottom"/>
          </w:tcPr>
          <w:p w14:paraId="3593044E"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b/>
                <w:color w:val="000000"/>
              </w:rPr>
              <w:t xml:space="preserve">Total borrowings </w:t>
            </w:r>
            <w:proofErr w:type="gramStart"/>
            <w:r>
              <w:rPr>
                <w:b/>
                <w:color w:val="000000"/>
              </w:rPr>
              <w:t>at</w:t>
            </w:r>
            <w:proofErr w:type="gramEnd"/>
            <w:r>
              <w:rPr>
                <w:b/>
                <w:color w:val="000000"/>
              </w:rPr>
              <w:t xml:space="preserve"> 31 December</w:t>
            </w:r>
          </w:p>
        </w:tc>
        <w:tc>
          <w:tcPr>
            <w:tcW w:w="1361" w:type="dxa"/>
            <w:vAlign w:val="bottom"/>
          </w:tcPr>
          <w:p w14:paraId="6418EA18"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2AD978AE"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73F77C81" w14:textId="77777777" w:rsidR="008E5DE4" w:rsidRDefault="008E5DE4">
            <w:pPr>
              <w:widowControl w:val="0"/>
              <w:pBdr>
                <w:top w:val="nil"/>
                <w:left w:val="nil"/>
                <w:bottom w:val="nil"/>
                <w:right w:val="nil"/>
                <w:between w:val="nil"/>
              </w:pBdr>
              <w:jc w:val="right"/>
              <w:rPr>
                <w:b/>
                <w:color w:val="000000"/>
              </w:rPr>
            </w:pPr>
          </w:p>
        </w:tc>
        <w:tc>
          <w:tcPr>
            <w:tcW w:w="1361" w:type="dxa"/>
            <w:vAlign w:val="bottom"/>
          </w:tcPr>
          <w:p w14:paraId="78706422" w14:textId="77777777" w:rsidR="008E5DE4" w:rsidRDefault="008E5DE4">
            <w:pPr>
              <w:widowControl w:val="0"/>
              <w:pBdr>
                <w:top w:val="nil"/>
                <w:left w:val="nil"/>
                <w:bottom w:val="nil"/>
                <w:right w:val="nil"/>
                <w:between w:val="nil"/>
              </w:pBdr>
              <w:jc w:val="right"/>
              <w:rPr>
                <w:b/>
                <w:color w:val="000000"/>
              </w:rPr>
            </w:pPr>
          </w:p>
        </w:tc>
      </w:tr>
      <w:tr w:rsidR="008E5DE4" w14:paraId="7885578D" w14:textId="77777777">
        <w:trPr>
          <w:cantSplit/>
        </w:trPr>
        <w:tc>
          <w:tcPr>
            <w:tcW w:w="3912" w:type="dxa"/>
            <w:tcBorders>
              <w:bottom w:val="single" w:sz="12" w:space="0" w:color="000000"/>
            </w:tcBorders>
            <w:vAlign w:val="bottom"/>
          </w:tcPr>
          <w:p w14:paraId="47B045D0"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 </w:t>
            </w:r>
          </w:p>
        </w:tc>
        <w:tc>
          <w:tcPr>
            <w:tcW w:w="1361" w:type="dxa"/>
            <w:tcBorders>
              <w:bottom w:val="single" w:sz="12" w:space="0" w:color="000000"/>
            </w:tcBorders>
            <w:vAlign w:val="bottom"/>
          </w:tcPr>
          <w:p w14:paraId="5073211E" w14:textId="77777777" w:rsidR="008E5DE4" w:rsidRDefault="008E5DE4">
            <w:pPr>
              <w:widowControl w:val="0"/>
              <w:pBdr>
                <w:top w:val="nil"/>
                <w:left w:val="nil"/>
                <w:bottom w:val="nil"/>
                <w:right w:val="nil"/>
                <w:between w:val="nil"/>
              </w:pBdr>
              <w:jc w:val="right"/>
              <w:rPr>
                <w:b/>
                <w:color w:val="000000"/>
              </w:rPr>
            </w:pPr>
          </w:p>
        </w:tc>
        <w:tc>
          <w:tcPr>
            <w:tcW w:w="1361" w:type="dxa"/>
            <w:tcBorders>
              <w:bottom w:val="single" w:sz="12" w:space="0" w:color="000000"/>
            </w:tcBorders>
            <w:vAlign w:val="bottom"/>
          </w:tcPr>
          <w:p w14:paraId="6BCA4C98" w14:textId="77777777" w:rsidR="008E5DE4" w:rsidRDefault="008E5DE4">
            <w:pPr>
              <w:widowControl w:val="0"/>
              <w:pBdr>
                <w:top w:val="nil"/>
                <w:left w:val="nil"/>
                <w:bottom w:val="nil"/>
                <w:right w:val="nil"/>
                <w:between w:val="nil"/>
              </w:pBdr>
              <w:jc w:val="right"/>
              <w:rPr>
                <w:b/>
                <w:color w:val="000000"/>
              </w:rPr>
            </w:pPr>
          </w:p>
        </w:tc>
        <w:tc>
          <w:tcPr>
            <w:tcW w:w="1361" w:type="dxa"/>
            <w:tcBorders>
              <w:bottom w:val="single" w:sz="12" w:space="0" w:color="000000"/>
            </w:tcBorders>
            <w:vAlign w:val="bottom"/>
          </w:tcPr>
          <w:p w14:paraId="4AE9551C" w14:textId="77777777" w:rsidR="008E5DE4" w:rsidRDefault="008E5DE4">
            <w:pPr>
              <w:widowControl w:val="0"/>
              <w:pBdr>
                <w:top w:val="nil"/>
                <w:left w:val="nil"/>
                <w:bottom w:val="nil"/>
                <w:right w:val="nil"/>
                <w:between w:val="nil"/>
              </w:pBdr>
              <w:jc w:val="right"/>
              <w:rPr>
                <w:b/>
                <w:color w:val="000000"/>
              </w:rPr>
            </w:pPr>
          </w:p>
        </w:tc>
        <w:tc>
          <w:tcPr>
            <w:tcW w:w="1361" w:type="dxa"/>
            <w:tcBorders>
              <w:bottom w:val="single" w:sz="12" w:space="0" w:color="000000"/>
            </w:tcBorders>
            <w:vAlign w:val="bottom"/>
          </w:tcPr>
          <w:p w14:paraId="7472F09B" w14:textId="77777777" w:rsidR="008E5DE4" w:rsidRDefault="008E5DE4">
            <w:pPr>
              <w:widowControl w:val="0"/>
              <w:pBdr>
                <w:top w:val="nil"/>
                <w:left w:val="nil"/>
                <w:bottom w:val="nil"/>
                <w:right w:val="nil"/>
                <w:between w:val="nil"/>
              </w:pBdr>
              <w:jc w:val="right"/>
              <w:rPr>
                <w:b/>
                <w:color w:val="000000"/>
              </w:rPr>
            </w:pPr>
          </w:p>
        </w:tc>
      </w:tr>
    </w:tbl>
    <w:p w14:paraId="2E7CB622" w14:textId="6396B73D"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[The fair value of current borrowings equals their carrying amount, as the impact of discounting is not significant. The fair values are based on cash flows discounted using a rate based on the borrowing rate of __% (</w:t>
      </w:r>
      <w:r w:rsidR="00FF468A">
        <w:rPr>
          <w:color w:val="0000FF"/>
          <w:sz w:val="20"/>
          <w:szCs w:val="20"/>
        </w:rPr>
        <w:t>2024</w:t>
      </w:r>
      <w:r>
        <w:rPr>
          <w:color w:val="0000FF"/>
          <w:sz w:val="20"/>
          <w:szCs w:val="20"/>
        </w:rPr>
        <w:t>: __%) and are within level 2 of the fair value hierarchy.]</w:t>
      </w:r>
    </w:p>
    <w:p w14:paraId="0163FE36" w14:textId="5EBC35C0" w:rsidR="008E5DE4" w:rsidRDefault="00C07603" w:rsidP="007F183E">
      <w:pPr>
        <w:pStyle w:val="Heading1"/>
        <w:numPr>
          <w:ilvl w:val="0"/>
          <w:numId w:val="0"/>
        </w:numPr>
        <w:ind w:left="567" w:hanging="477"/>
        <w:rPr>
          <w:b w:val="0"/>
          <w:i/>
        </w:rPr>
      </w:pPr>
      <w:bookmarkStart w:id="48" w:name="_Toc149923628"/>
      <w:r>
        <w:rPr>
          <w:color w:val="000000"/>
        </w:rPr>
        <w:t xml:space="preserve">29 </w:t>
      </w:r>
      <w:r>
        <w:rPr>
          <w:color w:val="000000"/>
        </w:rPr>
        <w:tab/>
      </w:r>
      <w:r w:rsidR="00780368">
        <w:rPr>
          <w:color w:val="000000"/>
        </w:rPr>
        <w:t>Reconciliation of Liabilities arising from Financing Activities</w:t>
      </w:r>
      <w:bookmarkEnd w:id="48"/>
    </w:p>
    <w:p w14:paraId="741C1882"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table below sets out an analysis of liabilities from financing activities and the movements in the Group’s liabilities from financing activities for each of the periods presented. The items of these liabilities are those that are reported as financing in the consolidated statement of cash flows:</w:t>
      </w:r>
    </w:p>
    <w:p w14:paraId="74E52A96" w14:textId="77777777" w:rsidR="008E5DE4" w:rsidRDefault="008E5DE4"/>
    <w:tbl>
      <w:tblPr>
        <w:tblStyle w:val="afffffffff9"/>
        <w:tblW w:w="9215" w:type="dxa"/>
        <w:tblBorders>
          <w:top w:val="nil"/>
          <w:left w:val="nil"/>
          <w:bottom w:val="nil"/>
          <w:right w:val="nil"/>
          <w:insideH w:val="nil"/>
          <w:insideV w:val="nil"/>
        </w:tblBorders>
        <w:tblLayout w:type="fixed"/>
        <w:tblLook w:val="0400" w:firstRow="0" w:lastRow="0" w:firstColumn="0" w:lastColumn="0" w:noHBand="0" w:noVBand="1"/>
      </w:tblPr>
      <w:tblGrid>
        <w:gridCol w:w="1699"/>
        <w:gridCol w:w="736"/>
        <w:gridCol w:w="539"/>
        <w:gridCol w:w="567"/>
        <w:gridCol w:w="567"/>
        <w:gridCol w:w="854"/>
        <w:gridCol w:w="571"/>
        <w:gridCol w:w="737"/>
        <w:gridCol w:w="453"/>
        <w:gridCol w:w="510"/>
        <w:gridCol w:w="567"/>
        <w:gridCol w:w="846"/>
        <w:gridCol w:w="569"/>
      </w:tblGrid>
      <w:tr w:rsidR="008E5DE4" w14:paraId="1B3C4148" w14:textId="77777777">
        <w:trPr>
          <w:cantSplit/>
        </w:trPr>
        <w:tc>
          <w:tcPr>
            <w:tcW w:w="1699" w:type="dxa"/>
            <w:tcBorders>
              <w:left w:val="nil"/>
              <w:right w:val="nil"/>
            </w:tcBorders>
            <w:vAlign w:val="bottom"/>
          </w:tcPr>
          <w:p w14:paraId="169FAF83" w14:textId="77777777" w:rsidR="008E5DE4" w:rsidRDefault="008E5DE4">
            <w:pPr>
              <w:widowControl w:val="0"/>
              <w:ind w:left="113" w:right="-57" w:hanging="113"/>
              <w:rPr>
                <w:i/>
                <w:sz w:val="16"/>
                <w:szCs w:val="16"/>
              </w:rPr>
            </w:pPr>
          </w:p>
        </w:tc>
        <w:tc>
          <w:tcPr>
            <w:tcW w:w="3834" w:type="dxa"/>
            <w:gridSpan w:val="6"/>
            <w:tcBorders>
              <w:left w:val="nil"/>
              <w:right w:val="nil"/>
            </w:tcBorders>
          </w:tcPr>
          <w:p w14:paraId="071CE12D" w14:textId="35CCDF8F" w:rsidR="008E5DE4" w:rsidRDefault="00780368">
            <w:pPr>
              <w:widowControl w:val="0"/>
              <w:pBdr>
                <w:top w:val="nil"/>
                <w:left w:val="nil"/>
                <w:bottom w:val="single" w:sz="4" w:space="1" w:color="000000"/>
                <w:right w:val="nil"/>
                <w:between w:val="nil"/>
              </w:pBdr>
              <w:ind w:left="170" w:right="170"/>
              <w:jc w:val="center"/>
              <w:rPr>
                <w:b/>
                <w:color w:val="000000"/>
                <w:sz w:val="16"/>
                <w:szCs w:val="16"/>
              </w:rPr>
            </w:pPr>
            <w:r>
              <w:rPr>
                <w:b/>
                <w:color w:val="000000"/>
                <w:sz w:val="16"/>
                <w:szCs w:val="16"/>
              </w:rPr>
              <w:t xml:space="preserve">Year ended 31 December </w:t>
            </w:r>
            <w:r w:rsidR="008614F8">
              <w:rPr>
                <w:b/>
                <w:color w:val="000000"/>
                <w:sz w:val="16"/>
                <w:szCs w:val="16"/>
              </w:rPr>
              <w:t>2025</w:t>
            </w:r>
          </w:p>
        </w:tc>
        <w:tc>
          <w:tcPr>
            <w:tcW w:w="3682" w:type="dxa"/>
            <w:gridSpan w:val="6"/>
            <w:tcBorders>
              <w:left w:val="nil"/>
              <w:right w:val="nil"/>
            </w:tcBorders>
          </w:tcPr>
          <w:p w14:paraId="79F731BE" w14:textId="6D1CD3C0" w:rsidR="008E5DE4" w:rsidRDefault="00780368">
            <w:pPr>
              <w:widowControl w:val="0"/>
              <w:pBdr>
                <w:top w:val="nil"/>
                <w:left w:val="nil"/>
                <w:bottom w:val="single" w:sz="4" w:space="1" w:color="000000"/>
                <w:right w:val="nil"/>
                <w:between w:val="nil"/>
              </w:pBdr>
              <w:ind w:left="170" w:right="170"/>
              <w:jc w:val="center"/>
              <w:rPr>
                <w:b/>
                <w:color w:val="000000"/>
                <w:sz w:val="16"/>
                <w:szCs w:val="16"/>
              </w:rPr>
            </w:pPr>
            <w:r>
              <w:rPr>
                <w:b/>
                <w:color w:val="000000"/>
                <w:sz w:val="16"/>
                <w:szCs w:val="16"/>
              </w:rPr>
              <w:t xml:space="preserve">Year ended 31 December </w:t>
            </w:r>
            <w:r w:rsidR="00FF468A">
              <w:rPr>
                <w:b/>
                <w:color w:val="000000"/>
                <w:sz w:val="16"/>
                <w:szCs w:val="16"/>
              </w:rPr>
              <w:t>2024</w:t>
            </w:r>
          </w:p>
        </w:tc>
      </w:tr>
      <w:tr w:rsidR="008E5DE4" w14:paraId="71D6CDF5" w14:textId="77777777">
        <w:trPr>
          <w:cantSplit/>
        </w:trPr>
        <w:tc>
          <w:tcPr>
            <w:tcW w:w="1699" w:type="dxa"/>
            <w:tcBorders>
              <w:left w:val="nil"/>
              <w:bottom w:val="single" w:sz="4" w:space="0" w:color="000000"/>
              <w:right w:val="nil"/>
            </w:tcBorders>
            <w:vAlign w:val="bottom"/>
          </w:tcPr>
          <w:p w14:paraId="71A1395A" w14:textId="77777777" w:rsidR="008E5DE4" w:rsidRDefault="00780368">
            <w:pPr>
              <w:widowControl w:val="0"/>
              <w:ind w:left="113" w:right="-57" w:hanging="113"/>
              <w:rPr>
                <w:i/>
                <w:sz w:val="16"/>
                <w:szCs w:val="16"/>
              </w:rPr>
            </w:pPr>
            <w:r>
              <w:rPr>
                <w:i/>
                <w:sz w:val="16"/>
                <w:szCs w:val="16"/>
              </w:rPr>
              <w:t>In thousands or EUR</w:t>
            </w:r>
          </w:p>
        </w:tc>
        <w:tc>
          <w:tcPr>
            <w:tcW w:w="736" w:type="dxa"/>
            <w:tcBorders>
              <w:left w:val="nil"/>
              <w:bottom w:val="single" w:sz="4" w:space="0" w:color="000000"/>
              <w:right w:val="nil"/>
            </w:tcBorders>
          </w:tcPr>
          <w:p w14:paraId="51221580" w14:textId="77777777" w:rsidR="008E5DE4" w:rsidRDefault="00780368">
            <w:pPr>
              <w:widowControl w:val="0"/>
              <w:pBdr>
                <w:top w:val="nil"/>
                <w:left w:val="nil"/>
                <w:bottom w:val="nil"/>
                <w:right w:val="nil"/>
                <w:between w:val="nil"/>
              </w:pBdr>
              <w:ind w:left="-113"/>
              <w:jc w:val="right"/>
              <w:rPr>
                <w:color w:val="000000"/>
                <w:sz w:val="16"/>
                <w:szCs w:val="16"/>
              </w:rPr>
            </w:pPr>
            <w:proofErr w:type="gramStart"/>
            <w:r>
              <w:rPr>
                <w:b/>
                <w:color w:val="000000"/>
                <w:sz w:val="16"/>
                <w:szCs w:val="16"/>
              </w:rPr>
              <w:t>Borro-wings</w:t>
            </w:r>
            <w:proofErr w:type="gramEnd"/>
            <w:r>
              <w:rPr>
                <w:b/>
                <w:color w:val="000000"/>
                <w:sz w:val="16"/>
                <w:szCs w:val="16"/>
              </w:rPr>
              <w:t xml:space="preserve"> </w:t>
            </w:r>
          </w:p>
        </w:tc>
        <w:tc>
          <w:tcPr>
            <w:tcW w:w="539" w:type="dxa"/>
            <w:tcBorders>
              <w:left w:val="nil"/>
              <w:bottom w:val="single" w:sz="4" w:space="0" w:color="000000"/>
              <w:right w:val="nil"/>
            </w:tcBorders>
          </w:tcPr>
          <w:p w14:paraId="239FA73E"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Supplier</w:t>
            </w:r>
          </w:p>
          <w:p w14:paraId="3EDFC3E6"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finance</w:t>
            </w:r>
          </w:p>
        </w:tc>
        <w:tc>
          <w:tcPr>
            <w:tcW w:w="567" w:type="dxa"/>
            <w:tcBorders>
              <w:left w:val="nil"/>
              <w:bottom w:val="single" w:sz="4" w:space="0" w:color="000000"/>
              <w:right w:val="nil"/>
            </w:tcBorders>
          </w:tcPr>
          <w:p w14:paraId="296B283F"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Lease </w:t>
            </w:r>
            <w:proofErr w:type="spellStart"/>
            <w:r>
              <w:rPr>
                <w:b/>
                <w:color w:val="000000"/>
                <w:sz w:val="16"/>
                <w:szCs w:val="16"/>
              </w:rPr>
              <w:t>liabi-lities</w:t>
            </w:r>
            <w:proofErr w:type="spellEnd"/>
          </w:p>
        </w:tc>
        <w:tc>
          <w:tcPr>
            <w:tcW w:w="567" w:type="dxa"/>
            <w:tcBorders>
              <w:left w:val="nil"/>
              <w:bottom w:val="single" w:sz="4" w:space="0" w:color="000000"/>
              <w:right w:val="nil"/>
            </w:tcBorders>
          </w:tcPr>
          <w:p w14:paraId="0EF3BCA0"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Divi-</w:t>
            </w:r>
            <w:proofErr w:type="spellStart"/>
            <w:r>
              <w:rPr>
                <w:b/>
                <w:color w:val="000000"/>
                <w:sz w:val="16"/>
                <w:szCs w:val="16"/>
              </w:rPr>
              <w:t>dend</w:t>
            </w:r>
            <w:proofErr w:type="spellEnd"/>
            <w:r>
              <w:rPr>
                <w:b/>
                <w:color w:val="000000"/>
                <w:sz w:val="16"/>
                <w:szCs w:val="16"/>
              </w:rPr>
              <w:t xml:space="preserve"> pay-able</w:t>
            </w:r>
          </w:p>
        </w:tc>
        <w:tc>
          <w:tcPr>
            <w:tcW w:w="854" w:type="dxa"/>
            <w:tcBorders>
              <w:left w:val="nil"/>
              <w:bottom w:val="single" w:sz="4" w:space="0" w:color="000000"/>
              <w:right w:val="nil"/>
            </w:tcBorders>
          </w:tcPr>
          <w:p w14:paraId="5D7A4D2A" w14:textId="7D5FFD2C" w:rsidR="008E5DE4" w:rsidRDefault="00780368" w:rsidP="00762DDC">
            <w:pPr>
              <w:widowControl w:val="0"/>
              <w:pBdr>
                <w:top w:val="nil"/>
                <w:left w:val="nil"/>
                <w:bottom w:val="nil"/>
                <w:right w:val="nil"/>
                <w:between w:val="nil"/>
              </w:pBdr>
              <w:ind w:left="-113"/>
              <w:jc w:val="right"/>
              <w:rPr>
                <w:color w:val="000000"/>
                <w:sz w:val="16"/>
                <w:szCs w:val="16"/>
              </w:rPr>
            </w:pPr>
            <w:r>
              <w:rPr>
                <w:b/>
                <w:color w:val="000000"/>
                <w:sz w:val="16"/>
                <w:szCs w:val="16"/>
              </w:rPr>
              <w:t xml:space="preserve">Other </w:t>
            </w:r>
            <w:proofErr w:type="spellStart"/>
            <w:r>
              <w:rPr>
                <w:b/>
                <w:color w:val="000000"/>
                <w:sz w:val="16"/>
                <w:szCs w:val="16"/>
              </w:rPr>
              <w:t>finan-cing</w:t>
            </w:r>
            <w:proofErr w:type="spellEnd"/>
            <w:r>
              <w:rPr>
                <w:b/>
                <w:color w:val="000000"/>
                <w:sz w:val="16"/>
                <w:szCs w:val="16"/>
              </w:rPr>
              <w:t xml:space="preserve"> </w:t>
            </w:r>
            <w:proofErr w:type="spellStart"/>
            <w:r>
              <w:rPr>
                <w:b/>
                <w:color w:val="000000"/>
                <w:sz w:val="16"/>
                <w:szCs w:val="16"/>
              </w:rPr>
              <w:t>liabi-lities</w:t>
            </w:r>
            <w:proofErr w:type="spellEnd"/>
          </w:p>
        </w:tc>
        <w:tc>
          <w:tcPr>
            <w:tcW w:w="571" w:type="dxa"/>
            <w:tcBorders>
              <w:left w:val="nil"/>
              <w:bottom w:val="single" w:sz="4" w:space="0" w:color="000000"/>
              <w:right w:val="nil"/>
            </w:tcBorders>
          </w:tcPr>
          <w:p w14:paraId="37EF3D6B" w14:textId="77777777" w:rsidR="008E5DE4" w:rsidRDefault="00780368">
            <w:pPr>
              <w:widowControl w:val="0"/>
              <w:pBdr>
                <w:top w:val="nil"/>
                <w:left w:val="nil"/>
                <w:bottom w:val="nil"/>
                <w:right w:val="nil"/>
                <w:between w:val="nil"/>
              </w:pBdr>
              <w:ind w:left="-113"/>
              <w:jc w:val="right"/>
              <w:rPr>
                <w:i/>
                <w:color w:val="FF0000"/>
                <w:sz w:val="16"/>
                <w:szCs w:val="16"/>
              </w:rPr>
            </w:pPr>
            <w:r>
              <w:rPr>
                <w:b/>
                <w:color w:val="000000"/>
                <w:sz w:val="16"/>
                <w:szCs w:val="16"/>
              </w:rPr>
              <w:t xml:space="preserve">Total </w:t>
            </w:r>
          </w:p>
        </w:tc>
        <w:tc>
          <w:tcPr>
            <w:tcW w:w="737" w:type="dxa"/>
            <w:tcBorders>
              <w:left w:val="nil"/>
              <w:bottom w:val="single" w:sz="4" w:space="0" w:color="000000"/>
              <w:right w:val="nil"/>
            </w:tcBorders>
          </w:tcPr>
          <w:p w14:paraId="701400B1" w14:textId="77777777" w:rsidR="008E5DE4" w:rsidRDefault="00780368">
            <w:pPr>
              <w:widowControl w:val="0"/>
              <w:pBdr>
                <w:top w:val="nil"/>
                <w:left w:val="nil"/>
                <w:bottom w:val="nil"/>
                <w:right w:val="nil"/>
                <w:between w:val="nil"/>
              </w:pBdr>
              <w:ind w:left="-113"/>
              <w:jc w:val="right"/>
              <w:rPr>
                <w:b/>
                <w:color w:val="000000"/>
                <w:sz w:val="16"/>
                <w:szCs w:val="16"/>
              </w:rPr>
            </w:pPr>
            <w:proofErr w:type="gramStart"/>
            <w:r>
              <w:rPr>
                <w:b/>
                <w:color w:val="000000"/>
                <w:sz w:val="16"/>
                <w:szCs w:val="16"/>
              </w:rPr>
              <w:t>Borro-wings</w:t>
            </w:r>
            <w:proofErr w:type="gramEnd"/>
            <w:r>
              <w:rPr>
                <w:b/>
                <w:color w:val="000000"/>
                <w:sz w:val="16"/>
                <w:szCs w:val="16"/>
              </w:rPr>
              <w:t xml:space="preserve"> </w:t>
            </w:r>
          </w:p>
        </w:tc>
        <w:tc>
          <w:tcPr>
            <w:tcW w:w="453" w:type="dxa"/>
            <w:tcBorders>
              <w:left w:val="nil"/>
              <w:bottom w:val="single" w:sz="4" w:space="0" w:color="000000"/>
              <w:right w:val="nil"/>
            </w:tcBorders>
          </w:tcPr>
          <w:p w14:paraId="4A6B89CD"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Supplier</w:t>
            </w:r>
          </w:p>
          <w:p w14:paraId="1A924EEC"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Finance </w:t>
            </w:r>
          </w:p>
        </w:tc>
        <w:tc>
          <w:tcPr>
            <w:tcW w:w="510" w:type="dxa"/>
            <w:tcBorders>
              <w:left w:val="nil"/>
              <w:bottom w:val="single" w:sz="4" w:space="0" w:color="000000"/>
              <w:right w:val="nil"/>
            </w:tcBorders>
          </w:tcPr>
          <w:p w14:paraId="79EA7837"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Lease </w:t>
            </w:r>
            <w:proofErr w:type="spellStart"/>
            <w:r>
              <w:rPr>
                <w:b/>
                <w:color w:val="000000"/>
                <w:sz w:val="16"/>
                <w:szCs w:val="16"/>
              </w:rPr>
              <w:t>liabi-lities</w:t>
            </w:r>
            <w:proofErr w:type="spellEnd"/>
          </w:p>
        </w:tc>
        <w:tc>
          <w:tcPr>
            <w:tcW w:w="567" w:type="dxa"/>
            <w:tcBorders>
              <w:left w:val="nil"/>
              <w:bottom w:val="single" w:sz="4" w:space="0" w:color="000000"/>
              <w:right w:val="nil"/>
            </w:tcBorders>
          </w:tcPr>
          <w:p w14:paraId="3312D6EF"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Divi-</w:t>
            </w:r>
            <w:proofErr w:type="spellStart"/>
            <w:r>
              <w:rPr>
                <w:b/>
                <w:color w:val="000000"/>
                <w:sz w:val="16"/>
                <w:szCs w:val="16"/>
              </w:rPr>
              <w:t>dend</w:t>
            </w:r>
            <w:proofErr w:type="spellEnd"/>
            <w:r>
              <w:rPr>
                <w:b/>
                <w:color w:val="000000"/>
                <w:sz w:val="16"/>
                <w:szCs w:val="16"/>
              </w:rPr>
              <w:t xml:space="preserve"> pay-able</w:t>
            </w:r>
          </w:p>
        </w:tc>
        <w:tc>
          <w:tcPr>
            <w:tcW w:w="846" w:type="dxa"/>
            <w:tcBorders>
              <w:left w:val="nil"/>
              <w:bottom w:val="single" w:sz="4" w:space="0" w:color="000000"/>
              <w:right w:val="nil"/>
            </w:tcBorders>
          </w:tcPr>
          <w:p w14:paraId="5E936D8D" w14:textId="6C6CEECC" w:rsidR="008E5DE4" w:rsidRDefault="00780368" w:rsidP="00762DDC">
            <w:pPr>
              <w:widowControl w:val="0"/>
              <w:pBdr>
                <w:top w:val="nil"/>
                <w:left w:val="nil"/>
                <w:bottom w:val="nil"/>
                <w:right w:val="nil"/>
                <w:between w:val="nil"/>
              </w:pBdr>
              <w:ind w:left="-113"/>
              <w:jc w:val="right"/>
              <w:rPr>
                <w:b/>
                <w:color w:val="000000"/>
                <w:sz w:val="16"/>
                <w:szCs w:val="16"/>
              </w:rPr>
            </w:pPr>
            <w:r>
              <w:rPr>
                <w:b/>
                <w:color w:val="000000"/>
                <w:sz w:val="16"/>
                <w:szCs w:val="16"/>
              </w:rPr>
              <w:t xml:space="preserve">Other </w:t>
            </w:r>
            <w:proofErr w:type="spellStart"/>
            <w:r>
              <w:rPr>
                <w:b/>
                <w:color w:val="000000"/>
                <w:sz w:val="16"/>
                <w:szCs w:val="16"/>
              </w:rPr>
              <w:t>finan-cing</w:t>
            </w:r>
            <w:proofErr w:type="spellEnd"/>
            <w:r>
              <w:rPr>
                <w:b/>
                <w:color w:val="000000"/>
                <w:sz w:val="16"/>
                <w:szCs w:val="16"/>
              </w:rPr>
              <w:t xml:space="preserve"> liabi-lities</w:t>
            </w:r>
          </w:p>
        </w:tc>
        <w:tc>
          <w:tcPr>
            <w:tcW w:w="569" w:type="dxa"/>
            <w:tcBorders>
              <w:left w:val="nil"/>
              <w:bottom w:val="single" w:sz="4" w:space="0" w:color="000000"/>
              <w:right w:val="nil"/>
            </w:tcBorders>
          </w:tcPr>
          <w:p w14:paraId="58DEAE6F"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Total </w:t>
            </w:r>
          </w:p>
        </w:tc>
      </w:tr>
      <w:tr w:rsidR="008E5DE4" w14:paraId="0468BD50" w14:textId="77777777">
        <w:trPr>
          <w:cantSplit/>
        </w:trPr>
        <w:tc>
          <w:tcPr>
            <w:tcW w:w="1699" w:type="dxa"/>
            <w:tcBorders>
              <w:top w:val="single" w:sz="4" w:space="0" w:color="000000"/>
              <w:left w:val="nil"/>
              <w:right w:val="nil"/>
            </w:tcBorders>
            <w:vAlign w:val="bottom"/>
          </w:tcPr>
          <w:p w14:paraId="58A836F3" w14:textId="77777777" w:rsidR="008E5DE4" w:rsidRDefault="008E5DE4">
            <w:pPr>
              <w:widowControl w:val="0"/>
              <w:pBdr>
                <w:top w:val="nil"/>
                <w:left w:val="nil"/>
                <w:bottom w:val="nil"/>
                <w:right w:val="nil"/>
                <w:between w:val="nil"/>
              </w:pBdr>
              <w:ind w:left="113" w:right="-57" w:hanging="113"/>
              <w:rPr>
                <w:b/>
                <w:color w:val="000000"/>
                <w:sz w:val="16"/>
                <w:szCs w:val="16"/>
              </w:rPr>
            </w:pPr>
          </w:p>
        </w:tc>
        <w:tc>
          <w:tcPr>
            <w:tcW w:w="736" w:type="dxa"/>
            <w:tcBorders>
              <w:top w:val="single" w:sz="4" w:space="0" w:color="000000"/>
              <w:left w:val="nil"/>
              <w:right w:val="nil"/>
            </w:tcBorders>
            <w:vAlign w:val="bottom"/>
          </w:tcPr>
          <w:p w14:paraId="4850E75C" w14:textId="77777777" w:rsidR="008E5DE4" w:rsidRDefault="008E5DE4">
            <w:pPr>
              <w:widowControl w:val="0"/>
              <w:pBdr>
                <w:top w:val="nil"/>
                <w:left w:val="nil"/>
                <w:bottom w:val="nil"/>
                <w:right w:val="nil"/>
                <w:between w:val="nil"/>
              </w:pBdr>
              <w:jc w:val="right"/>
              <w:rPr>
                <w:color w:val="000000"/>
                <w:sz w:val="16"/>
                <w:szCs w:val="16"/>
              </w:rPr>
            </w:pPr>
          </w:p>
        </w:tc>
        <w:tc>
          <w:tcPr>
            <w:tcW w:w="539" w:type="dxa"/>
            <w:tcBorders>
              <w:top w:val="single" w:sz="4" w:space="0" w:color="000000"/>
              <w:left w:val="nil"/>
              <w:right w:val="nil"/>
            </w:tcBorders>
          </w:tcPr>
          <w:p w14:paraId="62C8A184"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top w:val="single" w:sz="4" w:space="0" w:color="000000"/>
              <w:left w:val="nil"/>
              <w:right w:val="nil"/>
            </w:tcBorders>
          </w:tcPr>
          <w:p w14:paraId="45E930C6"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top w:val="single" w:sz="4" w:space="0" w:color="000000"/>
              <w:left w:val="nil"/>
              <w:right w:val="nil"/>
            </w:tcBorders>
          </w:tcPr>
          <w:p w14:paraId="1E010462" w14:textId="77777777" w:rsidR="008E5DE4" w:rsidRDefault="008E5DE4">
            <w:pPr>
              <w:widowControl w:val="0"/>
              <w:pBdr>
                <w:top w:val="nil"/>
                <w:left w:val="nil"/>
                <w:bottom w:val="nil"/>
                <w:right w:val="nil"/>
                <w:between w:val="nil"/>
              </w:pBdr>
              <w:jc w:val="right"/>
              <w:rPr>
                <w:color w:val="000000"/>
                <w:sz w:val="16"/>
                <w:szCs w:val="16"/>
              </w:rPr>
            </w:pPr>
          </w:p>
        </w:tc>
        <w:tc>
          <w:tcPr>
            <w:tcW w:w="854" w:type="dxa"/>
            <w:tcBorders>
              <w:top w:val="single" w:sz="4" w:space="0" w:color="000000"/>
              <w:left w:val="nil"/>
              <w:right w:val="nil"/>
            </w:tcBorders>
            <w:vAlign w:val="bottom"/>
          </w:tcPr>
          <w:p w14:paraId="2811DF06" w14:textId="77777777" w:rsidR="008E5DE4" w:rsidRDefault="008E5DE4">
            <w:pPr>
              <w:widowControl w:val="0"/>
              <w:pBdr>
                <w:top w:val="nil"/>
                <w:left w:val="nil"/>
                <w:bottom w:val="nil"/>
                <w:right w:val="nil"/>
                <w:between w:val="nil"/>
              </w:pBdr>
              <w:jc w:val="right"/>
              <w:rPr>
                <w:color w:val="000000"/>
                <w:sz w:val="16"/>
                <w:szCs w:val="16"/>
              </w:rPr>
            </w:pPr>
          </w:p>
        </w:tc>
        <w:tc>
          <w:tcPr>
            <w:tcW w:w="571" w:type="dxa"/>
            <w:tcBorders>
              <w:top w:val="single" w:sz="4" w:space="0" w:color="000000"/>
              <w:left w:val="nil"/>
              <w:right w:val="nil"/>
            </w:tcBorders>
            <w:vAlign w:val="bottom"/>
          </w:tcPr>
          <w:p w14:paraId="50A59E3A" w14:textId="77777777" w:rsidR="008E5DE4" w:rsidRDefault="008E5DE4">
            <w:pPr>
              <w:widowControl w:val="0"/>
              <w:pBdr>
                <w:top w:val="nil"/>
                <w:left w:val="nil"/>
                <w:bottom w:val="nil"/>
                <w:right w:val="nil"/>
                <w:between w:val="nil"/>
              </w:pBdr>
              <w:jc w:val="right"/>
              <w:rPr>
                <w:color w:val="000000"/>
                <w:sz w:val="16"/>
                <w:szCs w:val="16"/>
              </w:rPr>
            </w:pPr>
          </w:p>
        </w:tc>
        <w:tc>
          <w:tcPr>
            <w:tcW w:w="737" w:type="dxa"/>
            <w:tcBorders>
              <w:top w:val="single" w:sz="4" w:space="0" w:color="000000"/>
              <w:left w:val="nil"/>
              <w:right w:val="nil"/>
            </w:tcBorders>
          </w:tcPr>
          <w:p w14:paraId="7CB407FC" w14:textId="77777777" w:rsidR="008E5DE4" w:rsidRDefault="008E5DE4">
            <w:pPr>
              <w:widowControl w:val="0"/>
              <w:pBdr>
                <w:top w:val="nil"/>
                <w:left w:val="nil"/>
                <w:bottom w:val="nil"/>
                <w:right w:val="nil"/>
                <w:between w:val="nil"/>
              </w:pBdr>
              <w:jc w:val="right"/>
              <w:rPr>
                <w:color w:val="000000"/>
                <w:sz w:val="16"/>
                <w:szCs w:val="16"/>
              </w:rPr>
            </w:pPr>
          </w:p>
        </w:tc>
        <w:tc>
          <w:tcPr>
            <w:tcW w:w="453" w:type="dxa"/>
            <w:tcBorders>
              <w:top w:val="single" w:sz="4" w:space="0" w:color="000000"/>
              <w:left w:val="nil"/>
              <w:right w:val="nil"/>
            </w:tcBorders>
          </w:tcPr>
          <w:p w14:paraId="21A3447C" w14:textId="77777777" w:rsidR="008E5DE4" w:rsidRDefault="008E5DE4">
            <w:pPr>
              <w:widowControl w:val="0"/>
              <w:pBdr>
                <w:top w:val="nil"/>
                <w:left w:val="nil"/>
                <w:bottom w:val="nil"/>
                <w:right w:val="nil"/>
                <w:between w:val="nil"/>
              </w:pBdr>
              <w:jc w:val="right"/>
              <w:rPr>
                <w:color w:val="000000"/>
                <w:sz w:val="16"/>
                <w:szCs w:val="16"/>
              </w:rPr>
            </w:pPr>
          </w:p>
        </w:tc>
        <w:tc>
          <w:tcPr>
            <w:tcW w:w="510" w:type="dxa"/>
            <w:tcBorders>
              <w:top w:val="single" w:sz="4" w:space="0" w:color="000000"/>
              <w:left w:val="nil"/>
              <w:right w:val="nil"/>
            </w:tcBorders>
          </w:tcPr>
          <w:p w14:paraId="0F871F4B"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top w:val="single" w:sz="4" w:space="0" w:color="000000"/>
              <w:left w:val="nil"/>
              <w:right w:val="nil"/>
            </w:tcBorders>
          </w:tcPr>
          <w:p w14:paraId="4DC83658" w14:textId="77777777" w:rsidR="008E5DE4" w:rsidRDefault="008E5DE4">
            <w:pPr>
              <w:widowControl w:val="0"/>
              <w:pBdr>
                <w:top w:val="nil"/>
                <w:left w:val="nil"/>
                <w:bottom w:val="nil"/>
                <w:right w:val="nil"/>
                <w:between w:val="nil"/>
              </w:pBdr>
              <w:jc w:val="right"/>
              <w:rPr>
                <w:color w:val="000000"/>
                <w:sz w:val="16"/>
                <w:szCs w:val="16"/>
              </w:rPr>
            </w:pPr>
          </w:p>
        </w:tc>
        <w:tc>
          <w:tcPr>
            <w:tcW w:w="846" w:type="dxa"/>
            <w:tcBorders>
              <w:top w:val="single" w:sz="4" w:space="0" w:color="000000"/>
              <w:left w:val="nil"/>
              <w:right w:val="nil"/>
            </w:tcBorders>
          </w:tcPr>
          <w:p w14:paraId="14D9AD5B" w14:textId="77777777" w:rsidR="008E5DE4" w:rsidRDefault="008E5DE4">
            <w:pPr>
              <w:widowControl w:val="0"/>
              <w:pBdr>
                <w:top w:val="nil"/>
                <w:left w:val="nil"/>
                <w:bottom w:val="nil"/>
                <w:right w:val="nil"/>
                <w:between w:val="nil"/>
              </w:pBdr>
              <w:jc w:val="right"/>
              <w:rPr>
                <w:color w:val="000000"/>
                <w:sz w:val="16"/>
                <w:szCs w:val="16"/>
              </w:rPr>
            </w:pPr>
          </w:p>
        </w:tc>
        <w:tc>
          <w:tcPr>
            <w:tcW w:w="569" w:type="dxa"/>
            <w:tcBorders>
              <w:top w:val="single" w:sz="4" w:space="0" w:color="000000"/>
              <w:left w:val="nil"/>
              <w:right w:val="nil"/>
            </w:tcBorders>
          </w:tcPr>
          <w:p w14:paraId="7DDC384C" w14:textId="77777777" w:rsidR="008E5DE4" w:rsidRDefault="008E5DE4">
            <w:pPr>
              <w:widowControl w:val="0"/>
              <w:pBdr>
                <w:top w:val="nil"/>
                <w:left w:val="nil"/>
                <w:bottom w:val="nil"/>
                <w:right w:val="nil"/>
                <w:between w:val="nil"/>
              </w:pBdr>
              <w:jc w:val="right"/>
              <w:rPr>
                <w:color w:val="000000"/>
                <w:sz w:val="16"/>
                <w:szCs w:val="16"/>
              </w:rPr>
            </w:pPr>
          </w:p>
        </w:tc>
      </w:tr>
      <w:tr w:rsidR="008E5DE4" w14:paraId="18DC4AE7" w14:textId="77777777">
        <w:trPr>
          <w:cantSplit/>
        </w:trPr>
        <w:tc>
          <w:tcPr>
            <w:tcW w:w="1699" w:type="dxa"/>
            <w:tcBorders>
              <w:left w:val="nil"/>
              <w:bottom w:val="nil"/>
              <w:right w:val="nil"/>
            </w:tcBorders>
            <w:vAlign w:val="bottom"/>
          </w:tcPr>
          <w:p w14:paraId="413369B9"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 xml:space="preserve">Liabilities from financing activities </w:t>
            </w:r>
            <w:proofErr w:type="gramStart"/>
            <w:r>
              <w:rPr>
                <w:b/>
                <w:color w:val="000000"/>
                <w:sz w:val="16"/>
                <w:szCs w:val="16"/>
              </w:rPr>
              <w:t>at</w:t>
            </w:r>
            <w:proofErr w:type="gramEnd"/>
            <w:r>
              <w:rPr>
                <w:b/>
                <w:color w:val="000000"/>
                <w:sz w:val="16"/>
                <w:szCs w:val="16"/>
              </w:rPr>
              <w:t xml:space="preserve"> 1 January </w:t>
            </w:r>
          </w:p>
        </w:tc>
        <w:tc>
          <w:tcPr>
            <w:tcW w:w="736" w:type="dxa"/>
            <w:tcBorders>
              <w:left w:val="nil"/>
              <w:bottom w:val="nil"/>
              <w:right w:val="nil"/>
            </w:tcBorders>
            <w:vAlign w:val="bottom"/>
          </w:tcPr>
          <w:p w14:paraId="6C6BB8DE" w14:textId="77777777" w:rsidR="008E5DE4" w:rsidRDefault="008E5DE4">
            <w:pPr>
              <w:widowControl w:val="0"/>
              <w:pBdr>
                <w:top w:val="nil"/>
                <w:left w:val="nil"/>
                <w:bottom w:val="nil"/>
                <w:right w:val="nil"/>
                <w:between w:val="nil"/>
              </w:pBdr>
              <w:jc w:val="right"/>
              <w:rPr>
                <w:color w:val="000000"/>
                <w:sz w:val="16"/>
                <w:szCs w:val="16"/>
              </w:rPr>
            </w:pPr>
          </w:p>
        </w:tc>
        <w:tc>
          <w:tcPr>
            <w:tcW w:w="539" w:type="dxa"/>
            <w:tcBorders>
              <w:left w:val="nil"/>
              <w:bottom w:val="nil"/>
              <w:right w:val="nil"/>
            </w:tcBorders>
          </w:tcPr>
          <w:p w14:paraId="7BA0149B"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left w:val="nil"/>
              <w:bottom w:val="nil"/>
              <w:right w:val="nil"/>
            </w:tcBorders>
          </w:tcPr>
          <w:p w14:paraId="4743772B"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left w:val="nil"/>
              <w:bottom w:val="nil"/>
              <w:right w:val="nil"/>
            </w:tcBorders>
          </w:tcPr>
          <w:p w14:paraId="023F8604" w14:textId="77777777" w:rsidR="008E5DE4" w:rsidRDefault="008E5DE4">
            <w:pPr>
              <w:widowControl w:val="0"/>
              <w:pBdr>
                <w:top w:val="nil"/>
                <w:left w:val="nil"/>
                <w:bottom w:val="nil"/>
                <w:right w:val="nil"/>
                <w:between w:val="nil"/>
              </w:pBdr>
              <w:jc w:val="right"/>
              <w:rPr>
                <w:color w:val="000000"/>
                <w:sz w:val="16"/>
                <w:szCs w:val="16"/>
              </w:rPr>
            </w:pPr>
          </w:p>
        </w:tc>
        <w:tc>
          <w:tcPr>
            <w:tcW w:w="854" w:type="dxa"/>
            <w:tcBorders>
              <w:left w:val="nil"/>
              <w:bottom w:val="nil"/>
              <w:right w:val="nil"/>
            </w:tcBorders>
            <w:vAlign w:val="bottom"/>
          </w:tcPr>
          <w:p w14:paraId="5A04EF50" w14:textId="77777777" w:rsidR="008E5DE4" w:rsidRDefault="008E5DE4">
            <w:pPr>
              <w:widowControl w:val="0"/>
              <w:pBdr>
                <w:top w:val="nil"/>
                <w:left w:val="nil"/>
                <w:bottom w:val="nil"/>
                <w:right w:val="nil"/>
                <w:between w:val="nil"/>
              </w:pBdr>
              <w:jc w:val="right"/>
              <w:rPr>
                <w:color w:val="000000"/>
                <w:sz w:val="16"/>
                <w:szCs w:val="16"/>
              </w:rPr>
            </w:pPr>
          </w:p>
        </w:tc>
        <w:tc>
          <w:tcPr>
            <w:tcW w:w="571" w:type="dxa"/>
            <w:tcBorders>
              <w:left w:val="nil"/>
              <w:bottom w:val="nil"/>
              <w:right w:val="nil"/>
            </w:tcBorders>
            <w:vAlign w:val="bottom"/>
          </w:tcPr>
          <w:p w14:paraId="0A5DC22F" w14:textId="77777777" w:rsidR="008E5DE4" w:rsidRDefault="008E5DE4">
            <w:pPr>
              <w:widowControl w:val="0"/>
              <w:pBdr>
                <w:top w:val="nil"/>
                <w:left w:val="nil"/>
                <w:bottom w:val="nil"/>
                <w:right w:val="nil"/>
                <w:between w:val="nil"/>
              </w:pBdr>
              <w:jc w:val="right"/>
              <w:rPr>
                <w:color w:val="000000"/>
                <w:sz w:val="16"/>
                <w:szCs w:val="16"/>
              </w:rPr>
            </w:pPr>
          </w:p>
        </w:tc>
        <w:tc>
          <w:tcPr>
            <w:tcW w:w="737" w:type="dxa"/>
            <w:tcBorders>
              <w:left w:val="nil"/>
              <w:bottom w:val="nil"/>
              <w:right w:val="nil"/>
            </w:tcBorders>
          </w:tcPr>
          <w:p w14:paraId="49EF41B1" w14:textId="77777777" w:rsidR="008E5DE4" w:rsidRDefault="008E5DE4">
            <w:pPr>
              <w:widowControl w:val="0"/>
              <w:pBdr>
                <w:top w:val="nil"/>
                <w:left w:val="nil"/>
                <w:bottom w:val="nil"/>
                <w:right w:val="nil"/>
                <w:between w:val="nil"/>
              </w:pBdr>
              <w:jc w:val="right"/>
              <w:rPr>
                <w:color w:val="000000"/>
                <w:sz w:val="16"/>
                <w:szCs w:val="16"/>
              </w:rPr>
            </w:pPr>
          </w:p>
        </w:tc>
        <w:tc>
          <w:tcPr>
            <w:tcW w:w="453" w:type="dxa"/>
            <w:tcBorders>
              <w:left w:val="nil"/>
              <w:bottom w:val="nil"/>
              <w:right w:val="nil"/>
            </w:tcBorders>
          </w:tcPr>
          <w:p w14:paraId="7AB7FB1D" w14:textId="77777777" w:rsidR="008E5DE4" w:rsidRDefault="008E5DE4">
            <w:pPr>
              <w:widowControl w:val="0"/>
              <w:pBdr>
                <w:top w:val="nil"/>
                <w:left w:val="nil"/>
                <w:bottom w:val="nil"/>
                <w:right w:val="nil"/>
                <w:between w:val="nil"/>
              </w:pBdr>
              <w:jc w:val="right"/>
              <w:rPr>
                <w:color w:val="000000"/>
                <w:sz w:val="16"/>
                <w:szCs w:val="16"/>
              </w:rPr>
            </w:pPr>
          </w:p>
        </w:tc>
        <w:tc>
          <w:tcPr>
            <w:tcW w:w="510" w:type="dxa"/>
            <w:tcBorders>
              <w:left w:val="nil"/>
              <w:bottom w:val="nil"/>
              <w:right w:val="nil"/>
            </w:tcBorders>
          </w:tcPr>
          <w:p w14:paraId="7F29833D"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left w:val="nil"/>
              <w:bottom w:val="nil"/>
              <w:right w:val="nil"/>
            </w:tcBorders>
          </w:tcPr>
          <w:p w14:paraId="769CB72A" w14:textId="77777777" w:rsidR="008E5DE4" w:rsidRDefault="008E5DE4">
            <w:pPr>
              <w:widowControl w:val="0"/>
              <w:pBdr>
                <w:top w:val="nil"/>
                <w:left w:val="nil"/>
                <w:bottom w:val="nil"/>
                <w:right w:val="nil"/>
                <w:between w:val="nil"/>
              </w:pBdr>
              <w:jc w:val="right"/>
              <w:rPr>
                <w:color w:val="000000"/>
                <w:sz w:val="16"/>
                <w:szCs w:val="16"/>
              </w:rPr>
            </w:pPr>
          </w:p>
        </w:tc>
        <w:tc>
          <w:tcPr>
            <w:tcW w:w="846" w:type="dxa"/>
            <w:tcBorders>
              <w:left w:val="nil"/>
              <w:bottom w:val="nil"/>
              <w:right w:val="nil"/>
            </w:tcBorders>
          </w:tcPr>
          <w:p w14:paraId="752BB7C5" w14:textId="77777777" w:rsidR="008E5DE4" w:rsidRDefault="008E5DE4">
            <w:pPr>
              <w:widowControl w:val="0"/>
              <w:pBdr>
                <w:top w:val="nil"/>
                <w:left w:val="nil"/>
                <w:bottom w:val="nil"/>
                <w:right w:val="nil"/>
                <w:between w:val="nil"/>
              </w:pBdr>
              <w:jc w:val="right"/>
              <w:rPr>
                <w:color w:val="000000"/>
                <w:sz w:val="16"/>
                <w:szCs w:val="16"/>
              </w:rPr>
            </w:pPr>
          </w:p>
        </w:tc>
        <w:tc>
          <w:tcPr>
            <w:tcW w:w="569" w:type="dxa"/>
            <w:tcBorders>
              <w:left w:val="nil"/>
              <w:bottom w:val="nil"/>
              <w:right w:val="nil"/>
            </w:tcBorders>
          </w:tcPr>
          <w:p w14:paraId="293607F7" w14:textId="77777777" w:rsidR="008E5DE4" w:rsidRDefault="008E5DE4">
            <w:pPr>
              <w:widowControl w:val="0"/>
              <w:pBdr>
                <w:top w:val="nil"/>
                <w:left w:val="nil"/>
                <w:bottom w:val="nil"/>
                <w:right w:val="nil"/>
                <w:between w:val="nil"/>
              </w:pBdr>
              <w:jc w:val="right"/>
              <w:rPr>
                <w:color w:val="000000"/>
                <w:sz w:val="16"/>
                <w:szCs w:val="16"/>
              </w:rPr>
            </w:pPr>
          </w:p>
        </w:tc>
      </w:tr>
      <w:tr w:rsidR="008E5DE4" w14:paraId="3E8D1962" w14:textId="77777777">
        <w:trPr>
          <w:cantSplit/>
        </w:trPr>
        <w:tc>
          <w:tcPr>
            <w:tcW w:w="1699" w:type="dxa"/>
            <w:vAlign w:val="bottom"/>
          </w:tcPr>
          <w:p w14:paraId="56322DEC"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736" w:type="dxa"/>
            <w:vAlign w:val="bottom"/>
          </w:tcPr>
          <w:p w14:paraId="5E18A4CD"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72774627"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64CB45C5"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65407D4B"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76138135"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6550BBB9"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653E9095"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2C3D7EF2"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4E3BC315"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65B7ED2B"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5C128414"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4D61DDF7" w14:textId="77777777" w:rsidR="008E5DE4" w:rsidRDefault="008E5DE4">
            <w:pPr>
              <w:widowControl w:val="0"/>
              <w:pBdr>
                <w:top w:val="nil"/>
                <w:left w:val="nil"/>
                <w:bottom w:val="nil"/>
                <w:right w:val="nil"/>
                <w:between w:val="nil"/>
              </w:pBdr>
              <w:jc w:val="right"/>
              <w:rPr>
                <w:color w:val="000000"/>
                <w:sz w:val="16"/>
                <w:szCs w:val="16"/>
              </w:rPr>
            </w:pPr>
          </w:p>
        </w:tc>
      </w:tr>
      <w:tr w:rsidR="008E5DE4" w14:paraId="0E6CC99D" w14:textId="77777777">
        <w:trPr>
          <w:cantSplit/>
        </w:trPr>
        <w:tc>
          <w:tcPr>
            <w:tcW w:w="1699" w:type="dxa"/>
            <w:vAlign w:val="bottom"/>
          </w:tcPr>
          <w:p w14:paraId="46139779" w14:textId="77777777" w:rsidR="008E5DE4" w:rsidRDefault="00780368">
            <w:pPr>
              <w:widowControl w:val="0"/>
              <w:pBdr>
                <w:top w:val="nil"/>
                <w:left w:val="nil"/>
                <w:bottom w:val="nil"/>
                <w:right w:val="nil"/>
                <w:between w:val="nil"/>
              </w:pBdr>
              <w:ind w:left="113" w:right="-57" w:hanging="113"/>
              <w:rPr>
                <w:b/>
                <w:i/>
                <w:color w:val="000000"/>
                <w:sz w:val="16"/>
                <w:szCs w:val="16"/>
              </w:rPr>
            </w:pPr>
            <w:r>
              <w:rPr>
                <w:b/>
                <w:i/>
                <w:color w:val="000000"/>
                <w:sz w:val="16"/>
                <w:szCs w:val="16"/>
              </w:rPr>
              <w:t>Cash flows</w:t>
            </w:r>
          </w:p>
        </w:tc>
        <w:tc>
          <w:tcPr>
            <w:tcW w:w="736" w:type="dxa"/>
            <w:vAlign w:val="bottom"/>
          </w:tcPr>
          <w:p w14:paraId="78A6D2BF" w14:textId="77777777" w:rsidR="008E5DE4" w:rsidRDefault="008E5DE4">
            <w:pPr>
              <w:widowControl w:val="0"/>
              <w:pBdr>
                <w:top w:val="nil"/>
                <w:left w:val="nil"/>
                <w:bottom w:val="nil"/>
                <w:right w:val="nil"/>
                <w:between w:val="nil"/>
              </w:pBdr>
              <w:jc w:val="right"/>
              <w:rPr>
                <w:b/>
                <w:i/>
                <w:color w:val="000000"/>
                <w:sz w:val="16"/>
                <w:szCs w:val="16"/>
              </w:rPr>
            </w:pPr>
          </w:p>
        </w:tc>
        <w:tc>
          <w:tcPr>
            <w:tcW w:w="539" w:type="dxa"/>
          </w:tcPr>
          <w:p w14:paraId="32EFE8C4" w14:textId="77777777" w:rsidR="008E5DE4" w:rsidRDefault="008E5DE4">
            <w:pPr>
              <w:widowControl w:val="0"/>
              <w:pBdr>
                <w:top w:val="nil"/>
                <w:left w:val="nil"/>
                <w:bottom w:val="nil"/>
                <w:right w:val="nil"/>
                <w:between w:val="nil"/>
              </w:pBdr>
              <w:jc w:val="right"/>
              <w:rPr>
                <w:b/>
                <w:i/>
                <w:color w:val="000000"/>
                <w:sz w:val="16"/>
                <w:szCs w:val="16"/>
              </w:rPr>
            </w:pPr>
          </w:p>
        </w:tc>
        <w:tc>
          <w:tcPr>
            <w:tcW w:w="567" w:type="dxa"/>
          </w:tcPr>
          <w:p w14:paraId="38C178F3" w14:textId="77777777" w:rsidR="008E5DE4" w:rsidRDefault="008E5DE4">
            <w:pPr>
              <w:widowControl w:val="0"/>
              <w:pBdr>
                <w:top w:val="nil"/>
                <w:left w:val="nil"/>
                <w:bottom w:val="nil"/>
                <w:right w:val="nil"/>
                <w:between w:val="nil"/>
              </w:pBdr>
              <w:jc w:val="right"/>
              <w:rPr>
                <w:b/>
                <w:i/>
                <w:color w:val="000000"/>
                <w:sz w:val="16"/>
                <w:szCs w:val="16"/>
              </w:rPr>
            </w:pPr>
          </w:p>
        </w:tc>
        <w:tc>
          <w:tcPr>
            <w:tcW w:w="567" w:type="dxa"/>
          </w:tcPr>
          <w:p w14:paraId="7149E2A2" w14:textId="77777777" w:rsidR="008E5DE4" w:rsidRDefault="008E5DE4">
            <w:pPr>
              <w:widowControl w:val="0"/>
              <w:pBdr>
                <w:top w:val="nil"/>
                <w:left w:val="nil"/>
                <w:bottom w:val="nil"/>
                <w:right w:val="nil"/>
                <w:between w:val="nil"/>
              </w:pBdr>
              <w:jc w:val="right"/>
              <w:rPr>
                <w:b/>
                <w:i/>
                <w:color w:val="000000"/>
                <w:sz w:val="16"/>
                <w:szCs w:val="16"/>
              </w:rPr>
            </w:pPr>
          </w:p>
        </w:tc>
        <w:tc>
          <w:tcPr>
            <w:tcW w:w="854" w:type="dxa"/>
            <w:vAlign w:val="bottom"/>
          </w:tcPr>
          <w:p w14:paraId="3A885152" w14:textId="77777777" w:rsidR="008E5DE4" w:rsidRDefault="008E5DE4">
            <w:pPr>
              <w:widowControl w:val="0"/>
              <w:pBdr>
                <w:top w:val="nil"/>
                <w:left w:val="nil"/>
                <w:bottom w:val="nil"/>
                <w:right w:val="nil"/>
                <w:between w:val="nil"/>
              </w:pBdr>
              <w:jc w:val="right"/>
              <w:rPr>
                <w:b/>
                <w:i/>
                <w:color w:val="000000"/>
                <w:sz w:val="16"/>
                <w:szCs w:val="16"/>
              </w:rPr>
            </w:pPr>
          </w:p>
        </w:tc>
        <w:tc>
          <w:tcPr>
            <w:tcW w:w="571" w:type="dxa"/>
            <w:vAlign w:val="bottom"/>
          </w:tcPr>
          <w:p w14:paraId="1AA482FE" w14:textId="77777777" w:rsidR="008E5DE4" w:rsidRDefault="008E5DE4">
            <w:pPr>
              <w:widowControl w:val="0"/>
              <w:pBdr>
                <w:top w:val="nil"/>
                <w:left w:val="nil"/>
                <w:bottom w:val="nil"/>
                <w:right w:val="nil"/>
                <w:between w:val="nil"/>
              </w:pBdr>
              <w:jc w:val="right"/>
              <w:rPr>
                <w:b/>
                <w:i/>
                <w:color w:val="000000"/>
                <w:sz w:val="16"/>
                <w:szCs w:val="16"/>
              </w:rPr>
            </w:pPr>
          </w:p>
        </w:tc>
        <w:tc>
          <w:tcPr>
            <w:tcW w:w="737" w:type="dxa"/>
          </w:tcPr>
          <w:p w14:paraId="344219B3" w14:textId="77777777" w:rsidR="008E5DE4" w:rsidRDefault="008E5DE4">
            <w:pPr>
              <w:widowControl w:val="0"/>
              <w:pBdr>
                <w:top w:val="nil"/>
                <w:left w:val="nil"/>
                <w:bottom w:val="nil"/>
                <w:right w:val="nil"/>
                <w:between w:val="nil"/>
              </w:pBdr>
              <w:jc w:val="right"/>
              <w:rPr>
                <w:b/>
                <w:i/>
                <w:color w:val="000000"/>
                <w:sz w:val="16"/>
                <w:szCs w:val="16"/>
              </w:rPr>
            </w:pPr>
          </w:p>
        </w:tc>
        <w:tc>
          <w:tcPr>
            <w:tcW w:w="453" w:type="dxa"/>
          </w:tcPr>
          <w:p w14:paraId="66E0B02E" w14:textId="77777777" w:rsidR="008E5DE4" w:rsidRDefault="008E5DE4">
            <w:pPr>
              <w:widowControl w:val="0"/>
              <w:pBdr>
                <w:top w:val="nil"/>
                <w:left w:val="nil"/>
                <w:bottom w:val="nil"/>
                <w:right w:val="nil"/>
                <w:between w:val="nil"/>
              </w:pBdr>
              <w:jc w:val="right"/>
              <w:rPr>
                <w:b/>
                <w:i/>
                <w:color w:val="000000"/>
                <w:sz w:val="16"/>
                <w:szCs w:val="16"/>
              </w:rPr>
            </w:pPr>
          </w:p>
        </w:tc>
        <w:tc>
          <w:tcPr>
            <w:tcW w:w="510" w:type="dxa"/>
          </w:tcPr>
          <w:p w14:paraId="54D3D1D7" w14:textId="77777777" w:rsidR="008E5DE4" w:rsidRDefault="008E5DE4">
            <w:pPr>
              <w:widowControl w:val="0"/>
              <w:pBdr>
                <w:top w:val="nil"/>
                <w:left w:val="nil"/>
                <w:bottom w:val="nil"/>
                <w:right w:val="nil"/>
                <w:between w:val="nil"/>
              </w:pBdr>
              <w:jc w:val="right"/>
              <w:rPr>
                <w:b/>
                <w:i/>
                <w:color w:val="000000"/>
                <w:sz w:val="16"/>
                <w:szCs w:val="16"/>
              </w:rPr>
            </w:pPr>
          </w:p>
        </w:tc>
        <w:tc>
          <w:tcPr>
            <w:tcW w:w="567" w:type="dxa"/>
          </w:tcPr>
          <w:p w14:paraId="5D260BFB" w14:textId="77777777" w:rsidR="008E5DE4" w:rsidRDefault="008E5DE4">
            <w:pPr>
              <w:widowControl w:val="0"/>
              <w:pBdr>
                <w:top w:val="nil"/>
                <w:left w:val="nil"/>
                <w:bottom w:val="nil"/>
                <w:right w:val="nil"/>
                <w:between w:val="nil"/>
              </w:pBdr>
              <w:jc w:val="right"/>
              <w:rPr>
                <w:b/>
                <w:i/>
                <w:color w:val="000000"/>
                <w:sz w:val="16"/>
                <w:szCs w:val="16"/>
              </w:rPr>
            </w:pPr>
          </w:p>
        </w:tc>
        <w:tc>
          <w:tcPr>
            <w:tcW w:w="846" w:type="dxa"/>
          </w:tcPr>
          <w:p w14:paraId="17A68516" w14:textId="77777777" w:rsidR="008E5DE4" w:rsidRDefault="008E5DE4">
            <w:pPr>
              <w:widowControl w:val="0"/>
              <w:pBdr>
                <w:top w:val="nil"/>
                <w:left w:val="nil"/>
                <w:bottom w:val="nil"/>
                <w:right w:val="nil"/>
                <w:between w:val="nil"/>
              </w:pBdr>
              <w:jc w:val="right"/>
              <w:rPr>
                <w:b/>
                <w:i/>
                <w:color w:val="000000"/>
                <w:sz w:val="16"/>
                <w:szCs w:val="16"/>
              </w:rPr>
            </w:pPr>
          </w:p>
        </w:tc>
        <w:tc>
          <w:tcPr>
            <w:tcW w:w="569" w:type="dxa"/>
          </w:tcPr>
          <w:p w14:paraId="6A4C5BDB" w14:textId="77777777" w:rsidR="008E5DE4" w:rsidRDefault="008E5DE4">
            <w:pPr>
              <w:widowControl w:val="0"/>
              <w:pBdr>
                <w:top w:val="nil"/>
                <w:left w:val="nil"/>
                <w:bottom w:val="nil"/>
                <w:right w:val="nil"/>
                <w:between w:val="nil"/>
              </w:pBdr>
              <w:jc w:val="right"/>
              <w:rPr>
                <w:b/>
                <w:i/>
                <w:color w:val="000000"/>
                <w:sz w:val="16"/>
                <w:szCs w:val="16"/>
              </w:rPr>
            </w:pPr>
          </w:p>
        </w:tc>
      </w:tr>
      <w:tr w:rsidR="008E5DE4" w14:paraId="098DAB84" w14:textId="77777777">
        <w:trPr>
          <w:cantSplit/>
        </w:trPr>
        <w:tc>
          <w:tcPr>
            <w:tcW w:w="1699" w:type="dxa"/>
            <w:vAlign w:val="bottom"/>
          </w:tcPr>
          <w:p w14:paraId="7E7F3278"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Loan drawdowns</w:t>
            </w:r>
          </w:p>
        </w:tc>
        <w:tc>
          <w:tcPr>
            <w:tcW w:w="736" w:type="dxa"/>
            <w:vAlign w:val="bottom"/>
          </w:tcPr>
          <w:p w14:paraId="70C02CC3"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178228C2"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77624DF3"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11555B51"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129CE59B"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2821211C"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19FFF2AF"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0B0DF04E"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30C893D0"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19DB643D"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10A12B31"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12029EAA" w14:textId="77777777" w:rsidR="008E5DE4" w:rsidRDefault="008E5DE4">
            <w:pPr>
              <w:widowControl w:val="0"/>
              <w:pBdr>
                <w:top w:val="nil"/>
                <w:left w:val="nil"/>
                <w:bottom w:val="nil"/>
                <w:right w:val="nil"/>
                <w:between w:val="nil"/>
              </w:pBdr>
              <w:jc w:val="right"/>
              <w:rPr>
                <w:color w:val="000000"/>
                <w:sz w:val="16"/>
                <w:szCs w:val="16"/>
              </w:rPr>
            </w:pPr>
          </w:p>
        </w:tc>
      </w:tr>
      <w:tr w:rsidR="008E5DE4" w14:paraId="0BDAC034" w14:textId="77777777">
        <w:trPr>
          <w:cantSplit/>
        </w:trPr>
        <w:tc>
          <w:tcPr>
            <w:tcW w:w="1699" w:type="dxa"/>
            <w:vAlign w:val="bottom"/>
          </w:tcPr>
          <w:p w14:paraId="1AF98C92"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Repayments of principal</w:t>
            </w:r>
          </w:p>
        </w:tc>
        <w:tc>
          <w:tcPr>
            <w:tcW w:w="736" w:type="dxa"/>
            <w:vAlign w:val="bottom"/>
          </w:tcPr>
          <w:p w14:paraId="7292778E"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78017D77"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6C373A3C"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1DC20151"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36B93B18"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7B1CEA2C"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1F508DC0"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705ACAA6"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661D4294"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0B9026C6"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342C28D6"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1D276858" w14:textId="77777777" w:rsidR="008E5DE4" w:rsidRDefault="008E5DE4">
            <w:pPr>
              <w:widowControl w:val="0"/>
              <w:pBdr>
                <w:top w:val="nil"/>
                <w:left w:val="nil"/>
                <w:bottom w:val="nil"/>
                <w:right w:val="nil"/>
                <w:between w:val="nil"/>
              </w:pBdr>
              <w:jc w:val="right"/>
              <w:rPr>
                <w:color w:val="000000"/>
                <w:sz w:val="16"/>
                <w:szCs w:val="16"/>
              </w:rPr>
            </w:pPr>
          </w:p>
        </w:tc>
      </w:tr>
      <w:tr w:rsidR="008E5DE4" w14:paraId="4CD3AA82" w14:textId="77777777">
        <w:trPr>
          <w:cantSplit/>
        </w:trPr>
        <w:tc>
          <w:tcPr>
            <w:tcW w:w="1699" w:type="dxa"/>
            <w:vAlign w:val="bottom"/>
          </w:tcPr>
          <w:p w14:paraId="620C4243"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Interest payments</w:t>
            </w:r>
          </w:p>
        </w:tc>
        <w:tc>
          <w:tcPr>
            <w:tcW w:w="736" w:type="dxa"/>
            <w:vAlign w:val="bottom"/>
          </w:tcPr>
          <w:p w14:paraId="0B56E719"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1FEC6CFF"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4C1E2DFB"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3CD6CAA1"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1728512A"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00BE8776"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285F6D1F"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6FE9FB07"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7E502CCB"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64D369E5"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1D9263AA"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140632B3" w14:textId="77777777" w:rsidR="008E5DE4" w:rsidRDefault="008E5DE4">
            <w:pPr>
              <w:widowControl w:val="0"/>
              <w:pBdr>
                <w:top w:val="nil"/>
                <w:left w:val="nil"/>
                <w:bottom w:val="nil"/>
                <w:right w:val="nil"/>
                <w:between w:val="nil"/>
              </w:pBdr>
              <w:jc w:val="right"/>
              <w:rPr>
                <w:color w:val="000000"/>
                <w:sz w:val="16"/>
                <w:szCs w:val="16"/>
              </w:rPr>
            </w:pPr>
          </w:p>
        </w:tc>
      </w:tr>
      <w:tr w:rsidR="008E5DE4" w14:paraId="4E0B6A2A" w14:textId="77777777">
        <w:trPr>
          <w:cantSplit/>
        </w:trPr>
        <w:tc>
          <w:tcPr>
            <w:tcW w:w="1699" w:type="dxa"/>
            <w:vAlign w:val="bottom"/>
          </w:tcPr>
          <w:p w14:paraId="6F4120E1"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736" w:type="dxa"/>
            <w:vAlign w:val="bottom"/>
          </w:tcPr>
          <w:p w14:paraId="309747E8"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36AE65F9"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5B8AE15D"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79F499CD"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37BD58B1"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760044A8"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0356D061"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3484C9B8"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653B5F53"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31C4D7EF"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679CAB10"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005B6A58" w14:textId="77777777" w:rsidR="008E5DE4" w:rsidRDefault="008E5DE4">
            <w:pPr>
              <w:widowControl w:val="0"/>
              <w:pBdr>
                <w:top w:val="nil"/>
                <w:left w:val="nil"/>
                <w:bottom w:val="nil"/>
                <w:right w:val="nil"/>
                <w:between w:val="nil"/>
              </w:pBdr>
              <w:jc w:val="right"/>
              <w:rPr>
                <w:color w:val="000000"/>
                <w:sz w:val="16"/>
                <w:szCs w:val="16"/>
              </w:rPr>
            </w:pPr>
          </w:p>
        </w:tc>
      </w:tr>
      <w:tr w:rsidR="008E5DE4" w14:paraId="22819628" w14:textId="77777777">
        <w:trPr>
          <w:cantSplit/>
        </w:trPr>
        <w:tc>
          <w:tcPr>
            <w:tcW w:w="1699" w:type="dxa"/>
            <w:vAlign w:val="bottom"/>
          </w:tcPr>
          <w:p w14:paraId="26F4AFF1" w14:textId="77777777" w:rsidR="008E5DE4" w:rsidRDefault="00780368">
            <w:pPr>
              <w:widowControl w:val="0"/>
              <w:pBdr>
                <w:top w:val="nil"/>
                <w:left w:val="nil"/>
                <w:bottom w:val="nil"/>
                <w:right w:val="nil"/>
                <w:between w:val="nil"/>
              </w:pBdr>
              <w:ind w:left="113" w:right="-57" w:hanging="113"/>
              <w:rPr>
                <w:b/>
                <w:i/>
                <w:color w:val="000000"/>
                <w:sz w:val="16"/>
                <w:szCs w:val="16"/>
              </w:rPr>
            </w:pPr>
            <w:r>
              <w:rPr>
                <w:b/>
                <w:i/>
                <w:color w:val="000000"/>
                <w:sz w:val="16"/>
                <w:szCs w:val="16"/>
              </w:rPr>
              <w:t>Non-cash changes</w:t>
            </w:r>
          </w:p>
        </w:tc>
        <w:tc>
          <w:tcPr>
            <w:tcW w:w="736" w:type="dxa"/>
            <w:vAlign w:val="bottom"/>
          </w:tcPr>
          <w:p w14:paraId="140E7AE2" w14:textId="77777777" w:rsidR="008E5DE4" w:rsidRDefault="008E5DE4">
            <w:pPr>
              <w:widowControl w:val="0"/>
              <w:pBdr>
                <w:top w:val="nil"/>
                <w:left w:val="nil"/>
                <w:bottom w:val="nil"/>
                <w:right w:val="nil"/>
                <w:between w:val="nil"/>
              </w:pBdr>
              <w:jc w:val="right"/>
              <w:rPr>
                <w:b/>
                <w:i/>
                <w:color w:val="000000"/>
                <w:sz w:val="16"/>
                <w:szCs w:val="16"/>
              </w:rPr>
            </w:pPr>
          </w:p>
        </w:tc>
        <w:tc>
          <w:tcPr>
            <w:tcW w:w="539" w:type="dxa"/>
          </w:tcPr>
          <w:p w14:paraId="0A8CEAC6" w14:textId="77777777" w:rsidR="008E5DE4" w:rsidRDefault="008E5DE4">
            <w:pPr>
              <w:widowControl w:val="0"/>
              <w:pBdr>
                <w:top w:val="nil"/>
                <w:left w:val="nil"/>
                <w:bottom w:val="nil"/>
                <w:right w:val="nil"/>
                <w:between w:val="nil"/>
              </w:pBdr>
              <w:jc w:val="right"/>
              <w:rPr>
                <w:b/>
                <w:i/>
                <w:color w:val="000000"/>
                <w:sz w:val="16"/>
                <w:szCs w:val="16"/>
              </w:rPr>
            </w:pPr>
          </w:p>
        </w:tc>
        <w:tc>
          <w:tcPr>
            <w:tcW w:w="567" w:type="dxa"/>
          </w:tcPr>
          <w:p w14:paraId="5B176A05" w14:textId="77777777" w:rsidR="008E5DE4" w:rsidRDefault="008E5DE4">
            <w:pPr>
              <w:widowControl w:val="0"/>
              <w:pBdr>
                <w:top w:val="nil"/>
                <w:left w:val="nil"/>
                <w:bottom w:val="nil"/>
                <w:right w:val="nil"/>
                <w:between w:val="nil"/>
              </w:pBdr>
              <w:jc w:val="right"/>
              <w:rPr>
                <w:b/>
                <w:i/>
                <w:color w:val="000000"/>
                <w:sz w:val="16"/>
                <w:szCs w:val="16"/>
              </w:rPr>
            </w:pPr>
          </w:p>
        </w:tc>
        <w:tc>
          <w:tcPr>
            <w:tcW w:w="567" w:type="dxa"/>
          </w:tcPr>
          <w:p w14:paraId="2C4B3595" w14:textId="77777777" w:rsidR="008E5DE4" w:rsidRDefault="008E5DE4">
            <w:pPr>
              <w:widowControl w:val="0"/>
              <w:pBdr>
                <w:top w:val="nil"/>
                <w:left w:val="nil"/>
                <w:bottom w:val="nil"/>
                <w:right w:val="nil"/>
                <w:between w:val="nil"/>
              </w:pBdr>
              <w:jc w:val="right"/>
              <w:rPr>
                <w:b/>
                <w:i/>
                <w:color w:val="000000"/>
                <w:sz w:val="16"/>
                <w:szCs w:val="16"/>
              </w:rPr>
            </w:pPr>
          </w:p>
        </w:tc>
        <w:tc>
          <w:tcPr>
            <w:tcW w:w="854" w:type="dxa"/>
            <w:vAlign w:val="bottom"/>
          </w:tcPr>
          <w:p w14:paraId="5C5360F4" w14:textId="77777777" w:rsidR="008E5DE4" w:rsidRDefault="008E5DE4">
            <w:pPr>
              <w:widowControl w:val="0"/>
              <w:pBdr>
                <w:top w:val="nil"/>
                <w:left w:val="nil"/>
                <w:bottom w:val="nil"/>
                <w:right w:val="nil"/>
                <w:between w:val="nil"/>
              </w:pBdr>
              <w:jc w:val="right"/>
              <w:rPr>
                <w:b/>
                <w:i/>
                <w:color w:val="000000"/>
                <w:sz w:val="16"/>
                <w:szCs w:val="16"/>
              </w:rPr>
            </w:pPr>
          </w:p>
        </w:tc>
        <w:tc>
          <w:tcPr>
            <w:tcW w:w="571" w:type="dxa"/>
            <w:vAlign w:val="bottom"/>
          </w:tcPr>
          <w:p w14:paraId="05BB69F4" w14:textId="77777777" w:rsidR="008E5DE4" w:rsidRDefault="008E5DE4">
            <w:pPr>
              <w:widowControl w:val="0"/>
              <w:pBdr>
                <w:top w:val="nil"/>
                <w:left w:val="nil"/>
                <w:bottom w:val="nil"/>
                <w:right w:val="nil"/>
                <w:between w:val="nil"/>
              </w:pBdr>
              <w:jc w:val="right"/>
              <w:rPr>
                <w:b/>
                <w:i/>
                <w:color w:val="000000"/>
                <w:sz w:val="16"/>
                <w:szCs w:val="16"/>
              </w:rPr>
            </w:pPr>
          </w:p>
        </w:tc>
        <w:tc>
          <w:tcPr>
            <w:tcW w:w="737" w:type="dxa"/>
          </w:tcPr>
          <w:p w14:paraId="01DC6C0B" w14:textId="77777777" w:rsidR="008E5DE4" w:rsidRDefault="008E5DE4">
            <w:pPr>
              <w:widowControl w:val="0"/>
              <w:pBdr>
                <w:top w:val="nil"/>
                <w:left w:val="nil"/>
                <w:bottom w:val="nil"/>
                <w:right w:val="nil"/>
                <w:between w:val="nil"/>
              </w:pBdr>
              <w:jc w:val="right"/>
              <w:rPr>
                <w:b/>
                <w:i/>
                <w:color w:val="000000"/>
                <w:sz w:val="16"/>
                <w:szCs w:val="16"/>
              </w:rPr>
            </w:pPr>
          </w:p>
        </w:tc>
        <w:tc>
          <w:tcPr>
            <w:tcW w:w="453" w:type="dxa"/>
          </w:tcPr>
          <w:p w14:paraId="00299088" w14:textId="77777777" w:rsidR="008E5DE4" w:rsidRDefault="008E5DE4">
            <w:pPr>
              <w:widowControl w:val="0"/>
              <w:pBdr>
                <w:top w:val="nil"/>
                <w:left w:val="nil"/>
                <w:bottom w:val="nil"/>
                <w:right w:val="nil"/>
                <w:between w:val="nil"/>
              </w:pBdr>
              <w:jc w:val="right"/>
              <w:rPr>
                <w:b/>
                <w:i/>
                <w:color w:val="000000"/>
                <w:sz w:val="16"/>
                <w:szCs w:val="16"/>
              </w:rPr>
            </w:pPr>
          </w:p>
        </w:tc>
        <w:tc>
          <w:tcPr>
            <w:tcW w:w="510" w:type="dxa"/>
          </w:tcPr>
          <w:p w14:paraId="559A5D2A" w14:textId="77777777" w:rsidR="008E5DE4" w:rsidRDefault="008E5DE4">
            <w:pPr>
              <w:widowControl w:val="0"/>
              <w:pBdr>
                <w:top w:val="nil"/>
                <w:left w:val="nil"/>
                <w:bottom w:val="nil"/>
                <w:right w:val="nil"/>
                <w:between w:val="nil"/>
              </w:pBdr>
              <w:jc w:val="right"/>
              <w:rPr>
                <w:b/>
                <w:i/>
                <w:color w:val="000000"/>
                <w:sz w:val="16"/>
                <w:szCs w:val="16"/>
              </w:rPr>
            </w:pPr>
          </w:p>
        </w:tc>
        <w:tc>
          <w:tcPr>
            <w:tcW w:w="567" w:type="dxa"/>
          </w:tcPr>
          <w:p w14:paraId="1DF50818" w14:textId="77777777" w:rsidR="008E5DE4" w:rsidRDefault="008E5DE4">
            <w:pPr>
              <w:widowControl w:val="0"/>
              <w:pBdr>
                <w:top w:val="nil"/>
                <w:left w:val="nil"/>
                <w:bottom w:val="nil"/>
                <w:right w:val="nil"/>
                <w:between w:val="nil"/>
              </w:pBdr>
              <w:jc w:val="right"/>
              <w:rPr>
                <w:b/>
                <w:i/>
                <w:color w:val="000000"/>
                <w:sz w:val="16"/>
                <w:szCs w:val="16"/>
              </w:rPr>
            </w:pPr>
          </w:p>
        </w:tc>
        <w:tc>
          <w:tcPr>
            <w:tcW w:w="846" w:type="dxa"/>
          </w:tcPr>
          <w:p w14:paraId="5C444341" w14:textId="77777777" w:rsidR="008E5DE4" w:rsidRDefault="008E5DE4">
            <w:pPr>
              <w:widowControl w:val="0"/>
              <w:pBdr>
                <w:top w:val="nil"/>
                <w:left w:val="nil"/>
                <w:bottom w:val="nil"/>
                <w:right w:val="nil"/>
                <w:between w:val="nil"/>
              </w:pBdr>
              <w:jc w:val="right"/>
              <w:rPr>
                <w:b/>
                <w:i/>
                <w:color w:val="000000"/>
                <w:sz w:val="16"/>
                <w:szCs w:val="16"/>
              </w:rPr>
            </w:pPr>
          </w:p>
        </w:tc>
        <w:tc>
          <w:tcPr>
            <w:tcW w:w="569" w:type="dxa"/>
          </w:tcPr>
          <w:p w14:paraId="41D4F9D7" w14:textId="77777777" w:rsidR="008E5DE4" w:rsidRDefault="008E5DE4">
            <w:pPr>
              <w:widowControl w:val="0"/>
              <w:pBdr>
                <w:top w:val="nil"/>
                <w:left w:val="nil"/>
                <w:bottom w:val="nil"/>
                <w:right w:val="nil"/>
                <w:between w:val="nil"/>
              </w:pBdr>
              <w:jc w:val="right"/>
              <w:rPr>
                <w:b/>
                <w:i/>
                <w:color w:val="000000"/>
                <w:sz w:val="16"/>
                <w:szCs w:val="16"/>
              </w:rPr>
            </w:pPr>
          </w:p>
        </w:tc>
      </w:tr>
      <w:tr w:rsidR="008E5DE4" w14:paraId="4B81DB80" w14:textId="77777777">
        <w:trPr>
          <w:cantSplit/>
        </w:trPr>
        <w:tc>
          <w:tcPr>
            <w:tcW w:w="1699" w:type="dxa"/>
            <w:vAlign w:val="bottom"/>
          </w:tcPr>
          <w:p w14:paraId="606A4955"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Interest accrual</w:t>
            </w:r>
          </w:p>
        </w:tc>
        <w:tc>
          <w:tcPr>
            <w:tcW w:w="736" w:type="dxa"/>
            <w:vAlign w:val="bottom"/>
          </w:tcPr>
          <w:p w14:paraId="688C22AF"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631B877D"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3229A02D"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01F2A90E"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554C353B"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67A30CA6"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75292294"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462085A5"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68B3EAC6"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594293FB"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6A33ED28"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651E03BA" w14:textId="77777777" w:rsidR="008E5DE4" w:rsidRDefault="008E5DE4">
            <w:pPr>
              <w:widowControl w:val="0"/>
              <w:pBdr>
                <w:top w:val="nil"/>
                <w:left w:val="nil"/>
                <w:bottom w:val="nil"/>
                <w:right w:val="nil"/>
                <w:between w:val="nil"/>
              </w:pBdr>
              <w:jc w:val="right"/>
              <w:rPr>
                <w:color w:val="000000"/>
                <w:sz w:val="16"/>
                <w:szCs w:val="16"/>
              </w:rPr>
            </w:pPr>
          </w:p>
        </w:tc>
      </w:tr>
      <w:tr w:rsidR="008E5DE4" w14:paraId="34B0AF10" w14:textId="77777777">
        <w:trPr>
          <w:cantSplit/>
        </w:trPr>
        <w:tc>
          <w:tcPr>
            <w:tcW w:w="1699" w:type="dxa"/>
            <w:vAlign w:val="bottom"/>
          </w:tcPr>
          <w:p w14:paraId="4FCE8AAD"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Business combinations</w:t>
            </w:r>
          </w:p>
        </w:tc>
        <w:tc>
          <w:tcPr>
            <w:tcW w:w="736" w:type="dxa"/>
            <w:vAlign w:val="bottom"/>
          </w:tcPr>
          <w:p w14:paraId="41AAEC22"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5531B3A9"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6EC63608"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4513B05D"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1F61C983"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057C6562"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104A1C53"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062D46B7"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11FE948E"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6E95B64B"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007F499F"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2E37FB4E" w14:textId="77777777" w:rsidR="008E5DE4" w:rsidRDefault="008E5DE4">
            <w:pPr>
              <w:widowControl w:val="0"/>
              <w:pBdr>
                <w:top w:val="nil"/>
                <w:left w:val="nil"/>
                <w:bottom w:val="nil"/>
                <w:right w:val="nil"/>
                <w:between w:val="nil"/>
              </w:pBdr>
              <w:jc w:val="right"/>
              <w:rPr>
                <w:color w:val="000000"/>
                <w:sz w:val="16"/>
                <w:szCs w:val="16"/>
              </w:rPr>
            </w:pPr>
          </w:p>
        </w:tc>
      </w:tr>
      <w:tr w:rsidR="008E5DE4" w14:paraId="4FD97637" w14:textId="77777777">
        <w:trPr>
          <w:cantSplit/>
        </w:trPr>
        <w:tc>
          <w:tcPr>
            <w:tcW w:w="1699" w:type="dxa"/>
            <w:vAlign w:val="bottom"/>
          </w:tcPr>
          <w:p w14:paraId="7938C1FA"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Changes in fair values</w:t>
            </w:r>
          </w:p>
        </w:tc>
        <w:tc>
          <w:tcPr>
            <w:tcW w:w="736" w:type="dxa"/>
            <w:vAlign w:val="bottom"/>
          </w:tcPr>
          <w:p w14:paraId="11768F1E"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0C5D345D"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6EAE8BAE"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39317F62"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3AF09F1B"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3C1493BE"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7C74BE0E"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25AC1DB7"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56FCCE6B"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3B87D003"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6443E791"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1C1795C5" w14:textId="77777777" w:rsidR="008E5DE4" w:rsidRDefault="008E5DE4">
            <w:pPr>
              <w:widowControl w:val="0"/>
              <w:pBdr>
                <w:top w:val="nil"/>
                <w:left w:val="nil"/>
                <w:bottom w:val="nil"/>
                <w:right w:val="nil"/>
                <w:between w:val="nil"/>
              </w:pBdr>
              <w:jc w:val="right"/>
              <w:rPr>
                <w:color w:val="000000"/>
                <w:sz w:val="16"/>
                <w:szCs w:val="16"/>
              </w:rPr>
            </w:pPr>
          </w:p>
        </w:tc>
      </w:tr>
      <w:tr w:rsidR="008E5DE4" w14:paraId="210C5A1C" w14:textId="77777777">
        <w:trPr>
          <w:cantSplit/>
        </w:trPr>
        <w:tc>
          <w:tcPr>
            <w:tcW w:w="1699" w:type="dxa"/>
            <w:vAlign w:val="bottom"/>
          </w:tcPr>
          <w:p w14:paraId="6498F90A"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New leases</w:t>
            </w:r>
          </w:p>
        </w:tc>
        <w:tc>
          <w:tcPr>
            <w:tcW w:w="736" w:type="dxa"/>
            <w:vAlign w:val="bottom"/>
          </w:tcPr>
          <w:p w14:paraId="5B96E566"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46EB620E"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4F1D916C"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3C60AA03"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6366FD65"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0113F066"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74FA3153"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3D4326CE"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54347032"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7AC11350"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5C0EEC81"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43940839" w14:textId="77777777" w:rsidR="008E5DE4" w:rsidRDefault="008E5DE4">
            <w:pPr>
              <w:widowControl w:val="0"/>
              <w:pBdr>
                <w:top w:val="nil"/>
                <w:left w:val="nil"/>
                <w:bottom w:val="nil"/>
                <w:right w:val="nil"/>
                <w:between w:val="nil"/>
              </w:pBdr>
              <w:jc w:val="right"/>
              <w:rPr>
                <w:color w:val="000000"/>
                <w:sz w:val="16"/>
                <w:szCs w:val="16"/>
              </w:rPr>
            </w:pPr>
          </w:p>
        </w:tc>
      </w:tr>
      <w:tr w:rsidR="008E5DE4" w14:paraId="621EDB61" w14:textId="77777777">
        <w:trPr>
          <w:cantSplit/>
        </w:trPr>
        <w:tc>
          <w:tcPr>
            <w:tcW w:w="1699" w:type="dxa"/>
            <w:vAlign w:val="bottom"/>
          </w:tcPr>
          <w:p w14:paraId="71E9B11F"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xml:space="preserve">Foreign exchange adjustments </w:t>
            </w:r>
          </w:p>
        </w:tc>
        <w:tc>
          <w:tcPr>
            <w:tcW w:w="736" w:type="dxa"/>
            <w:vAlign w:val="bottom"/>
          </w:tcPr>
          <w:p w14:paraId="2D3CE102"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1390CF30"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35692686"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1DF7C477"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4538BE48"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2CE89AB6"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728407B0"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4E27E765"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6BE4DC4A"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45E3F17A"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54B3B30E"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0CE902D8" w14:textId="77777777" w:rsidR="008E5DE4" w:rsidRDefault="008E5DE4">
            <w:pPr>
              <w:widowControl w:val="0"/>
              <w:pBdr>
                <w:top w:val="nil"/>
                <w:left w:val="nil"/>
                <w:bottom w:val="nil"/>
                <w:right w:val="nil"/>
                <w:between w:val="nil"/>
              </w:pBdr>
              <w:jc w:val="right"/>
              <w:rPr>
                <w:color w:val="000000"/>
                <w:sz w:val="16"/>
                <w:szCs w:val="16"/>
              </w:rPr>
            </w:pPr>
          </w:p>
        </w:tc>
      </w:tr>
      <w:tr w:rsidR="008E5DE4" w14:paraId="1F81916A" w14:textId="77777777">
        <w:trPr>
          <w:cantSplit/>
        </w:trPr>
        <w:tc>
          <w:tcPr>
            <w:tcW w:w="1699" w:type="dxa"/>
            <w:vAlign w:val="bottom"/>
          </w:tcPr>
          <w:p w14:paraId="54D2F9F2"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xml:space="preserve">Other </w:t>
            </w:r>
          </w:p>
        </w:tc>
        <w:tc>
          <w:tcPr>
            <w:tcW w:w="736" w:type="dxa"/>
            <w:vAlign w:val="bottom"/>
          </w:tcPr>
          <w:p w14:paraId="3CCB8D5C"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67FAD118"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1C347B49"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246A52C6"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1DF632B3"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0903BC6C"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6F6021F8"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560423C6"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77DD465B"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7EE112AE"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1B96A6B5"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7D862D37" w14:textId="77777777" w:rsidR="008E5DE4" w:rsidRDefault="008E5DE4">
            <w:pPr>
              <w:widowControl w:val="0"/>
              <w:pBdr>
                <w:top w:val="nil"/>
                <w:left w:val="nil"/>
                <w:bottom w:val="nil"/>
                <w:right w:val="nil"/>
                <w:between w:val="nil"/>
              </w:pBdr>
              <w:jc w:val="right"/>
              <w:rPr>
                <w:color w:val="000000"/>
                <w:sz w:val="16"/>
                <w:szCs w:val="16"/>
              </w:rPr>
            </w:pPr>
          </w:p>
        </w:tc>
      </w:tr>
      <w:tr w:rsidR="008E5DE4" w14:paraId="07959195" w14:textId="77777777">
        <w:trPr>
          <w:cantSplit/>
        </w:trPr>
        <w:tc>
          <w:tcPr>
            <w:tcW w:w="1699" w:type="dxa"/>
            <w:tcBorders>
              <w:bottom w:val="single" w:sz="4" w:space="0" w:color="000000"/>
            </w:tcBorders>
            <w:vAlign w:val="bottom"/>
          </w:tcPr>
          <w:p w14:paraId="48B461DB"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736" w:type="dxa"/>
            <w:tcBorders>
              <w:bottom w:val="single" w:sz="4" w:space="0" w:color="000000"/>
            </w:tcBorders>
            <w:vAlign w:val="bottom"/>
          </w:tcPr>
          <w:p w14:paraId="4B1AD9F0" w14:textId="77777777" w:rsidR="008E5DE4" w:rsidRDefault="008E5DE4">
            <w:pPr>
              <w:widowControl w:val="0"/>
              <w:pBdr>
                <w:top w:val="nil"/>
                <w:left w:val="nil"/>
                <w:bottom w:val="nil"/>
                <w:right w:val="nil"/>
                <w:between w:val="nil"/>
              </w:pBdr>
              <w:jc w:val="right"/>
              <w:rPr>
                <w:color w:val="000000"/>
                <w:sz w:val="16"/>
                <w:szCs w:val="16"/>
              </w:rPr>
            </w:pPr>
          </w:p>
        </w:tc>
        <w:tc>
          <w:tcPr>
            <w:tcW w:w="539" w:type="dxa"/>
            <w:tcBorders>
              <w:bottom w:val="single" w:sz="4" w:space="0" w:color="000000"/>
            </w:tcBorders>
          </w:tcPr>
          <w:p w14:paraId="60279BAF"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bottom w:val="single" w:sz="4" w:space="0" w:color="000000"/>
            </w:tcBorders>
          </w:tcPr>
          <w:p w14:paraId="6A8C7E0F"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bottom w:val="single" w:sz="4" w:space="0" w:color="000000"/>
            </w:tcBorders>
          </w:tcPr>
          <w:p w14:paraId="2ACCFE76" w14:textId="77777777" w:rsidR="008E5DE4" w:rsidRDefault="008E5DE4">
            <w:pPr>
              <w:widowControl w:val="0"/>
              <w:pBdr>
                <w:top w:val="nil"/>
                <w:left w:val="nil"/>
                <w:bottom w:val="nil"/>
                <w:right w:val="nil"/>
                <w:between w:val="nil"/>
              </w:pBdr>
              <w:jc w:val="right"/>
              <w:rPr>
                <w:color w:val="000000"/>
                <w:sz w:val="16"/>
                <w:szCs w:val="16"/>
              </w:rPr>
            </w:pPr>
          </w:p>
        </w:tc>
        <w:tc>
          <w:tcPr>
            <w:tcW w:w="854" w:type="dxa"/>
            <w:tcBorders>
              <w:bottom w:val="single" w:sz="4" w:space="0" w:color="000000"/>
            </w:tcBorders>
            <w:vAlign w:val="bottom"/>
          </w:tcPr>
          <w:p w14:paraId="154AB5C2" w14:textId="77777777" w:rsidR="008E5DE4" w:rsidRDefault="008E5DE4">
            <w:pPr>
              <w:widowControl w:val="0"/>
              <w:pBdr>
                <w:top w:val="nil"/>
                <w:left w:val="nil"/>
                <w:bottom w:val="nil"/>
                <w:right w:val="nil"/>
                <w:between w:val="nil"/>
              </w:pBdr>
              <w:jc w:val="right"/>
              <w:rPr>
                <w:color w:val="000000"/>
                <w:sz w:val="16"/>
                <w:szCs w:val="16"/>
              </w:rPr>
            </w:pPr>
          </w:p>
        </w:tc>
        <w:tc>
          <w:tcPr>
            <w:tcW w:w="571" w:type="dxa"/>
            <w:tcBorders>
              <w:bottom w:val="single" w:sz="4" w:space="0" w:color="000000"/>
            </w:tcBorders>
            <w:vAlign w:val="bottom"/>
          </w:tcPr>
          <w:p w14:paraId="6E2B927D" w14:textId="77777777" w:rsidR="008E5DE4" w:rsidRDefault="008E5DE4">
            <w:pPr>
              <w:widowControl w:val="0"/>
              <w:pBdr>
                <w:top w:val="nil"/>
                <w:left w:val="nil"/>
                <w:bottom w:val="nil"/>
                <w:right w:val="nil"/>
                <w:between w:val="nil"/>
              </w:pBdr>
              <w:jc w:val="right"/>
              <w:rPr>
                <w:color w:val="000000"/>
                <w:sz w:val="16"/>
                <w:szCs w:val="16"/>
              </w:rPr>
            </w:pPr>
          </w:p>
        </w:tc>
        <w:tc>
          <w:tcPr>
            <w:tcW w:w="737" w:type="dxa"/>
            <w:tcBorders>
              <w:bottom w:val="single" w:sz="4" w:space="0" w:color="000000"/>
            </w:tcBorders>
          </w:tcPr>
          <w:p w14:paraId="189FBC66" w14:textId="77777777" w:rsidR="008E5DE4" w:rsidRDefault="008E5DE4">
            <w:pPr>
              <w:widowControl w:val="0"/>
              <w:pBdr>
                <w:top w:val="nil"/>
                <w:left w:val="nil"/>
                <w:bottom w:val="nil"/>
                <w:right w:val="nil"/>
                <w:between w:val="nil"/>
              </w:pBdr>
              <w:jc w:val="right"/>
              <w:rPr>
                <w:color w:val="000000"/>
                <w:sz w:val="16"/>
                <w:szCs w:val="16"/>
              </w:rPr>
            </w:pPr>
          </w:p>
        </w:tc>
        <w:tc>
          <w:tcPr>
            <w:tcW w:w="453" w:type="dxa"/>
            <w:tcBorders>
              <w:bottom w:val="single" w:sz="4" w:space="0" w:color="000000"/>
            </w:tcBorders>
          </w:tcPr>
          <w:p w14:paraId="430B599D" w14:textId="77777777" w:rsidR="008E5DE4" w:rsidRDefault="008E5DE4">
            <w:pPr>
              <w:widowControl w:val="0"/>
              <w:pBdr>
                <w:top w:val="nil"/>
                <w:left w:val="nil"/>
                <w:bottom w:val="nil"/>
                <w:right w:val="nil"/>
                <w:between w:val="nil"/>
              </w:pBdr>
              <w:jc w:val="right"/>
              <w:rPr>
                <w:color w:val="000000"/>
                <w:sz w:val="16"/>
                <w:szCs w:val="16"/>
              </w:rPr>
            </w:pPr>
          </w:p>
        </w:tc>
        <w:tc>
          <w:tcPr>
            <w:tcW w:w="510" w:type="dxa"/>
            <w:tcBorders>
              <w:bottom w:val="single" w:sz="4" w:space="0" w:color="000000"/>
            </w:tcBorders>
          </w:tcPr>
          <w:p w14:paraId="2579BD98"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bottom w:val="single" w:sz="4" w:space="0" w:color="000000"/>
            </w:tcBorders>
          </w:tcPr>
          <w:p w14:paraId="4A6B36BA" w14:textId="77777777" w:rsidR="008E5DE4" w:rsidRDefault="008E5DE4">
            <w:pPr>
              <w:widowControl w:val="0"/>
              <w:pBdr>
                <w:top w:val="nil"/>
                <w:left w:val="nil"/>
                <w:bottom w:val="nil"/>
                <w:right w:val="nil"/>
                <w:between w:val="nil"/>
              </w:pBdr>
              <w:jc w:val="right"/>
              <w:rPr>
                <w:color w:val="000000"/>
                <w:sz w:val="16"/>
                <w:szCs w:val="16"/>
              </w:rPr>
            </w:pPr>
          </w:p>
        </w:tc>
        <w:tc>
          <w:tcPr>
            <w:tcW w:w="846" w:type="dxa"/>
            <w:tcBorders>
              <w:bottom w:val="single" w:sz="4" w:space="0" w:color="000000"/>
            </w:tcBorders>
          </w:tcPr>
          <w:p w14:paraId="0E1F547E" w14:textId="77777777" w:rsidR="008E5DE4" w:rsidRDefault="008E5DE4">
            <w:pPr>
              <w:widowControl w:val="0"/>
              <w:pBdr>
                <w:top w:val="nil"/>
                <w:left w:val="nil"/>
                <w:bottom w:val="nil"/>
                <w:right w:val="nil"/>
                <w:between w:val="nil"/>
              </w:pBdr>
              <w:jc w:val="right"/>
              <w:rPr>
                <w:color w:val="000000"/>
                <w:sz w:val="16"/>
                <w:szCs w:val="16"/>
              </w:rPr>
            </w:pPr>
          </w:p>
        </w:tc>
        <w:tc>
          <w:tcPr>
            <w:tcW w:w="569" w:type="dxa"/>
            <w:tcBorders>
              <w:bottom w:val="single" w:sz="4" w:space="0" w:color="000000"/>
            </w:tcBorders>
          </w:tcPr>
          <w:p w14:paraId="62F90DDC" w14:textId="77777777" w:rsidR="008E5DE4" w:rsidRDefault="008E5DE4">
            <w:pPr>
              <w:widowControl w:val="0"/>
              <w:pBdr>
                <w:top w:val="nil"/>
                <w:left w:val="nil"/>
                <w:bottom w:val="nil"/>
                <w:right w:val="nil"/>
                <w:between w:val="nil"/>
              </w:pBdr>
              <w:jc w:val="right"/>
              <w:rPr>
                <w:color w:val="000000"/>
                <w:sz w:val="16"/>
                <w:szCs w:val="16"/>
              </w:rPr>
            </w:pPr>
          </w:p>
        </w:tc>
      </w:tr>
      <w:tr w:rsidR="008E5DE4" w14:paraId="43D774DE" w14:textId="77777777">
        <w:trPr>
          <w:cantSplit/>
        </w:trPr>
        <w:tc>
          <w:tcPr>
            <w:tcW w:w="1699" w:type="dxa"/>
            <w:tcBorders>
              <w:top w:val="single" w:sz="4" w:space="0" w:color="000000"/>
            </w:tcBorders>
            <w:vAlign w:val="bottom"/>
          </w:tcPr>
          <w:p w14:paraId="0FFEC0BF" w14:textId="77777777" w:rsidR="008E5DE4" w:rsidRDefault="008E5DE4">
            <w:pPr>
              <w:widowControl w:val="0"/>
              <w:pBdr>
                <w:top w:val="nil"/>
                <w:left w:val="nil"/>
                <w:bottom w:val="nil"/>
                <w:right w:val="nil"/>
                <w:between w:val="nil"/>
              </w:pBdr>
              <w:ind w:left="113" w:right="-57" w:hanging="113"/>
              <w:rPr>
                <w:b/>
                <w:color w:val="000000"/>
                <w:sz w:val="16"/>
                <w:szCs w:val="16"/>
              </w:rPr>
            </w:pPr>
          </w:p>
        </w:tc>
        <w:tc>
          <w:tcPr>
            <w:tcW w:w="736" w:type="dxa"/>
            <w:tcBorders>
              <w:top w:val="single" w:sz="4" w:space="0" w:color="000000"/>
            </w:tcBorders>
            <w:vAlign w:val="bottom"/>
          </w:tcPr>
          <w:p w14:paraId="3B351B08" w14:textId="77777777" w:rsidR="008E5DE4" w:rsidRDefault="008E5DE4">
            <w:pPr>
              <w:widowControl w:val="0"/>
              <w:pBdr>
                <w:top w:val="nil"/>
                <w:left w:val="nil"/>
                <w:bottom w:val="nil"/>
                <w:right w:val="nil"/>
                <w:between w:val="nil"/>
              </w:pBdr>
              <w:jc w:val="right"/>
              <w:rPr>
                <w:color w:val="000000"/>
                <w:sz w:val="16"/>
                <w:szCs w:val="16"/>
              </w:rPr>
            </w:pPr>
          </w:p>
        </w:tc>
        <w:tc>
          <w:tcPr>
            <w:tcW w:w="539" w:type="dxa"/>
            <w:tcBorders>
              <w:top w:val="single" w:sz="4" w:space="0" w:color="000000"/>
            </w:tcBorders>
          </w:tcPr>
          <w:p w14:paraId="7F5ACBDB"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top w:val="single" w:sz="4" w:space="0" w:color="000000"/>
            </w:tcBorders>
          </w:tcPr>
          <w:p w14:paraId="594B9B79"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top w:val="single" w:sz="4" w:space="0" w:color="000000"/>
            </w:tcBorders>
          </w:tcPr>
          <w:p w14:paraId="4498682B" w14:textId="77777777" w:rsidR="008E5DE4" w:rsidRDefault="008E5DE4">
            <w:pPr>
              <w:widowControl w:val="0"/>
              <w:pBdr>
                <w:top w:val="nil"/>
                <w:left w:val="nil"/>
                <w:bottom w:val="nil"/>
                <w:right w:val="nil"/>
                <w:between w:val="nil"/>
              </w:pBdr>
              <w:jc w:val="right"/>
              <w:rPr>
                <w:color w:val="000000"/>
                <w:sz w:val="16"/>
                <w:szCs w:val="16"/>
              </w:rPr>
            </w:pPr>
          </w:p>
        </w:tc>
        <w:tc>
          <w:tcPr>
            <w:tcW w:w="854" w:type="dxa"/>
            <w:tcBorders>
              <w:top w:val="single" w:sz="4" w:space="0" w:color="000000"/>
            </w:tcBorders>
            <w:vAlign w:val="bottom"/>
          </w:tcPr>
          <w:p w14:paraId="25E11316" w14:textId="77777777" w:rsidR="008E5DE4" w:rsidRDefault="008E5DE4">
            <w:pPr>
              <w:widowControl w:val="0"/>
              <w:pBdr>
                <w:top w:val="nil"/>
                <w:left w:val="nil"/>
                <w:bottom w:val="nil"/>
                <w:right w:val="nil"/>
                <w:between w:val="nil"/>
              </w:pBdr>
              <w:jc w:val="right"/>
              <w:rPr>
                <w:color w:val="000000"/>
                <w:sz w:val="16"/>
                <w:szCs w:val="16"/>
              </w:rPr>
            </w:pPr>
          </w:p>
        </w:tc>
        <w:tc>
          <w:tcPr>
            <w:tcW w:w="571" w:type="dxa"/>
            <w:tcBorders>
              <w:top w:val="single" w:sz="4" w:space="0" w:color="000000"/>
            </w:tcBorders>
            <w:vAlign w:val="bottom"/>
          </w:tcPr>
          <w:p w14:paraId="46A60830" w14:textId="77777777" w:rsidR="008E5DE4" w:rsidRDefault="008E5DE4">
            <w:pPr>
              <w:widowControl w:val="0"/>
              <w:pBdr>
                <w:top w:val="nil"/>
                <w:left w:val="nil"/>
                <w:bottom w:val="nil"/>
                <w:right w:val="nil"/>
                <w:between w:val="nil"/>
              </w:pBdr>
              <w:jc w:val="right"/>
              <w:rPr>
                <w:color w:val="000000"/>
                <w:sz w:val="16"/>
                <w:szCs w:val="16"/>
              </w:rPr>
            </w:pPr>
          </w:p>
        </w:tc>
        <w:tc>
          <w:tcPr>
            <w:tcW w:w="737" w:type="dxa"/>
            <w:tcBorders>
              <w:top w:val="single" w:sz="4" w:space="0" w:color="000000"/>
            </w:tcBorders>
          </w:tcPr>
          <w:p w14:paraId="6A94E111" w14:textId="77777777" w:rsidR="008E5DE4" w:rsidRDefault="008E5DE4">
            <w:pPr>
              <w:widowControl w:val="0"/>
              <w:pBdr>
                <w:top w:val="nil"/>
                <w:left w:val="nil"/>
                <w:bottom w:val="nil"/>
                <w:right w:val="nil"/>
                <w:between w:val="nil"/>
              </w:pBdr>
              <w:jc w:val="right"/>
              <w:rPr>
                <w:color w:val="000000"/>
                <w:sz w:val="16"/>
                <w:szCs w:val="16"/>
              </w:rPr>
            </w:pPr>
          </w:p>
        </w:tc>
        <w:tc>
          <w:tcPr>
            <w:tcW w:w="453" w:type="dxa"/>
            <w:tcBorders>
              <w:top w:val="single" w:sz="4" w:space="0" w:color="000000"/>
            </w:tcBorders>
          </w:tcPr>
          <w:p w14:paraId="6C8B3BE3" w14:textId="77777777" w:rsidR="008E5DE4" w:rsidRDefault="008E5DE4">
            <w:pPr>
              <w:widowControl w:val="0"/>
              <w:pBdr>
                <w:top w:val="nil"/>
                <w:left w:val="nil"/>
                <w:bottom w:val="nil"/>
                <w:right w:val="nil"/>
                <w:between w:val="nil"/>
              </w:pBdr>
              <w:jc w:val="right"/>
              <w:rPr>
                <w:color w:val="000000"/>
                <w:sz w:val="16"/>
                <w:szCs w:val="16"/>
              </w:rPr>
            </w:pPr>
          </w:p>
        </w:tc>
        <w:tc>
          <w:tcPr>
            <w:tcW w:w="510" w:type="dxa"/>
            <w:tcBorders>
              <w:top w:val="single" w:sz="4" w:space="0" w:color="000000"/>
            </w:tcBorders>
          </w:tcPr>
          <w:p w14:paraId="34857731"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top w:val="single" w:sz="4" w:space="0" w:color="000000"/>
            </w:tcBorders>
          </w:tcPr>
          <w:p w14:paraId="7F3A52DC" w14:textId="77777777" w:rsidR="008E5DE4" w:rsidRDefault="008E5DE4">
            <w:pPr>
              <w:widowControl w:val="0"/>
              <w:pBdr>
                <w:top w:val="nil"/>
                <w:left w:val="nil"/>
                <w:bottom w:val="nil"/>
                <w:right w:val="nil"/>
                <w:between w:val="nil"/>
              </w:pBdr>
              <w:jc w:val="right"/>
              <w:rPr>
                <w:color w:val="000000"/>
                <w:sz w:val="16"/>
                <w:szCs w:val="16"/>
              </w:rPr>
            </w:pPr>
          </w:p>
        </w:tc>
        <w:tc>
          <w:tcPr>
            <w:tcW w:w="846" w:type="dxa"/>
            <w:tcBorders>
              <w:top w:val="single" w:sz="4" w:space="0" w:color="000000"/>
            </w:tcBorders>
          </w:tcPr>
          <w:p w14:paraId="7B89CDBC" w14:textId="77777777" w:rsidR="008E5DE4" w:rsidRDefault="008E5DE4">
            <w:pPr>
              <w:widowControl w:val="0"/>
              <w:pBdr>
                <w:top w:val="nil"/>
                <w:left w:val="nil"/>
                <w:bottom w:val="nil"/>
                <w:right w:val="nil"/>
                <w:between w:val="nil"/>
              </w:pBdr>
              <w:jc w:val="right"/>
              <w:rPr>
                <w:color w:val="000000"/>
                <w:sz w:val="16"/>
                <w:szCs w:val="16"/>
              </w:rPr>
            </w:pPr>
          </w:p>
        </w:tc>
        <w:tc>
          <w:tcPr>
            <w:tcW w:w="569" w:type="dxa"/>
            <w:tcBorders>
              <w:top w:val="single" w:sz="4" w:space="0" w:color="000000"/>
            </w:tcBorders>
          </w:tcPr>
          <w:p w14:paraId="70A6A366" w14:textId="77777777" w:rsidR="008E5DE4" w:rsidRDefault="008E5DE4">
            <w:pPr>
              <w:widowControl w:val="0"/>
              <w:pBdr>
                <w:top w:val="nil"/>
                <w:left w:val="nil"/>
                <w:bottom w:val="nil"/>
                <w:right w:val="nil"/>
                <w:between w:val="nil"/>
              </w:pBdr>
              <w:jc w:val="right"/>
              <w:rPr>
                <w:color w:val="000000"/>
                <w:sz w:val="16"/>
                <w:szCs w:val="16"/>
              </w:rPr>
            </w:pPr>
          </w:p>
        </w:tc>
      </w:tr>
      <w:tr w:rsidR="008E5DE4" w14:paraId="1828239A" w14:textId="77777777">
        <w:trPr>
          <w:cantSplit/>
        </w:trPr>
        <w:tc>
          <w:tcPr>
            <w:tcW w:w="1699" w:type="dxa"/>
            <w:vAlign w:val="bottom"/>
          </w:tcPr>
          <w:p w14:paraId="3BAB4962" w14:textId="77777777" w:rsidR="008E5DE4" w:rsidRDefault="00780368">
            <w:pPr>
              <w:widowControl w:val="0"/>
              <w:pBdr>
                <w:top w:val="nil"/>
                <w:left w:val="nil"/>
                <w:bottom w:val="nil"/>
                <w:right w:val="nil"/>
                <w:between w:val="nil"/>
              </w:pBdr>
              <w:ind w:left="113" w:right="-57" w:hanging="113"/>
              <w:rPr>
                <w:b/>
                <w:color w:val="000000"/>
                <w:sz w:val="16"/>
                <w:szCs w:val="16"/>
              </w:rPr>
            </w:pPr>
            <w:r>
              <w:rPr>
                <w:b/>
                <w:color w:val="000000"/>
                <w:sz w:val="16"/>
                <w:szCs w:val="16"/>
              </w:rPr>
              <w:t xml:space="preserve">Liabilities from financing activities </w:t>
            </w:r>
            <w:proofErr w:type="gramStart"/>
            <w:r>
              <w:rPr>
                <w:b/>
                <w:color w:val="000000"/>
                <w:sz w:val="16"/>
                <w:szCs w:val="16"/>
              </w:rPr>
              <w:t>at</w:t>
            </w:r>
            <w:proofErr w:type="gramEnd"/>
            <w:r>
              <w:rPr>
                <w:b/>
                <w:color w:val="000000"/>
                <w:sz w:val="16"/>
                <w:szCs w:val="16"/>
              </w:rPr>
              <w:t xml:space="preserve"> 31 December </w:t>
            </w:r>
          </w:p>
        </w:tc>
        <w:tc>
          <w:tcPr>
            <w:tcW w:w="736" w:type="dxa"/>
            <w:vAlign w:val="bottom"/>
          </w:tcPr>
          <w:p w14:paraId="352AFB2F" w14:textId="77777777" w:rsidR="008E5DE4" w:rsidRDefault="008E5DE4">
            <w:pPr>
              <w:widowControl w:val="0"/>
              <w:pBdr>
                <w:top w:val="nil"/>
                <w:left w:val="nil"/>
                <w:bottom w:val="nil"/>
                <w:right w:val="nil"/>
                <w:between w:val="nil"/>
              </w:pBdr>
              <w:jc w:val="right"/>
              <w:rPr>
                <w:color w:val="000000"/>
                <w:sz w:val="16"/>
                <w:szCs w:val="16"/>
              </w:rPr>
            </w:pPr>
          </w:p>
        </w:tc>
        <w:tc>
          <w:tcPr>
            <w:tcW w:w="539" w:type="dxa"/>
          </w:tcPr>
          <w:p w14:paraId="4CF317F5"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24EB02B3"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66D347B2" w14:textId="77777777" w:rsidR="008E5DE4" w:rsidRDefault="008E5DE4">
            <w:pPr>
              <w:widowControl w:val="0"/>
              <w:pBdr>
                <w:top w:val="nil"/>
                <w:left w:val="nil"/>
                <w:bottom w:val="nil"/>
                <w:right w:val="nil"/>
                <w:between w:val="nil"/>
              </w:pBdr>
              <w:jc w:val="right"/>
              <w:rPr>
                <w:color w:val="000000"/>
                <w:sz w:val="16"/>
                <w:szCs w:val="16"/>
              </w:rPr>
            </w:pPr>
          </w:p>
        </w:tc>
        <w:tc>
          <w:tcPr>
            <w:tcW w:w="854" w:type="dxa"/>
            <w:vAlign w:val="bottom"/>
          </w:tcPr>
          <w:p w14:paraId="52725A1E" w14:textId="77777777" w:rsidR="008E5DE4" w:rsidRDefault="008E5DE4">
            <w:pPr>
              <w:widowControl w:val="0"/>
              <w:pBdr>
                <w:top w:val="nil"/>
                <w:left w:val="nil"/>
                <w:bottom w:val="nil"/>
                <w:right w:val="nil"/>
                <w:between w:val="nil"/>
              </w:pBdr>
              <w:jc w:val="right"/>
              <w:rPr>
                <w:color w:val="000000"/>
                <w:sz w:val="16"/>
                <w:szCs w:val="16"/>
              </w:rPr>
            </w:pPr>
          </w:p>
        </w:tc>
        <w:tc>
          <w:tcPr>
            <w:tcW w:w="571" w:type="dxa"/>
            <w:vAlign w:val="bottom"/>
          </w:tcPr>
          <w:p w14:paraId="07F824AB" w14:textId="77777777" w:rsidR="008E5DE4" w:rsidRDefault="008E5DE4">
            <w:pPr>
              <w:widowControl w:val="0"/>
              <w:pBdr>
                <w:top w:val="nil"/>
                <w:left w:val="nil"/>
                <w:bottom w:val="nil"/>
                <w:right w:val="nil"/>
                <w:between w:val="nil"/>
              </w:pBdr>
              <w:jc w:val="right"/>
              <w:rPr>
                <w:color w:val="000000"/>
                <w:sz w:val="16"/>
                <w:szCs w:val="16"/>
              </w:rPr>
            </w:pPr>
          </w:p>
        </w:tc>
        <w:tc>
          <w:tcPr>
            <w:tcW w:w="737" w:type="dxa"/>
          </w:tcPr>
          <w:p w14:paraId="55A35996" w14:textId="77777777" w:rsidR="008E5DE4" w:rsidRDefault="008E5DE4">
            <w:pPr>
              <w:widowControl w:val="0"/>
              <w:pBdr>
                <w:top w:val="nil"/>
                <w:left w:val="nil"/>
                <w:bottom w:val="nil"/>
                <w:right w:val="nil"/>
                <w:between w:val="nil"/>
              </w:pBdr>
              <w:jc w:val="right"/>
              <w:rPr>
                <w:color w:val="000000"/>
                <w:sz w:val="16"/>
                <w:szCs w:val="16"/>
              </w:rPr>
            </w:pPr>
          </w:p>
        </w:tc>
        <w:tc>
          <w:tcPr>
            <w:tcW w:w="453" w:type="dxa"/>
          </w:tcPr>
          <w:p w14:paraId="76B0A26F" w14:textId="77777777" w:rsidR="008E5DE4" w:rsidRDefault="008E5DE4">
            <w:pPr>
              <w:widowControl w:val="0"/>
              <w:pBdr>
                <w:top w:val="nil"/>
                <w:left w:val="nil"/>
                <w:bottom w:val="nil"/>
                <w:right w:val="nil"/>
                <w:between w:val="nil"/>
              </w:pBdr>
              <w:jc w:val="right"/>
              <w:rPr>
                <w:color w:val="000000"/>
                <w:sz w:val="16"/>
                <w:szCs w:val="16"/>
              </w:rPr>
            </w:pPr>
          </w:p>
        </w:tc>
        <w:tc>
          <w:tcPr>
            <w:tcW w:w="510" w:type="dxa"/>
          </w:tcPr>
          <w:p w14:paraId="71547F72" w14:textId="77777777" w:rsidR="008E5DE4" w:rsidRDefault="008E5DE4">
            <w:pPr>
              <w:widowControl w:val="0"/>
              <w:pBdr>
                <w:top w:val="nil"/>
                <w:left w:val="nil"/>
                <w:bottom w:val="nil"/>
                <w:right w:val="nil"/>
                <w:between w:val="nil"/>
              </w:pBdr>
              <w:jc w:val="right"/>
              <w:rPr>
                <w:color w:val="000000"/>
                <w:sz w:val="16"/>
                <w:szCs w:val="16"/>
              </w:rPr>
            </w:pPr>
          </w:p>
        </w:tc>
        <w:tc>
          <w:tcPr>
            <w:tcW w:w="567" w:type="dxa"/>
          </w:tcPr>
          <w:p w14:paraId="51AA33D2" w14:textId="77777777" w:rsidR="008E5DE4" w:rsidRDefault="008E5DE4">
            <w:pPr>
              <w:widowControl w:val="0"/>
              <w:pBdr>
                <w:top w:val="nil"/>
                <w:left w:val="nil"/>
                <w:bottom w:val="nil"/>
                <w:right w:val="nil"/>
                <w:between w:val="nil"/>
              </w:pBdr>
              <w:jc w:val="right"/>
              <w:rPr>
                <w:color w:val="000000"/>
                <w:sz w:val="16"/>
                <w:szCs w:val="16"/>
              </w:rPr>
            </w:pPr>
          </w:p>
        </w:tc>
        <w:tc>
          <w:tcPr>
            <w:tcW w:w="846" w:type="dxa"/>
          </w:tcPr>
          <w:p w14:paraId="0992DF6D" w14:textId="77777777" w:rsidR="008E5DE4" w:rsidRDefault="008E5DE4">
            <w:pPr>
              <w:widowControl w:val="0"/>
              <w:pBdr>
                <w:top w:val="nil"/>
                <w:left w:val="nil"/>
                <w:bottom w:val="nil"/>
                <w:right w:val="nil"/>
                <w:between w:val="nil"/>
              </w:pBdr>
              <w:jc w:val="right"/>
              <w:rPr>
                <w:color w:val="000000"/>
                <w:sz w:val="16"/>
                <w:szCs w:val="16"/>
              </w:rPr>
            </w:pPr>
          </w:p>
        </w:tc>
        <w:tc>
          <w:tcPr>
            <w:tcW w:w="569" w:type="dxa"/>
          </w:tcPr>
          <w:p w14:paraId="62920DCC" w14:textId="77777777" w:rsidR="008E5DE4" w:rsidRDefault="008E5DE4">
            <w:pPr>
              <w:widowControl w:val="0"/>
              <w:pBdr>
                <w:top w:val="nil"/>
                <w:left w:val="nil"/>
                <w:bottom w:val="nil"/>
                <w:right w:val="nil"/>
                <w:between w:val="nil"/>
              </w:pBdr>
              <w:jc w:val="right"/>
              <w:rPr>
                <w:color w:val="000000"/>
                <w:sz w:val="16"/>
                <w:szCs w:val="16"/>
              </w:rPr>
            </w:pPr>
          </w:p>
        </w:tc>
      </w:tr>
      <w:tr w:rsidR="008E5DE4" w14:paraId="1DF5D295" w14:textId="77777777">
        <w:trPr>
          <w:cantSplit/>
        </w:trPr>
        <w:tc>
          <w:tcPr>
            <w:tcW w:w="1699" w:type="dxa"/>
            <w:tcBorders>
              <w:top w:val="nil"/>
              <w:left w:val="nil"/>
              <w:bottom w:val="single" w:sz="12" w:space="0" w:color="000000"/>
              <w:right w:val="nil"/>
            </w:tcBorders>
            <w:vAlign w:val="bottom"/>
          </w:tcPr>
          <w:p w14:paraId="56EA9247"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736" w:type="dxa"/>
            <w:tcBorders>
              <w:top w:val="nil"/>
              <w:left w:val="nil"/>
              <w:bottom w:val="single" w:sz="12" w:space="0" w:color="000000"/>
              <w:right w:val="nil"/>
            </w:tcBorders>
            <w:vAlign w:val="bottom"/>
          </w:tcPr>
          <w:p w14:paraId="7FFA84A2" w14:textId="77777777" w:rsidR="008E5DE4" w:rsidRDefault="008E5DE4">
            <w:pPr>
              <w:widowControl w:val="0"/>
              <w:pBdr>
                <w:top w:val="nil"/>
                <w:left w:val="nil"/>
                <w:bottom w:val="nil"/>
                <w:right w:val="nil"/>
                <w:between w:val="nil"/>
              </w:pBdr>
              <w:jc w:val="right"/>
              <w:rPr>
                <w:color w:val="000000"/>
                <w:sz w:val="16"/>
                <w:szCs w:val="16"/>
              </w:rPr>
            </w:pPr>
          </w:p>
        </w:tc>
        <w:tc>
          <w:tcPr>
            <w:tcW w:w="539" w:type="dxa"/>
            <w:tcBorders>
              <w:top w:val="nil"/>
              <w:left w:val="nil"/>
              <w:bottom w:val="single" w:sz="12" w:space="0" w:color="000000"/>
              <w:right w:val="nil"/>
            </w:tcBorders>
          </w:tcPr>
          <w:p w14:paraId="48BF28B2"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top w:val="nil"/>
              <w:left w:val="nil"/>
              <w:bottom w:val="single" w:sz="12" w:space="0" w:color="000000"/>
              <w:right w:val="nil"/>
            </w:tcBorders>
          </w:tcPr>
          <w:p w14:paraId="68891997"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top w:val="nil"/>
              <w:left w:val="nil"/>
              <w:bottom w:val="single" w:sz="12" w:space="0" w:color="000000"/>
              <w:right w:val="nil"/>
            </w:tcBorders>
          </w:tcPr>
          <w:p w14:paraId="6EA7A964" w14:textId="77777777" w:rsidR="008E5DE4" w:rsidRDefault="008E5DE4">
            <w:pPr>
              <w:widowControl w:val="0"/>
              <w:pBdr>
                <w:top w:val="nil"/>
                <w:left w:val="nil"/>
                <w:bottom w:val="nil"/>
                <w:right w:val="nil"/>
                <w:between w:val="nil"/>
              </w:pBdr>
              <w:jc w:val="right"/>
              <w:rPr>
                <w:color w:val="000000"/>
                <w:sz w:val="16"/>
                <w:szCs w:val="16"/>
              </w:rPr>
            </w:pPr>
          </w:p>
        </w:tc>
        <w:tc>
          <w:tcPr>
            <w:tcW w:w="854" w:type="dxa"/>
            <w:tcBorders>
              <w:top w:val="nil"/>
              <w:left w:val="nil"/>
              <w:bottom w:val="single" w:sz="12" w:space="0" w:color="000000"/>
              <w:right w:val="nil"/>
            </w:tcBorders>
            <w:vAlign w:val="bottom"/>
          </w:tcPr>
          <w:p w14:paraId="311A64FA" w14:textId="77777777" w:rsidR="008E5DE4" w:rsidRDefault="008E5DE4">
            <w:pPr>
              <w:widowControl w:val="0"/>
              <w:pBdr>
                <w:top w:val="nil"/>
                <w:left w:val="nil"/>
                <w:bottom w:val="nil"/>
                <w:right w:val="nil"/>
                <w:between w:val="nil"/>
              </w:pBdr>
              <w:jc w:val="right"/>
              <w:rPr>
                <w:color w:val="000000"/>
                <w:sz w:val="16"/>
                <w:szCs w:val="16"/>
              </w:rPr>
            </w:pPr>
          </w:p>
        </w:tc>
        <w:tc>
          <w:tcPr>
            <w:tcW w:w="571" w:type="dxa"/>
            <w:tcBorders>
              <w:top w:val="nil"/>
              <w:left w:val="nil"/>
              <w:bottom w:val="single" w:sz="12" w:space="0" w:color="000000"/>
              <w:right w:val="nil"/>
            </w:tcBorders>
            <w:vAlign w:val="bottom"/>
          </w:tcPr>
          <w:p w14:paraId="5CA0AA34" w14:textId="77777777" w:rsidR="008E5DE4" w:rsidRDefault="008E5DE4">
            <w:pPr>
              <w:widowControl w:val="0"/>
              <w:pBdr>
                <w:top w:val="nil"/>
                <w:left w:val="nil"/>
                <w:bottom w:val="nil"/>
                <w:right w:val="nil"/>
                <w:between w:val="nil"/>
              </w:pBdr>
              <w:jc w:val="right"/>
              <w:rPr>
                <w:color w:val="000000"/>
                <w:sz w:val="16"/>
                <w:szCs w:val="16"/>
              </w:rPr>
            </w:pPr>
          </w:p>
        </w:tc>
        <w:tc>
          <w:tcPr>
            <w:tcW w:w="737" w:type="dxa"/>
            <w:tcBorders>
              <w:top w:val="nil"/>
              <w:left w:val="nil"/>
              <w:bottom w:val="single" w:sz="12" w:space="0" w:color="000000"/>
              <w:right w:val="nil"/>
            </w:tcBorders>
          </w:tcPr>
          <w:p w14:paraId="1AAE6F80" w14:textId="77777777" w:rsidR="008E5DE4" w:rsidRDefault="008E5DE4">
            <w:pPr>
              <w:widowControl w:val="0"/>
              <w:pBdr>
                <w:top w:val="nil"/>
                <w:left w:val="nil"/>
                <w:bottom w:val="nil"/>
                <w:right w:val="nil"/>
                <w:between w:val="nil"/>
              </w:pBdr>
              <w:jc w:val="right"/>
              <w:rPr>
                <w:color w:val="000000"/>
                <w:sz w:val="16"/>
                <w:szCs w:val="16"/>
              </w:rPr>
            </w:pPr>
          </w:p>
        </w:tc>
        <w:tc>
          <w:tcPr>
            <w:tcW w:w="453" w:type="dxa"/>
            <w:tcBorders>
              <w:top w:val="nil"/>
              <w:left w:val="nil"/>
              <w:bottom w:val="single" w:sz="12" w:space="0" w:color="000000"/>
              <w:right w:val="nil"/>
            </w:tcBorders>
          </w:tcPr>
          <w:p w14:paraId="30F8367A" w14:textId="77777777" w:rsidR="008E5DE4" w:rsidRDefault="008E5DE4">
            <w:pPr>
              <w:widowControl w:val="0"/>
              <w:pBdr>
                <w:top w:val="nil"/>
                <w:left w:val="nil"/>
                <w:bottom w:val="nil"/>
                <w:right w:val="nil"/>
                <w:between w:val="nil"/>
              </w:pBdr>
              <w:jc w:val="right"/>
              <w:rPr>
                <w:color w:val="000000"/>
                <w:sz w:val="16"/>
                <w:szCs w:val="16"/>
              </w:rPr>
            </w:pPr>
          </w:p>
        </w:tc>
        <w:tc>
          <w:tcPr>
            <w:tcW w:w="510" w:type="dxa"/>
            <w:tcBorders>
              <w:top w:val="nil"/>
              <w:left w:val="nil"/>
              <w:bottom w:val="single" w:sz="12" w:space="0" w:color="000000"/>
              <w:right w:val="nil"/>
            </w:tcBorders>
          </w:tcPr>
          <w:p w14:paraId="3D4EA9E8" w14:textId="77777777" w:rsidR="008E5DE4" w:rsidRDefault="008E5DE4">
            <w:pPr>
              <w:widowControl w:val="0"/>
              <w:pBdr>
                <w:top w:val="nil"/>
                <w:left w:val="nil"/>
                <w:bottom w:val="nil"/>
                <w:right w:val="nil"/>
                <w:between w:val="nil"/>
              </w:pBdr>
              <w:jc w:val="right"/>
              <w:rPr>
                <w:color w:val="000000"/>
                <w:sz w:val="16"/>
                <w:szCs w:val="16"/>
              </w:rPr>
            </w:pPr>
          </w:p>
        </w:tc>
        <w:tc>
          <w:tcPr>
            <w:tcW w:w="567" w:type="dxa"/>
            <w:tcBorders>
              <w:top w:val="nil"/>
              <w:left w:val="nil"/>
              <w:bottom w:val="single" w:sz="12" w:space="0" w:color="000000"/>
              <w:right w:val="nil"/>
            </w:tcBorders>
          </w:tcPr>
          <w:p w14:paraId="0DD8FCFB" w14:textId="77777777" w:rsidR="008E5DE4" w:rsidRDefault="008E5DE4">
            <w:pPr>
              <w:widowControl w:val="0"/>
              <w:pBdr>
                <w:top w:val="nil"/>
                <w:left w:val="nil"/>
                <w:bottom w:val="nil"/>
                <w:right w:val="nil"/>
                <w:between w:val="nil"/>
              </w:pBdr>
              <w:jc w:val="right"/>
              <w:rPr>
                <w:color w:val="000000"/>
                <w:sz w:val="16"/>
                <w:szCs w:val="16"/>
              </w:rPr>
            </w:pPr>
          </w:p>
        </w:tc>
        <w:tc>
          <w:tcPr>
            <w:tcW w:w="846" w:type="dxa"/>
            <w:tcBorders>
              <w:top w:val="nil"/>
              <w:left w:val="nil"/>
              <w:bottom w:val="single" w:sz="12" w:space="0" w:color="000000"/>
              <w:right w:val="nil"/>
            </w:tcBorders>
          </w:tcPr>
          <w:p w14:paraId="586DD88A" w14:textId="77777777" w:rsidR="008E5DE4" w:rsidRDefault="008E5DE4">
            <w:pPr>
              <w:widowControl w:val="0"/>
              <w:pBdr>
                <w:top w:val="nil"/>
                <w:left w:val="nil"/>
                <w:bottom w:val="nil"/>
                <w:right w:val="nil"/>
                <w:between w:val="nil"/>
              </w:pBdr>
              <w:jc w:val="right"/>
              <w:rPr>
                <w:color w:val="000000"/>
                <w:sz w:val="16"/>
                <w:szCs w:val="16"/>
              </w:rPr>
            </w:pPr>
          </w:p>
        </w:tc>
        <w:tc>
          <w:tcPr>
            <w:tcW w:w="569" w:type="dxa"/>
            <w:tcBorders>
              <w:top w:val="nil"/>
              <w:left w:val="nil"/>
              <w:bottom w:val="single" w:sz="12" w:space="0" w:color="000000"/>
              <w:right w:val="nil"/>
            </w:tcBorders>
          </w:tcPr>
          <w:p w14:paraId="0918F82F" w14:textId="77777777" w:rsidR="008E5DE4" w:rsidRDefault="008E5DE4">
            <w:pPr>
              <w:widowControl w:val="0"/>
              <w:pBdr>
                <w:top w:val="nil"/>
                <w:left w:val="nil"/>
                <w:bottom w:val="nil"/>
                <w:right w:val="nil"/>
                <w:between w:val="nil"/>
              </w:pBdr>
              <w:jc w:val="right"/>
              <w:rPr>
                <w:color w:val="000000"/>
                <w:sz w:val="16"/>
                <w:szCs w:val="16"/>
              </w:rPr>
            </w:pPr>
          </w:p>
        </w:tc>
      </w:tr>
    </w:tbl>
    <w:p w14:paraId="7A9C57B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29</w:t>
      </w:r>
      <w:r>
        <w:rPr>
          <w:b/>
          <w:color w:val="000000"/>
          <w:sz w:val="20"/>
          <w:szCs w:val="20"/>
        </w:rPr>
        <w:tab/>
        <w:t>Reconciliation of Liabilities arising from Financing Activities (Continued)</w:t>
      </w:r>
    </w:p>
    <w:p w14:paraId="5ADF2E60" w14:textId="77777777" w:rsidR="008E5DE4" w:rsidRDefault="00780368">
      <w:pPr>
        <w:widowControl w:val="0"/>
        <w:pBdr>
          <w:top w:val="nil"/>
          <w:left w:val="nil"/>
          <w:bottom w:val="nil"/>
          <w:right w:val="nil"/>
          <w:between w:val="nil"/>
        </w:pBdr>
        <w:spacing w:before="200"/>
        <w:jc w:val="both"/>
        <w:rPr>
          <w:color w:val="0000FF"/>
          <w:sz w:val="20"/>
          <w:szCs w:val="20"/>
        </w:rPr>
      </w:pPr>
      <w:r>
        <w:rPr>
          <w:color w:val="0000FF"/>
          <w:sz w:val="20"/>
          <w:szCs w:val="20"/>
        </w:rPr>
        <w:t xml:space="preserve">[In addition, the disclosure requirement of amendments to IAS 7 also applies to changes in financial assets, if cash flows from those financial assets were, or future cash flows will be, included in cash flows from financing activities. Such financial assets should be included in the table above. Changes in liabilities arising from financing activities shall be disclosed separately from changes in other assets and liabilities.] </w:t>
      </w:r>
    </w:p>
    <w:p w14:paraId="702E9C40" w14:textId="0FF860D8" w:rsidR="008E5DE4" w:rsidRDefault="00C07603" w:rsidP="007F183E">
      <w:pPr>
        <w:pStyle w:val="Heading1"/>
        <w:numPr>
          <w:ilvl w:val="0"/>
          <w:numId w:val="0"/>
        </w:numPr>
        <w:ind w:left="567" w:hanging="567"/>
      </w:pPr>
      <w:r w:rsidRPr="007F183E">
        <w:rPr>
          <w:color w:val="000000"/>
        </w:rPr>
        <w:t xml:space="preserve">30 </w:t>
      </w:r>
      <w:r>
        <w:rPr>
          <w:color w:val="000000"/>
        </w:rPr>
        <w:tab/>
      </w:r>
      <w:bookmarkStart w:id="49" w:name="_Toc149923629"/>
      <w:r w:rsidR="00780368" w:rsidRPr="007F183E">
        <w:rPr>
          <w:color w:val="000000"/>
        </w:rPr>
        <w:t>Government</w:t>
      </w:r>
      <w:r w:rsidR="00780368">
        <w:t xml:space="preserve"> Grants</w:t>
      </w:r>
      <w:bookmarkEnd w:id="49"/>
    </w:p>
    <w:p w14:paraId="472D4780" w14:textId="6D2FC19E"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3FBD81B5"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Grants from the government are recognised at their fair value where there is reasonable assurance that the grant will be received and the Group will comply with all attached conditions. </w:t>
      </w:r>
    </w:p>
    <w:p w14:paraId="6425CA9A" w14:textId="2582FA6C" w:rsidR="008E5DE4" w:rsidRDefault="00780368">
      <w:pPr>
        <w:widowControl w:val="0"/>
        <w:pBdr>
          <w:top w:val="nil"/>
          <w:left w:val="nil"/>
          <w:bottom w:val="nil"/>
          <w:right w:val="nil"/>
          <w:between w:val="nil"/>
        </w:pBdr>
        <w:shd w:val="clear" w:color="auto" w:fill="C6D9F1"/>
        <w:spacing w:before="200" w:after="200"/>
        <w:jc w:val="both"/>
        <w:rPr>
          <w:b/>
          <w:i/>
          <w:color w:val="000000"/>
          <w:sz w:val="20"/>
          <w:szCs w:val="20"/>
        </w:rPr>
      </w:pPr>
      <w:r>
        <w:rPr>
          <w:color w:val="000000"/>
          <w:sz w:val="20"/>
          <w:szCs w:val="20"/>
        </w:rPr>
        <w:t>Government grants relating to the purchase of property, plant and equipment are included in non-current liabilities as deferred income and are credited to profit or loss on a straight</w:t>
      </w:r>
      <w:r w:rsidR="001E2226">
        <w:rPr>
          <w:color w:val="000000"/>
          <w:sz w:val="20"/>
          <w:szCs w:val="20"/>
        </w:rPr>
        <w:t>-</w:t>
      </w:r>
      <w:r>
        <w:rPr>
          <w:color w:val="000000"/>
          <w:sz w:val="20"/>
          <w:szCs w:val="20"/>
        </w:rPr>
        <w:t xml:space="preserve">line basis over the expected lives of the related assets. Government grants relating to costs are deferred and recognised in profit or loss for the year </w:t>
      </w:r>
      <w:r>
        <w:rPr>
          <w:color w:val="0000FF"/>
          <w:sz w:val="20"/>
          <w:szCs w:val="20"/>
        </w:rPr>
        <w:t>[as other income]</w:t>
      </w:r>
      <w:r>
        <w:rPr>
          <w:color w:val="000000"/>
          <w:sz w:val="20"/>
          <w:szCs w:val="20"/>
        </w:rPr>
        <w:t xml:space="preserve"> over the period necessary to match them with the costs that they are intended to compensate.</w:t>
      </w:r>
    </w:p>
    <w:p w14:paraId="18DA6B96"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obtained government grants for construction of </w:t>
      </w:r>
      <w:r>
        <w:rPr>
          <w:color w:val="0000FF"/>
          <w:sz w:val="20"/>
          <w:szCs w:val="20"/>
        </w:rPr>
        <w:t xml:space="preserve">[civil defence objects] </w:t>
      </w:r>
      <w:r>
        <w:rPr>
          <w:color w:val="000000"/>
          <w:sz w:val="20"/>
          <w:szCs w:val="20"/>
        </w:rPr>
        <w:t>and recognised them in deferred income as follows:</w:t>
      </w:r>
    </w:p>
    <w:tbl>
      <w:tblPr>
        <w:tblStyle w:val="afffffffffa"/>
        <w:tblW w:w="9355" w:type="dxa"/>
        <w:tblLayout w:type="fixed"/>
        <w:tblLook w:val="0000" w:firstRow="0" w:lastRow="0" w:firstColumn="0" w:lastColumn="0" w:noHBand="0" w:noVBand="0"/>
      </w:tblPr>
      <w:tblGrid>
        <w:gridCol w:w="6293"/>
        <w:gridCol w:w="1531"/>
        <w:gridCol w:w="1531"/>
      </w:tblGrid>
      <w:tr w:rsidR="008E5DE4" w14:paraId="11616EB2" w14:textId="77777777">
        <w:trPr>
          <w:cantSplit/>
        </w:trPr>
        <w:tc>
          <w:tcPr>
            <w:tcW w:w="6293" w:type="dxa"/>
            <w:tcBorders>
              <w:bottom w:val="single" w:sz="4" w:space="0" w:color="000000"/>
            </w:tcBorders>
            <w:vAlign w:val="bottom"/>
          </w:tcPr>
          <w:p w14:paraId="0E5E13B7" w14:textId="77777777" w:rsidR="008E5DE4" w:rsidRDefault="00780368">
            <w:pPr>
              <w:widowControl w:val="0"/>
              <w:pBdr>
                <w:top w:val="nil"/>
                <w:left w:val="nil"/>
                <w:bottom w:val="nil"/>
                <w:right w:val="nil"/>
                <w:between w:val="nil"/>
              </w:pBdr>
              <w:rPr>
                <w:i/>
                <w:color w:val="000000"/>
              </w:rPr>
            </w:pPr>
            <w:r>
              <w:rPr>
                <w:i/>
                <w:color w:val="000000"/>
              </w:rPr>
              <w:t>In thousands of EUR</w:t>
            </w:r>
          </w:p>
        </w:tc>
        <w:tc>
          <w:tcPr>
            <w:tcW w:w="1531" w:type="dxa"/>
            <w:tcBorders>
              <w:bottom w:val="single" w:sz="4" w:space="0" w:color="000000"/>
            </w:tcBorders>
            <w:vAlign w:val="bottom"/>
          </w:tcPr>
          <w:p w14:paraId="4A270C20" w14:textId="0AA059DD"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57090DC0" w14:textId="67AF412D"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252A90E8" w14:textId="77777777">
        <w:trPr>
          <w:cantSplit/>
        </w:trPr>
        <w:tc>
          <w:tcPr>
            <w:tcW w:w="6293" w:type="dxa"/>
            <w:vAlign w:val="bottom"/>
          </w:tcPr>
          <w:p w14:paraId="61E06460" w14:textId="77777777" w:rsidR="008E5DE4" w:rsidRDefault="00780368">
            <w:pPr>
              <w:widowControl w:val="0"/>
              <w:pBdr>
                <w:top w:val="nil"/>
                <w:left w:val="nil"/>
                <w:bottom w:val="nil"/>
                <w:right w:val="nil"/>
                <w:between w:val="nil"/>
              </w:pBdr>
              <w:rPr>
                <w:color w:val="000000"/>
                <w:sz w:val="14"/>
                <w:szCs w:val="14"/>
              </w:rPr>
            </w:pPr>
            <w:r>
              <w:rPr>
                <w:b/>
                <w:color w:val="000000"/>
                <w:sz w:val="14"/>
                <w:szCs w:val="14"/>
              </w:rPr>
              <w:t> </w:t>
            </w:r>
          </w:p>
        </w:tc>
        <w:tc>
          <w:tcPr>
            <w:tcW w:w="1531" w:type="dxa"/>
            <w:vAlign w:val="bottom"/>
          </w:tcPr>
          <w:p w14:paraId="78779C2D" w14:textId="77777777" w:rsidR="008E5DE4" w:rsidRDefault="008E5DE4">
            <w:pPr>
              <w:widowControl w:val="0"/>
              <w:pBdr>
                <w:top w:val="nil"/>
                <w:left w:val="nil"/>
                <w:bottom w:val="nil"/>
                <w:right w:val="nil"/>
                <w:between w:val="nil"/>
              </w:pBdr>
              <w:jc w:val="right"/>
              <w:rPr>
                <w:color w:val="000000"/>
                <w:sz w:val="14"/>
                <w:szCs w:val="14"/>
              </w:rPr>
            </w:pPr>
          </w:p>
        </w:tc>
        <w:tc>
          <w:tcPr>
            <w:tcW w:w="1531" w:type="dxa"/>
            <w:vAlign w:val="bottom"/>
          </w:tcPr>
          <w:p w14:paraId="1FAF5A5E" w14:textId="77777777" w:rsidR="008E5DE4" w:rsidRDefault="008E5DE4">
            <w:pPr>
              <w:widowControl w:val="0"/>
              <w:pBdr>
                <w:top w:val="nil"/>
                <w:left w:val="nil"/>
                <w:bottom w:val="nil"/>
                <w:right w:val="nil"/>
                <w:between w:val="nil"/>
              </w:pBdr>
              <w:jc w:val="right"/>
              <w:rPr>
                <w:color w:val="000000"/>
                <w:sz w:val="14"/>
                <w:szCs w:val="14"/>
              </w:rPr>
            </w:pPr>
          </w:p>
        </w:tc>
      </w:tr>
      <w:tr w:rsidR="008E5DE4" w14:paraId="2E3268FD" w14:textId="77777777">
        <w:trPr>
          <w:cantSplit/>
        </w:trPr>
        <w:tc>
          <w:tcPr>
            <w:tcW w:w="6293" w:type="dxa"/>
            <w:vAlign w:val="bottom"/>
          </w:tcPr>
          <w:p w14:paraId="6D05D611" w14:textId="77777777" w:rsidR="008E5DE4" w:rsidRDefault="00780368">
            <w:pPr>
              <w:widowControl w:val="0"/>
              <w:pBdr>
                <w:top w:val="nil"/>
                <w:left w:val="nil"/>
                <w:bottom w:val="nil"/>
                <w:right w:val="nil"/>
                <w:between w:val="nil"/>
              </w:pBdr>
              <w:rPr>
                <w:b/>
                <w:color w:val="000000"/>
              </w:rPr>
            </w:pPr>
            <w:r>
              <w:rPr>
                <w:b/>
                <w:color w:val="000000"/>
              </w:rPr>
              <w:t xml:space="preserve">Deferred income </w:t>
            </w:r>
            <w:proofErr w:type="gramStart"/>
            <w:r>
              <w:rPr>
                <w:b/>
                <w:color w:val="000000"/>
              </w:rPr>
              <w:t>at</w:t>
            </w:r>
            <w:proofErr w:type="gramEnd"/>
            <w:r>
              <w:rPr>
                <w:b/>
                <w:color w:val="000000"/>
              </w:rPr>
              <w:t xml:space="preserve"> 1 January</w:t>
            </w:r>
          </w:p>
        </w:tc>
        <w:tc>
          <w:tcPr>
            <w:tcW w:w="1531" w:type="dxa"/>
            <w:vAlign w:val="bottom"/>
          </w:tcPr>
          <w:p w14:paraId="13F2367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E1F9F63" w14:textId="77777777" w:rsidR="008E5DE4" w:rsidRDefault="008E5DE4">
            <w:pPr>
              <w:widowControl w:val="0"/>
              <w:pBdr>
                <w:top w:val="nil"/>
                <w:left w:val="nil"/>
                <w:bottom w:val="nil"/>
                <w:right w:val="nil"/>
                <w:between w:val="nil"/>
              </w:pBdr>
              <w:jc w:val="right"/>
              <w:rPr>
                <w:color w:val="000000"/>
              </w:rPr>
            </w:pPr>
          </w:p>
        </w:tc>
      </w:tr>
      <w:tr w:rsidR="008E5DE4" w14:paraId="5026B58A" w14:textId="77777777">
        <w:trPr>
          <w:cantSplit/>
        </w:trPr>
        <w:tc>
          <w:tcPr>
            <w:tcW w:w="6293" w:type="dxa"/>
            <w:vAlign w:val="bottom"/>
          </w:tcPr>
          <w:p w14:paraId="5EF28B73" w14:textId="77777777" w:rsidR="008E5DE4" w:rsidRDefault="00780368">
            <w:pPr>
              <w:widowControl w:val="0"/>
              <w:pBdr>
                <w:top w:val="nil"/>
                <w:left w:val="nil"/>
                <w:bottom w:val="nil"/>
                <w:right w:val="nil"/>
                <w:between w:val="nil"/>
              </w:pBdr>
              <w:rPr>
                <w:color w:val="000000"/>
              </w:rPr>
            </w:pPr>
            <w:r>
              <w:rPr>
                <w:color w:val="000000"/>
              </w:rPr>
              <w:t>New grants received</w:t>
            </w:r>
          </w:p>
        </w:tc>
        <w:tc>
          <w:tcPr>
            <w:tcW w:w="1531" w:type="dxa"/>
            <w:vAlign w:val="bottom"/>
          </w:tcPr>
          <w:p w14:paraId="19DC96F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E975F10" w14:textId="77777777" w:rsidR="008E5DE4" w:rsidRDefault="008E5DE4">
            <w:pPr>
              <w:widowControl w:val="0"/>
              <w:pBdr>
                <w:top w:val="nil"/>
                <w:left w:val="nil"/>
                <w:bottom w:val="nil"/>
                <w:right w:val="nil"/>
                <w:between w:val="nil"/>
              </w:pBdr>
              <w:jc w:val="right"/>
              <w:rPr>
                <w:color w:val="000000"/>
              </w:rPr>
            </w:pPr>
          </w:p>
        </w:tc>
      </w:tr>
      <w:tr w:rsidR="008E5DE4" w14:paraId="70BCF047" w14:textId="77777777">
        <w:trPr>
          <w:cantSplit/>
        </w:trPr>
        <w:tc>
          <w:tcPr>
            <w:tcW w:w="6293" w:type="dxa"/>
            <w:vAlign w:val="bottom"/>
          </w:tcPr>
          <w:p w14:paraId="780F48F8" w14:textId="77777777" w:rsidR="008E5DE4" w:rsidRDefault="00780368">
            <w:pPr>
              <w:widowControl w:val="0"/>
              <w:pBdr>
                <w:top w:val="nil"/>
                <w:left w:val="nil"/>
                <w:bottom w:val="nil"/>
                <w:right w:val="nil"/>
                <w:between w:val="nil"/>
              </w:pBdr>
              <w:rPr>
                <w:color w:val="000000"/>
              </w:rPr>
            </w:pPr>
            <w:r>
              <w:rPr>
                <w:color w:val="000000"/>
              </w:rPr>
              <w:t>Amortisation of deferred income to match related depreciation</w:t>
            </w:r>
          </w:p>
        </w:tc>
        <w:tc>
          <w:tcPr>
            <w:tcW w:w="1531" w:type="dxa"/>
            <w:vAlign w:val="bottom"/>
          </w:tcPr>
          <w:p w14:paraId="7D6F4A2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17BAD87" w14:textId="77777777" w:rsidR="008E5DE4" w:rsidRDefault="008E5DE4">
            <w:pPr>
              <w:widowControl w:val="0"/>
              <w:pBdr>
                <w:top w:val="nil"/>
                <w:left w:val="nil"/>
                <w:bottom w:val="nil"/>
                <w:right w:val="nil"/>
                <w:between w:val="nil"/>
              </w:pBdr>
              <w:jc w:val="right"/>
              <w:rPr>
                <w:color w:val="000000"/>
              </w:rPr>
            </w:pPr>
          </w:p>
        </w:tc>
      </w:tr>
      <w:tr w:rsidR="008E5DE4" w14:paraId="50EB4965" w14:textId="77777777">
        <w:trPr>
          <w:cantSplit/>
        </w:trPr>
        <w:tc>
          <w:tcPr>
            <w:tcW w:w="6293" w:type="dxa"/>
            <w:vAlign w:val="bottom"/>
          </w:tcPr>
          <w:p w14:paraId="1FF324A5" w14:textId="77777777" w:rsidR="008E5DE4" w:rsidRDefault="00780368">
            <w:pPr>
              <w:widowControl w:val="0"/>
              <w:pBdr>
                <w:top w:val="nil"/>
                <w:left w:val="nil"/>
                <w:bottom w:val="nil"/>
                <w:right w:val="nil"/>
                <w:between w:val="nil"/>
              </w:pBdr>
              <w:rPr>
                <w:color w:val="000000"/>
                <w:sz w:val="14"/>
                <w:szCs w:val="14"/>
              </w:rPr>
            </w:pPr>
            <w:r>
              <w:rPr>
                <w:b/>
                <w:color w:val="000000"/>
                <w:sz w:val="14"/>
                <w:szCs w:val="14"/>
              </w:rPr>
              <w:t> </w:t>
            </w:r>
          </w:p>
        </w:tc>
        <w:tc>
          <w:tcPr>
            <w:tcW w:w="1531" w:type="dxa"/>
            <w:vAlign w:val="bottom"/>
          </w:tcPr>
          <w:p w14:paraId="4DD196FF" w14:textId="77777777" w:rsidR="008E5DE4" w:rsidRDefault="008E5DE4">
            <w:pPr>
              <w:widowControl w:val="0"/>
              <w:pBdr>
                <w:top w:val="nil"/>
                <w:left w:val="nil"/>
                <w:bottom w:val="nil"/>
                <w:right w:val="nil"/>
                <w:between w:val="nil"/>
              </w:pBdr>
              <w:jc w:val="right"/>
              <w:rPr>
                <w:color w:val="000000"/>
                <w:sz w:val="14"/>
                <w:szCs w:val="14"/>
              </w:rPr>
            </w:pPr>
          </w:p>
        </w:tc>
        <w:tc>
          <w:tcPr>
            <w:tcW w:w="1531" w:type="dxa"/>
            <w:vAlign w:val="bottom"/>
          </w:tcPr>
          <w:p w14:paraId="7C9A924B" w14:textId="77777777" w:rsidR="008E5DE4" w:rsidRDefault="008E5DE4">
            <w:pPr>
              <w:widowControl w:val="0"/>
              <w:pBdr>
                <w:top w:val="nil"/>
                <w:left w:val="nil"/>
                <w:bottom w:val="nil"/>
                <w:right w:val="nil"/>
                <w:between w:val="nil"/>
              </w:pBdr>
              <w:jc w:val="right"/>
              <w:rPr>
                <w:color w:val="000000"/>
                <w:sz w:val="14"/>
                <w:szCs w:val="14"/>
              </w:rPr>
            </w:pPr>
          </w:p>
        </w:tc>
      </w:tr>
      <w:tr w:rsidR="008E5DE4" w14:paraId="79AB1861" w14:textId="77777777">
        <w:trPr>
          <w:cantSplit/>
        </w:trPr>
        <w:tc>
          <w:tcPr>
            <w:tcW w:w="6293" w:type="dxa"/>
            <w:tcBorders>
              <w:top w:val="single" w:sz="4" w:space="0" w:color="000000"/>
            </w:tcBorders>
            <w:vAlign w:val="bottom"/>
          </w:tcPr>
          <w:p w14:paraId="6D6B9529" w14:textId="77777777" w:rsidR="008E5DE4" w:rsidRDefault="00780368">
            <w:pPr>
              <w:widowControl w:val="0"/>
              <w:pBdr>
                <w:top w:val="nil"/>
                <w:left w:val="nil"/>
                <w:bottom w:val="nil"/>
                <w:right w:val="nil"/>
                <w:between w:val="nil"/>
              </w:pBdr>
              <w:rPr>
                <w:color w:val="000000"/>
                <w:sz w:val="14"/>
                <w:szCs w:val="14"/>
              </w:rPr>
            </w:pPr>
            <w:r>
              <w:rPr>
                <w:b/>
                <w:color w:val="000000"/>
                <w:sz w:val="14"/>
                <w:szCs w:val="14"/>
              </w:rPr>
              <w:t> </w:t>
            </w:r>
          </w:p>
        </w:tc>
        <w:tc>
          <w:tcPr>
            <w:tcW w:w="1531" w:type="dxa"/>
            <w:tcBorders>
              <w:top w:val="single" w:sz="4" w:space="0" w:color="000000"/>
            </w:tcBorders>
            <w:vAlign w:val="bottom"/>
          </w:tcPr>
          <w:p w14:paraId="53462E32" w14:textId="77777777" w:rsidR="008E5DE4" w:rsidRDefault="008E5DE4">
            <w:pPr>
              <w:widowControl w:val="0"/>
              <w:pBdr>
                <w:top w:val="nil"/>
                <w:left w:val="nil"/>
                <w:bottom w:val="nil"/>
                <w:right w:val="nil"/>
                <w:between w:val="nil"/>
              </w:pBdr>
              <w:jc w:val="right"/>
              <w:rPr>
                <w:color w:val="000000"/>
                <w:sz w:val="14"/>
                <w:szCs w:val="14"/>
              </w:rPr>
            </w:pPr>
          </w:p>
        </w:tc>
        <w:tc>
          <w:tcPr>
            <w:tcW w:w="1531" w:type="dxa"/>
            <w:tcBorders>
              <w:top w:val="single" w:sz="4" w:space="0" w:color="000000"/>
            </w:tcBorders>
            <w:vAlign w:val="bottom"/>
          </w:tcPr>
          <w:p w14:paraId="46670802" w14:textId="77777777" w:rsidR="008E5DE4" w:rsidRDefault="008E5DE4">
            <w:pPr>
              <w:widowControl w:val="0"/>
              <w:pBdr>
                <w:top w:val="nil"/>
                <w:left w:val="nil"/>
                <w:bottom w:val="nil"/>
                <w:right w:val="nil"/>
                <w:between w:val="nil"/>
              </w:pBdr>
              <w:jc w:val="right"/>
              <w:rPr>
                <w:color w:val="000000"/>
                <w:sz w:val="14"/>
                <w:szCs w:val="14"/>
              </w:rPr>
            </w:pPr>
          </w:p>
        </w:tc>
      </w:tr>
      <w:tr w:rsidR="008E5DE4" w14:paraId="4D0C294E" w14:textId="77777777">
        <w:trPr>
          <w:cantSplit/>
        </w:trPr>
        <w:tc>
          <w:tcPr>
            <w:tcW w:w="6293" w:type="dxa"/>
            <w:vAlign w:val="bottom"/>
          </w:tcPr>
          <w:p w14:paraId="33D33168" w14:textId="77777777" w:rsidR="008E5DE4" w:rsidRDefault="00780368">
            <w:pPr>
              <w:widowControl w:val="0"/>
              <w:pBdr>
                <w:top w:val="nil"/>
                <w:left w:val="nil"/>
                <w:bottom w:val="nil"/>
                <w:right w:val="nil"/>
                <w:between w:val="nil"/>
              </w:pBdr>
              <w:rPr>
                <w:b/>
                <w:color w:val="000000"/>
              </w:rPr>
            </w:pPr>
            <w:r>
              <w:rPr>
                <w:b/>
                <w:color w:val="000000"/>
              </w:rPr>
              <w:t xml:space="preserve">Deferred income </w:t>
            </w:r>
            <w:proofErr w:type="gramStart"/>
            <w:r>
              <w:rPr>
                <w:b/>
                <w:color w:val="000000"/>
              </w:rPr>
              <w:t>at</w:t>
            </w:r>
            <w:proofErr w:type="gramEnd"/>
            <w:r>
              <w:rPr>
                <w:b/>
                <w:color w:val="000000"/>
              </w:rPr>
              <w:t xml:space="preserve"> 31 December</w:t>
            </w:r>
          </w:p>
        </w:tc>
        <w:tc>
          <w:tcPr>
            <w:tcW w:w="1531" w:type="dxa"/>
            <w:vAlign w:val="bottom"/>
          </w:tcPr>
          <w:p w14:paraId="481B3979"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5778B6DD" w14:textId="77777777" w:rsidR="008E5DE4" w:rsidRDefault="008E5DE4">
            <w:pPr>
              <w:widowControl w:val="0"/>
              <w:pBdr>
                <w:top w:val="nil"/>
                <w:left w:val="nil"/>
                <w:bottom w:val="nil"/>
                <w:right w:val="nil"/>
                <w:between w:val="nil"/>
              </w:pBdr>
              <w:jc w:val="right"/>
              <w:rPr>
                <w:b/>
                <w:smallCaps/>
                <w:color w:val="000000"/>
              </w:rPr>
            </w:pPr>
          </w:p>
        </w:tc>
      </w:tr>
      <w:tr w:rsidR="008E5DE4" w14:paraId="58F09D49" w14:textId="77777777">
        <w:trPr>
          <w:cantSplit/>
        </w:trPr>
        <w:tc>
          <w:tcPr>
            <w:tcW w:w="6293" w:type="dxa"/>
            <w:tcBorders>
              <w:bottom w:val="single" w:sz="12" w:space="0" w:color="000000"/>
            </w:tcBorders>
            <w:vAlign w:val="bottom"/>
          </w:tcPr>
          <w:p w14:paraId="66997A30" w14:textId="77777777" w:rsidR="008E5DE4" w:rsidRDefault="00780368">
            <w:pPr>
              <w:widowControl w:val="0"/>
              <w:pBdr>
                <w:top w:val="nil"/>
                <w:left w:val="nil"/>
                <w:bottom w:val="nil"/>
                <w:right w:val="nil"/>
                <w:between w:val="nil"/>
              </w:pBdr>
              <w:rPr>
                <w:b/>
                <w:color w:val="000000"/>
                <w:sz w:val="14"/>
                <w:szCs w:val="14"/>
              </w:rPr>
            </w:pPr>
            <w:r>
              <w:rPr>
                <w:color w:val="000000"/>
                <w:sz w:val="14"/>
                <w:szCs w:val="14"/>
              </w:rPr>
              <w:t> </w:t>
            </w:r>
          </w:p>
        </w:tc>
        <w:tc>
          <w:tcPr>
            <w:tcW w:w="1531" w:type="dxa"/>
            <w:tcBorders>
              <w:bottom w:val="single" w:sz="12" w:space="0" w:color="000000"/>
            </w:tcBorders>
            <w:vAlign w:val="bottom"/>
          </w:tcPr>
          <w:p w14:paraId="28F17003" w14:textId="77777777" w:rsidR="008E5DE4" w:rsidRDefault="008E5DE4">
            <w:pPr>
              <w:widowControl w:val="0"/>
              <w:pBdr>
                <w:top w:val="nil"/>
                <w:left w:val="nil"/>
                <w:bottom w:val="nil"/>
                <w:right w:val="nil"/>
                <w:between w:val="nil"/>
              </w:pBdr>
              <w:jc w:val="right"/>
              <w:rPr>
                <w:b/>
                <w:smallCaps/>
                <w:color w:val="000000"/>
                <w:sz w:val="14"/>
                <w:szCs w:val="14"/>
              </w:rPr>
            </w:pPr>
          </w:p>
        </w:tc>
        <w:tc>
          <w:tcPr>
            <w:tcW w:w="1531" w:type="dxa"/>
            <w:tcBorders>
              <w:bottom w:val="single" w:sz="12" w:space="0" w:color="000000"/>
            </w:tcBorders>
            <w:vAlign w:val="bottom"/>
          </w:tcPr>
          <w:p w14:paraId="5162DE22" w14:textId="77777777" w:rsidR="008E5DE4" w:rsidRDefault="008E5DE4">
            <w:pPr>
              <w:widowControl w:val="0"/>
              <w:pBdr>
                <w:top w:val="nil"/>
                <w:left w:val="nil"/>
                <w:bottom w:val="nil"/>
                <w:right w:val="nil"/>
                <w:between w:val="nil"/>
              </w:pBdr>
              <w:jc w:val="right"/>
              <w:rPr>
                <w:b/>
                <w:smallCaps/>
                <w:color w:val="000000"/>
                <w:sz w:val="14"/>
                <w:szCs w:val="14"/>
              </w:rPr>
            </w:pPr>
          </w:p>
        </w:tc>
      </w:tr>
    </w:tbl>
    <w:p w14:paraId="175B58EA" w14:textId="01D47A9C"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also obtained and recognised as income a government grant of EUR ____ thousand (</w:t>
      </w:r>
      <w:r w:rsidR="00E06A92">
        <w:rPr>
          <w:color w:val="000000"/>
          <w:sz w:val="20"/>
          <w:szCs w:val="20"/>
        </w:rPr>
        <w:t>2024</w:t>
      </w:r>
      <w:r>
        <w:rPr>
          <w:color w:val="000000"/>
          <w:sz w:val="20"/>
          <w:szCs w:val="20"/>
        </w:rPr>
        <w:t>:</w:t>
      </w:r>
      <w:r w:rsidR="00181448">
        <w:rPr>
          <w:color w:val="000000"/>
          <w:sz w:val="20"/>
          <w:szCs w:val="20"/>
        </w:rPr>
        <w:t xml:space="preserve"> </w:t>
      </w:r>
      <w:r>
        <w:rPr>
          <w:color w:val="000000"/>
          <w:sz w:val="20"/>
          <w:szCs w:val="20"/>
        </w:rPr>
        <w:t xml:space="preserve">EUR ____ thousand) to compensate for losses caused by ____ </w:t>
      </w:r>
      <w:r>
        <w:rPr>
          <w:color w:val="0000FF"/>
          <w:sz w:val="20"/>
          <w:szCs w:val="20"/>
        </w:rPr>
        <w:t>[e.g. flooding]</w:t>
      </w:r>
      <w:r>
        <w:rPr>
          <w:color w:val="000000"/>
          <w:sz w:val="20"/>
          <w:szCs w:val="20"/>
        </w:rPr>
        <w:t xml:space="preserve"> incurred in the previous year. </w:t>
      </w:r>
      <w:r>
        <w:rPr>
          <w:color w:val="0000FF"/>
          <w:sz w:val="20"/>
          <w:szCs w:val="20"/>
        </w:rPr>
        <w:t>[The Group is obliged not to reduce its average number of employees over the next three years under the terms of this government grant.]</w:t>
      </w:r>
      <w:r>
        <w:rPr>
          <w:color w:val="000000"/>
          <w:sz w:val="20"/>
          <w:szCs w:val="20"/>
        </w:rPr>
        <w:t xml:space="preserve"> </w:t>
      </w:r>
    </w:p>
    <w:p w14:paraId="266ECA59" w14:textId="77777777" w:rsidR="008E5DE4" w:rsidRDefault="00780368">
      <w:pPr>
        <w:widowControl w:val="0"/>
        <w:pBdr>
          <w:top w:val="nil"/>
          <w:left w:val="nil"/>
          <w:bottom w:val="nil"/>
          <w:right w:val="nil"/>
          <w:between w:val="nil"/>
        </w:pBdr>
        <w:spacing w:before="200" w:after="200"/>
        <w:jc w:val="both"/>
        <w:rPr>
          <w:color w:val="000000"/>
          <w:sz w:val="20"/>
          <w:szCs w:val="20"/>
        </w:rPr>
      </w:pPr>
      <w:bookmarkStart w:id="50" w:name="_heading=h.1mrcu09" w:colFirst="0" w:colLast="0"/>
      <w:bookmarkEnd w:id="50"/>
      <w:r>
        <w:rPr>
          <w:color w:val="000000"/>
          <w:sz w:val="20"/>
          <w:szCs w:val="20"/>
        </w:rPr>
        <w:t xml:space="preserve">The Group also benefits from government assistance for promoting international markets products made in </w:t>
      </w:r>
      <w:r>
        <w:rPr>
          <w:color w:val="0000FF"/>
          <w:sz w:val="20"/>
          <w:szCs w:val="20"/>
        </w:rPr>
        <w:t>[Country]</w:t>
      </w:r>
      <w:r>
        <w:rPr>
          <w:color w:val="000000"/>
          <w:sz w:val="20"/>
          <w:szCs w:val="20"/>
        </w:rPr>
        <w:t xml:space="preserve">; such assistance includes marketing research and similar services provided by various </w:t>
      </w:r>
      <w:r>
        <w:rPr>
          <w:color w:val="0000FF"/>
          <w:sz w:val="20"/>
          <w:szCs w:val="20"/>
        </w:rPr>
        <w:t>[Country]</w:t>
      </w:r>
      <w:r>
        <w:rPr>
          <w:color w:val="000000"/>
          <w:sz w:val="20"/>
          <w:szCs w:val="20"/>
        </w:rPr>
        <w:t xml:space="preserve"> government agencies free of charge.</w:t>
      </w:r>
    </w:p>
    <w:p w14:paraId="03557ACC" w14:textId="09C5266A" w:rsidR="008E5DE4" w:rsidRDefault="00080B6A" w:rsidP="007F183E">
      <w:pPr>
        <w:pStyle w:val="Heading1"/>
        <w:pageBreakBefore/>
        <w:numPr>
          <w:ilvl w:val="0"/>
          <w:numId w:val="0"/>
        </w:numPr>
        <w:spacing w:before="240"/>
        <w:ind w:left="567" w:hanging="567"/>
      </w:pPr>
      <w:bookmarkStart w:id="51" w:name="_Toc149923630"/>
      <w:r>
        <w:rPr>
          <w:color w:val="000000"/>
        </w:rPr>
        <w:lastRenderedPageBreak/>
        <w:t xml:space="preserve">31 </w:t>
      </w:r>
      <w:r>
        <w:rPr>
          <w:color w:val="000000"/>
        </w:rPr>
        <w:tab/>
      </w:r>
      <w:r w:rsidR="00780368">
        <w:rPr>
          <w:color w:val="000000"/>
        </w:rPr>
        <w:t>Other</w:t>
      </w:r>
      <w:r w:rsidR="00780368">
        <w:t xml:space="preserve"> Taxes Payable</w:t>
      </w:r>
      <w:bookmarkEnd w:id="51"/>
      <w:r w:rsidR="00780368">
        <w:t xml:space="preserve"> </w:t>
      </w:r>
    </w:p>
    <w:p w14:paraId="25F1BF89" w14:textId="425FE95B" w:rsidR="008E5DE4" w:rsidRDefault="00090491">
      <w:pPr>
        <w:shd w:val="clear" w:color="auto" w:fill="C6D9F1"/>
        <w:rPr>
          <w:i/>
          <w:color w:val="FF0000"/>
          <w:sz w:val="20"/>
          <w:szCs w:val="20"/>
        </w:rPr>
      </w:pPr>
      <w:r>
        <w:rPr>
          <w:b/>
          <w:i/>
          <w:sz w:val="20"/>
          <w:szCs w:val="20"/>
        </w:rPr>
        <w:t>Material accounting policy information</w:t>
      </w:r>
      <w:r w:rsidR="00780368">
        <w:rPr>
          <w:b/>
          <w:i/>
          <w:sz w:val="20"/>
          <w:szCs w:val="20"/>
        </w:rPr>
        <w:t xml:space="preserve"> </w:t>
      </w:r>
    </w:p>
    <w:p w14:paraId="2E79E8FF" w14:textId="6725351C" w:rsidR="008E5DE4" w:rsidRDefault="00780368">
      <w:pPr>
        <w:widowControl w:val="0"/>
        <w:pBdr>
          <w:top w:val="nil"/>
          <w:left w:val="nil"/>
          <w:bottom w:val="nil"/>
          <w:right w:val="nil"/>
          <w:between w:val="nil"/>
        </w:pBdr>
        <w:shd w:val="clear" w:color="auto" w:fill="C6D9F1"/>
        <w:spacing w:before="200" w:after="200" w:line="228" w:lineRule="auto"/>
        <w:jc w:val="both"/>
        <w:rPr>
          <w:i/>
          <w:color w:val="FF0000"/>
          <w:sz w:val="20"/>
          <w:szCs w:val="20"/>
        </w:rPr>
      </w:pPr>
      <w:r>
        <w:rPr>
          <w:b/>
          <w:i/>
          <w:color w:val="000000"/>
          <w:sz w:val="20"/>
          <w:szCs w:val="20"/>
        </w:rPr>
        <w:t xml:space="preserve">Value added tax. </w:t>
      </w:r>
      <w:r>
        <w:rPr>
          <w:color w:val="000000"/>
          <w:sz w:val="20"/>
          <w:szCs w:val="20"/>
        </w:rPr>
        <w:t>Output value added tax related to sales is payable to tax authorities on the earlier of (a) collection of receivables from customers or (b) delivery of goods or services to customers. Input VAT is generally recoverable against output VAT upon receipt of the VAT invoice. The tax authorities permit the settlement of VAT on a net basis. VAT related to sales and purchases is recognised in the consolidated statement of financial position on a gross basis and disclosed separately as an asset and a liability. Where provision has been made for ECL of receivables, the impairment loss is recorded for the gross amount of the debtor, including VAT.</w:t>
      </w:r>
    </w:p>
    <w:p w14:paraId="15EC491E" w14:textId="77777777" w:rsidR="008E5DE4" w:rsidRDefault="008E5DE4"/>
    <w:tbl>
      <w:tblPr>
        <w:tblStyle w:val="afffffffffb"/>
        <w:tblW w:w="9355" w:type="dxa"/>
        <w:tblLayout w:type="fixed"/>
        <w:tblLook w:val="0000" w:firstRow="0" w:lastRow="0" w:firstColumn="0" w:lastColumn="0" w:noHBand="0" w:noVBand="0"/>
      </w:tblPr>
      <w:tblGrid>
        <w:gridCol w:w="6293"/>
        <w:gridCol w:w="1531"/>
        <w:gridCol w:w="1531"/>
      </w:tblGrid>
      <w:tr w:rsidR="008E5DE4" w14:paraId="0B5529A9" w14:textId="77777777">
        <w:trPr>
          <w:cantSplit/>
        </w:trPr>
        <w:tc>
          <w:tcPr>
            <w:tcW w:w="6293" w:type="dxa"/>
            <w:tcBorders>
              <w:bottom w:val="single" w:sz="4" w:space="0" w:color="000000"/>
            </w:tcBorders>
            <w:vAlign w:val="bottom"/>
          </w:tcPr>
          <w:p w14:paraId="24BDCC82"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531" w:type="dxa"/>
            <w:tcBorders>
              <w:bottom w:val="single" w:sz="4" w:space="0" w:color="000000"/>
            </w:tcBorders>
            <w:vAlign w:val="bottom"/>
          </w:tcPr>
          <w:p w14:paraId="205B4B14" w14:textId="5E9188CD"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695C0C6A" w14:textId="1AC6266D"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285B54AC" w14:textId="77777777">
        <w:trPr>
          <w:cantSplit/>
        </w:trPr>
        <w:tc>
          <w:tcPr>
            <w:tcW w:w="6293" w:type="dxa"/>
            <w:vAlign w:val="bottom"/>
          </w:tcPr>
          <w:p w14:paraId="5D2BE221"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vAlign w:val="bottom"/>
          </w:tcPr>
          <w:p w14:paraId="778EEC7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1139C2D" w14:textId="77777777" w:rsidR="008E5DE4" w:rsidRDefault="008E5DE4">
            <w:pPr>
              <w:widowControl w:val="0"/>
              <w:pBdr>
                <w:top w:val="nil"/>
                <w:left w:val="nil"/>
                <w:bottom w:val="nil"/>
                <w:right w:val="nil"/>
                <w:between w:val="nil"/>
              </w:pBdr>
              <w:jc w:val="right"/>
              <w:rPr>
                <w:color w:val="000000"/>
              </w:rPr>
            </w:pPr>
          </w:p>
        </w:tc>
      </w:tr>
      <w:tr w:rsidR="008E5DE4" w14:paraId="1B7F5F11" w14:textId="77777777">
        <w:trPr>
          <w:cantSplit/>
        </w:trPr>
        <w:tc>
          <w:tcPr>
            <w:tcW w:w="6293" w:type="dxa"/>
            <w:vAlign w:val="bottom"/>
          </w:tcPr>
          <w:p w14:paraId="52CC1AA8" w14:textId="77777777" w:rsidR="008E5DE4" w:rsidRDefault="00780368">
            <w:pPr>
              <w:widowControl w:val="0"/>
              <w:pBdr>
                <w:top w:val="nil"/>
                <w:left w:val="nil"/>
                <w:bottom w:val="nil"/>
                <w:right w:val="nil"/>
                <w:between w:val="nil"/>
              </w:pBdr>
              <w:ind w:left="113" w:right="-57" w:hanging="113"/>
              <w:rPr>
                <w:i/>
                <w:color w:val="000000"/>
              </w:rPr>
            </w:pPr>
            <w:r>
              <w:rPr>
                <w:i/>
                <w:color w:val="000000"/>
              </w:rPr>
              <w:t>Other taxes payable within one year comprise:</w:t>
            </w:r>
          </w:p>
        </w:tc>
        <w:tc>
          <w:tcPr>
            <w:tcW w:w="1531" w:type="dxa"/>
            <w:vAlign w:val="bottom"/>
          </w:tcPr>
          <w:p w14:paraId="7B27868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65FFD26" w14:textId="77777777" w:rsidR="008E5DE4" w:rsidRDefault="008E5DE4">
            <w:pPr>
              <w:widowControl w:val="0"/>
              <w:pBdr>
                <w:top w:val="nil"/>
                <w:left w:val="nil"/>
                <w:bottom w:val="nil"/>
                <w:right w:val="nil"/>
                <w:between w:val="nil"/>
              </w:pBdr>
              <w:jc w:val="right"/>
              <w:rPr>
                <w:color w:val="000000"/>
              </w:rPr>
            </w:pPr>
          </w:p>
        </w:tc>
      </w:tr>
      <w:tr w:rsidR="008E5DE4" w14:paraId="457EAD99" w14:textId="77777777">
        <w:trPr>
          <w:cantSplit/>
        </w:trPr>
        <w:tc>
          <w:tcPr>
            <w:tcW w:w="6293" w:type="dxa"/>
            <w:vAlign w:val="bottom"/>
          </w:tcPr>
          <w:p w14:paraId="006ED4D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Value-added tax </w:t>
            </w:r>
          </w:p>
        </w:tc>
        <w:tc>
          <w:tcPr>
            <w:tcW w:w="1531" w:type="dxa"/>
            <w:vAlign w:val="bottom"/>
          </w:tcPr>
          <w:p w14:paraId="36E8D2E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F0306E" w14:textId="77777777" w:rsidR="008E5DE4" w:rsidRDefault="008E5DE4">
            <w:pPr>
              <w:widowControl w:val="0"/>
              <w:pBdr>
                <w:top w:val="nil"/>
                <w:left w:val="nil"/>
                <w:bottom w:val="nil"/>
                <w:right w:val="nil"/>
                <w:between w:val="nil"/>
              </w:pBdr>
              <w:jc w:val="right"/>
              <w:rPr>
                <w:color w:val="000000"/>
              </w:rPr>
            </w:pPr>
          </w:p>
        </w:tc>
      </w:tr>
      <w:tr w:rsidR="008E5DE4" w14:paraId="599989F3" w14:textId="77777777">
        <w:trPr>
          <w:cantSplit/>
        </w:trPr>
        <w:tc>
          <w:tcPr>
            <w:tcW w:w="6293" w:type="dxa"/>
            <w:vAlign w:val="bottom"/>
          </w:tcPr>
          <w:p w14:paraId="27D6A4EB" w14:textId="77777777" w:rsidR="008E5DE4" w:rsidRDefault="00780368">
            <w:pPr>
              <w:widowControl w:val="0"/>
              <w:pBdr>
                <w:top w:val="nil"/>
                <w:left w:val="nil"/>
                <w:bottom w:val="nil"/>
                <w:right w:val="nil"/>
                <w:between w:val="nil"/>
              </w:pBdr>
              <w:ind w:left="113" w:right="-57" w:hanging="113"/>
              <w:rPr>
                <w:color w:val="000000"/>
              </w:rPr>
            </w:pPr>
            <w:r>
              <w:rPr>
                <w:color w:val="000000"/>
              </w:rPr>
              <w:t>Tax penalties and interest</w:t>
            </w:r>
          </w:p>
        </w:tc>
        <w:tc>
          <w:tcPr>
            <w:tcW w:w="1531" w:type="dxa"/>
            <w:vAlign w:val="bottom"/>
          </w:tcPr>
          <w:p w14:paraId="7081992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6DD0F1D" w14:textId="77777777" w:rsidR="008E5DE4" w:rsidRDefault="008E5DE4">
            <w:pPr>
              <w:widowControl w:val="0"/>
              <w:pBdr>
                <w:top w:val="nil"/>
                <w:left w:val="nil"/>
                <w:bottom w:val="nil"/>
                <w:right w:val="nil"/>
                <w:between w:val="nil"/>
              </w:pBdr>
              <w:jc w:val="right"/>
              <w:rPr>
                <w:color w:val="000000"/>
              </w:rPr>
            </w:pPr>
          </w:p>
        </w:tc>
      </w:tr>
      <w:tr w:rsidR="008E5DE4" w14:paraId="7A5CE8E3" w14:textId="77777777">
        <w:trPr>
          <w:cantSplit/>
        </w:trPr>
        <w:tc>
          <w:tcPr>
            <w:tcW w:w="6293" w:type="dxa"/>
            <w:vAlign w:val="bottom"/>
          </w:tcPr>
          <w:p w14:paraId="724E14E1"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Property and other taxes </w:t>
            </w:r>
          </w:p>
        </w:tc>
        <w:tc>
          <w:tcPr>
            <w:tcW w:w="1531" w:type="dxa"/>
            <w:vAlign w:val="bottom"/>
          </w:tcPr>
          <w:p w14:paraId="3883E14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665CC57" w14:textId="77777777" w:rsidR="008E5DE4" w:rsidRDefault="008E5DE4">
            <w:pPr>
              <w:widowControl w:val="0"/>
              <w:pBdr>
                <w:top w:val="nil"/>
                <w:left w:val="nil"/>
                <w:bottom w:val="nil"/>
                <w:right w:val="nil"/>
                <w:between w:val="nil"/>
              </w:pBdr>
              <w:jc w:val="right"/>
              <w:rPr>
                <w:color w:val="000000"/>
              </w:rPr>
            </w:pPr>
          </w:p>
        </w:tc>
      </w:tr>
      <w:tr w:rsidR="008E5DE4" w14:paraId="6B70E897" w14:textId="77777777">
        <w:trPr>
          <w:cantSplit/>
        </w:trPr>
        <w:tc>
          <w:tcPr>
            <w:tcW w:w="6293" w:type="dxa"/>
            <w:vAlign w:val="bottom"/>
          </w:tcPr>
          <w:p w14:paraId="595F5103"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Excise tax </w:t>
            </w:r>
          </w:p>
        </w:tc>
        <w:tc>
          <w:tcPr>
            <w:tcW w:w="1531" w:type="dxa"/>
            <w:vAlign w:val="bottom"/>
          </w:tcPr>
          <w:p w14:paraId="38B3C65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3CDDBAA" w14:textId="77777777" w:rsidR="008E5DE4" w:rsidRDefault="008E5DE4">
            <w:pPr>
              <w:widowControl w:val="0"/>
              <w:pBdr>
                <w:top w:val="nil"/>
                <w:left w:val="nil"/>
                <w:bottom w:val="nil"/>
                <w:right w:val="nil"/>
                <w:between w:val="nil"/>
              </w:pBdr>
              <w:jc w:val="right"/>
              <w:rPr>
                <w:color w:val="000000"/>
              </w:rPr>
            </w:pPr>
          </w:p>
        </w:tc>
      </w:tr>
      <w:tr w:rsidR="008E5DE4" w14:paraId="2918FDE9" w14:textId="77777777">
        <w:trPr>
          <w:cantSplit/>
        </w:trPr>
        <w:tc>
          <w:tcPr>
            <w:tcW w:w="6293" w:type="dxa"/>
            <w:vAlign w:val="bottom"/>
          </w:tcPr>
          <w:p w14:paraId="6597CEE8"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xml:space="preserve">Current portion of taxes restructured to long-term </w:t>
            </w:r>
          </w:p>
        </w:tc>
        <w:tc>
          <w:tcPr>
            <w:tcW w:w="1531" w:type="dxa"/>
            <w:vAlign w:val="bottom"/>
          </w:tcPr>
          <w:p w14:paraId="0BE9836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863008E" w14:textId="77777777" w:rsidR="008E5DE4" w:rsidRDefault="008E5DE4">
            <w:pPr>
              <w:widowControl w:val="0"/>
              <w:pBdr>
                <w:top w:val="nil"/>
                <w:left w:val="nil"/>
                <w:bottom w:val="nil"/>
                <w:right w:val="nil"/>
                <w:between w:val="nil"/>
              </w:pBdr>
              <w:jc w:val="right"/>
              <w:rPr>
                <w:color w:val="000000"/>
              </w:rPr>
            </w:pPr>
          </w:p>
        </w:tc>
      </w:tr>
      <w:tr w:rsidR="008E5DE4" w14:paraId="209CAEC9" w14:textId="77777777">
        <w:trPr>
          <w:cantSplit/>
        </w:trPr>
        <w:tc>
          <w:tcPr>
            <w:tcW w:w="6293" w:type="dxa"/>
            <w:vAlign w:val="bottom"/>
          </w:tcPr>
          <w:p w14:paraId="3ED1A192"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vAlign w:val="bottom"/>
          </w:tcPr>
          <w:p w14:paraId="0B30344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3528A9E" w14:textId="77777777" w:rsidR="008E5DE4" w:rsidRDefault="008E5DE4">
            <w:pPr>
              <w:widowControl w:val="0"/>
              <w:pBdr>
                <w:top w:val="nil"/>
                <w:left w:val="nil"/>
                <w:bottom w:val="nil"/>
                <w:right w:val="nil"/>
                <w:between w:val="nil"/>
              </w:pBdr>
              <w:jc w:val="right"/>
              <w:rPr>
                <w:color w:val="000000"/>
              </w:rPr>
            </w:pPr>
          </w:p>
        </w:tc>
      </w:tr>
      <w:tr w:rsidR="008E5DE4" w14:paraId="30F045F5" w14:textId="77777777">
        <w:trPr>
          <w:cantSplit/>
        </w:trPr>
        <w:tc>
          <w:tcPr>
            <w:tcW w:w="6293" w:type="dxa"/>
            <w:tcBorders>
              <w:top w:val="single" w:sz="4" w:space="0" w:color="000000"/>
            </w:tcBorders>
            <w:vAlign w:val="bottom"/>
          </w:tcPr>
          <w:p w14:paraId="35EA1143"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tcBorders>
              <w:top w:val="single" w:sz="4" w:space="0" w:color="000000"/>
            </w:tcBorders>
            <w:vAlign w:val="bottom"/>
          </w:tcPr>
          <w:p w14:paraId="6FA512AD"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2ACA60CC" w14:textId="77777777" w:rsidR="008E5DE4" w:rsidRDefault="008E5DE4">
            <w:pPr>
              <w:widowControl w:val="0"/>
              <w:pBdr>
                <w:top w:val="nil"/>
                <w:left w:val="nil"/>
                <w:bottom w:val="nil"/>
                <w:right w:val="nil"/>
                <w:between w:val="nil"/>
              </w:pBdr>
              <w:jc w:val="right"/>
              <w:rPr>
                <w:color w:val="000000"/>
              </w:rPr>
            </w:pPr>
          </w:p>
        </w:tc>
      </w:tr>
      <w:tr w:rsidR="008E5DE4" w14:paraId="70ADC790" w14:textId="77777777">
        <w:trPr>
          <w:cantSplit/>
        </w:trPr>
        <w:tc>
          <w:tcPr>
            <w:tcW w:w="6293" w:type="dxa"/>
            <w:vAlign w:val="bottom"/>
          </w:tcPr>
          <w:p w14:paraId="0CB8854C" w14:textId="77777777" w:rsidR="008E5DE4" w:rsidRDefault="00780368">
            <w:pPr>
              <w:widowControl w:val="0"/>
              <w:pBdr>
                <w:top w:val="nil"/>
                <w:left w:val="nil"/>
                <w:bottom w:val="nil"/>
                <w:right w:val="nil"/>
                <w:between w:val="nil"/>
              </w:pBdr>
              <w:ind w:left="113" w:right="-57" w:hanging="113"/>
              <w:rPr>
                <w:b/>
                <w:color w:val="000000"/>
              </w:rPr>
            </w:pPr>
            <w:r>
              <w:rPr>
                <w:b/>
                <w:color w:val="000000"/>
              </w:rPr>
              <w:t>Other taxes payable – current</w:t>
            </w:r>
          </w:p>
        </w:tc>
        <w:tc>
          <w:tcPr>
            <w:tcW w:w="1531" w:type="dxa"/>
            <w:vAlign w:val="bottom"/>
          </w:tcPr>
          <w:p w14:paraId="1DDE7E6B"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7BA47F1F" w14:textId="77777777" w:rsidR="008E5DE4" w:rsidRDefault="008E5DE4">
            <w:pPr>
              <w:widowControl w:val="0"/>
              <w:pBdr>
                <w:top w:val="nil"/>
                <w:left w:val="nil"/>
                <w:bottom w:val="nil"/>
                <w:right w:val="nil"/>
                <w:between w:val="nil"/>
              </w:pBdr>
              <w:jc w:val="right"/>
              <w:rPr>
                <w:b/>
                <w:smallCaps/>
                <w:color w:val="000000"/>
              </w:rPr>
            </w:pPr>
          </w:p>
        </w:tc>
      </w:tr>
      <w:tr w:rsidR="008E5DE4" w14:paraId="1E457A85" w14:textId="77777777">
        <w:trPr>
          <w:cantSplit/>
        </w:trPr>
        <w:tc>
          <w:tcPr>
            <w:tcW w:w="6293" w:type="dxa"/>
            <w:tcBorders>
              <w:bottom w:val="single" w:sz="4" w:space="0" w:color="000000"/>
            </w:tcBorders>
            <w:vAlign w:val="bottom"/>
          </w:tcPr>
          <w:p w14:paraId="55CDD087"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1531" w:type="dxa"/>
            <w:tcBorders>
              <w:bottom w:val="single" w:sz="4" w:space="0" w:color="000000"/>
            </w:tcBorders>
            <w:vAlign w:val="bottom"/>
          </w:tcPr>
          <w:p w14:paraId="53C5B690" w14:textId="77777777" w:rsidR="008E5DE4" w:rsidRDefault="008E5DE4">
            <w:pPr>
              <w:widowControl w:val="0"/>
              <w:pBdr>
                <w:top w:val="nil"/>
                <w:left w:val="nil"/>
                <w:bottom w:val="nil"/>
                <w:right w:val="nil"/>
                <w:between w:val="nil"/>
              </w:pBdr>
              <w:jc w:val="right"/>
              <w:rPr>
                <w:b/>
                <w:smallCaps/>
                <w:color w:val="000000"/>
              </w:rPr>
            </w:pPr>
          </w:p>
        </w:tc>
        <w:tc>
          <w:tcPr>
            <w:tcW w:w="1531" w:type="dxa"/>
            <w:tcBorders>
              <w:bottom w:val="single" w:sz="4" w:space="0" w:color="000000"/>
            </w:tcBorders>
            <w:vAlign w:val="bottom"/>
          </w:tcPr>
          <w:p w14:paraId="62F9A540" w14:textId="77777777" w:rsidR="008E5DE4" w:rsidRDefault="008E5DE4">
            <w:pPr>
              <w:widowControl w:val="0"/>
              <w:pBdr>
                <w:top w:val="nil"/>
                <w:left w:val="nil"/>
                <w:bottom w:val="nil"/>
                <w:right w:val="nil"/>
                <w:between w:val="nil"/>
              </w:pBdr>
              <w:jc w:val="right"/>
              <w:rPr>
                <w:b/>
                <w:smallCaps/>
                <w:color w:val="000000"/>
              </w:rPr>
            </w:pPr>
          </w:p>
        </w:tc>
      </w:tr>
      <w:tr w:rsidR="008E5DE4" w14:paraId="28A2E6C5" w14:textId="77777777">
        <w:trPr>
          <w:cantSplit/>
        </w:trPr>
        <w:tc>
          <w:tcPr>
            <w:tcW w:w="6293" w:type="dxa"/>
            <w:tcBorders>
              <w:top w:val="single" w:sz="4" w:space="0" w:color="000000"/>
            </w:tcBorders>
            <w:vAlign w:val="bottom"/>
          </w:tcPr>
          <w:p w14:paraId="6A79F3DD"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tcBorders>
              <w:top w:val="single" w:sz="4" w:space="0" w:color="000000"/>
            </w:tcBorders>
            <w:vAlign w:val="bottom"/>
          </w:tcPr>
          <w:p w14:paraId="638D6449"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24D4027" w14:textId="77777777" w:rsidR="008E5DE4" w:rsidRDefault="008E5DE4">
            <w:pPr>
              <w:widowControl w:val="0"/>
              <w:pBdr>
                <w:top w:val="nil"/>
                <w:left w:val="nil"/>
                <w:bottom w:val="nil"/>
                <w:right w:val="nil"/>
                <w:between w:val="nil"/>
              </w:pBdr>
              <w:jc w:val="right"/>
              <w:rPr>
                <w:color w:val="000000"/>
              </w:rPr>
            </w:pPr>
          </w:p>
        </w:tc>
      </w:tr>
      <w:tr w:rsidR="008E5DE4" w14:paraId="6BBC7EFB" w14:textId="77777777">
        <w:trPr>
          <w:cantSplit/>
        </w:trPr>
        <w:tc>
          <w:tcPr>
            <w:tcW w:w="6293" w:type="dxa"/>
            <w:vAlign w:val="bottom"/>
          </w:tcPr>
          <w:p w14:paraId="0C7BDBCD" w14:textId="77777777" w:rsidR="008E5DE4" w:rsidRDefault="00780368">
            <w:pPr>
              <w:widowControl w:val="0"/>
              <w:pBdr>
                <w:top w:val="nil"/>
                <w:left w:val="nil"/>
                <w:bottom w:val="nil"/>
                <w:right w:val="nil"/>
                <w:between w:val="nil"/>
              </w:pBdr>
              <w:ind w:left="113" w:right="-57" w:hanging="113"/>
              <w:rPr>
                <w:color w:val="000000"/>
              </w:rPr>
            </w:pPr>
            <w:r>
              <w:rPr>
                <w:i/>
                <w:color w:val="000000"/>
              </w:rPr>
              <w:t>Other taxes payable after one year comprise:</w:t>
            </w:r>
          </w:p>
        </w:tc>
        <w:tc>
          <w:tcPr>
            <w:tcW w:w="1531" w:type="dxa"/>
            <w:vAlign w:val="bottom"/>
          </w:tcPr>
          <w:p w14:paraId="06ABFED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F5C873A" w14:textId="77777777" w:rsidR="008E5DE4" w:rsidRDefault="008E5DE4">
            <w:pPr>
              <w:widowControl w:val="0"/>
              <w:pBdr>
                <w:top w:val="nil"/>
                <w:left w:val="nil"/>
                <w:bottom w:val="nil"/>
                <w:right w:val="nil"/>
                <w:between w:val="nil"/>
              </w:pBdr>
              <w:jc w:val="right"/>
              <w:rPr>
                <w:color w:val="000000"/>
              </w:rPr>
            </w:pPr>
          </w:p>
        </w:tc>
      </w:tr>
      <w:tr w:rsidR="008E5DE4" w14:paraId="12FA0203" w14:textId="77777777">
        <w:trPr>
          <w:cantSplit/>
        </w:trPr>
        <w:tc>
          <w:tcPr>
            <w:tcW w:w="6293" w:type="dxa"/>
            <w:vAlign w:val="bottom"/>
          </w:tcPr>
          <w:p w14:paraId="396044E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Value-added tax </w:t>
            </w:r>
          </w:p>
        </w:tc>
        <w:tc>
          <w:tcPr>
            <w:tcW w:w="1531" w:type="dxa"/>
            <w:vAlign w:val="bottom"/>
          </w:tcPr>
          <w:p w14:paraId="3D3FB34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FCD531B" w14:textId="77777777" w:rsidR="008E5DE4" w:rsidRDefault="008E5DE4">
            <w:pPr>
              <w:widowControl w:val="0"/>
              <w:pBdr>
                <w:top w:val="nil"/>
                <w:left w:val="nil"/>
                <w:bottom w:val="nil"/>
                <w:right w:val="nil"/>
                <w:between w:val="nil"/>
              </w:pBdr>
              <w:jc w:val="right"/>
              <w:rPr>
                <w:color w:val="000000"/>
              </w:rPr>
            </w:pPr>
          </w:p>
        </w:tc>
      </w:tr>
      <w:tr w:rsidR="008E5DE4" w14:paraId="0417F5D4" w14:textId="77777777">
        <w:trPr>
          <w:cantSplit/>
        </w:trPr>
        <w:tc>
          <w:tcPr>
            <w:tcW w:w="6293" w:type="dxa"/>
            <w:vAlign w:val="bottom"/>
          </w:tcPr>
          <w:p w14:paraId="1C2BE058" w14:textId="77777777" w:rsidR="008E5DE4" w:rsidRDefault="00780368">
            <w:pPr>
              <w:widowControl w:val="0"/>
              <w:pBdr>
                <w:top w:val="nil"/>
                <w:left w:val="nil"/>
                <w:bottom w:val="nil"/>
                <w:right w:val="nil"/>
                <w:between w:val="nil"/>
              </w:pBdr>
              <w:ind w:left="113" w:right="-57" w:hanging="113"/>
              <w:rPr>
                <w:color w:val="000000"/>
              </w:rPr>
            </w:pPr>
            <w:r>
              <w:rPr>
                <w:color w:val="000000"/>
              </w:rPr>
              <w:t>Tax penalties and interest</w:t>
            </w:r>
          </w:p>
        </w:tc>
        <w:tc>
          <w:tcPr>
            <w:tcW w:w="1531" w:type="dxa"/>
            <w:vAlign w:val="bottom"/>
          </w:tcPr>
          <w:p w14:paraId="5A4A4CB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F6EAE0C" w14:textId="77777777" w:rsidR="008E5DE4" w:rsidRDefault="008E5DE4">
            <w:pPr>
              <w:widowControl w:val="0"/>
              <w:pBdr>
                <w:top w:val="nil"/>
                <w:left w:val="nil"/>
                <w:bottom w:val="nil"/>
                <w:right w:val="nil"/>
                <w:between w:val="nil"/>
              </w:pBdr>
              <w:jc w:val="right"/>
              <w:rPr>
                <w:color w:val="000000"/>
              </w:rPr>
            </w:pPr>
          </w:p>
        </w:tc>
      </w:tr>
      <w:tr w:rsidR="008E5DE4" w14:paraId="5773A1BC" w14:textId="77777777">
        <w:trPr>
          <w:cantSplit/>
        </w:trPr>
        <w:tc>
          <w:tcPr>
            <w:tcW w:w="6293" w:type="dxa"/>
            <w:vAlign w:val="bottom"/>
          </w:tcPr>
          <w:p w14:paraId="263E760C"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Property and other taxes </w:t>
            </w:r>
          </w:p>
        </w:tc>
        <w:tc>
          <w:tcPr>
            <w:tcW w:w="1531" w:type="dxa"/>
            <w:vAlign w:val="bottom"/>
          </w:tcPr>
          <w:p w14:paraId="45436E6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6EEEFD5" w14:textId="77777777" w:rsidR="008E5DE4" w:rsidRDefault="008E5DE4">
            <w:pPr>
              <w:widowControl w:val="0"/>
              <w:pBdr>
                <w:top w:val="nil"/>
                <w:left w:val="nil"/>
                <w:bottom w:val="nil"/>
                <w:right w:val="nil"/>
                <w:between w:val="nil"/>
              </w:pBdr>
              <w:jc w:val="right"/>
              <w:rPr>
                <w:color w:val="000000"/>
              </w:rPr>
            </w:pPr>
          </w:p>
        </w:tc>
      </w:tr>
      <w:tr w:rsidR="008E5DE4" w14:paraId="34BCF448" w14:textId="77777777">
        <w:trPr>
          <w:cantSplit/>
        </w:trPr>
        <w:tc>
          <w:tcPr>
            <w:tcW w:w="6293" w:type="dxa"/>
            <w:vAlign w:val="bottom"/>
          </w:tcPr>
          <w:p w14:paraId="0A107D9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Excise tax </w:t>
            </w:r>
          </w:p>
        </w:tc>
        <w:tc>
          <w:tcPr>
            <w:tcW w:w="1531" w:type="dxa"/>
            <w:vAlign w:val="bottom"/>
          </w:tcPr>
          <w:p w14:paraId="35AEF0F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35EBE73" w14:textId="77777777" w:rsidR="008E5DE4" w:rsidRDefault="008E5DE4">
            <w:pPr>
              <w:widowControl w:val="0"/>
              <w:pBdr>
                <w:top w:val="nil"/>
                <w:left w:val="nil"/>
                <w:bottom w:val="nil"/>
                <w:right w:val="nil"/>
                <w:between w:val="nil"/>
              </w:pBdr>
              <w:jc w:val="right"/>
              <w:rPr>
                <w:color w:val="000000"/>
              </w:rPr>
            </w:pPr>
          </w:p>
        </w:tc>
      </w:tr>
      <w:tr w:rsidR="008E5DE4" w14:paraId="3FBABFF8" w14:textId="77777777">
        <w:trPr>
          <w:cantSplit/>
        </w:trPr>
        <w:tc>
          <w:tcPr>
            <w:tcW w:w="6293" w:type="dxa"/>
            <w:vAlign w:val="bottom"/>
          </w:tcPr>
          <w:p w14:paraId="4FF431F7"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xml:space="preserve">Less current portion of taxes restructured to long-term </w:t>
            </w:r>
          </w:p>
        </w:tc>
        <w:tc>
          <w:tcPr>
            <w:tcW w:w="1531" w:type="dxa"/>
            <w:vAlign w:val="bottom"/>
          </w:tcPr>
          <w:p w14:paraId="662DB95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32BBB3D" w14:textId="77777777" w:rsidR="008E5DE4" w:rsidRDefault="008E5DE4">
            <w:pPr>
              <w:widowControl w:val="0"/>
              <w:pBdr>
                <w:top w:val="nil"/>
                <w:left w:val="nil"/>
                <w:bottom w:val="nil"/>
                <w:right w:val="nil"/>
                <w:between w:val="nil"/>
              </w:pBdr>
              <w:jc w:val="right"/>
              <w:rPr>
                <w:color w:val="000000"/>
              </w:rPr>
            </w:pPr>
          </w:p>
        </w:tc>
      </w:tr>
      <w:tr w:rsidR="008E5DE4" w14:paraId="2C250B3D" w14:textId="77777777">
        <w:trPr>
          <w:cantSplit/>
        </w:trPr>
        <w:tc>
          <w:tcPr>
            <w:tcW w:w="6293" w:type="dxa"/>
            <w:vAlign w:val="bottom"/>
          </w:tcPr>
          <w:p w14:paraId="7A635865"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vAlign w:val="bottom"/>
          </w:tcPr>
          <w:p w14:paraId="5043209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A460B1C" w14:textId="77777777" w:rsidR="008E5DE4" w:rsidRDefault="008E5DE4">
            <w:pPr>
              <w:widowControl w:val="0"/>
              <w:pBdr>
                <w:top w:val="nil"/>
                <w:left w:val="nil"/>
                <w:bottom w:val="nil"/>
                <w:right w:val="nil"/>
                <w:between w:val="nil"/>
              </w:pBdr>
              <w:jc w:val="right"/>
              <w:rPr>
                <w:color w:val="000000"/>
              </w:rPr>
            </w:pPr>
          </w:p>
        </w:tc>
      </w:tr>
      <w:tr w:rsidR="008E5DE4" w14:paraId="4FC30741" w14:textId="77777777">
        <w:trPr>
          <w:cantSplit/>
        </w:trPr>
        <w:tc>
          <w:tcPr>
            <w:tcW w:w="6293" w:type="dxa"/>
            <w:tcBorders>
              <w:top w:val="single" w:sz="4" w:space="0" w:color="000000"/>
            </w:tcBorders>
            <w:vAlign w:val="bottom"/>
          </w:tcPr>
          <w:p w14:paraId="242CE360"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tcBorders>
              <w:top w:val="single" w:sz="4" w:space="0" w:color="000000"/>
            </w:tcBorders>
            <w:vAlign w:val="bottom"/>
          </w:tcPr>
          <w:p w14:paraId="691BA6E6"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64DEBB44" w14:textId="77777777" w:rsidR="008E5DE4" w:rsidRDefault="008E5DE4">
            <w:pPr>
              <w:widowControl w:val="0"/>
              <w:pBdr>
                <w:top w:val="nil"/>
                <w:left w:val="nil"/>
                <w:bottom w:val="nil"/>
                <w:right w:val="nil"/>
                <w:between w:val="nil"/>
              </w:pBdr>
              <w:jc w:val="right"/>
              <w:rPr>
                <w:color w:val="000000"/>
              </w:rPr>
            </w:pPr>
          </w:p>
        </w:tc>
      </w:tr>
      <w:tr w:rsidR="008E5DE4" w14:paraId="6CC2EAB4" w14:textId="77777777">
        <w:trPr>
          <w:cantSplit/>
        </w:trPr>
        <w:tc>
          <w:tcPr>
            <w:tcW w:w="6293" w:type="dxa"/>
            <w:vAlign w:val="bottom"/>
          </w:tcPr>
          <w:p w14:paraId="07FA2381" w14:textId="77777777" w:rsidR="008E5DE4" w:rsidRDefault="00780368">
            <w:pPr>
              <w:widowControl w:val="0"/>
              <w:pBdr>
                <w:top w:val="nil"/>
                <w:left w:val="nil"/>
                <w:bottom w:val="nil"/>
                <w:right w:val="nil"/>
                <w:between w:val="nil"/>
              </w:pBdr>
              <w:ind w:left="113" w:right="-57" w:hanging="113"/>
              <w:rPr>
                <w:b/>
                <w:color w:val="000000"/>
              </w:rPr>
            </w:pPr>
            <w:r>
              <w:rPr>
                <w:b/>
                <w:color w:val="000000"/>
              </w:rPr>
              <w:t>Other taxes payable – non-current</w:t>
            </w:r>
          </w:p>
        </w:tc>
        <w:tc>
          <w:tcPr>
            <w:tcW w:w="1531" w:type="dxa"/>
            <w:vAlign w:val="bottom"/>
          </w:tcPr>
          <w:p w14:paraId="2230CC01"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450F086C" w14:textId="77777777" w:rsidR="008E5DE4" w:rsidRDefault="008E5DE4">
            <w:pPr>
              <w:widowControl w:val="0"/>
              <w:pBdr>
                <w:top w:val="nil"/>
                <w:left w:val="nil"/>
                <w:bottom w:val="nil"/>
                <w:right w:val="nil"/>
                <w:between w:val="nil"/>
              </w:pBdr>
              <w:jc w:val="right"/>
              <w:rPr>
                <w:b/>
                <w:smallCaps/>
                <w:color w:val="000000"/>
              </w:rPr>
            </w:pPr>
          </w:p>
        </w:tc>
      </w:tr>
      <w:tr w:rsidR="008E5DE4" w14:paraId="0938ABBD" w14:textId="77777777">
        <w:trPr>
          <w:cantSplit/>
        </w:trPr>
        <w:tc>
          <w:tcPr>
            <w:tcW w:w="6293" w:type="dxa"/>
            <w:tcBorders>
              <w:bottom w:val="single" w:sz="4" w:space="0" w:color="000000"/>
            </w:tcBorders>
            <w:vAlign w:val="bottom"/>
          </w:tcPr>
          <w:p w14:paraId="0CB2E292"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1531" w:type="dxa"/>
            <w:tcBorders>
              <w:bottom w:val="single" w:sz="4" w:space="0" w:color="000000"/>
            </w:tcBorders>
            <w:vAlign w:val="bottom"/>
          </w:tcPr>
          <w:p w14:paraId="45AAB329" w14:textId="77777777" w:rsidR="008E5DE4" w:rsidRDefault="008E5DE4">
            <w:pPr>
              <w:widowControl w:val="0"/>
              <w:pBdr>
                <w:top w:val="nil"/>
                <w:left w:val="nil"/>
                <w:bottom w:val="nil"/>
                <w:right w:val="nil"/>
                <w:between w:val="nil"/>
              </w:pBdr>
              <w:jc w:val="right"/>
              <w:rPr>
                <w:b/>
                <w:smallCaps/>
                <w:color w:val="000000"/>
              </w:rPr>
            </w:pPr>
          </w:p>
        </w:tc>
        <w:tc>
          <w:tcPr>
            <w:tcW w:w="1531" w:type="dxa"/>
            <w:tcBorders>
              <w:bottom w:val="single" w:sz="4" w:space="0" w:color="000000"/>
            </w:tcBorders>
            <w:vAlign w:val="bottom"/>
          </w:tcPr>
          <w:p w14:paraId="40A8079B" w14:textId="77777777" w:rsidR="008E5DE4" w:rsidRDefault="008E5DE4">
            <w:pPr>
              <w:widowControl w:val="0"/>
              <w:pBdr>
                <w:top w:val="nil"/>
                <w:left w:val="nil"/>
                <w:bottom w:val="nil"/>
                <w:right w:val="nil"/>
                <w:between w:val="nil"/>
              </w:pBdr>
              <w:jc w:val="right"/>
              <w:rPr>
                <w:b/>
                <w:smallCaps/>
                <w:color w:val="000000"/>
              </w:rPr>
            </w:pPr>
          </w:p>
        </w:tc>
      </w:tr>
      <w:tr w:rsidR="008E5DE4" w14:paraId="50E3DCB6" w14:textId="77777777">
        <w:trPr>
          <w:cantSplit/>
        </w:trPr>
        <w:tc>
          <w:tcPr>
            <w:tcW w:w="6293" w:type="dxa"/>
            <w:tcBorders>
              <w:top w:val="single" w:sz="4" w:space="0" w:color="000000"/>
            </w:tcBorders>
            <w:vAlign w:val="bottom"/>
          </w:tcPr>
          <w:p w14:paraId="5E2130C0"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1531" w:type="dxa"/>
            <w:tcBorders>
              <w:top w:val="single" w:sz="4" w:space="0" w:color="000000"/>
            </w:tcBorders>
            <w:vAlign w:val="bottom"/>
          </w:tcPr>
          <w:p w14:paraId="3A580D58" w14:textId="77777777" w:rsidR="008E5DE4" w:rsidRDefault="008E5DE4">
            <w:pPr>
              <w:widowControl w:val="0"/>
              <w:pBdr>
                <w:top w:val="nil"/>
                <w:left w:val="nil"/>
                <w:bottom w:val="nil"/>
                <w:right w:val="nil"/>
                <w:between w:val="nil"/>
              </w:pBdr>
              <w:jc w:val="right"/>
              <w:rPr>
                <w:b/>
                <w:smallCaps/>
                <w:color w:val="000000"/>
              </w:rPr>
            </w:pPr>
          </w:p>
        </w:tc>
        <w:tc>
          <w:tcPr>
            <w:tcW w:w="1531" w:type="dxa"/>
            <w:tcBorders>
              <w:top w:val="single" w:sz="4" w:space="0" w:color="000000"/>
            </w:tcBorders>
            <w:vAlign w:val="bottom"/>
          </w:tcPr>
          <w:p w14:paraId="5F04A968" w14:textId="77777777" w:rsidR="008E5DE4" w:rsidRDefault="008E5DE4">
            <w:pPr>
              <w:widowControl w:val="0"/>
              <w:pBdr>
                <w:top w:val="nil"/>
                <w:left w:val="nil"/>
                <w:bottom w:val="nil"/>
                <w:right w:val="nil"/>
                <w:between w:val="nil"/>
              </w:pBdr>
              <w:jc w:val="right"/>
              <w:rPr>
                <w:b/>
                <w:smallCaps/>
                <w:color w:val="000000"/>
              </w:rPr>
            </w:pPr>
          </w:p>
        </w:tc>
      </w:tr>
      <w:tr w:rsidR="008E5DE4" w14:paraId="6C1BB95B" w14:textId="77777777">
        <w:trPr>
          <w:cantSplit/>
        </w:trPr>
        <w:tc>
          <w:tcPr>
            <w:tcW w:w="6293" w:type="dxa"/>
            <w:vAlign w:val="bottom"/>
          </w:tcPr>
          <w:p w14:paraId="50971B77"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other taxes payable </w:t>
            </w:r>
            <w:proofErr w:type="gramStart"/>
            <w:r>
              <w:rPr>
                <w:b/>
                <w:color w:val="000000"/>
              </w:rPr>
              <w:t>at</w:t>
            </w:r>
            <w:proofErr w:type="gramEnd"/>
            <w:r>
              <w:rPr>
                <w:b/>
                <w:color w:val="000000"/>
              </w:rPr>
              <w:t xml:space="preserve"> 31 December</w:t>
            </w:r>
          </w:p>
        </w:tc>
        <w:tc>
          <w:tcPr>
            <w:tcW w:w="1531" w:type="dxa"/>
            <w:vAlign w:val="bottom"/>
          </w:tcPr>
          <w:p w14:paraId="50058CE8"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7FFB709A" w14:textId="77777777" w:rsidR="008E5DE4" w:rsidRDefault="008E5DE4">
            <w:pPr>
              <w:widowControl w:val="0"/>
              <w:pBdr>
                <w:top w:val="nil"/>
                <w:left w:val="nil"/>
                <w:bottom w:val="nil"/>
                <w:right w:val="nil"/>
                <w:between w:val="nil"/>
              </w:pBdr>
              <w:jc w:val="right"/>
              <w:rPr>
                <w:b/>
                <w:smallCaps/>
                <w:color w:val="000000"/>
              </w:rPr>
            </w:pPr>
          </w:p>
        </w:tc>
      </w:tr>
      <w:tr w:rsidR="008E5DE4" w14:paraId="6DC7308C" w14:textId="77777777">
        <w:trPr>
          <w:cantSplit/>
        </w:trPr>
        <w:tc>
          <w:tcPr>
            <w:tcW w:w="6293" w:type="dxa"/>
            <w:tcBorders>
              <w:bottom w:val="single" w:sz="12" w:space="0" w:color="000000"/>
            </w:tcBorders>
            <w:vAlign w:val="bottom"/>
          </w:tcPr>
          <w:p w14:paraId="7EA2CA2C"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1531" w:type="dxa"/>
            <w:tcBorders>
              <w:bottom w:val="single" w:sz="12" w:space="0" w:color="000000"/>
            </w:tcBorders>
            <w:vAlign w:val="bottom"/>
          </w:tcPr>
          <w:p w14:paraId="4632EC66" w14:textId="77777777" w:rsidR="008E5DE4" w:rsidRDefault="008E5DE4">
            <w:pPr>
              <w:widowControl w:val="0"/>
              <w:pBdr>
                <w:top w:val="nil"/>
                <w:left w:val="nil"/>
                <w:bottom w:val="nil"/>
                <w:right w:val="nil"/>
                <w:between w:val="nil"/>
              </w:pBdr>
              <w:jc w:val="right"/>
              <w:rPr>
                <w:b/>
                <w:smallCaps/>
                <w:color w:val="000000"/>
              </w:rPr>
            </w:pPr>
          </w:p>
        </w:tc>
        <w:tc>
          <w:tcPr>
            <w:tcW w:w="1531" w:type="dxa"/>
            <w:tcBorders>
              <w:bottom w:val="single" w:sz="12" w:space="0" w:color="000000"/>
            </w:tcBorders>
            <w:vAlign w:val="bottom"/>
          </w:tcPr>
          <w:p w14:paraId="2AA3ECFB" w14:textId="77777777" w:rsidR="008E5DE4" w:rsidRDefault="008E5DE4">
            <w:pPr>
              <w:widowControl w:val="0"/>
              <w:pBdr>
                <w:top w:val="nil"/>
                <w:left w:val="nil"/>
                <w:bottom w:val="nil"/>
                <w:right w:val="nil"/>
                <w:between w:val="nil"/>
              </w:pBdr>
              <w:jc w:val="right"/>
              <w:rPr>
                <w:b/>
                <w:smallCaps/>
                <w:color w:val="000000"/>
              </w:rPr>
            </w:pPr>
          </w:p>
        </w:tc>
      </w:tr>
    </w:tbl>
    <w:p w14:paraId="0D9E631F" w14:textId="2CCDD588" w:rsidR="003C72D1"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principal tax liabilities past due accrue interest each day at </w:t>
      </w:r>
      <w:r>
        <w:rPr>
          <w:color w:val="0000FF"/>
          <w:sz w:val="20"/>
          <w:szCs w:val="20"/>
        </w:rPr>
        <w:t>[one three hundredth of the current refinancing rate of the Central Bank of [Country]</w:t>
      </w:r>
      <w:r>
        <w:rPr>
          <w:color w:val="000000"/>
          <w:sz w:val="20"/>
          <w:szCs w:val="20"/>
        </w:rPr>
        <w:t xml:space="preserve"> which,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was equal to an effective rate of __% p.a. (</w:t>
      </w:r>
      <w:r w:rsidR="00E06A92">
        <w:rPr>
          <w:color w:val="000000"/>
          <w:sz w:val="20"/>
          <w:szCs w:val="20"/>
        </w:rPr>
        <w:t>2024</w:t>
      </w:r>
      <w:r>
        <w:rPr>
          <w:color w:val="000000"/>
          <w:sz w:val="20"/>
          <w:szCs w:val="20"/>
        </w:rPr>
        <w:t xml:space="preserve">: __% p.a.). The principal tax liabilities past due are </w:t>
      </w:r>
      <w:proofErr w:type="gramStart"/>
      <w:r>
        <w:rPr>
          <w:color w:val="000000"/>
          <w:sz w:val="20"/>
          <w:szCs w:val="20"/>
        </w:rPr>
        <w:t>approximately  EUR</w:t>
      </w:r>
      <w:proofErr w:type="gramEnd"/>
      <w:r>
        <w:rPr>
          <w:color w:val="000000"/>
          <w:sz w:val="20"/>
          <w:szCs w:val="20"/>
        </w:rPr>
        <w:t>___ thousand (</w:t>
      </w:r>
      <w:r w:rsidR="00E06A92">
        <w:rPr>
          <w:color w:val="000000"/>
          <w:sz w:val="20"/>
          <w:szCs w:val="20"/>
        </w:rPr>
        <w:t>2024</w:t>
      </w:r>
      <w:r>
        <w:rPr>
          <w:color w:val="000000"/>
          <w:sz w:val="20"/>
          <w:szCs w:val="20"/>
        </w:rPr>
        <w:t>: EUR____ thousand).</w:t>
      </w:r>
    </w:p>
    <w:p w14:paraId="69C0F62F" w14:textId="77777777" w:rsidR="003C72D1" w:rsidRDefault="003C72D1">
      <w:pPr>
        <w:rPr>
          <w:color w:val="000000"/>
          <w:sz w:val="20"/>
          <w:szCs w:val="20"/>
        </w:rPr>
      </w:pPr>
      <w:r>
        <w:rPr>
          <w:color w:val="000000"/>
          <w:sz w:val="20"/>
          <w:szCs w:val="20"/>
        </w:rPr>
        <w:br w:type="page"/>
      </w:r>
    </w:p>
    <w:p w14:paraId="040C73E7" w14:textId="3BFD3C59" w:rsidR="008E5DE4" w:rsidRDefault="00080B6A" w:rsidP="007F183E">
      <w:pPr>
        <w:pStyle w:val="Heading1"/>
        <w:numPr>
          <w:ilvl w:val="0"/>
          <w:numId w:val="0"/>
        </w:numPr>
        <w:spacing w:before="0" w:line="228" w:lineRule="auto"/>
        <w:ind w:left="567" w:hanging="567"/>
      </w:pPr>
      <w:r>
        <w:rPr>
          <w:color w:val="000000"/>
          <w:szCs w:val="20"/>
        </w:rPr>
        <w:lastRenderedPageBreak/>
        <w:t xml:space="preserve">32 </w:t>
      </w:r>
      <w:r>
        <w:rPr>
          <w:color w:val="000000"/>
          <w:szCs w:val="20"/>
        </w:rPr>
        <w:tab/>
      </w:r>
      <w:bookmarkStart w:id="52" w:name="_Toc149923631"/>
      <w:r w:rsidR="00780368">
        <w:t>Provision for Asset Retirement Obligations</w:t>
      </w:r>
      <w:bookmarkEnd w:id="52"/>
    </w:p>
    <w:p w14:paraId="6F623963" w14:textId="4693A7CC" w:rsidR="004A07DC" w:rsidRDefault="00090491">
      <w:pPr>
        <w:shd w:val="clear" w:color="auto" w:fill="C6D9F1"/>
        <w:jc w:val="both"/>
        <w:rPr>
          <w:sz w:val="20"/>
          <w:szCs w:val="20"/>
        </w:rPr>
      </w:pPr>
      <w:r>
        <w:rPr>
          <w:b/>
          <w:i/>
          <w:sz w:val="20"/>
          <w:szCs w:val="20"/>
        </w:rPr>
        <w:t>Material accounting policy information</w:t>
      </w:r>
      <w:r w:rsidR="00780368">
        <w:rPr>
          <w:b/>
          <w:i/>
          <w:sz w:val="20"/>
          <w:szCs w:val="20"/>
        </w:rPr>
        <w:t xml:space="preserve"> </w:t>
      </w:r>
    </w:p>
    <w:p w14:paraId="0D4C33C1" w14:textId="77777777" w:rsidR="004A07DC" w:rsidRDefault="004A07DC">
      <w:pPr>
        <w:shd w:val="clear" w:color="auto" w:fill="C6D9F1"/>
        <w:jc w:val="both"/>
        <w:rPr>
          <w:sz w:val="20"/>
          <w:szCs w:val="20"/>
        </w:rPr>
      </w:pPr>
    </w:p>
    <w:p w14:paraId="4D22DC09" w14:textId="63995B30" w:rsidR="008E5DE4" w:rsidRDefault="00780368">
      <w:pPr>
        <w:shd w:val="clear" w:color="auto" w:fill="C6D9F1"/>
        <w:jc w:val="both"/>
        <w:rPr>
          <w:sz w:val="20"/>
          <w:szCs w:val="20"/>
        </w:rPr>
      </w:pPr>
      <w:r>
        <w:rPr>
          <w:sz w:val="20"/>
          <w:szCs w:val="20"/>
        </w:rPr>
        <w:t xml:space="preserve">The provision for dismantling and removing the item and restoring the site on which it is located is recognised when the Group has a present legal or constructive obligation as a result of past events (when the item is acquired or as a consequence of having used the item during a particular period for purposes other than to produce inventories during that period), it is probable that an outflow of resources embodying economic benefits will be required to settle the obligation, and a reliable estimate of the amount of the obligation can be made. </w:t>
      </w:r>
    </w:p>
    <w:p w14:paraId="4D602A59" w14:textId="77777777" w:rsidR="008E5DE4" w:rsidRDefault="00780368">
      <w:pPr>
        <w:shd w:val="clear" w:color="auto" w:fill="C6D9F1"/>
        <w:jc w:val="both"/>
        <w:rPr>
          <w:i/>
          <w:color w:val="FF0000"/>
          <w:sz w:val="20"/>
          <w:szCs w:val="20"/>
        </w:rPr>
      </w:pPr>
      <w:r>
        <w:rPr>
          <w:sz w:val="20"/>
          <w:szCs w:val="20"/>
        </w:rPr>
        <w:t>Provisions are measured at the present value of the expenditures expected to be required to settle the obligation using a pre-tax rate that reflects current market assessments of the time value of money and the risks specific to the obligation.</w:t>
      </w:r>
    </w:p>
    <w:p w14:paraId="7D457371" w14:textId="77777777" w:rsidR="008E5DE4" w:rsidRDefault="00780368">
      <w:pPr>
        <w:widowControl w:val="0"/>
        <w:pBdr>
          <w:top w:val="nil"/>
          <w:left w:val="nil"/>
          <w:bottom w:val="nil"/>
          <w:right w:val="nil"/>
          <w:between w:val="nil"/>
        </w:pBdr>
        <w:shd w:val="clear" w:color="auto" w:fill="C6D9F1"/>
        <w:spacing w:before="200" w:after="200" w:line="228" w:lineRule="auto"/>
        <w:jc w:val="both"/>
        <w:rPr>
          <w:b/>
          <w:i/>
          <w:color w:val="000000"/>
          <w:sz w:val="20"/>
          <w:szCs w:val="20"/>
        </w:rPr>
      </w:pPr>
      <w:r>
        <w:rPr>
          <w:color w:val="000000"/>
          <w:sz w:val="20"/>
          <w:szCs w:val="20"/>
        </w:rPr>
        <w:t xml:space="preserve">The provision for assets retirement obligation removing an item of property, plant and equipment (asset retirement obligations) </w:t>
      </w:r>
      <w:proofErr w:type="gramStart"/>
      <w:r>
        <w:rPr>
          <w:color w:val="000000"/>
          <w:sz w:val="20"/>
          <w:szCs w:val="20"/>
        </w:rPr>
        <w:t>are</w:t>
      </w:r>
      <w:proofErr w:type="gramEnd"/>
      <w:r>
        <w:rPr>
          <w:color w:val="000000"/>
          <w:sz w:val="20"/>
          <w:szCs w:val="20"/>
        </w:rPr>
        <w:t xml:space="preserve"> added to the cost of the item either when an item is acquired or as the item is used during a particular period for purposes other than to produce inventories during that period. When there are changes in the measurement of an existing asset retirement obligation due to changes in the estimated timing or amount of the outflow of resources embodying economic benefits required to settle the obligation, or from changes in the discount rate, the cost of the related asset is adjusted if the related asset is measured using the cost model or the revaluation surplus is adjusted if the asset is measured using the revaluation model.</w:t>
      </w:r>
    </w:p>
    <w:tbl>
      <w:tblPr>
        <w:tblStyle w:val="afffffffffc"/>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6C1309DA" w14:textId="77777777">
        <w:tc>
          <w:tcPr>
            <w:tcW w:w="9571" w:type="dxa"/>
          </w:tcPr>
          <w:p w14:paraId="6C6AB175" w14:textId="77777777" w:rsidR="008E5DE4" w:rsidRDefault="00780368">
            <w:pPr>
              <w:pBdr>
                <w:top w:val="nil"/>
                <w:left w:val="nil"/>
                <w:bottom w:val="nil"/>
                <w:right w:val="nil"/>
                <w:between w:val="nil"/>
              </w:pBdr>
              <w:spacing w:after="240"/>
              <w:rPr>
                <w:b/>
                <w:i/>
                <w:color w:val="000000"/>
                <w:sz w:val="20"/>
                <w:szCs w:val="20"/>
              </w:rPr>
            </w:pPr>
            <w:r>
              <w:rPr>
                <w:b/>
                <w:i/>
                <w:color w:val="000000"/>
                <w:sz w:val="20"/>
                <w:szCs w:val="20"/>
              </w:rPr>
              <w:t>Critical Accounting Estimates and Judgments in Applying Accounting Policies</w:t>
            </w:r>
          </w:p>
          <w:p w14:paraId="5426B5A3" w14:textId="29991095" w:rsidR="008E5DE4" w:rsidRDefault="00780368">
            <w:pPr>
              <w:widowControl w:val="0"/>
              <w:pBdr>
                <w:top w:val="nil"/>
                <w:left w:val="nil"/>
                <w:bottom w:val="nil"/>
                <w:right w:val="nil"/>
                <w:between w:val="nil"/>
              </w:pBdr>
              <w:spacing w:before="200" w:after="200"/>
              <w:jc w:val="both"/>
              <w:rPr>
                <w:color w:val="000000"/>
              </w:rPr>
            </w:pPr>
            <w:r>
              <w:rPr>
                <w:b/>
                <w:i/>
                <w:color w:val="000000"/>
                <w:sz w:val="20"/>
                <w:szCs w:val="20"/>
              </w:rPr>
              <w:t xml:space="preserve">Assumptions to determine the amount of provision for asset retirement obligations. </w:t>
            </w:r>
          </w:p>
        </w:tc>
      </w:tr>
    </w:tbl>
    <w:p w14:paraId="316DCFA8" w14:textId="77777777" w:rsidR="008E5DE4" w:rsidRDefault="008E5DE4"/>
    <w:p w14:paraId="5CC42364" w14:textId="1A491A44"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The Group has a legal obligation to </w:t>
      </w:r>
      <w:r>
        <w:rPr>
          <w:color w:val="0000FF"/>
          <w:sz w:val="20"/>
          <w:szCs w:val="20"/>
        </w:rPr>
        <w:t>[restore a landfill site]</w:t>
      </w:r>
      <w:r>
        <w:rPr>
          <w:color w:val="000000"/>
          <w:sz w:val="20"/>
          <w:szCs w:val="20"/>
        </w:rPr>
        <w:t xml:space="preserve"> after its expected closure in </w:t>
      </w:r>
      <w:r>
        <w:rPr>
          <w:color w:val="0000FF"/>
          <w:sz w:val="20"/>
          <w:szCs w:val="20"/>
        </w:rPr>
        <w:t>[202</w:t>
      </w:r>
      <w:r w:rsidR="008614F8">
        <w:rPr>
          <w:color w:val="0000FF"/>
          <w:sz w:val="20"/>
          <w:szCs w:val="20"/>
        </w:rPr>
        <w:t>8</w:t>
      </w:r>
      <w:r>
        <w:rPr>
          <w:color w:val="0000FF"/>
          <w:sz w:val="20"/>
          <w:szCs w:val="20"/>
        </w:rPr>
        <w:t>]</w:t>
      </w:r>
      <w:r>
        <w:rPr>
          <w:color w:val="000000"/>
          <w:sz w:val="20"/>
          <w:szCs w:val="20"/>
        </w:rPr>
        <w:t>. Movements in provision for asset retirement obligations are as follows:</w:t>
      </w:r>
    </w:p>
    <w:tbl>
      <w:tblPr>
        <w:tblStyle w:val="afffffffffd"/>
        <w:tblW w:w="9362" w:type="dxa"/>
        <w:tblLayout w:type="fixed"/>
        <w:tblLook w:val="0000" w:firstRow="0" w:lastRow="0" w:firstColumn="0" w:lastColumn="0" w:noHBand="0" w:noVBand="0"/>
      </w:tblPr>
      <w:tblGrid>
        <w:gridCol w:w="4876"/>
        <w:gridCol w:w="574"/>
        <w:gridCol w:w="1304"/>
        <w:gridCol w:w="1304"/>
        <w:gridCol w:w="1304"/>
      </w:tblGrid>
      <w:tr w:rsidR="008E5DE4" w14:paraId="35D800E4" w14:textId="77777777">
        <w:trPr>
          <w:cantSplit/>
        </w:trPr>
        <w:tc>
          <w:tcPr>
            <w:tcW w:w="4876" w:type="dxa"/>
            <w:tcBorders>
              <w:bottom w:val="single" w:sz="4" w:space="0" w:color="000000"/>
            </w:tcBorders>
            <w:vAlign w:val="bottom"/>
          </w:tcPr>
          <w:p w14:paraId="6B8E987B"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574" w:type="dxa"/>
            <w:tcBorders>
              <w:bottom w:val="single" w:sz="4" w:space="0" w:color="000000"/>
            </w:tcBorders>
            <w:vAlign w:val="bottom"/>
          </w:tcPr>
          <w:p w14:paraId="587C88C3" w14:textId="77777777" w:rsidR="008E5DE4" w:rsidRDefault="00780368">
            <w:pPr>
              <w:widowControl w:val="0"/>
              <w:pBdr>
                <w:top w:val="nil"/>
                <w:left w:val="nil"/>
                <w:bottom w:val="nil"/>
                <w:right w:val="nil"/>
                <w:between w:val="nil"/>
              </w:pBdr>
              <w:spacing w:line="228" w:lineRule="auto"/>
              <w:ind w:left="-113"/>
              <w:jc w:val="center"/>
              <w:rPr>
                <w:b/>
                <w:color w:val="000000"/>
              </w:rPr>
            </w:pPr>
            <w:r>
              <w:rPr>
                <w:b/>
                <w:color w:val="000000"/>
              </w:rPr>
              <w:t>Note</w:t>
            </w:r>
          </w:p>
        </w:tc>
        <w:tc>
          <w:tcPr>
            <w:tcW w:w="1304" w:type="dxa"/>
            <w:tcBorders>
              <w:bottom w:val="single" w:sz="4" w:space="0" w:color="000000"/>
            </w:tcBorders>
          </w:tcPr>
          <w:p w14:paraId="3C979833"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Landfill site restoration</w:t>
            </w:r>
          </w:p>
        </w:tc>
        <w:tc>
          <w:tcPr>
            <w:tcW w:w="1304" w:type="dxa"/>
            <w:tcBorders>
              <w:bottom w:val="single" w:sz="4" w:space="0" w:color="000000"/>
            </w:tcBorders>
          </w:tcPr>
          <w:p w14:paraId="1EB6C3EE"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Other</w:t>
            </w:r>
          </w:p>
        </w:tc>
        <w:tc>
          <w:tcPr>
            <w:tcW w:w="1304" w:type="dxa"/>
            <w:tcBorders>
              <w:bottom w:val="single" w:sz="4" w:space="0" w:color="000000"/>
            </w:tcBorders>
          </w:tcPr>
          <w:p w14:paraId="64874E69"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r>
      <w:tr w:rsidR="008E5DE4" w14:paraId="6B34FEB0" w14:textId="77777777">
        <w:trPr>
          <w:cantSplit/>
        </w:trPr>
        <w:tc>
          <w:tcPr>
            <w:tcW w:w="4876" w:type="dxa"/>
            <w:vAlign w:val="bottom"/>
          </w:tcPr>
          <w:p w14:paraId="3AA6F023" w14:textId="77777777" w:rsidR="008E5DE4" w:rsidRDefault="00780368">
            <w:pPr>
              <w:widowControl w:val="0"/>
              <w:spacing w:line="228" w:lineRule="auto"/>
              <w:ind w:left="113" w:right="-57" w:hanging="113"/>
              <w:rPr>
                <w:b/>
              </w:rPr>
            </w:pPr>
            <w:r>
              <w:rPr>
                <w:b/>
              </w:rPr>
              <w:t> </w:t>
            </w:r>
          </w:p>
        </w:tc>
        <w:tc>
          <w:tcPr>
            <w:tcW w:w="574" w:type="dxa"/>
          </w:tcPr>
          <w:p w14:paraId="3157493B"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vAlign w:val="bottom"/>
          </w:tcPr>
          <w:p w14:paraId="7CA12017"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vAlign w:val="bottom"/>
          </w:tcPr>
          <w:p w14:paraId="4C591362"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vAlign w:val="bottom"/>
          </w:tcPr>
          <w:p w14:paraId="1049685A"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0A79798E" w14:textId="77777777">
        <w:trPr>
          <w:cantSplit/>
        </w:trPr>
        <w:tc>
          <w:tcPr>
            <w:tcW w:w="4876" w:type="dxa"/>
            <w:vAlign w:val="bottom"/>
          </w:tcPr>
          <w:p w14:paraId="6B1B9667" w14:textId="5B08F67B"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1 January </w:t>
            </w:r>
            <w:r w:rsidR="008614F8">
              <w:rPr>
                <w:b/>
                <w:color w:val="000000"/>
              </w:rPr>
              <w:t>2025</w:t>
            </w:r>
          </w:p>
        </w:tc>
        <w:tc>
          <w:tcPr>
            <w:tcW w:w="574" w:type="dxa"/>
          </w:tcPr>
          <w:p w14:paraId="1C65DFFC"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vAlign w:val="bottom"/>
          </w:tcPr>
          <w:p w14:paraId="0B4E960D"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vAlign w:val="bottom"/>
          </w:tcPr>
          <w:p w14:paraId="60DF197B"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vAlign w:val="bottom"/>
          </w:tcPr>
          <w:p w14:paraId="69E17CB1"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47C23369" w14:textId="77777777">
        <w:trPr>
          <w:cantSplit/>
        </w:trPr>
        <w:tc>
          <w:tcPr>
            <w:tcW w:w="4876" w:type="dxa"/>
            <w:vAlign w:val="bottom"/>
          </w:tcPr>
          <w:p w14:paraId="7138FB99"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 </w:t>
            </w:r>
          </w:p>
        </w:tc>
        <w:tc>
          <w:tcPr>
            <w:tcW w:w="574" w:type="dxa"/>
          </w:tcPr>
          <w:p w14:paraId="3219139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vAlign w:val="bottom"/>
          </w:tcPr>
          <w:p w14:paraId="07108C9A"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20EEAB24"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7F284A9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304F56B" w14:textId="77777777">
        <w:trPr>
          <w:cantSplit/>
        </w:trPr>
        <w:tc>
          <w:tcPr>
            <w:tcW w:w="4876" w:type="dxa"/>
            <w:vAlign w:val="bottom"/>
          </w:tcPr>
          <w:p w14:paraId="003B1199"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Additions to property, plant and equipment</w:t>
            </w:r>
          </w:p>
        </w:tc>
        <w:tc>
          <w:tcPr>
            <w:tcW w:w="574" w:type="dxa"/>
          </w:tcPr>
          <w:p w14:paraId="751ED4E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vAlign w:val="bottom"/>
          </w:tcPr>
          <w:p w14:paraId="3AD97B5B"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445E1C2A"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696B436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7DF59B0" w14:textId="77777777">
        <w:trPr>
          <w:cantSplit/>
        </w:trPr>
        <w:tc>
          <w:tcPr>
            <w:tcW w:w="4876" w:type="dxa"/>
            <w:vAlign w:val="bottom"/>
          </w:tcPr>
          <w:p w14:paraId="0047FC84"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Changes in estimates adjusted against property, plant and equipment</w:t>
            </w:r>
          </w:p>
        </w:tc>
        <w:tc>
          <w:tcPr>
            <w:tcW w:w="574" w:type="dxa"/>
          </w:tcPr>
          <w:p w14:paraId="64AF03FB" w14:textId="77777777" w:rsidR="008E5DE4" w:rsidRDefault="00780368">
            <w:pPr>
              <w:widowControl w:val="0"/>
              <w:pBdr>
                <w:top w:val="nil"/>
                <w:left w:val="nil"/>
                <w:bottom w:val="nil"/>
                <w:right w:val="nil"/>
                <w:between w:val="nil"/>
              </w:pBdr>
              <w:spacing w:line="228" w:lineRule="auto"/>
              <w:ind w:left="-113"/>
              <w:jc w:val="right"/>
              <w:rPr>
                <w:color w:val="000000"/>
              </w:rPr>
            </w:pPr>
            <w:r>
              <w:rPr>
                <w:color w:val="000000"/>
              </w:rPr>
              <w:t>9</w:t>
            </w:r>
          </w:p>
        </w:tc>
        <w:tc>
          <w:tcPr>
            <w:tcW w:w="1304" w:type="dxa"/>
            <w:vAlign w:val="bottom"/>
          </w:tcPr>
          <w:p w14:paraId="29389E96"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7C289FA7"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3D81CE9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8669C2B" w14:textId="77777777">
        <w:trPr>
          <w:cantSplit/>
        </w:trPr>
        <w:tc>
          <w:tcPr>
            <w:tcW w:w="4876" w:type="dxa"/>
            <w:vAlign w:val="bottom"/>
          </w:tcPr>
          <w:p w14:paraId="0E807ED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Utilisation</w:t>
            </w:r>
          </w:p>
        </w:tc>
        <w:tc>
          <w:tcPr>
            <w:tcW w:w="574" w:type="dxa"/>
          </w:tcPr>
          <w:p w14:paraId="728DF58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vAlign w:val="bottom"/>
          </w:tcPr>
          <w:p w14:paraId="4B107769"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51C1C24C"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1147BE9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5C2C267" w14:textId="77777777">
        <w:trPr>
          <w:cantSplit/>
        </w:trPr>
        <w:tc>
          <w:tcPr>
            <w:tcW w:w="4876" w:type="dxa"/>
            <w:vAlign w:val="bottom"/>
          </w:tcPr>
          <w:p w14:paraId="6381C8C7"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Unwinding of the present value discount </w:t>
            </w:r>
          </w:p>
        </w:tc>
        <w:tc>
          <w:tcPr>
            <w:tcW w:w="574" w:type="dxa"/>
          </w:tcPr>
          <w:p w14:paraId="05006C1D" w14:textId="77777777" w:rsidR="008E5DE4" w:rsidRDefault="00780368">
            <w:pPr>
              <w:widowControl w:val="0"/>
              <w:pBdr>
                <w:top w:val="nil"/>
                <w:left w:val="nil"/>
                <w:bottom w:val="nil"/>
                <w:right w:val="nil"/>
                <w:between w:val="nil"/>
              </w:pBdr>
              <w:spacing w:line="228" w:lineRule="auto"/>
              <w:ind w:left="-113"/>
              <w:jc w:val="right"/>
              <w:rPr>
                <w:color w:val="000000"/>
              </w:rPr>
            </w:pPr>
            <w:r>
              <w:rPr>
                <w:color w:val="000000"/>
              </w:rPr>
              <w:t>37</w:t>
            </w:r>
          </w:p>
        </w:tc>
        <w:tc>
          <w:tcPr>
            <w:tcW w:w="1304" w:type="dxa"/>
            <w:vAlign w:val="bottom"/>
          </w:tcPr>
          <w:p w14:paraId="7C4044A3"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48961295"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4053B13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DA9A226" w14:textId="77777777">
        <w:trPr>
          <w:cantSplit/>
        </w:trPr>
        <w:tc>
          <w:tcPr>
            <w:tcW w:w="4876" w:type="dxa"/>
            <w:vAlign w:val="bottom"/>
          </w:tcPr>
          <w:p w14:paraId="7BA8DC6E"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FF"/>
              </w:rPr>
              <w:t>[Effect of translation to presentation currency]</w:t>
            </w:r>
          </w:p>
        </w:tc>
        <w:tc>
          <w:tcPr>
            <w:tcW w:w="574" w:type="dxa"/>
          </w:tcPr>
          <w:p w14:paraId="181D6133"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vAlign w:val="bottom"/>
          </w:tcPr>
          <w:p w14:paraId="3A26911C"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74999FC2"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4492C55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1F9F59F" w14:textId="77777777">
        <w:trPr>
          <w:cantSplit/>
        </w:trPr>
        <w:tc>
          <w:tcPr>
            <w:tcW w:w="4876" w:type="dxa"/>
            <w:vAlign w:val="bottom"/>
          </w:tcPr>
          <w:p w14:paraId="7FBE7C3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Other</w:t>
            </w:r>
          </w:p>
        </w:tc>
        <w:tc>
          <w:tcPr>
            <w:tcW w:w="574" w:type="dxa"/>
          </w:tcPr>
          <w:p w14:paraId="49AF75B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vAlign w:val="bottom"/>
          </w:tcPr>
          <w:p w14:paraId="6B42AD96"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780A4CB9"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vAlign w:val="bottom"/>
          </w:tcPr>
          <w:p w14:paraId="3E2E518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181161F" w14:textId="77777777">
        <w:trPr>
          <w:cantSplit/>
        </w:trPr>
        <w:tc>
          <w:tcPr>
            <w:tcW w:w="4876" w:type="dxa"/>
            <w:tcBorders>
              <w:bottom w:val="single" w:sz="4" w:space="0" w:color="000000"/>
            </w:tcBorders>
            <w:vAlign w:val="bottom"/>
          </w:tcPr>
          <w:p w14:paraId="3D507EDF"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 </w:t>
            </w:r>
          </w:p>
        </w:tc>
        <w:tc>
          <w:tcPr>
            <w:tcW w:w="574" w:type="dxa"/>
            <w:tcBorders>
              <w:bottom w:val="single" w:sz="4" w:space="0" w:color="000000"/>
            </w:tcBorders>
          </w:tcPr>
          <w:p w14:paraId="54200DFF"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tcBorders>
              <w:bottom w:val="single" w:sz="4" w:space="0" w:color="000000"/>
            </w:tcBorders>
            <w:vAlign w:val="bottom"/>
          </w:tcPr>
          <w:p w14:paraId="6CC5D96F"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tcBorders>
              <w:bottom w:val="single" w:sz="4" w:space="0" w:color="000000"/>
            </w:tcBorders>
            <w:vAlign w:val="bottom"/>
          </w:tcPr>
          <w:p w14:paraId="7D336371" w14:textId="77777777" w:rsidR="008E5DE4" w:rsidRDefault="008E5DE4">
            <w:pPr>
              <w:widowControl w:val="0"/>
              <w:pBdr>
                <w:top w:val="nil"/>
                <w:left w:val="nil"/>
                <w:bottom w:val="nil"/>
                <w:right w:val="nil"/>
                <w:between w:val="nil"/>
              </w:pBdr>
              <w:spacing w:line="228" w:lineRule="auto"/>
              <w:jc w:val="right"/>
              <w:rPr>
                <w:color w:val="000000"/>
              </w:rPr>
            </w:pPr>
          </w:p>
        </w:tc>
        <w:tc>
          <w:tcPr>
            <w:tcW w:w="1304" w:type="dxa"/>
            <w:tcBorders>
              <w:bottom w:val="single" w:sz="4" w:space="0" w:color="000000"/>
            </w:tcBorders>
            <w:vAlign w:val="bottom"/>
          </w:tcPr>
          <w:p w14:paraId="377AEA7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CB1A29C" w14:textId="77777777">
        <w:trPr>
          <w:cantSplit/>
        </w:trPr>
        <w:tc>
          <w:tcPr>
            <w:tcW w:w="4876" w:type="dxa"/>
            <w:vAlign w:val="bottom"/>
          </w:tcPr>
          <w:p w14:paraId="503A5CA8"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color w:val="000000"/>
              </w:rPr>
              <w:t> </w:t>
            </w:r>
          </w:p>
        </w:tc>
        <w:tc>
          <w:tcPr>
            <w:tcW w:w="574" w:type="dxa"/>
          </w:tcPr>
          <w:p w14:paraId="6A01781D"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vAlign w:val="bottom"/>
          </w:tcPr>
          <w:p w14:paraId="5569E918"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vAlign w:val="bottom"/>
          </w:tcPr>
          <w:p w14:paraId="5B202186"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vAlign w:val="bottom"/>
          </w:tcPr>
          <w:p w14:paraId="7AB2E96B"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0F539E95" w14:textId="77777777">
        <w:trPr>
          <w:cantSplit/>
        </w:trPr>
        <w:tc>
          <w:tcPr>
            <w:tcW w:w="4876" w:type="dxa"/>
            <w:vAlign w:val="bottom"/>
          </w:tcPr>
          <w:p w14:paraId="05B81484" w14:textId="3B7D93CC"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31 December </w:t>
            </w:r>
            <w:r w:rsidR="008614F8">
              <w:rPr>
                <w:b/>
                <w:color w:val="000000"/>
              </w:rPr>
              <w:t>2025</w:t>
            </w:r>
          </w:p>
        </w:tc>
        <w:tc>
          <w:tcPr>
            <w:tcW w:w="574" w:type="dxa"/>
          </w:tcPr>
          <w:p w14:paraId="01F7B744"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vAlign w:val="bottom"/>
          </w:tcPr>
          <w:p w14:paraId="173E5EBB"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vAlign w:val="bottom"/>
          </w:tcPr>
          <w:p w14:paraId="4EC4FA29"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vAlign w:val="bottom"/>
          </w:tcPr>
          <w:p w14:paraId="75BDD9A6"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3C9BF595" w14:textId="77777777">
        <w:trPr>
          <w:cantSplit/>
        </w:trPr>
        <w:tc>
          <w:tcPr>
            <w:tcW w:w="4876" w:type="dxa"/>
            <w:tcBorders>
              <w:bottom w:val="single" w:sz="12" w:space="0" w:color="000000"/>
            </w:tcBorders>
            <w:vAlign w:val="bottom"/>
          </w:tcPr>
          <w:p w14:paraId="15F7758D" w14:textId="77777777" w:rsidR="008E5DE4" w:rsidRDefault="00780368">
            <w:pPr>
              <w:widowControl w:val="0"/>
              <w:spacing w:line="228" w:lineRule="auto"/>
              <w:ind w:left="113" w:right="-57" w:hanging="113"/>
              <w:rPr>
                <w:b/>
              </w:rPr>
            </w:pPr>
            <w:r>
              <w:rPr>
                <w:b/>
              </w:rPr>
              <w:t> </w:t>
            </w:r>
          </w:p>
        </w:tc>
        <w:tc>
          <w:tcPr>
            <w:tcW w:w="574" w:type="dxa"/>
            <w:tcBorders>
              <w:bottom w:val="single" w:sz="12" w:space="0" w:color="000000"/>
            </w:tcBorders>
          </w:tcPr>
          <w:p w14:paraId="51655745"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1304" w:type="dxa"/>
            <w:tcBorders>
              <w:bottom w:val="single" w:sz="12" w:space="0" w:color="000000"/>
            </w:tcBorders>
            <w:vAlign w:val="bottom"/>
          </w:tcPr>
          <w:p w14:paraId="37D1E2FC"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tcBorders>
              <w:bottom w:val="single" w:sz="12" w:space="0" w:color="000000"/>
            </w:tcBorders>
            <w:vAlign w:val="bottom"/>
          </w:tcPr>
          <w:p w14:paraId="09FDAD20" w14:textId="77777777" w:rsidR="008E5DE4" w:rsidRDefault="008E5DE4">
            <w:pPr>
              <w:widowControl w:val="0"/>
              <w:pBdr>
                <w:top w:val="nil"/>
                <w:left w:val="nil"/>
                <w:bottom w:val="nil"/>
                <w:right w:val="nil"/>
                <w:between w:val="nil"/>
              </w:pBdr>
              <w:spacing w:line="228" w:lineRule="auto"/>
              <w:jc w:val="right"/>
              <w:rPr>
                <w:b/>
                <w:color w:val="000000"/>
              </w:rPr>
            </w:pPr>
          </w:p>
        </w:tc>
        <w:tc>
          <w:tcPr>
            <w:tcW w:w="1304" w:type="dxa"/>
            <w:tcBorders>
              <w:bottom w:val="single" w:sz="12" w:space="0" w:color="000000"/>
            </w:tcBorders>
            <w:vAlign w:val="bottom"/>
          </w:tcPr>
          <w:p w14:paraId="63E7545A" w14:textId="77777777" w:rsidR="008E5DE4" w:rsidRDefault="008E5DE4">
            <w:pPr>
              <w:widowControl w:val="0"/>
              <w:pBdr>
                <w:top w:val="nil"/>
                <w:left w:val="nil"/>
                <w:bottom w:val="nil"/>
                <w:right w:val="nil"/>
                <w:between w:val="nil"/>
              </w:pBdr>
              <w:spacing w:line="228" w:lineRule="auto"/>
              <w:jc w:val="right"/>
              <w:rPr>
                <w:b/>
                <w:color w:val="000000"/>
              </w:rPr>
            </w:pPr>
          </w:p>
        </w:tc>
      </w:tr>
    </w:tbl>
    <w:p w14:paraId="370C99F8" w14:textId="09F32C0C" w:rsidR="008E5DE4" w:rsidRDefault="00F93586" w:rsidP="007F183E">
      <w:pPr>
        <w:pStyle w:val="Heading1"/>
        <w:pageBreakBefore/>
        <w:numPr>
          <w:ilvl w:val="0"/>
          <w:numId w:val="0"/>
        </w:numPr>
        <w:spacing w:before="240" w:line="228" w:lineRule="auto"/>
        <w:ind w:left="567" w:hanging="567"/>
      </w:pPr>
      <w:bookmarkStart w:id="53" w:name="_Toc149923632"/>
      <w:r>
        <w:lastRenderedPageBreak/>
        <w:t xml:space="preserve">33 </w:t>
      </w:r>
      <w:r>
        <w:tab/>
        <w:t>[</w:t>
      </w:r>
      <w:r w:rsidR="00780368">
        <w:t>Other] Provisions for Liabilities and Charges</w:t>
      </w:r>
      <w:bookmarkEnd w:id="53"/>
    </w:p>
    <w:p w14:paraId="7E0AA761" w14:textId="69C6A2EB" w:rsidR="008E5DE4" w:rsidRDefault="00090491">
      <w:pPr>
        <w:shd w:val="clear" w:color="auto" w:fill="C6D9F1"/>
        <w:jc w:val="both"/>
        <w:rPr>
          <w:i/>
          <w:color w:val="FF0000"/>
          <w:sz w:val="20"/>
          <w:szCs w:val="20"/>
        </w:rPr>
      </w:pPr>
      <w:r>
        <w:rPr>
          <w:b/>
          <w:i/>
          <w:sz w:val="20"/>
          <w:szCs w:val="20"/>
        </w:rPr>
        <w:t>Material accounting policy information</w:t>
      </w:r>
      <w:r w:rsidR="00780368">
        <w:rPr>
          <w:b/>
          <w:i/>
          <w:sz w:val="20"/>
          <w:szCs w:val="20"/>
        </w:rPr>
        <w:t xml:space="preserve"> </w:t>
      </w:r>
    </w:p>
    <w:p w14:paraId="79C43AE2" w14:textId="34AAC2B6"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b/>
          <w:i/>
          <w:color w:val="000000"/>
          <w:sz w:val="20"/>
          <w:szCs w:val="20"/>
        </w:rPr>
        <w:t xml:space="preserve">Provisions for liabilities and charges. </w:t>
      </w:r>
      <w:r>
        <w:rPr>
          <w:color w:val="000000"/>
          <w:sz w:val="20"/>
          <w:szCs w:val="20"/>
        </w:rPr>
        <w:t xml:space="preserve">They are accrued when the Group has a present legal or constructive obligation </w:t>
      </w:r>
      <w:proofErr w:type="gramStart"/>
      <w:r>
        <w:rPr>
          <w:color w:val="000000"/>
          <w:sz w:val="20"/>
          <w:szCs w:val="20"/>
        </w:rPr>
        <w:t>as a result of</w:t>
      </w:r>
      <w:proofErr w:type="gramEnd"/>
      <w:r>
        <w:rPr>
          <w:color w:val="000000"/>
          <w:sz w:val="20"/>
          <w:szCs w:val="20"/>
        </w:rPr>
        <w:t xml:space="preserve"> past events, it is probable that an outflow of resources embodying economic benefits will be required to settle the obligation, and a reliable estimate of the amount of the obligation can be made. Provisions are measured at the present value of the expenditures expected to be required to settle the obligation using a pre-tax rate that reflects current market assessments of the time value of money and the risks specific to the obligation. The increase in the provision due to the passage of time is recognised as an interest expense within finance costs. </w:t>
      </w:r>
    </w:p>
    <w:p w14:paraId="7813D9AC" w14:textId="17CA90BF" w:rsidR="008E5DE4" w:rsidRDefault="00780368">
      <w:pPr>
        <w:widowControl w:val="0"/>
        <w:pBdr>
          <w:top w:val="nil"/>
          <w:left w:val="nil"/>
          <w:bottom w:val="nil"/>
          <w:right w:val="nil"/>
          <w:between w:val="nil"/>
        </w:pBdr>
        <w:shd w:val="clear" w:color="auto" w:fill="C6D9F1"/>
        <w:spacing w:before="200" w:after="200" w:line="228" w:lineRule="auto"/>
        <w:jc w:val="both"/>
        <w:rPr>
          <w:i/>
          <w:color w:val="FF0000"/>
          <w:sz w:val="20"/>
          <w:szCs w:val="20"/>
        </w:rPr>
      </w:pPr>
      <w:r>
        <w:rPr>
          <w:color w:val="000000"/>
          <w:sz w:val="20"/>
          <w:szCs w:val="20"/>
        </w:rPr>
        <w:t xml:space="preserve">Levies and charges, such as taxes other than income tax or regulatory fees based on information related to a period before the obligation to pay arises, are recognised as liabilities when the obligating event that gives rise to pay a levy occurs, as identified by the legislation that triggers the obligation to pay the levy. If a levy is paid before the obligating event, it is recognised as a prepayment. </w:t>
      </w:r>
    </w:p>
    <w:p w14:paraId="2C929924"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FF"/>
          <w:sz w:val="20"/>
          <w:szCs w:val="20"/>
        </w:rPr>
      </w:pPr>
      <w:r>
        <w:rPr>
          <w:color w:val="0000FF"/>
          <w:sz w:val="20"/>
          <w:szCs w:val="20"/>
        </w:rPr>
        <w:t xml:space="preserve">[Where there are </w:t>
      </w:r>
      <w:proofErr w:type="gramStart"/>
      <w:r>
        <w:rPr>
          <w:color w:val="0000FF"/>
          <w:sz w:val="20"/>
          <w:szCs w:val="20"/>
        </w:rPr>
        <w:t>a number of</w:t>
      </w:r>
      <w:proofErr w:type="gramEnd"/>
      <w:r>
        <w:rPr>
          <w:color w:val="0000FF"/>
          <w:sz w:val="20"/>
          <w:szCs w:val="20"/>
        </w:rPr>
        <w:t xml:space="preserve"> similar obligations, the probability that an outflow will be required in the settlement is determined by considering the class of </w:t>
      </w:r>
      <w:proofErr w:type="gramStart"/>
      <w:r>
        <w:rPr>
          <w:color w:val="0000FF"/>
          <w:sz w:val="20"/>
          <w:szCs w:val="20"/>
        </w:rPr>
        <w:t>obligations as a whole</w:t>
      </w:r>
      <w:proofErr w:type="gramEnd"/>
      <w:r>
        <w:rPr>
          <w:color w:val="0000FF"/>
          <w:sz w:val="20"/>
          <w:szCs w:val="20"/>
        </w:rPr>
        <w:t xml:space="preserve">. The Group recognises the estimated liability to repair or replace products sold which are still under warranty at the end of each reporting period. This provision is calculated based on </w:t>
      </w:r>
      <w:proofErr w:type="gramStart"/>
      <w:r>
        <w:rPr>
          <w:color w:val="0000FF"/>
          <w:sz w:val="20"/>
          <w:szCs w:val="20"/>
        </w:rPr>
        <w:t>past history</w:t>
      </w:r>
      <w:proofErr w:type="gramEnd"/>
      <w:r>
        <w:rPr>
          <w:color w:val="0000FF"/>
          <w:sz w:val="20"/>
          <w:szCs w:val="20"/>
        </w:rPr>
        <w:t xml:space="preserve"> of the level of repairs and replacements.] </w:t>
      </w:r>
    </w:p>
    <w:p w14:paraId="0F09C516"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color w:val="0000FF"/>
          <w:sz w:val="20"/>
          <w:szCs w:val="20"/>
        </w:rPr>
        <w:t>[Where the Group expects a provision to be reimbursed, for example under an insurance contract, the reimbursement is recognised as a separate asset but only when the reimbursement is virtually certain.]</w:t>
      </w:r>
    </w:p>
    <w:p w14:paraId="04DA89A7" w14:textId="77777777" w:rsidR="008E5DE4" w:rsidRDefault="008E5DE4">
      <w:pPr>
        <w:shd w:val="clear" w:color="auto" w:fill="C6D9F1"/>
        <w:jc w:val="both"/>
        <w:rPr>
          <w:i/>
          <w:color w:val="FF0000"/>
          <w:sz w:val="20"/>
          <w:szCs w:val="20"/>
        </w:rPr>
      </w:pPr>
    </w:p>
    <w:p w14:paraId="4EDF8909" w14:textId="77777777" w:rsidR="008E5DE4" w:rsidRDefault="008E5DE4">
      <w:pPr>
        <w:rPr>
          <w:i/>
          <w:color w:val="FF0000"/>
          <w:sz w:val="20"/>
          <w:szCs w:val="20"/>
        </w:rPr>
      </w:pPr>
    </w:p>
    <w:tbl>
      <w:tblPr>
        <w:tblStyle w:val="afffffffffe"/>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36B7FA2A" w14:textId="77777777">
        <w:tc>
          <w:tcPr>
            <w:tcW w:w="9571" w:type="dxa"/>
          </w:tcPr>
          <w:p w14:paraId="7098EF0A" w14:textId="77777777" w:rsidR="008E5DE4" w:rsidRDefault="00780368">
            <w:pPr>
              <w:pBdr>
                <w:top w:val="nil"/>
                <w:left w:val="nil"/>
                <w:bottom w:val="nil"/>
                <w:right w:val="nil"/>
                <w:between w:val="nil"/>
              </w:pBdr>
              <w:spacing w:after="240"/>
              <w:rPr>
                <w:b/>
                <w:i/>
                <w:color w:val="000000"/>
                <w:sz w:val="20"/>
                <w:szCs w:val="20"/>
              </w:rPr>
            </w:pPr>
            <w:bookmarkStart w:id="54" w:name="_Hlk181178768"/>
            <w:r>
              <w:rPr>
                <w:b/>
                <w:i/>
                <w:color w:val="000000"/>
                <w:sz w:val="20"/>
                <w:szCs w:val="20"/>
              </w:rPr>
              <w:t>Critical Accounting Estimates and Judgments in Applying Accounting Policies</w:t>
            </w:r>
          </w:p>
          <w:p w14:paraId="36174B7E" w14:textId="511FAC4D" w:rsidR="008E5DE4" w:rsidRDefault="00780368">
            <w:pPr>
              <w:rPr>
                <w:i/>
                <w:color w:val="FF0000"/>
                <w:sz w:val="20"/>
                <w:szCs w:val="20"/>
              </w:rPr>
            </w:pPr>
            <w:r>
              <w:rPr>
                <w:b/>
                <w:i/>
                <w:sz w:val="20"/>
                <w:szCs w:val="20"/>
              </w:rPr>
              <w:t xml:space="preserve">Assumptions to determine the amount of [other] provisions for liabilities and charges. </w:t>
            </w:r>
          </w:p>
        </w:tc>
      </w:tr>
      <w:bookmarkEnd w:id="54"/>
    </w:tbl>
    <w:p w14:paraId="4B04EB7C" w14:textId="77777777" w:rsidR="008E5DE4" w:rsidRDefault="008E5DE4">
      <w:pPr>
        <w:rPr>
          <w:i/>
          <w:color w:val="FF0000"/>
          <w:sz w:val="20"/>
          <w:szCs w:val="20"/>
        </w:rPr>
      </w:pPr>
    </w:p>
    <w:p w14:paraId="16CABFCD" w14:textId="77777777"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Movements in </w:t>
      </w:r>
      <w:r>
        <w:rPr>
          <w:color w:val="0000FF"/>
          <w:sz w:val="20"/>
          <w:szCs w:val="20"/>
        </w:rPr>
        <w:t>[other]</w:t>
      </w:r>
      <w:r>
        <w:rPr>
          <w:color w:val="000000"/>
          <w:sz w:val="20"/>
          <w:szCs w:val="20"/>
        </w:rPr>
        <w:t xml:space="preserve"> provisions for liabilities and charges are as follows:</w:t>
      </w:r>
    </w:p>
    <w:tbl>
      <w:tblPr>
        <w:tblStyle w:val="affffffffff"/>
        <w:tblW w:w="9353" w:type="dxa"/>
        <w:tblLayout w:type="fixed"/>
        <w:tblLook w:val="0000" w:firstRow="0" w:lastRow="0" w:firstColumn="0" w:lastColumn="0" w:noHBand="0" w:noVBand="0"/>
      </w:tblPr>
      <w:tblGrid>
        <w:gridCol w:w="3458"/>
        <w:gridCol w:w="510"/>
        <w:gridCol w:w="1077"/>
        <w:gridCol w:w="1077"/>
        <w:gridCol w:w="1077"/>
        <w:gridCol w:w="1077"/>
        <w:gridCol w:w="1077"/>
      </w:tblGrid>
      <w:tr w:rsidR="008E5DE4" w14:paraId="43037415" w14:textId="77777777">
        <w:trPr>
          <w:cantSplit/>
        </w:trPr>
        <w:tc>
          <w:tcPr>
            <w:tcW w:w="3458" w:type="dxa"/>
            <w:tcBorders>
              <w:bottom w:val="single" w:sz="4" w:space="0" w:color="000000"/>
            </w:tcBorders>
            <w:vAlign w:val="bottom"/>
          </w:tcPr>
          <w:p w14:paraId="7B2CE772"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In thousands of EUR</w:t>
            </w:r>
          </w:p>
        </w:tc>
        <w:tc>
          <w:tcPr>
            <w:tcW w:w="510" w:type="dxa"/>
            <w:tcBorders>
              <w:bottom w:val="single" w:sz="4" w:space="0" w:color="000000"/>
            </w:tcBorders>
            <w:vAlign w:val="bottom"/>
          </w:tcPr>
          <w:p w14:paraId="04B807AA" w14:textId="77777777" w:rsidR="008E5DE4" w:rsidRDefault="00780368">
            <w:pPr>
              <w:widowControl w:val="0"/>
              <w:pBdr>
                <w:top w:val="nil"/>
                <w:left w:val="nil"/>
                <w:bottom w:val="nil"/>
                <w:right w:val="nil"/>
                <w:between w:val="nil"/>
              </w:pBdr>
              <w:spacing w:line="228" w:lineRule="auto"/>
              <w:ind w:left="-57" w:right="-57"/>
              <w:jc w:val="center"/>
              <w:rPr>
                <w:b/>
                <w:color w:val="000000"/>
              </w:rPr>
            </w:pPr>
            <w:r>
              <w:rPr>
                <w:b/>
                <w:color w:val="000000"/>
              </w:rPr>
              <w:t>Note</w:t>
            </w:r>
          </w:p>
        </w:tc>
        <w:tc>
          <w:tcPr>
            <w:tcW w:w="1077" w:type="dxa"/>
            <w:tcBorders>
              <w:bottom w:val="single" w:sz="4" w:space="0" w:color="000000"/>
            </w:tcBorders>
          </w:tcPr>
          <w:p w14:paraId="230AB2FE"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Warranty</w:t>
            </w:r>
          </w:p>
        </w:tc>
        <w:tc>
          <w:tcPr>
            <w:tcW w:w="1077" w:type="dxa"/>
            <w:tcBorders>
              <w:bottom w:val="single" w:sz="4" w:space="0" w:color="000000"/>
            </w:tcBorders>
          </w:tcPr>
          <w:p w14:paraId="6C817085"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Tax </w:t>
            </w:r>
          </w:p>
          <w:p w14:paraId="3CC68BA3"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risks</w:t>
            </w:r>
          </w:p>
        </w:tc>
        <w:tc>
          <w:tcPr>
            <w:tcW w:w="1077" w:type="dxa"/>
            <w:tcBorders>
              <w:bottom w:val="single" w:sz="4" w:space="0" w:color="000000"/>
            </w:tcBorders>
          </w:tcPr>
          <w:p w14:paraId="27E7C6A8"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Legal </w:t>
            </w:r>
          </w:p>
          <w:p w14:paraId="01BCD7BA"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claims</w:t>
            </w:r>
          </w:p>
        </w:tc>
        <w:tc>
          <w:tcPr>
            <w:tcW w:w="1077" w:type="dxa"/>
            <w:tcBorders>
              <w:bottom w:val="single" w:sz="4" w:space="0" w:color="000000"/>
            </w:tcBorders>
          </w:tcPr>
          <w:p w14:paraId="44ACB2FE"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Other</w:t>
            </w:r>
          </w:p>
        </w:tc>
        <w:tc>
          <w:tcPr>
            <w:tcW w:w="1077" w:type="dxa"/>
            <w:tcBorders>
              <w:bottom w:val="single" w:sz="4" w:space="0" w:color="000000"/>
            </w:tcBorders>
          </w:tcPr>
          <w:p w14:paraId="305B8B80"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r>
      <w:tr w:rsidR="008E5DE4" w14:paraId="2E709819" w14:textId="77777777">
        <w:trPr>
          <w:cantSplit/>
        </w:trPr>
        <w:tc>
          <w:tcPr>
            <w:tcW w:w="3458" w:type="dxa"/>
            <w:vAlign w:val="bottom"/>
          </w:tcPr>
          <w:p w14:paraId="76892783" w14:textId="77777777" w:rsidR="008E5DE4" w:rsidRDefault="00780368">
            <w:pPr>
              <w:widowControl w:val="0"/>
              <w:spacing w:line="228" w:lineRule="auto"/>
              <w:ind w:left="113" w:right="-57" w:hanging="113"/>
              <w:rPr>
                <w:b/>
                <w:sz w:val="14"/>
                <w:szCs w:val="14"/>
              </w:rPr>
            </w:pPr>
            <w:r>
              <w:rPr>
                <w:b/>
                <w:sz w:val="14"/>
                <w:szCs w:val="14"/>
              </w:rPr>
              <w:t> </w:t>
            </w:r>
          </w:p>
        </w:tc>
        <w:tc>
          <w:tcPr>
            <w:tcW w:w="510" w:type="dxa"/>
            <w:vAlign w:val="bottom"/>
          </w:tcPr>
          <w:p w14:paraId="06BDBD49"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1077" w:type="dxa"/>
            <w:vAlign w:val="bottom"/>
          </w:tcPr>
          <w:p w14:paraId="38135430"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vAlign w:val="bottom"/>
          </w:tcPr>
          <w:p w14:paraId="589197E4"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vAlign w:val="bottom"/>
          </w:tcPr>
          <w:p w14:paraId="647CF997"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vAlign w:val="bottom"/>
          </w:tcPr>
          <w:p w14:paraId="2980080C"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vAlign w:val="bottom"/>
          </w:tcPr>
          <w:p w14:paraId="2FC1874E"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r>
      <w:tr w:rsidR="008E5DE4" w14:paraId="26828FD8" w14:textId="77777777">
        <w:trPr>
          <w:cantSplit/>
        </w:trPr>
        <w:tc>
          <w:tcPr>
            <w:tcW w:w="3458" w:type="dxa"/>
            <w:vAlign w:val="bottom"/>
          </w:tcPr>
          <w:p w14:paraId="3087CBFA" w14:textId="04D03342"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1 January </w:t>
            </w:r>
            <w:r w:rsidR="008614F8">
              <w:rPr>
                <w:b/>
                <w:color w:val="000000"/>
              </w:rPr>
              <w:t>2025</w:t>
            </w:r>
          </w:p>
        </w:tc>
        <w:tc>
          <w:tcPr>
            <w:tcW w:w="510" w:type="dxa"/>
            <w:vAlign w:val="bottom"/>
          </w:tcPr>
          <w:p w14:paraId="64A907F1"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077" w:type="dxa"/>
            <w:vAlign w:val="bottom"/>
          </w:tcPr>
          <w:p w14:paraId="43A28563" w14:textId="77777777" w:rsidR="008E5DE4" w:rsidRDefault="008E5DE4">
            <w:pPr>
              <w:widowControl w:val="0"/>
              <w:pBdr>
                <w:top w:val="nil"/>
                <w:left w:val="nil"/>
                <w:bottom w:val="nil"/>
                <w:right w:val="nil"/>
                <w:between w:val="nil"/>
              </w:pBdr>
              <w:spacing w:line="228" w:lineRule="auto"/>
              <w:jc w:val="right"/>
              <w:rPr>
                <w:b/>
                <w:color w:val="000000"/>
              </w:rPr>
            </w:pPr>
          </w:p>
        </w:tc>
        <w:tc>
          <w:tcPr>
            <w:tcW w:w="1077" w:type="dxa"/>
            <w:vAlign w:val="bottom"/>
          </w:tcPr>
          <w:p w14:paraId="4CE402D4" w14:textId="77777777" w:rsidR="008E5DE4" w:rsidRDefault="008E5DE4">
            <w:pPr>
              <w:widowControl w:val="0"/>
              <w:pBdr>
                <w:top w:val="nil"/>
                <w:left w:val="nil"/>
                <w:bottom w:val="nil"/>
                <w:right w:val="nil"/>
                <w:between w:val="nil"/>
              </w:pBdr>
              <w:spacing w:line="228" w:lineRule="auto"/>
              <w:jc w:val="right"/>
              <w:rPr>
                <w:b/>
                <w:color w:val="000000"/>
              </w:rPr>
            </w:pPr>
          </w:p>
        </w:tc>
        <w:tc>
          <w:tcPr>
            <w:tcW w:w="1077" w:type="dxa"/>
            <w:vAlign w:val="bottom"/>
          </w:tcPr>
          <w:p w14:paraId="624D4D04" w14:textId="77777777" w:rsidR="008E5DE4" w:rsidRDefault="008E5DE4">
            <w:pPr>
              <w:widowControl w:val="0"/>
              <w:pBdr>
                <w:top w:val="nil"/>
                <w:left w:val="nil"/>
                <w:bottom w:val="nil"/>
                <w:right w:val="nil"/>
                <w:between w:val="nil"/>
              </w:pBdr>
              <w:spacing w:line="228" w:lineRule="auto"/>
              <w:jc w:val="right"/>
              <w:rPr>
                <w:b/>
                <w:color w:val="000000"/>
              </w:rPr>
            </w:pPr>
          </w:p>
        </w:tc>
        <w:tc>
          <w:tcPr>
            <w:tcW w:w="1077" w:type="dxa"/>
            <w:vAlign w:val="bottom"/>
          </w:tcPr>
          <w:p w14:paraId="4A906FAA" w14:textId="77777777" w:rsidR="008E5DE4" w:rsidRDefault="008E5DE4">
            <w:pPr>
              <w:widowControl w:val="0"/>
              <w:pBdr>
                <w:top w:val="nil"/>
                <w:left w:val="nil"/>
                <w:bottom w:val="nil"/>
                <w:right w:val="nil"/>
                <w:between w:val="nil"/>
              </w:pBdr>
              <w:spacing w:line="228" w:lineRule="auto"/>
              <w:jc w:val="right"/>
              <w:rPr>
                <w:b/>
                <w:color w:val="000000"/>
              </w:rPr>
            </w:pPr>
          </w:p>
        </w:tc>
        <w:tc>
          <w:tcPr>
            <w:tcW w:w="1077" w:type="dxa"/>
            <w:vAlign w:val="bottom"/>
          </w:tcPr>
          <w:p w14:paraId="2218A51A"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39673707" w14:textId="77777777">
        <w:trPr>
          <w:cantSplit/>
        </w:trPr>
        <w:tc>
          <w:tcPr>
            <w:tcW w:w="3458" w:type="dxa"/>
            <w:vAlign w:val="bottom"/>
          </w:tcPr>
          <w:p w14:paraId="79D50A30"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10" w:type="dxa"/>
            <w:vAlign w:val="bottom"/>
          </w:tcPr>
          <w:p w14:paraId="7CF4C088"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1077" w:type="dxa"/>
            <w:vAlign w:val="bottom"/>
          </w:tcPr>
          <w:p w14:paraId="548B0D3A"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077" w:type="dxa"/>
            <w:vAlign w:val="bottom"/>
          </w:tcPr>
          <w:p w14:paraId="75875298"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077" w:type="dxa"/>
            <w:vAlign w:val="bottom"/>
          </w:tcPr>
          <w:p w14:paraId="637879F7"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077" w:type="dxa"/>
            <w:vAlign w:val="bottom"/>
          </w:tcPr>
          <w:p w14:paraId="1FEBF68A"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077" w:type="dxa"/>
            <w:vAlign w:val="bottom"/>
          </w:tcPr>
          <w:p w14:paraId="3A5DBEA3"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323421AB" w14:textId="77777777">
        <w:trPr>
          <w:cantSplit/>
        </w:trPr>
        <w:tc>
          <w:tcPr>
            <w:tcW w:w="3458" w:type="dxa"/>
            <w:vAlign w:val="bottom"/>
          </w:tcPr>
          <w:p w14:paraId="47B6C9C8"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Additions charged to profit or loss </w:t>
            </w:r>
          </w:p>
        </w:tc>
        <w:tc>
          <w:tcPr>
            <w:tcW w:w="510" w:type="dxa"/>
            <w:vAlign w:val="bottom"/>
          </w:tcPr>
          <w:p w14:paraId="4A67C703"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36</w:t>
            </w:r>
          </w:p>
        </w:tc>
        <w:tc>
          <w:tcPr>
            <w:tcW w:w="1077" w:type="dxa"/>
            <w:vAlign w:val="bottom"/>
          </w:tcPr>
          <w:p w14:paraId="0A4A9144"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69B382A4"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26A7BC79"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0BF64135"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01303A2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339709D" w14:textId="77777777">
        <w:trPr>
          <w:cantSplit/>
        </w:trPr>
        <w:tc>
          <w:tcPr>
            <w:tcW w:w="3458" w:type="dxa"/>
            <w:vAlign w:val="bottom"/>
          </w:tcPr>
          <w:p w14:paraId="14FC70B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Additions through business combinations</w:t>
            </w:r>
          </w:p>
        </w:tc>
        <w:tc>
          <w:tcPr>
            <w:tcW w:w="510" w:type="dxa"/>
            <w:vAlign w:val="bottom"/>
          </w:tcPr>
          <w:p w14:paraId="337E0347"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50</w:t>
            </w:r>
          </w:p>
        </w:tc>
        <w:tc>
          <w:tcPr>
            <w:tcW w:w="1077" w:type="dxa"/>
            <w:vAlign w:val="bottom"/>
          </w:tcPr>
          <w:p w14:paraId="04507940"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1E483BCB"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542AAB08"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03F030A8"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308757A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FA79530" w14:textId="77777777">
        <w:trPr>
          <w:cantSplit/>
        </w:trPr>
        <w:tc>
          <w:tcPr>
            <w:tcW w:w="3458" w:type="dxa"/>
            <w:vAlign w:val="bottom"/>
          </w:tcPr>
          <w:p w14:paraId="5DA2088E"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Unused amounts reversed</w:t>
            </w:r>
          </w:p>
        </w:tc>
        <w:tc>
          <w:tcPr>
            <w:tcW w:w="510" w:type="dxa"/>
            <w:vAlign w:val="bottom"/>
          </w:tcPr>
          <w:p w14:paraId="2C2F2167"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36</w:t>
            </w:r>
          </w:p>
        </w:tc>
        <w:tc>
          <w:tcPr>
            <w:tcW w:w="1077" w:type="dxa"/>
            <w:vAlign w:val="bottom"/>
          </w:tcPr>
          <w:p w14:paraId="272142E3"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420FC978"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72B0D39D"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04B311C5"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64BD5D0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02A20C2" w14:textId="77777777">
        <w:trPr>
          <w:cantSplit/>
        </w:trPr>
        <w:tc>
          <w:tcPr>
            <w:tcW w:w="3458" w:type="dxa"/>
            <w:vAlign w:val="bottom"/>
          </w:tcPr>
          <w:p w14:paraId="6B1327A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Utilisation of provision</w:t>
            </w:r>
          </w:p>
        </w:tc>
        <w:tc>
          <w:tcPr>
            <w:tcW w:w="510" w:type="dxa"/>
            <w:vAlign w:val="bottom"/>
          </w:tcPr>
          <w:p w14:paraId="58E4397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077" w:type="dxa"/>
            <w:vAlign w:val="bottom"/>
          </w:tcPr>
          <w:p w14:paraId="467E1666"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6E2E246A"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7B37DCC8"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291DE29D"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7A8B618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D66E12C" w14:textId="77777777">
        <w:trPr>
          <w:cantSplit/>
        </w:trPr>
        <w:tc>
          <w:tcPr>
            <w:tcW w:w="3458" w:type="dxa"/>
            <w:vAlign w:val="bottom"/>
          </w:tcPr>
          <w:p w14:paraId="7B3797B4"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Unwinding of the present value discount and effect of changes in discount rates</w:t>
            </w:r>
          </w:p>
        </w:tc>
        <w:tc>
          <w:tcPr>
            <w:tcW w:w="510" w:type="dxa"/>
            <w:vAlign w:val="bottom"/>
          </w:tcPr>
          <w:p w14:paraId="1EC3BD71"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37</w:t>
            </w:r>
          </w:p>
        </w:tc>
        <w:tc>
          <w:tcPr>
            <w:tcW w:w="1077" w:type="dxa"/>
            <w:vAlign w:val="bottom"/>
          </w:tcPr>
          <w:p w14:paraId="56476500"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0BFA9FBF"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28CF27B2"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2E32B22E"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69EA525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2ED9BD3" w14:textId="77777777">
        <w:trPr>
          <w:cantSplit/>
        </w:trPr>
        <w:tc>
          <w:tcPr>
            <w:tcW w:w="3458" w:type="dxa"/>
            <w:vAlign w:val="bottom"/>
          </w:tcPr>
          <w:p w14:paraId="4ED94CF2"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FF"/>
              </w:rPr>
              <w:t>[Effect of translation to presentation currency]</w:t>
            </w:r>
          </w:p>
        </w:tc>
        <w:tc>
          <w:tcPr>
            <w:tcW w:w="510" w:type="dxa"/>
            <w:vAlign w:val="bottom"/>
          </w:tcPr>
          <w:p w14:paraId="0169B257"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077" w:type="dxa"/>
            <w:vAlign w:val="bottom"/>
          </w:tcPr>
          <w:p w14:paraId="4EEB5F96"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36BEEF3C"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55ECABC2"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73861EF2"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7B5E123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4109698" w14:textId="77777777">
        <w:trPr>
          <w:cantSplit/>
        </w:trPr>
        <w:tc>
          <w:tcPr>
            <w:tcW w:w="3458" w:type="dxa"/>
            <w:vAlign w:val="bottom"/>
          </w:tcPr>
          <w:p w14:paraId="507FD16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Other</w:t>
            </w:r>
          </w:p>
        </w:tc>
        <w:tc>
          <w:tcPr>
            <w:tcW w:w="510" w:type="dxa"/>
            <w:vAlign w:val="bottom"/>
          </w:tcPr>
          <w:p w14:paraId="52906D60"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077" w:type="dxa"/>
            <w:vAlign w:val="bottom"/>
          </w:tcPr>
          <w:p w14:paraId="09C0CE60"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44B9EBD4"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2B98EB46"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2486AC4E" w14:textId="77777777" w:rsidR="008E5DE4" w:rsidRDefault="008E5DE4">
            <w:pPr>
              <w:widowControl w:val="0"/>
              <w:pBdr>
                <w:top w:val="nil"/>
                <w:left w:val="nil"/>
                <w:bottom w:val="nil"/>
                <w:right w:val="nil"/>
                <w:between w:val="nil"/>
              </w:pBdr>
              <w:spacing w:line="228" w:lineRule="auto"/>
              <w:jc w:val="right"/>
              <w:rPr>
                <w:color w:val="000000"/>
              </w:rPr>
            </w:pPr>
          </w:p>
        </w:tc>
        <w:tc>
          <w:tcPr>
            <w:tcW w:w="1077" w:type="dxa"/>
            <w:vAlign w:val="bottom"/>
          </w:tcPr>
          <w:p w14:paraId="5D8CF7F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378B836" w14:textId="77777777">
        <w:trPr>
          <w:cantSplit/>
        </w:trPr>
        <w:tc>
          <w:tcPr>
            <w:tcW w:w="3458" w:type="dxa"/>
            <w:tcBorders>
              <w:bottom w:val="single" w:sz="4" w:space="0" w:color="000000"/>
            </w:tcBorders>
            <w:vAlign w:val="bottom"/>
          </w:tcPr>
          <w:p w14:paraId="0B6E07FC"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10" w:type="dxa"/>
            <w:tcBorders>
              <w:bottom w:val="single" w:sz="4" w:space="0" w:color="000000"/>
            </w:tcBorders>
            <w:vAlign w:val="bottom"/>
          </w:tcPr>
          <w:p w14:paraId="1734FBF5"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1077" w:type="dxa"/>
            <w:tcBorders>
              <w:bottom w:val="single" w:sz="4" w:space="0" w:color="000000"/>
            </w:tcBorders>
            <w:vAlign w:val="bottom"/>
          </w:tcPr>
          <w:p w14:paraId="66B29C53"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077" w:type="dxa"/>
            <w:tcBorders>
              <w:bottom w:val="single" w:sz="4" w:space="0" w:color="000000"/>
            </w:tcBorders>
            <w:vAlign w:val="bottom"/>
          </w:tcPr>
          <w:p w14:paraId="6D241070"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077" w:type="dxa"/>
            <w:tcBorders>
              <w:bottom w:val="single" w:sz="4" w:space="0" w:color="000000"/>
            </w:tcBorders>
            <w:vAlign w:val="bottom"/>
          </w:tcPr>
          <w:p w14:paraId="1B97954C"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077" w:type="dxa"/>
            <w:tcBorders>
              <w:bottom w:val="single" w:sz="4" w:space="0" w:color="000000"/>
            </w:tcBorders>
            <w:vAlign w:val="bottom"/>
          </w:tcPr>
          <w:p w14:paraId="21473AC9"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c>
          <w:tcPr>
            <w:tcW w:w="1077" w:type="dxa"/>
            <w:tcBorders>
              <w:bottom w:val="single" w:sz="4" w:space="0" w:color="000000"/>
            </w:tcBorders>
            <w:vAlign w:val="bottom"/>
          </w:tcPr>
          <w:p w14:paraId="44A6F102" w14:textId="77777777" w:rsidR="008E5DE4" w:rsidRDefault="008E5DE4">
            <w:pPr>
              <w:widowControl w:val="0"/>
              <w:pBdr>
                <w:top w:val="nil"/>
                <w:left w:val="nil"/>
                <w:bottom w:val="nil"/>
                <w:right w:val="nil"/>
                <w:between w:val="nil"/>
              </w:pBdr>
              <w:spacing w:line="228" w:lineRule="auto"/>
              <w:jc w:val="right"/>
              <w:rPr>
                <w:color w:val="000000"/>
                <w:sz w:val="14"/>
                <w:szCs w:val="14"/>
              </w:rPr>
            </w:pPr>
          </w:p>
        </w:tc>
      </w:tr>
      <w:tr w:rsidR="008E5DE4" w14:paraId="34A060D2" w14:textId="77777777">
        <w:trPr>
          <w:cantSplit/>
        </w:trPr>
        <w:tc>
          <w:tcPr>
            <w:tcW w:w="3458" w:type="dxa"/>
            <w:vAlign w:val="bottom"/>
          </w:tcPr>
          <w:p w14:paraId="593FCB54"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10" w:type="dxa"/>
            <w:vAlign w:val="bottom"/>
          </w:tcPr>
          <w:p w14:paraId="7F683BF0"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1077" w:type="dxa"/>
            <w:vAlign w:val="bottom"/>
          </w:tcPr>
          <w:p w14:paraId="5CD07201"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vAlign w:val="bottom"/>
          </w:tcPr>
          <w:p w14:paraId="43B2681B"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vAlign w:val="bottom"/>
          </w:tcPr>
          <w:p w14:paraId="2E50A22F"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vAlign w:val="bottom"/>
          </w:tcPr>
          <w:p w14:paraId="666ABEC3"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vAlign w:val="bottom"/>
          </w:tcPr>
          <w:p w14:paraId="282528F1"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r>
      <w:tr w:rsidR="008E5DE4" w14:paraId="042D04CE" w14:textId="77777777">
        <w:trPr>
          <w:cantSplit/>
        </w:trPr>
        <w:tc>
          <w:tcPr>
            <w:tcW w:w="3458" w:type="dxa"/>
            <w:vAlign w:val="bottom"/>
          </w:tcPr>
          <w:p w14:paraId="07AF25C5" w14:textId="551BADFD"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xml:space="preserve">Carrying amount </w:t>
            </w:r>
            <w:proofErr w:type="gramStart"/>
            <w:r>
              <w:rPr>
                <w:b/>
                <w:color w:val="000000"/>
              </w:rPr>
              <w:t>at</w:t>
            </w:r>
            <w:proofErr w:type="gramEnd"/>
            <w:r>
              <w:rPr>
                <w:b/>
                <w:color w:val="000000"/>
              </w:rPr>
              <w:t xml:space="preserve"> 31 December </w:t>
            </w:r>
            <w:r w:rsidR="008614F8">
              <w:rPr>
                <w:b/>
                <w:color w:val="000000"/>
              </w:rPr>
              <w:t>2025</w:t>
            </w:r>
          </w:p>
        </w:tc>
        <w:tc>
          <w:tcPr>
            <w:tcW w:w="510" w:type="dxa"/>
            <w:vAlign w:val="bottom"/>
          </w:tcPr>
          <w:p w14:paraId="6548A2FF"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077" w:type="dxa"/>
            <w:vAlign w:val="bottom"/>
          </w:tcPr>
          <w:p w14:paraId="2EA205D3" w14:textId="77777777" w:rsidR="008E5DE4" w:rsidRDefault="008E5DE4">
            <w:pPr>
              <w:widowControl w:val="0"/>
              <w:pBdr>
                <w:top w:val="nil"/>
                <w:left w:val="nil"/>
                <w:bottom w:val="nil"/>
                <w:right w:val="nil"/>
                <w:between w:val="nil"/>
              </w:pBdr>
              <w:spacing w:line="228" w:lineRule="auto"/>
              <w:jc w:val="right"/>
              <w:rPr>
                <w:b/>
                <w:color w:val="000000"/>
              </w:rPr>
            </w:pPr>
          </w:p>
        </w:tc>
        <w:tc>
          <w:tcPr>
            <w:tcW w:w="1077" w:type="dxa"/>
            <w:vAlign w:val="bottom"/>
          </w:tcPr>
          <w:p w14:paraId="18C64CCA" w14:textId="77777777" w:rsidR="008E5DE4" w:rsidRDefault="008E5DE4">
            <w:pPr>
              <w:widowControl w:val="0"/>
              <w:pBdr>
                <w:top w:val="nil"/>
                <w:left w:val="nil"/>
                <w:bottom w:val="nil"/>
                <w:right w:val="nil"/>
                <w:between w:val="nil"/>
              </w:pBdr>
              <w:spacing w:line="228" w:lineRule="auto"/>
              <w:jc w:val="right"/>
              <w:rPr>
                <w:b/>
                <w:color w:val="000000"/>
              </w:rPr>
            </w:pPr>
          </w:p>
        </w:tc>
        <w:tc>
          <w:tcPr>
            <w:tcW w:w="1077" w:type="dxa"/>
            <w:vAlign w:val="bottom"/>
          </w:tcPr>
          <w:p w14:paraId="0A7CB2C2" w14:textId="77777777" w:rsidR="008E5DE4" w:rsidRDefault="008E5DE4">
            <w:pPr>
              <w:widowControl w:val="0"/>
              <w:pBdr>
                <w:top w:val="nil"/>
                <w:left w:val="nil"/>
                <w:bottom w:val="nil"/>
                <w:right w:val="nil"/>
                <w:between w:val="nil"/>
              </w:pBdr>
              <w:spacing w:line="228" w:lineRule="auto"/>
              <w:jc w:val="right"/>
              <w:rPr>
                <w:b/>
                <w:color w:val="000000"/>
              </w:rPr>
            </w:pPr>
          </w:p>
        </w:tc>
        <w:tc>
          <w:tcPr>
            <w:tcW w:w="1077" w:type="dxa"/>
            <w:vAlign w:val="bottom"/>
          </w:tcPr>
          <w:p w14:paraId="6CE279FE" w14:textId="77777777" w:rsidR="008E5DE4" w:rsidRDefault="008E5DE4">
            <w:pPr>
              <w:widowControl w:val="0"/>
              <w:pBdr>
                <w:top w:val="nil"/>
                <w:left w:val="nil"/>
                <w:bottom w:val="nil"/>
                <w:right w:val="nil"/>
                <w:between w:val="nil"/>
              </w:pBdr>
              <w:spacing w:line="228" w:lineRule="auto"/>
              <w:jc w:val="right"/>
              <w:rPr>
                <w:b/>
                <w:color w:val="000000"/>
              </w:rPr>
            </w:pPr>
          </w:p>
        </w:tc>
        <w:tc>
          <w:tcPr>
            <w:tcW w:w="1077" w:type="dxa"/>
            <w:vAlign w:val="bottom"/>
          </w:tcPr>
          <w:p w14:paraId="476EE3FC"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5F88743D" w14:textId="77777777">
        <w:trPr>
          <w:cantSplit/>
        </w:trPr>
        <w:tc>
          <w:tcPr>
            <w:tcW w:w="3458" w:type="dxa"/>
            <w:tcBorders>
              <w:bottom w:val="single" w:sz="12" w:space="0" w:color="000000"/>
            </w:tcBorders>
            <w:vAlign w:val="bottom"/>
          </w:tcPr>
          <w:p w14:paraId="4E1E0689" w14:textId="77777777" w:rsidR="008E5DE4" w:rsidRDefault="00780368">
            <w:pPr>
              <w:widowControl w:val="0"/>
              <w:pBdr>
                <w:top w:val="nil"/>
                <w:left w:val="nil"/>
                <w:bottom w:val="nil"/>
                <w:right w:val="nil"/>
                <w:between w:val="nil"/>
              </w:pBdr>
              <w:spacing w:line="228" w:lineRule="auto"/>
              <w:ind w:left="113" w:right="-57" w:hanging="113"/>
              <w:rPr>
                <w:color w:val="000000"/>
                <w:sz w:val="14"/>
                <w:szCs w:val="14"/>
              </w:rPr>
            </w:pPr>
            <w:r>
              <w:rPr>
                <w:b/>
                <w:color w:val="000000"/>
                <w:sz w:val="14"/>
                <w:szCs w:val="14"/>
              </w:rPr>
              <w:t> </w:t>
            </w:r>
          </w:p>
        </w:tc>
        <w:tc>
          <w:tcPr>
            <w:tcW w:w="510" w:type="dxa"/>
            <w:tcBorders>
              <w:bottom w:val="single" w:sz="12" w:space="0" w:color="000000"/>
            </w:tcBorders>
            <w:vAlign w:val="bottom"/>
          </w:tcPr>
          <w:p w14:paraId="70ED9C58" w14:textId="77777777" w:rsidR="008E5DE4" w:rsidRDefault="008E5DE4">
            <w:pPr>
              <w:widowControl w:val="0"/>
              <w:pBdr>
                <w:top w:val="nil"/>
                <w:left w:val="nil"/>
                <w:bottom w:val="nil"/>
                <w:right w:val="nil"/>
                <w:between w:val="nil"/>
              </w:pBdr>
              <w:spacing w:line="228" w:lineRule="auto"/>
              <w:ind w:left="-57" w:right="-57"/>
              <w:jc w:val="center"/>
              <w:rPr>
                <w:color w:val="000000"/>
                <w:sz w:val="14"/>
                <w:szCs w:val="14"/>
              </w:rPr>
            </w:pPr>
          </w:p>
        </w:tc>
        <w:tc>
          <w:tcPr>
            <w:tcW w:w="1077" w:type="dxa"/>
            <w:tcBorders>
              <w:bottom w:val="single" w:sz="12" w:space="0" w:color="000000"/>
            </w:tcBorders>
            <w:vAlign w:val="bottom"/>
          </w:tcPr>
          <w:p w14:paraId="6693CF5B"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tcBorders>
              <w:bottom w:val="single" w:sz="12" w:space="0" w:color="000000"/>
            </w:tcBorders>
            <w:vAlign w:val="bottom"/>
          </w:tcPr>
          <w:p w14:paraId="4F86CBC5"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tcBorders>
              <w:bottom w:val="single" w:sz="12" w:space="0" w:color="000000"/>
            </w:tcBorders>
            <w:vAlign w:val="bottom"/>
          </w:tcPr>
          <w:p w14:paraId="01442C1F"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tcBorders>
              <w:bottom w:val="single" w:sz="12" w:space="0" w:color="000000"/>
            </w:tcBorders>
            <w:vAlign w:val="bottom"/>
          </w:tcPr>
          <w:p w14:paraId="2F5D55CA"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c>
          <w:tcPr>
            <w:tcW w:w="1077" w:type="dxa"/>
            <w:tcBorders>
              <w:bottom w:val="single" w:sz="12" w:space="0" w:color="000000"/>
            </w:tcBorders>
            <w:vAlign w:val="bottom"/>
          </w:tcPr>
          <w:p w14:paraId="2AB0E686" w14:textId="77777777" w:rsidR="008E5DE4" w:rsidRDefault="008E5DE4">
            <w:pPr>
              <w:widowControl w:val="0"/>
              <w:pBdr>
                <w:top w:val="nil"/>
                <w:left w:val="nil"/>
                <w:bottom w:val="nil"/>
                <w:right w:val="nil"/>
                <w:between w:val="nil"/>
              </w:pBdr>
              <w:spacing w:line="228" w:lineRule="auto"/>
              <w:jc w:val="right"/>
              <w:rPr>
                <w:b/>
                <w:color w:val="000000"/>
                <w:sz w:val="14"/>
                <w:szCs w:val="14"/>
              </w:rPr>
            </w:pPr>
          </w:p>
        </w:tc>
      </w:tr>
    </w:tbl>
    <w:p w14:paraId="10E02A48" w14:textId="1D83A6F4" w:rsidR="008E5DE4" w:rsidRDefault="008E5DE4">
      <w:pPr>
        <w:widowControl w:val="0"/>
        <w:pBdr>
          <w:top w:val="nil"/>
          <w:left w:val="nil"/>
          <w:bottom w:val="nil"/>
          <w:right w:val="nil"/>
          <w:between w:val="nil"/>
        </w:pBdr>
        <w:spacing w:before="200" w:after="200" w:line="228" w:lineRule="auto"/>
        <w:jc w:val="both"/>
        <w:rPr>
          <w:i/>
          <w:color w:val="FF0000"/>
          <w:sz w:val="20"/>
          <w:szCs w:val="20"/>
        </w:rPr>
      </w:pPr>
    </w:p>
    <w:p w14:paraId="02C2CD59" w14:textId="77777777" w:rsidR="008E5DE4" w:rsidRDefault="008E5DE4">
      <w:pPr>
        <w:widowControl w:val="0"/>
        <w:pBdr>
          <w:top w:val="nil"/>
          <w:left w:val="nil"/>
          <w:bottom w:val="nil"/>
          <w:right w:val="nil"/>
          <w:between w:val="nil"/>
        </w:pBdr>
        <w:spacing w:before="200" w:after="200" w:line="228" w:lineRule="auto"/>
        <w:jc w:val="both"/>
        <w:rPr>
          <w:color w:val="000000"/>
          <w:sz w:val="20"/>
          <w:szCs w:val="20"/>
        </w:rPr>
      </w:pPr>
    </w:p>
    <w:p w14:paraId="064C83DC"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33</w:t>
      </w:r>
      <w:r>
        <w:rPr>
          <w:b/>
          <w:color w:val="000000"/>
          <w:sz w:val="20"/>
          <w:szCs w:val="20"/>
        </w:rPr>
        <w:tab/>
        <w:t>[Other] Provisions for Liabilities and Charges (Continued)</w:t>
      </w:r>
    </w:p>
    <w:p w14:paraId="406B4F10" w14:textId="77777777" w:rsidR="008E5DE4" w:rsidRDefault="00780368">
      <w:pPr>
        <w:widowControl w:val="0"/>
        <w:pBdr>
          <w:top w:val="nil"/>
          <w:left w:val="nil"/>
          <w:bottom w:val="nil"/>
          <w:right w:val="nil"/>
          <w:between w:val="nil"/>
        </w:pBdr>
        <w:spacing w:before="200" w:after="200" w:line="228" w:lineRule="auto"/>
        <w:jc w:val="both"/>
        <w:rPr>
          <w:i/>
          <w:color w:val="FF0000"/>
          <w:sz w:val="20"/>
          <w:szCs w:val="20"/>
        </w:rPr>
      </w:pPr>
      <w:proofErr w:type="gramStart"/>
      <w:r>
        <w:rPr>
          <w:color w:val="000000"/>
          <w:sz w:val="20"/>
          <w:szCs w:val="20"/>
        </w:rPr>
        <w:t>All of</w:t>
      </w:r>
      <w:proofErr w:type="gramEnd"/>
      <w:r>
        <w:rPr>
          <w:color w:val="000000"/>
          <w:sz w:val="20"/>
          <w:szCs w:val="20"/>
        </w:rPr>
        <w:t xml:space="preserve"> the above provisions have been classified as current liabilities because the Group does not have an unconditional right to defer settlement beyond one year. Expected timing of the cash outflows is indicated below.</w:t>
      </w:r>
    </w:p>
    <w:p w14:paraId="6FC4F5DD" w14:textId="588A943C"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b/>
          <w:i/>
          <w:color w:val="000000"/>
          <w:sz w:val="20"/>
          <w:szCs w:val="20"/>
        </w:rPr>
        <w:t xml:space="preserve">Warranty. </w:t>
      </w:r>
      <w:r>
        <w:rPr>
          <w:color w:val="000000"/>
          <w:sz w:val="20"/>
          <w:szCs w:val="20"/>
        </w:rPr>
        <w:t xml:space="preserve">The Group provides two-year warranties on certain products and undertakes to repair or replace items that fail to perform satisfactorily. A provision of EUR ____ thousand has been recognised at the year-end for expected warranty claims based on </w:t>
      </w:r>
      <w:proofErr w:type="gramStart"/>
      <w:r>
        <w:rPr>
          <w:color w:val="000000"/>
          <w:sz w:val="20"/>
          <w:szCs w:val="20"/>
        </w:rPr>
        <w:t>past experience</w:t>
      </w:r>
      <w:proofErr w:type="gramEnd"/>
      <w:r>
        <w:rPr>
          <w:color w:val="000000"/>
          <w:sz w:val="20"/>
          <w:szCs w:val="20"/>
        </w:rPr>
        <w:t xml:space="preserve"> of the level of repairs and returns. The balance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is expected to be either fully utilised or released by the end of 20__.</w:t>
      </w:r>
    </w:p>
    <w:p w14:paraId="721900C4" w14:textId="5EA895F0" w:rsidR="008E5DE4" w:rsidRDefault="00780368">
      <w:pPr>
        <w:widowControl w:val="0"/>
        <w:pBdr>
          <w:top w:val="nil"/>
          <w:left w:val="nil"/>
          <w:bottom w:val="nil"/>
          <w:right w:val="nil"/>
          <w:between w:val="nil"/>
        </w:pBdr>
        <w:spacing w:before="200" w:after="200" w:line="228" w:lineRule="auto"/>
        <w:jc w:val="both"/>
        <w:rPr>
          <w:i/>
          <w:color w:val="FF0000"/>
          <w:sz w:val="20"/>
          <w:szCs w:val="20"/>
        </w:rPr>
      </w:pPr>
      <w:r>
        <w:rPr>
          <w:b/>
          <w:i/>
          <w:color w:val="000000"/>
          <w:sz w:val="20"/>
          <w:szCs w:val="20"/>
        </w:rPr>
        <w:t xml:space="preserve">Provision for uncertain </w:t>
      </w:r>
      <w:r>
        <w:rPr>
          <w:b/>
          <w:i/>
          <w:color w:val="0000FF"/>
          <w:sz w:val="20"/>
          <w:szCs w:val="20"/>
        </w:rPr>
        <w:t>[value added]</w:t>
      </w:r>
      <w:r>
        <w:rPr>
          <w:b/>
          <w:i/>
          <w:color w:val="000000"/>
          <w:sz w:val="20"/>
          <w:szCs w:val="20"/>
        </w:rPr>
        <w:t xml:space="preserve"> tax positions and related penalties and interest. </w:t>
      </w:r>
      <w:r>
        <w:rPr>
          <w:color w:val="000000"/>
          <w:sz w:val="20"/>
          <w:szCs w:val="20"/>
        </w:rPr>
        <w:t xml:space="preserve">Management has assessed, based on its interpretation of the relevant tax legislation, that it is probable that certain </w:t>
      </w:r>
      <w:r>
        <w:rPr>
          <w:color w:val="0000FF"/>
          <w:sz w:val="20"/>
          <w:szCs w:val="20"/>
        </w:rPr>
        <w:t>[value added]</w:t>
      </w:r>
      <w:r>
        <w:rPr>
          <w:b/>
          <w:i/>
          <w:color w:val="000000"/>
          <w:sz w:val="20"/>
          <w:szCs w:val="20"/>
        </w:rPr>
        <w:t xml:space="preserve"> </w:t>
      </w:r>
      <w:r>
        <w:rPr>
          <w:color w:val="000000"/>
          <w:sz w:val="20"/>
          <w:szCs w:val="20"/>
        </w:rPr>
        <w:t xml:space="preserve">tax positions taken by the Group would not be sustained, if challenged by the tax authorities. Accordingly, the Group has created provisions for the associated undeclared taxes and the related penalties and interest. </w:t>
      </w:r>
      <w:r>
        <w:rPr>
          <w:color w:val="0000FF"/>
          <w:sz w:val="20"/>
          <w:szCs w:val="20"/>
        </w:rPr>
        <w:t xml:space="preserve">[Insert explanation of the </w:t>
      </w:r>
      <w:r>
        <w:rPr>
          <w:color w:val="0000FF"/>
          <w:sz w:val="20"/>
          <w:szCs w:val="20"/>
          <w:u w:val="single"/>
        </w:rPr>
        <w:t>specific</w:t>
      </w:r>
      <w:r>
        <w:rPr>
          <w:color w:val="0000FF"/>
          <w:sz w:val="20"/>
          <w:szCs w:val="20"/>
        </w:rPr>
        <w:t xml:space="preserve"> tax matters; separate disclosures for taxes or situations that are different in nature].</w:t>
      </w:r>
      <w:r>
        <w:rPr>
          <w:color w:val="000000"/>
          <w:sz w:val="20"/>
          <w:szCs w:val="20"/>
        </w:rPr>
        <w:t xml:space="preserve"> The balance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is expected to be either fully utilised or released when the inspection rights of the tax authorities with respect to the relevant tax returns expire, as follows: EUR ____ thousand by the end of 202</w:t>
      </w:r>
      <w:r w:rsidR="008614F8">
        <w:rPr>
          <w:color w:val="000000"/>
          <w:sz w:val="20"/>
          <w:szCs w:val="20"/>
        </w:rPr>
        <w:t>6</w:t>
      </w:r>
      <w:r>
        <w:rPr>
          <w:color w:val="000000"/>
          <w:sz w:val="20"/>
          <w:szCs w:val="20"/>
        </w:rPr>
        <w:t>, EUR ____ thousand by the end of 202</w:t>
      </w:r>
      <w:r w:rsidR="008614F8">
        <w:rPr>
          <w:color w:val="000000"/>
          <w:sz w:val="20"/>
          <w:szCs w:val="20"/>
        </w:rPr>
        <w:t>7</w:t>
      </w:r>
      <w:r>
        <w:rPr>
          <w:color w:val="000000"/>
          <w:sz w:val="20"/>
          <w:szCs w:val="20"/>
        </w:rPr>
        <w:t xml:space="preserve"> and EUR ____ thousand by the end of 202</w:t>
      </w:r>
      <w:r w:rsidR="008614F8">
        <w:rPr>
          <w:color w:val="000000"/>
          <w:sz w:val="20"/>
          <w:szCs w:val="20"/>
        </w:rPr>
        <w:t>8</w:t>
      </w:r>
      <w:r>
        <w:rPr>
          <w:color w:val="000000"/>
          <w:sz w:val="20"/>
          <w:szCs w:val="20"/>
        </w:rPr>
        <w:t xml:space="preserve">. </w:t>
      </w:r>
    </w:p>
    <w:p w14:paraId="443F452E" w14:textId="6A83618C" w:rsidR="008E5DE4" w:rsidRDefault="00780368">
      <w:pPr>
        <w:widowControl w:val="0"/>
        <w:pBdr>
          <w:top w:val="nil"/>
          <w:left w:val="nil"/>
          <w:bottom w:val="nil"/>
          <w:right w:val="nil"/>
          <w:between w:val="nil"/>
        </w:pBdr>
        <w:spacing w:before="200" w:after="200" w:line="235" w:lineRule="auto"/>
        <w:jc w:val="both"/>
        <w:rPr>
          <w:color w:val="000000"/>
          <w:sz w:val="20"/>
          <w:szCs w:val="20"/>
        </w:rPr>
      </w:pPr>
      <w:r>
        <w:rPr>
          <w:b/>
          <w:i/>
          <w:color w:val="000000"/>
          <w:sz w:val="20"/>
          <w:szCs w:val="20"/>
        </w:rPr>
        <w:t xml:space="preserve">Legal claims. </w:t>
      </w:r>
      <w:r>
        <w:rPr>
          <w:color w:val="000000"/>
          <w:sz w:val="20"/>
          <w:szCs w:val="20"/>
        </w:rPr>
        <w:t xml:space="preserve">The provision for legal claims relates to claims brought against the Group by _____ relating to _____. The balance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is expected to be utilised by the end of 20__. In the opinion of management, after taking appropriate legal advice, the outcome of these legal claims will not give rise to any significant loss beyond the accrued amounts. </w:t>
      </w:r>
    </w:p>
    <w:p w14:paraId="275C57AC" w14:textId="2E7884DB" w:rsidR="008E5DE4" w:rsidRDefault="00780368">
      <w:pPr>
        <w:widowControl w:val="0"/>
        <w:pBdr>
          <w:top w:val="nil"/>
          <w:left w:val="nil"/>
          <w:bottom w:val="nil"/>
          <w:right w:val="nil"/>
          <w:between w:val="nil"/>
        </w:pBdr>
        <w:spacing w:before="200" w:after="200" w:line="235" w:lineRule="auto"/>
        <w:jc w:val="both"/>
        <w:rPr>
          <w:i/>
          <w:color w:val="FF0000"/>
          <w:sz w:val="20"/>
          <w:szCs w:val="20"/>
        </w:rPr>
      </w:pPr>
      <w:r>
        <w:rPr>
          <w:b/>
          <w:i/>
          <w:color w:val="000000"/>
          <w:sz w:val="20"/>
          <w:szCs w:val="20"/>
        </w:rPr>
        <w:t xml:space="preserve">Other provisions. </w:t>
      </w:r>
      <w:r>
        <w:rPr>
          <w:color w:val="000000"/>
          <w:sz w:val="20"/>
          <w:szCs w:val="20"/>
        </w:rPr>
        <w:t xml:space="preserve">Other provisions were primarily created for ______________. The balance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is expected to be utilised by the end of 20__. </w:t>
      </w:r>
    </w:p>
    <w:p w14:paraId="1C9C1B8E" w14:textId="77777777" w:rsidR="008E5DE4" w:rsidRDefault="00780368">
      <w:pPr>
        <w:widowControl w:val="0"/>
        <w:pBdr>
          <w:top w:val="nil"/>
          <w:left w:val="nil"/>
          <w:bottom w:val="nil"/>
          <w:right w:val="nil"/>
          <w:between w:val="nil"/>
        </w:pBdr>
        <w:spacing w:before="200" w:after="200" w:line="235" w:lineRule="auto"/>
        <w:jc w:val="both"/>
        <w:rPr>
          <w:color w:val="0000FF"/>
          <w:sz w:val="20"/>
          <w:szCs w:val="20"/>
        </w:rPr>
      </w:pPr>
      <w:bookmarkStart w:id="55" w:name="_heading=h.3l18frh" w:colFirst="0" w:colLast="0"/>
      <w:bookmarkEnd w:id="55"/>
      <w:r>
        <w:rPr>
          <w:color w:val="0000FF"/>
          <w:sz w:val="20"/>
          <w:szCs w:val="20"/>
        </w:rPr>
        <w:t>[Information on related party balances is disclosed in Note 8.]</w:t>
      </w:r>
    </w:p>
    <w:p w14:paraId="2BD9E7A9" w14:textId="32D8EA57" w:rsidR="008E5DE4" w:rsidRDefault="00F93586" w:rsidP="007F183E">
      <w:pPr>
        <w:pStyle w:val="Heading1"/>
        <w:pageBreakBefore/>
        <w:numPr>
          <w:ilvl w:val="0"/>
          <w:numId w:val="0"/>
        </w:numPr>
        <w:spacing w:before="240"/>
        <w:ind w:left="567" w:hanging="567"/>
      </w:pPr>
      <w:bookmarkStart w:id="56" w:name="_Toc149923633"/>
      <w:r>
        <w:lastRenderedPageBreak/>
        <w:t xml:space="preserve">34 </w:t>
      </w:r>
      <w:r>
        <w:tab/>
      </w:r>
      <w:r w:rsidR="00780368">
        <w:t>Trade and Other Payables</w:t>
      </w:r>
      <w:bookmarkEnd w:id="56"/>
      <w:r w:rsidR="00780368">
        <w:t xml:space="preserve"> </w:t>
      </w:r>
    </w:p>
    <w:p w14:paraId="61990666" w14:textId="3674FEF6"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119B0484" w14:textId="0FB4B4B5" w:rsidR="008E5DE4" w:rsidRDefault="00780368">
      <w:pPr>
        <w:widowControl w:val="0"/>
        <w:pBdr>
          <w:top w:val="nil"/>
          <w:left w:val="nil"/>
          <w:bottom w:val="nil"/>
          <w:right w:val="nil"/>
          <w:between w:val="nil"/>
        </w:pBdr>
        <w:shd w:val="clear" w:color="auto" w:fill="C6D9F1"/>
        <w:spacing w:before="200" w:after="200"/>
        <w:jc w:val="both"/>
        <w:rPr>
          <w:i/>
          <w:color w:val="FF0000"/>
          <w:sz w:val="20"/>
          <w:szCs w:val="20"/>
        </w:rPr>
      </w:pPr>
      <w:r>
        <w:rPr>
          <w:b/>
          <w:i/>
          <w:color w:val="000000"/>
          <w:sz w:val="20"/>
          <w:szCs w:val="20"/>
        </w:rPr>
        <w:t>Recognition and measurement.</w:t>
      </w:r>
      <w:r>
        <w:rPr>
          <w:color w:val="000000"/>
          <w:sz w:val="20"/>
          <w:szCs w:val="20"/>
        </w:rPr>
        <w:t xml:space="preserve"> Trade payables are accrued when the counterparty performs its obligations under the contract and are recognised initially at fair value and subsequently carried at AC using the effective interest method. </w:t>
      </w:r>
    </w:p>
    <w:p w14:paraId="030901DE" w14:textId="22854BE9"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Derecognition.</w:t>
      </w:r>
      <w:r>
        <w:rPr>
          <w:color w:val="000000"/>
          <w:sz w:val="20"/>
          <w:szCs w:val="20"/>
        </w:rPr>
        <w:t xml:space="preserve"> Trade and other payables are derecognised when they are extinguished (i.e. when the obligation specified in the contract is discharged, cancelled or expires). </w:t>
      </w:r>
    </w:p>
    <w:p w14:paraId="0B9940D2"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Loan commitments and financial guarantees.</w:t>
      </w:r>
      <w:r>
        <w:rPr>
          <w:color w:val="000000"/>
          <w:sz w:val="20"/>
          <w:szCs w:val="20"/>
        </w:rPr>
        <w:t xml:space="preserve"> Refer to Note 43 for accounting policy related to measurement of financial guarantees. Refer to Note 51 for accounting policy for determining ECL provision for loan commitments and financial guarantees. </w:t>
      </w:r>
    </w:p>
    <w:tbl>
      <w:tblPr>
        <w:tblStyle w:val="afffffffffe"/>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D4BA7" w14:paraId="02499E69" w14:textId="77777777" w:rsidTr="00803B1B">
        <w:tc>
          <w:tcPr>
            <w:tcW w:w="9571" w:type="dxa"/>
          </w:tcPr>
          <w:p w14:paraId="3923BC77" w14:textId="77777777" w:rsidR="008D4BA7" w:rsidRPr="00CF3EC7" w:rsidRDefault="008D4BA7" w:rsidP="00803B1B">
            <w:pPr>
              <w:pBdr>
                <w:top w:val="nil"/>
                <w:left w:val="nil"/>
                <w:bottom w:val="nil"/>
                <w:right w:val="nil"/>
                <w:between w:val="nil"/>
              </w:pBdr>
              <w:spacing w:after="240"/>
              <w:rPr>
                <w:b/>
                <w:i/>
                <w:color w:val="000000"/>
                <w:sz w:val="20"/>
                <w:szCs w:val="20"/>
              </w:rPr>
            </w:pPr>
            <w:r w:rsidRPr="00CF3EC7">
              <w:rPr>
                <w:b/>
                <w:i/>
                <w:color w:val="000000"/>
                <w:sz w:val="20"/>
                <w:szCs w:val="20"/>
              </w:rPr>
              <w:t>Critical Accounting Estimates and Judgments in Applying Accounting Policies</w:t>
            </w:r>
          </w:p>
          <w:p w14:paraId="2711D42A" w14:textId="7BAE19E4" w:rsidR="00E939BE" w:rsidRDefault="00B034AB" w:rsidP="00B034AB">
            <w:pPr>
              <w:rPr>
                <w:b/>
                <w:i/>
                <w:sz w:val="20"/>
                <w:szCs w:val="20"/>
              </w:rPr>
            </w:pPr>
            <w:r w:rsidRPr="00CF3EC7">
              <w:rPr>
                <w:b/>
                <w:i/>
                <w:sz w:val="20"/>
                <w:szCs w:val="20"/>
              </w:rPr>
              <w:t>Significant judgement – supplier finance arrangement</w:t>
            </w:r>
            <w:r w:rsidR="0033095C">
              <w:rPr>
                <w:b/>
                <w:i/>
                <w:sz w:val="20"/>
                <w:szCs w:val="20"/>
              </w:rPr>
              <w:t>.</w:t>
            </w:r>
          </w:p>
          <w:p w14:paraId="7E87F1E9" w14:textId="77777777" w:rsidR="0033095C" w:rsidRDefault="0033095C" w:rsidP="00B034AB">
            <w:pPr>
              <w:rPr>
                <w:b/>
                <w:i/>
                <w:sz w:val="20"/>
                <w:szCs w:val="20"/>
              </w:rPr>
            </w:pPr>
          </w:p>
          <w:p w14:paraId="3C9ED025" w14:textId="77777777" w:rsidR="0033095C" w:rsidRDefault="0033095C" w:rsidP="0033095C">
            <w:pPr>
              <w:rPr>
                <w:sz w:val="20"/>
                <w:szCs w:val="20"/>
              </w:rPr>
            </w:pPr>
            <w:r w:rsidRPr="0033095C">
              <w:rPr>
                <w:sz w:val="20"/>
                <w:szCs w:val="20"/>
              </w:rPr>
              <w:t>Management applies judgement:</w:t>
            </w:r>
          </w:p>
          <w:p w14:paraId="439748A9" w14:textId="77777777" w:rsidR="0033095C" w:rsidRPr="0033095C" w:rsidRDefault="0033095C" w:rsidP="0033095C">
            <w:pPr>
              <w:rPr>
                <w:sz w:val="20"/>
                <w:szCs w:val="20"/>
              </w:rPr>
            </w:pPr>
          </w:p>
          <w:p w14:paraId="33A3E77F" w14:textId="5F6C28F9" w:rsidR="0033095C" w:rsidRPr="0033095C" w:rsidRDefault="0033095C" w:rsidP="0033095C">
            <w:pPr>
              <w:pStyle w:val="ListParagraph"/>
              <w:numPr>
                <w:ilvl w:val="0"/>
                <w:numId w:val="43"/>
              </w:numPr>
              <w:rPr>
                <w:sz w:val="20"/>
                <w:szCs w:val="20"/>
              </w:rPr>
            </w:pPr>
            <w:r w:rsidRPr="0033095C">
              <w:rPr>
                <w:sz w:val="20"/>
                <w:szCs w:val="20"/>
              </w:rPr>
              <w:t xml:space="preserve">to assess whether the original trade payables should be derecognised and the new liability to a finance provider should be </w:t>
            </w:r>
            <w:proofErr w:type="gramStart"/>
            <w:r w:rsidRPr="0033095C">
              <w:rPr>
                <w:sz w:val="20"/>
                <w:szCs w:val="20"/>
              </w:rPr>
              <w:t>recognised;</w:t>
            </w:r>
            <w:proofErr w:type="gramEnd"/>
            <w:r w:rsidRPr="0033095C">
              <w:rPr>
                <w:sz w:val="20"/>
                <w:szCs w:val="20"/>
              </w:rPr>
              <w:t xml:space="preserve"> </w:t>
            </w:r>
          </w:p>
          <w:p w14:paraId="31F4B4A0" w14:textId="240BB61D" w:rsidR="0033095C" w:rsidRPr="0033095C" w:rsidRDefault="0033095C" w:rsidP="0033095C">
            <w:pPr>
              <w:pStyle w:val="ListParagraph"/>
              <w:numPr>
                <w:ilvl w:val="0"/>
                <w:numId w:val="43"/>
              </w:numPr>
              <w:rPr>
                <w:sz w:val="20"/>
                <w:szCs w:val="20"/>
              </w:rPr>
            </w:pPr>
            <w:r w:rsidRPr="0033095C">
              <w:rPr>
                <w:sz w:val="20"/>
                <w:szCs w:val="20"/>
              </w:rPr>
              <w:t>in respect of the presentation of the liability from the supplier finance arrangement</w:t>
            </w:r>
            <w:r>
              <w:rPr>
                <w:sz w:val="20"/>
                <w:szCs w:val="20"/>
              </w:rPr>
              <w:t>s</w:t>
            </w:r>
            <w:r w:rsidRPr="0033095C">
              <w:rPr>
                <w:sz w:val="20"/>
                <w:szCs w:val="20"/>
              </w:rPr>
              <w:t xml:space="preserve"> in the statement of financial </w:t>
            </w:r>
            <w:proofErr w:type="gramStart"/>
            <w:r w:rsidRPr="0033095C">
              <w:rPr>
                <w:sz w:val="20"/>
                <w:szCs w:val="20"/>
              </w:rPr>
              <w:t>position;</w:t>
            </w:r>
            <w:proofErr w:type="gramEnd"/>
            <w:r w:rsidRPr="0033095C">
              <w:rPr>
                <w:sz w:val="20"/>
                <w:szCs w:val="20"/>
              </w:rPr>
              <w:t xml:space="preserve"> </w:t>
            </w:r>
          </w:p>
          <w:p w14:paraId="13C22E87" w14:textId="7F550E53" w:rsidR="0033095C" w:rsidRPr="0033095C" w:rsidRDefault="0033095C" w:rsidP="0033095C">
            <w:pPr>
              <w:pStyle w:val="ListParagraph"/>
              <w:numPr>
                <w:ilvl w:val="0"/>
                <w:numId w:val="43"/>
              </w:numPr>
              <w:rPr>
                <w:sz w:val="20"/>
                <w:szCs w:val="20"/>
              </w:rPr>
            </w:pPr>
            <w:r w:rsidRPr="0033095C">
              <w:rPr>
                <w:sz w:val="20"/>
                <w:szCs w:val="20"/>
              </w:rPr>
              <w:t>in respect of the presentation of the related items in the statement of cash flows.</w:t>
            </w:r>
          </w:p>
          <w:p w14:paraId="22CA4AA8" w14:textId="77777777" w:rsidR="004A07DC" w:rsidRPr="00CF3EC7" w:rsidRDefault="004A07DC" w:rsidP="00B034AB">
            <w:pPr>
              <w:rPr>
                <w:b/>
                <w:i/>
                <w:sz w:val="20"/>
                <w:szCs w:val="20"/>
              </w:rPr>
            </w:pPr>
          </w:p>
          <w:p w14:paraId="2B01E20C" w14:textId="46B1EB81" w:rsidR="00E939BE" w:rsidRPr="00CF3EC7" w:rsidRDefault="001466A4" w:rsidP="007F183E">
            <w:pPr>
              <w:rPr>
                <w:rFonts w:ascii="Calibri" w:hAnsi="Calibri" w:cs="Calibri"/>
                <w:color w:val="0563C1"/>
                <w:sz w:val="22"/>
                <w:szCs w:val="22"/>
                <w:u w:val="single"/>
                <w:lang w:eastAsia="en-GB"/>
              </w:rPr>
            </w:pPr>
            <w:r w:rsidRPr="00CF3EC7">
              <w:rPr>
                <w:color w:val="0000FF"/>
                <w:sz w:val="20"/>
                <w:szCs w:val="20"/>
              </w:rPr>
              <w:t>[</w:t>
            </w:r>
            <w:r w:rsidR="00E939BE" w:rsidRPr="00CF3EC7">
              <w:rPr>
                <w:color w:val="0000FF"/>
                <w:sz w:val="20"/>
                <w:szCs w:val="20"/>
              </w:rPr>
              <w:t xml:space="preserve">For the purpose of the consolidated statement of cash flows, management considers that the bank settles the invoices as a payment agent on behalf of the Group. The payments made by the bank are therefore presented as operating cash outflow and financing cash inflow. When the Group subsequently pays the amount outstanding to the bank, this is presented as a financing cash outflow. </w:t>
            </w:r>
            <w:proofErr w:type="gramStart"/>
            <w:r w:rsidR="00E939BE" w:rsidRPr="00CF3EC7">
              <w:rPr>
                <w:color w:val="0000FF"/>
                <w:sz w:val="20"/>
                <w:szCs w:val="20"/>
              </w:rPr>
              <w:t>As a consequence</w:t>
            </w:r>
            <w:proofErr w:type="gramEnd"/>
            <w:r w:rsidR="00E939BE" w:rsidRPr="00CF3EC7">
              <w:rPr>
                <w:color w:val="0000FF"/>
                <w:sz w:val="20"/>
                <w:szCs w:val="20"/>
              </w:rPr>
              <w:t>, the payables under supplier finance arrangements are included in the reconciliation of liabilities arising from financing activities in Note 29.</w:t>
            </w:r>
            <w:r w:rsidRPr="00CF3EC7">
              <w:rPr>
                <w:color w:val="0000FF"/>
                <w:sz w:val="20"/>
                <w:szCs w:val="20"/>
              </w:rPr>
              <w:t>]</w:t>
            </w:r>
          </w:p>
        </w:tc>
      </w:tr>
    </w:tbl>
    <w:p w14:paraId="25E9B77B" w14:textId="77777777" w:rsidR="00CF3EC7" w:rsidRDefault="00CF3EC7">
      <w:pPr>
        <w:jc w:val="both"/>
        <w:rPr>
          <w:b/>
          <w:i/>
          <w:color w:val="000000"/>
          <w:sz w:val="20"/>
          <w:szCs w:val="20"/>
        </w:rPr>
      </w:pPr>
    </w:p>
    <w:p w14:paraId="66DFE825" w14:textId="77777777" w:rsidR="00CF3EC7" w:rsidRDefault="00CF3EC7" w:rsidP="00CF3EC7">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34</w:t>
      </w:r>
      <w:r>
        <w:rPr>
          <w:b/>
          <w:color w:val="000000"/>
          <w:sz w:val="20"/>
          <w:szCs w:val="20"/>
        </w:rPr>
        <w:tab/>
        <w:t>Trade and Other Payables (Continued)</w:t>
      </w:r>
    </w:p>
    <w:p w14:paraId="7381E095" w14:textId="77777777" w:rsidR="00CF3EC7" w:rsidRDefault="00CF3EC7">
      <w:pPr>
        <w:jc w:val="both"/>
        <w:rPr>
          <w:b/>
          <w:i/>
          <w:color w:val="000000"/>
          <w:sz w:val="20"/>
          <w:szCs w:val="20"/>
        </w:rPr>
      </w:pPr>
    </w:p>
    <w:p w14:paraId="050A91DA" w14:textId="77777777" w:rsidR="008D4BA7" w:rsidRDefault="008D4BA7">
      <w:pPr>
        <w:jc w:val="both"/>
      </w:pPr>
    </w:p>
    <w:tbl>
      <w:tblPr>
        <w:tblStyle w:val="affffffffff0"/>
        <w:tblW w:w="9355" w:type="dxa"/>
        <w:tblLayout w:type="fixed"/>
        <w:tblLook w:val="0000" w:firstRow="0" w:lastRow="0" w:firstColumn="0" w:lastColumn="0" w:noHBand="0" w:noVBand="0"/>
      </w:tblPr>
      <w:tblGrid>
        <w:gridCol w:w="5578"/>
        <w:gridCol w:w="565"/>
        <w:gridCol w:w="1465"/>
        <w:gridCol w:w="26"/>
        <w:gridCol w:w="1478"/>
        <w:gridCol w:w="20"/>
        <w:gridCol w:w="111"/>
        <w:gridCol w:w="112"/>
      </w:tblGrid>
      <w:tr w:rsidR="008E5DE4" w14:paraId="3416A3E6" w14:textId="77777777">
        <w:trPr>
          <w:gridAfter w:val="2"/>
          <w:wAfter w:w="223" w:type="dxa"/>
          <w:cantSplit/>
        </w:trPr>
        <w:tc>
          <w:tcPr>
            <w:tcW w:w="5578" w:type="dxa"/>
            <w:tcBorders>
              <w:bottom w:val="single" w:sz="4" w:space="0" w:color="000000"/>
            </w:tcBorders>
            <w:vAlign w:val="bottom"/>
          </w:tcPr>
          <w:p w14:paraId="0B6701A0"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565" w:type="dxa"/>
            <w:tcBorders>
              <w:bottom w:val="single" w:sz="4" w:space="0" w:color="000000"/>
            </w:tcBorders>
            <w:vAlign w:val="bottom"/>
          </w:tcPr>
          <w:p w14:paraId="09B61A9A"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491" w:type="dxa"/>
            <w:gridSpan w:val="2"/>
            <w:tcBorders>
              <w:bottom w:val="single" w:sz="4" w:space="0" w:color="000000"/>
            </w:tcBorders>
            <w:vAlign w:val="bottom"/>
          </w:tcPr>
          <w:p w14:paraId="2A273C02" w14:textId="2F27EEA0" w:rsidR="008E5DE4" w:rsidRDefault="008614F8">
            <w:pPr>
              <w:widowControl w:val="0"/>
              <w:pBdr>
                <w:top w:val="nil"/>
                <w:left w:val="nil"/>
                <w:bottom w:val="nil"/>
                <w:right w:val="nil"/>
                <w:between w:val="nil"/>
              </w:pBdr>
              <w:jc w:val="right"/>
              <w:rPr>
                <w:b/>
                <w:color w:val="000000"/>
              </w:rPr>
            </w:pPr>
            <w:r>
              <w:rPr>
                <w:b/>
                <w:color w:val="000000"/>
              </w:rPr>
              <w:t>2025</w:t>
            </w:r>
          </w:p>
        </w:tc>
        <w:tc>
          <w:tcPr>
            <w:tcW w:w="1498" w:type="dxa"/>
            <w:gridSpan w:val="2"/>
            <w:tcBorders>
              <w:bottom w:val="single" w:sz="4" w:space="0" w:color="000000"/>
            </w:tcBorders>
            <w:vAlign w:val="bottom"/>
          </w:tcPr>
          <w:p w14:paraId="3E35E172" w14:textId="7DC42AA3" w:rsidR="008E5DE4" w:rsidRDefault="00E06A92">
            <w:pPr>
              <w:widowControl w:val="0"/>
              <w:pBdr>
                <w:top w:val="nil"/>
                <w:left w:val="nil"/>
                <w:bottom w:val="nil"/>
                <w:right w:val="nil"/>
                <w:between w:val="nil"/>
              </w:pBdr>
              <w:jc w:val="right"/>
              <w:rPr>
                <w:b/>
                <w:color w:val="000000"/>
              </w:rPr>
            </w:pPr>
            <w:r>
              <w:rPr>
                <w:b/>
                <w:color w:val="000000"/>
              </w:rPr>
              <w:t>2024</w:t>
            </w:r>
            <w:r w:rsidR="00780368">
              <w:rPr>
                <w:b/>
                <w:color w:val="000000"/>
              </w:rPr>
              <w:t xml:space="preserve"> </w:t>
            </w:r>
          </w:p>
        </w:tc>
      </w:tr>
      <w:tr w:rsidR="008E5DE4" w14:paraId="462C996D" w14:textId="77777777">
        <w:trPr>
          <w:gridAfter w:val="2"/>
          <w:wAfter w:w="223" w:type="dxa"/>
          <w:cantSplit/>
        </w:trPr>
        <w:tc>
          <w:tcPr>
            <w:tcW w:w="5578" w:type="dxa"/>
            <w:tcBorders>
              <w:top w:val="single" w:sz="4" w:space="0" w:color="000000"/>
            </w:tcBorders>
            <w:vAlign w:val="bottom"/>
          </w:tcPr>
          <w:p w14:paraId="639A89AA" w14:textId="77777777" w:rsidR="008E5DE4" w:rsidRDefault="00780368">
            <w:pPr>
              <w:widowControl w:val="0"/>
              <w:pBdr>
                <w:top w:val="nil"/>
                <w:left w:val="nil"/>
                <w:bottom w:val="nil"/>
                <w:right w:val="nil"/>
                <w:between w:val="nil"/>
              </w:pBdr>
              <w:ind w:left="113" w:right="-57" w:hanging="113"/>
              <w:rPr>
                <w:i/>
                <w:color w:val="000000"/>
              </w:rPr>
            </w:pPr>
            <w:r>
              <w:rPr>
                <w:b/>
                <w:color w:val="000000"/>
              </w:rPr>
              <w:t> </w:t>
            </w:r>
          </w:p>
        </w:tc>
        <w:tc>
          <w:tcPr>
            <w:tcW w:w="565" w:type="dxa"/>
            <w:tcBorders>
              <w:top w:val="single" w:sz="4" w:space="0" w:color="000000"/>
            </w:tcBorders>
            <w:vAlign w:val="bottom"/>
          </w:tcPr>
          <w:p w14:paraId="3AA03A2A"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tcBorders>
              <w:top w:val="single" w:sz="4" w:space="0" w:color="000000"/>
            </w:tcBorders>
            <w:vAlign w:val="bottom"/>
          </w:tcPr>
          <w:p w14:paraId="2FE43D51" w14:textId="77777777" w:rsidR="008E5DE4" w:rsidRDefault="008E5DE4">
            <w:pPr>
              <w:widowControl w:val="0"/>
              <w:pBdr>
                <w:top w:val="nil"/>
                <w:left w:val="nil"/>
                <w:bottom w:val="nil"/>
                <w:right w:val="nil"/>
                <w:between w:val="nil"/>
              </w:pBdr>
              <w:jc w:val="right"/>
              <w:rPr>
                <w:color w:val="000000"/>
              </w:rPr>
            </w:pPr>
          </w:p>
        </w:tc>
        <w:tc>
          <w:tcPr>
            <w:tcW w:w="1498" w:type="dxa"/>
            <w:gridSpan w:val="2"/>
            <w:tcBorders>
              <w:top w:val="single" w:sz="4" w:space="0" w:color="000000"/>
            </w:tcBorders>
            <w:vAlign w:val="bottom"/>
          </w:tcPr>
          <w:p w14:paraId="62112105" w14:textId="77777777" w:rsidR="008E5DE4" w:rsidRDefault="008E5DE4">
            <w:pPr>
              <w:widowControl w:val="0"/>
              <w:pBdr>
                <w:top w:val="nil"/>
                <w:left w:val="nil"/>
                <w:bottom w:val="nil"/>
                <w:right w:val="nil"/>
                <w:between w:val="nil"/>
              </w:pBdr>
              <w:jc w:val="right"/>
              <w:rPr>
                <w:color w:val="000000"/>
              </w:rPr>
            </w:pPr>
          </w:p>
        </w:tc>
      </w:tr>
      <w:tr w:rsidR="008E5DE4" w14:paraId="184159F3" w14:textId="77777777">
        <w:trPr>
          <w:gridAfter w:val="2"/>
          <w:wAfter w:w="223" w:type="dxa"/>
          <w:cantSplit/>
        </w:trPr>
        <w:tc>
          <w:tcPr>
            <w:tcW w:w="5578" w:type="dxa"/>
            <w:vAlign w:val="bottom"/>
          </w:tcPr>
          <w:p w14:paraId="3806D7EB" w14:textId="77777777" w:rsidR="008E5DE4" w:rsidRDefault="00780368">
            <w:pPr>
              <w:widowControl w:val="0"/>
              <w:pBdr>
                <w:top w:val="nil"/>
                <w:left w:val="nil"/>
                <w:bottom w:val="nil"/>
                <w:right w:val="nil"/>
                <w:between w:val="nil"/>
              </w:pBdr>
              <w:ind w:left="113" w:right="-57" w:hanging="113"/>
              <w:rPr>
                <w:color w:val="000000"/>
              </w:rPr>
            </w:pPr>
            <w:r>
              <w:rPr>
                <w:color w:val="000000"/>
              </w:rPr>
              <w:t>Trade payables</w:t>
            </w:r>
          </w:p>
        </w:tc>
        <w:tc>
          <w:tcPr>
            <w:tcW w:w="565" w:type="dxa"/>
            <w:vAlign w:val="bottom"/>
          </w:tcPr>
          <w:p w14:paraId="79962CBB"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113F0463"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39980695" w14:textId="77777777" w:rsidR="008E5DE4" w:rsidRDefault="008E5DE4">
            <w:pPr>
              <w:widowControl w:val="0"/>
              <w:pBdr>
                <w:top w:val="nil"/>
                <w:left w:val="nil"/>
                <w:bottom w:val="nil"/>
                <w:right w:val="nil"/>
                <w:between w:val="nil"/>
              </w:pBdr>
              <w:jc w:val="right"/>
              <w:rPr>
                <w:color w:val="000000"/>
              </w:rPr>
            </w:pPr>
          </w:p>
        </w:tc>
      </w:tr>
      <w:tr w:rsidR="008E5DE4" w14:paraId="29320B12" w14:textId="77777777">
        <w:trPr>
          <w:gridAfter w:val="2"/>
          <w:wAfter w:w="223" w:type="dxa"/>
          <w:cantSplit/>
        </w:trPr>
        <w:tc>
          <w:tcPr>
            <w:tcW w:w="5578" w:type="dxa"/>
            <w:vAlign w:val="bottom"/>
          </w:tcPr>
          <w:p w14:paraId="1E246E43" w14:textId="77777777" w:rsidR="008E5DE4" w:rsidRDefault="00780368">
            <w:pPr>
              <w:widowControl w:val="0"/>
              <w:pBdr>
                <w:top w:val="nil"/>
                <w:left w:val="nil"/>
                <w:bottom w:val="nil"/>
                <w:right w:val="nil"/>
                <w:between w:val="nil"/>
              </w:pBdr>
              <w:ind w:left="113" w:right="-57" w:hanging="113"/>
              <w:rPr>
                <w:color w:val="000000"/>
              </w:rPr>
            </w:pPr>
            <w:r>
              <w:rPr>
                <w:color w:val="000000"/>
              </w:rPr>
              <w:t>Liabilities for purchased property, plant and equipment</w:t>
            </w:r>
          </w:p>
        </w:tc>
        <w:tc>
          <w:tcPr>
            <w:tcW w:w="565" w:type="dxa"/>
            <w:vAlign w:val="bottom"/>
          </w:tcPr>
          <w:p w14:paraId="76A6AF8B"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73A951F7"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41BA7547" w14:textId="77777777" w:rsidR="008E5DE4" w:rsidRDefault="008E5DE4">
            <w:pPr>
              <w:widowControl w:val="0"/>
              <w:pBdr>
                <w:top w:val="nil"/>
                <w:left w:val="nil"/>
                <w:bottom w:val="nil"/>
                <w:right w:val="nil"/>
                <w:between w:val="nil"/>
              </w:pBdr>
              <w:jc w:val="right"/>
              <w:rPr>
                <w:color w:val="000000"/>
              </w:rPr>
            </w:pPr>
          </w:p>
        </w:tc>
      </w:tr>
      <w:tr w:rsidR="008E5DE4" w14:paraId="4C557557" w14:textId="77777777">
        <w:trPr>
          <w:gridAfter w:val="2"/>
          <w:wAfter w:w="223" w:type="dxa"/>
          <w:cantSplit/>
        </w:trPr>
        <w:tc>
          <w:tcPr>
            <w:tcW w:w="5578" w:type="dxa"/>
            <w:vAlign w:val="bottom"/>
          </w:tcPr>
          <w:p w14:paraId="7FDF890D" w14:textId="77777777" w:rsidR="008E5DE4" w:rsidRDefault="00780368">
            <w:pPr>
              <w:widowControl w:val="0"/>
              <w:pBdr>
                <w:top w:val="nil"/>
                <w:left w:val="nil"/>
                <w:bottom w:val="nil"/>
                <w:right w:val="nil"/>
                <w:between w:val="nil"/>
              </w:pBdr>
              <w:ind w:left="113" w:right="-57" w:hanging="113"/>
              <w:rPr>
                <w:color w:val="000000"/>
              </w:rPr>
            </w:pPr>
            <w:r>
              <w:rPr>
                <w:color w:val="000000"/>
              </w:rPr>
              <w:t>Liabilities for purchased intangible assets</w:t>
            </w:r>
          </w:p>
        </w:tc>
        <w:tc>
          <w:tcPr>
            <w:tcW w:w="565" w:type="dxa"/>
            <w:vAlign w:val="bottom"/>
          </w:tcPr>
          <w:p w14:paraId="3D99BDEB"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4E17C67F"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0126E615" w14:textId="77777777" w:rsidR="008E5DE4" w:rsidRDefault="008E5DE4">
            <w:pPr>
              <w:widowControl w:val="0"/>
              <w:pBdr>
                <w:top w:val="nil"/>
                <w:left w:val="nil"/>
                <w:bottom w:val="nil"/>
                <w:right w:val="nil"/>
                <w:between w:val="nil"/>
              </w:pBdr>
              <w:jc w:val="right"/>
              <w:rPr>
                <w:color w:val="000000"/>
              </w:rPr>
            </w:pPr>
          </w:p>
        </w:tc>
      </w:tr>
      <w:tr w:rsidR="008E5DE4" w14:paraId="63FFD43F" w14:textId="77777777">
        <w:trPr>
          <w:gridAfter w:val="2"/>
          <w:wAfter w:w="223" w:type="dxa"/>
          <w:cantSplit/>
        </w:trPr>
        <w:tc>
          <w:tcPr>
            <w:tcW w:w="5578" w:type="dxa"/>
            <w:vAlign w:val="bottom"/>
          </w:tcPr>
          <w:p w14:paraId="05836FEA" w14:textId="77777777" w:rsidR="008E5DE4" w:rsidRDefault="00780368">
            <w:pPr>
              <w:widowControl w:val="0"/>
              <w:pBdr>
                <w:top w:val="nil"/>
                <w:left w:val="nil"/>
                <w:bottom w:val="nil"/>
                <w:right w:val="nil"/>
                <w:between w:val="nil"/>
              </w:pBdr>
              <w:ind w:left="113" w:right="-57" w:hanging="113"/>
              <w:rPr>
                <w:color w:val="000000"/>
              </w:rPr>
            </w:pPr>
            <w:r>
              <w:rPr>
                <w:color w:val="000000"/>
              </w:rPr>
              <w:t>Bills of exchange payable</w:t>
            </w:r>
          </w:p>
        </w:tc>
        <w:tc>
          <w:tcPr>
            <w:tcW w:w="565" w:type="dxa"/>
            <w:vAlign w:val="bottom"/>
          </w:tcPr>
          <w:p w14:paraId="1E6912C4"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4001A9DE"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1ADE7A20" w14:textId="77777777" w:rsidR="008E5DE4" w:rsidRDefault="008E5DE4">
            <w:pPr>
              <w:widowControl w:val="0"/>
              <w:pBdr>
                <w:top w:val="nil"/>
                <w:left w:val="nil"/>
                <w:bottom w:val="nil"/>
                <w:right w:val="nil"/>
                <w:between w:val="nil"/>
              </w:pBdr>
              <w:jc w:val="right"/>
              <w:rPr>
                <w:color w:val="000000"/>
              </w:rPr>
            </w:pPr>
          </w:p>
        </w:tc>
      </w:tr>
      <w:tr w:rsidR="008E5DE4" w14:paraId="69329C25" w14:textId="77777777">
        <w:trPr>
          <w:gridAfter w:val="2"/>
          <w:wAfter w:w="223" w:type="dxa"/>
          <w:cantSplit/>
        </w:trPr>
        <w:tc>
          <w:tcPr>
            <w:tcW w:w="5578" w:type="dxa"/>
            <w:vAlign w:val="bottom"/>
          </w:tcPr>
          <w:p w14:paraId="687E5EA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Payables to associates </w:t>
            </w:r>
          </w:p>
        </w:tc>
        <w:tc>
          <w:tcPr>
            <w:tcW w:w="565" w:type="dxa"/>
            <w:vAlign w:val="bottom"/>
          </w:tcPr>
          <w:p w14:paraId="53034BB2"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407BC9A0"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67F2D06C" w14:textId="77777777" w:rsidR="008E5DE4" w:rsidRDefault="008E5DE4">
            <w:pPr>
              <w:widowControl w:val="0"/>
              <w:pBdr>
                <w:top w:val="nil"/>
                <w:left w:val="nil"/>
                <w:bottom w:val="nil"/>
                <w:right w:val="nil"/>
                <w:between w:val="nil"/>
              </w:pBdr>
              <w:jc w:val="right"/>
              <w:rPr>
                <w:color w:val="000000"/>
              </w:rPr>
            </w:pPr>
          </w:p>
        </w:tc>
      </w:tr>
      <w:tr w:rsidR="008E5DE4" w14:paraId="5FE856C2" w14:textId="77777777">
        <w:trPr>
          <w:gridAfter w:val="2"/>
          <w:wAfter w:w="223" w:type="dxa"/>
          <w:cantSplit/>
        </w:trPr>
        <w:tc>
          <w:tcPr>
            <w:tcW w:w="5578" w:type="dxa"/>
            <w:vAlign w:val="bottom"/>
          </w:tcPr>
          <w:p w14:paraId="559D1A45" w14:textId="77777777" w:rsidR="008E5DE4" w:rsidRDefault="00780368">
            <w:pPr>
              <w:widowControl w:val="0"/>
              <w:pBdr>
                <w:top w:val="nil"/>
                <w:left w:val="nil"/>
                <w:bottom w:val="nil"/>
                <w:right w:val="nil"/>
                <w:between w:val="nil"/>
              </w:pBdr>
              <w:ind w:left="113" w:right="-57" w:hanging="113"/>
              <w:rPr>
                <w:color w:val="000000"/>
              </w:rPr>
            </w:pPr>
            <w:r>
              <w:rPr>
                <w:color w:val="000000"/>
              </w:rPr>
              <w:t>Dividends payable</w:t>
            </w:r>
          </w:p>
        </w:tc>
        <w:tc>
          <w:tcPr>
            <w:tcW w:w="565" w:type="dxa"/>
            <w:vAlign w:val="bottom"/>
          </w:tcPr>
          <w:p w14:paraId="0705B950" w14:textId="77777777" w:rsidR="008E5DE4" w:rsidRDefault="00780368">
            <w:pPr>
              <w:widowControl w:val="0"/>
              <w:pBdr>
                <w:top w:val="nil"/>
                <w:left w:val="nil"/>
                <w:bottom w:val="nil"/>
                <w:right w:val="nil"/>
                <w:between w:val="nil"/>
              </w:pBdr>
              <w:ind w:left="-57" w:right="-57"/>
              <w:jc w:val="center"/>
              <w:rPr>
                <w:color w:val="000000"/>
              </w:rPr>
            </w:pPr>
            <w:r>
              <w:rPr>
                <w:color w:val="000000"/>
              </w:rPr>
              <w:t>26</w:t>
            </w:r>
          </w:p>
        </w:tc>
        <w:tc>
          <w:tcPr>
            <w:tcW w:w="1491" w:type="dxa"/>
            <w:gridSpan w:val="2"/>
            <w:vAlign w:val="bottom"/>
          </w:tcPr>
          <w:p w14:paraId="01A2E94A"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61DC6A56" w14:textId="77777777" w:rsidR="008E5DE4" w:rsidRDefault="008E5DE4">
            <w:pPr>
              <w:widowControl w:val="0"/>
              <w:pBdr>
                <w:top w:val="nil"/>
                <w:left w:val="nil"/>
                <w:bottom w:val="nil"/>
                <w:right w:val="nil"/>
                <w:between w:val="nil"/>
              </w:pBdr>
              <w:jc w:val="right"/>
              <w:rPr>
                <w:color w:val="000000"/>
              </w:rPr>
            </w:pPr>
          </w:p>
        </w:tc>
      </w:tr>
      <w:tr w:rsidR="008E5DE4" w14:paraId="1BDFE91F" w14:textId="77777777">
        <w:trPr>
          <w:gridAfter w:val="1"/>
          <w:wAfter w:w="112" w:type="dxa"/>
          <w:cantSplit/>
        </w:trPr>
        <w:tc>
          <w:tcPr>
            <w:tcW w:w="5578" w:type="dxa"/>
            <w:vAlign w:val="bottom"/>
          </w:tcPr>
          <w:p w14:paraId="6F553CE5" w14:textId="56F450AC" w:rsidR="008E5DE4" w:rsidRDefault="00780368">
            <w:pPr>
              <w:widowControl w:val="0"/>
              <w:pBdr>
                <w:top w:val="nil"/>
                <w:left w:val="nil"/>
                <w:bottom w:val="nil"/>
                <w:right w:val="nil"/>
                <w:between w:val="nil"/>
              </w:pBdr>
              <w:ind w:left="113" w:right="-57" w:hanging="113"/>
              <w:rPr>
                <w:color w:val="000000"/>
              </w:rPr>
            </w:pPr>
            <w:r>
              <w:rPr>
                <w:color w:val="000000"/>
              </w:rPr>
              <w:t>Payables under supplier finance arrangement</w:t>
            </w:r>
            <w:r w:rsidR="00AF148B">
              <w:rPr>
                <w:color w:val="000000"/>
              </w:rPr>
              <w:t xml:space="preserve"> </w:t>
            </w:r>
          </w:p>
        </w:tc>
        <w:tc>
          <w:tcPr>
            <w:tcW w:w="565" w:type="dxa"/>
            <w:vAlign w:val="bottom"/>
          </w:tcPr>
          <w:p w14:paraId="340E1707"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1B962882" w14:textId="77777777" w:rsidR="008E5DE4" w:rsidRDefault="008E5DE4">
            <w:pPr>
              <w:widowControl w:val="0"/>
              <w:pBdr>
                <w:top w:val="nil"/>
                <w:left w:val="nil"/>
                <w:bottom w:val="nil"/>
                <w:right w:val="nil"/>
                <w:between w:val="nil"/>
              </w:pBdr>
              <w:jc w:val="right"/>
              <w:rPr>
                <w:color w:val="000000"/>
              </w:rPr>
            </w:pPr>
          </w:p>
        </w:tc>
        <w:tc>
          <w:tcPr>
            <w:tcW w:w="1609" w:type="dxa"/>
            <w:gridSpan w:val="3"/>
            <w:vAlign w:val="bottom"/>
          </w:tcPr>
          <w:p w14:paraId="6A9CC935" w14:textId="77777777" w:rsidR="008E5DE4" w:rsidRDefault="008E5DE4">
            <w:pPr>
              <w:widowControl w:val="0"/>
              <w:pBdr>
                <w:top w:val="nil"/>
                <w:left w:val="nil"/>
                <w:bottom w:val="nil"/>
                <w:right w:val="nil"/>
                <w:between w:val="nil"/>
              </w:pBdr>
              <w:jc w:val="right"/>
              <w:rPr>
                <w:color w:val="000000"/>
              </w:rPr>
            </w:pPr>
          </w:p>
        </w:tc>
      </w:tr>
      <w:tr w:rsidR="008E5DE4" w14:paraId="7462EFDD" w14:textId="77777777">
        <w:trPr>
          <w:gridAfter w:val="2"/>
          <w:wAfter w:w="223" w:type="dxa"/>
          <w:cantSplit/>
        </w:trPr>
        <w:tc>
          <w:tcPr>
            <w:tcW w:w="5578" w:type="dxa"/>
            <w:vAlign w:val="bottom"/>
          </w:tcPr>
          <w:p w14:paraId="77FF0F31"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Accrued liabilities and other creditors</w:t>
            </w:r>
          </w:p>
        </w:tc>
        <w:tc>
          <w:tcPr>
            <w:tcW w:w="565" w:type="dxa"/>
            <w:vAlign w:val="bottom"/>
          </w:tcPr>
          <w:p w14:paraId="0EF6CF34"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2D77AFDF"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63A2B768" w14:textId="77777777" w:rsidR="008E5DE4" w:rsidRDefault="008E5DE4">
            <w:pPr>
              <w:widowControl w:val="0"/>
              <w:pBdr>
                <w:top w:val="nil"/>
                <w:left w:val="nil"/>
                <w:bottom w:val="nil"/>
                <w:right w:val="nil"/>
                <w:between w:val="nil"/>
              </w:pBdr>
              <w:jc w:val="right"/>
              <w:rPr>
                <w:color w:val="000000"/>
              </w:rPr>
            </w:pPr>
          </w:p>
        </w:tc>
      </w:tr>
      <w:tr w:rsidR="008E5DE4" w14:paraId="644439A7" w14:textId="77777777">
        <w:trPr>
          <w:cantSplit/>
        </w:trPr>
        <w:tc>
          <w:tcPr>
            <w:tcW w:w="5578" w:type="dxa"/>
            <w:vAlign w:val="bottom"/>
          </w:tcPr>
          <w:p w14:paraId="1298DE62" w14:textId="77777777" w:rsidR="008E5DE4" w:rsidRDefault="00780368">
            <w:pPr>
              <w:widowControl w:val="0"/>
              <w:pBdr>
                <w:top w:val="nil"/>
                <w:left w:val="nil"/>
                <w:bottom w:val="nil"/>
                <w:right w:val="nil"/>
                <w:between w:val="nil"/>
              </w:pBdr>
              <w:ind w:left="113" w:right="-57" w:hanging="113"/>
              <w:rPr>
                <w:i/>
                <w:color w:val="FF0000"/>
              </w:rPr>
            </w:pPr>
            <w:r>
              <w:rPr>
                <w:color w:val="000000"/>
              </w:rPr>
              <w:t>Refund liability</w:t>
            </w:r>
          </w:p>
        </w:tc>
        <w:tc>
          <w:tcPr>
            <w:tcW w:w="565" w:type="dxa"/>
            <w:vAlign w:val="bottom"/>
          </w:tcPr>
          <w:p w14:paraId="0D981B10" w14:textId="77777777" w:rsidR="008E5DE4" w:rsidRDefault="008E5DE4">
            <w:pPr>
              <w:widowControl w:val="0"/>
              <w:jc w:val="center"/>
              <w:rPr>
                <w:i/>
              </w:rPr>
            </w:pPr>
          </w:p>
        </w:tc>
        <w:tc>
          <w:tcPr>
            <w:tcW w:w="1491" w:type="dxa"/>
            <w:gridSpan w:val="2"/>
            <w:vAlign w:val="bottom"/>
          </w:tcPr>
          <w:p w14:paraId="1F52F6E7" w14:textId="77777777" w:rsidR="008E5DE4" w:rsidRDefault="008E5DE4">
            <w:pPr>
              <w:widowControl w:val="0"/>
              <w:pBdr>
                <w:top w:val="nil"/>
                <w:left w:val="nil"/>
                <w:bottom w:val="nil"/>
                <w:right w:val="nil"/>
                <w:between w:val="nil"/>
              </w:pBdr>
              <w:jc w:val="right"/>
              <w:rPr>
                <w:color w:val="000000"/>
              </w:rPr>
            </w:pPr>
          </w:p>
        </w:tc>
        <w:tc>
          <w:tcPr>
            <w:tcW w:w="1721" w:type="dxa"/>
            <w:gridSpan w:val="4"/>
            <w:vAlign w:val="bottom"/>
          </w:tcPr>
          <w:p w14:paraId="4CD6B756" w14:textId="77777777" w:rsidR="008E5DE4" w:rsidRDefault="008E5DE4">
            <w:pPr>
              <w:widowControl w:val="0"/>
              <w:pBdr>
                <w:top w:val="nil"/>
                <w:left w:val="nil"/>
                <w:bottom w:val="nil"/>
                <w:right w:val="nil"/>
                <w:between w:val="nil"/>
              </w:pBdr>
              <w:jc w:val="right"/>
              <w:rPr>
                <w:color w:val="000000"/>
              </w:rPr>
            </w:pPr>
          </w:p>
        </w:tc>
      </w:tr>
      <w:tr w:rsidR="008E5DE4" w14:paraId="4B295EF3" w14:textId="77777777">
        <w:trPr>
          <w:gridAfter w:val="2"/>
          <w:wAfter w:w="223" w:type="dxa"/>
          <w:cantSplit/>
        </w:trPr>
        <w:tc>
          <w:tcPr>
            <w:tcW w:w="5578" w:type="dxa"/>
            <w:tcBorders>
              <w:bottom w:val="single" w:sz="4" w:space="0" w:color="000000"/>
            </w:tcBorders>
            <w:vAlign w:val="bottom"/>
          </w:tcPr>
          <w:p w14:paraId="5BAA559D"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565" w:type="dxa"/>
            <w:tcBorders>
              <w:bottom w:val="single" w:sz="4" w:space="0" w:color="000000"/>
            </w:tcBorders>
            <w:vAlign w:val="bottom"/>
          </w:tcPr>
          <w:p w14:paraId="30A35163"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tcBorders>
              <w:bottom w:val="single" w:sz="4" w:space="0" w:color="000000"/>
            </w:tcBorders>
            <w:vAlign w:val="bottom"/>
          </w:tcPr>
          <w:p w14:paraId="04760548" w14:textId="77777777" w:rsidR="008E5DE4" w:rsidRDefault="008E5DE4">
            <w:pPr>
              <w:widowControl w:val="0"/>
              <w:pBdr>
                <w:top w:val="nil"/>
                <w:left w:val="nil"/>
                <w:bottom w:val="nil"/>
                <w:right w:val="nil"/>
                <w:between w:val="nil"/>
              </w:pBdr>
              <w:jc w:val="right"/>
              <w:rPr>
                <w:color w:val="000000"/>
              </w:rPr>
            </w:pPr>
          </w:p>
        </w:tc>
        <w:tc>
          <w:tcPr>
            <w:tcW w:w="1498" w:type="dxa"/>
            <w:gridSpan w:val="2"/>
            <w:tcBorders>
              <w:bottom w:val="single" w:sz="4" w:space="0" w:color="000000"/>
            </w:tcBorders>
            <w:vAlign w:val="bottom"/>
          </w:tcPr>
          <w:p w14:paraId="3EB5451E" w14:textId="77777777" w:rsidR="008E5DE4" w:rsidRDefault="008E5DE4">
            <w:pPr>
              <w:widowControl w:val="0"/>
              <w:pBdr>
                <w:top w:val="nil"/>
                <w:left w:val="nil"/>
                <w:bottom w:val="nil"/>
                <w:right w:val="nil"/>
                <w:between w:val="nil"/>
              </w:pBdr>
              <w:jc w:val="right"/>
              <w:rPr>
                <w:color w:val="000000"/>
              </w:rPr>
            </w:pPr>
          </w:p>
        </w:tc>
      </w:tr>
      <w:tr w:rsidR="008E5DE4" w14:paraId="7E4A0272" w14:textId="77777777">
        <w:trPr>
          <w:gridAfter w:val="2"/>
          <w:wAfter w:w="223" w:type="dxa"/>
          <w:cantSplit/>
        </w:trPr>
        <w:tc>
          <w:tcPr>
            <w:tcW w:w="5578" w:type="dxa"/>
            <w:vAlign w:val="bottom"/>
          </w:tcPr>
          <w:p w14:paraId="0D2C5BF5"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Total financial payables within trade and other payables at AC</w:t>
            </w:r>
          </w:p>
        </w:tc>
        <w:tc>
          <w:tcPr>
            <w:tcW w:w="565" w:type="dxa"/>
            <w:vAlign w:val="bottom"/>
          </w:tcPr>
          <w:p w14:paraId="79D08B02" w14:textId="77777777" w:rsidR="008E5DE4" w:rsidRDefault="008E5DE4">
            <w:pPr>
              <w:widowControl w:val="0"/>
              <w:pBdr>
                <w:top w:val="nil"/>
                <w:left w:val="nil"/>
                <w:bottom w:val="nil"/>
                <w:right w:val="nil"/>
                <w:between w:val="nil"/>
              </w:pBdr>
              <w:ind w:left="-57" w:right="-57"/>
              <w:jc w:val="center"/>
              <w:rPr>
                <w:b/>
                <w:i/>
                <w:color w:val="000000"/>
              </w:rPr>
            </w:pPr>
          </w:p>
        </w:tc>
        <w:tc>
          <w:tcPr>
            <w:tcW w:w="1491" w:type="dxa"/>
            <w:gridSpan w:val="2"/>
            <w:vAlign w:val="bottom"/>
          </w:tcPr>
          <w:p w14:paraId="5071D718" w14:textId="77777777" w:rsidR="008E5DE4" w:rsidRDefault="008E5DE4">
            <w:pPr>
              <w:widowControl w:val="0"/>
              <w:pBdr>
                <w:top w:val="nil"/>
                <w:left w:val="nil"/>
                <w:bottom w:val="nil"/>
                <w:right w:val="nil"/>
                <w:between w:val="nil"/>
              </w:pBdr>
              <w:jc w:val="right"/>
              <w:rPr>
                <w:b/>
                <w:i/>
                <w:color w:val="000000"/>
              </w:rPr>
            </w:pPr>
          </w:p>
        </w:tc>
        <w:tc>
          <w:tcPr>
            <w:tcW w:w="1498" w:type="dxa"/>
            <w:gridSpan w:val="2"/>
            <w:vAlign w:val="bottom"/>
          </w:tcPr>
          <w:p w14:paraId="3A5587DD" w14:textId="77777777" w:rsidR="008E5DE4" w:rsidRDefault="008E5DE4">
            <w:pPr>
              <w:widowControl w:val="0"/>
              <w:pBdr>
                <w:top w:val="nil"/>
                <w:left w:val="nil"/>
                <w:bottom w:val="nil"/>
                <w:right w:val="nil"/>
                <w:between w:val="nil"/>
              </w:pBdr>
              <w:jc w:val="right"/>
              <w:rPr>
                <w:b/>
                <w:i/>
                <w:color w:val="000000"/>
              </w:rPr>
            </w:pPr>
          </w:p>
        </w:tc>
      </w:tr>
      <w:tr w:rsidR="008E5DE4" w14:paraId="47E6B991" w14:textId="77777777">
        <w:trPr>
          <w:gridAfter w:val="2"/>
          <w:wAfter w:w="223" w:type="dxa"/>
          <w:cantSplit/>
        </w:trPr>
        <w:tc>
          <w:tcPr>
            <w:tcW w:w="5578" w:type="dxa"/>
            <w:vAlign w:val="bottom"/>
          </w:tcPr>
          <w:p w14:paraId="784CD575"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565" w:type="dxa"/>
            <w:vAlign w:val="bottom"/>
          </w:tcPr>
          <w:p w14:paraId="36A5E80F"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15C45959"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28A47344" w14:textId="77777777" w:rsidR="008E5DE4" w:rsidRDefault="008E5DE4">
            <w:pPr>
              <w:widowControl w:val="0"/>
              <w:pBdr>
                <w:top w:val="nil"/>
                <w:left w:val="nil"/>
                <w:bottom w:val="nil"/>
                <w:right w:val="nil"/>
                <w:between w:val="nil"/>
              </w:pBdr>
              <w:jc w:val="right"/>
              <w:rPr>
                <w:color w:val="000000"/>
              </w:rPr>
            </w:pPr>
          </w:p>
        </w:tc>
      </w:tr>
      <w:tr w:rsidR="008E5DE4" w14:paraId="15DACE85" w14:textId="77777777">
        <w:trPr>
          <w:gridAfter w:val="3"/>
          <w:wAfter w:w="243" w:type="dxa"/>
          <w:cantSplit/>
        </w:trPr>
        <w:tc>
          <w:tcPr>
            <w:tcW w:w="5578" w:type="dxa"/>
            <w:vAlign w:val="bottom"/>
          </w:tcPr>
          <w:p w14:paraId="7969BC8D" w14:textId="77777777" w:rsidR="008E5DE4" w:rsidRDefault="00780368">
            <w:pPr>
              <w:widowControl w:val="0"/>
              <w:pBdr>
                <w:top w:val="nil"/>
                <w:left w:val="nil"/>
                <w:bottom w:val="nil"/>
                <w:right w:val="nil"/>
                <w:between w:val="nil"/>
              </w:pBdr>
              <w:ind w:left="113" w:right="-57" w:hanging="113"/>
              <w:rPr>
                <w:color w:val="000000"/>
              </w:rPr>
            </w:pPr>
            <w:r>
              <w:rPr>
                <w:color w:val="000000"/>
              </w:rPr>
              <w:t>Other payables measured at FVTPL</w:t>
            </w:r>
          </w:p>
        </w:tc>
        <w:tc>
          <w:tcPr>
            <w:tcW w:w="565" w:type="dxa"/>
            <w:vAlign w:val="bottom"/>
          </w:tcPr>
          <w:p w14:paraId="687354FF" w14:textId="77777777" w:rsidR="008E5DE4" w:rsidRDefault="008E5DE4">
            <w:pPr>
              <w:widowControl w:val="0"/>
              <w:jc w:val="center"/>
            </w:pPr>
          </w:p>
        </w:tc>
        <w:tc>
          <w:tcPr>
            <w:tcW w:w="1465" w:type="dxa"/>
            <w:vAlign w:val="bottom"/>
          </w:tcPr>
          <w:p w14:paraId="2B90AA82" w14:textId="77777777" w:rsidR="008E5DE4" w:rsidRDefault="008E5DE4">
            <w:pPr>
              <w:widowControl w:val="0"/>
              <w:pBdr>
                <w:top w:val="nil"/>
                <w:left w:val="nil"/>
                <w:bottom w:val="nil"/>
                <w:right w:val="nil"/>
                <w:between w:val="nil"/>
              </w:pBdr>
              <w:jc w:val="right"/>
              <w:rPr>
                <w:color w:val="000000"/>
              </w:rPr>
            </w:pPr>
          </w:p>
        </w:tc>
        <w:tc>
          <w:tcPr>
            <w:tcW w:w="1504" w:type="dxa"/>
            <w:gridSpan w:val="2"/>
            <w:vAlign w:val="bottom"/>
          </w:tcPr>
          <w:p w14:paraId="67E9F7F8" w14:textId="77777777" w:rsidR="008E5DE4" w:rsidRDefault="008E5DE4">
            <w:pPr>
              <w:widowControl w:val="0"/>
              <w:pBdr>
                <w:top w:val="nil"/>
                <w:left w:val="nil"/>
                <w:bottom w:val="nil"/>
                <w:right w:val="nil"/>
                <w:between w:val="nil"/>
              </w:pBdr>
              <w:jc w:val="right"/>
              <w:rPr>
                <w:color w:val="000000"/>
              </w:rPr>
            </w:pPr>
          </w:p>
        </w:tc>
      </w:tr>
      <w:tr w:rsidR="008E5DE4" w14:paraId="0738C925" w14:textId="77777777">
        <w:trPr>
          <w:gridAfter w:val="3"/>
          <w:wAfter w:w="243" w:type="dxa"/>
          <w:cantSplit/>
        </w:trPr>
        <w:tc>
          <w:tcPr>
            <w:tcW w:w="5578" w:type="dxa"/>
            <w:tcBorders>
              <w:bottom w:val="single" w:sz="4" w:space="0" w:color="000000"/>
            </w:tcBorders>
            <w:vAlign w:val="bottom"/>
          </w:tcPr>
          <w:p w14:paraId="3058FDB7" w14:textId="77777777" w:rsidR="008E5DE4" w:rsidRDefault="008E5DE4">
            <w:pPr>
              <w:widowControl w:val="0"/>
              <w:pBdr>
                <w:top w:val="nil"/>
                <w:left w:val="nil"/>
                <w:bottom w:val="nil"/>
                <w:right w:val="nil"/>
                <w:between w:val="nil"/>
              </w:pBdr>
              <w:ind w:left="113" w:right="-57" w:hanging="113"/>
              <w:rPr>
                <w:b/>
                <w:color w:val="000000"/>
              </w:rPr>
            </w:pPr>
          </w:p>
        </w:tc>
        <w:tc>
          <w:tcPr>
            <w:tcW w:w="565" w:type="dxa"/>
            <w:tcBorders>
              <w:bottom w:val="single" w:sz="4" w:space="0" w:color="000000"/>
            </w:tcBorders>
            <w:vAlign w:val="bottom"/>
          </w:tcPr>
          <w:p w14:paraId="610A1804" w14:textId="77777777" w:rsidR="008E5DE4" w:rsidRDefault="008E5DE4">
            <w:pPr>
              <w:widowControl w:val="0"/>
              <w:jc w:val="center"/>
            </w:pPr>
          </w:p>
        </w:tc>
        <w:tc>
          <w:tcPr>
            <w:tcW w:w="1465" w:type="dxa"/>
            <w:tcBorders>
              <w:bottom w:val="single" w:sz="4" w:space="0" w:color="000000"/>
            </w:tcBorders>
            <w:vAlign w:val="bottom"/>
          </w:tcPr>
          <w:p w14:paraId="5B4836AE" w14:textId="77777777" w:rsidR="008E5DE4" w:rsidRDefault="008E5DE4">
            <w:pPr>
              <w:widowControl w:val="0"/>
              <w:pBdr>
                <w:top w:val="nil"/>
                <w:left w:val="nil"/>
                <w:bottom w:val="nil"/>
                <w:right w:val="nil"/>
                <w:between w:val="nil"/>
              </w:pBdr>
              <w:jc w:val="right"/>
              <w:rPr>
                <w:color w:val="000000"/>
              </w:rPr>
            </w:pPr>
          </w:p>
        </w:tc>
        <w:tc>
          <w:tcPr>
            <w:tcW w:w="1504" w:type="dxa"/>
            <w:gridSpan w:val="2"/>
            <w:tcBorders>
              <w:bottom w:val="single" w:sz="4" w:space="0" w:color="000000"/>
            </w:tcBorders>
            <w:vAlign w:val="bottom"/>
          </w:tcPr>
          <w:p w14:paraId="7C669A42" w14:textId="77777777" w:rsidR="008E5DE4" w:rsidRDefault="008E5DE4">
            <w:pPr>
              <w:widowControl w:val="0"/>
              <w:pBdr>
                <w:top w:val="nil"/>
                <w:left w:val="nil"/>
                <w:bottom w:val="nil"/>
                <w:right w:val="nil"/>
                <w:between w:val="nil"/>
              </w:pBdr>
              <w:jc w:val="right"/>
              <w:rPr>
                <w:color w:val="000000"/>
              </w:rPr>
            </w:pPr>
          </w:p>
        </w:tc>
      </w:tr>
      <w:tr w:rsidR="008E5DE4" w14:paraId="5CA7633D" w14:textId="77777777">
        <w:trPr>
          <w:gridAfter w:val="3"/>
          <w:wAfter w:w="243" w:type="dxa"/>
          <w:cantSplit/>
        </w:trPr>
        <w:tc>
          <w:tcPr>
            <w:tcW w:w="5578" w:type="dxa"/>
            <w:vAlign w:val="bottom"/>
          </w:tcPr>
          <w:p w14:paraId="28894AF6"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Total financial payables within trade and other payables at FVTPL</w:t>
            </w:r>
          </w:p>
        </w:tc>
        <w:tc>
          <w:tcPr>
            <w:tcW w:w="565" w:type="dxa"/>
            <w:vAlign w:val="bottom"/>
          </w:tcPr>
          <w:p w14:paraId="360D93E3" w14:textId="77777777" w:rsidR="008E5DE4" w:rsidRDefault="008E5DE4">
            <w:pPr>
              <w:widowControl w:val="0"/>
              <w:pBdr>
                <w:top w:val="nil"/>
                <w:left w:val="nil"/>
                <w:bottom w:val="nil"/>
                <w:right w:val="nil"/>
                <w:between w:val="nil"/>
              </w:pBdr>
              <w:ind w:left="113" w:right="-57" w:hanging="113"/>
              <w:rPr>
                <w:b/>
                <w:i/>
                <w:color w:val="000000"/>
              </w:rPr>
            </w:pPr>
          </w:p>
        </w:tc>
        <w:tc>
          <w:tcPr>
            <w:tcW w:w="1465" w:type="dxa"/>
            <w:vAlign w:val="bottom"/>
          </w:tcPr>
          <w:p w14:paraId="41EF411C" w14:textId="77777777" w:rsidR="008E5DE4" w:rsidRDefault="008E5DE4">
            <w:pPr>
              <w:widowControl w:val="0"/>
              <w:pBdr>
                <w:top w:val="nil"/>
                <w:left w:val="nil"/>
                <w:bottom w:val="nil"/>
                <w:right w:val="nil"/>
                <w:between w:val="nil"/>
              </w:pBdr>
              <w:ind w:left="113" w:right="-57" w:hanging="113"/>
              <w:rPr>
                <w:b/>
                <w:i/>
                <w:color w:val="000000"/>
              </w:rPr>
            </w:pPr>
          </w:p>
        </w:tc>
        <w:tc>
          <w:tcPr>
            <w:tcW w:w="1504" w:type="dxa"/>
            <w:gridSpan w:val="2"/>
            <w:vAlign w:val="bottom"/>
          </w:tcPr>
          <w:p w14:paraId="12A19A41" w14:textId="77777777" w:rsidR="008E5DE4" w:rsidRDefault="008E5DE4">
            <w:pPr>
              <w:widowControl w:val="0"/>
              <w:pBdr>
                <w:top w:val="nil"/>
                <w:left w:val="nil"/>
                <w:bottom w:val="nil"/>
                <w:right w:val="nil"/>
                <w:between w:val="nil"/>
              </w:pBdr>
              <w:ind w:left="113" w:right="-57" w:hanging="113"/>
              <w:rPr>
                <w:b/>
                <w:i/>
                <w:color w:val="000000"/>
              </w:rPr>
            </w:pPr>
          </w:p>
        </w:tc>
      </w:tr>
      <w:tr w:rsidR="008E5DE4" w14:paraId="52861B1C" w14:textId="77777777">
        <w:trPr>
          <w:gridAfter w:val="2"/>
          <w:wAfter w:w="223" w:type="dxa"/>
          <w:cantSplit/>
        </w:trPr>
        <w:tc>
          <w:tcPr>
            <w:tcW w:w="5578" w:type="dxa"/>
            <w:vAlign w:val="bottom"/>
          </w:tcPr>
          <w:p w14:paraId="1C96FAC5" w14:textId="77777777" w:rsidR="008E5DE4" w:rsidRDefault="008E5DE4">
            <w:pPr>
              <w:widowControl w:val="0"/>
              <w:pBdr>
                <w:top w:val="nil"/>
                <w:left w:val="nil"/>
                <w:bottom w:val="nil"/>
                <w:right w:val="nil"/>
                <w:between w:val="nil"/>
              </w:pBdr>
              <w:ind w:left="113" w:right="-57" w:hanging="113"/>
              <w:rPr>
                <w:b/>
                <w:color w:val="000000"/>
              </w:rPr>
            </w:pPr>
          </w:p>
        </w:tc>
        <w:tc>
          <w:tcPr>
            <w:tcW w:w="565" w:type="dxa"/>
            <w:vAlign w:val="bottom"/>
          </w:tcPr>
          <w:p w14:paraId="671F28B6"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3169C375"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417C2437" w14:textId="77777777" w:rsidR="008E5DE4" w:rsidRDefault="008E5DE4">
            <w:pPr>
              <w:widowControl w:val="0"/>
              <w:pBdr>
                <w:top w:val="nil"/>
                <w:left w:val="nil"/>
                <w:bottom w:val="nil"/>
                <w:right w:val="nil"/>
                <w:between w:val="nil"/>
              </w:pBdr>
              <w:jc w:val="right"/>
              <w:rPr>
                <w:color w:val="000000"/>
              </w:rPr>
            </w:pPr>
          </w:p>
        </w:tc>
      </w:tr>
      <w:tr w:rsidR="008E5DE4" w14:paraId="31F829F0" w14:textId="77777777">
        <w:trPr>
          <w:gridAfter w:val="2"/>
          <w:wAfter w:w="223" w:type="dxa"/>
          <w:cantSplit/>
        </w:trPr>
        <w:tc>
          <w:tcPr>
            <w:tcW w:w="5578" w:type="dxa"/>
            <w:vAlign w:val="bottom"/>
          </w:tcPr>
          <w:p w14:paraId="7DCAE5CC" w14:textId="77777777" w:rsidR="008E5DE4" w:rsidRDefault="00780368">
            <w:pPr>
              <w:widowControl w:val="0"/>
              <w:pBdr>
                <w:top w:val="nil"/>
                <w:left w:val="nil"/>
                <w:bottom w:val="nil"/>
                <w:right w:val="nil"/>
                <w:between w:val="nil"/>
              </w:pBdr>
              <w:ind w:left="113" w:right="-57" w:hanging="113"/>
              <w:rPr>
                <w:color w:val="000000"/>
              </w:rPr>
            </w:pPr>
            <w:r>
              <w:rPr>
                <w:color w:val="000000"/>
              </w:rPr>
              <w:t>Accrued employee benefit costs</w:t>
            </w:r>
          </w:p>
        </w:tc>
        <w:tc>
          <w:tcPr>
            <w:tcW w:w="565" w:type="dxa"/>
            <w:vAlign w:val="bottom"/>
          </w:tcPr>
          <w:p w14:paraId="6BDEC123"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5BA449A2"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48A9B7AC" w14:textId="77777777" w:rsidR="008E5DE4" w:rsidRDefault="008E5DE4">
            <w:pPr>
              <w:widowControl w:val="0"/>
              <w:pBdr>
                <w:top w:val="nil"/>
                <w:left w:val="nil"/>
                <w:bottom w:val="nil"/>
                <w:right w:val="nil"/>
                <w:between w:val="nil"/>
              </w:pBdr>
              <w:jc w:val="right"/>
              <w:rPr>
                <w:color w:val="000000"/>
              </w:rPr>
            </w:pPr>
          </w:p>
        </w:tc>
      </w:tr>
      <w:tr w:rsidR="008E5DE4" w14:paraId="1F6D2B9A" w14:textId="77777777">
        <w:trPr>
          <w:gridAfter w:val="2"/>
          <w:wAfter w:w="223" w:type="dxa"/>
          <w:cantSplit/>
        </w:trPr>
        <w:tc>
          <w:tcPr>
            <w:tcW w:w="5578" w:type="dxa"/>
            <w:vAlign w:val="bottom"/>
          </w:tcPr>
          <w:p w14:paraId="186D979C" w14:textId="77777777" w:rsidR="008E5DE4" w:rsidRDefault="00780368">
            <w:pPr>
              <w:widowControl w:val="0"/>
              <w:pBdr>
                <w:top w:val="nil"/>
                <w:left w:val="nil"/>
                <w:bottom w:val="nil"/>
                <w:right w:val="nil"/>
                <w:between w:val="nil"/>
              </w:pBdr>
              <w:ind w:left="113" w:right="-57" w:hanging="113"/>
              <w:rPr>
                <w:color w:val="000000"/>
              </w:rPr>
            </w:pPr>
            <w:r>
              <w:rPr>
                <w:color w:val="000000"/>
              </w:rPr>
              <w:t>Deferred consideration for acquisitions</w:t>
            </w:r>
          </w:p>
        </w:tc>
        <w:tc>
          <w:tcPr>
            <w:tcW w:w="565" w:type="dxa"/>
            <w:vAlign w:val="bottom"/>
          </w:tcPr>
          <w:p w14:paraId="3F5DF0B9" w14:textId="77777777" w:rsidR="008E5DE4" w:rsidRDefault="00780368">
            <w:pPr>
              <w:widowControl w:val="0"/>
              <w:pBdr>
                <w:top w:val="nil"/>
                <w:left w:val="nil"/>
                <w:bottom w:val="nil"/>
                <w:right w:val="nil"/>
                <w:between w:val="nil"/>
              </w:pBdr>
              <w:ind w:left="-57" w:right="-57"/>
              <w:jc w:val="center"/>
              <w:rPr>
                <w:color w:val="000000"/>
              </w:rPr>
            </w:pPr>
            <w:r>
              <w:rPr>
                <w:color w:val="000000"/>
              </w:rPr>
              <w:t>50</w:t>
            </w:r>
          </w:p>
        </w:tc>
        <w:tc>
          <w:tcPr>
            <w:tcW w:w="1491" w:type="dxa"/>
            <w:gridSpan w:val="2"/>
            <w:vAlign w:val="bottom"/>
          </w:tcPr>
          <w:p w14:paraId="11E8B3C4"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27450F6A" w14:textId="77777777" w:rsidR="008E5DE4" w:rsidRDefault="008E5DE4">
            <w:pPr>
              <w:widowControl w:val="0"/>
              <w:pBdr>
                <w:top w:val="nil"/>
                <w:left w:val="nil"/>
                <w:bottom w:val="nil"/>
                <w:right w:val="nil"/>
                <w:between w:val="nil"/>
              </w:pBdr>
              <w:jc w:val="right"/>
              <w:rPr>
                <w:color w:val="000000"/>
              </w:rPr>
            </w:pPr>
          </w:p>
        </w:tc>
      </w:tr>
      <w:tr w:rsidR="008E5DE4" w14:paraId="47BB1514" w14:textId="77777777">
        <w:trPr>
          <w:gridAfter w:val="2"/>
          <w:wAfter w:w="223" w:type="dxa"/>
          <w:cantSplit/>
        </w:trPr>
        <w:tc>
          <w:tcPr>
            <w:tcW w:w="5578" w:type="dxa"/>
            <w:vAlign w:val="bottom"/>
          </w:tcPr>
          <w:p w14:paraId="3A2E8179"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xml:space="preserve">Financial guarantees issued </w:t>
            </w:r>
          </w:p>
        </w:tc>
        <w:tc>
          <w:tcPr>
            <w:tcW w:w="565" w:type="dxa"/>
            <w:vAlign w:val="bottom"/>
          </w:tcPr>
          <w:p w14:paraId="2529C039" w14:textId="77777777" w:rsidR="008E5DE4" w:rsidRDefault="00780368">
            <w:pPr>
              <w:widowControl w:val="0"/>
              <w:pBdr>
                <w:top w:val="nil"/>
                <w:left w:val="nil"/>
                <w:bottom w:val="nil"/>
                <w:right w:val="nil"/>
                <w:between w:val="nil"/>
              </w:pBdr>
              <w:ind w:left="-57" w:right="-57"/>
              <w:jc w:val="center"/>
              <w:rPr>
                <w:color w:val="000000"/>
              </w:rPr>
            </w:pPr>
            <w:r>
              <w:rPr>
                <w:color w:val="000000"/>
              </w:rPr>
              <w:t>43</w:t>
            </w:r>
          </w:p>
        </w:tc>
        <w:tc>
          <w:tcPr>
            <w:tcW w:w="1491" w:type="dxa"/>
            <w:gridSpan w:val="2"/>
            <w:vAlign w:val="bottom"/>
          </w:tcPr>
          <w:p w14:paraId="4DC00633"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5ABAB4E8" w14:textId="77777777" w:rsidR="008E5DE4" w:rsidRDefault="008E5DE4">
            <w:pPr>
              <w:widowControl w:val="0"/>
              <w:pBdr>
                <w:top w:val="nil"/>
                <w:left w:val="nil"/>
                <w:bottom w:val="nil"/>
                <w:right w:val="nil"/>
                <w:between w:val="nil"/>
              </w:pBdr>
              <w:jc w:val="right"/>
              <w:rPr>
                <w:color w:val="000000"/>
              </w:rPr>
            </w:pPr>
          </w:p>
        </w:tc>
      </w:tr>
      <w:tr w:rsidR="008E5DE4" w14:paraId="54BAA2D0" w14:textId="77777777">
        <w:trPr>
          <w:gridAfter w:val="2"/>
          <w:wAfter w:w="223" w:type="dxa"/>
          <w:cantSplit/>
        </w:trPr>
        <w:tc>
          <w:tcPr>
            <w:tcW w:w="5578" w:type="dxa"/>
            <w:vAlign w:val="bottom"/>
          </w:tcPr>
          <w:p w14:paraId="6F247036" w14:textId="77777777" w:rsidR="008E5DE4" w:rsidRDefault="00780368">
            <w:pPr>
              <w:widowControl w:val="0"/>
              <w:pBdr>
                <w:top w:val="nil"/>
                <w:left w:val="nil"/>
                <w:bottom w:val="nil"/>
                <w:right w:val="nil"/>
                <w:between w:val="nil"/>
              </w:pBdr>
              <w:ind w:left="113" w:right="-57" w:hanging="113"/>
              <w:rPr>
                <w:color w:val="000000"/>
              </w:rPr>
            </w:pPr>
            <w:r>
              <w:rPr>
                <w:color w:val="000000"/>
              </w:rPr>
              <w:t>ECL provision for loan commitments</w:t>
            </w:r>
          </w:p>
        </w:tc>
        <w:tc>
          <w:tcPr>
            <w:tcW w:w="565" w:type="dxa"/>
            <w:vAlign w:val="bottom"/>
          </w:tcPr>
          <w:p w14:paraId="63F1C08D"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vAlign w:val="bottom"/>
          </w:tcPr>
          <w:p w14:paraId="4C74C1A8" w14:textId="77777777" w:rsidR="008E5DE4" w:rsidRDefault="008E5DE4">
            <w:pPr>
              <w:widowControl w:val="0"/>
              <w:pBdr>
                <w:top w:val="nil"/>
                <w:left w:val="nil"/>
                <w:bottom w:val="nil"/>
                <w:right w:val="nil"/>
                <w:between w:val="nil"/>
              </w:pBdr>
              <w:jc w:val="right"/>
              <w:rPr>
                <w:color w:val="000000"/>
              </w:rPr>
            </w:pPr>
          </w:p>
        </w:tc>
        <w:tc>
          <w:tcPr>
            <w:tcW w:w="1498" w:type="dxa"/>
            <w:gridSpan w:val="2"/>
            <w:vAlign w:val="bottom"/>
          </w:tcPr>
          <w:p w14:paraId="36361B1B" w14:textId="77777777" w:rsidR="008E5DE4" w:rsidRDefault="008E5DE4">
            <w:pPr>
              <w:widowControl w:val="0"/>
              <w:pBdr>
                <w:top w:val="nil"/>
                <w:left w:val="nil"/>
                <w:bottom w:val="nil"/>
                <w:right w:val="nil"/>
                <w:between w:val="nil"/>
              </w:pBdr>
              <w:jc w:val="right"/>
              <w:rPr>
                <w:color w:val="000000"/>
              </w:rPr>
            </w:pPr>
          </w:p>
        </w:tc>
      </w:tr>
      <w:tr w:rsidR="008E5DE4" w14:paraId="19F0381C" w14:textId="77777777">
        <w:trPr>
          <w:gridAfter w:val="2"/>
          <w:wAfter w:w="223" w:type="dxa"/>
          <w:cantSplit/>
        </w:trPr>
        <w:tc>
          <w:tcPr>
            <w:tcW w:w="5578" w:type="dxa"/>
            <w:tcBorders>
              <w:bottom w:val="single" w:sz="4" w:space="0" w:color="000000"/>
            </w:tcBorders>
            <w:vAlign w:val="bottom"/>
          </w:tcPr>
          <w:p w14:paraId="59CBC791" w14:textId="77777777" w:rsidR="008E5DE4" w:rsidRDefault="008E5DE4">
            <w:pPr>
              <w:widowControl w:val="0"/>
              <w:pBdr>
                <w:top w:val="nil"/>
                <w:left w:val="nil"/>
                <w:bottom w:val="nil"/>
                <w:right w:val="nil"/>
                <w:between w:val="nil"/>
              </w:pBdr>
              <w:ind w:left="113" w:right="-57" w:hanging="113"/>
              <w:rPr>
                <w:color w:val="000000"/>
              </w:rPr>
            </w:pPr>
          </w:p>
        </w:tc>
        <w:tc>
          <w:tcPr>
            <w:tcW w:w="565" w:type="dxa"/>
            <w:tcBorders>
              <w:bottom w:val="single" w:sz="4" w:space="0" w:color="000000"/>
            </w:tcBorders>
            <w:vAlign w:val="bottom"/>
          </w:tcPr>
          <w:p w14:paraId="79B3DF36"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tcBorders>
              <w:bottom w:val="single" w:sz="4" w:space="0" w:color="000000"/>
            </w:tcBorders>
            <w:vAlign w:val="bottom"/>
          </w:tcPr>
          <w:p w14:paraId="04871D25" w14:textId="77777777" w:rsidR="008E5DE4" w:rsidRDefault="008E5DE4">
            <w:pPr>
              <w:widowControl w:val="0"/>
              <w:pBdr>
                <w:top w:val="nil"/>
                <w:left w:val="nil"/>
                <w:bottom w:val="nil"/>
                <w:right w:val="nil"/>
                <w:between w:val="nil"/>
              </w:pBdr>
              <w:jc w:val="right"/>
              <w:rPr>
                <w:color w:val="000000"/>
              </w:rPr>
            </w:pPr>
          </w:p>
        </w:tc>
        <w:tc>
          <w:tcPr>
            <w:tcW w:w="1498" w:type="dxa"/>
            <w:gridSpan w:val="2"/>
            <w:tcBorders>
              <w:bottom w:val="single" w:sz="4" w:space="0" w:color="000000"/>
            </w:tcBorders>
            <w:vAlign w:val="bottom"/>
          </w:tcPr>
          <w:p w14:paraId="4E75D81A" w14:textId="77777777" w:rsidR="008E5DE4" w:rsidRDefault="008E5DE4">
            <w:pPr>
              <w:widowControl w:val="0"/>
              <w:pBdr>
                <w:top w:val="nil"/>
                <w:left w:val="nil"/>
                <w:bottom w:val="nil"/>
                <w:right w:val="nil"/>
                <w:between w:val="nil"/>
              </w:pBdr>
              <w:jc w:val="right"/>
              <w:rPr>
                <w:color w:val="000000"/>
              </w:rPr>
            </w:pPr>
          </w:p>
        </w:tc>
      </w:tr>
      <w:tr w:rsidR="008E5DE4" w14:paraId="025E7F6F" w14:textId="77777777">
        <w:trPr>
          <w:gridAfter w:val="2"/>
          <w:wAfter w:w="223" w:type="dxa"/>
          <w:cantSplit/>
        </w:trPr>
        <w:tc>
          <w:tcPr>
            <w:tcW w:w="5578" w:type="dxa"/>
            <w:tcBorders>
              <w:top w:val="single" w:sz="4" w:space="0" w:color="000000"/>
            </w:tcBorders>
            <w:vAlign w:val="bottom"/>
          </w:tcPr>
          <w:p w14:paraId="2FA55BC5"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Total other payables</w:t>
            </w:r>
          </w:p>
        </w:tc>
        <w:tc>
          <w:tcPr>
            <w:tcW w:w="565" w:type="dxa"/>
            <w:tcBorders>
              <w:top w:val="single" w:sz="4" w:space="0" w:color="000000"/>
            </w:tcBorders>
            <w:vAlign w:val="bottom"/>
          </w:tcPr>
          <w:p w14:paraId="75BE66FC" w14:textId="77777777" w:rsidR="008E5DE4" w:rsidRDefault="008E5DE4">
            <w:pPr>
              <w:widowControl w:val="0"/>
              <w:pBdr>
                <w:top w:val="nil"/>
                <w:left w:val="nil"/>
                <w:bottom w:val="nil"/>
                <w:right w:val="nil"/>
                <w:between w:val="nil"/>
              </w:pBdr>
              <w:ind w:left="-57" w:right="-57"/>
              <w:jc w:val="center"/>
              <w:rPr>
                <w:b/>
                <w:i/>
                <w:color w:val="000000"/>
              </w:rPr>
            </w:pPr>
          </w:p>
        </w:tc>
        <w:tc>
          <w:tcPr>
            <w:tcW w:w="1491" w:type="dxa"/>
            <w:gridSpan w:val="2"/>
            <w:tcBorders>
              <w:top w:val="single" w:sz="4" w:space="0" w:color="000000"/>
            </w:tcBorders>
            <w:vAlign w:val="bottom"/>
          </w:tcPr>
          <w:p w14:paraId="2481CA42" w14:textId="77777777" w:rsidR="008E5DE4" w:rsidRDefault="008E5DE4">
            <w:pPr>
              <w:widowControl w:val="0"/>
              <w:pBdr>
                <w:top w:val="nil"/>
                <w:left w:val="nil"/>
                <w:bottom w:val="nil"/>
                <w:right w:val="nil"/>
                <w:between w:val="nil"/>
              </w:pBdr>
              <w:jc w:val="right"/>
              <w:rPr>
                <w:b/>
                <w:i/>
                <w:color w:val="000000"/>
              </w:rPr>
            </w:pPr>
          </w:p>
        </w:tc>
        <w:tc>
          <w:tcPr>
            <w:tcW w:w="1498" w:type="dxa"/>
            <w:gridSpan w:val="2"/>
            <w:tcBorders>
              <w:top w:val="single" w:sz="4" w:space="0" w:color="000000"/>
            </w:tcBorders>
            <w:vAlign w:val="bottom"/>
          </w:tcPr>
          <w:p w14:paraId="2239116E" w14:textId="77777777" w:rsidR="008E5DE4" w:rsidRDefault="008E5DE4">
            <w:pPr>
              <w:widowControl w:val="0"/>
              <w:pBdr>
                <w:top w:val="nil"/>
                <w:left w:val="nil"/>
                <w:bottom w:val="nil"/>
                <w:right w:val="nil"/>
                <w:between w:val="nil"/>
              </w:pBdr>
              <w:jc w:val="right"/>
              <w:rPr>
                <w:b/>
                <w:i/>
                <w:color w:val="000000"/>
              </w:rPr>
            </w:pPr>
          </w:p>
        </w:tc>
      </w:tr>
      <w:tr w:rsidR="008E5DE4" w14:paraId="5DFD3C53" w14:textId="77777777">
        <w:trPr>
          <w:gridAfter w:val="2"/>
          <w:wAfter w:w="223" w:type="dxa"/>
          <w:cantSplit/>
        </w:trPr>
        <w:tc>
          <w:tcPr>
            <w:tcW w:w="5578" w:type="dxa"/>
            <w:tcBorders>
              <w:bottom w:val="single" w:sz="4" w:space="0" w:color="000000"/>
            </w:tcBorders>
            <w:vAlign w:val="bottom"/>
          </w:tcPr>
          <w:p w14:paraId="7E4B69F6" w14:textId="77777777" w:rsidR="008E5DE4" w:rsidRDefault="008E5DE4">
            <w:pPr>
              <w:widowControl w:val="0"/>
              <w:pBdr>
                <w:top w:val="nil"/>
                <w:left w:val="nil"/>
                <w:bottom w:val="nil"/>
                <w:right w:val="nil"/>
                <w:between w:val="nil"/>
              </w:pBdr>
              <w:ind w:left="113" w:right="-57" w:hanging="113"/>
              <w:rPr>
                <w:b/>
                <w:color w:val="000000"/>
              </w:rPr>
            </w:pPr>
          </w:p>
        </w:tc>
        <w:tc>
          <w:tcPr>
            <w:tcW w:w="565" w:type="dxa"/>
            <w:tcBorders>
              <w:bottom w:val="single" w:sz="4" w:space="0" w:color="000000"/>
            </w:tcBorders>
            <w:vAlign w:val="bottom"/>
          </w:tcPr>
          <w:p w14:paraId="2E2CFBC1"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tcBorders>
              <w:bottom w:val="single" w:sz="4" w:space="0" w:color="000000"/>
            </w:tcBorders>
            <w:vAlign w:val="bottom"/>
          </w:tcPr>
          <w:p w14:paraId="0EC2EF90" w14:textId="77777777" w:rsidR="008E5DE4" w:rsidRDefault="008E5DE4">
            <w:pPr>
              <w:widowControl w:val="0"/>
              <w:pBdr>
                <w:top w:val="nil"/>
                <w:left w:val="nil"/>
                <w:bottom w:val="nil"/>
                <w:right w:val="nil"/>
                <w:between w:val="nil"/>
              </w:pBdr>
              <w:jc w:val="right"/>
              <w:rPr>
                <w:color w:val="000000"/>
              </w:rPr>
            </w:pPr>
          </w:p>
        </w:tc>
        <w:tc>
          <w:tcPr>
            <w:tcW w:w="1498" w:type="dxa"/>
            <w:gridSpan w:val="2"/>
            <w:tcBorders>
              <w:bottom w:val="single" w:sz="4" w:space="0" w:color="000000"/>
            </w:tcBorders>
            <w:vAlign w:val="bottom"/>
          </w:tcPr>
          <w:p w14:paraId="676D0F9F" w14:textId="77777777" w:rsidR="008E5DE4" w:rsidRDefault="008E5DE4">
            <w:pPr>
              <w:widowControl w:val="0"/>
              <w:pBdr>
                <w:top w:val="nil"/>
                <w:left w:val="nil"/>
                <w:bottom w:val="nil"/>
                <w:right w:val="nil"/>
                <w:between w:val="nil"/>
              </w:pBdr>
              <w:jc w:val="right"/>
              <w:rPr>
                <w:color w:val="000000"/>
              </w:rPr>
            </w:pPr>
          </w:p>
        </w:tc>
      </w:tr>
      <w:tr w:rsidR="008E5DE4" w14:paraId="2B1CEEF6" w14:textId="77777777">
        <w:trPr>
          <w:gridAfter w:val="2"/>
          <w:wAfter w:w="223" w:type="dxa"/>
          <w:cantSplit/>
        </w:trPr>
        <w:tc>
          <w:tcPr>
            <w:tcW w:w="5578" w:type="dxa"/>
            <w:tcBorders>
              <w:top w:val="single" w:sz="4" w:space="0" w:color="000000"/>
            </w:tcBorders>
            <w:vAlign w:val="bottom"/>
          </w:tcPr>
          <w:p w14:paraId="570015C4" w14:textId="77777777" w:rsidR="008E5DE4" w:rsidRDefault="008E5DE4">
            <w:pPr>
              <w:widowControl w:val="0"/>
              <w:pBdr>
                <w:top w:val="nil"/>
                <w:left w:val="nil"/>
                <w:bottom w:val="nil"/>
                <w:right w:val="nil"/>
                <w:between w:val="nil"/>
              </w:pBdr>
              <w:ind w:left="113" w:right="-57" w:hanging="113"/>
              <w:rPr>
                <w:b/>
                <w:color w:val="000000"/>
              </w:rPr>
            </w:pPr>
          </w:p>
        </w:tc>
        <w:tc>
          <w:tcPr>
            <w:tcW w:w="565" w:type="dxa"/>
            <w:tcBorders>
              <w:top w:val="single" w:sz="4" w:space="0" w:color="000000"/>
            </w:tcBorders>
            <w:vAlign w:val="bottom"/>
          </w:tcPr>
          <w:p w14:paraId="394FE356" w14:textId="77777777" w:rsidR="008E5DE4" w:rsidRDefault="008E5DE4">
            <w:pPr>
              <w:widowControl w:val="0"/>
              <w:pBdr>
                <w:top w:val="nil"/>
                <w:left w:val="nil"/>
                <w:bottom w:val="nil"/>
                <w:right w:val="nil"/>
                <w:between w:val="nil"/>
              </w:pBdr>
              <w:ind w:left="-57" w:right="-57"/>
              <w:jc w:val="center"/>
              <w:rPr>
                <w:color w:val="000000"/>
              </w:rPr>
            </w:pPr>
          </w:p>
        </w:tc>
        <w:tc>
          <w:tcPr>
            <w:tcW w:w="1491" w:type="dxa"/>
            <w:gridSpan w:val="2"/>
            <w:tcBorders>
              <w:top w:val="single" w:sz="4" w:space="0" w:color="000000"/>
            </w:tcBorders>
            <w:vAlign w:val="bottom"/>
          </w:tcPr>
          <w:p w14:paraId="48D119A2" w14:textId="77777777" w:rsidR="008E5DE4" w:rsidRDefault="008E5DE4">
            <w:pPr>
              <w:widowControl w:val="0"/>
              <w:pBdr>
                <w:top w:val="nil"/>
                <w:left w:val="nil"/>
                <w:bottom w:val="nil"/>
                <w:right w:val="nil"/>
                <w:between w:val="nil"/>
              </w:pBdr>
              <w:jc w:val="right"/>
              <w:rPr>
                <w:color w:val="000000"/>
              </w:rPr>
            </w:pPr>
          </w:p>
        </w:tc>
        <w:tc>
          <w:tcPr>
            <w:tcW w:w="1498" w:type="dxa"/>
            <w:gridSpan w:val="2"/>
            <w:tcBorders>
              <w:top w:val="single" w:sz="4" w:space="0" w:color="000000"/>
            </w:tcBorders>
            <w:vAlign w:val="bottom"/>
          </w:tcPr>
          <w:p w14:paraId="18D128F5" w14:textId="77777777" w:rsidR="008E5DE4" w:rsidRDefault="008E5DE4">
            <w:pPr>
              <w:widowControl w:val="0"/>
              <w:pBdr>
                <w:top w:val="nil"/>
                <w:left w:val="nil"/>
                <w:bottom w:val="nil"/>
                <w:right w:val="nil"/>
                <w:between w:val="nil"/>
              </w:pBdr>
              <w:jc w:val="right"/>
              <w:rPr>
                <w:color w:val="000000"/>
              </w:rPr>
            </w:pPr>
          </w:p>
        </w:tc>
      </w:tr>
      <w:tr w:rsidR="008E5DE4" w14:paraId="490E7C46" w14:textId="77777777">
        <w:trPr>
          <w:gridAfter w:val="2"/>
          <w:wAfter w:w="223" w:type="dxa"/>
          <w:cantSplit/>
        </w:trPr>
        <w:tc>
          <w:tcPr>
            <w:tcW w:w="5578" w:type="dxa"/>
            <w:vAlign w:val="bottom"/>
          </w:tcPr>
          <w:p w14:paraId="10081070"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Trade and other payables </w:t>
            </w:r>
            <w:proofErr w:type="gramStart"/>
            <w:r>
              <w:rPr>
                <w:b/>
                <w:color w:val="000000"/>
              </w:rPr>
              <w:t>at</w:t>
            </w:r>
            <w:proofErr w:type="gramEnd"/>
            <w:r>
              <w:rPr>
                <w:b/>
                <w:color w:val="000000"/>
              </w:rPr>
              <w:t xml:space="preserve"> 31 December</w:t>
            </w:r>
          </w:p>
        </w:tc>
        <w:tc>
          <w:tcPr>
            <w:tcW w:w="565" w:type="dxa"/>
            <w:vAlign w:val="bottom"/>
          </w:tcPr>
          <w:p w14:paraId="206B4D97" w14:textId="77777777" w:rsidR="008E5DE4" w:rsidRDefault="008E5DE4">
            <w:pPr>
              <w:widowControl w:val="0"/>
              <w:pBdr>
                <w:top w:val="nil"/>
                <w:left w:val="nil"/>
                <w:bottom w:val="nil"/>
                <w:right w:val="nil"/>
                <w:between w:val="nil"/>
              </w:pBdr>
              <w:ind w:left="-57" w:right="-57"/>
              <w:jc w:val="center"/>
              <w:rPr>
                <w:b/>
                <w:smallCaps/>
                <w:color w:val="000000"/>
              </w:rPr>
            </w:pPr>
          </w:p>
        </w:tc>
        <w:tc>
          <w:tcPr>
            <w:tcW w:w="1491" w:type="dxa"/>
            <w:gridSpan w:val="2"/>
            <w:vAlign w:val="bottom"/>
          </w:tcPr>
          <w:p w14:paraId="4F8C5679" w14:textId="77777777" w:rsidR="008E5DE4" w:rsidRDefault="008E5DE4">
            <w:pPr>
              <w:widowControl w:val="0"/>
              <w:pBdr>
                <w:top w:val="nil"/>
                <w:left w:val="nil"/>
                <w:bottom w:val="nil"/>
                <w:right w:val="nil"/>
                <w:between w:val="nil"/>
              </w:pBdr>
              <w:jc w:val="right"/>
              <w:rPr>
                <w:b/>
                <w:smallCaps/>
                <w:color w:val="000000"/>
              </w:rPr>
            </w:pPr>
          </w:p>
        </w:tc>
        <w:tc>
          <w:tcPr>
            <w:tcW w:w="1498" w:type="dxa"/>
            <w:gridSpan w:val="2"/>
            <w:vAlign w:val="bottom"/>
          </w:tcPr>
          <w:p w14:paraId="55DE37C6" w14:textId="77777777" w:rsidR="008E5DE4" w:rsidRDefault="008E5DE4">
            <w:pPr>
              <w:widowControl w:val="0"/>
              <w:pBdr>
                <w:top w:val="nil"/>
                <w:left w:val="nil"/>
                <w:bottom w:val="nil"/>
                <w:right w:val="nil"/>
                <w:between w:val="nil"/>
              </w:pBdr>
              <w:jc w:val="right"/>
              <w:rPr>
                <w:b/>
                <w:smallCaps/>
                <w:color w:val="000000"/>
              </w:rPr>
            </w:pPr>
          </w:p>
        </w:tc>
      </w:tr>
      <w:tr w:rsidR="008E5DE4" w14:paraId="394828FF" w14:textId="77777777">
        <w:trPr>
          <w:gridAfter w:val="2"/>
          <w:wAfter w:w="223" w:type="dxa"/>
          <w:cantSplit/>
        </w:trPr>
        <w:tc>
          <w:tcPr>
            <w:tcW w:w="5578" w:type="dxa"/>
            <w:tcBorders>
              <w:bottom w:val="single" w:sz="12" w:space="0" w:color="000000"/>
            </w:tcBorders>
            <w:vAlign w:val="bottom"/>
          </w:tcPr>
          <w:p w14:paraId="4BC25EFF"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565" w:type="dxa"/>
            <w:tcBorders>
              <w:bottom w:val="single" w:sz="12" w:space="0" w:color="000000"/>
            </w:tcBorders>
            <w:vAlign w:val="bottom"/>
          </w:tcPr>
          <w:p w14:paraId="7AC3471B" w14:textId="77777777" w:rsidR="008E5DE4" w:rsidRDefault="008E5DE4">
            <w:pPr>
              <w:widowControl w:val="0"/>
              <w:pBdr>
                <w:top w:val="nil"/>
                <w:left w:val="nil"/>
                <w:bottom w:val="nil"/>
                <w:right w:val="nil"/>
                <w:between w:val="nil"/>
              </w:pBdr>
              <w:ind w:left="-57" w:right="-57"/>
              <w:jc w:val="center"/>
              <w:rPr>
                <w:b/>
                <w:smallCaps/>
                <w:color w:val="000000"/>
              </w:rPr>
            </w:pPr>
          </w:p>
        </w:tc>
        <w:tc>
          <w:tcPr>
            <w:tcW w:w="1491" w:type="dxa"/>
            <w:gridSpan w:val="2"/>
            <w:tcBorders>
              <w:bottom w:val="single" w:sz="12" w:space="0" w:color="000000"/>
            </w:tcBorders>
            <w:vAlign w:val="bottom"/>
          </w:tcPr>
          <w:p w14:paraId="308BDB48" w14:textId="77777777" w:rsidR="008E5DE4" w:rsidRDefault="008E5DE4">
            <w:pPr>
              <w:widowControl w:val="0"/>
              <w:pBdr>
                <w:top w:val="nil"/>
                <w:left w:val="nil"/>
                <w:bottom w:val="nil"/>
                <w:right w:val="nil"/>
                <w:between w:val="nil"/>
              </w:pBdr>
              <w:jc w:val="right"/>
              <w:rPr>
                <w:b/>
                <w:smallCaps/>
                <w:color w:val="000000"/>
              </w:rPr>
            </w:pPr>
          </w:p>
        </w:tc>
        <w:tc>
          <w:tcPr>
            <w:tcW w:w="1498" w:type="dxa"/>
            <w:gridSpan w:val="2"/>
            <w:tcBorders>
              <w:bottom w:val="single" w:sz="12" w:space="0" w:color="000000"/>
            </w:tcBorders>
            <w:vAlign w:val="bottom"/>
          </w:tcPr>
          <w:p w14:paraId="00683865" w14:textId="77777777" w:rsidR="008E5DE4" w:rsidRDefault="008E5DE4">
            <w:pPr>
              <w:widowControl w:val="0"/>
              <w:pBdr>
                <w:top w:val="nil"/>
                <w:left w:val="nil"/>
                <w:bottom w:val="nil"/>
                <w:right w:val="nil"/>
                <w:between w:val="nil"/>
              </w:pBdr>
              <w:jc w:val="right"/>
              <w:rPr>
                <w:b/>
                <w:smallCaps/>
                <w:color w:val="000000"/>
              </w:rPr>
            </w:pPr>
          </w:p>
        </w:tc>
      </w:tr>
    </w:tbl>
    <w:p w14:paraId="2059A238" w14:textId="4DF4EC35" w:rsidR="008E5DE4" w:rsidRDefault="00780368">
      <w:pPr>
        <w:widowControl w:val="0"/>
        <w:spacing w:before="200" w:after="200"/>
        <w:jc w:val="both"/>
        <w:rPr>
          <w:sz w:val="20"/>
          <w:szCs w:val="20"/>
        </w:rPr>
      </w:pPr>
      <w:r>
        <w:rPr>
          <w:sz w:val="20"/>
          <w:szCs w:val="20"/>
        </w:rPr>
        <w:t xml:space="preserve">Where a customer has a right to return a product within a given period, the group recognises a refund liability </w:t>
      </w:r>
      <w:proofErr w:type="gramStart"/>
      <w:r>
        <w:rPr>
          <w:sz w:val="20"/>
          <w:szCs w:val="20"/>
        </w:rPr>
        <w:t>for the amount of</w:t>
      </w:r>
      <w:proofErr w:type="gramEnd"/>
      <w:r>
        <w:rPr>
          <w:sz w:val="20"/>
          <w:szCs w:val="20"/>
        </w:rPr>
        <w:t xml:space="preserve"> consideration received for which the entity does not expect to be entitled (EUR ___thousand; </w:t>
      </w:r>
      <w:r w:rsidR="00E06A92">
        <w:rPr>
          <w:sz w:val="20"/>
          <w:szCs w:val="20"/>
        </w:rPr>
        <w:t>2024</w:t>
      </w:r>
      <w:r w:rsidR="00FA3B9A">
        <w:rPr>
          <w:sz w:val="20"/>
          <w:szCs w:val="20"/>
        </w:rPr>
        <w:t>:</w:t>
      </w:r>
      <w:r>
        <w:rPr>
          <w:sz w:val="20"/>
          <w:szCs w:val="20"/>
        </w:rPr>
        <w:t xml:space="preserve"> EUR___). The Group also recognises a right to the returned goods measured by reference to the former carrying amount of the goods (EUR ___thousand as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and EUR ___</w:t>
      </w:r>
      <w:proofErr w:type="gramStart"/>
      <w:r>
        <w:rPr>
          <w:sz w:val="20"/>
          <w:szCs w:val="20"/>
        </w:rPr>
        <w:t>thousand  as</w:t>
      </w:r>
      <w:proofErr w:type="gramEnd"/>
      <w:r>
        <w:rPr>
          <w:sz w:val="20"/>
          <w:szCs w:val="20"/>
        </w:rPr>
        <w:t xml:space="preserve"> </w:t>
      </w:r>
      <w:proofErr w:type="gramStart"/>
      <w:r>
        <w:rPr>
          <w:sz w:val="20"/>
          <w:szCs w:val="20"/>
        </w:rPr>
        <w:t>at</w:t>
      </w:r>
      <w:proofErr w:type="gramEnd"/>
      <w:r>
        <w:rPr>
          <w:sz w:val="20"/>
          <w:szCs w:val="20"/>
        </w:rPr>
        <w:t xml:space="preserve"> 31 December </w:t>
      </w:r>
      <w:r w:rsidR="00E06A92">
        <w:rPr>
          <w:sz w:val="20"/>
          <w:szCs w:val="20"/>
        </w:rPr>
        <w:t>2024</w:t>
      </w:r>
      <w:r>
        <w:rPr>
          <w:sz w:val="20"/>
          <w:szCs w:val="20"/>
        </w:rPr>
        <w:t xml:space="preserve">). The costs to recover the products are not material because the customers usually return them in a saleable condition. Refund liabilities are further recognised for volume discounts payable to wholesale customers (EUR ___thousand; </w:t>
      </w:r>
      <w:r w:rsidR="00E06A92">
        <w:rPr>
          <w:sz w:val="20"/>
          <w:szCs w:val="20"/>
        </w:rPr>
        <w:t>2024</w:t>
      </w:r>
      <w:r w:rsidR="00FA3B9A">
        <w:rPr>
          <w:sz w:val="20"/>
          <w:szCs w:val="20"/>
        </w:rPr>
        <w:t>:</w:t>
      </w:r>
      <w:r>
        <w:rPr>
          <w:sz w:val="20"/>
          <w:szCs w:val="20"/>
        </w:rPr>
        <w:t xml:space="preserve"> EUR ___thousand). </w:t>
      </w:r>
    </w:p>
    <w:p w14:paraId="29B10F91"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34</w:t>
      </w:r>
      <w:r>
        <w:rPr>
          <w:b/>
          <w:color w:val="000000"/>
          <w:sz w:val="20"/>
          <w:szCs w:val="20"/>
        </w:rPr>
        <w:tab/>
        <w:t>Trade and Other Payables (Continued)</w:t>
      </w:r>
    </w:p>
    <w:p w14:paraId="08AF039F" w14:textId="77777777" w:rsidR="008E5DE4" w:rsidRDefault="00780368">
      <w:pPr>
        <w:widowControl w:val="0"/>
        <w:spacing w:before="200" w:after="200"/>
        <w:jc w:val="both"/>
        <w:rPr>
          <w:sz w:val="20"/>
          <w:szCs w:val="20"/>
        </w:rPr>
      </w:pPr>
      <w:r>
        <w:rPr>
          <w:sz w:val="20"/>
          <w:szCs w:val="20"/>
        </w:rPr>
        <w:t xml:space="preserve">Refer to Note 43 for analysis of exposure from financial guarantees and loan commitments by credit risk grades. </w:t>
      </w:r>
    </w:p>
    <w:p w14:paraId="207ACC44" w14:textId="0F45FE2D" w:rsidR="00735363" w:rsidRPr="00CF3EC7" w:rsidRDefault="00D2010C">
      <w:pPr>
        <w:widowControl w:val="0"/>
        <w:spacing w:before="200" w:after="200"/>
        <w:jc w:val="both"/>
        <w:rPr>
          <w:sz w:val="20"/>
          <w:szCs w:val="20"/>
        </w:rPr>
      </w:pPr>
      <w:r w:rsidRPr="00CF3EC7">
        <w:rPr>
          <w:sz w:val="20"/>
          <w:szCs w:val="20"/>
        </w:rPr>
        <w:t>O</w:t>
      </w:r>
      <w:r w:rsidR="00735363" w:rsidRPr="00CF3EC7">
        <w:rPr>
          <w:sz w:val="20"/>
          <w:szCs w:val="20"/>
        </w:rPr>
        <w:t xml:space="preserve">n </w:t>
      </w:r>
      <w:r w:rsidR="00735363" w:rsidRPr="00CF3EC7">
        <w:rPr>
          <w:color w:val="0000FF"/>
          <w:sz w:val="20"/>
          <w:szCs w:val="20"/>
        </w:rPr>
        <w:t>[date],</w:t>
      </w:r>
      <w:r w:rsidR="00735363" w:rsidRPr="00CF3EC7">
        <w:rPr>
          <w:sz w:val="22"/>
          <w:szCs w:val="22"/>
        </w:rPr>
        <w:t xml:space="preserve"> </w:t>
      </w:r>
      <w:r w:rsidR="00780368" w:rsidRPr="00CF3EC7">
        <w:rPr>
          <w:sz w:val="20"/>
          <w:szCs w:val="20"/>
        </w:rPr>
        <w:t xml:space="preserve">The Group </w:t>
      </w:r>
      <w:proofErr w:type="gramStart"/>
      <w:r w:rsidR="00780368" w:rsidRPr="00CF3EC7">
        <w:rPr>
          <w:sz w:val="20"/>
          <w:szCs w:val="20"/>
        </w:rPr>
        <w:t>enter</w:t>
      </w:r>
      <w:r w:rsidR="00735363" w:rsidRPr="00CF3EC7">
        <w:rPr>
          <w:sz w:val="20"/>
          <w:szCs w:val="20"/>
        </w:rPr>
        <w:t>ed</w:t>
      </w:r>
      <w:r w:rsidR="002E6FE7" w:rsidRPr="00CF3EC7">
        <w:rPr>
          <w:sz w:val="20"/>
          <w:szCs w:val="20"/>
        </w:rPr>
        <w:t xml:space="preserve"> </w:t>
      </w:r>
      <w:r w:rsidR="00780368" w:rsidRPr="00CF3EC7">
        <w:rPr>
          <w:sz w:val="20"/>
          <w:szCs w:val="20"/>
        </w:rPr>
        <w:t>into</w:t>
      </w:r>
      <w:proofErr w:type="gramEnd"/>
      <w:r w:rsidR="00780368" w:rsidRPr="00CF3EC7">
        <w:rPr>
          <w:sz w:val="20"/>
          <w:szCs w:val="20"/>
        </w:rPr>
        <w:t xml:space="preserve"> a supplier finance arrangement</w:t>
      </w:r>
      <w:r w:rsidR="002E6FE7" w:rsidRPr="00CF3EC7">
        <w:rPr>
          <w:sz w:val="20"/>
          <w:szCs w:val="20"/>
        </w:rPr>
        <w:t xml:space="preserve"> end</w:t>
      </w:r>
      <w:r w:rsidR="00735363" w:rsidRPr="00CF3EC7">
        <w:rPr>
          <w:sz w:val="20"/>
          <w:szCs w:val="20"/>
        </w:rPr>
        <w:t>ing</w:t>
      </w:r>
      <w:r w:rsidR="002E6FE7" w:rsidRPr="00CF3EC7">
        <w:rPr>
          <w:sz w:val="20"/>
          <w:szCs w:val="20"/>
        </w:rPr>
        <w:t xml:space="preserve"> on </w:t>
      </w:r>
      <w:r w:rsidR="00735363" w:rsidRPr="00CF3EC7">
        <w:rPr>
          <w:color w:val="0000FF"/>
          <w:sz w:val="20"/>
          <w:szCs w:val="20"/>
        </w:rPr>
        <w:t>[date]</w:t>
      </w:r>
      <w:r w:rsidR="00780368" w:rsidRPr="00CF3EC7">
        <w:rPr>
          <w:sz w:val="20"/>
          <w:szCs w:val="20"/>
        </w:rPr>
        <w:t xml:space="preserve">. Under the arrangement, a </w:t>
      </w:r>
      <w:r w:rsidR="000C1F8F" w:rsidRPr="00CF3EC7">
        <w:rPr>
          <w:sz w:val="20"/>
          <w:szCs w:val="20"/>
        </w:rPr>
        <w:t xml:space="preserve">finance provider </w:t>
      </w:r>
      <w:r w:rsidR="00780368" w:rsidRPr="00CF3EC7">
        <w:rPr>
          <w:sz w:val="20"/>
          <w:szCs w:val="20"/>
        </w:rPr>
        <w:t xml:space="preserve">acquires the rights to selected trade receivables from the supplier. </w:t>
      </w:r>
      <w:r w:rsidR="00735363" w:rsidRPr="00CF3EC7">
        <w:rPr>
          <w:sz w:val="20"/>
          <w:szCs w:val="20"/>
        </w:rPr>
        <w:t>The</w:t>
      </w:r>
      <w:r w:rsidR="000C1F8F" w:rsidRPr="00CF3EC7">
        <w:rPr>
          <w:sz w:val="20"/>
          <w:szCs w:val="20"/>
        </w:rPr>
        <w:t xml:space="preserve"> main characteristics,</w:t>
      </w:r>
      <w:r w:rsidR="00735363" w:rsidRPr="00CF3EC7">
        <w:rPr>
          <w:sz w:val="20"/>
          <w:szCs w:val="20"/>
        </w:rPr>
        <w:t xml:space="preserve"> terms and conditions of the arrangement are the following: </w:t>
      </w:r>
    </w:p>
    <w:p w14:paraId="153A3032" w14:textId="5CBC65BE" w:rsidR="000C1F8F" w:rsidRPr="00CF3EC7" w:rsidRDefault="000C1F8F" w:rsidP="00CF3EC7">
      <w:pPr>
        <w:pStyle w:val="ListParagraph"/>
        <w:widowControl w:val="0"/>
        <w:numPr>
          <w:ilvl w:val="0"/>
          <w:numId w:val="40"/>
        </w:numPr>
        <w:spacing w:before="200" w:after="200"/>
        <w:jc w:val="both"/>
        <w:rPr>
          <w:color w:val="0000FF"/>
          <w:sz w:val="20"/>
          <w:szCs w:val="20"/>
        </w:rPr>
      </w:pPr>
      <w:r w:rsidRPr="00CF3EC7">
        <w:rPr>
          <w:color w:val="0000FF"/>
          <w:sz w:val="20"/>
          <w:szCs w:val="20"/>
        </w:rPr>
        <w:t>[[the main purpose of the introduction of supplier finance is [to assist the supplier in obtaining affordable credit] / [to improve the Group’s working capital]</w:t>
      </w:r>
      <w:proofErr w:type="gramStart"/>
      <w:r w:rsidRPr="00CF3EC7">
        <w:rPr>
          <w:color w:val="0000FF"/>
          <w:sz w:val="20"/>
          <w:szCs w:val="20"/>
        </w:rPr>
        <w:t>];</w:t>
      </w:r>
      <w:proofErr w:type="gramEnd"/>
    </w:p>
    <w:p w14:paraId="6E028240" w14:textId="77777777" w:rsidR="000C1F8F" w:rsidRPr="00CF3EC7" w:rsidRDefault="000C1F8F" w:rsidP="00CF3EC7">
      <w:pPr>
        <w:pStyle w:val="ListParagraph"/>
        <w:widowControl w:val="0"/>
        <w:numPr>
          <w:ilvl w:val="0"/>
          <w:numId w:val="40"/>
        </w:numPr>
        <w:spacing w:before="200" w:after="200"/>
        <w:jc w:val="both"/>
        <w:rPr>
          <w:color w:val="0000FF"/>
          <w:sz w:val="20"/>
          <w:szCs w:val="20"/>
        </w:rPr>
      </w:pPr>
      <w:r w:rsidRPr="00CF3EC7">
        <w:rPr>
          <w:color w:val="0000FF"/>
          <w:sz w:val="20"/>
          <w:szCs w:val="20"/>
        </w:rPr>
        <w:t>[the invoices have been assigned to the finance provider] / [the invoices have been novated to the finance provider</w:t>
      </w:r>
      <w:proofErr w:type="gramStart"/>
      <w:r w:rsidRPr="00CF3EC7">
        <w:rPr>
          <w:color w:val="0000FF"/>
          <w:sz w:val="20"/>
          <w:szCs w:val="20"/>
        </w:rPr>
        <w:t>];</w:t>
      </w:r>
      <w:proofErr w:type="gramEnd"/>
    </w:p>
    <w:p w14:paraId="6C259CFD" w14:textId="365C2722" w:rsidR="00E939BE" w:rsidRPr="00CF3EC7" w:rsidRDefault="00E939BE" w:rsidP="00CF3EC7">
      <w:pPr>
        <w:pStyle w:val="ListParagraph"/>
        <w:widowControl w:val="0"/>
        <w:numPr>
          <w:ilvl w:val="0"/>
          <w:numId w:val="40"/>
        </w:numPr>
        <w:spacing w:before="200" w:after="200"/>
        <w:jc w:val="both"/>
        <w:rPr>
          <w:color w:val="0000FF"/>
          <w:sz w:val="20"/>
          <w:szCs w:val="20"/>
        </w:rPr>
      </w:pPr>
      <w:r w:rsidRPr="00CF3EC7">
        <w:rPr>
          <w:color w:val="0000FF"/>
          <w:sz w:val="20"/>
          <w:szCs w:val="20"/>
        </w:rPr>
        <w:t>[there was [no] legal release of the original trade payable to the supplier and the origination of the</w:t>
      </w:r>
    </w:p>
    <w:p w14:paraId="0D3D7BF2" w14:textId="6DCC8F23" w:rsidR="00E939BE" w:rsidRPr="00CF3EC7" w:rsidRDefault="00E939BE" w:rsidP="00CF3EC7">
      <w:pPr>
        <w:pStyle w:val="ListParagraph"/>
        <w:widowControl w:val="0"/>
        <w:spacing w:before="200" w:after="200"/>
        <w:ind w:left="360"/>
        <w:jc w:val="both"/>
        <w:rPr>
          <w:color w:val="0000FF"/>
          <w:sz w:val="20"/>
          <w:szCs w:val="20"/>
        </w:rPr>
      </w:pPr>
      <w:r w:rsidRPr="00CF3EC7">
        <w:rPr>
          <w:color w:val="0000FF"/>
          <w:sz w:val="20"/>
          <w:szCs w:val="20"/>
        </w:rPr>
        <w:t>new liability to the finance provider at the time of the Group’s receivable is transferred by the supplier to the finance provider</w:t>
      </w:r>
      <w:proofErr w:type="gramStart"/>
      <w:r w:rsidRPr="00CF3EC7">
        <w:rPr>
          <w:color w:val="0000FF"/>
          <w:sz w:val="20"/>
          <w:szCs w:val="20"/>
        </w:rPr>
        <w:t>];</w:t>
      </w:r>
      <w:proofErr w:type="gramEnd"/>
    </w:p>
    <w:p w14:paraId="42B2B1E2" w14:textId="4104B842" w:rsidR="00735363" w:rsidRPr="00CF3EC7" w:rsidRDefault="00735363" w:rsidP="00CF3EC7">
      <w:pPr>
        <w:pStyle w:val="ListParagraph"/>
        <w:widowControl w:val="0"/>
        <w:numPr>
          <w:ilvl w:val="0"/>
          <w:numId w:val="40"/>
        </w:numPr>
        <w:spacing w:before="200" w:after="200"/>
        <w:jc w:val="both"/>
        <w:rPr>
          <w:color w:val="0000FF"/>
          <w:sz w:val="20"/>
          <w:szCs w:val="20"/>
        </w:rPr>
      </w:pPr>
      <w:r w:rsidRPr="00CF3EC7">
        <w:rPr>
          <w:color w:val="0000FF"/>
          <w:sz w:val="20"/>
          <w:szCs w:val="20"/>
        </w:rPr>
        <w:t xml:space="preserve">[the acquired payables </w:t>
      </w:r>
      <w:r w:rsidR="00E939BE" w:rsidRPr="00CF3EC7">
        <w:rPr>
          <w:color w:val="0000FF"/>
          <w:sz w:val="20"/>
          <w:szCs w:val="20"/>
        </w:rPr>
        <w:t>[could be] / [</w:t>
      </w:r>
      <w:r w:rsidRPr="00CF3EC7">
        <w:rPr>
          <w:color w:val="0000FF"/>
          <w:sz w:val="20"/>
          <w:szCs w:val="20"/>
        </w:rPr>
        <w:t>are no longer able to be</w:t>
      </w:r>
      <w:r w:rsidR="00E939BE" w:rsidRPr="00CF3EC7">
        <w:rPr>
          <w:color w:val="0000FF"/>
          <w:sz w:val="20"/>
          <w:szCs w:val="20"/>
        </w:rPr>
        <w:t>]</w:t>
      </w:r>
      <w:r w:rsidRPr="00CF3EC7">
        <w:rPr>
          <w:color w:val="0000FF"/>
          <w:sz w:val="20"/>
          <w:szCs w:val="20"/>
        </w:rPr>
        <w:t xml:space="preserve"> offset against credit notes received from the supplier</w:t>
      </w:r>
      <w:proofErr w:type="gramStart"/>
      <w:r w:rsidRPr="00CF3EC7">
        <w:rPr>
          <w:color w:val="0000FF"/>
          <w:sz w:val="20"/>
          <w:szCs w:val="20"/>
        </w:rPr>
        <w:t>]</w:t>
      </w:r>
      <w:r w:rsidR="000C1F8F" w:rsidRPr="00CF3EC7">
        <w:rPr>
          <w:color w:val="0000FF"/>
          <w:sz w:val="20"/>
          <w:szCs w:val="20"/>
        </w:rPr>
        <w:t>;</w:t>
      </w:r>
      <w:proofErr w:type="gramEnd"/>
    </w:p>
    <w:p w14:paraId="16CF38B2" w14:textId="24CAA410" w:rsidR="000C1F8F" w:rsidRPr="00CF3EC7" w:rsidRDefault="000C1F8F" w:rsidP="00CF3EC7">
      <w:pPr>
        <w:pStyle w:val="ListParagraph"/>
        <w:widowControl w:val="0"/>
        <w:numPr>
          <w:ilvl w:val="0"/>
          <w:numId w:val="40"/>
        </w:numPr>
        <w:spacing w:before="200" w:after="200"/>
        <w:jc w:val="both"/>
        <w:rPr>
          <w:color w:val="0000FF"/>
          <w:sz w:val="20"/>
          <w:szCs w:val="20"/>
        </w:rPr>
      </w:pPr>
      <w:r w:rsidRPr="00CF3EC7">
        <w:rPr>
          <w:color w:val="0000FF"/>
          <w:sz w:val="20"/>
          <w:szCs w:val="20"/>
        </w:rPr>
        <w:t>[payment patterns before and after the introduction of the arrangement are not significantly different] / [payment patterns before and after the introduction of the arrangement are significantly different]</w:t>
      </w:r>
      <w:r w:rsidR="00FA3B9A">
        <w:rPr>
          <w:color w:val="0000FF"/>
          <w:sz w:val="20"/>
          <w:szCs w:val="20"/>
        </w:rPr>
        <w:t>.</w:t>
      </w:r>
    </w:p>
    <w:p w14:paraId="1D833301" w14:textId="5EFFE2C2" w:rsidR="00203DA9" w:rsidRPr="00CF3EC7" w:rsidRDefault="00203DA9">
      <w:pPr>
        <w:widowControl w:val="0"/>
        <w:spacing w:before="200" w:after="200"/>
        <w:jc w:val="both"/>
        <w:rPr>
          <w:sz w:val="20"/>
          <w:szCs w:val="20"/>
        </w:rPr>
      </w:pPr>
      <w:r w:rsidRPr="00CF3EC7">
        <w:rPr>
          <w:sz w:val="20"/>
          <w:szCs w:val="20"/>
        </w:rPr>
        <w:t>Supplementary details on supplier finance arrangements are presented below:</w:t>
      </w:r>
    </w:p>
    <w:tbl>
      <w:tblPr>
        <w:tblStyle w:val="affffffffff0"/>
        <w:tblW w:w="9362" w:type="dxa"/>
        <w:tblLayout w:type="fixed"/>
        <w:tblLook w:val="0000" w:firstRow="0" w:lastRow="0" w:firstColumn="0" w:lastColumn="0" w:noHBand="0" w:noVBand="0"/>
      </w:tblPr>
      <w:tblGrid>
        <w:gridCol w:w="4320"/>
        <w:gridCol w:w="1260"/>
        <w:gridCol w:w="2252"/>
        <w:gridCol w:w="1436"/>
        <w:gridCol w:w="94"/>
      </w:tblGrid>
      <w:tr w:rsidR="00E23555" w:rsidRPr="00CF3EC7" w14:paraId="68D921CD" w14:textId="77777777" w:rsidTr="00CF3EC7">
        <w:trPr>
          <w:cantSplit/>
        </w:trPr>
        <w:tc>
          <w:tcPr>
            <w:tcW w:w="4320" w:type="dxa"/>
            <w:tcBorders>
              <w:bottom w:val="single" w:sz="4" w:space="0" w:color="000000"/>
            </w:tcBorders>
            <w:vAlign w:val="bottom"/>
          </w:tcPr>
          <w:p w14:paraId="61422E96" w14:textId="1516ED8C" w:rsidR="00E23555" w:rsidRPr="00CF3EC7" w:rsidRDefault="00E23555" w:rsidP="007D2F4D">
            <w:pPr>
              <w:widowControl w:val="0"/>
              <w:pBdr>
                <w:top w:val="nil"/>
                <w:left w:val="nil"/>
                <w:bottom w:val="nil"/>
                <w:right w:val="nil"/>
                <w:between w:val="nil"/>
              </w:pBdr>
              <w:ind w:left="113" w:right="-57" w:hanging="113"/>
              <w:rPr>
                <w:i/>
                <w:color w:val="000000"/>
              </w:rPr>
            </w:pPr>
          </w:p>
        </w:tc>
        <w:tc>
          <w:tcPr>
            <w:tcW w:w="1260" w:type="dxa"/>
            <w:tcBorders>
              <w:bottom w:val="single" w:sz="4" w:space="0" w:color="000000"/>
            </w:tcBorders>
          </w:tcPr>
          <w:p w14:paraId="43980716" w14:textId="66BC5673" w:rsidR="00E23555" w:rsidRPr="00CF3EC7" w:rsidRDefault="00E23555" w:rsidP="007D2F4D">
            <w:pPr>
              <w:widowControl w:val="0"/>
              <w:pBdr>
                <w:top w:val="nil"/>
                <w:left w:val="nil"/>
                <w:bottom w:val="nil"/>
                <w:right w:val="nil"/>
                <w:between w:val="nil"/>
              </w:pBdr>
              <w:jc w:val="right"/>
              <w:rPr>
                <w:b/>
                <w:color w:val="000000"/>
              </w:rPr>
            </w:pPr>
            <w:r w:rsidRPr="00CF3EC7">
              <w:rPr>
                <w:b/>
                <w:color w:val="000000"/>
              </w:rPr>
              <w:t>Note</w:t>
            </w:r>
          </w:p>
        </w:tc>
        <w:tc>
          <w:tcPr>
            <w:tcW w:w="2252" w:type="dxa"/>
            <w:tcBorders>
              <w:bottom w:val="single" w:sz="4" w:space="0" w:color="000000"/>
            </w:tcBorders>
            <w:vAlign w:val="bottom"/>
          </w:tcPr>
          <w:p w14:paraId="40E8A9D3" w14:textId="065866DC" w:rsidR="00E23555" w:rsidRPr="00CF3EC7" w:rsidRDefault="008614F8" w:rsidP="007D2F4D">
            <w:pPr>
              <w:widowControl w:val="0"/>
              <w:pBdr>
                <w:top w:val="nil"/>
                <w:left w:val="nil"/>
                <w:bottom w:val="nil"/>
                <w:right w:val="nil"/>
                <w:between w:val="nil"/>
              </w:pBdr>
              <w:jc w:val="right"/>
              <w:rPr>
                <w:b/>
                <w:color w:val="000000"/>
              </w:rPr>
            </w:pPr>
            <w:r>
              <w:rPr>
                <w:b/>
                <w:color w:val="000000"/>
              </w:rPr>
              <w:t>2025</w:t>
            </w:r>
          </w:p>
        </w:tc>
        <w:tc>
          <w:tcPr>
            <w:tcW w:w="1530" w:type="dxa"/>
            <w:gridSpan w:val="2"/>
            <w:tcBorders>
              <w:bottom w:val="single" w:sz="4" w:space="0" w:color="000000"/>
            </w:tcBorders>
            <w:vAlign w:val="bottom"/>
          </w:tcPr>
          <w:p w14:paraId="38C7ECED" w14:textId="086EADB6" w:rsidR="00E23555" w:rsidRPr="00CF3EC7" w:rsidRDefault="00E06A92" w:rsidP="007D2F4D">
            <w:pPr>
              <w:widowControl w:val="0"/>
              <w:pBdr>
                <w:top w:val="nil"/>
                <w:left w:val="nil"/>
                <w:bottom w:val="nil"/>
                <w:right w:val="nil"/>
                <w:between w:val="nil"/>
              </w:pBdr>
              <w:jc w:val="right"/>
              <w:rPr>
                <w:b/>
                <w:color w:val="000000"/>
              </w:rPr>
            </w:pPr>
            <w:r>
              <w:rPr>
                <w:b/>
                <w:color w:val="000000"/>
              </w:rPr>
              <w:t>2024</w:t>
            </w:r>
          </w:p>
        </w:tc>
      </w:tr>
      <w:tr w:rsidR="00E23555" w:rsidRPr="00CF3EC7" w14:paraId="24239A5C" w14:textId="77777777" w:rsidTr="00CF3EC7">
        <w:trPr>
          <w:cantSplit/>
        </w:trPr>
        <w:tc>
          <w:tcPr>
            <w:tcW w:w="4320" w:type="dxa"/>
            <w:tcBorders>
              <w:top w:val="single" w:sz="4" w:space="0" w:color="000000"/>
            </w:tcBorders>
            <w:vAlign w:val="bottom"/>
          </w:tcPr>
          <w:p w14:paraId="4039A2EE" w14:textId="77777777" w:rsidR="00E23555" w:rsidRPr="00CF3EC7" w:rsidRDefault="00E23555" w:rsidP="007D2F4D">
            <w:pPr>
              <w:widowControl w:val="0"/>
              <w:pBdr>
                <w:top w:val="nil"/>
                <w:left w:val="nil"/>
                <w:bottom w:val="nil"/>
                <w:right w:val="nil"/>
                <w:between w:val="nil"/>
              </w:pBdr>
              <w:ind w:left="113" w:right="-57" w:hanging="113"/>
              <w:rPr>
                <w:b/>
                <w:color w:val="000000"/>
              </w:rPr>
            </w:pPr>
          </w:p>
        </w:tc>
        <w:tc>
          <w:tcPr>
            <w:tcW w:w="1260" w:type="dxa"/>
            <w:tcBorders>
              <w:top w:val="single" w:sz="4" w:space="0" w:color="000000"/>
            </w:tcBorders>
          </w:tcPr>
          <w:p w14:paraId="1416CD46" w14:textId="77777777" w:rsidR="00E23555" w:rsidRPr="00CF3EC7" w:rsidRDefault="00E23555" w:rsidP="007D2F4D">
            <w:pPr>
              <w:widowControl w:val="0"/>
              <w:pBdr>
                <w:top w:val="nil"/>
                <w:left w:val="nil"/>
                <w:bottom w:val="nil"/>
                <w:right w:val="nil"/>
                <w:between w:val="nil"/>
              </w:pBdr>
              <w:jc w:val="right"/>
              <w:rPr>
                <w:color w:val="000000"/>
              </w:rPr>
            </w:pPr>
          </w:p>
        </w:tc>
        <w:tc>
          <w:tcPr>
            <w:tcW w:w="2252" w:type="dxa"/>
            <w:tcBorders>
              <w:top w:val="single" w:sz="4" w:space="0" w:color="000000"/>
            </w:tcBorders>
            <w:vAlign w:val="bottom"/>
          </w:tcPr>
          <w:p w14:paraId="7E2C627E" w14:textId="41DB45F0" w:rsidR="00E23555" w:rsidRPr="00CF3EC7" w:rsidRDefault="00E23555" w:rsidP="007D2F4D">
            <w:pPr>
              <w:widowControl w:val="0"/>
              <w:pBdr>
                <w:top w:val="nil"/>
                <w:left w:val="nil"/>
                <w:bottom w:val="nil"/>
                <w:right w:val="nil"/>
                <w:between w:val="nil"/>
              </w:pBdr>
              <w:jc w:val="right"/>
              <w:rPr>
                <w:color w:val="000000"/>
              </w:rPr>
            </w:pPr>
          </w:p>
        </w:tc>
        <w:tc>
          <w:tcPr>
            <w:tcW w:w="1530" w:type="dxa"/>
            <w:gridSpan w:val="2"/>
            <w:tcBorders>
              <w:top w:val="single" w:sz="4" w:space="0" w:color="000000"/>
            </w:tcBorders>
            <w:vAlign w:val="bottom"/>
          </w:tcPr>
          <w:p w14:paraId="07CB7A68" w14:textId="77777777" w:rsidR="00E23555" w:rsidRPr="00CF3EC7" w:rsidRDefault="00E23555" w:rsidP="007D2F4D">
            <w:pPr>
              <w:widowControl w:val="0"/>
              <w:pBdr>
                <w:top w:val="nil"/>
                <w:left w:val="nil"/>
                <w:bottom w:val="nil"/>
                <w:right w:val="nil"/>
                <w:between w:val="nil"/>
              </w:pBdr>
              <w:jc w:val="right"/>
              <w:rPr>
                <w:color w:val="000000"/>
              </w:rPr>
            </w:pPr>
          </w:p>
        </w:tc>
      </w:tr>
      <w:tr w:rsidR="00E23555" w:rsidRPr="00CF3EC7" w14:paraId="1EB15ECE" w14:textId="77777777" w:rsidTr="00CF3EC7">
        <w:trPr>
          <w:cantSplit/>
        </w:trPr>
        <w:tc>
          <w:tcPr>
            <w:tcW w:w="4320" w:type="dxa"/>
            <w:vAlign w:val="bottom"/>
          </w:tcPr>
          <w:p w14:paraId="09EAC10E" w14:textId="6BF0D6CA" w:rsidR="00E23555" w:rsidRPr="00CF3EC7" w:rsidRDefault="00E23555" w:rsidP="007D2F4D">
            <w:pPr>
              <w:widowControl w:val="0"/>
              <w:pBdr>
                <w:top w:val="nil"/>
                <w:left w:val="nil"/>
                <w:bottom w:val="nil"/>
                <w:right w:val="nil"/>
                <w:between w:val="nil"/>
              </w:pBdr>
              <w:ind w:left="113" w:right="-57" w:hanging="113"/>
              <w:rPr>
                <w:b/>
                <w:bCs/>
                <w:i/>
                <w:iCs/>
                <w:color w:val="000000"/>
              </w:rPr>
            </w:pPr>
            <w:r w:rsidRPr="00CF3EC7">
              <w:rPr>
                <w:b/>
                <w:bCs/>
                <w:i/>
                <w:iCs/>
                <w:color w:val="000000"/>
              </w:rPr>
              <w:t>Range of payment due dates</w:t>
            </w:r>
          </w:p>
        </w:tc>
        <w:tc>
          <w:tcPr>
            <w:tcW w:w="1260" w:type="dxa"/>
          </w:tcPr>
          <w:p w14:paraId="74B39BA7" w14:textId="77777777" w:rsidR="00E23555" w:rsidRPr="00CF3EC7" w:rsidRDefault="00E23555" w:rsidP="007D2F4D">
            <w:pPr>
              <w:widowControl w:val="0"/>
              <w:pBdr>
                <w:top w:val="nil"/>
                <w:left w:val="nil"/>
                <w:bottom w:val="nil"/>
                <w:right w:val="nil"/>
                <w:between w:val="nil"/>
              </w:pBdr>
              <w:jc w:val="right"/>
              <w:rPr>
                <w:color w:val="000000"/>
              </w:rPr>
            </w:pPr>
          </w:p>
        </w:tc>
        <w:tc>
          <w:tcPr>
            <w:tcW w:w="2252" w:type="dxa"/>
            <w:vAlign w:val="bottom"/>
          </w:tcPr>
          <w:p w14:paraId="3820A770" w14:textId="49CDBC0A" w:rsidR="00E23555" w:rsidRPr="00CF3EC7" w:rsidRDefault="00E23555" w:rsidP="007D2F4D">
            <w:pPr>
              <w:widowControl w:val="0"/>
              <w:pBdr>
                <w:top w:val="nil"/>
                <w:left w:val="nil"/>
                <w:bottom w:val="nil"/>
                <w:right w:val="nil"/>
                <w:between w:val="nil"/>
              </w:pBdr>
              <w:jc w:val="right"/>
              <w:rPr>
                <w:color w:val="000000"/>
              </w:rPr>
            </w:pPr>
          </w:p>
        </w:tc>
        <w:tc>
          <w:tcPr>
            <w:tcW w:w="1530" w:type="dxa"/>
            <w:gridSpan w:val="2"/>
            <w:vAlign w:val="bottom"/>
          </w:tcPr>
          <w:p w14:paraId="57C43EFD" w14:textId="77777777" w:rsidR="00E23555" w:rsidRPr="00CF3EC7" w:rsidRDefault="00E23555" w:rsidP="007D2F4D">
            <w:pPr>
              <w:widowControl w:val="0"/>
              <w:pBdr>
                <w:top w:val="nil"/>
                <w:left w:val="nil"/>
                <w:bottom w:val="nil"/>
                <w:right w:val="nil"/>
                <w:between w:val="nil"/>
              </w:pBdr>
              <w:jc w:val="right"/>
              <w:rPr>
                <w:color w:val="000000"/>
              </w:rPr>
            </w:pPr>
          </w:p>
        </w:tc>
      </w:tr>
      <w:tr w:rsidR="00E23555" w:rsidRPr="00CF3EC7" w14:paraId="242FDF17" w14:textId="77777777" w:rsidTr="00CF3EC7">
        <w:trPr>
          <w:cantSplit/>
        </w:trPr>
        <w:tc>
          <w:tcPr>
            <w:tcW w:w="4320" w:type="dxa"/>
            <w:vAlign w:val="bottom"/>
          </w:tcPr>
          <w:p w14:paraId="314F7D6B" w14:textId="77777777" w:rsidR="00E23555" w:rsidRPr="00CF3EC7" w:rsidRDefault="00E23555" w:rsidP="007D2F4D">
            <w:pPr>
              <w:widowControl w:val="0"/>
              <w:pBdr>
                <w:top w:val="nil"/>
                <w:left w:val="nil"/>
                <w:bottom w:val="nil"/>
                <w:right w:val="nil"/>
                <w:between w:val="nil"/>
              </w:pBdr>
              <w:ind w:left="113" w:right="-57" w:hanging="113"/>
              <w:rPr>
                <w:b/>
                <w:bCs/>
                <w:i/>
                <w:iCs/>
                <w:color w:val="000000"/>
              </w:rPr>
            </w:pPr>
          </w:p>
        </w:tc>
        <w:tc>
          <w:tcPr>
            <w:tcW w:w="1260" w:type="dxa"/>
          </w:tcPr>
          <w:p w14:paraId="7C4A9E46" w14:textId="77777777" w:rsidR="00E23555" w:rsidRPr="00CF3EC7" w:rsidRDefault="00E23555" w:rsidP="007D2F4D">
            <w:pPr>
              <w:widowControl w:val="0"/>
              <w:pBdr>
                <w:top w:val="nil"/>
                <w:left w:val="nil"/>
                <w:bottom w:val="nil"/>
                <w:right w:val="nil"/>
                <w:between w:val="nil"/>
              </w:pBdr>
              <w:jc w:val="right"/>
              <w:rPr>
                <w:color w:val="000000"/>
              </w:rPr>
            </w:pPr>
          </w:p>
        </w:tc>
        <w:tc>
          <w:tcPr>
            <w:tcW w:w="2252" w:type="dxa"/>
            <w:vAlign w:val="bottom"/>
          </w:tcPr>
          <w:p w14:paraId="518B4F9B" w14:textId="29675593" w:rsidR="00E23555" w:rsidRPr="00CF3EC7" w:rsidRDefault="00E23555" w:rsidP="007D2F4D">
            <w:pPr>
              <w:widowControl w:val="0"/>
              <w:pBdr>
                <w:top w:val="nil"/>
                <w:left w:val="nil"/>
                <w:bottom w:val="nil"/>
                <w:right w:val="nil"/>
                <w:between w:val="nil"/>
              </w:pBdr>
              <w:jc w:val="right"/>
              <w:rPr>
                <w:color w:val="000000"/>
              </w:rPr>
            </w:pPr>
          </w:p>
        </w:tc>
        <w:tc>
          <w:tcPr>
            <w:tcW w:w="1530" w:type="dxa"/>
            <w:gridSpan w:val="2"/>
            <w:vAlign w:val="bottom"/>
          </w:tcPr>
          <w:p w14:paraId="6879D010" w14:textId="77777777" w:rsidR="00E23555" w:rsidRPr="00CF3EC7" w:rsidRDefault="00E23555" w:rsidP="007D2F4D">
            <w:pPr>
              <w:widowControl w:val="0"/>
              <w:pBdr>
                <w:top w:val="nil"/>
                <w:left w:val="nil"/>
                <w:bottom w:val="nil"/>
                <w:right w:val="nil"/>
                <w:between w:val="nil"/>
              </w:pBdr>
              <w:jc w:val="right"/>
              <w:rPr>
                <w:color w:val="000000"/>
              </w:rPr>
            </w:pPr>
          </w:p>
        </w:tc>
      </w:tr>
      <w:tr w:rsidR="00E939BE" w:rsidRPr="00CF3EC7" w14:paraId="2A156CAA" w14:textId="77777777" w:rsidTr="00CF3EC7">
        <w:trPr>
          <w:gridAfter w:val="1"/>
          <w:wAfter w:w="94" w:type="dxa"/>
          <w:cantSplit/>
        </w:trPr>
        <w:tc>
          <w:tcPr>
            <w:tcW w:w="4320" w:type="dxa"/>
            <w:vAlign w:val="bottom"/>
          </w:tcPr>
          <w:p w14:paraId="3741C13D" w14:textId="770B2082" w:rsidR="00E939BE" w:rsidRPr="00CF3EC7" w:rsidRDefault="00E939BE" w:rsidP="00E939BE">
            <w:pPr>
              <w:widowControl w:val="0"/>
              <w:pBdr>
                <w:top w:val="nil"/>
                <w:left w:val="nil"/>
                <w:bottom w:val="nil"/>
                <w:right w:val="nil"/>
                <w:between w:val="nil"/>
              </w:pBdr>
              <w:ind w:left="113" w:right="-57" w:hanging="113"/>
              <w:rPr>
                <w:color w:val="000000"/>
              </w:rPr>
            </w:pPr>
            <w:r w:rsidRPr="00CF3EC7">
              <w:rPr>
                <w:color w:val="000000"/>
              </w:rPr>
              <w:t>Payables under supplier finance arrangement (included in Trade and Other Payable</w:t>
            </w:r>
            <w:r w:rsidR="004B15B2">
              <w:rPr>
                <w:color w:val="000000"/>
              </w:rPr>
              <w:t>s</w:t>
            </w:r>
            <w:r w:rsidRPr="00CF3EC7">
              <w:rPr>
                <w:color w:val="000000"/>
              </w:rPr>
              <w:t xml:space="preserve">) </w:t>
            </w:r>
          </w:p>
        </w:tc>
        <w:tc>
          <w:tcPr>
            <w:tcW w:w="1260" w:type="dxa"/>
          </w:tcPr>
          <w:p w14:paraId="7C2A4A2F" w14:textId="77777777" w:rsidR="00E939BE" w:rsidRPr="00CF3EC7" w:rsidDel="00E23555" w:rsidRDefault="00E939BE" w:rsidP="00E939BE">
            <w:pPr>
              <w:widowControl w:val="0"/>
              <w:pBdr>
                <w:top w:val="nil"/>
                <w:left w:val="nil"/>
                <w:bottom w:val="nil"/>
                <w:right w:val="nil"/>
                <w:between w:val="nil"/>
              </w:pBdr>
              <w:jc w:val="right"/>
              <w:rPr>
                <w:color w:val="0000FF"/>
                <w:sz w:val="16"/>
                <w:szCs w:val="16"/>
              </w:rPr>
            </w:pPr>
          </w:p>
        </w:tc>
        <w:tc>
          <w:tcPr>
            <w:tcW w:w="2252" w:type="dxa"/>
            <w:vAlign w:val="bottom"/>
          </w:tcPr>
          <w:p w14:paraId="1FDF0313" w14:textId="1A9AE594" w:rsidR="00E939BE" w:rsidRPr="00CF3EC7" w:rsidRDefault="00E939BE" w:rsidP="00E939BE">
            <w:pPr>
              <w:widowControl w:val="0"/>
              <w:pBdr>
                <w:top w:val="nil"/>
                <w:left w:val="nil"/>
                <w:bottom w:val="nil"/>
                <w:right w:val="nil"/>
                <w:between w:val="nil"/>
              </w:pBdr>
              <w:jc w:val="right"/>
              <w:rPr>
                <w:color w:val="0000FF"/>
                <w:sz w:val="16"/>
                <w:szCs w:val="16"/>
              </w:rPr>
            </w:pPr>
            <w:r w:rsidRPr="00CF3EC7">
              <w:rPr>
                <w:color w:val="0000FF"/>
                <w:sz w:val="16"/>
                <w:szCs w:val="16"/>
              </w:rPr>
              <w:t>[</w:t>
            </w:r>
            <w:r w:rsidR="00DF6F77" w:rsidRPr="00CF3EC7">
              <w:rPr>
                <w:color w:val="0000FF"/>
                <w:sz w:val="16"/>
                <w:szCs w:val="16"/>
              </w:rPr>
              <w:t>20</w:t>
            </w:r>
            <w:r w:rsidRPr="00CF3EC7">
              <w:rPr>
                <w:color w:val="0000FF"/>
                <w:sz w:val="16"/>
                <w:szCs w:val="16"/>
              </w:rPr>
              <w:t>-</w:t>
            </w:r>
            <w:r w:rsidR="00DF6F77" w:rsidRPr="00CF3EC7">
              <w:rPr>
                <w:color w:val="0000FF"/>
                <w:sz w:val="16"/>
                <w:szCs w:val="16"/>
              </w:rPr>
              <w:t>4</w:t>
            </w:r>
            <w:r w:rsidRPr="00CF3EC7">
              <w:rPr>
                <w:color w:val="0000FF"/>
                <w:sz w:val="16"/>
                <w:szCs w:val="16"/>
              </w:rPr>
              <w:t>0 days after invoice date]</w:t>
            </w:r>
          </w:p>
        </w:tc>
        <w:tc>
          <w:tcPr>
            <w:tcW w:w="1436" w:type="dxa"/>
            <w:vAlign w:val="bottom"/>
          </w:tcPr>
          <w:p w14:paraId="4985B8F5" w14:textId="436612EA" w:rsidR="00E939BE" w:rsidRPr="00CF3EC7" w:rsidRDefault="00DF6F77" w:rsidP="00E939BE">
            <w:pPr>
              <w:widowControl w:val="0"/>
              <w:pBdr>
                <w:top w:val="nil"/>
                <w:left w:val="nil"/>
                <w:bottom w:val="nil"/>
                <w:right w:val="nil"/>
                <w:between w:val="nil"/>
              </w:pBdr>
              <w:jc w:val="right"/>
              <w:rPr>
                <w:color w:val="0000FF"/>
                <w:sz w:val="16"/>
                <w:szCs w:val="16"/>
              </w:rPr>
            </w:pPr>
            <w:r w:rsidRPr="00CF3EC7">
              <w:rPr>
                <w:color w:val="0000FF"/>
                <w:sz w:val="16"/>
                <w:szCs w:val="16"/>
              </w:rPr>
              <w:t>[20-40 days after invoice date]</w:t>
            </w:r>
          </w:p>
        </w:tc>
      </w:tr>
      <w:tr w:rsidR="00E23555" w:rsidRPr="00CF3EC7" w14:paraId="135BF934" w14:textId="77777777" w:rsidTr="00CF3EC7">
        <w:trPr>
          <w:cantSplit/>
        </w:trPr>
        <w:tc>
          <w:tcPr>
            <w:tcW w:w="4320" w:type="dxa"/>
            <w:vAlign w:val="bottom"/>
          </w:tcPr>
          <w:p w14:paraId="12F6918C" w14:textId="4F2C5E92" w:rsidR="00E23555" w:rsidRPr="00CF3EC7" w:rsidRDefault="00E23555" w:rsidP="000C1F8F">
            <w:pPr>
              <w:widowControl w:val="0"/>
              <w:pBdr>
                <w:top w:val="nil"/>
                <w:left w:val="nil"/>
                <w:bottom w:val="nil"/>
                <w:right w:val="nil"/>
                <w:between w:val="nil"/>
              </w:pBdr>
              <w:tabs>
                <w:tab w:val="right" w:pos="8782"/>
              </w:tabs>
              <w:ind w:left="113" w:right="-57" w:hanging="113"/>
              <w:rPr>
                <w:color w:val="000000"/>
              </w:rPr>
            </w:pPr>
            <w:r w:rsidRPr="00CF3EC7">
              <w:rPr>
                <w:color w:val="000000"/>
              </w:rPr>
              <w:t>Comparable trade payables that are not part of the supplier finance arrangement (same line of business)</w:t>
            </w:r>
          </w:p>
        </w:tc>
        <w:tc>
          <w:tcPr>
            <w:tcW w:w="1260" w:type="dxa"/>
          </w:tcPr>
          <w:p w14:paraId="533CD821" w14:textId="77777777" w:rsidR="00E23555" w:rsidRPr="00CF3EC7" w:rsidRDefault="00E23555" w:rsidP="007D2F4D">
            <w:pPr>
              <w:widowControl w:val="0"/>
              <w:pBdr>
                <w:top w:val="nil"/>
                <w:left w:val="nil"/>
                <w:bottom w:val="nil"/>
                <w:right w:val="nil"/>
                <w:between w:val="nil"/>
              </w:pBdr>
              <w:jc w:val="right"/>
              <w:rPr>
                <w:color w:val="0000FF"/>
                <w:sz w:val="16"/>
                <w:szCs w:val="16"/>
              </w:rPr>
            </w:pPr>
          </w:p>
        </w:tc>
        <w:tc>
          <w:tcPr>
            <w:tcW w:w="2252" w:type="dxa"/>
            <w:vAlign w:val="bottom"/>
          </w:tcPr>
          <w:p w14:paraId="14BD022A" w14:textId="7434D8A2" w:rsidR="00E23555" w:rsidRPr="00CF3EC7" w:rsidRDefault="00DF6F77" w:rsidP="007D2F4D">
            <w:pPr>
              <w:widowControl w:val="0"/>
              <w:pBdr>
                <w:top w:val="nil"/>
                <w:left w:val="nil"/>
                <w:bottom w:val="nil"/>
                <w:right w:val="nil"/>
                <w:between w:val="nil"/>
              </w:pBdr>
              <w:jc w:val="right"/>
              <w:rPr>
                <w:color w:val="0000FF"/>
                <w:sz w:val="16"/>
                <w:szCs w:val="16"/>
              </w:rPr>
            </w:pPr>
            <w:r w:rsidRPr="00CF3EC7">
              <w:rPr>
                <w:color w:val="0000FF"/>
                <w:sz w:val="16"/>
                <w:szCs w:val="16"/>
              </w:rPr>
              <w:t>[0-25 days after invoice date]</w:t>
            </w:r>
          </w:p>
        </w:tc>
        <w:tc>
          <w:tcPr>
            <w:tcW w:w="1530" w:type="dxa"/>
            <w:gridSpan w:val="2"/>
            <w:vAlign w:val="bottom"/>
          </w:tcPr>
          <w:p w14:paraId="3208B6DD" w14:textId="2A67B7A3" w:rsidR="00E23555" w:rsidRPr="00CF3EC7" w:rsidRDefault="00E23555" w:rsidP="007D2F4D">
            <w:pPr>
              <w:widowControl w:val="0"/>
              <w:pBdr>
                <w:top w:val="nil"/>
                <w:left w:val="nil"/>
                <w:bottom w:val="nil"/>
                <w:right w:val="nil"/>
                <w:between w:val="nil"/>
              </w:pBdr>
              <w:jc w:val="right"/>
              <w:rPr>
                <w:color w:val="0000FF"/>
                <w:sz w:val="16"/>
                <w:szCs w:val="16"/>
              </w:rPr>
            </w:pPr>
            <w:r w:rsidRPr="00CF3EC7">
              <w:rPr>
                <w:color w:val="0000FF"/>
                <w:sz w:val="16"/>
                <w:szCs w:val="16"/>
              </w:rPr>
              <w:t>[0-25 days after invoice date]</w:t>
            </w:r>
          </w:p>
        </w:tc>
      </w:tr>
      <w:tr w:rsidR="00E23555" w:rsidRPr="00CF3EC7" w14:paraId="2AA565FB" w14:textId="77777777" w:rsidTr="00CF3EC7">
        <w:trPr>
          <w:cantSplit/>
        </w:trPr>
        <w:tc>
          <w:tcPr>
            <w:tcW w:w="4320" w:type="dxa"/>
            <w:vAlign w:val="bottom"/>
          </w:tcPr>
          <w:p w14:paraId="6CBE620D" w14:textId="77777777" w:rsidR="00E23555" w:rsidRPr="00CF3EC7" w:rsidRDefault="00E23555" w:rsidP="00203DA9">
            <w:pPr>
              <w:widowControl w:val="0"/>
              <w:pBdr>
                <w:top w:val="nil"/>
                <w:left w:val="nil"/>
                <w:bottom w:val="nil"/>
                <w:right w:val="nil"/>
                <w:between w:val="nil"/>
              </w:pBdr>
              <w:tabs>
                <w:tab w:val="right" w:pos="8782"/>
              </w:tabs>
              <w:ind w:left="113" w:right="-57" w:hanging="113"/>
              <w:rPr>
                <w:color w:val="000000"/>
              </w:rPr>
            </w:pPr>
          </w:p>
        </w:tc>
        <w:tc>
          <w:tcPr>
            <w:tcW w:w="1260" w:type="dxa"/>
          </w:tcPr>
          <w:p w14:paraId="0211788E" w14:textId="77777777" w:rsidR="00E23555" w:rsidRPr="00CF3EC7" w:rsidRDefault="00E23555" w:rsidP="007D2F4D">
            <w:pPr>
              <w:widowControl w:val="0"/>
              <w:pBdr>
                <w:top w:val="nil"/>
                <w:left w:val="nil"/>
                <w:bottom w:val="nil"/>
                <w:right w:val="nil"/>
                <w:between w:val="nil"/>
              </w:pBdr>
              <w:jc w:val="right"/>
              <w:rPr>
                <w:color w:val="FF0000"/>
              </w:rPr>
            </w:pPr>
          </w:p>
        </w:tc>
        <w:tc>
          <w:tcPr>
            <w:tcW w:w="2252" w:type="dxa"/>
            <w:vAlign w:val="bottom"/>
          </w:tcPr>
          <w:p w14:paraId="5EC46E94" w14:textId="603C3D88" w:rsidR="00E23555" w:rsidRPr="00CF3EC7" w:rsidRDefault="00E23555" w:rsidP="007D2F4D">
            <w:pPr>
              <w:widowControl w:val="0"/>
              <w:pBdr>
                <w:top w:val="nil"/>
                <w:left w:val="nil"/>
                <w:bottom w:val="nil"/>
                <w:right w:val="nil"/>
                <w:between w:val="nil"/>
              </w:pBdr>
              <w:jc w:val="right"/>
              <w:rPr>
                <w:color w:val="FF0000"/>
              </w:rPr>
            </w:pPr>
          </w:p>
        </w:tc>
        <w:tc>
          <w:tcPr>
            <w:tcW w:w="1530" w:type="dxa"/>
            <w:gridSpan w:val="2"/>
            <w:vAlign w:val="bottom"/>
          </w:tcPr>
          <w:p w14:paraId="30D3064C" w14:textId="77777777" w:rsidR="00E23555" w:rsidRPr="00CF3EC7" w:rsidRDefault="00E23555" w:rsidP="007D2F4D">
            <w:pPr>
              <w:widowControl w:val="0"/>
              <w:pBdr>
                <w:top w:val="nil"/>
                <w:left w:val="nil"/>
                <w:bottom w:val="nil"/>
                <w:right w:val="nil"/>
                <w:between w:val="nil"/>
              </w:pBdr>
              <w:jc w:val="right"/>
              <w:rPr>
                <w:color w:val="FF0000"/>
              </w:rPr>
            </w:pPr>
          </w:p>
        </w:tc>
      </w:tr>
      <w:tr w:rsidR="00E23555" w:rsidRPr="00CF3EC7" w14:paraId="6B87302D" w14:textId="77777777" w:rsidTr="00CF3EC7">
        <w:trPr>
          <w:cantSplit/>
        </w:trPr>
        <w:tc>
          <w:tcPr>
            <w:tcW w:w="4320" w:type="dxa"/>
            <w:vAlign w:val="bottom"/>
          </w:tcPr>
          <w:p w14:paraId="51BB7FD7" w14:textId="77777777" w:rsidR="00E23555" w:rsidRPr="00CF3EC7" w:rsidRDefault="00E23555" w:rsidP="00597485">
            <w:pPr>
              <w:widowControl w:val="0"/>
              <w:pBdr>
                <w:top w:val="nil"/>
                <w:left w:val="nil"/>
                <w:bottom w:val="nil"/>
                <w:right w:val="nil"/>
                <w:between w:val="nil"/>
              </w:pBdr>
              <w:ind w:left="113" w:right="-57" w:hanging="113"/>
              <w:rPr>
                <w:i/>
                <w:color w:val="000000"/>
              </w:rPr>
            </w:pPr>
          </w:p>
          <w:p w14:paraId="7CCEAD41" w14:textId="77777777" w:rsidR="00E23555" w:rsidRPr="00CF3EC7" w:rsidRDefault="00E23555" w:rsidP="00597485">
            <w:pPr>
              <w:widowControl w:val="0"/>
              <w:pBdr>
                <w:top w:val="nil"/>
                <w:left w:val="nil"/>
                <w:bottom w:val="nil"/>
                <w:right w:val="nil"/>
                <w:between w:val="nil"/>
              </w:pBdr>
              <w:ind w:left="113" w:right="-57" w:hanging="113"/>
              <w:rPr>
                <w:i/>
                <w:color w:val="000000"/>
              </w:rPr>
            </w:pPr>
          </w:p>
        </w:tc>
        <w:tc>
          <w:tcPr>
            <w:tcW w:w="1260" w:type="dxa"/>
          </w:tcPr>
          <w:p w14:paraId="0C7BEAB6" w14:textId="77777777" w:rsidR="00E23555" w:rsidRPr="00CF3EC7" w:rsidRDefault="00E23555" w:rsidP="00597485">
            <w:pPr>
              <w:widowControl w:val="0"/>
              <w:pBdr>
                <w:top w:val="nil"/>
                <w:left w:val="nil"/>
                <w:bottom w:val="nil"/>
                <w:right w:val="nil"/>
                <w:between w:val="nil"/>
              </w:pBdr>
              <w:jc w:val="right"/>
              <w:rPr>
                <w:b/>
                <w:color w:val="000000"/>
              </w:rPr>
            </w:pPr>
          </w:p>
        </w:tc>
        <w:tc>
          <w:tcPr>
            <w:tcW w:w="2252" w:type="dxa"/>
            <w:vAlign w:val="bottom"/>
          </w:tcPr>
          <w:p w14:paraId="1FD99ACA" w14:textId="7FDE414C" w:rsidR="00E23555" w:rsidRPr="00CF3EC7" w:rsidRDefault="00E23555" w:rsidP="00597485">
            <w:pPr>
              <w:widowControl w:val="0"/>
              <w:pBdr>
                <w:top w:val="nil"/>
                <w:left w:val="nil"/>
                <w:bottom w:val="nil"/>
                <w:right w:val="nil"/>
                <w:between w:val="nil"/>
              </w:pBdr>
              <w:jc w:val="right"/>
              <w:rPr>
                <w:b/>
                <w:color w:val="000000"/>
              </w:rPr>
            </w:pPr>
          </w:p>
        </w:tc>
        <w:tc>
          <w:tcPr>
            <w:tcW w:w="1530" w:type="dxa"/>
            <w:gridSpan w:val="2"/>
            <w:vAlign w:val="bottom"/>
          </w:tcPr>
          <w:p w14:paraId="7A13FABD" w14:textId="77777777" w:rsidR="00E23555" w:rsidRPr="00CF3EC7" w:rsidRDefault="00E23555" w:rsidP="00597485">
            <w:pPr>
              <w:widowControl w:val="0"/>
              <w:pBdr>
                <w:top w:val="nil"/>
                <w:left w:val="nil"/>
                <w:bottom w:val="nil"/>
                <w:right w:val="nil"/>
                <w:between w:val="nil"/>
              </w:pBdr>
              <w:jc w:val="right"/>
              <w:rPr>
                <w:b/>
                <w:color w:val="000000"/>
              </w:rPr>
            </w:pPr>
          </w:p>
        </w:tc>
      </w:tr>
    </w:tbl>
    <w:tbl>
      <w:tblPr>
        <w:tblStyle w:val="affffffffffe"/>
        <w:tblW w:w="9361" w:type="dxa"/>
        <w:tblLayout w:type="fixed"/>
        <w:tblLook w:val="0000" w:firstRow="0" w:lastRow="0" w:firstColumn="0" w:lastColumn="0" w:noHBand="0" w:noVBand="0"/>
      </w:tblPr>
      <w:tblGrid>
        <w:gridCol w:w="4410"/>
        <w:gridCol w:w="1620"/>
        <w:gridCol w:w="1800"/>
        <w:gridCol w:w="1531"/>
      </w:tblGrid>
      <w:tr w:rsidR="00E23555" w:rsidRPr="00CF3EC7" w14:paraId="2126481E" w14:textId="77777777" w:rsidTr="00E23555">
        <w:trPr>
          <w:cantSplit/>
        </w:trPr>
        <w:tc>
          <w:tcPr>
            <w:tcW w:w="4410" w:type="dxa"/>
            <w:tcBorders>
              <w:bottom w:val="single" w:sz="4" w:space="0" w:color="000000"/>
            </w:tcBorders>
            <w:vAlign w:val="bottom"/>
          </w:tcPr>
          <w:p w14:paraId="4F579EFF" w14:textId="77777777" w:rsidR="00E23555" w:rsidRPr="00CF3EC7" w:rsidRDefault="00E23555" w:rsidP="001373A0">
            <w:pPr>
              <w:keepNext/>
              <w:keepLines/>
              <w:widowControl w:val="0"/>
              <w:pBdr>
                <w:top w:val="nil"/>
                <w:left w:val="nil"/>
                <w:bottom w:val="nil"/>
                <w:right w:val="nil"/>
                <w:between w:val="nil"/>
              </w:pBdr>
              <w:ind w:left="113" w:right="-57" w:hanging="113"/>
              <w:rPr>
                <w:i/>
                <w:color w:val="000000"/>
              </w:rPr>
            </w:pPr>
            <w:bookmarkStart w:id="57" w:name="_Hlk181282221"/>
            <w:r w:rsidRPr="00CF3EC7">
              <w:rPr>
                <w:i/>
                <w:color w:val="000000"/>
              </w:rPr>
              <w:t>In thousands of EUR</w:t>
            </w:r>
          </w:p>
        </w:tc>
        <w:tc>
          <w:tcPr>
            <w:tcW w:w="1620" w:type="dxa"/>
            <w:tcBorders>
              <w:bottom w:val="single" w:sz="4" w:space="0" w:color="000000"/>
            </w:tcBorders>
            <w:vAlign w:val="bottom"/>
          </w:tcPr>
          <w:p w14:paraId="6F7B80E3" w14:textId="77777777" w:rsidR="00E23555" w:rsidRPr="00CF3EC7" w:rsidRDefault="00E23555" w:rsidP="001373A0">
            <w:pPr>
              <w:keepNext/>
              <w:keepLines/>
              <w:widowControl w:val="0"/>
              <w:pBdr>
                <w:top w:val="nil"/>
                <w:left w:val="nil"/>
                <w:bottom w:val="nil"/>
                <w:right w:val="nil"/>
                <w:between w:val="nil"/>
              </w:pBdr>
              <w:ind w:left="-57" w:right="-57"/>
              <w:jc w:val="center"/>
              <w:rPr>
                <w:b/>
                <w:color w:val="000000"/>
              </w:rPr>
            </w:pPr>
            <w:r w:rsidRPr="00CF3EC7">
              <w:rPr>
                <w:b/>
                <w:color w:val="000000"/>
              </w:rPr>
              <w:t>Note</w:t>
            </w:r>
          </w:p>
        </w:tc>
        <w:tc>
          <w:tcPr>
            <w:tcW w:w="1800" w:type="dxa"/>
            <w:tcBorders>
              <w:bottom w:val="single" w:sz="4" w:space="0" w:color="000000"/>
            </w:tcBorders>
            <w:vAlign w:val="bottom"/>
          </w:tcPr>
          <w:p w14:paraId="700C8603" w14:textId="190AE3E7" w:rsidR="00E23555" w:rsidRPr="00CF3EC7" w:rsidRDefault="008614F8" w:rsidP="001373A0">
            <w:pPr>
              <w:keepNext/>
              <w:keepLines/>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B7E238B" w14:textId="51D5E504" w:rsidR="00E23555" w:rsidRPr="00CF3EC7" w:rsidRDefault="00E06A92" w:rsidP="001373A0">
            <w:pPr>
              <w:keepNext/>
              <w:keepLines/>
              <w:widowControl w:val="0"/>
              <w:pBdr>
                <w:top w:val="nil"/>
                <w:left w:val="nil"/>
                <w:bottom w:val="nil"/>
                <w:right w:val="nil"/>
                <w:between w:val="nil"/>
              </w:pBdr>
              <w:jc w:val="right"/>
              <w:rPr>
                <w:b/>
                <w:color w:val="000000"/>
              </w:rPr>
            </w:pPr>
            <w:r>
              <w:rPr>
                <w:b/>
                <w:color w:val="000000"/>
              </w:rPr>
              <w:t>2024</w:t>
            </w:r>
          </w:p>
        </w:tc>
      </w:tr>
      <w:tr w:rsidR="00E23555" w:rsidRPr="00CF3EC7" w14:paraId="2B02BFDB" w14:textId="77777777" w:rsidTr="00E23555">
        <w:trPr>
          <w:cantSplit/>
        </w:trPr>
        <w:tc>
          <w:tcPr>
            <w:tcW w:w="4410" w:type="dxa"/>
            <w:vAlign w:val="bottom"/>
          </w:tcPr>
          <w:p w14:paraId="54A9585A" w14:textId="77777777" w:rsidR="00E23555" w:rsidRPr="00CF3EC7" w:rsidRDefault="00E23555" w:rsidP="001373A0">
            <w:pPr>
              <w:keepNext/>
              <w:keepLines/>
              <w:widowControl w:val="0"/>
              <w:pBdr>
                <w:top w:val="nil"/>
                <w:left w:val="nil"/>
                <w:bottom w:val="nil"/>
                <w:right w:val="nil"/>
                <w:between w:val="nil"/>
              </w:pBdr>
              <w:ind w:left="113" w:right="-57" w:hanging="113"/>
              <w:rPr>
                <w:color w:val="000000"/>
              </w:rPr>
            </w:pPr>
            <w:r w:rsidRPr="00CF3EC7">
              <w:rPr>
                <w:b/>
                <w:color w:val="000000"/>
              </w:rPr>
              <w:t> </w:t>
            </w:r>
          </w:p>
        </w:tc>
        <w:tc>
          <w:tcPr>
            <w:tcW w:w="1620" w:type="dxa"/>
            <w:vAlign w:val="bottom"/>
          </w:tcPr>
          <w:p w14:paraId="7FAF4A09" w14:textId="77777777" w:rsidR="00E23555" w:rsidRPr="00CF3EC7" w:rsidRDefault="00E23555" w:rsidP="001373A0">
            <w:pPr>
              <w:keepNext/>
              <w:keepLines/>
              <w:widowControl w:val="0"/>
              <w:pBdr>
                <w:top w:val="nil"/>
                <w:left w:val="nil"/>
                <w:bottom w:val="nil"/>
                <w:right w:val="nil"/>
                <w:between w:val="nil"/>
              </w:pBdr>
              <w:ind w:left="-57" w:right="-57"/>
              <w:jc w:val="center"/>
              <w:rPr>
                <w:color w:val="000000"/>
              </w:rPr>
            </w:pPr>
          </w:p>
        </w:tc>
        <w:tc>
          <w:tcPr>
            <w:tcW w:w="1800" w:type="dxa"/>
            <w:vAlign w:val="bottom"/>
          </w:tcPr>
          <w:p w14:paraId="02B83734" w14:textId="77777777" w:rsidR="00E23555" w:rsidRPr="00CF3EC7" w:rsidRDefault="00E23555" w:rsidP="001373A0">
            <w:pPr>
              <w:keepNext/>
              <w:keepLines/>
              <w:widowControl w:val="0"/>
              <w:pBdr>
                <w:top w:val="nil"/>
                <w:left w:val="nil"/>
                <w:bottom w:val="nil"/>
                <w:right w:val="nil"/>
                <w:between w:val="nil"/>
              </w:pBdr>
              <w:jc w:val="right"/>
              <w:rPr>
                <w:color w:val="000000"/>
              </w:rPr>
            </w:pPr>
          </w:p>
        </w:tc>
        <w:tc>
          <w:tcPr>
            <w:tcW w:w="1531" w:type="dxa"/>
            <w:vAlign w:val="bottom"/>
          </w:tcPr>
          <w:p w14:paraId="702A8A26" w14:textId="77777777" w:rsidR="00E23555" w:rsidRPr="00CF3EC7" w:rsidRDefault="00E23555" w:rsidP="001373A0">
            <w:pPr>
              <w:keepNext/>
              <w:keepLines/>
              <w:widowControl w:val="0"/>
              <w:pBdr>
                <w:top w:val="nil"/>
                <w:left w:val="nil"/>
                <w:bottom w:val="nil"/>
                <w:right w:val="nil"/>
                <w:between w:val="nil"/>
              </w:pBdr>
              <w:jc w:val="right"/>
              <w:rPr>
                <w:color w:val="000000"/>
              </w:rPr>
            </w:pPr>
          </w:p>
        </w:tc>
      </w:tr>
      <w:tr w:rsidR="00E23555" w:rsidRPr="00CF3EC7" w14:paraId="441682D3" w14:textId="77777777" w:rsidTr="00E23555">
        <w:trPr>
          <w:cantSplit/>
        </w:trPr>
        <w:tc>
          <w:tcPr>
            <w:tcW w:w="4410" w:type="dxa"/>
            <w:vAlign w:val="bottom"/>
          </w:tcPr>
          <w:p w14:paraId="2386FC44" w14:textId="1E33D17A" w:rsidR="00E23555" w:rsidRPr="00CF3EC7" w:rsidRDefault="00E23555" w:rsidP="001373A0">
            <w:pPr>
              <w:keepNext/>
              <w:keepLines/>
              <w:widowControl w:val="0"/>
              <w:pBdr>
                <w:top w:val="nil"/>
                <w:left w:val="nil"/>
                <w:bottom w:val="nil"/>
                <w:right w:val="nil"/>
                <w:between w:val="nil"/>
              </w:pBdr>
              <w:ind w:left="113" w:right="-57" w:hanging="113"/>
              <w:rPr>
                <w:color w:val="000000"/>
              </w:rPr>
            </w:pPr>
            <w:r w:rsidRPr="00CF3EC7">
              <w:rPr>
                <w:bCs/>
                <w:iCs/>
                <w:color w:val="000000"/>
              </w:rPr>
              <w:t xml:space="preserve">Carrying amount of payables under supplier finance arrangement </w:t>
            </w:r>
            <w:r w:rsidR="00CC51B7" w:rsidRPr="00CF3EC7">
              <w:rPr>
                <w:color w:val="000000"/>
              </w:rPr>
              <w:t>(included in Trade and Other Payable)</w:t>
            </w:r>
          </w:p>
        </w:tc>
        <w:tc>
          <w:tcPr>
            <w:tcW w:w="1620" w:type="dxa"/>
            <w:vAlign w:val="bottom"/>
          </w:tcPr>
          <w:p w14:paraId="0C889007" w14:textId="77777777" w:rsidR="00E23555" w:rsidRPr="00CF3EC7" w:rsidRDefault="00E23555" w:rsidP="001373A0">
            <w:pPr>
              <w:keepNext/>
              <w:keepLines/>
              <w:widowControl w:val="0"/>
              <w:pBdr>
                <w:top w:val="nil"/>
                <w:left w:val="nil"/>
                <w:bottom w:val="nil"/>
                <w:right w:val="nil"/>
                <w:between w:val="nil"/>
              </w:pBdr>
              <w:ind w:left="-57" w:right="-57"/>
              <w:jc w:val="center"/>
              <w:rPr>
                <w:color w:val="000000"/>
              </w:rPr>
            </w:pPr>
          </w:p>
        </w:tc>
        <w:tc>
          <w:tcPr>
            <w:tcW w:w="1800" w:type="dxa"/>
            <w:vAlign w:val="bottom"/>
          </w:tcPr>
          <w:p w14:paraId="6E0A0F6B" w14:textId="77777777" w:rsidR="00E23555" w:rsidRPr="00CF3EC7" w:rsidRDefault="00E23555" w:rsidP="001373A0">
            <w:pPr>
              <w:keepNext/>
              <w:keepLines/>
              <w:widowControl w:val="0"/>
              <w:pBdr>
                <w:top w:val="nil"/>
                <w:left w:val="nil"/>
                <w:bottom w:val="nil"/>
                <w:right w:val="nil"/>
                <w:between w:val="nil"/>
              </w:pBdr>
              <w:jc w:val="right"/>
              <w:rPr>
                <w:color w:val="000000"/>
              </w:rPr>
            </w:pPr>
          </w:p>
        </w:tc>
        <w:tc>
          <w:tcPr>
            <w:tcW w:w="1531" w:type="dxa"/>
            <w:vAlign w:val="bottom"/>
          </w:tcPr>
          <w:p w14:paraId="12FE6287" w14:textId="77777777" w:rsidR="00E23555" w:rsidRPr="00CF3EC7" w:rsidRDefault="00E23555" w:rsidP="001373A0">
            <w:pPr>
              <w:keepNext/>
              <w:keepLines/>
              <w:widowControl w:val="0"/>
              <w:pBdr>
                <w:top w:val="nil"/>
                <w:left w:val="nil"/>
                <w:bottom w:val="nil"/>
                <w:right w:val="nil"/>
                <w:between w:val="nil"/>
              </w:pBdr>
              <w:jc w:val="right"/>
              <w:rPr>
                <w:color w:val="000000"/>
              </w:rPr>
            </w:pPr>
          </w:p>
        </w:tc>
      </w:tr>
      <w:tr w:rsidR="00E23555" w:rsidRPr="00CF3EC7" w14:paraId="03842740" w14:textId="77777777" w:rsidTr="007F183E">
        <w:trPr>
          <w:cantSplit/>
        </w:trPr>
        <w:tc>
          <w:tcPr>
            <w:tcW w:w="4410" w:type="dxa"/>
            <w:vAlign w:val="bottom"/>
          </w:tcPr>
          <w:p w14:paraId="2EA5B1D2" w14:textId="11E7362E" w:rsidR="00E23555" w:rsidRPr="00CF3EC7" w:rsidRDefault="00E23555" w:rsidP="001373A0">
            <w:pPr>
              <w:keepNext/>
              <w:keepLines/>
              <w:widowControl w:val="0"/>
              <w:pBdr>
                <w:top w:val="nil"/>
                <w:left w:val="nil"/>
                <w:bottom w:val="nil"/>
                <w:right w:val="nil"/>
                <w:between w:val="nil"/>
              </w:pBdr>
              <w:ind w:left="113" w:right="-57" w:hanging="113"/>
              <w:rPr>
                <w:color w:val="000000"/>
              </w:rPr>
            </w:pPr>
            <w:r w:rsidRPr="00CF3EC7">
              <w:rPr>
                <w:bCs/>
                <w:iCs/>
                <w:color w:val="000000"/>
              </w:rPr>
              <w:t>Carrying amount of payables under supplier finance arrangement of which suppliers received payments from the finance provider</w:t>
            </w:r>
          </w:p>
        </w:tc>
        <w:tc>
          <w:tcPr>
            <w:tcW w:w="1620" w:type="dxa"/>
            <w:vAlign w:val="bottom"/>
          </w:tcPr>
          <w:p w14:paraId="25A37E9C" w14:textId="77777777" w:rsidR="00E23555" w:rsidRPr="00CF3EC7" w:rsidRDefault="00E23555" w:rsidP="001373A0">
            <w:pPr>
              <w:keepNext/>
              <w:keepLines/>
              <w:widowControl w:val="0"/>
              <w:pBdr>
                <w:top w:val="nil"/>
                <w:left w:val="nil"/>
                <w:bottom w:val="nil"/>
                <w:right w:val="nil"/>
                <w:between w:val="nil"/>
              </w:pBdr>
              <w:ind w:left="-57" w:right="-57"/>
              <w:jc w:val="center"/>
              <w:rPr>
                <w:color w:val="000000"/>
              </w:rPr>
            </w:pPr>
          </w:p>
        </w:tc>
        <w:tc>
          <w:tcPr>
            <w:tcW w:w="1800" w:type="dxa"/>
            <w:vAlign w:val="bottom"/>
          </w:tcPr>
          <w:p w14:paraId="0C3CFECB" w14:textId="77777777" w:rsidR="00E23555" w:rsidRPr="00CF3EC7" w:rsidRDefault="00E23555" w:rsidP="001373A0">
            <w:pPr>
              <w:keepNext/>
              <w:keepLines/>
              <w:widowControl w:val="0"/>
              <w:pBdr>
                <w:top w:val="nil"/>
                <w:left w:val="nil"/>
                <w:bottom w:val="nil"/>
                <w:right w:val="nil"/>
                <w:between w:val="nil"/>
              </w:pBdr>
              <w:jc w:val="right"/>
              <w:rPr>
                <w:color w:val="000000"/>
              </w:rPr>
            </w:pPr>
          </w:p>
        </w:tc>
        <w:tc>
          <w:tcPr>
            <w:tcW w:w="1531" w:type="dxa"/>
            <w:vAlign w:val="bottom"/>
          </w:tcPr>
          <w:p w14:paraId="1B07563D" w14:textId="77777777" w:rsidR="00E23555" w:rsidRPr="00CF3EC7" w:rsidRDefault="00E23555" w:rsidP="001373A0">
            <w:pPr>
              <w:keepNext/>
              <w:keepLines/>
              <w:widowControl w:val="0"/>
              <w:pBdr>
                <w:top w:val="nil"/>
                <w:left w:val="nil"/>
                <w:bottom w:val="nil"/>
                <w:right w:val="nil"/>
                <w:between w:val="nil"/>
              </w:pBdr>
              <w:jc w:val="right"/>
              <w:rPr>
                <w:color w:val="000000"/>
              </w:rPr>
            </w:pPr>
          </w:p>
        </w:tc>
      </w:tr>
      <w:tr w:rsidR="00E23555" w:rsidRPr="00CF3EC7" w14:paraId="7B2B706F" w14:textId="77777777" w:rsidTr="007F183E">
        <w:trPr>
          <w:cantSplit/>
        </w:trPr>
        <w:tc>
          <w:tcPr>
            <w:tcW w:w="4410" w:type="dxa"/>
            <w:tcBorders>
              <w:bottom w:val="single" w:sz="2" w:space="0" w:color="auto"/>
            </w:tcBorders>
            <w:vAlign w:val="bottom"/>
          </w:tcPr>
          <w:p w14:paraId="1032AFA5" w14:textId="77777777" w:rsidR="00E23555" w:rsidRPr="00CF3EC7" w:rsidRDefault="00E23555" w:rsidP="001373A0">
            <w:pPr>
              <w:widowControl w:val="0"/>
              <w:pBdr>
                <w:top w:val="nil"/>
                <w:left w:val="nil"/>
                <w:bottom w:val="nil"/>
                <w:right w:val="nil"/>
                <w:between w:val="nil"/>
              </w:pBdr>
              <w:ind w:left="113" w:right="-57" w:hanging="113"/>
              <w:rPr>
                <w:color w:val="000000"/>
              </w:rPr>
            </w:pPr>
            <w:r w:rsidRPr="00CF3EC7">
              <w:rPr>
                <w:b/>
                <w:color w:val="000000"/>
              </w:rPr>
              <w:t> </w:t>
            </w:r>
          </w:p>
        </w:tc>
        <w:tc>
          <w:tcPr>
            <w:tcW w:w="1620" w:type="dxa"/>
            <w:tcBorders>
              <w:bottom w:val="single" w:sz="2" w:space="0" w:color="auto"/>
            </w:tcBorders>
            <w:vAlign w:val="bottom"/>
          </w:tcPr>
          <w:p w14:paraId="03890464" w14:textId="77777777" w:rsidR="00E23555" w:rsidRPr="00CF3EC7" w:rsidRDefault="00E23555" w:rsidP="001373A0">
            <w:pPr>
              <w:widowControl w:val="0"/>
              <w:pBdr>
                <w:top w:val="nil"/>
                <w:left w:val="nil"/>
                <w:bottom w:val="nil"/>
                <w:right w:val="nil"/>
                <w:between w:val="nil"/>
              </w:pBdr>
              <w:ind w:left="-57" w:right="-57"/>
              <w:jc w:val="center"/>
              <w:rPr>
                <w:color w:val="000000"/>
              </w:rPr>
            </w:pPr>
          </w:p>
        </w:tc>
        <w:tc>
          <w:tcPr>
            <w:tcW w:w="1800" w:type="dxa"/>
            <w:tcBorders>
              <w:bottom w:val="single" w:sz="2" w:space="0" w:color="auto"/>
            </w:tcBorders>
            <w:vAlign w:val="bottom"/>
          </w:tcPr>
          <w:p w14:paraId="3A7A33B0" w14:textId="77777777" w:rsidR="00E23555" w:rsidRPr="00CF3EC7" w:rsidRDefault="00E23555" w:rsidP="001373A0">
            <w:pPr>
              <w:widowControl w:val="0"/>
              <w:pBdr>
                <w:top w:val="nil"/>
                <w:left w:val="nil"/>
                <w:bottom w:val="nil"/>
                <w:right w:val="nil"/>
                <w:between w:val="nil"/>
              </w:pBdr>
              <w:jc w:val="right"/>
              <w:rPr>
                <w:color w:val="000000"/>
              </w:rPr>
            </w:pPr>
          </w:p>
        </w:tc>
        <w:tc>
          <w:tcPr>
            <w:tcW w:w="1531" w:type="dxa"/>
            <w:tcBorders>
              <w:bottom w:val="single" w:sz="2" w:space="0" w:color="auto"/>
            </w:tcBorders>
            <w:vAlign w:val="bottom"/>
          </w:tcPr>
          <w:p w14:paraId="7D1DCC16" w14:textId="77777777" w:rsidR="00E23555" w:rsidRPr="00CF3EC7" w:rsidRDefault="00E23555" w:rsidP="001373A0">
            <w:pPr>
              <w:widowControl w:val="0"/>
              <w:pBdr>
                <w:top w:val="nil"/>
                <w:left w:val="nil"/>
                <w:bottom w:val="nil"/>
                <w:right w:val="nil"/>
                <w:between w:val="nil"/>
              </w:pBdr>
              <w:jc w:val="right"/>
              <w:rPr>
                <w:color w:val="000000"/>
              </w:rPr>
            </w:pPr>
          </w:p>
        </w:tc>
      </w:tr>
    </w:tbl>
    <w:bookmarkEnd w:id="57"/>
    <w:p w14:paraId="75C336A2"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34</w:t>
      </w:r>
      <w:r>
        <w:rPr>
          <w:b/>
          <w:color w:val="000000"/>
          <w:sz w:val="20"/>
          <w:szCs w:val="20"/>
        </w:rPr>
        <w:tab/>
        <w:t>Trade and Other Payables (Continued)</w:t>
      </w:r>
    </w:p>
    <w:p w14:paraId="5D13CE46" w14:textId="7CADB217" w:rsidR="008E5DE4" w:rsidRDefault="00780368">
      <w:pPr>
        <w:widowControl w:val="0"/>
        <w:spacing w:before="200" w:after="200"/>
        <w:jc w:val="both"/>
        <w:rPr>
          <w:i/>
          <w:color w:val="FF0000"/>
          <w:sz w:val="20"/>
          <w:szCs w:val="20"/>
        </w:rPr>
      </w:pPr>
      <w:r>
        <w:rPr>
          <w:sz w:val="20"/>
          <w:szCs w:val="20"/>
        </w:rPr>
        <w:t xml:space="preserve">Movements in the provision for financial guarantees in </w:t>
      </w:r>
      <w:r w:rsidR="008614F8">
        <w:rPr>
          <w:sz w:val="20"/>
          <w:szCs w:val="20"/>
        </w:rPr>
        <w:t>2025</w:t>
      </w:r>
      <w:r>
        <w:rPr>
          <w:sz w:val="20"/>
          <w:szCs w:val="20"/>
        </w:rPr>
        <w:t xml:space="preserve"> were as follows. </w:t>
      </w:r>
    </w:p>
    <w:tbl>
      <w:tblPr>
        <w:tblStyle w:val="affffffffff1"/>
        <w:tblW w:w="9356" w:type="dxa"/>
        <w:tblLayout w:type="fixed"/>
        <w:tblLook w:val="0000" w:firstRow="0" w:lastRow="0" w:firstColumn="0" w:lastColumn="0" w:noHBand="0" w:noVBand="0"/>
      </w:tblPr>
      <w:tblGrid>
        <w:gridCol w:w="3686"/>
        <w:gridCol w:w="1134"/>
        <w:gridCol w:w="1134"/>
        <w:gridCol w:w="1134"/>
        <w:gridCol w:w="1134"/>
        <w:gridCol w:w="1134"/>
      </w:tblGrid>
      <w:tr w:rsidR="008E5DE4" w14:paraId="0C0342AC" w14:textId="77777777">
        <w:trPr>
          <w:cantSplit/>
          <w:tblHeader/>
        </w:trPr>
        <w:tc>
          <w:tcPr>
            <w:tcW w:w="3686" w:type="dxa"/>
            <w:tcBorders>
              <w:bottom w:val="single" w:sz="4" w:space="0" w:color="000000"/>
            </w:tcBorders>
            <w:vAlign w:val="bottom"/>
          </w:tcPr>
          <w:p w14:paraId="5BDD4325"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5265DBF9"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28B4D120"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3BC78128"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6FB2AEC6"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34E7DA91"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3DB8B13C"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71742C5A" w14:textId="77777777" w:rsidR="008E5DE4" w:rsidRDefault="00780368">
            <w:pPr>
              <w:widowControl w:val="0"/>
              <w:pBdr>
                <w:top w:val="nil"/>
                <w:left w:val="nil"/>
                <w:bottom w:val="nil"/>
                <w:right w:val="nil"/>
                <w:between w:val="nil"/>
              </w:pBdr>
              <w:ind w:left="-113"/>
              <w:jc w:val="right"/>
              <w:rPr>
                <w:b/>
                <w:color w:val="000000"/>
              </w:rPr>
            </w:pPr>
            <w:r>
              <w:rPr>
                <w:b/>
                <w:color w:val="000000"/>
              </w:rPr>
              <w:t>Total provision</w:t>
            </w:r>
          </w:p>
        </w:tc>
        <w:tc>
          <w:tcPr>
            <w:tcW w:w="1134" w:type="dxa"/>
            <w:tcBorders>
              <w:bottom w:val="single" w:sz="4" w:space="0" w:color="000000"/>
            </w:tcBorders>
          </w:tcPr>
          <w:p w14:paraId="10D66592" w14:textId="77777777" w:rsidR="008E5DE4" w:rsidRDefault="00780368">
            <w:pPr>
              <w:widowControl w:val="0"/>
              <w:pBdr>
                <w:top w:val="nil"/>
                <w:left w:val="nil"/>
                <w:bottom w:val="nil"/>
                <w:right w:val="nil"/>
                <w:between w:val="nil"/>
              </w:pBdr>
              <w:ind w:left="-113"/>
              <w:jc w:val="right"/>
              <w:rPr>
                <w:b/>
                <w:color w:val="000000"/>
              </w:rPr>
            </w:pPr>
            <w:r>
              <w:rPr>
                <w:b/>
                <w:color w:val="000000"/>
              </w:rPr>
              <w:t>Gross guaranteed amount</w:t>
            </w:r>
          </w:p>
        </w:tc>
      </w:tr>
      <w:tr w:rsidR="008E5DE4" w14:paraId="20F5C987" w14:textId="77777777">
        <w:trPr>
          <w:cantSplit/>
        </w:trPr>
        <w:tc>
          <w:tcPr>
            <w:tcW w:w="3686" w:type="dxa"/>
            <w:tcBorders>
              <w:top w:val="single" w:sz="4" w:space="0" w:color="000000"/>
            </w:tcBorders>
            <w:vAlign w:val="bottom"/>
          </w:tcPr>
          <w:p w14:paraId="74216F89" w14:textId="77777777" w:rsidR="008E5DE4" w:rsidRDefault="008E5DE4">
            <w:pPr>
              <w:widowControl w:val="0"/>
              <w:pBdr>
                <w:top w:val="nil"/>
                <w:left w:val="nil"/>
                <w:bottom w:val="nil"/>
                <w:right w:val="nil"/>
                <w:between w:val="nil"/>
              </w:pBdr>
              <w:ind w:left="113" w:right="-57" w:hanging="113"/>
              <w:rPr>
                <w:b/>
                <w:color w:val="000000"/>
                <w:u w:val="single"/>
              </w:rPr>
            </w:pPr>
          </w:p>
        </w:tc>
        <w:tc>
          <w:tcPr>
            <w:tcW w:w="1134" w:type="dxa"/>
            <w:tcBorders>
              <w:top w:val="single" w:sz="4" w:space="0" w:color="000000"/>
            </w:tcBorders>
            <w:vAlign w:val="bottom"/>
          </w:tcPr>
          <w:p w14:paraId="41C0DDA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F04CF8D"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69B135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640BBA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tcPr>
          <w:p w14:paraId="0C6BDC79" w14:textId="77777777" w:rsidR="008E5DE4" w:rsidRDefault="008E5DE4">
            <w:pPr>
              <w:widowControl w:val="0"/>
              <w:pBdr>
                <w:top w:val="nil"/>
                <w:left w:val="nil"/>
                <w:bottom w:val="nil"/>
                <w:right w:val="nil"/>
                <w:between w:val="nil"/>
              </w:pBdr>
              <w:jc w:val="right"/>
              <w:rPr>
                <w:color w:val="000000"/>
              </w:rPr>
            </w:pPr>
          </w:p>
        </w:tc>
      </w:tr>
      <w:tr w:rsidR="008E5DE4" w14:paraId="0FA0655B" w14:textId="77777777">
        <w:trPr>
          <w:cantSplit/>
        </w:trPr>
        <w:tc>
          <w:tcPr>
            <w:tcW w:w="3686" w:type="dxa"/>
            <w:vAlign w:val="bottom"/>
          </w:tcPr>
          <w:p w14:paraId="10410308" w14:textId="77777777" w:rsidR="008E5DE4" w:rsidRDefault="008E5DE4">
            <w:pPr>
              <w:widowControl w:val="0"/>
              <w:pBdr>
                <w:top w:val="nil"/>
                <w:left w:val="nil"/>
                <w:bottom w:val="nil"/>
                <w:right w:val="nil"/>
                <w:between w:val="nil"/>
              </w:pBdr>
              <w:ind w:left="113" w:right="-57" w:hanging="113"/>
              <w:rPr>
                <w:b/>
                <w:color w:val="000000"/>
              </w:rPr>
            </w:pPr>
          </w:p>
        </w:tc>
        <w:tc>
          <w:tcPr>
            <w:tcW w:w="1134" w:type="dxa"/>
            <w:vAlign w:val="bottom"/>
          </w:tcPr>
          <w:p w14:paraId="291E0C3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C790A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305BF2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83C6AB" w14:textId="77777777" w:rsidR="008E5DE4" w:rsidRDefault="008E5DE4">
            <w:pPr>
              <w:widowControl w:val="0"/>
              <w:pBdr>
                <w:top w:val="nil"/>
                <w:left w:val="nil"/>
                <w:bottom w:val="nil"/>
                <w:right w:val="nil"/>
                <w:between w:val="nil"/>
              </w:pBdr>
              <w:jc w:val="right"/>
              <w:rPr>
                <w:color w:val="000000"/>
              </w:rPr>
            </w:pPr>
          </w:p>
        </w:tc>
        <w:tc>
          <w:tcPr>
            <w:tcW w:w="1134" w:type="dxa"/>
          </w:tcPr>
          <w:p w14:paraId="70693843" w14:textId="77777777" w:rsidR="008E5DE4" w:rsidRDefault="008E5DE4">
            <w:pPr>
              <w:widowControl w:val="0"/>
              <w:pBdr>
                <w:top w:val="nil"/>
                <w:left w:val="nil"/>
                <w:bottom w:val="nil"/>
                <w:right w:val="nil"/>
                <w:between w:val="nil"/>
              </w:pBdr>
              <w:jc w:val="right"/>
              <w:rPr>
                <w:color w:val="000000"/>
              </w:rPr>
            </w:pPr>
          </w:p>
        </w:tc>
      </w:tr>
      <w:tr w:rsidR="008E5DE4" w14:paraId="206C1CA9" w14:textId="77777777">
        <w:trPr>
          <w:cantSplit/>
        </w:trPr>
        <w:tc>
          <w:tcPr>
            <w:tcW w:w="3686" w:type="dxa"/>
            <w:vAlign w:val="bottom"/>
          </w:tcPr>
          <w:p w14:paraId="175D0B6F" w14:textId="512B5C2D" w:rsidR="008E5DE4" w:rsidRDefault="00780368">
            <w:pPr>
              <w:widowControl w:val="0"/>
              <w:pBdr>
                <w:top w:val="nil"/>
                <w:left w:val="nil"/>
                <w:bottom w:val="nil"/>
                <w:right w:val="nil"/>
                <w:between w:val="nil"/>
              </w:pBdr>
              <w:ind w:left="113" w:right="-57" w:hanging="113"/>
              <w:rPr>
                <w:b/>
                <w:color w:val="0000FF"/>
              </w:rPr>
            </w:pPr>
            <w:r>
              <w:rPr>
                <w:b/>
                <w:color w:val="000000"/>
              </w:rPr>
              <w:t xml:space="preserve">Provision for financial guarantees </w:t>
            </w:r>
            <w:proofErr w:type="gramStart"/>
            <w:r>
              <w:rPr>
                <w:b/>
                <w:color w:val="000000"/>
              </w:rPr>
              <w:t>at</w:t>
            </w:r>
            <w:proofErr w:type="gramEnd"/>
            <w:r>
              <w:rPr>
                <w:b/>
                <w:color w:val="000000"/>
              </w:rPr>
              <w:t xml:space="preserve"> 31 December </w:t>
            </w:r>
            <w:r w:rsidR="00E06A92">
              <w:rPr>
                <w:b/>
                <w:color w:val="000000"/>
              </w:rPr>
              <w:t>2024</w:t>
            </w:r>
          </w:p>
        </w:tc>
        <w:tc>
          <w:tcPr>
            <w:tcW w:w="1134" w:type="dxa"/>
            <w:vAlign w:val="bottom"/>
          </w:tcPr>
          <w:p w14:paraId="678C5DB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F41EC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4CB3D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79B53BD" w14:textId="77777777" w:rsidR="008E5DE4" w:rsidRDefault="008E5DE4">
            <w:pPr>
              <w:widowControl w:val="0"/>
              <w:pBdr>
                <w:top w:val="nil"/>
                <w:left w:val="nil"/>
                <w:bottom w:val="nil"/>
                <w:right w:val="nil"/>
                <w:between w:val="nil"/>
              </w:pBdr>
              <w:jc w:val="right"/>
              <w:rPr>
                <w:color w:val="000000"/>
              </w:rPr>
            </w:pPr>
          </w:p>
        </w:tc>
        <w:tc>
          <w:tcPr>
            <w:tcW w:w="1134" w:type="dxa"/>
          </w:tcPr>
          <w:p w14:paraId="6CE821F8" w14:textId="77777777" w:rsidR="008E5DE4" w:rsidRDefault="008E5DE4">
            <w:pPr>
              <w:widowControl w:val="0"/>
              <w:pBdr>
                <w:top w:val="nil"/>
                <w:left w:val="nil"/>
                <w:bottom w:val="nil"/>
                <w:right w:val="nil"/>
                <w:between w:val="nil"/>
              </w:pBdr>
              <w:jc w:val="right"/>
              <w:rPr>
                <w:color w:val="000000"/>
              </w:rPr>
            </w:pPr>
          </w:p>
        </w:tc>
      </w:tr>
      <w:tr w:rsidR="008E5DE4" w14:paraId="0D52AFB8" w14:textId="77777777">
        <w:trPr>
          <w:cantSplit/>
        </w:trPr>
        <w:tc>
          <w:tcPr>
            <w:tcW w:w="3686" w:type="dxa"/>
            <w:vAlign w:val="bottom"/>
          </w:tcPr>
          <w:p w14:paraId="6E9432B8"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466AA6F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4934D3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04D18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DE7E105" w14:textId="77777777" w:rsidR="008E5DE4" w:rsidRDefault="008E5DE4">
            <w:pPr>
              <w:widowControl w:val="0"/>
              <w:pBdr>
                <w:top w:val="nil"/>
                <w:left w:val="nil"/>
                <w:bottom w:val="nil"/>
                <w:right w:val="nil"/>
                <w:between w:val="nil"/>
              </w:pBdr>
              <w:jc w:val="right"/>
              <w:rPr>
                <w:color w:val="000000"/>
              </w:rPr>
            </w:pPr>
          </w:p>
        </w:tc>
        <w:tc>
          <w:tcPr>
            <w:tcW w:w="1134" w:type="dxa"/>
          </w:tcPr>
          <w:p w14:paraId="33B04BA4" w14:textId="77777777" w:rsidR="008E5DE4" w:rsidRDefault="008E5DE4">
            <w:pPr>
              <w:widowControl w:val="0"/>
              <w:pBdr>
                <w:top w:val="nil"/>
                <w:left w:val="nil"/>
                <w:bottom w:val="nil"/>
                <w:right w:val="nil"/>
                <w:between w:val="nil"/>
              </w:pBdr>
              <w:jc w:val="right"/>
              <w:rPr>
                <w:color w:val="000000"/>
              </w:rPr>
            </w:pPr>
          </w:p>
        </w:tc>
      </w:tr>
      <w:tr w:rsidR="008E5DE4" w14:paraId="341F0FCD" w14:textId="77777777">
        <w:trPr>
          <w:cantSplit/>
        </w:trPr>
        <w:tc>
          <w:tcPr>
            <w:tcW w:w="3686" w:type="dxa"/>
            <w:vAlign w:val="bottom"/>
          </w:tcPr>
          <w:p w14:paraId="382BD0DA" w14:textId="77777777" w:rsidR="008E5DE4" w:rsidRDefault="00780368">
            <w:pPr>
              <w:widowControl w:val="0"/>
              <w:pBdr>
                <w:top w:val="nil"/>
                <w:left w:val="nil"/>
                <w:bottom w:val="nil"/>
                <w:right w:val="nil"/>
                <w:between w:val="nil"/>
              </w:pBdr>
              <w:ind w:left="113" w:right="-57" w:hanging="113"/>
              <w:rPr>
                <w:i/>
                <w:color w:val="000000"/>
              </w:rPr>
            </w:pPr>
            <w:r>
              <w:rPr>
                <w:i/>
                <w:color w:val="000000"/>
              </w:rPr>
              <w:t>Movements with impact on provision for credit related commitments charge for the period:</w:t>
            </w:r>
          </w:p>
        </w:tc>
        <w:tc>
          <w:tcPr>
            <w:tcW w:w="1134" w:type="dxa"/>
            <w:vAlign w:val="bottom"/>
          </w:tcPr>
          <w:p w14:paraId="03F81F1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CCFA9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2B7234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6D1A7F3" w14:textId="77777777" w:rsidR="008E5DE4" w:rsidRDefault="008E5DE4">
            <w:pPr>
              <w:widowControl w:val="0"/>
              <w:pBdr>
                <w:top w:val="nil"/>
                <w:left w:val="nil"/>
                <w:bottom w:val="nil"/>
                <w:right w:val="nil"/>
                <w:between w:val="nil"/>
              </w:pBdr>
              <w:jc w:val="right"/>
              <w:rPr>
                <w:color w:val="000000"/>
              </w:rPr>
            </w:pPr>
          </w:p>
        </w:tc>
        <w:tc>
          <w:tcPr>
            <w:tcW w:w="1134" w:type="dxa"/>
          </w:tcPr>
          <w:p w14:paraId="2424D57E" w14:textId="77777777" w:rsidR="008E5DE4" w:rsidRDefault="008E5DE4">
            <w:pPr>
              <w:widowControl w:val="0"/>
              <w:pBdr>
                <w:top w:val="nil"/>
                <w:left w:val="nil"/>
                <w:bottom w:val="nil"/>
                <w:right w:val="nil"/>
                <w:between w:val="nil"/>
              </w:pBdr>
              <w:jc w:val="right"/>
              <w:rPr>
                <w:color w:val="000000"/>
              </w:rPr>
            </w:pPr>
          </w:p>
        </w:tc>
      </w:tr>
      <w:tr w:rsidR="008E5DE4" w14:paraId="0DA5C7A4" w14:textId="77777777">
        <w:trPr>
          <w:cantSplit/>
        </w:trPr>
        <w:tc>
          <w:tcPr>
            <w:tcW w:w="3686" w:type="dxa"/>
            <w:vAlign w:val="bottom"/>
          </w:tcPr>
          <w:p w14:paraId="26ADFAD3"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1134" w:type="dxa"/>
            <w:vAlign w:val="bottom"/>
          </w:tcPr>
          <w:p w14:paraId="7B7C31D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90DFF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EEDF9D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96ED38" w14:textId="77777777" w:rsidR="008E5DE4" w:rsidRDefault="008E5DE4">
            <w:pPr>
              <w:widowControl w:val="0"/>
              <w:pBdr>
                <w:top w:val="nil"/>
                <w:left w:val="nil"/>
                <w:bottom w:val="nil"/>
                <w:right w:val="nil"/>
                <w:between w:val="nil"/>
              </w:pBdr>
              <w:jc w:val="right"/>
              <w:rPr>
                <w:color w:val="000000"/>
              </w:rPr>
            </w:pPr>
          </w:p>
        </w:tc>
        <w:tc>
          <w:tcPr>
            <w:tcW w:w="1134" w:type="dxa"/>
          </w:tcPr>
          <w:p w14:paraId="3B17730F" w14:textId="77777777" w:rsidR="008E5DE4" w:rsidRDefault="008E5DE4">
            <w:pPr>
              <w:widowControl w:val="0"/>
              <w:pBdr>
                <w:top w:val="nil"/>
                <w:left w:val="nil"/>
                <w:bottom w:val="nil"/>
                <w:right w:val="nil"/>
                <w:between w:val="nil"/>
              </w:pBdr>
              <w:jc w:val="right"/>
              <w:rPr>
                <w:color w:val="000000"/>
              </w:rPr>
            </w:pPr>
          </w:p>
        </w:tc>
      </w:tr>
      <w:tr w:rsidR="008E5DE4" w14:paraId="309D2DC7" w14:textId="77777777">
        <w:trPr>
          <w:cantSplit/>
        </w:trPr>
        <w:tc>
          <w:tcPr>
            <w:tcW w:w="3686" w:type="dxa"/>
            <w:vAlign w:val="bottom"/>
          </w:tcPr>
          <w:p w14:paraId="2BE8931B"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1134" w:type="dxa"/>
            <w:vAlign w:val="bottom"/>
          </w:tcPr>
          <w:p w14:paraId="146032F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98F5A5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8968B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82F54C" w14:textId="77777777" w:rsidR="008E5DE4" w:rsidRDefault="008E5DE4">
            <w:pPr>
              <w:widowControl w:val="0"/>
              <w:pBdr>
                <w:top w:val="nil"/>
                <w:left w:val="nil"/>
                <w:bottom w:val="nil"/>
                <w:right w:val="nil"/>
                <w:between w:val="nil"/>
              </w:pBdr>
              <w:jc w:val="right"/>
              <w:rPr>
                <w:color w:val="000000"/>
              </w:rPr>
            </w:pPr>
          </w:p>
        </w:tc>
        <w:tc>
          <w:tcPr>
            <w:tcW w:w="1134" w:type="dxa"/>
          </w:tcPr>
          <w:p w14:paraId="18091CA9" w14:textId="77777777" w:rsidR="008E5DE4" w:rsidRDefault="008E5DE4">
            <w:pPr>
              <w:widowControl w:val="0"/>
              <w:pBdr>
                <w:top w:val="nil"/>
                <w:left w:val="nil"/>
                <w:bottom w:val="nil"/>
                <w:right w:val="nil"/>
                <w:between w:val="nil"/>
              </w:pBdr>
              <w:jc w:val="right"/>
              <w:rPr>
                <w:color w:val="000000"/>
              </w:rPr>
            </w:pPr>
          </w:p>
        </w:tc>
      </w:tr>
      <w:tr w:rsidR="008E5DE4" w14:paraId="13F2A896" w14:textId="77777777">
        <w:trPr>
          <w:cantSplit/>
        </w:trPr>
        <w:tc>
          <w:tcPr>
            <w:tcW w:w="3686" w:type="dxa"/>
            <w:vAlign w:val="bottom"/>
          </w:tcPr>
          <w:p w14:paraId="18F1FAFB"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1134" w:type="dxa"/>
            <w:vAlign w:val="bottom"/>
          </w:tcPr>
          <w:p w14:paraId="16363C8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9BDA26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B0B71C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192EFF" w14:textId="77777777" w:rsidR="008E5DE4" w:rsidRDefault="008E5DE4">
            <w:pPr>
              <w:widowControl w:val="0"/>
              <w:pBdr>
                <w:top w:val="nil"/>
                <w:left w:val="nil"/>
                <w:bottom w:val="nil"/>
                <w:right w:val="nil"/>
                <w:between w:val="nil"/>
              </w:pBdr>
              <w:jc w:val="right"/>
              <w:rPr>
                <w:color w:val="000000"/>
              </w:rPr>
            </w:pPr>
          </w:p>
        </w:tc>
        <w:tc>
          <w:tcPr>
            <w:tcW w:w="1134" w:type="dxa"/>
          </w:tcPr>
          <w:p w14:paraId="7E2CB397" w14:textId="77777777" w:rsidR="008E5DE4" w:rsidRDefault="008E5DE4">
            <w:pPr>
              <w:widowControl w:val="0"/>
              <w:pBdr>
                <w:top w:val="nil"/>
                <w:left w:val="nil"/>
                <w:bottom w:val="nil"/>
                <w:right w:val="nil"/>
                <w:between w:val="nil"/>
              </w:pBdr>
              <w:jc w:val="right"/>
              <w:rPr>
                <w:color w:val="000000"/>
              </w:rPr>
            </w:pPr>
          </w:p>
        </w:tc>
      </w:tr>
      <w:tr w:rsidR="008E5DE4" w14:paraId="50CBD268" w14:textId="77777777">
        <w:trPr>
          <w:cantSplit/>
        </w:trPr>
        <w:tc>
          <w:tcPr>
            <w:tcW w:w="3686" w:type="dxa"/>
            <w:vAlign w:val="bottom"/>
          </w:tcPr>
          <w:p w14:paraId="5F3A385D"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1134" w:type="dxa"/>
            <w:vAlign w:val="bottom"/>
          </w:tcPr>
          <w:p w14:paraId="579138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36411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16C0FE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AC11FA" w14:textId="77777777" w:rsidR="008E5DE4" w:rsidRDefault="008E5DE4">
            <w:pPr>
              <w:widowControl w:val="0"/>
              <w:pBdr>
                <w:top w:val="nil"/>
                <w:left w:val="nil"/>
                <w:bottom w:val="nil"/>
                <w:right w:val="nil"/>
                <w:between w:val="nil"/>
              </w:pBdr>
              <w:jc w:val="right"/>
              <w:rPr>
                <w:color w:val="000000"/>
              </w:rPr>
            </w:pPr>
          </w:p>
        </w:tc>
        <w:tc>
          <w:tcPr>
            <w:tcW w:w="1134" w:type="dxa"/>
          </w:tcPr>
          <w:p w14:paraId="793A689A" w14:textId="77777777" w:rsidR="008E5DE4" w:rsidRDefault="008E5DE4">
            <w:pPr>
              <w:widowControl w:val="0"/>
              <w:pBdr>
                <w:top w:val="nil"/>
                <w:left w:val="nil"/>
                <w:bottom w:val="nil"/>
                <w:right w:val="nil"/>
                <w:between w:val="nil"/>
              </w:pBdr>
              <w:jc w:val="right"/>
              <w:rPr>
                <w:color w:val="000000"/>
              </w:rPr>
            </w:pPr>
          </w:p>
        </w:tc>
      </w:tr>
      <w:tr w:rsidR="008E5DE4" w14:paraId="69B7E6AC" w14:textId="77777777">
        <w:trPr>
          <w:cantSplit/>
        </w:trPr>
        <w:tc>
          <w:tcPr>
            <w:tcW w:w="3686" w:type="dxa"/>
            <w:vAlign w:val="bottom"/>
          </w:tcPr>
          <w:p w14:paraId="3653C05D" w14:textId="77777777" w:rsidR="008E5DE4" w:rsidRDefault="00780368">
            <w:pPr>
              <w:widowControl w:val="0"/>
              <w:pBdr>
                <w:top w:val="nil"/>
                <w:left w:val="nil"/>
                <w:bottom w:val="nil"/>
                <w:right w:val="nil"/>
                <w:between w:val="nil"/>
              </w:pBdr>
              <w:ind w:left="113" w:right="-57" w:hanging="113"/>
              <w:rPr>
                <w:color w:val="000000"/>
              </w:rPr>
            </w:pPr>
            <w:r>
              <w:rPr>
                <w:color w:val="000000"/>
              </w:rPr>
              <w:t>Issued guarantees (fees charged)</w:t>
            </w:r>
          </w:p>
        </w:tc>
        <w:tc>
          <w:tcPr>
            <w:tcW w:w="1134" w:type="dxa"/>
            <w:vAlign w:val="bottom"/>
          </w:tcPr>
          <w:p w14:paraId="46078EC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AFDE7E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9B545F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4989B7" w14:textId="77777777" w:rsidR="008E5DE4" w:rsidRDefault="008E5DE4">
            <w:pPr>
              <w:widowControl w:val="0"/>
              <w:pBdr>
                <w:top w:val="nil"/>
                <w:left w:val="nil"/>
                <w:bottom w:val="nil"/>
                <w:right w:val="nil"/>
                <w:between w:val="nil"/>
              </w:pBdr>
              <w:jc w:val="right"/>
              <w:rPr>
                <w:color w:val="000000"/>
              </w:rPr>
            </w:pPr>
          </w:p>
        </w:tc>
        <w:tc>
          <w:tcPr>
            <w:tcW w:w="1134" w:type="dxa"/>
          </w:tcPr>
          <w:p w14:paraId="223516C9" w14:textId="77777777" w:rsidR="008E5DE4" w:rsidRDefault="008E5DE4">
            <w:pPr>
              <w:widowControl w:val="0"/>
              <w:pBdr>
                <w:top w:val="nil"/>
                <w:left w:val="nil"/>
                <w:bottom w:val="nil"/>
                <w:right w:val="nil"/>
                <w:between w:val="nil"/>
              </w:pBdr>
              <w:jc w:val="right"/>
              <w:rPr>
                <w:color w:val="000000"/>
              </w:rPr>
            </w:pPr>
          </w:p>
        </w:tc>
      </w:tr>
      <w:tr w:rsidR="008E5DE4" w14:paraId="1FFB6A11" w14:textId="77777777">
        <w:trPr>
          <w:cantSplit/>
        </w:trPr>
        <w:tc>
          <w:tcPr>
            <w:tcW w:w="3686" w:type="dxa"/>
            <w:vAlign w:val="bottom"/>
          </w:tcPr>
          <w:p w14:paraId="4F194387" w14:textId="77777777" w:rsidR="008E5DE4" w:rsidRDefault="00780368">
            <w:pPr>
              <w:widowControl w:val="0"/>
              <w:pBdr>
                <w:top w:val="nil"/>
                <w:left w:val="nil"/>
                <w:bottom w:val="nil"/>
                <w:right w:val="nil"/>
                <w:between w:val="nil"/>
              </w:pBdr>
              <w:ind w:left="113" w:right="-57" w:hanging="113"/>
              <w:rPr>
                <w:color w:val="000000"/>
              </w:rPr>
            </w:pPr>
            <w:r>
              <w:rPr>
                <w:color w:val="000000"/>
              </w:rPr>
              <w:t>Amortisation of deferred fee to income</w:t>
            </w:r>
          </w:p>
        </w:tc>
        <w:tc>
          <w:tcPr>
            <w:tcW w:w="1134" w:type="dxa"/>
            <w:vAlign w:val="bottom"/>
          </w:tcPr>
          <w:p w14:paraId="1740733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E91421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5A1A49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349AE2" w14:textId="77777777" w:rsidR="008E5DE4" w:rsidRDefault="008E5DE4">
            <w:pPr>
              <w:widowControl w:val="0"/>
              <w:pBdr>
                <w:top w:val="nil"/>
                <w:left w:val="nil"/>
                <w:bottom w:val="nil"/>
                <w:right w:val="nil"/>
                <w:between w:val="nil"/>
              </w:pBdr>
              <w:jc w:val="right"/>
              <w:rPr>
                <w:color w:val="000000"/>
              </w:rPr>
            </w:pPr>
          </w:p>
        </w:tc>
        <w:tc>
          <w:tcPr>
            <w:tcW w:w="1134" w:type="dxa"/>
          </w:tcPr>
          <w:p w14:paraId="2E26C25E" w14:textId="77777777" w:rsidR="008E5DE4" w:rsidRDefault="008E5DE4">
            <w:pPr>
              <w:widowControl w:val="0"/>
              <w:pBdr>
                <w:top w:val="nil"/>
                <w:left w:val="nil"/>
                <w:bottom w:val="nil"/>
                <w:right w:val="nil"/>
                <w:between w:val="nil"/>
              </w:pBdr>
              <w:jc w:val="right"/>
              <w:rPr>
                <w:color w:val="000000"/>
              </w:rPr>
            </w:pPr>
          </w:p>
        </w:tc>
      </w:tr>
      <w:tr w:rsidR="008E5DE4" w14:paraId="1C459B85" w14:textId="77777777">
        <w:trPr>
          <w:cantSplit/>
        </w:trPr>
        <w:tc>
          <w:tcPr>
            <w:tcW w:w="3686" w:type="dxa"/>
            <w:vAlign w:val="bottom"/>
          </w:tcPr>
          <w:p w14:paraId="0B20C075"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1134" w:type="dxa"/>
            <w:vAlign w:val="bottom"/>
          </w:tcPr>
          <w:p w14:paraId="0283F76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B745B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FB789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A4F3A23" w14:textId="77777777" w:rsidR="008E5DE4" w:rsidRDefault="008E5DE4">
            <w:pPr>
              <w:widowControl w:val="0"/>
              <w:pBdr>
                <w:top w:val="nil"/>
                <w:left w:val="nil"/>
                <w:bottom w:val="nil"/>
                <w:right w:val="nil"/>
                <w:between w:val="nil"/>
              </w:pBdr>
              <w:jc w:val="right"/>
              <w:rPr>
                <w:color w:val="000000"/>
              </w:rPr>
            </w:pPr>
          </w:p>
        </w:tc>
        <w:tc>
          <w:tcPr>
            <w:tcW w:w="1134" w:type="dxa"/>
          </w:tcPr>
          <w:p w14:paraId="3C762A68" w14:textId="77777777" w:rsidR="008E5DE4" w:rsidRDefault="008E5DE4">
            <w:pPr>
              <w:widowControl w:val="0"/>
              <w:pBdr>
                <w:top w:val="nil"/>
                <w:left w:val="nil"/>
                <w:bottom w:val="nil"/>
                <w:right w:val="nil"/>
                <w:between w:val="nil"/>
              </w:pBdr>
              <w:jc w:val="right"/>
              <w:rPr>
                <w:color w:val="000000"/>
              </w:rPr>
            </w:pPr>
          </w:p>
        </w:tc>
      </w:tr>
      <w:tr w:rsidR="008E5DE4" w14:paraId="74E78C21" w14:textId="77777777">
        <w:trPr>
          <w:cantSplit/>
        </w:trPr>
        <w:tc>
          <w:tcPr>
            <w:tcW w:w="3686" w:type="dxa"/>
            <w:vAlign w:val="bottom"/>
          </w:tcPr>
          <w:p w14:paraId="356BF896"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model assumptions</w:t>
            </w:r>
          </w:p>
        </w:tc>
        <w:tc>
          <w:tcPr>
            <w:tcW w:w="1134" w:type="dxa"/>
            <w:vAlign w:val="bottom"/>
          </w:tcPr>
          <w:p w14:paraId="0A2C5F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36A7FE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7B91CA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38D0FCD" w14:textId="77777777" w:rsidR="008E5DE4" w:rsidRDefault="008E5DE4">
            <w:pPr>
              <w:widowControl w:val="0"/>
              <w:pBdr>
                <w:top w:val="nil"/>
                <w:left w:val="nil"/>
                <w:bottom w:val="nil"/>
                <w:right w:val="nil"/>
                <w:between w:val="nil"/>
              </w:pBdr>
              <w:jc w:val="right"/>
              <w:rPr>
                <w:color w:val="000000"/>
              </w:rPr>
            </w:pPr>
          </w:p>
        </w:tc>
        <w:tc>
          <w:tcPr>
            <w:tcW w:w="1134" w:type="dxa"/>
          </w:tcPr>
          <w:p w14:paraId="35A42336" w14:textId="77777777" w:rsidR="008E5DE4" w:rsidRDefault="008E5DE4">
            <w:pPr>
              <w:widowControl w:val="0"/>
              <w:pBdr>
                <w:top w:val="nil"/>
                <w:left w:val="nil"/>
                <w:bottom w:val="nil"/>
                <w:right w:val="nil"/>
                <w:between w:val="nil"/>
              </w:pBdr>
              <w:jc w:val="right"/>
              <w:rPr>
                <w:color w:val="000000"/>
              </w:rPr>
            </w:pPr>
          </w:p>
        </w:tc>
      </w:tr>
      <w:tr w:rsidR="008E5DE4" w14:paraId="16E89C71" w14:textId="77777777">
        <w:trPr>
          <w:cantSplit/>
        </w:trPr>
        <w:tc>
          <w:tcPr>
            <w:tcW w:w="3686" w:type="dxa"/>
            <w:vAlign w:val="bottom"/>
          </w:tcPr>
          <w:p w14:paraId="71F7D30F"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discounting</w:t>
            </w:r>
          </w:p>
        </w:tc>
        <w:tc>
          <w:tcPr>
            <w:tcW w:w="1134" w:type="dxa"/>
            <w:vAlign w:val="bottom"/>
          </w:tcPr>
          <w:p w14:paraId="4B68D71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0F815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DE0C79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567493" w14:textId="77777777" w:rsidR="008E5DE4" w:rsidRDefault="008E5DE4">
            <w:pPr>
              <w:widowControl w:val="0"/>
              <w:pBdr>
                <w:top w:val="nil"/>
                <w:left w:val="nil"/>
                <w:bottom w:val="nil"/>
                <w:right w:val="nil"/>
                <w:between w:val="nil"/>
              </w:pBdr>
              <w:jc w:val="right"/>
              <w:rPr>
                <w:color w:val="000000"/>
              </w:rPr>
            </w:pPr>
          </w:p>
        </w:tc>
        <w:tc>
          <w:tcPr>
            <w:tcW w:w="1134" w:type="dxa"/>
          </w:tcPr>
          <w:p w14:paraId="56C3217D" w14:textId="77777777" w:rsidR="008E5DE4" w:rsidRDefault="008E5DE4">
            <w:pPr>
              <w:widowControl w:val="0"/>
              <w:pBdr>
                <w:top w:val="nil"/>
                <w:left w:val="nil"/>
                <w:bottom w:val="nil"/>
                <w:right w:val="nil"/>
                <w:between w:val="nil"/>
              </w:pBdr>
              <w:jc w:val="right"/>
              <w:rPr>
                <w:color w:val="000000"/>
              </w:rPr>
            </w:pPr>
          </w:p>
        </w:tc>
      </w:tr>
      <w:tr w:rsidR="008E5DE4" w14:paraId="4A66F1C5" w14:textId="77777777">
        <w:trPr>
          <w:cantSplit/>
        </w:trPr>
        <w:tc>
          <w:tcPr>
            <w:tcW w:w="3686" w:type="dxa"/>
            <w:vAlign w:val="bottom"/>
          </w:tcPr>
          <w:p w14:paraId="74C66155"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1134" w:type="dxa"/>
            <w:vAlign w:val="bottom"/>
          </w:tcPr>
          <w:p w14:paraId="7990E24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44B28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480BF1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2F2F4A" w14:textId="77777777" w:rsidR="008E5DE4" w:rsidRDefault="008E5DE4">
            <w:pPr>
              <w:widowControl w:val="0"/>
              <w:pBdr>
                <w:top w:val="nil"/>
                <w:left w:val="nil"/>
                <w:bottom w:val="nil"/>
                <w:right w:val="nil"/>
                <w:between w:val="nil"/>
              </w:pBdr>
              <w:jc w:val="right"/>
              <w:rPr>
                <w:color w:val="000000"/>
              </w:rPr>
            </w:pPr>
          </w:p>
        </w:tc>
        <w:tc>
          <w:tcPr>
            <w:tcW w:w="1134" w:type="dxa"/>
          </w:tcPr>
          <w:p w14:paraId="2F361F99" w14:textId="77777777" w:rsidR="008E5DE4" w:rsidRDefault="008E5DE4">
            <w:pPr>
              <w:widowControl w:val="0"/>
              <w:pBdr>
                <w:top w:val="nil"/>
                <w:left w:val="nil"/>
                <w:bottom w:val="nil"/>
                <w:right w:val="nil"/>
                <w:between w:val="nil"/>
              </w:pBdr>
              <w:jc w:val="right"/>
              <w:rPr>
                <w:color w:val="000000"/>
              </w:rPr>
            </w:pPr>
          </w:p>
        </w:tc>
      </w:tr>
      <w:tr w:rsidR="008E5DE4" w14:paraId="4EC83082" w14:textId="77777777">
        <w:trPr>
          <w:cantSplit/>
        </w:trPr>
        <w:tc>
          <w:tcPr>
            <w:tcW w:w="3686" w:type="dxa"/>
            <w:tcBorders>
              <w:bottom w:val="single" w:sz="4" w:space="0" w:color="000000"/>
            </w:tcBorders>
            <w:vAlign w:val="bottom"/>
          </w:tcPr>
          <w:p w14:paraId="6A55ED74"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7D8361A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445BD0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2707C8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066CEA4"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tcPr>
          <w:p w14:paraId="63124404" w14:textId="77777777" w:rsidR="008E5DE4" w:rsidRDefault="008E5DE4">
            <w:pPr>
              <w:widowControl w:val="0"/>
              <w:pBdr>
                <w:top w:val="nil"/>
                <w:left w:val="nil"/>
                <w:bottom w:val="nil"/>
                <w:right w:val="nil"/>
                <w:between w:val="nil"/>
              </w:pBdr>
              <w:jc w:val="right"/>
              <w:rPr>
                <w:color w:val="000000"/>
              </w:rPr>
            </w:pPr>
          </w:p>
        </w:tc>
      </w:tr>
      <w:tr w:rsidR="008E5DE4" w14:paraId="4D83A119" w14:textId="77777777">
        <w:trPr>
          <w:cantSplit/>
        </w:trPr>
        <w:tc>
          <w:tcPr>
            <w:tcW w:w="3686" w:type="dxa"/>
            <w:tcBorders>
              <w:top w:val="single" w:sz="4" w:space="0" w:color="000000"/>
            </w:tcBorders>
            <w:vAlign w:val="bottom"/>
          </w:tcPr>
          <w:p w14:paraId="70F9CA02"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9C7A650"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B44210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FB30A51"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29F8EEE"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tcPr>
          <w:p w14:paraId="4E3B2191" w14:textId="77777777" w:rsidR="008E5DE4" w:rsidRDefault="008E5DE4">
            <w:pPr>
              <w:widowControl w:val="0"/>
              <w:pBdr>
                <w:top w:val="nil"/>
                <w:left w:val="nil"/>
                <w:bottom w:val="nil"/>
                <w:right w:val="nil"/>
                <w:between w:val="nil"/>
              </w:pBdr>
              <w:jc w:val="right"/>
              <w:rPr>
                <w:color w:val="000000"/>
              </w:rPr>
            </w:pPr>
          </w:p>
        </w:tc>
      </w:tr>
      <w:tr w:rsidR="008E5DE4" w14:paraId="20A5C348" w14:textId="77777777">
        <w:trPr>
          <w:cantSplit/>
        </w:trPr>
        <w:tc>
          <w:tcPr>
            <w:tcW w:w="3686" w:type="dxa"/>
            <w:vAlign w:val="bottom"/>
          </w:tcPr>
          <w:p w14:paraId="4DC82BBA"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charge to profit or loss for the year</w:t>
            </w:r>
          </w:p>
        </w:tc>
        <w:tc>
          <w:tcPr>
            <w:tcW w:w="1134" w:type="dxa"/>
            <w:vAlign w:val="bottom"/>
          </w:tcPr>
          <w:p w14:paraId="13424AC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13B5D5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D79343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DD4F8D2" w14:textId="77777777" w:rsidR="008E5DE4" w:rsidRDefault="008E5DE4">
            <w:pPr>
              <w:widowControl w:val="0"/>
              <w:pBdr>
                <w:top w:val="nil"/>
                <w:left w:val="nil"/>
                <w:bottom w:val="nil"/>
                <w:right w:val="nil"/>
                <w:between w:val="nil"/>
              </w:pBdr>
              <w:jc w:val="right"/>
              <w:rPr>
                <w:color w:val="000000"/>
              </w:rPr>
            </w:pPr>
          </w:p>
        </w:tc>
        <w:tc>
          <w:tcPr>
            <w:tcW w:w="1134" w:type="dxa"/>
          </w:tcPr>
          <w:p w14:paraId="6E5A7E22" w14:textId="77777777" w:rsidR="008E5DE4" w:rsidRDefault="008E5DE4">
            <w:pPr>
              <w:widowControl w:val="0"/>
              <w:pBdr>
                <w:top w:val="nil"/>
                <w:left w:val="nil"/>
                <w:bottom w:val="nil"/>
                <w:right w:val="nil"/>
                <w:between w:val="nil"/>
              </w:pBdr>
              <w:jc w:val="right"/>
              <w:rPr>
                <w:color w:val="000000"/>
              </w:rPr>
            </w:pPr>
          </w:p>
        </w:tc>
      </w:tr>
      <w:tr w:rsidR="008E5DE4" w14:paraId="00507168" w14:textId="77777777">
        <w:trPr>
          <w:cantSplit/>
        </w:trPr>
        <w:tc>
          <w:tcPr>
            <w:tcW w:w="3686" w:type="dxa"/>
            <w:vAlign w:val="bottom"/>
          </w:tcPr>
          <w:p w14:paraId="12416E69"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7335700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17E47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3A4389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E1BDBC3" w14:textId="77777777" w:rsidR="008E5DE4" w:rsidRDefault="008E5DE4">
            <w:pPr>
              <w:widowControl w:val="0"/>
              <w:pBdr>
                <w:top w:val="nil"/>
                <w:left w:val="nil"/>
                <w:bottom w:val="nil"/>
                <w:right w:val="nil"/>
                <w:between w:val="nil"/>
              </w:pBdr>
              <w:jc w:val="right"/>
              <w:rPr>
                <w:color w:val="000000"/>
              </w:rPr>
            </w:pPr>
          </w:p>
        </w:tc>
        <w:tc>
          <w:tcPr>
            <w:tcW w:w="1134" w:type="dxa"/>
          </w:tcPr>
          <w:p w14:paraId="1DCA98B1" w14:textId="77777777" w:rsidR="008E5DE4" w:rsidRDefault="008E5DE4">
            <w:pPr>
              <w:widowControl w:val="0"/>
              <w:pBdr>
                <w:top w:val="nil"/>
                <w:left w:val="nil"/>
                <w:bottom w:val="nil"/>
                <w:right w:val="nil"/>
                <w:between w:val="nil"/>
              </w:pBdr>
              <w:jc w:val="right"/>
              <w:rPr>
                <w:color w:val="000000"/>
              </w:rPr>
            </w:pPr>
          </w:p>
        </w:tc>
      </w:tr>
      <w:tr w:rsidR="008E5DE4" w14:paraId="777911F5" w14:textId="77777777">
        <w:trPr>
          <w:cantSplit/>
        </w:trPr>
        <w:tc>
          <w:tcPr>
            <w:tcW w:w="3686" w:type="dxa"/>
            <w:tcBorders>
              <w:top w:val="single" w:sz="4" w:space="0" w:color="000000"/>
            </w:tcBorders>
            <w:vAlign w:val="bottom"/>
          </w:tcPr>
          <w:p w14:paraId="291B519D" w14:textId="77777777" w:rsidR="008E5DE4" w:rsidRDefault="008E5DE4">
            <w:pPr>
              <w:widowControl w:val="0"/>
              <w:pBdr>
                <w:top w:val="nil"/>
                <w:left w:val="nil"/>
                <w:bottom w:val="nil"/>
                <w:right w:val="nil"/>
                <w:between w:val="nil"/>
              </w:pBdr>
              <w:ind w:left="113" w:right="-57" w:hanging="113"/>
              <w:rPr>
                <w:b/>
                <w:i/>
                <w:color w:val="000000"/>
              </w:rPr>
            </w:pPr>
          </w:p>
        </w:tc>
        <w:tc>
          <w:tcPr>
            <w:tcW w:w="1134" w:type="dxa"/>
            <w:tcBorders>
              <w:top w:val="single" w:sz="4" w:space="0" w:color="000000"/>
            </w:tcBorders>
            <w:vAlign w:val="bottom"/>
          </w:tcPr>
          <w:p w14:paraId="1816BBA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B2A69D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52BF57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2758AB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tcPr>
          <w:p w14:paraId="52573AD6" w14:textId="77777777" w:rsidR="008E5DE4" w:rsidRDefault="008E5DE4">
            <w:pPr>
              <w:widowControl w:val="0"/>
              <w:pBdr>
                <w:top w:val="nil"/>
                <w:left w:val="nil"/>
                <w:bottom w:val="nil"/>
                <w:right w:val="nil"/>
                <w:between w:val="nil"/>
              </w:pBdr>
              <w:jc w:val="right"/>
              <w:rPr>
                <w:color w:val="000000"/>
              </w:rPr>
            </w:pPr>
          </w:p>
        </w:tc>
      </w:tr>
      <w:tr w:rsidR="008E5DE4" w14:paraId="7CB30DE4" w14:textId="77777777">
        <w:trPr>
          <w:cantSplit/>
        </w:trPr>
        <w:tc>
          <w:tcPr>
            <w:tcW w:w="3686" w:type="dxa"/>
            <w:vAlign w:val="bottom"/>
          </w:tcPr>
          <w:p w14:paraId="7AB2EB9F" w14:textId="77777777" w:rsidR="008E5DE4" w:rsidRDefault="00780368">
            <w:pPr>
              <w:widowControl w:val="0"/>
              <w:pBdr>
                <w:top w:val="nil"/>
                <w:left w:val="nil"/>
                <w:bottom w:val="nil"/>
                <w:right w:val="nil"/>
                <w:between w:val="nil"/>
              </w:pBdr>
              <w:ind w:left="113" w:right="-57" w:hanging="113"/>
              <w:rPr>
                <w:color w:val="000000"/>
              </w:rPr>
            </w:pPr>
            <w:r>
              <w:rPr>
                <w:i/>
                <w:color w:val="000000"/>
              </w:rPr>
              <w:t>Movements without impact on provision for credit related commitments charge for the period:</w:t>
            </w:r>
          </w:p>
        </w:tc>
        <w:tc>
          <w:tcPr>
            <w:tcW w:w="1134" w:type="dxa"/>
            <w:vAlign w:val="bottom"/>
          </w:tcPr>
          <w:p w14:paraId="3D062A4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0908E7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4B6D05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6444CB" w14:textId="77777777" w:rsidR="008E5DE4" w:rsidRDefault="008E5DE4">
            <w:pPr>
              <w:widowControl w:val="0"/>
              <w:pBdr>
                <w:top w:val="nil"/>
                <w:left w:val="nil"/>
                <w:bottom w:val="nil"/>
                <w:right w:val="nil"/>
                <w:between w:val="nil"/>
              </w:pBdr>
              <w:jc w:val="right"/>
              <w:rPr>
                <w:color w:val="000000"/>
              </w:rPr>
            </w:pPr>
          </w:p>
        </w:tc>
        <w:tc>
          <w:tcPr>
            <w:tcW w:w="1134" w:type="dxa"/>
          </w:tcPr>
          <w:p w14:paraId="75B004BF" w14:textId="77777777" w:rsidR="008E5DE4" w:rsidRDefault="008E5DE4">
            <w:pPr>
              <w:widowControl w:val="0"/>
              <w:pBdr>
                <w:top w:val="nil"/>
                <w:left w:val="nil"/>
                <w:bottom w:val="nil"/>
                <w:right w:val="nil"/>
                <w:between w:val="nil"/>
              </w:pBdr>
              <w:jc w:val="right"/>
              <w:rPr>
                <w:color w:val="000000"/>
              </w:rPr>
            </w:pPr>
          </w:p>
        </w:tc>
      </w:tr>
      <w:tr w:rsidR="008E5DE4" w14:paraId="53A0E611" w14:textId="77777777">
        <w:trPr>
          <w:cantSplit/>
        </w:trPr>
        <w:tc>
          <w:tcPr>
            <w:tcW w:w="3686" w:type="dxa"/>
            <w:vAlign w:val="bottom"/>
          </w:tcPr>
          <w:p w14:paraId="7C28E36D"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1134" w:type="dxa"/>
            <w:vAlign w:val="bottom"/>
          </w:tcPr>
          <w:p w14:paraId="47A9D9B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A110F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9EB7E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01B05E" w14:textId="77777777" w:rsidR="008E5DE4" w:rsidRDefault="008E5DE4">
            <w:pPr>
              <w:widowControl w:val="0"/>
              <w:pBdr>
                <w:top w:val="nil"/>
                <w:left w:val="nil"/>
                <w:bottom w:val="nil"/>
                <w:right w:val="nil"/>
                <w:between w:val="nil"/>
              </w:pBdr>
              <w:jc w:val="right"/>
              <w:rPr>
                <w:color w:val="000000"/>
              </w:rPr>
            </w:pPr>
          </w:p>
        </w:tc>
        <w:tc>
          <w:tcPr>
            <w:tcW w:w="1134" w:type="dxa"/>
          </w:tcPr>
          <w:p w14:paraId="22D800BC" w14:textId="77777777" w:rsidR="008E5DE4" w:rsidRDefault="008E5DE4">
            <w:pPr>
              <w:widowControl w:val="0"/>
              <w:pBdr>
                <w:top w:val="nil"/>
                <w:left w:val="nil"/>
                <w:bottom w:val="nil"/>
                <w:right w:val="nil"/>
                <w:between w:val="nil"/>
              </w:pBdr>
              <w:jc w:val="right"/>
              <w:rPr>
                <w:color w:val="000000"/>
              </w:rPr>
            </w:pPr>
          </w:p>
        </w:tc>
      </w:tr>
      <w:tr w:rsidR="008E5DE4" w14:paraId="039BCA15" w14:textId="77777777">
        <w:trPr>
          <w:cantSplit/>
        </w:trPr>
        <w:tc>
          <w:tcPr>
            <w:tcW w:w="3686" w:type="dxa"/>
            <w:vAlign w:val="bottom"/>
          </w:tcPr>
          <w:p w14:paraId="5EA6F5BD"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impact</w:t>
            </w:r>
          </w:p>
        </w:tc>
        <w:tc>
          <w:tcPr>
            <w:tcW w:w="1134" w:type="dxa"/>
            <w:vAlign w:val="bottom"/>
          </w:tcPr>
          <w:p w14:paraId="462E2C2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4609B7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93A545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DC27B87" w14:textId="77777777" w:rsidR="008E5DE4" w:rsidRDefault="008E5DE4">
            <w:pPr>
              <w:widowControl w:val="0"/>
              <w:pBdr>
                <w:top w:val="nil"/>
                <w:left w:val="nil"/>
                <w:bottom w:val="nil"/>
                <w:right w:val="nil"/>
                <w:between w:val="nil"/>
              </w:pBdr>
              <w:jc w:val="right"/>
              <w:rPr>
                <w:color w:val="000000"/>
              </w:rPr>
            </w:pPr>
          </w:p>
        </w:tc>
        <w:tc>
          <w:tcPr>
            <w:tcW w:w="1134" w:type="dxa"/>
          </w:tcPr>
          <w:p w14:paraId="7909AF6C" w14:textId="77777777" w:rsidR="008E5DE4" w:rsidRDefault="008E5DE4">
            <w:pPr>
              <w:widowControl w:val="0"/>
              <w:pBdr>
                <w:top w:val="nil"/>
                <w:left w:val="nil"/>
                <w:bottom w:val="nil"/>
                <w:right w:val="nil"/>
                <w:between w:val="nil"/>
              </w:pBdr>
              <w:jc w:val="right"/>
              <w:rPr>
                <w:color w:val="000000"/>
              </w:rPr>
            </w:pPr>
          </w:p>
        </w:tc>
      </w:tr>
      <w:tr w:rsidR="008E5DE4" w14:paraId="420E36C6" w14:textId="77777777">
        <w:trPr>
          <w:cantSplit/>
        </w:trPr>
        <w:tc>
          <w:tcPr>
            <w:tcW w:w="3686" w:type="dxa"/>
            <w:vAlign w:val="bottom"/>
          </w:tcPr>
          <w:p w14:paraId="0AA4473F"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1134" w:type="dxa"/>
            <w:vAlign w:val="bottom"/>
          </w:tcPr>
          <w:p w14:paraId="5B4DF78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91DE65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B1B3B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D8B685" w14:textId="77777777" w:rsidR="008E5DE4" w:rsidRDefault="008E5DE4">
            <w:pPr>
              <w:widowControl w:val="0"/>
              <w:pBdr>
                <w:top w:val="nil"/>
                <w:left w:val="nil"/>
                <w:bottom w:val="nil"/>
                <w:right w:val="nil"/>
                <w:between w:val="nil"/>
              </w:pBdr>
              <w:jc w:val="right"/>
              <w:rPr>
                <w:color w:val="000000"/>
              </w:rPr>
            </w:pPr>
          </w:p>
        </w:tc>
        <w:tc>
          <w:tcPr>
            <w:tcW w:w="1134" w:type="dxa"/>
          </w:tcPr>
          <w:p w14:paraId="2ADED7EC" w14:textId="77777777" w:rsidR="008E5DE4" w:rsidRDefault="008E5DE4">
            <w:pPr>
              <w:widowControl w:val="0"/>
              <w:pBdr>
                <w:top w:val="nil"/>
                <w:left w:val="nil"/>
                <w:bottom w:val="nil"/>
                <w:right w:val="nil"/>
                <w:between w:val="nil"/>
              </w:pBdr>
              <w:jc w:val="right"/>
              <w:rPr>
                <w:color w:val="000000"/>
              </w:rPr>
            </w:pPr>
          </w:p>
        </w:tc>
      </w:tr>
      <w:tr w:rsidR="008E5DE4" w14:paraId="2EF37016" w14:textId="77777777">
        <w:trPr>
          <w:cantSplit/>
        </w:trPr>
        <w:tc>
          <w:tcPr>
            <w:tcW w:w="3686" w:type="dxa"/>
            <w:vAlign w:val="bottom"/>
          </w:tcPr>
          <w:p w14:paraId="3658330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1134" w:type="dxa"/>
            <w:vAlign w:val="bottom"/>
          </w:tcPr>
          <w:p w14:paraId="70AB73D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C88753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A06BFE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FFC44C1" w14:textId="77777777" w:rsidR="008E5DE4" w:rsidRDefault="008E5DE4">
            <w:pPr>
              <w:widowControl w:val="0"/>
              <w:pBdr>
                <w:top w:val="nil"/>
                <w:left w:val="nil"/>
                <w:bottom w:val="nil"/>
                <w:right w:val="nil"/>
                <w:between w:val="nil"/>
              </w:pBdr>
              <w:jc w:val="right"/>
              <w:rPr>
                <w:color w:val="000000"/>
              </w:rPr>
            </w:pPr>
          </w:p>
        </w:tc>
        <w:tc>
          <w:tcPr>
            <w:tcW w:w="1134" w:type="dxa"/>
          </w:tcPr>
          <w:p w14:paraId="5BE6590F" w14:textId="77777777" w:rsidR="008E5DE4" w:rsidRDefault="008E5DE4">
            <w:pPr>
              <w:widowControl w:val="0"/>
              <w:pBdr>
                <w:top w:val="nil"/>
                <w:left w:val="nil"/>
                <w:bottom w:val="nil"/>
                <w:right w:val="nil"/>
                <w:between w:val="nil"/>
              </w:pBdr>
              <w:jc w:val="right"/>
              <w:rPr>
                <w:color w:val="000000"/>
              </w:rPr>
            </w:pPr>
          </w:p>
        </w:tc>
      </w:tr>
      <w:tr w:rsidR="008E5DE4" w14:paraId="5B6945A1" w14:textId="77777777">
        <w:trPr>
          <w:cantSplit/>
        </w:trPr>
        <w:tc>
          <w:tcPr>
            <w:tcW w:w="3686" w:type="dxa"/>
            <w:tcBorders>
              <w:bottom w:val="single" w:sz="4" w:space="0" w:color="000000"/>
            </w:tcBorders>
            <w:vAlign w:val="bottom"/>
          </w:tcPr>
          <w:p w14:paraId="4C1FDB73" w14:textId="77777777" w:rsidR="008E5DE4" w:rsidRDefault="008E5DE4">
            <w:pPr>
              <w:widowControl w:val="0"/>
              <w:pBdr>
                <w:top w:val="nil"/>
                <w:left w:val="nil"/>
                <w:bottom w:val="nil"/>
                <w:right w:val="nil"/>
                <w:between w:val="nil"/>
              </w:pBdr>
              <w:ind w:left="113" w:right="-57" w:hanging="113"/>
              <w:rPr>
                <w:b/>
                <w:color w:val="000000"/>
              </w:rPr>
            </w:pPr>
          </w:p>
        </w:tc>
        <w:tc>
          <w:tcPr>
            <w:tcW w:w="1134" w:type="dxa"/>
            <w:tcBorders>
              <w:bottom w:val="single" w:sz="4" w:space="0" w:color="000000"/>
            </w:tcBorders>
            <w:vAlign w:val="bottom"/>
          </w:tcPr>
          <w:p w14:paraId="7D32B45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1D3DB7E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63C54FF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399AD4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tcPr>
          <w:p w14:paraId="5998F12E" w14:textId="77777777" w:rsidR="008E5DE4" w:rsidRDefault="008E5DE4">
            <w:pPr>
              <w:widowControl w:val="0"/>
              <w:pBdr>
                <w:top w:val="nil"/>
                <w:left w:val="nil"/>
                <w:bottom w:val="nil"/>
                <w:right w:val="nil"/>
                <w:between w:val="nil"/>
              </w:pBdr>
              <w:jc w:val="right"/>
              <w:rPr>
                <w:color w:val="000000"/>
              </w:rPr>
            </w:pPr>
          </w:p>
        </w:tc>
      </w:tr>
      <w:tr w:rsidR="008E5DE4" w14:paraId="1A1B9BFE" w14:textId="77777777">
        <w:trPr>
          <w:cantSplit/>
        </w:trPr>
        <w:tc>
          <w:tcPr>
            <w:tcW w:w="3686" w:type="dxa"/>
            <w:tcBorders>
              <w:top w:val="single" w:sz="4" w:space="0" w:color="000000"/>
            </w:tcBorders>
            <w:vAlign w:val="bottom"/>
          </w:tcPr>
          <w:p w14:paraId="70A11C1C" w14:textId="77777777" w:rsidR="008E5DE4" w:rsidRDefault="008E5DE4">
            <w:pPr>
              <w:widowControl w:val="0"/>
              <w:pBdr>
                <w:top w:val="nil"/>
                <w:left w:val="nil"/>
                <w:bottom w:val="nil"/>
                <w:right w:val="nil"/>
                <w:between w:val="nil"/>
              </w:pBdr>
              <w:ind w:left="113" w:right="-57" w:hanging="113"/>
              <w:rPr>
                <w:b/>
                <w:color w:val="000000"/>
              </w:rPr>
            </w:pPr>
          </w:p>
        </w:tc>
        <w:tc>
          <w:tcPr>
            <w:tcW w:w="1134" w:type="dxa"/>
            <w:tcBorders>
              <w:top w:val="single" w:sz="4" w:space="0" w:color="000000"/>
            </w:tcBorders>
            <w:vAlign w:val="bottom"/>
          </w:tcPr>
          <w:p w14:paraId="6FC04A3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3EEC1D7C"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334017B"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7D298094"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tcPr>
          <w:p w14:paraId="3C36B71D" w14:textId="77777777" w:rsidR="008E5DE4" w:rsidRDefault="008E5DE4">
            <w:pPr>
              <w:widowControl w:val="0"/>
              <w:pBdr>
                <w:top w:val="nil"/>
                <w:left w:val="nil"/>
                <w:bottom w:val="nil"/>
                <w:right w:val="nil"/>
                <w:between w:val="nil"/>
              </w:pBdr>
              <w:jc w:val="right"/>
              <w:rPr>
                <w:color w:val="000000"/>
              </w:rPr>
            </w:pPr>
          </w:p>
        </w:tc>
      </w:tr>
      <w:tr w:rsidR="008E5DE4" w14:paraId="12870FF1" w14:textId="77777777">
        <w:trPr>
          <w:cantSplit/>
        </w:trPr>
        <w:tc>
          <w:tcPr>
            <w:tcW w:w="3686" w:type="dxa"/>
            <w:vAlign w:val="bottom"/>
          </w:tcPr>
          <w:p w14:paraId="303C2B8D" w14:textId="3D54849E" w:rsidR="008E5DE4" w:rsidRDefault="00780368">
            <w:pPr>
              <w:widowControl w:val="0"/>
              <w:pBdr>
                <w:top w:val="nil"/>
                <w:left w:val="nil"/>
                <w:bottom w:val="nil"/>
                <w:right w:val="nil"/>
                <w:between w:val="nil"/>
              </w:pBdr>
              <w:ind w:left="113" w:right="-57" w:hanging="113"/>
              <w:rPr>
                <w:b/>
                <w:color w:val="000000"/>
              </w:rPr>
            </w:pPr>
            <w:r>
              <w:rPr>
                <w:b/>
                <w:color w:val="000000"/>
              </w:rPr>
              <w:t xml:space="preserve">Provision for financial guarantees </w:t>
            </w:r>
            <w:proofErr w:type="gramStart"/>
            <w:r>
              <w:rPr>
                <w:b/>
                <w:color w:val="000000"/>
              </w:rPr>
              <w:t>at</w:t>
            </w:r>
            <w:proofErr w:type="gramEnd"/>
            <w:r>
              <w:rPr>
                <w:b/>
                <w:color w:val="000000"/>
              </w:rPr>
              <w:t xml:space="preserve"> 31 December </w:t>
            </w:r>
            <w:r w:rsidR="008614F8">
              <w:rPr>
                <w:b/>
                <w:color w:val="000000"/>
              </w:rPr>
              <w:t>2025</w:t>
            </w:r>
          </w:p>
        </w:tc>
        <w:tc>
          <w:tcPr>
            <w:tcW w:w="1134" w:type="dxa"/>
            <w:vAlign w:val="bottom"/>
          </w:tcPr>
          <w:p w14:paraId="0F5F969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121EF6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DEB4C7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6E15495" w14:textId="77777777" w:rsidR="008E5DE4" w:rsidRDefault="008E5DE4">
            <w:pPr>
              <w:widowControl w:val="0"/>
              <w:pBdr>
                <w:top w:val="nil"/>
                <w:left w:val="nil"/>
                <w:bottom w:val="nil"/>
                <w:right w:val="nil"/>
                <w:between w:val="nil"/>
              </w:pBdr>
              <w:jc w:val="right"/>
              <w:rPr>
                <w:color w:val="000000"/>
              </w:rPr>
            </w:pPr>
          </w:p>
        </w:tc>
        <w:tc>
          <w:tcPr>
            <w:tcW w:w="1134" w:type="dxa"/>
          </w:tcPr>
          <w:p w14:paraId="3D76D2F0" w14:textId="77777777" w:rsidR="008E5DE4" w:rsidRDefault="008E5DE4">
            <w:pPr>
              <w:widowControl w:val="0"/>
              <w:pBdr>
                <w:top w:val="nil"/>
                <w:left w:val="nil"/>
                <w:bottom w:val="nil"/>
                <w:right w:val="nil"/>
                <w:between w:val="nil"/>
              </w:pBdr>
              <w:jc w:val="right"/>
              <w:rPr>
                <w:color w:val="000000"/>
              </w:rPr>
            </w:pPr>
          </w:p>
        </w:tc>
      </w:tr>
      <w:tr w:rsidR="008E5DE4" w14:paraId="3C12FF41" w14:textId="77777777">
        <w:trPr>
          <w:cantSplit/>
        </w:trPr>
        <w:tc>
          <w:tcPr>
            <w:tcW w:w="3686" w:type="dxa"/>
            <w:tcBorders>
              <w:bottom w:val="single" w:sz="12" w:space="0" w:color="000000"/>
            </w:tcBorders>
            <w:vAlign w:val="bottom"/>
          </w:tcPr>
          <w:p w14:paraId="627B405A" w14:textId="77777777" w:rsidR="008E5DE4" w:rsidRDefault="008E5DE4">
            <w:pPr>
              <w:widowControl w:val="0"/>
              <w:pBdr>
                <w:top w:val="nil"/>
                <w:left w:val="nil"/>
                <w:bottom w:val="nil"/>
                <w:right w:val="nil"/>
                <w:between w:val="nil"/>
              </w:pBdr>
              <w:ind w:left="113" w:right="-57" w:hanging="113"/>
              <w:rPr>
                <w:color w:val="000000"/>
                <w:u w:val="single"/>
              </w:rPr>
            </w:pPr>
          </w:p>
        </w:tc>
        <w:tc>
          <w:tcPr>
            <w:tcW w:w="1134" w:type="dxa"/>
            <w:tcBorders>
              <w:bottom w:val="single" w:sz="12" w:space="0" w:color="000000"/>
            </w:tcBorders>
            <w:vAlign w:val="bottom"/>
          </w:tcPr>
          <w:p w14:paraId="2D60B88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7294DCB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53E4ADC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06EC7069"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tcPr>
          <w:p w14:paraId="37A124F1" w14:textId="77777777" w:rsidR="008E5DE4" w:rsidRDefault="008E5DE4">
            <w:pPr>
              <w:widowControl w:val="0"/>
              <w:pBdr>
                <w:top w:val="nil"/>
                <w:left w:val="nil"/>
                <w:bottom w:val="nil"/>
                <w:right w:val="nil"/>
                <w:between w:val="nil"/>
              </w:pBdr>
              <w:jc w:val="right"/>
              <w:rPr>
                <w:color w:val="000000"/>
              </w:rPr>
            </w:pPr>
          </w:p>
        </w:tc>
      </w:tr>
    </w:tbl>
    <w:p w14:paraId="3FD721F3"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34</w:t>
      </w:r>
      <w:r>
        <w:rPr>
          <w:b/>
          <w:color w:val="000000"/>
          <w:sz w:val="20"/>
          <w:szCs w:val="20"/>
        </w:rPr>
        <w:tab/>
        <w:t>Trade and Other Payables (Continued)</w:t>
      </w:r>
    </w:p>
    <w:p w14:paraId="3B3E501A" w14:textId="6A0F9D88" w:rsidR="008E5DE4" w:rsidRDefault="00780368">
      <w:pPr>
        <w:widowControl w:val="0"/>
        <w:spacing w:before="200" w:after="200"/>
        <w:jc w:val="both"/>
        <w:rPr>
          <w:i/>
          <w:color w:val="FF0000"/>
          <w:sz w:val="20"/>
          <w:szCs w:val="20"/>
        </w:rPr>
      </w:pPr>
      <w:r>
        <w:rPr>
          <w:sz w:val="20"/>
          <w:szCs w:val="20"/>
        </w:rPr>
        <w:t xml:space="preserve">Movements in the provision for financial guarantees in </w:t>
      </w:r>
      <w:r w:rsidR="00E06A92">
        <w:rPr>
          <w:sz w:val="20"/>
          <w:szCs w:val="20"/>
        </w:rPr>
        <w:t>2024</w:t>
      </w:r>
      <w:r>
        <w:rPr>
          <w:sz w:val="20"/>
          <w:szCs w:val="20"/>
        </w:rPr>
        <w:t xml:space="preserve"> were as follows. </w:t>
      </w:r>
    </w:p>
    <w:tbl>
      <w:tblPr>
        <w:tblStyle w:val="affffffffff2"/>
        <w:tblW w:w="9356" w:type="dxa"/>
        <w:tblLayout w:type="fixed"/>
        <w:tblLook w:val="0000" w:firstRow="0" w:lastRow="0" w:firstColumn="0" w:lastColumn="0" w:noHBand="0" w:noVBand="0"/>
      </w:tblPr>
      <w:tblGrid>
        <w:gridCol w:w="3686"/>
        <w:gridCol w:w="1134"/>
        <w:gridCol w:w="1134"/>
        <w:gridCol w:w="1134"/>
        <w:gridCol w:w="1134"/>
        <w:gridCol w:w="1134"/>
      </w:tblGrid>
      <w:tr w:rsidR="008E5DE4" w14:paraId="7CEBE33D" w14:textId="77777777">
        <w:trPr>
          <w:cantSplit/>
          <w:tblHeader/>
        </w:trPr>
        <w:tc>
          <w:tcPr>
            <w:tcW w:w="3686" w:type="dxa"/>
            <w:tcBorders>
              <w:bottom w:val="single" w:sz="4" w:space="0" w:color="000000"/>
            </w:tcBorders>
            <w:vAlign w:val="bottom"/>
          </w:tcPr>
          <w:p w14:paraId="6093D3B4"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222D8D90"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489C99BD"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3AC2CBFD"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5E188B11"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6E9BE310"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6D62DF7C"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05248FDC" w14:textId="77777777" w:rsidR="008E5DE4" w:rsidRDefault="00780368">
            <w:pPr>
              <w:widowControl w:val="0"/>
              <w:pBdr>
                <w:top w:val="nil"/>
                <w:left w:val="nil"/>
                <w:bottom w:val="nil"/>
                <w:right w:val="nil"/>
                <w:between w:val="nil"/>
              </w:pBdr>
              <w:ind w:left="-113"/>
              <w:jc w:val="right"/>
              <w:rPr>
                <w:b/>
                <w:color w:val="000000"/>
              </w:rPr>
            </w:pPr>
            <w:r>
              <w:rPr>
                <w:b/>
                <w:color w:val="000000"/>
              </w:rPr>
              <w:t>Total provision</w:t>
            </w:r>
          </w:p>
        </w:tc>
        <w:tc>
          <w:tcPr>
            <w:tcW w:w="1134" w:type="dxa"/>
            <w:tcBorders>
              <w:bottom w:val="single" w:sz="4" w:space="0" w:color="000000"/>
            </w:tcBorders>
          </w:tcPr>
          <w:p w14:paraId="66AFAF7B" w14:textId="77777777" w:rsidR="008E5DE4" w:rsidRDefault="00780368">
            <w:pPr>
              <w:widowControl w:val="0"/>
              <w:pBdr>
                <w:top w:val="nil"/>
                <w:left w:val="nil"/>
                <w:bottom w:val="nil"/>
                <w:right w:val="nil"/>
                <w:between w:val="nil"/>
              </w:pBdr>
              <w:ind w:left="-113"/>
              <w:jc w:val="right"/>
              <w:rPr>
                <w:b/>
                <w:color w:val="000000"/>
              </w:rPr>
            </w:pPr>
            <w:r>
              <w:rPr>
                <w:b/>
                <w:color w:val="000000"/>
              </w:rPr>
              <w:t>Gross guaranteed amount</w:t>
            </w:r>
          </w:p>
        </w:tc>
      </w:tr>
      <w:tr w:rsidR="008E5DE4" w14:paraId="0F584E69" w14:textId="77777777">
        <w:trPr>
          <w:cantSplit/>
        </w:trPr>
        <w:tc>
          <w:tcPr>
            <w:tcW w:w="3686" w:type="dxa"/>
            <w:tcBorders>
              <w:top w:val="single" w:sz="4" w:space="0" w:color="000000"/>
            </w:tcBorders>
            <w:vAlign w:val="bottom"/>
          </w:tcPr>
          <w:p w14:paraId="00798809" w14:textId="77777777" w:rsidR="008E5DE4" w:rsidRDefault="008E5DE4">
            <w:pPr>
              <w:widowControl w:val="0"/>
              <w:pBdr>
                <w:top w:val="nil"/>
                <w:left w:val="nil"/>
                <w:bottom w:val="nil"/>
                <w:right w:val="nil"/>
                <w:between w:val="nil"/>
              </w:pBdr>
              <w:ind w:left="113" w:right="-57" w:hanging="113"/>
              <w:rPr>
                <w:b/>
                <w:color w:val="000000"/>
                <w:u w:val="single"/>
              </w:rPr>
            </w:pPr>
          </w:p>
        </w:tc>
        <w:tc>
          <w:tcPr>
            <w:tcW w:w="1134" w:type="dxa"/>
            <w:tcBorders>
              <w:top w:val="single" w:sz="4" w:space="0" w:color="000000"/>
            </w:tcBorders>
            <w:vAlign w:val="bottom"/>
          </w:tcPr>
          <w:p w14:paraId="516471E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57259FA"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5EF28D75"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A299FD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tcPr>
          <w:p w14:paraId="49E5C8E1" w14:textId="77777777" w:rsidR="008E5DE4" w:rsidRDefault="008E5DE4">
            <w:pPr>
              <w:widowControl w:val="0"/>
              <w:pBdr>
                <w:top w:val="nil"/>
                <w:left w:val="nil"/>
                <w:bottom w:val="nil"/>
                <w:right w:val="nil"/>
                <w:between w:val="nil"/>
              </w:pBdr>
              <w:jc w:val="right"/>
              <w:rPr>
                <w:color w:val="000000"/>
              </w:rPr>
            </w:pPr>
          </w:p>
        </w:tc>
      </w:tr>
      <w:tr w:rsidR="008E5DE4" w14:paraId="56F75B2B" w14:textId="77777777">
        <w:trPr>
          <w:cantSplit/>
        </w:trPr>
        <w:tc>
          <w:tcPr>
            <w:tcW w:w="3686" w:type="dxa"/>
            <w:vAlign w:val="bottom"/>
          </w:tcPr>
          <w:p w14:paraId="49C4D07C" w14:textId="77777777" w:rsidR="008E5DE4" w:rsidRDefault="008E5DE4">
            <w:pPr>
              <w:widowControl w:val="0"/>
              <w:pBdr>
                <w:top w:val="nil"/>
                <w:left w:val="nil"/>
                <w:bottom w:val="nil"/>
                <w:right w:val="nil"/>
                <w:between w:val="nil"/>
              </w:pBdr>
              <w:ind w:left="113" w:right="-57" w:hanging="113"/>
              <w:rPr>
                <w:b/>
                <w:color w:val="000000"/>
              </w:rPr>
            </w:pPr>
          </w:p>
        </w:tc>
        <w:tc>
          <w:tcPr>
            <w:tcW w:w="1134" w:type="dxa"/>
            <w:vAlign w:val="bottom"/>
          </w:tcPr>
          <w:p w14:paraId="1E7F03A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9BD13D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AFBD1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1F69B03" w14:textId="77777777" w:rsidR="008E5DE4" w:rsidRDefault="008E5DE4">
            <w:pPr>
              <w:widowControl w:val="0"/>
              <w:pBdr>
                <w:top w:val="nil"/>
                <w:left w:val="nil"/>
                <w:bottom w:val="nil"/>
                <w:right w:val="nil"/>
                <w:between w:val="nil"/>
              </w:pBdr>
              <w:jc w:val="right"/>
              <w:rPr>
                <w:color w:val="000000"/>
              </w:rPr>
            </w:pPr>
          </w:p>
        </w:tc>
        <w:tc>
          <w:tcPr>
            <w:tcW w:w="1134" w:type="dxa"/>
          </w:tcPr>
          <w:p w14:paraId="5CA592A3" w14:textId="77777777" w:rsidR="008E5DE4" w:rsidRDefault="008E5DE4">
            <w:pPr>
              <w:widowControl w:val="0"/>
              <w:pBdr>
                <w:top w:val="nil"/>
                <w:left w:val="nil"/>
                <w:bottom w:val="nil"/>
                <w:right w:val="nil"/>
                <w:between w:val="nil"/>
              </w:pBdr>
              <w:jc w:val="right"/>
              <w:rPr>
                <w:color w:val="000000"/>
              </w:rPr>
            </w:pPr>
          </w:p>
        </w:tc>
      </w:tr>
      <w:tr w:rsidR="008E5DE4" w14:paraId="050E29F5" w14:textId="77777777">
        <w:trPr>
          <w:cantSplit/>
        </w:trPr>
        <w:tc>
          <w:tcPr>
            <w:tcW w:w="3686" w:type="dxa"/>
            <w:vAlign w:val="bottom"/>
          </w:tcPr>
          <w:p w14:paraId="6A71664C" w14:textId="580154EF" w:rsidR="008E5DE4" w:rsidRDefault="00780368">
            <w:pPr>
              <w:widowControl w:val="0"/>
              <w:pBdr>
                <w:top w:val="nil"/>
                <w:left w:val="nil"/>
                <w:bottom w:val="nil"/>
                <w:right w:val="nil"/>
                <w:between w:val="nil"/>
              </w:pBdr>
              <w:ind w:left="113" w:right="-57" w:hanging="113"/>
              <w:rPr>
                <w:b/>
                <w:color w:val="0000FF"/>
              </w:rPr>
            </w:pPr>
            <w:r>
              <w:rPr>
                <w:b/>
                <w:color w:val="000000"/>
              </w:rPr>
              <w:t xml:space="preserve">Provision for financial guarantees </w:t>
            </w:r>
            <w:proofErr w:type="gramStart"/>
            <w:r>
              <w:rPr>
                <w:b/>
                <w:color w:val="000000"/>
              </w:rPr>
              <w:t>at</w:t>
            </w:r>
            <w:proofErr w:type="gramEnd"/>
            <w:r>
              <w:rPr>
                <w:b/>
                <w:color w:val="000000"/>
              </w:rPr>
              <w:t xml:space="preserve"> 1 January </w:t>
            </w:r>
            <w:r w:rsidR="00E06A92">
              <w:rPr>
                <w:b/>
                <w:color w:val="000000"/>
              </w:rPr>
              <w:t>2024</w:t>
            </w:r>
          </w:p>
        </w:tc>
        <w:tc>
          <w:tcPr>
            <w:tcW w:w="1134" w:type="dxa"/>
            <w:vAlign w:val="bottom"/>
          </w:tcPr>
          <w:p w14:paraId="1B6E5E1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41D0C3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6BAFF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3498F7C" w14:textId="77777777" w:rsidR="008E5DE4" w:rsidRDefault="008E5DE4">
            <w:pPr>
              <w:widowControl w:val="0"/>
              <w:pBdr>
                <w:top w:val="nil"/>
                <w:left w:val="nil"/>
                <w:bottom w:val="nil"/>
                <w:right w:val="nil"/>
                <w:between w:val="nil"/>
              </w:pBdr>
              <w:jc w:val="right"/>
              <w:rPr>
                <w:color w:val="000000"/>
              </w:rPr>
            </w:pPr>
          </w:p>
        </w:tc>
        <w:tc>
          <w:tcPr>
            <w:tcW w:w="1134" w:type="dxa"/>
          </w:tcPr>
          <w:p w14:paraId="48126735" w14:textId="77777777" w:rsidR="008E5DE4" w:rsidRDefault="008E5DE4">
            <w:pPr>
              <w:widowControl w:val="0"/>
              <w:pBdr>
                <w:top w:val="nil"/>
                <w:left w:val="nil"/>
                <w:bottom w:val="nil"/>
                <w:right w:val="nil"/>
                <w:between w:val="nil"/>
              </w:pBdr>
              <w:jc w:val="right"/>
              <w:rPr>
                <w:color w:val="000000"/>
              </w:rPr>
            </w:pPr>
          </w:p>
        </w:tc>
      </w:tr>
      <w:tr w:rsidR="008E5DE4" w14:paraId="0AE097D6" w14:textId="77777777">
        <w:trPr>
          <w:cantSplit/>
        </w:trPr>
        <w:tc>
          <w:tcPr>
            <w:tcW w:w="3686" w:type="dxa"/>
            <w:vAlign w:val="bottom"/>
          </w:tcPr>
          <w:p w14:paraId="0B6C5D58"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5745BB6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34493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5E9D68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D75262" w14:textId="77777777" w:rsidR="008E5DE4" w:rsidRDefault="008E5DE4">
            <w:pPr>
              <w:widowControl w:val="0"/>
              <w:pBdr>
                <w:top w:val="nil"/>
                <w:left w:val="nil"/>
                <w:bottom w:val="nil"/>
                <w:right w:val="nil"/>
                <w:between w:val="nil"/>
              </w:pBdr>
              <w:jc w:val="right"/>
              <w:rPr>
                <w:color w:val="000000"/>
              </w:rPr>
            </w:pPr>
          </w:p>
        </w:tc>
        <w:tc>
          <w:tcPr>
            <w:tcW w:w="1134" w:type="dxa"/>
          </w:tcPr>
          <w:p w14:paraId="0D803792" w14:textId="77777777" w:rsidR="008E5DE4" w:rsidRDefault="008E5DE4">
            <w:pPr>
              <w:widowControl w:val="0"/>
              <w:pBdr>
                <w:top w:val="nil"/>
                <w:left w:val="nil"/>
                <w:bottom w:val="nil"/>
                <w:right w:val="nil"/>
                <w:between w:val="nil"/>
              </w:pBdr>
              <w:jc w:val="right"/>
              <w:rPr>
                <w:color w:val="000000"/>
              </w:rPr>
            </w:pPr>
          </w:p>
        </w:tc>
      </w:tr>
      <w:tr w:rsidR="008E5DE4" w14:paraId="7C71A9B2" w14:textId="77777777">
        <w:trPr>
          <w:cantSplit/>
        </w:trPr>
        <w:tc>
          <w:tcPr>
            <w:tcW w:w="3686" w:type="dxa"/>
            <w:vAlign w:val="bottom"/>
          </w:tcPr>
          <w:p w14:paraId="652D9E45" w14:textId="77777777" w:rsidR="008E5DE4" w:rsidRDefault="00780368">
            <w:pPr>
              <w:widowControl w:val="0"/>
              <w:pBdr>
                <w:top w:val="nil"/>
                <w:left w:val="nil"/>
                <w:bottom w:val="nil"/>
                <w:right w:val="nil"/>
                <w:between w:val="nil"/>
              </w:pBdr>
              <w:ind w:left="113" w:right="-57" w:hanging="113"/>
              <w:rPr>
                <w:i/>
                <w:color w:val="000000"/>
              </w:rPr>
            </w:pPr>
            <w:r>
              <w:rPr>
                <w:i/>
                <w:color w:val="000000"/>
              </w:rPr>
              <w:t>Movements with impact on provision for credit related commitments charge for the period:</w:t>
            </w:r>
          </w:p>
        </w:tc>
        <w:tc>
          <w:tcPr>
            <w:tcW w:w="1134" w:type="dxa"/>
            <w:vAlign w:val="bottom"/>
          </w:tcPr>
          <w:p w14:paraId="221D996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91EFA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DA4F76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CB4C4D2" w14:textId="77777777" w:rsidR="008E5DE4" w:rsidRDefault="008E5DE4">
            <w:pPr>
              <w:widowControl w:val="0"/>
              <w:pBdr>
                <w:top w:val="nil"/>
                <w:left w:val="nil"/>
                <w:bottom w:val="nil"/>
                <w:right w:val="nil"/>
                <w:between w:val="nil"/>
              </w:pBdr>
              <w:jc w:val="right"/>
              <w:rPr>
                <w:color w:val="000000"/>
              </w:rPr>
            </w:pPr>
          </w:p>
        </w:tc>
        <w:tc>
          <w:tcPr>
            <w:tcW w:w="1134" w:type="dxa"/>
          </w:tcPr>
          <w:p w14:paraId="4DEF9D48" w14:textId="77777777" w:rsidR="008E5DE4" w:rsidRDefault="008E5DE4">
            <w:pPr>
              <w:widowControl w:val="0"/>
              <w:pBdr>
                <w:top w:val="nil"/>
                <w:left w:val="nil"/>
                <w:bottom w:val="nil"/>
                <w:right w:val="nil"/>
                <w:between w:val="nil"/>
              </w:pBdr>
              <w:jc w:val="right"/>
              <w:rPr>
                <w:color w:val="000000"/>
              </w:rPr>
            </w:pPr>
          </w:p>
        </w:tc>
      </w:tr>
      <w:tr w:rsidR="008E5DE4" w14:paraId="2440DC99" w14:textId="77777777">
        <w:trPr>
          <w:cantSplit/>
        </w:trPr>
        <w:tc>
          <w:tcPr>
            <w:tcW w:w="3686" w:type="dxa"/>
            <w:vAlign w:val="bottom"/>
          </w:tcPr>
          <w:p w14:paraId="2F880A00"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1134" w:type="dxa"/>
            <w:vAlign w:val="bottom"/>
          </w:tcPr>
          <w:p w14:paraId="10F4710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CA1CB6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604F36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6FB8199" w14:textId="77777777" w:rsidR="008E5DE4" w:rsidRDefault="008E5DE4">
            <w:pPr>
              <w:widowControl w:val="0"/>
              <w:pBdr>
                <w:top w:val="nil"/>
                <w:left w:val="nil"/>
                <w:bottom w:val="nil"/>
                <w:right w:val="nil"/>
                <w:between w:val="nil"/>
              </w:pBdr>
              <w:jc w:val="right"/>
              <w:rPr>
                <w:color w:val="000000"/>
              </w:rPr>
            </w:pPr>
          </w:p>
        </w:tc>
        <w:tc>
          <w:tcPr>
            <w:tcW w:w="1134" w:type="dxa"/>
          </w:tcPr>
          <w:p w14:paraId="29A7C517" w14:textId="77777777" w:rsidR="008E5DE4" w:rsidRDefault="008E5DE4">
            <w:pPr>
              <w:widowControl w:val="0"/>
              <w:pBdr>
                <w:top w:val="nil"/>
                <w:left w:val="nil"/>
                <w:bottom w:val="nil"/>
                <w:right w:val="nil"/>
                <w:between w:val="nil"/>
              </w:pBdr>
              <w:jc w:val="right"/>
              <w:rPr>
                <w:color w:val="000000"/>
              </w:rPr>
            </w:pPr>
          </w:p>
        </w:tc>
      </w:tr>
      <w:tr w:rsidR="008E5DE4" w14:paraId="1A075920" w14:textId="77777777">
        <w:trPr>
          <w:cantSplit/>
        </w:trPr>
        <w:tc>
          <w:tcPr>
            <w:tcW w:w="3686" w:type="dxa"/>
            <w:vAlign w:val="bottom"/>
          </w:tcPr>
          <w:p w14:paraId="675B99DE"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1134" w:type="dxa"/>
            <w:vAlign w:val="bottom"/>
          </w:tcPr>
          <w:p w14:paraId="402AD40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141BF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C81479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6A35D0B" w14:textId="77777777" w:rsidR="008E5DE4" w:rsidRDefault="008E5DE4">
            <w:pPr>
              <w:widowControl w:val="0"/>
              <w:pBdr>
                <w:top w:val="nil"/>
                <w:left w:val="nil"/>
                <w:bottom w:val="nil"/>
                <w:right w:val="nil"/>
                <w:between w:val="nil"/>
              </w:pBdr>
              <w:jc w:val="right"/>
              <w:rPr>
                <w:color w:val="000000"/>
              </w:rPr>
            </w:pPr>
          </w:p>
        </w:tc>
        <w:tc>
          <w:tcPr>
            <w:tcW w:w="1134" w:type="dxa"/>
          </w:tcPr>
          <w:p w14:paraId="543540E4" w14:textId="77777777" w:rsidR="008E5DE4" w:rsidRDefault="008E5DE4">
            <w:pPr>
              <w:widowControl w:val="0"/>
              <w:pBdr>
                <w:top w:val="nil"/>
                <w:left w:val="nil"/>
                <w:bottom w:val="nil"/>
                <w:right w:val="nil"/>
                <w:between w:val="nil"/>
              </w:pBdr>
              <w:jc w:val="right"/>
              <w:rPr>
                <w:color w:val="000000"/>
              </w:rPr>
            </w:pPr>
          </w:p>
        </w:tc>
      </w:tr>
      <w:tr w:rsidR="008E5DE4" w14:paraId="7EF0FC70" w14:textId="77777777">
        <w:trPr>
          <w:cantSplit/>
        </w:trPr>
        <w:tc>
          <w:tcPr>
            <w:tcW w:w="3686" w:type="dxa"/>
            <w:vAlign w:val="bottom"/>
          </w:tcPr>
          <w:p w14:paraId="26F2E27D"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1134" w:type="dxa"/>
            <w:vAlign w:val="bottom"/>
          </w:tcPr>
          <w:p w14:paraId="4EE7A24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749B24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49D70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8CB74C6" w14:textId="77777777" w:rsidR="008E5DE4" w:rsidRDefault="008E5DE4">
            <w:pPr>
              <w:widowControl w:val="0"/>
              <w:pBdr>
                <w:top w:val="nil"/>
                <w:left w:val="nil"/>
                <w:bottom w:val="nil"/>
                <w:right w:val="nil"/>
                <w:between w:val="nil"/>
              </w:pBdr>
              <w:jc w:val="right"/>
              <w:rPr>
                <w:color w:val="000000"/>
              </w:rPr>
            </w:pPr>
          </w:p>
        </w:tc>
        <w:tc>
          <w:tcPr>
            <w:tcW w:w="1134" w:type="dxa"/>
          </w:tcPr>
          <w:p w14:paraId="504B971C" w14:textId="77777777" w:rsidR="008E5DE4" w:rsidRDefault="008E5DE4">
            <w:pPr>
              <w:widowControl w:val="0"/>
              <w:pBdr>
                <w:top w:val="nil"/>
                <w:left w:val="nil"/>
                <w:bottom w:val="nil"/>
                <w:right w:val="nil"/>
                <w:between w:val="nil"/>
              </w:pBdr>
              <w:jc w:val="right"/>
              <w:rPr>
                <w:color w:val="000000"/>
              </w:rPr>
            </w:pPr>
          </w:p>
        </w:tc>
      </w:tr>
      <w:tr w:rsidR="008E5DE4" w14:paraId="7CED653A" w14:textId="77777777">
        <w:trPr>
          <w:cantSplit/>
        </w:trPr>
        <w:tc>
          <w:tcPr>
            <w:tcW w:w="3686" w:type="dxa"/>
            <w:vAlign w:val="bottom"/>
          </w:tcPr>
          <w:p w14:paraId="7E114AC5"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1134" w:type="dxa"/>
            <w:vAlign w:val="bottom"/>
          </w:tcPr>
          <w:p w14:paraId="786E71F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016B0B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8698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39A0FC9" w14:textId="77777777" w:rsidR="008E5DE4" w:rsidRDefault="008E5DE4">
            <w:pPr>
              <w:widowControl w:val="0"/>
              <w:pBdr>
                <w:top w:val="nil"/>
                <w:left w:val="nil"/>
                <w:bottom w:val="nil"/>
                <w:right w:val="nil"/>
                <w:between w:val="nil"/>
              </w:pBdr>
              <w:jc w:val="right"/>
              <w:rPr>
                <w:color w:val="000000"/>
              </w:rPr>
            </w:pPr>
          </w:p>
        </w:tc>
        <w:tc>
          <w:tcPr>
            <w:tcW w:w="1134" w:type="dxa"/>
          </w:tcPr>
          <w:p w14:paraId="285C6DCF" w14:textId="77777777" w:rsidR="008E5DE4" w:rsidRDefault="008E5DE4">
            <w:pPr>
              <w:widowControl w:val="0"/>
              <w:pBdr>
                <w:top w:val="nil"/>
                <w:left w:val="nil"/>
                <w:bottom w:val="nil"/>
                <w:right w:val="nil"/>
                <w:between w:val="nil"/>
              </w:pBdr>
              <w:jc w:val="right"/>
              <w:rPr>
                <w:color w:val="000000"/>
              </w:rPr>
            </w:pPr>
          </w:p>
        </w:tc>
      </w:tr>
      <w:tr w:rsidR="008E5DE4" w14:paraId="1EC43D54" w14:textId="77777777">
        <w:trPr>
          <w:cantSplit/>
        </w:trPr>
        <w:tc>
          <w:tcPr>
            <w:tcW w:w="3686" w:type="dxa"/>
            <w:vAlign w:val="bottom"/>
          </w:tcPr>
          <w:p w14:paraId="3A5169C4" w14:textId="77777777" w:rsidR="008E5DE4" w:rsidRDefault="00780368">
            <w:pPr>
              <w:widowControl w:val="0"/>
              <w:pBdr>
                <w:top w:val="nil"/>
                <w:left w:val="nil"/>
                <w:bottom w:val="nil"/>
                <w:right w:val="nil"/>
                <w:between w:val="nil"/>
              </w:pBdr>
              <w:ind w:left="113" w:right="-57" w:hanging="113"/>
              <w:rPr>
                <w:color w:val="000000"/>
              </w:rPr>
            </w:pPr>
            <w:r>
              <w:rPr>
                <w:color w:val="000000"/>
              </w:rPr>
              <w:t>Issued guarantees (fees charged)</w:t>
            </w:r>
          </w:p>
        </w:tc>
        <w:tc>
          <w:tcPr>
            <w:tcW w:w="1134" w:type="dxa"/>
            <w:vAlign w:val="bottom"/>
          </w:tcPr>
          <w:p w14:paraId="60535C3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06A0C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52952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1302507" w14:textId="77777777" w:rsidR="008E5DE4" w:rsidRDefault="008E5DE4">
            <w:pPr>
              <w:widowControl w:val="0"/>
              <w:pBdr>
                <w:top w:val="nil"/>
                <w:left w:val="nil"/>
                <w:bottom w:val="nil"/>
                <w:right w:val="nil"/>
                <w:between w:val="nil"/>
              </w:pBdr>
              <w:jc w:val="right"/>
              <w:rPr>
                <w:color w:val="000000"/>
              </w:rPr>
            </w:pPr>
          </w:p>
        </w:tc>
        <w:tc>
          <w:tcPr>
            <w:tcW w:w="1134" w:type="dxa"/>
          </w:tcPr>
          <w:p w14:paraId="7F0931B1" w14:textId="77777777" w:rsidR="008E5DE4" w:rsidRDefault="008E5DE4">
            <w:pPr>
              <w:widowControl w:val="0"/>
              <w:pBdr>
                <w:top w:val="nil"/>
                <w:left w:val="nil"/>
                <w:bottom w:val="nil"/>
                <w:right w:val="nil"/>
                <w:between w:val="nil"/>
              </w:pBdr>
              <w:jc w:val="right"/>
              <w:rPr>
                <w:color w:val="000000"/>
              </w:rPr>
            </w:pPr>
          </w:p>
        </w:tc>
      </w:tr>
      <w:tr w:rsidR="008E5DE4" w14:paraId="1044A4E8" w14:textId="77777777">
        <w:trPr>
          <w:cantSplit/>
        </w:trPr>
        <w:tc>
          <w:tcPr>
            <w:tcW w:w="3686" w:type="dxa"/>
            <w:vAlign w:val="bottom"/>
          </w:tcPr>
          <w:p w14:paraId="697173E3" w14:textId="77777777" w:rsidR="008E5DE4" w:rsidRDefault="00780368">
            <w:pPr>
              <w:widowControl w:val="0"/>
              <w:pBdr>
                <w:top w:val="nil"/>
                <w:left w:val="nil"/>
                <w:bottom w:val="nil"/>
                <w:right w:val="nil"/>
                <w:between w:val="nil"/>
              </w:pBdr>
              <w:ind w:left="113" w:right="-57" w:hanging="113"/>
              <w:rPr>
                <w:color w:val="000000"/>
              </w:rPr>
            </w:pPr>
            <w:r>
              <w:rPr>
                <w:color w:val="000000"/>
              </w:rPr>
              <w:t>Amortisation of deferred fee to income</w:t>
            </w:r>
          </w:p>
        </w:tc>
        <w:tc>
          <w:tcPr>
            <w:tcW w:w="1134" w:type="dxa"/>
            <w:vAlign w:val="bottom"/>
          </w:tcPr>
          <w:p w14:paraId="4077CA6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E9C52F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E28ACF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9817A7E" w14:textId="77777777" w:rsidR="008E5DE4" w:rsidRDefault="008E5DE4">
            <w:pPr>
              <w:widowControl w:val="0"/>
              <w:pBdr>
                <w:top w:val="nil"/>
                <w:left w:val="nil"/>
                <w:bottom w:val="nil"/>
                <w:right w:val="nil"/>
                <w:between w:val="nil"/>
              </w:pBdr>
              <w:jc w:val="right"/>
              <w:rPr>
                <w:color w:val="000000"/>
              </w:rPr>
            </w:pPr>
          </w:p>
        </w:tc>
        <w:tc>
          <w:tcPr>
            <w:tcW w:w="1134" w:type="dxa"/>
          </w:tcPr>
          <w:p w14:paraId="57451507" w14:textId="77777777" w:rsidR="008E5DE4" w:rsidRDefault="008E5DE4">
            <w:pPr>
              <w:widowControl w:val="0"/>
              <w:pBdr>
                <w:top w:val="nil"/>
                <w:left w:val="nil"/>
                <w:bottom w:val="nil"/>
                <w:right w:val="nil"/>
                <w:between w:val="nil"/>
              </w:pBdr>
              <w:jc w:val="right"/>
              <w:rPr>
                <w:color w:val="000000"/>
              </w:rPr>
            </w:pPr>
          </w:p>
        </w:tc>
      </w:tr>
      <w:tr w:rsidR="008E5DE4" w14:paraId="2CBFF3E9" w14:textId="77777777">
        <w:trPr>
          <w:cantSplit/>
        </w:trPr>
        <w:tc>
          <w:tcPr>
            <w:tcW w:w="3686" w:type="dxa"/>
            <w:vAlign w:val="bottom"/>
          </w:tcPr>
          <w:p w14:paraId="34771952"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1134" w:type="dxa"/>
            <w:vAlign w:val="bottom"/>
          </w:tcPr>
          <w:p w14:paraId="58132BB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281E06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8ABB1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4383BF2" w14:textId="77777777" w:rsidR="008E5DE4" w:rsidRDefault="008E5DE4">
            <w:pPr>
              <w:widowControl w:val="0"/>
              <w:pBdr>
                <w:top w:val="nil"/>
                <w:left w:val="nil"/>
                <w:bottom w:val="nil"/>
                <w:right w:val="nil"/>
                <w:between w:val="nil"/>
              </w:pBdr>
              <w:jc w:val="right"/>
              <w:rPr>
                <w:color w:val="000000"/>
              </w:rPr>
            </w:pPr>
          </w:p>
        </w:tc>
        <w:tc>
          <w:tcPr>
            <w:tcW w:w="1134" w:type="dxa"/>
          </w:tcPr>
          <w:p w14:paraId="4C607D9E" w14:textId="77777777" w:rsidR="008E5DE4" w:rsidRDefault="008E5DE4">
            <w:pPr>
              <w:widowControl w:val="0"/>
              <w:pBdr>
                <w:top w:val="nil"/>
                <w:left w:val="nil"/>
                <w:bottom w:val="nil"/>
                <w:right w:val="nil"/>
                <w:between w:val="nil"/>
              </w:pBdr>
              <w:jc w:val="right"/>
              <w:rPr>
                <w:color w:val="000000"/>
              </w:rPr>
            </w:pPr>
          </w:p>
        </w:tc>
      </w:tr>
      <w:tr w:rsidR="008E5DE4" w14:paraId="0251CEA5" w14:textId="77777777">
        <w:trPr>
          <w:cantSplit/>
        </w:trPr>
        <w:tc>
          <w:tcPr>
            <w:tcW w:w="3686" w:type="dxa"/>
            <w:vAlign w:val="bottom"/>
          </w:tcPr>
          <w:p w14:paraId="5AFCFF7E"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model assumptions</w:t>
            </w:r>
          </w:p>
        </w:tc>
        <w:tc>
          <w:tcPr>
            <w:tcW w:w="1134" w:type="dxa"/>
            <w:vAlign w:val="bottom"/>
          </w:tcPr>
          <w:p w14:paraId="36E27A6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97EEEB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599349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182F7E4" w14:textId="77777777" w:rsidR="008E5DE4" w:rsidRDefault="008E5DE4">
            <w:pPr>
              <w:widowControl w:val="0"/>
              <w:pBdr>
                <w:top w:val="nil"/>
                <w:left w:val="nil"/>
                <w:bottom w:val="nil"/>
                <w:right w:val="nil"/>
                <w:between w:val="nil"/>
              </w:pBdr>
              <w:jc w:val="right"/>
              <w:rPr>
                <w:color w:val="000000"/>
              </w:rPr>
            </w:pPr>
          </w:p>
        </w:tc>
        <w:tc>
          <w:tcPr>
            <w:tcW w:w="1134" w:type="dxa"/>
          </w:tcPr>
          <w:p w14:paraId="786CD5C5" w14:textId="77777777" w:rsidR="008E5DE4" w:rsidRDefault="008E5DE4">
            <w:pPr>
              <w:widowControl w:val="0"/>
              <w:pBdr>
                <w:top w:val="nil"/>
                <w:left w:val="nil"/>
                <w:bottom w:val="nil"/>
                <w:right w:val="nil"/>
                <w:between w:val="nil"/>
              </w:pBdr>
              <w:jc w:val="right"/>
              <w:rPr>
                <w:color w:val="000000"/>
              </w:rPr>
            </w:pPr>
          </w:p>
        </w:tc>
      </w:tr>
      <w:tr w:rsidR="008E5DE4" w14:paraId="4B370C2B" w14:textId="77777777">
        <w:trPr>
          <w:cantSplit/>
        </w:trPr>
        <w:tc>
          <w:tcPr>
            <w:tcW w:w="3686" w:type="dxa"/>
            <w:vAlign w:val="bottom"/>
          </w:tcPr>
          <w:p w14:paraId="17714EF5"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discounting</w:t>
            </w:r>
          </w:p>
        </w:tc>
        <w:tc>
          <w:tcPr>
            <w:tcW w:w="1134" w:type="dxa"/>
            <w:vAlign w:val="bottom"/>
          </w:tcPr>
          <w:p w14:paraId="70EEDD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6B9450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C9ADC5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04B10E" w14:textId="77777777" w:rsidR="008E5DE4" w:rsidRDefault="008E5DE4">
            <w:pPr>
              <w:widowControl w:val="0"/>
              <w:pBdr>
                <w:top w:val="nil"/>
                <w:left w:val="nil"/>
                <w:bottom w:val="nil"/>
                <w:right w:val="nil"/>
                <w:between w:val="nil"/>
              </w:pBdr>
              <w:jc w:val="right"/>
              <w:rPr>
                <w:color w:val="000000"/>
              </w:rPr>
            </w:pPr>
          </w:p>
        </w:tc>
        <w:tc>
          <w:tcPr>
            <w:tcW w:w="1134" w:type="dxa"/>
          </w:tcPr>
          <w:p w14:paraId="1B0934B0" w14:textId="77777777" w:rsidR="008E5DE4" w:rsidRDefault="008E5DE4">
            <w:pPr>
              <w:widowControl w:val="0"/>
              <w:pBdr>
                <w:top w:val="nil"/>
                <w:left w:val="nil"/>
                <w:bottom w:val="nil"/>
                <w:right w:val="nil"/>
                <w:between w:val="nil"/>
              </w:pBdr>
              <w:jc w:val="right"/>
              <w:rPr>
                <w:color w:val="000000"/>
              </w:rPr>
            </w:pPr>
          </w:p>
        </w:tc>
      </w:tr>
      <w:tr w:rsidR="008E5DE4" w14:paraId="660E9B00" w14:textId="77777777">
        <w:trPr>
          <w:cantSplit/>
        </w:trPr>
        <w:tc>
          <w:tcPr>
            <w:tcW w:w="3686" w:type="dxa"/>
            <w:vAlign w:val="bottom"/>
          </w:tcPr>
          <w:p w14:paraId="19DAAB5C"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1134" w:type="dxa"/>
            <w:vAlign w:val="bottom"/>
          </w:tcPr>
          <w:p w14:paraId="74ECA4D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7BA8D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08FB8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7A61F18" w14:textId="77777777" w:rsidR="008E5DE4" w:rsidRDefault="008E5DE4">
            <w:pPr>
              <w:widowControl w:val="0"/>
              <w:pBdr>
                <w:top w:val="nil"/>
                <w:left w:val="nil"/>
                <w:bottom w:val="nil"/>
                <w:right w:val="nil"/>
                <w:between w:val="nil"/>
              </w:pBdr>
              <w:jc w:val="right"/>
              <w:rPr>
                <w:color w:val="000000"/>
              </w:rPr>
            </w:pPr>
          </w:p>
        </w:tc>
        <w:tc>
          <w:tcPr>
            <w:tcW w:w="1134" w:type="dxa"/>
          </w:tcPr>
          <w:p w14:paraId="4B03A646" w14:textId="77777777" w:rsidR="008E5DE4" w:rsidRDefault="008E5DE4">
            <w:pPr>
              <w:widowControl w:val="0"/>
              <w:pBdr>
                <w:top w:val="nil"/>
                <w:left w:val="nil"/>
                <w:bottom w:val="nil"/>
                <w:right w:val="nil"/>
                <w:between w:val="nil"/>
              </w:pBdr>
              <w:jc w:val="right"/>
              <w:rPr>
                <w:color w:val="000000"/>
              </w:rPr>
            </w:pPr>
          </w:p>
        </w:tc>
      </w:tr>
      <w:tr w:rsidR="008E5DE4" w14:paraId="33D336B2" w14:textId="77777777">
        <w:trPr>
          <w:cantSplit/>
        </w:trPr>
        <w:tc>
          <w:tcPr>
            <w:tcW w:w="3686" w:type="dxa"/>
            <w:tcBorders>
              <w:bottom w:val="single" w:sz="4" w:space="0" w:color="000000"/>
            </w:tcBorders>
            <w:vAlign w:val="bottom"/>
          </w:tcPr>
          <w:p w14:paraId="595D4B74"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bottom w:val="single" w:sz="4" w:space="0" w:color="000000"/>
            </w:tcBorders>
            <w:vAlign w:val="bottom"/>
          </w:tcPr>
          <w:p w14:paraId="6B249607"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759C722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0DD4BD8E"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3578B3A6"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tcPr>
          <w:p w14:paraId="7290B095" w14:textId="77777777" w:rsidR="008E5DE4" w:rsidRDefault="008E5DE4">
            <w:pPr>
              <w:widowControl w:val="0"/>
              <w:pBdr>
                <w:top w:val="nil"/>
                <w:left w:val="nil"/>
                <w:bottom w:val="nil"/>
                <w:right w:val="nil"/>
                <w:between w:val="nil"/>
              </w:pBdr>
              <w:jc w:val="right"/>
              <w:rPr>
                <w:color w:val="000000"/>
              </w:rPr>
            </w:pPr>
          </w:p>
        </w:tc>
      </w:tr>
      <w:tr w:rsidR="008E5DE4" w14:paraId="31CAD388" w14:textId="77777777">
        <w:trPr>
          <w:cantSplit/>
        </w:trPr>
        <w:tc>
          <w:tcPr>
            <w:tcW w:w="3686" w:type="dxa"/>
            <w:tcBorders>
              <w:top w:val="single" w:sz="4" w:space="0" w:color="000000"/>
            </w:tcBorders>
            <w:vAlign w:val="bottom"/>
          </w:tcPr>
          <w:p w14:paraId="48E61A2A" w14:textId="77777777" w:rsidR="008E5DE4" w:rsidRDefault="008E5DE4">
            <w:pPr>
              <w:widowControl w:val="0"/>
              <w:pBdr>
                <w:top w:val="nil"/>
                <w:left w:val="nil"/>
                <w:bottom w:val="nil"/>
                <w:right w:val="nil"/>
                <w:between w:val="nil"/>
              </w:pBdr>
              <w:ind w:left="113" w:right="-57" w:hanging="113"/>
              <w:rPr>
                <w:color w:val="000000"/>
              </w:rPr>
            </w:pPr>
          </w:p>
        </w:tc>
        <w:tc>
          <w:tcPr>
            <w:tcW w:w="1134" w:type="dxa"/>
            <w:tcBorders>
              <w:top w:val="single" w:sz="4" w:space="0" w:color="000000"/>
            </w:tcBorders>
            <w:vAlign w:val="bottom"/>
          </w:tcPr>
          <w:p w14:paraId="3E868C62"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4AC45E3F"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A607E23"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2D3EA1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tcPr>
          <w:p w14:paraId="66C86B57" w14:textId="77777777" w:rsidR="008E5DE4" w:rsidRDefault="008E5DE4">
            <w:pPr>
              <w:widowControl w:val="0"/>
              <w:pBdr>
                <w:top w:val="nil"/>
                <w:left w:val="nil"/>
                <w:bottom w:val="nil"/>
                <w:right w:val="nil"/>
                <w:between w:val="nil"/>
              </w:pBdr>
              <w:jc w:val="right"/>
              <w:rPr>
                <w:color w:val="000000"/>
              </w:rPr>
            </w:pPr>
          </w:p>
        </w:tc>
      </w:tr>
      <w:tr w:rsidR="008E5DE4" w14:paraId="568F110A" w14:textId="77777777">
        <w:trPr>
          <w:cantSplit/>
        </w:trPr>
        <w:tc>
          <w:tcPr>
            <w:tcW w:w="3686" w:type="dxa"/>
            <w:vAlign w:val="bottom"/>
          </w:tcPr>
          <w:p w14:paraId="4D21C399"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charge to profit or loss for the year</w:t>
            </w:r>
          </w:p>
        </w:tc>
        <w:tc>
          <w:tcPr>
            <w:tcW w:w="1134" w:type="dxa"/>
            <w:vAlign w:val="bottom"/>
          </w:tcPr>
          <w:p w14:paraId="2359B17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2F9860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98BBE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36D4736" w14:textId="77777777" w:rsidR="008E5DE4" w:rsidRDefault="008E5DE4">
            <w:pPr>
              <w:widowControl w:val="0"/>
              <w:pBdr>
                <w:top w:val="nil"/>
                <w:left w:val="nil"/>
                <w:bottom w:val="nil"/>
                <w:right w:val="nil"/>
                <w:between w:val="nil"/>
              </w:pBdr>
              <w:jc w:val="right"/>
              <w:rPr>
                <w:color w:val="000000"/>
              </w:rPr>
            </w:pPr>
          </w:p>
        </w:tc>
        <w:tc>
          <w:tcPr>
            <w:tcW w:w="1134" w:type="dxa"/>
          </w:tcPr>
          <w:p w14:paraId="4251C8BF" w14:textId="77777777" w:rsidR="008E5DE4" w:rsidRDefault="008E5DE4">
            <w:pPr>
              <w:widowControl w:val="0"/>
              <w:pBdr>
                <w:top w:val="nil"/>
                <w:left w:val="nil"/>
                <w:bottom w:val="nil"/>
                <w:right w:val="nil"/>
                <w:between w:val="nil"/>
              </w:pBdr>
              <w:jc w:val="right"/>
              <w:rPr>
                <w:color w:val="000000"/>
              </w:rPr>
            </w:pPr>
          </w:p>
        </w:tc>
      </w:tr>
      <w:tr w:rsidR="008E5DE4" w14:paraId="30BAA584" w14:textId="77777777">
        <w:trPr>
          <w:cantSplit/>
        </w:trPr>
        <w:tc>
          <w:tcPr>
            <w:tcW w:w="3686" w:type="dxa"/>
            <w:vAlign w:val="bottom"/>
          </w:tcPr>
          <w:p w14:paraId="498D9BAD" w14:textId="77777777" w:rsidR="008E5DE4" w:rsidRDefault="008E5DE4">
            <w:pPr>
              <w:widowControl w:val="0"/>
              <w:pBdr>
                <w:top w:val="nil"/>
                <w:left w:val="nil"/>
                <w:bottom w:val="nil"/>
                <w:right w:val="nil"/>
                <w:between w:val="nil"/>
              </w:pBdr>
              <w:ind w:left="113" w:right="-57" w:hanging="113"/>
              <w:rPr>
                <w:color w:val="000000"/>
              </w:rPr>
            </w:pPr>
          </w:p>
        </w:tc>
        <w:tc>
          <w:tcPr>
            <w:tcW w:w="1134" w:type="dxa"/>
            <w:vAlign w:val="bottom"/>
          </w:tcPr>
          <w:p w14:paraId="589A1D0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B5885F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E170D5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567DBE8" w14:textId="77777777" w:rsidR="008E5DE4" w:rsidRDefault="008E5DE4">
            <w:pPr>
              <w:widowControl w:val="0"/>
              <w:pBdr>
                <w:top w:val="nil"/>
                <w:left w:val="nil"/>
                <w:bottom w:val="nil"/>
                <w:right w:val="nil"/>
                <w:between w:val="nil"/>
              </w:pBdr>
              <w:jc w:val="right"/>
              <w:rPr>
                <w:color w:val="000000"/>
              </w:rPr>
            </w:pPr>
          </w:p>
        </w:tc>
        <w:tc>
          <w:tcPr>
            <w:tcW w:w="1134" w:type="dxa"/>
          </w:tcPr>
          <w:p w14:paraId="0C6C45B3" w14:textId="77777777" w:rsidR="008E5DE4" w:rsidRDefault="008E5DE4">
            <w:pPr>
              <w:widowControl w:val="0"/>
              <w:pBdr>
                <w:top w:val="nil"/>
                <w:left w:val="nil"/>
                <w:bottom w:val="nil"/>
                <w:right w:val="nil"/>
                <w:between w:val="nil"/>
              </w:pBdr>
              <w:jc w:val="right"/>
              <w:rPr>
                <w:color w:val="000000"/>
              </w:rPr>
            </w:pPr>
          </w:p>
        </w:tc>
      </w:tr>
      <w:tr w:rsidR="008E5DE4" w14:paraId="2F3F0AD0" w14:textId="77777777">
        <w:trPr>
          <w:cantSplit/>
        </w:trPr>
        <w:tc>
          <w:tcPr>
            <w:tcW w:w="3686" w:type="dxa"/>
            <w:tcBorders>
              <w:top w:val="single" w:sz="4" w:space="0" w:color="000000"/>
            </w:tcBorders>
            <w:vAlign w:val="bottom"/>
          </w:tcPr>
          <w:p w14:paraId="036C895B" w14:textId="77777777" w:rsidR="008E5DE4" w:rsidRDefault="008E5DE4">
            <w:pPr>
              <w:widowControl w:val="0"/>
              <w:pBdr>
                <w:top w:val="nil"/>
                <w:left w:val="nil"/>
                <w:bottom w:val="nil"/>
                <w:right w:val="nil"/>
                <w:between w:val="nil"/>
              </w:pBdr>
              <w:ind w:left="113" w:right="-57" w:hanging="113"/>
              <w:rPr>
                <w:b/>
                <w:i/>
                <w:color w:val="000000"/>
              </w:rPr>
            </w:pPr>
          </w:p>
        </w:tc>
        <w:tc>
          <w:tcPr>
            <w:tcW w:w="1134" w:type="dxa"/>
            <w:tcBorders>
              <w:top w:val="single" w:sz="4" w:space="0" w:color="000000"/>
            </w:tcBorders>
            <w:vAlign w:val="bottom"/>
          </w:tcPr>
          <w:p w14:paraId="75DE17B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4408F09"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BBC3818"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1EC0B2CF"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tcPr>
          <w:p w14:paraId="61986A9E" w14:textId="77777777" w:rsidR="008E5DE4" w:rsidRDefault="008E5DE4">
            <w:pPr>
              <w:widowControl w:val="0"/>
              <w:pBdr>
                <w:top w:val="nil"/>
                <w:left w:val="nil"/>
                <w:bottom w:val="nil"/>
                <w:right w:val="nil"/>
                <w:between w:val="nil"/>
              </w:pBdr>
              <w:jc w:val="right"/>
              <w:rPr>
                <w:color w:val="000000"/>
              </w:rPr>
            </w:pPr>
          </w:p>
        </w:tc>
      </w:tr>
      <w:tr w:rsidR="008E5DE4" w14:paraId="39BEF1CC" w14:textId="77777777">
        <w:trPr>
          <w:cantSplit/>
        </w:trPr>
        <w:tc>
          <w:tcPr>
            <w:tcW w:w="3686" w:type="dxa"/>
            <w:vAlign w:val="bottom"/>
          </w:tcPr>
          <w:p w14:paraId="208E981E" w14:textId="77777777" w:rsidR="008E5DE4" w:rsidRDefault="00780368">
            <w:pPr>
              <w:widowControl w:val="0"/>
              <w:pBdr>
                <w:top w:val="nil"/>
                <w:left w:val="nil"/>
                <w:bottom w:val="nil"/>
                <w:right w:val="nil"/>
                <w:between w:val="nil"/>
              </w:pBdr>
              <w:ind w:left="113" w:right="-57" w:hanging="113"/>
              <w:rPr>
                <w:color w:val="000000"/>
              </w:rPr>
            </w:pPr>
            <w:r>
              <w:rPr>
                <w:i/>
                <w:color w:val="000000"/>
              </w:rPr>
              <w:t>Movements without impact on provision for credit related commitments charge for the period:</w:t>
            </w:r>
          </w:p>
        </w:tc>
        <w:tc>
          <w:tcPr>
            <w:tcW w:w="1134" w:type="dxa"/>
            <w:vAlign w:val="bottom"/>
          </w:tcPr>
          <w:p w14:paraId="196E867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029A60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8D40F4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A59CB84" w14:textId="77777777" w:rsidR="008E5DE4" w:rsidRDefault="008E5DE4">
            <w:pPr>
              <w:widowControl w:val="0"/>
              <w:pBdr>
                <w:top w:val="nil"/>
                <w:left w:val="nil"/>
                <w:bottom w:val="nil"/>
                <w:right w:val="nil"/>
                <w:between w:val="nil"/>
              </w:pBdr>
              <w:jc w:val="right"/>
              <w:rPr>
                <w:color w:val="000000"/>
              </w:rPr>
            </w:pPr>
          </w:p>
        </w:tc>
        <w:tc>
          <w:tcPr>
            <w:tcW w:w="1134" w:type="dxa"/>
          </w:tcPr>
          <w:p w14:paraId="01E14273" w14:textId="77777777" w:rsidR="008E5DE4" w:rsidRDefault="008E5DE4">
            <w:pPr>
              <w:widowControl w:val="0"/>
              <w:pBdr>
                <w:top w:val="nil"/>
                <w:left w:val="nil"/>
                <w:bottom w:val="nil"/>
                <w:right w:val="nil"/>
                <w:between w:val="nil"/>
              </w:pBdr>
              <w:jc w:val="right"/>
              <w:rPr>
                <w:color w:val="000000"/>
              </w:rPr>
            </w:pPr>
          </w:p>
        </w:tc>
      </w:tr>
      <w:tr w:rsidR="008E5DE4" w14:paraId="56F34AFC" w14:textId="77777777">
        <w:trPr>
          <w:cantSplit/>
        </w:trPr>
        <w:tc>
          <w:tcPr>
            <w:tcW w:w="3686" w:type="dxa"/>
            <w:vAlign w:val="bottom"/>
          </w:tcPr>
          <w:p w14:paraId="6D4EE58B"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1134" w:type="dxa"/>
            <w:vAlign w:val="bottom"/>
          </w:tcPr>
          <w:p w14:paraId="06C8EC7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23C16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7C0880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02E6F8C" w14:textId="77777777" w:rsidR="008E5DE4" w:rsidRDefault="008E5DE4">
            <w:pPr>
              <w:widowControl w:val="0"/>
              <w:pBdr>
                <w:top w:val="nil"/>
                <w:left w:val="nil"/>
                <w:bottom w:val="nil"/>
                <w:right w:val="nil"/>
                <w:between w:val="nil"/>
              </w:pBdr>
              <w:jc w:val="right"/>
              <w:rPr>
                <w:color w:val="000000"/>
              </w:rPr>
            </w:pPr>
          </w:p>
        </w:tc>
        <w:tc>
          <w:tcPr>
            <w:tcW w:w="1134" w:type="dxa"/>
          </w:tcPr>
          <w:p w14:paraId="307A17E4" w14:textId="77777777" w:rsidR="008E5DE4" w:rsidRDefault="008E5DE4">
            <w:pPr>
              <w:widowControl w:val="0"/>
              <w:pBdr>
                <w:top w:val="nil"/>
                <w:left w:val="nil"/>
                <w:bottom w:val="nil"/>
                <w:right w:val="nil"/>
                <w:between w:val="nil"/>
              </w:pBdr>
              <w:jc w:val="right"/>
              <w:rPr>
                <w:color w:val="000000"/>
              </w:rPr>
            </w:pPr>
          </w:p>
        </w:tc>
      </w:tr>
      <w:tr w:rsidR="008E5DE4" w14:paraId="504CC6B2" w14:textId="77777777">
        <w:trPr>
          <w:cantSplit/>
        </w:trPr>
        <w:tc>
          <w:tcPr>
            <w:tcW w:w="3686" w:type="dxa"/>
            <w:vAlign w:val="bottom"/>
          </w:tcPr>
          <w:p w14:paraId="4E90987C"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impact</w:t>
            </w:r>
          </w:p>
        </w:tc>
        <w:tc>
          <w:tcPr>
            <w:tcW w:w="1134" w:type="dxa"/>
            <w:vAlign w:val="bottom"/>
          </w:tcPr>
          <w:p w14:paraId="1C36BF5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5639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5FB047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E6F835" w14:textId="77777777" w:rsidR="008E5DE4" w:rsidRDefault="008E5DE4">
            <w:pPr>
              <w:widowControl w:val="0"/>
              <w:pBdr>
                <w:top w:val="nil"/>
                <w:left w:val="nil"/>
                <w:bottom w:val="nil"/>
                <w:right w:val="nil"/>
                <w:between w:val="nil"/>
              </w:pBdr>
              <w:jc w:val="right"/>
              <w:rPr>
                <w:color w:val="000000"/>
              </w:rPr>
            </w:pPr>
          </w:p>
        </w:tc>
        <w:tc>
          <w:tcPr>
            <w:tcW w:w="1134" w:type="dxa"/>
          </w:tcPr>
          <w:p w14:paraId="2CCD0530" w14:textId="77777777" w:rsidR="008E5DE4" w:rsidRDefault="008E5DE4">
            <w:pPr>
              <w:widowControl w:val="0"/>
              <w:pBdr>
                <w:top w:val="nil"/>
                <w:left w:val="nil"/>
                <w:bottom w:val="nil"/>
                <w:right w:val="nil"/>
                <w:between w:val="nil"/>
              </w:pBdr>
              <w:jc w:val="right"/>
              <w:rPr>
                <w:color w:val="000000"/>
              </w:rPr>
            </w:pPr>
          </w:p>
        </w:tc>
      </w:tr>
      <w:tr w:rsidR="008E5DE4" w14:paraId="391B5E31" w14:textId="77777777">
        <w:trPr>
          <w:cantSplit/>
        </w:trPr>
        <w:tc>
          <w:tcPr>
            <w:tcW w:w="3686" w:type="dxa"/>
            <w:vAlign w:val="bottom"/>
          </w:tcPr>
          <w:p w14:paraId="2C6F86B6"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1134" w:type="dxa"/>
            <w:vAlign w:val="bottom"/>
          </w:tcPr>
          <w:p w14:paraId="4D8FCB1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06FC69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226B6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27EC1AD" w14:textId="77777777" w:rsidR="008E5DE4" w:rsidRDefault="008E5DE4">
            <w:pPr>
              <w:widowControl w:val="0"/>
              <w:pBdr>
                <w:top w:val="nil"/>
                <w:left w:val="nil"/>
                <w:bottom w:val="nil"/>
                <w:right w:val="nil"/>
                <w:between w:val="nil"/>
              </w:pBdr>
              <w:jc w:val="right"/>
              <w:rPr>
                <w:color w:val="000000"/>
              </w:rPr>
            </w:pPr>
          </w:p>
        </w:tc>
        <w:tc>
          <w:tcPr>
            <w:tcW w:w="1134" w:type="dxa"/>
          </w:tcPr>
          <w:p w14:paraId="03D90ED9" w14:textId="77777777" w:rsidR="008E5DE4" w:rsidRDefault="008E5DE4">
            <w:pPr>
              <w:widowControl w:val="0"/>
              <w:pBdr>
                <w:top w:val="nil"/>
                <w:left w:val="nil"/>
                <w:bottom w:val="nil"/>
                <w:right w:val="nil"/>
                <w:between w:val="nil"/>
              </w:pBdr>
              <w:jc w:val="right"/>
              <w:rPr>
                <w:color w:val="000000"/>
              </w:rPr>
            </w:pPr>
          </w:p>
        </w:tc>
      </w:tr>
      <w:tr w:rsidR="008E5DE4" w14:paraId="6DD32E95" w14:textId="77777777">
        <w:trPr>
          <w:cantSplit/>
        </w:trPr>
        <w:tc>
          <w:tcPr>
            <w:tcW w:w="3686" w:type="dxa"/>
            <w:vAlign w:val="bottom"/>
          </w:tcPr>
          <w:p w14:paraId="69F962F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 (for Stage 3) </w:t>
            </w:r>
          </w:p>
        </w:tc>
        <w:tc>
          <w:tcPr>
            <w:tcW w:w="1134" w:type="dxa"/>
            <w:vAlign w:val="bottom"/>
          </w:tcPr>
          <w:p w14:paraId="1F560CB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32E62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2B3606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86E050" w14:textId="77777777" w:rsidR="008E5DE4" w:rsidRDefault="008E5DE4">
            <w:pPr>
              <w:widowControl w:val="0"/>
              <w:pBdr>
                <w:top w:val="nil"/>
                <w:left w:val="nil"/>
                <w:bottom w:val="nil"/>
                <w:right w:val="nil"/>
                <w:between w:val="nil"/>
              </w:pBdr>
              <w:jc w:val="right"/>
              <w:rPr>
                <w:color w:val="000000"/>
              </w:rPr>
            </w:pPr>
          </w:p>
        </w:tc>
        <w:tc>
          <w:tcPr>
            <w:tcW w:w="1134" w:type="dxa"/>
          </w:tcPr>
          <w:p w14:paraId="7F57FEB4" w14:textId="77777777" w:rsidR="008E5DE4" w:rsidRDefault="008E5DE4">
            <w:pPr>
              <w:widowControl w:val="0"/>
              <w:pBdr>
                <w:top w:val="nil"/>
                <w:left w:val="nil"/>
                <w:bottom w:val="nil"/>
                <w:right w:val="nil"/>
                <w:between w:val="nil"/>
              </w:pBdr>
              <w:jc w:val="right"/>
              <w:rPr>
                <w:color w:val="000000"/>
              </w:rPr>
            </w:pPr>
          </w:p>
        </w:tc>
      </w:tr>
      <w:tr w:rsidR="008E5DE4" w14:paraId="6A643A3C" w14:textId="77777777">
        <w:trPr>
          <w:cantSplit/>
        </w:trPr>
        <w:tc>
          <w:tcPr>
            <w:tcW w:w="3686" w:type="dxa"/>
            <w:tcBorders>
              <w:bottom w:val="single" w:sz="4" w:space="0" w:color="000000"/>
            </w:tcBorders>
            <w:vAlign w:val="bottom"/>
          </w:tcPr>
          <w:p w14:paraId="59AEF93F" w14:textId="77777777" w:rsidR="008E5DE4" w:rsidRDefault="008E5DE4">
            <w:pPr>
              <w:widowControl w:val="0"/>
              <w:pBdr>
                <w:top w:val="nil"/>
                <w:left w:val="nil"/>
                <w:bottom w:val="nil"/>
                <w:right w:val="nil"/>
                <w:between w:val="nil"/>
              </w:pBdr>
              <w:ind w:left="113" w:right="-57" w:hanging="113"/>
              <w:rPr>
                <w:b/>
                <w:color w:val="000000"/>
              </w:rPr>
            </w:pPr>
          </w:p>
        </w:tc>
        <w:tc>
          <w:tcPr>
            <w:tcW w:w="1134" w:type="dxa"/>
            <w:tcBorders>
              <w:bottom w:val="single" w:sz="4" w:space="0" w:color="000000"/>
            </w:tcBorders>
            <w:vAlign w:val="bottom"/>
          </w:tcPr>
          <w:p w14:paraId="289CCE1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229BFB6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5508D2EB"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vAlign w:val="bottom"/>
          </w:tcPr>
          <w:p w14:paraId="4E90712A"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4" w:space="0" w:color="000000"/>
            </w:tcBorders>
          </w:tcPr>
          <w:p w14:paraId="16523266" w14:textId="77777777" w:rsidR="008E5DE4" w:rsidRDefault="008E5DE4">
            <w:pPr>
              <w:widowControl w:val="0"/>
              <w:pBdr>
                <w:top w:val="nil"/>
                <w:left w:val="nil"/>
                <w:bottom w:val="nil"/>
                <w:right w:val="nil"/>
                <w:between w:val="nil"/>
              </w:pBdr>
              <w:jc w:val="right"/>
              <w:rPr>
                <w:color w:val="000000"/>
              </w:rPr>
            </w:pPr>
          </w:p>
        </w:tc>
      </w:tr>
      <w:tr w:rsidR="008E5DE4" w14:paraId="4462C35D" w14:textId="77777777">
        <w:trPr>
          <w:cantSplit/>
        </w:trPr>
        <w:tc>
          <w:tcPr>
            <w:tcW w:w="3686" w:type="dxa"/>
            <w:tcBorders>
              <w:top w:val="single" w:sz="4" w:space="0" w:color="000000"/>
            </w:tcBorders>
            <w:vAlign w:val="bottom"/>
          </w:tcPr>
          <w:p w14:paraId="221AFF11" w14:textId="77777777" w:rsidR="008E5DE4" w:rsidRDefault="008E5DE4">
            <w:pPr>
              <w:widowControl w:val="0"/>
              <w:pBdr>
                <w:top w:val="nil"/>
                <w:left w:val="nil"/>
                <w:bottom w:val="nil"/>
                <w:right w:val="nil"/>
                <w:between w:val="nil"/>
              </w:pBdr>
              <w:ind w:left="113" w:right="-57" w:hanging="113"/>
              <w:rPr>
                <w:b/>
                <w:color w:val="000000"/>
              </w:rPr>
            </w:pPr>
          </w:p>
        </w:tc>
        <w:tc>
          <w:tcPr>
            <w:tcW w:w="1134" w:type="dxa"/>
            <w:tcBorders>
              <w:top w:val="single" w:sz="4" w:space="0" w:color="000000"/>
            </w:tcBorders>
            <w:vAlign w:val="bottom"/>
          </w:tcPr>
          <w:p w14:paraId="00B7FEE7"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2DBAA19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6BD5BDC6"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vAlign w:val="bottom"/>
          </w:tcPr>
          <w:p w14:paraId="01DE48CF" w14:textId="77777777" w:rsidR="008E5DE4" w:rsidRDefault="008E5DE4">
            <w:pPr>
              <w:widowControl w:val="0"/>
              <w:pBdr>
                <w:top w:val="nil"/>
                <w:left w:val="nil"/>
                <w:bottom w:val="nil"/>
                <w:right w:val="nil"/>
                <w:between w:val="nil"/>
              </w:pBdr>
              <w:jc w:val="right"/>
              <w:rPr>
                <w:color w:val="000000"/>
              </w:rPr>
            </w:pPr>
          </w:p>
        </w:tc>
        <w:tc>
          <w:tcPr>
            <w:tcW w:w="1134" w:type="dxa"/>
            <w:tcBorders>
              <w:top w:val="single" w:sz="4" w:space="0" w:color="000000"/>
            </w:tcBorders>
          </w:tcPr>
          <w:p w14:paraId="479BF069" w14:textId="77777777" w:rsidR="008E5DE4" w:rsidRDefault="008E5DE4">
            <w:pPr>
              <w:widowControl w:val="0"/>
              <w:pBdr>
                <w:top w:val="nil"/>
                <w:left w:val="nil"/>
                <w:bottom w:val="nil"/>
                <w:right w:val="nil"/>
                <w:between w:val="nil"/>
              </w:pBdr>
              <w:jc w:val="right"/>
              <w:rPr>
                <w:color w:val="000000"/>
              </w:rPr>
            </w:pPr>
          </w:p>
        </w:tc>
      </w:tr>
      <w:tr w:rsidR="008E5DE4" w14:paraId="21E0FA31" w14:textId="77777777">
        <w:trPr>
          <w:cantSplit/>
        </w:trPr>
        <w:tc>
          <w:tcPr>
            <w:tcW w:w="3686" w:type="dxa"/>
            <w:vAlign w:val="bottom"/>
          </w:tcPr>
          <w:p w14:paraId="1BEDA1C0" w14:textId="75753D8C" w:rsidR="008E5DE4" w:rsidRDefault="00780368">
            <w:pPr>
              <w:widowControl w:val="0"/>
              <w:pBdr>
                <w:top w:val="nil"/>
                <w:left w:val="nil"/>
                <w:bottom w:val="nil"/>
                <w:right w:val="nil"/>
                <w:between w:val="nil"/>
              </w:pBdr>
              <w:ind w:left="113" w:right="-57" w:hanging="113"/>
              <w:rPr>
                <w:b/>
                <w:color w:val="000000"/>
              </w:rPr>
            </w:pPr>
            <w:r>
              <w:rPr>
                <w:b/>
                <w:color w:val="000000"/>
              </w:rPr>
              <w:t xml:space="preserve">Provision for financial guarantees </w:t>
            </w:r>
            <w:proofErr w:type="gramStart"/>
            <w:r>
              <w:rPr>
                <w:b/>
                <w:color w:val="000000"/>
              </w:rPr>
              <w:t>at</w:t>
            </w:r>
            <w:proofErr w:type="gramEnd"/>
            <w:r>
              <w:rPr>
                <w:b/>
                <w:color w:val="000000"/>
              </w:rPr>
              <w:t xml:space="preserve"> 31 December </w:t>
            </w:r>
            <w:r w:rsidR="00E06A92">
              <w:rPr>
                <w:b/>
                <w:color w:val="000000"/>
              </w:rPr>
              <w:t>2024</w:t>
            </w:r>
          </w:p>
        </w:tc>
        <w:tc>
          <w:tcPr>
            <w:tcW w:w="1134" w:type="dxa"/>
            <w:vAlign w:val="bottom"/>
          </w:tcPr>
          <w:p w14:paraId="066309D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07DFED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CA711C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616FDB" w14:textId="77777777" w:rsidR="008E5DE4" w:rsidRDefault="008E5DE4">
            <w:pPr>
              <w:widowControl w:val="0"/>
              <w:pBdr>
                <w:top w:val="nil"/>
                <w:left w:val="nil"/>
                <w:bottom w:val="nil"/>
                <w:right w:val="nil"/>
                <w:between w:val="nil"/>
              </w:pBdr>
              <w:jc w:val="right"/>
              <w:rPr>
                <w:color w:val="000000"/>
              </w:rPr>
            </w:pPr>
          </w:p>
        </w:tc>
        <w:tc>
          <w:tcPr>
            <w:tcW w:w="1134" w:type="dxa"/>
          </w:tcPr>
          <w:p w14:paraId="450D14BA" w14:textId="77777777" w:rsidR="008E5DE4" w:rsidRDefault="008E5DE4">
            <w:pPr>
              <w:widowControl w:val="0"/>
              <w:pBdr>
                <w:top w:val="nil"/>
                <w:left w:val="nil"/>
                <w:bottom w:val="nil"/>
                <w:right w:val="nil"/>
                <w:between w:val="nil"/>
              </w:pBdr>
              <w:jc w:val="right"/>
              <w:rPr>
                <w:color w:val="000000"/>
              </w:rPr>
            </w:pPr>
          </w:p>
        </w:tc>
      </w:tr>
      <w:tr w:rsidR="008E5DE4" w14:paraId="7B33DE47" w14:textId="77777777">
        <w:trPr>
          <w:cantSplit/>
        </w:trPr>
        <w:tc>
          <w:tcPr>
            <w:tcW w:w="3686" w:type="dxa"/>
            <w:tcBorders>
              <w:bottom w:val="single" w:sz="12" w:space="0" w:color="000000"/>
            </w:tcBorders>
            <w:vAlign w:val="bottom"/>
          </w:tcPr>
          <w:p w14:paraId="4EEADC60" w14:textId="77777777" w:rsidR="008E5DE4" w:rsidRDefault="008E5DE4">
            <w:pPr>
              <w:widowControl w:val="0"/>
              <w:pBdr>
                <w:top w:val="nil"/>
                <w:left w:val="nil"/>
                <w:bottom w:val="nil"/>
                <w:right w:val="nil"/>
                <w:between w:val="nil"/>
              </w:pBdr>
              <w:ind w:left="113" w:right="-57" w:hanging="113"/>
              <w:rPr>
                <w:b/>
                <w:color w:val="000000"/>
              </w:rPr>
            </w:pPr>
          </w:p>
        </w:tc>
        <w:tc>
          <w:tcPr>
            <w:tcW w:w="1134" w:type="dxa"/>
            <w:tcBorders>
              <w:bottom w:val="single" w:sz="12" w:space="0" w:color="000000"/>
            </w:tcBorders>
            <w:vAlign w:val="bottom"/>
          </w:tcPr>
          <w:p w14:paraId="23154005"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0145BDF0"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6B94438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vAlign w:val="bottom"/>
          </w:tcPr>
          <w:p w14:paraId="31F06E3D" w14:textId="77777777" w:rsidR="008E5DE4" w:rsidRDefault="008E5DE4">
            <w:pPr>
              <w:widowControl w:val="0"/>
              <w:pBdr>
                <w:top w:val="nil"/>
                <w:left w:val="nil"/>
                <w:bottom w:val="nil"/>
                <w:right w:val="nil"/>
                <w:between w:val="nil"/>
              </w:pBdr>
              <w:jc w:val="right"/>
              <w:rPr>
                <w:color w:val="000000"/>
              </w:rPr>
            </w:pPr>
          </w:p>
        </w:tc>
        <w:tc>
          <w:tcPr>
            <w:tcW w:w="1134" w:type="dxa"/>
            <w:tcBorders>
              <w:bottom w:val="single" w:sz="12" w:space="0" w:color="000000"/>
            </w:tcBorders>
          </w:tcPr>
          <w:p w14:paraId="6FC1DC78" w14:textId="77777777" w:rsidR="008E5DE4" w:rsidRDefault="008E5DE4">
            <w:pPr>
              <w:widowControl w:val="0"/>
              <w:pBdr>
                <w:top w:val="nil"/>
                <w:left w:val="nil"/>
                <w:bottom w:val="nil"/>
                <w:right w:val="nil"/>
                <w:between w:val="nil"/>
              </w:pBdr>
              <w:jc w:val="right"/>
              <w:rPr>
                <w:color w:val="000000"/>
              </w:rPr>
            </w:pPr>
          </w:p>
        </w:tc>
      </w:tr>
    </w:tbl>
    <w:p w14:paraId="0FE33F35" w14:textId="77777777" w:rsidR="008E5DE4" w:rsidRDefault="008E5DE4">
      <w:pPr>
        <w:widowControl w:val="0"/>
        <w:spacing w:before="200" w:after="120"/>
        <w:jc w:val="both"/>
        <w:rPr>
          <w:sz w:val="20"/>
          <w:szCs w:val="20"/>
        </w:rPr>
      </w:pPr>
    </w:p>
    <w:p w14:paraId="1BFCA002"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34</w:t>
      </w:r>
      <w:r>
        <w:rPr>
          <w:b/>
          <w:color w:val="000000"/>
          <w:sz w:val="20"/>
          <w:szCs w:val="20"/>
        </w:rPr>
        <w:tab/>
        <w:t>Trade and Other Payables (Continued)</w:t>
      </w:r>
    </w:p>
    <w:p w14:paraId="459338B4" w14:textId="4A665B14" w:rsidR="008E5DE4" w:rsidRDefault="00780368">
      <w:pPr>
        <w:widowControl w:val="0"/>
        <w:spacing w:before="200" w:after="120"/>
        <w:jc w:val="both"/>
        <w:rPr>
          <w:i/>
          <w:color w:val="FF0000"/>
          <w:sz w:val="20"/>
          <w:szCs w:val="20"/>
        </w:rPr>
      </w:pPr>
      <w:r>
        <w:rPr>
          <w:sz w:val="20"/>
          <w:szCs w:val="20"/>
        </w:rPr>
        <w:t xml:space="preserve">Movements in the provision for loan commitments in </w:t>
      </w:r>
      <w:r w:rsidR="008614F8">
        <w:rPr>
          <w:sz w:val="20"/>
          <w:szCs w:val="20"/>
        </w:rPr>
        <w:t>2025</w:t>
      </w:r>
      <w:r>
        <w:rPr>
          <w:sz w:val="20"/>
          <w:szCs w:val="20"/>
        </w:rPr>
        <w:t xml:space="preserve"> were as follows. </w:t>
      </w:r>
    </w:p>
    <w:tbl>
      <w:tblPr>
        <w:tblStyle w:val="affffffffff3"/>
        <w:tblW w:w="9356" w:type="dxa"/>
        <w:tblLayout w:type="fixed"/>
        <w:tblLook w:val="0000" w:firstRow="0" w:lastRow="0" w:firstColumn="0" w:lastColumn="0" w:noHBand="0" w:noVBand="0"/>
      </w:tblPr>
      <w:tblGrid>
        <w:gridCol w:w="3686"/>
        <w:gridCol w:w="1134"/>
        <w:gridCol w:w="1134"/>
        <w:gridCol w:w="1134"/>
        <w:gridCol w:w="1134"/>
        <w:gridCol w:w="1134"/>
      </w:tblGrid>
      <w:tr w:rsidR="008E5DE4" w14:paraId="66184D7A" w14:textId="77777777">
        <w:trPr>
          <w:cantSplit/>
          <w:tblHeader/>
        </w:trPr>
        <w:tc>
          <w:tcPr>
            <w:tcW w:w="3686" w:type="dxa"/>
            <w:tcBorders>
              <w:bottom w:val="single" w:sz="4" w:space="0" w:color="000000"/>
            </w:tcBorders>
            <w:vAlign w:val="bottom"/>
          </w:tcPr>
          <w:p w14:paraId="3BF33246"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7BDC7BF2"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548BEEEB"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17599EE4"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64314B6C"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522749B9"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48440FBB"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761C4462" w14:textId="77777777" w:rsidR="008E5DE4" w:rsidRDefault="00780368">
            <w:pPr>
              <w:widowControl w:val="0"/>
              <w:pBdr>
                <w:top w:val="nil"/>
                <w:left w:val="nil"/>
                <w:bottom w:val="nil"/>
                <w:right w:val="nil"/>
                <w:between w:val="nil"/>
              </w:pBdr>
              <w:ind w:left="-113"/>
              <w:jc w:val="right"/>
              <w:rPr>
                <w:b/>
                <w:color w:val="000000"/>
              </w:rPr>
            </w:pPr>
            <w:r>
              <w:rPr>
                <w:b/>
                <w:color w:val="000000"/>
              </w:rPr>
              <w:t>Total provision</w:t>
            </w:r>
          </w:p>
        </w:tc>
        <w:tc>
          <w:tcPr>
            <w:tcW w:w="1134" w:type="dxa"/>
            <w:tcBorders>
              <w:bottom w:val="single" w:sz="4" w:space="0" w:color="000000"/>
            </w:tcBorders>
          </w:tcPr>
          <w:p w14:paraId="3578606F" w14:textId="77777777" w:rsidR="008E5DE4" w:rsidRDefault="00780368">
            <w:pPr>
              <w:widowControl w:val="0"/>
              <w:pBdr>
                <w:top w:val="nil"/>
                <w:left w:val="nil"/>
                <w:bottom w:val="nil"/>
                <w:right w:val="nil"/>
                <w:between w:val="nil"/>
              </w:pBdr>
              <w:ind w:left="-113"/>
              <w:jc w:val="right"/>
              <w:rPr>
                <w:b/>
                <w:color w:val="000000"/>
              </w:rPr>
            </w:pPr>
            <w:r>
              <w:rPr>
                <w:b/>
                <w:color w:val="000000"/>
              </w:rPr>
              <w:t>Gross committed amount</w:t>
            </w:r>
          </w:p>
        </w:tc>
      </w:tr>
      <w:tr w:rsidR="008E5DE4" w14:paraId="15604DED" w14:textId="77777777">
        <w:trPr>
          <w:cantSplit/>
        </w:trPr>
        <w:tc>
          <w:tcPr>
            <w:tcW w:w="3686" w:type="dxa"/>
            <w:tcBorders>
              <w:top w:val="single" w:sz="4" w:space="0" w:color="000000"/>
            </w:tcBorders>
            <w:vAlign w:val="bottom"/>
          </w:tcPr>
          <w:p w14:paraId="4D612247" w14:textId="77777777" w:rsidR="008E5DE4" w:rsidRDefault="008E5DE4">
            <w:pPr>
              <w:widowControl w:val="0"/>
              <w:pBdr>
                <w:top w:val="nil"/>
                <w:left w:val="nil"/>
                <w:bottom w:val="nil"/>
                <w:right w:val="nil"/>
                <w:between w:val="nil"/>
              </w:pBdr>
              <w:ind w:left="113" w:right="-57" w:hanging="113"/>
              <w:rPr>
                <w:b/>
                <w:color w:val="000000"/>
                <w:sz w:val="14"/>
                <w:szCs w:val="14"/>
                <w:u w:val="single"/>
              </w:rPr>
            </w:pPr>
          </w:p>
        </w:tc>
        <w:tc>
          <w:tcPr>
            <w:tcW w:w="1134" w:type="dxa"/>
            <w:tcBorders>
              <w:top w:val="single" w:sz="4" w:space="0" w:color="000000"/>
            </w:tcBorders>
            <w:vAlign w:val="bottom"/>
          </w:tcPr>
          <w:p w14:paraId="226CD948"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44D870AE"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3E678EAA"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25D8E63A"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tcPr>
          <w:p w14:paraId="0D050A14" w14:textId="77777777" w:rsidR="008E5DE4" w:rsidRDefault="008E5DE4">
            <w:pPr>
              <w:widowControl w:val="0"/>
              <w:pBdr>
                <w:top w:val="nil"/>
                <w:left w:val="nil"/>
                <w:bottom w:val="nil"/>
                <w:right w:val="nil"/>
                <w:between w:val="nil"/>
              </w:pBdr>
              <w:jc w:val="right"/>
              <w:rPr>
                <w:color w:val="000000"/>
                <w:sz w:val="14"/>
                <w:szCs w:val="14"/>
              </w:rPr>
            </w:pPr>
          </w:p>
        </w:tc>
      </w:tr>
      <w:tr w:rsidR="008E5DE4" w14:paraId="76B79B31" w14:textId="77777777">
        <w:trPr>
          <w:cantSplit/>
        </w:trPr>
        <w:tc>
          <w:tcPr>
            <w:tcW w:w="3686" w:type="dxa"/>
            <w:vAlign w:val="bottom"/>
          </w:tcPr>
          <w:p w14:paraId="2A9A3A77" w14:textId="2AEE4179" w:rsidR="008E5DE4" w:rsidRDefault="00780368">
            <w:pPr>
              <w:widowControl w:val="0"/>
              <w:pBdr>
                <w:top w:val="nil"/>
                <w:left w:val="nil"/>
                <w:bottom w:val="nil"/>
                <w:right w:val="nil"/>
                <w:between w:val="nil"/>
              </w:pBdr>
              <w:ind w:left="113" w:right="-57" w:hanging="113"/>
              <w:rPr>
                <w:b/>
                <w:color w:val="0000FF"/>
              </w:rPr>
            </w:pPr>
            <w:r>
              <w:rPr>
                <w:b/>
                <w:color w:val="000000"/>
              </w:rPr>
              <w:t xml:space="preserve">Provision for loan commitments </w:t>
            </w:r>
            <w:proofErr w:type="gramStart"/>
            <w:r>
              <w:rPr>
                <w:b/>
                <w:color w:val="000000"/>
              </w:rPr>
              <w:t>at</w:t>
            </w:r>
            <w:proofErr w:type="gramEnd"/>
            <w:r>
              <w:rPr>
                <w:b/>
                <w:color w:val="000000"/>
              </w:rPr>
              <w:t xml:space="preserve"> 31 December </w:t>
            </w:r>
            <w:r w:rsidR="00E06A92">
              <w:rPr>
                <w:b/>
                <w:color w:val="000000"/>
              </w:rPr>
              <w:t>2024</w:t>
            </w:r>
          </w:p>
        </w:tc>
        <w:tc>
          <w:tcPr>
            <w:tcW w:w="1134" w:type="dxa"/>
            <w:vAlign w:val="bottom"/>
          </w:tcPr>
          <w:p w14:paraId="79C1B80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7BCD0D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A5615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93084B" w14:textId="77777777" w:rsidR="008E5DE4" w:rsidRDefault="008E5DE4">
            <w:pPr>
              <w:widowControl w:val="0"/>
              <w:pBdr>
                <w:top w:val="nil"/>
                <w:left w:val="nil"/>
                <w:bottom w:val="nil"/>
                <w:right w:val="nil"/>
                <w:between w:val="nil"/>
              </w:pBdr>
              <w:jc w:val="right"/>
              <w:rPr>
                <w:color w:val="000000"/>
              </w:rPr>
            </w:pPr>
          </w:p>
        </w:tc>
        <w:tc>
          <w:tcPr>
            <w:tcW w:w="1134" w:type="dxa"/>
          </w:tcPr>
          <w:p w14:paraId="23B1CAA3" w14:textId="77777777" w:rsidR="008E5DE4" w:rsidRDefault="008E5DE4">
            <w:pPr>
              <w:widowControl w:val="0"/>
              <w:pBdr>
                <w:top w:val="nil"/>
                <w:left w:val="nil"/>
                <w:bottom w:val="nil"/>
                <w:right w:val="nil"/>
                <w:between w:val="nil"/>
              </w:pBdr>
              <w:jc w:val="right"/>
              <w:rPr>
                <w:color w:val="000000"/>
              </w:rPr>
            </w:pPr>
          </w:p>
        </w:tc>
      </w:tr>
      <w:tr w:rsidR="008E5DE4" w14:paraId="0B06BA2B" w14:textId="77777777">
        <w:trPr>
          <w:cantSplit/>
        </w:trPr>
        <w:tc>
          <w:tcPr>
            <w:tcW w:w="3686" w:type="dxa"/>
            <w:vAlign w:val="bottom"/>
          </w:tcPr>
          <w:p w14:paraId="7CC9932E"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1134" w:type="dxa"/>
            <w:vAlign w:val="bottom"/>
          </w:tcPr>
          <w:p w14:paraId="5C20555A"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5F775175"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7F7CE7B1"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75D16A9B"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Pr>
          <w:p w14:paraId="7DF3BF81" w14:textId="77777777" w:rsidR="008E5DE4" w:rsidRDefault="008E5DE4">
            <w:pPr>
              <w:widowControl w:val="0"/>
              <w:pBdr>
                <w:top w:val="nil"/>
                <w:left w:val="nil"/>
                <w:bottom w:val="nil"/>
                <w:right w:val="nil"/>
                <w:between w:val="nil"/>
              </w:pBdr>
              <w:jc w:val="right"/>
              <w:rPr>
                <w:color w:val="000000"/>
                <w:sz w:val="16"/>
                <w:szCs w:val="16"/>
              </w:rPr>
            </w:pPr>
          </w:p>
        </w:tc>
      </w:tr>
      <w:tr w:rsidR="008E5DE4" w14:paraId="46962FCD" w14:textId="77777777">
        <w:trPr>
          <w:cantSplit/>
        </w:trPr>
        <w:tc>
          <w:tcPr>
            <w:tcW w:w="3686" w:type="dxa"/>
            <w:vAlign w:val="bottom"/>
          </w:tcPr>
          <w:p w14:paraId="1C20B24E" w14:textId="77777777" w:rsidR="008E5DE4" w:rsidRDefault="00780368">
            <w:pPr>
              <w:widowControl w:val="0"/>
              <w:pBdr>
                <w:top w:val="nil"/>
                <w:left w:val="nil"/>
                <w:bottom w:val="nil"/>
                <w:right w:val="nil"/>
                <w:between w:val="nil"/>
              </w:pBdr>
              <w:ind w:left="113" w:right="-57" w:hanging="113"/>
              <w:rPr>
                <w:i/>
                <w:color w:val="000000"/>
              </w:rPr>
            </w:pPr>
            <w:r>
              <w:rPr>
                <w:i/>
                <w:color w:val="000000"/>
              </w:rPr>
              <w:t>Movements with impact on provision for credit related commitments charge for the period:</w:t>
            </w:r>
          </w:p>
        </w:tc>
        <w:tc>
          <w:tcPr>
            <w:tcW w:w="1134" w:type="dxa"/>
            <w:vAlign w:val="bottom"/>
          </w:tcPr>
          <w:p w14:paraId="2D65140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BE4B8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4634A1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1F017E" w14:textId="77777777" w:rsidR="008E5DE4" w:rsidRDefault="008E5DE4">
            <w:pPr>
              <w:widowControl w:val="0"/>
              <w:pBdr>
                <w:top w:val="nil"/>
                <w:left w:val="nil"/>
                <w:bottom w:val="nil"/>
                <w:right w:val="nil"/>
                <w:between w:val="nil"/>
              </w:pBdr>
              <w:jc w:val="right"/>
              <w:rPr>
                <w:color w:val="000000"/>
              </w:rPr>
            </w:pPr>
          </w:p>
        </w:tc>
        <w:tc>
          <w:tcPr>
            <w:tcW w:w="1134" w:type="dxa"/>
          </w:tcPr>
          <w:p w14:paraId="20891924" w14:textId="77777777" w:rsidR="008E5DE4" w:rsidRDefault="008E5DE4">
            <w:pPr>
              <w:widowControl w:val="0"/>
              <w:pBdr>
                <w:top w:val="nil"/>
                <w:left w:val="nil"/>
                <w:bottom w:val="nil"/>
                <w:right w:val="nil"/>
                <w:between w:val="nil"/>
              </w:pBdr>
              <w:jc w:val="right"/>
              <w:rPr>
                <w:color w:val="000000"/>
              </w:rPr>
            </w:pPr>
          </w:p>
        </w:tc>
      </w:tr>
      <w:tr w:rsidR="008E5DE4" w14:paraId="4D26FFC0" w14:textId="77777777">
        <w:trPr>
          <w:cantSplit/>
        </w:trPr>
        <w:tc>
          <w:tcPr>
            <w:tcW w:w="3686" w:type="dxa"/>
            <w:vAlign w:val="bottom"/>
          </w:tcPr>
          <w:p w14:paraId="0AB4AE62"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1134" w:type="dxa"/>
            <w:vAlign w:val="bottom"/>
          </w:tcPr>
          <w:p w14:paraId="5092901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1AE757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CDCDEB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5840AA" w14:textId="77777777" w:rsidR="008E5DE4" w:rsidRDefault="008E5DE4">
            <w:pPr>
              <w:widowControl w:val="0"/>
              <w:pBdr>
                <w:top w:val="nil"/>
                <w:left w:val="nil"/>
                <w:bottom w:val="nil"/>
                <w:right w:val="nil"/>
                <w:between w:val="nil"/>
              </w:pBdr>
              <w:jc w:val="right"/>
              <w:rPr>
                <w:color w:val="000000"/>
              </w:rPr>
            </w:pPr>
          </w:p>
        </w:tc>
        <w:tc>
          <w:tcPr>
            <w:tcW w:w="1134" w:type="dxa"/>
          </w:tcPr>
          <w:p w14:paraId="54B55FBF" w14:textId="77777777" w:rsidR="008E5DE4" w:rsidRDefault="008E5DE4">
            <w:pPr>
              <w:widowControl w:val="0"/>
              <w:pBdr>
                <w:top w:val="nil"/>
                <w:left w:val="nil"/>
                <w:bottom w:val="nil"/>
                <w:right w:val="nil"/>
                <w:between w:val="nil"/>
              </w:pBdr>
              <w:jc w:val="right"/>
              <w:rPr>
                <w:color w:val="000000"/>
              </w:rPr>
            </w:pPr>
          </w:p>
        </w:tc>
      </w:tr>
      <w:tr w:rsidR="008E5DE4" w14:paraId="3469A135" w14:textId="77777777">
        <w:trPr>
          <w:cantSplit/>
        </w:trPr>
        <w:tc>
          <w:tcPr>
            <w:tcW w:w="3686" w:type="dxa"/>
            <w:vAlign w:val="bottom"/>
          </w:tcPr>
          <w:p w14:paraId="6C2E370C"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1134" w:type="dxa"/>
            <w:vAlign w:val="bottom"/>
          </w:tcPr>
          <w:p w14:paraId="4402C07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89D9D4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1A7415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81DE26" w14:textId="77777777" w:rsidR="008E5DE4" w:rsidRDefault="008E5DE4">
            <w:pPr>
              <w:widowControl w:val="0"/>
              <w:pBdr>
                <w:top w:val="nil"/>
                <w:left w:val="nil"/>
                <w:bottom w:val="nil"/>
                <w:right w:val="nil"/>
                <w:between w:val="nil"/>
              </w:pBdr>
              <w:jc w:val="right"/>
              <w:rPr>
                <w:color w:val="000000"/>
              </w:rPr>
            </w:pPr>
          </w:p>
        </w:tc>
        <w:tc>
          <w:tcPr>
            <w:tcW w:w="1134" w:type="dxa"/>
          </w:tcPr>
          <w:p w14:paraId="09343F36" w14:textId="77777777" w:rsidR="008E5DE4" w:rsidRDefault="008E5DE4">
            <w:pPr>
              <w:widowControl w:val="0"/>
              <w:pBdr>
                <w:top w:val="nil"/>
                <w:left w:val="nil"/>
                <w:bottom w:val="nil"/>
                <w:right w:val="nil"/>
                <w:between w:val="nil"/>
              </w:pBdr>
              <w:jc w:val="right"/>
              <w:rPr>
                <w:color w:val="000000"/>
              </w:rPr>
            </w:pPr>
          </w:p>
        </w:tc>
      </w:tr>
      <w:tr w:rsidR="008E5DE4" w14:paraId="38CCAE9A" w14:textId="77777777">
        <w:trPr>
          <w:cantSplit/>
        </w:trPr>
        <w:tc>
          <w:tcPr>
            <w:tcW w:w="3686" w:type="dxa"/>
            <w:vAlign w:val="bottom"/>
          </w:tcPr>
          <w:p w14:paraId="535A36A2"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1134" w:type="dxa"/>
            <w:vAlign w:val="bottom"/>
          </w:tcPr>
          <w:p w14:paraId="46EED08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2C27F3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A9664D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A6CD51" w14:textId="77777777" w:rsidR="008E5DE4" w:rsidRDefault="008E5DE4">
            <w:pPr>
              <w:widowControl w:val="0"/>
              <w:pBdr>
                <w:top w:val="nil"/>
                <w:left w:val="nil"/>
                <w:bottom w:val="nil"/>
                <w:right w:val="nil"/>
                <w:between w:val="nil"/>
              </w:pBdr>
              <w:jc w:val="right"/>
              <w:rPr>
                <w:color w:val="000000"/>
              </w:rPr>
            </w:pPr>
          </w:p>
        </w:tc>
        <w:tc>
          <w:tcPr>
            <w:tcW w:w="1134" w:type="dxa"/>
          </w:tcPr>
          <w:p w14:paraId="081F6E07" w14:textId="77777777" w:rsidR="008E5DE4" w:rsidRDefault="008E5DE4">
            <w:pPr>
              <w:widowControl w:val="0"/>
              <w:pBdr>
                <w:top w:val="nil"/>
                <w:left w:val="nil"/>
                <w:bottom w:val="nil"/>
                <w:right w:val="nil"/>
                <w:between w:val="nil"/>
              </w:pBdr>
              <w:jc w:val="right"/>
              <w:rPr>
                <w:color w:val="000000"/>
              </w:rPr>
            </w:pPr>
          </w:p>
        </w:tc>
      </w:tr>
      <w:tr w:rsidR="008E5DE4" w14:paraId="7756C76D" w14:textId="77777777">
        <w:trPr>
          <w:cantSplit/>
        </w:trPr>
        <w:tc>
          <w:tcPr>
            <w:tcW w:w="3686" w:type="dxa"/>
            <w:vAlign w:val="bottom"/>
          </w:tcPr>
          <w:p w14:paraId="1F531C4B"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1134" w:type="dxa"/>
            <w:vAlign w:val="bottom"/>
          </w:tcPr>
          <w:p w14:paraId="527134A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FCAD9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79DA24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56643E5" w14:textId="77777777" w:rsidR="008E5DE4" w:rsidRDefault="008E5DE4">
            <w:pPr>
              <w:widowControl w:val="0"/>
              <w:pBdr>
                <w:top w:val="nil"/>
                <w:left w:val="nil"/>
                <w:bottom w:val="nil"/>
                <w:right w:val="nil"/>
                <w:between w:val="nil"/>
              </w:pBdr>
              <w:jc w:val="right"/>
              <w:rPr>
                <w:color w:val="000000"/>
              </w:rPr>
            </w:pPr>
          </w:p>
        </w:tc>
        <w:tc>
          <w:tcPr>
            <w:tcW w:w="1134" w:type="dxa"/>
          </w:tcPr>
          <w:p w14:paraId="7F478F70" w14:textId="77777777" w:rsidR="008E5DE4" w:rsidRDefault="008E5DE4">
            <w:pPr>
              <w:widowControl w:val="0"/>
              <w:pBdr>
                <w:top w:val="nil"/>
                <w:left w:val="nil"/>
                <w:bottom w:val="nil"/>
                <w:right w:val="nil"/>
                <w:between w:val="nil"/>
              </w:pBdr>
              <w:jc w:val="right"/>
              <w:rPr>
                <w:color w:val="000000"/>
              </w:rPr>
            </w:pPr>
          </w:p>
        </w:tc>
      </w:tr>
      <w:tr w:rsidR="008E5DE4" w14:paraId="48F1FC54" w14:textId="77777777">
        <w:trPr>
          <w:cantSplit/>
        </w:trPr>
        <w:tc>
          <w:tcPr>
            <w:tcW w:w="3686" w:type="dxa"/>
            <w:vAlign w:val="bottom"/>
          </w:tcPr>
          <w:p w14:paraId="572D97A8" w14:textId="77777777" w:rsidR="008E5DE4" w:rsidRDefault="00780368">
            <w:pPr>
              <w:widowControl w:val="0"/>
              <w:pBdr>
                <w:top w:val="nil"/>
                <w:left w:val="nil"/>
                <w:bottom w:val="nil"/>
                <w:right w:val="nil"/>
                <w:between w:val="nil"/>
              </w:pBdr>
              <w:ind w:left="113" w:right="-57" w:hanging="113"/>
              <w:rPr>
                <w:color w:val="000000"/>
              </w:rPr>
            </w:pPr>
            <w:r>
              <w:rPr>
                <w:color w:val="000000"/>
              </w:rPr>
              <w:t>Issued loan commitments ‒ fees charged</w:t>
            </w:r>
          </w:p>
        </w:tc>
        <w:tc>
          <w:tcPr>
            <w:tcW w:w="1134" w:type="dxa"/>
            <w:vAlign w:val="bottom"/>
          </w:tcPr>
          <w:p w14:paraId="0B1FFA0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4C6900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090B8C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B0CBE3F" w14:textId="77777777" w:rsidR="008E5DE4" w:rsidRDefault="008E5DE4">
            <w:pPr>
              <w:widowControl w:val="0"/>
              <w:pBdr>
                <w:top w:val="nil"/>
                <w:left w:val="nil"/>
                <w:bottom w:val="nil"/>
                <w:right w:val="nil"/>
                <w:between w:val="nil"/>
              </w:pBdr>
              <w:jc w:val="right"/>
              <w:rPr>
                <w:color w:val="000000"/>
              </w:rPr>
            </w:pPr>
          </w:p>
        </w:tc>
        <w:tc>
          <w:tcPr>
            <w:tcW w:w="1134" w:type="dxa"/>
          </w:tcPr>
          <w:p w14:paraId="72EB5392" w14:textId="77777777" w:rsidR="008E5DE4" w:rsidRDefault="008E5DE4">
            <w:pPr>
              <w:widowControl w:val="0"/>
              <w:pBdr>
                <w:top w:val="nil"/>
                <w:left w:val="nil"/>
                <w:bottom w:val="nil"/>
                <w:right w:val="nil"/>
                <w:between w:val="nil"/>
              </w:pBdr>
              <w:jc w:val="right"/>
              <w:rPr>
                <w:color w:val="000000"/>
              </w:rPr>
            </w:pPr>
          </w:p>
        </w:tc>
      </w:tr>
      <w:tr w:rsidR="008E5DE4" w14:paraId="76A4BE2E" w14:textId="77777777">
        <w:trPr>
          <w:cantSplit/>
        </w:trPr>
        <w:tc>
          <w:tcPr>
            <w:tcW w:w="3686" w:type="dxa"/>
            <w:vAlign w:val="bottom"/>
          </w:tcPr>
          <w:p w14:paraId="0669F8C3" w14:textId="77777777" w:rsidR="008E5DE4" w:rsidRDefault="00780368">
            <w:pPr>
              <w:widowControl w:val="0"/>
              <w:pBdr>
                <w:top w:val="nil"/>
                <w:left w:val="nil"/>
                <w:bottom w:val="nil"/>
                <w:right w:val="nil"/>
                <w:between w:val="nil"/>
              </w:pBdr>
              <w:ind w:left="113" w:right="-57" w:hanging="113"/>
              <w:rPr>
                <w:color w:val="000000"/>
              </w:rPr>
            </w:pPr>
            <w:r>
              <w:rPr>
                <w:color w:val="000000"/>
              </w:rPr>
              <w:t>Issued loan commitments ‒ 12-months ECL</w:t>
            </w:r>
          </w:p>
        </w:tc>
        <w:tc>
          <w:tcPr>
            <w:tcW w:w="1134" w:type="dxa"/>
            <w:vAlign w:val="bottom"/>
          </w:tcPr>
          <w:p w14:paraId="2A7906F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0C049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81837A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41B9049" w14:textId="77777777" w:rsidR="008E5DE4" w:rsidRDefault="008E5DE4">
            <w:pPr>
              <w:widowControl w:val="0"/>
              <w:pBdr>
                <w:top w:val="nil"/>
                <w:left w:val="nil"/>
                <w:bottom w:val="nil"/>
                <w:right w:val="nil"/>
                <w:between w:val="nil"/>
              </w:pBdr>
              <w:jc w:val="right"/>
              <w:rPr>
                <w:color w:val="000000"/>
              </w:rPr>
            </w:pPr>
          </w:p>
        </w:tc>
        <w:tc>
          <w:tcPr>
            <w:tcW w:w="1134" w:type="dxa"/>
          </w:tcPr>
          <w:p w14:paraId="307AEB61" w14:textId="77777777" w:rsidR="008E5DE4" w:rsidRDefault="008E5DE4">
            <w:pPr>
              <w:widowControl w:val="0"/>
              <w:pBdr>
                <w:top w:val="nil"/>
                <w:left w:val="nil"/>
                <w:bottom w:val="nil"/>
                <w:right w:val="nil"/>
                <w:between w:val="nil"/>
              </w:pBdr>
              <w:jc w:val="right"/>
              <w:rPr>
                <w:color w:val="000000"/>
              </w:rPr>
            </w:pPr>
          </w:p>
        </w:tc>
      </w:tr>
      <w:tr w:rsidR="008E5DE4" w14:paraId="03940B03" w14:textId="77777777">
        <w:trPr>
          <w:cantSplit/>
        </w:trPr>
        <w:tc>
          <w:tcPr>
            <w:tcW w:w="3686" w:type="dxa"/>
            <w:vAlign w:val="bottom"/>
          </w:tcPr>
          <w:p w14:paraId="2920D1AA" w14:textId="77777777" w:rsidR="008E5DE4" w:rsidRDefault="00780368">
            <w:pPr>
              <w:widowControl w:val="0"/>
              <w:pBdr>
                <w:top w:val="nil"/>
                <w:left w:val="nil"/>
                <w:bottom w:val="nil"/>
                <w:right w:val="nil"/>
                <w:between w:val="nil"/>
              </w:pBdr>
              <w:ind w:left="113" w:right="-57" w:hanging="113"/>
              <w:rPr>
                <w:color w:val="000000"/>
              </w:rPr>
            </w:pPr>
            <w:r>
              <w:rPr>
                <w:color w:val="000000"/>
              </w:rPr>
              <w:t>Amortisation of deferred fee to income</w:t>
            </w:r>
          </w:p>
        </w:tc>
        <w:tc>
          <w:tcPr>
            <w:tcW w:w="1134" w:type="dxa"/>
            <w:vAlign w:val="bottom"/>
          </w:tcPr>
          <w:p w14:paraId="6B18306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A061B3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74DE1C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DB1A89" w14:textId="77777777" w:rsidR="008E5DE4" w:rsidRDefault="008E5DE4">
            <w:pPr>
              <w:widowControl w:val="0"/>
              <w:pBdr>
                <w:top w:val="nil"/>
                <w:left w:val="nil"/>
                <w:bottom w:val="nil"/>
                <w:right w:val="nil"/>
                <w:between w:val="nil"/>
              </w:pBdr>
              <w:jc w:val="right"/>
              <w:rPr>
                <w:color w:val="000000"/>
              </w:rPr>
            </w:pPr>
          </w:p>
        </w:tc>
        <w:tc>
          <w:tcPr>
            <w:tcW w:w="1134" w:type="dxa"/>
          </w:tcPr>
          <w:p w14:paraId="4D95B6D6" w14:textId="77777777" w:rsidR="008E5DE4" w:rsidRDefault="008E5DE4">
            <w:pPr>
              <w:widowControl w:val="0"/>
              <w:pBdr>
                <w:top w:val="nil"/>
                <w:left w:val="nil"/>
                <w:bottom w:val="nil"/>
                <w:right w:val="nil"/>
                <w:between w:val="nil"/>
              </w:pBdr>
              <w:jc w:val="right"/>
              <w:rPr>
                <w:color w:val="000000"/>
              </w:rPr>
            </w:pPr>
          </w:p>
        </w:tc>
      </w:tr>
      <w:tr w:rsidR="008E5DE4" w14:paraId="15DCA07B" w14:textId="77777777">
        <w:trPr>
          <w:cantSplit/>
        </w:trPr>
        <w:tc>
          <w:tcPr>
            <w:tcW w:w="3686" w:type="dxa"/>
            <w:vAlign w:val="bottom"/>
          </w:tcPr>
          <w:p w14:paraId="61771F58" w14:textId="77777777" w:rsidR="008E5DE4" w:rsidRDefault="00780368">
            <w:pPr>
              <w:widowControl w:val="0"/>
              <w:pBdr>
                <w:top w:val="nil"/>
                <w:left w:val="nil"/>
                <w:bottom w:val="nil"/>
                <w:right w:val="nil"/>
                <w:between w:val="nil"/>
              </w:pBdr>
              <w:ind w:left="113" w:right="-57" w:hanging="113"/>
              <w:rPr>
                <w:color w:val="000000"/>
              </w:rPr>
            </w:pPr>
            <w:r>
              <w:rPr>
                <w:color w:val="000000"/>
              </w:rPr>
              <w:t>Transfer to ECL on loans upon loans drawdown</w:t>
            </w:r>
          </w:p>
        </w:tc>
        <w:tc>
          <w:tcPr>
            <w:tcW w:w="1134" w:type="dxa"/>
            <w:vAlign w:val="bottom"/>
          </w:tcPr>
          <w:p w14:paraId="31FA681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E77C3C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39F3E9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F317D87" w14:textId="77777777" w:rsidR="008E5DE4" w:rsidRDefault="008E5DE4">
            <w:pPr>
              <w:widowControl w:val="0"/>
              <w:pBdr>
                <w:top w:val="nil"/>
                <w:left w:val="nil"/>
                <w:bottom w:val="nil"/>
                <w:right w:val="nil"/>
                <w:between w:val="nil"/>
              </w:pBdr>
              <w:jc w:val="right"/>
              <w:rPr>
                <w:color w:val="000000"/>
              </w:rPr>
            </w:pPr>
          </w:p>
        </w:tc>
        <w:tc>
          <w:tcPr>
            <w:tcW w:w="1134" w:type="dxa"/>
          </w:tcPr>
          <w:p w14:paraId="78A966E0" w14:textId="77777777" w:rsidR="008E5DE4" w:rsidRDefault="008E5DE4">
            <w:pPr>
              <w:widowControl w:val="0"/>
              <w:pBdr>
                <w:top w:val="nil"/>
                <w:left w:val="nil"/>
                <w:bottom w:val="nil"/>
                <w:right w:val="nil"/>
                <w:between w:val="nil"/>
              </w:pBdr>
              <w:jc w:val="right"/>
              <w:rPr>
                <w:color w:val="000000"/>
              </w:rPr>
            </w:pPr>
          </w:p>
        </w:tc>
      </w:tr>
      <w:tr w:rsidR="008E5DE4" w14:paraId="575149FE" w14:textId="77777777">
        <w:trPr>
          <w:cantSplit/>
        </w:trPr>
        <w:tc>
          <w:tcPr>
            <w:tcW w:w="3686" w:type="dxa"/>
            <w:vAlign w:val="bottom"/>
          </w:tcPr>
          <w:p w14:paraId="4C0540F6"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1134" w:type="dxa"/>
            <w:vAlign w:val="bottom"/>
          </w:tcPr>
          <w:p w14:paraId="0099F2A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CFE25D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CFD8B2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5D066C5" w14:textId="77777777" w:rsidR="008E5DE4" w:rsidRDefault="008E5DE4">
            <w:pPr>
              <w:widowControl w:val="0"/>
              <w:pBdr>
                <w:top w:val="nil"/>
                <w:left w:val="nil"/>
                <w:bottom w:val="nil"/>
                <w:right w:val="nil"/>
                <w:between w:val="nil"/>
              </w:pBdr>
              <w:jc w:val="right"/>
              <w:rPr>
                <w:color w:val="000000"/>
              </w:rPr>
            </w:pPr>
          </w:p>
        </w:tc>
        <w:tc>
          <w:tcPr>
            <w:tcW w:w="1134" w:type="dxa"/>
          </w:tcPr>
          <w:p w14:paraId="77035E9B" w14:textId="77777777" w:rsidR="008E5DE4" w:rsidRDefault="008E5DE4">
            <w:pPr>
              <w:widowControl w:val="0"/>
              <w:pBdr>
                <w:top w:val="nil"/>
                <w:left w:val="nil"/>
                <w:bottom w:val="nil"/>
                <w:right w:val="nil"/>
                <w:between w:val="nil"/>
              </w:pBdr>
              <w:jc w:val="right"/>
              <w:rPr>
                <w:color w:val="000000"/>
              </w:rPr>
            </w:pPr>
          </w:p>
        </w:tc>
      </w:tr>
      <w:tr w:rsidR="008E5DE4" w14:paraId="399E29FE" w14:textId="77777777">
        <w:trPr>
          <w:cantSplit/>
        </w:trPr>
        <w:tc>
          <w:tcPr>
            <w:tcW w:w="3686" w:type="dxa"/>
            <w:vAlign w:val="bottom"/>
          </w:tcPr>
          <w:p w14:paraId="64908A3C"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model assumptions</w:t>
            </w:r>
          </w:p>
        </w:tc>
        <w:tc>
          <w:tcPr>
            <w:tcW w:w="1134" w:type="dxa"/>
            <w:vAlign w:val="bottom"/>
          </w:tcPr>
          <w:p w14:paraId="18140E6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478F01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9E789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843BF3" w14:textId="77777777" w:rsidR="008E5DE4" w:rsidRDefault="008E5DE4">
            <w:pPr>
              <w:widowControl w:val="0"/>
              <w:pBdr>
                <w:top w:val="nil"/>
                <w:left w:val="nil"/>
                <w:bottom w:val="nil"/>
                <w:right w:val="nil"/>
                <w:between w:val="nil"/>
              </w:pBdr>
              <w:jc w:val="right"/>
              <w:rPr>
                <w:color w:val="000000"/>
              </w:rPr>
            </w:pPr>
          </w:p>
        </w:tc>
        <w:tc>
          <w:tcPr>
            <w:tcW w:w="1134" w:type="dxa"/>
          </w:tcPr>
          <w:p w14:paraId="4BFCBAFC" w14:textId="77777777" w:rsidR="008E5DE4" w:rsidRDefault="008E5DE4">
            <w:pPr>
              <w:widowControl w:val="0"/>
              <w:pBdr>
                <w:top w:val="nil"/>
                <w:left w:val="nil"/>
                <w:bottom w:val="nil"/>
                <w:right w:val="nil"/>
                <w:between w:val="nil"/>
              </w:pBdr>
              <w:jc w:val="right"/>
              <w:rPr>
                <w:color w:val="000000"/>
              </w:rPr>
            </w:pPr>
          </w:p>
        </w:tc>
      </w:tr>
      <w:tr w:rsidR="008E5DE4" w14:paraId="54A0FB10" w14:textId="77777777">
        <w:trPr>
          <w:cantSplit/>
        </w:trPr>
        <w:tc>
          <w:tcPr>
            <w:tcW w:w="3686" w:type="dxa"/>
            <w:vAlign w:val="bottom"/>
          </w:tcPr>
          <w:p w14:paraId="03BDC3F4"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discounting</w:t>
            </w:r>
          </w:p>
        </w:tc>
        <w:tc>
          <w:tcPr>
            <w:tcW w:w="1134" w:type="dxa"/>
            <w:vAlign w:val="bottom"/>
          </w:tcPr>
          <w:p w14:paraId="2213107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6BF1E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2D40F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B21B664" w14:textId="77777777" w:rsidR="008E5DE4" w:rsidRDefault="008E5DE4">
            <w:pPr>
              <w:widowControl w:val="0"/>
              <w:pBdr>
                <w:top w:val="nil"/>
                <w:left w:val="nil"/>
                <w:bottom w:val="nil"/>
                <w:right w:val="nil"/>
                <w:between w:val="nil"/>
              </w:pBdr>
              <w:jc w:val="right"/>
              <w:rPr>
                <w:color w:val="000000"/>
              </w:rPr>
            </w:pPr>
          </w:p>
        </w:tc>
        <w:tc>
          <w:tcPr>
            <w:tcW w:w="1134" w:type="dxa"/>
          </w:tcPr>
          <w:p w14:paraId="375F0DCB" w14:textId="77777777" w:rsidR="008E5DE4" w:rsidRDefault="008E5DE4">
            <w:pPr>
              <w:widowControl w:val="0"/>
              <w:pBdr>
                <w:top w:val="nil"/>
                <w:left w:val="nil"/>
                <w:bottom w:val="nil"/>
                <w:right w:val="nil"/>
                <w:between w:val="nil"/>
              </w:pBdr>
              <w:jc w:val="right"/>
              <w:rPr>
                <w:color w:val="000000"/>
              </w:rPr>
            </w:pPr>
          </w:p>
        </w:tc>
      </w:tr>
      <w:tr w:rsidR="008E5DE4" w14:paraId="02D77A33" w14:textId="77777777">
        <w:trPr>
          <w:cantSplit/>
        </w:trPr>
        <w:tc>
          <w:tcPr>
            <w:tcW w:w="3686" w:type="dxa"/>
            <w:vAlign w:val="bottom"/>
          </w:tcPr>
          <w:p w14:paraId="3ECC783E"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1134" w:type="dxa"/>
            <w:vAlign w:val="bottom"/>
          </w:tcPr>
          <w:p w14:paraId="452DBDC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D6AB0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46AF6D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68B8545" w14:textId="77777777" w:rsidR="008E5DE4" w:rsidRDefault="008E5DE4">
            <w:pPr>
              <w:widowControl w:val="0"/>
              <w:pBdr>
                <w:top w:val="nil"/>
                <w:left w:val="nil"/>
                <w:bottom w:val="nil"/>
                <w:right w:val="nil"/>
                <w:between w:val="nil"/>
              </w:pBdr>
              <w:jc w:val="right"/>
              <w:rPr>
                <w:color w:val="000000"/>
              </w:rPr>
            </w:pPr>
          </w:p>
        </w:tc>
        <w:tc>
          <w:tcPr>
            <w:tcW w:w="1134" w:type="dxa"/>
          </w:tcPr>
          <w:p w14:paraId="71847DB5" w14:textId="77777777" w:rsidR="008E5DE4" w:rsidRDefault="008E5DE4">
            <w:pPr>
              <w:widowControl w:val="0"/>
              <w:pBdr>
                <w:top w:val="nil"/>
                <w:left w:val="nil"/>
                <w:bottom w:val="nil"/>
                <w:right w:val="nil"/>
                <w:between w:val="nil"/>
              </w:pBdr>
              <w:jc w:val="right"/>
              <w:rPr>
                <w:color w:val="000000"/>
              </w:rPr>
            </w:pPr>
          </w:p>
        </w:tc>
      </w:tr>
      <w:tr w:rsidR="008E5DE4" w14:paraId="64A42322" w14:textId="77777777">
        <w:trPr>
          <w:cantSplit/>
        </w:trPr>
        <w:tc>
          <w:tcPr>
            <w:tcW w:w="3686" w:type="dxa"/>
            <w:tcBorders>
              <w:bottom w:val="single" w:sz="4" w:space="0" w:color="000000"/>
            </w:tcBorders>
            <w:vAlign w:val="bottom"/>
          </w:tcPr>
          <w:p w14:paraId="1F77AA4E"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1134" w:type="dxa"/>
            <w:tcBorders>
              <w:bottom w:val="single" w:sz="4" w:space="0" w:color="000000"/>
            </w:tcBorders>
            <w:vAlign w:val="bottom"/>
          </w:tcPr>
          <w:p w14:paraId="4CCD3985"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78248339"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2BCB0EBB"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2800DA80"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tcPr>
          <w:p w14:paraId="43CB2DAD" w14:textId="77777777" w:rsidR="008E5DE4" w:rsidRDefault="008E5DE4">
            <w:pPr>
              <w:widowControl w:val="0"/>
              <w:pBdr>
                <w:top w:val="nil"/>
                <w:left w:val="nil"/>
                <w:bottom w:val="nil"/>
                <w:right w:val="nil"/>
                <w:between w:val="nil"/>
              </w:pBdr>
              <w:jc w:val="right"/>
              <w:rPr>
                <w:color w:val="000000"/>
                <w:sz w:val="16"/>
                <w:szCs w:val="16"/>
              </w:rPr>
            </w:pPr>
          </w:p>
        </w:tc>
      </w:tr>
      <w:tr w:rsidR="008E5DE4" w14:paraId="3ADE339A" w14:textId="77777777">
        <w:trPr>
          <w:cantSplit/>
        </w:trPr>
        <w:tc>
          <w:tcPr>
            <w:tcW w:w="3686" w:type="dxa"/>
            <w:tcBorders>
              <w:top w:val="single" w:sz="4" w:space="0" w:color="000000"/>
            </w:tcBorders>
            <w:vAlign w:val="bottom"/>
          </w:tcPr>
          <w:p w14:paraId="07E4AEAA"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1134" w:type="dxa"/>
            <w:tcBorders>
              <w:top w:val="single" w:sz="4" w:space="0" w:color="000000"/>
            </w:tcBorders>
            <w:vAlign w:val="bottom"/>
          </w:tcPr>
          <w:p w14:paraId="6B0D6508"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7BE9C35D"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51F8B082"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4C985074"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tcPr>
          <w:p w14:paraId="0A535B32" w14:textId="77777777" w:rsidR="008E5DE4" w:rsidRDefault="008E5DE4">
            <w:pPr>
              <w:widowControl w:val="0"/>
              <w:pBdr>
                <w:top w:val="nil"/>
                <w:left w:val="nil"/>
                <w:bottom w:val="nil"/>
                <w:right w:val="nil"/>
                <w:between w:val="nil"/>
              </w:pBdr>
              <w:jc w:val="right"/>
              <w:rPr>
                <w:color w:val="000000"/>
                <w:sz w:val="16"/>
                <w:szCs w:val="16"/>
              </w:rPr>
            </w:pPr>
          </w:p>
        </w:tc>
      </w:tr>
      <w:tr w:rsidR="008E5DE4" w14:paraId="5C17659B" w14:textId="77777777">
        <w:trPr>
          <w:cantSplit/>
        </w:trPr>
        <w:tc>
          <w:tcPr>
            <w:tcW w:w="3686" w:type="dxa"/>
            <w:vAlign w:val="bottom"/>
          </w:tcPr>
          <w:p w14:paraId="796E7BC0"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charge to profit or loss for the year</w:t>
            </w:r>
          </w:p>
        </w:tc>
        <w:tc>
          <w:tcPr>
            <w:tcW w:w="1134" w:type="dxa"/>
            <w:vAlign w:val="bottom"/>
          </w:tcPr>
          <w:p w14:paraId="1E8E68A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521B9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F98E4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D32D00" w14:textId="77777777" w:rsidR="008E5DE4" w:rsidRDefault="008E5DE4">
            <w:pPr>
              <w:widowControl w:val="0"/>
              <w:pBdr>
                <w:top w:val="nil"/>
                <w:left w:val="nil"/>
                <w:bottom w:val="nil"/>
                <w:right w:val="nil"/>
                <w:between w:val="nil"/>
              </w:pBdr>
              <w:jc w:val="right"/>
              <w:rPr>
                <w:color w:val="000000"/>
              </w:rPr>
            </w:pPr>
          </w:p>
        </w:tc>
        <w:tc>
          <w:tcPr>
            <w:tcW w:w="1134" w:type="dxa"/>
          </w:tcPr>
          <w:p w14:paraId="20724D97" w14:textId="77777777" w:rsidR="008E5DE4" w:rsidRDefault="008E5DE4">
            <w:pPr>
              <w:widowControl w:val="0"/>
              <w:pBdr>
                <w:top w:val="nil"/>
                <w:left w:val="nil"/>
                <w:bottom w:val="nil"/>
                <w:right w:val="nil"/>
                <w:between w:val="nil"/>
              </w:pBdr>
              <w:jc w:val="right"/>
              <w:rPr>
                <w:color w:val="000000"/>
              </w:rPr>
            </w:pPr>
          </w:p>
        </w:tc>
      </w:tr>
      <w:tr w:rsidR="008E5DE4" w14:paraId="600D9B77" w14:textId="77777777">
        <w:trPr>
          <w:cantSplit/>
        </w:trPr>
        <w:tc>
          <w:tcPr>
            <w:tcW w:w="3686" w:type="dxa"/>
            <w:vAlign w:val="bottom"/>
          </w:tcPr>
          <w:p w14:paraId="08A1DDA7"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1134" w:type="dxa"/>
            <w:vAlign w:val="bottom"/>
          </w:tcPr>
          <w:p w14:paraId="44C10A30"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3CB0A7F5"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602837A5"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01EBA663"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Pr>
          <w:p w14:paraId="485AD797" w14:textId="77777777" w:rsidR="008E5DE4" w:rsidRDefault="008E5DE4">
            <w:pPr>
              <w:widowControl w:val="0"/>
              <w:pBdr>
                <w:top w:val="nil"/>
                <w:left w:val="nil"/>
                <w:bottom w:val="nil"/>
                <w:right w:val="nil"/>
                <w:between w:val="nil"/>
              </w:pBdr>
              <w:jc w:val="right"/>
              <w:rPr>
                <w:color w:val="000000"/>
                <w:sz w:val="16"/>
                <w:szCs w:val="16"/>
              </w:rPr>
            </w:pPr>
          </w:p>
        </w:tc>
      </w:tr>
      <w:tr w:rsidR="008E5DE4" w14:paraId="74D8D594" w14:textId="77777777">
        <w:trPr>
          <w:cantSplit/>
        </w:trPr>
        <w:tc>
          <w:tcPr>
            <w:tcW w:w="3686" w:type="dxa"/>
            <w:tcBorders>
              <w:top w:val="single" w:sz="4" w:space="0" w:color="000000"/>
            </w:tcBorders>
            <w:vAlign w:val="bottom"/>
          </w:tcPr>
          <w:p w14:paraId="05120C62" w14:textId="77777777" w:rsidR="008E5DE4" w:rsidRDefault="008E5DE4">
            <w:pPr>
              <w:widowControl w:val="0"/>
              <w:pBdr>
                <w:top w:val="nil"/>
                <w:left w:val="nil"/>
                <w:bottom w:val="nil"/>
                <w:right w:val="nil"/>
                <w:between w:val="nil"/>
              </w:pBdr>
              <w:ind w:left="113" w:right="-57" w:hanging="113"/>
              <w:rPr>
                <w:b/>
                <w:i/>
                <w:color w:val="000000"/>
                <w:sz w:val="16"/>
                <w:szCs w:val="16"/>
              </w:rPr>
            </w:pPr>
          </w:p>
        </w:tc>
        <w:tc>
          <w:tcPr>
            <w:tcW w:w="1134" w:type="dxa"/>
            <w:tcBorders>
              <w:top w:val="single" w:sz="4" w:space="0" w:color="000000"/>
            </w:tcBorders>
            <w:vAlign w:val="bottom"/>
          </w:tcPr>
          <w:p w14:paraId="2071D183"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497F5420"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34CB18AE"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6E7EA8DE"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tcPr>
          <w:p w14:paraId="0C214ECD" w14:textId="77777777" w:rsidR="008E5DE4" w:rsidRDefault="008E5DE4">
            <w:pPr>
              <w:widowControl w:val="0"/>
              <w:pBdr>
                <w:top w:val="nil"/>
                <w:left w:val="nil"/>
                <w:bottom w:val="nil"/>
                <w:right w:val="nil"/>
                <w:between w:val="nil"/>
              </w:pBdr>
              <w:jc w:val="right"/>
              <w:rPr>
                <w:color w:val="000000"/>
                <w:sz w:val="16"/>
                <w:szCs w:val="16"/>
              </w:rPr>
            </w:pPr>
          </w:p>
        </w:tc>
      </w:tr>
      <w:tr w:rsidR="008E5DE4" w14:paraId="0A1D0D32" w14:textId="77777777">
        <w:trPr>
          <w:cantSplit/>
        </w:trPr>
        <w:tc>
          <w:tcPr>
            <w:tcW w:w="3686" w:type="dxa"/>
            <w:vAlign w:val="bottom"/>
          </w:tcPr>
          <w:p w14:paraId="3D867711" w14:textId="77777777" w:rsidR="008E5DE4" w:rsidRDefault="00780368">
            <w:pPr>
              <w:widowControl w:val="0"/>
              <w:pBdr>
                <w:top w:val="nil"/>
                <w:left w:val="nil"/>
                <w:bottom w:val="nil"/>
                <w:right w:val="nil"/>
                <w:between w:val="nil"/>
              </w:pBdr>
              <w:ind w:left="113" w:right="-57" w:hanging="113"/>
              <w:rPr>
                <w:color w:val="000000"/>
              </w:rPr>
            </w:pPr>
            <w:r>
              <w:rPr>
                <w:i/>
                <w:color w:val="000000"/>
              </w:rPr>
              <w:t>Movements without impact on provision for credit related commitments charge for the period:</w:t>
            </w:r>
          </w:p>
        </w:tc>
        <w:tc>
          <w:tcPr>
            <w:tcW w:w="1134" w:type="dxa"/>
            <w:vAlign w:val="bottom"/>
          </w:tcPr>
          <w:p w14:paraId="6A929B0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551F27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3CFD5C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7487075" w14:textId="77777777" w:rsidR="008E5DE4" w:rsidRDefault="008E5DE4">
            <w:pPr>
              <w:widowControl w:val="0"/>
              <w:pBdr>
                <w:top w:val="nil"/>
                <w:left w:val="nil"/>
                <w:bottom w:val="nil"/>
                <w:right w:val="nil"/>
                <w:between w:val="nil"/>
              </w:pBdr>
              <w:jc w:val="right"/>
              <w:rPr>
                <w:color w:val="000000"/>
              </w:rPr>
            </w:pPr>
          </w:p>
        </w:tc>
        <w:tc>
          <w:tcPr>
            <w:tcW w:w="1134" w:type="dxa"/>
          </w:tcPr>
          <w:p w14:paraId="110F1172" w14:textId="77777777" w:rsidR="008E5DE4" w:rsidRDefault="008E5DE4">
            <w:pPr>
              <w:widowControl w:val="0"/>
              <w:pBdr>
                <w:top w:val="nil"/>
                <w:left w:val="nil"/>
                <w:bottom w:val="nil"/>
                <w:right w:val="nil"/>
                <w:between w:val="nil"/>
              </w:pBdr>
              <w:jc w:val="right"/>
              <w:rPr>
                <w:color w:val="000000"/>
              </w:rPr>
            </w:pPr>
          </w:p>
        </w:tc>
      </w:tr>
      <w:tr w:rsidR="008E5DE4" w14:paraId="443CC832" w14:textId="77777777">
        <w:trPr>
          <w:cantSplit/>
        </w:trPr>
        <w:tc>
          <w:tcPr>
            <w:tcW w:w="3686" w:type="dxa"/>
            <w:vAlign w:val="bottom"/>
          </w:tcPr>
          <w:p w14:paraId="178FF548"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1134" w:type="dxa"/>
            <w:vAlign w:val="bottom"/>
          </w:tcPr>
          <w:p w14:paraId="08C194E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579981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4CD6D9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7F250FC" w14:textId="77777777" w:rsidR="008E5DE4" w:rsidRDefault="008E5DE4">
            <w:pPr>
              <w:widowControl w:val="0"/>
              <w:pBdr>
                <w:top w:val="nil"/>
                <w:left w:val="nil"/>
                <w:bottom w:val="nil"/>
                <w:right w:val="nil"/>
                <w:between w:val="nil"/>
              </w:pBdr>
              <w:jc w:val="right"/>
              <w:rPr>
                <w:color w:val="000000"/>
              </w:rPr>
            </w:pPr>
          </w:p>
        </w:tc>
        <w:tc>
          <w:tcPr>
            <w:tcW w:w="1134" w:type="dxa"/>
          </w:tcPr>
          <w:p w14:paraId="2619BB8D" w14:textId="77777777" w:rsidR="008E5DE4" w:rsidRDefault="008E5DE4">
            <w:pPr>
              <w:widowControl w:val="0"/>
              <w:pBdr>
                <w:top w:val="nil"/>
                <w:left w:val="nil"/>
                <w:bottom w:val="nil"/>
                <w:right w:val="nil"/>
                <w:between w:val="nil"/>
              </w:pBdr>
              <w:jc w:val="right"/>
              <w:rPr>
                <w:color w:val="000000"/>
              </w:rPr>
            </w:pPr>
          </w:p>
        </w:tc>
      </w:tr>
      <w:tr w:rsidR="008E5DE4" w14:paraId="5620B6B7" w14:textId="77777777">
        <w:trPr>
          <w:cantSplit/>
        </w:trPr>
        <w:tc>
          <w:tcPr>
            <w:tcW w:w="3686" w:type="dxa"/>
            <w:vAlign w:val="bottom"/>
          </w:tcPr>
          <w:p w14:paraId="6AD8F3F0"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impact</w:t>
            </w:r>
          </w:p>
        </w:tc>
        <w:tc>
          <w:tcPr>
            <w:tcW w:w="1134" w:type="dxa"/>
            <w:vAlign w:val="bottom"/>
          </w:tcPr>
          <w:p w14:paraId="20132CD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AACB25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E4272D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63CAE00" w14:textId="77777777" w:rsidR="008E5DE4" w:rsidRDefault="008E5DE4">
            <w:pPr>
              <w:widowControl w:val="0"/>
              <w:pBdr>
                <w:top w:val="nil"/>
                <w:left w:val="nil"/>
                <w:bottom w:val="nil"/>
                <w:right w:val="nil"/>
                <w:between w:val="nil"/>
              </w:pBdr>
              <w:jc w:val="right"/>
              <w:rPr>
                <w:color w:val="000000"/>
              </w:rPr>
            </w:pPr>
          </w:p>
        </w:tc>
        <w:tc>
          <w:tcPr>
            <w:tcW w:w="1134" w:type="dxa"/>
          </w:tcPr>
          <w:p w14:paraId="60EBEE45" w14:textId="77777777" w:rsidR="008E5DE4" w:rsidRDefault="008E5DE4">
            <w:pPr>
              <w:widowControl w:val="0"/>
              <w:pBdr>
                <w:top w:val="nil"/>
                <w:left w:val="nil"/>
                <w:bottom w:val="nil"/>
                <w:right w:val="nil"/>
                <w:between w:val="nil"/>
              </w:pBdr>
              <w:jc w:val="right"/>
              <w:rPr>
                <w:color w:val="000000"/>
              </w:rPr>
            </w:pPr>
          </w:p>
        </w:tc>
      </w:tr>
      <w:tr w:rsidR="008E5DE4" w14:paraId="780AFD35" w14:textId="77777777">
        <w:trPr>
          <w:cantSplit/>
        </w:trPr>
        <w:tc>
          <w:tcPr>
            <w:tcW w:w="3686" w:type="dxa"/>
            <w:vAlign w:val="bottom"/>
          </w:tcPr>
          <w:p w14:paraId="400E68AA"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1134" w:type="dxa"/>
            <w:vAlign w:val="bottom"/>
          </w:tcPr>
          <w:p w14:paraId="03D227F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053D8E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BB56CF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A21FF0C" w14:textId="77777777" w:rsidR="008E5DE4" w:rsidRDefault="008E5DE4">
            <w:pPr>
              <w:widowControl w:val="0"/>
              <w:pBdr>
                <w:top w:val="nil"/>
                <w:left w:val="nil"/>
                <w:bottom w:val="nil"/>
                <w:right w:val="nil"/>
                <w:between w:val="nil"/>
              </w:pBdr>
              <w:jc w:val="right"/>
              <w:rPr>
                <w:color w:val="000000"/>
              </w:rPr>
            </w:pPr>
          </w:p>
        </w:tc>
        <w:tc>
          <w:tcPr>
            <w:tcW w:w="1134" w:type="dxa"/>
          </w:tcPr>
          <w:p w14:paraId="2542357F" w14:textId="77777777" w:rsidR="008E5DE4" w:rsidRDefault="008E5DE4">
            <w:pPr>
              <w:widowControl w:val="0"/>
              <w:pBdr>
                <w:top w:val="nil"/>
                <w:left w:val="nil"/>
                <w:bottom w:val="nil"/>
                <w:right w:val="nil"/>
                <w:between w:val="nil"/>
              </w:pBdr>
              <w:jc w:val="right"/>
              <w:rPr>
                <w:color w:val="000000"/>
              </w:rPr>
            </w:pPr>
          </w:p>
        </w:tc>
      </w:tr>
      <w:tr w:rsidR="008E5DE4" w14:paraId="61DBB05F" w14:textId="77777777">
        <w:trPr>
          <w:cantSplit/>
        </w:trPr>
        <w:tc>
          <w:tcPr>
            <w:tcW w:w="3686" w:type="dxa"/>
            <w:vAlign w:val="bottom"/>
          </w:tcPr>
          <w:p w14:paraId="58A0E3AC"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discounting (for Stage 3) </w:t>
            </w:r>
          </w:p>
        </w:tc>
        <w:tc>
          <w:tcPr>
            <w:tcW w:w="1134" w:type="dxa"/>
            <w:vAlign w:val="bottom"/>
          </w:tcPr>
          <w:p w14:paraId="2F4B1C6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F8E140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8A3449C"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8BD615" w14:textId="77777777" w:rsidR="008E5DE4" w:rsidRDefault="008E5DE4">
            <w:pPr>
              <w:widowControl w:val="0"/>
              <w:pBdr>
                <w:top w:val="nil"/>
                <w:left w:val="nil"/>
                <w:bottom w:val="nil"/>
                <w:right w:val="nil"/>
                <w:between w:val="nil"/>
              </w:pBdr>
              <w:jc w:val="right"/>
              <w:rPr>
                <w:color w:val="000000"/>
              </w:rPr>
            </w:pPr>
          </w:p>
        </w:tc>
        <w:tc>
          <w:tcPr>
            <w:tcW w:w="1134" w:type="dxa"/>
          </w:tcPr>
          <w:p w14:paraId="11A0D36D" w14:textId="77777777" w:rsidR="008E5DE4" w:rsidRDefault="008E5DE4">
            <w:pPr>
              <w:widowControl w:val="0"/>
              <w:pBdr>
                <w:top w:val="nil"/>
                <w:left w:val="nil"/>
                <w:bottom w:val="nil"/>
                <w:right w:val="nil"/>
                <w:between w:val="nil"/>
              </w:pBdr>
              <w:jc w:val="right"/>
              <w:rPr>
                <w:color w:val="000000"/>
              </w:rPr>
            </w:pPr>
          </w:p>
        </w:tc>
      </w:tr>
      <w:tr w:rsidR="008E5DE4" w14:paraId="5B5099B2" w14:textId="77777777">
        <w:trPr>
          <w:cantSplit/>
        </w:trPr>
        <w:tc>
          <w:tcPr>
            <w:tcW w:w="3686" w:type="dxa"/>
            <w:tcBorders>
              <w:bottom w:val="single" w:sz="4" w:space="0" w:color="000000"/>
            </w:tcBorders>
            <w:vAlign w:val="bottom"/>
          </w:tcPr>
          <w:p w14:paraId="440A1A0F" w14:textId="77777777" w:rsidR="008E5DE4" w:rsidRDefault="008E5DE4">
            <w:pPr>
              <w:widowControl w:val="0"/>
              <w:pBdr>
                <w:top w:val="nil"/>
                <w:left w:val="nil"/>
                <w:bottom w:val="nil"/>
                <w:right w:val="nil"/>
                <w:between w:val="nil"/>
              </w:pBdr>
              <w:ind w:left="113" w:right="-57" w:hanging="113"/>
              <w:rPr>
                <w:b/>
                <w:color w:val="000000"/>
                <w:sz w:val="16"/>
                <w:szCs w:val="16"/>
              </w:rPr>
            </w:pPr>
          </w:p>
        </w:tc>
        <w:tc>
          <w:tcPr>
            <w:tcW w:w="1134" w:type="dxa"/>
            <w:tcBorders>
              <w:bottom w:val="single" w:sz="4" w:space="0" w:color="000000"/>
            </w:tcBorders>
            <w:vAlign w:val="bottom"/>
          </w:tcPr>
          <w:p w14:paraId="52967A5B"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71E0C4C8"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56EA10AF"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6C8EF64B"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tcPr>
          <w:p w14:paraId="438B8A97" w14:textId="77777777" w:rsidR="008E5DE4" w:rsidRDefault="008E5DE4">
            <w:pPr>
              <w:widowControl w:val="0"/>
              <w:pBdr>
                <w:top w:val="nil"/>
                <w:left w:val="nil"/>
                <w:bottom w:val="nil"/>
                <w:right w:val="nil"/>
                <w:between w:val="nil"/>
              </w:pBdr>
              <w:jc w:val="right"/>
              <w:rPr>
                <w:color w:val="000000"/>
                <w:sz w:val="16"/>
                <w:szCs w:val="16"/>
              </w:rPr>
            </w:pPr>
          </w:p>
        </w:tc>
      </w:tr>
      <w:tr w:rsidR="008E5DE4" w14:paraId="5874F128" w14:textId="77777777">
        <w:trPr>
          <w:cantSplit/>
        </w:trPr>
        <w:tc>
          <w:tcPr>
            <w:tcW w:w="3686" w:type="dxa"/>
            <w:tcBorders>
              <w:top w:val="single" w:sz="4" w:space="0" w:color="000000"/>
            </w:tcBorders>
            <w:vAlign w:val="bottom"/>
          </w:tcPr>
          <w:p w14:paraId="3E252F82" w14:textId="77777777" w:rsidR="008E5DE4" w:rsidRDefault="008E5DE4">
            <w:pPr>
              <w:widowControl w:val="0"/>
              <w:pBdr>
                <w:top w:val="nil"/>
                <w:left w:val="nil"/>
                <w:bottom w:val="nil"/>
                <w:right w:val="nil"/>
                <w:between w:val="nil"/>
              </w:pBdr>
              <w:ind w:left="113" w:right="-57" w:hanging="113"/>
              <w:rPr>
                <w:b/>
                <w:color w:val="000000"/>
                <w:sz w:val="16"/>
                <w:szCs w:val="16"/>
              </w:rPr>
            </w:pPr>
          </w:p>
        </w:tc>
        <w:tc>
          <w:tcPr>
            <w:tcW w:w="1134" w:type="dxa"/>
            <w:tcBorders>
              <w:top w:val="single" w:sz="4" w:space="0" w:color="000000"/>
            </w:tcBorders>
            <w:vAlign w:val="bottom"/>
          </w:tcPr>
          <w:p w14:paraId="339C7302"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13F4D2F8"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324E3342"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7D114988"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tcPr>
          <w:p w14:paraId="1B3EEF74" w14:textId="77777777" w:rsidR="008E5DE4" w:rsidRDefault="008E5DE4">
            <w:pPr>
              <w:widowControl w:val="0"/>
              <w:pBdr>
                <w:top w:val="nil"/>
                <w:left w:val="nil"/>
                <w:bottom w:val="nil"/>
                <w:right w:val="nil"/>
                <w:between w:val="nil"/>
              </w:pBdr>
              <w:jc w:val="right"/>
              <w:rPr>
                <w:color w:val="000000"/>
                <w:sz w:val="16"/>
                <w:szCs w:val="16"/>
              </w:rPr>
            </w:pPr>
          </w:p>
        </w:tc>
      </w:tr>
      <w:tr w:rsidR="008E5DE4" w14:paraId="3B7290CC" w14:textId="77777777">
        <w:trPr>
          <w:cantSplit/>
        </w:trPr>
        <w:tc>
          <w:tcPr>
            <w:tcW w:w="3686" w:type="dxa"/>
            <w:vAlign w:val="bottom"/>
          </w:tcPr>
          <w:p w14:paraId="19547854" w14:textId="26C5926A" w:rsidR="008E5DE4" w:rsidRDefault="00780368">
            <w:pPr>
              <w:widowControl w:val="0"/>
              <w:pBdr>
                <w:top w:val="nil"/>
                <w:left w:val="nil"/>
                <w:bottom w:val="nil"/>
                <w:right w:val="nil"/>
                <w:between w:val="nil"/>
              </w:pBdr>
              <w:ind w:left="113" w:right="-57" w:hanging="113"/>
              <w:rPr>
                <w:b/>
                <w:color w:val="000000"/>
              </w:rPr>
            </w:pPr>
            <w:r>
              <w:rPr>
                <w:b/>
                <w:color w:val="000000"/>
              </w:rPr>
              <w:t xml:space="preserve">Provision for loan commitments </w:t>
            </w:r>
            <w:proofErr w:type="gramStart"/>
            <w:r>
              <w:rPr>
                <w:b/>
                <w:color w:val="000000"/>
              </w:rPr>
              <w:t>at</w:t>
            </w:r>
            <w:proofErr w:type="gramEnd"/>
            <w:r>
              <w:rPr>
                <w:b/>
                <w:color w:val="000000"/>
              </w:rPr>
              <w:t xml:space="preserve"> 31 December </w:t>
            </w:r>
            <w:r w:rsidR="008614F8">
              <w:rPr>
                <w:b/>
                <w:color w:val="000000"/>
              </w:rPr>
              <w:t>2025</w:t>
            </w:r>
          </w:p>
        </w:tc>
        <w:tc>
          <w:tcPr>
            <w:tcW w:w="1134" w:type="dxa"/>
            <w:vAlign w:val="bottom"/>
          </w:tcPr>
          <w:p w14:paraId="5898FE7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66EDC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7BDB1C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359229E" w14:textId="77777777" w:rsidR="008E5DE4" w:rsidRDefault="008E5DE4">
            <w:pPr>
              <w:widowControl w:val="0"/>
              <w:pBdr>
                <w:top w:val="nil"/>
                <w:left w:val="nil"/>
                <w:bottom w:val="nil"/>
                <w:right w:val="nil"/>
                <w:between w:val="nil"/>
              </w:pBdr>
              <w:jc w:val="right"/>
              <w:rPr>
                <w:color w:val="000000"/>
              </w:rPr>
            </w:pPr>
          </w:p>
        </w:tc>
        <w:tc>
          <w:tcPr>
            <w:tcW w:w="1134" w:type="dxa"/>
          </w:tcPr>
          <w:p w14:paraId="5D91BFA9" w14:textId="77777777" w:rsidR="008E5DE4" w:rsidRDefault="008E5DE4">
            <w:pPr>
              <w:widowControl w:val="0"/>
              <w:pBdr>
                <w:top w:val="nil"/>
                <w:left w:val="nil"/>
                <w:bottom w:val="nil"/>
                <w:right w:val="nil"/>
                <w:between w:val="nil"/>
              </w:pBdr>
              <w:jc w:val="right"/>
              <w:rPr>
                <w:color w:val="000000"/>
              </w:rPr>
            </w:pPr>
          </w:p>
        </w:tc>
      </w:tr>
      <w:tr w:rsidR="008E5DE4" w14:paraId="7F587766" w14:textId="77777777">
        <w:trPr>
          <w:cantSplit/>
        </w:trPr>
        <w:tc>
          <w:tcPr>
            <w:tcW w:w="3686" w:type="dxa"/>
            <w:tcBorders>
              <w:bottom w:val="single" w:sz="12" w:space="0" w:color="000000"/>
            </w:tcBorders>
            <w:vAlign w:val="bottom"/>
          </w:tcPr>
          <w:p w14:paraId="3529AE8A" w14:textId="77777777" w:rsidR="008E5DE4" w:rsidRDefault="008E5DE4">
            <w:pPr>
              <w:widowControl w:val="0"/>
              <w:pBdr>
                <w:top w:val="nil"/>
                <w:left w:val="nil"/>
                <w:bottom w:val="nil"/>
                <w:right w:val="nil"/>
                <w:between w:val="nil"/>
              </w:pBdr>
              <w:ind w:left="113" w:right="-57" w:hanging="113"/>
              <w:rPr>
                <w:color w:val="000000"/>
                <w:sz w:val="16"/>
                <w:szCs w:val="16"/>
                <w:u w:val="single"/>
              </w:rPr>
            </w:pPr>
          </w:p>
        </w:tc>
        <w:tc>
          <w:tcPr>
            <w:tcW w:w="1134" w:type="dxa"/>
            <w:tcBorders>
              <w:bottom w:val="single" w:sz="12" w:space="0" w:color="000000"/>
            </w:tcBorders>
            <w:vAlign w:val="bottom"/>
          </w:tcPr>
          <w:p w14:paraId="1B19A21A"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12" w:space="0" w:color="000000"/>
            </w:tcBorders>
            <w:vAlign w:val="bottom"/>
          </w:tcPr>
          <w:p w14:paraId="416C7B3D"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12" w:space="0" w:color="000000"/>
            </w:tcBorders>
            <w:vAlign w:val="bottom"/>
          </w:tcPr>
          <w:p w14:paraId="79C0AB0C"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12" w:space="0" w:color="000000"/>
            </w:tcBorders>
            <w:vAlign w:val="bottom"/>
          </w:tcPr>
          <w:p w14:paraId="6F6EEE08"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12" w:space="0" w:color="000000"/>
            </w:tcBorders>
          </w:tcPr>
          <w:p w14:paraId="0DAEA0B8" w14:textId="77777777" w:rsidR="008E5DE4" w:rsidRDefault="008E5DE4">
            <w:pPr>
              <w:widowControl w:val="0"/>
              <w:pBdr>
                <w:top w:val="nil"/>
                <w:left w:val="nil"/>
                <w:bottom w:val="nil"/>
                <w:right w:val="nil"/>
                <w:between w:val="nil"/>
              </w:pBdr>
              <w:jc w:val="right"/>
              <w:rPr>
                <w:color w:val="000000"/>
                <w:sz w:val="16"/>
                <w:szCs w:val="16"/>
              </w:rPr>
            </w:pPr>
          </w:p>
        </w:tc>
      </w:tr>
    </w:tbl>
    <w:p w14:paraId="7FE98BF9"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34</w:t>
      </w:r>
      <w:r>
        <w:rPr>
          <w:b/>
          <w:color w:val="000000"/>
          <w:sz w:val="20"/>
          <w:szCs w:val="20"/>
        </w:rPr>
        <w:tab/>
        <w:t>Trade and Other Payables (Continued)</w:t>
      </w:r>
    </w:p>
    <w:p w14:paraId="3DABBC7A" w14:textId="7322C419" w:rsidR="008E5DE4" w:rsidRDefault="00780368">
      <w:pPr>
        <w:widowControl w:val="0"/>
        <w:spacing w:before="200" w:after="120"/>
        <w:jc w:val="both"/>
        <w:rPr>
          <w:i/>
          <w:color w:val="FF0000"/>
          <w:sz w:val="20"/>
          <w:szCs w:val="20"/>
        </w:rPr>
      </w:pPr>
      <w:r>
        <w:rPr>
          <w:sz w:val="20"/>
          <w:szCs w:val="20"/>
        </w:rPr>
        <w:t xml:space="preserve">Movements in the provision for loan commitments in </w:t>
      </w:r>
      <w:r w:rsidR="00E06A92">
        <w:rPr>
          <w:sz w:val="20"/>
          <w:szCs w:val="20"/>
        </w:rPr>
        <w:t>2024</w:t>
      </w:r>
      <w:r>
        <w:rPr>
          <w:sz w:val="20"/>
          <w:szCs w:val="20"/>
        </w:rPr>
        <w:t xml:space="preserve"> were as follows. </w:t>
      </w:r>
    </w:p>
    <w:tbl>
      <w:tblPr>
        <w:tblStyle w:val="affffffffff4"/>
        <w:tblW w:w="9356" w:type="dxa"/>
        <w:tblLayout w:type="fixed"/>
        <w:tblLook w:val="0000" w:firstRow="0" w:lastRow="0" w:firstColumn="0" w:lastColumn="0" w:noHBand="0" w:noVBand="0"/>
      </w:tblPr>
      <w:tblGrid>
        <w:gridCol w:w="3686"/>
        <w:gridCol w:w="1134"/>
        <w:gridCol w:w="1134"/>
        <w:gridCol w:w="1134"/>
        <w:gridCol w:w="1134"/>
        <w:gridCol w:w="1134"/>
      </w:tblGrid>
      <w:tr w:rsidR="008E5DE4" w14:paraId="3B380638" w14:textId="77777777">
        <w:trPr>
          <w:cantSplit/>
          <w:tblHeader/>
        </w:trPr>
        <w:tc>
          <w:tcPr>
            <w:tcW w:w="3686" w:type="dxa"/>
            <w:tcBorders>
              <w:bottom w:val="single" w:sz="4" w:space="0" w:color="000000"/>
            </w:tcBorders>
            <w:vAlign w:val="bottom"/>
          </w:tcPr>
          <w:p w14:paraId="006A7941"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134" w:type="dxa"/>
            <w:tcBorders>
              <w:bottom w:val="single" w:sz="4" w:space="0" w:color="000000"/>
            </w:tcBorders>
          </w:tcPr>
          <w:p w14:paraId="0FBA596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Stage 1 </w:t>
            </w:r>
          </w:p>
          <w:p w14:paraId="7B0587E2" w14:textId="77777777" w:rsidR="008E5DE4" w:rsidRDefault="00780368">
            <w:pPr>
              <w:widowControl w:val="0"/>
              <w:pBdr>
                <w:top w:val="nil"/>
                <w:left w:val="nil"/>
                <w:bottom w:val="nil"/>
                <w:right w:val="nil"/>
                <w:between w:val="nil"/>
              </w:pBdr>
              <w:ind w:left="-113"/>
              <w:jc w:val="right"/>
              <w:rPr>
                <w:b/>
                <w:color w:val="000000"/>
              </w:rPr>
            </w:pPr>
            <w:r>
              <w:rPr>
                <w:b/>
                <w:color w:val="000000"/>
              </w:rPr>
              <w:t>(12-months ECL)</w:t>
            </w:r>
          </w:p>
        </w:tc>
        <w:tc>
          <w:tcPr>
            <w:tcW w:w="1134" w:type="dxa"/>
            <w:tcBorders>
              <w:bottom w:val="single" w:sz="4" w:space="0" w:color="000000"/>
            </w:tcBorders>
          </w:tcPr>
          <w:p w14:paraId="1E3AD3EA" w14:textId="77777777" w:rsidR="008E5DE4" w:rsidRDefault="00780368">
            <w:pPr>
              <w:widowControl w:val="0"/>
              <w:pBdr>
                <w:top w:val="nil"/>
                <w:left w:val="nil"/>
                <w:bottom w:val="nil"/>
                <w:right w:val="nil"/>
                <w:between w:val="nil"/>
              </w:pBdr>
              <w:ind w:left="-113"/>
              <w:jc w:val="right"/>
              <w:rPr>
                <w:b/>
                <w:color w:val="000000"/>
              </w:rPr>
            </w:pPr>
            <w:r>
              <w:rPr>
                <w:b/>
                <w:color w:val="000000"/>
              </w:rPr>
              <w:t>Stage 2</w:t>
            </w:r>
          </w:p>
          <w:p w14:paraId="51E07BF8"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34" w:type="dxa"/>
            <w:tcBorders>
              <w:bottom w:val="single" w:sz="4" w:space="0" w:color="000000"/>
            </w:tcBorders>
          </w:tcPr>
          <w:p w14:paraId="2C00A945" w14:textId="77777777" w:rsidR="008E5DE4" w:rsidRDefault="00780368">
            <w:pPr>
              <w:widowControl w:val="0"/>
              <w:pBdr>
                <w:top w:val="nil"/>
                <w:left w:val="nil"/>
                <w:bottom w:val="nil"/>
                <w:right w:val="nil"/>
                <w:between w:val="nil"/>
              </w:pBdr>
              <w:ind w:left="-113"/>
              <w:jc w:val="right"/>
              <w:rPr>
                <w:b/>
                <w:color w:val="000000"/>
              </w:rPr>
            </w:pPr>
            <w:r>
              <w:rPr>
                <w:b/>
                <w:color w:val="000000"/>
              </w:rPr>
              <w:t>Stage 3</w:t>
            </w:r>
          </w:p>
          <w:p w14:paraId="306A7D2E" w14:textId="77777777" w:rsidR="008E5DE4" w:rsidRDefault="00780368">
            <w:pPr>
              <w:widowControl w:val="0"/>
              <w:pBdr>
                <w:top w:val="nil"/>
                <w:left w:val="nil"/>
                <w:bottom w:val="nil"/>
                <w:right w:val="nil"/>
                <w:between w:val="nil"/>
              </w:pBdr>
              <w:ind w:left="-113"/>
              <w:jc w:val="right"/>
              <w:rPr>
                <w:b/>
                <w:color w:val="000000"/>
              </w:rPr>
            </w:pPr>
            <w:r>
              <w:rPr>
                <w:b/>
                <w:color w:val="000000"/>
              </w:rPr>
              <w:t>(lifetime ECL for credit im-paired)</w:t>
            </w:r>
          </w:p>
        </w:tc>
        <w:tc>
          <w:tcPr>
            <w:tcW w:w="1134" w:type="dxa"/>
            <w:tcBorders>
              <w:bottom w:val="single" w:sz="4" w:space="0" w:color="000000"/>
            </w:tcBorders>
          </w:tcPr>
          <w:p w14:paraId="005121A3" w14:textId="77777777" w:rsidR="008E5DE4" w:rsidRDefault="00780368">
            <w:pPr>
              <w:widowControl w:val="0"/>
              <w:pBdr>
                <w:top w:val="nil"/>
                <w:left w:val="nil"/>
                <w:bottom w:val="nil"/>
                <w:right w:val="nil"/>
                <w:between w:val="nil"/>
              </w:pBdr>
              <w:ind w:left="-113"/>
              <w:jc w:val="right"/>
              <w:rPr>
                <w:b/>
                <w:color w:val="000000"/>
              </w:rPr>
            </w:pPr>
            <w:r>
              <w:rPr>
                <w:b/>
                <w:color w:val="000000"/>
              </w:rPr>
              <w:t>Total provision</w:t>
            </w:r>
          </w:p>
        </w:tc>
        <w:tc>
          <w:tcPr>
            <w:tcW w:w="1134" w:type="dxa"/>
            <w:tcBorders>
              <w:bottom w:val="single" w:sz="4" w:space="0" w:color="000000"/>
            </w:tcBorders>
          </w:tcPr>
          <w:p w14:paraId="4384081D" w14:textId="77777777" w:rsidR="008E5DE4" w:rsidRDefault="00780368">
            <w:pPr>
              <w:widowControl w:val="0"/>
              <w:pBdr>
                <w:top w:val="nil"/>
                <w:left w:val="nil"/>
                <w:bottom w:val="nil"/>
                <w:right w:val="nil"/>
                <w:between w:val="nil"/>
              </w:pBdr>
              <w:ind w:left="-113"/>
              <w:jc w:val="right"/>
              <w:rPr>
                <w:b/>
                <w:color w:val="000000"/>
              </w:rPr>
            </w:pPr>
            <w:r>
              <w:rPr>
                <w:b/>
                <w:color w:val="000000"/>
              </w:rPr>
              <w:t>Gross committed amount</w:t>
            </w:r>
          </w:p>
        </w:tc>
      </w:tr>
      <w:tr w:rsidR="008E5DE4" w14:paraId="0911B0D4" w14:textId="77777777">
        <w:trPr>
          <w:cantSplit/>
        </w:trPr>
        <w:tc>
          <w:tcPr>
            <w:tcW w:w="3686" w:type="dxa"/>
            <w:tcBorders>
              <w:top w:val="single" w:sz="4" w:space="0" w:color="000000"/>
            </w:tcBorders>
            <w:vAlign w:val="bottom"/>
          </w:tcPr>
          <w:p w14:paraId="6F5377B8" w14:textId="77777777" w:rsidR="008E5DE4" w:rsidRDefault="008E5DE4">
            <w:pPr>
              <w:widowControl w:val="0"/>
              <w:pBdr>
                <w:top w:val="nil"/>
                <w:left w:val="nil"/>
                <w:bottom w:val="nil"/>
                <w:right w:val="nil"/>
                <w:between w:val="nil"/>
              </w:pBdr>
              <w:ind w:left="113" w:right="-57" w:hanging="113"/>
              <w:rPr>
                <w:b/>
                <w:color w:val="000000"/>
                <w:sz w:val="14"/>
                <w:szCs w:val="14"/>
                <w:u w:val="single"/>
              </w:rPr>
            </w:pPr>
          </w:p>
        </w:tc>
        <w:tc>
          <w:tcPr>
            <w:tcW w:w="1134" w:type="dxa"/>
            <w:tcBorders>
              <w:top w:val="single" w:sz="4" w:space="0" w:color="000000"/>
            </w:tcBorders>
            <w:vAlign w:val="bottom"/>
          </w:tcPr>
          <w:p w14:paraId="7024C4D4"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4D9FE3F0"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09F84FD3"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vAlign w:val="bottom"/>
          </w:tcPr>
          <w:p w14:paraId="161AF8C5" w14:textId="77777777" w:rsidR="008E5DE4" w:rsidRDefault="008E5DE4">
            <w:pPr>
              <w:widowControl w:val="0"/>
              <w:pBdr>
                <w:top w:val="nil"/>
                <w:left w:val="nil"/>
                <w:bottom w:val="nil"/>
                <w:right w:val="nil"/>
                <w:between w:val="nil"/>
              </w:pBdr>
              <w:jc w:val="right"/>
              <w:rPr>
                <w:color w:val="000000"/>
                <w:sz w:val="14"/>
                <w:szCs w:val="14"/>
              </w:rPr>
            </w:pPr>
          </w:p>
        </w:tc>
        <w:tc>
          <w:tcPr>
            <w:tcW w:w="1134" w:type="dxa"/>
            <w:tcBorders>
              <w:top w:val="single" w:sz="4" w:space="0" w:color="000000"/>
            </w:tcBorders>
          </w:tcPr>
          <w:p w14:paraId="23C64A00" w14:textId="77777777" w:rsidR="008E5DE4" w:rsidRDefault="008E5DE4">
            <w:pPr>
              <w:widowControl w:val="0"/>
              <w:pBdr>
                <w:top w:val="nil"/>
                <w:left w:val="nil"/>
                <w:bottom w:val="nil"/>
                <w:right w:val="nil"/>
                <w:between w:val="nil"/>
              </w:pBdr>
              <w:jc w:val="right"/>
              <w:rPr>
                <w:color w:val="000000"/>
                <w:sz w:val="14"/>
                <w:szCs w:val="14"/>
              </w:rPr>
            </w:pPr>
          </w:p>
        </w:tc>
      </w:tr>
      <w:tr w:rsidR="008E5DE4" w14:paraId="51DBA37F" w14:textId="77777777">
        <w:trPr>
          <w:cantSplit/>
        </w:trPr>
        <w:tc>
          <w:tcPr>
            <w:tcW w:w="3686" w:type="dxa"/>
            <w:vAlign w:val="bottom"/>
          </w:tcPr>
          <w:p w14:paraId="06B96BCB" w14:textId="37C97D3D" w:rsidR="008E5DE4" w:rsidRDefault="00780368">
            <w:pPr>
              <w:widowControl w:val="0"/>
              <w:pBdr>
                <w:top w:val="nil"/>
                <w:left w:val="nil"/>
                <w:bottom w:val="nil"/>
                <w:right w:val="nil"/>
                <w:between w:val="nil"/>
              </w:pBdr>
              <w:ind w:left="113" w:right="-57" w:hanging="113"/>
              <w:rPr>
                <w:b/>
                <w:color w:val="0000FF"/>
              </w:rPr>
            </w:pPr>
            <w:r>
              <w:rPr>
                <w:b/>
                <w:color w:val="000000"/>
              </w:rPr>
              <w:t xml:space="preserve">Provision for loan commitments </w:t>
            </w:r>
            <w:proofErr w:type="gramStart"/>
            <w:r>
              <w:rPr>
                <w:b/>
                <w:color w:val="000000"/>
              </w:rPr>
              <w:t>at</w:t>
            </w:r>
            <w:proofErr w:type="gramEnd"/>
            <w:r>
              <w:rPr>
                <w:b/>
                <w:color w:val="000000"/>
              </w:rPr>
              <w:t xml:space="preserve"> 1 January </w:t>
            </w:r>
            <w:r w:rsidR="00E06A92">
              <w:rPr>
                <w:b/>
                <w:color w:val="000000"/>
              </w:rPr>
              <w:t>2024</w:t>
            </w:r>
          </w:p>
        </w:tc>
        <w:tc>
          <w:tcPr>
            <w:tcW w:w="1134" w:type="dxa"/>
            <w:vAlign w:val="bottom"/>
          </w:tcPr>
          <w:p w14:paraId="1268F5C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FA8D0F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A667EF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92253CC" w14:textId="77777777" w:rsidR="008E5DE4" w:rsidRDefault="008E5DE4">
            <w:pPr>
              <w:widowControl w:val="0"/>
              <w:pBdr>
                <w:top w:val="nil"/>
                <w:left w:val="nil"/>
                <w:bottom w:val="nil"/>
                <w:right w:val="nil"/>
                <w:between w:val="nil"/>
              </w:pBdr>
              <w:jc w:val="right"/>
              <w:rPr>
                <w:color w:val="000000"/>
              </w:rPr>
            </w:pPr>
          </w:p>
        </w:tc>
        <w:tc>
          <w:tcPr>
            <w:tcW w:w="1134" w:type="dxa"/>
          </w:tcPr>
          <w:p w14:paraId="34F5B98A" w14:textId="77777777" w:rsidR="008E5DE4" w:rsidRDefault="008E5DE4">
            <w:pPr>
              <w:widowControl w:val="0"/>
              <w:pBdr>
                <w:top w:val="nil"/>
                <w:left w:val="nil"/>
                <w:bottom w:val="nil"/>
                <w:right w:val="nil"/>
                <w:between w:val="nil"/>
              </w:pBdr>
              <w:jc w:val="right"/>
              <w:rPr>
                <w:color w:val="000000"/>
              </w:rPr>
            </w:pPr>
          </w:p>
        </w:tc>
      </w:tr>
      <w:tr w:rsidR="008E5DE4" w14:paraId="1396B280" w14:textId="77777777">
        <w:trPr>
          <w:cantSplit/>
        </w:trPr>
        <w:tc>
          <w:tcPr>
            <w:tcW w:w="3686" w:type="dxa"/>
            <w:vAlign w:val="bottom"/>
          </w:tcPr>
          <w:p w14:paraId="721C1A19"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1134" w:type="dxa"/>
            <w:vAlign w:val="bottom"/>
          </w:tcPr>
          <w:p w14:paraId="3B221E8E"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26FAEF9A"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03C69B66"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75445139"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Pr>
          <w:p w14:paraId="58ECE840" w14:textId="77777777" w:rsidR="008E5DE4" w:rsidRDefault="008E5DE4">
            <w:pPr>
              <w:widowControl w:val="0"/>
              <w:pBdr>
                <w:top w:val="nil"/>
                <w:left w:val="nil"/>
                <w:bottom w:val="nil"/>
                <w:right w:val="nil"/>
                <w:between w:val="nil"/>
              </w:pBdr>
              <w:jc w:val="right"/>
              <w:rPr>
                <w:color w:val="000000"/>
                <w:sz w:val="16"/>
                <w:szCs w:val="16"/>
              </w:rPr>
            </w:pPr>
          </w:p>
        </w:tc>
      </w:tr>
      <w:tr w:rsidR="008E5DE4" w14:paraId="53CE6E19" w14:textId="77777777">
        <w:trPr>
          <w:cantSplit/>
        </w:trPr>
        <w:tc>
          <w:tcPr>
            <w:tcW w:w="3686" w:type="dxa"/>
            <w:vAlign w:val="bottom"/>
          </w:tcPr>
          <w:p w14:paraId="174A8469" w14:textId="77777777" w:rsidR="008E5DE4" w:rsidRDefault="00780368">
            <w:pPr>
              <w:widowControl w:val="0"/>
              <w:pBdr>
                <w:top w:val="nil"/>
                <w:left w:val="nil"/>
                <w:bottom w:val="nil"/>
                <w:right w:val="nil"/>
                <w:between w:val="nil"/>
              </w:pBdr>
              <w:ind w:left="113" w:right="-57" w:hanging="113"/>
              <w:rPr>
                <w:i/>
                <w:color w:val="000000"/>
              </w:rPr>
            </w:pPr>
            <w:r>
              <w:rPr>
                <w:i/>
                <w:color w:val="000000"/>
              </w:rPr>
              <w:t>Movements with impact on provision for credit related commitments charge for the period:</w:t>
            </w:r>
          </w:p>
        </w:tc>
        <w:tc>
          <w:tcPr>
            <w:tcW w:w="1134" w:type="dxa"/>
            <w:vAlign w:val="bottom"/>
          </w:tcPr>
          <w:p w14:paraId="20C6748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8723F3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1EFA30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14D339A" w14:textId="77777777" w:rsidR="008E5DE4" w:rsidRDefault="008E5DE4">
            <w:pPr>
              <w:widowControl w:val="0"/>
              <w:pBdr>
                <w:top w:val="nil"/>
                <w:left w:val="nil"/>
                <w:bottom w:val="nil"/>
                <w:right w:val="nil"/>
                <w:between w:val="nil"/>
              </w:pBdr>
              <w:jc w:val="right"/>
              <w:rPr>
                <w:color w:val="000000"/>
              </w:rPr>
            </w:pPr>
          </w:p>
        </w:tc>
        <w:tc>
          <w:tcPr>
            <w:tcW w:w="1134" w:type="dxa"/>
          </w:tcPr>
          <w:p w14:paraId="39C19DC5" w14:textId="77777777" w:rsidR="008E5DE4" w:rsidRDefault="008E5DE4">
            <w:pPr>
              <w:widowControl w:val="0"/>
              <w:pBdr>
                <w:top w:val="nil"/>
                <w:left w:val="nil"/>
                <w:bottom w:val="nil"/>
                <w:right w:val="nil"/>
                <w:between w:val="nil"/>
              </w:pBdr>
              <w:jc w:val="right"/>
              <w:rPr>
                <w:color w:val="000000"/>
              </w:rPr>
            </w:pPr>
          </w:p>
        </w:tc>
      </w:tr>
      <w:tr w:rsidR="008E5DE4" w14:paraId="10BE2C19" w14:textId="77777777">
        <w:trPr>
          <w:cantSplit/>
        </w:trPr>
        <w:tc>
          <w:tcPr>
            <w:tcW w:w="3686" w:type="dxa"/>
            <w:vAlign w:val="bottom"/>
          </w:tcPr>
          <w:p w14:paraId="3162A5A0" w14:textId="77777777" w:rsidR="008E5DE4" w:rsidRDefault="00780368">
            <w:pPr>
              <w:widowControl w:val="0"/>
              <w:pBdr>
                <w:top w:val="nil"/>
                <w:left w:val="nil"/>
                <w:bottom w:val="nil"/>
                <w:right w:val="nil"/>
                <w:between w:val="nil"/>
              </w:pBdr>
              <w:ind w:left="113" w:right="-57" w:hanging="113"/>
              <w:rPr>
                <w:color w:val="0000FF"/>
              </w:rPr>
            </w:pPr>
            <w:r>
              <w:rPr>
                <w:color w:val="000000"/>
              </w:rPr>
              <w:t>Transfers:</w:t>
            </w:r>
          </w:p>
        </w:tc>
        <w:tc>
          <w:tcPr>
            <w:tcW w:w="1134" w:type="dxa"/>
            <w:vAlign w:val="bottom"/>
          </w:tcPr>
          <w:p w14:paraId="3078BE3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326550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9953A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2ADA2C" w14:textId="77777777" w:rsidR="008E5DE4" w:rsidRDefault="008E5DE4">
            <w:pPr>
              <w:widowControl w:val="0"/>
              <w:pBdr>
                <w:top w:val="nil"/>
                <w:left w:val="nil"/>
                <w:bottom w:val="nil"/>
                <w:right w:val="nil"/>
                <w:between w:val="nil"/>
              </w:pBdr>
              <w:jc w:val="right"/>
              <w:rPr>
                <w:color w:val="000000"/>
              </w:rPr>
            </w:pPr>
          </w:p>
        </w:tc>
        <w:tc>
          <w:tcPr>
            <w:tcW w:w="1134" w:type="dxa"/>
          </w:tcPr>
          <w:p w14:paraId="3800C624" w14:textId="77777777" w:rsidR="008E5DE4" w:rsidRDefault="008E5DE4">
            <w:pPr>
              <w:widowControl w:val="0"/>
              <w:pBdr>
                <w:top w:val="nil"/>
                <w:left w:val="nil"/>
                <w:bottom w:val="nil"/>
                <w:right w:val="nil"/>
                <w:between w:val="nil"/>
              </w:pBdr>
              <w:jc w:val="right"/>
              <w:rPr>
                <w:color w:val="000000"/>
              </w:rPr>
            </w:pPr>
          </w:p>
        </w:tc>
      </w:tr>
      <w:tr w:rsidR="008E5DE4" w14:paraId="4839F387" w14:textId="77777777">
        <w:trPr>
          <w:cantSplit/>
        </w:trPr>
        <w:tc>
          <w:tcPr>
            <w:tcW w:w="3686" w:type="dxa"/>
            <w:vAlign w:val="bottom"/>
          </w:tcPr>
          <w:p w14:paraId="6AAE6677" w14:textId="77777777" w:rsidR="008E5DE4" w:rsidRDefault="00780368">
            <w:pPr>
              <w:widowControl w:val="0"/>
              <w:pBdr>
                <w:top w:val="nil"/>
                <w:left w:val="nil"/>
                <w:bottom w:val="nil"/>
                <w:right w:val="nil"/>
                <w:between w:val="nil"/>
              </w:pBdr>
              <w:ind w:left="113" w:right="-57" w:hanging="113"/>
              <w:rPr>
                <w:color w:val="000000"/>
              </w:rPr>
            </w:pPr>
            <w:r>
              <w:rPr>
                <w:color w:val="000000"/>
              </w:rPr>
              <w:t>- to lifetime (from Stage 1 to Stage 2)</w:t>
            </w:r>
          </w:p>
        </w:tc>
        <w:tc>
          <w:tcPr>
            <w:tcW w:w="1134" w:type="dxa"/>
            <w:vAlign w:val="bottom"/>
          </w:tcPr>
          <w:p w14:paraId="3F9DC39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6541F6"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1A0467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CBD3E98" w14:textId="77777777" w:rsidR="008E5DE4" w:rsidRDefault="008E5DE4">
            <w:pPr>
              <w:widowControl w:val="0"/>
              <w:pBdr>
                <w:top w:val="nil"/>
                <w:left w:val="nil"/>
                <w:bottom w:val="nil"/>
                <w:right w:val="nil"/>
                <w:between w:val="nil"/>
              </w:pBdr>
              <w:jc w:val="right"/>
              <w:rPr>
                <w:color w:val="000000"/>
              </w:rPr>
            </w:pPr>
          </w:p>
        </w:tc>
        <w:tc>
          <w:tcPr>
            <w:tcW w:w="1134" w:type="dxa"/>
          </w:tcPr>
          <w:p w14:paraId="2317197F" w14:textId="77777777" w:rsidR="008E5DE4" w:rsidRDefault="008E5DE4">
            <w:pPr>
              <w:widowControl w:val="0"/>
              <w:pBdr>
                <w:top w:val="nil"/>
                <w:left w:val="nil"/>
                <w:bottom w:val="nil"/>
                <w:right w:val="nil"/>
                <w:between w:val="nil"/>
              </w:pBdr>
              <w:jc w:val="right"/>
              <w:rPr>
                <w:color w:val="000000"/>
              </w:rPr>
            </w:pPr>
          </w:p>
        </w:tc>
      </w:tr>
      <w:tr w:rsidR="008E5DE4" w14:paraId="3AB85AD2" w14:textId="77777777">
        <w:trPr>
          <w:cantSplit/>
        </w:trPr>
        <w:tc>
          <w:tcPr>
            <w:tcW w:w="3686" w:type="dxa"/>
            <w:vAlign w:val="bottom"/>
          </w:tcPr>
          <w:p w14:paraId="72406C70" w14:textId="77777777" w:rsidR="008E5DE4" w:rsidRDefault="00780368">
            <w:pPr>
              <w:widowControl w:val="0"/>
              <w:pBdr>
                <w:top w:val="nil"/>
                <w:left w:val="nil"/>
                <w:bottom w:val="nil"/>
                <w:right w:val="nil"/>
                <w:between w:val="nil"/>
              </w:pBdr>
              <w:ind w:left="113" w:right="-57" w:hanging="113"/>
              <w:rPr>
                <w:color w:val="000000"/>
              </w:rPr>
            </w:pPr>
            <w:r>
              <w:rPr>
                <w:color w:val="000000"/>
              </w:rPr>
              <w:t>- to credit-impaired (from Stage 1 and Stage 2 to Stage 3)</w:t>
            </w:r>
          </w:p>
        </w:tc>
        <w:tc>
          <w:tcPr>
            <w:tcW w:w="1134" w:type="dxa"/>
            <w:vAlign w:val="bottom"/>
          </w:tcPr>
          <w:p w14:paraId="2C8D0232"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899F53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561B3B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03796A6" w14:textId="77777777" w:rsidR="008E5DE4" w:rsidRDefault="008E5DE4">
            <w:pPr>
              <w:widowControl w:val="0"/>
              <w:pBdr>
                <w:top w:val="nil"/>
                <w:left w:val="nil"/>
                <w:bottom w:val="nil"/>
                <w:right w:val="nil"/>
                <w:between w:val="nil"/>
              </w:pBdr>
              <w:jc w:val="right"/>
              <w:rPr>
                <w:color w:val="000000"/>
              </w:rPr>
            </w:pPr>
          </w:p>
        </w:tc>
        <w:tc>
          <w:tcPr>
            <w:tcW w:w="1134" w:type="dxa"/>
          </w:tcPr>
          <w:p w14:paraId="3F9B0FC2" w14:textId="77777777" w:rsidR="008E5DE4" w:rsidRDefault="008E5DE4">
            <w:pPr>
              <w:widowControl w:val="0"/>
              <w:pBdr>
                <w:top w:val="nil"/>
                <w:left w:val="nil"/>
                <w:bottom w:val="nil"/>
                <w:right w:val="nil"/>
                <w:between w:val="nil"/>
              </w:pBdr>
              <w:jc w:val="right"/>
              <w:rPr>
                <w:color w:val="000000"/>
              </w:rPr>
            </w:pPr>
          </w:p>
        </w:tc>
      </w:tr>
      <w:tr w:rsidR="008E5DE4" w14:paraId="1A4D76AB" w14:textId="77777777">
        <w:trPr>
          <w:cantSplit/>
        </w:trPr>
        <w:tc>
          <w:tcPr>
            <w:tcW w:w="3686" w:type="dxa"/>
            <w:vAlign w:val="bottom"/>
          </w:tcPr>
          <w:p w14:paraId="4D80FFDB" w14:textId="77777777" w:rsidR="008E5DE4" w:rsidRDefault="00780368">
            <w:pPr>
              <w:widowControl w:val="0"/>
              <w:pBdr>
                <w:top w:val="nil"/>
                <w:left w:val="nil"/>
                <w:bottom w:val="nil"/>
                <w:right w:val="nil"/>
                <w:between w:val="nil"/>
              </w:pBdr>
              <w:ind w:left="113" w:right="-57" w:hanging="113"/>
              <w:rPr>
                <w:color w:val="000000"/>
              </w:rPr>
            </w:pPr>
            <w:r>
              <w:rPr>
                <w:color w:val="000000"/>
              </w:rPr>
              <w:t>- to 12-months ECL (from Stage 2 and Stage 3 to Stage 1)</w:t>
            </w:r>
          </w:p>
        </w:tc>
        <w:tc>
          <w:tcPr>
            <w:tcW w:w="1134" w:type="dxa"/>
            <w:vAlign w:val="bottom"/>
          </w:tcPr>
          <w:p w14:paraId="68E45F0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C1E940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C213CB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222009C" w14:textId="77777777" w:rsidR="008E5DE4" w:rsidRDefault="008E5DE4">
            <w:pPr>
              <w:widowControl w:val="0"/>
              <w:pBdr>
                <w:top w:val="nil"/>
                <w:left w:val="nil"/>
                <w:bottom w:val="nil"/>
                <w:right w:val="nil"/>
                <w:between w:val="nil"/>
              </w:pBdr>
              <w:jc w:val="right"/>
              <w:rPr>
                <w:color w:val="000000"/>
              </w:rPr>
            </w:pPr>
          </w:p>
        </w:tc>
        <w:tc>
          <w:tcPr>
            <w:tcW w:w="1134" w:type="dxa"/>
          </w:tcPr>
          <w:p w14:paraId="6D7E1DE3" w14:textId="77777777" w:rsidR="008E5DE4" w:rsidRDefault="008E5DE4">
            <w:pPr>
              <w:widowControl w:val="0"/>
              <w:pBdr>
                <w:top w:val="nil"/>
                <w:left w:val="nil"/>
                <w:bottom w:val="nil"/>
                <w:right w:val="nil"/>
                <w:between w:val="nil"/>
              </w:pBdr>
              <w:jc w:val="right"/>
              <w:rPr>
                <w:color w:val="000000"/>
              </w:rPr>
            </w:pPr>
          </w:p>
        </w:tc>
      </w:tr>
      <w:tr w:rsidR="008E5DE4" w14:paraId="3AAF619D" w14:textId="77777777">
        <w:trPr>
          <w:cantSplit/>
        </w:trPr>
        <w:tc>
          <w:tcPr>
            <w:tcW w:w="3686" w:type="dxa"/>
            <w:vAlign w:val="bottom"/>
          </w:tcPr>
          <w:p w14:paraId="28CE4993" w14:textId="77777777" w:rsidR="008E5DE4" w:rsidRDefault="00780368">
            <w:pPr>
              <w:widowControl w:val="0"/>
              <w:pBdr>
                <w:top w:val="nil"/>
                <w:left w:val="nil"/>
                <w:bottom w:val="nil"/>
                <w:right w:val="nil"/>
                <w:between w:val="nil"/>
              </w:pBdr>
              <w:ind w:left="113" w:right="-57" w:hanging="113"/>
              <w:rPr>
                <w:color w:val="000000"/>
              </w:rPr>
            </w:pPr>
            <w:r>
              <w:rPr>
                <w:color w:val="000000"/>
              </w:rPr>
              <w:t>Issued loan commitments ‒ fees charged</w:t>
            </w:r>
          </w:p>
        </w:tc>
        <w:tc>
          <w:tcPr>
            <w:tcW w:w="1134" w:type="dxa"/>
            <w:vAlign w:val="bottom"/>
          </w:tcPr>
          <w:p w14:paraId="0CE962D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082D00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72FC7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74C91B1" w14:textId="77777777" w:rsidR="008E5DE4" w:rsidRDefault="008E5DE4">
            <w:pPr>
              <w:widowControl w:val="0"/>
              <w:pBdr>
                <w:top w:val="nil"/>
                <w:left w:val="nil"/>
                <w:bottom w:val="nil"/>
                <w:right w:val="nil"/>
                <w:between w:val="nil"/>
              </w:pBdr>
              <w:jc w:val="right"/>
              <w:rPr>
                <w:color w:val="000000"/>
              </w:rPr>
            </w:pPr>
          </w:p>
        </w:tc>
        <w:tc>
          <w:tcPr>
            <w:tcW w:w="1134" w:type="dxa"/>
          </w:tcPr>
          <w:p w14:paraId="1F7DDDB6" w14:textId="77777777" w:rsidR="008E5DE4" w:rsidRDefault="008E5DE4">
            <w:pPr>
              <w:widowControl w:val="0"/>
              <w:pBdr>
                <w:top w:val="nil"/>
                <w:left w:val="nil"/>
                <w:bottom w:val="nil"/>
                <w:right w:val="nil"/>
                <w:between w:val="nil"/>
              </w:pBdr>
              <w:jc w:val="right"/>
              <w:rPr>
                <w:color w:val="000000"/>
              </w:rPr>
            </w:pPr>
          </w:p>
        </w:tc>
      </w:tr>
      <w:tr w:rsidR="008E5DE4" w14:paraId="4DD80968" w14:textId="77777777">
        <w:trPr>
          <w:cantSplit/>
        </w:trPr>
        <w:tc>
          <w:tcPr>
            <w:tcW w:w="3686" w:type="dxa"/>
            <w:vAlign w:val="bottom"/>
          </w:tcPr>
          <w:p w14:paraId="75409D59" w14:textId="77777777" w:rsidR="008E5DE4" w:rsidRDefault="00780368">
            <w:pPr>
              <w:widowControl w:val="0"/>
              <w:pBdr>
                <w:top w:val="nil"/>
                <w:left w:val="nil"/>
                <w:bottom w:val="nil"/>
                <w:right w:val="nil"/>
                <w:between w:val="nil"/>
              </w:pBdr>
              <w:ind w:left="113" w:right="-57" w:hanging="113"/>
              <w:rPr>
                <w:color w:val="000000"/>
              </w:rPr>
            </w:pPr>
            <w:r>
              <w:rPr>
                <w:color w:val="000000"/>
              </w:rPr>
              <w:t>Issued loan commitments ‒ 12-months ECL</w:t>
            </w:r>
          </w:p>
        </w:tc>
        <w:tc>
          <w:tcPr>
            <w:tcW w:w="1134" w:type="dxa"/>
            <w:vAlign w:val="bottom"/>
          </w:tcPr>
          <w:p w14:paraId="4AE14CF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051FC9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453FF6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57AD8E1" w14:textId="77777777" w:rsidR="008E5DE4" w:rsidRDefault="008E5DE4">
            <w:pPr>
              <w:widowControl w:val="0"/>
              <w:pBdr>
                <w:top w:val="nil"/>
                <w:left w:val="nil"/>
                <w:bottom w:val="nil"/>
                <w:right w:val="nil"/>
                <w:between w:val="nil"/>
              </w:pBdr>
              <w:jc w:val="right"/>
              <w:rPr>
                <w:color w:val="000000"/>
              </w:rPr>
            </w:pPr>
          </w:p>
        </w:tc>
        <w:tc>
          <w:tcPr>
            <w:tcW w:w="1134" w:type="dxa"/>
          </w:tcPr>
          <w:p w14:paraId="14DF193E" w14:textId="77777777" w:rsidR="008E5DE4" w:rsidRDefault="008E5DE4">
            <w:pPr>
              <w:widowControl w:val="0"/>
              <w:pBdr>
                <w:top w:val="nil"/>
                <w:left w:val="nil"/>
                <w:bottom w:val="nil"/>
                <w:right w:val="nil"/>
                <w:between w:val="nil"/>
              </w:pBdr>
              <w:jc w:val="right"/>
              <w:rPr>
                <w:color w:val="000000"/>
              </w:rPr>
            </w:pPr>
          </w:p>
        </w:tc>
      </w:tr>
      <w:tr w:rsidR="008E5DE4" w14:paraId="69511D9E" w14:textId="77777777">
        <w:trPr>
          <w:cantSplit/>
        </w:trPr>
        <w:tc>
          <w:tcPr>
            <w:tcW w:w="3686" w:type="dxa"/>
            <w:vAlign w:val="bottom"/>
          </w:tcPr>
          <w:p w14:paraId="73EDC939" w14:textId="77777777" w:rsidR="008E5DE4" w:rsidRDefault="00780368">
            <w:pPr>
              <w:widowControl w:val="0"/>
              <w:pBdr>
                <w:top w:val="nil"/>
                <w:left w:val="nil"/>
                <w:bottom w:val="nil"/>
                <w:right w:val="nil"/>
                <w:between w:val="nil"/>
              </w:pBdr>
              <w:ind w:left="113" w:right="-57" w:hanging="113"/>
              <w:rPr>
                <w:color w:val="000000"/>
              </w:rPr>
            </w:pPr>
            <w:r>
              <w:rPr>
                <w:color w:val="000000"/>
              </w:rPr>
              <w:t>Amortisation of deferred fee to income</w:t>
            </w:r>
          </w:p>
        </w:tc>
        <w:tc>
          <w:tcPr>
            <w:tcW w:w="1134" w:type="dxa"/>
            <w:vAlign w:val="bottom"/>
          </w:tcPr>
          <w:p w14:paraId="044D85D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D1580B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CF8025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17E81DF" w14:textId="77777777" w:rsidR="008E5DE4" w:rsidRDefault="008E5DE4">
            <w:pPr>
              <w:widowControl w:val="0"/>
              <w:pBdr>
                <w:top w:val="nil"/>
                <w:left w:val="nil"/>
                <w:bottom w:val="nil"/>
                <w:right w:val="nil"/>
                <w:between w:val="nil"/>
              </w:pBdr>
              <w:jc w:val="right"/>
              <w:rPr>
                <w:color w:val="000000"/>
              </w:rPr>
            </w:pPr>
          </w:p>
        </w:tc>
        <w:tc>
          <w:tcPr>
            <w:tcW w:w="1134" w:type="dxa"/>
          </w:tcPr>
          <w:p w14:paraId="2D491FAE" w14:textId="77777777" w:rsidR="008E5DE4" w:rsidRDefault="008E5DE4">
            <w:pPr>
              <w:widowControl w:val="0"/>
              <w:pBdr>
                <w:top w:val="nil"/>
                <w:left w:val="nil"/>
                <w:bottom w:val="nil"/>
                <w:right w:val="nil"/>
                <w:between w:val="nil"/>
              </w:pBdr>
              <w:jc w:val="right"/>
              <w:rPr>
                <w:color w:val="000000"/>
              </w:rPr>
            </w:pPr>
          </w:p>
        </w:tc>
      </w:tr>
      <w:tr w:rsidR="008E5DE4" w14:paraId="05DCF665" w14:textId="77777777">
        <w:trPr>
          <w:cantSplit/>
        </w:trPr>
        <w:tc>
          <w:tcPr>
            <w:tcW w:w="3686" w:type="dxa"/>
            <w:vAlign w:val="bottom"/>
          </w:tcPr>
          <w:p w14:paraId="67EA1435" w14:textId="77777777" w:rsidR="008E5DE4" w:rsidRDefault="00780368">
            <w:pPr>
              <w:widowControl w:val="0"/>
              <w:pBdr>
                <w:top w:val="nil"/>
                <w:left w:val="nil"/>
                <w:bottom w:val="nil"/>
                <w:right w:val="nil"/>
                <w:between w:val="nil"/>
              </w:pBdr>
              <w:ind w:left="113" w:right="-57" w:hanging="113"/>
              <w:rPr>
                <w:color w:val="000000"/>
              </w:rPr>
            </w:pPr>
            <w:r>
              <w:rPr>
                <w:color w:val="000000"/>
              </w:rPr>
              <w:t>Transfer to ECL on loans upon loans drawdown</w:t>
            </w:r>
          </w:p>
        </w:tc>
        <w:tc>
          <w:tcPr>
            <w:tcW w:w="1134" w:type="dxa"/>
            <w:vAlign w:val="bottom"/>
          </w:tcPr>
          <w:p w14:paraId="1A161EF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DAF41F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782CF8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060B20E" w14:textId="77777777" w:rsidR="008E5DE4" w:rsidRDefault="008E5DE4">
            <w:pPr>
              <w:widowControl w:val="0"/>
              <w:pBdr>
                <w:top w:val="nil"/>
                <w:left w:val="nil"/>
                <w:bottom w:val="nil"/>
                <w:right w:val="nil"/>
                <w:between w:val="nil"/>
              </w:pBdr>
              <w:jc w:val="right"/>
              <w:rPr>
                <w:color w:val="000000"/>
              </w:rPr>
            </w:pPr>
          </w:p>
        </w:tc>
        <w:tc>
          <w:tcPr>
            <w:tcW w:w="1134" w:type="dxa"/>
          </w:tcPr>
          <w:p w14:paraId="789BA384" w14:textId="77777777" w:rsidR="008E5DE4" w:rsidRDefault="008E5DE4">
            <w:pPr>
              <w:widowControl w:val="0"/>
              <w:pBdr>
                <w:top w:val="nil"/>
                <w:left w:val="nil"/>
                <w:bottom w:val="nil"/>
                <w:right w:val="nil"/>
                <w:between w:val="nil"/>
              </w:pBdr>
              <w:jc w:val="right"/>
              <w:rPr>
                <w:color w:val="000000"/>
              </w:rPr>
            </w:pPr>
          </w:p>
        </w:tc>
      </w:tr>
      <w:tr w:rsidR="008E5DE4" w14:paraId="2BCDEBFF" w14:textId="77777777">
        <w:trPr>
          <w:cantSplit/>
        </w:trPr>
        <w:tc>
          <w:tcPr>
            <w:tcW w:w="3686" w:type="dxa"/>
            <w:vAlign w:val="bottom"/>
          </w:tcPr>
          <w:p w14:paraId="08E5227D" w14:textId="77777777" w:rsidR="008E5DE4" w:rsidRDefault="00780368">
            <w:pPr>
              <w:widowControl w:val="0"/>
              <w:pBdr>
                <w:top w:val="nil"/>
                <w:left w:val="nil"/>
                <w:bottom w:val="nil"/>
                <w:right w:val="nil"/>
                <w:between w:val="nil"/>
              </w:pBdr>
              <w:ind w:left="113" w:right="-57" w:hanging="113"/>
              <w:rPr>
                <w:color w:val="000000"/>
              </w:rPr>
            </w:pPr>
            <w:r>
              <w:rPr>
                <w:color w:val="000000"/>
              </w:rPr>
              <w:t>Derecognised during the period</w:t>
            </w:r>
          </w:p>
        </w:tc>
        <w:tc>
          <w:tcPr>
            <w:tcW w:w="1134" w:type="dxa"/>
            <w:vAlign w:val="bottom"/>
          </w:tcPr>
          <w:p w14:paraId="5968C5D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379A37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C7FE89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20AA7B9" w14:textId="77777777" w:rsidR="008E5DE4" w:rsidRDefault="008E5DE4">
            <w:pPr>
              <w:widowControl w:val="0"/>
              <w:pBdr>
                <w:top w:val="nil"/>
                <w:left w:val="nil"/>
                <w:bottom w:val="nil"/>
                <w:right w:val="nil"/>
                <w:between w:val="nil"/>
              </w:pBdr>
              <w:jc w:val="right"/>
              <w:rPr>
                <w:color w:val="000000"/>
              </w:rPr>
            </w:pPr>
          </w:p>
        </w:tc>
        <w:tc>
          <w:tcPr>
            <w:tcW w:w="1134" w:type="dxa"/>
          </w:tcPr>
          <w:p w14:paraId="0DD126E6" w14:textId="77777777" w:rsidR="008E5DE4" w:rsidRDefault="008E5DE4">
            <w:pPr>
              <w:widowControl w:val="0"/>
              <w:pBdr>
                <w:top w:val="nil"/>
                <w:left w:val="nil"/>
                <w:bottom w:val="nil"/>
                <w:right w:val="nil"/>
                <w:between w:val="nil"/>
              </w:pBdr>
              <w:jc w:val="right"/>
              <w:rPr>
                <w:color w:val="000000"/>
              </w:rPr>
            </w:pPr>
          </w:p>
        </w:tc>
      </w:tr>
      <w:tr w:rsidR="008E5DE4" w14:paraId="374DF455" w14:textId="77777777">
        <w:trPr>
          <w:cantSplit/>
        </w:trPr>
        <w:tc>
          <w:tcPr>
            <w:tcW w:w="3686" w:type="dxa"/>
            <w:vAlign w:val="bottom"/>
          </w:tcPr>
          <w:p w14:paraId="15E35015" w14:textId="77777777" w:rsidR="008E5DE4" w:rsidRDefault="00780368">
            <w:pPr>
              <w:widowControl w:val="0"/>
              <w:pBdr>
                <w:top w:val="nil"/>
                <w:left w:val="nil"/>
                <w:bottom w:val="nil"/>
                <w:right w:val="nil"/>
                <w:between w:val="nil"/>
              </w:pBdr>
              <w:ind w:left="113" w:right="-57" w:hanging="113"/>
              <w:rPr>
                <w:color w:val="000000"/>
              </w:rPr>
            </w:pPr>
            <w:r>
              <w:rPr>
                <w:color w:val="000000"/>
              </w:rPr>
              <w:t>Changes to model assumptions</w:t>
            </w:r>
          </w:p>
        </w:tc>
        <w:tc>
          <w:tcPr>
            <w:tcW w:w="1134" w:type="dxa"/>
            <w:vAlign w:val="bottom"/>
          </w:tcPr>
          <w:p w14:paraId="4C84032E"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F7AD57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65C740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DBE7C4" w14:textId="77777777" w:rsidR="008E5DE4" w:rsidRDefault="008E5DE4">
            <w:pPr>
              <w:widowControl w:val="0"/>
              <w:pBdr>
                <w:top w:val="nil"/>
                <w:left w:val="nil"/>
                <w:bottom w:val="nil"/>
                <w:right w:val="nil"/>
                <w:between w:val="nil"/>
              </w:pBdr>
              <w:jc w:val="right"/>
              <w:rPr>
                <w:color w:val="000000"/>
              </w:rPr>
            </w:pPr>
          </w:p>
        </w:tc>
        <w:tc>
          <w:tcPr>
            <w:tcW w:w="1134" w:type="dxa"/>
          </w:tcPr>
          <w:p w14:paraId="66571F05" w14:textId="77777777" w:rsidR="008E5DE4" w:rsidRDefault="008E5DE4">
            <w:pPr>
              <w:widowControl w:val="0"/>
              <w:pBdr>
                <w:top w:val="nil"/>
                <w:left w:val="nil"/>
                <w:bottom w:val="nil"/>
                <w:right w:val="nil"/>
                <w:between w:val="nil"/>
              </w:pBdr>
              <w:jc w:val="right"/>
              <w:rPr>
                <w:color w:val="000000"/>
              </w:rPr>
            </w:pPr>
          </w:p>
        </w:tc>
      </w:tr>
      <w:tr w:rsidR="008E5DE4" w14:paraId="4DCA52A1" w14:textId="77777777">
        <w:trPr>
          <w:cantSplit/>
        </w:trPr>
        <w:tc>
          <w:tcPr>
            <w:tcW w:w="3686" w:type="dxa"/>
            <w:vAlign w:val="bottom"/>
          </w:tcPr>
          <w:p w14:paraId="44A341D6" w14:textId="77777777" w:rsidR="008E5DE4" w:rsidRDefault="00780368">
            <w:pPr>
              <w:widowControl w:val="0"/>
              <w:pBdr>
                <w:top w:val="nil"/>
                <w:left w:val="nil"/>
                <w:bottom w:val="nil"/>
                <w:right w:val="nil"/>
                <w:between w:val="nil"/>
              </w:pBdr>
              <w:ind w:left="113" w:right="-57" w:hanging="113"/>
              <w:rPr>
                <w:color w:val="000000"/>
              </w:rPr>
            </w:pPr>
            <w:r>
              <w:rPr>
                <w:color w:val="000000"/>
              </w:rPr>
              <w:t>Unwinding of discounting</w:t>
            </w:r>
          </w:p>
        </w:tc>
        <w:tc>
          <w:tcPr>
            <w:tcW w:w="1134" w:type="dxa"/>
            <w:vAlign w:val="bottom"/>
          </w:tcPr>
          <w:p w14:paraId="46218A3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FC0CAF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236E47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EE732F9" w14:textId="77777777" w:rsidR="008E5DE4" w:rsidRDefault="008E5DE4">
            <w:pPr>
              <w:widowControl w:val="0"/>
              <w:pBdr>
                <w:top w:val="nil"/>
                <w:left w:val="nil"/>
                <w:bottom w:val="nil"/>
                <w:right w:val="nil"/>
                <w:between w:val="nil"/>
              </w:pBdr>
              <w:jc w:val="right"/>
              <w:rPr>
                <w:color w:val="000000"/>
              </w:rPr>
            </w:pPr>
          </w:p>
        </w:tc>
        <w:tc>
          <w:tcPr>
            <w:tcW w:w="1134" w:type="dxa"/>
          </w:tcPr>
          <w:p w14:paraId="469B459C" w14:textId="77777777" w:rsidR="008E5DE4" w:rsidRDefault="008E5DE4">
            <w:pPr>
              <w:widowControl w:val="0"/>
              <w:pBdr>
                <w:top w:val="nil"/>
                <w:left w:val="nil"/>
                <w:bottom w:val="nil"/>
                <w:right w:val="nil"/>
                <w:between w:val="nil"/>
              </w:pBdr>
              <w:jc w:val="right"/>
              <w:rPr>
                <w:color w:val="000000"/>
              </w:rPr>
            </w:pPr>
          </w:p>
        </w:tc>
      </w:tr>
      <w:tr w:rsidR="008E5DE4" w14:paraId="4251BEE3" w14:textId="77777777">
        <w:trPr>
          <w:cantSplit/>
        </w:trPr>
        <w:tc>
          <w:tcPr>
            <w:tcW w:w="3686" w:type="dxa"/>
            <w:vAlign w:val="bottom"/>
          </w:tcPr>
          <w:p w14:paraId="65D0C5F9" w14:textId="77777777" w:rsidR="008E5DE4" w:rsidRDefault="00780368">
            <w:pPr>
              <w:widowControl w:val="0"/>
              <w:pBdr>
                <w:top w:val="nil"/>
                <w:left w:val="nil"/>
                <w:bottom w:val="nil"/>
                <w:right w:val="nil"/>
                <w:between w:val="nil"/>
              </w:pBdr>
              <w:ind w:left="113" w:right="-57" w:hanging="113"/>
              <w:rPr>
                <w:color w:val="000000"/>
              </w:rPr>
            </w:pPr>
            <w:r>
              <w:rPr>
                <w:color w:val="000000"/>
              </w:rPr>
              <w:t>Other movements</w:t>
            </w:r>
          </w:p>
        </w:tc>
        <w:tc>
          <w:tcPr>
            <w:tcW w:w="1134" w:type="dxa"/>
            <w:vAlign w:val="bottom"/>
          </w:tcPr>
          <w:p w14:paraId="1547D95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069D06D"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66D95B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14E565" w14:textId="77777777" w:rsidR="008E5DE4" w:rsidRDefault="008E5DE4">
            <w:pPr>
              <w:widowControl w:val="0"/>
              <w:pBdr>
                <w:top w:val="nil"/>
                <w:left w:val="nil"/>
                <w:bottom w:val="nil"/>
                <w:right w:val="nil"/>
                <w:between w:val="nil"/>
              </w:pBdr>
              <w:jc w:val="right"/>
              <w:rPr>
                <w:color w:val="000000"/>
              </w:rPr>
            </w:pPr>
          </w:p>
        </w:tc>
        <w:tc>
          <w:tcPr>
            <w:tcW w:w="1134" w:type="dxa"/>
          </w:tcPr>
          <w:p w14:paraId="6DB1352C" w14:textId="77777777" w:rsidR="008E5DE4" w:rsidRDefault="008E5DE4">
            <w:pPr>
              <w:widowControl w:val="0"/>
              <w:pBdr>
                <w:top w:val="nil"/>
                <w:left w:val="nil"/>
                <w:bottom w:val="nil"/>
                <w:right w:val="nil"/>
                <w:between w:val="nil"/>
              </w:pBdr>
              <w:jc w:val="right"/>
              <w:rPr>
                <w:color w:val="000000"/>
              </w:rPr>
            </w:pPr>
          </w:p>
        </w:tc>
      </w:tr>
      <w:tr w:rsidR="008E5DE4" w14:paraId="6A2EB655" w14:textId="77777777">
        <w:trPr>
          <w:cantSplit/>
        </w:trPr>
        <w:tc>
          <w:tcPr>
            <w:tcW w:w="3686" w:type="dxa"/>
            <w:tcBorders>
              <w:bottom w:val="single" w:sz="4" w:space="0" w:color="000000"/>
            </w:tcBorders>
            <w:vAlign w:val="bottom"/>
          </w:tcPr>
          <w:p w14:paraId="5514E580"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1134" w:type="dxa"/>
            <w:tcBorders>
              <w:bottom w:val="single" w:sz="4" w:space="0" w:color="000000"/>
            </w:tcBorders>
            <w:vAlign w:val="bottom"/>
          </w:tcPr>
          <w:p w14:paraId="1DB553F1"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5062025E"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5B01A45E"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690B8A47"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tcPr>
          <w:p w14:paraId="7AC4C7B7" w14:textId="77777777" w:rsidR="008E5DE4" w:rsidRDefault="008E5DE4">
            <w:pPr>
              <w:widowControl w:val="0"/>
              <w:pBdr>
                <w:top w:val="nil"/>
                <w:left w:val="nil"/>
                <w:bottom w:val="nil"/>
                <w:right w:val="nil"/>
                <w:between w:val="nil"/>
              </w:pBdr>
              <w:jc w:val="right"/>
              <w:rPr>
                <w:color w:val="000000"/>
                <w:sz w:val="16"/>
                <w:szCs w:val="16"/>
              </w:rPr>
            </w:pPr>
          </w:p>
        </w:tc>
      </w:tr>
      <w:tr w:rsidR="008E5DE4" w14:paraId="0CEED74E" w14:textId="77777777">
        <w:trPr>
          <w:cantSplit/>
        </w:trPr>
        <w:tc>
          <w:tcPr>
            <w:tcW w:w="3686" w:type="dxa"/>
            <w:tcBorders>
              <w:top w:val="single" w:sz="4" w:space="0" w:color="000000"/>
            </w:tcBorders>
            <w:vAlign w:val="bottom"/>
          </w:tcPr>
          <w:p w14:paraId="1D15C8A7"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1134" w:type="dxa"/>
            <w:tcBorders>
              <w:top w:val="single" w:sz="4" w:space="0" w:color="000000"/>
            </w:tcBorders>
            <w:vAlign w:val="bottom"/>
          </w:tcPr>
          <w:p w14:paraId="67BF661D"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34BD5043"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5DBCD921"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30E2A912"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tcPr>
          <w:p w14:paraId="027CE877" w14:textId="77777777" w:rsidR="008E5DE4" w:rsidRDefault="008E5DE4">
            <w:pPr>
              <w:widowControl w:val="0"/>
              <w:pBdr>
                <w:top w:val="nil"/>
                <w:left w:val="nil"/>
                <w:bottom w:val="nil"/>
                <w:right w:val="nil"/>
                <w:between w:val="nil"/>
              </w:pBdr>
              <w:jc w:val="right"/>
              <w:rPr>
                <w:color w:val="000000"/>
                <w:sz w:val="16"/>
                <w:szCs w:val="16"/>
              </w:rPr>
            </w:pPr>
          </w:p>
        </w:tc>
      </w:tr>
      <w:tr w:rsidR="008E5DE4" w14:paraId="4B380BD7" w14:textId="77777777">
        <w:trPr>
          <w:cantSplit/>
        </w:trPr>
        <w:tc>
          <w:tcPr>
            <w:tcW w:w="3686" w:type="dxa"/>
            <w:vAlign w:val="bottom"/>
          </w:tcPr>
          <w:p w14:paraId="41C6760C"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charge to profit or loss for the year</w:t>
            </w:r>
          </w:p>
        </w:tc>
        <w:tc>
          <w:tcPr>
            <w:tcW w:w="1134" w:type="dxa"/>
            <w:vAlign w:val="bottom"/>
          </w:tcPr>
          <w:p w14:paraId="75AB895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C1654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656A94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5A834B9" w14:textId="77777777" w:rsidR="008E5DE4" w:rsidRDefault="008E5DE4">
            <w:pPr>
              <w:widowControl w:val="0"/>
              <w:pBdr>
                <w:top w:val="nil"/>
                <w:left w:val="nil"/>
                <w:bottom w:val="nil"/>
                <w:right w:val="nil"/>
                <w:between w:val="nil"/>
              </w:pBdr>
              <w:jc w:val="right"/>
              <w:rPr>
                <w:color w:val="000000"/>
              </w:rPr>
            </w:pPr>
          </w:p>
        </w:tc>
        <w:tc>
          <w:tcPr>
            <w:tcW w:w="1134" w:type="dxa"/>
          </w:tcPr>
          <w:p w14:paraId="00FB7EB1" w14:textId="77777777" w:rsidR="008E5DE4" w:rsidRDefault="008E5DE4">
            <w:pPr>
              <w:widowControl w:val="0"/>
              <w:pBdr>
                <w:top w:val="nil"/>
                <w:left w:val="nil"/>
                <w:bottom w:val="nil"/>
                <w:right w:val="nil"/>
                <w:between w:val="nil"/>
              </w:pBdr>
              <w:jc w:val="right"/>
              <w:rPr>
                <w:color w:val="000000"/>
              </w:rPr>
            </w:pPr>
          </w:p>
        </w:tc>
      </w:tr>
      <w:tr w:rsidR="008E5DE4" w14:paraId="09F04F0A" w14:textId="77777777">
        <w:trPr>
          <w:cantSplit/>
        </w:trPr>
        <w:tc>
          <w:tcPr>
            <w:tcW w:w="3686" w:type="dxa"/>
            <w:vAlign w:val="bottom"/>
          </w:tcPr>
          <w:p w14:paraId="402B1225" w14:textId="77777777" w:rsidR="008E5DE4" w:rsidRDefault="008E5DE4">
            <w:pPr>
              <w:widowControl w:val="0"/>
              <w:pBdr>
                <w:top w:val="nil"/>
                <w:left w:val="nil"/>
                <w:bottom w:val="nil"/>
                <w:right w:val="nil"/>
                <w:between w:val="nil"/>
              </w:pBdr>
              <w:ind w:left="113" w:right="-57" w:hanging="113"/>
              <w:rPr>
                <w:color w:val="000000"/>
                <w:sz w:val="16"/>
                <w:szCs w:val="16"/>
              </w:rPr>
            </w:pPr>
          </w:p>
        </w:tc>
        <w:tc>
          <w:tcPr>
            <w:tcW w:w="1134" w:type="dxa"/>
            <w:vAlign w:val="bottom"/>
          </w:tcPr>
          <w:p w14:paraId="4F63EEFB"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47D3EF58"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2891ECD8" w14:textId="77777777" w:rsidR="008E5DE4" w:rsidRDefault="008E5DE4">
            <w:pPr>
              <w:widowControl w:val="0"/>
              <w:pBdr>
                <w:top w:val="nil"/>
                <w:left w:val="nil"/>
                <w:bottom w:val="nil"/>
                <w:right w:val="nil"/>
                <w:between w:val="nil"/>
              </w:pBdr>
              <w:jc w:val="right"/>
              <w:rPr>
                <w:color w:val="000000"/>
                <w:sz w:val="16"/>
                <w:szCs w:val="16"/>
              </w:rPr>
            </w:pPr>
          </w:p>
        </w:tc>
        <w:tc>
          <w:tcPr>
            <w:tcW w:w="1134" w:type="dxa"/>
            <w:vAlign w:val="bottom"/>
          </w:tcPr>
          <w:p w14:paraId="0137E733"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Pr>
          <w:p w14:paraId="58AD4300" w14:textId="77777777" w:rsidR="008E5DE4" w:rsidRDefault="008E5DE4">
            <w:pPr>
              <w:widowControl w:val="0"/>
              <w:pBdr>
                <w:top w:val="nil"/>
                <w:left w:val="nil"/>
                <w:bottom w:val="nil"/>
                <w:right w:val="nil"/>
                <w:between w:val="nil"/>
              </w:pBdr>
              <w:jc w:val="right"/>
              <w:rPr>
                <w:color w:val="000000"/>
                <w:sz w:val="16"/>
                <w:szCs w:val="16"/>
              </w:rPr>
            </w:pPr>
          </w:p>
        </w:tc>
      </w:tr>
      <w:tr w:rsidR="008E5DE4" w14:paraId="5D50576D" w14:textId="77777777">
        <w:trPr>
          <w:cantSplit/>
        </w:trPr>
        <w:tc>
          <w:tcPr>
            <w:tcW w:w="3686" w:type="dxa"/>
            <w:tcBorders>
              <w:top w:val="single" w:sz="4" w:space="0" w:color="000000"/>
            </w:tcBorders>
            <w:vAlign w:val="bottom"/>
          </w:tcPr>
          <w:p w14:paraId="6314F11F" w14:textId="77777777" w:rsidR="008E5DE4" w:rsidRDefault="008E5DE4">
            <w:pPr>
              <w:widowControl w:val="0"/>
              <w:pBdr>
                <w:top w:val="nil"/>
                <w:left w:val="nil"/>
                <w:bottom w:val="nil"/>
                <w:right w:val="nil"/>
                <w:between w:val="nil"/>
              </w:pBdr>
              <w:ind w:left="113" w:right="-57" w:hanging="113"/>
              <w:rPr>
                <w:b/>
                <w:i/>
                <w:color w:val="000000"/>
                <w:sz w:val="16"/>
                <w:szCs w:val="16"/>
              </w:rPr>
            </w:pPr>
          </w:p>
        </w:tc>
        <w:tc>
          <w:tcPr>
            <w:tcW w:w="1134" w:type="dxa"/>
            <w:tcBorders>
              <w:top w:val="single" w:sz="4" w:space="0" w:color="000000"/>
            </w:tcBorders>
            <w:vAlign w:val="bottom"/>
          </w:tcPr>
          <w:p w14:paraId="35731ED5"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1C72B2CA"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7741A7F3"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2CD51ACD"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tcPr>
          <w:p w14:paraId="0671F854" w14:textId="77777777" w:rsidR="008E5DE4" w:rsidRDefault="008E5DE4">
            <w:pPr>
              <w:widowControl w:val="0"/>
              <w:pBdr>
                <w:top w:val="nil"/>
                <w:left w:val="nil"/>
                <w:bottom w:val="nil"/>
                <w:right w:val="nil"/>
                <w:between w:val="nil"/>
              </w:pBdr>
              <w:jc w:val="right"/>
              <w:rPr>
                <w:color w:val="000000"/>
                <w:sz w:val="16"/>
                <w:szCs w:val="16"/>
              </w:rPr>
            </w:pPr>
          </w:p>
        </w:tc>
      </w:tr>
      <w:tr w:rsidR="008E5DE4" w14:paraId="25235B16" w14:textId="77777777">
        <w:trPr>
          <w:cantSplit/>
        </w:trPr>
        <w:tc>
          <w:tcPr>
            <w:tcW w:w="3686" w:type="dxa"/>
            <w:vAlign w:val="bottom"/>
          </w:tcPr>
          <w:p w14:paraId="6E36D12D" w14:textId="77777777" w:rsidR="008E5DE4" w:rsidRDefault="00780368">
            <w:pPr>
              <w:widowControl w:val="0"/>
              <w:pBdr>
                <w:top w:val="nil"/>
                <w:left w:val="nil"/>
                <w:bottom w:val="nil"/>
                <w:right w:val="nil"/>
                <w:between w:val="nil"/>
              </w:pBdr>
              <w:ind w:left="113" w:right="-57" w:hanging="113"/>
              <w:rPr>
                <w:color w:val="000000"/>
              </w:rPr>
            </w:pPr>
            <w:r>
              <w:rPr>
                <w:i/>
                <w:color w:val="000000"/>
              </w:rPr>
              <w:t>Movements without impact on provision for credit related commitments charge for the period:</w:t>
            </w:r>
          </w:p>
        </w:tc>
        <w:tc>
          <w:tcPr>
            <w:tcW w:w="1134" w:type="dxa"/>
            <w:vAlign w:val="bottom"/>
          </w:tcPr>
          <w:p w14:paraId="4803B0B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09F68F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E8AE20A"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10E5B59" w14:textId="77777777" w:rsidR="008E5DE4" w:rsidRDefault="008E5DE4">
            <w:pPr>
              <w:widowControl w:val="0"/>
              <w:pBdr>
                <w:top w:val="nil"/>
                <w:left w:val="nil"/>
                <w:bottom w:val="nil"/>
                <w:right w:val="nil"/>
                <w:between w:val="nil"/>
              </w:pBdr>
              <w:jc w:val="right"/>
              <w:rPr>
                <w:color w:val="000000"/>
              </w:rPr>
            </w:pPr>
          </w:p>
        </w:tc>
        <w:tc>
          <w:tcPr>
            <w:tcW w:w="1134" w:type="dxa"/>
          </w:tcPr>
          <w:p w14:paraId="1ED32446" w14:textId="77777777" w:rsidR="008E5DE4" w:rsidRDefault="008E5DE4">
            <w:pPr>
              <w:widowControl w:val="0"/>
              <w:pBdr>
                <w:top w:val="nil"/>
                <w:left w:val="nil"/>
                <w:bottom w:val="nil"/>
                <w:right w:val="nil"/>
                <w:between w:val="nil"/>
              </w:pBdr>
              <w:jc w:val="right"/>
              <w:rPr>
                <w:color w:val="000000"/>
              </w:rPr>
            </w:pPr>
          </w:p>
        </w:tc>
      </w:tr>
      <w:tr w:rsidR="008E5DE4" w14:paraId="0512A17B" w14:textId="77777777">
        <w:trPr>
          <w:cantSplit/>
        </w:trPr>
        <w:tc>
          <w:tcPr>
            <w:tcW w:w="3686" w:type="dxa"/>
            <w:vAlign w:val="bottom"/>
          </w:tcPr>
          <w:p w14:paraId="586A2F2C" w14:textId="77777777" w:rsidR="008E5DE4" w:rsidRDefault="00780368">
            <w:pPr>
              <w:widowControl w:val="0"/>
              <w:pBdr>
                <w:top w:val="nil"/>
                <w:left w:val="nil"/>
                <w:bottom w:val="nil"/>
                <w:right w:val="nil"/>
                <w:between w:val="nil"/>
              </w:pBdr>
              <w:ind w:left="113" w:right="-57" w:hanging="113"/>
              <w:rPr>
                <w:color w:val="000000"/>
              </w:rPr>
            </w:pPr>
            <w:r>
              <w:rPr>
                <w:color w:val="000000"/>
              </w:rPr>
              <w:t>Write-offs</w:t>
            </w:r>
          </w:p>
        </w:tc>
        <w:tc>
          <w:tcPr>
            <w:tcW w:w="1134" w:type="dxa"/>
            <w:vAlign w:val="bottom"/>
          </w:tcPr>
          <w:p w14:paraId="7CA09AD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8600E6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58157489"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A2493EB" w14:textId="77777777" w:rsidR="008E5DE4" w:rsidRDefault="008E5DE4">
            <w:pPr>
              <w:widowControl w:val="0"/>
              <w:pBdr>
                <w:top w:val="nil"/>
                <w:left w:val="nil"/>
                <w:bottom w:val="nil"/>
                <w:right w:val="nil"/>
                <w:between w:val="nil"/>
              </w:pBdr>
              <w:jc w:val="right"/>
              <w:rPr>
                <w:color w:val="000000"/>
              </w:rPr>
            </w:pPr>
          </w:p>
        </w:tc>
        <w:tc>
          <w:tcPr>
            <w:tcW w:w="1134" w:type="dxa"/>
          </w:tcPr>
          <w:p w14:paraId="784B8AA4" w14:textId="77777777" w:rsidR="008E5DE4" w:rsidRDefault="008E5DE4">
            <w:pPr>
              <w:widowControl w:val="0"/>
              <w:pBdr>
                <w:top w:val="nil"/>
                <w:left w:val="nil"/>
                <w:bottom w:val="nil"/>
                <w:right w:val="nil"/>
                <w:between w:val="nil"/>
              </w:pBdr>
              <w:jc w:val="right"/>
              <w:rPr>
                <w:color w:val="000000"/>
              </w:rPr>
            </w:pPr>
          </w:p>
        </w:tc>
      </w:tr>
      <w:tr w:rsidR="008E5DE4" w14:paraId="044610EF" w14:textId="77777777">
        <w:trPr>
          <w:cantSplit/>
        </w:trPr>
        <w:tc>
          <w:tcPr>
            <w:tcW w:w="3686" w:type="dxa"/>
            <w:vAlign w:val="bottom"/>
          </w:tcPr>
          <w:p w14:paraId="36C98E60"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impact</w:t>
            </w:r>
          </w:p>
        </w:tc>
        <w:tc>
          <w:tcPr>
            <w:tcW w:w="1134" w:type="dxa"/>
            <w:vAlign w:val="bottom"/>
          </w:tcPr>
          <w:p w14:paraId="6D67D688"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439E218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47A320F"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EDF2B62" w14:textId="77777777" w:rsidR="008E5DE4" w:rsidRDefault="008E5DE4">
            <w:pPr>
              <w:widowControl w:val="0"/>
              <w:pBdr>
                <w:top w:val="nil"/>
                <w:left w:val="nil"/>
                <w:bottom w:val="nil"/>
                <w:right w:val="nil"/>
                <w:between w:val="nil"/>
              </w:pBdr>
              <w:jc w:val="right"/>
              <w:rPr>
                <w:color w:val="000000"/>
              </w:rPr>
            </w:pPr>
          </w:p>
        </w:tc>
        <w:tc>
          <w:tcPr>
            <w:tcW w:w="1134" w:type="dxa"/>
          </w:tcPr>
          <w:p w14:paraId="529048CF" w14:textId="77777777" w:rsidR="008E5DE4" w:rsidRDefault="008E5DE4">
            <w:pPr>
              <w:widowControl w:val="0"/>
              <w:pBdr>
                <w:top w:val="nil"/>
                <w:left w:val="nil"/>
                <w:bottom w:val="nil"/>
                <w:right w:val="nil"/>
                <w:between w:val="nil"/>
              </w:pBdr>
              <w:jc w:val="right"/>
              <w:rPr>
                <w:color w:val="000000"/>
              </w:rPr>
            </w:pPr>
          </w:p>
        </w:tc>
      </w:tr>
      <w:tr w:rsidR="008E5DE4" w14:paraId="22F00114" w14:textId="77777777">
        <w:trPr>
          <w:cantSplit/>
        </w:trPr>
        <w:tc>
          <w:tcPr>
            <w:tcW w:w="3686" w:type="dxa"/>
            <w:vAlign w:val="bottom"/>
          </w:tcPr>
          <w:p w14:paraId="0F044B3D" w14:textId="77777777" w:rsidR="008E5DE4" w:rsidRDefault="00780368">
            <w:pPr>
              <w:widowControl w:val="0"/>
              <w:pBdr>
                <w:top w:val="nil"/>
                <w:left w:val="nil"/>
                <w:bottom w:val="nil"/>
                <w:right w:val="nil"/>
                <w:between w:val="nil"/>
              </w:pBdr>
              <w:ind w:left="113" w:right="-57" w:hanging="113"/>
              <w:rPr>
                <w:color w:val="000000"/>
              </w:rPr>
            </w:pPr>
            <w:r>
              <w:rPr>
                <w:color w:val="000000"/>
              </w:rPr>
              <w:t>Modification of contractual cash flows</w:t>
            </w:r>
          </w:p>
        </w:tc>
        <w:tc>
          <w:tcPr>
            <w:tcW w:w="1134" w:type="dxa"/>
            <w:vAlign w:val="bottom"/>
          </w:tcPr>
          <w:p w14:paraId="32C70F4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19A28990"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B842093"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E250E9" w14:textId="77777777" w:rsidR="008E5DE4" w:rsidRDefault="008E5DE4">
            <w:pPr>
              <w:widowControl w:val="0"/>
              <w:pBdr>
                <w:top w:val="nil"/>
                <w:left w:val="nil"/>
                <w:bottom w:val="nil"/>
                <w:right w:val="nil"/>
                <w:between w:val="nil"/>
              </w:pBdr>
              <w:jc w:val="right"/>
              <w:rPr>
                <w:color w:val="000000"/>
              </w:rPr>
            </w:pPr>
          </w:p>
        </w:tc>
        <w:tc>
          <w:tcPr>
            <w:tcW w:w="1134" w:type="dxa"/>
          </w:tcPr>
          <w:p w14:paraId="1346EC9D" w14:textId="77777777" w:rsidR="008E5DE4" w:rsidRDefault="008E5DE4">
            <w:pPr>
              <w:widowControl w:val="0"/>
              <w:pBdr>
                <w:top w:val="nil"/>
                <w:left w:val="nil"/>
                <w:bottom w:val="nil"/>
                <w:right w:val="nil"/>
                <w:between w:val="nil"/>
              </w:pBdr>
              <w:jc w:val="right"/>
              <w:rPr>
                <w:color w:val="000000"/>
              </w:rPr>
            </w:pPr>
          </w:p>
        </w:tc>
      </w:tr>
      <w:tr w:rsidR="008E5DE4" w14:paraId="6615C00C" w14:textId="77777777">
        <w:trPr>
          <w:cantSplit/>
        </w:trPr>
        <w:tc>
          <w:tcPr>
            <w:tcW w:w="3686" w:type="dxa"/>
            <w:vAlign w:val="bottom"/>
          </w:tcPr>
          <w:p w14:paraId="6C661F06"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Unwinding of discounting (for Stage 3) </w:t>
            </w:r>
          </w:p>
        </w:tc>
        <w:tc>
          <w:tcPr>
            <w:tcW w:w="1134" w:type="dxa"/>
            <w:vAlign w:val="bottom"/>
          </w:tcPr>
          <w:p w14:paraId="24C12351"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207490E7"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2E7A36B"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7B750DDE" w14:textId="77777777" w:rsidR="008E5DE4" w:rsidRDefault="008E5DE4">
            <w:pPr>
              <w:widowControl w:val="0"/>
              <w:pBdr>
                <w:top w:val="nil"/>
                <w:left w:val="nil"/>
                <w:bottom w:val="nil"/>
                <w:right w:val="nil"/>
                <w:between w:val="nil"/>
              </w:pBdr>
              <w:jc w:val="right"/>
              <w:rPr>
                <w:color w:val="000000"/>
              </w:rPr>
            </w:pPr>
          </w:p>
        </w:tc>
        <w:tc>
          <w:tcPr>
            <w:tcW w:w="1134" w:type="dxa"/>
          </w:tcPr>
          <w:p w14:paraId="54A20139" w14:textId="77777777" w:rsidR="008E5DE4" w:rsidRDefault="008E5DE4">
            <w:pPr>
              <w:widowControl w:val="0"/>
              <w:pBdr>
                <w:top w:val="nil"/>
                <w:left w:val="nil"/>
                <w:bottom w:val="nil"/>
                <w:right w:val="nil"/>
                <w:between w:val="nil"/>
              </w:pBdr>
              <w:jc w:val="right"/>
              <w:rPr>
                <w:color w:val="000000"/>
              </w:rPr>
            </w:pPr>
          </w:p>
        </w:tc>
      </w:tr>
      <w:tr w:rsidR="008E5DE4" w14:paraId="4BDA96CC" w14:textId="77777777">
        <w:trPr>
          <w:cantSplit/>
        </w:trPr>
        <w:tc>
          <w:tcPr>
            <w:tcW w:w="3686" w:type="dxa"/>
            <w:tcBorders>
              <w:bottom w:val="single" w:sz="4" w:space="0" w:color="000000"/>
            </w:tcBorders>
            <w:vAlign w:val="bottom"/>
          </w:tcPr>
          <w:p w14:paraId="6B756C1E" w14:textId="77777777" w:rsidR="008E5DE4" w:rsidRDefault="008E5DE4">
            <w:pPr>
              <w:widowControl w:val="0"/>
              <w:pBdr>
                <w:top w:val="nil"/>
                <w:left w:val="nil"/>
                <w:bottom w:val="nil"/>
                <w:right w:val="nil"/>
                <w:between w:val="nil"/>
              </w:pBdr>
              <w:ind w:left="113" w:right="-57" w:hanging="113"/>
              <w:rPr>
                <w:b/>
                <w:color w:val="000000"/>
                <w:sz w:val="16"/>
                <w:szCs w:val="16"/>
              </w:rPr>
            </w:pPr>
          </w:p>
        </w:tc>
        <w:tc>
          <w:tcPr>
            <w:tcW w:w="1134" w:type="dxa"/>
            <w:tcBorders>
              <w:bottom w:val="single" w:sz="4" w:space="0" w:color="000000"/>
            </w:tcBorders>
            <w:vAlign w:val="bottom"/>
          </w:tcPr>
          <w:p w14:paraId="12C199FC"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283D1F5B"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4BE8B27C"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vAlign w:val="bottom"/>
          </w:tcPr>
          <w:p w14:paraId="39142360"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4" w:space="0" w:color="000000"/>
            </w:tcBorders>
          </w:tcPr>
          <w:p w14:paraId="549DFC08" w14:textId="77777777" w:rsidR="008E5DE4" w:rsidRDefault="008E5DE4">
            <w:pPr>
              <w:widowControl w:val="0"/>
              <w:pBdr>
                <w:top w:val="nil"/>
                <w:left w:val="nil"/>
                <w:bottom w:val="nil"/>
                <w:right w:val="nil"/>
                <w:between w:val="nil"/>
              </w:pBdr>
              <w:jc w:val="right"/>
              <w:rPr>
                <w:color w:val="000000"/>
                <w:sz w:val="16"/>
                <w:szCs w:val="16"/>
              </w:rPr>
            </w:pPr>
          </w:p>
        </w:tc>
      </w:tr>
      <w:tr w:rsidR="008E5DE4" w14:paraId="5EEA1612" w14:textId="77777777">
        <w:trPr>
          <w:cantSplit/>
        </w:trPr>
        <w:tc>
          <w:tcPr>
            <w:tcW w:w="3686" w:type="dxa"/>
            <w:tcBorders>
              <w:top w:val="single" w:sz="4" w:space="0" w:color="000000"/>
            </w:tcBorders>
            <w:vAlign w:val="bottom"/>
          </w:tcPr>
          <w:p w14:paraId="1BD7EC6C" w14:textId="77777777" w:rsidR="008E5DE4" w:rsidRDefault="008E5DE4">
            <w:pPr>
              <w:widowControl w:val="0"/>
              <w:pBdr>
                <w:top w:val="nil"/>
                <w:left w:val="nil"/>
                <w:bottom w:val="nil"/>
                <w:right w:val="nil"/>
                <w:between w:val="nil"/>
              </w:pBdr>
              <w:ind w:left="113" w:right="-57" w:hanging="113"/>
              <w:rPr>
                <w:b/>
                <w:color w:val="000000"/>
                <w:sz w:val="16"/>
                <w:szCs w:val="16"/>
              </w:rPr>
            </w:pPr>
          </w:p>
        </w:tc>
        <w:tc>
          <w:tcPr>
            <w:tcW w:w="1134" w:type="dxa"/>
            <w:tcBorders>
              <w:top w:val="single" w:sz="4" w:space="0" w:color="000000"/>
            </w:tcBorders>
            <w:vAlign w:val="bottom"/>
          </w:tcPr>
          <w:p w14:paraId="4595BCAE"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1C744A10"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3449FC0A"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vAlign w:val="bottom"/>
          </w:tcPr>
          <w:p w14:paraId="1556D644"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top w:val="single" w:sz="4" w:space="0" w:color="000000"/>
            </w:tcBorders>
          </w:tcPr>
          <w:p w14:paraId="3F669EE2" w14:textId="77777777" w:rsidR="008E5DE4" w:rsidRDefault="008E5DE4">
            <w:pPr>
              <w:widowControl w:val="0"/>
              <w:pBdr>
                <w:top w:val="nil"/>
                <w:left w:val="nil"/>
                <w:bottom w:val="nil"/>
                <w:right w:val="nil"/>
                <w:between w:val="nil"/>
              </w:pBdr>
              <w:jc w:val="right"/>
              <w:rPr>
                <w:color w:val="000000"/>
                <w:sz w:val="16"/>
                <w:szCs w:val="16"/>
              </w:rPr>
            </w:pPr>
          </w:p>
        </w:tc>
      </w:tr>
      <w:tr w:rsidR="008E5DE4" w14:paraId="2A741441" w14:textId="77777777">
        <w:trPr>
          <w:cantSplit/>
        </w:trPr>
        <w:tc>
          <w:tcPr>
            <w:tcW w:w="3686" w:type="dxa"/>
            <w:vAlign w:val="bottom"/>
          </w:tcPr>
          <w:p w14:paraId="555DA5CD" w14:textId="0526749A" w:rsidR="008E5DE4" w:rsidRDefault="00780368">
            <w:pPr>
              <w:widowControl w:val="0"/>
              <w:pBdr>
                <w:top w:val="nil"/>
                <w:left w:val="nil"/>
                <w:bottom w:val="nil"/>
                <w:right w:val="nil"/>
                <w:between w:val="nil"/>
              </w:pBdr>
              <w:ind w:left="113" w:right="-57" w:hanging="113"/>
              <w:rPr>
                <w:b/>
                <w:color w:val="000000"/>
              </w:rPr>
            </w:pPr>
            <w:r>
              <w:rPr>
                <w:b/>
                <w:color w:val="000000"/>
              </w:rPr>
              <w:t xml:space="preserve">Provision for loan commitments </w:t>
            </w:r>
            <w:proofErr w:type="gramStart"/>
            <w:r>
              <w:rPr>
                <w:b/>
                <w:color w:val="000000"/>
              </w:rPr>
              <w:t>at</w:t>
            </w:r>
            <w:proofErr w:type="gramEnd"/>
            <w:r>
              <w:rPr>
                <w:b/>
                <w:color w:val="000000"/>
              </w:rPr>
              <w:t xml:space="preserve"> 31 December </w:t>
            </w:r>
            <w:r w:rsidR="00E06A92">
              <w:rPr>
                <w:b/>
                <w:color w:val="000000"/>
              </w:rPr>
              <w:t>2024</w:t>
            </w:r>
          </w:p>
        </w:tc>
        <w:tc>
          <w:tcPr>
            <w:tcW w:w="1134" w:type="dxa"/>
            <w:vAlign w:val="bottom"/>
          </w:tcPr>
          <w:p w14:paraId="04AE8D9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377A3404"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662A61B5" w14:textId="77777777" w:rsidR="008E5DE4" w:rsidRDefault="008E5DE4">
            <w:pPr>
              <w:widowControl w:val="0"/>
              <w:pBdr>
                <w:top w:val="nil"/>
                <w:left w:val="nil"/>
                <w:bottom w:val="nil"/>
                <w:right w:val="nil"/>
                <w:between w:val="nil"/>
              </w:pBdr>
              <w:jc w:val="right"/>
              <w:rPr>
                <w:color w:val="000000"/>
              </w:rPr>
            </w:pPr>
          </w:p>
        </w:tc>
        <w:tc>
          <w:tcPr>
            <w:tcW w:w="1134" w:type="dxa"/>
            <w:vAlign w:val="bottom"/>
          </w:tcPr>
          <w:p w14:paraId="02F337F2" w14:textId="77777777" w:rsidR="008E5DE4" w:rsidRDefault="008E5DE4">
            <w:pPr>
              <w:widowControl w:val="0"/>
              <w:pBdr>
                <w:top w:val="nil"/>
                <w:left w:val="nil"/>
                <w:bottom w:val="nil"/>
                <w:right w:val="nil"/>
                <w:between w:val="nil"/>
              </w:pBdr>
              <w:jc w:val="right"/>
              <w:rPr>
                <w:color w:val="000000"/>
              </w:rPr>
            </w:pPr>
          </w:p>
        </w:tc>
        <w:tc>
          <w:tcPr>
            <w:tcW w:w="1134" w:type="dxa"/>
          </w:tcPr>
          <w:p w14:paraId="47B5F490" w14:textId="77777777" w:rsidR="008E5DE4" w:rsidRDefault="008E5DE4">
            <w:pPr>
              <w:widowControl w:val="0"/>
              <w:pBdr>
                <w:top w:val="nil"/>
                <w:left w:val="nil"/>
                <w:bottom w:val="nil"/>
                <w:right w:val="nil"/>
                <w:between w:val="nil"/>
              </w:pBdr>
              <w:jc w:val="right"/>
              <w:rPr>
                <w:color w:val="000000"/>
              </w:rPr>
            </w:pPr>
          </w:p>
        </w:tc>
      </w:tr>
      <w:tr w:rsidR="008E5DE4" w14:paraId="49290CDF" w14:textId="77777777">
        <w:trPr>
          <w:cantSplit/>
        </w:trPr>
        <w:tc>
          <w:tcPr>
            <w:tcW w:w="3686" w:type="dxa"/>
            <w:tcBorders>
              <w:bottom w:val="single" w:sz="12" w:space="0" w:color="000000"/>
            </w:tcBorders>
            <w:vAlign w:val="bottom"/>
          </w:tcPr>
          <w:p w14:paraId="4239C739" w14:textId="77777777" w:rsidR="008E5DE4" w:rsidRDefault="008E5DE4">
            <w:pPr>
              <w:widowControl w:val="0"/>
              <w:pBdr>
                <w:top w:val="nil"/>
                <w:left w:val="nil"/>
                <w:bottom w:val="nil"/>
                <w:right w:val="nil"/>
                <w:between w:val="nil"/>
              </w:pBdr>
              <w:ind w:left="113" w:right="-57" w:hanging="113"/>
              <w:rPr>
                <w:color w:val="000000"/>
                <w:sz w:val="16"/>
                <w:szCs w:val="16"/>
                <w:u w:val="single"/>
              </w:rPr>
            </w:pPr>
          </w:p>
        </w:tc>
        <w:tc>
          <w:tcPr>
            <w:tcW w:w="1134" w:type="dxa"/>
            <w:tcBorders>
              <w:bottom w:val="single" w:sz="12" w:space="0" w:color="000000"/>
            </w:tcBorders>
            <w:vAlign w:val="bottom"/>
          </w:tcPr>
          <w:p w14:paraId="3D9CA5BB"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12" w:space="0" w:color="000000"/>
            </w:tcBorders>
            <w:vAlign w:val="bottom"/>
          </w:tcPr>
          <w:p w14:paraId="3D8ED079"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12" w:space="0" w:color="000000"/>
            </w:tcBorders>
            <w:vAlign w:val="bottom"/>
          </w:tcPr>
          <w:p w14:paraId="2AE08E1F"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12" w:space="0" w:color="000000"/>
            </w:tcBorders>
            <w:vAlign w:val="bottom"/>
          </w:tcPr>
          <w:p w14:paraId="03B8FEC7" w14:textId="77777777" w:rsidR="008E5DE4" w:rsidRDefault="008E5DE4">
            <w:pPr>
              <w:widowControl w:val="0"/>
              <w:pBdr>
                <w:top w:val="nil"/>
                <w:left w:val="nil"/>
                <w:bottom w:val="nil"/>
                <w:right w:val="nil"/>
                <w:between w:val="nil"/>
              </w:pBdr>
              <w:jc w:val="right"/>
              <w:rPr>
                <w:color w:val="000000"/>
                <w:sz w:val="16"/>
                <w:szCs w:val="16"/>
              </w:rPr>
            </w:pPr>
          </w:p>
        </w:tc>
        <w:tc>
          <w:tcPr>
            <w:tcW w:w="1134" w:type="dxa"/>
            <w:tcBorders>
              <w:bottom w:val="single" w:sz="12" w:space="0" w:color="000000"/>
            </w:tcBorders>
          </w:tcPr>
          <w:p w14:paraId="6B12BEA7" w14:textId="77777777" w:rsidR="008E5DE4" w:rsidRDefault="008E5DE4">
            <w:pPr>
              <w:widowControl w:val="0"/>
              <w:pBdr>
                <w:top w:val="nil"/>
                <w:left w:val="nil"/>
                <w:bottom w:val="nil"/>
                <w:right w:val="nil"/>
                <w:between w:val="nil"/>
              </w:pBdr>
              <w:jc w:val="right"/>
              <w:rPr>
                <w:color w:val="000000"/>
                <w:sz w:val="16"/>
                <w:szCs w:val="16"/>
              </w:rPr>
            </w:pPr>
          </w:p>
        </w:tc>
      </w:tr>
    </w:tbl>
    <w:p w14:paraId="46DF98C2" w14:textId="52AEF06A"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Refer to Note 53 for disclosure of the fair value of each class of other financial liabilities. </w:t>
      </w:r>
    </w:p>
    <w:p w14:paraId="0AF42AD7" w14:textId="4F705823"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liability for guarantees issued represents the higher of the unamortised balance of deferred fees received and the amount required to settle losses incurred on guarantees at the end of the reporting period. Trade payables of EUR ____ thousand (</w:t>
      </w:r>
      <w:r w:rsidR="00E06A92">
        <w:rPr>
          <w:color w:val="000000"/>
          <w:sz w:val="20"/>
          <w:szCs w:val="20"/>
        </w:rPr>
        <w:t>2024</w:t>
      </w:r>
      <w:r>
        <w:rPr>
          <w:color w:val="000000"/>
          <w:sz w:val="20"/>
          <w:szCs w:val="20"/>
        </w:rPr>
        <w:t>:</w:t>
      </w:r>
      <w:r w:rsidR="00181448">
        <w:rPr>
          <w:color w:val="000000"/>
          <w:sz w:val="20"/>
          <w:szCs w:val="20"/>
        </w:rPr>
        <w:t xml:space="preserve"> </w:t>
      </w:r>
      <w:r>
        <w:rPr>
          <w:color w:val="000000"/>
          <w:sz w:val="20"/>
          <w:szCs w:val="20"/>
        </w:rPr>
        <w:t>EUR ____ thous</w:t>
      </w:r>
      <w:r w:rsidRPr="00DB020A">
        <w:rPr>
          <w:color w:val="000000"/>
          <w:sz w:val="20"/>
          <w:szCs w:val="20"/>
        </w:rPr>
        <w:t xml:space="preserve">and) are denominated in foreign currency, mainly </w:t>
      </w:r>
      <w:proofErr w:type="gramStart"/>
      <w:r w:rsidRPr="007F183E">
        <w:rPr>
          <w:color w:val="0000FF"/>
          <w:sz w:val="20"/>
          <w:szCs w:val="20"/>
        </w:rPr>
        <w:t>[</w:t>
      </w:r>
      <w:r w:rsidR="00FA3B9A">
        <w:rPr>
          <w:color w:val="0000FF"/>
          <w:sz w:val="20"/>
          <w:szCs w:val="20"/>
        </w:rPr>
        <w:t xml:space="preserve"> </w:t>
      </w:r>
      <w:r w:rsidRPr="007F183E">
        <w:rPr>
          <w:color w:val="0000FF"/>
          <w:sz w:val="20"/>
          <w:szCs w:val="20"/>
        </w:rPr>
        <w:t xml:space="preserve"> ]</w:t>
      </w:r>
      <w:proofErr w:type="gramEnd"/>
      <w:r w:rsidRPr="007F183E">
        <w:rPr>
          <w:color w:val="0000FF"/>
          <w:sz w:val="20"/>
          <w:szCs w:val="20"/>
        </w:rPr>
        <w:t>% in US Dollars (</w:t>
      </w:r>
      <w:r w:rsidR="00E06A92" w:rsidRPr="007F183E">
        <w:rPr>
          <w:color w:val="0000FF"/>
          <w:sz w:val="20"/>
          <w:szCs w:val="20"/>
        </w:rPr>
        <w:t>2024</w:t>
      </w:r>
      <w:r w:rsidRPr="007F183E">
        <w:rPr>
          <w:color w:val="0000FF"/>
          <w:sz w:val="20"/>
          <w:szCs w:val="20"/>
        </w:rPr>
        <w:t xml:space="preserve">: 35%), </w:t>
      </w:r>
      <w:proofErr w:type="gramStart"/>
      <w:r w:rsidRPr="007F183E">
        <w:rPr>
          <w:color w:val="0000FF"/>
          <w:sz w:val="20"/>
          <w:szCs w:val="20"/>
        </w:rPr>
        <w:t xml:space="preserve">[ </w:t>
      </w:r>
      <w:r w:rsidR="00FA3B9A">
        <w:rPr>
          <w:color w:val="0000FF"/>
          <w:sz w:val="20"/>
          <w:szCs w:val="20"/>
        </w:rPr>
        <w:t xml:space="preserve"> </w:t>
      </w:r>
      <w:r w:rsidRPr="007F183E">
        <w:rPr>
          <w:color w:val="0000FF"/>
          <w:sz w:val="20"/>
          <w:szCs w:val="20"/>
        </w:rPr>
        <w:t>]</w:t>
      </w:r>
      <w:proofErr w:type="gramEnd"/>
      <w:r w:rsidRPr="007F183E">
        <w:rPr>
          <w:color w:val="0000FF"/>
          <w:sz w:val="20"/>
          <w:szCs w:val="20"/>
        </w:rPr>
        <w:t>% in EUR (</w:t>
      </w:r>
      <w:r w:rsidR="00E06A92" w:rsidRPr="007F183E">
        <w:rPr>
          <w:color w:val="0000FF"/>
          <w:sz w:val="20"/>
          <w:szCs w:val="20"/>
        </w:rPr>
        <w:t>2024</w:t>
      </w:r>
      <w:r w:rsidRPr="007F183E">
        <w:rPr>
          <w:color w:val="0000FF"/>
          <w:sz w:val="20"/>
          <w:szCs w:val="20"/>
        </w:rPr>
        <w:t>: 48%)</w:t>
      </w:r>
      <w:r>
        <w:rPr>
          <w:color w:val="000000"/>
          <w:sz w:val="20"/>
          <w:szCs w:val="20"/>
        </w:rPr>
        <w:t xml:space="preserve">. </w:t>
      </w:r>
    </w:p>
    <w:p w14:paraId="541C1DD8" w14:textId="154B88C6" w:rsidR="008E5DE4" w:rsidRDefault="00F93586" w:rsidP="007F183E">
      <w:pPr>
        <w:pStyle w:val="Heading1"/>
        <w:pageBreakBefore/>
        <w:numPr>
          <w:ilvl w:val="0"/>
          <w:numId w:val="0"/>
        </w:numPr>
        <w:spacing w:before="240"/>
        <w:ind w:left="567" w:hanging="567"/>
      </w:pPr>
      <w:bookmarkStart w:id="58" w:name="_Toc149923634"/>
      <w:r>
        <w:lastRenderedPageBreak/>
        <w:t xml:space="preserve">35 </w:t>
      </w:r>
      <w:r>
        <w:tab/>
      </w:r>
      <w:r w:rsidR="00780368">
        <w:t>Revenue from Contracts with Customers</w:t>
      </w:r>
      <w:bookmarkEnd w:id="58"/>
      <w:r w:rsidR="00780368">
        <w:t xml:space="preserve"> </w:t>
      </w:r>
    </w:p>
    <w:p w14:paraId="55B1D9F5" w14:textId="01DD7E5A"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594EB198" w14:textId="06690AD6" w:rsidR="008E5DE4" w:rsidRDefault="00780368" w:rsidP="00072FBF">
      <w:pPr>
        <w:widowControl w:val="0"/>
        <w:pBdr>
          <w:top w:val="nil"/>
          <w:left w:val="nil"/>
          <w:bottom w:val="nil"/>
          <w:right w:val="nil"/>
          <w:between w:val="nil"/>
        </w:pBdr>
        <w:shd w:val="clear" w:color="auto" w:fill="C6D9F1"/>
        <w:spacing w:before="200" w:after="200"/>
        <w:jc w:val="both"/>
        <w:rPr>
          <w:i/>
          <w:color w:val="FF0000"/>
          <w:sz w:val="20"/>
          <w:szCs w:val="20"/>
        </w:rPr>
      </w:pPr>
      <w:r>
        <w:rPr>
          <w:b/>
          <w:i/>
          <w:color w:val="000000"/>
          <w:sz w:val="20"/>
          <w:szCs w:val="20"/>
        </w:rPr>
        <w:t>Revenue recognition.</w:t>
      </w:r>
      <w:r>
        <w:rPr>
          <w:color w:val="000000"/>
          <w:sz w:val="20"/>
          <w:szCs w:val="20"/>
        </w:rPr>
        <w:t xml:space="preserve"> </w:t>
      </w:r>
    </w:p>
    <w:p w14:paraId="3AFFEB5C"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color w:val="000000"/>
          <w:sz w:val="20"/>
          <w:szCs w:val="20"/>
        </w:rPr>
        <w:t>Revenue is recognised in the amount of transaction price. Transaction price is the amount of consideration to which the Group expects to be entitled in exchange for transferring control over promised goods or services to a customer, excluding the amounts collected on behalf of third parties.</w:t>
      </w:r>
    </w:p>
    <w:p w14:paraId="06F50BC8" w14:textId="77777777"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color w:val="000000"/>
          <w:sz w:val="20"/>
          <w:szCs w:val="20"/>
        </w:rPr>
        <w:t xml:space="preserve">Revenue is recognised net of </w:t>
      </w:r>
      <w:r>
        <w:rPr>
          <w:color w:val="0000FF"/>
          <w:sz w:val="20"/>
          <w:szCs w:val="20"/>
        </w:rPr>
        <w:t xml:space="preserve">[discounts, returns </w:t>
      </w:r>
      <w:proofErr w:type="gramStart"/>
      <w:r>
        <w:rPr>
          <w:color w:val="0000FF"/>
          <w:sz w:val="20"/>
          <w:szCs w:val="20"/>
        </w:rPr>
        <w:t>and ]</w:t>
      </w:r>
      <w:proofErr w:type="gramEnd"/>
      <w:r>
        <w:rPr>
          <w:color w:val="0000FF"/>
          <w:sz w:val="20"/>
          <w:szCs w:val="20"/>
        </w:rPr>
        <w:t xml:space="preserve"> </w:t>
      </w:r>
      <w:r>
        <w:rPr>
          <w:color w:val="000000"/>
          <w:sz w:val="20"/>
          <w:szCs w:val="20"/>
        </w:rPr>
        <w:t xml:space="preserve">value added taxes </w:t>
      </w:r>
      <w:r>
        <w:rPr>
          <w:color w:val="0000FF"/>
          <w:sz w:val="20"/>
          <w:szCs w:val="20"/>
        </w:rPr>
        <w:t>[, export duties, excise tax, other similar mandatory payments]</w:t>
      </w:r>
      <w:r>
        <w:rPr>
          <w:color w:val="000000"/>
          <w:sz w:val="20"/>
          <w:szCs w:val="20"/>
        </w:rPr>
        <w:t>.</w:t>
      </w:r>
      <w:r>
        <w:rPr>
          <w:color w:val="0000FF"/>
          <w:sz w:val="20"/>
          <w:szCs w:val="20"/>
        </w:rPr>
        <w:t xml:space="preserve"> </w:t>
      </w:r>
    </w:p>
    <w:p w14:paraId="01D1A597" w14:textId="06D16ABE"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i/>
          <w:color w:val="0000FF"/>
          <w:sz w:val="20"/>
          <w:szCs w:val="20"/>
        </w:rPr>
        <w:t>[</w:t>
      </w:r>
      <w:r>
        <w:rPr>
          <w:b/>
          <w:i/>
          <w:color w:val="0000FF"/>
          <w:sz w:val="20"/>
          <w:szCs w:val="20"/>
        </w:rPr>
        <w:t>Sales of goods.</w:t>
      </w:r>
      <w:r>
        <w:rPr>
          <w:color w:val="0000FF"/>
          <w:sz w:val="20"/>
          <w:szCs w:val="20"/>
        </w:rPr>
        <w:t xml:space="preserve"> Sales are recognised when control of the goods has transferred, being when the goods are delivered to the customer, the customer has full discretion over the goods, and there is no unfulfilled obligation that could affect the customer’s acceptance of the goods. Delivery occurs when the goods have been shipped to the specific location, the risks of obsolescence and loss have been transferred to the customer, and either the customer has accepted the goods in accordance with the contract, the acceptance provisions have lapsed, or the Group has objective evidence that all criteria for acceptance have been satisfied. </w:t>
      </w:r>
    </w:p>
    <w:p w14:paraId="62CA5297"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It is the group’s policy to sell its products to the end customer with a right of return within [___] days. Therefore, a refund liability (included in trade and other payables) and a right to the returned goods (included in other current assets) are recognised for the products expected to be returned. Accumulated experience is used to estimate such returns at the time of sale at a portfolio level (expected value method). Because the number of products returned has been steady for years, it is highly probable that a significant reversal in the cumulative revenue recognised will not occur. The validity of this assumption and the estimated amount of returns are reassessed at each reporting date.</w:t>
      </w:r>
    </w:p>
    <w:p w14:paraId="06CF68AB"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 xml:space="preserve">Revenue from the sales with discounts is recognised based on the price specified in the contract, net of the estimated volume discounts. Accumulated experience is used to estimate and provide for the discounts, using the expected value method, and revenue is only recognised to the extent that it is highly probable that a significant reversal will not occur. A refund liability (included in trade and other payables) is recognised for expected volume discounts payable to customers in relation to sales made until the end of the reporting period. </w:t>
      </w:r>
    </w:p>
    <w:p w14:paraId="5DEF0B43"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No element of financing is deemed present as the sales are made with a credit term of __ days, which is consistent with market practice. A receivable is recognised when the goods are delivered as this is the point in time that the consideration is unconditional because only the passage of time is required before the payment is due.</w:t>
      </w:r>
    </w:p>
    <w:p w14:paraId="368FEA73"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 xml:space="preserve">[If the Group provides any additional services to the customer after control over goods has passed, revenue from such services </w:t>
      </w:r>
      <w:proofErr w:type="gramStart"/>
      <w:r>
        <w:rPr>
          <w:color w:val="0000FF"/>
          <w:sz w:val="20"/>
          <w:szCs w:val="20"/>
        </w:rPr>
        <w:t>is considered to be</w:t>
      </w:r>
      <w:proofErr w:type="gramEnd"/>
      <w:r>
        <w:rPr>
          <w:color w:val="0000FF"/>
          <w:sz w:val="20"/>
          <w:szCs w:val="20"/>
        </w:rPr>
        <w:t xml:space="preserve"> a separate performance obligation and is recognised over the time of the service rendering.] The Group’s obligation to repair or replace faulty products under the standard warranty terms is recognised as a provision (see Note 32).]</w:t>
      </w:r>
    </w:p>
    <w:p w14:paraId="4A2200D6"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b/>
          <w:i/>
          <w:color w:val="0000FF"/>
          <w:sz w:val="20"/>
          <w:szCs w:val="20"/>
        </w:rPr>
        <w:t>[Customer loyalty program.</w:t>
      </w:r>
      <w:r>
        <w:rPr>
          <w:color w:val="0000FF"/>
          <w:sz w:val="20"/>
          <w:szCs w:val="20"/>
        </w:rPr>
        <w:t xml:space="preserve"> The Group operates a loyalty program where customers accumulate award points for purchases made which entitle them to discount on future purchases. Revenue from the award points is recognised when the points are redeemed or when they expire [twelve] months after the initial transaction. The transaction price is allocated to the goods sold and the award points </w:t>
      </w:r>
      <w:proofErr w:type="gramStart"/>
      <w:r>
        <w:rPr>
          <w:color w:val="0000FF"/>
          <w:sz w:val="20"/>
          <w:szCs w:val="20"/>
        </w:rPr>
        <w:t>on the basis of</w:t>
      </w:r>
      <w:proofErr w:type="gramEnd"/>
      <w:r>
        <w:rPr>
          <w:color w:val="0000FF"/>
          <w:sz w:val="20"/>
          <w:szCs w:val="20"/>
        </w:rPr>
        <w:t xml:space="preserve"> their relative stand-alone selling prices. A contract liability for the award points is recognised at the time of the sale.]</w:t>
      </w:r>
    </w:p>
    <w:p w14:paraId="15870163"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35</w:t>
      </w:r>
      <w:r>
        <w:rPr>
          <w:b/>
          <w:color w:val="000000"/>
          <w:sz w:val="20"/>
          <w:szCs w:val="20"/>
        </w:rPr>
        <w:tab/>
        <w:t>Revenue from Contracts with Customers (Continued)</w:t>
      </w:r>
    </w:p>
    <w:p w14:paraId="774CFF2A" w14:textId="6C58A5C2"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b/>
          <w:i/>
          <w:color w:val="0000FF"/>
          <w:sz w:val="20"/>
          <w:szCs w:val="20"/>
        </w:rPr>
        <w:t>[Sales of services.</w:t>
      </w:r>
      <w:r>
        <w:rPr>
          <w:color w:val="0000FF"/>
          <w:sz w:val="20"/>
          <w:szCs w:val="20"/>
        </w:rPr>
        <w:t xml:space="preserve"> The Group provides services under fixed-price and variable price contracts. If the Group transfers control of a service over time and therefore satisfies a performance obligation over time, revenue from providing services is recognised in the accounting period in which the services are rendered. For fixed-price contracts, revenue is recognised based on the actual service provided to the end of the reporting period as a proportion of the total services to be provided because the customer receives and uses the benefits simultaneously. This is determined based on the actual labour hours spent relative to the total expected labour hours. If a performance obligation is not satisfied over time, revenue is recognised at a point in time at which the Group satisfies a performance obligation.</w:t>
      </w:r>
    </w:p>
    <w:p w14:paraId="5FE5E40B"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 xml:space="preserve">Where the contracts include multiple performance obligations, the transaction price is allocated to each separate performance obligation based on the stand-alone selling prices. Where these are not directly observable, they are estimated based on expected cost plus margin. </w:t>
      </w:r>
    </w:p>
    <w:p w14:paraId="116A6885"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 xml:space="preserve">Estimates of revenues, costs or extent of progress toward completion are revised if circumstances change. Any resulting increases or decreases in estimated revenues or costs are reflected in profit or loss in the period in which the circumstances that give rise to the revision become known by management. </w:t>
      </w:r>
    </w:p>
    <w:p w14:paraId="3A3866B9"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In case of fixed-price contracts, the customer pays the fixed amount based on a payment schedule. If the services rendered by the Group exceed the payment, a contract asset is recognised. If the payments exceed the services rendered, a contract liability is recognised.</w:t>
      </w:r>
    </w:p>
    <w:p w14:paraId="20C987B9"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 xml:space="preserve">If the contract includes an hourly fee, revenue is recognised in the amount to which the Group has a right to invoice. Customers are invoiced </w:t>
      </w:r>
      <w:proofErr w:type="gramStart"/>
      <w:r>
        <w:rPr>
          <w:color w:val="0000FF"/>
          <w:sz w:val="20"/>
          <w:szCs w:val="20"/>
        </w:rPr>
        <w:t>on a monthly basis</w:t>
      </w:r>
      <w:proofErr w:type="gramEnd"/>
      <w:r>
        <w:rPr>
          <w:color w:val="0000FF"/>
          <w:sz w:val="20"/>
          <w:szCs w:val="20"/>
        </w:rPr>
        <w:t xml:space="preserve"> and consideration is payable when invoiced.</w:t>
      </w:r>
    </w:p>
    <w:p w14:paraId="6E6886BE"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color w:val="0000FF"/>
          <w:sz w:val="20"/>
          <w:szCs w:val="20"/>
        </w:rPr>
        <w:t>If the contract includes variable consideration, revenue is recognised only to the extent that it is highly probable that there will be no significant reversal of such revenue.]</w:t>
      </w:r>
    </w:p>
    <w:p w14:paraId="3B060C41"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b/>
          <w:i/>
          <w:color w:val="0000FF"/>
          <w:sz w:val="20"/>
          <w:szCs w:val="20"/>
        </w:rPr>
        <w:t>[Land development and resale.</w:t>
      </w:r>
      <w:r>
        <w:rPr>
          <w:color w:val="0000FF"/>
          <w:sz w:val="20"/>
          <w:szCs w:val="20"/>
        </w:rPr>
        <w:t xml:space="preserve"> The Group’s subsidiary develops and sells residential properties. Revenue is recognised when control over the property has been transferred to the customer. The properties have generally no alternative use for the Group due to contractual restrictions. However, an enforceable right to payment does not arise until legal title has passed to the customer. Therefore, revenue is recognised at a point in time when the legal title passes to the customer. Revenue is measured at the transaction price agreed in the contract. In most cases, the consideration is due when the legal title has been transferred. While deferred payment terms may be agreed in some circumstances, the deferral never exceeds twelve months. The transaction price is therefore not adjusted for the effects of a significant financing component. The revenue on the land development and resale is recognised within [other income in profit or loss.]</w:t>
      </w:r>
    </w:p>
    <w:p w14:paraId="7210DC5F"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b/>
          <w:i/>
          <w:color w:val="0000FF"/>
          <w:sz w:val="20"/>
          <w:szCs w:val="20"/>
        </w:rPr>
        <w:t>[Financing components.</w:t>
      </w:r>
      <w:r>
        <w:rPr>
          <w:color w:val="0000FF"/>
          <w:sz w:val="20"/>
          <w:szCs w:val="20"/>
        </w:rPr>
        <w:t xml:space="preserve"> The Group does not expect to have any contracts where the period between the transfer of the promised goods or services to the customer and payment by the customer exceeds one year. </w:t>
      </w:r>
      <w:proofErr w:type="gramStart"/>
      <w:r>
        <w:rPr>
          <w:color w:val="0000FF"/>
          <w:sz w:val="20"/>
          <w:szCs w:val="20"/>
        </w:rPr>
        <w:t>As a consequence</w:t>
      </w:r>
      <w:proofErr w:type="gramEnd"/>
      <w:r>
        <w:rPr>
          <w:color w:val="0000FF"/>
          <w:sz w:val="20"/>
          <w:szCs w:val="20"/>
        </w:rPr>
        <w:t>, the Group does not adjust any of the transaction prices for the time value of money.]</w:t>
      </w:r>
    </w:p>
    <w:tbl>
      <w:tblPr>
        <w:tblStyle w:val="affffffffff5"/>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7DA87287" w14:textId="77777777">
        <w:tc>
          <w:tcPr>
            <w:tcW w:w="9571" w:type="dxa"/>
          </w:tcPr>
          <w:p w14:paraId="0BE322A6" w14:textId="77777777" w:rsidR="008E5DE4" w:rsidRDefault="00780368">
            <w:pPr>
              <w:pBdr>
                <w:top w:val="nil"/>
                <w:left w:val="nil"/>
                <w:bottom w:val="nil"/>
                <w:right w:val="nil"/>
                <w:between w:val="nil"/>
              </w:pBdr>
              <w:spacing w:after="240"/>
              <w:rPr>
                <w:b/>
                <w:i/>
                <w:color w:val="000000"/>
                <w:sz w:val="20"/>
                <w:szCs w:val="20"/>
              </w:rPr>
            </w:pPr>
            <w:r>
              <w:rPr>
                <w:b/>
                <w:i/>
                <w:color w:val="000000"/>
                <w:sz w:val="20"/>
                <w:szCs w:val="20"/>
              </w:rPr>
              <w:t>Critical Accounting Estimates and Judgments in Applying Accounting Policies</w:t>
            </w:r>
          </w:p>
          <w:p w14:paraId="23B4F0C8" w14:textId="1FDBEC74"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Revenue recognition.</w:t>
            </w:r>
            <w:r>
              <w:rPr>
                <w:b/>
                <w:color w:val="000000"/>
                <w:sz w:val="20"/>
                <w:szCs w:val="20"/>
              </w:rPr>
              <w:t xml:space="preserve"> </w:t>
            </w:r>
          </w:p>
          <w:p w14:paraId="6F85DE27" w14:textId="63DB8C41" w:rsidR="008E5DE4" w:rsidRDefault="00780368">
            <w:pPr>
              <w:widowControl w:val="0"/>
              <w:pBdr>
                <w:top w:val="nil"/>
                <w:left w:val="nil"/>
                <w:bottom w:val="nil"/>
                <w:right w:val="nil"/>
                <w:between w:val="nil"/>
              </w:pBdr>
              <w:spacing w:before="200" w:after="200"/>
              <w:jc w:val="both"/>
              <w:rPr>
                <w:color w:val="000000"/>
              </w:rPr>
            </w:pPr>
            <w:r>
              <w:rPr>
                <w:b/>
                <w:i/>
                <w:color w:val="000000"/>
                <w:sz w:val="20"/>
                <w:szCs w:val="20"/>
              </w:rPr>
              <w:t>Measuring progress towards complete satisfaction of a performance obligation.</w:t>
            </w:r>
          </w:p>
        </w:tc>
      </w:tr>
    </w:tbl>
    <w:p w14:paraId="78DA6DAE" w14:textId="78A08907" w:rsidR="008E5DE4" w:rsidRDefault="008E5DE4">
      <w:pPr>
        <w:jc w:val="both"/>
        <w:rPr>
          <w:i/>
          <w:color w:val="FF0000"/>
          <w:sz w:val="20"/>
          <w:szCs w:val="20"/>
        </w:rPr>
      </w:pPr>
    </w:p>
    <w:p w14:paraId="6EAEB52D" w14:textId="77777777" w:rsidR="008E5DE4" w:rsidRDefault="008E5DE4">
      <w:pPr>
        <w:jc w:val="both"/>
      </w:pPr>
    </w:p>
    <w:p w14:paraId="3F69810D"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35</w:t>
      </w:r>
      <w:r>
        <w:rPr>
          <w:b/>
          <w:color w:val="000000"/>
          <w:sz w:val="20"/>
          <w:szCs w:val="20"/>
        </w:rPr>
        <w:tab/>
        <w:t>Revenue from Contracts with Customers (Continued)</w:t>
      </w:r>
    </w:p>
    <w:p w14:paraId="4D889362" w14:textId="77777777" w:rsidR="008E5DE4" w:rsidRDefault="00780368">
      <w:pPr>
        <w:spacing w:after="200"/>
        <w:jc w:val="both"/>
        <w:rPr>
          <w:sz w:val="20"/>
          <w:szCs w:val="20"/>
        </w:rPr>
      </w:pPr>
      <w:r>
        <w:rPr>
          <w:sz w:val="20"/>
          <w:szCs w:val="20"/>
        </w:rPr>
        <w:t>The Group derives revenue from the transfer of goods and services over time and at a point in time in the following major product lines and geographical regions:</w:t>
      </w:r>
    </w:p>
    <w:tbl>
      <w:tblPr>
        <w:tblStyle w:val="affffffffff6"/>
        <w:tblW w:w="9299" w:type="dxa"/>
        <w:tblLayout w:type="fixed"/>
        <w:tblLook w:val="0400" w:firstRow="0" w:lastRow="0" w:firstColumn="0" w:lastColumn="0" w:noHBand="0" w:noVBand="1"/>
      </w:tblPr>
      <w:tblGrid>
        <w:gridCol w:w="5670"/>
        <w:gridCol w:w="567"/>
        <w:gridCol w:w="1531"/>
        <w:gridCol w:w="1531"/>
      </w:tblGrid>
      <w:tr w:rsidR="008E5DE4" w14:paraId="1B095303" w14:textId="77777777">
        <w:trPr>
          <w:cantSplit/>
        </w:trPr>
        <w:tc>
          <w:tcPr>
            <w:tcW w:w="5670" w:type="dxa"/>
            <w:tcBorders>
              <w:bottom w:val="single" w:sz="4" w:space="0" w:color="000000"/>
            </w:tcBorders>
            <w:vAlign w:val="bottom"/>
          </w:tcPr>
          <w:p w14:paraId="0B8AF145"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567" w:type="dxa"/>
            <w:tcBorders>
              <w:bottom w:val="single" w:sz="4" w:space="0" w:color="000000"/>
            </w:tcBorders>
            <w:vAlign w:val="bottom"/>
          </w:tcPr>
          <w:p w14:paraId="6C568F4C" w14:textId="77777777" w:rsidR="008E5DE4" w:rsidRDefault="00780368">
            <w:pPr>
              <w:widowControl w:val="0"/>
              <w:ind w:left="-57" w:right="-57"/>
              <w:jc w:val="center"/>
              <w:rPr>
                <w:b/>
              </w:rPr>
            </w:pPr>
            <w:r>
              <w:rPr>
                <w:b/>
              </w:rPr>
              <w:t>Note</w:t>
            </w:r>
          </w:p>
        </w:tc>
        <w:tc>
          <w:tcPr>
            <w:tcW w:w="1531" w:type="dxa"/>
            <w:tcBorders>
              <w:bottom w:val="single" w:sz="4" w:space="0" w:color="000000"/>
            </w:tcBorders>
          </w:tcPr>
          <w:p w14:paraId="4FC44F65" w14:textId="69AE3422" w:rsidR="008E5DE4" w:rsidRDefault="008614F8">
            <w:pPr>
              <w:widowControl w:val="0"/>
              <w:jc w:val="right"/>
              <w:rPr>
                <w:b/>
              </w:rPr>
            </w:pPr>
            <w:r>
              <w:rPr>
                <w:b/>
              </w:rPr>
              <w:t>2025</w:t>
            </w:r>
          </w:p>
        </w:tc>
        <w:tc>
          <w:tcPr>
            <w:tcW w:w="1531" w:type="dxa"/>
            <w:tcBorders>
              <w:bottom w:val="single" w:sz="4" w:space="0" w:color="000000"/>
            </w:tcBorders>
            <w:vAlign w:val="bottom"/>
          </w:tcPr>
          <w:p w14:paraId="3926A80A" w14:textId="7E4AF4FA" w:rsidR="008E5DE4" w:rsidRDefault="00E06A92">
            <w:pPr>
              <w:widowControl w:val="0"/>
              <w:jc w:val="right"/>
              <w:rPr>
                <w:b/>
              </w:rPr>
            </w:pPr>
            <w:r>
              <w:rPr>
                <w:b/>
              </w:rPr>
              <w:t>2024</w:t>
            </w:r>
          </w:p>
        </w:tc>
      </w:tr>
      <w:tr w:rsidR="008E5DE4" w14:paraId="2CC87CF4" w14:textId="77777777">
        <w:trPr>
          <w:cantSplit/>
        </w:trPr>
        <w:tc>
          <w:tcPr>
            <w:tcW w:w="5670" w:type="dxa"/>
            <w:tcBorders>
              <w:top w:val="single" w:sz="4" w:space="0" w:color="000000"/>
            </w:tcBorders>
            <w:vAlign w:val="bottom"/>
          </w:tcPr>
          <w:p w14:paraId="4FC26997" w14:textId="77777777" w:rsidR="008E5DE4" w:rsidRDefault="00780368">
            <w:pPr>
              <w:widowControl w:val="0"/>
              <w:ind w:left="113" w:right="-57" w:hanging="113"/>
            </w:pPr>
            <w:r>
              <w:rPr>
                <w:b/>
              </w:rPr>
              <w:t> </w:t>
            </w:r>
          </w:p>
        </w:tc>
        <w:tc>
          <w:tcPr>
            <w:tcW w:w="567" w:type="dxa"/>
            <w:tcBorders>
              <w:top w:val="single" w:sz="4" w:space="0" w:color="000000"/>
            </w:tcBorders>
            <w:vAlign w:val="bottom"/>
          </w:tcPr>
          <w:p w14:paraId="705994FA" w14:textId="77777777" w:rsidR="008E5DE4" w:rsidRDefault="008E5DE4">
            <w:pPr>
              <w:widowControl w:val="0"/>
              <w:ind w:left="-57" w:right="-57"/>
              <w:jc w:val="center"/>
            </w:pPr>
          </w:p>
        </w:tc>
        <w:tc>
          <w:tcPr>
            <w:tcW w:w="1531" w:type="dxa"/>
            <w:tcBorders>
              <w:top w:val="single" w:sz="4" w:space="0" w:color="000000"/>
            </w:tcBorders>
          </w:tcPr>
          <w:p w14:paraId="37B533D5" w14:textId="77777777" w:rsidR="008E5DE4" w:rsidRDefault="008E5DE4">
            <w:pPr>
              <w:widowControl w:val="0"/>
              <w:jc w:val="right"/>
            </w:pPr>
          </w:p>
        </w:tc>
        <w:tc>
          <w:tcPr>
            <w:tcW w:w="1531" w:type="dxa"/>
            <w:tcBorders>
              <w:top w:val="single" w:sz="4" w:space="0" w:color="000000"/>
            </w:tcBorders>
            <w:vAlign w:val="bottom"/>
          </w:tcPr>
          <w:p w14:paraId="3D923358" w14:textId="77777777" w:rsidR="008E5DE4" w:rsidRDefault="008E5DE4">
            <w:pPr>
              <w:widowControl w:val="0"/>
              <w:jc w:val="right"/>
            </w:pPr>
          </w:p>
        </w:tc>
      </w:tr>
      <w:tr w:rsidR="008E5DE4" w14:paraId="2738D1F0" w14:textId="77777777">
        <w:trPr>
          <w:cantSplit/>
        </w:trPr>
        <w:tc>
          <w:tcPr>
            <w:tcW w:w="5670" w:type="dxa"/>
            <w:vAlign w:val="bottom"/>
          </w:tcPr>
          <w:p w14:paraId="226E6925" w14:textId="77777777" w:rsidR="008E5DE4" w:rsidRDefault="00780368">
            <w:pPr>
              <w:widowControl w:val="0"/>
              <w:ind w:right="-57"/>
            </w:pPr>
            <w:r>
              <w:t>[To describe material performance obligations as they are identified]:</w:t>
            </w:r>
          </w:p>
        </w:tc>
        <w:tc>
          <w:tcPr>
            <w:tcW w:w="567" w:type="dxa"/>
            <w:vAlign w:val="bottom"/>
          </w:tcPr>
          <w:p w14:paraId="00C47561" w14:textId="77777777" w:rsidR="008E5DE4" w:rsidRDefault="008E5DE4">
            <w:pPr>
              <w:widowControl w:val="0"/>
              <w:ind w:left="-57" w:right="-57"/>
              <w:jc w:val="center"/>
            </w:pPr>
          </w:p>
        </w:tc>
        <w:tc>
          <w:tcPr>
            <w:tcW w:w="1531" w:type="dxa"/>
          </w:tcPr>
          <w:p w14:paraId="0BD7C1EA" w14:textId="77777777" w:rsidR="008E5DE4" w:rsidRDefault="008E5DE4">
            <w:pPr>
              <w:widowControl w:val="0"/>
              <w:jc w:val="right"/>
            </w:pPr>
          </w:p>
        </w:tc>
        <w:tc>
          <w:tcPr>
            <w:tcW w:w="1531" w:type="dxa"/>
            <w:vAlign w:val="bottom"/>
          </w:tcPr>
          <w:p w14:paraId="6F36DFE9" w14:textId="77777777" w:rsidR="008E5DE4" w:rsidRDefault="008E5DE4">
            <w:pPr>
              <w:widowControl w:val="0"/>
              <w:jc w:val="right"/>
            </w:pPr>
          </w:p>
        </w:tc>
      </w:tr>
      <w:tr w:rsidR="008E5DE4" w14:paraId="6F5E6B4D" w14:textId="77777777">
        <w:trPr>
          <w:cantSplit/>
        </w:trPr>
        <w:tc>
          <w:tcPr>
            <w:tcW w:w="5670" w:type="dxa"/>
            <w:vAlign w:val="bottom"/>
          </w:tcPr>
          <w:p w14:paraId="49DAAFCA" w14:textId="77777777" w:rsidR="008E5DE4" w:rsidRPr="00FA3B9A" w:rsidRDefault="00780368">
            <w:pPr>
              <w:widowControl w:val="0"/>
              <w:ind w:left="113" w:right="-57" w:hanging="113"/>
              <w:rPr>
                <w:color w:val="0000FF"/>
              </w:rPr>
            </w:pPr>
            <w:r w:rsidRPr="00FA3B9A">
              <w:rPr>
                <w:color w:val="0000FF"/>
              </w:rPr>
              <w:t>[ ]</w:t>
            </w:r>
          </w:p>
        </w:tc>
        <w:tc>
          <w:tcPr>
            <w:tcW w:w="567" w:type="dxa"/>
            <w:vAlign w:val="bottom"/>
          </w:tcPr>
          <w:p w14:paraId="6596BCC9" w14:textId="77777777" w:rsidR="008E5DE4" w:rsidRDefault="008E5DE4">
            <w:pPr>
              <w:widowControl w:val="0"/>
              <w:ind w:left="-57" w:right="-57"/>
              <w:jc w:val="center"/>
            </w:pPr>
          </w:p>
        </w:tc>
        <w:tc>
          <w:tcPr>
            <w:tcW w:w="1531" w:type="dxa"/>
          </w:tcPr>
          <w:p w14:paraId="62D55424" w14:textId="77777777" w:rsidR="008E5DE4" w:rsidRDefault="008E5DE4">
            <w:pPr>
              <w:widowControl w:val="0"/>
              <w:jc w:val="right"/>
            </w:pPr>
          </w:p>
        </w:tc>
        <w:tc>
          <w:tcPr>
            <w:tcW w:w="1531" w:type="dxa"/>
            <w:vAlign w:val="bottom"/>
          </w:tcPr>
          <w:p w14:paraId="2D09E336" w14:textId="77777777" w:rsidR="008E5DE4" w:rsidRDefault="008E5DE4">
            <w:pPr>
              <w:widowControl w:val="0"/>
              <w:jc w:val="right"/>
            </w:pPr>
          </w:p>
        </w:tc>
      </w:tr>
      <w:tr w:rsidR="008E5DE4" w14:paraId="402C83C4" w14:textId="77777777">
        <w:trPr>
          <w:cantSplit/>
        </w:trPr>
        <w:tc>
          <w:tcPr>
            <w:tcW w:w="5670" w:type="dxa"/>
            <w:vAlign w:val="bottom"/>
          </w:tcPr>
          <w:p w14:paraId="14475D44" w14:textId="77777777" w:rsidR="008E5DE4" w:rsidRPr="00FA3B9A" w:rsidRDefault="00780368">
            <w:pPr>
              <w:widowControl w:val="0"/>
              <w:ind w:left="113" w:right="-57" w:hanging="113"/>
              <w:rPr>
                <w:color w:val="0000FF"/>
              </w:rPr>
            </w:pPr>
            <w:r w:rsidRPr="00FA3B9A">
              <w:rPr>
                <w:color w:val="0000FF"/>
              </w:rPr>
              <w:t>[ ]</w:t>
            </w:r>
          </w:p>
        </w:tc>
        <w:tc>
          <w:tcPr>
            <w:tcW w:w="567" w:type="dxa"/>
            <w:vAlign w:val="bottom"/>
          </w:tcPr>
          <w:p w14:paraId="10D1A996" w14:textId="77777777" w:rsidR="008E5DE4" w:rsidRDefault="008E5DE4">
            <w:pPr>
              <w:widowControl w:val="0"/>
              <w:ind w:left="-57" w:right="-57"/>
              <w:jc w:val="center"/>
            </w:pPr>
          </w:p>
        </w:tc>
        <w:tc>
          <w:tcPr>
            <w:tcW w:w="1531" w:type="dxa"/>
          </w:tcPr>
          <w:p w14:paraId="56639597" w14:textId="77777777" w:rsidR="008E5DE4" w:rsidRDefault="008E5DE4">
            <w:pPr>
              <w:widowControl w:val="0"/>
              <w:jc w:val="right"/>
            </w:pPr>
          </w:p>
        </w:tc>
        <w:tc>
          <w:tcPr>
            <w:tcW w:w="1531" w:type="dxa"/>
            <w:vAlign w:val="bottom"/>
          </w:tcPr>
          <w:p w14:paraId="456EA13D" w14:textId="77777777" w:rsidR="008E5DE4" w:rsidRDefault="008E5DE4">
            <w:pPr>
              <w:widowControl w:val="0"/>
              <w:jc w:val="right"/>
            </w:pPr>
          </w:p>
        </w:tc>
      </w:tr>
      <w:tr w:rsidR="008E5DE4" w14:paraId="219A680F" w14:textId="77777777">
        <w:trPr>
          <w:cantSplit/>
        </w:trPr>
        <w:tc>
          <w:tcPr>
            <w:tcW w:w="5670" w:type="dxa"/>
            <w:vAlign w:val="bottom"/>
          </w:tcPr>
          <w:p w14:paraId="06C7D18B" w14:textId="77777777" w:rsidR="008E5DE4" w:rsidRDefault="00780368">
            <w:pPr>
              <w:widowControl w:val="0"/>
              <w:ind w:left="113" w:right="-57" w:hanging="113"/>
            </w:pPr>
            <w:r>
              <w:t>Other</w:t>
            </w:r>
          </w:p>
        </w:tc>
        <w:tc>
          <w:tcPr>
            <w:tcW w:w="567" w:type="dxa"/>
            <w:vAlign w:val="bottom"/>
          </w:tcPr>
          <w:p w14:paraId="3ABE8515" w14:textId="77777777" w:rsidR="008E5DE4" w:rsidRDefault="008E5DE4">
            <w:pPr>
              <w:widowControl w:val="0"/>
              <w:ind w:left="-57" w:right="-57"/>
              <w:jc w:val="center"/>
            </w:pPr>
          </w:p>
        </w:tc>
        <w:tc>
          <w:tcPr>
            <w:tcW w:w="1531" w:type="dxa"/>
          </w:tcPr>
          <w:p w14:paraId="3A044A53" w14:textId="77777777" w:rsidR="008E5DE4" w:rsidRDefault="008E5DE4">
            <w:pPr>
              <w:widowControl w:val="0"/>
              <w:jc w:val="right"/>
            </w:pPr>
          </w:p>
        </w:tc>
        <w:tc>
          <w:tcPr>
            <w:tcW w:w="1531" w:type="dxa"/>
            <w:vAlign w:val="bottom"/>
          </w:tcPr>
          <w:p w14:paraId="51A427DF" w14:textId="77777777" w:rsidR="008E5DE4" w:rsidRDefault="008E5DE4">
            <w:pPr>
              <w:widowControl w:val="0"/>
              <w:jc w:val="right"/>
            </w:pPr>
          </w:p>
        </w:tc>
      </w:tr>
      <w:tr w:rsidR="008E5DE4" w14:paraId="5A1A6B8E" w14:textId="77777777">
        <w:trPr>
          <w:cantSplit/>
        </w:trPr>
        <w:tc>
          <w:tcPr>
            <w:tcW w:w="5670" w:type="dxa"/>
            <w:tcBorders>
              <w:bottom w:val="single" w:sz="4" w:space="0" w:color="000000"/>
            </w:tcBorders>
            <w:vAlign w:val="bottom"/>
          </w:tcPr>
          <w:p w14:paraId="3B96DD51" w14:textId="77777777" w:rsidR="008E5DE4" w:rsidRDefault="008E5DE4">
            <w:pPr>
              <w:widowControl w:val="0"/>
              <w:ind w:left="113" w:right="-57" w:hanging="113"/>
            </w:pPr>
          </w:p>
        </w:tc>
        <w:tc>
          <w:tcPr>
            <w:tcW w:w="567" w:type="dxa"/>
            <w:tcBorders>
              <w:bottom w:val="single" w:sz="4" w:space="0" w:color="000000"/>
            </w:tcBorders>
            <w:vAlign w:val="bottom"/>
          </w:tcPr>
          <w:p w14:paraId="25B54C69" w14:textId="77777777" w:rsidR="008E5DE4" w:rsidRDefault="008E5DE4">
            <w:pPr>
              <w:widowControl w:val="0"/>
              <w:ind w:left="-57" w:right="-57"/>
              <w:jc w:val="center"/>
            </w:pPr>
          </w:p>
        </w:tc>
        <w:tc>
          <w:tcPr>
            <w:tcW w:w="1531" w:type="dxa"/>
            <w:tcBorders>
              <w:bottom w:val="single" w:sz="4" w:space="0" w:color="000000"/>
            </w:tcBorders>
          </w:tcPr>
          <w:p w14:paraId="374125C5" w14:textId="77777777" w:rsidR="008E5DE4" w:rsidRDefault="008E5DE4">
            <w:pPr>
              <w:widowControl w:val="0"/>
              <w:jc w:val="right"/>
            </w:pPr>
          </w:p>
        </w:tc>
        <w:tc>
          <w:tcPr>
            <w:tcW w:w="1531" w:type="dxa"/>
            <w:tcBorders>
              <w:bottom w:val="single" w:sz="4" w:space="0" w:color="000000"/>
            </w:tcBorders>
            <w:vAlign w:val="bottom"/>
          </w:tcPr>
          <w:p w14:paraId="5952D74C" w14:textId="77777777" w:rsidR="008E5DE4" w:rsidRDefault="008E5DE4">
            <w:pPr>
              <w:widowControl w:val="0"/>
              <w:jc w:val="right"/>
            </w:pPr>
          </w:p>
        </w:tc>
      </w:tr>
      <w:tr w:rsidR="008E5DE4" w14:paraId="0FBAF09D" w14:textId="77777777">
        <w:trPr>
          <w:cantSplit/>
          <w:trHeight w:val="110"/>
        </w:trPr>
        <w:tc>
          <w:tcPr>
            <w:tcW w:w="5670" w:type="dxa"/>
            <w:vAlign w:val="bottom"/>
          </w:tcPr>
          <w:p w14:paraId="429D0479" w14:textId="77777777" w:rsidR="008E5DE4" w:rsidRDefault="008E5DE4">
            <w:pPr>
              <w:widowControl w:val="0"/>
              <w:ind w:left="113" w:right="-57" w:hanging="113"/>
              <w:rPr>
                <w:b/>
              </w:rPr>
            </w:pPr>
          </w:p>
        </w:tc>
        <w:tc>
          <w:tcPr>
            <w:tcW w:w="567" w:type="dxa"/>
            <w:vAlign w:val="bottom"/>
          </w:tcPr>
          <w:p w14:paraId="1CC1604A" w14:textId="77777777" w:rsidR="008E5DE4" w:rsidRDefault="008E5DE4">
            <w:pPr>
              <w:widowControl w:val="0"/>
              <w:ind w:left="-57" w:right="-57"/>
              <w:jc w:val="center"/>
              <w:rPr>
                <w:b/>
              </w:rPr>
            </w:pPr>
          </w:p>
        </w:tc>
        <w:tc>
          <w:tcPr>
            <w:tcW w:w="1531" w:type="dxa"/>
          </w:tcPr>
          <w:p w14:paraId="4197B18D" w14:textId="77777777" w:rsidR="008E5DE4" w:rsidRDefault="008E5DE4">
            <w:pPr>
              <w:widowControl w:val="0"/>
              <w:jc w:val="right"/>
              <w:rPr>
                <w:b/>
              </w:rPr>
            </w:pPr>
          </w:p>
        </w:tc>
        <w:tc>
          <w:tcPr>
            <w:tcW w:w="1531" w:type="dxa"/>
            <w:vAlign w:val="bottom"/>
          </w:tcPr>
          <w:p w14:paraId="738350AD" w14:textId="77777777" w:rsidR="008E5DE4" w:rsidRDefault="008E5DE4">
            <w:pPr>
              <w:widowControl w:val="0"/>
              <w:jc w:val="right"/>
              <w:rPr>
                <w:b/>
              </w:rPr>
            </w:pPr>
          </w:p>
        </w:tc>
      </w:tr>
      <w:tr w:rsidR="008E5DE4" w14:paraId="1F753AF1" w14:textId="77777777">
        <w:trPr>
          <w:cantSplit/>
        </w:trPr>
        <w:tc>
          <w:tcPr>
            <w:tcW w:w="5670" w:type="dxa"/>
            <w:vAlign w:val="bottom"/>
          </w:tcPr>
          <w:p w14:paraId="11AD82F1" w14:textId="77777777" w:rsidR="008E5DE4" w:rsidRDefault="00780368">
            <w:pPr>
              <w:widowControl w:val="0"/>
              <w:ind w:left="113" w:right="-57" w:hanging="113"/>
              <w:rPr>
                <w:b/>
              </w:rPr>
            </w:pPr>
            <w:r>
              <w:rPr>
                <w:b/>
              </w:rPr>
              <w:t>Total revenue from contracts with customers</w:t>
            </w:r>
          </w:p>
        </w:tc>
        <w:tc>
          <w:tcPr>
            <w:tcW w:w="567" w:type="dxa"/>
            <w:vAlign w:val="bottom"/>
          </w:tcPr>
          <w:p w14:paraId="48850B1A" w14:textId="77777777" w:rsidR="008E5DE4" w:rsidRDefault="008E5DE4">
            <w:pPr>
              <w:widowControl w:val="0"/>
              <w:ind w:left="-57" w:right="-57"/>
              <w:jc w:val="center"/>
              <w:rPr>
                <w:b/>
              </w:rPr>
            </w:pPr>
          </w:p>
        </w:tc>
        <w:tc>
          <w:tcPr>
            <w:tcW w:w="1531" w:type="dxa"/>
          </w:tcPr>
          <w:p w14:paraId="3307BD16" w14:textId="77777777" w:rsidR="008E5DE4" w:rsidRDefault="008E5DE4">
            <w:pPr>
              <w:widowControl w:val="0"/>
              <w:jc w:val="right"/>
              <w:rPr>
                <w:b/>
              </w:rPr>
            </w:pPr>
          </w:p>
        </w:tc>
        <w:tc>
          <w:tcPr>
            <w:tcW w:w="1531" w:type="dxa"/>
            <w:vAlign w:val="bottom"/>
          </w:tcPr>
          <w:p w14:paraId="4AEDCA43" w14:textId="77777777" w:rsidR="008E5DE4" w:rsidRDefault="008E5DE4">
            <w:pPr>
              <w:widowControl w:val="0"/>
              <w:jc w:val="right"/>
              <w:rPr>
                <w:b/>
              </w:rPr>
            </w:pPr>
          </w:p>
        </w:tc>
      </w:tr>
      <w:tr w:rsidR="008E5DE4" w14:paraId="0016EB85" w14:textId="77777777">
        <w:trPr>
          <w:cantSplit/>
        </w:trPr>
        <w:tc>
          <w:tcPr>
            <w:tcW w:w="5670" w:type="dxa"/>
            <w:tcBorders>
              <w:bottom w:val="single" w:sz="12" w:space="0" w:color="000000"/>
            </w:tcBorders>
            <w:vAlign w:val="bottom"/>
          </w:tcPr>
          <w:p w14:paraId="6F62F7C7" w14:textId="77777777" w:rsidR="008E5DE4" w:rsidRDefault="00780368">
            <w:pPr>
              <w:widowControl w:val="0"/>
              <w:ind w:left="113" w:right="-57" w:hanging="113"/>
              <w:rPr>
                <w:b/>
              </w:rPr>
            </w:pPr>
            <w:r>
              <w:rPr>
                <w:b/>
              </w:rPr>
              <w:t> </w:t>
            </w:r>
          </w:p>
        </w:tc>
        <w:tc>
          <w:tcPr>
            <w:tcW w:w="567" w:type="dxa"/>
            <w:tcBorders>
              <w:bottom w:val="single" w:sz="12" w:space="0" w:color="000000"/>
            </w:tcBorders>
            <w:vAlign w:val="bottom"/>
          </w:tcPr>
          <w:p w14:paraId="42C89164" w14:textId="77777777" w:rsidR="008E5DE4" w:rsidRDefault="008E5DE4">
            <w:pPr>
              <w:widowControl w:val="0"/>
              <w:ind w:left="-57" w:right="-57"/>
              <w:jc w:val="center"/>
              <w:rPr>
                <w:b/>
              </w:rPr>
            </w:pPr>
          </w:p>
        </w:tc>
        <w:tc>
          <w:tcPr>
            <w:tcW w:w="1531" w:type="dxa"/>
            <w:tcBorders>
              <w:bottom w:val="single" w:sz="12" w:space="0" w:color="000000"/>
            </w:tcBorders>
          </w:tcPr>
          <w:p w14:paraId="237E8C29" w14:textId="77777777" w:rsidR="008E5DE4" w:rsidRDefault="008E5DE4">
            <w:pPr>
              <w:widowControl w:val="0"/>
              <w:jc w:val="right"/>
              <w:rPr>
                <w:b/>
              </w:rPr>
            </w:pPr>
          </w:p>
        </w:tc>
        <w:tc>
          <w:tcPr>
            <w:tcW w:w="1531" w:type="dxa"/>
            <w:tcBorders>
              <w:bottom w:val="single" w:sz="12" w:space="0" w:color="000000"/>
            </w:tcBorders>
            <w:vAlign w:val="bottom"/>
          </w:tcPr>
          <w:p w14:paraId="48D3CAC6" w14:textId="77777777" w:rsidR="008E5DE4" w:rsidRDefault="008E5DE4">
            <w:pPr>
              <w:widowControl w:val="0"/>
              <w:jc w:val="right"/>
              <w:rPr>
                <w:b/>
              </w:rPr>
            </w:pPr>
          </w:p>
        </w:tc>
      </w:tr>
    </w:tbl>
    <w:p w14:paraId="0A55FBC7" w14:textId="77777777" w:rsidR="008E5DE4" w:rsidRDefault="00780368">
      <w:pPr>
        <w:pBdr>
          <w:top w:val="nil"/>
          <w:left w:val="nil"/>
          <w:bottom w:val="nil"/>
          <w:right w:val="nil"/>
          <w:between w:val="nil"/>
        </w:pBdr>
        <w:spacing w:before="200" w:after="200"/>
        <w:jc w:val="both"/>
        <w:rPr>
          <w:color w:val="000000"/>
          <w:sz w:val="20"/>
          <w:szCs w:val="20"/>
        </w:rPr>
      </w:pPr>
      <w:r>
        <w:rPr>
          <w:color w:val="000000"/>
          <w:sz w:val="20"/>
          <w:szCs w:val="20"/>
        </w:rPr>
        <w:t>Timing of revenue recognition (for each revenue stream) is as follows:</w:t>
      </w:r>
    </w:p>
    <w:tbl>
      <w:tblPr>
        <w:tblStyle w:val="affffffffff7"/>
        <w:tblW w:w="9299" w:type="dxa"/>
        <w:tblLayout w:type="fixed"/>
        <w:tblLook w:val="0400" w:firstRow="0" w:lastRow="0" w:firstColumn="0" w:lastColumn="0" w:noHBand="0" w:noVBand="1"/>
      </w:tblPr>
      <w:tblGrid>
        <w:gridCol w:w="5670"/>
        <w:gridCol w:w="567"/>
        <w:gridCol w:w="1531"/>
        <w:gridCol w:w="1531"/>
      </w:tblGrid>
      <w:tr w:rsidR="008E5DE4" w14:paraId="1748C0B1" w14:textId="77777777">
        <w:trPr>
          <w:cantSplit/>
        </w:trPr>
        <w:tc>
          <w:tcPr>
            <w:tcW w:w="5670" w:type="dxa"/>
            <w:tcBorders>
              <w:bottom w:val="single" w:sz="4" w:space="0" w:color="000000"/>
            </w:tcBorders>
            <w:vAlign w:val="bottom"/>
          </w:tcPr>
          <w:p w14:paraId="1FA8A616" w14:textId="77777777" w:rsidR="008E5DE4" w:rsidRDefault="00780368">
            <w:pPr>
              <w:widowControl w:val="0"/>
              <w:pBdr>
                <w:top w:val="nil"/>
                <w:left w:val="nil"/>
                <w:bottom w:val="nil"/>
                <w:right w:val="nil"/>
                <w:between w:val="nil"/>
              </w:pBdr>
              <w:rPr>
                <w:i/>
                <w:color w:val="000000"/>
              </w:rPr>
            </w:pPr>
            <w:r>
              <w:rPr>
                <w:i/>
                <w:color w:val="000000"/>
              </w:rPr>
              <w:t>In thousands of EUR</w:t>
            </w:r>
          </w:p>
        </w:tc>
        <w:tc>
          <w:tcPr>
            <w:tcW w:w="567" w:type="dxa"/>
            <w:tcBorders>
              <w:bottom w:val="single" w:sz="4" w:space="0" w:color="000000"/>
            </w:tcBorders>
            <w:vAlign w:val="bottom"/>
          </w:tcPr>
          <w:p w14:paraId="23F8623E" w14:textId="77777777" w:rsidR="008E5DE4" w:rsidRDefault="00780368">
            <w:pPr>
              <w:widowControl w:val="0"/>
              <w:ind w:left="-57" w:right="-57"/>
              <w:jc w:val="center"/>
              <w:rPr>
                <w:b/>
              </w:rPr>
            </w:pPr>
            <w:r>
              <w:rPr>
                <w:b/>
              </w:rPr>
              <w:t>Note</w:t>
            </w:r>
          </w:p>
        </w:tc>
        <w:tc>
          <w:tcPr>
            <w:tcW w:w="1531" w:type="dxa"/>
            <w:tcBorders>
              <w:bottom w:val="single" w:sz="4" w:space="0" w:color="000000"/>
            </w:tcBorders>
          </w:tcPr>
          <w:p w14:paraId="0ADDBA65" w14:textId="02E57F8F" w:rsidR="008E5DE4" w:rsidRDefault="008614F8">
            <w:pPr>
              <w:widowControl w:val="0"/>
              <w:jc w:val="right"/>
              <w:rPr>
                <w:b/>
              </w:rPr>
            </w:pPr>
            <w:r>
              <w:rPr>
                <w:b/>
              </w:rPr>
              <w:t>2025</w:t>
            </w:r>
          </w:p>
        </w:tc>
        <w:tc>
          <w:tcPr>
            <w:tcW w:w="1531" w:type="dxa"/>
            <w:tcBorders>
              <w:bottom w:val="single" w:sz="4" w:space="0" w:color="000000"/>
            </w:tcBorders>
            <w:vAlign w:val="bottom"/>
          </w:tcPr>
          <w:p w14:paraId="77446E4F" w14:textId="7A859BFD" w:rsidR="008E5DE4" w:rsidRDefault="00E06A92">
            <w:pPr>
              <w:widowControl w:val="0"/>
              <w:jc w:val="right"/>
              <w:rPr>
                <w:b/>
              </w:rPr>
            </w:pPr>
            <w:r>
              <w:rPr>
                <w:b/>
              </w:rPr>
              <w:t>2024</w:t>
            </w:r>
          </w:p>
        </w:tc>
      </w:tr>
      <w:tr w:rsidR="008E5DE4" w14:paraId="3520B11C" w14:textId="77777777">
        <w:trPr>
          <w:cantSplit/>
        </w:trPr>
        <w:tc>
          <w:tcPr>
            <w:tcW w:w="5670" w:type="dxa"/>
            <w:tcBorders>
              <w:top w:val="single" w:sz="4" w:space="0" w:color="000000"/>
            </w:tcBorders>
            <w:vAlign w:val="bottom"/>
          </w:tcPr>
          <w:p w14:paraId="5D1500AB" w14:textId="77777777" w:rsidR="008E5DE4" w:rsidRDefault="00780368">
            <w:pPr>
              <w:widowControl w:val="0"/>
            </w:pPr>
            <w:r>
              <w:rPr>
                <w:b/>
              </w:rPr>
              <w:t> </w:t>
            </w:r>
          </w:p>
        </w:tc>
        <w:tc>
          <w:tcPr>
            <w:tcW w:w="567" w:type="dxa"/>
            <w:tcBorders>
              <w:top w:val="single" w:sz="4" w:space="0" w:color="000000"/>
            </w:tcBorders>
            <w:vAlign w:val="bottom"/>
          </w:tcPr>
          <w:p w14:paraId="09C78D12" w14:textId="77777777" w:rsidR="008E5DE4" w:rsidRDefault="008E5DE4">
            <w:pPr>
              <w:widowControl w:val="0"/>
              <w:ind w:left="-57" w:right="-57"/>
              <w:jc w:val="center"/>
            </w:pPr>
          </w:p>
        </w:tc>
        <w:tc>
          <w:tcPr>
            <w:tcW w:w="1531" w:type="dxa"/>
            <w:tcBorders>
              <w:top w:val="single" w:sz="4" w:space="0" w:color="000000"/>
            </w:tcBorders>
          </w:tcPr>
          <w:p w14:paraId="477BA310" w14:textId="77777777" w:rsidR="008E5DE4" w:rsidRDefault="008E5DE4">
            <w:pPr>
              <w:widowControl w:val="0"/>
              <w:jc w:val="right"/>
            </w:pPr>
          </w:p>
        </w:tc>
        <w:tc>
          <w:tcPr>
            <w:tcW w:w="1531" w:type="dxa"/>
            <w:tcBorders>
              <w:top w:val="single" w:sz="4" w:space="0" w:color="000000"/>
            </w:tcBorders>
            <w:vAlign w:val="bottom"/>
          </w:tcPr>
          <w:p w14:paraId="6D2B6724" w14:textId="77777777" w:rsidR="008E5DE4" w:rsidRDefault="008E5DE4">
            <w:pPr>
              <w:widowControl w:val="0"/>
              <w:jc w:val="right"/>
            </w:pPr>
          </w:p>
        </w:tc>
      </w:tr>
      <w:tr w:rsidR="008E5DE4" w14:paraId="5F15C5F3" w14:textId="77777777">
        <w:trPr>
          <w:cantSplit/>
        </w:trPr>
        <w:tc>
          <w:tcPr>
            <w:tcW w:w="5670" w:type="dxa"/>
            <w:vAlign w:val="bottom"/>
          </w:tcPr>
          <w:p w14:paraId="423761B4" w14:textId="77777777" w:rsidR="008E5DE4" w:rsidRDefault="00780368">
            <w:pPr>
              <w:widowControl w:val="0"/>
            </w:pPr>
            <w:r>
              <w:t>At a point in time</w:t>
            </w:r>
          </w:p>
        </w:tc>
        <w:tc>
          <w:tcPr>
            <w:tcW w:w="567" w:type="dxa"/>
            <w:vAlign w:val="bottom"/>
          </w:tcPr>
          <w:p w14:paraId="61AC0AC2" w14:textId="77777777" w:rsidR="008E5DE4" w:rsidRDefault="008E5DE4">
            <w:pPr>
              <w:widowControl w:val="0"/>
              <w:ind w:left="-57" w:right="-57"/>
              <w:jc w:val="center"/>
            </w:pPr>
          </w:p>
        </w:tc>
        <w:tc>
          <w:tcPr>
            <w:tcW w:w="1531" w:type="dxa"/>
          </w:tcPr>
          <w:p w14:paraId="2025A28C" w14:textId="77777777" w:rsidR="008E5DE4" w:rsidRDefault="008E5DE4">
            <w:pPr>
              <w:widowControl w:val="0"/>
              <w:jc w:val="right"/>
            </w:pPr>
          </w:p>
        </w:tc>
        <w:tc>
          <w:tcPr>
            <w:tcW w:w="1531" w:type="dxa"/>
            <w:vAlign w:val="bottom"/>
          </w:tcPr>
          <w:p w14:paraId="5ED9A82E" w14:textId="77777777" w:rsidR="008E5DE4" w:rsidRDefault="008E5DE4">
            <w:pPr>
              <w:widowControl w:val="0"/>
              <w:jc w:val="right"/>
            </w:pPr>
          </w:p>
        </w:tc>
      </w:tr>
      <w:tr w:rsidR="008E5DE4" w14:paraId="5FF83A49" w14:textId="77777777">
        <w:trPr>
          <w:cantSplit/>
        </w:trPr>
        <w:tc>
          <w:tcPr>
            <w:tcW w:w="5670" w:type="dxa"/>
            <w:vAlign w:val="bottom"/>
          </w:tcPr>
          <w:p w14:paraId="6157E1ED" w14:textId="77777777" w:rsidR="008E5DE4" w:rsidRDefault="00780368">
            <w:pPr>
              <w:widowControl w:val="0"/>
            </w:pPr>
            <w:r>
              <w:t>Over time</w:t>
            </w:r>
          </w:p>
        </w:tc>
        <w:tc>
          <w:tcPr>
            <w:tcW w:w="567" w:type="dxa"/>
            <w:vAlign w:val="bottom"/>
          </w:tcPr>
          <w:p w14:paraId="03833B76" w14:textId="77777777" w:rsidR="008E5DE4" w:rsidRDefault="008E5DE4">
            <w:pPr>
              <w:widowControl w:val="0"/>
              <w:ind w:left="-57" w:right="-57"/>
              <w:jc w:val="center"/>
            </w:pPr>
          </w:p>
        </w:tc>
        <w:tc>
          <w:tcPr>
            <w:tcW w:w="1531" w:type="dxa"/>
          </w:tcPr>
          <w:p w14:paraId="5C8CC2BB" w14:textId="77777777" w:rsidR="008E5DE4" w:rsidRDefault="008E5DE4">
            <w:pPr>
              <w:widowControl w:val="0"/>
              <w:jc w:val="right"/>
            </w:pPr>
          </w:p>
        </w:tc>
        <w:tc>
          <w:tcPr>
            <w:tcW w:w="1531" w:type="dxa"/>
            <w:vAlign w:val="bottom"/>
          </w:tcPr>
          <w:p w14:paraId="1F1767DD" w14:textId="77777777" w:rsidR="008E5DE4" w:rsidRDefault="008E5DE4">
            <w:pPr>
              <w:widowControl w:val="0"/>
              <w:jc w:val="right"/>
            </w:pPr>
          </w:p>
        </w:tc>
      </w:tr>
      <w:tr w:rsidR="008E5DE4" w14:paraId="7D26C9C4" w14:textId="77777777">
        <w:trPr>
          <w:cantSplit/>
        </w:trPr>
        <w:tc>
          <w:tcPr>
            <w:tcW w:w="5670" w:type="dxa"/>
            <w:tcBorders>
              <w:bottom w:val="single" w:sz="4" w:space="0" w:color="000000"/>
            </w:tcBorders>
            <w:vAlign w:val="bottom"/>
          </w:tcPr>
          <w:p w14:paraId="50E0FAC7" w14:textId="77777777" w:rsidR="008E5DE4" w:rsidRDefault="00780368">
            <w:pPr>
              <w:widowControl w:val="0"/>
            </w:pPr>
            <w:r>
              <w:rPr>
                <w:b/>
              </w:rPr>
              <w:t> </w:t>
            </w:r>
          </w:p>
        </w:tc>
        <w:tc>
          <w:tcPr>
            <w:tcW w:w="567" w:type="dxa"/>
            <w:tcBorders>
              <w:bottom w:val="single" w:sz="4" w:space="0" w:color="000000"/>
            </w:tcBorders>
            <w:vAlign w:val="bottom"/>
          </w:tcPr>
          <w:p w14:paraId="62019296" w14:textId="77777777" w:rsidR="008E5DE4" w:rsidRDefault="008E5DE4">
            <w:pPr>
              <w:widowControl w:val="0"/>
              <w:ind w:left="-57" w:right="-57"/>
              <w:jc w:val="center"/>
            </w:pPr>
          </w:p>
        </w:tc>
        <w:tc>
          <w:tcPr>
            <w:tcW w:w="1531" w:type="dxa"/>
            <w:tcBorders>
              <w:bottom w:val="single" w:sz="4" w:space="0" w:color="000000"/>
            </w:tcBorders>
          </w:tcPr>
          <w:p w14:paraId="71616CB7" w14:textId="77777777" w:rsidR="008E5DE4" w:rsidRDefault="008E5DE4">
            <w:pPr>
              <w:widowControl w:val="0"/>
              <w:jc w:val="right"/>
            </w:pPr>
          </w:p>
        </w:tc>
        <w:tc>
          <w:tcPr>
            <w:tcW w:w="1531" w:type="dxa"/>
            <w:tcBorders>
              <w:bottom w:val="single" w:sz="4" w:space="0" w:color="000000"/>
            </w:tcBorders>
            <w:vAlign w:val="bottom"/>
          </w:tcPr>
          <w:p w14:paraId="41949BB8" w14:textId="77777777" w:rsidR="008E5DE4" w:rsidRDefault="008E5DE4">
            <w:pPr>
              <w:widowControl w:val="0"/>
              <w:jc w:val="right"/>
            </w:pPr>
          </w:p>
        </w:tc>
      </w:tr>
      <w:tr w:rsidR="008E5DE4" w14:paraId="5DAFFCD5" w14:textId="77777777">
        <w:trPr>
          <w:cantSplit/>
        </w:trPr>
        <w:tc>
          <w:tcPr>
            <w:tcW w:w="5670" w:type="dxa"/>
            <w:tcBorders>
              <w:top w:val="single" w:sz="4" w:space="0" w:color="000000"/>
            </w:tcBorders>
            <w:vAlign w:val="bottom"/>
          </w:tcPr>
          <w:p w14:paraId="541761EF" w14:textId="77777777" w:rsidR="008E5DE4" w:rsidRDefault="00780368">
            <w:pPr>
              <w:widowControl w:val="0"/>
              <w:rPr>
                <w:b/>
              </w:rPr>
            </w:pPr>
            <w:r>
              <w:rPr>
                <w:b/>
              </w:rPr>
              <w:t> </w:t>
            </w:r>
          </w:p>
        </w:tc>
        <w:tc>
          <w:tcPr>
            <w:tcW w:w="567" w:type="dxa"/>
            <w:tcBorders>
              <w:top w:val="single" w:sz="4" w:space="0" w:color="000000"/>
            </w:tcBorders>
            <w:vAlign w:val="bottom"/>
          </w:tcPr>
          <w:p w14:paraId="2014DFDF" w14:textId="77777777" w:rsidR="008E5DE4" w:rsidRDefault="008E5DE4">
            <w:pPr>
              <w:widowControl w:val="0"/>
              <w:ind w:left="-57" w:right="-57"/>
              <w:jc w:val="center"/>
              <w:rPr>
                <w:b/>
              </w:rPr>
            </w:pPr>
          </w:p>
        </w:tc>
        <w:tc>
          <w:tcPr>
            <w:tcW w:w="1531" w:type="dxa"/>
            <w:tcBorders>
              <w:top w:val="single" w:sz="4" w:space="0" w:color="000000"/>
            </w:tcBorders>
          </w:tcPr>
          <w:p w14:paraId="5BDD43E1" w14:textId="77777777" w:rsidR="008E5DE4" w:rsidRDefault="008E5DE4">
            <w:pPr>
              <w:widowControl w:val="0"/>
              <w:jc w:val="right"/>
              <w:rPr>
                <w:b/>
              </w:rPr>
            </w:pPr>
          </w:p>
        </w:tc>
        <w:tc>
          <w:tcPr>
            <w:tcW w:w="1531" w:type="dxa"/>
            <w:tcBorders>
              <w:top w:val="single" w:sz="4" w:space="0" w:color="000000"/>
            </w:tcBorders>
            <w:vAlign w:val="bottom"/>
          </w:tcPr>
          <w:p w14:paraId="5281EEB8" w14:textId="77777777" w:rsidR="008E5DE4" w:rsidRDefault="008E5DE4">
            <w:pPr>
              <w:widowControl w:val="0"/>
              <w:jc w:val="right"/>
              <w:rPr>
                <w:b/>
              </w:rPr>
            </w:pPr>
          </w:p>
        </w:tc>
      </w:tr>
      <w:tr w:rsidR="008E5DE4" w14:paraId="79048B5C" w14:textId="77777777">
        <w:trPr>
          <w:cantSplit/>
        </w:trPr>
        <w:tc>
          <w:tcPr>
            <w:tcW w:w="5670" w:type="dxa"/>
            <w:vAlign w:val="bottom"/>
          </w:tcPr>
          <w:p w14:paraId="4383581D" w14:textId="77777777" w:rsidR="008E5DE4" w:rsidRDefault="00780368">
            <w:pPr>
              <w:widowControl w:val="0"/>
              <w:rPr>
                <w:b/>
              </w:rPr>
            </w:pPr>
            <w:r>
              <w:rPr>
                <w:b/>
              </w:rPr>
              <w:t>Total revenue from contracts with customers</w:t>
            </w:r>
          </w:p>
        </w:tc>
        <w:tc>
          <w:tcPr>
            <w:tcW w:w="567" w:type="dxa"/>
            <w:vAlign w:val="bottom"/>
          </w:tcPr>
          <w:p w14:paraId="20D8171F" w14:textId="77777777" w:rsidR="008E5DE4" w:rsidRDefault="008E5DE4">
            <w:pPr>
              <w:widowControl w:val="0"/>
              <w:ind w:left="-57" w:right="-57"/>
              <w:jc w:val="center"/>
              <w:rPr>
                <w:b/>
              </w:rPr>
            </w:pPr>
          </w:p>
        </w:tc>
        <w:tc>
          <w:tcPr>
            <w:tcW w:w="1531" w:type="dxa"/>
          </w:tcPr>
          <w:p w14:paraId="1CFBB7C9" w14:textId="77777777" w:rsidR="008E5DE4" w:rsidRDefault="008E5DE4">
            <w:pPr>
              <w:widowControl w:val="0"/>
              <w:jc w:val="right"/>
              <w:rPr>
                <w:b/>
              </w:rPr>
            </w:pPr>
          </w:p>
        </w:tc>
        <w:tc>
          <w:tcPr>
            <w:tcW w:w="1531" w:type="dxa"/>
            <w:vAlign w:val="bottom"/>
          </w:tcPr>
          <w:p w14:paraId="7FC66458" w14:textId="77777777" w:rsidR="008E5DE4" w:rsidRDefault="008E5DE4">
            <w:pPr>
              <w:widowControl w:val="0"/>
              <w:jc w:val="right"/>
              <w:rPr>
                <w:b/>
              </w:rPr>
            </w:pPr>
          </w:p>
        </w:tc>
      </w:tr>
      <w:tr w:rsidR="008E5DE4" w14:paraId="69C8F754" w14:textId="77777777">
        <w:trPr>
          <w:cantSplit/>
        </w:trPr>
        <w:tc>
          <w:tcPr>
            <w:tcW w:w="5670" w:type="dxa"/>
            <w:tcBorders>
              <w:bottom w:val="single" w:sz="12" w:space="0" w:color="000000"/>
            </w:tcBorders>
            <w:vAlign w:val="bottom"/>
          </w:tcPr>
          <w:p w14:paraId="3E635151" w14:textId="77777777" w:rsidR="008E5DE4" w:rsidRDefault="00780368">
            <w:pPr>
              <w:widowControl w:val="0"/>
              <w:rPr>
                <w:b/>
              </w:rPr>
            </w:pPr>
            <w:r>
              <w:rPr>
                <w:b/>
              </w:rPr>
              <w:t> </w:t>
            </w:r>
          </w:p>
        </w:tc>
        <w:tc>
          <w:tcPr>
            <w:tcW w:w="567" w:type="dxa"/>
            <w:tcBorders>
              <w:bottom w:val="single" w:sz="12" w:space="0" w:color="000000"/>
            </w:tcBorders>
            <w:vAlign w:val="bottom"/>
          </w:tcPr>
          <w:p w14:paraId="033364E0" w14:textId="77777777" w:rsidR="008E5DE4" w:rsidRDefault="008E5DE4">
            <w:pPr>
              <w:widowControl w:val="0"/>
              <w:ind w:left="-57" w:right="-57"/>
              <w:jc w:val="center"/>
              <w:rPr>
                <w:b/>
              </w:rPr>
            </w:pPr>
          </w:p>
        </w:tc>
        <w:tc>
          <w:tcPr>
            <w:tcW w:w="1531" w:type="dxa"/>
            <w:tcBorders>
              <w:bottom w:val="single" w:sz="12" w:space="0" w:color="000000"/>
            </w:tcBorders>
          </w:tcPr>
          <w:p w14:paraId="65B18DAF" w14:textId="77777777" w:rsidR="008E5DE4" w:rsidRDefault="008E5DE4">
            <w:pPr>
              <w:widowControl w:val="0"/>
              <w:jc w:val="right"/>
              <w:rPr>
                <w:b/>
              </w:rPr>
            </w:pPr>
          </w:p>
        </w:tc>
        <w:tc>
          <w:tcPr>
            <w:tcW w:w="1531" w:type="dxa"/>
            <w:tcBorders>
              <w:bottom w:val="single" w:sz="12" w:space="0" w:color="000000"/>
            </w:tcBorders>
            <w:vAlign w:val="bottom"/>
          </w:tcPr>
          <w:p w14:paraId="67956823" w14:textId="77777777" w:rsidR="008E5DE4" w:rsidRDefault="008E5DE4">
            <w:pPr>
              <w:widowControl w:val="0"/>
              <w:jc w:val="right"/>
              <w:rPr>
                <w:b/>
              </w:rPr>
            </w:pPr>
          </w:p>
        </w:tc>
      </w:tr>
    </w:tbl>
    <w:p w14:paraId="5DC551F1" w14:textId="41B5D591" w:rsidR="008E5DE4" w:rsidRDefault="00780368">
      <w:pPr>
        <w:widowControl w:val="0"/>
        <w:pBdr>
          <w:top w:val="nil"/>
          <w:left w:val="nil"/>
          <w:bottom w:val="nil"/>
          <w:right w:val="nil"/>
          <w:between w:val="nil"/>
        </w:pBdr>
        <w:spacing w:before="200" w:after="200" w:line="228" w:lineRule="auto"/>
        <w:jc w:val="both"/>
        <w:rPr>
          <w:i/>
          <w:color w:val="FF0000"/>
          <w:sz w:val="20"/>
          <w:szCs w:val="20"/>
        </w:rPr>
      </w:pPr>
      <w:r>
        <w:rPr>
          <w:color w:val="000000"/>
          <w:sz w:val="20"/>
          <w:szCs w:val="20"/>
        </w:rPr>
        <w:t xml:space="preserve">Revenues from external customers for each group of similar products or services are as follows: </w:t>
      </w:r>
    </w:p>
    <w:tbl>
      <w:tblPr>
        <w:tblStyle w:val="affffffffff8"/>
        <w:tblW w:w="9355" w:type="dxa"/>
        <w:tblLayout w:type="fixed"/>
        <w:tblLook w:val="0400" w:firstRow="0" w:lastRow="0" w:firstColumn="0" w:lastColumn="0" w:noHBand="0" w:noVBand="1"/>
      </w:tblPr>
      <w:tblGrid>
        <w:gridCol w:w="5726"/>
        <w:gridCol w:w="567"/>
        <w:gridCol w:w="1531"/>
        <w:gridCol w:w="1531"/>
      </w:tblGrid>
      <w:tr w:rsidR="008E5DE4" w14:paraId="315164F1" w14:textId="77777777">
        <w:trPr>
          <w:cantSplit/>
        </w:trPr>
        <w:tc>
          <w:tcPr>
            <w:tcW w:w="5726" w:type="dxa"/>
            <w:tcBorders>
              <w:bottom w:val="single" w:sz="4" w:space="0" w:color="000000"/>
            </w:tcBorders>
            <w:vAlign w:val="bottom"/>
          </w:tcPr>
          <w:p w14:paraId="75E57120" w14:textId="77777777" w:rsidR="008E5DE4" w:rsidRDefault="00780368">
            <w:pPr>
              <w:widowControl w:val="0"/>
              <w:pBdr>
                <w:top w:val="nil"/>
                <w:left w:val="nil"/>
                <w:bottom w:val="nil"/>
                <w:right w:val="nil"/>
                <w:between w:val="nil"/>
              </w:pBdr>
              <w:spacing w:line="228" w:lineRule="auto"/>
              <w:rPr>
                <w:i/>
                <w:color w:val="000000"/>
              </w:rPr>
            </w:pPr>
            <w:r>
              <w:rPr>
                <w:i/>
                <w:color w:val="000000"/>
              </w:rPr>
              <w:t>In thousands of EUR</w:t>
            </w:r>
          </w:p>
        </w:tc>
        <w:tc>
          <w:tcPr>
            <w:tcW w:w="567" w:type="dxa"/>
            <w:tcBorders>
              <w:bottom w:val="single" w:sz="4" w:space="0" w:color="000000"/>
            </w:tcBorders>
            <w:vAlign w:val="bottom"/>
          </w:tcPr>
          <w:p w14:paraId="7E31CC03" w14:textId="77777777" w:rsidR="008E5DE4" w:rsidRDefault="00780368">
            <w:pPr>
              <w:widowControl w:val="0"/>
              <w:spacing w:line="228" w:lineRule="auto"/>
              <w:ind w:left="-57" w:right="-57"/>
              <w:jc w:val="center"/>
              <w:rPr>
                <w:b/>
              </w:rPr>
            </w:pPr>
            <w:r>
              <w:rPr>
                <w:b/>
              </w:rPr>
              <w:t>Note</w:t>
            </w:r>
          </w:p>
        </w:tc>
        <w:tc>
          <w:tcPr>
            <w:tcW w:w="1531" w:type="dxa"/>
            <w:tcBorders>
              <w:bottom w:val="single" w:sz="4" w:space="0" w:color="000000"/>
            </w:tcBorders>
            <w:vAlign w:val="bottom"/>
          </w:tcPr>
          <w:p w14:paraId="576C84CD" w14:textId="0548EECE" w:rsidR="008E5DE4" w:rsidRDefault="008614F8">
            <w:pPr>
              <w:widowControl w:val="0"/>
              <w:spacing w:line="228" w:lineRule="auto"/>
              <w:jc w:val="right"/>
              <w:rPr>
                <w:b/>
              </w:rPr>
            </w:pPr>
            <w:r>
              <w:rPr>
                <w:b/>
              </w:rPr>
              <w:t>2025</w:t>
            </w:r>
          </w:p>
        </w:tc>
        <w:tc>
          <w:tcPr>
            <w:tcW w:w="1531" w:type="dxa"/>
            <w:tcBorders>
              <w:bottom w:val="single" w:sz="4" w:space="0" w:color="000000"/>
            </w:tcBorders>
            <w:vAlign w:val="bottom"/>
          </w:tcPr>
          <w:p w14:paraId="792F9418" w14:textId="01EDB29A" w:rsidR="008E5DE4" w:rsidRDefault="00E06A92">
            <w:pPr>
              <w:widowControl w:val="0"/>
              <w:spacing w:line="228" w:lineRule="auto"/>
              <w:jc w:val="right"/>
              <w:rPr>
                <w:b/>
              </w:rPr>
            </w:pPr>
            <w:r>
              <w:rPr>
                <w:b/>
              </w:rPr>
              <w:t>2024</w:t>
            </w:r>
          </w:p>
        </w:tc>
      </w:tr>
      <w:tr w:rsidR="008E5DE4" w14:paraId="2A53F138" w14:textId="77777777">
        <w:trPr>
          <w:cantSplit/>
        </w:trPr>
        <w:tc>
          <w:tcPr>
            <w:tcW w:w="5726" w:type="dxa"/>
            <w:tcBorders>
              <w:top w:val="single" w:sz="4" w:space="0" w:color="000000"/>
            </w:tcBorders>
            <w:vAlign w:val="bottom"/>
          </w:tcPr>
          <w:p w14:paraId="1A9A2DB9" w14:textId="77777777" w:rsidR="008E5DE4" w:rsidRDefault="00780368">
            <w:pPr>
              <w:widowControl w:val="0"/>
              <w:spacing w:line="228" w:lineRule="auto"/>
            </w:pPr>
            <w:r>
              <w:rPr>
                <w:b/>
              </w:rPr>
              <w:t> </w:t>
            </w:r>
          </w:p>
        </w:tc>
        <w:tc>
          <w:tcPr>
            <w:tcW w:w="567" w:type="dxa"/>
            <w:tcBorders>
              <w:top w:val="single" w:sz="4" w:space="0" w:color="000000"/>
            </w:tcBorders>
            <w:vAlign w:val="bottom"/>
          </w:tcPr>
          <w:p w14:paraId="27D8C037" w14:textId="77777777" w:rsidR="008E5DE4" w:rsidRDefault="008E5DE4">
            <w:pPr>
              <w:widowControl w:val="0"/>
              <w:spacing w:line="228" w:lineRule="auto"/>
              <w:ind w:left="-57" w:right="-57"/>
              <w:jc w:val="center"/>
            </w:pPr>
          </w:p>
        </w:tc>
        <w:tc>
          <w:tcPr>
            <w:tcW w:w="1531" w:type="dxa"/>
            <w:tcBorders>
              <w:top w:val="single" w:sz="4" w:space="0" w:color="000000"/>
            </w:tcBorders>
            <w:vAlign w:val="bottom"/>
          </w:tcPr>
          <w:p w14:paraId="4152C5B0" w14:textId="77777777" w:rsidR="008E5DE4" w:rsidRDefault="008E5DE4">
            <w:pPr>
              <w:widowControl w:val="0"/>
              <w:spacing w:line="228" w:lineRule="auto"/>
              <w:jc w:val="right"/>
            </w:pPr>
          </w:p>
        </w:tc>
        <w:tc>
          <w:tcPr>
            <w:tcW w:w="1531" w:type="dxa"/>
            <w:tcBorders>
              <w:top w:val="single" w:sz="4" w:space="0" w:color="000000"/>
            </w:tcBorders>
            <w:vAlign w:val="bottom"/>
          </w:tcPr>
          <w:p w14:paraId="1F76C443" w14:textId="77777777" w:rsidR="008E5DE4" w:rsidRDefault="008E5DE4">
            <w:pPr>
              <w:widowControl w:val="0"/>
              <w:spacing w:line="228" w:lineRule="auto"/>
              <w:jc w:val="right"/>
            </w:pPr>
          </w:p>
        </w:tc>
      </w:tr>
      <w:tr w:rsidR="008E5DE4" w14:paraId="4ACAA222" w14:textId="77777777">
        <w:trPr>
          <w:cantSplit/>
        </w:trPr>
        <w:tc>
          <w:tcPr>
            <w:tcW w:w="5726" w:type="dxa"/>
            <w:vAlign w:val="bottom"/>
          </w:tcPr>
          <w:p w14:paraId="7159B1A1" w14:textId="77CEF79C" w:rsidR="008E5DE4" w:rsidRDefault="00780368">
            <w:pPr>
              <w:widowControl w:val="0"/>
              <w:spacing w:line="228" w:lineRule="auto"/>
              <w:rPr>
                <w:b/>
              </w:rPr>
            </w:pPr>
            <w:r>
              <w:rPr>
                <w:b/>
                <w:color w:val="0000FF"/>
              </w:rPr>
              <w:t>[Segment 1]</w:t>
            </w:r>
          </w:p>
        </w:tc>
        <w:tc>
          <w:tcPr>
            <w:tcW w:w="567" w:type="dxa"/>
            <w:vAlign w:val="bottom"/>
          </w:tcPr>
          <w:p w14:paraId="190067D9" w14:textId="77777777" w:rsidR="008E5DE4" w:rsidRDefault="008E5DE4">
            <w:pPr>
              <w:widowControl w:val="0"/>
              <w:spacing w:line="228" w:lineRule="auto"/>
              <w:ind w:left="-57" w:right="-57"/>
              <w:jc w:val="center"/>
              <w:rPr>
                <w:b/>
              </w:rPr>
            </w:pPr>
          </w:p>
        </w:tc>
        <w:tc>
          <w:tcPr>
            <w:tcW w:w="1531" w:type="dxa"/>
            <w:vAlign w:val="bottom"/>
          </w:tcPr>
          <w:p w14:paraId="3F9CBB23" w14:textId="77777777" w:rsidR="008E5DE4" w:rsidRDefault="008E5DE4">
            <w:pPr>
              <w:widowControl w:val="0"/>
              <w:spacing w:line="228" w:lineRule="auto"/>
              <w:jc w:val="right"/>
              <w:rPr>
                <w:b/>
              </w:rPr>
            </w:pPr>
          </w:p>
        </w:tc>
        <w:tc>
          <w:tcPr>
            <w:tcW w:w="1531" w:type="dxa"/>
            <w:vAlign w:val="bottom"/>
          </w:tcPr>
          <w:p w14:paraId="7AC3F63E" w14:textId="77777777" w:rsidR="008E5DE4" w:rsidRDefault="008E5DE4">
            <w:pPr>
              <w:widowControl w:val="0"/>
              <w:spacing w:line="228" w:lineRule="auto"/>
              <w:jc w:val="right"/>
              <w:rPr>
                <w:b/>
              </w:rPr>
            </w:pPr>
          </w:p>
        </w:tc>
      </w:tr>
      <w:tr w:rsidR="008E5DE4" w14:paraId="7AC898CD" w14:textId="77777777">
        <w:trPr>
          <w:cantSplit/>
        </w:trPr>
        <w:tc>
          <w:tcPr>
            <w:tcW w:w="5726" w:type="dxa"/>
            <w:vAlign w:val="bottom"/>
          </w:tcPr>
          <w:p w14:paraId="5ABAC4B2" w14:textId="77777777" w:rsidR="008E5DE4" w:rsidRDefault="00780368">
            <w:pPr>
              <w:widowControl w:val="0"/>
              <w:spacing w:line="228" w:lineRule="auto"/>
            </w:pPr>
            <w:r>
              <w:t xml:space="preserve">- Sales of </w:t>
            </w:r>
            <w:r>
              <w:rPr>
                <w:color w:val="0000FF"/>
              </w:rPr>
              <w:t>[product group 1]</w:t>
            </w:r>
          </w:p>
        </w:tc>
        <w:tc>
          <w:tcPr>
            <w:tcW w:w="567" w:type="dxa"/>
            <w:vAlign w:val="bottom"/>
          </w:tcPr>
          <w:p w14:paraId="4A18D268" w14:textId="77777777" w:rsidR="008E5DE4" w:rsidRDefault="008E5DE4">
            <w:pPr>
              <w:widowControl w:val="0"/>
              <w:spacing w:line="228" w:lineRule="auto"/>
              <w:ind w:left="-57" w:right="-57"/>
              <w:jc w:val="center"/>
            </w:pPr>
          </w:p>
        </w:tc>
        <w:tc>
          <w:tcPr>
            <w:tcW w:w="1531" w:type="dxa"/>
            <w:vAlign w:val="bottom"/>
          </w:tcPr>
          <w:p w14:paraId="354CAF48" w14:textId="77777777" w:rsidR="008E5DE4" w:rsidRDefault="008E5DE4">
            <w:pPr>
              <w:widowControl w:val="0"/>
              <w:spacing w:line="228" w:lineRule="auto"/>
              <w:jc w:val="right"/>
            </w:pPr>
          </w:p>
        </w:tc>
        <w:tc>
          <w:tcPr>
            <w:tcW w:w="1531" w:type="dxa"/>
            <w:vAlign w:val="bottom"/>
          </w:tcPr>
          <w:p w14:paraId="59ED2C47" w14:textId="77777777" w:rsidR="008E5DE4" w:rsidRDefault="008E5DE4">
            <w:pPr>
              <w:widowControl w:val="0"/>
              <w:spacing w:line="228" w:lineRule="auto"/>
              <w:jc w:val="right"/>
            </w:pPr>
          </w:p>
        </w:tc>
      </w:tr>
      <w:tr w:rsidR="008E5DE4" w14:paraId="2B6F4B5C" w14:textId="77777777">
        <w:trPr>
          <w:cantSplit/>
        </w:trPr>
        <w:tc>
          <w:tcPr>
            <w:tcW w:w="5726" w:type="dxa"/>
            <w:vAlign w:val="bottom"/>
          </w:tcPr>
          <w:p w14:paraId="7C9AD7B8" w14:textId="77777777" w:rsidR="008E5DE4" w:rsidRDefault="00780368">
            <w:pPr>
              <w:widowControl w:val="0"/>
              <w:spacing w:line="228" w:lineRule="auto"/>
            </w:pPr>
            <w:r>
              <w:t xml:space="preserve">- Sales of </w:t>
            </w:r>
            <w:r>
              <w:rPr>
                <w:color w:val="0000FF"/>
              </w:rPr>
              <w:t>[product group 2]</w:t>
            </w:r>
          </w:p>
        </w:tc>
        <w:tc>
          <w:tcPr>
            <w:tcW w:w="567" w:type="dxa"/>
            <w:vAlign w:val="bottom"/>
          </w:tcPr>
          <w:p w14:paraId="5B52B9BC" w14:textId="77777777" w:rsidR="008E5DE4" w:rsidRDefault="008E5DE4">
            <w:pPr>
              <w:widowControl w:val="0"/>
              <w:spacing w:line="228" w:lineRule="auto"/>
              <w:ind w:left="-57" w:right="-57"/>
              <w:jc w:val="center"/>
            </w:pPr>
          </w:p>
        </w:tc>
        <w:tc>
          <w:tcPr>
            <w:tcW w:w="1531" w:type="dxa"/>
            <w:vAlign w:val="bottom"/>
          </w:tcPr>
          <w:p w14:paraId="0FAC3FEF" w14:textId="77777777" w:rsidR="008E5DE4" w:rsidRDefault="008E5DE4">
            <w:pPr>
              <w:widowControl w:val="0"/>
              <w:spacing w:line="228" w:lineRule="auto"/>
              <w:jc w:val="right"/>
            </w:pPr>
          </w:p>
        </w:tc>
        <w:tc>
          <w:tcPr>
            <w:tcW w:w="1531" w:type="dxa"/>
            <w:vAlign w:val="bottom"/>
          </w:tcPr>
          <w:p w14:paraId="5E1D771C" w14:textId="77777777" w:rsidR="008E5DE4" w:rsidRDefault="008E5DE4">
            <w:pPr>
              <w:widowControl w:val="0"/>
              <w:spacing w:line="228" w:lineRule="auto"/>
              <w:jc w:val="right"/>
            </w:pPr>
          </w:p>
        </w:tc>
      </w:tr>
      <w:tr w:rsidR="008E5DE4" w14:paraId="39BC0F5B" w14:textId="77777777">
        <w:trPr>
          <w:cantSplit/>
        </w:trPr>
        <w:tc>
          <w:tcPr>
            <w:tcW w:w="5726" w:type="dxa"/>
            <w:vAlign w:val="bottom"/>
          </w:tcPr>
          <w:p w14:paraId="67AAC842" w14:textId="77777777" w:rsidR="008E5DE4" w:rsidRDefault="00780368">
            <w:pPr>
              <w:widowControl w:val="0"/>
              <w:spacing w:line="228" w:lineRule="auto"/>
            </w:pPr>
            <w:r>
              <w:t xml:space="preserve">- Sales of </w:t>
            </w:r>
            <w:r>
              <w:rPr>
                <w:color w:val="0000FF"/>
              </w:rPr>
              <w:t>[product group 3 etc]</w:t>
            </w:r>
          </w:p>
        </w:tc>
        <w:tc>
          <w:tcPr>
            <w:tcW w:w="567" w:type="dxa"/>
            <w:vAlign w:val="bottom"/>
          </w:tcPr>
          <w:p w14:paraId="1DD182E4" w14:textId="77777777" w:rsidR="008E5DE4" w:rsidRDefault="008E5DE4">
            <w:pPr>
              <w:widowControl w:val="0"/>
              <w:spacing w:line="228" w:lineRule="auto"/>
              <w:ind w:left="-57" w:right="-57"/>
              <w:jc w:val="center"/>
            </w:pPr>
          </w:p>
        </w:tc>
        <w:tc>
          <w:tcPr>
            <w:tcW w:w="1531" w:type="dxa"/>
            <w:vAlign w:val="bottom"/>
          </w:tcPr>
          <w:p w14:paraId="0997226C" w14:textId="77777777" w:rsidR="008E5DE4" w:rsidRDefault="008E5DE4">
            <w:pPr>
              <w:widowControl w:val="0"/>
              <w:spacing w:line="228" w:lineRule="auto"/>
              <w:jc w:val="right"/>
            </w:pPr>
          </w:p>
        </w:tc>
        <w:tc>
          <w:tcPr>
            <w:tcW w:w="1531" w:type="dxa"/>
            <w:vAlign w:val="bottom"/>
          </w:tcPr>
          <w:p w14:paraId="0610488D" w14:textId="77777777" w:rsidR="008E5DE4" w:rsidRDefault="008E5DE4">
            <w:pPr>
              <w:widowControl w:val="0"/>
              <w:spacing w:line="228" w:lineRule="auto"/>
              <w:jc w:val="right"/>
            </w:pPr>
          </w:p>
        </w:tc>
      </w:tr>
      <w:tr w:rsidR="008E5DE4" w14:paraId="5AA64234" w14:textId="77777777">
        <w:trPr>
          <w:cantSplit/>
        </w:trPr>
        <w:tc>
          <w:tcPr>
            <w:tcW w:w="5726" w:type="dxa"/>
            <w:vAlign w:val="bottom"/>
          </w:tcPr>
          <w:p w14:paraId="7EA5F07E" w14:textId="77777777" w:rsidR="008E5DE4" w:rsidRDefault="00780368">
            <w:pPr>
              <w:widowControl w:val="0"/>
              <w:spacing w:line="228" w:lineRule="auto"/>
              <w:rPr>
                <w:b/>
              </w:rPr>
            </w:pPr>
            <w:r>
              <w:rPr>
                <w:b/>
                <w:color w:val="0000FF"/>
              </w:rPr>
              <w:t>[Segment 2]</w:t>
            </w:r>
          </w:p>
        </w:tc>
        <w:tc>
          <w:tcPr>
            <w:tcW w:w="567" w:type="dxa"/>
            <w:vAlign w:val="bottom"/>
          </w:tcPr>
          <w:p w14:paraId="3F081B31" w14:textId="77777777" w:rsidR="008E5DE4" w:rsidRDefault="008E5DE4">
            <w:pPr>
              <w:widowControl w:val="0"/>
              <w:spacing w:line="228" w:lineRule="auto"/>
              <w:ind w:left="-57" w:right="-57"/>
              <w:jc w:val="center"/>
            </w:pPr>
          </w:p>
        </w:tc>
        <w:tc>
          <w:tcPr>
            <w:tcW w:w="1531" w:type="dxa"/>
            <w:vAlign w:val="bottom"/>
          </w:tcPr>
          <w:p w14:paraId="350805BC" w14:textId="77777777" w:rsidR="008E5DE4" w:rsidRDefault="008E5DE4">
            <w:pPr>
              <w:widowControl w:val="0"/>
              <w:spacing w:line="228" w:lineRule="auto"/>
              <w:jc w:val="right"/>
            </w:pPr>
          </w:p>
        </w:tc>
        <w:tc>
          <w:tcPr>
            <w:tcW w:w="1531" w:type="dxa"/>
            <w:vAlign w:val="bottom"/>
          </w:tcPr>
          <w:p w14:paraId="0FD0DC76" w14:textId="77777777" w:rsidR="008E5DE4" w:rsidRDefault="008E5DE4">
            <w:pPr>
              <w:widowControl w:val="0"/>
              <w:spacing w:line="228" w:lineRule="auto"/>
              <w:jc w:val="right"/>
            </w:pPr>
          </w:p>
        </w:tc>
      </w:tr>
      <w:tr w:rsidR="008E5DE4" w14:paraId="31F4C5A2" w14:textId="77777777">
        <w:trPr>
          <w:cantSplit/>
        </w:trPr>
        <w:tc>
          <w:tcPr>
            <w:tcW w:w="5726" w:type="dxa"/>
            <w:vAlign w:val="bottom"/>
          </w:tcPr>
          <w:p w14:paraId="3746AC98" w14:textId="77777777" w:rsidR="008E5DE4" w:rsidRDefault="00780368">
            <w:pPr>
              <w:widowControl w:val="0"/>
              <w:spacing w:line="228" w:lineRule="auto"/>
            </w:pPr>
            <w:r>
              <w:t xml:space="preserve">- Services </w:t>
            </w:r>
            <w:r>
              <w:rPr>
                <w:color w:val="0000FF"/>
              </w:rPr>
              <w:t>[type A]</w:t>
            </w:r>
          </w:p>
        </w:tc>
        <w:tc>
          <w:tcPr>
            <w:tcW w:w="567" w:type="dxa"/>
            <w:vAlign w:val="bottom"/>
          </w:tcPr>
          <w:p w14:paraId="2D5805AE" w14:textId="77777777" w:rsidR="008E5DE4" w:rsidRDefault="008E5DE4">
            <w:pPr>
              <w:widowControl w:val="0"/>
              <w:spacing w:line="228" w:lineRule="auto"/>
              <w:ind w:left="-57" w:right="-57"/>
              <w:jc w:val="center"/>
            </w:pPr>
          </w:p>
        </w:tc>
        <w:tc>
          <w:tcPr>
            <w:tcW w:w="1531" w:type="dxa"/>
            <w:vAlign w:val="bottom"/>
          </w:tcPr>
          <w:p w14:paraId="24DEC279" w14:textId="77777777" w:rsidR="008E5DE4" w:rsidRDefault="008E5DE4">
            <w:pPr>
              <w:widowControl w:val="0"/>
              <w:spacing w:line="228" w:lineRule="auto"/>
              <w:jc w:val="right"/>
            </w:pPr>
          </w:p>
        </w:tc>
        <w:tc>
          <w:tcPr>
            <w:tcW w:w="1531" w:type="dxa"/>
            <w:vAlign w:val="bottom"/>
          </w:tcPr>
          <w:p w14:paraId="10D762C4" w14:textId="77777777" w:rsidR="008E5DE4" w:rsidRDefault="008E5DE4">
            <w:pPr>
              <w:widowControl w:val="0"/>
              <w:spacing w:line="228" w:lineRule="auto"/>
              <w:jc w:val="right"/>
            </w:pPr>
          </w:p>
        </w:tc>
      </w:tr>
      <w:tr w:rsidR="008E5DE4" w14:paraId="04F8A1F0" w14:textId="77777777">
        <w:trPr>
          <w:cantSplit/>
        </w:trPr>
        <w:tc>
          <w:tcPr>
            <w:tcW w:w="5726" w:type="dxa"/>
            <w:vAlign w:val="bottom"/>
          </w:tcPr>
          <w:p w14:paraId="164E95D2" w14:textId="77777777" w:rsidR="008E5DE4" w:rsidRDefault="00780368">
            <w:pPr>
              <w:widowControl w:val="0"/>
              <w:pBdr>
                <w:top w:val="nil"/>
                <w:left w:val="nil"/>
                <w:bottom w:val="nil"/>
                <w:right w:val="nil"/>
                <w:between w:val="nil"/>
              </w:pBdr>
              <w:spacing w:line="228" w:lineRule="auto"/>
              <w:rPr>
                <w:color w:val="000000"/>
              </w:rPr>
            </w:pPr>
            <w:r>
              <w:rPr>
                <w:color w:val="000000"/>
              </w:rPr>
              <w:t xml:space="preserve">- Services </w:t>
            </w:r>
            <w:r>
              <w:rPr>
                <w:color w:val="0000FF"/>
              </w:rPr>
              <w:t>[type B]</w:t>
            </w:r>
          </w:p>
        </w:tc>
        <w:tc>
          <w:tcPr>
            <w:tcW w:w="567" w:type="dxa"/>
            <w:vAlign w:val="bottom"/>
          </w:tcPr>
          <w:p w14:paraId="5FD65515" w14:textId="77777777" w:rsidR="008E5DE4" w:rsidRDefault="008E5DE4">
            <w:pPr>
              <w:widowControl w:val="0"/>
              <w:spacing w:line="228" w:lineRule="auto"/>
              <w:ind w:left="-57" w:right="-57"/>
              <w:jc w:val="center"/>
            </w:pPr>
          </w:p>
        </w:tc>
        <w:tc>
          <w:tcPr>
            <w:tcW w:w="1531" w:type="dxa"/>
            <w:vAlign w:val="bottom"/>
          </w:tcPr>
          <w:p w14:paraId="3C8ADE85" w14:textId="77777777" w:rsidR="008E5DE4" w:rsidRDefault="008E5DE4">
            <w:pPr>
              <w:widowControl w:val="0"/>
              <w:spacing w:line="228" w:lineRule="auto"/>
              <w:jc w:val="right"/>
            </w:pPr>
          </w:p>
        </w:tc>
        <w:tc>
          <w:tcPr>
            <w:tcW w:w="1531" w:type="dxa"/>
            <w:vAlign w:val="bottom"/>
          </w:tcPr>
          <w:p w14:paraId="368770A1" w14:textId="77777777" w:rsidR="008E5DE4" w:rsidRDefault="008E5DE4">
            <w:pPr>
              <w:widowControl w:val="0"/>
              <w:spacing w:line="228" w:lineRule="auto"/>
              <w:jc w:val="right"/>
            </w:pPr>
          </w:p>
        </w:tc>
      </w:tr>
      <w:tr w:rsidR="008E5DE4" w14:paraId="01020F41" w14:textId="77777777">
        <w:trPr>
          <w:cantSplit/>
        </w:trPr>
        <w:tc>
          <w:tcPr>
            <w:tcW w:w="5726" w:type="dxa"/>
            <w:vAlign w:val="bottom"/>
          </w:tcPr>
          <w:p w14:paraId="516938AC" w14:textId="77777777" w:rsidR="008E5DE4" w:rsidRDefault="00780368">
            <w:pPr>
              <w:widowControl w:val="0"/>
              <w:pBdr>
                <w:top w:val="nil"/>
                <w:left w:val="nil"/>
                <w:bottom w:val="nil"/>
                <w:right w:val="nil"/>
                <w:between w:val="nil"/>
              </w:pBdr>
              <w:spacing w:line="228" w:lineRule="auto"/>
              <w:rPr>
                <w:color w:val="000000"/>
              </w:rPr>
            </w:pPr>
            <w:r>
              <w:rPr>
                <w:color w:val="000000"/>
              </w:rPr>
              <w:t xml:space="preserve">- Services </w:t>
            </w:r>
            <w:r>
              <w:rPr>
                <w:color w:val="0000FF"/>
              </w:rPr>
              <w:t>[type C]</w:t>
            </w:r>
          </w:p>
        </w:tc>
        <w:tc>
          <w:tcPr>
            <w:tcW w:w="567" w:type="dxa"/>
            <w:vAlign w:val="bottom"/>
          </w:tcPr>
          <w:p w14:paraId="4CAFF912" w14:textId="77777777" w:rsidR="008E5DE4" w:rsidRDefault="008E5DE4">
            <w:pPr>
              <w:widowControl w:val="0"/>
              <w:spacing w:line="228" w:lineRule="auto"/>
              <w:ind w:left="-57" w:right="-57"/>
              <w:jc w:val="center"/>
            </w:pPr>
          </w:p>
        </w:tc>
        <w:tc>
          <w:tcPr>
            <w:tcW w:w="1531" w:type="dxa"/>
            <w:vAlign w:val="bottom"/>
          </w:tcPr>
          <w:p w14:paraId="15F31889" w14:textId="77777777" w:rsidR="008E5DE4" w:rsidRDefault="008E5DE4">
            <w:pPr>
              <w:widowControl w:val="0"/>
              <w:spacing w:line="228" w:lineRule="auto"/>
              <w:jc w:val="right"/>
            </w:pPr>
          </w:p>
        </w:tc>
        <w:tc>
          <w:tcPr>
            <w:tcW w:w="1531" w:type="dxa"/>
            <w:vAlign w:val="bottom"/>
          </w:tcPr>
          <w:p w14:paraId="2A00EFF3" w14:textId="77777777" w:rsidR="008E5DE4" w:rsidRDefault="008E5DE4">
            <w:pPr>
              <w:widowControl w:val="0"/>
              <w:spacing w:line="228" w:lineRule="auto"/>
              <w:jc w:val="right"/>
            </w:pPr>
          </w:p>
        </w:tc>
      </w:tr>
      <w:tr w:rsidR="008E5DE4" w14:paraId="5FCD3BDF" w14:textId="77777777">
        <w:trPr>
          <w:cantSplit/>
        </w:trPr>
        <w:tc>
          <w:tcPr>
            <w:tcW w:w="5726" w:type="dxa"/>
            <w:vAlign w:val="bottom"/>
          </w:tcPr>
          <w:p w14:paraId="470FD926" w14:textId="77777777" w:rsidR="008E5DE4" w:rsidRDefault="00780368">
            <w:pPr>
              <w:widowControl w:val="0"/>
              <w:pBdr>
                <w:top w:val="nil"/>
                <w:left w:val="nil"/>
                <w:bottom w:val="nil"/>
                <w:right w:val="nil"/>
                <w:between w:val="nil"/>
              </w:pBdr>
              <w:spacing w:line="228" w:lineRule="auto"/>
              <w:rPr>
                <w:b/>
                <w:color w:val="000000"/>
              </w:rPr>
            </w:pPr>
            <w:r>
              <w:rPr>
                <w:b/>
                <w:color w:val="0000FF"/>
              </w:rPr>
              <w:t>[Segment 3]</w:t>
            </w:r>
          </w:p>
        </w:tc>
        <w:tc>
          <w:tcPr>
            <w:tcW w:w="567" w:type="dxa"/>
            <w:vAlign w:val="bottom"/>
          </w:tcPr>
          <w:p w14:paraId="460A6AE9" w14:textId="77777777" w:rsidR="008E5DE4" w:rsidRDefault="008E5DE4">
            <w:pPr>
              <w:widowControl w:val="0"/>
              <w:spacing w:line="228" w:lineRule="auto"/>
              <w:ind w:left="-57" w:right="-57"/>
              <w:jc w:val="center"/>
            </w:pPr>
          </w:p>
        </w:tc>
        <w:tc>
          <w:tcPr>
            <w:tcW w:w="1531" w:type="dxa"/>
            <w:vAlign w:val="bottom"/>
          </w:tcPr>
          <w:p w14:paraId="18B4455D" w14:textId="77777777" w:rsidR="008E5DE4" w:rsidRDefault="008E5DE4">
            <w:pPr>
              <w:widowControl w:val="0"/>
              <w:spacing w:line="228" w:lineRule="auto"/>
              <w:jc w:val="right"/>
            </w:pPr>
          </w:p>
        </w:tc>
        <w:tc>
          <w:tcPr>
            <w:tcW w:w="1531" w:type="dxa"/>
            <w:vAlign w:val="bottom"/>
          </w:tcPr>
          <w:p w14:paraId="56D5B6A8" w14:textId="77777777" w:rsidR="008E5DE4" w:rsidRDefault="008E5DE4">
            <w:pPr>
              <w:widowControl w:val="0"/>
              <w:spacing w:line="228" w:lineRule="auto"/>
              <w:jc w:val="right"/>
            </w:pPr>
          </w:p>
        </w:tc>
      </w:tr>
      <w:tr w:rsidR="008E5DE4" w14:paraId="368F17BB" w14:textId="77777777">
        <w:trPr>
          <w:cantSplit/>
        </w:trPr>
        <w:tc>
          <w:tcPr>
            <w:tcW w:w="5726" w:type="dxa"/>
            <w:vAlign w:val="bottom"/>
          </w:tcPr>
          <w:p w14:paraId="5F7EC8FB" w14:textId="77777777" w:rsidR="008E5DE4" w:rsidRDefault="00780368">
            <w:pPr>
              <w:widowControl w:val="0"/>
              <w:pBdr>
                <w:top w:val="nil"/>
                <w:left w:val="nil"/>
                <w:bottom w:val="nil"/>
                <w:right w:val="nil"/>
                <w:between w:val="nil"/>
              </w:pBdr>
              <w:spacing w:line="228" w:lineRule="auto"/>
              <w:rPr>
                <w:color w:val="000000"/>
              </w:rPr>
            </w:pPr>
            <w:r>
              <w:rPr>
                <w:color w:val="000000"/>
              </w:rPr>
              <w:t xml:space="preserve">- Sales of </w:t>
            </w:r>
            <w:r>
              <w:rPr>
                <w:color w:val="0000FF"/>
              </w:rPr>
              <w:t>[product group 1]</w:t>
            </w:r>
          </w:p>
        </w:tc>
        <w:tc>
          <w:tcPr>
            <w:tcW w:w="567" w:type="dxa"/>
            <w:vAlign w:val="bottom"/>
          </w:tcPr>
          <w:p w14:paraId="1DF11F66" w14:textId="77777777" w:rsidR="008E5DE4" w:rsidRDefault="008E5DE4">
            <w:pPr>
              <w:widowControl w:val="0"/>
              <w:spacing w:line="228" w:lineRule="auto"/>
              <w:ind w:left="-57" w:right="-57"/>
              <w:jc w:val="center"/>
            </w:pPr>
          </w:p>
        </w:tc>
        <w:tc>
          <w:tcPr>
            <w:tcW w:w="1531" w:type="dxa"/>
            <w:vAlign w:val="bottom"/>
          </w:tcPr>
          <w:p w14:paraId="464E5A34" w14:textId="77777777" w:rsidR="008E5DE4" w:rsidRDefault="008E5DE4">
            <w:pPr>
              <w:widowControl w:val="0"/>
              <w:spacing w:line="228" w:lineRule="auto"/>
              <w:jc w:val="right"/>
            </w:pPr>
          </w:p>
        </w:tc>
        <w:tc>
          <w:tcPr>
            <w:tcW w:w="1531" w:type="dxa"/>
            <w:vAlign w:val="bottom"/>
          </w:tcPr>
          <w:p w14:paraId="46E7680A" w14:textId="77777777" w:rsidR="008E5DE4" w:rsidRDefault="008E5DE4">
            <w:pPr>
              <w:widowControl w:val="0"/>
              <w:spacing w:line="228" w:lineRule="auto"/>
              <w:jc w:val="right"/>
            </w:pPr>
          </w:p>
        </w:tc>
      </w:tr>
      <w:tr w:rsidR="008E5DE4" w14:paraId="31C2D430" w14:textId="77777777">
        <w:trPr>
          <w:cantSplit/>
        </w:trPr>
        <w:tc>
          <w:tcPr>
            <w:tcW w:w="5726" w:type="dxa"/>
            <w:vAlign w:val="bottom"/>
          </w:tcPr>
          <w:p w14:paraId="2A8E4171" w14:textId="77777777" w:rsidR="008E5DE4" w:rsidRDefault="00780368">
            <w:pPr>
              <w:widowControl w:val="0"/>
              <w:pBdr>
                <w:top w:val="nil"/>
                <w:left w:val="nil"/>
                <w:bottom w:val="nil"/>
                <w:right w:val="nil"/>
                <w:between w:val="nil"/>
              </w:pBdr>
              <w:spacing w:line="228" w:lineRule="auto"/>
              <w:rPr>
                <w:color w:val="000000"/>
              </w:rPr>
            </w:pPr>
            <w:r>
              <w:rPr>
                <w:color w:val="000000"/>
              </w:rPr>
              <w:t xml:space="preserve">- Sales of </w:t>
            </w:r>
            <w:r>
              <w:rPr>
                <w:color w:val="0000FF"/>
              </w:rPr>
              <w:t>[product group 2]</w:t>
            </w:r>
          </w:p>
        </w:tc>
        <w:tc>
          <w:tcPr>
            <w:tcW w:w="567" w:type="dxa"/>
            <w:vAlign w:val="bottom"/>
          </w:tcPr>
          <w:p w14:paraId="2E716418" w14:textId="77777777" w:rsidR="008E5DE4" w:rsidRDefault="008E5DE4">
            <w:pPr>
              <w:widowControl w:val="0"/>
              <w:spacing w:line="228" w:lineRule="auto"/>
              <w:ind w:left="-57" w:right="-57"/>
              <w:jc w:val="center"/>
            </w:pPr>
          </w:p>
        </w:tc>
        <w:tc>
          <w:tcPr>
            <w:tcW w:w="1531" w:type="dxa"/>
            <w:vAlign w:val="bottom"/>
          </w:tcPr>
          <w:p w14:paraId="4F19B09A" w14:textId="77777777" w:rsidR="008E5DE4" w:rsidRDefault="008E5DE4">
            <w:pPr>
              <w:widowControl w:val="0"/>
              <w:spacing w:line="228" w:lineRule="auto"/>
              <w:jc w:val="right"/>
            </w:pPr>
          </w:p>
        </w:tc>
        <w:tc>
          <w:tcPr>
            <w:tcW w:w="1531" w:type="dxa"/>
            <w:vAlign w:val="bottom"/>
          </w:tcPr>
          <w:p w14:paraId="2798F384" w14:textId="77777777" w:rsidR="008E5DE4" w:rsidRDefault="008E5DE4">
            <w:pPr>
              <w:widowControl w:val="0"/>
              <w:spacing w:line="228" w:lineRule="auto"/>
              <w:jc w:val="right"/>
            </w:pPr>
          </w:p>
        </w:tc>
      </w:tr>
      <w:tr w:rsidR="008E5DE4" w14:paraId="10E58D9E" w14:textId="77777777">
        <w:trPr>
          <w:cantSplit/>
        </w:trPr>
        <w:tc>
          <w:tcPr>
            <w:tcW w:w="5726" w:type="dxa"/>
            <w:vAlign w:val="bottom"/>
          </w:tcPr>
          <w:p w14:paraId="1A5308FC" w14:textId="77777777" w:rsidR="008E5DE4" w:rsidRDefault="00780368">
            <w:pPr>
              <w:widowControl w:val="0"/>
              <w:pBdr>
                <w:top w:val="nil"/>
                <w:left w:val="nil"/>
                <w:bottom w:val="nil"/>
                <w:right w:val="nil"/>
                <w:between w:val="nil"/>
              </w:pBdr>
              <w:spacing w:line="228" w:lineRule="auto"/>
              <w:rPr>
                <w:color w:val="000000"/>
              </w:rPr>
            </w:pPr>
            <w:r>
              <w:rPr>
                <w:color w:val="000000"/>
              </w:rPr>
              <w:t xml:space="preserve">- Sales of </w:t>
            </w:r>
            <w:r>
              <w:rPr>
                <w:color w:val="0000FF"/>
              </w:rPr>
              <w:t>[product group 3 etc]</w:t>
            </w:r>
          </w:p>
        </w:tc>
        <w:tc>
          <w:tcPr>
            <w:tcW w:w="567" w:type="dxa"/>
            <w:vAlign w:val="bottom"/>
          </w:tcPr>
          <w:p w14:paraId="7E8C7353" w14:textId="77777777" w:rsidR="008E5DE4" w:rsidRDefault="008E5DE4">
            <w:pPr>
              <w:widowControl w:val="0"/>
              <w:spacing w:line="228" w:lineRule="auto"/>
              <w:ind w:left="-57" w:right="-57"/>
              <w:jc w:val="center"/>
            </w:pPr>
          </w:p>
        </w:tc>
        <w:tc>
          <w:tcPr>
            <w:tcW w:w="1531" w:type="dxa"/>
            <w:vAlign w:val="bottom"/>
          </w:tcPr>
          <w:p w14:paraId="6D3137CD" w14:textId="77777777" w:rsidR="008E5DE4" w:rsidRDefault="008E5DE4">
            <w:pPr>
              <w:widowControl w:val="0"/>
              <w:spacing w:line="228" w:lineRule="auto"/>
              <w:jc w:val="right"/>
            </w:pPr>
          </w:p>
        </w:tc>
        <w:tc>
          <w:tcPr>
            <w:tcW w:w="1531" w:type="dxa"/>
            <w:vAlign w:val="bottom"/>
          </w:tcPr>
          <w:p w14:paraId="1436AF08" w14:textId="77777777" w:rsidR="008E5DE4" w:rsidRDefault="008E5DE4">
            <w:pPr>
              <w:widowControl w:val="0"/>
              <w:spacing w:line="228" w:lineRule="auto"/>
              <w:jc w:val="right"/>
            </w:pPr>
          </w:p>
        </w:tc>
      </w:tr>
      <w:tr w:rsidR="008E5DE4" w14:paraId="4567DD78" w14:textId="77777777">
        <w:trPr>
          <w:cantSplit/>
        </w:trPr>
        <w:tc>
          <w:tcPr>
            <w:tcW w:w="5726" w:type="dxa"/>
            <w:vAlign w:val="bottom"/>
          </w:tcPr>
          <w:p w14:paraId="5176935B" w14:textId="77777777" w:rsidR="008E5DE4" w:rsidRDefault="00780368">
            <w:pPr>
              <w:widowControl w:val="0"/>
              <w:pBdr>
                <w:top w:val="nil"/>
                <w:left w:val="nil"/>
                <w:bottom w:val="nil"/>
                <w:right w:val="nil"/>
                <w:between w:val="nil"/>
              </w:pBdr>
              <w:spacing w:line="228" w:lineRule="auto"/>
              <w:rPr>
                <w:color w:val="000000"/>
              </w:rPr>
            </w:pPr>
            <w:r>
              <w:rPr>
                <w:b/>
                <w:color w:val="0000FF"/>
              </w:rPr>
              <w:t>[Unallocated to segments]</w:t>
            </w:r>
          </w:p>
        </w:tc>
        <w:tc>
          <w:tcPr>
            <w:tcW w:w="567" w:type="dxa"/>
            <w:vAlign w:val="bottom"/>
          </w:tcPr>
          <w:p w14:paraId="4CFFE34C" w14:textId="77777777" w:rsidR="008E5DE4" w:rsidRDefault="008E5DE4">
            <w:pPr>
              <w:widowControl w:val="0"/>
              <w:spacing w:line="228" w:lineRule="auto"/>
              <w:ind w:left="-57" w:right="-57"/>
              <w:jc w:val="center"/>
            </w:pPr>
          </w:p>
        </w:tc>
        <w:tc>
          <w:tcPr>
            <w:tcW w:w="1531" w:type="dxa"/>
            <w:vAlign w:val="bottom"/>
          </w:tcPr>
          <w:p w14:paraId="0FBFC144" w14:textId="77777777" w:rsidR="008E5DE4" w:rsidRDefault="008E5DE4">
            <w:pPr>
              <w:widowControl w:val="0"/>
              <w:spacing w:line="228" w:lineRule="auto"/>
              <w:jc w:val="right"/>
            </w:pPr>
          </w:p>
        </w:tc>
        <w:tc>
          <w:tcPr>
            <w:tcW w:w="1531" w:type="dxa"/>
            <w:vAlign w:val="bottom"/>
          </w:tcPr>
          <w:p w14:paraId="4A65FB56" w14:textId="77777777" w:rsidR="008E5DE4" w:rsidRDefault="008E5DE4">
            <w:pPr>
              <w:widowControl w:val="0"/>
              <w:spacing w:line="228" w:lineRule="auto"/>
              <w:jc w:val="right"/>
            </w:pPr>
          </w:p>
        </w:tc>
      </w:tr>
      <w:tr w:rsidR="008E5DE4" w14:paraId="1551F9B1" w14:textId="77777777">
        <w:trPr>
          <w:cantSplit/>
        </w:trPr>
        <w:tc>
          <w:tcPr>
            <w:tcW w:w="5726" w:type="dxa"/>
            <w:vAlign w:val="bottom"/>
          </w:tcPr>
          <w:p w14:paraId="3CA82C85" w14:textId="77777777" w:rsidR="008E5DE4" w:rsidRDefault="00780368">
            <w:pPr>
              <w:widowControl w:val="0"/>
              <w:pBdr>
                <w:top w:val="nil"/>
                <w:left w:val="nil"/>
                <w:bottom w:val="nil"/>
                <w:right w:val="nil"/>
                <w:between w:val="nil"/>
              </w:pBdr>
              <w:spacing w:line="228" w:lineRule="auto"/>
              <w:rPr>
                <w:color w:val="000000"/>
              </w:rPr>
            </w:pPr>
            <w:r>
              <w:rPr>
                <w:color w:val="000000"/>
              </w:rPr>
              <w:t xml:space="preserve">- Sales of </w:t>
            </w:r>
            <w:r>
              <w:rPr>
                <w:color w:val="0000FF"/>
              </w:rPr>
              <w:t>[product group]</w:t>
            </w:r>
          </w:p>
        </w:tc>
        <w:tc>
          <w:tcPr>
            <w:tcW w:w="567" w:type="dxa"/>
            <w:vAlign w:val="bottom"/>
          </w:tcPr>
          <w:p w14:paraId="1AC0C1AF" w14:textId="77777777" w:rsidR="008E5DE4" w:rsidRDefault="008E5DE4">
            <w:pPr>
              <w:widowControl w:val="0"/>
              <w:spacing w:line="228" w:lineRule="auto"/>
              <w:ind w:left="-57" w:right="-57"/>
              <w:jc w:val="center"/>
            </w:pPr>
          </w:p>
        </w:tc>
        <w:tc>
          <w:tcPr>
            <w:tcW w:w="1531" w:type="dxa"/>
            <w:vAlign w:val="bottom"/>
          </w:tcPr>
          <w:p w14:paraId="6FD32878" w14:textId="77777777" w:rsidR="008E5DE4" w:rsidRDefault="008E5DE4">
            <w:pPr>
              <w:widowControl w:val="0"/>
              <w:spacing w:line="228" w:lineRule="auto"/>
              <w:jc w:val="right"/>
            </w:pPr>
          </w:p>
        </w:tc>
        <w:tc>
          <w:tcPr>
            <w:tcW w:w="1531" w:type="dxa"/>
            <w:vAlign w:val="bottom"/>
          </w:tcPr>
          <w:p w14:paraId="12C471E4" w14:textId="77777777" w:rsidR="008E5DE4" w:rsidRDefault="008E5DE4">
            <w:pPr>
              <w:widowControl w:val="0"/>
              <w:spacing w:line="228" w:lineRule="auto"/>
              <w:jc w:val="right"/>
            </w:pPr>
          </w:p>
        </w:tc>
      </w:tr>
      <w:tr w:rsidR="008E5DE4" w14:paraId="4CB64240" w14:textId="77777777">
        <w:trPr>
          <w:cantSplit/>
        </w:trPr>
        <w:tc>
          <w:tcPr>
            <w:tcW w:w="5726" w:type="dxa"/>
            <w:vAlign w:val="bottom"/>
          </w:tcPr>
          <w:p w14:paraId="04E4C82E" w14:textId="77777777" w:rsidR="008E5DE4" w:rsidRDefault="00780368">
            <w:pPr>
              <w:widowControl w:val="0"/>
              <w:pBdr>
                <w:top w:val="nil"/>
                <w:left w:val="nil"/>
                <w:bottom w:val="nil"/>
                <w:right w:val="nil"/>
                <w:between w:val="nil"/>
              </w:pBdr>
              <w:spacing w:line="228" w:lineRule="auto"/>
              <w:rPr>
                <w:color w:val="000000"/>
              </w:rPr>
            </w:pPr>
            <w:r>
              <w:rPr>
                <w:color w:val="000000"/>
              </w:rPr>
              <w:t xml:space="preserve">- Services </w:t>
            </w:r>
            <w:r>
              <w:rPr>
                <w:color w:val="0000FF"/>
              </w:rPr>
              <w:t>[type]</w:t>
            </w:r>
          </w:p>
        </w:tc>
        <w:tc>
          <w:tcPr>
            <w:tcW w:w="567" w:type="dxa"/>
            <w:vAlign w:val="bottom"/>
          </w:tcPr>
          <w:p w14:paraId="57E04E1F" w14:textId="77777777" w:rsidR="008E5DE4" w:rsidRDefault="008E5DE4">
            <w:pPr>
              <w:widowControl w:val="0"/>
              <w:spacing w:line="228" w:lineRule="auto"/>
              <w:ind w:left="-57" w:right="-57"/>
              <w:jc w:val="center"/>
            </w:pPr>
          </w:p>
        </w:tc>
        <w:tc>
          <w:tcPr>
            <w:tcW w:w="1531" w:type="dxa"/>
            <w:vAlign w:val="bottom"/>
          </w:tcPr>
          <w:p w14:paraId="5321EB0E" w14:textId="77777777" w:rsidR="008E5DE4" w:rsidRDefault="008E5DE4">
            <w:pPr>
              <w:widowControl w:val="0"/>
              <w:spacing w:line="228" w:lineRule="auto"/>
              <w:jc w:val="right"/>
            </w:pPr>
          </w:p>
        </w:tc>
        <w:tc>
          <w:tcPr>
            <w:tcW w:w="1531" w:type="dxa"/>
            <w:vAlign w:val="bottom"/>
          </w:tcPr>
          <w:p w14:paraId="57435239" w14:textId="77777777" w:rsidR="008E5DE4" w:rsidRDefault="008E5DE4">
            <w:pPr>
              <w:widowControl w:val="0"/>
              <w:spacing w:line="228" w:lineRule="auto"/>
              <w:jc w:val="right"/>
            </w:pPr>
          </w:p>
        </w:tc>
      </w:tr>
      <w:tr w:rsidR="008E5DE4" w14:paraId="3C6A9929" w14:textId="77777777">
        <w:trPr>
          <w:cantSplit/>
        </w:trPr>
        <w:tc>
          <w:tcPr>
            <w:tcW w:w="5726" w:type="dxa"/>
            <w:vAlign w:val="bottom"/>
          </w:tcPr>
          <w:p w14:paraId="07188086" w14:textId="77777777" w:rsidR="008E5DE4" w:rsidRDefault="00780368">
            <w:pPr>
              <w:widowControl w:val="0"/>
              <w:pBdr>
                <w:top w:val="nil"/>
                <w:left w:val="nil"/>
                <w:bottom w:val="nil"/>
                <w:right w:val="nil"/>
                <w:between w:val="nil"/>
              </w:pBdr>
              <w:spacing w:line="228" w:lineRule="auto"/>
              <w:rPr>
                <w:color w:val="000000"/>
              </w:rPr>
            </w:pPr>
            <w:r>
              <w:rPr>
                <w:color w:val="000000"/>
              </w:rPr>
              <w:t>Royalties for use of brand name</w:t>
            </w:r>
          </w:p>
        </w:tc>
        <w:tc>
          <w:tcPr>
            <w:tcW w:w="567" w:type="dxa"/>
            <w:vAlign w:val="bottom"/>
          </w:tcPr>
          <w:p w14:paraId="52073E0A" w14:textId="77777777" w:rsidR="008E5DE4" w:rsidRDefault="008E5DE4">
            <w:pPr>
              <w:widowControl w:val="0"/>
              <w:spacing w:line="228" w:lineRule="auto"/>
              <w:ind w:left="-57" w:right="-57"/>
              <w:jc w:val="center"/>
            </w:pPr>
          </w:p>
        </w:tc>
        <w:tc>
          <w:tcPr>
            <w:tcW w:w="1531" w:type="dxa"/>
            <w:vAlign w:val="bottom"/>
          </w:tcPr>
          <w:p w14:paraId="7AE3E9A9" w14:textId="77777777" w:rsidR="008E5DE4" w:rsidRDefault="008E5DE4">
            <w:pPr>
              <w:widowControl w:val="0"/>
              <w:spacing w:line="228" w:lineRule="auto"/>
              <w:jc w:val="right"/>
            </w:pPr>
          </w:p>
        </w:tc>
        <w:tc>
          <w:tcPr>
            <w:tcW w:w="1531" w:type="dxa"/>
            <w:vAlign w:val="bottom"/>
          </w:tcPr>
          <w:p w14:paraId="1487E50B" w14:textId="77777777" w:rsidR="008E5DE4" w:rsidRDefault="008E5DE4">
            <w:pPr>
              <w:widowControl w:val="0"/>
              <w:spacing w:line="228" w:lineRule="auto"/>
              <w:jc w:val="right"/>
            </w:pPr>
          </w:p>
        </w:tc>
      </w:tr>
      <w:tr w:rsidR="008E5DE4" w14:paraId="4F383CB0" w14:textId="77777777">
        <w:trPr>
          <w:cantSplit/>
        </w:trPr>
        <w:tc>
          <w:tcPr>
            <w:tcW w:w="5726" w:type="dxa"/>
            <w:vAlign w:val="bottom"/>
          </w:tcPr>
          <w:p w14:paraId="60827C48" w14:textId="77777777" w:rsidR="008E5DE4" w:rsidRDefault="00780368">
            <w:pPr>
              <w:widowControl w:val="0"/>
              <w:pBdr>
                <w:top w:val="nil"/>
                <w:left w:val="nil"/>
                <w:bottom w:val="nil"/>
                <w:right w:val="nil"/>
                <w:between w:val="nil"/>
              </w:pBdr>
              <w:spacing w:line="228" w:lineRule="auto"/>
              <w:rPr>
                <w:color w:val="000000"/>
              </w:rPr>
            </w:pPr>
            <w:r>
              <w:rPr>
                <w:color w:val="000000"/>
              </w:rPr>
              <w:t>Other</w:t>
            </w:r>
          </w:p>
        </w:tc>
        <w:tc>
          <w:tcPr>
            <w:tcW w:w="567" w:type="dxa"/>
            <w:vAlign w:val="bottom"/>
          </w:tcPr>
          <w:p w14:paraId="08E6AD74" w14:textId="77777777" w:rsidR="008E5DE4" w:rsidRDefault="008E5DE4">
            <w:pPr>
              <w:widowControl w:val="0"/>
              <w:spacing w:line="228" w:lineRule="auto"/>
              <w:ind w:left="-57" w:right="-57"/>
              <w:jc w:val="center"/>
            </w:pPr>
          </w:p>
        </w:tc>
        <w:tc>
          <w:tcPr>
            <w:tcW w:w="1531" w:type="dxa"/>
            <w:vAlign w:val="bottom"/>
          </w:tcPr>
          <w:p w14:paraId="1498DFB5" w14:textId="77777777" w:rsidR="008E5DE4" w:rsidRDefault="008E5DE4">
            <w:pPr>
              <w:widowControl w:val="0"/>
              <w:spacing w:line="228" w:lineRule="auto"/>
              <w:jc w:val="right"/>
            </w:pPr>
          </w:p>
        </w:tc>
        <w:tc>
          <w:tcPr>
            <w:tcW w:w="1531" w:type="dxa"/>
            <w:vAlign w:val="bottom"/>
          </w:tcPr>
          <w:p w14:paraId="47CAEECE" w14:textId="77777777" w:rsidR="008E5DE4" w:rsidRDefault="008E5DE4">
            <w:pPr>
              <w:widowControl w:val="0"/>
              <w:spacing w:line="228" w:lineRule="auto"/>
              <w:jc w:val="right"/>
            </w:pPr>
          </w:p>
        </w:tc>
      </w:tr>
      <w:tr w:rsidR="008E5DE4" w14:paraId="7FEF16AA" w14:textId="77777777">
        <w:trPr>
          <w:cantSplit/>
        </w:trPr>
        <w:tc>
          <w:tcPr>
            <w:tcW w:w="5726" w:type="dxa"/>
            <w:tcBorders>
              <w:bottom w:val="single" w:sz="4" w:space="0" w:color="000000"/>
            </w:tcBorders>
            <w:vAlign w:val="bottom"/>
          </w:tcPr>
          <w:p w14:paraId="3B7CFC56" w14:textId="77777777" w:rsidR="008E5DE4" w:rsidRDefault="00780368">
            <w:pPr>
              <w:widowControl w:val="0"/>
              <w:spacing w:line="228" w:lineRule="auto"/>
            </w:pPr>
            <w:r>
              <w:rPr>
                <w:b/>
              </w:rPr>
              <w:t> </w:t>
            </w:r>
          </w:p>
        </w:tc>
        <w:tc>
          <w:tcPr>
            <w:tcW w:w="567" w:type="dxa"/>
            <w:tcBorders>
              <w:bottom w:val="single" w:sz="4" w:space="0" w:color="000000"/>
            </w:tcBorders>
            <w:vAlign w:val="bottom"/>
          </w:tcPr>
          <w:p w14:paraId="44E94543" w14:textId="77777777" w:rsidR="008E5DE4" w:rsidRDefault="008E5DE4">
            <w:pPr>
              <w:widowControl w:val="0"/>
              <w:spacing w:line="228" w:lineRule="auto"/>
              <w:ind w:left="-57" w:right="-57"/>
              <w:jc w:val="center"/>
            </w:pPr>
          </w:p>
        </w:tc>
        <w:tc>
          <w:tcPr>
            <w:tcW w:w="1531" w:type="dxa"/>
            <w:tcBorders>
              <w:bottom w:val="single" w:sz="4" w:space="0" w:color="000000"/>
            </w:tcBorders>
            <w:vAlign w:val="bottom"/>
          </w:tcPr>
          <w:p w14:paraId="4412E2E5" w14:textId="77777777" w:rsidR="008E5DE4" w:rsidRDefault="008E5DE4">
            <w:pPr>
              <w:widowControl w:val="0"/>
              <w:spacing w:line="228" w:lineRule="auto"/>
              <w:jc w:val="right"/>
            </w:pPr>
          </w:p>
        </w:tc>
        <w:tc>
          <w:tcPr>
            <w:tcW w:w="1531" w:type="dxa"/>
            <w:tcBorders>
              <w:bottom w:val="single" w:sz="4" w:space="0" w:color="000000"/>
            </w:tcBorders>
            <w:vAlign w:val="bottom"/>
          </w:tcPr>
          <w:p w14:paraId="239756F1" w14:textId="77777777" w:rsidR="008E5DE4" w:rsidRDefault="008E5DE4">
            <w:pPr>
              <w:widowControl w:val="0"/>
              <w:spacing w:line="228" w:lineRule="auto"/>
              <w:jc w:val="right"/>
            </w:pPr>
          </w:p>
        </w:tc>
      </w:tr>
      <w:tr w:rsidR="008E5DE4" w14:paraId="3336AAF1" w14:textId="77777777">
        <w:trPr>
          <w:cantSplit/>
        </w:trPr>
        <w:tc>
          <w:tcPr>
            <w:tcW w:w="5726" w:type="dxa"/>
            <w:tcBorders>
              <w:top w:val="single" w:sz="4" w:space="0" w:color="000000"/>
            </w:tcBorders>
            <w:vAlign w:val="bottom"/>
          </w:tcPr>
          <w:p w14:paraId="12458407" w14:textId="77777777" w:rsidR="008E5DE4" w:rsidRDefault="00780368">
            <w:pPr>
              <w:widowControl w:val="0"/>
              <w:spacing w:line="228" w:lineRule="auto"/>
              <w:rPr>
                <w:b/>
              </w:rPr>
            </w:pPr>
            <w:r>
              <w:rPr>
                <w:b/>
              </w:rPr>
              <w:t> </w:t>
            </w:r>
          </w:p>
        </w:tc>
        <w:tc>
          <w:tcPr>
            <w:tcW w:w="567" w:type="dxa"/>
            <w:tcBorders>
              <w:top w:val="single" w:sz="4" w:space="0" w:color="000000"/>
            </w:tcBorders>
            <w:vAlign w:val="bottom"/>
          </w:tcPr>
          <w:p w14:paraId="0FE6B539" w14:textId="77777777" w:rsidR="008E5DE4" w:rsidRDefault="008E5DE4">
            <w:pPr>
              <w:widowControl w:val="0"/>
              <w:spacing w:line="228" w:lineRule="auto"/>
              <w:ind w:left="-57" w:right="-57"/>
              <w:jc w:val="center"/>
              <w:rPr>
                <w:b/>
              </w:rPr>
            </w:pPr>
          </w:p>
        </w:tc>
        <w:tc>
          <w:tcPr>
            <w:tcW w:w="1531" w:type="dxa"/>
            <w:tcBorders>
              <w:top w:val="single" w:sz="4" w:space="0" w:color="000000"/>
            </w:tcBorders>
            <w:vAlign w:val="bottom"/>
          </w:tcPr>
          <w:p w14:paraId="20C2F36C" w14:textId="77777777" w:rsidR="008E5DE4" w:rsidRDefault="008E5DE4">
            <w:pPr>
              <w:widowControl w:val="0"/>
              <w:spacing w:line="228" w:lineRule="auto"/>
              <w:jc w:val="right"/>
              <w:rPr>
                <w:b/>
              </w:rPr>
            </w:pPr>
          </w:p>
        </w:tc>
        <w:tc>
          <w:tcPr>
            <w:tcW w:w="1531" w:type="dxa"/>
            <w:tcBorders>
              <w:top w:val="single" w:sz="4" w:space="0" w:color="000000"/>
            </w:tcBorders>
            <w:vAlign w:val="bottom"/>
          </w:tcPr>
          <w:p w14:paraId="7201340C" w14:textId="77777777" w:rsidR="008E5DE4" w:rsidRDefault="008E5DE4">
            <w:pPr>
              <w:widowControl w:val="0"/>
              <w:spacing w:line="228" w:lineRule="auto"/>
              <w:jc w:val="right"/>
              <w:rPr>
                <w:b/>
              </w:rPr>
            </w:pPr>
          </w:p>
        </w:tc>
      </w:tr>
      <w:tr w:rsidR="008E5DE4" w14:paraId="4C919055" w14:textId="77777777">
        <w:trPr>
          <w:cantSplit/>
        </w:trPr>
        <w:tc>
          <w:tcPr>
            <w:tcW w:w="5726" w:type="dxa"/>
            <w:vAlign w:val="bottom"/>
          </w:tcPr>
          <w:p w14:paraId="5348BFAF" w14:textId="77777777" w:rsidR="008E5DE4" w:rsidRDefault="00780368">
            <w:pPr>
              <w:widowControl w:val="0"/>
              <w:spacing w:line="228" w:lineRule="auto"/>
              <w:rPr>
                <w:b/>
              </w:rPr>
            </w:pPr>
            <w:r>
              <w:rPr>
                <w:b/>
              </w:rPr>
              <w:t>Total revenue from contracts with customers</w:t>
            </w:r>
          </w:p>
        </w:tc>
        <w:tc>
          <w:tcPr>
            <w:tcW w:w="567" w:type="dxa"/>
            <w:vAlign w:val="bottom"/>
          </w:tcPr>
          <w:p w14:paraId="28EE7823" w14:textId="77777777" w:rsidR="008E5DE4" w:rsidRDefault="008E5DE4">
            <w:pPr>
              <w:widowControl w:val="0"/>
              <w:spacing w:line="228" w:lineRule="auto"/>
              <w:ind w:left="-57" w:right="-57"/>
              <w:jc w:val="center"/>
              <w:rPr>
                <w:b/>
              </w:rPr>
            </w:pPr>
          </w:p>
        </w:tc>
        <w:tc>
          <w:tcPr>
            <w:tcW w:w="1531" w:type="dxa"/>
            <w:vAlign w:val="bottom"/>
          </w:tcPr>
          <w:p w14:paraId="5F83AF34" w14:textId="77777777" w:rsidR="008E5DE4" w:rsidRDefault="008E5DE4">
            <w:pPr>
              <w:widowControl w:val="0"/>
              <w:spacing w:line="228" w:lineRule="auto"/>
              <w:jc w:val="right"/>
              <w:rPr>
                <w:b/>
              </w:rPr>
            </w:pPr>
          </w:p>
        </w:tc>
        <w:tc>
          <w:tcPr>
            <w:tcW w:w="1531" w:type="dxa"/>
            <w:vAlign w:val="bottom"/>
          </w:tcPr>
          <w:p w14:paraId="59E54B96" w14:textId="77777777" w:rsidR="008E5DE4" w:rsidRDefault="008E5DE4">
            <w:pPr>
              <w:widowControl w:val="0"/>
              <w:spacing w:line="228" w:lineRule="auto"/>
              <w:jc w:val="right"/>
              <w:rPr>
                <w:b/>
              </w:rPr>
            </w:pPr>
          </w:p>
        </w:tc>
      </w:tr>
      <w:tr w:rsidR="008E5DE4" w14:paraId="111F5284" w14:textId="77777777">
        <w:trPr>
          <w:cantSplit/>
        </w:trPr>
        <w:tc>
          <w:tcPr>
            <w:tcW w:w="5726" w:type="dxa"/>
            <w:tcBorders>
              <w:bottom w:val="single" w:sz="12" w:space="0" w:color="000000"/>
            </w:tcBorders>
            <w:vAlign w:val="bottom"/>
          </w:tcPr>
          <w:p w14:paraId="075AFABA" w14:textId="77777777" w:rsidR="008E5DE4" w:rsidRDefault="00780368">
            <w:pPr>
              <w:widowControl w:val="0"/>
              <w:spacing w:line="228" w:lineRule="auto"/>
              <w:ind w:left="113" w:right="-57" w:hanging="113"/>
              <w:rPr>
                <w:b/>
              </w:rPr>
            </w:pPr>
            <w:r>
              <w:rPr>
                <w:b/>
              </w:rPr>
              <w:t> </w:t>
            </w:r>
          </w:p>
        </w:tc>
        <w:tc>
          <w:tcPr>
            <w:tcW w:w="567" w:type="dxa"/>
            <w:tcBorders>
              <w:bottom w:val="single" w:sz="12" w:space="0" w:color="000000"/>
            </w:tcBorders>
            <w:vAlign w:val="bottom"/>
          </w:tcPr>
          <w:p w14:paraId="48516FFC" w14:textId="77777777" w:rsidR="008E5DE4" w:rsidRDefault="008E5DE4">
            <w:pPr>
              <w:widowControl w:val="0"/>
              <w:spacing w:line="228" w:lineRule="auto"/>
              <w:ind w:left="-57" w:right="-57"/>
              <w:jc w:val="center"/>
              <w:rPr>
                <w:b/>
              </w:rPr>
            </w:pPr>
          </w:p>
        </w:tc>
        <w:tc>
          <w:tcPr>
            <w:tcW w:w="1531" w:type="dxa"/>
            <w:tcBorders>
              <w:bottom w:val="single" w:sz="12" w:space="0" w:color="000000"/>
            </w:tcBorders>
            <w:vAlign w:val="bottom"/>
          </w:tcPr>
          <w:p w14:paraId="7741FC26" w14:textId="77777777" w:rsidR="008E5DE4" w:rsidRDefault="008E5DE4">
            <w:pPr>
              <w:widowControl w:val="0"/>
              <w:spacing w:line="228" w:lineRule="auto"/>
              <w:jc w:val="right"/>
              <w:rPr>
                <w:b/>
              </w:rPr>
            </w:pPr>
          </w:p>
        </w:tc>
        <w:tc>
          <w:tcPr>
            <w:tcW w:w="1531" w:type="dxa"/>
            <w:tcBorders>
              <w:bottom w:val="single" w:sz="12" w:space="0" w:color="000000"/>
            </w:tcBorders>
            <w:vAlign w:val="bottom"/>
          </w:tcPr>
          <w:p w14:paraId="39732355" w14:textId="77777777" w:rsidR="008E5DE4" w:rsidRDefault="008E5DE4">
            <w:pPr>
              <w:widowControl w:val="0"/>
              <w:spacing w:line="228" w:lineRule="auto"/>
              <w:jc w:val="right"/>
              <w:rPr>
                <w:b/>
              </w:rPr>
            </w:pPr>
          </w:p>
        </w:tc>
      </w:tr>
    </w:tbl>
    <w:p w14:paraId="79AD553C" w14:textId="77777777" w:rsidR="008E5DE4" w:rsidRDefault="008E5DE4">
      <w:bookmarkStart w:id="59" w:name="_heading=h.2zbgiuw" w:colFirst="0" w:colLast="0"/>
      <w:bookmarkEnd w:id="59"/>
    </w:p>
    <w:p w14:paraId="223D8D3F" w14:textId="77777777" w:rsidR="008E5DE4" w:rsidRDefault="00780368">
      <w:pPr>
        <w:rPr>
          <w:i/>
          <w:color w:val="FF0000"/>
        </w:rPr>
      </w:pPr>
      <w:r>
        <w:br w:type="page"/>
      </w:r>
    </w:p>
    <w:p w14:paraId="2E608168" w14:textId="696F0514" w:rsidR="008E5DE4" w:rsidRDefault="00F93586" w:rsidP="007F183E">
      <w:pPr>
        <w:pStyle w:val="Heading1"/>
        <w:numPr>
          <w:ilvl w:val="0"/>
          <w:numId w:val="0"/>
        </w:numPr>
        <w:spacing w:before="400" w:after="200" w:line="228" w:lineRule="auto"/>
        <w:ind w:left="567" w:hanging="567"/>
      </w:pPr>
      <w:bookmarkStart w:id="60" w:name="_Toc149923635"/>
      <w:r>
        <w:lastRenderedPageBreak/>
        <w:t xml:space="preserve">36 </w:t>
      </w:r>
      <w:r>
        <w:tab/>
      </w:r>
      <w:r w:rsidR="00780368">
        <w:t>Income and Expenses by Nature</w:t>
      </w:r>
      <w:bookmarkEnd w:id="60"/>
    </w:p>
    <w:p w14:paraId="101B794E" w14:textId="21B6A527" w:rsidR="008E5DE4" w:rsidRDefault="00090491" w:rsidP="007F183E">
      <w:pPr>
        <w:shd w:val="clear" w:color="auto" w:fill="C6D9F1"/>
        <w:rPr>
          <w:i/>
          <w:color w:val="FF0000"/>
          <w:sz w:val="20"/>
          <w:szCs w:val="20"/>
        </w:rPr>
      </w:pPr>
      <w:r>
        <w:rPr>
          <w:b/>
          <w:i/>
          <w:sz w:val="20"/>
          <w:szCs w:val="20"/>
        </w:rPr>
        <w:t>Material accounting policy information</w:t>
      </w:r>
      <w:r w:rsidR="00780368">
        <w:rPr>
          <w:b/>
          <w:i/>
          <w:sz w:val="20"/>
          <w:szCs w:val="20"/>
        </w:rPr>
        <w:t xml:space="preserve"> </w:t>
      </w:r>
    </w:p>
    <w:p w14:paraId="48E59B1C"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Employee benefits. </w:t>
      </w:r>
      <w:r>
        <w:rPr>
          <w:color w:val="000000"/>
          <w:sz w:val="20"/>
          <w:szCs w:val="20"/>
        </w:rPr>
        <w:t xml:space="preserve">Wages, salaries, contributions to </w:t>
      </w:r>
      <w:r>
        <w:rPr>
          <w:color w:val="0000FF"/>
          <w:sz w:val="20"/>
          <w:szCs w:val="20"/>
        </w:rPr>
        <w:t>[Country]</w:t>
      </w:r>
      <w:r>
        <w:rPr>
          <w:color w:val="000000"/>
          <w:sz w:val="20"/>
          <w:szCs w:val="20"/>
        </w:rPr>
        <w:t xml:space="preserve"> state pension and social insurance funds, paid annual leave and sick leave, bonuses, and non-monetary benefits (such as health services and kindergarten services) are accrued in the year in which the associated services are rendered by the employees of the Group. The Group has no legal or constructive obligation to make pension or similar benefit payments beyond </w:t>
      </w:r>
      <w:r>
        <w:rPr>
          <w:color w:val="0000FF"/>
          <w:sz w:val="20"/>
          <w:szCs w:val="20"/>
        </w:rPr>
        <w:t>[the social contribution] [the payments to the statutory defined contribution scheme]</w:t>
      </w:r>
      <w:r>
        <w:rPr>
          <w:color w:val="000000"/>
          <w:sz w:val="20"/>
          <w:szCs w:val="20"/>
        </w:rPr>
        <w:t xml:space="preserve"> </w:t>
      </w:r>
    </w:p>
    <w:p w14:paraId="5E65C09F" w14:textId="77093CF5"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Operating lease income.</w:t>
      </w:r>
      <w:r>
        <w:rPr>
          <w:color w:val="000000"/>
          <w:sz w:val="20"/>
          <w:szCs w:val="20"/>
        </w:rPr>
        <w:t xml:space="preserve"> Where the Group is a lessor in a lease which does not transfers substantially all the risks and rewards incidental to ownership to the lessee (i.e. operating lease), lease payments from operating leases are recognised as other income on a straight-line basis. Modification of a lease is accounted for by the lessor as a new lease from the effective date of the modification, considering any prepaid or accrued lease payments relating to the original lease as part of the lease payments for the new lease.</w:t>
      </w:r>
    </w:p>
    <w:tbl>
      <w:tblPr>
        <w:tblStyle w:val="affffffffff9"/>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436C1228" w14:textId="77777777">
        <w:tc>
          <w:tcPr>
            <w:tcW w:w="9571" w:type="dxa"/>
          </w:tcPr>
          <w:p w14:paraId="009B710D" w14:textId="77777777" w:rsidR="008E5DE4" w:rsidRDefault="00780368">
            <w:pPr>
              <w:pBdr>
                <w:top w:val="nil"/>
                <w:left w:val="nil"/>
                <w:bottom w:val="nil"/>
                <w:right w:val="nil"/>
                <w:between w:val="nil"/>
              </w:pBdr>
              <w:spacing w:after="240"/>
              <w:rPr>
                <w:b/>
                <w:i/>
                <w:color w:val="000000"/>
                <w:sz w:val="20"/>
                <w:szCs w:val="20"/>
              </w:rPr>
            </w:pPr>
            <w:r>
              <w:rPr>
                <w:b/>
                <w:i/>
                <w:color w:val="000000"/>
                <w:sz w:val="20"/>
                <w:szCs w:val="20"/>
              </w:rPr>
              <w:t>Critical Accounting Estimates and Judgments in Applying Accounting Policies</w:t>
            </w:r>
          </w:p>
          <w:p w14:paraId="664CB8AB"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Post-employment benefit obligation. </w:t>
            </w:r>
            <w:r>
              <w:rPr>
                <w:color w:val="000000"/>
                <w:sz w:val="20"/>
                <w:szCs w:val="20"/>
              </w:rPr>
              <w:t xml:space="preserve">The present value of the pension obligations depends on </w:t>
            </w:r>
            <w:proofErr w:type="gramStart"/>
            <w:r>
              <w:rPr>
                <w:color w:val="000000"/>
                <w:sz w:val="20"/>
                <w:szCs w:val="20"/>
              </w:rPr>
              <w:t>a number of</w:t>
            </w:r>
            <w:proofErr w:type="gramEnd"/>
            <w:r>
              <w:rPr>
                <w:color w:val="000000"/>
                <w:sz w:val="20"/>
                <w:szCs w:val="20"/>
              </w:rPr>
              <w:t xml:space="preserve"> factors that are determined on an actuarial basis using </w:t>
            </w:r>
            <w:proofErr w:type="gramStart"/>
            <w:r>
              <w:rPr>
                <w:color w:val="000000"/>
                <w:sz w:val="20"/>
                <w:szCs w:val="20"/>
              </w:rPr>
              <w:t>a number of</w:t>
            </w:r>
            <w:proofErr w:type="gramEnd"/>
            <w:r>
              <w:rPr>
                <w:color w:val="000000"/>
                <w:sz w:val="20"/>
                <w:szCs w:val="20"/>
              </w:rPr>
              <w:t xml:space="preserve"> assumptions. The assumptions used in determining the net cost (income) for pensions include the discount rate. Any changes in these assumptions will impact the carrying amount of pension obligations.</w:t>
            </w:r>
          </w:p>
          <w:p w14:paraId="285553C3"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determines the appropriate discount rate at the end of each year. This is the interest rate that should be used to determine the present value of estimated future cash outflows expected to be required to settle the pension obligations. In determining the appropriate discount rate, the Group considers the interest rates of high-quality corporate bonds that are denominated in the currency in which the benefits will be paid and that have terms to maturity approximating the terms of the related pension obligation.</w:t>
            </w:r>
          </w:p>
          <w:p w14:paraId="14DED3B2" w14:textId="4E7981FC" w:rsidR="008E5DE4" w:rsidRDefault="00780368" w:rsidP="007F183E">
            <w:pPr>
              <w:widowControl w:val="0"/>
              <w:pBdr>
                <w:top w:val="nil"/>
                <w:left w:val="nil"/>
                <w:bottom w:val="nil"/>
                <w:right w:val="nil"/>
                <w:between w:val="nil"/>
              </w:pBdr>
              <w:spacing w:before="200" w:after="200"/>
              <w:jc w:val="both"/>
            </w:pPr>
            <w:bookmarkStart w:id="61" w:name="_heading=h.3ygebqi" w:colFirst="0" w:colLast="0"/>
            <w:bookmarkEnd w:id="61"/>
            <w:r>
              <w:rPr>
                <w:color w:val="000000"/>
                <w:sz w:val="20"/>
                <w:szCs w:val="20"/>
              </w:rPr>
              <w:t>Other key assumptions for pension obligations are based in part on current market conditions. Additional information is disclosed in Note __.</w:t>
            </w:r>
            <w:r>
              <w:rPr>
                <w:b/>
                <w:i/>
                <w:color w:val="000000"/>
                <w:sz w:val="20"/>
                <w:szCs w:val="20"/>
              </w:rPr>
              <w:t xml:space="preserve"> </w:t>
            </w:r>
          </w:p>
        </w:tc>
      </w:tr>
    </w:tbl>
    <w:p w14:paraId="24014EBE" w14:textId="77777777" w:rsidR="008E5DE4" w:rsidRDefault="008E5DE4"/>
    <w:p w14:paraId="61368A11"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36</w:t>
      </w:r>
      <w:r>
        <w:rPr>
          <w:b/>
          <w:color w:val="000000"/>
          <w:sz w:val="20"/>
          <w:szCs w:val="20"/>
        </w:rPr>
        <w:tab/>
        <w:t>Income and Expenses by Nature (Continued)</w:t>
      </w:r>
    </w:p>
    <w:p w14:paraId="045B8D1D" w14:textId="267C924A" w:rsidR="008E5DE4" w:rsidRDefault="008E5DE4">
      <w:pPr>
        <w:widowControl w:val="0"/>
        <w:pBdr>
          <w:top w:val="nil"/>
          <w:left w:val="nil"/>
          <w:bottom w:val="nil"/>
          <w:right w:val="nil"/>
          <w:between w:val="nil"/>
        </w:pBdr>
        <w:spacing w:before="200" w:after="200" w:line="228" w:lineRule="auto"/>
        <w:jc w:val="both"/>
        <w:rPr>
          <w:i/>
          <w:color w:val="FF0000"/>
          <w:sz w:val="20"/>
          <w:szCs w:val="20"/>
        </w:rPr>
      </w:pPr>
    </w:p>
    <w:tbl>
      <w:tblPr>
        <w:tblStyle w:val="affffffffffa"/>
        <w:tblW w:w="9355" w:type="dxa"/>
        <w:tblLayout w:type="fixed"/>
        <w:tblLook w:val="0000" w:firstRow="0" w:lastRow="0" w:firstColumn="0" w:lastColumn="0" w:noHBand="0" w:noVBand="0"/>
      </w:tblPr>
      <w:tblGrid>
        <w:gridCol w:w="5726"/>
        <w:gridCol w:w="567"/>
        <w:gridCol w:w="1531"/>
        <w:gridCol w:w="1531"/>
      </w:tblGrid>
      <w:tr w:rsidR="008E5DE4" w14:paraId="4FDD9658" w14:textId="77777777">
        <w:trPr>
          <w:cantSplit/>
        </w:trPr>
        <w:tc>
          <w:tcPr>
            <w:tcW w:w="5726" w:type="dxa"/>
            <w:tcBorders>
              <w:bottom w:val="single" w:sz="4" w:space="0" w:color="000000"/>
            </w:tcBorders>
            <w:vAlign w:val="bottom"/>
          </w:tcPr>
          <w:p w14:paraId="47414A55"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567" w:type="dxa"/>
            <w:tcBorders>
              <w:bottom w:val="single" w:sz="4" w:space="0" w:color="000000"/>
            </w:tcBorders>
            <w:vAlign w:val="bottom"/>
          </w:tcPr>
          <w:p w14:paraId="2ECD6C95"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19CB5178" w14:textId="121BEBA8"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8012B0F" w14:textId="423F3C5F"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13BFA138" w14:textId="77777777">
        <w:trPr>
          <w:cantSplit/>
        </w:trPr>
        <w:tc>
          <w:tcPr>
            <w:tcW w:w="5726" w:type="dxa"/>
            <w:vAlign w:val="bottom"/>
          </w:tcPr>
          <w:p w14:paraId="02DD9B25" w14:textId="77777777" w:rsidR="008E5DE4" w:rsidRDefault="00780368">
            <w:pPr>
              <w:widowControl w:val="0"/>
              <w:ind w:left="113" w:right="-57" w:hanging="113"/>
            </w:pPr>
            <w:r>
              <w:rPr>
                <w:b/>
              </w:rPr>
              <w:t> </w:t>
            </w:r>
          </w:p>
        </w:tc>
        <w:tc>
          <w:tcPr>
            <w:tcW w:w="567" w:type="dxa"/>
            <w:vAlign w:val="bottom"/>
          </w:tcPr>
          <w:p w14:paraId="0A95808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46FB93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D2085F3" w14:textId="77777777" w:rsidR="008E5DE4" w:rsidRDefault="008E5DE4">
            <w:pPr>
              <w:widowControl w:val="0"/>
              <w:pBdr>
                <w:top w:val="nil"/>
                <w:left w:val="nil"/>
                <w:bottom w:val="nil"/>
                <w:right w:val="nil"/>
                <w:between w:val="nil"/>
              </w:pBdr>
              <w:jc w:val="right"/>
              <w:rPr>
                <w:color w:val="000000"/>
              </w:rPr>
            </w:pPr>
          </w:p>
        </w:tc>
      </w:tr>
      <w:tr w:rsidR="008E5DE4" w14:paraId="0613823A" w14:textId="77777777">
        <w:trPr>
          <w:cantSplit/>
        </w:trPr>
        <w:tc>
          <w:tcPr>
            <w:tcW w:w="5726" w:type="dxa"/>
            <w:vAlign w:val="bottom"/>
          </w:tcPr>
          <w:p w14:paraId="3998ACCC"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inventories of finished goods and work in progress</w:t>
            </w:r>
          </w:p>
        </w:tc>
        <w:tc>
          <w:tcPr>
            <w:tcW w:w="567" w:type="dxa"/>
            <w:vAlign w:val="bottom"/>
          </w:tcPr>
          <w:p w14:paraId="3129E494" w14:textId="77777777" w:rsidR="008E5DE4" w:rsidRDefault="00780368">
            <w:pPr>
              <w:widowControl w:val="0"/>
              <w:pBdr>
                <w:top w:val="nil"/>
                <w:left w:val="nil"/>
                <w:bottom w:val="nil"/>
                <w:right w:val="nil"/>
                <w:between w:val="nil"/>
              </w:pBdr>
              <w:ind w:left="-57" w:right="-57"/>
              <w:jc w:val="center"/>
              <w:rPr>
                <w:color w:val="000000"/>
              </w:rPr>
            </w:pPr>
            <w:r>
              <w:rPr>
                <w:color w:val="000000"/>
              </w:rPr>
              <w:t>19</w:t>
            </w:r>
          </w:p>
        </w:tc>
        <w:tc>
          <w:tcPr>
            <w:tcW w:w="1531" w:type="dxa"/>
            <w:vAlign w:val="bottom"/>
          </w:tcPr>
          <w:p w14:paraId="2F32CCC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AE67496" w14:textId="77777777" w:rsidR="008E5DE4" w:rsidRDefault="008E5DE4">
            <w:pPr>
              <w:widowControl w:val="0"/>
              <w:pBdr>
                <w:top w:val="nil"/>
                <w:left w:val="nil"/>
                <w:bottom w:val="nil"/>
                <w:right w:val="nil"/>
                <w:between w:val="nil"/>
              </w:pBdr>
              <w:jc w:val="right"/>
              <w:rPr>
                <w:color w:val="000000"/>
              </w:rPr>
            </w:pPr>
          </w:p>
        </w:tc>
      </w:tr>
      <w:tr w:rsidR="008E5DE4" w14:paraId="7D414758" w14:textId="77777777">
        <w:trPr>
          <w:cantSplit/>
        </w:trPr>
        <w:tc>
          <w:tcPr>
            <w:tcW w:w="5726" w:type="dxa"/>
            <w:vAlign w:val="bottom"/>
          </w:tcPr>
          <w:p w14:paraId="3577957B"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Materials and components used</w:t>
            </w:r>
          </w:p>
        </w:tc>
        <w:tc>
          <w:tcPr>
            <w:tcW w:w="567" w:type="dxa"/>
            <w:vAlign w:val="bottom"/>
          </w:tcPr>
          <w:p w14:paraId="47AE622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7F9580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3B2CBCE" w14:textId="77777777" w:rsidR="008E5DE4" w:rsidRDefault="008E5DE4">
            <w:pPr>
              <w:widowControl w:val="0"/>
              <w:pBdr>
                <w:top w:val="nil"/>
                <w:left w:val="nil"/>
                <w:bottom w:val="nil"/>
                <w:right w:val="nil"/>
                <w:between w:val="nil"/>
              </w:pBdr>
              <w:jc w:val="right"/>
              <w:rPr>
                <w:color w:val="000000"/>
              </w:rPr>
            </w:pPr>
          </w:p>
        </w:tc>
      </w:tr>
      <w:tr w:rsidR="008E5DE4" w14:paraId="451689B7" w14:textId="77777777">
        <w:trPr>
          <w:cantSplit/>
        </w:trPr>
        <w:tc>
          <w:tcPr>
            <w:tcW w:w="5726" w:type="dxa"/>
            <w:vAlign w:val="bottom"/>
          </w:tcPr>
          <w:p w14:paraId="4C5AECE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Cost of </w:t>
            </w:r>
            <w:r>
              <w:rPr>
                <w:color w:val="0000FF"/>
              </w:rPr>
              <w:t xml:space="preserve">[raw materials] [goods] </w:t>
            </w:r>
            <w:r>
              <w:rPr>
                <w:color w:val="000000"/>
              </w:rPr>
              <w:t>sold</w:t>
            </w:r>
          </w:p>
        </w:tc>
        <w:tc>
          <w:tcPr>
            <w:tcW w:w="567" w:type="dxa"/>
            <w:vAlign w:val="bottom"/>
          </w:tcPr>
          <w:p w14:paraId="5740714D"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E47871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91566D2" w14:textId="77777777" w:rsidR="008E5DE4" w:rsidRDefault="008E5DE4">
            <w:pPr>
              <w:widowControl w:val="0"/>
              <w:pBdr>
                <w:top w:val="nil"/>
                <w:left w:val="nil"/>
                <w:bottom w:val="nil"/>
                <w:right w:val="nil"/>
                <w:between w:val="nil"/>
              </w:pBdr>
              <w:jc w:val="right"/>
              <w:rPr>
                <w:color w:val="000000"/>
              </w:rPr>
            </w:pPr>
          </w:p>
        </w:tc>
      </w:tr>
      <w:tr w:rsidR="008E5DE4" w14:paraId="7C0DEB5D" w14:textId="77777777">
        <w:trPr>
          <w:cantSplit/>
        </w:trPr>
        <w:tc>
          <w:tcPr>
            <w:tcW w:w="5726" w:type="dxa"/>
            <w:vAlign w:val="bottom"/>
          </w:tcPr>
          <w:p w14:paraId="0CADFC0A" w14:textId="77777777" w:rsidR="008E5DE4" w:rsidRDefault="00780368">
            <w:pPr>
              <w:widowControl w:val="0"/>
              <w:pBdr>
                <w:top w:val="nil"/>
                <w:left w:val="nil"/>
                <w:bottom w:val="nil"/>
                <w:right w:val="nil"/>
                <w:between w:val="nil"/>
              </w:pBdr>
              <w:ind w:left="113" w:right="-57" w:hanging="113"/>
              <w:rPr>
                <w:color w:val="000000"/>
              </w:rPr>
            </w:pPr>
            <w:r>
              <w:rPr>
                <w:color w:val="000000"/>
              </w:rPr>
              <w:t>Write-down of inventories to net realisable value</w:t>
            </w:r>
          </w:p>
        </w:tc>
        <w:tc>
          <w:tcPr>
            <w:tcW w:w="567" w:type="dxa"/>
            <w:vAlign w:val="bottom"/>
          </w:tcPr>
          <w:p w14:paraId="09AAB4D9"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4E8988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A319AD7" w14:textId="77777777" w:rsidR="008E5DE4" w:rsidRDefault="008E5DE4">
            <w:pPr>
              <w:widowControl w:val="0"/>
              <w:pBdr>
                <w:top w:val="nil"/>
                <w:left w:val="nil"/>
                <w:bottom w:val="nil"/>
                <w:right w:val="nil"/>
                <w:between w:val="nil"/>
              </w:pBdr>
              <w:jc w:val="right"/>
              <w:rPr>
                <w:color w:val="000000"/>
              </w:rPr>
            </w:pPr>
          </w:p>
        </w:tc>
      </w:tr>
      <w:tr w:rsidR="008E5DE4" w14:paraId="654FFAE0" w14:textId="77777777">
        <w:trPr>
          <w:cantSplit/>
        </w:trPr>
        <w:tc>
          <w:tcPr>
            <w:tcW w:w="5726" w:type="dxa"/>
            <w:vAlign w:val="bottom"/>
          </w:tcPr>
          <w:p w14:paraId="3D0B5701"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Reversal of write-down of inventories to net realisable value</w:t>
            </w:r>
          </w:p>
        </w:tc>
        <w:tc>
          <w:tcPr>
            <w:tcW w:w="567" w:type="dxa"/>
            <w:vAlign w:val="bottom"/>
          </w:tcPr>
          <w:p w14:paraId="7715A3E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43D5C9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114C82C" w14:textId="77777777" w:rsidR="008E5DE4" w:rsidRDefault="008E5DE4">
            <w:pPr>
              <w:widowControl w:val="0"/>
              <w:pBdr>
                <w:top w:val="nil"/>
                <w:left w:val="nil"/>
                <w:bottom w:val="nil"/>
                <w:right w:val="nil"/>
                <w:between w:val="nil"/>
              </w:pBdr>
              <w:jc w:val="right"/>
              <w:rPr>
                <w:color w:val="000000"/>
              </w:rPr>
            </w:pPr>
          </w:p>
        </w:tc>
      </w:tr>
      <w:tr w:rsidR="008E5DE4" w14:paraId="4EEAEC73" w14:textId="77777777">
        <w:trPr>
          <w:cantSplit/>
        </w:trPr>
        <w:tc>
          <w:tcPr>
            <w:tcW w:w="5726" w:type="dxa"/>
            <w:vAlign w:val="bottom"/>
          </w:tcPr>
          <w:p w14:paraId="48585ABC" w14:textId="77777777" w:rsidR="008E5DE4" w:rsidRDefault="00780368">
            <w:pPr>
              <w:widowControl w:val="0"/>
              <w:pBdr>
                <w:top w:val="nil"/>
                <w:left w:val="nil"/>
                <w:bottom w:val="nil"/>
                <w:right w:val="nil"/>
                <w:between w:val="nil"/>
              </w:pBdr>
              <w:ind w:left="113" w:right="-57" w:hanging="113"/>
              <w:rPr>
                <w:color w:val="000000"/>
              </w:rPr>
            </w:pPr>
            <w:r>
              <w:rPr>
                <w:color w:val="000000"/>
              </w:rPr>
              <w:t>Employee benefits expense</w:t>
            </w:r>
          </w:p>
        </w:tc>
        <w:tc>
          <w:tcPr>
            <w:tcW w:w="567" w:type="dxa"/>
            <w:vAlign w:val="bottom"/>
          </w:tcPr>
          <w:p w14:paraId="009DC5B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FB630F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B81D591" w14:textId="77777777" w:rsidR="008E5DE4" w:rsidRDefault="008E5DE4">
            <w:pPr>
              <w:widowControl w:val="0"/>
              <w:pBdr>
                <w:top w:val="nil"/>
                <w:left w:val="nil"/>
                <w:bottom w:val="nil"/>
                <w:right w:val="nil"/>
                <w:between w:val="nil"/>
              </w:pBdr>
              <w:jc w:val="right"/>
              <w:rPr>
                <w:color w:val="000000"/>
              </w:rPr>
            </w:pPr>
          </w:p>
        </w:tc>
      </w:tr>
      <w:tr w:rsidR="008E5DE4" w14:paraId="249090AE" w14:textId="77777777">
        <w:trPr>
          <w:cantSplit/>
        </w:trPr>
        <w:tc>
          <w:tcPr>
            <w:tcW w:w="5726" w:type="dxa"/>
            <w:vAlign w:val="bottom"/>
          </w:tcPr>
          <w:p w14:paraId="257DCA46" w14:textId="77777777" w:rsidR="008E5DE4" w:rsidRDefault="00780368">
            <w:pPr>
              <w:widowControl w:val="0"/>
              <w:pBdr>
                <w:top w:val="nil"/>
                <w:left w:val="nil"/>
                <w:bottom w:val="nil"/>
                <w:right w:val="nil"/>
                <w:between w:val="nil"/>
              </w:pBdr>
              <w:ind w:left="113" w:right="-57" w:hanging="113"/>
              <w:rPr>
                <w:color w:val="000000"/>
              </w:rPr>
            </w:pPr>
            <w:r>
              <w:rPr>
                <w:color w:val="000000"/>
              </w:rPr>
              <w:t>Spare parts consumed</w:t>
            </w:r>
          </w:p>
        </w:tc>
        <w:tc>
          <w:tcPr>
            <w:tcW w:w="567" w:type="dxa"/>
            <w:vAlign w:val="bottom"/>
          </w:tcPr>
          <w:p w14:paraId="65C5B8B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D4D3EA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7690FD1" w14:textId="77777777" w:rsidR="008E5DE4" w:rsidRDefault="008E5DE4">
            <w:pPr>
              <w:widowControl w:val="0"/>
              <w:pBdr>
                <w:top w:val="nil"/>
                <w:left w:val="nil"/>
                <w:bottom w:val="nil"/>
                <w:right w:val="nil"/>
                <w:between w:val="nil"/>
              </w:pBdr>
              <w:jc w:val="right"/>
              <w:rPr>
                <w:color w:val="000000"/>
              </w:rPr>
            </w:pPr>
          </w:p>
        </w:tc>
      </w:tr>
      <w:tr w:rsidR="008E5DE4" w14:paraId="6DF5BE0B" w14:textId="77777777">
        <w:trPr>
          <w:cantSplit/>
        </w:trPr>
        <w:tc>
          <w:tcPr>
            <w:tcW w:w="5726" w:type="dxa"/>
            <w:vAlign w:val="bottom"/>
          </w:tcPr>
          <w:p w14:paraId="590B2F30"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xml:space="preserve">Repairs and maintenance services </w:t>
            </w:r>
          </w:p>
        </w:tc>
        <w:tc>
          <w:tcPr>
            <w:tcW w:w="567" w:type="dxa"/>
            <w:vAlign w:val="bottom"/>
          </w:tcPr>
          <w:p w14:paraId="1D1E255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88A8F4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6A89F57" w14:textId="77777777" w:rsidR="008E5DE4" w:rsidRDefault="008E5DE4">
            <w:pPr>
              <w:widowControl w:val="0"/>
              <w:pBdr>
                <w:top w:val="nil"/>
                <w:left w:val="nil"/>
                <w:bottom w:val="nil"/>
                <w:right w:val="nil"/>
                <w:between w:val="nil"/>
              </w:pBdr>
              <w:jc w:val="right"/>
              <w:rPr>
                <w:color w:val="000000"/>
              </w:rPr>
            </w:pPr>
          </w:p>
        </w:tc>
      </w:tr>
      <w:tr w:rsidR="008E5DE4" w14:paraId="3C9F685A" w14:textId="77777777">
        <w:trPr>
          <w:cantSplit/>
        </w:trPr>
        <w:tc>
          <w:tcPr>
            <w:tcW w:w="5726" w:type="dxa"/>
            <w:vAlign w:val="bottom"/>
          </w:tcPr>
          <w:p w14:paraId="0788AC5A" w14:textId="77777777" w:rsidR="008E5DE4" w:rsidRDefault="00780368">
            <w:pPr>
              <w:widowControl w:val="0"/>
              <w:pBdr>
                <w:top w:val="nil"/>
                <w:left w:val="nil"/>
                <w:bottom w:val="nil"/>
                <w:right w:val="nil"/>
                <w:between w:val="nil"/>
              </w:pBdr>
              <w:ind w:left="113" w:right="-57" w:hanging="113"/>
              <w:rPr>
                <w:color w:val="000000"/>
              </w:rPr>
            </w:pPr>
            <w:r>
              <w:rPr>
                <w:color w:val="000000"/>
              </w:rPr>
              <w:t>Depreciation of property, plant and equipment</w:t>
            </w:r>
          </w:p>
        </w:tc>
        <w:tc>
          <w:tcPr>
            <w:tcW w:w="567" w:type="dxa"/>
            <w:vAlign w:val="bottom"/>
          </w:tcPr>
          <w:p w14:paraId="2148B205" w14:textId="77777777" w:rsidR="008E5DE4" w:rsidRDefault="00780368">
            <w:pPr>
              <w:widowControl w:val="0"/>
              <w:pBdr>
                <w:top w:val="nil"/>
                <w:left w:val="nil"/>
                <w:bottom w:val="nil"/>
                <w:right w:val="nil"/>
                <w:between w:val="nil"/>
              </w:pBdr>
              <w:ind w:left="-57" w:right="-57"/>
              <w:jc w:val="center"/>
              <w:rPr>
                <w:color w:val="000000"/>
              </w:rPr>
            </w:pPr>
            <w:r>
              <w:rPr>
                <w:color w:val="000000"/>
              </w:rPr>
              <w:t>9</w:t>
            </w:r>
          </w:p>
        </w:tc>
        <w:tc>
          <w:tcPr>
            <w:tcW w:w="1531" w:type="dxa"/>
            <w:vAlign w:val="bottom"/>
          </w:tcPr>
          <w:p w14:paraId="7CE21B9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9487AE5" w14:textId="77777777" w:rsidR="008E5DE4" w:rsidRDefault="008E5DE4">
            <w:pPr>
              <w:widowControl w:val="0"/>
              <w:pBdr>
                <w:top w:val="nil"/>
                <w:left w:val="nil"/>
                <w:bottom w:val="nil"/>
                <w:right w:val="nil"/>
                <w:between w:val="nil"/>
              </w:pBdr>
              <w:jc w:val="right"/>
              <w:rPr>
                <w:color w:val="000000"/>
              </w:rPr>
            </w:pPr>
          </w:p>
        </w:tc>
      </w:tr>
      <w:tr w:rsidR="008E5DE4" w14:paraId="12047350" w14:textId="77777777">
        <w:trPr>
          <w:cantSplit/>
        </w:trPr>
        <w:tc>
          <w:tcPr>
            <w:tcW w:w="5726" w:type="dxa"/>
            <w:vAlign w:val="bottom"/>
          </w:tcPr>
          <w:p w14:paraId="4A731146" w14:textId="77777777" w:rsidR="008E5DE4" w:rsidRDefault="00780368">
            <w:pPr>
              <w:widowControl w:val="0"/>
              <w:pBdr>
                <w:top w:val="nil"/>
                <w:left w:val="nil"/>
                <w:bottom w:val="nil"/>
                <w:right w:val="nil"/>
                <w:between w:val="nil"/>
              </w:pBdr>
              <w:ind w:left="113" w:right="-57" w:hanging="113"/>
              <w:rPr>
                <w:color w:val="000000"/>
              </w:rPr>
            </w:pPr>
            <w:r>
              <w:rPr>
                <w:color w:val="000000"/>
              </w:rPr>
              <w:t>Impairment of property, plant and equipment</w:t>
            </w:r>
          </w:p>
        </w:tc>
        <w:tc>
          <w:tcPr>
            <w:tcW w:w="567" w:type="dxa"/>
            <w:vAlign w:val="bottom"/>
          </w:tcPr>
          <w:p w14:paraId="3B6A7655" w14:textId="77777777" w:rsidR="008E5DE4" w:rsidRDefault="00780368">
            <w:pPr>
              <w:widowControl w:val="0"/>
              <w:pBdr>
                <w:top w:val="nil"/>
                <w:left w:val="nil"/>
                <w:bottom w:val="nil"/>
                <w:right w:val="nil"/>
                <w:between w:val="nil"/>
              </w:pBdr>
              <w:ind w:left="-57" w:right="-57"/>
              <w:jc w:val="center"/>
              <w:rPr>
                <w:color w:val="000000"/>
              </w:rPr>
            </w:pPr>
            <w:r>
              <w:rPr>
                <w:color w:val="000000"/>
              </w:rPr>
              <w:t>9</w:t>
            </w:r>
          </w:p>
        </w:tc>
        <w:tc>
          <w:tcPr>
            <w:tcW w:w="1531" w:type="dxa"/>
            <w:vAlign w:val="bottom"/>
          </w:tcPr>
          <w:p w14:paraId="7E4A74C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96F6864" w14:textId="77777777" w:rsidR="008E5DE4" w:rsidRDefault="008E5DE4">
            <w:pPr>
              <w:widowControl w:val="0"/>
              <w:pBdr>
                <w:top w:val="nil"/>
                <w:left w:val="nil"/>
                <w:bottom w:val="nil"/>
                <w:right w:val="nil"/>
                <w:between w:val="nil"/>
              </w:pBdr>
              <w:jc w:val="right"/>
              <w:rPr>
                <w:color w:val="000000"/>
              </w:rPr>
            </w:pPr>
          </w:p>
        </w:tc>
      </w:tr>
      <w:tr w:rsidR="008E5DE4" w14:paraId="17867855" w14:textId="77777777">
        <w:trPr>
          <w:cantSplit/>
        </w:trPr>
        <w:tc>
          <w:tcPr>
            <w:tcW w:w="5726" w:type="dxa"/>
            <w:vAlign w:val="bottom"/>
          </w:tcPr>
          <w:p w14:paraId="4FC87344" w14:textId="77777777" w:rsidR="008E5DE4" w:rsidRDefault="00780368">
            <w:pPr>
              <w:widowControl w:val="0"/>
              <w:pBdr>
                <w:top w:val="nil"/>
                <w:left w:val="nil"/>
                <w:bottom w:val="nil"/>
                <w:right w:val="nil"/>
                <w:between w:val="nil"/>
              </w:pBdr>
              <w:ind w:left="113" w:right="-57" w:hanging="113"/>
              <w:rPr>
                <w:color w:val="000000"/>
              </w:rPr>
            </w:pPr>
            <w:r>
              <w:rPr>
                <w:color w:val="000000"/>
              </w:rPr>
              <w:t>Reversals of impairment of property, plant and equipment</w:t>
            </w:r>
          </w:p>
        </w:tc>
        <w:tc>
          <w:tcPr>
            <w:tcW w:w="567" w:type="dxa"/>
            <w:vAlign w:val="bottom"/>
          </w:tcPr>
          <w:p w14:paraId="57FAE22D" w14:textId="77777777" w:rsidR="008E5DE4" w:rsidRDefault="00780368">
            <w:pPr>
              <w:widowControl w:val="0"/>
              <w:pBdr>
                <w:top w:val="nil"/>
                <w:left w:val="nil"/>
                <w:bottom w:val="nil"/>
                <w:right w:val="nil"/>
                <w:between w:val="nil"/>
              </w:pBdr>
              <w:ind w:left="-57" w:right="-57"/>
              <w:jc w:val="center"/>
              <w:rPr>
                <w:color w:val="000000"/>
              </w:rPr>
            </w:pPr>
            <w:r>
              <w:rPr>
                <w:color w:val="000000"/>
              </w:rPr>
              <w:t>9</w:t>
            </w:r>
          </w:p>
        </w:tc>
        <w:tc>
          <w:tcPr>
            <w:tcW w:w="1531" w:type="dxa"/>
            <w:vAlign w:val="bottom"/>
          </w:tcPr>
          <w:p w14:paraId="4EC3B67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53B85BD" w14:textId="77777777" w:rsidR="008E5DE4" w:rsidRDefault="008E5DE4">
            <w:pPr>
              <w:widowControl w:val="0"/>
              <w:pBdr>
                <w:top w:val="nil"/>
                <w:left w:val="nil"/>
                <w:bottom w:val="nil"/>
                <w:right w:val="nil"/>
                <w:between w:val="nil"/>
              </w:pBdr>
              <w:jc w:val="right"/>
              <w:rPr>
                <w:color w:val="000000"/>
              </w:rPr>
            </w:pPr>
          </w:p>
        </w:tc>
      </w:tr>
      <w:tr w:rsidR="008E5DE4" w14:paraId="3278330A" w14:textId="77777777">
        <w:trPr>
          <w:cantSplit/>
        </w:trPr>
        <w:tc>
          <w:tcPr>
            <w:tcW w:w="5726" w:type="dxa"/>
            <w:vAlign w:val="bottom"/>
          </w:tcPr>
          <w:p w14:paraId="1CC31219" w14:textId="77777777" w:rsidR="008E5DE4" w:rsidRDefault="00780368">
            <w:pPr>
              <w:widowControl w:val="0"/>
              <w:pBdr>
                <w:top w:val="nil"/>
                <w:left w:val="nil"/>
                <w:bottom w:val="nil"/>
                <w:right w:val="nil"/>
                <w:between w:val="nil"/>
              </w:pBdr>
              <w:ind w:left="113" w:right="-57" w:hanging="113"/>
              <w:rPr>
                <w:color w:val="000000"/>
              </w:rPr>
            </w:pPr>
            <w:r>
              <w:rPr>
                <w:color w:val="000000"/>
              </w:rPr>
              <w:t>Depreciation of right-of-use assets</w:t>
            </w:r>
          </w:p>
        </w:tc>
        <w:tc>
          <w:tcPr>
            <w:tcW w:w="567" w:type="dxa"/>
            <w:vAlign w:val="bottom"/>
          </w:tcPr>
          <w:p w14:paraId="029A0BEC" w14:textId="77777777" w:rsidR="008E5DE4" w:rsidRDefault="00780368">
            <w:pPr>
              <w:widowControl w:val="0"/>
              <w:pBdr>
                <w:top w:val="nil"/>
                <w:left w:val="nil"/>
                <w:bottom w:val="nil"/>
                <w:right w:val="nil"/>
                <w:between w:val="nil"/>
              </w:pBdr>
              <w:ind w:left="-57" w:right="-57"/>
              <w:jc w:val="center"/>
              <w:rPr>
                <w:color w:val="000000"/>
              </w:rPr>
            </w:pPr>
            <w:r>
              <w:rPr>
                <w:color w:val="000000"/>
              </w:rPr>
              <w:t>11</w:t>
            </w:r>
          </w:p>
        </w:tc>
        <w:tc>
          <w:tcPr>
            <w:tcW w:w="1531" w:type="dxa"/>
            <w:vAlign w:val="bottom"/>
          </w:tcPr>
          <w:p w14:paraId="6AC8111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84537BE" w14:textId="77777777" w:rsidR="008E5DE4" w:rsidRDefault="008E5DE4">
            <w:pPr>
              <w:widowControl w:val="0"/>
              <w:pBdr>
                <w:top w:val="nil"/>
                <w:left w:val="nil"/>
                <w:bottom w:val="nil"/>
                <w:right w:val="nil"/>
                <w:between w:val="nil"/>
              </w:pBdr>
              <w:jc w:val="right"/>
              <w:rPr>
                <w:color w:val="000000"/>
              </w:rPr>
            </w:pPr>
          </w:p>
        </w:tc>
      </w:tr>
      <w:tr w:rsidR="008E5DE4" w14:paraId="3A2485D7" w14:textId="77777777">
        <w:trPr>
          <w:cantSplit/>
        </w:trPr>
        <w:tc>
          <w:tcPr>
            <w:tcW w:w="5726" w:type="dxa"/>
            <w:vAlign w:val="bottom"/>
          </w:tcPr>
          <w:p w14:paraId="484AD741" w14:textId="77777777" w:rsidR="008E5DE4" w:rsidRDefault="00780368">
            <w:pPr>
              <w:widowControl w:val="0"/>
              <w:pBdr>
                <w:top w:val="nil"/>
                <w:left w:val="nil"/>
                <w:bottom w:val="nil"/>
                <w:right w:val="nil"/>
                <w:between w:val="nil"/>
              </w:pBdr>
              <w:ind w:left="113" w:right="-57" w:hanging="113"/>
              <w:rPr>
                <w:color w:val="000000"/>
              </w:rPr>
            </w:pPr>
            <w:r>
              <w:rPr>
                <w:color w:val="000000"/>
              </w:rPr>
              <w:t>Impairment of right-of-use assets</w:t>
            </w:r>
          </w:p>
        </w:tc>
        <w:tc>
          <w:tcPr>
            <w:tcW w:w="567" w:type="dxa"/>
            <w:vAlign w:val="bottom"/>
          </w:tcPr>
          <w:p w14:paraId="7A30C388" w14:textId="77777777" w:rsidR="008E5DE4" w:rsidRDefault="00780368">
            <w:pPr>
              <w:widowControl w:val="0"/>
              <w:pBdr>
                <w:top w:val="nil"/>
                <w:left w:val="nil"/>
                <w:bottom w:val="nil"/>
                <w:right w:val="nil"/>
                <w:between w:val="nil"/>
              </w:pBdr>
              <w:ind w:left="-57" w:right="-57"/>
              <w:jc w:val="center"/>
              <w:rPr>
                <w:color w:val="000000"/>
              </w:rPr>
            </w:pPr>
            <w:r>
              <w:rPr>
                <w:color w:val="000000"/>
              </w:rPr>
              <w:t>11</w:t>
            </w:r>
          </w:p>
        </w:tc>
        <w:tc>
          <w:tcPr>
            <w:tcW w:w="1531" w:type="dxa"/>
            <w:vAlign w:val="bottom"/>
          </w:tcPr>
          <w:p w14:paraId="3BCA405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9129D2C" w14:textId="77777777" w:rsidR="008E5DE4" w:rsidRDefault="008E5DE4">
            <w:pPr>
              <w:widowControl w:val="0"/>
              <w:pBdr>
                <w:top w:val="nil"/>
                <w:left w:val="nil"/>
                <w:bottom w:val="nil"/>
                <w:right w:val="nil"/>
                <w:between w:val="nil"/>
              </w:pBdr>
              <w:jc w:val="right"/>
              <w:rPr>
                <w:color w:val="000000"/>
              </w:rPr>
            </w:pPr>
          </w:p>
        </w:tc>
      </w:tr>
      <w:tr w:rsidR="008E5DE4" w14:paraId="1C771788" w14:textId="77777777">
        <w:trPr>
          <w:cantSplit/>
        </w:trPr>
        <w:tc>
          <w:tcPr>
            <w:tcW w:w="5726" w:type="dxa"/>
            <w:vAlign w:val="bottom"/>
          </w:tcPr>
          <w:p w14:paraId="262F4F51" w14:textId="77777777" w:rsidR="008E5DE4" w:rsidRDefault="00780368">
            <w:pPr>
              <w:widowControl w:val="0"/>
              <w:pBdr>
                <w:top w:val="nil"/>
                <w:left w:val="nil"/>
                <w:bottom w:val="nil"/>
                <w:right w:val="nil"/>
                <w:between w:val="nil"/>
              </w:pBdr>
              <w:ind w:left="113" w:right="-57" w:hanging="113"/>
              <w:rPr>
                <w:color w:val="000000"/>
              </w:rPr>
            </w:pPr>
            <w:r>
              <w:rPr>
                <w:color w:val="000000"/>
              </w:rPr>
              <w:t>Expenses relating to short-term leases</w:t>
            </w:r>
          </w:p>
        </w:tc>
        <w:tc>
          <w:tcPr>
            <w:tcW w:w="567" w:type="dxa"/>
            <w:vAlign w:val="bottom"/>
          </w:tcPr>
          <w:p w14:paraId="00029179" w14:textId="77777777" w:rsidR="008E5DE4" w:rsidRDefault="00780368">
            <w:pPr>
              <w:widowControl w:val="0"/>
              <w:pBdr>
                <w:top w:val="nil"/>
                <w:left w:val="nil"/>
                <w:bottom w:val="nil"/>
                <w:right w:val="nil"/>
                <w:between w:val="nil"/>
              </w:pBdr>
              <w:ind w:left="-57" w:right="-57"/>
              <w:jc w:val="center"/>
              <w:rPr>
                <w:color w:val="000000"/>
              </w:rPr>
            </w:pPr>
            <w:r>
              <w:rPr>
                <w:color w:val="000000"/>
              </w:rPr>
              <w:t>11</w:t>
            </w:r>
          </w:p>
        </w:tc>
        <w:tc>
          <w:tcPr>
            <w:tcW w:w="1531" w:type="dxa"/>
            <w:vAlign w:val="bottom"/>
          </w:tcPr>
          <w:p w14:paraId="7D93878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FC32535" w14:textId="77777777" w:rsidR="008E5DE4" w:rsidRDefault="008E5DE4">
            <w:pPr>
              <w:widowControl w:val="0"/>
              <w:pBdr>
                <w:top w:val="nil"/>
                <w:left w:val="nil"/>
                <w:bottom w:val="nil"/>
                <w:right w:val="nil"/>
                <w:between w:val="nil"/>
              </w:pBdr>
              <w:jc w:val="right"/>
              <w:rPr>
                <w:color w:val="000000"/>
              </w:rPr>
            </w:pPr>
          </w:p>
        </w:tc>
      </w:tr>
      <w:tr w:rsidR="008E5DE4" w14:paraId="3540ACE2" w14:textId="77777777">
        <w:trPr>
          <w:cantSplit/>
        </w:trPr>
        <w:tc>
          <w:tcPr>
            <w:tcW w:w="5726" w:type="dxa"/>
            <w:vAlign w:val="bottom"/>
          </w:tcPr>
          <w:p w14:paraId="1FCE7581" w14:textId="77777777" w:rsidR="008E5DE4" w:rsidRDefault="00780368">
            <w:pPr>
              <w:widowControl w:val="0"/>
              <w:pBdr>
                <w:top w:val="nil"/>
                <w:left w:val="nil"/>
                <w:bottom w:val="nil"/>
                <w:right w:val="nil"/>
                <w:between w:val="nil"/>
              </w:pBdr>
              <w:ind w:left="113" w:right="-57" w:hanging="113"/>
              <w:rPr>
                <w:color w:val="000000"/>
              </w:rPr>
            </w:pPr>
            <w:r>
              <w:rPr>
                <w:color w:val="000000"/>
              </w:rPr>
              <w:t>Expenses relating to leases of low-value assets</w:t>
            </w:r>
          </w:p>
        </w:tc>
        <w:tc>
          <w:tcPr>
            <w:tcW w:w="567" w:type="dxa"/>
            <w:vAlign w:val="bottom"/>
          </w:tcPr>
          <w:p w14:paraId="4E7E9913" w14:textId="77777777" w:rsidR="008E5DE4" w:rsidRDefault="00780368">
            <w:pPr>
              <w:widowControl w:val="0"/>
              <w:pBdr>
                <w:top w:val="nil"/>
                <w:left w:val="nil"/>
                <w:bottom w:val="nil"/>
                <w:right w:val="nil"/>
                <w:between w:val="nil"/>
              </w:pBdr>
              <w:ind w:left="-57" w:right="-57"/>
              <w:jc w:val="center"/>
              <w:rPr>
                <w:color w:val="000000"/>
              </w:rPr>
            </w:pPr>
            <w:r>
              <w:rPr>
                <w:color w:val="000000"/>
              </w:rPr>
              <w:t>11</w:t>
            </w:r>
          </w:p>
        </w:tc>
        <w:tc>
          <w:tcPr>
            <w:tcW w:w="1531" w:type="dxa"/>
            <w:vAlign w:val="bottom"/>
          </w:tcPr>
          <w:p w14:paraId="69C3451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33F7A3A" w14:textId="77777777" w:rsidR="008E5DE4" w:rsidRDefault="008E5DE4">
            <w:pPr>
              <w:widowControl w:val="0"/>
              <w:pBdr>
                <w:top w:val="nil"/>
                <w:left w:val="nil"/>
                <w:bottom w:val="nil"/>
                <w:right w:val="nil"/>
                <w:between w:val="nil"/>
              </w:pBdr>
              <w:jc w:val="right"/>
              <w:rPr>
                <w:color w:val="000000"/>
              </w:rPr>
            </w:pPr>
          </w:p>
        </w:tc>
      </w:tr>
      <w:tr w:rsidR="008E5DE4" w14:paraId="48783BEF" w14:textId="77777777">
        <w:trPr>
          <w:cantSplit/>
        </w:trPr>
        <w:tc>
          <w:tcPr>
            <w:tcW w:w="5726" w:type="dxa"/>
            <w:vAlign w:val="bottom"/>
          </w:tcPr>
          <w:p w14:paraId="0D351B3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Impairment of goodwill </w:t>
            </w:r>
          </w:p>
        </w:tc>
        <w:tc>
          <w:tcPr>
            <w:tcW w:w="567" w:type="dxa"/>
            <w:vAlign w:val="bottom"/>
          </w:tcPr>
          <w:p w14:paraId="4961F7E7" w14:textId="77777777" w:rsidR="008E5DE4" w:rsidRDefault="00780368">
            <w:pPr>
              <w:widowControl w:val="0"/>
              <w:pBdr>
                <w:top w:val="nil"/>
                <w:left w:val="nil"/>
                <w:bottom w:val="nil"/>
                <w:right w:val="nil"/>
                <w:between w:val="nil"/>
              </w:pBdr>
              <w:ind w:left="-57" w:right="-57"/>
              <w:jc w:val="center"/>
              <w:rPr>
                <w:color w:val="000000"/>
              </w:rPr>
            </w:pPr>
            <w:r>
              <w:rPr>
                <w:color w:val="000000"/>
              </w:rPr>
              <w:t>12</w:t>
            </w:r>
          </w:p>
        </w:tc>
        <w:tc>
          <w:tcPr>
            <w:tcW w:w="1531" w:type="dxa"/>
            <w:vAlign w:val="bottom"/>
          </w:tcPr>
          <w:p w14:paraId="4E703A7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28020D4" w14:textId="77777777" w:rsidR="008E5DE4" w:rsidRDefault="008E5DE4">
            <w:pPr>
              <w:widowControl w:val="0"/>
              <w:pBdr>
                <w:top w:val="nil"/>
                <w:left w:val="nil"/>
                <w:bottom w:val="nil"/>
                <w:right w:val="nil"/>
                <w:between w:val="nil"/>
              </w:pBdr>
              <w:jc w:val="right"/>
              <w:rPr>
                <w:color w:val="000000"/>
              </w:rPr>
            </w:pPr>
          </w:p>
        </w:tc>
      </w:tr>
      <w:tr w:rsidR="008E5DE4" w14:paraId="0F1CC867" w14:textId="77777777">
        <w:trPr>
          <w:cantSplit/>
        </w:trPr>
        <w:tc>
          <w:tcPr>
            <w:tcW w:w="5726" w:type="dxa"/>
            <w:vAlign w:val="bottom"/>
          </w:tcPr>
          <w:p w14:paraId="47A00E46" w14:textId="77777777" w:rsidR="008E5DE4" w:rsidRDefault="00780368">
            <w:pPr>
              <w:widowControl w:val="0"/>
              <w:pBdr>
                <w:top w:val="nil"/>
                <w:left w:val="nil"/>
                <w:bottom w:val="nil"/>
                <w:right w:val="nil"/>
                <w:between w:val="nil"/>
              </w:pBdr>
              <w:ind w:left="113" w:right="-57" w:hanging="113"/>
              <w:rPr>
                <w:color w:val="000000"/>
              </w:rPr>
            </w:pPr>
            <w:r>
              <w:rPr>
                <w:color w:val="000000"/>
              </w:rPr>
              <w:t>Amortisation of other intangible assets</w:t>
            </w:r>
          </w:p>
        </w:tc>
        <w:tc>
          <w:tcPr>
            <w:tcW w:w="567" w:type="dxa"/>
            <w:vAlign w:val="bottom"/>
          </w:tcPr>
          <w:p w14:paraId="62507416" w14:textId="77777777" w:rsidR="008E5DE4" w:rsidRDefault="00780368">
            <w:pPr>
              <w:widowControl w:val="0"/>
              <w:pBdr>
                <w:top w:val="nil"/>
                <w:left w:val="nil"/>
                <w:bottom w:val="nil"/>
                <w:right w:val="nil"/>
                <w:between w:val="nil"/>
              </w:pBdr>
              <w:ind w:left="-57" w:right="-57"/>
              <w:jc w:val="center"/>
              <w:rPr>
                <w:color w:val="000000"/>
              </w:rPr>
            </w:pPr>
            <w:r>
              <w:rPr>
                <w:color w:val="000000"/>
              </w:rPr>
              <w:t>13</w:t>
            </w:r>
          </w:p>
        </w:tc>
        <w:tc>
          <w:tcPr>
            <w:tcW w:w="1531" w:type="dxa"/>
            <w:vAlign w:val="bottom"/>
          </w:tcPr>
          <w:p w14:paraId="438255F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A28ED19" w14:textId="77777777" w:rsidR="008E5DE4" w:rsidRDefault="008E5DE4">
            <w:pPr>
              <w:widowControl w:val="0"/>
              <w:pBdr>
                <w:top w:val="nil"/>
                <w:left w:val="nil"/>
                <w:bottom w:val="nil"/>
                <w:right w:val="nil"/>
                <w:between w:val="nil"/>
              </w:pBdr>
              <w:jc w:val="right"/>
              <w:rPr>
                <w:color w:val="000000"/>
              </w:rPr>
            </w:pPr>
          </w:p>
        </w:tc>
      </w:tr>
      <w:tr w:rsidR="008E5DE4" w14:paraId="26781BAA" w14:textId="77777777">
        <w:trPr>
          <w:cantSplit/>
        </w:trPr>
        <w:tc>
          <w:tcPr>
            <w:tcW w:w="5726" w:type="dxa"/>
            <w:vAlign w:val="bottom"/>
          </w:tcPr>
          <w:p w14:paraId="5E40D5AF" w14:textId="77777777" w:rsidR="008E5DE4" w:rsidRDefault="00780368">
            <w:pPr>
              <w:widowControl w:val="0"/>
              <w:pBdr>
                <w:top w:val="nil"/>
                <w:left w:val="nil"/>
                <w:bottom w:val="nil"/>
                <w:right w:val="nil"/>
                <w:between w:val="nil"/>
              </w:pBdr>
              <w:ind w:left="113" w:right="-57" w:hanging="113"/>
              <w:rPr>
                <w:color w:val="000000"/>
              </w:rPr>
            </w:pPr>
            <w:r>
              <w:rPr>
                <w:color w:val="000000"/>
              </w:rPr>
              <w:t>Utilities costs</w:t>
            </w:r>
          </w:p>
        </w:tc>
        <w:tc>
          <w:tcPr>
            <w:tcW w:w="567" w:type="dxa"/>
            <w:vAlign w:val="bottom"/>
          </w:tcPr>
          <w:p w14:paraId="7852723D"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DF57BE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DA03759" w14:textId="77777777" w:rsidR="008E5DE4" w:rsidRDefault="008E5DE4">
            <w:pPr>
              <w:widowControl w:val="0"/>
              <w:pBdr>
                <w:top w:val="nil"/>
                <w:left w:val="nil"/>
                <w:bottom w:val="nil"/>
                <w:right w:val="nil"/>
                <w:between w:val="nil"/>
              </w:pBdr>
              <w:jc w:val="right"/>
              <w:rPr>
                <w:color w:val="000000"/>
              </w:rPr>
            </w:pPr>
          </w:p>
        </w:tc>
      </w:tr>
      <w:tr w:rsidR="008E5DE4" w14:paraId="3388231B" w14:textId="77777777">
        <w:trPr>
          <w:cantSplit/>
        </w:trPr>
        <w:tc>
          <w:tcPr>
            <w:tcW w:w="5726" w:type="dxa"/>
            <w:vAlign w:val="bottom"/>
          </w:tcPr>
          <w:p w14:paraId="68CA036D" w14:textId="77777777" w:rsidR="008E5DE4" w:rsidRDefault="00780368">
            <w:pPr>
              <w:widowControl w:val="0"/>
              <w:pBdr>
                <w:top w:val="nil"/>
                <w:left w:val="nil"/>
                <w:bottom w:val="nil"/>
                <w:right w:val="nil"/>
                <w:between w:val="nil"/>
              </w:pBdr>
              <w:ind w:left="113" w:right="-57" w:hanging="113"/>
              <w:rPr>
                <w:color w:val="000000"/>
              </w:rPr>
            </w:pPr>
            <w:r>
              <w:rPr>
                <w:color w:val="000000"/>
              </w:rPr>
              <w:t>Information, consulting and other professional services</w:t>
            </w:r>
          </w:p>
        </w:tc>
        <w:tc>
          <w:tcPr>
            <w:tcW w:w="567" w:type="dxa"/>
            <w:vAlign w:val="bottom"/>
          </w:tcPr>
          <w:p w14:paraId="28F24F0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2CF997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1401C3D" w14:textId="77777777" w:rsidR="008E5DE4" w:rsidRDefault="008E5DE4">
            <w:pPr>
              <w:widowControl w:val="0"/>
              <w:pBdr>
                <w:top w:val="nil"/>
                <w:left w:val="nil"/>
                <w:bottom w:val="nil"/>
                <w:right w:val="nil"/>
                <w:between w:val="nil"/>
              </w:pBdr>
              <w:jc w:val="right"/>
              <w:rPr>
                <w:color w:val="000000"/>
              </w:rPr>
            </w:pPr>
          </w:p>
        </w:tc>
      </w:tr>
      <w:tr w:rsidR="008E5DE4" w14:paraId="1882CB9D" w14:textId="77777777">
        <w:trPr>
          <w:cantSplit/>
        </w:trPr>
        <w:tc>
          <w:tcPr>
            <w:tcW w:w="5726" w:type="dxa"/>
            <w:vAlign w:val="bottom"/>
          </w:tcPr>
          <w:p w14:paraId="08B79F93" w14:textId="77777777" w:rsidR="008E5DE4" w:rsidRDefault="00780368">
            <w:pPr>
              <w:widowControl w:val="0"/>
              <w:pBdr>
                <w:top w:val="nil"/>
                <w:left w:val="nil"/>
                <w:bottom w:val="nil"/>
                <w:right w:val="nil"/>
                <w:between w:val="nil"/>
              </w:pBdr>
              <w:ind w:left="113" w:right="-57" w:hanging="113"/>
              <w:rPr>
                <w:color w:val="000000"/>
              </w:rPr>
            </w:pPr>
            <w:r>
              <w:rPr>
                <w:color w:val="000000"/>
              </w:rPr>
              <w:t>Transportation services – outbound</w:t>
            </w:r>
          </w:p>
        </w:tc>
        <w:tc>
          <w:tcPr>
            <w:tcW w:w="567" w:type="dxa"/>
            <w:vAlign w:val="bottom"/>
          </w:tcPr>
          <w:p w14:paraId="077178F0"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7393AF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99732C0" w14:textId="77777777" w:rsidR="008E5DE4" w:rsidRDefault="008E5DE4">
            <w:pPr>
              <w:widowControl w:val="0"/>
              <w:pBdr>
                <w:top w:val="nil"/>
                <w:left w:val="nil"/>
                <w:bottom w:val="nil"/>
                <w:right w:val="nil"/>
                <w:between w:val="nil"/>
              </w:pBdr>
              <w:jc w:val="right"/>
              <w:rPr>
                <w:color w:val="000000"/>
              </w:rPr>
            </w:pPr>
          </w:p>
        </w:tc>
      </w:tr>
      <w:tr w:rsidR="008E5DE4" w14:paraId="18E68846" w14:textId="77777777">
        <w:trPr>
          <w:cantSplit/>
        </w:trPr>
        <w:tc>
          <w:tcPr>
            <w:tcW w:w="5726" w:type="dxa"/>
            <w:vAlign w:val="bottom"/>
          </w:tcPr>
          <w:p w14:paraId="6CCA1408" w14:textId="77777777" w:rsidR="008E5DE4" w:rsidRDefault="00780368">
            <w:pPr>
              <w:widowControl w:val="0"/>
              <w:pBdr>
                <w:top w:val="nil"/>
                <w:left w:val="nil"/>
                <w:bottom w:val="nil"/>
                <w:right w:val="nil"/>
                <w:between w:val="nil"/>
              </w:pBdr>
              <w:ind w:left="113" w:right="-57" w:hanging="113"/>
              <w:rPr>
                <w:color w:val="000000"/>
              </w:rPr>
            </w:pPr>
            <w:r>
              <w:rPr>
                <w:color w:val="000000"/>
              </w:rPr>
              <w:t>Advertising and marketing services</w:t>
            </w:r>
          </w:p>
        </w:tc>
        <w:tc>
          <w:tcPr>
            <w:tcW w:w="567" w:type="dxa"/>
            <w:vAlign w:val="bottom"/>
          </w:tcPr>
          <w:p w14:paraId="1F6F7A7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2BA990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B8D5AF1" w14:textId="77777777" w:rsidR="008E5DE4" w:rsidRDefault="008E5DE4">
            <w:pPr>
              <w:widowControl w:val="0"/>
              <w:pBdr>
                <w:top w:val="nil"/>
                <w:left w:val="nil"/>
                <w:bottom w:val="nil"/>
                <w:right w:val="nil"/>
                <w:between w:val="nil"/>
              </w:pBdr>
              <w:jc w:val="right"/>
              <w:rPr>
                <w:color w:val="000000"/>
              </w:rPr>
            </w:pPr>
          </w:p>
        </w:tc>
      </w:tr>
      <w:tr w:rsidR="008E5DE4" w14:paraId="54B4B1EF" w14:textId="77777777">
        <w:trPr>
          <w:cantSplit/>
        </w:trPr>
        <w:tc>
          <w:tcPr>
            <w:tcW w:w="5726" w:type="dxa"/>
            <w:vAlign w:val="bottom"/>
          </w:tcPr>
          <w:p w14:paraId="5F06AC29" w14:textId="77777777" w:rsidR="008E5DE4" w:rsidRDefault="00780368">
            <w:pPr>
              <w:widowControl w:val="0"/>
              <w:pBdr>
                <w:top w:val="nil"/>
                <w:left w:val="nil"/>
                <w:bottom w:val="nil"/>
                <w:right w:val="nil"/>
                <w:between w:val="nil"/>
              </w:pBdr>
              <w:ind w:left="113" w:right="-57" w:hanging="113"/>
              <w:rPr>
                <w:color w:val="000000"/>
              </w:rPr>
            </w:pPr>
            <w:r>
              <w:rPr>
                <w:color w:val="000000"/>
              </w:rPr>
              <w:t>Security services</w:t>
            </w:r>
          </w:p>
        </w:tc>
        <w:tc>
          <w:tcPr>
            <w:tcW w:w="567" w:type="dxa"/>
            <w:vAlign w:val="bottom"/>
          </w:tcPr>
          <w:p w14:paraId="1E078CB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2AE30E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F97FC3F" w14:textId="77777777" w:rsidR="008E5DE4" w:rsidRDefault="008E5DE4">
            <w:pPr>
              <w:widowControl w:val="0"/>
              <w:pBdr>
                <w:top w:val="nil"/>
                <w:left w:val="nil"/>
                <w:bottom w:val="nil"/>
                <w:right w:val="nil"/>
                <w:between w:val="nil"/>
              </w:pBdr>
              <w:jc w:val="right"/>
              <w:rPr>
                <w:color w:val="000000"/>
              </w:rPr>
            </w:pPr>
          </w:p>
        </w:tc>
      </w:tr>
      <w:tr w:rsidR="008E5DE4" w14:paraId="66C10423" w14:textId="77777777">
        <w:trPr>
          <w:cantSplit/>
        </w:trPr>
        <w:tc>
          <w:tcPr>
            <w:tcW w:w="5726" w:type="dxa"/>
            <w:vAlign w:val="bottom"/>
          </w:tcPr>
          <w:p w14:paraId="331B0EBE" w14:textId="77777777" w:rsidR="008E5DE4" w:rsidRDefault="00780368">
            <w:pPr>
              <w:widowControl w:val="0"/>
              <w:pBdr>
                <w:top w:val="nil"/>
                <w:left w:val="nil"/>
                <w:bottom w:val="nil"/>
                <w:right w:val="nil"/>
                <w:between w:val="nil"/>
              </w:pBdr>
              <w:ind w:left="113" w:right="-57" w:hanging="113"/>
              <w:rPr>
                <w:color w:val="000000"/>
              </w:rPr>
            </w:pPr>
            <w:r>
              <w:rPr>
                <w:color w:val="000000"/>
              </w:rPr>
              <w:t>Taxes other than on income</w:t>
            </w:r>
          </w:p>
        </w:tc>
        <w:tc>
          <w:tcPr>
            <w:tcW w:w="567" w:type="dxa"/>
            <w:vAlign w:val="bottom"/>
          </w:tcPr>
          <w:p w14:paraId="30115E99"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566E9A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81F605F" w14:textId="77777777" w:rsidR="008E5DE4" w:rsidRDefault="008E5DE4">
            <w:pPr>
              <w:widowControl w:val="0"/>
              <w:pBdr>
                <w:top w:val="nil"/>
                <w:left w:val="nil"/>
                <w:bottom w:val="nil"/>
                <w:right w:val="nil"/>
                <w:between w:val="nil"/>
              </w:pBdr>
              <w:jc w:val="right"/>
              <w:rPr>
                <w:color w:val="000000"/>
              </w:rPr>
            </w:pPr>
          </w:p>
        </w:tc>
      </w:tr>
      <w:tr w:rsidR="008E5DE4" w14:paraId="0E370C7B" w14:textId="77777777">
        <w:trPr>
          <w:cantSplit/>
        </w:trPr>
        <w:tc>
          <w:tcPr>
            <w:tcW w:w="5726" w:type="dxa"/>
            <w:vAlign w:val="bottom"/>
          </w:tcPr>
          <w:p w14:paraId="15C894A6" w14:textId="77777777" w:rsidR="008E5DE4" w:rsidRDefault="00780368">
            <w:pPr>
              <w:widowControl w:val="0"/>
              <w:pBdr>
                <w:top w:val="nil"/>
                <w:left w:val="nil"/>
                <w:bottom w:val="nil"/>
                <w:right w:val="nil"/>
                <w:between w:val="nil"/>
              </w:pBdr>
              <w:ind w:left="113" w:right="-57" w:hanging="113"/>
              <w:rPr>
                <w:color w:val="000000"/>
              </w:rPr>
            </w:pPr>
            <w:r>
              <w:rPr>
                <w:color w:val="000000"/>
              </w:rPr>
              <w:t>Telecommunications expenses</w:t>
            </w:r>
          </w:p>
        </w:tc>
        <w:tc>
          <w:tcPr>
            <w:tcW w:w="567" w:type="dxa"/>
            <w:vAlign w:val="bottom"/>
          </w:tcPr>
          <w:p w14:paraId="4AFB674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9B66A8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622C045" w14:textId="77777777" w:rsidR="008E5DE4" w:rsidRDefault="008E5DE4">
            <w:pPr>
              <w:widowControl w:val="0"/>
              <w:pBdr>
                <w:top w:val="nil"/>
                <w:left w:val="nil"/>
                <w:bottom w:val="nil"/>
                <w:right w:val="nil"/>
                <w:between w:val="nil"/>
              </w:pBdr>
              <w:jc w:val="right"/>
              <w:rPr>
                <w:color w:val="000000"/>
              </w:rPr>
            </w:pPr>
          </w:p>
        </w:tc>
      </w:tr>
      <w:tr w:rsidR="008E5DE4" w14:paraId="0619F340" w14:textId="77777777">
        <w:trPr>
          <w:cantSplit/>
        </w:trPr>
        <w:tc>
          <w:tcPr>
            <w:tcW w:w="5726" w:type="dxa"/>
            <w:vAlign w:val="bottom"/>
          </w:tcPr>
          <w:p w14:paraId="70E6965C" w14:textId="77777777" w:rsidR="008E5DE4" w:rsidRDefault="00780368">
            <w:pPr>
              <w:widowControl w:val="0"/>
              <w:pBdr>
                <w:top w:val="nil"/>
                <w:left w:val="nil"/>
                <w:bottom w:val="nil"/>
                <w:right w:val="nil"/>
                <w:between w:val="nil"/>
              </w:pBdr>
              <w:ind w:left="113" w:right="-57" w:hanging="113"/>
              <w:rPr>
                <w:color w:val="000000"/>
              </w:rPr>
            </w:pPr>
            <w:r>
              <w:rPr>
                <w:color w:val="000000"/>
              </w:rPr>
              <w:t>Intercompany management fees</w:t>
            </w:r>
          </w:p>
        </w:tc>
        <w:tc>
          <w:tcPr>
            <w:tcW w:w="567" w:type="dxa"/>
            <w:vAlign w:val="bottom"/>
          </w:tcPr>
          <w:p w14:paraId="592332CB"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6607AD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E54CBC4" w14:textId="77777777" w:rsidR="008E5DE4" w:rsidRDefault="008E5DE4">
            <w:pPr>
              <w:widowControl w:val="0"/>
              <w:pBdr>
                <w:top w:val="nil"/>
                <w:left w:val="nil"/>
                <w:bottom w:val="nil"/>
                <w:right w:val="nil"/>
                <w:between w:val="nil"/>
              </w:pBdr>
              <w:jc w:val="right"/>
              <w:rPr>
                <w:color w:val="000000"/>
              </w:rPr>
            </w:pPr>
          </w:p>
        </w:tc>
      </w:tr>
      <w:tr w:rsidR="008E5DE4" w14:paraId="5E78082D" w14:textId="77777777">
        <w:trPr>
          <w:cantSplit/>
        </w:trPr>
        <w:tc>
          <w:tcPr>
            <w:tcW w:w="5726" w:type="dxa"/>
            <w:vAlign w:val="bottom"/>
          </w:tcPr>
          <w:p w14:paraId="2C9597F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Warranty provisions </w:t>
            </w:r>
          </w:p>
        </w:tc>
        <w:tc>
          <w:tcPr>
            <w:tcW w:w="567" w:type="dxa"/>
            <w:vAlign w:val="bottom"/>
          </w:tcPr>
          <w:p w14:paraId="01F2F383" w14:textId="77777777" w:rsidR="008E5DE4" w:rsidRDefault="00780368">
            <w:pPr>
              <w:widowControl w:val="0"/>
              <w:pBdr>
                <w:top w:val="nil"/>
                <w:left w:val="nil"/>
                <w:bottom w:val="nil"/>
                <w:right w:val="nil"/>
                <w:between w:val="nil"/>
              </w:pBdr>
              <w:ind w:left="-57" w:right="-57"/>
              <w:jc w:val="center"/>
              <w:rPr>
                <w:color w:val="000000"/>
              </w:rPr>
            </w:pPr>
            <w:r>
              <w:rPr>
                <w:color w:val="000000"/>
              </w:rPr>
              <w:t>33</w:t>
            </w:r>
          </w:p>
        </w:tc>
        <w:tc>
          <w:tcPr>
            <w:tcW w:w="1531" w:type="dxa"/>
            <w:vAlign w:val="bottom"/>
          </w:tcPr>
          <w:p w14:paraId="60749ED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4FE6510" w14:textId="77777777" w:rsidR="008E5DE4" w:rsidRDefault="008E5DE4">
            <w:pPr>
              <w:widowControl w:val="0"/>
              <w:pBdr>
                <w:top w:val="nil"/>
                <w:left w:val="nil"/>
                <w:bottom w:val="nil"/>
                <w:right w:val="nil"/>
                <w:between w:val="nil"/>
              </w:pBdr>
              <w:jc w:val="right"/>
              <w:rPr>
                <w:color w:val="000000"/>
              </w:rPr>
            </w:pPr>
          </w:p>
        </w:tc>
      </w:tr>
      <w:tr w:rsidR="008E5DE4" w14:paraId="33B14B9A" w14:textId="77777777">
        <w:trPr>
          <w:cantSplit/>
        </w:trPr>
        <w:tc>
          <w:tcPr>
            <w:tcW w:w="5726" w:type="dxa"/>
            <w:vAlign w:val="bottom"/>
          </w:tcPr>
          <w:p w14:paraId="3DDE9FCF" w14:textId="77777777" w:rsidR="008E5DE4" w:rsidRDefault="00780368">
            <w:pPr>
              <w:widowControl w:val="0"/>
              <w:pBdr>
                <w:top w:val="nil"/>
                <w:left w:val="nil"/>
                <w:bottom w:val="nil"/>
                <w:right w:val="nil"/>
                <w:between w:val="nil"/>
              </w:pBdr>
              <w:ind w:left="113" w:right="-57" w:hanging="113"/>
              <w:rPr>
                <w:color w:val="000000"/>
              </w:rPr>
            </w:pPr>
            <w:r>
              <w:rPr>
                <w:color w:val="000000"/>
              </w:rPr>
              <w:t>Provisions for tax risks</w:t>
            </w:r>
          </w:p>
        </w:tc>
        <w:tc>
          <w:tcPr>
            <w:tcW w:w="567" w:type="dxa"/>
            <w:vAlign w:val="bottom"/>
          </w:tcPr>
          <w:p w14:paraId="20A58C89" w14:textId="77777777" w:rsidR="008E5DE4" w:rsidRDefault="00780368">
            <w:pPr>
              <w:widowControl w:val="0"/>
              <w:pBdr>
                <w:top w:val="nil"/>
                <w:left w:val="nil"/>
                <w:bottom w:val="nil"/>
                <w:right w:val="nil"/>
                <w:between w:val="nil"/>
              </w:pBdr>
              <w:ind w:left="-57" w:right="-57"/>
              <w:jc w:val="center"/>
              <w:rPr>
                <w:color w:val="000000"/>
              </w:rPr>
            </w:pPr>
            <w:r>
              <w:rPr>
                <w:color w:val="000000"/>
              </w:rPr>
              <w:t>33</w:t>
            </w:r>
          </w:p>
        </w:tc>
        <w:tc>
          <w:tcPr>
            <w:tcW w:w="1531" w:type="dxa"/>
            <w:vAlign w:val="bottom"/>
          </w:tcPr>
          <w:p w14:paraId="0A0D306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707721B" w14:textId="77777777" w:rsidR="008E5DE4" w:rsidRDefault="008E5DE4">
            <w:pPr>
              <w:widowControl w:val="0"/>
              <w:pBdr>
                <w:top w:val="nil"/>
                <w:left w:val="nil"/>
                <w:bottom w:val="nil"/>
                <w:right w:val="nil"/>
                <w:between w:val="nil"/>
              </w:pBdr>
              <w:jc w:val="right"/>
              <w:rPr>
                <w:color w:val="000000"/>
              </w:rPr>
            </w:pPr>
          </w:p>
        </w:tc>
      </w:tr>
      <w:tr w:rsidR="008E5DE4" w14:paraId="72427CBC" w14:textId="77777777">
        <w:trPr>
          <w:cantSplit/>
        </w:trPr>
        <w:tc>
          <w:tcPr>
            <w:tcW w:w="5726" w:type="dxa"/>
            <w:vAlign w:val="bottom"/>
          </w:tcPr>
          <w:p w14:paraId="33AE2BF6" w14:textId="77777777" w:rsidR="008E5DE4" w:rsidRDefault="00780368">
            <w:pPr>
              <w:widowControl w:val="0"/>
              <w:pBdr>
                <w:top w:val="nil"/>
                <w:left w:val="nil"/>
                <w:bottom w:val="nil"/>
                <w:right w:val="nil"/>
                <w:between w:val="nil"/>
              </w:pBdr>
              <w:ind w:left="113" w:right="-57" w:hanging="113"/>
              <w:rPr>
                <w:color w:val="000000"/>
              </w:rPr>
            </w:pPr>
            <w:r>
              <w:rPr>
                <w:color w:val="000000"/>
              </w:rPr>
              <w:t>Provisions for legal claims</w:t>
            </w:r>
          </w:p>
        </w:tc>
        <w:tc>
          <w:tcPr>
            <w:tcW w:w="567" w:type="dxa"/>
            <w:vAlign w:val="bottom"/>
          </w:tcPr>
          <w:p w14:paraId="3BD94E1D" w14:textId="77777777" w:rsidR="008E5DE4" w:rsidRDefault="00780368">
            <w:pPr>
              <w:widowControl w:val="0"/>
              <w:pBdr>
                <w:top w:val="nil"/>
                <w:left w:val="nil"/>
                <w:bottom w:val="nil"/>
                <w:right w:val="nil"/>
                <w:between w:val="nil"/>
              </w:pBdr>
              <w:ind w:left="-57" w:right="-57"/>
              <w:jc w:val="center"/>
              <w:rPr>
                <w:color w:val="000000"/>
              </w:rPr>
            </w:pPr>
            <w:r>
              <w:rPr>
                <w:color w:val="000000"/>
              </w:rPr>
              <w:t>33</w:t>
            </w:r>
          </w:p>
        </w:tc>
        <w:tc>
          <w:tcPr>
            <w:tcW w:w="1531" w:type="dxa"/>
            <w:vAlign w:val="bottom"/>
          </w:tcPr>
          <w:p w14:paraId="1A968EE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F4B14C" w14:textId="77777777" w:rsidR="008E5DE4" w:rsidRDefault="008E5DE4">
            <w:pPr>
              <w:widowControl w:val="0"/>
              <w:pBdr>
                <w:top w:val="nil"/>
                <w:left w:val="nil"/>
                <w:bottom w:val="nil"/>
                <w:right w:val="nil"/>
                <w:between w:val="nil"/>
              </w:pBdr>
              <w:jc w:val="right"/>
              <w:rPr>
                <w:color w:val="000000"/>
              </w:rPr>
            </w:pPr>
          </w:p>
        </w:tc>
      </w:tr>
      <w:tr w:rsidR="008E5DE4" w14:paraId="00457BB0" w14:textId="77777777">
        <w:trPr>
          <w:cantSplit/>
        </w:trPr>
        <w:tc>
          <w:tcPr>
            <w:tcW w:w="5726" w:type="dxa"/>
            <w:vAlign w:val="bottom"/>
          </w:tcPr>
          <w:p w14:paraId="7BB8271D" w14:textId="77777777" w:rsidR="008E5DE4" w:rsidRDefault="00780368">
            <w:pPr>
              <w:widowControl w:val="0"/>
              <w:pBdr>
                <w:top w:val="nil"/>
                <w:left w:val="nil"/>
                <w:bottom w:val="nil"/>
                <w:right w:val="nil"/>
                <w:between w:val="nil"/>
              </w:pBdr>
              <w:ind w:left="113" w:right="-57" w:hanging="113"/>
              <w:rPr>
                <w:color w:val="000000"/>
              </w:rPr>
            </w:pPr>
            <w:r>
              <w:rPr>
                <w:color w:val="000000"/>
              </w:rPr>
              <w:t>Other provisions for liabilities and charges</w:t>
            </w:r>
          </w:p>
        </w:tc>
        <w:tc>
          <w:tcPr>
            <w:tcW w:w="567" w:type="dxa"/>
            <w:vAlign w:val="bottom"/>
          </w:tcPr>
          <w:p w14:paraId="62C17640" w14:textId="77777777" w:rsidR="008E5DE4" w:rsidRDefault="00780368">
            <w:pPr>
              <w:widowControl w:val="0"/>
              <w:pBdr>
                <w:top w:val="nil"/>
                <w:left w:val="nil"/>
                <w:bottom w:val="nil"/>
                <w:right w:val="nil"/>
                <w:between w:val="nil"/>
              </w:pBdr>
              <w:ind w:left="-57" w:right="-57"/>
              <w:jc w:val="center"/>
              <w:rPr>
                <w:color w:val="000000"/>
              </w:rPr>
            </w:pPr>
            <w:r>
              <w:rPr>
                <w:color w:val="000000"/>
              </w:rPr>
              <w:t>33</w:t>
            </w:r>
          </w:p>
        </w:tc>
        <w:tc>
          <w:tcPr>
            <w:tcW w:w="1531" w:type="dxa"/>
            <w:vAlign w:val="bottom"/>
          </w:tcPr>
          <w:p w14:paraId="32E252B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F8AF0D2" w14:textId="77777777" w:rsidR="008E5DE4" w:rsidRDefault="008E5DE4">
            <w:pPr>
              <w:widowControl w:val="0"/>
              <w:pBdr>
                <w:top w:val="nil"/>
                <w:left w:val="nil"/>
                <w:bottom w:val="nil"/>
                <w:right w:val="nil"/>
                <w:between w:val="nil"/>
              </w:pBdr>
              <w:jc w:val="right"/>
              <w:rPr>
                <w:color w:val="000000"/>
              </w:rPr>
            </w:pPr>
          </w:p>
        </w:tc>
      </w:tr>
      <w:tr w:rsidR="008E5DE4" w14:paraId="4A7B38BA" w14:textId="77777777">
        <w:trPr>
          <w:cantSplit/>
        </w:trPr>
        <w:tc>
          <w:tcPr>
            <w:tcW w:w="5726" w:type="dxa"/>
            <w:vAlign w:val="bottom"/>
          </w:tcPr>
          <w:p w14:paraId="04A6C8C9" w14:textId="77777777" w:rsidR="008E5DE4" w:rsidRDefault="00780368">
            <w:pPr>
              <w:widowControl w:val="0"/>
              <w:pBdr>
                <w:top w:val="nil"/>
                <w:left w:val="nil"/>
                <w:bottom w:val="nil"/>
                <w:right w:val="nil"/>
                <w:between w:val="nil"/>
              </w:pBdr>
              <w:ind w:left="113" w:right="-57" w:hanging="113"/>
              <w:rPr>
                <w:color w:val="000000"/>
              </w:rPr>
            </w:pPr>
            <w:r>
              <w:rPr>
                <w:color w:val="000000"/>
              </w:rPr>
              <w:t>Write-down of non-current assets (or disposal groups) to fair value less costs of disposal</w:t>
            </w:r>
          </w:p>
        </w:tc>
        <w:tc>
          <w:tcPr>
            <w:tcW w:w="567" w:type="dxa"/>
            <w:vAlign w:val="bottom"/>
          </w:tcPr>
          <w:p w14:paraId="0D718331" w14:textId="77777777" w:rsidR="008E5DE4" w:rsidRDefault="00780368">
            <w:pPr>
              <w:widowControl w:val="0"/>
              <w:pBdr>
                <w:top w:val="nil"/>
                <w:left w:val="nil"/>
                <w:bottom w:val="nil"/>
                <w:right w:val="nil"/>
                <w:between w:val="nil"/>
              </w:pBdr>
              <w:ind w:left="-57" w:right="-57"/>
              <w:jc w:val="center"/>
              <w:rPr>
                <w:color w:val="000000"/>
              </w:rPr>
            </w:pPr>
            <w:r>
              <w:rPr>
                <w:color w:val="000000"/>
              </w:rPr>
              <w:t>25</w:t>
            </w:r>
          </w:p>
        </w:tc>
        <w:tc>
          <w:tcPr>
            <w:tcW w:w="1531" w:type="dxa"/>
            <w:vAlign w:val="bottom"/>
          </w:tcPr>
          <w:p w14:paraId="56C2AB2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52DD619" w14:textId="77777777" w:rsidR="008E5DE4" w:rsidRDefault="008E5DE4">
            <w:pPr>
              <w:widowControl w:val="0"/>
              <w:pBdr>
                <w:top w:val="nil"/>
                <w:left w:val="nil"/>
                <w:bottom w:val="nil"/>
                <w:right w:val="nil"/>
                <w:between w:val="nil"/>
              </w:pBdr>
              <w:jc w:val="right"/>
              <w:rPr>
                <w:color w:val="000000"/>
              </w:rPr>
            </w:pPr>
          </w:p>
        </w:tc>
      </w:tr>
      <w:tr w:rsidR="008E5DE4" w14:paraId="495A3DF9" w14:textId="77777777">
        <w:trPr>
          <w:cantSplit/>
        </w:trPr>
        <w:tc>
          <w:tcPr>
            <w:tcW w:w="5726" w:type="dxa"/>
            <w:vAlign w:val="bottom"/>
          </w:tcPr>
          <w:p w14:paraId="743C0186" w14:textId="77777777" w:rsidR="008E5DE4" w:rsidRDefault="00780368">
            <w:pPr>
              <w:widowControl w:val="0"/>
              <w:pBdr>
                <w:top w:val="nil"/>
                <w:left w:val="nil"/>
                <w:bottom w:val="nil"/>
                <w:right w:val="nil"/>
                <w:between w:val="nil"/>
              </w:pBdr>
              <w:ind w:left="113" w:right="-57" w:hanging="113"/>
              <w:rPr>
                <w:color w:val="000000"/>
              </w:rPr>
            </w:pPr>
            <w:r>
              <w:rPr>
                <w:color w:val="000000"/>
              </w:rPr>
              <w:t>Losses less gains on derivative financial instruments</w:t>
            </w:r>
          </w:p>
        </w:tc>
        <w:tc>
          <w:tcPr>
            <w:tcW w:w="567" w:type="dxa"/>
            <w:vAlign w:val="bottom"/>
          </w:tcPr>
          <w:p w14:paraId="3D13563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9E00CA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351EF69" w14:textId="77777777" w:rsidR="008E5DE4" w:rsidRDefault="008E5DE4">
            <w:pPr>
              <w:widowControl w:val="0"/>
              <w:pBdr>
                <w:top w:val="nil"/>
                <w:left w:val="nil"/>
                <w:bottom w:val="nil"/>
                <w:right w:val="nil"/>
                <w:between w:val="nil"/>
              </w:pBdr>
              <w:jc w:val="right"/>
              <w:rPr>
                <w:color w:val="000000"/>
              </w:rPr>
            </w:pPr>
          </w:p>
        </w:tc>
      </w:tr>
      <w:tr w:rsidR="008E5DE4" w14:paraId="2D263202" w14:textId="77777777">
        <w:trPr>
          <w:cantSplit/>
        </w:trPr>
        <w:tc>
          <w:tcPr>
            <w:tcW w:w="5726" w:type="dxa"/>
            <w:vAlign w:val="bottom"/>
          </w:tcPr>
          <w:p w14:paraId="26086774"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losses less gains (other than on borrowings)</w:t>
            </w:r>
          </w:p>
        </w:tc>
        <w:tc>
          <w:tcPr>
            <w:tcW w:w="567" w:type="dxa"/>
            <w:vAlign w:val="bottom"/>
          </w:tcPr>
          <w:p w14:paraId="2B75997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98E542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43E82A1" w14:textId="77777777" w:rsidR="008E5DE4" w:rsidRDefault="008E5DE4">
            <w:pPr>
              <w:widowControl w:val="0"/>
              <w:pBdr>
                <w:top w:val="nil"/>
                <w:left w:val="nil"/>
                <w:bottom w:val="nil"/>
                <w:right w:val="nil"/>
                <w:between w:val="nil"/>
              </w:pBdr>
              <w:jc w:val="right"/>
              <w:rPr>
                <w:color w:val="000000"/>
              </w:rPr>
            </w:pPr>
          </w:p>
        </w:tc>
      </w:tr>
      <w:tr w:rsidR="008E5DE4" w14:paraId="58DDFCAB" w14:textId="77777777">
        <w:trPr>
          <w:cantSplit/>
        </w:trPr>
        <w:tc>
          <w:tcPr>
            <w:tcW w:w="5726" w:type="dxa"/>
            <w:vAlign w:val="bottom"/>
          </w:tcPr>
          <w:p w14:paraId="2D593033" w14:textId="75E9E837" w:rsidR="008E5DE4" w:rsidRDefault="00780368">
            <w:pPr>
              <w:widowControl w:val="0"/>
              <w:pBdr>
                <w:top w:val="nil"/>
                <w:left w:val="nil"/>
                <w:bottom w:val="nil"/>
                <w:right w:val="nil"/>
                <w:between w:val="nil"/>
              </w:pBdr>
              <w:ind w:left="113" w:right="-57" w:hanging="113"/>
              <w:rPr>
                <w:color w:val="000000"/>
              </w:rPr>
            </w:pPr>
            <w:r>
              <w:rPr>
                <w:color w:val="000000"/>
              </w:rPr>
              <w:t>Other</w:t>
            </w:r>
          </w:p>
        </w:tc>
        <w:tc>
          <w:tcPr>
            <w:tcW w:w="567" w:type="dxa"/>
            <w:vAlign w:val="bottom"/>
          </w:tcPr>
          <w:p w14:paraId="519AD43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BCC2AF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298BED7" w14:textId="77777777" w:rsidR="008E5DE4" w:rsidRDefault="008E5DE4">
            <w:pPr>
              <w:widowControl w:val="0"/>
              <w:pBdr>
                <w:top w:val="nil"/>
                <w:left w:val="nil"/>
                <w:bottom w:val="nil"/>
                <w:right w:val="nil"/>
                <w:between w:val="nil"/>
              </w:pBdr>
              <w:jc w:val="right"/>
              <w:rPr>
                <w:color w:val="000000"/>
              </w:rPr>
            </w:pPr>
          </w:p>
        </w:tc>
      </w:tr>
      <w:tr w:rsidR="008E5DE4" w14:paraId="2128DAE8" w14:textId="77777777">
        <w:trPr>
          <w:cantSplit/>
        </w:trPr>
        <w:tc>
          <w:tcPr>
            <w:tcW w:w="5726" w:type="dxa"/>
            <w:tcBorders>
              <w:bottom w:val="single" w:sz="4" w:space="0" w:color="000000"/>
            </w:tcBorders>
            <w:vAlign w:val="bottom"/>
          </w:tcPr>
          <w:p w14:paraId="742A3FFE"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567" w:type="dxa"/>
            <w:tcBorders>
              <w:bottom w:val="single" w:sz="4" w:space="0" w:color="000000"/>
            </w:tcBorders>
            <w:vAlign w:val="bottom"/>
          </w:tcPr>
          <w:p w14:paraId="13E5F2A8" w14:textId="77777777" w:rsidR="008E5DE4" w:rsidRDefault="008E5DE4">
            <w:pPr>
              <w:widowControl w:val="0"/>
              <w:pBdr>
                <w:top w:val="nil"/>
                <w:left w:val="nil"/>
                <w:bottom w:val="nil"/>
                <w:right w:val="nil"/>
                <w:between w:val="nil"/>
              </w:pBdr>
              <w:ind w:left="-57" w:right="-57"/>
              <w:jc w:val="center"/>
              <w:rPr>
                <w:i/>
                <w:color w:val="000000"/>
              </w:rPr>
            </w:pPr>
          </w:p>
        </w:tc>
        <w:tc>
          <w:tcPr>
            <w:tcW w:w="1531" w:type="dxa"/>
            <w:tcBorders>
              <w:bottom w:val="single" w:sz="4" w:space="0" w:color="000000"/>
            </w:tcBorders>
            <w:vAlign w:val="bottom"/>
          </w:tcPr>
          <w:p w14:paraId="779AC269"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07213CDF" w14:textId="77777777" w:rsidR="008E5DE4" w:rsidRDefault="008E5DE4">
            <w:pPr>
              <w:widowControl w:val="0"/>
              <w:pBdr>
                <w:top w:val="nil"/>
                <w:left w:val="nil"/>
                <w:bottom w:val="nil"/>
                <w:right w:val="nil"/>
                <w:between w:val="nil"/>
              </w:pBdr>
              <w:jc w:val="right"/>
              <w:rPr>
                <w:color w:val="000000"/>
              </w:rPr>
            </w:pPr>
          </w:p>
        </w:tc>
      </w:tr>
      <w:tr w:rsidR="008E5DE4" w14:paraId="67507A2F" w14:textId="77777777">
        <w:trPr>
          <w:cantSplit/>
        </w:trPr>
        <w:tc>
          <w:tcPr>
            <w:tcW w:w="5726" w:type="dxa"/>
            <w:tcBorders>
              <w:top w:val="single" w:sz="4" w:space="0" w:color="000000"/>
            </w:tcBorders>
            <w:vAlign w:val="bottom"/>
          </w:tcPr>
          <w:p w14:paraId="3762A9FC"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567" w:type="dxa"/>
            <w:tcBorders>
              <w:top w:val="single" w:sz="4" w:space="0" w:color="000000"/>
            </w:tcBorders>
            <w:vAlign w:val="bottom"/>
          </w:tcPr>
          <w:p w14:paraId="5F1FE8C2" w14:textId="77777777" w:rsidR="008E5DE4" w:rsidRDefault="008E5DE4">
            <w:pPr>
              <w:widowControl w:val="0"/>
              <w:pBdr>
                <w:top w:val="nil"/>
                <w:left w:val="nil"/>
                <w:bottom w:val="nil"/>
                <w:right w:val="nil"/>
                <w:between w:val="nil"/>
              </w:pBdr>
              <w:ind w:left="-57" w:right="-57"/>
              <w:jc w:val="center"/>
              <w:rPr>
                <w:i/>
                <w:color w:val="000000"/>
              </w:rPr>
            </w:pPr>
          </w:p>
        </w:tc>
        <w:tc>
          <w:tcPr>
            <w:tcW w:w="1531" w:type="dxa"/>
            <w:tcBorders>
              <w:top w:val="single" w:sz="4" w:space="0" w:color="000000"/>
            </w:tcBorders>
            <w:vAlign w:val="bottom"/>
          </w:tcPr>
          <w:p w14:paraId="66314DDD"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0C850D00" w14:textId="77777777" w:rsidR="008E5DE4" w:rsidRDefault="008E5DE4">
            <w:pPr>
              <w:widowControl w:val="0"/>
              <w:pBdr>
                <w:top w:val="nil"/>
                <w:left w:val="nil"/>
                <w:bottom w:val="nil"/>
                <w:right w:val="nil"/>
                <w:between w:val="nil"/>
              </w:pBdr>
              <w:jc w:val="right"/>
              <w:rPr>
                <w:color w:val="000000"/>
              </w:rPr>
            </w:pPr>
          </w:p>
        </w:tc>
      </w:tr>
      <w:tr w:rsidR="008E5DE4" w14:paraId="0882ADB4" w14:textId="77777777">
        <w:trPr>
          <w:cantSplit/>
        </w:trPr>
        <w:tc>
          <w:tcPr>
            <w:tcW w:w="5726" w:type="dxa"/>
            <w:vAlign w:val="bottom"/>
          </w:tcPr>
          <w:p w14:paraId="156C5E54"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cost of sales, distribution costs and general and administrative expenses</w:t>
            </w:r>
          </w:p>
        </w:tc>
        <w:tc>
          <w:tcPr>
            <w:tcW w:w="567" w:type="dxa"/>
            <w:vAlign w:val="bottom"/>
          </w:tcPr>
          <w:p w14:paraId="796B7CA7" w14:textId="77777777" w:rsidR="008E5DE4" w:rsidRDefault="008E5DE4">
            <w:pPr>
              <w:widowControl w:val="0"/>
              <w:pBdr>
                <w:top w:val="nil"/>
                <w:left w:val="nil"/>
                <w:bottom w:val="nil"/>
                <w:right w:val="nil"/>
                <w:between w:val="nil"/>
              </w:pBdr>
              <w:ind w:left="-57" w:right="-57"/>
              <w:jc w:val="center"/>
              <w:rPr>
                <w:b/>
                <w:i/>
                <w:color w:val="000000"/>
              </w:rPr>
            </w:pPr>
          </w:p>
        </w:tc>
        <w:tc>
          <w:tcPr>
            <w:tcW w:w="1531" w:type="dxa"/>
            <w:vAlign w:val="bottom"/>
          </w:tcPr>
          <w:p w14:paraId="2B99FF17"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4DDBE8E6" w14:textId="77777777" w:rsidR="008E5DE4" w:rsidRDefault="008E5DE4">
            <w:pPr>
              <w:widowControl w:val="0"/>
              <w:pBdr>
                <w:top w:val="nil"/>
                <w:left w:val="nil"/>
                <w:bottom w:val="nil"/>
                <w:right w:val="nil"/>
                <w:between w:val="nil"/>
              </w:pBdr>
              <w:jc w:val="right"/>
              <w:rPr>
                <w:b/>
                <w:color w:val="000000"/>
              </w:rPr>
            </w:pPr>
          </w:p>
        </w:tc>
      </w:tr>
      <w:tr w:rsidR="008E5DE4" w14:paraId="32D0F728" w14:textId="77777777">
        <w:trPr>
          <w:cantSplit/>
        </w:trPr>
        <w:tc>
          <w:tcPr>
            <w:tcW w:w="5726" w:type="dxa"/>
            <w:tcBorders>
              <w:bottom w:val="single" w:sz="8" w:space="0" w:color="000000"/>
            </w:tcBorders>
            <w:vAlign w:val="bottom"/>
          </w:tcPr>
          <w:p w14:paraId="184E8652"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567" w:type="dxa"/>
            <w:tcBorders>
              <w:bottom w:val="single" w:sz="8" w:space="0" w:color="000000"/>
            </w:tcBorders>
            <w:vAlign w:val="bottom"/>
          </w:tcPr>
          <w:p w14:paraId="1783A68C" w14:textId="77777777" w:rsidR="008E5DE4" w:rsidRDefault="008E5DE4">
            <w:pPr>
              <w:widowControl w:val="0"/>
              <w:pBdr>
                <w:top w:val="nil"/>
                <w:left w:val="nil"/>
                <w:bottom w:val="nil"/>
                <w:right w:val="nil"/>
                <w:between w:val="nil"/>
              </w:pBdr>
              <w:ind w:left="-57" w:right="-57"/>
              <w:jc w:val="center"/>
              <w:rPr>
                <w:i/>
                <w:color w:val="000000"/>
              </w:rPr>
            </w:pPr>
          </w:p>
        </w:tc>
        <w:tc>
          <w:tcPr>
            <w:tcW w:w="1531" w:type="dxa"/>
            <w:tcBorders>
              <w:bottom w:val="single" w:sz="8" w:space="0" w:color="000000"/>
            </w:tcBorders>
            <w:vAlign w:val="bottom"/>
          </w:tcPr>
          <w:p w14:paraId="30990986"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8" w:space="0" w:color="000000"/>
            </w:tcBorders>
            <w:vAlign w:val="bottom"/>
          </w:tcPr>
          <w:p w14:paraId="7A0F2A26" w14:textId="77777777" w:rsidR="008E5DE4" w:rsidRDefault="008E5DE4">
            <w:pPr>
              <w:widowControl w:val="0"/>
              <w:pBdr>
                <w:top w:val="nil"/>
                <w:left w:val="nil"/>
                <w:bottom w:val="nil"/>
                <w:right w:val="nil"/>
                <w:between w:val="nil"/>
              </w:pBdr>
              <w:jc w:val="right"/>
              <w:rPr>
                <w:color w:val="000000"/>
              </w:rPr>
            </w:pPr>
          </w:p>
        </w:tc>
      </w:tr>
    </w:tbl>
    <w:p w14:paraId="15A67D0B" w14:textId="3243FCBD" w:rsidR="008E5DE4" w:rsidRDefault="00780368">
      <w:pPr>
        <w:widowControl w:val="0"/>
        <w:pBdr>
          <w:top w:val="nil"/>
          <w:left w:val="nil"/>
          <w:bottom w:val="nil"/>
          <w:right w:val="nil"/>
          <w:between w:val="nil"/>
        </w:pBdr>
        <w:spacing w:before="200" w:after="200" w:line="228" w:lineRule="auto"/>
        <w:jc w:val="both"/>
        <w:rPr>
          <w:i/>
          <w:color w:val="FF0000"/>
          <w:sz w:val="20"/>
          <w:szCs w:val="20"/>
        </w:rPr>
      </w:pPr>
      <w:r>
        <w:rPr>
          <w:color w:val="000000"/>
          <w:sz w:val="20"/>
          <w:szCs w:val="20"/>
        </w:rPr>
        <w:t>Included in employee benefits expense are statutory and private pension contributions of EUR _____ thousand (</w:t>
      </w:r>
      <w:r w:rsidR="00E06A92">
        <w:rPr>
          <w:color w:val="000000"/>
          <w:sz w:val="20"/>
          <w:szCs w:val="20"/>
        </w:rPr>
        <w:t>2024</w:t>
      </w:r>
      <w:r>
        <w:rPr>
          <w:color w:val="000000"/>
          <w:sz w:val="20"/>
          <w:szCs w:val="20"/>
        </w:rPr>
        <w:t>:</w:t>
      </w:r>
      <w:r w:rsidR="00FA3B9A">
        <w:rPr>
          <w:color w:val="000000"/>
          <w:sz w:val="20"/>
          <w:szCs w:val="20"/>
        </w:rPr>
        <w:t xml:space="preserve"> </w:t>
      </w:r>
      <w:r>
        <w:rPr>
          <w:color w:val="000000"/>
          <w:sz w:val="20"/>
          <w:szCs w:val="20"/>
        </w:rPr>
        <w:t xml:space="preserve">EUR _____ thousand). </w:t>
      </w:r>
    </w:p>
    <w:p w14:paraId="7A07F807" w14:textId="65AE2E25"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Direct operating expenses for investment properties that generate rental income amounted to EUR _____ thousand (</w:t>
      </w:r>
      <w:r w:rsidR="00E06A92">
        <w:rPr>
          <w:color w:val="000000"/>
          <w:sz w:val="20"/>
          <w:szCs w:val="20"/>
        </w:rPr>
        <w:t>2024</w:t>
      </w:r>
      <w:r>
        <w:rPr>
          <w:color w:val="000000"/>
          <w:sz w:val="20"/>
          <w:szCs w:val="20"/>
        </w:rPr>
        <w:t>:</w:t>
      </w:r>
      <w:r w:rsidR="00FA3B9A">
        <w:rPr>
          <w:color w:val="000000"/>
          <w:sz w:val="20"/>
          <w:szCs w:val="20"/>
        </w:rPr>
        <w:t xml:space="preserve"> </w:t>
      </w:r>
      <w:r>
        <w:rPr>
          <w:color w:val="000000"/>
          <w:sz w:val="20"/>
          <w:szCs w:val="20"/>
        </w:rPr>
        <w:t>EUR _____ thousand) and comprised of costs of utilities and employee benefits expense. Direct operating expenses for investment properties that did not generate rental income amounted to</w:t>
      </w:r>
      <w:r w:rsidR="00FA3B9A">
        <w:rPr>
          <w:color w:val="000000"/>
          <w:sz w:val="20"/>
          <w:szCs w:val="20"/>
        </w:rPr>
        <w:t xml:space="preserve"> </w:t>
      </w:r>
      <w:r>
        <w:rPr>
          <w:color w:val="000000"/>
          <w:sz w:val="20"/>
          <w:szCs w:val="20"/>
        </w:rPr>
        <w:t>EUR _____ thousand (</w:t>
      </w:r>
      <w:r w:rsidR="00E06A92">
        <w:rPr>
          <w:color w:val="000000"/>
          <w:sz w:val="20"/>
          <w:szCs w:val="20"/>
        </w:rPr>
        <w:t>2024</w:t>
      </w:r>
      <w:r>
        <w:rPr>
          <w:color w:val="000000"/>
          <w:sz w:val="20"/>
          <w:szCs w:val="20"/>
        </w:rPr>
        <w:t>:</w:t>
      </w:r>
      <w:r w:rsidR="00FA3B9A">
        <w:rPr>
          <w:color w:val="000000"/>
          <w:sz w:val="20"/>
          <w:szCs w:val="20"/>
        </w:rPr>
        <w:t xml:space="preserve"> </w:t>
      </w:r>
      <w:r>
        <w:rPr>
          <w:color w:val="000000"/>
          <w:sz w:val="20"/>
          <w:szCs w:val="20"/>
        </w:rPr>
        <w:t>EUR _____ thousand).</w:t>
      </w:r>
    </w:p>
    <w:p w14:paraId="1EC3244C" w14:textId="77777777" w:rsidR="008E5DE4" w:rsidRDefault="008E5DE4">
      <w:pPr>
        <w:widowControl w:val="0"/>
        <w:pBdr>
          <w:top w:val="nil"/>
          <w:left w:val="nil"/>
          <w:bottom w:val="nil"/>
          <w:right w:val="nil"/>
          <w:between w:val="nil"/>
        </w:pBdr>
        <w:spacing w:before="200" w:after="200" w:line="228" w:lineRule="auto"/>
        <w:jc w:val="both"/>
        <w:rPr>
          <w:color w:val="000000"/>
          <w:sz w:val="20"/>
          <w:szCs w:val="20"/>
        </w:rPr>
      </w:pPr>
    </w:p>
    <w:p w14:paraId="3F5445E9"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36</w:t>
      </w:r>
      <w:r>
        <w:rPr>
          <w:b/>
          <w:color w:val="000000"/>
          <w:sz w:val="20"/>
          <w:szCs w:val="20"/>
        </w:rPr>
        <w:tab/>
        <w:t>Income and Expenses by Nature (Continued)</w:t>
      </w:r>
    </w:p>
    <w:p w14:paraId="7C556B9E" w14:textId="77777777"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Other income comprises: </w:t>
      </w:r>
    </w:p>
    <w:tbl>
      <w:tblPr>
        <w:tblStyle w:val="affffffffffb"/>
        <w:tblW w:w="9355" w:type="dxa"/>
        <w:tblLayout w:type="fixed"/>
        <w:tblLook w:val="0000" w:firstRow="0" w:lastRow="0" w:firstColumn="0" w:lastColumn="0" w:noHBand="0" w:noVBand="0"/>
      </w:tblPr>
      <w:tblGrid>
        <w:gridCol w:w="5726"/>
        <w:gridCol w:w="567"/>
        <w:gridCol w:w="1531"/>
        <w:gridCol w:w="1531"/>
      </w:tblGrid>
      <w:tr w:rsidR="008E5DE4" w14:paraId="7BBB1195" w14:textId="77777777">
        <w:trPr>
          <w:cantSplit/>
        </w:trPr>
        <w:tc>
          <w:tcPr>
            <w:tcW w:w="5726" w:type="dxa"/>
            <w:tcBorders>
              <w:bottom w:val="single" w:sz="4" w:space="0" w:color="000000"/>
            </w:tcBorders>
            <w:vAlign w:val="bottom"/>
          </w:tcPr>
          <w:p w14:paraId="740E83E8"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In thousands of EUR</w:t>
            </w:r>
          </w:p>
        </w:tc>
        <w:tc>
          <w:tcPr>
            <w:tcW w:w="567" w:type="dxa"/>
            <w:tcBorders>
              <w:bottom w:val="single" w:sz="4" w:space="0" w:color="000000"/>
            </w:tcBorders>
            <w:vAlign w:val="bottom"/>
          </w:tcPr>
          <w:p w14:paraId="6BE750B1" w14:textId="77777777" w:rsidR="008E5DE4" w:rsidRDefault="00780368">
            <w:pPr>
              <w:widowControl w:val="0"/>
              <w:pBdr>
                <w:top w:val="nil"/>
                <w:left w:val="nil"/>
                <w:bottom w:val="nil"/>
                <w:right w:val="nil"/>
                <w:between w:val="nil"/>
              </w:pBdr>
              <w:spacing w:line="228" w:lineRule="auto"/>
              <w:ind w:left="-57" w:right="-57"/>
              <w:jc w:val="center"/>
              <w:rPr>
                <w:b/>
                <w:color w:val="000000"/>
              </w:rPr>
            </w:pPr>
            <w:r>
              <w:rPr>
                <w:b/>
                <w:color w:val="000000"/>
              </w:rPr>
              <w:t>Note</w:t>
            </w:r>
          </w:p>
        </w:tc>
        <w:tc>
          <w:tcPr>
            <w:tcW w:w="1531" w:type="dxa"/>
            <w:tcBorders>
              <w:bottom w:val="single" w:sz="4" w:space="0" w:color="000000"/>
            </w:tcBorders>
            <w:vAlign w:val="bottom"/>
          </w:tcPr>
          <w:p w14:paraId="240F886B" w14:textId="05767325" w:rsidR="008E5DE4" w:rsidRDefault="008614F8">
            <w:pPr>
              <w:widowControl w:val="0"/>
              <w:pBdr>
                <w:top w:val="nil"/>
                <w:left w:val="nil"/>
                <w:bottom w:val="nil"/>
                <w:right w:val="nil"/>
                <w:between w:val="nil"/>
              </w:pBdr>
              <w:spacing w:line="228" w:lineRule="auto"/>
              <w:jc w:val="right"/>
              <w:rPr>
                <w:b/>
                <w:color w:val="000000"/>
              </w:rPr>
            </w:pPr>
            <w:r>
              <w:rPr>
                <w:b/>
                <w:color w:val="000000"/>
              </w:rPr>
              <w:t>2025</w:t>
            </w:r>
          </w:p>
        </w:tc>
        <w:tc>
          <w:tcPr>
            <w:tcW w:w="1531" w:type="dxa"/>
            <w:tcBorders>
              <w:bottom w:val="single" w:sz="4" w:space="0" w:color="000000"/>
            </w:tcBorders>
            <w:vAlign w:val="bottom"/>
          </w:tcPr>
          <w:p w14:paraId="02F13CED" w14:textId="321980F4" w:rsidR="008E5DE4" w:rsidRDefault="00E06A92">
            <w:pPr>
              <w:widowControl w:val="0"/>
              <w:pBdr>
                <w:top w:val="nil"/>
                <w:left w:val="nil"/>
                <w:bottom w:val="nil"/>
                <w:right w:val="nil"/>
                <w:between w:val="nil"/>
              </w:pBdr>
              <w:spacing w:line="228" w:lineRule="auto"/>
              <w:jc w:val="right"/>
              <w:rPr>
                <w:b/>
                <w:color w:val="000000"/>
              </w:rPr>
            </w:pPr>
            <w:r>
              <w:rPr>
                <w:b/>
                <w:color w:val="000000"/>
              </w:rPr>
              <w:t>2024</w:t>
            </w:r>
          </w:p>
        </w:tc>
      </w:tr>
      <w:tr w:rsidR="008E5DE4" w14:paraId="583F45D9" w14:textId="77777777">
        <w:trPr>
          <w:cantSplit/>
        </w:trPr>
        <w:tc>
          <w:tcPr>
            <w:tcW w:w="5726" w:type="dxa"/>
            <w:vAlign w:val="bottom"/>
          </w:tcPr>
          <w:p w14:paraId="529E77E4" w14:textId="77777777" w:rsidR="008E5DE4" w:rsidRDefault="00780368">
            <w:pPr>
              <w:widowControl w:val="0"/>
              <w:spacing w:line="228" w:lineRule="auto"/>
              <w:ind w:left="113" w:right="-57" w:hanging="113"/>
            </w:pPr>
            <w:r>
              <w:rPr>
                <w:b/>
              </w:rPr>
              <w:t> </w:t>
            </w:r>
          </w:p>
        </w:tc>
        <w:tc>
          <w:tcPr>
            <w:tcW w:w="567" w:type="dxa"/>
            <w:vAlign w:val="bottom"/>
          </w:tcPr>
          <w:p w14:paraId="246A52DA"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DF933B0"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7C40AD2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EEDE336" w14:textId="77777777">
        <w:trPr>
          <w:cantSplit/>
        </w:trPr>
        <w:tc>
          <w:tcPr>
            <w:tcW w:w="5726" w:type="dxa"/>
            <w:vAlign w:val="bottom"/>
          </w:tcPr>
          <w:p w14:paraId="0E6774C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Dividend income</w:t>
            </w:r>
          </w:p>
        </w:tc>
        <w:tc>
          <w:tcPr>
            <w:tcW w:w="567" w:type="dxa"/>
            <w:vAlign w:val="bottom"/>
          </w:tcPr>
          <w:p w14:paraId="31F7625D"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7A85577C"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87A17B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EFAB5E0" w14:textId="77777777">
        <w:trPr>
          <w:cantSplit/>
        </w:trPr>
        <w:tc>
          <w:tcPr>
            <w:tcW w:w="5726" w:type="dxa"/>
            <w:vAlign w:val="bottom"/>
          </w:tcPr>
          <w:p w14:paraId="77326CE0" w14:textId="77777777" w:rsidR="008E5DE4" w:rsidRDefault="00780368">
            <w:pPr>
              <w:widowControl w:val="0"/>
              <w:pBdr>
                <w:top w:val="nil"/>
                <w:left w:val="nil"/>
                <w:bottom w:val="nil"/>
                <w:right w:val="nil"/>
                <w:between w:val="nil"/>
              </w:pBdr>
              <w:spacing w:line="228" w:lineRule="auto"/>
              <w:ind w:left="113" w:right="-57" w:hanging="113"/>
              <w:rPr>
                <w:i/>
                <w:color w:val="FF0000"/>
              </w:rPr>
            </w:pPr>
            <w:r>
              <w:rPr>
                <w:color w:val="000000"/>
              </w:rPr>
              <w:t xml:space="preserve">Operating lease income </w:t>
            </w:r>
          </w:p>
        </w:tc>
        <w:tc>
          <w:tcPr>
            <w:tcW w:w="567" w:type="dxa"/>
            <w:vAlign w:val="bottom"/>
          </w:tcPr>
          <w:p w14:paraId="6487BA8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460C595C"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2CD09B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6D83B2F" w14:textId="77777777">
        <w:trPr>
          <w:cantSplit/>
        </w:trPr>
        <w:tc>
          <w:tcPr>
            <w:tcW w:w="5726" w:type="dxa"/>
            <w:vAlign w:val="bottom"/>
          </w:tcPr>
          <w:p w14:paraId="2320510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Sublease rental income</w:t>
            </w:r>
          </w:p>
        </w:tc>
        <w:tc>
          <w:tcPr>
            <w:tcW w:w="567" w:type="dxa"/>
            <w:vAlign w:val="bottom"/>
          </w:tcPr>
          <w:p w14:paraId="29D06C4E"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3BD7B71D"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D98B80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423B726" w14:textId="77777777">
        <w:trPr>
          <w:cantSplit/>
        </w:trPr>
        <w:tc>
          <w:tcPr>
            <w:tcW w:w="5726" w:type="dxa"/>
            <w:vAlign w:val="bottom"/>
          </w:tcPr>
          <w:p w14:paraId="5E419D44" w14:textId="11C42D32"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Other</w:t>
            </w:r>
            <w:r>
              <w:rPr>
                <w:color w:val="FF0000"/>
              </w:rPr>
              <w:t xml:space="preserve"> </w:t>
            </w:r>
          </w:p>
        </w:tc>
        <w:tc>
          <w:tcPr>
            <w:tcW w:w="567" w:type="dxa"/>
            <w:vAlign w:val="bottom"/>
          </w:tcPr>
          <w:p w14:paraId="163B18FA"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7439F3C0"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E49112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05F7DDE" w14:textId="77777777">
        <w:trPr>
          <w:cantSplit/>
        </w:trPr>
        <w:tc>
          <w:tcPr>
            <w:tcW w:w="5726" w:type="dxa"/>
            <w:tcBorders>
              <w:bottom w:val="single" w:sz="4" w:space="0" w:color="000000"/>
            </w:tcBorders>
            <w:vAlign w:val="bottom"/>
          </w:tcPr>
          <w:p w14:paraId="2DD6602D" w14:textId="77777777" w:rsidR="008E5DE4" w:rsidRDefault="00780368">
            <w:pPr>
              <w:widowControl w:val="0"/>
              <w:spacing w:line="228" w:lineRule="auto"/>
              <w:ind w:left="113" w:right="-57" w:hanging="113"/>
            </w:pPr>
            <w:r>
              <w:rPr>
                <w:b/>
              </w:rPr>
              <w:t> </w:t>
            </w:r>
          </w:p>
        </w:tc>
        <w:tc>
          <w:tcPr>
            <w:tcW w:w="567" w:type="dxa"/>
            <w:tcBorders>
              <w:bottom w:val="single" w:sz="4" w:space="0" w:color="000000"/>
            </w:tcBorders>
            <w:vAlign w:val="bottom"/>
          </w:tcPr>
          <w:p w14:paraId="14347BA3"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4" w:space="0" w:color="000000"/>
            </w:tcBorders>
            <w:vAlign w:val="bottom"/>
          </w:tcPr>
          <w:p w14:paraId="3C77D529"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5C39618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1D7052E" w14:textId="77777777">
        <w:trPr>
          <w:cantSplit/>
        </w:trPr>
        <w:tc>
          <w:tcPr>
            <w:tcW w:w="5726" w:type="dxa"/>
            <w:vAlign w:val="bottom"/>
          </w:tcPr>
          <w:p w14:paraId="0A6C70DD" w14:textId="77777777" w:rsidR="008E5DE4" w:rsidRDefault="00780368">
            <w:pPr>
              <w:widowControl w:val="0"/>
              <w:spacing w:line="228" w:lineRule="auto"/>
              <w:ind w:left="113" w:right="-57" w:hanging="113"/>
            </w:pPr>
            <w:r>
              <w:rPr>
                <w:b/>
              </w:rPr>
              <w:t> </w:t>
            </w:r>
          </w:p>
        </w:tc>
        <w:tc>
          <w:tcPr>
            <w:tcW w:w="567" w:type="dxa"/>
            <w:vAlign w:val="bottom"/>
          </w:tcPr>
          <w:p w14:paraId="7D327F23"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5444C0B"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7825EBE1"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35B8EC08" w14:textId="77777777">
        <w:trPr>
          <w:cantSplit/>
        </w:trPr>
        <w:tc>
          <w:tcPr>
            <w:tcW w:w="5726" w:type="dxa"/>
            <w:vAlign w:val="bottom"/>
          </w:tcPr>
          <w:p w14:paraId="10EEAC07"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Total other income</w:t>
            </w:r>
          </w:p>
        </w:tc>
        <w:tc>
          <w:tcPr>
            <w:tcW w:w="567" w:type="dxa"/>
            <w:vAlign w:val="bottom"/>
          </w:tcPr>
          <w:p w14:paraId="2F4A34C1" w14:textId="77777777" w:rsidR="008E5DE4" w:rsidRDefault="008E5DE4">
            <w:pPr>
              <w:widowControl w:val="0"/>
              <w:pBdr>
                <w:top w:val="nil"/>
                <w:left w:val="nil"/>
                <w:bottom w:val="nil"/>
                <w:right w:val="nil"/>
                <w:between w:val="nil"/>
              </w:pBdr>
              <w:spacing w:line="228" w:lineRule="auto"/>
              <w:ind w:left="-57" w:right="-57"/>
              <w:jc w:val="center"/>
              <w:rPr>
                <w:b/>
                <w:color w:val="000000"/>
              </w:rPr>
            </w:pPr>
          </w:p>
        </w:tc>
        <w:tc>
          <w:tcPr>
            <w:tcW w:w="1531" w:type="dxa"/>
            <w:vAlign w:val="bottom"/>
          </w:tcPr>
          <w:p w14:paraId="4CD68A08"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5D7A3E67"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0BE8A92F" w14:textId="77777777">
        <w:trPr>
          <w:cantSplit/>
        </w:trPr>
        <w:tc>
          <w:tcPr>
            <w:tcW w:w="5726" w:type="dxa"/>
            <w:tcBorders>
              <w:bottom w:val="single" w:sz="12" w:space="0" w:color="000000"/>
            </w:tcBorders>
            <w:vAlign w:val="bottom"/>
          </w:tcPr>
          <w:p w14:paraId="1243B6FE" w14:textId="77777777" w:rsidR="008E5DE4" w:rsidRDefault="00780368">
            <w:pPr>
              <w:widowControl w:val="0"/>
              <w:spacing w:line="228" w:lineRule="auto"/>
              <w:ind w:left="113" w:right="-57" w:hanging="113"/>
            </w:pPr>
            <w:r>
              <w:rPr>
                <w:b/>
              </w:rPr>
              <w:t> </w:t>
            </w:r>
          </w:p>
        </w:tc>
        <w:tc>
          <w:tcPr>
            <w:tcW w:w="567" w:type="dxa"/>
            <w:tcBorders>
              <w:bottom w:val="single" w:sz="12" w:space="0" w:color="000000"/>
            </w:tcBorders>
            <w:vAlign w:val="bottom"/>
          </w:tcPr>
          <w:p w14:paraId="4ACFD7B5"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12" w:space="0" w:color="000000"/>
            </w:tcBorders>
            <w:vAlign w:val="bottom"/>
          </w:tcPr>
          <w:p w14:paraId="229325C1"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tcBorders>
              <w:bottom w:val="single" w:sz="12" w:space="0" w:color="000000"/>
            </w:tcBorders>
            <w:vAlign w:val="bottom"/>
          </w:tcPr>
          <w:p w14:paraId="021C1F47" w14:textId="77777777" w:rsidR="008E5DE4" w:rsidRDefault="008E5DE4">
            <w:pPr>
              <w:widowControl w:val="0"/>
              <w:pBdr>
                <w:top w:val="nil"/>
                <w:left w:val="nil"/>
                <w:bottom w:val="nil"/>
                <w:right w:val="nil"/>
                <w:between w:val="nil"/>
              </w:pBdr>
              <w:spacing w:line="228" w:lineRule="auto"/>
              <w:jc w:val="right"/>
              <w:rPr>
                <w:b/>
                <w:color w:val="000000"/>
              </w:rPr>
            </w:pPr>
          </w:p>
        </w:tc>
      </w:tr>
    </w:tbl>
    <w:p w14:paraId="77AF2100" w14:textId="77777777" w:rsidR="008E5DE4" w:rsidRDefault="00780368">
      <w:pPr>
        <w:widowControl w:val="0"/>
        <w:spacing w:before="200" w:after="200" w:line="228" w:lineRule="auto"/>
        <w:jc w:val="both"/>
        <w:rPr>
          <w:sz w:val="20"/>
          <w:szCs w:val="20"/>
        </w:rPr>
      </w:pPr>
      <w:r>
        <w:rPr>
          <w:sz w:val="20"/>
          <w:szCs w:val="20"/>
        </w:rPr>
        <w:t>Interest revenue calculated using the effective interest method comprises:</w:t>
      </w:r>
    </w:p>
    <w:tbl>
      <w:tblPr>
        <w:tblStyle w:val="affffffffffc"/>
        <w:tblW w:w="9355" w:type="dxa"/>
        <w:tblLayout w:type="fixed"/>
        <w:tblLook w:val="0000" w:firstRow="0" w:lastRow="0" w:firstColumn="0" w:lastColumn="0" w:noHBand="0" w:noVBand="0"/>
      </w:tblPr>
      <w:tblGrid>
        <w:gridCol w:w="6293"/>
        <w:gridCol w:w="1531"/>
        <w:gridCol w:w="1531"/>
      </w:tblGrid>
      <w:tr w:rsidR="008E5DE4" w14:paraId="45681BAC" w14:textId="77777777">
        <w:trPr>
          <w:cantSplit/>
        </w:trPr>
        <w:tc>
          <w:tcPr>
            <w:tcW w:w="6293" w:type="dxa"/>
            <w:tcBorders>
              <w:bottom w:val="single" w:sz="4" w:space="0" w:color="000000"/>
            </w:tcBorders>
            <w:vAlign w:val="bottom"/>
          </w:tcPr>
          <w:p w14:paraId="1492054A"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531" w:type="dxa"/>
            <w:tcBorders>
              <w:bottom w:val="single" w:sz="4" w:space="0" w:color="000000"/>
            </w:tcBorders>
            <w:vAlign w:val="bottom"/>
          </w:tcPr>
          <w:p w14:paraId="40E19BA9" w14:textId="7C2EB886"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A1D6994" w14:textId="24AEB77D"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4334F4D9" w14:textId="77777777">
        <w:trPr>
          <w:cantSplit/>
        </w:trPr>
        <w:tc>
          <w:tcPr>
            <w:tcW w:w="6293" w:type="dxa"/>
            <w:tcBorders>
              <w:top w:val="single" w:sz="4" w:space="0" w:color="000000"/>
            </w:tcBorders>
            <w:vAlign w:val="bottom"/>
          </w:tcPr>
          <w:p w14:paraId="45FA6535" w14:textId="77777777" w:rsidR="008E5DE4" w:rsidRDefault="00780368">
            <w:pPr>
              <w:widowControl w:val="0"/>
              <w:ind w:left="113" w:right="-57" w:hanging="113"/>
            </w:pPr>
            <w:r>
              <w:t> </w:t>
            </w:r>
          </w:p>
        </w:tc>
        <w:tc>
          <w:tcPr>
            <w:tcW w:w="1531" w:type="dxa"/>
            <w:tcBorders>
              <w:top w:val="single" w:sz="4" w:space="0" w:color="000000"/>
            </w:tcBorders>
            <w:vAlign w:val="bottom"/>
          </w:tcPr>
          <w:p w14:paraId="32098649"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327164CE" w14:textId="77777777" w:rsidR="008E5DE4" w:rsidRDefault="008E5DE4">
            <w:pPr>
              <w:widowControl w:val="0"/>
              <w:pBdr>
                <w:top w:val="nil"/>
                <w:left w:val="nil"/>
                <w:bottom w:val="nil"/>
                <w:right w:val="nil"/>
                <w:between w:val="nil"/>
              </w:pBdr>
              <w:jc w:val="right"/>
              <w:rPr>
                <w:color w:val="000000"/>
              </w:rPr>
            </w:pPr>
          </w:p>
        </w:tc>
      </w:tr>
      <w:tr w:rsidR="008E5DE4" w14:paraId="3F11BB99" w14:textId="77777777">
        <w:trPr>
          <w:cantSplit/>
        </w:trPr>
        <w:tc>
          <w:tcPr>
            <w:tcW w:w="6293" w:type="dxa"/>
            <w:vAlign w:val="bottom"/>
          </w:tcPr>
          <w:p w14:paraId="61A203A5" w14:textId="77777777" w:rsidR="008E5DE4" w:rsidRDefault="00780368">
            <w:pPr>
              <w:widowControl w:val="0"/>
              <w:pBdr>
                <w:top w:val="nil"/>
                <w:left w:val="nil"/>
                <w:bottom w:val="nil"/>
                <w:right w:val="nil"/>
                <w:between w:val="nil"/>
              </w:pBdr>
              <w:ind w:left="113" w:right="-57" w:hanging="113"/>
              <w:rPr>
                <w:color w:val="000000"/>
              </w:rPr>
            </w:pPr>
            <w:r>
              <w:rPr>
                <w:color w:val="000000"/>
              </w:rPr>
              <w:t>Financial assets carried at amortised cost</w:t>
            </w:r>
          </w:p>
        </w:tc>
        <w:tc>
          <w:tcPr>
            <w:tcW w:w="1531" w:type="dxa"/>
            <w:vAlign w:val="bottom"/>
          </w:tcPr>
          <w:p w14:paraId="1F72B07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DE90281" w14:textId="77777777" w:rsidR="008E5DE4" w:rsidRDefault="008E5DE4">
            <w:pPr>
              <w:widowControl w:val="0"/>
              <w:pBdr>
                <w:top w:val="nil"/>
                <w:left w:val="nil"/>
                <w:bottom w:val="nil"/>
                <w:right w:val="nil"/>
                <w:between w:val="nil"/>
              </w:pBdr>
              <w:jc w:val="right"/>
              <w:rPr>
                <w:color w:val="000000"/>
              </w:rPr>
            </w:pPr>
          </w:p>
        </w:tc>
      </w:tr>
      <w:tr w:rsidR="008E5DE4" w14:paraId="0CD94185" w14:textId="77777777">
        <w:trPr>
          <w:cantSplit/>
        </w:trPr>
        <w:tc>
          <w:tcPr>
            <w:tcW w:w="6293" w:type="dxa"/>
            <w:vAlign w:val="bottom"/>
          </w:tcPr>
          <w:p w14:paraId="2656A0EB"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Financial assets carried at FVOCI </w:t>
            </w:r>
          </w:p>
        </w:tc>
        <w:tc>
          <w:tcPr>
            <w:tcW w:w="1531" w:type="dxa"/>
            <w:vAlign w:val="bottom"/>
          </w:tcPr>
          <w:p w14:paraId="6468240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A3ACD0E" w14:textId="77777777" w:rsidR="008E5DE4" w:rsidRDefault="008E5DE4">
            <w:pPr>
              <w:widowControl w:val="0"/>
              <w:pBdr>
                <w:top w:val="nil"/>
                <w:left w:val="nil"/>
                <w:bottom w:val="nil"/>
                <w:right w:val="nil"/>
                <w:between w:val="nil"/>
              </w:pBdr>
              <w:jc w:val="right"/>
              <w:rPr>
                <w:color w:val="000000"/>
              </w:rPr>
            </w:pPr>
          </w:p>
        </w:tc>
      </w:tr>
      <w:tr w:rsidR="008E5DE4" w14:paraId="1CC59B56" w14:textId="77777777">
        <w:trPr>
          <w:cantSplit/>
        </w:trPr>
        <w:tc>
          <w:tcPr>
            <w:tcW w:w="6293" w:type="dxa"/>
            <w:tcBorders>
              <w:bottom w:val="single" w:sz="4" w:space="0" w:color="000000"/>
            </w:tcBorders>
            <w:vAlign w:val="bottom"/>
          </w:tcPr>
          <w:p w14:paraId="05B33DF9" w14:textId="77777777" w:rsidR="008E5DE4" w:rsidRDefault="008E5DE4">
            <w:pPr>
              <w:widowControl w:val="0"/>
              <w:pBdr>
                <w:top w:val="nil"/>
                <w:left w:val="nil"/>
                <w:bottom w:val="nil"/>
                <w:right w:val="nil"/>
                <w:between w:val="nil"/>
              </w:pBdr>
              <w:ind w:left="113" w:right="-57" w:hanging="113"/>
              <w:rPr>
                <w:color w:val="000000"/>
              </w:rPr>
            </w:pPr>
          </w:p>
        </w:tc>
        <w:tc>
          <w:tcPr>
            <w:tcW w:w="1531" w:type="dxa"/>
            <w:tcBorders>
              <w:bottom w:val="single" w:sz="4" w:space="0" w:color="000000"/>
            </w:tcBorders>
            <w:vAlign w:val="bottom"/>
          </w:tcPr>
          <w:p w14:paraId="485D24D7"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85B2C77" w14:textId="77777777" w:rsidR="008E5DE4" w:rsidRDefault="008E5DE4">
            <w:pPr>
              <w:widowControl w:val="0"/>
              <w:pBdr>
                <w:top w:val="nil"/>
                <w:left w:val="nil"/>
                <w:bottom w:val="nil"/>
                <w:right w:val="nil"/>
                <w:between w:val="nil"/>
              </w:pBdr>
              <w:jc w:val="right"/>
              <w:rPr>
                <w:color w:val="000000"/>
              </w:rPr>
            </w:pPr>
          </w:p>
        </w:tc>
      </w:tr>
      <w:tr w:rsidR="008E5DE4" w14:paraId="50D88AE7" w14:textId="77777777">
        <w:trPr>
          <w:cantSplit/>
        </w:trPr>
        <w:tc>
          <w:tcPr>
            <w:tcW w:w="6293" w:type="dxa"/>
            <w:tcBorders>
              <w:top w:val="single" w:sz="4" w:space="0" w:color="000000"/>
            </w:tcBorders>
            <w:vAlign w:val="bottom"/>
          </w:tcPr>
          <w:p w14:paraId="63E4FE5E" w14:textId="77777777" w:rsidR="008E5DE4" w:rsidRDefault="008E5DE4">
            <w:pPr>
              <w:widowControl w:val="0"/>
              <w:pBdr>
                <w:top w:val="nil"/>
                <w:left w:val="nil"/>
                <w:bottom w:val="nil"/>
                <w:right w:val="nil"/>
                <w:between w:val="nil"/>
              </w:pBdr>
              <w:ind w:left="113" w:right="-57" w:hanging="113"/>
              <w:rPr>
                <w:color w:val="000000"/>
              </w:rPr>
            </w:pPr>
          </w:p>
        </w:tc>
        <w:tc>
          <w:tcPr>
            <w:tcW w:w="1531" w:type="dxa"/>
            <w:tcBorders>
              <w:top w:val="single" w:sz="4" w:space="0" w:color="000000"/>
            </w:tcBorders>
            <w:vAlign w:val="bottom"/>
          </w:tcPr>
          <w:p w14:paraId="62FF4AF7"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76EBD85E" w14:textId="77777777" w:rsidR="008E5DE4" w:rsidRDefault="008E5DE4">
            <w:pPr>
              <w:widowControl w:val="0"/>
              <w:pBdr>
                <w:top w:val="nil"/>
                <w:left w:val="nil"/>
                <w:bottom w:val="nil"/>
                <w:right w:val="nil"/>
                <w:between w:val="nil"/>
              </w:pBdr>
              <w:jc w:val="right"/>
              <w:rPr>
                <w:color w:val="000000"/>
              </w:rPr>
            </w:pPr>
          </w:p>
        </w:tc>
      </w:tr>
      <w:tr w:rsidR="008E5DE4" w14:paraId="7D0C5966" w14:textId="77777777">
        <w:trPr>
          <w:cantSplit/>
        </w:trPr>
        <w:tc>
          <w:tcPr>
            <w:tcW w:w="6293" w:type="dxa"/>
            <w:vAlign w:val="bottom"/>
          </w:tcPr>
          <w:p w14:paraId="1E55AA65" w14:textId="77777777" w:rsidR="008E5DE4" w:rsidRDefault="00780368">
            <w:pPr>
              <w:widowControl w:val="0"/>
              <w:pBdr>
                <w:top w:val="nil"/>
                <w:left w:val="nil"/>
                <w:bottom w:val="nil"/>
                <w:right w:val="nil"/>
                <w:between w:val="nil"/>
              </w:pBdr>
              <w:ind w:left="113" w:right="-57" w:hanging="113"/>
              <w:rPr>
                <w:b/>
                <w:color w:val="000000"/>
              </w:rPr>
            </w:pPr>
            <w:bookmarkStart w:id="62" w:name="_heading=h.2dlolyb" w:colFirst="0" w:colLast="0"/>
            <w:bookmarkEnd w:id="62"/>
            <w:r>
              <w:rPr>
                <w:b/>
                <w:color w:val="000000"/>
              </w:rPr>
              <w:t>Total interest revenue calculated using the effective interest method</w:t>
            </w:r>
          </w:p>
        </w:tc>
        <w:tc>
          <w:tcPr>
            <w:tcW w:w="1531" w:type="dxa"/>
            <w:vAlign w:val="bottom"/>
          </w:tcPr>
          <w:p w14:paraId="57769C7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C5C53EB" w14:textId="77777777" w:rsidR="008E5DE4" w:rsidRDefault="008E5DE4">
            <w:pPr>
              <w:widowControl w:val="0"/>
              <w:pBdr>
                <w:top w:val="nil"/>
                <w:left w:val="nil"/>
                <w:bottom w:val="nil"/>
                <w:right w:val="nil"/>
                <w:between w:val="nil"/>
              </w:pBdr>
              <w:jc w:val="right"/>
              <w:rPr>
                <w:color w:val="000000"/>
              </w:rPr>
            </w:pPr>
          </w:p>
        </w:tc>
      </w:tr>
      <w:tr w:rsidR="008E5DE4" w14:paraId="40DFA78C" w14:textId="77777777">
        <w:trPr>
          <w:cantSplit/>
        </w:trPr>
        <w:tc>
          <w:tcPr>
            <w:tcW w:w="6293" w:type="dxa"/>
            <w:tcBorders>
              <w:bottom w:val="single" w:sz="12" w:space="0" w:color="000000"/>
            </w:tcBorders>
            <w:vAlign w:val="bottom"/>
          </w:tcPr>
          <w:p w14:paraId="5DCEA825" w14:textId="77777777" w:rsidR="008E5DE4" w:rsidRDefault="008E5DE4">
            <w:pPr>
              <w:widowControl w:val="0"/>
              <w:pBdr>
                <w:top w:val="nil"/>
                <w:left w:val="nil"/>
                <w:bottom w:val="nil"/>
                <w:right w:val="nil"/>
                <w:between w:val="nil"/>
              </w:pBdr>
              <w:ind w:left="113" w:right="-57" w:hanging="113"/>
              <w:rPr>
                <w:color w:val="000000"/>
              </w:rPr>
            </w:pPr>
          </w:p>
        </w:tc>
        <w:tc>
          <w:tcPr>
            <w:tcW w:w="1531" w:type="dxa"/>
            <w:tcBorders>
              <w:bottom w:val="single" w:sz="12" w:space="0" w:color="000000"/>
            </w:tcBorders>
            <w:vAlign w:val="bottom"/>
          </w:tcPr>
          <w:p w14:paraId="5C158AA7"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41750222" w14:textId="77777777" w:rsidR="008E5DE4" w:rsidRDefault="008E5DE4">
            <w:pPr>
              <w:widowControl w:val="0"/>
              <w:pBdr>
                <w:top w:val="nil"/>
                <w:left w:val="nil"/>
                <w:bottom w:val="nil"/>
                <w:right w:val="nil"/>
                <w:between w:val="nil"/>
              </w:pBdr>
              <w:jc w:val="right"/>
              <w:rPr>
                <w:color w:val="000000"/>
              </w:rPr>
            </w:pPr>
          </w:p>
        </w:tc>
      </w:tr>
    </w:tbl>
    <w:p w14:paraId="5F2B6D7D" w14:textId="77777777" w:rsidR="008E5DE4" w:rsidRDefault="00780368">
      <w:pPr>
        <w:widowControl w:val="0"/>
        <w:spacing w:before="200" w:after="200" w:line="228" w:lineRule="auto"/>
        <w:jc w:val="both"/>
        <w:rPr>
          <w:sz w:val="20"/>
          <w:szCs w:val="20"/>
        </w:rPr>
      </w:pPr>
      <w:r>
        <w:rPr>
          <w:sz w:val="20"/>
          <w:szCs w:val="20"/>
        </w:rPr>
        <w:t xml:space="preserve">Refer to Note 38 for interest income incidental to cash management activities. </w:t>
      </w:r>
    </w:p>
    <w:p w14:paraId="44F973FC" w14:textId="77777777"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Other gains/(losses), net comprises: </w:t>
      </w:r>
    </w:p>
    <w:tbl>
      <w:tblPr>
        <w:tblStyle w:val="affffffffffd"/>
        <w:tblW w:w="9355" w:type="dxa"/>
        <w:tblLayout w:type="fixed"/>
        <w:tblLook w:val="0000" w:firstRow="0" w:lastRow="0" w:firstColumn="0" w:lastColumn="0" w:noHBand="0" w:noVBand="0"/>
      </w:tblPr>
      <w:tblGrid>
        <w:gridCol w:w="5726"/>
        <w:gridCol w:w="567"/>
        <w:gridCol w:w="1531"/>
        <w:gridCol w:w="1531"/>
      </w:tblGrid>
      <w:tr w:rsidR="008E5DE4" w14:paraId="5988BFED" w14:textId="77777777">
        <w:trPr>
          <w:cantSplit/>
        </w:trPr>
        <w:tc>
          <w:tcPr>
            <w:tcW w:w="5726" w:type="dxa"/>
            <w:tcBorders>
              <w:bottom w:val="single" w:sz="4" w:space="0" w:color="000000"/>
            </w:tcBorders>
            <w:vAlign w:val="bottom"/>
          </w:tcPr>
          <w:p w14:paraId="30E370D3"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567" w:type="dxa"/>
            <w:tcBorders>
              <w:bottom w:val="single" w:sz="4" w:space="0" w:color="000000"/>
            </w:tcBorders>
            <w:vAlign w:val="bottom"/>
          </w:tcPr>
          <w:p w14:paraId="206C262C"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70011F74" w14:textId="7807A3A7"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76208B31" w14:textId="1AAB8C06"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6AC5C8C4" w14:textId="77777777">
        <w:trPr>
          <w:cantSplit/>
        </w:trPr>
        <w:tc>
          <w:tcPr>
            <w:tcW w:w="5726" w:type="dxa"/>
            <w:vAlign w:val="bottom"/>
          </w:tcPr>
          <w:p w14:paraId="6E37BAF1" w14:textId="77777777" w:rsidR="008E5DE4" w:rsidRDefault="00780368">
            <w:pPr>
              <w:widowControl w:val="0"/>
              <w:ind w:left="113" w:right="-57" w:hanging="113"/>
            </w:pPr>
            <w:r>
              <w:rPr>
                <w:b/>
              </w:rPr>
              <w:t> </w:t>
            </w:r>
          </w:p>
        </w:tc>
        <w:tc>
          <w:tcPr>
            <w:tcW w:w="567" w:type="dxa"/>
            <w:vAlign w:val="bottom"/>
          </w:tcPr>
          <w:p w14:paraId="6B0B933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61B223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9FC2FE2" w14:textId="77777777" w:rsidR="008E5DE4" w:rsidRDefault="008E5DE4">
            <w:pPr>
              <w:widowControl w:val="0"/>
              <w:pBdr>
                <w:top w:val="nil"/>
                <w:left w:val="nil"/>
                <w:bottom w:val="nil"/>
                <w:right w:val="nil"/>
                <w:between w:val="nil"/>
              </w:pBdr>
              <w:jc w:val="right"/>
              <w:rPr>
                <w:color w:val="000000"/>
              </w:rPr>
            </w:pPr>
          </w:p>
        </w:tc>
      </w:tr>
      <w:tr w:rsidR="008E5DE4" w14:paraId="68068E08" w14:textId="77777777">
        <w:trPr>
          <w:cantSplit/>
        </w:trPr>
        <w:tc>
          <w:tcPr>
            <w:tcW w:w="5726" w:type="dxa"/>
            <w:vAlign w:val="bottom"/>
          </w:tcPr>
          <w:p w14:paraId="40B3F4F9" w14:textId="77777777" w:rsidR="008E5DE4" w:rsidRDefault="00780368">
            <w:pPr>
              <w:widowControl w:val="0"/>
              <w:pBdr>
                <w:top w:val="nil"/>
                <w:left w:val="nil"/>
                <w:bottom w:val="nil"/>
                <w:right w:val="nil"/>
                <w:between w:val="nil"/>
              </w:pBdr>
              <w:ind w:left="113" w:right="-57" w:hanging="113"/>
              <w:rPr>
                <w:color w:val="000000"/>
              </w:rPr>
            </w:pPr>
            <w:r>
              <w:rPr>
                <w:color w:val="000000"/>
              </w:rPr>
              <w:t>Gain on bargain purchase recognised as income</w:t>
            </w:r>
          </w:p>
        </w:tc>
        <w:tc>
          <w:tcPr>
            <w:tcW w:w="567" w:type="dxa"/>
            <w:vAlign w:val="bottom"/>
          </w:tcPr>
          <w:p w14:paraId="52C9D257" w14:textId="77777777" w:rsidR="008E5DE4" w:rsidRDefault="00780368">
            <w:pPr>
              <w:widowControl w:val="0"/>
              <w:pBdr>
                <w:top w:val="nil"/>
                <w:left w:val="nil"/>
                <w:bottom w:val="nil"/>
                <w:right w:val="nil"/>
                <w:between w:val="nil"/>
              </w:pBdr>
              <w:ind w:left="-57" w:right="-57"/>
              <w:jc w:val="center"/>
              <w:rPr>
                <w:color w:val="000000"/>
              </w:rPr>
            </w:pPr>
            <w:r>
              <w:rPr>
                <w:color w:val="000000"/>
              </w:rPr>
              <w:t>50</w:t>
            </w:r>
          </w:p>
        </w:tc>
        <w:tc>
          <w:tcPr>
            <w:tcW w:w="1531" w:type="dxa"/>
            <w:vAlign w:val="bottom"/>
          </w:tcPr>
          <w:p w14:paraId="2397444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D23F8A3" w14:textId="77777777" w:rsidR="008E5DE4" w:rsidRDefault="008E5DE4">
            <w:pPr>
              <w:widowControl w:val="0"/>
              <w:pBdr>
                <w:top w:val="nil"/>
                <w:left w:val="nil"/>
                <w:bottom w:val="nil"/>
                <w:right w:val="nil"/>
                <w:between w:val="nil"/>
              </w:pBdr>
              <w:jc w:val="right"/>
              <w:rPr>
                <w:color w:val="000000"/>
              </w:rPr>
            </w:pPr>
          </w:p>
        </w:tc>
      </w:tr>
      <w:tr w:rsidR="008E5DE4" w14:paraId="624EA9E9" w14:textId="77777777">
        <w:trPr>
          <w:cantSplit/>
        </w:trPr>
        <w:tc>
          <w:tcPr>
            <w:tcW w:w="5726" w:type="dxa"/>
            <w:vAlign w:val="bottom"/>
          </w:tcPr>
          <w:p w14:paraId="5E83BCD2" w14:textId="77777777" w:rsidR="008E5DE4" w:rsidRDefault="00780368">
            <w:pPr>
              <w:widowControl w:val="0"/>
              <w:pBdr>
                <w:top w:val="nil"/>
                <w:left w:val="nil"/>
                <w:bottom w:val="nil"/>
                <w:right w:val="nil"/>
                <w:between w:val="nil"/>
              </w:pBdr>
              <w:ind w:left="113" w:right="-57" w:hanging="113"/>
              <w:rPr>
                <w:color w:val="000000"/>
              </w:rPr>
            </w:pPr>
            <w:r>
              <w:rPr>
                <w:color w:val="000000"/>
              </w:rPr>
              <w:t>Gains less losses from fair value adjustments of investment properties</w:t>
            </w:r>
          </w:p>
        </w:tc>
        <w:tc>
          <w:tcPr>
            <w:tcW w:w="567" w:type="dxa"/>
            <w:vAlign w:val="bottom"/>
          </w:tcPr>
          <w:p w14:paraId="7EEF9E0D" w14:textId="77777777" w:rsidR="008E5DE4" w:rsidRDefault="00780368">
            <w:pPr>
              <w:widowControl w:val="0"/>
              <w:pBdr>
                <w:top w:val="nil"/>
                <w:left w:val="nil"/>
                <w:bottom w:val="nil"/>
                <w:right w:val="nil"/>
                <w:between w:val="nil"/>
              </w:pBdr>
              <w:ind w:left="-57" w:right="-57"/>
              <w:jc w:val="center"/>
              <w:rPr>
                <w:color w:val="000000"/>
              </w:rPr>
            </w:pPr>
            <w:r>
              <w:rPr>
                <w:color w:val="000000"/>
              </w:rPr>
              <w:t>10</w:t>
            </w:r>
          </w:p>
        </w:tc>
        <w:tc>
          <w:tcPr>
            <w:tcW w:w="1531" w:type="dxa"/>
            <w:vAlign w:val="bottom"/>
          </w:tcPr>
          <w:p w14:paraId="498F49C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90EA7F9" w14:textId="77777777" w:rsidR="008E5DE4" w:rsidRDefault="008E5DE4">
            <w:pPr>
              <w:widowControl w:val="0"/>
              <w:pBdr>
                <w:top w:val="nil"/>
                <w:left w:val="nil"/>
                <w:bottom w:val="nil"/>
                <w:right w:val="nil"/>
                <w:between w:val="nil"/>
              </w:pBdr>
              <w:jc w:val="right"/>
              <w:rPr>
                <w:color w:val="000000"/>
              </w:rPr>
            </w:pPr>
          </w:p>
        </w:tc>
      </w:tr>
      <w:tr w:rsidR="008E5DE4" w14:paraId="27E99D30" w14:textId="77777777">
        <w:trPr>
          <w:cantSplit/>
        </w:trPr>
        <w:tc>
          <w:tcPr>
            <w:tcW w:w="5726" w:type="dxa"/>
            <w:vAlign w:val="bottom"/>
          </w:tcPr>
          <w:p w14:paraId="7ED94128" w14:textId="77777777" w:rsidR="008E5DE4" w:rsidRDefault="00780368">
            <w:pPr>
              <w:widowControl w:val="0"/>
              <w:pBdr>
                <w:top w:val="nil"/>
                <w:left w:val="nil"/>
                <w:bottom w:val="nil"/>
                <w:right w:val="nil"/>
                <w:between w:val="nil"/>
              </w:pBdr>
              <w:ind w:left="113" w:right="-57" w:hanging="113"/>
              <w:rPr>
                <w:color w:val="000000"/>
              </w:rPr>
            </w:pPr>
            <w:r>
              <w:rPr>
                <w:color w:val="000000"/>
              </w:rPr>
              <w:t>Gains less losses on disposal of investment properties</w:t>
            </w:r>
          </w:p>
        </w:tc>
        <w:tc>
          <w:tcPr>
            <w:tcW w:w="567" w:type="dxa"/>
            <w:vAlign w:val="bottom"/>
          </w:tcPr>
          <w:p w14:paraId="6FA5A2D9" w14:textId="77777777" w:rsidR="008E5DE4" w:rsidRDefault="00780368">
            <w:pPr>
              <w:widowControl w:val="0"/>
              <w:pBdr>
                <w:top w:val="nil"/>
                <w:left w:val="nil"/>
                <w:bottom w:val="nil"/>
                <w:right w:val="nil"/>
                <w:between w:val="nil"/>
              </w:pBdr>
              <w:ind w:left="-57" w:right="-57"/>
              <w:jc w:val="center"/>
              <w:rPr>
                <w:color w:val="000000"/>
              </w:rPr>
            </w:pPr>
            <w:r>
              <w:rPr>
                <w:color w:val="000000"/>
              </w:rPr>
              <w:t>10</w:t>
            </w:r>
          </w:p>
        </w:tc>
        <w:tc>
          <w:tcPr>
            <w:tcW w:w="1531" w:type="dxa"/>
            <w:vAlign w:val="bottom"/>
          </w:tcPr>
          <w:p w14:paraId="406560D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C40AAEA" w14:textId="77777777" w:rsidR="008E5DE4" w:rsidRDefault="008E5DE4">
            <w:pPr>
              <w:widowControl w:val="0"/>
              <w:pBdr>
                <w:top w:val="nil"/>
                <w:left w:val="nil"/>
                <w:bottom w:val="nil"/>
                <w:right w:val="nil"/>
                <w:between w:val="nil"/>
              </w:pBdr>
              <w:jc w:val="right"/>
              <w:rPr>
                <w:color w:val="000000"/>
              </w:rPr>
            </w:pPr>
          </w:p>
        </w:tc>
      </w:tr>
      <w:tr w:rsidR="008E5DE4" w14:paraId="64A1B673" w14:textId="77777777">
        <w:trPr>
          <w:cantSplit/>
        </w:trPr>
        <w:tc>
          <w:tcPr>
            <w:tcW w:w="5726" w:type="dxa"/>
            <w:vAlign w:val="bottom"/>
          </w:tcPr>
          <w:p w14:paraId="48400D8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Gains on disposal of subsidiaries </w:t>
            </w:r>
          </w:p>
        </w:tc>
        <w:tc>
          <w:tcPr>
            <w:tcW w:w="567" w:type="dxa"/>
            <w:vAlign w:val="bottom"/>
          </w:tcPr>
          <w:p w14:paraId="5C54051A" w14:textId="77777777" w:rsidR="008E5DE4" w:rsidRDefault="00780368">
            <w:pPr>
              <w:widowControl w:val="0"/>
              <w:pBdr>
                <w:top w:val="nil"/>
                <w:left w:val="nil"/>
                <w:bottom w:val="nil"/>
                <w:right w:val="nil"/>
                <w:between w:val="nil"/>
              </w:pBdr>
              <w:ind w:left="-57" w:right="-57"/>
              <w:jc w:val="center"/>
              <w:rPr>
                <w:color w:val="000000"/>
              </w:rPr>
            </w:pPr>
            <w:r>
              <w:rPr>
                <w:color w:val="000000"/>
              </w:rPr>
              <w:t>25</w:t>
            </w:r>
          </w:p>
        </w:tc>
        <w:tc>
          <w:tcPr>
            <w:tcW w:w="1531" w:type="dxa"/>
            <w:vAlign w:val="bottom"/>
          </w:tcPr>
          <w:p w14:paraId="1E54A97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0F5E6BD" w14:textId="77777777" w:rsidR="008E5DE4" w:rsidRDefault="008E5DE4">
            <w:pPr>
              <w:widowControl w:val="0"/>
              <w:pBdr>
                <w:top w:val="nil"/>
                <w:left w:val="nil"/>
                <w:bottom w:val="nil"/>
                <w:right w:val="nil"/>
                <w:between w:val="nil"/>
              </w:pBdr>
              <w:jc w:val="right"/>
              <w:rPr>
                <w:color w:val="000000"/>
              </w:rPr>
            </w:pPr>
          </w:p>
        </w:tc>
      </w:tr>
      <w:tr w:rsidR="008E5DE4" w14:paraId="4979808E" w14:textId="77777777">
        <w:trPr>
          <w:cantSplit/>
        </w:trPr>
        <w:tc>
          <w:tcPr>
            <w:tcW w:w="5726" w:type="dxa"/>
            <w:vAlign w:val="bottom"/>
          </w:tcPr>
          <w:p w14:paraId="2AE15928" w14:textId="77777777" w:rsidR="008E5DE4" w:rsidRDefault="00780368">
            <w:pPr>
              <w:widowControl w:val="0"/>
              <w:pBdr>
                <w:top w:val="nil"/>
                <w:left w:val="nil"/>
                <w:bottom w:val="nil"/>
                <w:right w:val="nil"/>
                <w:between w:val="nil"/>
              </w:pBdr>
              <w:ind w:left="113" w:right="-57" w:hanging="113"/>
              <w:rPr>
                <w:color w:val="000000"/>
              </w:rPr>
            </w:pPr>
            <w:r>
              <w:rPr>
                <w:color w:val="000000"/>
              </w:rPr>
              <w:t>Gains less losses on disposal of property, plant and equipment</w:t>
            </w:r>
          </w:p>
        </w:tc>
        <w:tc>
          <w:tcPr>
            <w:tcW w:w="567" w:type="dxa"/>
            <w:vAlign w:val="bottom"/>
          </w:tcPr>
          <w:p w14:paraId="2226254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C70F52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479A347" w14:textId="77777777" w:rsidR="008E5DE4" w:rsidRDefault="008E5DE4">
            <w:pPr>
              <w:widowControl w:val="0"/>
              <w:pBdr>
                <w:top w:val="nil"/>
                <w:left w:val="nil"/>
                <w:bottom w:val="nil"/>
                <w:right w:val="nil"/>
                <w:between w:val="nil"/>
              </w:pBdr>
              <w:jc w:val="right"/>
              <w:rPr>
                <w:color w:val="000000"/>
              </w:rPr>
            </w:pPr>
          </w:p>
        </w:tc>
      </w:tr>
      <w:tr w:rsidR="008E5DE4" w14:paraId="1E2E62E1" w14:textId="77777777">
        <w:trPr>
          <w:cantSplit/>
        </w:trPr>
        <w:tc>
          <w:tcPr>
            <w:tcW w:w="5726" w:type="dxa"/>
            <w:vAlign w:val="bottom"/>
          </w:tcPr>
          <w:p w14:paraId="5545B667" w14:textId="77777777" w:rsidR="008E5DE4" w:rsidRDefault="00780368">
            <w:pPr>
              <w:widowControl w:val="0"/>
              <w:pBdr>
                <w:top w:val="nil"/>
                <w:left w:val="nil"/>
                <w:bottom w:val="nil"/>
                <w:right w:val="nil"/>
                <w:between w:val="nil"/>
              </w:pBdr>
              <w:ind w:left="113" w:right="-57" w:hanging="113"/>
              <w:rPr>
                <w:color w:val="000000"/>
              </w:rPr>
            </w:pPr>
            <w:r>
              <w:rPr>
                <w:color w:val="000000"/>
              </w:rPr>
              <w:t>Gains less losses on derecognition of financial assets measured at amortised cost</w:t>
            </w:r>
          </w:p>
        </w:tc>
        <w:tc>
          <w:tcPr>
            <w:tcW w:w="567" w:type="dxa"/>
            <w:vAlign w:val="bottom"/>
          </w:tcPr>
          <w:p w14:paraId="6E73800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00495D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AF54395" w14:textId="77777777" w:rsidR="008E5DE4" w:rsidRDefault="008E5DE4">
            <w:pPr>
              <w:widowControl w:val="0"/>
              <w:pBdr>
                <w:top w:val="nil"/>
                <w:left w:val="nil"/>
                <w:bottom w:val="nil"/>
                <w:right w:val="nil"/>
                <w:between w:val="nil"/>
              </w:pBdr>
              <w:jc w:val="right"/>
              <w:rPr>
                <w:color w:val="000000"/>
              </w:rPr>
            </w:pPr>
          </w:p>
        </w:tc>
      </w:tr>
      <w:tr w:rsidR="008E5DE4" w14:paraId="7F71F7D1" w14:textId="77777777">
        <w:trPr>
          <w:cantSplit/>
        </w:trPr>
        <w:tc>
          <w:tcPr>
            <w:tcW w:w="5726" w:type="dxa"/>
            <w:vAlign w:val="bottom"/>
          </w:tcPr>
          <w:p w14:paraId="74940A9B" w14:textId="4B40EFEA" w:rsidR="008E5DE4" w:rsidRDefault="00780368">
            <w:pPr>
              <w:widowControl w:val="0"/>
              <w:pBdr>
                <w:top w:val="nil"/>
                <w:left w:val="nil"/>
                <w:bottom w:val="nil"/>
                <w:right w:val="nil"/>
                <w:between w:val="nil"/>
              </w:pBdr>
              <w:ind w:left="113" w:right="-57" w:hanging="113"/>
              <w:rPr>
                <w:color w:val="000000"/>
              </w:rPr>
            </w:pPr>
            <w:r>
              <w:rPr>
                <w:color w:val="000000"/>
              </w:rPr>
              <w:t xml:space="preserve">Gains less losses from reclassification of financial assets from amortised cost to financial assets at fair value through profit or loss </w:t>
            </w:r>
          </w:p>
        </w:tc>
        <w:tc>
          <w:tcPr>
            <w:tcW w:w="567" w:type="dxa"/>
            <w:vAlign w:val="bottom"/>
          </w:tcPr>
          <w:p w14:paraId="6E67D75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0BD085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EF59C18" w14:textId="77777777" w:rsidR="008E5DE4" w:rsidRDefault="008E5DE4">
            <w:pPr>
              <w:widowControl w:val="0"/>
              <w:pBdr>
                <w:top w:val="nil"/>
                <w:left w:val="nil"/>
                <w:bottom w:val="nil"/>
                <w:right w:val="nil"/>
                <w:between w:val="nil"/>
              </w:pBdr>
              <w:jc w:val="right"/>
              <w:rPr>
                <w:color w:val="000000"/>
              </w:rPr>
            </w:pPr>
          </w:p>
        </w:tc>
      </w:tr>
      <w:tr w:rsidR="008E5DE4" w14:paraId="096C74F8" w14:textId="77777777">
        <w:trPr>
          <w:cantSplit/>
        </w:trPr>
        <w:tc>
          <w:tcPr>
            <w:tcW w:w="5726" w:type="dxa"/>
            <w:vAlign w:val="bottom"/>
          </w:tcPr>
          <w:p w14:paraId="523D087B" w14:textId="1540C4F8" w:rsidR="008E5DE4" w:rsidRDefault="00780368">
            <w:pPr>
              <w:widowControl w:val="0"/>
              <w:pBdr>
                <w:top w:val="nil"/>
                <w:left w:val="nil"/>
                <w:bottom w:val="nil"/>
                <w:right w:val="nil"/>
                <w:between w:val="nil"/>
              </w:pBdr>
              <w:ind w:left="113" w:right="-57" w:hanging="113"/>
              <w:rPr>
                <w:color w:val="000000"/>
              </w:rPr>
            </w:pPr>
            <w:r>
              <w:rPr>
                <w:color w:val="000000"/>
              </w:rPr>
              <w:t>Gains less losses from reclassification of debt instruments at fair value through other comprehensive income to debt instruments at fair value through profit or loss</w:t>
            </w:r>
          </w:p>
        </w:tc>
        <w:tc>
          <w:tcPr>
            <w:tcW w:w="567" w:type="dxa"/>
            <w:vAlign w:val="bottom"/>
          </w:tcPr>
          <w:p w14:paraId="0A7B44C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609736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39E4291" w14:textId="77777777" w:rsidR="008E5DE4" w:rsidRDefault="008E5DE4">
            <w:pPr>
              <w:widowControl w:val="0"/>
              <w:pBdr>
                <w:top w:val="nil"/>
                <w:left w:val="nil"/>
                <w:bottom w:val="nil"/>
                <w:right w:val="nil"/>
                <w:between w:val="nil"/>
              </w:pBdr>
              <w:jc w:val="right"/>
              <w:rPr>
                <w:color w:val="000000"/>
              </w:rPr>
            </w:pPr>
          </w:p>
        </w:tc>
      </w:tr>
      <w:tr w:rsidR="008E5DE4" w14:paraId="4105B61D" w14:textId="77777777">
        <w:trPr>
          <w:cantSplit/>
        </w:trPr>
        <w:tc>
          <w:tcPr>
            <w:tcW w:w="5726" w:type="dxa"/>
            <w:vAlign w:val="bottom"/>
          </w:tcPr>
          <w:p w14:paraId="20CFFBBA" w14:textId="33EF3C1A" w:rsidR="008E5DE4" w:rsidRDefault="00780368">
            <w:pPr>
              <w:widowControl w:val="0"/>
              <w:pBdr>
                <w:top w:val="nil"/>
                <w:left w:val="nil"/>
                <w:bottom w:val="nil"/>
                <w:right w:val="nil"/>
                <w:between w:val="nil"/>
              </w:pBdr>
              <w:ind w:left="113" w:right="-57" w:hanging="113"/>
              <w:rPr>
                <w:color w:val="000000"/>
              </w:rPr>
            </w:pPr>
            <w:r>
              <w:rPr>
                <w:color w:val="000000"/>
              </w:rPr>
              <w:t>Other</w:t>
            </w:r>
          </w:p>
        </w:tc>
        <w:tc>
          <w:tcPr>
            <w:tcW w:w="567" w:type="dxa"/>
            <w:vAlign w:val="bottom"/>
          </w:tcPr>
          <w:p w14:paraId="65F8D9C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6C84F0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D8CE3A3" w14:textId="77777777" w:rsidR="008E5DE4" w:rsidRDefault="008E5DE4">
            <w:pPr>
              <w:widowControl w:val="0"/>
              <w:pBdr>
                <w:top w:val="nil"/>
                <w:left w:val="nil"/>
                <w:bottom w:val="nil"/>
                <w:right w:val="nil"/>
                <w:between w:val="nil"/>
              </w:pBdr>
              <w:jc w:val="right"/>
              <w:rPr>
                <w:color w:val="000000"/>
              </w:rPr>
            </w:pPr>
          </w:p>
        </w:tc>
      </w:tr>
      <w:tr w:rsidR="008E5DE4" w14:paraId="1A72ADEE" w14:textId="77777777">
        <w:trPr>
          <w:cantSplit/>
        </w:trPr>
        <w:tc>
          <w:tcPr>
            <w:tcW w:w="5726" w:type="dxa"/>
            <w:tcBorders>
              <w:bottom w:val="single" w:sz="4" w:space="0" w:color="000000"/>
            </w:tcBorders>
            <w:vAlign w:val="bottom"/>
          </w:tcPr>
          <w:p w14:paraId="1E7C673E" w14:textId="77777777" w:rsidR="008E5DE4" w:rsidRDefault="00780368">
            <w:pPr>
              <w:widowControl w:val="0"/>
              <w:ind w:left="113" w:right="-57" w:hanging="113"/>
            </w:pPr>
            <w:r>
              <w:rPr>
                <w:b/>
              </w:rPr>
              <w:t> </w:t>
            </w:r>
          </w:p>
        </w:tc>
        <w:tc>
          <w:tcPr>
            <w:tcW w:w="567" w:type="dxa"/>
            <w:tcBorders>
              <w:bottom w:val="single" w:sz="4" w:space="0" w:color="000000"/>
            </w:tcBorders>
            <w:vAlign w:val="bottom"/>
          </w:tcPr>
          <w:p w14:paraId="25917CB5"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5969F4A8"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0DBC71E" w14:textId="77777777" w:rsidR="008E5DE4" w:rsidRDefault="008E5DE4">
            <w:pPr>
              <w:widowControl w:val="0"/>
              <w:pBdr>
                <w:top w:val="nil"/>
                <w:left w:val="nil"/>
                <w:bottom w:val="nil"/>
                <w:right w:val="nil"/>
                <w:between w:val="nil"/>
              </w:pBdr>
              <w:jc w:val="right"/>
              <w:rPr>
                <w:color w:val="000000"/>
              </w:rPr>
            </w:pPr>
          </w:p>
        </w:tc>
      </w:tr>
      <w:tr w:rsidR="008E5DE4" w14:paraId="4785E254" w14:textId="77777777">
        <w:trPr>
          <w:cantSplit/>
        </w:trPr>
        <w:tc>
          <w:tcPr>
            <w:tcW w:w="5726" w:type="dxa"/>
            <w:vAlign w:val="bottom"/>
          </w:tcPr>
          <w:p w14:paraId="3C8749BF" w14:textId="77777777" w:rsidR="008E5DE4" w:rsidRDefault="00780368">
            <w:pPr>
              <w:widowControl w:val="0"/>
              <w:ind w:left="113" w:right="-57" w:hanging="113"/>
            </w:pPr>
            <w:r>
              <w:rPr>
                <w:b/>
              </w:rPr>
              <w:t> </w:t>
            </w:r>
          </w:p>
        </w:tc>
        <w:tc>
          <w:tcPr>
            <w:tcW w:w="567" w:type="dxa"/>
            <w:vAlign w:val="bottom"/>
          </w:tcPr>
          <w:p w14:paraId="2D24E66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BA7B1DD"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B5F712E" w14:textId="77777777" w:rsidR="008E5DE4" w:rsidRDefault="008E5DE4">
            <w:pPr>
              <w:widowControl w:val="0"/>
              <w:pBdr>
                <w:top w:val="nil"/>
                <w:left w:val="nil"/>
                <w:bottom w:val="nil"/>
                <w:right w:val="nil"/>
                <w:between w:val="nil"/>
              </w:pBdr>
              <w:jc w:val="right"/>
              <w:rPr>
                <w:b/>
                <w:color w:val="000000"/>
              </w:rPr>
            </w:pPr>
          </w:p>
        </w:tc>
      </w:tr>
      <w:tr w:rsidR="008E5DE4" w14:paraId="59281166" w14:textId="77777777">
        <w:trPr>
          <w:cantSplit/>
        </w:trPr>
        <w:tc>
          <w:tcPr>
            <w:tcW w:w="5726" w:type="dxa"/>
            <w:vAlign w:val="bottom"/>
          </w:tcPr>
          <w:p w14:paraId="76488AA7"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other gains/(losses), net</w:t>
            </w:r>
          </w:p>
        </w:tc>
        <w:tc>
          <w:tcPr>
            <w:tcW w:w="567" w:type="dxa"/>
            <w:vAlign w:val="bottom"/>
          </w:tcPr>
          <w:p w14:paraId="57FC1636"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7CED0508"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2BE707EE" w14:textId="77777777" w:rsidR="008E5DE4" w:rsidRDefault="008E5DE4">
            <w:pPr>
              <w:widowControl w:val="0"/>
              <w:pBdr>
                <w:top w:val="nil"/>
                <w:left w:val="nil"/>
                <w:bottom w:val="nil"/>
                <w:right w:val="nil"/>
                <w:between w:val="nil"/>
              </w:pBdr>
              <w:jc w:val="right"/>
              <w:rPr>
                <w:b/>
                <w:color w:val="000000"/>
              </w:rPr>
            </w:pPr>
          </w:p>
        </w:tc>
      </w:tr>
      <w:tr w:rsidR="008E5DE4" w14:paraId="1F7A6690" w14:textId="77777777">
        <w:trPr>
          <w:cantSplit/>
        </w:trPr>
        <w:tc>
          <w:tcPr>
            <w:tcW w:w="5726" w:type="dxa"/>
            <w:tcBorders>
              <w:bottom w:val="single" w:sz="12" w:space="0" w:color="000000"/>
            </w:tcBorders>
            <w:vAlign w:val="bottom"/>
          </w:tcPr>
          <w:p w14:paraId="71304B05" w14:textId="77777777" w:rsidR="008E5DE4" w:rsidRDefault="00780368">
            <w:pPr>
              <w:widowControl w:val="0"/>
              <w:ind w:left="113" w:right="-57" w:hanging="113"/>
            </w:pPr>
            <w:r>
              <w:rPr>
                <w:b/>
              </w:rPr>
              <w:t> </w:t>
            </w:r>
          </w:p>
        </w:tc>
        <w:tc>
          <w:tcPr>
            <w:tcW w:w="567" w:type="dxa"/>
            <w:tcBorders>
              <w:bottom w:val="single" w:sz="12" w:space="0" w:color="000000"/>
            </w:tcBorders>
            <w:vAlign w:val="bottom"/>
          </w:tcPr>
          <w:p w14:paraId="64BAFE44"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74B975DB"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09EB35C4" w14:textId="77777777" w:rsidR="008E5DE4" w:rsidRDefault="008E5DE4">
            <w:pPr>
              <w:widowControl w:val="0"/>
              <w:pBdr>
                <w:top w:val="nil"/>
                <w:left w:val="nil"/>
                <w:bottom w:val="nil"/>
                <w:right w:val="nil"/>
                <w:between w:val="nil"/>
              </w:pBdr>
              <w:jc w:val="right"/>
              <w:rPr>
                <w:b/>
                <w:color w:val="000000"/>
              </w:rPr>
            </w:pPr>
          </w:p>
        </w:tc>
      </w:tr>
    </w:tbl>
    <w:p w14:paraId="3EC9F2F0" w14:textId="1627E704" w:rsidR="008E5DE4" w:rsidRDefault="00F93586" w:rsidP="007F183E">
      <w:pPr>
        <w:pStyle w:val="Heading1"/>
        <w:numPr>
          <w:ilvl w:val="0"/>
          <w:numId w:val="0"/>
        </w:numPr>
        <w:ind w:left="567" w:hanging="567"/>
      </w:pPr>
      <w:r w:rsidRPr="007F183E">
        <w:lastRenderedPageBreak/>
        <w:t xml:space="preserve">37 </w:t>
      </w:r>
      <w:r>
        <w:tab/>
      </w:r>
      <w:bookmarkStart w:id="63" w:name="_Toc149923636"/>
      <w:r w:rsidR="00780368">
        <w:t>Finance Costs</w:t>
      </w:r>
      <w:bookmarkEnd w:id="63"/>
    </w:p>
    <w:tbl>
      <w:tblPr>
        <w:tblStyle w:val="affffffffffe"/>
        <w:tblW w:w="9355" w:type="dxa"/>
        <w:tblLayout w:type="fixed"/>
        <w:tblLook w:val="0000" w:firstRow="0" w:lastRow="0" w:firstColumn="0" w:lastColumn="0" w:noHBand="0" w:noVBand="0"/>
      </w:tblPr>
      <w:tblGrid>
        <w:gridCol w:w="5726"/>
        <w:gridCol w:w="567"/>
        <w:gridCol w:w="1531"/>
        <w:gridCol w:w="1531"/>
      </w:tblGrid>
      <w:tr w:rsidR="008E5DE4" w14:paraId="4739F54D" w14:textId="77777777">
        <w:trPr>
          <w:cantSplit/>
        </w:trPr>
        <w:tc>
          <w:tcPr>
            <w:tcW w:w="5726" w:type="dxa"/>
            <w:tcBorders>
              <w:bottom w:val="single" w:sz="4" w:space="0" w:color="000000"/>
            </w:tcBorders>
            <w:vAlign w:val="bottom"/>
          </w:tcPr>
          <w:p w14:paraId="6479C118" w14:textId="77777777" w:rsidR="008E5DE4" w:rsidRDefault="00780368">
            <w:pPr>
              <w:keepNext/>
              <w:keepLines/>
              <w:widowControl w:val="0"/>
              <w:pBdr>
                <w:top w:val="nil"/>
                <w:left w:val="nil"/>
                <w:bottom w:val="nil"/>
                <w:right w:val="nil"/>
                <w:between w:val="nil"/>
              </w:pBdr>
              <w:ind w:left="113" w:right="-57" w:hanging="113"/>
              <w:rPr>
                <w:i/>
                <w:color w:val="000000"/>
              </w:rPr>
            </w:pPr>
            <w:r>
              <w:rPr>
                <w:i/>
                <w:color w:val="000000"/>
              </w:rPr>
              <w:t>In thousands of EUR</w:t>
            </w:r>
          </w:p>
        </w:tc>
        <w:tc>
          <w:tcPr>
            <w:tcW w:w="567" w:type="dxa"/>
            <w:tcBorders>
              <w:bottom w:val="single" w:sz="4" w:space="0" w:color="000000"/>
            </w:tcBorders>
            <w:vAlign w:val="bottom"/>
          </w:tcPr>
          <w:p w14:paraId="2DF1A2BE" w14:textId="77777777" w:rsidR="008E5DE4" w:rsidRDefault="00780368">
            <w:pPr>
              <w:keepNext/>
              <w:keepLines/>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29FD1184" w14:textId="004C4F06" w:rsidR="008E5DE4" w:rsidRDefault="008614F8">
            <w:pPr>
              <w:keepNext/>
              <w:keepLines/>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6C95BB29" w14:textId="77CA3209" w:rsidR="008E5DE4" w:rsidRDefault="00E06A92">
            <w:pPr>
              <w:keepNext/>
              <w:keepLines/>
              <w:widowControl w:val="0"/>
              <w:pBdr>
                <w:top w:val="nil"/>
                <w:left w:val="nil"/>
                <w:bottom w:val="nil"/>
                <w:right w:val="nil"/>
                <w:between w:val="nil"/>
              </w:pBdr>
              <w:jc w:val="right"/>
              <w:rPr>
                <w:b/>
                <w:color w:val="000000"/>
              </w:rPr>
            </w:pPr>
            <w:r>
              <w:rPr>
                <w:b/>
                <w:color w:val="000000"/>
              </w:rPr>
              <w:t>2024</w:t>
            </w:r>
          </w:p>
        </w:tc>
      </w:tr>
      <w:tr w:rsidR="008E5DE4" w14:paraId="3AB3819A" w14:textId="77777777">
        <w:trPr>
          <w:cantSplit/>
        </w:trPr>
        <w:tc>
          <w:tcPr>
            <w:tcW w:w="5726" w:type="dxa"/>
            <w:vAlign w:val="bottom"/>
          </w:tcPr>
          <w:p w14:paraId="158469E9" w14:textId="77777777" w:rsidR="008E5DE4" w:rsidRDefault="00780368">
            <w:pPr>
              <w:keepNext/>
              <w:keepLines/>
              <w:widowControl w:val="0"/>
              <w:pBdr>
                <w:top w:val="nil"/>
                <w:left w:val="nil"/>
                <w:bottom w:val="nil"/>
                <w:right w:val="nil"/>
                <w:between w:val="nil"/>
              </w:pBdr>
              <w:ind w:left="113" w:right="-57" w:hanging="113"/>
              <w:rPr>
                <w:color w:val="000000"/>
              </w:rPr>
            </w:pPr>
            <w:r>
              <w:rPr>
                <w:b/>
                <w:color w:val="000000"/>
              </w:rPr>
              <w:t> </w:t>
            </w:r>
          </w:p>
        </w:tc>
        <w:tc>
          <w:tcPr>
            <w:tcW w:w="567" w:type="dxa"/>
            <w:vAlign w:val="bottom"/>
          </w:tcPr>
          <w:p w14:paraId="13DFC871"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0B1964C1"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83B0173" w14:textId="77777777" w:rsidR="008E5DE4" w:rsidRDefault="008E5DE4">
            <w:pPr>
              <w:keepNext/>
              <w:keepLines/>
              <w:widowControl w:val="0"/>
              <w:pBdr>
                <w:top w:val="nil"/>
                <w:left w:val="nil"/>
                <w:bottom w:val="nil"/>
                <w:right w:val="nil"/>
                <w:between w:val="nil"/>
              </w:pBdr>
              <w:jc w:val="right"/>
              <w:rPr>
                <w:color w:val="000000"/>
              </w:rPr>
            </w:pPr>
          </w:p>
        </w:tc>
      </w:tr>
      <w:tr w:rsidR="008E5DE4" w14:paraId="12F15E92" w14:textId="77777777">
        <w:trPr>
          <w:cantSplit/>
        </w:trPr>
        <w:tc>
          <w:tcPr>
            <w:tcW w:w="5726" w:type="dxa"/>
            <w:vAlign w:val="bottom"/>
          </w:tcPr>
          <w:p w14:paraId="137FCF3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xml:space="preserve">Interest expense </w:t>
            </w:r>
          </w:p>
        </w:tc>
        <w:tc>
          <w:tcPr>
            <w:tcW w:w="567" w:type="dxa"/>
            <w:vAlign w:val="bottom"/>
          </w:tcPr>
          <w:p w14:paraId="293CEB10"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2112913E"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05AB57D" w14:textId="77777777" w:rsidR="008E5DE4" w:rsidRDefault="008E5DE4">
            <w:pPr>
              <w:keepNext/>
              <w:keepLines/>
              <w:widowControl w:val="0"/>
              <w:pBdr>
                <w:top w:val="nil"/>
                <w:left w:val="nil"/>
                <w:bottom w:val="nil"/>
                <w:right w:val="nil"/>
                <w:between w:val="nil"/>
              </w:pBdr>
              <w:jc w:val="right"/>
              <w:rPr>
                <w:color w:val="000000"/>
              </w:rPr>
            </w:pPr>
          </w:p>
        </w:tc>
      </w:tr>
      <w:tr w:rsidR="008E5DE4" w14:paraId="65F6D0DE" w14:textId="77777777">
        <w:trPr>
          <w:cantSplit/>
        </w:trPr>
        <w:tc>
          <w:tcPr>
            <w:tcW w:w="5726" w:type="dxa"/>
            <w:vAlign w:val="bottom"/>
          </w:tcPr>
          <w:p w14:paraId="50C5B891"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Foreign exchange losses less gains from borrowings</w:t>
            </w:r>
          </w:p>
        </w:tc>
        <w:tc>
          <w:tcPr>
            <w:tcW w:w="567" w:type="dxa"/>
            <w:vAlign w:val="bottom"/>
          </w:tcPr>
          <w:p w14:paraId="4C466EFD"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451CB15B"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8CCDAE7" w14:textId="77777777" w:rsidR="008E5DE4" w:rsidRDefault="008E5DE4">
            <w:pPr>
              <w:keepNext/>
              <w:keepLines/>
              <w:widowControl w:val="0"/>
              <w:pBdr>
                <w:top w:val="nil"/>
                <w:left w:val="nil"/>
                <w:bottom w:val="nil"/>
                <w:right w:val="nil"/>
                <w:between w:val="nil"/>
              </w:pBdr>
              <w:jc w:val="right"/>
              <w:rPr>
                <w:color w:val="000000"/>
              </w:rPr>
            </w:pPr>
          </w:p>
        </w:tc>
      </w:tr>
      <w:tr w:rsidR="008E5DE4" w14:paraId="3262DA23" w14:textId="77777777">
        <w:trPr>
          <w:cantSplit/>
        </w:trPr>
        <w:tc>
          <w:tcPr>
            <w:tcW w:w="5726" w:type="dxa"/>
            <w:vAlign w:val="bottom"/>
          </w:tcPr>
          <w:p w14:paraId="48B7C5B7"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Losses less gains on restructuring of borrowings</w:t>
            </w:r>
          </w:p>
        </w:tc>
        <w:tc>
          <w:tcPr>
            <w:tcW w:w="567" w:type="dxa"/>
            <w:vAlign w:val="bottom"/>
          </w:tcPr>
          <w:p w14:paraId="4D28DAFE" w14:textId="77777777" w:rsidR="008E5DE4" w:rsidRDefault="00780368">
            <w:pPr>
              <w:keepNext/>
              <w:keepLines/>
              <w:widowControl w:val="0"/>
              <w:pBdr>
                <w:top w:val="nil"/>
                <w:left w:val="nil"/>
                <w:bottom w:val="nil"/>
                <w:right w:val="nil"/>
                <w:between w:val="nil"/>
              </w:pBdr>
              <w:ind w:left="-57" w:right="-57"/>
              <w:jc w:val="center"/>
              <w:rPr>
                <w:color w:val="000000"/>
              </w:rPr>
            </w:pPr>
            <w:r>
              <w:rPr>
                <w:color w:val="000000"/>
              </w:rPr>
              <w:t>28</w:t>
            </w:r>
          </w:p>
        </w:tc>
        <w:tc>
          <w:tcPr>
            <w:tcW w:w="1531" w:type="dxa"/>
            <w:vAlign w:val="bottom"/>
          </w:tcPr>
          <w:p w14:paraId="33661020"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D856AE6" w14:textId="77777777" w:rsidR="008E5DE4" w:rsidRDefault="008E5DE4">
            <w:pPr>
              <w:keepNext/>
              <w:keepLines/>
              <w:widowControl w:val="0"/>
              <w:pBdr>
                <w:top w:val="nil"/>
                <w:left w:val="nil"/>
                <w:bottom w:val="nil"/>
                <w:right w:val="nil"/>
                <w:between w:val="nil"/>
              </w:pBdr>
              <w:jc w:val="right"/>
              <w:rPr>
                <w:color w:val="000000"/>
              </w:rPr>
            </w:pPr>
          </w:p>
        </w:tc>
      </w:tr>
      <w:tr w:rsidR="008E5DE4" w14:paraId="64523275" w14:textId="77777777">
        <w:trPr>
          <w:cantSplit/>
        </w:trPr>
        <w:tc>
          <w:tcPr>
            <w:tcW w:w="5726" w:type="dxa"/>
            <w:vAlign w:val="bottom"/>
          </w:tcPr>
          <w:p w14:paraId="15574FCD"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Losses less gains on early redemption of borrowings</w:t>
            </w:r>
          </w:p>
        </w:tc>
        <w:tc>
          <w:tcPr>
            <w:tcW w:w="567" w:type="dxa"/>
            <w:vAlign w:val="bottom"/>
          </w:tcPr>
          <w:p w14:paraId="519D3234" w14:textId="77777777" w:rsidR="008E5DE4" w:rsidRDefault="00780368">
            <w:pPr>
              <w:keepNext/>
              <w:keepLines/>
              <w:widowControl w:val="0"/>
              <w:pBdr>
                <w:top w:val="nil"/>
                <w:left w:val="nil"/>
                <w:bottom w:val="nil"/>
                <w:right w:val="nil"/>
                <w:between w:val="nil"/>
              </w:pBdr>
              <w:ind w:left="-57" w:right="-57"/>
              <w:jc w:val="center"/>
              <w:rPr>
                <w:color w:val="000000"/>
              </w:rPr>
            </w:pPr>
            <w:r>
              <w:rPr>
                <w:color w:val="000000"/>
              </w:rPr>
              <w:t>28</w:t>
            </w:r>
          </w:p>
        </w:tc>
        <w:tc>
          <w:tcPr>
            <w:tcW w:w="1531" w:type="dxa"/>
            <w:vAlign w:val="bottom"/>
          </w:tcPr>
          <w:p w14:paraId="169BE0B7"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5088E90" w14:textId="77777777" w:rsidR="008E5DE4" w:rsidRDefault="008E5DE4">
            <w:pPr>
              <w:keepNext/>
              <w:keepLines/>
              <w:widowControl w:val="0"/>
              <w:pBdr>
                <w:top w:val="nil"/>
                <w:left w:val="nil"/>
                <w:bottom w:val="nil"/>
                <w:right w:val="nil"/>
                <w:between w:val="nil"/>
              </w:pBdr>
              <w:jc w:val="right"/>
              <w:rPr>
                <w:color w:val="000000"/>
              </w:rPr>
            </w:pPr>
          </w:p>
        </w:tc>
      </w:tr>
      <w:tr w:rsidR="008E5DE4" w14:paraId="7F56CCA8" w14:textId="77777777">
        <w:trPr>
          <w:cantSplit/>
        </w:trPr>
        <w:tc>
          <w:tcPr>
            <w:tcW w:w="5726" w:type="dxa"/>
            <w:vAlign w:val="bottom"/>
          </w:tcPr>
          <w:p w14:paraId="40668DFE"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Provision for asset retirement obligations: unwinding of the present value discount</w:t>
            </w:r>
          </w:p>
        </w:tc>
        <w:tc>
          <w:tcPr>
            <w:tcW w:w="567" w:type="dxa"/>
            <w:vAlign w:val="bottom"/>
          </w:tcPr>
          <w:p w14:paraId="39621ACC" w14:textId="77777777" w:rsidR="008E5DE4" w:rsidRDefault="00780368">
            <w:pPr>
              <w:keepNext/>
              <w:keepLines/>
              <w:widowControl w:val="0"/>
              <w:pBdr>
                <w:top w:val="nil"/>
                <w:left w:val="nil"/>
                <w:bottom w:val="nil"/>
                <w:right w:val="nil"/>
                <w:between w:val="nil"/>
              </w:pBdr>
              <w:ind w:left="-57" w:right="-57"/>
              <w:jc w:val="center"/>
              <w:rPr>
                <w:color w:val="000000"/>
              </w:rPr>
            </w:pPr>
            <w:r>
              <w:rPr>
                <w:color w:val="000000"/>
              </w:rPr>
              <w:t>32</w:t>
            </w:r>
          </w:p>
        </w:tc>
        <w:tc>
          <w:tcPr>
            <w:tcW w:w="1531" w:type="dxa"/>
            <w:vAlign w:val="bottom"/>
          </w:tcPr>
          <w:p w14:paraId="03AACF91"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4AE99DC8" w14:textId="77777777" w:rsidR="008E5DE4" w:rsidRDefault="008E5DE4">
            <w:pPr>
              <w:keepNext/>
              <w:keepLines/>
              <w:widowControl w:val="0"/>
              <w:pBdr>
                <w:top w:val="nil"/>
                <w:left w:val="nil"/>
                <w:bottom w:val="nil"/>
                <w:right w:val="nil"/>
                <w:between w:val="nil"/>
              </w:pBdr>
              <w:jc w:val="right"/>
              <w:rPr>
                <w:color w:val="000000"/>
              </w:rPr>
            </w:pPr>
          </w:p>
        </w:tc>
      </w:tr>
      <w:tr w:rsidR="008E5DE4" w14:paraId="7A30AE2D" w14:textId="77777777">
        <w:trPr>
          <w:cantSplit/>
        </w:trPr>
        <w:tc>
          <w:tcPr>
            <w:tcW w:w="5726" w:type="dxa"/>
            <w:vAlign w:val="bottom"/>
          </w:tcPr>
          <w:p w14:paraId="3FF6426A"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xml:space="preserve">Other provisions for liabilities and charges: unwinding of the present value discount and effect of changes in discount rates </w:t>
            </w:r>
          </w:p>
        </w:tc>
        <w:tc>
          <w:tcPr>
            <w:tcW w:w="567" w:type="dxa"/>
            <w:vAlign w:val="bottom"/>
          </w:tcPr>
          <w:p w14:paraId="655EC03C" w14:textId="77777777" w:rsidR="008E5DE4" w:rsidRDefault="00780368">
            <w:pPr>
              <w:keepNext/>
              <w:keepLines/>
              <w:widowControl w:val="0"/>
              <w:pBdr>
                <w:top w:val="nil"/>
                <w:left w:val="nil"/>
                <w:bottom w:val="nil"/>
                <w:right w:val="nil"/>
                <w:between w:val="nil"/>
              </w:pBdr>
              <w:ind w:left="-57" w:right="-57"/>
              <w:jc w:val="center"/>
              <w:rPr>
                <w:color w:val="000000"/>
              </w:rPr>
            </w:pPr>
            <w:r>
              <w:rPr>
                <w:color w:val="000000"/>
              </w:rPr>
              <w:t>33</w:t>
            </w:r>
          </w:p>
        </w:tc>
        <w:tc>
          <w:tcPr>
            <w:tcW w:w="1531" w:type="dxa"/>
            <w:vAlign w:val="bottom"/>
          </w:tcPr>
          <w:p w14:paraId="7F01B4EE"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F870751" w14:textId="77777777" w:rsidR="008E5DE4" w:rsidRDefault="008E5DE4">
            <w:pPr>
              <w:keepNext/>
              <w:keepLines/>
              <w:widowControl w:val="0"/>
              <w:pBdr>
                <w:top w:val="nil"/>
                <w:left w:val="nil"/>
                <w:bottom w:val="nil"/>
                <w:right w:val="nil"/>
                <w:between w:val="nil"/>
              </w:pBdr>
              <w:jc w:val="right"/>
              <w:rPr>
                <w:color w:val="000000"/>
              </w:rPr>
            </w:pPr>
          </w:p>
        </w:tc>
      </w:tr>
      <w:tr w:rsidR="008E5DE4" w14:paraId="26A17231" w14:textId="77777777">
        <w:trPr>
          <w:cantSplit/>
        </w:trPr>
        <w:tc>
          <w:tcPr>
            <w:tcW w:w="5726" w:type="dxa"/>
            <w:tcBorders>
              <w:bottom w:val="single" w:sz="4" w:space="0" w:color="000000"/>
            </w:tcBorders>
            <w:vAlign w:val="bottom"/>
          </w:tcPr>
          <w:p w14:paraId="3896E903" w14:textId="77777777" w:rsidR="008E5DE4" w:rsidRDefault="00780368">
            <w:pPr>
              <w:keepNext/>
              <w:keepLines/>
              <w:widowControl w:val="0"/>
              <w:pBdr>
                <w:top w:val="nil"/>
                <w:left w:val="nil"/>
                <w:bottom w:val="nil"/>
                <w:right w:val="nil"/>
                <w:between w:val="nil"/>
              </w:pBdr>
              <w:ind w:left="113" w:right="-57" w:hanging="113"/>
              <w:rPr>
                <w:color w:val="000000"/>
              </w:rPr>
            </w:pPr>
            <w:r>
              <w:rPr>
                <w:b/>
                <w:color w:val="000000"/>
              </w:rPr>
              <w:t> </w:t>
            </w:r>
          </w:p>
        </w:tc>
        <w:tc>
          <w:tcPr>
            <w:tcW w:w="567" w:type="dxa"/>
            <w:tcBorders>
              <w:bottom w:val="single" w:sz="4" w:space="0" w:color="000000"/>
            </w:tcBorders>
            <w:vAlign w:val="bottom"/>
          </w:tcPr>
          <w:p w14:paraId="1075EAE4"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16C0D54B" w14:textId="77777777" w:rsidR="008E5DE4" w:rsidRDefault="008E5DE4">
            <w:pPr>
              <w:keepNext/>
              <w:keepLines/>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7EC35504" w14:textId="77777777" w:rsidR="008E5DE4" w:rsidRDefault="008E5DE4">
            <w:pPr>
              <w:keepNext/>
              <w:keepLines/>
              <w:widowControl w:val="0"/>
              <w:pBdr>
                <w:top w:val="nil"/>
                <w:left w:val="nil"/>
                <w:bottom w:val="nil"/>
                <w:right w:val="nil"/>
                <w:between w:val="nil"/>
              </w:pBdr>
              <w:jc w:val="right"/>
              <w:rPr>
                <w:color w:val="000000"/>
              </w:rPr>
            </w:pPr>
          </w:p>
        </w:tc>
      </w:tr>
      <w:tr w:rsidR="008E5DE4" w14:paraId="553C1459" w14:textId="77777777">
        <w:trPr>
          <w:cantSplit/>
        </w:trPr>
        <w:tc>
          <w:tcPr>
            <w:tcW w:w="5726" w:type="dxa"/>
            <w:tcBorders>
              <w:top w:val="single" w:sz="4" w:space="0" w:color="000000"/>
            </w:tcBorders>
            <w:vAlign w:val="bottom"/>
          </w:tcPr>
          <w:p w14:paraId="1AA67F78" w14:textId="77777777" w:rsidR="008E5DE4" w:rsidRDefault="00780368">
            <w:pPr>
              <w:keepNext/>
              <w:keepLines/>
              <w:widowControl w:val="0"/>
              <w:pBdr>
                <w:top w:val="nil"/>
                <w:left w:val="nil"/>
                <w:bottom w:val="nil"/>
                <w:right w:val="nil"/>
                <w:between w:val="nil"/>
              </w:pBdr>
              <w:ind w:left="113" w:right="-57" w:hanging="113"/>
              <w:rPr>
                <w:color w:val="000000"/>
              </w:rPr>
            </w:pPr>
            <w:r>
              <w:rPr>
                <w:b/>
                <w:color w:val="000000"/>
              </w:rPr>
              <w:t> </w:t>
            </w:r>
          </w:p>
        </w:tc>
        <w:tc>
          <w:tcPr>
            <w:tcW w:w="567" w:type="dxa"/>
            <w:tcBorders>
              <w:top w:val="single" w:sz="4" w:space="0" w:color="000000"/>
            </w:tcBorders>
            <w:vAlign w:val="bottom"/>
          </w:tcPr>
          <w:p w14:paraId="0074E4E1"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1F7D4DC1" w14:textId="77777777" w:rsidR="008E5DE4" w:rsidRDefault="008E5DE4">
            <w:pPr>
              <w:keepNext/>
              <w:keepLines/>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251C9991" w14:textId="77777777" w:rsidR="008E5DE4" w:rsidRDefault="008E5DE4">
            <w:pPr>
              <w:keepNext/>
              <w:keepLines/>
              <w:widowControl w:val="0"/>
              <w:pBdr>
                <w:top w:val="nil"/>
                <w:left w:val="nil"/>
                <w:bottom w:val="nil"/>
                <w:right w:val="nil"/>
                <w:between w:val="nil"/>
              </w:pBdr>
              <w:jc w:val="right"/>
              <w:rPr>
                <w:color w:val="000000"/>
              </w:rPr>
            </w:pPr>
          </w:p>
        </w:tc>
      </w:tr>
      <w:tr w:rsidR="008E5DE4" w14:paraId="66512AD1" w14:textId="77777777">
        <w:trPr>
          <w:cantSplit/>
        </w:trPr>
        <w:tc>
          <w:tcPr>
            <w:tcW w:w="5726" w:type="dxa"/>
            <w:vAlign w:val="bottom"/>
          </w:tcPr>
          <w:p w14:paraId="7CE57328"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Total finance costs</w:t>
            </w:r>
          </w:p>
        </w:tc>
        <w:tc>
          <w:tcPr>
            <w:tcW w:w="567" w:type="dxa"/>
            <w:vAlign w:val="bottom"/>
          </w:tcPr>
          <w:p w14:paraId="097FBF5E"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04DD3A1D"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360B3085" w14:textId="77777777" w:rsidR="008E5DE4" w:rsidRDefault="008E5DE4">
            <w:pPr>
              <w:keepNext/>
              <w:keepLines/>
              <w:widowControl w:val="0"/>
              <w:pBdr>
                <w:top w:val="nil"/>
                <w:left w:val="nil"/>
                <w:bottom w:val="nil"/>
                <w:right w:val="nil"/>
                <w:between w:val="nil"/>
              </w:pBdr>
              <w:jc w:val="right"/>
              <w:rPr>
                <w:color w:val="000000"/>
              </w:rPr>
            </w:pPr>
          </w:p>
        </w:tc>
      </w:tr>
      <w:tr w:rsidR="008E5DE4" w14:paraId="37DFCCB1" w14:textId="77777777">
        <w:trPr>
          <w:cantSplit/>
        </w:trPr>
        <w:tc>
          <w:tcPr>
            <w:tcW w:w="5726" w:type="dxa"/>
            <w:vAlign w:val="bottom"/>
          </w:tcPr>
          <w:p w14:paraId="52E47F39"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567" w:type="dxa"/>
            <w:vAlign w:val="bottom"/>
          </w:tcPr>
          <w:p w14:paraId="22F18BB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78AD04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3657FAD" w14:textId="77777777" w:rsidR="008E5DE4" w:rsidRDefault="008E5DE4">
            <w:pPr>
              <w:widowControl w:val="0"/>
              <w:pBdr>
                <w:top w:val="nil"/>
                <w:left w:val="nil"/>
                <w:bottom w:val="nil"/>
                <w:right w:val="nil"/>
                <w:between w:val="nil"/>
              </w:pBdr>
              <w:jc w:val="right"/>
              <w:rPr>
                <w:color w:val="000000"/>
              </w:rPr>
            </w:pPr>
          </w:p>
        </w:tc>
      </w:tr>
      <w:tr w:rsidR="008E5DE4" w14:paraId="1A4D6827" w14:textId="77777777">
        <w:trPr>
          <w:cantSplit/>
        </w:trPr>
        <w:tc>
          <w:tcPr>
            <w:tcW w:w="5726" w:type="dxa"/>
            <w:vAlign w:val="bottom"/>
          </w:tcPr>
          <w:p w14:paraId="1FBC68A9" w14:textId="77777777" w:rsidR="008E5DE4" w:rsidRDefault="00780368">
            <w:pPr>
              <w:widowControl w:val="0"/>
              <w:pBdr>
                <w:top w:val="nil"/>
                <w:left w:val="nil"/>
                <w:bottom w:val="nil"/>
                <w:right w:val="nil"/>
                <w:between w:val="nil"/>
              </w:pBdr>
              <w:ind w:left="113" w:right="-57" w:hanging="113"/>
              <w:rPr>
                <w:color w:val="000000"/>
              </w:rPr>
            </w:pPr>
            <w:r>
              <w:rPr>
                <w:color w:val="000000"/>
              </w:rPr>
              <w:t>Less capitalised finance costs</w:t>
            </w:r>
          </w:p>
        </w:tc>
        <w:tc>
          <w:tcPr>
            <w:tcW w:w="567" w:type="dxa"/>
            <w:vAlign w:val="bottom"/>
          </w:tcPr>
          <w:p w14:paraId="1A07E461" w14:textId="77777777" w:rsidR="008E5DE4" w:rsidRDefault="00780368">
            <w:pPr>
              <w:widowControl w:val="0"/>
              <w:pBdr>
                <w:top w:val="nil"/>
                <w:left w:val="nil"/>
                <w:bottom w:val="nil"/>
                <w:right w:val="nil"/>
                <w:between w:val="nil"/>
              </w:pBdr>
              <w:ind w:left="-57" w:right="-57"/>
              <w:jc w:val="center"/>
              <w:rPr>
                <w:color w:val="000000"/>
              </w:rPr>
            </w:pPr>
            <w:r>
              <w:rPr>
                <w:color w:val="000000"/>
              </w:rPr>
              <w:t>9</w:t>
            </w:r>
          </w:p>
        </w:tc>
        <w:tc>
          <w:tcPr>
            <w:tcW w:w="1531" w:type="dxa"/>
            <w:vAlign w:val="bottom"/>
          </w:tcPr>
          <w:p w14:paraId="3BD10D9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E025395" w14:textId="77777777" w:rsidR="008E5DE4" w:rsidRDefault="008E5DE4">
            <w:pPr>
              <w:widowControl w:val="0"/>
              <w:pBdr>
                <w:top w:val="nil"/>
                <w:left w:val="nil"/>
                <w:bottom w:val="nil"/>
                <w:right w:val="nil"/>
                <w:between w:val="nil"/>
              </w:pBdr>
              <w:jc w:val="right"/>
              <w:rPr>
                <w:color w:val="000000"/>
              </w:rPr>
            </w:pPr>
          </w:p>
        </w:tc>
      </w:tr>
      <w:tr w:rsidR="008E5DE4" w14:paraId="202CA6A6" w14:textId="77777777">
        <w:trPr>
          <w:cantSplit/>
        </w:trPr>
        <w:tc>
          <w:tcPr>
            <w:tcW w:w="5726" w:type="dxa"/>
            <w:tcBorders>
              <w:bottom w:val="single" w:sz="4" w:space="0" w:color="000000"/>
            </w:tcBorders>
            <w:vAlign w:val="bottom"/>
          </w:tcPr>
          <w:p w14:paraId="26A15EA9"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567" w:type="dxa"/>
            <w:tcBorders>
              <w:bottom w:val="single" w:sz="4" w:space="0" w:color="000000"/>
            </w:tcBorders>
            <w:vAlign w:val="bottom"/>
          </w:tcPr>
          <w:p w14:paraId="17B93F9B"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38C9D85A"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27DD3A1" w14:textId="77777777" w:rsidR="008E5DE4" w:rsidRDefault="008E5DE4">
            <w:pPr>
              <w:widowControl w:val="0"/>
              <w:pBdr>
                <w:top w:val="nil"/>
                <w:left w:val="nil"/>
                <w:bottom w:val="nil"/>
                <w:right w:val="nil"/>
                <w:between w:val="nil"/>
              </w:pBdr>
              <w:jc w:val="right"/>
              <w:rPr>
                <w:color w:val="000000"/>
              </w:rPr>
            </w:pPr>
          </w:p>
        </w:tc>
      </w:tr>
      <w:tr w:rsidR="008E5DE4" w14:paraId="7C9B8E20" w14:textId="77777777">
        <w:trPr>
          <w:cantSplit/>
        </w:trPr>
        <w:tc>
          <w:tcPr>
            <w:tcW w:w="5726" w:type="dxa"/>
            <w:tcBorders>
              <w:top w:val="single" w:sz="4" w:space="0" w:color="000000"/>
            </w:tcBorders>
            <w:vAlign w:val="bottom"/>
          </w:tcPr>
          <w:p w14:paraId="6C01FC01"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567" w:type="dxa"/>
            <w:tcBorders>
              <w:top w:val="single" w:sz="4" w:space="0" w:color="000000"/>
            </w:tcBorders>
            <w:vAlign w:val="bottom"/>
          </w:tcPr>
          <w:p w14:paraId="232D9A11"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277C40A4"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64C88B79" w14:textId="77777777" w:rsidR="008E5DE4" w:rsidRDefault="008E5DE4">
            <w:pPr>
              <w:widowControl w:val="0"/>
              <w:pBdr>
                <w:top w:val="nil"/>
                <w:left w:val="nil"/>
                <w:bottom w:val="nil"/>
                <w:right w:val="nil"/>
                <w:between w:val="nil"/>
              </w:pBdr>
              <w:jc w:val="right"/>
              <w:rPr>
                <w:color w:val="000000"/>
              </w:rPr>
            </w:pPr>
          </w:p>
        </w:tc>
      </w:tr>
      <w:tr w:rsidR="008E5DE4" w14:paraId="0F784B9F" w14:textId="77777777">
        <w:trPr>
          <w:cantSplit/>
        </w:trPr>
        <w:tc>
          <w:tcPr>
            <w:tcW w:w="5726" w:type="dxa"/>
            <w:vAlign w:val="bottom"/>
          </w:tcPr>
          <w:p w14:paraId="76A8546A"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finance costs recognised in profit or loss</w:t>
            </w:r>
          </w:p>
        </w:tc>
        <w:tc>
          <w:tcPr>
            <w:tcW w:w="567" w:type="dxa"/>
            <w:vAlign w:val="bottom"/>
          </w:tcPr>
          <w:p w14:paraId="32BB4AD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632D5F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7479050" w14:textId="77777777" w:rsidR="008E5DE4" w:rsidRDefault="008E5DE4">
            <w:pPr>
              <w:widowControl w:val="0"/>
              <w:pBdr>
                <w:top w:val="nil"/>
                <w:left w:val="nil"/>
                <w:bottom w:val="nil"/>
                <w:right w:val="nil"/>
                <w:between w:val="nil"/>
              </w:pBdr>
              <w:jc w:val="right"/>
              <w:rPr>
                <w:color w:val="000000"/>
              </w:rPr>
            </w:pPr>
          </w:p>
        </w:tc>
      </w:tr>
      <w:tr w:rsidR="008E5DE4" w14:paraId="1E888463" w14:textId="77777777">
        <w:trPr>
          <w:cantSplit/>
        </w:trPr>
        <w:tc>
          <w:tcPr>
            <w:tcW w:w="5726" w:type="dxa"/>
            <w:tcBorders>
              <w:bottom w:val="single" w:sz="12" w:space="0" w:color="000000"/>
            </w:tcBorders>
            <w:vAlign w:val="bottom"/>
          </w:tcPr>
          <w:p w14:paraId="14F9BE4C"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567" w:type="dxa"/>
            <w:tcBorders>
              <w:bottom w:val="single" w:sz="12" w:space="0" w:color="000000"/>
            </w:tcBorders>
            <w:vAlign w:val="bottom"/>
          </w:tcPr>
          <w:p w14:paraId="4C06318A"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24A7635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449B8D4C" w14:textId="77777777" w:rsidR="008E5DE4" w:rsidRDefault="008E5DE4">
            <w:pPr>
              <w:widowControl w:val="0"/>
              <w:pBdr>
                <w:top w:val="nil"/>
                <w:left w:val="nil"/>
                <w:bottom w:val="nil"/>
                <w:right w:val="nil"/>
                <w:between w:val="nil"/>
              </w:pBdr>
              <w:jc w:val="right"/>
              <w:rPr>
                <w:color w:val="000000"/>
              </w:rPr>
            </w:pPr>
          </w:p>
        </w:tc>
      </w:tr>
    </w:tbl>
    <w:p w14:paraId="764B9364" w14:textId="42448BA6" w:rsidR="008E5DE4" w:rsidRDefault="00780368">
      <w:pPr>
        <w:widowControl w:val="0"/>
        <w:pBdr>
          <w:top w:val="nil"/>
          <w:left w:val="nil"/>
          <w:bottom w:val="nil"/>
          <w:right w:val="nil"/>
          <w:between w:val="nil"/>
        </w:pBdr>
        <w:spacing w:before="200" w:after="200"/>
        <w:jc w:val="both"/>
        <w:rPr>
          <w:color w:val="000000"/>
          <w:sz w:val="20"/>
          <w:szCs w:val="20"/>
        </w:rPr>
      </w:pPr>
      <w:bookmarkStart w:id="64" w:name="_heading=h.3cqmetx" w:colFirst="0" w:colLast="0"/>
      <w:bookmarkEnd w:id="64"/>
      <w:r>
        <w:rPr>
          <w:color w:val="000000"/>
          <w:sz w:val="20"/>
          <w:szCs w:val="20"/>
        </w:rPr>
        <w:t xml:space="preserve">During </w:t>
      </w:r>
      <w:r w:rsidR="008614F8">
        <w:rPr>
          <w:color w:val="000000"/>
          <w:sz w:val="20"/>
          <w:szCs w:val="20"/>
        </w:rPr>
        <w:t>2025</w:t>
      </w:r>
      <w:r>
        <w:rPr>
          <w:color w:val="000000"/>
          <w:sz w:val="20"/>
          <w:szCs w:val="20"/>
        </w:rPr>
        <w:t>, management negotiated the settlement of EUR ___ thousand (</w:t>
      </w:r>
      <w:r w:rsidR="00E06A92">
        <w:rPr>
          <w:color w:val="000000"/>
          <w:sz w:val="20"/>
          <w:szCs w:val="20"/>
        </w:rPr>
        <w:t>2024</w:t>
      </w:r>
      <w:r>
        <w:rPr>
          <w:color w:val="000000"/>
          <w:sz w:val="20"/>
          <w:szCs w:val="20"/>
        </w:rPr>
        <w:t xml:space="preserve">: EUR ___ thousand) of the Group’s bank borrowings. The difference between the carrying amount of the borrowing and the amount of the cash settlement is recognised in profit or loss as losses on restructuring of borrowings. </w:t>
      </w:r>
    </w:p>
    <w:p w14:paraId="4C6263D4" w14:textId="7AC92A7F"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Group capitalised borrowing costs arising on financing directly attributable to the construction of </w:t>
      </w:r>
      <w:r>
        <w:rPr>
          <w:color w:val="0000FF"/>
          <w:sz w:val="20"/>
          <w:szCs w:val="20"/>
        </w:rPr>
        <w:t>[specify qualifying asset]</w:t>
      </w:r>
      <w:r>
        <w:rPr>
          <w:color w:val="000000"/>
          <w:sz w:val="20"/>
          <w:szCs w:val="20"/>
        </w:rPr>
        <w:t>. The capitalisation rate was __% (</w:t>
      </w:r>
      <w:r w:rsidR="00E06A92">
        <w:rPr>
          <w:color w:val="000000"/>
          <w:sz w:val="20"/>
          <w:szCs w:val="20"/>
        </w:rPr>
        <w:t>2024</w:t>
      </w:r>
      <w:r>
        <w:rPr>
          <w:color w:val="000000"/>
          <w:sz w:val="20"/>
          <w:szCs w:val="20"/>
        </w:rPr>
        <w:t xml:space="preserve">: __%). </w:t>
      </w:r>
    </w:p>
    <w:p w14:paraId="759CA9A2" w14:textId="5137A777" w:rsidR="008E5DE4" w:rsidRDefault="00F93586" w:rsidP="007F183E">
      <w:pPr>
        <w:pStyle w:val="Heading1"/>
        <w:numPr>
          <w:ilvl w:val="0"/>
          <w:numId w:val="0"/>
        </w:numPr>
        <w:ind w:left="567" w:hanging="567"/>
      </w:pPr>
      <w:bookmarkStart w:id="65" w:name="_Toc149923637"/>
      <w:r>
        <w:t xml:space="preserve">38 </w:t>
      </w:r>
      <w:r>
        <w:tab/>
      </w:r>
      <w:r w:rsidR="00780368">
        <w:t>Finance Income</w:t>
      </w:r>
      <w:bookmarkEnd w:id="65"/>
    </w:p>
    <w:p w14:paraId="166B181C" w14:textId="042BDA71" w:rsidR="008E5DE4" w:rsidRDefault="00090491" w:rsidP="007F183E">
      <w:pPr>
        <w:shd w:val="clear" w:color="auto" w:fill="C6D9F1"/>
        <w:rPr>
          <w:i/>
          <w:color w:val="FF0000"/>
          <w:sz w:val="20"/>
          <w:szCs w:val="20"/>
        </w:rPr>
      </w:pPr>
      <w:r>
        <w:rPr>
          <w:b/>
          <w:i/>
          <w:sz w:val="20"/>
          <w:szCs w:val="20"/>
        </w:rPr>
        <w:t>Material accounting policy information</w:t>
      </w:r>
      <w:r w:rsidR="00780368">
        <w:rPr>
          <w:b/>
          <w:i/>
          <w:sz w:val="20"/>
          <w:szCs w:val="20"/>
        </w:rPr>
        <w:t xml:space="preserve"> </w:t>
      </w:r>
    </w:p>
    <w:p w14:paraId="08C0B0B1"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Interest income.</w:t>
      </w:r>
      <w:r>
        <w:rPr>
          <w:i/>
          <w:color w:val="000000"/>
          <w:sz w:val="20"/>
          <w:szCs w:val="20"/>
        </w:rPr>
        <w:t xml:space="preserve"> </w:t>
      </w:r>
      <w:r>
        <w:rPr>
          <w:color w:val="000000"/>
          <w:sz w:val="20"/>
          <w:szCs w:val="20"/>
        </w:rPr>
        <w:t xml:space="preserve">Interest income is recorded for all debt instruments </w:t>
      </w:r>
      <w:r>
        <w:rPr>
          <w:color w:val="0000FF"/>
          <w:sz w:val="20"/>
          <w:szCs w:val="20"/>
        </w:rPr>
        <w:t>[, other than those at FVTPL,]</w:t>
      </w:r>
      <w:r>
        <w:rPr>
          <w:color w:val="000000"/>
          <w:sz w:val="20"/>
          <w:szCs w:val="20"/>
        </w:rPr>
        <w:t xml:space="preserve"> on an accrual basis using the effective interest method. This method defers, as part of interest income, all fee received between the parties to the contract that are an integral part of the effective interest rate, all other premiums or discounts. </w:t>
      </w:r>
      <w:r>
        <w:rPr>
          <w:color w:val="0000FF"/>
          <w:sz w:val="20"/>
          <w:szCs w:val="20"/>
        </w:rPr>
        <w:t>[Interest income on debt instruments at FVTPL calculated at nominal interest rate is presented within ‘finance income’ line in profit or loss.]</w:t>
      </w:r>
    </w:p>
    <w:p w14:paraId="63472474"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Fees integral to the effective interest rate include origination fees received or paid by the Group relating to the creation or acquisition of a financial asset, for example fees for evaluating creditworthiness, evaluating and recording guarantees or collateral, negotiating the terms of the instrument and for processing transaction documents. </w:t>
      </w:r>
    </w:p>
    <w:p w14:paraId="3B4E7226"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For financial assets that are originated or purchased credit-impaired, the effective interest rate is the rate that discounts the expected cash flows (including the initial expected credit losses) to the fair value on initial recognition (normally represented by the purchase price). As a result, the effective interest is credit-adjusted.</w:t>
      </w:r>
    </w:p>
    <w:p w14:paraId="4B7DE6E2"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Interest income is calculated by applying the effective interest rate to the gross carrying amount of financial assets, except for (</w:t>
      </w:r>
      <w:proofErr w:type="spellStart"/>
      <w:r>
        <w:rPr>
          <w:color w:val="000000"/>
          <w:sz w:val="20"/>
          <w:szCs w:val="20"/>
        </w:rPr>
        <w:t>i</w:t>
      </w:r>
      <w:proofErr w:type="spellEnd"/>
      <w:r>
        <w:rPr>
          <w:color w:val="000000"/>
          <w:sz w:val="20"/>
          <w:szCs w:val="20"/>
        </w:rPr>
        <w:t>) financial assets that have become credit impaired (Stage 3), for which interest revenue is calculated by applying the effective interest rate to their AC, net of the ECL provision, and (ii) financial assets that are purchased or originated credit impaired, for which the original credit-adjusted effective interest rate is applied to the AC.</w:t>
      </w:r>
    </w:p>
    <w:p w14:paraId="380F4617"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38</w:t>
      </w:r>
      <w:r>
        <w:rPr>
          <w:b/>
          <w:color w:val="000000"/>
          <w:sz w:val="20"/>
          <w:szCs w:val="20"/>
        </w:rPr>
        <w:tab/>
        <w:t>Finance Income (Continued)</w:t>
      </w:r>
    </w:p>
    <w:p w14:paraId="3D00BFF7" w14:textId="77777777" w:rsidR="008E5DE4" w:rsidRDefault="008E5DE4"/>
    <w:tbl>
      <w:tblPr>
        <w:tblStyle w:val="afffffffffff"/>
        <w:tblW w:w="9355" w:type="dxa"/>
        <w:tblLayout w:type="fixed"/>
        <w:tblLook w:val="0000" w:firstRow="0" w:lastRow="0" w:firstColumn="0" w:lastColumn="0" w:noHBand="0" w:noVBand="0"/>
      </w:tblPr>
      <w:tblGrid>
        <w:gridCol w:w="6293"/>
        <w:gridCol w:w="1531"/>
        <w:gridCol w:w="1531"/>
      </w:tblGrid>
      <w:tr w:rsidR="008E5DE4" w14:paraId="467736EE" w14:textId="77777777">
        <w:trPr>
          <w:cantSplit/>
        </w:trPr>
        <w:tc>
          <w:tcPr>
            <w:tcW w:w="6293" w:type="dxa"/>
            <w:vAlign w:val="bottom"/>
          </w:tcPr>
          <w:p w14:paraId="60D137E0" w14:textId="77777777" w:rsidR="008E5DE4" w:rsidRDefault="00780368">
            <w:pPr>
              <w:pBdr>
                <w:top w:val="nil"/>
                <w:left w:val="nil"/>
                <w:bottom w:val="nil"/>
                <w:right w:val="nil"/>
                <w:between w:val="nil"/>
              </w:pBdr>
              <w:ind w:left="85" w:hanging="85"/>
              <w:rPr>
                <w:i/>
                <w:color w:val="000000"/>
              </w:rPr>
            </w:pPr>
            <w:r>
              <w:rPr>
                <w:i/>
                <w:color w:val="000000"/>
              </w:rPr>
              <w:t>In thousands of EUR</w:t>
            </w:r>
          </w:p>
        </w:tc>
        <w:tc>
          <w:tcPr>
            <w:tcW w:w="1531" w:type="dxa"/>
            <w:vAlign w:val="bottom"/>
          </w:tcPr>
          <w:p w14:paraId="555981B6" w14:textId="77B038F2" w:rsidR="008E5DE4" w:rsidRDefault="008614F8" w:rsidP="00CF3EC7">
            <w:pPr>
              <w:pBdr>
                <w:top w:val="nil"/>
                <w:left w:val="nil"/>
                <w:bottom w:val="nil"/>
                <w:right w:val="nil"/>
                <w:between w:val="nil"/>
              </w:pBdr>
              <w:ind w:right="-56"/>
              <w:jc w:val="right"/>
              <w:rPr>
                <w:b/>
                <w:color w:val="000000"/>
              </w:rPr>
            </w:pPr>
            <w:r>
              <w:rPr>
                <w:b/>
                <w:color w:val="000000"/>
              </w:rPr>
              <w:t>2025</w:t>
            </w:r>
          </w:p>
        </w:tc>
        <w:tc>
          <w:tcPr>
            <w:tcW w:w="1531" w:type="dxa"/>
            <w:vAlign w:val="bottom"/>
          </w:tcPr>
          <w:p w14:paraId="65D20E30" w14:textId="2680DF8C" w:rsidR="008E5DE4" w:rsidRDefault="00E06A92" w:rsidP="00CF3EC7">
            <w:pPr>
              <w:pBdr>
                <w:top w:val="nil"/>
                <w:left w:val="nil"/>
                <w:bottom w:val="nil"/>
                <w:right w:val="nil"/>
                <w:between w:val="nil"/>
              </w:pBdr>
              <w:ind w:right="-56"/>
              <w:jc w:val="right"/>
              <w:rPr>
                <w:b/>
                <w:color w:val="000000"/>
              </w:rPr>
            </w:pPr>
            <w:r>
              <w:rPr>
                <w:b/>
                <w:color w:val="000000"/>
              </w:rPr>
              <w:t>2024</w:t>
            </w:r>
          </w:p>
        </w:tc>
      </w:tr>
      <w:tr w:rsidR="008E5DE4" w14:paraId="05ED2C4E" w14:textId="77777777">
        <w:trPr>
          <w:cantSplit/>
        </w:trPr>
        <w:tc>
          <w:tcPr>
            <w:tcW w:w="6293" w:type="dxa"/>
            <w:tcBorders>
              <w:top w:val="single" w:sz="4" w:space="0" w:color="000000"/>
            </w:tcBorders>
            <w:vAlign w:val="bottom"/>
          </w:tcPr>
          <w:p w14:paraId="66832D16" w14:textId="77777777" w:rsidR="008E5DE4" w:rsidRDefault="008E5DE4">
            <w:pPr>
              <w:widowControl w:val="0"/>
              <w:pBdr>
                <w:top w:val="nil"/>
                <w:left w:val="nil"/>
                <w:bottom w:val="nil"/>
                <w:right w:val="nil"/>
                <w:between w:val="nil"/>
              </w:pBdr>
              <w:ind w:left="113" w:right="-57" w:hanging="113"/>
              <w:rPr>
                <w:color w:val="000000"/>
              </w:rPr>
            </w:pPr>
          </w:p>
        </w:tc>
        <w:tc>
          <w:tcPr>
            <w:tcW w:w="1531" w:type="dxa"/>
            <w:tcBorders>
              <w:top w:val="single" w:sz="4" w:space="0" w:color="000000"/>
            </w:tcBorders>
            <w:vAlign w:val="bottom"/>
          </w:tcPr>
          <w:p w14:paraId="5165A305"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32BE496" w14:textId="77777777" w:rsidR="008E5DE4" w:rsidRDefault="008E5DE4">
            <w:pPr>
              <w:widowControl w:val="0"/>
              <w:pBdr>
                <w:top w:val="nil"/>
                <w:left w:val="nil"/>
                <w:bottom w:val="nil"/>
                <w:right w:val="nil"/>
                <w:between w:val="nil"/>
              </w:pBdr>
              <w:jc w:val="right"/>
              <w:rPr>
                <w:color w:val="000000"/>
              </w:rPr>
            </w:pPr>
          </w:p>
        </w:tc>
      </w:tr>
      <w:tr w:rsidR="008E5DE4" w14:paraId="6E9EC563" w14:textId="77777777">
        <w:trPr>
          <w:cantSplit/>
        </w:trPr>
        <w:tc>
          <w:tcPr>
            <w:tcW w:w="6293" w:type="dxa"/>
            <w:vAlign w:val="bottom"/>
          </w:tcPr>
          <w:p w14:paraId="76C96FB2" w14:textId="77777777" w:rsidR="008E5DE4" w:rsidRDefault="00780368">
            <w:pPr>
              <w:widowControl w:val="0"/>
              <w:pBdr>
                <w:top w:val="nil"/>
                <w:left w:val="nil"/>
                <w:bottom w:val="nil"/>
                <w:right w:val="nil"/>
                <w:between w:val="nil"/>
              </w:pBdr>
              <w:ind w:left="113" w:right="-57" w:hanging="113"/>
              <w:rPr>
                <w:i/>
                <w:color w:val="000000"/>
              </w:rPr>
            </w:pPr>
            <w:r>
              <w:rPr>
                <w:i/>
                <w:color w:val="000000"/>
              </w:rPr>
              <w:t>Interest income from financial assets held for cash management purposes:</w:t>
            </w:r>
          </w:p>
        </w:tc>
        <w:tc>
          <w:tcPr>
            <w:tcW w:w="1531" w:type="dxa"/>
            <w:vAlign w:val="bottom"/>
          </w:tcPr>
          <w:p w14:paraId="28CEE4D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42D0829" w14:textId="77777777" w:rsidR="008E5DE4" w:rsidRDefault="008E5DE4">
            <w:pPr>
              <w:widowControl w:val="0"/>
              <w:pBdr>
                <w:top w:val="nil"/>
                <w:left w:val="nil"/>
                <w:bottom w:val="nil"/>
                <w:right w:val="nil"/>
                <w:between w:val="nil"/>
              </w:pBdr>
              <w:jc w:val="right"/>
              <w:rPr>
                <w:color w:val="000000"/>
              </w:rPr>
            </w:pPr>
          </w:p>
        </w:tc>
      </w:tr>
      <w:tr w:rsidR="008E5DE4" w14:paraId="1D145CDF" w14:textId="77777777">
        <w:trPr>
          <w:cantSplit/>
        </w:trPr>
        <w:tc>
          <w:tcPr>
            <w:tcW w:w="6293" w:type="dxa"/>
            <w:vAlign w:val="bottom"/>
          </w:tcPr>
          <w:p w14:paraId="5C076584" w14:textId="77777777" w:rsidR="008E5DE4" w:rsidRDefault="00780368">
            <w:pPr>
              <w:widowControl w:val="0"/>
              <w:pBdr>
                <w:top w:val="nil"/>
                <w:left w:val="nil"/>
                <w:bottom w:val="nil"/>
                <w:right w:val="nil"/>
                <w:between w:val="nil"/>
              </w:pBdr>
              <w:ind w:left="113" w:right="-57" w:hanging="113"/>
              <w:rPr>
                <w:color w:val="000000"/>
              </w:rPr>
            </w:pPr>
            <w:r>
              <w:rPr>
                <w:color w:val="000000"/>
              </w:rPr>
              <w:t>- Financial assets carried at amortised cost</w:t>
            </w:r>
          </w:p>
        </w:tc>
        <w:tc>
          <w:tcPr>
            <w:tcW w:w="1531" w:type="dxa"/>
            <w:vAlign w:val="bottom"/>
          </w:tcPr>
          <w:p w14:paraId="22CE713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4DA12E9" w14:textId="77777777" w:rsidR="008E5DE4" w:rsidRDefault="008E5DE4">
            <w:pPr>
              <w:widowControl w:val="0"/>
              <w:pBdr>
                <w:top w:val="nil"/>
                <w:left w:val="nil"/>
                <w:bottom w:val="nil"/>
                <w:right w:val="nil"/>
                <w:between w:val="nil"/>
              </w:pBdr>
              <w:jc w:val="right"/>
              <w:rPr>
                <w:color w:val="000000"/>
              </w:rPr>
            </w:pPr>
          </w:p>
        </w:tc>
      </w:tr>
      <w:tr w:rsidR="008E5DE4" w14:paraId="2F9DCCC8" w14:textId="77777777">
        <w:trPr>
          <w:cantSplit/>
        </w:trPr>
        <w:tc>
          <w:tcPr>
            <w:tcW w:w="6293" w:type="dxa"/>
            <w:vAlign w:val="bottom"/>
          </w:tcPr>
          <w:p w14:paraId="313BA3E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Financial assets carried at FVOCI </w:t>
            </w:r>
          </w:p>
        </w:tc>
        <w:tc>
          <w:tcPr>
            <w:tcW w:w="1531" w:type="dxa"/>
            <w:vAlign w:val="bottom"/>
          </w:tcPr>
          <w:p w14:paraId="580B233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E53CAF4" w14:textId="77777777" w:rsidR="008E5DE4" w:rsidRDefault="008E5DE4">
            <w:pPr>
              <w:widowControl w:val="0"/>
              <w:pBdr>
                <w:top w:val="nil"/>
                <w:left w:val="nil"/>
                <w:bottom w:val="nil"/>
                <w:right w:val="nil"/>
                <w:between w:val="nil"/>
              </w:pBdr>
              <w:jc w:val="right"/>
              <w:rPr>
                <w:color w:val="000000"/>
              </w:rPr>
            </w:pPr>
          </w:p>
        </w:tc>
      </w:tr>
      <w:tr w:rsidR="008E5DE4" w14:paraId="6CD11997" w14:textId="77777777">
        <w:trPr>
          <w:cantSplit/>
        </w:trPr>
        <w:tc>
          <w:tcPr>
            <w:tcW w:w="6293" w:type="dxa"/>
            <w:vAlign w:val="bottom"/>
          </w:tcPr>
          <w:p w14:paraId="53C5DBD6" w14:textId="77777777" w:rsidR="008E5DE4" w:rsidRDefault="00780368">
            <w:pPr>
              <w:widowControl w:val="0"/>
              <w:pBdr>
                <w:top w:val="nil"/>
                <w:left w:val="nil"/>
                <w:bottom w:val="nil"/>
                <w:right w:val="nil"/>
                <w:between w:val="nil"/>
              </w:pBdr>
              <w:ind w:left="113" w:right="-57" w:hanging="113"/>
              <w:rPr>
                <w:color w:val="000000"/>
              </w:rPr>
            </w:pPr>
            <w:r>
              <w:rPr>
                <w:color w:val="000000"/>
              </w:rPr>
              <w:t>Net gain on early settlement of borrowings</w:t>
            </w:r>
          </w:p>
        </w:tc>
        <w:tc>
          <w:tcPr>
            <w:tcW w:w="1531" w:type="dxa"/>
            <w:vAlign w:val="bottom"/>
          </w:tcPr>
          <w:p w14:paraId="688F900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69492D0" w14:textId="77777777" w:rsidR="008E5DE4" w:rsidRDefault="008E5DE4">
            <w:pPr>
              <w:widowControl w:val="0"/>
              <w:pBdr>
                <w:top w:val="nil"/>
                <w:left w:val="nil"/>
                <w:bottom w:val="nil"/>
                <w:right w:val="nil"/>
                <w:between w:val="nil"/>
              </w:pBdr>
              <w:jc w:val="right"/>
              <w:rPr>
                <w:color w:val="000000"/>
              </w:rPr>
            </w:pPr>
          </w:p>
        </w:tc>
      </w:tr>
      <w:tr w:rsidR="008E5DE4" w14:paraId="3E9390C1" w14:textId="77777777">
        <w:trPr>
          <w:cantSplit/>
        </w:trPr>
        <w:tc>
          <w:tcPr>
            <w:tcW w:w="6293" w:type="dxa"/>
            <w:vAlign w:val="bottom"/>
          </w:tcPr>
          <w:p w14:paraId="2CCFA281" w14:textId="137A446F" w:rsidR="008E5DE4" w:rsidRDefault="00780368">
            <w:pPr>
              <w:widowControl w:val="0"/>
              <w:ind w:left="113" w:right="-57" w:hanging="113"/>
            </w:pPr>
            <w:r>
              <w:t>Other</w:t>
            </w:r>
          </w:p>
        </w:tc>
        <w:tc>
          <w:tcPr>
            <w:tcW w:w="1531" w:type="dxa"/>
            <w:vAlign w:val="bottom"/>
          </w:tcPr>
          <w:p w14:paraId="3499F10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0C05BEF" w14:textId="77777777" w:rsidR="008E5DE4" w:rsidRDefault="008E5DE4">
            <w:pPr>
              <w:widowControl w:val="0"/>
              <w:pBdr>
                <w:top w:val="nil"/>
                <w:left w:val="nil"/>
                <w:bottom w:val="nil"/>
                <w:right w:val="nil"/>
                <w:between w:val="nil"/>
              </w:pBdr>
              <w:jc w:val="right"/>
              <w:rPr>
                <w:color w:val="000000"/>
              </w:rPr>
            </w:pPr>
          </w:p>
        </w:tc>
      </w:tr>
      <w:tr w:rsidR="008E5DE4" w14:paraId="7DD6F103" w14:textId="77777777">
        <w:trPr>
          <w:cantSplit/>
        </w:trPr>
        <w:tc>
          <w:tcPr>
            <w:tcW w:w="6293" w:type="dxa"/>
            <w:tcBorders>
              <w:bottom w:val="single" w:sz="4" w:space="0" w:color="000000"/>
            </w:tcBorders>
            <w:vAlign w:val="bottom"/>
          </w:tcPr>
          <w:p w14:paraId="3E25070B" w14:textId="77777777" w:rsidR="008E5DE4" w:rsidRDefault="00780368">
            <w:pPr>
              <w:widowControl w:val="0"/>
              <w:ind w:left="113" w:right="-57" w:hanging="113"/>
            </w:pPr>
            <w:r>
              <w:t> </w:t>
            </w:r>
          </w:p>
        </w:tc>
        <w:tc>
          <w:tcPr>
            <w:tcW w:w="1531" w:type="dxa"/>
            <w:tcBorders>
              <w:bottom w:val="single" w:sz="4" w:space="0" w:color="000000"/>
            </w:tcBorders>
            <w:vAlign w:val="bottom"/>
          </w:tcPr>
          <w:p w14:paraId="2D8BFD0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6E779D35" w14:textId="77777777" w:rsidR="008E5DE4" w:rsidRDefault="008E5DE4">
            <w:pPr>
              <w:widowControl w:val="0"/>
              <w:pBdr>
                <w:top w:val="nil"/>
                <w:left w:val="nil"/>
                <w:bottom w:val="nil"/>
                <w:right w:val="nil"/>
                <w:between w:val="nil"/>
              </w:pBdr>
              <w:jc w:val="right"/>
              <w:rPr>
                <w:color w:val="000000"/>
              </w:rPr>
            </w:pPr>
          </w:p>
        </w:tc>
      </w:tr>
      <w:tr w:rsidR="008E5DE4" w14:paraId="0B2494D2" w14:textId="77777777">
        <w:trPr>
          <w:cantSplit/>
        </w:trPr>
        <w:tc>
          <w:tcPr>
            <w:tcW w:w="6293" w:type="dxa"/>
            <w:tcBorders>
              <w:top w:val="single" w:sz="4" w:space="0" w:color="000000"/>
            </w:tcBorders>
            <w:vAlign w:val="bottom"/>
          </w:tcPr>
          <w:p w14:paraId="39E8FC8C" w14:textId="77777777" w:rsidR="008E5DE4" w:rsidRDefault="008E5DE4">
            <w:pPr>
              <w:widowControl w:val="0"/>
              <w:pBdr>
                <w:top w:val="nil"/>
                <w:left w:val="nil"/>
                <w:bottom w:val="nil"/>
                <w:right w:val="nil"/>
                <w:between w:val="nil"/>
              </w:pBdr>
              <w:ind w:left="113" w:right="-57" w:hanging="113"/>
              <w:rPr>
                <w:color w:val="000000"/>
              </w:rPr>
            </w:pPr>
          </w:p>
        </w:tc>
        <w:tc>
          <w:tcPr>
            <w:tcW w:w="1531" w:type="dxa"/>
            <w:tcBorders>
              <w:top w:val="single" w:sz="4" w:space="0" w:color="000000"/>
            </w:tcBorders>
            <w:vAlign w:val="bottom"/>
          </w:tcPr>
          <w:p w14:paraId="3A2D5576"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78345818" w14:textId="77777777" w:rsidR="008E5DE4" w:rsidRDefault="008E5DE4">
            <w:pPr>
              <w:widowControl w:val="0"/>
              <w:pBdr>
                <w:top w:val="nil"/>
                <w:left w:val="nil"/>
                <w:bottom w:val="nil"/>
                <w:right w:val="nil"/>
                <w:between w:val="nil"/>
              </w:pBdr>
              <w:jc w:val="right"/>
              <w:rPr>
                <w:color w:val="000000"/>
              </w:rPr>
            </w:pPr>
          </w:p>
        </w:tc>
      </w:tr>
      <w:tr w:rsidR="008E5DE4" w14:paraId="7EF5A2C2" w14:textId="77777777">
        <w:trPr>
          <w:cantSplit/>
        </w:trPr>
        <w:tc>
          <w:tcPr>
            <w:tcW w:w="6293" w:type="dxa"/>
            <w:vAlign w:val="bottom"/>
          </w:tcPr>
          <w:p w14:paraId="156DF8C2"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Finance income recognised in profit or loss </w:t>
            </w:r>
          </w:p>
        </w:tc>
        <w:tc>
          <w:tcPr>
            <w:tcW w:w="1531" w:type="dxa"/>
            <w:vAlign w:val="bottom"/>
          </w:tcPr>
          <w:p w14:paraId="36ECF45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B6724A5" w14:textId="77777777" w:rsidR="008E5DE4" w:rsidRDefault="008E5DE4">
            <w:pPr>
              <w:widowControl w:val="0"/>
              <w:pBdr>
                <w:top w:val="nil"/>
                <w:left w:val="nil"/>
                <w:bottom w:val="nil"/>
                <w:right w:val="nil"/>
                <w:between w:val="nil"/>
              </w:pBdr>
              <w:jc w:val="right"/>
              <w:rPr>
                <w:color w:val="000000"/>
              </w:rPr>
            </w:pPr>
          </w:p>
        </w:tc>
      </w:tr>
      <w:tr w:rsidR="008E5DE4" w14:paraId="6C91CD25" w14:textId="77777777">
        <w:trPr>
          <w:cantSplit/>
        </w:trPr>
        <w:tc>
          <w:tcPr>
            <w:tcW w:w="6293" w:type="dxa"/>
            <w:tcBorders>
              <w:bottom w:val="single" w:sz="12" w:space="0" w:color="000000"/>
            </w:tcBorders>
            <w:vAlign w:val="bottom"/>
          </w:tcPr>
          <w:p w14:paraId="3071DDFF" w14:textId="77777777" w:rsidR="008E5DE4" w:rsidRDefault="00780368">
            <w:pPr>
              <w:widowControl w:val="0"/>
              <w:ind w:left="113" w:right="-57" w:hanging="113"/>
            </w:pPr>
            <w:r>
              <w:t> </w:t>
            </w:r>
          </w:p>
        </w:tc>
        <w:tc>
          <w:tcPr>
            <w:tcW w:w="1531" w:type="dxa"/>
            <w:tcBorders>
              <w:bottom w:val="single" w:sz="12" w:space="0" w:color="000000"/>
            </w:tcBorders>
            <w:vAlign w:val="bottom"/>
          </w:tcPr>
          <w:p w14:paraId="1B5E3A4F"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08EFA4CC" w14:textId="77777777" w:rsidR="008E5DE4" w:rsidRDefault="008E5DE4">
            <w:pPr>
              <w:widowControl w:val="0"/>
              <w:pBdr>
                <w:top w:val="nil"/>
                <w:left w:val="nil"/>
                <w:bottom w:val="nil"/>
                <w:right w:val="nil"/>
                <w:between w:val="nil"/>
              </w:pBdr>
              <w:jc w:val="right"/>
              <w:rPr>
                <w:b/>
                <w:color w:val="000000"/>
              </w:rPr>
            </w:pPr>
          </w:p>
        </w:tc>
      </w:tr>
    </w:tbl>
    <w:p w14:paraId="3077F6A2" w14:textId="7ED789E1" w:rsidR="008E5DE4" w:rsidRDefault="00F93586" w:rsidP="007F183E">
      <w:pPr>
        <w:pStyle w:val="Heading1"/>
        <w:numPr>
          <w:ilvl w:val="0"/>
          <w:numId w:val="0"/>
        </w:numPr>
        <w:ind w:left="567" w:hanging="567"/>
      </w:pPr>
      <w:bookmarkStart w:id="66" w:name="_Toc149923638"/>
      <w:r>
        <w:t xml:space="preserve">39 </w:t>
      </w:r>
      <w:r>
        <w:tab/>
      </w:r>
      <w:r w:rsidR="00780368">
        <w:t>Income Taxes</w:t>
      </w:r>
      <w:bookmarkEnd w:id="66"/>
      <w:r w:rsidR="00780368">
        <w:t xml:space="preserve"> </w:t>
      </w:r>
    </w:p>
    <w:p w14:paraId="053D77CD" w14:textId="05E368EF"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03D12A68"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Income taxes.</w:t>
      </w:r>
      <w:r>
        <w:rPr>
          <w:color w:val="000000"/>
          <w:sz w:val="20"/>
          <w:szCs w:val="20"/>
        </w:rPr>
        <w:t xml:space="preserve"> Income taxes have been provided for in the consolidated financial statements in accordance with legislation enacted or substantively enacted by the end of the reporting period. The income tax charge</w:t>
      </w:r>
      <w:r>
        <w:rPr>
          <w:color w:val="0000FF"/>
          <w:sz w:val="20"/>
          <w:szCs w:val="20"/>
        </w:rPr>
        <w:t xml:space="preserve"> [credit] </w:t>
      </w:r>
      <w:r>
        <w:rPr>
          <w:color w:val="000000"/>
          <w:sz w:val="20"/>
          <w:szCs w:val="20"/>
        </w:rPr>
        <w:t xml:space="preserve">comprises current tax and deferred tax and is recognised in profit or loss for the year, except if it is recognised in other comprehensive income or directly in equity because it relates to transactions that are also recognised, in the same or a different period, in other comprehensive income or directly in equity. </w:t>
      </w:r>
    </w:p>
    <w:p w14:paraId="0A548E42" w14:textId="77777777" w:rsidR="008E5DE4" w:rsidRDefault="00780368">
      <w:pPr>
        <w:widowControl w:val="0"/>
        <w:pBdr>
          <w:top w:val="nil"/>
          <w:left w:val="nil"/>
          <w:bottom w:val="nil"/>
          <w:right w:val="nil"/>
          <w:between w:val="nil"/>
        </w:pBdr>
        <w:shd w:val="clear" w:color="auto" w:fill="C6D9F1"/>
        <w:spacing w:before="200" w:after="200"/>
        <w:jc w:val="both"/>
        <w:rPr>
          <w:b/>
          <w:i/>
          <w:color w:val="000000"/>
          <w:sz w:val="20"/>
          <w:szCs w:val="20"/>
        </w:rPr>
      </w:pPr>
      <w:r>
        <w:rPr>
          <w:color w:val="000000"/>
          <w:sz w:val="20"/>
          <w:szCs w:val="20"/>
        </w:rPr>
        <w:t>Taxable profits or losses are based on estimates if the consolidated financial statements are authorised prior to filing relevant tax returns. Taxes other than on income are recorded within operating expenses.</w:t>
      </w:r>
    </w:p>
    <w:p w14:paraId="68E22F79"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Deferred income tax is provided using the balance sheet liability method for tax loss carry forwards and temporary differences arising between the tax bases of assets and liabilities and their carrying amounts for financial reporting purposes. In accordance with the initial recognition exemption, deferred taxes are not recorded for temporary differences on initial recognition of an asset or a liability in a transaction other than a business combination if the transaction, when initially recorded, affects neither accounting nor taxable profit and at the time of the transaction, does not give rise to equal taxable and deductible temporary differences. </w:t>
      </w:r>
      <w:r>
        <w:rPr>
          <w:color w:val="0000FF"/>
          <w:sz w:val="20"/>
          <w:szCs w:val="20"/>
        </w:rPr>
        <w:t>[Deferred tax liabilities are not recorded for temporary differences on initial recognition of goodwill, and subsequently for goodwill which is not deductible for tax purposes.]</w:t>
      </w:r>
      <w:r>
        <w:rPr>
          <w:color w:val="000000"/>
          <w:sz w:val="20"/>
          <w:szCs w:val="20"/>
        </w:rPr>
        <w:t xml:space="preserve"> Deferred tax balances are measured at tax rates enacted or substantively enacted at the end of the reporting period, which are expected to apply to the period when the temporary differences will </w:t>
      </w:r>
      <w:proofErr w:type="gramStart"/>
      <w:r>
        <w:rPr>
          <w:color w:val="000000"/>
          <w:sz w:val="20"/>
          <w:szCs w:val="20"/>
        </w:rPr>
        <w:t>reverse</w:t>
      </w:r>
      <w:proofErr w:type="gramEnd"/>
      <w:r>
        <w:rPr>
          <w:color w:val="000000"/>
          <w:sz w:val="20"/>
          <w:szCs w:val="20"/>
        </w:rPr>
        <w:t xml:space="preserve"> or the tax loss carry forwards will be utilised. </w:t>
      </w:r>
    </w:p>
    <w:p w14:paraId="48442952" w14:textId="174B8CB6"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Deferred tax assets for deductible temporary differences and tax loss carry forwards are recorded only to the extent that it is probable that the temporary difference will reverse in the future and there is sufficient future taxable profit available against which the deductions can be utilised. </w:t>
      </w:r>
    </w:p>
    <w:p w14:paraId="79F20BFF" w14:textId="6CD313CF" w:rsidR="008E5DE4" w:rsidRDefault="00780368">
      <w:pPr>
        <w:widowControl w:val="0"/>
        <w:pBdr>
          <w:top w:val="nil"/>
          <w:left w:val="nil"/>
          <w:bottom w:val="nil"/>
          <w:right w:val="nil"/>
          <w:between w:val="nil"/>
        </w:pBdr>
        <w:shd w:val="clear" w:color="auto" w:fill="C6D9F1"/>
        <w:spacing w:before="200" w:after="200" w:line="228" w:lineRule="auto"/>
        <w:jc w:val="both"/>
        <w:rPr>
          <w:color w:val="000000"/>
          <w:sz w:val="20"/>
          <w:szCs w:val="20"/>
        </w:rPr>
      </w:pPr>
      <w:r>
        <w:rPr>
          <w:color w:val="000000"/>
          <w:sz w:val="20"/>
          <w:szCs w:val="20"/>
        </w:rPr>
        <w:t>Deferred income tax assets and liabilities are offset when there is a legally enforceable right to offset current tax assets against current tax liabilities and when the deferred income taxes assets and liabilities relate to income taxes levied by the same taxation authority on either the same taxable entity or different taxable entities where there is an intention to settle the balances on a net basis. Deferred tax assets and liabilities are netted only within the individual companies of the Group.</w:t>
      </w:r>
      <w:r>
        <w:rPr>
          <w:i/>
          <w:color w:val="FF0000"/>
          <w:sz w:val="20"/>
          <w:szCs w:val="20"/>
        </w:rPr>
        <w:t xml:space="preserve"> </w:t>
      </w:r>
    </w:p>
    <w:p w14:paraId="55C3345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39</w:t>
      </w:r>
      <w:r>
        <w:rPr>
          <w:b/>
          <w:color w:val="000000"/>
          <w:sz w:val="20"/>
          <w:szCs w:val="20"/>
        </w:rPr>
        <w:tab/>
        <w:t>Income Taxes (Continued)</w:t>
      </w:r>
    </w:p>
    <w:p w14:paraId="3CBBCD70" w14:textId="0BAB6236" w:rsidR="008E5DE4" w:rsidRDefault="00780368">
      <w:pPr>
        <w:widowControl w:val="0"/>
        <w:pBdr>
          <w:top w:val="nil"/>
          <w:left w:val="nil"/>
          <w:bottom w:val="nil"/>
          <w:right w:val="nil"/>
          <w:between w:val="nil"/>
        </w:pBdr>
        <w:shd w:val="clear" w:color="auto" w:fill="C6D9F1"/>
        <w:spacing w:before="200" w:after="200" w:line="228" w:lineRule="auto"/>
        <w:jc w:val="both"/>
        <w:rPr>
          <w:i/>
          <w:color w:val="000000"/>
          <w:sz w:val="20"/>
          <w:szCs w:val="20"/>
        </w:rPr>
      </w:pPr>
      <w:r>
        <w:rPr>
          <w:color w:val="000000"/>
          <w:sz w:val="20"/>
          <w:szCs w:val="20"/>
        </w:rPr>
        <w:t xml:space="preserve">The Group controls the reversal of temporary differences relating to taxes chargeable on dividends from subsidiaries or on gains upon their disposal. The Group does not recognise deferred tax liabilities on such temporary differences except to the extent that management expects the temporary differences to reverse in the foreseeable future. </w:t>
      </w:r>
    </w:p>
    <w:p w14:paraId="0BC527BE" w14:textId="59FCF51C" w:rsidR="008E5DE4" w:rsidRDefault="00780368">
      <w:pPr>
        <w:widowControl w:val="0"/>
        <w:pBdr>
          <w:top w:val="nil"/>
          <w:left w:val="nil"/>
          <w:bottom w:val="nil"/>
          <w:right w:val="nil"/>
          <w:between w:val="nil"/>
        </w:pBdr>
        <w:shd w:val="clear" w:color="auto" w:fill="C6D9F1"/>
        <w:spacing w:before="200" w:after="200" w:line="228" w:lineRule="auto"/>
        <w:jc w:val="both"/>
        <w:rPr>
          <w:b/>
          <w:i/>
          <w:color w:val="000000"/>
          <w:sz w:val="20"/>
          <w:szCs w:val="20"/>
        </w:rPr>
      </w:pPr>
      <w:r>
        <w:rPr>
          <w:b/>
          <w:i/>
          <w:color w:val="000000"/>
          <w:sz w:val="20"/>
          <w:szCs w:val="20"/>
        </w:rPr>
        <w:t xml:space="preserve">Uncertain tax positions. </w:t>
      </w:r>
      <w:r>
        <w:rPr>
          <w:color w:val="000000"/>
          <w:sz w:val="20"/>
          <w:szCs w:val="20"/>
        </w:rPr>
        <w:t>The Group's uncertain tax positions are reassessed by management at the end of each reporting period. Liabilities are recorded for income tax positions that are determined by management as more likely than not to result in additional taxes being levied if the positions were to be challenged by the tax authorities. The assessment is based on the interpretation of tax laws that have been enacted or substantively enacted by the end of the reporting period, and any known court or other rulings on such issues. Liabilities for penalties, interest and taxes other than on income are recognised based on management’s best estimate of the expenditure required to settle the obligations at the end of the reporting period. Adjustments for uncertain income tax positions, other than interest and fines, are recorded within the income tax charge. Adjustments for uncertain income tax positions in respect of interest and fines are recorded within finance costs and other gains/(losses), net, respectively.</w:t>
      </w:r>
    </w:p>
    <w:tbl>
      <w:tblPr>
        <w:tblStyle w:val="afffffffffff0"/>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1F1C3A23" w14:textId="77777777">
        <w:tc>
          <w:tcPr>
            <w:tcW w:w="9571" w:type="dxa"/>
          </w:tcPr>
          <w:p w14:paraId="259266A3" w14:textId="77777777" w:rsidR="008E5DE4" w:rsidRDefault="00780368">
            <w:pPr>
              <w:rPr>
                <w:b/>
                <w:i/>
                <w:sz w:val="20"/>
                <w:szCs w:val="20"/>
              </w:rPr>
            </w:pPr>
            <w:r>
              <w:rPr>
                <w:b/>
                <w:i/>
                <w:sz w:val="20"/>
                <w:szCs w:val="20"/>
              </w:rPr>
              <w:t>Critical Accounting Estimates and Judgments in Applying Accounting Policies</w:t>
            </w:r>
          </w:p>
          <w:p w14:paraId="7C78410B" w14:textId="5854145A"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Deferred income tax asset recognition. </w:t>
            </w:r>
            <w:r>
              <w:rPr>
                <w:color w:val="000000"/>
                <w:sz w:val="20"/>
                <w:szCs w:val="20"/>
              </w:rPr>
              <w:t>The recognised deferred tax assets represent income taxes recoverable through future deductions from taxable profits and are recorded in the consolidated statement of financial position. Deferred income tax assets are recorded to the extent that realisation of the related tax benefit is probable. This includes temporary difference expected to reverse in the future and the availability of sufficient future taxable profit against which the deductions can be utilised. The future taxable profits and the amount of tax benefits that are probable in the future are based on the medium</w:t>
            </w:r>
            <w:r w:rsidR="00E17CF9">
              <w:rPr>
                <w:color w:val="000000"/>
                <w:sz w:val="20"/>
                <w:szCs w:val="20"/>
              </w:rPr>
              <w:t>-</w:t>
            </w:r>
            <w:r>
              <w:rPr>
                <w:color w:val="000000"/>
                <w:sz w:val="20"/>
                <w:szCs w:val="20"/>
              </w:rPr>
              <w:t xml:space="preserve">term business plan prepared by management and extrapolated results thereafter. The business plan is based on management expectations that are believed to be reasonable under the circumstances. Key assumptions in the business plan are </w:t>
            </w:r>
            <w:r>
              <w:rPr>
                <w:color w:val="0000FF"/>
                <w:sz w:val="20"/>
                <w:szCs w:val="20"/>
              </w:rPr>
              <w:t xml:space="preserve">[list key assumptions used to prepare the budget.] </w:t>
            </w:r>
          </w:p>
          <w:p w14:paraId="2C644E4A" w14:textId="389F8484" w:rsidR="008E5DE4" w:rsidRDefault="00780368">
            <w:pPr>
              <w:widowControl w:val="0"/>
              <w:pBdr>
                <w:top w:val="nil"/>
                <w:left w:val="nil"/>
                <w:bottom w:val="nil"/>
                <w:right w:val="nil"/>
                <w:between w:val="nil"/>
              </w:pBdr>
              <w:spacing w:before="200" w:after="200"/>
              <w:jc w:val="both"/>
              <w:rPr>
                <w:color w:val="000000"/>
              </w:rPr>
            </w:pPr>
            <w:r>
              <w:rPr>
                <w:b/>
                <w:i/>
                <w:color w:val="000000"/>
                <w:sz w:val="20"/>
                <w:szCs w:val="20"/>
              </w:rPr>
              <w:t>Deferred income tax on post-acquisition retained earnings of subsidiaries.</w:t>
            </w:r>
            <w:r>
              <w:rPr>
                <w:color w:val="000000"/>
                <w:sz w:val="20"/>
                <w:szCs w:val="20"/>
              </w:rPr>
              <w:t xml:space="preserve"> Deferred income tax is provided on post-acquisition retained earnings and other post</w:t>
            </w:r>
            <w:r w:rsidR="00E17CF9">
              <w:rPr>
                <w:color w:val="000000"/>
                <w:sz w:val="20"/>
                <w:szCs w:val="20"/>
              </w:rPr>
              <w:t>-</w:t>
            </w:r>
            <w:r>
              <w:rPr>
                <w:color w:val="000000"/>
                <w:sz w:val="20"/>
                <w:szCs w:val="20"/>
              </w:rPr>
              <w:t xml:space="preserve">acquisition movements in reserves of subsidiaries, except where the Group controls the subsidiary’s dividend policy and it is probable that the difference will not reverse through dividends or otherwise in the foreseeable future. </w:t>
            </w:r>
          </w:p>
        </w:tc>
      </w:tr>
    </w:tbl>
    <w:p w14:paraId="18EF0E9C" w14:textId="77777777" w:rsidR="008E5DE4" w:rsidRDefault="008E5DE4"/>
    <w:p w14:paraId="26102B80"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(a) </w:t>
      </w:r>
      <w:r>
        <w:rPr>
          <w:b/>
          <w:i/>
          <w:color w:val="000000"/>
          <w:sz w:val="20"/>
          <w:szCs w:val="20"/>
        </w:rPr>
        <w:tab/>
        <w:t>Components of income tax expense / (benefit)</w:t>
      </w:r>
    </w:p>
    <w:p w14:paraId="55618326" w14:textId="01A19550"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Income tax expense </w:t>
      </w:r>
      <w:r>
        <w:rPr>
          <w:color w:val="0000FF"/>
          <w:sz w:val="20"/>
          <w:szCs w:val="20"/>
        </w:rPr>
        <w:t>[credit]</w:t>
      </w:r>
      <w:r>
        <w:rPr>
          <w:color w:val="000000"/>
          <w:sz w:val="20"/>
          <w:szCs w:val="20"/>
        </w:rPr>
        <w:t xml:space="preserve"> </w:t>
      </w:r>
      <w:r>
        <w:rPr>
          <w:color w:val="0000FF"/>
          <w:sz w:val="20"/>
          <w:szCs w:val="20"/>
        </w:rPr>
        <w:t>[recorded in profit or loss]</w:t>
      </w:r>
      <w:r>
        <w:rPr>
          <w:color w:val="000000"/>
          <w:sz w:val="20"/>
          <w:szCs w:val="20"/>
        </w:rPr>
        <w:t xml:space="preserve"> comprises the following:</w:t>
      </w:r>
    </w:p>
    <w:tbl>
      <w:tblPr>
        <w:tblStyle w:val="afffffffffff1"/>
        <w:tblW w:w="9355" w:type="dxa"/>
        <w:tblLayout w:type="fixed"/>
        <w:tblLook w:val="0000" w:firstRow="0" w:lastRow="0" w:firstColumn="0" w:lastColumn="0" w:noHBand="0" w:noVBand="0"/>
      </w:tblPr>
      <w:tblGrid>
        <w:gridCol w:w="6293"/>
        <w:gridCol w:w="1531"/>
        <w:gridCol w:w="1531"/>
      </w:tblGrid>
      <w:tr w:rsidR="008E5DE4" w14:paraId="5C4B9693" w14:textId="77777777">
        <w:trPr>
          <w:cantSplit/>
        </w:trPr>
        <w:tc>
          <w:tcPr>
            <w:tcW w:w="6293" w:type="dxa"/>
            <w:tcBorders>
              <w:bottom w:val="single" w:sz="4" w:space="0" w:color="000000"/>
            </w:tcBorders>
            <w:vAlign w:val="bottom"/>
          </w:tcPr>
          <w:p w14:paraId="18F124BF"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1531" w:type="dxa"/>
            <w:tcBorders>
              <w:bottom w:val="single" w:sz="4" w:space="0" w:color="000000"/>
            </w:tcBorders>
            <w:vAlign w:val="bottom"/>
          </w:tcPr>
          <w:p w14:paraId="761B61FD" w14:textId="16E781EF"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138B265E" w14:textId="54AAB4A2"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4B40B128" w14:textId="77777777">
        <w:trPr>
          <w:cantSplit/>
        </w:trPr>
        <w:tc>
          <w:tcPr>
            <w:tcW w:w="6293" w:type="dxa"/>
            <w:vAlign w:val="bottom"/>
          </w:tcPr>
          <w:p w14:paraId="5ADC689B"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vAlign w:val="bottom"/>
          </w:tcPr>
          <w:p w14:paraId="54A5EF0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CCFCEE2" w14:textId="77777777" w:rsidR="008E5DE4" w:rsidRDefault="008E5DE4">
            <w:pPr>
              <w:widowControl w:val="0"/>
              <w:pBdr>
                <w:top w:val="nil"/>
                <w:left w:val="nil"/>
                <w:bottom w:val="nil"/>
                <w:right w:val="nil"/>
                <w:between w:val="nil"/>
              </w:pBdr>
              <w:jc w:val="right"/>
              <w:rPr>
                <w:color w:val="000000"/>
              </w:rPr>
            </w:pPr>
          </w:p>
        </w:tc>
      </w:tr>
      <w:tr w:rsidR="008E5DE4" w14:paraId="065BDF16" w14:textId="77777777">
        <w:trPr>
          <w:cantSplit/>
        </w:trPr>
        <w:tc>
          <w:tcPr>
            <w:tcW w:w="6293" w:type="dxa"/>
            <w:vAlign w:val="bottom"/>
          </w:tcPr>
          <w:p w14:paraId="0BD92B85" w14:textId="77777777" w:rsidR="008E5DE4" w:rsidRDefault="00780368">
            <w:pPr>
              <w:widowControl w:val="0"/>
              <w:pBdr>
                <w:top w:val="nil"/>
                <w:left w:val="nil"/>
                <w:bottom w:val="nil"/>
                <w:right w:val="nil"/>
                <w:between w:val="nil"/>
              </w:pBdr>
              <w:rPr>
                <w:color w:val="000000"/>
              </w:rPr>
            </w:pPr>
            <w:r>
              <w:rPr>
                <w:color w:val="000000"/>
              </w:rPr>
              <w:t xml:space="preserve">Current tax </w:t>
            </w:r>
          </w:p>
        </w:tc>
        <w:tc>
          <w:tcPr>
            <w:tcW w:w="1531" w:type="dxa"/>
            <w:vAlign w:val="bottom"/>
          </w:tcPr>
          <w:p w14:paraId="2567349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358F281" w14:textId="77777777" w:rsidR="008E5DE4" w:rsidRDefault="008E5DE4">
            <w:pPr>
              <w:widowControl w:val="0"/>
              <w:pBdr>
                <w:top w:val="nil"/>
                <w:left w:val="nil"/>
                <w:bottom w:val="nil"/>
                <w:right w:val="nil"/>
                <w:between w:val="nil"/>
              </w:pBdr>
              <w:jc w:val="right"/>
              <w:rPr>
                <w:color w:val="000000"/>
              </w:rPr>
            </w:pPr>
          </w:p>
        </w:tc>
      </w:tr>
      <w:tr w:rsidR="008E5DE4" w14:paraId="46CDF2E5" w14:textId="77777777">
        <w:trPr>
          <w:cantSplit/>
        </w:trPr>
        <w:tc>
          <w:tcPr>
            <w:tcW w:w="6293" w:type="dxa"/>
            <w:vAlign w:val="bottom"/>
          </w:tcPr>
          <w:p w14:paraId="0D8A0684" w14:textId="77777777" w:rsidR="008E5DE4" w:rsidRDefault="00780368">
            <w:pPr>
              <w:widowControl w:val="0"/>
              <w:pBdr>
                <w:top w:val="nil"/>
                <w:left w:val="nil"/>
                <w:bottom w:val="nil"/>
                <w:right w:val="nil"/>
                <w:between w:val="nil"/>
              </w:pBdr>
              <w:rPr>
                <w:color w:val="000000"/>
              </w:rPr>
            </w:pPr>
            <w:r>
              <w:rPr>
                <w:color w:val="000000"/>
              </w:rPr>
              <w:t>Deferred tax</w:t>
            </w:r>
          </w:p>
        </w:tc>
        <w:tc>
          <w:tcPr>
            <w:tcW w:w="1531" w:type="dxa"/>
            <w:vAlign w:val="bottom"/>
          </w:tcPr>
          <w:p w14:paraId="0328C04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D656B30" w14:textId="77777777" w:rsidR="008E5DE4" w:rsidRDefault="008E5DE4">
            <w:pPr>
              <w:widowControl w:val="0"/>
              <w:pBdr>
                <w:top w:val="nil"/>
                <w:left w:val="nil"/>
                <w:bottom w:val="nil"/>
                <w:right w:val="nil"/>
                <w:between w:val="nil"/>
              </w:pBdr>
              <w:jc w:val="right"/>
              <w:rPr>
                <w:color w:val="000000"/>
              </w:rPr>
            </w:pPr>
          </w:p>
        </w:tc>
      </w:tr>
      <w:tr w:rsidR="008E5DE4" w14:paraId="4AD81159" w14:textId="77777777">
        <w:trPr>
          <w:cantSplit/>
        </w:trPr>
        <w:tc>
          <w:tcPr>
            <w:tcW w:w="6293" w:type="dxa"/>
            <w:tcBorders>
              <w:bottom w:val="single" w:sz="4" w:space="0" w:color="000000"/>
            </w:tcBorders>
            <w:vAlign w:val="bottom"/>
          </w:tcPr>
          <w:p w14:paraId="65EC1F98" w14:textId="77777777" w:rsidR="008E5DE4" w:rsidRDefault="00780368">
            <w:pPr>
              <w:widowControl w:val="0"/>
              <w:pBdr>
                <w:top w:val="nil"/>
                <w:left w:val="nil"/>
                <w:bottom w:val="nil"/>
                <w:right w:val="nil"/>
                <w:between w:val="nil"/>
              </w:pBdr>
              <w:rPr>
                <w:color w:val="000000"/>
              </w:rPr>
            </w:pPr>
            <w:r>
              <w:rPr>
                <w:b/>
                <w:color w:val="000000"/>
              </w:rPr>
              <w:t> </w:t>
            </w:r>
          </w:p>
        </w:tc>
        <w:tc>
          <w:tcPr>
            <w:tcW w:w="1531" w:type="dxa"/>
            <w:tcBorders>
              <w:bottom w:val="single" w:sz="4" w:space="0" w:color="000000"/>
            </w:tcBorders>
            <w:vAlign w:val="bottom"/>
          </w:tcPr>
          <w:p w14:paraId="2E84F358"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D784ABD" w14:textId="77777777" w:rsidR="008E5DE4" w:rsidRDefault="008E5DE4">
            <w:pPr>
              <w:widowControl w:val="0"/>
              <w:pBdr>
                <w:top w:val="nil"/>
                <w:left w:val="nil"/>
                <w:bottom w:val="nil"/>
                <w:right w:val="nil"/>
                <w:between w:val="nil"/>
              </w:pBdr>
              <w:jc w:val="right"/>
              <w:rPr>
                <w:color w:val="000000"/>
              </w:rPr>
            </w:pPr>
          </w:p>
        </w:tc>
      </w:tr>
      <w:tr w:rsidR="008E5DE4" w14:paraId="346D9D38" w14:textId="77777777">
        <w:trPr>
          <w:cantSplit/>
        </w:trPr>
        <w:tc>
          <w:tcPr>
            <w:tcW w:w="6293" w:type="dxa"/>
            <w:vAlign w:val="bottom"/>
          </w:tcPr>
          <w:p w14:paraId="5E1E5142" w14:textId="77777777" w:rsidR="008E5DE4" w:rsidRDefault="00780368">
            <w:pPr>
              <w:widowControl w:val="0"/>
              <w:rPr>
                <w:b/>
              </w:rPr>
            </w:pPr>
            <w:r>
              <w:rPr>
                <w:b/>
              </w:rPr>
              <w:t> </w:t>
            </w:r>
          </w:p>
        </w:tc>
        <w:tc>
          <w:tcPr>
            <w:tcW w:w="1531" w:type="dxa"/>
            <w:vAlign w:val="bottom"/>
          </w:tcPr>
          <w:p w14:paraId="4C202738"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88D6BCF" w14:textId="77777777" w:rsidR="008E5DE4" w:rsidRDefault="008E5DE4">
            <w:pPr>
              <w:widowControl w:val="0"/>
              <w:pBdr>
                <w:top w:val="nil"/>
                <w:left w:val="nil"/>
                <w:bottom w:val="nil"/>
                <w:right w:val="nil"/>
                <w:between w:val="nil"/>
              </w:pBdr>
              <w:jc w:val="right"/>
              <w:rPr>
                <w:b/>
                <w:color w:val="000000"/>
              </w:rPr>
            </w:pPr>
          </w:p>
        </w:tc>
      </w:tr>
      <w:tr w:rsidR="008E5DE4" w14:paraId="7474DF1C" w14:textId="77777777">
        <w:trPr>
          <w:cantSplit/>
        </w:trPr>
        <w:tc>
          <w:tcPr>
            <w:tcW w:w="6293" w:type="dxa"/>
            <w:vAlign w:val="bottom"/>
          </w:tcPr>
          <w:p w14:paraId="6C354FF2" w14:textId="77777777" w:rsidR="008E5DE4" w:rsidRDefault="00780368">
            <w:pPr>
              <w:widowControl w:val="0"/>
              <w:pBdr>
                <w:top w:val="nil"/>
                <w:left w:val="nil"/>
                <w:bottom w:val="nil"/>
                <w:right w:val="nil"/>
                <w:between w:val="nil"/>
              </w:pBdr>
              <w:rPr>
                <w:b/>
                <w:color w:val="000000"/>
              </w:rPr>
            </w:pPr>
            <w:r>
              <w:rPr>
                <w:b/>
                <w:color w:val="000000"/>
              </w:rPr>
              <w:t>Income tax expense/(credit) for the year</w:t>
            </w:r>
          </w:p>
        </w:tc>
        <w:tc>
          <w:tcPr>
            <w:tcW w:w="1531" w:type="dxa"/>
            <w:vAlign w:val="bottom"/>
          </w:tcPr>
          <w:p w14:paraId="5448F89D"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E768910" w14:textId="77777777" w:rsidR="008E5DE4" w:rsidRDefault="008E5DE4">
            <w:pPr>
              <w:widowControl w:val="0"/>
              <w:pBdr>
                <w:top w:val="nil"/>
                <w:left w:val="nil"/>
                <w:bottom w:val="nil"/>
                <w:right w:val="nil"/>
                <w:between w:val="nil"/>
              </w:pBdr>
              <w:jc w:val="right"/>
              <w:rPr>
                <w:b/>
                <w:color w:val="000000"/>
              </w:rPr>
            </w:pPr>
          </w:p>
        </w:tc>
      </w:tr>
      <w:tr w:rsidR="008E5DE4" w14:paraId="4E9D3A10" w14:textId="77777777">
        <w:trPr>
          <w:cantSplit/>
        </w:trPr>
        <w:tc>
          <w:tcPr>
            <w:tcW w:w="6293" w:type="dxa"/>
            <w:tcBorders>
              <w:bottom w:val="single" w:sz="12" w:space="0" w:color="000000"/>
            </w:tcBorders>
            <w:vAlign w:val="bottom"/>
          </w:tcPr>
          <w:p w14:paraId="42A02D22" w14:textId="77777777" w:rsidR="008E5DE4" w:rsidRDefault="00780368">
            <w:pPr>
              <w:widowControl w:val="0"/>
              <w:pBdr>
                <w:top w:val="nil"/>
                <w:left w:val="nil"/>
                <w:bottom w:val="nil"/>
                <w:right w:val="nil"/>
                <w:between w:val="nil"/>
              </w:pBdr>
              <w:rPr>
                <w:b/>
                <w:color w:val="000000"/>
              </w:rPr>
            </w:pPr>
            <w:r>
              <w:rPr>
                <w:color w:val="000000"/>
              </w:rPr>
              <w:t> </w:t>
            </w:r>
          </w:p>
        </w:tc>
        <w:tc>
          <w:tcPr>
            <w:tcW w:w="1531" w:type="dxa"/>
            <w:tcBorders>
              <w:bottom w:val="single" w:sz="12" w:space="0" w:color="000000"/>
            </w:tcBorders>
            <w:vAlign w:val="bottom"/>
          </w:tcPr>
          <w:p w14:paraId="15F043DA"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3D67B526" w14:textId="77777777" w:rsidR="008E5DE4" w:rsidRDefault="008E5DE4">
            <w:pPr>
              <w:widowControl w:val="0"/>
              <w:pBdr>
                <w:top w:val="nil"/>
                <w:left w:val="nil"/>
                <w:bottom w:val="nil"/>
                <w:right w:val="nil"/>
                <w:between w:val="nil"/>
              </w:pBdr>
              <w:jc w:val="right"/>
              <w:rPr>
                <w:b/>
                <w:color w:val="000000"/>
              </w:rPr>
            </w:pPr>
          </w:p>
        </w:tc>
      </w:tr>
    </w:tbl>
    <w:p w14:paraId="00C947B1"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39</w:t>
      </w:r>
      <w:r>
        <w:rPr>
          <w:b/>
          <w:color w:val="000000"/>
          <w:sz w:val="20"/>
          <w:szCs w:val="20"/>
        </w:rPr>
        <w:tab/>
        <w:t>Income Taxes (Continued)</w:t>
      </w:r>
    </w:p>
    <w:p w14:paraId="44CFF68A"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(b) </w:t>
      </w:r>
      <w:r>
        <w:rPr>
          <w:b/>
          <w:i/>
          <w:color w:val="000000"/>
          <w:sz w:val="20"/>
          <w:szCs w:val="20"/>
        </w:rPr>
        <w:tab/>
        <w:t>Reconciliation between the tax expense and profit or loss multiplied by applicable tax rate</w:t>
      </w:r>
    </w:p>
    <w:p w14:paraId="7931F089" w14:textId="3597BC36"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income tax rate applicable to the majority of the Group’s </w:t>
      </w:r>
      <w:r w:rsidR="008614F8">
        <w:rPr>
          <w:color w:val="000000"/>
          <w:sz w:val="20"/>
          <w:szCs w:val="20"/>
        </w:rPr>
        <w:t>2025</w:t>
      </w:r>
      <w:r>
        <w:rPr>
          <w:color w:val="000000"/>
          <w:sz w:val="20"/>
          <w:szCs w:val="20"/>
        </w:rPr>
        <w:t xml:space="preserve"> and </w:t>
      </w:r>
      <w:r w:rsidR="00E06A92">
        <w:rPr>
          <w:color w:val="000000"/>
          <w:sz w:val="20"/>
          <w:szCs w:val="20"/>
        </w:rPr>
        <w:t>2024</w:t>
      </w:r>
      <w:r>
        <w:rPr>
          <w:color w:val="000000"/>
          <w:sz w:val="20"/>
          <w:szCs w:val="20"/>
        </w:rPr>
        <w:t xml:space="preserve"> income is 20%. The income tax rate applicable to </w:t>
      </w:r>
      <w:proofErr w:type="gramStart"/>
      <w:r>
        <w:rPr>
          <w:color w:val="000000"/>
          <w:sz w:val="20"/>
          <w:szCs w:val="20"/>
        </w:rPr>
        <w:t>the majority of</w:t>
      </w:r>
      <w:proofErr w:type="gramEnd"/>
      <w:r>
        <w:rPr>
          <w:color w:val="000000"/>
          <w:sz w:val="20"/>
          <w:szCs w:val="20"/>
        </w:rPr>
        <w:t xml:space="preserve"> income of subsidiaries ranges from _____% to _____% (</w:t>
      </w:r>
      <w:r w:rsidR="00E06A92">
        <w:rPr>
          <w:color w:val="000000"/>
          <w:sz w:val="20"/>
          <w:szCs w:val="20"/>
        </w:rPr>
        <w:t>2024</w:t>
      </w:r>
      <w:r>
        <w:rPr>
          <w:color w:val="000000"/>
          <w:sz w:val="20"/>
          <w:szCs w:val="20"/>
        </w:rPr>
        <w:t>: from _____% to _____%). A reconciliation between the expected and the actual taxation charge is provided below.</w:t>
      </w:r>
    </w:p>
    <w:tbl>
      <w:tblPr>
        <w:tblStyle w:val="afffffffffff2"/>
        <w:tblW w:w="9355" w:type="dxa"/>
        <w:tblLayout w:type="fixed"/>
        <w:tblLook w:val="0000" w:firstRow="0" w:lastRow="0" w:firstColumn="0" w:lastColumn="0" w:noHBand="0" w:noVBand="0"/>
      </w:tblPr>
      <w:tblGrid>
        <w:gridCol w:w="6293"/>
        <w:gridCol w:w="1531"/>
        <w:gridCol w:w="1531"/>
      </w:tblGrid>
      <w:tr w:rsidR="008E5DE4" w14:paraId="586ACC09" w14:textId="77777777">
        <w:trPr>
          <w:cantSplit/>
        </w:trPr>
        <w:tc>
          <w:tcPr>
            <w:tcW w:w="6293" w:type="dxa"/>
            <w:tcBorders>
              <w:bottom w:val="single" w:sz="4" w:space="0" w:color="000000"/>
            </w:tcBorders>
            <w:vAlign w:val="bottom"/>
          </w:tcPr>
          <w:p w14:paraId="0BE5AC5D"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531" w:type="dxa"/>
            <w:tcBorders>
              <w:bottom w:val="single" w:sz="4" w:space="0" w:color="000000"/>
            </w:tcBorders>
            <w:vAlign w:val="bottom"/>
          </w:tcPr>
          <w:p w14:paraId="0512112E" w14:textId="68BCA236"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129B754" w14:textId="6FA1A638"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229068C1" w14:textId="77777777">
        <w:trPr>
          <w:cantSplit/>
        </w:trPr>
        <w:tc>
          <w:tcPr>
            <w:tcW w:w="6293" w:type="dxa"/>
            <w:vAlign w:val="bottom"/>
          </w:tcPr>
          <w:p w14:paraId="142249CB" w14:textId="77777777" w:rsidR="008E5DE4" w:rsidRDefault="00780368">
            <w:pPr>
              <w:widowControl w:val="0"/>
              <w:ind w:left="113" w:right="-57" w:hanging="113"/>
              <w:rPr>
                <w:sz w:val="16"/>
                <w:szCs w:val="16"/>
              </w:rPr>
            </w:pPr>
            <w:r>
              <w:rPr>
                <w:b/>
                <w:sz w:val="16"/>
                <w:szCs w:val="16"/>
              </w:rPr>
              <w:t> </w:t>
            </w:r>
          </w:p>
        </w:tc>
        <w:tc>
          <w:tcPr>
            <w:tcW w:w="1531" w:type="dxa"/>
            <w:vAlign w:val="bottom"/>
          </w:tcPr>
          <w:p w14:paraId="0275A008" w14:textId="77777777" w:rsidR="008E5DE4" w:rsidRDefault="008E5DE4">
            <w:pPr>
              <w:widowControl w:val="0"/>
              <w:jc w:val="right"/>
              <w:rPr>
                <w:sz w:val="16"/>
                <w:szCs w:val="16"/>
              </w:rPr>
            </w:pPr>
          </w:p>
        </w:tc>
        <w:tc>
          <w:tcPr>
            <w:tcW w:w="1531" w:type="dxa"/>
            <w:vAlign w:val="bottom"/>
          </w:tcPr>
          <w:p w14:paraId="7588F79E" w14:textId="77777777" w:rsidR="008E5DE4" w:rsidRDefault="008E5DE4">
            <w:pPr>
              <w:widowControl w:val="0"/>
              <w:jc w:val="right"/>
              <w:rPr>
                <w:sz w:val="16"/>
                <w:szCs w:val="16"/>
              </w:rPr>
            </w:pPr>
          </w:p>
        </w:tc>
      </w:tr>
      <w:tr w:rsidR="008E5DE4" w14:paraId="44558769" w14:textId="77777777">
        <w:trPr>
          <w:cantSplit/>
        </w:trPr>
        <w:tc>
          <w:tcPr>
            <w:tcW w:w="6293" w:type="dxa"/>
            <w:vAlign w:val="bottom"/>
          </w:tcPr>
          <w:p w14:paraId="190F845D" w14:textId="1E35AF9D" w:rsidR="008E5DE4" w:rsidRDefault="00780368">
            <w:pPr>
              <w:widowControl w:val="0"/>
              <w:pBdr>
                <w:top w:val="nil"/>
                <w:left w:val="nil"/>
                <w:bottom w:val="nil"/>
                <w:right w:val="nil"/>
                <w:between w:val="nil"/>
              </w:pBdr>
              <w:ind w:left="113" w:right="-57" w:hanging="113"/>
              <w:rPr>
                <w:b/>
                <w:color w:val="000000"/>
              </w:rPr>
            </w:pPr>
            <w:r>
              <w:rPr>
                <w:b/>
                <w:color w:val="000000"/>
              </w:rPr>
              <w:t>Profit/(loss) before tax</w:t>
            </w:r>
          </w:p>
        </w:tc>
        <w:tc>
          <w:tcPr>
            <w:tcW w:w="1531" w:type="dxa"/>
            <w:vAlign w:val="bottom"/>
          </w:tcPr>
          <w:p w14:paraId="0355ABDF"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8AF3373" w14:textId="77777777" w:rsidR="008E5DE4" w:rsidRDefault="008E5DE4">
            <w:pPr>
              <w:widowControl w:val="0"/>
              <w:pBdr>
                <w:top w:val="nil"/>
                <w:left w:val="nil"/>
                <w:bottom w:val="nil"/>
                <w:right w:val="nil"/>
                <w:between w:val="nil"/>
              </w:pBdr>
              <w:jc w:val="right"/>
              <w:rPr>
                <w:b/>
                <w:color w:val="000000"/>
              </w:rPr>
            </w:pPr>
          </w:p>
        </w:tc>
      </w:tr>
      <w:tr w:rsidR="008E5DE4" w14:paraId="3B2EA844" w14:textId="77777777">
        <w:trPr>
          <w:cantSplit/>
        </w:trPr>
        <w:tc>
          <w:tcPr>
            <w:tcW w:w="6293" w:type="dxa"/>
            <w:tcBorders>
              <w:bottom w:val="single" w:sz="4" w:space="0" w:color="000000"/>
            </w:tcBorders>
            <w:vAlign w:val="bottom"/>
          </w:tcPr>
          <w:p w14:paraId="2038AFAC" w14:textId="77777777" w:rsidR="008E5DE4" w:rsidRDefault="00780368">
            <w:pPr>
              <w:widowControl w:val="0"/>
              <w:ind w:left="113" w:right="-57" w:hanging="113"/>
              <w:rPr>
                <w:b/>
                <w:sz w:val="16"/>
                <w:szCs w:val="16"/>
              </w:rPr>
            </w:pPr>
            <w:r>
              <w:rPr>
                <w:b/>
                <w:sz w:val="16"/>
                <w:szCs w:val="16"/>
              </w:rPr>
              <w:t> </w:t>
            </w:r>
          </w:p>
        </w:tc>
        <w:tc>
          <w:tcPr>
            <w:tcW w:w="1531" w:type="dxa"/>
            <w:tcBorders>
              <w:bottom w:val="single" w:sz="4" w:space="0" w:color="000000"/>
            </w:tcBorders>
            <w:vAlign w:val="bottom"/>
          </w:tcPr>
          <w:p w14:paraId="39B81BDF" w14:textId="77777777" w:rsidR="008E5DE4" w:rsidRDefault="008E5DE4">
            <w:pPr>
              <w:widowControl w:val="0"/>
              <w:jc w:val="right"/>
              <w:rPr>
                <w:sz w:val="16"/>
                <w:szCs w:val="16"/>
              </w:rPr>
            </w:pPr>
          </w:p>
        </w:tc>
        <w:tc>
          <w:tcPr>
            <w:tcW w:w="1531" w:type="dxa"/>
            <w:tcBorders>
              <w:bottom w:val="single" w:sz="4" w:space="0" w:color="000000"/>
            </w:tcBorders>
            <w:vAlign w:val="bottom"/>
          </w:tcPr>
          <w:p w14:paraId="6712114D" w14:textId="77777777" w:rsidR="008E5DE4" w:rsidRDefault="008E5DE4">
            <w:pPr>
              <w:widowControl w:val="0"/>
              <w:jc w:val="right"/>
              <w:rPr>
                <w:sz w:val="16"/>
                <w:szCs w:val="16"/>
              </w:rPr>
            </w:pPr>
          </w:p>
        </w:tc>
      </w:tr>
      <w:tr w:rsidR="008E5DE4" w14:paraId="4A438B01" w14:textId="77777777">
        <w:trPr>
          <w:cantSplit/>
        </w:trPr>
        <w:tc>
          <w:tcPr>
            <w:tcW w:w="6293" w:type="dxa"/>
            <w:vAlign w:val="bottom"/>
          </w:tcPr>
          <w:p w14:paraId="07FA04C2" w14:textId="77777777" w:rsidR="008E5DE4" w:rsidRDefault="00780368">
            <w:pPr>
              <w:widowControl w:val="0"/>
              <w:ind w:left="113" w:right="-57" w:hanging="113"/>
              <w:rPr>
                <w:b/>
                <w:sz w:val="16"/>
                <w:szCs w:val="16"/>
              </w:rPr>
            </w:pPr>
            <w:r>
              <w:rPr>
                <w:b/>
                <w:sz w:val="16"/>
                <w:szCs w:val="16"/>
              </w:rPr>
              <w:t> </w:t>
            </w:r>
          </w:p>
        </w:tc>
        <w:tc>
          <w:tcPr>
            <w:tcW w:w="1531" w:type="dxa"/>
            <w:vAlign w:val="bottom"/>
          </w:tcPr>
          <w:p w14:paraId="1D9547F7" w14:textId="77777777" w:rsidR="008E5DE4" w:rsidRDefault="008E5DE4">
            <w:pPr>
              <w:widowControl w:val="0"/>
              <w:jc w:val="right"/>
              <w:rPr>
                <w:sz w:val="16"/>
                <w:szCs w:val="16"/>
              </w:rPr>
            </w:pPr>
          </w:p>
        </w:tc>
        <w:tc>
          <w:tcPr>
            <w:tcW w:w="1531" w:type="dxa"/>
            <w:vAlign w:val="bottom"/>
          </w:tcPr>
          <w:p w14:paraId="02F69F22" w14:textId="77777777" w:rsidR="008E5DE4" w:rsidRDefault="008E5DE4">
            <w:pPr>
              <w:widowControl w:val="0"/>
              <w:jc w:val="right"/>
              <w:rPr>
                <w:sz w:val="16"/>
                <w:szCs w:val="16"/>
              </w:rPr>
            </w:pPr>
          </w:p>
        </w:tc>
      </w:tr>
      <w:tr w:rsidR="008E5DE4" w14:paraId="00D94A65" w14:textId="77777777">
        <w:trPr>
          <w:cantSplit/>
        </w:trPr>
        <w:tc>
          <w:tcPr>
            <w:tcW w:w="6293" w:type="dxa"/>
            <w:vAlign w:val="bottom"/>
          </w:tcPr>
          <w:p w14:paraId="1C38934A"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Theoretical tax charge </w:t>
            </w:r>
            <w:r>
              <w:rPr>
                <w:color w:val="0000FF"/>
              </w:rPr>
              <w:t>[credit]</w:t>
            </w:r>
            <w:r>
              <w:rPr>
                <w:color w:val="000000"/>
              </w:rPr>
              <w:t xml:space="preserve"> at statutory rate of </w:t>
            </w:r>
            <w:r w:rsidRPr="00FA3B9A">
              <w:rPr>
                <w:color w:val="0000FF"/>
              </w:rPr>
              <w:t xml:space="preserve">[ </w:t>
            </w:r>
            <w:proofErr w:type="gramStart"/>
            <w:r w:rsidRPr="00FA3B9A">
              <w:rPr>
                <w:color w:val="0000FF"/>
              </w:rPr>
              <w:t xml:space="preserve">  ]</w:t>
            </w:r>
            <w:proofErr w:type="gramEnd"/>
            <w:r>
              <w:rPr>
                <w:color w:val="000000"/>
              </w:rPr>
              <w:t>%:</w:t>
            </w:r>
          </w:p>
        </w:tc>
        <w:tc>
          <w:tcPr>
            <w:tcW w:w="1531" w:type="dxa"/>
            <w:vAlign w:val="bottom"/>
          </w:tcPr>
          <w:p w14:paraId="417733E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50F23B3" w14:textId="77777777" w:rsidR="008E5DE4" w:rsidRDefault="008E5DE4">
            <w:pPr>
              <w:widowControl w:val="0"/>
              <w:pBdr>
                <w:top w:val="nil"/>
                <w:left w:val="nil"/>
                <w:bottom w:val="nil"/>
                <w:right w:val="nil"/>
                <w:between w:val="nil"/>
              </w:pBdr>
              <w:jc w:val="right"/>
              <w:rPr>
                <w:color w:val="000000"/>
              </w:rPr>
            </w:pPr>
          </w:p>
        </w:tc>
      </w:tr>
      <w:tr w:rsidR="008E5DE4" w14:paraId="37D85B98" w14:textId="77777777">
        <w:trPr>
          <w:cantSplit/>
        </w:trPr>
        <w:tc>
          <w:tcPr>
            <w:tcW w:w="6293" w:type="dxa"/>
            <w:vAlign w:val="bottom"/>
          </w:tcPr>
          <w:p w14:paraId="2B07B94B"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1531" w:type="dxa"/>
            <w:vAlign w:val="bottom"/>
          </w:tcPr>
          <w:p w14:paraId="625C395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7112580" w14:textId="77777777" w:rsidR="008E5DE4" w:rsidRDefault="008E5DE4">
            <w:pPr>
              <w:widowControl w:val="0"/>
              <w:pBdr>
                <w:top w:val="nil"/>
                <w:left w:val="nil"/>
                <w:bottom w:val="nil"/>
                <w:right w:val="nil"/>
                <w:between w:val="nil"/>
              </w:pBdr>
              <w:jc w:val="right"/>
              <w:rPr>
                <w:color w:val="000000"/>
              </w:rPr>
            </w:pPr>
          </w:p>
        </w:tc>
      </w:tr>
      <w:tr w:rsidR="008E5DE4" w14:paraId="07D3793E" w14:textId="77777777">
        <w:trPr>
          <w:cantSplit/>
        </w:trPr>
        <w:tc>
          <w:tcPr>
            <w:tcW w:w="6293" w:type="dxa"/>
            <w:vAlign w:val="bottom"/>
          </w:tcPr>
          <w:p w14:paraId="023EA3A0" w14:textId="77777777" w:rsidR="008E5DE4" w:rsidRDefault="00780368">
            <w:pPr>
              <w:widowControl w:val="0"/>
              <w:pBdr>
                <w:top w:val="nil"/>
                <w:left w:val="nil"/>
                <w:bottom w:val="nil"/>
                <w:right w:val="nil"/>
                <w:between w:val="nil"/>
              </w:pBdr>
              <w:ind w:left="113" w:right="-57" w:hanging="113"/>
              <w:rPr>
                <w:color w:val="000000"/>
              </w:rPr>
            </w:pPr>
            <w:r>
              <w:rPr>
                <w:color w:val="000000"/>
              </w:rPr>
              <w:t>Tax effect of items which are not deductible or assessable for taxation purposes:</w:t>
            </w:r>
          </w:p>
        </w:tc>
        <w:tc>
          <w:tcPr>
            <w:tcW w:w="1531" w:type="dxa"/>
            <w:vAlign w:val="bottom"/>
          </w:tcPr>
          <w:p w14:paraId="3817D69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59031CF" w14:textId="77777777" w:rsidR="008E5DE4" w:rsidRDefault="008E5DE4">
            <w:pPr>
              <w:widowControl w:val="0"/>
              <w:pBdr>
                <w:top w:val="nil"/>
                <w:left w:val="nil"/>
                <w:bottom w:val="nil"/>
                <w:right w:val="nil"/>
                <w:between w:val="nil"/>
              </w:pBdr>
              <w:jc w:val="right"/>
              <w:rPr>
                <w:color w:val="000000"/>
              </w:rPr>
            </w:pPr>
          </w:p>
        </w:tc>
      </w:tr>
      <w:tr w:rsidR="008E5DE4" w14:paraId="16A164B0" w14:textId="77777777">
        <w:trPr>
          <w:cantSplit/>
        </w:trPr>
        <w:tc>
          <w:tcPr>
            <w:tcW w:w="6293" w:type="dxa"/>
            <w:vAlign w:val="bottom"/>
          </w:tcPr>
          <w:p w14:paraId="56DEE4FD" w14:textId="0C9ECC04" w:rsidR="008E5DE4" w:rsidRDefault="00780368">
            <w:pPr>
              <w:widowControl w:val="0"/>
              <w:pBdr>
                <w:top w:val="nil"/>
                <w:left w:val="nil"/>
                <w:bottom w:val="nil"/>
                <w:right w:val="nil"/>
                <w:between w:val="nil"/>
              </w:pBdr>
              <w:ind w:left="113" w:right="-57" w:hanging="113"/>
              <w:rPr>
                <w:color w:val="000000"/>
              </w:rPr>
            </w:pPr>
            <w:r>
              <w:rPr>
                <w:color w:val="000000"/>
              </w:rPr>
              <w:t xml:space="preserve">- Income which is exempt from taxation </w:t>
            </w:r>
          </w:p>
        </w:tc>
        <w:tc>
          <w:tcPr>
            <w:tcW w:w="1531" w:type="dxa"/>
            <w:vAlign w:val="bottom"/>
          </w:tcPr>
          <w:p w14:paraId="400390D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3D8FE51" w14:textId="77777777" w:rsidR="008E5DE4" w:rsidRDefault="008E5DE4">
            <w:pPr>
              <w:widowControl w:val="0"/>
              <w:pBdr>
                <w:top w:val="nil"/>
                <w:left w:val="nil"/>
                <w:bottom w:val="nil"/>
                <w:right w:val="nil"/>
                <w:between w:val="nil"/>
              </w:pBdr>
              <w:jc w:val="right"/>
              <w:rPr>
                <w:color w:val="000000"/>
              </w:rPr>
            </w:pPr>
          </w:p>
        </w:tc>
      </w:tr>
      <w:tr w:rsidR="008E5DE4" w14:paraId="72C3CBC8" w14:textId="77777777">
        <w:trPr>
          <w:cantSplit/>
        </w:trPr>
        <w:tc>
          <w:tcPr>
            <w:tcW w:w="6293" w:type="dxa"/>
            <w:vAlign w:val="bottom"/>
          </w:tcPr>
          <w:p w14:paraId="48A05FB2" w14:textId="427A59EB" w:rsidR="008E5DE4" w:rsidRDefault="00780368">
            <w:pPr>
              <w:widowControl w:val="0"/>
              <w:pBdr>
                <w:top w:val="nil"/>
                <w:left w:val="nil"/>
                <w:bottom w:val="nil"/>
                <w:right w:val="nil"/>
                <w:between w:val="nil"/>
              </w:pBdr>
              <w:ind w:left="113" w:right="-57" w:hanging="113"/>
              <w:rPr>
                <w:color w:val="000000"/>
              </w:rPr>
            </w:pPr>
            <w:r>
              <w:rPr>
                <w:color w:val="000000"/>
              </w:rPr>
              <w:t>- Non-deductible expenses</w:t>
            </w:r>
          </w:p>
        </w:tc>
        <w:tc>
          <w:tcPr>
            <w:tcW w:w="1531" w:type="dxa"/>
            <w:vAlign w:val="bottom"/>
          </w:tcPr>
          <w:p w14:paraId="4B840C8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3E0665D" w14:textId="77777777" w:rsidR="008E5DE4" w:rsidRDefault="008E5DE4">
            <w:pPr>
              <w:widowControl w:val="0"/>
              <w:pBdr>
                <w:top w:val="nil"/>
                <w:left w:val="nil"/>
                <w:bottom w:val="nil"/>
                <w:right w:val="nil"/>
                <w:between w:val="nil"/>
              </w:pBdr>
              <w:jc w:val="right"/>
              <w:rPr>
                <w:color w:val="000000"/>
              </w:rPr>
            </w:pPr>
          </w:p>
        </w:tc>
      </w:tr>
      <w:tr w:rsidR="008E5DE4" w14:paraId="4AB3CC2C" w14:textId="77777777">
        <w:trPr>
          <w:cantSplit/>
        </w:trPr>
        <w:tc>
          <w:tcPr>
            <w:tcW w:w="6293" w:type="dxa"/>
            <w:vAlign w:val="bottom"/>
          </w:tcPr>
          <w:p w14:paraId="5C6DBB3B" w14:textId="77777777" w:rsidR="008E5DE4" w:rsidRDefault="00780368">
            <w:pPr>
              <w:widowControl w:val="0"/>
              <w:pBdr>
                <w:top w:val="nil"/>
                <w:left w:val="nil"/>
                <w:bottom w:val="nil"/>
                <w:right w:val="nil"/>
                <w:between w:val="nil"/>
              </w:pBdr>
              <w:ind w:left="113" w:right="-57" w:hanging="113"/>
              <w:rPr>
                <w:color w:val="000000"/>
              </w:rPr>
            </w:pPr>
            <w:r>
              <w:rPr>
                <w:color w:val="000000"/>
              </w:rPr>
              <w:t>- Income on government securities taxed at different rates</w:t>
            </w:r>
          </w:p>
        </w:tc>
        <w:tc>
          <w:tcPr>
            <w:tcW w:w="1531" w:type="dxa"/>
            <w:vAlign w:val="bottom"/>
          </w:tcPr>
          <w:p w14:paraId="78B49EC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43BF1B0" w14:textId="77777777" w:rsidR="008E5DE4" w:rsidRDefault="008E5DE4">
            <w:pPr>
              <w:widowControl w:val="0"/>
              <w:pBdr>
                <w:top w:val="nil"/>
                <w:left w:val="nil"/>
                <w:bottom w:val="nil"/>
                <w:right w:val="nil"/>
                <w:between w:val="nil"/>
              </w:pBdr>
              <w:jc w:val="right"/>
              <w:rPr>
                <w:color w:val="000000"/>
              </w:rPr>
            </w:pPr>
          </w:p>
        </w:tc>
      </w:tr>
      <w:tr w:rsidR="008E5DE4" w14:paraId="33B31AAD" w14:textId="77777777">
        <w:trPr>
          <w:cantSplit/>
        </w:trPr>
        <w:tc>
          <w:tcPr>
            <w:tcW w:w="6293" w:type="dxa"/>
            <w:vAlign w:val="bottom"/>
          </w:tcPr>
          <w:p w14:paraId="6EAC88A7" w14:textId="77777777" w:rsidR="008E5DE4" w:rsidRDefault="00780368">
            <w:pPr>
              <w:widowControl w:val="0"/>
              <w:pBdr>
                <w:top w:val="nil"/>
                <w:left w:val="nil"/>
                <w:bottom w:val="nil"/>
                <w:right w:val="nil"/>
                <w:between w:val="nil"/>
              </w:pBdr>
              <w:ind w:left="113" w:right="-57" w:hanging="113"/>
              <w:rPr>
                <w:color w:val="000000"/>
              </w:rPr>
            </w:pPr>
            <w:r>
              <w:rPr>
                <w:color w:val="000000"/>
              </w:rPr>
              <w:t>- Loss/(income) earned in tax free jurisdictions</w:t>
            </w:r>
          </w:p>
        </w:tc>
        <w:tc>
          <w:tcPr>
            <w:tcW w:w="1531" w:type="dxa"/>
            <w:vAlign w:val="bottom"/>
          </w:tcPr>
          <w:p w14:paraId="6C03523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6772429" w14:textId="77777777" w:rsidR="008E5DE4" w:rsidRDefault="008E5DE4">
            <w:pPr>
              <w:widowControl w:val="0"/>
              <w:pBdr>
                <w:top w:val="nil"/>
                <w:left w:val="nil"/>
                <w:bottom w:val="nil"/>
                <w:right w:val="nil"/>
                <w:between w:val="nil"/>
              </w:pBdr>
              <w:jc w:val="right"/>
              <w:rPr>
                <w:color w:val="000000"/>
              </w:rPr>
            </w:pPr>
          </w:p>
        </w:tc>
      </w:tr>
      <w:tr w:rsidR="008E5DE4" w14:paraId="762C4B3D" w14:textId="77777777">
        <w:trPr>
          <w:cantSplit/>
        </w:trPr>
        <w:tc>
          <w:tcPr>
            <w:tcW w:w="6293" w:type="dxa"/>
            <w:vAlign w:val="bottom"/>
          </w:tcPr>
          <w:p w14:paraId="79133A42" w14:textId="77777777" w:rsidR="008E5DE4" w:rsidRDefault="00780368">
            <w:pPr>
              <w:widowControl w:val="0"/>
              <w:pBdr>
                <w:top w:val="nil"/>
                <w:left w:val="nil"/>
                <w:bottom w:val="nil"/>
                <w:right w:val="nil"/>
                <w:between w:val="nil"/>
              </w:pBdr>
              <w:ind w:left="113" w:right="-57" w:hanging="113"/>
              <w:rPr>
                <w:color w:val="0000FF"/>
              </w:rPr>
            </w:pPr>
            <w:r>
              <w:rPr>
                <w:color w:val="000000"/>
              </w:rPr>
              <w:t>Under/(over) provision of current tax in prior years</w:t>
            </w:r>
          </w:p>
        </w:tc>
        <w:tc>
          <w:tcPr>
            <w:tcW w:w="1531" w:type="dxa"/>
            <w:vAlign w:val="bottom"/>
          </w:tcPr>
          <w:p w14:paraId="71AEE6E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DDCAED7" w14:textId="77777777" w:rsidR="008E5DE4" w:rsidRDefault="008E5DE4">
            <w:pPr>
              <w:widowControl w:val="0"/>
              <w:pBdr>
                <w:top w:val="nil"/>
                <w:left w:val="nil"/>
                <w:bottom w:val="nil"/>
                <w:right w:val="nil"/>
                <w:between w:val="nil"/>
              </w:pBdr>
              <w:jc w:val="right"/>
              <w:rPr>
                <w:color w:val="000000"/>
              </w:rPr>
            </w:pPr>
          </w:p>
        </w:tc>
      </w:tr>
      <w:tr w:rsidR="008E5DE4" w14:paraId="12DF414A" w14:textId="77777777">
        <w:trPr>
          <w:cantSplit/>
        </w:trPr>
        <w:tc>
          <w:tcPr>
            <w:tcW w:w="6293" w:type="dxa"/>
            <w:vAlign w:val="bottom"/>
          </w:tcPr>
          <w:p w14:paraId="1C4F5AE6" w14:textId="77777777" w:rsidR="008E5DE4" w:rsidRDefault="00780368">
            <w:pPr>
              <w:widowControl w:val="0"/>
              <w:pBdr>
                <w:top w:val="nil"/>
                <w:left w:val="nil"/>
                <w:bottom w:val="nil"/>
                <w:right w:val="nil"/>
                <w:between w:val="nil"/>
              </w:pBdr>
              <w:ind w:left="113" w:right="-57" w:hanging="113"/>
              <w:rPr>
                <w:color w:val="0000FF"/>
              </w:rPr>
            </w:pPr>
            <w:r>
              <w:rPr>
                <w:color w:val="0000FF"/>
              </w:rPr>
              <w:t>[Effects of different tax rates in other countries]</w:t>
            </w:r>
          </w:p>
        </w:tc>
        <w:tc>
          <w:tcPr>
            <w:tcW w:w="1531" w:type="dxa"/>
            <w:vAlign w:val="bottom"/>
          </w:tcPr>
          <w:p w14:paraId="2B5EE73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2D93BFD" w14:textId="77777777" w:rsidR="008E5DE4" w:rsidRDefault="008E5DE4">
            <w:pPr>
              <w:widowControl w:val="0"/>
              <w:pBdr>
                <w:top w:val="nil"/>
                <w:left w:val="nil"/>
                <w:bottom w:val="nil"/>
                <w:right w:val="nil"/>
                <w:between w:val="nil"/>
              </w:pBdr>
              <w:jc w:val="right"/>
              <w:rPr>
                <w:color w:val="000000"/>
              </w:rPr>
            </w:pPr>
          </w:p>
        </w:tc>
      </w:tr>
      <w:tr w:rsidR="008E5DE4" w14:paraId="61E27BF9" w14:textId="77777777">
        <w:trPr>
          <w:cantSplit/>
        </w:trPr>
        <w:tc>
          <w:tcPr>
            <w:tcW w:w="6293" w:type="dxa"/>
            <w:vAlign w:val="bottom"/>
          </w:tcPr>
          <w:p w14:paraId="19D86869"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expected manner of recovery or settlement resulting from controlled foreign company legislation</w:t>
            </w:r>
          </w:p>
          <w:p w14:paraId="1E2A444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Unrecognised tax loss </w:t>
            </w:r>
            <w:proofErr w:type="gramStart"/>
            <w:r>
              <w:rPr>
                <w:color w:val="000000"/>
              </w:rPr>
              <w:t>carry</w:t>
            </w:r>
            <w:proofErr w:type="gramEnd"/>
            <w:r>
              <w:rPr>
                <w:color w:val="000000"/>
              </w:rPr>
              <w:t xml:space="preserve"> forwards for the year</w:t>
            </w:r>
          </w:p>
        </w:tc>
        <w:tc>
          <w:tcPr>
            <w:tcW w:w="1531" w:type="dxa"/>
            <w:vAlign w:val="bottom"/>
          </w:tcPr>
          <w:p w14:paraId="568A6A9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727833D" w14:textId="77777777" w:rsidR="008E5DE4" w:rsidRDefault="008E5DE4">
            <w:pPr>
              <w:widowControl w:val="0"/>
              <w:pBdr>
                <w:top w:val="nil"/>
                <w:left w:val="nil"/>
                <w:bottom w:val="nil"/>
                <w:right w:val="nil"/>
                <w:between w:val="nil"/>
              </w:pBdr>
              <w:jc w:val="right"/>
              <w:rPr>
                <w:color w:val="000000"/>
              </w:rPr>
            </w:pPr>
          </w:p>
        </w:tc>
      </w:tr>
      <w:tr w:rsidR="008E5DE4" w14:paraId="2E69F674" w14:textId="77777777">
        <w:trPr>
          <w:cantSplit/>
        </w:trPr>
        <w:tc>
          <w:tcPr>
            <w:tcW w:w="6293" w:type="dxa"/>
            <w:vAlign w:val="bottom"/>
          </w:tcPr>
          <w:p w14:paraId="48BADDDE" w14:textId="77777777" w:rsidR="008E5DE4" w:rsidRDefault="00780368">
            <w:pPr>
              <w:widowControl w:val="0"/>
              <w:pBdr>
                <w:top w:val="nil"/>
                <w:left w:val="nil"/>
                <w:bottom w:val="nil"/>
                <w:right w:val="nil"/>
                <w:between w:val="nil"/>
              </w:pBdr>
              <w:ind w:left="113" w:right="-57" w:hanging="113"/>
              <w:rPr>
                <w:color w:val="000000"/>
              </w:rPr>
            </w:pPr>
            <w:r>
              <w:rPr>
                <w:color w:val="000000"/>
              </w:rPr>
              <w:t>Unrecognised other potential deferred tax assets</w:t>
            </w:r>
          </w:p>
        </w:tc>
        <w:tc>
          <w:tcPr>
            <w:tcW w:w="1531" w:type="dxa"/>
            <w:vAlign w:val="bottom"/>
          </w:tcPr>
          <w:p w14:paraId="43DE626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57180E0" w14:textId="77777777" w:rsidR="008E5DE4" w:rsidRDefault="008E5DE4">
            <w:pPr>
              <w:widowControl w:val="0"/>
              <w:pBdr>
                <w:top w:val="nil"/>
                <w:left w:val="nil"/>
                <w:bottom w:val="nil"/>
                <w:right w:val="nil"/>
                <w:between w:val="nil"/>
              </w:pBdr>
              <w:jc w:val="right"/>
              <w:rPr>
                <w:color w:val="000000"/>
              </w:rPr>
            </w:pPr>
          </w:p>
        </w:tc>
      </w:tr>
      <w:tr w:rsidR="008E5DE4" w14:paraId="2F0EA8F3" w14:textId="77777777">
        <w:trPr>
          <w:cantSplit/>
        </w:trPr>
        <w:tc>
          <w:tcPr>
            <w:tcW w:w="6293" w:type="dxa"/>
            <w:vAlign w:val="bottom"/>
          </w:tcPr>
          <w:p w14:paraId="32209B41" w14:textId="77777777" w:rsidR="008E5DE4" w:rsidRDefault="00780368">
            <w:pPr>
              <w:widowControl w:val="0"/>
              <w:pBdr>
                <w:top w:val="nil"/>
                <w:left w:val="nil"/>
                <w:bottom w:val="nil"/>
                <w:right w:val="nil"/>
                <w:between w:val="nil"/>
              </w:pBdr>
              <w:ind w:left="113" w:right="-57" w:hanging="113"/>
              <w:rPr>
                <w:color w:val="000000"/>
              </w:rPr>
            </w:pPr>
            <w:r>
              <w:rPr>
                <w:color w:val="000000"/>
              </w:rPr>
              <w:t>Utilisation of previously unrecognised tax loss carry forwards</w:t>
            </w:r>
          </w:p>
        </w:tc>
        <w:tc>
          <w:tcPr>
            <w:tcW w:w="1531" w:type="dxa"/>
            <w:vAlign w:val="bottom"/>
          </w:tcPr>
          <w:p w14:paraId="27F0E1A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F0DCA16" w14:textId="77777777" w:rsidR="008E5DE4" w:rsidRDefault="008E5DE4">
            <w:pPr>
              <w:widowControl w:val="0"/>
              <w:pBdr>
                <w:top w:val="nil"/>
                <w:left w:val="nil"/>
                <w:bottom w:val="nil"/>
                <w:right w:val="nil"/>
                <w:between w:val="nil"/>
              </w:pBdr>
              <w:jc w:val="right"/>
              <w:rPr>
                <w:color w:val="000000"/>
              </w:rPr>
            </w:pPr>
          </w:p>
        </w:tc>
      </w:tr>
      <w:tr w:rsidR="008E5DE4" w14:paraId="0CF274B6" w14:textId="77777777">
        <w:trPr>
          <w:cantSplit/>
        </w:trPr>
        <w:tc>
          <w:tcPr>
            <w:tcW w:w="6293" w:type="dxa"/>
            <w:tcBorders>
              <w:bottom w:val="single" w:sz="4" w:space="0" w:color="000000"/>
            </w:tcBorders>
            <w:vAlign w:val="bottom"/>
          </w:tcPr>
          <w:p w14:paraId="58B5A21B" w14:textId="77777777" w:rsidR="008E5DE4" w:rsidRDefault="008E5DE4">
            <w:pPr>
              <w:widowControl w:val="0"/>
              <w:ind w:left="113" w:right="-57" w:hanging="113"/>
              <w:rPr>
                <w:i/>
                <w:color w:val="FF0000"/>
                <w:sz w:val="16"/>
                <w:szCs w:val="16"/>
              </w:rPr>
            </w:pPr>
          </w:p>
        </w:tc>
        <w:tc>
          <w:tcPr>
            <w:tcW w:w="1531" w:type="dxa"/>
            <w:tcBorders>
              <w:bottom w:val="single" w:sz="4" w:space="0" w:color="000000"/>
            </w:tcBorders>
            <w:vAlign w:val="bottom"/>
          </w:tcPr>
          <w:p w14:paraId="4B18D959" w14:textId="77777777" w:rsidR="008E5DE4" w:rsidRDefault="008E5DE4">
            <w:pPr>
              <w:widowControl w:val="0"/>
              <w:pBdr>
                <w:top w:val="nil"/>
                <w:left w:val="nil"/>
                <w:bottom w:val="nil"/>
                <w:right w:val="nil"/>
                <w:between w:val="nil"/>
              </w:pBdr>
              <w:jc w:val="right"/>
              <w:rPr>
                <w:color w:val="000000"/>
                <w:sz w:val="16"/>
                <w:szCs w:val="16"/>
              </w:rPr>
            </w:pPr>
          </w:p>
        </w:tc>
        <w:tc>
          <w:tcPr>
            <w:tcW w:w="1531" w:type="dxa"/>
            <w:tcBorders>
              <w:bottom w:val="single" w:sz="4" w:space="0" w:color="000000"/>
            </w:tcBorders>
            <w:vAlign w:val="bottom"/>
          </w:tcPr>
          <w:p w14:paraId="1357089F" w14:textId="77777777" w:rsidR="008E5DE4" w:rsidRDefault="008E5DE4">
            <w:pPr>
              <w:widowControl w:val="0"/>
              <w:pBdr>
                <w:top w:val="nil"/>
                <w:left w:val="nil"/>
                <w:bottom w:val="nil"/>
                <w:right w:val="nil"/>
                <w:between w:val="nil"/>
              </w:pBdr>
              <w:jc w:val="right"/>
              <w:rPr>
                <w:color w:val="000000"/>
                <w:sz w:val="16"/>
                <w:szCs w:val="16"/>
              </w:rPr>
            </w:pPr>
          </w:p>
        </w:tc>
      </w:tr>
      <w:tr w:rsidR="008E5DE4" w14:paraId="5F00146F" w14:textId="77777777">
        <w:trPr>
          <w:cantSplit/>
        </w:trPr>
        <w:tc>
          <w:tcPr>
            <w:tcW w:w="6293" w:type="dxa"/>
            <w:vAlign w:val="bottom"/>
          </w:tcPr>
          <w:p w14:paraId="4C741F64" w14:textId="77777777" w:rsidR="008E5DE4" w:rsidRDefault="00780368">
            <w:pPr>
              <w:widowControl w:val="0"/>
              <w:ind w:left="113" w:right="-57" w:hanging="113"/>
              <w:rPr>
                <w:sz w:val="16"/>
                <w:szCs w:val="16"/>
              </w:rPr>
            </w:pPr>
            <w:r>
              <w:rPr>
                <w:b/>
                <w:sz w:val="16"/>
                <w:szCs w:val="16"/>
              </w:rPr>
              <w:t> </w:t>
            </w:r>
          </w:p>
        </w:tc>
        <w:tc>
          <w:tcPr>
            <w:tcW w:w="1531" w:type="dxa"/>
            <w:vAlign w:val="bottom"/>
          </w:tcPr>
          <w:p w14:paraId="1DE51ECA" w14:textId="77777777" w:rsidR="008E5DE4" w:rsidRDefault="008E5DE4">
            <w:pPr>
              <w:widowControl w:val="0"/>
              <w:jc w:val="right"/>
              <w:rPr>
                <w:b/>
                <w:sz w:val="16"/>
                <w:szCs w:val="16"/>
              </w:rPr>
            </w:pPr>
          </w:p>
        </w:tc>
        <w:tc>
          <w:tcPr>
            <w:tcW w:w="1531" w:type="dxa"/>
            <w:vAlign w:val="bottom"/>
          </w:tcPr>
          <w:p w14:paraId="79DAEE97" w14:textId="77777777" w:rsidR="008E5DE4" w:rsidRDefault="008E5DE4">
            <w:pPr>
              <w:widowControl w:val="0"/>
              <w:jc w:val="right"/>
              <w:rPr>
                <w:b/>
                <w:sz w:val="16"/>
                <w:szCs w:val="16"/>
              </w:rPr>
            </w:pPr>
          </w:p>
        </w:tc>
      </w:tr>
      <w:tr w:rsidR="008E5DE4" w14:paraId="2210B908" w14:textId="77777777">
        <w:trPr>
          <w:cantSplit/>
        </w:trPr>
        <w:tc>
          <w:tcPr>
            <w:tcW w:w="6293" w:type="dxa"/>
            <w:vAlign w:val="bottom"/>
          </w:tcPr>
          <w:p w14:paraId="211CD0A6" w14:textId="77777777" w:rsidR="008E5DE4" w:rsidRDefault="00780368">
            <w:pPr>
              <w:widowControl w:val="0"/>
              <w:pBdr>
                <w:top w:val="nil"/>
                <w:left w:val="nil"/>
                <w:bottom w:val="nil"/>
                <w:right w:val="nil"/>
                <w:between w:val="nil"/>
              </w:pBdr>
              <w:ind w:left="113" w:right="-57" w:hanging="113"/>
              <w:rPr>
                <w:b/>
                <w:color w:val="000000"/>
              </w:rPr>
            </w:pPr>
            <w:r>
              <w:rPr>
                <w:b/>
                <w:color w:val="000000"/>
              </w:rPr>
              <w:t>Income tax expense/(credit) for the year</w:t>
            </w:r>
          </w:p>
        </w:tc>
        <w:tc>
          <w:tcPr>
            <w:tcW w:w="1531" w:type="dxa"/>
            <w:vAlign w:val="bottom"/>
          </w:tcPr>
          <w:p w14:paraId="697D407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51F6FCD" w14:textId="77777777" w:rsidR="008E5DE4" w:rsidRDefault="008E5DE4">
            <w:pPr>
              <w:widowControl w:val="0"/>
              <w:pBdr>
                <w:top w:val="nil"/>
                <w:left w:val="nil"/>
                <w:bottom w:val="nil"/>
                <w:right w:val="nil"/>
                <w:between w:val="nil"/>
              </w:pBdr>
              <w:jc w:val="right"/>
              <w:rPr>
                <w:b/>
                <w:color w:val="000000"/>
              </w:rPr>
            </w:pPr>
          </w:p>
        </w:tc>
      </w:tr>
      <w:tr w:rsidR="008E5DE4" w14:paraId="411741AD" w14:textId="77777777">
        <w:trPr>
          <w:cantSplit/>
        </w:trPr>
        <w:tc>
          <w:tcPr>
            <w:tcW w:w="6293" w:type="dxa"/>
            <w:tcBorders>
              <w:bottom w:val="single" w:sz="12" w:space="0" w:color="000000"/>
            </w:tcBorders>
            <w:vAlign w:val="bottom"/>
          </w:tcPr>
          <w:p w14:paraId="76972C2A" w14:textId="77777777" w:rsidR="008E5DE4" w:rsidRDefault="00780368">
            <w:pPr>
              <w:widowControl w:val="0"/>
              <w:ind w:left="113" w:right="-57" w:hanging="113"/>
              <w:rPr>
                <w:sz w:val="16"/>
                <w:szCs w:val="16"/>
              </w:rPr>
            </w:pPr>
            <w:r>
              <w:rPr>
                <w:b/>
                <w:sz w:val="16"/>
                <w:szCs w:val="16"/>
              </w:rPr>
              <w:t> </w:t>
            </w:r>
          </w:p>
        </w:tc>
        <w:tc>
          <w:tcPr>
            <w:tcW w:w="1531" w:type="dxa"/>
            <w:tcBorders>
              <w:bottom w:val="single" w:sz="12" w:space="0" w:color="000000"/>
            </w:tcBorders>
            <w:vAlign w:val="bottom"/>
          </w:tcPr>
          <w:p w14:paraId="2086334F" w14:textId="77777777" w:rsidR="008E5DE4" w:rsidRDefault="008E5DE4">
            <w:pPr>
              <w:widowControl w:val="0"/>
              <w:jc w:val="right"/>
              <w:rPr>
                <w:b/>
                <w:sz w:val="16"/>
                <w:szCs w:val="16"/>
              </w:rPr>
            </w:pPr>
          </w:p>
        </w:tc>
        <w:tc>
          <w:tcPr>
            <w:tcW w:w="1531" w:type="dxa"/>
            <w:tcBorders>
              <w:bottom w:val="single" w:sz="12" w:space="0" w:color="000000"/>
            </w:tcBorders>
            <w:vAlign w:val="bottom"/>
          </w:tcPr>
          <w:p w14:paraId="576B0E7A" w14:textId="77777777" w:rsidR="008E5DE4" w:rsidRDefault="008E5DE4">
            <w:pPr>
              <w:widowControl w:val="0"/>
              <w:jc w:val="right"/>
              <w:rPr>
                <w:b/>
                <w:sz w:val="16"/>
                <w:szCs w:val="16"/>
              </w:rPr>
            </w:pPr>
          </w:p>
        </w:tc>
      </w:tr>
    </w:tbl>
    <w:p w14:paraId="343F5E25"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(c) </w:t>
      </w:r>
      <w:r>
        <w:rPr>
          <w:b/>
          <w:i/>
          <w:color w:val="000000"/>
          <w:sz w:val="20"/>
          <w:szCs w:val="20"/>
        </w:rPr>
        <w:tab/>
        <w:t xml:space="preserve">Tax loss </w:t>
      </w:r>
      <w:proofErr w:type="gramStart"/>
      <w:r>
        <w:rPr>
          <w:b/>
          <w:i/>
          <w:color w:val="000000"/>
          <w:sz w:val="20"/>
          <w:szCs w:val="20"/>
        </w:rPr>
        <w:t>carry</w:t>
      </w:r>
      <w:proofErr w:type="gramEnd"/>
      <w:r>
        <w:rPr>
          <w:b/>
          <w:i/>
          <w:color w:val="000000"/>
          <w:sz w:val="20"/>
          <w:szCs w:val="20"/>
        </w:rPr>
        <w:t xml:space="preserve"> forwards</w:t>
      </w:r>
    </w:p>
    <w:p w14:paraId="7E0B722D" w14:textId="744A0CD9"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The Group has unrecognised potential deferred tax assets in respect of unused tax loss carry forwards of EUR _____ thousand (</w:t>
      </w:r>
      <w:r w:rsidR="008614F8">
        <w:rPr>
          <w:color w:val="000000"/>
          <w:sz w:val="20"/>
          <w:szCs w:val="20"/>
        </w:rPr>
        <w:t>2025</w:t>
      </w:r>
      <w:r>
        <w:rPr>
          <w:color w:val="000000"/>
          <w:sz w:val="20"/>
          <w:szCs w:val="20"/>
        </w:rPr>
        <w:t xml:space="preserve">: EUR _____ thousand). The tax loss </w:t>
      </w:r>
      <w:proofErr w:type="gramStart"/>
      <w:r>
        <w:rPr>
          <w:color w:val="000000"/>
          <w:sz w:val="20"/>
          <w:szCs w:val="20"/>
        </w:rPr>
        <w:t>carry</w:t>
      </w:r>
      <w:proofErr w:type="gramEnd"/>
      <w:r>
        <w:rPr>
          <w:color w:val="000000"/>
          <w:sz w:val="20"/>
          <w:szCs w:val="20"/>
        </w:rPr>
        <w:t xml:space="preserve"> forwards expire as follows: </w:t>
      </w:r>
    </w:p>
    <w:tbl>
      <w:tblPr>
        <w:tblStyle w:val="afffffffffff3"/>
        <w:tblW w:w="9355" w:type="dxa"/>
        <w:tblLayout w:type="fixed"/>
        <w:tblLook w:val="0000" w:firstRow="0" w:lastRow="0" w:firstColumn="0" w:lastColumn="0" w:noHBand="0" w:noVBand="0"/>
      </w:tblPr>
      <w:tblGrid>
        <w:gridCol w:w="6293"/>
        <w:gridCol w:w="1531"/>
        <w:gridCol w:w="1531"/>
      </w:tblGrid>
      <w:tr w:rsidR="008E5DE4" w14:paraId="3B9791C2" w14:textId="77777777">
        <w:trPr>
          <w:cantSplit/>
        </w:trPr>
        <w:tc>
          <w:tcPr>
            <w:tcW w:w="6293" w:type="dxa"/>
            <w:tcBorders>
              <w:bottom w:val="single" w:sz="4" w:space="0" w:color="000000"/>
            </w:tcBorders>
            <w:vAlign w:val="bottom"/>
          </w:tcPr>
          <w:p w14:paraId="18282628"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1531" w:type="dxa"/>
            <w:tcBorders>
              <w:bottom w:val="single" w:sz="4" w:space="0" w:color="000000"/>
            </w:tcBorders>
            <w:vAlign w:val="bottom"/>
          </w:tcPr>
          <w:p w14:paraId="574C7F1B" w14:textId="274C9F5A"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CB51FF4" w14:textId="66BDF413"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2E5E2697" w14:textId="77777777">
        <w:trPr>
          <w:cantSplit/>
        </w:trPr>
        <w:tc>
          <w:tcPr>
            <w:tcW w:w="6293" w:type="dxa"/>
            <w:vAlign w:val="bottom"/>
          </w:tcPr>
          <w:p w14:paraId="40BF8935" w14:textId="77777777" w:rsidR="008E5DE4" w:rsidRDefault="00780368">
            <w:pPr>
              <w:widowControl w:val="0"/>
              <w:ind w:left="113" w:right="-57" w:hanging="113"/>
              <w:rPr>
                <w:sz w:val="16"/>
                <w:szCs w:val="16"/>
              </w:rPr>
            </w:pPr>
            <w:r>
              <w:rPr>
                <w:b/>
                <w:sz w:val="16"/>
                <w:szCs w:val="16"/>
              </w:rPr>
              <w:t> </w:t>
            </w:r>
          </w:p>
        </w:tc>
        <w:tc>
          <w:tcPr>
            <w:tcW w:w="1531" w:type="dxa"/>
            <w:vAlign w:val="bottom"/>
          </w:tcPr>
          <w:p w14:paraId="0EFF85E8" w14:textId="77777777" w:rsidR="008E5DE4" w:rsidRDefault="008E5DE4">
            <w:pPr>
              <w:widowControl w:val="0"/>
              <w:jc w:val="right"/>
              <w:rPr>
                <w:sz w:val="16"/>
                <w:szCs w:val="16"/>
              </w:rPr>
            </w:pPr>
          </w:p>
        </w:tc>
        <w:tc>
          <w:tcPr>
            <w:tcW w:w="1531" w:type="dxa"/>
            <w:vAlign w:val="bottom"/>
          </w:tcPr>
          <w:p w14:paraId="7BC0CBFA" w14:textId="77777777" w:rsidR="008E5DE4" w:rsidRDefault="008E5DE4">
            <w:pPr>
              <w:widowControl w:val="0"/>
              <w:jc w:val="right"/>
              <w:rPr>
                <w:sz w:val="16"/>
                <w:szCs w:val="16"/>
              </w:rPr>
            </w:pPr>
          </w:p>
        </w:tc>
      </w:tr>
      <w:tr w:rsidR="008E5DE4" w14:paraId="6499D5DC" w14:textId="77777777">
        <w:trPr>
          <w:cantSplit/>
        </w:trPr>
        <w:tc>
          <w:tcPr>
            <w:tcW w:w="6293" w:type="dxa"/>
            <w:vAlign w:val="bottom"/>
          </w:tcPr>
          <w:p w14:paraId="6CFB3091" w14:textId="77777777" w:rsidR="008E5DE4" w:rsidRDefault="00780368">
            <w:pPr>
              <w:widowControl w:val="0"/>
              <w:pBdr>
                <w:top w:val="nil"/>
                <w:left w:val="nil"/>
                <w:bottom w:val="nil"/>
                <w:right w:val="nil"/>
                <w:between w:val="nil"/>
              </w:pBdr>
              <w:ind w:left="113" w:right="-57" w:hanging="113"/>
              <w:rPr>
                <w:color w:val="000000"/>
              </w:rPr>
            </w:pPr>
            <w:r>
              <w:rPr>
                <w:color w:val="000000"/>
              </w:rPr>
              <w:t>Tax loss carry-forwards expiring by the end of:</w:t>
            </w:r>
          </w:p>
        </w:tc>
        <w:tc>
          <w:tcPr>
            <w:tcW w:w="1531" w:type="dxa"/>
            <w:vAlign w:val="bottom"/>
          </w:tcPr>
          <w:p w14:paraId="7B830FF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E08D9D6" w14:textId="77777777" w:rsidR="008E5DE4" w:rsidRDefault="008E5DE4">
            <w:pPr>
              <w:widowControl w:val="0"/>
              <w:pBdr>
                <w:top w:val="nil"/>
                <w:left w:val="nil"/>
                <w:bottom w:val="nil"/>
                <w:right w:val="nil"/>
                <w:between w:val="nil"/>
              </w:pBdr>
              <w:jc w:val="right"/>
              <w:rPr>
                <w:color w:val="000000"/>
              </w:rPr>
            </w:pPr>
          </w:p>
        </w:tc>
      </w:tr>
      <w:tr w:rsidR="008E5DE4" w14:paraId="51377815" w14:textId="77777777">
        <w:trPr>
          <w:cantSplit/>
        </w:trPr>
        <w:tc>
          <w:tcPr>
            <w:tcW w:w="6293" w:type="dxa"/>
            <w:vAlign w:val="bottom"/>
          </w:tcPr>
          <w:p w14:paraId="7CAE4125" w14:textId="20496042" w:rsidR="008E5DE4" w:rsidRDefault="00780368">
            <w:pPr>
              <w:widowControl w:val="0"/>
              <w:pBdr>
                <w:top w:val="nil"/>
                <w:left w:val="nil"/>
                <w:bottom w:val="nil"/>
                <w:right w:val="nil"/>
                <w:between w:val="nil"/>
              </w:pBdr>
              <w:ind w:left="113" w:right="-57" w:hanging="113"/>
              <w:rPr>
                <w:color w:val="000000"/>
              </w:rPr>
            </w:pPr>
            <w:r>
              <w:rPr>
                <w:color w:val="000000"/>
              </w:rPr>
              <w:t>- 31 December 202</w:t>
            </w:r>
            <w:r w:rsidR="008614F8">
              <w:rPr>
                <w:color w:val="000000"/>
              </w:rPr>
              <w:t>5</w:t>
            </w:r>
          </w:p>
        </w:tc>
        <w:tc>
          <w:tcPr>
            <w:tcW w:w="1531" w:type="dxa"/>
            <w:vAlign w:val="bottom"/>
          </w:tcPr>
          <w:p w14:paraId="44061BA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960CA23" w14:textId="77777777" w:rsidR="008E5DE4" w:rsidRDefault="008E5DE4">
            <w:pPr>
              <w:widowControl w:val="0"/>
              <w:pBdr>
                <w:top w:val="nil"/>
                <w:left w:val="nil"/>
                <w:bottom w:val="nil"/>
                <w:right w:val="nil"/>
                <w:between w:val="nil"/>
              </w:pBdr>
              <w:jc w:val="right"/>
              <w:rPr>
                <w:color w:val="000000"/>
              </w:rPr>
            </w:pPr>
          </w:p>
        </w:tc>
      </w:tr>
      <w:tr w:rsidR="008E5DE4" w14:paraId="4EF2BB73" w14:textId="77777777">
        <w:trPr>
          <w:cantSplit/>
        </w:trPr>
        <w:tc>
          <w:tcPr>
            <w:tcW w:w="6293" w:type="dxa"/>
            <w:vAlign w:val="bottom"/>
          </w:tcPr>
          <w:p w14:paraId="58068F86" w14:textId="39FE9846" w:rsidR="008E5DE4" w:rsidRDefault="00780368">
            <w:pPr>
              <w:widowControl w:val="0"/>
              <w:pBdr>
                <w:top w:val="nil"/>
                <w:left w:val="nil"/>
                <w:bottom w:val="nil"/>
                <w:right w:val="nil"/>
                <w:between w:val="nil"/>
              </w:pBdr>
              <w:ind w:left="113" w:right="-57" w:hanging="113"/>
              <w:rPr>
                <w:color w:val="000000"/>
              </w:rPr>
            </w:pPr>
            <w:r>
              <w:rPr>
                <w:color w:val="000000"/>
              </w:rPr>
              <w:t>- 31 December 202</w:t>
            </w:r>
            <w:r w:rsidR="008614F8">
              <w:rPr>
                <w:color w:val="000000"/>
              </w:rPr>
              <w:t>6</w:t>
            </w:r>
          </w:p>
        </w:tc>
        <w:tc>
          <w:tcPr>
            <w:tcW w:w="1531" w:type="dxa"/>
            <w:vAlign w:val="bottom"/>
          </w:tcPr>
          <w:p w14:paraId="0EBCF5F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23539B0" w14:textId="77777777" w:rsidR="008E5DE4" w:rsidRDefault="008E5DE4">
            <w:pPr>
              <w:widowControl w:val="0"/>
              <w:pBdr>
                <w:top w:val="nil"/>
                <w:left w:val="nil"/>
                <w:bottom w:val="nil"/>
                <w:right w:val="nil"/>
                <w:between w:val="nil"/>
              </w:pBdr>
              <w:jc w:val="right"/>
              <w:rPr>
                <w:color w:val="000000"/>
              </w:rPr>
            </w:pPr>
          </w:p>
        </w:tc>
      </w:tr>
      <w:tr w:rsidR="008E5DE4" w14:paraId="392C04D6" w14:textId="77777777">
        <w:trPr>
          <w:cantSplit/>
        </w:trPr>
        <w:tc>
          <w:tcPr>
            <w:tcW w:w="6293" w:type="dxa"/>
            <w:vAlign w:val="bottom"/>
          </w:tcPr>
          <w:p w14:paraId="510E128E" w14:textId="7724762A" w:rsidR="008E5DE4" w:rsidRDefault="00780368">
            <w:pPr>
              <w:widowControl w:val="0"/>
              <w:pBdr>
                <w:top w:val="nil"/>
                <w:left w:val="nil"/>
                <w:bottom w:val="nil"/>
                <w:right w:val="nil"/>
                <w:between w:val="nil"/>
              </w:pBdr>
              <w:ind w:left="113" w:right="-57" w:hanging="113"/>
              <w:rPr>
                <w:color w:val="000000"/>
              </w:rPr>
            </w:pPr>
            <w:r>
              <w:rPr>
                <w:color w:val="000000"/>
              </w:rPr>
              <w:t>- 31 December 202</w:t>
            </w:r>
            <w:r w:rsidR="008614F8">
              <w:rPr>
                <w:color w:val="000000"/>
              </w:rPr>
              <w:t>7</w:t>
            </w:r>
          </w:p>
        </w:tc>
        <w:tc>
          <w:tcPr>
            <w:tcW w:w="1531" w:type="dxa"/>
            <w:vAlign w:val="bottom"/>
          </w:tcPr>
          <w:p w14:paraId="23EAB20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DBC3AE3" w14:textId="77777777" w:rsidR="008E5DE4" w:rsidRDefault="008E5DE4">
            <w:pPr>
              <w:widowControl w:val="0"/>
              <w:pBdr>
                <w:top w:val="nil"/>
                <w:left w:val="nil"/>
                <w:bottom w:val="nil"/>
                <w:right w:val="nil"/>
                <w:between w:val="nil"/>
              </w:pBdr>
              <w:jc w:val="right"/>
              <w:rPr>
                <w:color w:val="000000"/>
              </w:rPr>
            </w:pPr>
          </w:p>
        </w:tc>
      </w:tr>
      <w:tr w:rsidR="008E5DE4" w14:paraId="1715B3B0" w14:textId="77777777">
        <w:trPr>
          <w:cantSplit/>
        </w:trPr>
        <w:tc>
          <w:tcPr>
            <w:tcW w:w="6293" w:type="dxa"/>
            <w:vAlign w:val="bottom"/>
          </w:tcPr>
          <w:p w14:paraId="68C24EA5" w14:textId="4CD62710" w:rsidR="008E5DE4" w:rsidRDefault="00780368">
            <w:pPr>
              <w:widowControl w:val="0"/>
              <w:pBdr>
                <w:top w:val="nil"/>
                <w:left w:val="nil"/>
                <w:bottom w:val="nil"/>
                <w:right w:val="nil"/>
                <w:between w:val="nil"/>
              </w:pBdr>
              <w:ind w:left="113" w:right="-57" w:hanging="113"/>
              <w:rPr>
                <w:color w:val="000000"/>
              </w:rPr>
            </w:pPr>
            <w:r>
              <w:rPr>
                <w:color w:val="000000"/>
              </w:rPr>
              <w:t>- 31 December 202</w:t>
            </w:r>
            <w:r w:rsidR="008614F8">
              <w:rPr>
                <w:color w:val="000000"/>
              </w:rPr>
              <w:t>8</w:t>
            </w:r>
          </w:p>
        </w:tc>
        <w:tc>
          <w:tcPr>
            <w:tcW w:w="1531" w:type="dxa"/>
            <w:vAlign w:val="bottom"/>
          </w:tcPr>
          <w:p w14:paraId="0150060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6041E92" w14:textId="77777777" w:rsidR="008E5DE4" w:rsidRDefault="008E5DE4">
            <w:pPr>
              <w:widowControl w:val="0"/>
              <w:pBdr>
                <w:top w:val="nil"/>
                <w:left w:val="nil"/>
                <w:bottom w:val="nil"/>
                <w:right w:val="nil"/>
                <w:between w:val="nil"/>
              </w:pBdr>
              <w:jc w:val="right"/>
              <w:rPr>
                <w:color w:val="000000"/>
              </w:rPr>
            </w:pPr>
          </w:p>
        </w:tc>
      </w:tr>
      <w:tr w:rsidR="008E5DE4" w14:paraId="4CF2964F" w14:textId="77777777">
        <w:trPr>
          <w:cantSplit/>
        </w:trPr>
        <w:tc>
          <w:tcPr>
            <w:tcW w:w="6293" w:type="dxa"/>
            <w:vAlign w:val="bottom"/>
          </w:tcPr>
          <w:p w14:paraId="369B347D" w14:textId="4EA569C0" w:rsidR="008E5DE4" w:rsidRDefault="00780368">
            <w:pPr>
              <w:widowControl w:val="0"/>
              <w:pBdr>
                <w:top w:val="nil"/>
                <w:left w:val="nil"/>
                <w:bottom w:val="nil"/>
                <w:right w:val="nil"/>
                <w:between w:val="nil"/>
              </w:pBdr>
              <w:ind w:left="113" w:right="-57" w:hanging="113"/>
              <w:rPr>
                <w:color w:val="000000"/>
              </w:rPr>
            </w:pPr>
            <w:r>
              <w:rPr>
                <w:color w:val="000000"/>
              </w:rPr>
              <w:t>- 31 December 202</w:t>
            </w:r>
            <w:r w:rsidR="008614F8">
              <w:rPr>
                <w:color w:val="000000"/>
              </w:rPr>
              <w:t>9</w:t>
            </w:r>
          </w:p>
        </w:tc>
        <w:tc>
          <w:tcPr>
            <w:tcW w:w="1531" w:type="dxa"/>
            <w:vAlign w:val="bottom"/>
          </w:tcPr>
          <w:p w14:paraId="7B39792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6EA7E0D" w14:textId="77777777" w:rsidR="008E5DE4" w:rsidRDefault="008E5DE4">
            <w:pPr>
              <w:widowControl w:val="0"/>
              <w:pBdr>
                <w:top w:val="nil"/>
                <w:left w:val="nil"/>
                <w:bottom w:val="nil"/>
                <w:right w:val="nil"/>
                <w:between w:val="nil"/>
              </w:pBdr>
              <w:jc w:val="right"/>
              <w:rPr>
                <w:color w:val="000000"/>
              </w:rPr>
            </w:pPr>
          </w:p>
        </w:tc>
      </w:tr>
      <w:tr w:rsidR="008E5DE4" w14:paraId="70BFF6B5" w14:textId="77777777">
        <w:trPr>
          <w:cantSplit/>
        </w:trPr>
        <w:tc>
          <w:tcPr>
            <w:tcW w:w="6293" w:type="dxa"/>
            <w:vAlign w:val="bottom"/>
          </w:tcPr>
          <w:p w14:paraId="117D2985" w14:textId="5FBE9E4E" w:rsidR="008E5DE4" w:rsidRDefault="00780368">
            <w:pPr>
              <w:widowControl w:val="0"/>
              <w:pBdr>
                <w:top w:val="nil"/>
                <w:left w:val="nil"/>
                <w:bottom w:val="nil"/>
                <w:right w:val="nil"/>
                <w:between w:val="nil"/>
              </w:pBdr>
              <w:ind w:left="113" w:right="-57" w:hanging="113"/>
              <w:rPr>
                <w:color w:val="000000"/>
              </w:rPr>
            </w:pPr>
            <w:r>
              <w:rPr>
                <w:color w:val="000000"/>
              </w:rPr>
              <w:t>- 31 December 20</w:t>
            </w:r>
            <w:r w:rsidR="008614F8">
              <w:rPr>
                <w:color w:val="000000"/>
              </w:rPr>
              <w:t>30</w:t>
            </w:r>
          </w:p>
        </w:tc>
        <w:tc>
          <w:tcPr>
            <w:tcW w:w="1531" w:type="dxa"/>
            <w:vAlign w:val="bottom"/>
          </w:tcPr>
          <w:p w14:paraId="09AE9E7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B02428E" w14:textId="77777777" w:rsidR="008E5DE4" w:rsidRDefault="008E5DE4">
            <w:pPr>
              <w:widowControl w:val="0"/>
              <w:pBdr>
                <w:top w:val="nil"/>
                <w:left w:val="nil"/>
                <w:bottom w:val="nil"/>
                <w:right w:val="nil"/>
                <w:between w:val="nil"/>
              </w:pBdr>
              <w:jc w:val="right"/>
              <w:rPr>
                <w:color w:val="000000"/>
              </w:rPr>
            </w:pPr>
          </w:p>
        </w:tc>
      </w:tr>
      <w:tr w:rsidR="008E5DE4" w14:paraId="247752E1" w14:textId="77777777">
        <w:trPr>
          <w:cantSplit/>
        </w:trPr>
        <w:tc>
          <w:tcPr>
            <w:tcW w:w="6293" w:type="dxa"/>
            <w:vAlign w:val="bottom"/>
          </w:tcPr>
          <w:p w14:paraId="0F6875A4" w14:textId="641F799C" w:rsidR="008E5DE4" w:rsidRDefault="00780368">
            <w:pPr>
              <w:widowControl w:val="0"/>
              <w:pBdr>
                <w:top w:val="nil"/>
                <w:left w:val="nil"/>
                <w:bottom w:val="nil"/>
                <w:right w:val="nil"/>
                <w:between w:val="nil"/>
              </w:pBdr>
              <w:ind w:left="113" w:right="-57" w:hanging="113"/>
              <w:rPr>
                <w:color w:val="000000"/>
              </w:rPr>
            </w:pPr>
            <w:r>
              <w:rPr>
                <w:color w:val="000000"/>
              </w:rPr>
              <w:t>- after 31 December 20</w:t>
            </w:r>
            <w:r w:rsidR="008614F8">
              <w:rPr>
                <w:color w:val="000000"/>
              </w:rPr>
              <w:t>30</w:t>
            </w:r>
          </w:p>
        </w:tc>
        <w:tc>
          <w:tcPr>
            <w:tcW w:w="1531" w:type="dxa"/>
            <w:vAlign w:val="bottom"/>
          </w:tcPr>
          <w:p w14:paraId="3575E00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6206961" w14:textId="77777777" w:rsidR="008E5DE4" w:rsidRDefault="008E5DE4">
            <w:pPr>
              <w:widowControl w:val="0"/>
              <w:pBdr>
                <w:top w:val="nil"/>
                <w:left w:val="nil"/>
                <w:bottom w:val="nil"/>
                <w:right w:val="nil"/>
                <w:between w:val="nil"/>
              </w:pBdr>
              <w:jc w:val="right"/>
              <w:rPr>
                <w:color w:val="000000"/>
              </w:rPr>
            </w:pPr>
          </w:p>
        </w:tc>
      </w:tr>
      <w:tr w:rsidR="008E5DE4" w14:paraId="0815230B" w14:textId="77777777">
        <w:trPr>
          <w:cantSplit/>
        </w:trPr>
        <w:tc>
          <w:tcPr>
            <w:tcW w:w="6293" w:type="dxa"/>
            <w:vAlign w:val="bottom"/>
          </w:tcPr>
          <w:p w14:paraId="10B354C3" w14:textId="77777777" w:rsidR="008E5DE4" w:rsidRDefault="00780368">
            <w:pPr>
              <w:widowControl w:val="0"/>
              <w:pBdr>
                <w:top w:val="nil"/>
                <w:left w:val="nil"/>
                <w:bottom w:val="nil"/>
                <w:right w:val="nil"/>
                <w:between w:val="nil"/>
              </w:pBdr>
              <w:ind w:left="113" w:right="-57" w:hanging="113"/>
              <w:rPr>
                <w:color w:val="000000"/>
              </w:rPr>
            </w:pPr>
            <w:r>
              <w:rPr>
                <w:color w:val="000000"/>
              </w:rPr>
              <w:t>Tax loss carry-forwards with no expiry date</w:t>
            </w:r>
          </w:p>
        </w:tc>
        <w:tc>
          <w:tcPr>
            <w:tcW w:w="1531" w:type="dxa"/>
            <w:vAlign w:val="bottom"/>
          </w:tcPr>
          <w:p w14:paraId="4AC77A3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1A81406" w14:textId="77777777" w:rsidR="008E5DE4" w:rsidRDefault="008E5DE4">
            <w:pPr>
              <w:widowControl w:val="0"/>
              <w:pBdr>
                <w:top w:val="nil"/>
                <w:left w:val="nil"/>
                <w:bottom w:val="nil"/>
                <w:right w:val="nil"/>
                <w:between w:val="nil"/>
              </w:pBdr>
              <w:jc w:val="right"/>
              <w:rPr>
                <w:color w:val="000000"/>
              </w:rPr>
            </w:pPr>
          </w:p>
        </w:tc>
      </w:tr>
      <w:tr w:rsidR="008E5DE4" w14:paraId="6156E48B" w14:textId="77777777">
        <w:trPr>
          <w:cantSplit/>
        </w:trPr>
        <w:tc>
          <w:tcPr>
            <w:tcW w:w="6293" w:type="dxa"/>
            <w:tcBorders>
              <w:bottom w:val="single" w:sz="4" w:space="0" w:color="000000"/>
            </w:tcBorders>
            <w:vAlign w:val="bottom"/>
          </w:tcPr>
          <w:p w14:paraId="2DEE0FF3" w14:textId="77777777" w:rsidR="008E5DE4" w:rsidRDefault="00780368">
            <w:pPr>
              <w:widowControl w:val="0"/>
              <w:ind w:left="113" w:right="-57" w:hanging="113"/>
              <w:rPr>
                <w:sz w:val="16"/>
                <w:szCs w:val="16"/>
              </w:rPr>
            </w:pPr>
            <w:r>
              <w:rPr>
                <w:b/>
                <w:sz w:val="16"/>
                <w:szCs w:val="16"/>
              </w:rPr>
              <w:t> </w:t>
            </w:r>
          </w:p>
        </w:tc>
        <w:tc>
          <w:tcPr>
            <w:tcW w:w="1531" w:type="dxa"/>
            <w:tcBorders>
              <w:bottom w:val="single" w:sz="4" w:space="0" w:color="000000"/>
            </w:tcBorders>
            <w:vAlign w:val="bottom"/>
          </w:tcPr>
          <w:p w14:paraId="20E6A489" w14:textId="77777777" w:rsidR="008E5DE4" w:rsidRDefault="008E5DE4">
            <w:pPr>
              <w:widowControl w:val="0"/>
              <w:pBdr>
                <w:top w:val="nil"/>
                <w:left w:val="nil"/>
                <w:bottom w:val="nil"/>
                <w:right w:val="nil"/>
                <w:between w:val="nil"/>
              </w:pBdr>
              <w:jc w:val="right"/>
              <w:rPr>
                <w:color w:val="000000"/>
                <w:sz w:val="16"/>
                <w:szCs w:val="16"/>
              </w:rPr>
            </w:pPr>
          </w:p>
        </w:tc>
        <w:tc>
          <w:tcPr>
            <w:tcW w:w="1531" w:type="dxa"/>
            <w:tcBorders>
              <w:bottom w:val="single" w:sz="4" w:space="0" w:color="000000"/>
            </w:tcBorders>
            <w:vAlign w:val="bottom"/>
          </w:tcPr>
          <w:p w14:paraId="4B42EBA5" w14:textId="77777777" w:rsidR="008E5DE4" w:rsidRDefault="008E5DE4">
            <w:pPr>
              <w:widowControl w:val="0"/>
              <w:pBdr>
                <w:top w:val="nil"/>
                <w:left w:val="nil"/>
                <w:bottom w:val="nil"/>
                <w:right w:val="nil"/>
                <w:between w:val="nil"/>
              </w:pBdr>
              <w:jc w:val="right"/>
              <w:rPr>
                <w:color w:val="000000"/>
                <w:sz w:val="16"/>
                <w:szCs w:val="16"/>
              </w:rPr>
            </w:pPr>
          </w:p>
        </w:tc>
      </w:tr>
      <w:tr w:rsidR="008E5DE4" w14:paraId="259F23DF" w14:textId="77777777">
        <w:trPr>
          <w:cantSplit/>
        </w:trPr>
        <w:tc>
          <w:tcPr>
            <w:tcW w:w="6293" w:type="dxa"/>
            <w:vAlign w:val="bottom"/>
          </w:tcPr>
          <w:p w14:paraId="5D8A8CE6" w14:textId="77777777" w:rsidR="008E5DE4" w:rsidRDefault="00780368">
            <w:pPr>
              <w:widowControl w:val="0"/>
              <w:ind w:left="113" w:right="-57" w:hanging="113"/>
              <w:rPr>
                <w:sz w:val="16"/>
                <w:szCs w:val="16"/>
              </w:rPr>
            </w:pPr>
            <w:r>
              <w:rPr>
                <w:b/>
                <w:sz w:val="16"/>
                <w:szCs w:val="16"/>
              </w:rPr>
              <w:t> </w:t>
            </w:r>
          </w:p>
        </w:tc>
        <w:tc>
          <w:tcPr>
            <w:tcW w:w="1531" w:type="dxa"/>
            <w:vAlign w:val="bottom"/>
          </w:tcPr>
          <w:p w14:paraId="274C3CAE" w14:textId="77777777" w:rsidR="008E5DE4" w:rsidRDefault="008E5DE4">
            <w:pPr>
              <w:widowControl w:val="0"/>
              <w:jc w:val="right"/>
              <w:rPr>
                <w:b/>
                <w:sz w:val="16"/>
                <w:szCs w:val="16"/>
              </w:rPr>
            </w:pPr>
          </w:p>
        </w:tc>
        <w:tc>
          <w:tcPr>
            <w:tcW w:w="1531" w:type="dxa"/>
            <w:vAlign w:val="bottom"/>
          </w:tcPr>
          <w:p w14:paraId="32C0B2FB" w14:textId="77777777" w:rsidR="008E5DE4" w:rsidRDefault="008E5DE4">
            <w:pPr>
              <w:widowControl w:val="0"/>
              <w:jc w:val="right"/>
              <w:rPr>
                <w:b/>
                <w:sz w:val="16"/>
                <w:szCs w:val="16"/>
              </w:rPr>
            </w:pPr>
          </w:p>
        </w:tc>
      </w:tr>
      <w:tr w:rsidR="008E5DE4" w14:paraId="0D27A6C5" w14:textId="77777777">
        <w:trPr>
          <w:cantSplit/>
        </w:trPr>
        <w:tc>
          <w:tcPr>
            <w:tcW w:w="6293" w:type="dxa"/>
            <w:vAlign w:val="bottom"/>
          </w:tcPr>
          <w:p w14:paraId="652FEFEF"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tax loss </w:t>
            </w:r>
            <w:proofErr w:type="gramStart"/>
            <w:r>
              <w:rPr>
                <w:b/>
                <w:color w:val="000000"/>
              </w:rPr>
              <w:t>carry</w:t>
            </w:r>
            <w:proofErr w:type="gramEnd"/>
            <w:r>
              <w:rPr>
                <w:b/>
                <w:color w:val="000000"/>
              </w:rPr>
              <w:t xml:space="preserve"> forwards </w:t>
            </w:r>
            <w:proofErr w:type="gramStart"/>
            <w:r>
              <w:rPr>
                <w:b/>
                <w:color w:val="000000"/>
              </w:rPr>
              <w:t>at</w:t>
            </w:r>
            <w:proofErr w:type="gramEnd"/>
            <w:r>
              <w:rPr>
                <w:b/>
                <w:color w:val="000000"/>
              </w:rPr>
              <w:t xml:space="preserve"> 31 December</w:t>
            </w:r>
          </w:p>
        </w:tc>
        <w:tc>
          <w:tcPr>
            <w:tcW w:w="1531" w:type="dxa"/>
            <w:vAlign w:val="bottom"/>
          </w:tcPr>
          <w:p w14:paraId="7B14A06D"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15B786C" w14:textId="77777777" w:rsidR="008E5DE4" w:rsidRDefault="008E5DE4">
            <w:pPr>
              <w:widowControl w:val="0"/>
              <w:pBdr>
                <w:top w:val="nil"/>
                <w:left w:val="nil"/>
                <w:bottom w:val="nil"/>
                <w:right w:val="nil"/>
                <w:between w:val="nil"/>
              </w:pBdr>
              <w:jc w:val="right"/>
              <w:rPr>
                <w:b/>
                <w:color w:val="000000"/>
              </w:rPr>
            </w:pPr>
          </w:p>
        </w:tc>
      </w:tr>
      <w:tr w:rsidR="008E5DE4" w14:paraId="3B1D6441" w14:textId="77777777">
        <w:trPr>
          <w:cantSplit/>
        </w:trPr>
        <w:tc>
          <w:tcPr>
            <w:tcW w:w="6293" w:type="dxa"/>
            <w:tcBorders>
              <w:bottom w:val="single" w:sz="12" w:space="0" w:color="000000"/>
            </w:tcBorders>
            <w:vAlign w:val="bottom"/>
          </w:tcPr>
          <w:p w14:paraId="45359DBF" w14:textId="77777777" w:rsidR="008E5DE4" w:rsidRDefault="00780368">
            <w:pPr>
              <w:widowControl w:val="0"/>
              <w:ind w:left="113" w:right="-57" w:hanging="113"/>
              <w:rPr>
                <w:sz w:val="16"/>
                <w:szCs w:val="16"/>
              </w:rPr>
            </w:pPr>
            <w:r>
              <w:rPr>
                <w:b/>
                <w:sz w:val="16"/>
                <w:szCs w:val="16"/>
              </w:rPr>
              <w:t> </w:t>
            </w:r>
          </w:p>
        </w:tc>
        <w:tc>
          <w:tcPr>
            <w:tcW w:w="1531" w:type="dxa"/>
            <w:tcBorders>
              <w:bottom w:val="single" w:sz="12" w:space="0" w:color="000000"/>
            </w:tcBorders>
            <w:vAlign w:val="bottom"/>
          </w:tcPr>
          <w:p w14:paraId="34F17B7C" w14:textId="77777777" w:rsidR="008E5DE4" w:rsidRDefault="008E5DE4">
            <w:pPr>
              <w:widowControl w:val="0"/>
              <w:jc w:val="right"/>
              <w:rPr>
                <w:b/>
                <w:sz w:val="16"/>
                <w:szCs w:val="16"/>
              </w:rPr>
            </w:pPr>
          </w:p>
        </w:tc>
        <w:tc>
          <w:tcPr>
            <w:tcW w:w="1531" w:type="dxa"/>
            <w:tcBorders>
              <w:bottom w:val="single" w:sz="12" w:space="0" w:color="000000"/>
            </w:tcBorders>
            <w:vAlign w:val="bottom"/>
          </w:tcPr>
          <w:p w14:paraId="2F1B0862" w14:textId="77777777" w:rsidR="008E5DE4" w:rsidRDefault="008E5DE4">
            <w:pPr>
              <w:widowControl w:val="0"/>
              <w:jc w:val="right"/>
              <w:rPr>
                <w:b/>
                <w:sz w:val="16"/>
                <w:szCs w:val="16"/>
              </w:rPr>
            </w:pPr>
          </w:p>
        </w:tc>
      </w:tr>
    </w:tbl>
    <w:p w14:paraId="719BE47B" w14:textId="77777777" w:rsidR="008E5DE4" w:rsidRDefault="008E5DE4">
      <w:pPr>
        <w:widowControl w:val="0"/>
        <w:pBdr>
          <w:top w:val="nil"/>
          <w:left w:val="nil"/>
          <w:bottom w:val="nil"/>
          <w:right w:val="nil"/>
          <w:between w:val="nil"/>
        </w:pBdr>
        <w:spacing w:before="200" w:after="200"/>
        <w:jc w:val="both"/>
        <w:rPr>
          <w:color w:val="000000"/>
          <w:sz w:val="20"/>
          <w:szCs w:val="20"/>
        </w:rPr>
      </w:pPr>
    </w:p>
    <w:p w14:paraId="04993ED8"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39</w:t>
      </w:r>
      <w:r>
        <w:rPr>
          <w:b/>
          <w:color w:val="000000"/>
          <w:sz w:val="20"/>
          <w:szCs w:val="20"/>
        </w:rPr>
        <w:tab/>
        <w:t>Income Taxes (Continued)</w:t>
      </w:r>
    </w:p>
    <w:p w14:paraId="2C1131E1" w14:textId="46EBA7E0" w:rsidR="008E5DE4" w:rsidRDefault="00780368">
      <w:pPr>
        <w:widowControl w:val="0"/>
        <w:pBdr>
          <w:top w:val="nil"/>
          <w:left w:val="nil"/>
          <w:bottom w:val="nil"/>
          <w:right w:val="nil"/>
          <w:between w:val="nil"/>
        </w:pBdr>
        <w:spacing w:before="200" w:after="200"/>
        <w:jc w:val="both"/>
        <w:rPr>
          <w:i/>
          <w:color w:val="0000FF"/>
          <w:sz w:val="20"/>
          <w:szCs w:val="20"/>
        </w:rPr>
      </w:pPr>
      <w:r>
        <w:rPr>
          <w:color w:val="000000"/>
          <w:sz w:val="20"/>
          <w:szCs w:val="20"/>
        </w:rPr>
        <w:t>The Group also has unrecognised potential deferred tax assets in respect of deductible temporary differences of EUR _____ thousand (</w:t>
      </w:r>
      <w:r w:rsidR="00E06A92">
        <w:rPr>
          <w:color w:val="000000"/>
          <w:sz w:val="20"/>
          <w:szCs w:val="20"/>
        </w:rPr>
        <w:t>2024</w:t>
      </w:r>
      <w:r>
        <w:rPr>
          <w:color w:val="000000"/>
          <w:sz w:val="20"/>
          <w:szCs w:val="20"/>
        </w:rPr>
        <w:t>: EUR _____ thousand).</w:t>
      </w:r>
      <w:r>
        <w:rPr>
          <w:i/>
          <w:color w:val="FF0000"/>
          <w:sz w:val="20"/>
          <w:szCs w:val="20"/>
        </w:rPr>
        <w:t xml:space="preserve">  </w:t>
      </w:r>
    </w:p>
    <w:p w14:paraId="2AB360FA" w14:textId="77777777" w:rsidR="008E5DE4" w:rsidRDefault="00780368">
      <w:pPr>
        <w:widowControl w:val="0"/>
        <w:numPr>
          <w:ilvl w:val="0"/>
          <w:numId w:val="21"/>
        </w:numPr>
        <w:pBdr>
          <w:top w:val="nil"/>
          <w:left w:val="nil"/>
          <w:bottom w:val="nil"/>
          <w:right w:val="nil"/>
          <w:between w:val="nil"/>
        </w:pBdr>
        <w:spacing w:before="200" w:after="200"/>
        <w:ind w:left="0" w:firstLine="0"/>
        <w:jc w:val="both"/>
        <w:rPr>
          <w:b/>
          <w:i/>
          <w:color w:val="000000"/>
          <w:sz w:val="20"/>
          <w:szCs w:val="20"/>
        </w:rPr>
      </w:pPr>
      <w:r>
        <w:rPr>
          <w:b/>
          <w:i/>
          <w:color w:val="000000"/>
          <w:sz w:val="20"/>
          <w:szCs w:val="20"/>
        </w:rPr>
        <w:t xml:space="preserve">Deferred taxes in respect of subsidiaries </w:t>
      </w:r>
      <w:r>
        <w:rPr>
          <w:b/>
          <w:i/>
          <w:color w:val="0000FF"/>
          <w:sz w:val="20"/>
          <w:szCs w:val="20"/>
        </w:rPr>
        <w:t>[, joint ventures, associates and branches]</w:t>
      </w:r>
    </w:p>
    <w:p w14:paraId="3E9C214D" w14:textId="5F55FA83"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has not recorded a deferred tax liability in respect of temporary differences of EUR _____ thousand (</w:t>
      </w:r>
      <w:r w:rsidR="00E06A92">
        <w:rPr>
          <w:color w:val="000000"/>
          <w:sz w:val="20"/>
          <w:szCs w:val="20"/>
        </w:rPr>
        <w:t>2024</w:t>
      </w:r>
      <w:r>
        <w:rPr>
          <w:color w:val="000000"/>
          <w:sz w:val="20"/>
          <w:szCs w:val="20"/>
        </w:rPr>
        <w:t xml:space="preserve">: EUR _____ thousand) associated with </w:t>
      </w:r>
      <w:r w:rsidRPr="00FA3B9A">
        <w:rPr>
          <w:sz w:val="20"/>
          <w:szCs w:val="20"/>
        </w:rPr>
        <w:t xml:space="preserve">investments in subsidiaries </w:t>
      </w:r>
      <w:r>
        <w:rPr>
          <w:color w:val="0000FF"/>
          <w:sz w:val="20"/>
          <w:szCs w:val="20"/>
        </w:rPr>
        <w:t xml:space="preserve">[associates and joint ventures] </w:t>
      </w:r>
      <w:r>
        <w:rPr>
          <w:color w:val="000000"/>
          <w:sz w:val="20"/>
          <w:szCs w:val="20"/>
        </w:rPr>
        <w:t>as the Group is able to control the timing of the reversal of those temporary differences and does not intend to reverse them in the foreseeable future.</w:t>
      </w:r>
    </w:p>
    <w:p w14:paraId="06B64F95" w14:textId="77777777"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[Management has performed an analysis of the dividend policies at the Group’s associates and joint ventures with regards to the Group’s potential deferred tax liabilities where the Group does not control reversal of the temporary difference or expects the reversal to occur in the foreseeable future. For [list of associates and JVs], management expects that the carrying value of the investments would be recovered primarily through a sale and partially through dividends. No deferred taxes related to a future sale are recognised in respect of [list associates and JVs] because any sale would occur in a </w:t>
      </w:r>
      <w:proofErr w:type="gramStart"/>
      <w:r>
        <w:rPr>
          <w:color w:val="0000FF"/>
          <w:sz w:val="20"/>
          <w:szCs w:val="20"/>
        </w:rPr>
        <w:t>tax free</w:t>
      </w:r>
      <w:proofErr w:type="gramEnd"/>
      <w:r>
        <w:rPr>
          <w:color w:val="0000FF"/>
          <w:sz w:val="20"/>
          <w:szCs w:val="20"/>
        </w:rPr>
        <w:t xml:space="preserve"> jurisdiction. Deferred taxes related to a future sale are recognised in respect of [list associates and JVs] because these are held through subsidiaries in taxable jurisdictions, [Ukraine and [Country].]</w:t>
      </w:r>
    </w:p>
    <w:p w14:paraId="1B17BAFB"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Controlled Foreign Company (CFC) legislation introduced </w:t>
      </w:r>
      <w:r>
        <w:rPr>
          <w:color w:val="0000FF"/>
          <w:sz w:val="20"/>
          <w:szCs w:val="20"/>
        </w:rPr>
        <w:t>[Country]</w:t>
      </w:r>
      <w:r>
        <w:rPr>
          <w:color w:val="000000"/>
          <w:sz w:val="20"/>
          <w:szCs w:val="20"/>
        </w:rPr>
        <w:t xml:space="preserve"> taxation of profits of foreign companies and non-corporate structures (including trusts) controlled by </w:t>
      </w:r>
      <w:r>
        <w:rPr>
          <w:color w:val="0000FF"/>
          <w:sz w:val="20"/>
          <w:szCs w:val="20"/>
        </w:rPr>
        <w:t>[Country]</w:t>
      </w:r>
      <w:r>
        <w:rPr>
          <w:color w:val="000000"/>
          <w:sz w:val="20"/>
          <w:szCs w:val="20"/>
        </w:rPr>
        <w:t xml:space="preserve"> tax residents (controlling parties). The CFC income is subject to a 20% tax rate. As a result, management reassessed the Group’s tax positions and recognised additional current tax expense as well as deferred taxes for temporary differences that arise from the expected taxable manner of recovery of the relevant Group’s operations to which the CFC legislation applies to and to the extent that the Group (rather than its owners) is obliged to settle such taxes.</w:t>
      </w:r>
    </w:p>
    <w:p w14:paraId="09AB89CB" w14:textId="77777777" w:rsidR="008E5DE4" w:rsidRDefault="00780368">
      <w:pPr>
        <w:widowControl w:val="0"/>
        <w:numPr>
          <w:ilvl w:val="0"/>
          <w:numId w:val="21"/>
        </w:numPr>
        <w:pBdr>
          <w:top w:val="nil"/>
          <w:left w:val="nil"/>
          <w:bottom w:val="nil"/>
          <w:right w:val="nil"/>
          <w:between w:val="nil"/>
        </w:pBdr>
        <w:spacing w:before="200" w:after="200" w:line="228" w:lineRule="auto"/>
        <w:ind w:left="0" w:firstLine="0"/>
        <w:jc w:val="both"/>
        <w:rPr>
          <w:b/>
          <w:i/>
          <w:color w:val="000000"/>
          <w:sz w:val="20"/>
          <w:szCs w:val="20"/>
        </w:rPr>
      </w:pPr>
      <w:r>
        <w:rPr>
          <w:b/>
          <w:i/>
          <w:color w:val="000000"/>
          <w:sz w:val="20"/>
          <w:szCs w:val="20"/>
        </w:rPr>
        <w:t>Uncertain income tax positions</w:t>
      </w:r>
    </w:p>
    <w:p w14:paraId="14D1F8D4" w14:textId="52D5E43B"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b/>
          <w:i/>
          <w:color w:val="000000"/>
          <w:sz w:val="20"/>
          <w:szCs w:val="20"/>
        </w:rPr>
        <w:t xml:space="preserve">Uncertain income tax positions. </w:t>
      </w:r>
      <w:r>
        <w:rPr>
          <w:color w:val="000000"/>
          <w:sz w:val="20"/>
          <w:szCs w:val="20"/>
        </w:rPr>
        <w:t xml:space="preserve">Current income tax liabilities include EUR ____ thousand in respect of uncertainties relating to tax deductions taken for </w:t>
      </w:r>
      <w:r>
        <w:rPr>
          <w:color w:val="0000FF"/>
          <w:sz w:val="20"/>
          <w:szCs w:val="20"/>
        </w:rPr>
        <w:t>[describe type of expenses]</w:t>
      </w:r>
      <w:r>
        <w:rPr>
          <w:color w:val="000000"/>
          <w:sz w:val="20"/>
          <w:szCs w:val="20"/>
        </w:rPr>
        <w:t xml:space="preserve">. Management estimates that these exposures are more likely than not to require settlement if challenged by the tax authorities. Related penalties and interest are accrued and disclosed in Note 36 as operating expenses. The balance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is expected to be either fully utilised or released when the inspection rights of the tax authorities with respect to the relevant tax returns expire, as follows: EUR ____ thousand by the end of 202</w:t>
      </w:r>
      <w:r w:rsidR="008614F8">
        <w:rPr>
          <w:color w:val="000000"/>
          <w:sz w:val="20"/>
          <w:szCs w:val="20"/>
        </w:rPr>
        <w:t>6</w:t>
      </w:r>
      <w:r>
        <w:rPr>
          <w:color w:val="000000"/>
          <w:sz w:val="20"/>
          <w:szCs w:val="20"/>
        </w:rPr>
        <w:t>, EUR ____ thousand by the end of 202</w:t>
      </w:r>
      <w:r w:rsidR="008614F8">
        <w:rPr>
          <w:color w:val="000000"/>
          <w:sz w:val="20"/>
          <w:szCs w:val="20"/>
        </w:rPr>
        <w:t>7</w:t>
      </w:r>
      <w:r>
        <w:rPr>
          <w:color w:val="000000"/>
          <w:sz w:val="20"/>
          <w:szCs w:val="20"/>
        </w:rPr>
        <w:t xml:space="preserve"> and EUR _____ thousand by the end of 202</w:t>
      </w:r>
      <w:r w:rsidR="008614F8">
        <w:rPr>
          <w:color w:val="000000"/>
          <w:sz w:val="20"/>
          <w:szCs w:val="20"/>
        </w:rPr>
        <w:t>8</w:t>
      </w:r>
      <w:r>
        <w:rPr>
          <w:color w:val="000000"/>
          <w:sz w:val="20"/>
          <w:szCs w:val="20"/>
        </w:rPr>
        <w:t>.</w:t>
      </w:r>
    </w:p>
    <w:p w14:paraId="5643ACD0"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39</w:t>
      </w:r>
      <w:r>
        <w:rPr>
          <w:b/>
          <w:color w:val="000000"/>
          <w:sz w:val="20"/>
          <w:szCs w:val="20"/>
        </w:rPr>
        <w:tab/>
        <w:t>Income Taxes (Continued)</w:t>
      </w:r>
    </w:p>
    <w:p w14:paraId="7D49928F" w14:textId="77777777" w:rsidR="008E5DE4" w:rsidRDefault="00780368">
      <w:pPr>
        <w:widowControl w:val="0"/>
        <w:pBdr>
          <w:top w:val="nil"/>
          <w:left w:val="nil"/>
          <w:bottom w:val="nil"/>
          <w:right w:val="nil"/>
          <w:between w:val="nil"/>
        </w:pBdr>
        <w:spacing w:before="200" w:after="200" w:line="228" w:lineRule="auto"/>
        <w:jc w:val="both"/>
        <w:rPr>
          <w:b/>
          <w:i/>
          <w:color w:val="000000"/>
          <w:sz w:val="20"/>
          <w:szCs w:val="20"/>
        </w:rPr>
      </w:pPr>
      <w:r>
        <w:rPr>
          <w:b/>
          <w:i/>
          <w:color w:val="000000"/>
          <w:sz w:val="20"/>
          <w:szCs w:val="20"/>
        </w:rPr>
        <w:t xml:space="preserve">(f) </w:t>
      </w:r>
      <w:r>
        <w:rPr>
          <w:b/>
          <w:i/>
          <w:color w:val="000000"/>
          <w:sz w:val="20"/>
          <w:szCs w:val="20"/>
        </w:rPr>
        <w:tab/>
        <w:t>Deferred taxes analysed by type of temporary difference</w:t>
      </w:r>
    </w:p>
    <w:p w14:paraId="0A88607A" w14:textId="77777777"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Differences between IFRS</w:t>
      </w:r>
      <w:r>
        <w:rPr>
          <w:color w:val="000000"/>
        </w:rPr>
        <w:t xml:space="preserve"> </w:t>
      </w:r>
      <w:r>
        <w:rPr>
          <w:color w:val="000000"/>
          <w:sz w:val="20"/>
          <w:szCs w:val="20"/>
        </w:rPr>
        <w:t xml:space="preserve">Accounting Standards and statutory taxation regulations in </w:t>
      </w:r>
      <w:r>
        <w:rPr>
          <w:color w:val="0000FF"/>
          <w:sz w:val="20"/>
          <w:szCs w:val="20"/>
        </w:rPr>
        <w:t>[Country]</w:t>
      </w:r>
      <w:r>
        <w:rPr>
          <w:color w:val="000000"/>
          <w:sz w:val="20"/>
          <w:szCs w:val="20"/>
        </w:rPr>
        <w:t xml:space="preserve"> </w:t>
      </w:r>
      <w:r>
        <w:rPr>
          <w:color w:val="0000FF"/>
          <w:sz w:val="20"/>
          <w:szCs w:val="20"/>
        </w:rPr>
        <w:t xml:space="preserve">[and other countries] </w:t>
      </w:r>
      <w:r>
        <w:rPr>
          <w:color w:val="000000"/>
          <w:sz w:val="20"/>
          <w:szCs w:val="20"/>
        </w:rPr>
        <w:t>give rise to temporary differences between the carrying amount of assets and liabilities for financial reporting purposes and their tax bases. The tax effect of the movements in these temporary differences is detailed below.</w:t>
      </w:r>
    </w:p>
    <w:tbl>
      <w:tblPr>
        <w:tblStyle w:val="afffffffffff4"/>
        <w:tblW w:w="9072" w:type="dxa"/>
        <w:tblLayout w:type="fixed"/>
        <w:tblLook w:val="0000" w:firstRow="0" w:lastRow="0" w:firstColumn="0" w:lastColumn="0" w:noHBand="0" w:noVBand="0"/>
      </w:tblPr>
      <w:tblGrid>
        <w:gridCol w:w="2977"/>
        <w:gridCol w:w="907"/>
        <w:gridCol w:w="936"/>
        <w:gridCol w:w="850"/>
        <w:gridCol w:w="907"/>
        <w:gridCol w:w="738"/>
        <w:gridCol w:w="850"/>
        <w:gridCol w:w="907"/>
      </w:tblGrid>
      <w:tr w:rsidR="008E5DE4" w14:paraId="1F94D022" w14:textId="77777777">
        <w:trPr>
          <w:cantSplit/>
        </w:trPr>
        <w:tc>
          <w:tcPr>
            <w:tcW w:w="2977" w:type="dxa"/>
            <w:tcBorders>
              <w:bottom w:val="single" w:sz="4" w:space="0" w:color="000000"/>
            </w:tcBorders>
            <w:vAlign w:val="bottom"/>
          </w:tcPr>
          <w:p w14:paraId="2CE9EAC8" w14:textId="77777777" w:rsidR="008E5DE4" w:rsidRDefault="00780368">
            <w:pPr>
              <w:widowControl w:val="0"/>
              <w:pBdr>
                <w:top w:val="nil"/>
                <w:left w:val="nil"/>
                <w:bottom w:val="nil"/>
                <w:right w:val="nil"/>
                <w:between w:val="nil"/>
              </w:pBdr>
              <w:spacing w:line="228" w:lineRule="auto"/>
              <w:ind w:left="113" w:right="-57" w:hanging="113"/>
              <w:rPr>
                <w:b/>
                <w:i/>
                <w:color w:val="000000"/>
                <w:sz w:val="16"/>
                <w:szCs w:val="16"/>
              </w:rPr>
            </w:pPr>
            <w:r>
              <w:rPr>
                <w:i/>
                <w:color w:val="000000"/>
                <w:sz w:val="16"/>
                <w:szCs w:val="16"/>
              </w:rPr>
              <w:t>In thousands of EUR</w:t>
            </w:r>
          </w:p>
        </w:tc>
        <w:tc>
          <w:tcPr>
            <w:tcW w:w="907" w:type="dxa"/>
            <w:tcBorders>
              <w:bottom w:val="single" w:sz="4" w:space="0" w:color="000000"/>
            </w:tcBorders>
          </w:tcPr>
          <w:p w14:paraId="24E0D8EB"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 xml:space="preserve">1 January </w:t>
            </w:r>
          </w:p>
          <w:p w14:paraId="60EE762D" w14:textId="3B6E29FD" w:rsidR="008E5DE4" w:rsidRDefault="008614F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2025</w:t>
            </w:r>
            <w:r w:rsidR="00780368">
              <w:rPr>
                <w:b/>
                <w:color w:val="000000"/>
                <w:sz w:val="16"/>
                <w:szCs w:val="16"/>
              </w:rPr>
              <w:t xml:space="preserve"> </w:t>
            </w:r>
          </w:p>
        </w:tc>
        <w:tc>
          <w:tcPr>
            <w:tcW w:w="936" w:type="dxa"/>
            <w:tcBorders>
              <w:bottom w:val="single" w:sz="4" w:space="0" w:color="000000"/>
            </w:tcBorders>
          </w:tcPr>
          <w:p w14:paraId="37388F23"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 xml:space="preserve">Business </w:t>
            </w:r>
            <w:proofErr w:type="spellStart"/>
            <w:r>
              <w:rPr>
                <w:b/>
                <w:color w:val="000000"/>
                <w:sz w:val="16"/>
                <w:szCs w:val="16"/>
              </w:rPr>
              <w:t>combina-tions</w:t>
            </w:r>
            <w:proofErr w:type="spellEnd"/>
          </w:p>
        </w:tc>
        <w:tc>
          <w:tcPr>
            <w:tcW w:w="850" w:type="dxa"/>
            <w:tcBorders>
              <w:bottom w:val="single" w:sz="4" w:space="0" w:color="000000"/>
            </w:tcBorders>
          </w:tcPr>
          <w:p w14:paraId="0FD8160C" w14:textId="77777777" w:rsidR="008E5DE4" w:rsidRDefault="00780368">
            <w:pPr>
              <w:widowControl w:val="0"/>
              <w:pBdr>
                <w:top w:val="nil"/>
                <w:left w:val="nil"/>
                <w:bottom w:val="nil"/>
                <w:right w:val="nil"/>
                <w:between w:val="nil"/>
              </w:pBdr>
              <w:tabs>
                <w:tab w:val="right" w:pos="8782"/>
              </w:tabs>
              <w:spacing w:line="228" w:lineRule="auto"/>
              <w:ind w:left="-113"/>
              <w:jc w:val="right"/>
              <w:rPr>
                <w:b/>
                <w:color w:val="000000"/>
                <w:sz w:val="16"/>
                <w:szCs w:val="16"/>
              </w:rPr>
            </w:pPr>
            <w:r>
              <w:rPr>
                <w:b/>
                <w:color w:val="000000"/>
                <w:sz w:val="16"/>
                <w:szCs w:val="16"/>
              </w:rPr>
              <w:t>Transfer to non-current held for sale</w:t>
            </w:r>
          </w:p>
        </w:tc>
        <w:tc>
          <w:tcPr>
            <w:tcW w:w="907" w:type="dxa"/>
            <w:tcBorders>
              <w:bottom w:val="single" w:sz="4" w:space="0" w:color="000000"/>
            </w:tcBorders>
          </w:tcPr>
          <w:p w14:paraId="6FD28626"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Charged/ (credited) to profit or loss</w:t>
            </w:r>
          </w:p>
        </w:tc>
        <w:tc>
          <w:tcPr>
            <w:tcW w:w="738" w:type="dxa"/>
            <w:tcBorders>
              <w:bottom w:val="single" w:sz="4" w:space="0" w:color="000000"/>
            </w:tcBorders>
          </w:tcPr>
          <w:p w14:paraId="7A715E0E"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 xml:space="preserve">Charged / (credited) directly to other </w:t>
            </w:r>
            <w:proofErr w:type="spellStart"/>
            <w:r>
              <w:rPr>
                <w:b/>
                <w:color w:val="000000"/>
                <w:sz w:val="16"/>
                <w:szCs w:val="16"/>
              </w:rPr>
              <w:t>compre-hensive</w:t>
            </w:r>
            <w:proofErr w:type="spellEnd"/>
            <w:r>
              <w:rPr>
                <w:b/>
                <w:color w:val="000000"/>
                <w:sz w:val="16"/>
                <w:szCs w:val="16"/>
              </w:rPr>
              <w:t xml:space="preserve"> income</w:t>
            </w:r>
          </w:p>
        </w:tc>
        <w:tc>
          <w:tcPr>
            <w:tcW w:w="850" w:type="dxa"/>
            <w:tcBorders>
              <w:bottom w:val="single" w:sz="4" w:space="0" w:color="000000"/>
            </w:tcBorders>
          </w:tcPr>
          <w:p w14:paraId="6A3241D5"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Charged / (credited) directly to equity</w:t>
            </w:r>
          </w:p>
        </w:tc>
        <w:tc>
          <w:tcPr>
            <w:tcW w:w="907" w:type="dxa"/>
            <w:tcBorders>
              <w:bottom w:val="single" w:sz="4" w:space="0" w:color="000000"/>
            </w:tcBorders>
          </w:tcPr>
          <w:p w14:paraId="2514873C" w14:textId="1821F884"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 xml:space="preserve">31 Dec </w:t>
            </w:r>
            <w:r w:rsidR="008614F8">
              <w:rPr>
                <w:b/>
                <w:color w:val="000000"/>
                <w:sz w:val="16"/>
                <w:szCs w:val="16"/>
              </w:rPr>
              <w:t>2025</w:t>
            </w:r>
          </w:p>
        </w:tc>
      </w:tr>
      <w:tr w:rsidR="008E5DE4" w14:paraId="31F6BFBF" w14:textId="77777777">
        <w:trPr>
          <w:cantSplit/>
        </w:trPr>
        <w:tc>
          <w:tcPr>
            <w:tcW w:w="2977" w:type="dxa"/>
            <w:vAlign w:val="bottom"/>
          </w:tcPr>
          <w:p w14:paraId="2B0158D5" w14:textId="77777777" w:rsidR="008E5DE4" w:rsidRDefault="00780368">
            <w:pPr>
              <w:widowControl w:val="0"/>
              <w:spacing w:line="228" w:lineRule="auto"/>
              <w:ind w:left="113" w:right="-57" w:hanging="113"/>
              <w:rPr>
                <w:sz w:val="16"/>
                <w:szCs w:val="16"/>
              </w:rPr>
            </w:pPr>
            <w:r>
              <w:rPr>
                <w:b/>
                <w:sz w:val="16"/>
                <w:szCs w:val="16"/>
              </w:rPr>
              <w:t> </w:t>
            </w:r>
          </w:p>
        </w:tc>
        <w:tc>
          <w:tcPr>
            <w:tcW w:w="907" w:type="dxa"/>
            <w:vAlign w:val="bottom"/>
          </w:tcPr>
          <w:p w14:paraId="6DB9AAD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06DC9EB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58C11EB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03C3CBE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09719DE8"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66C389F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7690F43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159A675D" w14:textId="77777777">
        <w:trPr>
          <w:cantSplit/>
        </w:trPr>
        <w:tc>
          <w:tcPr>
            <w:tcW w:w="2977" w:type="dxa"/>
            <w:vAlign w:val="bottom"/>
          </w:tcPr>
          <w:p w14:paraId="6226D854" w14:textId="77777777" w:rsidR="008E5DE4" w:rsidRDefault="00780368">
            <w:pPr>
              <w:widowControl w:val="0"/>
              <w:pBdr>
                <w:top w:val="nil"/>
                <w:left w:val="nil"/>
                <w:bottom w:val="nil"/>
                <w:right w:val="nil"/>
                <w:between w:val="nil"/>
              </w:pBdr>
              <w:spacing w:line="228" w:lineRule="auto"/>
              <w:ind w:left="113" w:right="-57" w:hanging="113"/>
              <w:rPr>
                <w:b/>
                <w:color w:val="000000"/>
                <w:sz w:val="16"/>
                <w:szCs w:val="16"/>
              </w:rPr>
            </w:pPr>
            <w:r>
              <w:rPr>
                <w:b/>
                <w:color w:val="000000"/>
                <w:sz w:val="16"/>
                <w:szCs w:val="16"/>
              </w:rPr>
              <w:t xml:space="preserve">Tax effect of deductible/(taxable) temporary differences </w:t>
            </w:r>
            <w:r>
              <w:rPr>
                <w:b/>
                <w:color w:val="0000FF"/>
                <w:sz w:val="16"/>
                <w:szCs w:val="16"/>
              </w:rPr>
              <w:t>[and tax loss carry forwards]</w:t>
            </w:r>
          </w:p>
        </w:tc>
        <w:tc>
          <w:tcPr>
            <w:tcW w:w="907" w:type="dxa"/>
            <w:vAlign w:val="bottom"/>
          </w:tcPr>
          <w:p w14:paraId="0745F57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vAlign w:val="bottom"/>
          </w:tcPr>
          <w:p w14:paraId="21E6C61A"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2D4A8E31"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203DB0DD"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vAlign w:val="bottom"/>
          </w:tcPr>
          <w:p w14:paraId="79B6D790"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7678A1E0"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0CE7043E"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704C932A" w14:textId="77777777">
        <w:trPr>
          <w:cantSplit/>
        </w:trPr>
        <w:tc>
          <w:tcPr>
            <w:tcW w:w="2977" w:type="dxa"/>
            <w:vAlign w:val="bottom"/>
          </w:tcPr>
          <w:p w14:paraId="5F7C0E09"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Difference between tax and accounting value of Property, plant and equipment (revaluation, different tax depreciation)</w:t>
            </w:r>
          </w:p>
        </w:tc>
        <w:tc>
          <w:tcPr>
            <w:tcW w:w="907" w:type="dxa"/>
            <w:vAlign w:val="bottom"/>
          </w:tcPr>
          <w:p w14:paraId="3533526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0CECF8D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7A11EA4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1C56624B"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3905945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26179C5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72D4FF2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35DA216F" w14:textId="77777777">
        <w:trPr>
          <w:cantSplit/>
        </w:trPr>
        <w:tc>
          <w:tcPr>
            <w:tcW w:w="2977" w:type="dxa"/>
            <w:vAlign w:val="bottom"/>
          </w:tcPr>
          <w:p w14:paraId="44B6ADF7"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Net impairment losses on financial and contract assets</w:t>
            </w:r>
          </w:p>
        </w:tc>
        <w:tc>
          <w:tcPr>
            <w:tcW w:w="907" w:type="dxa"/>
            <w:vAlign w:val="bottom"/>
          </w:tcPr>
          <w:p w14:paraId="2F3CB26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4693D7F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30D085A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4AA3511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766AFD3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01818F6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6267740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291DAB8C" w14:textId="77777777">
        <w:trPr>
          <w:cantSplit/>
        </w:trPr>
        <w:tc>
          <w:tcPr>
            <w:tcW w:w="2977" w:type="dxa"/>
            <w:vAlign w:val="bottom"/>
          </w:tcPr>
          <w:p w14:paraId="0C4160D1"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Accounts payable tax deductible in different period</w:t>
            </w:r>
          </w:p>
        </w:tc>
        <w:tc>
          <w:tcPr>
            <w:tcW w:w="907" w:type="dxa"/>
            <w:vAlign w:val="bottom"/>
          </w:tcPr>
          <w:p w14:paraId="432BDBF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04A2426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5FD9978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3996B51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65AD084B"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3A240B2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13CC8BD8"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5D0993C2" w14:textId="77777777">
        <w:trPr>
          <w:cantSplit/>
        </w:trPr>
        <w:tc>
          <w:tcPr>
            <w:tcW w:w="2977" w:type="dxa"/>
            <w:vAlign w:val="bottom"/>
          </w:tcPr>
          <w:p w14:paraId="724AD7AC"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Accruals tax deductible in different period</w:t>
            </w:r>
          </w:p>
        </w:tc>
        <w:tc>
          <w:tcPr>
            <w:tcW w:w="907" w:type="dxa"/>
            <w:vAlign w:val="bottom"/>
          </w:tcPr>
          <w:p w14:paraId="3C40DC1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1F47585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0F13AA4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0077A4D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08FB46B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2AD48AF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36E3D25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11A973D2" w14:textId="77777777">
        <w:trPr>
          <w:cantSplit/>
        </w:trPr>
        <w:tc>
          <w:tcPr>
            <w:tcW w:w="2977" w:type="dxa"/>
            <w:vAlign w:val="bottom"/>
          </w:tcPr>
          <w:p w14:paraId="53765F87"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Provisions for liabilities and charges</w:t>
            </w:r>
          </w:p>
        </w:tc>
        <w:tc>
          <w:tcPr>
            <w:tcW w:w="907" w:type="dxa"/>
            <w:vAlign w:val="bottom"/>
          </w:tcPr>
          <w:p w14:paraId="7F3BA70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2E8330A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79EE353B"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427D0BF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52412CE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29641413"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7F62F04B"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3403D21C" w14:textId="77777777">
        <w:trPr>
          <w:cantSplit/>
        </w:trPr>
        <w:tc>
          <w:tcPr>
            <w:tcW w:w="2977" w:type="dxa"/>
            <w:vAlign w:val="bottom"/>
          </w:tcPr>
          <w:p w14:paraId="2CCCFB75"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Write-down of Inventories</w:t>
            </w:r>
          </w:p>
        </w:tc>
        <w:tc>
          <w:tcPr>
            <w:tcW w:w="907" w:type="dxa"/>
            <w:vAlign w:val="bottom"/>
          </w:tcPr>
          <w:p w14:paraId="4ED78BD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3E1DD81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19F770F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44B4F38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6CEEF59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26510F4E"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0EC4EEA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308F661A" w14:textId="77777777">
        <w:trPr>
          <w:cantSplit/>
        </w:trPr>
        <w:tc>
          <w:tcPr>
            <w:tcW w:w="2977" w:type="dxa"/>
            <w:vAlign w:val="bottom"/>
          </w:tcPr>
          <w:p w14:paraId="11A04F6C"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 xml:space="preserve">Borrowings </w:t>
            </w:r>
          </w:p>
        </w:tc>
        <w:tc>
          <w:tcPr>
            <w:tcW w:w="907" w:type="dxa"/>
            <w:vAlign w:val="bottom"/>
          </w:tcPr>
          <w:p w14:paraId="4E138E2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5F40E5D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57BEAFD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496BB3A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43D8CA0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6ECAD0F2"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75BEB76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24E7D1CB" w14:textId="77777777">
        <w:trPr>
          <w:cantSplit/>
        </w:trPr>
        <w:tc>
          <w:tcPr>
            <w:tcW w:w="2977" w:type="dxa"/>
            <w:vAlign w:val="bottom"/>
          </w:tcPr>
          <w:p w14:paraId="084CD262"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Lease liabilities</w:t>
            </w:r>
          </w:p>
        </w:tc>
        <w:tc>
          <w:tcPr>
            <w:tcW w:w="907" w:type="dxa"/>
            <w:vAlign w:val="bottom"/>
          </w:tcPr>
          <w:p w14:paraId="062FB26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6EDBC0C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7F7E93C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35F97B63"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3EFF634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66914EB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6F86E40E"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50AE0C4F" w14:textId="77777777">
        <w:trPr>
          <w:cantSplit/>
        </w:trPr>
        <w:tc>
          <w:tcPr>
            <w:tcW w:w="2977" w:type="dxa"/>
            <w:vAlign w:val="bottom"/>
          </w:tcPr>
          <w:p w14:paraId="6C681104"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Fair valuation of securities at FVTPL</w:t>
            </w:r>
          </w:p>
        </w:tc>
        <w:tc>
          <w:tcPr>
            <w:tcW w:w="907" w:type="dxa"/>
            <w:vAlign w:val="bottom"/>
          </w:tcPr>
          <w:p w14:paraId="6F61B01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11ADB3C8"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4FD6CD82"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7E96C37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78D6E61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674592B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731A3D4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7669C2E8" w14:textId="77777777">
        <w:trPr>
          <w:cantSplit/>
        </w:trPr>
        <w:tc>
          <w:tcPr>
            <w:tcW w:w="2977" w:type="dxa"/>
            <w:vAlign w:val="bottom"/>
          </w:tcPr>
          <w:p w14:paraId="401B1707"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Fair valuation of Investment properties</w:t>
            </w:r>
          </w:p>
        </w:tc>
        <w:tc>
          <w:tcPr>
            <w:tcW w:w="907" w:type="dxa"/>
            <w:vAlign w:val="bottom"/>
          </w:tcPr>
          <w:p w14:paraId="6A4F49B2"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7ECB2FE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53FA26A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3EAAD90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3B547FA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33B2775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60995BF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21193387" w14:textId="77777777">
        <w:trPr>
          <w:cantSplit/>
        </w:trPr>
        <w:tc>
          <w:tcPr>
            <w:tcW w:w="2977" w:type="dxa"/>
            <w:vAlign w:val="bottom"/>
          </w:tcPr>
          <w:p w14:paraId="5267369E"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Right-of-use assets</w:t>
            </w:r>
          </w:p>
        </w:tc>
        <w:tc>
          <w:tcPr>
            <w:tcW w:w="907" w:type="dxa"/>
            <w:vAlign w:val="bottom"/>
          </w:tcPr>
          <w:p w14:paraId="5CA71A72"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11AE797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6D764283"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6CE2809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486C1B5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7662980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3F6F04D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0A30A843" w14:textId="77777777">
        <w:trPr>
          <w:cantSplit/>
        </w:trPr>
        <w:tc>
          <w:tcPr>
            <w:tcW w:w="2977" w:type="dxa"/>
            <w:vAlign w:val="bottom"/>
          </w:tcPr>
          <w:p w14:paraId="5EDA74D8"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Fair valuation of securities at FVOCI</w:t>
            </w:r>
          </w:p>
        </w:tc>
        <w:tc>
          <w:tcPr>
            <w:tcW w:w="907" w:type="dxa"/>
            <w:vAlign w:val="bottom"/>
          </w:tcPr>
          <w:p w14:paraId="7DC1622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7EDF4A48"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57319D5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256F310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35B8F2D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13493AB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7B5F183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2A415C4F" w14:textId="77777777">
        <w:trPr>
          <w:cantSplit/>
        </w:trPr>
        <w:tc>
          <w:tcPr>
            <w:tcW w:w="2977" w:type="dxa"/>
            <w:vAlign w:val="bottom"/>
          </w:tcPr>
          <w:p w14:paraId="07B3C153"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Other</w:t>
            </w:r>
          </w:p>
        </w:tc>
        <w:tc>
          <w:tcPr>
            <w:tcW w:w="907" w:type="dxa"/>
            <w:vAlign w:val="bottom"/>
          </w:tcPr>
          <w:p w14:paraId="160C3C5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36" w:type="dxa"/>
            <w:vAlign w:val="bottom"/>
          </w:tcPr>
          <w:p w14:paraId="6E74598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009B948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6B9D6B2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738" w:type="dxa"/>
            <w:vAlign w:val="bottom"/>
          </w:tcPr>
          <w:p w14:paraId="1125E51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850" w:type="dxa"/>
            <w:vAlign w:val="bottom"/>
          </w:tcPr>
          <w:p w14:paraId="75D32BE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907" w:type="dxa"/>
            <w:vAlign w:val="bottom"/>
          </w:tcPr>
          <w:p w14:paraId="41490B4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682B8A98" w14:textId="77777777">
        <w:trPr>
          <w:cantSplit/>
        </w:trPr>
        <w:tc>
          <w:tcPr>
            <w:tcW w:w="2977" w:type="dxa"/>
            <w:tcBorders>
              <w:bottom w:val="single" w:sz="4" w:space="0" w:color="000000"/>
            </w:tcBorders>
            <w:vAlign w:val="bottom"/>
          </w:tcPr>
          <w:p w14:paraId="60944FA6" w14:textId="77777777" w:rsidR="008E5DE4" w:rsidRDefault="00780368">
            <w:pPr>
              <w:widowControl w:val="0"/>
              <w:pBdr>
                <w:top w:val="nil"/>
                <w:left w:val="nil"/>
                <w:bottom w:val="nil"/>
                <w:right w:val="nil"/>
                <w:between w:val="nil"/>
              </w:pBdr>
              <w:spacing w:line="228" w:lineRule="auto"/>
              <w:ind w:left="113" w:right="-57" w:hanging="113"/>
              <w:rPr>
                <w:b/>
                <w:color w:val="000000"/>
                <w:sz w:val="16"/>
                <w:szCs w:val="16"/>
              </w:rPr>
            </w:pPr>
            <w:r>
              <w:rPr>
                <w:b/>
                <w:color w:val="000000"/>
                <w:sz w:val="16"/>
                <w:szCs w:val="16"/>
              </w:rPr>
              <w:t> </w:t>
            </w:r>
          </w:p>
        </w:tc>
        <w:tc>
          <w:tcPr>
            <w:tcW w:w="907" w:type="dxa"/>
            <w:tcBorders>
              <w:bottom w:val="single" w:sz="4" w:space="0" w:color="000000"/>
            </w:tcBorders>
            <w:vAlign w:val="bottom"/>
          </w:tcPr>
          <w:p w14:paraId="34C06FEB"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tcBorders>
              <w:bottom w:val="single" w:sz="4" w:space="0" w:color="000000"/>
            </w:tcBorders>
            <w:vAlign w:val="bottom"/>
          </w:tcPr>
          <w:p w14:paraId="55925154"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bottom w:val="single" w:sz="4" w:space="0" w:color="000000"/>
            </w:tcBorders>
            <w:vAlign w:val="bottom"/>
          </w:tcPr>
          <w:p w14:paraId="6946DDE0"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bottom w:val="single" w:sz="4" w:space="0" w:color="000000"/>
            </w:tcBorders>
            <w:vAlign w:val="bottom"/>
          </w:tcPr>
          <w:p w14:paraId="5EBADCD3"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tcBorders>
              <w:bottom w:val="single" w:sz="4" w:space="0" w:color="000000"/>
            </w:tcBorders>
            <w:vAlign w:val="bottom"/>
          </w:tcPr>
          <w:p w14:paraId="41B66D8F"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bottom w:val="single" w:sz="4" w:space="0" w:color="000000"/>
            </w:tcBorders>
            <w:vAlign w:val="bottom"/>
          </w:tcPr>
          <w:p w14:paraId="0E95D7CD"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bottom w:val="single" w:sz="4" w:space="0" w:color="000000"/>
            </w:tcBorders>
            <w:vAlign w:val="bottom"/>
          </w:tcPr>
          <w:p w14:paraId="25848693"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1D5E907A" w14:textId="77777777">
        <w:trPr>
          <w:cantSplit/>
        </w:trPr>
        <w:tc>
          <w:tcPr>
            <w:tcW w:w="2977" w:type="dxa"/>
            <w:vAlign w:val="bottom"/>
          </w:tcPr>
          <w:p w14:paraId="6970D736" w14:textId="77777777" w:rsidR="008E5DE4" w:rsidRDefault="00780368">
            <w:pPr>
              <w:widowControl w:val="0"/>
              <w:pBdr>
                <w:top w:val="nil"/>
                <w:left w:val="nil"/>
                <w:bottom w:val="nil"/>
                <w:right w:val="nil"/>
                <w:between w:val="nil"/>
              </w:pBdr>
              <w:spacing w:line="228" w:lineRule="auto"/>
              <w:ind w:left="113" w:right="-57" w:hanging="113"/>
              <w:rPr>
                <w:b/>
                <w:color w:val="000000"/>
                <w:sz w:val="16"/>
                <w:szCs w:val="16"/>
              </w:rPr>
            </w:pPr>
            <w:r>
              <w:rPr>
                <w:b/>
                <w:color w:val="000000"/>
                <w:sz w:val="16"/>
                <w:szCs w:val="16"/>
              </w:rPr>
              <w:t> </w:t>
            </w:r>
          </w:p>
        </w:tc>
        <w:tc>
          <w:tcPr>
            <w:tcW w:w="907" w:type="dxa"/>
            <w:vAlign w:val="bottom"/>
          </w:tcPr>
          <w:p w14:paraId="28FD2556"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vAlign w:val="bottom"/>
          </w:tcPr>
          <w:p w14:paraId="128E0B3E"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6E52096F"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5C40E534"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vAlign w:val="bottom"/>
          </w:tcPr>
          <w:p w14:paraId="40A5DBB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35EB2E43"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1A5A82F4"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214869CD" w14:textId="77777777">
        <w:trPr>
          <w:cantSplit/>
        </w:trPr>
        <w:tc>
          <w:tcPr>
            <w:tcW w:w="2977" w:type="dxa"/>
            <w:vAlign w:val="bottom"/>
          </w:tcPr>
          <w:p w14:paraId="4FD956E3" w14:textId="77777777" w:rsidR="008E5DE4" w:rsidRDefault="00780368">
            <w:pPr>
              <w:widowControl w:val="0"/>
              <w:spacing w:line="228" w:lineRule="auto"/>
              <w:ind w:left="113" w:right="-57" w:hanging="113"/>
              <w:rPr>
                <w:b/>
                <w:sz w:val="16"/>
                <w:szCs w:val="16"/>
              </w:rPr>
            </w:pPr>
            <w:r>
              <w:rPr>
                <w:b/>
                <w:sz w:val="16"/>
                <w:szCs w:val="16"/>
              </w:rPr>
              <w:t>Net deferred tax asset/(liability)</w:t>
            </w:r>
          </w:p>
        </w:tc>
        <w:tc>
          <w:tcPr>
            <w:tcW w:w="907" w:type="dxa"/>
            <w:vAlign w:val="bottom"/>
          </w:tcPr>
          <w:p w14:paraId="5FE70FA4" w14:textId="77777777" w:rsidR="008E5DE4" w:rsidRDefault="00780368">
            <w:pPr>
              <w:widowControl w:val="0"/>
              <w:pBdr>
                <w:top w:val="nil"/>
                <w:left w:val="nil"/>
                <w:bottom w:val="nil"/>
                <w:right w:val="nil"/>
                <w:between w:val="nil"/>
              </w:pBdr>
              <w:spacing w:line="228" w:lineRule="auto"/>
              <w:jc w:val="right"/>
              <w:rPr>
                <w:b/>
                <w:color w:val="000000"/>
                <w:sz w:val="16"/>
                <w:szCs w:val="16"/>
              </w:rPr>
            </w:pPr>
            <w:r>
              <w:rPr>
                <w:b/>
                <w:color w:val="000000"/>
                <w:sz w:val="16"/>
                <w:szCs w:val="16"/>
              </w:rPr>
              <w:t>Σ</w:t>
            </w:r>
          </w:p>
        </w:tc>
        <w:tc>
          <w:tcPr>
            <w:tcW w:w="936" w:type="dxa"/>
            <w:vAlign w:val="bottom"/>
          </w:tcPr>
          <w:p w14:paraId="3E4FE3DD" w14:textId="77777777" w:rsidR="008E5DE4" w:rsidRDefault="00780368">
            <w:pPr>
              <w:widowControl w:val="0"/>
              <w:pBdr>
                <w:top w:val="nil"/>
                <w:left w:val="nil"/>
                <w:bottom w:val="nil"/>
                <w:right w:val="nil"/>
                <w:between w:val="nil"/>
              </w:pBdr>
              <w:spacing w:line="228" w:lineRule="auto"/>
              <w:jc w:val="right"/>
              <w:rPr>
                <w:b/>
                <w:color w:val="000000"/>
                <w:sz w:val="16"/>
                <w:szCs w:val="16"/>
              </w:rPr>
            </w:pPr>
            <w:r>
              <w:rPr>
                <w:b/>
                <w:color w:val="000000"/>
                <w:sz w:val="16"/>
                <w:szCs w:val="16"/>
              </w:rPr>
              <w:t>Σ</w:t>
            </w:r>
          </w:p>
        </w:tc>
        <w:tc>
          <w:tcPr>
            <w:tcW w:w="850" w:type="dxa"/>
            <w:vAlign w:val="bottom"/>
          </w:tcPr>
          <w:p w14:paraId="19E57499" w14:textId="77777777" w:rsidR="008E5DE4" w:rsidRDefault="00780368">
            <w:pPr>
              <w:widowControl w:val="0"/>
              <w:pBdr>
                <w:top w:val="nil"/>
                <w:left w:val="nil"/>
                <w:bottom w:val="nil"/>
                <w:right w:val="nil"/>
                <w:between w:val="nil"/>
              </w:pBdr>
              <w:spacing w:line="228" w:lineRule="auto"/>
              <w:jc w:val="right"/>
              <w:rPr>
                <w:b/>
                <w:color w:val="000000"/>
                <w:sz w:val="16"/>
                <w:szCs w:val="16"/>
              </w:rPr>
            </w:pPr>
            <w:r>
              <w:rPr>
                <w:b/>
                <w:color w:val="000000"/>
                <w:sz w:val="16"/>
                <w:szCs w:val="16"/>
              </w:rPr>
              <w:t>Σ</w:t>
            </w:r>
          </w:p>
        </w:tc>
        <w:tc>
          <w:tcPr>
            <w:tcW w:w="907" w:type="dxa"/>
            <w:vAlign w:val="bottom"/>
          </w:tcPr>
          <w:p w14:paraId="12B6C6DC" w14:textId="77777777" w:rsidR="008E5DE4" w:rsidRDefault="00780368">
            <w:pPr>
              <w:widowControl w:val="0"/>
              <w:pBdr>
                <w:top w:val="nil"/>
                <w:left w:val="nil"/>
                <w:bottom w:val="nil"/>
                <w:right w:val="nil"/>
                <w:between w:val="nil"/>
              </w:pBdr>
              <w:spacing w:line="228" w:lineRule="auto"/>
              <w:jc w:val="right"/>
              <w:rPr>
                <w:b/>
                <w:color w:val="000000"/>
                <w:sz w:val="16"/>
                <w:szCs w:val="16"/>
              </w:rPr>
            </w:pPr>
            <w:r>
              <w:rPr>
                <w:b/>
                <w:color w:val="000000"/>
                <w:sz w:val="16"/>
                <w:szCs w:val="16"/>
              </w:rPr>
              <w:t>Σ</w:t>
            </w:r>
          </w:p>
        </w:tc>
        <w:tc>
          <w:tcPr>
            <w:tcW w:w="738" w:type="dxa"/>
            <w:vAlign w:val="bottom"/>
          </w:tcPr>
          <w:p w14:paraId="08F79F05" w14:textId="77777777" w:rsidR="008E5DE4" w:rsidRDefault="00780368">
            <w:pPr>
              <w:widowControl w:val="0"/>
              <w:pBdr>
                <w:top w:val="nil"/>
                <w:left w:val="nil"/>
                <w:bottom w:val="nil"/>
                <w:right w:val="nil"/>
                <w:between w:val="nil"/>
              </w:pBdr>
              <w:spacing w:line="228" w:lineRule="auto"/>
              <w:jc w:val="right"/>
              <w:rPr>
                <w:b/>
                <w:color w:val="000000"/>
                <w:sz w:val="16"/>
                <w:szCs w:val="16"/>
              </w:rPr>
            </w:pPr>
            <w:r>
              <w:rPr>
                <w:b/>
                <w:color w:val="000000"/>
                <w:sz w:val="16"/>
                <w:szCs w:val="16"/>
              </w:rPr>
              <w:t>Σ</w:t>
            </w:r>
          </w:p>
        </w:tc>
        <w:tc>
          <w:tcPr>
            <w:tcW w:w="850" w:type="dxa"/>
            <w:vAlign w:val="bottom"/>
          </w:tcPr>
          <w:p w14:paraId="1E9C4608" w14:textId="77777777" w:rsidR="008E5DE4" w:rsidRDefault="00780368">
            <w:pPr>
              <w:widowControl w:val="0"/>
              <w:pBdr>
                <w:top w:val="nil"/>
                <w:left w:val="nil"/>
                <w:bottom w:val="nil"/>
                <w:right w:val="nil"/>
                <w:between w:val="nil"/>
              </w:pBdr>
              <w:spacing w:line="228" w:lineRule="auto"/>
              <w:jc w:val="right"/>
              <w:rPr>
                <w:b/>
                <w:color w:val="000000"/>
                <w:sz w:val="16"/>
                <w:szCs w:val="16"/>
              </w:rPr>
            </w:pPr>
            <w:r>
              <w:rPr>
                <w:b/>
                <w:color w:val="000000"/>
                <w:sz w:val="16"/>
                <w:szCs w:val="16"/>
              </w:rPr>
              <w:t>Σ</w:t>
            </w:r>
          </w:p>
        </w:tc>
        <w:tc>
          <w:tcPr>
            <w:tcW w:w="907" w:type="dxa"/>
            <w:vAlign w:val="bottom"/>
          </w:tcPr>
          <w:p w14:paraId="6C3751C2" w14:textId="77777777" w:rsidR="008E5DE4" w:rsidRDefault="00780368">
            <w:pPr>
              <w:widowControl w:val="0"/>
              <w:pBdr>
                <w:top w:val="nil"/>
                <w:left w:val="nil"/>
                <w:bottom w:val="nil"/>
                <w:right w:val="nil"/>
                <w:between w:val="nil"/>
              </w:pBdr>
              <w:spacing w:line="228" w:lineRule="auto"/>
              <w:jc w:val="right"/>
              <w:rPr>
                <w:b/>
                <w:color w:val="000000"/>
                <w:sz w:val="16"/>
                <w:szCs w:val="16"/>
              </w:rPr>
            </w:pPr>
            <w:r>
              <w:rPr>
                <w:b/>
                <w:color w:val="000000"/>
                <w:sz w:val="16"/>
                <w:szCs w:val="16"/>
              </w:rPr>
              <w:t>Σ</w:t>
            </w:r>
          </w:p>
        </w:tc>
      </w:tr>
      <w:tr w:rsidR="008E5DE4" w14:paraId="1F1F27ED" w14:textId="77777777">
        <w:trPr>
          <w:cantSplit/>
        </w:trPr>
        <w:tc>
          <w:tcPr>
            <w:tcW w:w="2977" w:type="dxa"/>
            <w:tcBorders>
              <w:bottom w:val="single" w:sz="12" w:space="0" w:color="000000"/>
            </w:tcBorders>
            <w:vAlign w:val="bottom"/>
          </w:tcPr>
          <w:p w14:paraId="720FADB8" w14:textId="77777777" w:rsidR="008E5DE4" w:rsidRDefault="00780368">
            <w:pPr>
              <w:widowControl w:val="0"/>
              <w:spacing w:line="228" w:lineRule="auto"/>
              <w:ind w:left="113" w:right="-57" w:hanging="113"/>
              <w:rPr>
                <w:b/>
                <w:sz w:val="16"/>
                <w:szCs w:val="16"/>
              </w:rPr>
            </w:pPr>
            <w:r>
              <w:rPr>
                <w:b/>
                <w:sz w:val="16"/>
                <w:szCs w:val="16"/>
              </w:rPr>
              <w:t> </w:t>
            </w:r>
          </w:p>
        </w:tc>
        <w:tc>
          <w:tcPr>
            <w:tcW w:w="907" w:type="dxa"/>
            <w:tcBorders>
              <w:bottom w:val="single" w:sz="12" w:space="0" w:color="000000"/>
            </w:tcBorders>
            <w:vAlign w:val="bottom"/>
          </w:tcPr>
          <w:p w14:paraId="5E885A4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tcBorders>
              <w:bottom w:val="single" w:sz="12" w:space="0" w:color="000000"/>
            </w:tcBorders>
            <w:vAlign w:val="bottom"/>
          </w:tcPr>
          <w:p w14:paraId="2FFC98D5"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bottom w:val="single" w:sz="12" w:space="0" w:color="000000"/>
            </w:tcBorders>
            <w:vAlign w:val="bottom"/>
          </w:tcPr>
          <w:p w14:paraId="087FF5F4"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bottom w:val="single" w:sz="12" w:space="0" w:color="000000"/>
            </w:tcBorders>
            <w:vAlign w:val="bottom"/>
          </w:tcPr>
          <w:p w14:paraId="300B4B90"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tcBorders>
              <w:bottom w:val="single" w:sz="12" w:space="0" w:color="000000"/>
            </w:tcBorders>
            <w:vAlign w:val="bottom"/>
          </w:tcPr>
          <w:p w14:paraId="3C5E9673"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bottom w:val="single" w:sz="12" w:space="0" w:color="000000"/>
            </w:tcBorders>
            <w:vAlign w:val="bottom"/>
          </w:tcPr>
          <w:p w14:paraId="13BE8A07"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bottom w:val="single" w:sz="12" w:space="0" w:color="000000"/>
            </w:tcBorders>
            <w:vAlign w:val="bottom"/>
          </w:tcPr>
          <w:p w14:paraId="0FC1F6A1"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24E3A2AE" w14:textId="77777777">
        <w:trPr>
          <w:cantSplit/>
        </w:trPr>
        <w:tc>
          <w:tcPr>
            <w:tcW w:w="2977" w:type="dxa"/>
            <w:vAlign w:val="bottom"/>
          </w:tcPr>
          <w:p w14:paraId="094B73BC" w14:textId="77777777" w:rsidR="008E5DE4" w:rsidRDefault="00780368">
            <w:pPr>
              <w:widowControl w:val="0"/>
              <w:spacing w:line="228" w:lineRule="auto"/>
              <w:ind w:left="113" w:right="-57" w:hanging="113"/>
              <w:rPr>
                <w:sz w:val="16"/>
                <w:szCs w:val="16"/>
              </w:rPr>
            </w:pPr>
            <w:r>
              <w:rPr>
                <w:b/>
                <w:sz w:val="16"/>
                <w:szCs w:val="16"/>
              </w:rPr>
              <w:t> </w:t>
            </w:r>
          </w:p>
        </w:tc>
        <w:tc>
          <w:tcPr>
            <w:tcW w:w="907" w:type="dxa"/>
            <w:vAlign w:val="bottom"/>
          </w:tcPr>
          <w:p w14:paraId="2EA3B576"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vAlign w:val="bottom"/>
          </w:tcPr>
          <w:p w14:paraId="59753241"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0015BEE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5D499535"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vAlign w:val="bottom"/>
          </w:tcPr>
          <w:p w14:paraId="6AEE04AB"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4836099C"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5C1B7851"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657D6FD9" w14:textId="77777777">
        <w:trPr>
          <w:cantSplit/>
        </w:trPr>
        <w:tc>
          <w:tcPr>
            <w:tcW w:w="2977" w:type="dxa"/>
            <w:vAlign w:val="bottom"/>
          </w:tcPr>
          <w:p w14:paraId="4BE4AC3A" w14:textId="77777777" w:rsidR="008E5DE4" w:rsidRDefault="00780368">
            <w:pPr>
              <w:widowControl w:val="0"/>
              <w:spacing w:line="228" w:lineRule="auto"/>
              <w:ind w:left="113" w:right="-57" w:hanging="113"/>
              <w:rPr>
                <w:sz w:val="16"/>
                <w:szCs w:val="16"/>
              </w:rPr>
            </w:pPr>
            <w:r>
              <w:rPr>
                <w:sz w:val="16"/>
                <w:szCs w:val="16"/>
              </w:rPr>
              <w:t>Recognised deferred tax asset</w:t>
            </w:r>
          </w:p>
        </w:tc>
        <w:tc>
          <w:tcPr>
            <w:tcW w:w="907" w:type="dxa"/>
            <w:vAlign w:val="bottom"/>
          </w:tcPr>
          <w:p w14:paraId="1EAFFDB2"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vAlign w:val="bottom"/>
          </w:tcPr>
          <w:p w14:paraId="60A45A3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1C261E44"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7D63DD35"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vAlign w:val="bottom"/>
          </w:tcPr>
          <w:p w14:paraId="7B2A3788"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1DA1513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50B5B213"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3C001AD4" w14:textId="77777777">
        <w:trPr>
          <w:cantSplit/>
        </w:trPr>
        <w:tc>
          <w:tcPr>
            <w:tcW w:w="2977" w:type="dxa"/>
            <w:vAlign w:val="bottom"/>
          </w:tcPr>
          <w:p w14:paraId="1838B5B8" w14:textId="77777777" w:rsidR="008E5DE4" w:rsidRDefault="00780368">
            <w:pPr>
              <w:widowControl w:val="0"/>
              <w:spacing w:line="228" w:lineRule="auto"/>
              <w:ind w:left="113" w:right="-57" w:hanging="113"/>
              <w:rPr>
                <w:sz w:val="16"/>
                <w:szCs w:val="16"/>
              </w:rPr>
            </w:pPr>
            <w:r>
              <w:rPr>
                <w:sz w:val="16"/>
                <w:szCs w:val="16"/>
              </w:rPr>
              <w:t>Recognised deferred tax liability</w:t>
            </w:r>
          </w:p>
        </w:tc>
        <w:tc>
          <w:tcPr>
            <w:tcW w:w="907" w:type="dxa"/>
            <w:vAlign w:val="bottom"/>
          </w:tcPr>
          <w:p w14:paraId="52A01E2C"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vAlign w:val="bottom"/>
          </w:tcPr>
          <w:p w14:paraId="63B25F04"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4CF3FEE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4786FE0C"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vAlign w:val="bottom"/>
          </w:tcPr>
          <w:p w14:paraId="20CCDE30"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6E74AA61"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0CB94E5E"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21833B51" w14:textId="77777777">
        <w:trPr>
          <w:cantSplit/>
        </w:trPr>
        <w:tc>
          <w:tcPr>
            <w:tcW w:w="2977" w:type="dxa"/>
            <w:tcBorders>
              <w:bottom w:val="single" w:sz="4" w:space="0" w:color="000000"/>
            </w:tcBorders>
            <w:vAlign w:val="bottom"/>
          </w:tcPr>
          <w:p w14:paraId="6B121712" w14:textId="77777777" w:rsidR="008E5DE4" w:rsidRDefault="00780368">
            <w:pPr>
              <w:widowControl w:val="0"/>
              <w:spacing w:line="228" w:lineRule="auto"/>
              <w:ind w:left="113" w:right="-57" w:hanging="113"/>
              <w:rPr>
                <w:b/>
                <w:sz w:val="16"/>
                <w:szCs w:val="16"/>
              </w:rPr>
            </w:pPr>
            <w:r>
              <w:rPr>
                <w:b/>
                <w:sz w:val="16"/>
                <w:szCs w:val="16"/>
              </w:rPr>
              <w:t> </w:t>
            </w:r>
          </w:p>
        </w:tc>
        <w:tc>
          <w:tcPr>
            <w:tcW w:w="907" w:type="dxa"/>
            <w:tcBorders>
              <w:bottom w:val="single" w:sz="4" w:space="0" w:color="000000"/>
            </w:tcBorders>
            <w:vAlign w:val="bottom"/>
          </w:tcPr>
          <w:p w14:paraId="300C087F"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tcBorders>
              <w:bottom w:val="single" w:sz="4" w:space="0" w:color="000000"/>
            </w:tcBorders>
            <w:vAlign w:val="bottom"/>
          </w:tcPr>
          <w:p w14:paraId="58AECCD2"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bottom w:val="single" w:sz="4" w:space="0" w:color="000000"/>
            </w:tcBorders>
            <w:vAlign w:val="bottom"/>
          </w:tcPr>
          <w:p w14:paraId="44F48894"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bottom w:val="single" w:sz="4" w:space="0" w:color="000000"/>
            </w:tcBorders>
            <w:vAlign w:val="bottom"/>
          </w:tcPr>
          <w:p w14:paraId="74286C01"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tcBorders>
              <w:bottom w:val="single" w:sz="4" w:space="0" w:color="000000"/>
            </w:tcBorders>
            <w:vAlign w:val="bottom"/>
          </w:tcPr>
          <w:p w14:paraId="4DC46530"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bottom w:val="single" w:sz="4" w:space="0" w:color="000000"/>
            </w:tcBorders>
            <w:vAlign w:val="bottom"/>
          </w:tcPr>
          <w:p w14:paraId="026AC1FA"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bottom w:val="single" w:sz="4" w:space="0" w:color="000000"/>
            </w:tcBorders>
            <w:vAlign w:val="bottom"/>
          </w:tcPr>
          <w:p w14:paraId="54A037A3"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15A996A9" w14:textId="77777777">
        <w:trPr>
          <w:cantSplit/>
        </w:trPr>
        <w:tc>
          <w:tcPr>
            <w:tcW w:w="2977" w:type="dxa"/>
            <w:tcBorders>
              <w:top w:val="single" w:sz="4" w:space="0" w:color="000000"/>
            </w:tcBorders>
            <w:vAlign w:val="bottom"/>
          </w:tcPr>
          <w:p w14:paraId="42874766" w14:textId="77777777" w:rsidR="008E5DE4" w:rsidRDefault="00780368">
            <w:pPr>
              <w:widowControl w:val="0"/>
              <w:spacing w:line="228" w:lineRule="auto"/>
              <w:ind w:left="113" w:right="-57" w:hanging="113"/>
              <w:rPr>
                <w:b/>
                <w:sz w:val="16"/>
                <w:szCs w:val="16"/>
              </w:rPr>
            </w:pPr>
            <w:r>
              <w:rPr>
                <w:b/>
                <w:sz w:val="16"/>
                <w:szCs w:val="16"/>
              </w:rPr>
              <w:t> </w:t>
            </w:r>
          </w:p>
        </w:tc>
        <w:tc>
          <w:tcPr>
            <w:tcW w:w="907" w:type="dxa"/>
            <w:tcBorders>
              <w:top w:val="single" w:sz="4" w:space="0" w:color="000000"/>
            </w:tcBorders>
            <w:vAlign w:val="bottom"/>
          </w:tcPr>
          <w:p w14:paraId="5ACAFE01"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tcBorders>
              <w:top w:val="single" w:sz="4" w:space="0" w:color="000000"/>
            </w:tcBorders>
            <w:vAlign w:val="bottom"/>
          </w:tcPr>
          <w:p w14:paraId="387F400F"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top w:val="single" w:sz="4" w:space="0" w:color="000000"/>
            </w:tcBorders>
            <w:vAlign w:val="bottom"/>
          </w:tcPr>
          <w:p w14:paraId="04C9552C"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top w:val="single" w:sz="4" w:space="0" w:color="000000"/>
            </w:tcBorders>
            <w:vAlign w:val="bottom"/>
          </w:tcPr>
          <w:p w14:paraId="3AD524AB"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tcBorders>
              <w:top w:val="single" w:sz="4" w:space="0" w:color="000000"/>
            </w:tcBorders>
            <w:vAlign w:val="bottom"/>
          </w:tcPr>
          <w:p w14:paraId="1DEC89FE"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top w:val="single" w:sz="4" w:space="0" w:color="000000"/>
            </w:tcBorders>
            <w:vAlign w:val="bottom"/>
          </w:tcPr>
          <w:p w14:paraId="16768EE5"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top w:val="single" w:sz="4" w:space="0" w:color="000000"/>
            </w:tcBorders>
            <w:vAlign w:val="bottom"/>
          </w:tcPr>
          <w:p w14:paraId="5D54B4D1"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64F5CD01" w14:textId="77777777">
        <w:trPr>
          <w:cantSplit/>
        </w:trPr>
        <w:tc>
          <w:tcPr>
            <w:tcW w:w="2977" w:type="dxa"/>
            <w:vAlign w:val="bottom"/>
          </w:tcPr>
          <w:p w14:paraId="260597FB" w14:textId="77777777" w:rsidR="008E5DE4" w:rsidRDefault="00780368">
            <w:pPr>
              <w:widowControl w:val="0"/>
              <w:spacing w:line="228" w:lineRule="auto"/>
              <w:ind w:left="113" w:right="-57" w:hanging="113"/>
              <w:rPr>
                <w:b/>
                <w:sz w:val="16"/>
                <w:szCs w:val="16"/>
              </w:rPr>
            </w:pPr>
            <w:r>
              <w:rPr>
                <w:b/>
                <w:sz w:val="16"/>
                <w:szCs w:val="16"/>
              </w:rPr>
              <w:t>Net deferred tax asset/(liability)</w:t>
            </w:r>
          </w:p>
        </w:tc>
        <w:tc>
          <w:tcPr>
            <w:tcW w:w="907" w:type="dxa"/>
            <w:vAlign w:val="bottom"/>
          </w:tcPr>
          <w:p w14:paraId="3FA42FB5"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vAlign w:val="bottom"/>
          </w:tcPr>
          <w:p w14:paraId="18C6FD16"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24E7EFAA"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70E208D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vAlign w:val="bottom"/>
          </w:tcPr>
          <w:p w14:paraId="2A7A609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vAlign w:val="bottom"/>
          </w:tcPr>
          <w:p w14:paraId="33D8997C"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vAlign w:val="bottom"/>
          </w:tcPr>
          <w:p w14:paraId="178503F7"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6E26FEB5" w14:textId="77777777">
        <w:trPr>
          <w:cantSplit/>
        </w:trPr>
        <w:tc>
          <w:tcPr>
            <w:tcW w:w="2977" w:type="dxa"/>
            <w:tcBorders>
              <w:bottom w:val="single" w:sz="12" w:space="0" w:color="000000"/>
            </w:tcBorders>
            <w:vAlign w:val="bottom"/>
          </w:tcPr>
          <w:p w14:paraId="44C69AFF" w14:textId="77777777" w:rsidR="008E5DE4" w:rsidRDefault="00780368">
            <w:pPr>
              <w:widowControl w:val="0"/>
              <w:spacing w:line="228" w:lineRule="auto"/>
              <w:ind w:left="113" w:right="-57" w:hanging="113"/>
              <w:rPr>
                <w:b/>
                <w:sz w:val="16"/>
                <w:szCs w:val="16"/>
              </w:rPr>
            </w:pPr>
            <w:r>
              <w:rPr>
                <w:b/>
                <w:sz w:val="16"/>
                <w:szCs w:val="16"/>
              </w:rPr>
              <w:t> </w:t>
            </w:r>
          </w:p>
        </w:tc>
        <w:tc>
          <w:tcPr>
            <w:tcW w:w="907" w:type="dxa"/>
            <w:tcBorders>
              <w:bottom w:val="single" w:sz="12" w:space="0" w:color="000000"/>
            </w:tcBorders>
            <w:vAlign w:val="bottom"/>
          </w:tcPr>
          <w:p w14:paraId="1234F73D"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36" w:type="dxa"/>
            <w:tcBorders>
              <w:bottom w:val="single" w:sz="12" w:space="0" w:color="000000"/>
            </w:tcBorders>
            <w:vAlign w:val="bottom"/>
          </w:tcPr>
          <w:p w14:paraId="14FDA765"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bottom w:val="single" w:sz="12" w:space="0" w:color="000000"/>
            </w:tcBorders>
            <w:vAlign w:val="bottom"/>
          </w:tcPr>
          <w:p w14:paraId="620B8510"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bottom w:val="single" w:sz="12" w:space="0" w:color="000000"/>
            </w:tcBorders>
            <w:vAlign w:val="bottom"/>
          </w:tcPr>
          <w:p w14:paraId="6EFC9991"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738" w:type="dxa"/>
            <w:tcBorders>
              <w:bottom w:val="single" w:sz="12" w:space="0" w:color="000000"/>
            </w:tcBorders>
            <w:vAlign w:val="bottom"/>
          </w:tcPr>
          <w:p w14:paraId="6B9C38F3"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850" w:type="dxa"/>
            <w:tcBorders>
              <w:bottom w:val="single" w:sz="12" w:space="0" w:color="000000"/>
            </w:tcBorders>
            <w:vAlign w:val="bottom"/>
          </w:tcPr>
          <w:p w14:paraId="6341A40F"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907" w:type="dxa"/>
            <w:tcBorders>
              <w:bottom w:val="single" w:sz="12" w:space="0" w:color="000000"/>
            </w:tcBorders>
            <w:vAlign w:val="bottom"/>
          </w:tcPr>
          <w:p w14:paraId="683FAEEF"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bl>
    <w:p w14:paraId="69065791" w14:textId="2D41796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In the context of the Group’s current structure, tax losses and current tax assets of different Group companies may not be offset against current tax liabilities and taxable profits of other Group companies and, accordingly, taxes may accrue even where there is a consolidated tax loss. Therefore, deferred tax assets and liabilities are offset only when they relate to the same taxable entity </w:t>
      </w:r>
      <w:r>
        <w:rPr>
          <w:color w:val="0000FF"/>
          <w:sz w:val="20"/>
          <w:szCs w:val="20"/>
        </w:rPr>
        <w:t>[or consolidated Group of taxpayers]</w:t>
      </w:r>
      <w:r>
        <w:rPr>
          <w:color w:val="000000"/>
          <w:sz w:val="20"/>
          <w:szCs w:val="20"/>
        </w:rPr>
        <w:t>.</w:t>
      </w:r>
    </w:p>
    <w:p w14:paraId="335A529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39</w:t>
      </w:r>
      <w:r>
        <w:rPr>
          <w:b/>
          <w:color w:val="000000"/>
          <w:sz w:val="20"/>
          <w:szCs w:val="20"/>
        </w:rPr>
        <w:tab/>
        <w:t>Income Taxes (Continued)</w:t>
      </w:r>
    </w:p>
    <w:p w14:paraId="2B1EF01A" w14:textId="55F2C003"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tax effect of the movements in the temporary differences for the year ended 31 December </w:t>
      </w:r>
      <w:r w:rsidR="00E06A92">
        <w:rPr>
          <w:color w:val="000000"/>
          <w:sz w:val="20"/>
          <w:szCs w:val="20"/>
        </w:rPr>
        <w:t>2024</w:t>
      </w:r>
      <w:r>
        <w:rPr>
          <w:color w:val="000000"/>
          <w:sz w:val="20"/>
          <w:szCs w:val="20"/>
        </w:rPr>
        <w:t xml:space="preserve"> are:</w:t>
      </w:r>
    </w:p>
    <w:tbl>
      <w:tblPr>
        <w:tblStyle w:val="afffffffffff5"/>
        <w:tblW w:w="9354" w:type="dxa"/>
        <w:tblLayout w:type="fixed"/>
        <w:tblLook w:val="0000" w:firstRow="0" w:lastRow="0" w:firstColumn="0" w:lastColumn="0" w:noHBand="0" w:noVBand="0"/>
      </w:tblPr>
      <w:tblGrid>
        <w:gridCol w:w="3005"/>
        <w:gridCol w:w="907"/>
        <w:gridCol w:w="907"/>
        <w:gridCol w:w="907"/>
        <w:gridCol w:w="907"/>
        <w:gridCol w:w="907"/>
        <w:gridCol w:w="907"/>
        <w:gridCol w:w="907"/>
      </w:tblGrid>
      <w:tr w:rsidR="008E5DE4" w14:paraId="60E7E5FC" w14:textId="77777777">
        <w:trPr>
          <w:cantSplit/>
        </w:trPr>
        <w:tc>
          <w:tcPr>
            <w:tcW w:w="3005" w:type="dxa"/>
            <w:tcBorders>
              <w:bottom w:val="single" w:sz="4" w:space="0" w:color="000000"/>
            </w:tcBorders>
            <w:vAlign w:val="bottom"/>
          </w:tcPr>
          <w:p w14:paraId="5CEDE458" w14:textId="77777777" w:rsidR="008E5DE4" w:rsidRDefault="00780368">
            <w:pPr>
              <w:widowControl w:val="0"/>
              <w:pBdr>
                <w:top w:val="nil"/>
                <w:left w:val="nil"/>
                <w:bottom w:val="nil"/>
                <w:right w:val="nil"/>
                <w:between w:val="nil"/>
              </w:pBdr>
              <w:ind w:left="113" w:right="-57" w:hanging="113"/>
              <w:rPr>
                <w:b/>
                <w:i/>
                <w:color w:val="000000"/>
                <w:sz w:val="16"/>
                <w:szCs w:val="16"/>
              </w:rPr>
            </w:pPr>
            <w:r>
              <w:rPr>
                <w:i/>
                <w:color w:val="000000"/>
                <w:sz w:val="16"/>
                <w:szCs w:val="16"/>
              </w:rPr>
              <w:t>In thousands of EUR</w:t>
            </w:r>
          </w:p>
        </w:tc>
        <w:tc>
          <w:tcPr>
            <w:tcW w:w="907" w:type="dxa"/>
            <w:tcBorders>
              <w:bottom w:val="single" w:sz="4" w:space="0" w:color="000000"/>
            </w:tcBorders>
          </w:tcPr>
          <w:p w14:paraId="2D5DE813"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1 January </w:t>
            </w:r>
          </w:p>
          <w:p w14:paraId="069CEE28" w14:textId="5E2F7AE7" w:rsidR="008E5DE4" w:rsidRDefault="00E06A92">
            <w:pPr>
              <w:widowControl w:val="0"/>
              <w:pBdr>
                <w:top w:val="nil"/>
                <w:left w:val="nil"/>
                <w:bottom w:val="nil"/>
                <w:right w:val="nil"/>
                <w:between w:val="nil"/>
              </w:pBdr>
              <w:ind w:left="-113"/>
              <w:jc w:val="right"/>
              <w:rPr>
                <w:b/>
                <w:color w:val="000000"/>
                <w:sz w:val="16"/>
                <w:szCs w:val="16"/>
              </w:rPr>
            </w:pPr>
            <w:r>
              <w:rPr>
                <w:b/>
                <w:color w:val="000000"/>
                <w:sz w:val="16"/>
                <w:szCs w:val="16"/>
              </w:rPr>
              <w:t>2024</w:t>
            </w:r>
          </w:p>
        </w:tc>
        <w:tc>
          <w:tcPr>
            <w:tcW w:w="907" w:type="dxa"/>
            <w:tcBorders>
              <w:bottom w:val="single" w:sz="4" w:space="0" w:color="000000"/>
            </w:tcBorders>
          </w:tcPr>
          <w:p w14:paraId="4D69326C"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Business </w:t>
            </w:r>
            <w:proofErr w:type="spellStart"/>
            <w:r>
              <w:rPr>
                <w:b/>
                <w:color w:val="000000"/>
                <w:sz w:val="16"/>
                <w:szCs w:val="16"/>
              </w:rPr>
              <w:t>combina-tions</w:t>
            </w:r>
            <w:proofErr w:type="spellEnd"/>
          </w:p>
        </w:tc>
        <w:tc>
          <w:tcPr>
            <w:tcW w:w="907" w:type="dxa"/>
            <w:tcBorders>
              <w:bottom w:val="single" w:sz="4" w:space="0" w:color="000000"/>
            </w:tcBorders>
          </w:tcPr>
          <w:p w14:paraId="57C0346C" w14:textId="77777777" w:rsidR="008E5DE4" w:rsidRDefault="00780368">
            <w:pPr>
              <w:widowControl w:val="0"/>
              <w:pBdr>
                <w:top w:val="nil"/>
                <w:left w:val="nil"/>
                <w:bottom w:val="nil"/>
                <w:right w:val="nil"/>
                <w:between w:val="nil"/>
              </w:pBdr>
              <w:tabs>
                <w:tab w:val="right" w:pos="8782"/>
              </w:tabs>
              <w:ind w:left="-113"/>
              <w:jc w:val="right"/>
              <w:rPr>
                <w:b/>
                <w:color w:val="000000"/>
                <w:sz w:val="16"/>
                <w:szCs w:val="16"/>
              </w:rPr>
            </w:pPr>
            <w:r>
              <w:rPr>
                <w:b/>
                <w:color w:val="000000"/>
                <w:sz w:val="16"/>
                <w:szCs w:val="16"/>
              </w:rPr>
              <w:t>Transfer to non-current held for sale</w:t>
            </w:r>
          </w:p>
        </w:tc>
        <w:tc>
          <w:tcPr>
            <w:tcW w:w="907" w:type="dxa"/>
            <w:tcBorders>
              <w:bottom w:val="single" w:sz="4" w:space="0" w:color="000000"/>
            </w:tcBorders>
          </w:tcPr>
          <w:p w14:paraId="03A7EF40"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Charged/ (credited) to profit or loss</w:t>
            </w:r>
          </w:p>
        </w:tc>
        <w:tc>
          <w:tcPr>
            <w:tcW w:w="907" w:type="dxa"/>
            <w:tcBorders>
              <w:bottom w:val="single" w:sz="4" w:space="0" w:color="000000"/>
            </w:tcBorders>
          </w:tcPr>
          <w:p w14:paraId="5C921FD3"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Charged / (credited) directly to other </w:t>
            </w:r>
            <w:proofErr w:type="spellStart"/>
            <w:r>
              <w:rPr>
                <w:b/>
                <w:color w:val="000000"/>
                <w:sz w:val="16"/>
                <w:szCs w:val="16"/>
              </w:rPr>
              <w:t>compre-hensive</w:t>
            </w:r>
            <w:proofErr w:type="spellEnd"/>
            <w:r>
              <w:rPr>
                <w:b/>
                <w:color w:val="000000"/>
                <w:sz w:val="16"/>
                <w:szCs w:val="16"/>
              </w:rPr>
              <w:t xml:space="preserve"> income</w:t>
            </w:r>
          </w:p>
        </w:tc>
        <w:tc>
          <w:tcPr>
            <w:tcW w:w="907" w:type="dxa"/>
            <w:tcBorders>
              <w:bottom w:val="single" w:sz="4" w:space="0" w:color="000000"/>
            </w:tcBorders>
          </w:tcPr>
          <w:p w14:paraId="6CDBB69E"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Charged / (credited) directly to equity</w:t>
            </w:r>
          </w:p>
        </w:tc>
        <w:tc>
          <w:tcPr>
            <w:tcW w:w="907" w:type="dxa"/>
            <w:tcBorders>
              <w:bottom w:val="single" w:sz="4" w:space="0" w:color="000000"/>
            </w:tcBorders>
          </w:tcPr>
          <w:p w14:paraId="43F9CADA" w14:textId="11813A14"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31 Dec </w:t>
            </w:r>
            <w:r w:rsidR="00E06A92">
              <w:rPr>
                <w:b/>
                <w:color w:val="000000"/>
                <w:sz w:val="16"/>
                <w:szCs w:val="16"/>
              </w:rPr>
              <w:t>2024</w:t>
            </w:r>
          </w:p>
        </w:tc>
      </w:tr>
      <w:tr w:rsidR="008E5DE4" w14:paraId="6FA54D69" w14:textId="77777777">
        <w:trPr>
          <w:cantSplit/>
        </w:trPr>
        <w:tc>
          <w:tcPr>
            <w:tcW w:w="3005" w:type="dxa"/>
            <w:vAlign w:val="bottom"/>
          </w:tcPr>
          <w:p w14:paraId="3B6ED7C1" w14:textId="77777777" w:rsidR="008E5DE4" w:rsidRDefault="00780368">
            <w:pPr>
              <w:widowControl w:val="0"/>
              <w:ind w:left="113" w:right="-57" w:hanging="113"/>
              <w:rPr>
                <w:sz w:val="16"/>
                <w:szCs w:val="16"/>
              </w:rPr>
            </w:pPr>
            <w:r>
              <w:rPr>
                <w:b/>
                <w:sz w:val="16"/>
                <w:szCs w:val="16"/>
              </w:rPr>
              <w:t> </w:t>
            </w:r>
          </w:p>
        </w:tc>
        <w:tc>
          <w:tcPr>
            <w:tcW w:w="907" w:type="dxa"/>
            <w:vAlign w:val="bottom"/>
          </w:tcPr>
          <w:p w14:paraId="2657CD7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17263F1"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C70C4E1"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D3DCBA6"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6BA65F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7E6733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EDF17EB" w14:textId="77777777" w:rsidR="008E5DE4" w:rsidRDefault="008E5DE4">
            <w:pPr>
              <w:widowControl w:val="0"/>
              <w:pBdr>
                <w:top w:val="nil"/>
                <w:left w:val="nil"/>
                <w:bottom w:val="nil"/>
                <w:right w:val="nil"/>
                <w:between w:val="nil"/>
              </w:pBdr>
              <w:jc w:val="right"/>
              <w:rPr>
                <w:color w:val="000000"/>
                <w:sz w:val="16"/>
                <w:szCs w:val="16"/>
              </w:rPr>
            </w:pPr>
          </w:p>
        </w:tc>
      </w:tr>
      <w:tr w:rsidR="008E5DE4" w14:paraId="7824A092" w14:textId="77777777">
        <w:trPr>
          <w:cantSplit/>
        </w:trPr>
        <w:tc>
          <w:tcPr>
            <w:tcW w:w="3005" w:type="dxa"/>
            <w:vAlign w:val="bottom"/>
          </w:tcPr>
          <w:p w14:paraId="3397BA71"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 xml:space="preserve">Tax effect of deductible/(taxable) temporary differences </w:t>
            </w:r>
            <w:r>
              <w:rPr>
                <w:b/>
                <w:color w:val="0000FF"/>
                <w:sz w:val="16"/>
                <w:szCs w:val="16"/>
              </w:rPr>
              <w:t>[and tax loss carry forwards]</w:t>
            </w:r>
          </w:p>
        </w:tc>
        <w:tc>
          <w:tcPr>
            <w:tcW w:w="907" w:type="dxa"/>
            <w:vAlign w:val="bottom"/>
          </w:tcPr>
          <w:p w14:paraId="5ED86048"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2DF2A531"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50B80604"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3ECBB0A7"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2744D168"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16225B59"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3F1733A2"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7A6F19DC" w14:textId="77777777">
        <w:trPr>
          <w:cantSplit/>
        </w:trPr>
        <w:tc>
          <w:tcPr>
            <w:tcW w:w="3005" w:type="dxa"/>
            <w:vAlign w:val="bottom"/>
          </w:tcPr>
          <w:p w14:paraId="3030EF43"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Difference between tax and accounting value of Property, plant and equipment (revaluation, different tax depreciation)</w:t>
            </w:r>
          </w:p>
        </w:tc>
        <w:tc>
          <w:tcPr>
            <w:tcW w:w="907" w:type="dxa"/>
            <w:vAlign w:val="bottom"/>
          </w:tcPr>
          <w:p w14:paraId="6057984F"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B7AE6AB"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4EFEB0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318ABF6"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489C13A"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3C6A52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6BA0C1B" w14:textId="77777777" w:rsidR="008E5DE4" w:rsidRDefault="008E5DE4">
            <w:pPr>
              <w:widowControl w:val="0"/>
              <w:pBdr>
                <w:top w:val="nil"/>
                <w:left w:val="nil"/>
                <w:bottom w:val="nil"/>
                <w:right w:val="nil"/>
                <w:between w:val="nil"/>
              </w:pBdr>
              <w:jc w:val="right"/>
              <w:rPr>
                <w:color w:val="000000"/>
                <w:sz w:val="16"/>
                <w:szCs w:val="16"/>
              </w:rPr>
            </w:pPr>
          </w:p>
        </w:tc>
      </w:tr>
      <w:tr w:rsidR="008E5DE4" w14:paraId="74347F35" w14:textId="77777777">
        <w:trPr>
          <w:cantSplit/>
        </w:trPr>
        <w:tc>
          <w:tcPr>
            <w:tcW w:w="3005" w:type="dxa"/>
            <w:vAlign w:val="bottom"/>
          </w:tcPr>
          <w:p w14:paraId="133FF3A7"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Net impairment losses on financial and contract assets</w:t>
            </w:r>
          </w:p>
        </w:tc>
        <w:tc>
          <w:tcPr>
            <w:tcW w:w="907" w:type="dxa"/>
            <w:vAlign w:val="bottom"/>
          </w:tcPr>
          <w:p w14:paraId="17730258"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22DB80C"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EFA622D"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6952C92"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3DB96D0"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A355EC3"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C813755" w14:textId="77777777" w:rsidR="008E5DE4" w:rsidRDefault="008E5DE4">
            <w:pPr>
              <w:widowControl w:val="0"/>
              <w:pBdr>
                <w:top w:val="nil"/>
                <w:left w:val="nil"/>
                <w:bottom w:val="nil"/>
                <w:right w:val="nil"/>
                <w:between w:val="nil"/>
              </w:pBdr>
              <w:jc w:val="right"/>
              <w:rPr>
                <w:color w:val="000000"/>
                <w:sz w:val="16"/>
                <w:szCs w:val="16"/>
              </w:rPr>
            </w:pPr>
          </w:p>
        </w:tc>
      </w:tr>
      <w:tr w:rsidR="008E5DE4" w14:paraId="17A51B74" w14:textId="77777777">
        <w:trPr>
          <w:cantSplit/>
        </w:trPr>
        <w:tc>
          <w:tcPr>
            <w:tcW w:w="3005" w:type="dxa"/>
            <w:vAlign w:val="bottom"/>
          </w:tcPr>
          <w:p w14:paraId="1D011176"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Accounts payable tax deductible in different period</w:t>
            </w:r>
          </w:p>
        </w:tc>
        <w:tc>
          <w:tcPr>
            <w:tcW w:w="907" w:type="dxa"/>
            <w:vAlign w:val="bottom"/>
          </w:tcPr>
          <w:p w14:paraId="4D07A36C"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91551FB"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1F6EBAB"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78BBBEA8"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58E346F"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B7E6B6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BEB2988" w14:textId="77777777" w:rsidR="008E5DE4" w:rsidRDefault="008E5DE4">
            <w:pPr>
              <w:widowControl w:val="0"/>
              <w:pBdr>
                <w:top w:val="nil"/>
                <w:left w:val="nil"/>
                <w:bottom w:val="nil"/>
                <w:right w:val="nil"/>
                <w:between w:val="nil"/>
              </w:pBdr>
              <w:jc w:val="right"/>
              <w:rPr>
                <w:color w:val="000000"/>
                <w:sz w:val="16"/>
                <w:szCs w:val="16"/>
              </w:rPr>
            </w:pPr>
          </w:p>
        </w:tc>
      </w:tr>
      <w:tr w:rsidR="008E5DE4" w14:paraId="5B6A8B42" w14:textId="77777777">
        <w:trPr>
          <w:cantSplit/>
        </w:trPr>
        <w:tc>
          <w:tcPr>
            <w:tcW w:w="3005" w:type="dxa"/>
            <w:vAlign w:val="bottom"/>
          </w:tcPr>
          <w:p w14:paraId="341AEAD6"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Accruals tax deductible in different period</w:t>
            </w:r>
          </w:p>
        </w:tc>
        <w:tc>
          <w:tcPr>
            <w:tcW w:w="907" w:type="dxa"/>
            <w:vAlign w:val="bottom"/>
          </w:tcPr>
          <w:p w14:paraId="07AFE85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27107DC"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547238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52A5951"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4B16B8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57680CB"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E37BD6C" w14:textId="77777777" w:rsidR="008E5DE4" w:rsidRDefault="008E5DE4">
            <w:pPr>
              <w:widowControl w:val="0"/>
              <w:pBdr>
                <w:top w:val="nil"/>
                <w:left w:val="nil"/>
                <w:bottom w:val="nil"/>
                <w:right w:val="nil"/>
                <w:between w:val="nil"/>
              </w:pBdr>
              <w:jc w:val="right"/>
              <w:rPr>
                <w:color w:val="000000"/>
                <w:sz w:val="16"/>
                <w:szCs w:val="16"/>
              </w:rPr>
            </w:pPr>
          </w:p>
        </w:tc>
      </w:tr>
      <w:tr w:rsidR="008E5DE4" w14:paraId="23B12EE0" w14:textId="77777777">
        <w:trPr>
          <w:cantSplit/>
        </w:trPr>
        <w:tc>
          <w:tcPr>
            <w:tcW w:w="3005" w:type="dxa"/>
            <w:vAlign w:val="bottom"/>
          </w:tcPr>
          <w:p w14:paraId="216D5791"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Provisions for liabilities and charges</w:t>
            </w:r>
          </w:p>
        </w:tc>
        <w:tc>
          <w:tcPr>
            <w:tcW w:w="907" w:type="dxa"/>
            <w:vAlign w:val="bottom"/>
          </w:tcPr>
          <w:p w14:paraId="7AC5216D"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77A044EF"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A818C38"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6ED22E0"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25FBFBF"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E4BCA1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C94CE09" w14:textId="77777777" w:rsidR="008E5DE4" w:rsidRDefault="008E5DE4">
            <w:pPr>
              <w:widowControl w:val="0"/>
              <w:pBdr>
                <w:top w:val="nil"/>
                <w:left w:val="nil"/>
                <w:bottom w:val="nil"/>
                <w:right w:val="nil"/>
                <w:between w:val="nil"/>
              </w:pBdr>
              <w:jc w:val="right"/>
              <w:rPr>
                <w:color w:val="000000"/>
                <w:sz w:val="16"/>
                <w:szCs w:val="16"/>
              </w:rPr>
            </w:pPr>
          </w:p>
        </w:tc>
      </w:tr>
      <w:tr w:rsidR="008E5DE4" w14:paraId="5226231C" w14:textId="77777777">
        <w:trPr>
          <w:cantSplit/>
        </w:trPr>
        <w:tc>
          <w:tcPr>
            <w:tcW w:w="3005" w:type="dxa"/>
            <w:vAlign w:val="bottom"/>
          </w:tcPr>
          <w:p w14:paraId="5F6007BD"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Write-down of Inventories</w:t>
            </w:r>
          </w:p>
        </w:tc>
        <w:tc>
          <w:tcPr>
            <w:tcW w:w="907" w:type="dxa"/>
            <w:vAlign w:val="bottom"/>
          </w:tcPr>
          <w:p w14:paraId="0215B8A1"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658993C"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FFB54BC"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7EE9B25"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7C2B508"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73A7BE88"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5456451" w14:textId="77777777" w:rsidR="008E5DE4" w:rsidRDefault="008E5DE4">
            <w:pPr>
              <w:widowControl w:val="0"/>
              <w:pBdr>
                <w:top w:val="nil"/>
                <w:left w:val="nil"/>
                <w:bottom w:val="nil"/>
                <w:right w:val="nil"/>
                <w:between w:val="nil"/>
              </w:pBdr>
              <w:jc w:val="right"/>
              <w:rPr>
                <w:color w:val="000000"/>
                <w:sz w:val="16"/>
                <w:szCs w:val="16"/>
              </w:rPr>
            </w:pPr>
          </w:p>
        </w:tc>
      </w:tr>
      <w:tr w:rsidR="008E5DE4" w14:paraId="571C5E06" w14:textId="77777777">
        <w:trPr>
          <w:cantSplit/>
        </w:trPr>
        <w:tc>
          <w:tcPr>
            <w:tcW w:w="3005" w:type="dxa"/>
            <w:vAlign w:val="bottom"/>
          </w:tcPr>
          <w:p w14:paraId="1C1DBF0B"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xml:space="preserve">Borrowings </w:t>
            </w:r>
          </w:p>
        </w:tc>
        <w:tc>
          <w:tcPr>
            <w:tcW w:w="907" w:type="dxa"/>
            <w:vAlign w:val="bottom"/>
          </w:tcPr>
          <w:p w14:paraId="3C36C29E"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BD4F50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3C8C7E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8AA229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1FDD8BE"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270BB5A"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9D04CBA" w14:textId="77777777" w:rsidR="008E5DE4" w:rsidRDefault="008E5DE4">
            <w:pPr>
              <w:widowControl w:val="0"/>
              <w:pBdr>
                <w:top w:val="nil"/>
                <w:left w:val="nil"/>
                <w:bottom w:val="nil"/>
                <w:right w:val="nil"/>
                <w:between w:val="nil"/>
              </w:pBdr>
              <w:jc w:val="right"/>
              <w:rPr>
                <w:color w:val="000000"/>
                <w:sz w:val="16"/>
                <w:szCs w:val="16"/>
              </w:rPr>
            </w:pPr>
          </w:p>
        </w:tc>
      </w:tr>
      <w:tr w:rsidR="008E5DE4" w14:paraId="0FB435D8" w14:textId="77777777">
        <w:trPr>
          <w:cantSplit/>
        </w:trPr>
        <w:tc>
          <w:tcPr>
            <w:tcW w:w="3005" w:type="dxa"/>
            <w:vAlign w:val="bottom"/>
          </w:tcPr>
          <w:p w14:paraId="764FFFF1"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Lease liabilities</w:t>
            </w:r>
          </w:p>
        </w:tc>
        <w:tc>
          <w:tcPr>
            <w:tcW w:w="907" w:type="dxa"/>
            <w:vAlign w:val="bottom"/>
          </w:tcPr>
          <w:p w14:paraId="761AB2BD"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7947F5F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8B407EE"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DA1116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77254B05"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CBBFE4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31675DC" w14:textId="77777777" w:rsidR="008E5DE4" w:rsidRDefault="008E5DE4">
            <w:pPr>
              <w:widowControl w:val="0"/>
              <w:pBdr>
                <w:top w:val="nil"/>
                <w:left w:val="nil"/>
                <w:bottom w:val="nil"/>
                <w:right w:val="nil"/>
                <w:between w:val="nil"/>
              </w:pBdr>
              <w:jc w:val="right"/>
              <w:rPr>
                <w:color w:val="000000"/>
                <w:sz w:val="16"/>
                <w:szCs w:val="16"/>
              </w:rPr>
            </w:pPr>
          </w:p>
        </w:tc>
      </w:tr>
      <w:tr w:rsidR="008E5DE4" w14:paraId="685475A5" w14:textId="77777777">
        <w:trPr>
          <w:cantSplit/>
        </w:trPr>
        <w:tc>
          <w:tcPr>
            <w:tcW w:w="3005" w:type="dxa"/>
            <w:vAlign w:val="bottom"/>
          </w:tcPr>
          <w:p w14:paraId="0F824670"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Fair valuation of Investment properties</w:t>
            </w:r>
          </w:p>
        </w:tc>
        <w:tc>
          <w:tcPr>
            <w:tcW w:w="907" w:type="dxa"/>
            <w:vAlign w:val="bottom"/>
          </w:tcPr>
          <w:p w14:paraId="13D4EC30"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A75BB70"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1A494E6"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1F113E5"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789517F2"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AC4A45D"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4E24A98" w14:textId="77777777" w:rsidR="008E5DE4" w:rsidRDefault="008E5DE4">
            <w:pPr>
              <w:widowControl w:val="0"/>
              <w:pBdr>
                <w:top w:val="nil"/>
                <w:left w:val="nil"/>
                <w:bottom w:val="nil"/>
                <w:right w:val="nil"/>
                <w:between w:val="nil"/>
              </w:pBdr>
              <w:jc w:val="right"/>
              <w:rPr>
                <w:color w:val="000000"/>
                <w:sz w:val="16"/>
                <w:szCs w:val="16"/>
              </w:rPr>
            </w:pPr>
          </w:p>
        </w:tc>
      </w:tr>
      <w:tr w:rsidR="008E5DE4" w14:paraId="01B4A91D" w14:textId="77777777">
        <w:trPr>
          <w:cantSplit/>
        </w:trPr>
        <w:tc>
          <w:tcPr>
            <w:tcW w:w="3005" w:type="dxa"/>
            <w:vAlign w:val="bottom"/>
          </w:tcPr>
          <w:p w14:paraId="0B321F46"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Right-of-use assets</w:t>
            </w:r>
          </w:p>
        </w:tc>
        <w:tc>
          <w:tcPr>
            <w:tcW w:w="907" w:type="dxa"/>
            <w:vAlign w:val="bottom"/>
          </w:tcPr>
          <w:p w14:paraId="1CE67C3A"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1386E9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7CF7BFE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78985A3"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1D8A92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FDD8545"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04E94F1" w14:textId="77777777" w:rsidR="008E5DE4" w:rsidRDefault="008E5DE4">
            <w:pPr>
              <w:widowControl w:val="0"/>
              <w:pBdr>
                <w:top w:val="nil"/>
                <w:left w:val="nil"/>
                <w:bottom w:val="nil"/>
                <w:right w:val="nil"/>
                <w:between w:val="nil"/>
              </w:pBdr>
              <w:jc w:val="right"/>
              <w:rPr>
                <w:color w:val="000000"/>
                <w:sz w:val="16"/>
                <w:szCs w:val="16"/>
              </w:rPr>
            </w:pPr>
          </w:p>
        </w:tc>
      </w:tr>
      <w:tr w:rsidR="008E5DE4" w14:paraId="54141F04" w14:textId="77777777">
        <w:trPr>
          <w:cantSplit/>
        </w:trPr>
        <w:tc>
          <w:tcPr>
            <w:tcW w:w="3005" w:type="dxa"/>
            <w:vAlign w:val="bottom"/>
          </w:tcPr>
          <w:p w14:paraId="0AC85C8F"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Fair valuation of securities at FVOCI</w:t>
            </w:r>
          </w:p>
        </w:tc>
        <w:tc>
          <w:tcPr>
            <w:tcW w:w="907" w:type="dxa"/>
            <w:vAlign w:val="bottom"/>
          </w:tcPr>
          <w:p w14:paraId="43939512"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FCAAA13"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CEB5D96"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C7236A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4A7ABE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F7B0488"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7D6984AF" w14:textId="77777777" w:rsidR="008E5DE4" w:rsidRDefault="008E5DE4">
            <w:pPr>
              <w:widowControl w:val="0"/>
              <w:pBdr>
                <w:top w:val="nil"/>
                <w:left w:val="nil"/>
                <w:bottom w:val="nil"/>
                <w:right w:val="nil"/>
                <w:between w:val="nil"/>
              </w:pBdr>
              <w:jc w:val="right"/>
              <w:rPr>
                <w:color w:val="000000"/>
                <w:sz w:val="16"/>
                <w:szCs w:val="16"/>
              </w:rPr>
            </w:pPr>
          </w:p>
        </w:tc>
      </w:tr>
      <w:tr w:rsidR="008E5DE4" w14:paraId="35AA37DA" w14:textId="77777777">
        <w:trPr>
          <w:cantSplit/>
        </w:trPr>
        <w:tc>
          <w:tcPr>
            <w:tcW w:w="3005" w:type="dxa"/>
            <w:vAlign w:val="bottom"/>
          </w:tcPr>
          <w:p w14:paraId="22F6B698"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Other</w:t>
            </w:r>
          </w:p>
        </w:tc>
        <w:tc>
          <w:tcPr>
            <w:tcW w:w="907" w:type="dxa"/>
            <w:vAlign w:val="bottom"/>
          </w:tcPr>
          <w:p w14:paraId="6DC7AC66"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02DB453"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46BA3F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07D8C4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B7B41F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729E166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5CDDD29" w14:textId="77777777" w:rsidR="008E5DE4" w:rsidRDefault="008E5DE4">
            <w:pPr>
              <w:widowControl w:val="0"/>
              <w:pBdr>
                <w:top w:val="nil"/>
                <w:left w:val="nil"/>
                <w:bottom w:val="nil"/>
                <w:right w:val="nil"/>
                <w:between w:val="nil"/>
              </w:pBdr>
              <w:jc w:val="right"/>
              <w:rPr>
                <w:color w:val="000000"/>
                <w:sz w:val="16"/>
                <w:szCs w:val="16"/>
              </w:rPr>
            </w:pPr>
          </w:p>
        </w:tc>
      </w:tr>
      <w:tr w:rsidR="008E5DE4" w14:paraId="0703192D" w14:textId="77777777">
        <w:trPr>
          <w:cantSplit/>
        </w:trPr>
        <w:tc>
          <w:tcPr>
            <w:tcW w:w="3005" w:type="dxa"/>
            <w:tcBorders>
              <w:bottom w:val="single" w:sz="4" w:space="0" w:color="000000"/>
            </w:tcBorders>
            <w:vAlign w:val="bottom"/>
          </w:tcPr>
          <w:p w14:paraId="707AF829" w14:textId="77777777" w:rsidR="008E5DE4" w:rsidRDefault="00780368">
            <w:pPr>
              <w:widowControl w:val="0"/>
              <w:pBdr>
                <w:top w:val="nil"/>
                <w:left w:val="nil"/>
                <w:bottom w:val="nil"/>
                <w:right w:val="nil"/>
                <w:between w:val="nil"/>
              </w:pBdr>
              <w:ind w:left="113" w:right="-57" w:hanging="113"/>
              <w:rPr>
                <w:b/>
                <w:color w:val="000000"/>
                <w:sz w:val="16"/>
                <w:szCs w:val="16"/>
              </w:rPr>
            </w:pPr>
            <w:r>
              <w:rPr>
                <w:b/>
                <w:color w:val="000000"/>
                <w:sz w:val="16"/>
                <w:szCs w:val="16"/>
              </w:rPr>
              <w:t> </w:t>
            </w:r>
          </w:p>
        </w:tc>
        <w:tc>
          <w:tcPr>
            <w:tcW w:w="907" w:type="dxa"/>
            <w:tcBorders>
              <w:bottom w:val="single" w:sz="4" w:space="0" w:color="000000"/>
            </w:tcBorders>
            <w:vAlign w:val="bottom"/>
          </w:tcPr>
          <w:p w14:paraId="388F347B"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68DD28A0"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076C6915"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6507EDC5"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7C397FAC"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44E3D2E9"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731EFDFF"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4D593DF1" w14:textId="77777777">
        <w:trPr>
          <w:cantSplit/>
        </w:trPr>
        <w:tc>
          <w:tcPr>
            <w:tcW w:w="3005" w:type="dxa"/>
            <w:vAlign w:val="bottom"/>
          </w:tcPr>
          <w:p w14:paraId="1CE97871" w14:textId="77777777" w:rsidR="008E5DE4" w:rsidRDefault="008E5DE4">
            <w:pPr>
              <w:widowControl w:val="0"/>
              <w:pBdr>
                <w:top w:val="nil"/>
                <w:left w:val="nil"/>
                <w:bottom w:val="nil"/>
                <w:right w:val="nil"/>
                <w:between w:val="nil"/>
              </w:pBdr>
              <w:ind w:left="113" w:right="-57" w:hanging="113"/>
              <w:rPr>
                <w:b/>
                <w:color w:val="000000"/>
                <w:sz w:val="16"/>
                <w:szCs w:val="16"/>
              </w:rPr>
            </w:pPr>
          </w:p>
        </w:tc>
        <w:tc>
          <w:tcPr>
            <w:tcW w:w="907" w:type="dxa"/>
            <w:vAlign w:val="bottom"/>
          </w:tcPr>
          <w:p w14:paraId="43BE3728"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7356C488"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62BE8ECA"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4378BF1D"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0A488C50"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1C3B8533"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3271A87B"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68F2E05B" w14:textId="77777777">
        <w:trPr>
          <w:cantSplit/>
        </w:trPr>
        <w:tc>
          <w:tcPr>
            <w:tcW w:w="3005" w:type="dxa"/>
            <w:vAlign w:val="bottom"/>
          </w:tcPr>
          <w:p w14:paraId="73AA166C" w14:textId="77777777" w:rsidR="008E5DE4" w:rsidRDefault="00780368">
            <w:pPr>
              <w:widowControl w:val="0"/>
              <w:ind w:left="113" w:right="-57" w:hanging="113"/>
              <w:rPr>
                <w:b/>
                <w:sz w:val="16"/>
                <w:szCs w:val="16"/>
              </w:rPr>
            </w:pPr>
            <w:r>
              <w:rPr>
                <w:b/>
                <w:sz w:val="16"/>
                <w:szCs w:val="16"/>
              </w:rPr>
              <w:t>Net deferred tax asset/(liability)</w:t>
            </w:r>
          </w:p>
        </w:tc>
        <w:tc>
          <w:tcPr>
            <w:tcW w:w="907" w:type="dxa"/>
            <w:vAlign w:val="bottom"/>
          </w:tcPr>
          <w:p w14:paraId="5F2B1F33" w14:textId="77777777" w:rsidR="008E5DE4" w:rsidRDefault="00780368">
            <w:pPr>
              <w:widowControl w:val="0"/>
              <w:pBdr>
                <w:top w:val="nil"/>
                <w:left w:val="nil"/>
                <w:bottom w:val="nil"/>
                <w:right w:val="nil"/>
                <w:between w:val="nil"/>
              </w:pBdr>
              <w:jc w:val="right"/>
              <w:rPr>
                <w:b/>
                <w:color w:val="000000"/>
                <w:sz w:val="16"/>
                <w:szCs w:val="16"/>
              </w:rPr>
            </w:pPr>
            <w:r>
              <w:rPr>
                <w:b/>
                <w:color w:val="000000"/>
                <w:sz w:val="16"/>
                <w:szCs w:val="16"/>
              </w:rPr>
              <w:t>Σ</w:t>
            </w:r>
          </w:p>
        </w:tc>
        <w:tc>
          <w:tcPr>
            <w:tcW w:w="907" w:type="dxa"/>
            <w:vAlign w:val="bottom"/>
          </w:tcPr>
          <w:p w14:paraId="1458CC02" w14:textId="77777777" w:rsidR="008E5DE4" w:rsidRDefault="00780368">
            <w:pPr>
              <w:widowControl w:val="0"/>
              <w:pBdr>
                <w:top w:val="nil"/>
                <w:left w:val="nil"/>
                <w:bottom w:val="nil"/>
                <w:right w:val="nil"/>
                <w:between w:val="nil"/>
              </w:pBdr>
              <w:jc w:val="right"/>
              <w:rPr>
                <w:b/>
                <w:color w:val="000000"/>
                <w:sz w:val="16"/>
                <w:szCs w:val="16"/>
              </w:rPr>
            </w:pPr>
            <w:r>
              <w:rPr>
                <w:b/>
                <w:color w:val="000000"/>
                <w:sz w:val="16"/>
                <w:szCs w:val="16"/>
              </w:rPr>
              <w:t>Σ</w:t>
            </w:r>
          </w:p>
        </w:tc>
        <w:tc>
          <w:tcPr>
            <w:tcW w:w="907" w:type="dxa"/>
            <w:vAlign w:val="bottom"/>
          </w:tcPr>
          <w:p w14:paraId="2D973275" w14:textId="77777777" w:rsidR="008E5DE4" w:rsidRDefault="00780368">
            <w:pPr>
              <w:widowControl w:val="0"/>
              <w:pBdr>
                <w:top w:val="nil"/>
                <w:left w:val="nil"/>
                <w:bottom w:val="nil"/>
                <w:right w:val="nil"/>
                <w:between w:val="nil"/>
              </w:pBdr>
              <w:jc w:val="right"/>
              <w:rPr>
                <w:b/>
                <w:color w:val="000000"/>
                <w:sz w:val="16"/>
                <w:szCs w:val="16"/>
              </w:rPr>
            </w:pPr>
            <w:r>
              <w:rPr>
                <w:b/>
                <w:color w:val="000000"/>
                <w:sz w:val="16"/>
                <w:szCs w:val="16"/>
              </w:rPr>
              <w:t>Σ</w:t>
            </w:r>
          </w:p>
        </w:tc>
        <w:tc>
          <w:tcPr>
            <w:tcW w:w="907" w:type="dxa"/>
            <w:vAlign w:val="bottom"/>
          </w:tcPr>
          <w:p w14:paraId="1C778228" w14:textId="77777777" w:rsidR="008E5DE4" w:rsidRDefault="00780368">
            <w:pPr>
              <w:widowControl w:val="0"/>
              <w:pBdr>
                <w:top w:val="nil"/>
                <w:left w:val="nil"/>
                <w:bottom w:val="nil"/>
                <w:right w:val="nil"/>
                <w:between w:val="nil"/>
              </w:pBdr>
              <w:jc w:val="right"/>
              <w:rPr>
                <w:b/>
                <w:color w:val="000000"/>
                <w:sz w:val="16"/>
                <w:szCs w:val="16"/>
              </w:rPr>
            </w:pPr>
            <w:r>
              <w:rPr>
                <w:b/>
                <w:color w:val="000000"/>
                <w:sz w:val="16"/>
                <w:szCs w:val="16"/>
              </w:rPr>
              <w:t>Σ</w:t>
            </w:r>
          </w:p>
        </w:tc>
        <w:tc>
          <w:tcPr>
            <w:tcW w:w="907" w:type="dxa"/>
            <w:vAlign w:val="bottom"/>
          </w:tcPr>
          <w:p w14:paraId="2FC8EF3B" w14:textId="77777777" w:rsidR="008E5DE4" w:rsidRDefault="00780368">
            <w:pPr>
              <w:widowControl w:val="0"/>
              <w:pBdr>
                <w:top w:val="nil"/>
                <w:left w:val="nil"/>
                <w:bottom w:val="nil"/>
                <w:right w:val="nil"/>
                <w:between w:val="nil"/>
              </w:pBdr>
              <w:jc w:val="right"/>
              <w:rPr>
                <w:b/>
                <w:color w:val="000000"/>
                <w:sz w:val="16"/>
                <w:szCs w:val="16"/>
              </w:rPr>
            </w:pPr>
            <w:r>
              <w:rPr>
                <w:b/>
                <w:color w:val="000000"/>
                <w:sz w:val="16"/>
                <w:szCs w:val="16"/>
              </w:rPr>
              <w:t>Σ</w:t>
            </w:r>
          </w:p>
        </w:tc>
        <w:tc>
          <w:tcPr>
            <w:tcW w:w="907" w:type="dxa"/>
            <w:vAlign w:val="bottom"/>
          </w:tcPr>
          <w:p w14:paraId="4A8E74D6" w14:textId="77777777" w:rsidR="008E5DE4" w:rsidRDefault="00780368">
            <w:pPr>
              <w:widowControl w:val="0"/>
              <w:pBdr>
                <w:top w:val="nil"/>
                <w:left w:val="nil"/>
                <w:bottom w:val="nil"/>
                <w:right w:val="nil"/>
                <w:between w:val="nil"/>
              </w:pBdr>
              <w:jc w:val="right"/>
              <w:rPr>
                <w:b/>
                <w:color w:val="000000"/>
                <w:sz w:val="16"/>
                <w:szCs w:val="16"/>
              </w:rPr>
            </w:pPr>
            <w:r>
              <w:rPr>
                <w:b/>
                <w:color w:val="000000"/>
                <w:sz w:val="16"/>
                <w:szCs w:val="16"/>
              </w:rPr>
              <w:t>Σ</w:t>
            </w:r>
          </w:p>
        </w:tc>
        <w:tc>
          <w:tcPr>
            <w:tcW w:w="907" w:type="dxa"/>
            <w:vAlign w:val="bottom"/>
          </w:tcPr>
          <w:p w14:paraId="56251DBE" w14:textId="77777777" w:rsidR="008E5DE4" w:rsidRDefault="00780368">
            <w:pPr>
              <w:widowControl w:val="0"/>
              <w:pBdr>
                <w:top w:val="nil"/>
                <w:left w:val="nil"/>
                <w:bottom w:val="nil"/>
                <w:right w:val="nil"/>
                <w:between w:val="nil"/>
              </w:pBdr>
              <w:jc w:val="right"/>
              <w:rPr>
                <w:b/>
                <w:color w:val="000000"/>
                <w:sz w:val="16"/>
                <w:szCs w:val="16"/>
              </w:rPr>
            </w:pPr>
            <w:r>
              <w:rPr>
                <w:b/>
                <w:color w:val="000000"/>
                <w:sz w:val="16"/>
                <w:szCs w:val="16"/>
              </w:rPr>
              <w:t>Σ</w:t>
            </w:r>
          </w:p>
        </w:tc>
      </w:tr>
      <w:tr w:rsidR="008E5DE4" w14:paraId="1AA58B5A" w14:textId="77777777">
        <w:trPr>
          <w:cantSplit/>
        </w:trPr>
        <w:tc>
          <w:tcPr>
            <w:tcW w:w="3005" w:type="dxa"/>
            <w:tcBorders>
              <w:bottom w:val="single" w:sz="12" w:space="0" w:color="000000"/>
            </w:tcBorders>
            <w:vAlign w:val="bottom"/>
          </w:tcPr>
          <w:p w14:paraId="4895F732" w14:textId="77777777" w:rsidR="008E5DE4" w:rsidRDefault="00780368">
            <w:pPr>
              <w:widowControl w:val="0"/>
              <w:ind w:left="113" w:right="-57" w:hanging="113"/>
              <w:rPr>
                <w:b/>
                <w:sz w:val="16"/>
                <w:szCs w:val="16"/>
              </w:rPr>
            </w:pPr>
            <w:r>
              <w:rPr>
                <w:b/>
                <w:sz w:val="16"/>
                <w:szCs w:val="16"/>
              </w:rPr>
              <w:t> </w:t>
            </w:r>
          </w:p>
        </w:tc>
        <w:tc>
          <w:tcPr>
            <w:tcW w:w="907" w:type="dxa"/>
            <w:tcBorders>
              <w:bottom w:val="single" w:sz="12" w:space="0" w:color="000000"/>
            </w:tcBorders>
            <w:vAlign w:val="bottom"/>
          </w:tcPr>
          <w:p w14:paraId="3C3927D5"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77B9FB14"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34E23344"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64D57B10"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6CDEF9F7"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41285AD0"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4430AE8F"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0732425D" w14:textId="77777777">
        <w:trPr>
          <w:cantSplit/>
        </w:trPr>
        <w:tc>
          <w:tcPr>
            <w:tcW w:w="3005" w:type="dxa"/>
            <w:vAlign w:val="bottom"/>
          </w:tcPr>
          <w:p w14:paraId="5BDFC8A5" w14:textId="77777777" w:rsidR="008E5DE4" w:rsidRDefault="008E5DE4">
            <w:pPr>
              <w:widowControl w:val="0"/>
              <w:ind w:left="113" w:right="-57" w:hanging="113"/>
              <w:rPr>
                <w:sz w:val="16"/>
                <w:szCs w:val="16"/>
              </w:rPr>
            </w:pPr>
          </w:p>
        </w:tc>
        <w:tc>
          <w:tcPr>
            <w:tcW w:w="907" w:type="dxa"/>
            <w:vAlign w:val="bottom"/>
          </w:tcPr>
          <w:p w14:paraId="332150B0"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20213540"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35048C67"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0A8B0F15"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13CE4CEF"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6C6A180E"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3D29C9DF"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2587F4A8" w14:textId="77777777">
        <w:trPr>
          <w:cantSplit/>
        </w:trPr>
        <w:tc>
          <w:tcPr>
            <w:tcW w:w="3005" w:type="dxa"/>
            <w:vAlign w:val="bottom"/>
          </w:tcPr>
          <w:p w14:paraId="2E288ECD" w14:textId="77777777" w:rsidR="008E5DE4" w:rsidRDefault="00780368">
            <w:pPr>
              <w:widowControl w:val="0"/>
              <w:ind w:left="113" w:right="-57" w:hanging="113"/>
              <w:rPr>
                <w:sz w:val="16"/>
                <w:szCs w:val="16"/>
              </w:rPr>
            </w:pPr>
            <w:r>
              <w:rPr>
                <w:sz w:val="16"/>
                <w:szCs w:val="16"/>
              </w:rPr>
              <w:t>Recognised deferred tax asset</w:t>
            </w:r>
          </w:p>
        </w:tc>
        <w:tc>
          <w:tcPr>
            <w:tcW w:w="907" w:type="dxa"/>
            <w:vAlign w:val="bottom"/>
          </w:tcPr>
          <w:p w14:paraId="64FB1DF8"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10B9A896"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3D852EC6"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3960492E"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3DE44F17"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7ABAF5FA"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717B62BE"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2D2F8F73" w14:textId="77777777">
        <w:trPr>
          <w:cantSplit/>
        </w:trPr>
        <w:tc>
          <w:tcPr>
            <w:tcW w:w="3005" w:type="dxa"/>
            <w:vAlign w:val="bottom"/>
          </w:tcPr>
          <w:p w14:paraId="6BC19E94" w14:textId="77777777" w:rsidR="008E5DE4" w:rsidRDefault="00780368">
            <w:pPr>
              <w:widowControl w:val="0"/>
              <w:ind w:left="113" w:right="-57" w:hanging="113"/>
              <w:rPr>
                <w:sz w:val="16"/>
                <w:szCs w:val="16"/>
              </w:rPr>
            </w:pPr>
            <w:r>
              <w:rPr>
                <w:sz w:val="16"/>
                <w:szCs w:val="16"/>
              </w:rPr>
              <w:t>Recognised deferred tax liability</w:t>
            </w:r>
          </w:p>
        </w:tc>
        <w:tc>
          <w:tcPr>
            <w:tcW w:w="907" w:type="dxa"/>
            <w:vAlign w:val="bottom"/>
          </w:tcPr>
          <w:p w14:paraId="7DED93E4"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1E4F830C"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6B632884"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561642E4"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2F11173F"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3DB58D60"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78FD6C45"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7DB7791E" w14:textId="77777777">
        <w:trPr>
          <w:cantSplit/>
        </w:trPr>
        <w:tc>
          <w:tcPr>
            <w:tcW w:w="3005" w:type="dxa"/>
            <w:tcBorders>
              <w:bottom w:val="single" w:sz="4" w:space="0" w:color="000000"/>
            </w:tcBorders>
            <w:vAlign w:val="bottom"/>
          </w:tcPr>
          <w:p w14:paraId="149EF656" w14:textId="77777777" w:rsidR="008E5DE4" w:rsidRDefault="00780368">
            <w:pPr>
              <w:widowControl w:val="0"/>
              <w:ind w:left="113" w:right="-57" w:hanging="113"/>
              <w:rPr>
                <w:b/>
                <w:sz w:val="16"/>
                <w:szCs w:val="16"/>
              </w:rPr>
            </w:pPr>
            <w:r>
              <w:rPr>
                <w:b/>
                <w:sz w:val="16"/>
                <w:szCs w:val="16"/>
              </w:rPr>
              <w:t> </w:t>
            </w:r>
          </w:p>
        </w:tc>
        <w:tc>
          <w:tcPr>
            <w:tcW w:w="907" w:type="dxa"/>
            <w:tcBorders>
              <w:bottom w:val="single" w:sz="4" w:space="0" w:color="000000"/>
            </w:tcBorders>
            <w:vAlign w:val="bottom"/>
          </w:tcPr>
          <w:p w14:paraId="315D06A1"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58D4099B"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59816536"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5414A3A7"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36D7321B"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78AA19FC"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4" w:space="0" w:color="000000"/>
            </w:tcBorders>
            <w:vAlign w:val="bottom"/>
          </w:tcPr>
          <w:p w14:paraId="30B3D321"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34423728" w14:textId="77777777">
        <w:trPr>
          <w:cantSplit/>
        </w:trPr>
        <w:tc>
          <w:tcPr>
            <w:tcW w:w="3005" w:type="dxa"/>
            <w:tcBorders>
              <w:top w:val="single" w:sz="4" w:space="0" w:color="000000"/>
            </w:tcBorders>
            <w:vAlign w:val="bottom"/>
          </w:tcPr>
          <w:p w14:paraId="02AE75D4" w14:textId="77777777" w:rsidR="008E5DE4" w:rsidRDefault="00780368">
            <w:pPr>
              <w:widowControl w:val="0"/>
              <w:ind w:left="113" w:right="-57" w:hanging="113"/>
              <w:rPr>
                <w:b/>
                <w:sz w:val="16"/>
                <w:szCs w:val="16"/>
              </w:rPr>
            </w:pPr>
            <w:r>
              <w:rPr>
                <w:b/>
                <w:sz w:val="16"/>
                <w:szCs w:val="16"/>
              </w:rPr>
              <w:t> </w:t>
            </w:r>
          </w:p>
        </w:tc>
        <w:tc>
          <w:tcPr>
            <w:tcW w:w="907" w:type="dxa"/>
            <w:tcBorders>
              <w:top w:val="single" w:sz="4" w:space="0" w:color="000000"/>
            </w:tcBorders>
            <w:vAlign w:val="bottom"/>
          </w:tcPr>
          <w:p w14:paraId="79EAF84A"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top w:val="single" w:sz="4" w:space="0" w:color="000000"/>
            </w:tcBorders>
            <w:vAlign w:val="bottom"/>
          </w:tcPr>
          <w:p w14:paraId="46442A84"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top w:val="single" w:sz="4" w:space="0" w:color="000000"/>
            </w:tcBorders>
            <w:vAlign w:val="bottom"/>
          </w:tcPr>
          <w:p w14:paraId="401FEFA2"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top w:val="single" w:sz="4" w:space="0" w:color="000000"/>
            </w:tcBorders>
            <w:vAlign w:val="bottom"/>
          </w:tcPr>
          <w:p w14:paraId="2438DFFD"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top w:val="single" w:sz="4" w:space="0" w:color="000000"/>
            </w:tcBorders>
            <w:vAlign w:val="bottom"/>
          </w:tcPr>
          <w:p w14:paraId="34F5A0FC"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top w:val="single" w:sz="4" w:space="0" w:color="000000"/>
            </w:tcBorders>
            <w:vAlign w:val="bottom"/>
          </w:tcPr>
          <w:p w14:paraId="4E2DC69A"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top w:val="single" w:sz="4" w:space="0" w:color="000000"/>
            </w:tcBorders>
            <w:vAlign w:val="bottom"/>
          </w:tcPr>
          <w:p w14:paraId="4D28E0BB"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18055CBC" w14:textId="77777777">
        <w:trPr>
          <w:cantSplit/>
        </w:trPr>
        <w:tc>
          <w:tcPr>
            <w:tcW w:w="3005" w:type="dxa"/>
            <w:vAlign w:val="bottom"/>
          </w:tcPr>
          <w:p w14:paraId="6B4ACF79" w14:textId="77777777" w:rsidR="008E5DE4" w:rsidRDefault="00780368">
            <w:pPr>
              <w:widowControl w:val="0"/>
              <w:ind w:left="113" w:right="-57" w:hanging="113"/>
              <w:rPr>
                <w:b/>
                <w:sz w:val="16"/>
                <w:szCs w:val="16"/>
              </w:rPr>
            </w:pPr>
            <w:r>
              <w:rPr>
                <w:b/>
                <w:sz w:val="16"/>
                <w:szCs w:val="16"/>
              </w:rPr>
              <w:t>Net deferred tax asset/(liability)</w:t>
            </w:r>
          </w:p>
        </w:tc>
        <w:tc>
          <w:tcPr>
            <w:tcW w:w="907" w:type="dxa"/>
            <w:vAlign w:val="bottom"/>
          </w:tcPr>
          <w:p w14:paraId="30063BE9"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7A35234C"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639809A7"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5AB72D00"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404630F7"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5FD15702"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7D03DB6A"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6C3ED805" w14:textId="77777777">
        <w:trPr>
          <w:cantSplit/>
        </w:trPr>
        <w:tc>
          <w:tcPr>
            <w:tcW w:w="3005" w:type="dxa"/>
            <w:tcBorders>
              <w:bottom w:val="single" w:sz="12" w:space="0" w:color="000000"/>
            </w:tcBorders>
            <w:vAlign w:val="bottom"/>
          </w:tcPr>
          <w:p w14:paraId="20C34914" w14:textId="77777777" w:rsidR="008E5DE4" w:rsidRDefault="00780368">
            <w:pPr>
              <w:widowControl w:val="0"/>
              <w:ind w:left="113" w:right="-57" w:hanging="113"/>
              <w:rPr>
                <w:b/>
                <w:sz w:val="16"/>
                <w:szCs w:val="16"/>
              </w:rPr>
            </w:pPr>
            <w:r>
              <w:rPr>
                <w:b/>
                <w:sz w:val="16"/>
                <w:szCs w:val="16"/>
              </w:rPr>
              <w:t> </w:t>
            </w:r>
          </w:p>
        </w:tc>
        <w:tc>
          <w:tcPr>
            <w:tcW w:w="907" w:type="dxa"/>
            <w:tcBorders>
              <w:bottom w:val="single" w:sz="12" w:space="0" w:color="000000"/>
            </w:tcBorders>
            <w:vAlign w:val="bottom"/>
          </w:tcPr>
          <w:p w14:paraId="7ED74141"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22EF5546"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52A71F3E"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70666BEE"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24478492"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66B5994C"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tcBorders>
              <w:bottom w:val="single" w:sz="12" w:space="0" w:color="000000"/>
            </w:tcBorders>
            <w:vAlign w:val="bottom"/>
          </w:tcPr>
          <w:p w14:paraId="5FC6E4A8" w14:textId="77777777" w:rsidR="008E5DE4" w:rsidRDefault="008E5DE4">
            <w:pPr>
              <w:widowControl w:val="0"/>
              <w:pBdr>
                <w:top w:val="nil"/>
                <w:left w:val="nil"/>
                <w:bottom w:val="nil"/>
                <w:right w:val="nil"/>
                <w:between w:val="nil"/>
              </w:pBdr>
              <w:jc w:val="right"/>
              <w:rPr>
                <w:b/>
                <w:color w:val="000000"/>
                <w:sz w:val="16"/>
                <w:szCs w:val="16"/>
              </w:rPr>
            </w:pPr>
          </w:p>
        </w:tc>
      </w:tr>
    </w:tbl>
    <w:p w14:paraId="03B2511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39</w:t>
      </w:r>
      <w:r>
        <w:rPr>
          <w:b/>
          <w:color w:val="000000"/>
          <w:sz w:val="20"/>
          <w:szCs w:val="20"/>
        </w:rPr>
        <w:tab/>
        <w:t>Income Taxes (Continued)</w:t>
      </w:r>
    </w:p>
    <w:p w14:paraId="6ADED240"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(g) </w:t>
      </w:r>
      <w:r>
        <w:rPr>
          <w:b/>
          <w:i/>
          <w:color w:val="000000"/>
          <w:sz w:val="20"/>
          <w:szCs w:val="20"/>
        </w:rPr>
        <w:tab/>
        <w:t>Current and deferred tax effects relating to each component of other comprehensive income</w:t>
      </w:r>
    </w:p>
    <w:p w14:paraId="0134BFBD" w14:textId="77777777" w:rsidR="008E5DE4" w:rsidRDefault="00780368">
      <w:pPr>
        <w:widowControl w:val="0"/>
        <w:pBdr>
          <w:top w:val="nil"/>
          <w:left w:val="nil"/>
          <w:bottom w:val="nil"/>
          <w:right w:val="nil"/>
          <w:between w:val="nil"/>
        </w:pBdr>
        <w:spacing w:before="200"/>
        <w:jc w:val="both"/>
        <w:rPr>
          <w:color w:val="000000"/>
          <w:sz w:val="20"/>
          <w:szCs w:val="20"/>
        </w:rPr>
      </w:pPr>
      <w:r>
        <w:rPr>
          <w:color w:val="000000"/>
          <w:sz w:val="20"/>
          <w:szCs w:val="20"/>
        </w:rPr>
        <w:t xml:space="preserve">Current and deferred tax effects relating to each component of other comprehensive income are as follows: </w:t>
      </w:r>
    </w:p>
    <w:tbl>
      <w:tblPr>
        <w:tblStyle w:val="afffffffffff6"/>
        <w:tblW w:w="9353" w:type="dxa"/>
        <w:tblLayout w:type="fixed"/>
        <w:tblLook w:val="0000" w:firstRow="0" w:lastRow="0" w:firstColumn="0" w:lastColumn="0" w:noHBand="0" w:noVBand="0"/>
      </w:tblPr>
      <w:tblGrid>
        <w:gridCol w:w="2891"/>
        <w:gridCol w:w="1077"/>
        <w:gridCol w:w="1077"/>
        <w:gridCol w:w="1077"/>
        <w:gridCol w:w="1077"/>
        <w:gridCol w:w="1077"/>
        <w:gridCol w:w="1077"/>
      </w:tblGrid>
      <w:tr w:rsidR="008E5DE4" w14:paraId="09FF92C6" w14:textId="77777777">
        <w:trPr>
          <w:cantSplit/>
        </w:trPr>
        <w:tc>
          <w:tcPr>
            <w:tcW w:w="2891" w:type="dxa"/>
            <w:vMerge w:val="restart"/>
            <w:vAlign w:val="bottom"/>
          </w:tcPr>
          <w:p w14:paraId="5FAC6B15"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3231" w:type="dxa"/>
            <w:gridSpan w:val="3"/>
            <w:tcBorders>
              <w:bottom w:val="single" w:sz="4" w:space="0" w:color="000000"/>
            </w:tcBorders>
            <w:vAlign w:val="bottom"/>
          </w:tcPr>
          <w:p w14:paraId="7494F206" w14:textId="2FEAC633" w:rsidR="008E5DE4" w:rsidRDefault="008614F8">
            <w:pPr>
              <w:widowControl w:val="0"/>
              <w:pBdr>
                <w:top w:val="nil"/>
                <w:left w:val="nil"/>
                <w:bottom w:val="nil"/>
                <w:right w:val="nil"/>
                <w:between w:val="nil"/>
              </w:pBdr>
              <w:jc w:val="center"/>
              <w:rPr>
                <w:b/>
                <w:color w:val="000000"/>
              </w:rPr>
            </w:pPr>
            <w:r>
              <w:rPr>
                <w:b/>
                <w:color w:val="000000"/>
              </w:rPr>
              <w:t>2025</w:t>
            </w:r>
          </w:p>
        </w:tc>
        <w:tc>
          <w:tcPr>
            <w:tcW w:w="3231" w:type="dxa"/>
            <w:gridSpan w:val="3"/>
            <w:tcBorders>
              <w:bottom w:val="single" w:sz="4" w:space="0" w:color="000000"/>
            </w:tcBorders>
            <w:vAlign w:val="bottom"/>
          </w:tcPr>
          <w:p w14:paraId="1115BCFB" w14:textId="2546578D" w:rsidR="008E5DE4" w:rsidRDefault="00E06A92">
            <w:pPr>
              <w:widowControl w:val="0"/>
              <w:pBdr>
                <w:top w:val="nil"/>
                <w:left w:val="nil"/>
                <w:bottom w:val="nil"/>
                <w:right w:val="nil"/>
                <w:between w:val="nil"/>
              </w:pBdr>
              <w:jc w:val="center"/>
              <w:rPr>
                <w:b/>
                <w:color w:val="000000"/>
              </w:rPr>
            </w:pPr>
            <w:r>
              <w:rPr>
                <w:b/>
                <w:color w:val="000000"/>
              </w:rPr>
              <w:t>2024</w:t>
            </w:r>
          </w:p>
        </w:tc>
      </w:tr>
      <w:tr w:rsidR="008E5DE4" w14:paraId="1E623954" w14:textId="77777777">
        <w:trPr>
          <w:cantSplit/>
        </w:trPr>
        <w:tc>
          <w:tcPr>
            <w:tcW w:w="2891" w:type="dxa"/>
            <w:vMerge/>
            <w:vAlign w:val="bottom"/>
          </w:tcPr>
          <w:p w14:paraId="2CAE6224" w14:textId="77777777" w:rsidR="008E5DE4" w:rsidRDefault="008E5DE4">
            <w:pPr>
              <w:widowControl w:val="0"/>
              <w:pBdr>
                <w:top w:val="nil"/>
                <w:left w:val="nil"/>
                <w:bottom w:val="nil"/>
                <w:right w:val="nil"/>
                <w:between w:val="nil"/>
              </w:pBdr>
              <w:spacing w:line="276" w:lineRule="auto"/>
              <w:rPr>
                <w:b/>
                <w:color w:val="000000"/>
              </w:rPr>
            </w:pPr>
          </w:p>
        </w:tc>
        <w:tc>
          <w:tcPr>
            <w:tcW w:w="1077" w:type="dxa"/>
            <w:tcBorders>
              <w:bottom w:val="single" w:sz="4" w:space="0" w:color="000000"/>
            </w:tcBorders>
          </w:tcPr>
          <w:p w14:paraId="38F7B900" w14:textId="77777777" w:rsidR="008E5DE4" w:rsidRDefault="00780368">
            <w:pPr>
              <w:widowControl w:val="0"/>
              <w:pBdr>
                <w:top w:val="nil"/>
                <w:left w:val="nil"/>
                <w:bottom w:val="nil"/>
                <w:right w:val="nil"/>
                <w:between w:val="nil"/>
              </w:pBdr>
              <w:ind w:left="-113"/>
              <w:jc w:val="right"/>
              <w:rPr>
                <w:b/>
                <w:color w:val="000000"/>
              </w:rPr>
            </w:pPr>
            <w:r>
              <w:rPr>
                <w:b/>
                <w:color w:val="000000"/>
              </w:rPr>
              <w:t>Before-tax amount</w:t>
            </w:r>
          </w:p>
        </w:tc>
        <w:tc>
          <w:tcPr>
            <w:tcW w:w="1077" w:type="dxa"/>
            <w:tcBorders>
              <w:bottom w:val="single" w:sz="4" w:space="0" w:color="000000"/>
            </w:tcBorders>
          </w:tcPr>
          <w:p w14:paraId="1280F824" w14:textId="77777777" w:rsidR="008E5DE4" w:rsidRDefault="00780368">
            <w:pPr>
              <w:widowControl w:val="0"/>
              <w:pBdr>
                <w:top w:val="nil"/>
                <w:left w:val="nil"/>
                <w:bottom w:val="nil"/>
                <w:right w:val="nil"/>
                <w:between w:val="nil"/>
              </w:pBdr>
              <w:ind w:left="-113"/>
              <w:jc w:val="right"/>
              <w:rPr>
                <w:b/>
                <w:color w:val="000000"/>
              </w:rPr>
            </w:pPr>
            <w:r>
              <w:rPr>
                <w:b/>
                <w:color w:val="000000"/>
              </w:rPr>
              <w:t>Income tax (expense) / benefit</w:t>
            </w:r>
          </w:p>
        </w:tc>
        <w:tc>
          <w:tcPr>
            <w:tcW w:w="1077" w:type="dxa"/>
            <w:tcBorders>
              <w:bottom w:val="single" w:sz="4" w:space="0" w:color="000000"/>
            </w:tcBorders>
          </w:tcPr>
          <w:p w14:paraId="78BC26F6" w14:textId="77777777" w:rsidR="008E5DE4" w:rsidRDefault="00780368">
            <w:pPr>
              <w:widowControl w:val="0"/>
              <w:pBdr>
                <w:top w:val="nil"/>
                <w:left w:val="nil"/>
                <w:bottom w:val="nil"/>
                <w:right w:val="nil"/>
                <w:between w:val="nil"/>
              </w:pBdr>
              <w:ind w:left="-113"/>
              <w:jc w:val="right"/>
              <w:rPr>
                <w:b/>
                <w:color w:val="000000"/>
              </w:rPr>
            </w:pPr>
            <w:r>
              <w:rPr>
                <w:b/>
                <w:color w:val="000000"/>
              </w:rPr>
              <w:t>Net-of-tax amount</w:t>
            </w:r>
          </w:p>
        </w:tc>
        <w:tc>
          <w:tcPr>
            <w:tcW w:w="1077" w:type="dxa"/>
            <w:tcBorders>
              <w:bottom w:val="single" w:sz="4" w:space="0" w:color="000000"/>
            </w:tcBorders>
          </w:tcPr>
          <w:p w14:paraId="652F99CF" w14:textId="77777777" w:rsidR="008E5DE4" w:rsidRDefault="00780368">
            <w:pPr>
              <w:widowControl w:val="0"/>
              <w:pBdr>
                <w:top w:val="nil"/>
                <w:left w:val="nil"/>
                <w:bottom w:val="nil"/>
                <w:right w:val="nil"/>
                <w:between w:val="nil"/>
              </w:pBdr>
              <w:ind w:left="-113"/>
              <w:jc w:val="right"/>
              <w:rPr>
                <w:b/>
                <w:color w:val="000000"/>
              </w:rPr>
            </w:pPr>
            <w:r>
              <w:rPr>
                <w:b/>
                <w:color w:val="000000"/>
              </w:rPr>
              <w:t>Before-tax amount</w:t>
            </w:r>
          </w:p>
        </w:tc>
        <w:tc>
          <w:tcPr>
            <w:tcW w:w="1077" w:type="dxa"/>
            <w:tcBorders>
              <w:bottom w:val="single" w:sz="4" w:space="0" w:color="000000"/>
            </w:tcBorders>
          </w:tcPr>
          <w:p w14:paraId="6E2C9082" w14:textId="77777777" w:rsidR="008E5DE4" w:rsidRDefault="00780368">
            <w:pPr>
              <w:widowControl w:val="0"/>
              <w:pBdr>
                <w:top w:val="nil"/>
                <w:left w:val="nil"/>
                <w:bottom w:val="nil"/>
                <w:right w:val="nil"/>
                <w:between w:val="nil"/>
              </w:pBdr>
              <w:ind w:left="-113"/>
              <w:jc w:val="right"/>
              <w:rPr>
                <w:b/>
                <w:color w:val="000000"/>
              </w:rPr>
            </w:pPr>
            <w:r>
              <w:rPr>
                <w:b/>
                <w:color w:val="000000"/>
              </w:rPr>
              <w:t>Income tax (expense) / benefit</w:t>
            </w:r>
          </w:p>
        </w:tc>
        <w:tc>
          <w:tcPr>
            <w:tcW w:w="1077" w:type="dxa"/>
            <w:tcBorders>
              <w:bottom w:val="single" w:sz="4" w:space="0" w:color="000000"/>
            </w:tcBorders>
          </w:tcPr>
          <w:p w14:paraId="3EB0C429" w14:textId="77777777" w:rsidR="008E5DE4" w:rsidRDefault="00780368">
            <w:pPr>
              <w:widowControl w:val="0"/>
              <w:pBdr>
                <w:top w:val="nil"/>
                <w:left w:val="nil"/>
                <w:bottom w:val="nil"/>
                <w:right w:val="nil"/>
                <w:between w:val="nil"/>
              </w:pBdr>
              <w:ind w:left="-113"/>
              <w:jc w:val="right"/>
              <w:rPr>
                <w:b/>
                <w:color w:val="000000"/>
              </w:rPr>
            </w:pPr>
            <w:r>
              <w:rPr>
                <w:b/>
                <w:color w:val="000000"/>
              </w:rPr>
              <w:t>Net-of-tax amount</w:t>
            </w:r>
          </w:p>
        </w:tc>
      </w:tr>
      <w:tr w:rsidR="008E5DE4" w14:paraId="2BE64ADF" w14:textId="77777777">
        <w:trPr>
          <w:cantSplit/>
        </w:trPr>
        <w:tc>
          <w:tcPr>
            <w:tcW w:w="2891" w:type="dxa"/>
            <w:vAlign w:val="bottom"/>
          </w:tcPr>
          <w:p w14:paraId="393E1C97" w14:textId="77777777" w:rsidR="008E5DE4" w:rsidRDefault="00780368">
            <w:pPr>
              <w:widowControl w:val="0"/>
              <w:ind w:left="113" w:right="-57" w:hanging="113"/>
              <w:rPr>
                <w:sz w:val="12"/>
                <w:szCs w:val="12"/>
              </w:rPr>
            </w:pPr>
            <w:r>
              <w:rPr>
                <w:b/>
                <w:sz w:val="12"/>
                <w:szCs w:val="12"/>
              </w:rPr>
              <w:t> </w:t>
            </w:r>
          </w:p>
        </w:tc>
        <w:tc>
          <w:tcPr>
            <w:tcW w:w="1077" w:type="dxa"/>
            <w:vAlign w:val="bottom"/>
          </w:tcPr>
          <w:p w14:paraId="1EDB94DD" w14:textId="77777777" w:rsidR="008E5DE4" w:rsidRDefault="008E5DE4">
            <w:pPr>
              <w:widowControl w:val="0"/>
              <w:jc w:val="right"/>
              <w:rPr>
                <w:sz w:val="12"/>
                <w:szCs w:val="12"/>
              </w:rPr>
            </w:pPr>
          </w:p>
        </w:tc>
        <w:tc>
          <w:tcPr>
            <w:tcW w:w="1077" w:type="dxa"/>
            <w:tcBorders>
              <w:top w:val="single" w:sz="4" w:space="0" w:color="000000"/>
            </w:tcBorders>
            <w:vAlign w:val="bottom"/>
          </w:tcPr>
          <w:p w14:paraId="68EAAB1D" w14:textId="77777777" w:rsidR="008E5DE4" w:rsidRDefault="008E5DE4">
            <w:pPr>
              <w:widowControl w:val="0"/>
              <w:jc w:val="right"/>
              <w:rPr>
                <w:sz w:val="12"/>
                <w:szCs w:val="12"/>
              </w:rPr>
            </w:pPr>
          </w:p>
        </w:tc>
        <w:tc>
          <w:tcPr>
            <w:tcW w:w="1077" w:type="dxa"/>
            <w:tcBorders>
              <w:top w:val="single" w:sz="4" w:space="0" w:color="000000"/>
            </w:tcBorders>
            <w:vAlign w:val="bottom"/>
          </w:tcPr>
          <w:p w14:paraId="0DB366A8" w14:textId="77777777" w:rsidR="008E5DE4" w:rsidRDefault="008E5DE4">
            <w:pPr>
              <w:widowControl w:val="0"/>
              <w:jc w:val="right"/>
              <w:rPr>
                <w:sz w:val="12"/>
                <w:szCs w:val="12"/>
              </w:rPr>
            </w:pPr>
          </w:p>
        </w:tc>
        <w:tc>
          <w:tcPr>
            <w:tcW w:w="1077" w:type="dxa"/>
            <w:vAlign w:val="bottom"/>
          </w:tcPr>
          <w:p w14:paraId="3675FCD2" w14:textId="77777777" w:rsidR="008E5DE4" w:rsidRDefault="008E5DE4">
            <w:pPr>
              <w:widowControl w:val="0"/>
              <w:jc w:val="right"/>
              <w:rPr>
                <w:sz w:val="12"/>
                <w:szCs w:val="12"/>
              </w:rPr>
            </w:pPr>
          </w:p>
        </w:tc>
        <w:tc>
          <w:tcPr>
            <w:tcW w:w="1077" w:type="dxa"/>
            <w:vAlign w:val="bottom"/>
          </w:tcPr>
          <w:p w14:paraId="6770CA32" w14:textId="77777777" w:rsidR="008E5DE4" w:rsidRDefault="008E5DE4">
            <w:pPr>
              <w:widowControl w:val="0"/>
              <w:jc w:val="right"/>
              <w:rPr>
                <w:sz w:val="12"/>
                <w:szCs w:val="12"/>
              </w:rPr>
            </w:pPr>
          </w:p>
        </w:tc>
        <w:tc>
          <w:tcPr>
            <w:tcW w:w="1077" w:type="dxa"/>
            <w:vAlign w:val="bottom"/>
          </w:tcPr>
          <w:p w14:paraId="6D09CC0F" w14:textId="77777777" w:rsidR="008E5DE4" w:rsidRDefault="008E5DE4">
            <w:pPr>
              <w:widowControl w:val="0"/>
              <w:jc w:val="right"/>
              <w:rPr>
                <w:sz w:val="12"/>
                <w:szCs w:val="12"/>
              </w:rPr>
            </w:pPr>
          </w:p>
        </w:tc>
      </w:tr>
      <w:tr w:rsidR="008E5DE4" w14:paraId="7714EAA8" w14:textId="77777777">
        <w:trPr>
          <w:cantSplit/>
        </w:trPr>
        <w:tc>
          <w:tcPr>
            <w:tcW w:w="2891" w:type="dxa"/>
            <w:vAlign w:val="bottom"/>
          </w:tcPr>
          <w:p w14:paraId="3CD30462" w14:textId="77777777" w:rsidR="008E5DE4" w:rsidRDefault="00780368">
            <w:pPr>
              <w:widowControl w:val="0"/>
              <w:pBdr>
                <w:top w:val="nil"/>
                <w:left w:val="nil"/>
                <w:bottom w:val="nil"/>
                <w:right w:val="nil"/>
                <w:between w:val="nil"/>
              </w:pBdr>
              <w:ind w:left="113" w:right="-57" w:hanging="113"/>
              <w:rPr>
                <w:color w:val="000000"/>
              </w:rPr>
            </w:pPr>
            <w:r>
              <w:rPr>
                <w:color w:val="000000"/>
              </w:rPr>
              <w:t>Share of results of associates</w:t>
            </w:r>
          </w:p>
        </w:tc>
        <w:tc>
          <w:tcPr>
            <w:tcW w:w="1077" w:type="dxa"/>
            <w:vAlign w:val="bottom"/>
          </w:tcPr>
          <w:p w14:paraId="065C065C" w14:textId="77777777" w:rsidR="008E5DE4" w:rsidRDefault="008E5DE4">
            <w:pPr>
              <w:widowControl w:val="0"/>
              <w:jc w:val="right"/>
            </w:pPr>
          </w:p>
        </w:tc>
        <w:tc>
          <w:tcPr>
            <w:tcW w:w="1077" w:type="dxa"/>
            <w:vAlign w:val="bottom"/>
          </w:tcPr>
          <w:p w14:paraId="136CBA56" w14:textId="77777777" w:rsidR="008E5DE4" w:rsidRDefault="008E5DE4">
            <w:pPr>
              <w:widowControl w:val="0"/>
              <w:jc w:val="right"/>
            </w:pPr>
          </w:p>
        </w:tc>
        <w:tc>
          <w:tcPr>
            <w:tcW w:w="1077" w:type="dxa"/>
            <w:vAlign w:val="bottom"/>
          </w:tcPr>
          <w:p w14:paraId="4D353096" w14:textId="77777777" w:rsidR="008E5DE4" w:rsidRDefault="008E5DE4">
            <w:pPr>
              <w:widowControl w:val="0"/>
              <w:jc w:val="right"/>
            </w:pPr>
          </w:p>
        </w:tc>
        <w:tc>
          <w:tcPr>
            <w:tcW w:w="1077" w:type="dxa"/>
            <w:vAlign w:val="bottom"/>
          </w:tcPr>
          <w:p w14:paraId="0C95BEF1" w14:textId="77777777" w:rsidR="008E5DE4" w:rsidRDefault="008E5DE4">
            <w:pPr>
              <w:widowControl w:val="0"/>
              <w:jc w:val="right"/>
            </w:pPr>
          </w:p>
        </w:tc>
        <w:tc>
          <w:tcPr>
            <w:tcW w:w="1077" w:type="dxa"/>
            <w:vAlign w:val="bottom"/>
          </w:tcPr>
          <w:p w14:paraId="67CACBDC" w14:textId="77777777" w:rsidR="008E5DE4" w:rsidRDefault="008E5DE4">
            <w:pPr>
              <w:widowControl w:val="0"/>
              <w:jc w:val="right"/>
            </w:pPr>
          </w:p>
        </w:tc>
        <w:tc>
          <w:tcPr>
            <w:tcW w:w="1077" w:type="dxa"/>
            <w:vAlign w:val="bottom"/>
          </w:tcPr>
          <w:p w14:paraId="69FBAC7B" w14:textId="77777777" w:rsidR="008E5DE4" w:rsidRDefault="008E5DE4">
            <w:pPr>
              <w:widowControl w:val="0"/>
              <w:jc w:val="right"/>
            </w:pPr>
          </w:p>
        </w:tc>
      </w:tr>
      <w:tr w:rsidR="008E5DE4" w14:paraId="18B156DB" w14:textId="77777777">
        <w:trPr>
          <w:cantSplit/>
        </w:trPr>
        <w:tc>
          <w:tcPr>
            <w:tcW w:w="2891" w:type="dxa"/>
            <w:vAlign w:val="bottom"/>
          </w:tcPr>
          <w:p w14:paraId="787B3886" w14:textId="77777777" w:rsidR="008E5DE4" w:rsidRDefault="00780368">
            <w:pPr>
              <w:widowControl w:val="0"/>
              <w:pBdr>
                <w:top w:val="nil"/>
                <w:left w:val="nil"/>
                <w:bottom w:val="nil"/>
                <w:right w:val="nil"/>
                <w:between w:val="nil"/>
              </w:pBdr>
              <w:ind w:left="113" w:right="-57" w:hanging="113"/>
              <w:rPr>
                <w:color w:val="000000"/>
              </w:rPr>
            </w:pPr>
            <w:r>
              <w:rPr>
                <w:color w:val="000000"/>
              </w:rPr>
              <w:t>Revaluation of property, plant and equipment</w:t>
            </w:r>
          </w:p>
        </w:tc>
        <w:tc>
          <w:tcPr>
            <w:tcW w:w="1077" w:type="dxa"/>
            <w:vAlign w:val="bottom"/>
          </w:tcPr>
          <w:p w14:paraId="2A34528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44E195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3302AA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9E20E8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0544F8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D7B9288" w14:textId="77777777" w:rsidR="008E5DE4" w:rsidRDefault="008E5DE4">
            <w:pPr>
              <w:widowControl w:val="0"/>
              <w:pBdr>
                <w:top w:val="nil"/>
                <w:left w:val="nil"/>
                <w:bottom w:val="nil"/>
                <w:right w:val="nil"/>
                <w:between w:val="nil"/>
              </w:pBdr>
              <w:jc w:val="right"/>
              <w:rPr>
                <w:color w:val="000000"/>
              </w:rPr>
            </w:pPr>
          </w:p>
        </w:tc>
      </w:tr>
      <w:tr w:rsidR="008E5DE4" w14:paraId="19226B8A" w14:textId="77777777">
        <w:trPr>
          <w:cantSplit/>
        </w:trPr>
        <w:tc>
          <w:tcPr>
            <w:tcW w:w="2891" w:type="dxa"/>
            <w:vAlign w:val="bottom"/>
          </w:tcPr>
          <w:p w14:paraId="665DD52A" w14:textId="77777777" w:rsidR="008E5DE4" w:rsidRDefault="00780368">
            <w:pPr>
              <w:widowControl w:val="0"/>
              <w:pBdr>
                <w:top w:val="nil"/>
                <w:left w:val="nil"/>
                <w:bottom w:val="nil"/>
                <w:right w:val="nil"/>
                <w:between w:val="nil"/>
              </w:pBdr>
              <w:ind w:left="113" w:right="-57" w:hanging="113"/>
              <w:rPr>
                <w:color w:val="000000"/>
              </w:rPr>
            </w:pPr>
            <w:r>
              <w:rPr>
                <w:color w:val="000000"/>
              </w:rPr>
              <w:t>Share of other comprehensive income of associates and joint ventures</w:t>
            </w:r>
          </w:p>
        </w:tc>
        <w:tc>
          <w:tcPr>
            <w:tcW w:w="1077" w:type="dxa"/>
            <w:vAlign w:val="bottom"/>
          </w:tcPr>
          <w:p w14:paraId="38C7A2A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DB76D7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0EFE3D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E04BF5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72D5FB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2BD0981" w14:textId="77777777" w:rsidR="008E5DE4" w:rsidRDefault="008E5DE4">
            <w:pPr>
              <w:widowControl w:val="0"/>
              <w:pBdr>
                <w:top w:val="nil"/>
                <w:left w:val="nil"/>
                <w:bottom w:val="nil"/>
                <w:right w:val="nil"/>
                <w:between w:val="nil"/>
              </w:pBdr>
              <w:jc w:val="right"/>
              <w:rPr>
                <w:color w:val="000000"/>
              </w:rPr>
            </w:pPr>
          </w:p>
        </w:tc>
      </w:tr>
      <w:tr w:rsidR="008E5DE4" w14:paraId="745B90A9" w14:textId="77777777">
        <w:trPr>
          <w:cantSplit/>
        </w:trPr>
        <w:tc>
          <w:tcPr>
            <w:tcW w:w="2891" w:type="dxa"/>
            <w:vAlign w:val="bottom"/>
          </w:tcPr>
          <w:p w14:paraId="58844028" w14:textId="77777777" w:rsidR="008E5DE4" w:rsidRDefault="00780368">
            <w:pPr>
              <w:widowControl w:val="0"/>
              <w:pBdr>
                <w:top w:val="nil"/>
                <w:left w:val="nil"/>
                <w:bottom w:val="nil"/>
                <w:right w:val="nil"/>
                <w:between w:val="nil"/>
              </w:pBdr>
              <w:ind w:left="113" w:right="-57" w:hanging="113"/>
              <w:rPr>
                <w:color w:val="000000"/>
              </w:rPr>
            </w:pPr>
            <w:r>
              <w:rPr>
                <w:color w:val="000000"/>
              </w:rPr>
              <w:t>Securities at FVOCI:</w:t>
            </w:r>
          </w:p>
        </w:tc>
        <w:tc>
          <w:tcPr>
            <w:tcW w:w="1077" w:type="dxa"/>
            <w:vAlign w:val="bottom"/>
          </w:tcPr>
          <w:p w14:paraId="649E331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41BF804"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0067D6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406C5D7"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2E0C3FD"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3CB968E" w14:textId="77777777" w:rsidR="008E5DE4" w:rsidRDefault="008E5DE4">
            <w:pPr>
              <w:widowControl w:val="0"/>
              <w:pBdr>
                <w:top w:val="nil"/>
                <w:left w:val="nil"/>
                <w:bottom w:val="nil"/>
                <w:right w:val="nil"/>
                <w:between w:val="nil"/>
              </w:pBdr>
              <w:jc w:val="right"/>
              <w:rPr>
                <w:color w:val="000000"/>
              </w:rPr>
            </w:pPr>
          </w:p>
        </w:tc>
      </w:tr>
      <w:tr w:rsidR="008E5DE4" w14:paraId="0E112CF1" w14:textId="77777777">
        <w:trPr>
          <w:cantSplit/>
        </w:trPr>
        <w:tc>
          <w:tcPr>
            <w:tcW w:w="2891" w:type="dxa"/>
            <w:vAlign w:val="bottom"/>
          </w:tcPr>
          <w:p w14:paraId="77C9A3B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Pr>
                <w:color w:val="000000"/>
              </w:rPr>
              <w:tab/>
              <w:t>Gains less losses arising during the year</w:t>
            </w:r>
          </w:p>
        </w:tc>
        <w:tc>
          <w:tcPr>
            <w:tcW w:w="1077" w:type="dxa"/>
            <w:vAlign w:val="bottom"/>
          </w:tcPr>
          <w:p w14:paraId="0D9BB61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9A4A8BB"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CE9DFC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339D67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CE4730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31DECC5" w14:textId="77777777" w:rsidR="008E5DE4" w:rsidRDefault="008E5DE4">
            <w:pPr>
              <w:widowControl w:val="0"/>
              <w:pBdr>
                <w:top w:val="nil"/>
                <w:left w:val="nil"/>
                <w:bottom w:val="nil"/>
                <w:right w:val="nil"/>
                <w:between w:val="nil"/>
              </w:pBdr>
              <w:jc w:val="right"/>
              <w:rPr>
                <w:color w:val="000000"/>
              </w:rPr>
            </w:pPr>
          </w:p>
        </w:tc>
      </w:tr>
      <w:tr w:rsidR="008E5DE4" w14:paraId="0B91879F" w14:textId="77777777">
        <w:trPr>
          <w:cantSplit/>
        </w:trPr>
        <w:tc>
          <w:tcPr>
            <w:tcW w:w="2891" w:type="dxa"/>
            <w:vAlign w:val="bottom"/>
          </w:tcPr>
          <w:p w14:paraId="43F5D831"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Pr>
                <w:color w:val="000000"/>
              </w:rPr>
              <w:tab/>
              <w:t>Gains less losses recycled to profit or loss on disposal</w:t>
            </w:r>
          </w:p>
        </w:tc>
        <w:tc>
          <w:tcPr>
            <w:tcW w:w="1077" w:type="dxa"/>
            <w:vAlign w:val="bottom"/>
          </w:tcPr>
          <w:p w14:paraId="4973A3F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465541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6E5762F2"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97BDC78"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FC5B97E"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2F69DEB5" w14:textId="77777777" w:rsidR="008E5DE4" w:rsidRDefault="008E5DE4">
            <w:pPr>
              <w:widowControl w:val="0"/>
              <w:pBdr>
                <w:top w:val="nil"/>
                <w:left w:val="nil"/>
                <w:bottom w:val="nil"/>
                <w:right w:val="nil"/>
                <w:between w:val="nil"/>
              </w:pBdr>
              <w:jc w:val="right"/>
              <w:rPr>
                <w:color w:val="000000"/>
              </w:rPr>
            </w:pPr>
          </w:p>
        </w:tc>
      </w:tr>
      <w:tr w:rsidR="008E5DE4" w14:paraId="030123B8" w14:textId="77777777">
        <w:trPr>
          <w:cantSplit/>
        </w:trPr>
        <w:tc>
          <w:tcPr>
            <w:tcW w:w="2891" w:type="dxa"/>
            <w:vAlign w:val="bottom"/>
          </w:tcPr>
          <w:p w14:paraId="690C8546" w14:textId="77777777" w:rsidR="008E5DE4" w:rsidRDefault="00780368">
            <w:pPr>
              <w:widowControl w:val="0"/>
              <w:pBdr>
                <w:top w:val="nil"/>
                <w:left w:val="nil"/>
                <w:bottom w:val="nil"/>
                <w:right w:val="nil"/>
                <w:between w:val="nil"/>
              </w:pBdr>
              <w:ind w:left="113" w:right="-57" w:hanging="113"/>
              <w:rPr>
                <w:color w:val="0000FF"/>
              </w:rPr>
            </w:pPr>
            <w:r>
              <w:rPr>
                <w:color w:val="0000FF"/>
              </w:rPr>
              <w:t>[Exchange differences on translation to presentation currency]</w:t>
            </w:r>
          </w:p>
        </w:tc>
        <w:tc>
          <w:tcPr>
            <w:tcW w:w="1077" w:type="dxa"/>
            <w:vAlign w:val="bottom"/>
          </w:tcPr>
          <w:p w14:paraId="2061B63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F97D8AF"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5F608BB6"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15DCB2A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EBEECA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D8A057C" w14:textId="77777777" w:rsidR="008E5DE4" w:rsidRDefault="008E5DE4">
            <w:pPr>
              <w:widowControl w:val="0"/>
              <w:pBdr>
                <w:top w:val="nil"/>
                <w:left w:val="nil"/>
                <w:bottom w:val="nil"/>
                <w:right w:val="nil"/>
                <w:between w:val="nil"/>
              </w:pBdr>
              <w:jc w:val="right"/>
              <w:rPr>
                <w:color w:val="000000"/>
              </w:rPr>
            </w:pPr>
          </w:p>
        </w:tc>
      </w:tr>
      <w:tr w:rsidR="008E5DE4" w14:paraId="1CD7327B" w14:textId="77777777">
        <w:trPr>
          <w:cantSplit/>
        </w:trPr>
        <w:tc>
          <w:tcPr>
            <w:tcW w:w="2891" w:type="dxa"/>
            <w:tcBorders>
              <w:bottom w:val="single" w:sz="4" w:space="0" w:color="000000"/>
            </w:tcBorders>
            <w:vAlign w:val="bottom"/>
          </w:tcPr>
          <w:p w14:paraId="5DC3E9C3" w14:textId="77777777" w:rsidR="008E5DE4" w:rsidRDefault="00780368">
            <w:pPr>
              <w:widowControl w:val="0"/>
              <w:ind w:left="113" w:right="-57" w:hanging="113"/>
              <w:rPr>
                <w:sz w:val="12"/>
                <w:szCs w:val="12"/>
              </w:rPr>
            </w:pPr>
            <w:r>
              <w:rPr>
                <w:sz w:val="12"/>
                <w:szCs w:val="12"/>
              </w:rPr>
              <w:t> </w:t>
            </w:r>
          </w:p>
        </w:tc>
        <w:tc>
          <w:tcPr>
            <w:tcW w:w="1077" w:type="dxa"/>
            <w:tcBorders>
              <w:bottom w:val="single" w:sz="4" w:space="0" w:color="000000"/>
            </w:tcBorders>
            <w:vAlign w:val="bottom"/>
          </w:tcPr>
          <w:p w14:paraId="3FEBC638" w14:textId="77777777" w:rsidR="008E5DE4" w:rsidRDefault="008E5DE4">
            <w:pPr>
              <w:widowControl w:val="0"/>
              <w:pBdr>
                <w:top w:val="nil"/>
                <w:left w:val="nil"/>
                <w:bottom w:val="nil"/>
                <w:right w:val="nil"/>
                <w:between w:val="nil"/>
              </w:pBdr>
              <w:jc w:val="right"/>
              <w:rPr>
                <w:color w:val="000000"/>
                <w:sz w:val="12"/>
                <w:szCs w:val="12"/>
              </w:rPr>
            </w:pPr>
          </w:p>
        </w:tc>
        <w:tc>
          <w:tcPr>
            <w:tcW w:w="1077" w:type="dxa"/>
            <w:tcBorders>
              <w:bottom w:val="single" w:sz="4" w:space="0" w:color="000000"/>
            </w:tcBorders>
            <w:vAlign w:val="bottom"/>
          </w:tcPr>
          <w:p w14:paraId="53201DCC" w14:textId="77777777" w:rsidR="008E5DE4" w:rsidRDefault="008E5DE4">
            <w:pPr>
              <w:widowControl w:val="0"/>
              <w:pBdr>
                <w:top w:val="nil"/>
                <w:left w:val="nil"/>
                <w:bottom w:val="nil"/>
                <w:right w:val="nil"/>
                <w:between w:val="nil"/>
              </w:pBdr>
              <w:jc w:val="right"/>
              <w:rPr>
                <w:color w:val="000000"/>
                <w:sz w:val="12"/>
                <w:szCs w:val="12"/>
              </w:rPr>
            </w:pPr>
          </w:p>
        </w:tc>
        <w:tc>
          <w:tcPr>
            <w:tcW w:w="1077" w:type="dxa"/>
            <w:tcBorders>
              <w:bottom w:val="single" w:sz="4" w:space="0" w:color="000000"/>
            </w:tcBorders>
            <w:vAlign w:val="bottom"/>
          </w:tcPr>
          <w:p w14:paraId="1223F194" w14:textId="77777777" w:rsidR="008E5DE4" w:rsidRDefault="008E5DE4">
            <w:pPr>
              <w:widowControl w:val="0"/>
              <w:pBdr>
                <w:top w:val="nil"/>
                <w:left w:val="nil"/>
                <w:bottom w:val="nil"/>
                <w:right w:val="nil"/>
                <w:between w:val="nil"/>
              </w:pBdr>
              <w:jc w:val="right"/>
              <w:rPr>
                <w:color w:val="000000"/>
                <w:sz w:val="12"/>
                <w:szCs w:val="12"/>
              </w:rPr>
            </w:pPr>
          </w:p>
        </w:tc>
        <w:tc>
          <w:tcPr>
            <w:tcW w:w="1077" w:type="dxa"/>
            <w:tcBorders>
              <w:bottom w:val="single" w:sz="4" w:space="0" w:color="000000"/>
            </w:tcBorders>
            <w:vAlign w:val="bottom"/>
          </w:tcPr>
          <w:p w14:paraId="07F785C6" w14:textId="77777777" w:rsidR="008E5DE4" w:rsidRDefault="008E5DE4">
            <w:pPr>
              <w:widowControl w:val="0"/>
              <w:pBdr>
                <w:top w:val="nil"/>
                <w:left w:val="nil"/>
                <w:bottom w:val="nil"/>
                <w:right w:val="nil"/>
                <w:between w:val="nil"/>
              </w:pBdr>
              <w:jc w:val="right"/>
              <w:rPr>
                <w:color w:val="000000"/>
                <w:sz w:val="12"/>
                <w:szCs w:val="12"/>
              </w:rPr>
            </w:pPr>
          </w:p>
        </w:tc>
        <w:tc>
          <w:tcPr>
            <w:tcW w:w="1077" w:type="dxa"/>
            <w:tcBorders>
              <w:bottom w:val="single" w:sz="4" w:space="0" w:color="000000"/>
            </w:tcBorders>
            <w:vAlign w:val="bottom"/>
          </w:tcPr>
          <w:p w14:paraId="3DD3A996" w14:textId="77777777" w:rsidR="008E5DE4" w:rsidRDefault="008E5DE4">
            <w:pPr>
              <w:widowControl w:val="0"/>
              <w:pBdr>
                <w:top w:val="nil"/>
                <w:left w:val="nil"/>
                <w:bottom w:val="nil"/>
                <w:right w:val="nil"/>
                <w:between w:val="nil"/>
              </w:pBdr>
              <w:jc w:val="right"/>
              <w:rPr>
                <w:color w:val="000000"/>
                <w:sz w:val="12"/>
                <w:szCs w:val="12"/>
              </w:rPr>
            </w:pPr>
          </w:p>
        </w:tc>
        <w:tc>
          <w:tcPr>
            <w:tcW w:w="1077" w:type="dxa"/>
            <w:tcBorders>
              <w:bottom w:val="single" w:sz="4" w:space="0" w:color="000000"/>
            </w:tcBorders>
            <w:vAlign w:val="bottom"/>
          </w:tcPr>
          <w:p w14:paraId="7C1DC338" w14:textId="77777777" w:rsidR="008E5DE4" w:rsidRDefault="008E5DE4">
            <w:pPr>
              <w:widowControl w:val="0"/>
              <w:pBdr>
                <w:top w:val="nil"/>
                <w:left w:val="nil"/>
                <w:bottom w:val="nil"/>
                <w:right w:val="nil"/>
                <w:between w:val="nil"/>
              </w:pBdr>
              <w:jc w:val="right"/>
              <w:rPr>
                <w:color w:val="000000"/>
                <w:sz w:val="12"/>
                <w:szCs w:val="12"/>
              </w:rPr>
            </w:pPr>
          </w:p>
        </w:tc>
      </w:tr>
      <w:tr w:rsidR="008E5DE4" w14:paraId="712FE76F" w14:textId="77777777">
        <w:trPr>
          <w:cantSplit/>
        </w:trPr>
        <w:tc>
          <w:tcPr>
            <w:tcW w:w="2891" w:type="dxa"/>
            <w:vAlign w:val="bottom"/>
          </w:tcPr>
          <w:p w14:paraId="06B86B55" w14:textId="77777777" w:rsidR="008E5DE4" w:rsidRDefault="00780368">
            <w:pPr>
              <w:widowControl w:val="0"/>
              <w:ind w:left="113" w:right="-57" w:hanging="113"/>
              <w:rPr>
                <w:b/>
                <w:sz w:val="12"/>
                <w:szCs w:val="12"/>
              </w:rPr>
            </w:pPr>
            <w:r>
              <w:rPr>
                <w:sz w:val="12"/>
                <w:szCs w:val="12"/>
              </w:rPr>
              <w:t> </w:t>
            </w:r>
          </w:p>
        </w:tc>
        <w:tc>
          <w:tcPr>
            <w:tcW w:w="1077" w:type="dxa"/>
            <w:vAlign w:val="bottom"/>
          </w:tcPr>
          <w:p w14:paraId="6BFA5CC4" w14:textId="77777777" w:rsidR="008E5DE4" w:rsidRDefault="008E5DE4">
            <w:pPr>
              <w:widowControl w:val="0"/>
              <w:jc w:val="right"/>
              <w:rPr>
                <w:b/>
                <w:sz w:val="12"/>
                <w:szCs w:val="12"/>
              </w:rPr>
            </w:pPr>
          </w:p>
        </w:tc>
        <w:tc>
          <w:tcPr>
            <w:tcW w:w="1077" w:type="dxa"/>
            <w:vAlign w:val="bottom"/>
          </w:tcPr>
          <w:p w14:paraId="7EC5B094" w14:textId="77777777" w:rsidR="008E5DE4" w:rsidRDefault="008E5DE4">
            <w:pPr>
              <w:widowControl w:val="0"/>
              <w:jc w:val="right"/>
              <w:rPr>
                <w:b/>
                <w:sz w:val="12"/>
                <w:szCs w:val="12"/>
              </w:rPr>
            </w:pPr>
          </w:p>
        </w:tc>
        <w:tc>
          <w:tcPr>
            <w:tcW w:w="1077" w:type="dxa"/>
            <w:vAlign w:val="bottom"/>
          </w:tcPr>
          <w:p w14:paraId="011414D5" w14:textId="77777777" w:rsidR="008E5DE4" w:rsidRDefault="008E5DE4">
            <w:pPr>
              <w:widowControl w:val="0"/>
              <w:jc w:val="right"/>
              <w:rPr>
                <w:b/>
                <w:sz w:val="12"/>
                <w:szCs w:val="12"/>
              </w:rPr>
            </w:pPr>
          </w:p>
        </w:tc>
        <w:tc>
          <w:tcPr>
            <w:tcW w:w="1077" w:type="dxa"/>
            <w:vAlign w:val="bottom"/>
          </w:tcPr>
          <w:p w14:paraId="7A6FD49D" w14:textId="77777777" w:rsidR="008E5DE4" w:rsidRDefault="008E5DE4">
            <w:pPr>
              <w:widowControl w:val="0"/>
              <w:jc w:val="right"/>
              <w:rPr>
                <w:b/>
                <w:sz w:val="12"/>
                <w:szCs w:val="12"/>
              </w:rPr>
            </w:pPr>
          </w:p>
        </w:tc>
        <w:tc>
          <w:tcPr>
            <w:tcW w:w="1077" w:type="dxa"/>
            <w:vAlign w:val="bottom"/>
          </w:tcPr>
          <w:p w14:paraId="2F3C95CE" w14:textId="77777777" w:rsidR="008E5DE4" w:rsidRDefault="008E5DE4">
            <w:pPr>
              <w:widowControl w:val="0"/>
              <w:jc w:val="right"/>
              <w:rPr>
                <w:b/>
                <w:sz w:val="12"/>
                <w:szCs w:val="12"/>
              </w:rPr>
            </w:pPr>
          </w:p>
        </w:tc>
        <w:tc>
          <w:tcPr>
            <w:tcW w:w="1077" w:type="dxa"/>
            <w:vAlign w:val="bottom"/>
          </w:tcPr>
          <w:p w14:paraId="424BCE23" w14:textId="77777777" w:rsidR="008E5DE4" w:rsidRDefault="008E5DE4">
            <w:pPr>
              <w:widowControl w:val="0"/>
              <w:jc w:val="right"/>
              <w:rPr>
                <w:b/>
                <w:sz w:val="12"/>
                <w:szCs w:val="12"/>
              </w:rPr>
            </w:pPr>
          </w:p>
        </w:tc>
      </w:tr>
      <w:tr w:rsidR="008E5DE4" w14:paraId="2DB2C3D4" w14:textId="77777777">
        <w:trPr>
          <w:cantSplit/>
        </w:trPr>
        <w:tc>
          <w:tcPr>
            <w:tcW w:w="2891" w:type="dxa"/>
            <w:vAlign w:val="bottom"/>
          </w:tcPr>
          <w:p w14:paraId="55CE7B8B" w14:textId="77777777" w:rsidR="008E5DE4" w:rsidRDefault="00780368">
            <w:pPr>
              <w:widowControl w:val="0"/>
              <w:ind w:left="113" w:right="-57" w:hanging="113"/>
              <w:rPr>
                <w:b/>
              </w:rPr>
            </w:pPr>
            <w:r>
              <w:rPr>
                <w:b/>
              </w:rPr>
              <w:t>Other comprehensive income</w:t>
            </w:r>
          </w:p>
        </w:tc>
        <w:tc>
          <w:tcPr>
            <w:tcW w:w="1077" w:type="dxa"/>
            <w:vAlign w:val="bottom"/>
          </w:tcPr>
          <w:p w14:paraId="6D6664D3" w14:textId="77777777" w:rsidR="008E5DE4" w:rsidRDefault="008E5DE4">
            <w:pPr>
              <w:widowControl w:val="0"/>
              <w:jc w:val="right"/>
              <w:rPr>
                <w:b/>
              </w:rPr>
            </w:pPr>
          </w:p>
        </w:tc>
        <w:tc>
          <w:tcPr>
            <w:tcW w:w="1077" w:type="dxa"/>
            <w:vAlign w:val="bottom"/>
          </w:tcPr>
          <w:p w14:paraId="0C36F0FC" w14:textId="77777777" w:rsidR="008E5DE4" w:rsidRDefault="008E5DE4">
            <w:pPr>
              <w:widowControl w:val="0"/>
              <w:jc w:val="right"/>
              <w:rPr>
                <w:b/>
              </w:rPr>
            </w:pPr>
          </w:p>
        </w:tc>
        <w:tc>
          <w:tcPr>
            <w:tcW w:w="1077" w:type="dxa"/>
            <w:vAlign w:val="bottom"/>
          </w:tcPr>
          <w:p w14:paraId="32C7B09D" w14:textId="77777777" w:rsidR="008E5DE4" w:rsidRDefault="008E5DE4">
            <w:pPr>
              <w:widowControl w:val="0"/>
              <w:jc w:val="right"/>
              <w:rPr>
                <w:b/>
              </w:rPr>
            </w:pPr>
          </w:p>
        </w:tc>
        <w:tc>
          <w:tcPr>
            <w:tcW w:w="1077" w:type="dxa"/>
            <w:vAlign w:val="bottom"/>
          </w:tcPr>
          <w:p w14:paraId="31CF524D" w14:textId="77777777" w:rsidR="008E5DE4" w:rsidRDefault="008E5DE4">
            <w:pPr>
              <w:widowControl w:val="0"/>
              <w:jc w:val="right"/>
              <w:rPr>
                <w:b/>
              </w:rPr>
            </w:pPr>
          </w:p>
        </w:tc>
        <w:tc>
          <w:tcPr>
            <w:tcW w:w="1077" w:type="dxa"/>
            <w:vAlign w:val="bottom"/>
          </w:tcPr>
          <w:p w14:paraId="79951096" w14:textId="77777777" w:rsidR="008E5DE4" w:rsidRDefault="008E5DE4">
            <w:pPr>
              <w:widowControl w:val="0"/>
              <w:jc w:val="right"/>
              <w:rPr>
                <w:b/>
              </w:rPr>
            </w:pPr>
          </w:p>
        </w:tc>
        <w:tc>
          <w:tcPr>
            <w:tcW w:w="1077" w:type="dxa"/>
            <w:vAlign w:val="bottom"/>
          </w:tcPr>
          <w:p w14:paraId="66AA48AB" w14:textId="77777777" w:rsidR="008E5DE4" w:rsidRDefault="008E5DE4">
            <w:pPr>
              <w:widowControl w:val="0"/>
              <w:jc w:val="right"/>
              <w:rPr>
                <w:b/>
              </w:rPr>
            </w:pPr>
          </w:p>
        </w:tc>
      </w:tr>
      <w:tr w:rsidR="008E5DE4" w14:paraId="0095ECC2" w14:textId="77777777">
        <w:trPr>
          <w:cantSplit/>
        </w:trPr>
        <w:tc>
          <w:tcPr>
            <w:tcW w:w="2891" w:type="dxa"/>
            <w:tcBorders>
              <w:bottom w:val="single" w:sz="12" w:space="0" w:color="000000"/>
            </w:tcBorders>
            <w:vAlign w:val="bottom"/>
          </w:tcPr>
          <w:p w14:paraId="3E0F7196" w14:textId="77777777" w:rsidR="008E5DE4" w:rsidRDefault="00780368">
            <w:pPr>
              <w:widowControl w:val="0"/>
              <w:ind w:left="113" w:right="-57" w:hanging="113"/>
              <w:rPr>
                <w:sz w:val="12"/>
                <w:szCs w:val="12"/>
              </w:rPr>
            </w:pPr>
            <w:r>
              <w:rPr>
                <w:sz w:val="12"/>
                <w:szCs w:val="12"/>
              </w:rPr>
              <w:t> </w:t>
            </w:r>
          </w:p>
        </w:tc>
        <w:tc>
          <w:tcPr>
            <w:tcW w:w="1077" w:type="dxa"/>
            <w:tcBorders>
              <w:bottom w:val="single" w:sz="12" w:space="0" w:color="000000"/>
            </w:tcBorders>
            <w:vAlign w:val="bottom"/>
          </w:tcPr>
          <w:p w14:paraId="71854B99" w14:textId="77777777" w:rsidR="008E5DE4" w:rsidRDefault="008E5DE4">
            <w:pPr>
              <w:widowControl w:val="0"/>
              <w:jc w:val="right"/>
              <w:rPr>
                <w:b/>
                <w:sz w:val="12"/>
                <w:szCs w:val="12"/>
              </w:rPr>
            </w:pPr>
          </w:p>
        </w:tc>
        <w:tc>
          <w:tcPr>
            <w:tcW w:w="1077" w:type="dxa"/>
            <w:tcBorders>
              <w:bottom w:val="single" w:sz="12" w:space="0" w:color="000000"/>
            </w:tcBorders>
            <w:vAlign w:val="bottom"/>
          </w:tcPr>
          <w:p w14:paraId="21B2310F" w14:textId="77777777" w:rsidR="008E5DE4" w:rsidRDefault="008E5DE4">
            <w:pPr>
              <w:widowControl w:val="0"/>
              <w:jc w:val="right"/>
              <w:rPr>
                <w:b/>
                <w:sz w:val="12"/>
                <w:szCs w:val="12"/>
              </w:rPr>
            </w:pPr>
          </w:p>
        </w:tc>
        <w:tc>
          <w:tcPr>
            <w:tcW w:w="1077" w:type="dxa"/>
            <w:tcBorders>
              <w:bottom w:val="single" w:sz="12" w:space="0" w:color="000000"/>
            </w:tcBorders>
            <w:vAlign w:val="bottom"/>
          </w:tcPr>
          <w:p w14:paraId="4C10C552" w14:textId="77777777" w:rsidR="008E5DE4" w:rsidRDefault="008E5DE4">
            <w:pPr>
              <w:widowControl w:val="0"/>
              <w:jc w:val="right"/>
              <w:rPr>
                <w:b/>
                <w:sz w:val="12"/>
                <w:szCs w:val="12"/>
              </w:rPr>
            </w:pPr>
          </w:p>
        </w:tc>
        <w:tc>
          <w:tcPr>
            <w:tcW w:w="1077" w:type="dxa"/>
            <w:tcBorders>
              <w:bottom w:val="single" w:sz="12" w:space="0" w:color="000000"/>
            </w:tcBorders>
            <w:vAlign w:val="bottom"/>
          </w:tcPr>
          <w:p w14:paraId="3A6EAF75" w14:textId="77777777" w:rsidR="008E5DE4" w:rsidRDefault="008E5DE4">
            <w:pPr>
              <w:widowControl w:val="0"/>
              <w:jc w:val="right"/>
              <w:rPr>
                <w:b/>
                <w:sz w:val="12"/>
                <w:szCs w:val="12"/>
              </w:rPr>
            </w:pPr>
          </w:p>
        </w:tc>
        <w:tc>
          <w:tcPr>
            <w:tcW w:w="1077" w:type="dxa"/>
            <w:tcBorders>
              <w:bottom w:val="single" w:sz="12" w:space="0" w:color="000000"/>
            </w:tcBorders>
            <w:vAlign w:val="bottom"/>
          </w:tcPr>
          <w:p w14:paraId="434DFF15" w14:textId="77777777" w:rsidR="008E5DE4" w:rsidRDefault="008E5DE4">
            <w:pPr>
              <w:widowControl w:val="0"/>
              <w:jc w:val="right"/>
              <w:rPr>
                <w:b/>
                <w:sz w:val="12"/>
                <w:szCs w:val="12"/>
              </w:rPr>
            </w:pPr>
          </w:p>
        </w:tc>
        <w:tc>
          <w:tcPr>
            <w:tcW w:w="1077" w:type="dxa"/>
            <w:tcBorders>
              <w:bottom w:val="single" w:sz="12" w:space="0" w:color="000000"/>
            </w:tcBorders>
            <w:vAlign w:val="bottom"/>
          </w:tcPr>
          <w:p w14:paraId="223FB1D5" w14:textId="77777777" w:rsidR="008E5DE4" w:rsidRDefault="008E5DE4">
            <w:pPr>
              <w:widowControl w:val="0"/>
              <w:jc w:val="right"/>
              <w:rPr>
                <w:b/>
                <w:sz w:val="12"/>
                <w:szCs w:val="12"/>
              </w:rPr>
            </w:pPr>
          </w:p>
        </w:tc>
      </w:tr>
    </w:tbl>
    <w:p w14:paraId="12A880AE" w14:textId="6B0AC573"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 EUR____ thousand (</w:t>
      </w:r>
      <w:r w:rsidR="00E06A92">
        <w:rPr>
          <w:color w:val="000000"/>
          <w:sz w:val="20"/>
          <w:szCs w:val="20"/>
        </w:rPr>
        <w:t>2024</w:t>
      </w:r>
      <w:r>
        <w:rPr>
          <w:color w:val="000000"/>
          <w:sz w:val="20"/>
          <w:szCs w:val="20"/>
        </w:rPr>
        <w:t>:</w:t>
      </w:r>
      <w:r w:rsidR="00480EED">
        <w:rPr>
          <w:color w:val="000000"/>
          <w:sz w:val="20"/>
          <w:szCs w:val="20"/>
        </w:rPr>
        <w:t xml:space="preserve"> </w:t>
      </w:r>
      <w:r>
        <w:rPr>
          <w:color w:val="000000"/>
          <w:sz w:val="20"/>
          <w:szCs w:val="20"/>
        </w:rPr>
        <w:t>EUR ____ thousand) of deferred taxes relating to items classified as held for sale in accordance with IFRS 5 were recorded in other comprehensive income. EUR ____ thousand (</w:t>
      </w:r>
      <w:r w:rsidR="00E06A92">
        <w:rPr>
          <w:color w:val="000000"/>
          <w:sz w:val="20"/>
          <w:szCs w:val="20"/>
        </w:rPr>
        <w:t>2024</w:t>
      </w:r>
      <w:r>
        <w:rPr>
          <w:color w:val="000000"/>
          <w:sz w:val="20"/>
          <w:szCs w:val="20"/>
        </w:rPr>
        <w:t>: EUR ____ thousand) of deferred taxes relating to items classified as held for sale in accordance with IFRS 5 were recorded directly in the consolidated statement of changes in equity. Refer to Note 27.</w:t>
      </w:r>
    </w:p>
    <w:p w14:paraId="655D6183" w14:textId="6B381900" w:rsidR="008E5DE4" w:rsidRDefault="00F93586" w:rsidP="007F183E">
      <w:pPr>
        <w:pStyle w:val="Heading1"/>
        <w:numPr>
          <w:ilvl w:val="0"/>
          <w:numId w:val="0"/>
        </w:numPr>
        <w:ind w:left="567" w:hanging="567"/>
      </w:pPr>
      <w:bookmarkStart w:id="67" w:name="_Toc149923639"/>
      <w:r>
        <w:t xml:space="preserve">40 </w:t>
      </w:r>
      <w:r>
        <w:tab/>
      </w:r>
      <w:r w:rsidR="00780368">
        <w:t>Discontinued Operations</w:t>
      </w:r>
      <w:bookmarkEnd w:id="67"/>
    </w:p>
    <w:p w14:paraId="2EC24E08" w14:textId="0AF13821" w:rsidR="008E5DE4" w:rsidRDefault="00090491" w:rsidP="007F183E">
      <w:pPr>
        <w:shd w:val="clear" w:color="auto" w:fill="C6D9F1"/>
        <w:rPr>
          <w:i/>
          <w:color w:val="FF0000"/>
          <w:sz w:val="20"/>
          <w:szCs w:val="20"/>
        </w:rPr>
      </w:pPr>
      <w:r>
        <w:rPr>
          <w:b/>
          <w:i/>
          <w:sz w:val="20"/>
          <w:szCs w:val="20"/>
        </w:rPr>
        <w:t>Material accounting policy information</w:t>
      </w:r>
      <w:r w:rsidR="00780368">
        <w:rPr>
          <w:b/>
          <w:i/>
          <w:sz w:val="20"/>
          <w:szCs w:val="20"/>
        </w:rPr>
        <w:t xml:space="preserve"> </w:t>
      </w:r>
    </w:p>
    <w:p w14:paraId="5EF7E4AA" w14:textId="77777777"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b/>
          <w:i/>
          <w:color w:val="0000FF"/>
          <w:sz w:val="20"/>
          <w:szCs w:val="20"/>
        </w:rPr>
        <w:t xml:space="preserve">Discontinued operations. </w:t>
      </w:r>
      <w:r>
        <w:rPr>
          <w:color w:val="0000FF"/>
          <w:sz w:val="20"/>
          <w:szCs w:val="20"/>
        </w:rPr>
        <w:t xml:space="preserve">A discontinued operation is a component of the Group that either has been disposed of, or that is classified as held for sale, and: (a) </w:t>
      </w:r>
      <w:proofErr w:type="spellStart"/>
      <w:r>
        <w:rPr>
          <w:color w:val="0000FF"/>
          <w:sz w:val="20"/>
          <w:szCs w:val="20"/>
        </w:rPr>
        <w:t>represnts</w:t>
      </w:r>
      <w:proofErr w:type="spellEnd"/>
      <w:r>
        <w:rPr>
          <w:color w:val="0000FF"/>
          <w:sz w:val="20"/>
          <w:szCs w:val="20"/>
        </w:rPr>
        <w:t xml:space="preserve"> a separate major line of business or geographical area of operations; (b) is part of a single co-ordinated plan to dispose of a separate major line of business or geographical area of operations; or (c) is a subsidiary acquired exclusively with a view to resale. Earnings and cash flows of discontinued operations, if any, are disclosed separately from continuing operations with comparatives being re-presented.]</w:t>
      </w:r>
    </w:p>
    <w:p w14:paraId="670C317C"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40</w:t>
      </w:r>
      <w:r>
        <w:rPr>
          <w:b/>
          <w:color w:val="000000"/>
          <w:sz w:val="20"/>
          <w:szCs w:val="20"/>
        </w:rPr>
        <w:tab/>
        <w:t>Discontinued Operations (Continued)</w:t>
      </w:r>
    </w:p>
    <w:p w14:paraId="59D3592E" w14:textId="4D4A0C48"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[Name of discontinued operation]</w:t>
      </w:r>
      <w:r>
        <w:rPr>
          <w:color w:val="000000"/>
          <w:sz w:val="20"/>
          <w:szCs w:val="20"/>
        </w:rPr>
        <w:t xml:space="preserve">, which is part of the _____ reportable segment, is presented as a discontinued operation following the approval for its sale by the Group’s management and shareholders on _____ </w:t>
      </w:r>
      <w:r w:rsidR="008614F8">
        <w:rPr>
          <w:color w:val="000000"/>
          <w:sz w:val="20"/>
          <w:szCs w:val="20"/>
        </w:rPr>
        <w:t>2025</w:t>
      </w:r>
      <w:r>
        <w:rPr>
          <w:color w:val="000000"/>
          <w:sz w:val="20"/>
          <w:szCs w:val="20"/>
        </w:rPr>
        <w:t>. The completion date for the transaction is expected by _____ 202</w:t>
      </w:r>
      <w:r w:rsidR="008614F8">
        <w:rPr>
          <w:color w:val="000000"/>
          <w:sz w:val="20"/>
          <w:szCs w:val="20"/>
        </w:rPr>
        <w:t>6</w:t>
      </w:r>
      <w:r>
        <w:rPr>
          <w:color w:val="000000"/>
          <w:sz w:val="20"/>
          <w:szCs w:val="20"/>
        </w:rPr>
        <w:t>.</w:t>
      </w:r>
    </w:p>
    <w:p w14:paraId="1C113293"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An analysis of the result of discontinued operations, and the result recognised on the remeasurement of assets or the disposal group is as follows:</w:t>
      </w:r>
    </w:p>
    <w:tbl>
      <w:tblPr>
        <w:tblStyle w:val="afffffffffff7"/>
        <w:tblW w:w="9355" w:type="dxa"/>
        <w:tblLayout w:type="fixed"/>
        <w:tblLook w:val="0000" w:firstRow="0" w:lastRow="0" w:firstColumn="0" w:lastColumn="0" w:noHBand="0" w:noVBand="0"/>
      </w:tblPr>
      <w:tblGrid>
        <w:gridCol w:w="5726"/>
        <w:gridCol w:w="567"/>
        <w:gridCol w:w="1531"/>
        <w:gridCol w:w="1531"/>
      </w:tblGrid>
      <w:tr w:rsidR="008E5DE4" w14:paraId="0FBCCDCF" w14:textId="77777777">
        <w:trPr>
          <w:cantSplit/>
        </w:trPr>
        <w:tc>
          <w:tcPr>
            <w:tcW w:w="5726" w:type="dxa"/>
            <w:tcBorders>
              <w:bottom w:val="single" w:sz="4" w:space="0" w:color="000000"/>
            </w:tcBorders>
            <w:vAlign w:val="bottom"/>
          </w:tcPr>
          <w:p w14:paraId="5ACDE45A"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567" w:type="dxa"/>
            <w:tcBorders>
              <w:bottom w:val="single" w:sz="4" w:space="0" w:color="000000"/>
            </w:tcBorders>
            <w:vAlign w:val="bottom"/>
          </w:tcPr>
          <w:p w14:paraId="27BE3E51"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4869794D" w14:textId="42203523"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115F4A94" w14:textId="5E8FA42B"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60F51736" w14:textId="77777777">
        <w:trPr>
          <w:cantSplit/>
        </w:trPr>
        <w:tc>
          <w:tcPr>
            <w:tcW w:w="5726" w:type="dxa"/>
            <w:vAlign w:val="bottom"/>
          </w:tcPr>
          <w:p w14:paraId="593040F6" w14:textId="77777777" w:rsidR="008E5DE4" w:rsidRDefault="00780368">
            <w:pPr>
              <w:widowControl w:val="0"/>
              <w:pBdr>
                <w:top w:val="nil"/>
                <w:left w:val="nil"/>
                <w:bottom w:val="nil"/>
                <w:right w:val="nil"/>
                <w:between w:val="nil"/>
              </w:pBdr>
              <w:ind w:left="113" w:right="-57" w:hanging="113"/>
              <w:rPr>
                <w:color w:val="000000"/>
                <w:sz w:val="12"/>
                <w:szCs w:val="12"/>
              </w:rPr>
            </w:pPr>
            <w:r>
              <w:rPr>
                <w:color w:val="000000"/>
                <w:sz w:val="12"/>
                <w:szCs w:val="12"/>
              </w:rPr>
              <w:t> </w:t>
            </w:r>
          </w:p>
        </w:tc>
        <w:tc>
          <w:tcPr>
            <w:tcW w:w="567" w:type="dxa"/>
            <w:vAlign w:val="bottom"/>
          </w:tcPr>
          <w:p w14:paraId="2B38F123"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vAlign w:val="bottom"/>
          </w:tcPr>
          <w:p w14:paraId="4287A867" w14:textId="77777777" w:rsidR="008E5DE4" w:rsidRDefault="008E5DE4">
            <w:pPr>
              <w:widowControl w:val="0"/>
              <w:pBdr>
                <w:top w:val="nil"/>
                <w:left w:val="nil"/>
                <w:bottom w:val="nil"/>
                <w:right w:val="nil"/>
                <w:between w:val="nil"/>
              </w:pBdr>
              <w:jc w:val="right"/>
              <w:rPr>
                <w:color w:val="000000"/>
                <w:sz w:val="12"/>
                <w:szCs w:val="12"/>
              </w:rPr>
            </w:pPr>
          </w:p>
        </w:tc>
        <w:tc>
          <w:tcPr>
            <w:tcW w:w="1531" w:type="dxa"/>
            <w:vAlign w:val="bottom"/>
          </w:tcPr>
          <w:p w14:paraId="69544557" w14:textId="77777777" w:rsidR="008E5DE4" w:rsidRDefault="008E5DE4">
            <w:pPr>
              <w:widowControl w:val="0"/>
              <w:pBdr>
                <w:top w:val="nil"/>
                <w:left w:val="nil"/>
                <w:bottom w:val="nil"/>
                <w:right w:val="nil"/>
                <w:between w:val="nil"/>
              </w:pBdr>
              <w:jc w:val="right"/>
              <w:rPr>
                <w:color w:val="000000"/>
                <w:sz w:val="12"/>
                <w:szCs w:val="12"/>
              </w:rPr>
            </w:pPr>
          </w:p>
        </w:tc>
      </w:tr>
      <w:tr w:rsidR="008E5DE4" w14:paraId="547B3F22" w14:textId="77777777">
        <w:trPr>
          <w:cantSplit/>
        </w:trPr>
        <w:tc>
          <w:tcPr>
            <w:tcW w:w="5726" w:type="dxa"/>
            <w:vAlign w:val="bottom"/>
          </w:tcPr>
          <w:p w14:paraId="35884F14" w14:textId="77777777" w:rsidR="008E5DE4" w:rsidRDefault="00780368">
            <w:pPr>
              <w:widowControl w:val="0"/>
              <w:pBdr>
                <w:top w:val="nil"/>
                <w:left w:val="nil"/>
                <w:bottom w:val="nil"/>
                <w:right w:val="nil"/>
                <w:between w:val="nil"/>
              </w:pBdr>
              <w:ind w:left="113" w:right="-57" w:hanging="113"/>
              <w:rPr>
                <w:color w:val="000000"/>
              </w:rPr>
            </w:pPr>
            <w:r>
              <w:rPr>
                <w:color w:val="000000"/>
              </w:rPr>
              <w:t>Revenue</w:t>
            </w:r>
          </w:p>
        </w:tc>
        <w:tc>
          <w:tcPr>
            <w:tcW w:w="567" w:type="dxa"/>
            <w:vAlign w:val="bottom"/>
          </w:tcPr>
          <w:p w14:paraId="494E91A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6366FE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17018FB" w14:textId="77777777" w:rsidR="008E5DE4" w:rsidRDefault="008E5DE4">
            <w:pPr>
              <w:widowControl w:val="0"/>
              <w:pBdr>
                <w:top w:val="nil"/>
                <w:left w:val="nil"/>
                <w:bottom w:val="nil"/>
                <w:right w:val="nil"/>
                <w:between w:val="nil"/>
              </w:pBdr>
              <w:jc w:val="right"/>
              <w:rPr>
                <w:color w:val="000000"/>
              </w:rPr>
            </w:pPr>
          </w:p>
        </w:tc>
      </w:tr>
      <w:tr w:rsidR="008E5DE4" w14:paraId="53E7F650" w14:textId="77777777">
        <w:trPr>
          <w:cantSplit/>
        </w:trPr>
        <w:tc>
          <w:tcPr>
            <w:tcW w:w="5726" w:type="dxa"/>
            <w:vAlign w:val="bottom"/>
          </w:tcPr>
          <w:p w14:paraId="1731CF0D" w14:textId="77777777" w:rsidR="008E5DE4" w:rsidRDefault="00780368">
            <w:pPr>
              <w:widowControl w:val="0"/>
              <w:pBdr>
                <w:top w:val="nil"/>
                <w:left w:val="nil"/>
                <w:bottom w:val="nil"/>
                <w:right w:val="nil"/>
                <w:between w:val="nil"/>
              </w:pBdr>
              <w:ind w:left="113" w:right="-57" w:hanging="113"/>
              <w:rPr>
                <w:color w:val="000000"/>
              </w:rPr>
            </w:pPr>
            <w:r>
              <w:rPr>
                <w:color w:val="000000"/>
              </w:rPr>
              <w:t>Expenses</w:t>
            </w:r>
          </w:p>
        </w:tc>
        <w:tc>
          <w:tcPr>
            <w:tcW w:w="567" w:type="dxa"/>
            <w:vAlign w:val="bottom"/>
          </w:tcPr>
          <w:p w14:paraId="6CE0D513"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85B325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DA5FD02" w14:textId="77777777" w:rsidR="008E5DE4" w:rsidRDefault="008E5DE4">
            <w:pPr>
              <w:widowControl w:val="0"/>
              <w:pBdr>
                <w:top w:val="nil"/>
                <w:left w:val="nil"/>
                <w:bottom w:val="nil"/>
                <w:right w:val="nil"/>
                <w:between w:val="nil"/>
              </w:pBdr>
              <w:jc w:val="right"/>
              <w:rPr>
                <w:color w:val="000000"/>
              </w:rPr>
            </w:pPr>
          </w:p>
        </w:tc>
      </w:tr>
      <w:tr w:rsidR="008E5DE4" w14:paraId="0D90C6C7" w14:textId="77777777">
        <w:trPr>
          <w:cantSplit/>
        </w:trPr>
        <w:tc>
          <w:tcPr>
            <w:tcW w:w="5726" w:type="dxa"/>
            <w:tcBorders>
              <w:bottom w:val="single" w:sz="4" w:space="0" w:color="000000"/>
            </w:tcBorders>
            <w:vAlign w:val="bottom"/>
          </w:tcPr>
          <w:p w14:paraId="04E14AEF" w14:textId="77777777" w:rsidR="008E5DE4" w:rsidRDefault="00780368">
            <w:pPr>
              <w:widowControl w:val="0"/>
              <w:pBdr>
                <w:top w:val="nil"/>
                <w:left w:val="nil"/>
                <w:bottom w:val="nil"/>
                <w:right w:val="nil"/>
                <w:between w:val="nil"/>
              </w:pBdr>
              <w:ind w:left="113" w:right="-57" w:hanging="113"/>
              <w:rPr>
                <w:color w:val="000000"/>
                <w:sz w:val="12"/>
                <w:szCs w:val="12"/>
              </w:rPr>
            </w:pPr>
            <w:r>
              <w:rPr>
                <w:color w:val="000000"/>
                <w:sz w:val="12"/>
                <w:szCs w:val="12"/>
              </w:rPr>
              <w:t> </w:t>
            </w:r>
          </w:p>
        </w:tc>
        <w:tc>
          <w:tcPr>
            <w:tcW w:w="567" w:type="dxa"/>
            <w:tcBorders>
              <w:bottom w:val="single" w:sz="4" w:space="0" w:color="000000"/>
            </w:tcBorders>
            <w:vAlign w:val="bottom"/>
          </w:tcPr>
          <w:p w14:paraId="52046D91"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tcBorders>
              <w:bottom w:val="single" w:sz="4" w:space="0" w:color="000000"/>
            </w:tcBorders>
            <w:vAlign w:val="bottom"/>
          </w:tcPr>
          <w:p w14:paraId="0EEC3D1A" w14:textId="77777777" w:rsidR="008E5DE4" w:rsidRDefault="008E5DE4">
            <w:pPr>
              <w:widowControl w:val="0"/>
              <w:pBdr>
                <w:top w:val="nil"/>
                <w:left w:val="nil"/>
                <w:bottom w:val="nil"/>
                <w:right w:val="nil"/>
                <w:between w:val="nil"/>
              </w:pBdr>
              <w:jc w:val="right"/>
              <w:rPr>
                <w:color w:val="000000"/>
                <w:sz w:val="12"/>
                <w:szCs w:val="12"/>
              </w:rPr>
            </w:pPr>
          </w:p>
        </w:tc>
        <w:tc>
          <w:tcPr>
            <w:tcW w:w="1531" w:type="dxa"/>
            <w:tcBorders>
              <w:bottom w:val="single" w:sz="4" w:space="0" w:color="000000"/>
            </w:tcBorders>
            <w:vAlign w:val="bottom"/>
          </w:tcPr>
          <w:p w14:paraId="17F0D7BA" w14:textId="77777777" w:rsidR="008E5DE4" w:rsidRDefault="008E5DE4">
            <w:pPr>
              <w:widowControl w:val="0"/>
              <w:pBdr>
                <w:top w:val="nil"/>
                <w:left w:val="nil"/>
                <w:bottom w:val="nil"/>
                <w:right w:val="nil"/>
                <w:between w:val="nil"/>
              </w:pBdr>
              <w:jc w:val="right"/>
              <w:rPr>
                <w:color w:val="000000"/>
                <w:sz w:val="12"/>
                <w:szCs w:val="12"/>
              </w:rPr>
            </w:pPr>
          </w:p>
        </w:tc>
      </w:tr>
      <w:tr w:rsidR="008E5DE4" w14:paraId="5818253D" w14:textId="77777777">
        <w:trPr>
          <w:cantSplit/>
        </w:trPr>
        <w:tc>
          <w:tcPr>
            <w:tcW w:w="5726" w:type="dxa"/>
            <w:vAlign w:val="bottom"/>
          </w:tcPr>
          <w:p w14:paraId="0626695C" w14:textId="77777777" w:rsidR="008E5DE4" w:rsidRDefault="00780368">
            <w:pPr>
              <w:widowControl w:val="0"/>
              <w:pBdr>
                <w:top w:val="nil"/>
                <w:left w:val="nil"/>
                <w:bottom w:val="nil"/>
                <w:right w:val="nil"/>
                <w:between w:val="nil"/>
              </w:pBdr>
              <w:ind w:left="113" w:right="-57" w:hanging="113"/>
              <w:rPr>
                <w:color w:val="000000"/>
                <w:sz w:val="12"/>
                <w:szCs w:val="12"/>
              </w:rPr>
            </w:pPr>
            <w:r>
              <w:rPr>
                <w:color w:val="000000"/>
                <w:sz w:val="12"/>
                <w:szCs w:val="12"/>
              </w:rPr>
              <w:t xml:space="preserve"> </w:t>
            </w:r>
          </w:p>
        </w:tc>
        <w:tc>
          <w:tcPr>
            <w:tcW w:w="567" w:type="dxa"/>
            <w:vAlign w:val="bottom"/>
          </w:tcPr>
          <w:p w14:paraId="0AA49038"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vAlign w:val="bottom"/>
          </w:tcPr>
          <w:p w14:paraId="663D64BF" w14:textId="77777777" w:rsidR="008E5DE4" w:rsidRDefault="008E5DE4">
            <w:pPr>
              <w:widowControl w:val="0"/>
              <w:pBdr>
                <w:top w:val="nil"/>
                <w:left w:val="nil"/>
                <w:bottom w:val="nil"/>
                <w:right w:val="nil"/>
                <w:between w:val="nil"/>
              </w:pBdr>
              <w:jc w:val="right"/>
              <w:rPr>
                <w:color w:val="000000"/>
                <w:sz w:val="12"/>
                <w:szCs w:val="12"/>
              </w:rPr>
            </w:pPr>
          </w:p>
        </w:tc>
        <w:tc>
          <w:tcPr>
            <w:tcW w:w="1531" w:type="dxa"/>
            <w:vAlign w:val="bottom"/>
          </w:tcPr>
          <w:p w14:paraId="5C4EDA43" w14:textId="77777777" w:rsidR="008E5DE4" w:rsidRDefault="008E5DE4">
            <w:pPr>
              <w:widowControl w:val="0"/>
              <w:pBdr>
                <w:top w:val="nil"/>
                <w:left w:val="nil"/>
                <w:bottom w:val="nil"/>
                <w:right w:val="nil"/>
                <w:between w:val="nil"/>
              </w:pBdr>
              <w:jc w:val="right"/>
              <w:rPr>
                <w:color w:val="000000"/>
                <w:sz w:val="12"/>
                <w:szCs w:val="12"/>
              </w:rPr>
            </w:pPr>
          </w:p>
        </w:tc>
      </w:tr>
      <w:tr w:rsidR="008E5DE4" w14:paraId="3580CDC9" w14:textId="77777777">
        <w:trPr>
          <w:cantSplit/>
        </w:trPr>
        <w:tc>
          <w:tcPr>
            <w:tcW w:w="5726" w:type="dxa"/>
            <w:vAlign w:val="bottom"/>
          </w:tcPr>
          <w:p w14:paraId="31597A64" w14:textId="77777777" w:rsidR="008E5DE4" w:rsidRDefault="00780368">
            <w:pPr>
              <w:widowControl w:val="0"/>
              <w:pBdr>
                <w:top w:val="nil"/>
                <w:left w:val="nil"/>
                <w:bottom w:val="nil"/>
                <w:right w:val="nil"/>
                <w:between w:val="nil"/>
              </w:pBdr>
              <w:ind w:left="113" w:right="-57" w:hanging="113"/>
              <w:rPr>
                <w:color w:val="000000"/>
              </w:rPr>
            </w:pPr>
            <w:r>
              <w:rPr>
                <w:color w:val="000000"/>
              </w:rPr>
              <w:t>Profit before tax of discontinued operations</w:t>
            </w:r>
          </w:p>
        </w:tc>
        <w:tc>
          <w:tcPr>
            <w:tcW w:w="567" w:type="dxa"/>
            <w:vAlign w:val="bottom"/>
          </w:tcPr>
          <w:p w14:paraId="50B91103"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6CE934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DF4056C" w14:textId="77777777" w:rsidR="008E5DE4" w:rsidRDefault="008E5DE4">
            <w:pPr>
              <w:widowControl w:val="0"/>
              <w:pBdr>
                <w:top w:val="nil"/>
                <w:left w:val="nil"/>
                <w:bottom w:val="nil"/>
                <w:right w:val="nil"/>
                <w:between w:val="nil"/>
              </w:pBdr>
              <w:jc w:val="right"/>
              <w:rPr>
                <w:color w:val="000000"/>
              </w:rPr>
            </w:pPr>
          </w:p>
        </w:tc>
      </w:tr>
      <w:tr w:rsidR="008E5DE4" w14:paraId="3032EFF1" w14:textId="77777777">
        <w:trPr>
          <w:cantSplit/>
        </w:trPr>
        <w:tc>
          <w:tcPr>
            <w:tcW w:w="5726" w:type="dxa"/>
            <w:vAlign w:val="bottom"/>
          </w:tcPr>
          <w:p w14:paraId="296371C9" w14:textId="77777777" w:rsidR="008E5DE4" w:rsidRDefault="00780368">
            <w:pPr>
              <w:widowControl w:val="0"/>
              <w:pBdr>
                <w:top w:val="nil"/>
                <w:left w:val="nil"/>
                <w:bottom w:val="nil"/>
                <w:right w:val="nil"/>
                <w:between w:val="nil"/>
              </w:pBdr>
              <w:ind w:left="113" w:right="-57" w:hanging="113"/>
              <w:rPr>
                <w:color w:val="000000"/>
                <w:sz w:val="12"/>
                <w:szCs w:val="12"/>
              </w:rPr>
            </w:pPr>
            <w:r>
              <w:rPr>
                <w:color w:val="000000"/>
                <w:sz w:val="12"/>
                <w:szCs w:val="12"/>
              </w:rPr>
              <w:t> </w:t>
            </w:r>
          </w:p>
        </w:tc>
        <w:tc>
          <w:tcPr>
            <w:tcW w:w="567" w:type="dxa"/>
            <w:vAlign w:val="bottom"/>
          </w:tcPr>
          <w:p w14:paraId="6710F6B9"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vAlign w:val="bottom"/>
          </w:tcPr>
          <w:p w14:paraId="10D5F4B9" w14:textId="77777777" w:rsidR="008E5DE4" w:rsidRDefault="008E5DE4">
            <w:pPr>
              <w:widowControl w:val="0"/>
              <w:pBdr>
                <w:top w:val="nil"/>
                <w:left w:val="nil"/>
                <w:bottom w:val="nil"/>
                <w:right w:val="nil"/>
                <w:between w:val="nil"/>
              </w:pBdr>
              <w:jc w:val="right"/>
              <w:rPr>
                <w:color w:val="000000"/>
                <w:sz w:val="12"/>
                <w:szCs w:val="12"/>
              </w:rPr>
            </w:pPr>
          </w:p>
        </w:tc>
        <w:tc>
          <w:tcPr>
            <w:tcW w:w="1531" w:type="dxa"/>
            <w:vAlign w:val="bottom"/>
          </w:tcPr>
          <w:p w14:paraId="7B1A04B1" w14:textId="77777777" w:rsidR="008E5DE4" w:rsidRDefault="008E5DE4">
            <w:pPr>
              <w:widowControl w:val="0"/>
              <w:pBdr>
                <w:top w:val="nil"/>
                <w:left w:val="nil"/>
                <w:bottom w:val="nil"/>
                <w:right w:val="nil"/>
                <w:between w:val="nil"/>
              </w:pBdr>
              <w:jc w:val="right"/>
              <w:rPr>
                <w:color w:val="000000"/>
                <w:sz w:val="12"/>
                <w:szCs w:val="12"/>
              </w:rPr>
            </w:pPr>
          </w:p>
        </w:tc>
      </w:tr>
      <w:tr w:rsidR="008E5DE4" w14:paraId="1E244F3C" w14:textId="77777777">
        <w:trPr>
          <w:cantSplit/>
        </w:trPr>
        <w:tc>
          <w:tcPr>
            <w:tcW w:w="5726" w:type="dxa"/>
            <w:vAlign w:val="bottom"/>
          </w:tcPr>
          <w:p w14:paraId="2D2BAAEC" w14:textId="77777777" w:rsidR="008E5DE4" w:rsidRDefault="00780368">
            <w:pPr>
              <w:widowControl w:val="0"/>
              <w:pBdr>
                <w:top w:val="nil"/>
                <w:left w:val="nil"/>
                <w:bottom w:val="nil"/>
                <w:right w:val="nil"/>
                <w:between w:val="nil"/>
              </w:pBdr>
              <w:ind w:left="113" w:right="-57" w:hanging="113"/>
              <w:rPr>
                <w:color w:val="000000"/>
              </w:rPr>
            </w:pPr>
            <w:r>
              <w:rPr>
                <w:color w:val="000000"/>
              </w:rPr>
              <w:t>Income tax relating to profit before tax of discontinued operations</w:t>
            </w:r>
          </w:p>
        </w:tc>
        <w:tc>
          <w:tcPr>
            <w:tcW w:w="567" w:type="dxa"/>
            <w:vAlign w:val="bottom"/>
          </w:tcPr>
          <w:p w14:paraId="7F48E650"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AB88F5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55EBA78" w14:textId="77777777" w:rsidR="008E5DE4" w:rsidRDefault="008E5DE4">
            <w:pPr>
              <w:widowControl w:val="0"/>
              <w:pBdr>
                <w:top w:val="nil"/>
                <w:left w:val="nil"/>
                <w:bottom w:val="nil"/>
                <w:right w:val="nil"/>
                <w:between w:val="nil"/>
              </w:pBdr>
              <w:jc w:val="right"/>
              <w:rPr>
                <w:color w:val="000000"/>
              </w:rPr>
            </w:pPr>
          </w:p>
        </w:tc>
      </w:tr>
      <w:tr w:rsidR="008E5DE4" w14:paraId="00FDA3C6" w14:textId="77777777">
        <w:trPr>
          <w:cantSplit/>
        </w:trPr>
        <w:tc>
          <w:tcPr>
            <w:tcW w:w="5726" w:type="dxa"/>
            <w:tcBorders>
              <w:bottom w:val="single" w:sz="4" w:space="0" w:color="000000"/>
            </w:tcBorders>
            <w:vAlign w:val="bottom"/>
          </w:tcPr>
          <w:p w14:paraId="720068C4" w14:textId="77777777" w:rsidR="008E5DE4" w:rsidRDefault="00780368">
            <w:pPr>
              <w:widowControl w:val="0"/>
              <w:pBdr>
                <w:top w:val="nil"/>
                <w:left w:val="nil"/>
                <w:bottom w:val="nil"/>
                <w:right w:val="nil"/>
                <w:between w:val="nil"/>
              </w:pBdr>
              <w:ind w:left="113" w:right="-57" w:hanging="113"/>
              <w:rPr>
                <w:color w:val="000000"/>
                <w:sz w:val="12"/>
                <w:szCs w:val="12"/>
              </w:rPr>
            </w:pPr>
            <w:r>
              <w:rPr>
                <w:color w:val="000000"/>
                <w:sz w:val="12"/>
                <w:szCs w:val="12"/>
              </w:rPr>
              <w:t> </w:t>
            </w:r>
          </w:p>
        </w:tc>
        <w:tc>
          <w:tcPr>
            <w:tcW w:w="567" w:type="dxa"/>
            <w:tcBorders>
              <w:bottom w:val="single" w:sz="4" w:space="0" w:color="000000"/>
            </w:tcBorders>
            <w:vAlign w:val="bottom"/>
          </w:tcPr>
          <w:p w14:paraId="14C01B58"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tcBorders>
              <w:bottom w:val="single" w:sz="4" w:space="0" w:color="000000"/>
            </w:tcBorders>
            <w:vAlign w:val="bottom"/>
          </w:tcPr>
          <w:p w14:paraId="28E5C76D" w14:textId="77777777" w:rsidR="008E5DE4" w:rsidRDefault="008E5DE4">
            <w:pPr>
              <w:widowControl w:val="0"/>
              <w:pBdr>
                <w:top w:val="nil"/>
                <w:left w:val="nil"/>
                <w:bottom w:val="nil"/>
                <w:right w:val="nil"/>
                <w:between w:val="nil"/>
              </w:pBdr>
              <w:jc w:val="right"/>
              <w:rPr>
                <w:color w:val="000000"/>
                <w:sz w:val="12"/>
                <w:szCs w:val="12"/>
              </w:rPr>
            </w:pPr>
          </w:p>
        </w:tc>
        <w:tc>
          <w:tcPr>
            <w:tcW w:w="1531" w:type="dxa"/>
            <w:tcBorders>
              <w:bottom w:val="single" w:sz="4" w:space="0" w:color="000000"/>
            </w:tcBorders>
            <w:vAlign w:val="bottom"/>
          </w:tcPr>
          <w:p w14:paraId="12206CE1" w14:textId="77777777" w:rsidR="008E5DE4" w:rsidRDefault="008E5DE4">
            <w:pPr>
              <w:widowControl w:val="0"/>
              <w:pBdr>
                <w:top w:val="nil"/>
                <w:left w:val="nil"/>
                <w:bottom w:val="nil"/>
                <w:right w:val="nil"/>
                <w:between w:val="nil"/>
              </w:pBdr>
              <w:jc w:val="right"/>
              <w:rPr>
                <w:color w:val="000000"/>
                <w:sz w:val="12"/>
                <w:szCs w:val="12"/>
              </w:rPr>
            </w:pPr>
          </w:p>
        </w:tc>
      </w:tr>
      <w:tr w:rsidR="008E5DE4" w14:paraId="4A352F82" w14:textId="77777777">
        <w:trPr>
          <w:cantSplit/>
        </w:trPr>
        <w:tc>
          <w:tcPr>
            <w:tcW w:w="5726" w:type="dxa"/>
            <w:tcBorders>
              <w:top w:val="single" w:sz="4" w:space="0" w:color="000000"/>
            </w:tcBorders>
            <w:vAlign w:val="bottom"/>
          </w:tcPr>
          <w:p w14:paraId="1D80809B" w14:textId="77777777" w:rsidR="008E5DE4" w:rsidRDefault="00780368">
            <w:pPr>
              <w:widowControl w:val="0"/>
              <w:ind w:left="113" w:right="-57" w:hanging="113"/>
              <w:rPr>
                <w:sz w:val="12"/>
                <w:szCs w:val="12"/>
              </w:rPr>
            </w:pPr>
            <w:r>
              <w:rPr>
                <w:sz w:val="12"/>
                <w:szCs w:val="12"/>
              </w:rPr>
              <w:t> </w:t>
            </w:r>
          </w:p>
        </w:tc>
        <w:tc>
          <w:tcPr>
            <w:tcW w:w="567" w:type="dxa"/>
            <w:tcBorders>
              <w:top w:val="single" w:sz="4" w:space="0" w:color="000000"/>
            </w:tcBorders>
            <w:vAlign w:val="bottom"/>
          </w:tcPr>
          <w:p w14:paraId="65D26B16"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tcBorders>
              <w:top w:val="single" w:sz="4" w:space="0" w:color="000000"/>
            </w:tcBorders>
            <w:vAlign w:val="bottom"/>
          </w:tcPr>
          <w:p w14:paraId="546319D9" w14:textId="77777777" w:rsidR="008E5DE4" w:rsidRDefault="008E5DE4">
            <w:pPr>
              <w:widowControl w:val="0"/>
              <w:pBdr>
                <w:top w:val="nil"/>
                <w:left w:val="nil"/>
                <w:bottom w:val="nil"/>
                <w:right w:val="nil"/>
                <w:between w:val="nil"/>
              </w:pBdr>
              <w:jc w:val="right"/>
              <w:rPr>
                <w:b/>
                <w:color w:val="000000"/>
                <w:sz w:val="12"/>
                <w:szCs w:val="12"/>
              </w:rPr>
            </w:pPr>
          </w:p>
        </w:tc>
        <w:tc>
          <w:tcPr>
            <w:tcW w:w="1531" w:type="dxa"/>
            <w:tcBorders>
              <w:top w:val="single" w:sz="4" w:space="0" w:color="000000"/>
            </w:tcBorders>
            <w:vAlign w:val="bottom"/>
          </w:tcPr>
          <w:p w14:paraId="78E37CBC" w14:textId="77777777" w:rsidR="008E5DE4" w:rsidRDefault="008E5DE4">
            <w:pPr>
              <w:widowControl w:val="0"/>
              <w:pBdr>
                <w:top w:val="nil"/>
                <w:left w:val="nil"/>
                <w:bottom w:val="nil"/>
                <w:right w:val="nil"/>
                <w:between w:val="nil"/>
              </w:pBdr>
              <w:jc w:val="right"/>
              <w:rPr>
                <w:b/>
                <w:color w:val="000000"/>
                <w:sz w:val="12"/>
                <w:szCs w:val="12"/>
              </w:rPr>
            </w:pPr>
          </w:p>
        </w:tc>
      </w:tr>
      <w:tr w:rsidR="008E5DE4" w14:paraId="005D91E3" w14:textId="77777777">
        <w:trPr>
          <w:cantSplit/>
        </w:trPr>
        <w:tc>
          <w:tcPr>
            <w:tcW w:w="5726" w:type="dxa"/>
            <w:vAlign w:val="bottom"/>
          </w:tcPr>
          <w:p w14:paraId="756C67C3" w14:textId="77777777" w:rsidR="008E5DE4" w:rsidRDefault="00780368">
            <w:pPr>
              <w:widowControl w:val="0"/>
              <w:pBdr>
                <w:top w:val="nil"/>
                <w:left w:val="nil"/>
                <w:bottom w:val="nil"/>
                <w:right w:val="nil"/>
                <w:between w:val="nil"/>
              </w:pBdr>
              <w:ind w:left="113" w:right="-57" w:hanging="113"/>
              <w:rPr>
                <w:color w:val="000000"/>
              </w:rPr>
            </w:pPr>
            <w:r>
              <w:rPr>
                <w:color w:val="000000"/>
              </w:rPr>
              <w:t>Profit after tax of discontinued operations</w:t>
            </w:r>
          </w:p>
        </w:tc>
        <w:tc>
          <w:tcPr>
            <w:tcW w:w="567" w:type="dxa"/>
            <w:vAlign w:val="bottom"/>
          </w:tcPr>
          <w:p w14:paraId="5AD5A65D"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15C27C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7700ADD" w14:textId="77777777" w:rsidR="008E5DE4" w:rsidRDefault="008E5DE4">
            <w:pPr>
              <w:widowControl w:val="0"/>
              <w:pBdr>
                <w:top w:val="nil"/>
                <w:left w:val="nil"/>
                <w:bottom w:val="nil"/>
                <w:right w:val="nil"/>
                <w:between w:val="nil"/>
              </w:pBdr>
              <w:jc w:val="right"/>
              <w:rPr>
                <w:color w:val="000000"/>
              </w:rPr>
            </w:pPr>
          </w:p>
        </w:tc>
      </w:tr>
      <w:tr w:rsidR="008E5DE4" w14:paraId="6BD78FAB" w14:textId="77777777">
        <w:trPr>
          <w:cantSplit/>
        </w:trPr>
        <w:tc>
          <w:tcPr>
            <w:tcW w:w="5726" w:type="dxa"/>
            <w:tcBorders>
              <w:bottom w:val="single" w:sz="4" w:space="0" w:color="000000"/>
            </w:tcBorders>
            <w:vAlign w:val="bottom"/>
          </w:tcPr>
          <w:p w14:paraId="20B25D86" w14:textId="77777777" w:rsidR="008E5DE4" w:rsidRDefault="00780368">
            <w:pPr>
              <w:widowControl w:val="0"/>
              <w:pBdr>
                <w:top w:val="nil"/>
                <w:left w:val="nil"/>
                <w:bottom w:val="nil"/>
                <w:right w:val="nil"/>
                <w:between w:val="nil"/>
              </w:pBdr>
              <w:ind w:left="113" w:right="-57" w:hanging="113"/>
              <w:rPr>
                <w:b/>
                <w:color w:val="000000"/>
                <w:sz w:val="12"/>
                <w:szCs w:val="12"/>
              </w:rPr>
            </w:pPr>
            <w:r>
              <w:rPr>
                <w:b/>
                <w:color w:val="000000"/>
                <w:sz w:val="12"/>
                <w:szCs w:val="12"/>
              </w:rPr>
              <w:t> </w:t>
            </w:r>
          </w:p>
        </w:tc>
        <w:tc>
          <w:tcPr>
            <w:tcW w:w="567" w:type="dxa"/>
            <w:tcBorders>
              <w:bottom w:val="single" w:sz="4" w:space="0" w:color="000000"/>
            </w:tcBorders>
            <w:vAlign w:val="bottom"/>
          </w:tcPr>
          <w:p w14:paraId="75BAB006"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tcBorders>
              <w:bottom w:val="single" w:sz="4" w:space="0" w:color="000000"/>
            </w:tcBorders>
            <w:vAlign w:val="bottom"/>
          </w:tcPr>
          <w:p w14:paraId="15FFD64F" w14:textId="77777777" w:rsidR="008E5DE4" w:rsidRDefault="008E5DE4">
            <w:pPr>
              <w:widowControl w:val="0"/>
              <w:pBdr>
                <w:top w:val="nil"/>
                <w:left w:val="nil"/>
                <w:bottom w:val="nil"/>
                <w:right w:val="nil"/>
                <w:between w:val="nil"/>
              </w:pBdr>
              <w:jc w:val="right"/>
              <w:rPr>
                <w:b/>
                <w:color w:val="000000"/>
                <w:sz w:val="12"/>
                <w:szCs w:val="12"/>
              </w:rPr>
            </w:pPr>
          </w:p>
        </w:tc>
        <w:tc>
          <w:tcPr>
            <w:tcW w:w="1531" w:type="dxa"/>
            <w:tcBorders>
              <w:bottom w:val="single" w:sz="4" w:space="0" w:color="000000"/>
            </w:tcBorders>
            <w:vAlign w:val="bottom"/>
          </w:tcPr>
          <w:p w14:paraId="12CD5F8E" w14:textId="77777777" w:rsidR="008E5DE4" w:rsidRDefault="008E5DE4">
            <w:pPr>
              <w:widowControl w:val="0"/>
              <w:pBdr>
                <w:top w:val="nil"/>
                <w:left w:val="nil"/>
                <w:bottom w:val="nil"/>
                <w:right w:val="nil"/>
                <w:between w:val="nil"/>
              </w:pBdr>
              <w:jc w:val="right"/>
              <w:rPr>
                <w:b/>
                <w:color w:val="000000"/>
                <w:sz w:val="12"/>
                <w:szCs w:val="12"/>
              </w:rPr>
            </w:pPr>
          </w:p>
        </w:tc>
      </w:tr>
      <w:tr w:rsidR="008E5DE4" w14:paraId="2C7B251C" w14:textId="77777777">
        <w:trPr>
          <w:cantSplit/>
        </w:trPr>
        <w:tc>
          <w:tcPr>
            <w:tcW w:w="5726" w:type="dxa"/>
            <w:tcBorders>
              <w:top w:val="single" w:sz="4" w:space="0" w:color="000000"/>
            </w:tcBorders>
            <w:vAlign w:val="bottom"/>
          </w:tcPr>
          <w:p w14:paraId="47AF7F18" w14:textId="77777777" w:rsidR="008E5DE4" w:rsidRDefault="00780368">
            <w:pPr>
              <w:widowControl w:val="0"/>
              <w:pBdr>
                <w:top w:val="nil"/>
                <w:left w:val="nil"/>
                <w:bottom w:val="nil"/>
                <w:right w:val="nil"/>
                <w:between w:val="nil"/>
              </w:pBdr>
              <w:ind w:left="113" w:right="-57" w:hanging="113"/>
              <w:rPr>
                <w:color w:val="000000"/>
                <w:sz w:val="12"/>
                <w:szCs w:val="12"/>
              </w:rPr>
            </w:pPr>
            <w:r>
              <w:rPr>
                <w:b/>
                <w:color w:val="000000"/>
                <w:sz w:val="12"/>
                <w:szCs w:val="12"/>
              </w:rPr>
              <w:t> </w:t>
            </w:r>
          </w:p>
        </w:tc>
        <w:tc>
          <w:tcPr>
            <w:tcW w:w="567" w:type="dxa"/>
            <w:tcBorders>
              <w:top w:val="single" w:sz="4" w:space="0" w:color="000000"/>
            </w:tcBorders>
            <w:vAlign w:val="bottom"/>
          </w:tcPr>
          <w:p w14:paraId="32AB8BD1"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tcBorders>
              <w:top w:val="single" w:sz="4" w:space="0" w:color="000000"/>
            </w:tcBorders>
            <w:vAlign w:val="bottom"/>
          </w:tcPr>
          <w:p w14:paraId="7A1FB16E" w14:textId="77777777" w:rsidR="008E5DE4" w:rsidRDefault="008E5DE4">
            <w:pPr>
              <w:widowControl w:val="0"/>
              <w:pBdr>
                <w:top w:val="nil"/>
                <w:left w:val="nil"/>
                <w:bottom w:val="nil"/>
                <w:right w:val="nil"/>
                <w:between w:val="nil"/>
              </w:pBdr>
              <w:jc w:val="right"/>
              <w:rPr>
                <w:color w:val="000000"/>
                <w:sz w:val="12"/>
                <w:szCs w:val="12"/>
              </w:rPr>
            </w:pPr>
          </w:p>
        </w:tc>
        <w:tc>
          <w:tcPr>
            <w:tcW w:w="1531" w:type="dxa"/>
            <w:tcBorders>
              <w:top w:val="single" w:sz="4" w:space="0" w:color="000000"/>
            </w:tcBorders>
            <w:vAlign w:val="bottom"/>
          </w:tcPr>
          <w:p w14:paraId="2CE6C75E" w14:textId="77777777" w:rsidR="008E5DE4" w:rsidRDefault="008E5DE4">
            <w:pPr>
              <w:widowControl w:val="0"/>
              <w:pBdr>
                <w:top w:val="nil"/>
                <w:left w:val="nil"/>
                <w:bottom w:val="nil"/>
                <w:right w:val="nil"/>
                <w:between w:val="nil"/>
              </w:pBdr>
              <w:jc w:val="right"/>
              <w:rPr>
                <w:color w:val="000000"/>
                <w:sz w:val="12"/>
                <w:szCs w:val="12"/>
              </w:rPr>
            </w:pPr>
          </w:p>
        </w:tc>
      </w:tr>
      <w:tr w:rsidR="008E5DE4" w14:paraId="4B150C8C" w14:textId="77777777">
        <w:trPr>
          <w:cantSplit/>
        </w:trPr>
        <w:tc>
          <w:tcPr>
            <w:tcW w:w="5726" w:type="dxa"/>
            <w:vAlign w:val="bottom"/>
          </w:tcPr>
          <w:p w14:paraId="0B4B7359" w14:textId="77777777" w:rsidR="008E5DE4" w:rsidRDefault="00780368">
            <w:pPr>
              <w:widowControl w:val="0"/>
              <w:pBdr>
                <w:top w:val="nil"/>
                <w:left w:val="nil"/>
                <w:bottom w:val="nil"/>
                <w:right w:val="nil"/>
                <w:between w:val="nil"/>
              </w:pBdr>
              <w:ind w:left="113" w:right="-57" w:hanging="113"/>
              <w:rPr>
                <w:color w:val="000000"/>
              </w:rPr>
            </w:pPr>
            <w:r>
              <w:rPr>
                <w:color w:val="000000"/>
              </w:rPr>
              <w:t>Pre-tax gain/(loss) recognised on the remeasurement of net assets constituting the discontinued operation to the lower of carrying amount and fair value less costs of disposal</w:t>
            </w:r>
          </w:p>
        </w:tc>
        <w:tc>
          <w:tcPr>
            <w:tcW w:w="567" w:type="dxa"/>
            <w:vAlign w:val="bottom"/>
          </w:tcPr>
          <w:p w14:paraId="6894DE7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2268F5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C559A81" w14:textId="77777777" w:rsidR="008E5DE4" w:rsidRDefault="008E5DE4">
            <w:pPr>
              <w:widowControl w:val="0"/>
              <w:pBdr>
                <w:top w:val="nil"/>
                <w:left w:val="nil"/>
                <w:bottom w:val="nil"/>
                <w:right w:val="nil"/>
                <w:between w:val="nil"/>
              </w:pBdr>
              <w:jc w:val="right"/>
              <w:rPr>
                <w:color w:val="000000"/>
              </w:rPr>
            </w:pPr>
          </w:p>
        </w:tc>
      </w:tr>
      <w:tr w:rsidR="008E5DE4" w14:paraId="4090A9C4" w14:textId="77777777">
        <w:trPr>
          <w:cantSplit/>
        </w:trPr>
        <w:tc>
          <w:tcPr>
            <w:tcW w:w="5726" w:type="dxa"/>
            <w:vAlign w:val="bottom"/>
          </w:tcPr>
          <w:p w14:paraId="018F2DDB" w14:textId="77777777" w:rsidR="008E5DE4" w:rsidRDefault="00780368">
            <w:pPr>
              <w:widowControl w:val="0"/>
              <w:pBdr>
                <w:top w:val="nil"/>
                <w:left w:val="nil"/>
                <w:bottom w:val="nil"/>
                <w:right w:val="nil"/>
                <w:between w:val="nil"/>
              </w:pBdr>
              <w:ind w:left="113" w:right="-57" w:hanging="113"/>
              <w:rPr>
                <w:color w:val="000000"/>
                <w:sz w:val="12"/>
                <w:szCs w:val="12"/>
              </w:rPr>
            </w:pPr>
            <w:r>
              <w:rPr>
                <w:b/>
                <w:color w:val="000000"/>
                <w:sz w:val="12"/>
                <w:szCs w:val="12"/>
              </w:rPr>
              <w:t> </w:t>
            </w:r>
          </w:p>
        </w:tc>
        <w:tc>
          <w:tcPr>
            <w:tcW w:w="567" w:type="dxa"/>
            <w:vAlign w:val="bottom"/>
          </w:tcPr>
          <w:p w14:paraId="6CDED99C"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vAlign w:val="bottom"/>
          </w:tcPr>
          <w:p w14:paraId="3C4F3893" w14:textId="77777777" w:rsidR="008E5DE4" w:rsidRDefault="008E5DE4">
            <w:pPr>
              <w:widowControl w:val="0"/>
              <w:pBdr>
                <w:top w:val="nil"/>
                <w:left w:val="nil"/>
                <w:bottom w:val="nil"/>
                <w:right w:val="nil"/>
                <w:between w:val="nil"/>
              </w:pBdr>
              <w:jc w:val="right"/>
              <w:rPr>
                <w:color w:val="000000"/>
                <w:sz w:val="12"/>
                <w:szCs w:val="12"/>
              </w:rPr>
            </w:pPr>
          </w:p>
        </w:tc>
        <w:tc>
          <w:tcPr>
            <w:tcW w:w="1531" w:type="dxa"/>
            <w:vAlign w:val="bottom"/>
          </w:tcPr>
          <w:p w14:paraId="463A2B01" w14:textId="77777777" w:rsidR="008E5DE4" w:rsidRDefault="008E5DE4">
            <w:pPr>
              <w:widowControl w:val="0"/>
              <w:pBdr>
                <w:top w:val="nil"/>
                <w:left w:val="nil"/>
                <w:bottom w:val="nil"/>
                <w:right w:val="nil"/>
                <w:between w:val="nil"/>
              </w:pBdr>
              <w:jc w:val="right"/>
              <w:rPr>
                <w:color w:val="000000"/>
                <w:sz w:val="12"/>
                <w:szCs w:val="12"/>
              </w:rPr>
            </w:pPr>
          </w:p>
        </w:tc>
      </w:tr>
      <w:tr w:rsidR="008E5DE4" w14:paraId="21D461F5" w14:textId="77777777">
        <w:trPr>
          <w:cantSplit/>
        </w:trPr>
        <w:tc>
          <w:tcPr>
            <w:tcW w:w="5726" w:type="dxa"/>
            <w:vAlign w:val="bottom"/>
          </w:tcPr>
          <w:p w14:paraId="08CDAD55" w14:textId="77777777" w:rsidR="008E5DE4" w:rsidRDefault="00780368">
            <w:pPr>
              <w:widowControl w:val="0"/>
              <w:pBdr>
                <w:top w:val="nil"/>
                <w:left w:val="nil"/>
                <w:bottom w:val="nil"/>
                <w:right w:val="nil"/>
                <w:between w:val="nil"/>
              </w:pBdr>
              <w:ind w:left="113" w:right="-57" w:hanging="113"/>
              <w:rPr>
                <w:color w:val="000000"/>
              </w:rPr>
            </w:pPr>
            <w:r>
              <w:rPr>
                <w:color w:val="000000"/>
              </w:rPr>
              <w:t>Income tax effect of remeasurement</w:t>
            </w:r>
          </w:p>
        </w:tc>
        <w:tc>
          <w:tcPr>
            <w:tcW w:w="567" w:type="dxa"/>
            <w:vAlign w:val="bottom"/>
          </w:tcPr>
          <w:p w14:paraId="557F4349"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E45243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D8AD32F" w14:textId="77777777" w:rsidR="008E5DE4" w:rsidRDefault="008E5DE4">
            <w:pPr>
              <w:widowControl w:val="0"/>
              <w:pBdr>
                <w:top w:val="nil"/>
                <w:left w:val="nil"/>
                <w:bottom w:val="nil"/>
                <w:right w:val="nil"/>
                <w:between w:val="nil"/>
              </w:pBdr>
              <w:jc w:val="right"/>
              <w:rPr>
                <w:color w:val="000000"/>
              </w:rPr>
            </w:pPr>
          </w:p>
        </w:tc>
      </w:tr>
      <w:tr w:rsidR="008E5DE4" w14:paraId="578162EC" w14:textId="77777777">
        <w:trPr>
          <w:cantSplit/>
        </w:trPr>
        <w:tc>
          <w:tcPr>
            <w:tcW w:w="5726" w:type="dxa"/>
            <w:tcBorders>
              <w:bottom w:val="single" w:sz="4" w:space="0" w:color="000000"/>
            </w:tcBorders>
            <w:vAlign w:val="bottom"/>
          </w:tcPr>
          <w:p w14:paraId="6BBEAA1A" w14:textId="77777777" w:rsidR="008E5DE4" w:rsidRDefault="00780368">
            <w:pPr>
              <w:widowControl w:val="0"/>
              <w:pBdr>
                <w:top w:val="nil"/>
                <w:left w:val="nil"/>
                <w:bottom w:val="nil"/>
                <w:right w:val="nil"/>
                <w:between w:val="nil"/>
              </w:pBdr>
              <w:ind w:left="113" w:right="-57" w:hanging="113"/>
              <w:rPr>
                <w:color w:val="000000"/>
                <w:sz w:val="12"/>
                <w:szCs w:val="12"/>
              </w:rPr>
            </w:pPr>
            <w:r>
              <w:rPr>
                <w:b/>
                <w:color w:val="000000"/>
                <w:sz w:val="12"/>
                <w:szCs w:val="12"/>
              </w:rPr>
              <w:t> </w:t>
            </w:r>
          </w:p>
        </w:tc>
        <w:tc>
          <w:tcPr>
            <w:tcW w:w="567" w:type="dxa"/>
            <w:tcBorders>
              <w:bottom w:val="single" w:sz="4" w:space="0" w:color="000000"/>
            </w:tcBorders>
            <w:vAlign w:val="bottom"/>
          </w:tcPr>
          <w:p w14:paraId="0C9086D5"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tcBorders>
              <w:bottom w:val="single" w:sz="4" w:space="0" w:color="000000"/>
            </w:tcBorders>
            <w:vAlign w:val="bottom"/>
          </w:tcPr>
          <w:p w14:paraId="1F9155B3" w14:textId="77777777" w:rsidR="008E5DE4" w:rsidRDefault="008E5DE4">
            <w:pPr>
              <w:widowControl w:val="0"/>
              <w:pBdr>
                <w:top w:val="nil"/>
                <w:left w:val="nil"/>
                <w:bottom w:val="nil"/>
                <w:right w:val="nil"/>
                <w:between w:val="nil"/>
              </w:pBdr>
              <w:jc w:val="right"/>
              <w:rPr>
                <w:color w:val="000000"/>
                <w:sz w:val="12"/>
                <w:szCs w:val="12"/>
              </w:rPr>
            </w:pPr>
          </w:p>
        </w:tc>
        <w:tc>
          <w:tcPr>
            <w:tcW w:w="1531" w:type="dxa"/>
            <w:tcBorders>
              <w:bottom w:val="single" w:sz="4" w:space="0" w:color="000000"/>
            </w:tcBorders>
            <w:vAlign w:val="bottom"/>
          </w:tcPr>
          <w:p w14:paraId="25916FF9" w14:textId="77777777" w:rsidR="008E5DE4" w:rsidRDefault="008E5DE4">
            <w:pPr>
              <w:widowControl w:val="0"/>
              <w:pBdr>
                <w:top w:val="nil"/>
                <w:left w:val="nil"/>
                <w:bottom w:val="nil"/>
                <w:right w:val="nil"/>
                <w:between w:val="nil"/>
              </w:pBdr>
              <w:jc w:val="right"/>
              <w:rPr>
                <w:color w:val="000000"/>
                <w:sz w:val="12"/>
                <w:szCs w:val="12"/>
              </w:rPr>
            </w:pPr>
          </w:p>
        </w:tc>
      </w:tr>
      <w:tr w:rsidR="008E5DE4" w14:paraId="614CC54C" w14:textId="77777777">
        <w:trPr>
          <w:cantSplit/>
        </w:trPr>
        <w:tc>
          <w:tcPr>
            <w:tcW w:w="5726" w:type="dxa"/>
            <w:tcBorders>
              <w:top w:val="single" w:sz="4" w:space="0" w:color="000000"/>
            </w:tcBorders>
            <w:vAlign w:val="bottom"/>
          </w:tcPr>
          <w:p w14:paraId="19BCCBCE" w14:textId="77777777" w:rsidR="008E5DE4" w:rsidRDefault="00780368">
            <w:pPr>
              <w:widowControl w:val="0"/>
              <w:pBdr>
                <w:top w:val="nil"/>
                <w:left w:val="nil"/>
                <w:bottom w:val="nil"/>
                <w:right w:val="nil"/>
                <w:between w:val="nil"/>
              </w:pBdr>
              <w:ind w:left="113" w:right="-57" w:hanging="113"/>
              <w:rPr>
                <w:b/>
                <w:color w:val="000000"/>
                <w:sz w:val="12"/>
                <w:szCs w:val="12"/>
              </w:rPr>
            </w:pPr>
            <w:r>
              <w:rPr>
                <w:color w:val="000000"/>
                <w:sz w:val="12"/>
                <w:szCs w:val="12"/>
              </w:rPr>
              <w:t> </w:t>
            </w:r>
          </w:p>
        </w:tc>
        <w:tc>
          <w:tcPr>
            <w:tcW w:w="567" w:type="dxa"/>
            <w:tcBorders>
              <w:top w:val="single" w:sz="4" w:space="0" w:color="000000"/>
            </w:tcBorders>
            <w:vAlign w:val="bottom"/>
          </w:tcPr>
          <w:p w14:paraId="7AE37007"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tcBorders>
              <w:top w:val="single" w:sz="4" w:space="0" w:color="000000"/>
            </w:tcBorders>
            <w:vAlign w:val="bottom"/>
          </w:tcPr>
          <w:p w14:paraId="024DC6B7" w14:textId="77777777" w:rsidR="008E5DE4" w:rsidRDefault="008E5DE4">
            <w:pPr>
              <w:widowControl w:val="0"/>
              <w:pBdr>
                <w:top w:val="nil"/>
                <w:left w:val="nil"/>
                <w:bottom w:val="nil"/>
                <w:right w:val="nil"/>
                <w:between w:val="nil"/>
              </w:pBdr>
              <w:jc w:val="right"/>
              <w:rPr>
                <w:color w:val="000000"/>
                <w:sz w:val="12"/>
                <w:szCs w:val="12"/>
              </w:rPr>
            </w:pPr>
          </w:p>
        </w:tc>
        <w:tc>
          <w:tcPr>
            <w:tcW w:w="1531" w:type="dxa"/>
            <w:tcBorders>
              <w:top w:val="single" w:sz="4" w:space="0" w:color="000000"/>
            </w:tcBorders>
            <w:vAlign w:val="bottom"/>
          </w:tcPr>
          <w:p w14:paraId="7CCD0BDB" w14:textId="77777777" w:rsidR="008E5DE4" w:rsidRDefault="008E5DE4">
            <w:pPr>
              <w:widowControl w:val="0"/>
              <w:pBdr>
                <w:top w:val="nil"/>
                <w:left w:val="nil"/>
                <w:bottom w:val="nil"/>
                <w:right w:val="nil"/>
                <w:between w:val="nil"/>
              </w:pBdr>
              <w:jc w:val="right"/>
              <w:rPr>
                <w:color w:val="000000"/>
                <w:sz w:val="12"/>
                <w:szCs w:val="12"/>
              </w:rPr>
            </w:pPr>
          </w:p>
        </w:tc>
      </w:tr>
      <w:tr w:rsidR="008E5DE4" w14:paraId="76B78E7F" w14:textId="77777777">
        <w:trPr>
          <w:cantSplit/>
        </w:trPr>
        <w:tc>
          <w:tcPr>
            <w:tcW w:w="5726" w:type="dxa"/>
            <w:vAlign w:val="bottom"/>
          </w:tcPr>
          <w:p w14:paraId="5939E560" w14:textId="77777777" w:rsidR="008E5DE4" w:rsidRDefault="00780368">
            <w:pPr>
              <w:widowControl w:val="0"/>
              <w:pBdr>
                <w:top w:val="nil"/>
                <w:left w:val="nil"/>
                <w:bottom w:val="nil"/>
                <w:right w:val="nil"/>
                <w:between w:val="nil"/>
              </w:pBdr>
              <w:ind w:left="113" w:right="-57" w:hanging="113"/>
              <w:rPr>
                <w:b/>
                <w:color w:val="000000"/>
              </w:rPr>
            </w:pPr>
            <w:r>
              <w:rPr>
                <w:b/>
                <w:color w:val="000000"/>
              </w:rPr>
              <w:t>Profit/(loss) for the year from discontinued operations</w:t>
            </w:r>
          </w:p>
        </w:tc>
        <w:tc>
          <w:tcPr>
            <w:tcW w:w="567" w:type="dxa"/>
            <w:vAlign w:val="bottom"/>
          </w:tcPr>
          <w:p w14:paraId="1D217BE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89A1EB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B98F9E5" w14:textId="77777777" w:rsidR="008E5DE4" w:rsidRDefault="008E5DE4">
            <w:pPr>
              <w:widowControl w:val="0"/>
              <w:pBdr>
                <w:top w:val="nil"/>
                <w:left w:val="nil"/>
                <w:bottom w:val="nil"/>
                <w:right w:val="nil"/>
                <w:between w:val="nil"/>
              </w:pBdr>
              <w:jc w:val="right"/>
              <w:rPr>
                <w:color w:val="000000"/>
              </w:rPr>
            </w:pPr>
          </w:p>
        </w:tc>
      </w:tr>
      <w:tr w:rsidR="008E5DE4" w14:paraId="2D1E3E32" w14:textId="77777777">
        <w:trPr>
          <w:cantSplit/>
        </w:trPr>
        <w:tc>
          <w:tcPr>
            <w:tcW w:w="5726" w:type="dxa"/>
            <w:tcBorders>
              <w:bottom w:val="single" w:sz="12" w:space="0" w:color="000000"/>
            </w:tcBorders>
            <w:vAlign w:val="bottom"/>
          </w:tcPr>
          <w:p w14:paraId="7AE282D6" w14:textId="77777777" w:rsidR="008E5DE4" w:rsidRDefault="00780368">
            <w:pPr>
              <w:widowControl w:val="0"/>
              <w:pBdr>
                <w:top w:val="nil"/>
                <w:left w:val="nil"/>
                <w:bottom w:val="nil"/>
                <w:right w:val="nil"/>
                <w:between w:val="nil"/>
              </w:pBdr>
              <w:ind w:left="113" w:right="-57" w:hanging="113"/>
              <w:rPr>
                <w:color w:val="000000"/>
                <w:sz w:val="12"/>
                <w:szCs w:val="12"/>
              </w:rPr>
            </w:pPr>
            <w:r>
              <w:rPr>
                <w:b/>
                <w:color w:val="000000"/>
                <w:sz w:val="12"/>
                <w:szCs w:val="12"/>
              </w:rPr>
              <w:t> </w:t>
            </w:r>
          </w:p>
        </w:tc>
        <w:tc>
          <w:tcPr>
            <w:tcW w:w="567" w:type="dxa"/>
            <w:tcBorders>
              <w:bottom w:val="single" w:sz="12" w:space="0" w:color="000000"/>
            </w:tcBorders>
            <w:vAlign w:val="bottom"/>
          </w:tcPr>
          <w:p w14:paraId="5EC250BD" w14:textId="77777777" w:rsidR="008E5DE4" w:rsidRDefault="008E5DE4">
            <w:pPr>
              <w:widowControl w:val="0"/>
              <w:pBdr>
                <w:top w:val="nil"/>
                <w:left w:val="nil"/>
                <w:bottom w:val="nil"/>
                <w:right w:val="nil"/>
                <w:between w:val="nil"/>
              </w:pBdr>
              <w:ind w:left="-57" w:right="-57"/>
              <w:jc w:val="center"/>
              <w:rPr>
                <w:color w:val="000000"/>
                <w:sz w:val="12"/>
                <w:szCs w:val="12"/>
              </w:rPr>
            </w:pPr>
          </w:p>
        </w:tc>
        <w:tc>
          <w:tcPr>
            <w:tcW w:w="1531" w:type="dxa"/>
            <w:tcBorders>
              <w:bottom w:val="single" w:sz="12" w:space="0" w:color="000000"/>
            </w:tcBorders>
            <w:vAlign w:val="bottom"/>
          </w:tcPr>
          <w:p w14:paraId="5FA04C62" w14:textId="77777777" w:rsidR="008E5DE4" w:rsidRDefault="008E5DE4">
            <w:pPr>
              <w:widowControl w:val="0"/>
              <w:pBdr>
                <w:top w:val="nil"/>
                <w:left w:val="nil"/>
                <w:bottom w:val="nil"/>
                <w:right w:val="nil"/>
                <w:between w:val="nil"/>
              </w:pBdr>
              <w:jc w:val="right"/>
              <w:rPr>
                <w:color w:val="000000"/>
                <w:sz w:val="12"/>
                <w:szCs w:val="12"/>
              </w:rPr>
            </w:pPr>
          </w:p>
        </w:tc>
        <w:tc>
          <w:tcPr>
            <w:tcW w:w="1531" w:type="dxa"/>
            <w:tcBorders>
              <w:bottom w:val="single" w:sz="12" w:space="0" w:color="000000"/>
            </w:tcBorders>
            <w:vAlign w:val="bottom"/>
          </w:tcPr>
          <w:p w14:paraId="239F30C2" w14:textId="77777777" w:rsidR="008E5DE4" w:rsidRDefault="008E5DE4">
            <w:pPr>
              <w:widowControl w:val="0"/>
              <w:pBdr>
                <w:top w:val="nil"/>
                <w:left w:val="nil"/>
                <w:bottom w:val="nil"/>
                <w:right w:val="nil"/>
                <w:between w:val="nil"/>
              </w:pBdr>
              <w:jc w:val="right"/>
              <w:rPr>
                <w:color w:val="000000"/>
                <w:sz w:val="12"/>
                <w:szCs w:val="12"/>
              </w:rPr>
            </w:pPr>
          </w:p>
        </w:tc>
      </w:tr>
    </w:tbl>
    <w:p w14:paraId="7C44D51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An analysis of the cash flows of discontinued operations is as follows:</w:t>
      </w:r>
    </w:p>
    <w:tbl>
      <w:tblPr>
        <w:tblStyle w:val="afffffffffff8"/>
        <w:tblW w:w="9355" w:type="dxa"/>
        <w:tblLayout w:type="fixed"/>
        <w:tblLook w:val="0000" w:firstRow="0" w:lastRow="0" w:firstColumn="0" w:lastColumn="0" w:noHBand="0" w:noVBand="0"/>
      </w:tblPr>
      <w:tblGrid>
        <w:gridCol w:w="5726"/>
        <w:gridCol w:w="567"/>
        <w:gridCol w:w="1531"/>
        <w:gridCol w:w="1531"/>
      </w:tblGrid>
      <w:tr w:rsidR="008E5DE4" w14:paraId="6BDDD828" w14:textId="77777777">
        <w:trPr>
          <w:cantSplit/>
        </w:trPr>
        <w:tc>
          <w:tcPr>
            <w:tcW w:w="5726" w:type="dxa"/>
            <w:tcBorders>
              <w:bottom w:val="single" w:sz="4" w:space="0" w:color="000000"/>
            </w:tcBorders>
            <w:vAlign w:val="bottom"/>
          </w:tcPr>
          <w:p w14:paraId="77AF8D6C"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567" w:type="dxa"/>
            <w:tcBorders>
              <w:bottom w:val="single" w:sz="4" w:space="0" w:color="000000"/>
            </w:tcBorders>
            <w:vAlign w:val="bottom"/>
          </w:tcPr>
          <w:p w14:paraId="24D15FBF"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0F52F170" w14:textId="789F5B30"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7C05215D" w14:textId="2E06883F"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6FB0A6CE" w14:textId="77777777">
        <w:trPr>
          <w:cantSplit/>
        </w:trPr>
        <w:tc>
          <w:tcPr>
            <w:tcW w:w="5726" w:type="dxa"/>
            <w:vAlign w:val="bottom"/>
          </w:tcPr>
          <w:p w14:paraId="38BA5B9C" w14:textId="77777777" w:rsidR="008E5DE4" w:rsidRDefault="00780368">
            <w:pPr>
              <w:widowControl w:val="0"/>
              <w:pBdr>
                <w:top w:val="nil"/>
                <w:left w:val="nil"/>
                <w:bottom w:val="nil"/>
                <w:right w:val="nil"/>
                <w:between w:val="nil"/>
              </w:pBdr>
              <w:rPr>
                <w:color w:val="000000"/>
              </w:rPr>
            </w:pPr>
            <w:r>
              <w:rPr>
                <w:color w:val="000000"/>
              </w:rPr>
              <w:t> </w:t>
            </w:r>
          </w:p>
        </w:tc>
        <w:tc>
          <w:tcPr>
            <w:tcW w:w="567" w:type="dxa"/>
            <w:vAlign w:val="bottom"/>
          </w:tcPr>
          <w:p w14:paraId="60594AD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C99B5E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FE56DC4" w14:textId="77777777" w:rsidR="008E5DE4" w:rsidRDefault="008E5DE4">
            <w:pPr>
              <w:widowControl w:val="0"/>
              <w:pBdr>
                <w:top w:val="nil"/>
                <w:left w:val="nil"/>
                <w:bottom w:val="nil"/>
                <w:right w:val="nil"/>
                <w:between w:val="nil"/>
              </w:pBdr>
              <w:jc w:val="right"/>
              <w:rPr>
                <w:color w:val="000000"/>
              </w:rPr>
            </w:pPr>
          </w:p>
        </w:tc>
      </w:tr>
      <w:tr w:rsidR="008E5DE4" w14:paraId="01980061" w14:textId="77777777">
        <w:trPr>
          <w:cantSplit/>
        </w:trPr>
        <w:tc>
          <w:tcPr>
            <w:tcW w:w="5726" w:type="dxa"/>
            <w:vAlign w:val="bottom"/>
          </w:tcPr>
          <w:p w14:paraId="66FC2C49" w14:textId="77777777" w:rsidR="008E5DE4" w:rsidRDefault="00780368">
            <w:pPr>
              <w:widowControl w:val="0"/>
              <w:pBdr>
                <w:top w:val="nil"/>
                <w:left w:val="nil"/>
                <w:bottom w:val="nil"/>
                <w:right w:val="nil"/>
                <w:between w:val="nil"/>
              </w:pBdr>
              <w:rPr>
                <w:color w:val="000000"/>
              </w:rPr>
            </w:pPr>
            <w:r>
              <w:rPr>
                <w:color w:val="000000"/>
              </w:rPr>
              <w:t>Operating cash flows</w:t>
            </w:r>
          </w:p>
        </w:tc>
        <w:tc>
          <w:tcPr>
            <w:tcW w:w="567" w:type="dxa"/>
            <w:vAlign w:val="bottom"/>
          </w:tcPr>
          <w:p w14:paraId="733BEBA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CCD08B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0D334A9" w14:textId="77777777" w:rsidR="008E5DE4" w:rsidRDefault="008E5DE4">
            <w:pPr>
              <w:widowControl w:val="0"/>
              <w:pBdr>
                <w:top w:val="nil"/>
                <w:left w:val="nil"/>
                <w:bottom w:val="nil"/>
                <w:right w:val="nil"/>
                <w:between w:val="nil"/>
              </w:pBdr>
              <w:jc w:val="right"/>
              <w:rPr>
                <w:color w:val="000000"/>
              </w:rPr>
            </w:pPr>
          </w:p>
        </w:tc>
      </w:tr>
      <w:tr w:rsidR="008E5DE4" w14:paraId="3CC874E0" w14:textId="77777777">
        <w:trPr>
          <w:cantSplit/>
        </w:trPr>
        <w:tc>
          <w:tcPr>
            <w:tcW w:w="5726" w:type="dxa"/>
            <w:vAlign w:val="bottom"/>
          </w:tcPr>
          <w:p w14:paraId="3F533991" w14:textId="77777777" w:rsidR="008E5DE4" w:rsidRDefault="00780368">
            <w:pPr>
              <w:widowControl w:val="0"/>
              <w:pBdr>
                <w:top w:val="nil"/>
                <w:left w:val="nil"/>
                <w:bottom w:val="nil"/>
                <w:right w:val="nil"/>
                <w:between w:val="nil"/>
              </w:pBdr>
              <w:rPr>
                <w:color w:val="000000"/>
              </w:rPr>
            </w:pPr>
            <w:r>
              <w:rPr>
                <w:color w:val="000000"/>
              </w:rPr>
              <w:t>Investing cash flows</w:t>
            </w:r>
          </w:p>
        </w:tc>
        <w:tc>
          <w:tcPr>
            <w:tcW w:w="567" w:type="dxa"/>
            <w:vAlign w:val="bottom"/>
          </w:tcPr>
          <w:p w14:paraId="76D44F95"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9FDFF9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04406DF" w14:textId="77777777" w:rsidR="008E5DE4" w:rsidRDefault="008E5DE4">
            <w:pPr>
              <w:widowControl w:val="0"/>
              <w:pBdr>
                <w:top w:val="nil"/>
                <w:left w:val="nil"/>
                <w:bottom w:val="nil"/>
                <w:right w:val="nil"/>
                <w:between w:val="nil"/>
              </w:pBdr>
              <w:jc w:val="right"/>
              <w:rPr>
                <w:color w:val="000000"/>
              </w:rPr>
            </w:pPr>
          </w:p>
        </w:tc>
      </w:tr>
      <w:tr w:rsidR="008E5DE4" w14:paraId="643B6F4C" w14:textId="77777777">
        <w:trPr>
          <w:cantSplit/>
        </w:trPr>
        <w:tc>
          <w:tcPr>
            <w:tcW w:w="5726" w:type="dxa"/>
            <w:vAlign w:val="bottom"/>
          </w:tcPr>
          <w:p w14:paraId="7138835F" w14:textId="77777777" w:rsidR="008E5DE4" w:rsidRDefault="00780368">
            <w:pPr>
              <w:widowControl w:val="0"/>
              <w:pBdr>
                <w:top w:val="nil"/>
                <w:left w:val="nil"/>
                <w:bottom w:val="nil"/>
                <w:right w:val="nil"/>
                <w:between w:val="nil"/>
              </w:pBdr>
              <w:rPr>
                <w:color w:val="000000"/>
              </w:rPr>
            </w:pPr>
            <w:r>
              <w:rPr>
                <w:color w:val="000000"/>
              </w:rPr>
              <w:t>Financing cash flows</w:t>
            </w:r>
          </w:p>
        </w:tc>
        <w:tc>
          <w:tcPr>
            <w:tcW w:w="567" w:type="dxa"/>
            <w:vAlign w:val="bottom"/>
          </w:tcPr>
          <w:p w14:paraId="2014D71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A8C3F5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1667FA3" w14:textId="77777777" w:rsidR="008E5DE4" w:rsidRDefault="008E5DE4">
            <w:pPr>
              <w:widowControl w:val="0"/>
              <w:pBdr>
                <w:top w:val="nil"/>
                <w:left w:val="nil"/>
                <w:bottom w:val="nil"/>
                <w:right w:val="nil"/>
                <w:between w:val="nil"/>
              </w:pBdr>
              <w:jc w:val="right"/>
              <w:rPr>
                <w:color w:val="000000"/>
              </w:rPr>
            </w:pPr>
          </w:p>
        </w:tc>
      </w:tr>
      <w:tr w:rsidR="008E5DE4" w14:paraId="39BF7729" w14:textId="77777777">
        <w:trPr>
          <w:cantSplit/>
        </w:trPr>
        <w:tc>
          <w:tcPr>
            <w:tcW w:w="5726" w:type="dxa"/>
            <w:tcBorders>
              <w:bottom w:val="single" w:sz="4" w:space="0" w:color="000000"/>
            </w:tcBorders>
            <w:vAlign w:val="bottom"/>
          </w:tcPr>
          <w:p w14:paraId="5729A3B4" w14:textId="77777777" w:rsidR="008E5DE4" w:rsidRDefault="00780368">
            <w:pPr>
              <w:widowControl w:val="0"/>
              <w:pBdr>
                <w:top w:val="nil"/>
                <w:left w:val="nil"/>
                <w:bottom w:val="nil"/>
                <w:right w:val="nil"/>
                <w:between w:val="nil"/>
              </w:pBdr>
              <w:rPr>
                <w:color w:val="000000"/>
              </w:rPr>
            </w:pPr>
            <w:r>
              <w:rPr>
                <w:color w:val="000000"/>
              </w:rPr>
              <w:t> </w:t>
            </w:r>
          </w:p>
        </w:tc>
        <w:tc>
          <w:tcPr>
            <w:tcW w:w="567" w:type="dxa"/>
            <w:tcBorders>
              <w:bottom w:val="single" w:sz="4" w:space="0" w:color="000000"/>
            </w:tcBorders>
            <w:vAlign w:val="bottom"/>
          </w:tcPr>
          <w:p w14:paraId="737A1C36"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2E992C1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53C6A1B" w14:textId="77777777" w:rsidR="008E5DE4" w:rsidRDefault="008E5DE4">
            <w:pPr>
              <w:widowControl w:val="0"/>
              <w:pBdr>
                <w:top w:val="nil"/>
                <w:left w:val="nil"/>
                <w:bottom w:val="nil"/>
                <w:right w:val="nil"/>
                <w:between w:val="nil"/>
              </w:pBdr>
              <w:jc w:val="right"/>
              <w:rPr>
                <w:color w:val="000000"/>
              </w:rPr>
            </w:pPr>
          </w:p>
        </w:tc>
      </w:tr>
      <w:tr w:rsidR="008E5DE4" w14:paraId="08E8B789" w14:textId="77777777">
        <w:trPr>
          <w:cantSplit/>
        </w:trPr>
        <w:tc>
          <w:tcPr>
            <w:tcW w:w="5726" w:type="dxa"/>
            <w:tcBorders>
              <w:top w:val="single" w:sz="4" w:space="0" w:color="000000"/>
            </w:tcBorders>
            <w:vAlign w:val="bottom"/>
          </w:tcPr>
          <w:p w14:paraId="014B2236" w14:textId="77777777" w:rsidR="008E5DE4" w:rsidRDefault="00780368">
            <w:pPr>
              <w:widowControl w:val="0"/>
              <w:pBdr>
                <w:top w:val="nil"/>
                <w:left w:val="nil"/>
                <w:bottom w:val="nil"/>
                <w:right w:val="nil"/>
                <w:between w:val="nil"/>
              </w:pBdr>
              <w:rPr>
                <w:color w:val="000000"/>
              </w:rPr>
            </w:pPr>
            <w:r>
              <w:rPr>
                <w:color w:val="000000"/>
              </w:rPr>
              <w:t> </w:t>
            </w:r>
          </w:p>
        </w:tc>
        <w:tc>
          <w:tcPr>
            <w:tcW w:w="567" w:type="dxa"/>
            <w:tcBorders>
              <w:top w:val="single" w:sz="4" w:space="0" w:color="000000"/>
            </w:tcBorders>
            <w:vAlign w:val="bottom"/>
          </w:tcPr>
          <w:p w14:paraId="3A6C1B94"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606ACBD1"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7C19E810" w14:textId="77777777" w:rsidR="008E5DE4" w:rsidRDefault="008E5DE4">
            <w:pPr>
              <w:widowControl w:val="0"/>
              <w:pBdr>
                <w:top w:val="nil"/>
                <w:left w:val="nil"/>
                <w:bottom w:val="nil"/>
                <w:right w:val="nil"/>
                <w:between w:val="nil"/>
              </w:pBdr>
              <w:jc w:val="right"/>
              <w:rPr>
                <w:color w:val="000000"/>
              </w:rPr>
            </w:pPr>
          </w:p>
        </w:tc>
      </w:tr>
      <w:tr w:rsidR="008E5DE4" w14:paraId="3F44DE90" w14:textId="77777777">
        <w:trPr>
          <w:cantSplit/>
        </w:trPr>
        <w:tc>
          <w:tcPr>
            <w:tcW w:w="5726" w:type="dxa"/>
            <w:vAlign w:val="bottom"/>
          </w:tcPr>
          <w:p w14:paraId="62D5B0D9" w14:textId="77777777" w:rsidR="008E5DE4" w:rsidRDefault="00780368">
            <w:pPr>
              <w:widowControl w:val="0"/>
              <w:pBdr>
                <w:top w:val="nil"/>
                <w:left w:val="nil"/>
                <w:bottom w:val="nil"/>
                <w:right w:val="nil"/>
                <w:between w:val="nil"/>
              </w:pBdr>
              <w:rPr>
                <w:b/>
                <w:color w:val="000000"/>
              </w:rPr>
            </w:pPr>
            <w:r>
              <w:rPr>
                <w:b/>
                <w:color w:val="000000"/>
              </w:rPr>
              <w:t>Total cash flows</w:t>
            </w:r>
          </w:p>
        </w:tc>
        <w:tc>
          <w:tcPr>
            <w:tcW w:w="567" w:type="dxa"/>
            <w:vAlign w:val="bottom"/>
          </w:tcPr>
          <w:p w14:paraId="3AEE69DF"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67605F3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731743A" w14:textId="77777777" w:rsidR="008E5DE4" w:rsidRDefault="008E5DE4">
            <w:pPr>
              <w:widowControl w:val="0"/>
              <w:pBdr>
                <w:top w:val="nil"/>
                <w:left w:val="nil"/>
                <w:bottom w:val="nil"/>
                <w:right w:val="nil"/>
                <w:between w:val="nil"/>
              </w:pBdr>
              <w:jc w:val="right"/>
              <w:rPr>
                <w:b/>
                <w:color w:val="000000"/>
              </w:rPr>
            </w:pPr>
          </w:p>
        </w:tc>
      </w:tr>
      <w:tr w:rsidR="008E5DE4" w14:paraId="50720E94" w14:textId="77777777">
        <w:trPr>
          <w:cantSplit/>
        </w:trPr>
        <w:tc>
          <w:tcPr>
            <w:tcW w:w="5726" w:type="dxa"/>
            <w:tcBorders>
              <w:bottom w:val="single" w:sz="12" w:space="0" w:color="000000"/>
            </w:tcBorders>
            <w:vAlign w:val="bottom"/>
          </w:tcPr>
          <w:p w14:paraId="501B2024" w14:textId="77777777" w:rsidR="008E5DE4" w:rsidRDefault="00780368">
            <w:pPr>
              <w:widowControl w:val="0"/>
              <w:pBdr>
                <w:top w:val="nil"/>
                <w:left w:val="nil"/>
                <w:bottom w:val="nil"/>
                <w:right w:val="nil"/>
                <w:between w:val="nil"/>
              </w:pBdr>
              <w:rPr>
                <w:color w:val="000000"/>
              </w:rPr>
            </w:pPr>
            <w:r>
              <w:rPr>
                <w:color w:val="000000"/>
              </w:rPr>
              <w:t> </w:t>
            </w:r>
          </w:p>
        </w:tc>
        <w:tc>
          <w:tcPr>
            <w:tcW w:w="567" w:type="dxa"/>
            <w:tcBorders>
              <w:bottom w:val="single" w:sz="12" w:space="0" w:color="000000"/>
            </w:tcBorders>
            <w:vAlign w:val="bottom"/>
          </w:tcPr>
          <w:p w14:paraId="3BACD926"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71135900"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0E4A38CF" w14:textId="77777777" w:rsidR="008E5DE4" w:rsidRDefault="008E5DE4">
            <w:pPr>
              <w:widowControl w:val="0"/>
              <w:pBdr>
                <w:top w:val="nil"/>
                <w:left w:val="nil"/>
                <w:bottom w:val="nil"/>
                <w:right w:val="nil"/>
                <w:between w:val="nil"/>
              </w:pBdr>
              <w:jc w:val="right"/>
              <w:rPr>
                <w:color w:val="000000"/>
              </w:rPr>
            </w:pPr>
          </w:p>
        </w:tc>
      </w:tr>
    </w:tbl>
    <w:p w14:paraId="42A61224" w14:textId="62B0EE05" w:rsidR="008E5DE4" w:rsidRDefault="00F93586" w:rsidP="007F183E">
      <w:pPr>
        <w:pStyle w:val="Heading1"/>
        <w:pageBreakBefore/>
        <w:numPr>
          <w:ilvl w:val="0"/>
          <w:numId w:val="0"/>
        </w:numPr>
        <w:ind w:left="567" w:hanging="567"/>
      </w:pPr>
      <w:bookmarkStart w:id="68" w:name="_Toc149923640"/>
      <w:r>
        <w:lastRenderedPageBreak/>
        <w:t xml:space="preserve">41 </w:t>
      </w:r>
      <w:r>
        <w:tab/>
      </w:r>
      <w:r w:rsidR="00780368">
        <w:t>Earnings/(Loss) per Share</w:t>
      </w:r>
      <w:bookmarkEnd w:id="68"/>
    </w:p>
    <w:p w14:paraId="03ACF14E" w14:textId="72171EF9" w:rsidR="008E5DE4" w:rsidRDefault="00780368">
      <w:pPr>
        <w:widowControl w:val="0"/>
        <w:pBdr>
          <w:top w:val="nil"/>
          <w:left w:val="nil"/>
          <w:bottom w:val="nil"/>
          <w:right w:val="nil"/>
          <w:between w:val="nil"/>
        </w:pBdr>
        <w:shd w:val="clear" w:color="auto" w:fill="FFFFFF"/>
        <w:spacing w:before="200" w:after="200"/>
        <w:jc w:val="both"/>
        <w:rPr>
          <w:i/>
          <w:color w:val="000000"/>
          <w:sz w:val="20"/>
          <w:szCs w:val="20"/>
        </w:rPr>
      </w:pPr>
      <w:r>
        <w:rPr>
          <w:color w:val="000000"/>
          <w:sz w:val="20"/>
          <w:szCs w:val="20"/>
        </w:rPr>
        <w:t xml:space="preserve">Basic earnings/(loss) per share are calculated by dividing the profit or loss attributable to owners of the Company by the weighted average number of ordinary shares in issue during the year, excluding treasury shares. </w:t>
      </w:r>
    </w:p>
    <w:p w14:paraId="1CB1F89B" w14:textId="7752947D"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The Company has no dilutive potential ordinary shares; therefore, the diluted earnings per share equals the basic earnings per share</w:t>
      </w:r>
      <w:r w:rsidR="00D80024">
        <w:rPr>
          <w:color w:val="000000"/>
          <w:sz w:val="20"/>
          <w:szCs w:val="20"/>
        </w:rPr>
        <w:t>.</w:t>
      </w:r>
      <w:r>
        <w:rPr>
          <w:i/>
          <w:color w:val="FF0000"/>
          <w:sz w:val="20"/>
          <w:szCs w:val="20"/>
        </w:rPr>
        <w:t xml:space="preserve"> </w:t>
      </w:r>
    </w:p>
    <w:p w14:paraId="729B1FC8"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Earnings per share from continuing operations are calculated as follows:</w:t>
      </w:r>
    </w:p>
    <w:tbl>
      <w:tblPr>
        <w:tblStyle w:val="afffffffffff9"/>
        <w:tblW w:w="9355" w:type="dxa"/>
        <w:tblLayout w:type="fixed"/>
        <w:tblLook w:val="0000" w:firstRow="0" w:lastRow="0" w:firstColumn="0" w:lastColumn="0" w:noHBand="0" w:noVBand="0"/>
      </w:tblPr>
      <w:tblGrid>
        <w:gridCol w:w="5726"/>
        <w:gridCol w:w="567"/>
        <w:gridCol w:w="1531"/>
        <w:gridCol w:w="1531"/>
      </w:tblGrid>
      <w:tr w:rsidR="008E5DE4" w14:paraId="6CA6ECD2" w14:textId="77777777">
        <w:trPr>
          <w:cantSplit/>
        </w:trPr>
        <w:tc>
          <w:tcPr>
            <w:tcW w:w="5726" w:type="dxa"/>
            <w:tcBorders>
              <w:bottom w:val="single" w:sz="4" w:space="0" w:color="000000"/>
            </w:tcBorders>
            <w:vAlign w:val="bottom"/>
          </w:tcPr>
          <w:p w14:paraId="441F34D1"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567" w:type="dxa"/>
            <w:tcBorders>
              <w:bottom w:val="single" w:sz="4" w:space="0" w:color="000000"/>
            </w:tcBorders>
            <w:vAlign w:val="bottom"/>
          </w:tcPr>
          <w:p w14:paraId="7C3A04D2"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58D7F6C1" w14:textId="2A0671F3"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70223DBA" w14:textId="58408376"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6E92FF25" w14:textId="77777777">
        <w:trPr>
          <w:cantSplit/>
        </w:trPr>
        <w:tc>
          <w:tcPr>
            <w:tcW w:w="5726" w:type="dxa"/>
            <w:vAlign w:val="bottom"/>
          </w:tcPr>
          <w:p w14:paraId="5AD835F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vAlign w:val="bottom"/>
          </w:tcPr>
          <w:p w14:paraId="339C14EF"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5DBEF7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17F6001" w14:textId="77777777" w:rsidR="008E5DE4" w:rsidRDefault="008E5DE4">
            <w:pPr>
              <w:widowControl w:val="0"/>
              <w:pBdr>
                <w:top w:val="nil"/>
                <w:left w:val="nil"/>
                <w:bottom w:val="nil"/>
                <w:right w:val="nil"/>
                <w:between w:val="nil"/>
              </w:pBdr>
              <w:jc w:val="right"/>
              <w:rPr>
                <w:color w:val="000000"/>
              </w:rPr>
            </w:pPr>
          </w:p>
        </w:tc>
      </w:tr>
      <w:tr w:rsidR="008E5DE4" w14:paraId="7F99F5B4" w14:textId="77777777">
        <w:trPr>
          <w:cantSplit/>
        </w:trPr>
        <w:tc>
          <w:tcPr>
            <w:tcW w:w="5726" w:type="dxa"/>
            <w:vAlign w:val="bottom"/>
          </w:tcPr>
          <w:p w14:paraId="18532727"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Profit/(Loss) for the year </w:t>
            </w:r>
            <w:r>
              <w:rPr>
                <w:color w:val="0000FF"/>
              </w:rPr>
              <w:t>[from continuing operations]</w:t>
            </w:r>
            <w:r>
              <w:rPr>
                <w:color w:val="000000"/>
              </w:rPr>
              <w:t xml:space="preserve"> attributable to ordinary shareholders</w:t>
            </w:r>
          </w:p>
        </w:tc>
        <w:tc>
          <w:tcPr>
            <w:tcW w:w="567" w:type="dxa"/>
            <w:vAlign w:val="bottom"/>
          </w:tcPr>
          <w:p w14:paraId="4911CE9F"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B30803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EB42270" w14:textId="77777777" w:rsidR="008E5DE4" w:rsidRDefault="008E5DE4">
            <w:pPr>
              <w:widowControl w:val="0"/>
              <w:pBdr>
                <w:top w:val="nil"/>
                <w:left w:val="nil"/>
                <w:bottom w:val="nil"/>
                <w:right w:val="nil"/>
                <w:between w:val="nil"/>
              </w:pBdr>
              <w:jc w:val="right"/>
              <w:rPr>
                <w:color w:val="000000"/>
              </w:rPr>
            </w:pPr>
          </w:p>
        </w:tc>
      </w:tr>
      <w:tr w:rsidR="008E5DE4" w14:paraId="461269C7" w14:textId="77777777">
        <w:trPr>
          <w:cantSplit/>
        </w:trPr>
        <w:tc>
          <w:tcPr>
            <w:tcW w:w="5726" w:type="dxa"/>
            <w:vAlign w:val="bottom"/>
          </w:tcPr>
          <w:p w14:paraId="5074047C"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Profit/(Loss) for the year </w:t>
            </w:r>
            <w:r>
              <w:rPr>
                <w:color w:val="0000FF"/>
              </w:rPr>
              <w:t>[from continuing operations]</w:t>
            </w:r>
            <w:r>
              <w:rPr>
                <w:color w:val="000000"/>
              </w:rPr>
              <w:t xml:space="preserve"> attributable to preference shareholders</w:t>
            </w:r>
          </w:p>
        </w:tc>
        <w:tc>
          <w:tcPr>
            <w:tcW w:w="567" w:type="dxa"/>
            <w:vAlign w:val="bottom"/>
          </w:tcPr>
          <w:p w14:paraId="0DDCD9E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C9FFFA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11FA539" w14:textId="77777777" w:rsidR="008E5DE4" w:rsidRDefault="008E5DE4">
            <w:pPr>
              <w:widowControl w:val="0"/>
              <w:pBdr>
                <w:top w:val="nil"/>
                <w:left w:val="nil"/>
                <w:bottom w:val="nil"/>
                <w:right w:val="nil"/>
                <w:between w:val="nil"/>
              </w:pBdr>
              <w:jc w:val="right"/>
              <w:rPr>
                <w:color w:val="000000"/>
              </w:rPr>
            </w:pPr>
          </w:p>
        </w:tc>
      </w:tr>
      <w:tr w:rsidR="008E5DE4" w14:paraId="402A885A" w14:textId="77777777">
        <w:trPr>
          <w:cantSplit/>
        </w:trPr>
        <w:tc>
          <w:tcPr>
            <w:tcW w:w="5726" w:type="dxa"/>
            <w:tcBorders>
              <w:bottom w:val="single" w:sz="4" w:space="0" w:color="000000"/>
            </w:tcBorders>
            <w:vAlign w:val="bottom"/>
          </w:tcPr>
          <w:p w14:paraId="4B70CA9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bottom w:val="single" w:sz="4" w:space="0" w:color="000000"/>
            </w:tcBorders>
            <w:vAlign w:val="bottom"/>
          </w:tcPr>
          <w:p w14:paraId="4119C246"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143EDE16"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ADA9FA0" w14:textId="77777777" w:rsidR="008E5DE4" w:rsidRDefault="008E5DE4">
            <w:pPr>
              <w:widowControl w:val="0"/>
              <w:pBdr>
                <w:top w:val="nil"/>
                <w:left w:val="nil"/>
                <w:bottom w:val="nil"/>
                <w:right w:val="nil"/>
                <w:between w:val="nil"/>
              </w:pBdr>
              <w:jc w:val="right"/>
              <w:rPr>
                <w:color w:val="000000"/>
              </w:rPr>
            </w:pPr>
          </w:p>
        </w:tc>
      </w:tr>
      <w:tr w:rsidR="008E5DE4" w14:paraId="38A424EB" w14:textId="77777777">
        <w:trPr>
          <w:cantSplit/>
        </w:trPr>
        <w:tc>
          <w:tcPr>
            <w:tcW w:w="5726" w:type="dxa"/>
            <w:tcBorders>
              <w:top w:val="single" w:sz="4" w:space="0" w:color="000000"/>
            </w:tcBorders>
            <w:vAlign w:val="bottom"/>
          </w:tcPr>
          <w:p w14:paraId="3ABDCC9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top w:val="single" w:sz="4" w:space="0" w:color="000000"/>
            </w:tcBorders>
            <w:vAlign w:val="bottom"/>
          </w:tcPr>
          <w:p w14:paraId="1E5FC721"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5B670EE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BB2E266" w14:textId="77777777" w:rsidR="008E5DE4" w:rsidRDefault="008E5DE4">
            <w:pPr>
              <w:widowControl w:val="0"/>
              <w:pBdr>
                <w:top w:val="nil"/>
                <w:left w:val="nil"/>
                <w:bottom w:val="nil"/>
                <w:right w:val="nil"/>
                <w:between w:val="nil"/>
              </w:pBdr>
              <w:jc w:val="right"/>
              <w:rPr>
                <w:color w:val="000000"/>
              </w:rPr>
            </w:pPr>
          </w:p>
        </w:tc>
      </w:tr>
      <w:tr w:rsidR="008E5DE4" w14:paraId="72F2DEF2" w14:textId="77777777">
        <w:trPr>
          <w:cantSplit/>
        </w:trPr>
        <w:tc>
          <w:tcPr>
            <w:tcW w:w="5726" w:type="dxa"/>
            <w:vAlign w:val="bottom"/>
          </w:tcPr>
          <w:p w14:paraId="0C291840"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Profit or loss for the year </w:t>
            </w:r>
            <w:r>
              <w:rPr>
                <w:color w:val="0000FF"/>
              </w:rPr>
              <w:t>[from continuing operations]</w:t>
            </w:r>
          </w:p>
        </w:tc>
        <w:tc>
          <w:tcPr>
            <w:tcW w:w="567" w:type="dxa"/>
            <w:vAlign w:val="bottom"/>
          </w:tcPr>
          <w:p w14:paraId="1F9410A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E50133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0FCF294" w14:textId="77777777" w:rsidR="008E5DE4" w:rsidRDefault="008E5DE4">
            <w:pPr>
              <w:widowControl w:val="0"/>
              <w:pBdr>
                <w:top w:val="nil"/>
                <w:left w:val="nil"/>
                <w:bottom w:val="nil"/>
                <w:right w:val="nil"/>
                <w:between w:val="nil"/>
              </w:pBdr>
              <w:jc w:val="right"/>
              <w:rPr>
                <w:color w:val="000000"/>
              </w:rPr>
            </w:pPr>
          </w:p>
        </w:tc>
      </w:tr>
      <w:tr w:rsidR="008E5DE4" w14:paraId="5BE2B200" w14:textId="77777777">
        <w:trPr>
          <w:cantSplit/>
        </w:trPr>
        <w:tc>
          <w:tcPr>
            <w:tcW w:w="5726" w:type="dxa"/>
            <w:tcBorders>
              <w:bottom w:val="single" w:sz="12" w:space="0" w:color="000000"/>
            </w:tcBorders>
            <w:vAlign w:val="bottom"/>
          </w:tcPr>
          <w:p w14:paraId="6A5FD92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bottom w:val="single" w:sz="12" w:space="0" w:color="000000"/>
            </w:tcBorders>
            <w:vAlign w:val="bottom"/>
          </w:tcPr>
          <w:p w14:paraId="7A1BAFDF"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1336E903"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3C95DA41" w14:textId="77777777" w:rsidR="008E5DE4" w:rsidRDefault="008E5DE4">
            <w:pPr>
              <w:widowControl w:val="0"/>
              <w:pBdr>
                <w:top w:val="nil"/>
                <w:left w:val="nil"/>
                <w:bottom w:val="nil"/>
                <w:right w:val="nil"/>
                <w:between w:val="nil"/>
              </w:pBdr>
              <w:jc w:val="right"/>
              <w:rPr>
                <w:color w:val="000000"/>
              </w:rPr>
            </w:pPr>
          </w:p>
        </w:tc>
      </w:tr>
      <w:tr w:rsidR="008E5DE4" w14:paraId="5611D7AE" w14:textId="77777777">
        <w:trPr>
          <w:cantSplit/>
        </w:trPr>
        <w:tc>
          <w:tcPr>
            <w:tcW w:w="5726" w:type="dxa"/>
            <w:tcBorders>
              <w:top w:val="single" w:sz="4" w:space="0" w:color="000000"/>
            </w:tcBorders>
            <w:vAlign w:val="bottom"/>
          </w:tcPr>
          <w:p w14:paraId="22D3814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top w:val="single" w:sz="4" w:space="0" w:color="000000"/>
            </w:tcBorders>
            <w:vAlign w:val="bottom"/>
          </w:tcPr>
          <w:p w14:paraId="2713E52D"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414BBB66"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1611FE9" w14:textId="77777777" w:rsidR="008E5DE4" w:rsidRDefault="008E5DE4">
            <w:pPr>
              <w:widowControl w:val="0"/>
              <w:pBdr>
                <w:top w:val="nil"/>
                <w:left w:val="nil"/>
                <w:bottom w:val="nil"/>
                <w:right w:val="nil"/>
                <w:between w:val="nil"/>
              </w:pBdr>
              <w:jc w:val="right"/>
              <w:rPr>
                <w:color w:val="000000"/>
              </w:rPr>
            </w:pPr>
          </w:p>
        </w:tc>
      </w:tr>
      <w:tr w:rsidR="008E5DE4" w14:paraId="6CF9347D" w14:textId="77777777">
        <w:trPr>
          <w:cantSplit/>
        </w:trPr>
        <w:tc>
          <w:tcPr>
            <w:tcW w:w="5726" w:type="dxa"/>
            <w:vAlign w:val="bottom"/>
          </w:tcPr>
          <w:p w14:paraId="058C043C" w14:textId="3A65AB60" w:rsidR="008E5DE4" w:rsidRDefault="00780368">
            <w:pPr>
              <w:widowControl w:val="0"/>
              <w:pBdr>
                <w:top w:val="nil"/>
                <w:left w:val="nil"/>
                <w:bottom w:val="nil"/>
                <w:right w:val="nil"/>
                <w:between w:val="nil"/>
              </w:pBdr>
              <w:ind w:left="113" w:right="-57" w:hanging="113"/>
              <w:rPr>
                <w:color w:val="000000"/>
              </w:rPr>
            </w:pPr>
            <w:r>
              <w:rPr>
                <w:color w:val="000000"/>
              </w:rPr>
              <w:t>Weighted average number of ordinary shares in issue (thousands)</w:t>
            </w:r>
          </w:p>
        </w:tc>
        <w:tc>
          <w:tcPr>
            <w:tcW w:w="567" w:type="dxa"/>
            <w:vAlign w:val="bottom"/>
          </w:tcPr>
          <w:p w14:paraId="678B12FD" w14:textId="77777777" w:rsidR="008E5DE4" w:rsidRDefault="00780368">
            <w:pPr>
              <w:widowControl w:val="0"/>
              <w:pBdr>
                <w:top w:val="nil"/>
                <w:left w:val="nil"/>
                <w:bottom w:val="nil"/>
                <w:right w:val="nil"/>
                <w:between w:val="nil"/>
              </w:pBdr>
              <w:ind w:left="-57" w:right="-57"/>
              <w:jc w:val="center"/>
              <w:rPr>
                <w:color w:val="000000"/>
              </w:rPr>
            </w:pPr>
            <w:r>
              <w:rPr>
                <w:color w:val="000000"/>
              </w:rPr>
              <w:t>26</w:t>
            </w:r>
          </w:p>
        </w:tc>
        <w:tc>
          <w:tcPr>
            <w:tcW w:w="1531" w:type="dxa"/>
            <w:vAlign w:val="bottom"/>
          </w:tcPr>
          <w:p w14:paraId="5D645FA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EB69183" w14:textId="77777777" w:rsidR="008E5DE4" w:rsidRDefault="008E5DE4">
            <w:pPr>
              <w:widowControl w:val="0"/>
              <w:pBdr>
                <w:top w:val="nil"/>
                <w:left w:val="nil"/>
                <w:bottom w:val="nil"/>
                <w:right w:val="nil"/>
                <w:between w:val="nil"/>
              </w:pBdr>
              <w:jc w:val="right"/>
              <w:rPr>
                <w:color w:val="000000"/>
              </w:rPr>
            </w:pPr>
          </w:p>
        </w:tc>
      </w:tr>
      <w:tr w:rsidR="008E5DE4" w14:paraId="2E17A5FC" w14:textId="77777777">
        <w:trPr>
          <w:cantSplit/>
        </w:trPr>
        <w:tc>
          <w:tcPr>
            <w:tcW w:w="5726" w:type="dxa"/>
            <w:vAlign w:val="bottom"/>
          </w:tcPr>
          <w:p w14:paraId="2F5FA0D0" w14:textId="77777777" w:rsidR="008E5DE4" w:rsidRDefault="00780368">
            <w:pPr>
              <w:widowControl w:val="0"/>
              <w:pBdr>
                <w:top w:val="nil"/>
                <w:left w:val="nil"/>
                <w:bottom w:val="nil"/>
                <w:right w:val="nil"/>
                <w:between w:val="nil"/>
              </w:pBdr>
              <w:ind w:left="113" w:right="-57" w:hanging="113"/>
              <w:rPr>
                <w:color w:val="000000"/>
              </w:rPr>
            </w:pPr>
            <w:r>
              <w:rPr>
                <w:color w:val="000000"/>
              </w:rPr>
              <w:t>Weighted average number of preference shares in issue (thousands)</w:t>
            </w:r>
          </w:p>
        </w:tc>
        <w:tc>
          <w:tcPr>
            <w:tcW w:w="567" w:type="dxa"/>
            <w:vAlign w:val="bottom"/>
          </w:tcPr>
          <w:p w14:paraId="02A919B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C4C464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5306ECF" w14:textId="77777777" w:rsidR="008E5DE4" w:rsidRDefault="008E5DE4">
            <w:pPr>
              <w:widowControl w:val="0"/>
              <w:pBdr>
                <w:top w:val="nil"/>
                <w:left w:val="nil"/>
                <w:bottom w:val="nil"/>
                <w:right w:val="nil"/>
                <w:between w:val="nil"/>
              </w:pBdr>
              <w:jc w:val="right"/>
              <w:rPr>
                <w:color w:val="000000"/>
              </w:rPr>
            </w:pPr>
          </w:p>
        </w:tc>
      </w:tr>
      <w:tr w:rsidR="008E5DE4" w14:paraId="45CF6605" w14:textId="77777777">
        <w:trPr>
          <w:cantSplit/>
        </w:trPr>
        <w:tc>
          <w:tcPr>
            <w:tcW w:w="5726" w:type="dxa"/>
            <w:tcBorders>
              <w:bottom w:val="single" w:sz="4" w:space="0" w:color="000000"/>
            </w:tcBorders>
            <w:vAlign w:val="bottom"/>
          </w:tcPr>
          <w:p w14:paraId="5C47838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567" w:type="dxa"/>
            <w:tcBorders>
              <w:bottom w:val="single" w:sz="4" w:space="0" w:color="000000"/>
            </w:tcBorders>
            <w:vAlign w:val="bottom"/>
          </w:tcPr>
          <w:p w14:paraId="3E8D7064"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531D7575"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2C2FEE22" w14:textId="77777777" w:rsidR="008E5DE4" w:rsidRDefault="008E5DE4">
            <w:pPr>
              <w:widowControl w:val="0"/>
              <w:pBdr>
                <w:top w:val="nil"/>
                <w:left w:val="nil"/>
                <w:bottom w:val="nil"/>
                <w:right w:val="nil"/>
                <w:between w:val="nil"/>
              </w:pBdr>
              <w:jc w:val="right"/>
              <w:rPr>
                <w:color w:val="000000"/>
              </w:rPr>
            </w:pPr>
          </w:p>
        </w:tc>
      </w:tr>
      <w:tr w:rsidR="008E5DE4" w14:paraId="5D9EB1F3" w14:textId="77777777">
        <w:trPr>
          <w:cantSplit/>
        </w:trPr>
        <w:tc>
          <w:tcPr>
            <w:tcW w:w="5726" w:type="dxa"/>
            <w:vAlign w:val="bottom"/>
          </w:tcPr>
          <w:p w14:paraId="40899539" w14:textId="77777777" w:rsidR="008E5DE4" w:rsidRDefault="00780368">
            <w:pPr>
              <w:widowControl w:val="0"/>
              <w:ind w:left="113" w:right="-57" w:hanging="113"/>
            </w:pPr>
            <w:r>
              <w:t> </w:t>
            </w:r>
          </w:p>
        </w:tc>
        <w:tc>
          <w:tcPr>
            <w:tcW w:w="567" w:type="dxa"/>
            <w:vAlign w:val="bottom"/>
          </w:tcPr>
          <w:p w14:paraId="792E898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95E76AE"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7FBB014" w14:textId="77777777" w:rsidR="008E5DE4" w:rsidRDefault="008E5DE4">
            <w:pPr>
              <w:widowControl w:val="0"/>
              <w:pBdr>
                <w:top w:val="nil"/>
                <w:left w:val="nil"/>
                <w:bottom w:val="nil"/>
                <w:right w:val="nil"/>
                <w:between w:val="nil"/>
              </w:pBdr>
              <w:jc w:val="right"/>
              <w:rPr>
                <w:b/>
                <w:color w:val="000000"/>
              </w:rPr>
            </w:pPr>
          </w:p>
        </w:tc>
      </w:tr>
      <w:tr w:rsidR="008E5DE4" w14:paraId="4CF734E9" w14:textId="77777777">
        <w:trPr>
          <w:cantSplit/>
        </w:trPr>
        <w:tc>
          <w:tcPr>
            <w:tcW w:w="5726" w:type="dxa"/>
            <w:vAlign w:val="bottom"/>
          </w:tcPr>
          <w:p w14:paraId="2C1DAA72"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Basic and diluted earnings/(loss) per ordinary share </w:t>
            </w:r>
            <w:r>
              <w:rPr>
                <w:b/>
                <w:color w:val="0000FF"/>
              </w:rPr>
              <w:t>[from continuing operations]</w:t>
            </w:r>
            <w:r>
              <w:rPr>
                <w:b/>
                <w:color w:val="000000"/>
              </w:rPr>
              <w:t xml:space="preserve"> (expressed in EUR per share)</w:t>
            </w:r>
          </w:p>
        </w:tc>
        <w:tc>
          <w:tcPr>
            <w:tcW w:w="567" w:type="dxa"/>
            <w:vAlign w:val="bottom"/>
          </w:tcPr>
          <w:p w14:paraId="092091DD"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1887279"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2A9C65B9" w14:textId="77777777" w:rsidR="008E5DE4" w:rsidRDefault="008E5DE4">
            <w:pPr>
              <w:widowControl w:val="0"/>
              <w:pBdr>
                <w:top w:val="nil"/>
                <w:left w:val="nil"/>
                <w:bottom w:val="nil"/>
                <w:right w:val="nil"/>
                <w:between w:val="nil"/>
              </w:pBdr>
              <w:jc w:val="right"/>
              <w:rPr>
                <w:b/>
                <w:color w:val="000000"/>
              </w:rPr>
            </w:pPr>
          </w:p>
        </w:tc>
      </w:tr>
      <w:tr w:rsidR="008E5DE4" w14:paraId="5FB5F903" w14:textId="77777777">
        <w:trPr>
          <w:cantSplit/>
        </w:trPr>
        <w:tc>
          <w:tcPr>
            <w:tcW w:w="5726" w:type="dxa"/>
            <w:vAlign w:val="bottom"/>
          </w:tcPr>
          <w:p w14:paraId="42B5AC28"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Basic and diluted earnings/(loss) per preference share </w:t>
            </w:r>
            <w:r>
              <w:rPr>
                <w:b/>
                <w:color w:val="0000FF"/>
              </w:rPr>
              <w:t>[from continuing operations]</w:t>
            </w:r>
            <w:r>
              <w:rPr>
                <w:b/>
                <w:color w:val="000000"/>
              </w:rPr>
              <w:t xml:space="preserve"> (expressed in EUR per share)</w:t>
            </w:r>
          </w:p>
        </w:tc>
        <w:tc>
          <w:tcPr>
            <w:tcW w:w="567" w:type="dxa"/>
            <w:vAlign w:val="bottom"/>
          </w:tcPr>
          <w:p w14:paraId="4E9A486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FD7A6E1"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F29BFF5" w14:textId="77777777" w:rsidR="008E5DE4" w:rsidRDefault="008E5DE4">
            <w:pPr>
              <w:widowControl w:val="0"/>
              <w:pBdr>
                <w:top w:val="nil"/>
                <w:left w:val="nil"/>
                <w:bottom w:val="nil"/>
                <w:right w:val="nil"/>
                <w:between w:val="nil"/>
              </w:pBdr>
              <w:jc w:val="right"/>
              <w:rPr>
                <w:b/>
                <w:color w:val="000000"/>
              </w:rPr>
            </w:pPr>
          </w:p>
        </w:tc>
      </w:tr>
      <w:tr w:rsidR="008E5DE4" w14:paraId="30415C85" w14:textId="77777777">
        <w:trPr>
          <w:cantSplit/>
        </w:trPr>
        <w:tc>
          <w:tcPr>
            <w:tcW w:w="5726" w:type="dxa"/>
            <w:tcBorders>
              <w:bottom w:val="single" w:sz="12" w:space="0" w:color="000000"/>
            </w:tcBorders>
            <w:vAlign w:val="bottom"/>
          </w:tcPr>
          <w:p w14:paraId="631ECE37" w14:textId="77777777" w:rsidR="008E5DE4" w:rsidRDefault="00780368">
            <w:pPr>
              <w:widowControl w:val="0"/>
              <w:spacing w:line="228" w:lineRule="auto"/>
              <w:ind w:left="113" w:right="-57" w:hanging="113"/>
            </w:pPr>
            <w:r>
              <w:t> </w:t>
            </w:r>
          </w:p>
        </w:tc>
        <w:tc>
          <w:tcPr>
            <w:tcW w:w="567" w:type="dxa"/>
            <w:tcBorders>
              <w:bottom w:val="single" w:sz="12" w:space="0" w:color="000000"/>
            </w:tcBorders>
            <w:vAlign w:val="bottom"/>
          </w:tcPr>
          <w:p w14:paraId="2FDA03ED"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12" w:space="0" w:color="000000"/>
            </w:tcBorders>
            <w:vAlign w:val="bottom"/>
          </w:tcPr>
          <w:p w14:paraId="59D55CCF" w14:textId="77777777" w:rsidR="008E5DE4" w:rsidRDefault="008E5DE4">
            <w:pPr>
              <w:widowControl w:val="0"/>
              <w:pBdr>
                <w:top w:val="nil"/>
                <w:left w:val="nil"/>
                <w:bottom w:val="nil"/>
                <w:right w:val="nil"/>
                <w:between w:val="nil"/>
              </w:pBdr>
              <w:spacing w:line="228" w:lineRule="auto"/>
              <w:jc w:val="right"/>
              <w:rPr>
                <w:b/>
                <w:color w:val="000000"/>
                <w:u w:val="single"/>
              </w:rPr>
            </w:pPr>
          </w:p>
        </w:tc>
        <w:tc>
          <w:tcPr>
            <w:tcW w:w="1531" w:type="dxa"/>
            <w:tcBorders>
              <w:bottom w:val="single" w:sz="12" w:space="0" w:color="000000"/>
            </w:tcBorders>
            <w:vAlign w:val="bottom"/>
          </w:tcPr>
          <w:p w14:paraId="69565680" w14:textId="77777777" w:rsidR="008E5DE4" w:rsidRDefault="008E5DE4">
            <w:pPr>
              <w:widowControl w:val="0"/>
              <w:pBdr>
                <w:top w:val="nil"/>
                <w:left w:val="nil"/>
                <w:bottom w:val="nil"/>
                <w:right w:val="nil"/>
                <w:between w:val="nil"/>
              </w:pBdr>
              <w:spacing w:line="228" w:lineRule="auto"/>
              <w:jc w:val="right"/>
              <w:rPr>
                <w:b/>
                <w:color w:val="000000"/>
              </w:rPr>
            </w:pPr>
          </w:p>
        </w:tc>
      </w:tr>
    </w:tbl>
    <w:p w14:paraId="568722FF"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41</w:t>
      </w:r>
      <w:r>
        <w:rPr>
          <w:b/>
          <w:color w:val="000000"/>
          <w:sz w:val="20"/>
          <w:szCs w:val="20"/>
        </w:rPr>
        <w:tab/>
        <w:t>Earnings/(Loss) per Share (Continued)</w:t>
      </w:r>
    </w:p>
    <w:p w14:paraId="195671D2" w14:textId="77777777"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Profit/(loss) for the year </w:t>
      </w:r>
      <w:r>
        <w:rPr>
          <w:color w:val="0000FF"/>
          <w:sz w:val="20"/>
          <w:szCs w:val="20"/>
        </w:rPr>
        <w:t>[from continuing operations]</w:t>
      </w:r>
      <w:r>
        <w:rPr>
          <w:color w:val="000000"/>
          <w:sz w:val="20"/>
          <w:szCs w:val="20"/>
        </w:rPr>
        <w:t xml:space="preserve"> attributable to ordinary and preference shareholders is calculated as follows:</w:t>
      </w:r>
    </w:p>
    <w:tbl>
      <w:tblPr>
        <w:tblStyle w:val="afffffffffffa"/>
        <w:tblW w:w="9355" w:type="dxa"/>
        <w:tblLayout w:type="fixed"/>
        <w:tblLook w:val="0000" w:firstRow="0" w:lastRow="0" w:firstColumn="0" w:lastColumn="0" w:noHBand="0" w:noVBand="0"/>
      </w:tblPr>
      <w:tblGrid>
        <w:gridCol w:w="5726"/>
        <w:gridCol w:w="567"/>
        <w:gridCol w:w="1531"/>
        <w:gridCol w:w="1531"/>
      </w:tblGrid>
      <w:tr w:rsidR="008E5DE4" w14:paraId="589FBCC8" w14:textId="77777777">
        <w:trPr>
          <w:cantSplit/>
        </w:trPr>
        <w:tc>
          <w:tcPr>
            <w:tcW w:w="5726" w:type="dxa"/>
            <w:tcBorders>
              <w:bottom w:val="single" w:sz="4" w:space="0" w:color="000000"/>
            </w:tcBorders>
            <w:vAlign w:val="bottom"/>
          </w:tcPr>
          <w:p w14:paraId="24594F52"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In thousands of EUR</w:t>
            </w:r>
          </w:p>
        </w:tc>
        <w:tc>
          <w:tcPr>
            <w:tcW w:w="567" w:type="dxa"/>
            <w:tcBorders>
              <w:bottom w:val="single" w:sz="4" w:space="0" w:color="000000"/>
            </w:tcBorders>
            <w:vAlign w:val="bottom"/>
          </w:tcPr>
          <w:p w14:paraId="1144C1F3" w14:textId="77777777" w:rsidR="008E5DE4" w:rsidRDefault="00780368">
            <w:pPr>
              <w:widowControl w:val="0"/>
              <w:pBdr>
                <w:top w:val="nil"/>
                <w:left w:val="nil"/>
                <w:bottom w:val="nil"/>
                <w:right w:val="nil"/>
                <w:between w:val="nil"/>
              </w:pBdr>
              <w:spacing w:line="228" w:lineRule="auto"/>
              <w:ind w:left="-57" w:right="-57"/>
              <w:jc w:val="center"/>
              <w:rPr>
                <w:b/>
                <w:color w:val="000000"/>
              </w:rPr>
            </w:pPr>
            <w:r>
              <w:rPr>
                <w:b/>
                <w:color w:val="000000"/>
              </w:rPr>
              <w:t>Note</w:t>
            </w:r>
          </w:p>
        </w:tc>
        <w:tc>
          <w:tcPr>
            <w:tcW w:w="1531" w:type="dxa"/>
            <w:tcBorders>
              <w:bottom w:val="single" w:sz="4" w:space="0" w:color="000000"/>
            </w:tcBorders>
            <w:vAlign w:val="bottom"/>
          </w:tcPr>
          <w:p w14:paraId="15D153DB" w14:textId="287675C7" w:rsidR="008E5DE4" w:rsidRDefault="008614F8">
            <w:pPr>
              <w:widowControl w:val="0"/>
              <w:pBdr>
                <w:top w:val="nil"/>
                <w:left w:val="nil"/>
                <w:bottom w:val="nil"/>
                <w:right w:val="nil"/>
                <w:between w:val="nil"/>
              </w:pBdr>
              <w:spacing w:line="228" w:lineRule="auto"/>
              <w:jc w:val="right"/>
              <w:rPr>
                <w:b/>
                <w:color w:val="000000"/>
              </w:rPr>
            </w:pPr>
            <w:r>
              <w:rPr>
                <w:b/>
                <w:color w:val="000000"/>
              </w:rPr>
              <w:t>2025</w:t>
            </w:r>
          </w:p>
        </w:tc>
        <w:tc>
          <w:tcPr>
            <w:tcW w:w="1531" w:type="dxa"/>
            <w:tcBorders>
              <w:bottom w:val="single" w:sz="4" w:space="0" w:color="000000"/>
            </w:tcBorders>
            <w:vAlign w:val="bottom"/>
          </w:tcPr>
          <w:p w14:paraId="1A8AC477" w14:textId="50C88231" w:rsidR="008E5DE4" w:rsidRDefault="00E06A92">
            <w:pPr>
              <w:widowControl w:val="0"/>
              <w:pBdr>
                <w:top w:val="nil"/>
                <w:left w:val="nil"/>
                <w:bottom w:val="nil"/>
                <w:right w:val="nil"/>
                <w:between w:val="nil"/>
              </w:pBdr>
              <w:spacing w:line="228" w:lineRule="auto"/>
              <w:jc w:val="right"/>
              <w:rPr>
                <w:b/>
                <w:color w:val="000000"/>
              </w:rPr>
            </w:pPr>
            <w:r>
              <w:rPr>
                <w:b/>
                <w:color w:val="000000"/>
              </w:rPr>
              <w:t>2024</w:t>
            </w:r>
          </w:p>
        </w:tc>
      </w:tr>
      <w:tr w:rsidR="008E5DE4" w14:paraId="3BB14FC6" w14:textId="77777777">
        <w:trPr>
          <w:cantSplit/>
        </w:trPr>
        <w:tc>
          <w:tcPr>
            <w:tcW w:w="5726" w:type="dxa"/>
            <w:tcBorders>
              <w:top w:val="single" w:sz="4" w:space="0" w:color="000000"/>
            </w:tcBorders>
            <w:vAlign w:val="bottom"/>
          </w:tcPr>
          <w:p w14:paraId="031A1D4D"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top w:val="single" w:sz="4" w:space="0" w:color="000000"/>
            </w:tcBorders>
            <w:vAlign w:val="bottom"/>
          </w:tcPr>
          <w:p w14:paraId="1BE2C1E1"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top w:val="single" w:sz="4" w:space="0" w:color="000000"/>
            </w:tcBorders>
            <w:vAlign w:val="bottom"/>
          </w:tcPr>
          <w:p w14:paraId="6534A357"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top w:val="single" w:sz="4" w:space="0" w:color="000000"/>
            </w:tcBorders>
            <w:vAlign w:val="bottom"/>
          </w:tcPr>
          <w:p w14:paraId="2F6B1FD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5D55401" w14:textId="77777777">
        <w:trPr>
          <w:cantSplit/>
        </w:trPr>
        <w:tc>
          <w:tcPr>
            <w:tcW w:w="5726" w:type="dxa"/>
            <w:vAlign w:val="bottom"/>
          </w:tcPr>
          <w:p w14:paraId="1C4E428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Profit or loss for the year </w:t>
            </w:r>
            <w:r>
              <w:rPr>
                <w:color w:val="0000FF"/>
              </w:rPr>
              <w:t>[from continuing operations]</w:t>
            </w:r>
          </w:p>
        </w:tc>
        <w:tc>
          <w:tcPr>
            <w:tcW w:w="567" w:type="dxa"/>
            <w:vAlign w:val="bottom"/>
          </w:tcPr>
          <w:p w14:paraId="015A5E6E"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02E55657"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332DF9C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8257D95" w14:textId="77777777">
        <w:trPr>
          <w:cantSplit/>
        </w:trPr>
        <w:tc>
          <w:tcPr>
            <w:tcW w:w="5726" w:type="dxa"/>
            <w:vAlign w:val="bottom"/>
          </w:tcPr>
          <w:p w14:paraId="64044E5D"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Less dividends on ordinary and preference shares</w:t>
            </w:r>
          </w:p>
        </w:tc>
        <w:tc>
          <w:tcPr>
            <w:tcW w:w="567" w:type="dxa"/>
            <w:vAlign w:val="bottom"/>
          </w:tcPr>
          <w:p w14:paraId="143F3D7C"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26</w:t>
            </w:r>
          </w:p>
        </w:tc>
        <w:tc>
          <w:tcPr>
            <w:tcW w:w="1531" w:type="dxa"/>
            <w:vAlign w:val="bottom"/>
          </w:tcPr>
          <w:p w14:paraId="59268B39"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36B7E6F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2208806" w14:textId="77777777">
        <w:trPr>
          <w:cantSplit/>
        </w:trPr>
        <w:tc>
          <w:tcPr>
            <w:tcW w:w="5726" w:type="dxa"/>
            <w:tcBorders>
              <w:bottom w:val="single" w:sz="4" w:space="0" w:color="000000"/>
            </w:tcBorders>
            <w:vAlign w:val="bottom"/>
          </w:tcPr>
          <w:p w14:paraId="614F98C4"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bottom w:val="single" w:sz="4" w:space="0" w:color="000000"/>
            </w:tcBorders>
            <w:vAlign w:val="bottom"/>
          </w:tcPr>
          <w:p w14:paraId="45A476A9"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4" w:space="0" w:color="000000"/>
            </w:tcBorders>
            <w:vAlign w:val="bottom"/>
          </w:tcPr>
          <w:p w14:paraId="51691AF8"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483C734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EE1772E" w14:textId="77777777">
        <w:trPr>
          <w:cantSplit/>
        </w:trPr>
        <w:tc>
          <w:tcPr>
            <w:tcW w:w="5726" w:type="dxa"/>
            <w:tcBorders>
              <w:top w:val="single" w:sz="4" w:space="0" w:color="000000"/>
            </w:tcBorders>
            <w:vAlign w:val="bottom"/>
          </w:tcPr>
          <w:p w14:paraId="450F1E5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top w:val="single" w:sz="4" w:space="0" w:color="000000"/>
            </w:tcBorders>
            <w:vAlign w:val="bottom"/>
          </w:tcPr>
          <w:p w14:paraId="700C4A2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top w:val="single" w:sz="4" w:space="0" w:color="000000"/>
            </w:tcBorders>
            <w:vAlign w:val="bottom"/>
          </w:tcPr>
          <w:p w14:paraId="22864DE8"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top w:val="single" w:sz="4" w:space="0" w:color="000000"/>
            </w:tcBorders>
            <w:vAlign w:val="bottom"/>
          </w:tcPr>
          <w:p w14:paraId="1567818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D7FADA9" w14:textId="77777777">
        <w:trPr>
          <w:cantSplit/>
        </w:trPr>
        <w:tc>
          <w:tcPr>
            <w:tcW w:w="5726" w:type="dxa"/>
            <w:vAlign w:val="bottom"/>
          </w:tcPr>
          <w:p w14:paraId="6AA5F6B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Undistributed profit for the year </w:t>
            </w:r>
            <w:r>
              <w:rPr>
                <w:color w:val="0000FF"/>
              </w:rPr>
              <w:t>[from continuing operations]</w:t>
            </w:r>
          </w:p>
        </w:tc>
        <w:tc>
          <w:tcPr>
            <w:tcW w:w="567" w:type="dxa"/>
            <w:vAlign w:val="bottom"/>
          </w:tcPr>
          <w:p w14:paraId="7BF62CCE"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2E21DDBD"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4445BB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D984C9D" w14:textId="77777777">
        <w:trPr>
          <w:cantSplit/>
        </w:trPr>
        <w:tc>
          <w:tcPr>
            <w:tcW w:w="5726" w:type="dxa"/>
            <w:tcBorders>
              <w:bottom w:val="single" w:sz="12" w:space="0" w:color="000000"/>
            </w:tcBorders>
            <w:vAlign w:val="bottom"/>
          </w:tcPr>
          <w:p w14:paraId="163603FD"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bottom w:val="single" w:sz="12" w:space="0" w:color="000000"/>
            </w:tcBorders>
            <w:vAlign w:val="bottom"/>
          </w:tcPr>
          <w:p w14:paraId="3143C15A"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12" w:space="0" w:color="000000"/>
            </w:tcBorders>
            <w:vAlign w:val="bottom"/>
          </w:tcPr>
          <w:p w14:paraId="0F5D5544"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12" w:space="0" w:color="000000"/>
            </w:tcBorders>
            <w:vAlign w:val="bottom"/>
          </w:tcPr>
          <w:p w14:paraId="0A9CD4B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40509B6" w14:textId="77777777">
        <w:trPr>
          <w:cantSplit/>
        </w:trPr>
        <w:tc>
          <w:tcPr>
            <w:tcW w:w="5726" w:type="dxa"/>
            <w:vAlign w:val="bottom"/>
          </w:tcPr>
          <w:p w14:paraId="16BFF35C"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567" w:type="dxa"/>
            <w:vAlign w:val="bottom"/>
          </w:tcPr>
          <w:p w14:paraId="5CE7DF78"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vAlign w:val="bottom"/>
          </w:tcPr>
          <w:p w14:paraId="4674F0A2"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F40623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3975DAC" w14:textId="77777777">
        <w:trPr>
          <w:cantSplit/>
        </w:trPr>
        <w:tc>
          <w:tcPr>
            <w:tcW w:w="5726" w:type="dxa"/>
            <w:vAlign w:val="bottom"/>
          </w:tcPr>
          <w:p w14:paraId="40525F4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Undistributed profit or loss for the year </w:t>
            </w:r>
            <w:r>
              <w:rPr>
                <w:color w:val="0000FF"/>
              </w:rPr>
              <w:t>[from continuing operations]</w:t>
            </w:r>
            <w:r>
              <w:rPr>
                <w:color w:val="000000"/>
              </w:rPr>
              <w:t xml:space="preserve"> attributable to preference shareholders based on terms of the shares</w:t>
            </w:r>
          </w:p>
        </w:tc>
        <w:tc>
          <w:tcPr>
            <w:tcW w:w="567" w:type="dxa"/>
            <w:vAlign w:val="bottom"/>
          </w:tcPr>
          <w:p w14:paraId="331D6681"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vAlign w:val="bottom"/>
          </w:tcPr>
          <w:p w14:paraId="09F2428D"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DEFCCF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851643F" w14:textId="77777777">
        <w:trPr>
          <w:cantSplit/>
        </w:trPr>
        <w:tc>
          <w:tcPr>
            <w:tcW w:w="5726" w:type="dxa"/>
            <w:vAlign w:val="bottom"/>
          </w:tcPr>
          <w:p w14:paraId="40F17AE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vAlign w:val="bottom"/>
          </w:tcPr>
          <w:p w14:paraId="0B05E870"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vAlign w:val="bottom"/>
          </w:tcPr>
          <w:p w14:paraId="7CB2BA58"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FA3C1D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776E837" w14:textId="77777777">
        <w:trPr>
          <w:cantSplit/>
        </w:trPr>
        <w:tc>
          <w:tcPr>
            <w:tcW w:w="5726" w:type="dxa"/>
            <w:vAlign w:val="bottom"/>
          </w:tcPr>
          <w:p w14:paraId="657FB5CD"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Preference dividends declared during the year</w:t>
            </w:r>
          </w:p>
        </w:tc>
        <w:tc>
          <w:tcPr>
            <w:tcW w:w="567" w:type="dxa"/>
            <w:vAlign w:val="bottom"/>
          </w:tcPr>
          <w:p w14:paraId="6F6E6F7B" w14:textId="77777777" w:rsidR="008E5DE4" w:rsidRDefault="00780368">
            <w:pPr>
              <w:widowControl w:val="0"/>
              <w:pBdr>
                <w:top w:val="nil"/>
                <w:left w:val="nil"/>
                <w:bottom w:val="nil"/>
                <w:right w:val="nil"/>
                <w:between w:val="nil"/>
              </w:pBdr>
              <w:spacing w:line="228" w:lineRule="auto"/>
              <w:jc w:val="center"/>
              <w:rPr>
                <w:color w:val="000000"/>
              </w:rPr>
            </w:pPr>
            <w:r>
              <w:rPr>
                <w:color w:val="000000"/>
              </w:rPr>
              <w:t>26</w:t>
            </w:r>
          </w:p>
        </w:tc>
        <w:tc>
          <w:tcPr>
            <w:tcW w:w="1531" w:type="dxa"/>
            <w:vAlign w:val="bottom"/>
          </w:tcPr>
          <w:p w14:paraId="7AB7C51B"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77118DB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0771895" w14:textId="77777777">
        <w:trPr>
          <w:cantSplit/>
        </w:trPr>
        <w:tc>
          <w:tcPr>
            <w:tcW w:w="5726" w:type="dxa"/>
            <w:tcBorders>
              <w:bottom w:val="single" w:sz="4" w:space="0" w:color="000000"/>
            </w:tcBorders>
            <w:vAlign w:val="bottom"/>
          </w:tcPr>
          <w:p w14:paraId="27B7897B"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bottom w:val="single" w:sz="4" w:space="0" w:color="000000"/>
            </w:tcBorders>
            <w:vAlign w:val="bottom"/>
          </w:tcPr>
          <w:p w14:paraId="47220521"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tcBorders>
              <w:bottom w:val="single" w:sz="4" w:space="0" w:color="000000"/>
            </w:tcBorders>
            <w:vAlign w:val="bottom"/>
          </w:tcPr>
          <w:p w14:paraId="7F2BADD5"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49B8C55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3360F3F" w14:textId="77777777">
        <w:trPr>
          <w:cantSplit/>
        </w:trPr>
        <w:tc>
          <w:tcPr>
            <w:tcW w:w="5726" w:type="dxa"/>
            <w:tcBorders>
              <w:top w:val="single" w:sz="4" w:space="0" w:color="000000"/>
            </w:tcBorders>
            <w:vAlign w:val="bottom"/>
          </w:tcPr>
          <w:p w14:paraId="03F6E9A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top w:val="single" w:sz="4" w:space="0" w:color="000000"/>
            </w:tcBorders>
            <w:vAlign w:val="bottom"/>
          </w:tcPr>
          <w:p w14:paraId="326E066E"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tcBorders>
              <w:top w:val="single" w:sz="4" w:space="0" w:color="000000"/>
            </w:tcBorders>
            <w:vAlign w:val="bottom"/>
          </w:tcPr>
          <w:p w14:paraId="41F9793C"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top w:val="single" w:sz="4" w:space="0" w:color="000000"/>
            </w:tcBorders>
            <w:vAlign w:val="bottom"/>
          </w:tcPr>
          <w:p w14:paraId="1AACD36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884BC50" w14:textId="77777777">
        <w:trPr>
          <w:cantSplit/>
        </w:trPr>
        <w:tc>
          <w:tcPr>
            <w:tcW w:w="5726" w:type="dxa"/>
            <w:vAlign w:val="bottom"/>
          </w:tcPr>
          <w:p w14:paraId="7BF3CA0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Profit or loss for the year </w:t>
            </w:r>
            <w:r>
              <w:rPr>
                <w:color w:val="0000FF"/>
              </w:rPr>
              <w:t>[from continuing operations]</w:t>
            </w:r>
            <w:r>
              <w:rPr>
                <w:color w:val="000000"/>
              </w:rPr>
              <w:t xml:space="preserve"> allocated to preference shareholders</w:t>
            </w:r>
          </w:p>
        </w:tc>
        <w:tc>
          <w:tcPr>
            <w:tcW w:w="567" w:type="dxa"/>
            <w:vAlign w:val="bottom"/>
          </w:tcPr>
          <w:p w14:paraId="5299C51B"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vAlign w:val="bottom"/>
          </w:tcPr>
          <w:p w14:paraId="702B8BED"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1A3EB3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64E7F00" w14:textId="77777777">
        <w:trPr>
          <w:cantSplit/>
        </w:trPr>
        <w:tc>
          <w:tcPr>
            <w:tcW w:w="5726" w:type="dxa"/>
            <w:tcBorders>
              <w:bottom w:val="single" w:sz="12" w:space="0" w:color="000000"/>
            </w:tcBorders>
            <w:vAlign w:val="bottom"/>
          </w:tcPr>
          <w:p w14:paraId="3738F62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bottom w:val="single" w:sz="12" w:space="0" w:color="000000"/>
            </w:tcBorders>
            <w:vAlign w:val="bottom"/>
          </w:tcPr>
          <w:p w14:paraId="1F48B6CD"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tcBorders>
              <w:bottom w:val="single" w:sz="12" w:space="0" w:color="000000"/>
            </w:tcBorders>
            <w:vAlign w:val="bottom"/>
          </w:tcPr>
          <w:p w14:paraId="43998E85"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12" w:space="0" w:color="000000"/>
            </w:tcBorders>
            <w:vAlign w:val="bottom"/>
          </w:tcPr>
          <w:p w14:paraId="74FD590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825322A" w14:textId="77777777">
        <w:trPr>
          <w:cantSplit/>
        </w:trPr>
        <w:tc>
          <w:tcPr>
            <w:tcW w:w="5726" w:type="dxa"/>
            <w:vAlign w:val="bottom"/>
          </w:tcPr>
          <w:p w14:paraId="7C6AE1DD"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vAlign w:val="bottom"/>
          </w:tcPr>
          <w:p w14:paraId="2B67C456"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vAlign w:val="bottom"/>
          </w:tcPr>
          <w:p w14:paraId="46E3E432"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FB61A8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B00406D" w14:textId="77777777">
        <w:trPr>
          <w:cantSplit/>
        </w:trPr>
        <w:tc>
          <w:tcPr>
            <w:tcW w:w="5726" w:type="dxa"/>
            <w:vAlign w:val="bottom"/>
          </w:tcPr>
          <w:p w14:paraId="4602762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Undistributed profit or loss for the year </w:t>
            </w:r>
            <w:r>
              <w:rPr>
                <w:color w:val="0000FF"/>
              </w:rPr>
              <w:t>[from continuing operations]</w:t>
            </w:r>
            <w:r>
              <w:rPr>
                <w:color w:val="000000"/>
              </w:rPr>
              <w:t xml:space="preserve"> attributable to ordinary shareholders based on terms of the shares</w:t>
            </w:r>
          </w:p>
        </w:tc>
        <w:tc>
          <w:tcPr>
            <w:tcW w:w="567" w:type="dxa"/>
            <w:vAlign w:val="bottom"/>
          </w:tcPr>
          <w:p w14:paraId="677AE05F"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vAlign w:val="bottom"/>
          </w:tcPr>
          <w:p w14:paraId="6FFE9D89"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15EE88B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8C2327A" w14:textId="77777777">
        <w:trPr>
          <w:cantSplit/>
        </w:trPr>
        <w:tc>
          <w:tcPr>
            <w:tcW w:w="5726" w:type="dxa"/>
            <w:vAlign w:val="bottom"/>
          </w:tcPr>
          <w:p w14:paraId="53B4954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vAlign w:val="bottom"/>
          </w:tcPr>
          <w:p w14:paraId="51CF8C0D"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vAlign w:val="bottom"/>
          </w:tcPr>
          <w:p w14:paraId="223C9E99"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A9D1F3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9C99A72" w14:textId="77777777">
        <w:trPr>
          <w:cantSplit/>
        </w:trPr>
        <w:tc>
          <w:tcPr>
            <w:tcW w:w="5726" w:type="dxa"/>
            <w:vAlign w:val="bottom"/>
          </w:tcPr>
          <w:p w14:paraId="5D175B7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Ordinary dividends declared during the year</w:t>
            </w:r>
          </w:p>
        </w:tc>
        <w:tc>
          <w:tcPr>
            <w:tcW w:w="567" w:type="dxa"/>
            <w:vAlign w:val="bottom"/>
          </w:tcPr>
          <w:p w14:paraId="641BF82F" w14:textId="77777777" w:rsidR="008E5DE4" w:rsidRDefault="00780368">
            <w:pPr>
              <w:widowControl w:val="0"/>
              <w:pBdr>
                <w:top w:val="nil"/>
                <w:left w:val="nil"/>
                <w:bottom w:val="nil"/>
                <w:right w:val="nil"/>
                <w:between w:val="nil"/>
              </w:pBdr>
              <w:spacing w:line="228" w:lineRule="auto"/>
              <w:jc w:val="center"/>
              <w:rPr>
                <w:color w:val="000000"/>
              </w:rPr>
            </w:pPr>
            <w:r>
              <w:rPr>
                <w:color w:val="000000"/>
              </w:rPr>
              <w:t>26</w:t>
            </w:r>
          </w:p>
        </w:tc>
        <w:tc>
          <w:tcPr>
            <w:tcW w:w="1531" w:type="dxa"/>
            <w:vAlign w:val="bottom"/>
          </w:tcPr>
          <w:p w14:paraId="200CFFC3"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DBCA9C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060E4AF" w14:textId="77777777">
        <w:trPr>
          <w:cantSplit/>
        </w:trPr>
        <w:tc>
          <w:tcPr>
            <w:tcW w:w="5726" w:type="dxa"/>
            <w:tcBorders>
              <w:bottom w:val="single" w:sz="4" w:space="0" w:color="000000"/>
            </w:tcBorders>
            <w:vAlign w:val="bottom"/>
          </w:tcPr>
          <w:p w14:paraId="0636E3E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bottom w:val="single" w:sz="4" w:space="0" w:color="000000"/>
            </w:tcBorders>
            <w:vAlign w:val="bottom"/>
          </w:tcPr>
          <w:p w14:paraId="02D0E7C3"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tcBorders>
              <w:bottom w:val="single" w:sz="4" w:space="0" w:color="000000"/>
            </w:tcBorders>
            <w:vAlign w:val="bottom"/>
          </w:tcPr>
          <w:p w14:paraId="2357E016"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7D3C60F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483F1DA" w14:textId="77777777">
        <w:trPr>
          <w:cantSplit/>
        </w:trPr>
        <w:tc>
          <w:tcPr>
            <w:tcW w:w="5726" w:type="dxa"/>
            <w:tcBorders>
              <w:top w:val="single" w:sz="4" w:space="0" w:color="000000"/>
            </w:tcBorders>
            <w:vAlign w:val="bottom"/>
          </w:tcPr>
          <w:p w14:paraId="7031D84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top w:val="single" w:sz="4" w:space="0" w:color="000000"/>
            </w:tcBorders>
            <w:vAlign w:val="bottom"/>
          </w:tcPr>
          <w:p w14:paraId="4342F94E"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tcBorders>
              <w:top w:val="single" w:sz="4" w:space="0" w:color="000000"/>
            </w:tcBorders>
            <w:vAlign w:val="bottom"/>
          </w:tcPr>
          <w:p w14:paraId="7B62F32F"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top w:val="single" w:sz="4" w:space="0" w:color="000000"/>
            </w:tcBorders>
            <w:vAlign w:val="bottom"/>
          </w:tcPr>
          <w:p w14:paraId="1E1847B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694DB1A" w14:textId="77777777">
        <w:trPr>
          <w:cantSplit/>
        </w:trPr>
        <w:tc>
          <w:tcPr>
            <w:tcW w:w="5726" w:type="dxa"/>
            <w:vAlign w:val="bottom"/>
          </w:tcPr>
          <w:p w14:paraId="74E1FEC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Profit or loss for the year </w:t>
            </w:r>
            <w:r>
              <w:rPr>
                <w:color w:val="0000FF"/>
              </w:rPr>
              <w:t>[from continuing operations]</w:t>
            </w:r>
            <w:r>
              <w:rPr>
                <w:color w:val="000000"/>
              </w:rPr>
              <w:t xml:space="preserve"> allocated to ordinary shareholders</w:t>
            </w:r>
          </w:p>
        </w:tc>
        <w:tc>
          <w:tcPr>
            <w:tcW w:w="567" w:type="dxa"/>
            <w:vAlign w:val="bottom"/>
          </w:tcPr>
          <w:p w14:paraId="1CF7F62E"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vAlign w:val="bottom"/>
          </w:tcPr>
          <w:p w14:paraId="6FAC0D1D"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367FF98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3074BB5" w14:textId="77777777">
        <w:trPr>
          <w:cantSplit/>
        </w:trPr>
        <w:tc>
          <w:tcPr>
            <w:tcW w:w="5726" w:type="dxa"/>
            <w:tcBorders>
              <w:bottom w:val="single" w:sz="12" w:space="0" w:color="000000"/>
            </w:tcBorders>
            <w:vAlign w:val="bottom"/>
          </w:tcPr>
          <w:p w14:paraId="77A6689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 </w:t>
            </w:r>
          </w:p>
        </w:tc>
        <w:tc>
          <w:tcPr>
            <w:tcW w:w="567" w:type="dxa"/>
            <w:tcBorders>
              <w:bottom w:val="single" w:sz="12" w:space="0" w:color="000000"/>
            </w:tcBorders>
            <w:vAlign w:val="bottom"/>
          </w:tcPr>
          <w:p w14:paraId="46070ACC" w14:textId="77777777" w:rsidR="008E5DE4" w:rsidRDefault="008E5DE4">
            <w:pPr>
              <w:widowControl w:val="0"/>
              <w:pBdr>
                <w:top w:val="nil"/>
                <w:left w:val="nil"/>
                <w:bottom w:val="nil"/>
                <w:right w:val="nil"/>
                <w:between w:val="nil"/>
              </w:pBdr>
              <w:spacing w:line="228" w:lineRule="auto"/>
              <w:jc w:val="center"/>
              <w:rPr>
                <w:color w:val="000000"/>
              </w:rPr>
            </w:pPr>
          </w:p>
        </w:tc>
        <w:tc>
          <w:tcPr>
            <w:tcW w:w="1531" w:type="dxa"/>
            <w:tcBorders>
              <w:bottom w:val="single" w:sz="12" w:space="0" w:color="000000"/>
            </w:tcBorders>
            <w:vAlign w:val="bottom"/>
          </w:tcPr>
          <w:p w14:paraId="173618E4"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12" w:space="0" w:color="000000"/>
            </w:tcBorders>
            <w:vAlign w:val="bottom"/>
          </w:tcPr>
          <w:p w14:paraId="1165A212" w14:textId="77777777" w:rsidR="008E5DE4" w:rsidRDefault="008E5DE4">
            <w:pPr>
              <w:widowControl w:val="0"/>
              <w:pBdr>
                <w:top w:val="nil"/>
                <w:left w:val="nil"/>
                <w:bottom w:val="nil"/>
                <w:right w:val="nil"/>
                <w:between w:val="nil"/>
              </w:pBdr>
              <w:spacing w:line="228" w:lineRule="auto"/>
              <w:jc w:val="right"/>
              <w:rPr>
                <w:color w:val="000000"/>
              </w:rPr>
            </w:pPr>
          </w:p>
        </w:tc>
      </w:tr>
    </w:tbl>
    <w:p w14:paraId="49F016F3" w14:textId="77777777" w:rsidR="008E5DE4" w:rsidRDefault="00780368">
      <w:pPr>
        <w:widowControl w:val="0"/>
        <w:spacing w:before="200" w:after="200" w:line="228" w:lineRule="auto"/>
        <w:rPr>
          <w:sz w:val="20"/>
          <w:szCs w:val="20"/>
        </w:rPr>
      </w:pPr>
      <w:r>
        <w:rPr>
          <w:sz w:val="20"/>
          <w:szCs w:val="20"/>
        </w:rPr>
        <w:t>Earnings per share from discontinued operations are calculated as follows:</w:t>
      </w:r>
    </w:p>
    <w:tbl>
      <w:tblPr>
        <w:tblStyle w:val="afffffffffffb"/>
        <w:tblW w:w="9355" w:type="dxa"/>
        <w:tblLayout w:type="fixed"/>
        <w:tblLook w:val="0000" w:firstRow="0" w:lastRow="0" w:firstColumn="0" w:lastColumn="0" w:noHBand="0" w:noVBand="0"/>
      </w:tblPr>
      <w:tblGrid>
        <w:gridCol w:w="5726"/>
        <w:gridCol w:w="567"/>
        <w:gridCol w:w="1531"/>
        <w:gridCol w:w="1531"/>
      </w:tblGrid>
      <w:tr w:rsidR="008E5DE4" w14:paraId="42C8CF0E" w14:textId="77777777">
        <w:trPr>
          <w:cantSplit/>
        </w:trPr>
        <w:tc>
          <w:tcPr>
            <w:tcW w:w="5726" w:type="dxa"/>
            <w:tcBorders>
              <w:bottom w:val="single" w:sz="4" w:space="0" w:color="000000"/>
            </w:tcBorders>
            <w:vAlign w:val="bottom"/>
          </w:tcPr>
          <w:p w14:paraId="1AAD4AF6"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567" w:type="dxa"/>
            <w:tcBorders>
              <w:bottom w:val="single" w:sz="4" w:space="0" w:color="000000"/>
            </w:tcBorders>
            <w:vAlign w:val="bottom"/>
          </w:tcPr>
          <w:p w14:paraId="05219251" w14:textId="77777777" w:rsidR="008E5DE4" w:rsidRDefault="00780368">
            <w:pPr>
              <w:widowControl w:val="0"/>
              <w:pBdr>
                <w:top w:val="nil"/>
                <w:left w:val="nil"/>
                <w:bottom w:val="nil"/>
                <w:right w:val="nil"/>
                <w:between w:val="nil"/>
              </w:pBdr>
              <w:spacing w:line="228" w:lineRule="auto"/>
              <w:ind w:left="-57" w:right="-57"/>
              <w:jc w:val="center"/>
              <w:rPr>
                <w:b/>
                <w:color w:val="000000"/>
              </w:rPr>
            </w:pPr>
            <w:r>
              <w:rPr>
                <w:b/>
                <w:color w:val="000000"/>
              </w:rPr>
              <w:t>Note</w:t>
            </w:r>
          </w:p>
        </w:tc>
        <w:tc>
          <w:tcPr>
            <w:tcW w:w="1531" w:type="dxa"/>
            <w:tcBorders>
              <w:bottom w:val="single" w:sz="4" w:space="0" w:color="000000"/>
            </w:tcBorders>
            <w:vAlign w:val="bottom"/>
          </w:tcPr>
          <w:p w14:paraId="73F6E3D2" w14:textId="63742C65" w:rsidR="008E5DE4" w:rsidRDefault="008614F8">
            <w:pPr>
              <w:widowControl w:val="0"/>
              <w:pBdr>
                <w:top w:val="nil"/>
                <w:left w:val="nil"/>
                <w:bottom w:val="nil"/>
                <w:right w:val="nil"/>
                <w:between w:val="nil"/>
              </w:pBdr>
              <w:spacing w:line="228" w:lineRule="auto"/>
              <w:jc w:val="right"/>
              <w:rPr>
                <w:b/>
                <w:color w:val="000000"/>
              </w:rPr>
            </w:pPr>
            <w:r>
              <w:rPr>
                <w:b/>
                <w:color w:val="000000"/>
              </w:rPr>
              <w:t>2025</w:t>
            </w:r>
          </w:p>
        </w:tc>
        <w:tc>
          <w:tcPr>
            <w:tcW w:w="1531" w:type="dxa"/>
            <w:tcBorders>
              <w:bottom w:val="single" w:sz="4" w:space="0" w:color="000000"/>
            </w:tcBorders>
            <w:vAlign w:val="bottom"/>
          </w:tcPr>
          <w:p w14:paraId="618EEA8B" w14:textId="4EBEB907" w:rsidR="008E5DE4" w:rsidRDefault="00E06A92">
            <w:pPr>
              <w:widowControl w:val="0"/>
              <w:pBdr>
                <w:top w:val="nil"/>
                <w:left w:val="nil"/>
                <w:bottom w:val="nil"/>
                <w:right w:val="nil"/>
                <w:between w:val="nil"/>
              </w:pBdr>
              <w:spacing w:line="228" w:lineRule="auto"/>
              <w:jc w:val="right"/>
              <w:rPr>
                <w:b/>
                <w:color w:val="000000"/>
              </w:rPr>
            </w:pPr>
            <w:r>
              <w:rPr>
                <w:b/>
                <w:color w:val="000000"/>
              </w:rPr>
              <w:t>2024</w:t>
            </w:r>
          </w:p>
        </w:tc>
      </w:tr>
      <w:tr w:rsidR="008E5DE4" w14:paraId="36E18443" w14:textId="77777777">
        <w:trPr>
          <w:cantSplit/>
        </w:trPr>
        <w:tc>
          <w:tcPr>
            <w:tcW w:w="5726" w:type="dxa"/>
            <w:vAlign w:val="bottom"/>
          </w:tcPr>
          <w:p w14:paraId="2CBC2FE4"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vAlign w:val="bottom"/>
          </w:tcPr>
          <w:p w14:paraId="4A861592"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4F6506B"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877CC3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5A4AC93" w14:textId="77777777">
        <w:trPr>
          <w:cantSplit/>
        </w:trPr>
        <w:tc>
          <w:tcPr>
            <w:tcW w:w="5726" w:type="dxa"/>
            <w:vAlign w:val="bottom"/>
          </w:tcPr>
          <w:p w14:paraId="049BDFF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Profit/(Loss) for the year from discontinued operations attributable to ordinary shareholders</w:t>
            </w:r>
          </w:p>
        </w:tc>
        <w:tc>
          <w:tcPr>
            <w:tcW w:w="567" w:type="dxa"/>
            <w:vAlign w:val="bottom"/>
          </w:tcPr>
          <w:p w14:paraId="6AEC20EE"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7FB8439E"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B06F9A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5D247A3" w14:textId="77777777">
        <w:trPr>
          <w:cantSplit/>
        </w:trPr>
        <w:tc>
          <w:tcPr>
            <w:tcW w:w="5726" w:type="dxa"/>
            <w:vAlign w:val="bottom"/>
          </w:tcPr>
          <w:p w14:paraId="097D57A0"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vAlign w:val="bottom"/>
          </w:tcPr>
          <w:p w14:paraId="28974EE5"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4FBA82C1"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136FE9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FC3147E" w14:textId="77777777">
        <w:trPr>
          <w:cantSplit/>
        </w:trPr>
        <w:tc>
          <w:tcPr>
            <w:tcW w:w="5726" w:type="dxa"/>
            <w:vAlign w:val="bottom"/>
          </w:tcPr>
          <w:p w14:paraId="1F13356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Profit/(Loss) for the year from discontinued operations attributable to preference shareholders</w:t>
            </w:r>
          </w:p>
        </w:tc>
        <w:tc>
          <w:tcPr>
            <w:tcW w:w="567" w:type="dxa"/>
            <w:vAlign w:val="bottom"/>
          </w:tcPr>
          <w:p w14:paraId="3EF537C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606A2C21"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42BCF7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373F5BE" w14:textId="77777777">
        <w:trPr>
          <w:cantSplit/>
        </w:trPr>
        <w:tc>
          <w:tcPr>
            <w:tcW w:w="5726" w:type="dxa"/>
            <w:tcBorders>
              <w:bottom w:val="single" w:sz="4" w:space="0" w:color="000000"/>
            </w:tcBorders>
            <w:vAlign w:val="bottom"/>
          </w:tcPr>
          <w:p w14:paraId="79F6272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bottom w:val="single" w:sz="4" w:space="0" w:color="000000"/>
            </w:tcBorders>
            <w:vAlign w:val="bottom"/>
          </w:tcPr>
          <w:p w14:paraId="7349B77F"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4" w:space="0" w:color="000000"/>
            </w:tcBorders>
            <w:vAlign w:val="bottom"/>
          </w:tcPr>
          <w:p w14:paraId="6E116E5B"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2DC3969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DBDAD23" w14:textId="77777777">
        <w:trPr>
          <w:cantSplit/>
        </w:trPr>
        <w:tc>
          <w:tcPr>
            <w:tcW w:w="5726" w:type="dxa"/>
            <w:tcBorders>
              <w:top w:val="single" w:sz="4" w:space="0" w:color="000000"/>
            </w:tcBorders>
            <w:vAlign w:val="bottom"/>
          </w:tcPr>
          <w:p w14:paraId="52A75549"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top w:val="single" w:sz="4" w:space="0" w:color="000000"/>
            </w:tcBorders>
            <w:vAlign w:val="bottom"/>
          </w:tcPr>
          <w:p w14:paraId="787FB47F"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top w:val="single" w:sz="4" w:space="0" w:color="000000"/>
            </w:tcBorders>
            <w:vAlign w:val="bottom"/>
          </w:tcPr>
          <w:p w14:paraId="563C6A51"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top w:val="single" w:sz="4" w:space="0" w:color="000000"/>
            </w:tcBorders>
            <w:vAlign w:val="bottom"/>
          </w:tcPr>
          <w:p w14:paraId="66C77AC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22CC39F" w14:textId="77777777">
        <w:trPr>
          <w:cantSplit/>
        </w:trPr>
        <w:tc>
          <w:tcPr>
            <w:tcW w:w="5726" w:type="dxa"/>
            <w:vAlign w:val="bottom"/>
          </w:tcPr>
          <w:p w14:paraId="40A7DBD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Profit or loss for the year from discontinued operations</w:t>
            </w:r>
          </w:p>
        </w:tc>
        <w:tc>
          <w:tcPr>
            <w:tcW w:w="567" w:type="dxa"/>
            <w:vAlign w:val="bottom"/>
          </w:tcPr>
          <w:p w14:paraId="02A90BC4"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2A351713"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1C3089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4CA316B" w14:textId="77777777">
        <w:trPr>
          <w:cantSplit/>
        </w:trPr>
        <w:tc>
          <w:tcPr>
            <w:tcW w:w="5726" w:type="dxa"/>
            <w:tcBorders>
              <w:bottom w:val="single" w:sz="12" w:space="0" w:color="000000"/>
            </w:tcBorders>
            <w:vAlign w:val="bottom"/>
          </w:tcPr>
          <w:p w14:paraId="4A598AE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bottom w:val="single" w:sz="12" w:space="0" w:color="000000"/>
            </w:tcBorders>
            <w:vAlign w:val="bottom"/>
          </w:tcPr>
          <w:p w14:paraId="68324EC0"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12" w:space="0" w:color="000000"/>
            </w:tcBorders>
            <w:vAlign w:val="bottom"/>
          </w:tcPr>
          <w:p w14:paraId="6D041A9A"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12" w:space="0" w:color="000000"/>
            </w:tcBorders>
            <w:vAlign w:val="bottom"/>
          </w:tcPr>
          <w:p w14:paraId="517D73A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51305B2" w14:textId="77777777">
        <w:trPr>
          <w:cantSplit/>
        </w:trPr>
        <w:tc>
          <w:tcPr>
            <w:tcW w:w="5726" w:type="dxa"/>
            <w:tcBorders>
              <w:top w:val="single" w:sz="4" w:space="0" w:color="000000"/>
            </w:tcBorders>
            <w:vAlign w:val="bottom"/>
          </w:tcPr>
          <w:p w14:paraId="6BD6C3B7"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top w:val="single" w:sz="4" w:space="0" w:color="000000"/>
            </w:tcBorders>
            <w:vAlign w:val="bottom"/>
          </w:tcPr>
          <w:p w14:paraId="291F2843"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top w:val="single" w:sz="4" w:space="0" w:color="000000"/>
            </w:tcBorders>
            <w:vAlign w:val="bottom"/>
          </w:tcPr>
          <w:p w14:paraId="2B5851A8"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top w:val="single" w:sz="4" w:space="0" w:color="000000"/>
            </w:tcBorders>
            <w:vAlign w:val="bottom"/>
          </w:tcPr>
          <w:p w14:paraId="7641602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186F7C5" w14:textId="77777777">
        <w:trPr>
          <w:cantSplit/>
        </w:trPr>
        <w:tc>
          <w:tcPr>
            <w:tcW w:w="5726" w:type="dxa"/>
            <w:vAlign w:val="bottom"/>
          </w:tcPr>
          <w:p w14:paraId="05CE60CC" w14:textId="7B4F80F0"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Weighted average number of ordinary shares in issue (thousands)</w:t>
            </w:r>
          </w:p>
        </w:tc>
        <w:tc>
          <w:tcPr>
            <w:tcW w:w="567" w:type="dxa"/>
            <w:vAlign w:val="bottom"/>
          </w:tcPr>
          <w:p w14:paraId="5964317F" w14:textId="77777777" w:rsidR="008E5DE4" w:rsidRDefault="00780368">
            <w:pPr>
              <w:widowControl w:val="0"/>
              <w:pBdr>
                <w:top w:val="nil"/>
                <w:left w:val="nil"/>
                <w:bottom w:val="nil"/>
                <w:right w:val="nil"/>
                <w:between w:val="nil"/>
              </w:pBdr>
              <w:spacing w:line="228" w:lineRule="auto"/>
              <w:ind w:left="-57" w:right="-57"/>
              <w:jc w:val="center"/>
              <w:rPr>
                <w:color w:val="000000"/>
              </w:rPr>
            </w:pPr>
            <w:r>
              <w:rPr>
                <w:color w:val="000000"/>
              </w:rPr>
              <w:t>26</w:t>
            </w:r>
          </w:p>
        </w:tc>
        <w:tc>
          <w:tcPr>
            <w:tcW w:w="1531" w:type="dxa"/>
            <w:vAlign w:val="bottom"/>
          </w:tcPr>
          <w:p w14:paraId="73CBC899"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BDB924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93688FD" w14:textId="77777777">
        <w:trPr>
          <w:cantSplit/>
        </w:trPr>
        <w:tc>
          <w:tcPr>
            <w:tcW w:w="5726" w:type="dxa"/>
            <w:vAlign w:val="bottom"/>
          </w:tcPr>
          <w:p w14:paraId="11DC1BE8"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vAlign w:val="bottom"/>
          </w:tcPr>
          <w:p w14:paraId="442756DE"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343C5658"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9C943B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BE8F309" w14:textId="77777777">
        <w:trPr>
          <w:cantSplit/>
        </w:trPr>
        <w:tc>
          <w:tcPr>
            <w:tcW w:w="5726" w:type="dxa"/>
            <w:vAlign w:val="bottom"/>
          </w:tcPr>
          <w:p w14:paraId="0C32016B"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Weighted average number of preference shares in issue (thousands)</w:t>
            </w:r>
          </w:p>
        </w:tc>
        <w:tc>
          <w:tcPr>
            <w:tcW w:w="567" w:type="dxa"/>
            <w:vAlign w:val="bottom"/>
          </w:tcPr>
          <w:p w14:paraId="756D1F7D"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765DF265"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D2913C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8BC4C22" w14:textId="77777777">
        <w:trPr>
          <w:cantSplit/>
        </w:trPr>
        <w:tc>
          <w:tcPr>
            <w:tcW w:w="5726" w:type="dxa"/>
            <w:tcBorders>
              <w:bottom w:val="single" w:sz="4" w:space="0" w:color="000000"/>
            </w:tcBorders>
            <w:vAlign w:val="bottom"/>
          </w:tcPr>
          <w:p w14:paraId="32C0AB7D"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567" w:type="dxa"/>
            <w:tcBorders>
              <w:bottom w:val="single" w:sz="4" w:space="0" w:color="000000"/>
            </w:tcBorders>
            <w:vAlign w:val="bottom"/>
          </w:tcPr>
          <w:p w14:paraId="247FA0C5"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4" w:space="0" w:color="000000"/>
            </w:tcBorders>
            <w:vAlign w:val="bottom"/>
          </w:tcPr>
          <w:p w14:paraId="4F476E8C"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0268C78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917F9C1" w14:textId="77777777">
        <w:trPr>
          <w:cantSplit/>
        </w:trPr>
        <w:tc>
          <w:tcPr>
            <w:tcW w:w="5726" w:type="dxa"/>
            <w:vAlign w:val="bottom"/>
          </w:tcPr>
          <w:p w14:paraId="3AC17B03" w14:textId="77777777" w:rsidR="008E5DE4" w:rsidRDefault="00780368">
            <w:pPr>
              <w:widowControl w:val="0"/>
              <w:spacing w:line="228" w:lineRule="auto"/>
              <w:ind w:left="113" w:right="-57" w:hanging="113"/>
            </w:pPr>
            <w:r>
              <w:t> </w:t>
            </w:r>
          </w:p>
        </w:tc>
        <w:tc>
          <w:tcPr>
            <w:tcW w:w="567" w:type="dxa"/>
            <w:vAlign w:val="bottom"/>
          </w:tcPr>
          <w:p w14:paraId="2B98F793"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265E96A0"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15C531E6"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41527742" w14:textId="77777777">
        <w:trPr>
          <w:cantSplit/>
        </w:trPr>
        <w:tc>
          <w:tcPr>
            <w:tcW w:w="5726" w:type="dxa"/>
            <w:vAlign w:val="bottom"/>
          </w:tcPr>
          <w:p w14:paraId="37D5399B"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Basic and diluted earnings/(loss) per ordinary share from discontinued operations (expressed in EUR per share)</w:t>
            </w:r>
          </w:p>
        </w:tc>
        <w:tc>
          <w:tcPr>
            <w:tcW w:w="567" w:type="dxa"/>
            <w:vAlign w:val="bottom"/>
          </w:tcPr>
          <w:p w14:paraId="0A0FB6A5"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17DE886C"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4F245EB7"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1A449D44" w14:textId="77777777">
        <w:trPr>
          <w:cantSplit/>
        </w:trPr>
        <w:tc>
          <w:tcPr>
            <w:tcW w:w="5726" w:type="dxa"/>
            <w:vAlign w:val="bottom"/>
          </w:tcPr>
          <w:p w14:paraId="13B60495"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w:t>
            </w:r>
          </w:p>
        </w:tc>
        <w:tc>
          <w:tcPr>
            <w:tcW w:w="567" w:type="dxa"/>
            <w:vAlign w:val="bottom"/>
          </w:tcPr>
          <w:p w14:paraId="48DA874B"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028526CF"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492E8F84"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211E97A6" w14:textId="77777777">
        <w:trPr>
          <w:cantSplit/>
        </w:trPr>
        <w:tc>
          <w:tcPr>
            <w:tcW w:w="5726" w:type="dxa"/>
            <w:vAlign w:val="bottom"/>
          </w:tcPr>
          <w:p w14:paraId="5551E9CE"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Basic and diluted earnings/(loss) per preference share from discontinued operations (expressed in EUR per share)</w:t>
            </w:r>
          </w:p>
        </w:tc>
        <w:tc>
          <w:tcPr>
            <w:tcW w:w="567" w:type="dxa"/>
            <w:vAlign w:val="bottom"/>
          </w:tcPr>
          <w:p w14:paraId="42837534"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vAlign w:val="bottom"/>
          </w:tcPr>
          <w:p w14:paraId="48341EE9"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1292B461"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7FC982BD" w14:textId="77777777">
        <w:trPr>
          <w:cantSplit/>
        </w:trPr>
        <w:tc>
          <w:tcPr>
            <w:tcW w:w="5726" w:type="dxa"/>
            <w:tcBorders>
              <w:bottom w:val="single" w:sz="12" w:space="0" w:color="000000"/>
            </w:tcBorders>
            <w:vAlign w:val="bottom"/>
          </w:tcPr>
          <w:p w14:paraId="2DAC8DCD" w14:textId="77777777" w:rsidR="008E5DE4" w:rsidRDefault="00780368">
            <w:pPr>
              <w:widowControl w:val="0"/>
              <w:spacing w:line="228" w:lineRule="auto"/>
              <w:ind w:left="113" w:right="-57" w:hanging="113"/>
            </w:pPr>
            <w:r>
              <w:t> </w:t>
            </w:r>
          </w:p>
        </w:tc>
        <w:tc>
          <w:tcPr>
            <w:tcW w:w="567" w:type="dxa"/>
            <w:tcBorders>
              <w:bottom w:val="single" w:sz="12" w:space="0" w:color="000000"/>
            </w:tcBorders>
            <w:vAlign w:val="bottom"/>
          </w:tcPr>
          <w:p w14:paraId="4FC8CAC9" w14:textId="77777777" w:rsidR="008E5DE4" w:rsidRDefault="008E5DE4">
            <w:pPr>
              <w:widowControl w:val="0"/>
              <w:pBdr>
                <w:top w:val="nil"/>
                <w:left w:val="nil"/>
                <w:bottom w:val="nil"/>
                <w:right w:val="nil"/>
                <w:between w:val="nil"/>
              </w:pBdr>
              <w:spacing w:line="228" w:lineRule="auto"/>
              <w:ind w:left="-57" w:right="-57"/>
              <w:jc w:val="center"/>
              <w:rPr>
                <w:color w:val="000000"/>
              </w:rPr>
            </w:pPr>
          </w:p>
        </w:tc>
        <w:tc>
          <w:tcPr>
            <w:tcW w:w="1531" w:type="dxa"/>
            <w:tcBorders>
              <w:bottom w:val="single" w:sz="12" w:space="0" w:color="000000"/>
            </w:tcBorders>
            <w:vAlign w:val="bottom"/>
          </w:tcPr>
          <w:p w14:paraId="65186EA3" w14:textId="77777777" w:rsidR="008E5DE4" w:rsidRDefault="008E5DE4">
            <w:pPr>
              <w:widowControl w:val="0"/>
              <w:pBdr>
                <w:top w:val="nil"/>
                <w:left w:val="nil"/>
                <w:bottom w:val="nil"/>
                <w:right w:val="nil"/>
                <w:between w:val="nil"/>
              </w:pBdr>
              <w:spacing w:line="228" w:lineRule="auto"/>
              <w:jc w:val="right"/>
              <w:rPr>
                <w:b/>
                <w:color w:val="000000"/>
                <w:u w:val="single"/>
              </w:rPr>
            </w:pPr>
          </w:p>
        </w:tc>
        <w:tc>
          <w:tcPr>
            <w:tcW w:w="1531" w:type="dxa"/>
            <w:tcBorders>
              <w:bottom w:val="single" w:sz="12" w:space="0" w:color="000000"/>
            </w:tcBorders>
            <w:vAlign w:val="bottom"/>
          </w:tcPr>
          <w:p w14:paraId="75595973" w14:textId="77777777" w:rsidR="008E5DE4" w:rsidRDefault="008E5DE4">
            <w:pPr>
              <w:widowControl w:val="0"/>
              <w:pBdr>
                <w:top w:val="nil"/>
                <w:left w:val="nil"/>
                <w:bottom w:val="nil"/>
                <w:right w:val="nil"/>
                <w:between w:val="nil"/>
              </w:pBdr>
              <w:spacing w:line="228" w:lineRule="auto"/>
              <w:jc w:val="right"/>
              <w:rPr>
                <w:b/>
                <w:color w:val="000000"/>
              </w:rPr>
            </w:pPr>
          </w:p>
        </w:tc>
      </w:tr>
    </w:tbl>
    <w:p w14:paraId="70A99780" w14:textId="3EAA26CC" w:rsidR="008E5DE4" w:rsidRDefault="00F93586" w:rsidP="007F183E">
      <w:pPr>
        <w:pStyle w:val="Heading1"/>
        <w:numPr>
          <w:ilvl w:val="0"/>
          <w:numId w:val="0"/>
        </w:numPr>
        <w:ind w:left="567" w:hanging="567"/>
      </w:pPr>
      <w:bookmarkStart w:id="69" w:name="_Toc149923641"/>
      <w:r>
        <w:lastRenderedPageBreak/>
        <w:t xml:space="preserve">42 </w:t>
      </w:r>
      <w:r>
        <w:tab/>
      </w:r>
      <w:r w:rsidR="00780368">
        <w:t>Significant Non-cash Investing and Financing Activities</w:t>
      </w:r>
      <w:bookmarkEnd w:id="69"/>
    </w:p>
    <w:p w14:paraId="3525F9AB" w14:textId="77777777" w:rsidR="008E5DE4" w:rsidRDefault="00780368">
      <w:pPr>
        <w:keepNext/>
        <w:keepLines/>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Investing transactions that did not require the use of cash and cash equivalents and were excluded from the consolidated statement of cash flows are as follows:</w:t>
      </w:r>
    </w:p>
    <w:tbl>
      <w:tblPr>
        <w:tblStyle w:val="afffffffffffc"/>
        <w:tblW w:w="9355" w:type="dxa"/>
        <w:tblLayout w:type="fixed"/>
        <w:tblLook w:val="0000" w:firstRow="0" w:lastRow="0" w:firstColumn="0" w:lastColumn="0" w:noHBand="0" w:noVBand="0"/>
      </w:tblPr>
      <w:tblGrid>
        <w:gridCol w:w="6293"/>
        <w:gridCol w:w="1531"/>
        <w:gridCol w:w="1531"/>
      </w:tblGrid>
      <w:tr w:rsidR="008E5DE4" w14:paraId="3BA1EDE4" w14:textId="77777777">
        <w:trPr>
          <w:cantSplit/>
        </w:trPr>
        <w:tc>
          <w:tcPr>
            <w:tcW w:w="6293" w:type="dxa"/>
            <w:tcBorders>
              <w:bottom w:val="single" w:sz="4" w:space="0" w:color="000000"/>
            </w:tcBorders>
            <w:vAlign w:val="bottom"/>
          </w:tcPr>
          <w:p w14:paraId="0CE7EBD1" w14:textId="77777777" w:rsidR="008E5DE4" w:rsidRDefault="00780368">
            <w:pPr>
              <w:keepNext/>
              <w:keepLines/>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531" w:type="dxa"/>
            <w:tcBorders>
              <w:bottom w:val="single" w:sz="4" w:space="0" w:color="000000"/>
            </w:tcBorders>
            <w:vAlign w:val="bottom"/>
          </w:tcPr>
          <w:p w14:paraId="384E6A79" w14:textId="2B077499" w:rsidR="008E5DE4" w:rsidRDefault="008614F8">
            <w:pPr>
              <w:keepNext/>
              <w:keepLines/>
              <w:widowControl w:val="0"/>
              <w:pBdr>
                <w:top w:val="nil"/>
                <w:left w:val="nil"/>
                <w:bottom w:val="nil"/>
                <w:right w:val="nil"/>
                <w:between w:val="nil"/>
              </w:pBdr>
              <w:spacing w:line="228" w:lineRule="auto"/>
              <w:jc w:val="right"/>
              <w:rPr>
                <w:b/>
                <w:color w:val="000000"/>
              </w:rPr>
            </w:pPr>
            <w:r>
              <w:rPr>
                <w:b/>
                <w:color w:val="000000"/>
              </w:rPr>
              <w:t>2025</w:t>
            </w:r>
          </w:p>
        </w:tc>
        <w:tc>
          <w:tcPr>
            <w:tcW w:w="1531" w:type="dxa"/>
            <w:tcBorders>
              <w:bottom w:val="single" w:sz="4" w:space="0" w:color="000000"/>
            </w:tcBorders>
            <w:vAlign w:val="bottom"/>
          </w:tcPr>
          <w:p w14:paraId="33576A9E" w14:textId="1C245FE9" w:rsidR="008E5DE4" w:rsidRDefault="00E06A92">
            <w:pPr>
              <w:keepNext/>
              <w:keepLines/>
              <w:widowControl w:val="0"/>
              <w:pBdr>
                <w:top w:val="nil"/>
                <w:left w:val="nil"/>
                <w:bottom w:val="nil"/>
                <w:right w:val="nil"/>
                <w:between w:val="nil"/>
              </w:pBdr>
              <w:spacing w:line="228" w:lineRule="auto"/>
              <w:jc w:val="right"/>
              <w:rPr>
                <w:b/>
                <w:color w:val="000000"/>
              </w:rPr>
            </w:pPr>
            <w:r>
              <w:rPr>
                <w:b/>
                <w:color w:val="000000"/>
              </w:rPr>
              <w:t>2024</w:t>
            </w:r>
          </w:p>
        </w:tc>
      </w:tr>
      <w:tr w:rsidR="008E5DE4" w14:paraId="0C2252D2" w14:textId="77777777">
        <w:trPr>
          <w:cantSplit/>
        </w:trPr>
        <w:tc>
          <w:tcPr>
            <w:tcW w:w="6293" w:type="dxa"/>
            <w:vAlign w:val="bottom"/>
          </w:tcPr>
          <w:p w14:paraId="4E300A09" w14:textId="77777777" w:rsidR="008E5DE4" w:rsidRDefault="00780368">
            <w:pPr>
              <w:keepNext/>
              <w:keepLines/>
              <w:widowControl w:val="0"/>
              <w:pBdr>
                <w:top w:val="nil"/>
                <w:left w:val="nil"/>
                <w:bottom w:val="nil"/>
                <w:right w:val="nil"/>
                <w:between w:val="nil"/>
              </w:pBdr>
              <w:spacing w:line="228" w:lineRule="auto"/>
              <w:ind w:left="113" w:right="-57" w:hanging="113"/>
              <w:rPr>
                <w:b/>
                <w:color w:val="000000"/>
              </w:rPr>
            </w:pPr>
            <w:r>
              <w:rPr>
                <w:b/>
                <w:color w:val="000000"/>
              </w:rPr>
              <w:t> </w:t>
            </w:r>
          </w:p>
        </w:tc>
        <w:tc>
          <w:tcPr>
            <w:tcW w:w="1531" w:type="dxa"/>
            <w:vAlign w:val="bottom"/>
          </w:tcPr>
          <w:p w14:paraId="23FDDCAE"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c>
          <w:tcPr>
            <w:tcW w:w="1531" w:type="dxa"/>
            <w:vAlign w:val="bottom"/>
          </w:tcPr>
          <w:p w14:paraId="5D07B7C8"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r>
      <w:tr w:rsidR="008E5DE4" w14:paraId="037F6796" w14:textId="77777777">
        <w:trPr>
          <w:cantSplit/>
        </w:trPr>
        <w:tc>
          <w:tcPr>
            <w:tcW w:w="6293" w:type="dxa"/>
            <w:vAlign w:val="bottom"/>
          </w:tcPr>
          <w:p w14:paraId="1BCFE9A1" w14:textId="77777777" w:rsidR="008E5DE4" w:rsidRDefault="00780368">
            <w:pPr>
              <w:keepNext/>
              <w:keepLines/>
              <w:widowControl w:val="0"/>
              <w:pBdr>
                <w:top w:val="nil"/>
                <w:left w:val="nil"/>
                <w:bottom w:val="nil"/>
                <w:right w:val="nil"/>
                <w:between w:val="nil"/>
              </w:pBdr>
              <w:spacing w:line="228" w:lineRule="auto"/>
              <w:ind w:left="113" w:right="-57" w:hanging="113"/>
              <w:rPr>
                <w:b/>
                <w:color w:val="000000"/>
              </w:rPr>
            </w:pPr>
            <w:r>
              <w:rPr>
                <w:b/>
                <w:color w:val="000000"/>
              </w:rPr>
              <w:t>Non-cash investing activities</w:t>
            </w:r>
          </w:p>
        </w:tc>
        <w:tc>
          <w:tcPr>
            <w:tcW w:w="1531" w:type="dxa"/>
            <w:vAlign w:val="bottom"/>
          </w:tcPr>
          <w:p w14:paraId="124286D4"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c>
          <w:tcPr>
            <w:tcW w:w="1531" w:type="dxa"/>
            <w:vAlign w:val="bottom"/>
          </w:tcPr>
          <w:p w14:paraId="1D3B357B"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r>
      <w:tr w:rsidR="008E5DE4" w14:paraId="14EB64F2" w14:textId="77777777">
        <w:trPr>
          <w:cantSplit/>
        </w:trPr>
        <w:tc>
          <w:tcPr>
            <w:tcW w:w="6293" w:type="dxa"/>
            <w:vAlign w:val="bottom"/>
          </w:tcPr>
          <w:p w14:paraId="49B585F0" w14:textId="35B35954" w:rsidR="008E5DE4" w:rsidRDefault="00780368">
            <w:pPr>
              <w:keepNext/>
              <w:keepLines/>
              <w:widowControl w:val="0"/>
              <w:pBdr>
                <w:top w:val="nil"/>
                <w:left w:val="nil"/>
                <w:bottom w:val="nil"/>
                <w:right w:val="nil"/>
                <w:between w:val="nil"/>
              </w:pBdr>
              <w:spacing w:line="228" w:lineRule="auto"/>
              <w:ind w:left="113" w:right="-57" w:hanging="113"/>
              <w:rPr>
                <w:color w:val="000000"/>
              </w:rPr>
            </w:pPr>
            <w:r>
              <w:rPr>
                <w:color w:val="000000"/>
              </w:rPr>
              <w:t xml:space="preserve">Acquisition of debt securities at FVOCI in exchange for ______ </w:t>
            </w:r>
          </w:p>
        </w:tc>
        <w:tc>
          <w:tcPr>
            <w:tcW w:w="1531" w:type="dxa"/>
            <w:vAlign w:val="bottom"/>
          </w:tcPr>
          <w:p w14:paraId="53E0149D" w14:textId="77777777" w:rsidR="008E5DE4" w:rsidRDefault="008E5DE4">
            <w:pPr>
              <w:keepNext/>
              <w:keepLines/>
              <w:widowControl w:val="0"/>
              <w:pBdr>
                <w:top w:val="nil"/>
                <w:left w:val="nil"/>
                <w:bottom w:val="nil"/>
                <w:right w:val="nil"/>
                <w:between w:val="nil"/>
              </w:pBdr>
              <w:spacing w:line="228" w:lineRule="auto"/>
              <w:jc w:val="right"/>
              <w:rPr>
                <w:color w:val="000000"/>
              </w:rPr>
            </w:pPr>
          </w:p>
        </w:tc>
        <w:tc>
          <w:tcPr>
            <w:tcW w:w="1531" w:type="dxa"/>
            <w:vAlign w:val="bottom"/>
          </w:tcPr>
          <w:p w14:paraId="5683AF5D" w14:textId="77777777" w:rsidR="008E5DE4" w:rsidRDefault="008E5DE4">
            <w:pPr>
              <w:keepNext/>
              <w:keepLines/>
              <w:widowControl w:val="0"/>
              <w:pBdr>
                <w:top w:val="nil"/>
                <w:left w:val="nil"/>
                <w:bottom w:val="nil"/>
                <w:right w:val="nil"/>
                <w:between w:val="nil"/>
              </w:pBdr>
              <w:spacing w:line="228" w:lineRule="auto"/>
              <w:jc w:val="right"/>
              <w:rPr>
                <w:color w:val="000000"/>
              </w:rPr>
            </w:pPr>
          </w:p>
        </w:tc>
      </w:tr>
      <w:tr w:rsidR="008E5DE4" w14:paraId="2A7CAF48" w14:textId="77777777">
        <w:trPr>
          <w:cantSplit/>
        </w:trPr>
        <w:tc>
          <w:tcPr>
            <w:tcW w:w="6293" w:type="dxa"/>
            <w:vAlign w:val="bottom"/>
          </w:tcPr>
          <w:p w14:paraId="258C4972" w14:textId="3C76C282" w:rsidR="008E5DE4" w:rsidRDefault="00780368">
            <w:pPr>
              <w:keepNext/>
              <w:keepLines/>
              <w:widowControl w:val="0"/>
              <w:pBdr>
                <w:top w:val="nil"/>
                <w:left w:val="nil"/>
                <w:bottom w:val="nil"/>
                <w:right w:val="nil"/>
                <w:between w:val="nil"/>
              </w:pBdr>
              <w:spacing w:line="228" w:lineRule="auto"/>
              <w:ind w:left="113" w:right="-57" w:hanging="113"/>
              <w:rPr>
                <w:color w:val="000000"/>
              </w:rPr>
            </w:pPr>
            <w:r>
              <w:rPr>
                <w:color w:val="000000"/>
              </w:rPr>
              <w:t xml:space="preserve">Proceeds from disposal [and redemption] of debt securities at FVOCI in the form of _____ </w:t>
            </w:r>
          </w:p>
        </w:tc>
        <w:tc>
          <w:tcPr>
            <w:tcW w:w="1531" w:type="dxa"/>
            <w:vAlign w:val="bottom"/>
          </w:tcPr>
          <w:p w14:paraId="11EA505E"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c>
          <w:tcPr>
            <w:tcW w:w="1531" w:type="dxa"/>
            <w:vAlign w:val="bottom"/>
          </w:tcPr>
          <w:p w14:paraId="6519D13B"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r>
      <w:tr w:rsidR="008E5DE4" w14:paraId="501EA8AF" w14:textId="77777777">
        <w:trPr>
          <w:cantSplit/>
        </w:trPr>
        <w:tc>
          <w:tcPr>
            <w:tcW w:w="6293" w:type="dxa"/>
            <w:vAlign w:val="bottom"/>
          </w:tcPr>
          <w:p w14:paraId="0C5D37BF" w14:textId="77777777" w:rsidR="008E5DE4" w:rsidRDefault="00780368">
            <w:pPr>
              <w:keepNext/>
              <w:keepLines/>
              <w:widowControl w:val="0"/>
              <w:pBdr>
                <w:top w:val="nil"/>
                <w:left w:val="nil"/>
                <w:bottom w:val="nil"/>
                <w:right w:val="nil"/>
                <w:between w:val="nil"/>
              </w:pBdr>
              <w:spacing w:line="228" w:lineRule="auto"/>
              <w:ind w:left="113" w:right="-57" w:hanging="113"/>
              <w:rPr>
                <w:color w:val="000000"/>
              </w:rPr>
            </w:pPr>
            <w:r>
              <w:rPr>
                <w:color w:val="000000"/>
              </w:rPr>
              <w:t>Acquisition of equity securities at FVOCI in exchange for ______</w:t>
            </w:r>
          </w:p>
        </w:tc>
        <w:tc>
          <w:tcPr>
            <w:tcW w:w="1531" w:type="dxa"/>
            <w:vAlign w:val="bottom"/>
          </w:tcPr>
          <w:p w14:paraId="6F306503"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c>
          <w:tcPr>
            <w:tcW w:w="1531" w:type="dxa"/>
            <w:vAlign w:val="bottom"/>
          </w:tcPr>
          <w:p w14:paraId="2EA020FF"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r>
      <w:tr w:rsidR="008E5DE4" w14:paraId="6D4BF9EC" w14:textId="77777777">
        <w:trPr>
          <w:cantSplit/>
        </w:trPr>
        <w:tc>
          <w:tcPr>
            <w:tcW w:w="6293" w:type="dxa"/>
            <w:vAlign w:val="bottom"/>
          </w:tcPr>
          <w:p w14:paraId="433A1771" w14:textId="77777777" w:rsidR="008E5DE4" w:rsidRDefault="00780368">
            <w:pPr>
              <w:keepNext/>
              <w:keepLines/>
              <w:widowControl w:val="0"/>
              <w:pBdr>
                <w:top w:val="nil"/>
                <w:left w:val="nil"/>
                <w:bottom w:val="nil"/>
                <w:right w:val="nil"/>
                <w:between w:val="nil"/>
              </w:pBdr>
              <w:spacing w:line="228" w:lineRule="auto"/>
              <w:ind w:left="113" w:right="-57" w:hanging="113"/>
              <w:rPr>
                <w:color w:val="000000"/>
              </w:rPr>
            </w:pPr>
            <w:r>
              <w:rPr>
                <w:color w:val="000000"/>
              </w:rPr>
              <w:t>Proceeds from disposal of equity securities at FVOCI in the form of _____</w:t>
            </w:r>
          </w:p>
        </w:tc>
        <w:tc>
          <w:tcPr>
            <w:tcW w:w="1531" w:type="dxa"/>
            <w:vAlign w:val="bottom"/>
          </w:tcPr>
          <w:p w14:paraId="26A22A09"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c>
          <w:tcPr>
            <w:tcW w:w="1531" w:type="dxa"/>
            <w:vAlign w:val="bottom"/>
          </w:tcPr>
          <w:p w14:paraId="363368E5" w14:textId="77777777" w:rsidR="008E5DE4" w:rsidRDefault="008E5DE4">
            <w:pPr>
              <w:keepNext/>
              <w:keepLines/>
              <w:widowControl w:val="0"/>
              <w:pBdr>
                <w:top w:val="nil"/>
                <w:left w:val="nil"/>
                <w:bottom w:val="nil"/>
                <w:right w:val="nil"/>
                <w:between w:val="nil"/>
              </w:pBdr>
              <w:spacing w:line="228" w:lineRule="auto"/>
              <w:jc w:val="right"/>
              <w:rPr>
                <w:b/>
                <w:color w:val="000000"/>
              </w:rPr>
            </w:pPr>
          </w:p>
        </w:tc>
      </w:tr>
      <w:tr w:rsidR="008E5DE4" w14:paraId="4D7829F5" w14:textId="77777777">
        <w:trPr>
          <w:cantSplit/>
        </w:trPr>
        <w:tc>
          <w:tcPr>
            <w:tcW w:w="6293" w:type="dxa"/>
            <w:vAlign w:val="bottom"/>
          </w:tcPr>
          <w:p w14:paraId="16BFBFA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Acquisition of property, plant and equipment in exchange for _____</w:t>
            </w:r>
          </w:p>
        </w:tc>
        <w:tc>
          <w:tcPr>
            <w:tcW w:w="1531" w:type="dxa"/>
            <w:vAlign w:val="bottom"/>
          </w:tcPr>
          <w:p w14:paraId="5529543F"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D91CD2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D317250" w14:textId="77777777">
        <w:trPr>
          <w:cantSplit/>
        </w:trPr>
        <w:tc>
          <w:tcPr>
            <w:tcW w:w="6293" w:type="dxa"/>
            <w:vAlign w:val="bottom"/>
          </w:tcPr>
          <w:p w14:paraId="15EE7F3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Proceeds from disposal of property, plant and equipment in the form of _____</w:t>
            </w:r>
          </w:p>
        </w:tc>
        <w:tc>
          <w:tcPr>
            <w:tcW w:w="1531" w:type="dxa"/>
            <w:vAlign w:val="bottom"/>
          </w:tcPr>
          <w:p w14:paraId="799300F9"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17993FC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153722E" w14:textId="77777777">
        <w:trPr>
          <w:cantSplit/>
        </w:trPr>
        <w:tc>
          <w:tcPr>
            <w:tcW w:w="6293" w:type="dxa"/>
            <w:vAlign w:val="bottom"/>
          </w:tcPr>
          <w:p w14:paraId="1CFB54E9"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Acquisition of right-of-use assets for ____</w:t>
            </w:r>
          </w:p>
        </w:tc>
        <w:tc>
          <w:tcPr>
            <w:tcW w:w="1531" w:type="dxa"/>
            <w:vAlign w:val="bottom"/>
          </w:tcPr>
          <w:p w14:paraId="70F52D35"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8D43DC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2D852E0" w14:textId="77777777">
        <w:trPr>
          <w:cantSplit/>
        </w:trPr>
        <w:tc>
          <w:tcPr>
            <w:tcW w:w="6293" w:type="dxa"/>
            <w:vAlign w:val="bottom"/>
          </w:tcPr>
          <w:p w14:paraId="09503BF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Acquisition of associates in exchange for _____</w:t>
            </w:r>
          </w:p>
        </w:tc>
        <w:tc>
          <w:tcPr>
            <w:tcW w:w="1531" w:type="dxa"/>
            <w:vAlign w:val="bottom"/>
          </w:tcPr>
          <w:p w14:paraId="6618F966"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67249E4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9D56F6E" w14:textId="77777777">
        <w:trPr>
          <w:cantSplit/>
        </w:trPr>
        <w:tc>
          <w:tcPr>
            <w:tcW w:w="6293" w:type="dxa"/>
            <w:vAlign w:val="bottom"/>
          </w:tcPr>
          <w:p w14:paraId="3FF0096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Proceeds from disposal of associates in the form of _____</w:t>
            </w:r>
          </w:p>
        </w:tc>
        <w:tc>
          <w:tcPr>
            <w:tcW w:w="1531" w:type="dxa"/>
            <w:vAlign w:val="bottom"/>
          </w:tcPr>
          <w:p w14:paraId="76A4BC4F"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8D90D0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6044F6B" w14:textId="77777777">
        <w:trPr>
          <w:cantSplit/>
        </w:trPr>
        <w:tc>
          <w:tcPr>
            <w:tcW w:w="6293" w:type="dxa"/>
            <w:vAlign w:val="bottom"/>
          </w:tcPr>
          <w:p w14:paraId="7C20970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Acquisition of investment properties in exchange for _____</w:t>
            </w:r>
          </w:p>
        </w:tc>
        <w:tc>
          <w:tcPr>
            <w:tcW w:w="1531" w:type="dxa"/>
            <w:vAlign w:val="bottom"/>
          </w:tcPr>
          <w:p w14:paraId="094F50CC"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2DB66D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15EDF3F" w14:textId="77777777">
        <w:trPr>
          <w:cantSplit/>
        </w:trPr>
        <w:tc>
          <w:tcPr>
            <w:tcW w:w="6293" w:type="dxa"/>
            <w:vAlign w:val="bottom"/>
          </w:tcPr>
          <w:p w14:paraId="1E67A08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Proceeds from disposal of investment properties in the form of ______</w:t>
            </w:r>
          </w:p>
        </w:tc>
        <w:tc>
          <w:tcPr>
            <w:tcW w:w="1531" w:type="dxa"/>
            <w:vAlign w:val="bottom"/>
          </w:tcPr>
          <w:p w14:paraId="0885263F"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7718E6E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7D4F4A0" w14:textId="77777777">
        <w:trPr>
          <w:cantSplit/>
        </w:trPr>
        <w:tc>
          <w:tcPr>
            <w:tcW w:w="6293" w:type="dxa"/>
            <w:vAlign w:val="bottom"/>
          </w:tcPr>
          <w:p w14:paraId="7FA737B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Acquisition of intangible assets in exchange for _____</w:t>
            </w:r>
          </w:p>
        </w:tc>
        <w:tc>
          <w:tcPr>
            <w:tcW w:w="1531" w:type="dxa"/>
            <w:vAlign w:val="bottom"/>
          </w:tcPr>
          <w:p w14:paraId="4D109043"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F7B4A1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6A55C45" w14:textId="77777777">
        <w:trPr>
          <w:cantSplit/>
        </w:trPr>
        <w:tc>
          <w:tcPr>
            <w:tcW w:w="6293" w:type="dxa"/>
            <w:vAlign w:val="bottom"/>
          </w:tcPr>
          <w:p w14:paraId="0FB9431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Proceeds from disposal of intangible assets in the form of _____</w:t>
            </w:r>
          </w:p>
        </w:tc>
        <w:tc>
          <w:tcPr>
            <w:tcW w:w="1531" w:type="dxa"/>
            <w:vAlign w:val="bottom"/>
          </w:tcPr>
          <w:p w14:paraId="514EABB5"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21E120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97159F4" w14:textId="77777777">
        <w:trPr>
          <w:cantSplit/>
        </w:trPr>
        <w:tc>
          <w:tcPr>
            <w:tcW w:w="6293" w:type="dxa"/>
            <w:vAlign w:val="bottom"/>
          </w:tcPr>
          <w:p w14:paraId="70D1ADD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Non-cash dividends received</w:t>
            </w:r>
          </w:p>
        </w:tc>
        <w:tc>
          <w:tcPr>
            <w:tcW w:w="1531" w:type="dxa"/>
            <w:vAlign w:val="bottom"/>
          </w:tcPr>
          <w:p w14:paraId="3706E4BA"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1E81825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A644D0F" w14:textId="77777777">
        <w:trPr>
          <w:cantSplit/>
        </w:trPr>
        <w:tc>
          <w:tcPr>
            <w:tcW w:w="6293" w:type="dxa"/>
            <w:vAlign w:val="bottom"/>
          </w:tcPr>
          <w:p w14:paraId="3C94E17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Recognition of finance lease receivables</w:t>
            </w:r>
          </w:p>
        </w:tc>
        <w:tc>
          <w:tcPr>
            <w:tcW w:w="1531" w:type="dxa"/>
            <w:vAlign w:val="bottom"/>
          </w:tcPr>
          <w:p w14:paraId="369BA8A4"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CA17DD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78782A9" w14:textId="77777777">
        <w:trPr>
          <w:cantSplit/>
        </w:trPr>
        <w:tc>
          <w:tcPr>
            <w:tcW w:w="6293" w:type="dxa"/>
            <w:tcBorders>
              <w:bottom w:val="single" w:sz="4" w:space="0" w:color="000000"/>
            </w:tcBorders>
            <w:vAlign w:val="bottom"/>
          </w:tcPr>
          <w:p w14:paraId="64ED10A3"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w:t>
            </w:r>
          </w:p>
        </w:tc>
        <w:tc>
          <w:tcPr>
            <w:tcW w:w="1531" w:type="dxa"/>
            <w:tcBorders>
              <w:bottom w:val="single" w:sz="4" w:space="0" w:color="000000"/>
            </w:tcBorders>
            <w:vAlign w:val="bottom"/>
          </w:tcPr>
          <w:p w14:paraId="75A43566"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37A1716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C4F7E89" w14:textId="77777777">
        <w:trPr>
          <w:cantSplit/>
        </w:trPr>
        <w:tc>
          <w:tcPr>
            <w:tcW w:w="6293" w:type="dxa"/>
            <w:vAlign w:val="bottom"/>
          </w:tcPr>
          <w:p w14:paraId="34AC60DE"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w:t>
            </w:r>
          </w:p>
        </w:tc>
        <w:tc>
          <w:tcPr>
            <w:tcW w:w="1531" w:type="dxa"/>
            <w:vAlign w:val="bottom"/>
          </w:tcPr>
          <w:p w14:paraId="540CE576"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DCBBE4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DBE9EBC" w14:textId="77777777">
        <w:trPr>
          <w:cantSplit/>
        </w:trPr>
        <w:tc>
          <w:tcPr>
            <w:tcW w:w="6293" w:type="dxa"/>
            <w:vAlign w:val="bottom"/>
          </w:tcPr>
          <w:p w14:paraId="70B63851"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Non-cash investing activities</w:t>
            </w:r>
          </w:p>
        </w:tc>
        <w:tc>
          <w:tcPr>
            <w:tcW w:w="1531" w:type="dxa"/>
            <w:vAlign w:val="bottom"/>
          </w:tcPr>
          <w:p w14:paraId="199B6082"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78D2100C"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442875F6" w14:textId="77777777">
        <w:trPr>
          <w:cantSplit/>
        </w:trPr>
        <w:tc>
          <w:tcPr>
            <w:tcW w:w="6293" w:type="dxa"/>
            <w:tcBorders>
              <w:bottom w:val="single" w:sz="12" w:space="0" w:color="000000"/>
            </w:tcBorders>
            <w:vAlign w:val="bottom"/>
          </w:tcPr>
          <w:p w14:paraId="04DC6E3D"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w:t>
            </w:r>
          </w:p>
        </w:tc>
        <w:tc>
          <w:tcPr>
            <w:tcW w:w="1531" w:type="dxa"/>
            <w:tcBorders>
              <w:bottom w:val="single" w:sz="12" w:space="0" w:color="000000"/>
            </w:tcBorders>
            <w:vAlign w:val="bottom"/>
          </w:tcPr>
          <w:p w14:paraId="177DC8C5"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12" w:space="0" w:color="000000"/>
            </w:tcBorders>
            <w:vAlign w:val="bottom"/>
          </w:tcPr>
          <w:p w14:paraId="4F8BE04B" w14:textId="77777777" w:rsidR="008E5DE4" w:rsidRDefault="008E5DE4">
            <w:pPr>
              <w:widowControl w:val="0"/>
              <w:pBdr>
                <w:top w:val="nil"/>
                <w:left w:val="nil"/>
                <w:bottom w:val="nil"/>
                <w:right w:val="nil"/>
                <w:between w:val="nil"/>
              </w:pBdr>
              <w:spacing w:line="228" w:lineRule="auto"/>
              <w:jc w:val="right"/>
              <w:rPr>
                <w:color w:val="000000"/>
              </w:rPr>
            </w:pPr>
          </w:p>
        </w:tc>
      </w:tr>
    </w:tbl>
    <w:p w14:paraId="5F423A9A" w14:textId="77777777"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Financing transactions that did not require the use of cash and cash equivalents and were excluded from the consolidated statement of cash flows are as follows:</w:t>
      </w:r>
    </w:p>
    <w:tbl>
      <w:tblPr>
        <w:tblStyle w:val="afffffffffffd"/>
        <w:tblW w:w="9355" w:type="dxa"/>
        <w:tblLayout w:type="fixed"/>
        <w:tblLook w:val="0000" w:firstRow="0" w:lastRow="0" w:firstColumn="0" w:lastColumn="0" w:noHBand="0" w:noVBand="0"/>
      </w:tblPr>
      <w:tblGrid>
        <w:gridCol w:w="6293"/>
        <w:gridCol w:w="1531"/>
        <w:gridCol w:w="1531"/>
      </w:tblGrid>
      <w:tr w:rsidR="008E5DE4" w14:paraId="773C70C6" w14:textId="77777777">
        <w:trPr>
          <w:cantSplit/>
        </w:trPr>
        <w:tc>
          <w:tcPr>
            <w:tcW w:w="6293" w:type="dxa"/>
            <w:tcBorders>
              <w:bottom w:val="single" w:sz="4" w:space="0" w:color="000000"/>
            </w:tcBorders>
            <w:vAlign w:val="bottom"/>
          </w:tcPr>
          <w:p w14:paraId="0ACF16CA"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In thousands of EUR</w:t>
            </w:r>
          </w:p>
        </w:tc>
        <w:tc>
          <w:tcPr>
            <w:tcW w:w="1531" w:type="dxa"/>
            <w:tcBorders>
              <w:bottom w:val="single" w:sz="4" w:space="0" w:color="000000"/>
            </w:tcBorders>
            <w:vAlign w:val="bottom"/>
          </w:tcPr>
          <w:p w14:paraId="45AA0BFD" w14:textId="607234B5" w:rsidR="008E5DE4" w:rsidRDefault="008614F8">
            <w:pPr>
              <w:widowControl w:val="0"/>
              <w:pBdr>
                <w:top w:val="nil"/>
                <w:left w:val="nil"/>
                <w:bottom w:val="nil"/>
                <w:right w:val="nil"/>
                <w:between w:val="nil"/>
              </w:pBdr>
              <w:spacing w:line="228" w:lineRule="auto"/>
              <w:jc w:val="right"/>
              <w:rPr>
                <w:b/>
                <w:color w:val="000000"/>
              </w:rPr>
            </w:pPr>
            <w:r>
              <w:rPr>
                <w:b/>
                <w:color w:val="000000"/>
              </w:rPr>
              <w:t>2025</w:t>
            </w:r>
          </w:p>
        </w:tc>
        <w:tc>
          <w:tcPr>
            <w:tcW w:w="1531" w:type="dxa"/>
            <w:tcBorders>
              <w:bottom w:val="single" w:sz="4" w:space="0" w:color="000000"/>
            </w:tcBorders>
            <w:vAlign w:val="bottom"/>
          </w:tcPr>
          <w:p w14:paraId="279AC320" w14:textId="415137FD" w:rsidR="008E5DE4" w:rsidRDefault="00E06A92">
            <w:pPr>
              <w:widowControl w:val="0"/>
              <w:pBdr>
                <w:top w:val="nil"/>
                <w:left w:val="nil"/>
                <w:bottom w:val="nil"/>
                <w:right w:val="nil"/>
                <w:between w:val="nil"/>
              </w:pBdr>
              <w:spacing w:line="228" w:lineRule="auto"/>
              <w:jc w:val="right"/>
              <w:rPr>
                <w:b/>
                <w:color w:val="000000"/>
              </w:rPr>
            </w:pPr>
            <w:r>
              <w:rPr>
                <w:b/>
                <w:color w:val="000000"/>
              </w:rPr>
              <w:t>2024</w:t>
            </w:r>
          </w:p>
        </w:tc>
      </w:tr>
      <w:tr w:rsidR="008E5DE4" w14:paraId="13B36312" w14:textId="77777777">
        <w:trPr>
          <w:cantSplit/>
        </w:trPr>
        <w:tc>
          <w:tcPr>
            <w:tcW w:w="6293" w:type="dxa"/>
            <w:tcBorders>
              <w:top w:val="single" w:sz="4" w:space="0" w:color="000000"/>
            </w:tcBorders>
            <w:vAlign w:val="bottom"/>
          </w:tcPr>
          <w:p w14:paraId="64BF4713"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w:t>
            </w:r>
          </w:p>
        </w:tc>
        <w:tc>
          <w:tcPr>
            <w:tcW w:w="1531" w:type="dxa"/>
            <w:tcBorders>
              <w:top w:val="single" w:sz="4" w:space="0" w:color="000000"/>
            </w:tcBorders>
            <w:vAlign w:val="bottom"/>
          </w:tcPr>
          <w:p w14:paraId="19169A84"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top w:val="single" w:sz="4" w:space="0" w:color="000000"/>
            </w:tcBorders>
            <w:vAlign w:val="bottom"/>
          </w:tcPr>
          <w:p w14:paraId="1332820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005EB1D" w14:textId="77777777">
        <w:trPr>
          <w:cantSplit/>
        </w:trPr>
        <w:tc>
          <w:tcPr>
            <w:tcW w:w="6293" w:type="dxa"/>
            <w:vAlign w:val="bottom"/>
          </w:tcPr>
          <w:p w14:paraId="63EC6E2C"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Non-cash financing activities</w:t>
            </w:r>
          </w:p>
        </w:tc>
        <w:tc>
          <w:tcPr>
            <w:tcW w:w="1531" w:type="dxa"/>
            <w:vAlign w:val="bottom"/>
          </w:tcPr>
          <w:p w14:paraId="004B7683"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6A0E41F9"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4149E135" w14:textId="77777777">
        <w:trPr>
          <w:cantSplit/>
        </w:trPr>
        <w:tc>
          <w:tcPr>
            <w:tcW w:w="6293" w:type="dxa"/>
            <w:vAlign w:val="bottom"/>
          </w:tcPr>
          <w:p w14:paraId="3E1990D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Proceeds from borrowings in the form of _____</w:t>
            </w:r>
          </w:p>
        </w:tc>
        <w:tc>
          <w:tcPr>
            <w:tcW w:w="1531" w:type="dxa"/>
            <w:vAlign w:val="bottom"/>
          </w:tcPr>
          <w:p w14:paraId="75D6C273"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AEEAC0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5B9AE8E" w14:textId="77777777">
        <w:trPr>
          <w:cantSplit/>
        </w:trPr>
        <w:tc>
          <w:tcPr>
            <w:tcW w:w="6293" w:type="dxa"/>
            <w:vAlign w:val="bottom"/>
          </w:tcPr>
          <w:p w14:paraId="4A517A3B" w14:textId="3310CAA5"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Repayment of borrowings in _____ </w:t>
            </w:r>
          </w:p>
        </w:tc>
        <w:tc>
          <w:tcPr>
            <w:tcW w:w="1531" w:type="dxa"/>
            <w:vAlign w:val="bottom"/>
          </w:tcPr>
          <w:p w14:paraId="32CB0A51"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325799F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14BC89A" w14:textId="77777777">
        <w:trPr>
          <w:cantSplit/>
        </w:trPr>
        <w:tc>
          <w:tcPr>
            <w:tcW w:w="6293" w:type="dxa"/>
            <w:vAlign w:val="bottom"/>
          </w:tcPr>
          <w:p w14:paraId="1F6A6F08"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Issue of ordinary shares in exchange for _____</w:t>
            </w:r>
          </w:p>
        </w:tc>
        <w:tc>
          <w:tcPr>
            <w:tcW w:w="1531" w:type="dxa"/>
            <w:vAlign w:val="bottom"/>
          </w:tcPr>
          <w:p w14:paraId="51323988"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0ED5F60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66DC320" w14:textId="77777777">
        <w:trPr>
          <w:cantSplit/>
        </w:trPr>
        <w:tc>
          <w:tcPr>
            <w:tcW w:w="6293" w:type="dxa"/>
            <w:vAlign w:val="bottom"/>
          </w:tcPr>
          <w:p w14:paraId="135B8AE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Issue of preference shares in exchange for _____</w:t>
            </w:r>
          </w:p>
        </w:tc>
        <w:tc>
          <w:tcPr>
            <w:tcW w:w="1531" w:type="dxa"/>
            <w:vAlign w:val="bottom"/>
          </w:tcPr>
          <w:p w14:paraId="39ED4472"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E67928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54E6BEA" w14:textId="77777777">
        <w:trPr>
          <w:cantSplit/>
        </w:trPr>
        <w:tc>
          <w:tcPr>
            <w:tcW w:w="6293" w:type="dxa"/>
            <w:vAlign w:val="bottom"/>
          </w:tcPr>
          <w:p w14:paraId="7BE37A4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Capital contributions from shareholders other than share issues in the form of _____</w:t>
            </w:r>
          </w:p>
        </w:tc>
        <w:tc>
          <w:tcPr>
            <w:tcW w:w="1531" w:type="dxa"/>
            <w:vAlign w:val="bottom"/>
          </w:tcPr>
          <w:p w14:paraId="60D756A7"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024228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927880C" w14:textId="77777777">
        <w:trPr>
          <w:cantSplit/>
        </w:trPr>
        <w:tc>
          <w:tcPr>
            <w:tcW w:w="6293" w:type="dxa"/>
            <w:vAlign w:val="bottom"/>
          </w:tcPr>
          <w:p w14:paraId="6C8ED10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Acquisition of treasury shares in exchange for _____</w:t>
            </w:r>
          </w:p>
        </w:tc>
        <w:tc>
          <w:tcPr>
            <w:tcW w:w="1531" w:type="dxa"/>
            <w:vAlign w:val="bottom"/>
          </w:tcPr>
          <w:p w14:paraId="3DF64F17"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2D44F2E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61E11A3" w14:textId="77777777">
        <w:trPr>
          <w:cantSplit/>
        </w:trPr>
        <w:tc>
          <w:tcPr>
            <w:tcW w:w="6293" w:type="dxa"/>
            <w:vAlign w:val="bottom"/>
          </w:tcPr>
          <w:p w14:paraId="0C9AFF1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Disposal of treasury shares for _____</w:t>
            </w:r>
          </w:p>
        </w:tc>
        <w:tc>
          <w:tcPr>
            <w:tcW w:w="1531" w:type="dxa"/>
            <w:vAlign w:val="bottom"/>
          </w:tcPr>
          <w:p w14:paraId="3137E653"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88BCC0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62BA21F" w14:textId="77777777">
        <w:trPr>
          <w:cantSplit/>
        </w:trPr>
        <w:tc>
          <w:tcPr>
            <w:tcW w:w="6293" w:type="dxa"/>
            <w:vAlign w:val="bottom"/>
          </w:tcPr>
          <w:p w14:paraId="3A977ACC"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xml:space="preserve">Transfer of _____ as a capital distribution to the shareholders other than a dividend </w:t>
            </w:r>
          </w:p>
        </w:tc>
        <w:tc>
          <w:tcPr>
            <w:tcW w:w="1531" w:type="dxa"/>
            <w:vAlign w:val="bottom"/>
          </w:tcPr>
          <w:p w14:paraId="604EC31E"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48A03C0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DAFCFA3" w14:textId="77777777">
        <w:trPr>
          <w:cantSplit/>
        </w:trPr>
        <w:tc>
          <w:tcPr>
            <w:tcW w:w="6293" w:type="dxa"/>
            <w:tcBorders>
              <w:bottom w:val="single" w:sz="4" w:space="0" w:color="000000"/>
            </w:tcBorders>
            <w:vAlign w:val="bottom"/>
          </w:tcPr>
          <w:p w14:paraId="12F76757"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xml:space="preserve"> </w:t>
            </w:r>
          </w:p>
        </w:tc>
        <w:tc>
          <w:tcPr>
            <w:tcW w:w="1531" w:type="dxa"/>
            <w:tcBorders>
              <w:bottom w:val="single" w:sz="4" w:space="0" w:color="000000"/>
            </w:tcBorders>
            <w:vAlign w:val="bottom"/>
          </w:tcPr>
          <w:p w14:paraId="3844338C"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tcBorders>
              <w:bottom w:val="single" w:sz="4" w:space="0" w:color="000000"/>
            </w:tcBorders>
            <w:vAlign w:val="bottom"/>
          </w:tcPr>
          <w:p w14:paraId="2B7A4B8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95BDA01" w14:textId="77777777">
        <w:trPr>
          <w:cantSplit/>
        </w:trPr>
        <w:tc>
          <w:tcPr>
            <w:tcW w:w="6293" w:type="dxa"/>
            <w:vAlign w:val="bottom"/>
          </w:tcPr>
          <w:p w14:paraId="2CBD5B09"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w:t>
            </w:r>
          </w:p>
        </w:tc>
        <w:tc>
          <w:tcPr>
            <w:tcW w:w="1531" w:type="dxa"/>
            <w:vAlign w:val="bottom"/>
          </w:tcPr>
          <w:p w14:paraId="775A324C" w14:textId="77777777" w:rsidR="008E5DE4" w:rsidRDefault="008E5DE4">
            <w:pPr>
              <w:widowControl w:val="0"/>
              <w:pBdr>
                <w:top w:val="nil"/>
                <w:left w:val="nil"/>
                <w:bottom w:val="nil"/>
                <w:right w:val="nil"/>
                <w:between w:val="nil"/>
              </w:pBdr>
              <w:spacing w:line="228" w:lineRule="auto"/>
              <w:jc w:val="right"/>
              <w:rPr>
                <w:color w:val="000000"/>
              </w:rPr>
            </w:pPr>
          </w:p>
        </w:tc>
        <w:tc>
          <w:tcPr>
            <w:tcW w:w="1531" w:type="dxa"/>
            <w:vAlign w:val="bottom"/>
          </w:tcPr>
          <w:p w14:paraId="5A48792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66CB3C2" w14:textId="77777777">
        <w:trPr>
          <w:cantSplit/>
        </w:trPr>
        <w:tc>
          <w:tcPr>
            <w:tcW w:w="6293" w:type="dxa"/>
            <w:vAlign w:val="bottom"/>
          </w:tcPr>
          <w:p w14:paraId="43C72B3C"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Non-cash financing activities</w:t>
            </w:r>
          </w:p>
        </w:tc>
        <w:tc>
          <w:tcPr>
            <w:tcW w:w="1531" w:type="dxa"/>
            <w:vAlign w:val="bottom"/>
          </w:tcPr>
          <w:p w14:paraId="4AD27297"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vAlign w:val="bottom"/>
          </w:tcPr>
          <w:p w14:paraId="0682E3E0"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0B1665C6" w14:textId="77777777">
        <w:trPr>
          <w:cantSplit/>
        </w:trPr>
        <w:tc>
          <w:tcPr>
            <w:tcW w:w="6293" w:type="dxa"/>
            <w:tcBorders>
              <w:bottom w:val="single" w:sz="12" w:space="0" w:color="000000"/>
            </w:tcBorders>
            <w:vAlign w:val="bottom"/>
          </w:tcPr>
          <w:p w14:paraId="7338F9D5"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 </w:t>
            </w:r>
          </w:p>
        </w:tc>
        <w:tc>
          <w:tcPr>
            <w:tcW w:w="1531" w:type="dxa"/>
            <w:tcBorders>
              <w:bottom w:val="single" w:sz="12" w:space="0" w:color="000000"/>
            </w:tcBorders>
            <w:vAlign w:val="bottom"/>
          </w:tcPr>
          <w:p w14:paraId="6BD550D8" w14:textId="77777777" w:rsidR="008E5DE4" w:rsidRDefault="008E5DE4">
            <w:pPr>
              <w:widowControl w:val="0"/>
              <w:pBdr>
                <w:top w:val="nil"/>
                <w:left w:val="nil"/>
                <w:bottom w:val="nil"/>
                <w:right w:val="nil"/>
                <w:between w:val="nil"/>
              </w:pBdr>
              <w:spacing w:line="228" w:lineRule="auto"/>
              <w:jc w:val="right"/>
              <w:rPr>
                <w:b/>
                <w:color w:val="000000"/>
              </w:rPr>
            </w:pPr>
          </w:p>
        </w:tc>
        <w:tc>
          <w:tcPr>
            <w:tcW w:w="1531" w:type="dxa"/>
            <w:tcBorders>
              <w:bottom w:val="single" w:sz="12" w:space="0" w:color="000000"/>
            </w:tcBorders>
            <w:vAlign w:val="bottom"/>
          </w:tcPr>
          <w:p w14:paraId="718B6108" w14:textId="77777777" w:rsidR="008E5DE4" w:rsidRDefault="008E5DE4">
            <w:pPr>
              <w:widowControl w:val="0"/>
              <w:pBdr>
                <w:top w:val="nil"/>
                <w:left w:val="nil"/>
                <w:bottom w:val="nil"/>
                <w:right w:val="nil"/>
                <w:between w:val="nil"/>
              </w:pBdr>
              <w:spacing w:line="228" w:lineRule="auto"/>
              <w:jc w:val="right"/>
              <w:rPr>
                <w:b/>
                <w:color w:val="000000"/>
              </w:rPr>
            </w:pPr>
          </w:p>
        </w:tc>
      </w:tr>
    </w:tbl>
    <w:p w14:paraId="754B05C3" w14:textId="77777777" w:rsidR="008E5DE4" w:rsidRDefault="00780368">
      <w:pPr>
        <w:widowControl w:val="0"/>
        <w:pBdr>
          <w:top w:val="nil"/>
          <w:left w:val="nil"/>
          <w:bottom w:val="nil"/>
          <w:right w:val="nil"/>
          <w:between w:val="nil"/>
        </w:pBdr>
        <w:spacing w:before="200" w:after="200" w:line="228" w:lineRule="auto"/>
        <w:jc w:val="both"/>
        <w:rPr>
          <w:color w:val="000000"/>
          <w:sz w:val="20"/>
          <w:szCs w:val="20"/>
        </w:rPr>
      </w:pPr>
      <w:bookmarkStart w:id="70" w:name="_heading=h.25b2l0r" w:colFirst="0" w:colLast="0"/>
      <w:bookmarkEnd w:id="70"/>
      <w:r>
        <w:rPr>
          <w:color w:val="000000"/>
          <w:sz w:val="20"/>
          <w:szCs w:val="20"/>
        </w:rPr>
        <w:t>Further non-cash transactions are presented in Note 50 which includes details of assets acquired and liabilities assumed in business combinations and in Note 25 which includes details of assets and liabilities of subsidiaries disposed of.</w:t>
      </w:r>
    </w:p>
    <w:p w14:paraId="5A2909D1" w14:textId="2FB79EEE" w:rsidR="008E5DE4" w:rsidRDefault="00F93586" w:rsidP="007F183E">
      <w:pPr>
        <w:pStyle w:val="Heading1"/>
        <w:numPr>
          <w:ilvl w:val="0"/>
          <w:numId w:val="0"/>
        </w:numPr>
        <w:ind w:left="567" w:hanging="567"/>
      </w:pPr>
      <w:bookmarkStart w:id="71" w:name="_Toc149923642"/>
      <w:r>
        <w:t xml:space="preserve">43 </w:t>
      </w:r>
      <w:r>
        <w:tab/>
      </w:r>
      <w:r w:rsidR="00780368">
        <w:t>Contingencies and Commitments</w:t>
      </w:r>
      <w:bookmarkEnd w:id="71"/>
    </w:p>
    <w:p w14:paraId="736A7A0E" w14:textId="6CB7131A" w:rsidR="008E5DE4" w:rsidRDefault="00090491">
      <w:pPr>
        <w:widowControl w:val="0"/>
        <w:pBdr>
          <w:top w:val="nil"/>
          <w:left w:val="nil"/>
          <w:bottom w:val="nil"/>
          <w:right w:val="nil"/>
          <w:between w:val="nil"/>
        </w:pBdr>
        <w:shd w:val="clear" w:color="auto" w:fill="DBE5F1"/>
        <w:spacing w:before="200" w:after="200"/>
        <w:jc w:val="both"/>
        <w:rPr>
          <w:b/>
          <w:i/>
          <w:color w:val="000000"/>
          <w:sz w:val="20"/>
          <w:szCs w:val="20"/>
        </w:rPr>
      </w:pPr>
      <w:r>
        <w:rPr>
          <w:b/>
          <w:i/>
          <w:color w:val="000000"/>
          <w:sz w:val="20"/>
          <w:szCs w:val="20"/>
        </w:rPr>
        <w:t>Material accounting policy information</w:t>
      </w:r>
    </w:p>
    <w:p w14:paraId="69FF155B"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43</w:t>
      </w:r>
      <w:r>
        <w:rPr>
          <w:b/>
          <w:color w:val="000000"/>
          <w:sz w:val="20"/>
          <w:szCs w:val="20"/>
        </w:rPr>
        <w:tab/>
        <w:t>Contingencies and Commitments (Continued)</w:t>
      </w:r>
    </w:p>
    <w:p w14:paraId="79E3284F" w14:textId="77777777" w:rsidR="008E5DE4" w:rsidRDefault="00780368">
      <w:pPr>
        <w:widowControl w:val="0"/>
        <w:pBdr>
          <w:top w:val="nil"/>
          <w:left w:val="nil"/>
          <w:bottom w:val="nil"/>
          <w:right w:val="nil"/>
          <w:between w:val="nil"/>
        </w:pBdr>
        <w:shd w:val="clear" w:color="auto" w:fill="DBE5F1"/>
        <w:spacing w:before="200" w:after="200"/>
        <w:jc w:val="both"/>
        <w:rPr>
          <w:color w:val="000000"/>
          <w:sz w:val="20"/>
          <w:szCs w:val="20"/>
        </w:rPr>
      </w:pPr>
      <w:r>
        <w:rPr>
          <w:b/>
          <w:i/>
          <w:color w:val="000000"/>
          <w:sz w:val="20"/>
          <w:szCs w:val="20"/>
        </w:rPr>
        <w:t>Financial guarantees.</w:t>
      </w:r>
      <w:r>
        <w:rPr>
          <w:color w:val="000000"/>
          <w:sz w:val="20"/>
          <w:szCs w:val="20"/>
        </w:rPr>
        <w:t xml:space="preserve"> They require the Group to make specified payments to reimburse the holder of the guarantee for a loss it incurs because a specified debtor fails to make payment when due in accordance with the original or modified terms of a debt instrument. Financial guarantees are initially recognised at their fair value, which is normally evidenced by the amount of fees received. This amount is amortised on a straight-line basis over the life of the guarantee. At the end of each reporting period, the guarantees are measured at the higher of (</w:t>
      </w:r>
      <w:proofErr w:type="spellStart"/>
      <w:r>
        <w:rPr>
          <w:color w:val="000000"/>
          <w:sz w:val="20"/>
          <w:szCs w:val="20"/>
        </w:rPr>
        <w:t>i</w:t>
      </w:r>
      <w:proofErr w:type="spellEnd"/>
      <w:r>
        <w:rPr>
          <w:color w:val="000000"/>
          <w:sz w:val="20"/>
          <w:szCs w:val="20"/>
        </w:rPr>
        <w:t>) the amount of the loss allowance for the guaranteed exposure determined based on the expected loss model and (ii) the remaining unamortised balance of the amount at initial recognition. In addition, an ECL loss allowance is recognised for fees receivable that are recognised in the consolidated statement of financial position as an asset.</w:t>
      </w:r>
    </w:p>
    <w:p w14:paraId="1A8E6041" w14:textId="77777777" w:rsidR="008E5DE4" w:rsidRDefault="008E5DE4">
      <w:pPr>
        <w:widowControl w:val="0"/>
        <w:pBdr>
          <w:top w:val="nil"/>
          <w:left w:val="nil"/>
          <w:bottom w:val="nil"/>
          <w:right w:val="nil"/>
          <w:between w:val="nil"/>
        </w:pBdr>
        <w:shd w:val="clear" w:color="auto" w:fill="DBE5F1"/>
        <w:spacing w:before="200" w:after="200"/>
        <w:jc w:val="both"/>
        <w:rPr>
          <w:b/>
          <w:i/>
          <w:color w:val="000000"/>
          <w:sz w:val="20"/>
          <w:szCs w:val="20"/>
        </w:rPr>
      </w:pPr>
    </w:p>
    <w:p w14:paraId="630F5356" w14:textId="77777777" w:rsidR="008E5DE4" w:rsidRDefault="008E5DE4"/>
    <w:tbl>
      <w:tblPr>
        <w:tblStyle w:val="afffffffffffe"/>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09BA2F23" w14:textId="77777777">
        <w:tc>
          <w:tcPr>
            <w:tcW w:w="9571" w:type="dxa"/>
          </w:tcPr>
          <w:p w14:paraId="5DFCED25" w14:textId="77777777" w:rsidR="008E5DE4" w:rsidRDefault="00780368">
            <w:pPr>
              <w:pBdr>
                <w:top w:val="nil"/>
                <w:left w:val="nil"/>
                <w:bottom w:val="nil"/>
                <w:right w:val="nil"/>
                <w:between w:val="nil"/>
              </w:pBdr>
              <w:spacing w:after="240"/>
              <w:rPr>
                <w:b/>
                <w:i/>
                <w:color w:val="000000"/>
                <w:sz w:val="20"/>
                <w:szCs w:val="20"/>
              </w:rPr>
            </w:pPr>
            <w:r>
              <w:rPr>
                <w:b/>
                <w:i/>
                <w:color w:val="000000"/>
                <w:sz w:val="20"/>
                <w:szCs w:val="20"/>
              </w:rPr>
              <w:t>Critical Accounting Estimates and Judgments in Applying Accounting Policies</w:t>
            </w:r>
          </w:p>
          <w:p w14:paraId="4B229BA7" w14:textId="77777777" w:rsidR="008E5DE4" w:rsidRDefault="00780368">
            <w:pPr>
              <w:widowControl w:val="0"/>
              <w:pBdr>
                <w:top w:val="nil"/>
                <w:left w:val="nil"/>
                <w:bottom w:val="nil"/>
                <w:right w:val="nil"/>
                <w:between w:val="nil"/>
              </w:pBdr>
              <w:spacing w:before="200" w:after="200" w:line="228" w:lineRule="auto"/>
              <w:jc w:val="both"/>
              <w:rPr>
                <w:b/>
                <w:i/>
                <w:color w:val="000000"/>
                <w:sz w:val="20"/>
                <w:szCs w:val="20"/>
              </w:rPr>
            </w:pPr>
            <w:r>
              <w:rPr>
                <w:b/>
                <w:i/>
                <w:color w:val="0000FF"/>
                <w:sz w:val="20"/>
                <w:szCs w:val="20"/>
              </w:rPr>
              <w:t xml:space="preserve">[Tax legislation. </w:t>
            </w:r>
            <w:r>
              <w:rPr>
                <w:color w:val="0000FF"/>
                <w:sz w:val="20"/>
                <w:szCs w:val="20"/>
              </w:rPr>
              <w:t xml:space="preserve"> [Country’s] tax, currency and customs legislation is subject to varying interpretations. Refer to Note</w:t>
            </w:r>
            <w:r>
              <w:rPr>
                <w:color w:val="000000"/>
                <w:sz w:val="20"/>
                <w:szCs w:val="20"/>
              </w:rPr>
              <w:t xml:space="preserve"> </w:t>
            </w:r>
            <w:r>
              <w:rPr>
                <w:color w:val="0000FF"/>
                <w:sz w:val="20"/>
                <w:szCs w:val="20"/>
              </w:rPr>
              <w:t>43.]</w:t>
            </w:r>
          </w:p>
        </w:tc>
      </w:tr>
    </w:tbl>
    <w:p w14:paraId="46AF008C" w14:textId="77777777" w:rsidR="008E5DE4" w:rsidRDefault="008E5DE4">
      <w:pPr>
        <w:widowControl w:val="0"/>
        <w:pBdr>
          <w:top w:val="nil"/>
          <w:left w:val="nil"/>
          <w:bottom w:val="nil"/>
          <w:right w:val="nil"/>
          <w:between w:val="nil"/>
        </w:pBdr>
        <w:spacing w:before="200" w:after="200" w:line="228" w:lineRule="auto"/>
        <w:jc w:val="both"/>
        <w:rPr>
          <w:b/>
          <w:i/>
          <w:color w:val="000000"/>
          <w:sz w:val="20"/>
          <w:szCs w:val="20"/>
        </w:rPr>
      </w:pPr>
    </w:p>
    <w:p w14:paraId="42B4C27E" w14:textId="77777777"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b/>
          <w:i/>
          <w:color w:val="000000"/>
          <w:sz w:val="20"/>
          <w:szCs w:val="20"/>
        </w:rPr>
        <w:t>Legal proceedings</w:t>
      </w:r>
      <w:r>
        <w:rPr>
          <w:b/>
          <w:color w:val="000000"/>
          <w:sz w:val="20"/>
          <w:szCs w:val="20"/>
        </w:rPr>
        <w:t xml:space="preserve">. </w:t>
      </w:r>
      <w:r>
        <w:rPr>
          <w:color w:val="000000"/>
          <w:sz w:val="20"/>
          <w:szCs w:val="20"/>
        </w:rPr>
        <w:t xml:space="preserve">From time to time and in the normal course of business, claims against the Group may be received. </w:t>
      </w:r>
      <w:proofErr w:type="gramStart"/>
      <w:r>
        <w:rPr>
          <w:color w:val="000000"/>
          <w:sz w:val="20"/>
          <w:szCs w:val="20"/>
        </w:rPr>
        <w:t>On the basis of</w:t>
      </w:r>
      <w:proofErr w:type="gramEnd"/>
      <w:r>
        <w:rPr>
          <w:color w:val="000000"/>
          <w:sz w:val="20"/>
          <w:szCs w:val="20"/>
        </w:rPr>
        <w:t xml:space="preserve"> its own estimates </w:t>
      </w:r>
      <w:r>
        <w:rPr>
          <w:color w:val="0000FF"/>
          <w:sz w:val="20"/>
          <w:szCs w:val="20"/>
        </w:rPr>
        <w:t>[and both internal and external professional advice]</w:t>
      </w:r>
      <w:r>
        <w:rPr>
          <w:color w:val="000000"/>
          <w:sz w:val="20"/>
          <w:szCs w:val="20"/>
        </w:rPr>
        <w:t xml:space="preserve">, management is of the opinion that no material losses will be incurred in respect of claims </w:t>
      </w:r>
      <w:proofErr w:type="gramStart"/>
      <w:r>
        <w:rPr>
          <w:color w:val="000000"/>
          <w:sz w:val="20"/>
          <w:szCs w:val="20"/>
        </w:rPr>
        <w:t>in excess of</w:t>
      </w:r>
      <w:proofErr w:type="gramEnd"/>
      <w:r>
        <w:rPr>
          <w:color w:val="000000"/>
          <w:sz w:val="20"/>
          <w:szCs w:val="20"/>
        </w:rPr>
        <w:t xml:space="preserve"> provisions that have been made in these consolidated financial statements. </w:t>
      </w:r>
    </w:p>
    <w:p w14:paraId="2B962820" w14:textId="6D51E87D"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w:t>
      </w:r>
      <w:proofErr w:type="gramStart"/>
      <w:r>
        <w:rPr>
          <w:color w:val="0000FF"/>
          <w:sz w:val="20"/>
          <w:szCs w:val="20"/>
        </w:rPr>
        <w:t>At</w:t>
      </w:r>
      <w:proofErr w:type="gramEnd"/>
      <w:r>
        <w:rPr>
          <w:color w:val="0000FF"/>
          <w:sz w:val="20"/>
          <w:szCs w:val="20"/>
        </w:rPr>
        <w:t xml:space="preserve"> 31 December </w:t>
      </w:r>
      <w:r w:rsidR="008614F8">
        <w:rPr>
          <w:color w:val="0000FF"/>
          <w:sz w:val="20"/>
          <w:szCs w:val="20"/>
        </w:rPr>
        <w:t>2025</w:t>
      </w:r>
      <w:r>
        <w:rPr>
          <w:color w:val="0000FF"/>
          <w:sz w:val="20"/>
          <w:szCs w:val="20"/>
        </w:rPr>
        <w:t xml:space="preserve"> the Group was engaged in litigation proceedings with ______ in relation to _____. No provision has been made as the Group’s management believes that it is not likely that any significant loss will arise.]</w:t>
      </w:r>
    </w:p>
    <w:p w14:paraId="3A8E30FC"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43</w:t>
      </w:r>
      <w:r>
        <w:rPr>
          <w:b/>
          <w:color w:val="000000"/>
          <w:sz w:val="20"/>
          <w:szCs w:val="20"/>
        </w:rPr>
        <w:tab/>
        <w:t>Contingencies and Commitments (Continued)</w:t>
      </w:r>
    </w:p>
    <w:p w14:paraId="7BFA19D2" w14:textId="7B89630A"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w:t>
      </w:r>
      <w:proofErr w:type="gramStart"/>
      <w:r>
        <w:rPr>
          <w:color w:val="0000FF"/>
          <w:sz w:val="20"/>
          <w:szCs w:val="20"/>
        </w:rPr>
        <w:t>At</w:t>
      </w:r>
      <w:proofErr w:type="gramEnd"/>
      <w:r>
        <w:rPr>
          <w:color w:val="0000FF"/>
          <w:sz w:val="20"/>
          <w:szCs w:val="20"/>
        </w:rPr>
        <w:t xml:space="preserve"> 31 December </w:t>
      </w:r>
      <w:r w:rsidR="008614F8">
        <w:rPr>
          <w:color w:val="0000FF"/>
          <w:sz w:val="20"/>
          <w:szCs w:val="20"/>
        </w:rPr>
        <w:t>2025</w:t>
      </w:r>
      <w:r>
        <w:rPr>
          <w:color w:val="0000FF"/>
          <w:sz w:val="20"/>
          <w:szCs w:val="20"/>
        </w:rPr>
        <w:t xml:space="preserve"> the Group was engaged in litigation proceedings with _____ in relation to _____. A provision of EUR _____ thousand has been made as professional advice has indicated that it is likely that a loss will arise. Refer to Note 33</w:t>
      </w:r>
      <w:proofErr w:type="gramStart"/>
      <w:r>
        <w:rPr>
          <w:color w:val="0000FF"/>
          <w:sz w:val="20"/>
          <w:szCs w:val="20"/>
        </w:rPr>
        <w:t>. ]</w:t>
      </w:r>
      <w:proofErr w:type="gramEnd"/>
    </w:p>
    <w:p w14:paraId="44BD8B2B" w14:textId="4DF02420"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Tax contingencies. </w:t>
      </w:r>
      <w:r>
        <w:rPr>
          <w:color w:val="0000FF"/>
          <w:sz w:val="20"/>
          <w:szCs w:val="20"/>
        </w:rPr>
        <w:t xml:space="preserve"> [Country]</w:t>
      </w:r>
      <w:r>
        <w:rPr>
          <w:color w:val="000000"/>
          <w:sz w:val="20"/>
          <w:szCs w:val="20"/>
        </w:rPr>
        <w:t xml:space="preserve"> tax </w:t>
      </w:r>
      <w:r>
        <w:rPr>
          <w:color w:val="0000FF"/>
          <w:sz w:val="20"/>
          <w:szCs w:val="20"/>
        </w:rPr>
        <w:t>[and customs]</w:t>
      </w:r>
      <w:r>
        <w:rPr>
          <w:color w:val="000000"/>
          <w:sz w:val="20"/>
          <w:szCs w:val="20"/>
        </w:rPr>
        <w:t xml:space="preserve"> legislation which was enacted or substantively enacted at the end of the reporting period, is subject to varying interpretations when being applied to the transactions and activities of the Group. Consequently, tax positions taken by management and the formal documentation supporting the tax positions may be challenged tax authorities. </w:t>
      </w:r>
      <w:r>
        <w:rPr>
          <w:color w:val="0000FF"/>
          <w:sz w:val="20"/>
          <w:szCs w:val="20"/>
        </w:rPr>
        <w:t xml:space="preserve"> [Country] tax administration is gradually strengthening, including the fact that there is a higher risk of review of tax transactions without a clear business purpose or with tax incompliant counterparties</w:t>
      </w:r>
      <w:r>
        <w:rPr>
          <w:color w:val="000000"/>
          <w:sz w:val="20"/>
          <w:szCs w:val="20"/>
        </w:rPr>
        <w:t xml:space="preserve">. Fiscal periods remain open to review by the authorities in respect of taxes for </w:t>
      </w:r>
      <w:r w:rsidRPr="00FA3B9A">
        <w:rPr>
          <w:color w:val="0000FF"/>
          <w:sz w:val="20"/>
          <w:szCs w:val="20"/>
        </w:rPr>
        <w:t xml:space="preserve">[ </w:t>
      </w:r>
      <w:proofErr w:type="gramStart"/>
      <w:r w:rsidRPr="00FA3B9A">
        <w:rPr>
          <w:color w:val="0000FF"/>
          <w:sz w:val="20"/>
          <w:szCs w:val="20"/>
        </w:rPr>
        <w:t xml:space="preserve">  ]</w:t>
      </w:r>
      <w:proofErr w:type="gramEnd"/>
      <w:r w:rsidRPr="00FA3B9A">
        <w:rPr>
          <w:color w:val="0000FF"/>
          <w:sz w:val="20"/>
          <w:szCs w:val="20"/>
        </w:rPr>
        <w:t xml:space="preserve"> </w:t>
      </w:r>
      <w:r>
        <w:rPr>
          <w:color w:val="000000"/>
          <w:sz w:val="20"/>
          <w:szCs w:val="20"/>
        </w:rPr>
        <w:t>calendar years preceding the year when decisions about the review was made. Under certain circumstances reviews may cover longer periods.</w:t>
      </w:r>
    </w:p>
    <w:p w14:paraId="3690D075" w14:textId="5CBA2A19" w:rsidR="008E5DE4" w:rsidRDefault="00780368">
      <w:pPr>
        <w:widowControl w:val="0"/>
        <w:spacing w:before="200" w:after="200"/>
        <w:jc w:val="both"/>
        <w:rPr>
          <w:color w:val="000000"/>
          <w:sz w:val="20"/>
          <w:szCs w:val="20"/>
        </w:rPr>
      </w:pPr>
      <w:r>
        <w:rPr>
          <w:color w:val="0000FF"/>
          <w:sz w:val="20"/>
          <w:szCs w:val="20"/>
        </w:rPr>
        <w:t>[Country]</w:t>
      </w:r>
      <w:r>
        <w:rPr>
          <w:color w:val="000000"/>
          <w:sz w:val="20"/>
          <w:szCs w:val="20"/>
        </w:rPr>
        <w:t xml:space="preserve"> transfer pricing (TP) legislation is generally aligned with the international TP principles developed by the Organisation for Economic Cooperation and Development (OECD), although it has specific features. The TP legislation provides for the possibility of additional tax assessment for controlled transactions (transactions between related parties and certain transactions between unrelated parties) if such transactions are not on an arm’s-length basis. The management has implemented internal controls to comply with current TP legislation.</w:t>
      </w:r>
    </w:p>
    <w:p w14:paraId="6C99D831" w14:textId="77777777" w:rsidR="008E5DE4" w:rsidRDefault="00780368">
      <w:pPr>
        <w:widowControl w:val="0"/>
        <w:spacing w:before="200" w:after="200"/>
        <w:jc w:val="both"/>
        <w:rPr>
          <w:color w:val="000000"/>
          <w:sz w:val="20"/>
          <w:szCs w:val="20"/>
        </w:rPr>
      </w:pPr>
      <w:r>
        <w:rPr>
          <w:color w:val="000000"/>
          <w:sz w:val="20"/>
          <w:szCs w:val="20"/>
        </w:rPr>
        <w:t>Tax liabilities arising from controlled transactions are determined based on their actual transaction prices. It is possible, with the evolution of the interpretation of TP rules, that such prices could be challenged. The impact of any such challenge cannot be reliably estimated; however, it may be significant to the financial position and/or the Group's operations.</w:t>
      </w:r>
    </w:p>
    <w:p w14:paraId="6507B8C6" w14:textId="268F3F5F" w:rsidR="008E5DE4" w:rsidRDefault="00FA3B9A">
      <w:pPr>
        <w:widowControl w:val="0"/>
        <w:spacing w:before="200" w:after="200"/>
        <w:jc w:val="both"/>
        <w:rPr>
          <w:color w:val="FF0000"/>
          <w:sz w:val="20"/>
          <w:szCs w:val="20"/>
        </w:rPr>
      </w:pPr>
      <w:r>
        <w:rPr>
          <w:color w:val="0000FF"/>
          <w:sz w:val="20"/>
          <w:szCs w:val="20"/>
        </w:rPr>
        <w:t>[</w:t>
      </w:r>
      <w:r w:rsidR="00780368">
        <w:rPr>
          <w:color w:val="0000FF"/>
          <w:sz w:val="20"/>
          <w:szCs w:val="20"/>
        </w:rPr>
        <w:t>The management’s best estimate of TP risk amounts to EUR ____ thousand (</w:t>
      </w:r>
      <w:r w:rsidR="00E06A92">
        <w:rPr>
          <w:color w:val="0000FF"/>
          <w:sz w:val="20"/>
          <w:szCs w:val="20"/>
        </w:rPr>
        <w:t>2024</w:t>
      </w:r>
      <w:r w:rsidR="00780368">
        <w:rPr>
          <w:color w:val="0000FF"/>
          <w:sz w:val="20"/>
          <w:szCs w:val="20"/>
        </w:rPr>
        <w:t>: EUR ____ thousand). In addition, alternative assumptions may be used for tax calculation purposes. Therefore, this amount should not be interpreted as the final assessment of future taxes payable if tax authorities challenge the transfer prices. The management plans to sustain the Group's TP positions.</w:t>
      </w:r>
      <w:r>
        <w:rPr>
          <w:color w:val="0000FF"/>
          <w:sz w:val="20"/>
          <w:szCs w:val="20"/>
        </w:rPr>
        <w:t>]</w:t>
      </w:r>
    </w:p>
    <w:p w14:paraId="74487033" w14:textId="607EF980" w:rsidR="008E5DE4" w:rsidRDefault="00780368">
      <w:pPr>
        <w:widowControl w:val="0"/>
        <w:spacing w:before="200" w:after="200"/>
        <w:jc w:val="both"/>
        <w:rPr>
          <w:color w:val="000000"/>
          <w:sz w:val="20"/>
          <w:szCs w:val="20"/>
        </w:rPr>
      </w:pPr>
      <w:r>
        <w:rPr>
          <w:color w:val="000000"/>
          <w:sz w:val="20"/>
          <w:szCs w:val="20"/>
        </w:rPr>
        <w:t xml:space="preserve">The Group includes companies incorporated outside of </w:t>
      </w:r>
      <w:r>
        <w:rPr>
          <w:color w:val="0000FF"/>
          <w:sz w:val="20"/>
          <w:szCs w:val="20"/>
        </w:rPr>
        <w:t>[Country]</w:t>
      </w:r>
      <w:r>
        <w:rPr>
          <w:color w:val="000000"/>
          <w:sz w:val="20"/>
          <w:szCs w:val="20"/>
        </w:rPr>
        <w:t xml:space="preserve">. The tax liabilities of the Group are determined on the assumption that these companies are not subject to </w:t>
      </w:r>
      <w:r>
        <w:rPr>
          <w:color w:val="0000FF"/>
          <w:sz w:val="20"/>
          <w:szCs w:val="20"/>
        </w:rPr>
        <w:t>[Country]</w:t>
      </w:r>
      <w:r>
        <w:rPr>
          <w:color w:val="000000"/>
          <w:sz w:val="20"/>
          <w:szCs w:val="20"/>
        </w:rPr>
        <w:t xml:space="preserve"> profits tax, because they do not have a permanent establishment in </w:t>
      </w:r>
      <w:r>
        <w:rPr>
          <w:color w:val="0000FF"/>
          <w:sz w:val="20"/>
          <w:szCs w:val="20"/>
        </w:rPr>
        <w:t>[Country]</w:t>
      </w:r>
      <w:r>
        <w:rPr>
          <w:color w:val="000000"/>
          <w:sz w:val="20"/>
          <w:szCs w:val="20"/>
        </w:rPr>
        <w:t xml:space="preserve">. This interpretation of relevant legislation may be challenged but the impact of any such challenge cannot be reliably estimated currently; however, it may be significant to the financial position and/or the overall operations of the Group. The Controlled Foreign Company (CFC) legislation introduced </w:t>
      </w:r>
      <w:r>
        <w:rPr>
          <w:color w:val="0000FF"/>
          <w:sz w:val="20"/>
          <w:szCs w:val="20"/>
        </w:rPr>
        <w:t>[Country]</w:t>
      </w:r>
      <w:r>
        <w:rPr>
          <w:color w:val="000000"/>
          <w:sz w:val="20"/>
          <w:szCs w:val="20"/>
        </w:rPr>
        <w:t xml:space="preserve"> taxation of profits of foreign companies and non-corporate structures (including trusts) controlled by </w:t>
      </w:r>
      <w:r>
        <w:rPr>
          <w:color w:val="0000FF"/>
          <w:sz w:val="20"/>
          <w:szCs w:val="20"/>
        </w:rPr>
        <w:t>[Country]</w:t>
      </w:r>
      <w:r>
        <w:rPr>
          <w:color w:val="000000"/>
          <w:sz w:val="20"/>
          <w:szCs w:val="20"/>
        </w:rPr>
        <w:t xml:space="preserve"> tax residents (controlling parties). The CFC income is subject to a </w:t>
      </w:r>
      <w:r w:rsidRPr="00FA3B9A">
        <w:rPr>
          <w:color w:val="0000FF"/>
          <w:sz w:val="20"/>
          <w:szCs w:val="20"/>
        </w:rPr>
        <w:t xml:space="preserve">[ </w:t>
      </w:r>
      <w:proofErr w:type="gramStart"/>
      <w:r w:rsidRPr="00FA3B9A">
        <w:rPr>
          <w:color w:val="0000FF"/>
          <w:sz w:val="20"/>
          <w:szCs w:val="20"/>
        </w:rPr>
        <w:t xml:space="preserve">  ]</w:t>
      </w:r>
      <w:proofErr w:type="gramEnd"/>
      <w:r w:rsidRPr="00FA3B9A">
        <w:rPr>
          <w:color w:val="0000FF"/>
          <w:sz w:val="20"/>
          <w:szCs w:val="20"/>
        </w:rPr>
        <w:t>%</w:t>
      </w:r>
      <w:r>
        <w:rPr>
          <w:color w:val="000000"/>
          <w:sz w:val="20"/>
          <w:szCs w:val="20"/>
        </w:rPr>
        <w:t xml:space="preserve"> tax rate. As a result, management reassessed the Group’s tax positions and recognised current tax expense as well as deferred taxes for temporary differences that arose from the expected taxable manner of recovery of the relevant Group’s operations to which the CFC legislation applies to and to the extent that the Group (rather than its owners) is obliged to settle such taxes. Refer to Note 38.</w:t>
      </w:r>
    </w:p>
    <w:p w14:paraId="1A05406D" w14:textId="77777777" w:rsidR="008E5DE4" w:rsidRDefault="00780368">
      <w:pPr>
        <w:widowControl w:val="0"/>
        <w:spacing w:before="200" w:after="200"/>
        <w:jc w:val="both"/>
        <w:rPr>
          <w:color w:val="000000"/>
          <w:sz w:val="20"/>
          <w:szCs w:val="20"/>
        </w:rPr>
      </w:pPr>
      <w:r>
        <w:rPr>
          <w:color w:val="000000"/>
          <w:sz w:val="20"/>
          <w:szCs w:val="20"/>
        </w:rPr>
        <w:t xml:space="preserve">As </w:t>
      </w:r>
      <w:r>
        <w:rPr>
          <w:color w:val="0000FF"/>
          <w:sz w:val="20"/>
          <w:szCs w:val="20"/>
        </w:rPr>
        <w:t>[Country]</w:t>
      </w:r>
      <w:r>
        <w:rPr>
          <w:color w:val="000000"/>
          <w:sz w:val="20"/>
          <w:szCs w:val="20"/>
        </w:rPr>
        <w:t xml:space="preserve"> tax legislation does not provide definitive guidance in certain areas, the Group adopts, from time to time, interpretations of such uncertain areas that reduce the overall tax rate of the Group. While management currently estimates that the tax positions and interpretations that it has taken can probably be sustained, there is a possible risk that an outflow of resources will be required should such tax positions and interpretations be challenged by the tax authorities. The impact of any such challenge cannot be reliably estimated; however, it may be significant to the financial position and/or the overall operations of the Group.</w:t>
      </w:r>
    </w:p>
    <w:p w14:paraId="56855EA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43</w:t>
      </w:r>
      <w:r>
        <w:rPr>
          <w:b/>
          <w:color w:val="000000"/>
          <w:sz w:val="20"/>
          <w:szCs w:val="20"/>
        </w:rPr>
        <w:tab/>
        <w:t>Contingencies and Commitments (Continued)</w:t>
      </w:r>
    </w:p>
    <w:p w14:paraId="558D0A54" w14:textId="5035EE2A" w:rsidR="008E5DE4" w:rsidRDefault="00780368">
      <w:pPr>
        <w:widowControl w:val="0"/>
        <w:spacing w:before="200" w:after="200"/>
        <w:jc w:val="both"/>
        <w:rPr>
          <w:color w:val="000000"/>
          <w:sz w:val="20"/>
          <w:szCs w:val="20"/>
        </w:rPr>
      </w:pPr>
      <w:r>
        <w:rPr>
          <w:color w:val="000000"/>
          <w:sz w:val="20"/>
          <w:szCs w:val="20"/>
        </w:rPr>
        <w:t>In addition to the above matters, management estimates that the Group has other possible obligations from exposure to other than remote tax risks of EUR _____ thousand (</w:t>
      </w:r>
      <w:r w:rsidR="00E06A92">
        <w:rPr>
          <w:color w:val="000000"/>
          <w:sz w:val="20"/>
          <w:szCs w:val="20"/>
        </w:rPr>
        <w:t>2024</w:t>
      </w:r>
      <w:r>
        <w:rPr>
          <w:color w:val="000000"/>
          <w:sz w:val="20"/>
          <w:szCs w:val="20"/>
        </w:rPr>
        <w:t>: EUR ____ thousand)</w:t>
      </w:r>
      <w:r w:rsidR="00CD2065" w:rsidRPr="00CD2065" w:rsidDel="00CD2065">
        <w:rPr>
          <w:iCs/>
          <w:color w:val="0000FF"/>
          <w:sz w:val="20"/>
          <w:szCs w:val="20"/>
        </w:rPr>
        <w:t xml:space="preserve"> </w:t>
      </w:r>
      <w:r w:rsidR="00CD2065">
        <w:rPr>
          <w:color w:val="0000FF"/>
          <w:sz w:val="20"/>
          <w:szCs w:val="20"/>
        </w:rPr>
        <w:t>[</w:t>
      </w:r>
      <w:r>
        <w:rPr>
          <w:color w:val="0000FF"/>
          <w:sz w:val="20"/>
          <w:szCs w:val="20"/>
        </w:rPr>
        <w:t>in the range from EUR_____ thousand to EUR ____ thousand (</w:t>
      </w:r>
      <w:r w:rsidR="00E06A92">
        <w:rPr>
          <w:color w:val="0000FF"/>
          <w:sz w:val="20"/>
          <w:szCs w:val="20"/>
        </w:rPr>
        <w:t>2024</w:t>
      </w:r>
      <w:r>
        <w:rPr>
          <w:color w:val="0000FF"/>
          <w:sz w:val="20"/>
          <w:szCs w:val="20"/>
        </w:rPr>
        <w:t>: in the range from EUR _____ thousand to EUR ____ thousand)]</w:t>
      </w:r>
      <w:r>
        <w:rPr>
          <w:color w:val="000000"/>
          <w:sz w:val="20"/>
          <w:szCs w:val="20"/>
        </w:rPr>
        <w:t xml:space="preserve">. These exposures primarily relate to </w:t>
      </w:r>
      <w:r>
        <w:rPr>
          <w:color w:val="0000FF"/>
          <w:sz w:val="20"/>
          <w:szCs w:val="20"/>
        </w:rPr>
        <w:t xml:space="preserve">[Insert explanation of the specific tax matters]. </w:t>
      </w:r>
      <w:r>
        <w:rPr>
          <w:color w:val="000000"/>
          <w:sz w:val="20"/>
          <w:szCs w:val="20"/>
        </w:rPr>
        <w:t>These exposures are estimates that result from uncertainties in interpretation of applicable legislation and related documentation requirements. Management will vigorously defend the entity's positions and interpretations that were applied in determining taxes recognised in these consolidated financial statements if these are challenged by the authorities.</w:t>
      </w:r>
    </w:p>
    <w:p w14:paraId="1ED2144E" w14:textId="23F209AA"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Included in the above disclosed amount of possible obligations for uncertain tax positions, are</w:t>
      </w:r>
      <w:r w:rsidR="00FA3B9A">
        <w:rPr>
          <w:color w:val="000000"/>
          <w:sz w:val="20"/>
          <w:szCs w:val="20"/>
        </w:rPr>
        <w:t xml:space="preserve"> </w:t>
      </w:r>
      <w:r>
        <w:rPr>
          <w:color w:val="000000"/>
          <w:sz w:val="20"/>
          <w:szCs w:val="20"/>
        </w:rPr>
        <w:t>EUR _____ thousand (</w:t>
      </w:r>
      <w:r w:rsidR="00E06A92">
        <w:rPr>
          <w:color w:val="000000"/>
          <w:sz w:val="20"/>
          <w:szCs w:val="20"/>
        </w:rPr>
        <w:t>2024</w:t>
      </w:r>
      <w:r>
        <w:rPr>
          <w:color w:val="000000"/>
          <w:sz w:val="20"/>
          <w:szCs w:val="20"/>
        </w:rPr>
        <w:t>:</w:t>
      </w:r>
      <w:r w:rsidR="00181448">
        <w:rPr>
          <w:color w:val="000000"/>
          <w:sz w:val="20"/>
          <w:szCs w:val="20"/>
        </w:rPr>
        <w:t xml:space="preserve"> </w:t>
      </w:r>
      <w:r>
        <w:rPr>
          <w:color w:val="000000"/>
          <w:sz w:val="20"/>
          <w:szCs w:val="20"/>
        </w:rPr>
        <w:t>EUR ____ thousand)</w:t>
      </w:r>
      <w:r w:rsidR="00CD2065">
        <w:rPr>
          <w:color w:val="000000"/>
          <w:sz w:val="20"/>
          <w:szCs w:val="20"/>
        </w:rPr>
        <w:t xml:space="preserve"> </w:t>
      </w:r>
      <w:r w:rsidR="00CD2065" w:rsidRPr="00FA3B9A">
        <w:rPr>
          <w:color w:val="0000FF"/>
          <w:sz w:val="20"/>
          <w:szCs w:val="20"/>
        </w:rPr>
        <w:t>[</w:t>
      </w:r>
      <w:r w:rsidRPr="00FA3B9A">
        <w:rPr>
          <w:color w:val="0000FF"/>
          <w:sz w:val="20"/>
          <w:szCs w:val="20"/>
        </w:rPr>
        <w:t>I</w:t>
      </w:r>
      <w:r>
        <w:rPr>
          <w:color w:val="0000FF"/>
          <w:sz w:val="20"/>
          <w:szCs w:val="20"/>
        </w:rPr>
        <w:t>ncluded in the above disclosed range of possible obligations for uncertain tax positions are obligations of</w:t>
      </w:r>
      <w:r w:rsidR="00B520AA">
        <w:rPr>
          <w:color w:val="0000FF"/>
          <w:sz w:val="20"/>
          <w:szCs w:val="20"/>
        </w:rPr>
        <w:t xml:space="preserve"> </w:t>
      </w:r>
      <w:r>
        <w:rPr>
          <w:color w:val="0000FF"/>
          <w:sz w:val="20"/>
          <w:szCs w:val="20"/>
        </w:rPr>
        <w:t>EUR _____ thousand to EUR ____ thousand (</w:t>
      </w:r>
      <w:r w:rsidR="00E06A92">
        <w:rPr>
          <w:color w:val="0000FF"/>
          <w:sz w:val="20"/>
          <w:szCs w:val="20"/>
        </w:rPr>
        <w:t>2024</w:t>
      </w:r>
      <w:r>
        <w:rPr>
          <w:color w:val="0000FF"/>
          <w:sz w:val="20"/>
          <w:szCs w:val="20"/>
        </w:rPr>
        <w:t>:</w:t>
      </w:r>
      <w:r w:rsidR="00FA3B9A">
        <w:rPr>
          <w:color w:val="0000FF"/>
          <w:sz w:val="20"/>
          <w:szCs w:val="20"/>
        </w:rPr>
        <w:t xml:space="preserve"> </w:t>
      </w:r>
      <w:r>
        <w:rPr>
          <w:color w:val="0000FF"/>
          <w:sz w:val="20"/>
          <w:szCs w:val="20"/>
        </w:rPr>
        <w:t xml:space="preserve">EUR _____ thousand to EUR ____ thousand)] </w:t>
      </w:r>
      <w:r>
        <w:rPr>
          <w:color w:val="000000"/>
          <w:sz w:val="20"/>
          <w:szCs w:val="20"/>
        </w:rPr>
        <w:t>for which the inspection rights of tax authorities have expired, but which may be challenged by regulatory bodies under certain circumstances. In management’s estimate, no losses are anticipated from these contingent liabilities.</w:t>
      </w:r>
    </w:p>
    <w:p w14:paraId="7C61BB5D" w14:textId="6A06092F"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Capital expenditure commitments.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the Group has contractual capital expenditure commitments in respect of property, plant and equipment totalling EUR _____ thousand (</w:t>
      </w:r>
      <w:r w:rsidR="00E06A92">
        <w:rPr>
          <w:color w:val="000000"/>
          <w:sz w:val="20"/>
          <w:szCs w:val="20"/>
        </w:rPr>
        <w:t>2024</w:t>
      </w:r>
      <w:r>
        <w:rPr>
          <w:color w:val="000000"/>
          <w:sz w:val="20"/>
          <w:szCs w:val="20"/>
        </w:rPr>
        <w:t>: EUR ____ thousand) and in respect of software and other intangible assets of EUR _____ thousand (</w:t>
      </w:r>
      <w:r w:rsidR="00E06A92">
        <w:rPr>
          <w:color w:val="000000"/>
          <w:sz w:val="20"/>
          <w:szCs w:val="20"/>
        </w:rPr>
        <w:t>2024</w:t>
      </w:r>
      <w:r>
        <w:rPr>
          <w:color w:val="000000"/>
          <w:sz w:val="20"/>
          <w:szCs w:val="20"/>
        </w:rPr>
        <w:t xml:space="preserve">: EUR ____ thousand). </w:t>
      </w:r>
    </w:p>
    <w:p w14:paraId="4C5DE67B" w14:textId="19493B8A"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currently has a right to use land subject to payment of related taxes. Included in the above capital expenditure commitments is the Group’s obligation, in accordance with </w:t>
      </w:r>
      <w:r>
        <w:rPr>
          <w:color w:val="0000FF"/>
          <w:sz w:val="20"/>
          <w:szCs w:val="20"/>
        </w:rPr>
        <w:t>[Country]</w:t>
      </w:r>
      <w:r w:rsidR="00CD2065">
        <w:rPr>
          <w:color w:val="0000FF"/>
          <w:sz w:val="20"/>
          <w:szCs w:val="20"/>
        </w:rPr>
        <w:t xml:space="preserve"> </w:t>
      </w:r>
      <w:r>
        <w:rPr>
          <w:color w:val="000000"/>
          <w:sz w:val="20"/>
          <w:szCs w:val="20"/>
        </w:rPr>
        <w:t>legislation, to either acquire the land for EUR _____ thousand (</w:t>
      </w:r>
      <w:r w:rsidR="00E06A92">
        <w:rPr>
          <w:color w:val="000000"/>
          <w:sz w:val="20"/>
          <w:szCs w:val="20"/>
        </w:rPr>
        <w:t>2024</w:t>
      </w:r>
      <w:r>
        <w:rPr>
          <w:color w:val="000000"/>
          <w:sz w:val="20"/>
          <w:szCs w:val="20"/>
        </w:rPr>
        <w:t>: EUR _____ thousand) or to enter into a lease agreement with respect to the land by ____ 202</w:t>
      </w:r>
      <w:r w:rsidR="008614F8">
        <w:rPr>
          <w:color w:val="000000"/>
          <w:sz w:val="20"/>
          <w:szCs w:val="20"/>
        </w:rPr>
        <w:t>6</w:t>
      </w:r>
      <w:r>
        <w:rPr>
          <w:color w:val="000000"/>
          <w:sz w:val="20"/>
          <w:szCs w:val="20"/>
        </w:rPr>
        <w:t>.</w:t>
      </w:r>
    </w:p>
    <w:p w14:paraId="495FD4B9" w14:textId="0AE4E1CB"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Contractual obligations to purchase, construct or develop investment properties totalled EUR _____ thousand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w:t>
      </w:r>
      <w:r w:rsidR="00E06A92">
        <w:rPr>
          <w:color w:val="000000"/>
          <w:sz w:val="20"/>
          <w:szCs w:val="20"/>
        </w:rPr>
        <w:t>2024</w:t>
      </w:r>
      <w:r>
        <w:rPr>
          <w:color w:val="000000"/>
          <w:sz w:val="20"/>
          <w:szCs w:val="20"/>
        </w:rPr>
        <w:t xml:space="preserve">: EUR ____ thousand). Contractual obligations for repairs, maintenance or enhancements of investment properties totalled EUR _____ thousand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w:t>
      </w:r>
      <w:r w:rsidR="00E06A92">
        <w:rPr>
          <w:color w:val="000000"/>
          <w:sz w:val="20"/>
          <w:szCs w:val="20"/>
        </w:rPr>
        <w:t>2024</w:t>
      </w:r>
      <w:r>
        <w:rPr>
          <w:color w:val="000000"/>
          <w:sz w:val="20"/>
          <w:szCs w:val="20"/>
        </w:rPr>
        <w:t>: EUR ____ thousand).</w:t>
      </w:r>
    </w:p>
    <w:p w14:paraId="7C70A774" w14:textId="77777777"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The Group has already allocated the necessary resources in respect of these commitments. The Group believes that future net income and funding will be sufficient to cover these and any similar commitments.</w:t>
      </w:r>
    </w:p>
    <w:p w14:paraId="6DEF976C"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Financial guarantees. </w:t>
      </w:r>
    </w:p>
    <w:p w14:paraId="1B910B1D"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Guarantees are irrevocable assurances that the Group will make payments </w:t>
      </w:r>
      <w:proofErr w:type="gramStart"/>
      <w:r>
        <w:rPr>
          <w:color w:val="000000"/>
          <w:sz w:val="20"/>
          <w:szCs w:val="20"/>
        </w:rPr>
        <w:t>in the event that</w:t>
      </w:r>
      <w:proofErr w:type="gramEnd"/>
      <w:r>
        <w:rPr>
          <w:color w:val="000000"/>
          <w:sz w:val="20"/>
          <w:szCs w:val="20"/>
        </w:rPr>
        <w:t xml:space="preserve"> another party cannot meet its obligations. The Group has guaranteed the following obligations:</w:t>
      </w:r>
    </w:p>
    <w:tbl>
      <w:tblPr>
        <w:tblStyle w:val="affffffffffff"/>
        <w:tblW w:w="9355" w:type="dxa"/>
        <w:tblLayout w:type="fixed"/>
        <w:tblLook w:val="0000" w:firstRow="0" w:lastRow="0" w:firstColumn="0" w:lastColumn="0" w:noHBand="0" w:noVBand="0"/>
      </w:tblPr>
      <w:tblGrid>
        <w:gridCol w:w="5726"/>
        <w:gridCol w:w="567"/>
        <w:gridCol w:w="1531"/>
        <w:gridCol w:w="1531"/>
      </w:tblGrid>
      <w:tr w:rsidR="008E5DE4" w14:paraId="7A0538D9" w14:textId="77777777">
        <w:trPr>
          <w:cantSplit/>
        </w:trPr>
        <w:tc>
          <w:tcPr>
            <w:tcW w:w="5726" w:type="dxa"/>
            <w:tcBorders>
              <w:bottom w:val="single" w:sz="4" w:space="0" w:color="000000"/>
            </w:tcBorders>
            <w:vAlign w:val="bottom"/>
          </w:tcPr>
          <w:p w14:paraId="26641B33" w14:textId="77777777" w:rsidR="008E5DE4" w:rsidRDefault="00780368">
            <w:pPr>
              <w:widowControl w:val="0"/>
              <w:pBdr>
                <w:top w:val="nil"/>
                <w:left w:val="nil"/>
                <w:bottom w:val="nil"/>
                <w:right w:val="nil"/>
                <w:between w:val="nil"/>
              </w:pBdr>
              <w:rPr>
                <w:b/>
                <w:i/>
                <w:color w:val="000000"/>
              </w:rPr>
            </w:pPr>
            <w:r>
              <w:rPr>
                <w:i/>
                <w:color w:val="000000"/>
              </w:rPr>
              <w:t>In thousands of EUR</w:t>
            </w:r>
          </w:p>
        </w:tc>
        <w:tc>
          <w:tcPr>
            <w:tcW w:w="567" w:type="dxa"/>
            <w:tcBorders>
              <w:bottom w:val="single" w:sz="4" w:space="0" w:color="000000"/>
            </w:tcBorders>
            <w:vAlign w:val="bottom"/>
          </w:tcPr>
          <w:p w14:paraId="697427D3"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2828C19D" w14:textId="47FA3F11"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3E987675" w14:textId="7F3D9F4F" w:rsidR="008E5DE4" w:rsidRDefault="00E06A92">
            <w:pPr>
              <w:widowControl w:val="0"/>
              <w:pBdr>
                <w:top w:val="nil"/>
                <w:left w:val="nil"/>
                <w:bottom w:val="nil"/>
                <w:right w:val="nil"/>
                <w:between w:val="nil"/>
              </w:pBdr>
              <w:jc w:val="right"/>
              <w:rPr>
                <w:b/>
                <w:color w:val="000000"/>
              </w:rPr>
            </w:pPr>
            <w:r>
              <w:rPr>
                <w:b/>
                <w:color w:val="000000"/>
              </w:rPr>
              <w:t>2024</w:t>
            </w:r>
          </w:p>
        </w:tc>
      </w:tr>
      <w:tr w:rsidR="008E5DE4" w14:paraId="01EFA43D" w14:textId="77777777">
        <w:trPr>
          <w:cantSplit/>
        </w:trPr>
        <w:tc>
          <w:tcPr>
            <w:tcW w:w="5726" w:type="dxa"/>
            <w:vAlign w:val="bottom"/>
          </w:tcPr>
          <w:p w14:paraId="3562CE93" w14:textId="77777777" w:rsidR="008E5DE4" w:rsidRDefault="00780368">
            <w:pPr>
              <w:widowControl w:val="0"/>
              <w:pBdr>
                <w:top w:val="nil"/>
                <w:left w:val="nil"/>
                <w:bottom w:val="nil"/>
                <w:right w:val="nil"/>
                <w:between w:val="nil"/>
              </w:pBdr>
              <w:rPr>
                <w:color w:val="000000"/>
              </w:rPr>
            </w:pPr>
            <w:r>
              <w:rPr>
                <w:color w:val="000000"/>
              </w:rPr>
              <w:t> </w:t>
            </w:r>
          </w:p>
        </w:tc>
        <w:tc>
          <w:tcPr>
            <w:tcW w:w="567" w:type="dxa"/>
            <w:vAlign w:val="bottom"/>
          </w:tcPr>
          <w:p w14:paraId="2A9BAD0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14AA8C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839F16D" w14:textId="77777777" w:rsidR="008E5DE4" w:rsidRDefault="008E5DE4">
            <w:pPr>
              <w:widowControl w:val="0"/>
              <w:pBdr>
                <w:top w:val="nil"/>
                <w:left w:val="nil"/>
                <w:bottom w:val="nil"/>
                <w:right w:val="nil"/>
                <w:between w:val="nil"/>
              </w:pBdr>
              <w:jc w:val="right"/>
              <w:rPr>
                <w:color w:val="000000"/>
              </w:rPr>
            </w:pPr>
          </w:p>
        </w:tc>
      </w:tr>
      <w:tr w:rsidR="008E5DE4" w14:paraId="203A3A59" w14:textId="77777777">
        <w:trPr>
          <w:cantSplit/>
        </w:trPr>
        <w:tc>
          <w:tcPr>
            <w:tcW w:w="5726" w:type="dxa"/>
            <w:vAlign w:val="bottom"/>
          </w:tcPr>
          <w:p w14:paraId="617C7021" w14:textId="77777777" w:rsidR="008E5DE4" w:rsidRDefault="00780368">
            <w:pPr>
              <w:widowControl w:val="0"/>
              <w:pBdr>
                <w:top w:val="nil"/>
                <w:left w:val="nil"/>
                <w:bottom w:val="nil"/>
                <w:right w:val="nil"/>
                <w:between w:val="nil"/>
              </w:pBdr>
              <w:rPr>
                <w:color w:val="000000"/>
              </w:rPr>
            </w:pPr>
            <w:r>
              <w:rPr>
                <w:color w:val="000000"/>
              </w:rPr>
              <w:t xml:space="preserve">Company ______ </w:t>
            </w:r>
          </w:p>
        </w:tc>
        <w:tc>
          <w:tcPr>
            <w:tcW w:w="567" w:type="dxa"/>
            <w:vAlign w:val="bottom"/>
          </w:tcPr>
          <w:p w14:paraId="7DE69620"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21A4F4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660F240" w14:textId="77777777" w:rsidR="008E5DE4" w:rsidRDefault="008E5DE4">
            <w:pPr>
              <w:widowControl w:val="0"/>
              <w:pBdr>
                <w:top w:val="nil"/>
                <w:left w:val="nil"/>
                <w:bottom w:val="nil"/>
                <w:right w:val="nil"/>
                <w:between w:val="nil"/>
              </w:pBdr>
              <w:jc w:val="right"/>
              <w:rPr>
                <w:color w:val="000000"/>
              </w:rPr>
            </w:pPr>
          </w:p>
        </w:tc>
      </w:tr>
      <w:tr w:rsidR="008E5DE4" w14:paraId="3858F72F" w14:textId="77777777">
        <w:trPr>
          <w:cantSplit/>
        </w:trPr>
        <w:tc>
          <w:tcPr>
            <w:tcW w:w="5726" w:type="dxa"/>
            <w:vAlign w:val="bottom"/>
          </w:tcPr>
          <w:p w14:paraId="74DD2B8A" w14:textId="77777777" w:rsidR="008E5DE4" w:rsidRDefault="00780368">
            <w:pPr>
              <w:widowControl w:val="0"/>
              <w:pBdr>
                <w:top w:val="nil"/>
                <w:left w:val="nil"/>
                <w:bottom w:val="nil"/>
                <w:right w:val="nil"/>
                <w:between w:val="nil"/>
              </w:pBdr>
              <w:rPr>
                <w:color w:val="000000"/>
              </w:rPr>
            </w:pPr>
            <w:r>
              <w:rPr>
                <w:color w:val="000000"/>
              </w:rPr>
              <w:t>Company ______</w:t>
            </w:r>
          </w:p>
        </w:tc>
        <w:tc>
          <w:tcPr>
            <w:tcW w:w="567" w:type="dxa"/>
            <w:vAlign w:val="bottom"/>
          </w:tcPr>
          <w:p w14:paraId="63DC4AB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52B127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06F493A" w14:textId="77777777" w:rsidR="008E5DE4" w:rsidRDefault="008E5DE4">
            <w:pPr>
              <w:widowControl w:val="0"/>
              <w:pBdr>
                <w:top w:val="nil"/>
                <w:left w:val="nil"/>
                <w:bottom w:val="nil"/>
                <w:right w:val="nil"/>
                <w:between w:val="nil"/>
              </w:pBdr>
              <w:jc w:val="right"/>
              <w:rPr>
                <w:color w:val="000000"/>
              </w:rPr>
            </w:pPr>
          </w:p>
        </w:tc>
      </w:tr>
      <w:tr w:rsidR="008E5DE4" w14:paraId="150A8C97" w14:textId="77777777">
        <w:trPr>
          <w:cantSplit/>
        </w:trPr>
        <w:tc>
          <w:tcPr>
            <w:tcW w:w="5726" w:type="dxa"/>
            <w:vAlign w:val="bottom"/>
          </w:tcPr>
          <w:p w14:paraId="480F99FE" w14:textId="77777777" w:rsidR="008E5DE4" w:rsidRDefault="00780368">
            <w:pPr>
              <w:widowControl w:val="0"/>
              <w:pBdr>
                <w:top w:val="nil"/>
                <w:left w:val="nil"/>
                <w:bottom w:val="nil"/>
                <w:right w:val="nil"/>
                <w:between w:val="nil"/>
              </w:pBdr>
              <w:rPr>
                <w:color w:val="000000"/>
              </w:rPr>
            </w:pPr>
            <w:r>
              <w:rPr>
                <w:color w:val="000000"/>
              </w:rPr>
              <w:t xml:space="preserve">Less: Provision for credit losses </w:t>
            </w:r>
          </w:p>
        </w:tc>
        <w:tc>
          <w:tcPr>
            <w:tcW w:w="567" w:type="dxa"/>
            <w:vAlign w:val="bottom"/>
          </w:tcPr>
          <w:p w14:paraId="19938FE6" w14:textId="77777777" w:rsidR="008E5DE4" w:rsidRDefault="00780368">
            <w:pPr>
              <w:widowControl w:val="0"/>
              <w:pBdr>
                <w:top w:val="nil"/>
                <w:left w:val="nil"/>
                <w:bottom w:val="nil"/>
                <w:right w:val="nil"/>
                <w:between w:val="nil"/>
              </w:pBdr>
              <w:ind w:left="-57" w:right="-57"/>
              <w:jc w:val="center"/>
              <w:rPr>
                <w:color w:val="000000"/>
              </w:rPr>
            </w:pPr>
            <w:r>
              <w:rPr>
                <w:color w:val="000000"/>
              </w:rPr>
              <w:t>34</w:t>
            </w:r>
          </w:p>
        </w:tc>
        <w:tc>
          <w:tcPr>
            <w:tcW w:w="1531" w:type="dxa"/>
            <w:vAlign w:val="bottom"/>
          </w:tcPr>
          <w:p w14:paraId="4D04303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4BB6B27" w14:textId="77777777" w:rsidR="008E5DE4" w:rsidRDefault="008E5DE4">
            <w:pPr>
              <w:widowControl w:val="0"/>
              <w:pBdr>
                <w:top w:val="nil"/>
                <w:left w:val="nil"/>
                <w:bottom w:val="nil"/>
                <w:right w:val="nil"/>
                <w:between w:val="nil"/>
              </w:pBdr>
              <w:jc w:val="right"/>
              <w:rPr>
                <w:color w:val="000000"/>
              </w:rPr>
            </w:pPr>
          </w:p>
        </w:tc>
      </w:tr>
      <w:tr w:rsidR="008E5DE4" w14:paraId="7C6F203E" w14:textId="77777777">
        <w:trPr>
          <w:cantSplit/>
        </w:trPr>
        <w:tc>
          <w:tcPr>
            <w:tcW w:w="5726" w:type="dxa"/>
            <w:tcBorders>
              <w:bottom w:val="single" w:sz="4" w:space="0" w:color="000000"/>
            </w:tcBorders>
            <w:vAlign w:val="bottom"/>
          </w:tcPr>
          <w:p w14:paraId="50C03307" w14:textId="77777777" w:rsidR="008E5DE4" w:rsidRDefault="00780368">
            <w:pPr>
              <w:widowControl w:val="0"/>
              <w:pBdr>
                <w:top w:val="nil"/>
                <w:left w:val="nil"/>
                <w:bottom w:val="nil"/>
                <w:right w:val="nil"/>
                <w:between w:val="nil"/>
              </w:pBdr>
              <w:rPr>
                <w:color w:val="000000"/>
              </w:rPr>
            </w:pPr>
            <w:r>
              <w:rPr>
                <w:color w:val="000000"/>
              </w:rPr>
              <w:t> </w:t>
            </w:r>
          </w:p>
        </w:tc>
        <w:tc>
          <w:tcPr>
            <w:tcW w:w="567" w:type="dxa"/>
            <w:tcBorders>
              <w:bottom w:val="single" w:sz="4" w:space="0" w:color="000000"/>
            </w:tcBorders>
            <w:vAlign w:val="bottom"/>
          </w:tcPr>
          <w:p w14:paraId="787279E4"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5ABB24A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87ADCA2" w14:textId="77777777" w:rsidR="008E5DE4" w:rsidRDefault="008E5DE4">
            <w:pPr>
              <w:widowControl w:val="0"/>
              <w:pBdr>
                <w:top w:val="nil"/>
                <w:left w:val="nil"/>
                <w:bottom w:val="nil"/>
                <w:right w:val="nil"/>
                <w:between w:val="nil"/>
              </w:pBdr>
              <w:jc w:val="right"/>
              <w:rPr>
                <w:color w:val="000000"/>
              </w:rPr>
            </w:pPr>
          </w:p>
        </w:tc>
      </w:tr>
      <w:tr w:rsidR="008E5DE4" w14:paraId="025937A8" w14:textId="77777777">
        <w:trPr>
          <w:cantSplit/>
        </w:trPr>
        <w:tc>
          <w:tcPr>
            <w:tcW w:w="5726" w:type="dxa"/>
            <w:vAlign w:val="bottom"/>
          </w:tcPr>
          <w:p w14:paraId="4E34F238" w14:textId="77777777" w:rsidR="008E5DE4" w:rsidRDefault="00780368">
            <w:pPr>
              <w:widowControl w:val="0"/>
              <w:pBdr>
                <w:top w:val="nil"/>
                <w:left w:val="nil"/>
                <w:bottom w:val="nil"/>
                <w:right w:val="nil"/>
                <w:between w:val="nil"/>
              </w:pBdr>
              <w:rPr>
                <w:b/>
                <w:color w:val="000000"/>
              </w:rPr>
            </w:pPr>
            <w:r>
              <w:rPr>
                <w:b/>
                <w:color w:val="000000"/>
              </w:rPr>
              <w:t xml:space="preserve"> </w:t>
            </w:r>
          </w:p>
        </w:tc>
        <w:tc>
          <w:tcPr>
            <w:tcW w:w="567" w:type="dxa"/>
            <w:vAlign w:val="bottom"/>
          </w:tcPr>
          <w:p w14:paraId="603D2662"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24F667D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BFADF67" w14:textId="77777777" w:rsidR="008E5DE4" w:rsidRDefault="008E5DE4">
            <w:pPr>
              <w:widowControl w:val="0"/>
              <w:pBdr>
                <w:top w:val="nil"/>
                <w:left w:val="nil"/>
                <w:bottom w:val="nil"/>
                <w:right w:val="nil"/>
                <w:between w:val="nil"/>
              </w:pBdr>
              <w:jc w:val="right"/>
              <w:rPr>
                <w:b/>
                <w:color w:val="000000"/>
              </w:rPr>
            </w:pPr>
          </w:p>
        </w:tc>
      </w:tr>
      <w:tr w:rsidR="008E5DE4" w14:paraId="2D7B2345" w14:textId="77777777">
        <w:trPr>
          <w:cantSplit/>
        </w:trPr>
        <w:tc>
          <w:tcPr>
            <w:tcW w:w="5726" w:type="dxa"/>
            <w:vAlign w:val="bottom"/>
          </w:tcPr>
          <w:p w14:paraId="33B8D537" w14:textId="77777777" w:rsidR="008E5DE4" w:rsidRDefault="00780368">
            <w:pPr>
              <w:widowControl w:val="0"/>
              <w:pBdr>
                <w:top w:val="nil"/>
                <w:left w:val="nil"/>
                <w:bottom w:val="nil"/>
                <w:right w:val="nil"/>
                <w:between w:val="nil"/>
              </w:pBdr>
              <w:rPr>
                <w:b/>
                <w:color w:val="000000"/>
              </w:rPr>
            </w:pPr>
            <w:r>
              <w:rPr>
                <w:b/>
                <w:color w:val="000000"/>
              </w:rPr>
              <w:t xml:space="preserve">Total guarantees </w:t>
            </w:r>
            <w:proofErr w:type="gramStart"/>
            <w:r>
              <w:rPr>
                <w:b/>
                <w:color w:val="000000"/>
              </w:rPr>
              <w:t>at</w:t>
            </w:r>
            <w:proofErr w:type="gramEnd"/>
            <w:r>
              <w:rPr>
                <w:b/>
                <w:color w:val="000000"/>
              </w:rPr>
              <w:t xml:space="preserve"> 31 December</w:t>
            </w:r>
          </w:p>
        </w:tc>
        <w:tc>
          <w:tcPr>
            <w:tcW w:w="567" w:type="dxa"/>
            <w:vAlign w:val="bottom"/>
          </w:tcPr>
          <w:p w14:paraId="54D866C3"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0CEB3823"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6D53C68" w14:textId="77777777" w:rsidR="008E5DE4" w:rsidRDefault="008E5DE4">
            <w:pPr>
              <w:widowControl w:val="0"/>
              <w:pBdr>
                <w:top w:val="nil"/>
                <w:left w:val="nil"/>
                <w:bottom w:val="nil"/>
                <w:right w:val="nil"/>
                <w:between w:val="nil"/>
              </w:pBdr>
              <w:jc w:val="right"/>
              <w:rPr>
                <w:b/>
                <w:color w:val="000000"/>
              </w:rPr>
            </w:pPr>
          </w:p>
        </w:tc>
      </w:tr>
      <w:tr w:rsidR="008E5DE4" w14:paraId="7379FA9C" w14:textId="77777777">
        <w:trPr>
          <w:cantSplit/>
        </w:trPr>
        <w:tc>
          <w:tcPr>
            <w:tcW w:w="5726" w:type="dxa"/>
            <w:tcBorders>
              <w:bottom w:val="single" w:sz="12" w:space="0" w:color="000000"/>
            </w:tcBorders>
            <w:vAlign w:val="bottom"/>
          </w:tcPr>
          <w:p w14:paraId="6804DE76" w14:textId="77777777" w:rsidR="008E5DE4" w:rsidRDefault="00780368">
            <w:pPr>
              <w:widowControl w:val="0"/>
              <w:pBdr>
                <w:top w:val="nil"/>
                <w:left w:val="nil"/>
                <w:bottom w:val="nil"/>
                <w:right w:val="nil"/>
                <w:between w:val="nil"/>
              </w:pBdr>
              <w:rPr>
                <w:b/>
                <w:color w:val="000000"/>
              </w:rPr>
            </w:pPr>
            <w:r>
              <w:rPr>
                <w:b/>
                <w:color w:val="000000"/>
              </w:rPr>
              <w:t> </w:t>
            </w:r>
          </w:p>
        </w:tc>
        <w:tc>
          <w:tcPr>
            <w:tcW w:w="567" w:type="dxa"/>
            <w:tcBorders>
              <w:bottom w:val="single" w:sz="12" w:space="0" w:color="000000"/>
            </w:tcBorders>
            <w:vAlign w:val="bottom"/>
          </w:tcPr>
          <w:p w14:paraId="1DD75140"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tcBorders>
              <w:bottom w:val="single" w:sz="12" w:space="0" w:color="000000"/>
            </w:tcBorders>
            <w:vAlign w:val="bottom"/>
          </w:tcPr>
          <w:p w14:paraId="6854CBCE"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181B8996" w14:textId="77777777" w:rsidR="008E5DE4" w:rsidRDefault="008E5DE4">
            <w:pPr>
              <w:widowControl w:val="0"/>
              <w:pBdr>
                <w:top w:val="nil"/>
                <w:left w:val="nil"/>
                <w:bottom w:val="nil"/>
                <w:right w:val="nil"/>
                <w:between w:val="nil"/>
              </w:pBdr>
              <w:jc w:val="right"/>
              <w:rPr>
                <w:b/>
                <w:color w:val="000000"/>
              </w:rPr>
            </w:pPr>
          </w:p>
        </w:tc>
      </w:tr>
    </w:tbl>
    <w:p w14:paraId="29901893" w14:textId="2F3D0AC4"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fair value of guarantees was EUR _____ thousand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w:t>
      </w:r>
      <w:r w:rsidR="00E06A92">
        <w:rPr>
          <w:color w:val="000000"/>
          <w:sz w:val="20"/>
          <w:szCs w:val="20"/>
        </w:rPr>
        <w:t>2024</w:t>
      </w:r>
      <w:r>
        <w:rPr>
          <w:color w:val="000000"/>
          <w:sz w:val="20"/>
          <w:szCs w:val="20"/>
        </w:rPr>
        <w:t>:</w:t>
      </w:r>
      <w:r w:rsidR="00FA3B9A">
        <w:rPr>
          <w:color w:val="000000"/>
          <w:sz w:val="20"/>
          <w:szCs w:val="20"/>
        </w:rPr>
        <w:t xml:space="preserve"> </w:t>
      </w:r>
      <w:r>
        <w:rPr>
          <w:color w:val="000000"/>
          <w:sz w:val="20"/>
          <w:szCs w:val="20"/>
        </w:rPr>
        <w:t xml:space="preserve">EUR ____ thousand). </w:t>
      </w:r>
    </w:p>
    <w:p w14:paraId="180B9A71"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43</w:t>
      </w:r>
      <w:r>
        <w:rPr>
          <w:b/>
          <w:color w:val="000000"/>
          <w:sz w:val="20"/>
          <w:szCs w:val="20"/>
        </w:rPr>
        <w:tab/>
        <w:t>Contingencies and Commitments (Continued)</w:t>
      </w:r>
    </w:p>
    <w:p w14:paraId="1030AF21"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Assets pledged and restricted. </w:t>
      </w:r>
      <w:proofErr w:type="gramStart"/>
      <w:r>
        <w:rPr>
          <w:color w:val="000000"/>
          <w:sz w:val="20"/>
          <w:szCs w:val="20"/>
        </w:rPr>
        <w:t>At</w:t>
      </w:r>
      <w:proofErr w:type="gramEnd"/>
      <w:r>
        <w:rPr>
          <w:color w:val="000000"/>
          <w:sz w:val="20"/>
          <w:szCs w:val="20"/>
        </w:rPr>
        <w:t xml:space="preserve"> 31 December the Group has the following assets pledged as collateral:</w:t>
      </w:r>
    </w:p>
    <w:tbl>
      <w:tblPr>
        <w:tblStyle w:val="affffffffffff0"/>
        <w:tblW w:w="9341" w:type="dxa"/>
        <w:tblLayout w:type="fixed"/>
        <w:tblLook w:val="0000" w:firstRow="0" w:lastRow="0" w:firstColumn="0" w:lastColumn="0" w:noHBand="0" w:noVBand="0"/>
      </w:tblPr>
      <w:tblGrid>
        <w:gridCol w:w="3628"/>
        <w:gridCol w:w="737"/>
        <w:gridCol w:w="1247"/>
        <w:gridCol w:w="1247"/>
        <w:gridCol w:w="1247"/>
        <w:gridCol w:w="1235"/>
      </w:tblGrid>
      <w:tr w:rsidR="008E5DE4" w14:paraId="27F961EC" w14:textId="77777777">
        <w:trPr>
          <w:cantSplit/>
        </w:trPr>
        <w:tc>
          <w:tcPr>
            <w:tcW w:w="3628" w:type="dxa"/>
            <w:vAlign w:val="bottom"/>
          </w:tcPr>
          <w:p w14:paraId="36BB42CE" w14:textId="77777777" w:rsidR="008E5DE4" w:rsidRDefault="008E5DE4">
            <w:pPr>
              <w:widowControl w:val="0"/>
              <w:ind w:left="113" w:right="-57" w:hanging="113"/>
              <w:rPr>
                <w:b/>
              </w:rPr>
            </w:pPr>
          </w:p>
        </w:tc>
        <w:tc>
          <w:tcPr>
            <w:tcW w:w="737" w:type="dxa"/>
            <w:vAlign w:val="bottom"/>
          </w:tcPr>
          <w:p w14:paraId="48FEAD0E" w14:textId="77777777" w:rsidR="008E5DE4" w:rsidRDefault="008E5DE4">
            <w:pPr>
              <w:widowControl w:val="0"/>
              <w:pBdr>
                <w:top w:val="nil"/>
                <w:left w:val="nil"/>
                <w:bottom w:val="nil"/>
                <w:right w:val="nil"/>
                <w:between w:val="nil"/>
              </w:pBdr>
              <w:ind w:left="-57" w:right="-57"/>
              <w:jc w:val="center"/>
              <w:rPr>
                <w:b/>
                <w:color w:val="000000"/>
              </w:rPr>
            </w:pPr>
          </w:p>
        </w:tc>
        <w:tc>
          <w:tcPr>
            <w:tcW w:w="2494" w:type="dxa"/>
            <w:gridSpan w:val="2"/>
            <w:tcBorders>
              <w:bottom w:val="single" w:sz="4" w:space="0" w:color="000000"/>
            </w:tcBorders>
            <w:vAlign w:val="bottom"/>
          </w:tcPr>
          <w:p w14:paraId="6D41D237" w14:textId="711B5E4E" w:rsidR="008E5DE4" w:rsidRDefault="008614F8">
            <w:pPr>
              <w:widowControl w:val="0"/>
              <w:pBdr>
                <w:top w:val="nil"/>
                <w:left w:val="nil"/>
                <w:bottom w:val="nil"/>
                <w:right w:val="nil"/>
                <w:between w:val="nil"/>
              </w:pBdr>
              <w:jc w:val="center"/>
              <w:rPr>
                <w:b/>
                <w:color w:val="000000"/>
              </w:rPr>
            </w:pPr>
            <w:r>
              <w:rPr>
                <w:b/>
                <w:color w:val="000000"/>
              </w:rPr>
              <w:t>2025</w:t>
            </w:r>
          </w:p>
        </w:tc>
        <w:tc>
          <w:tcPr>
            <w:tcW w:w="2482" w:type="dxa"/>
            <w:gridSpan w:val="2"/>
            <w:tcBorders>
              <w:bottom w:val="single" w:sz="4" w:space="0" w:color="000000"/>
            </w:tcBorders>
            <w:vAlign w:val="bottom"/>
          </w:tcPr>
          <w:p w14:paraId="112A89E9" w14:textId="42EB3491" w:rsidR="008E5DE4" w:rsidRDefault="00E06A92">
            <w:pPr>
              <w:widowControl w:val="0"/>
              <w:pBdr>
                <w:top w:val="nil"/>
                <w:left w:val="nil"/>
                <w:bottom w:val="nil"/>
                <w:right w:val="nil"/>
                <w:between w:val="nil"/>
              </w:pBdr>
              <w:jc w:val="center"/>
              <w:rPr>
                <w:b/>
                <w:color w:val="000000"/>
              </w:rPr>
            </w:pPr>
            <w:r>
              <w:rPr>
                <w:b/>
                <w:color w:val="000000"/>
              </w:rPr>
              <w:t>2024</w:t>
            </w:r>
          </w:p>
        </w:tc>
      </w:tr>
      <w:tr w:rsidR="008E5DE4" w14:paraId="54965A73" w14:textId="77777777">
        <w:trPr>
          <w:cantSplit/>
        </w:trPr>
        <w:tc>
          <w:tcPr>
            <w:tcW w:w="3628" w:type="dxa"/>
            <w:tcBorders>
              <w:bottom w:val="single" w:sz="4" w:space="0" w:color="000000"/>
            </w:tcBorders>
            <w:vAlign w:val="bottom"/>
          </w:tcPr>
          <w:p w14:paraId="252E7001"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737" w:type="dxa"/>
            <w:tcBorders>
              <w:bottom w:val="single" w:sz="4" w:space="0" w:color="000000"/>
            </w:tcBorders>
            <w:vAlign w:val="bottom"/>
          </w:tcPr>
          <w:p w14:paraId="018BA4F8"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Notes</w:t>
            </w:r>
          </w:p>
        </w:tc>
        <w:tc>
          <w:tcPr>
            <w:tcW w:w="1247" w:type="dxa"/>
            <w:tcBorders>
              <w:top w:val="single" w:sz="4" w:space="0" w:color="000000"/>
              <w:bottom w:val="single" w:sz="4" w:space="0" w:color="000000"/>
            </w:tcBorders>
          </w:tcPr>
          <w:p w14:paraId="65445FF6" w14:textId="77777777" w:rsidR="008E5DE4" w:rsidRDefault="00780368">
            <w:pPr>
              <w:widowControl w:val="0"/>
              <w:pBdr>
                <w:top w:val="nil"/>
                <w:left w:val="nil"/>
                <w:bottom w:val="nil"/>
                <w:right w:val="nil"/>
                <w:between w:val="nil"/>
              </w:pBdr>
              <w:ind w:left="-113"/>
              <w:jc w:val="right"/>
              <w:rPr>
                <w:b/>
                <w:color w:val="000000"/>
              </w:rPr>
            </w:pPr>
            <w:r>
              <w:rPr>
                <w:b/>
                <w:color w:val="000000"/>
              </w:rPr>
              <w:t>Asset pledged</w:t>
            </w:r>
          </w:p>
        </w:tc>
        <w:tc>
          <w:tcPr>
            <w:tcW w:w="1247" w:type="dxa"/>
            <w:tcBorders>
              <w:top w:val="single" w:sz="4" w:space="0" w:color="000000"/>
              <w:bottom w:val="single" w:sz="4" w:space="0" w:color="000000"/>
            </w:tcBorders>
          </w:tcPr>
          <w:p w14:paraId="0B223E1B" w14:textId="77777777" w:rsidR="008E5DE4" w:rsidRDefault="00780368">
            <w:pPr>
              <w:widowControl w:val="0"/>
              <w:pBdr>
                <w:top w:val="nil"/>
                <w:left w:val="nil"/>
                <w:bottom w:val="nil"/>
                <w:right w:val="nil"/>
                <w:between w:val="nil"/>
              </w:pBdr>
              <w:ind w:left="-113"/>
              <w:jc w:val="right"/>
              <w:rPr>
                <w:b/>
                <w:color w:val="000000"/>
              </w:rPr>
            </w:pPr>
            <w:r>
              <w:rPr>
                <w:b/>
                <w:color w:val="000000"/>
              </w:rPr>
              <w:t>Related liability</w:t>
            </w:r>
          </w:p>
        </w:tc>
        <w:tc>
          <w:tcPr>
            <w:tcW w:w="1247" w:type="dxa"/>
            <w:tcBorders>
              <w:top w:val="single" w:sz="4" w:space="0" w:color="000000"/>
              <w:bottom w:val="single" w:sz="4" w:space="0" w:color="000000"/>
            </w:tcBorders>
          </w:tcPr>
          <w:p w14:paraId="3BB559AA" w14:textId="77777777" w:rsidR="008E5DE4" w:rsidRDefault="00780368">
            <w:pPr>
              <w:widowControl w:val="0"/>
              <w:pBdr>
                <w:top w:val="nil"/>
                <w:left w:val="nil"/>
                <w:bottom w:val="nil"/>
                <w:right w:val="nil"/>
                <w:between w:val="nil"/>
              </w:pBdr>
              <w:ind w:left="-113"/>
              <w:jc w:val="right"/>
              <w:rPr>
                <w:b/>
                <w:color w:val="000000"/>
              </w:rPr>
            </w:pPr>
            <w:r>
              <w:rPr>
                <w:b/>
                <w:color w:val="000000"/>
              </w:rPr>
              <w:t>Asset pledged</w:t>
            </w:r>
          </w:p>
        </w:tc>
        <w:tc>
          <w:tcPr>
            <w:tcW w:w="1235" w:type="dxa"/>
            <w:tcBorders>
              <w:top w:val="single" w:sz="4" w:space="0" w:color="000000"/>
              <w:bottom w:val="single" w:sz="4" w:space="0" w:color="000000"/>
            </w:tcBorders>
          </w:tcPr>
          <w:p w14:paraId="373DB004" w14:textId="77777777" w:rsidR="008E5DE4" w:rsidRDefault="00780368">
            <w:pPr>
              <w:widowControl w:val="0"/>
              <w:pBdr>
                <w:top w:val="nil"/>
                <w:left w:val="nil"/>
                <w:bottom w:val="nil"/>
                <w:right w:val="nil"/>
                <w:between w:val="nil"/>
              </w:pBdr>
              <w:ind w:left="-113"/>
              <w:jc w:val="right"/>
              <w:rPr>
                <w:b/>
                <w:color w:val="000000"/>
              </w:rPr>
            </w:pPr>
            <w:r>
              <w:rPr>
                <w:b/>
                <w:color w:val="000000"/>
              </w:rPr>
              <w:t>Related liability</w:t>
            </w:r>
          </w:p>
        </w:tc>
      </w:tr>
      <w:tr w:rsidR="008E5DE4" w14:paraId="48C9630A" w14:textId="77777777">
        <w:trPr>
          <w:cantSplit/>
        </w:trPr>
        <w:tc>
          <w:tcPr>
            <w:tcW w:w="3628" w:type="dxa"/>
            <w:tcBorders>
              <w:top w:val="single" w:sz="4" w:space="0" w:color="000000"/>
            </w:tcBorders>
            <w:vAlign w:val="bottom"/>
          </w:tcPr>
          <w:p w14:paraId="2718D52E" w14:textId="77777777" w:rsidR="008E5DE4" w:rsidRDefault="00780368">
            <w:pPr>
              <w:widowControl w:val="0"/>
              <w:ind w:left="113" w:right="-57" w:hanging="113"/>
              <w:rPr>
                <w:b/>
              </w:rPr>
            </w:pPr>
            <w:r>
              <w:t> </w:t>
            </w:r>
          </w:p>
        </w:tc>
        <w:tc>
          <w:tcPr>
            <w:tcW w:w="737" w:type="dxa"/>
            <w:tcBorders>
              <w:top w:val="single" w:sz="4" w:space="0" w:color="000000"/>
            </w:tcBorders>
            <w:vAlign w:val="bottom"/>
          </w:tcPr>
          <w:p w14:paraId="7EB712A9" w14:textId="77777777" w:rsidR="008E5DE4" w:rsidRDefault="008E5DE4">
            <w:pPr>
              <w:widowControl w:val="0"/>
              <w:ind w:left="-57" w:right="-57"/>
              <w:jc w:val="center"/>
              <w:rPr>
                <w:b/>
              </w:rPr>
            </w:pPr>
          </w:p>
        </w:tc>
        <w:tc>
          <w:tcPr>
            <w:tcW w:w="1247" w:type="dxa"/>
            <w:tcBorders>
              <w:top w:val="single" w:sz="4" w:space="0" w:color="000000"/>
            </w:tcBorders>
            <w:vAlign w:val="bottom"/>
          </w:tcPr>
          <w:p w14:paraId="5053CC23" w14:textId="77777777" w:rsidR="008E5DE4" w:rsidRDefault="008E5DE4">
            <w:pPr>
              <w:widowControl w:val="0"/>
              <w:pBdr>
                <w:top w:val="nil"/>
                <w:left w:val="nil"/>
                <w:bottom w:val="nil"/>
                <w:right w:val="nil"/>
                <w:between w:val="nil"/>
              </w:pBdr>
              <w:jc w:val="right"/>
              <w:rPr>
                <w:color w:val="000000"/>
              </w:rPr>
            </w:pPr>
          </w:p>
        </w:tc>
        <w:tc>
          <w:tcPr>
            <w:tcW w:w="1247" w:type="dxa"/>
            <w:tcBorders>
              <w:top w:val="single" w:sz="4" w:space="0" w:color="000000"/>
            </w:tcBorders>
            <w:vAlign w:val="bottom"/>
          </w:tcPr>
          <w:p w14:paraId="39CB468A" w14:textId="77777777" w:rsidR="008E5DE4" w:rsidRDefault="008E5DE4">
            <w:pPr>
              <w:widowControl w:val="0"/>
              <w:pBdr>
                <w:top w:val="nil"/>
                <w:left w:val="nil"/>
                <w:bottom w:val="nil"/>
                <w:right w:val="nil"/>
                <w:between w:val="nil"/>
              </w:pBdr>
              <w:jc w:val="right"/>
              <w:rPr>
                <w:color w:val="000000"/>
              </w:rPr>
            </w:pPr>
          </w:p>
        </w:tc>
        <w:tc>
          <w:tcPr>
            <w:tcW w:w="1247" w:type="dxa"/>
            <w:tcBorders>
              <w:top w:val="single" w:sz="4" w:space="0" w:color="000000"/>
            </w:tcBorders>
            <w:vAlign w:val="bottom"/>
          </w:tcPr>
          <w:p w14:paraId="465DDE38" w14:textId="77777777" w:rsidR="008E5DE4" w:rsidRDefault="008E5DE4">
            <w:pPr>
              <w:widowControl w:val="0"/>
              <w:pBdr>
                <w:top w:val="nil"/>
                <w:left w:val="nil"/>
                <w:bottom w:val="nil"/>
                <w:right w:val="nil"/>
                <w:between w:val="nil"/>
              </w:pBdr>
              <w:jc w:val="right"/>
              <w:rPr>
                <w:color w:val="000000"/>
              </w:rPr>
            </w:pPr>
          </w:p>
        </w:tc>
        <w:tc>
          <w:tcPr>
            <w:tcW w:w="1235" w:type="dxa"/>
            <w:tcBorders>
              <w:top w:val="single" w:sz="4" w:space="0" w:color="000000"/>
            </w:tcBorders>
            <w:vAlign w:val="bottom"/>
          </w:tcPr>
          <w:p w14:paraId="1A22EC21" w14:textId="77777777" w:rsidR="008E5DE4" w:rsidRDefault="008E5DE4">
            <w:pPr>
              <w:widowControl w:val="0"/>
              <w:pBdr>
                <w:top w:val="nil"/>
                <w:left w:val="nil"/>
                <w:bottom w:val="nil"/>
                <w:right w:val="nil"/>
                <w:between w:val="nil"/>
              </w:pBdr>
              <w:jc w:val="right"/>
              <w:rPr>
                <w:color w:val="000000"/>
              </w:rPr>
            </w:pPr>
          </w:p>
        </w:tc>
      </w:tr>
      <w:tr w:rsidR="008E5DE4" w14:paraId="7793C34A" w14:textId="77777777">
        <w:trPr>
          <w:cantSplit/>
        </w:trPr>
        <w:tc>
          <w:tcPr>
            <w:tcW w:w="3628" w:type="dxa"/>
            <w:vAlign w:val="bottom"/>
          </w:tcPr>
          <w:p w14:paraId="70E9412F" w14:textId="77777777" w:rsidR="008E5DE4" w:rsidRDefault="00780368">
            <w:pPr>
              <w:widowControl w:val="0"/>
              <w:ind w:left="113" w:right="-57" w:hanging="113"/>
            </w:pPr>
            <w:r>
              <w:t>Investments in debt securities</w:t>
            </w:r>
          </w:p>
        </w:tc>
        <w:tc>
          <w:tcPr>
            <w:tcW w:w="737" w:type="dxa"/>
            <w:vAlign w:val="bottom"/>
          </w:tcPr>
          <w:p w14:paraId="3F769E03" w14:textId="77777777" w:rsidR="008E5DE4" w:rsidRDefault="008E5DE4">
            <w:pPr>
              <w:widowControl w:val="0"/>
              <w:ind w:left="-57" w:right="-57"/>
              <w:jc w:val="center"/>
              <w:rPr>
                <w:b/>
              </w:rPr>
            </w:pPr>
          </w:p>
        </w:tc>
        <w:tc>
          <w:tcPr>
            <w:tcW w:w="1247" w:type="dxa"/>
            <w:vAlign w:val="bottom"/>
          </w:tcPr>
          <w:p w14:paraId="4498AF55"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308B2C57"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6630E4FD" w14:textId="77777777" w:rsidR="008E5DE4" w:rsidRDefault="008E5DE4">
            <w:pPr>
              <w:widowControl w:val="0"/>
              <w:pBdr>
                <w:top w:val="nil"/>
                <w:left w:val="nil"/>
                <w:bottom w:val="nil"/>
                <w:right w:val="nil"/>
                <w:between w:val="nil"/>
              </w:pBdr>
              <w:jc w:val="right"/>
              <w:rPr>
                <w:color w:val="000000"/>
              </w:rPr>
            </w:pPr>
          </w:p>
        </w:tc>
        <w:tc>
          <w:tcPr>
            <w:tcW w:w="1235" w:type="dxa"/>
            <w:vAlign w:val="bottom"/>
          </w:tcPr>
          <w:p w14:paraId="7CCDA083" w14:textId="77777777" w:rsidR="008E5DE4" w:rsidRDefault="008E5DE4">
            <w:pPr>
              <w:widowControl w:val="0"/>
              <w:pBdr>
                <w:top w:val="nil"/>
                <w:left w:val="nil"/>
                <w:bottom w:val="nil"/>
                <w:right w:val="nil"/>
                <w:between w:val="nil"/>
              </w:pBdr>
              <w:jc w:val="right"/>
              <w:rPr>
                <w:color w:val="000000"/>
              </w:rPr>
            </w:pPr>
          </w:p>
        </w:tc>
      </w:tr>
      <w:tr w:rsidR="008E5DE4" w14:paraId="54FE653A" w14:textId="77777777">
        <w:trPr>
          <w:cantSplit/>
        </w:trPr>
        <w:tc>
          <w:tcPr>
            <w:tcW w:w="3628" w:type="dxa"/>
            <w:vAlign w:val="bottom"/>
          </w:tcPr>
          <w:p w14:paraId="7AB7D7E7" w14:textId="77777777" w:rsidR="008E5DE4" w:rsidRDefault="00780368">
            <w:pPr>
              <w:widowControl w:val="0"/>
              <w:ind w:left="113" w:right="-57" w:hanging="113"/>
            </w:pPr>
            <w:r>
              <w:t>Investments in equity securities</w:t>
            </w:r>
          </w:p>
        </w:tc>
        <w:tc>
          <w:tcPr>
            <w:tcW w:w="737" w:type="dxa"/>
            <w:vAlign w:val="bottom"/>
          </w:tcPr>
          <w:p w14:paraId="79E2BA04" w14:textId="77777777" w:rsidR="008E5DE4" w:rsidRDefault="008E5DE4">
            <w:pPr>
              <w:widowControl w:val="0"/>
              <w:ind w:left="-57" w:right="-57"/>
              <w:jc w:val="center"/>
              <w:rPr>
                <w:b/>
              </w:rPr>
            </w:pPr>
          </w:p>
        </w:tc>
        <w:tc>
          <w:tcPr>
            <w:tcW w:w="1247" w:type="dxa"/>
            <w:vAlign w:val="bottom"/>
          </w:tcPr>
          <w:p w14:paraId="0A072A76"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4FF49FD9"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76A51D66" w14:textId="77777777" w:rsidR="008E5DE4" w:rsidRDefault="008E5DE4">
            <w:pPr>
              <w:widowControl w:val="0"/>
              <w:pBdr>
                <w:top w:val="nil"/>
                <w:left w:val="nil"/>
                <w:bottom w:val="nil"/>
                <w:right w:val="nil"/>
                <w:between w:val="nil"/>
              </w:pBdr>
              <w:jc w:val="right"/>
              <w:rPr>
                <w:color w:val="000000"/>
              </w:rPr>
            </w:pPr>
          </w:p>
        </w:tc>
        <w:tc>
          <w:tcPr>
            <w:tcW w:w="1235" w:type="dxa"/>
            <w:vAlign w:val="bottom"/>
          </w:tcPr>
          <w:p w14:paraId="3765BC87" w14:textId="77777777" w:rsidR="008E5DE4" w:rsidRDefault="008E5DE4">
            <w:pPr>
              <w:widowControl w:val="0"/>
              <w:pBdr>
                <w:top w:val="nil"/>
                <w:left w:val="nil"/>
                <w:bottom w:val="nil"/>
                <w:right w:val="nil"/>
                <w:between w:val="nil"/>
              </w:pBdr>
              <w:jc w:val="right"/>
              <w:rPr>
                <w:color w:val="000000"/>
              </w:rPr>
            </w:pPr>
          </w:p>
        </w:tc>
      </w:tr>
      <w:tr w:rsidR="008E5DE4" w14:paraId="65877560" w14:textId="77777777">
        <w:trPr>
          <w:cantSplit/>
        </w:trPr>
        <w:tc>
          <w:tcPr>
            <w:tcW w:w="3628" w:type="dxa"/>
            <w:vAlign w:val="bottom"/>
          </w:tcPr>
          <w:p w14:paraId="3E7E4846"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properties</w:t>
            </w:r>
          </w:p>
        </w:tc>
        <w:tc>
          <w:tcPr>
            <w:tcW w:w="737" w:type="dxa"/>
            <w:vAlign w:val="bottom"/>
          </w:tcPr>
          <w:p w14:paraId="0DA775FB" w14:textId="77777777" w:rsidR="008E5DE4" w:rsidRDefault="00780368">
            <w:pPr>
              <w:widowControl w:val="0"/>
              <w:ind w:left="-57" w:right="-57"/>
              <w:jc w:val="center"/>
            </w:pPr>
            <w:r>
              <w:t>10, 28</w:t>
            </w:r>
          </w:p>
        </w:tc>
        <w:tc>
          <w:tcPr>
            <w:tcW w:w="1247" w:type="dxa"/>
            <w:vAlign w:val="bottom"/>
          </w:tcPr>
          <w:p w14:paraId="6C65DBC6"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1AAD209C"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7EC8C6E0" w14:textId="77777777" w:rsidR="008E5DE4" w:rsidRDefault="008E5DE4">
            <w:pPr>
              <w:widowControl w:val="0"/>
              <w:pBdr>
                <w:top w:val="nil"/>
                <w:left w:val="nil"/>
                <w:bottom w:val="nil"/>
                <w:right w:val="nil"/>
                <w:between w:val="nil"/>
              </w:pBdr>
              <w:jc w:val="right"/>
              <w:rPr>
                <w:color w:val="000000"/>
              </w:rPr>
            </w:pPr>
          </w:p>
        </w:tc>
        <w:tc>
          <w:tcPr>
            <w:tcW w:w="1235" w:type="dxa"/>
            <w:vAlign w:val="bottom"/>
          </w:tcPr>
          <w:p w14:paraId="77828724" w14:textId="77777777" w:rsidR="008E5DE4" w:rsidRDefault="008E5DE4">
            <w:pPr>
              <w:widowControl w:val="0"/>
              <w:pBdr>
                <w:top w:val="nil"/>
                <w:left w:val="nil"/>
                <w:bottom w:val="nil"/>
                <w:right w:val="nil"/>
                <w:between w:val="nil"/>
              </w:pBdr>
              <w:jc w:val="right"/>
              <w:rPr>
                <w:color w:val="000000"/>
              </w:rPr>
            </w:pPr>
          </w:p>
        </w:tc>
      </w:tr>
      <w:tr w:rsidR="008E5DE4" w14:paraId="10F14A3E" w14:textId="77777777">
        <w:trPr>
          <w:cantSplit/>
        </w:trPr>
        <w:tc>
          <w:tcPr>
            <w:tcW w:w="3628" w:type="dxa"/>
            <w:vAlign w:val="bottom"/>
          </w:tcPr>
          <w:p w14:paraId="18AEC31D" w14:textId="77777777" w:rsidR="008E5DE4" w:rsidRDefault="00780368">
            <w:pPr>
              <w:widowControl w:val="0"/>
              <w:pBdr>
                <w:top w:val="nil"/>
                <w:left w:val="nil"/>
                <w:bottom w:val="nil"/>
                <w:right w:val="nil"/>
                <w:between w:val="nil"/>
              </w:pBdr>
              <w:ind w:left="113" w:right="-57" w:hanging="113"/>
              <w:rPr>
                <w:color w:val="000000"/>
              </w:rPr>
            </w:pPr>
            <w:r>
              <w:rPr>
                <w:color w:val="000000"/>
              </w:rPr>
              <w:t>Property, plant and equipment</w:t>
            </w:r>
          </w:p>
        </w:tc>
        <w:tc>
          <w:tcPr>
            <w:tcW w:w="737" w:type="dxa"/>
            <w:vAlign w:val="bottom"/>
          </w:tcPr>
          <w:p w14:paraId="037FDDD8" w14:textId="77777777" w:rsidR="008E5DE4" w:rsidRDefault="00780368">
            <w:pPr>
              <w:widowControl w:val="0"/>
              <w:ind w:left="-57" w:right="-57"/>
              <w:jc w:val="center"/>
            </w:pPr>
            <w:r>
              <w:t>9, 28</w:t>
            </w:r>
          </w:p>
        </w:tc>
        <w:tc>
          <w:tcPr>
            <w:tcW w:w="1247" w:type="dxa"/>
            <w:vAlign w:val="bottom"/>
          </w:tcPr>
          <w:p w14:paraId="5B6E64AF"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351976C6"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2CEE64AB" w14:textId="77777777" w:rsidR="008E5DE4" w:rsidRDefault="008E5DE4">
            <w:pPr>
              <w:widowControl w:val="0"/>
              <w:pBdr>
                <w:top w:val="nil"/>
                <w:left w:val="nil"/>
                <w:bottom w:val="nil"/>
                <w:right w:val="nil"/>
                <w:between w:val="nil"/>
              </w:pBdr>
              <w:jc w:val="right"/>
              <w:rPr>
                <w:color w:val="000000"/>
              </w:rPr>
            </w:pPr>
          </w:p>
        </w:tc>
        <w:tc>
          <w:tcPr>
            <w:tcW w:w="1235" w:type="dxa"/>
            <w:vAlign w:val="bottom"/>
          </w:tcPr>
          <w:p w14:paraId="5098CCB0" w14:textId="77777777" w:rsidR="008E5DE4" w:rsidRDefault="008E5DE4">
            <w:pPr>
              <w:widowControl w:val="0"/>
              <w:pBdr>
                <w:top w:val="nil"/>
                <w:left w:val="nil"/>
                <w:bottom w:val="nil"/>
                <w:right w:val="nil"/>
                <w:between w:val="nil"/>
              </w:pBdr>
              <w:jc w:val="right"/>
              <w:rPr>
                <w:color w:val="000000"/>
              </w:rPr>
            </w:pPr>
          </w:p>
        </w:tc>
      </w:tr>
      <w:tr w:rsidR="008E5DE4" w14:paraId="52469992" w14:textId="77777777">
        <w:trPr>
          <w:cantSplit/>
        </w:trPr>
        <w:tc>
          <w:tcPr>
            <w:tcW w:w="3628" w:type="dxa"/>
            <w:vAlign w:val="bottom"/>
          </w:tcPr>
          <w:p w14:paraId="13B9D8E2" w14:textId="77777777" w:rsidR="008E5DE4" w:rsidRDefault="00780368">
            <w:pPr>
              <w:widowControl w:val="0"/>
              <w:pBdr>
                <w:top w:val="nil"/>
                <w:left w:val="nil"/>
                <w:bottom w:val="nil"/>
                <w:right w:val="nil"/>
                <w:between w:val="nil"/>
              </w:pBdr>
              <w:ind w:left="113" w:right="-57" w:hanging="113"/>
              <w:rPr>
                <w:color w:val="000000"/>
              </w:rPr>
            </w:pPr>
            <w:r>
              <w:rPr>
                <w:color w:val="000000"/>
              </w:rPr>
              <w:t>Inventories</w:t>
            </w:r>
          </w:p>
        </w:tc>
        <w:tc>
          <w:tcPr>
            <w:tcW w:w="737" w:type="dxa"/>
            <w:vAlign w:val="bottom"/>
          </w:tcPr>
          <w:p w14:paraId="5BC21DF5" w14:textId="77777777" w:rsidR="008E5DE4" w:rsidRDefault="00780368">
            <w:pPr>
              <w:widowControl w:val="0"/>
              <w:ind w:left="-57" w:right="-57"/>
              <w:jc w:val="center"/>
            </w:pPr>
            <w:r>
              <w:t>19, 28</w:t>
            </w:r>
          </w:p>
        </w:tc>
        <w:tc>
          <w:tcPr>
            <w:tcW w:w="1247" w:type="dxa"/>
            <w:vAlign w:val="bottom"/>
          </w:tcPr>
          <w:p w14:paraId="41042143"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567CD856" w14:textId="77777777" w:rsidR="008E5DE4" w:rsidRDefault="008E5DE4">
            <w:pPr>
              <w:widowControl w:val="0"/>
              <w:pBdr>
                <w:top w:val="nil"/>
                <w:left w:val="nil"/>
                <w:bottom w:val="nil"/>
                <w:right w:val="nil"/>
                <w:between w:val="nil"/>
              </w:pBdr>
              <w:jc w:val="right"/>
              <w:rPr>
                <w:color w:val="000000"/>
              </w:rPr>
            </w:pPr>
          </w:p>
        </w:tc>
        <w:tc>
          <w:tcPr>
            <w:tcW w:w="1247" w:type="dxa"/>
            <w:vAlign w:val="bottom"/>
          </w:tcPr>
          <w:p w14:paraId="0E8442A6" w14:textId="77777777" w:rsidR="008E5DE4" w:rsidRDefault="008E5DE4">
            <w:pPr>
              <w:widowControl w:val="0"/>
              <w:pBdr>
                <w:top w:val="nil"/>
                <w:left w:val="nil"/>
                <w:bottom w:val="nil"/>
                <w:right w:val="nil"/>
                <w:between w:val="nil"/>
              </w:pBdr>
              <w:jc w:val="right"/>
              <w:rPr>
                <w:color w:val="000000"/>
              </w:rPr>
            </w:pPr>
          </w:p>
        </w:tc>
        <w:tc>
          <w:tcPr>
            <w:tcW w:w="1235" w:type="dxa"/>
            <w:vAlign w:val="bottom"/>
          </w:tcPr>
          <w:p w14:paraId="02FD80E6" w14:textId="77777777" w:rsidR="008E5DE4" w:rsidRDefault="008E5DE4">
            <w:pPr>
              <w:widowControl w:val="0"/>
              <w:pBdr>
                <w:top w:val="nil"/>
                <w:left w:val="nil"/>
                <w:bottom w:val="nil"/>
                <w:right w:val="nil"/>
                <w:between w:val="nil"/>
              </w:pBdr>
              <w:jc w:val="right"/>
              <w:rPr>
                <w:color w:val="000000"/>
              </w:rPr>
            </w:pPr>
          </w:p>
        </w:tc>
      </w:tr>
      <w:tr w:rsidR="008E5DE4" w14:paraId="5848638B" w14:textId="77777777">
        <w:trPr>
          <w:cantSplit/>
        </w:trPr>
        <w:tc>
          <w:tcPr>
            <w:tcW w:w="3628" w:type="dxa"/>
            <w:tcBorders>
              <w:bottom w:val="single" w:sz="4" w:space="0" w:color="000000"/>
            </w:tcBorders>
            <w:vAlign w:val="bottom"/>
          </w:tcPr>
          <w:p w14:paraId="797E61B6" w14:textId="77777777" w:rsidR="008E5DE4" w:rsidRDefault="00780368">
            <w:pPr>
              <w:widowControl w:val="0"/>
              <w:ind w:left="113" w:right="-57" w:hanging="113"/>
            </w:pPr>
            <w:r>
              <w:t> </w:t>
            </w:r>
          </w:p>
        </w:tc>
        <w:tc>
          <w:tcPr>
            <w:tcW w:w="737" w:type="dxa"/>
            <w:tcBorders>
              <w:bottom w:val="single" w:sz="4" w:space="0" w:color="000000"/>
            </w:tcBorders>
            <w:vAlign w:val="bottom"/>
          </w:tcPr>
          <w:p w14:paraId="007774A3" w14:textId="77777777" w:rsidR="008E5DE4" w:rsidRDefault="008E5DE4">
            <w:pPr>
              <w:widowControl w:val="0"/>
              <w:ind w:left="-57" w:right="-57"/>
              <w:jc w:val="center"/>
            </w:pPr>
          </w:p>
        </w:tc>
        <w:tc>
          <w:tcPr>
            <w:tcW w:w="1247" w:type="dxa"/>
            <w:tcBorders>
              <w:bottom w:val="single" w:sz="4" w:space="0" w:color="000000"/>
            </w:tcBorders>
            <w:vAlign w:val="bottom"/>
          </w:tcPr>
          <w:p w14:paraId="01C24BE3" w14:textId="77777777" w:rsidR="008E5DE4" w:rsidRDefault="008E5DE4">
            <w:pPr>
              <w:widowControl w:val="0"/>
              <w:pBdr>
                <w:top w:val="nil"/>
                <w:left w:val="nil"/>
                <w:bottom w:val="nil"/>
                <w:right w:val="nil"/>
                <w:between w:val="nil"/>
              </w:pBdr>
              <w:jc w:val="right"/>
              <w:rPr>
                <w:color w:val="000000"/>
              </w:rPr>
            </w:pPr>
          </w:p>
        </w:tc>
        <w:tc>
          <w:tcPr>
            <w:tcW w:w="1247" w:type="dxa"/>
            <w:tcBorders>
              <w:bottom w:val="single" w:sz="4" w:space="0" w:color="000000"/>
            </w:tcBorders>
            <w:vAlign w:val="bottom"/>
          </w:tcPr>
          <w:p w14:paraId="15E5FF90" w14:textId="77777777" w:rsidR="008E5DE4" w:rsidRDefault="008E5DE4">
            <w:pPr>
              <w:widowControl w:val="0"/>
              <w:pBdr>
                <w:top w:val="nil"/>
                <w:left w:val="nil"/>
                <w:bottom w:val="nil"/>
                <w:right w:val="nil"/>
                <w:between w:val="nil"/>
              </w:pBdr>
              <w:jc w:val="right"/>
              <w:rPr>
                <w:color w:val="000000"/>
              </w:rPr>
            </w:pPr>
          </w:p>
        </w:tc>
        <w:tc>
          <w:tcPr>
            <w:tcW w:w="1247" w:type="dxa"/>
            <w:tcBorders>
              <w:bottom w:val="single" w:sz="4" w:space="0" w:color="000000"/>
            </w:tcBorders>
            <w:vAlign w:val="bottom"/>
          </w:tcPr>
          <w:p w14:paraId="3389E9DA" w14:textId="77777777" w:rsidR="008E5DE4" w:rsidRDefault="008E5DE4">
            <w:pPr>
              <w:widowControl w:val="0"/>
              <w:pBdr>
                <w:top w:val="nil"/>
                <w:left w:val="nil"/>
                <w:bottom w:val="nil"/>
                <w:right w:val="nil"/>
                <w:between w:val="nil"/>
              </w:pBdr>
              <w:jc w:val="right"/>
              <w:rPr>
                <w:color w:val="000000"/>
              </w:rPr>
            </w:pPr>
          </w:p>
        </w:tc>
        <w:tc>
          <w:tcPr>
            <w:tcW w:w="1235" w:type="dxa"/>
            <w:tcBorders>
              <w:bottom w:val="single" w:sz="4" w:space="0" w:color="000000"/>
            </w:tcBorders>
            <w:vAlign w:val="bottom"/>
          </w:tcPr>
          <w:p w14:paraId="4CDD13AB" w14:textId="77777777" w:rsidR="008E5DE4" w:rsidRDefault="008E5DE4">
            <w:pPr>
              <w:widowControl w:val="0"/>
              <w:pBdr>
                <w:top w:val="nil"/>
                <w:left w:val="nil"/>
                <w:bottom w:val="nil"/>
                <w:right w:val="nil"/>
                <w:between w:val="nil"/>
              </w:pBdr>
              <w:jc w:val="right"/>
              <w:rPr>
                <w:color w:val="000000"/>
              </w:rPr>
            </w:pPr>
          </w:p>
        </w:tc>
      </w:tr>
      <w:tr w:rsidR="008E5DE4" w14:paraId="757F50B9" w14:textId="77777777">
        <w:trPr>
          <w:cantSplit/>
        </w:trPr>
        <w:tc>
          <w:tcPr>
            <w:tcW w:w="3628" w:type="dxa"/>
            <w:tcBorders>
              <w:top w:val="single" w:sz="4" w:space="0" w:color="000000"/>
            </w:tcBorders>
            <w:vAlign w:val="bottom"/>
          </w:tcPr>
          <w:p w14:paraId="6C1FBA8A" w14:textId="77777777" w:rsidR="008E5DE4" w:rsidRDefault="00780368">
            <w:pPr>
              <w:widowControl w:val="0"/>
              <w:ind w:left="113" w:right="-57" w:hanging="113"/>
            </w:pPr>
            <w:r>
              <w:t> </w:t>
            </w:r>
          </w:p>
        </w:tc>
        <w:tc>
          <w:tcPr>
            <w:tcW w:w="737" w:type="dxa"/>
            <w:tcBorders>
              <w:top w:val="single" w:sz="4" w:space="0" w:color="000000"/>
            </w:tcBorders>
            <w:vAlign w:val="bottom"/>
          </w:tcPr>
          <w:p w14:paraId="18442151" w14:textId="77777777" w:rsidR="008E5DE4" w:rsidRDefault="008E5DE4">
            <w:pPr>
              <w:widowControl w:val="0"/>
              <w:ind w:left="-57" w:right="-57"/>
              <w:jc w:val="center"/>
              <w:rPr>
                <w:b/>
              </w:rPr>
            </w:pPr>
          </w:p>
        </w:tc>
        <w:tc>
          <w:tcPr>
            <w:tcW w:w="1247" w:type="dxa"/>
            <w:tcBorders>
              <w:top w:val="single" w:sz="4" w:space="0" w:color="000000"/>
            </w:tcBorders>
            <w:vAlign w:val="bottom"/>
          </w:tcPr>
          <w:p w14:paraId="08BEEA89" w14:textId="77777777" w:rsidR="008E5DE4" w:rsidRDefault="008E5DE4">
            <w:pPr>
              <w:widowControl w:val="0"/>
              <w:pBdr>
                <w:top w:val="nil"/>
                <w:left w:val="nil"/>
                <w:bottom w:val="nil"/>
                <w:right w:val="nil"/>
                <w:between w:val="nil"/>
              </w:pBdr>
              <w:jc w:val="right"/>
              <w:rPr>
                <w:b/>
                <w:color w:val="000000"/>
              </w:rPr>
            </w:pPr>
          </w:p>
        </w:tc>
        <w:tc>
          <w:tcPr>
            <w:tcW w:w="1247" w:type="dxa"/>
            <w:tcBorders>
              <w:top w:val="single" w:sz="4" w:space="0" w:color="000000"/>
            </w:tcBorders>
            <w:vAlign w:val="bottom"/>
          </w:tcPr>
          <w:p w14:paraId="1F382F89" w14:textId="77777777" w:rsidR="008E5DE4" w:rsidRDefault="008E5DE4">
            <w:pPr>
              <w:widowControl w:val="0"/>
              <w:pBdr>
                <w:top w:val="nil"/>
                <w:left w:val="nil"/>
                <w:bottom w:val="nil"/>
                <w:right w:val="nil"/>
                <w:between w:val="nil"/>
              </w:pBdr>
              <w:jc w:val="right"/>
              <w:rPr>
                <w:b/>
                <w:color w:val="000000"/>
              </w:rPr>
            </w:pPr>
          </w:p>
        </w:tc>
        <w:tc>
          <w:tcPr>
            <w:tcW w:w="1247" w:type="dxa"/>
            <w:tcBorders>
              <w:top w:val="single" w:sz="4" w:space="0" w:color="000000"/>
            </w:tcBorders>
            <w:vAlign w:val="bottom"/>
          </w:tcPr>
          <w:p w14:paraId="4984633A" w14:textId="77777777" w:rsidR="008E5DE4" w:rsidRDefault="008E5DE4">
            <w:pPr>
              <w:widowControl w:val="0"/>
              <w:pBdr>
                <w:top w:val="nil"/>
                <w:left w:val="nil"/>
                <w:bottom w:val="nil"/>
                <w:right w:val="nil"/>
                <w:between w:val="nil"/>
              </w:pBdr>
              <w:jc w:val="right"/>
              <w:rPr>
                <w:b/>
                <w:color w:val="000000"/>
              </w:rPr>
            </w:pPr>
          </w:p>
        </w:tc>
        <w:tc>
          <w:tcPr>
            <w:tcW w:w="1235" w:type="dxa"/>
            <w:tcBorders>
              <w:top w:val="single" w:sz="4" w:space="0" w:color="000000"/>
            </w:tcBorders>
            <w:vAlign w:val="bottom"/>
          </w:tcPr>
          <w:p w14:paraId="76DF7458" w14:textId="77777777" w:rsidR="008E5DE4" w:rsidRDefault="008E5DE4">
            <w:pPr>
              <w:widowControl w:val="0"/>
              <w:pBdr>
                <w:top w:val="nil"/>
                <w:left w:val="nil"/>
                <w:bottom w:val="nil"/>
                <w:right w:val="nil"/>
                <w:between w:val="nil"/>
              </w:pBdr>
              <w:jc w:val="right"/>
              <w:rPr>
                <w:b/>
                <w:color w:val="000000"/>
              </w:rPr>
            </w:pPr>
          </w:p>
        </w:tc>
      </w:tr>
      <w:tr w:rsidR="008E5DE4" w14:paraId="3105999D" w14:textId="77777777">
        <w:trPr>
          <w:cantSplit/>
        </w:trPr>
        <w:tc>
          <w:tcPr>
            <w:tcW w:w="3628" w:type="dxa"/>
            <w:vAlign w:val="bottom"/>
          </w:tcPr>
          <w:p w14:paraId="3048B3AE"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Total assets pledged and restricted </w:t>
            </w:r>
            <w:proofErr w:type="gramStart"/>
            <w:r>
              <w:rPr>
                <w:b/>
                <w:color w:val="000000"/>
              </w:rPr>
              <w:t>at</w:t>
            </w:r>
            <w:proofErr w:type="gramEnd"/>
            <w:r>
              <w:rPr>
                <w:b/>
                <w:color w:val="000000"/>
              </w:rPr>
              <w:t xml:space="preserve"> 31 December</w:t>
            </w:r>
          </w:p>
        </w:tc>
        <w:tc>
          <w:tcPr>
            <w:tcW w:w="737" w:type="dxa"/>
            <w:vAlign w:val="bottom"/>
          </w:tcPr>
          <w:p w14:paraId="7021F865" w14:textId="77777777" w:rsidR="008E5DE4" w:rsidRDefault="008E5DE4">
            <w:pPr>
              <w:widowControl w:val="0"/>
              <w:ind w:left="-57" w:right="-57"/>
              <w:jc w:val="center"/>
              <w:rPr>
                <w:b/>
              </w:rPr>
            </w:pPr>
          </w:p>
        </w:tc>
        <w:tc>
          <w:tcPr>
            <w:tcW w:w="1247" w:type="dxa"/>
            <w:vAlign w:val="bottom"/>
          </w:tcPr>
          <w:p w14:paraId="624320E4"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4451C1BD" w14:textId="77777777" w:rsidR="008E5DE4" w:rsidRDefault="008E5DE4">
            <w:pPr>
              <w:widowControl w:val="0"/>
              <w:pBdr>
                <w:top w:val="nil"/>
                <w:left w:val="nil"/>
                <w:bottom w:val="nil"/>
                <w:right w:val="nil"/>
                <w:between w:val="nil"/>
              </w:pBdr>
              <w:jc w:val="right"/>
              <w:rPr>
                <w:b/>
                <w:color w:val="000000"/>
              </w:rPr>
            </w:pPr>
          </w:p>
        </w:tc>
        <w:tc>
          <w:tcPr>
            <w:tcW w:w="1247" w:type="dxa"/>
            <w:vAlign w:val="bottom"/>
          </w:tcPr>
          <w:p w14:paraId="0F82539E" w14:textId="77777777" w:rsidR="008E5DE4" w:rsidRDefault="008E5DE4">
            <w:pPr>
              <w:widowControl w:val="0"/>
              <w:pBdr>
                <w:top w:val="nil"/>
                <w:left w:val="nil"/>
                <w:bottom w:val="nil"/>
                <w:right w:val="nil"/>
                <w:between w:val="nil"/>
              </w:pBdr>
              <w:jc w:val="right"/>
              <w:rPr>
                <w:b/>
                <w:color w:val="000000"/>
              </w:rPr>
            </w:pPr>
          </w:p>
        </w:tc>
        <w:tc>
          <w:tcPr>
            <w:tcW w:w="1235" w:type="dxa"/>
            <w:vAlign w:val="bottom"/>
          </w:tcPr>
          <w:p w14:paraId="15CE93B7" w14:textId="77777777" w:rsidR="008E5DE4" w:rsidRDefault="008E5DE4">
            <w:pPr>
              <w:widowControl w:val="0"/>
              <w:pBdr>
                <w:top w:val="nil"/>
                <w:left w:val="nil"/>
                <w:bottom w:val="nil"/>
                <w:right w:val="nil"/>
                <w:between w:val="nil"/>
              </w:pBdr>
              <w:jc w:val="right"/>
              <w:rPr>
                <w:b/>
                <w:color w:val="000000"/>
              </w:rPr>
            </w:pPr>
          </w:p>
        </w:tc>
      </w:tr>
      <w:tr w:rsidR="008E5DE4" w14:paraId="4DC90C5B" w14:textId="77777777">
        <w:trPr>
          <w:cantSplit/>
        </w:trPr>
        <w:tc>
          <w:tcPr>
            <w:tcW w:w="3628" w:type="dxa"/>
            <w:tcBorders>
              <w:bottom w:val="single" w:sz="12" w:space="0" w:color="000000"/>
            </w:tcBorders>
            <w:vAlign w:val="bottom"/>
          </w:tcPr>
          <w:p w14:paraId="3EE2F679" w14:textId="77777777" w:rsidR="008E5DE4" w:rsidRDefault="00780368">
            <w:pPr>
              <w:widowControl w:val="0"/>
              <w:ind w:left="113" w:right="-57" w:hanging="113"/>
            </w:pPr>
            <w:r>
              <w:t> </w:t>
            </w:r>
          </w:p>
        </w:tc>
        <w:tc>
          <w:tcPr>
            <w:tcW w:w="737" w:type="dxa"/>
            <w:tcBorders>
              <w:bottom w:val="single" w:sz="12" w:space="0" w:color="000000"/>
            </w:tcBorders>
            <w:vAlign w:val="bottom"/>
          </w:tcPr>
          <w:p w14:paraId="24166304" w14:textId="77777777" w:rsidR="008E5DE4" w:rsidRDefault="008E5DE4">
            <w:pPr>
              <w:widowControl w:val="0"/>
              <w:ind w:left="-57" w:right="-57"/>
              <w:jc w:val="center"/>
              <w:rPr>
                <w:b/>
              </w:rPr>
            </w:pPr>
          </w:p>
        </w:tc>
        <w:tc>
          <w:tcPr>
            <w:tcW w:w="1247" w:type="dxa"/>
            <w:tcBorders>
              <w:bottom w:val="single" w:sz="12" w:space="0" w:color="000000"/>
            </w:tcBorders>
            <w:vAlign w:val="bottom"/>
          </w:tcPr>
          <w:p w14:paraId="09E148E1" w14:textId="77777777" w:rsidR="008E5DE4" w:rsidRDefault="008E5DE4">
            <w:pPr>
              <w:widowControl w:val="0"/>
              <w:pBdr>
                <w:top w:val="nil"/>
                <w:left w:val="nil"/>
                <w:bottom w:val="nil"/>
                <w:right w:val="nil"/>
                <w:between w:val="nil"/>
              </w:pBdr>
              <w:jc w:val="right"/>
              <w:rPr>
                <w:b/>
                <w:color w:val="000000"/>
              </w:rPr>
            </w:pPr>
          </w:p>
        </w:tc>
        <w:tc>
          <w:tcPr>
            <w:tcW w:w="1247" w:type="dxa"/>
            <w:tcBorders>
              <w:bottom w:val="single" w:sz="12" w:space="0" w:color="000000"/>
            </w:tcBorders>
            <w:vAlign w:val="bottom"/>
          </w:tcPr>
          <w:p w14:paraId="22B58A99" w14:textId="77777777" w:rsidR="008E5DE4" w:rsidRDefault="008E5DE4">
            <w:pPr>
              <w:widowControl w:val="0"/>
              <w:pBdr>
                <w:top w:val="nil"/>
                <w:left w:val="nil"/>
                <w:bottom w:val="nil"/>
                <w:right w:val="nil"/>
                <w:between w:val="nil"/>
              </w:pBdr>
              <w:jc w:val="right"/>
              <w:rPr>
                <w:b/>
                <w:color w:val="000000"/>
              </w:rPr>
            </w:pPr>
          </w:p>
        </w:tc>
        <w:tc>
          <w:tcPr>
            <w:tcW w:w="1247" w:type="dxa"/>
            <w:tcBorders>
              <w:bottom w:val="single" w:sz="12" w:space="0" w:color="000000"/>
            </w:tcBorders>
            <w:vAlign w:val="bottom"/>
          </w:tcPr>
          <w:p w14:paraId="2992E587" w14:textId="77777777" w:rsidR="008E5DE4" w:rsidRDefault="008E5DE4">
            <w:pPr>
              <w:widowControl w:val="0"/>
              <w:pBdr>
                <w:top w:val="nil"/>
                <w:left w:val="nil"/>
                <w:bottom w:val="nil"/>
                <w:right w:val="nil"/>
                <w:between w:val="nil"/>
              </w:pBdr>
              <w:jc w:val="right"/>
              <w:rPr>
                <w:b/>
                <w:color w:val="000000"/>
              </w:rPr>
            </w:pPr>
          </w:p>
        </w:tc>
        <w:tc>
          <w:tcPr>
            <w:tcW w:w="1235" w:type="dxa"/>
            <w:tcBorders>
              <w:bottom w:val="single" w:sz="12" w:space="0" w:color="000000"/>
            </w:tcBorders>
            <w:vAlign w:val="bottom"/>
          </w:tcPr>
          <w:p w14:paraId="037C2CA3" w14:textId="77777777" w:rsidR="008E5DE4" w:rsidRDefault="008E5DE4">
            <w:pPr>
              <w:widowControl w:val="0"/>
              <w:pBdr>
                <w:top w:val="nil"/>
                <w:left w:val="nil"/>
                <w:bottom w:val="nil"/>
                <w:right w:val="nil"/>
                <w:between w:val="nil"/>
              </w:pBdr>
              <w:jc w:val="right"/>
              <w:rPr>
                <w:b/>
                <w:color w:val="000000"/>
              </w:rPr>
            </w:pPr>
          </w:p>
        </w:tc>
      </w:tr>
    </w:tbl>
    <w:p w14:paraId="34EBE02B"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Environmental matters. </w:t>
      </w:r>
      <w:r>
        <w:rPr>
          <w:color w:val="000000"/>
          <w:sz w:val="20"/>
          <w:szCs w:val="20"/>
        </w:rPr>
        <w:t xml:space="preserve">The enforcement of environmental regulation in </w:t>
      </w:r>
      <w:r>
        <w:rPr>
          <w:color w:val="0000FF"/>
          <w:sz w:val="20"/>
          <w:szCs w:val="20"/>
        </w:rPr>
        <w:t>[Country]</w:t>
      </w:r>
      <w:r>
        <w:rPr>
          <w:color w:val="000000"/>
          <w:sz w:val="20"/>
          <w:szCs w:val="20"/>
        </w:rPr>
        <w:t xml:space="preserve"> is </w:t>
      </w:r>
      <w:proofErr w:type="gramStart"/>
      <w:r>
        <w:rPr>
          <w:color w:val="000000"/>
          <w:sz w:val="20"/>
          <w:szCs w:val="20"/>
        </w:rPr>
        <w:t>evolving</w:t>
      </w:r>
      <w:proofErr w:type="gramEnd"/>
      <w:r>
        <w:rPr>
          <w:color w:val="000000"/>
          <w:sz w:val="20"/>
          <w:szCs w:val="20"/>
        </w:rPr>
        <w:t xml:space="preserve"> and the enforcement posture of government authorities is continually being reconsidered. The Group periodically evaluates its obligations under environmental regulations. As obligations are determined, they are recognised immediately. Potential liabilities, which might arise </w:t>
      </w:r>
      <w:proofErr w:type="gramStart"/>
      <w:r>
        <w:rPr>
          <w:color w:val="000000"/>
          <w:sz w:val="20"/>
          <w:szCs w:val="20"/>
        </w:rPr>
        <w:t>as a result of</w:t>
      </w:r>
      <w:proofErr w:type="gramEnd"/>
      <w:r>
        <w:rPr>
          <w:color w:val="000000"/>
          <w:sz w:val="20"/>
          <w:szCs w:val="20"/>
        </w:rPr>
        <w:t xml:space="preserve"> changes in existing regulations, civil litigation or legislation, cannot be estimated but could be material. In the current enforcement climate under existing legislation, management believes that there are no significant liabilities for environmental damage.</w:t>
      </w:r>
    </w:p>
    <w:p w14:paraId="1C6BC6DB" w14:textId="3F7505E1" w:rsidR="008E5DE4" w:rsidRDefault="00F93586" w:rsidP="007F183E">
      <w:pPr>
        <w:pStyle w:val="Heading1"/>
        <w:pageBreakBefore/>
        <w:numPr>
          <w:ilvl w:val="0"/>
          <w:numId w:val="0"/>
        </w:numPr>
        <w:spacing w:before="0"/>
        <w:ind w:left="567" w:hanging="567"/>
      </w:pPr>
      <w:bookmarkStart w:id="72" w:name="_Toc149923643"/>
      <w:r>
        <w:lastRenderedPageBreak/>
        <w:t xml:space="preserve">44 </w:t>
      </w:r>
      <w:r>
        <w:tab/>
      </w:r>
      <w:r w:rsidR="00780368">
        <w:t>Transfers of Financial Assets</w:t>
      </w:r>
      <w:bookmarkEnd w:id="72"/>
      <w:r w:rsidR="00780368">
        <w:t xml:space="preserve"> </w:t>
      </w:r>
    </w:p>
    <w:p w14:paraId="6DB88BC2" w14:textId="205CF879"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1170E5B1" w14:textId="77777777" w:rsidR="008E5DE4" w:rsidRDefault="008E5DE4">
      <w:pPr>
        <w:shd w:val="clear" w:color="auto" w:fill="C6D9F1"/>
        <w:jc w:val="both"/>
        <w:rPr>
          <w:i/>
          <w:color w:val="FF0000"/>
          <w:sz w:val="20"/>
          <w:szCs w:val="20"/>
        </w:rPr>
      </w:pPr>
    </w:p>
    <w:p w14:paraId="332877D1" w14:textId="77777777" w:rsidR="008E5DE4" w:rsidRDefault="00780368">
      <w:pPr>
        <w:shd w:val="clear" w:color="auto" w:fill="C6D9F1"/>
        <w:jc w:val="both"/>
        <w:rPr>
          <w:sz w:val="20"/>
          <w:szCs w:val="20"/>
        </w:rPr>
      </w:pPr>
      <w:r>
        <w:rPr>
          <w:b/>
          <w:i/>
          <w:sz w:val="20"/>
          <w:szCs w:val="20"/>
        </w:rPr>
        <w:t>Financial assets – derecognition</w:t>
      </w:r>
      <w:r>
        <w:rPr>
          <w:sz w:val="20"/>
          <w:szCs w:val="20"/>
        </w:rPr>
        <w:t>. The Group derecognises financial assets when (a) the assets are redeemed or the rights to cash flows from the assets otherwise expire or (b) the Group has transferred the rights to the cash flows from the financial assets or entered into a qualifying pass-through arrangement whilst (</w:t>
      </w:r>
      <w:proofErr w:type="spellStart"/>
      <w:r>
        <w:rPr>
          <w:sz w:val="20"/>
          <w:szCs w:val="20"/>
        </w:rPr>
        <w:t>i</w:t>
      </w:r>
      <w:proofErr w:type="spellEnd"/>
      <w:r>
        <w:rPr>
          <w:sz w:val="20"/>
          <w:szCs w:val="20"/>
        </w:rPr>
        <w:t xml:space="preserve">) also transferring substantially all the risks and rewards of ownership of the assets or (ii) neither transferring nor retaining substantially all the risks and rewards of ownership but not retaining control. </w:t>
      </w:r>
    </w:p>
    <w:p w14:paraId="32894F77" w14:textId="77777777" w:rsidR="008E5DE4" w:rsidRDefault="008E5DE4">
      <w:pPr>
        <w:shd w:val="clear" w:color="auto" w:fill="C6D9F1"/>
        <w:jc w:val="both"/>
        <w:rPr>
          <w:sz w:val="20"/>
          <w:szCs w:val="20"/>
        </w:rPr>
      </w:pPr>
    </w:p>
    <w:p w14:paraId="58BA4718" w14:textId="77777777" w:rsidR="008E5DE4" w:rsidRDefault="00780368">
      <w:pPr>
        <w:shd w:val="clear" w:color="auto" w:fill="C6D9F1"/>
        <w:jc w:val="both"/>
        <w:rPr>
          <w:sz w:val="20"/>
          <w:szCs w:val="20"/>
        </w:rPr>
      </w:pPr>
      <w:r>
        <w:rPr>
          <w:sz w:val="20"/>
          <w:szCs w:val="20"/>
        </w:rPr>
        <w:t>Control is retained if the counterparty does not have the practical ability to sell the asset in its entirety to an unrelated third party without needing to impose additional restrictions on the sale.</w:t>
      </w:r>
    </w:p>
    <w:p w14:paraId="7D464CC4" w14:textId="77777777" w:rsidR="008E5DE4" w:rsidRDefault="008E5DE4">
      <w:pPr>
        <w:shd w:val="clear" w:color="auto" w:fill="C6D9F1"/>
        <w:jc w:val="both"/>
        <w:rPr>
          <w:sz w:val="20"/>
          <w:szCs w:val="20"/>
        </w:rPr>
      </w:pPr>
    </w:p>
    <w:p w14:paraId="0CFBEE5F" w14:textId="5B71ACD0" w:rsidR="008E5DE4" w:rsidRDefault="00780368">
      <w:pPr>
        <w:shd w:val="clear" w:color="auto" w:fill="C6D9F1"/>
        <w:jc w:val="both"/>
        <w:rPr>
          <w:sz w:val="20"/>
          <w:szCs w:val="20"/>
        </w:rPr>
      </w:pPr>
      <w:r>
        <w:rPr>
          <w:b/>
          <w:i/>
          <w:sz w:val="20"/>
          <w:szCs w:val="20"/>
        </w:rPr>
        <w:t>Financial assets – modification</w:t>
      </w:r>
      <w:r>
        <w:rPr>
          <w:i/>
          <w:sz w:val="20"/>
          <w:szCs w:val="20"/>
        </w:rPr>
        <w:t>.</w:t>
      </w:r>
      <w:r>
        <w:rPr>
          <w:sz w:val="20"/>
          <w:szCs w:val="20"/>
        </w:rPr>
        <w:t xml:space="preserve"> The Group sometimes renegotiates or otherwise modifies the contractual terms of the financial assets. The Group assesses whether the modification of contractual cash flows is substantial considering, among other, the following factors: </w:t>
      </w:r>
      <w:r>
        <w:rPr>
          <w:color w:val="0000FF"/>
          <w:sz w:val="20"/>
          <w:szCs w:val="20"/>
        </w:rPr>
        <w:t>[any new contractual terms that substantially affect the risk profile of the asset (e</w:t>
      </w:r>
      <w:r w:rsidR="00FA3B9A">
        <w:rPr>
          <w:color w:val="0000FF"/>
          <w:sz w:val="20"/>
          <w:szCs w:val="20"/>
        </w:rPr>
        <w:t>.</w:t>
      </w:r>
      <w:r>
        <w:rPr>
          <w:color w:val="0000FF"/>
          <w:sz w:val="20"/>
          <w:szCs w:val="20"/>
        </w:rPr>
        <w:t>g</w:t>
      </w:r>
      <w:r w:rsidR="00FA3B9A">
        <w:rPr>
          <w:color w:val="0000FF"/>
          <w:sz w:val="20"/>
          <w:szCs w:val="20"/>
        </w:rPr>
        <w:t>.</w:t>
      </w:r>
      <w:r>
        <w:rPr>
          <w:color w:val="0000FF"/>
          <w:sz w:val="20"/>
          <w:szCs w:val="20"/>
        </w:rPr>
        <w:t xml:space="preserve"> profit share or equity-based return), significant change in interest rate, change in the currency denomination, new collateral or credit enhancement that significantly affects the credit risk associated with the asset or a significant extension of a loan when the borrower is not in financial difficulties.] </w:t>
      </w:r>
    </w:p>
    <w:p w14:paraId="37F46D08" w14:textId="77777777" w:rsidR="008E5DE4" w:rsidRDefault="008E5DE4">
      <w:pPr>
        <w:shd w:val="clear" w:color="auto" w:fill="C6D9F1"/>
        <w:jc w:val="both"/>
        <w:rPr>
          <w:sz w:val="20"/>
          <w:szCs w:val="20"/>
        </w:rPr>
      </w:pPr>
    </w:p>
    <w:p w14:paraId="3707A06D" w14:textId="77777777" w:rsidR="008E5DE4" w:rsidRDefault="00780368">
      <w:pPr>
        <w:shd w:val="clear" w:color="auto" w:fill="C6D9F1"/>
        <w:jc w:val="both"/>
        <w:rPr>
          <w:sz w:val="20"/>
          <w:szCs w:val="20"/>
        </w:rPr>
      </w:pPr>
      <w:r>
        <w:rPr>
          <w:sz w:val="20"/>
          <w:szCs w:val="20"/>
        </w:rPr>
        <w:t xml:space="preserve">If the modified terms are substantially different, the rights to cash flows from the original asset expire and the Group derecognises the original financial asset and recognises a new asset at its fair value. The date of renegotiation </w:t>
      </w:r>
      <w:proofErr w:type="gramStart"/>
      <w:r>
        <w:rPr>
          <w:sz w:val="20"/>
          <w:szCs w:val="20"/>
        </w:rPr>
        <w:t>is considered to be</w:t>
      </w:r>
      <w:proofErr w:type="gramEnd"/>
      <w:r>
        <w:rPr>
          <w:sz w:val="20"/>
          <w:szCs w:val="20"/>
        </w:rPr>
        <w:t xml:space="preserve"> the date of initial recognition for subsequent impairment calculation purposes, including determining whether a SICR has occurred. The Group also assesses whether the new loan or debt instrument meets the SPPI criterion. Any difference between the carrying amount of the original asset derecognised and fair value of the new substantially modified asset is recognised in profit or loss, unless the substance of the difference is attributed to a capital transaction with owners. </w:t>
      </w:r>
    </w:p>
    <w:p w14:paraId="3AA24B3E" w14:textId="77777777" w:rsidR="008E5DE4" w:rsidRDefault="008E5DE4">
      <w:pPr>
        <w:shd w:val="clear" w:color="auto" w:fill="C6D9F1"/>
        <w:jc w:val="both"/>
        <w:rPr>
          <w:sz w:val="20"/>
          <w:szCs w:val="20"/>
        </w:rPr>
      </w:pPr>
    </w:p>
    <w:p w14:paraId="7F2D5499" w14:textId="77777777" w:rsidR="008E5DE4" w:rsidRDefault="00780368">
      <w:pPr>
        <w:shd w:val="clear" w:color="auto" w:fill="C6D9F1"/>
        <w:jc w:val="both"/>
        <w:rPr>
          <w:sz w:val="20"/>
          <w:szCs w:val="20"/>
        </w:rPr>
      </w:pPr>
      <w:r>
        <w:rPr>
          <w:sz w:val="20"/>
          <w:szCs w:val="20"/>
        </w:rPr>
        <w:t xml:space="preserve">In a situation where the renegotiation was driven by financial difficulties of the counterparty and inability to make the originally agreed payments, the Group compares the original and revised expected cash flows to assess whether the risks and rewards of the asset are substantially different </w:t>
      </w:r>
      <w:proofErr w:type="gramStart"/>
      <w:r>
        <w:rPr>
          <w:sz w:val="20"/>
          <w:szCs w:val="20"/>
        </w:rPr>
        <w:t>as a result of</w:t>
      </w:r>
      <w:proofErr w:type="gramEnd"/>
      <w:r>
        <w:rPr>
          <w:sz w:val="20"/>
          <w:szCs w:val="20"/>
        </w:rPr>
        <w:t xml:space="preserve"> the contractual modification. If the risks and rewards do not change, the modified asset is not substantially different from the original </w:t>
      </w:r>
      <w:proofErr w:type="gramStart"/>
      <w:r>
        <w:rPr>
          <w:sz w:val="20"/>
          <w:szCs w:val="20"/>
        </w:rPr>
        <w:t>asset</w:t>
      </w:r>
      <w:proofErr w:type="gramEnd"/>
      <w:r>
        <w:rPr>
          <w:sz w:val="20"/>
          <w:szCs w:val="20"/>
        </w:rPr>
        <w:t xml:space="preserve"> and the modification does not result in derecognition. The Group recalculates the gross carrying amount by discounting the modified contractual cash flows by the original effective interest rate (or credit-adjusted effective interest rate for POCI financial assets), and recognises a modification gain or loss in profit or loss.</w:t>
      </w:r>
    </w:p>
    <w:p w14:paraId="091371F0" w14:textId="77777777" w:rsidR="008E5DE4" w:rsidRDefault="008E5DE4">
      <w:pPr>
        <w:shd w:val="clear" w:color="auto" w:fill="C6D9F1"/>
        <w:jc w:val="both"/>
        <w:rPr>
          <w:i/>
          <w:color w:val="FF0000"/>
          <w:sz w:val="20"/>
          <w:szCs w:val="20"/>
        </w:rPr>
      </w:pPr>
    </w:p>
    <w:p w14:paraId="4A06BD82" w14:textId="77777777" w:rsidR="008E5DE4" w:rsidRDefault="008E5DE4"/>
    <w:p w14:paraId="7FA0FC57"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(a) </w:t>
      </w:r>
      <w:r>
        <w:rPr>
          <w:b/>
          <w:i/>
          <w:color w:val="000000"/>
          <w:sz w:val="20"/>
          <w:szCs w:val="20"/>
        </w:rPr>
        <w:tab/>
        <w:t>Transfers that did not qualify for derecognition of the financial asset in its entirety</w:t>
      </w:r>
    </w:p>
    <w:p w14:paraId="5DFD86D2" w14:textId="77777777" w:rsidR="008E5DE4" w:rsidRDefault="00780368">
      <w:pPr>
        <w:widowControl w:val="0"/>
        <w:spacing w:before="200" w:after="200"/>
        <w:rPr>
          <w:sz w:val="20"/>
          <w:szCs w:val="20"/>
        </w:rPr>
      </w:pPr>
      <w:r>
        <w:rPr>
          <w:sz w:val="20"/>
          <w:szCs w:val="20"/>
        </w:rPr>
        <w:t xml:space="preserve">The Group transferred financial assets in transactions that did not qualify for derecognition in the current and prior periods. </w:t>
      </w:r>
    </w:p>
    <w:p w14:paraId="622A11CF" w14:textId="32FF7D0F" w:rsidR="008E5DE4" w:rsidRDefault="00780368">
      <w:pPr>
        <w:widowControl w:val="0"/>
        <w:spacing w:before="200" w:after="200"/>
        <w:jc w:val="both"/>
        <w:rPr>
          <w:sz w:val="20"/>
          <w:szCs w:val="20"/>
        </w:rPr>
      </w:pPr>
      <w:r>
        <w:rPr>
          <w:b/>
          <w:i/>
          <w:sz w:val="20"/>
          <w:szCs w:val="20"/>
        </w:rPr>
        <w:t>Factoring of trade receivables.</w:t>
      </w:r>
      <w:r>
        <w:rPr>
          <w:sz w:val="20"/>
          <w:szCs w:val="20"/>
        </w:rPr>
        <w:t xml:space="preserve"> As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the Group had trade receivables of EUR _____ thousand (</w:t>
      </w:r>
      <w:r w:rsidR="00E06A92">
        <w:rPr>
          <w:sz w:val="20"/>
          <w:szCs w:val="20"/>
        </w:rPr>
        <w:t>2024</w:t>
      </w:r>
      <w:r>
        <w:rPr>
          <w:sz w:val="20"/>
          <w:szCs w:val="20"/>
        </w:rPr>
        <w:t>:</w:t>
      </w:r>
      <w:r w:rsidR="00FA3B9A">
        <w:rPr>
          <w:sz w:val="20"/>
          <w:szCs w:val="20"/>
        </w:rPr>
        <w:t xml:space="preserve"> </w:t>
      </w:r>
      <w:r>
        <w:rPr>
          <w:sz w:val="20"/>
          <w:szCs w:val="20"/>
        </w:rPr>
        <w:t xml:space="preserve">EUR ____ thousand) that were transferred to </w:t>
      </w:r>
      <w:r>
        <w:rPr>
          <w:color w:val="0000FF"/>
          <w:sz w:val="20"/>
          <w:szCs w:val="20"/>
        </w:rPr>
        <w:t>[a related party under common control / a third party factoring company]</w:t>
      </w:r>
      <w:r>
        <w:rPr>
          <w:sz w:val="20"/>
          <w:szCs w:val="20"/>
        </w:rPr>
        <w:t xml:space="preserve">. The Group guaranteed repayment of the nominal value of the transferred trade receivables in case of their default. As the transfer did not meet the criteria for derecognition of the trade receivables,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the sale proceeds of EUR ____ thousand (</w:t>
      </w:r>
      <w:r w:rsidR="00E06A92">
        <w:rPr>
          <w:sz w:val="20"/>
          <w:szCs w:val="20"/>
        </w:rPr>
        <w:t>2024</w:t>
      </w:r>
      <w:r>
        <w:rPr>
          <w:sz w:val="20"/>
          <w:szCs w:val="20"/>
        </w:rPr>
        <w:t xml:space="preserve">: EUR ____ thousand) were recognised as borrowings and are presented in Note 28. </w:t>
      </w:r>
    </w:p>
    <w:p w14:paraId="02FA252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44</w:t>
      </w:r>
      <w:r>
        <w:rPr>
          <w:b/>
          <w:color w:val="000000"/>
          <w:sz w:val="20"/>
          <w:szCs w:val="20"/>
        </w:rPr>
        <w:tab/>
        <w:t>Transfers of Financial Assets (Continued)</w:t>
      </w:r>
    </w:p>
    <w:p w14:paraId="516FA1FB" w14:textId="0E6D6598" w:rsidR="008E5DE4" w:rsidRDefault="00780368">
      <w:pPr>
        <w:widowControl w:val="0"/>
        <w:spacing w:before="200" w:after="200"/>
        <w:jc w:val="both"/>
        <w:rPr>
          <w:sz w:val="20"/>
          <w:szCs w:val="20"/>
        </w:rPr>
      </w:pPr>
      <w:r>
        <w:rPr>
          <w:b/>
          <w:i/>
          <w:sz w:val="20"/>
          <w:szCs w:val="20"/>
        </w:rPr>
        <w:t xml:space="preserve">Disposal of loans receivable.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the Group had </w:t>
      </w:r>
      <w:r>
        <w:rPr>
          <w:color w:val="0000FF"/>
          <w:sz w:val="20"/>
          <w:szCs w:val="20"/>
        </w:rPr>
        <w:t>[corporate]</w:t>
      </w:r>
      <w:r>
        <w:rPr>
          <w:sz w:val="20"/>
          <w:szCs w:val="20"/>
        </w:rPr>
        <w:t xml:space="preserve"> loans receivable of EUR ____ thousand (</w:t>
      </w:r>
      <w:r w:rsidR="00E06A92">
        <w:rPr>
          <w:sz w:val="20"/>
          <w:szCs w:val="20"/>
        </w:rPr>
        <w:t>2024</w:t>
      </w:r>
      <w:r>
        <w:rPr>
          <w:sz w:val="20"/>
          <w:szCs w:val="20"/>
        </w:rPr>
        <w:t>:</w:t>
      </w:r>
      <w:r w:rsidR="00FA3B9A">
        <w:rPr>
          <w:sz w:val="20"/>
          <w:szCs w:val="20"/>
        </w:rPr>
        <w:t xml:space="preserve"> </w:t>
      </w:r>
      <w:r>
        <w:rPr>
          <w:sz w:val="20"/>
          <w:szCs w:val="20"/>
        </w:rPr>
        <w:t xml:space="preserve">EUR ____ thousand) that were transferred to </w:t>
      </w:r>
      <w:r>
        <w:rPr>
          <w:color w:val="0000FF"/>
          <w:sz w:val="20"/>
          <w:szCs w:val="20"/>
        </w:rPr>
        <w:t>[a related party under common control].</w:t>
      </w:r>
      <w:r>
        <w:rPr>
          <w:sz w:val="20"/>
          <w:szCs w:val="20"/>
        </w:rPr>
        <w:t xml:space="preserve"> The</w:t>
      </w:r>
      <w:r>
        <w:rPr>
          <w:b/>
          <w:sz w:val="20"/>
          <w:szCs w:val="20"/>
        </w:rPr>
        <w:t xml:space="preserve"> </w:t>
      </w:r>
      <w:r>
        <w:rPr>
          <w:sz w:val="20"/>
          <w:szCs w:val="20"/>
        </w:rPr>
        <w:t>Group</w:t>
      </w:r>
      <w:r>
        <w:rPr>
          <w:b/>
          <w:sz w:val="20"/>
          <w:szCs w:val="20"/>
        </w:rPr>
        <w:t xml:space="preserve"> </w:t>
      </w:r>
      <w:r>
        <w:rPr>
          <w:sz w:val="20"/>
          <w:szCs w:val="20"/>
        </w:rPr>
        <w:t xml:space="preserve">guaranteed repayment of the nominal value of the transferred loans in case of their default after 360 days. The Group is not exposed to late payment risk as it did not guarantee payment of accrued interest. As the transfer did not meet the criteria for derecognition of the loans,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the sale proceeds of EUR ____ thousand (</w:t>
      </w:r>
      <w:r w:rsidR="00E06A92">
        <w:rPr>
          <w:sz w:val="20"/>
          <w:szCs w:val="20"/>
        </w:rPr>
        <w:t>2024</w:t>
      </w:r>
      <w:r>
        <w:rPr>
          <w:sz w:val="20"/>
          <w:szCs w:val="20"/>
        </w:rPr>
        <w:t xml:space="preserve">: EUR ____ thousand) were recognised as borrowings and are presented in Note 28. </w:t>
      </w:r>
    </w:p>
    <w:p w14:paraId="739252B9" w14:textId="77777777" w:rsidR="008E5DE4" w:rsidRDefault="00780368">
      <w:pPr>
        <w:widowControl w:val="0"/>
        <w:spacing w:before="200" w:after="200"/>
        <w:jc w:val="both"/>
        <w:rPr>
          <w:sz w:val="20"/>
          <w:szCs w:val="20"/>
        </w:rPr>
      </w:pPr>
      <w:r>
        <w:rPr>
          <w:sz w:val="20"/>
          <w:szCs w:val="20"/>
        </w:rPr>
        <w:t xml:space="preserve">The following schedule summarises transfers where the entity continues to recognise </w:t>
      </w:r>
      <w:proofErr w:type="gramStart"/>
      <w:r>
        <w:rPr>
          <w:sz w:val="20"/>
          <w:szCs w:val="20"/>
        </w:rPr>
        <w:t>all of</w:t>
      </w:r>
      <w:proofErr w:type="gramEnd"/>
      <w:r>
        <w:rPr>
          <w:sz w:val="20"/>
          <w:szCs w:val="20"/>
        </w:rPr>
        <w:t xml:space="preserve"> the transferred financial assets. The analysis is provided by class of financial assets. </w:t>
      </w:r>
    </w:p>
    <w:tbl>
      <w:tblPr>
        <w:tblStyle w:val="affffffffffff1"/>
        <w:tblW w:w="9355" w:type="dxa"/>
        <w:tblLayout w:type="fixed"/>
        <w:tblLook w:val="0000" w:firstRow="0" w:lastRow="0" w:firstColumn="0" w:lastColumn="0" w:noHBand="0" w:noVBand="0"/>
      </w:tblPr>
      <w:tblGrid>
        <w:gridCol w:w="3515"/>
        <w:gridCol w:w="624"/>
        <w:gridCol w:w="1301"/>
        <w:gridCol w:w="1301"/>
        <w:gridCol w:w="6"/>
        <w:gridCol w:w="1295"/>
        <w:gridCol w:w="1301"/>
        <w:gridCol w:w="12"/>
      </w:tblGrid>
      <w:tr w:rsidR="008E5DE4" w14:paraId="646E0977" w14:textId="77777777">
        <w:trPr>
          <w:cantSplit/>
        </w:trPr>
        <w:tc>
          <w:tcPr>
            <w:tcW w:w="3515" w:type="dxa"/>
            <w:vAlign w:val="bottom"/>
          </w:tcPr>
          <w:p w14:paraId="4F7C75C6" w14:textId="77777777" w:rsidR="008E5DE4" w:rsidRDefault="008E5DE4">
            <w:pPr>
              <w:widowControl w:val="0"/>
              <w:ind w:left="113" w:right="-57" w:hanging="113"/>
              <w:rPr>
                <w:b/>
              </w:rPr>
            </w:pPr>
          </w:p>
        </w:tc>
        <w:tc>
          <w:tcPr>
            <w:tcW w:w="624" w:type="dxa"/>
            <w:vMerge w:val="restart"/>
            <w:vAlign w:val="bottom"/>
          </w:tcPr>
          <w:p w14:paraId="74BEFC6D"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Notes</w:t>
            </w:r>
          </w:p>
        </w:tc>
        <w:tc>
          <w:tcPr>
            <w:tcW w:w="2608" w:type="dxa"/>
            <w:gridSpan w:val="3"/>
            <w:tcBorders>
              <w:bottom w:val="single" w:sz="4" w:space="0" w:color="000000"/>
            </w:tcBorders>
            <w:vAlign w:val="bottom"/>
          </w:tcPr>
          <w:p w14:paraId="5DE6D715" w14:textId="3C0D1F44" w:rsidR="008E5DE4" w:rsidRDefault="00780368">
            <w:pPr>
              <w:widowControl w:val="0"/>
              <w:pBdr>
                <w:top w:val="nil"/>
                <w:left w:val="nil"/>
                <w:bottom w:val="nil"/>
                <w:right w:val="nil"/>
                <w:between w:val="nil"/>
              </w:pBdr>
              <w:jc w:val="center"/>
              <w:rPr>
                <w:b/>
                <w:color w:val="000000"/>
              </w:rPr>
            </w:pPr>
            <w:r>
              <w:rPr>
                <w:b/>
                <w:color w:val="000000"/>
              </w:rPr>
              <w:t xml:space="preserve">31 December </w:t>
            </w:r>
            <w:r w:rsidR="008614F8">
              <w:rPr>
                <w:b/>
                <w:color w:val="000000"/>
              </w:rPr>
              <w:t>2025</w:t>
            </w:r>
          </w:p>
        </w:tc>
        <w:tc>
          <w:tcPr>
            <w:tcW w:w="2608" w:type="dxa"/>
            <w:gridSpan w:val="3"/>
            <w:tcBorders>
              <w:bottom w:val="single" w:sz="4" w:space="0" w:color="000000"/>
            </w:tcBorders>
            <w:vAlign w:val="bottom"/>
          </w:tcPr>
          <w:p w14:paraId="7BD639A3" w14:textId="56BC2D31" w:rsidR="008E5DE4" w:rsidRDefault="00780368">
            <w:pPr>
              <w:widowControl w:val="0"/>
              <w:pBdr>
                <w:top w:val="nil"/>
                <w:left w:val="nil"/>
                <w:bottom w:val="nil"/>
                <w:right w:val="nil"/>
                <w:between w:val="nil"/>
              </w:pBdr>
              <w:jc w:val="center"/>
              <w:rPr>
                <w:b/>
                <w:color w:val="000000"/>
              </w:rPr>
            </w:pPr>
            <w:r>
              <w:rPr>
                <w:b/>
                <w:color w:val="000000"/>
              </w:rPr>
              <w:t xml:space="preserve">31 December </w:t>
            </w:r>
            <w:r w:rsidR="00E06A92">
              <w:rPr>
                <w:b/>
                <w:color w:val="000000"/>
              </w:rPr>
              <w:t>2024</w:t>
            </w:r>
          </w:p>
        </w:tc>
      </w:tr>
      <w:tr w:rsidR="008E5DE4" w14:paraId="4C1F44D6" w14:textId="77777777">
        <w:trPr>
          <w:gridAfter w:val="1"/>
          <w:wAfter w:w="12" w:type="dxa"/>
          <w:cantSplit/>
        </w:trPr>
        <w:tc>
          <w:tcPr>
            <w:tcW w:w="3515" w:type="dxa"/>
            <w:tcBorders>
              <w:bottom w:val="single" w:sz="4" w:space="0" w:color="000000"/>
            </w:tcBorders>
            <w:vAlign w:val="bottom"/>
          </w:tcPr>
          <w:p w14:paraId="6C6DFFC2"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624" w:type="dxa"/>
            <w:vMerge/>
            <w:vAlign w:val="bottom"/>
          </w:tcPr>
          <w:p w14:paraId="52F99409" w14:textId="77777777" w:rsidR="008E5DE4" w:rsidRDefault="008E5DE4">
            <w:pPr>
              <w:widowControl w:val="0"/>
              <w:pBdr>
                <w:top w:val="nil"/>
                <w:left w:val="nil"/>
                <w:bottom w:val="nil"/>
                <w:right w:val="nil"/>
                <w:between w:val="nil"/>
              </w:pBdr>
              <w:spacing w:line="276" w:lineRule="auto"/>
              <w:rPr>
                <w:b/>
                <w:i/>
                <w:color w:val="000000"/>
              </w:rPr>
            </w:pPr>
          </w:p>
        </w:tc>
        <w:tc>
          <w:tcPr>
            <w:tcW w:w="1301" w:type="dxa"/>
            <w:tcBorders>
              <w:top w:val="single" w:sz="4" w:space="0" w:color="000000"/>
              <w:bottom w:val="single" w:sz="4" w:space="0" w:color="000000"/>
            </w:tcBorders>
          </w:tcPr>
          <w:p w14:paraId="4BB10019" w14:textId="77777777" w:rsidR="008E5DE4" w:rsidRDefault="00780368">
            <w:pPr>
              <w:widowControl w:val="0"/>
              <w:pBdr>
                <w:top w:val="nil"/>
                <w:left w:val="nil"/>
                <w:bottom w:val="nil"/>
                <w:right w:val="nil"/>
                <w:between w:val="nil"/>
              </w:pBdr>
              <w:ind w:left="-113"/>
              <w:jc w:val="right"/>
              <w:rPr>
                <w:b/>
                <w:color w:val="000000"/>
              </w:rPr>
            </w:pPr>
            <w:r>
              <w:rPr>
                <w:b/>
                <w:color w:val="000000"/>
              </w:rPr>
              <w:t>Carrying amount of the assets at year end</w:t>
            </w:r>
          </w:p>
        </w:tc>
        <w:tc>
          <w:tcPr>
            <w:tcW w:w="1301" w:type="dxa"/>
            <w:tcBorders>
              <w:bottom w:val="single" w:sz="4" w:space="0" w:color="000000"/>
            </w:tcBorders>
          </w:tcPr>
          <w:p w14:paraId="605DAF53" w14:textId="77777777" w:rsidR="008E5DE4" w:rsidRDefault="00780368">
            <w:pPr>
              <w:widowControl w:val="0"/>
              <w:pBdr>
                <w:top w:val="nil"/>
                <w:left w:val="nil"/>
                <w:bottom w:val="nil"/>
                <w:right w:val="nil"/>
                <w:between w:val="nil"/>
              </w:pBdr>
              <w:ind w:left="-113"/>
              <w:jc w:val="right"/>
              <w:rPr>
                <w:b/>
                <w:color w:val="000000"/>
              </w:rPr>
            </w:pPr>
            <w:r>
              <w:rPr>
                <w:b/>
                <w:color w:val="000000"/>
              </w:rPr>
              <w:t>Carrying amount of the associated liabilities</w:t>
            </w:r>
          </w:p>
        </w:tc>
        <w:tc>
          <w:tcPr>
            <w:tcW w:w="1301" w:type="dxa"/>
            <w:gridSpan w:val="2"/>
            <w:tcBorders>
              <w:bottom w:val="single" w:sz="4" w:space="0" w:color="000000"/>
            </w:tcBorders>
          </w:tcPr>
          <w:p w14:paraId="051BE0BE" w14:textId="77777777" w:rsidR="008E5DE4" w:rsidRDefault="00780368">
            <w:pPr>
              <w:widowControl w:val="0"/>
              <w:pBdr>
                <w:top w:val="nil"/>
                <w:left w:val="nil"/>
                <w:bottom w:val="nil"/>
                <w:right w:val="nil"/>
                <w:between w:val="nil"/>
              </w:pBdr>
              <w:ind w:left="-113"/>
              <w:jc w:val="right"/>
              <w:rPr>
                <w:b/>
                <w:color w:val="000000"/>
              </w:rPr>
            </w:pPr>
            <w:r>
              <w:rPr>
                <w:b/>
                <w:color w:val="000000"/>
              </w:rPr>
              <w:t>Carrying amount of the assets at year end</w:t>
            </w:r>
          </w:p>
        </w:tc>
        <w:tc>
          <w:tcPr>
            <w:tcW w:w="1301" w:type="dxa"/>
            <w:tcBorders>
              <w:top w:val="single" w:sz="4" w:space="0" w:color="000000"/>
              <w:bottom w:val="single" w:sz="4" w:space="0" w:color="000000"/>
            </w:tcBorders>
          </w:tcPr>
          <w:p w14:paraId="1989877B" w14:textId="77777777" w:rsidR="008E5DE4" w:rsidRDefault="00780368">
            <w:pPr>
              <w:widowControl w:val="0"/>
              <w:pBdr>
                <w:top w:val="nil"/>
                <w:left w:val="nil"/>
                <w:bottom w:val="nil"/>
                <w:right w:val="nil"/>
                <w:between w:val="nil"/>
              </w:pBdr>
              <w:ind w:left="-113"/>
              <w:jc w:val="right"/>
              <w:rPr>
                <w:b/>
                <w:color w:val="000000"/>
              </w:rPr>
            </w:pPr>
            <w:r>
              <w:rPr>
                <w:b/>
                <w:color w:val="000000"/>
              </w:rPr>
              <w:t>Carrying amount of the associated liabilities</w:t>
            </w:r>
          </w:p>
        </w:tc>
      </w:tr>
      <w:tr w:rsidR="008E5DE4" w14:paraId="0447FC79" w14:textId="77777777">
        <w:trPr>
          <w:gridAfter w:val="1"/>
          <w:wAfter w:w="12" w:type="dxa"/>
          <w:cantSplit/>
        </w:trPr>
        <w:tc>
          <w:tcPr>
            <w:tcW w:w="3515" w:type="dxa"/>
            <w:tcBorders>
              <w:top w:val="single" w:sz="4" w:space="0" w:color="000000"/>
            </w:tcBorders>
            <w:vAlign w:val="bottom"/>
          </w:tcPr>
          <w:p w14:paraId="66A0A6B3" w14:textId="77777777" w:rsidR="008E5DE4" w:rsidRDefault="00780368">
            <w:pPr>
              <w:widowControl w:val="0"/>
              <w:ind w:left="113" w:right="-57" w:hanging="113"/>
              <w:rPr>
                <w:b/>
              </w:rPr>
            </w:pPr>
            <w:r>
              <w:t> </w:t>
            </w:r>
          </w:p>
        </w:tc>
        <w:tc>
          <w:tcPr>
            <w:tcW w:w="624" w:type="dxa"/>
            <w:tcBorders>
              <w:top w:val="single" w:sz="4" w:space="0" w:color="000000"/>
            </w:tcBorders>
            <w:vAlign w:val="bottom"/>
          </w:tcPr>
          <w:p w14:paraId="3C27FC84" w14:textId="77777777" w:rsidR="008E5DE4" w:rsidRDefault="008E5DE4">
            <w:pPr>
              <w:widowControl w:val="0"/>
              <w:ind w:left="-57" w:right="-57"/>
              <w:jc w:val="center"/>
              <w:rPr>
                <w:b/>
              </w:rPr>
            </w:pPr>
          </w:p>
        </w:tc>
        <w:tc>
          <w:tcPr>
            <w:tcW w:w="1301" w:type="dxa"/>
            <w:tcBorders>
              <w:top w:val="single" w:sz="4" w:space="0" w:color="000000"/>
            </w:tcBorders>
            <w:vAlign w:val="bottom"/>
          </w:tcPr>
          <w:p w14:paraId="650F2579" w14:textId="77777777" w:rsidR="008E5DE4" w:rsidRDefault="008E5DE4">
            <w:pPr>
              <w:widowControl w:val="0"/>
              <w:pBdr>
                <w:top w:val="nil"/>
                <w:left w:val="nil"/>
                <w:bottom w:val="nil"/>
                <w:right w:val="nil"/>
                <w:between w:val="nil"/>
              </w:pBdr>
              <w:jc w:val="right"/>
              <w:rPr>
                <w:color w:val="000000"/>
              </w:rPr>
            </w:pPr>
          </w:p>
        </w:tc>
        <w:tc>
          <w:tcPr>
            <w:tcW w:w="1301" w:type="dxa"/>
            <w:tcBorders>
              <w:top w:val="single" w:sz="4" w:space="0" w:color="000000"/>
            </w:tcBorders>
            <w:vAlign w:val="bottom"/>
          </w:tcPr>
          <w:p w14:paraId="111D84C7" w14:textId="77777777" w:rsidR="008E5DE4" w:rsidRDefault="008E5DE4">
            <w:pPr>
              <w:widowControl w:val="0"/>
              <w:pBdr>
                <w:top w:val="nil"/>
                <w:left w:val="nil"/>
                <w:bottom w:val="nil"/>
                <w:right w:val="nil"/>
                <w:between w:val="nil"/>
              </w:pBdr>
              <w:jc w:val="right"/>
              <w:rPr>
                <w:color w:val="000000"/>
              </w:rPr>
            </w:pPr>
          </w:p>
        </w:tc>
        <w:tc>
          <w:tcPr>
            <w:tcW w:w="1301" w:type="dxa"/>
            <w:gridSpan w:val="2"/>
            <w:tcBorders>
              <w:top w:val="single" w:sz="4" w:space="0" w:color="000000"/>
            </w:tcBorders>
            <w:vAlign w:val="bottom"/>
          </w:tcPr>
          <w:p w14:paraId="347B7666" w14:textId="77777777" w:rsidR="008E5DE4" w:rsidRDefault="008E5DE4">
            <w:pPr>
              <w:widowControl w:val="0"/>
              <w:pBdr>
                <w:top w:val="nil"/>
                <w:left w:val="nil"/>
                <w:bottom w:val="nil"/>
                <w:right w:val="nil"/>
                <w:between w:val="nil"/>
              </w:pBdr>
              <w:jc w:val="right"/>
              <w:rPr>
                <w:color w:val="000000"/>
              </w:rPr>
            </w:pPr>
          </w:p>
        </w:tc>
        <w:tc>
          <w:tcPr>
            <w:tcW w:w="1301" w:type="dxa"/>
            <w:tcBorders>
              <w:top w:val="single" w:sz="4" w:space="0" w:color="000000"/>
            </w:tcBorders>
            <w:vAlign w:val="bottom"/>
          </w:tcPr>
          <w:p w14:paraId="7F79F20E" w14:textId="77777777" w:rsidR="008E5DE4" w:rsidRDefault="008E5DE4">
            <w:pPr>
              <w:widowControl w:val="0"/>
              <w:pBdr>
                <w:top w:val="nil"/>
                <w:left w:val="nil"/>
                <w:bottom w:val="nil"/>
                <w:right w:val="nil"/>
                <w:between w:val="nil"/>
              </w:pBdr>
              <w:jc w:val="right"/>
              <w:rPr>
                <w:color w:val="000000"/>
              </w:rPr>
            </w:pPr>
          </w:p>
        </w:tc>
      </w:tr>
      <w:tr w:rsidR="008E5DE4" w14:paraId="3D49D07A" w14:textId="77777777">
        <w:trPr>
          <w:gridAfter w:val="1"/>
          <w:wAfter w:w="12" w:type="dxa"/>
          <w:cantSplit/>
        </w:trPr>
        <w:tc>
          <w:tcPr>
            <w:tcW w:w="3515" w:type="dxa"/>
            <w:vAlign w:val="bottom"/>
          </w:tcPr>
          <w:p w14:paraId="58AD6B52" w14:textId="77777777" w:rsidR="008E5DE4" w:rsidRDefault="00780368">
            <w:pPr>
              <w:widowControl w:val="0"/>
              <w:pBdr>
                <w:top w:val="nil"/>
                <w:left w:val="nil"/>
                <w:bottom w:val="nil"/>
                <w:right w:val="nil"/>
                <w:between w:val="nil"/>
              </w:pBdr>
              <w:ind w:left="113" w:right="-57" w:hanging="113"/>
              <w:rPr>
                <w:color w:val="000000"/>
              </w:rPr>
            </w:pPr>
            <w:r>
              <w:rPr>
                <w:color w:val="000000"/>
              </w:rPr>
              <w:t>Trade receivables</w:t>
            </w:r>
          </w:p>
        </w:tc>
        <w:tc>
          <w:tcPr>
            <w:tcW w:w="624" w:type="dxa"/>
            <w:vAlign w:val="bottom"/>
          </w:tcPr>
          <w:p w14:paraId="0FFB1FEE" w14:textId="77777777" w:rsidR="008E5DE4" w:rsidRDefault="008E5DE4">
            <w:pPr>
              <w:widowControl w:val="0"/>
              <w:ind w:left="-57" w:right="-57"/>
              <w:jc w:val="center"/>
            </w:pPr>
          </w:p>
        </w:tc>
        <w:tc>
          <w:tcPr>
            <w:tcW w:w="1301" w:type="dxa"/>
            <w:vAlign w:val="bottom"/>
          </w:tcPr>
          <w:p w14:paraId="30049998" w14:textId="77777777" w:rsidR="008E5DE4" w:rsidRDefault="008E5DE4">
            <w:pPr>
              <w:widowControl w:val="0"/>
              <w:pBdr>
                <w:top w:val="nil"/>
                <w:left w:val="nil"/>
                <w:bottom w:val="nil"/>
                <w:right w:val="nil"/>
                <w:between w:val="nil"/>
              </w:pBdr>
              <w:jc w:val="right"/>
              <w:rPr>
                <w:color w:val="000000"/>
              </w:rPr>
            </w:pPr>
          </w:p>
        </w:tc>
        <w:tc>
          <w:tcPr>
            <w:tcW w:w="1301" w:type="dxa"/>
            <w:vAlign w:val="bottom"/>
          </w:tcPr>
          <w:p w14:paraId="3B853589" w14:textId="77777777" w:rsidR="008E5DE4" w:rsidRDefault="008E5DE4">
            <w:pPr>
              <w:widowControl w:val="0"/>
              <w:pBdr>
                <w:top w:val="nil"/>
                <w:left w:val="nil"/>
                <w:bottom w:val="nil"/>
                <w:right w:val="nil"/>
                <w:between w:val="nil"/>
              </w:pBdr>
              <w:jc w:val="right"/>
              <w:rPr>
                <w:color w:val="000000"/>
              </w:rPr>
            </w:pPr>
          </w:p>
        </w:tc>
        <w:tc>
          <w:tcPr>
            <w:tcW w:w="1301" w:type="dxa"/>
            <w:gridSpan w:val="2"/>
            <w:vAlign w:val="bottom"/>
          </w:tcPr>
          <w:p w14:paraId="00639008" w14:textId="77777777" w:rsidR="008E5DE4" w:rsidRDefault="008E5DE4">
            <w:pPr>
              <w:widowControl w:val="0"/>
              <w:pBdr>
                <w:top w:val="nil"/>
                <w:left w:val="nil"/>
                <w:bottom w:val="nil"/>
                <w:right w:val="nil"/>
                <w:between w:val="nil"/>
              </w:pBdr>
              <w:jc w:val="right"/>
              <w:rPr>
                <w:color w:val="000000"/>
              </w:rPr>
            </w:pPr>
          </w:p>
        </w:tc>
        <w:tc>
          <w:tcPr>
            <w:tcW w:w="1301" w:type="dxa"/>
            <w:vAlign w:val="bottom"/>
          </w:tcPr>
          <w:p w14:paraId="06992C6C" w14:textId="77777777" w:rsidR="008E5DE4" w:rsidRDefault="008E5DE4">
            <w:pPr>
              <w:widowControl w:val="0"/>
              <w:pBdr>
                <w:top w:val="nil"/>
                <w:left w:val="nil"/>
                <w:bottom w:val="nil"/>
                <w:right w:val="nil"/>
                <w:between w:val="nil"/>
              </w:pBdr>
              <w:jc w:val="right"/>
              <w:rPr>
                <w:color w:val="000000"/>
              </w:rPr>
            </w:pPr>
          </w:p>
        </w:tc>
      </w:tr>
      <w:tr w:rsidR="008E5DE4" w14:paraId="20403BFF" w14:textId="77777777">
        <w:trPr>
          <w:gridAfter w:val="1"/>
          <w:wAfter w:w="12" w:type="dxa"/>
          <w:cantSplit/>
        </w:trPr>
        <w:tc>
          <w:tcPr>
            <w:tcW w:w="3515" w:type="dxa"/>
            <w:vAlign w:val="bottom"/>
          </w:tcPr>
          <w:p w14:paraId="53CFA4BB" w14:textId="77777777" w:rsidR="008E5DE4" w:rsidRDefault="00780368">
            <w:pPr>
              <w:widowControl w:val="0"/>
              <w:pBdr>
                <w:top w:val="nil"/>
                <w:left w:val="nil"/>
                <w:bottom w:val="nil"/>
                <w:right w:val="nil"/>
                <w:between w:val="nil"/>
              </w:pBdr>
              <w:ind w:left="113" w:right="-57" w:hanging="113"/>
              <w:rPr>
                <w:color w:val="000000"/>
              </w:rPr>
            </w:pPr>
            <w:r>
              <w:rPr>
                <w:color w:val="000000"/>
              </w:rPr>
              <w:t>Loans provided</w:t>
            </w:r>
          </w:p>
        </w:tc>
        <w:tc>
          <w:tcPr>
            <w:tcW w:w="624" w:type="dxa"/>
            <w:vAlign w:val="bottom"/>
          </w:tcPr>
          <w:p w14:paraId="5FEF8DC5" w14:textId="77777777" w:rsidR="008E5DE4" w:rsidRDefault="008E5DE4">
            <w:pPr>
              <w:widowControl w:val="0"/>
              <w:ind w:left="-57" w:right="-57"/>
              <w:jc w:val="center"/>
            </w:pPr>
          </w:p>
        </w:tc>
        <w:tc>
          <w:tcPr>
            <w:tcW w:w="1301" w:type="dxa"/>
            <w:vAlign w:val="bottom"/>
          </w:tcPr>
          <w:p w14:paraId="041EB7BB" w14:textId="77777777" w:rsidR="008E5DE4" w:rsidRDefault="008E5DE4">
            <w:pPr>
              <w:widowControl w:val="0"/>
              <w:pBdr>
                <w:top w:val="nil"/>
                <w:left w:val="nil"/>
                <w:bottom w:val="nil"/>
                <w:right w:val="nil"/>
                <w:between w:val="nil"/>
              </w:pBdr>
              <w:jc w:val="right"/>
              <w:rPr>
                <w:color w:val="000000"/>
              </w:rPr>
            </w:pPr>
          </w:p>
        </w:tc>
        <w:tc>
          <w:tcPr>
            <w:tcW w:w="1301" w:type="dxa"/>
            <w:vAlign w:val="bottom"/>
          </w:tcPr>
          <w:p w14:paraId="297B2966" w14:textId="77777777" w:rsidR="008E5DE4" w:rsidRDefault="008E5DE4">
            <w:pPr>
              <w:widowControl w:val="0"/>
              <w:pBdr>
                <w:top w:val="nil"/>
                <w:left w:val="nil"/>
                <w:bottom w:val="nil"/>
                <w:right w:val="nil"/>
                <w:between w:val="nil"/>
              </w:pBdr>
              <w:jc w:val="right"/>
              <w:rPr>
                <w:color w:val="000000"/>
              </w:rPr>
            </w:pPr>
          </w:p>
        </w:tc>
        <w:tc>
          <w:tcPr>
            <w:tcW w:w="1301" w:type="dxa"/>
            <w:gridSpan w:val="2"/>
            <w:vAlign w:val="bottom"/>
          </w:tcPr>
          <w:p w14:paraId="74EFE4D3" w14:textId="77777777" w:rsidR="008E5DE4" w:rsidRDefault="008E5DE4">
            <w:pPr>
              <w:widowControl w:val="0"/>
              <w:pBdr>
                <w:top w:val="nil"/>
                <w:left w:val="nil"/>
                <w:bottom w:val="nil"/>
                <w:right w:val="nil"/>
                <w:between w:val="nil"/>
              </w:pBdr>
              <w:jc w:val="right"/>
              <w:rPr>
                <w:color w:val="000000"/>
              </w:rPr>
            </w:pPr>
          </w:p>
        </w:tc>
        <w:tc>
          <w:tcPr>
            <w:tcW w:w="1301" w:type="dxa"/>
            <w:vAlign w:val="bottom"/>
          </w:tcPr>
          <w:p w14:paraId="322A6A64" w14:textId="77777777" w:rsidR="008E5DE4" w:rsidRDefault="008E5DE4">
            <w:pPr>
              <w:widowControl w:val="0"/>
              <w:pBdr>
                <w:top w:val="nil"/>
                <w:left w:val="nil"/>
                <w:bottom w:val="nil"/>
                <w:right w:val="nil"/>
                <w:between w:val="nil"/>
              </w:pBdr>
              <w:jc w:val="right"/>
              <w:rPr>
                <w:color w:val="000000"/>
              </w:rPr>
            </w:pPr>
          </w:p>
        </w:tc>
      </w:tr>
      <w:tr w:rsidR="008E5DE4" w14:paraId="6F2F32C7" w14:textId="77777777">
        <w:trPr>
          <w:gridAfter w:val="1"/>
          <w:wAfter w:w="12" w:type="dxa"/>
          <w:cantSplit/>
        </w:trPr>
        <w:tc>
          <w:tcPr>
            <w:tcW w:w="3515" w:type="dxa"/>
            <w:tcBorders>
              <w:bottom w:val="single" w:sz="4" w:space="0" w:color="000000"/>
            </w:tcBorders>
            <w:vAlign w:val="bottom"/>
          </w:tcPr>
          <w:p w14:paraId="146ADB5B" w14:textId="77777777" w:rsidR="008E5DE4" w:rsidRDefault="00780368">
            <w:pPr>
              <w:widowControl w:val="0"/>
              <w:ind w:left="113" w:right="-57" w:hanging="113"/>
            </w:pPr>
            <w:r>
              <w:t> </w:t>
            </w:r>
          </w:p>
        </w:tc>
        <w:tc>
          <w:tcPr>
            <w:tcW w:w="624" w:type="dxa"/>
            <w:tcBorders>
              <w:bottom w:val="single" w:sz="4" w:space="0" w:color="000000"/>
            </w:tcBorders>
            <w:vAlign w:val="bottom"/>
          </w:tcPr>
          <w:p w14:paraId="626E00CE" w14:textId="77777777" w:rsidR="008E5DE4" w:rsidRDefault="008E5DE4">
            <w:pPr>
              <w:widowControl w:val="0"/>
              <w:ind w:left="-57" w:right="-57"/>
              <w:jc w:val="center"/>
            </w:pPr>
          </w:p>
        </w:tc>
        <w:tc>
          <w:tcPr>
            <w:tcW w:w="1301" w:type="dxa"/>
            <w:tcBorders>
              <w:bottom w:val="single" w:sz="4" w:space="0" w:color="000000"/>
            </w:tcBorders>
            <w:vAlign w:val="bottom"/>
          </w:tcPr>
          <w:p w14:paraId="3121DB5E" w14:textId="77777777" w:rsidR="008E5DE4" w:rsidRDefault="008E5DE4">
            <w:pPr>
              <w:widowControl w:val="0"/>
              <w:pBdr>
                <w:top w:val="nil"/>
                <w:left w:val="nil"/>
                <w:bottom w:val="nil"/>
                <w:right w:val="nil"/>
                <w:between w:val="nil"/>
              </w:pBdr>
              <w:jc w:val="right"/>
              <w:rPr>
                <w:color w:val="000000"/>
              </w:rPr>
            </w:pPr>
          </w:p>
        </w:tc>
        <w:tc>
          <w:tcPr>
            <w:tcW w:w="1301" w:type="dxa"/>
            <w:tcBorders>
              <w:bottom w:val="single" w:sz="4" w:space="0" w:color="000000"/>
            </w:tcBorders>
            <w:vAlign w:val="bottom"/>
          </w:tcPr>
          <w:p w14:paraId="7AE97AA3" w14:textId="77777777" w:rsidR="008E5DE4" w:rsidRDefault="008E5DE4">
            <w:pPr>
              <w:widowControl w:val="0"/>
              <w:pBdr>
                <w:top w:val="nil"/>
                <w:left w:val="nil"/>
                <w:bottom w:val="nil"/>
                <w:right w:val="nil"/>
                <w:between w:val="nil"/>
              </w:pBdr>
              <w:jc w:val="right"/>
              <w:rPr>
                <w:color w:val="000000"/>
              </w:rPr>
            </w:pPr>
          </w:p>
        </w:tc>
        <w:tc>
          <w:tcPr>
            <w:tcW w:w="1301" w:type="dxa"/>
            <w:gridSpan w:val="2"/>
            <w:tcBorders>
              <w:bottom w:val="single" w:sz="4" w:space="0" w:color="000000"/>
            </w:tcBorders>
            <w:vAlign w:val="bottom"/>
          </w:tcPr>
          <w:p w14:paraId="6A12C915" w14:textId="77777777" w:rsidR="008E5DE4" w:rsidRDefault="008E5DE4">
            <w:pPr>
              <w:widowControl w:val="0"/>
              <w:pBdr>
                <w:top w:val="nil"/>
                <w:left w:val="nil"/>
                <w:bottom w:val="nil"/>
                <w:right w:val="nil"/>
                <w:between w:val="nil"/>
              </w:pBdr>
              <w:jc w:val="right"/>
              <w:rPr>
                <w:color w:val="000000"/>
              </w:rPr>
            </w:pPr>
          </w:p>
        </w:tc>
        <w:tc>
          <w:tcPr>
            <w:tcW w:w="1301" w:type="dxa"/>
            <w:tcBorders>
              <w:bottom w:val="single" w:sz="4" w:space="0" w:color="000000"/>
            </w:tcBorders>
            <w:vAlign w:val="bottom"/>
          </w:tcPr>
          <w:p w14:paraId="6DB90CDC" w14:textId="77777777" w:rsidR="008E5DE4" w:rsidRDefault="008E5DE4">
            <w:pPr>
              <w:widowControl w:val="0"/>
              <w:pBdr>
                <w:top w:val="nil"/>
                <w:left w:val="nil"/>
                <w:bottom w:val="nil"/>
                <w:right w:val="nil"/>
                <w:between w:val="nil"/>
              </w:pBdr>
              <w:jc w:val="right"/>
              <w:rPr>
                <w:color w:val="000000"/>
              </w:rPr>
            </w:pPr>
          </w:p>
        </w:tc>
      </w:tr>
      <w:tr w:rsidR="008E5DE4" w14:paraId="5D43C324" w14:textId="77777777">
        <w:trPr>
          <w:gridAfter w:val="1"/>
          <w:wAfter w:w="12" w:type="dxa"/>
          <w:cantSplit/>
        </w:trPr>
        <w:tc>
          <w:tcPr>
            <w:tcW w:w="3515" w:type="dxa"/>
            <w:tcBorders>
              <w:top w:val="single" w:sz="4" w:space="0" w:color="000000"/>
            </w:tcBorders>
            <w:vAlign w:val="bottom"/>
          </w:tcPr>
          <w:p w14:paraId="00BBFB00" w14:textId="77777777" w:rsidR="008E5DE4" w:rsidRDefault="00780368">
            <w:pPr>
              <w:widowControl w:val="0"/>
              <w:ind w:left="113" w:right="-57" w:hanging="113"/>
            </w:pPr>
            <w:r>
              <w:t> </w:t>
            </w:r>
          </w:p>
        </w:tc>
        <w:tc>
          <w:tcPr>
            <w:tcW w:w="624" w:type="dxa"/>
            <w:tcBorders>
              <w:top w:val="single" w:sz="4" w:space="0" w:color="000000"/>
            </w:tcBorders>
            <w:vAlign w:val="bottom"/>
          </w:tcPr>
          <w:p w14:paraId="4698E878" w14:textId="77777777" w:rsidR="008E5DE4" w:rsidRDefault="008E5DE4">
            <w:pPr>
              <w:widowControl w:val="0"/>
              <w:ind w:left="-57" w:right="-57"/>
              <w:jc w:val="center"/>
              <w:rPr>
                <w:b/>
              </w:rPr>
            </w:pPr>
          </w:p>
        </w:tc>
        <w:tc>
          <w:tcPr>
            <w:tcW w:w="1301" w:type="dxa"/>
            <w:tcBorders>
              <w:top w:val="single" w:sz="4" w:space="0" w:color="000000"/>
            </w:tcBorders>
            <w:vAlign w:val="bottom"/>
          </w:tcPr>
          <w:p w14:paraId="731B29A5" w14:textId="77777777" w:rsidR="008E5DE4" w:rsidRDefault="008E5DE4">
            <w:pPr>
              <w:widowControl w:val="0"/>
              <w:pBdr>
                <w:top w:val="nil"/>
                <w:left w:val="nil"/>
                <w:bottom w:val="nil"/>
                <w:right w:val="nil"/>
                <w:between w:val="nil"/>
              </w:pBdr>
              <w:jc w:val="right"/>
              <w:rPr>
                <w:b/>
                <w:color w:val="000000"/>
              </w:rPr>
            </w:pPr>
          </w:p>
        </w:tc>
        <w:tc>
          <w:tcPr>
            <w:tcW w:w="1301" w:type="dxa"/>
            <w:tcBorders>
              <w:top w:val="single" w:sz="4" w:space="0" w:color="000000"/>
            </w:tcBorders>
            <w:vAlign w:val="bottom"/>
          </w:tcPr>
          <w:p w14:paraId="74199361" w14:textId="77777777" w:rsidR="008E5DE4" w:rsidRDefault="008E5DE4">
            <w:pPr>
              <w:widowControl w:val="0"/>
              <w:pBdr>
                <w:top w:val="nil"/>
                <w:left w:val="nil"/>
                <w:bottom w:val="nil"/>
                <w:right w:val="nil"/>
                <w:between w:val="nil"/>
              </w:pBdr>
              <w:jc w:val="right"/>
              <w:rPr>
                <w:b/>
                <w:color w:val="000000"/>
              </w:rPr>
            </w:pPr>
          </w:p>
        </w:tc>
        <w:tc>
          <w:tcPr>
            <w:tcW w:w="1301" w:type="dxa"/>
            <w:gridSpan w:val="2"/>
            <w:tcBorders>
              <w:top w:val="single" w:sz="4" w:space="0" w:color="000000"/>
            </w:tcBorders>
            <w:vAlign w:val="bottom"/>
          </w:tcPr>
          <w:p w14:paraId="1437D492" w14:textId="77777777" w:rsidR="008E5DE4" w:rsidRDefault="008E5DE4">
            <w:pPr>
              <w:widowControl w:val="0"/>
              <w:pBdr>
                <w:top w:val="nil"/>
                <w:left w:val="nil"/>
                <w:bottom w:val="nil"/>
                <w:right w:val="nil"/>
                <w:between w:val="nil"/>
              </w:pBdr>
              <w:jc w:val="right"/>
              <w:rPr>
                <w:b/>
                <w:color w:val="000000"/>
              </w:rPr>
            </w:pPr>
          </w:p>
        </w:tc>
        <w:tc>
          <w:tcPr>
            <w:tcW w:w="1301" w:type="dxa"/>
            <w:tcBorders>
              <w:top w:val="single" w:sz="4" w:space="0" w:color="000000"/>
            </w:tcBorders>
            <w:vAlign w:val="bottom"/>
          </w:tcPr>
          <w:p w14:paraId="3CE2A0E8" w14:textId="77777777" w:rsidR="008E5DE4" w:rsidRDefault="008E5DE4">
            <w:pPr>
              <w:widowControl w:val="0"/>
              <w:pBdr>
                <w:top w:val="nil"/>
                <w:left w:val="nil"/>
                <w:bottom w:val="nil"/>
                <w:right w:val="nil"/>
                <w:between w:val="nil"/>
              </w:pBdr>
              <w:jc w:val="right"/>
              <w:rPr>
                <w:b/>
                <w:color w:val="000000"/>
              </w:rPr>
            </w:pPr>
          </w:p>
        </w:tc>
      </w:tr>
      <w:tr w:rsidR="008E5DE4" w14:paraId="13C778BF" w14:textId="77777777">
        <w:trPr>
          <w:gridAfter w:val="1"/>
          <w:wAfter w:w="12" w:type="dxa"/>
          <w:cantSplit/>
        </w:trPr>
        <w:tc>
          <w:tcPr>
            <w:tcW w:w="3515" w:type="dxa"/>
            <w:vAlign w:val="bottom"/>
          </w:tcPr>
          <w:p w14:paraId="0BA21446" w14:textId="77777777" w:rsidR="008E5DE4" w:rsidRDefault="00780368">
            <w:pPr>
              <w:widowControl w:val="0"/>
              <w:ind w:left="113" w:right="-57" w:hanging="113"/>
              <w:rPr>
                <w:b/>
              </w:rPr>
            </w:pPr>
            <w:r>
              <w:rPr>
                <w:b/>
              </w:rPr>
              <w:t>Total</w:t>
            </w:r>
          </w:p>
        </w:tc>
        <w:tc>
          <w:tcPr>
            <w:tcW w:w="624" w:type="dxa"/>
            <w:vAlign w:val="bottom"/>
          </w:tcPr>
          <w:p w14:paraId="63F06CE3" w14:textId="77777777" w:rsidR="008E5DE4" w:rsidRDefault="008E5DE4">
            <w:pPr>
              <w:widowControl w:val="0"/>
              <w:ind w:left="-57" w:right="-57"/>
              <w:jc w:val="center"/>
              <w:rPr>
                <w:b/>
              </w:rPr>
            </w:pPr>
          </w:p>
        </w:tc>
        <w:tc>
          <w:tcPr>
            <w:tcW w:w="1301" w:type="dxa"/>
            <w:vAlign w:val="bottom"/>
          </w:tcPr>
          <w:p w14:paraId="198E27CB" w14:textId="77777777" w:rsidR="008E5DE4" w:rsidRDefault="008E5DE4">
            <w:pPr>
              <w:widowControl w:val="0"/>
              <w:pBdr>
                <w:top w:val="nil"/>
                <w:left w:val="nil"/>
                <w:bottom w:val="nil"/>
                <w:right w:val="nil"/>
                <w:between w:val="nil"/>
              </w:pBdr>
              <w:jc w:val="right"/>
              <w:rPr>
                <w:b/>
                <w:color w:val="000000"/>
              </w:rPr>
            </w:pPr>
          </w:p>
        </w:tc>
        <w:tc>
          <w:tcPr>
            <w:tcW w:w="1301" w:type="dxa"/>
            <w:vAlign w:val="bottom"/>
          </w:tcPr>
          <w:p w14:paraId="7D995CBA" w14:textId="77777777" w:rsidR="008E5DE4" w:rsidRDefault="008E5DE4">
            <w:pPr>
              <w:widowControl w:val="0"/>
              <w:pBdr>
                <w:top w:val="nil"/>
                <w:left w:val="nil"/>
                <w:bottom w:val="nil"/>
                <w:right w:val="nil"/>
                <w:between w:val="nil"/>
              </w:pBdr>
              <w:jc w:val="right"/>
              <w:rPr>
                <w:b/>
                <w:color w:val="000000"/>
              </w:rPr>
            </w:pPr>
          </w:p>
        </w:tc>
        <w:tc>
          <w:tcPr>
            <w:tcW w:w="1301" w:type="dxa"/>
            <w:gridSpan w:val="2"/>
            <w:vAlign w:val="bottom"/>
          </w:tcPr>
          <w:p w14:paraId="7F873E6F" w14:textId="77777777" w:rsidR="008E5DE4" w:rsidRDefault="008E5DE4">
            <w:pPr>
              <w:widowControl w:val="0"/>
              <w:pBdr>
                <w:top w:val="nil"/>
                <w:left w:val="nil"/>
                <w:bottom w:val="nil"/>
                <w:right w:val="nil"/>
                <w:between w:val="nil"/>
              </w:pBdr>
              <w:jc w:val="right"/>
              <w:rPr>
                <w:b/>
                <w:color w:val="000000"/>
              </w:rPr>
            </w:pPr>
          </w:p>
        </w:tc>
        <w:tc>
          <w:tcPr>
            <w:tcW w:w="1301" w:type="dxa"/>
            <w:vAlign w:val="bottom"/>
          </w:tcPr>
          <w:p w14:paraId="027313B3" w14:textId="77777777" w:rsidR="008E5DE4" w:rsidRDefault="008E5DE4">
            <w:pPr>
              <w:widowControl w:val="0"/>
              <w:pBdr>
                <w:top w:val="nil"/>
                <w:left w:val="nil"/>
                <w:bottom w:val="nil"/>
                <w:right w:val="nil"/>
                <w:between w:val="nil"/>
              </w:pBdr>
              <w:jc w:val="right"/>
              <w:rPr>
                <w:b/>
                <w:color w:val="000000"/>
              </w:rPr>
            </w:pPr>
          </w:p>
        </w:tc>
      </w:tr>
      <w:tr w:rsidR="008E5DE4" w14:paraId="3EB4D6EF" w14:textId="77777777">
        <w:trPr>
          <w:gridAfter w:val="1"/>
          <w:wAfter w:w="12" w:type="dxa"/>
          <w:cantSplit/>
        </w:trPr>
        <w:tc>
          <w:tcPr>
            <w:tcW w:w="3515" w:type="dxa"/>
            <w:tcBorders>
              <w:bottom w:val="single" w:sz="12" w:space="0" w:color="000000"/>
            </w:tcBorders>
            <w:vAlign w:val="bottom"/>
          </w:tcPr>
          <w:p w14:paraId="666FEC23" w14:textId="77777777" w:rsidR="008E5DE4" w:rsidRDefault="00780368">
            <w:pPr>
              <w:widowControl w:val="0"/>
              <w:ind w:left="113" w:right="-57" w:hanging="113"/>
              <w:rPr>
                <w:b/>
              </w:rPr>
            </w:pPr>
            <w:r>
              <w:t> </w:t>
            </w:r>
          </w:p>
        </w:tc>
        <w:tc>
          <w:tcPr>
            <w:tcW w:w="624" w:type="dxa"/>
            <w:tcBorders>
              <w:bottom w:val="single" w:sz="12" w:space="0" w:color="000000"/>
            </w:tcBorders>
            <w:vAlign w:val="bottom"/>
          </w:tcPr>
          <w:p w14:paraId="6EC2E6C2" w14:textId="77777777" w:rsidR="008E5DE4" w:rsidRDefault="008E5DE4">
            <w:pPr>
              <w:widowControl w:val="0"/>
              <w:ind w:left="-57" w:right="-57"/>
              <w:jc w:val="center"/>
              <w:rPr>
                <w:b/>
              </w:rPr>
            </w:pPr>
          </w:p>
        </w:tc>
        <w:tc>
          <w:tcPr>
            <w:tcW w:w="1301" w:type="dxa"/>
            <w:tcBorders>
              <w:bottom w:val="single" w:sz="12" w:space="0" w:color="000000"/>
            </w:tcBorders>
            <w:vAlign w:val="bottom"/>
          </w:tcPr>
          <w:p w14:paraId="461B9DD5" w14:textId="77777777" w:rsidR="008E5DE4" w:rsidRDefault="008E5DE4">
            <w:pPr>
              <w:widowControl w:val="0"/>
              <w:pBdr>
                <w:top w:val="nil"/>
                <w:left w:val="nil"/>
                <w:bottom w:val="nil"/>
                <w:right w:val="nil"/>
                <w:between w:val="nil"/>
              </w:pBdr>
              <w:jc w:val="right"/>
              <w:rPr>
                <w:b/>
                <w:color w:val="000000"/>
              </w:rPr>
            </w:pPr>
          </w:p>
        </w:tc>
        <w:tc>
          <w:tcPr>
            <w:tcW w:w="1301" w:type="dxa"/>
            <w:tcBorders>
              <w:bottom w:val="single" w:sz="12" w:space="0" w:color="000000"/>
            </w:tcBorders>
            <w:vAlign w:val="bottom"/>
          </w:tcPr>
          <w:p w14:paraId="2C82C9E0" w14:textId="77777777" w:rsidR="008E5DE4" w:rsidRDefault="008E5DE4">
            <w:pPr>
              <w:widowControl w:val="0"/>
              <w:pBdr>
                <w:top w:val="nil"/>
                <w:left w:val="nil"/>
                <w:bottom w:val="nil"/>
                <w:right w:val="nil"/>
                <w:between w:val="nil"/>
              </w:pBdr>
              <w:jc w:val="right"/>
              <w:rPr>
                <w:b/>
                <w:color w:val="000000"/>
              </w:rPr>
            </w:pPr>
          </w:p>
        </w:tc>
        <w:tc>
          <w:tcPr>
            <w:tcW w:w="1301" w:type="dxa"/>
            <w:gridSpan w:val="2"/>
            <w:tcBorders>
              <w:bottom w:val="single" w:sz="12" w:space="0" w:color="000000"/>
            </w:tcBorders>
            <w:vAlign w:val="bottom"/>
          </w:tcPr>
          <w:p w14:paraId="30875385" w14:textId="77777777" w:rsidR="008E5DE4" w:rsidRDefault="008E5DE4">
            <w:pPr>
              <w:widowControl w:val="0"/>
              <w:pBdr>
                <w:top w:val="nil"/>
                <w:left w:val="nil"/>
                <w:bottom w:val="nil"/>
                <w:right w:val="nil"/>
                <w:between w:val="nil"/>
              </w:pBdr>
              <w:jc w:val="right"/>
              <w:rPr>
                <w:b/>
                <w:color w:val="000000"/>
              </w:rPr>
            </w:pPr>
          </w:p>
        </w:tc>
        <w:tc>
          <w:tcPr>
            <w:tcW w:w="1301" w:type="dxa"/>
            <w:tcBorders>
              <w:bottom w:val="single" w:sz="12" w:space="0" w:color="000000"/>
            </w:tcBorders>
            <w:vAlign w:val="bottom"/>
          </w:tcPr>
          <w:p w14:paraId="529BD12F" w14:textId="77777777" w:rsidR="008E5DE4" w:rsidRDefault="008E5DE4">
            <w:pPr>
              <w:widowControl w:val="0"/>
              <w:pBdr>
                <w:top w:val="nil"/>
                <w:left w:val="nil"/>
                <w:bottom w:val="nil"/>
                <w:right w:val="nil"/>
                <w:between w:val="nil"/>
              </w:pBdr>
              <w:jc w:val="right"/>
              <w:rPr>
                <w:b/>
                <w:color w:val="000000"/>
              </w:rPr>
            </w:pPr>
          </w:p>
        </w:tc>
      </w:tr>
    </w:tbl>
    <w:p w14:paraId="3AA66704" w14:textId="77777777" w:rsidR="008E5DE4" w:rsidRDefault="00780368">
      <w:pPr>
        <w:widowControl w:val="0"/>
        <w:spacing w:before="200" w:after="200"/>
        <w:jc w:val="both"/>
        <w:rPr>
          <w:color w:val="0000FF"/>
          <w:sz w:val="20"/>
          <w:szCs w:val="20"/>
        </w:rPr>
      </w:pPr>
      <w:r>
        <w:rPr>
          <w:color w:val="0000FF"/>
          <w:sz w:val="20"/>
          <w:szCs w:val="20"/>
        </w:rPr>
        <w:t>[The following schedule provides information about transfers where the counterparties to the associated liabilities have recourse only to the transferred assets.]</w:t>
      </w:r>
    </w:p>
    <w:tbl>
      <w:tblPr>
        <w:tblStyle w:val="affffffffffff2"/>
        <w:tblW w:w="9357" w:type="dxa"/>
        <w:tblLayout w:type="fixed"/>
        <w:tblLook w:val="0000" w:firstRow="0" w:lastRow="0" w:firstColumn="0" w:lastColumn="0" w:noHBand="0" w:noVBand="0"/>
      </w:tblPr>
      <w:tblGrid>
        <w:gridCol w:w="5103"/>
        <w:gridCol w:w="1418"/>
        <w:gridCol w:w="1418"/>
        <w:gridCol w:w="1418"/>
      </w:tblGrid>
      <w:tr w:rsidR="008E5DE4" w14:paraId="70C13275" w14:textId="77777777">
        <w:trPr>
          <w:cantSplit/>
        </w:trPr>
        <w:tc>
          <w:tcPr>
            <w:tcW w:w="5103" w:type="dxa"/>
            <w:vAlign w:val="bottom"/>
          </w:tcPr>
          <w:p w14:paraId="1CCAD647" w14:textId="77777777" w:rsidR="008E5DE4" w:rsidRDefault="008E5DE4">
            <w:pPr>
              <w:widowControl w:val="0"/>
              <w:rPr>
                <w:b/>
                <w:color w:val="0000FF"/>
              </w:rPr>
            </w:pPr>
          </w:p>
        </w:tc>
        <w:tc>
          <w:tcPr>
            <w:tcW w:w="4254" w:type="dxa"/>
            <w:gridSpan w:val="3"/>
            <w:tcBorders>
              <w:bottom w:val="single" w:sz="4" w:space="0" w:color="000000"/>
            </w:tcBorders>
            <w:vAlign w:val="bottom"/>
          </w:tcPr>
          <w:p w14:paraId="2C8B22C2" w14:textId="0B0CE381" w:rsidR="008E5DE4" w:rsidRDefault="00780368">
            <w:pPr>
              <w:widowControl w:val="0"/>
              <w:pBdr>
                <w:top w:val="nil"/>
                <w:left w:val="nil"/>
                <w:bottom w:val="nil"/>
                <w:right w:val="nil"/>
                <w:between w:val="nil"/>
              </w:pBdr>
              <w:jc w:val="center"/>
              <w:rPr>
                <w:b/>
                <w:color w:val="0000FF"/>
              </w:rPr>
            </w:pPr>
            <w:r>
              <w:rPr>
                <w:b/>
                <w:color w:val="0000FF"/>
              </w:rPr>
              <w:t xml:space="preserve">31 December </w:t>
            </w:r>
            <w:r w:rsidR="008614F8">
              <w:rPr>
                <w:b/>
                <w:color w:val="0000FF"/>
              </w:rPr>
              <w:t>2025</w:t>
            </w:r>
          </w:p>
        </w:tc>
      </w:tr>
      <w:tr w:rsidR="008E5DE4" w14:paraId="1D6C97FE" w14:textId="77777777">
        <w:trPr>
          <w:cantSplit/>
        </w:trPr>
        <w:tc>
          <w:tcPr>
            <w:tcW w:w="5103" w:type="dxa"/>
            <w:tcBorders>
              <w:bottom w:val="single" w:sz="4" w:space="0" w:color="000000"/>
            </w:tcBorders>
            <w:vAlign w:val="bottom"/>
          </w:tcPr>
          <w:p w14:paraId="3EB9A55F" w14:textId="77777777" w:rsidR="008E5DE4" w:rsidRDefault="00780368">
            <w:pPr>
              <w:widowControl w:val="0"/>
              <w:pBdr>
                <w:top w:val="nil"/>
                <w:left w:val="nil"/>
                <w:bottom w:val="nil"/>
                <w:right w:val="nil"/>
                <w:between w:val="nil"/>
              </w:pBdr>
              <w:rPr>
                <w:b/>
                <w:i/>
                <w:color w:val="0000FF"/>
              </w:rPr>
            </w:pPr>
            <w:r>
              <w:rPr>
                <w:i/>
                <w:color w:val="0000FF"/>
              </w:rPr>
              <w:t>In thousands of EUR</w:t>
            </w:r>
          </w:p>
        </w:tc>
        <w:tc>
          <w:tcPr>
            <w:tcW w:w="1418" w:type="dxa"/>
            <w:tcBorders>
              <w:top w:val="single" w:sz="4" w:space="0" w:color="000000"/>
              <w:bottom w:val="single" w:sz="4" w:space="0" w:color="000000"/>
            </w:tcBorders>
          </w:tcPr>
          <w:p w14:paraId="7309F285" w14:textId="77777777" w:rsidR="008E5DE4" w:rsidRDefault="00780368">
            <w:pPr>
              <w:widowControl w:val="0"/>
              <w:pBdr>
                <w:top w:val="nil"/>
                <w:left w:val="nil"/>
                <w:bottom w:val="nil"/>
                <w:right w:val="nil"/>
                <w:between w:val="nil"/>
              </w:pBdr>
              <w:ind w:left="-113"/>
              <w:jc w:val="right"/>
              <w:rPr>
                <w:b/>
                <w:color w:val="0000FF"/>
              </w:rPr>
            </w:pPr>
            <w:r>
              <w:rPr>
                <w:b/>
                <w:color w:val="0000FF"/>
              </w:rPr>
              <w:t>Fair value of the assets</w:t>
            </w:r>
          </w:p>
        </w:tc>
        <w:tc>
          <w:tcPr>
            <w:tcW w:w="1418" w:type="dxa"/>
            <w:tcBorders>
              <w:top w:val="single" w:sz="4" w:space="0" w:color="000000"/>
              <w:bottom w:val="single" w:sz="4" w:space="0" w:color="000000"/>
            </w:tcBorders>
          </w:tcPr>
          <w:p w14:paraId="5FA9BD51" w14:textId="77777777" w:rsidR="008E5DE4" w:rsidRDefault="00780368">
            <w:pPr>
              <w:widowControl w:val="0"/>
              <w:pBdr>
                <w:top w:val="nil"/>
                <w:left w:val="nil"/>
                <w:bottom w:val="nil"/>
                <w:right w:val="nil"/>
                <w:between w:val="nil"/>
              </w:pBdr>
              <w:ind w:left="-113"/>
              <w:jc w:val="right"/>
              <w:rPr>
                <w:b/>
                <w:color w:val="0000FF"/>
              </w:rPr>
            </w:pPr>
            <w:r>
              <w:rPr>
                <w:b/>
                <w:color w:val="0000FF"/>
              </w:rPr>
              <w:t>Fair value of the associated liabilities</w:t>
            </w:r>
          </w:p>
        </w:tc>
        <w:tc>
          <w:tcPr>
            <w:tcW w:w="1418" w:type="dxa"/>
            <w:tcBorders>
              <w:top w:val="single" w:sz="4" w:space="0" w:color="000000"/>
              <w:bottom w:val="single" w:sz="4" w:space="0" w:color="000000"/>
            </w:tcBorders>
          </w:tcPr>
          <w:p w14:paraId="0DD0C6F0" w14:textId="77777777" w:rsidR="008E5DE4" w:rsidRDefault="00780368">
            <w:pPr>
              <w:widowControl w:val="0"/>
              <w:pBdr>
                <w:top w:val="nil"/>
                <w:left w:val="nil"/>
                <w:bottom w:val="nil"/>
                <w:right w:val="nil"/>
                <w:between w:val="nil"/>
              </w:pBdr>
              <w:ind w:left="-113"/>
              <w:jc w:val="right"/>
              <w:rPr>
                <w:b/>
                <w:color w:val="0000FF"/>
              </w:rPr>
            </w:pPr>
            <w:r>
              <w:rPr>
                <w:b/>
                <w:color w:val="0000FF"/>
              </w:rPr>
              <w:t>Net position</w:t>
            </w:r>
          </w:p>
        </w:tc>
      </w:tr>
      <w:tr w:rsidR="008E5DE4" w14:paraId="3CF8A82D" w14:textId="77777777">
        <w:trPr>
          <w:cantSplit/>
        </w:trPr>
        <w:tc>
          <w:tcPr>
            <w:tcW w:w="5103" w:type="dxa"/>
            <w:tcBorders>
              <w:top w:val="single" w:sz="4" w:space="0" w:color="000000"/>
            </w:tcBorders>
            <w:vAlign w:val="bottom"/>
          </w:tcPr>
          <w:p w14:paraId="6A0FA497" w14:textId="77777777" w:rsidR="008E5DE4" w:rsidRDefault="00780368">
            <w:pPr>
              <w:widowControl w:val="0"/>
              <w:rPr>
                <w:b/>
                <w:color w:val="0000FF"/>
              </w:rPr>
            </w:pPr>
            <w:r>
              <w:t> </w:t>
            </w:r>
          </w:p>
        </w:tc>
        <w:tc>
          <w:tcPr>
            <w:tcW w:w="1418" w:type="dxa"/>
            <w:tcBorders>
              <w:top w:val="single" w:sz="4" w:space="0" w:color="000000"/>
            </w:tcBorders>
            <w:vAlign w:val="bottom"/>
          </w:tcPr>
          <w:p w14:paraId="752A3355" w14:textId="77777777" w:rsidR="008E5DE4" w:rsidRDefault="008E5DE4">
            <w:pPr>
              <w:widowControl w:val="0"/>
              <w:pBdr>
                <w:top w:val="nil"/>
                <w:left w:val="nil"/>
                <w:bottom w:val="nil"/>
                <w:right w:val="nil"/>
                <w:between w:val="nil"/>
              </w:pBdr>
              <w:jc w:val="right"/>
              <w:rPr>
                <w:color w:val="0000FF"/>
              </w:rPr>
            </w:pPr>
          </w:p>
        </w:tc>
        <w:tc>
          <w:tcPr>
            <w:tcW w:w="1418" w:type="dxa"/>
            <w:tcBorders>
              <w:top w:val="single" w:sz="4" w:space="0" w:color="000000"/>
            </w:tcBorders>
            <w:vAlign w:val="bottom"/>
          </w:tcPr>
          <w:p w14:paraId="6F003518" w14:textId="77777777" w:rsidR="008E5DE4" w:rsidRDefault="008E5DE4">
            <w:pPr>
              <w:widowControl w:val="0"/>
              <w:pBdr>
                <w:top w:val="nil"/>
                <w:left w:val="nil"/>
                <w:bottom w:val="nil"/>
                <w:right w:val="nil"/>
                <w:between w:val="nil"/>
              </w:pBdr>
              <w:jc w:val="right"/>
              <w:rPr>
                <w:color w:val="0000FF"/>
              </w:rPr>
            </w:pPr>
          </w:p>
        </w:tc>
        <w:tc>
          <w:tcPr>
            <w:tcW w:w="1418" w:type="dxa"/>
            <w:tcBorders>
              <w:top w:val="single" w:sz="4" w:space="0" w:color="000000"/>
            </w:tcBorders>
            <w:vAlign w:val="bottom"/>
          </w:tcPr>
          <w:p w14:paraId="7601C53D" w14:textId="77777777" w:rsidR="008E5DE4" w:rsidRDefault="008E5DE4">
            <w:pPr>
              <w:widowControl w:val="0"/>
              <w:pBdr>
                <w:top w:val="nil"/>
                <w:left w:val="nil"/>
                <w:bottom w:val="nil"/>
                <w:right w:val="nil"/>
                <w:between w:val="nil"/>
              </w:pBdr>
              <w:jc w:val="right"/>
              <w:rPr>
                <w:color w:val="0000FF"/>
              </w:rPr>
            </w:pPr>
          </w:p>
        </w:tc>
      </w:tr>
      <w:tr w:rsidR="008E5DE4" w14:paraId="1754FFF1" w14:textId="77777777">
        <w:trPr>
          <w:cantSplit/>
        </w:trPr>
        <w:tc>
          <w:tcPr>
            <w:tcW w:w="5103" w:type="dxa"/>
            <w:vAlign w:val="bottom"/>
          </w:tcPr>
          <w:p w14:paraId="2A58994C" w14:textId="77777777" w:rsidR="008E5DE4" w:rsidRDefault="00780368">
            <w:pPr>
              <w:widowControl w:val="0"/>
              <w:pBdr>
                <w:top w:val="nil"/>
                <w:left w:val="nil"/>
                <w:bottom w:val="nil"/>
                <w:right w:val="nil"/>
                <w:between w:val="nil"/>
              </w:pBdr>
              <w:rPr>
                <w:color w:val="0000FF"/>
              </w:rPr>
            </w:pPr>
            <w:r>
              <w:rPr>
                <w:color w:val="0000FF"/>
              </w:rPr>
              <w:t>Trade receivables</w:t>
            </w:r>
          </w:p>
        </w:tc>
        <w:tc>
          <w:tcPr>
            <w:tcW w:w="1418" w:type="dxa"/>
            <w:vAlign w:val="bottom"/>
          </w:tcPr>
          <w:p w14:paraId="23FDAF02"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562FB49F"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7F3109E1" w14:textId="77777777" w:rsidR="008E5DE4" w:rsidRDefault="008E5DE4">
            <w:pPr>
              <w:widowControl w:val="0"/>
              <w:pBdr>
                <w:top w:val="nil"/>
                <w:left w:val="nil"/>
                <w:bottom w:val="nil"/>
                <w:right w:val="nil"/>
                <w:between w:val="nil"/>
              </w:pBdr>
              <w:jc w:val="right"/>
              <w:rPr>
                <w:color w:val="0000FF"/>
              </w:rPr>
            </w:pPr>
          </w:p>
        </w:tc>
      </w:tr>
      <w:tr w:rsidR="008E5DE4" w14:paraId="543467BE" w14:textId="77777777">
        <w:trPr>
          <w:cantSplit/>
        </w:trPr>
        <w:tc>
          <w:tcPr>
            <w:tcW w:w="5103" w:type="dxa"/>
            <w:vAlign w:val="bottom"/>
          </w:tcPr>
          <w:p w14:paraId="32EB7620" w14:textId="77777777" w:rsidR="008E5DE4" w:rsidRDefault="00780368">
            <w:pPr>
              <w:widowControl w:val="0"/>
              <w:pBdr>
                <w:top w:val="nil"/>
                <w:left w:val="nil"/>
                <w:bottom w:val="nil"/>
                <w:right w:val="nil"/>
                <w:between w:val="nil"/>
              </w:pBdr>
              <w:rPr>
                <w:color w:val="0000FF"/>
              </w:rPr>
            </w:pPr>
            <w:r>
              <w:rPr>
                <w:color w:val="0000FF"/>
              </w:rPr>
              <w:t>Loans to related parties under common control</w:t>
            </w:r>
          </w:p>
        </w:tc>
        <w:tc>
          <w:tcPr>
            <w:tcW w:w="1418" w:type="dxa"/>
            <w:vAlign w:val="bottom"/>
          </w:tcPr>
          <w:p w14:paraId="0E1F7E99"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6948664E"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1989BD6B" w14:textId="77777777" w:rsidR="008E5DE4" w:rsidRDefault="008E5DE4">
            <w:pPr>
              <w:widowControl w:val="0"/>
              <w:pBdr>
                <w:top w:val="nil"/>
                <w:left w:val="nil"/>
                <w:bottom w:val="nil"/>
                <w:right w:val="nil"/>
                <w:between w:val="nil"/>
              </w:pBdr>
              <w:jc w:val="right"/>
              <w:rPr>
                <w:color w:val="0000FF"/>
              </w:rPr>
            </w:pPr>
          </w:p>
        </w:tc>
      </w:tr>
      <w:tr w:rsidR="008E5DE4" w14:paraId="02D4CF9D" w14:textId="77777777">
        <w:trPr>
          <w:cantSplit/>
        </w:trPr>
        <w:tc>
          <w:tcPr>
            <w:tcW w:w="5103" w:type="dxa"/>
            <w:tcBorders>
              <w:bottom w:val="single" w:sz="4" w:space="0" w:color="000000"/>
            </w:tcBorders>
            <w:vAlign w:val="bottom"/>
          </w:tcPr>
          <w:p w14:paraId="706A9328" w14:textId="77777777" w:rsidR="008E5DE4" w:rsidRDefault="00780368">
            <w:pPr>
              <w:widowControl w:val="0"/>
              <w:rPr>
                <w:color w:val="0000FF"/>
              </w:rPr>
            </w:pPr>
            <w:r>
              <w:t> </w:t>
            </w:r>
          </w:p>
        </w:tc>
        <w:tc>
          <w:tcPr>
            <w:tcW w:w="1418" w:type="dxa"/>
            <w:tcBorders>
              <w:bottom w:val="single" w:sz="4" w:space="0" w:color="000000"/>
            </w:tcBorders>
            <w:vAlign w:val="bottom"/>
          </w:tcPr>
          <w:p w14:paraId="439C497C" w14:textId="77777777" w:rsidR="008E5DE4" w:rsidRDefault="008E5DE4">
            <w:pPr>
              <w:widowControl w:val="0"/>
              <w:pBdr>
                <w:top w:val="nil"/>
                <w:left w:val="nil"/>
                <w:bottom w:val="nil"/>
                <w:right w:val="nil"/>
                <w:between w:val="nil"/>
              </w:pBdr>
              <w:jc w:val="right"/>
              <w:rPr>
                <w:color w:val="0000FF"/>
              </w:rPr>
            </w:pPr>
          </w:p>
        </w:tc>
        <w:tc>
          <w:tcPr>
            <w:tcW w:w="1418" w:type="dxa"/>
            <w:tcBorders>
              <w:bottom w:val="single" w:sz="4" w:space="0" w:color="000000"/>
            </w:tcBorders>
            <w:vAlign w:val="bottom"/>
          </w:tcPr>
          <w:p w14:paraId="5DBBFFDF" w14:textId="77777777" w:rsidR="008E5DE4" w:rsidRDefault="008E5DE4">
            <w:pPr>
              <w:widowControl w:val="0"/>
              <w:pBdr>
                <w:top w:val="nil"/>
                <w:left w:val="nil"/>
                <w:bottom w:val="nil"/>
                <w:right w:val="nil"/>
                <w:between w:val="nil"/>
              </w:pBdr>
              <w:jc w:val="right"/>
              <w:rPr>
                <w:color w:val="0000FF"/>
              </w:rPr>
            </w:pPr>
          </w:p>
        </w:tc>
        <w:tc>
          <w:tcPr>
            <w:tcW w:w="1418" w:type="dxa"/>
            <w:tcBorders>
              <w:bottom w:val="single" w:sz="4" w:space="0" w:color="000000"/>
            </w:tcBorders>
            <w:vAlign w:val="bottom"/>
          </w:tcPr>
          <w:p w14:paraId="10540873" w14:textId="77777777" w:rsidR="008E5DE4" w:rsidRDefault="008E5DE4">
            <w:pPr>
              <w:widowControl w:val="0"/>
              <w:pBdr>
                <w:top w:val="nil"/>
                <w:left w:val="nil"/>
                <w:bottom w:val="nil"/>
                <w:right w:val="nil"/>
                <w:between w:val="nil"/>
              </w:pBdr>
              <w:jc w:val="right"/>
              <w:rPr>
                <w:color w:val="0000FF"/>
              </w:rPr>
            </w:pPr>
          </w:p>
        </w:tc>
      </w:tr>
      <w:tr w:rsidR="008E5DE4" w14:paraId="7F5B4C27" w14:textId="77777777">
        <w:trPr>
          <w:cantSplit/>
        </w:trPr>
        <w:tc>
          <w:tcPr>
            <w:tcW w:w="5103" w:type="dxa"/>
            <w:tcBorders>
              <w:top w:val="single" w:sz="4" w:space="0" w:color="000000"/>
            </w:tcBorders>
            <w:vAlign w:val="bottom"/>
          </w:tcPr>
          <w:p w14:paraId="392D777A" w14:textId="77777777" w:rsidR="008E5DE4" w:rsidRDefault="00780368">
            <w:pPr>
              <w:widowControl w:val="0"/>
              <w:rPr>
                <w:color w:val="0000FF"/>
              </w:rPr>
            </w:pPr>
            <w:r>
              <w:t> </w:t>
            </w:r>
          </w:p>
        </w:tc>
        <w:tc>
          <w:tcPr>
            <w:tcW w:w="1418" w:type="dxa"/>
            <w:tcBorders>
              <w:top w:val="single" w:sz="4" w:space="0" w:color="000000"/>
            </w:tcBorders>
            <w:vAlign w:val="bottom"/>
          </w:tcPr>
          <w:p w14:paraId="204D5B11" w14:textId="77777777" w:rsidR="008E5DE4" w:rsidRDefault="008E5DE4">
            <w:pPr>
              <w:widowControl w:val="0"/>
              <w:pBdr>
                <w:top w:val="nil"/>
                <w:left w:val="nil"/>
                <w:bottom w:val="nil"/>
                <w:right w:val="nil"/>
                <w:between w:val="nil"/>
              </w:pBdr>
              <w:jc w:val="right"/>
              <w:rPr>
                <w:b/>
                <w:color w:val="0000FF"/>
              </w:rPr>
            </w:pPr>
          </w:p>
        </w:tc>
        <w:tc>
          <w:tcPr>
            <w:tcW w:w="1418" w:type="dxa"/>
            <w:tcBorders>
              <w:top w:val="single" w:sz="4" w:space="0" w:color="000000"/>
            </w:tcBorders>
            <w:vAlign w:val="bottom"/>
          </w:tcPr>
          <w:p w14:paraId="52AB5A31" w14:textId="77777777" w:rsidR="008E5DE4" w:rsidRDefault="008E5DE4">
            <w:pPr>
              <w:widowControl w:val="0"/>
              <w:pBdr>
                <w:top w:val="nil"/>
                <w:left w:val="nil"/>
                <w:bottom w:val="nil"/>
                <w:right w:val="nil"/>
                <w:between w:val="nil"/>
              </w:pBdr>
              <w:jc w:val="right"/>
              <w:rPr>
                <w:b/>
                <w:color w:val="0000FF"/>
              </w:rPr>
            </w:pPr>
          </w:p>
        </w:tc>
        <w:tc>
          <w:tcPr>
            <w:tcW w:w="1418" w:type="dxa"/>
            <w:tcBorders>
              <w:top w:val="single" w:sz="4" w:space="0" w:color="000000"/>
            </w:tcBorders>
            <w:vAlign w:val="bottom"/>
          </w:tcPr>
          <w:p w14:paraId="12AFDA6D" w14:textId="77777777" w:rsidR="008E5DE4" w:rsidRDefault="008E5DE4">
            <w:pPr>
              <w:widowControl w:val="0"/>
              <w:pBdr>
                <w:top w:val="nil"/>
                <w:left w:val="nil"/>
                <w:bottom w:val="nil"/>
                <w:right w:val="nil"/>
                <w:between w:val="nil"/>
              </w:pBdr>
              <w:jc w:val="right"/>
              <w:rPr>
                <w:b/>
                <w:color w:val="0000FF"/>
              </w:rPr>
            </w:pPr>
          </w:p>
        </w:tc>
      </w:tr>
      <w:tr w:rsidR="008E5DE4" w14:paraId="2E103A90" w14:textId="77777777">
        <w:trPr>
          <w:cantSplit/>
        </w:trPr>
        <w:tc>
          <w:tcPr>
            <w:tcW w:w="5103" w:type="dxa"/>
            <w:vAlign w:val="bottom"/>
          </w:tcPr>
          <w:p w14:paraId="6C857C16" w14:textId="77777777" w:rsidR="008E5DE4" w:rsidRDefault="00780368">
            <w:pPr>
              <w:widowControl w:val="0"/>
              <w:rPr>
                <w:b/>
                <w:color w:val="0000FF"/>
              </w:rPr>
            </w:pPr>
            <w:r>
              <w:rPr>
                <w:b/>
                <w:color w:val="0000FF"/>
              </w:rPr>
              <w:t>Total</w:t>
            </w:r>
          </w:p>
        </w:tc>
        <w:tc>
          <w:tcPr>
            <w:tcW w:w="1418" w:type="dxa"/>
            <w:vAlign w:val="bottom"/>
          </w:tcPr>
          <w:p w14:paraId="57F64503"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1DC26905"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4643B1FE" w14:textId="77777777" w:rsidR="008E5DE4" w:rsidRDefault="008E5DE4">
            <w:pPr>
              <w:widowControl w:val="0"/>
              <w:pBdr>
                <w:top w:val="nil"/>
                <w:left w:val="nil"/>
                <w:bottom w:val="nil"/>
                <w:right w:val="nil"/>
                <w:between w:val="nil"/>
              </w:pBdr>
              <w:jc w:val="right"/>
              <w:rPr>
                <w:b/>
                <w:color w:val="0000FF"/>
              </w:rPr>
            </w:pPr>
          </w:p>
        </w:tc>
      </w:tr>
      <w:tr w:rsidR="008E5DE4" w14:paraId="3FF40C4A" w14:textId="77777777">
        <w:trPr>
          <w:cantSplit/>
        </w:trPr>
        <w:tc>
          <w:tcPr>
            <w:tcW w:w="5103" w:type="dxa"/>
            <w:tcBorders>
              <w:bottom w:val="single" w:sz="12" w:space="0" w:color="000000"/>
            </w:tcBorders>
            <w:vAlign w:val="bottom"/>
          </w:tcPr>
          <w:p w14:paraId="3FA35F42" w14:textId="77777777" w:rsidR="008E5DE4" w:rsidRDefault="00780368">
            <w:pPr>
              <w:widowControl w:val="0"/>
              <w:rPr>
                <w:b/>
                <w:color w:val="0000FF"/>
              </w:rPr>
            </w:pPr>
            <w:r>
              <w:t> </w:t>
            </w:r>
          </w:p>
        </w:tc>
        <w:tc>
          <w:tcPr>
            <w:tcW w:w="1418" w:type="dxa"/>
            <w:tcBorders>
              <w:bottom w:val="single" w:sz="12" w:space="0" w:color="000000"/>
            </w:tcBorders>
            <w:vAlign w:val="bottom"/>
          </w:tcPr>
          <w:p w14:paraId="798A429C" w14:textId="77777777" w:rsidR="008E5DE4" w:rsidRDefault="008E5DE4">
            <w:pPr>
              <w:widowControl w:val="0"/>
              <w:pBdr>
                <w:top w:val="nil"/>
                <w:left w:val="nil"/>
                <w:bottom w:val="nil"/>
                <w:right w:val="nil"/>
                <w:between w:val="nil"/>
              </w:pBdr>
              <w:jc w:val="right"/>
              <w:rPr>
                <w:b/>
                <w:color w:val="0000FF"/>
              </w:rPr>
            </w:pPr>
          </w:p>
        </w:tc>
        <w:tc>
          <w:tcPr>
            <w:tcW w:w="1418" w:type="dxa"/>
            <w:tcBorders>
              <w:bottom w:val="single" w:sz="12" w:space="0" w:color="000000"/>
            </w:tcBorders>
            <w:vAlign w:val="bottom"/>
          </w:tcPr>
          <w:p w14:paraId="482A607E" w14:textId="77777777" w:rsidR="008E5DE4" w:rsidRDefault="008E5DE4">
            <w:pPr>
              <w:widowControl w:val="0"/>
              <w:pBdr>
                <w:top w:val="nil"/>
                <w:left w:val="nil"/>
                <w:bottom w:val="nil"/>
                <w:right w:val="nil"/>
                <w:between w:val="nil"/>
              </w:pBdr>
              <w:jc w:val="right"/>
              <w:rPr>
                <w:b/>
                <w:color w:val="0000FF"/>
              </w:rPr>
            </w:pPr>
          </w:p>
        </w:tc>
        <w:tc>
          <w:tcPr>
            <w:tcW w:w="1418" w:type="dxa"/>
            <w:tcBorders>
              <w:bottom w:val="single" w:sz="12" w:space="0" w:color="000000"/>
            </w:tcBorders>
            <w:vAlign w:val="bottom"/>
          </w:tcPr>
          <w:p w14:paraId="1CC4AB80" w14:textId="77777777" w:rsidR="008E5DE4" w:rsidRDefault="008E5DE4">
            <w:pPr>
              <w:widowControl w:val="0"/>
              <w:pBdr>
                <w:top w:val="nil"/>
                <w:left w:val="nil"/>
                <w:bottom w:val="nil"/>
                <w:right w:val="nil"/>
                <w:between w:val="nil"/>
              </w:pBdr>
              <w:jc w:val="right"/>
              <w:rPr>
                <w:b/>
                <w:color w:val="0000FF"/>
              </w:rPr>
            </w:pPr>
          </w:p>
        </w:tc>
      </w:tr>
    </w:tbl>
    <w:p w14:paraId="108854F8"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44</w:t>
      </w:r>
      <w:r>
        <w:rPr>
          <w:b/>
          <w:color w:val="000000"/>
          <w:sz w:val="20"/>
          <w:szCs w:val="20"/>
        </w:rPr>
        <w:tab/>
        <w:t>Transfers of Financial Assets (Continued)</w:t>
      </w:r>
    </w:p>
    <w:tbl>
      <w:tblPr>
        <w:tblStyle w:val="affffffffffff3"/>
        <w:tblW w:w="9357" w:type="dxa"/>
        <w:tblLayout w:type="fixed"/>
        <w:tblLook w:val="0000" w:firstRow="0" w:lastRow="0" w:firstColumn="0" w:lastColumn="0" w:noHBand="0" w:noVBand="0"/>
      </w:tblPr>
      <w:tblGrid>
        <w:gridCol w:w="5103"/>
        <w:gridCol w:w="1418"/>
        <w:gridCol w:w="1418"/>
        <w:gridCol w:w="1418"/>
      </w:tblGrid>
      <w:tr w:rsidR="008E5DE4" w14:paraId="780CB984" w14:textId="77777777">
        <w:trPr>
          <w:cantSplit/>
        </w:trPr>
        <w:tc>
          <w:tcPr>
            <w:tcW w:w="5103" w:type="dxa"/>
            <w:vAlign w:val="bottom"/>
          </w:tcPr>
          <w:p w14:paraId="593058A7" w14:textId="77777777" w:rsidR="008E5DE4" w:rsidRDefault="008E5DE4">
            <w:pPr>
              <w:widowControl w:val="0"/>
              <w:rPr>
                <w:b/>
                <w:color w:val="0000FF"/>
              </w:rPr>
            </w:pPr>
          </w:p>
        </w:tc>
        <w:tc>
          <w:tcPr>
            <w:tcW w:w="4254" w:type="dxa"/>
            <w:gridSpan w:val="3"/>
            <w:tcBorders>
              <w:bottom w:val="single" w:sz="4" w:space="0" w:color="000000"/>
            </w:tcBorders>
            <w:vAlign w:val="bottom"/>
          </w:tcPr>
          <w:p w14:paraId="2EC5DF1A" w14:textId="43E726AF" w:rsidR="008E5DE4" w:rsidRDefault="00780368">
            <w:pPr>
              <w:widowControl w:val="0"/>
              <w:pBdr>
                <w:top w:val="nil"/>
                <w:left w:val="nil"/>
                <w:bottom w:val="nil"/>
                <w:right w:val="nil"/>
                <w:between w:val="nil"/>
              </w:pBdr>
              <w:jc w:val="center"/>
              <w:rPr>
                <w:b/>
                <w:color w:val="0000FF"/>
              </w:rPr>
            </w:pPr>
            <w:r>
              <w:rPr>
                <w:b/>
                <w:color w:val="0000FF"/>
              </w:rPr>
              <w:t xml:space="preserve">31 December </w:t>
            </w:r>
            <w:r w:rsidR="00E06A92">
              <w:rPr>
                <w:b/>
                <w:color w:val="0000FF"/>
              </w:rPr>
              <w:t>2024</w:t>
            </w:r>
          </w:p>
        </w:tc>
      </w:tr>
      <w:tr w:rsidR="008E5DE4" w14:paraId="63072ABC" w14:textId="77777777">
        <w:trPr>
          <w:cantSplit/>
        </w:trPr>
        <w:tc>
          <w:tcPr>
            <w:tcW w:w="5103" w:type="dxa"/>
            <w:tcBorders>
              <w:bottom w:val="single" w:sz="4" w:space="0" w:color="000000"/>
            </w:tcBorders>
            <w:vAlign w:val="bottom"/>
          </w:tcPr>
          <w:p w14:paraId="1B35EB53" w14:textId="77777777" w:rsidR="008E5DE4" w:rsidRDefault="00780368">
            <w:pPr>
              <w:widowControl w:val="0"/>
              <w:pBdr>
                <w:top w:val="nil"/>
                <w:left w:val="nil"/>
                <w:bottom w:val="nil"/>
                <w:right w:val="nil"/>
                <w:between w:val="nil"/>
              </w:pBdr>
              <w:rPr>
                <w:b/>
                <w:i/>
                <w:color w:val="0000FF"/>
              </w:rPr>
            </w:pPr>
            <w:r>
              <w:rPr>
                <w:i/>
                <w:color w:val="0000FF"/>
              </w:rPr>
              <w:t>In thousands of EUR</w:t>
            </w:r>
          </w:p>
        </w:tc>
        <w:tc>
          <w:tcPr>
            <w:tcW w:w="1418" w:type="dxa"/>
            <w:tcBorders>
              <w:top w:val="single" w:sz="4" w:space="0" w:color="000000"/>
              <w:bottom w:val="single" w:sz="4" w:space="0" w:color="000000"/>
            </w:tcBorders>
          </w:tcPr>
          <w:p w14:paraId="7E91980E" w14:textId="77777777" w:rsidR="008E5DE4" w:rsidRDefault="00780368">
            <w:pPr>
              <w:widowControl w:val="0"/>
              <w:pBdr>
                <w:top w:val="nil"/>
                <w:left w:val="nil"/>
                <w:bottom w:val="nil"/>
                <w:right w:val="nil"/>
                <w:between w:val="nil"/>
              </w:pBdr>
              <w:ind w:left="-113"/>
              <w:jc w:val="right"/>
              <w:rPr>
                <w:b/>
                <w:color w:val="0000FF"/>
              </w:rPr>
            </w:pPr>
            <w:r>
              <w:rPr>
                <w:b/>
                <w:color w:val="0000FF"/>
              </w:rPr>
              <w:t>Fair value of the assets</w:t>
            </w:r>
          </w:p>
        </w:tc>
        <w:tc>
          <w:tcPr>
            <w:tcW w:w="1418" w:type="dxa"/>
            <w:tcBorders>
              <w:top w:val="single" w:sz="4" w:space="0" w:color="000000"/>
              <w:bottom w:val="single" w:sz="4" w:space="0" w:color="000000"/>
            </w:tcBorders>
          </w:tcPr>
          <w:p w14:paraId="3283472D" w14:textId="77777777" w:rsidR="008E5DE4" w:rsidRDefault="00780368">
            <w:pPr>
              <w:widowControl w:val="0"/>
              <w:pBdr>
                <w:top w:val="nil"/>
                <w:left w:val="nil"/>
                <w:bottom w:val="nil"/>
                <w:right w:val="nil"/>
                <w:between w:val="nil"/>
              </w:pBdr>
              <w:ind w:left="-113"/>
              <w:jc w:val="right"/>
              <w:rPr>
                <w:b/>
                <w:color w:val="0000FF"/>
              </w:rPr>
            </w:pPr>
            <w:r>
              <w:rPr>
                <w:b/>
                <w:color w:val="0000FF"/>
              </w:rPr>
              <w:t>Fair value of the associated liabilities</w:t>
            </w:r>
          </w:p>
        </w:tc>
        <w:tc>
          <w:tcPr>
            <w:tcW w:w="1418" w:type="dxa"/>
            <w:tcBorders>
              <w:top w:val="single" w:sz="4" w:space="0" w:color="000000"/>
              <w:bottom w:val="single" w:sz="4" w:space="0" w:color="000000"/>
            </w:tcBorders>
          </w:tcPr>
          <w:p w14:paraId="714E4703" w14:textId="77777777" w:rsidR="008E5DE4" w:rsidRDefault="00780368">
            <w:pPr>
              <w:widowControl w:val="0"/>
              <w:pBdr>
                <w:top w:val="nil"/>
                <w:left w:val="nil"/>
                <w:bottom w:val="nil"/>
                <w:right w:val="nil"/>
                <w:between w:val="nil"/>
              </w:pBdr>
              <w:ind w:left="-113"/>
              <w:jc w:val="right"/>
              <w:rPr>
                <w:b/>
                <w:color w:val="0000FF"/>
              </w:rPr>
            </w:pPr>
            <w:r>
              <w:rPr>
                <w:b/>
                <w:color w:val="0000FF"/>
              </w:rPr>
              <w:t>Net position</w:t>
            </w:r>
          </w:p>
        </w:tc>
      </w:tr>
      <w:tr w:rsidR="008E5DE4" w14:paraId="7BCC0C76" w14:textId="77777777">
        <w:trPr>
          <w:cantSplit/>
        </w:trPr>
        <w:tc>
          <w:tcPr>
            <w:tcW w:w="5103" w:type="dxa"/>
            <w:tcBorders>
              <w:top w:val="single" w:sz="4" w:space="0" w:color="000000"/>
            </w:tcBorders>
            <w:vAlign w:val="bottom"/>
          </w:tcPr>
          <w:p w14:paraId="24FF56D3" w14:textId="77777777" w:rsidR="008E5DE4" w:rsidRDefault="00780368">
            <w:pPr>
              <w:widowControl w:val="0"/>
              <w:rPr>
                <w:b/>
                <w:color w:val="0000FF"/>
              </w:rPr>
            </w:pPr>
            <w:r>
              <w:t> </w:t>
            </w:r>
          </w:p>
        </w:tc>
        <w:tc>
          <w:tcPr>
            <w:tcW w:w="1418" w:type="dxa"/>
            <w:tcBorders>
              <w:top w:val="single" w:sz="4" w:space="0" w:color="000000"/>
            </w:tcBorders>
            <w:vAlign w:val="bottom"/>
          </w:tcPr>
          <w:p w14:paraId="72B29F09" w14:textId="77777777" w:rsidR="008E5DE4" w:rsidRDefault="008E5DE4">
            <w:pPr>
              <w:widowControl w:val="0"/>
              <w:pBdr>
                <w:top w:val="nil"/>
                <w:left w:val="nil"/>
                <w:bottom w:val="nil"/>
                <w:right w:val="nil"/>
                <w:between w:val="nil"/>
              </w:pBdr>
              <w:jc w:val="right"/>
              <w:rPr>
                <w:color w:val="0000FF"/>
              </w:rPr>
            </w:pPr>
          </w:p>
        </w:tc>
        <w:tc>
          <w:tcPr>
            <w:tcW w:w="1418" w:type="dxa"/>
            <w:tcBorders>
              <w:top w:val="single" w:sz="4" w:space="0" w:color="000000"/>
            </w:tcBorders>
            <w:vAlign w:val="bottom"/>
          </w:tcPr>
          <w:p w14:paraId="498C19ED" w14:textId="77777777" w:rsidR="008E5DE4" w:rsidRDefault="008E5DE4">
            <w:pPr>
              <w:widowControl w:val="0"/>
              <w:pBdr>
                <w:top w:val="nil"/>
                <w:left w:val="nil"/>
                <w:bottom w:val="nil"/>
                <w:right w:val="nil"/>
                <w:between w:val="nil"/>
              </w:pBdr>
              <w:jc w:val="right"/>
              <w:rPr>
                <w:color w:val="0000FF"/>
              </w:rPr>
            </w:pPr>
          </w:p>
        </w:tc>
        <w:tc>
          <w:tcPr>
            <w:tcW w:w="1418" w:type="dxa"/>
            <w:tcBorders>
              <w:top w:val="single" w:sz="4" w:space="0" w:color="000000"/>
            </w:tcBorders>
            <w:vAlign w:val="bottom"/>
          </w:tcPr>
          <w:p w14:paraId="1ECB641A" w14:textId="77777777" w:rsidR="008E5DE4" w:rsidRDefault="008E5DE4">
            <w:pPr>
              <w:widowControl w:val="0"/>
              <w:pBdr>
                <w:top w:val="nil"/>
                <w:left w:val="nil"/>
                <w:bottom w:val="nil"/>
                <w:right w:val="nil"/>
                <w:between w:val="nil"/>
              </w:pBdr>
              <w:jc w:val="right"/>
              <w:rPr>
                <w:color w:val="0000FF"/>
              </w:rPr>
            </w:pPr>
          </w:p>
        </w:tc>
      </w:tr>
      <w:tr w:rsidR="008E5DE4" w14:paraId="4303F34E" w14:textId="77777777">
        <w:trPr>
          <w:cantSplit/>
        </w:trPr>
        <w:tc>
          <w:tcPr>
            <w:tcW w:w="5103" w:type="dxa"/>
            <w:vAlign w:val="bottom"/>
          </w:tcPr>
          <w:p w14:paraId="5E0714F5" w14:textId="77777777" w:rsidR="008E5DE4" w:rsidRDefault="00780368">
            <w:pPr>
              <w:widowControl w:val="0"/>
              <w:pBdr>
                <w:top w:val="nil"/>
                <w:left w:val="nil"/>
                <w:bottom w:val="nil"/>
                <w:right w:val="nil"/>
                <w:between w:val="nil"/>
              </w:pBdr>
              <w:rPr>
                <w:color w:val="0000FF"/>
              </w:rPr>
            </w:pPr>
            <w:r>
              <w:rPr>
                <w:color w:val="0000FF"/>
              </w:rPr>
              <w:t>Trade receivables</w:t>
            </w:r>
          </w:p>
        </w:tc>
        <w:tc>
          <w:tcPr>
            <w:tcW w:w="1418" w:type="dxa"/>
            <w:vAlign w:val="bottom"/>
          </w:tcPr>
          <w:p w14:paraId="50BBF237"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55480172"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466C479C" w14:textId="77777777" w:rsidR="008E5DE4" w:rsidRDefault="008E5DE4">
            <w:pPr>
              <w:widowControl w:val="0"/>
              <w:pBdr>
                <w:top w:val="nil"/>
                <w:left w:val="nil"/>
                <w:bottom w:val="nil"/>
                <w:right w:val="nil"/>
                <w:between w:val="nil"/>
              </w:pBdr>
              <w:jc w:val="right"/>
              <w:rPr>
                <w:color w:val="0000FF"/>
              </w:rPr>
            </w:pPr>
          </w:p>
        </w:tc>
      </w:tr>
      <w:tr w:rsidR="008E5DE4" w14:paraId="251CA0E4" w14:textId="77777777">
        <w:trPr>
          <w:cantSplit/>
        </w:trPr>
        <w:tc>
          <w:tcPr>
            <w:tcW w:w="5103" w:type="dxa"/>
            <w:vAlign w:val="bottom"/>
          </w:tcPr>
          <w:p w14:paraId="0999C3B1" w14:textId="77777777" w:rsidR="008E5DE4" w:rsidRDefault="00780368">
            <w:pPr>
              <w:widowControl w:val="0"/>
              <w:pBdr>
                <w:top w:val="nil"/>
                <w:left w:val="nil"/>
                <w:bottom w:val="nil"/>
                <w:right w:val="nil"/>
                <w:between w:val="nil"/>
              </w:pBdr>
              <w:rPr>
                <w:color w:val="0000FF"/>
              </w:rPr>
            </w:pPr>
            <w:r>
              <w:rPr>
                <w:color w:val="0000FF"/>
              </w:rPr>
              <w:t>Loans to related parties under common control</w:t>
            </w:r>
          </w:p>
        </w:tc>
        <w:tc>
          <w:tcPr>
            <w:tcW w:w="1418" w:type="dxa"/>
            <w:vAlign w:val="bottom"/>
          </w:tcPr>
          <w:p w14:paraId="6AF5144C"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57188DE3"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6408150E" w14:textId="77777777" w:rsidR="008E5DE4" w:rsidRDefault="008E5DE4">
            <w:pPr>
              <w:widowControl w:val="0"/>
              <w:pBdr>
                <w:top w:val="nil"/>
                <w:left w:val="nil"/>
                <w:bottom w:val="nil"/>
                <w:right w:val="nil"/>
                <w:between w:val="nil"/>
              </w:pBdr>
              <w:jc w:val="right"/>
              <w:rPr>
                <w:color w:val="0000FF"/>
              </w:rPr>
            </w:pPr>
          </w:p>
        </w:tc>
      </w:tr>
      <w:tr w:rsidR="008E5DE4" w14:paraId="7331142E" w14:textId="77777777">
        <w:trPr>
          <w:cantSplit/>
        </w:trPr>
        <w:tc>
          <w:tcPr>
            <w:tcW w:w="5103" w:type="dxa"/>
            <w:tcBorders>
              <w:bottom w:val="single" w:sz="4" w:space="0" w:color="000000"/>
            </w:tcBorders>
            <w:vAlign w:val="bottom"/>
          </w:tcPr>
          <w:p w14:paraId="66F4E51C" w14:textId="77777777" w:rsidR="008E5DE4" w:rsidRDefault="00780368">
            <w:pPr>
              <w:widowControl w:val="0"/>
              <w:rPr>
                <w:color w:val="0000FF"/>
              </w:rPr>
            </w:pPr>
            <w:r>
              <w:t> </w:t>
            </w:r>
          </w:p>
        </w:tc>
        <w:tc>
          <w:tcPr>
            <w:tcW w:w="1418" w:type="dxa"/>
            <w:tcBorders>
              <w:bottom w:val="single" w:sz="4" w:space="0" w:color="000000"/>
            </w:tcBorders>
            <w:vAlign w:val="bottom"/>
          </w:tcPr>
          <w:p w14:paraId="5C064E8B" w14:textId="77777777" w:rsidR="008E5DE4" w:rsidRDefault="008E5DE4">
            <w:pPr>
              <w:widowControl w:val="0"/>
              <w:pBdr>
                <w:top w:val="nil"/>
                <w:left w:val="nil"/>
                <w:bottom w:val="nil"/>
                <w:right w:val="nil"/>
                <w:between w:val="nil"/>
              </w:pBdr>
              <w:jc w:val="right"/>
              <w:rPr>
                <w:color w:val="0000FF"/>
              </w:rPr>
            </w:pPr>
          </w:p>
        </w:tc>
        <w:tc>
          <w:tcPr>
            <w:tcW w:w="1418" w:type="dxa"/>
            <w:tcBorders>
              <w:bottom w:val="single" w:sz="4" w:space="0" w:color="000000"/>
            </w:tcBorders>
            <w:vAlign w:val="bottom"/>
          </w:tcPr>
          <w:p w14:paraId="79000F7F" w14:textId="77777777" w:rsidR="008E5DE4" w:rsidRDefault="008E5DE4">
            <w:pPr>
              <w:widowControl w:val="0"/>
              <w:pBdr>
                <w:top w:val="nil"/>
                <w:left w:val="nil"/>
                <w:bottom w:val="nil"/>
                <w:right w:val="nil"/>
                <w:between w:val="nil"/>
              </w:pBdr>
              <w:jc w:val="right"/>
              <w:rPr>
                <w:color w:val="0000FF"/>
              </w:rPr>
            </w:pPr>
          </w:p>
        </w:tc>
        <w:tc>
          <w:tcPr>
            <w:tcW w:w="1418" w:type="dxa"/>
            <w:tcBorders>
              <w:bottom w:val="single" w:sz="4" w:space="0" w:color="000000"/>
            </w:tcBorders>
            <w:vAlign w:val="bottom"/>
          </w:tcPr>
          <w:p w14:paraId="125F75A6" w14:textId="77777777" w:rsidR="008E5DE4" w:rsidRDefault="008E5DE4">
            <w:pPr>
              <w:widowControl w:val="0"/>
              <w:pBdr>
                <w:top w:val="nil"/>
                <w:left w:val="nil"/>
                <w:bottom w:val="nil"/>
                <w:right w:val="nil"/>
                <w:between w:val="nil"/>
              </w:pBdr>
              <w:jc w:val="right"/>
              <w:rPr>
                <w:color w:val="0000FF"/>
              </w:rPr>
            </w:pPr>
          </w:p>
        </w:tc>
      </w:tr>
      <w:tr w:rsidR="008E5DE4" w14:paraId="386B5B0F" w14:textId="77777777">
        <w:trPr>
          <w:cantSplit/>
        </w:trPr>
        <w:tc>
          <w:tcPr>
            <w:tcW w:w="5103" w:type="dxa"/>
            <w:tcBorders>
              <w:top w:val="single" w:sz="4" w:space="0" w:color="000000"/>
            </w:tcBorders>
            <w:vAlign w:val="bottom"/>
          </w:tcPr>
          <w:p w14:paraId="3CE00F5D" w14:textId="77777777" w:rsidR="008E5DE4" w:rsidRDefault="00780368">
            <w:pPr>
              <w:widowControl w:val="0"/>
              <w:rPr>
                <w:color w:val="0000FF"/>
              </w:rPr>
            </w:pPr>
            <w:r>
              <w:t> </w:t>
            </w:r>
          </w:p>
        </w:tc>
        <w:tc>
          <w:tcPr>
            <w:tcW w:w="1418" w:type="dxa"/>
            <w:tcBorders>
              <w:top w:val="single" w:sz="4" w:space="0" w:color="000000"/>
            </w:tcBorders>
            <w:vAlign w:val="bottom"/>
          </w:tcPr>
          <w:p w14:paraId="7ABA36ED" w14:textId="77777777" w:rsidR="008E5DE4" w:rsidRDefault="008E5DE4">
            <w:pPr>
              <w:widowControl w:val="0"/>
              <w:pBdr>
                <w:top w:val="nil"/>
                <w:left w:val="nil"/>
                <w:bottom w:val="nil"/>
                <w:right w:val="nil"/>
                <w:between w:val="nil"/>
              </w:pBdr>
              <w:jc w:val="right"/>
              <w:rPr>
                <w:b/>
                <w:color w:val="0000FF"/>
              </w:rPr>
            </w:pPr>
          </w:p>
        </w:tc>
        <w:tc>
          <w:tcPr>
            <w:tcW w:w="1418" w:type="dxa"/>
            <w:tcBorders>
              <w:top w:val="single" w:sz="4" w:space="0" w:color="000000"/>
            </w:tcBorders>
            <w:vAlign w:val="bottom"/>
          </w:tcPr>
          <w:p w14:paraId="54DA21A0" w14:textId="77777777" w:rsidR="008E5DE4" w:rsidRDefault="008E5DE4">
            <w:pPr>
              <w:widowControl w:val="0"/>
              <w:pBdr>
                <w:top w:val="nil"/>
                <w:left w:val="nil"/>
                <w:bottom w:val="nil"/>
                <w:right w:val="nil"/>
                <w:between w:val="nil"/>
              </w:pBdr>
              <w:jc w:val="right"/>
              <w:rPr>
                <w:b/>
                <w:color w:val="0000FF"/>
              </w:rPr>
            </w:pPr>
          </w:p>
        </w:tc>
        <w:tc>
          <w:tcPr>
            <w:tcW w:w="1418" w:type="dxa"/>
            <w:tcBorders>
              <w:top w:val="single" w:sz="4" w:space="0" w:color="000000"/>
            </w:tcBorders>
            <w:vAlign w:val="bottom"/>
          </w:tcPr>
          <w:p w14:paraId="4F48D6F5" w14:textId="77777777" w:rsidR="008E5DE4" w:rsidRDefault="008E5DE4">
            <w:pPr>
              <w:widowControl w:val="0"/>
              <w:pBdr>
                <w:top w:val="nil"/>
                <w:left w:val="nil"/>
                <w:bottom w:val="nil"/>
                <w:right w:val="nil"/>
                <w:between w:val="nil"/>
              </w:pBdr>
              <w:jc w:val="right"/>
              <w:rPr>
                <w:b/>
                <w:color w:val="0000FF"/>
              </w:rPr>
            </w:pPr>
          </w:p>
        </w:tc>
      </w:tr>
      <w:tr w:rsidR="008E5DE4" w14:paraId="6E872CDF" w14:textId="77777777">
        <w:trPr>
          <w:cantSplit/>
        </w:trPr>
        <w:tc>
          <w:tcPr>
            <w:tcW w:w="5103" w:type="dxa"/>
            <w:vAlign w:val="bottom"/>
          </w:tcPr>
          <w:p w14:paraId="09911110" w14:textId="77777777" w:rsidR="008E5DE4" w:rsidRDefault="00780368">
            <w:pPr>
              <w:widowControl w:val="0"/>
              <w:rPr>
                <w:b/>
                <w:color w:val="0000FF"/>
              </w:rPr>
            </w:pPr>
            <w:r>
              <w:rPr>
                <w:b/>
                <w:color w:val="0000FF"/>
              </w:rPr>
              <w:t>Total</w:t>
            </w:r>
          </w:p>
        </w:tc>
        <w:tc>
          <w:tcPr>
            <w:tcW w:w="1418" w:type="dxa"/>
            <w:vAlign w:val="bottom"/>
          </w:tcPr>
          <w:p w14:paraId="1D4858A6"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7B7D96DE"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1C11B631" w14:textId="77777777" w:rsidR="008E5DE4" w:rsidRDefault="008E5DE4">
            <w:pPr>
              <w:widowControl w:val="0"/>
              <w:pBdr>
                <w:top w:val="nil"/>
                <w:left w:val="nil"/>
                <w:bottom w:val="nil"/>
                <w:right w:val="nil"/>
                <w:between w:val="nil"/>
              </w:pBdr>
              <w:jc w:val="right"/>
              <w:rPr>
                <w:b/>
                <w:color w:val="0000FF"/>
              </w:rPr>
            </w:pPr>
          </w:p>
        </w:tc>
      </w:tr>
      <w:tr w:rsidR="008E5DE4" w14:paraId="21D47BA7" w14:textId="77777777">
        <w:trPr>
          <w:cantSplit/>
        </w:trPr>
        <w:tc>
          <w:tcPr>
            <w:tcW w:w="5103" w:type="dxa"/>
            <w:tcBorders>
              <w:bottom w:val="single" w:sz="12" w:space="0" w:color="000000"/>
            </w:tcBorders>
            <w:vAlign w:val="bottom"/>
          </w:tcPr>
          <w:p w14:paraId="52D15442" w14:textId="77777777" w:rsidR="008E5DE4" w:rsidRDefault="00780368">
            <w:pPr>
              <w:widowControl w:val="0"/>
              <w:rPr>
                <w:b/>
                <w:color w:val="0000FF"/>
              </w:rPr>
            </w:pPr>
            <w:r>
              <w:t> </w:t>
            </w:r>
          </w:p>
        </w:tc>
        <w:tc>
          <w:tcPr>
            <w:tcW w:w="1418" w:type="dxa"/>
            <w:tcBorders>
              <w:bottom w:val="single" w:sz="12" w:space="0" w:color="000000"/>
            </w:tcBorders>
            <w:vAlign w:val="bottom"/>
          </w:tcPr>
          <w:p w14:paraId="439A3B86" w14:textId="77777777" w:rsidR="008E5DE4" w:rsidRDefault="008E5DE4">
            <w:pPr>
              <w:widowControl w:val="0"/>
              <w:pBdr>
                <w:top w:val="nil"/>
                <w:left w:val="nil"/>
                <w:bottom w:val="nil"/>
                <w:right w:val="nil"/>
                <w:between w:val="nil"/>
              </w:pBdr>
              <w:jc w:val="right"/>
              <w:rPr>
                <w:b/>
                <w:color w:val="0000FF"/>
              </w:rPr>
            </w:pPr>
          </w:p>
        </w:tc>
        <w:tc>
          <w:tcPr>
            <w:tcW w:w="1418" w:type="dxa"/>
            <w:tcBorders>
              <w:bottom w:val="single" w:sz="12" w:space="0" w:color="000000"/>
            </w:tcBorders>
            <w:vAlign w:val="bottom"/>
          </w:tcPr>
          <w:p w14:paraId="0EEA4B77" w14:textId="77777777" w:rsidR="008E5DE4" w:rsidRDefault="008E5DE4">
            <w:pPr>
              <w:widowControl w:val="0"/>
              <w:pBdr>
                <w:top w:val="nil"/>
                <w:left w:val="nil"/>
                <w:bottom w:val="nil"/>
                <w:right w:val="nil"/>
                <w:between w:val="nil"/>
              </w:pBdr>
              <w:jc w:val="right"/>
              <w:rPr>
                <w:b/>
                <w:color w:val="0000FF"/>
              </w:rPr>
            </w:pPr>
          </w:p>
        </w:tc>
        <w:tc>
          <w:tcPr>
            <w:tcW w:w="1418" w:type="dxa"/>
            <w:tcBorders>
              <w:bottom w:val="single" w:sz="12" w:space="0" w:color="000000"/>
            </w:tcBorders>
            <w:vAlign w:val="bottom"/>
          </w:tcPr>
          <w:p w14:paraId="4D5DC828" w14:textId="77777777" w:rsidR="008E5DE4" w:rsidRDefault="008E5DE4">
            <w:pPr>
              <w:widowControl w:val="0"/>
              <w:pBdr>
                <w:top w:val="nil"/>
                <w:left w:val="nil"/>
                <w:bottom w:val="nil"/>
                <w:right w:val="nil"/>
                <w:between w:val="nil"/>
              </w:pBdr>
              <w:jc w:val="right"/>
              <w:rPr>
                <w:b/>
                <w:color w:val="0000FF"/>
              </w:rPr>
            </w:pPr>
          </w:p>
        </w:tc>
      </w:tr>
    </w:tbl>
    <w:p w14:paraId="6F987654" w14:textId="77777777" w:rsidR="008E5DE4" w:rsidRDefault="00780368">
      <w:pPr>
        <w:widowControl w:val="0"/>
        <w:spacing w:before="200" w:after="200"/>
        <w:jc w:val="both"/>
        <w:rPr>
          <w:i/>
          <w:color w:val="0000FF"/>
          <w:sz w:val="20"/>
          <w:szCs w:val="20"/>
        </w:rPr>
      </w:pPr>
      <w:r>
        <w:rPr>
          <w:color w:val="0000FF"/>
          <w:sz w:val="20"/>
          <w:szCs w:val="20"/>
        </w:rPr>
        <w:t>[The following schedule summarises transfers where the Group continues to recognise the assets to the extent of its continuing involvement. The analysis is provided by class of financial assets.]</w:t>
      </w:r>
    </w:p>
    <w:tbl>
      <w:tblPr>
        <w:tblStyle w:val="affffffffffff4"/>
        <w:tblW w:w="9357" w:type="dxa"/>
        <w:tblLayout w:type="fixed"/>
        <w:tblLook w:val="0000" w:firstRow="0" w:lastRow="0" w:firstColumn="0" w:lastColumn="0" w:noHBand="0" w:noVBand="0"/>
      </w:tblPr>
      <w:tblGrid>
        <w:gridCol w:w="5103"/>
        <w:gridCol w:w="1418"/>
        <w:gridCol w:w="1418"/>
        <w:gridCol w:w="1418"/>
      </w:tblGrid>
      <w:tr w:rsidR="008E5DE4" w14:paraId="404814C0" w14:textId="77777777">
        <w:trPr>
          <w:cantSplit/>
        </w:trPr>
        <w:tc>
          <w:tcPr>
            <w:tcW w:w="5103" w:type="dxa"/>
            <w:vAlign w:val="bottom"/>
          </w:tcPr>
          <w:p w14:paraId="47006B5A" w14:textId="77777777" w:rsidR="008E5DE4" w:rsidRDefault="008E5DE4">
            <w:pPr>
              <w:widowControl w:val="0"/>
              <w:ind w:left="113" w:right="-57" w:hanging="113"/>
              <w:rPr>
                <w:b/>
                <w:color w:val="0000FF"/>
              </w:rPr>
            </w:pPr>
          </w:p>
        </w:tc>
        <w:tc>
          <w:tcPr>
            <w:tcW w:w="4254" w:type="dxa"/>
            <w:gridSpan w:val="3"/>
            <w:tcBorders>
              <w:bottom w:val="single" w:sz="4" w:space="0" w:color="000000"/>
            </w:tcBorders>
            <w:vAlign w:val="bottom"/>
          </w:tcPr>
          <w:p w14:paraId="762338D4" w14:textId="1680531F" w:rsidR="008E5DE4" w:rsidRDefault="00780368">
            <w:pPr>
              <w:widowControl w:val="0"/>
              <w:pBdr>
                <w:top w:val="nil"/>
                <w:left w:val="nil"/>
                <w:bottom w:val="nil"/>
                <w:right w:val="nil"/>
                <w:between w:val="nil"/>
              </w:pBdr>
              <w:jc w:val="center"/>
              <w:rPr>
                <w:b/>
                <w:color w:val="0000FF"/>
              </w:rPr>
            </w:pPr>
            <w:r>
              <w:rPr>
                <w:b/>
                <w:color w:val="0000FF"/>
              </w:rPr>
              <w:t xml:space="preserve">31 December </w:t>
            </w:r>
            <w:r w:rsidR="008614F8">
              <w:rPr>
                <w:b/>
                <w:color w:val="0000FF"/>
              </w:rPr>
              <w:t>2025</w:t>
            </w:r>
          </w:p>
        </w:tc>
      </w:tr>
      <w:tr w:rsidR="008E5DE4" w14:paraId="01C2482A" w14:textId="77777777">
        <w:trPr>
          <w:cantSplit/>
        </w:trPr>
        <w:tc>
          <w:tcPr>
            <w:tcW w:w="5103" w:type="dxa"/>
            <w:tcBorders>
              <w:bottom w:val="single" w:sz="4" w:space="0" w:color="000000"/>
            </w:tcBorders>
            <w:vAlign w:val="bottom"/>
          </w:tcPr>
          <w:p w14:paraId="2850EDC8" w14:textId="77777777" w:rsidR="008E5DE4" w:rsidRDefault="00780368">
            <w:pPr>
              <w:widowControl w:val="0"/>
              <w:pBdr>
                <w:top w:val="nil"/>
                <w:left w:val="nil"/>
                <w:bottom w:val="nil"/>
                <w:right w:val="nil"/>
                <w:between w:val="nil"/>
              </w:pBdr>
              <w:ind w:left="113" w:right="-57" w:hanging="113"/>
              <w:rPr>
                <w:b/>
                <w:i/>
                <w:color w:val="0000FF"/>
              </w:rPr>
            </w:pPr>
            <w:r>
              <w:rPr>
                <w:i/>
                <w:color w:val="0000FF"/>
              </w:rPr>
              <w:t>In thousands of EUR</w:t>
            </w:r>
          </w:p>
        </w:tc>
        <w:tc>
          <w:tcPr>
            <w:tcW w:w="1418" w:type="dxa"/>
            <w:tcBorders>
              <w:top w:val="single" w:sz="4" w:space="0" w:color="000000"/>
              <w:bottom w:val="single" w:sz="4" w:space="0" w:color="000000"/>
            </w:tcBorders>
          </w:tcPr>
          <w:p w14:paraId="43BED7F0" w14:textId="77777777" w:rsidR="008E5DE4" w:rsidRDefault="00780368">
            <w:pPr>
              <w:widowControl w:val="0"/>
              <w:pBdr>
                <w:top w:val="nil"/>
                <w:left w:val="nil"/>
                <w:bottom w:val="nil"/>
                <w:right w:val="nil"/>
                <w:between w:val="nil"/>
              </w:pBdr>
              <w:ind w:left="-113"/>
              <w:jc w:val="right"/>
              <w:rPr>
                <w:b/>
                <w:color w:val="0000FF"/>
              </w:rPr>
            </w:pPr>
            <w:r>
              <w:rPr>
                <w:b/>
                <w:color w:val="0000FF"/>
              </w:rPr>
              <w:t>Carrying amount of the assets before the transfer</w:t>
            </w:r>
          </w:p>
        </w:tc>
        <w:tc>
          <w:tcPr>
            <w:tcW w:w="1418" w:type="dxa"/>
            <w:tcBorders>
              <w:top w:val="single" w:sz="4" w:space="0" w:color="000000"/>
              <w:bottom w:val="single" w:sz="4" w:space="0" w:color="000000"/>
            </w:tcBorders>
          </w:tcPr>
          <w:p w14:paraId="0B6EFA91" w14:textId="77777777" w:rsidR="008E5DE4" w:rsidRDefault="00780368">
            <w:pPr>
              <w:widowControl w:val="0"/>
              <w:pBdr>
                <w:top w:val="nil"/>
                <w:left w:val="nil"/>
                <w:bottom w:val="nil"/>
                <w:right w:val="nil"/>
                <w:between w:val="nil"/>
              </w:pBdr>
              <w:ind w:left="-113"/>
              <w:jc w:val="right"/>
              <w:rPr>
                <w:b/>
                <w:color w:val="0000FF"/>
              </w:rPr>
            </w:pPr>
            <w:r>
              <w:rPr>
                <w:b/>
                <w:color w:val="0000FF"/>
              </w:rPr>
              <w:t>Carrying amount of the assets that the Group continues to recognise after the transfer</w:t>
            </w:r>
          </w:p>
        </w:tc>
        <w:tc>
          <w:tcPr>
            <w:tcW w:w="1418" w:type="dxa"/>
            <w:tcBorders>
              <w:top w:val="single" w:sz="4" w:space="0" w:color="000000"/>
              <w:bottom w:val="single" w:sz="4" w:space="0" w:color="000000"/>
            </w:tcBorders>
          </w:tcPr>
          <w:p w14:paraId="3B8F4120" w14:textId="77777777" w:rsidR="008E5DE4" w:rsidRDefault="00780368">
            <w:pPr>
              <w:widowControl w:val="0"/>
              <w:pBdr>
                <w:top w:val="nil"/>
                <w:left w:val="nil"/>
                <w:bottom w:val="nil"/>
                <w:right w:val="nil"/>
                <w:between w:val="nil"/>
              </w:pBdr>
              <w:ind w:left="-113"/>
              <w:jc w:val="right"/>
              <w:rPr>
                <w:b/>
                <w:color w:val="0000FF"/>
              </w:rPr>
            </w:pPr>
            <w:r>
              <w:rPr>
                <w:b/>
                <w:color w:val="0000FF"/>
              </w:rPr>
              <w:t>Carrying amount of the associated liabilities</w:t>
            </w:r>
          </w:p>
        </w:tc>
      </w:tr>
      <w:tr w:rsidR="008E5DE4" w14:paraId="47B1BAA5" w14:textId="77777777">
        <w:trPr>
          <w:cantSplit/>
        </w:trPr>
        <w:tc>
          <w:tcPr>
            <w:tcW w:w="5103" w:type="dxa"/>
            <w:tcBorders>
              <w:top w:val="single" w:sz="4" w:space="0" w:color="000000"/>
            </w:tcBorders>
            <w:vAlign w:val="bottom"/>
          </w:tcPr>
          <w:p w14:paraId="15571714" w14:textId="77777777" w:rsidR="008E5DE4" w:rsidRDefault="00780368">
            <w:pPr>
              <w:widowControl w:val="0"/>
              <w:ind w:left="113" w:right="-57" w:hanging="113"/>
              <w:rPr>
                <w:b/>
                <w:color w:val="0000FF"/>
              </w:rPr>
            </w:pPr>
            <w:r>
              <w:t> </w:t>
            </w:r>
          </w:p>
        </w:tc>
        <w:tc>
          <w:tcPr>
            <w:tcW w:w="1418" w:type="dxa"/>
            <w:tcBorders>
              <w:top w:val="single" w:sz="4" w:space="0" w:color="000000"/>
            </w:tcBorders>
            <w:vAlign w:val="bottom"/>
          </w:tcPr>
          <w:p w14:paraId="491D0700" w14:textId="77777777" w:rsidR="008E5DE4" w:rsidRDefault="008E5DE4">
            <w:pPr>
              <w:widowControl w:val="0"/>
              <w:pBdr>
                <w:top w:val="nil"/>
                <w:left w:val="nil"/>
                <w:bottom w:val="nil"/>
                <w:right w:val="nil"/>
                <w:between w:val="nil"/>
              </w:pBdr>
              <w:jc w:val="right"/>
              <w:rPr>
                <w:color w:val="0000FF"/>
              </w:rPr>
            </w:pPr>
          </w:p>
        </w:tc>
        <w:tc>
          <w:tcPr>
            <w:tcW w:w="1418" w:type="dxa"/>
            <w:tcBorders>
              <w:top w:val="single" w:sz="4" w:space="0" w:color="000000"/>
            </w:tcBorders>
            <w:vAlign w:val="bottom"/>
          </w:tcPr>
          <w:p w14:paraId="79A26656" w14:textId="77777777" w:rsidR="008E5DE4" w:rsidRDefault="008E5DE4">
            <w:pPr>
              <w:widowControl w:val="0"/>
              <w:pBdr>
                <w:top w:val="nil"/>
                <w:left w:val="nil"/>
                <w:bottom w:val="nil"/>
                <w:right w:val="nil"/>
                <w:between w:val="nil"/>
              </w:pBdr>
              <w:jc w:val="right"/>
              <w:rPr>
                <w:color w:val="0000FF"/>
              </w:rPr>
            </w:pPr>
          </w:p>
        </w:tc>
        <w:tc>
          <w:tcPr>
            <w:tcW w:w="1418" w:type="dxa"/>
            <w:tcBorders>
              <w:top w:val="single" w:sz="4" w:space="0" w:color="000000"/>
            </w:tcBorders>
            <w:vAlign w:val="bottom"/>
          </w:tcPr>
          <w:p w14:paraId="663CDB30" w14:textId="77777777" w:rsidR="008E5DE4" w:rsidRDefault="008E5DE4">
            <w:pPr>
              <w:widowControl w:val="0"/>
              <w:pBdr>
                <w:top w:val="nil"/>
                <w:left w:val="nil"/>
                <w:bottom w:val="nil"/>
                <w:right w:val="nil"/>
                <w:between w:val="nil"/>
              </w:pBdr>
              <w:jc w:val="right"/>
              <w:rPr>
                <w:color w:val="0000FF"/>
              </w:rPr>
            </w:pPr>
          </w:p>
        </w:tc>
      </w:tr>
      <w:tr w:rsidR="008E5DE4" w14:paraId="39E6D451" w14:textId="77777777">
        <w:trPr>
          <w:cantSplit/>
        </w:trPr>
        <w:tc>
          <w:tcPr>
            <w:tcW w:w="5103" w:type="dxa"/>
            <w:vAlign w:val="bottom"/>
          </w:tcPr>
          <w:p w14:paraId="08522F9A" w14:textId="77777777" w:rsidR="008E5DE4" w:rsidRDefault="00780368">
            <w:pPr>
              <w:widowControl w:val="0"/>
              <w:pBdr>
                <w:top w:val="nil"/>
                <w:left w:val="nil"/>
                <w:bottom w:val="nil"/>
                <w:right w:val="nil"/>
                <w:between w:val="nil"/>
              </w:pBdr>
              <w:ind w:left="113" w:right="-57" w:hanging="113"/>
              <w:rPr>
                <w:color w:val="0000FF"/>
              </w:rPr>
            </w:pPr>
            <w:r>
              <w:rPr>
                <w:color w:val="0000FF"/>
              </w:rPr>
              <w:t>Trade receivables</w:t>
            </w:r>
          </w:p>
        </w:tc>
        <w:tc>
          <w:tcPr>
            <w:tcW w:w="1418" w:type="dxa"/>
            <w:vAlign w:val="bottom"/>
          </w:tcPr>
          <w:p w14:paraId="53F8CA63"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0A790E96"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61314311" w14:textId="77777777" w:rsidR="008E5DE4" w:rsidRDefault="008E5DE4">
            <w:pPr>
              <w:widowControl w:val="0"/>
              <w:pBdr>
                <w:top w:val="nil"/>
                <w:left w:val="nil"/>
                <w:bottom w:val="nil"/>
                <w:right w:val="nil"/>
                <w:between w:val="nil"/>
              </w:pBdr>
              <w:jc w:val="right"/>
              <w:rPr>
                <w:color w:val="0000FF"/>
              </w:rPr>
            </w:pPr>
          </w:p>
        </w:tc>
      </w:tr>
      <w:tr w:rsidR="008E5DE4" w14:paraId="5BBB299C" w14:textId="77777777">
        <w:trPr>
          <w:cantSplit/>
        </w:trPr>
        <w:tc>
          <w:tcPr>
            <w:tcW w:w="5103" w:type="dxa"/>
            <w:vAlign w:val="bottom"/>
          </w:tcPr>
          <w:p w14:paraId="676C0BE7" w14:textId="77777777" w:rsidR="008E5DE4" w:rsidRDefault="00780368">
            <w:pPr>
              <w:widowControl w:val="0"/>
              <w:pBdr>
                <w:top w:val="nil"/>
                <w:left w:val="nil"/>
                <w:bottom w:val="nil"/>
                <w:right w:val="nil"/>
                <w:between w:val="nil"/>
              </w:pBdr>
              <w:ind w:left="113" w:right="-57" w:hanging="113"/>
              <w:rPr>
                <w:color w:val="0000FF"/>
              </w:rPr>
            </w:pPr>
            <w:r>
              <w:rPr>
                <w:color w:val="0000FF"/>
              </w:rPr>
              <w:t>Loans to related parties under common control</w:t>
            </w:r>
          </w:p>
        </w:tc>
        <w:tc>
          <w:tcPr>
            <w:tcW w:w="1418" w:type="dxa"/>
            <w:vAlign w:val="bottom"/>
          </w:tcPr>
          <w:p w14:paraId="37118D03"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375B7BBD"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4BA6DEB9" w14:textId="77777777" w:rsidR="008E5DE4" w:rsidRDefault="008E5DE4">
            <w:pPr>
              <w:widowControl w:val="0"/>
              <w:pBdr>
                <w:top w:val="nil"/>
                <w:left w:val="nil"/>
                <w:bottom w:val="nil"/>
                <w:right w:val="nil"/>
                <w:between w:val="nil"/>
              </w:pBdr>
              <w:jc w:val="right"/>
              <w:rPr>
                <w:color w:val="0000FF"/>
              </w:rPr>
            </w:pPr>
          </w:p>
        </w:tc>
      </w:tr>
      <w:tr w:rsidR="008E5DE4" w14:paraId="1B62757F" w14:textId="77777777">
        <w:trPr>
          <w:cantSplit/>
        </w:trPr>
        <w:tc>
          <w:tcPr>
            <w:tcW w:w="5103" w:type="dxa"/>
            <w:tcBorders>
              <w:bottom w:val="single" w:sz="4" w:space="0" w:color="000000"/>
            </w:tcBorders>
            <w:vAlign w:val="bottom"/>
          </w:tcPr>
          <w:p w14:paraId="67FEBA99" w14:textId="77777777" w:rsidR="008E5DE4" w:rsidRDefault="00780368">
            <w:pPr>
              <w:widowControl w:val="0"/>
              <w:ind w:left="113" w:right="-57" w:hanging="113"/>
              <w:rPr>
                <w:color w:val="0000FF"/>
              </w:rPr>
            </w:pPr>
            <w:r>
              <w:t> </w:t>
            </w:r>
          </w:p>
        </w:tc>
        <w:tc>
          <w:tcPr>
            <w:tcW w:w="1418" w:type="dxa"/>
            <w:tcBorders>
              <w:bottom w:val="single" w:sz="4" w:space="0" w:color="000000"/>
            </w:tcBorders>
            <w:vAlign w:val="bottom"/>
          </w:tcPr>
          <w:p w14:paraId="3249693B" w14:textId="77777777" w:rsidR="008E5DE4" w:rsidRDefault="008E5DE4">
            <w:pPr>
              <w:widowControl w:val="0"/>
              <w:pBdr>
                <w:top w:val="nil"/>
                <w:left w:val="nil"/>
                <w:bottom w:val="nil"/>
                <w:right w:val="nil"/>
                <w:between w:val="nil"/>
              </w:pBdr>
              <w:jc w:val="right"/>
              <w:rPr>
                <w:color w:val="0000FF"/>
              </w:rPr>
            </w:pPr>
          </w:p>
        </w:tc>
        <w:tc>
          <w:tcPr>
            <w:tcW w:w="1418" w:type="dxa"/>
            <w:tcBorders>
              <w:bottom w:val="single" w:sz="4" w:space="0" w:color="000000"/>
            </w:tcBorders>
            <w:vAlign w:val="bottom"/>
          </w:tcPr>
          <w:p w14:paraId="4556DA9E" w14:textId="77777777" w:rsidR="008E5DE4" w:rsidRDefault="008E5DE4">
            <w:pPr>
              <w:widowControl w:val="0"/>
              <w:pBdr>
                <w:top w:val="nil"/>
                <w:left w:val="nil"/>
                <w:bottom w:val="nil"/>
                <w:right w:val="nil"/>
                <w:between w:val="nil"/>
              </w:pBdr>
              <w:jc w:val="right"/>
              <w:rPr>
                <w:color w:val="0000FF"/>
              </w:rPr>
            </w:pPr>
          </w:p>
        </w:tc>
        <w:tc>
          <w:tcPr>
            <w:tcW w:w="1418" w:type="dxa"/>
            <w:tcBorders>
              <w:bottom w:val="single" w:sz="4" w:space="0" w:color="000000"/>
            </w:tcBorders>
            <w:vAlign w:val="bottom"/>
          </w:tcPr>
          <w:p w14:paraId="300DC59A" w14:textId="77777777" w:rsidR="008E5DE4" w:rsidRDefault="008E5DE4">
            <w:pPr>
              <w:widowControl w:val="0"/>
              <w:pBdr>
                <w:top w:val="nil"/>
                <w:left w:val="nil"/>
                <w:bottom w:val="nil"/>
                <w:right w:val="nil"/>
                <w:between w:val="nil"/>
              </w:pBdr>
              <w:jc w:val="right"/>
              <w:rPr>
                <w:color w:val="0000FF"/>
              </w:rPr>
            </w:pPr>
          </w:p>
        </w:tc>
      </w:tr>
      <w:tr w:rsidR="008E5DE4" w14:paraId="30BC88B0" w14:textId="77777777">
        <w:trPr>
          <w:cantSplit/>
        </w:trPr>
        <w:tc>
          <w:tcPr>
            <w:tcW w:w="5103" w:type="dxa"/>
            <w:vAlign w:val="bottom"/>
          </w:tcPr>
          <w:p w14:paraId="2B4246BB" w14:textId="77777777" w:rsidR="008E5DE4" w:rsidRDefault="00780368">
            <w:pPr>
              <w:widowControl w:val="0"/>
              <w:pBdr>
                <w:top w:val="nil"/>
                <w:left w:val="nil"/>
                <w:bottom w:val="nil"/>
                <w:right w:val="nil"/>
                <w:between w:val="nil"/>
              </w:pBdr>
              <w:ind w:left="113" w:right="-57" w:hanging="113"/>
              <w:rPr>
                <w:b/>
                <w:color w:val="0000FF"/>
              </w:rPr>
            </w:pPr>
            <w:r>
              <w:rPr>
                <w:b/>
                <w:color w:val="000000"/>
              </w:rPr>
              <w:t> </w:t>
            </w:r>
          </w:p>
        </w:tc>
        <w:tc>
          <w:tcPr>
            <w:tcW w:w="1418" w:type="dxa"/>
            <w:vAlign w:val="bottom"/>
          </w:tcPr>
          <w:p w14:paraId="28A03340"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24DAE463"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7C785E09" w14:textId="77777777" w:rsidR="008E5DE4" w:rsidRDefault="008E5DE4">
            <w:pPr>
              <w:widowControl w:val="0"/>
              <w:pBdr>
                <w:top w:val="nil"/>
                <w:left w:val="nil"/>
                <w:bottom w:val="nil"/>
                <w:right w:val="nil"/>
                <w:between w:val="nil"/>
              </w:pBdr>
              <w:jc w:val="right"/>
              <w:rPr>
                <w:b/>
                <w:color w:val="0000FF"/>
              </w:rPr>
            </w:pPr>
          </w:p>
        </w:tc>
      </w:tr>
      <w:tr w:rsidR="008E5DE4" w14:paraId="1D1CA842" w14:textId="77777777">
        <w:trPr>
          <w:cantSplit/>
        </w:trPr>
        <w:tc>
          <w:tcPr>
            <w:tcW w:w="5103" w:type="dxa"/>
            <w:vAlign w:val="bottom"/>
          </w:tcPr>
          <w:p w14:paraId="4BD4A6DF" w14:textId="77777777" w:rsidR="008E5DE4" w:rsidRDefault="00780368">
            <w:pPr>
              <w:widowControl w:val="0"/>
              <w:ind w:left="113" w:right="-57" w:hanging="113"/>
              <w:rPr>
                <w:b/>
                <w:color w:val="0000FF"/>
              </w:rPr>
            </w:pPr>
            <w:r>
              <w:rPr>
                <w:b/>
                <w:color w:val="0000FF"/>
              </w:rPr>
              <w:t>Total</w:t>
            </w:r>
          </w:p>
        </w:tc>
        <w:tc>
          <w:tcPr>
            <w:tcW w:w="1418" w:type="dxa"/>
            <w:vAlign w:val="bottom"/>
          </w:tcPr>
          <w:p w14:paraId="3812982C"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3C649DB0"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7B022A46" w14:textId="77777777" w:rsidR="008E5DE4" w:rsidRDefault="008E5DE4">
            <w:pPr>
              <w:widowControl w:val="0"/>
              <w:pBdr>
                <w:top w:val="nil"/>
                <w:left w:val="nil"/>
                <w:bottom w:val="nil"/>
                <w:right w:val="nil"/>
                <w:between w:val="nil"/>
              </w:pBdr>
              <w:jc w:val="right"/>
              <w:rPr>
                <w:b/>
                <w:color w:val="0000FF"/>
              </w:rPr>
            </w:pPr>
          </w:p>
        </w:tc>
      </w:tr>
      <w:tr w:rsidR="008E5DE4" w14:paraId="765C7652" w14:textId="77777777">
        <w:trPr>
          <w:cantSplit/>
        </w:trPr>
        <w:tc>
          <w:tcPr>
            <w:tcW w:w="5103" w:type="dxa"/>
            <w:tcBorders>
              <w:bottom w:val="single" w:sz="12" w:space="0" w:color="000000"/>
            </w:tcBorders>
            <w:vAlign w:val="bottom"/>
          </w:tcPr>
          <w:p w14:paraId="6F6FA3F2" w14:textId="77777777" w:rsidR="008E5DE4" w:rsidRDefault="00780368">
            <w:pPr>
              <w:widowControl w:val="0"/>
              <w:ind w:left="113" w:right="-57" w:hanging="113"/>
              <w:rPr>
                <w:b/>
                <w:color w:val="0000FF"/>
              </w:rPr>
            </w:pPr>
            <w:r>
              <w:t> </w:t>
            </w:r>
          </w:p>
        </w:tc>
        <w:tc>
          <w:tcPr>
            <w:tcW w:w="1418" w:type="dxa"/>
            <w:tcBorders>
              <w:bottom w:val="single" w:sz="12" w:space="0" w:color="000000"/>
            </w:tcBorders>
            <w:vAlign w:val="bottom"/>
          </w:tcPr>
          <w:p w14:paraId="28F16F0E" w14:textId="77777777" w:rsidR="008E5DE4" w:rsidRDefault="008E5DE4">
            <w:pPr>
              <w:widowControl w:val="0"/>
              <w:pBdr>
                <w:top w:val="nil"/>
                <w:left w:val="nil"/>
                <w:bottom w:val="nil"/>
                <w:right w:val="nil"/>
                <w:between w:val="nil"/>
              </w:pBdr>
              <w:jc w:val="right"/>
              <w:rPr>
                <w:b/>
                <w:color w:val="0000FF"/>
              </w:rPr>
            </w:pPr>
          </w:p>
        </w:tc>
        <w:tc>
          <w:tcPr>
            <w:tcW w:w="1418" w:type="dxa"/>
            <w:tcBorders>
              <w:bottom w:val="single" w:sz="12" w:space="0" w:color="000000"/>
            </w:tcBorders>
            <w:vAlign w:val="bottom"/>
          </w:tcPr>
          <w:p w14:paraId="513E348A" w14:textId="77777777" w:rsidR="008E5DE4" w:rsidRDefault="008E5DE4">
            <w:pPr>
              <w:widowControl w:val="0"/>
              <w:pBdr>
                <w:top w:val="nil"/>
                <w:left w:val="nil"/>
                <w:bottom w:val="nil"/>
                <w:right w:val="nil"/>
                <w:between w:val="nil"/>
              </w:pBdr>
              <w:jc w:val="right"/>
              <w:rPr>
                <w:b/>
                <w:color w:val="0000FF"/>
              </w:rPr>
            </w:pPr>
          </w:p>
        </w:tc>
        <w:tc>
          <w:tcPr>
            <w:tcW w:w="1418" w:type="dxa"/>
            <w:tcBorders>
              <w:bottom w:val="single" w:sz="12" w:space="0" w:color="000000"/>
            </w:tcBorders>
            <w:vAlign w:val="bottom"/>
          </w:tcPr>
          <w:p w14:paraId="5A7284C6" w14:textId="77777777" w:rsidR="008E5DE4" w:rsidRDefault="008E5DE4">
            <w:pPr>
              <w:widowControl w:val="0"/>
              <w:pBdr>
                <w:top w:val="nil"/>
                <w:left w:val="nil"/>
                <w:bottom w:val="nil"/>
                <w:right w:val="nil"/>
                <w:between w:val="nil"/>
              </w:pBdr>
              <w:jc w:val="right"/>
              <w:rPr>
                <w:b/>
                <w:color w:val="0000FF"/>
              </w:rPr>
            </w:pPr>
          </w:p>
        </w:tc>
      </w:tr>
    </w:tbl>
    <w:p w14:paraId="54341230" w14:textId="77777777" w:rsidR="008E5DE4" w:rsidRDefault="008E5DE4">
      <w:pPr>
        <w:widowControl w:val="0"/>
        <w:jc w:val="both"/>
        <w:rPr>
          <w:b/>
          <w:i/>
          <w:sz w:val="20"/>
          <w:szCs w:val="20"/>
        </w:rPr>
      </w:pPr>
    </w:p>
    <w:tbl>
      <w:tblPr>
        <w:tblStyle w:val="affffffffffff5"/>
        <w:tblW w:w="9357" w:type="dxa"/>
        <w:tblLayout w:type="fixed"/>
        <w:tblLook w:val="0000" w:firstRow="0" w:lastRow="0" w:firstColumn="0" w:lastColumn="0" w:noHBand="0" w:noVBand="0"/>
      </w:tblPr>
      <w:tblGrid>
        <w:gridCol w:w="5103"/>
        <w:gridCol w:w="1418"/>
        <w:gridCol w:w="1418"/>
        <w:gridCol w:w="1418"/>
      </w:tblGrid>
      <w:tr w:rsidR="008E5DE4" w14:paraId="590B48B4" w14:textId="77777777">
        <w:trPr>
          <w:cantSplit/>
        </w:trPr>
        <w:tc>
          <w:tcPr>
            <w:tcW w:w="5103" w:type="dxa"/>
            <w:vAlign w:val="bottom"/>
          </w:tcPr>
          <w:p w14:paraId="6CAA9294" w14:textId="77777777" w:rsidR="008E5DE4" w:rsidRDefault="008E5DE4">
            <w:pPr>
              <w:widowControl w:val="0"/>
              <w:ind w:left="113" w:right="-57" w:hanging="113"/>
              <w:rPr>
                <w:b/>
                <w:color w:val="0000FF"/>
              </w:rPr>
            </w:pPr>
          </w:p>
        </w:tc>
        <w:tc>
          <w:tcPr>
            <w:tcW w:w="4254" w:type="dxa"/>
            <w:gridSpan w:val="3"/>
            <w:tcBorders>
              <w:bottom w:val="single" w:sz="4" w:space="0" w:color="000000"/>
            </w:tcBorders>
            <w:vAlign w:val="bottom"/>
          </w:tcPr>
          <w:p w14:paraId="66C61B1E" w14:textId="5C00BFA1" w:rsidR="008E5DE4" w:rsidRDefault="00780368">
            <w:pPr>
              <w:widowControl w:val="0"/>
              <w:pBdr>
                <w:top w:val="nil"/>
                <w:left w:val="nil"/>
                <w:bottom w:val="nil"/>
                <w:right w:val="nil"/>
                <w:between w:val="nil"/>
              </w:pBdr>
              <w:jc w:val="center"/>
              <w:rPr>
                <w:b/>
                <w:color w:val="0000FF"/>
              </w:rPr>
            </w:pPr>
            <w:r>
              <w:rPr>
                <w:b/>
                <w:color w:val="0000FF"/>
              </w:rPr>
              <w:t xml:space="preserve">31 December </w:t>
            </w:r>
            <w:r w:rsidR="00E06A92">
              <w:rPr>
                <w:b/>
                <w:color w:val="0000FF"/>
              </w:rPr>
              <w:t>2024</w:t>
            </w:r>
          </w:p>
        </w:tc>
      </w:tr>
      <w:tr w:rsidR="008E5DE4" w14:paraId="6D1789CF" w14:textId="77777777">
        <w:trPr>
          <w:cantSplit/>
        </w:trPr>
        <w:tc>
          <w:tcPr>
            <w:tcW w:w="5103" w:type="dxa"/>
            <w:tcBorders>
              <w:bottom w:val="single" w:sz="4" w:space="0" w:color="000000"/>
            </w:tcBorders>
            <w:vAlign w:val="bottom"/>
          </w:tcPr>
          <w:p w14:paraId="20F1166E" w14:textId="77777777" w:rsidR="008E5DE4" w:rsidRDefault="00780368">
            <w:pPr>
              <w:widowControl w:val="0"/>
              <w:pBdr>
                <w:top w:val="nil"/>
                <w:left w:val="nil"/>
                <w:bottom w:val="nil"/>
                <w:right w:val="nil"/>
                <w:between w:val="nil"/>
              </w:pBdr>
              <w:ind w:left="113" w:right="-57" w:hanging="113"/>
              <w:rPr>
                <w:b/>
                <w:i/>
                <w:color w:val="0000FF"/>
              </w:rPr>
            </w:pPr>
            <w:r>
              <w:rPr>
                <w:i/>
                <w:color w:val="0000FF"/>
              </w:rPr>
              <w:t>In thousands of EUR</w:t>
            </w:r>
          </w:p>
        </w:tc>
        <w:tc>
          <w:tcPr>
            <w:tcW w:w="1418" w:type="dxa"/>
            <w:tcBorders>
              <w:top w:val="single" w:sz="4" w:space="0" w:color="000000"/>
              <w:bottom w:val="single" w:sz="4" w:space="0" w:color="000000"/>
            </w:tcBorders>
          </w:tcPr>
          <w:p w14:paraId="5BF64929" w14:textId="77777777" w:rsidR="008E5DE4" w:rsidRDefault="00780368">
            <w:pPr>
              <w:widowControl w:val="0"/>
              <w:pBdr>
                <w:top w:val="nil"/>
                <w:left w:val="nil"/>
                <w:bottom w:val="nil"/>
                <w:right w:val="nil"/>
                <w:between w:val="nil"/>
              </w:pBdr>
              <w:ind w:left="-113"/>
              <w:jc w:val="right"/>
              <w:rPr>
                <w:b/>
                <w:color w:val="0000FF"/>
              </w:rPr>
            </w:pPr>
            <w:r>
              <w:rPr>
                <w:b/>
                <w:color w:val="0000FF"/>
              </w:rPr>
              <w:t>Carrying amount of the assets before the transfer</w:t>
            </w:r>
          </w:p>
        </w:tc>
        <w:tc>
          <w:tcPr>
            <w:tcW w:w="1418" w:type="dxa"/>
            <w:tcBorders>
              <w:top w:val="single" w:sz="4" w:space="0" w:color="000000"/>
              <w:bottom w:val="single" w:sz="4" w:space="0" w:color="000000"/>
            </w:tcBorders>
          </w:tcPr>
          <w:p w14:paraId="12618383" w14:textId="77777777" w:rsidR="008E5DE4" w:rsidRDefault="00780368">
            <w:pPr>
              <w:widowControl w:val="0"/>
              <w:pBdr>
                <w:top w:val="nil"/>
                <w:left w:val="nil"/>
                <w:bottom w:val="nil"/>
                <w:right w:val="nil"/>
                <w:between w:val="nil"/>
              </w:pBdr>
              <w:ind w:left="-113"/>
              <w:jc w:val="right"/>
              <w:rPr>
                <w:b/>
                <w:color w:val="0000FF"/>
              </w:rPr>
            </w:pPr>
            <w:r>
              <w:rPr>
                <w:b/>
                <w:color w:val="0000FF"/>
              </w:rPr>
              <w:t>Carrying amount of the assets that the Group continues to recognise after the transfer</w:t>
            </w:r>
          </w:p>
        </w:tc>
        <w:tc>
          <w:tcPr>
            <w:tcW w:w="1418" w:type="dxa"/>
            <w:tcBorders>
              <w:top w:val="single" w:sz="4" w:space="0" w:color="000000"/>
              <w:bottom w:val="single" w:sz="4" w:space="0" w:color="000000"/>
            </w:tcBorders>
          </w:tcPr>
          <w:p w14:paraId="41FEF55B" w14:textId="77777777" w:rsidR="008E5DE4" w:rsidRDefault="00780368">
            <w:pPr>
              <w:widowControl w:val="0"/>
              <w:pBdr>
                <w:top w:val="nil"/>
                <w:left w:val="nil"/>
                <w:bottom w:val="nil"/>
                <w:right w:val="nil"/>
                <w:between w:val="nil"/>
              </w:pBdr>
              <w:ind w:left="-113"/>
              <w:jc w:val="right"/>
              <w:rPr>
                <w:b/>
                <w:color w:val="0000FF"/>
              </w:rPr>
            </w:pPr>
            <w:r>
              <w:rPr>
                <w:b/>
                <w:color w:val="0000FF"/>
              </w:rPr>
              <w:t>Carrying amount of the associated liabilities</w:t>
            </w:r>
          </w:p>
        </w:tc>
      </w:tr>
      <w:tr w:rsidR="008E5DE4" w14:paraId="0FB44957" w14:textId="77777777">
        <w:trPr>
          <w:cantSplit/>
        </w:trPr>
        <w:tc>
          <w:tcPr>
            <w:tcW w:w="5103" w:type="dxa"/>
            <w:tcBorders>
              <w:top w:val="single" w:sz="4" w:space="0" w:color="000000"/>
            </w:tcBorders>
            <w:vAlign w:val="bottom"/>
          </w:tcPr>
          <w:p w14:paraId="3B0EBDAA" w14:textId="77777777" w:rsidR="008E5DE4" w:rsidRDefault="00780368">
            <w:pPr>
              <w:widowControl w:val="0"/>
              <w:ind w:left="113" w:right="-57" w:hanging="113"/>
              <w:rPr>
                <w:b/>
                <w:color w:val="0000FF"/>
              </w:rPr>
            </w:pPr>
            <w:r>
              <w:t> </w:t>
            </w:r>
          </w:p>
        </w:tc>
        <w:tc>
          <w:tcPr>
            <w:tcW w:w="1418" w:type="dxa"/>
            <w:tcBorders>
              <w:top w:val="single" w:sz="4" w:space="0" w:color="000000"/>
            </w:tcBorders>
            <w:vAlign w:val="bottom"/>
          </w:tcPr>
          <w:p w14:paraId="3F8EF927" w14:textId="77777777" w:rsidR="008E5DE4" w:rsidRDefault="008E5DE4">
            <w:pPr>
              <w:widowControl w:val="0"/>
              <w:pBdr>
                <w:top w:val="nil"/>
                <w:left w:val="nil"/>
                <w:bottom w:val="nil"/>
                <w:right w:val="nil"/>
                <w:between w:val="nil"/>
              </w:pBdr>
              <w:jc w:val="right"/>
              <w:rPr>
                <w:color w:val="0000FF"/>
              </w:rPr>
            </w:pPr>
          </w:p>
        </w:tc>
        <w:tc>
          <w:tcPr>
            <w:tcW w:w="1418" w:type="dxa"/>
            <w:tcBorders>
              <w:top w:val="single" w:sz="4" w:space="0" w:color="000000"/>
            </w:tcBorders>
            <w:vAlign w:val="bottom"/>
          </w:tcPr>
          <w:p w14:paraId="6AF91133" w14:textId="77777777" w:rsidR="008E5DE4" w:rsidRDefault="008E5DE4">
            <w:pPr>
              <w:widowControl w:val="0"/>
              <w:pBdr>
                <w:top w:val="nil"/>
                <w:left w:val="nil"/>
                <w:bottom w:val="nil"/>
                <w:right w:val="nil"/>
                <w:between w:val="nil"/>
              </w:pBdr>
              <w:jc w:val="right"/>
              <w:rPr>
                <w:color w:val="0000FF"/>
              </w:rPr>
            </w:pPr>
          </w:p>
        </w:tc>
        <w:tc>
          <w:tcPr>
            <w:tcW w:w="1418" w:type="dxa"/>
            <w:tcBorders>
              <w:top w:val="single" w:sz="4" w:space="0" w:color="000000"/>
            </w:tcBorders>
            <w:vAlign w:val="bottom"/>
          </w:tcPr>
          <w:p w14:paraId="7015CF08" w14:textId="77777777" w:rsidR="008E5DE4" w:rsidRDefault="008E5DE4">
            <w:pPr>
              <w:widowControl w:val="0"/>
              <w:pBdr>
                <w:top w:val="nil"/>
                <w:left w:val="nil"/>
                <w:bottom w:val="nil"/>
                <w:right w:val="nil"/>
                <w:between w:val="nil"/>
              </w:pBdr>
              <w:jc w:val="right"/>
              <w:rPr>
                <w:color w:val="0000FF"/>
              </w:rPr>
            </w:pPr>
          </w:p>
        </w:tc>
      </w:tr>
      <w:tr w:rsidR="008E5DE4" w14:paraId="529F8839" w14:textId="77777777">
        <w:trPr>
          <w:cantSplit/>
        </w:trPr>
        <w:tc>
          <w:tcPr>
            <w:tcW w:w="5103" w:type="dxa"/>
            <w:vAlign w:val="bottom"/>
          </w:tcPr>
          <w:p w14:paraId="126E4395" w14:textId="77777777" w:rsidR="008E5DE4" w:rsidRDefault="00780368">
            <w:pPr>
              <w:widowControl w:val="0"/>
              <w:pBdr>
                <w:top w:val="nil"/>
                <w:left w:val="nil"/>
                <w:bottom w:val="nil"/>
                <w:right w:val="nil"/>
                <w:between w:val="nil"/>
              </w:pBdr>
              <w:ind w:left="113" w:right="-57" w:hanging="113"/>
              <w:rPr>
                <w:color w:val="0000FF"/>
              </w:rPr>
            </w:pPr>
            <w:r>
              <w:rPr>
                <w:color w:val="0000FF"/>
              </w:rPr>
              <w:t>Trade receivables</w:t>
            </w:r>
          </w:p>
        </w:tc>
        <w:tc>
          <w:tcPr>
            <w:tcW w:w="1418" w:type="dxa"/>
            <w:vAlign w:val="bottom"/>
          </w:tcPr>
          <w:p w14:paraId="2B236EB7"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095B362E"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0B3A3212" w14:textId="77777777" w:rsidR="008E5DE4" w:rsidRDefault="008E5DE4">
            <w:pPr>
              <w:widowControl w:val="0"/>
              <w:pBdr>
                <w:top w:val="nil"/>
                <w:left w:val="nil"/>
                <w:bottom w:val="nil"/>
                <w:right w:val="nil"/>
                <w:between w:val="nil"/>
              </w:pBdr>
              <w:jc w:val="right"/>
              <w:rPr>
                <w:color w:val="0000FF"/>
              </w:rPr>
            </w:pPr>
          </w:p>
        </w:tc>
      </w:tr>
      <w:tr w:rsidR="008E5DE4" w14:paraId="06040A71" w14:textId="77777777">
        <w:trPr>
          <w:cantSplit/>
        </w:trPr>
        <w:tc>
          <w:tcPr>
            <w:tcW w:w="5103" w:type="dxa"/>
            <w:vAlign w:val="bottom"/>
          </w:tcPr>
          <w:p w14:paraId="4D39C893" w14:textId="77777777" w:rsidR="008E5DE4" w:rsidRDefault="00780368">
            <w:pPr>
              <w:widowControl w:val="0"/>
              <w:pBdr>
                <w:top w:val="nil"/>
                <w:left w:val="nil"/>
                <w:bottom w:val="nil"/>
                <w:right w:val="nil"/>
                <w:between w:val="nil"/>
              </w:pBdr>
              <w:ind w:left="113" w:right="-57" w:hanging="113"/>
              <w:rPr>
                <w:color w:val="0000FF"/>
              </w:rPr>
            </w:pPr>
            <w:r>
              <w:rPr>
                <w:color w:val="0000FF"/>
              </w:rPr>
              <w:t>Loans to related parties under common control</w:t>
            </w:r>
          </w:p>
        </w:tc>
        <w:tc>
          <w:tcPr>
            <w:tcW w:w="1418" w:type="dxa"/>
            <w:vAlign w:val="bottom"/>
          </w:tcPr>
          <w:p w14:paraId="3CD08F63"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28199698" w14:textId="77777777" w:rsidR="008E5DE4" w:rsidRDefault="008E5DE4">
            <w:pPr>
              <w:widowControl w:val="0"/>
              <w:pBdr>
                <w:top w:val="nil"/>
                <w:left w:val="nil"/>
                <w:bottom w:val="nil"/>
                <w:right w:val="nil"/>
                <w:between w:val="nil"/>
              </w:pBdr>
              <w:jc w:val="right"/>
              <w:rPr>
                <w:color w:val="0000FF"/>
              </w:rPr>
            </w:pPr>
          </w:p>
        </w:tc>
        <w:tc>
          <w:tcPr>
            <w:tcW w:w="1418" w:type="dxa"/>
            <w:vAlign w:val="bottom"/>
          </w:tcPr>
          <w:p w14:paraId="78B2FF96" w14:textId="77777777" w:rsidR="008E5DE4" w:rsidRDefault="008E5DE4">
            <w:pPr>
              <w:widowControl w:val="0"/>
              <w:pBdr>
                <w:top w:val="nil"/>
                <w:left w:val="nil"/>
                <w:bottom w:val="nil"/>
                <w:right w:val="nil"/>
                <w:between w:val="nil"/>
              </w:pBdr>
              <w:jc w:val="right"/>
              <w:rPr>
                <w:color w:val="0000FF"/>
              </w:rPr>
            </w:pPr>
          </w:p>
        </w:tc>
      </w:tr>
      <w:tr w:rsidR="008E5DE4" w14:paraId="095EAD38" w14:textId="77777777">
        <w:trPr>
          <w:cantSplit/>
        </w:trPr>
        <w:tc>
          <w:tcPr>
            <w:tcW w:w="5103" w:type="dxa"/>
            <w:tcBorders>
              <w:bottom w:val="single" w:sz="4" w:space="0" w:color="000000"/>
            </w:tcBorders>
            <w:vAlign w:val="bottom"/>
          </w:tcPr>
          <w:p w14:paraId="60CC2CBE" w14:textId="77777777" w:rsidR="008E5DE4" w:rsidRDefault="00780368">
            <w:pPr>
              <w:widowControl w:val="0"/>
              <w:ind w:left="113" w:right="-57" w:hanging="113"/>
              <w:rPr>
                <w:color w:val="0000FF"/>
              </w:rPr>
            </w:pPr>
            <w:r>
              <w:t xml:space="preserve"> </w:t>
            </w:r>
          </w:p>
        </w:tc>
        <w:tc>
          <w:tcPr>
            <w:tcW w:w="1418" w:type="dxa"/>
            <w:tcBorders>
              <w:bottom w:val="single" w:sz="4" w:space="0" w:color="000000"/>
            </w:tcBorders>
            <w:vAlign w:val="bottom"/>
          </w:tcPr>
          <w:p w14:paraId="13DD7215" w14:textId="77777777" w:rsidR="008E5DE4" w:rsidRDefault="008E5DE4">
            <w:pPr>
              <w:widowControl w:val="0"/>
              <w:pBdr>
                <w:top w:val="nil"/>
                <w:left w:val="nil"/>
                <w:bottom w:val="nil"/>
                <w:right w:val="nil"/>
                <w:between w:val="nil"/>
              </w:pBdr>
              <w:jc w:val="right"/>
              <w:rPr>
                <w:color w:val="0000FF"/>
              </w:rPr>
            </w:pPr>
          </w:p>
        </w:tc>
        <w:tc>
          <w:tcPr>
            <w:tcW w:w="1418" w:type="dxa"/>
            <w:tcBorders>
              <w:bottom w:val="single" w:sz="4" w:space="0" w:color="000000"/>
            </w:tcBorders>
            <w:vAlign w:val="bottom"/>
          </w:tcPr>
          <w:p w14:paraId="316E492D" w14:textId="77777777" w:rsidR="008E5DE4" w:rsidRDefault="008E5DE4">
            <w:pPr>
              <w:widowControl w:val="0"/>
              <w:pBdr>
                <w:top w:val="nil"/>
                <w:left w:val="nil"/>
                <w:bottom w:val="nil"/>
                <w:right w:val="nil"/>
                <w:between w:val="nil"/>
              </w:pBdr>
              <w:jc w:val="right"/>
              <w:rPr>
                <w:color w:val="0000FF"/>
              </w:rPr>
            </w:pPr>
          </w:p>
        </w:tc>
        <w:tc>
          <w:tcPr>
            <w:tcW w:w="1418" w:type="dxa"/>
            <w:tcBorders>
              <w:bottom w:val="single" w:sz="4" w:space="0" w:color="000000"/>
            </w:tcBorders>
            <w:vAlign w:val="bottom"/>
          </w:tcPr>
          <w:p w14:paraId="6EFA0A01" w14:textId="77777777" w:rsidR="008E5DE4" w:rsidRDefault="008E5DE4">
            <w:pPr>
              <w:widowControl w:val="0"/>
              <w:pBdr>
                <w:top w:val="nil"/>
                <w:left w:val="nil"/>
                <w:bottom w:val="nil"/>
                <w:right w:val="nil"/>
                <w:between w:val="nil"/>
              </w:pBdr>
              <w:jc w:val="right"/>
              <w:rPr>
                <w:color w:val="0000FF"/>
              </w:rPr>
            </w:pPr>
          </w:p>
        </w:tc>
      </w:tr>
      <w:tr w:rsidR="008E5DE4" w14:paraId="1C686922" w14:textId="77777777">
        <w:trPr>
          <w:cantSplit/>
        </w:trPr>
        <w:tc>
          <w:tcPr>
            <w:tcW w:w="5103" w:type="dxa"/>
            <w:tcBorders>
              <w:top w:val="single" w:sz="4" w:space="0" w:color="000000"/>
            </w:tcBorders>
            <w:vAlign w:val="bottom"/>
          </w:tcPr>
          <w:p w14:paraId="102803B4" w14:textId="77777777" w:rsidR="008E5DE4" w:rsidRDefault="00780368">
            <w:pPr>
              <w:widowControl w:val="0"/>
              <w:ind w:left="113" w:right="-57" w:hanging="113"/>
              <w:rPr>
                <w:color w:val="0000FF"/>
              </w:rPr>
            </w:pPr>
            <w:r>
              <w:t xml:space="preserve"> </w:t>
            </w:r>
          </w:p>
        </w:tc>
        <w:tc>
          <w:tcPr>
            <w:tcW w:w="1418" w:type="dxa"/>
            <w:tcBorders>
              <w:top w:val="single" w:sz="4" w:space="0" w:color="000000"/>
            </w:tcBorders>
            <w:vAlign w:val="bottom"/>
          </w:tcPr>
          <w:p w14:paraId="6A22D95E" w14:textId="77777777" w:rsidR="008E5DE4" w:rsidRDefault="008E5DE4">
            <w:pPr>
              <w:widowControl w:val="0"/>
              <w:pBdr>
                <w:top w:val="nil"/>
                <w:left w:val="nil"/>
                <w:bottom w:val="nil"/>
                <w:right w:val="nil"/>
                <w:between w:val="nil"/>
              </w:pBdr>
              <w:jc w:val="right"/>
              <w:rPr>
                <w:b/>
                <w:color w:val="0000FF"/>
              </w:rPr>
            </w:pPr>
          </w:p>
        </w:tc>
        <w:tc>
          <w:tcPr>
            <w:tcW w:w="1418" w:type="dxa"/>
            <w:tcBorders>
              <w:top w:val="single" w:sz="4" w:space="0" w:color="000000"/>
            </w:tcBorders>
            <w:vAlign w:val="bottom"/>
          </w:tcPr>
          <w:p w14:paraId="55F9E834" w14:textId="77777777" w:rsidR="008E5DE4" w:rsidRDefault="008E5DE4">
            <w:pPr>
              <w:widowControl w:val="0"/>
              <w:pBdr>
                <w:top w:val="nil"/>
                <w:left w:val="nil"/>
                <w:bottom w:val="nil"/>
                <w:right w:val="nil"/>
                <w:between w:val="nil"/>
              </w:pBdr>
              <w:jc w:val="right"/>
              <w:rPr>
                <w:b/>
                <w:color w:val="0000FF"/>
              </w:rPr>
            </w:pPr>
          </w:p>
        </w:tc>
        <w:tc>
          <w:tcPr>
            <w:tcW w:w="1418" w:type="dxa"/>
            <w:tcBorders>
              <w:top w:val="single" w:sz="4" w:space="0" w:color="000000"/>
            </w:tcBorders>
            <w:vAlign w:val="bottom"/>
          </w:tcPr>
          <w:p w14:paraId="6F4DF2CC" w14:textId="77777777" w:rsidR="008E5DE4" w:rsidRDefault="008E5DE4">
            <w:pPr>
              <w:widowControl w:val="0"/>
              <w:pBdr>
                <w:top w:val="nil"/>
                <w:left w:val="nil"/>
                <w:bottom w:val="nil"/>
                <w:right w:val="nil"/>
                <w:between w:val="nil"/>
              </w:pBdr>
              <w:jc w:val="right"/>
              <w:rPr>
                <w:b/>
                <w:color w:val="0000FF"/>
              </w:rPr>
            </w:pPr>
          </w:p>
        </w:tc>
      </w:tr>
      <w:tr w:rsidR="008E5DE4" w14:paraId="30AC8E2B" w14:textId="77777777">
        <w:trPr>
          <w:cantSplit/>
        </w:trPr>
        <w:tc>
          <w:tcPr>
            <w:tcW w:w="5103" w:type="dxa"/>
            <w:vAlign w:val="bottom"/>
          </w:tcPr>
          <w:p w14:paraId="6C95FBEA" w14:textId="77777777" w:rsidR="008E5DE4" w:rsidRDefault="00780368">
            <w:pPr>
              <w:widowControl w:val="0"/>
              <w:pBdr>
                <w:top w:val="nil"/>
                <w:left w:val="nil"/>
                <w:bottom w:val="nil"/>
                <w:right w:val="nil"/>
                <w:between w:val="nil"/>
              </w:pBdr>
              <w:ind w:left="113" w:right="-57" w:hanging="113"/>
              <w:rPr>
                <w:b/>
                <w:color w:val="0000FF"/>
              </w:rPr>
            </w:pPr>
            <w:r>
              <w:rPr>
                <w:b/>
                <w:color w:val="0000FF"/>
              </w:rPr>
              <w:t>Total</w:t>
            </w:r>
          </w:p>
        </w:tc>
        <w:tc>
          <w:tcPr>
            <w:tcW w:w="1418" w:type="dxa"/>
            <w:vAlign w:val="bottom"/>
          </w:tcPr>
          <w:p w14:paraId="50EE338C"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5D3C5F4B" w14:textId="77777777" w:rsidR="008E5DE4" w:rsidRDefault="008E5DE4">
            <w:pPr>
              <w:widowControl w:val="0"/>
              <w:pBdr>
                <w:top w:val="nil"/>
                <w:left w:val="nil"/>
                <w:bottom w:val="nil"/>
                <w:right w:val="nil"/>
                <w:between w:val="nil"/>
              </w:pBdr>
              <w:jc w:val="right"/>
              <w:rPr>
                <w:b/>
                <w:color w:val="0000FF"/>
              </w:rPr>
            </w:pPr>
          </w:p>
        </w:tc>
        <w:tc>
          <w:tcPr>
            <w:tcW w:w="1418" w:type="dxa"/>
            <w:vAlign w:val="bottom"/>
          </w:tcPr>
          <w:p w14:paraId="7020AD7D" w14:textId="77777777" w:rsidR="008E5DE4" w:rsidRDefault="008E5DE4">
            <w:pPr>
              <w:widowControl w:val="0"/>
              <w:pBdr>
                <w:top w:val="nil"/>
                <w:left w:val="nil"/>
                <w:bottom w:val="nil"/>
                <w:right w:val="nil"/>
                <w:between w:val="nil"/>
              </w:pBdr>
              <w:jc w:val="right"/>
              <w:rPr>
                <w:b/>
                <w:color w:val="0000FF"/>
              </w:rPr>
            </w:pPr>
          </w:p>
        </w:tc>
      </w:tr>
      <w:tr w:rsidR="008E5DE4" w14:paraId="3E4133C5" w14:textId="77777777">
        <w:trPr>
          <w:cantSplit/>
        </w:trPr>
        <w:tc>
          <w:tcPr>
            <w:tcW w:w="5103" w:type="dxa"/>
            <w:tcBorders>
              <w:bottom w:val="single" w:sz="12" w:space="0" w:color="000000"/>
            </w:tcBorders>
            <w:vAlign w:val="bottom"/>
          </w:tcPr>
          <w:p w14:paraId="66D6E7E7" w14:textId="77777777" w:rsidR="008E5DE4" w:rsidRDefault="00780368">
            <w:pPr>
              <w:widowControl w:val="0"/>
              <w:pBdr>
                <w:top w:val="nil"/>
                <w:left w:val="nil"/>
                <w:bottom w:val="nil"/>
                <w:right w:val="nil"/>
                <w:between w:val="nil"/>
              </w:pBdr>
              <w:ind w:left="113" w:right="-57" w:hanging="113"/>
              <w:rPr>
                <w:b/>
                <w:color w:val="0000FF"/>
              </w:rPr>
            </w:pPr>
            <w:r>
              <w:rPr>
                <w:b/>
                <w:color w:val="000000"/>
              </w:rPr>
              <w:t> </w:t>
            </w:r>
          </w:p>
        </w:tc>
        <w:tc>
          <w:tcPr>
            <w:tcW w:w="1418" w:type="dxa"/>
            <w:tcBorders>
              <w:bottom w:val="single" w:sz="12" w:space="0" w:color="000000"/>
            </w:tcBorders>
            <w:vAlign w:val="bottom"/>
          </w:tcPr>
          <w:p w14:paraId="5D8B726A" w14:textId="77777777" w:rsidR="008E5DE4" w:rsidRDefault="008E5DE4">
            <w:pPr>
              <w:widowControl w:val="0"/>
              <w:pBdr>
                <w:top w:val="nil"/>
                <w:left w:val="nil"/>
                <w:bottom w:val="nil"/>
                <w:right w:val="nil"/>
                <w:between w:val="nil"/>
              </w:pBdr>
              <w:jc w:val="right"/>
              <w:rPr>
                <w:b/>
                <w:color w:val="0000FF"/>
              </w:rPr>
            </w:pPr>
          </w:p>
        </w:tc>
        <w:tc>
          <w:tcPr>
            <w:tcW w:w="1418" w:type="dxa"/>
            <w:tcBorders>
              <w:bottom w:val="single" w:sz="12" w:space="0" w:color="000000"/>
            </w:tcBorders>
            <w:vAlign w:val="bottom"/>
          </w:tcPr>
          <w:p w14:paraId="49B1431E" w14:textId="77777777" w:rsidR="008E5DE4" w:rsidRDefault="008E5DE4">
            <w:pPr>
              <w:widowControl w:val="0"/>
              <w:pBdr>
                <w:top w:val="nil"/>
                <w:left w:val="nil"/>
                <w:bottom w:val="nil"/>
                <w:right w:val="nil"/>
                <w:between w:val="nil"/>
              </w:pBdr>
              <w:jc w:val="right"/>
              <w:rPr>
                <w:b/>
                <w:color w:val="0000FF"/>
              </w:rPr>
            </w:pPr>
          </w:p>
        </w:tc>
        <w:tc>
          <w:tcPr>
            <w:tcW w:w="1418" w:type="dxa"/>
            <w:tcBorders>
              <w:bottom w:val="single" w:sz="12" w:space="0" w:color="000000"/>
            </w:tcBorders>
            <w:vAlign w:val="bottom"/>
          </w:tcPr>
          <w:p w14:paraId="3068C458" w14:textId="77777777" w:rsidR="008E5DE4" w:rsidRDefault="008E5DE4">
            <w:pPr>
              <w:widowControl w:val="0"/>
              <w:pBdr>
                <w:top w:val="nil"/>
                <w:left w:val="nil"/>
                <w:bottom w:val="nil"/>
                <w:right w:val="nil"/>
                <w:between w:val="nil"/>
              </w:pBdr>
              <w:jc w:val="right"/>
              <w:rPr>
                <w:b/>
                <w:color w:val="0000FF"/>
              </w:rPr>
            </w:pPr>
          </w:p>
        </w:tc>
      </w:tr>
    </w:tbl>
    <w:p w14:paraId="666BD133"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(b) </w:t>
      </w:r>
      <w:r>
        <w:rPr>
          <w:b/>
          <w:i/>
          <w:color w:val="000000"/>
          <w:sz w:val="20"/>
          <w:szCs w:val="20"/>
        </w:rPr>
        <w:tab/>
        <w:t>Transfers that qualified for derecognition of the financial asset in its entirety</w:t>
      </w:r>
    </w:p>
    <w:p w14:paraId="51457A0D" w14:textId="77777777" w:rsidR="008E5DE4" w:rsidRDefault="00780368">
      <w:pPr>
        <w:widowControl w:val="0"/>
        <w:spacing w:before="200" w:after="200"/>
        <w:jc w:val="both"/>
        <w:rPr>
          <w:sz w:val="20"/>
          <w:szCs w:val="20"/>
        </w:rPr>
      </w:pPr>
      <w:r>
        <w:rPr>
          <w:sz w:val="20"/>
          <w:szCs w:val="20"/>
        </w:rPr>
        <w:t xml:space="preserve">The Group transferred financial assets in transactions that qualified for derecognition in the current and prior periods and to which the Group retained exposure to a certain extent. </w:t>
      </w:r>
    </w:p>
    <w:p w14:paraId="71682D78" w14:textId="5EA63F41" w:rsidR="008E5DE4" w:rsidRDefault="00780368">
      <w:pPr>
        <w:widowControl w:val="0"/>
        <w:spacing w:before="200" w:after="200"/>
        <w:jc w:val="both"/>
        <w:rPr>
          <w:sz w:val="20"/>
          <w:szCs w:val="20"/>
        </w:rPr>
      </w:pPr>
      <w:r>
        <w:rPr>
          <w:b/>
          <w:i/>
          <w:sz w:val="20"/>
          <w:szCs w:val="20"/>
        </w:rPr>
        <w:t xml:space="preserve">Disposal of loans receivable.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the Group had retaining exposure to loans that had carrying value of EUR ____ thousand (2022: EUR ____ thousand) immediately before they were transferred to </w:t>
      </w:r>
      <w:r>
        <w:rPr>
          <w:color w:val="0000FF"/>
          <w:sz w:val="20"/>
          <w:szCs w:val="20"/>
        </w:rPr>
        <w:t xml:space="preserve">[a related party under common control] </w:t>
      </w:r>
      <w:r>
        <w:rPr>
          <w:sz w:val="20"/>
          <w:szCs w:val="20"/>
        </w:rPr>
        <w:t>for EUR ____ thousand (</w:t>
      </w:r>
      <w:r w:rsidR="00E06A92">
        <w:rPr>
          <w:sz w:val="20"/>
          <w:szCs w:val="20"/>
        </w:rPr>
        <w:t>2024</w:t>
      </w:r>
      <w:r>
        <w:rPr>
          <w:sz w:val="20"/>
          <w:szCs w:val="20"/>
        </w:rPr>
        <w:t xml:space="preserve">: EUR ____ thousand). The Group is exposed to late payment risk as it guaranteed payment of interest over a period of up to 30 days from the date of the transfer. The loans were derecognised in their entirety as the retained late payment risk was not considered significant. </w:t>
      </w:r>
    </w:p>
    <w:p w14:paraId="44A55240"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44</w:t>
      </w:r>
      <w:r>
        <w:rPr>
          <w:b/>
          <w:color w:val="000000"/>
          <w:sz w:val="20"/>
          <w:szCs w:val="20"/>
        </w:rPr>
        <w:tab/>
        <w:t>Transfers of Financial Assets (Continued)</w:t>
      </w:r>
    </w:p>
    <w:p w14:paraId="15512C42" w14:textId="5BC75A4D" w:rsidR="008E5DE4" w:rsidRDefault="00780368">
      <w:pPr>
        <w:widowControl w:val="0"/>
        <w:spacing w:before="200" w:after="200"/>
        <w:jc w:val="both"/>
        <w:rPr>
          <w:sz w:val="20"/>
          <w:szCs w:val="20"/>
        </w:rPr>
      </w:pPr>
      <w:r>
        <w:rPr>
          <w:sz w:val="20"/>
          <w:szCs w:val="20"/>
        </w:rPr>
        <w:t xml:space="preserve">The following schedule summarises information about the continuing involvement in the transferred financial assets that qualified for derecognition. The analysis is provided by type of continuing involvement outstanding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w:t>
      </w:r>
    </w:p>
    <w:tbl>
      <w:tblPr>
        <w:tblStyle w:val="affffffffffff6"/>
        <w:tblW w:w="9354" w:type="dxa"/>
        <w:tblLayout w:type="fixed"/>
        <w:tblLook w:val="0000" w:firstRow="0" w:lastRow="0" w:firstColumn="0" w:lastColumn="0" w:noHBand="0" w:noVBand="0"/>
      </w:tblPr>
      <w:tblGrid>
        <w:gridCol w:w="2721"/>
        <w:gridCol w:w="1191"/>
        <w:gridCol w:w="907"/>
        <w:gridCol w:w="907"/>
        <w:gridCol w:w="907"/>
        <w:gridCol w:w="907"/>
        <w:gridCol w:w="907"/>
        <w:gridCol w:w="907"/>
      </w:tblGrid>
      <w:tr w:rsidR="008E5DE4" w14:paraId="15ADBEC8" w14:textId="77777777">
        <w:trPr>
          <w:cantSplit/>
        </w:trPr>
        <w:tc>
          <w:tcPr>
            <w:tcW w:w="2721" w:type="dxa"/>
            <w:vAlign w:val="bottom"/>
          </w:tcPr>
          <w:p w14:paraId="661B8CA2" w14:textId="77777777" w:rsidR="008E5DE4" w:rsidRDefault="008E5DE4">
            <w:pPr>
              <w:widowControl w:val="0"/>
              <w:pBdr>
                <w:top w:val="nil"/>
                <w:left w:val="nil"/>
                <w:bottom w:val="nil"/>
                <w:right w:val="nil"/>
                <w:between w:val="nil"/>
              </w:pBdr>
              <w:ind w:left="113" w:right="-57" w:hanging="113"/>
              <w:rPr>
                <w:i/>
                <w:color w:val="000000"/>
                <w:sz w:val="16"/>
                <w:szCs w:val="16"/>
              </w:rPr>
            </w:pPr>
          </w:p>
        </w:tc>
        <w:tc>
          <w:tcPr>
            <w:tcW w:w="1191" w:type="dxa"/>
            <w:vMerge w:val="restart"/>
          </w:tcPr>
          <w:p w14:paraId="49EF0695"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Cash outflows to repurchase the </w:t>
            </w:r>
            <w:proofErr w:type="spellStart"/>
            <w:r>
              <w:rPr>
                <w:b/>
                <w:color w:val="000000"/>
                <w:sz w:val="16"/>
                <w:szCs w:val="16"/>
              </w:rPr>
              <w:t>derecog-nised</w:t>
            </w:r>
            <w:proofErr w:type="spellEnd"/>
            <w:r>
              <w:rPr>
                <w:b/>
                <w:color w:val="000000"/>
                <w:sz w:val="16"/>
                <w:szCs w:val="16"/>
              </w:rPr>
              <w:t xml:space="preserve"> assets or other payments </w:t>
            </w:r>
          </w:p>
        </w:tc>
        <w:tc>
          <w:tcPr>
            <w:tcW w:w="2721" w:type="dxa"/>
            <w:gridSpan w:val="3"/>
            <w:tcBorders>
              <w:bottom w:val="single" w:sz="4" w:space="0" w:color="000000"/>
            </w:tcBorders>
          </w:tcPr>
          <w:p w14:paraId="71DC52E6"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Carrying amount of continuing involvement in the consolidated statement of financial position</w:t>
            </w:r>
          </w:p>
        </w:tc>
        <w:tc>
          <w:tcPr>
            <w:tcW w:w="1814" w:type="dxa"/>
            <w:gridSpan w:val="2"/>
            <w:tcBorders>
              <w:bottom w:val="single" w:sz="4" w:space="0" w:color="000000"/>
            </w:tcBorders>
          </w:tcPr>
          <w:p w14:paraId="2C653A6A"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Fair value of continuing involvement</w:t>
            </w:r>
          </w:p>
        </w:tc>
        <w:tc>
          <w:tcPr>
            <w:tcW w:w="907" w:type="dxa"/>
            <w:vMerge w:val="restart"/>
          </w:tcPr>
          <w:p w14:paraId="427ECDE6"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Maximum exposure to loss </w:t>
            </w:r>
          </w:p>
        </w:tc>
      </w:tr>
      <w:tr w:rsidR="008E5DE4" w14:paraId="15B52616" w14:textId="77777777">
        <w:trPr>
          <w:cantSplit/>
        </w:trPr>
        <w:tc>
          <w:tcPr>
            <w:tcW w:w="2721" w:type="dxa"/>
            <w:tcBorders>
              <w:bottom w:val="single" w:sz="4" w:space="0" w:color="000000"/>
            </w:tcBorders>
            <w:vAlign w:val="bottom"/>
          </w:tcPr>
          <w:p w14:paraId="457CCA69" w14:textId="77777777" w:rsidR="008E5DE4" w:rsidRDefault="00780368">
            <w:pPr>
              <w:widowControl w:val="0"/>
              <w:pBdr>
                <w:top w:val="nil"/>
                <w:left w:val="nil"/>
                <w:bottom w:val="nil"/>
                <w:right w:val="nil"/>
                <w:between w:val="nil"/>
              </w:pBdr>
              <w:ind w:left="113" w:right="-57" w:hanging="113"/>
              <w:rPr>
                <w:b/>
                <w:i/>
                <w:color w:val="000000"/>
                <w:sz w:val="16"/>
                <w:szCs w:val="16"/>
              </w:rPr>
            </w:pPr>
            <w:r>
              <w:rPr>
                <w:i/>
                <w:color w:val="000000"/>
                <w:sz w:val="16"/>
                <w:szCs w:val="16"/>
              </w:rPr>
              <w:t>In thousands of EUR</w:t>
            </w:r>
          </w:p>
        </w:tc>
        <w:tc>
          <w:tcPr>
            <w:tcW w:w="1191" w:type="dxa"/>
            <w:vMerge/>
          </w:tcPr>
          <w:p w14:paraId="5F6DEA1F" w14:textId="77777777" w:rsidR="008E5DE4" w:rsidRDefault="008E5DE4">
            <w:pPr>
              <w:widowControl w:val="0"/>
              <w:pBdr>
                <w:top w:val="nil"/>
                <w:left w:val="nil"/>
                <w:bottom w:val="nil"/>
                <w:right w:val="nil"/>
                <w:between w:val="nil"/>
              </w:pBdr>
              <w:spacing w:line="276" w:lineRule="auto"/>
              <w:rPr>
                <w:b/>
                <w:i/>
                <w:color w:val="000000"/>
                <w:sz w:val="16"/>
                <w:szCs w:val="16"/>
              </w:rPr>
            </w:pPr>
          </w:p>
        </w:tc>
        <w:tc>
          <w:tcPr>
            <w:tcW w:w="907" w:type="dxa"/>
            <w:tcBorders>
              <w:top w:val="single" w:sz="4" w:space="0" w:color="000000"/>
              <w:bottom w:val="single" w:sz="4" w:space="0" w:color="000000"/>
            </w:tcBorders>
          </w:tcPr>
          <w:p w14:paraId="16BB8826" w14:textId="77777777" w:rsidR="008E5DE4" w:rsidRDefault="00780368">
            <w:pPr>
              <w:widowControl w:val="0"/>
              <w:pBdr>
                <w:top w:val="nil"/>
                <w:left w:val="nil"/>
                <w:bottom w:val="nil"/>
                <w:right w:val="nil"/>
                <w:between w:val="nil"/>
              </w:pBdr>
              <w:ind w:left="-113"/>
              <w:jc w:val="right"/>
              <w:rPr>
                <w:b/>
                <w:color w:val="000000"/>
                <w:sz w:val="16"/>
                <w:szCs w:val="16"/>
              </w:rPr>
            </w:pPr>
            <w:proofErr w:type="spellStart"/>
            <w:r>
              <w:rPr>
                <w:b/>
                <w:color w:val="000000"/>
                <w:sz w:val="16"/>
                <w:szCs w:val="16"/>
              </w:rPr>
              <w:t>Deriva-tive</w:t>
            </w:r>
            <w:proofErr w:type="spellEnd"/>
            <w:r>
              <w:rPr>
                <w:b/>
                <w:color w:val="000000"/>
                <w:sz w:val="16"/>
                <w:szCs w:val="16"/>
              </w:rPr>
              <w:t xml:space="preserve"> financial assets (Note 46)</w:t>
            </w:r>
          </w:p>
        </w:tc>
        <w:tc>
          <w:tcPr>
            <w:tcW w:w="907" w:type="dxa"/>
            <w:tcBorders>
              <w:top w:val="single" w:sz="4" w:space="0" w:color="000000"/>
              <w:bottom w:val="single" w:sz="4" w:space="0" w:color="000000"/>
            </w:tcBorders>
          </w:tcPr>
          <w:p w14:paraId="3362C7F6" w14:textId="77777777" w:rsidR="008E5DE4" w:rsidRDefault="00780368">
            <w:pPr>
              <w:widowControl w:val="0"/>
              <w:pBdr>
                <w:top w:val="nil"/>
                <w:left w:val="nil"/>
                <w:bottom w:val="nil"/>
                <w:right w:val="nil"/>
                <w:between w:val="nil"/>
              </w:pBdr>
              <w:ind w:left="-113"/>
              <w:jc w:val="right"/>
              <w:rPr>
                <w:b/>
                <w:color w:val="000000"/>
                <w:sz w:val="16"/>
                <w:szCs w:val="16"/>
              </w:rPr>
            </w:pPr>
            <w:proofErr w:type="spellStart"/>
            <w:r>
              <w:rPr>
                <w:b/>
                <w:color w:val="000000"/>
                <w:sz w:val="16"/>
                <w:szCs w:val="16"/>
              </w:rPr>
              <w:t>Deriva-tive</w:t>
            </w:r>
            <w:proofErr w:type="spellEnd"/>
            <w:r>
              <w:rPr>
                <w:b/>
                <w:color w:val="000000"/>
                <w:sz w:val="16"/>
                <w:szCs w:val="16"/>
              </w:rPr>
              <w:t xml:space="preserve"> financial liabilities (Note 46)</w:t>
            </w:r>
          </w:p>
        </w:tc>
        <w:tc>
          <w:tcPr>
            <w:tcW w:w="907" w:type="dxa"/>
            <w:tcBorders>
              <w:top w:val="single" w:sz="4" w:space="0" w:color="000000"/>
              <w:bottom w:val="single" w:sz="4" w:space="0" w:color="000000"/>
            </w:tcBorders>
          </w:tcPr>
          <w:p w14:paraId="6F9DFE02" w14:textId="77777777" w:rsidR="008E5DE4" w:rsidRDefault="00780368">
            <w:pPr>
              <w:widowControl w:val="0"/>
              <w:pBdr>
                <w:top w:val="nil"/>
                <w:left w:val="nil"/>
                <w:bottom w:val="nil"/>
                <w:right w:val="nil"/>
                <w:between w:val="nil"/>
              </w:pBdr>
              <w:ind w:left="-113"/>
              <w:jc w:val="right"/>
              <w:rPr>
                <w:b/>
                <w:color w:val="000000"/>
                <w:sz w:val="16"/>
                <w:szCs w:val="16"/>
              </w:rPr>
            </w:pPr>
            <w:proofErr w:type="spellStart"/>
            <w:r>
              <w:rPr>
                <w:b/>
                <w:color w:val="000000"/>
                <w:sz w:val="16"/>
                <w:szCs w:val="16"/>
              </w:rPr>
              <w:t>Provi-sions</w:t>
            </w:r>
            <w:proofErr w:type="spellEnd"/>
            <w:r>
              <w:rPr>
                <w:b/>
                <w:color w:val="000000"/>
                <w:sz w:val="16"/>
                <w:szCs w:val="16"/>
              </w:rPr>
              <w:t xml:space="preserve"> (Note 33) </w:t>
            </w:r>
          </w:p>
        </w:tc>
        <w:tc>
          <w:tcPr>
            <w:tcW w:w="907" w:type="dxa"/>
            <w:tcBorders>
              <w:top w:val="single" w:sz="4" w:space="0" w:color="000000"/>
              <w:bottom w:val="single" w:sz="4" w:space="0" w:color="000000"/>
            </w:tcBorders>
          </w:tcPr>
          <w:p w14:paraId="1B26842C"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Assets</w:t>
            </w:r>
          </w:p>
        </w:tc>
        <w:tc>
          <w:tcPr>
            <w:tcW w:w="907" w:type="dxa"/>
            <w:tcBorders>
              <w:top w:val="single" w:sz="4" w:space="0" w:color="000000"/>
              <w:bottom w:val="single" w:sz="4" w:space="0" w:color="000000"/>
            </w:tcBorders>
          </w:tcPr>
          <w:p w14:paraId="2FA93FC3"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Liabilities</w:t>
            </w:r>
          </w:p>
        </w:tc>
        <w:tc>
          <w:tcPr>
            <w:tcW w:w="907" w:type="dxa"/>
            <w:vMerge/>
          </w:tcPr>
          <w:p w14:paraId="0AFFE306" w14:textId="77777777" w:rsidR="008E5DE4" w:rsidRDefault="008E5DE4">
            <w:pPr>
              <w:widowControl w:val="0"/>
              <w:pBdr>
                <w:top w:val="nil"/>
                <w:left w:val="nil"/>
                <w:bottom w:val="nil"/>
                <w:right w:val="nil"/>
                <w:between w:val="nil"/>
              </w:pBdr>
              <w:spacing w:line="276" w:lineRule="auto"/>
              <w:rPr>
                <w:b/>
                <w:color w:val="000000"/>
                <w:sz w:val="16"/>
                <w:szCs w:val="16"/>
              </w:rPr>
            </w:pPr>
          </w:p>
        </w:tc>
      </w:tr>
      <w:tr w:rsidR="008E5DE4" w14:paraId="7F9A1B82" w14:textId="77777777">
        <w:trPr>
          <w:cantSplit/>
        </w:trPr>
        <w:tc>
          <w:tcPr>
            <w:tcW w:w="2721" w:type="dxa"/>
            <w:vAlign w:val="bottom"/>
          </w:tcPr>
          <w:p w14:paraId="6182E9B7" w14:textId="77777777" w:rsidR="008E5DE4" w:rsidRDefault="00780368">
            <w:pPr>
              <w:widowControl w:val="0"/>
              <w:ind w:left="113" w:right="-57" w:hanging="113"/>
              <w:rPr>
                <w:b/>
                <w:sz w:val="12"/>
                <w:szCs w:val="12"/>
              </w:rPr>
            </w:pPr>
            <w:r>
              <w:rPr>
                <w:b/>
                <w:sz w:val="12"/>
                <w:szCs w:val="12"/>
              </w:rPr>
              <w:t> </w:t>
            </w:r>
          </w:p>
        </w:tc>
        <w:tc>
          <w:tcPr>
            <w:tcW w:w="1191" w:type="dxa"/>
            <w:vAlign w:val="bottom"/>
          </w:tcPr>
          <w:p w14:paraId="764CF582"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017368E0"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438B1B89"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4AAC3F85"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4D0DB412" w14:textId="77777777" w:rsidR="008E5DE4" w:rsidRDefault="008E5DE4">
            <w:pPr>
              <w:widowControl w:val="0"/>
              <w:pBdr>
                <w:top w:val="nil"/>
                <w:left w:val="nil"/>
                <w:bottom w:val="nil"/>
                <w:right w:val="nil"/>
                <w:between w:val="nil"/>
              </w:pBdr>
              <w:jc w:val="right"/>
              <w:rPr>
                <w:b/>
                <w:color w:val="000000"/>
                <w:sz w:val="12"/>
                <w:szCs w:val="12"/>
              </w:rPr>
            </w:pPr>
          </w:p>
        </w:tc>
        <w:tc>
          <w:tcPr>
            <w:tcW w:w="907" w:type="dxa"/>
            <w:vAlign w:val="bottom"/>
          </w:tcPr>
          <w:p w14:paraId="21C1FFD1"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2A7FB045" w14:textId="77777777" w:rsidR="008E5DE4" w:rsidRDefault="008E5DE4">
            <w:pPr>
              <w:widowControl w:val="0"/>
              <w:pBdr>
                <w:top w:val="nil"/>
                <w:left w:val="nil"/>
                <w:bottom w:val="nil"/>
                <w:right w:val="nil"/>
                <w:between w:val="nil"/>
              </w:pBdr>
              <w:jc w:val="right"/>
              <w:rPr>
                <w:b/>
                <w:color w:val="000000"/>
                <w:sz w:val="12"/>
                <w:szCs w:val="12"/>
              </w:rPr>
            </w:pPr>
          </w:p>
        </w:tc>
      </w:tr>
      <w:tr w:rsidR="008E5DE4" w14:paraId="402FFDA6" w14:textId="77777777">
        <w:trPr>
          <w:cantSplit/>
        </w:trPr>
        <w:tc>
          <w:tcPr>
            <w:tcW w:w="2721" w:type="dxa"/>
            <w:vAlign w:val="bottom"/>
          </w:tcPr>
          <w:p w14:paraId="561E3F43" w14:textId="77777777" w:rsidR="008E5DE4" w:rsidRDefault="00780368">
            <w:pPr>
              <w:widowControl w:val="0"/>
              <w:pBdr>
                <w:top w:val="nil"/>
                <w:left w:val="nil"/>
                <w:bottom w:val="nil"/>
                <w:right w:val="nil"/>
                <w:between w:val="nil"/>
              </w:pBdr>
              <w:ind w:left="113" w:right="-57" w:hanging="113"/>
              <w:rPr>
                <w:color w:val="0000FF"/>
                <w:sz w:val="16"/>
                <w:szCs w:val="16"/>
              </w:rPr>
            </w:pPr>
            <w:r>
              <w:rPr>
                <w:color w:val="0000FF"/>
                <w:sz w:val="16"/>
                <w:szCs w:val="16"/>
              </w:rPr>
              <w:t>[Written put options]</w:t>
            </w:r>
          </w:p>
        </w:tc>
        <w:tc>
          <w:tcPr>
            <w:tcW w:w="1191" w:type="dxa"/>
            <w:vAlign w:val="bottom"/>
          </w:tcPr>
          <w:p w14:paraId="616DE30D"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FAC5146"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0B6C552"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EBC9AEE"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4906285"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72205BC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E6E1532"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5D6A07A3" w14:textId="77777777">
        <w:trPr>
          <w:cantSplit/>
        </w:trPr>
        <w:tc>
          <w:tcPr>
            <w:tcW w:w="2721" w:type="dxa"/>
            <w:vAlign w:val="bottom"/>
          </w:tcPr>
          <w:p w14:paraId="0C22A505" w14:textId="77777777" w:rsidR="008E5DE4" w:rsidRDefault="00780368">
            <w:pPr>
              <w:widowControl w:val="0"/>
              <w:pBdr>
                <w:top w:val="nil"/>
                <w:left w:val="nil"/>
                <w:bottom w:val="nil"/>
                <w:right w:val="nil"/>
                <w:between w:val="nil"/>
              </w:pBdr>
              <w:ind w:left="113" w:right="-57" w:hanging="113"/>
              <w:rPr>
                <w:color w:val="0000FF"/>
                <w:sz w:val="16"/>
                <w:szCs w:val="16"/>
              </w:rPr>
            </w:pPr>
            <w:r>
              <w:rPr>
                <w:color w:val="0000FF"/>
                <w:sz w:val="16"/>
                <w:szCs w:val="16"/>
              </w:rPr>
              <w:t>[Purchased call options]</w:t>
            </w:r>
          </w:p>
        </w:tc>
        <w:tc>
          <w:tcPr>
            <w:tcW w:w="1191" w:type="dxa"/>
            <w:vAlign w:val="bottom"/>
          </w:tcPr>
          <w:p w14:paraId="282170E2"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5F44D31"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8422865"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D146B22"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35EB2EB"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4302CAB8"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D27DD84"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7DC604D4" w14:textId="77777777">
        <w:trPr>
          <w:cantSplit/>
        </w:trPr>
        <w:tc>
          <w:tcPr>
            <w:tcW w:w="2721" w:type="dxa"/>
            <w:vAlign w:val="bottom"/>
          </w:tcPr>
          <w:p w14:paraId="47B3EDA1"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Late payment risk guarantee</w:t>
            </w:r>
          </w:p>
        </w:tc>
        <w:tc>
          <w:tcPr>
            <w:tcW w:w="1191" w:type="dxa"/>
            <w:vAlign w:val="bottom"/>
          </w:tcPr>
          <w:p w14:paraId="5CB0052A"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7C307A1"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008907E"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39C05EC"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39BE189"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7E282473"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50B4E41"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05BCB47F" w14:textId="77777777">
        <w:trPr>
          <w:cantSplit/>
        </w:trPr>
        <w:tc>
          <w:tcPr>
            <w:tcW w:w="2721" w:type="dxa"/>
            <w:tcBorders>
              <w:bottom w:val="single" w:sz="12" w:space="0" w:color="000000"/>
            </w:tcBorders>
            <w:vAlign w:val="bottom"/>
          </w:tcPr>
          <w:p w14:paraId="30B42477" w14:textId="77777777" w:rsidR="008E5DE4" w:rsidRDefault="00780368">
            <w:pPr>
              <w:widowControl w:val="0"/>
              <w:ind w:left="113" w:right="-57" w:hanging="113"/>
              <w:rPr>
                <w:b/>
                <w:sz w:val="12"/>
                <w:szCs w:val="12"/>
              </w:rPr>
            </w:pPr>
            <w:r>
              <w:rPr>
                <w:b/>
                <w:sz w:val="12"/>
                <w:szCs w:val="12"/>
              </w:rPr>
              <w:t> </w:t>
            </w:r>
          </w:p>
        </w:tc>
        <w:tc>
          <w:tcPr>
            <w:tcW w:w="1191" w:type="dxa"/>
            <w:tcBorders>
              <w:bottom w:val="single" w:sz="12" w:space="0" w:color="000000"/>
            </w:tcBorders>
            <w:vAlign w:val="bottom"/>
          </w:tcPr>
          <w:p w14:paraId="09E7AEFE"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1830FDDF"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2A882550"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440C249C"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20E55781" w14:textId="77777777" w:rsidR="008E5DE4" w:rsidRDefault="008E5DE4">
            <w:pPr>
              <w:widowControl w:val="0"/>
              <w:pBdr>
                <w:top w:val="nil"/>
                <w:left w:val="nil"/>
                <w:bottom w:val="nil"/>
                <w:right w:val="nil"/>
                <w:between w:val="nil"/>
              </w:pBdr>
              <w:jc w:val="right"/>
              <w:rPr>
                <w:b/>
                <w:color w:val="000000"/>
                <w:sz w:val="12"/>
                <w:szCs w:val="12"/>
              </w:rPr>
            </w:pPr>
          </w:p>
        </w:tc>
        <w:tc>
          <w:tcPr>
            <w:tcW w:w="907" w:type="dxa"/>
            <w:tcBorders>
              <w:bottom w:val="single" w:sz="12" w:space="0" w:color="000000"/>
            </w:tcBorders>
            <w:vAlign w:val="bottom"/>
          </w:tcPr>
          <w:p w14:paraId="195AB9BF"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48948B9C" w14:textId="77777777" w:rsidR="008E5DE4" w:rsidRDefault="008E5DE4">
            <w:pPr>
              <w:widowControl w:val="0"/>
              <w:pBdr>
                <w:top w:val="nil"/>
                <w:left w:val="nil"/>
                <w:bottom w:val="nil"/>
                <w:right w:val="nil"/>
                <w:between w:val="nil"/>
              </w:pBdr>
              <w:jc w:val="right"/>
              <w:rPr>
                <w:b/>
                <w:color w:val="000000"/>
                <w:sz w:val="12"/>
                <w:szCs w:val="12"/>
              </w:rPr>
            </w:pPr>
          </w:p>
        </w:tc>
      </w:tr>
    </w:tbl>
    <w:p w14:paraId="336510ED" w14:textId="772721E9" w:rsidR="008E5DE4" w:rsidRDefault="00780368">
      <w:pPr>
        <w:widowControl w:val="0"/>
        <w:spacing w:before="200" w:after="200"/>
        <w:rPr>
          <w:sz w:val="20"/>
          <w:szCs w:val="20"/>
        </w:rPr>
      </w:pPr>
      <w:r>
        <w:rPr>
          <w:sz w:val="20"/>
          <w:szCs w:val="20"/>
        </w:rPr>
        <w:t xml:space="preserve">The analysis is provided by type of continuing involvement outstanding </w:t>
      </w:r>
      <w:proofErr w:type="gramStart"/>
      <w:r>
        <w:rPr>
          <w:sz w:val="20"/>
          <w:szCs w:val="20"/>
        </w:rPr>
        <w:t>at</w:t>
      </w:r>
      <w:proofErr w:type="gramEnd"/>
      <w:r>
        <w:rPr>
          <w:sz w:val="20"/>
          <w:szCs w:val="20"/>
        </w:rPr>
        <w:t xml:space="preserve"> 31 December </w:t>
      </w:r>
      <w:r w:rsidR="00E06A92">
        <w:rPr>
          <w:sz w:val="20"/>
          <w:szCs w:val="20"/>
        </w:rPr>
        <w:t>2024</w:t>
      </w:r>
      <w:r>
        <w:rPr>
          <w:sz w:val="20"/>
          <w:szCs w:val="20"/>
        </w:rPr>
        <w:t>:</w:t>
      </w:r>
    </w:p>
    <w:tbl>
      <w:tblPr>
        <w:tblStyle w:val="affffffffffff7"/>
        <w:tblW w:w="9354" w:type="dxa"/>
        <w:tblLayout w:type="fixed"/>
        <w:tblLook w:val="0000" w:firstRow="0" w:lastRow="0" w:firstColumn="0" w:lastColumn="0" w:noHBand="0" w:noVBand="0"/>
      </w:tblPr>
      <w:tblGrid>
        <w:gridCol w:w="2721"/>
        <w:gridCol w:w="1191"/>
        <w:gridCol w:w="907"/>
        <w:gridCol w:w="907"/>
        <w:gridCol w:w="907"/>
        <w:gridCol w:w="907"/>
        <w:gridCol w:w="907"/>
        <w:gridCol w:w="907"/>
      </w:tblGrid>
      <w:tr w:rsidR="008E5DE4" w14:paraId="2710904E" w14:textId="77777777">
        <w:trPr>
          <w:cantSplit/>
        </w:trPr>
        <w:tc>
          <w:tcPr>
            <w:tcW w:w="2721" w:type="dxa"/>
            <w:vAlign w:val="bottom"/>
          </w:tcPr>
          <w:p w14:paraId="4747350E" w14:textId="77777777" w:rsidR="008E5DE4" w:rsidRDefault="008E5DE4">
            <w:pPr>
              <w:widowControl w:val="0"/>
              <w:pBdr>
                <w:top w:val="nil"/>
                <w:left w:val="nil"/>
                <w:bottom w:val="nil"/>
                <w:right w:val="nil"/>
                <w:between w:val="nil"/>
              </w:pBdr>
              <w:ind w:left="113" w:right="-57" w:hanging="113"/>
              <w:rPr>
                <w:i/>
                <w:color w:val="000000"/>
                <w:sz w:val="16"/>
                <w:szCs w:val="16"/>
              </w:rPr>
            </w:pPr>
          </w:p>
        </w:tc>
        <w:tc>
          <w:tcPr>
            <w:tcW w:w="1191" w:type="dxa"/>
            <w:vMerge w:val="restart"/>
          </w:tcPr>
          <w:p w14:paraId="11CB3594"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Cash outflows to repurchase the </w:t>
            </w:r>
            <w:proofErr w:type="spellStart"/>
            <w:r>
              <w:rPr>
                <w:b/>
                <w:color w:val="000000"/>
                <w:sz w:val="16"/>
                <w:szCs w:val="16"/>
              </w:rPr>
              <w:t>derecog-nised</w:t>
            </w:r>
            <w:proofErr w:type="spellEnd"/>
            <w:r>
              <w:rPr>
                <w:b/>
                <w:color w:val="000000"/>
                <w:sz w:val="16"/>
                <w:szCs w:val="16"/>
              </w:rPr>
              <w:t xml:space="preserve"> assets or other payments </w:t>
            </w:r>
          </w:p>
        </w:tc>
        <w:tc>
          <w:tcPr>
            <w:tcW w:w="2721" w:type="dxa"/>
            <w:gridSpan w:val="3"/>
            <w:tcBorders>
              <w:bottom w:val="single" w:sz="4" w:space="0" w:color="000000"/>
            </w:tcBorders>
          </w:tcPr>
          <w:p w14:paraId="3BD319ED"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Carrying amount of continuing involvement in the consolidated statement of financial position</w:t>
            </w:r>
          </w:p>
        </w:tc>
        <w:tc>
          <w:tcPr>
            <w:tcW w:w="1814" w:type="dxa"/>
            <w:gridSpan w:val="2"/>
            <w:tcBorders>
              <w:bottom w:val="single" w:sz="4" w:space="0" w:color="000000"/>
            </w:tcBorders>
          </w:tcPr>
          <w:p w14:paraId="2C96648D" w14:textId="77777777" w:rsidR="008E5DE4" w:rsidRDefault="00780368">
            <w:pPr>
              <w:widowControl w:val="0"/>
              <w:pBdr>
                <w:top w:val="nil"/>
                <w:left w:val="nil"/>
                <w:bottom w:val="nil"/>
                <w:right w:val="nil"/>
                <w:between w:val="nil"/>
              </w:pBdr>
              <w:ind w:left="-113"/>
              <w:jc w:val="center"/>
              <w:rPr>
                <w:b/>
                <w:color w:val="000000"/>
                <w:sz w:val="16"/>
                <w:szCs w:val="16"/>
              </w:rPr>
            </w:pPr>
            <w:r>
              <w:rPr>
                <w:b/>
                <w:color w:val="000000"/>
                <w:sz w:val="16"/>
                <w:szCs w:val="16"/>
              </w:rPr>
              <w:t>Fair value of continuing involvement</w:t>
            </w:r>
          </w:p>
        </w:tc>
        <w:tc>
          <w:tcPr>
            <w:tcW w:w="907" w:type="dxa"/>
            <w:vMerge w:val="restart"/>
          </w:tcPr>
          <w:p w14:paraId="209C4BB1"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Maximum exposure to loss </w:t>
            </w:r>
          </w:p>
        </w:tc>
      </w:tr>
      <w:tr w:rsidR="008E5DE4" w14:paraId="30AA696B" w14:textId="77777777">
        <w:trPr>
          <w:cantSplit/>
        </w:trPr>
        <w:tc>
          <w:tcPr>
            <w:tcW w:w="2721" w:type="dxa"/>
            <w:tcBorders>
              <w:bottom w:val="single" w:sz="4" w:space="0" w:color="000000"/>
            </w:tcBorders>
            <w:vAlign w:val="bottom"/>
          </w:tcPr>
          <w:p w14:paraId="417CD35B" w14:textId="77777777" w:rsidR="008E5DE4" w:rsidRDefault="00780368">
            <w:pPr>
              <w:widowControl w:val="0"/>
              <w:pBdr>
                <w:top w:val="nil"/>
                <w:left w:val="nil"/>
                <w:bottom w:val="nil"/>
                <w:right w:val="nil"/>
                <w:between w:val="nil"/>
              </w:pBdr>
              <w:ind w:left="113" w:right="-57" w:hanging="113"/>
              <w:rPr>
                <w:b/>
                <w:i/>
                <w:color w:val="000000"/>
                <w:sz w:val="16"/>
                <w:szCs w:val="16"/>
              </w:rPr>
            </w:pPr>
            <w:r>
              <w:rPr>
                <w:i/>
                <w:color w:val="000000"/>
                <w:sz w:val="16"/>
                <w:szCs w:val="16"/>
              </w:rPr>
              <w:t>In thousands of EUR</w:t>
            </w:r>
          </w:p>
        </w:tc>
        <w:tc>
          <w:tcPr>
            <w:tcW w:w="1191" w:type="dxa"/>
            <w:vMerge/>
          </w:tcPr>
          <w:p w14:paraId="6CC52DC9" w14:textId="77777777" w:rsidR="008E5DE4" w:rsidRDefault="008E5DE4">
            <w:pPr>
              <w:widowControl w:val="0"/>
              <w:pBdr>
                <w:top w:val="nil"/>
                <w:left w:val="nil"/>
                <w:bottom w:val="nil"/>
                <w:right w:val="nil"/>
                <w:between w:val="nil"/>
              </w:pBdr>
              <w:spacing w:line="276" w:lineRule="auto"/>
              <w:rPr>
                <w:b/>
                <w:i/>
                <w:color w:val="000000"/>
                <w:sz w:val="16"/>
                <w:szCs w:val="16"/>
              </w:rPr>
            </w:pPr>
          </w:p>
        </w:tc>
        <w:tc>
          <w:tcPr>
            <w:tcW w:w="907" w:type="dxa"/>
            <w:tcBorders>
              <w:top w:val="single" w:sz="4" w:space="0" w:color="000000"/>
              <w:bottom w:val="single" w:sz="4" w:space="0" w:color="000000"/>
            </w:tcBorders>
          </w:tcPr>
          <w:p w14:paraId="637A6F27" w14:textId="77777777" w:rsidR="008E5DE4" w:rsidRDefault="00780368">
            <w:pPr>
              <w:widowControl w:val="0"/>
              <w:pBdr>
                <w:top w:val="nil"/>
                <w:left w:val="nil"/>
                <w:bottom w:val="nil"/>
                <w:right w:val="nil"/>
                <w:between w:val="nil"/>
              </w:pBdr>
              <w:ind w:left="-113"/>
              <w:jc w:val="right"/>
              <w:rPr>
                <w:b/>
                <w:color w:val="000000"/>
                <w:sz w:val="16"/>
                <w:szCs w:val="16"/>
              </w:rPr>
            </w:pPr>
            <w:proofErr w:type="spellStart"/>
            <w:r>
              <w:rPr>
                <w:b/>
                <w:color w:val="000000"/>
                <w:sz w:val="16"/>
                <w:szCs w:val="16"/>
              </w:rPr>
              <w:t>Deriva-tive</w:t>
            </w:r>
            <w:proofErr w:type="spellEnd"/>
            <w:r>
              <w:rPr>
                <w:b/>
                <w:color w:val="000000"/>
                <w:sz w:val="16"/>
                <w:szCs w:val="16"/>
              </w:rPr>
              <w:t xml:space="preserve"> financial assets (Note 46</w:t>
            </w:r>
          </w:p>
        </w:tc>
        <w:tc>
          <w:tcPr>
            <w:tcW w:w="907" w:type="dxa"/>
            <w:tcBorders>
              <w:top w:val="single" w:sz="4" w:space="0" w:color="000000"/>
              <w:bottom w:val="single" w:sz="4" w:space="0" w:color="000000"/>
            </w:tcBorders>
          </w:tcPr>
          <w:p w14:paraId="6B07242D" w14:textId="77777777" w:rsidR="008E5DE4" w:rsidRDefault="00780368">
            <w:pPr>
              <w:widowControl w:val="0"/>
              <w:pBdr>
                <w:top w:val="nil"/>
                <w:left w:val="nil"/>
                <w:bottom w:val="nil"/>
                <w:right w:val="nil"/>
                <w:between w:val="nil"/>
              </w:pBdr>
              <w:ind w:left="-113"/>
              <w:jc w:val="right"/>
              <w:rPr>
                <w:b/>
                <w:color w:val="000000"/>
                <w:sz w:val="16"/>
                <w:szCs w:val="16"/>
              </w:rPr>
            </w:pPr>
            <w:proofErr w:type="spellStart"/>
            <w:r>
              <w:rPr>
                <w:b/>
                <w:color w:val="000000"/>
                <w:sz w:val="16"/>
                <w:szCs w:val="16"/>
              </w:rPr>
              <w:t>Deriva-tive</w:t>
            </w:r>
            <w:proofErr w:type="spellEnd"/>
            <w:r>
              <w:rPr>
                <w:b/>
                <w:color w:val="000000"/>
                <w:sz w:val="16"/>
                <w:szCs w:val="16"/>
              </w:rPr>
              <w:t xml:space="preserve"> financial liabilities (Note 46)</w:t>
            </w:r>
          </w:p>
        </w:tc>
        <w:tc>
          <w:tcPr>
            <w:tcW w:w="907" w:type="dxa"/>
            <w:tcBorders>
              <w:top w:val="single" w:sz="4" w:space="0" w:color="000000"/>
              <w:bottom w:val="single" w:sz="4" w:space="0" w:color="000000"/>
            </w:tcBorders>
          </w:tcPr>
          <w:p w14:paraId="0C03B99A" w14:textId="77777777" w:rsidR="008E5DE4" w:rsidRDefault="00780368">
            <w:pPr>
              <w:widowControl w:val="0"/>
              <w:pBdr>
                <w:top w:val="nil"/>
                <w:left w:val="nil"/>
                <w:bottom w:val="nil"/>
                <w:right w:val="nil"/>
                <w:between w:val="nil"/>
              </w:pBdr>
              <w:ind w:left="-113"/>
              <w:jc w:val="right"/>
              <w:rPr>
                <w:b/>
                <w:color w:val="000000"/>
                <w:sz w:val="16"/>
                <w:szCs w:val="16"/>
              </w:rPr>
            </w:pPr>
            <w:proofErr w:type="spellStart"/>
            <w:r>
              <w:rPr>
                <w:b/>
                <w:color w:val="000000"/>
                <w:sz w:val="16"/>
                <w:szCs w:val="16"/>
              </w:rPr>
              <w:t>Provi-sions</w:t>
            </w:r>
            <w:proofErr w:type="spellEnd"/>
            <w:r>
              <w:rPr>
                <w:b/>
                <w:color w:val="000000"/>
                <w:sz w:val="16"/>
                <w:szCs w:val="16"/>
              </w:rPr>
              <w:t xml:space="preserve"> (Note 33) </w:t>
            </w:r>
          </w:p>
        </w:tc>
        <w:tc>
          <w:tcPr>
            <w:tcW w:w="907" w:type="dxa"/>
            <w:tcBorders>
              <w:top w:val="single" w:sz="4" w:space="0" w:color="000000"/>
              <w:bottom w:val="single" w:sz="4" w:space="0" w:color="000000"/>
            </w:tcBorders>
          </w:tcPr>
          <w:p w14:paraId="05F4081D"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Assets</w:t>
            </w:r>
          </w:p>
        </w:tc>
        <w:tc>
          <w:tcPr>
            <w:tcW w:w="907" w:type="dxa"/>
            <w:tcBorders>
              <w:top w:val="single" w:sz="4" w:space="0" w:color="000000"/>
              <w:bottom w:val="single" w:sz="4" w:space="0" w:color="000000"/>
            </w:tcBorders>
          </w:tcPr>
          <w:p w14:paraId="7DE7F8BA"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Liabilities</w:t>
            </w:r>
          </w:p>
        </w:tc>
        <w:tc>
          <w:tcPr>
            <w:tcW w:w="907" w:type="dxa"/>
            <w:vMerge/>
          </w:tcPr>
          <w:p w14:paraId="473E009D" w14:textId="77777777" w:rsidR="008E5DE4" w:rsidRDefault="008E5DE4">
            <w:pPr>
              <w:widowControl w:val="0"/>
              <w:pBdr>
                <w:top w:val="nil"/>
                <w:left w:val="nil"/>
                <w:bottom w:val="nil"/>
                <w:right w:val="nil"/>
                <w:between w:val="nil"/>
              </w:pBdr>
              <w:spacing w:line="276" w:lineRule="auto"/>
              <w:rPr>
                <w:b/>
                <w:color w:val="000000"/>
                <w:sz w:val="16"/>
                <w:szCs w:val="16"/>
              </w:rPr>
            </w:pPr>
          </w:p>
        </w:tc>
      </w:tr>
      <w:tr w:rsidR="008E5DE4" w14:paraId="466C5831" w14:textId="77777777">
        <w:trPr>
          <w:cantSplit/>
        </w:trPr>
        <w:tc>
          <w:tcPr>
            <w:tcW w:w="2721" w:type="dxa"/>
            <w:vAlign w:val="bottom"/>
          </w:tcPr>
          <w:p w14:paraId="149AF44F" w14:textId="77777777" w:rsidR="008E5DE4" w:rsidRDefault="00780368">
            <w:pPr>
              <w:widowControl w:val="0"/>
              <w:ind w:left="113" w:right="-57" w:hanging="113"/>
              <w:rPr>
                <w:b/>
                <w:sz w:val="12"/>
                <w:szCs w:val="12"/>
              </w:rPr>
            </w:pPr>
            <w:r>
              <w:rPr>
                <w:b/>
                <w:sz w:val="12"/>
                <w:szCs w:val="12"/>
              </w:rPr>
              <w:t> </w:t>
            </w:r>
          </w:p>
        </w:tc>
        <w:tc>
          <w:tcPr>
            <w:tcW w:w="1191" w:type="dxa"/>
            <w:vAlign w:val="bottom"/>
          </w:tcPr>
          <w:p w14:paraId="179B244A"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35CBD717"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68076DA3"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0005EFB8"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7ECA0FBA" w14:textId="77777777" w:rsidR="008E5DE4" w:rsidRDefault="008E5DE4">
            <w:pPr>
              <w:widowControl w:val="0"/>
              <w:pBdr>
                <w:top w:val="nil"/>
                <w:left w:val="nil"/>
                <w:bottom w:val="nil"/>
                <w:right w:val="nil"/>
                <w:between w:val="nil"/>
              </w:pBdr>
              <w:jc w:val="right"/>
              <w:rPr>
                <w:b/>
                <w:color w:val="000000"/>
                <w:sz w:val="12"/>
                <w:szCs w:val="12"/>
              </w:rPr>
            </w:pPr>
          </w:p>
        </w:tc>
        <w:tc>
          <w:tcPr>
            <w:tcW w:w="907" w:type="dxa"/>
            <w:vAlign w:val="bottom"/>
          </w:tcPr>
          <w:p w14:paraId="28CA4105" w14:textId="77777777" w:rsidR="008E5DE4" w:rsidRDefault="008E5DE4">
            <w:pPr>
              <w:widowControl w:val="0"/>
              <w:pBdr>
                <w:top w:val="nil"/>
                <w:left w:val="nil"/>
                <w:bottom w:val="nil"/>
                <w:right w:val="nil"/>
                <w:between w:val="nil"/>
              </w:pBdr>
              <w:jc w:val="right"/>
              <w:rPr>
                <w:color w:val="000000"/>
                <w:sz w:val="12"/>
                <w:szCs w:val="12"/>
              </w:rPr>
            </w:pPr>
          </w:p>
        </w:tc>
        <w:tc>
          <w:tcPr>
            <w:tcW w:w="907" w:type="dxa"/>
            <w:vAlign w:val="bottom"/>
          </w:tcPr>
          <w:p w14:paraId="722D1430" w14:textId="77777777" w:rsidR="008E5DE4" w:rsidRDefault="008E5DE4">
            <w:pPr>
              <w:widowControl w:val="0"/>
              <w:pBdr>
                <w:top w:val="nil"/>
                <w:left w:val="nil"/>
                <w:bottom w:val="nil"/>
                <w:right w:val="nil"/>
                <w:between w:val="nil"/>
              </w:pBdr>
              <w:jc w:val="right"/>
              <w:rPr>
                <w:b/>
                <w:color w:val="000000"/>
                <w:sz w:val="12"/>
                <w:szCs w:val="12"/>
              </w:rPr>
            </w:pPr>
          </w:p>
        </w:tc>
      </w:tr>
      <w:tr w:rsidR="008E5DE4" w14:paraId="26B706F3" w14:textId="77777777">
        <w:trPr>
          <w:cantSplit/>
        </w:trPr>
        <w:tc>
          <w:tcPr>
            <w:tcW w:w="2721" w:type="dxa"/>
            <w:vAlign w:val="bottom"/>
          </w:tcPr>
          <w:p w14:paraId="4580393A" w14:textId="77777777" w:rsidR="008E5DE4" w:rsidRDefault="00780368">
            <w:pPr>
              <w:widowControl w:val="0"/>
              <w:pBdr>
                <w:top w:val="nil"/>
                <w:left w:val="nil"/>
                <w:bottom w:val="nil"/>
                <w:right w:val="nil"/>
                <w:between w:val="nil"/>
              </w:pBdr>
              <w:ind w:left="113" w:right="-57" w:hanging="113"/>
              <w:rPr>
                <w:color w:val="0000FF"/>
                <w:sz w:val="16"/>
                <w:szCs w:val="16"/>
              </w:rPr>
            </w:pPr>
            <w:r>
              <w:rPr>
                <w:color w:val="0000FF"/>
                <w:sz w:val="16"/>
                <w:szCs w:val="16"/>
              </w:rPr>
              <w:t>[Written put options]</w:t>
            </w:r>
          </w:p>
        </w:tc>
        <w:tc>
          <w:tcPr>
            <w:tcW w:w="1191" w:type="dxa"/>
            <w:vAlign w:val="bottom"/>
          </w:tcPr>
          <w:p w14:paraId="63202F5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4C55BE5"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26355FC"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7E64657"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8254E61"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6A3C906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307C2C2A"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3E5D93F7" w14:textId="77777777">
        <w:trPr>
          <w:cantSplit/>
        </w:trPr>
        <w:tc>
          <w:tcPr>
            <w:tcW w:w="2721" w:type="dxa"/>
            <w:vAlign w:val="bottom"/>
          </w:tcPr>
          <w:p w14:paraId="56925AE3" w14:textId="77777777" w:rsidR="008E5DE4" w:rsidRDefault="00780368">
            <w:pPr>
              <w:widowControl w:val="0"/>
              <w:pBdr>
                <w:top w:val="nil"/>
                <w:left w:val="nil"/>
                <w:bottom w:val="nil"/>
                <w:right w:val="nil"/>
                <w:between w:val="nil"/>
              </w:pBdr>
              <w:ind w:left="113" w:right="-57" w:hanging="113"/>
              <w:rPr>
                <w:color w:val="0000FF"/>
                <w:sz w:val="16"/>
                <w:szCs w:val="16"/>
              </w:rPr>
            </w:pPr>
            <w:r>
              <w:rPr>
                <w:color w:val="0000FF"/>
                <w:sz w:val="16"/>
                <w:szCs w:val="16"/>
              </w:rPr>
              <w:t>[Purchased call options]</w:t>
            </w:r>
          </w:p>
        </w:tc>
        <w:tc>
          <w:tcPr>
            <w:tcW w:w="1191" w:type="dxa"/>
            <w:vAlign w:val="bottom"/>
          </w:tcPr>
          <w:p w14:paraId="47B5A2A9"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E2E1253"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881C754"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55C8BECD"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14C9DC9"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434DDD4B"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D2F65B5"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10676924" w14:textId="77777777">
        <w:trPr>
          <w:cantSplit/>
        </w:trPr>
        <w:tc>
          <w:tcPr>
            <w:tcW w:w="2721" w:type="dxa"/>
            <w:vAlign w:val="bottom"/>
          </w:tcPr>
          <w:p w14:paraId="270241F3"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Late payment risk guarantee</w:t>
            </w:r>
          </w:p>
        </w:tc>
        <w:tc>
          <w:tcPr>
            <w:tcW w:w="1191" w:type="dxa"/>
            <w:vAlign w:val="bottom"/>
          </w:tcPr>
          <w:p w14:paraId="1CA8CB3D"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1289B356"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47B1AB5B"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060795FB"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6C118271" w14:textId="77777777" w:rsidR="008E5DE4" w:rsidRDefault="008E5DE4">
            <w:pPr>
              <w:widowControl w:val="0"/>
              <w:pBdr>
                <w:top w:val="nil"/>
                <w:left w:val="nil"/>
                <w:bottom w:val="nil"/>
                <w:right w:val="nil"/>
                <w:between w:val="nil"/>
              </w:pBdr>
              <w:jc w:val="right"/>
              <w:rPr>
                <w:b/>
                <w:color w:val="000000"/>
                <w:sz w:val="16"/>
                <w:szCs w:val="16"/>
              </w:rPr>
            </w:pPr>
          </w:p>
        </w:tc>
        <w:tc>
          <w:tcPr>
            <w:tcW w:w="907" w:type="dxa"/>
            <w:vAlign w:val="bottom"/>
          </w:tcPr>
          <w:p w14:paraId="76C61518" w14:textId="77777777" w:rsidR="008E5DE4" w:rsidRDefault="008E5DE4">
            <w:pPr>
              <w:widowControl w:val="0"/>
              <w:pBdr>
                <w:top w:val="nil"/>
                <w:left w:val="nil"/>
                <w:bottom w:val="nil"/>
                <w:right w:val="nil"/>
                <w:between w:val="nil"/>
              </w:pBdr>
              <w:jc w:val="right"/>
              <w:rPr>
                <w:color w:val="000000"/>
                <w:sz w:val="16"/>
                <w:szCs w:val="16"/>
              </w:rPr>
            </w:pPr>
          </w:p>
        </w:tc>
        <w:tc>
          <w:tcPr>
            <w:tcW w:w="907" w:type="dxa"/>
            <w:vAlign w:val="bottom"/>
          </w:tcPr>
          <w:p w14:paraId="2824373A"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6F3D6459" w14:textId="77777777">
        <w:trPr>
          <w:cantSplit/>
        </w:trPr>
        <w:tc>
          <w:tcPr>
            <w:tcW w:w="2721" w:type="dxa"/>
            <w:tcBorders>
              <w:bottom w:val="single" w:sz="12" w:space="0" w:color="000000"/>
            </w:tcBorders>
            <w:vAlign w:val="bottom"/>
          </w:tcPr>
          <w:p w14:paraId="6A393EFA" w14:textId="77777777" w:rsidR="008E5DE4" w:rsidRDefault="008E5DE4">
            <w:pPr>
              <w:widowControl w:val="0"/>
              <w:ind w:left="113" w:right="-57" w:hanging="113"/>
              <w:rPr>
                <w:b/>
                <w:sz w:val="12"/>
                <w:szCs w:val="12"/>
              </w:rPr>
            </w:pPr>
          </w:p>
        </w:tc>
        <w:tc>
          <w:tcPr>
            <w:tcW w:w="1191" w:type="dxa"/>
            <w:tcBorders>
              <w:bottom w:val="single" w:sz="12" w:space="0" w:color="000000"/>
            </w:tcBorders>
            <w:vAlign w:val="bottom"/>
          </w:tcPr>
          <w:p w14:paraId="3131DFCD"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61639349"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4416533A"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2783ADA4"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01A930B1" w14:textId="77777777" w:rsidR="008E5DE4" w:rsidRDefault="008E5DE4">
            <w:pPr>
              <w:widowControl w:val="0"/>
              <w:pBdr>
                <w:top w:val="nil"/>
                <w:left w:val="nil"/>
                <w:bottom w:val="nil"/>
                <w:right w:val="nil"/>
                <w:between w:val="nil"/>
              </w:pBdr>
              <w:jc w:val="right"/>
              <w:rPr>
                <w:b/>
                <w:color w:val="000000"/>
                <w:sz w:val="12"/>
                <w:szCs w:val="12"/>
              </w:rPr>
            </w:pPr>
          </w:p>
        </w:tc>
        <w:tc>
          <w:tcPr>
            <w:tcW w:w="907" w:type="dxa"/>
            <w:tcBorders>
              <w:bottom w:val="single" w:sz="12" w:space="0" w:color="000000"/>
            </w:tcBorders>
            <w:vAlign w:val="bottom"/>
          </w:tcPr>
          <w:p w14:paraId="52BDAE0C" w14:textId="77777777" w:rsidR="008E5DE4" w:rsidRDefault="008E5DE4">
            <w:pPr>
              <w:widowControl w:val="0"/>
              <w:pBdr>
                <w:top w:val="nil"/>
                <w:left w:val="nil"/>
                <w:bottom w:val="nil"/>
                <w:right w:val="nil"/>
                <w:between w:val="nil"/>
              </w:pBdr>
              <w:jc w:val="right"/>
              <w:rPr>
                <w:color w:val="000000"/>
                <w:sz w:val="12"/>
                <w:szCs w:val="12"/>
              </w:rPr>
            </w:pPr>
          </w:p>
        </w:tc>
        <w:tc>
          <w:tcPr>
            <w:tcW w:w="907" w:type="dxa"/>
            <w:tcBorders>
              <w:bottom w:val="single" w:sz="12" w:space="0" w:color="000000"/>
            </w:tcBorders>
            <w:vAlign w:val="bottom"/>
          </w:tcPr>
          <w:p w14:paraId="51CAE198" w14:textId="77777777" w:rsidR="008E5DE4" w:rsidRDefault="008E5DE4">
            <w:pPr>
              <w:widowControl w:val="0"/>
              <w:pBdr>
                <w:top w:val="nil"/>
                <w:left w:val="nil"/>
                <w:bottom w:val="nil"/>
                <w:right w:val="nil"/>
                <w:between w:val="nil"/>
              </w:pBdr>
              <w:jc w:val="right"/>
              <w:rPr>
                <w:b/>
                <w:color w:val="000000"/>
                <w:sz w:val="12"/>
                <w:szCs w:val="12"/>
              </w:rPr>
            </w:pPr>
          </w:p>
        </w:tc>
      </w:tr>
    </w:tbl>
    <w:p w14:paraId="22C0389E" w14:textId="77777777" w:rsidR="008E5DE4" w:rsidRDefault="00780368">
      <w:pPr>
        <w:widowControl w:val="0"/>
        <w:spacing w:before="200" w:after="200"/>
        <w:jc w:val="both"/>
        <w:rPr>
          <w:sz w:val="20"/>
          <w:szCs w:val="20"/>
        </w:rPr>
      </w:pPr>
      <w:r>
        <w:rPr>
          <w:sz w:val="20"/>
          <w:szCs w:val="20"/>
        </w:rPr>
        <w:t>The following schedule presents the remaining contractual maturity analysis of the undiscounted cash flows to repurchase the transferred assets or other amounts payable to the transferee in respect of financial assets that qualified for derecognition. Where the cash flows are variable, they are disclosed based on the conditions that existed at each reporting date. The analysis is provided by type of continuing involvement outstanding at the respective end of the reporting period:</w:t>
      </w:r>
    </w:p>
    <w:tbl>
      <w:tblPr>
        <w:tblStyle w:val="affffffffffff8"/>
        <w:tblW w:w="9357" w:type="dxa"/>
        <w:tblLayout w:type="fixed"/>
        <w:tblLook w:val="0000" w:firstRow="0" w:lastRow="0" w:firstColumn="0" w:lastColumn="0" w:noHBand="0" w:noVBand="0"/>
      </w:tblPr>
      <w:tblGrid>
        <w:gridCol w:w="3231"/>
        <w:gridCol w:w="1021"/>
        <w:gridCol w:w="1021"/>
        <w:gridCol w:w="1021"/>
        <w:gridCol w:w="1021"/>
        <w:gridCol w:w="1021"/>
        <w:gridCol w:w="1021"/>
      </w:tblGrid>
      <w:tr w:rsidR="008E5DE4" w14:paraId="5FDE6C4D" w14:textId="77777777">
        <w:trPr>
          <w:cantSplit/>
        </w:trPr>
        <w:tc>
          <w:tcPr>
            <w:tcW w:w="3231" w:type="dxa"/>
            <w:tcBorders>
              <w:bottom w:val="single" w:sz="4" w:space="0" w:color="000000"/>
            </w:tcBorders>
            <w:vAlign w:val="bottom"/>
          </w:tcPr>
          <w:p w14:paraId="4348DAAB" w14:textId="77777777" w:rsidR="008E5DE4" w:rsidRDefault="00780368">
            <w:pPr>
              <w:widowControl w:val="0"/>
              <w:pBdr>
                <w:top w:val="nil"/>
                <w:left w:val="nil"/>
                <w:bottom w:val="nil"/>
                <w:right w:val="nil"/>
                <w:between w:val="nil"/>
              </w:pBdr>
              <w:ind w:left="113" w:right="-57" w:hanging="113"/>
              <w:rPr>
                <w:b/>
                <w:i/>
                <w:color w:val="000000"/>
                <w:sz w:val="16"/>
                <w:szCs w:val="16"/>
              </w:rPr>
            </w:pPr>
            <w:r>
              <w:rPr>
                <w:i/>
                <w:color w:val="000000"/>
                <w:sz w:val="16"/>
                <w:szCs w:val="16"/>
              </w:rPr>
              <w:t>In thousands of EUR</w:t>
            </w:r>
          </w:p>
        </w:tc>
        <w:tc>
          <w:tcPr>
            <w:tcW w:w="1021" w:type="dxa"/>
            <w:tcBorders>
              <w:bottom w:val="single" w:sz="4" w:space="0" w:color="000000"/>
            </w:tcBorders>
          </w:tcPr>
          <w:p w14:paraId="5CF9A0B8"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Demand and less than 1 month</w:t>
            </w:r>
          </w:p>
        </w:tc>
        <w:tc>
          <w:tcPr>
            <w:tcW w:w="1021" w:type="dxa"/>
            <w:tcBorders>
              <w:bottom w:val="single" w:sz="4" w:space="0" w:color="000000"/>
            </w:tcBorders>
          </w:tcPr>
          <w:p w14:paraId="6F97A16F"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From 1 to 6 months</w:t>
            </w:r>
          </w:p>
        </w:tc>
        <w:tc>
          <w:tcPr>
            <w:tcW w:w="1021" w:type="dxa"/>
            <w:tcBorders>
              <w:bottom w:val="single" w:sz="4" w:space="0" w:color="000000"/>
            </w:tcBorders>
          </w:tcPr>
          <w:p w14:paraId="2719236D"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From 6 to 12 months</w:t>
            </w:r>
          </w:p>
        </w:tc>
        <w:tc>
          <w:tcPr>
            <w:tcW w:w="1021" w:type="dxa"/>
            <w:tcBorders>
              <w:bottom w:val="single" w:sz="4" w:space="0" w:color="000000"/>
            </w:tcBorders>
          </w:tcPr>
          <w:p w14:paraId="0A70C912"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From 12 months to 5 years</w:t>
            </w:r>
          </w:p>
        </w:tc>
        <w:tc>
          <w:tcPr>
            <w:tcW w:w="1021" w:type="dxa"/>
            <w:tcBorders>
              <w:bottom w:val="single" w:sz="4" w:space="0" w:color="000000"/>
            </w:tcBorders>
          </w:tcPr>
          <w:p w14:paraId="23DE5B0F"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Over 5 years</w:t>
            </w:r>
          </w:p>
        </w:tc>
        <w:tc>
          <w:tcPr>
            <w:tcW w:w="1021" w:type="dxa"/>
            <w:tcBorders>
              <w:bottom w:val="single" w:sz="4" w:space="0" w:color="000000"/>
            </w:tcBorders>
          </w:tcPr>
          <w:p w14:paraId="245805AC"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Total</w:t>
            </w:r>
          </w:p>
        </w:tc>
      </w:tr>
      <w:tr w:rsidR="008E5DE4" w14:paraId="1283D322" w14:textId="77777777">
        <w:trPr>
          <w:cantSplit/>
        </w:trPr>
        <w:tc>
          <w:tcPr>
            <w:tcW w:w="3231" w:type="dxa"/>
            <w:vAlign w:val="bottom"/>
          </w:tcPr>
          <w:p w14:paraId="72EDB77C" w14:textId="77777777" w:rsidR="008E5DE4" w:rsidRDefault="00780368">
            <w:pPr>
              <w:widowControl w:val="0"/>
              <w:ind w:left="113" w:right="-57" w:hanging="113"/>
              <w:rPr>
                <w:b/>
                <w:sz w:val="16"/>
                <w:szCs w:val="16"/>
              </w:rPr>
            </w:pPr>
            <w:r>
              <w:rPr>
                <w:b/>
                <w:sz w:val="16"/>
                <w:szCs w:val="16"/>
              </w:rPr>
              <w:t> </w:t>
            </w:r>
          </w:p>
        </w:tc>
        <w:tc>
          <w:tcPr>
            <w:tcW w:w="1021" w:type="dxa"/>
            <w:vAlign w:val="bottom"/>
          </w:tcPr>
          <w:p w14:paraId="24A5175F" w14:textId="77777777" w:rsidR="008E5DE4" w:rsidRDefault="008E5DE4">
            <w:pPr>
              <w:widowControl w:val="0"/>
              <w:pBdr>
                <w:top w:val="nil"/>
                <w:left w:val="nil"/>
                <w:bottom w:val="nil"/>
                <w:right w:val="nil"/>
                <w:between w:val="nil"/>
              </w:pBdr>
              <w:jc w:val="right"/>
              <w:rPr>
                <w:color w:val="000000"/>
                <w:sz w:val="16"/>
                <w:szCs w:val="16"/>
              </w:rPr>
            </w:pPr>
          </w:p>
        </w:tc>
        <w:tc>
          <w:tcPr>
            <w:tcW w:w="1021" w:type="dxa"/>
            <w:vAlign w:val="bottom"/>
          </w:tcPr>
          <w:p w14:paraId="6C7E4CC9" w14:textId="77777777" w:rsidR="008E5DE4" w:rsidRDefault="008E5DE4">
            <w:pPr>
              <w:widowControl w:val="0"/>
              <w:pBdr>
                <w:top w:val="nil"/>
                <w:left w:val="nil"/>
                <w:bottom w:val="nil"/>
                <w:right w:val="nil"/>
                <w:between w:val="nil"/>
              </w:pBdr>
              <w:jc w:val="right"/>
              <w:rPr>
                <w:color w:val="000000"/>
                <w:sz w:val="16"/>
                <w:szCs w:val="16"/>
              </w:rPr>
            </w:pPr>
          </w:p>
        </w:tc>
        <w:tc>
          <w:tcPr>
            <w:tcW w:w="1021" w:type="dxa"/>
            <w:vAlign w:val="bottom"/>
          </w:tcPr>
          <w:p w14:paraId="44549A7A" w14:textId="77777777" w:rsidR="008E5DE4" w:rsidRDefault="008E5DE4">
            <w:pPr>
              <w:widowControl w:val="0"/>
              <w:pBdr>
                <w:top w:val="nil"/>
                <w:left w:val="nil"/>
                <w:bottom w:val="nil"/>
                <w:right w:val="nil"/>
                <w:between w:val="nil"/>
              </w:pBdr>
              <w:jc w:val="right"/>
              <w:rPr>
                <w:color w:val="000000"/>
                <w:sz w:val="16"/>
                <w:szCs w:val="16"/>
              </w:rPr>
            </w:pPr>
          </w:p>
        </w:tc>
        <w:tc>
          <w:tcPr>
            <w:tcW w:w="1021" w:type="dxa"/>
            <w:vAlign w:val="bottom"/>
          </w:tcPr>
          <w:p w14:paraId="7CB7240A" w14:textId="77777777" w:rsidR="008E5DE4" w:rsidRDefault="008E5DE4">
            <w:pPr>
              <w:widowControl w:val="0"/>
              <w:pBdr>
                <w:top w:val="nil"/>
                <w:left w:val="nil"/>
                <w:bottom w:val="nil"/>
                <w:right w:val="nil"/>
                <w:between w:val="nil"/>
              </w:pBdr>
              <w:jc w:val="right"/>
              <w:rPr>
                <w:color w:val="000000"/>
                <w:sz w:val="16"/>
                <w:szCs w:val="16"/>
              </w:rPr>
            </w:pPr>
          </w:p>
        </w:tc>
        <w:tc>
          <w:tcPr>
            <w:tcW w:w="1021" w:type="dxa"/>
            <w:vAlign w:val="bottom"/>
          </w:tcPr>
          <w:p w14:paraId="18EE9F27" w14:textId="77777777" w:rsidR="008E5DE4" w:rsidRDefault="008E5DE4">
            <w:pPr>
              <w:widowControl w:val="0"/>
              <w:pBdr>
                <w:top w:val="nil"/>
                <w:left w:val="nil"/>
                <w:bottom w:val="nil"/>
                <w:right w:val="nil"/>
                <w:between w:val="nil"/>
              </w:pBdr>
              <w:jc w:val="right"/>
              <w:rPr>
                <w:color w:val="000000"/>
                <w:sz w:val="16"/>
                <w:szCs w:val="16"/>
              </w:rPr>
            </w:pPr>
          </w:p>
        </w:tc>
        <w:tc>
          <w:tcPr>
            <w:tcW w:w="1021" w:type="dxa"/>
            <w:vAlign w:val="bottom"/>
          </w:tcPr>
          <w:p w14:paraId="155C570A" w14:textId="77777777" w:rsidR="008E5DE4" w:rsidRDefault="008E5DE4">
            <w:pPr>
              <w:widowControl w:val="0"/>
              <w:pBdr>
                <w:top w:val="nil"/>
                <w:left w:val="nil"/>
                <w:bottom w:val="nil"/>
                <w:right w:val="nil"/>
                <w:between w:val="nil"/>
              </w:pBdr>
              <w:jc w:val="right"/>
              <w:rPr>
                <w:color w:val="000000"/>
                <w:sz w:val="16"/>
                <w:szCs w:val="16"/>
              </w:rPr>
            </w:pPr>
          </w:p>
        </w:tc>
      </w:tr>
      <w:tr w:rsidR="008E5DE4" w14:paraId="232C7240" w14:textId="77777777">
        <w:trPr>
          <w:cantSplit/>
        </w:trPr>
        <w:tc>
          <w:tcPr>
            <w:tcW w:w="3231" w:type="dxa"/>
            <w:vAlign w:val="bottom"/>
          </w:tcPr>
          <w:p w14:paraId="6647712D" w14:textId="2550C512" w:rsidR="008E5DE4" w:rsidRDefault="00780368">
            <w:pPr>
              <w:widowControl w:val="0"/>
              <w:pBdr>
                <w:top w:val="nil"/>
                <w:left w:val="nil"/>
                <w:bottom w:val="nil"/>
                <w:right w:val="nil"/>
                <w:between w:val="nil"/>
              </w:pBdr>
              <w:ind w:left="113" w:right="-57" w:hanging="113"/>
              <w:rPr>
                <w:b/>
                <w:color w:val="000000"/>
                <w:sz w:val="16"/>
                <w:szCs w:val="16"/>
              </w:rPr>
            </w:pPr>
            <w:proofErr w:type="gramStart"/>
            <w:r>
              <w:rPr>
                <w:b/>
                <w:color w:val="000000"/>
                <w:sz w:val="16"/>
                <w:szCs w:val="16"/>
              </w:rPr>
              <w:t>At</w:t>
            </w:r>
            <w:proofErr w:type="gramEnd"/>
            <w:r>
              <w:rPr>
                <w:b/>
                <w:color w:val="000000"/>
                <w:sz w:val="16"/>
                <w:szCs w:val="16"/>
              </w:rPr>
              <w:t xml:space="preserve"> 31 December </w:t>
            </w:r>
            <w:r w:rsidR="008614F8">
              <w:rPr>
                <w:b/>
                <w:color w:val="000000"/>
                <w:sz w:val="16"/>
                <w:szCs w:val="16"/>
              </w:rPr>
              <w:t>2025</w:t>
            </w:r>
          </w:p>
        </w:tc>
        <w:tc>
          <w:tcPr>
            <w:tcW w:w="1021" w:type="dxa"/>
            <w:vAlign w:val="bottom"/>
          </w:tcPr>
          <w:p w14:paraId="5DCDC388"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39D31FBC"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73753547"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7289D7A8"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2D233368"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3A77DB7F"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48328A07" w14:textId="77777777">
        <w:trPr>
          <w:cantSplit/>
        </w:trPr>
        <w:tc>
          <w:tcPr>
            <w:tcW w:w="3231" w:type="dxa"/>
            <w:vAlign w:val="bottom"/>
          </w:tcPr>
          <w:p w14:paraId="7B27D64A"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1021" w:type="dxa"/>
            <w:vAlign w:val="bottom"/>
          </w:tcPr>
          <w:p w14:paraId="4254DB4E"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4C6E1414"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36052DD1"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7FBB69A3"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53D093B1"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03BEC259"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45BF8A11" w14:textId="77777777">
        <w:trPr>
          <w:cantSplit/>
        </w:trPr>
        <w:tc>
          <w:tcPr>
            <w:tcW w:w="3231" w:type="dxa"/>
            <w:vAlign w:val="bottom"/>
          </w:tcPr>
          <w:p w14:paraId="55E60323" w14:textId="77777777" w:rsidR="008E5DE4" w:rsidRDefault="00780368">
            <w:pPr>
              <w:widowControl w:val="0"/>
              <w:pBdr>
                <w:top w:val="nil"/>
                <w:left w:val="nil"/>
                <w:bottom w:val="nil"/>
                <w:right w:val="nil"/>
                <w:between w:val="nil"/>
              </w:pBdr>
              <w:ind w:left="113" w:right="-57" w:hanging="113"/>
              <w:rPr>
                <w:color w:val="0000FF"/>
                <w:sz w:val="16"/>
                <w:szCs w:val="16"/>
              </w:rPr>
            </w:pPr>
            <w:r>
              <w:rPr>
                <w:color w:val="0000FF"/>
                <w:sz w:val="16"/>
                <w:szCs w:val="16"/>
              </w:rPr>
              <w:t>[Written put options]</w:t>
            </w:r>
          </w:p>
        </w:tc>
        <w:tc>
          <w:tcPr>
            <w:tcW w:w="1021" w:type="dxa"/>
            <w:vAlign w:val="bottom"/>
          </w:tcPr>
          <w:p w14:paraId="74133253"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1F7E877A"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54200765"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6BC890BF"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0865CE2D"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44A33F48"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0A340A67" w14:textId="77777777">
        <w:trPr>
          <w:cantSplit/>
        </w:trPr>
        <w:tc>
          <w:tcPr>
            <w:tcW w:w="3231" w:type="dxa"/>
            <w:vAlign w:val="bottom"/>
          </w:tcPr>
          <w:p w14:paraId="60209101" w14:textId="77777777" w:rsidR="008E5DE4" w:rsidRDefault="00780368">
            <w:pPr>
              <w:widowControl w:val="0"/>
              <w:pBdr>
                <w:top w:val="nil"/>
                <w:left w:val="nil"/>
                <w:bottom w:val="nil"/>
                <w:right w:val="nil"/>
                <w:between w:val="nil"/>
              </w:pBdr>
              <w:ind w:left="113" w:right="-57" w:hanging="113"/>
              <w:rPr>
                <w:color w:val="0000FF"/>
                <w:sz w:val="16"/>
                <w:szCs w:val="16"/>
              </w:rPr>
            </w:pPr>
            <w:r>
              <w:rPr>
                <w:color w:val="0000FF"/>
                <w:sz w:val="16"/>
                <w:szCs w:val="16"/>
              </w:rPr>
              <w:t>[Purchased call options]</w:t>
            </w:r>
          </w:p>
        </w:tc>
        <w:tc>
          <w:tcPr>
            <w:tcW w:w="1021" w:type="dxa"/>
            <w:vAlign w:val="bottom"/>
          </w:tcPr>
          <w:p w14:paraId="5C67C39B"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13C7EEE6"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78249C02"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2F81EA3F"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26042D8F"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0954830C"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4BD04889" w14:textId="77777777">
        <w:trPr>
          <w:cantSplit/>
        </w:trPr>
        <w:tc>
          <w:tcPr>
            <w:tcW w:w="3231" w:type="dxa"/>
            <w:vAlign w:val="bottom"/>
          </w:tcPr>
          <w:p w14:paraId="097FB6E3"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Late payment risk guarantee</w:t>
            </w:r>
          </w:p>
        </w:tc>
        <w:tc>
          <w:tcPr>
            <w:tcW w:w="1021" w:type="dxa"/>
            <w:vAlign w:val="bottom"/>
          </w:tcPr>
          <w:p w14:paraId="0397CF0D"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71EEDC1E"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737F6627"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797EDEB9"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13336974"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36613F90"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64FB5292" w14:textId="77777777">
        <w:trPr>
          <w:cantSplit/>
        </w:trPr>
        <w:tc>
          <w:tcPr>
            <w:tcW w:w="3231" w:type="dxa"/>
            <w:tcBorders>
              <w:bottom w:val="single" w:sz="4" w:space="0" w:color="000000"/>
            </w:tcBorders>
            <w:vAlign w:val="bottom"/>
          </w:tcPr>
          <w:p w14:paraId="107B85B7" w14:textId="77777777" w:rsidR="008E5DE4" w:rsidRDefault="00780368">
            <w:pPr>
              <w:widowControl w:val="0"/>
              <w:pBdr>
                <w:top w:val="nil"/>
                <w:left w:val="nil"/>
                <w:bottom w:val="nil"/>
                <w:right w:val="nil"/>
                <w:between w:val="nil"/>
              </w:pBdr>
              <w:ind w:left="113" w:right="-57" w:hanging="113"/>
              <w:rPr>
                <w:b/>
                <w:color w:val="000000"/>
                <w:sz w:val="16"/>
                <w:szCs w:val="16"/>
              </w:rPr>
            </w:pPr>
            <w:r>
              <w:rPr>
                <w:color w:val="000000"/>
                <w:sz w:val="16"/>
                <w:szCs w:val="16"/>
              </w:rPr>
              <w:t> </w:t>
            </w:r>
          </w:p>
        </w:tc>
        <w:tc>
          <w:tcPr>
            <w:tcW w:w="1021" w:type="dxa"/>
            <w:tcBorders>
              <w:bottom w:val="single" w:sz="4" w:space="0" w:color="000000"/>
            </w:tcBorders>
            <w:vAlign w:val="bottom"/>
          </w:tcPr>
          <w:p w14:paraId="6DC57E11"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4" w:space="0" w:color="000000"/>
            </w:tcBorders>
            <w:vAlign w:val="bottom"/>
          </w:tcPr>
          <w:p w14:paraId="4C82420B"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4" w:space="0" w:color="000000"/>
            </w:tcBorders>
            <w:vAlign w:val="bottom"/>
          </w:tcPr>
          <w:p w14:paraId="3C2C812E"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4" w:space="0" w:color="000000"/>
            </w:tcBorders>
            <w:vAlign w:val="bottom"/>
          </w:tcPr>
          <w:p w14:paraId="12648BBE"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4" w:space="0" w:color="000000"/>
            </w:tcBorders>
            <w:vAlign w:val="bottom"/>
          </w:tcPr>
          <w:p w14:paraId="3651BD2F"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4" w:space="0" w:color="000000"/>
            </w:tcBorders>
            <w:vAlign w:val="bottom"/>
          </w:tcPr>
          <w:p w14:paraId="78D380A6"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6C52DCB5" w14:textId="77777777">
        <w:trPr>
          <w:cantSplit/>
        </w:trPr>
        <w:tc>
          <w:tcPr>
            <w:tcW w:w="3231" w:type="dxa"/>
            <w:tcBorders>
              <w:top w:val="single" w:sz="4" w:space="0" w:color="000000"/>
            </w:tcBorders>
            <w:vAlign w:val="bottom"/>
          </w:tcPr>
          <w:p w14:paraId="189B8508" w14:textId="77777777" w:rsidR="008E5DE4" w:rsidRDefault="00780368">
            <w:pPr>
              <w:widowControl w:val="0"/>
              <w:ind w:left="113" w:right="-57" w:hanging="113"/>
              <w:rPr>
                <w:sz w:val="16"/>
                <w:szCs w:val="16"/>
              </w:rPr>
            </w:pPr>
            <w:r>
              <w:rPr>
                <w:b/>
                <w:sz w:val="16"/>
                <w:szCs w:val="16"/>
              </w:rPr>
              <w:t> </w:t>
            </w:r>
          </w:p>
        </w:tc>
        <w:tc>
          <w:tcPr>
            <w:tcW w:w="1021" w:type="dxa"/>
            <w:tcBorders>
              <w:top w:val="single" w:sz="4" w:space="0" w:color="000000"/>
            </w:tcBorders>
            <w:vAlign w:val="bottom"/>
          </w:tcPr>
          <w:p w14:paraId="214B3D27"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4" w:space="0" w:color="000000"/>
            </w:tcBorders>
            <w:vAlign w:val="bottom"/>
          </w:tcPr>
          <w:p w14:paraId="5E75D250"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4" w:space="0" w:color="000000"/>
            </w:tcBorders>
            <w:vAlign w:val="bottom"/>
          </w:tcPr>
          <w:p w14:paraId="69123C66"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4" w:space="0" w:color="000000"/>
            </w:tcBorders>
            <w:vAlign w:val="bottom"/>
          </w:tcPr>
          <w:p w14:paraId="7BA40020"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4" w:space="0" w:color="000000"/>
            </w:tcBorders>
            <w:vAlign w:val="bottom"/>
          </w:tcPr>
          <w:p w14:paraId="5DA5BB1E"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4" w:space="0" w:color="000000"/>
            </w:tcBorders>
            <w:vAlign w:val="bottom"/>
          </w:tcPr>
          <w:p w14:paraId="3A085287"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0D585894" w14:textId="77777777">
        <w:trPr>
          <w:cantSplit/>
        </w:trPr>
        <w:tc>
          <w:tcPr>
            <w:tcW w:w="3231" w:type="dxa"/>
            <w:vAlign w:val="bottom"/>
          </w:tcPr>
          <w:p w14:paraId="41E9F986" w14:textId="77777777" w:rsidR="008E5DE4" w:rsidRDefault="00780368">
            <w:pPr>
              <w:widowControl w:val="0"/>
              <w:pBdr>
                <w:top w:val="nil"/>
                <w:left w:val="nil"/>
                <w:bottom w:val="nil"/>
                <w:right w:val="nil"/>
                <w:between w:val="nil"/>
              </w:pBdr>
              <w:ind w:left="113" w:right="-57" w:hanging="113"/>
              <w:rPr>
                <w:b/>
                <w:color w:val="000000"/>
                <w:sz w:val="16"/>
                <w:szCs w:val="16"/>
              </w:rPr>
            </w:pPr>
            <w:r>
              <w:rPr>
                <w:b/>
                <w:color w:val="000000"/>
                <w:sz w:val="16"/>
                <w:szCs w:val="16"/>
              </w:rPr>
              <w:t>Total potential cash outflows</w:t>
            </w:r>
          </w:p>
        </w:tc>
        <w:tc>
          <w:tcPr>
            <w:tcW w:w="1021" w:type="dxa"/>
            <w:vAlign w:val="bottom"/>
          </w:tcPr>
          <w:p w14:paraId="48166791"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1E8FF002"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12F73766"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31150026"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0DB37F36"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3A23E015"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5A84595D" w14:textId="77777777">
        <w:trPr>
          <w:cantSplit/>
        </w:trPr>
        <w:tc>
          <w:tcPr>
            <w:tcW w:w="3231" w:type="dxa"/>
            <w:tcBorders>
              <w:bottom w:val="single" w:sz="8" w:space="0" w:color="000000"/>
            </w:tcBorders>
            <w:vAlign w:val="bottom"/>
          </w:tcPr>
          <w:p w14:paraId="114ADC2B" w14:textId="77777777" w:rsidR="008E5DE4" w:rsidRDefault="00780368">
            <w:pPr>
              <w:widowControl w:val="0"/>
              <w:pBdr>
                <w:top w:val="nil"/>
                <w:left w:val="nil"/>
                <w:bottom w:val="nil"/>
                <w:right w:val="nil"/>
                <w:between w:val="nil"/>
              </w:pBdr>
              <w:ind w:left="113" w:right="-57" w:hanging="113"/>
              <w:rPr>
                <w:b/>
                <w:color w:val="000000"/>
                <w:sz w:val="16"/>
                <w:szCs w:val="16"/>
              </w:rPr>
            </w:pPr>
            <w:r>
              <w:rPr>
                <w:color w:val="000000"/>
                <w:sz w:val="16"/>
                <w:szCs w:val="16"/>
              </w:rPr>
              <w:t> </w:t>
            </w:r>
          </w:p>
        </w:tc>
        <w:tc>
          <w:tcPr>
            <w:tcW w:w="1021" w:type="dxa"/>
            <w:tcBorders>
              <w:bottom w:val="single" w:sz="8" w:space="0" w:color="000000"/>
            </w:tcBorders>
            <w:vAlign w:val="bottom"/>
          </w:tcPr>
          <w:p w14:paraId="7FED0C26"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43F8064A"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1D1621B9"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75186BB4"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44E8CCC1"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3203E566"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5A2746AF" w14:textId="77777777">
        <w:trPr>
          <w:cantSplit/>
        </w:trPr>
        <w:tc>
          <w:tcPr>
            <w:tcW w:w="3231" w:type="dxa"/>
            <w:tcBorders>
              <w:top w:val="single" w:sz="8" w:space="0" w:color="000000"/>
            </w:tcBorders>
            <w:vAlign w:val="bottom"/>
          </w:tcPr>
          <w:p w14:paraId="2265206D" w14:textId="77777777" w:rsidR="008E5DE4" w:rsidRDefault="00780368">
            <w:pPr>
              <w:widowControl w:val="0"/>
              <w:pBdr>
                <w:top w:val="nil"/>
                <w:left w:val="nil"/>
                <w:bottom w:val="nil"/>
                <w:right w:val="nil"/>
                <w:between w:val="nil"/>
              </w:pBdr>
              <w:ind w:left="113" w:right="-57" w:hanging="113"/>
              <w:rPr>
                <w:b/>
                <w:color w:val="000000"/>
                <w:sz w:val="16"/>
                <w:szCs w:val="16"/>
              </w:rPr>
            </w:pPr>
            <w:r>
              <w:rPr>
                <w:color w:val="000000"/>
                <w:sz w:val="16"/>
                <w:szCs w:val="16"/>
              </w:rPr>
              <w:t> </w:t>
            </w:r>
          </w:p>
        </w:tc>
        <w:tc>
          <w:tcPr>
            <w:tcW w:w="1021" w:type="dxa"/>
            <w:tcBorders>
              <w:top w:val="single" w:sz="8" w:space="0" w:color="000000"/>
            </w:tcBorders>
            <w:vAlign w:val="bottom"/>
          </w:tcPr>
          <w:p w14:paraId="1C99AEB2"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4ECFA5E0"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0F1B5998"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2748E02E"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31CD14E3"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23A70994"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2B9CCFE1" w14:textId="77777777">
        <w:trPr>
          <w:cantSplit/>
        </w:trPr>
        <w:tc>
          <w:tcPr>
            <w:tcW w:w="3231" w:type="dxa"/>
            <w:vAlign w:val="bottom"/>
          </w:tcPr>
          <w:p w14:paraId="2FCF9233" w14:textId="24B02314" w:rsidR="008E5DE4" w:rsidRDefault="00780368">
            <w:pPr>
              <w:widowControl w:val="0"/>
              <w:pBdr>
                <w:top w:val="nil"/>
                <w:left w:val="nil"/>
                <w:bottom w:val="nil"/>
                <w:right w:val="nil"/>
                <w:between w:val="nil"/>
              </w:pBdr>
              <w:ind w:left="113" w:right="-57" w:hanging="113"/>
              <w:rPr>
                <w:b/>
                <w:color w:val="000000"/>
                <w:sz w:val="16"/>
                <w:szCs w:val="16"/>
              </w:rPr>
            </w:pPr>
            <w:proofErr w:type="gramStart"/>
            <w:r>
              <w:rPr>
                <w:b/>
                <w:color w:val="000000"/>
                <w:sz w:val="16"/>
                <w:szCs w:val="16"/>
              </w:rPr>
              <w:t>At</w:t>
            </w:r>
            <w:proofErr w:type="gramEnd"/>
            <w:r>
              <w:rPr>
                <w:b/>
                <w:color w:val="000000"/>
                <w:sz w:val="16"/>
                <w:szCs w:val="16"/>
              </w:rPr>
              <w:t xml:space="preserve"> 31 December </w:t>
            </w:r>
            <w:r w:rsidR="00E06A92">
              <w:rPr>
                <w:b/>
                <w:color w:val="000000"/>
                <w:sz w:val="16"/>
                <w:szCs w:val="16"/>
              </w:rPr>
              <w:t>2024</w:t>
            </w:r>
          </w:p>
        </w:tc>
        <w:tc>
          <w:tcPr>
            <w:tcW w:w="1021" w:type="dxa"/>
            <w:vAlign w:val="bottom"/>
          </w:tcPr>
          <w:p w14:paraId="49287436"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2FFF129C"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6779C017"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44CB0EE4"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3D07272E"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5676EE32"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47E49C00" w14:textId="77777777">
        <w:trPr>
          <w:cantSplit/>
        </w:trPr>
        <w:tc>
          <w:tcPr>
            <w:tcW w:w="3231" w:type="dxa"/>
            <w:vAlign w:val="bottom"/>
          </w:tcPr>
          <w:p w14:paraId="39DFAACD" w14:textId="77777777" w:rsidR="008E5DE4" w:rsidRDefault="00780368">
            <w:pPr>
              <w:widowControl w:val="0"/>
              <w:pBdr>
                <w:top w:val="nil"/>
                <w:left w:val="nil"/>
                <w:bottom w:val="nil"/>
                <w:right w:val="nil"/>
                <w:between w:val="nil"/>
              </w:pBdr>
              <w:ind w:left="113" w:right="-57" w:hanging="113"/>
              <w:rPr>
                <w:b/>
                <w:color w:val="000000"/>
                <w:sz w:val="16"/>
                <w:szCs w:val="16"/>
              </w:rPr>
            </w:pPr>
            <w:r>
              <w:rPr>
                <w:color w:val="000000"/>
                <w:sz w:val="16"/>
                <w:szCs w:val="16"/>
              </w:rPr>
              <w:t> </w:t>
            </w:r>
          </w:p>
        </w:tc>
        <w:tc>
          <w:tcPr>
            <w:tcW w:w="1021" w:type="dxa"/>
            <w:vAlign w:val="bottom"/>
          </w:tcPr>
          <w:p w14:paraId="54A85FED"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5A74DEB0"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508FECBD"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3C79F098"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2D0FBA35"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4F674591" w14:textId="77777777" w:rsidR="008E5DE4" w:rsidRDefault="008E5DE4">
            <w:pPr>
              <w:widowControl w:val="0"/>
              <w:pBdr>
                <w:top w:val="nil"/>
                <w:left w:val="nil"/>
                <w:bottom w:val="nil"/>
                <w:right w:val="nil"/>
                <w:between w:val="nil"/>
              </w:pBdr>
              <w:jc w:val="right"/>
              <w:rPr>
                <w:b/>
                <w:color w:val="000000"/>
                <w:sz w:val="16"/>
                <w:szCs w:val="16"/>
              </w:rPr>
            </w:pPr>
          </w:p>
        </w:tc>
      </w:tr>
      <w:tr w:rsidR="00FA3B9A" w14:paraId="07EFF35C" w14:textId="77777777">
        <w:trPr>
          <w:cantSplit/>
        </w:trPr>
        <w:tc>
          <w:tcPr>
            <w:tcW w:w="3231" w:type="dxa"/>
            <w:vAlign w:val="bottom"/>
          </w:tcPr>
          <w:p w14:paraId="28417B0D" w14:textId="42D82407" w:rsidR="00FA3B9A" w:rsidRDefault="00FA3B9A" w:rsidP="00FA3B9A">
            <w:pPr>
              <w:widowControl w:val="0"/>
              <w:pBdr>
                <w:top w:val="nil"/>
                <w:left w:val="nil"/>
                <w:bottom w:val="nil"/>
                <w:right w:val="nil"/>
                <w:between w:val="nil"/>
              </w:pBdr>
              <w:ind w:left="113" w:right="-57" w:hanging="113"/>
              <w:rPr>
                <w:b/>
                <w:color w:val="000000"/>
                <w:sz w:val="16"/>
                <w:szCs w:val="16"/>
              </w:rPr>
            </w:pPr>
            <w:r>
              <w:rPr>
                <w:color w:val="0000FF"/>
                <w:sz w:val="16"/>
                <w:szCs w:val="16"/>
              </w:rPr>
              <w:t>[Written put options]</w:t>
            </w:r>
          </w:p>
        </w:tc>
        <w:tc>
          <w:tcPr>
            <w:tcW w:w="1021" w:type="dxa"/>
            <w:vAlign w:val="bottom"/>
          </w:tcPr>
          <w:p w14:paraId="731A6D66"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57E3CD6D"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594CB3AD"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6E95CEF5"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0431886A"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7B4B0446" w14:textId="77777777" w:rsidR="00FA3B9A" w:rsidRDefault="00FA3B9A" w:rsidP="00FA3B9A">
            <w:pPr>
              <w:widowControl w:val="0"/>
              <w:pBdr>
                <w:top w:val="nil"/>
                <w:left w:val="nil"/>
                <w:bottom w:val="nil"/>
                <w:right w:val="nil"/>
                <w:between w:val="nil"/>
              </w:pBdr>
              <w:jc w:val="right"/>
              <w:rPr>
                <w:b/>
                <w:color w:val="000000"/>
                <w:sz w:val="16"/>
                <w:szCs w:val="16"/>
              </w:rPr>
            </w:pPr>
          </w:p>
        </w:tc>
      </w:tr>
      <w:tr w:rsidR="00FA3B9A" w14:paraId="33E2D465" w14:textId="77777777">
        <w:trPr>
          <w:cantSplit/>
        </w:trPr>
        <w:tc>
          <w:tcPr>
            <w:tcW w:w="3231" w:type="dxa"/>
            <w:vAlign w:val="bottom"/>
          </w:tcPr>
          <w:p w14:paraId="1B57C2B4" w14:textId="67CE27B4" w:rsidR="00FA3B9A" w:rsidRDefault="00FA3B9A" w:rsidP="00FA3B9A">
            <w:pPr>
              <w:widowControl w:val="0"/>
              <w:pBdr>
                <w:top w:val="nil"/>
                <w:left w:val="nil"/>
                <w:bottom w:val="nil"/>
                <w:right w:val="nil"/>
                <w:between w:val="nil"/>
              </w:pBdr>
              <w:ind w:left="113" w:right="-57" w:hanging="113"/>
              <w:rPr>
                <w:color w:val="000000"/>
                <w:sz w:val="16"/>
                <w:szCs w:val="16"/>
              </w:rPr>
            </w:pPr>
            <w:r>
              <w:rPr>
                <w:color w:val="0000FF"/>
                <w:sz w:val="16"/>
                <w:szCs w:val="16"/>
              </w:rPr>
              <w:t>[Purchased call options]</w:t>
            </w:r>
          </w:p>
        </w:tc>
        <w:tc>
          <w:tcPr>
            <w:tcW w:w="1021" w:type="dxa"/>
            <w:vAlign w:val="bottom"/>
          </w:tcPr>
          <w:p w14:paraId="10D5224D"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5B918C35"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79BCBBD8"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587F5191"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27690A82" w14:textId="77777777" w:rsidR="00FA3B9A" w:rsidRDefault="00FA3B9A" w:rsidP="00FA3B9A">
            <w:pPr>
              <w:widowControl w:val="0"/>
              <w:pBdr>
                <w:top w:val="nil"/>
                <w:left w:val="nil"/>
                <w:bottom w:val="nil"/>
                <w:right w:val="nil"/>
                <w:between w:val="nil"/>
              </w:pBdr>
              <w:jc w:val="right"/>
              <w:rPr>
                <w:b/>
                <w:color w:val="000000"/>
                <w:sz w:val="16"/>
                <w:szCs w:val="16"/>
              </w:rPr>
            </w:pPr>
          </w:p>
        </w:tc>
        <w:tc>
          <w:tcPr>
            <w:tcW w:w="1021" w:type="dxa"/>
            <w:vAlign w:val="bottom"/>
          </w:tcPr>
          <w:p w14:paraId="03C4E71C" w14:textId="77777777" w:rsidR="00FA3B9A" w:rsidRDefault="00FA3B9A" w:rsidP="00FA3B9A">
            <w:pPr>
              <w:widowControl w:val="0"/>
              <w:pBdr>
                <w:top w:val="nil"/>
                <w:left w:val="nil"/>
                <w:bottom w:val="nil"/>
                <w:right w:val="nil"/>
                <w:between w:val="nil"/>
              </w:pBdr>
              <w:jc w:val="right"/>
              <w:rPr>
                <w:b/>
                <w:color w:val="000000"/>
                <w:sz w:val="16"/>
                <w:szCs w:val="16"/>
              </w:rPr>
            </w:pPr>
          </w:p>
        </w:tc>
      </w:tr>
      <w:tr w:rsidR="008E5DE4" w14:paraId="67DE29CD" w14:textId="77777777">
        <w:trPr>
          <w:cantSplit/>
        </w:trPr>
        <w:tc>
          <w:tcPr>
            <w:tcW w:w="3231" w:type="dxa"/>
            <w:vAlign w:val="bottom"/>
          </w:tcPr>
          <w:p w14:paraId="1FFAFB83"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Late payment risk guarantee</w:t>
            </w:r>
          </w:p>
        </w:tc>
        <w:tc>
          <w:tcPr>
            <w:tcW w:w="1021" w:type="dxa"/>
            <w:vAlign w:val="bottom"/>
          </w:tcPr>
          <w:p w14:paraId="7A8F9BBD"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7256A8FA"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019D80D3"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1263D7D3"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1B5B83D6"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20DD60FA"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12339E2E" w14:textId="77777777">
        <w:trPr>
          <w:cantSplit/>
        </w:trPr>
        <w:tc>
          <w:tcPr>
            <w:tcW w:w="3231" w:type="dxa"/>
            <w:tcBorders>
              <w:bottom w:val="single" w:sz="8" w:space="0" w:color="000000"/>
            </w:tcBorders>
            <w:vAlign w:val="bottom"/>
          </w:tcPr>
          <w:p w14:paraId="50F690E6"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1021" w:type="dxa"/>
            <w:tcBorders>
              <w:bottom w:val="single" w:sz="8" w:space="0" w:color="000000"/>
            </w:tcBorders>
            <w:vAlign w:val="bottom"/>
          </w:tcPr>
          <w:p w14:paraId="1E21AD9C"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0D0DFC49"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6C94425A"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0EC25BA1"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5141D660"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8" w:space="0" w:color="000000"/>
            </w:tcBorders>
            <w:vAlign w:val="bottom"/>
          </w:tcPr>
          <w:p w14:paraId="65CA0521"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585BBE64" w14:textId="77777777">
        <w:trPr>
          <w:cantSplit/>
        </w:trPr>
        <w:tc>
          <w:tcPr>
            <w:tcW w:w="3231" w:type="dxa"/>
            <w:tcBorders>
              <w:top w:val="single" w:sz="8" w:space="0" w:color="000000"/>
            </w:tcBorders>
            <w:vAlign w:val="bottom"/>
          </w:tcPr>
          <w:p w14:paraId="6148005C"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1021" w:type="dxa"/>
            <w:tcBorders>
              <w:top w:val="single" w:sz="8" w:space="0" w:color="000000"/>
            </w:tcBorders>
            <w:vAlign w:val="bottom"/>
          </w:tcPr>
          <w:p w14:paraId="2242A55C"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71CE8F63"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1C5FC86C"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219889AA"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73E5FB99"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top w:val="single" w:sz="8" w:space="0" w:color="000000"/>
            </w:tcBorders>
            <w:vAlign w:val="bottom"/>
          </w:tcPr>
          <w:p w14:paraId="58F2094D"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1EF4D4E2" w14:textId="77777777">
        <w:trPr>
          <w:cantSplit/>
        </w:trPr>
        <w:tc>
          <w:tcPr>
            <w:tcW w:w="3231" w:type="dxa"/>
            <w:vAlign w:val="bottom"/>
          </w:tcPr>
          <w:p w14:paraId="52A3DFFD"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Total potential cash outflows</w:t>
            </w:r>
          </w:p>
        </w:tc>
        <w:tc>
          <w:tcPr>
            <w:tcW w:w="1021" w:type="dxa"/>
            <w:vAlign w:val="bottom"/>
          </w:tcPr>
          <w:p w14:paraId="73D4C8B2"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4524420F"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1B071AC9"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7A9B429E"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3157B10B"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vAlign w:val="bottom"/>
          </w:tcPr>
          <w:p w14:paraId="0C2FC067"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563FD240" w14:textId="77777777">
        <w:trPr>
          <w:cantSplit/>
        </w:trPr>
        <w:tc>
          <w:tcPr>
            <w:tcW w:w="3231" w:type="dxa"/>
            <w:tcBorders>
              <w:bottom w:val="single" w:sz="12" w:space="0" w:color="000000"/>
            </w:tcBorders>
            <w:vAlign w:val="bottom"/>
          </w:tcPr>
          <w:p w14:paraId="3197B50C" w14:textId="77777777" w:rsidR="008E5DE4" w:rsidRDefault="00780368">
            <w:pPr>
              <w:widowControl w:val="0"/>
              <w:pBdr>
                <w:top w:val="nil"/>
                <w:left w:val="nil"/>
                <w:bottom w:val="nil"/>
                <w:right w:val="nil"/>
                <w:between w:val="nil"/>
              </w:pBdr>
              <w:ind w:left="113" w:right="-57" w:hanging="113"/>
              <w:rPr>
                <w:b/>
                <w:color w:val="000000"/>
                <w:sz w:val="16"/>
                <w:szCs w:val="16"/>
              </w:rPr>
            </w:pPr>
            <w:r>
              <w:rPr>
                <w:color w:val="000000"/>
                <w:sz w:val="16"/>
                <w:szCs w:val="16"/>
              </w:rPr>
              <w:t> </w:t>
            </w:r>
          </w:p>
        </w:tc>
        <w:tc>
          <w:tcPr>
            <w:tcW w:w="1021" w:type="dxa"/>
            <w:tcBorders>
              <w:bottom w:val="single" w:sz="12" w:space="0" w:color="000000"/>
            </w:tcBorders>
            <w:vAlign w:val="bottom"/>
          </w:tcPr>
          <w:p w14:paraId="24096A1F"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12" w:space="0" w:color="000000"/>
            </w:tcBorders>
            <w:vAlign w:val="bottom"/>
          </w:tcPr>
          <w:p w14:paraId="1838FC29"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12" w:space="0" w:color="000000"/>
            </w:tcBorders>
            <w:vAlign w:val="bottom"/>
          </w:tcPr>
          <w:p w14:paraId="5D2E5CA7"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12" w:space="0" w:color="000000"/>
            </w:tcBorders>
            <w:vAlign w:val="bottom"/>
          </w:tcPr>
          <w:p w14:paraId="56A54F81"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12" w:space="0" w:color="000000"/>
            </w:tcBorders>
            <w:vAlign w:val="bottom"/>
          </w:tcPr>
          <w:p w14:paraId="1EE7E3BA" w14:textId="77777777" w:rsidR="008E5DE4" w:rsidRDefault="008E5DE4">
            <w:pPr>
              <w:widowControl w:val="0"/>
              <w:pBdr>
                <w:top w:val="nil"/>
                <w:left w:val="nil"/>
                <w:bottom w:val="nil"/>
                <w:right w:val="nil"/>
                <w:between w:val="nil"/>
              </w:pBdr>
              <w:jc w:val="right"/>
              <w:rPr>
                <w:b/>
                <w:color w:val="000000"/>
                <w:sz w:val="16"/>
                <w:szCs w:val="16"/>
              </w:rPr>
            </w:pPr>
          </w:p>
        </w:tc>
        <w:tc>
          <w:tcPr>
            <w:tcW w:w="1021" w:type="dxa"/>
            <w:tcBorders>
              <w:bottom w:val="single" w:sz="12" w:space="0" w:color="000000"/>
            </w:tcBorders>
            <w:vAlign w:val="bottom"/>
          </w:tcPr>
          <w:p w14:paraId="41182492" w14:textId="77777777" w:rsidR="008E5DE4" w:rsidRDefault="008E5DE4">
            <w:pPr>
              <w:widowControl w:val="0"/>
              <w:pBdr>
                <w:top w:val="nil"/>
                <w:left w:val="nil"/>
                <w:bottom w:val="nil"/>
                <w:right w:val="nil"/>
                <w:between w:val="nil"/>
              </w:pBdr>
              <w:jc w:val="right"/>
              <w:rPr>
                <w:b/>
                <w:color w:val="000000"/>
                <w:sz w:val="16"/>
                <w:szCs w:val="16"/>
              </w:rPr>
            </w:pPr>
          </w:p>
        </w:tc>
      </w:tr>
    </w:tbl>
    <w:p w14:paraId="6971B997"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44</w:t>
      </w:r>
      <w:r>
        <w:rPr>
          <w:b/>
          <w:color w:val="000000"/>
          <w:sz w:val="20"/>
          <w:szCs w:val="20"/>
        </w:rPr>
        <w:tab/>
        <w:t>Transfers of Financial Assets (Continued)</w:t>
      </w:r>
    </w:p>
    <w:p w14:paraId="4AE9B59D" w14:textId="77777777" w:rsidR="008E5DE4" w:rsidRDefault="00780368">
      <w:pPr>
        <w:widowControl w:val="0"/>
        <w:spacing w:before="200" w:after="200" w:line="228" w:lineRule="auto"/>
        <w:jc w:val="both"/>
        <w:rPr>
          <w:b/>
          <w:i/>
          <w:sz w:val="20"/>
          <w:szCs w:val="20"/>
        </w:rPr>
      </w:pPr>
      <w:r>
        <w:rPr>
          <w:sz w:val="20"/>
          <w:szCs w:val="20"/>
        </w:rPr>
        <w:t xml:space="preserve">The following schedule presents gains less losses recognised on the date of transfer, subsequent gains or losses recognised on the continuing involvement and the cumulative amount of the gains or losses. The analysis is provided by type of continuing involvement. </w:t>
      </w:r>
    </w:p>
    <w:tbl>
      <w:tblPr>
        <w:tblStyle w:val="affffffffffff9"/>
        <w:tblW w:w="9354" w:type="dxa"/>
        <w:tblLayout w:type="fixed"/>
        <w:tblLook w:val="0000" w:firstRow="0" w:lastRow="0" w:firstColumn="0" w:lastColumn="0" w:noHBand="0" w:noVBand="0"/>
      </w:tblPr>
      <w:tblGrid>
        <w:gridCol w:w="2550"/>
        <w:gridCol w:w="1134"/>
        <w:gridCol w:w="1134"/>
        <w:gridCol w:w="1134"/>
        <w:gridCol w:w="1134"/>
        <w:gridCol w:w="1134"/>
        <w:gridCol w:w="1134"/>
      </w:tblGrid>
      <w:tr w:rsidR="008E5DE4" w14:paraId="59AFEA2C" w14:textId="77777777">
        <w:trPr>
          <w:cantSplit/>
        </w:trPr>
        <w:tc>
          <w:tcPr>
            <w:tcW w:w="2551" w:type="dxa"/>
            <w:vAlign w:val="bottom"/>
          </w:tcPr>
          <w:p w14:paraId="02E92720" w14:textId="77777777" w:rsidR="008E5DE4" w:rsidRDefault="008E5DE4">
            <w:pPr>
              <w:widowControl w:val="0"/>
              <w:pBdr>
                <w:top w:val="nil"/>
                <w:left w:val="nil"/>
                <w:bottom w:val="nil"/>
                <w:right w:val="nil"/>
                <w:between w:val="nil"/>
              </w:pBdr>
              <w:spacing w:line="228" w:lineRule="auto"/>
              <w:ind w:left="113" w:right="-57" w:hanging="113"/>
              <w:rPr>
                <w:i/>
                <w:color w:val="000000"/>
              </w:rPr>
            </w:pPr>
          </w:p>
        </w:tc>
        <w:tc>
          <w:tcPr>
            <w:tcW w:w="3402" w:type="dxa"/>
            <w:gridSpan w:val="3"/>
            <w:tcBorders>
              <w:bottom w:val="single" w:sz="4" w:space="0" w:color="000000"/>
            </w:tcBorders>
            <w:vAlign w:val="bottom"/>
          </w:tcPr>
          <w:p w14:paraId="458E96FE" w14:textId="3E7615A1" w:rsidR="008E5DE4" w:rsidRDefault="00780368">
            <w:pPr>
              <w:widowControl w:val="0"/>
              <w:pBdr>
                <w:top w:val="nil"/>
                <w:left w:val="nil"/>
                <w:bottom w:val="nil"/>
                <w:right w:val="nil"/>
                <w:between w:val="nil"/>
              </w:pBdr>
              <w:spacing w:line="228" w:lineRule="auto"/>
              <w:jc w:val="center"/>
              <w:rPr>
                <w:color w:val="000000"/>
              </w:rPr>
            </w:pPr>
            <w:r>
              <w:rPr>
                <w:b/>
                <w:color w:val="000000"/>
              </w:rPr>
              <w:t xml:space="preserve">Year ended 31 December </w:t>
            </w:r>
            <w:r w:rsidR="008614F8">
              <w:rPr>
                <w:b/>
                <w:color w:val="000000"/>
              </w:rPr>
              <w:t>2025</w:t>
            </w:r>
          </w:p>
        </w:tc>
        <w:tc>
          <w:tcPr>
            <w:tcW w:w="3402" w:type="dxa"/>
            <w:gridSpan w:val="3"/>
            <w:tcBorders>
              <w:bottom w:val="single" w:sz="4" w:space="0" w:color="000000"/>
            </w:tcBorders>
            <w:vAlign w:val="bottom"/>
          </w:tcPr>
          <w:p w14:paraId="0A437A1A" w14:textId="5674675A" w:rsidR="008E5DE4" w:rsidRDefault="00780368">
            <w:pPr>
              <w:widowControl w:val="0"/>
              <w:pBdr>
                <w:top w:val="nil"/>
                <w:left w:val="nil"/>
                <w:bottom w:val="nil"/>
                <w:right w:val="nil"/>
                <w:between w:val="nil"/>
              </w:pBdr>
              <w:spacing w:line="228" w:lineRule="auto"/>
              <w:jc w:val="center"/>
              <w:rPr>
                <w:b/>
                <w:color w:val="000000"/>
              </w:rPr>
            </w:pPr>
            <w:r>
              <w:rPr>
                <w:b/>
                <w:color w:val="000000"/>
              </w:rPr>
              <w:t xml:space="preserve">Year ended 31 December </w:t>
            </w:r>
            <w:r w:rsidR="00E06A92">
              <w:rPr>
                <w:b/>
                <w:color w:val="000000"/>
              </w:rPr>
              <w:t>2024</w:t>
            </w:r>
          </w:p>
        </w:tc>
      </w:tr>
      <w:tr w:rsidR="008E5DE4" w14:paraId="104FA8DF" w14:textId="77777777">
        <w:trPr>
          <w:cantSplit/>
        </w:trPr>
        <w:tc>
          <w:tcPr>
            <w:tcW w:w="2551" w:type="dxa"/>
            <w:tcBorders>
              <w:bottom w:val="single" w:sz="4" w:space="0" w:color="000000"/>
            </w:tcBorders>
            <w:vAlign w:val="bottom"/>
          </w:tcPr>
          <w:p w14:paraId="4CB772B3"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134" w:type="dxa"/>
            <w:tcBorders>
              <w:top w:val="single" w:sz="4" w:space="0" w:color="000000"/>
              <w:bottom w:val="single" w:sz="4" w:space="0" w:color="000000"/>
            </w:tcBorders>
          </w:tcPr>
          <w:p w14:paraId="34B81944"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The gain or loss recognised at the date of transfer</w:t>
            </w:r>
          </w:p>
        </w:tc>
        <w:tc>
          <w:tcPr>
            <w:tcW w:w="1134" w:type="dxa"/>
            <w:tcBorders>
              <w:top w:val="single" w:sz="4" w:space="0" w:color="000000"/>
              <w:bottom w:val="single" w:sz="4" w:space="0" w:color="000000"/>
            </w:tcBorders>
          </w:tcPr>
          <w:p w14:paraId="15AE102F"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Subsequent gains and losses recognised in the reporting period</w:t>
            </w:r>
          </w:p>
        </w:tc>
        <w:tc>
          <w:tcPr>
            <w:tcW w:w="1134" w:type="dxa"/>
            <w:tcBorders>
              <w:top w:val="single" w:sz="4" w:space="0" w:color="000000"/>
              <w:bottom w:val="single" w:sz="4" w:space="0" w:color="000000"/>
            </w:tcBorders>
          </w:tcPr>
          <w:p w14:paraId="51AFA3AE"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Cumulative amount of gains and losses recognised </w:t>
            </w:r>
          </w:p>
        </w:tc>
        <w:tc>
          <w:tcPr>
            <w:tcW w:w="1134" w:type="dxa"/>
            <w:tcBorders>
              <w:top w:val="single" w:sz="4" w:space="0" w:color="000000"/>
              <w:bottom w:val="single" w:sz="8" w:space="0" w:color="000000"/>
            </w:tcBorders>
          </w:tcPr>
          <w:p w14:paraId="5A27246C"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The gain or loss recognised at the date of transfer</w:t>
            </w:r>
          </w:p>
        </w:tc>
        <w:tc>
          <w:tcPr>
            <w:tcW w:w="1134" w:type="dxa"/>
            <w:tcBorders>
              <w:top w:val="single" w:sz="4" w:space="0" w:color="000000"/>
              <w:bottom w:val="single" w:sz="8" w:space="0" w:color="000000"/>
            </w:tcBorders>
          </w:tcPr>
          <w:p w14:paraId="2AAD37C0"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Subsequent gains and losses recognised in the reporting period</w:t>
            </w:r>
          </w:p>
        </w:tc>
        <w:tc>
          <w:tcPr>
            <w:tcW w:w="1134" w:type="dxa"/>
            <w:tcBorders>
              <w:top w:val="single" w:sz="4" w:space="0" w:color="000000"/>
              <w:bottom w:val="single" w:sz="8" w:space="0" w:color="000000"/>
            </w:tcBorders>
          </w:tcPr>
          <w:p w14:paraId="52408589"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Cumulative amount of gains and losses recognised </w:t>
            </w:r>
          </w:p>
        </w:tc>
      </w:tr>
      <w:tr w:rsidR="008E5DE4" w14:paraId="0BED06D2" w14:textId="77777777">
        <w:trPr>
          <w:cantSplit/>
        </w:trPr>
        <w:tc>
          <w:tcPr>
            <w:tcW w:w="2551" w:type="dxa"/>
            <w:vAlign w:val="bottom"/>
          </w:tcPr>
          <w:p w14:paraId="5B0E2D28" w14:textId="77777777" w:rsidR="008E5DE4" w:rsidRDefault="00780368">
            <w:pPr>
              <w:widowControl w:val="0"/>
              <w:spacing w:line="228" w:lineRule="auto"/>
              <w:ind w:left="113" w:right="-57" w:hanging="113"/>
              <w:rPr>
                <w:b/>
                <w:sz w:val="12"/>
                <w:szCs w:val="12"/>
              </w:rPr>
            </w:pPr>
            <w:r>
              <w:rPr>
                <w:b/>
                <w:sz w:val="12"/>
                <w:szCs w:val="12"/>
              </w:rPr>
              <w:t> </w:t>
            </w:r>
          </w:p>
        </w:tc>
        <w:tc>
          <w:tcPr>
            <w:tcW w:w="1134" w:type="dxa"/>
            <w:vAlign w:val="bottom"/>
          </w:tcPr>
          <w:p w14:paraId="49E72F92"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1134" w:type="dxa"/>
            <w:tcBorders>
              <w:top w:val="single" w:sz="8" w:space="0" w:color="000000"/>
            </w:tcBorders>
            <w:vAlign w:val="bottom"/>
          </w:tcPr>
          <w:p w14:paraId="4518DE4A"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1134" w:type="dxa"/>
            <w:tcBorders>
              <w:top w:val="single" w:sz="8" w:space="0" w:color="000000"/>
            </w:tcBorders>
            <w:vAlign w:val="bottom"/>
          </w:tcPr>
          <w:p w14:paraId="66148616"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1134" w:type="dxa"/>
            <w:tcBorders>
              <w:top w:val="single" w:sz="8" w:space="0" w:color="000000"/>
            </w:tcBorders>
            <w:vAlign w:val="bottom"/>
          </w:tcPr>
          <w:p w14:paraId="3C68E597"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1134" w:type="dxa"/>
            <w:tcBorders>
              <w:top w:val="single" w:sz="8" w:space="0" w:color="000000"/>
            </w:tcBorders>
            <w:vAlign w:val="bottom"/>
          </w:tcPr>
          <w:p w14:paraId="1F3CA567"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1134" w:type="dxa"/>
            <w:tcBorders>
              <w:top w:val="single" w:sz="8" w:space="0" w:color="000000"/>
            </w:tcBorders>
            <w:vAlign w:val="bottom"/>
          </w:tcPr>
          <w:p w14:paraId="74A22832"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r>
      <w:tr w:rsidR="008E5DE4" w14:paraId="61662540" w14:textId="77777777">
        <w:trPr>
          <w:cantSplit/>
        </w:trPr>
        <w:tc>
          <w:tcPr>
            <w:tcW w:w="2551" w:type="dxa"/>
            <w:vAlign w:val="bottom"/>
          </w:tcPr>
          <w:p w14:paraId="1F2B551F"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FF"/>
              </w:rPr>
              <w:t>[Written put options]</w:t>
            </w:r>
          </w:p>
        </w:tc>
        <w:tc>
          <w:tcPr>
            <w:tcW w:w="1134" w:type="dxa"/>
            <w:vAlign w:val="bottom"/>
          </w:tcPr>
          <w:p w14:paraId="5C6D4DE4"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6852168B"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3037AFDC"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63624AD5"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4CDDCB42"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73CB82CF"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58209E9B" w14:textId="77777777">
        <w:trPr>
          <w:cantSplit/>
        </w:trPr>
        <w:tc>
          <w:tcPr>
            <w:tcW w:w="2551" w:type="dxa"/>
            <w:vAlign w:val="bottom"/>
          </w:tcPr>
          <w:p w14:paraId="26AFF160" w14:textId="77777777" w:rsidR="008E5DE4" w:rsidRDefault="00780368">
            <w:pPr>
              <w:widowControl w:val="0"/>
              <w:pBdr>
                <w:top w:val="nil"/>
                <w:left w:val="nil"/>
                <w:bottom w:val="nil"/>
                <w:right w:val="nil"/>
                <w:between w:val="nil"/>
              </w:pBdr>
              <w:spacing w:line="228" w:lineRule="auto"/>
              <w:ind w:left="113" w:right="-57" w:hanging="113"/>
              <w:rPr>
                <w:color w:val="0000FF"/>
              </w:rPr>
            </w:pPr>
            <w:r>
              <w:rPr>
                <w:color w:val="0000FF"/>
              </w:rPr>
              <w:t>[Purchased call options]</w:t>
            </w:r>
          </w:p>
        </w:tc>
        <w:tc>
          <w:tcPr>
            <w:tcW w:w="1134" w:type="dxa"/>
            <w:vAlign w:val="bottom"/>
          </w:tcPr>
          <w:p w14:paraId="46CBC3A5"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121D6DA1"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0E03876B"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386EC3C0"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0C587937"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392EEC00"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3397CC2B" w14:textId="77777777">
        <w:trPr>
          <w:cantSplit/>
        </w:trPr>
        <w:tc>
          <w:tcPr>
            <w:tcW w:w="2551" w:type="dxa"/>
            <w:vAlign w:val="bottom"/>
          </w:tcPr>
          <w:p w14:paraId="76717BA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Late payment risk guarantee</w:t>
            </w:r>
          </w:p>
        </w:tc>
        <w:tc>
          <w:tcPr>
            <w:tcW w:w="1134" w:type="dxa"/>
            <w:vAlign w:val="bottom"/>
          </w:tcPr>
          <w:p w14:paraId="7AA152E3"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19F5C8AD"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05205238"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43FED8C1"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22CE369D"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5C11D7FC"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1B413D51" w14:textId="77777777">
        <w:trPr>
          <w:cantSplit/>
        </w:trPr>
        <w:tc>
          <w:tcPr>
            <w:tcW w:w="2551" w:type="dxa"/>
            <w:tcBorders>
              <w:bottom w:val="single" w:sz="4" w:space="0" w:color="000000"/>
            </w:tcBorders>
            <w:vAlign w:val="bottom"/>
          </w:tcPr>
          <w:p w14:paraId="61805D7E" w14:textId="77777777" w:rsidR="008E5DE4" w:rsidRDefault="00780368">
            <w:pPr>
              <w:widowControl w:val="0"/>
              <w:pBdr>
                <w:top w:val="nil"/>
                <w:left w:val="nil"/>
                <w:bottom w:val="nil"/>
                <w:right w:val="nil"/>
                <w:between w:val="nil"/>
              </w:pBdr>
              <w:spacing w:line="228" w:lineRule="auto"/>
              <w:ind w:left="113" w:right="-57" w:hanging="113"/>
              <w:rPr>
                <w:b/>
                <w:color w:val="000000"/>
                <w:sz w:val="12"/>
                <w:szCs w:val="12"/>
              </w:rPr>
            </w:pPr>
            <w:r>
              <w:rPr>
                <w:color w:val="000000"/>
                <w:sz w:val="12"/>
                <w:szCs w:val="12"/>
              </w:rPr>
              <w:t> </w:t>
            </w:r>
          </w:p>
        </w:tc>
        <w:tc>
          <w:tcPr>
            <w:tcW w:w="1134" w:type="dxa"/>
            <w:tcBorders>
              <w:bottom w:val="single" w:sz="4" w:space="0" w:color="000000"/>
            </w:tcBorders>
            <w:vAlign w:val="bottom"/>
          </w:tcPr>
          <w:p w14:paraId="148F9CBE"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4" w:space="0" w:color="000000"/>
            </w:tcBorders>
            <w:vAlign w:val="bottom"/>
          </w:tcPr>
          <w:p w14:paraId="647CE310"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4" w:space="0" w:color="000000"/>
            </w:tcBorders>
            <w:vAlign w:val="bottom"/>
          </w:tcPr>
          <w:p w14:paraId="261FC5F0"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8" w:space="0" w:color="000000"/>
            </w:tcBorders>
            <w:vAlign w:val="bottom"/>
          </w:tcPr>
          <w:p w14:paraId="2BF95BF5"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8" w:space="0" w:color="000000"/>
            </w:tcBorders>
            <w:vAlign w:val="bottom"/>
          </w:tcPr>
          <w:p w14:paraId="1849A2B1"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8" w:space="0" w:color="000000"/>
            </w:tcBorders>
            <w:vAlign w:val="bottom"/>
          </w:tcPr>
          <w:p w14:paraId="5BF32E3A"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r>
      <w:tr w:rsidR="008E5DE4" w14:paraId="576F18AA" w14:textId="77777777">
        <w:trPr>
          <w:cantSplit/>
        </w:trPr>
        <w:tc>
          <w:tcPr>
            <w:tcW w:w="2551" w:type="dxa"/>
            <w:tcBorders>
              <w:top w:val="single" w:sz="4" w:space="0" w:color="000000"/>
            </w:tcBorders>
            <w:vAlign w:val="bottom"/>
          </w:tcPr>
          <w:p w14:paraId="30DA0286" w14:textId="77777777" w:rsidR="008E5DE4" w:rsidRDefault="00780368">
            <w:pPr>
              <w:widowControl w:val="0"/>
              <w:spacing w:line="228" w:lineRule="auto"/>
              <w:ind w:left="113" w:right="-57" w:hanging="113"/>
              <w:rPr>
                <w:sz w:val="12"/>
                <w:szCs w:val="12"/>
              </w:rPr>
            </w:pPr>
            <w:r>
              <w:rPr>
                <w:b/>
                <w:sz w:val="12"/>
                <w:szCs w:val="12"/>
              </w:rPr>
              <w:t> </w:t>
            </w:r>
          </w:p>
        </w:tc>
        <w:tc>
          <w:tcPr>
            <w:tcW w:w="1134" w:type="dxa"/>
            <w:tcBorders>
              <w:top w:val="single" w:sz="4" w:space="0" w:color="000000"/>
            </w:tcBorders>
            <w:vAlign w:val="bottom"/>
          </w:tcPr>
          <w:p w14:paraId="369FAE10"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top w:val="single" w:sz="4" w:space="0" w:color="000000"/>
            </w:tcBorders>
            <w:vAlign w:val="bottom"/>
          </w:tcPr>
          <w:p w14:paraId="26E57E6C"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top w:val="single" w:sz="4" w:space="0" w:color="000000"/>
            </w:tcBorders>
            <w:vAlign w:val="bottom"/>
          </w:tcPr>
          <w:p w14:paraId="4D2FAA35"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top w:val="single" w:sz="8" w:space="0" w:color="000000"/>
            </w:tcBorders>
            <w:vAlign w:val="bottom"/>
          </w:tcPr>
          <w:p w14:paraId="38A19D34"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top w:val="single" w:sz="8" w:space="0" w:color="000000"/>
            </w:tcBorders>
            <w:vAlign w:val="bottom"/>
          </w:tcPr>
          <w:p w14:paraId="2B18A796"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top w:val="single" w:sz="8" w:space="0" w:color="000000"/>
            </w:tcBorders>
            <w:vAlign w:val="bottom"/>
          </w:tcPr>
          <w:p w14:paraId="6BE1FB35"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r>
      <w:tr w:rsidR="008E5DE4" w14:paraId="075037F6" w14:textId="77777777">
        <w:trPr>
          <w:cantSplit/>
        </w:trPr>
        <w:tc>
          <w:tcPr>
            <w:tcW w:w="2551" w:type="dxa"/>
            <w:vAlign w:val="bottom"/>
          </w:tcPr>
          <w:p w14:paraId="5C1207B3"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Total</w:t>
            </w:r>
          </w:p>
        </w:tc>
        <w:tc>
          <w:tcPr>
            <w:tcW w:w="1134" w:type="dxa"/>
            <w:vAlign w:val="bottom"/>
          </w:tcPr>
          <w:p w14:paraId="3ABE44FB"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30691AB1"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4B31B30B"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4CAE966B"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60CD7683" w14:textId="77777777" w:rsidR="008E5DE4" w:rsidRDefault="008E5DE4">
            <w:pPr>
              <w:widowControl w:val="0"/>
              <w:pBdr>
                <w:top w:val="nil"/>
                <w:left w:val="nil"/>
                <w:bottom w:val="nil"/>
                <w:right w:val="nil"/>
                <w:between w:val="nil"/>
              </w:pBdr>
              <w:spacing w:line="228" w:lineRule="auto"/>
              <w:jc w:val="right"/>
              <w:rPr>
                <w:b/>
                <w:color w:val="000000"/>
              </w:rPr>
            </w:pPr>
          </w:p>
        </w:tc>
        <w:tc>
          <w:tcPr>
            <w:tcW w:w="1134" w:type="dxa"/>
            <w:vAlign w:val="bottom"/>
          </w:tcPr>
          <w:p w14:paraId="45487228"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1920A417" w14:textId="77777777">
        <w:trPr>
          <w:cantSplit/>
        </w:trPr>
        <w:tc>
          <w:tcPr>
            <w:tcW w:w="2551" w:type="dxa"/>
            <w:tcBorders>
              <w:bottom w:val="single" w:sz="12" w:space="0" w:color="000000"/>
            </w:tcBorders>
            <w:vAlign w:val="bottom"/>
          </w:tcPr>
          <w:p w14:paraId="2B7F7A29" w14:textId="77777777" w:rsidR="008E5DE4" w:rsidRDefault="00780368">
            <w:pPr>
              <w:widowControl w:val="0"/>
              <w:spacing w:line="228" w:lineRule="auto"/>
              <w:ind w:left="113" w:right="-57" w:hanging="113"/>
              <w:rPr>
                <w:sz w:val="12"/>
                <w:szCs w:val="12"/>
              </w:rPr>
            </w:pPr>
            <w:r>
              <w:rPr>
                <w:b/>
                <w:sz w:val="12"/>
                <w:szCs w:val="12"/>
              </w:rPr>
              <w:t> </w:t>
            </w:r>
          </w:p>
        </w:tc>
        <w:tc>
          <w:tcPr>
            <w:tcW w:w="1134" w:type="dxa"/>
            <w:tcBorders>
              <w:bottom w:val="single" w:sz="12" w:space="0" w:color="000000"/>
            </w:tcBorders>
            <w:vAlign w:val="bottom"/>
          </w:tcPr>
          <w:p w14:paraId="547E4DA9"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12" w:space="0" w:color="000000"/>
            </w:tcBorders>
            <w:vAlign w:val="bottom"/>
          </w:tcPr>
          <w:p w14:paraId="0C763346"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12" w:space="0" w:color="000000"/>
            </w:tcBorders>
            <w:vAlign w:val="bottom"/>
          </w:tcPr>
          <w:p w14:paraId="2D99C6F8"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12" w:space="0" w:color="000000"/>
            </w:tcBorders>
            <w:vAlign w:val="bottom"/>
          </w:tcPr>
          <w:p w14:paraId="7F72D6F4"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12" w:space="0" w:color="000000"/>
            </w:tcBorders>
            <w:vAlign w:val="bottom"/>
          </w:tcPr>
          <w:p w14:paraId="73AD5E0D"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c>
          <w:tcPr>
            <w:tcW w:w="1134" w:type="dxa"/>
            <w:tcBorders>
              <w:bottom w:val="single" w:sz="12" w:space="0" w:color="000000"/>
            </w:tcBorders>
            <w:vAlign w:val="bottom"/>
          </w:tcPr>
          <w:p w14:paraId="5CFE0C09" w14:textId="77777777" w:rsidR="008E5DE4" w:rsidRDefault="008E5DE4">
            <w:pPr>
              <w:widowControl w:val="0"/>
              <w:pBdr>
                <w:top w:val="nil"/>
                <w:left w:val="nil"/>
                <w:bottom w:val="nil"/>
                <w:right w:val="nil"/>
                <w:between w:val="nil"/>
              </w:pBdr>
              <w:spacing w:line="228" w:lineRule="auto"/>
              <w:jc w:val="right"/>
              <w:rPr>
                <w:b/>
                <w:color w:val="000000"/>
                <w:sz w:val="12"/>
                <w:szCs w:val="12"/>
              </w:rPr>
            </w:pPr>
          </w:p>
        </w:tc>
      </w:tr>
    </w:tbl>
    <w:p w14:paraId="1443D2A3" w14:textId="340D2F7A" w:rsidR="008E5DE4" w:rsidRDefault="00780368">
      <w:pPr>
        <w:widowControl w:val="0"/>
        <w:spacing w:before="200" w:after="200" w:line="228" w:lineRule="auto"/>
        <w:jc w:val="both"/>
        <w:rPr>
          <w:color w:val="FF0000"/>
          <w:sz w:val="20"/>
          <w:szCs w:val="20"/>
        </w:rPr>
      </w:pPr>
      <w:r>
        <w:rPr>
          <w:sz w:val="20"/>
          <w:szCs w:val="20"/>
        </w:rPr>
        <w:t xml:space="preserve"> </w:t>
      </w:r>
      <w:r>
        <w:rPr>
          <w:color w:val="0000FF"/>
          <w:sz w:val="20"/>
          <w:szCs w:val="20"/>
        </w:rPr>
        <w:t xml:space="preserve">[The transfer activity was not evenly distributed during the reporting period. In [month] </w:t>
      </w:r>
      <w:r w:rsidR="008614F8">
        <w:rPr>
          <w:color w:val="0000FF"/>
          <w:sz w:val="20"/>
          <w:szCs w:val="20"/>
        </w:rPr>
        <w:t>2025</w:t>
      </w:r>
      <w:r>
        <w:rPr>
          <w:color w:val="0000FF"/>
          <w:sz w:val="20"/>
          <w:szCs w:val="20"/>
        </w:rPr>
        <w:t xml:space="preserve"> [month </w:t>
      </w:r>
      <w:r w:rsidR="00E06A92">
        <w:rPr>
          <w:color w:val="0000FF"/>
          <w:sz w:val="20"/>
          <w:szCs w:val="20"/>
        </w:rPr>
        <w:t>2024</w:t>
      </w:r>
      <w:r>
        <w:rPr>
          <w:color w:val="0000FF"/>
          <w:sz w:val="20"/>
          <w:szCs w:val="20"/>
        </w:rPr>
        <w:t>], the Group sold a portfolio of [loans] for EUR ____ thousand (</w:t>
      </w:r>
      <w:r w:rsidR="00E06A92">
        <w:rPr>
          <w:color w:val="0000FF"/>
          <w:sz w:val="20"/>
          <w:szCs w:val="20"/>
        </w:rPr>
        <w:t>2024</w:t>
      </w:r>
      <w:r>
        <w:rPr>
          <w:color w:val="0000FF"/>
          <w:sz w:val="20"/>
          <w:szCs w:val="20"/>
        </w:rPr>
        <w:t>:</w:t>
      </w:r>
      <w:r w:rsidR="00FA3B9A">
        <w:rPr>
          <w:color w:val="0000FF"/>
          <w:sz w:val="20"/>
          <w:szCs w:val="20"/>
        </w:rPr>
        <w:t xml:space="preserve"> </w:t>
      </w:r>
      <w:r>
        <w:rPr>
          <w:color w:val="0000FF"/>
          <w:sz w:val="20"/>
          <w:szCs w:val="20"/>
        </w:rPr>
        <w:t>EUR ____ thousand) recognising a net gain of EUR ____ thousand (</w:t>
      </w:r>
      <w:r w:rsidR="00E06A92">
        <w:rPr>
          <w:color w:val="0000FF"/>
          <w:sz w:val="20"/>
          <w:szCs w:val="20"/>
        </w:rPr>
        <w:t>2024</w:t>
      </w:r>
      <w:r>
        <w:rPr>
          <w:color w:val="0000FF"/>
          <w:sz w:val="20"/>
          <w:szCs w:val="20"/>
        </w:rPr>
        <w:t>:</w:t>
      </w:r>
      <w:r w:rsidR="00FA3B9A">
        <w:rPr>
          <w:color w:val="0000FF"/>
          <w:sz w:val="20"/>
          <w:szCs w:val="20"/>
        </w:rPr>
        <w:t xml:space="preserve"> </w:t>
      </w:r>
      <w:r>
        <w:rPr>
          <w:color w:val="0000FF"/>
          <w:sz w:val="20"/>
          <w:szCs w:val="20"/>
        </w:rPr>
        <w:t>EUR ____ thousand). In this transaction, the Group [guaranteed late payment risk up to 30 days by agreeing to pay late payment interest for such period to the purchaser].]</w:t>
      </w:r>
    </w:p>
    <w:p w14:paraId="08F4673F" w14:textId="692D5CE3" w:rsidR="008E5DE4" w:rsidRDefault="00F93586" w:rsidP="007F183E">
      <w:pPr>
        <w:pStyle w:val="Heading1"/>
        <w:numPr>
          <w:ilvl w:val="0"/>
          <w:numId w:val="0"/>
        </w:numPr>
        <w:spacing w:line="228" w:lineRule="auto"/>
        <w:ind w:left="567" w:hanging="567"/>
      </w:pPr>
      <w:bookmarkStart w:id="73" w:name="_Toc149923644"/>
      <w:r>
        <w:t xml:space="preserve">45 </w:t>
      </w:r>
      <w:r>
        <w:tab/>
      </w:r>
      <w:r w:rsidR="00780368">
        <w:t>Offsetting Financial Assets and Financial Liabilities</w:t>
      </w:r>
      <w:bookmarkEnd w:id="73"/>
      <w:r w:rsidR="00780368">
        <w:t xml:space="preserve"> </w:t>
      </w:r>
    </w:p>
    <w:p w14:paraId="23299FEC" w14:textId="1F58923A"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18EAB12D" w14:textId="519C59F3" w:rsidR="008E5DE4" w:rsidRDefault="00780368" w:rsidP="007F183E">
      <w:pPr>
        <w:widowControl w:val="0"/>
        <w:pBdr>
          <w:top w:val="nil"/>
          <w:left w:val="nil"/>
          <w:bottom w:val="nil"/>
          <w:right w:val="nil"/>
          <w:between w:val="nil"/>
        </w:pBdr>
        <w:shd w:val="clear" w:color="auto" w:fill="C6D9F1"/>
        <w:spacing w:before="200" w:after="200"/>
        <w:jc w:val="both"/>
        <w:rPr>
          <w:i/>
          <w:color w:val="FF0000"/>
          <w:sz w:val="20"/>
          <w:szCs w:val="20"/>
        </w:rPr>
      </w:pPr>
      <w:r>
        <w:rPr>
          <w:b/>
          <w:i/>
          <w:color w:val="000000"/>
          <w:sz w:val="20"/>
          <w:szCs w:val="20"/>
        </w:rPr>
        <w:t>Offsetting financial instruments.</w:t>
      </w:r>
      <w:r>
        <w:rPr>
          <w:color w:val="000000"/>
          <w:sz w:val="20"/>
          <w:szCs w:val="20"/>
        </w:rPr>
        <w:t xml:space="preserve"> Financial assets and liabilities are offset and the net amount reported in the consolidated statement of financial position only when there is a legally enforceable right to offset the recognised amounts, and there is an intention to either settle on a net basis, or to realise the asset and settle the liability simultaneously. Such a right of set off (a) must not be contingent on a future event and (b) must be legally enforceable in </w:t>
      </w:r>
      <w:proofErr w:type="gramStart"/>
      <w:r>
        <w:rPr>
          <w:color w:val="000000"/>
          <w:sz w:val="20"/>
          <w:szCs w:val="20"/>
        </w:rPr>
        <w:t>all of</w:t>
      </w:r>
      <w:proofErr w:type="gramEnd"/>
      <w:r>
        <w:rPr>
          <w:color w:val="000000"/>
          <w:sz w:val="20"/>
          <w:szCs w:val="20"/>
        </w:rPr>
        <w:t xml:space="preserve"> the following circumstances: (</w:t>
      </w:r>
      <w:proofErr w:type="spellStart"/>
      <w:r>
        <w:rPr>
          <w:color w:val="000000"/>
          <w:sz w:val="20"/>
          <w:szCs w:val="20"/>
        </w:rPr>
        <w:t>i</w:t>
      </w:r>
      <w:proofErr w:type="spellEnd"/>
      <w:r>
        <w:rPr>
          <w:color w:val="000000"/>
          <w:sz w:val="20"/>
          <w:szCs w:val="20"/>
        </w:rPr>
        <w:t>) in the normal course of business, (ii) in the event of default and (iii) in the event of insolvency or bankruptcy.</w:t>
      </w:r>
    </w:p>
    <w:p w14:paraId="7E9BBC6C" w14:textId="77777777" w:rsidR="008E5DE4" w:rsidRDefault="008E5DE4">
      <w:pPr>
        <w:jc w:val="both"/>
      </w:pPr>
    </w:p>
    <w:p w14:paraId="37987A7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45</w:t>
      </w:r>
      <w:r>
        <w:rPr>
          <w:b/>
          <w:color w:val="000000"/>
          <w:sz w:val="20"/>
          <w:szCs w:val="20"/>
        </w:rPr>
        <w:tab/>
        <w:t>Offsetting Financial Assets and Financial Liabilities (Continued)</w:t>
      </w:r>
    </w:p>
    <w:p w14:paraId="6F9EEB30" w14:textId="1E634DD6"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Financial instruments subject to offsetting, enforceable master netting and similar arrangements are as follows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w:t>
      </w:r>
    </w:p>
    <w:tbl>
      <w:tblPr>
        <w:tblStyle w:val="affffffffffffa"/>
        <w:tblW w:w="9439" w:type="dxa"/>
        <w:tblLayout w:type="fixed"/>
        <w:tblLook w:val="0000" w:firstRow="0" w:lastRow="0" w:firstColumn="0" w:lastColumn="0" w:noHBand="0" w:noVBand="0"/>
      </w:tblPr>
      <w:tblGrid>
        <w:gridCol w:w="2977"/>
        <w:gridCol w:w="1134"/>
        <w:gridCol w:w="1020"/>
        <w:gridCol w:w="1077"/>
        <w:gridCol w:w="1077"/>
        <w:gridCol w:w="1077"/>
        <w:gridCol w:w="1077"/>
      </w:tblGrid>
      <w:tr w:rsidR="008E5DE4" w14:paraId="26085051" w14:textId="77777777">
        <w:trPr>
          <w:cantSplit/>
          <w:tblHeader/>
        </w:trPr>
        <w:tc>
          <w:tcPr>
            <w:tcW w:w="2977" w:type="dxa"/>
            <w:vAlign w:val="bottom"/>
          </w:tcPr>
          <w:p w14:paraId="3EB186F9" w14:textId="77777777" w:rsidR="008E5DE4" w:rsidRDefault="008E5DE4">
            <w:pPr>
              <w:widowControl w:val="0"/>
              <w:pBdr>
                <w:top w:val="nil"/>
                <w:left w:val="nil"/>
                <w:bottom w:val="nil"/>
                <w:right w:val="nil"/>
                <w:between w:val="nil"/>
              </w:pBdr>
              <w:spacing w:line="228" w:lineRule="auto"/>
              <w:ind w:left="113" w:right="-57" w:hanging="113"/>
              <w:rPr>
                <w:i/>
                <w:color w:val="000000"/>
                <w:sz w:val="16"/>
                <w:szCs w:val="16"/>
              </w:rPr>
            </w:pPr>
          </w:p>
        </w:tc>
        <w:tc>
          <w:tcPr>
            <w:tcW w:w="1134" w:type="dxa"/>
            <w:vMerge w:val="restart"/>
          </w:tcPr>
          <w:p w14:paraId="3B93E615"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 xml:space="preserve">Gross amounts before offsetting in the statement of financial position </w:t>
            </w:r>
          </w:p>
          <w:p w14:paraId="33EE957C"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62E9986D"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36897A65"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(a)</w:t>
            </w:r>
          </w:p>
        </w:tc>
        <w:tc>
          <w:tcPr>
            <w:tcW w:w="1020" w:type="dxa"/>
            <w:vMerge w:val="restart"/>
          </w:tcPr>
          <w:p w14:paraId="532944A4"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 xml:space="preserve">Gross amounts set off </w:t>
            </w:r>
          </w:p>
          <w:p w14:paraId="713B1A25"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 xml:space="preserve">in the statement of financial position </w:t>
            </w:r>
          </w:p>
          <w:p w14:paraId="03670417"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2214A991"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0DB9F6E5"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(b)</w:t>
            </w:r>
          </w:p>
        </w:tc>
        <w:tc>
          <w:tcPr>
            <w:tcW w:w="1077" w:type="dxa"/>
            <w:vMerge w:val="restart"/>
          </w:tcPr>
          <w:p w14:paraId="32417327"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Net amount after offsetting in the statement of financial position</w:t>
            </w:r>
          </w:p>
          <w:p w14:paraId="13EB6F58"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4A1B4415"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130FAD8D"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(c) = (a) – (b)</w:t>
            </w:r>
          </w:p>
        </w:tc>
        <w:tc>
          <w:tcPr>
            <w:tcW w:w="2154" w:type="dxa"/>
            <w:gridSpan w:val="2"/>
            <w:tcBorders>
              <w:bottom w:val="single" w:sz="4" w:space="0" w:color="000000"/>
            </w:tcBorders>
          </w:tcPr>
          <w:p w14:paraId="5B81BE7B" w14:textId="77777777" w:rsidR="008E5DE4" w:rsidRDefault="00780368">
            <w:pPr>
              <w:widowControl w:val="0"/>
              <w:pBdr>
                <w:top w:val="nil"/>
                <w:left w:val="nil"/>
                <w:bottom w:val="nil"/>
                <w:right w:val="nil"/>
                <w:between w:val="nil"/>
              </w:pBdr>
              <w:spacing w:line="228" w:lineRule="auto"/>
              <w:ind w:left="-113"/>
              <w:jc w:val="right"/>
              <w:rPr>
                <w:color w:val="000000"/>
                <w:sz w:val="16"/>
                <w:szCs w:val="16"/>
              </w:rPr>
            </w:pPr>
            <w:r>
              <w:rPr>
                <w:b/>
                <w:color w:val="000000"/>
                <w:sz w:val="16"/>
                <w:szCs w:val="16"/>
              </w:rPr>
              <w:t>Amounts subject to master netting and similar arrangements not set off in the statement of financial position</w:t>
            </w:r>
          </w:p>
        </w:tc>
        <w:tc>
          <w:tcPr>
            <w:tcW w:w="1077" w:type="dxa"/>
            <w:vMerge w:val="restart"/>
          </w:tcPr>
          <w:p w14:paraId="1B7560BC"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Net amount of exposure</w:t>
            </w:r>
          </w:p>
          <w:p w14:paraId="010CBCEE"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60B8A584"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26B2957E"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2C1DCE3A"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0E7D5D8A"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7A7A4222"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3F480BBC"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49F70F07"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 xml:space="preserve"> (c) – (d) – (e)</w:t>
            </w:r>
          </w:p>
        </w:tc>
      </w:tr>
      <w:tr w:rsidR="008E5DE4" w14:paraId="68C83F73" w14:textId="77777777">
        <w:trPr>
          <w:cantSplit/>
          <w:tblHeader/>
        </w:trPr>
        <w:tc>
          <w:tcPr>
            <w:tcW w:w="2977" w:type="dxa"/>
            <w:tcBorders>
              <w:bottom w:val="single" w:sz="4" w:space="0" w:color="000000"/>
            </w:tcBorders>
            <w:vAlign w:val="bottom"/>
          </w:tcPr>
          <w:p w14:paraId="27FE05EC" w14:textId="77777777" w:rsidR="008E5DE4" w:rsidRDefault="00780368">
            <w:pPr>
              <w:widowControl w:val="0"/>
              <w:spacing w:line="228" w:lineRule="auto"/>
              <w:ind w:left="113" w:right="-57" w:hanging="113"/>
              <w:rPr>
                <w:i/>
                <w:sz w:val="16"/>
                <w:szCs w:val="16"/>
              </w:rPr>
            </w:pPr>
            <w:r>
              <w:rPr>
                <w:i/>
                <w:sz w:val="16"/>
                <w:szCs w:val="16"/>
              </w:rPr>
              <w:t>In thousands of EUR</w:t>
            </w:r>
          </w:p>
        </w:tc>
        <w:tc>
          <w:tcPr>
            <w:tcW w:w="1134" w:type="dxa"/>
            <w:vMerge/>
          </w:tcPr>
          <w:p w14:paraId="5736080C" w14:textId="77777777" w:rsidR="008E5DE4" w:rsidRDefault="008E5DE4">
            <w:pPr>
              <w:widowControl w:val="0"/>
              <w:pBdr>
                <w:top w:val="nil"/>
                <w:left w:val="nil"/>
                <w:bottom w:val="nil"/>
                <w:right w:val="nil"/>
                <w:between w:val="nil"/>
              </w:pBdr>
              <w:spacing w:line="276" w:lineRule="auto"/>
              <w:rPr>
                <w:i/>
                <w:sz w:val="16"/>
                <w:szCs w:val="16"/>
              </w:rPr>
            </w:pPr>
          </w:p>
        </w:tc>
        <w:tc>
          <w:tcPr>
            <w:tcW w:w="1020" w:type="dxa"/>
            <w:vMerge/>
          </w:tcPr>
          <w:p w14:paraId="4EDFA1FB" w14:textId="77777777" w:rsidR="008E5DE4" w:rsidRDefault="008E5DE4">
            <w:pPr>
              <w:widowControl w:val="0"/>
              <w:pBdr>
                <w:top w:val="nil"/>
                <w:left w:val="nil"/>
                <w:bottom w:val="nil"/>
                <w:right w:val="nil"/>
                <w:between w:val="nil"/>
              </w:pBdr>
              <w:spacing w:line="276" w:lineRule="auto"/>
              <w:rPr>
                <w:i/>
                <w:sz w:val="16"/>
                <w:szCs w:val="16"/>
              </w:rPr>
            </w:pPr>
          </w:p>
        </w:tc>
        <w:tc>
          <w:tcPr>
            <w:tcW w:w="1077" w:type="dxa"/>
            <w:vMerge/>
          </w:tcPr>
          <w:p w14:paraId="7455EA0E" w14:textId="77777777" w:rsidR="008E5DE4" w:rsidRDefault="008E5DE4">
            <w:pPr>
              <w:widowControl w:val="0"/>
              <w:pBdr>
                <w:top w:val="nil"/>
                <w:left w:val="nil"/>
                <w:bottom w:val="nil"/>
                <w:right w:val="nil"/>
                <w:between w:val="nil"/>
              </w:pBdr>
              <w:spacing w:line="276" w:lineRule="auto"/>
              <w:rPr>
                <w:i/>
                <w:sz w:val="16"/>
                <w:szCs w:val="16"/>
              </w:rPr>
            </w:pPr>
          </w:p>
        </w:tc>
        <w:tc>
          <w:tcPr>
            <w:tcW w:w="1077" w:type="dxa"/>
            <w:tcBorders>
              <w:top w:val="single" w:sz="4" w:space="0" w:color="000000"/>
              <w:bottom w:val="single" w:sz="4" w:space="0" w:color="000000"/>
            </w:tcBorders>
          </w:tcPr>
          <w:p w14:paraId="1F010D0E"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Financial instruments</w:t>
            </w:r>
          </w:p>
          <w:p w14:paraId="065E9035"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74CEE49E"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40257769" w14:textId="77777777" w:rsidR="008E5DE4" w:rsidRDefault="00780368">
            <w:pPr>
              <w:widowControl w:val="0"/>
              <w:pBdr>
                <w:top w:val="nil"/>
                <w:left w:val="nil"/>
                <w:bottom w:val="nil"/>
                <w:right w:val="nil"/>
                <w:between w:val="nil"/>
              </w:pBdr>
              <w:spacing w:line="228" w:lineRule="auto"/>
              <w:ind w:left="-113"/>
              <w:jc w:val="right"/>
              <w:rPr>
                <w:color w:val="000000"/>
                <w:sz w:val="16"/>
                <w:szCs w:val="16"/>
              </w:rPr>
            </w:pPr>
            <w:r>
              <w:rPr>
                <w:b/>
                <w:color w:val="000000"/>
                <w:sz w:val="16"/>
                <w:szCs w:val="16"/>
              </w:rPr>
              <w:t xml:space="preserve">(d) </w:t>
            </w:r>
          </w:p>
        </w:tc>
        <w:tc>
          <w:tcPr>
            <w:tcW w:w="1077" w:type="dxa"/>
            <w:tcBorders>
              <w:top w:val="single" w:sz="4" w:space="0" w:color="000000"/>
              <w:bottom w:val="single" w:sz="4" w:space="0" w:color="000000"/>
            </w:tcBorders>
          </w:tcPr>
          <w:p w14:paraId="7862D447" w14:textId="77777777" w:rsidR="008E5DE4" w:rsidRDefault="00780368">
            <w:pPr>
              <w:widowControl w:val="0"/>
              <w:pBdr>
                <w:top w:val="nil"/>
                <w:left w:val="nil"/>
                <w:bottom w:val="nil"/>
                <w:right w:val="nil"/>
                <w:between w:val="nil"/>
              </w:pBdr>
              <w:spacing w:line="228" w:lineRule="auto"/>
              <w:ind w:left="-113"/>
              <w:jc w:val="right"/>
              <w:rPr>
                <w:b/>
                <w:color w:val="000000"/>
                <w:sz w:val="16"/>
                <w:szCs w:val="16"/>
              </w:rPr>
            </w:pPr>
            <w:r>
              <w:rPr>
                <w:b/>
                <w:color w:val="000000"/>
                <w:sz w:val="16"/>
                <w:szCs w:val="16"/>
              </w:rPr>
              <w:t>Cash collateral received</w:t>
            </w:r>
          </w:p>
          <w:p w14:paraId="02769F88" w14:textId="77777777" w:rsidR="008E5DE4" w:rsidRDefault="008E5DE4">
            <w:pPr>
              <w:widowControl w:val="0"/>
              <w:pBdr>
                <w:top w:val="nil"/>
                <w:left w:val="nil"/>
                <w:bottom w:val="nil"/>
                <w:right w:val="nil"/>
                <w:between w:val="nil"/>
              </w:pBdr>
              <w:spacing w:line="228" w:lineRule="auto"/>
              <w:ind w:left="-113"/>
              <w:jc w:val="right"/>
              <w:rPr>
                <w:b/>
                <w:color w:val="000000"/>
                <w:sz w:val="16"/>
                <w:szCs w:val="16"/>
              </w:rPr>
            </w:pPr>
          </w:p>
          <w:p w14:paraId="1BD2E213" w14:textId="77777777" w:rsidR="008E5DE4" w:rsidRDefault="00780368">
            <w:pPr>
              <w:widowControl w:val="0"/>
              <w:pBdr>
                <w:top w:val="nil"/>
                <w:left w:val="nil"/>
                <w:bottom w:val="nil"/>
                <w:right w:val="nil"/>
                <w:between w:val="nil"/>
              </w:pBdr>
              <w:spacing w:line="228" w:lineRule="auto"/>
              <w:ind w:left="-113"/>
              <w:jc w:val="right"/>
              <w:rPr>
                <w:color w:val="000000"/>
                <w:sz w:val="16"/>
                <w:szCs w:val="16"/>
              </w:rPr>
            </w:pPr>
            <w:r>
              <w:rPr>
                <w:b/>
                <w:color w:val="000000"/>
                <w:sz w:val="16"/>
                <w:szCs w:val="16"/>
              </w:rPr>
              <w:t>(e)</w:t>
            </w:r>
          </w:p>
        </w:tc>
        <w:tc>
          <w:tcPr>
            <w:tcW w:w="1077" w:type="dxa"/>
            <w:vMerge/>
          </w:tcPr>
          <w:p w14:paraId="0437B931" w14:textId="77777777" w:rsidR="008E5DE4" w:rsidRDefault="008E5DE4">
            <w:pPr>
              <w:widowControl w:val="0"/>
              <w:pBdr>
                <w:top w:val="nil"/>
                <w:left w:val="nil"/>
                <w:bottom w:val="nil"/>
                <w:right w:val="nil"/>
                <w:between w:val="nil"/>
              </w:pBdr>
              <w:spacing w:line="276" w:lineRule="auto"/>
              <w:rPr>
                <w:color w:val="000000"/>
                <w:sz w:val="16"/>
                <w:szCs w:val="16"/>
              </w:rPr>
            </w:pPr>
          </w:p>
        </w:tc>
      </w:tr>
      <w:tr w:rsidR="008E5DE4" w14:paraId="2FE8394D" w14:textId="77777777">
        <w:trPr>
          <w:cantSplit/>
          <w:tblHeader/>
        </w:trPr>
        <w:tc>
          <w:tcPr>
            <w:tcW w:w="2977" w:type="dxa"/>
            <w:vAlign w:val="bottom"/>
          </w:tcPr>
          <w:p w14:paraId="653716E3" w14:textId="77777777" w:rsidR="008E5DE4" w:rsidRDefault="00780368">
            <w:pPr>
              <w:widowControl w:val="0"/>
              <w:pBdr>
                <w:top w:val="nil"/>
                <w:left w:val="nil"/>
                <w:bottom w:val="nil"/>
                <w:right w:val="nil"/>
                <w:between w:val="nil"/>
              </w:pBdr>
              <w:spacing w:line="228" w:lineRule="auto"/>
              <w:ind w:left="113" w:right="-57" w:hanging="113"/>
              <w:rPr>
                <w:i/>
                <w:color w:val="000000"/>
                <w:sz w:val="16"/>
                <w:szCs w:val="16"/>
              </w:rPr>
            </w:pPr>
            <w:r>
              <w:rPr>
                <w:b/>
                <w:i/>
                <w:color w:val="000000"/>
                <w:sz w:val="16"/>
                <w:szCs w:val="16"/>
              </w:rPr>
              <w:t> </w:t>
            </w:r>
          </w:p>
        </w:tc>
        <w:tc>
          <w:tcPr>
            <w:tcW w:w="1134" w:type="dxa"/>
            <w:vAlign w:val="bottom"/>
          </w:tcPr>
          <w:p w14:paraId="0D75E2D3"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7E8B82C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4924189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08D0BAC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4A99BD7B"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0706EE1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3D1246EB" w14:textId="77777777">
        <w:trPr>
          <w:cantSplit/>
          <w:tblHeader/>
        </w:trPr>
        <w:tc>
          <w:tcPr>
            <w:tcW w:w="2977" w:type="dxa"/>
            <w:vAlign w:val="bottom"/>
          </w:tcPr>
          <w:p w14:paraId="7AEB161C" w14:textId="77777777" w:rsidR="008E5DE4" w:rsidRDefault="00780368">
            <w:pPr>
              <w:widowControl w:val="0"/>
              <w:pBdr>
                <w:top w:val="nil"/>
                <w:left w:val="nil"/>
                <w:bottom w:val="nil"/>
                <w:right w:val="nil"/>
                <w:between w:val="nil"/>
              </w:pBdr>
              <w:spacing w:line="228" w:lineRule="auto"/>
              <w:ind w:left="113" w:right="-57" w:hanging="113"/>
              <w:rPr>
                <w:b/>
                <w:smallCaps/>
                <w:color w:val="000000"/>
                <w:sz w:val="16"/>
                <w:szCs w:val="16"/>
              </w:rPr>
            </w:pPr>
            <w:r>
              <w:rPr>
                <w:b/>
                <w:smallCaps/>
                <w:color w:val="000000"/>
                <w:sz w:val="16"/>
                <w:szCs w:val="16"/>
              </w:rPr>
              <w:t>ASSETS</w:t>
            </w:r>
          </w:p>
        </w:tc>
        <w:tc>
          <w:tcPr>
            <w:tcW w:w="1134" w:type="dxa"/>
            <w:vAlign w:val="bottom"/>
          </w:tcPr>
          <w:p w14:paraId="27BC39E4" w14:textId="77777777" w:rsidR="008E5DE4" w:rsidRDefault="008E5DE4">
            <w:pPr>
              <w:widowControl w:val="0"/>
              <w:pBdr>
                <w:top w:val="nil"/>
                <w:left w:val="nil"/>
                <w:bottom w:val="nil"/>
                <w:right w:val="nil"/>
                <w:between w:val="nil"/>
              </w:pBdr>
              <w:spacing w:line="228" w:lineRule="auto"/>
              <w:jc w:val="right"/>
              <w:rPr>
                <w:smallCaps/>
                <w:color w:val="000000"/>
                <w:sz w:val="16"/>
                <w:szCs w:val="16"/>
              </w:rPr>
            </w:pPr>
          </w:p>
        </w:tc>
        <w:tc>
          <w:tcPr>
            <w:tcW w:w="1020" w:type="dxa"/>
            <w:vAlign w:val="bottom"/>
          </w:tcPr>
          <w:p w14:paraId="7B05B445"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24E1B01B"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012DCB29"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54D7A515"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6FE4F184"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r>
      <w:tr w:rsidR="008E5DE4" w14:paraId="4A1EBD4E" w14:textId="77777777">
        <w:trPr>
          <w:cantSplit/>
          <w:tblHeader/>
        </w:trPr>
        <w:tc>
          <w:tcPr>
            <w:tcW w:w="2977" w:type="dxa"/>
            <w:vAlign w:val="bottom"/>
          </w:tcPr>
          <w:p w14:paraId="013789DB" w14:textId="77777777" w:rsidR="008E5DE4" w:rsidRDefault="00780368">
            <w:pPr>
              <w:widowControl w:val="0"/>
              <w:pBdr>
                <w:top w:val="nil"/>
                <w:left w:val="nil"/>
                <w:bottom w:val="nil"/>
                <w:right w:val="nil"/>
                <w:between w:val="nil"/>
              </w:pBdr>
              <w:spacing w:line="228" w:lineRule="auto"/>
              <w:ind w:left="113" w:right="-57" w:hanging="113"/>
              <w:rPr>
                <w:b/>
                <w:i/>
                <w:color w:val="000000"/>
                <w:sz w:val="16"/>
                <w:szCs w:val="16"/>
              </w:rPr>
            </w:pPr>
            <w:r>
              <w:rPr>
                <w:b/>
                <w:color w:val="000000"/>
                <w:sz w:val="16"/>
                <w:szCs w:val="16"/>
              </w:rPr>
              <w:t> </w:t>
            </w:r>
          </w:p>
        </w:tc>
        <w:tc>
          <w:tcPr>
            <w:tcW w:w="1134" w:type="dxa"/>
            <w:vAlign w:val="bottom"/>
          </w:tcPr>
          <w:p w14:paraId="4AB039E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65AB08B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6D7B6FE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3381266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7CAAC82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3ECC9938"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5FFE3705" w14:textId="77777777">
        <w:trPr>
          <w:cantSplit/>
          <w:tblHeader/>
        </w:trPr>
        <w:tc>
          <w:tcPr>
            <w:tcW w:w="2977" w:type="dxa"/>
            <w:vAlign w:val="bottom"/>
          </w:tcPr>
          <w:p w14:paraId="18512983"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Trade receivables</w:t>
            </w:r>
          </w:p>
        </w:tc>
        <w:tc>
          <w:tcPr>
            <w:tcW w:w="1134" w:type="dxa"/>
            <w:vAlign w:val="bottom"/>
          </w:tcPr>
          <w:p w14:paraId="7CB247B3"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5E75984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6060F952"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0349AAD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3C2BAAB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7241C3B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0FB1A380" w14:textId="77777777">
        <w:trPr>
          <w:cantSplit/>
          <w:tblHeader/>
        </w:trPr>
        <w:tc>
          <w:tcPr>
            <w:tcW w:w="2977" w:type="dxa"/>
            <w:vAlign w:val="bottom"/>
          </w:tcPr>
          <w:p w14:paraId="36919841"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Foreign exchange forward contracts</w:t>
            </w:r>
          </w:p>
        </w:tc>
        <w:tc>
          <w:tcPr>
            <w:tcW w:w="1134" w:type="dxa"/>
            <w:vAlign w:val="bottom"/>
          </w:tcPr>
          <w:p w14:paraId="0A8ABC8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076E278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27EF6C9E"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2726A59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10AA800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77FF141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040BF888" w14:textId="77777777">
        <w:trPr>
          <w:cantSplit/>
          <w:tblHeader/>
        </w:trPr>
        <w:tc>
          <w:tcPr>
            <w:tcW w:w="2977" w:type="dxa"/>
            <w:vAlign w:val="bottom"/>
          </w:tcPr>
          <w:p w14:paraId="2CDA1861"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Other financial derivatives</w:t>
            </w:r>
          </w:p>
        </w:tc>
        <w:tc>
          <w:tcPr>
            <w:tcW w:w="1134" w:type="dxa"/>
            <w:vAlign w:val="bottom"/>
          </w:tcPr>
          <w:p w14:paraId="45E6018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23D56C0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4D9E86D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55A88DD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3E569533"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1AA6976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1B42228D" w14:textId="77777777">
        <w:trPr>
          <w:cantSplit/>
          <w:tblHeader/>
        </w:trPr>
        <w:tc>
          <w:tcPr>
            <w:tcW w:w="2977" w:type="dxa"/>
            <w:vAlign w:val="bottom"/>
          </w:tcPr>
          <w:p w14:paraId="5A4A3B44"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Restricted cash/cash settled with borrowings</w:t>
            </w:r>
          </w:p>
        </w:tc>
        <w:tc>
          <w:tcPr>
            <w:tcW w:w="1134" w:type="dxa"/>
            <w:vAlign w:val="bottom"/>
          </w:tcPr>
          <w:p w14:paraId="6CD092F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18A20F5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1C32D30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64D647E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0B92122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7DCF782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6CEA2537" w14:textId="77777777">
        <w:trPr>
          <w:cantSplit/>
          <w:tblHeader/>
        </w:trPr>
        <w:tc>
          <w:tcPr>
            <w:tcW w:w="2977" w:type="dxa"/>
            <w:tcBorders>
              <w:bottom w:val="single" w:sz="4" w:space="0" w:color="000000"/>
            </w:tcBorders>
            <w:vAlign w:val="bottom"/>
          </w:tcPr>
          <w:p w14:paraId="4D823397"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b/>
                <w:color w:val="000000"/>
                <w:sz w:val="16"/>
                <w:szCs w:val="16"/>
              </w:rPr>
              <w:t> </w:t>
            </w:r>
          </w:p>
        </w:tc>
        <w:tc>
          <w:tcPr>
            <w:tcW w:w="1134" w:type="dxa"/>
            <w:tcBorders>
              <w:bottom w:val="single" w:sz="4" w:space="0" w:color="000000"/>
            </w:tcBorders>
            <w:vAlign w:val="bottom"/>
          </w:tcPr>
          <w:p w14:paraId="1701FB4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tcBorders>
              <w:bottom w:val="single" w:sz="4" w:space="0" w:color="000000"/>
            </w:tcBorders>
            <w:vAlign w:val="bottom"/>
          </w:tcPr>
          <w:p w14:paraId="4210A67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4" w:space="0" w:color="000000"/>
            </w:tcBorders>
            <w:vAlign w:val="bottom"/>
          </w:tcPr>
          <w:p w14:paraId="13CEB90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4" w:space="0" w:color="000000"/>
            </w:tcBorders>
            <w:vAlign w:val="bottom"/>
          </w:tcPr>
          <w:p w14:paraId="7C9D62A3"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4" w:space="0" w:color="000000"/>
            </w:tcBorders>
            <w:vAlign w:val="bottom"/>
          </w:tcPr>
          <w:p w14:paraId="3CDDF54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4" w:space="0" w:color="000000"/>
            </w:tcBorders>
            <w:vAlign w:val="bottom"/>
          </w:tcPr>
          <w:p w14:paraId="2A17C4EB"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4059FCAA" w14:textId="77777777">
        <w:trPr>
          <w:cantSplit/>
          <w:tblHeader/>
        </w:trPr>
        <w:tc>
          <w:tcPr>
            <w:tcW w:w="2977" w:type="dxa"/>
            <w:vAlign w:val="bottom"/>
          </w:tcPr>
          <w:p w14:paraId="6DA29182"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b/>
                <w:color w:val="000000"/>
                <w:sz w:val="16"/>
                <w:szCs w:val="16"/>
              </w:rPr>
              <w:t> </w:t>
            </w:r>
          </w:p>
        </w:tc>
        <w:tc>
          <w:tcPr>
            <w:tcW w:w="1134" w:type="dxa"/>
            <w:vAlign w:val="bottom"/>
          </w:tcPr>
          <w:p w14:paraId="10B5230A"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20" w:type="dxa"/>
            <w:vAlign w:val="bottom"/>
          </w:tcPr>
          <w:p w14:paraId="100DDF06"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77" w:type="dxa"/>
            <w:vAlign w:val="bottom"/>
          </w:tcPr>
          <w:p w14:paraId="7F3198FB"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77" w:type="dxa"/>
            <w:vAlign w:val="bottom"/>
          </w:tcPr>
          <w:p w14:paraId="2CC6D10B"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77" w:type="dxa"/>
            <w:vAlign w:val="bottom"/>
          </w:tcPr>
          <w:p w14:paraId="624E5036"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77" w:type="dxa"/>
            <w:vAlign w:val="bottom"/>
          </w:tcPr>
          <w:p w14:paraId="716810D0"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73E45713" w14:textId="77777777">
        <w:trPr>
          <w:cantSplit/>
          <w:tblHeader/>
        </w:trPr>
        <w:tc>
          <w:tcPr>
            <w:tcW w:w="2977" w:type="dxa"/>
            <w:vAlign w:val="bottom"/>
          </w:tcPr>
          <w:p w14:paraId="573EDE66" w14:textId="77777777" w:rsidR="008E5DE4" w:rsidRDefault="00780368">
            <w:pPr>
              <w:widowControl w:val="0"/>
              <w:pBdr>
                <w:top w:val="nil"/>
                <w:left w:val="nil"/>
                <w:bottom w:val="nil"/>
                <w:right w:val="nil"/>
                <w:between w:val="nil"/>
              </w:pBdr>
              <w:spacing w:line="228" w:lineRule="auto"/>
              <w:ind w:left="113" w:right="-57" w:hanging="113"/>
              <w:rPr>
                <w:b/>
                <w:smallCaps/>
                <w:color w:val="000000"/>
                <w:sz w:val="16"/>
                <w:szCs w:val="16"/>
              </w:rPr>
            </w:pPr>
            <w:r>
              <w:rPr>
                <w:b/>
                <w:smallCaps/>
                <w:color w:val="000000"/>
                <w:sz w:val="16"/>
                <w:szCs w:val="16"/>
              </w:rPr>
              <w:t>TOTAL ASSETS SUBJECT TO OFFSETTING, MASTER NETTING AND SIMILAR ARRANGEMENT</w:t>
            </w:r>
          </w:p>
        </w:tc>
        <w:tc>
          <w:tcPr>
            <w:tcW w:w="1134" w:type="dxa"/>
            <w:vAlign w:val="bottom"/>
          </w:tcPr>
          <w:p w14:paraId="21E6C453"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20" w:type="dxa"/>
            <w:vAlign w:val="bottom"/>
          </w:tcPr>
          <w:p w14:paraId="2D0672C1"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6B6D1E58"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5431F3B4"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1B5F2339"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2BD70B96"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r>
      <w:tr w:rsidR="008E5DE4" w14:paraId="7CA4C6C5" w14:textId="77777777">
        <w:trPr>
          <w:cantSplit/>
          <w:tblHeader/>
        </w:trPr>
        <w:tc>
          <w:tcPr>
            <w:tcW w:w="2977" w:type="dxa"/>
            <w:tcBorders>
              <w:bottom w:val="single" w:sz="12" w:space="0" w:color="000000"/>
            </w:tcBorders>
            <w:vAlign w:val="bottom"/>
          </w:tcPr>
          <w:p w14:paraId="19ED6F16"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b/>
                <w:color w:val="000000"/>
                <w:sz w:val="16"/>
                <w:szCs w:val="16"/>
              </w:rPr>
              <w:t> </w:t>
            </w:r>
          </w:p>
        </w:tc>
        <w:tc>
          <w:tcPr>
            <w:tcW w:w="1134" w:type="dxa"/>
            <w:tcBorders>
              <w:bottom w:val="single" w:sz="12" w:space="0" w:color="000000"/>
            </w:tcBorders>
            <w:vAlign w:val="bottom"/>
          </w:tcPr>
          <w:p w14:paraId="44CB6A2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tcBorders>
              <w:bottom w:val="single" w:sz="12" w:space="0" w:color="000000"/>
            </w:tcBorders>
            <w:vAlign w:val="bottom"/>
          </w:tcPr>
          <w:p w14:paraId="4AB3EE6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12" w:space="0" w:color="000000"/>
            </w:tcBorders>
            <w:vAlign w:val="bottom"/>
          </w:tcPr>
          <w:p w14:paraId="73CD9A8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12" w:space="0" w:color="000000"/>
            </w:tcBorders>
            <w:vAlign w:val="bottom"/>
          </w:tcPr>
          <w:p w14:paraId="31AE980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12" w:space="0" w:color="000000"/>
            </w:tcBorders>
            <w:vAlign w:val="bottom"/>
          </w:tcPr>
          <w:p w14:paraId="120AC346"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12" w:space="0" w:color="000000"/>
            </w:tcBorders>
            <w:vAlign w:val="bottom"/>
          </w:tcPr>
          <w:p w14:paraId="41F20489"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3552FF91" w14:textId="77777777">
        <w:trPr>
          <w:cantSplit/>
          <w:tblHeader/>
        </w:trPr>
        <w:tc>
          <w:tcPr>
            <w:tcW w:w="2977" w:type="dxa"/>
            <w:vAlign w:val="bottom"/>
          </w:tcPr>
          <w:p w14:paraId="586A6CF3" w14:textId="77777777" w:rsidR="008E5DE4" w:rsidRDefault="00780368">
            <w:pPr>
              <w:widowControl w:val="0"/>
              <w:pBdr>
                <w:top w:val="nil"/>
                <w:left w:val="nil"/>
                <w:bottom w:val="nil"/>
                <w:right w:val="nil"/>
                <w:between w:val="nil"/>
              </w:pBdr>
              <w:spacing w:line="228" w:lineRule="auto"/>
              <w:ind w:left="113" w:right="-57" w:hanging="113"/>
              <w:rPr>
                <w:b/>
                <w:smallCaps/>
                <w:color w:val="000000"/>
                <w:sz w:val="16"/>
                <w:szCs w:val="16"/>
              </w:rPr>
            </w:pPr>
            <w:r>
              <w:rPr>
                <w:color w:val="000000"/>
                <w:sz w:val="16"/>
                <w:szCs w:val="16"/>
              </w:rPr>
              <w:t> </w:t>
            </w:r>
          </w:p>
        </w:tc>
        <w:tc>
          <w:tcPr>
            <w:tcW w:w="1134" w:type="dxa"/>
            <w:vAlign w:val="bottom"/>
          </w:tcPr>
          <w:p w14:paraId="05E28A03" w14:textId="77777777" w:rsidR="008E5DE4" w:rsidRDefault="008E5DE4">
            <w:pPr>
              <w:widowControl w:val="0"/>
              <w:pBdr>
                <w:top w:val="nil"/>
                <w:left w:val="nil"/>
                <w:bottom w:val="nil"/>
                <w:right w:val="nil"/>
                <w:between w:val="nil"/>
              </w:pBdr>
              <w:spacing w:line="228" w:lineRule="auto"/>
              <w:jc w:val="right"/>
              <w:rPr>
                <w:smallCaps/>
                <w:color w:val="000000"/>
                <w:sz w:val="16"/>
                <w:szCs w:val="16"/>
              </w:rPr>
            </w:pPr>
          </w:p>
        </w:tc>
        <w:tc>
          <w:tcPr>
            <w:tcW w:w="1020" w:type="dxa"/>
            <w:vAlign w:val="bottom"/>
          </w:tcPr>
          <w:p w14:paraId="5ED53F7F"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35F1E3FF"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1BC486F4"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5D7A05E5"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2D41186E"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r>
      <w:tr w:rsidR="008E5DE4" w14:paraId="243D1775" w14:textId="77777777">
        <w:trPr>
          <w:cantSplit/>
          <w:tblHeader/>
        </w:trPr>
        <w:tc>
          <w:tcPr>
            <w:tcW w:w="2977" w:type="dxa"/>
            <w:vAlign w:val="bottom"/>
          </w:tcPr>
          <w:p w14:paraId="4C231BB7" w14:textId="77777777" w:rsidR="008E5DE4" w:rsidRDefault="00780368">
            <w:pPr>
              <w:widowControl w:val="0"/>
              <w:pBdr>
                <w:top w:val="nil"/>
                <w:left w:val="nil"/>
                <w:bottom w:val="nil"/>
                <w:right w:val="nil"/>
                <w:between w:val="nil"/>
              </w:pBdr>
              <w:spacing w:line="228" w:lineRule="auto"/>
              <w:ind w:left="113" w:right="-57" w:hanging="113"/>
              <w:rPr>
                <w:b/>
                <w:smallCaps/>
                <w:color w:val="000000"/>
                <w:sz w:val="16"/>
                <w:szCs w:val="16"/>
              </w:rPr>
            </w:pPr>
            <w:r>
              <w:rPr>
                <w:b/>
                <w:smallCaps/>
                <w:color w:val="000000"/>
                <w:sz w:val="16"/>
                <w:szCs w:val="16"/>
              </w:rPr>
              <w:t>LIABILITIES</w:t>
            </w:r>
          </w:p>
        </w:tc>
        <w:tc>
          <w:tcPr>
            <w:tcW w:w="1134" w:type="dxa"/>
            <w:vAlign w:val="bottom"/>
          </w:tcPr>
          <w:p w14:paraId="79EB249A" w14:textId="77777777" w:rsidR="008E5DE4" w:rsidRDefault="008E5DE4">
            <w:pPr>
              <w:widowControl w:val="0"/>
              <w:pBdr>
                <w:top w:val="nil"/>
                <w:left w:val="nil"/>
                <w:bottom w:val="nil"/>
                <w:right w:val="nil"/>
                <w:between w:val="nil"/>
              </w:pBdr>
              <w:spacing w:line="228" w:lineRule="auto"/>
              <w:jc w:val="right"/>
              <w:rPr>
                <w:smallCaps/>
                <w:color w:val="000000"/>
                <w:sz w:val="16"/>
                <w:szCs w:val="16"/>
              </w:rPr>
            </w:pPr>
          </w:p>
        </w:tc>
        <w:tc>
          <w:tcPr>
            <w:tcW w:w="1020" w:type="dxa"/>
            <w:vAlign w:val="bottom"/>
          </w:tcPr>
          <w:p w14:paraId="4CE82214"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0070361B"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6BD85F4E"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66CD27B3"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6778E6DA"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r>
      <w:tr w:rsidR="008E5DE4" w14:paraId="130D4B29" w14:textId="77777777">
        <w:trPr>
          <w:cantSplit/>
          <w:tblHeader/>
        </w:trPr>
        <w:tc>
          <w:tcPr>
            <w:tcW w:w="2977" w:type="dxa"/>
            <w:vAlign w:val="bottom"/>
          </w:tcPr>
          <w:p w14:paraId="56B9AA4F" w14:textId="77777777" w:rsidR="008E5DE4" w:rsidRDefault="00780368">
            <w:pPr>
              <w:widowControl w:val="0"/>
              <w:pBdr>
                <w:top w:val="nil"/>
                <w:left w:val="nil"/>
                <w:bottom w:val="nil"/>
                <w:right w:val="nil"/>
                <w:between w:val="nil"/>
              </w:pBdr>
              <w:spacing w:line="228" w:lineRule="auto"/>
              <w:ind w:left="113" w:right="-57" w:hanging="113"/>
              <w:rPr>
                <w:b/>
                <w:i/>
                <w:color w:val="000000"/>
                <w:sz w:val="16"/>
                <w:szCs w:val="16"/>
              </w:rPr>
            </w:pPr>
            <w:r>
              <w:rPr>
                <w:b/>
                <w:color w:val="000000"/>
                <w:sz w:val="16"/>
                <w:szCs w:val="16"/>
              </w:rPr>
              <w:t> </w:t>
            </w:r>
          </w:p>
        </w:tc>
        <w:tc>
          <w:tcPr>
            <w:tcW w:w="1134" w:type="dxa"/>
            <w:vAlign w:val="bottom"/>
          </w:tcPr>
          <w:p w14:paraId="2BC78B7E"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213F1EBE"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0D8B1AD2"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2C909BD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42B67D3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6DEF5E9B"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511B78CD" w14:textId="77777777">
        <w:trPr>
          <w:cantSplit/>
          <w:tblHeader/>
        </w:trPr>
        <w:tc>
          <w:tcPr>
            <w:tcW w:w="2977" w:type="dxa"/>
            <w:vAlign w:val="bottom"/>
          </w:tcPr>
          <w:p w14:paraId="00091846"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Financial derivatives</w:t>
            </w:r>
          </w:p>
        </w:tc>
        <w:tc>
          <w:tcPr>
            <w:tcW w:w="1134" w:type="dxa"/>
            <w:vAlign w:val="bottom"/>
          </w:tcPr>
          <w:p w14:paraId="77F4E7A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09670028"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4F7DB89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251FBD0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4DA330D2"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0894D77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436F2E10" w14:textId="77777777">
        <w:trPr>
          <w:cantSplit/>
          <w:tblHeader/>
        </w:trPr>
        <w:tc>
          <w:tcPr>
            <w:tcW w:w="2977" w:type="dxa"/>
            <w:vAlign w:val="bottom"/>
          </w:tcPr>
          <w:p w14:paraId="25F638A0"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Bank borrowings</w:t>
            </w:r>
          </w:p>
        </w:tc>
        <w:tc>
          <w:tcPr>
            <w:tcW w:w="1134" w:type="dxa"/>
            <w:vAlign w:val="bottom"/>
          </w:tcPr>
          <w:p w14:paraId="71E71808"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4991D6C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7AEA65E3"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0D53B97E"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5FFFCC58"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734F474C"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627BD212" w14:textId="77777777">
        <w:trPr>
          <w:cantSplit/>
          <w:tblHeader/>
        </w:trPr>
        <w:tc>
          <w:tcPr>
            <w:tcW w:w="2977" w:type="dxa"/>
            <w:vAlign w:val="bottom"/>
          </w:tcPr>
          <w:p w14:paraId="1B46F49B"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color w:val="000000"/>
                <w:sz w:val="16"/>
                <w:szCs w:val="16"/>
              </w:rPr>
              <w:t>Trade payables</w:t>
            </w:r>
          </w:p>
        </w:tc>
        <w:tc>
          <w:tcPr>
            <w:tcW w:w="1134" w:type="dxa"/>
            <w:vAlign w:val="bottom"/>
          </w:tcPr>
          <w:p w14:paraId="0C229B2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vAlign w:val="bottom"/>
          </w:tcPr>
          <w:p w14:paraId="26A6ED8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6CF31D0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45AD45D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235E5BF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vAlign w:val="bottom"/>
          </w:tcPr>
          <w:p w14:paraId="75FC1342"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29B642A5" w14:textId="77777777">
        <w:trPr>
          <w:cantSplit/>
          <w:tblHeader/>
        </w:trPr>
        <w:tc>
          <w:tcPr>
            <w:tcW w:w="2977" w:type="dxa"/>
            <w:tcBorders>
              <w:bottom w:val="single" w:sz="4" w:space="0" w:color="000000"/>
            </w:tcBorders>
            <w:vAlign w:val="bottom"/>
          </w:tcPr>
          <w:p w14:paraId="1C083BAD"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b/>
                <w:color w:val="000000"/>
                <w:sz w:val="16"/>
                <w:szCs w:val="16"/>
              </w:rPr>
              <w:t> </w:t>
            </w:r>
          </w:p>
        </w:tc>
        <w:tc>
          <w:tcPr>
            <w:tcW w:w="1134" w:type="dxa"/>
            <w:tcBorders>
              <w:bottom w:val="single" w:sz="4" w:space="0" w:color="000000"/>
            </w:tcBorders>
            <w:vAlign w:val="bottom"/>
          </w:tcPr>
          <w:p w14:paraId="02E613C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tcBorders>
              <w:bottom w:val="single" w:sz="4" w:space="0" w:color="000000"/>
            </w:tcBorders>
            <w:vAlign w:val="bottom"/>
          </w:tcPr>
          <w:p w14:paraId="4F904D31"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4" w:space="0" w:color="000000"/>
            </w:tcBorders>
            <w:vAlign w:val="bottom"/>
          </w:tcPr>
          <w:p w14:paraId="6DEE4397"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4" w:space="0" w:color="000000"/>
            </w:tcBorders>
            <w:vAlign w:val="bottom"/>
          </w:tcPr>
          <w:p w14:paraId="68A3F32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4" w:space="0" w:color="000000"/>
            </w:tcBorders>
            <w:vAlign w:val="bottom"/>
          </w:tcPr>
          <w:p w14:paraId="74B551AD"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4" w:space="0" w:color="000000"/>
            </w:tcBorders>
            <w:vAlign w:val="bottom"/>
          </w:tcPr>
          <w:p w14:paraId="6B0B407F"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r w:rsidR="008E5DE4" w14:paraId="23B88952" w14:textId="77777777">
        <w:trPr>
          <w:cantSplit/>
          <w:tblHeader/>
        </w:trPr>
        <w:tc>
          <w:tcPr>
            <w:tcW w:w="2977" w:type="dxa"/>
            <w:vAlign w:val="bottom"/>
          </w:tcPr>
          <w:p w14:paraId="50278D2E"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b/>
                <w:color w:val="000000"/>
                <w:sz w:val="16"/>
                <w:szCs w:val="16"/>
              </w:rPr>
              <w:t> </w:t>
            </w:r>
          </w:p>
        </w:tc>
        <w:tc>
          <w:tcPr>
            <w:tcW w:w="1134" w:type="dxa"/>
            <w:vAlign w:val="bottom"/>
          </w:tcPr>
          <w:p w14:paraId="1860045E"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20" w:type="dxa"/>
            <w:vAlign w:val="bottom"/>
          </w:tcPr>
          <w:p w14:paraId="369437C8"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77" w:type="dxa"/>
            <w:vAlign w:val="bottom"/>
          </w:tcPr>
          <w:p w14:paraId="6F2CBEE2"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77" w:type="dxa"/>
            <w:vAlign w:val="bottom"/>
          </w:tcPr>
          <w:p w14:paraId="22A3CC07"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77" w:type="dxa"/>
            <w:vAlign w:val="bottom"/>
          </w:tcPr>
          <w:p w14:paraId="00D6FFFD"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c>
          <w:tcPr>
            <w:tcW w:w="1077" w:type="dxa"/>
            <w:vAlign w:val="bottom"/>
          </w:tcPr>
          <w:p w14:paraId="53273F69" w14:textId="77777777" w:rsidR="008E5DE4" w:rsidRDefault="008E5DE4">
            <w:pPr>
              <w:widowControl w:val="0"/>
              <w:pBdr>
                <w:top w:val="nil"/>
                <w:left w:val="nil"/>
                <w:bottom w:val="nil"/>
                <w:right w:val="nil"/>
                <w:between w:val="nil"/>
              </w:pBdr>
              <w:spacing w:line="228" w:lineRule="auto"/>
              <w:jc w:val="right"/>
              <w:rPr>
                <w:b/>
                <w:color w:val="000000"/>
                <w:sz w:val="16"/>
                <w:szCs w:val="16"/>
              </w:rPr>
            </w:pPr>
          </w:p>
        </w:tc>
      </w:tr>
      <w:tr w:rsidR="008E5DE4" w14:paraId="3A398412" w14:textId="77777777">
        <w:trPr>
          <w:cantSplit/>
          <w:tblHeader/>
        </w:trPr>
        <w:tc>
          <w:tcPr>
            <w:tcW w:w="2977" w:type="dxa"/>
            <w:vAlign w:val="bottom"/>
          </w:tcPr>
          <w:p w14:paraId="7978DC7D" w14:textId="77777777" w:rsidR="008E5DE4" w:rsidRDefault="00780368">
            <w:pPr>
              <w:widowControl w:val="0"/>
              <w:pBdr>
                <w:top w:val="nil"/>
                <w:left w:val="nil"/>
                <w:bottom w:val="nil"/>
                <w:right w:val="nil"/>
                <w:between w:val="nil"/>
              </w:pBdr>
              <w:spacing w:line="228" w:lineRule="auto"/>
              <w:ind w:left="113" w:right="-57" w:hanging="113"/>
              <w:rPr>
                <w:smallCaps/>
                <w:color w:val="000000"/>
                <w:sz w:val="16"/>
                <w:szCs w:val="16"/>
              </w:rPr>
            </w:pPr>
            <w:r>
              <w:rPr>
                <w:b/>
                <w:smallCaps/>
                <w:color w:val="000000"/>
                <w:sz w:val="16"/>
                <w:szCs w:val="16"/>
              </w:rPr>
              <w:t>TOTAL LIABILITIES SUBJECT TO OFFSETTING, MASTER NETTING AND SIMILAR ARRANGEMENT</w:t>
            </w:r>
          </w:p>
        </w:tc>
        <w:tc>
          <w:tcPr>
            <w:tcW w:w="1134" w:type="dxa"/>
            <w:vAlign w:val="bottom"/>
          </w:tcPr>
          <w:p w14:paraId="2CAF8F1D"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20" w:type="dxa"/>
            <w:vAlign w:val="bottom"/>
          </w:tcPr>
          <w:p w14:paraId="66120DFF"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5DAFCDE5"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3C7AB75D"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4AD93736"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c>
          <w:tcPr>
            <w:tcW w:w="1077" w:type="dxa"/>
            <w:vAlign w:val="bottom"/>
          </w:tcPr>
          <w:p w14:paraId="0A27F6F3" w14:textId="77777777" w:rsidR="008E5DE4" w:rsidRDefault="008E5DE4">
            <w:pPr>
              <w:widowControl w:val="0"/>
              <w:pBdr>
                <w:top w:val="nil"/>
                <w:left w:val="nil"/>
                <w:bottom w:val="nil"/>
                <w:right w:val="nil"/>
                <w:between w:val="nil"/>
              </w:pBdr>
              <w:spacing w:line="228" w:lineRule="auto"/>
              <w:jc w:val="right"/>
              <w:rPr>
                <w:b/>
                <w:smallCaps/>
                <w:color w:val="000000"/>
                <w:sz w:val="16"/>
                <w:szCs w:val="16"/>
              </w:rPr>
            </w:pPr>
          </w:p>
        </w:tc>
      </w:tr>
      <w:tr w:rsidR="008E5DE4" w14:paraId="01FD145E" w14:textId="77777777">
        <w:trPr>
          <w:cantSplit/>
          <w:tblHeader/>
        </w:trPr>
        <w:tc>
          <w:tcPr>
            <w:tcW w:w="2977" w:type="dxa"/>
            <w:tcBorders>
              <w:bottom w:val="single" w:sz="12" w:space="0" w:color="000000"/>
            </w:tcBorders>
            <w:vAlign w:val="bottom"/>
          </w:tcPr>
          <w:p w14:paraId="4B8C7E6E" w14:textId="77777777" w:rsidR="008E5DE4" w:rsidRDefault="00780368">
            <w:pPr>
              <w:widowControl w:val="0"/>
              <w:pBdr>
                <w:top w:val="nil"/>
                <w:left w:val="nil"/>
                <w:bottom w:val="nil"/>
                <w:right w:val="nil"/>
                <w:between w:val="nil"/>
              </w:pBdr>
              <w:spacing w:line="228" w:lineRule="auto"/>
              <w:ind w:left="113" w:right="-57" w:hanging="113"/>
              <w:rPr>
                <w:color w:val="000000"/>
                <w:sz w:val="16"/>
                <w:szCs w:val="16"/>
              </w:rPr>
            </w:pPr>
            <w:r>
              <w:rPr>
                <w:b/>
                <w:color w:val="000000"/>
                <w:sz w:val="16"/>
                <w:szCs w:val="16"/>
              </w:rPr>
              <w:t> </w:t>
            </w:r>
          </w:p>
        </w:tc>
        <w:tc>
          <w:tcPr>
            <w:tcW w:w="1134" w:type="dxa"/>
            <w:tcBorders>
              <w:bottom w:val="single" w:sz="12" w:space="0" w:color="000000"/>
            </w:tcBorders>
            <w:vAlign w:val="bottom"/>
          </w:tcPr>
          <w:p w14:paraId="67DB1E45"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20" w:type="dxa"/>
            <w:tcBorders>
              <w:bottom w:val="single" w:sz="12" w:space="0" w:color="000000"/>
            </w:tcBorders>
            <w:vAlign w:val="bottom"/>
          </w:tcPr>
          <w:p w14:paraId="5C2534E0"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12" w:space="0" w:color="000000"/>
            </w:tcBorders>
            <w:vAlign w:val="bottom"/>
          </w:tcPr>
          <w:p w14:paraId="1A6A603A"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12" w:space="0" w:color="000000"/>
            </w:tcBorders>
            <w:vAlign w:val="bottom"/>
          </w:tcPr>
          <w:p w14:paraId="7DFA454B"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12" w:space="0" w:color="000000"/>
            </w:tcBorders>
            <w:vAlign w:val="bottom"/>
          </w:tcPr>
          <w:p w14:paraId="05413F3E"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c>
          <w:tcPr>
            <w:tcW w:w="1077" w:type="dxa"/>
            <w:tcBorders>
              <w:bottom w:val="single" w:sz="12" w:space="0" w:color="000000"/>
            </w:tcBorders>
            <w:vAlign w:val="bottom"/>
          </w:tcPr>
          <w:p w14:paraId="3323DDB4" w14:textId="77777777" w:rsidR="008E5DE4" w:rsidRDefault="008E5DE4">
            <w:pPr>
              <w:widowControl w:val="0"/>
              <w:pBdr>
                <w:top w:val="nil"/>
                <w:left w:val="nil"/>
                <w:bottom w:val="nil"/>
                <w:right w:val="nil"/>
                <w:between w:val="nil"/>
              </w:pBdr>
              <w:spacing w:line="228" w:lineRule="auto"/>
              <w:jc w:val="right"/>
              <w:rPr>
                <w:color w:val="000000"/>
                <w:sz w:val="16"/>
                <w:szCs w:val="16"/>
              </w:rPr>
            </w:pPr>
          </w:p>
        </w:tc>
      </w:tr>
    </w:tbl>
    <w:p w14:paraId="650302A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45</w:t>
      </w:r>
      <w:r>
        <w:rPr>
          <w:b/>
          <w:color w:val="000000"/>
          <w:sz w:val="20"/>
          <w:szCs w:val="20"/>
        </w:rPr>
        <w:tab/>
        <w:t>Offsetting Financial Assets and Financial Liabilities (Continued)</w:t>
      </w:r>
    </w:p>
    <w:p w14:paraId="3F8AD7AE" w14:textId="3F784FBB"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Financial instruments subject to offsetting, enforceable master netting and similar arrangements are as follows </w:t>
      </w:r>
      <w:proofErr w:type="gramStart"/>
      <w:r>
        <w:rPr>
          <w:color w:val="000000"/>
          <w:sz w:val="20"/>
          <w:szCs w:val="20"/>
        </w:rPr>
        <w:t>at</w:t>
      </w:r>
      <w:proofErr w:type="gramEnd"/>
      <w:r>
        <w:rPr>
          <w:color w:val="000000"/>
          <w:sz w:val="20"/>
          <w:szCs w:val="20"/>
        </w:rPr>
        <w:t xml:space="preserve"> 31 December </w:t>
      </w:r>
      <w:r w:rsidR="00E06A92">
        <w:rPr>
          <w:color w:val="000000"/>
          <w:sz w:val="20"/>
          <w:szCs w:val="20"/>
        </w:rPr>
        <w:t>2024</w:t>
      </w:r>
      <w:r>
        <w:rPr>
          <w:color w:val="000000"/>
          <w:sz w:val="20"/>
          <w:szCs w:val="20"/>
        </w:rPr>
        <w:t>:</w:t>
      </w:r>
    </w:p>
    <w:tbl>
      <w:tblPr>
        <w:tblStyle w:val="affffffffffffb"/>
        <w:tblW w:w="9439" w:type="dxa"/>
        <w:tblLayout w:type="fixed"/>
        <w:tblLook w:val="0000" w:firstRow="0" w:lastRow="0" w:firstColumn="0" w:lastColumn="0" w:noHBand="0" w:noVBand="0"/>
      </w:tblPr>
      <w:tblGrid>
        <w:gridCol w:w="2977"/>
        <w:gridCol w:w="1077"/>
        <w:gridCol w:w="1077"/>
        <w:gridCol w:w="1077"/>
        <w:gridCol w:w="1077"/>
        <w:gridCol w:w="1077"/>
        <w:gridCol w:w="1077"/>
      </w:tblGrid>
      <w:tr w:rsidR="008E5DE4" w14:paraId="66A91CCA" w14:textId="77777777">
        <w:trPr>
          <w:cantSplit/>
          <w:tblHeader/>
        </w:trPr>
        <w:tc>
          <w:tcPr>
            <w:tcW w:w="2977" w:type="dxa"/>
            <w:vAlign w:val="bottom"/>
          </w:tcPr>
          <w:p w14:paraId="4C811277" w14:textId="77777777" w:rsidR="008E5DE4" w:rsidRDefault="008E5DE4">
            <w:pPr>
              <w:widowControl w:val="0"/>
              <w:pBdr>
                <w:top w:val="nil"/>
                <w:left w:val="nil"/>
                <w:bottom w:val="nil"/>
                <w:right w:val="nil"/>
                <w:between w:val="nil"/>
              </w:pBdr>
              <w:ind w:left="113" w:right="-57" w:hanging="113"/>
              <w:rPr>
                <w:i/>
                <w:color w:val="000000"/>
                <w:sz w:val="16"/>
                <w:szCs w:val="16"/>
              </w:rPr>
            </w:pPr>
          </w:p>
        </w:tc>
        <w:tc>
          <w:tcPr>
            <w:tcW w:w="1077" w:type="dxa"/>
            <w:vMerge w:val="restart"/>
          </w:tcPr>
          <w:p w14:paraId="0EAE3A6C"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Gross amounts before offsetting in the statement of financial position </w:t>
            </w:r>
          </w:p>
          <w:p w14:paraId="4D03F6E2" w14:textId="77777777" w:rsidR="008E5DE4" w:rsidRDefault="008E5DE4">
            <w:pPr>
              <w:widowControl w:val="0"/>
              <w:pBdr>
                <w:top w:val="nil"/>
                <w:left w:val="nil"/>
                <w:bottom w:val="nil"/>
                <w:right w:val="nil"/>
                <w:between w:val="nil"/>
              </w:pBdr>
              <w:ind w:left="-113"/>
              <w:jc w:val="right"/>
              <w:rPr>
                <w:b/>
                <w:color w:val="000000"/>
                <w:sz w:val="16"/>
                <w:szCs w:val="16"/>
              </w:rPr>
            </w:pPr>
          </w:p>
          <w:p w14:paraId="2C23180A"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(a)</w:t>
            </w:r>
          </w:p>
        </w:tc>
        <w:tc>
          <w:tcPr>
            <w:tcW w:w="1077" w:type="dxa"/>
            <w:vMerge w:val="restart"/>
          </w:tcPr>
          <w:p w14:paraId="595E0C9A"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Gross amounts set off </w:t>
            </w:r>
          </w:p>
          <w:p w14:paraId="0816490A"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 xml:space="preserve">in the statement of financial position </w:t>
            </w:r>
          </w:p>
          <w:p w14:paraId="59FCB6FC" w14:textId="77777777" w:rsidR="008E5DE4" w:rsidRDefault="008E5DE4">
            <w:pPr>
              <w:widowControl w:val="0"/>
              <w:pBdr>
                <w:top w:val="nil"/>
                <w:left w:val="nil"/>
                <w:bottom w:val="nil"/>
                <w:right w:val="nil"/>
                <w:between w:val="nil"/>
              </w:pBdr>
              <w:ind w:left="-113"/>
              <w:jc w:val="right"/>
              <w:rPr>
                <w:b/>
                <w:color w:val="000000"/>
                <w:sz w:val="16"/>
                <w:szCs w:val="16"/>
              </w:rPr>
            </w:pPr>
          </w:p>
          <w:p w14:paraId="4F04BDC8" w14:textId="77777777" w:rsidR="008E5DE4" w:rsidRDefault="008E5DE4">
            <w:pPr>
              <w:widowControl w:val="0"/>
              <w:pBdr>
                <w:top w:val="nil"/>
                <w:left w:val="nil"/>
                <w:bottom w:val="nil"/>
                <w:right w:val="nil"/>
                <w:between w:val="nil"/>
              </w:pBdr>
              <w:ind w:left="-113"/>
              <w:jc w:val="right"/>
              <w:rPr>
                <w:b/>
                <w:color w:val="000000"/>
                <w:sz w:val="16"/>
                <w:szCs w:val="16"/>
              </w:rPr>
            </w:pPr>
          </w:p>
          <w:p w14:paraId="03F19281"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(b)</w:t>
            </w:r>
          </w:p>
        </w:tc>
        <w:tc>
          <w:tcPr>
            <w:tcW w:w="1077" w:type="dxa"/>
            <w:vMerge w:val="restart"/>
          </w:tcPr>
          <w:p w14:paraId="658E011B"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Net amount after offsetting in the statement of financial position</w:t>
            </w:r>
          </w:p>
          <w:p w14:paraId="13CD4306" w14:textId="77777777" w:rsidR="008E5DE4" w:rsidRDefault="008E5DE4">
            <w:pPr>
              <w:widowControl w:val="0"/>
              <w:pBdr>
                <w:top w:val="nil"/>
                <w:left w:val="nil"/>
                <w:bottom w:val="nil"/>
                <w:right w:val="nil"/>
                <w:between w:val="nil"/>
              </w:pBdr>
              <w:ind w:left="-113"/>
              <w:jc w:val="right"/>
              <w:rPr>
                <w:b/>
                <w:color w:val="000000"/>
                <w:sz w:val="16"/>
                <w:szCs w:val="16"/>
              </w:rPr>
            </w:pPr>
          </w:p>
          <w:p w14:paraId="44910B54" w14:textId="77777777" w:rsidR="008E5DE4" w:rsidRDefault="008E5DE4">
            <w:pPr>
              <w:widowControl w:val="0"/>
              <w:pBdr>
                <w:top w:val="nil"/>
                <w:left w:val="nil"/>
                <w:bottom w:val="nil"/>
                <w:right w:val="nil"/>
                <w:between w:val="nil"/>
              </w:pBdr>
              <w:ind w:left="-113"/>
              <w:jc w:val="right"/>
              <w:rPr>
                <w:b/>
                <w:color w:val="000000"/>
                <w:sz w:val="16"/>
                <w:szCs w:val="16"/>
              </w:rPr>
            </w:pPr>
          </w:p>
          <w:p w14:paraId="0B6C80AB"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(c) = (a) – (b)</w:t>
            </w:r>
          </w:p>
        </w:tc>
        <w:tc>
          <w:tcPr>
            <w:tcW w:w="2154" w:type="dxa"/>
            <w:gridSpan w:val="2"/>
            <w:tcBorders>
              <w:bottom w:val="single" w:sz="4" w:space="0" w:color="000000"/>
            </w:tcBorders>
          </w:tcPr>
          <w:p w14:paraId="5C90C9DB" w14:textId="77777777" w:rsidR="008E5DE4" w:rsidRDefault="00780368">
            <w:pPr>
              <w:widowControl w:val="0"/>
              <w:pBdr>
                <w:top w:val="nil"/>
                <w:left w:val="nil"/>
                <w:bottom w:val="nil"/>
                <w:right w:val="nil"/>
                <w:between w:val="nil"/>
              </w:pBdr>
              <w:ind w:left="-113"/>
              <w:jc w:val="right"/>
              <w:rPr>
                <w:color w:val="000000"/>
                <w:sz w:val="16"/>
                <w:szCs w:val="16"/>
              </w:rPr>
            </w:pPr>
            <w:r>
              <w:rPr>
                <w:b/>
                <w:color w:val="000000"/>
                <w:sz w:val="16"/>
                <w:szCs w:val="16"/>
              </w:rPr>
              <w:t>Amounts subject to master netting and similar arrangements not set off in the statement of financial position</w:t>
            </w:r>
          </w:p>
        </w:tc>
        <w:tc>
          <w:tcPr>
            <w:tcW w:w="1077" w:type="dxa"/>
            <w:vMerge w:val="restart"/>
          </w:tcPr>
          <w:p w14:paraId="399CB711"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Net amount of exposure</w:t>
            </w:r>
          </w:p>
          <w:p w14:paraId="4C27DF37" w14:textId="77777777" w:rsidR="008E5DE4" w:rsidRDefault="008E5DE4">
            <w:pPr>
              <w:widowControl w:val="0"/>
              <w:pBdr>
                <w:top w:val="nil"/>
                <w:left w:val="nil"/>
                <w:bottom w:val="nil"/>
                <w:right w:val="nil"/>
                <w:between w:val="nil"/>
              </w:pBdr>
              <w:ind w:left="-113"/>
              <w:jc w:val="right"/>
              <w:rPr>
                <w:b/>
                <w:color w:val="000000"/>
                <w:sz w:val="16"/>
                <w:szCs w:val="16"/>
              </w:rPr>
            </w:pPr>
          </w:p>
          <w:p w14:paraId="30AB2B3B" w14:textId="77777777" w:rsidR="008E5DE4" w:rsidRDefault="008E5DE4">
            <w:pPr>
              <w:widowControl w:val="0"/>
              <w:pBdr>
                <w:top w:val="nil"/>
                <w:left w:val="nil"/>
                <w:bottom w:val="nil"/>
                <w:right w:val="nil"/>
                <w:between w:val="nil"/>
              </w:pBdr>
              <w:ind w:left="-113"/>
              <w:jc w:val="right"/>
              <w:rPr>
                <w:b/>
                <w:color w:val="000000"/>
                <w:sz w:val="16"/>
                <w:szCs w:val="16"/>
              </w:rPr>
            </w:pPr>
          </w:p>
          <w:p w14:paraId="31A63FA4" w14:textId="77777777" w:rsidR="008E5DE4" w:rsidRDefault="008E5DE4">
            <w:pPr>
              <w:widowControl w:val="0"/>
              <w:pBdr>
                <w:top w:val="nil"/>
                <w:left w:val="nil"/>
                <w:bottom w:val="nil"/>
                <w:right w:val="nil"/>
                <w:between w:val="nil"/>
              </w:pBdr>
              <w:ind w:left="-113"/>
              <w:jc w:val="right"/>
              <w:rPr>
                <w:b/>
                <w:color w:val="000000"/>
                <w:sz w:val="16"/>
                <w:szCs w:val="16"/>
              </w:rPr>
            </w:pPr>
          </w:p>
          <w:p w14:paraId="51E43BD0" w14:textId="77777777" w:rsidR="008E5DE4" w:rsidRDefault="008E5DE4">
            <w:pPr>
              <w:widowControl w:val="0"/>
              <w:pBdr>
                <w:top w:val="nil"/>
                <w:left w:val="nil"/>
                <w:bottom w:val="nil"/>
                <w:right w:val="nil"/>
                <w:between w:val="nil"/>
              </w:pBdr>
              <w:ind w:left="-113"/>
              <w:jc w:val="right"/>
              <w:rPr>
                <w:b/>
                <w:color w:val="000000"/>
                <w:sz w:val="16"/>
                <w:szCs w:val="16"/>
              </w:rPr>
            </w:pPr>
          </w:p>
          <w:p w14:paraId="3BD76E1C" w14:textId="77777777" w:rsidR="008E5DE4" w:rsidRDefault="008E5DE4">
            <w:pPr>
              <w:widowControl w:val="0"/>
              <w:pBdr>
                <w:top w:val="nil"/>
                <w:left w:val="nil"/>
                <w:bottom w:val="nil"/>
                <w:right w:val="nil"/>
                <w:between w:val="nil"/>
              </w:pBdr>
              <w:ind w:left="-113"/>
              <w:jc w:val="right"/>
              <w:rPr>
                <w:b/>
                <w:color w:val="000000"/>
                <w:sz w:val="16"/>
                <w:szCs w:val="16"/>
              </w:rPr>
            </w:pPr>
          </w:p>
          <w:p w14:paraId="52A7EFF4" w14:textId="77777777" w:rsidR="008E5DE4" w:rsidRDefault="008E5DE4">
            <w:pPr>
              <w:widowControl w:val="0"/>
              <w:pBdr>
                <w:top w:val="nil"/>
                <w:left w:val="nil"/>
                <w:bottom w:val="nil"/>
                <w:right w:val="nil"/>
                <w:between w:val="nil"/>
              </w:pBdr>
              <w:ind w:left="-113"/>
              <w:jc w:val="right"/>
              <w:rPr>
                <w:b/>
                <w:color w:val="000000"/>
                <w:sz w:val="16"/>
                <w:szCs w:val="16"/>
              </w:rPr>
            </w:pPr>
          </w:p>
          <w:p w14:paraId="0FAD3DEF" w14:textId="77777777" w:rsidR="008E5DE4" w:rsidRDefault="008E5DE4">
            <w:pPr>
              <w:widowControl w:val="0"/>
              <w:pBdr>
                <w:top w:val="nil"/>
                <w:left w:val="nil"/>
                <w:bottom w:val="nil"/>
                <w:right w:val="nil"/>
                <w:between w:val="nil"/>
              </w:pBdr>
              <w:ind w:left="-113"/>
              <w:jc w:val="right"/>
              <w:rPr>
                <w:b/>
                <w:color w:val="000000"/>
                <w:sz w:val="16"/>
                <w:szCs w:val="16"/>
              </w:rPr>
            </w:pPr>
          </w:p>
          <w:p w14:paraId="042DA895"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(c) – (d) – (e)</w:t>
            </w:r>
          </w:p>
        </w:tc>
      </w:tr>
      <w:tr w:rsidR="008E5DE4" w14:paraId="52D924FD" w14:textId="77777777">
        <w:trPr>
          <w:cantSplit/>
          <w:tblHeader/>
        </w:trPr>
        <w:tc>
          <w:tcPr>
            <w:tcW w:w="2977" w:type="dxa"/>
            <w:tcBorders>
              <w:bottom w:val="single" w:sz="4" w:space="0" w:color="000000"/>
            </w:tcBorders>
            <w:vAlign w:val="bottom"/>
          </w:tcPr>
          <w:p w14:paraId="00C26839" w14:textId="77777777" w:rsidR="008E5DE4" w:rsidRDefault="00780368">
            <w:pPr>
              <w:widowControl w:val="0"/>
              <w:ind w:left="113" w:right="-57" w:hanging="113"/>
              <w:rPr>
                <w:i/>
                <w:sz w:val="16"/>
                <w:szCs w:val="16"/>
              </w:rPr>
            </w:pPr>
            <w:r>
              <w:rPr>
                <w:i/>
                <w:sz w:val="16"/>
                <w:szCs w:val="16"/>
              </w:rPr>
              <w:t>In thousands of EUR</w:t>
            </w:r>
          </w:p>
        </w:tc>
        <w:tc>
          <w:tcPr>
            <w:tcW w:w="1077" w:type="dxa"/>
            <w:vMerge/>
          </w:tcPr>
          <w:p w14:paraId="3D250955" w14:textId="77777777" w:rsidR="008E5DE4" w:rsidRDefault="008E5DE4">
            <w:pPr>
              <w:widowControl w:val="0"/>
              <w:pBdr>
                <w:top w:val="nil"/>
                <w:left w:val="nil"/>
                <w:bottom w:val="nil"/>
                <w:right w:val="nil"/>
                <w:between w:val="nil"/>
              </w:pBdr>
              <w:spacing w:line="276" w:lineRule="auto"/>
              <w:rPr>
                <w:i/>
                <w:sz w:val="16"/>
                <w:szCs w:val="16"/>
              </w:rPr>
            </w:pPr>
          </w:p>
        </w:tc>
        <w:tc>
          <w:tcPr>
            <w:tcW w:w="1077" w:type="dxa"/>
            <w:vMerge/>
          </w:tcPr>
          <w:p w14:paraId="50E3C551" w14:textId="77777777" w:rsidR="008E5DE4" w:rsidRDefault="008E5DE4">
            <w:pPr>
              <w:widowControl w:val="0"/>
              <w:pBdr>
                <w:top w:val="nil"/>
                <w:left w:val="nil"/>
                <w:bottom w:val="nil"/>
                <w:right w:val="nil"/>
                <w:between w:val="nil"/>
              </w:pBdr>
              <w:spacing w:line="276" w:lineRule="auto"/>
              <w:rPr>
                <w:i/>
                <w:sz w:val="16"/>
                <w:szCs w:val="16"/>
              </w:rPr>
            </w:pPr>
          </w:p>
        </w:tc>
        <w:tc>
          <w:tcPr>
            <w:tcW w:w="1077" w:type="dxa"/>
            <w:vMerge/>
          </w:tcPr>
          <w:p w14:paraId="4D1585A6" w14:textId="77777777" w:rsidR="008E5DE4" w:rsidRDefault="008E5DE4">
            <w:pPr>
              <w:widowControl w:val="0"/>
              <w:pBdr>
                <w:top w:val="nil"/>
                <w:left w:val="nil"/>
                <w:bottom w:val="nil"/>
                <w:right w:val="nil"/>
                <w:between w:val="nil"/>
              </w:pBdr>
              <w:spacing w:line="276" w:lineRule="auto"/>
              <w:rPr>
                <w:i/>
                <w:sz w:val="16"/>
                <w:szCs w:val="16"/>
              </w:rPr>
            </w:pPr>
          </w:p>
        </w:tc>
        <w:tc>
          <w:tcPr>
            <w:tcW w:w="1077" w:type="dxa"/>
            <w:tcBorders>
              <w:top w:val="single" w:sz="4" w:space="0" w:color="000000"/>
              <w:bottom w:val="single" w:sz="4" w:space="0" w:color="000000"/>
            </w:tcBorders>
          </w:tcPr>
          <w:p w14:paraId="4DB5073F"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Financial instruments</w:t>
            </w:r>
          </w:p>
          <w:p w14:paraId="34E3E2D7" w14:textId="77777777" w:rsidR="008E5DE4" w:rsidRDefault="008E5DE4">
            <w:pPr>
              <w:widowControl w:val="0"/>
              <w:pBdr>
                <w:top w:val="nil"/>
                <w:left w:val="nil"/>
                <w:bottom w:val="nil"/>
                <w:right w:val="nil"/>
                <w:between w:val="nil"/>
              </w:pBdr>
              <w:ind w:left="-113"/>
              <w:jc w:val="right"/>
              <w:rPr>
                <w:b/>
                <w:color w:val="000000"/>
                <w:sz w:val="16"/>
                <w:szCs w:val="16"/>
              </w:rPr>
            </w:pPr>
          </w:p>
          <w:p w14:paraId="25821B9D" w14:textId="77777777" w:rsidR="008E5DE4" w:rsidRDefault="008E5DE4">
            <w:pPr>
              <w:widowControl w:val="0"/>
              <w:pBdr>
                <w:top w:val="nil"/>
                <w:left w:val="nil"/>
                <w:bottom w:val="nil"/>
                <w:right w:val="nil"/>
                <w:between w:val="nil"/>
              </w:pBdr>
              <w:ind w:left="-113"/>
              <w:jc w:val="right"/>
              <w:rPr>
                <w:b/>
                <w:color w:val="000000"/>
                <w:sz w:val="16"/>
                <w:szCs w:val="16"/>
              </w:rPr>
            </w:pPr>
          </w:p>
          <w:p w14:paraId="0B6A10C8" w14:textId="77777777" w:rsidR="008E5DE4" w:rsidRDefault="00780368">
            <w:pPr>
              <w:widowControl w:val="0"/>
              <w:pBdr>
                <w:top w:val="nil"/>
                <w:left w:val="nil"/>
                <w:bottom w:val="nil"/>
                <w:right w:val="nil"/>
                <w:between w:val="nil"/>
              </w:pBdr>
              <w:ind w:left="-113"/>
              <w:jc w:val="right"/>
              <w:rPr>
                <w:color w:val="000000"/>
                <w:sz w:val="16"/>
                <w:szCs w:val="16"/>
              </w:rPr>
            </w:pPr>
            <w:r>
              <w:rPr>
                <w:b/>
                <w:color w:val="000000"/>
                <w:sz w:val="16"/>
                <w:szCs w:val="16"/>
              </w:rPr>
              <w:t xml:space="preserve">(d) </w:t>
            </w:r>
          </w:p>
        </w:tc>
        <w:tc>
          <w:tcPr>
            <w:tcW w:w="1077" w:type="dxa"/>
            <w:tcBorders>
              <w:top w:val="single" w:sz="4" w:space="0" w:color="000000"/>
              <w:bottom w:val="single" w:sz="4" w:space="0" w:color="000000"/>
            </w:tcBorders>
          </w:tcPr>
          <w:p w14:paraId="7F128BB7" w14:textId="77777777" w:rsidR="008E5DE4" w:rsidRDefault="00780368">
            <w:pPr>
              <w:widowControl w:val="0"/>
              <w:pBdr>
                <w:top w:val="nil"/>
                <w:left w:val="nil"/>
                <w:bottom w:val="nil"/>
                <w:right w:val="nil"/>
                <w:between w:val="nil"/>
              </w:pBdr>
              <w:ind w:left="-113"/>
              <w:jc w:val="right"/>
              <w:rPr>
                <w:b/>
                <w:color w:val="000000"/>
                <w:sz w:val="16"/>
                <w:szCs w:val="16"/>
              </w:rPr>
            </w:pPr>
            <w:r>
              <w:rPr>
                <w:b/>
                <w:color w:val="000000"/>
                <w:sz w:val="16"/>
                <w:szCs w:val="16"/>
              </w:rPr>
              <w:t>Cash collateral received</w:t>
            </w:r>
          </w:p>
          <w:p w14:paraId="0586DB21" w14:textId="77777777" w:rsidR="008E5DE4" w:rsidRDefault="008E5DE4">
            <w:pPr>
              <w:widowControl w:val="0"/>
              <w:pBdr>
                <w:top w:val="nil"/>
                <w:left w:val="nil"/>
                <w:bottom w:val="nil"/>
                <w:right w:val="nil"/>
                <w:between w:val="nil"/>
              </w:pBdr>
              <w:ind w:left="-113"/>
              <w:jc w:val="right"/>
              <w:rPr>
                <w:b/>
                <w:color w:val="000000"/>
                <w:sz w:val="16"/>
                <w:szCs w:val="16"/>
              </w:rPr>
            </w:pPr>
          </w:p>
          <w:p w14:paraId="219126FB" w14:textId="77777777" w:rsidR="008E5DE4" w:rsidRDefault="00780368">
            <w:pPr>
              <w:widowControl w:val="0"/>
              <w:pBdr>
                <w:top w:val="nil"/>
                <w:left w:val="nil"/>
                <w:bottom w:val="nil"/>
                <w:right w:val="nil"/>
                <w:between w:val="nil"/>
              </w:pBdr>
              <w:ind w:left="-113"/>
              <w:jc w:val="right"/>
              <w:rPr>
                <w:color w:val="000000"/>
                <w:sz w:val="16"/>
                <w:szCs w:val="16"/>
              </w:rPr>
            </w:pPr>
            <w:r>
              <w:rPr>
                <w:b/>
                <w:color w:val="000000"/>
                <w:sz w:val="16"/>
                <w:szCs w:val="16"/>
              </w:rPr>
              <w:t>(e)</w:t>
            </w:r>
          </w:p>
        </w:tc>
        <w:tc>
          <w:tcPr>
            <w:tcW w:w="1077" w:type="dxa"/>
            <w:vMerge/>
          </w:tcPr>
          <w:p w14:paraId="5891222E" w14:textId="77777777" w:rsidR="008E5DE4" w:rsidRDefault="008E5DE4">
            <w:pPr>
              <w:widowControl w:val="0"/>
              <w:pBdr>
                <w:top w:val="nil"/>
                <w:left w:val="nil"/>
                <w:bottom w:val="nil"/>
                <w:right w:val="nil"/>
                <w:between w:val="nil"/>
              </w:pBdr>
              <w:spacing w:line="276" w:lineRule="auto"/>
              <w:rPr>
                <w:color w:val="000000"/>
                <w:sz w:val="16"/>
                <w:szCs w:val="16"/>
              </w:rPr>
            </w:pPr>
          </w:p>
        </w:tc>
      </w:tr>
      <w:tr w:rsidR="008E5DE4" w14:paraId="5438DC56" w14:textId="77777777">
        <w:trPr>
          <w:cantSplit/>
          <w:tblHeader/>
        </w:trPr>
        <w:tc>
          <w:tcPr>
            <w:tcW w:w="2977" w:type="dxa"/>
            <w:vAlign w:val="bottom"/>
          </w:tcPr>
          <w:p w14:paraId="6F6CD56D" w14:textId="77777777" w:rsidR="008E5DE4" w:rsidRDefault="00780368">
            <w:pPr>
              <w:widowControl w:val="0"/>
              <w:pBdr>
                <w:top w:val="nil"/>
                <w:left w:val="nil"/>
                <w:bottom w:val="nil"/>
                <w:right w:val="nil"/>
                <w:between w:val="nil"/>
              </w:pBdr>
              <w:ind w:left="113" w:right="-57" w:hanging="113"/>
              <w:rPr>
                <w:i/>
                <w:color w:val="000000"/>
                <w:sz w:val="16"/>
                <w:szCs w:val="16"/>
              </w:rPr>
            </w:pPr>
            <w:r>
              <w:rPr>
                <w:b/>
                <w:i/>
                <w:color w:val="000000"/>
                <w:sz w:val="16"/>
                <w:szCs w:val="16"/>
              </w:rPr>
              <w:t> </w:t>
            </w:r>
          </w:p>
        </w:tc>
        <w:tc>
          <w:tcPr>
            <w:tcW w:w="1077" w:type="dxa"/>
            <w:vAlign w:val="bottom"/>
          </w:tcPr>
          <w:p w14:paraId="3D44966E"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0B4BE017"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78E09BEF"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5BCB07E6"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16FAE7EF"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32A08C73" w14:textId="77777777" w:rsidR="008E5DE4" w:rsidRDefault="008E5DE4">
            <w:pPr>
              <w:widowControl w:val="0"/>
              <w:pBdr>
                <w:top w:val="nil"/>
                <w:left w:val="nil"/>
                <w:bottom w:val="nil"/>
                <w:right w:val="nil"/>
                <w:between w:val="nil"/>
              </w:pBdr>
              <w:jc w:val="right"/>
              <w:rPr>
                <w:color w:val="000000"/>
                <w:sz w:val="16"/>
                <w:szCs w:val="16"/>
              </w:rPr>
            </w:pPr>
          </w:p>
        </w:tc>
      </w:tr>
      <w:tr w:rsidR="008E5DE4" w14:paraId="0C971A36" w14:textId="77777777">
        <w:trPr>
          <w:cantSplit/>
          <w:tblHeader/>
        </w:trPr>
        <w:tc>
          <w:tcPr>
            <w:tcW w:w="2977" w:type="dxa"/>
            <w:vAlign w:val="bottom"/>
          </w:tcPr>
          <w:p w14:paraId="2469B0CD" w14:textId="77777777" w:rsidR="008E5DE4" w:rsidRDefault="00780368">
            <w:pPr>
              <w:widowControl w:val="0"/>
              <w:pBdr>
                <w:top w:val="nil"/>
                <w:left w:val="nil"/>
                <w:bottom w:val="nil"/>
                <w:right w:val="nil"/>
                <w:between w:val="nil"/>
              </w:pBdr>
              <w:ind w:left="113" w:right="-57" w:hanging="113"/>
              <w:rPr>
                <w:b/>
                <w:smallCaps/>
                <w:color w:val="000000"/>
                <w:sz w:val="16"/>
                <w:szCs w:val="16"/>
              </w:rPr>
            </w:pPr>
            <w:r>
              <w:rPr>
                <w:b/>
                <w:smallCaps/>
                <w:color w:val="000000"/>
                <w:sz w:val="16"/>
                <w:szCs w:val="16"/>
              </w:rPr>
              <w:t>ASSETS</w:t>
            </w:r>
          </w:p>
        </w:tc>
        <w:tc>
          <w:tcPr>
            <w:tcW w:w="1077" w:type="dxa"/>
            <w:vAlign w:val="bottom"/>
          </w:tcPr>
          <w:p w14:paraId="05B06EFC" w14:textId="77777777" w:rsidR="008E5DE4" w:rsidRDefault="008E5DE4">
            <w:pPr>
              <w:widowControl w:val="0"/>
              <w:pBdr>
                <w:top w:val="nil"/>
                <w:left w:val="nil"/>
                <w:bottom w:val="nil"/>
                <w:right w:val="nil"/>
                <w:between w:val="nil"/>
              </w:pBdr>
              <w:jc w:val="right"/>
              <w:rPr>
                <w:smallCaps/>
                <w:color w:val="000000"/>
                <w:sz w:val="16"/>
                <w:szCs w:val="16"/>
              </w:rPr>
            </w:pPr>
          </w:p>
        </w:tc>
        <w:tc>
          <w:tcPr>
            <w:tcW w:w="1077" w:type="dxa"/>
            <w:vAlign w:val="bottom"/>
          </w:tcPr>
          <w:p w14:paraId="5C9E6A19"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445935E5"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2D7572DA"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0DC3D4D0"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2CC7EB35" w14:textId="77777777" w:rsidR="008E5DE4" w:rsidRDefault="008E5DE4">
            <w:pPr>
              <w:widowControl w:val="0"/>
              <w:pBdr>
                <w:top w:val="nil"/>
                <w:left w:val="nil"/>
                <w:bottom w:val="nil"/>
                <w:right w:val="nil"/>
                <w:between w:val="nil"/>
              </w:pBdr>
              <w:jc w:val="right"/>
              <w:rPr>
                <w:b/>
                <w:smallCaps/>
                <w:color w:val="000000"/>
                <w:sz w:val="16"/>
                <w:szCs w:val="16"/>
              </w:rPr>
            </w:pPr>
          </w:p>
        </w:tc>
      </w:tr>
      <w:tr w:rsidR="008E5DE4" w14:paraId="420A3061" w14:textId="77777777">
        <w:trPr>
          <w:cantSplit/>
          <w:tblHeader/>
        </w:trPr>
        <w:tc>
          <w:tcPr>
            <w:tcW w:w="2977" w:type="dxa"/>
            <w:vAlign w:val="bottom"/>
          </w:tcPr>
          <w:p w14:paraId="1BD547CF" w14:textId="77777777" w:rsidR="008E5DE4" w:rsidRDefault="00780368">
            <w:pPr>
              <w:widowControl w:val="0"/>
              <w:pBdr>
                <w:top w:val="nil"/>
                <w:left w:val="nil"/>
                <w:bottom w:val="nil"/>
                <w:right w:val="nil"/>
                <w:between w:val="nil"/>
              </w:pBdr>
              <w:ind w:left="113" w:right="-57" w:hanging="113"/>
              <w:rPr>
                <w:b/>
                <w:i/>
                <w:color w:val="000000"/>
                <w:sz w:val="16"/>
                <w:szCs w:val="16"/>
              </w:rPr>
            </w:pPr>
            <w:r>
              <w:rPr>
                <w:b/>
                <w:color w:val="000000"/>
                <w:sz w:val="16"/>
                <w:szCs w:val="16"/>
              </w:rPr>
              <w:t> </w:t>
            </w:r>
          </w:p>
        </w:tc>
        <w:tc>
          <w:tcPr>
            <w:tcW w:w="1077" w:type="dxa"/>
            <w:vAlign w:val="bottom"/>
          </w:tcPr>
          <w:p w14:paraId="6030A0E5"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4996315"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B7AFA10"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7D8250F"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A1283D8"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358D5AD" w14:textId="77777777" w:rsidR="008E5DE4" w:rsidRDefault="008E5DE4">
            <w:pPr>
              <w:widowControl w:val="0"/>
              <w:pBdr>
                <w:top w:val="nil"/>
                <w:left w:val="nil"/>
                <w:bottom w:val="nil"/>
                <w:right w:val="nil"/>
                <w:between w:val="nil"/>
              </w:pBdr>
              <w:jc w:val="right"/>
              <w:rPr>
                <w:color w:val="000000"/>
                <w:sz w:val="16"/>
                <w:szCs w:val="16"/>
              </w:rPr>
            </w:pPr>
          </w:p>
        </w:tc>
      </w:tr>
      <w:tr w:rsidR="008E5DE4" w14:paraId="0AC20E51" w14:textId="77777777">
        <w:trPr>
          <w:cantSplit/>
          <w:tblHeader/>
        </w:trPr>
        <w:tc>
          <w:tcPr>
            <w:tcW w:w="2977" w:type="dxa"/>
            <w:vAlign w:val="bottom"/>
          </w:tcPr>
          <w:p w14:paraId="1BEECD9C"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Trade receivables</w:t>
            </w:r>
          </w:p>
        </w:tc>
        <w:tc>
          <w:tcPr>
            <w:tcW w:w="1077" w:type="dxa"/>
            <w:vAlign w:val="bottom"/>
          </w:tcPr>
          <w:p w14:paraId="3352A161"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0405D990"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6F781C30"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6DDE4416"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02E6FA81"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7224D9BD" w14:textId="77777777" w:rsidR="008E5DE4" w:rsidRDefault="008E5DE4">
            <w:pPr>
              <w:widowControl w:val="0"/>
              <w:pBdr>
                <w:top w:val="nil"/>
                <w:left w:val="nil"/>
                <w:bottom w:val="nil"/>
                <w:right w:val="nil"/>
                <w:between w:val="nil"/>
              </w:pBdr>
              <w:jc w:val="right"/>
              <w:rPr>
                <w:color w:val="000000"/>
                <w:sz w:val="16"/>
                <w:szCs w:val="16"/>
              </w:rPr>
            </w:pPr>
          </w:p>
        </w:tc>
      </w:tr>
      <w:tr w:rsidR="008E5DE4" w14:paraId="7DBB41BE" w14:textId="77777777">
        <w:trPr>
          <w:cantSplit/>
          <w:tblHeader/>
        </w:trPr>
        <w:tc>
          <w:tcPr>
            <w:tcW w:w="2977" w:type="dxa"/>
            <w:vAlign w:val="bottom"/>
          </w:tcPr>
          <w:p w14:paraId="51ABFE22"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Foreign exchange forward contracts</w:t>
            </w:r>
          </w:p>
        </w:tc>
        <w:tc>
          <w:tcPr>
            <w:tcW w:w="1077" w:type="dxa"/>
            <w:vAlign w:val="bottom"/>
          </w:tcPr>
          <w:p w14:paraId="4E414DD8"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3A543C19"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C9262BF"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26E32729"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73620757"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12C07E55" w14:textId="77777777" w:rsidR="008E5DE4" w:rsidRDefault="008E5DE4">
            <w:pPr>
              <w:widowControl w:val="0"/>
              <w:pBdr>
                <w:top w:val="nil"/>
                <w:left w:val="nil"/>
                <w:bottom w:val="nil"/>
                <w:right w:val="nil"/>
                <w:between w:val="nil"/>
              </w:pBdr>
              <w:jc w:val="right"/>
              <w:rPr>
                <w:color w:val="000000"/>
                <w:sz w:val="16"/>
                <w:szCs w:val="16"/>
              </w:rPr>
            </w:pPr>
          </w:p>
        </w:tc>
      </w:tr>
      <w:tr w:rsidR="008E5DE4" w14:paraId="4E99AD62" w14:textId="77777777">
        <w:trPr>
          <w:cantSplit/>
          <w:tblHeader/>
        </w:trPr>
        <w:tc>
          <w:tcPr>
            <w:tcW w:w="2977" w:type="dxa"/>
            <w:vAlign w:val="bottom"/>
          </w:tcPr>
          <w:p w14:paraId="13D5FF13"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Other financial derivatives</w:t>
            </w:r>
          </w:p>
        </w:tc>
        <w:tc>
          <w:tcPr>
            <w:tcW w:w="1077" w:type="dxa"/>
            <w:vAlign w:val="bottom"/>
          </w:tcPr>
          <w:p w14:paraId="13A748DB"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13A2C1F1"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65F6FFDC"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FC2756F"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72200D58"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52ACE9FF" w14:textId="77777777" w:rsidR="008E5DE4" w:rsidRDefault="008E5DE4">
            <w:pPr>
              <w:widowControl w:val="0"/>
              <w:pBdr>
                <w:top w:val="nil"/>
                <w:left w:val="nil"/>
                <w:bottom w:val="nil"/>
                <w:right w:val="nil"/>
                <w:between w:val="nil"/>
              </w:pBdr>
              <w:jc w:val="right"/>
              <w:rPr>
                <w:color w:val="000000"/>
                <w:sz w:val="16"/>
                <w:szCs w:val="16"/>
              </w:rPr>
            </w:pPr>
          </w:p>
        </w:tc>
      </w:tr>
      <w:tr w:rsidR="008E5DE4" w14:paraId="6C7426E4" w14:textId="77777777">
        <w:trPr>
          <w:cantSplit/>
          <w:tblHeader/>
        </w:trPr>
        <w:tc>
          <w:tcPr>
            <w:tcW w:w="2977" w:type="dxa"/>
            <w:vAlign w:val="bottom"/>
          </w:tcPr>
          <w:p w14:paraId="789D68F5"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Restricted cash/cash settled with borrowings</w:t>
            </w:r>
          </w:p>
        </w:tc>
        <w:tc>
          <w:tcPr>
            <w:tcW w:w="1077" w:type="dxa"/>
            <w:vAlign w:val="bottom"/>
          </w:tcPr>
          <w:p w14:paraId="49D06F79"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5C514128"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343D9152"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38FCBEF2"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533620AE"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5E909A16" w14:textId="77777777" w:rsidR="008E5DE4" w:rsidRDefault="008E5DE4">
            <w:pPr>
              <w:widowControl w:val="0"/>
              <w:pBdr>
                <w:top w:val="nil"/>
                <w:left w:val="nil"/>
                <w:bottom w:val="nil"/>
                <w:right w:val="nil"/>
                <w:between w:val="nil"/>
              </w:pBdr>
              <w:jc w:val="right"/>
              <w:rPr>
                <w:color w:val="000000"/>
                <w:sz w:val="16"/>
                <w:szCs w:val="16"/>
              </w:rPr>
            </w:pPr>
          </w:p>
        </w:tc>
      </w:tr>
      <w:tr w:rsidR="008E5DE4" w14:paraId="332D73B2" w14:textId="77777777">
        <w:trPr>
          <w:cantSplit/>
          <w:tblHeader/>
        </w:trPr>
        <w:tc>
          <w:tcPr>
            <w:tcW w:w="2977" w:type="dxa"/>
            <w:tcBorders>
              <w:bottom w:val="single" w:sz="4" w:space="0" w:color="000000"/>
            </w:tcBorders>
            <w:vAlign w:val="bottom"/>
          </w:tcPr>
          <w:p w14:paraId="567EA829"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 </w:t>
            </w:r>
          </w:p>
        </w:tc>
        <w:tc>
          <w:tcPr>
            <w:tcW w:w="1077" w:type="dxa"/>
            <w:tcBorders>
              <w:bottom w:val="single" w:sz="4" w:space="0" w:color="000000"/>
            </w:tcBorders>
            <w:vAlign w:val="bottom"/>
          </w:tcPr>
          <w:p w14:paraId="5406083B"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0676A963"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114CE84D"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4E788154"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00064591"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0BA77B2F" w14:textId="77777777" w:rsidR="008E5DE4" w:rsidRDefault="008E5DE4">
            <w:pPr>
              <w:widowControl w:val="0"/>
              <w:pBdr>
                <w:top w:val="nil"/>
                <w:left w:val="nil"/>
                <w:bottom w:val="nil"/>
                <w:right w:val="nil"/>
                <w:between w:val="nil"/>
              </w:pBdr>
              <w:jc w:val="right"/>
              <w:rPr>
                <w:color w:val="000000"/>
                <w:sz w:val="16"/>
                <w:szCs w:val="16"/>
              </w:rPr>
            </w:pPr>
          </w:p>
        </w:tc>
      </w:tr>
      <w:tr w:rsidR="008E5DE4" w14:paraId="19F5E8B9" w14:textId="77777777">
        <w:trPr>
          <w:cantSplit/>
          <w:tblHeader/>
        </w:trPr>
        <w:tc>
          <w:tcPr>
            <w:tcW w:w="2977" w:type="dxa"/>
            <w:vAlign w:val="bottom"/>
          </w:tcPr>
          <w:p w14:paraId="71BC4EF1"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 </w:t>
            </w:r>
          </w:p>
        </w:tc>
        <w:tc>
          <w:tcPr>
            <w:tcW w:w="1077" w:type="dxa"/>
            <w:vAlign w:val="bottom"/>
          </w:tcPr>
          <w:p w14:paraId="602D7506"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4AEF6296"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5CA5F48D"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65A399D1"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5050C389"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456A4C17"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362BFBB2" w14:textId="77777777">
        <w:trPr>
          <w:cantSplit/>
          <w:tblHeader/>
        </w:trPr>
        <w:tc>
          <w:tcPr>
            <w:tcW w:w="2977" w:type="dxa"/>
            <w:vAlign w:val="bottom"/>
          </w:tcPr>
          <w:p w14:paraId="09EDB6EF" w14:textId="77777777" w:rsidR="008E5DE4" w:rsidRDefault="00780368">
            <w:pPr>
              <w:widowControl w:val="0"/>
              <w:pBdr>
                <w:top w:val="nil"/>
                <w:left w:val="nil"/>
                <w:bottom w:val="nil"/>
                <w:right w:val="nil"/>
                <w:between w:val="nil"/>
              </w:pBdr>
              <w:ind w:left="113" w:right="-57" w:hanging="113"/>
              <w:rPr>
                <w:b/>
                <w:smallCaps/>
                <w:color w:val="000000"/>
                <w:sz w:val="16"/>
                <w:szCs w:val="16"/>
              </w:rPr>
            </w:pPr>
            <w:r>
              <w:rPr>
                <w:b/>
                <w:smallCaps/>
                <w:color w:val="000000"/>
                <w:sz w:val="16"/>
                <w:szCs w:val="16"/>
              </w:rPr>
              <w:t>TOTAL ASSETS SUBJECT TO OFFSETTING, MASTER NETTING AND SIMILAR ARRANGEMENT</w:t>
            </w:r>
          </w:p>
        </w:tc>
        <w:tc>
          <w:tcPr>
            <w:tcW w:w="1077" w:type="dxa"/>
            <w:vAlign w:val="bottom"/>
          </w:tcPr>
          <w:p w14:paraId="7F8FAB5D"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45AE05FF"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4028E12D"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7B535782"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4751001A"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097DB240" w14:textId="77777777" w:rsidR="008E5DE4" w:rsidRDefault="008E5DE4">
            <w:pPr>
              <w:widowControl w:val="0"/>
              <w:pBdr>
                <w:top w:val="nil"/>
                <w:left w:val="nil"/>
                <w:bottom w:val="nil"/>
                <w:right w:val="nil"/>
                <w:between w:val="nil"/>
              </w:pBdr>
              <w:jc w:val="right"/>
              <w:rPr>
                <w:b/>
                <w:smallCaps/>
                <w:color w:val="000000"/>
                <w:sz w:val="16"/>
                <w:szCs w:val="16"/>
              </w:rPr>
            </w:pPr>
          </w:p>
        </w:tc>
      </w:tr>
      <w:tr w:rsidR="008E5DE4" w14:paraId="0A96189A" w14:textId="77777777">
        <w:trPr>
          <w:cantSplit/>
          <w:tblHeader/>
        </w:trPr>
        <w:tc>
          <w:tcPr>
            <w:tcW w:w="2977" w:type="dxa"/>
            <w:tcBorders>
              <w:bottom w:val="single" w:sz="12" w:space="0" w:color="000000"/>
            </w:tcBorders>
            <w:vAlign w:val="bottom"/>
          </w:tcPr>
          <w:p w14:paraId="5063A937"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 </w:t>
            </w:r>
          </w:p>
        </w:tc>
        <w:tc>
          <w:tcPr>
            <w:tcW w:w="1077" w:type="dxa"/>
            <w:tcBorders>
              <w:bottom w:val="single" w:sz="12" w:space="0" w:color="000000"/>
            </w:tcBorders>
            <w:vAlign w:val="bottom"/>
          </w:tcPr>
          <w:p w14:paraId="1A5F7CBF"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5C417617"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565C2DDD"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29586B80"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4020DCC6"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47C27883" w14:textId="77777777" w:rsidR="008E5DE4" w:rsidRDefault="008E5DE4">
            <w:pPr>
              <w:widowControl w:val="0"/>
              <w:pBdr>
                <w:top w:val="nil"/>
                <w:left w:val="nil"/>
                <w:bottom w:val="nil"/>
                <w:right w:val="nil"/>
                <w:between w:val="nil"/>
              </w:pBdr>
              <w:jc w:val="right"/>
              <w:rPr>
                <w:color w:val="000000"/>
                <w:sz w:val="16"/>
                <w:szCs w:val="16"/>
              </w:rPr>
            </w:pPr>
          </w:p>
        </w:tc>
      </w:tr>
      <w:tr w:rsidR="008E5DE4" w14:paraId="5B19BCA7" w14:textId="77777777">
        <w:trPr>
          <w:cantSplit/>
          <w:tblHeader/>
        </w:trPr>
        <w:tc>
          <w:tcPr>
            <w:tcW w:w="2977" w:type="dxa"/>
            <w:vAlign w:val="bottom"/>
          </w:tcPr>
          <w:p w14:paraId="3B3A8BB6" w14:textId="77777777" w:rsidR="008E5DE4" w:rsidRDefault="00780368">
            <w:pPr>
              <w:widowControl w:val="0"/>
              <w:pBdr>
                <w:top w:val="nil"/>
                <w:left w:val="nil"/>
                <w:bottom w:val="nil"/>
                <w:right w:val="nil"/>
                <w:between w:val="nil"/>
              </w:pBdr>
              <w:ind w:left="113" w:right="-57" w:hanging="113"/>
              <w:rPr>
                <w:b/>
                <w:smallCaps/>
                <w:color w:val="000000"/>
                <w:sz w:val="16"/>
                <w:szCs w:val="16"/>
              </w:rPr>
            </w:pPr>
            <w:r>
              <w:rPr>
                <w:color w:val="000000"/>
                <w:sz w:val="16"/>
                <w:szCs w:val="16"/>
              </w:rPr>
              <w:t> </w:t>
            </w:r>
          </w:p>
        </w:tc>
        <w:tc>
          <w:tcPr>
            <w:tcW w:w="1077" w:type="dxa"/>
            <w:vAlign w:val="bottom"/>
          </w:tcPr>
          <w:p w14:paraId="500E8EB2" w14:textId="77777777" w:rsidR="008E5DE4" w:rsidRDefault="008E5DE4">
            <w:pPr>
              <w:widowControl w:val="0"/>
              <w:pBdr>
                <w:top w:val="nil"/>
                <w:left w:val="nil"/>
                <w:bottom w:val="nil"/>
                <w:right w:val="nil"/>
                <w:between w:val="nil"/>
              </w:pBdr>
              <w:jc w:val="right"/>
              <w:rPr>
                <w:smallCaps/>
                <w:color w:val="000000"/>
                <w:sz w:val="16"/>
                <w:szCs w:val="16"/>
              </w:rPr>
            </w:pPr>
          </w:p>
        </w:tc>
        <w:tc>
          <w:tcPr>
            <w:tcW w:w="1077" w:type="dxa"/>
            <w:vAlign w:val="bottom"/>
          </w:tcPr>
          <w:p w14:paraId="59852ABD"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64C579F6"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06E4C264"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110218A6"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18785320" w14:textId="77777777" w:rsidR="008E5DE4" w:rsidRDefault="008E5DE4">
            <w:pPr>
              <w:widowControl w:val="0"/>
              <w:pBdr>
                <w:top w:val="nil"/>
                <w:left w:val="nil"/>
                <w:bottom w:val="nil"/>
                <w:right w:val="nil"/>
                <w:between w:val="nil"/>
              </w:pBdr>
              <w:jc w:val="right"/>
              <w:rPr>
                <w:b/>
                <w:smallCaps/>
                <w:color w:val="000000"/>
                <w:sz w:val="16"/>
                <w:szCs w:val="16"/>
              </w:rPr>
            </w:pPr>
          </w:p>
        </w:tc>
      </w:tr>
      <w:tr w:rsidR="008E5DE4" w14:paraId="67965BEC" w14:textId="77777777">
        <w:trPr>
          <w:cantSplit/>
          <w:tblHeader/>
        </w:trPr>
        <w:tc>
          <w:tcPr>
            <w:tcW w:w="2977" w:type="dxa"/>
            <w:vAlign w:val="bottom"/>
          </w:tcPr>
          <w:p w14:paraId="05673E32" w14:textId="77777777" w:rsidR="008E5DE4" w:rsidRDefault="00780368">
            <w:pPr>
              <w:widowControl w:val="0"/>
              <w:pBdr>
                <w:top w:val="nil"/>
                <w:left w:val="nil"/>
                <w:bottom w:val="nil"/>
                <w:right w:val="nil"/>
                <w:between w:val="nil"/>
              </w:pBdr>
              <w:ind w:left="113" w:right="-57" w:hanging="113"/>
              <w:rPr>
                <w:b/>
                <w:smallCaps/>
                <w:color w:val="000000"/>
                <w:sz w:val="16"/>
                <w:szCs w:val="16"/>
              </w:rPr>
            </w:pPr>
            <w:r>
              <w:rPr>
                <w:b/>
                <w:smallCaps/>
                <w:color w:val="000000"/>
                <w:sz w:val="16"/>
                <w:szCs w:val="16"/>
              </w:rPr>
              <w:t>LIABILITIES</w:t>
            </w:r>
          </w:p>
        </w:tc>
        <w:tc>
          <w:tcPr>
            <w:tcW w:w="1077" w:type="dxa"/>
            <w:vAlign w:val="bottom"/>
          </w:tcPr>
          <w:p w14:paraId="64C9AA60" w14:textId="77777777" w:rsidR="008E5DE4" w:rsidRDefault="008E5DE4">
            <w:pPr>
              <w:widowControl w:val="0"/>
              <w:pBdr>
                <w:top w:val="nil"/>
                <w:left w:val="nil"/>
                <w:bottom w:val="nil"/>
                <w:right w:val="nil"/>
                <w:between w:val="nil"/>
              </w:pBdr>
              <w:jc w:val="right"/>
              <w:rPr>
                <w:smallCaps/>
                <w:color w:val="000000"/>
                <w:sz w:val="16"/>
                <w:szCs w:val="16"/>
              </w:rPr>
            </w:pPr>
          </w:p>
        </w:tc>
        <w:tc>
          <w:tcPr>
            <w:tcW w:w="1077" w:type="dxa"/>
            <w:vAlign w:val="bottom"/>
          </w:tcPr>
          <w:p w14:paraId="279A1724"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5D7699FE"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29FE7DEA"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23314F47"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35BB2565" w14:textId="77777777" w:rsidR="008E5DE4" w:rsidRDefault="008E5DE4">
            <w:pPr>
              <w:widowControl w:val="0"/>
              <w:pBdr>
                <w:top w:val="nil"/>
                <w:left w:val="nil"/>
                <w:bottom w:val="nil"/>
                <w:right w:val="nil"/>
                <w:between w:val="nil"/>
              </w:pBdr>
              <w:jc w:val="right"/>
              <w:rPr>
                <w:b/>
                <w:smallCaps/>
                <w:color w:val="000000"/>
                <w:sz w:val="16"/>
                <w:szCs w:val="16"/>
              </w:rPr>
            </w:pPr>
          </w:p>
        </w:tc>
      </w:tr>
      <w:tr w:rsidR="008E5DE4" w14:paraId="6D8270E6" w14:textId="77777777">
        <w:trPr>
          <w:cantSplit/>
          <w:tblHeader/>
        </w:trPr>
        <w:tc>
          <w:tcPr>
            <w:tcW w:w="2977" w:type="dxa"/>
            <w:vAlign w:val="bottom"/>
          </w:tcPr>
          <w:p w14:paraId="0E514A79" w14:textId="77777777" w:rsidR="008E5DE4" w:rsidRDefault="00780368">
            <w:pPr>
              <w:widowControl w:val="0"/>
              <w:pBdr>
                <w:top w:val="nil"/>
                <w:left w:val="nil"/>
                <w:bottom w:val="nil"/>
                <w:right w:val="nil"/>
                <w:between w:val="nil"/>
              </w:pBdr>
              <w:ind w:left="113" w:right="-57" w:hanging="113"/>
              <w:rPr>
                <w:b/>
                <w:i/>
                <w:color w:val="000000"/>
                <w:sz w:val="16"/>
                <w:szCs w:val="16"/>
              </w:rPr>
            </w:pPr>
            <w:r>
              <w:rPr>
                <w:b/>
                <w:color w:val="000000"/>
                <w:sz w:val="16"/>
                <w:szCs w:val="16"/>
              </w:rPr>
              <w:t> </w:t>
            </w:r>
          </w:p>
        </w:tc>
        <w:tc>
          <w:tcPr>
            <w:tcW w:w="1077" w:type="dxa"/>
            <w:vAlign w:val="bottom"/>
          </w:tcPr>
          <w:p w14:paraId="5FA2C059"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01B9FF9C"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578FBF04"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09FD0E6"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E1DED3B"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6D22DCED" w14:textId="77777777" w:rsidR="008E5DE4" w:rsidRDefault="008E5DE4">
            <w:pPr>
              <w:widowControl w:val="0"/>
              <w:pBdr>
                <w:top w:val="nil"/>
                <w:left w:val="nil"/>
                <w:bottom w:val="nil"/>
                <w:right w:val="nil"/>
                <w:between w:val="nil"/>
              </w:pBdr>
              <w:jc w:val="right"/>
              <w:rPr>
                <w:color w:val="000000"/>
                <w:sz w:val="16"/>
                <w:szCs w:val="16"/>
              </w:rPr>
            </w:pPr>
          </w:p>
        </w:tc>
      </w:tr>
      <w:tr w:rsidR="008E5DE4" w14:paraId="42A4F84F" w14:textId="77777777">
        <w:trPr>
          <w:cantSplit/>
          <w:tblHeader/>
        </w:trPr>
        <w:tc>
          <w:tcPr>
            <w:tcW w:w="2977" w:type="dxa"/>
            <w:vAlign w:val="bottom"/>
          </w:tcPr>
          <w:p w14:paraId="40320AAF"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Financial derivatives</w:t>
            </w:r>
          </w:p>
        </w:tc>
        <w:tc>
          <w:tcPr>
            <w:tcW w:w="1077" w:type="dxa"/>
            <w:vAlign w:val="bottom"/>
          </w:tcPr>
          <w:p w14:paraId="5AD0C167"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1598607E"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11BA6D9C"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380BB71D"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347CAB47"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2DC3912B" w14:textId="77777777" w:rsidR="008E5DE4" w:rsidRDefault="008E5DE4">
            <w:pPr>
              <w:widowControl w:val="0"/>
              <w:pBdr>
                <w:top w:val="nil"/>
                <w:left w:val="nil"/>
                <w:bottom w:val="nil"/>
                <w:right w:val="nil"/>
                <w:between w:val="nil"/>
              </w:pBdr>
              <w:jc w:val="right"/>
              <w:rPr>
                <w:color w:val="000000"/>
                <w:sz w:val="16"/>
                <w:szCs w:val="16"/>
              </w:rPr>
            </w:pPr>
          </w:p>
        </w:tc>
      </w:tr>
      <w:tr w:rsidR="008E5DE4" w14:paraId="03BDAAEA" w14:textId="77777777">
        <w:trPr>
          <w:cantSplit/>
          <w:tblHeader/>
        </w:trPr>
        <w:tc>
          <w:tcPr>
            <w:tcW w:w="2977" w:type="dxa"/>
            <w:vAlign w:val="bottom"/>
          </w:tcPr>
          <w:p w14:paraId="4DD6D8CC"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Bank borrowings</w:t>
            </w:r>
          </w:p>
        </w:tc>
        <w:tc>
          <w:tcPr>
            <w:tcW w:w="1077" w:type="dxa"/>
            <w:vAlign w:val="bottom"/>
          </w:tcPr>
          <w:p w14:paraId="4647EBBE"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502BA580"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3578F24C"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7BF41C6E"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5EF3AB75"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5059F50" w14:textId="77777777" w:rsidR="008E5DE4" w:rsidRDefault="008E5DE4">
            <w:pPr>
              <w:widowControl w:val="0"/>
              <w:pBdr>
                <w:top w:val="nil"/>
                <w:left w:val="nil"/>
                <w:bottom w:val="nil"/>
                <w:right w:val="nil"/>
                <w:between w:val="nil"/>
              </w:pBdr>
              <w:jc w:val="right"/>
              <w:rPr>
                <w:color w:val="000000"/>
                <w:sz w:val="16"/>
                <w:szCs w:val="16"/>
              </w:rPr>
            </w:pPr>
          </w:p>
        </w:tc>
      </w:tr>
      <w:tr w:rsidR="008E5DE4" w14:paraId="56D23ACF" w14:textId="77777777">
        <w:trPr>
          <w:cantSplit/>
          <w:tblHeader/>
        </w:trPr>
        <w:tc>
          <w:tcPr>
            <w:tcW w:w="2977" w:type="dxa"/>
            <w:vAlign w:val="bottom"/>
          </w:tcPr>
          <w:p w14:paraId="1E52873C"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Trade payables</w:t>
            </w:r>
          </w:p>
        </w:tc>
        <w:tc>
          <w:tcPr>
            <w:tcW w:w="1077" w:type="dxa"/>
            <w:vAlign w:val="bottom"/>
          </w:tcPr>
          <w:p w14:paraId="5F1AD36D"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232DD324"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3009DE0D"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059867A0"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42CC22DE" w14:textId="77777777" w:rsidR="008E5DE4" w:rsidRDefault="008E5DE4">
            <w:pPr>
              <w:widowControl w:val="0"/>
              <w:pBdr>
                <w:top w:val="nil"/>
                <w:left w:val="nil"/>
                <w:bottom w:val="nil"/>
                <w:right w:val="nil"/>
                <w:between w:val="nil"/>
              </w:pBdr>
              <w:jc w:val="right"/>
              <w:rPr>
                <w:color w:val="000000"/>
                <w:sz w:val="16"/>
                <w:szCs w:val="16"/>
              </w:rPr>
            </w:pPr>
          </w:p>
        </w:tc>
        <w:tc>
          <w:tcPr>
            <w:tcW w:w="1077" w:type="dxa"/>
            <w:vAlign w:val="bottom"/>
          </w:tcPr>
          <w:p w14:paraId="2C626BE7" w14:textId="77777777" w:rsidR="008E5DE4" w:rsidRDefault="008E5DE4">
            <w:pPr>
              <w:widowControl w:val="0"/>
              <w:pBdr>
                <w:top w:val="nil"/>
                <w:left w:val="nil"/>
                <w:bottom w:val="nil"/>
                <w:right w:val="nil"/>
                <w:between w:val="nil"/>
              </w:pBdr>
              <w:jc w:val="right"/>
              <w:rPr>
                <w:color w:val="000000"/>
                <w:sz w:val="16"/>
                <w:szCs w:val="16"/>
              </w:rPr>
            </w:pPr>
          </w:p>
        </w:tc>
      </w:tr>
      <w:tr w:rsidR="008E5DE4" w14:paraId="2C64FB6C" w14:textId="77777777">
        <w:trPr>
          <w:cantSplit/>
          <w:tblHeader/>
        </w:trPr>
        <w:tc>
          <w:tcPr>
            <w:tcW w:w="2977" w:type="dxa"/>
            <w:tcBorders>
              <w:bottom w:val="single" w:sz="4" w:space="0" w:color="000000"/>
            </w:tcBorders>
            <w:vAlign w:val="bottom"/>
          </w:tcPr>
          <w:p w14:paraId="34EAF43A"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 </w:t>
            </w:r>
          </w:p>
        </w:tc>
        <w:tc>
          <w:tcPr>
            <w:tcW w:w="1077" w:type="dxa"/>
            <w:tcBorders>
              <w:bottom w:val="single" w:sz="4" w:space="0" w:color="000000"/>
            </w:tcBorders>
            <w:vAlign w:val="bottom"/>
          </w:tcPr>
          <w:p w14:paraId="34A816DC"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2F81BBD5"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1F0F9FEA"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35769D10"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22744C7A"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4" w:space="0" w:color="000000"/>
            </w:tcBorders>
            <w:vAlign w:val="bottom"/>
          </w:tcPr>
          <w:p w14:paraId="62A699BE" w14:textId="77777777" w:rsidR="008E5DE4" w:rsidRDefault="008E5DE4">
            <w:pPr>
              <w:widowControl w:val="0"/>
              <w:pBdr>
                <w:top w:val="nil"/>
                <w:left w:val="nil"/>
                <w:bottom w:val="nil"/>
                <w:right w:val="nil"/>
                <w:between w:val="nil"/>
              </w:pBdr>
              <w:jc w:val="right"/>
              <w:rPr>
                <w:color w:val="000000"/>
                <w:sz w:val="16"/>
                <w:szCs w:val="16"/>
              </w:rPr>
            </w:pPr>
          </w:p>
        </w:tc>
      </w:tr>
      <w:tr w:rsidR="008E5DE4" w14:paraId="394F2F2A" w14:textId="77777777">
        <w:trPr>
          <w:cantSplit/>
          <w:tblHeader/>
        </w:trPr>
        <w:tc>
          <w:tcPr>
            <w:tcW w:w="2977" w:type="dxa"/>
            <w:vAlign w:val="bottom"/>
          </w:tcPr>
          <w:p w14:paraId="390E1934"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 </w:t>
            </w:r>
          </w:p>
        </w:tc>
        <w:tc>
          <w:tcPr>
            <w:tcW w:w="1077" w:type="dxa"/>
            <w:vAlign w:val="bottom"/>
          </w:tcPr>
          <w:p w14:paraId="6CE9B7DB"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5D3F2FD6"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5C1B1881"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1687FF0F"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7A508F07" w14:textId="77777777" w:rsidR="008E5DE4" w:rsidRDefault="008E5DE4">
            <w:pPr>
              <w:widowControl w:val="0"/>
              <w:pBdr>
                <w:top w:val="nil"/>
                <w:left w:val="nil"/>
                <w:bottom w:val="nil"/>
                <w:right w:val="nil"/>
                <w:between w:val="nil"/>
              </w:pBdr>
              <w:jc w:val="right"/>
              <w:rPr>
                <w:b/>
                <w:color w:val="000000"/>
                <w:sz w:val="16"/>
                <w:szCs w:val="16"/>
              </w:rPr>
            </w:pPr>
          </w:p>
        </w:tc>
        <w:tc>
          <w:tcPr>
            <w:tcW w:w="1077" w:type="dxa"/>
            <w:vAlign w:val="bottom"/>
          </w:tcPr>
          <w:p w14:paraId="7F8C02AA"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5B0E3BFF" w14:textId="77777777">
        <w:trPr>
          <w:cantSplit/>
          <w:tblHeader/>
        </w:trPr>
        <w:tc>
          <w:tcPr>
            <w:tcW w:w="2977" w:type="dxa"/>
            <w:vAlign w:val="bottom"/>
          </w:tcPr>
          <w:p w14:paraId="2DD13E64" w14:textId="77777777" w:rsidR="008E5DE4" w:rsidRDefault="00780368">
            <w:pPr>
              <w:widowControl w:val="0"/>
              <w:pBdr>
                <w:top w:val="nil"/>
                <w:left w:val="nil"/>
                <w:bottom w:val="nil"/>
                <w:right w:val="nil"/>
                <w:between w:val="nil"/>
              </w:pBdr>
              <w:ind w:left="113" w:right="-57" w:hanging="113"/>
              <w:rPr>
                <w:b/>
                <w:smallCaps/>
                <w:color w:val="000000"/>
                <w:sz w:val="16"/>
                <w:szCs w:val="16"/>
              </w:rPr>
            </w:pPr>
            <w:r>
              <w:rPr>
                <w:b/>
                <w:smallCaps/>
                <w:color w:val="000000"/>
                <w:sz w:val="16"/>
                <w:szCs w:val="16"/>
              </w:rPr>
              <w:t>TOTAL LIABILITIES SUBJECT TO OFFSETTING, MASTER NETTING AND SIMILAR ARRANGEMENT</w:t>
            </w:r>
          </w:p>
        </w:tc>
        <w:tc>
          <w:tcPr>
            <w:tcW w:w="1077" w:type="dxa"/>
            <w:vAlign w:val="bottom"/>
          </w:tcPr>
          <w:p w14:paraId="4F535DE4"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4C45CC51" w14:textId="77777777" w:rsidR="008E5DE4" w:rsidRDefault="008E5DE4">
            <w:pPr>
              <w:widowControl w:val="0"/>
              <w:pBdr>
                <w:top w:val="nil"/>
                <w:left w:val="nil"/>
                <w:bottom w:val="nil"/>
                <w:right w:val="nil"/>
                <w:between w:val="nil"/>
              </w:pBdr>
              <w:rPr>
                <w:b/>
                <w:smallCaps/>
                <w:color w:val="000000"/>
                <w:sz w:val="16"/>
                <w:szCs w:val="16"/>
              </w:rPr>
            </w:pPr>
          </w:p>
        </w:tc>
        <w:tc>
          <w:tcPr>
            <w:tcW w:w="1077" w:type="dxa"/>
            <w:vAlign w:val="bottom"/>
          </w:tcPr>
          <w:p w14:paraId="2CBC2D1F"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4A1BD51A"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28CB344B" w14:textId="77777777" w:rsidR="008E5DE4" w:rsidRDefault="008E5DE4">
            <w:pPr>
              <w:widowControl w:val="0"/>
              <w:pBdr>
                <w:top w:val="nil"/>
                <w:left w:val="nil"/>
                <w:bottom w:val="nil"/>
                <w:right w:val="nil"/>
                <w:between w:val="nil"/>
              </w:pBdr>
              <w:jc w:val="right"/>
              <w:rPr>
                <w:b/>
                <w:smallCaps/>
                <w:color w:val="000000"/>
                <w:sz w:val="16"/>
                <w:szCs w:val="16"/>
              </w:rPr>
            </w:pPr>
          </w:p>
        </w:tc>
        <w:tc>
          <w:tcPr>
            <w:tcW w:w="1077" w:type="dxa"/>
            <w:vAlign w:val="bottom"/>
          </w:tcPr>
          <w:p w14:paraId="16A1DFAA" w14:textId="77777777" w:rsidR="008E5DE4" w:rsidRDefault="008E5DE4">
            <w:pPr>
              <w:widowControl w:val="0"/>
              <w:pBdr>
                <w:top w:val="nil"/>
                <w:left w:val="nil"/>
                <w:bottom w:val="nil"/>
                <w:right w:val="nil"/>
                <w:between w:val="nil"/>
              </w:pBdr>
              <w:jc w:val="right"/>
              <w:rPr>
                <w:b/>
                <w:smallCaps/>
                <w:color w:val="000000"/>
                <w:sz w:val="16"/>
                <w:szCs w:val="16"/>
              </w:rPr>
            </w:pPr>
          </w:p>
        </w:tc>
      </w:tr>
      <w:tr w:rsidR="008E5DE4" w14:paraId="27F0EA2B" w14:textId="77777777">
        <w:trPr>
          <w:cantSplit/>
          <w:tblHeader/>
        </w:trPr>
        <w:tc>
          <w:tcPr>
            <w:tcW w:w="2977" w:type="dxa"/>
            <w:tcBorders>
              <w:bottom w:val="single" w:sz="12" w:space="0" w:color="000000"/>
            </w:tcBorders>
            <w:vAlign w:val="bottom"/>
          </w:tcPr>
          <w:p w14:paraId="4C208B2A" w14:textId="77777777" w:rsidR="008E5DE4" w:rsidRDefault="00780368">
            <w:pPr>
              <w:widowControl w:val="0"/>
              <w:pBdr>
                <w:top w:val="nil"/>
                <w:left w:val="nil"/>
                <w:bottom w:val="nil"/>
                <w:right w:val="nil"/>
                <w:between w:val="nil"/>
              </w:pBdr>
              <w:ind w:left="113" w:right="-57" w:hanging="113"/>
              <w:rPr>
                <w:color w:val="000000"/>
                <w:sz w:val="16"/>
                <w:szCs w:val="16"/>
              </w:rPr>
            </w:pPr>
            <w:r>
              <w:rPr>
                <w:b/>
                <w:color w:val="000000"/>
                <w:sz w:val="16"/>
                <w:szCs w:val="16"/>
              </w:rPr>
              <w:t> </w:t>
            </w:r>
          </w:p>
        </w:tc>
        <w:tc>
          <w:tcPr>
            <w:tcW w:w="1077" w:type="dxa"/>
            <w:tcBorders>
              <w:bottom w:val="single" w:sz="12" w:space="0" w:color="000000"/>
            </w:tcBorders>
            <w:vAlign w:val="bottom"/>
          </w:tcPr>
          <w:p w14:paraId="1787A8D2"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4A643C9B"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0275E89E"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0069B4DE"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724C565B" w14:textId="77777777" w:rsidR="008E5DE4" w:rsidRDefault="008E5DE4">
            <w:pPr>
              <w:widowControl w:val="0"/>
              <w:pBdr>
                <w:top w:val="nil"/>
                <w:left w:val="nil"/>
                <w:bottom w:val="nil"/>
                <w:right w:val="nil"/>
                <w:between w:val="nil"/>
              </w:pBdr>
              <w:jc w:val="right"/>
              <w:rPr>
                <w:color w:val="000000"/>
                <w:sz w:val="16"/>
                <w:szCs w:val="16"/>
              </w:rPr>
            </w:pPr>
          </w:p>
        </w:tc>
        <w:tc>
          <w:tcPr>
            <w:tcW w:w="1077" w:type="dxa"/>
            <w:tcBorders>
              <w:bottom w:val="single" w:sz="12" w:space="0" w:color="000000"/>
            </w:tcBorders>
            <w:vAlign w:val="bottom"/>
          </w:tcPr>
          <w:p w14:paraId="7599CA40" w14:textId="77777777" w:rsidR="008E5DE4" w:rsidRDefault="008E5DE4">
            <w:pPr>
              <w:widowControl w:val="0"/>
              <w:pBdr>
                <w:top w:val="nil"/>
                <w:left w:val="nil"/>
                <w:bottom w:val="nil"/>
                <w:right w:val="nil"/>
                <w:between w:val="nil"/>
              </w:pBdr>
              <w:jc w:val="right"/>
              <w:rPr>
                <w:color w:val="000000"/>
                <w:sz w:val="16"/>
                <w:szCs w:val="16"/>
              </w:rPr>
            </w:pPr>
          </w:p>
        </w:tc>
      </w:tr>
    </w:tbl>
    <w:p w14:paraId="6054434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amount set off in the consolidated statement of financial position reported in column (b) is the lower of (</w:t>
      </w:r>
      <w:proofErr w:type="spellStart"/>
      <w:r>
        <w:rPr>
          <w:color w:val="000000"/>
          <w:sz w:val="20"/>
          <w:szCs w:val="20"/>
        </w:rPr>
        <w:t>i</w:t>
      </w:r>
      <w:proofErr w:type="spellEnd"/>
      <w:r>
        <w:rPr>
          <w:color w:val="000000"/>
          <w:sz w:val="20"/>
          <w:szCs w:val="20"/>
        </w:rPr>
        <w:t>) the gross amount before offsetting reported in column (a) and (ii) the amount of the related instrument that is eligible for offsetting. Similarly, the amounts in columns (d) and (e) are limited to the exposure reported in column (c) for each individual instrument in order not to understate the ultimate net exposure.</w:t>
      </w:r>
    </w:p>
    <w:p w14:paraId="1BA58B21"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has master netting arrangements with</w:t>
      </w:r>
      <w:r>
        <w:rPr>
          <w:color w:val="0000FF"/>
          <w:sz w:val="20"/>
          <w:szCs w:val="20"/>
        </w:rPr>
        <w:t xml:space="preserve"> [name of counterparty]</w:t>
      </w:r>
      <w:r>
        <w:rPr>
          <w:color w:val="000000"/>
          <w:sz w:val="20"/>
          <w:szCs w:val="20"/>
        </w:rPr>
        <w:t xml:space="preserve">, which are enforceable in case of default. In addition, applicable legislation allows an entity to unilaterally set off trade receivables and payables that are due for payment, denominated in the same currency and outstanding with the same counterparty. These fall in the scope of the disclosure as they were set off in the consolidated statement of financial position. </w:t>
      </w:r>
    </w:p>
    <w:p w14:paraId="249F9BDA" w14:textId="1B7EA430" w:rsidR="008E5DE4" w:rsidRDefault="00F93586" w:rsidP="007F183E">
      <w:pPr>
        <w:pStyle w:val="Heading1"/>
        <w:keepLines/>
        <w:pageBreakBefore/>
        <w:numPr>
          <w:ilvl w:val="0"/>
          <w:numId w:val="0"/>
        </w:numPr>
        <w:ind w:left="4679" w:hanging="4679"/>
      </w:pPr>
      <w:bookmarkStart w:id="74" w:name="_Toc149923645"/>
      <w:r>
        <w:lastRenderedPageBreak/>
        <w:t xml:space="preserve">46     </w:t>
      </w:r>
      <w:r w:rsidR="00780368">
        <w:t>Derivative Financial Instruments</w:t>
      </w:r>
      <w:bookmarkEnd w:id="74"/>
      <w:r w:rsidR="00780368">
        <w:tab/>
      </w:r>
    </w:p>
    <w:p w14:paraId="056E148C" w14:textId="1EBE6643" w:rsidR="008E5DE4" w:rsidRDefault="00090491" w:rsidP="007F183E">
      <w:pPr>
        <w:shd w:val="clear" w:color="auto" w:fill="C6D9F1"/>
        <w:rPr>
          <w:i/>
          <w:color w:val="FF0000"/>
          <w:sz w:val="20"/>
          <w:szCs w:val="20"/>
        </w:rPr>
      </w:pPr>
      <w:r>
        <w:rPr>
          <w:b/>
          <w:i/>
          <w:sz w:val="20"/>
          <w:szCs w:val="20"/>
        </w:rPr>
        <w:t>Material accounting policy information</w:t>
      </w:r>
      <w:r w:rsidR="00780368">
        <w:rPr>
          <w:b/>
          <w:i/>
          <w:sz w:val="20"/>
          <w:szCs w:val="20"/>
        </w:rPr>
        <w:t xml:space="preserve"> </w:t>
      </w:r>
    </w:p>
    <w:p w14:paraId="6B16F721" w14:textId="25BB2F63"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Derivative financial instruments </w:t>
      </w:r>
      <w:r>
        <w:rPr>
          <w:color w:val="000000"/>
          <w:sz w:val="20"/>
          <w:szCs w:val="20"/>
        </w:rPr>
        <w:t xml:space="preserve">Derivative financial instruments, including </w:t>
      </w:r>
      <w:r>
        <w:rPr>
          <w:color w:val="0000FF"/>
          <w:sz w:val="20"/>
          <w:szCs w:val="20"/>
        </w:rPr>
        <w:t>[foreign exchange contracts, interest rate futures, forward rate agreements, currency and interest rate swaps, currency and interest rate options]</w:t>
      </w:r>
      <w:r>
        <w:rPr>
          <w:color w:val="000000"/>
          <w:sz w:val="20"/>
          <w:szCs w:val="20"/>
        </w:rPr>
        <w:t xml:space="preserve"> are carried at their fair value. All derivative instruments are carried as assets when fair value is positive and as liabilities when fair value is negative</w:t>
      </w:r>
      <w:r>
        <w:rPr>
          <w:i/>
          <w:color w:val="000000"/>
          <w:sz w:val="20"/>
          <w:szCs w:val="20"/>
        </w:rPr>
        <w:t xml:space="preserve">. </w:t>
      </w:r>
      <w:r>
        <w:rPr>
          <w:color w:val="000000"/>
          <w:sz w:val="20"/>
          <w:szCs w:val="20"/>
        </w:rPr>
        <w:t>Changes in the fair value of derivative instruments are included in profit or loss for the year. The Group does not apply hedge accounting.</w:t>
      </w:r>
      <w:r>
        <w:rPr>
          <w:i/>
          <w:color w:val="FF0000"/>
          <w:sz w:val="20"/>
          <w:szCs w:val="20"/>
        </w:rPr>
        <w:t xml:space="preserve"> </w:t>
      </w:r>
    </w:p>
    <w:p w14:paraId="6B1396A3"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Certain derivative instruments embedded in financial liabilities and other non-financial contracts are treated as separate derivative instruments when their risks and characteristics are not closely related to those of the host contract.</w:t>
      </w:r>
    </w:p>
    <w:p w14:paraId="6986C98C" w14:textId="77777777" w:rsidR="008E5DE4" w:rsidRDefault="008E5DE4">
      <w:pPr>
        <w:shd w:val="clear" w:color="auto" w:fill="C6D9F1"/>
        <w:jc w:val="both"/>
        <w:rPr>
          <w:i/>
          <w:color w:val="FF0000"/>
          <w:sz w:val="20"/>
          <w:szCs w:val="20"/>
        </w:rPr>
      </w:pPr>
    </w:p>
    <w:p w14:paraId="72EEF412" w14:textId="77777777" w:rsidR="008E5DE4" w:rsidRDefault="008E5DE4"/>
    <w:p w14:paraId="54164C2D" w14:textId="77777777" w:rsidR="008E5DE4" w:rsidRDefault="00780368">
      <w:pPr>
        <w:keepNext/>
        <w:keepLines/>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table below sets out fair values, at the end of the reporting period, of currencies receivable or payable under foreign exchange forward contracts </w:t>
      </w:r>
      <w:proofErr w:type="gramStart"/>
      <w:r>
        <w:rPr>
          <w:color w:val="000000"/>
          <w:sz w:val="20"/>
          <w:szCs w:val="20"/>
        </w:rPr>
        <w:t>entered into</w:t>
      </w:r>
      <w:proofErr w:type="gramEnd"/>
      <w:r>
        <w:rPr>
          <w:color w:val="000000"/>
          <w:sz w:val="20"/>
          <w:szCs w:val="20"/>
        </w:rPr>
        <w:t xml:space="preserve"> by the Group. The table reflects the gross positions before the netting of any counterparty positions (and payments) and covers contracts with settlement dates after the respective end of the reporting period. The contracts are short term in nature.</w:t>
      </w:r>
    </w:p>
    <w:tbl>
      <w:tblPr>
        <w:tblStyle w:val="affffffffffffc"/>
        <w:tblW w:w="9411" w:type="dxa"/>
        <w:tblLayout w:type="fixed"/>
        <w:tblLook w:val="0000" w:firstRow="0" w:lastRow="0" w:firstColumn="0" w:lastColumn="0" w:noHBand="0" w:noVBand="0"/>
      </w:tblPr>
      <w:tblGrid>
        <w:gridCol w:w="4195"/>
        <w:gridCol w:w="1304"/>
        <w:gridCol w:w="1304"/>
        <w:gridCol w:w="1304"/>
        <w:gridCol w:w="1304"/>
      </w:tblGrid>
      <w:tr w:rsidR="008E5DE4" w14:paraId="2A3F52EF" w14:textId="77777777">
        <w:trPr>
          <w:cantSplit/>
        </w:trPr>
        <w:tc>
          <w:tcPr>
            <w:tcW w:w="4195" w:type="dxa"/>
            <w:vAlign w:val="bottom"/>
          </w:tcPr>
          <w:p w14:paraId="76753B14" w14:textId="77777777" w:rsidR="008E5DE4" w:rsidRDefault="008E5DE4">
            <w:pPr>
              <w:widowControl w:val="0"/>
              <w:pBdr>
                <w:top w:val="nil"/>
                <w:left w:val="nil"/>
                <w:bottom w:val="nil"/>
                <w:right w:val="nil"/>
                <w:between w:val="nil"/>
              </w:pBdr>
              <w:ind w:left="113" w:right="-57" w:hanging="113"/>
              <w:rPr>
                <w:b/>
                <w:i/>
                <w:color w:val="000000"/>
              </w:rPr>
            </w:pPr>
          </w:p>
        </w:tc>
        <w:tc>
          <w:tcPr>
            <w:tcW w:w="2608" w:type="dxa"/>
            <w:gridSpan w:val="2"/>
            <w:tcBorders>
              <w:bottom w:val="single" w:sz="4" w:space="0" w:color="000000"/>
            </w:tcBorders>
            <w:vAlign w:val="bottom"/>
          </w:tcPr>
          <w:p w14:paraId="0A685B37" w14:textId="21A775F5" w:rsidR="008E5DE4" w:rsidRDefault="008614F8">
            <w:pPr>
              <w:widowControl w:val="0"/>
              <w:pBdr>
                <w:top w:val="nil"/>
                <w:left w:val="nil"/>
                <w:bottom w:val="nil"/>
                <w:right w:val="nil"/>
                <w:between w:val="nil"/>
              </w:pBdr>
              <w:jc w:val="center"/>
              <w:rPr>
                <w:b/>
                <w:color w:val="000000"/>
              </w:rPr>
            </w:pPr>
            <w:r>
              <w:rPr>
                <w:b/>
                <w:color w:val="000000"/>
              </w:rPr>
              <w:t>2025</w:t>
            </w:r>
          </w:p>
        </w:tc>
        <w:tc>
          <w:tcPr>
            <w:tcW w:w="2608" w:type="dxa"/>
            <w:gridSpan w:val="2"/>
            <w:tcBorders>
              <w:bottom w:val="single" w:sz="4" w:space="0" w:color="000000"/>
            </w:tcBorders>
            <w:vAlign w:val="bottom"/>
          </w:tcPr>
          <w:p w14:paraId="608004A7" w14:textId="2FE902F6" w:rsidR="008E5DE4" w:rsidRDefault="00E06A92">
            <w:pPr>
              <w:widowControl w:val="0"/>
              <w:pBdr>
                <w:top w:val="nil"/>
                <w:left w:val="nil"/>
                <w:bottom w:val="nil"/>
                <w:right w:val="nil"/>
                <w:between w:val="nil"/>
              </w:pBdr>
              <w:jc w:val="center"/>
              <w:rPr>
                <w:b/>
                <w:color w:val="000000"/>
              </w:rPr>
            </w:pPr>
            <w:r>
              <w:rPr>
                <w:b/>
                <w:color w:val="000000"/>
              </w:rPr>
              <w:t>2024</w:t>
            </w:r>
          </w:p>
        </w:tc>
      </w:tr>
      <w:tr w:rsidR="008E5DE4" w14:paraId="278225B3" w14:textId="77777777">
        <w:trPr>
          <w:cantSplit/>
        </w:trPr>
        <w:tc>
          <w:tcPr>
            <w:tcW w:w="4195" w:type="dxa"/>
            <w:tcBorders>
              <w:bottom w:val="single" w:sz="4" w:space="0" w:color="000000"/>
            </w:tcBorders>
            <w:vAlign w:val="bottom"/>
          </w:tcPr>
          <w:p w14:paraId="5A5D739D"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304" w:type="dxa"/>
            <w:tcBorders>
              <w:top w:val="single" w:sz="4" w:space="0" w:color="000000"/>
              <w:bottom w:val="single" w:sz="4" w:space="0" w:color="000000"/>
            </w:tcBorders>
          </w:tcPr>
          <w:p w14:paraId="4E29313D" w14:textId="77777777" w:rsidR="008E5DE4" w:rsidRDefault="00780368">
            <w:pPr>
              <w:widowControl w:val="0"/>
              <w:pBdr>
                <w:top w:val="nil"/>
                <w:left w:val="nil"/>
                <w:bottom w:val="nil"/>
                <w:right w:val="nil"/>
                <w:between w:val="nil"/>
              </w:pBdr>
              <w:ind w:left="-113"/>
              <w:jc w:val="right"/>
              <w:rPr>
                <w:b/>
                <w:color w:val="000000"/>
              </w:rPr>
            </w:pPr>
            <w:r>
              <w:rPr>
                <w:b/>
                <w:color w:val="000000"/>
              </w:rPr>
              <w:t>Contracts with positive fair value</w:t>
            </w:r>
          </w:p>
        </w:tc>
        <w:tc>
          <w:tcPr>
            <w:tcW w:w="1304" w:type="dxa"/>
            <w:tcBorders>
              <w:top w:val="single" w:sz="4" w:space="0" w:color="000000"/>
              <w:bottom w:val="single" w:sz="4" w:space="0" w:color="000000"/>
            </w:tcBorders>
          </w:tcPr>
          <w:p w14:paraId="1D52DDE2" w14:textId="77777777" w:rsidR="008E5DE4" w:rsidRDefault="00780368">
            <w:pPr>
              <w:widowControl w:val="0"/>
              <w:pBdr>
                <w:top w:val="nil"/>
                <w:left w:val="nil"/>
                <w:bottom w:val="nil"/>
                <w:right w:val="nil"/>
                <w:between w:val="nil"/>
              </w:pBdr>
              <w:ind w:left="-113"/>
              <w:jc w:val="right"/>
              <w:rPr>
                <w:b/>
                <w:color w:val="000000"/>
              </w:rPr>
            </w:pPr>
            <w:r>
              <w:rPr>
                <w:b/>
                <w:color w:val="000000"/>
              </w:rPr>
              <w:t>Contracts with negative fair value</w:t>
            </w:r>
          </w:p>
        </w:tc>
        <w:tc>
          <w:tcPr>
            <w:tcW w:w="1304" w:type="dxa"/>
            <w:tcBorders>
              <w:top w:val="single" w:sz="4" w:space="0" w:color="000000"/>
              <w:bottom w:val="single" w:sz="4" w:space="0" w:color="000000"/>
            </w:tcBorders>
          </w:tcPr>
          <w:p w14:paraId="0F16F016" w14:textId="77777777" w:rsidR="008E5DE4" w:rsidRDefault="00780368">
            <w:pPr>
              <w:widowControl w:val="0"/>
              <w:pBdr>
                <w:top w:val="nil"/>
                <w:left w:val="nil"/>
                <w:bottom w:val="nil"/>
                <w:right w:val="nil"/>
                <w:between w:val="nil"/>
              </w:pBdr>
              <w:ind w:left="-113"/>
              <w:jc w:val="right"/>
              <w:rPr>
                <w:b/>
                <w:color w:val="000000"/>
              </w:rPr>
            </w:pPr>
            <w:r>
              <w:rPr>
                <w:b/>
                <w:color w:val="000000"/>
              </w:rPr>
              <w:t>Contracts with positive fair value</w:t>
            </w:r>
          </w:p>
        </w:tc>
        <w:tc>
          <w:tcPr>
            <w:tcW w:w="1304" w:type="dxa"/>
            <w:tcBorders>
              <w:top w:val="single" w:sz="4" w:space="0" w:color="000000"/>
              <w:bottom w:val="single" w:sz="4" w:space="0" w:color="000000"/>
            </w:tcBorders>
          </w:tcPr>
          <w:p w14:paraId="7E052C51" w14:textId="77777777" w:rsidR="008E5DE4" w:rsidRDefault="00780368">
            <w:pPr>
              <w:widowControl w:val="0"/>
              <w:pBdr>
                <w:top w:val="nil"/>
                <w:left w:val="nil"/>
                <w:bottom w:val="nil"/>
                <w:right w:val="nil"/>
                <w:between w:val="nil"/>
              </w:pBdr>
              <w:ind w:left="-113"/>
              <w:jc w:val="right"/>
              <w:rPr>
                <w:b/>
                <w:color w:val="000000"/>
              </w:rPr>
            </w:pPr>
            <w:r>
              <w:rPr>
                <w:b/>
                <w:color w:val="000000"/>
              </w:rPr>
              <w:t>Contracts with negative fair value</w:t>
            </w:r>
          </w:p>
        </w:tc>
      </w:tr>
      <w:tr w:rsidR="008E5DE4" w14:paraId="6D70BB7A" w14:textId="77777777">
        <w:trPr>
          <w:cantSplit/>
        </w:trPr>
        <w:tc>
          <w:tcPr>
            <w:tcW w:w="4195" w:type="dxa"/>
            <w:tcBorders>
              <w:top w:val="single" w:sz="4" w:space="0" w:color="000000"/>
            </w:tcBorders>
            <w:vAlign w:val="bottom"/>
          </w:tcPr>
          <w:p w14:paraId="46ED0AA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top w:val="single" w:sz="4" w:space="0" w:color="000000"/>
            </w:tcBorders>
            <w:vAlign w:val="bottom"/>
          </w:tcPr>
          <w:p w14:paraId="0EBFC06E"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6D46022B"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31CE0D07" w14:textId="77777777" w:rsidR="008E5DE4" w:rsidRDefault="008E5DE4">
            <w:pPr>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48D6A47A" w14:textId="77777777" w:rsidR="008E5DE4" w:rsidRDefault="008E5DE4">
            <w:pPr>
              <w:widowControl w:val="0"/>
              <w:pBdr>
                <w:top w:val="nil"/>
                <w:left w:val="nil"/>
                <w:bottom w:val="nil"/>
                <w:right w:val="nil"/>
                <w:between w:val="nil"/>
              </w:pBdr>
              <w:jc w:val="right"/>
              <w:rPr>
                <w:b/>
                <w:color w:val="000000"/>
              </w:rPr>
            </w:pPr>
          </w:p>
        </w:tc>
      </w:tr>
      <w:tr w:rsidR="008E5DE4" w14:paraId="6885500C" w14:textId="77777777">
        <w:trPr>
          <w:cantSplit/>
        </w:trPr>
        <w:tc>
          <w:tcPr>
            <w:tcW w:w="4195" w:type="dxa"/>
            <w:vAlign w:val="bottom"/>
          </w:tcPr>
          <w:p w14:paraId="18D52B63" w14:textId="77777777" w:rsidR="008E5DE4" w:rsidRDefault="00780368">
            <w:pPr>
              <w:widowControl w:val="0"/>
              <w:pBdr>
                <w:top w:val="nil"/>
                <w:left w:val="nil"/>
                <w:bottom w:val="nil"/>
                <w:right w:val="nil"/>
                <w:between w:val="nil"/>
              </w:pBdr>
              <w:ind w:left="113" w:right="-57" w:hanging="113"/>
              <w:rPr>
                <w:b/>
                <w:color w:val="000000"/>
              </w:rPr>
            </w:pPr>
            <w:r>
              <w:rPr>
                <w:b/>
                <w:color w:val="000000"/>
              </w:rPr>
              <w:t>Foreign exchange forwards: fair values, at the end of the reporting period, of</w:t>
            </w:r>
          </w:p>
        </w:tc>
        <w:tc>
          <w:tcPr>
            <w:tcW w:w="1304" w:type="dxa"/>
            <w:vAlign w:val="bottom"/>
          </w:tcPr>
          <w:p w14:paraId="44EE3661"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01A8F0AC"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4925AA42"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45019386" w14:textId="77777777" w:rsidR="008E5DE4" w:rsidRDefault="008E5DE4">
            <w:pPr>
              <w:widowControl w:val="0"/>
              <w:pBdr>
                <w:top w:val="nil"/>
                <w:left w:val="nil"/>
                <w:bottom w:val="nil"/>
                <w:right w:val="nil"/>
                <w:between w:val="nil"/>
              </w:pBdr>
              <w:tabs>
                <w:tab w:val="right" w:pos="8782"/>
              </w:tabs>
              <w:jc w:val="right"/>
              <w:rPr>
                <w:color w:val="000000"/>
              </w:rPr>
            </w:pPr>
          </w:p>
        </w:tc>
      </w:tr>
      <w:tr w:rsidR="008E5DE4" w14:paraId="0782A6F6" w14:textId="77777777">
        <w:trPr>
          <w:cantSplit/>
        </w:trPr>
        <w:tc>
          <w:tcPr>
            <w:tcW w:w="4195" w:type="dxa"/>
            <w:vAlign w:val="bottom"/>
          </w:tcPr>
          <w:p w14:paraId="5D5CCA6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sidRPr="00181448">
              <w:rPr>
                <w:color w:val="0000FF"/>
              </w:rPr>
              <w:t>USD</w:t>
            </w:r>
            <w:r>
              <w:rPr>
                <w:color w:val="000000"/>
              </w:rPr>
              <w:t xml:space="preserve"> receivable on settlement (+)</w:t>
            </w:r>
          </w:p>
        </w:tc>
        <w:tc>
          <w:tcPr>
            <w:tcW w:w="1304" w:type="dxa"/>
            <w:vAlign w:val="bottom"/>
          </w:tcPr>
          <w:p w14:paraId="4BCEB148"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5373F065"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21DA3958"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4BD6B8F7" w14:textId="77777777" w:rsidR="008E5DE4" w:rsidRDefault="008E5DE4">
            <w:pPr>
              <w:widowControl w:val="0"/>
              <w:pBdr>
                <w:top w:val="nil"/>
                <w:left w:val="nil"/>
                <w:bottom w:val="nil"/>
                <w:right w:val="nil"/>
                <w:between w:val="nil"/>
              </w:pBdr>
              <w:tabs>
                <w:tab w:val="right" w:pos="8782"/>
              </w:tabs>
              <w:jc w:val="right"/>
              <w:rPr>
                <w:color w:val="000000"/>
              </w:rPr>
            </w:pPr>
          </w:p>
        </w:tc>
      </w:tr>
      <w:tr w:rsidR="008E5DE4" w14:paraId="07290577" w14:textId="77777777">
        <w:trPr>
          <w:cantSplit/>
        </w:trPr>
        <w:tc>
          <w:tcPr>
            <w:tcW w:w="4195" w:type="dxa"/>
            <w:vAlign w:val="bottom"/>
          </w:tcPr>
          <w:p w14:paraId="3A4BECEE"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sidRPr="00181448">
              <w:rPr>
                <w:color w:val="0000FF"/>
              </w:rPr>
              <w:t>USD</w:t>
            </w:r>
            <w:r>
              <w:rPr>
                <w:color w:val="000000"/>
              </w:rPr>
              <w:t xml:space="preserve"> payable on settlement (-)</w:t>
            </w:r>
          </w:p>
        </w:tc>
        <w:tc>
          <w:tcPr>
            <w:tcW w:w="1304" w:type="dxa"/>
            <w:vAlign w:val="bottom"/>
          </w:tcPr>
          <w:p w14:paraId="0DCD3DD5"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15C9BFEA"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77D43BF0"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240C4E6A" w14:textId="77777777" w:rsidR="008E5DE4" w:rsidRDefault="008E5DE4">
            <w:pPr>
              <w:widowControl w:val="0"/>
              <w:pBdr>
                <w:top w:val="nil"/>
                <w:left w:val="nil"/>
                <w:bottom w:val="nil"/>
                <w:right w:val="nil"/>
                <w:between w:val="nil"/>
              </w:pBdr>
              <w:tabs>
                <w:tab w:val="right" w:pos="8782"/>
              </w:tabs>
              <w:jc w:val="right"/>
              <w:rPr>
                <w:color w:val="000000"/>
              </w:rPr>
            </w:pPr>
          </w:p>
        </w:tc>
      </w:tr>
      <w:tr w:rsidR="008E5DE4" w14:paraId="000A0860" w14:textId="77777777">
        <w:trPr>
          <w:cantSplit/>
        </w:trPr>
        <w:tc>
          <w:tcPr>
            <w:tcW w:w="4195" w:type="dxa"/>
            <w:vAlign w:val="bottom"/>
          </w:tcPr>
          <w:p w14:paraId="4BC3483F"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sidRPr="00FA3B9A">
              <w:rPr>
                <w:color w:val="0000FF"/>
              </w:rPr>
              <w:t xml:space="preserve">[ </w:t>
            </w:r>
            <w:proofErr w:type="gramStart"/>
            <w:r w:rsidRPr="00FA3B9A">
              <w:rPr>
                <w:color w:val="0000FF"/>
              </w:rPr>
              <w:t xml:space="preserve">  ]</w:t>
            </w:r>
            <w:proofErr w:type="gramEnd"/>
            <w:r>
              <w:rPr>
                <w:color w:val="000000"/>
              </w:rPr>
              <w:t xml:space="preserve"> receivable on settlement (+)</w:t>
            </w:r>
          </w:p>
        </w:tc>
        <w:tc>
          <w:tcPr>
            <w:tcW w:w="1304" w:type="dxa"/>
            <w:vAlign w:val="bottom"/>
          </w:tcPr>
          <w:p w14:paraId="1DB78490"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24653C77"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5ACD64E4"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14A4597F" w14:textId="77777777" w:rsidR="008E5DE4" w:rsidRDefault="008E5DE4">
            <w:pPr>
              <w:widowControl w:val="0"/>
              <w:pBdr>
                <w:top w:val="nil"/>
                <w:left w:val="nil"/>
                <w:bottom w:val="nil"/>
                <w:right w:val="nil"/>
                <w:between w:val="nil"/>
              </w:pBdr>
              <w:tabs>
                <w:tab w:val="right" w:pos="8782"/>
              </w:tabs>
              <w:jc w:val="right"/>
              <w:rPr>
                <w:color w:val="000000"/>
              </w:rPr>
            </w:pPr>
          </w:p>
        </w:tc>
      </w:tr>
      <w:tr w:rsidR="008E5DE4" w14:paraId="0D35ABA5" w14:textId="77777777">
        <w:trPr>
          <w:cantSplit/>
        </w:trPr>
        <w:tc>
          <w:tcPr>
            <w:tcW w:w="4195" w:type="dxa"/>
            <w:vAlign w:val="bottom"/>
          </w:tcPr>
          <w:p w14:paraId="1BEFF6EF" w14:textId="78E33A8D"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sidRPr="00FA3B9A">
              <w:rPr>
                <w:color w:val="0000FF"/>
              </w:rPr>
              <w:t xml:space="preserve">[ </w:t>
            </w:r>
            <w:proofErr w:type="gramStart"/>
            <w:r w:rsidRPr="00FA3B9A">
              <w:rPr>
                <w:color w:val="0000FF"/>
              </w:rPr>
              <w:t xml:space="preserve">  ]</w:t>
            </w:r>
            <w:proofErr w:type="gramEnd"/>
            <w:r>
              <w:rPr>
                <w:color w:val="000000"/>
              </w:rPr>
              <w:t xml:space="preserve"> payable on settlement (-)</w:t>
            </w:r>
          </w:p>
        </w:tc>
        <w:tc>
          <w:tcPr>
            <w:tcW w:w="1304" w:type="dxa"/>
            <w:vAlign w:val="bottom"/>
          </w:tcPr>
          <w:p w14:paraId="5FE1012C"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55F6CE00"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7849A7BE"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3CB52ABF" w14:textId="77777777" w:rsidR="008E5DE4" w:rsidRDefault="008E5DE4">
            <w:pPr>
              <w:widowControl w:val="0"/>
              <w:pBdr>
                <w:top w:val="nil"/>
                <w:left w:val="nil"/>
                <w:bottom w:val="nil"/>
                <w:right w:val="nil"/>
                <w:between w:val="nil"/>
              </w:pBdr>
              <w:tabs>
                <w:tab w:val="right" w:pos="8782"/>
              </w:tabs>
              <w:jc w:val="right"/>
              <w:rPr>
                <w:color w:val="000000"/>
              </w:rPr>
            </w:pPr>
          </w:p>
        </w:tc>
      </w:tr>
      <w:tr w:rsidR="008E5DE4" w14:paraId="1A7A30A8" w14:textId="77777777">
        <w:trPr>
          <w:cantSplit/>
        </w:trPr>
        <w:tc>
          <w:tcPr>
            <w:tcW w:w="4195" w:type="dxa"/>
            <w:vAlign w:val="bottom"/>
          </w:tcPr>
          <w:p w14:paraId="5F068CA4" w14:textId="77777777" w:rsidR="008E5DE4" w:rsidRDefault="00780368">
            <w:pPr>
              <w:widowControl w:val="0"/>
              <w:pBdr>
                <w:top w:val="nil"/>
                <w:left w:val="nil"/>
                <w:bottom w:val="nil"/>
                <w:right w:val="nil"/>
                <w:between w:val="nil"/>
              </w:pBdr>
              <w:ind w:left="113" w:right="-57" w:hanging="113"/>
              <w:rPr>
                <w:color w:val="000000"/>
              </w:rPr>
            </w:pPr>
            <w:r>
              <w:rPr>
                <w:color w:val="000000"/>
              </w:rPr>
              <w:t>-EUR receivable on settlement (+)</w:t>
            </w:r>
          </w:p>
        </w:tc>
        <w:tc>
          <w:tcPr>
            <w:tcW w:w="1304" w:type="dxa"/>
            <w:vAlign w:val="bottom"/>
          </w:tcPr>
          <w:p w14:paraId="194E5628"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6D4C098E"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1917824D"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35EE853C" w14:textId="77777777" w:rsidR="008E5DE4" w:rsidRDefault="008E5DE4">
            <w:pPr>
              <w:widowControl w:val="0"/>
              <w:pBdr>
                <w:top w:val="nil"/>
                <w:left w:val="nil"/>
                <w:bottom w:val="nil"/>
                <w:right w:val="nil"/>
                <w:between w:val="nil"/>
              </w:pBdr>
              <w:tabs>
                <w:tab w:val="right" w:pos="8782"/>
              </w:tabs>
              <w:jc w:val="right"/>
              <w:rPr>
                <w:color w:val="000000"/>
              </w:rPr>
            </w:pPr>
          </w:p>
        </w:tc>
      </w:tr>
      <w:tr w:rsidR="008E5DE4" w14:paraId="7520C0B0" w14:textId="77777777">
        <w:trPr>
          <w:cantSplit/>
        </w:trPr>
        <w:tc>
          <w:tcPr>
            <w:tcW w:w="4195" w:type="dxa"/>
            <w:vAlign w:val="bottom"/>
          </w:tcPr>
          <w:p w14:paraId="5CA9590C"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-EUR payable on settlement (-)</w:t>
            </w:r>
          </w:p>
        </w:tc>
        <w:tc>
          <w:tcPr>
            <w:tcW w:w="1304" w:type="dxa"/>
            <w:vAlign w:val="bottom"/>
          </w:tcPr>
          <w:p w14:paraId="67CA0E27"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4D8DE47B"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57831541"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5AD33EE5" w14:textId="77777777" w:rsidR="008E5DE4" w:rsidRDefault="008E5DE4">
            <w:pPr>
              <w:widowControl w:val="0"/>
              <w:pBdr>
                <w:top w:val="nil"/>
                <w:left w:val="nil"/>
                <w:bottom w:val="nil"/>
                <w:right w:val="nil"/>
                <w:between w:val="nil"/>
              </w:pBdr>
              <w:tabs>
                <w:tab w:val="right" w:pos="8782"/>
              </w:tabs>
              <w:jc w:val="right"/>
              <w:rPr>
                <w:color w:val="000000"/>
              </w:rPr>
            </w:pPr>
          </w:p>
        </w:tc>
      </w:tr>
      <w:tr w:rsidR="008E5DE4" w14:paraId="079489AE" w14:textId="77777777">
        <w:trPr>
          <w:cantSplit/>
        </w:trPr>
        <w:tc>
          <w:tcPr>
            <w:tcW w:w="4195" w:type="dxa"/>
            <w:vAlign w:val="bottom"/>
          </w:tcPr>
          <w:p w14:paraId="048D168E" w14:textId="77777777" w:rsidR="008E5DE4" w:rsidRDefault="00780368">
            <w:pPr>
              <w:widowControl w:val="0"/>
              <w:pBdr>
                <w:top w:val="nil"/>
                <w:left w:val="nil"/>
                <w:bottom w:val="nil"/>
                <w:right w:val="nil"/>
                <w:between w:val="nil"/>
              </w:pBdr>
              <w:ind w:left="113" w:right="-57" w:hanging="113"/>
              <w:rPr>
                <w:color w:val="000000"/>
              </w:rPr>
            </w:pPr>
            <w:r>
              <w:rPr>
                <w:color w:val="000000"/>
              </w:rPr>
              <w:t>- Other currencies receivable on settlement (+)</w:t>
            </w:r>
          </w:p>
        </w:tc>
        <w:tc>
          <w:tcPr>
            <w:tcW w:w="1304" w:type="dxa"/>
            <w:vAlign w:val="bottom"/>
          </w:tcPr>
          <w:p w14:paraId="33A6E761"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25074B02"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23D54C3E"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48DAA90F" w14:textId="77777777" w:rsidR="008E5DE4" w:rsidRDefault="008E5DE4">
            <w:pPr>
              <w:widowControl w:val="0"/>
              <w:pBdr>
                <w:top w:val="nil"/>
                <w:left w:val="nil"/>
                <w:bottom w:val="nil"/>
                <w:right w:val="nil"/>
                <w:between w:val="nil"/>
              </w:pBdr>
              <w:tabs>
                <w:tab w:val="right" w:pos="8782"/>
              </w:tabs>
              <w:jc w:val="right"/>
              <w:rPr>
                <w:color w:val="000000"/>
              </w:rPr>
            </w:pPr>
          </w:p>
        </w:tc>
      </w:tr>
      <w:tr w:rsidR="008E5DE4" w14:paraId="38B3ABF4" w14:textId="77777777">
        <w:trPr>
          <w:cantSplit/>
        </w:trPr>
        <w:tc>
          <w:tcPr>
            <w:tcW w:w="4195" w:type="dxa"/>
            <w:vAlign w:val="bottom"/>
          </w:tcPr>
          <w:p w14:paraId="68729AE5" w14:textId="77777777" w:rsidR="008E5DE4" w:rsidRDefault="00780368">
            <w:pPr>
              <w:widowControl w:val="0"/>
              <w:pBdr>
                <w:top w:val="nil"/>
                <w:left w:val="nil"/>
                <w:bottom w:val="nil"/>
                <w:right w:val="nil"/>
                <w:between w:val="nil"/>
              </w:pBdr>
              <w:ind w:left="113" w:right="-57" w:hanging="113"/>
              <w:rPr>
                <w:color w:val="000000"/>
              </w:rPr>
            </w:pPr>
            <w:r>
              <w:rPr>
                <w:color w:val="000000"/>
              </w:rPr>
              <w:t>- Other currencies payable on settlement (-)</w:t>
            </w:r>
          </w:p>
        </w:tc>
        <w:tc>
          <w:tcPr>
            <w:tcW w:w="1304" w:type="dxa"/>
            <w:vAlign w:val="bottom"/>
          </w:tcPr>
          <w:p w14:paraId="0FAD365C"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030B21DF"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5D1F0F33" w14:textId="77777777" w:rsidR="008E5DE4" w:rsidRDefault="008E5DE4">
            <w:pPr>
              <w:widowControl w:val="0"/>
              <w:pBdr>
                <w:top w:val="nil"/>
                <w:left w:val="nil"/>
                <w:bottom w:val="nil"/>
                <w:right w:val="nil"/>
                <w:between w:val="nil"/>
              </w:pBdr>
              <w:tabs>
                <w:tab w:val="right" w:pos="8782"/>
              </w:tabs>
              <w:jc w:val="right"/>
              <w:rPr>
                <w:color w:val="000000"/>
              </w:rPr>
            </w:pPr>
          </w:p>
        </w:tc>
        <w:tc>
          <w:tcPr>
            <w:tcW w:w="1304" w:type="dxa"/>
            <w:vAlign w:val="bottom"/>
          </w:tcPr>
          <w:p w14:paraId="0B96F14C" w14:textId="77777777" w:rsidR="008E5DE4" w:rsidRDefault="008E5DE4">
            <w:pPr>
              <w:widowControl w:val="0"/>
              <w:pBdr>
                <w:top w:val="nil"/>
                <w:left w:val="nil"/>
                <w:bottom w:val="nil"/>
                <w:right w:val="nil"/>
                <w:between w:val="nil"/>
              </w:pBdr>
              <w:tabs>
                <w:tab w:val="right" w:pos="8782"/>
              </w:tabs>
              <w:jc w:val="right"/>
              <w:rPr>
                <w:color w:val="000000"/>
              </w:rPr>
            </w:pPr>
          </w:p>
        </w:tc>
      </w:tr>
      <w:tr w:rsidR="008E5DE4" w14:paraId="6DA0BE9C" w14:textId="77777777">
        <w:trPr>
          <w:cantSplit/>
        </w:trPr>
        <w:tc>
          <w:tcPr>
            <w:tcW w:w="4195" w:type="dxa"/>
            <w:tcBorders>
              <w:bottom w:val="single" w:sz="4" w:space="0" w:color="000000"/>
            </w:tcBorders>
            <w:vAlign w:val="bottom"/>
          </w:tcPr>
          <w:p w14:paraId="5FD88415"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bottom w:val="single" w:sz="4" w:space="0" w:color="000000"/>
            </w:tcBorders>
            <w:vAlign w:val="bottom"/>
          </w:tcPr>
          <w:p w14:paraId="10500EAC" w14:textId="77777777" w:rsidR="008E5DE4" w:rsidRDefault="008E5DE4">
            <w:pPr>
              <w:widowControl w:val="0"/>
              <w:pBdr>
                <w:top w:val="nil"/>
                <w:left w:val="nil"/>
                <w:bottom w:val="nil"/>
                <w:right w:val="nil"/>
                <w:between w:val="nil"/>
              </w:pBdr>
              <w:tabs>
                <w:tab w:val="right" w:pos="8782"/>
              </w:tabs>
              <w:jc w:val="right"/>
              <w:rPr>
                <w:b/>
                <w:color w:val="000000"/>
              </w:rPr>
            </w:pPr>
          </w:p>
        </w:tc>
        <w:tc>
          <w:tcPr>
            <w:tcW w:w="1304" w:type="dxa"/>
            <w:tcBorders>
              <w:bottom w:val="single" w:sz="4" w:space="0" w:color="000000"/>
            </w:tcBorders>
            <w:vAlign w:val="bottom"/>
          </w:tcPr>
          <w:p w14:paraId="6A4F8551" w14:textId="77777777" w:rsidR="008E5DE4" w:rsidRDefault="008E5DE4">
            <w:pPr>
              <w:widowControl w:val="0"/>
              <w:pBdr>
                <w:top w:val="nil"/>
                <w:left w:val="nil"/>
                <w:bottom w:val="nil"/>
                <w:right w:val="nil"/>
                <w:between w:val="nil"/>
              </w:pBdr>
              <w:tabs>
                <w:tab w:val="right" w:pos="8782"/>
              </w:tabs>
              <w:jc w:val="right"/>
              <w:rPr>
                <w:b/>
                <w:color w:val="000000"/>
              </w:rPr>
            </w:pPr>
          </w:p>
        </w:tc>
        <w:tc>
          <w:tcPr>
            <w:tcW w:w="1304" w:type="dxa"/>
            <w:tcBorders>
              <w:bottom w:val="single" w:sz="4" w:space="0" w:color="000000"/>
            </w:tcBorders>
            <w:vAlign w:val="bottom"/>
          </w:tcPr>
          <w:p w14:paraId="07BA7468" w14:textId="77777777" w:rsidR="008E5DE4" w:rsidRDefault="008E5DE4">
            <w:pPr>
              <w:widowControl w:val="0"/>
              <w:pBdr>
                <w:top w:val="nil"/>
                <w:left w:val="nil"/>
                <w:bottom w:val="nil"/>
                <w:right w:val="nil"/>
                <w:between w:val="nil"/>
              </w:pBdr>
              <w:tabs>
                <w:tab w:val="right" w:pos="8782"/>
              </w:tabs>
              <w:jc w:val="right"/>
              <w:rPr>
                <w:b/>
                <w:color w:val="000000"/>
              </w:rPr>
            </w:pPr>
          </w:p>
        </w:tc>
        <w:tc>
          <w:tcPr>
            <w:tcW w:w="1304" w:type="dxa"/>
            <w:tcBorders>
              <w:bottom w:val="single" w:sz="4" w:space="0" w:color="000000"/>
            </w:tcBorders>
            <w:vAlign w:val="bottom"/>
          </w:tcPr>
          <w:p w14:paraId="1710768D" w14:textId="77777777" w:rsidR="008E5DE4" w:rsidRDefault="008E5DE4">
            <w:pPr>
              <w:widowControl w:val="0"/>
              <w:pBdr>
                <w:top w:val="nil"/>
                <w:left w:val="nil"/>
                <w:bottom w:val="nil"/>
                <w:right w:val="nil"/>
                <w:between w:val="nil"/>
              </w:pBdr>
              <w:tabs>
                <w:tab w:val="right" w:pos="8782"/>
              </w:tabs>
              <w:jc w:val="right"/>
              <w:rPr>
                <w:b/>
                <w:color w:val="000000"/>
              </w:rPr>
            </w:pPr>
          </w:p>
        </w:tc>
      </w:tr>
      <w:tr w:rsidR="008E5DE4" w14:paraId="65391BA7" w14:textId="77777777">
        <w:trPr>
          <w:cantSplit/>
        </w:trPr>
        <w:tc>
          <w:tcPr>
            <w:tcW w:w="4195" w:type="dxa"/>
            <w:tcBorders>
              <w:top w:val="single" w:sz="4" w:space="0" w:color="000000"/>
            </w:tcBorders>
            <w:vAlign w:val="bottom"/>
          </w:tcPr>
          <w:p w14:paraId="4ABD5A2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top w:val="single" w:sz="4" w:space="0" w:color="000000"/>
            </w:tcBorders>
            <w:vAlign w:val="bottom"/>
          </w:tcPr>
          <w:p w14:paraId="5D37C71B" w14:textId="77777777" w:rsidR="008E5DE4" w:rsidRDefault="008E5DE4">
            <w:pPr>
              <w:widowControl w:val="0"/>
              <w:pBdr>
                <w:top w:val="nil"/>
                <w:left w:val="nil"/>
                <w:bottom w:val="nil"/>
                <w:right w:val="nil"/>
                <w:between w:val="nil"/>
              </w:pBdr>
              <w:tabs>
                <w:tab w:val="right" w:pos="8782"/>
              </w:tabs>
              <w:jc w:val="right"/>
              <w:rPr>
                <w:b/>
                <w:color w:val="000000"/>
              </w:rPr>
            </w:pPr>
          </w:p>
        </w:tc>
        <w:tc>
          <w:tcPr>
            <w:tcW w:w="1304" w:type="dxa"/>
            <w:tcBorders>
              <w:top w:val="single" w:sz="4" w:space="0" w:color="000000"/>
            </w:tcBorders>
            <w:vAlign w:val="bottom"/>
          </w:tcPr>
          <w:p w14:paraId="3FDE4135" w14:textId="77777777" w:rsidR="008E5DE4" w:rsidRDefault="008E5DE4">
            <w:pPr>
              <w:widowControl w:val="0"/>
              <w:pBdr>
                <w:top w:val="nil"/>
                <w:left w:val="nil"/>
                <w:bottom w:val="nil"/>
                <w:right w:val="nil"/>
                <w:between w:val="nil"/>
              </w:pBdr>
              <w:tabs>
                <w:tab w:val="right" w:pos="8782"/>
              </w:tabs>
              <w:jc w:val="right"/>
              <w:rPr>
                <w:b/>
                <w:color w:val="000000"/>
              </w:rPr>
            </w:pPr>
          </w:p>
        </w:tc>
        <w:tc>
          <w:tcPr>
            <w:tcW w:w="1304" w:type="dxa"/>
            <w:tcBorders>
              <w:top w:val="single" w:sz="4" w:space="0" w:color="000000"/>
            </w:tcBorders>
            <w:vAlign w:val="bottom"/>
          </w:tcPr>
          <w:p w14:paraId="4C786565" w14:textId="77777777" w:rsidR="008E5DE4" w:rsidRDefault="008E5DE4">
            <w:pPr>
              <w:widowControl w:val="0"/>
              <w:pBdr>
                <w:top w:val="nil"/>
                <w:left w:val="nil"/>
                <w:bottom w:val="nil"/>
                <w:right w:val="nil"/>
                <w:between w:val="nil"/>
              </w:pBdr>
              <w:tabs>
                <w:tab w:val="right" w:pos="8782"/>
              </w:tabs>
              <w:jc w:val="right"/>
              <w:rPr>
                <w:b/>
                <w:color w:val="000000"/>
              </w:rPr>
            </w:pPr>
          </w:p>
        </w:tc>
        <w:tc>
          <w:tcPr>
            <w:tcW w:w="1304" w:type="dxa"/>
            <w:tcBorders>
              <w:top w:val="single" w:sz="4" w:space="0" w:color="000000"/>
            </w:tcBorders>
            <w:vAlign w:val="bottom"/>
          </w:tcPr>
          <w:p w14:paraId="41D6B70C" w14:textId="77777777" w:rsidR="008E5DE4" w:rsidRDefault="008E5DE4">
            <w:pPr>
              <w:widowControl w:val="0"/>
              <w:pBdr>
                <w:top w:val="nil"/>
                <w:left w:val="nil"/>
                <w:bottom w:val="nil"/>
                <w:right w:val="nil"/>
                <w:between w:val="nil"/>
              </w:pBdr>
              <w:tabs>
                <w:tab w:val="right" w:pos="8782"/>
              </w:tabs>
              <w:jc w:val="right"/>
              <w:rPr>
                <w:b/>
                <w:color w:val="000000"/>
              </w:rPr>
            </w:pPr>
          </w:p>
        </w:tc>
      </w:tr>
      <w:tr w:rsidR="008E5DE4" w14:paraId="48E02ACC" w14:textId="77777777">
        <w:trPr>
          <w:cantSplit/>
        </w:trPr>
        <w:tc>
          <w:tcPr>
            <w:tcW w:w="4195" w:type="dxa"/>
            <w:vAlign w:val="bottom"/>
          </w:tcPr>
          <w:p w14:paraId="5AE6BCC5"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Net fair value of foreign exchange forwards </w:t>
            </w:r>
          </w:p>
        </w:tc>
        <w:tc>
          <w:tcPr>
            <w:tcW w:w="1304" w:type="dxa"/>
            <w:vAlign w:val="bottom"/>
          </w:tcPr>
          <w:p w14:paraId="60E4A902" w14:textId="77777777" w:rsidR="008E5DE4" w:rsidRDefault="008E5DE4">
            <w:pPr>
              <w:widowControl w:val="0"/>
              <w:pBdr>
                <w:top w:val="nil"/>
                <w:left w:val="nil"/>
                <w:bottom w:val="nil"/>
                <w:right w:val="nil"/>
                <w:between w:val="nil"/>
              </w:pBdr>
              <w:tabs>
                <w:tab w:val="right" w:pos="8782"/>
              </w:tabs>
              <w:jc w:val="right"/>
              <w:rPr>
                <w:b/>
                <w:color w:val="000000"/>
              </w:rPr>
            </w:pPr>
          </w:p>
        </w:tc>
        <w:tc>
          <w:tcPr>
            <w:tcW w:w="1304" w:type="dxa"/>
            <w:vAlign w:val="bottom"/>
          </w:tcPr>
          <w:p w14:paraId="3F348A98" w14:textId="77777777" w:rsidR="008E5DE4" w:rsidRDefault="008E5DE4">
            <w:pPr>
              <w:widowControl w:val="0"/>
              <w:pBdr>
                <w:top w:val="nil"/>
                <w:left w:val="nil"/>
                <w:bottom w:val="nil"/>
                <w:right w:val="nil"/>
                <w:between w:val="nil"/>
              </w:pBdr>
              <w:tabs>
                <w:tab w:val="right" w:pos="8782"/>
              </w:tabs>
              <w:jc w:val="right"/>
              <w:rPr>
                <w:b/>
                <w:color w:val="000000"/>
              </w:rPr>
            </w:pPr>
          </w:p>
        </w:tc>
        <w:tc>
          <w:tcPr>
            <w:tcW w:w="1304" w:type="dxa"/>
            <w:vAlign w:val="bottom"/>
          </w:tcPr>
          <w:p w14:paraId="5DB5AD07" w14:textId="77777777" w:rsidR="008E5DE4" w:rsidRDefault="008E5DE4">
            <w:pPr>
              <w:widowControl w:val="0"/>
              <w:pBdr>
                <w:top w:val="nil"/>
                <w:left w:val="nil"/>
                <w:bottom w:val="nil"/>
                <w:right w:val="nil"/>
                <w:between w:val="nil"/>
              </w:pBdr>
              <w:tabs>
                <w:tab w:val="right" w:pos="8782"/>
              </w:tabs>
              <w:jc w:val="right"/>
              <w:rPr>
                <w:b/>
                <w:color w:val="000000"/>
              </w:rPr>
            </w:pPr>
          </w:p>
        </w:tc>
        <w:tc>
          <w:tcPr>
            <w:tcW w:w="1304" w:type="dxa"/>
            <w:vAlign w:val="bottom"/>
          </w:tcPr>
          <w:p w14:paraId="1DBBCE25" w14:textId="77777777" w:rsidR="008E5DE4" w:rsidRDefault="008E5DE4">
            <w:pPr>
              <w:widowControl w:val="0"/>
              <w:pBdr>
                <w:top w:val="nil"/>
                <w:left w:val="nil"/>
                <w:bottom w:val="nil"/>
                <w:right w:val="nil"/>
                <w:between w:val="nil"/>
              </w:pBdr>
              <w:tabs>
                <w:tab w:val="right" w:pos="8782"/>
              </w:tabs>
              <w:jc w:val="right"/>
              <w:rPr>
                <w:b/>
                <w:color w:val="000000"/>
              </w:rPr>
            </w:pPr>
          </w:p>
        </w:tc>
      </w:tr>
      <w:tr w:rsidR="008E5DE4" w14:paraId="60763072" w14:textId="77777777">
        <w:trPr>
          <w:cantSplit/>
        </w:trPr>
        <w:tc>
          <w:tcPr>
            <w:tcW w:w="4195" w:type="dxa"/>
            <w:tcBorders>
              <w:bottom w:val="single" w:sz="12" w:space="0" w:color="000000"/>
            </w:tcBorders>
            <w:vAlign w:val="bottom"/>
          </w:tcPr>
          <w:p w14:paraId="5AD6A747"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304" w:type="dxa"/>
            <w:tcBorders>
              <w:bottom w:val="single" w:sz="12" w:space="0" w:color="000000"/>
            </w:tcBorders>
            <w:vAlign w:val="bottom"/>
          </w:tcPr>
          <w:p w14:paraId="77DC4075"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12" w:space="0" w:color="000000"/>
            </w:tcBorders>
            <w:vAlign w:val="bottom"/>
          </w:tcPr>
          <w:p w14:paraId="57A1B766"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12" w:space="0" w:color="000000"/>
            </w:tcBorders>
            <w:vAlign w:val="bottom"/>
          </w:tcPr>
          <w:p w14:paraId="7205974C"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12" w:space="0" w:color="000000"/>
            </w:tcBorders>
            <w:vAlign w:val="bottom"/>
          </w:tcPr>
          <w:p w14:paraId="5B8A373E" w14:textId="77777777" w:rsidR="008E5DE4" w:rsidRDefault="008E5DE4">
            <w:pPr>
              <w:widowControl w:val="0"/>
              <w:pBdr>
                <w:top w:val="nil"/>
                <w:left w:val="nil"/>
                <w:bottom w:val="nil"/>
                <w:right w:val="nil"/>
                <w:between w:val="nil"/>
              </w:pBdr>
              <w:jc w:val="right"/>
              <w:rPr>
                <w:color w:val="000000"/>
              </w:rPr>
            </w:pPr>
          </w:p>
        </w:tc>
      </w:tr>
    </w:tbl>
    <w:p w14:paraId="35D424F7" w14:textId="77777777" w:rsidR="008E5DE4" w:rsidRDefault="00780368">
      <w:pPr>
        <w:widowControl w:val="0"/>
        <w:pBdr>
          <w:top w:val="nil"/>
          <w:left w:val="nil"/>
          <w:bottom w:val="nil"/>
          <w:right w:val="nil"/>
          <w:between w:val="nil"/>
        </w:pBdr>
        <w:spacing w:before="200" w:after="200"/>
        <w:jc w:val="both"/>
        <w:rPr>
          <w:color w:val="FF0000"/>
          <w:sz w:val="20"/>
          <w:szCs w:val="20"/>
        </w:rPr>
      </w:pPr>
      <w:r>
        <w:rPr>
          <w:color w:val="000000"/>
          <w:sz w:val="20"/>
          <w:szCs w:val="20"/>
        </w:rPr>
        <w:t xml:space="preserve">Foreign exchange </w:t>
      </w:r>
      <w:r>
        <w:rPr>
          <w:color w:val="0000FF"/>
          <w:sz w:val="20"/>
          <w:szCs w:val="20"/>
        </w:rPr>
        <w:t>[and other]</w:t>
      </w:r>
      <w:r>
        <w:rPr>
          <w:color w:val="000000"/>
          <w:sz w:val="20"/>
          <w:szCs w:val="20"/>
        </w:rPr>
        <w:t xml:space="preserve"> derivative financial instruments </w:t>
      </w:r>
      <w:proofErr w:type="gramStart"/>
      <w:r>
        <w:rPr>
          <w:color w:val="000000"/>
          <w:sz w:val="20"/>
          <w:szCs w:val="20"/>
        </w:rPr>
        <w:t>entered into</w:t>
      </w:r>
      <w:proofErr w:type="gramEnd"/>
      <w:r>
        <w:rPr>
          <w:color w:val="000000"/>
          <w:sz w:val="20"/>
          <w:szCs w:val="20"/>
        </w:rPr>
        <w:t xml:space="preserve"> by the Group are generally traded in an over-the-counter market with professional market counterparties on standardised contractual terms and conditions. Derivatives have potentially favourable (assets) or unfavourable (liabilities) conditions </w:t>
      </w:r>
      <w:proofErr w:type="gramStart"/>
      <w:r>
        <w:rPr>
          <w:color w:val="000000"/>
          <w:sz w:val="20"/>
          <w:szCs w:val="20"/>
        </w:rPr>
        <w:t>as a result of</w:t>
      </w:r>
      <w:proofErr w:type="gramEnd"/>
      <w:r>
        <w:rPr>
          <w:color w:val="000000"/>
          <w:sz w:val="20"/>
          <w:szCs w:val="20"/>
        </w:rPr>
        <w:t xml:space="preserve"> fluctuations in market interest rates, foreign exchange rates or other variables relative to their terms. The aggregate fair values of derivative financial assets and liabilities can fluctuate significantly from time to time.</w:t>
      </w:r>
    </w:p>
    <w:p w14:paraId="269AEEA6"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46</w:t>
      </w:r>
      <w:r>
        <w:rPr>
          <w:b/>
          <w:color w:val="000000"/>
          <w:sz w:val="20"/>
          <w:szCs w:val="20"/>
        </w:rPr>
        <w:tab/>
        <w:t>Derivative Financial Instruments (Continued)</w:t>
      </w:r>
    </w:p>
    <w:p w14:paraId="20C224C2" w14:textId="57C8046B"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the Group had outstanding obligations to deliver </w:t>
      </w:r>
      <w:r>
        <w:rPr>
          <w:color w:val="0000FF"/>
          <w:sz w:val="20"/>
          <w:szCs w:val="20"/>
        </w:rPr>
        <w:t>[commodity]</w:t>
      </w:r>
      <w:r>
        <w:rPr>
          <w:color w:val="000000"/>
          <w:sz w:val="20"/>
          <w:szCs w:val="20"/>
        </w:rPr>
        <w:t xml:space="preserve"> with a fair value of EUR _____ thousand (</w:t>
      </w:r>
      <w:r w:rsidR="00E06A92">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 xml:space="preserve">EUR _____ thousand) and obligations to accept delivery of </w:t>
      </w:r>
      <w:r>
        <w:rPr>
          <w:color w:val="0000FF"/>
          <w:sz w:val="20"/>
          <w:szCs w:val="20"/>
        </w:rPr>
        <w:t>[commodity]</w:t>
      </w:r>
      <w:r>
        <w:rPr>
          <w:color w:val="000000"/>
          <w:sz w:val="20"/>
          <w:szCs w:val="20"/>
        </w:rPr>
        <w:t xml:space="preserve"> with a fair value </w:t>
      </w:r>
      <w:proofErr w:type="gramStart"/>
      <w:r>
        <w:rPr>
          <w:color w:val="000000"/>
          <w:sz w:val="20"/>
          <w:szCs w:val="20"/>
        </w:rPr>
        <w:t>of  EUR</w:t>
      </w:r>
      <w:proofErr w:type="gramEnd"/>
      <w:r>
        <w:rPr>
          <w:color w:val="000000"/>
          <w:sz w:val="20"/>
          <w:szCs w:val="20"/>
        </w:rPr>
        <w:t xml:space="preserve"> _____ thousand (</w:t>
      </w:r>
      <w:r w:rsidR="00E06A92">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EUR _____ thousand). The Group expects to settle these forward contracts net in cash and therefore recognised them in the consolidated statement of financial position as an asset within financial derivatives at a net fair value of EUR _____ thousand (</w:t>
      </w:r>
      <w:r w:rsidR="00E06A92">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EUR _____ thousand) and a liability within financial derivatives at a net fair value of EUR _____ thousand (</w:t>
      </w:r>
      <w:r w:rsidR="00E06A92">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EUR _____ thousand).</w:t>
      </w:r>
    </w:p>
    <w:p w14:paraId="5308E0C5" w14:textId="5D15027A"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the Group had outstanding obligations from unsettled spot transactions with foreign currencies </w:t>
      </w:r>
      <w:r>
        <w:rPr>
          <w:color w:val="0000FF"/>
          <w:sz w:val="20"/>
          <w:szCs w:val="20"/>
        </w:rPr>
        <w:t>[and commodities]</w:t>
      </w:r>
      <w:r>
        <w:rPr>
          <w:color w:val="000000"/>
          <w:sz w:val="20"/>
          <w:szCs w:val="20"/>
        </w:rPr>
        <w:t xml:space="preserve"> of EUR _____ thousand (</w:t>
      </w:r>
      <w:r w:rsidR="00E06A92">
        <w:rPr>
          <w:color w:val="000000"/>
          <w:sz w:val="20"/>
          <w:szCs w:val="20"/>
        </w:rPr>
        <w:t>2024</w:t>
      </w:r>
      <w:r>
        <w:rPr>
          <w:color w:val="000000"/>
          <w:sz w:val="20"/>
          <w:szCs w:val="20"/>
        </w:rPr>
        <w:t>: EUR _____ thousand). Net fair value of unsettled spot transactions is insignificant.</w:t>
      </w:r>
    </w:p>
    <w:p w14:paraId="16A3CB8C" w14:textId="2A8E6841" w:rsidR="008E5DE4" w:rsidRDefault="00780368">
      <w:pPr>
        <w:widowControl w:val="0"/>
        <w:pBdr>
          <w:top w:val="nil"/>
          <w:left w:val="nil"/>
          <w:bottom w:val="nil"/>
          <w:right w:val="nil"/>
          <w:between w:val="nil"/>
        </w:pBdr>
        <w:spacing w:before="200" w:after="200"/>
        <w:jc w:val="both"/>
        <w:rPr>
          <w:color w:val="00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the Group had outstanding obligations from an unsettled transaction to purchase _____ shares of _____ </w:t>
      </w:r>
      <w:r>
        <w:rPr>
          <w:color w:val="0000FF"/>
          <w:sz w:val="20"/>
          <w:szCs w:val="20"/>
        </w:rPr>
        <w:t>[company name]</w:t>
      </w:r>
      <w:r>
        <w:rPr>
          <w:color w:val="000000"/>
          <w:sz w:val="20"/>
          <w:szCs w:val="20"/>
        </w:rPr>
        <w:t xml:space="preserve"> at a fixed price of EUR _____ per share. This forward purchase will be settled in _____ 202</w:t>
      </w:r>
      <w:r w:rsidR="008614F8">
        <w:rPr>
          <w:color w:val="000000"/>
          <w:sz w:val="20"/>
          <w:szCs w:val="20"/>
        </w:rPr>
        <w:t>6</w:t>
      </w:r>
      <w:r>
        <w:rPr>
          <w:color w:val="000000"/>
          <w:sz w:val="20"/>
          <w:szCs w:val="20"/>
        </w:rPr>
        <w:t xml:space="preserve"> and is carried in the consolidated statement of financial position as a derivative at fair value of EUR _____ thousand.</w:t>
      </w:r>
    </w:p>
    <w:p w14:paraId="24C47581" w14:textId="5A56BB25" w:rsidR="008E5DE4" w:rsidRDefault="00780368">
      <w:pPr>
        <w:widowControl w:val="0"/>
        <w:pBdr>
          <w:top w:val="nil"/>
          <w:left w:val="nil"/>
          <w:bottom w:val="nil"/>
          <w:right w:val="nil"/>
          <w:between w:val="nil"/>
        </w:pBdr>
        <w:spacing w:before="200" w:after="200"/>
        <w:jc w:val="both"/>
        <w:rPr>
          <w:b/>
          <w:color w:val="000000"/>
          <w:sz w:val="20"/>
          <w:szCs w:val="20"/>
        </w:rPr>
      </w:pPr>
      <w:r>
        <w:rPr>
          <w:color w:val="0000FF"/>
          <w:sz w:val="20"/>
          <w:szCs w:val="20"/>
        </w:rPr>
        <w:t>[</w:t>
      </w:r>
      <w:proofErr w:type="gramStart"/>
      <w:r>
        <w:rPr>
          <w:color w:val="0000FF"/>
          <w:sz w:val="20"/>
          <w:szCs w:val="20"/>
        </w:rPr>
        <w:t>At</w:t>
      </w:r>
      <w:proofErr w:type="gramEnd"/>
      <w:r>
        <w:rPr>
          <w:color w:val="0000FF"/>
          <w:sz w:val="20"/>
          <w:szCs w:val="20"/>
        </w:rPr>
        <w:t xml:space="preserve"> 31 December </w:t>
      </w:r>
      <w:r w:rsidR="008614F8">
        <w:rPr>
          <w:color w:val="0000FF"/>
          <w:sz w:val="20"/>
          <w:szCs w:val="20"/>
        </w:rPr>
        <w:t>2025</w:t>
      </w:r>
      <w:r>
        <w:rPr>
          <w:color w:val="0000FF"/>
          <w:sz w:val="20"/>
          <w:szCs w:val="20"/>
        </w:rPr>
        <w:t xml:space="preserve"> the Group had outstanding obligations to deliver shares with a fair value of EUR _____ thousand (</w:t>
      </w:r>
      <w:r w:rsidR="00E06A92">
        <w:rPr>
          <w:color w:val="0000FF"/>
          <w:sz w:val="20"/>
          <w:szCs w:val="20"/>
        </w:rPr>
        <w:t>2024</w:t>
      </w:r>
      <w:r>
        <w:rPr>
          <w:color w:val="0000FF"/>
          <w:sz w:val="20"/>
          <w:szCs w:val="20"/>
        </w:rPr>
        <w:t>:</w:t>
      </w:r>
      <w:r w:rsidR="009573F8">
        <w:rPr>
          <w:color w:val="0000FF"/>
          <w:sz w:val="20"/>
          <w:szCs w:val="20"/>
        </w:rPr>
        <w:t xml:space="preserve"> </w:t>
      </w:r>
      <w:r>
        <w:rPr>
          <w:color w:val="0000FF"/>
          <w:sz w:val="20"/>
          <w:szCs w:val="20"/>
        </w:rPr>
        <w:t>EUR _____ thousand) and obligations to accept delivery of _____ shares with a fair value of EUR _____ thousand (</w:t>
      </w:r>
      <w:r w:rsidR="00E06A92">
        <w:rPr>
          <w:color w:val="0000FF"/>
          <w:sz w:val="20"/>
          <w:szCs w:val="20"/>
        </w:rPr>
        <w:t>2024</w:t>
      </w:r>
      <w:r>
        <w:rPr>
          <w:color w:val="0000FF"/>
          <w:sz w:val="20"/>
          <w:szCs w:val="20"/>
        </w:rPr>
        <w:t>:</w:t>
      </w:r>
      <w:r w:rsidR="009573F8">
        <w:rPr>
          <w:color w:val="0000FF"/>
          <w:sz w:val="20"/>
          <w:szCs w:val="20"/>
        </w:rPr>
        <w:t xml:space="preserve"> </w:t>
      </w:r>
      <w:r>
        <w:rPr>
          <w:color w:val="0000FF"/>
          <w:sz w:val="20"/>
          <w:szCs w:val="20"/>
        </w:rPr>
        <w:t>EUR _____ thousand).</w:t>
      </w:r>
      <w:r>
        <w:rPr>
          <w:color w:val="000000"/>
          <w:sz w:val="20"/>
          <w:szCs w:val="20"/>
        </w:rPr>
        <w:t xml:space="preserve"> </w:t>
      </w:r>
      <w:r>
        <w:rPr>
          <w:color w:val="0000FF"/>
          <w:sz w:val="20"/>
          <w:szCs w:val="20"/>
        </w:rPr>
        <w:t>These forwards were recognised in the consolidated statement of financial position as an asset at fair value of EUR _____ thousand (</w:t>
      </w:r>
      <w:r w:rsidR="00E06A92">
        <w:rPr>
          <w:color w:val="0000FF"/>
          <w:sz w:val="20"/>
          <w:szCs w:val="20"/>
        </w:rPr>
        <w:t>2024</w:t>
      </w:r>
      <w:r>
        <w:rPr>
          <w:color w:val="0000FF"/>
          <w:sz w:val="20"/>
          <w:szCs w:val="20"/>
        </w:rPr>
        <w:t>:</w:t>
      </w:r>
      <w:r w:rsidR="009573F8">
        <w:rPr>
          <w:color w:val="0000FF"/>
          <w:sz w:val="20"/>
          <w:szCs w:val="20"/>
        </w:rPr>
        <w:t xml:space="preserve"> </w:t>
      </w:r>
      <w:r>
        <w:rPr>
          <w:color w:val="0000FF"/>
          <w:sz w:val="20"/>
          <w:szCs w:val="20"/>
        </w:rPr>
        <w:t>EUR _____ thousand) and a liability at fair value of EUR _____ thousand (</w:t>
      </w:r>
      <w:r w:rsidR="00E06A92">
        <w:rPr>
          <w:color w:val="0000FF"/>
          <w:sz w:val="20"/>
          <w:szCs w:val="20"/>
        </w:rPr>
        <w:t>2024</w:t>
      </w:r>
      <w:r>
        <w:rPr>
          <w:color w:val="0000FF"/>
          <w:sz w:val="20"/>
          <w:szCs w:val="20"/>
        </w:rPr>
        <w:t>:</w:t>
      </w:r>
      <w:r w:rsidR="009573F8">
        <w:rPr>
          <w:color w:val="0000FF"/>
          <w:sz w:val="20"/>
          <w:szCs w:val="20"/>
        </w:rPr>
        <w:t xml:space="preserve"> </w:t>
      </w:r>
      <w:r>
        <w:rPr>
          <w:color w:val="0000FF"/>
          <w:sz w:val="20"/>
          <w:szCs w:val="20"/>
        </w:rPr>
        <w:t>EUR _____ thousand). Refer to [Note].]</w:t>
      </w:r>
      <w:r>
        <w:rPr>
          <w:b/>
          <w:color w:val="000000"/>
          <w:sz w:val="20"/>
          <w:szCs w:val="20"/>
        </w:rPr>
        <w:t xml:space="preserve"> </w:t>
      </w:r>
    </w:p>
    <w:p w14:paraId="1FDC9FD2" w14:textId="33A32AAD" w:rsidR="008E5DE4" w:rsidRDefault="00780368">
      <w:pPr>
        <w:widowControl w:val="0"/>
        <w:pBdr>
          <w:top w:val="nil"/>
          <w:left w:val="nil"/>
          <w:bottom w:val="nil"/>
          <w:right w:val="nil"/>
          <w:between w:val="nil"/>
        </w:pBdr>
        <w:spacing w:before="200" w:after="200"/>
        <w:jc w:val="both"/>
        <w:rPr>
          <w:color w:val="0000FF"/>
          <w:sz w:val="20"/>
          <w:szCs w:val="20"/>
        </w:rPr>
      </w:pPr>
      <w:r>
        <w:rPr>
          <w:color w:val="000000"/>
          <w:sz w:val="20"/>
          <w:szCs w:val="20"/>
        </w:rPr>
        <w:t xml:space="preserve">31 December </w:t>
      </w:r>
      <w:r w:rsidR="008614F8">
        <w:rPr>
          <w:color w:val="000000"/>
          <w:sz w:val="20"/>
          <w:szCs w:val="20"/>
        </w:rPr>
        <w:t>2025</w:t>
      </w:r>
      <w:r>
        <w:rPr>
          <w:color w:val="000000"/>
          <w:sz w:val="20"/>
          <w:szCs w:val="20"/>
        </w:rPr>
        <w:t xml:space="preserve"> the Group had outstanding </w:t>
      </w:r>
      <w:r>
        <w:rPr>
          <w:color w:val="0000FF"/>
          <w:sz w:val="20"/>
          <w:szCs w:val="20"/>
        </w:rPr>
        <w:t>[written]</w:t>
      </w:r>
      <w:r>
        <w:rPr>
          <w:color w:val="000000"/>
          <w:sz w:val="20"/>
          <w:szCs w:val="20"/>
        </w:rPr>
        <w:t xml:space="preserve"> </w:t>
      </w:r>
      <w:r>
        <w:rPr>
          <w:color w:val="0000FF"/>
          <w:sz w:val="20"/>
          <w:szCs w:val="20"/>
        </w:rPr>
        <w:t>[purchased]</w:t>
      </w:r>
      <w:r>
        <w:rPr>
          <w:color w:val="000000"/>
          <w:sz w:val="20"/>
          <w:szCs w:val="20"/>
        </w:rPr>
        <w:t xml:space="preserve"> put options giving </w:t>
      </w:r>
      <w:r>
        <w:rPr>
          <w:color w:val="0000FF"/>
          <w:sz w:val="20"/>
          <w:szCs w:val="20"/>
        </w:rPr>
        <w:t>[the counterparty] [the Group]</w:t>
      </w:r>
      <w:r>
        <w:rPr>
          <w:color w:val="000000"/>
          <w:sz w:val="20"/>
          <w:szCs w:val="20"/>
        </w:rPr>
        <w:t xml:space="preserve"> the right to sell </w:t>
      </w:r>
      <w:r>
        <w:rPr>
          <w:color w:val="0000FF"/>
          <w:sz w:val="20"/>
          <w:szCs w:val="20"/>
        </w:rPr>
        <w:t>[shares]</w:t>
      </w:r>
      <w:r>
        <w:rPr>
          <w:color w:val="000000"/>
          <w:sz w:val="20"/>
          <w:szCs w:val="20"/>
        </w:rPr>
        <w:t xml:space="preserve"> with a fair value of EUR _____ thousand (</w:t>
      </w:r>
      <w:r w:rsidR="00A46633">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 xml:space="preserve">EUR _____ thousand) to </w:t>
      </w:r>
      <w:r>
        <w:rPr>
          <w:color w:val="0000FF"/>
          <w:sz w:val="20"/>
          <w:szCs w:val="20"/>
        </w:rPr>
        <w:t>[the Group] [the counterparty]</w:t>
      </w:r>
      <w:r>
        <w:rPr>
          <w:color w:val="000000"/>
          <w:sz w:val="20"/>
          <w:szCs w:val="20"/>
        </w:rPr>
        <w:t xml:space="preserve"> for EUR _____ thousand (</w:t>
      </w:r>
      <w:r w:rsidR="00A46633">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 xml:space="preserve">EUR _____ thousand). The options can be exercised </w:t>
      </w:r>
      <w:r>
        <w:rPr>
          <w:color w:val="0000FF"/>
          <w:sz w:val="20"/>
          <w:szCs w:val="20"/>
        </w:rPr>
        <w:t>[from ____ 20XX to ____ 20XX]</w:t>
      </w:r>
      <w:r>
        <w:rPr>
          <w:color w:val="000000"/>
          <w:sz w:val="20"/>
          <w:szCs w:val="20"/>
        </w:rPr>
        <w:t xml:space="preserve">. The fair value of the outstanding put options was recognised as </w:t>
      </w:r>
      <w:r>
        <w:rPr>
          <w:color w:val="0000FF"/>
          <w:sz w:val="20"/>
          <w:szCs w:val="20"/>
        </w:rPr>
        <w:t>[a liability] [an asset]</w:t>
      </w:r>
      <w:r>
        <w:rPr>
          <w:color w:val="000000"/>
          <w:sz w:val="20"/>
          <w:szCs w:val="20"/>
        </w:rPr>
        <w:t xml:space="preserve"> of EUR _____ thousand (</w:t>
      </w:r>
      <w:r w:rsidR="00A46633">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 xml:space="preserve">EUR _____ thousand). Refer to </w:t>
      </w:r>
      <w:r>
        <w:rPr>
          <w:color w:val="0000FF"/>
          <w:sz w:val="20"/>
          <w:szCs w:val="20"/>
        </w:rPr>
        <w:t>[Note]</w:t>
      </w:r>
      <w:r>
        <w:rPr>
          <w:color w:val="000000"/>
          <w:sz w:val="20"/>
          <w:szCs w:val="20"/>
        </w:rPr>
        <w:t>.</w:t>
      </w:r>
    </w:p>
    <w:p w14:paraId="6DEBF97A" w14:textId="453AD859"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At 31 December </w:t>
      </w:r>
      <w:r w:rsidR="008614F8">
        <w:rPr>
          <w:color w:val="000000"/>
          <w:sz w:val="20"/>
          <w:szCs w:val="20"/>
        </w:rPr>
        <w:t>2025</w:t>
      </w:r>
      <w:r>
        <w:rPr>
          <w:color w:val="000000"/>
          <w:sz w:val="20"/>
          <w:szCs w:val="20"/>
        </w:rPr>
        <w:t xml:space="preserve"> the Group had outstanding </w:t>
      </w:r>
      <w:r>
        <w:rPr>
          <w:color w:val="0000FF"/>
          <w:sz w:val="20"/>
          <w:szCs w:val="20"/>
        </w:rPr>
        <w:t>[written]</w:t>
      </w:r>
      <w:r>
        <w:rPr>
          <w:color w:val="000000"/>
          <w:sz w:val="20"/>
          <w:szCs w:val="20"/>
        </w:rPr>
        <w:t xml:space="preserve"> </w:t>
      </w:r>
      <w:r>
        <w:rPr>
          <w:color w:val="0000FF"/>
          <w:sz w:val="20"/>
          <w:szCs w:val="20"/>
        </w:rPr>
        <w:t>[purchased]</w:t>
      </w:r>
      <w:r>
        <w:rPr>
          <w:color w:val="000000"/>
          <w:sz w:val="20"/>
          <w:szCs w:val="20"/>
        </w:rPr>
        <w:t xml:space="preserve"> call options giving </w:t>
      </w:r>
      <w:r>
        <w:rPr>
          <w:color w:val="0000FF"/>
          <w:sz w:val="20"/>
          <w:szCs w:val="20"/>
        </w:rPr>
        <w:t>[the counterparty] [the Group]</w:t>
      </w:r>
      <w:r>
        <w:rPr>
          <w:color w:val="000000"/>
          <w:sz w:val="20"/>
          <w:szCs w:val="20"/>
        </w:rPr>
        <w:t xml:space="preserve"> the right to buy </w:t>
      </w:r>
      <w:r>
        <w:rPr>
          <w:color w:val="0000FF"/>
          <w:sz w:val="20"/>
          <w:szCs w:val="20"/>
        </w:rPr>
        <w:t>[shares]</w:t>
      </w:r>
      <w:r>
        <w:rPr>
          <w:color w:val="000000"/>
          <w:sz w:val="20"/>
          <w:szCs w:val="20"/>
        </w:rPr>
        <w:t xml:space="preserve"> with fair value, at the end of the reporting period, of</w:t>
      </w:r>
      <w:r w:rsidR="00FF4E6D">
        <w:rPr>
          <w:color w:val="000000"/>
          <w:sz w:val="20"/>
          <w:szCs w:val="20"/>
        </w:rPr>
        <w:t xml:space="preserve"> </w:t>
      </w:r>
      <w:r>
        <w:rPr>
          <w:color w:val="000000"/>
          <w:sz w:val="20"/>
          <w:szCs w:val="20"/>
        </w:rPr>
        <w:t>EUR _____ thousand (</w:t>
      </w:r>
      <w:r w:rsidR="00A46633">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 xml:space="preserve">EUR _____ thousand) from </w:t>
      </w:r>
      <w:r>
        <w:rPr>
          <w:color w:val="0000FF"/>
          <w:sz w:val="20"/>
          <w:szCs w:val="20"/>
        </w:rPr>
        <w:t>[the Group] [the counterparty]</w:t>
      </w:r>
      <w:r>
        <w:rPr>
          <w:color w:val="000000"/>
          <w:sz w:val="20"/>
          <w:szCs w:val="20"/>
        </w:rPr>
        <w:t xml:space="preserve"> for EUR _____ thousand (</w:t>
      </w:r>
      <w:r w:rsidR="00A46633">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 xml:space="preserve">EUR _____ thousand). The options can be exercised </w:t>
      </w:r>
      <w:r>
        <w:rPr>
          <w:color w:val="0000FF"/>
          <w:sz w:val="20"/>
          <w:szCs w:val="20"/>
        </w:rPr>
        <w:t>[from ____ 20XX to ____ 20XX]</w:t>
      </w:r>
      <w:r>
        <w:rPr>
          <w:color w:val="000000"/>
          <w:sz w:val="20"/>
          <w:szCs w:val="20"/>
        </w:rPr>
        <w:t xml:space="preserve">. The fair value of the outstanding call options was recognised as </w:t>
      </w:r>
      <w:r>
        <w:rPr>
          <w:color w:val="0000FF"/>
          <w:sz w:val="20"/>
          <w:szCs w:val="20"/>
        </w:rPr>
        <w:t>[a liability] [an asset]</w:t>
      </w:r>
      <w:r>
        <w:rPr>
          <w:color w:val="000000"/>
          <w:sz w:val="20"/>
          <w:szCs w:val="20"/>
        </w:rPr>
        <w:t xml:space="preserve"> of</w:t>
      </w:r>
      <w:r w:rsidR="00084BC3">
        <w:rPr>
          <w:color w:val="000000"/>
          <w:sz w:val="20"/>
          <w:szCs w:val="20"/>
        </w:rPr>
        <w:t xml:space="preserve"> </w:t>
      </w:r>
      <w:r>
        <w:rPr>
          <w:color w:val="000000"/>
          <w:sz w:val="20"/>
          <w:szCs w:val="20"/>
        </w:rPr>
        <w:t>EUR _____ thousand (</w:t>
      </w:r>
      <w:r w:rsidR="00A46633">
        <w:rPr>
          <w:color w:val="000000"/>
          <w:sz w:val="20"/>
          <w:szCs w:val="20"/>
        </w:rPr>
        <w:t>2024</w:t>
      </w:r>
      <w:r>
        <w:rPr>
          <w:color w:val="000000"/>
          <w:sz w:val="20"/>
          <w:szCs w:val="20"/>
        </w:rPr>
        <w:t>:</w:t>
      </w:r>
      <w:r w:rsidR="009573F8">
        <w:rPr>
          <w:color w:val="000000"/>
          <w:sz w:val="20"/>
          <w:szCs w:val="20"/>
        </w:rPr>
        <w:t xml:space="preserve"> </w:t>
      </w:r>
      <w:r>
        <w:rPr>
          <w:color w:val="000000"/>
          <w:sz w:val="20"/>
          <w:szCs w:val="20"/>
        </w:rPr>
        <w:t xml:space="preserve">EUR _____ thousand). Refer to </w:t>
      </w:r>
      <w:r>
        <w:rPr>
          <w:color w:val="0000FF"/>
          <w:sz w:val="20"/>
          <w:szCs w:val="20"/>
        </w:rPr>
        <w:t>[Note]</w:t>
      </w:r>
      <w:r>
        <w:rPr>
          <w:color w:val="000000"/>
          <w:sz w:val="20"/>
          <w:szCs w:val="20"/>
        </w:rPr>
        <w:t>.</w:t>
      </w:r>
    </w:p>
    <w:p w14:paraId="10CEB462" w14:textId="17375D6A" w:rsidR="008E5DE4" w:rsidRDefault="00F93586" w:rsidP="007F183E">
      <w:pPr>
        <w:pStyle w:val="Heading1"/>
        <w:numPr>
          <w:ilvl w:val="0"/>
          <w:numId w:val="0"/>
        </w:numPr>
        <w:ind w:left="567" w:hanging="567"/>
      </w:pPr>
      <w:bookmarkStart w:id="75" w:name="_Toc149923646"/>
      <w:r>
        <w:t xml:space="preserve">47 </w:t>
      </w:r>
      <w:r>
        <w:tab/>
      </w:r>
      <w:r w:rsidR="00780368">
        <w:t>Non-Controlling Interest</w:t>
      </w:r>
      <w:bookmarkEnd w:id="75"/>
      <w:r w:rsidR="00780368">
        <w:t xml:space="preserve"> </w:t>
      </w:r>
    </w:p>
    <w:p w14:paraId="2181B24C" w14:textId="64CB42D8" w:rsidR="008E5DE4" w:rsidRDefault="00090491">
      <w:pPr>
        <w:shd w:val="clear" w:color="auto" w:fill="C6D9F1"/>
        <w:jc w:val="both"/>
        <w:rPr>
          <w:i/>
          <w:color w:val="FF0000"/>
          <w:sz w:val="20"/>
          <w:szCs w:val="20"/>
        </w:rPr>
      </w:pPr>
      <w:r>
        <w:rPr>
          <w:b/>
          <w:i/>
          <w:sz w:val="20"/>
          <w:szCs w:val="20"/>
        </w:rPr>
        <w:t>Material accounting policy information</w:t>
      </w:r>
      <w:r w:rsidR="00780368">
        <w:rPr>
          <w:b/>
          <w:i/>
          <w:sz w:val="20"/>
          <w:szCs w:val="20"/>
        </w:rPr>
        <w:t xml:space="preserve"> </w:t>
      </w:r>
    </w:p>
    <w:p w14:paraId="65C3A048" w14:textId="01C85072"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Non-controlling interest.</w:t>
      </w:r>
      <w:r>
        <w:rPr>
          <w:color w:val="000000"/>
          <w:sz w:val="20"/>
          <w:szCs w:val="20"/>
        </w:rPr>
        <w:t xml:space="preserve"> The Group measures non-controlling interest that represents present ownership interest and entitles the holder to a proportionate share of net assets in the event of liquidation on a transaction</w:t>
      </w:r>
      <w:r w:rsidR="009573F8">
        <w:rPr>
          <w:color w:val="000000"/>
          <w:sz w:val="20"/>
          <w:szCs w:val="20"/>
        </w:rPr>
        <w:t>-</w:t>
      </w:r>
      <w:r>
        <w:rPr>
          <w:color w:val="000000"/>
          <w:sz w:val="20"/>
          <w:szCs w:val="20"/>
        </w:rPr>
        <w:t>by</w:t>
      </w:r>
      <w:r w:rsidR="009573F8">
        <w:rPr>
          <w:color w:val="000000"/>
          <w:sz w:val="20"/>
          <w:szCs w:val="20"/>
        </w:rPr>
        <w:t>-</w:t>
      </w:r>
      <w:r>
        <w:rPr>
          <w:color w:val="000000"/>
          <w:sz w:val="20"/>
          <w:szCs w:val="20"/>
        </w:rPr>
        <w:t>transaction basis, either at: (a) fair value, or (b) the non-controlling interest's proportionate share of net assets of the acquiree. Non-controlling interests that are not present ownership interests are measured at fair value.</w:t>
      </w:r>
    </w:p>
    <w:p w14:paraId="1CE8C6D8"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47</w:t>
      </w:r>
      <w:r>
        <w:rPr>
          <w:b/>
          <w:color w:val="000000"/>
          <w:sz w:val="20"/>
          <w:szCs w:val="20"/>
        </w:rPr>
        <w:tab/>
        <w:t>Non-Controlling Interest (Continued)</w:t>
      </w:r>
    </w:p>
    <w:p w14:paraId="29211A65"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Non-controlling interest is that part of the net results and of the equity of a subsidiary attributable to interests which are not owned, directly or indirectly, by the Group. Non-controlling interest forms a separate component of the Group’s equity. </w:t>
      </w:r>
    </w:p>
    <w:p w14:paraId="75FE6AEE"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Purchases and sales of non-controlling interests.</w:t>
      </w:r>
      <w:r>
        <w:rPr>
          <w:color w:val="000000"/>
          <w:sz w:val="20"/>
          <w:szCs w:val="20"/>
        </w:rPr>
        <w:t xml:space="preserve">  The group treats transactions with non-controlling interests that do not result in a loss of control as transactions with equity owners of the group.</w:t>
      </w:r>
      <w:r>
        <w:rPr>
          <w:color w:val="000000"/>
        </w:rPr>
        <w:t xml:space="preserve"> </w:t>
      </w:r>
      <w:r>
        <w:rPr>
          <w:color w:val="000000"/>
          <w:sz w:val="20"/>
          <w:szCs w:val="20"/>
        </w:rPr>
        <w:t>Any difference between the purchase consideration and the carrying amount of non-controlling interest acquired is recorded as a capital transaction directly in equity. The Group recognises the difference between sales consideration and the carrying amount of non-controlling interest sold as a capital transaction in the consolidated statement of changes in equity.</w:t>
      </w:r>
    </w:p>
    <w:p w14:paraId="3C592F49"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following table provides information about each subsidiary that has non-controlling interest that is material to the Group: </w:t>
      </w:r>
    </w:p>
    <w:tbl>
      <w:tblPr>
        <w:tblStyle w:val="affffffffffffd"/>
        <w:tblW w:w="9410" w:type="dxa"/>
        <w:tblLayout w:type="fixed"/>
        <w:tblLook w:val="0000" w:firstRow="0" w:lastRow="0" w:firstColumn="0" w:lastColumn="0" w:noHBand="0" w:noVBand="0"/>
      </w:tblPr>
      <w:tblGrid>
        <w:gridCol w:w="2948"/>
        <w:gridCol w:w="1077"/>
        <w:gridCol w:w="1077"/>
        <w:gridCol w:w="1077"/>
        <w:gridCol w:w="1077"/>
        <w:gridCol w:w="1077"/>
        <w:gridCol w:w="1077"/>
      </w:tblGrid>
      <w:tr w:rsidR="008E5DE4" w14:paraId="27BC101C" w14:textId="77777777">
        <w:trPr>
          <w:cantSplit/>
          <w:tblHeader/>
        </w:trPr>
        <w:tc>
          <w:tcPr>
            <w:tcW w:w="2948" w:type="dxa"/>
            <w:tcBorders>
              <w:bottom w:val="single" w:sz="4" w:space="0" w:color="000000"/>
            </w:tcBorders>
            <w:vAlign w:val="bottom"/>
          </w:tcPr>
          <w:p w14:paraId="4477E30E"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077" w:type="dxa"/>
            <w:tcBorders>
              <w:bottom w:val="single" w:sz="4" w:space="0" w:color="000000"/>
            </w:tcBorders>
          </w:tcPr>
          <w:p w14:paraId="464E5A4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Place of business (and country of </w:t>
            </w:r>
            <w:proofErr w:type="spellStart"/>
            <w:r>
              <w:rPr>
                <w:b/>
                <w:color w:val="000000"/>
              </w:rPr>
              <w:t>incorpo</w:t>
            </w:r>
            <w:proofErr w:type="spellEnd"/>
            <w:r>
              <w:rPr>
                <w:b/>
                <w:color w:val="000000"/>
              </w:rPr>
              <w:t>-ration if different)</w:t>
            </w:r>
          </w:p>
        </w:tc>
        <w:tc>
          <w:tcPr>
            <w:tcW w:w="1077" w:type="dxa"/>
            <w:tcBorders>
              <w:bottom w:val="single" w:sz="4" w:space="0" w:color="000000"/>
            </w:tcBorders>
          </w:tcPr>
          <w:p w14:paraId="46E9B5CC" w14:textId="77777777" w:rsidR="008E5DE4" w:rsidRDefault="00780368">
            <w:pPr>
              <w:widowControl w:val="0"/>
              <w:pBdr>
                <w:top w:val="nil"/>
                <w:left w:val="nil"/>
                <w:bottom w:val="nil"/>
                <w:right w:val="nil"/>
                <w:between w:val="nil"/>
              </w:pBdr>
              <w:ind w:left="-113"/>
              <w:jc w:val="right"/>
              <w:rPr>
                <w:color w:val="000000"/>
              </w:rPr>
            </w:pPr>
            <w:r>
              <w:rPr>
                <w:b/>
                <w:color w:val="000000"/>
              </w:rPr>
              <w:t>Proportion of non-</w:t>
            </w:r>
            <w:proofErr w:type="spellStart"/>
            <w:r>
              <w:rPr>
                <w:b/>
                <w:color w:val="000000"/>
              </w:rPr>
              <w:t>contro</w:t>
            </w:r>
            <w:proofErr w:type="spellEnd"/>
            <w:r>
              <w:rPr>
                <w:b/>
                <w:color w:val="000000"/>
              </w:rPr>
              <w:t>-</w:t>
            </w:r>
            <w:proofErr w:type="spellStart"/>
            <w:r>
              <w:rPr>
                <w:b/>
                <w:color w:val="000000"/>
              </w:rPr>
              <w:t>lling</w:t>
            </w:r>
            <w:proofErr w:type="spellEnd"/>
            <w:r>
              <w:rPr>
                <w:b/>
                <w:color w:val="000000"/>
              </w:rPr>
              <w:t xml:space="preserve"> interest</w:t>
            </w:r>
          </w:p>
        </w:tc>
        <w:tc>
          <w:tcPr>
            <w:tcW w:w="1077" w:type="dxa"/>
            <w:tcBorders>
              <w:bottom w:val="single" w:sz="4" w:space="0" w:color="000000"/>
            </w:tcBorders>
          </w:tcPr>
          <w:p w14:paraId="0EF03DD0" w14:textId="77777777" w:rsidR="008E5DE4" w:rsidRDefault="00780368">
            <w:pPr>
              <w:widowControl w:val="0"/>
              <w:pBdr>
                <w:top w:val="nil"/>
                <w:left w:val="nil"/>
                <w:bottom w:val="nil"/>
                <w:right w:val="nil"/>
                <w:between w:val="nil"/>
              </w:pBdr>
              <w:ind w:left="-113"/>
              <w:jc w:val="right"/>
              <w:rPr>
                <w:color w:val="000000"/>
              </w:rPr>
            </w:pPr>
            <w:r>
              <w:rPr>
                <w:b/>
                <w:color w:val="000000"/>
              </w:rPr>
              <w:t xml:space="preserve">Proportion of non-control-ling interest’s voting rights held </w:t>
            </w:r>
          </w:p>
        </w:tc>
        <w:tc>
          <w:tcPr>
            <w:tcW w:w="1077" w:type="dxa"/>
            <w:tcBorders>
              <w:bottom w:val="single" w:sz="4" w:space="0" w:color="000000"/>
            </w:tcBorders>
          </w:tcPr>
          <w:p w14:paraId="317FFAD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Profit or loss </w:t>
            </w:r>
            <w:proofErr w:type="spellStart"/>
            <w:r>
              <w:rPr>
                <w:b/>
                <w:color w:val="000000"/>
              </w:rPr>
              <w:t>attribu</w:t>
            </w:r>
            <w:proofErr w:type="spellEnd"/>
            <w:r>
              <w:rPr>
                <w:b/>
                <w:color w:val="000000"/>
              </w:rPr>
              <w:t>-table to non-control-ling interest</w:t>
            </w:r>
          </w:p>
        </w:tc>
        <w:tc>
          <w:tcPr>
            <w:tcW w:w="1077" w:type="dxa"/>
            <w:tcBorders>
              <w:bottom w:val="single" w:sz="4" w:space="0" w:color="000000"/>
            </w:tcBorders>
          </w:tcPr>
          <w:p w14:paraId="15C75012" w14:textId="77777777" w:rsidR="008E5DE4" w:rsidRDefault="00780368">
            <w:pPr>
              <w:widowControl w:val="0"/>
              <w:pBdr>
                <w:top w:val="nil"/>
                <w:left w:val="nil"/>
                <w:bottom w:val="nil"/>
                <w:right w:val="nil"/>
                <w:between w:val="nil"/>
              </w:pBdr>
              <w:ind w:left="-113"/>
              <w:jc w:val="right"/>
              <w:rPr>
                <w:b/>
                <w:color w:val="000000"/>
              </w:rPr>
            </w:pPr>
            <w:proofErr w:type="spellStart"/>
            <w:r>
              <w:rPr>
                <w:b/>
                <w:color w:val="000000"/>
              </w:rPr>
              <w:t>Accumu-lated</w:t>
            </w:r>
            <w:proofErr w:type="spellEnd"/>
            <w:r>
              <w:rPr>
                <w:b/>
                <w:color w:val="000000"/>
              </w:rPr>
              <w:t xml:space="preserve"> non-control-ling interest in the </w:t>
            </w:r>
            <w:proofErr w:type="spellStart"/>
            <w:r>
              <w:rPr>
                <w:b/>
                <w:color w:val="000000"/>
              </w:rPr>
              <w:t>subsi</w:t>
            </w:r>
            <w:proofErr w:type="spellEnd"/>
            <w:r>
              <w:rPr>
                <w:b/>
                <w:color w:val="000000"/>
              </w:rPr>
              <w:t>-diary</w:t>
            </w:r>
          </w:p>
        </w:tc>
        <w:tc>
          <w:tcPr>
            <w:tcW w:w="1077" w:type="dxa"/>
            <w:tcBorders>
              <w:bottom w:val="single" w:sz="4" w:space="0" w:color="000000"/>
            </w:tcBorders>
          </w:tcPr>
          <w:p w14:paraId="1A5771F9" w14:textId="77777777" w:rsidR="008E5DE4" w:rsidRDefault="00780368">
            <w:pPr>
              <w:widowControl w:val="0"/>
              <w:pBdr>
                <w:top w:val="nil"/>
                <w:left w:val="nil"/>
                <w:bottom w:val="nil"/>
                <w:right w:val="nil"/>
                <w:between w:val="nil"/>
              </w:pBdr>
              <w:ind w:left="-113"/>
              <w:jc w:val="right"/>
              <w:rPr>
                <w:b/>
                <w:color w:val="000000"/>
              </w:rPr>
            </w:pPr>
            <w:r>
              <w:rPr>
                <w:b/>
                <w:color w:val="000000"/>
              </w:rPr>
              <w:t>Dividends paid to non-control-ling interest during the year</w:t>
            </w:r>
          </w:p>
        </w:tc>
      </w:tr>
      <w:tr w:rsidR="008E5DE4" w14:paraId="55AE63EB" w14:textId="77777777">
        <w:trPr>
          <w:cantSplit/>
          <w:tblHeader/>
        </w:trPr>
        <w:tc>
          <w:tcPr>
            <w:tcW w:w="2948" w:type="dxa"/>
            <w:vAlign w:val="bottom"/>
          </w:tcPr>
          <w:p w14:paraId="74C2D3EA" w14:textId="77777777" w:rsidR="008E5DE4" w:rsidRDefault="00780368">
            <w:pPr>
              <w:widowControl w:val="0"/>
              <w:pBdr>
                <w:top w:val="nil"/>
                <w:left w:val="nil"/>
                <w:bottom w:val="nil"/>
                <w:right w:val="nil"/>
                <w:between w:val="nil"/>
              </w:pBdr>
              <w:ind w:left="113" w:right="-57" w:hanging="113"/>
              <w:rPr>
                <w:i/>
                <w:color w:val="000000"/>
              </w:rPr>
            </w:pPr>
            <w:r>
              <w:rPr>
                <w:i/>
                <w:color w:val="000000"/>
              </w:rPr>
              <w:t> </w:t>
            </w:r>
          </w:p>
        </w:tc>
        <w:tc>
          <w:tcPr>
            <w:tcW w:w="1077" w:type="dxa"/>
            <w:vAlign w:val="bottom"/>
          </w:tcPr>
          <w:p w14:paraId="7148BEBA"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0EC9D631"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702AC99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483F9F3"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4618A855" w14:textId="77777777" w:rsidR="008E5DE4" w:rsidRDefault="008E5DE4">
            <w:pPr>
              <w:widowControl w:val="0"/>
              <w:pBdr>
                <w:top w:val="nil"/>
                <w:left w:val="nil"/>
                <w:bottom w:val="nil"/>
                <w:right w:val="nil"/>
                <w:between w:val="nil"/>
              </w:pBdr>
              <w:jc w:val="right"/>
              <w:rPr>
                <w:color w:val="000000"/>
              </w:rPr>
            </w:pPr>
          </w:p>
        </w:tc>
        <w:tc>
          <w:tcPr>
            <w:tcW w:w="1077" w:type="dxa"/>
            <w:vAlign w:val="bottom"/>
          </w:tcPr>
          <w:p w14:paraId="3AFEA28A" w14:textId="77777777" w:rsidR="008E5DE4" w:rsidRDefault="008E5DE4">
            <w:pPr>
              <w:widowControl w:val="0"/>
              <w:pBdr>
                <w:top w:val="nil"/>
                <w:left w:val="nil"/>
                <w:bottom w:val="nil"/>
                <w:right w:val="nil"/>
                <w:between w:val="nil"/>
              </w:pBdr>
              <w:jc w:val="right"/>
              <w:rPr>
                <w:color w:val="000000"/>
              </w:rPr>
            </w:pPr>
          </w:p>
        </w:tc>
      </w:tr>
      <w:tr w:rsidR="008E5DE4" w14:paraId="32EDBCE1" w14:textId="77777777">
        <w:trPr>
          <w:cantSplit/>
          <w:tblHeader/>
        </w:trPr>
        <w:tc>
          <w:tcPr>
            <w:tcW w:w="2948" w:type="dxa"/>
            <w:vAlign w:val="bottom"/>
          </w:tcPr>
          <w:p w14:paraId="1E3C1BC5" w14:textId="64EFBC3F" w:rsidR="008E5DE4" w:rsidRDefault="00780368">
            <w:pPr>
              <w:widowControl w:val="0"/>
              <w:pBdr>
                <w:top w:val="nil"/>
                <w:left w:val="nil"/>
                <w:bottom w:val="nil"/>
                <w:right w:val="nil"/>
                <w:between w:val="nil"/>
              </w:pBdr>
              <w:ind w:left="113" w:right="-57" w:hanging="113"/>
              <w:rPr>
                <w:smallCaps/>
                <w:color w:val="0000FF"/>
              </w:rPr>
            </w:pPr>
            <w:r>
              <w:rPr>
                <w:b/>
                <w:color w:val="000000"/>
              </w:rPr>
              <w:t xml:space="preserve">Year ended 31 December </w:t>
            </w:r>
            <w:r w:rsidR="008614F8">
              <w:rPr>
                <w:b/>
                <w:color w:val="000000"/>
              </w:rPr>
              <w:t>2025</w:t>
            </w:r>
          </w:p>
        </w:tc>
        <w:tc>
          <w:tcPr>
            <w:tcW w:w="1077" w:type="dxa"/>
            <w:vAlign w:val="bottom"/>
          </w:tcPr>
          <w:p w14:paraId="03020F8A" w14:textId="77777777" w:rsidR="008E5DE4" w:rsidRDefault="008E5DE4">
            <w:pPr>
              <w:widowControl w:val="0"/>
              <w:pBdr>
                <w:top w:val="nil"/>
                <w:left w:val="nil"/>
                <w:bottom w:val="nil"/>
                <w:right w:val="nil"/>
                <w:between w:val="nil"/>
              </w:pBdr>
              <w:jc w:val="right"/>
              <w:rPr>
                <w:smallCaps/>
                <w:color w:val="000000"/>
              </w:rPr>
            </w:pPr>
          </w:p>
        </w:tc>
        <w:tc>
          <w:tcPr>
            <w:tcW w:w="1077" w:type="dxa"/>
            <w:vAlign w:val="bottom"/>
          </w:tcPr>
          <w:p w14:paraId="011AD2BD"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7D135993"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6A606716"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0F5FAC68"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6465DD75" w14:textId="77777777" w:rsidR="008E5DE4" w:rsidRDefault="008E5DE4">
            <w:pPr>
              <w:widowControl w:val="0"/>
              <w:pBdr>
                <w:top w:val="nil"/>
                <w:left w:val="nil"/>
                <w:bottom w:val="nil"/>
                <w:right w:val="nil"/>
                <w:between w:val="nil"/>
              </w:pBdr>
              <w:jc w:val="right"/>
              <w:rPr>
                <w:b/>
                <w:smallCaps/>
                <w:color w:val="000000"/>
              </w:rPr>
            </w:pPr>
          </w:p>
        </w:tc>
      </w:tr>
      <w:tr w:rsidR="008E5DE4" w14:paraId="7C97D375" w14:textId="77777777">
        <w:trPr>
          <w:cantSplit/>
          <w:tblHeader/>
        </w:trPr>
        <w:tc>
          <w:tcPr>
            <w:tcW w:w="2948" w:type="dxa"/>
            <w:vAlign w:val="bottom"/>
          </w:tcPr>
          <w:p w14:paraId="6573C260" w14:textId="77777777" w:rsidR="008E5DE4" w:rsidRDefault="00780368">
            <w:pPr>
              <w:widowControl w:val="0"/>
              <w:pBdr>
                <w:top w:val="nil"/>
                <w:left w:val="nil"/>
                <w:bottom w:val="nil"/>
                <w:right w:val="nil"/>
                <w:between w:val="nil"/>
              </w:pBdr>
              <w:ind w:left="113" w:right="-57" w:hanging="113"/>
              <w:rPr>
                <w:smallCaps/>
                <w:color w:val="0000FF"/>
              </w:rPr>
            </w:pPr>
            <w:r>
              <w:rPr>
                <w:b/>
                <w:color w:val="000000"/>
              </w:rPr>
              <w:t> </w:t>
            </w:r>
          </w:p>
        </w:tc>
        <w:tc>
          <w:tcPr>
            <w:tcW w:w="1077" w:type="dxa"/>
            <w:vAlign w:val="bottom"/>
          </w:tcPr>
          <w:p w14:paraId="24F4D762" w14:textId="77777777" w:rsidR="008E5DE4" w:rsidRDefault="008E5DE4">
            <w:pPr>
              <w:widowControl w:val="0"/>
              <w:pBdr>
                <w:top w:val="nil"/>
                <w:left w:val="nil"/>
                <w:bottom w:val="nil"/>
                <w:right w:val="nil"/>
                <w:between w:val="nil"/>
              </w:pBdr>
              <w:jc w:val="right"/>
              <w:rPr>
                <w:smallCaps/>
                <w:color w:val="000000"/>
              </w:rPr>
            </w:pPr>
          </w:p>
        </w:tc>
        <w:tc>
          <w:tcPr>
            <w:tcW w:w="1077" w:type="dxa"/>
            <w:vAlign w:val="bottom"/>
          </w:tcPr>
          <w:p w14:paraId="5FF7A3C4"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3A5275E3"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08815D96"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65EFE7FB"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3FA373A2" w14:textId="77777777" w:rsidR="008E5DE4" w:rsidRDefault="008E5DE4">
            <w:pPr>
              <w:widowControl w:val="0"/>
              <w:pBdr>
                <w:top w:val="nil"/>
                <w:left w:val="nil"/>
                <w:bottom w:val="nil"/>
                <w:right w:val="nil"/>
                <w:between w:val="nil"/>
              </w:pBdr>
              <w:jc w:val="right"/>
              <w:rPr>
                <w:b/>
                <w:smallCaps/>
                <w:color w:val="000000"/>
              </w:rPr>
            </w:pPr>
          </w:p>
        </w:tc>
      </w:tr>
      <w:tr w:rsidR="008E5DE4" w14:paraId="3E9F7554" w14:textId="77777777">
        <w:trPr>
          <w:cantSplit/>
          <w:tblHeader/>
        </w:trPr>
        <w:tc>
          <w:tcPr>
            <w:tcW w:w="2948" w:type="dxa"/>
            <w:vAlign w:val="bottom"/>
          </w:tcPr>
          <w:p w14:paraId="679825E3" w14:textId="77777777" w:rsidR="008E5DE4" w:rsidRDefault="00780368">
            <w:pPr>
              <w:widowControl w:val="0"/>
              <w:pBdr>
                <w:top w:val="nil"/>
                <w:left w:val="nil"/>
                <w:bottom w:val="nil"/>
                <w:right w:val="nil"/>
                <w:between w:val="nil"/>
              </w:pBdr>
              <w:ind w:left="113" w:right="-57" w:hanging="113"/>
              <w:rPr>
                <w:smallCaps/>
                <w:color w:val="0000FF"/>
              </w:rPr>
            </w:pPr>
            <w:r>
              <w:rPr>
                <w:smallCaps/>
                <w:color w:val="0000FF"/>
              </w:rPr>
              <w:t>[NAME OF SUBSIDIARY 1]</w:t>
            </w:r>
          </w:p>
        </w:tc>
        <w:tc>
          <w:tcPr>
            <w:tcW w:w="1077" w:type="dxa"/>
            <w:vAlign w:val="bottom"/>
          </w:tcPr>
          <w:p w14:paraId="52F2755E" w14:textId="77777777" w:rsidR="008E5DE4" w:rsidRDefault="008E5DE4">
            <w:pPr>
              <w:widowControl w:val="0"/>
              <w:pBdr>
                <w:top w:val="nil"/>
                <w:left w:val="nil"/>
                <w:bottom w:val="nil"/>
                <w:right w:val="nil"/>
                <w:between w:val="nil"/>
              </w:pBdr>
              <w:jc w:val="right"/>
              <w:rPr>
                <w:smallCaps/>
                <w:color w:val="000000"/>
              </w:rPr>
            </w:pPr>
          </w:p>
        </w:tc>
        <w:tc>
          <w:tcPr>
            <w:tcW w:w="1077" w:type="dxa"/>
            <w:vAlign w:val="bottom"/>
          </w:tcPr>
          <w:p w14:paraId="3A8D7350"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5F8D8792"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5396DF21"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5DFACED3"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79DD6CAF" w14:textId="77777777" w:rsidR="008E5DE4" w:rsidRDefault="008E5DE4">
            <w:pPr>
              <w:widowControl w:val="0"/>
              <w:pBdr>
                <w:top w:val="nil"/>
                <w:left w:val="nil"/>
                <w:bottom w:val="nil"/>
                <w:right w:val="nil"/>
                <w:between w:val="nil"/>
              </w:pBdr>
              <w:jc w:val="right"/>
              <w:rPr>
                <w:b/>
                <w:smallCaps/>
                <w:color w:val="000000"/>
              </w:rPr>
            </w:pPr>
          </w:p>
        </w:tc>
      </w:tr>
      <w:tr w:rsidR="008E5DE4" w14:paraId="1FC508B7" w14:textId="77777777">
        <w:trPr>
          <w:cantSplit/>
          <w:tblHeader/>
        </w:trPr>
        <w:tc>
          <w:tcPr>
            <w:tcW w:w="2948" w:type="dxa"/>
            <w:vAlign w:val="bottom"/>
          </w:tcPr>
          <w:p w14:paraId="0664E5D2" w14:textId="77777777" w:rsidR="008E5DE4" w:rsidRDefault="00780368">
            <w:pPr>
              <w:widowControl w:val="0"/>
              <w:pBdr>
                <w:top w:val="nil"/>
                <w:left w:val="nil"/>
                <w:bottom w:val="nil"/>
                <w:right w:val="nil"/>
                <w:between w:val="nil"/>
              </w:pBdr>
              <w:ind w:left="113" w:right="-57" w:hanging="113"/>
              <w:rPr>
                <w:smallCaps/>
                <w:color w:val="0000FF"/>
              </w:rPr>
            </w:pPr>
            <w:r>
              <w:rPr>
                <w:smallCaps/>
                <w:color w:val="0000FF"/>
              </w:rPr>
              <w:t>[NAME OF SUBSIDIARY 2]</w:t>
            </w:r>
          </w:p>
        </w:tc>
        <w:tc>
          <w:tcPr>
            <w:tcW w:w="1077" w:type="dxa"/>
            <w:vAlign w:val="bottom"/>
          </w:tcPr>
          <w:p w14:paraId="67D155A5" w14:textId="77777777" w:rsidR="008E5DE4" w:rsidRDefault="008E5DE4">
            <w:pPr>
              <w:widowControl w:val="0"/>
              <w:pBdr>
                <w:top w:val="nil"/>
                <w:left w:val="nil"/>
                <w:bottom w:val="nil"/>
                <w:right w:val="nil"/>
                <w:between w:val="nil"/>
              </w:pBdr>
              <w:jc w:val="right"/>
              <w:rPr>
                <w:smallCaps/>
                <w:color w:val="000000"/>
              </w:rPr>
            </w:pPr>
          </w:p>
        </w:tc>
        <w:tc>
          <w:tcPr>
            <w:tcW w:w="1077" w:type="dxa"/>
            <w:vAlign w:val="bottom"/>
          </w:tcPr>
          <w:p w14:paraId="64CF8929"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08CDCB28"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59F7682A"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0363FAAA"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2D93F259" w14:textId="77777777" w:rsidR="008E5DE4" w:rsidRDefault="008E5DE4">
            <w:pPr>
              <w:widowControl w:val="0"/>
              <w:pBdr>
                <w:top w:val="nil"/>
                <w:left w:val="nil"/>
                <w:bottom w:val="nil"/>
                <w:right w:val="nil"/>
                <w:between w:val="nil"/>
              </w:pBdr>
              <w:jc w:val="right"/>
              <w:rPr>
                <w:b/>
                <w:smallCaps/>
                <w:color w:val="000000"/>
              </w:rPr>
            </w:pPr>
          </w:p>
        </w:tc>
      </w:tr>
      <w:tr w:rsidR="008E5DE4" w14:paraId="69150182" w14:textId="77777777">
        <w:trPr>
          <w:cantSplit/>
          <w:tblHeader/>
        </w:trPr>
        <w:tc>
          <w:tcPr>
            <w:tcW w:w="2948" w:type="dxa"/>
            <w:vAlign w:val="bottom"/>
          </w:tcPr>
          <w:p w14:paraId="22BD2164" w14:textId="77777777" w:rsidR="008E5DE4" w:rsidRDefault="00780368">
            <w:pPr>
              <w:widowControl w:val="0"/>
              <w:pBdr>
                <w:top w:val="nil"/>
                <w:left w:val="nil"/>
                <w:bottom w:val="nil"/>
                <w:right w:val="nil"/>
                <w:between w:val="nil"/>
              </w:pBdr>
              <w:ind w:left="113" w:right="-57" w:hanging="113"/>
              <w:rPr>
                <w:smallCaps/>
                <w:color w:val="0000FF"/>
              </w:rPr>
            </w:pPr>
            <w:r>
              <w:rPr>
                <w:b/>
                <w:color w:val="000000"/>
              </w:rPr>
              <w:t> </w:t>
            </w:r>
          </w:p>
        </w:tc>
        <w:tc>
          <w:tcPr>
            <w:tcW w:w="1077" w:type="dxa"/>
            <w:vAlign w:val="bottom"/>
          </w:tcPr>
          <w:p w14:paraId="4CB6C887" w14:textId="77777777" w:rsidR="008E5DE4" w:rsidRDefault="008E5DE4">
            <w:pPr>
              <w:widowControl w:val="0"/>
              <w:pBdr>
                <w:top w:val="nil"/>
                <w:left w:val="nil"/>
                <w:bottom w:val="nil"/>
                <w:right w:val="nil"/>
                <w:between w:val="nil"/>
              </w:pBdr>
              <w:jc w:val="right"/>
              <w:rPr>
                <w:smallCaps/>
                <w:color w:val="000000"/>
              </w:rPr>
            </w:pPr>
          </w:p>
        </w:tc>
        <w:tc>
          <w:tcPr>
            <w:tcW w:w="1077" w:type="dxa"/>
            <w:vAlign w:val="bottom"/>
          </w:tcPr>
          <w:p w14:paraId="1B37BCA9"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444D5C29"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66D576A5"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26358B68"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6F31EB19" w14:textId="77777777" w:rsidR="008E5DE4" w:rsidRDefault="008E5DE4">
            <w:pPr>
              <w:widowControl w:val="0"/>
              <w:pBdr>
                <w:top w:val="nil"/>
                <w:left w:val="nil"/>
                <w:bottom w:val="nil"/>
                <w:right w:val="nil"/>
                <w:between w:val="nil"/>
              </w:pBdr>
              <w:jc w:val="right"/>
              <w:rPr>
                <w:b/>
                <w:smallCaps/>
                <w:color w:val="000000"/>
              </w:rPr>
            </w:pPr>
          </w:p>
        </w:tc>
      </w:tr>
      <w:tr w:rsidR="008E5DE4" w14:paraId="73F862E3" w14:textId="77777777">
        <w:trPr>
          <w:cantSplit/>
          <w:tblHeader/>
        </w:trPr>
        <w:tc>
          <w:tcPr>
            <w:tcW w:w="2948" w:type="dxa"/>
            <w:vAlign w:val="bottom"/>
          </w:tcPr>
          <w:p w14:paraId="65E7D9ED" w14:textId="47D33ABC" w:rsidR="008E5DE4" w:rsidRDefault="00780368">
            <w:pPr>
              <w:widowControl w:val="0"/>
              <w:pBdr>
                <w:top w:val="nil"/>
                <w:left w:val="nil"/>
                <w:bottom w:val="nil"/>
                <w:right w:val="nil"/>
                <w:between w:val="nil"/>
              </w:pBdr>
              <w:ind w:left="113" w:right="-57" w:hanging="113"/>
              <w:rPr>
                <w:b/>
                <w:smallCaps/>
                <w:color w:val="0000FF"/>
              </w:rPr>
            </w:pPr>
            <w:r>
              <w:rPr>
                <w:b/>
                <w:color w:val="000000"/>
              </w:rPr>
              <w:t xml:space="preserve">Year ended 31 December </w:t>
            </w:r>
            <w:r w:rsidR="00A46633">
              <w:rPr>
                <w:b/>
                <w:color w:val="000000"/>
              </w:rPr>
              <w:t>2024</w:t>
            </w:r>
          </w:p>
        </w:tc>
        <w:tc>
          <w:tcPr>
            <w:tcW w:w="1077" w:type="dxa"/>
            <w:vAlign w:val="bottom"/>
          </w:tcPr>
          <w:p w14:paraId="0AA0430D"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4138F70E"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416AA9CE"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340115E2"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28B154F9"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36158E14" w14:textId="77777777" w:rsidR="008E5DE4" w:rsidRDefault="008E5DE4">
            <w:pPr>
              <w:widowControl w:val="0"/>
              <w:pBdr>
                <w:top w:val="nil"/>
                <w:left w:val="nil"/>
                <w:bottom w:val="nil"/>
                <w:right w:val="nil"/>
                <w:between w:val="nil"/>
              </w:pBdr>
              <w:jc w:val="right"/>
              <w:rPr>
                <w:b/>
                <w:smallCaps/>
                <w:color w:val="000000"/>
              </w:rPr>
            </w:pPr>
          </w:p>
        </w:tc>
      </w:tr>
      <w:tr w:rsidR="008E5DE4" w14:paraId="3B265386" w14:textId="77777777">
        <w:trPr>
          <w:cantSplit/>
          <w:tblHeader/>
        </w:trPr>
        <w:tc>
          <w:tcPr>
            <w:tcW w:w="2948" w:type="dxa"/>
            <w:vAlign w:val="bottom"/>
          </w:tcPr>
          <w:p w14:paraId="1AF6A590" w14:textId="77777777" w:rsidR="008E5DE4" w:rsidRDefault="00780368">
            <w:pPr>
              <w:widowControl w:val="0"/>
              <w:pBdr>
                <w:top w:val="nil"/>
                <w:left w:val="nil"/>
                <w:bottom w:val="nil"/>
                <w:right w:val="nil"/>
                <w:between w:val="nil"/>
              </w:pBdr>
              <w:ind w:left="113" w:right="-57" w:hanging="113"/>
              <w:rPr>
                <w:smallCaps/>
                <w:color w:val="0000FF"/>
              </w:rPr>
            </w:pPr>
            <w:r>
              <w:rPr>
                <w:b/>
                <w:color w:val="000000"/>
              </w:rPr>
              <w:t> </w:t>
            </w:r>
          </w:p>
        </w:tc>
        <w:tc>
          <w:tcPr>
            <w:tcW w:w="1077" w:type="dxa"/>
            <w:vAlign w:val="bottom"/>
          </w:tcPr>
          <w:p w14:paraId="033A4BF9" w14:textId="77777777" w:rsidR="008E5DE4" w:rsidRDefault="008E5DE4">
            <w:pPr>
              <w:widowControl w:val="0"/>
              <w:pBdr>
                <w:top w:val="nil"/>
                <w:left w:val="nil"/>
                <w:bottom w:val="nil"/>
                <w:right w:val="nil"/>
                <w:between w:val="nil"/>
              </w:pBdr>
              <w:jc w:val="right"/>
              <w:rPr>
                <w:smallCaps/>
                <w:color w:val="000000"/>
              </w:rPr>
            </w:pPr>
          </w:p>
        </w:tc>
        <w:tc>
          <w:tcPr>
            <w:tcW w:w="1077" w:type="dxa"/>
            <w:vAlign w:val="bottom"/>
          </w:tcPr>
          <w:p w14:paraId="6E814DF2"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7198297C"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757C7274"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423FC872"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23F9A471" w14:textId="77777777" w:rsidR="008E5DE4" w:rsidRDefault="008E5DE4">
            <w:pPr>
              <w:widowControl w:val="0"/>
              <w:pBdr>
                <w:top w:val="nil"/>
                <w:left w:val="nil"/>
                <w:bottom w:val="nil"/>
                <w:right w:val="nil"/>
                <w:between w:val="nil"/>
              </w:pBdr>
              <w:jc w:val="right"/>
              <w:rPr>
                <w:b/>
                <w:smallCaps/>
                <w:color w:val="000000"/>
              </w:rPr>
            </w:pPr>
          </w:p>
        </w:tc>
      </w:tr>
      <w:tr w:rsidR="008E5DE4" w14:paraId="75FA6947" w14:textId="77777777">
        <w:trPr>
          <w:cantSplit/>
          <w:tblHeader/>
        </w:trPr>
        <w:tc>
          <w:tcPr>
            <w:tcW w:w="2948" w:type="dxa"/>
            <w:vAlign w:val="bottom"/>
          </w:tcPr>
          <w:p w14:paraId="485F18AA" w14:textId="77777777" w:rsidR="008E5DE4" w:rsidRDefault="00780368">
            <w:pPr>
              <w:widowControl w:val="0"/>
              <w:pBdr>
                <w:top w:val="nil"/>
                <w:left w:val="nil"/>
                <w:bottom w:val="nil"/>
                <w:right w:val="nil"/>
                <w:between w:val="nil"/>
              </w:pBdr>
              <w:ind w:left="113" w:right="-57" w:hanging="113"/>
              <w:rPr>
                <w:smallCaps/>
                <w:color w:val="0000FF"/>
              </w:rPr>
            </w:pPr>
            <w:r>
              <w:rPr>
                <w:smallCaps/>
                <w:color w:val="0000FF"/>
              </w:rPr>
              <w:t>[NAME OF SUBSIDIARY 1]</w:t>
            </w:r>
          </w:p>
        </w:tc>
        <w:tc>
          <w:tcPr>
            <w:tcW w:w="1077" w:type="dxa"/>
            <w:vAlign w:val="bottom"/>
          </w:tcPr>
          <w:p w14:paraId="03421B90" w14:textId="77777777" w:rsidR="008E5DE4" w:rsidRDefault="008E5DE4">
            <w:pPr>
              <w:widowControl w:val="0"/>
              <w:pBdr>
                <w:top w:val="nil"/>
                <w:left w:val="nil"/>
                <w:bottom w:val="nil"/>
                <w:right w:val="nil"/>
                <w:between w:val="nil"/>
              </w:pBdr>
              <w:jc w:val="right"/>
              <w:rPr>
                <w:smallCaps/>
                <w:color w:val="000000"/>
              </w:rPr>
            </w:pPr>
          </w:p>
        </w:tc>
        <w:tc>
          <w:tcPr>
            <w:tcW w:w="1077" w:type="dxa"/>
            <w:vAlign w:val="bottom"/>
          </w:tcPr>
          <w:p w14:paraId="1A2802B6"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0BFCB7B8"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7920CFC7"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7ACFFF7F"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1889B53B" w14:textId="77777777" w:rsidR="008E5DE4" w:rsidRDefault="008E5DE4">
            <w:pPr>
              <w:widowControl w:val="0"/>
              <w:pBdr>
                <w:top w:val="nil"/>
                <w:left w:val="nil"/>
                <w:bottom w:val="nil"/>
                <w:right w:val="nil"/>
                <w:between w:val="nil"/>
              </w:pBdr>
              <w:jc w:val="right"/>
              <w:rPr>
                <w:b/>
                <w:smallCaps/>
                <w:color w:val="000000"/>
              </w:rPr>
            </w:pPr>
          </w:p>
        </w:tc>
      </w:tr>
      <w:tr w:rsidR="008E5DE4" w14:paraId="2FEB7B05" w14:textId="77777777">
        <w:trPr>
          <w:cantSplit/>
          <w:tblHeader/>
        </w:trPr>
        <w:tc>
          <w:tcPr>
            <w:tcW w:w="2948" w:type="dxa"/>
            <w:vAlign w:val="bottom"/>
          </w:tcPr>
          <w:p w14:paraId="22A5C89F" w14:textId="77777777" w:rsidR="008E5DE4" w:rsidRDefault="00780368">
            <w:pPr>
              <w:widowControl w:val="0"/>
              <w:pBdr>
                <w:top w:val="nil"/>
                <w:left w:val="nil"/>
                <w:bottom w:val="nil"/>
                <w:right w:val="nil"/>
                <w:between w:val="nil"/>
              </w:pBdr>
              <w:ind w:left="113" w:right="-57" w:hanging="113"/>
              <w:rPr>
                <w:smallCaps/>
                <w:color w:val="0000FF"/>
              </w:rPr>
            </w:pPr>
            <w:r>
              <w:rPr>
                <w:smallCaps/>
                <w:color w:val="0000FF"/>
              </w:rPr>
              <w:t>[NAME OF SUBSIDIARY 2]</w:t>
            </w:r>
          </w:p>
        </w:tc>
        <w:tc>
          <w:tcPr>
            <w:tcW w:w="1077" w:type="dxa"/>
            <w:vAlign w:val="bottom"/>
          </w:tcPr>
          <w:p w14:paraId="4D0E511B" w14:textId="77777777" w:rsidR="008E5DE4" w:rsidRDefault="008E5DE4">
            <w:pPr>
              <w:widowControl w:val="0"/>
              <w:pBdr>
                <w:top w:val="nil"/>
                <w:left w:val="nil"/>
                <w:bottom w:val="nil"/>
                <w:right w:val="nil"/>
                <w:between w:val="nil"/>
              </w:pBdr>
              <w:jc w:val="right"/>
              <w:rPr>
                <w:smallCaps/>
                <w:color w:val="000000"/>
              </w:rPr>
            </w:pPr>
          </w:p>
        </w:tc>
        <w:tc>
          <w:tcPr>
            <w:tcW w:w="1077" w:type="dxa"/>
            <w:vAlign w:val="bottom"/>
          </w:tcPr>
          <w:p w14:paraId="394A4E61"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72ADA358"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0A606B72"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3006AD49"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0B329E31" w14:textId="77777777" w:rsidR="008E5DE4" w:rsidRDefault="008E5DE4">
            <w:pPr>
              <w:widowControl w:val="0"/>
              <w:pBdr>
                <w:top w:val="nil"/>
                <w:left w:val="nil"/>
                <w:bottom w:val="nil"/>
                <w:right w:val="nil"/>
                <w:between w:val="nil"/>
              </w:pBdr>
              <w:jc w:val="right"/>
              <w:rPr>
                <w:b/>
                <w:smallCaps/>
                <w:color w:val="000000"/>
              </w:rPr>
            </w:pPr>
          </w:p>
        </w:tc>
      </w:tr>
      <w:tr w:rsidR="008E5DE4" w14:paraId="08CD422F" w14:textId="77777777">
        <w:trPr>
          <w:cantSplit/>
          <w:tblHeader/>
        </w:trPr>
        <w:tc>
          <w:tcPr>
            <w:tcW w:w="2948" w:type="dxa"/>
            <w:tcBorders>
              <w:bottom w:val="single" w:sz="4" w:space="0" w:color="000000"/>
            </w:tcBorders>
            <w:vAlign w:val="bottom"/>
          </w:tcPr>
          <w:p w14:paraId="3256624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tcBorders>
              <w:bottom w:val="single" w:sz="4" w:space="0" w:color="000000"/>
            </w:tcBorders>
            <w:vAlign w:val="bottom"/>
          </w:tcPr>
          <w:p w14:paraId="370605AE"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7D14B8A7"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1EFCD3B5"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6452961A"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4F554AFF"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4" w:space="0" w:color="000000"/>
            </w:tcBorders>
            <w:vAlign w:val="bottom"/>
          </w:tcPr>
          <w:p w14:paraId="162AF387" w14:textId="77777777" w:rsidR="008E5DE4" w:rsidRDefault="008E5DE4">
            <w:pPr>
              <w:widowControl w:val="0"/>
              <w:pBdr>
                <w:top w:val="nil"/>
                <w:left w:val="nil"/>
                <w:bottom w:val="nil"/>
                <w:right w:val="nil"/>
                <w:between w:val="nil"/>
              </w:pBdr>
              <w:jc w:val="right"/>
              <w:rPr>
                <w:color w:val="000000"/>
              </w:rPr>
            </w:pPr>
          </w:p>
        </w:tc>
      </w:tr>
      <w:tr w:rsidR="008E5DE4" w14:paraId="67D258E6" w14:textId="77777777">
        <w:trPr>
          <w:cantSplit/>
          <w:tblHeader/>
        </w:trPr>
        <w:tc>
          <w:tcPr>
            <w:tcW w:w="2948" w:type="dxa"/>
            <w:vAlign w:val="bottom"/>
          </w:tcPr>
          <w:p w14:paraId="4570CB2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vAlign w:val="bottom"/>
          </w:tcPr>
          <w:p w14:paraId="132DAAD3"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59FF2177"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2BB3B0A4"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278C5853"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4E252C56" w14:textId="77777777" w:rsidR="008E5DE4" w:rsidRDefault="008E5DE4">
            <w:pPr>
              <w:widowControl w:val="0"/>
              <w:pBdr>
                <w:top w:val="nil"/>
                <w:left w:val="nil"/>
                <w:bottom w:val="nil"/>
                <w:right w:val="nil"/>
                <w:between w:val="nil"/>
              </w:pBdr>
              <w:jc w:val="right"/>
              <w:rPr>
                <w:b/>
                <w:color w:val="000000"/>
              </w:rPr>
            </w:pPr>
          </w:p>
        </w:tc>
        <w:tc>
          <w:tcPr>
            <w:tcW w:w="1077" w:type="dxa"/>
            <w:vAlign w:val="bottom"/>
          </w:tcPr>
          <w:p w14:paraId="0322C453" w14:textId="77777777" w:rsidR="008E5DE4" w:rsidRDefault="008E5DE4">
            <w:pPr>
              <w:widowControl w:val="0"/>
              <w:pBdr>
                <w:top w:val="nil"/>
                <w:left w:val="nil"/>
                <w:bottom w:val="nil"/>
                <w:right w:val="nil"/>
                <w:between w:val="nil"/>
              </w:pBdr>
              <w:jc w:val="right"/>
              <w:rPr>
                <w:b/>
                <w:color w:val="000000"/>
              </w:rPr>
            </w:pPr>
          </w:p>
        </w:tc>
      </w:tr>
      <w:tr w:rsidR="008E5DE4" w14:paraId="614A6AA8" w14:textId="77777777">
        <w:trPr>
          <w:cantSplit/>
          <w:tblHeader/>
        </w:trPr>
        <w:tc>
          <w:tcPr>
            <w:tcW w:w="2948" w:type="dxa"/>
            <w:vAlign w:val="bottom"/>
          </w:tcPr>
          <w:p w14:paraId="0BA96AF8"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 xml:space="preserve">TOTAL </w:t>
            </w:r>
          </w:p>
        </w:tc>
        <w:tc>
          <w:tcPr>
            <w:tcW w:w="1077" w:type="dxa"/>
            <w:vAlign w:val="bottom"/>
          </w:tcPr>
          <w:p w14:paraId="7D79566D"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32F5857D"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100EE9D9"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272DF0B7"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28786FE1" w14:textId="77777777" w:rsidR="008E5DE4" w:rsidRDefault="008E5DE4">
            <w:pPr>
              <w:widowControl w:val="0"/>
              <w:pBdr>
                <w:top w:val="nil"/>
                <w:left w:val="nil"/>
                <w:bottom w:val="nil"/>
                <w:right w:val="nil"/>
                <w:between w:val="nil"/>
              </w:pBdr>
              <w:jc w:val="right"/>
              <w:rPr>
                <w:b/>
                <w:smallCaps/>
                <w:color w:val="000000"/>
              </w:rPr>
            </w:pPr>
          </w:p>
        </w:tc>
        <w:tc>
          <w:tcPr>
            <w:tcW w:w="1077" w:type="dxa"/>
            <w:vAlign w:val="bottom"/>
          </w:tcPr>
          <w:p w14:paraId="2F68C496" w14:textId="77777777" w:rsidR="008E5DE4" w:rsidRDefault="008E5DE4">
            <w:pPr>
              <w:widowControl w:val="0"/>
              <w:pBdr>
                <w:top w:val="nil"/>
                <w:left w:val="nil"/>
                <w:bottom w:val="nil"/>
                <w:right w:val="nil"/>
                <w:between w:val="nil"/>
              </w:pBdr>
              <w:jc w:val="right"/>
              <w:rPr>
                <w:b/>
                <w:smallCaps/>
                <w:color w:val="000000"/>
              </w:rPr>
            </w:pPr>
          </w:p>
        </w:tc>
      </w:tr>
      <w:tr w:rsidR="008E5DE4" w14:paraId="38786EBD" w14:textId="77777777">
        <w:trPr>
          <w:cantSplit/>
          <w:tblHeader/>
        </w:trPr>
        <w:tc>
          <w:tcPr>
            <w:tcW w:w="2948" w:type="dxa"/>
            <w:tcBorders>
              <w:bottom w:val="single" w:sz="12" w:space="0" w:color="000000"/>
            </w:tcBorders>
            <w:vAlign w:val="bottom"/>
          </w:tcPr>
          <w:p w14:paraId="7EEAA9C3"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077" w:type="dxa"/>
            <w:tcBorders>
              <w:bottom w:val="single" w:sz="12" w:space="0" w:color="000000"/>
            </w:tcBorders>
            <w:vAlign w:val="bottom"/>
          </w:tcPr>
          <w:p w14:paraId="0B7F8BEA"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37273D0A"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775D88D6"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5A5782A3"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6A3B7BA8" w14:textId="77777777" w:rsidR="008E5DE4" w:rsidRDefault="008E5DE4">
            <w:pPr>
              <w:widowControl w:val="0"/>
              <w:pBdr>
                <w:top w:val="nil"/>
                <w:left w:val="nil"/>
                <w:bottom w:val="nil"/>
                <w:right w:val="nil"/>
                <w:between w:val="nil"/>
              </w:pBdr>
              <w:jc w:val="right"/>
              <w:rPr>
                <w:color w:val="000000"/>
              </w:rPr>
            </w:pPr>
          </w:p>
        </w:tc>
        <w:tc>
          <w:tcPr>
            <w:tcW w:w="1077" w:type="dxa"/>
            <w:tcBorders>
              <w:bottom w:val="single" w:sz="12" w:space="0" w:color="000000"/>
            </w:tcBorders>
            <w:vAlign w:val="bottom"/>
          </w:tcPr>
          <w:p w14:paraId="0703D113" w14:textId="77777777" w:rsidR="008E5DE4" w:rsidRDefault="008E5DE4">
            <w:pPr>
              <w:widowControl w:val="0"/>
              <w:pBdr>
                <w:top w:val="nil"/>
                <w:left w:val="nil"/>
                <w:bottom w:val="nil"/>
                <w:right w:val="nil"/>
                <w:between w:val="nil"/>
              </w:pBdr>
              <w:jc w:val="right"/>
              <w:rPr>
                <w:color w:val="000000"/>
              </w:rPr>
            </w:pPr>
          </w:p>
        </w:tc>
      </w:tr>
    </w:tbl>
    <w:p w14:paraId="7F3D224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47</w:t>
      </w:r>
      <w:r>
        <w:rPr>
          <w:b/>
          <w:color w:val="000000"/>
          <w:sz w:val="20"/>
          <w:szCs w:val="20"/>
        </w:rPr>
        <w:tab/>
        <w:t>Non-Controlling Interest (Continued)</w:t>
      </w:r>
    </w:p>
    <w:p w14:paraId="6758BA8F"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summarised financial information of these subsidiaries was as follows:</w:t>
      </w:r>
    </w:p>
    <w:tbl>
      <w:tblPr>
        <w:tblStyle w:val="affffffffffffe"/>
        <w:tblW w:w="9416" w:type="dxa"/>
        <w:tblLayout w:type="fixed"/>
        <w:tblLook w:val="0000" w:firstRow="0" w:lastRow="0" w:firstColumn="0" w:lastColumn="0" w:noHBand="0" w:noVBand="0"/>
      </w:tblPr>
      <w:tblGrid>
        <w:gridCol w:w="1701"/>
        <w:gridCol w:w="963"/>
        <w:gridCol w:w="963"/>
        <w:gridCol w:w="964"/>
        <w:gridCol w:w="965"/>
        <w:gridCol w:w="964"/>
        <w:gridCol w:w="964"/>
        <w:gridCol w:w="964"/>
        <w:gridCol w:w="968"/>
      </w:tblGrid>
      <w:tr w:rsidR="008E5DE4" w14:paraId="2B646D11" w14:textId="77777777">
        <w:trPr>
          <w:cantSplit/>
          <w:tblHeader/>
        </w:trPr>
        <w:tc>
          <w:tcPr>
            <w:tcW w:w="1701" w:type="dxa"/>
            <w:tcBorders>
              <w:bottom w:val="single" w:sz="4" w:space="0" w:color="000000"/>
            </w:tcBorders>
            <w:vAlign w:val="bottom"/>
          </w:tcPr>
          <w:p w14:paraId="51F9E5C7" w14:textId="77777777" w:rsidR="008E5DE4" w:rsidRDefault="008E5DE4">
            <w:pPr>
              <w:widowControl w:val="0"/>
              <w:pBdr>
                <w:top w:val="nil"/>
                <w:left w:val="nil"/>
                <w:bottom w:val="nil"/>
                <w:right w:val="nil"/>
                <w:between w:val="nil"/>
              </w:pBdr>
              <w:ind w:left="113" w:right="-57" w:hanging="113"/>
              <w:rPr>
                <w:b/>
                <w:color w:val="000000"/>
              </w:rPr>
            </w:pPr>
          </w:p>
        </w:tc>
        <w:tc>
          <w:tcPr>
            <w:tcW w:w="3855" w:type="dxa"/>
            <w:gridSpan w:val="4"/>
            <w:tcBorders>
              <w:bottom w:val="single" w:sz="4" w:space="0" w:color="000000"/>
            </w:tcBorders>
            <w:vAlign w:val="bottom"/>
          </w:tcPr>
          <w:p w14:paraId="7AF0D75C" w14:textId="77777777" w:rsidR="008E5DE4" w:rsidRDefault="00780368">
            <w:pPr>
              <w:widowControl w:val="0"/>
              <w:pBdr>
                <w:top w:val="nil"/>
                <w:left w:val="nil"/>
                <w:bottom w:val="nil"/>
                <w:right w:val="nil"/>
                <w:between w:val="nil"/>
              </w:pBdr>
              <w:jc w:val="center"/>
              <w:rPr>
                <w:b/>
                <w:color w:val="000000"/>
              </w:rPr>
            </w:pPr>
            <w:proofErr w:type="gramStart"/>
            <w:r>
              <w:rPr>
                <w:b/>
                <w:color w:val="000000"/>
              </w:rPr>
              <w:t>At</w:t>
            </w:r>
            <w:proofErr w:type="gramEnd"/>
            <w:r>
              <w:rPr>
                <w:b/>
                <w:color w:val="000000"/>
              </w:rPr>
              <w:t xml:space="preserve"> 31 December</w:t>
            </w:r>
          </w:p>
        </w:tc>
        <w:tc>
          <w:tcPr>
            <w:tcW w:w="3860" w:type="dxa"/>
            <w:gridSpan w:val="4"/>
            <w:tcBorders>
              <w:bottom w:val="single" w:sz="4" w:space="0" w:color="000000"/>
            </w:tcBorders>
            <w:vAlign w:val="bottom"/>
          </w:tcPr>
          <w:p w14:paraId="0482DCFC" w14:textId="77777777" w:rsidR="008E5DE4" w:rsidRDefault="00780368">
            <w:pPr>
              <w:widowControl w:val="0"/>
              <w:pBdr>
                <w:top w:val="nil"/>
                <w:left w:val="nil"/>
                <w:bottom w:val="nil"/>
                <w:right w:val="nil"/>
                <w:between w:val="nil"/>
              </w:pBdr>
              <w:jc w:val="center"/>
              <w:rPr>
                <w:b/>
                <w:color w:val="000000"/>
              </w:rPr>
            </w:pPr>
            <w:r>
              <w:rPr>
                <w:b/>
                <w:color w:val="000000"/>
              </w:rPr>
              <w:t>Year ended 31 December</w:t>
            </w:r>
          </w:p>
        </w:tc>
      </w:tr>
      <w:tr w:rsidR="008E5DE4" w14:paraId="134613E0" w14:textId="77777777">
        <w:trPr>
          <w:cantSplit/>
          <w:tblHeader/>
        </w:trPr>
        <w:tc>
          <w:tcPr>
            <w:tcW w:w="1701" w:type="dxa"/>
            <w:tcBorders>
              <w:bottom w:val="single" w:sz="4" w:space="0" w:color="000000"/>
            </w:tcBorders>
            <w:vAlign w:val="bottom"/>
          </w:tcPr>
          <w:p w14:paraId="46B8DD86" w14:textId="77777777" w:rsidR="008E5DE4" w:rsidRDefault="008E5DE4">
            <w:pPr>
              <w:widowControl w:val="0"/>
              <w:pBdr>
                <w:top w:val="nil"/>
                <w:left w:val="nil"/>
                <w:bottom w:val="nil"/>
                <w:right w:val="nil"/>
                <w:between w:val="nil"/>
              </w:pBdr>
              <w:ind w:left="113" w:right="-57" w:hanging="113"/>
              <w:rPr>
                <w:b/>
                <w:color w:val="000000"/>
              </w:rPr>
            </w:pPr>
          </w:p>
          <w:p w14:paraId="3D1727EF" w14:textId="77777777" w:rsidR="008E5DE4" w:rsidRDefault="008E5DE4">
            <w:pPr>
              <w:widowControl w:val="0"/>
              <w:pBdr>
                <w:top w:val="nil"/>
                <w:left w:val="nil"/>
                <w:bottom w:val="nil"/>
                <w:right w:val="nil"/>
                <w:between w:val="nil"/>
              </w:pBdr>
              <w:ind w:left="113" w:right="-57" w:hanging="113"/>
              <w:rPr>
                <w:b/>
                <w:color w:val="000000"/>
              </w:rPr>
            </w:pPr>
          </w:p>
          <w:p w14:paraId="3C63D5E3"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963" w:type="dxa"/>
            <w:tcBorders>
              <w:bottom w:val="single" w:sz="4" w:space="0" w:color="000000"/>
            </w:tcBorders>
          </w:tcPr>
          <w:p w14:paraId="5D114C0A" w14:textId="77777777" w:rsidR="008E5DE4" w:rsidRDefault="00780368">
            <w:pPr>
              <w:widowControl w:val="0"/>
              <w:pBdr>
                <w:top w:val="nil"/>
                <w:left w:val="nil"/>
                <w:bottom w:val="nil"/>
                <w:right w:val="nil"/>
                <w:between w:val="nil"/>
              </w:pBdr>
              <w:ind w:left="-113"/>
              <w:jc w:val="right"/>
              <w:rPr>
                <w:color w:val="000000"/>
              </w:rPr>
            </w:pPr>
            <w:r>
              <w:rPr>
                <w:b/>
                <w:color w:val="000000"/>
              </w:rPr>
              <w:t>Current assets</w:t>
            </w:r>
          </w:p>
        </w:tc>
        <w:tc>
          <w:tcPr>
            <w:tcW w:w="963" w:type="dxa"/>
            <w:tcBorders>
              <w:bottom w:val="single" w:sz="4" w:space="0" w:color="000000"/>
            </w:tcBorders>
          </w:tcPr>
          <w:p w14:paraId="7B9F0F05" w14:textId="77777777" w:rsidR="008E5DE4" w:rsidRDefault="00780368">
            <w:pPr>
              <w:widowControl w:val="0"/>
              <w:pBdr>
                <w:top w:val="nil"/>
                <w:left w:val="nil"/>
                <w:bottom w:val="nil"/>
                <w:right w:val="nil"/>
                <w:between w:val="nil"/>
              </w:pBdr>
              <w:ind w:left="-113"/>
              <w:jc w:val="right"/>
              <w:rPr>
                <w:color w:val="000000"/>
              </w:rPr>
            </w:pPr>
            <w:r>
              <w:rPr>
                <w:b/>
                <w:color w:val="000000"/>
              </w:rPr>
              <w:t>Non-current assets</w:t>
            </w:r>
          </w:p>
        </w:tc>
        <w:tc>
          <w:tcPr>
            <w:tcW w:w="964" w:type="dxa"/>
            <w:tcBorders>
              <w:bottom w:val="single" w:sz="4" w:space="0" w:color="000000"/>
            </w:tcBorders>
          </w:tcPr>
          <w:p w14:paraId="20102888" w14:textId="77777777" w:rsidR="008E5DE4" w:rsidRDefault="00780368">
            <w:pPr>
              <w:widowControl w:val="0"/>
              <w:pBdr>
                <w:top w:val="nil"/>
                <w:left w:val="nil"/>
                <w:bottom w:val="nil"/>
                <w:right w:val="nil"/>
                <w:between w:val="nil"/>
              </w:pBdr>
              <w:ind w:left="-113"/>
              <w:jc w:val="right"/>
              <w:rPr>
                <w:color w:val="000000"/>
              </w:rPr>
            </w:pPr>
            <w:r>
              <w:rPr>
                <w:b/>
                <w:color w:val="000000"/>
              </w:rPr>
              <w:t>Current liabilities</w:t>
            </w:r>
          </w:p>
        </w:tc>
        <w:tc>
          <w:tcPr>
            <w:tcW w:w="965" w:type="dxa"/>
            <w:tcBorders>
              <w:bottom w:val="single" w:sz="4" w:space="0" w:color="000000"/>
            </w:tcBorders>
          </w:tcPr>
          <w:p w14:paraId="26EFAAAC" w14:textId="77777777" w:rsidR="008E5DE4" w:rsidRDefault="00780368">
            <w:pPr>
              <w:widowControl w:val="0"/>
              <w:pBdr>
                <w:top w:val="nil"/>
                <w:left w:val="nil"/>
                <w:bottom w:val="nil"/>
                <w:right w:val="nil"/>
                <w:between w:val="nil"/>
              </w:pBdr>
              <w:ind w:left="-113"/>
              <w:jc w:val="right"/>
              <w:rPr>
                <w:color w:val="000000"/>
              </w:rPr>
            </w:pPr>
            <w:r>
              <w:rPr>
                <w:b/>
                <w:color w:val="000000"/>
              </w:rPr>
              <w:t>Non-current liabilities</w:t>
            </w:r>
          </w:p>
        </w:tc>
        <w:tc>
          <w:tcPr>
            <w:tcW w:w="964" w:type="dxa"/>
            <w:tcBorders>
              <w:bottom w:val="single" w:sz="4" w:space="0" w:color="000000"/>
            </w:tcBorders>
          </w:tcPr>
          <w:p w14:paraId="537343FA" w14:textId="77777777" w:rsidR="008E5DE4" w:rsidRDefault="00780368">
            <w:pPr>
              <w:widowControl w:val="0"/>
              <w:pBdr>
                <w:top w:val="nil"/>
                <w:left w:val="nil"/>
                <w:bottom w:val="nil"/>
                <w:right w:val="nil"/>
                <w:between w:val="nil"/>
              </w:pBdr>
              <w:ind w:left="-113"/>
              <w:jc w:val="right"/>
              <w:rPr>
                <w:color w:val="000000"/>
              </w:rPr>
            </w:pPr>
            <w:r>
              <w:rPr>
                <w:b/>
                <w:color w:val="000000"/>
              </w:rPr>
              <w:t>Revenue</w:t>
            </w:r>
          </w:p>
        </w:tc>
        <w:tc>
          <w:tcPr>
            <w:tcW w:w="964" w:type="dxa"/>
            <w:tcBorders>
              <w:bottom w:val="single" w:sz="4" w:space="0" w:color="000000"/>
            </w:tcBorders>
          </w:tcPr>
          <w:p w14:paraId="0803B034" w14:textId="77777777" w:rsidR="008E5DE4" w:rsidRDefault="00780368">
            <w:pPr>
              <w:widowControl w:val="0"/>
              <w:pBdr>
                <w:top w:val="nil"/>
                <w:left w:val="nil"/>
                <w:bottom w:val="nil"/>
                <w:right w:val="nil"/>
                <w:between w:val="nil"/>
              </w:pBdr>
              <w:ind w:left="-113"/>
              <w:jc w:val="right"/>
              <w:rPr>
                <w:color w:val="000000"/>
              </w:rPr>
            </w:pPr>
            <w:r>
              <w:rPr>
                <w:b/>
                <w:color w:val="000000"/>
              </w:rPr>
              <w:t>Profit/</w:t>
            </w:r>
          </w:p>
          <w:p w14:paraId="108B8154" w14:textId="77777777" w:rsidR="008E5DE4" w:rsidRDefault="00780368">
            <w:pPr>
              <w:widowControl w:val="0"/>
              <w:pBdr>
                <w:top w:val="nil"/>
                <w:left w:val="nil"/>
                <w:bottom w:val="nil"/>
                <w:right w:val="nil"/>
                <w:between w:val="nil"/>
              </w:pBdr>
              <w:ind w:left="-113"/>
              <w:jc w:val="right"/>
              <w:rPr>
                <w:color w:val="000000"/>
              </w:rPr>
            </w:pPr>
            <w:r>
              <w:rPr>
                <w:b/>
                <w:color w:val="000000"/>
              </w:rPr>
              <w:t>(loss)</w:t>
            </w:r>
          </w:p>
        </w:tc>
        <w:tc>
          <w:tcPr>
            <w:tcW w:w="964" w:type="dxa"/>
            <w:tcBorders>
              <w:bottom w:val="single" w:sz="4" w:space="0" w:color="000000"/>
            </w:tcBorders>
          </w:tcPr>
          <w:p w14:paraId="52ED1D1A"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Total </w:t>
            </w:r>
            <w:proofErr w:type="spellStart"/>
            <w:r>
              <w:rPr>
                <w:b/>
                <w:color w:val="000000"/>
              </w:rPr>
              <w:t>compre-hensive</w:t>
            </w:r>
            <w:proofErr w:type="spellEnd"/>
            <w:r>
              <w:rPr>
                <w:b/>
                <w:color w:val="000000"/>
              </w:rPr>
              <w:t xml:space="preserve"> income</w:t>
            </w:r>
          </w:p>
        </w:tc>
        <w:tc>
          <w:tcPr>
            <w:tcW w:w="968" w:type="dxa"/>
            <w:tcBorders>
              <w:bottom w:val="single" w:sz="4" w:space="0" w:color="000000"/>
            </w:tcBorders>
          </w:tcPr>
          <w:p w14:paraId="6D824104" w14:textId="77777777" w:rsidR="008E5DE4" w:rsidRDefault="00780368">
            <w:pPr>
              <w:widowControl w:val="0"/>
              <w:pBdr>
                <w:top w:val="nil"/>
                <w:left w:val="nil"/>
                <w:bottom w:val="nil"/>
                <w:right w:val="nil"/>
                <w:between w:val="nil"/>
              </w:pBdr>
              <w:ind w:left="-113"/>
              <w:jc w:val="right"/>
              <w:rPr>
                <w:color w:val="000000"/>
              </w:rPr>
            </w:pPr>
            <w:r>
              <w:rPr>
                <w:b/>
                <w:color w:val="000000"/>
              </w:rPr>
              <w:t xml:space="preserve">Cash </w:t>
            </w:r>
          </w:p>
          <w:p w14:paraId="390516BD" w14:textId="77777777" w:rsidR="008E5DE4" w:rsidRDefault="00780368">
            <w:pPr>
              <w:widowControl w:val="0"/>
              <w:pBdr>
                <w:top w:val="nil"/>
                <w:left w:val="nil"/>
                <w:bottom w:val="nil"/>
                <w:right w:val="nil"/>
                <w:between w:val="nil"/>
              </w:pBdr>
              <w:ind w:left="-113"/>
              <w:jc w:val="right"/>
              <w:rPr>
                <w:color w:val="000000"/>
              </w:rPr>
            </w:pPr>
            <w:r>
              <w:rPr>
                <w:b/>
                <w:color w:val="000000"/>
              </w:rPr>
              <w:t>flows</w:t>
            </w:r>
          </w:p>
        </w:tc>
      </w:tr>
      <w:tr w:rsidR="008E5DE4" w14:paraId="7611A8E6" w14:textId="77777777">
        <w:trPr>
          <w:cantSplit/>
          <w:tblHeader/>
        </w:trPr>
        <w:tc>
          <w:tcPr>
            <w:tcW w:w="1701" w:type="dxa"/>
            <w:vAlign w:val="bottom"/>
          </w:tcPr>
          <w:p w14:paraId="0275293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963" w:type="dxa"/>
            <w:vAlign w:val="bottom"/>
          </w:tcPr>
          <w:p w14:paraId="63BB8064"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2B3972D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5F886C3"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3A56D80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0AB7C8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DD5596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CD2AE43"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797419E0" w14:textId="77777777" w:rsidR="008E5DE4" w:rsidRDefault="008E5DE4">
            <w:pPr>
              <w:widowControl w:val="0"/>
              <w:pBdr>
                <w:top w:val="nil"/>
                <w:left w:val="nil"/>
                <w:bottom w:val="nil"/>
                <w:right w:val="nil"/>
                <w:between w:val="nil"/>
              </w:pBdr>
              <w:jc w:val="right"/>
              <w:rPr>
                <w:color w:val="000000"/>
              </w:rPr>
            </w:pPr>
          </w:p>
        </w:tc>
      </w:tr>
      <w:tr w:rsidR="008E5DE4" w14:paraId="2691A276" w14:textId="77777777">
        <w:trPr>
          <w:cantSplit/>
          <w:tblHeader/>
        </w:trPr>
        <w:tc>
          <w:tcPr>
            <w:tcW w:w="1701" w:type="dxa"/>
            <w:vAlign w:val="bottom"/>
          </w:tcPr>
          <w:p w14:paraId="1E896995" w14:textId="2EAFAF8F" w:rsidR="008E5DE4" w:rsidRDefault="008614F8">
            <w:pPr>
              <w:widowControl w:val="0"/>
              <w:pBdr>
                <w:top w:val="nil"/>
                <w:left w:val="nil"/>
                <w:bottom w:val="nil"/>
                <w:right w:val="nil"/>
                <w:between w:val="nil"/>
              </w:pBdr>
              <w:ind w:left="113" w:right="-57" w:hanging="113"/>
              <w:rPr>
                <w:smallCaps/>
                <w:color w:val="0000FF"/>
              </w:rPr>
            </w:pPr>
            <w:r>
              <w:rPr>
                <w:b/>
                <w:color w:val="000000"/>
              </w:rPr>
              <w:t>2025</w:t>
            </w:r>
          </w:p>
        </w:tc>
        <w:tc>
          <w:tcPr>
            <w:tcW w:w="963" w:type="dxa"/>
            <w:vAlign w:val="bottom"/>
          </w:tcPr>
          <w:p w14:paraId="18A42D82"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6D72866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D9BF842"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438FF52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4BC0E8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D86A145"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0E5A570"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35089D91" w14:textId="77777777" w:rsidR="008E5DE4" w:rsidRDefault="008E5DE4">
            <w:pPr>
              <w:widowControl w:val="0"/>
              <w:pBdr>
                <w:top w:val="nil"/>
                <w:left w:val="nil"/>
                <w:bottom w:val="nil"/>
                <w:right w:val="nil"/>
                <w:between w:val="nil"/>
              </w:pBdr>
              <w:jc w:val="right"/>
              <w:rPr>
                <w:color w:val="000000"/>
              </w:rPr>
            </w:pPr>
          </w:p>
        </w:tc>
      </w:tr>
      <w:tr w:rsidR="008E5DE4" w14:paraId="66376087" w14:textId="77777777">
        <w:trPr>
          <w:cantSplit/>
          <w:tblHeader/>
        </w:trPr>
        <w:tc>
          <w:tcPr>
            <w:tcW w:w="1701" w:type="dxa"/>
            <w:vAlign w:val="bottom"/>
          </w:tcPr>
          <w:p w14:paraId="3C125A17" w14:textId="77777777" w:rsidR="008E5DE4" w:rsidRDefault="00780368">
            <w:pPr>
              <w:widowControl w:val="0"/>
              <w:pBdr>
                <w:top w:val="nil"/>
                <w:left w:val="nil"/>
                <w:bottom w:val="nil"/>
                <w:right w:val="nil"/>
                <w:between w:val="nil"/>
              </w:pBdr>
              <w:ind w:left="113" w:right="-57" w:hanging="113"/>
              <w:rPr>
                <w:smallCaps/>
                <w:color w:val="0000FF"/>
              </w:rPr>
            </w:pPr>
            <w:r>
              <w:rPr>
                <w:smallCaps/>
                <w:color w:val="0000FF"/>
              </w:rPr>
              <w:t>[SUB 1]</w:t>
            </w:r>
          </w:p>
        </w:tc>
        <w:tc>
          <w:tcPr>
            <w:tcW w:w="963" w:type="dxa"/>
            <w:vAlign w:val="bottom"/>
          </w:tcPr>
          <w:p w14:paraId="2716FA4D"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378D1C9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B8D89D1"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3FECF80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0F4345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3886A2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35D731A"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03156103" w14:textId="77777777" w:rsidR="008E5DE4" w:rsidRDefault="008E5DE4">
            <w:pPr>
              <w:widowControl w:val="0"/>
              <w:pBdr>
                <w:top w:val="nil"/>
                <w:left w:val="nil"/>
                <w:bottom w:val="nil"/>
                <w:right w:val="nil"/>
                <w:between w:val="nil"/>
              </w:pBdr>
              <w:jc w:val="right"/>
              <w:rPr>
                <w:color w:val="000000"/>
              </w:rPr>
            </w:pPr>
          </w:p>
        </w:tc>
      </w:tr>
      <w:tr w:rsidR="008E5DE4" w14:paraId="64A4BD42" w14:textId="77777777">
        <w:trPr>
          <w:cantSplit/>
          <w:tblHeader/>
        </w:trPr>
        <w:tc>
          <w:tcPr>
            <w:tcW w:w="1701" w:type="dxa"/>
            <w:vAlign w:val="bottom"/>
          </w:tcPr>
          <w:p w14:paraId="757F1896" w14:textId="77777777" w:rsidR="008E5DE4" w:rsidRDefault="00780368">
            <w:pPr>
              <w:widowControl w:val="0"/>
              <w:pBdr>
                <w:top w:val="nil"/>
                <w:left w:val="nil"/>
                <w:bottom w:val="nil"/>
                <w:right w:val="nil"/>
                <w:between w:val="nil"/>
              </w:pBdr>
              <w:ind w:left="113" w:right="-57" w:hanging="113"/>
              <w:rPr>
                <w:smallCaps/>
                <w:color w:val="0000FF"/>
              </w:rPr>
            </w:pPr>
            <w:r>
              <w:rPr>
                <w:smallCaps/>
                <w:color w:val="0000FF"/>
              </w:rPr>
              <w:t>[SUB 2]</w:t>
            </w:r>
          </w:p>
        </w:tc>
        <w:tc>
          <w:tcPr>
            <w:tcW w:w="963" w:type="dxa"/>
            <w:vAlign w:val="bottom"/>
          </w:tcPr>
          <w:p w14:paraId="27DF1D1E"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356CCDA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A1A83FE"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56467892"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88C55F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ACA2E1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957B20D"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64567A75" w14:textId="77777777" w:rsidR="008E5DE4" w:rsidRDefault="008E5DE4">
            <w:pPr>
              <w:widowControl w:val="0"/>
              <w:pBdr>
                <w:top w:val="nil"/>
                <w:left w:val="nil"/>
                <w:bottom w:val="nil"/>
                <w:right w:val="nil"/>
                <w:between w:val="nil"/>
              </w:pBdr>
              <w:jc w:val="right"/>
              <w:rPr>
                <w:color w:val="000000"/>
              </w:rPr>
            </w:pPr>
          </w:p>
        </w:tc>
      </w:tr>
      <w:tr w:rsidR="008E5DE4" w14:paraId="2B93EAD1" w14:textId="77777777">
        <w:trPr>
          <w:cantSplit/>
          <w:tblHeader/>
        </w:trPr>
        <w:tc>
          <w:tcPr>
            <w:tcW w:w="1701" w:type="dxa"/>
            <w:vAlign w:val="bottom"/>
          </w:tcPr>
          <w:p w14:paraId="1EFD7641" w14:textId="77777777" w:rsidR="008E5DE4" w:rsidRDefault="008E5DE4">
            <w:pPr>
              <w:widowControl w:val="0"/>
              <w:pBdr>
                <w:top w:val="nil"/>
                <w:left w:val="nil"/>
                <w:bottom w:val="nil"/>
                <w:right w:val="nil"/>
                <w:between w:val="nil"/>
              </w:pBdr>
              <w:ind w:left="113" w:right="-57" w:hanging="113"/>
              <w:rPr>
                <w:smallCaps/>
                <w:color w:val="0000FF"/>
              </w:rPr>
            </w:pPr>
          </w:p>
        </w:tc>
        <w:tc>
          <w:tcPr>
            <w:tcW w:w="963" w:type="dxa"/>
            <w:vAlign w:val="bottom"/>
          </w:tcPr>
          <w:p w14:paraId="7CAE56F4"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474AC97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B1F0F88"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11A3843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913E11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AAFD2A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6321914"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2AF8F320" w14:textId="77777777" w:rsidR="008E5DE4" w:rsidRDefault="008E5DE4">
            <w:pPr>
              <w:widowControl w:val="0"/>
              <w:pBdr>
                <w:top w:val="nil"/>
                <w:left w:val="nil"/>
                <w:bottom w:val="nil"/>
                <w:right w:val="nil"/>
                <w:between w:val="nil"/>
              </w:pBdr>
              <w:jc w:val="right"/>
              <w:rPr>
                <w:color w:val="000000"/>
              </w:rPr>
            </w:pPr>
          </w:p>
        </w:tc>
      </w:tr>
      <w:tr w:rsidR="008E5DE4" w14:paraId="0768D96C" w14:textId="77777777">
        <w:trPr>
          <w:cantSplit/>
          <w:tblHeader/>
        </w:trPr>
        <w:tc>
          <w:tcPr>
            <w:tcW w:w="1701" w:type="dxa"/>
            <w:vAlign w:val="bottom"/>
          </w:tcPr>
          <w:p w14:paraId="64A425BF" w14:textId="76A33336" w:rsidR="008E5DE4" w:rsidRDefault="00A46633">
            <w:pPr>
              <w:widowControl w:val="0"/>
              <w:pBdr>
                <w:top w:val="nil"/>
                <w:left w:val="nil"/>
                <w:bottom w:val="nil"/>
                <w:right w:val="nil"/>
                <w:between w:val="nil"/>
              </w:pBdr>
              <w:ind w:left="113" w:right="-57" w:hanging="113"/>
              <w:rPr>
                <w:smallCaps/>
                <w:color w:val="0000FF"/>
              </w:rPr>
            </w:pPr>
            <w:r>
              <w:rPr>
                <w:b/>
                <w:color w:val="000000"/>
              </w:rPr>
              <w:t>2024</w:t>
            </w:r>
          </w:p>
        </w:tc>
        <w:tc>
          <w:tcPr>
            <w:tcW w:w="963" w:type="dxa"/>
            <w:vAlign w:val="bottom"/>
          </w:tcPr>
          <w:p w14:paraId="0848F7B7"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7253ED7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8C9BABC"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0E0D834F"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7732C57"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878D9C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2F4673EA"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3CD9B7B1" w14:textId="77777777" w:rsidR="008E5DE4" w:rsidRDefault="008E5DE4">
            <w:pPr>
              <w:widowControl w:val="0"/>
              <w:pBdr>
                <w:top w:val="nil"/>
                <w:left w:val="nil"/>
                <w:bottom w:val="nil"/>
                <w:right w:val="nil"/>
                <w:between w:val="nil"/>
              </w:pBdr>
              <w:jc w:val="right"/>
              <w:rPr>
                <w:color w:val="000000"/>
              </w:rPr>
            </w:pPr>
          </w:p>
        </w:tc>
      </w:tr>
      <w:tr w:rsidR="008E5DE4" w14:paraId="426B5989" w14:textId="77777777">
        <w:trPr>
          <w:cantSplit/>
          <w:tblHeader/>
        </w:trPr>
        <w:tc>
          <w:tcPr>
            <w:tcW w:w="1701" w:type="dxa"/>
            <w:vAlign w:val="bottom"/>
          </w:tcPr>
          <w:p w14:paraId="5C69A8B9" w14:textId="77777777" w:rsidR="008E5DE4" w:rsidRDefault="00780368">
            <w:pPr>
              <w:widowControl w:val="0"/>
              <w:pBdr>
                <w:top w:val="nil"/>
                <w:left w:val="nil"/>
                <w:bottom w:val="nil"/>
                <w:right w:val="nil"/>
                <w:between w:val="nil"/>
              </w:pBdr>
              <w:ind w:left="113" w:right="-57" w:hanging="113"/>
              <w:rPr>
                <w:smallCaps/>
                <w:color w:val="0000FF"/>
              </w:rPr>
            </w:pPr>
            <w:r>
              <w:rPr>
                <w:smallCaps/>
                <w:color w:val="0000FF"/>
              </w:rPr>
              <w:t>[SUB 1]</w:t>
            </w:r>
          </w:p>
        </w:tc>
        <w:tc>
          <w:tcPr>
            <w:tcW w:w="963" w:type="dxa"/>
            <w:vAlign w:val="bottom"/>
          </w:tcPr>
          <w:p w14:paraId="5C7AACA7"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693E6EA3"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B27599B"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4FA5427C"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11F46B36"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8C1BA20"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6B0E50B6"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1F3B5652" w14:textId="77777777" w:rsidR="008E5DE4" w:rsidRDefault="008E5DE4">
            <w:pPr>
              <w:widowControl w:val="0"/>
              <w:pBdr>
                <w:top w:val="nil"/>
                <w:left w:val="nil"/>
                <w:bottom w:val="nil"/>
                <w:right w:val="nil"/>
                <w:between w:val="nil"/>
              </w:pBdr>
              <w:jc w:val="right"/>
              <w:rPr>
                <w:color w:val="000000"/>
              </w:rPr>
            </w:pPr>
          </w:p>
        </w:tc>
      </w:tr>
      <w:tr w:rsidR="008E5DE4" w14:paraId="0D489C5D" w14:textId="77777777">
        <w:trPr>
          <w:cantSplit/>
          <w:tblHeader/>
        </w:trPr>
        <w:tc>
          <w:tcPr>
            <w:tcW w:w="1701" w:type="dxa"/>
            <w:vAlign w:val="bottom"/>
          </w:tcPr>
          <w:p w14:paraId="2B56BD21" w14:textId="77777777" w:rsidR="008E5DE4" w:rsidRDefault="00780368">
            <w:pPr>
              <w:widowControl w:val="0"/>
              <w:pBdr>
                <w:top w:val="nil"/>
                <w:left w:val="nil"/>
                <w:bottom w:val="nil"/>
                <w:right w:val="nil"/>
                <w:between w:val="nil"/>
              </w:pBdr>
              <w:ind w:left="113" w:right="-57" w:hanging="113"/>
              <w:rPr>
                <w:color w:val="000000"/>
              </w:rPr>
            </w:pPr>
            <w:r>
              <w:rPr>
                <w:smallCaps/>
                <w:color w:val="0000FF"/>
              </w:rPr>
              <w:t>[SUB 2]</w:t>
            </w:r>
          </w:p>
        </w:tc>
        <w:tc>
          <w:tcPr>
            <w:tcW w:w="963" w:type="dxa"/>
            <w:vAlign w:val="bottom"/>
          </w:tcPr>
          <w:p w14:paraId="39A26518"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260D15D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F0BEE49"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67C15928"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F86504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EC2EAE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76BB1082"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017554F3" w14:textId="77777777" w:rsidR="008E5DE4" w:rsidRDefault="008E5DE4">
            <w:pPr>
              <w:widowControl w:val="0"/>
              <w:pBdr>
                <w:top w:val="nil"/>
                <w:left w:val="nil"/>
                <w:bottom w:val="nil"/>
                <w:right w:val="nil"/>
                <w:between w:val="nil"/>
              </w:pBdr>
              <w:jc w:val="right"/>
              <w:rPr>
                <w:color w:val="000000"/>
              </w:rPr>
            </w:pPr>
          </w:p>
        </w:tc>
      </w:tr>
      <w:tr w:rsidR="008E5DE4" w14:paraId="089984F7" w14:textId="77777777">
        <w:trPr>
          <w:cantSplit/>
          <w:tblHeader/>
        </w:trPr>
        <w:tc>
          <w:tcPr>
            <w:tcW w:w="1701" w:type="dxa"/>
            <w:tcBorders>
              <w:bottom w:val="single" w:sz="4" w:space="0" w:color="000000"/>
            </w:tcBorders>
            <w:vAlign w:val="bottom"/>
          </w:tcPr>
          <w:p w14:paraId="3F80905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963" w:type="dxa"/>
            <w:tcBorders>
              <w:bottom w:val="single" w:sz="4" w:space="0" w:color="000000"/>
            </w:tcBorders>
            <w:vAlign w:val="bottom"/>
          </w:tcPr>
          <w:p w14:paraId="422D5163" w14:textId="77777777" w:rsidR="008E5DE4" w:rsidRDefault="008E5DE4">
            <w:pPr>
              <w:widowControl w:val="0"/>
              <w:pBdr>
                <w:top w:val="nil"/>
                <w:left w:val="nil"/>
                <w:bottom w:val="nil"/>
                <w:right w:val="nil"/>
                <w:between w:val="nil"/>
              </w:pBdr>
              <w:jc w:val="right"/>
              <w:rPr>
                <w:color w:val="000000"/>
              </w:rPr>
            </w:pPr>
          </w:p>
        </w:tc>
        <w:tc>
          <w:tcPr>
            <w:tcW w:w="963" w:type="dxa"/>
            <w:tcBorders>
              <w:bottom w:val="single" w:sz="4" w:space="0" w:color="000000"/>
            </w:tcBorders>
            <w:vAlign w:val="bottom"/>
          </w:tcPr>
          <w:p w14:paraId="5F981443"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4" w:space="0" w:color="000000"/>
            </w:tcBorders>
            <w:vAlign w:val="bottom"/>
          </w:tcPr>
          <w:p w14:paraId="684E2B40" w14:textId="77777777" w:rsidR="008E5DE4" w:rsidRDefault="008E5DE4">
            <w:pPr>
              <w:widowControl w:val="0"/>
              <w:pBdr>
                <w:top w:val="nil"/>
                <w:left w:val="nil"/>
                <w:bottom w:val="nil"/>
                <w:right w:val="nil"/>
                <w:between w:val="nil"/>
              </w:pBdr>
              <w:jc w:val="right"/>
              <w:rPr>
                <w:color w:val="000000"/>
              </w:rPr>
            </w:pPr>
          </w:p>
        </w:tc>
        <w:tc>
          <w:tcPr>
            <w:tcW w:w="965" w:type="dxa"/>
            <w:tcBorders>
              <w:bottom w:val="single" w:sz="4" w:space="0" w:color="000000"/>
            </w:tcBorders>
            <w:vAlign w:val="bottom"/>
          </w:tcPr>
          <w:p w14:paraId="19DE1915"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4" w:space="0" w:color="000000"/>
            </w:tcBorders>
            <w:vAlign w:val="bottom"/>
          </w:tcPr>
          <w:p w14:paraId="78750481"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4" w:space="0" w:color="000000"/>
            </w:tcBorders>
            <w:vAlign w:val="bottom"/>
          </w:tcPr>
          <w:p w14:paraId="3C3ACCD0"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4" w:space="0" w:color="000000"/>
            </w:tcBorders>
            <w:vAlign w:val="bottom"/>
          </w:tcPr>
          <w:p w14:paraId="36D01C75" w14:textId="77777777" w:rsidR="008E5DE4" w:rsidRDefault="008E5DE4">
            <w:pPr>
              <w:widowControl w:val="0"/>
              <w:pBdr>
                <w:top w:val="nil"/>
                <w:left w:val="nil"/>
                <w:bottom w:val="nil"/>
                <w:right w:val="nil"/>
                <w:between w:val="nil"/>
              </w:pBdr>
              <w:jc w:val="right"/>
              <w:rPr>
                <w:color w:val="000000"/>
              </w:rPr>
            </w:pPr>
          </w:p>
        </w:tc>
        <w:tc>
          <w:tcPr>
            <w:tcW w:w="968" w:type="dxa"/>
            <w:tcBorders>
              <w:bottom w:val="single" w:sz="4" w:space="0" w:color="000000"/>
            </w:tcBorders>
            <w:vAlign w:val="bottom"/>
          </w:tcPr>
          <w:p w14:paraId="68E086A0" w14:textId="77777777" w:rsidR="008E5DE4" w:rsidRDefault="008E5DE4">
            <w:pPr>
              <w:widowControl w:val="0"/>
              <w:pBdr>
                <w:top w:val="nil"/>
                <w:left w:val="nil"/>
                <w:bottom w:val="nil"/>
                <w:right w:val="nil"/>
                <w:between w:val="nil"/>
              </w:pBdr>
              <w:jc w:val="right"/>
              <w:rPr>
                <w:color w:val="000000"/>
              </w:rPr>
            </w:pPr>
          </w:p>
        </w:tc>
      </w:tr>
      <w:tr w:rsidR="008E5DE4" w14:paraId="78F14697" w14:textId="77777777">
        <w:trPr>
          <w:cantSplit/>
          <w:tblHeader/>
        </w:trPr>
        <w:tc>
          <w:tcPr>
            <w:tcW w:w="1701" w:type="dxa"/>
            <w:vAlign w:val="bottom"/>
          </w:tcPr>
          <w:p w14:paraId="048EAD3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963" w:type="dxa"/>
            <w:vAlign w:val="bottom"/>
          </w:tcPr>
          <w:p w14:paraId="70987E6E"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25374589"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473711C"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6BC71EE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0FA6F8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329614A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2A3B08C"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1CB8CF31" w14:textId="77777777" w:rsidR="008E5DE4" w:rsidRDefault="008E5DE4">
            <w:pPr>
              <w:widowControl w:val="0"/>
              <w:pBdr>
                <w:top w:val="nil"/>
                <w:left w:val="nil"/>
                <w:bottom w:val="nil"/>
                <w:right w:val="nil"/>
                <w:between w:val="nil"/>
              </w:pBdr>
              <w:jc w:val="right"/>
              <w:rPr>
                <w:color w:val="000000"/>
              </w:rPr>
            </w:pPr>
          </w:p>
        </w:tc>
      </w:tr>
      <w:tr w:rsidR="008E5DE4" w14:paraId="487BB870" w14:textId="77777777">
        <w:trPr>
          <w:cantSplit/>
          <w:tblHeader/>
        </w:trPr>
        <w:tc>
          <w:tcPr>
            <w:tcW w:w="1701" w:type="dxa"/>
            <w:vAlign w:val="bottom"/>
          </w:tcPr>
          <w:p w14:paraId="5B2E0D1C"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w:t>
            </w:r>
          </w:p>
        </w:tc>
        <w:tc>
          <w:tcPr>
            <w:tcW w:w="963" w:type="dxa"/>
            <w:vAlign w:val="bottom"/>
          </w:tcPr>
          <w:p w14:paraId="10B9C790" w14:textId="77777777" w:rsidR="008E5DE4" w:rsidRDefault="008E5DE4">
            <w:pPr>
              <w:widowControl w:val="0"/>
              <w:pBdr>
                <w:top w:val="nil"/>
                <w:left w:val="nil"/>
                <w:bottom w:val="nil"/>
                <w:right w:val="nil"/>
                <w:between w:val="nil"/>
              </w:pBdr>
              <w:jc w:val="right"/>
              <w:rPr>
                <w:color w:val="000000"/>
              </w:rPr>
            </w:pPr>
          </w:p>
        </w:tc>
        <w:tc>
          <w:tcPr>
            <w:tcW w:w="963" w:type="dxa"/>
            <w:vAlign w:val="bottom"/>
          </w:tcPr>
          <w:p w14:paraId="4229915D"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4FBA8383" w14:textId="77777777" w:rsidR="008E5DE4" w:rsidRDefault="008E5DE4">
            <w:pPr>
              <w:widowControl w:val="0"/>
              <w:pBdr>
                <w:top w:val="nil"/>
                <w:left w:val="nil"/>
                <w:bottom w:val="nil"/>
                <w:right w:val="nil"/>
                <w:between w:val="nil"/>
              </w:pBdr>
              <w:jc w:val="right"/>
              <w:rPr>
                <w:color w:val="000000"/>
              </w:rPr>
            </w:pPr>
          </w:p>
        </w:tc>
        <w:tc>
          <w:tcPr>
            <w:tcW w:w="965" w:type="dxa"/>
            <w:vAlign w:val="bottom"/>
          </w:tcPr>
          <w:p w14:paraId="4154138E"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17EF5B1"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0EA46F9B" w14:textId="77777777" w:rsidR="008E5DE4" w:rsidRDefault="008E5DE4">
            <w:pPr>
              <w:widowControl w:val="0"/>
              <w:pBdr>
                <w:top w:val="nil"/>
                <w:left w:val="nil"/>
                <w:bottom w:val="nil"/>
                <w:right w:val="nil"/>
                <w:between w:val="nil"/>
              </w:pBdr>
              <w:jc w:val="right"/>
              <w:rPr>
                <w:color w:val="000000"/>
              </w:rPr>
            </w:pPr>
          </w:p>
        </w:tc>
        <w:tc>
          <w:tcPr>
            <w:tcW w:w="964" w:type="dxa"/>
            <w:vAlign w:val="bottom"/>
          </w:tcPr>
          <w:p w14:paraId="555A3ACA" w14:textId="77777777" w:rsidR="008E5DE4" w:rsidRDefault="008E5DE4">
            <w:pPr>
              <w:widowControl w:val="0"/>
              <w:pBdr>
                <w:top w:val="nil"/>
                <w:left w:val="nil"/>
                <w:bottom w:val="nil"/>
                <w:right w:val="nil"/>
                <w:between w:val="nil"/>
              </w:pBdr>
              <w:jc w:val="right"/>
              <w:rPr>
                <w:color w:val="000000"/>
              </w:rPr>
            </w:pPr>
          </w:p>
        </w:tc>
        <w:tc>
          <w:tcPr>
            <w:tcW w:w="968" w:type="dxa"/>
            <w:vAlign w:val="bottom"/>
          </w:tcPr>
          <w:p w14:paraId="018E3B0B" w14:textId="77777777" w:rsidR="008E5DE4" w:rsidRDefault="008E5DE4">
            <w:pPr>
              <w:widowControl w:val="0"/>
              <w:pBdr>
                <w:top w:val="nil"/>
                <w:left w:val="nil"/>
                <w:bottom w:val="nil"/>
                <w:right w:val="nil"/>
                <w:between w:val="nil"/>
              </w:pBdr>
              <w:jc w:val="right"/>
              <w:rPr>
                <w:color w:val="000000"/>
              </w:rPr>
            </w:pPr>
          </w:p>
        </w:tc>
      </w:tr>
      <w:tr w:rsidR="008E5DE4" w14:paraId="566AB942" w14:textId="77777777">
        <w:trPr>
          <w:cantSplit/>
          <w:tblHeader/>
        </w:trPr>
        <w:tc>
          <w:tcPr>
            <w:tcW w:w="1701" w:type="dxa"/>
            <w:tcBorders>
              <w:bottom w:val="single" w:sz="12" w:space="0" w:color="000000"/>
            </w:tcBorders>
            <w:vAlign w:val="bottom"/>
          </w:tcPr>
          <w:p w14:paraId="4D5F774E"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963" w:type="dxa"/>
            <w:tcBorders>
              <w:bottom w:val="single" w:sz="12" w:space="0" w:color="000000"/>
            </w:tcBorders>
            <w:vAlign w:val="bottom"/>
          </w:tcPr>
          <w:p w14:paraId="6270CFBD" w14:textId="77777777" w:rsidR="008E5DE4" w:rsidRDefault="008E5DE4">
            <w:pPr>
              <w:widowControl w:val="0"/>
              <w:pBdr>
                <w:top w:val="nil"/>
                <w:left w:val="nil"/>
                <w:bottom w:val="nil"/>
                <w:right w:val="nil"/>
                <w:between w:val="nil"/>
              </w:pBdr>
              <w:jc w:val="right"/>
              <w:rPr>
                <w:color w:val="000000"/>
              </w:rPr>
            </w:pPr>
          </w:p>
        </w:tc>
        <w:tc>
          <w:tcPr>
            <w:tcW w:w="963" w:type="dxa"/>
            <w:tcBorders>
              <w:bottom w:val="single" w:sz="12" w:space="0" w:color="000000"/>
            </w:tcBorders>
            <w:vAlign w:val="bottom"/>
          </w:tcPr>
          <w:p w14:paraId="1CDE6EC9"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1C4CE8CB" w14:textId="77777777" w:rsidR="008E5DE4" w:rsidRDefault="008E5DE4">
            <w:pPr>
              <w:widowControl w:val="0"/>
              <w:pBdr>
                <w:top w:val="nil"/>
                <w:left w:val="nil"/>
                <w:bottom w:val="nil"/>
                <w:right w:val="nil"/>
                <w:between w:val="nil"/>
              </w:pBdr>
              <w:jc w:val="right"/>
              <w:rPr>
                <w:color w:val="000000"/>
              </w:rPr>
            </w:pPr>
          </w:p>
        </w:tc>
        <w:tc>
          <w:tcPr>
            <w:tcW w:w="965" w:type="dxa"/>
            <w:tcBorders>
              <w:bottom w:val="single" w:sz="12" w:space="0" w:color="000000"/>
            </w:tcBorders>
            <w:vAlign w:val="bottom"/>
          </w:tcPr>
          <w:p w14:paraId="4D8B6A12"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78710276"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2278657A" w14:textId="77777777" w:rsidR="008E5DE4" w:rsidRDefault="008E5DE4">
            <w:pPr>
              <w:widowControl w:val="0"/>
              <w:pBdr>
                <w:top w:val="nil"/>
                <w:left w:val="nil"/>
                <w:bottom w:val="nil"/>
                <w:right w:val="nil"/>
                <w:between w:val="nil"/>
              </w:pBdr>
              <w:jc w:val="right"/>
              <w:rPr>
                <w:color w:val="000000"/>
              </w:rPr>
            </w:pPr>
          </w:p>
        </w:tc>
        <w:tc>
          <w:tcPr>
            <w:tcW w:w="964" w:type="dxa"/>
            <w:tcBorders>
              <w:bottom w:val="single" w:sz="12" w:space="0" w:color="000000"/>
            </w:tcBorders>
            <w:vAlign w:val="bottom"/>
          </w:tcPr>
          <w:p w14:paraId="7FD9AF7D" w14:textId="77777777" w:rsidR="008E5DE4" w:rsidRDefault="008E5DE4">
            <w:pPr>
              <w:widowControl w:val="0"/>
              <w:pBdr>
                <w:top w:val="nil"/>
                <w:left w:val="nil"/>
                <w:bottom w:val="nil"/>
                <w:right w:val="nil"/>
                <w:between w:val="nil"/>
              </w:pBdr>
              <w:jc w:val="right"/>
              <w:rPr>
                <w:color w:val="000000"/>
              </w:rPr>
            </w:pPr>
          </w:p>
        </w:tc>
        <w:tc>
          <w:tcPr>
            <w:tcW w:w="968" w:type="dxa"/>
            <w:tcBorders>
              <w:bottom w:val="single" w:sz="12" w:space="0" w:color="000000"/>
            </w:tcBorders>
            <w:vAlign w:val="bottom"/>
          </w:tcPr>
          <w:p w14:paraId="5D2E5B20" w14:textId="77777777" w:rsidR="008E5DE4" w:rsidRDefault="008E5DE4">
            <w:pPr>
              <w:widowControl w:val="0"/>
              <w:pBdr>
                <w:top w:val="nil"/>
                <w:left w:val="nil"/>
                <w:bottom w:val="nil"/>
                <w:right w:val="nil"/>
                <w:between w:val="nil"/>
              </w:pBdr>
              <w:jc w:val="right"/>
              <w:rPr>
                <w:color w:val="000000"/>
              </w:rPr>
            </w:pPr>
          </w:p>
        </w:tc>
      </w:tr>
    </w:tbl>
    <w:p w14:paraId="575202A0" w14:textId="23DBBEB7"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[Subsidiary 1]</w:t>
      </w:r>
      <w:r>
        <w:rPr>
          <w:color w:val="000000"/>
          <w:sz w:val="20"/>
          <w:szCs w:val="20"/>
        </w:rPr>
        <w:t xml:space="preserve"> has outstanding borrowings from a </w:t>
      </w:r>
      <w:proofErr w:type="gramStart"/>
      <w:r>
        <w:rPr>
          <w:color w:val="000000"/>
          <w:sz w:val="20"/>
          <w:szCs w:val="20"/>
        </w:rPr>
        <w:t>third party</w:t>
      </w:r>
      <w:proofErr w:type="gramEnd"/>
      <w:r>
        <w:rPr>
          <w:color w:val="000000"/>
          <w:sz w:val="20"/>
          <w:szCs w:val="20"/>
        </w:rPr>
        <w:t xml:space="preserve"> bank that includes a clause restricting payment of dividends to the parent without the lender’s approval. </w:t>
      </w:r>
    </w:p>
    <w:p w14:paraId="1FAEB2E6" w14:textId="7B6B0A47" w:rsidR="00F93586" w:rsidRDefault="00780368" w:rsidP="00CD2065">
      <w:pPr>
        <w:widowControl w:val="0"/>
        <w:pBdr>
          <w:top w:val="nil"/>
          <w:left w:val="nil"/>
          <w:bottom w:val="nil"/>
          <w:right w:val="nil"/>
          <w:between w:val="nil"/>
        </w:pBdr>
        <w:spacing w:before="200" w:after="200"/>
        <w:jc w:val="both"/>
      </w:pPr>
      <w:r>
        <w:rPr>
          <w:color w:val="000000"/>
          <w:sz w:val="20"/>
          <w:szCs w:val="20"/>
        </w:rPr>
        <w:t xml:space="preserve">Holders of the non-controlling interest in </w:t>
      </w:r>
      <w:r>
        <w:rPr>
          <w:color w:val="0000FF"/>
          <w:sz w:val="20"/>
          <w:szCs w:val="20"/>
        </w:rPr>
        <w:t>[Subsidiary 1]</w:t>
      </w:r>
      <w:r>
        <w:rPr>
          <w:color w:val="000000"/>
          <w:sz w:val="20"/>
          <w:szCs w:val="20"/>
        </w:rPr>
        <w:t xml:space="preserve"> approve disposals of assets above </w:t>
      </w:r>
      <w:r>
        <w:rPr>
          <w:color w:val="0000FF"/>
          <w:sz w:val="20"/>
          <w:szCs w:val="20"/>
        </w:rPr>
        <w:t>[5%]</w:t>
      </w:r>
      <w:r>
        <w:rPr>
          <w:color w:val="000000"/>
          <w:sz w:val="20"/>
          <w:szCs w:val="20"/>
        </w:rPr>
        <w:t xml:space="preserve"> of the subsidiary’s total assets and have a right to veto any transaction with related parties with a financial effect above EUR ____ thousand. These restrictions apply to all assets of the subsidiary as disclosed above. </w:t>
      </w:r>
      <w:bookmarkStart w:id="76" w:name="_Toc149923647"/>
      <w:r>
        <w:t>Interests in Structured Entities</w:t>
      </w:r>
      <w:bookmarkEnd w:id="76"/>
      <w:r w:rsidR="00F93586">
        <w:t>.</w:t>
      </w:r>
    </w:p>
    <w:p w14:paraId="48DB70D0" w14:textId="5640F017" w:rsidR="00F93586" w:rsidRDefault="00780368" w:rsidP="00F93586">
      <w:pPr>
        <w:pageBreakBefore/>
        <w:pBdr>
          <w:top w:val="nil"/>
          <w:left w:val="nil"/>
          <w:bottom w:val="nil"/>
          <w:right w:val="nil"/>
          <w:between w:val="nil"/>
        </w:pBdr>
        <w:spacing w:after="240"/>
        <w:ind w:left="567" w:hanging="567"/>
        <w:jc w:val="both"/>
        <w:rPr>
          <w:b/>
          <w:color w:val="000000"/>
          <w:sz w:val="20"/>
          <w:szCs w:val="20"/>
        </w:rPr>
      </w:pPr>
      <w:r>
        <w:lastRenderedPageBreak/>
        <w:t xml:space="preserve"> </w:t>
      </w:r>
      <w:r w:rsidR="00F93586">
        <w:rPr>
          <w:b/>
          <w:color w:val="000000"/>
          <w:sz w:val="20"/>
          <w:szCs w:val="20"/>
        </w:rPr>
        <w:t>48</w:t>
      </w:r>
      <w:r w:rsidR="00F93586">
        <w:rPr>
          <w:b/>
          <w:color w:val="000000"/>
          <w:sz w:val="20"/>
          <w:szCs w:val="20"/>
        </w:rPr>
        <w:tab/>
        <w:t xml:space="preserve">Interests in Structured Entities </w:t>
      </w:r>
    </w:p>
    <w:p w14:paraId="36A35C78"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(a) </w:t>
      </w:r>
      <w:r>
        <w:rPr>
          <w:b/>
          <w:i/>
          <w:color w:val="000000"/>
          <w:sz w:val="20"/>
          <w:szCs w:val="20"/>
        </w:rPr>
        <w:tab/>
        <w:t>Consolidated structured entities</w:t>
      </w:r>
    </w:p>
    <w:p w14:paraId="341F3390" w14:textId="783A98B2"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[The Group holds less than 50% of voting rights in a fully consolidated subsidiary _____. The Group has the power and exposure to variable returns of this subsidiary through contractual arrangements with ____]</w:t>
      </w:r>
      <w:r w:rsidR="009573F8">
        <w:rPr>
          <w:color w:val="0000FF"/>
          <w:sz w:val="20"/>
          <w:szCs w:val="20"/>
        </w:rPr>
        <w:t>.</w:t>
      </w:r>
      <w:r>
        <w:rPr>
          <w:color w:val="0000FF"/>
          <w:sz w:val="20"/>
          <w:szCs w:val="20"/>
        </w:rPr>
        <w:t xml:space="preserve"> </w:t>
      </w:r>
    </w:p>
    <w:p w14:paraId="13D27912" w14:textId="13323BE0" w:rsidR="008E5DE4" w:rsidRDefault="00780368" w:rsidP="007F183E">
      <w:pPr>
        <w:widowControl w:val="0"/>
        <w:pBdr>
          <w:top w:val="nil"/>
          <w:left w:val="nil"/>
          <w:bottom w:val="nil"/>
          <w:right w:val="nil"/>
          <w:between w:val="nil"/>
        </w:pBdr>
        <w:spacing w:before="200" w:after="200"/>
        <w:jc w:val="both"/>
        <w:rPr>
          <w:b/>
          <w:color w:val="000000"/>
          <w:sz w:val="20"/>
          <w:szCs w:val="20"/>
        </w:rPr>
      </w:pPr>
      <w:r>
        <w:rPr>
          <w:color w:val="0000FF"/>
          <w:sz w:val="20"/>
          <w:szCs w:val="20"/>
        </w:rPr>
        <w:t>[The Group issued bonds though a consolidated structured entity incorporated in [the] [country]. This entity was consolidated as it was specifically set up for the purposes of the Group, and the Group has exposure to substantially all the risks and rewards through outstanding guarantees of the entity’s obligations. The Group guarantees all obligations of this entity represented by the bonds issued of EUR _____ thousand.]</w:t>
      </w:r>
      <w:r>
        <w:rPr>
          <w:color w:val="000000"/>
          <w:sz w:val="20"/>
          <w:szCs w:val="20"/>
        </w:rPr>
        <w:t xml:space="preserve"> </w:t>
      </w:r>
    </w:p>
    <w:p w14:paraId="0C7B5387"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(b) </w:t>
      </w:r>
      <w:r>
        <w:rPr>
          <w:b/>
          <w:i/>
          <w:color w:val="000000"/>
          <w:sz w:val="20"/>
          <w:szCs w:val="20"/>
        </w:rPr>
        <w:tab/>
        <w:t>Unconsolidated structured entities</w:t>
      </w:r>
    </w:p>
    <w:p w14:paraId="7240070E" w14:textId="55154204" w:rsidR="008E5DE4" w:rsidRDefault="00780368">
      <w:pPr>
        <w:widowControl w:val="0"/>
        <w:pBdr>
          <w:top w:val="nil"/>
          <w:left w:val="nil"/>
          <w:bottom w:val="nil"/>
          <w:right w:val="nil"/>
          <w:between w:val="nil"/>
        </w:pBdr>
        <w:spacing w:before="200" w:after="200"/>
        <w:jc w:val="both"/>
        <w:rPr>
          <w:color w:val="000000"/>
          <w:sz w:val="20"/>
          <w:szCs w:val="20"/>
        </w:rPr>
      </w:pPr>
      <w:r>
        <w:rPr>
          <w:color w:val="0000FF"/>
          <w:sz w:val="20"/>
          <w:szCs w:val="20"/>
        </w:rPr>
        <w:t xml:space="preserve">[The Group holds more than 50% of voting rights in _____ but does not have the power over this entity due to contractual arrangements with _____, which specify that _____. </w:t>
      </w:r>
      <w:proofErr w:type="gramStart"/>
      <w:r>
        <w:rPr>
          <w:color w:val="0000FF"/>
          <w:sz w:val="20"/>
          <w:szCs w:val="20"/>
        </w:rPr>
        <w:t>Consequently</w:t>
      </w:r>
      <w:r w:rsidR="00AD4F80">
        <w:rPr>
          <w:color w:val="0000FF"/>
          <w:sz w:val="20"/>
          <w:szCs w:val="20"/>
        </w:rPr>
        <w:t>,</w:t>
      </w:r>
      <w:r>
        <w:rPr>
          <w:color w:val="0000FF"/>
          <w:sz w:val="20"/>
          <w:szCs w:val="20"/>
        </w:rPr>
        <w:t>_</w:t>
      </w:r>
      <w:proofErr w:type="gramEnd"/>
      <w:r>
        <w:rPr>
          <w:color w:val="0000FF"/>
          <w:sz w:val="20"/>
          <w:szCs w:val="20"/>
        </w:rPr>
        <w:t xml:space="preserve">____ [entity] is not consolidated.] </w:t>
      </w:r>
      <w:r>
        <w:rPr>
          <w:i/>
          <w:color w:val="FF0000"/>
          <w:sz w:val="20"/>
          <w:szCs w:val="20"/>
        </w:rPr>
        <w:t xml:space="preserve"> </w:t>
      </w:r>
    </w:p>
    <w:p w14:paraId="1D5B99F3"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Information about unconsolidated structured entities is as follows:</w:t>
      </w:r>
    </w:p>
    <w:tbl>
      <w:tblPr>
        <w:tblStyle w:val="afffffffffffff"/>
        <w:tblW w:w="9414" w:type="dxa"/>
        <w:tblLayout w:type="fixed"/>
        <w:tblLook w:val="0000" w:firstRow="0" w:lastRow="0" w:firstColumn="0" w:lastColumn="0" w:noHBand="0" w:noVBand="0"/>
      </w:tblPr>
      <w:tblGrid>
        <w:gridCol w:w="2268"/>
        <w:gridCol w:w="1191"/>
        <w:gridCol w:w="1191"/>
        <w:gridCol w:w="1191"/>
        <w:gridCol w:w="1191"/>
        <w:gridCol w:w="1191"/>
        <w:gridCol w:w="1191"/>
      </w:tblGrid>
      <w:tr w:rsidR="008E5DE4" w14:paraId="06176C66" w14:textId="77777777">
        <w:trPr>
          <w:cantSplit/>
          <w:tblHeader/>
        </w:trPr>
        <w:tc>
          <w:tcPr>
            <w:tcW w:w="2268" w:type="dxa"/>
            <w:vAlign w:val="bottom"/>
          </w:tcPr>
          <w:p w14:paraId="5E2DCE7A" w14:textId="77777777" w:rsidR="008E5DE4" w:rsidRDefault="008E5DE4">
            <w:pPr>
              <w:widowControl w:val="0"/>
              <w:pBdr>
                <w:top w:val="nil"/>
                <w:left w:val="nil"/>
                <w:bottom w:val="nil"/>
                <w:right w:val="nil"/>
                <w:between w:val="nil"/>
              </w:pBdr>
              <w:ind w:left="113" w:right="-57" w:hanging="113"/>
              <w:rPr>
                <w:i/>
                <w:color w:val="000000"/>
              </w:rPr>
            </w:pPr>
          </w:p>
        </w:tc>
        <w:tc>
          <w:tcPr>
            <w:tcW w:w="3573" w:type="dxa"/>
            <w:gridSpan w:val="3"/>
            <w:tcBorders>
              <w:bottom w:val="single" w:sz="4" w:space="0" w:color="000000"/>
            </w:tcBorders>
            <w:vAlign w:val="bottom"/>
          </w:tcPr>
          <w:p w14:paraId="1E56F7F0" w14:textId="77777777" w:rsidR="008E5DE4" w:rsidRDefault="00780368">
            <w:pPr>
              <w:widowControl w:val="0"/>
              <w:pBdr>
                <w:top w:val="nil"/>
                <w:left w:val="nil"/>
                <w:bottom w:val="nil"/>
                <w:right w:val="nil"/>
                <w:between w:val="nil"/>
              </w:pBdr>
              <w:jc w:val="center"/>
              <w:rPr>
                <w:color w:val="000000"/>
              </w:rPr>
            </w:pPr>
            <w:r>
              <w:rPr>
                <w:b/>
                <w:color w:val="000000"/>
              </w:rPr>
              <w:t>Year ended 31 December</w:t>
            </w:r>
          </w:p>
        </w:tc>
        <w:tc>
          <w:tcPr>
            <w:tcW w:w="3573" w:type="dxa"/>
            <w:gridSpan w:val="3"/>
            <w:tcBorders>
              <w:bottom w:val="single" w:sz="4" w:space="0" w:color="000000"/>
            </w:tcBorders>
            <w:vAlign w:val="bottom"/>
          </w:tcPr>
          <w:p w14:paraId="09726EF5" w14:textId="77777777" w:rsidR="008E5DE4" w:rsidRDefault="00780368">
            <w:pPr>
              <w:widowControl w:val="0"/>
              <w:pBdr>
                <w:top w:val="nil"/>
                <w:left w:val="nil"/>
                <w:bottom w:val="nil"/>
                <w:right w:val="nil"/>
                <w:between w:val="nil"/>
              </w:pBdr>
              <w:jc w:val="center"/>
              <w:rPr>
                <w:color w:val="000000"/>
              </w:rPr>
            </w:pPr>
            <w:proofErr w:type="gramStart"/>
            <w:r>
              <w:rPr>
                <w:b/>
                <w:color w:val="000000"/>
              </w:rPr>
              <w:t>At</w:t>
            </w:r>
            <w:proofErr w:type="gramEnd"/>
            <w:r>
              <w:rPr>
                <w:b/>
                <w:color w:val="000000"/>
              </w:rPr>
              <w:t xml:space="preserve"> 31 December </w:t>
            </w:r>
          </w:p>
        </w:tc>
      </w:tr>
      <w:tr w:rsidR="008E5DE4" w14:paraId="7BE53D64" w14:textId="77777777">
        <w:trPr>
          <w:cantSplit/>
          <w:tblHeader/>
        </w:trPr>
        <w:tc>
          <w:tcPr>
            <w:tcW w:w="2268" w:type="dxa"/>
            <w:tcBorders>
              <w:bottom w:val="single" w:sz="4" w:space="0" w:color="000000"/>
            </w:tcBorders>
            <w:vAlign w:val="bottom"/>
          </w:tcPr>
          <w:p w14:paraId="4BA62BCB"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191" w:type="dxa"/>
            <w:tcBorders>
              <w:top w:val="single" w:sz="4" w:space="0" w:color="000000"/>
              <w:bottom w:val="single" w:sz="4" w:space="0" w:color="000000"/>
            </w:tcBorders>
          </w:tcPr>
          <w:p w14:paraId="40EAE110" w14:textId="77777777" w:rsidR="008E5DE4" w:rsidRDefault="00780368">
            <w:pPr>
              <w:widowControl w:val="0"/>
              <w:pBdr>
                <w:top w:val="nil"/>
                <w:left w:val="nil"/>
                <w:bottom w:val="nil"/>
                <w:right w:val="nil"/>
                <w:between w:val="nil"/>
              </w:pBdr>
              <w:ind w:left="-113"/>
              <w:jc w:val="right"/>
              <w:rPr>
                <w:color w:val="000000"/>
              </w:rPr>
            </w:pPr>
            <w:r>
              <w:rPr>
                <w:b/>
                <w:color w:val="000000"/>
              </w:rPr>
              <w:t>Income from the structured entity for the year</w:t>
            </w:r>
          </w:p>
        </w:tc>
        <w:tc>
          <w:tcPr>
            <w:tcW w:w="1191" w:type="dxa"/>
            <w:tcBorders>
              <w:top w:val="single" w:sz="4" w:space="0" w:color="000000"/>
              <w:bottom w:val="single" w:sz="4" w:space="0" w:color="000000"/>
            </w:tcBorders>
          </w:tcPr>
          <w:p w14:paraId="0DC9063F" w14:textId="77777777" w:rsidR="008E5DE4" w:rsidRDefault="00780368">
            <w:pPr>
              <w:widowControl w:val="0"/>
              <w:pBdr>
                <w:top w:val="nil"/>
                <w:left w:val="nil"/>
                <w:bottom w:val="nil"/>
                <w:right w:val="nil"/>
                <w:between w:val="nil"/>
              </w:pBdr>
              <w:ind w:left="-113"/>
              <w:jc w:val="right"/>
              <w:rPr>
                <w:b/>
                <w:color w:val="000000"/>
              </w:rPr>
            </w:pPr>
            <w:r>
              <w:rPr>
                <w:b/>
                <w:color w:val="000000"/>
              </w:rPr>
              <w:t>Carrying amount of assets transferred to the structured entity during the year</w:t>
            </w:r>
          </w:p>
        </w:tc>
        <w:tc>
          <w:tcPr>
            <w:tcW w:w="1191" w:type="dxa"/>
            <w:tcBorders>
              <w:top w:val="single" w:sz="4" w:space="0" w:color="000000"/>
              <w:bottom w:val="single" w:sz="4" w:space="0" w:color="000000"/>
            </w:tcBorders>
          </w:tcPr>
          <w:p w14:paraId="740153C9" w14:textId="77777777" w:rsidR="008E5DE4" w:rsidRDefault="00780368">
            <w:pPr>
              <w:widowControl w:val="0"/>
              <w:pBdr>
                <w:top w:val="nil"/>
                <w:left w:val="nil"/>
                <w:bottom w:val="nil"/>
                <w:right w:val="nil"/>
                <w:between w:val="nil"/>
              </w:pBdr>
              <w:ind w:left="-113"/>
              <w:jc w:val="right"/>
              <w:rPr>
                <w:b/>
                <w:color w:val="000000"/>
              </w:rPr>
            </w:pPr>
            <w:r>
              <w:rPr>
                <w:b/>
                <w:color w:val="000000"/>
              </w:rPr>
              <w:t>Support provided to the structured entity during the year</w:t>
            </w:r>
          </w:p>
        </w:tc>
        <w:tc>
          <w:tcPr>
            <w:tcW w:w="1191" w:type="dxa"/>
            <w:tcBorders>
              <w:top w:val="single" w:sz="4" w:space="0" w:color="000000"/>
              <w:bottom w:val="single" w:sz="4" w:space="0" w:color="000000"/>
            </w:tcBorders>
          </w:tcPr>
          <w:p w14:paraId="71F828FF" w14:textId="77777777" w:rsidR="008E5DE4" w:rsidRDefault="00780368">
            <w:pPr>
              <w:widowControl w:val="0"/>
              <w:pBdr>
                <w:top w:val="nil"/>
                <w:left w:val="nil"/>
                <w:bottom w:val="nil"/>
                <w:right w:val="nil"/>
                <w:between w:val="nil"/>
              </w:pBdr>
              <w:ind w:left="-113"/>
              <w:jc w:val="right"/>
              <w:rPr>
                <w:color w:val="000000"/>
              </w:rPr>
            </w:pPr>
            <w:r>
              <w:rPr>
                <w:b/>
                <w:color w:val="000000"/>
              </w:rPr>
              <w:t>Carrying amount of assets recognised for expo-sure to the structured entity</w:t>
            </w:r>
          </w:p>
        </w:tc>
        <w:tc>
          <w:tcPr>
            <w:tcW w:w="1191" w:type="dxa"/>
            <w:tcBorders>
              <w:top w:val="single" w:sz="4" w:space="0" w:color="000000"/>
              <w:bottom w:val="single" w:sz="4" w:space="0" w:color="000000"/>
            </w:tcBorders>
          </w:tcPr>
          <w:p w14:paraId="5849BCE4" w14:textId="77777777" w:rsidR="008E5DE4" w:rsidRDefault="00780368">
            <w:pPr>
              <w:widowControl w:val="0"/>
              <w:pBdr>
                <w:top w:val="nil"/>
                <w:left w:val="nil"/>
                <w:bottom w:val="nil"/>
                <w:right w:val="nil"/>
                <w:between w:val="nil"/>
              </w:pBdr>
              <w:ind w:left="-113"/>
              <w:jc w:val="right"/>
              <w:rPr>
                <w:color w:val="000000"/>
              </w:rPr>
            </w:pPr>
            <w:r>
              <w:rPr>
                <w:b/>
                <w:color w:val="000000"/>
              </w:rPr>
              <w:t>Carrying amount of liabilities recognised for expo-sure to the structured entity</w:t>
            </w:r>
          </w:p>
        </w:tc>
        <w:tc>
          <w:tcPr>
            <w:tcW w:w="1191" w:type="dxa"/>
            <w:tcBorders>
              <w:top w:val="single" w:sz="4" w:space="0" w:color="000000"/>
              <w:bottom w:val="single" w:sz="4" w:space="0" w:color="000000"/>
            </w:tcBorders>
          </w:tcPr>
          <w:p w14:paraId="1FE05338" w14:textId="77777777" w:rsidR="008E5DE4" w:rsidRDefault="00780368">
            <w:pPr>
              <w:widowControl w:val="0"/>
              <w:pBdr>
                <w:top w:val="nil"/>
                <w:left w:val="nil"/>
                <w:bottom w:val="nil"/>
                <w:right w:val="nil"/>
                <w:between w:val="nil"/>
              </w:pBdr>
              <w:ind w:left="-113"/>
              <w:jc w:val="right"/>
              <w:rPr>
                <w:color w:val="000000"/>
              </w:rPr>
            </w:pPr>
            <w:r>
              <w:rPr>
                <w:b/>
                <w:color w:val="000000"/>
              </w:rPr>
              <w:t>Maximum exposure to loss from interest in structured entity</w:t>
            </w:r>
          </w:p>
        </w:tc>
      </w:tr>
      <w:tr w:rsidR="008E5DE4" w14:paraId="376A287E" w14:textId="77777777">
        <w:trPr>
          <w:cantSplit/>
          <w:tblHeader/>
        </w:trPr>
        <w:tc>
          <w:tcPr>
            <w:tcW w:w="2268" w:type="dxa"/>
            <w:vAlign w:val="bottom"/>
          </w:tcPr>
          <w:p w14:paraId="2471326C" w14:textId="77777777" w:rsidR="008E5DE4" w:rsidRDefault="00780368">
            <w:pPr>
              <w:widowControl w:val="0"/>
              <w:pBdr>
                <w:top w:val="nil"/>
                <w:left w:val="nil"/>
                <w:bottom w:val="nil"/>
                <w:right w:val="nil"/>
                <w:between w:val="nil"/>
              </w:pBdr>
              <w:ind w:left="113" w:right="-57" w:hanging="113"/>
              <w:rPr>
                <w:i/>
                <w:color w:val="000000"/>
              </w:rPr>
            </w:pPr>
            <w:r>
              <w:rPr>
                <w:i/>
                <w:color w:val="000000"/>
              </w:rPr>
              <w:t> </w:t>
            </w:r>
          </w:p>
        </w:tc>
        <w:tc>
          <w:tcPr>
            <w:tcW w:w="1191" w:type="dxa"/>
            <w:vAlign w:val="bottom"/>
          </w:tcPr>
          <w:p w14:paraId="25A80DE9"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3B2A71B8"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66598405"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132AAE67"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67715F30"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035D9001" w14:textId="77777777" w:rsidR="008E5DE4" w:rsidRDefault="008E5DE4">
            <w:pPr>
              <w:widowControl w:val="0"/>
              <w:pBdr>
                <w:top w:val="nil"/>
                <w:left w:val="nil"/>
                <w:bottom w:val="nil"/>
                <w:right w:val="nil"/>
                <w:between w:val="nil"/>
              </w:pBdr>
              <w:jc w:val="right"/>
              <w:rPr>
                <w:color w:val="000000"/>
              </w:rPr>
            </w:pPr>
          </w:p>
        </w:tc>
      </w:tr>
      <w:tr w:rsidR="008E5DE4" w14:paraId="7002E0F2" w14:textId="77777777">
        <w:trPr>
          <w:cantSplit/>
          <w:tblHeader/>
        </w:trPr>
        <w:tc>
          <w:tcPr>
            <w:tcW w:w="2268" w:type="dxa"/>
            <w:vAlign w:val="bottom"/>
          </w:tcPr>
          <w:p w14:paraId="7EA0311A" w14:textId="43152F85" w:rsidR="008E5DE4" w:rsidRDefault="008614F8">
            <w:pPr>
              <w:widowControl w:val="0"/>
              <w:pBdr>
                <w:top w:val="nil"/>
                <w:left w:val="nil"/>
                <w:bottom w:val="nil"/>
                <w:right w:val="nil"/>
                <w:between w:val="nil"/>
              </w:pBdr>
              <w:ind w:left="113" w:right="-57" w:hanging="113"/>
              <w:rPr>
                <w:i/>
                <w:color w:val="0000FF"/>
              </w:rPr>
            </w:pPr>
            <w:r>
              <w:rPr>
                <w:b/>
                <w:i/>
                <w:color w:val="000000"/>
              </w:rPr>
              <w:t>2025</w:t>
            </w:r>
            <w:r w:rsidR="00780368">
              <w:rPr>
                <w:b/>
                <w:i/>
                <w:color w:val="000000"/>
              </w:rPr>
              <w:t>:</w:t>
            </w:r>
          </w:p>
        </w:tc>
        <w:tc>
          <w:tcPr>
            <w:tcW w:w="1191" w:type="dxa"/>
            <w:vAlign w:val="bottom"/>
          </w:tcPr>
          <w:p w14:paraId="6288AFA6"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30C7613A"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6BE9B374"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7F964A9E"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43B99BBD"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429883BE" w14:textId="77777777" w:rsidR="008E5DE4" w:rsidRDefault="008E5DE4">
            <w:pPr>
              <w:widowControl w:val="0"/>
              <w:pBdr>
                <w:top w:val="nil"/>
                <w:left w:val="nil"/>
                <w:bottom w:val="nil"/>
                <w:right w:val="nil"/>
                <w:between w:val="nil"/>
              </w:pBdr>
              <w:jc w:val="right"/>
              <w:rPr>
                <w:color w:val="000000"/>
              </w:rPr>
            </w:pPr>
          </w:p>
        </w:tc>
      </w:tr>
      <w:tr w:rsidR="008E5DE4" w14:paraId="77BBC124" w14:textId="77777777">
        <w:trPr>
          <w:cantSplit/>
          <w:tblHeader/>
        </w:trPr>
        <w:tc>
          <w:tcPr>
            <w:tcW w:w="2268" w:type="dxa"/>
            <w:vAlign w:val="bottom"/>
          </w:tcPr>
          <w:p w14:paraId="397C8459" w14:textId="77777777" w:rsidR="008E5DE4" w:rsidRDefault="00780368">
            <w:pPr>
              <w:widowControl w:val="0"/>
              <w:pBdr>
                <w:top w:val="nil"/>
                <w:left w:val="nil"/>
                <w:bottom w:val="nil"/>
                <w:right w:val="nil"/>
                <w:between w:val="nil"/>
              </w:pBdr>
              <w:ind w:left="113" w:right="-57" w:hanging="113"/>
              <w:rPr>
                <w:color w:val="0000FF"/>
              </w:rPr>
            </w:pPr>
            <w:r>
              <w:rPr>
                <w:color w:val="0000FF"/>
              </w:rPr>
              <w:t>[Leasing entity]</w:t>
            </w:r>
          </w:p>
        </w:tc>
        <w:tc>
          <w:tcPr>
            <w:tcW w:w="1191" w:type="dxa"/>
            <w:vAlign w:val="bottom"/>
          </w:tcPr>
          <w:p w14:paraId="78EE1B7A"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61A10CA8"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7A6F7440"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20CBB8AF"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4278C7BF"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2E93D0BD" w14:textId="77777777" w:rsidR="008E5DE4" w:rsidRDefault="008E5DE4">
            <w:pPr>
              <w:widowControl w:val="0"/>
              <w:pBdr>
                <w:top w:val="nil"/>
                <w:left w:val="nil"/>
                <w:bottom w:val="nil"/>
                <w:right w:val="nil"/>
                <w:between w:val="nil"/>
              </w:pBdr>
              <w:jc w:val="right"/>
              <w:rPr>
                <w:color w:val="000000"/>
              </w:rPr>
            </w:pPr>
          </w:p>
        </w:tc>
      </w:tr>
      <w:tr w:rsidR="008E5DE4" w14:paraId="17FF37BC" w14:textId="77777777">
        <w:trPr>
          <w:cantSplit/>
          <w:tblHeader/>
        </w:trPr>
        <w:tc>
          <w:tcPr>
            <w:tcW w:w="2268" w:type="dxa"/>
            <w:vAlign w:val="bottom"/>
          </w:tcPr>
          <w:p w14:paraId="78ED8427" w14:textId="77777777" w:rsidR="008E5DE4" w:rsidRDefault="00780368">
            <w:pPr>
              <w:widowControl w:val="0"/>
              <w:pBdr>
                <w:top w:val="nil"/>
                <w:left w:val="nil"/>
                <w:bottom w:val="nil"/>
                <w:right w:val="nil"/>
                <w:between w:val="nil"/>
              </w:pBdr>
              <w:ind w:left="113" w:right="-57" w:hanging="113"/>
              <w:rPr>
                <w:color w:val="0000FF"/>
              </w:rPr>
            </w:pPr>
            <w:r>
              <w:rPr>
                <w:color w:val="0000FF"/>
              </w:rPr>
              <w:t>[Securitisation vehicle]</w:t>
            </w:r>
          </w:p>
        </w:tc>
        <w:tc>
          <w:tcPr>
            <w:tcW w:w="1191" w:type="dxa"/>
            <w:vAlign w:val="bottom"/>
          </w:tcPr>
          <w:p w14:paraId="4AF3B298"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021756C0"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5467BBF2"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2AA21599"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27236188"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136154CF" w14:textId="77777777" w:rsidR="008E5DE4" w:rsidRDefault="008E5DE4">
            <w:pPr>
              <w:widowControl w:val="0"/>
              <w:pBdr>
                <w:top w:val="nil"/>
                <w:left w:val="nil"/>
                <w:bottom w:val="nil"/>
                <w:right w:val="nil"/>
                <w:between w:val="nil"/>
              </w:pBdr>
              <w:jc w:val="right"/>
              <w:rPr>
                <w:color w:val="000000"/>
              </w:rPr>
            </w:pPr>
          </w:p>
        </w:tc>
      </w:tr>
      <w:tr w:rsidR="008E5DE4" w14:paraId="4380A8CA" w14:textId="77777777">
        <w:trPr>
          <w:cantSplit/>
          <w:tblHeader/>
        </w:trPr>
        <w:tc>
          <w:tcPr>
            <w:tcW w:w="2268" w:type="dxa"/>
            <w:vAlign w:val="bottom"/>
          </w:tcPr>
          <w:p w14:paraId="5BEACD24" w14:textId="77777777" w:rsidR="008E5DE4" w:rsidRDefault="008E5DE4">
            <w:pPr>
              <w:widowControl w:val="0"/>
              <w:pBdr>
                <w:top w:val="nil"/>
                <w:left w:val="nil"/>
                <w:bottom w:val="nil"/>
                <w:right w:val="nil"/>
                <w:between w:val="nil"/>
              </w:pBdr>
              <w:ind w:left="113" w:right="-57" w:hanging="113"/>
              <w:rPr>
                <w:b/>
                <w:color w:val="000000"/>
              </w:rPr>
            </w:pPr>
          </w:p>
        </w:tc>
        <w:tc>
          <w:tcPr>
            <w:tcW w:w="1191" w:type="dxa"/>
            <w:vAlign w:val="bottom"/>
          </w:tcPr>
          <w:p w14:paraId="59CCB54B"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1D53E892"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370DF937"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2E1E7418"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615890A3"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1DB1A7D7" w14:textId="77777777" w:rsidR="008E5DE4" w:rsidRDefault="008E5DE4">
            <w:pPr>
              <w:widowControl w:val="0"/>
              <w:pBdr>
                <w:top w:val="nil"/>
                <w:left w:val="nil"/>
                <w:bottom w:val="nil"/>
                <w:right w:val="nil"/>
                <w:between w:val="nil"/>
              </w:pBdr>
              <w:jc w:val="right"/>
              <w:rPr>
                <w:color w:val="000000"/>
              </w:rPr>
            </w:pPr>
          </w:p>
        </w:tc>
      </w:tr>
      <w:tr w:rsidR="008E5DE4" w14:paraId="65F25100" w14:textId="77777777">
        <w:trPr>
          <w:cantSplit/>
          <w:tblHeader/>
        </w:trPr>
        <w:tc>
          <w:tcPr>
            <w:tcW w:w="2268" w:type="dxa"/>
            <w:vAlign w:val="bottom"/>
          </w:tcPr>
          <w:p w14:paraId="39D82460" w14:textId="3284F046" w:rsidR="008E5DE4" w:rsidRDefault="00A46633">
            <w:pPr>
              <w:widowControl w:val="0"/>
              <w:pBdr>
                <w:top w:val="nil"/>
                <w:left w:val="nil"/>
                <w:bottom w:val="nil"/>
                <w:right w:val="nil"/>
                <w:between w:val="nil"/>
              </w:pBdr>
              <w:ind w:left="113" w:right="-57" w:hanging="113"/>
              <w:rPr>
                <w:i/>
                <w:color w:val="0000FF"/>
              </w:rPr>
            </w:pPr>
            <w:r>
              <w:rPr>
                <w:b/>
                <w:i/>
                <w:color w:val="000000"/>
              </w:rPr>
              <w:t>2024</w:t>
            </w:r>
            <w:r w:rsidR="00780368">
              <w:rPr>
                <w:b/>
                <w:i/>
                <w:color w:val="000000"/>
              </w:rPr>
              <w:t>:</w:t>
            </w:r>
          </w:p>
        </w:tc>
        <w:tc>
          <w:tcPr>
            <w:tcW w:w="1191" w:type="dxa"/>
            <w:vAlign w:val="bottom"/>
          </w:tcPr>
          <w:p w14:paraId="33F84C4B" w14:textId="77777777" w:rsidR="008E5DE4" w:rsidRDefault="008E5DE4">
            <w:pPr>
              <w:widowControl w:val="0"/>
              <w:pBdr>
                <w:top w:val="nil"/>
                <w:left w:val="nil"/>
                <w:bottom w:val="nil"/>
                <w:right w:val="nil"/>
                <w:between w:val="nil"/>
              </w:pBdr>
              <w:jc w:val="right"/>
              <w:rPr>
                <w:i/>
                <w:color w:val="000000"/>
              </w:rPr>
            </w:pPr>
          </w:p>
        </w:tc>
        <w:tc>
          <w:tcPr>
            <w:tcW w:w="1191" w:type="dxa"/>
            <w:vAlign w:val="bottom"/>
          </w:tcPr>
          <w:p w14:paraId="5793B5C8" w14:textId="77777777" w:rsidR="008E5DE4" w:rsidRDefault="008E5DE4">
            <w:pPr>
              <w:widowControl w:val="0"/>
              <w:pBdr>
                <w:top w:val="nil"/>
                <w:left w:val="nil"/>
                <w:bottom w:val="nil"/>
                <w:right w:val="nil"/>
                <w:between w:val="nil"/>
              </w:pBdr>
              <w:jc w:val="right"/>
              <w:rPr>
                <w:i/>
                <w:color w:val="000000"/>
              </w:rPr>
            </w:pPr>
          </w:p>
        </w:tc>
        <w:tc>
          <w:tcPr>
            <w:tcW w:w="1191" w:type="dxa"/>
            <w:vAlign w:val="bottom"/>
          </w:tcPr>
          <w:p w14:paraId="58B1A002" w14:textId="77777777" w:rsidR="008E5DE4" w:rsidRDefault="008E5DE4">
            <w:pPr>
              <w:widowControl w:val="0"/>
              <w:pBdr>
                <w:top w:val="nil"/>
                <w:left w:val="nil"/>
                <w:bottom w:val="nil"/>
                <w:right w:val="nil"/>
                <w:between w:val="nil"/>
              </w:pBdr>
              <w:jc w:val="right"/>
              <w:rPr>
                <w:i/>
                <w:color w:val="000000"/>
              </w:rPr>
            </w:pPr>
          </w:p>
        </w:tc>
        <w:tc>
          <w:tcPr>
            <w:tcW w:w="1191" w:type="dxa"/>
            <w:vAlign w:val="bottom"/>
          </w:tcPr>
          <w:p w14:paraId="31544B36" w14:textId="77777777" w:rsidR="008E5DE4" w:rsidRDefault="008E5DE4">
            <w:pPr>
              <w:widowControl w:val="0"/>
              <w:pBdr>
                <w:top w:val="nil"/>
                <w:left w:val="nil"/>
                <w:bottom w:val="nil"/>
                <w:right w:val="nil"/>
                <w:between w:val="nil"/>
              </w:pBdr>
              <w:jc w:val="right"/>
              <w:rPr>
                <w:i/>
                <w:color w:val="000000"/>
              </w:rPr>
            </w:pPr>
          </w:p>
        </w:tc>
        <w:tc>
          <w:tcPr>
            <w:tcW w:w="1191" w:type="dxa"/>
            <w:vAlign w:val="bottom"/>
          </w:tcPr>
          <w:p w14:paraId="09D63255" w14:textId="77777777" w:rsidR="008E5DE4" w:rsidRDefault="008E5DE4">
            <w:pPr>
              <w:widowControl w:val="0"/>
              <w:pBdr>
                <w:top w:val="nil"/>
                <w:left w:val="nil"/>
                <w:bottom w:val="nil"/>
                <w:right w:val="nil"/>
                <w:between w:val="nil"/>
              </w:pBdr>
              <w:jc w:val="right"/>
              <w:rPr>
                <w:i/>
                <w:color w:val="000000"/>
              </w:rPr>
            </w:pPr>
          </w:p>
        </w:tc>
        <w:tc>
          <w:tcPr>
            <w:tcW w:w="1191" w:type="dxa"/>
            <w:vAlign w:val="bottom"/>
          </w:tcPr>
          <w:p w14:paraId="7955A6F0" w14:textId="77777777" w:rsidR="008E5DE4" w:rsidRDefault="008E5DE4">
            <w:pPr>
              <w:widowControl w:val="0"/>
              <w:pBdr>
                <w:top w:val="nil"/>
                <w:left w:val="nil"/>
                <w:bottom w:val="nil"/>
                <w:right w:val="nil"/>
                <w:between w:val="nil"/>
              </w:pBdr>
              <w:jc w:val="right"/>
              <w:rPr>
                <w:i/>
                <w:color w:val="000000"/>
              </w:rPr>
            </w:pPr>
          </w:p>
        </w:tc>
      </w:tr>
      <w:tr w:rsidR="008E5DE4" w14:paraId="081744D4" w14:textId="77777777">
        <w:trPr>
          <w:cantSplit/>
          <w:tblHeader/>
        </w:trPr>
        <w:tc>
          <w:tcPr>
            <w:tcW w:w="2268" w:type="dxa"/>
            <w:vAlign w:val="bottom"/>
          </w:tcPr>
          <w:p w14:paraId="1C1A6B1B" w14:textId="77777777" w:rsidR="008E5DE4" w:rsidRDefault="00780368">
            <w:pPr>
              <w:widowControl w:val="0"/>
              <w:pBdr>
                <w:top w:val="nil"/>
                <w:left w:val="nil"/>
                <w:bottom w:val="nil"/>
                <w:right w:val="nil"/>
                <w:between w:val="nil"/>
              </w:pBdr>
              <w:ind w:left="113" w:right="-57" w:hanging="113"/>
              <w:rPr>
                <w:color w:val="0000FF"/>
              </w:rPr>
            </w:pPr>
            <w:r>
              <w:rPr>
                <w:color w:val="0000FF"/>
              </w:rPr>
              <w:t>[Leasing entity]</w:t>
            </w:r>
          </w:p>
        </w:tc>
        <w:tc>
          <w:tcPr>
            <w:tcW w:w="1191" w:type="dxa"/>
            <w:vAlign w:val="bottom"/>
          </w:tcPr>
          <w:p w14:paraId="3C8BB92F"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574C19C3"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1D8537F1"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1ABFD3D2"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4C2DECC4"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18E0EE00" w14:textId="77777777" w:rsidR="008E5DE4" w:rsidRDefault="008E5DE4">
            <w:pPr>
              <w:widowControl w:val="0"/>
              <w:pBdr>
                <w:top w:val="nil"/>
                <w:left w:val="nil"/>
                <w:bottom w:val="nil"/>
                <w:right w:val="nil"/>
                <w:between w:val="nil"/>
              </w:pBdr>
              <w:jc w:val="right"/>
              <w:rPr>
                <w:color w:val="000000"/>
              </w:rPr>
            </w:pPr>
          </w:p>
        </w:tc>
      </w:tr>
      <w:tr w:rsidR="008E5DE4" w14:paraId="0E44F42D" w14:textId="77777777">
        <w:trPr>
          <w:cantSplit/>
          <w:tblHeader/>
        </w:trPr>
        <w:tc>
          <w:tcPr>
            <w:tcW w:w="2268" w:type="dxa"/>
            <w:vAlign w:val="bottom"/>
          </w:tcPr>
          <w:p w14:paraId="7FB82FC9" w14:textId="77777777" w:rsidR="008E5DE4" w:rsidRDefault="00780368">
            <w:pPr>
              <w:widowControl w:val="0"/>
              <w:pBdr>
                <w:top w:val="nil"/>
                <w:left w:val="nil"/>
                <w:bottom w:val="nil"/>
                <w:right w:val="nil"/>
                <w:between w:val="nil"/>
              </w:pBdr>
              <w:ind w:left="113" w:right="-57" w:hanging="113"/>
              <w:rPr>
                <w:color w:val="0000FF"/>
              </w:rPr>
            </w:pPr>
            <w:r>
              <w:rPr>
                <w:color w:val="0000FF"/>
              </w:rPr>
              <w:t>[Securitisation vehicle]</w:t>
            </w:r>
          </w:p>
        </w:tc>
        <w:tc>
          <w:tcPr>
            <w:tcW w:w="1191" w:type="dxa"/>
            <w:vAlign w:val="bottom"/>
          </w:tcPr>
          <w:p w14:paraId="580E29C1"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3264B525"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5C8612B9"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1E892B96"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0F59CDF2" w14:textId="77777777" w:rsidR="008E5DE4" w:rsidRDefault="008E5DE4">
            <w:pPr>
              <w:widowControl w:val="0"/>
              <w:pBdr>
                <w:top w:val="nil"/>
                <w:left w:val="nil"/>
                <w:bottom w:val="nil"/>
                <w:right w:val="nil"/>
                <w:between w:val="nil"/>
              </w:pBdr>
              <w:jc w:val="right"/>
              <w:rPr>
                <w:color w:val="000000"/>
              </w:rPr>
            </w:pPr>
          </w:p>
        </w:tc>
        <w:tc>
          <w:tcPr>
            <w:tcW w:w="1191" w:type="dxa"/>
            <w:vAlign w:val="bottom"/>
          </w:tcPr>
          <w:p w14:paraId="033E7617" w14:textId="77777777" w:rsidR="008E5DE4" w:rsidRDefault="008E5DE4">
            <w:pPr>
              <w:widowControl w:val="0"/>
              <w:pBdr>
                <w:top w:val="nil"/>
                <w:left w:val="nil"/>
                <w:bottom w:val="nil"/>
                <w:right w:val="nil"/>
                <w:between w:val="nil"/>
              </w:pBdr>
              <w:jc w:val="right"/>
              <w:rPr>
                <w:color w:val="000000"/>
              </w:rPr>
            </w:pPr>
          </w:p>
        </w:tc>
      </w:tr>
      <w:tr w:rsidR="008E5DE4" w14:paraId="16E1454D" w14:textId="77777777">
        <w:trPr>
          <w:cantSplit/>
          <w:tblHeader/>
        </w:trPr>
        <w:tc>
          <w:tcPr>
            <w:tcW w:w="2268" w:type="dxa"/>
            <w:tcBorders>
              <w:bottom w:val="single" w:sz="4" w:space="0" w:color="000000"/>
            </w:tcBorders>
            <w:vAlign w:val="bottom"/>
          </w:tcPr>
          <w:p w14:paraId="6BC678E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91" w:type="dxa"/>
            <w:tcBorders>
              <w:bottom w:val="single" w:sz="4" w:space="0" w:color="000000"/>
            </w:tcBorders>
            <w:vAlign w:val="bottom"/>
          </w:tcPr>
          <w:p w14:paraId="3818B911"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4" w:space="0" w:color="000000"/>
            </w:tcBorders>
            <w:vAlign w:val="bottom"/>
          </w:tcPr>
          <w:p w14:paraId="27808CEE"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4" w:space="0" w:color="000000"/>
            </w:tcBorders>
            <w:vAlign w:val="bottom"/>
          </w:tcPr>
          <w:p w14:paraId="09AB5271"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4" w:space="0" w:color="000000"/>
            </w:tcBorders>
            <w:vAlign w:val="bottom"/>
          </w:tcPr>
          <w:p w14:paraId="0C867393"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4" w:space="0" w:color="000000"/>
            </w:tcBorders>
            <w:vAlign w:val="bottom"/>
          </w:tcPr>
          <w:p w14:paraId="1D0C7C90"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4" w:space="0" w:color="000000"/>
            </w:tcBorders>
            <w:vAlign w:val="bottom"/>
          </w:tcPr>
          <w:p w14:paraId="03134F99" w14:textId="77777777" w:rsidR="008E5DE4" w:rsidRDefault="008E5DE4">
            <w:pPr>
              <w:widowControl w:val="0"/>
              <w:pBdr>
                <w:top w:val="nil"/>
                <w:left w:val="nil"/>
                <w:bottom w:val="nil"/>
                <w:right w:val="nil"/>
                <w:between w:val="nil"/>
              </w:pBdr>
              <w:jc w:val="right"/>
              <w:rPr>
                <w:color w:val="000000"/>
              </w:rPr>
            </w:pPr>
          </w:p>
        </w:tc>
      </w:tr>
      <w:tr w:rsidR="008E5DE4" w14:paraId="5549E31A" w14:textId="77777777">
        <w:trPr>
          <w:cantSplit/>
          <w:tblHeader/>
        </w:trPr>
        <w:tc>
          <w:tcPr>
            <w:tcW w:w="2268" w:type="dxa"/>
            <w:vAlign w:val="bottom"/>
          </w:tcPr>
          <w:p w14:paraId="5B2C4E9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91" w:type="dxa"/>
            <w:vAlign w:val="bottom"/>
          </w:tcPr>
          <w:p w14:paraId="4DD03A31" w14:textId="77777777" w:rsidR="008E5DE4" w:rsidRDefault="008E5DE4">
            <w:pPr>
              <w:widowControl w:val="0"/>
              <w:pBdr>
                <w:top w:val="nil"/>
                <w:left w:val="nil"/>
                <w:bottom w:val="nil"/>
                <w:right w:val="nil"/>
                <w:between w:val="nil"/>
              </w:pBdr>
              <w:jc w:val="right"/>
              <w:rPr>
                <w:b/>
                <w:color w:val="000000"/>
              </w:rPr>
            </w:pPr>
          </w:p>
        </w:tc>
        <w:tc>
          <w:tcPr>
            <w:tcW w:w="1191" w:type="dxa"/>
            <w:vAlign w:val="bottom"/>
          </w:tcPr>
          <w:p w14:paraId="4855583F" w14:textId="77777777" w:rsidR="008E5DE4" w:rsidRDefault="008E5DE4">
            <w:pPr>
              <w:widowControl w:val="0"/>
              <w:pBdr>
                <w:top w:val="nil"/>
                <w:left w:val="nil"/>
                <w:bottom w:val="nil"/>
                <w:right w:val="nil"/>
                <w:between w:val="nil"/>
              </w:pBdr>
              <w:jc w:val="right"/>
              <w:rPr>
                <w:b/>
                <w:color w:val="000000"/>
              </w:rPr>
            </w:pPr>
          </w:p>
        </w:tc>
        <w:tc>
          <w:tcPr>
            <w:tcW w:w="1191" w:type="dxa"/>
            <w:vAlign w:val="bottom"/>
          </w:tcPr>
          <w:p w14:paraId="0D2738B0" w14:textId="77777777" w:rsidR="008E5DE4" w:rsidRDefault="008E5DE4">
            <w:pPr>
              <w:widowControl w:val="0"/>
              <w:pBdr>
                <w:top w:val="nil"/>
                <w:left w:val="nil"/>
                <w:bottom w:val="nil"/>
                <w:right w:val="nil"/>
                <w:between w:val="nil"/>
              </w:pBdr>
              <w:jc w:val="right"/>
              <w:rPr>
                <w:b/>
                <w:color w:val="000000"/>
              </w:rPr>
            </w:pPr>
          </w:p>
        </w:tc>
        <w:tc>
          <w:tcPr>
            <w:tcW w:w="1191" w:type="dxa"/>
            <w:vAlign w:val="bottom"/>
          </w:tcPr>
          <w:p w14:paraId="34B67C93" w14:textId="77777777" w:rsidR="008E5DE4" w:rsidRDefault="008E5DE4">
            <w:pPr>
              <w:widowControl w:val="0"/>
              <w:pBdr>
                <w:top w:val="nil"/>
                <w:left w:val="nil"/>
                <w:bottom w:val="nil"/>
                <w:right w:val="nil"/>
                <w:between w:val="nil"/>
              </w:pBdr>
              <w:jc w:val="right"/>
              <w:rPr>
                <w:b/>
                <w:color w:val="000000"/>
              </w:rPr>
            </w:pPr>
          </w:p>
        </w:tc>
        <w:tc>
          <w:tcPr>
            <w:tcW w:w="1191" w:type="dxa"/>
            <w:vAlign w:val="bottom"/>
          </w:tcPr>
          <w:p w14:paraId="57D5D590" w14:textId="77777777" w:rsidR="008E5DE4" w:rsidRDefault="008E5DE4">
            <w:pPr>
              <w:widowControl w:val="0"/>
              <w:pBdr>
                <w:top w:val="nil"/>
                <w:left w:val="nil"/>
                <w:bottom w:val="nil"/>
                <w:right w:val="nil"/>
                <w:between w:val="nil"/>
              </w:pBdr>
              <w:jc w:val="right"/>
              <w:rPr>
                <w:b/>
                <w:color w:val="000000"/>
              </w:rPr>
            </w:pPr>
          </w:p>
        </w:tc>
        <w:tc>
          <w:tcPr>
            <w:tcW w:w="1191" w:type="dxa"/>
            <w:vAlign w:val="bottom"/>
          </w:tcPr>
          <w:p w14:paraId="416EDE10" w14:textId="77777777" w:rsidR="008E5DE4" w:rsidRDefault="008E5DE4">
            <w:pPr>
              <w:widowControl w:val="0"/>
              <w:pBdr>
                <w:top w:val="nil"/>
                <w:left w:val="nil"/>
                <w:bottom w:val="nil"/>
                <w:right w:val="nil"/>
                <w:between w:val="nil"/>
              </w:pBdr>
              <w:jc w:val="right"/>
              <w:rPr>
                <w:b/>
                <w:color w:val="000000"/>
              </w:rPr>
            </w:pPr>
          </w:p>
        </w:tc>
      </w:tr>
      <w:tr w:rsidR="008E5DE4" w14:paraId="3F047532" w14:textId="77777777">
        <w:trPr>
          <w:cantSplit/>
          <w:tblHeader/>
        </w:trPr>
        <w:tc>
          <w:tcPr>
            <w:tcW w:w="2268" w:type="dxa"/>
            <w:vAlign w:val="bottom"/>
          </w:tcPr>
          <w:p w14:paraId="0E9A4DBD"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 xml:space="preserve">TOTAL </w:t>
            </w:r>
          </w:p>
        </w:tc>
        <w:tc>
          <w:tcPr>
            <w:tcW w:w="1191" w:type="dxa"/>
            <w:vAlign w:val="bottom"/>
          </w:tcPr>
          <w:p w14:paraId="50A517B6" w14:textId="77777777" w:rsidR="008E5DE4" w:rsidRDefault="008E5DE4">
            <w:pPr>
              <w:widowControl w:val="0"/>
              <w:pBdr>
                <w:top w:val="nil"/>
                <w:left w:val="nil"/>
                <w:bottom w:val="nil"/>
                <w:right w:val="nil"/>
                <w:between w:val="nil"/>
              </w:pBdr>
              <w:jc w:val="right"/>
              <w:rPr>
                <w:b/>
                <w:smallCaps/>
                <w:color w:val="000000"/>
              </w:rPr>
            </w:pPr>
          </w:p>
        </w:tc>
        <w:tc>
          <w:tcPr>
            <w:tcW w:w="1191" w:type="dxa"/>
            <w:vAlign w:val="bottom"/>
          </w:tcPr>
          <w:p w14:paraId="688B88F7" w14:textId="77777777" w:rsidR="008E5DE4" w:rsidRDefault="008E5DE4">
            <w:pPr>
              <w:widowControl w:val="0"/>
              <w:pBdr>
                <w:top w:val="nil"/>
                <w:left w:val="nil"/>
                <w:bottom w:val="nil"/>
                <w:right w:val="nil"/>
                <w:between w:val="nil"/>
              </w:pBdr>
              <w:jc w:val="right"/>
              <w:rPr>
                <w:b/>
                <w:smallCaps/>
                <w:color w:val="000000"/>
              </w:rPr>
            </w:pPr>
          </w:p>
        </w:tc>
        <w:tc>
          <w:tcPr>
            <w:tcW w:w="1191" w:type="dxa"/>
            <w:vAlign w:val="bottom"/>
          </w:tcPr>
          <w:p w14:paraId="4C12627E" w14:textId="77777777" w:rsidR="008E5DE4" w:rsidRDefault="008E5DE4">
            <w:pPr>
              <w:widowControl w:val="0"/>
              <w:pBdr>
                <w:top w:val="nil"/>
                <w:left w:val="nil"/>
                <w:bottom w:val="nil"/>
                <w:right w:val="nil"/>
                <w:between w:val="nil"/>
              </w:pBdr>
              <w:jc w:val="right"/>
              <w:rPr>
                <w:b/>
                <w:smallCaps/>
                <w:color w:val="000000"/>
              </w:rPr>
            </w:pPr>
          </w:p>
        </w:tc>
        <w:tc>
          <w:tcPr>
            <w:tcW w:w="1191" w:type="dxa"/>
            <w:vAlign w:val="bottom"/>
          </w:tcPr>
          <w:p w14:paraId="785951CA" w14:textId="77777777" w:rsidR="008E5DE4" w:rsidRDefault="008E5DE4">
            <w:pPr>
              <w:widowControl w:val="0"/>
              <w:pBdr>
                <w:top w:val="nil"/>
                <w:left w:val="nil"/>
                <w:bottom w:val="nil"/>
                <w:right w:val="nil"/>
                <w:between w:val="nil"/>
              </w:pBdr>
              <w:jc w:val="right"/>
              <w:rPr>
                <w:b/>
                <w:smallCaps/>
                <w:color w:val="000000"/>
              </w:rPr>
            </w:pPr>
          </w:p>
        </w:tc>
        <w:tc>
          <w:tcPr>
            <w:tcW w:w="1191" w:type="dxa"/>
            <w:vAlign w:val="bottom"/>
          </w:tcPr>
          <w:p w14:paraId="15A3A04E" w14:textId="77777777" w:rsidR="008E5DE4" w:rsidRDefault="008E5DE4">
            <w:pPr>
              <w:widowControl w:val="0"/>
              <w:pBdr>
                <w:top w:val="nil"/>
                <w:left w:val="nil"/>
                <w:bottom w:val="nil"/>
                <w:right w:val="nil"/>
                <w:between w:val="nil"/>
              </w:pBdr>
              <w:jc w:val="right"/>
              <w:rPr>
                <w:b/>
                <w:smallCaps/>
                <w:color w:val="000000"/>
              </w:rPr>
            </w:pPr>
          </w:p>
        </w:tc>
        <w:tc>
          <w:tcPr>
            <w:tcW w:w="1191" w:type="dxa"/>
            <w:vAlign w:val="bottom"/>
          </w:tcPr>
          <w:p w14:paraId="414995CB" w14:textId="77777777" w:rsidR="008E5DE4" w:rsidRDefault="008E5DE4">
            <w:pPr>
              <w:widowControl w:val="0"/>
              <w:pBdr>
                <w:top w:val="nil"/>
                <w:left w:val="nil"/>
                <w:bottom w:val="nil"/>
                <w:right w:val="nil"/>
                <w:between w:val="nil"/>
              </w:pBdr>
              <w:jc w:val="right"/>
              <w:rPr>
                <w:b/>
                <w:smallCaps/>
                <w:color w:val="000000"/>
              </w:rPr>
            </w:pPr>
          </w:p>
        </w:tc>
      </w:tr>
      <w:tr w:rsidR="008E5DE4" w14:paraId="2946E36A" w14:textId="77777777">
        <w:trPr>
          <w:cantSplit/>
          <w:tblHeader/>
        </w:trPr>
        <w:tc>
          <w:tcPr>
            <w:tcW w:w="2268" w:type="dxa"/>
            <w:tcBorders>
              <w:bottom w:val="single" w:sz="12" w:space="0" w:color="000000"/>
            </w:tcBorders>
            <w:vAlign w:val="bottom"/>
          </w:tcPr>
          <w:p w14:paraId="2910E0F2"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191" w:type="dxa"/>
            <w:tcBorders>
              <w:bottom w:val="single" w:sz="12" w:space="0" w:color="000000"/>
            </w:tcBorders>
            <w:vAlign w:val="bottom"/>
          </w:tcPr>
          <w:p w14:paraId="07927F55"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12" w:space="0" w:color="000000"/>
            </w:tcBorders>
            <w:vAlign w:val="bottom"/>
          </w:tcPr>
          <w:p w14:paraId="1A2B8412"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12" w:space="0" w:color="000000"/>
            </w:tcBorders>
            <w:vAlign w:val="bottom"/>
          </w:tcPr>
          <w:p w14:paraId="1276761E"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12" w:space="0" w:color="000000"/>
            </w:tcBorders>
            <w:vAlign w:val="bottom"/>
          </w:tcPr>
          <w:p w14:paraId="659E0CA0"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12" w:space="0" w:color="000000"/>
            </w:tcBorders>
            <w:vAlign w:val="bottom"/>
          </w:tcPr>
          <w:p w14:paraId="7B574B03" w14:textId="77777777" w:rsidR="008E5DE4" w:rsidRDefault="008E5DE4">
            <w:pPr>
              <w:widowControl w:val="0"/>
              <w:pBdr>
                <w:top w:val="nil"/>
                <w:left w:val="nil"/>
                <w:bottom w:val="nil"/>
                <w:right w:val="nil"/>
                <w:between w:val="nil"/>
              </w:pBdr>
              <w:jc w:val="right"/>
              <w:rPr>
                <w:color w:val="000000"/>
              </w:rPr>
            </w:pPr>
          </w:p>
        </w:tc>
        <w:tc>
          <w:tcPr>
            <w:tcW w:w="1191" w:type="dxa"/>
            <w:tcBorders>
              <w:bottom w:val="single" w:sz="12" w:space="0" w:color="000000"/>
            </w:tcBorders>
            <w:vAlign w:val="bottom"/>
          </w:tcPr>
          <w:p w14:paraId="5EE599B7" w14:textId="77777777" w:rsidR="008E5DE4" w:rsidRDefault="008E5DE4">
            <w:pPr>
              <w:widowControl w:val="0"/>
              <w:pBdr>
                <w:top w:val="nil"/>
                <w:left w:val="nil"/>
                <w:bottom w:val="nil"/>
                <w:right w:val="nil"/>
                <w:between w:val="nil"/>
              </w:pBdr>
              <w:jc w:val="right"/>
              <w:rPr>
                <w:color w:val="000000"/>
              </w:rPr>
            </w:pPr>
          </w:p>
        </w:tc>
      </w:tr>
    </w:tbl>
    <w:p w14:paraId="6C32175A" w14:textId="030B1D57" w:rsidR="008E5DE4" w:rsidRDefault="008E5DE4" w:rsidP="007F183E">
      <w:pPr>
        <w:pageBreakBefore/>
        <w:pBdr>
          <w:top w:val="nil"/>
          <w:left w:val="nil"/>
          <w:bottom w:val="nil"/>
          <w:right w:val="nil"/>
          <w:between w:val="nil"/>
        </w:pBdr>
        <w:spacing w:after="240"/>
        <w:jc w:val="both"/>
        <w:rPr>
          <w:b/>
          <w:color w:val="000000"/>
          <w:sz w:val="20"/>
          <w:szCs w:val="20"/>
        </w:rPr>
      </w:pPr>
    </w:p>
    <w:p w14:paraId="2BCA0986" w14:textId="1F13CD36" w:rsidR="008E5DE4" w:rsidRDefault="00504BB1" w:rsidP="007F183E">
      <w:pPr>
        <w:pStyle w:val="Heading1"/>
        <w:numPr>
          <w:ilvl w:val="0"/>
          <w:numId w:val="0"/>
        </w:numPr>
        <w:ind w:left="567" w:hanging="567"/>
      </w:pPr>
      <w:r w:rsidRPr="007F183E">
        <w:rPr>
          <w:color w:val="000000"/>
          <w:szCs w:val="20"/>
        </w:rPr>
        <w:t xml:space="preserve">49 </w:t>
      </w:r>
      <w:r>
        <w:rPr>
          <w:color w:val="000000"/>
          <w:szCs w:val="20"/>
        </w:rPr>
        <w:tab/>
      </w:r>
      <w:bookmarkStart w:id="77" w:name="_Toc149923648"/>
      <w:r w:rsidR="00780368" w:rsidRPr="007F183E">
        <w:rPr>
          <w:color w:val="000000"/>
          <w:kern w:val="0"/>
          <w:szCs w:val="20"/>
        </w:rPr>
        <w:t>Principal Subsidiaries</w:t>
      </w:r>
      <w:r w:rsidR="00780368">
        <w:t>, Associates and Joint Venture</w:t>
      </w:r>
      <w:bookmarkEnd w:id="77"/>
    </w:p>
    <w:p w14:paraId="00DC29DB" w14:textId="4B39BB98" w:rsidR="008E5DE4" w:rsidRDefault="00090491">
      <w:pPr>
        <w:shd w:val="clear" w:color="auto" w:fill="C6D9F1"/>
        <w:rPr>
          <w:b/>
          <w:i/>
          <w:sz w:val="20"/>
          <w:szCs w:val="20"/>
        </w:rPr>
      </w:pPr>
      <w:r>
        <w:rPr>
          <w:b/>
          <w:i/>
          <w:sz w:val="20"/>
          <w:szCs w:val="20"/>
        </w:rPr>
        <w:t>Material accounting policy information</w:t>
      </w:r>
      <w:r w:rsidR="00780368">
        <w:rPr>
          <w:b/>
          <w:i/>
          <w:sz w:val="20"/>
          <w:szCs w:val="20"/>
        </w:rPr>
        <w:t xml:space="preserve"> </w:t>
      </w:r>
    </w:p>
    <w:p w14:paraId="6BE4C68A"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Consolidated financial statements. </w:t>
      </w:r>
      <w:r>
        <w:rPr>
          <w:color w:val="000000"/>
          <w:sz w:val="20"/>
          <w:szCs w:val="20"/>
        </w:rPr>
        <w:t>Subsidiaries are those investees,</w:t>
      </w:r>
      <w:r>
        <w:rPr>
          <w:color w:val="0000FF"/>
          <w:sz w:val="20"/>
          <w:szCs w:val="20"/>
        </w:rPr>
        <w:t>[ including structured entities,]</w:t>
      </w:r>
      <w:r>
        <w:rPr>
          <w:color w:val="000000"/>
          <w:sz w:val="20"/>
          <w:szCs w:val="20"/>
        </w:rPr>
        <w:t xml:space="preserve"> that the Group controls because the Group (</w:t>
      </w:r>
      <w:proofErr w:type="spellStart"/>
      <w:r>
        <w:rPr>
          <w:color w:val="000000"/>
          <w:sz w:val="20"/>
          <w:szCs w:val="20"/>
        </w:rPr>
        <w:t>i</w:t>
      </w:r>
      <w:proofErr w:type="spellEnd"/>
      <w:r>
        <w:rPr>
          <w:color w:val="000000"/>
          <w:sz w:val="20"/>
          <w:szCs w:val="20"/>
        </w:rPr>
        <w:t xml:space="preserve">) has power to direct the relevant activities of the investees that significantly affect their returns, (ii) has exposure, or rights, to variable returns from its involvement with the investees, and (iii) has the ability to use its power over the investees to affect the amount of the investor’s returns. The existence and effect of substantive rights, including substantive potential voting rights, are considered when assessing whether the Group has power over another entity. For a right to be substantive, the holder must have a practical ability to exercise that right when decisions about the direction of the relevant activities of the investee need to be made. The Group may have power over an investee even when it holds less than </w:t>
      </w:r>
      <w:proofErr w:type="gramStart"/>
      <w:r>
        <w:rPr>
          <w:color w:val="000000"/>
          <w:sz w:val="20"/>
          <w:szCs w:val="20"/>
        </w:rPr>
        <w:t>the majority of</w:t>
      </w:r>
      <w:proofErr w:type="gramEnd"/>
      <w:r>
        <w:rPr>
          <w:color w:val="000000"/>
          <w:sz w:val="20"/>
          <w:szCs w:val="20"/>
        </w:rPr>
        <w:t xml:space="preserve"> the voting power in an investee. In such a case, the Group assesses the size of its voting rights relative to the size and dispersion of holdings of the other vote holders to determine if it has de-facto power over the investee. Protective rights of other investors, such as those that relate to fundamental changes of the investee’s activities or apply only in exceptional circumstances, do not prevent the Group from controlling an investee. Subsidiaries are consolidated from the date on which control is transferred to the Group (acquisition date) and are deconsolidated from the date on which control ceases. </w:t>
      </w:r>
    </w:p>
    <w:p w14:paraId="42A196D4" w14:textId="77777777" w:rsidR="008E5DE4" w:rsidRDefault="00780368">
      <w:pPr>
        <w:widowControl w:val="0"/>
        <w:pBdr>
          <w:top w:val="nil"/>
          <w:left w:val="nil"/>
          <w:bottom w:val="nil"/>
          <w:right w:val="nil"/>
          <w:between w:val="nil"/>
        </w:pBdr>
        <w:shd w:val="clear" w:color="auto" w:fill="C6D9F1"/>
        <w:spacing w:before="200" w:after="200"/>
        <w:jc w:val="both"/>
        <w:rPr>
          <w:color w:val="000000"/>
        </w:rPr>
      </w:pPr>
      <w:r>
        <w:rPr>
          <w:color w:val="000000"/>
          <w:sz w:val="20"/>
          <w:szCs w:val="20"/>
        </w:rPr>
        <w:t xml:space="preserve">Intercompany transactions, balances and unrealised gains on transactions between Group companies are eliminated; unrealised losses are also eliminated unless the cost cannot be recovered. The Company and </w:t>
      </w:r>
      <w:proofErr w:type="gramStart"/>
      <w:r>
        <w:rPr>
          <w:color w:val="000000"/>
          <w:sz w:val="20"/>
          <w:szCs w:val="20"/>
        </w:rPr>
        <w:t>all of</w:t>
      </w:r>
      <w:proofErr w:type="gramEnd"/>
      <w:r>
        <w:rPr>
          <w:color w:val="000000"/>
          <w:sz w:val="20"/>
          <w:szCs w:val="20"/>
        </w:rPr>
        <w:t xml:space="preserve"> its subsidiaries use uniform accounting policies consistent with the Group’s policies. </w:t>
      </w:r>
      <w:r>
        <w:rPr>
          <w:color w:val="0000FF"/>
          <w:sz w:val="20"/>
          <w:szCs w:val="20"/>
        </w:rPr>
        <w:t xml:space="preserve">[When </w:t>
      </w:r>
      <w:proofErr w:type="gramStart"/>
      <w:r>
        <w:rPr>
          <w:color w:val="0000FF"/>
          <w:sz w:val="20"/>
          <w:szCs w:val="20"/>
        </w:rPr>
        <w:t>necessary</w:t>
      </w:r>
      <w:proofErr w:type="gramEnd"/>
      <w:r>
        <w:rPr>
          <w:color w:val="0000FF"/>
          <w:sz w:val="20"/>
          <w:szCs w:val="20"/>
        </w:rPr>
        <w:t xml:space="preserve"> amounts reported by subsidiaries have been adjusted to conform with the Group’s accounting policies.]</w:t>
      </w:r>
      <w:r>
        <w:rPr>
          <w:color w:val="000000"/>
        </w:rPr>
        <w:t xml:space="preserve"> </w:t>
      </w:r>
    </w:p>
    <w:p w14:paraId="4C241A7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49</w:t>
      </w:r>
      <w:r>
        <w:rPr>
          <w:b/>
          <w:color w:val="000000"/>
          <w:sz w:val="20"/>
          <w:szCs w:val="20"/>
        </w:rPr>
        <w:tab/>
        <w:t>Principal Subsidiaries, Associates and Joint Venture (Continued)</w:t>
      </w:r>
    </w:p>
    <w:p w14:paraId="2017D35F" w14:textId="2895A32C"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Foreign currency translation. </w:t>
      </w:r>
      <w:r>
        <w:rPr>
          <w:color w:val="000000"/>
          <w:sz w:val="20"/>
          <w:szCs w:val="20"/>
        </w:rPr>
        <w:t xml:space="preserve">The functional currency of each of the Group’s consolidated entities is the currency of the primary economic environment in which the entity operates. The functional currency of the Company and its subsidiaries, and the Group’s presentation currency, is the national currency of the </w:t>
      </w:r>
      <w:r>
        <w:rPr>
          <w:color w:val="0000FF"/>
          <w:sz w:val="20"/>
          <w:szCs w:val="20"/>
        </w:rPr>
        <w:t>[Country]</w:t>
      </w:r>
      <w:r>
        <w:rPr>
          <w:color w:val="000000"/>
          <w:sz w:val="20"/>
          <w:szCs w:val="20"/>
        </w:rPr>
        <w:t>, EUR.</w:t>
      </w:r>
      <w:r w:rsidR="00BC35D0">
        <w:rPr>
          <w:i/>
          <w:color w:val="FF0000"/>
          <w:sz w:val="20"/>
          <w:szCs w:val="20"/>
        </w:rPr>
        <w:t xml:space="preserve"> </w:t>
      </w:r>
      <w:r>
        <w:rPr>
          <w:color w:val="000000"/>
          <w:sz w:val="20"/>
          <w:szCs w:val="20"/>
        </w:rPr>
        <w:t xml:space="preserve">The consolidated financial statements are presented in EUR, which is the Group’s presentation currency. </w:t>
      </w:r>
    </w:p>
    <w:p w14:paraId="4D14A752"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The Group companies.</w:t>
      </w:r>
      <w:r>
        <w:rPr>
          <w:color w:val="000000"/>
          <w:sz w:val="20"/>
          <w:szCs w:val="20"/>
        </w:rPr>
        <w:t xml:space="preserve"> Loans between the Group entities and related foreign exchange gains or losses are eliminated upon consolidation. However, where the loan is between the Group entities that have different functional currencies, the foreign exchange gain or loss cannot be eliminated in full and is recognised in the consolidated profit or loss, unless the loan is not expected to be settled in the foreseeable future and thus forms part of the net investment in foreign operation. In such a case, the foreign exchange gain or loss is recognised in other comprehensive income. </w:t>
      </w:r>
    </w:p>
    <w:p w14:paraId="2C63DD64"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The results and financial position of each Group entity (the functional currency of none of which is a currency of a hyperinflationary economy) are translated into the presentation currency as follows: </w:t>
      </w:r>
    </w:p>
    <w:p w14:paraId="0E310EB0" w14:textId="77777777" w:rsidR="008E5DE4" w:rsidRDefault="00780368">
      <w:pPr>
        <w:widowControl w:val="0"/>
        <w:pBdr>
          <w:top w:val="nil"/>
          <w:left w:val="nil"/>
          <w:bottom w:val="nil"/>
          <w:right w:val="nil"/>
          <w:between w:val="nil"/>
        </w:pBdr>
        <w:shd w:val="clear" w:color="auto" w:fill="C6D9F1"/>
        <w:spacing w:before="200" w:after="200"/>
        <w:ind w:left="567" w:hanging="567"/>
        <w:jc w:val="both"/>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xml:space="preserve">) </w:t>
      </w:r>
      <w:r>
        <w:rPr>
          <w:color w:val="000000"/>
          <w:sz w:val="20"/>
          <w:szCs w:val="20"/>
        </w:rPr>
        <w:tab/>
        <w:t xml:space="preserve">assets and liabilities for each statement of financial position are translated at the closing rate at the end of the respective reporting </w:t>
      </w:r>
      <w:proofErr w:type="gramStart"/>
      <w:r>
        <w:rPr>
          <w:color w:val="000000"/>
          <w:sz w:val="20"/>
          <w:szCs w:val="20"/>
        </w:rPr>
        <w:t>period;</w:t>
      </w:r>
      <w:proofErr w:type="gramEnd"/>
      <w:r>
        <w:rPr>
          <w:color w:val="000000"/>
          <w:sz w:val="20"/>
          <w:szCs w:val="20"/>
        </w:rPr>
        <w:t xml:space="preserve"> </w:t>
      </w:r>
    </w:p>
    <w:p w14:paraId="0B0D22C0" w14:textId="77777777" w:rsidR="008E5DE4" w:rsidRDefault="00780368">
      <w:pPr>
        <w:widowControl w:val="0"/>
        <w:pBdr>
          <w:top w:val="nil"/>
          <w:left w:val="nil"/>
          <w:bottom w:val="nil"/>
          <w:right w:val="nil"/>
          <w:between w:val="nil"/>
        </w:pBdr>
        <w:shd w:val="clear" w:color="auto" w:fill="C6D9F1"/>
        <w:spacing w:before="200" w:after="200"/>
        <w:ind w:left="567" w:hanging="567"/>
        <w:jc w:val="both"/>
        <w:rPr>
          <w:color w:val="000000"/>
          <w:sz w:val="20"/>
          <w:szCs w:val="20"/>
        </w:rPr>
      </w:pPr>
      <w:r>
        <w:rPr>
          <w:color w:val="000000"/>
          <w:sz w:val="20"/>
          <w:szCs w:val="20"/>
        </w:rPr>
        <w:t xml:space="preserve">(ii) </w:t>
      </w:r>
      <w:r>
        <w:rPr>
          <w:color w:val="000000"/>
          <w:sz w:val="20"/>
          <w:szCs w:val="20"/>
        </w:rPr>
        <w:tab/>
        <w:t>income and expenses are translated at average exchange rates (unless this average is not a reasonable approximation of the cumulative effect of the rates prevailing on the transaction dates, in which case income and expenses are translated at the dates of the transactions</w:t>
      </w:r>
      <w:proofErr w:type="gramStart"/>
      <w:r>
        <w:rPr>
          <w:color w:val="000000"/>
          <w:sz w:val="20"/>
          <w:szCs w:val="20"/>
        </w:rPr>
        <w:t>);</w:t>
      </w:r>
      <w:proofErr w:type="gramEnd"/>
      <w:r>
        <w:rPr>
          <w:color w:val="000000"/>
          <w:sz w:val="20"/>
          <w:szCs w:val="20"/>
        </w:rPr>
        <w:t xml:space="preserve"> </w:t>
      </w:r>
    </w:p>
    <w:p w14:paraId="11FAC4B1" w14:textId="77777777" w:rsidR="008E5DE4" w:rsidRDefault="00780368">
      <w:pPr>
        <w:widowControl w:val="0"/>
        <w:pBdr>
          <w:top w:val="nil"/>
          <w:left w:val="nil"/>
          <w:bottom w:val="nil"/>
          <w:right w:val="nil"/>
          <w:between w:val="nil"/>
        </w:pBdr>
        <w:shd w:val="clear" w:color="auto" w:fill="C6D9F1"/>
        <w:spacing w:before="200" w:after="200"/>
        <w:ind w:left="567" w:hanging="567"/>
        <w:jc w:val="both"/>
        <w:rPr>
          <w:color w:val="000000"/>
          <w:sz w:val="20"/>
          <w:szCs w:val="20"/>
        </w:rPr>
      </w:pPr>
      <w:r>
        <w:rPr>
          <w:color w:val="000000"/>
          <w:sz w:val="20"/>
          <w:szCs w:val="20"/>
        </w:rPr>
        <w:t xml:space="preserve">(iii) </w:t>
      </w:r>
      <w:r>
        <w:rPr>
          <w:color w:val="000000"/>
          <w:sz w:val="20"/>
          <w:szCs w:val="20"/>
        </w:rPr>
        <w:tab/>
        <w:t xml:space="preserve">components of equity are translated at the historic rate; and </w:t>
      </w:r>
    </w:p>
    <w:p w14:paraId="5C5882D4" w14:textId="77777777" w:rsidR="008E5DE4" w:rsidRDefault="00780368">
      <w:pPr>
        <w:widowControl w:val="0"/>
        <w:pBdr>
          <w:top w:val="nil"/>
          <w:left w:val="nil"/>
          <w:bottom w:val="nil"/>
          <w:right w:val="nil"/>
          <w:between w:val="nil"/>
        </w:pBdr>
        <w:shd w:val="clear" w:color="auto" w:fill="C6D9F1"/>
        <w:spacing w:before="200" w:after="200"/>
        <w:ind w:left="567" w:hanging="567"/>
        <w:jc w:val="both"/>
        <w:rPr>
          <w:color w:val="000000"/>
          <w:sz w:val="20"/>
          <w:szCs w:val="20"/>
        </w:rPr>
      </w:pPr>
      <w:r>
        <w:rPr>
          <w:color w:val="000000"/>
          <w:sz w:val="20"/>
          <w:szCs w:val="20"/>
        </w:rPr>
        <w:t xml:space="preserve">(iv) </w:t>
      </w:r>
      <w:r>
        <w:rPr>
          <w:color w:val="000000"/>
          <w:sz w:val="20"/>
          <w:szCs w:val="20"/>
        </w:rPr>
        <w:tab/>
        <w:t>all resulting exchange differences are recognised in other comprehensive income.</w:t>
      </w:r>
    </w:p>
    <w:p w14:paraId="4A9FF8A0"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When control over a foreign operation </w:t>
      </w:r>
      <w:r>
        <w:rPr>
          <w:color w:val="0000FF"/>
          <w:sz w:val="20"/>
          <w:szCs w:val="20"/>
        </w:rPr>
        <w:t xml:space="preserve">[or a subsidiary with a functional currency other than the functional or presentation currency of the Group] </w:t>
      </w:r>
      <w:r>
        <w:rPr>
          <w:color w:val="000000"/>
          <w:sz w:val="20"/>
          <w:szCs w:val="20"/>
        </w:rPr>
        <w:t>is lost, the exchange differences recognised previously in other comprehensive income are reclassified to profit or loss for the year as part of the gain or loss on disposal. On partial disposal of a subsidiary without loss of control, the related portion of accumulated currency translation differences is reclassified to non-controlling interest within equity.</w:t>
      </w:r>
    </w:p>
    <w:p w14:paraId="7611E465"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Goodwill and fair value adjustments arising on the acquisition of a foreign entity are treated as assets and liabilities of the foreign entity and translated at the closing rate. Exchange differences arising are recognised in other comprehensive income.</w:t>
      </w:r>
    </w:p>
    <w:p w14:paraId="685C0AD0" w14:textId="72E7A21C" w:rsidR="008E5DE4" w:rsidRDefault="00780368" w:rsidP="00BC35D0">
      <w:pPr>
        <w:widowControl w:val="0"/>
        <w:pBdr>
          <w:top w:val="nil"/>
          <w:left w:val="nil"/>
          <w:bottom w:val="nil"/>
          <w:right w:val="nil"/>
          <w:between w:val="nil"/>
        </w:pBdr>
        <w:shd w:val="clear" w:color="auto" w:fill="C6D9F1"/>
        <w:spacing w:before="200" w:after="200"/>
        <w:jc w:val="both"/>
        <w:rPr>
          <w:i/>
          <w:color w:val="FF0000"/>
          <w:sz w:val="20"/>
          <w:szCs w:val="20"/>
        </w:rPr>
      </w:pP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the principal rate of exchange used for translating foreign currency balances was </w:t>
      </w:r>
      <w:r w:rsidRPr="00AD4F80">
        <w:rPr>
          <w:color w:val="0000FF"/>
          <w:sz w:val="20"/>
          <w:szCs w:val="20"/>
        </w:rPr>
        <w:t>USD 1</w:t>
      </w:r>
      <w:r>
        <w:rPr>
          <w:color w:val="000000"/>
          <w:sz w:val="20"/>
          <w:szCs w:val="20"/>
        </w:rPr>
        <w:t> = EUR _____ (</w:t>
      </w:r>
      <w:r w:rsidR="00A46633">
        <w:rPr>
          <w:color w:val="000000"/>
          <w:sz w:val="20"/>
          <w:szCs w:val="20"/>
        </w:rPr>
        <w:t>2024</w:t>
      </w:r>
      <w:r>
        <w:rPr>
          <w:color w:val="000000"/>
          <w:sz w:val="20"/>
          <w:szCs w:val="20"/>
        </w:rPr>
        <w:t xml:space="preserve"> </w:t>
      </w:r>
      <w:r w:rsidRPr="00AD4F80">
        <w:rPr>
          <w:color w:val="0000FF"/>
          <w:sz w:val="20"/>
          <w:szCs w:val="20"/>
        </w:rPr>
        <w:t>USD 1</w:t>
      </w:r>
      <w:r>
        <w:rPr>
          <w:color w:val="000000"/>
          <w:sz w:val="20"/>
          <w:szCs w:val="20"/>
        </w:rPr>
        <w:t xml:space="preserve"> = EUR _____). The principal average rate of exchange used for translating income and expenses was </w:t>
      </w:r>
      <w:r w:rsidRPr="00AD4F80">
        <w:rPr>
          <w:color w:val="0000FF"/>
          <w:sz w:val="20"/>
          <w:szCs w:val="20"/>
        </w:rPr>
        <w:t>USD 1</w:t>
      </w:r>
      <w:r>
        <w:rPr>
          <w:color w:val="000000"/>
          <w:sz w:val="20"/>
          <w:szCs w:val="20"/>
        </w:rPr>
        <w:t> = EUR _____ (</w:t>
      </w:r>
      <w:r w:rsidR="00A46633">
        <w:rPr>
          <w:color w:val="000000"/>
          <w:sz w:val="20"/>
          <w:szCs w:val="20"/>
        </w:rPr>
        <w:t>2024</w:t>
      </w:r>
      <w:r>
        <w:rPr>
          <w:color w:val="000000"/>
          <w:sz w:val="20"/>
          <w:szCs w:val="20"/>
        </w:rPr>
        <w:t xml:space="preserve">: </w:t>
      </w:r>
      <w:r w:rsidRPr="00AD4F80">
        <w:rPr>
          <w:color w:val="0000FF"/>
          <w:sz w:val="20"/>
          <w:szCs w:val="20"/>
        </w:rPr>
        <w:t>USD 1</w:t>
      </w:r>
      <w:r>
        <w:rPr>
          <w:color w:val="000000"/>
          <w:sz w:val="20"/>
          <w:szCs w:val="20"/>
        </w:rPr>
        <w:t xml:space="preserve"> = EUR _____).</w:t>
      </w:r>
    </w:p>
    <w:p w14:paraId="2E17C5F9"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49</w:t>
      </w:r>
      <w:r>
        <w:rPr>
          <w:b/>
          <w:color w:val="000000"/>
          <w:sz w:val="20"/>
          <w:szCs w:val="20"/>
        </w:rPr>
        <w:tab/>
        <w:t>Principal Subsidiaries, Associates and Joint Venture (Continued)</w:t>
      </w:r>
    </w:p>
    <w:p w14:paraId="6112B753"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Disposals of subsidiaries, associates or joint ventures. </w:t>
      </w:r>
      <w:r>
        <w:rPr>
          <w:color w:val="000000"/>
          <w:sz w:val="20"/>
          <w:szCs w:val="20"/>
        </w:rPr>
        <w:t xml:space="preserve">When the Group ceases to have control or significant influence, any retained interest in the entity is remeasured to its fair value at the date when control is lost, with the change in carrying amount recognised in profit or loss. The fair value is the initial carrying amount for the purposes of subsequently accounting for the retained interest as an associate, joint venture or financial asset. In addition, any amounts previously recognised in other comprehensive income in respect of that entity, are accounted for as if the Group had directly disposed of the related assets or liabilities. This may mean that amounts previously recognised in other comprehensive income are reclassified to profit or loss. </w:t>
      </w:r>
    </w:p>
    <w:p w14:paraId="260FCB23"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If the ownership interest in an associate is reduced but significant influence is retained, only a proportionate share of the amounts previously recognised in other comprehensive income are reclassified to profit or loss where appropriate.</w:t>
      </w:r>
    </w:p>
    <w:p w14:paraId="46F0CB57"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 xml:space="preserve">Structured entities </w:t>
      </w:r>
      <w:r>
        <w:rPr>
          <w:color w:val="000000"/>
          <w:sz w:val="20"/>
          <w:szCs w:val="20"/>
        </w:rPr>
        <w:t>– see further information in the see Note 49</w:t>
      </w:r>
      <w:r>
        <w:rPr>
          <w:b/>
          <w:i/>
          <w:color w:val="000000"/>
          <w:sz w:val="20"/>
          <w:szCs w:val="20"/>
        </w:rPr>
        <w:t>.</w:t>
      </w:r>
      <w:r>
        <w:rPr>
          <w:b/>
          <w:color w:val="000000"/>
          <w:sz w:val="20"/>
          <w:szCs w:val="20"/>
        </w:rPr>
        <w:t xml:space="preserve"> </w:t>
      </w:r>
      <w:r>
        <w:rPr>
          <w:color w:val="000000"/>
          <w:sz w:val="20"/>
          <w:szCs w:val="20"/>
        </w:rPr>
        <w:t>Structured</w:t>
      </w:r>
      <w:r>
        <w:rPr>
          <w:b/>
          <w:color w:val="000000"/>
          <w:sz w:val="20"/>
          <w:szCs w:val="20"/>
        </w:rPr>
        <w:t xml:space="preserve"> </w:t>
      </w:r>
      <w:r>
        <w:rPr>
          <w:color w:val="000000"/>
          <w:sz w:val="20"/>
          <w:szCs w:val="20"/>
        </w:rPr>
        <w:t xml:space="preserve">entities are designed so that voting or similar rights are not the dominant factor in deciding who controls the entity. Judgement is required to determine whether the substance of the relationship between the Group and a structured entity indicates that the structured entity is controlled by the Group. </w:t>
      </w:r>
    </w:p>
    <w:p w14:paraId="1EB5A957" w14:textId="4973138B" w:rsidR="008E5DE4" w:rsidRDefault="00780368">
      <w:pPr>
        <w:widowControl w:val="0"/>
        <w:pBdr>
          <w:top w:val="nil"/>
          <w:left w:val="nil"/>
          <w:bottom w:val="nil"/>
          <w:right w:val="nil"/>
          <w:between w:val="nil"/>
        </w:pBdr>
        <w:shd w:val="clear" w:color="auto" w:fill="C6D9F1"/>
        <w:spacing w:before="200" w:after="200"/>
        <w:jc w:val="both"/>
        <w:rPr>
          <w:i/>
          <w:color w:val="FF0000"/>
          <w:sz w:val="20"/>
          <w:szCs w:val="20"/>
        </w:rPr>
      </w:pPr>
      <w:r>
        <w:rPr>
          <w:color w:val="000000"/>
          <w:sz w:val="20"/>
          <w:szCs w:val="20"/>
        </w:rPr>
        <w:t>The Group holds less than 50% of the voting rights in a fully consolidated subsidiary _____. The Group has the current ability to direct the relevant activities of this subsidiary through contractual arrangements with _____. The Group holds more than 50% of the voting rights in _____ but does not have the current ability to direct the relevant activities of this entity due to contractual arrangements with _____, which specify that _____. Consequently</w:t>
      </w:r>
      <w:r w:rsidR="00452273">
        <w:rPr>
          <w:color w:val="000000"/>
          <w:sz w:val="20"/>
          <w:szCs w:val="20"/>
        </w:rPr>
        <w:t>,</w:t>
      </w:r>
      <w:r>
        <w:rPr>
          <w:color w:val="000000"/>
          <w:sz w:val="20"/>
          <w:szCs w:val="20"/>
        </w:rPr>
        <w:t xml:space="preserve"> _____ </w:t>
      </w:r>
      <w:r>
        <w:rPr>
          <w:color w:val="0000FF"/>
          <w:sz w:val="20"/>
          <w:szCs w:val="20"/>
        </w:rPr>
        <w:t xml:space="preserve">[entity] </w:t>
      </w:r>
      <w:r>
        <w:rPr>
          <w:color w:val="000000"/>
          <w:sz w:val="20"/>
          <w:szCs w:val="20"/>
        </w:rPr>
        <w:t>is not consolidated.</w:t>
      </w:r>
      <w:r>
        <w:rPr>
          <w:i/>
          <w:color w:val="FF0000"/>
          <w:sz w:val="20"/>
          <w:szCs w:val="20"/>
        </w:rPr>
        <w:t xml:space="preserve"> </w:t>
      </w:r>
      <w:r>
        <w:rPr>
          <w:color w:val="000000"/>
          <w:sz w:val="20"/>
          <w:szCs w:val="20"/>
        </w:rPr>
        <w:t>Refer to Note 48 for further information.</w:t>
      </w:r>
    </w:p>
    <w:p w14:paraId="3A2E3530" w14:textId="14FAB712" w:rsidR="008E5DE4" w:rsidRDefault="00780368">
      <w:pPr>
        <w:widowControl w:val="0"/>
        <w:pBdr>
          <w:top w:val="nil"/>
          <w:left w:val="nil"/>
          <w:bottom w:val="nil"/>
          <w:right w:val="nil"/>
          <w:between w:val="nil"/>
        </w:pBdr>
        <w:shd w:val="clear" w:color="auto" w:fill="C6D9F1"/>
        <w:spacing w:before="200" w:after="200"/>
        <w:jc w:val="both"/>
        <w:rPr>
          <w:b/>
          <w:color w:val="000000"/>
          <w:sz w:val="20"/>
          <w:szCs w:val="20"/>
        </w:rPr>
      </w:pPr>
      <w:r>
        <w:rPr>
          <w:color w:val="000000"/>
          <w:sz w:val="20"/>
          <w:szCs w:val="20"/>
        </w:rPr>
        <w:t>The Group does not consolidate structured entities that it does not control. As it can sometimes be difficult to determine whether the Group does not control a structure entity, management makes judgements about its exposure to the risks and rewards, as well as about its ability to make operational decisions for the structured entity in question. In many instances, elements are present that, considered in isolation, indicate control or lack of control over a structured entity, but when considered together make it difficult to reach a clear conclusion. In cases where more arguments are in place towards the existence of control, the structured entity is consolidated.</w:t>
      </w:r>
    </w:p>
    <w:p w14:paraId="19BB5053" w14:textId="44629B94"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color w:val="000000"/>
          <w:sz w:val="20"/>
          <w:szCs w:val="20"/>
        </w:rPr>
        <w:t xml:space="preserve">Were the Group not to consolidate the assets, liabilities and the results of these consolidated structured entities, the net effect on the consolidated statement of financial position would be a </w:t>
      </w:r>
      <w:r>
        <w:rPr>
          <w:color w:val="0000FF"/>
          <w:sz w:val="20"/>
          <w:szCs w:val="20"/>
        </w:rPr>
        <w:t>[decrease]</w:t>
      </w:r>
      <w:r>
        <w:rPr>
          <w:color w:val="000000"/>
          <w:sz w:val="20"/>
          <w:szCs w:val="20"/>
        </w:rPr>
        <w:t xml:space="preserve"> in net assets by EUR ____ thousand (</w:t>
      </w:r>
      <w:r w:rsidR="00A46633">
        <w:rPr>
          <w:color w:val="000000"/>
          <w:sz w:val="20"/>
          <w:szCs w:val="20"/>
        </w:rPr>
        <w:t>2024</w:t>
      </w:r>
      <w:r>
        <w:rPr>
          <w:color w:val="000000"/>
          <w:sz w:val="20"/>
          <w:szCs w:val="20"/>
        </w:rPr>
        <w:t xml:space="preserve">: </w:t>
      </w:r>
      <w:r>
        <w:rPr>
          <w:color w:val="0000FF"/>
          <w:sz w:val="20"/>
          <w:szCs w:val="20"/>
        </w:rPr>
        <w:t>[decrease]</w:t>
      </w:r>
      <w:r>
        <w:rPr>
          <w:color w:val="000000"/>
          <w:sz w:val="20"/>
          <w:szCs w:val="20"/>
        </w:rPr>
        <w:t xml:space="preserve"> in net assets by EUR ____ thousand) and </w:t>
      </w:r>
      <w:r>
        <w:rPr>
          <w:color w:val="0000FF"/>
          <w:sz w:val="20"/>
          <w:szCs w:val="20"/>
        </w:rPr>
        <w:t>[increase]</w:t>
      </w:r>
      <w:r>
        <w:rPr>
          <w:color w:val="000000"/>
          <w:sz w:val="20"/>
          <w:szCs w:val="20"/>
        </w:rPr>
        <w:t xml:space="preserve"> in profit for the year by EUR ____ thousand (</w:t>
      </w:r>
      <w:r w:rsidR="00A46633">
        <w:rPr>
          <w:color w:val="000000"/>
          <w:sz w:val="20"/>
          <w:szCs w:val="20"/>
        </w:rPr>
        <w:t>2024</w:t>
      </w:r>
      <w:r>
        <w:rPr>
          <w:color w:val="000000"/>
          <w:sz w:val="20"/>
          <w:szCs w:val="20"/>
        </w:rPr>
        <w:t xml:space="preserve">: </w:t>
      </w:r>
      <w:r>
        <w:rPr>
          <w:color w:val="0000FF"/>
          <w:sz w:val="20"/>
          <w:szCs w:val="20"/>
        </w:rPr>
        <w:t>[increase]</w:t>
      </w:r>
      <w:r>
        <w:rPr>
          <w:color w:val="000000"/>
          <w:sz w:val="20"/>
          <w:szCs w:val="20"/>
        </w:rPr>
        <w:t xml:space="preserve"> by EUR ____ thousand). Refer to Note 48 for further information about the Group’s exposure to structured entities.</w:t>
      </w:r>
    </w:p>
    <w:p w14:paraId="42054A7B" w14:textId="77777777" w:rsidR="008E5DE4" w:rsidRDefault="008E5DE4">
      <w:pPr>
        <w:widowControl w:val="0"/>
        <w:pBdr>
          <w:top w:val="nil"/>
          <w:left w:val="nil"/>
          <w:bottom w:val="nil"/>
          <w:right w:val="nil"/>
          <w:between w:val="nil"/>
        </w:pBdr>
        <w:shd w:val="clear" w:color="auto" w:fill="C6D9F1"/>
        <w:spacing w:before="200" w:after="200"/>
        <w:jc w:val="both"/>
        <w:rPr>
          <w:color w:val="000000"/>
          <w:sz w:val="20"/>
          <w:szCs w:val="20"/>
        </w:rPr>
      </w:pPr>
    </w:p>
    <w:tbl>
      <w:tblPr>
        <w:tblStyle w:val="afffffffffffff0"/>
        <w:tblW w:w="95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E5DE4" w14:paraId="6099D3AE" w14:textId="77777777">
        <w:tc>
          <w:tcPr>
            <w:tcW w:w="9571" w:type="dxa"/>
          </w:tcPr>
          <w:p w14:paraId="600731B7" w14:textId="77777777" w:rsidR="008E5DE4" w:rsidRDefault="00780368">
            <w:pPr>
              <w:pBdr>
                <w:top w:val="nil"/>
                <w:left w:val="nil"/>
                <w:bottom w:val="nil"/>
                <w:right w:val="nil"/>
                <w:between w:val="nil"/>
              </w:pBdr>
              <w:spacing w:after="240"/>
              <w:rPr>
                <w:b/>
                <w:i/>
                <w:color w:val="000000"/>
                <w:sz w:val="20"/>
                <w:szCs w:val="20"/>
              </w:rPr>
            </w:pPr>
            <w:r>
              <w:rPr>
                <w:b/>
                <w:i/>
                <w:color w:val="000000"/>
                <w:sz w:val="20"/>
                <w:szCs w:val="20"/>
              </w:rPr>
              <w:t>Critical Accounting Estimates and Judgments in Applying Accounting Policies</w:t>
            </w:r>
          </w:p>
          <w:p w14:paraId="0F0B1BF1" w14:textId="34A58821" w:rsidR="008E5DE4" w:rsidRDefault="00780368">
            <w:pPr>
              <w:spacing w:before="200" w:after="200"/>
              <w:jc w:val="both"/>
              <w:rPr>
                <w:sz w:val="20"/>
                <w:szCs w:val="20"/>
              </w:rPr>
            </w:pPr>
            <w:r>
              <w:rPr>
                <w:b/>
                <w:i/>
                <w:sz w:val="20"/>
                <w:szCs w:val="20"/>
              </w:rPr>
              <w:t>Functional currencies of different entities of the Group.</w:t>
            </w:r>
            <w:r>
              <w:rPr>
                <w:sz w:val="20"/>
                <w:szCs w:val="20"/>
              </w:rPr>
              <w:t xml:space="preserve"> Different entities within the Group have different functional currencies, based on the underlying economic conditions of their operations. This determination, of what the specific underlying economic conditions are, requires judgement. In making this judgement, the Group evaluates among other factors, the location of activities, the sources of revenue, risks associated with activities and denomination of currencies of operations of different entities. Specifically, in determination of the functional currencies of </w:t>
            </w:r>
            <w:r>
              <w:rPr>
                <w:color w:val="0000FF"/>
                <w:sz w:val="20"/>
                <w:szCs w:val="20"/>
              </w:rPr>
              <w:t>[entity names]</w:t>
            </w:r>
            <w:r>
              <w:rPr>
                <w:sz w:val="20"/>
                <w:szCs w:val="20"/>
              </w:rPr>
              <w:t xml:space="preserve">, the Group based its judgement on the fact that the companies operate internationally on markets mainly influenced by the </w:t>
            </w:r>
            <w:r>
              <w:rPr>
                <w:color w:val="0000FF"/>
                <w:sz w:val="20"/>
                <w:szCs w:val="20"/>
              </w:rPr>
              <w:t>[US Dollar</w:t>
            </w:r>
            <w:r w:rsidR="00AD4F80">
              <w:rPr>
                <w:color w:val="0000FF"/>
                <w:sz w:val="20"/>
                <w:szCs w:val="20"/>
              </w:rPr>
              <w:t>]</w:t>
            </w:r>
            <w:r>
              <w:rPr>
                <w:sz w:val="20"/>
                <w:szCs w:val="20"/>
              </w:rPr>
              <w:t xml:space="preserve"> and their major activities include the provision of services to foreign investors. Moreover, </w:t>
            </w:r>
            <w:proofErr w:type="gramStart"/>
            <w:r>
              <w:rPr>
                <w:sz w:val="20"/>
                <w:szCs w:val="20"/>
              </w:rPr>
              <w:t>the majority of</w:t>
            </w:r>
            <w:proofErr w:type="gramEnd"/>
            <w:r>
              <w:rPr>
                <w:sz w:val="20"/>
                <w:szCs w:val="20"/>
              </w:rPr>
              <w:t xml:space="preserve"> their operations are denominated in </w:t>
            </w:r>
            <w:r>
              <w:rPr>
                <w:color w:val="0000FF"/>
                <w:sz w:val="20"/>
                <w:szCs w:val="20"/>
              </w:rPr>
              <w:t>[US Dollars]</w:t>
            </w:r>
            <w:r>
              <w:rPr>
                <w:sz w:val="20"/>
                <w:szCs w:val="20"/>
              </w:rPr>
              <w:t xml:space="preserve"> </w:t>
            </w:r>
            <w:proofErr w:type="gramStart"/>
            <w:r>
              <w:rPr>
                <w:sz w:val="20"/>
                <w:szCs w:val="20"/>
              </w:rPr>
              <w:t>and also</w:t>
            </w:r>
            <w:proofErr w:type="gramEnd"/>
            <w:r>
              <w:rPr>
                <w:sz w:val="20"/>
                <w:szCs w:val="20"/>
              </w:rPr>
              <w:t xml:space="preserve">, the </w:t>
            </w:r>
            <w:r>
              <w:rPr>
                <w:color w:val="0000FF"/>
                <w:sz w:val="20"/>
                <w:szCs w:val="20"/>
              </w:rPr>
              <w:t>[US Dollar]</w:t>
            </w:r>
            <w:r>
              <w:rPr>
                <w:sz w:val="20"/>
                <w:szCs w:val="20"/>
              </w:rPr>
              <w:t xml:space="preserve"> is the currency in which their business risks and exposures are managed, and the performance of their business is measured.</w:t>
            </w:r>
          </w:p>
          <w:p w14:paraId="383B9397" w14:textId="77777777" w:rsidR="008E5DE4" w:rsidRDefault="008E5DE4"/>
        </w:tc>
      </w:tr>
    </w:tbl>
    <w:p w14:paraId="085AB386" w14:textId="77777777" w:rsidR="008E5DE4" w:rsidRDefault="008E5DE4"/>
    <w:p w14:paraId="1AA5D21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49</w:t>
      </w:r>
      <w:r>
        <w:rPr>
          <w:b/>
          <w:color w:val="000000"/>
          <w:sz w:val="20"/>
          <w:szCs w:val="20"/>
        </w:rPr>
        <w:tab/>
        <w:t>Principal Subsidiaries, Associates and Joint Venture (Continued)</w:t>
      </w:r>
    </w:p>
    <w:p w14:paraId="66791E28" w14:textId="77777777" w:rsidR="008E5DE4" w:rsidRDefault="008E5DE4"/>
    <w:p w14:paraId="4F86DD04" w14:textId="77777777" w:rsidR="008E5DE4" w:rsidRDefault="008E5DE4"/>
    <w:tbl>
      <w:tblPr>
        <w:tblStyle w:val="afffffffffffff1"/>
        <w:tblW w:w="9355" w:type="dxa"/>
        <w:tblLayout w:type="fixed"/>
        <w:tblLook w:val="0000" w:firstRow="0" w:lastRow="0" w:firstColumn="0" w:lastColumn="0" w:noHBand="0" w:noVBand="0"/>
      </w:tblPr>
      <w:tblGrid>
        <w:gridCol w:w="3231"/>
        <w:gridCol w:w="1531"/>
        <w:gridCol w:w="1531"/>
        <w:gridCol w:w="1531"/>
        <w:gridCol w:w="1531"/>
      </w:tblGrid>
      <w:tr w:rsidR="008E5DE4" w14:paraId="2A2ACEB3" w14:textId="77777777">
        <w:trPr>
          <w:cantSplit/>
        </w:trPr>
        <w:tc>
          <w:tcPr>
            <w:tcW w:w="3231" w:type="dxa"/>
            <w:tcBorders>
              <w:bottom w:val="single" w:sz="4" w:space="0" w:color="000000"/>
            </w:tcBorders>
            <w:vAlign w:val="bottom"/>
          </w:tcPr>
          <w:p w14:paraId="03D9BF4B" w14:textId="77777777" w:rsidR="008E5DE4" w:rsidRDefault="00780368">
            <w:pPr>
              <w:widowControl w:val="0"/>
              <w:pBdr>
                <w:top w:val="nil"/>
                <w:left w:val="nil"/>
                <w:bottom w:val="nil"/>
                <w:right w:val="nil"/>
                <w:between w:val="nil"/>
              </w:pBdr>
              <w:ind w:left="113" w:right="-57" w:hanging="113"/>
              <w:rPr>
                <w:b/>
                <w:color w:val="000000"/>
              </w:rPr>
            </w:pPr>
            <w:r>
              <w:rPr>
                <w:b/>
                <w:color w:val="000000"/>
              </w:rPr>
              <w:t>Name</w:t>
            </w:r>
          </w:p>
        </w:tc>
        <w:tc>
          <w:tcPr>
            <w:tcW w:w="1531" w:type="dxa"/>
            <w:tcBorders>
              <w:bottom w:val="single" w:sz="4" w:space="0" w:color="000000"/>
            </w:tcBorders>
          </w:tcPr>
          <w:p w14:paraId="538C55BE" w14:textId="77777777" w:rsidR="008E5DE4" w:rsidRDefault="00780368">
            <w:pPr>
              <w:widowControl w:val="0"/>
              <w:pBdr>
                <w:top w:val="nil"/>
                <w:left w:val="nil"/>
                <w:bottom w:val="nil"/>
                <w:right w:val="nil"/>
                <w:between w:val="nil"/>
              </w:pBdr>
              <w:ind w:left="-113"/>
              <w:jc w:val="right"/>
              <w:rPr>
                <w:b/>
                <w:color w:val="000000"/>
              </w:rPr>
            </w:pPr>
            <w:r>
              <w:rPr>
                <w:b/>
                <w:color w:val="000000"/>
              </w:rPr>
              <w:t>Nature of business</w:t>
            </w:r>
          </w:p>
        </w:tc>
        <w:tc>
          <w:tcPr>
            <w:tcW w:w="1531" w:type="dxa"/>
            <w:tcBorders>
              <w:bottom w:val="single" w:sz="4" w:space="0" w:color="000000"/>
            </w:tcBorders>
          </w:tcPr>
          <w:p w14:paraId="49C24E63" w14:textId="77777777" w:rsidR="008E5DE4" w:rsidRDefault="00780368">
            <w:pPr>
              <w:widowControl w:val="0"/>
              <w:pBdr>
                <w:top w:val="nil"/>
                <w:left w:val="nil"/>
                <w:bottom w:val="nil"/>
                <w:right w:val="nil"/>
                <w:between w:val="nil"/>
              </w:pBdr>
              <w:ind w:left="-113"/>
              <w:jc w:val="right"/>
              <w:rPr>
                <w:b/>
                <w:color w:val="000000"/>
              </w:rPr>
            </w:pPr>
            <w:r>
              <w:rPr>
                <w:b/>
                <w:color w:val="000000"/>
              </w:rPr>
              <w:t>Percentage of voting rights</w:t>
            </w:r>
          </w:p>
        </w:tc>
        <w:tc>
          <w:tcPr>
            <w:tcW w:w="1531" w:type="dxa"/>
            <w:tcBorders>
              <w:bottom w:val="single" w:sz="4" w:space="0" w:color="000000"/>
            </w:tcBorders>
          </w:tcPr>
          <w:p w14:paraId="3E46092D" w14:textId="77777777" w:rsidR="008E5DE4" w:rsidRDefault="00780368">
            <w:pPr>
              <w:widowControl w:val="0"/>
              <w:pBdr>
                <w:top w:val="nil"/>
                <w:left w:val="nil"/>
                <w:bottom w:val="nil"/>
                <w:right w:val="nil"/>
                <w:between w:val="nil"/>
              </w:pBdr>
              <w:ind w:left="-113"/>
              <w:jc w:val="right"/>
              <w:rPr>
                <w:b/>
                <w:color w:val="000000"/>
              </w:rPr>
            </w:pPr>
            <w:r>
              <w:rPr>
                <w:b/>
                <w:color w:val="000000"/>
              </w:rPr>
              <w:t>Percentage of ownership</w:t>
            </w:r>
          </w:p>
        </w:tc>
        <w:tc>
          <w:tcPr>
            <w:tcW w:w="1531" w:type="dxa"/>
            <w:tcBorders>
              <w:bottom w:val="single" w:sz="4" w:space="0" w:color="000000"/>
            </w:tcBorders>
          </w:tcPr>
          <w:p w14:paraId="1FDADBB1" w14:textId="77777777" w:rsidR="008E5DE4" w:rsidRDefault="00780368">
            <w:pPr>
              <w:widowControl w:val="0"/>
              <w:pBdr>
                <w:top w:val="nil"/>
                <w:left w:val="nil"/>
                <w:bottom w:val="nil"/>
                <w:right w:val="nil"/>
                <w:between w:val="nil"/>
              </w:pBdr>
              <w:ind w:left="-113"/>
              <w:jc w:val="right"/>
              <w:rPr>
                <w:b/>
                <w:color w:val="000000"/>
              </w:rPr>
            </w:pPr>
            <w:r>
              <w:rPr>
                <w:b/>
                <w:color w:val="000000"/>
              </w:rPr>
              <w:t>Country of registration</w:t>
            </w:r>
          </w:p>
        </w:tc>
      </w:tr>
      <w:tr w:rsidR="008E5DE4" w14:paraId="6BEC9FF4" w14:textId="77777777">
        <w:trPr>
          <w:cantSplit/>
        </w:trPr>
        <w:tc>
          <w:tcPr>
            <w:tcW w:w="3231" w:type="dxa"/>
            <w:vAlign w:val="bottom"/>
          </w:tcPr>
          <w:p w14:paraId="474861B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vAlign w:val="bottom"/>
          </w:tcPr>
          <w:p w14:paraId="3EDAC97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A705F8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40CC04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83A9ED9" w14:textId="77777777" w:rsidR="008E5DE4" w:rsidRDefault="008E5DE4">
            <w:pPr>
              <w:widowControl w:val="0"/>
              <w:pBdr>
                <w:top w:val="nil"/>
                <w:left w:val="nil"/>
                <w:bottom w:val="nil"/>
                <w:right w:val="nil"/>
                <w:between w:val="nil"/>
              </w:pBdr>
              <w:jc w:val="right"/>
              <w:rPr>
                <w:color w:val="000000"/>
              </w:rPr>
            </w:pPr>
          </w:p>
        </w:tc>
      </w:tr>
      <w:tr w:rsidR="008E5DE4" w14:paraId="40AE8190" w14:textId="77777777">
        <w:trPr>
          <w:cantSplit/>
        </w:trPr>
        <w:tc>
          <w:tcPr>
            <w:tcW w:w="3231" w:type="dxa"/>
            <w:vAlign w:val="bottom"/>
          </w:tcPr>
          <w:p w14:paraId="6FC14B86" w14:textId="77777777" w:rsidR="008E5DE4" w:rsidRDefault="00780368">
            <w:pPr>
              <w:widowControl w:val="0"/>
              <w:pBdr>
                <w:top w:val="nil"/>
                <w:left w:val="nil"/>
                <w:bottom w:val="nil"/>
                <w:right w:val="nil"/>
                <w:between w:val="nil"/>
              </w:pBdr>
              <w:ind w:left="113" w:right="-57" w:hanging="113"/>
              <w:rPr>
                <w:b/>
                <w:color w:val="000000"/>
              </w:rPr>
            </w:pPr>
            <w:r>
              <w:rPr>
                <w:b/>
                <w:color w:val="000000"/>
              </w:rPr>
              <w:t>Subsidiaries:</w:t>
            </w:r>
          </w:p>
        </w:tc>
        <w:tc>
          <w:tcPr>
            <w:tcW w:w="1531" w:type="dxa"/>
            <w:vAlign w:val="bottom"/>
          </w:tcPr>
          <w:p w14:paraId="657B457E"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4525EFAE"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B68B82E"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B6EB1F9" w14:textId="77777777" w:rsidR="008E5DE4" w:rsidRDefault="008E5DE4">
            <w:pPr>
              <w:widowControl w:val="0"/>
              <w:pBdr>
                <w:top w:val="nil"/>
                <w:left w:val="nil"/>
                <w:bottom w:val="nil"/>
                <w:right w:val="nil"/>
                <w:between w:val="nil"/>
              </w:pBdr>
              <w:jc w:val="right"/>
              <w:rPr>
                <w:b/>
                <w:color w:val="000000"/>
              </w:rPr>
            </w:pPr>
          </w:p>
        </w:tc>
      </w:tr>
      <w:tr w:rsidR="008E5DE4" w14:paraId="64D24042" w14:textId="77777777">
        <w:trPr>
          <w:cantSplit/>
        </w:trPr>
        <w:tc>
          <w:tcPr>
            <w:tcW w:w="3231" w:type="dxa"/>
            <w:vAlign w:val="bottom"/>
          </w:tcPr>
          <w:p w14:paraId="01AD3E91" w14:textId="77777777" w:rsidR="008E5DE4" w:rsidRDefault="008E5DE4">
            <w:pPr>
              <w:widowControl w:val="0"/>
              <w:pBdr>
                <w:top w:val="nil"/>
                <w:left w:val="nil"/>
                <w:bottom w:val="nil"/>
                <w:right w:val="nil"/>
                <w:between w:val="nil"/>
              </w:pBdr>
              <w:ind w:left="113" w:right="-57" w:hanging="113"/>
              <w:rPr>
                <w:color w:val="000000"/>
              </w:rPr>
            </w:pPr>
          </w:p>
        </w:tc>
        <w:tc>
          <w:tcPr>
            <w:tcW w:w="1531" w:type="dxa"/>
            <w:vAlign w:val="bottom"/>
          </w:tcPr>
          <w:p w14:paraId="6E45FE90"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E43DBDF"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C56A04C"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2507CD9" w14:textId="77777777" w:rsidR="008E5DE4" w:rsidRDefault="008E5DE4">
            <w:pPr>
              <w:widowControl w:val="0"/>
              <w:pBdr>
                <w:top w:val="nil"/>
                <w:left w:val="nil"/>
                <w:bottom w:val="nil"/>
                <w:right w:val="nil"/>
                <w:between w:val="nil"/>
              </w:pBdr>
              <w:jc w:val="right"/>
              <w:rPr>
                <w:b/>
                <w:color w:val="000000"/>
              </w:rPr>
            </w:pPr>
          </w:p>
        </w:tc>
      </w:tr>
      <w:tr w:rsidR="008E5DE4" w14:paraId="3E47AC59" w14:textId="77777777">
        <w:trPr>
          <w:cantSplit/>
        </w:trPr>
        <w:tc>
          <w:tcPr>
            <w:tcW w:w="3231" w:type="dxa"/>
            <w:tcBorders>
              <w:bottom w:val="single" w:sz="12" w:space="0" w:color="000000"/>
            </w:tcBorders>
            <w:vAlign w:val="bottom"/>
          </w:tcPr>
          <w:p w14:paraId="70F8235B"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Borders>
              <w:bottom w:val="single" w:sz="12" w:space="0" w:color="000000"/>
            </w:tcBorders>
            <w:vAlign w:val="bottom"/>
          </w:tcPr>
          <w:p w14:paraId="7A7142CE"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661CD6A3"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7B632A84"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2662FB19" w14:textId="77777777" w:rsidR="008E5DE4" w:rsidRDefault="008E5DE4">
            <w:pPr>
              <w:widowControl w:val="0"/>
              <w:pBdr>
                <w:top w:val="nil"/>
                <w:left w:val="nil"/>
                <w:bottom w:val="nil"/>
                <w:right w:val="nil"/>
                <w:between w:val="nil"/>
              </w:pBdr>
              <w:jc w:val="right"/>
              <w:rPr>
                <w:b/>
                <w:color w:val="000000"/>
              </w:rPr>
            </w:pPr>
          </w:p>
        </w:tc>
      </w:tr>
      <w:tr w:rsidR="008E5DE4" w14:paraId="130D1575" w14:textId="77777777">
        <w:trPr>
          <w:cantSplit/>
        </w:trPr>
        <w:tc>
          <w:tcPr>
            <w:tcW w:w="3231" w:type="dxa"/>
            <w:tcBorders>
              <w:top w:val="single" w:sz="12" w:space="0" w:color="000000"/>
            </w:tcBorders>
            <w:vAlign w:val="bottom"/>
          </w:tcPr>
          <w:p w14:paraId="5EABA9FF"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1531" w:type="dxa"/>
            <w:tcBorders>
              <w:top w:val="single" w:sz="12" w:space="0" w:color="000000"/>
            </w:tcBorders>
            <w:vAlign w:val="bottom"/>
          </w:tcPr>
          <w:p w14:paraId="7AA58967"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3B953898"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66A8E294"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78092CEA" w14:textId="77777777" w:rsidR="008E5DE4" w:rsidRDefault="008E5DE4">
            <w:pPr>
              <w:widowControl w:val="0"/>
              <w:pBdr>
                <w:top w:val="nil"/>
                <w:left w:val="nil"/>
                <w:bottom w:val="nil"/>
                <w:right w:val="nil"/>
                <w:between w:val="nil"/>
              </w:pBdr>
              <w:jc w:val="right"/>
              <w:rPr>
                <w:b/>
                <w:color w:val="000000"/>
              </w:rPr>
            </w:pPr>
          </w:p>
        </w:tc>
      </w:tr>
      <w:tr w:rsidR="008E5DE4" w14:paraId="3334066B" w14:textId="77777777">
        <w:trPr>
          <w:cantSplit/>
        </w:trPr>
        <w:tc>
          <w:tcPr>
            <w:tcW w:w="3231" w:type="dxa"/>
            <w:vAlign w:val="bottom"/>
          </w:tcPr>
          <w:p w14:paraId="77FCD423" w14:textId="77777777" w:rsidR="008E5DE4" w:rsidRDefault="00780368">
            <w:pPr>
              <w:widowControl w:val="0"/>
              <w:pBdr>
                <w:top w:val="nil"/>
                <w:left w:val="nil"/>
                <w:bottom w:val="nil"/>
                <w:right w:val="nil"/>
                <w:between w:val="nil"/>
              </w:pBdr>
              <w:ind w:left="113" w:right="-57" w:hanging="113"/>
              <w:rPr>
                <w:b/>
                <w:color w:val="000000"/>
              </w:rPr>
            </w:pPr>
            <w:r>
              <w:rPr>
                <w:b/>
                <w:color w:val="000000"/>
              </w:rPr>
              <w:t>Associates:</w:t>
            </w:r>
          </w:p>
        </w:tc>
        <w:tc>
          <w:tcPr>
            <w:tcW w:w="1531" w:type="dxa"/>
            <w:vAlign w:val="bottom"/>
          </w:tcPr>
          <w:p w14:paraId="39632A1E"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2C538DD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C75AC94"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96A6F12" w14:textId="77777777" w:rsidR="008E5DE4" w:rsidRDefault="008E5DE4">
            <w:pPr>
              <w:widowControl w:val="0"/>
              <w:pBdr>
                <w:top w:val="nil"/>
                <w:left w:val="nil"/>
                <w:bottom w:val="nil"/>
                <w:right w:val="nil"/>
                <w:between w:val="nil"/>
              </w:pBdr>
              <w:jc w:val="right"/>
              <w:rPr>
                <w:b/>
                <w:color w:val="000000"/>
              </w:rPr>
            </w:pPr>
          </w:p>
        </w:tc>
      </w:tr>
      <w:tr w:rsidR="008E5DE4" w14:paraId="2E9B59AC" w14:textId="77777777">
        <w:trPr>
          <w:cantSplit/>
        </w:trPr>
        <w:tc>
          <w:tcPr>
            <w:tcW w:w="3231" w:type="dxa"/>
            <w:vAlign w:val="bottom"/>
          </w:tcPr>
          <w:p w14:paraId="6DE6FA87" w14:textId="77777777" w:rsidR="008E5DE4" w:rsidRDefault="008E5DE4">
            <w:pPr>
              <w:widowControl w:val="0"/>
              <w:pBdr>
                <w:top w:val="nil"/>
                <w:left w:val="nil"/>
                <w:bottom w:val="nil"/>
                <w:right w:val="nil"/>
                <w:between w:val="nil"/>
              </w:pBdr>
              <w:ind w:left="113" w:right="-57" w:hanging="113"/>
              <w:rPr>
                <w:color w:val="000000"/>
              </w:rPr>
            </w:pPr>
          </w:p>
        </w:tc>
        <w:tc>
          <w:tcPr>
            <w:tcW w:w="1531" w:type="dxa"/>
            <w:vAlign w:val="bottom"/>
          </w:tcPr>
          <w:p w14:paraId="51260E12"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BF69A49"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E89C2E0"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605FBD9" w14:textId="77777777" w:rsidR="008E5DE4" w:rsidRDefault="008E5DE4">
            <w:pPr>
              <w:widowControl w:val="0"/>
              <w:pBdr>
                <w:top w:val="nil"/>
                <w:left w:val="nil"/>
                <w:bottom w:val="nil"/>
                <w:right w:val="nil"/>
                <w:between w:val="nil"/>
              </w:pBdr>
              <w:jc w:val="right"/>
              <w:rPr>
                <w:b/>
                <w:color w:val="000000"/>
              </w:rPr>
            </w:pPr>
          </w:p>
        </w:tc>
      </w:tr>
      <w:tr w:rsidR="008E5DE4" w14:paraId="1C3AB2DA" w14:textId="77777777">
        <w:trPr>
          <w:cantSplit/>
        </w:trPr>
        <w:tc>
          <w:tcPr>
            <w:tcW w:w="3231" w:type="dxa"/>
            <w:tcBorders>
              <w:bottom w:val="single" w:sz="12" w:space="0" w:color="000000"/>
            </w:tcBorders>
            <w:vAlign w:val="bottom"/>
          </w:tcPr>
          <w:p w14:paraId="18CBEAE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Borders>
              <w:bottom w:val="single" w:sz="12" w:space="0" w:color="000000"/>
            </w:tcBorders>
            <w:vAlign w:val="bottom"/>
          </w:tcPr>
          <w:p w14:paraId="61FFB4CC"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29C7F33E"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76CB5209"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71170C2B" w14:textId="77777777" w:rsidR="008E5DE4" w:rsidRDefault="008E5DE4">
            <w:pPr>
              <w:widowControl w:val="0"/>
              <w:pBdr>
                <w:top w:val="nil"/>
                <w:left w:val="nil"/>
                <w:bottom w:val="nil"/>
                <w:right w:val="nil"/>
                <w:between w:val="nil"/>
              </w:pBdr>
              <w:jc w:val="right"/>
              <w:rPr>
                <w:color w:val="000000"/>
              </w:rPr>
            </w:pPr>
          </w:p>
        </w:tc>
      </w:tr>
      <w:tr w:rsidR="008E5DE4" w14:paraId="7AA39D39" w14:textId="77777777">
        <w:trPr>
          <w:cantSplit/>
        </w:trPr>
        <w:tc>
          <w:tcPr>
            <w:tcW w:w="3231" w:type="dxa"/>
            <w:tcBorders>
              <w:top w:val="single" w:sz="12" w:space="0" w:color="000000"/>
            </w:tcBorders>
            <w:vAlign w:val="bottom"/>
          </w:tcPr>
          <w:p w14:paraId="12EC17F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Borders>
              <w:top w:val="single" w:sz="12" w:space="0" w:color="000000"/>
            </w:tcBorders>
            <w:vAlign w:val="bottom"/>
          </w:tcPr>
          <w:p w14:paraId="065FE5C7"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27FEB99E"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7223B052"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5E303665" w14:textId="77777777" w:rsidR="008E5DE4" w:rsidRDefault="008E5DE4">
            <w:pPr>
              <w:widowControl w:val="0"/>
              <w:pBdr>
                <w:top w:val="nil"/>
                <w:left w:val="nil"/>
                <w:bottom w:val="nil"/>
                <w:right w:val="nil"/>
                <w:between w:val="nil"/>
              </w:pBdr>
              <w:jc w:val="right"/>
              <w:rPr>
                <w:b/>
                <w:color w:val="000000"/>
              </w:rPr>
            </w:pPr>
          </w:p>
        </w:tc>
      </w:tr>
      <w:tr w:rsidR="008E5DE4" w14:paraId="1B7CA408" w14:textId="77777777">
        <w:trPr>
          <w:cantSplit/>
        </w:trPr>
        <w:tc>
          <w:tcPr>
            <w:tcW w:w="3231" w:type="dxa"/>
            <w:vAlign w:val="bottom"/>
          </w:tcPr>
          <w:p w14:paraId="71D3A06B" w14:textId="77777777" w:rsidR="008E5DE4" w:rsidRDefault="00780368">
            <w:pPr>
              <w:widowControl w:val="0"/>
              <w:pBdr>
                <w:top w:val="nil"/>
                <w:left w:val="nil"/>
                <w:bottom w:val="nil"/>
                <w:right w:val="nil"/>
                <w:between w:val="nil"/>
              </w:pBdr>
              <w:ind w:left="113" w:right="-57" w:hanging="113"/>
              <w:rPr>
                <w:b/>
                <w:color w:val="000000"/>
              </w:rPr>
            </w:pPr>
            <w:r>
              <w:rPr>
                <w:b/>
                <w:color w:val="000000"/>
              </w:rPr>
              <w:t>Joint ventures:</w:t>
            </w:r>
          </w:p>
        </w:tc>
        <w:tc>
          <w:tcPr>
            <w:tcW w:w="1531" w:type="dxa"/>
            <w:vAlign w:val="bottom"/>
          </w:tcPr>
          <w:p w14:paraId="5EBE2DDE"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40F2875F"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3402CA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FFE57D7" w14:textId="77777777" w:rsidR="008E5DE4" w:rsidRDefault="008E5DE4">
            <w:pPr>
              <w:widowControl w:val="0"/>
              <w:pBdr>
                <w:top w:val="nil"/>
                <w:left w:val="nil"/>
                <w:bottom w:val="nil"/>
                <w:right w:val="nil"/>
                <w:between w:val="nil"/>
              </w:pBdr>
              <w:jc w:val="right"/>
              <w:rPr>
                <w:b/>
                <w:color w:val="000000"/>
              </w:rPr>
            </w:pPr>
          </w:p>
        </w:tc>
      </w:tr>
      <w:tr w:rsidR="008E5DE4" w14:paraId="10DFA364" w14:textId="77777777">
        <w:trPr>
          <w:cantSplit/>
        </w:trPr>
        <w:tc>
          <w:tcPr>
            <w:tcW w:w="3231" w:type="dxa"/>
            <w:vAlign w:val="bottom"/>
          </w:tcPr>
          <w:p w14:paraId="17AD80FA" w14:textId="77777777" w:rsidR="008E5DE4" w:rsidRDefault="008E5DE4">
            <w:pPr>
              <w:widowControl w:val="0"/>
              <w:pBdr>
                <w:top w:val="nil"/>
                <w:left w:val="nil"/>
                <w:bottom w:val="nil"/>
                <w:right w:val="nil"/>
                <w:between w:val="nil"/>
              </w:pBdr>
              <w:ind w:left="113" w:right="-57" w:hanging="113"/>
              <w:rPr>
                <w:color w:val="000000"/>
              </w:rPr>
            </w:pPr>
          </w:p>
        </w:tc>
        <w:tc>
          <w:tcPr>
            <w:tcW w:w="1531" w:type="dxa"/>
            <w:vAlign w:val="bottom"/>
          </w:tcPr>
          <w:p w14:paraId="7639C7E4"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21B66433"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D2EC16E"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5BF8F0D" w14:textId="77777777" w:rsidR="008E5DE4" w:rsidRDefault="008E5DE4">
            <w:pPr>
              <w:widowControl w:val="0"/>
              <w:pBdr>
                <w:top w:val="nil"/>
                <w:left w:val="nil"/>
                <w:bottom w:val="nil"/>
                <w:right w:val="nil"/>
                <w:between w:val="nil"/>
              </w:pBdr>
              <w:jc w:val="right"/>
              <w:rPr>
                <w:b/>
                <w:color w:val="000000"/>
              </w:rPr>
            </w:pPr>
          </w:p>
        </w:tc>
      </w:tr>
      <w:tr w:rsidR="008E5DE4" w14:paraId="1FF3D383" w14:textId="77777777">
        <w:trPr>
          <w:cantSplit/>
        </w:trPr>
        <w:tc>
          <w:tcPr>
            <w:tcW w:w="3231" w:type="dxa"/>
            <w:tcBorders>
              <w:bottom w:val="single" w:sz="12" w:space="0" w:color="000000"/>
            </w:tcBorders>
            <w:vAlign w:val="bottom"/>
          </w:tcPr>
          <w:p w14:paraId="6E8BF99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531" w:type="dxa"/>
            <w:tcBorders>
              <w:bottom w:val="single" w:sz="12" w:space="0" w:color="000000"/>
            </w:tcBorders>
            <w:vAlign w:val="bottom"/>
          </w:tcPr>
          <w:p w14:paraId="0AF3BE0D"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43CEAD3F"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6AD93063"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29223263" w14:textId="77777777" w:rsidR="008E5DE4" w:rsidRDefault="008E5DE4">
            <w:pPr>
              <w:widowControl w:val="0"/>
              <w:pBdr>
                <w:top w:val="nil"/>
                <w:left w:val="nil"/>
                <w:bottom w:val="nil"/>
                <w:right w:val="nil"/>
                <w:between w:val="nil"/>
              </w:pBdr>
              <w:jc w:val="right"/>
              <w:rPr>
                <w:b/>
                <w:color w:val="000000"/>
              </w:rPr>
            </w:pPr>
          </w:p>
        </w:tc>
      </w:tr>
    </w:tbl>
    <w:p w14:paraId="6806105E" w14:textId="1F2C8D9E" w:rsidR="008E5DE4" w:rsidRDefault="008E5DE4">
      <w:pPr>
        <w:widowControl w:val="0"/>
        <w:spacing w:before="200" w:after="200"/>
        <w:jc w:val="both"/>
        <w:rPr>
          <w:i/>
          <w:color w:val="FF0000"/>
          <w:sz w:val="20"/>
          <w:szCs w:val="20"/>
        </w:rPr>
      </w:pPr>
    </w:p>
    <w:p w14:paraId="4BAEE6CD" w14:textId="410E5785" w:rsidR="008E5DE4" w:rsidRDefault="00504BB1" w:rsidP="007F183E">
      <w:pPr>
        <w:pStyle w:val="Heading1"/>
        <w:numPr>
          <w:ilvl w:val="0"/>
          <w:numId w:val="0"/>
        </w:numPr>
        <w:ind w:left="567" w:hanging="567"/>
      </w:pPr>
      <w:bookmarkStart w:id="78" w:name="_Toc149923649"/>
      <w:r>
        <w:t xml:space="preserve">50 </w:t>
      </w:r>
      <w:r>
        <w:tab/>
      </w:r>
      <w:r w:rsidR="00780368">
        <w:t>Business Combinations</w:t>
      </w:r>
      <w:bookmarkEnd w:id="78"/>
      <w:r w:rsidR="00780368">
        <w:t xml:space="preserve"> </w:t>
      </w:r>
    </w:p>
    <w:p w14:paraId="170456E2" w14:textId="6B88BFA7" w:rsidR="008E5DE4" w:rsidRDefault="00090491" w:rsidP="007F183E">
      <w:pPr>
        <w:shd w:val="clear" w:color="auto" w:fill="C6D9F1"/>
        <w:rPr>
          <w:i/>
          <w:color w:val="FF0000"/>
          <w:sz w:val="20"/>
          <w:szCs w:val="20"/>
        </w:rPr>
      </w:pPr>
      <w:r>
        <w:rPr>
          <w:b/>
          <w:i/>
          <w:sz w:val="20"/>
          <w:szCs w:val="20"/>
        </w:rPr>
        <w:t>Material accounting policy information</w:t>
      </w:r>
      <w:r w:rsidR="00780368">
        <w:rPr>
          <w:b/>
          <w:i/>
          <w:sz w:val="20"/>
          <w:szCs w:val="20"/>
        </w:rPr>
        <w:t xml:space="preserve"> </w:t>
      </w:r>
    </w:p>
    <w:p w14:paraId="58D1A063" w14:textId="77777777" w:rsidR="008E5DE4" w:rsidRDefault="00780368">
      <w:pPr>
        <w:widowControl w:val="0"/>
        <w:pBdr>
          <w:top w:val="nil"/>
          <w:left w:val="nil"/>
          <w:bottom w:val="nil"/>
          <w:right w:val="nil"/>
          <w:between w:val="nil"/>
        </w:pBdr>
        <w:shd w:val="clear" w:color="auto" w:fill="C6D9F1"/>
        <w:spacing w:before="200" w:after="200"/>
        <w:jc w:val="both"/>
        <w:rPr>
          <w:color w:val="000000"/>
          <w:sz w:val="20"/>
          <w:szCs w:val="20"/>
        </w:rPr>
      </w:pPr>
      <w:r>
        <w:rPr>
          <w:b/>
          <w:i/>
          <w:color w:val="000000"/>
          <w:sz w:val="20"/>
          <w:szCs w:val="20"/>
        </w:rPr>
        <w:t>Business combinations.</w:t>
      </w:r>
      <w:r>
        <w:rPr>
          <w:color w:val="000000"/>
          <w:sz w:val="20"/>
          <w:szCs w:val="20"/>
        </w:rPr>
        <w:t xml:space="preserve"> The acquisition method of accounting is used to account for the acquisition of subsidiaries </w:t>
      </w:r>
      <w:r>
        <w:rPr>
          <w:color w:val="0000FF"/>
          <w:sz w:val="20"/>
          <w:szCs w:val="20"/>
        </w:rPr>
        <w:t>[other than those acquired from parties under common control]</w:t>
      </w:r>
      <w:r>
        <w:rPr>
          <w:color w:val="002060"/>
          <w:sz w:val="20"/>
          <w:szCs w:val="20"/>
        </w:rPr>
        <w:t>.</w:t>
      </w:r>
      <w:r>
        <w:rPr>
          <w:color w:val="000000"/>
          <w:sz w:val="20"/>
          <w:szCs w:val="20"/>
        </w:rPr>
        <w:t xml:space="preserve"> Identifiable assets acquired and liabilities and contingent liabilities assumed in a business combination are measured at their fair values at the acquisition date, irrespective of the extent of any non-controlling interest. </w:t>
      </w:r>
    </w:p>
    <w:p w14:paraId="7D02DFC3" w14:textId="77777777" w:rsidR="008E5DE4" w:rsidRDefault="00780368">
      <w:pPr>
        <w:widowControl w:val="0"/>
        <w:shd w:val="clear" w:color="auto" w:fill="C6D9F1"/>
        <w:spacing w:before="200" w:after="200"/>
        <w:jc w:val="both"/>
        <w:rPr>
          <w:color w:val="000000"/>
          <w:sz w:val="20"/>
          <w:szCs w:val="20"/>
        </w:rPr>
      </w:pPr>
      <w:r>
        <w:rPr>
          <w:color w:val="000000"/>
          <w:sz w:val="20"/>
          <w:szCs w:val="20"/>
        </w:rPr>
        <w:t xml:space="preserve">The consideration transferred for the acquiree is measured at the fair value of the assets given up, equity instruments </w:t>
      </w:r>
      <w:proofErr w:type="gramStart"/>
      <w:r>
        <w:rPr>
          <w:color w:val="000000"/>
          <w:sz w:val="20"/>
          <w:szCs w:val="20"/>
        </w:rPr>
        <w:t>issued</w:t>
      </w:r>
      <w:proofErr w:type="gramEnd"/>
      <w:r>
        <w:rPr>
          <w:color w:val="000000"/>
          <w:sz w:val="20"/>
          <w:szCs w:val="20"/>
        </w:rPr>
        <w:t xml:space="preserve"> and liabilities incurred or assumed, including the fair value of assets or liabilities from contingent consideration arrangements, but excludes acquisition related costs such as advisory, legal, valuation and similar professional services. Transaction costs related to the acquisition of and incurred for issuing equity instruments are deducted from equity; transaction costs incurred for issuing debt as part of the business combination are deducted from the carrying amount of the debt and all other transaction costs associated with the acquisition are expensed.</w:t>
      </w:r>
    </w:p>
    <w:p w14:paraId="724F27F5" w14:textId="336E0ABD" w:rsidR="008E5DE4" w:rsidRDefault="00780368">
      <w:pPr>
        <w:widowControl w:val="0"/>
        <w:pBdr>
          <w:top w:val="nil"/>
          <w:left w:val="nil"/>
          <w:bottom w:val="nil"/>
          <w:right w:val="nil"/>
          <w:between w:val="nil"/>
        </w:pBdr>
        <w:shd w:val="clear" w:color="auto" w:fill="C6D9F1"/>
        <w:spacing w:before="200" w:after="200"/>
        <w:jc w:val="both"/>
        <w:rPr>
          <w:color w:val="0000FF"/>
          <w:sz w:val="20"/>
          <w:szCs w:val="20"/>
        </w:rPr>
      </w:pPr>
      <w:r>
        <w:rPr>
          <w:b/>
          <w:i/>
          <w:color w:val="000000"/>
          <w:sz w:val="20"/>
          <w:szCs w:val="20"/>
        </w:rPr>
        <w:t xml:space="preserve">Purchases of subsidiaries from parties under common control. </w:t>
      </w:r>
      <w:r>
        <w:rPr>
          <w:color w:val="000000"/>
          <w:sz w:val="20"/>
          <w:szCs w:val="20"/>
        </w:rPr>
        <w:t xml:space="preserve">Purchases of subsidiaries from parties under common control are accounted for </w:t>
      </w:r>
      <w:r>
        <w:rPr>
          <w:color w:val="0000FF"/>
          <w:sz w:val="20"/>
          <w:szCs w:val="20"/>
        </w:rPr>
        <w:t>[in accordance with the acquisition method of accounting]</w:t>
      </w:r>
      <w:r>
        <w:rPr>
          <w:color w:val="000000"/>
          <w:sz w:val="20"/>
          <w:szCs w:val="20"/>
        </w:rPr>
        <w:t xml:space="preserve"> / </w:t>
      </w:r>
      <w:r>
        <w:rPr>
          <w:color w:val="0000FF"/>
          <w:sz w:val="20"/>
          <w:szCs w:val="20"/>
        </w:rPr>
        <w:t xml:space="preserve">[using the predecessor values method]. Under the predecessor values method the consolidated financial statements of the combined entity are presented [as if the businesses had been combined from the beginning of the earliest period presented or, if later, the date when the combining entities were first brought under common control] / [prospectively from the date of transaction]. The assets and liabilities of the subsidiary transferred under common control are recognised at the predecessor entity’s carrying amounts. </w:t>
      </w:r>
    </w:p>
    <w:p w14:paraId="61BCE667" w14:textId="77777777" w:rsidR="008E5DE4" w:rsidRDefault="00780368">
      <w:pPr>
        <w:widowControl w:val="0"/>
        <w:pBdr>
          <w:top w:val="nil"/>
          <w:left w:val="nil"/>
          <w:bottom w:val="nil"/>
          <w:right w:val="nil"/>
          <w:between w:val="nil"/>
        </w:pBdr>
        <w:shd w:val="clear" w:color="auto" w:fill="C6D9F1"/>
        <w:spacing w:before="200" w:after="200"/>
        <w:jc w:val="both"/>
        <w:rPr>
          <w:b/>
          <w:color w:val="000000"/>
          <w:sz w:val="20"/>
          <w:szCs w:val="20"/>
        </w:rPr>
      </w:pPr>
      <w:r>
        <w:rPr>
          <w:color w:val="0000FF"/>
          <w:sz w:val="20"/>
          <w:szCs w:val="20"/>
        </w:rPr>
        <w:t xml:space="preserve">The predecessor entity </w:t>
      </w:r>
      <w:proofErr w:type="gramStart"/>
      <w:r>
        <w:rPr>
          <w:color w:val="0000FF"/>
          <w:sz w:val="20"/>
          <w:szCs w:val="20"/>
        </w:rPr>
        <w:t>is considered to be</w:t>
      </w:r>
      <w:proofErr w:type="gramEnd"/>
      <w:r>
        <w:rPr>
          <w:color w:val="0000FF"/>
          <w:sz w:val="20"/>
          <w:szCs w:val="20"/>
        </w:rPr>
        <w:t xml:space="preserve"> the highest reporting entity in which the subsidiary’s financial information prepared in compliance with IFRS Accounting Standards was consolidated. Related goodwill inherent in the predecessor entity’s original acquisitions is also recorded in these consolidated financial statements. Any difference between the carrying amount of net assets, including the predecessor entity's goodwill, and the consideration for the acquisition is accounted for in these consolidated financial statements as an adjustment </w:t>
      </w:r>
      <w:r w:rsidRPr="007F183E">
        <w:rPr>
          <w:color w:val="0000FF"/>
          <w:sz w:val="20"/>
          <w:szCs w:val="20"/>
        </w:rPr>
        <w:t>to [other reserves / merger reserves]</w:t>
      </w:r>
      <w:r w:rsidRPr="009D6ED6">
        <w:rPr>
          <w:color w:val="0000FF"/>
          <w:sz w:val="20"/>
          <w:szCs w:val="20"/>
        </w:rPr>
        <w:t xml:space="preserve"> within </w:t>
      </w:r>
      <w:r>
        <w:rPr>
          <w:color w:val="0000FF"/>
          <w:sz w:val="20"/>
          <w:szCs w:val="20"/>
        </w:rPr>
        <w:t>equity]</w:t>
      </w:r>
      <w:r>
        <w:rPr>
          <w:color w:val="000000"/>
          <w:sz w:val="20"/>
          <w:szCs w:val="20"/>
        </w:rPr>
        <w:t xml:space="preserve">. </w:t>
      </w:r>
    </w:p>
    <w:p w14:paraId="26DFD5C3"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50</w:t>
      </w:r>
      <w:r>
        <w:rPr>
          <w:b/>
          <w:color w:val="000000"/>
          <w:sz w:val="20"/>
          <w:szCs w:val="20"/>
        </w:rPr>
        <w:tab/>
        <w:t>Business Combinations (Continued)</w:t>
      </w:r>
    </w:p>
    <w:p w14:paraId="7418533B" w14:textId="39A57023"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On _____ </w:t>
      </w:r>
      <w:r w:rsidR="008614F8">
        <w:rPr>
          <w:color w:val="000000"/>
          <w:sz w:val="20"/>
          <w:szCs w:val="20"/>
        </w:rPr>
        <w:t>2025</w:t>
      </w:r>
      <w:r>
        <w:rPr>
          <w:color w:val="000000"/>
          <w:sz w:val="20"/>
          <w:szCs w:val="20"/>
        </w:rPr>
        <w:t xml:space="preserve"> the Group acquired _____% of the share capital of _____ and obtained control through its ability to cast a majority of votes in the general meeting of shareholders. The acquired subsidiary will increase the Group’s penetration of its chosen retail and corporate markets and is expected to improve profitability through the economies of scale.</w:t>
      </w:r>
    </w:p>
    <w:p w14:paraId="643E03E1"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acquisition-date fair value of the total purchase consideration and its components are as follows:</w:t>
      </w:r>
    </w:p>
    <w:tbl>
      <w:tblPr>
        <w:tblStyle w:val="afffffffffffff2"/>
        <w:tblW w:w="9356" w:type="dxa"/>
        <w:tblLayout w:type="fixed"/>
        <w:tblLook w:val="0000" w:firstRow="0" w:lastRow="0" w:firstColumn="0" w:lastColumn="0" w:noHBand="0" w:noVBand="0"/>
      </w:tblPr>
      <w:tblGrid>
        <w:gridCol w:w="7513"/>
        <w:gridCol w:w="1843"/>
      </w:tblGrid>
      <w:tr w:rsidR="008E5DE4" w14:paraId="13CFE4DF" w14:textId="77777777">
        <w:trPr>
          <w:cantSplit/>
        </w:trPr>
        <w:tc>
          <w:tcPr>
            <w:tcW w:w="7513" w:type="dxa"/>
            <w:tcBorders>
              <w:bottom w:val="single" w:sz="4" w:space="0" w:color="000000"/>
            </w:tcBorders>
            <w:vAlign w:val="bottom"/>
          </w:tcPr>
          <w:p w14:paraId="3A27BBE9"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843" w:type="dxa"/>
            <w:tcBorders>
              <w:bottom w:val="single" w:sz="4" w:space="0" w:color="000000"/>
            </w:tcBorders>
            <w:vAlign w:val="bottom"/>
          </w:tcPr>
          <w:p w14:paraId="2160A613" w14:textId="77777777" w:rsidR="008E5DE4" w:rsidRDefault="00780368">
            <w:pPr>
              <w:widowControl w:val="0"/>
              <w:pBdr>
                <w:top w:val="nil"/>
                <w:left w:val="nil"/>
                <w:bottom w:val="nil"/>
                <w:right w:val="nil"/>
                <w:between w:val="nil"/>
              </w:pBdr>
              <w:jc w:val="right"/>
              <w:rPr>
                <w:color w:val="000000"/>
              </w:rPr>
            </w:pPr>
            <w:r>
              <w:rPr>
                <w:color w:val="000000"/>
              </w:rPr>
              <w:t xml:space="preserve">At </w:t>
            </w:r>
            <w:r>
              <w:rPr>
                <w:color w:val="0000FF"/>
              </w:rPr>
              <w:t>[acquisition date]</w:t>
            </w:r>
          </w:p>
        </w:tc>
      </w:tr>
      <w:tr w:rsidR="008E5DE4" w14:paraId="738723E1" w14:textId="77777777">
        <w:trPr>
          <w:cantSplit/>
        </w:trPr>
        <w:tc>
          <w:tcPr>
            <w:tcW w:w="7513" w:type="dxa"/>
            <w:tcBorders>
              <w:top w:val="single" w:sz="4" w:space="0" w:color="000000"/>
            </w:tcBorders>
            <w:vAlign w:val="bottom"/>
          </w:tcPr>
          <w:p w14:paraId="298BFAC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843" w:type="dxa"/>
            <w:tcBorders>
              <w:top w:val="single" w:sz="4" w:space="0" w:color="000000"/>
            </w:tcBorders>
            <w:vAlign w:val="bottom"/>
          </w:tcPr>
          <w:p w14:paraId="7A2188B9" w14:textId="77777777" w:rsidR="008E5DE4" w:rsidRDefault="008E5DE4">
            <w:pPr>
              <w:widowControl w:val="0"/>
              <w:pBdr>
                <w:top w:val="nil"/>
                <w:left w:val="nil"/>
                <w:bottom w:val="nil"/>
                <w:right w:val="nil"/>
                <w:between w:val="nil"/>
              </w:pBdr>
              <w:jc w:val="right"/>
              <w:rPr>
                <w:color w:val="000000"/>
              </w:rPr>
            </w:pPr>
          </w:p>
        </w:tc>
      </w:tr>
      <w:tr w:rsidR="008E5DE4" w14:paraId="0C4F2137" w14:textId="77777777">
        <w:trPr>
          <w:cantSplit/>
        </w:trPr>
        <w:tc>
          <w:tcPr>
            <w:tcW w:w="7513" w:type="dxa"/>
            <w:vAlign w:val="bottom"/>
          </w:tcPr>
          <w:p w14:paraId="2278668D" w14:textId="77777777" w:rsidR="008E5DE4" w:rsidRDefault="00780368">
            <w:pPr>
              <w:widowControl w:val="0"/>
              <w:pBdr>
                <w:top w:val="nil"/>
                <w:left w:val="nil"/>
                <w:bottom w:val="nil"/>
                <w:right w:val="nil"/>
                <w:between w:val="nil"/>
              </w:pBdr>
              <w:ind w:left="113" w:right="-57" w:hanging="113"/>
              <w:rPr>
                <w:color w:val="000000"/>
              </w:rPr>
            </w:pPr>
            <w:r>
              <w:rPr>
                <w:color w:val="000000"/>
              </w:rPr>
              <w:t>Cash consideration paid</w:t>
            </w:r>
          </w:p>
        </w:tc>
        <w:tc>
          <w:tcPr>
            <w:tcW w:w="1843" w:type="dxa"/>
            <w:vAlign w:val="bottom"/>
          </w:tcPr>
          <w:p w14:paraId="0002F3C9" w14:textId="77777777" w:rsidR="008E5DE4" w:rsidRDefault="008E5DE4">
            <w:pPr>
              <w:widowControl w:val="0"/>
              <w:pBdr>
                <w:top w:val="nil"/>
                <w:left w:val="nil"/>
                <w:bottom w:val="nil"/>
                <w:right w:val="nil"/>
                <w:between w:val="nil"/>
              </w:pBdr>
              <w:jc w:val="right"/>
              <w:rPr>
                <w:b/>
                <w:color w:val="000000"/>
              </w:rPr>
            </w:pPr>
          </w:p>
        </w:tc>
      </w:tr>
      <w:tr w:rsidR="008E5DE4" w14:paraId="2D17EC15" w14:textId="77777777">
        <w:trPr>
          <w:cantSplit/>
        </w:trPr>
        <w:tc>
          <w:tcPr>
            <w:tcW w:w="7513" w:type="dxa"/>
            <w:vAlign w:val="bottom"/>
          </w:tcPr>
          <w:p w14:paraId="52BA017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Fair value of new issued shares of the acquirer </w:t>
            </w:r>
          </w:p>
        </w:tc>
        <w:tc>
          <w:tcPr>
            <w:tcW w:w="1843" w:type="dxa"/>
            <w:vAlign w:val="bottom"/>
          </w:tcPr>
          <w:p w14:paraId="44D7FD29" w14:textId="77777777" w:rsidR="008E5DE4" w:rsidRDefault="008E5DE4">
            <w:pPr>
              <w:widowControl w:val="0"/>
              <w:pBdr>
                <w:top w:val="nil"/>
                <w:left w:val="nil"/>
                <w:bottom w:val="nil"/>
                <w:right w:val="nil"/>
                <w:between w:val="nil"/>
              </w:pBdr>
              <w:jc w:val="right"/>
              <w:rPr>
                <w:color w:val="000000"/>
              </w:rPr>
            </w:pPr>
          </w:p>
        </w:tc>
      </w:tr>
      <w:tr w:rsidR="008E5DE4" w14:paraId="73EDCE08" w14:textId="77777777">
        <w:trPr>
          <w:cantSplit/>
        </w:trPr>
        <w:tc>
          <w:tcPr>
            <w:tcW w:w="7513" w:type="dxa"/>
            <w:vAlign w:val="bottom"/>
          </w:tcPr>
          <w:p w14:paraId="09C8A179" w14:textId="77777777" w:rsidR="008E5DE4" w:rsidRDefault="00780368">
            <w:pPr>
              <w:widowControl w:val="0"/>
              <w:pBdr>
                <w:top w:val="nil"/>
                <w:left w:val="nil"/>
                <w:bottom w:val="nil"/>
                <w:right w:val="nil"/>
                <w:between w:val="nil"/>
              </w:pBdr>
              <w:ind w:left="113" w:right="-57" w:hanging="113"/>
              <w:rPr>
                <w:color w:val="000000"/>
              </w:rPr>
            </w:pPr>
            <w:r>
              <w:rPr>
                <w:color w:val="000000"/>
              </w:rPr>
              <w:t>Tangible or intangible assets of acquirer transferred</w:t>
            </w:r>
          </w:p>
        </w:tc>
        <w:tc>
          <w:tcPr>
            <w:tcW w:w="1843" w:type="dxa"/>
            <w:vAlign w:val="bottom"/>
          </w:tcPr>
          <w:p w14:paraId="70E74924" w14:textId="77777777" w:rsidR="008E5DE4" w:rsidRDefault="008E5DE4">
            <w:pPr>
              <w:widowControl w:val="0"/>
              <w:pBdr>
                <w:top w:val="nil"/>
                <w:left w:val="nil"/>
                <w:bottom w:val="nil"/>
                <w:right w:val="nil"/>
                <w:between w:val="nil"/>
              </w:pBdr>
              <w:jc w:val="right"/>
              <w:rPr>
                <w:color w:val="000000"/>
              </w:rPr>
            </w:pPr>
          </w:p>
        </w:tc>
      </w:tr>
      <w:tr w:rsidR="008E5DE4" w14:paraId="7360A636" w14:textId="77777777">
        <w:trPr>
          <w:cantSplit/>
        </w:trPr>
        <w:tc>
          <w:tcPr>
            <w:tcW w:w="7513" w:type="dxa"/>
            <w:vAlign w:val="bottom"/>
          </w:tcPr>
          <w:p w14:paraId="0505EEBD" w14:textId="77777777" w:rsidR="008E5DE4" w:rsidRDefault="00780368">
            <w:pPr>
              <w:widowControl w:val="0"/>
              <w:pBdr>
                <w:top w:val="nil"/>
                <w:left w:val="nil"/>
                <w:bottom w:val="nil"/>
                <w:right w:val="nil"/>
                <w:between w:val="nil"/>
              </w:pBdr>
              <w:ind w:left="113" w:right="-57" w:hanging="113"/>
              <w:rPr>
                <w:color w:val="000000"/>
              </w:rPr>
            </w:pPr>
            <w:r>
              <w:rPr>
                <w:color w:val="000000"/>
              </w:rPr>
              <w:t>Liability for contingent consideration incurred</w:t>
            </w:r>
          </w:p>
        </w:tc>
        <w:tc>
          <w:tcPr>
            <w:tcW w:w="1843" w:type="dxa"/>
            <w:vAlign w:val="bottom"/>
          </w:tcPr>
          <w:p w14:paraId="4FA47671" w14:textId="77777777" w:rsidR="008E5DE4" w:rsidRDefault="008E5DE4">
            <w:pPr>
              <w:widowControl w:val="0"/>
              <w:pBdr>
                <w:top w:val="nil"/>
                <w:left w:val="nil"/>
                <w:bottom w:val="nil"/>
                <w:right w:val="nil"/>
                <w:between w:val="nil"/>
              </w:pBdr>
              <w:jc w:val="right"/>
              <w:rPr>
                <w:color w:val="000000"/>
              </w:rPr>
            </w:pPr>
          </w:p>
        </w:tc>
      </w:tr>
      <w:tr w:rsidR="008E5DE4" w14:paraId="39B2AC1A" w14:textId="77777777">
        <w:trPr>
          <w:cantSplit/>
        </w:trPr>
        <w:tc>
          <w:tcPr>
            <w:tcW w:w="7513" w:type="dxa"/>
            <w:tcBorders>
              <w:bottom w:val="single" w:sz="4" w:space="0" w:color="000000"/>
            </w:tcBorders>
            <w:vAlign w:val="bottom"/>
          </w:tcPr>
          <w:p w14:paraId="5DD56BA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843" w:type="dxa"/>
            <w:tcBorders>
              <w:bottom w:val="single" w:sz="4" w:space="0" w:color="000000"/>
            </w:tcBorders>
            <w:vAlign w:val="bottom"/>
          </w:tcPr>
          <w:p w14:paraId="5F9030F2" w14:textId="77777777" w:rsidR="008E5DE4" w:rsidRDefault="008E5DE4">
            <w:pPr>
              <w:widowControl w:val="0"/>
              <w:pBdr>
                <w:top w:val="nil"/>
                <w:left w:val="nil"/>
                <w:bottom w:val="nil"/>
                <w:right w:val="nil"/>
                <w:between w:val="nil"/>
              </w:pBdr>
              <w:jc w:val="right"/>
              <w:rPr>
                <w:color w:val="000000"/>
              </w:rPr>
            </w:pPr>
          </w:p>
        </w:tc>
      </w:tr>
      <w:tr w:rsidR="008E5DE4" w14:paraId="0F36AA7E" w14:textId="77777777">
        <w:trPr>
          <w:cantSplit/>
        </w:trPr>
        <w:tc>
          <w:tcPr>
            <w:tcW w:w="7513" w:type="dxa"/>
            <w:vAlign w:val="bottom"/>
          </w:tcPr>
          <w:p w14:paraId="1681226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843" w:type="dxa"/>
            <w:vAlign w:val="bottom"/>
          </w:tcPr>
          <w:p w14:paraId="7311DC20" w14:textId="77777777" w:rsidR="008E5DE4" w:rsidRDefault="008E5DE4">
            <w:pPr>
              <w:widowControl w:val="0"/>
              <w:pBdr>
                <w:top w:val="nil"/>
                <w:left w:val="nil"/>
                <w:bottom w:val="nil"/>
                <w:right w:val="nil"/>
                <w:between w:val="nil"/>
              </w:pBdr>
              <w:jc w:val="right"/>
              <w:rPr>
                <w:color w:val="000000"/>
              </w:rPr>
            </w:pPr>
          </w:p>
        </w:tc>
      </w:tr>
      <w:tr w:rsidR="008E5DE4" w14:paraId="78CF1889" w14:textId="77777777">
        <w:trPr>
          <w:cantSplit/>
        </w:trPr>
        <w:tc>
          <w:tcPr>
            <w:tcW w:w="7513" w:type="dxa"/>
            <w:vAlign w:val="bottom"/>
          </w:tcPr>
          <w:p w14:paraId="3F3768C8"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consideration transferred</w:t>
            </w:r>
          </w:p>
        </w:tc>
        <w:tc>
          <w:tcPr>
            <w:tcW w:w="1843" w:type="dxa"/>
            <w:vAlign w:val="bottom"/>
          </w:tcPr>
          <w:p w14:paraId="4BBBA5A9" w14:textId="77777777" w:rsidR="008E5DE4" w:rsidRDefault="008E5DE4">
            <w:pPr>
              <w:widowControl w:val="0"/>
              <w:pBdr>
                <w:top w:val="nil"/>
                <w:left w:val="nil"/>
                <w:bottom w:val="nil"/>
                <w:right w:val="nil"/>
                <w:between w:val="nil"/>
              </w:pBdr>
              <w:jc w:val="right"/>
              <w:rPr>
                <w:b/>
                <w:color w:val="000000"/>
              </w:rPr>
            </w:pPr>
          </w:p>
        </w:tc>
      </w:tr>
      <w:tr w:rsidR="008E5DE4" w14:paraId="42A9A31A" w14:textId="77777777">
        <w:trPr>
          <w:cantSplit/>
        </w:trPr>
        <w:tc>
          <w:tcPr>
            <w:tcW w:w="7513" w:type="dxa"/>
            <w:tcBorders>
              <w:bottom w:val="single" w:sz="4" w:space="0" w:color="000000"/>
            </w:tcBorders>
            <w:vAlign w:val="bottom"/>
          </w:tcPr>
          <w:p w14:paraId="3BED3F4C"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1843" w:type="dxa"/>
            <w:tcBorders>
              <w:bottom w:val="single" w:sz="4" w:space="0" w:color="000000"/>
            </w:tcBorders>
            <w:vAlign w:val="bottom"/>
          </w:tcPr>
          <w:p w14:paraId="17A22672" w14:textId="77777777" w:rsidR="008E5DE4" w:rsidRDefault="008E5DE4">
            <w:pPr>
              <w:widowControl w:val="0"/>
              <w:pBdr>
                <w:top w:val="nil"/>
                <w:left w:val="nil"/>
                <w:bottom w:val="nil"/>
                <w:right w:val="nil"/>
                <w:between w:val="nil"/>
              </w:pBdr>
              <w:jc w:val="right"/>
              <w:rPr>
                <w:b/>
                <w:color w:val="000000"/>
              </w:rPr>
            </w:pPr>
          </w:p>
        </w:tc>
      </w:tr>
      <w:tr w:rsidR="008E5DE4" w14:paraId="48E25F1B" w14:textId="77777777">
        <w:trPr>
          <w:cantSplit/>
        </w:trPr>
        <w:tc>
          <w:tcPr>
            <w:tcW w:w="7513" w:type="dxa"/>
            <w:tcBorders>
              <w:top w:val="single" w:sz="4" w:space="0" w:color="000000"/>
            </w:tcBorders>
            <w:vAlign w:val="bottom"/>
          </w:tcPr>
          <w:p w14:paraId="00E3056D"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1843" w:type="dxa"/>
            <w:tcBorders>
              <w:top w:val="single" w:sz="4" w:space="0" w:color="000000"/>
            </w:tcBorders>
            <w:vAlign w:val="bottom"/>
          </w:tcPr>
          <w:p w14:paraId="2053C612" w14:textId="77777777" w:rsidR="008E5DE4" w:rsidRDefault="008E5DE4">
            <w:pPr>
              <w:widowControl w:val="0"/>
              <w:pBdr>
                <w:top w:val="nil"/>
                <w:left w:val="nil"/>
                <w:bottom w:val="nil"/>
                <w:right w:val="nil"/>
                <w:between w:val="nil"/>
              </w:pBdr>
              <w:jc w:val="right"/>
              <w:rPr>
                <w:b/>
                <w:color w:val="000000"/>
              </w:rPr>
            </w:pPr>
          </w:p>
        </w:tc>
      </w:tr>
      <w:tr w:rsidR="008E5DE4" w14:paraId="0ADD6BF9" w14:textId="77777777">
        <w:trPr>
          <w:cantSplit/>
        </w:trPr>
        <w:tc>
          <w:tcPr>
            <w:tcW w:w="7513" w:type="dxa"/>
            <w:vAlign w:val="bottom"/>
          </w:tcPr>
          <w:p w14:paraId="2F67677D" w14:textId="77777777" w:rsidR="008E5DE4" w:rsidRDefault="00780368">
            <w:pPr>
              <w:widowControl w:val="0"/>
              <w:pBdr>
                <w:top w:val="nil"/>
                <w:left w:val="nil"/>
                <w:bottom w:val="nil"/>
                <w:right w:val="nil"/>
                <w:between w:val="nil"/>
              </w:pBdr>
              <w:ind w:left="113" w:right="-57" w:hanging="113"/>
              <w:rPr>
                <w:color w:val="000000"/>
              </w:rPr>
            </w:pPr>
            <w:r>
              <w:rPr>
                <w:color w:val="000000"/>
              </w:rPr>
              <w:t>Less remuneration for future services of the former owner</w:t>
            </w:r>
          </w:p>
        </w:tc>
        <w:tc>
          <w:tcPr>
            <w:tcW w:w="1843" w:type="dxa"/>
            <w:vAlign w:val="bottom"/>
          </w:tcPr>
          <w:p w14:paraId="2CF9EBF2" w14:textId="77777777" w:rsidR="008E5DE4" w:rsidRDefault="008E5DE4">
            <w:pPr>
              <w:widowControl w:val="0"/>
              <w:pBdr>
                <w:top w:val="nil"/>
                <w:left w:val="nil"/>
                <w:bottom w:val="nil"/>
                <w:right w:val="nil"/>
                <w:between w:val="nil"/>
              </w:pBdr>
              <w:jc w:val="right"/>
              <w:rPr>
                <w:color w:val="000000"/>
              </w:rPr>
            </w:pPr>
          </w:p>
        </w:tc>
      </w:tr>
      <w:tr w:rsidR="008E5DE4" w14:paraId="12444607" w14:textId="77777777">
        <w:trPr>
          <w:cantSplit/>
        </w:trPr>
        <w:tc>
          <w:tcPr>
            <w:tcW w:w="7513" w:type="dxa"/>
            <w:vAlign w:val="bottom"/>
          </w:tcPr>
          <w:p w14:paraId="6B83E6C0" w14:textId="77777777" w:rsidR="008E5DE4" w:rsidRDefault="00780368">
            <w:pPr>
              <w:widowControl w:val="0"/>
              <w:pBdr>
                <w:top w:val="nil"/>
                <w:left w:val="nil"/>
                <w:bottom w:val="nil"/>
                <w:right w:val="nil"/>
                <w:between w:val="nil"/>
              </w:pBdr>
              <w:ind w:left="113" w:right="-57" w:hanging="113"/>
              <w:rPr>
                <w:color w:val="000000"/>
              </w:rPr>
            </w:pPr>
            <w:r>
              <w:rPr>
                <w:color w:val="000000"/>
              </w:rPr>
              <w:t>Less indemnification asset</w:t>
            </w:r>
          </w:p>
        </w:tc>
        <w:tc>
          <w:tcPr>
            <w:tcW w:w="1843" w:type="dxa"/>
            <w:vAlign w:val="bottom"/>
          </w:tcPr>
          <w:p w14:paraId="3E3855E7" w14:textId="77777777" w:rsidR="008E5DE4" w:rsidRDefault="008E5DE4">
            <w:pPr>
              <w:widowControl w:val="0"/>
              <w:pBdr>
                <w:top w:val="nil"/>
                <w:left w:val="nil"/>
                <w:bottom w:val="nil"/>
                <w:right w:val="nil"/>
                <w:between w:val="nil"/>
              </w:pBdr>
              <w:jc w:val="right"/>
              <w:rPr>
                <w:color w:val="000000"/>
              </w:rPr>
            </w:pPr>
          </w:p>
        </w:tc>
      </w:tr>
      <w:tr w:rsidR="008E5DE4" w14:paraId="1E3A34B3" w14:textId="77777777">
        <w:trPr>
          <w:cantSplit/>
        </w:trPr>
        <w:tc>
          <w:tcPr>
            <w:tcW w:w="7513" w:type="dxa"/>
            <w:vAlign w:val="bottom"/>
          </w:tcPr>
          <w:p w14:paraId="603F3C7A"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Investment in the acquiree prior to the acquisition </w:t>
            </w:r>
          </w:p>
        </w:tc>
        <w:tc>
          <w:tcPr>
            <w:tcW w:w="1843" w:type="dxa"/>
            <w:vAlign w:val="bottom"/>
          </w:tcPr>
          <w:p w14:paraId="75000E87" w14:textId="77777777" w:rsidR="008E5DE4" w:rsidRDefault="008E5DE4">
            <w:pPr>
              <w:widowControl w:val="0"/>
              <w:pBdr>
                <w:top w:val="nil"/>
                <w:left w:val="nil"/>
                <w:bottom w:val="nil"/>
                <w:right w:val="nil"/>
                <w:between w:val="nil"/>
              </w:pBdr>
              <w:jc w:val="right"/>
              <w:rPr>
                <w:color w:val="000000"/>
              </w:rPr>
            </w:pPr>
          </w:p>
        </w:tc>
      </w:tr>
      <w:tr w:rsidR="008E5DE4" w14:paraId="5BB0805B" w14:textId="77777777">
        <w:trPr>
          <w:cantSplit/>
        </w:trPr>
        <w:tc>
          <w:tcPr>
            <w:tcW w:w="7513" w:type="dxa"/>
            <w:tcBorders>
              <w:bottom w:val="single" w:sz="4" w:space="0" w:color="000000"/>
            </w:tcBorders>
            <w:vAlign w:val="bottom"/>
          </w:tcPr>
          <w:p w14:paraId="3A0480FB" w14:textId="77777777" w:rsidR="008E5DE4" w:rsidRDefault="008E5DE4">
            <w:pPr>
              <w:widowControl w:val="0"/>
              <w:pBdr>
                <w:top w:val="nil"/>
                <w:left w:val="nil"/>
                <w:bottom w:val="nil"/>
                <w:right w:val="nil"/>
                <w:between w:val="nil"/>
              </w:pBdr>
              <w:ind w:left="113" w:right="-57" w:hanging="113"/>
              <w:rPr>
                <w:color w:val="000000"/>
              </w:rPr>
            </w:pPr>
          </w:p>
        </w:tc>
        <w:tc>
          <w:tcPr>
            <w:tcW w:w="1843" w:type="dxa"/>
            <w:tcBorders>
              <w:bottom w:val="single" w:sz="4" w:space="0" w:color="000000"/>
            </w:tcBorders>
            <w:vAlign w:val="bottom"/>
          </w:tcPr>
          <w:p w14:paraId="59D501BC" w14:textId="77777777" w:rsidR="008E5DE4" w:rsidRDefault="008E5DE4">
            <w:pPr>
              <w:widowControl w:val="0"/>
              <w:pBdr>
                <w:top w:val="nil"/>
                <w:left w:val="nil"/>
                <w:bottom w:val="nil"/>
                <w:right w:val="nil"/>
                <w:between w:val="nil"/>
              </w:pBdr>
              <w:jc w:val="right"/>
              <w:rPr>
                <w:color w:val="000000"/>
              </w:rPr>
            </w:pPr>
          </w:p>
        </w:tc>
      </w:tr>
      <w:tr w:rsidR="008E5DE4" w14:paraId="4E2DB25D" w14:textId="77777777">
        <w:trPr>
          <w:cantSplit/>
        </w:trPr>
        <w:tc>
          <w:tcPr>
            <w:tcW w:w="7513" w:type="dxa"/>
            <w:tcBorders>
              <w:top w:val="single" w:sz="4" w:space="0" w:color="000000"/>
            </w:tcBorders>
            <w:vAlign w:val="bottom"/>
          </w:tcPr>
          <w:p w14:paraId="1D3914F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843" w:type="dxa"/>
            <w:tcBorders>
              <w:top w:val="single" w:sz="4" w:space="0" w:color="000000"/>
            </w:tcBorders>
            <w:vAlign w:val="bottom"/>
          </w:tcPr>
          <w:p w14:paraId="31E58BB7" w14:textId="77777777" w:rsidR="008E5DE4" w:rsidRDefault="008E5DE4">
            <w:pPr>
              <w:widowControl w:val="0"/>
              <w:pBdr>
                <w:top w:val="nil"/>
                <w:left w:val="nil"/>
                <w:bottom w:val="nil"/>
                <w:right w:val="nil"/>
                <w:between w:val="nil"/>
              </w:pBdr>
              <w:jc w:val="right"/>
              <w:rPr>
                <w:b/>
                <w:color w:val="000000"/>
              </w:rPr>
            </w:pPr>
          </w:p>
        </w:tc>
      </w:tr>
      <w:tr w:rsidR="008E5DE4" w14:paraId="5764E2E7" w14:textId="77777777">
        <w:trPr>
          <w:cantSplit/>
        </w:trPr>
        <w:tc>
          <w:tcPr>
            <w:tcW w:w="7513" w:type="dxa"/>
            <w:vAlign w:val="bottom"/>
          </w:tcPr>
          <w:p w14:paraId="4A206D2E"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purchase consideration and previously held interest in the acquiree</w:t>
            </w:r>
          </w:p>
        </w:tc>
        <w:tc>
          <w:tcPr>
            <w:tcW w:w="1843" w:type="dxa"/>
            <w:vAlign w:val="bottom"/>
          </w:tcPr>
          <w:p w14:paraId="59095DEB" w14:textId="77777777" w:rsidR="008E5DE4" w:rsidRDefault="008E5DE4">
            <w:pPr>
              <w:widowControl w:val="0"/>
              <w:pBdr>
                <w:top w:val="nil"/>
                <w:left w:val="nil"/>
                <w:bottom w:val="nil"/>
                <w:right w:val="nil"/>
                <w:between w:val="nil"/>
              </w:pBdr>
              <w:jc w:val="right"/>
              <w:rPr>
                <w:b/>
                <w:color w:val="000000"/>
              </w:rPr>
            </w:pPr>
          </w:p>
        </w:tc>
      </w:tr>
      <w:tr w:rsidR="008E5DE4" w14:paraId="36B6062D" w14:textId="77777777">
        <w:trPr>
          <w:cantSplit/>
        </w:trPr>
        <w:tc>
          <w:tcPr>
            <w:tcW w:w="7513" w:type="dxa"/>
            <w:tcBorders>
              <w:bottom w:val="single" w:sz="12" w:space="0" w:color="000000"/>
            </w:tcBorders>
            <w:vAlign w:val="bottom"/>
          </w:tcPr>
          <w:p w14:paraId="54618C4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1843" w:type="dxa"/>
            <w:tcBorders>
              <w:bottom w:val="single" w:sz="12" w:space="0" w:color="000000"/>
            </w:tcBorders>
            <w:vAlign w:val="bottom"/>
          </w:tcPr>
          <w:p w14:paraId="3D4FBA97" w14:textId="77777777" w:rsidR="008E5DE4" w:rsidRDefault="008E5DE4">
            <w:pPr>
              <w:widowControl w:val="0"/>
              <w:pBdr>
                <w:top w:val="nil"/>
                <w:left w:val="nil"/>
                <w:bottom w:val="nil"/>
                <w:right w:val="nil"/>
                <w:between w:val="nil"/>
              </w:pBdr>
              <w:jc w:val="right"/>
              <w:rPr>
                <w:b/>
                <w:color w:val="000000"/>
              </w:rPr>
            </w:pPr>
          </w:p>
        </w:tc>
      </w:tr>
    </w:tbl>
    <w:p w14:paraId="0017C597"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investment in the acquiree held prior to the acquisition was remeasured to its fair value at the acquisition date and a gain of EUR ____ thousand was recognised in gains less losses on disposal of </w:t>
      </w:r>
      <w:r>
        <w:rPr>
          <w:color w:val="0000FF"/>
          <w:sz w:val="20"/>
          <w:szCs w:val="20"/>
        </w:rPr>
        <w:t>[available for sale investments]</w:t>
      </w:r>
      <w:r>
        <w:rPr>
          <w:color w:val="000000"/>
          <w:sz w:val="20"/>
          <w:szCs w:val="20"/>
        </w:rPr>
        <w:t xml:space="preserve">. The fair value of the new issued shares of the acquirer was determined </w:t>
      </w:r>
      <w:proofErr w:type="gramStart"/>
      <w:r>
        <w:rPr>
          <w:color w:val="000000"/>
          <w:sz w:val="20"/>
          <w:szCs w:val="20"/>
        </w:rPr>
        <w:t>on the basis of</w:t>
      </w:r>
      <w:proofErr w:type="gramEnd"/>
      <w:r>
        <w:rPr>
          <w:color w:val="000000"/>
          <w:sz w:val="20"/>
          <w:szCs w:val="20"/>
        </w:rPr>
        <w:t xml:space="preserve"> the closing market price of the ordinary shares on the acquisition date.</w:t>
      </w:r>
    </w:p>
    <w:p w14:paraId="2B03F225" w14:textId="175B1B71" w:rsidR="008E5DE4" w:rsidRDefault="00780368">
      <w:pPr>
        <w:widowControl w:val="0"/>
        <w:pBdr>
          <w:top w:val="nil"/>
          <w:left w:val="nil"/>
          <w:bottom w:val="nil"/>
          <w:right w:val="nil"/>
          <w:between w:val="nil"/>
        </w:pBdr>
        <w:spacing w:before="200" w:after="200"/>
        <w:jc w:val="both"/>
        <w:rPr>
          <w:i/>
          <w:color w:val="FF0000"/>
          <w:sz w:val="20"/>
          <w:szCs w:val="20"/>
        </w:rPr>
      </w:pPr>
      <w:r>
        <w:rPr>
          <w:color w:val="0000FF"/>
          <w:sz w:val="20"/>
          <w:szCs w:val="20"/>
        </w:rPr>
        <w:t xml:space="preserve">[The contingent consideration arrangement requires the Group to pay the former owners of the acquiree ____ per cent of the revenues of an unconsolidated equity investment owned by the acquiree, in excess </w:t>
      </w:r>
      <w:proofErr w:type="gramStart"/>
      <w:r>
        <w:rPr>
          <w:color w:val="0000FF"/>
          <w:sz w:val="20"/>
          <w:szCs w:val="20"/>
        </w:rPr>
        <w:t>of  EUR</w:t>
      </w:r>
      <w:proofErr w:type="gramEnd"/>
      <w:r>
        <w:rPr>
          <w:color w:val="0000FF"/>
          <w:sz w:val="20"/>
          <w:szCs w:val="20"/>
        </w:rPr>
        <w:t xml:space="preserve"> ____ thousand for </w:t>
      </w:r>
      <w:r w:rsidR="008614F8">
        <w:rPr>
          <w:color w:val="0000FF"/>
          <w:sz w:val="20"/>
          <w:szCs w:val="20"/>
        </w:rPr>
        <w:t>2025</w:t>
      </w:r>
      <w:r>
        <w:rPr>
          <w:color w:val="0000FF"/>
          <w:sz w:val="20"/>
          <w:szCs w:val="20"/>
        </w:rPr>
        <w:t xml:space="preserve">, up to a maximum amount of EUR _____ thousand (undiscounted). The potential undiscounted amount of all future payments that the Group could be required to make under the contingent consideration arrangement is between EUR _____ thousand and EUR _____ thousand. The fair value of the contingent consideration arrangement of EUR_____ thousand was estimated by applying the income approach. The fair value estimates are based on an assumed discount rate range of ____–____ per cent and assumed probability-adjusted revenues in the equity investee of EUR_____ thousand to EUR_____ thousand. As of 31 December </w:t>
      </w:r>
      <w:r w:rsidR="008614F8">
        <w:rPr>
          <w:color w:val="0000FF"/>
          <w:sz w:val="20"/>
          <w:szCs w:val="20"/>
        </w:rPr>
        <w:t>2025</w:t>
      </w:r>
      <w:r>
        <w:rPr>
          <w:color w:val="0000FF"/>
          <w:sz w:val="20"/>
          <w:szCs w:val="20"/>
        </w:rPr>
        <w:t>, neither the amount recognised for the contingent consideration arrangement, nor the range of outcomes or the assumptions used to develop the estimates had changed.]</w:t>
      </w:r>
      <w:r>
        <w:rPr>
          <w:i/>
          <w:color w:val="FF0000"/>
          <w:sz w:val="20"/>
          <w:szCs w:val="20"/>
        </w:rPr>
        <w:t xml:space="preserve"> </w:t>
      </w:r>
    </w:p>
    <w:p w14:paraId="516D4970" w14:textId="1A4B2F80"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Acquisition related transaction costs of EUR____ thousand were expensed as general and administrative expenses. The contractual acquisition arrangement included remuneration of EUR____ thousand for future services of the former owner. This amount was separated and will be expensed as employee benefits expense over a period of three years from acquisition. </w:t>
      </w:r>
    </w:p>
    <w:p w14:paraId="68A7268D"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50</w:t>
      </w:r>
      <w:r>
        <w:rPr>
          <w:b/>
          <w:color w:val="000000"/>
          <w:sz w:val="20"/>
          <w:szCs w:val="20"/>
        </w:rPr>
        <w:tab/>
        <w:t>Business Combinations (Continued)</w:t>
      </w:r>
    </w:p>
    <w:p w14:paraId="6F7ED965" w14:textId="6BCAAB41"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consideration paid by the Group was based on results of an external appraisal </w:t>
      </w:r>
      <w:r>
        <w:rPr>
          <w:color w:val="0000FF"/>
          <w:sz w:val="20"/>
          <w:szCs w:val="20"/>
        </w:rPr>
        <w:t>[, by an internationally recognised investment bank,]</w:t>
      </w:r>
      <w:r>
        <w:rPr>
          <w:color w:val="000000"/>
          <w:sz w:val="20"/>
          <w:szCs w:val="20"/>
        </w:rPr>
        <w:t xml:space="preserve"> of the acquiree’s business taken as a whole. However, in accordance with IFRS 3 “Business Combinations”, the Group must account for acquisitions based on the fair values of the identifiable assets acquired and liabilities and contingent liabilities assumed. These two different approaches can lead to differences; and, as set out in the table below, recognition of </w:t>
      </w:r>
      <w:r>
        <w:rPr>
          <w:color w:val="0000FF"/>
          <w:sz w:val="20"/>
          <w:szCs w:val="20"/>
        </w:rPr>
        <w:t>[goodwill] [the excess of the net fair value of the acquiree’s identifiable assets, liabilities and contingent liabilities over cost (“negative goodwill”) immediately in profit or loss for the year (as ‘excess of the net fair value of the acquiree’s identifiable assets, liabilities and contingent liabilities over the cost of the business combination’)]</w:t>
      </w:r>
      <w:r>
        <w:rPr>
          <w:color w:val="000000"/>
          <w:sz w:val="20"/>
          <w:szCs w:val="20"/>
        </w:rPr>
        <w:t>.</w:t>
      </w:r>
    </w:p>
    <w:p w14:paraId="7066E04A"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Details of the assets and liabilities </w:t>
      </w:r>
      <w:proofErr w:type="gramStart"/>
      <w:r>
        <w:rPr>
          <w:color w:val="000000"/>
          <w:sz w:val="20"/>
          <w:szCs w:val="20"/>
        </w:rPr>
        <w:t>acquired</w:t>
      </w:r>
      <w:proofErr w:type="gramEnd"/>
      <w:r>
        <w:rPr>
          <w:color w:val="000000"/>
          <w:sz w:val="20"/>
          <w:szCs w:val="20"/>
        </w:rPr>
        <w:t xml:space="preserve"> and goodwill arising are as follows:</w:t>
      </w:r>
    </w:p>
    <w:tbl>
      <w:tblPr>
        <w:tblStyle w:val="afffffffffffff3"/>
        <w:tblW w:w="9354" w:type="dxa"/>
        <w:tblLayout w:type="fixed"/>
        <w:tblLook w:val="0000" w:firstRow="0" w:lastRow="0" w:firstColumn="0" w:lastColumn="0" w:noHBand="0" w:noVBand="0"/>
      </w:tblPr>
      <w:tblGrid>
        <w:gridCol w:w="7143"/>
        <w:gridCol w:w="680"/>
        <w:gridCol w:w="1531"/>
      </w:tblGrid>
      <w:tr w:rsidR="008E5DE4" w14:paraId="1AD99CC3" w14:textId="77777777">
        <w:trPr>
          <w:cantSplit/>
        </w:trPr>
        <w:tc>
          <w:tcPr>
            <w:tcW w:w="7143" w:type="dxa"/>
            <w:tcBorders>
              <w:bottom w:val="single" w:sz="4" w:space="0" w:color="000000"/>
            </w:tcBorders>
            <w:vAlign w:val="bottom"/>
          </w:tcPr>
          <w:p w14:paraId="35B7669A"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680" w:type="dxa"/>
            <w:tcBorders>
              <w:bottom w:val="single" w:sz="4" w:space="0" w:color="000000"/>
            </w:tcBorders>
            <w:vAlign w:val="bottom"/>
          </w:tcPr>
          <w:p w14:paraId="57E7F531" w14:textId="77777777" w:rsidR="008E5DE4" w:rsidRDefault="00780368">
            <w:pPr>
              <w:widowControl w:val="0"/>
              <w:pBdr>
                <w:top w:val="nil"/>
                <w:left w:val="nil"/>
                <w:bottom w:val="nil"/>
                <w:right w:val="nil"/>
                <w:between w:val="nil"/>
              </w:pBdr>
              <w:jc w:val="center"/>
              <w:rPr>
                <w:b/>
                <w:color w:val="000000"/>
              </w:rPr>
            </w:pPr>
            <w:r>
              <w:rPr>
                <w:b/>
                <w:color w:val="000000"/>
              </w:rPr>
              <w:t>Note</w:t>
            </w:r>
          </w:p>
        </w:tc>
        <w:tc>
          <w:tcPr>
            <w:tcW w:w="1531" w:type="dxa"/>
            <w:tcBorders>
              <w:bottom w:val="single" w:sz="4" w:space="0" w:color="000000"/>
            </w:tcBorders>
          </w:tcPr>
          <w:p w14:paraId="78B62B12"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Attributed </w:t>
            </w:r>
          </w:p>
          <w:p w14:paraId="7F9F3C4F"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fair value </w:t>
            </w:r>
          </w:p>
        </w:tc>
      </w:tr>
      <w:tr w:rsidR="008E5DE4" w14:paraId="78B4923B" w14:textId="77777777">
        <w:trPr>
          <w:cantSplit/>
        </w:trPr>
        <w:tc>
          <w:tcPr>
            <w:tcW w:w="7143" w:type="dxa"/>
            <w:vAlign w:val="bottom"/>
          </w:tcPr>
          <w:p w14:paraId="295F9445"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680" w:type="dxa"/>
            <w:vAlign w:val="bottom"/>
          </w:tcPr>
          <w:p w14:paraId="52C7F415" w14:textId="77777777" w:rsidR="008E5DE4" w:rsidRDefault="008E5DE4">
            <w:pPr>
              <w:widowControl w:val="0"/>
              <w:pBdr>
                <w:top w:val="nil"/>
                <w:left w:val="nil"/>
                <w:bottom w:val="nil"/>
                <w:right w:val="nil"/>
                <w:between w:val="nil"/>
              </w:pBdr>
              <w:jc w:val="center"/>
              <w:rPr>
                <w:color w:val="000000"/>
                <w:sz w:val="16"/>
                <w:szCs w:val="16"/>
              </w:rPr>
            </w:pPr>
          </w:p>
        </w:tc>
        <w:tc>
          <w:tcPr>
            <w:tcW w:w="1531" w:type="dxa"/>
            <w:vAlign w:val="bottom"/>
          </w:tcPr>
          <w:p w14:paraId="5BEB9B60" w14:textId="77777777" w:rsidR="008E5DE4" w:rsidRDefault="008E5DE4">
            <w:pPr>
              <w:widowControl w:val="0"/>
              <w:pBdr>
                <w:top w:val="nil"/>
                <w:left w:val="nil"/>
                <w:bottom w:val="nil"/>
                <w:right w:val="nil"/>
                <w:between w:val="nil"/>
              </w:pBdr>
              <w:jc w:val="right"/>
              <w:rPr>
                <w:color w:val="000000"/>
                <w:sz w:val="16"/>
                <w:szCs w:val="16"/>
              </w:rPr>
            </w:pPr>
          </w:p>
        </w:tc>
      </w:tr>
      <w:tr w:rsidR="008E5DE4" w14:paraId="79409B17" w14:textId="77777777">
        <w:trPr>
          <w:cantSplit/>
        </w:trPr>
        <w:tc>
          <w:tcPr>
            <w:tcW w:w="7143" w:type="dxa"/>
            <w:vAlign w:val="bottom"/>
          </w:tcPr>
          <w:p w14:paraId="425AD1E7" w14:textId="77777777" w:rsidR="008E5DE4" w:rsidRDefault="00780368">
            <w:pPr>
              <w:widowControl w:val="0"/>
              <w:pBdr>
                <w:top w:val="nil"/>
                <w:left w:val="nil"/>
                <w:bottom w:val="nil"/>
                <w:right w:val="nil"/>
                <w:between w:val="nil"/>
              </w:pBdr>
              <w:ind w:left="113" w:right="-57" w:hanging="113"/>
              <w:rPr>
                <w:i/>
                <w:color w:val="000000"/>
              </w:rPr>
            </w:pPr>
            <w:r>
              <w:rPr>
                <w:color w:val="000000"/>
              </w:rPr>
              <w:t xml:space="preserve">Cash and cash equivalents </w:t>
            </w:r>
          </w:p>
        </w:tc>
        <w:tc>
          <w:tcPr>
            <w:tcW w:w="680" w:type="dxa"/>
            <w:vAlign w:val="bottom"/>
          </w:tcPr>
          <w:p w14:paraId="3133571F"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9A20FB0" w14:textId="77777777" w:rsidR="008E5DE4" w:rsidRDefault="008E5DE4">
            <w:pPr>
              <w:widowControl w:val="0"/>
              <w:pBdr>
                <w:top w:val="nil"/>
                <w:left w:val="nil"/>
                <w:bottom w:val="nil"/>
                <w:right w:val="nil"/>
                <w:between w:val="nil"/>
              </w:pBdr>
              <w:jc w:val="right"/>
              <w:rPr>
                <w:color w:val="000000"/>
              </w:rPr>
            </w:pPr>
          </w:p>
        </w:tc>
      </w:tr>
      <w:tr w:rsidR="008E5DE4" w14:paraId="084BB704" w14:textId="77777777">
        <w:trPr>
          <w:cantSplit/>
        </w:trPr>
        <w:tc>
          <w:tcPr>
            <w:tcW w:w="7143" w:type="dxa"/>
            <w:vAlign w:val="bottom"/>
          </w:tcPr>
          <w:p w14:paraId="3E8ABE7C" w14:textId="77777777" w:rsidR="008E5DE4" w:rsidRDefault="00780368">
            <w:pPr>
              <w:widowControl w:val="0"/>
              <w:pBdr>
                <w:top w:val="nil"/>
                <w:left w:val="nil"/>
                <w:bottom w:val="nil"/>
                <w:right w:val="nil"/>
                <w:between w:val="nil"/>
              </w:pBdr>
              <w:ind w:left="113" w:right="-57" w:hanging="113"/>
              <w:rPr>
                <w:i/>
                <w:color w:val="000000"/>
              </w:rPr>
            </w:pPr>
            <w:r>
              <w:rPr>
                <w:color w:val="000000"/>
              </w:rPr>
              <w:t>Property, plant and equipment</w:t>
            </w:r>
          </w:p>
        </w:tc>
        <w:tc>
          <w:tcPr>
            <w:tcW w:w="680" w:type="dxa"/>
            <w:vAlign w:val="bottom"/>
          </w:tcPr>
          <w:p w14:paraId="6BBA821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6D1CE35F" w14:textId="77777777" w:rsidR="008E5DE4" w:rsidRDefault="008E5DE4">
            <w:pPr>
              <w:widowControl w:val="0"/>
              <w:pBdr>
                <w:top w:val="nil"/>
                <w:left w:val="nil"/>
                <w:bottom w:val="nil"/>
                <w:right w:val="nil"/>
                <w:between w:val="nil"/>
              </w:pBdr>
              <w:jc w:val="right"/>
              <w:rPr>
                <w:color w:val="000000"/>
              </w:rPr>
            </w:pPr>
          </w:p>
        </w:tc>
      </w:tr>
      <w:tr w:rsidR="008E5DE4" w14:paraId="7CC1FC89" w14:textId="77777777">
        <w:trPr>
          <w:cantSplit/>
        </w:trPr>
        <w:tc>
          <w:tcPr>
            <w:tcW w:w="7143" w:type="dxa"/>
            <w:vAlign w:val="bottom"/>
          </w:tcPr>
          <w:p w14:paraId="5BB8BF89"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property</w:t>
            </w:r>
          </w:p>
        </w:tc>
        <w:tc>
          <w:tcPr>
            <w:tcW w:w="680" w:type="dxa"/>
            <w:vAlign w:val="bottom"/>
          </w:tcPr>
          <w:p w14:paraId="5998D59E"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5747E8FC" w14:textId="77777777" w:rsidR="008E5DE4" w:rsidRDefault="008E5DE4">
            <w:pPr>
              <w:widowControl w:val="0"/>
              <w:pBdr>
                <w:top w:val="nil"/>
                <w:left w:val="nil"/>
                <w:bottom w:val="nil"/>
                <w:right w:val="nil"/>
                <w:between w:val="nil"/>
              </w:pBdr>
              <w:jc w:val="right"/>
              <w:rPr>
                <w:color w:val="000000"/>
              </w:rPr>
            </w:pPr>
          </w:p>
        </w:tc>
      </w:tr>
      <w:tr w:rsidR="008E5DE4" w14:paraId="1235C86F" w14:textId="77777777">
        <w:trPr>
          <w:cantSplit/>
        </w:trPr>
        <w:tc>
          <w:tcPr>
            <w:tcW w:w="7143" w:type="dxa"/>
            <w:vAlign w:val="bottom"/>
          </w:tcPr>
          <w:p w14:paraId="390210AD" w14:textId="77777777" w:rsidR="008E5DE4" w:rsidRDefault="00780368">
            <w:pPr>
              <w:widowControl w:val="0"/>
              <w:pBdr>
                <w:top w:val="nil"/>
                <w:left w:val="nil"/>
                <w:bottom w:val="nil"/>
                <w:right w:val="nil"/>
                <w:between w:val="nil"/>
              </w:pBdr>
              <w:ind w:left="113" w:right="-57" w:hanging="113"/>
              <w:rPr>
                <w:color w:val="000000"/>
              </w:rPr>
            </w:pPr>
            <w:r>
              <w:rPr>
                <w:color w:val="000000"/>
              </w:rPr>
              <w:t>Right-of-use assets</w:t>
            </w:r>
          </w:p>
        </w:tc>
        <w:tc>
          <w:tcPr>
            <w:tcW w:w="680" w:type="dxa"/>
            <w:vAlign w:val="bottom"/>
          </w:tcPr>
          <w:p w14:paraId="1F468EE5"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0E4BD0E" w14:textId="77777777" w:rsidR="008E5DE4" w:rsidRDefault="008E5DE4">
            <w:pPr>
              <w:widowControl w:val="0"/>
              <w:pBdr>
                <w:top w:val="nil"/>
                <w:left w:val="nil"/>
                <w:bottom w:val="nil"/>
                <w:right w:val="nil"/>
                <w:between w:val="nil"/>
              </w:pBdr>
              <w:jc w:val="right"/>
              <w:rPr>
                <w:color w:val="000000"/>
              </w:rPr>
            </w:pPr>
          </w:p>
        </w:tc>
      </w:tr>
      <w:tr w:rsidR="008E5DE4" w14:paraId="2074FF93" w14:textId="77777777">
        <w:trPr>
          <w:cantSplit/>
        </w:trPr>
        <w:tc>
          <w:tcPr>
            <w:tcW w:w="7143" w:type="dxa"/>
            <w:vAlign w:val="bottom"/>
          </w:tcPr>
          <w:p w14:paraId="34571807" w14:textId="77777777" w:rsidR="008E5DE4" w:rsidRDefault="00780368">
            <w:pPr>
              <w:widowControl w:val="0"/>
              <w:pBdr>
                <w:top w:val="nil"/>
                <w:left w:val="nil"/>
                <w:bottom w:val="nil"/>
                <w:right w:val="nil"/>
                <w:between w:val="nil"/>
              </w:pBdr>
              <w:ind w:left="113" w:right="-57" w:hanging="113"/>
              <w:rPr>
                <w:i/>
                <w:color w:val="000000"/>
              </w:rPr>
            </w:pPr>
            <w:r>
              <w:rPr>
                <w:color w:val="000000"/>
              </w:rPr>
              <w:t>Other assets</w:t>
            </w:r>
          </w:p>
        </w:tc>
        <w:tc>
          <w:tcPr>
            <w:tcW w:w="680" w:type="dxa"/>
            <w:vAlign w:val="bottom"/>
          </w:tcPr>
          <w:p w14:paraId="0C4185E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8B9F190" w14:textId="77777777" w:rsidR="008E5DE4" w:rsidRDefault="008E5DE4">
            <w:pPr>
              <w:widowControl w:val="0"/>
              <w:pBdr>
                <w:top w:val="nil"/>
                <w:left w:val="nil"/>
                <w:bottom w:val="nil"/>
                <w:right w:val="nil"/>
                <w:between w:val="nil"/>
              </w:pBdr>
              <w:jc w:val="right"/>
              <w:rPr>
                <w:color w:val="000000"/>
              </w:rPr>
            </w:pPr>
          </w:p>
        </w:tc>
      </w:tr>
      <w:tr w:rsidR="008E5DE4" w14:paraId="5853AD4F" w14:textId="77777777">
        <w:trPr>
          <w:cantSplit/>
        </w:trPr>
        <w:tc>
          <w:tcPr>
            <w:tcW w:w="7143" w:type="dxa"/>
            <w:vAlign w:val="bottom"/>
          </w:tcPr>
          <w:p w14:paraId="437D7136" w14:textId="77777777" w:rsidR="008E5DE4" w:rsidRDefault="00780368">
            <w:pPr>
              <w:widowControl w:val="0"/>
              <w:pBdr>
                <w:top w:val="nil"/>
                <w:left w:val="nil"/>
                <w:bottom w:val="nil"/>
                <w:right w:val="nil"/>
                <w:between w:val="nil"/>
              </w:pBdr>
              <w:ind w:left="113" w:right="-57" w:hanging="113"/>
              <w:rPr>
                <w:i/>
                <w:color w:val="000000"/>
              </w:rPr>
            </w:pPr>
            <w:r>
              <w:rPr>
                <w:color w:val="000000"/>
              </w:rPr>
              <w:t>Borrowings</w:t>
            </w:r>
          </w:p>
        </w:tc>
        <w:tc>
          <w:tcPr>
            <w:tcW w:w="680" w:type="dxa"/>
            <w:vAlign w:val="bottom"/>
          </w:tcPr>
          <w:p w14:paraId="3E6CF10B"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4681752" w14:textId="77777777" w:rsidR="008E5DE4" w:rsidRDefault="008E5DE4">
            <w:pPr>
              <w:widowControl w:val="0"/>
              <w:pBdr>
                <w:top w:val="nil"/>
                <w:left w:val="nil"/>
                <w:bottom w:val="nil"/>
                <w:right w:val="nil"/>
                <w:between w:val="nil"/>
              </w:pBdr>
              <w:jc w:val="right"/>
              <w:rPr>
                <w:color w:val="000000"/>
              </w:rPr>
            </w:pPr>
          </w:p>
        </w:tc>
      </w:tr>
      <w:tr w:rsidR="008E5DE4" w14:paraId="3916366E" w14:textId="77777777">
        <w:trPr>
          <w:cantSplit/>
        </w:trPr>
        <w:tc>
          <w:tcPr>
            <w:tcW w:w="7143" w:type="dxa"/>
            <w:vAlign w:val="bottom"/>
          </w:tcPr>
          <w:p w14:paraId="1D2C87BE" w14:textId="77777777" w:rsidR="008E5DE4" w:rsidRDefault="00780368">
            <w:pPr>
              <w:widowControl w:val="0"/>
              <w:pBdr>
                <w:top w:val="nil"/>
                <w:left w:val="nil"/>
                <w:bottom w:val="nil"/>
                <w:right w:val="nil"/>
                <w:between w:val="nil"/>
              </w:pBdr>
              <w:ind w:left="113" w:right="-57" w:hanging="113"/>
              <w:rPr>
                <w:color w:val="000000"/>
              </w:rPr>
            </w:pPr>
            <w:r>
              <w:rPr>
                <w:color w:val="000000"/>
              </w:rPr>
              <w:t>Trade and other payables</w:t>
            </w:r>
          </w:p>
        </w:tc>
        <w:tc>
          <w:tcPr>
            <w:tcW w:w="680" w:type="dxa"/>
            <w:vAlign w:val="bottom"/>
          </w:tcPr>
          <w:p w14:paraId="506047E8"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8B37EDA" w14:textId="77777777" w:rsidR="008E5DE4" w:rsidRDefault="008E5DE4">
            <w:pPr>
              <w:widowControl w:val="0"/>
              <w:pBdr>
                <w:top w:val="nil"/>
                <w:left w:val="nil"/>
                <w:bottom w:val="nil"/>
                <w:right w:val="nil"/>
                <w:between w:val="nil"/>
              </w:pBdr>
              <w:jc w:val="right"/>
              <w:rPr>
                <w:color w:val="000000"/>
              </w:rPr>
            </w:pPr>
          </w:p>
        </w:tc>
      </w:tr>
      <w:tr w:rsidR="008E5DE4" w14:paraId="5290D592" w14:textId="77777777">
        <w:trPr>
          <w:cantSplit/>
        </w:trPr>
        <w:tc>
          <w:tcPr>
            <w:tcW w:w="7143" w:type="dxa"/>
            <w:vAlign w:val="bottom"/>
          </w:tcPr>
          <w:p w14:paraId="2432ED82" w14:textId="77777777" w:rsidR="008E5DE4" w:rsidRDefault="00780368">
            <w:pPr>
              <w:widowControl w:val="0"/>
              <w:pBdr>
                <w:top w:val="nil"/>
                <w:left w:val="nil"/>
                <w:bottom w:val="nil"/>
                <w:right w:val="nil"/>
                <w:between w:val="nil"/>
              </w:pBdr>
              <w:ind w:left="113" w:right="-57" w:hanging="113"/>
              <w:rPr>
                <w:i/>
                <w:color w:val="000000"/>
              </w:rPr>
            </w:pPr>
            <w:r>
              <w:rPr>
                <w:color w:val="000000"/>
              </w:rPr>
              <w:t>Other liabilities</w:t>
            </w:r>
          </w:p>
        </w:tc>
        <w:tc>
          <w:tcPr>
            <w:tcW w:w="680" w:type="dxa"/>
            <w:vAlign w:val="bottom"/>
          </w:tcPr>
          <w:p w14:paraId="50CE5C0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7AC9305" w14:textId="77777777" w:rsidR="008E5DE4" w:rsidRDefault="008E5DE4">
            <w:pPr>
              <w:widowControl w:val="0"/>
              <w:pBdr>
                <w:top w:val="nil"/>
                <w:left w:val="nil"/>
                <w:bottom w:val="nil"/>
                <w:right w:val="nil"/>
                <w:between w:val="nil"/>
              </w:pBdr>
              <w:jc w:val="right"/>
              <w:rPr>
                <w:color w:val="000000"/>
              </w:rPr>
            </w:pPr>
          </w:p>
        </w:tc>
      </w:tr>
      <w:tr w:rsidR="008E5DE4" w14:paraId="0D89C855" w14:textId="77777777">
        <w:trPr>
          <w:cantSplit/>
        </w:trPr>
        <w:tc>
          <w:tcPr>
            <w:tcW w:w="7143" w:type="dxa"/>
            <w:tcBorders>
              <w:bottom w:val="single" w:sz="4" w:space="0" w:color="000000"/>
            </w:tcBorders>
            <w:vAlign w:val="bottom"/>
          </w:tcPr>
          <w:p w14:paraId="4694A955" w14:textId="77777777" w:rsidR="008E5DE4" w:rsidRDefault="00780368">
            <w:pPr>
              <w:widowControl w:val="0"/>
              <w:pBdr>
                <w:top w:val="nil"/>
                <w:left w:val="nil"/>
                <w:bottom w:val="nil"/>
                <w:right w:val="nil"/>
                <w:between w:val="nil"/>
              </w:pBdr>
              <w:ind w:left="113" w:right="-57" w:hanging="113"/>
              <w:rPr>
                <w:i/>
                <w:color w:val="000000"/>
                <w:sz w:val="16"/>
                <w:szCs w:val="16"/>
              </w:rPr>
            </w:pPr>
            <w:r>
              <w:rPr>
                <w:color w:val="000000"/>
                <w:sz w:val="16"/>
                <w:szCs w:val="16"/>
              </w:rPr>
              <w:t> </w:t>
            </w:r>
          </w:p>
        </w:tc>
        <w:tc>
          <w:tcPr>
            <w:tcW w:w="680" w:type="dxa"/>
            <w:tcBorders>
              <w:bottom w:val="single" w:sz="4" w:space="0" w:color="000000"/>
            </w:tcBorders>
            <w:vAlign w:val="bottom"/>
          </w:tcPr>
          <w:p w14:paraId="5030FFD7" w14:textId="77777777" w:rsidR="008E5DE4" w:rsidRDefault="008E5DE4">
            <w:pPr>
              <w:widowControl w:val="0"/>
              <w:pBdr>
                <w:top w:val="nil"/>
                <w:left w:val="nil"/>
                <w:bottom w:val="nil"/>
                <w:right w:val="nil"/>
                <w:between w:val="nil"/>
              </w:pBdr>
              <w:jc w:val="center"/>
              <w:rPr>
                <w:color w:val="000000"/>
                <w:sz w:val="16"/>
                <w:szCs w:val="16"/>
              </w:rPr>
            </w:pPr>
          </w:p>
        </w:tc>
        <w:tc>
          <w:tcPr>
            <w:tcW w:w="1531" w:type="dxa"/>
            <w:tcBorders>
              <w:bottom w:val="single" w:sz="4" w:space="0" w:color="000000"/>
            </w:tcBorders>
            <w:vAlign w:val="bottom"/>
          </w:tcPr>
          <w:p w14:paraId="02D3AC68" w14:textId="77777777" w:rsidR="008E5DE4" w:rsidRDefault="008E5DE4">
            <w:pPr>
              <w:widowControl w:val="0"/>
              <w:pBdr>
                <w:top w:val="nil"/>
                <w:left w:val="nil"/>
                <w:bottom w:val="nil"/>
                <w:right w:val="nil"/>
                <w:between w:val="nil"/>
              </w:pBdr>
              <w:jc w:val="right"/>
              <w:rPr>
                <w:color w:val="000000"/>
                <w:sz w:val="16"/>
                <w:szCs w:val="16"/>
              </w:rPr>
            </w:pPr>
          </w:p>
        </w:tc>
      </w:tr>
      <w:tr w:rsidR="008E5DE4" w14:paraId="63A24203" w14:textId="77777777">
        <w:trPr>
          <w:cantSplit/>
        </w:trPr>
        <w:tc>
          <w:tcPr>
            <w:tcW w:w="7143" w:type="dxa"/>
            <w:tcBorders>
              <w:top w:val="single" w:sz="4" w:space="0" w:color="000000"/>
            </w:tcBorders>
            <w:vAlign w:val="bottom"/>
          </w:tcPr>
          <w:p w14:paraId="79D72158" w14:textId="77777777" w:rsidR="008E5DE4" w:rsidRDefault="00780368">
            <w:pPr>
              <w:widowControl w:val="0"/>
              <w:pBdr>
                <w:top w:val="nil"/>
                <w:left w:val="nil"/>
                <w:bottom w:val="nil"/>
                <w:right w:val="nil"/>
                <w:between w:val="nil"/>
              </w:pBdr>
              <w:ind w:left="113" w:right="-57" w:hanging="113"/>
              <w:rPr>
                <w:i/>
                <w:color w:val="000000"/>
                <w:sz w:val="16"/>
                <w:szCs w:val="16"/>
              </w:rPr>
            </w:pPr>
            <w:r>
              <w:rPr>
                <w:color w:val="000000"/>
                <w:sz w:val="16"/>
                <w:szCs w:val="16"/>
              </w:rPr>
              <w:t> </w:t>
            </w:r>
          </w:p>
        </w:tc>
        <w:tc>
          <w:tcPr>
            <w:tcW w:w="680" w:type="dxa"/>
            <w:tcBorders>
              <w:top w:val="single" w:sz="4" w:space="0" w:color="000000"/>
            </w:tcBorders>
            <w:vAlign w:val="bottom"/>
          </w:tcPr>
          <w:p w14:paraId="4D273437" w14:textId="77777777" w:rsidR="008E5DE4" w:rsidRDefault="008E5DE4">
            <w:pPr>
              <w:widowControl w:val="0"/>
              <w:pBdr>
                <w:top w:val="nil"/>
                <w:left w:val="nil"/>
                <w:bottom w:val="nil"/>
                <w:right w:val="nil"/>
                <w:between w:val="nil"/>
              </w:pBdr>
              <w:jc w:val="center"/>
              <w:rPr>
                <w:color w:val="000000"/>
                <w:sz w:val="16"/>
                <w:szCs w:val="16"/>
              </w:rPr>
            </w:pPr>
          </w:p>
        </w:tc>
        <w:tc>
          <w:tcPr>
            <w:tcW w:w="1531" w:type="dxa"/>
            <w:tcBorders>
              <w:top w:val="single" w:sz="4" w:space="0" w:color="000000"/>
            </w:tcBorders>
            <w:vAlign w:val="bottom"/>
          </w:tcPr>
          <w:p w14:paraId="740AF692" w14:textId="77777777" w:rsidR="008E5DE4" w:rsidRDefault="008E5DE4">
            <w:pPr>
              <w:widowControl w:val="0"/>
              <w:pBdr>
                <w:top w:val="nil"/>
                <w:left w:val="nil"/>
                <w:bottom w:val="nil"/>
                <w:right w:val="nil"/>
                <w:between w:val="nil"/>
              </w:pBdr>
              <w:jc w:val="right"/>
              <w:rPr>
                <w:color w:val="000000"/>
                <w:sz w:val="16"/>
                <w:szCs w:val="16"/>
              </w:rPr>
            </w:pPr>
          </w:p>
        </w:tc>
      </w:tr>
      <w:tr w:rsidR="008E5DE4" w14:paraId="0B3B02F9" w14:textId="77777777">
        <w:trPr>
          <w:cantSplit/>
        </w:trPr>
        <w:tc>
          <w:tcPr>
            <w:tcW w:w="7143" w:type="dxa"/>
            <w:vAlign w:val="bottom"/>
          </w:tcPr>
          <w:p w14:paraId="62CB5A69" w14:textId="77777777" w:rsidR="008E5DE4" w:rsidRDefault="00780368">
            <w:pPr>
              <w:widowControl w:val="0"/>
              <w:pBdr>
                <w:top w:val="nil"/>
                <w:left w:val="nil"/>
                <w:bottom w:val="nil"/>
                <w:right w:val="nil"/>
                <w:between w:val="nil"/>
              </w:pBdr>
              <w:ind w:left="113" w:right="-57" w:hanging="113"/>
              <w:rPr>
                <w:b/>
                <w:i/>
                <w:color w:val="000000"/>
              </w:rPr>
            </w:pPr>
            <w:r>
              <w:rPr>
                <w:b/>
                <w:color w:val="000000"/>
              </w:rPr>
              <w:t>Fair value of identifiable net assets of subsidiary</w:t>
            </w:r>
          </w:p>
        </w:tc>
        <w:tc>
          <w:tcPr>
            <w:tcW w:w="680" w:type="dxa"/>
            <w:vAlign w:val="bottom"/>
          </w:tcPr>
          <w:p w14:paraId="2E584882"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BE27F51" w14:textId="77777777" w:rsidR="008E5DE4" w:rsidRDefault="008E5DE4">
            <w:pPr>
              <w:widowControl w:val="0"/>
              <w:pBdr>
                <w:top w:val="nil"/>
                <w:left w:val="nil"/>
                <w:bottom w:val="nil"/>
                <w:right w:val="nil"/>
                <w:between w:val="nil"/>
              </w:pBdr>
              <w:jc w:val="right"/>
              <w:rPr>
                <w:b/>
                <w:color w:val="000000"/>
              </w:rPr>
            </w:pPr>
          </w:p>
        </w:tc>
      </w:tr>
      <w:tr w:rsidR="008E5DE4" w14:paraId="0071D0AF" w14:textId="77777777">
        <w:trPr>
          <w:cantSplit/>
        </w:trPr>
        <w:tc>
          <w:tcPr>
            <w:tcW w:w="7143" w:type="dxa"/>
            <w:vAlign w:val="bottom"/>
          </w:tcPr>
          <w:p w14:paraId="71EDB4F0"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Less: non-controlling interest </w:t>
            </w:r>
          </w:p>
        </w:tc>
        <w:tc>
          <w:tcPr>
            <w:tcW w:w="680" w:type="dxa"/>
            <w:vAlign w:val="bottom"/>
          </w:tcPr>
          <w:p w14:paraId="47435B04"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7E077DCB" w14:textId="77777777" w:rsidR="008E5DE4" w:rsidRDefault="008E5DE4">
            <w:pPr>
              <w:widowControl w:val="0"/>
              <w:pBdr>
                <w:top w:val="nil"/>
                <w:left w:val="nil"/>
                <w:bottom w:val="nil"/>
                <w:right w:val="nil"/>
                <w:between w:val="nil"/>
              </w:pBdr>
              <w:jc w:val="right"/>
              <w:rPr>
                <w:color w:val="000000"/>
              </w:rPr>
            </w:pPr>
          </w:p>
        </w:tc>
      </w:tr>
      <w:tr w:rsidR="008E5DE4" w14:paraId="3852D6A5" w14:textId="77777777">
        <w:trPr>
          <w:cantSplit/>
        </w:trPr>
        <w:tc>
          <w:tcPr>
            <w:tcW w:w="7143" w:type="dxa"/>
            <w:vAlign w:val="bottom"/>
          </w:tcPr>
          <w:p w14:paraId="295F677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Goodwill arising from the acquisition </w:t>
            </w:r>
          </w:p>
        </w:tc>
        <w:tc>
          <w:tcPr>
            <w:tcW w:w="680" w:type="dxa"/>
            <w:vAlign w:val="bottom"/>
          </w:tcPr>
          <w:p w14:paraId="4C1152A4" w14:textId="77777777" w:rsidR="008E5DE4" w:rsidRDefault="00780368">
            <w:pPr>
              <w:widowControl w:val="0"/>
              <w:pBdr>
                <w:top w:val="nil"/>
                <w:left w:val="nil"/>
                <w:bottom w:val="nil"/>
                <w:right w:val="nil"/>
                <w:between w:val="nil"/>
              </w:pBdr>
              <w:jc w:val="center"/>
              <w:rPr>
                <w:color w:val="000000"/>
              </w:rPr>
            </w:pPr>
            <w:r>
              <w:rPr>
                <w:color w:val="000000"/>
              </w:rPr>
              <w:t>12</w:t>
            </w:r>
          </w:p>
        </w:tc>
        <w:tc>
          <w:tcPr>
            <w:tcW w:w="1531" w:type="dxa"/>
            <w:vAlign w:val="bottom"/>
          </w:tcPr>
          <w:p w14:paraId="4F9C4012" w14:textId="77777777" w:rsidR="008E5DE4" w:rsidRDefault="008E5DE4">
            <w:pPr>
              <w:widowControl w:val="0"/>
              <w:pBdr>
                <w:top w:val="nil"/>
                <w:left w:val="nil"/>
                <w:bottom w:val="nil"/>
                <w:right w:val="nil"/>
                <w:between w:val="nil"/>
              </w:pBdr>
              <w:jc w:val="right"/>
              <w:rPr>
                <w:color w:val="000000"/>
              </w:rPr>
            </w:pPr>
          </w:p>
        </w:tc>
      </w:tr>
      <w:tr w:rsidR="008E5DE4" w14:paraId="4CDB7271" w14:textId="77777777">
        <w:trPr>
          <w:cantSplit/>
        </w:trPr>
        <w:tc>
          <w:tcPr>
            <w:tcW w:w="7143" w:type="dxa"/>
            <w:tcBorders>
              <w:bottom w:val="single" w:sz="4" w:space="0" w:color="000000"/>
            </w:tcBorders>
            <w:vAlign w:val="bottom"/>
          </w:tcPr>
          <w:p w14:paraId="5D014531"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680" w:type="dxa"/>
            <w:tcBorders>
              <w:bottom w:val="single" w:sz="4" w:space="0" w:color="000000"/>
            </w:tcBorders>
            <w:vAlign w:val="bottom"/>
          </w:tcPr>
          <w:p w14:paraId="14C84D0F" w14:textId="77777777" w:rsidR="008E5DE4" w:rsidRDefault="008E5DE4">
            <w:pPr>
              <w:widowControl w:val="0"/>
              <w:pBdr>
                <w:top w:val="nil"/>
                <w:left w:val="nil"/>
                <w:bottom w:val="nil"/>
                <w:right w:val="nil"/>
                <w:between w:val="nil"/>
              </w:pBdr>
              <w:jc w:val="center"/>
              <w:rPr>
                <w:color w:val="000000"/>
                <w:sz w:val="16"/>
                <w:szCs w:val="16"/>
              </w:rPr>
            </w:pPr>
          </w:p>
        </w:tc>
        <w:tc>
          <w:tcPr>
            <w:tcW w:w="1531" w:type="dxa"/>
            <w:tcBorders>
              <w:bottom w:val="single" w:sz="4" w:space="0" w:color="000000"/>
            </w:tcBorders>
            <w:vAlign w:val="bottom"/>
          </w:tcPr>
          <w:p w14:paraId="6340ED46" w14:textId="77777777" w:rsidR="008E5DE4" w:rsidRDefault="008E5DE4">
            <w:pPr>
              <w:widowControl w:val="0"/>
              <w:pBdr>
                <w:top w:val="nil"/>
                <w:left w:val="nil"/>
                <w:bottom w:val="nil"/>
                <w:right w:val="nil"/>
                <w:between w:val="nil"/>
              </w:pBdr>
              <w:jc w:val="right"/>
              <w:rPr>
                <w:color w:val="000000"/>
                <w:sz w:val="16"/>
                <w:szCs w:val="16"/>
              </w:rPr>
            </w:pPr>
          </w:p>
        </w:tc>
      </w:tr>
      <w:tr w:rsidR="008E5DE4" w14:paraId="0CFF1FBC" w14:textId="77777777">
        <w:trPr>
          <w:cantSplit/>
        </w:trPr>
        <w:tc>
          <w:tcPr>
            <w:tcW w:w="7143" w:type="dxa"/>
            <w:tcBorders>
              <w:top w:val="single" w:sz="4" w:space="0" w:color="000000"/>
            </w:tcBorders>
            <w:vAlign w:val="bottom"/>
          </w:tcPr>
          <w:p w14:paraId="19C234FE"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680" w:type="dxa"/>
            <w:tcBorders>
              <w:top w:val="single" w:sz="4" w:space="0" w:color="000000"/>
            </w:tcBorders>
            <w:vAlign w:val="bottom"/>
          </w:tcPr>
          <w:p w14:paraId="4A77A2E1" w14:textId="77777777" w:rsidR="008E5DE4" w:rsidRDefault="008E5DE4">
            <w:pPr>
              <w:widowControl w:val="0"/>
              <w:pBdr>
                <w:top w:val="nil"/>
                <w:left w:val="nil"/>
                <w:bottom w:val="nil"/>
                <w:right w:val="nil"/>
                <w:between w:val="nil"/>
              </w:pBdr>
              <w:jc w:val="center"/>
              <w:rPr>
                <w:color w:val="000000"/>
                <w:sz w:val="16"/>
                <w:szCs w:val="16"/>
              </w:rPr>
            </w:pPr>
          </w:p>
        </w:tc>
        <w:tc>
          <w:tcPr>
            <w:tcW w:w="1531" w:type="dxa"/>
            <w:tcBorders>
              <w:top w:val="single" w:sz="4" w:space="0" w:color="000000"/>
            </w:tcBorders>
            <w:vAlign w:val="bottom"/>
          </w:tcPr>
          <w:p w14:paraId="6AB06AD3" w14:textId="77777777" w:rsidR="008E5DE4" w:rsidRDefault="008E5DE4">
            <w:pPr>
              <w:widowControl w:val="0"/>
              <w:pBdr>
                <w:top w:val="nil"/>
                <w:left w:val="nil"/>
                <w:bottom w:val="nil"/>
                <w:right w:val="nil"/>
                <w:between w:val="nil"/>
              </w:pBdr>
              <w:jc w:val="right"/>
              <w:rPr>
                <w:color w:val="000000"/>
                <w:sz w:val="16"/>
                <w:szCs w:val="16"/>
              </w:rPr>
            </w:pPr>
          </w:p>
        </w:tc>
      </w:tr>
      <w:tr w:rsidR="008E5DE4" w14:paraId="10499FF6" w14:textId="77777777">
        <w:trPr>
          <w:cantSplit/>
        </w:trPr>
        <w:tc>
          <w:tcPr>
            <w:tcW w:w="7143" w:type="dxa"/>
            <w:vAlign w:val="bottom"/>
          </w:tcPr>
          <w:p w14:paraId="3271252C"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purchase consideration and previously held interest in the acquiree</w:t>
            </w:r>
          </w:p>
        </w:tc>
        <w:tc>
          <w:tcPr>
            <w:tcW w:w="680" w:type="dxa"/>
            <w:vAlign w:val="bottom"/>
          </w:tcPr>
          <w:p w14:paraId="39ABD377" w14:textId="77777777" w:rsidR="008E5DE4" w:rsidRDefault="008E5DE4">
            <w:pPr>
              <w:widowControl w:val="0"/>
              <w:pBdr>
                <w:top w:val="nil"/>
                <w:left w:val="nil"/>
                <w:bottom w:val="nil"/>
                <w:right w:val="nil"/>
                <w:between w:val="nil"/>
              </w:pBdr>
              <w:jc w:val="center"/>
              <w:rPr>
                <w:b/>
                <w:color w:val="000000"/>
              </w:rPr>
            </w:pPr>
          </w:p>
        </w:tc>
        <w:tc>
          <w:tcPr>
            <w:tcW w:w="1531" w:type="dxa"/>
            <w:vAlign w:val="bottom"/>
          </w:tcPr>
          <w:p w14:paraId="0FDC44D7" w14:textId="77777777" w:rsidR="008E5DE4" w:rsidRDefault="008E5DE4">
            <w:pPr>
              <w:widowControl w:val="0"/>
              <w:pBdr>
                <w:top w:val="nil"/>
                <w:left w:val="nil"/>
                <w:bottom w:val="nil"/>
                <w:right w:val="nil"/>
                <w:between w:val="nil"/>
              </w:pBdr>
              <w:jc w:val="right"/>
              <w:rPr>
                <w:b/>
                <w:color w:val="000000"/>
              </w:rPr>
            </w:pPr>
          </w:p>
        </w:tc>
      </w:tr>
      <w:tr w:rsidR="008E5DE4" w14:paraId="61EE7EED" w14:textId="77777777">
        <w:trPr>
          <w:cantSplit/>
        </w:trPr>
        <w:tc>
          <w:tcPr>
            <w:tcW w:w="7143" w:type="dxa"/>
            <w:vAlign w:val="bottom"/>
          </w:tcPr>
          <w:p w14:paraId="738A4827"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Less: Non-cash consideration </w:t>
            </w:r>
          </w:p>
        </w:tc>
        <w:tc>
          <w:tcPr>
            <w:tcW w:w="680" w:type="dxa"/>
            <w:vAlign w:val="bottom"/>
          </w:tcPr>
          <w:p w14:paraId="1AFEEB51"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409652AD" w14:textId="77777777" w:rsidR="008E5DE4" w:rsidRDefault="008E5DE4">
            <w:pPr>
              <w:widowControl w:val="0"/>
              <w:pBdr>
                <w:top w:val="nil"/>
                <w:left w:val="nil"/>
                <w:bottom w:val="nil"/>
                <w:right w:val="nil"/>
                <w:between w:val="nil"/>
              </w:pBdr>
              <w:jc w:val="right"/>
              <w:rPr>
                <w:color w:val="000000"/>
              </w:rPr>
            </w:pPr>
          </w:p>
        </w:tc>
      </w:tr>
      <w:tr w:rsidR="008E5DE4" w14:paraId="5B67DBEF" w14:textId="77777777">
        <w:trPr>
          <w:cantSplit/>
        </w:trPr>
        <w:tc>
          <w:tcPr>
            <w:tcW w:w="7143" w:type="dxa"/>
            <w:vAlign w:val="bottom"/>
          </w:tcPr>
          <w:p w14:paraId="15884043" w14:textId="77777777" w:rsidR="008E5DE4" w:rsidRDefault="00780368">
            <w:pPr>
              <w:widowControl w:val="0"/>
              <w:pBdr>
                <w:top w:val="nil"/>
                <w:left w:val="nil"/>
                <w:bottom w:val="nil"/>
                <w:right w:val="nil"/>
                <w:between w:val="nil"/>
              </w:pBdr>
              <w:ind w:left="113" w:right="-57" w:hanging="113"/>
              <w:rPr>
                <w:color w:val="000000"/>
              </w:rPr>
            </w:pPr>
            <w:r>
              <w:rPr>
                <w:color w:val="000000"/>
              </w:rPr>
              <w:t>Less: Cash and cash equivalents of subsidiary acquired</w:t>
            </w:r>
          </w:p>
        </w:tc>
        <w:tc>
          <w:tcPr>
            <w:tcW w:w="680" w:type="dxa"/>
            <w:vAlign w:val="bottom"/>
          </w:tcPr>
          <w:p w14:paraId="27160EFA"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14494EFC" w14:textId="77777777" w:rsidR="008E5DE4" w:rsidRDefault="008E5DE4">
            <w:pPr>
              <w:widowControl w:val="0"/>
              <w:pBdr>
                <w:top w:val="nil"/>
                <w:left w:val="nil"/>
                <w:bottom w:val="nil"/>
                <w:right w:val="nil"/>
                <w:between w:val="nil"/>
              </w:pBdr>
              <w:jc w:val="right"/>
              <w:rPr>
                <w:color w:val="000000"/>
              </w:rPr>
            </w:pPr>
          </w:p>
        </w:tc>
      </w:tr>
      <w:tr w:rsidR="008E5DE4" w14:paraId="5E578506" w14:textId="77777777">
        <w:trPr>
          <w:cantSplit/>
        </w:trPr>
        <w:tc>
          <w:tcPr>
            <w:tcW w:w="7143" w:type="dxa"/>
            <w:tcBorders>
              <w:bottom w:val="single" w:sz="4" w:space="0" w:color="000000"/>
            </w:tcBorders>
            <w:vAlign w:val="bottom"/>
          </w:tcPr>
          <w:p w14:paraId="3A6D371E"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680" w:type="dxa"/>
            <w:tcBorders>
              <w:bottom w:val="single" w:sz="4" w:space="0" w:color="000000"/>
            </w:tcBorders>
            <w:vAlign w:val="bottom"/>
          </w:tcPr>
          <w:p w14:paraId="0AE844D5" w14:textId="77777777" w:rsidR="008E5DE4" w:rsidRDefault="008E5DE4">
            <w:pPr>
              <w:widowControl w:val="0"/>
              <w:pBdr>
                <w:top w:val="nil"/>
                <w:left w:val="nil"/>
                <w:bottom w:val="nil"/>
                <w:right w:val="nil"/>
                <w:between w:val="nil"/>
              </w:pBdr>
              <w:jc w:val="center"/>
              <w:rPr>
                <w:color w:val="000000"/>
                <w:sz w:val="16"/>
                <w:szCs w:val="16"/>
              </w:rPr>
            </w:pPr>
          </w:p>
        </w:tc>
        <w:tc>
          <w:tcPr>
            <w:tcW w:w="1531" w:type="dxa"/>
            <w:tcBorders>
              <w:bottom w:val="single" w:sz="4" w:space="0" w:color="000000"/>
            </w:tcBorders>
            <w:vAlign w:val="bottom"/>
          </w:tcPr>
          <w:p w14:paraId="0BA54512" w14:textId="77777777" w:rsidR="008E5DE4" w:rsidRDefault="008E5DE4">
            <w:pPr>
              <w:widowControl w:val="0"/>
              <w:pBdr>
                <w:top w:val="nil"/>
                <w:left w:val="nil"/>
                <w:bottom w:val="nil"/>
                <w:right w:val="nil"/>
                <w:between w:val="nil"/>
              </w:pBdr>
              <w:jc w:val="right"/>
              <w:rPr>
                <w:color w:val="000000"/>
                <w:sz w:val="16"/>
                <w:szCs w:val="16"/>
              </w:rPr>
            </w:pPr>
          </w:p>
        </w:tc>
      </w:tr>
      <w:tr w:rsidR="008E5DE4" w14:paraId="709C66F7" w14:textId="77777777">
        <w:trPr>
          <w:cantSplit/>
        </w:trPr>
        <w:tc>
          <w:tcPr>
            <w:tcW w:w="7143" w:type="dxa"/>
            <w:tcBorders>
              <w:top w:val="single" w:sz="4" w:space="0" w:color="000000"/>
            </w:tcBorders>
            <w:vAlign w:val="bottom"/>
          </w:tcPr>
          <w:p w14:paraId="5E972DF1" w14:textId="77777777" w:rsidR="008E5DE4" w:rsidRDefault="00780368">
            <w:pPr>
              <w:widowControl w:val="0"/>
              <w:pBdr>
                <w:top w:val="nil"/>
                <w:left w:val="nil"/>
                <w:bottom w:val="nil"/>
                <w:right w:val="nil"/>
                <w:between w:val="nil"/>
              </w:pBdr>
              <w:ind w:left="113" w:right="-57" w:hanging="113"/>
              <w:rPr>
                <w:color w:val="000000"/>
                <w:sz w:val="16"/>
                <w:szCs w:val="16"/>
              </w:rPr>
            </w:pPr>
            <w:r>
              <w:rPr>
                <w:color w:val="000000"/>
                <w:sz w:val="16"/>
                <w:szCs w:val="16"/>
              </w:rPr>
              <w:t> </w:t>
            </w:r>
          </w:p>
        </w:tc>
        <w:tc>
          <w:tcPr>
            <w:tcW w:w="680" w:type="dxa"/>
            <w:tcBorders>
              <w:top w:val="single" w:sz="4" w:space="0" w:color="000000"/>
            </w:tcBorders>
            <w:vAlign w:val="bottom"/>
          </w:tcPr>
          <w:p w14:paraId="68CA4C91" w14:textId="77777777" w:rsidR="008E5DE4" w:rsidRDefault="008E5DE4">
            <w:pPr>
              <w:widowControl w:val="0"/>
              <w:pBdr>
                <w:top w:val="nil"/>
                <w:left w:val="nil"/>
                <w:bottom w:val="nil"/>
                <w:right w:val="nil"/>
                <w:between w:val="nil"/>
              </w:pBdr>
              <w:jc w:val="center"/>
              <w:rPr>
                <w:color w:val="000000"/>
                <w:sz w:val="16"/>
                <w:szCs w:val="16"/>
              </w:rPr>
            </w:pPr>
          </w:p>
        </w:tc>
        <w:tc>
          <w:tcPr>
            <w:tcW w:w="1531" w:type="dxa"/>
            <w:tcBorders>
              <w:top w:val="single" w:sz="4" w:space="0" w:color="000000"/>
            </w:tcBorders>
            <w:vAlign w:val="bottom"/>
          </w:tcPr>
          <w:p w14:paraId="33E84499" w14:textId="77777777" w:rsidR="008E5DE4" w:rsidRDefault="008E5DE4">
            <w:pPr>
              <w:widowControl w:val="0"/>
              <w:pBdr>
                <w:top w:val="nil"/>
                <w:left w:val="nil"/>
                <w:bottom w:val="nil"/>
                <w:right w:val="nil"/>
                <w:between w:val="nil"/>
              </w:pBdr>
              <w:jc w:val="right"/>
              <w:rPr>
                <w:b/>
                <w:color w:val="000000"/>
                <w:sz w:val="16"/>
                <w:szCs w:val="16"/>
              </w:rPr>
            </w:pPr>
          </w:p>
        </w:tc>
      </w:tr>
      <w:tr w:rsidR="008E5DE4" w14:paraId="25FE4407" w14:textId="77777777">
        <w:trPr>
          <w:cantSplit/>
        </w:trPr>
        <w:tc>
          <w:tcPr>
            <w:tcW w:w="7143" w:type="dxa"/>
            <w:vAlign w:val="bottom"/>
          </w:tcPr>
          <w:p w14:paraId="3B26F336" w14:textId="77777777" w:rsidR="008E5DE4" w:rsidRDefault="00780368">
            <w:pPr>
              <w:widowControl w:val="0"/>
              <w:pBdr>
                <w:top w:val="nil"/>
                <w:left w:val="nil"/>
                <w:bottom w:val="nil"/>
                <w:right w:val="nil"/>
                <w:between w:val="nil"/>
              </w:pBdr>
              <w:ind w:left="113" w:right="-57" w:hanging="113"/>
              <w:rPr>
                <w:b/>
                <w:color w:val="000000"/>
              </w:rPr>
            </w:pPr>
            <w:r>
              <w:rPr>
                <w:b/>
                <w:color w:val="000000"/>
              </w:rPr>
              <w:t>Outflow of cash and cash equivalents on acquisition</w:t>
            </w:r>
          </w:p>
        </w:tc>
        <w:tc>
          <w:tcPr>
            <w:tcW w:w="680" w:type="dxa"/>
            <w:vAlign w:val="bottom"/>
          </w:tcPr>
          <w:p w14:paraId="604D4498" w14:textId="77777777" w:rsidR="008E5DE4" w:rsidRDefault="008E5DE4">
            <w:pPr>
              <w:widowControl w:val="0"/>
              <w:pBdr>
                <w:top w:val="nil"/>
                <w:left w:val="nil"/>
                <w:bottom w:val="nil"/>
                <w:right w:val="nil"/>
                <w:between w:val="nil"/>
              </w:pBdr>
              <w:jc w:val="center"/>
              <w:rPr>
                <w:color w:val="000000"/>
              </w:rPr>
            </w:pPr>
          </w:p>
        </w:tc>
        <w:tc>
          <w:tcPr>
            <w:tcW w:w="1531" w:type="dxa"/>
            <w:vAlign w:val="bottom"/>
          </w:tcPr>
          <w:p w14:paraId="0F4D5D3A" w14:textId="77777777" w:rsidR="008E5DE4" w:rsidRDefault="008E5DE4">
            <w:pPr>
              <w:widowControl w:val="0"/>
              <w:pBdr>
                <w:top w:val="nil"/>
                <w:left w:val="nil"/>
                <w:bottom w:val="nil"/>
                <w:right w:val="nil"/>
                <w:between w:val="nil"/>
              </w:pBdr>
              <w:jc w:val="right"/>
              <w:rPr>
                <w:b/>
                <w:color w:val="000000"/>
              </w:rPr>
            </w:pPr>
          </w:p>
        </w:tc>
      </w:tr>
      <w:tr w:rsidR="008E5DE4" w14:paraId="452734B2" w14:textId="77777777">
        <w:trPr>
          <w:cantSplit/>
        </w:trPr>
        <w:tc>
          <w:tcPr>
            <w:tcW w:w="7143" w:type="dxa"/>
            <w:tcBorders>
              <w:bottom w:val="single" w:sz="12" w:space="0" w:color="000000"/>
            </w:tcBorders>
            <w:vAlign w:val="bottom"/>
          </w:tcPr>
          <w:p w14:paraId="26847EBC" w14:textId="77777777" w:rsidR="008E5DE4" w:rsidRDefault="00780368">
            <w:pPr>
              <w:widowControl w:val="0"/>
              <w:pBdr>
                <w:top w:val="nil"/>
                <w:left w:val="nil"/>
                <w:bottom w:val="nil"/>
                <w:right w:val="nil"/>
                <w:between w:val="nil"/>
              </w:pBdr>
              <w:ind w:left="113" w:right="-57" w:hanging="113"/>
              <w:rPr>
                <w:b/>
                <w:color w:val="000000"/>
                <w:sz w:val="14"/>
                <w:szCs w:val="14"/>
              </w:rPr>
            </w:pPr>
            <w:r>
              <w:rPr>
                <w:color w:val="000000"/>
                <w:sz w:val="14"/>
                <w:szCs w:val="14"/>
              </w:rPr>
              <w:t> </w:t>
            </w:r>
          </w:p>
        </w:tc>
        <w:tc>
          <w:tcPr>
            <w:tcW w:w="680" w:type="dxa"/>
            <w:tcBorders>
              <w:bottom w:val="single" w:sz="12" w:space="0" w:color="000000"/>
            </w:tcBorders>
            <w:vAlign w:val="bottom"/>
          </w:tcPr>
          <w:p w14:paraId="43FEC2FF" w14:textId="77777777" w:rsidR="008E5DE4" w:rsidRDefault="008E5DE4">
            <w:pPr>
              <w:widowControl w:val="0"/>
              <w:pBdr>
                <w:top w:val="nil"/>
                <w:left w:val="nil"/>
                <w:bottom w:val="nil"/>
                <w:right w:val="nil"/>
                <w:between w:val="nil"/>
              </w:pBdr>
              <w:jc w:val="center"/>
              <w:rPr>
                <w:color w:val="000000"/>
                <w:sz w:val="14"/>
                <w:szCs w:val="14"/>
              </w:rPr>
            </w:pPr>
          </w:p>
        </w:tc>
        <w:tc>
          <w:tcPr>
            <w:tcW w:w="1531" w:type="dxa"/>
            <w:tcBorders>
              <w:bottom w:val="single" w:sz="12" w:space="0" w:color="000000"/>
            </w:tcBorders>
            <w:vAlign w:val="bottom"/>
          </w:tcPr>
          <w:p w14:paraId="1F8B7C2B" w14:textId="77777777" w:rsidR="008E5DE4" w:rsidRDefault="008E5DE4">
            <w:pPr>
              <w:widowControl w:val="0"/>
              <w:pBdr>
                <w:top w:val="nil"/>
                <w:left w:val="nil"/>
                <w:bottom w:val="nil"/>
                <w:right w:val="nil"/>
                <w:between w:val="nil"/>
              </w:pBdr>
              <w:jc w:val="right"/>
              <w:rPr>
                <w:b/>
                <w:color w:val="000000"/>
                <w:sz w:val="14"/>
                <w:szCs w:val="14"/>
              </w:rPr>
            </w:pPr>
          </w:p>
        </w:tc>
      </w:tr>
    </w:tbl>
    <w:p w14:paraId="0C1D578D" w14:textId="6D23DA5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non-controlling interest represents a share in the net assets of the acquiree attributable to owners of the non-controlling interest</w:t>
      </w:r>
      <w:r>
        <w:rPr>
          <w:color w:val="0000FF"/>
          <w:sz w:val="20"/>
          <w:szCs w:val="20"/>
        </w:rPr>
        <w:t>. [The non-controlling interest was measured at its market value. The fair value of the non-controlling interest was estimated by applying an income approach. The fair value estimates are based on: (a) an assumed discount rate range of [____–____] per cent; (b) an assumed terminal value based on a range of terminal EBITDA multiples between [____ and ____] times; (c) assumed financial multiples of companies deemed to be similar to the acquiree; and (d) assumed adjustments because of the lack of control or lack of marketability that market participants would consider when estimating the fair value of the non-controlling interest.]</w:t>
      </w:r>
      <w:r>
        <w:rPr>
          <w:color w:val="000000"/>
          <w:sz w:val="20"/>
          <w:szCs w:val="20"/>
        </w:rPr>
        <w:t xml:space="preserve"> </w:t>
      </w:r>
    </w:p>
    <w:p w14:paraId="5CB46941" w14:textId="77777777" w:rsidR="008E5DE4" w:rsidRDefault="00780368">
      <w:pPr>
        <w:widowControl w:val="0"/>
        <w:pBdr>
          <w:top w:val="nil"/>
          <w:left w:val="nil"/>
          <w:bottom w:val="nil"/>
          <w:right w:val="nil"/>
          <w:between w:val="nil"/>
        </w:pBdr>
        <w:spacing w:before="200" w:after="200"/>
        <w:jc w:val="both"/>
        <w:rPr>
          <w:color w:val="000000"/>
          <w:sz w:val="20"/>
          <w:szCs w:val="20"/>
        </w:rPr>
      </w:pPr>
      <w:bookmarkStart w:id="79" w:name="_heading=h.4h042r0" w:colFirst="0" w:colLast="0"/>
      <w:bookmarkEnd w:id="79"/>
      <w:r>
        <w:rPr>
          <w:color w:val="000000"/>
          <w:sz w:val="20"/>
          <w:szCs w:val="20"/>
        </w:rPr>
        <w:t xml:space="preserve">The fair values of assets and liabilities acquired are based on </w:t>
      </w:r>
      <w:r>
        <w:rPr>
          <w:color w:val="0000FF"/>
          <w:sz w:val="20"/>
          <w:szCs w:val="20"/>
        </w:rPr>
        <w:t>[discounted cash flow models]</w:t>
      </w:r>
      <w:r>
        <w:rPr>
          <w:color w:val="000000"/>
          <w:sz w:val="20"/>
          <w:szCs w:val="20"/>
        </w:rPr>
        <w:t>. The valuation of identifiable intangible assets was performed by an independent professional appraiser. Based on the appraisal report the following items were included in the purchase price allocation:</w:t>
      </w:r>
    </w:p>
    <w:p w14:paraId="1036C2D3" w14:textId="77777777" w:rsidR="008E5DE4" w:rsidRDefault="00780368">
      <w:pPr>
        <w:widowControl w:val="0"/>
        <w:numPr>
          <w:ilvl w:val="0"/>
          <w:numId w:val="16"/>
        </w:numPr>
        <w:pBdr>
          <w:top w:val="nil"/>
          <w:left w:val="nil"/>
          <w:bottom w:val="nil"/>
          <w:right w:val="nil"/>
          <w:between w:val="nil"/>
        </w:pBdr>
        <w:spacing w:before="100" w:after="100"/>
        <w:jc w:val="both"/>
        <w:rPr>
          <w:color w:val="0000FF"/>
          <w:sz w:val="20"/>
          <w:szCs w:val="20"/>
        </w:rPr>
      </w:pPr>
      <w:r>
        <w:rPr>
          <w:color w:val="0000FF"/>
          <w:sz w:val="20"/>
          <w:szCs w:val="20"/>
        </w:rPr>
        <w:t>[operating licences valued at EUR____ thousands;]</w:t>
      </w:r>
    </w:p>
    <w:p w14:paraId="1FDCD4D2" w14:textId="77777777" w:rsidR="008E5DE4" w:rsidRDefault="00780368">
      <w:pPr>
        <w:widowControl w:val="0"/>
        <w:numPr>
          <w:ilvl w:val="0"/>
          <w:numId w:val="16"/>
        </w:numPr>
        <w:pBdr>
          <w:top w:val="nil"/>
          <w:left w:val="nil"/>
          <w:bottom w:val="nil"/>
          <w:right w:val="nil"/>
          <w:between w:val="nil"/>
        </w:pBdr>
        <w:spacing w:before="100" w:after="100"/>
        <w:jc w:val="both"/>
        <w:rPr>
          <w:color w:val="0000FF"/>
          <w:sz w:val="20"/>
          <w:szCs w:val="20"/>
        </w:rPr>
      </w:pPr>
      <w:r>
        <w:rPr>
          <w:color w:val="0000FF"/>
          <w:sz w:val="20"/>
          <w:szCs w:val="20"/>
        </w:rPr>
        <w:t>[brand name valued at EUR____ thousands; and]</w:t>
      </w:r>
    </w:p>
    <w:p w14:paraId="75DD50A8" w14:textId="77777777" w:rsidR="008E5DE4" w:rsidRDefault="00780368">
      <w:pPr>
        <w:widowControl w:val="0"/>
        <w:numPr>
          <w:ilvl w:val="0"/>
          <w:numId w:val="16"/>
        </w:numPr>
        <w:pBdr>
          <w:top w:val="nil"/>
          <w:left w:val="nil"/>
          <w:bottom w:val="nil"/>
          <w:right w:val="nil"/>
          <w:between w:val="nil"/>
        </w:pBdr>
        <w:spacing w:before="100" w:after="100"/>
        <w:jc w:val="both"/>
        <w:rPr>
          <w:color w:val="0000FF"/>
          <w:sz w:val="20"/>
          <w:szCs w:val="20"/>
        </w:rPr>
      </w:pPr>
      <w:r>
        <w:rPr>
          <w:color w:val="0000FF"/>
          <w:sz w:val="20"/>
          <w:szCs w:val="20"/>
        </w:rPr>
        <w:t>[proprietary software valued at EUR____ thousands.]</w:t>
      </w:r>
    </w:p>
    <w:p w14:paraId="466C2B1A" w14:textId="77777777" w:rsidR="008E5DE4" w:rsidRDefault="00780368">
      <w:pPr>
        <w:widowControl w:val="0"/>
        <w:spacing w:before="200" w:after="200"/>
        <w:rPr>
          <w:b/>
          <w:sz w:val="20"/>
          <w:szCs w:val="20"/>
        </w:rPr>
      </w:pPr>
      <w:r>
        <w:rPr>
          <w:sz w:val="20"/>
          <w:szCs w:val="20"/>
        </w:rPr>
        <w:t>The fair value of the acquired identifiable intangible assets of EUR_____ thousand is provisional pending receipt of the final valuations for those assets.</w:t>
      </w:r>
    </w:p>
    <w:p w14:paraId="3EBE57D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50</w:t>
      </w:r>
      <w:r>
        <w:rPr>
          <w:b/>
          <w:color w:val="000000"/>
          <w:sz w:val="20"/>
          <w:szCs w:val="20"/>
        </w:rPr>
        <w:tab/>
        <w:t>Business Combinations (Continued)</w:t>
      </w:r>
    </w:p>
    <w:p w14:paraId="273CB351" w14:textId="137D5731"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Contingent tax exposures are attributable to </w:t>
      </w:r>
      <w:r>
        <w:rPr>
          <w:color w:val="0000FF"/>
          <w:sz w:val="20"/>
          <w:szCs w:val="20"/>
        </w:rPr>
        <w:t>[transfer pricing tax risks]</w:t>
      </w:r>
      <w:r>
        <w:rPr>
          <w:color w:val="000000"/>
          <w:sz w:val="20"/>
          <w:szCs w:val="20"/>
        </w:rPr>
        <w:t xml:space="preserve"> and expire within</w:t>
      </w:r>
      <w:r>
        <w:rPr>
          <w:color w:val="0000FF"/>
          <w:sz w:val="20"/>
          <w:szCs w:val="20"/>
        </w:rPr>
        <w:t xml:space="preserve"> [three]</w:t>
      </w:r>
      <w:r>
        <w:rPr>
          <w:color w:val="000000"/>
          <w:sz w:val="20"/>
          <w:szCs w:val="20"/>
        </w:rPr>
        <w:t xml:space="preserve"> years from the acquisition. Refer to Note 43. </w:t>
      </w:r>
    </w:p>
    <w:p w14:paraId="5EB7E697" w14:textId="4A869CD6"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The goodwill is primarily attributable to the profitability of the acquired business, the significant synergies and combined cost savings expected to arise. The goodwill will not be deductible for tax purposes in future periods.</w:t>
      </w:r>
      <w:r>
        <w:rPr>
          <w:color w:val="FF0000"/>
          <w:sz w:val="20"/>
          <w:szCs w:val="20"/>
        </w:rPr>
        <w:t xml:space="preserve"> </w:t>
      </w:r>
    </w:p>
    <w:p w14:paraId="50162996" w14:textId="0951427B"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acquired subsidiary contributed revenue of EUR_____ thousand and profit of EUR_____ thousand to the Group for the period from the date of acquisition to 31 December </w:t>
      </w:r>
      <w:r w:rsidR="008614F8">
        <w:rPr>
          <w:color w:val="000000"/>
          <w:sz w:val="20"/>
          <w:szCs w:val="20"/>
        </w:rPr>
        <w:t>2025</w:t>
      </w:r>
      <w:r>
        <w:rPr>
          <w:color w:val="000000"/>
          <w:sz w:val="20"/>
          <w:szCs w:val="20"/>
        </w:rPr>
        <w:t xml:space="preserve">. If the acquisition had occurred on 1 January </w:t>
      </w:r>
      <w:r w:rsidR="008614F8">
        <w:rPr>
          <w:color w:val="000000"/>
          <w:sz w:val="20"/>
          <w:szCs w:val="20"/>
        </w:rPr>
        <w:t>2025</w:t>
      </w:r>
      <w:r>
        <w:rPr>
          <w:color w:val="000000"/>
          <w:sz w:val="20"/>
          <w:szCs w:val="20"/>
        </w:rPr>
        <w:t xml:space="preserve">, Group revenue for </w:t>
      </w:r>
      <w:r w:rsidR="008614F8">
        <w:rPr>
          <w:color w:val="000000"/>
          <w:sz w:val="20"/>
          <w:szCs w:val="20"/>
        </w:rPr>
        <w:t>2025</w:t>
      </w:r>
      <w:r>
        <w:rPr>
          <w:color w:val="000000"/>
          <w:sz w:val="20"/>
          <w:szCs w:val="20"/>
        </w:rPr>
        <w:t xml:space="preserve"> would have been EUR_____ thousand, and profit for </w:t>
      </w:r>
      <w:r w:rsidR="008614F8">
        <w:rPr>
          <w:color w:val="000000"/>
          <w:sz w:val="20"/>
          <w:szCs w:val="20"/>
        </w:rPr>
        <w:t>2025</w:t>
      </w:r>
      <w:r>
        <w:rPr>
          <w:color w:val="000000"/>
          <w:sz w:val="20"/>
          <w:szCs w:val="20"/>
        </w:rPr>
        <w:t xml:space="preserve"> would have been EUR_____ thousand.</w:t>
      </w:r>
    </w:p>
    <w:p w14:paraId="7D464D8F" w14:textId="746A50D4" w:rsidR="008E5DE4" w:rsidRDefault="00504BB1" w:rsidP="007F183E">
      <w:pPr>
        <w:pStyle w:val="Heading1"/>
        <w:numPr>
          <w:ilvl w:val="0"/>
          <w:numId w:val="0"/>
        </w:numPr>
        <w:ind w:left="567" w:hanging="567"/>
      </w:pPr>
      <w:bookmarkStart w:id="80" w:name="_Toc149923650"/>
      <w:bookmarkStart w:id="81" w:name="_Ref213414093"/>
      <w:bookmarkStart w:id="82" w:name="_Ref213414097"/>
      <w:bookmarkStart w:id="83" w:name="_Ref213414098"/>
      <w:r>
        <w:t xml:space="preserve">51 </w:t>
      </w:r>
      <w:r>
        <w:tab/>
      </w:r>
      <w:r w:rsidR="00780368">
        <w:t>Financial Risk Management</w:t>
      </w:r>
      <w:bookmarkEnd w:id="80"/>
      <w:bookmarkEnd w:id="81"/>
      <w:bookmarkEnd w:id="82"/>
      <w:bookmarkEnd w:id="83"/>
    </w:p>
    <w:p w14:paraId="47FA0017" w14:textId="77777777" w:rsidR="008E5DE4" w:rsidRDefault="00780368" w:rsidP="007F183E">
      <w:pPr>
        <w:widowControl w:val="0"/>
        <w:pBdr>
          <w:top w:val="nil"/>
          <w:left w:val="nil"/>
          <w:bottom w:val="nil"/>
          <w:right w:val="nil"/>
          <w:between w:val="nil"/>
        </w:pBdr>
        <w:spacing w:before="240" w:after="240"/>
        <w:jc w:val="both"/>
        <w:rPr>
          <w:color w:val="000000"/>
          <w:sz w:val="20"/>
          <w:szCs w:val="20"/>
        </w:rPr>
      </w:pPr>
      <w:r>
        <w:rPr>
          <w:color w:val="000000"/>
          <w:sz w:val="20"/>
          <w:szCs w:val="20"/>
        </w:rPr>
        <w:t xml:space="preserve">The risk management function within the Group is carried out with respect to financial risks, operational risks and legal risks. Financial risk comprises market risk (including currency risk, interest rate risk and other price risks), credit risk and liquidity risk. The primary function of financial risk management is to establish risk limits and to ensure that any exposure to risk stays within these limits. The operational and legal risk management functions are intended to ensure the proper functioning of internal policies and procedures </w:t>
      </w:r>
      <w:proofErr w:type="gramStart"/>
      <w:r>
        <w:rPr>
          <w:color w:val="000000"/>
          <w:sz w:val="20"/>
          <w:szCs w:val="20"/>
        </w:rPr>
        <w:t>in order to</w:t>
      </w:r>
      <w:proofErr w:type="gramEnd"/>
      <w:r>
        <w:rPr>
          <w:color w:val="000000"/>
          <w:sz w:val="20"/>
          <w:szCs w:val="20"/>
        </w:rPr>
        <w:t xml:space="preserve"> minimise operational and legal risks.</w:t>
      </w:r>
    </w:p>
    <w:p w14:paraId="5CE25901" w14:textId="77777777" w:rsidR="008E5DE4" w:rsidRDefault="00780368">
      <w:pPr>
        <w:spacing w:before="200" w:after="200"/>
        <w:jc w:val="both"/>
        <w:rPr>
          <w:sz w:val="20"/>
          <w:szCs w:val="20"/>
        </w:rPr>
      </w:pPr>
      <w:r>
        <w:rPr>
          <w:b/>
          <w:i/>
          <w:sz w:val="20"/>
          <w:szCs w:val="20"/>
        </w:rPr>
        <w:t xml:space="preserve">Credit risk. </w:t>
      </w:r>
      <w:r>
        <w:rPr>
          <w:sz w:val="20"/>
          <w:szCs w:val="20"/>
        </w:rPr>
        <w:t xml:space="preserve">The Group exposes itself to credit risk, which is the risk that one party to a financial instrument will cause a financial loss for the other party by failing to meet an obligation. </w:t>
      </w:r>
    </w:p>
    <w:p w14:paraId="727D75B8" w14:textId="77777777" w:rsidR="008E5DE4" w:rsidRDefault="00780368">
      <w:pPr>
        <w:spacing w:before="200" w:after="200"/>
        <w:jc w:val="both"/>
        <w:rPr>
          <w:sz w:val="20"/>
          <w:szCs w:val="20"/>
        </w:rPr>
      </w:pPr>
      <w:r>
        <w:rPr>
          <w:sz w:val="20"/>
          <w:szCs w:val="20"/>
        </w:rPr>
        <w:t xml:space="preserve">Exposure to credit risk arises from trade receivables, contract assets, cash and cash equivalents and </w:t>
      </w:r>
      <w:proofErr w:type="gramStart"/>
      <w:r>
        <w:rPr>
          <w:sz w:val="20"/>
          <w:szCs w:val="20"/>
        </w:rPr>
        <w:t>as a result of</w:t>
      </w:r>
      <w:proofErr w:type="gramEnd"/>
      <w:r>
        <w:rPr>
          <w:sz w:val="20"/>
          <w:szCs w:val="20"/>
        </w:rPr>
        <w:t xml:space="preserve"> the Group’s lending and other transactions with counterparties, giving rise to financial assets and off-balance sheet credit-related commitments. </w:t>
      </w:r>
    </w:p>
    <w:p w14:paraId="521A056F" w14:textId="77777777" w:rsidR="008E5DE4" w:rsidRDefault="00780368">
      <w:pPr>
        <w:widowControl w:val="0"/>
        <w:pBdr>
          <w:top w:val="nil"/>
          <w:left w:val="nil"/>
          <w:bottom w:val="nil"/>
          <w:right w:val="nil"/>
          <w:between w:val="nil"/>
        </w:pBdr>
        <w:spacing w:before="240" w:after="240"/>
        <w:jc w:val="both"/>
        <w:rPr>
          <w:color w:val="000000"/>
          <w:sz w:val="20"/>
          <w:szCs w:val="20"/>
        </w:rPr>
      </w:pPr>
      <w:r>
        <w:rPr>
          <w:color w:val="000000"/>
          <w:sz w:val="20"/>
          <w:szCs w:val="20"/>
        </w:rPr>
        <w:t xml:space="preserve">The Group’s maximum exposure to credit risk is reflected in the carrying amounts of financial assets in the consolidated statement of financial position. For financial guarantees issued, commitments to extend credit, undrawn credit lines and export/import letters of credit, the maximum exposure to credit risk is the amount of the commitment. </w:t>
      </w:r>
    </w:p>
    <w:p w14:paraId="4B4F5B40" w14:textId="77777777" w:rsidR="008E5DE4" w:rsidRDefault="00780368">
      <w:pPr>
        <w:widowControl w:val="0"/>
        <w:pBdr>
          <w:top w:val="nil"/>
          <w:left w:val="nil"/>
          <w:bottom w:val="nil"/>
          <w:right w:val="nil"/>
          <w:between w:val="nil"/>
        </w:pBdr>
        <w:spacing w:before="240" w:after="240"/>
        <w:jc w:val="both"/>
        <w:rPr>
          <w:color w:val="000000"/>
          <w:sz w:val="20"/>
          <w:szCs w:val="20"/>
        </w:rPr>
      </w:pPr>
      <w:r>
        <w:rPr>
          <w:i/>
          <w:color w:val="000000"/>
          <w:sz w:val="20"/>
          <w:szCs w:val="20"/>
        </w:rPr>
        <w:t>Credit risk management.</w:t>
      </w:r>
      <w:r>
        <w:rPr>
          <w:color w:val="000000"/>
          <w:sz w:val="20"/>
          <w:szCs w:val="20"/>
        </w:rPr>
        <w:t xml:space="preserve"> Credit risk is the single largest risk for the Group's business; management therefore carefully manages its exposure to credit risk. </w:t>
      </w:r>
    </w:p>
    <w:p w14:paraId="3E6C7D9E" w14:textId="77777777" w:rsidR="008E5DE4" w:rsidRDefault="00780368">
      <w:pPr>
        <w:widowControl w:val="0"/>
        <w:pBdr>
          <w:top w:val="nil"/>
          <w:left w:val="nil"/>
          <w:bottom w:val="nil"/>
          <w:right w:val="nil"/>
          <w:between w:val="nil"/>
        </w:pBdr>
        <w:spacing w:before="240" w:after="240"/>
        <w:jc w:val="both"/>
        <w:rPr>
          <w:color w:val="000000"/>
          <w:sz w:val="20"/>
          <w:szCs w:val="20"/>
        </w:rPr>
      </w:pPr>
      <w:r>
        <w:rPr>
          <w:color w:val="000000"/>
          <w:sz w:val="20"/>
          <w:szCs w:val="20"/>
        </w:rPr>
        <w:t>The estimation of credit risk for risk management purposes is complex and involves the use of models, as the risk varies depending on market conditions, expected cash flows and the passage of time. The assessment of credit risk for a portfolio of assets entails further estimations of the likelihood of defaults occurring, the associated loss ratios and default correlations between counterparties.</w:t>
      </w:r>
    </w:p>
    <w:p w14:paraId="631BE84B" w14:textId="77777777" w:rsidR="008E5DE4" w:rsidRDefault="00780368">
      <w:pPr>
        <w:jc w:val="both"/>
        <w:rPr>
          <w:sz w:val="20"/>
          <w:szCs w:val="20"/>
        </w:rPr>
      </w:pPr>
      <w:r>
        <w:rPr>
          <w:i/>
          <w:sz w:val="20"/>
          <w:szCs w:val="20"/>
        </w:rPr>
        <w:t>Limits.</w:t>
      </w:r>
      <w:r>
        <w:rPr>
          <w:sz w:val="20"/>
          <w:szCs w:val="20"/>
        </w:rPr>
        <w:t xml:space="preserve"> The Group structures the levels of credit risk it undertakes by placing limits on the amount of risk accepted in relation to one borrower, or groups of borrowers, and to geographical and industry segments. Limits on the level of credit risk by product and industry sector are approved regularly by management. Such risks are monitored on a revolving basis and are subject to an annual, or more frequent, review. </w:t>
      </w:r>
    </w:p>
    <w:p w14:paraId="40AB738A" w14:textId="77777777" w:rsidR="008E5DE4" w:rsidRDefault="00780368">
      <w:pPr>
        <w:widowControl w:val="0"/>
        <w:pBdr>
          <w:top w:val="nil"/>
          <w:left w:val="nil"/>
          <w:bottom w:val="nil"/>
          <w:right w:val="nil"/>
          <w:between w:val="nil"/>
        </w:pBdr>
        <w:spacing w:before="240" w:after="240"/>
        <w:jc w:val="both"/>
        <w:rPr>
          <w:color w:val="0000FF"/>
        </w:rPr>
      </w:pPr>
      <w:r>
        <w:rPr>
          <w:color w:val="0000FF"/>
          <w:sz w:val="20"/>
          <w:szCs w:val="20"/>
        </w:rPr>
        <w:t xml:space="preserve">[The Group established </w:t>
      </w:r>
      <w:proofErr w:type="gramStart"/>
      <w:r>
        <w:rPr>
          <w:color w:val="0000FF"/>
          <w:sz w:val="20"/>
          <w:szCs w:val="20"/>
        </w:rPr>
        <w:t>a number of</w:t>
      </w:r>
      <w:proofErr w:type="gramEnd"/>
      <w:r>
        <w:rPr>
          <w:color w:val="0000FF"/>
          <w:sz w:val="20"/>
          <w:szCs w:val="20"/>
        </w:rPr>
        <w:t xml:space="preserve"> credit committees that are responsible for approving credit limits for individual </w:t>
      </w:r>
      <w:r>
        <w:rPr>
          <w:color w:val="0000FF"/>
        </w:rPr>
        <w:t xml:space="preserve">borrowers: </w:t>
      </w:r>
    </w:p>
    <w:p w14:paraId="0C7C5D5D" w14:textId="08157B13" w:rsidR="008E5DE4" w:rsidRDefault="00780368">
      <w:pPr>
        <w:widowControl w:val="0"/>
        <w:numPr>
          <w:ilvl w:val="0"/>
          <w:numId w:val="2"/>
        </w:numPr>
        <w:pBdr>
          <w:top w:val="nil"/>
          <w:left w:val="nil"/>
          <w:bottom w:val="nil"/>
          <w:right w:val="nil"/>
          <w:between w:val="nil"/>
        </w:pBdr>
        <w:spacing w:before="120" w:after="120"/>
        <w:ind w:left="567" w:hanging="567"/>
        <w:jc w:val="both"/>
        <w:rPr>
          <w:color w:val="0000FF"/>
          <w:sz w:val="20"/>
          <w:szCs w:val="20"/>
        </w:rPr>
      </w:pPr>
      <w:r>
        <w:rPr>
          <w:color w:val="0000FF"/>
          <w:sz w:val="20"/>
          <w:szCs w:val="20"/>
        </w:rPr>
        <w:t xml:space="preserve">The senior credit committee reviews and approves limits above EUR ___ thousand and meets monthly. It is also responsible for issuing guidance to lower-level credit </w:t>
      </w:r>
      <w:proofErr w:type="gramStart"/>
      <w:r>
        <w:rPr>
          <w:color w:val="0000FF"/>
          <w:sz w:val="20"/>
          <w:szCs w:val="20"/>
        </w:rPr>
        <w:t>committees;</w:t>
      </w:r>
      <w:proofErr w:type="gramEnd"/>
    </w:p>
    <w:p w14:paraId="1A165F4D" w14:textId="3B1F335D" w:rsidR="008E5DE4" w:rsidRDefault="00780368">
      <w:pPr>
        <w:widowControl w:val="0"/>
        <w:numPr>
          <w:ilvl w:val="0"/>
          <w:numId w:val="2"/>
        </w:numPr>
        <w:pBdr>
          <w:top w:val="nil"/>
          <w:left w:val="nil"/>
          <w:bottom w:val="nil"/>
          <w:right w:val="nil"/>
          <w:between w:val="nil"/>
        </w:pBdr>
        <w:spacing w:before="120" w:after="120"/>
        <w:ind w:left="567" w:hanging="567"/>
        <w:jc w:val="both"/>
        <w:rPr>
          <w:color w:val="0000FF"/>
          <w:sz w:val="20"/>
          <w:szCs w:val="20"/>
        </w:rPr>
      </w:pPr>
      <w:r>
        <w:rPr>
          <w:color w:val="0000FF"/>
          <w:sz w:val="20"/>
          <w:szCs w:val="20"/>
        </w:rPr>
        <w:t>The junior credit committees review and approve credit limits below EUR ___ thousand and meet weekly.]</w:t>
      </w:r>
    </w:p>
    <w:p w14:paraId="6752CE62" w14:textId="77777777" w:rsidR="008E5DE4" w:rsidRPr="00BB1486" w:rsidRDefault="00780368" w:rsidP="00CF3EC7">
      <w:pPr>
        <w:widowControl w:val="0"/>
        <w:pBdr>
          <w:top w:val="nil"/>
          <w:left w:val="nil"/>
          <w:bottom w:val="nil"/>
          <w:right w:val="nil"/>
          <w:between w:val="nil"/>
        </w:pBdr>
        <w:tabs>
          <w:tab w:val="left" w:pos="0"/>
          <w:tab w:val="left" w:pos="567"/>
        </w:tabs>
        <w:spacing w:before="100" w:after="100"/>
        <w:jc w:val="both"/>
        <w:rPr>
          <w:b/>
          <w:bCs/>
        </w:rPr>
      </w:pPr>
      <w:r w:rsidRPr="00BB1486">
        <w:rPr>
          <w:b/>
          <w:bCs/>
          <w:color w:val="000000"/>
          <w:sz w:val="20"/>
          <w:szCs w:val="20"/>
        </w:rPr>
        <w:t>51</w:t>
      </w:r>
      <w:r w:rsidRPr="00BB1486">
        <w:rPr>
          <w:b/>
          <w:bCs/>
          <w:color w:val="000000"/>
          <w:sz w:val="20"/>
          <w:szCs w:val="20"/>
        </w:rPr>
        <w:tab/>
        <w:t>Financial Risk Management (Continued)</w:t>
      </w:r>
    </w:p>
    <w:p w14:paraId="6EC47564" w14:textId="77777777" w:rsidR="008E5DE4" w:rsidRDefault="00780368">
      <w:pPr>
        <w:widowControl w:val="0"/>
        <w:pBdr>
          <w:top w:val="nil"/>
          <w:left w:val="nil"/>
          <w:bottom w:val="nil"/>
          <w:right w:val="nil"/>
          <w:between w:val="nil"/>
        </w:pBdr>
        <w:spacing w:before="240" w:after="240"/>
        <w:jc w:val="both"/>
        <w:rPr>
          <w:color w:val="000000"/>
          <w:sz w:val="20"/>
          <w:szCs w:val="20"/>
        </w:rPr>
      </w:pPr>
      <w:r>
        <w:rPr>
          <w:color w:val="000000"/>
          <w:sz w:val="20"/>
          <w:szCs w:val="20"/>
        </w:rPr>
        <w:t xml:space="preserve">Loan applications originating with the relevant client relationship managers are passed on to the relevant credit committee for the approval of the credit limit. Exposure to credit risk is also managed, in part, by </w:t>
      </w:r>
      <w:r>
        <w:rPr>
          <w:color w:val="000000"/>
          <w:sz w:val="20"/>
          <w:szCs w:val="20"/>
        </w:rPr>
        <w:lastRenderedPageBreak/>
        <w:t xml:space="preserve">obtaining collateral as well as corporate </w:t>
      </w:r>
      <w:r>
        <w:rPr>
          <w:color w:val="0000FF"/>
          <w:sz w:val="20"/>
          <w:szCs w:val="20"/>
        </w:rPr>
        <w:t>[and personal]</w:t>
      </w:r>
      <w:r>
        <w:rPr>
          <w:color w:val="000000"/>
          <w:sz w:val="20"/>
          <w:szCs w:val="20"/>
        </w:rPr>
        <w:t xml:space="preserve"> guarantees. </w:t>
      </w:r>
      <w:proofErr w:type="gramStart"/>
      <w:r>
        <w:rPr>
          <w:color w:val="000000"/>
          <w:sz w:val="20"/>
          <w:szCs w:val="20"/>
        </w:rPr>
        <w:t>In order to</w:t>
      </w:r>
      <w:proofErr w:type="gramEnd"/>
      <w:r>
        <w:rPr>
          <w:color w:val="000000"/>
          <w:sz w:val="20"/>
          <w:szCs w:val="20"/>
        </w:rPr>
        <w:t xml:space="preserve"> monitor exposure to credit risk, regular reports are produced by the </w:t>
      </w:r>
      <w:r>
        <w:rPr>
          <w:color w:val="0000FF"/>
          <w:sz w:val="20"/>
          <w:szCs w:val="20"/>
        </w:rPr>
        <w:t>[credit department’s]</w:t>
      </w:r>
      <w:r>
        <w:rPr>
          <w:color w:val="000000"/>
          <w:sz w:val="20"/>
          <w:szCs w:val="20"/>
        </w:rPr>
        <w:t xml:space="preserve"> officers based on a structured analysis focusing on the customer’s business and financial performance. Any significant interaction with customers with deteriorating creditworthiness </w:t>
      </w:r>
      <w:proofErr w:type="gramStart"/>
      <w:r>
        <w:rPr>
          <w:color w:val="000000"/>
          <w:sz w:val="20"/>
          <w:szCs w:val="20"/>
        </w:rPr>
        <w:t>are</w:t>
      </w:r>
      <w:proofErr w:type="gramEnd"/>
      <w:r>
        <w:rPr>
          <w:color w:val="000000"/>
          <w:sz w:val="20"/>
          <w:szCs w:val="20"/>
        </w:rPr>
        <w:t xml:space="preserve"> reported to and reviewed by </w:t>
      </w:r>
      <w:r>
        <w:rPr>
          <w:color w:val="0000FF"/>
          <w:sz w:val="20"/>
          <w:szCs w:val="20"/>
        </w:rPr>
        <w:t>[the Board of Directors].</w:t>
      </w:r>
      <w:r>
        <w:rPr>
          <w:color w:val="000000"/>
          <w:sz w:val="20"/>
          <w:szCs w:val="20"/>
        </w:rPr>
        <w:t xml:space="preserve"> </w:t>
      </w:r>
    </w:p>
    <w:p w14:paraId="01D87DD6" w14:textId="1F84338E" w:rsidR="008E5DE4" w:rsidRDefault="00780368">
      <w:pPr>
        <w:spacing w:after="200"/>
        <w:jc w:val="both"/>
        <w:rPr>
          <w:sz w:val="20"/>
          <w:szCs w:val="20"/>
        </w:rPr>
      </w:pPr>
      <w:r>
        <w:rPr>
          <w:i/>
          <w:sz w:val="20"/>
          <w:szCs w:val="20"/>
        </w:rPr>
        <w:t>Credit risk grading system</w:t>
      </w:r>
      <w:r>
        <w:rPr>
          <w:sz w:val="20"/>
          <w:szCs w:val="20"/>
        </w:rPr>
        <w:t xml:space="preserve">. For measuring credit risk and grading financial instruments by the amount of credit risk, the Group applies an approach based on risk grades estimated by external international rating agencies (Standard &amp; Poor’s ‒ “S&amp;P”, Fitch, Moody’s). Internal and external credit ratings are mapped on an internally defined master scale with a specified range of probabilities of default as disclosed in the table below: </w:t>
      </w:r>
    </w:p>
    <w:tbl>
      <w:tblPr>
        <w:tblStyle w:val="afffffffffffff4"/>
        <w:tblW w:w="9355" w:type="dxa"/>
        <w:tblLayout w:type="fixed"/>
        <w:tblLook w:val="0000" w:firstRow="0" w:lastRow="0" w:firstColumn="0" w:lastColumn="0" w:noHBand="0" w:noVBand="0"/>
      </w:tblPr>
      <w:tblGrid>
        <w:gridCol w:w="2552"/>
        <w:gridCol w:w="1985"/>
        <w:gridCol w:w="3231"/>
        <w:gridCol w:w="1587"/>
      </w:tblGrid>
      <w:tr w:rsidR="008E5DE4" w14:paraId="5012EB57" w14:textId="77777777">
        <w:trPr>
          <w:cantSplit/>
        </w:trPr>
        <w:tc>
          <w:tcPr>
            <w:tcW w:w="2552" w:type="dxa"/>
            <w:tcBorders>
              <w:bottom w:val="single" w:sz="4" w:space="0" w:color="000000"/>
            </w:tcBorders>
          </w:tcPr>
          <w:p w14:paraId="69601BA2" w14:textId="77777777" w:rsidR="008E5DE4" w:rsidRDefault="00780368">
            <w:pPr>
              <w:widowControl w:val="0"/>
              <w:pBdr>
                <w:top w:val="nil"/>
                <w:left w:val="nil"/>
                <w:bottom w:val="nil"/>
                <w:right w:val="nil"/>
                <w:between w:val="nil"/>
              </w:pBdr>
              <w:rPr>
                <w:b/>
                <w:color w:val="000000"/>
              </w:rPr>
            </w:pPr>
            <w:r>
              <w:rPr>
                <w:b/>
                <w:color w:val="000000"/>
              </w:rPr>
              <w:t>Master scale credit risk grade</w:t>
            </w:r>
          </w:p>
        </w:tc>
        <w:tc>
          <w:tcPr>
            <w:tcW w:w="1985" w:type="dxa"/>
            <w:tcBorders>
              <w:bottom w:val="single" w:sz="4" w:space="0" w:color="000000"/>
            </w:tcBorders>
          </w:tcPr>
          <w:p w14:paraId="27110C18" w14:textId="77777777" w:rsidR="008E5DE4" w:rsidRDefault="00780368">
            <w:pPr>
              <w:widowControl w:val="0"/>
              <w:pBdr>
                <w:top w:val="nil"/>
                <w:left w:val="nil"/>
                <w:bottom w:val="nil"/>
                <w:right w:val="nil"/>
                <w:between w:val="nil"/>
              </w:pBdr>
              <w:rPr>
                <w:b/>
                <w:color w:val="000000"/>
              </w:rPr>
            </w:pPr>
            <w:r>
              <w:rPr>
                <w:b/>
                <w:color w:val="000000"/>
              </w:rPr>
              <w:t>Corresponding internal ratings</w:t>
            </w:r>
          </w:p>
        </w:tc>
        <w:tc>
          <w:tcPr>
            <w:tcW w:w="3231" w:type="dxa"/>
            <w:tcBorders>
              <w:bottom w:val="single" w:sz="4" w:space="0" w:color="000000"/>
            </w:tcBorders>
          </w:tcPr>
          <w:p w14:paraId="5409B0F6" w14:textId="77777777" w:rsidR="008E5DE4" w:rsidRDefault="00780368">
            <w:pPr>
              <w:widowControl w:val="0"/>
              <w:pBdr>
                <w:top w:val="nil"/>
                <w:left w:val="nil"/>
                <w:bottom w:val="nil"/>
                <w:right w:val="nil"/>
                <w:between w:val="nil"/>
              </w:pBdr>
              <w:rPr>
                <w:b/>
                <w:color w:val="000000"/>
              </w:rPr>
            </w:pPr>
            <w:r>
              <w:rPr>
                <w:b/>
                <w:color w:val="000000"/>
              </w:rPr>
              <w:t>Corresponding ratings of external international rating agencies (S&amp;P)</w:t>
            </w:r>
          </w:p>
        </w:tc>
        <w:tc>
          <w:tcPr>
            <w:tcW w:w="1587" w:type="dxa"/>
            <w:tcBorders>
              <w:bottom w:val="single" w:sz="4" w:space="0" w:color="000000"/>
            </w:tcBorders>
          </w:tcPr>
          <w:p w14:paraId="12D6A8B5" w14:textId="77777777" w:rsidR="008E5DE4" w:rsidRDefault="00780368">
            <w:pPr>
              <w:widowControl w:val="0"/>
              <w:pBdr>
                <w:top w:val="nil"/>
                <w:left w:val="nil"/>
                <w:bottom w:val="nil"/>
                <w:right w:val="nil"/>
                <w:between w:val="nil"/>
              </w:pBdr>
              <w:jc w:val="right"/>
              <w:rPr>
                <w:b/>
                <w:color w:val="000000"/>
              </w:rPr>
            </w:pPr>
            <w:r>
              <w:rPr>
                <w:b/>
                <w:color w:val="000000"/>
              </w:rPr>
              <w:t>Corresponding PD interval</w:t>
            </w:r>
          </w:p>
        </w:tc>
      </w:tr>
      <w:tr w:rsidR="008E5DE4" w14:paraId="2489FB78" w14:textId="77777777">
        <w:trPr>
          <w:cantSplit/>
        </w:trPr>
        <w:tc>
          <w:tcPr>
            <w:tcW w:w="2552" w:type="dxa"/>
            <w:tcBorders>
              <w:top w:val="single" w:sz="4" w:space="0" w:color="000000"/>
            </w:tcBorders>
            <w:vAlign w:val="bottom"/>
          </w:tcPr>
          <w:p w14:paraId="00DB3C4E" w14:textId="77777777" w:rsidR="008E5DE4" w:rsidRDefault="00780368">
            <w:pPr>
              <w:widowControl w:val="0"/>
              <w:pBdr>
                <w:top w:val="nil"/>
                <w:left w:val="nil"/>
                <w:bottom w:val="nil"/>
                <w:right w:val="nil"/>
                <w:between w:val="nil"/>
              </w:pBdr>
              <w:rPr>
                <w:color w:val="000000"/>
              </w:rPr>
            </w:pPr>
            <w:r>
              <w:rPr>
                <w:color w:val="000000"/>
              </w:rPr>
              <w:t> </w:t>
            </w:r>
          </w:p>
        </w:tc>
        <w:tc>
          <w:tcPr>
            <w:tcW w:w="1985" w:type="dxa"/>
            <w:tcBorders>
              <w:top w:val="single" w:sz="4" w:space="0" w:color="000000"/>
            </w:tcBorders>
            <w:vAlign w:val="bottom"/>
          </w:tcPr>
          <w:p w14:paraId="75A52BB0" w14:textId="77777777" w:rsidR="008E5DE4" w:rsidRDefault="008E5DE4">
            <w:pPr>
              <w:widowControl w:val="0"/>
              <w:pBdr>
                <w:top w:val="nil"/>
                <w:left w:val="nil"/>
                <w:bottom w:val="nil"/>
                <w:right w:val="nil"/>
                <w:between w:val="nil"/>
              </w:pBdr>
              <w:jc w:val="right"/>
              <w:rPr>
                <w:color w:val="000000"/>
              </w:rPr>
            </w:pPr>
          </w:p>
        </w:tc>
        <w:tc>
          <w:tcPr>
            <w:tcW w:w="3231" w:type="dxa"/>
            <w:tcBorders>
              <w:top w:val="single" w:sz="4" w:space="0" w:color="000000"/>
            </w:tcBorders>
            <w:vAlign w:val="bottom"/>
          </w:tcPr>
          <w:p w14:paraId="5C89F759" w14:textId="77777777" w:rsidR="008E5DE4" w:rsidRDefault="008E5DE4">
            <w:pPr>
              <w:widowControl w:val="0"/>
              <w:pBdr>
                <w:top w:val="nil"/>
                <w:left w:val="nil"/>
                <w:bottom w:val="nil"/>
                <w:right w:val="nil"/>
                <w:between w:val="nil"/>
              </w:pBdr>
              <w:rPr>
                <w:color w:val="000000"/>
              </w:rPr>
            </w:pPr>
          </w:p>
        </w:tc>
        <w:tc>
          <w:tcPr>
            <w:tcW w:w="1587" w:type="dxa"/>
            <w:tcBorders>
              <w:top w:val="single" w:sz="4" w:space="0" w:color="000000"/>
            </w:tcBorders>
            <w:vAlign w:val="bottom"/>
          </w:tcPr>
          <w:p w14:paraId="33E2F2D1" w14:textId="77777777" w:rsidR="008E5DE4" w:rsidRDefault="008E5DE4">
            <w:pPr>
              <w:widowControl w:val="0"/>
              <w:pBdr>
                <w:top w:val="nil"/>
                <w:left w:val="nil"/>
                <w:bottom w:val="nil"/>
                <w:right w:val="nil"/>
                <w:between w:val="nil"/>
              </w:pBdr>
              <w:jc w:val="right"/>
              <w:rPr>
                <w:color w:val="000000"/>
              </w:rPr>
            </w:pPr>
          </w:p>
        </w:tc>
      </w:tr>
      <w:tr w:rsidR="008E5DE4" w14:paraId="64304F4C" w14:textId="77777777">
        <w:trPr>
          <w:cantSplit/>
        </w:trPr>
        <w:tc>
          <w:tcPr>
            <w:tcW w:w="2552" w:type="dxa"/>
            <w:vAlign w:val="bottom"/>
          </w:tcPr>
          <w:p w14:paraId="5C80DF44" w14:textId="77777777" w:rsidR="008E5DE4" w:rsidRDefault="00780368">
            <w:pPr>
              <w:widowControl w:val="0"/>
              <w:pBdr>
                <w:top w:val="nil"/>
                <w:left w:val="nil"/>
                <w:bottom w:val="nil"/>
                <w:right w:val="nil"/>
                <w:between w:val="nil"/>
              </w:pBdr>
              <w:rPr>
                <w:color w:val="000000"/>
              </w:rPr>
            </w:pPr>
            <w:r>
              <w:rPr>
                <w:color w:val="000000"/>
              </w:rPr>
              <w:t>Excellent</w:t>
            </w:r>
          </w:p>
        </w:tc>
        <w:tc>
          <w:tcPr>
            <w:tcW w:w="1985" w:type="dxa"/>
            <w:vAlign w:val="bottom"/>
          </w:tcPr>
          <w:p w14:paraId="57022824" w14:textId="77777777" w:rsidR="008E5DE4" w:rsidRDefault="00780368">
            <w:pPr>
              <w:widowControl w:val="0"/>
              <w:pBdr>
                <w:top w:val="nil"/>
                <w:left w:val="nil"/>
                <w:bottom w:val="nil"/>
                <w:right w:val="nil"/>
                <w:between w:val="nil"/>
              </w:pBdr>
              <w:rPr>
                <w:color w:val="0000FF"/>
              </w:rPr>
            </w:pPr>
            <w:r>
              <w:rPr>
                <w:color w:val="0000FF"/>
              </w:rPr>
              <w:t>[1 – 6]</w:t>
            </w:r>
          </w:p>
        </w:tc>
        <w:tc>
          <w:tcPr>
            <w:tcW w:w="3231" w:type="dxa"/>
            <w:vAlign w:val="bottom"/>
          </w:tcPr>
          <w:p w14:paraId="08CAD143" w14:textId="77777777" w:rsidR="008E5DE4" w:rsidRDefault="00780368">
            <w:pPr>
              <w:pBdr>
                <w:top w:val="nil"/>
                <w:left w:val="nil"/>
                <w:bottom w:val="nil"/>
                <w:right w:val="nil"/>
                <w:between w:val="nil"/>
              </w:pBdr>
              <w:rPr>
                <w:b/>
                <w:color w:val="000000"/>
              </w:rPr>
            </w:pPr>
            <w:r>
              <w:rPr>
                <w:color w:val="000000"/>
              </w:rPr>
              <w:t>AAA to BB+</w:t>
            </w:r>
          </w:p>
        </w:tc>
        <w:tc>
          <w:tcPr>
            <w:tcW w:w="1587" w:type="dxa"/>
            <w:vAlign w:val="bottom"/>
          </w:tcPr>
          <w:p w14:paraId="67CAA532" w14:textId="77777777" w:rsidR="008E5DE4" w:rsidRDefault="00780368">
            <w:pPr>
              <w:widowControl w:val="0"/>
              <w:pBdr>
                <w:top w:val="nil"/>
                <w:left w:val="nil"/>
                <w:bottom w:val="nil"/>
                <w:right w:val="nil"/>
                <w:between w:val="nil"/>
              </w:pBdr>
              <w:jc w:val="right"/>
              <w:rPr>
                <w:color w:val="000000"/>
              </w:rPr>
            </w:pPr>
            <w:r>
              <w:rPr>
                <w:color w:val="000000"/>
              </w:rPr>
              <w:t>0,01% ‒ 0,5%</w:t>
            </w:r>
          </w:p>
        </w:tc>
      </w:tr>
      <w:tr w:rsidR="008E5DE4" w14:paraId="34E83B13" w14:textId="77777777">
        <w:trPr>
          <w:cantSplit/>
        </w:trPr>
        <w:tc>
          <w:tcPr>
            <w:tcW w:w="2552" w:type="dxa"/>
            <w:vAlign w:val="bottom"/>
          </w:tcPr>
          <w:p w14:paraId="2C5EF22C" w14:textId="77777777" w:rsidR="008E5DE4" w:rsidRDefault="008E5DE4">
            <w:pPr>
              <w:widowControl w:val="0"/>
              <w:pBdr>
                <w:top w:val="nil"/>
                <w:left w:val="nil"/>
                <w:bottom w:val="nil"/>
                <w:right w:val="nil"/>
                <w:between w:val="nil"/>
              </w:pBdr>
              <w:rPr>
                <w:color w:val="000000"/>
              </w:rPr>
            </w:pPr>
          </w:p>
        </w:tc>
        <w:tc>
          <w:tcPr>
            <w:tcW w:w="1985" w:type="dxa"/>
            <w:vAlign w:val="bottom"/>
          </w:tcPr>
          <w:p w14:paraId="517D5A79" w14:textId="77777777" w:rsidR="008E5DE4" w:rsidRDefault="008E5DE4">
            <w:pPr>
              <w:widowControl w:val="0"/>
              <w:pBdr>
                <w:top w:val="nil"/>
                <w:left w:val="nil"/>
                <w:bottom w:val="nil"/>
                <w:right w:val="nil"/>
                <w:between w:val="nil"/>
              </w:pBdr>
              <w:rPr>
                <w:color w:val="000000"/>
              </w:rPr>
            </w:pPr>
          </w:p>
        </w:tc>
        <w:tc>
          <w:tcPr>
            <w:tcW w:w="3231" w:type="dxa"/>
            <w:vAlign w:val="bottom"/>
          </w:tcPr>
          <w:p w14:paraId="5104C1A7" w14:textId="77777777" w:rsidR="008E5DE4" w:rsidRDefault="008E5DE4">
            <w:pPr>
              <w:pBdr>
                <w:top w:val="nil"/>
                <w:left w:val="nil"/>
                <w:bottom w:val="nil"/>
                <w:right w:val="nil"/>
                <w:between w:val="nil"/>
              </w:pBdr>
              <w:rPr>
                <w:color w:val="000000"/>
              </w:rPr>
            </w:pPr>
          </w:p>
        </w:tc>
        <w:tc>
          <w:tcPr>
            <w:tcW w:w="1587" w:type="dxa"/>
            <w:vAlign w:val="bottom"/>
          </w:tcPr>
          <w:p w14:paraId="3E85FA83" w14:textId="77777777" w:rsidR="008E5DE4" w:rsidRDefault="008E5DE4">
            <w:pPr>
              <w:widowControl w:val="0"/>
              <w:pBdr>
                <w:top w:val="nil"/>
                <w:left w:val="nil"/>
                <w:bottom w:val="nil"/>
                <w:right w:val="nil"/>
                <w:between w:val="nil"/>
              </w:pBdr>
              <w:jc w:val="right"/>
              <w:rPr>
                <w:b/>
                <w:color w:val="000000"/>
              </w:rPr>
            </w:pPr>
          </w:p>
        </w:tc>
      </w:tr>
      <w:tr w:rsidR="008E5DE4" w14:paraId="362E63C3" w14:textId="77777777">
        <w:trPr>
          <w:cantSplit/>
        </w:trPr>
        <w:tc>
          <w:tcPr>
            <w:tcW w:w="2552" w:type="dxa"/>
            <w:vAlign w:val="bottom"/>
          </w:tcPr>
          <w:p w14:paraId="4C2F0651" w14:textId="77777777" w:rsidR="008E5DE4" w:rsidRDefault="00780368">
            <w:pPr>
              <w:widowControl w:val="0"/>
              <w:pBdr>
                <w:top w:val="nil"/>
                <w:left w:val="nil"/>
                <w:bottom w:val="nil"/>
                <w:right w:val="nil"/>
                <w:between w:val="nil"/>
              </w:pBdr>
              <w:rPr>
                <w:color w:val="000000"/>
              </w:rPr>
            </w:pPr>
            <w:r>
              <w:rPr>
                <w:color w:val="000000"/>
              </w:rPr>
              <w:t>Good</w:t>
            </w:r>
          </w:p>
        </w:tc>
        <w:tc>
          <w:tcPr>
            <w:tcW w:w="1985" w:type="dxa"/>
            <w:vAlign w:val="bottom"/>
          </w:tcPr>
          <w:p w14:paraId="43123707" w14:textId="77777777" w:rsidR="008E5DE4" w:rsidRDefault="00780368">
            <w:pPr>
              <w:widowControl w:val="0"/>
              <w:pBdr>
                <w:top w:val="nil"/>
                <w:left w:val="nil"/>
                <w:bottom w:val="nil"/>
                <w:right w:val="nil"/>
                <w:between w:val="nil"/>
              </w:pBdr>
              <w:rPr>
                <w:color w:val="0000FF"/>
              </w:rPr>
            </w:pPr>
            <w:r>
              <w:rPr>
                <w:color w:val="0000FF"/>
              </w:rPr>
              <w:t>[7 – 14]</w:t>
            </w:r>
          </w:p>
        </w:tc>
        <w:tc>
          <w:tcPr>
            <w:tcW w:w="3231" w:type="dxa"/>
            <w:vAlign w:val="bottom"/>
          </w:tcPr>
          <w:p w14:paraId="2CD5ED13" w14:textId="77777777" w:rsidR="008E5DE4" w:rsidRDefault="00780368">
            <w:pPr>
              <w:widowControl w:val="0"/>
              <w:pBdr>
                <w:top w:val="nil"/>
                <w:left w:val="nil"/>
                <w:bottom w:val="nil"/>
                <w:right w:val="nil"/>
                <w:between w:val="nil"/>
              </w:pBdr>
              <w:rPr>
                <w:color w:val="000000"/>
              </w:rPr>
            </w:pPr>
            <w:r>
              <w:rPr>
                <w:color w:val="000000"/>
              </w:rPr>
              <w:t>BB to B+</w:t>
            </w:r>
          </w:p>
        </w:tc>
        <w:tc>
          <w:tcPr>
            <w:tcW w:w="1587" w:type="dxa"/>
            <w:vAlign w:val="bottom"/>
          </w:tcPr>
          <w:p w14:paraId="25F4AA1A" w14:textId="77777777" w:rsidR="008E5DE4" w:rsidRDefault="00780368">
            <w:pPr>
              <w:widowControl w:val="0"/>
              <w:pBdr>
                <w:top w:val="nil"/>
                <w:left w:val="nil"/>
                <w:bottom w:val="nil"/>
                <w:right w:val="nil"/>
                <w:between w:val="nil"/>
              </w:pBdr>
              <w:jc w:val="right"/>
              <w:rPr>
                <w:color w:val="000000"/>
              </w:rPr>
            </w:pPr>
            <w:r>
              <w:rPr>
                <w:color w:val="000000"/>
              </w:rPr>
              <w:t>0,51% ‒ 3%</w:t>
            </w:r>
          </w:p>
        </w:tc>
      </w:tr>
      <w:tr w:rsidR="008E5DE4" w14:paraId="28964873" w14:textId="77777777">
        <w:trPr>
          <w:cantSplit/>
        </w:trPr>
        <w:tc>
          <w:tcPr>
            <w:tcW w:w="2552" w:type="dxa"/>
            <w:vAlign w:val="bottom"/>
          </w:tcPr>
          <w:p w14:paraId="2CB61226" w14:textId="77777777" w:rsidR="008E5DE4" w:rsidRDefault="008E5DE4">
            <w:pPr>
              <w:widowControl w:val="0"/>
              <w:pBdr>
                <w:top w:val="nil"/>
                <w:left w:val="nil"/>
                <w:bottom w:val="nil"/>
                <w:right w:val="nil"/>
                <w:between w:val="nil"/>
              </w:pBdr>
              <w:rPr>
                <w:color w:val="000000"/>
              </w:rPr>
            </w:pPr>
          </w:p>
        </w:tc>
        <w:tc>
          <w:tcPr>
            <w:tcW w:w="1985" w:type="dxa"/>
            <w:vAlign w:val="bottom"/>
          </w:tcPr>
          <w:p w14:paraId="5FE2FB44" w14:textId="77777777" w:rsidR="008E5DE4" w:rsidRDefault="008E5DE4">
            <w:pPr>
              <w:widowControl w:val="0"/>
              <w:pBdr>
                <w:top w:val="nil"/>
                <w:left w:val="nil"/>
                <w:bottom w:val="nil"/>
                <w:right w:val="nil"/>
                <w:between w:val="nil"/>
              </w:pBdr>
              <w:rPr>
                <w:color w:val="0000FF"/>
              </w:rPr>
            </w:pPr>
          </w:p>
        </w:tc>
        <w:tc>
          <w:tcPr>
            <w:tcW w:w="3231" w:type="dxa"/>
            <w:vAlign w:val="bottom"/>
          </w:tcPr>
          <w:p w14:paraId="21CE5A23" w14:textId="77777777" w:rsidR="008E5DE4" w:rsidRDefault="008E5DE4">
            <w:pPr>
              <w:widowControl w:val="0"/>
              <w:pBdr>
                <w:top w:val="nil"/>
                <w:left w:val="nil"/>
                <w:bottom w:val="nil"/>
                <w:right w:val="nil"/>
                <w:between w:val="nil"/>
              </w:pBdr>
              <w:rPr>
                <w:color w:val="000000"/>
              </w:rPr>
            </w:pPr>
          </w:p>
        </w:tc>
        <w:tc>
          <w:tcPr>
            <w:tcW w:w="1587" w:type="dxa"/>
            <w:vAlign w:val="bottom"/>
          </w:tcPr>
          <w:p w14:paraId="0464C2EA" w14:textId="77777777" w:rsidR="008E5DE4" w:rsidRDefault="008E5DE4">
            <w:pPr>
              <w:widowControl w:val="0"/>
              <w:pBdr>
                <w:top w:val="nil"/>
                <w:left w:val="nil"/>
                <w:bottom w:val="nil"/>
                <w:right w:val="nil"/>
                <w:between w:val="nil"/>
              </w:pBdr>
              <w:jc w:val="right"/>
              <w:rPr>
                <w:b/>
                <w:color w:val="000000"/>
              </w:rPr>
            </w:pPr>
          </w:p>
        </w:tc>
      </w:tr>
      <w:tr w:rsidR="008E5DE4" w14:paraId="57C2803A" w14:textId="77777777">
        <w:trPr>
          <w:cantSplit/>
        </w:trPr>
        <w:tc>
          <w:tcPr>
            <w:tcW w:w="2552" w:type="dxa"/>
            <w:vAlign w:val="bottom"/>
          </w:tcPr>
          <w:p w14:paraId="28663B85" w14:textId="77777777" w:rsidR="008E5DE4" w:rsidRDefault="00780368">
            <w:pPr>
              <w:widowControl w:val="0"/>
              <w:pBdr>
                <w:top w:val="nil"/>
                <w:left w:val="nil"/>
                <w:bottom w:val="nil"/>
                <w:right w:val="nil"/>
                <w:between w:val="nil"/>
              </w:pBdr>
              <w:rPr>
                <w:color w:val="000000"/>
              </w:rPr>
            </w:pPr>
            <w:r>
              <w:rPr>
                <w:color w:val="000000"/>
              </w:rPr>
              <w:t>Satisfactory</w:t>
            </w:r>
          </w:p>
        </w:tc>
        <w:tc>
          <w:tcPr>
            <w:tcW w:w="1985" w:type="dxa"/>
            <w:vAlign w:val="bottom"/>
          </w:tcPr>
          <w:p w14:paraId="75062BB0" w14:textId="77777777" w:rsidR="008E5DE4" w:rsidRDefault="00780368">
            <w:pPr>
              <w:widowControl w:val="0"/>
              <w:pBdr>
                <w:top w:val="nil"/>
                <w:left w:val="nil"/>
                <w:bottom w:val="nil"/>
                <w:right w:val="nil"/>
                <w:between w:val="nil"/>
              </w:pBdr>
              <w:rPr>
                <w:color w:val="0000FF"/>
              </w:rPr>
            </w:pPr>
            <w:r>
              <w:rPr>
                <w:color w:val="0000FF"/>
              </w:rPr>
              <w:t>[15 – 21]</w:t>
            </w:r>
          </w:p>
        </w:tc>
        <w:tc>
          <w:tcPr>
            <w:tcW w:w="3231" w:type="dxa"/>
            <w:vAlign w:val="bottom"/>
          </w:tcPr>
          <w:p w14:paraId="08C6FEFE" w14:textId="77777777" w:rsidR="008E5DE4" w:rsidRDefault="00780368">
            <w:pPr>
              <w:widowControl w:val="0"/>
              <w:pBdr>
                <w:top w:val="nil"/>
                <w:left w:val="nil"/>
                <w:bottom w:val="nil"/>
                <w:right w:val="nil"/>
                <w:between w:val="nil"/>
              </w:pBdr>
              <w:rPr>
                <w:b/>
                <w:color w:val="000000"/>
              </w:rPr>
            </w:pPr>
            <w:r>
              <w:rPr>
                <w:color w:val="000000"/>
              </w:rPr>
              <w:t>B, B-</w:t>
            </w:r>
          </w:p>
        </w:tc>
        <w:tc>
          <w:tcPr>
            <w:tcW w:w="1587" w:type="dxa"/>
            <w:vAlign w:val="bottom"/>
          </w:tcPr>
          <w:p w14:paraId="55311A15" w14:textId="77777777" w:rsidR="008E5DE4" w:rsidRDefault="00780368">
            <w:pPr>
              <w:widowControl w:val="0"/>
              <w:pBdr>
                <w:top w:val="nil"/>
                <w:left w:val="nil"/>
                <w:bottom w:val="nil"/>
                <w:right w:val="nil"/>
                <w:between w:val="nil"/>
              </w:pBdr>
              <w:jc w:val="right"/>
              <w:rPr>
                <w:b/>
                <w:color w:val="000000"/>
              </w:rPr>
            </w:pPr>
            <w:r>
              <w:rPr>
                <w:color w:val="000000"/>
              </w:rPr>
              <w:t>3% ‒ 10%</w:t>
            </w:r>
          </w:p>
        </w:tc>
      </w:tr>
      <w:tr w:rsidR="008E5DE4" w14:paraId="35F49DAB" w14:textId="77777777">
        <w:trPr>
          <w:cantSplit/>
        </w:trPr>
        <w:tc>
          <w:tcPr>
            <w:tcW w:w="2552" w:type="dxa"/>
            <w:vAlign w:val="bottom"/>
          </w:tcPr>
          <w:p w14:paraId="5BBE20C9" w14:textId="77777777" w:rsidR="008E5DE4" w:rsidRDefault="008E5DE4">
            <w:pPr>
              <w:widowControl w:val="0"/>
              <w:pBdr>
                <w:top w:val="nil"/>
                <w:left w:val="nil"/>
                <w:bottom w:val="nil"/>
                <w:right w:val="nil"/>
                <w:between w:val="nil"/>
              </w:pBdr>
              <w:rPr>
                <w:color w:val="000000"/>
              </w:rPr>
            </w:pPr>
          </w:p>
        </w:tc>
        <w:tc>
          <w:tcPr>
            <w:tcW w:w="1985" w:type="dxa"/>
            <w:vAlign w:val="bottom"/>
          </w:tcPr>
          <w:p w14:paraId="27FCB88E" w14:textId="77777777" w:rsidR="008E5DE4" w:rsidRDefault="008E5DE4">
            <w:pPr>
              <w:widowControl w:val="0"/>
              <w:pBdr>
                <w:top w:val="nil"/>
                <w:left w:val="nil"/>
                <w:bottom w:val="nil"/>
                <w:right w:val="nil"/>
                <w:between w:val="nil"/>
              </w:pBdr>
              <w:rPr>
                <w:color w:val="0000FF"/>
              </w:rPr>
            </w:pPr>
          </w:p>
        </w:tc>
        <w:tc>
          <w:tcPr>
            <w:tcW w:w="3231" w:type="dxa"/>
            <w:vAlign w:val="bottom"/>
          </w:tcPr>
          <w:p w14:paraId="2540EAE4" w14:textId="77777777" w:rsidR="008E5DE4" w:rsidRDefault="008E5DE4">
            <w:pPr>
              <w:widowControl w:val="0"/>
              <w:pBdr>
                <w:top w:val="nil"/>
                <w:left w:val="nil"/>
                <w:bottom w:val="nil"/>
                <w:right w:val="nil"/>
                <w:between w:val="nil"/>
              </w:pBdr>
              <w:rPr>
                <w:color w:val="000000"/>
              </w:rPr>
            </w:pPr>
          </w:p>
        </w:tc>
        <w:tc>
          <w:tcPr>
            <w:tcW w:w="1587" w:type="dxa"/>
            <w:vAlign w:val="bottom"/>
          </w:tcPr>
          <w:p w14:paraId="467FF55C" w14:textId="77777777" w:rsidR="008E5DE4" w:rsidRDefault="008E5DE4">
            <w:pPr>
              <w:widowControl w:val="0"/>
              <w:pBdr>
                <w:top w:val="nil"/>
                <w:left w:val="nil"/>
                <w:bottom w:val="nil"/>
                <w:right w:val="nil"/>
                <w:between w:val="nil"/>
              </w:pBdr>
              <w:jc w:val="right"/>
              <w:rPr>
                <w:b/>
                <w:color w:val="000000"/>
              </w:rPr>
            </w:pPr>
          </w:p>
        </w:tc>
      </w:tr>
      <w:tr w:rsidR="008E5DE4" w14:paraId="3EDC3B44" w14:textId="77777777">
        <w:trPr>
          <w:cantSplit/>
        </w:trPr>
        <w:tc>
          <w:tcPr>
            <w:tcW w:w="2552" w:type="dxa"/>
            <w:vAlign w:val="bottom"/>
          </w:tcPr>
          <w:p w14:paraId="04517B65" w14:textId="77777777" w:rsidR="008E5DE4" w:rsidRDefault="00780368">
            <w:pPr>
              <w:widowControl w:val="0"/>
              <w:pBdr>
                <w:top w:val="nil"/>
                <w:left w:val="nil"/>
                <w:bottom w:val="nil"/>
                <w:right w:val="nil"/>
                <w:between w:val="nil"/>
              </w:pBdr>
              <w:rPr>
                <w:color w:val="000000"/>
              </w:rPr>
            </w:pPr>
            <w:r>
              <w:rPr>
                <w:color w:val="000000"/>
              </w:rPr>
              <w:t>Special monitoring</w:t>
            </w:r>
          </w:p>
        </w:tc>
        <w:tc>
          <w:tcPr>
            <w:tcW w:w="1985" w:type="dxa"/>
            <w:vAlign w:val="bottom"/>
          </w:tcPr>
          <w:p w14:paraId="44F7961A" w14:textId="77777777" w:rsidR="008E5DE4" w:rsidRDefault="00780368">
            <w:pPr>
              <w:widowControl w:val="0"/>
              <w:pBdr>
                <w:top w:val="nil"/>
                <w:left w:val="nil"/>
                <w:bottom w:val="nil"/>
                <w:right w:val="nil"/>
                <w:between w:val="nil"/>
              </w:pBdr>
              <w:rPr>
                <w:color w:val="0000FF"/>
              </w:rPr>
            </w:pPr>
            <w:r>
              <w:rPr>
                <w:color w:val="0000FF"/>
              </w:rPr>
              <w:t>[22 – 25]</w:t>
            </w:r>
          </w:p>
        </w:tc>
        <w:tc>
          <w:tcPr>
            <w:tcW w:w="3231" w:type="dxa"/>
            <w:vAlign w:val="bottom"/>
          </w:tcPr>
          <w:p w14:paraId="69463710" w14:textId="77777777" w:rsidR="008E5DE4" w:rsidRDefault="00780368">
            <w:pPr>
              <w:widowControl w:val="0"/>
              <w:pBdr>
                <w:top w:val="nil"/>
                <w:left w:val="nil"/>
                <w:bottom w:val="nil"/>
                <w:right w:val="nil"/>
                <w:between w:val="nil"/>
              </w:pBdr>
              <w:rPr>
                <w:b/>
                <w:color w:val="000000"/>
              </w:rPr>
            </w:pPr>
            <w:r>
              <w:rPr>
                <w:color w:val="000000"/>
              </w:rPr>
              <w:t>CCC+ to CC-</w:t>
            </w:r>
          </w:p>
        </w:tc>
        <w:tc>
          <w:tcPr>
            <w:tcW w:w="1587" w:type="dxa"/>
            <w:vAlign w:val="bottom"/>
          </w:tcPr>
          <w:p w14:paraId="45BB55ED" w14:textId="77777777" w:rsidR="008E5DE4" w:rsidRDefault="00780368">
            <w:pPr>
              <w:widowControl w:val="0"/>
              <w:pBdr>
                <w:top w:val="nil"/>
                <w:left w:val="nil"/>
                <w:bottom w:val="nil"/>
                <w:right w:val="nil"/>
                <w:between w:val="nil"/>
              </w:pBdr>
              <w:jc w:val="right"/>
              <w:rPr>
                <w:b/>
                <w:color w:val="000000"/>
              </w:rPr>
            </w:pPr>
            <w:r>
              <w:rPr>
                <w:color w:val="000000"/>
              </w:rPr>
              <w:t>10% ‒ 99,9%</w:t>
            </w:r>
          </w:p>
        </w:tc>
      </w:tr>
      <w:tr w:rsidR="008E5DE4" w14:paraId="2907AAC7" w14:textId="77777777">
        <w:trPr>
          <w:cantSplit/>
        </w:trPr>
        <w:tc>
          <w:tcPr>
            <w:tcW w:w="2552" w:type="dxa"/>
            <w:vAlign w:val="bottom"/>
          </w:tcPr>
          <w:p w14:paraId="21DA7533" w14:textId="77777777" w:rsidR="008E5DE4" w:rsidRDefault="008E5DE4">
            <w:pPr>
              <w:widowControl w:val="0"/>
              <w:pBdr>
                <w:top w:val="nil"/>
                <w:left w:val="nil"/>
                <w:bottom w:val="nil"/>
                <w:right w:val="nil"/>
                <w:between w:val="nil"/>
              </w:pBdr>
              <w:rPr>
                <w:color w:val="000000"/>
              </w:rPr>
            </w:pPr>
          </w:p>
        </w:tc>
        <w:tc>
          <w:tcPr>
            <w:tcW w:w="1985" w:type="dxa"/>
            <w:vAlign w:val="bottom"/>
          </w:tcPr>
          <w:p w14:paraId="54CEE2AB" w14:textId="77777777" w:rsidR="008E5DE4" w:rsidRDefault="008E5DE4">
            <w:pPr>
              <w:widowControl w:val="0"/>
              <w:pBdr>
                <w:top w:val="nil"/>
                <w:left w:val="nil"/>
                <w:bottom w:val="nil"/>
                <w:right w:val="nil"/>
                <w:between w:val="nil"/>
              </w:pBdr>
              <w:rPr>
                <w:color w:val="0000FF"/>
              </w:rPr>
            </w:pPr>
          </w:p>
        </w:tc>
        <w:tc>
          <w:tcPr>
            <w:tcW w:w="3231" w:type="dxa"/>
            <w:vAlign w:val="bottom"/>
          </w:tcPr>
          <w:p w14:paraId="1FDA9C5B" w14:textId="77777777" w:rsidR="008E5DE4" w:rsidRDefault="008E5DE4">
            <w:pPr>
              <w:widowControl w:val="0"/>
              <w:pBdr>
                <w:top w:val="nil"/>
                <w:left w:val="nil"/>
                <w:bottom w:val="nil"/>
                <w:right w:val="nil"/>
                <w:between w:val="nil"/>
              </w:pBdr>
              <w:rPr>
                <w:color w:val="000000"/>
              </w:rPr>
            </w:pPr>
          </w:p>
        </w:tc>
        <w:tc>
          <w:tcPr>
            <w:tcW w:w="1587" w:type="dxa"/>
            <w:vAlign w:val="bottom"/>
          </w:tcPr>
          <w:p w14:paraId="20AD078F" w14:textId="77777777" w:rsidR="008E5DE4" w:rsidRDefault="008E5DE4">
            <w:pPr>
              <w:widowControl w:val="0"/>
              <w:pBdr>
                <w:top w:val="nil"/>
                <w:left w:val="nil"/>
                <w:bottom w:val="nil"/>
                <w:right w:val="nil"/>
                <w:between w:val="nil"/>
              </w:pBdr>
              <w:jc w:val="right"/>
              <w:rPr>
                <w:b/>
                <w:color w:val="000000"/>
              </w:rPr>
            </w:pPr>
          </w:p>
        </w:tc>
      </w:tr>
      <w:tr w:rsidR="008E5DE4" w14:paraId="2262E1FA" w14:textId="77777777">
        <w:trPr>
          <w:cantSplit/>
        </w:trPr>
        <w:tc>
          <w:tcPr>
            <w:tcW w:w="2552" w:type="dxa"/>
            <w:vAlign w:val="bottom"/>
          </w:tcPr>
          <w:p w14:paraId="262F661E" w14:textId="77777777" w:rsidR="008E5DE4" w:rsidRDefault="00780368">
            <w:pPr>
              <w:widowControl w:val="0"/>
              <w:pBdr>
                <w:top w:val="nil"/>
                <w:left w:val="nil"/>
                <w:bottom w:val="nil"/>
                <w:right w:val="nil"/>
                <w:between w:val="nil"/>
              </w:pBdr>
              <w:rPr>
                <w:color w:val="000000"/>
              </w:rPr>
            </w:pPr>
            <w:r>
              <w:rPr>
                <w:color w:val="000000"/>
              </w:rPr>
              <w:t>Default</w:t>
            </w:r>
          </w:p>
        </w:tc>
        <w:tc>
          <w:tcPr>
            <w:tcW w:w="1985" w:type="dxa"/>
            <w:vAlign w:val="bottom"/>
          </w:tcPr>
          <w:p w14:paraId="036D4DDE" w14:textId="77777777" w:rsidR="008E5DE4" w:rsidRDefault="00780368">
            <w:pPr>
              <w:widowControl w:val="0"/>
              <w:pBdr>
                <w:top w:val="nil"/>
                <w:left w:val="nil"/>
                <w:bottom w:val="nil"/>
                <w:right w:val="nil"/>
                <w:between w:val="nil"/>
              </w:pBdr>
              <w:rPr>
                <w:color w:val="0000FF"/>
              </w:rPr>
            </w:pPr>
            <w:r>
              <w:rPr>
                <w:color w:val="0000FF"/>
              </w:rPr>
              <w:t>[26 – 30]</w:t>
            </w:r>
          </w:p>
        </w:tc>
        <w:tc>
          <w:tcPr>
            <w:tcW w:w="3231" w:type="dxa"/>
            <w:vAlign w:val="bottom"/>
          </w:tcPr>
          <w:p w14:paraId="1350DD45" w14:textId="77777777" w:rsidR="008E5DE4" w:rsidRDefault="00780368">
            <w:pPr>
              <w:widowControl w:val="0"/>
              <w:pBdr>
                <w:top w:val="nil"/>
                <w:left w:val="nil"/>
                <w:bottom w:val="nil"/>
                <w:right w:val="nil"/>
                <w:between w:val="nil"/>
              </w:pBdr>
              <w:rPr>
                <w:b/>
                <w:color w:val="000000"/>
              </w:rPr>
            </w:pPr>
            <w:r>
              <w:rPr>
                <w:color w:val="000000"/>
              </w:rPr>
              <w:t>C, D-I, D-II</w:t>
            </w:r>
          </w:p>
        </w:tc>
        <w:tc>
          <w:tcPr>
            <w:tcW w:w="1587" w:type="dxa"/>
            <w:vAlign w:val="bottom"/>
          </w:tcPr>
          <w:p w14:paraId="20456C92" w14:textId="77777777" w:rsidR="008E5DE4" w:rsidRDefault="00780368">
            <w:pPr>
              <w:widowControl w:val="0"/>
              <w:pBdr>
                <w:top w:val="nil"/>
                <w:left w:val="nil"/>
                <w:bottom w:val="nil"/>
                <w:right w:val="nil"/>
                <w:between w:val="nil"/>
              </w:pBdr>
              <w:jc w:val="right"/>
              <w:rPr>
                <w:b/>
                <w:color w:val="000000"/>
              </w:rPr>
            </w:pPr>
            <w:r>
              <w:rPr>
                <w:color w:val="000000"/>
              </w:rPr>
              <w:t>100%</w:t>
            </w:r>
          </w:p>
        </w:tc>
      </w:tr>
      <w:tr w:rsidR="008E5DE4" w14:paraId="66C2D468" w14:textId="77777777">
        <w:trPr>
          <w:cantSplit/>
        </w:trPr>
        <w:tc>
          <w:tcPr>
            <w:tcW w:w="2552" w:type="dxa"/>
            <w:tcBorders>
              <w:bottom w:val="single" w:sz="12" w:space="0" w:color="000000"/>
            </w:tcBorders>
            <w:vAlign w:val="bottom"/>
          </w:tcPr>
          <w:p w14:paraId="4683EB7E" w14:textId="77777777" w:rsidR="008E5DE4" w:rsidRDefault="00780368">
            <w:pPr>
              <w:widowControl w:val="0"/>
              <w:pBdr>
                <w:top w:val="nil"/>
                <w:left w:val="nil"/>
                <w:bottom w:val="nil"/>
                <w:right w:val="nil"/>
                <w:between w:val="nil"/>
              </w:pBdr>
              <w:rPr>
                <w:b/>
                <w:color w:val="000000"/>
              </w:rPr>
            </w:pPr>
            <w:r>
              <w:rPr>
                <w:b/>
                <w:color w:val="000000"/>
              </w:rPr>
              <w:t> </w:t>
            </w:r>
          </w:p>
        </w:tc>
        <w:tc>
          <w:tcPr>
            <w:tcW w:w="1985" w:type="dxa"/>
            <w:tcBorders>
              <w:bottom w:val="single" w:sz="12" w:space="0" w:color="000000"/>
            </w:tcBorders>
            <w:vAlign w:val="bottom"/>
          </w:tcPr>
          <w:p w14:paraId="4DEE190A" w14:textId="77777777" w:rsidR="008E5DE4" w:rsidRDefault="008E5DE4">
            <w:pPr>
              <w:widowControl w:val="0"/>
              <w:pBdr>
                <w:top w:val="nil"/>
                <w:left w:val="nil"/>
                <w:bottom w:val="nil"/>
                <w:right w:val="nil"/>
                <w:between w:val="nil"/>
              </w:pBdr>
              <w:rPr>
                <w:b/>
                <w:color w:val="000000"/>
              </w:rPr>
            </w:pPr>
          </w:p>
        </w:tc>
        <w:tc>
          <w:tcPr>
            <w:tcW w:w="3231" w:type="dxa"/>
            <w:tcBorders>
              <w:bottom w:val="single" w:sz="12" w:space="0" w:color="000000"/>
            </w:tcBorders>
            <w:vAlign w:val="bottom"/>
          </w:tcPr>
          <w:p w14:paraId="42436D6C" w14:textId="77777777" w:rsidR="008E5DE4" w:rsidRDefault="008E5DE4">
            <w:pPr>
              <w:widowControl w:val="0"/>
              <w:pBdr>
                <w:top w:val="nil"/>
                <w:left w:val="nil"/>
                <w:bottom w:val="nil"/>
                <w:right w:val="nil"/>
                <w:between w:val="nil"/>
              </w:pBdr>
              <w:rPr>
                <w:b/>
                <w:color w:val="000000"/>
              </w:rPr>
            </w:pPr>
          </w:p>
        </w:tc>
        <w:tc>
          <w:tcPr>
            <w:tcW w:w="1587" w:type="dxa"/>
            <w:tcBorders>
              <w:bottom w:val="single" w:sz="12" w:space="0" w:color="000000"/>
            </w:tcBorders>
            <w:vAlign w:val="bottom"/>
          </w:tcPr>
          <w:p w14:paraId="2FC9AB71" w14:textId="77777777" w:rsidR="008E5DE4" w:rsidRDefault="008E5DE4">
            <w:pPr>
              <w:widowControl w:val="0"/>
              <w:pBdr>
                <w:top w:val="nil"/>
                <w:left w:val="nil"/>
                <w:bottom w:val="nil"/>
                <w:right w:val="nil"/>
                <w:between w:val="nil"/>
              </w:pBdr>
              <w:jc w:val="right"/>
              <w:rPr>
                <w:b/>
                <w:color w:val="000000"/>
              </w:rPr>
            </w:pPr>
          </w:p>
        </w:tc>
      </w:tr>
    </w:tbl>
    <w:p w14:paraId="5B5B8920" w14:textId="77777777" w:rsidR="008E5DE4" w:rsidRDefault="00780368">
      <w:pPr>
        <w:spacing w:before="200" w:after="120"/>
        <w:jc w:val="both"/>
        <w:rPr>
          <w:sz w:val="20"/>
          <w:szCs w:val="20"/>
        </w:rPr>
      </w:pPr>
      <w:r>
        <w:rPr>
          <w:sz w:val="20"/>
          <w:szCs w:val="20"/>
        </w:rPr>
        <w:t>Each master scale credit risk grade is assigned a specific degree of creditworthiness:</w:t>
      </w:r>
    </w:p>
    <w:p w14:paraId="61A86751" w14:textId="77777777" w:rsidR="008E5DE4" w:rsidRDefault="00780368">
      <w:pPr>
        <w:widowControl w:val="0"/>
        <w:numPr>
          <w:ilvl w:val="0"/>
          <w:numId w:val="16"/>
        </w:numPr>
        <w:pBdr>
          <w:top w:val="nil"/>
          <w:left w:val="nil"/>
          <w:bottom w:val="nil"/>
          <w:right w:val="nil"/>
          <w:between w:val="nil"/>
        </w:pBdr>
        <w:spacing w:after="120"/>
        <w:ind w:left="357" w:hanging="357"/>
        <w:jc w:val="both"/>
      </w:pPr>
      <w:r>
        <w:rPr>
          <w:i/>
          <w:color w:val="000000"/>
          <w:sz w:val="20"/>
          <w:szCs w:val="20"/>
        </w:rPr>
        <w:t xml:space="preserve">Excellent </w:t>
      </w:r>
      <w:r>
        <w:rPr>
          <w:color w:val="000000"/>
          <w:sz w:val="20"/>
          <w:szCs w:val="20"/>
        </w:rPr>
        <w:t xml:space="preserve">– strong credit quality with low expected credit </w:t>
      </w:r>
      <w:proofErr w:type="gramStart"/>
      <w:r>
        <w:rPr>
          <w:color w:val="000000"/>
          <w:sz w:val="20"/>
          <w:szCs w:val="20"/>
        </w:rPr>
        <w:t>risk;</w:t>
      </w:r>
      <w:proofErr w:type="gramEnd"/>
    </w:p>
    <w:p w14:paraId="14906E56" w14:textId="77777777" w:rsidR="008E5DE4" w:rsidRDefault="00780368">
      <w:pPr>
        <w:widowControl w:val="0"/>
        <w:numPr>
          <w:ilvl w:val="0"/>
          <w:numId w:val="16"/>
        </w:numPr>
        <w:pBdr>
          <w:top w:val="nil"/>
          <w:left w:val="nil"/>
          <w:bottom w:val="nil"/>
          <w:right w:val="nil"/>
          <w:between w:val="nil"/>
        </w:pBdr>
        <w:spacing w:after="120"/>
        <w:ind w:left="357" w:hanging="357"/>
        <w:jc w:val="both"/>
        <w:rPr>
          <w:i/>
          <w:color w:val="000000"/>
          <w:sz w:val="20"/>
          <w:szCs w:val="20"/>
        </w:rPr>
      </w:pPr>
      <w:r>
        <w:rPr>
          <w:i/>
          <w:color w:val="000000"/>
          <w:sz w:val="20"/>
          <w:szCs w:val="20"/>
        </w:rPr>
        <w:t xml:space="preserve">Good </w:t>
      </w:r>
      <w:r>
        <w:rPr>
          <w:color w:val="000000"/>
          <w:sz w:val="20"/>
          <w:szCs w:val="20"/>
        </w:rPr>
        <w:t xml:space="preserve">– adequate credit quality with a moderate credit </w:t>
      </w:r>
      <w:proofErr w:type="gramStart"/>
      <w:r>
        <w:rPr>
          <w:color w:val="000000"/>
          <w:sz w:val="20"/>
          <w:szCs w:val="20"/>
        </w:rPr>
        <w:t>risk;</w:t>
      </w:r>
      <w:proofErr w:type="gramEnd"/>
    </w:p>
    <w:p w14:paraId="03E59FE7" w14:textId="77777777" w:rsidR="008E5DE4" w:rsidRDefault="00780368">
      <w:pPr>
        <w:widowControl w:val="0"/>
        <w:numPr>
          <w:ilvl w:val="0"/>
          <w:numId w:val="16"/>
        </w:numPr>
        <w:pBdr>
          <w:top w:val="nil"/>
          <w:left w:val="nil"/>
          <w:bottom w:val="nil"/>
          <w:right w:val="nil"/>
          <w:between w:val="nil"/>
        </w:pBdr>
        <w:spacing w:after="120"/>
        <w:ind w:left="357" w:hanging="357"/>
        <w:jc w:val="both"/>
      </w:pPr>
      <w:r>
        <w:rPr>
          <w:i/>
          <w:color w:val="000000"/>
          <w:sz w:val="20"/>
          <w:szCs w:val="20"/>
        </w:rPr>
        <w:t>Satisfactory</w:t>
      </w:r>
      <w:r>
        <w:rPr>
          <w:color w:val="000000"/>
          <w:sz w:val="20"/>
          <w:szCs w:val="20"/>
        </w:rPr>
        <w:t xml:space="preserve"> – moderate credit quality with a satisfactory credit </w:t>
      </w:r>
      <w:proofErr w:type="gramStart"/>
      <w:r>
        <w:rPr>
          <w:color w:val="000000"/>
          <w:sz w:val="20"/>
          <w:szCs w:val="20"/>
        </w:rPr>
        <w:t>risk;</w:t>
      </w:r>
      <w:proofErr w:type="gramEnd"/>
    </w:p>
    <w:p w14:paraId="1B341F69" w14:textId="77777777" w:rsidR="008E5DE4" w:rsidRDefault="00780368">
      <w:pPr>
        <w:widowControl w:val="0"/>
        <w:numPr>
          <w:ilvl w:val="0"/>
          <w:numId w:val="16"/>
        </w:numPr>
        <w:pBdr>
          <w:top w:val="nil"/>
          <w:left w:val="nil"/>
          <w:bottom w:val="nil"/>
          <w:right w:val="nil"/>
          <w:between w:val="nil"/>
        </w:pBdr>
        <w:spacing w:after="120"/>
        <w:ind w:left="357" w:hanging="357"/>
        <w:jc w:val="both"/>
      </w:pPr>
      <w:r>
        <w:rPr>
          <w:i/>
          <w:color w:val="000000"/>
          <w:sz w:val="20"/>
          <w:szCs w:val="20"/>
        </w:rPr>
        <w:t>Special monitoring</w:t>
      </w:r>
      <w:r>
        <w:rPr>
          <w:color w:val="000000"/>
          <w:sz w:val="20"/>
          <w:szCs w:val="20"/>
        </w:rPr>
        <w:t xml:space="preserve"> – facilities that require closer monitoring and remedial management; and</w:t>
      </w:r>
    </w:p>
    <w:p w14:paraId="39A5C55A" w14:textId="77777777" w:rsidR="008E5DE4" w:rsidRDefault="00780368">
      <w:pPr>
        <w:widowControl w:val="0"/>
        <w:numPr>
          <w:ilvl w:val="0"/>
          <w:numId w:val="16"/>
        </w:numPr>
        <w:pBdr>
          <w:top w:val="nil"/>
          <w:left w:val="nil"/>
          <w:bottom w:val="nil"/>
          <w:right w:val="nil"/>
          <w:between w:val="nil"/>
        </w:pBdr>
        <w:spacing w:after="120"/>
        <w:ind w:left="357" w:hanging="357"/>
        <w:jc w:val="both"/>
      </w:pPr>
      <w:r>
        <w:rPr>
          <w:i/>
          <w:color w:val="000000"/>
          <w:sz w:val="20"/>
          <w:szCs w:val="20"/>
        </w:rPr>
        <w:t>Default</w:t>
      </w:r>
      <w:r>
        <w:rPr>
          <w:color w:val="000000"/>
          <w:sz w:val="20"/>
          <w:szCs w:val="20"/>
        </w:rPr>
        <w:t xml:space="preserve"> – facilities in which a default has occurred. </w:t>
      </w:r>
    </w:p>
    <w:p w14:paraId="2790EF1B" w14:textId="7BCCF2E6" w:rsidR="008E5DE4" w:rsidRDefault="00780368">
      <w:pPr>
        <w:widowControl w:val="0"/>
        <w:spacing w:before="200" w:after="200"/>
        <w:jc w:val="both"/>
        <w:rPr>
          <w:sz w:val="20"/>
          <w:szCs w:val="20"/>
        </w:rPr>
      </w:pPr>
      <w:r>
        <w:rPr>
          <w:sz w:val="20"/>
          <w:szCs w:val="20"/>
        </w:rPr>
        <w:t xml:space="preserve">The rating models are regularly reviewed by </w:t>
      </w:r>
      <w:r>
        <w:rPr>
          <w:color w:val="0000FF"/>
          <w:sz w:val="20"/>
          <w:szCs w:val="20"/>
        </w:rPr>
        <w:t>[the Credit Risk Department]</w:t>
      </w:r>
      <w:r>
        <w:rPr>
          <w:sz w:val="20"/>
          <w:szCs w:val="20"/>
        </w:rPr>
        <w:t xml:space="preserve">, </w:t>
      </w:r>
      <w:proofErr w:type="gramStart"/>
      <w:r>
        <w:rPr>
          <w:sz w:val="20"/>
          <w:szCs w:val="20"/>
        </w:rPr>
        <w:t>back</w:t>
      </w:r>
      <w:r w:rsidR="0073399A">
        <w:rPr>
          <w:sz w:val="20"/>
          <w:szCs w:val="20"/>
        </w:rPr>
        <w:t>-</w:t>
      </w:r>
      <w:r>
        <w:rPr>
          <w:sz w:val="20"/>
          <w:szCs w:val="20"/>
        </w:rPr>
        <w:t>tested</w:t>
      </w:r>
      <w:proofErr w:type="gramEnd"/>
      <w:r>
        <w:rPr>
          <w:sz w:val="20"/>
          <w:szCs w:val="20"/>
        </w:rPr>
        <w:t xml:space="preserve"> on actual default data and updated, if necessary. Despite the method used, the Group regularly validates the accuracy of ratings estimates and appraises the predictive power of the models. </w:t>
      </w:r>
    </w:p>
    <w:p w14:paraId="7E319760" w14:textId="77777777" w:rsidR="008E5DE4" w:rsidRDefault="00780368">
      <w:pPr>
        <w:widowControl w:val="0"/>
        <w:spacing w:before="200" w:after="200"/>
        <w:jc w:val="both"/>
        <w:rPr>
          <w:i/>
          <w:color w:val="FF0000"/>
          <w:sz w:val="20"/>
          <w:szCs w:val="20"/>
        </w:rPr>
      </w:pPr>
      <w:r>
        <w:rPr>
          <w:sz w:val="20"/>
          <w:szCs w:val="20"/>
        </w:rPr>
        <w:t xml:space="preserve">External ratings are assigned to counterparties by independent international rating agencies, such as S&amp;P, Moody’s and Fitch. These ratings are publicly available. Such ratings and the corresponding range of probabilities of default (“PD”) are applied for the following financial instruments: </w:t>
      </w:r>
      <w:r>
        <w:rPr>
          <w:color w:val="0000FF"/>
          <w:sz w:val="20"/>
          <w:szCs w:val="20"/>
        </w:rPr>
        <w:t>[investments in debt securities (government, corporate, municipal bonds and promissory notes purchased).]</w:t>
      </w:r>
      <w:r>
        <w:rPr>
          <w:sz w:val="20"/>
          <w:szCs w:val="20"/>
        </w:rPr>
        <w:t xml:space="preserve"> </w:t>
      </w:r>
    </w:p>
    <w:p w14:paraId="4F894366" w14:textId="77777777" w:rsidR="008E5DE4" w:rsidRDefault="00780368">
      <w:pPr>
        <w:widowControl w:val="0"/>
        <w:spacing w:before="200" w:after="200"/>
        <w:jc w:val="both"/>
        <w:rPr>
          <w:sz w:val="20"/>
          <w:szCs w:val="20"/>
        </w:rPr>
      </w:pPr>
      <w:r>
        <w:rPr>
          <w:b/>
          <w:i/>
          <w:sz w:val="20"/>
          <w:szCs w:val="20"/>
        </w:rPr>
        <w:t xml:space="preserve">Expected credit loss (ECL) measurement. </w:t>
      </w:r>
      <w:r>
        <w:rPr>
          <w:i/>
          <w:sz w:val="20"/>
          <w:szCs w:val="20"/>
        </w:rPr>
        <w:t>ECL</w:t>
      </w:r>
      <w:r>
        <w:rPr>
          <w:sz w:val="20"/>
          <w:szCs w:val="20"/>
        </w:rPr>
        <w:t xml:space="preserve"> is a probability-weighted estimate of the present value of future cash shortfalls (i.e., the weighted average of credit losses, with the respective risks of default occurring </w:t>
      </w:r>
      <w:proofErr w:type="gramStart"/>
      <w:r>
        <w:rPr>
          <w:sz w:val="20"/>
          <w:szCs w:val="20"/>
        </w:rPr>
        <w:t>in a given</w:t>
      </w:r>
      <w:proofErr w:type="gramEnd"/>
      <w:r>
        <w:rPr>
          <w:sz w:val="20"/>
          <w:szCs w:val="20"/>
        </w:rPr>
        <w:t xml:space="preserve"> </w:t>
      </w:r>
      <w:proofErr w:type="gramStart"/>
      <w:r>
        <w:rPr>
          <w:sz w:val="20"/>
          <w:szCs w:val="20"/>
        </w:rPr>
        <w:t>time period</w:t>
      </w:r>
      <w:proofErr w:type="gramEnd"/>
      <w:r>
        <w:rPr>
          <w:sz w:val="20"/>
          <w:szCs w:val="20"/>
        </w:rPr>
        <w:t xml:space="preserve"> used as weights). An ECL measurement is unbiased and is determined by evaluating a range of possible outcomes. ECL measurement is based on four components used by the Group: Probability of Default (“PD”), Exposure at Default (“EAD”), Loss Given Default (“LGD”) and Discount Rate.</w:t>
      </w:r>
    </w:p>
    <w:p w14:paraId="5FEB6DE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65E42C8E" w14:textId="0D7014E5" w:rsidR="008E5DE4" w:rsidRDefault="00780368">
      <w:pPr>
        <w:widowControl w:val="0"/>
        <w:spacing w:before="200" w:after="200"/>
        <w:jc w:val="both"/>
        <w:rPr>
          <w:sz w:val="20"/>
          <w:szCs w:val="20"/>
        </w:rPr>
      </w:pPr>
      <w:r>
        <w:rPr>
          <w:sz w:val="20"/>
          <w:szCs w:val="20"/>
        </w:rPr>
        <w:t xml:space="preserve">EAD is an estimate of exposure at a future default date, </w:t>
      </w:r>
      <w:proofErr w:type="gramStart"/>
      <w:r>
        <w:rPr>
          <w:sz w:val="20"/>
          <w:szCs w:val="20"/>
        </w:rPr>
        <w:t>taking into account</w:t>
      </w:r>
      <w:proofErr w:type="gramEnd"/>
      <w:r>
        <w:rPr>
          <w:sz w:val="20"/>
          <w:szCs w:val="20"/>
        </w:rPr>
        <w:t xml:space="preserve"> expected changes in the exposure after the reporting period, including repayments of principal and interest, and expected drawdowns on committed facilities. The EAD on credit related commitments is estimated using Credit Conversion Factor (“CCF”). CCF is</w:t>
      </w:r>
      <w:r>
        <w:rPr>
          <w:i/>
          <w:sz w:val="20"/>
          <w:szCs w:val="20"/>
        </w:rPr>
        <w:t xml:space="preserve"> </w:t>
      </w:r>
      <w:r>
        <w:rPr>
          <w:sz w:val="20"/>
          <w:szCs w:val="20"/>
        </w:rPr>
        <w:t>a coefficient that shows the probability of conversion of the committe</w:t>
      </w:r>
      <w:r w:rsidR="00452273">
        <w:rPr>
          <w:sz w:val="20"/>
          <w:szCs w:val="20"/>
        </w:rPr>
        <w:t>d</w:t>
      </w:r>
      <w:r>
        <w:rPr>
          <w:sz w:val="20"/>
          <w:szCs w:val="20"/>
        </w:rPr>
        <w:t xml:space="preserve"> amounts to an on-balance sheet exposure within a defined period. </w:t>
      </w:r>
      <w:r>
        <w:rPr>
          <w:color w:val="0000FF"/>
          <w:sz w:val="20"/>
          <w:szCs w:val="20"/>
        </w:rPr>
        <w:t xml:space="preserve">[The Group’s management estimates that 12-month and lifetime CCFs are materially the same.] </w:t>
      </w:r>
      <w:r>
        <w:rPr>
          <w:sz w:val="20"/>
          <w:szCs w:val="20"/>
        </w:rPr>
        <w:t>PD</w:t>
      </w:r>
      <w:r>
        <w:rPr>
          <w:i/>
          <w:sz w:val="20"/>
          <w:szCs w:val="20"/>
        </w:rPr>
        <w:t xml:space="preserve"> </w:t>
      </w:r>
      <w:r>
        <w:rPr>
          <w:sz w:val="20"/>
          <w:szCs w:val="20"/>
        </w:rPr>
        <w:t xml:space="preserve">an estimate of the likelihood of default to occur over a given </w:t>
      </w:r>
      <w:proofErr w:type="gramStart"/>
      <w:r>
        <w:rPr>
          <w:sz w:val="20"/>
          <w:szCs w:val="20"/>
        </w:rPr>
        <w:t>time period</w:t>
      </w:r>
      <w:proofErr w:type="gramEnd"/>
      <w:r>
        <w:rPr>
          <w:sz w:val="20"/>
          <w:szCs w:val="20"/>
        </w:rPr>
        <w:t>. LGD</w:t>
      </w:r>
      <w:r>
        <w:rPr>
          <w:i/>
          <w:sz w:val="20"/>
          <w:szCs w:val="20"/>
        </w:rPr>
        <w:t xml:space="preserve"> </w:t>
      </w:r>
      <w:r>
        <w:rPr>
          <w:sz w:val="20"/>
          <w:szCs w:val="20"/>
        </w:rPr>
        <w:t>is an estimate of the loss arising on default. It is based on the difference between the contractual cash flows due and those that the lender would expect to receive, including from any collateral. It is usually expressed as a percentage of the EAD. The expected losses are discounted to present value at the end of the reporting period. The discount rate represents the effective interest rate (“EIR”) for the financial instrument or an approximation thereof.</w:t>
      </w:r>
    </w:p>
    <w:p w14:paraId="7D8E242A" w14:textId="77777777" w:rsidR="008E5DE4" w:rsidRDefault="00780368">
      <w:pPr>
        <w:widowControl w:val="0"/>
        <w:spacing w:before="200" w:after="200"/>
        <w:jc w:val="both"/>
        <w:rPr>
          <w:sz w:val="20"/>
          <w:szCs w:val="20"/>
        </w:rPr>
      </w:pPr>
      <w:r>
        <w:rPr>
          <w:sz w:val="20"/>
          <w:szCs w:val="20"/>
        </w:rPr>
        <w:t xml:space="preserve">Expected credit losses are modelled over instrument’s </w:t>
      </w:r>
      <w:r>
        <w:rPr>
          <w:i/>
          <w:sz w:val="20"/>
          <w:szCs w:val="20"/>
        </w:rPr>
        <w:t>lifetime period.</w:t>
      </w:r>
      <w:r>
        <w:rPr>
          <w:sz w:val="20"/>
          <w:szCs w:val="20"/>
        </w:rPr>
        <w:t xml:space="preserve"> The </w:t>
      </w:r>
      <w:r>
        <w:rPr>
          <w:i/>
          <w:sz w:val="20"/>
          <w:szCs w:val="20"/>
        </w:rPr>
        <w:t>lifetime period</w:t>
      </w:r>
      <w:r>
        <w:rPr>
          <w:sz w:val="20"/>
          <w:szCs w:val="20"/>
        </w:rPr>
        <w:t xml:space="preserve"> is equal to the remaining contractual period to maturity of debt instruments, adjusted for expected prepayments, if any. For loan commitments and financial guarantee contracts, it is the contractual period over which the Group has a present contractual obligation to extend credit. </w:t>
      </w:r>
    </w:p>
    <w:p w14:paraId="510E64A1" w14:textId="77777777" w:rsidR="008E5DE4" w:rsidRDefault="00780368">
      <w:pPr>
        <w:widowControl w:val="0"/>
        <w:spacing w:before="200" w:after="200"/>
        <w:jc w:val="both"/>
        <w:rPr>
          <w:sz w:val="20"/>
          <w:szCs w:val="20"/>
        </w:rPr>
      </w:pPr>
      <w:r>
        <w:rPr>
          <w:sz w:val="20"/>
          <w:szCs w:val="20"/>
        </w:rPr>
        <w:t xml:space="preserve">Management models </w:t>
      </w:r>
      <w:r>
        <w:rPr>
          <w:i/>
          <w:sz w:val="20"/>
          <w:szCs w:val="20"/>
        </w:rPr>
        <w:t xml:space="preserve">Lifetime ECL, </w:t>
      </w:r>
      <w:r>
        <w:rPr>
          <w:sz w:val="20"/>
          <w:szCs w:val="20"/>
        </w:rPr>
        <w:t xml:space="preserve">that is, losses that result from all possible default events over the remaining lifetime period of the financial instrument. The </w:t>
      </w:r>
      <w:r>
        <w:rPr>
          <w:i/>
          <w:sz w:val="20"/>
          <w:szCs w:val="20"/>
        </w:rPr>
        <w:t>12-month ECL,</w:t>
      </w:r>
      <w:r>
        <w:rPr>
          <w:sz w:val="20"/>
          <w:szCs w:val="20"/>
        </w:rPr>
        <w:t xml:space="preserve"> represents a portion of lifetime ECLs that result from default events on a financial instrument that are possible within 12 months after the reporting period, or remaining </w:t>
      </w:r>
      <w:r>
        <w:rPr>
          <w:i/>
          <w:sz w:val="20"/>
          <w:szCs w:val="20"/>
        </w:rPr>
        <w:t>lifetime period</w:t>
      </w:r>
      <w:r>
        <w:rPr>
          <w:sz w:val="20"/>
          <w:szCs w:val="20"/>
        </w:rPr>
        <w:t xml:space="preserve"> of the financial instrument if it is less than a year.</w:t>
      </w:r>
    </w:p>
    <w:p w14:paraId="30375A9E" w14:textId="77777777" w:rsidR="008E5DE4" w:rsidRDefault="00780368">
      <w:pPr>
        <w:widowControl w:val="0"/>
        <w:spacing w:before="200" w:after="200"/>
        <w:jc w:val="both"/>
        <w:rPr>
          <w:sz w:val="20"/>
          <w:szCs w:val="20"/>
        </w:rPr>
      </w:pPr>
      <w:r>
        <w:rPr>
          <w:sz w:val="20"/>
          <w:szCs w:val="20"/>
        </w:rPr>
        <w:t xml:space="preserve">The ECLs that are estimated by management for the purposes of these consolidated financial statements are point-in-time estimates, rather than through-the-cycle estimates that are commonly used for regulatory purposes. The estimates consider </w:t>
      </w:r>
      <w:r>
        <w:rPr>
          <w:i/>
          <w:sz w:val="20"/>
          <w:szCs w:val="20"/>
        </w:rPr>
        <w:t xml:space="preserve">forward looking information, </w:t>
      </w:r>
      <w:r>
        <w:rPr>
          <w:sz w:val="20"/>
          <w:szCs w:val="20"/>
        </w:rPr>
        <w:t>that is,</w:t>
      </w:r>
      <w:r>
        <w:rPr>
          <w:i/>
          <w:sz w:val="20"/>
          <w:szCs w:val="20"/>
        </w:rPr>
        <w:t xml:space="preserve"> </w:t>
      </w:r>
      <w:r>
        <w:rPr>
          <w:sz w:val="20"/>
          <w:szCs w:val="20"/>
        </w:rPr>
        <w:t xml:space="preserve">ECLs reflect probability weighted development of key macroeconomic variables that have an impact on credit risk. </w:t>
      </w:r>
    </w:p>
    <w:p w14:paraId="569C28FA" w14:textId="77777777" w:rsidR="008E5DE4" w:rsidRDefault="00780368">
      <w:pPr>
        <w:widowControl w:val="0"/>
        <w:spacing w:before="200" w:after="200"/>
        <w:jc w:val="both"/>
        <w:rPr>
          <w:sz w:val="20"/>
          <w:szCs w:val="20"/>
        </w:rPr>
      </w:pPr>
      <w:r>
        <w:rPr>
          <w:sz w:val="20"/>
          <w:szCs w:val="20"/>
        </w:rPr>
        <w:t xml:space="preserve">The ECL modelling does not differ for Purchased or Originated Credit Impaired (“POCI”) financial assets, except that (a) gross carrying value and discount rate are based on cash flows that were recoverable at initial recognition of the asset, rather than based on contractual cash flows, and (b) the ECL is always a lifetime ECL. POCI assets are financial assets that are credit-impaired upon initial recognition, such as impaired loans acquired in a past business combination. </w:t>
      </w:r>
    </w:p>
    <w:p w14:paraId="3FDCE6E5" w14:textId="77777777" w:rsidR="008E5DE4" w:rsidRDefault="00780368">
      <w:pPr>
        <w:pBdr>
          <w:top w:val="nil"/>
          <w:left w:val="nil"/>
          <w:bottom w:val="nil"/>
          <w:right w:val="nil"/>
          <w:between w:val="nil"/>
        </w:pBdr>
        <w:spacing w:before="200" w:after="200"/>
        <w:jc w:val="both"/>
        <w:rPr>
          <w:color w:val="000000"/>
          <w:sz w:val="20"/>
          <w:szCs w:val="20"/>
        </w:rPr>
      </w:pPr>
      <w:r>
        <w:rPr>
          <w:color w:val="000000"/>
          <w:sz w:val="20"/>
          <w:szCs w:val="20"/>
        </w:rPr>
        <w:t>For purposes of measuring PD, the Group defines default as a situation when the exposure meets one or more of the following criteria:</w:t>
      </w:r>
    </w:p>
    <w:p w14:paraId="1892C47F" w14:textId="77777777" w:rsidR="008E5DE4" w:rsidRDefault="00780368">
      <w:pPr>
        <w:widowControl w:val="0"/>
        <w:numPr>
          <w:ilvl w:val="0"/>
          <w:numId w:val="16"/>
        </w:numPr>
        <w:pBdr>
          <w:top w:val="nil"/>
          <w:left w:val="nil"/>
          <w:bottom w:val="nil"/>
          <w:right w:val="nil"/>
          <w:between w:val="nil"/>
        </w:pBdr>
        <w:spacing w:before="100" w:after="100"/>
        <w:jc w:val="both"/>
        <w:rPr>
          <w:color w:val="0000FF"/>
          <w:sz w:val="20"/>
          <w:szCs w:val="20"/>
        </w:rPr>
      </w:pPr>
      <w:r>
        <w:rPr>
          <w:color w:val="0000FF"/>
          <w:sz w:val="20"/>
          <w:szCs w:val="20"/>
        </w:rPr>
        <w:t xml:space="preserve">[the borrower is more than 90 days past due on its contractual </w:t>
      </w:r>
      <w:proofErr w:type="gramStart"/>
      <w:r>
        <w:rPr>
          <w:color w:val="0000FF"/>
          <w:sz w:val="20"/>
          <w:szCs w:val="20"/>
        </w:rPr>
        <w:t>payments;</w:t>
      </w:r>
      <w:proofErr w:type="gramEnd"/>
    </w:p>
    <w:p w14:paraId="518905CA" w14:textId="77777777" w:rsidR="008E5DE4" w:rsidRDefault="00780368">
      <w:pPr>
        <w:widowControl w:val="0"/>
        <w:numPr>
          <w:ilvl w:val="0"/>
          <w:numId w:val="16"/>
        </w:numPr>
        <w:pBdr>
          <w:top w:val="nil"/>
          <w:left w:val="nil"/>
          <w:bottom w:val="nil"/>
          <w:right w:val="nil"/>
          <w:between w:val="nil"/>
        </w:pBdr>
        <w:spacing w:before="100" w:after="100"/>
        <w:jc w:val="both"/>
        <w:rPr>
          <w:color w:val="0000FF"/>
          <w:sz w:val="20"/>
          <w:szCs w:val="20"/>
        </w:rPr>
      </w:pPr>
      <w:r>
        <w:rPr>
          <w:color w:val="0000FF"/>
          <w:sz w:val="20"/>
          <w:szCs w:val="20"/>
        </w:rPr>
        <w:t xml:space="preserve">international rating agencies have classified the borrower in the default rating </w:t>
      </w:r>
      <w:proofErr w:type="gramStart"/>
      <w:r>
        <w:rPr>
          <w:color w:val="0000FF"/>
          <w:sz w:val="20"/>
          <w:szCs w:val="20"/>
        </w:rPr>
        <w:t>class;</w:t>
      </w:r>
      <w:proofErr w:type="gramEnd"/>
    </w:p>
    <w:p w14:paraId="10B0056E" w14:textId="77777777" w:rsidR="008E5DE4" w:rsidRDefault="00780368">
      <w:pPr>
        <w:widowControl w:val="0"/>
        <w:numPr>
          <w:ilvl w:val="0"/>
          <w:numId w:val="16"/>
        </w:numPr>
        <w:pBdr>
          <w:top w:val="nil"/>
          <w:left w:val="nil"/>
          <w:bottom w:val="nil"/>
          <w:right w:val="nil"/>
          <w:between w:val="nil"/>
        </w:pBdr>
        <w:spacing w:before="100" w:after="100"/>
        <w:jc w:val="both"/>
        <w:rPr>
          <w:color w:val="0000FF"/>
          <w:sz w:val="20"/>
          <w:szCs w:val="20"/>
        </w:rPr>
      </w:pPr>
      <w:r>
        <w:rPr>
          <w:color w:val="0000FF"/>
          <w:sz w:val="20"/>
          <w:szCs w:val="20"/>
        </w:rPr>
        <w:t>the borrower meets the unlikeliness-to-pay criteria listed below:</w:t>
      </w:r>
    </w:p>
    <w:p w14:paraId="4BCD07C7" w14:textId="77777777" w:rsidR="008E5DE4" w:rsidRDefault="00780368">
      <w:pPr>
        <w:widowControl w:val="0"/>
        <w:numPr>
          <w:ilvl w:val="0"/>
          <w:numId w:val="8"/>
        </w:numPr>
        <w:pBdr>
          <w:top w:val="nil"/>
          <w:left w:val="nil"/>
          <w:bottom w:val="nil"/>
          <w:right w:val="nil"/>
          <w:between w:val="nil"/>
        </w:pBdr>
        <w:spacing w:before="100" w:after="100"/>
        <w:ind w:left="1134" w:hanging="567"/>
        <w:jc w:val="both"/>
        <w:rPr>
          <w:color w:val="0000FF"/>
          <w:sz w:val="20"/>
          <w:szCs w:val="20"/>
        </w:rPr>
      </w:pPr>
      <w:r>
        <w:rPr>
          <w:color w:val="0000FF"/>
          <w:sz w:val="20"/>
          <w:szCs w:val="20"/>
        </w:rPr>
        <w:t xml:space="preserve">the borrower is </w:t>
      </w:r>
      <w:proofErr w:type="gramStart"/>
      <w:r>
        <w:rPr>
          <w:color w:val="0000FF"/>
          <w:sz w:val="20"/>
          <w:szCs w:val="20"/>
        </w:rPr>
        <w:t>deceased;</w:t>
      </w:r>
      <w:proofErr w:type="gramEnd"/>
    </w:p>
    <w:p w14:paraId="13B04DB0" w14:textId="77777777" w:rsidR="008E5DE4" w:rsidRDefault="00780368">
      <w:pPr>
        <w:widowControl w:val="0"/>
        <w:numPr>
          <w:ilvl w:val="0"/>
          <w:numId w:val="8"/>
        </w:numPr>
        <w:pBdr>
          <w:top w:val="nil"/>
          <w:left w:val="nil"/>
          <w:bottom w:val="nil"/>
          <w:right w:val="nil"/>
          <w:between w:val="nil"/>
        </w:pBdr>
        <w:spacing w:before="100" w:after="100"/>
        <w:ind w:left="1134" w:hanging="567"/>
        <w:jc w:val="both"/>
        <w:rPr>
          <w:color w:val="0000FF"/>
          <w:sz w:val="20"/>
          <w:szCs w:val="20"/>
        </w:rPr>
      </w:pPr>
      <w:r>
        <w:rPr>
          <w:color w:val="0000FF"/>
          <w:sz w:val="20"/>
          <w:szCs w:val="20"/>
        </w:rPr>
        <w:t xml:space="preserve">the borrower is </w:t>
      </w:r>
      <w:proofErr w:type="gramStart"/>
      <w:r>
        <w:rPr>
          <w:color w:val="0000FF"/>
          <w:sz w:val="20"/>
          <w:szCs w:val="20"/>
        </w:rPr>
        <w:t>insolvent;</w:t>
      </w:r>
      <w:proofErr w:type="gramEnd"/>
    </w:p>
    <w:p w14:paraId="6DA11E18" w14:textId="77777777" w:rsidR="008E5DE4" w:rsidRDefault="00780368">
      <w:pPr>
        <w:widowControl w:val="0"/>
        <w:numPr>
          <w:ilvl w:val="0"/>
          <w:numId w:val="8"/>
        </w:numPr>
        <w:pBdr>
          <w:top w:val="nil"/>
          <w:left w:val="nil"/>
          <w:bottom w:val="nil"/>
          <w:right w:val="nil"/>
          <w:between w:val="nil"/>
        </w:pBdr>
        <w:spacing w:before="100" w:after="100"/>
        <w:ind w:left="1134" w:hanging="567"/>
        <w:jc w:val="both"/>
        <w:rPr>
          <w:color w:val="0000FF"/>
          <w:sz w:val="20"/>
          <w:szCs w:val="20"/>
        </w:rPr>
      </w:pPr>
      <w:r>
        <w:rPr>
          <w:color w:val="0000FF"/>
          <w:sz w:val="20"/>
          <w:szCs w:val="20"/>
        </w:rPr>
        <w:t>the borrower is in breach of financial covenant(s</w:t>
      </w:r>
      <w:proofErr w:type="gramStart"/>
      <w:r>
        <w:rPr>
          <w:color w:val="0000FF"/>
          <w:sz w:val="20"/>
          <w:szCs w:val="20"/>
        </w:rPr>
        <w:t>);</w:t>
      </w:r>
      <w:proofErr w:type="gramEnd"/>
    </w:p>
    <w:p w14:paraId="590C71A8" w14:textId="77777777" w:rsidR="008E5DE4" w:rsidRDefault="00780368">
      <w:pPr>
        <w:widowControl w:val="0"/>
        <w:numPr>
          <w:ilvl w:val="0"/>
          <w:numId w:val="8"/>
        </w:numPr>
        <w:pBdr>
          <w:top w:val="nil"/>
          <w:left w:val="nil"/>
          <w:bottom w:val="nil"/>
          <w:right w:val="nil"/>
          <w:between w:val="nil"/>
        </w:pBdr>
        <w:spacing w:before="100" w:after="100"/>
        <w:ind w:left="1134" w:hanging="567"/>
        <w:jc w:val="both"/>
        <w:rPr>
          <w:color w:val="0000FF"/>
          <w:sz w:val="20"/>
          <w:szCs w:val="20"/>
        </w:rPr>
      </w:pPr>
      <w:r>
        <w:rPr>
          <w:color w:val="0000FF"/>
          <w:sz w:val="20"/>
          <w:szCs w:val="20"/>
        </w:rPr>
        <w:t>it is becoming likely that the borrower will enter bankruptcy; and</w:t>
      </w:r>
    </w:p>
    <w:p w14:paraId="4D712C72" w14:textId="77777777" w:rsidR="008E5DE4" w:rsidRDefault="00780368">
      <w:pPr>
        <w:widowControl w:val="0"/>
        <w:numPr>
          <w:ilvl w:val="0"/>
          <w:numId w:val="8"/>
        </w:numPr>
        <w:pBdr>
          <w:top w:val="nil"/>
          <w:left w:val="nil"/>
          <w:bottom w:val="nil"/>
          <w:right w:val="nil"/>
          <w:between w:val="nil"/>
        </w:pBdr>
        <w:spacing w:before="100" w:after="100"/>
        <w:ind w:left="1134" w:hanging="567"/>
        <w:jc w:val="both"/>
        <w:rPr>
          <w:i/>
          <w:color w:val="0000FF"/>
          <w:sz w:val="20"/>
          <w:szCs w:val="20"/>
        </w:rPr>
      </w:pPr>
      <w:r>
        <w:rPr>
          <w:color w:val="0000FF"/>
          <w:sz w:val="20"/>
          <w:szCs w:val="20"/>
        </w:rPr>
        <w:t>the loans were purchased or originated at a deep discount that reflects the incurred credit losses.]</w:t>
      </w:r>
    </w:p>
    <w:p w14:paraId="09C2F945" w14:textId="6BAB7CFA" w:rsidR="008E5DE4" w:rsidRDefault="00780368">
      <w:pPr>
        <w:pBdr>
          <w:top w:val="nil"/>
          <w:left w:val="nil"/>
          <w:bottom w:val="nil"/>
          <w:right w:val="nil"/>
          <w:between w:val="nil"/>
        </w:pBdr>
        <w:spacing w:before="200" w:after="200"/>
        <w:jc w:val="both"/>
        <w:rPr>
          <w:b/>
          <w:i/>
          <w:color w:val="FF0000"/>
          <w:sz w:val="20"/>
          <w:szCs w:val="20"/>
        </w:rPr>
      </w:pPr>
      <w:r>
        <w:rPr>
          <w:color w:val="000000"/>
          <w:sz w:val="20"/>
          <w:szCs w:val="20"/>
        </w:rPr>
        <w:t>For purposes of disclosure, the Group fully aligned the definition of default with the definition of credit-impaired assets. The default definition stated above is applied to all types of financial assets of the Group.</w:t>
      </w:r>
    </w:p>
    <w:p w14:paraId="17E1761B"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3F7C9977" w14:textId="2CE66B0C" w:rsidR="008E5DE4" w:rsidRDefault="00780368">
      <w:pPr>
        <w:widowControl w:val="0"/>
        <w:spacing w:before="200" w:after="200"/>
        <w:jc w:val="both"/>
        <w:rPr>
          <w:i/>
          <w:color w:val="FF0000"/>
          <w:sz w:val="20"/>
          <w:szCs w:val="20"/>
        </w:rPr>
      </w:pPr>
      <w:r>
        <w:rPr>
          <w:sz w:val="20"/>
          <w:szCs w:val="20"/>
        </w:rPr>
        <w:t xml:space="preserve">An instrument is considered to no longer be in default (i.e. to have cured) when it no longer meets any of the default criteria for a consecutive period of </w:t>
      </w:r>
      <w:r>
        <w:rPr>
          <w:color w:val="0000FF"/>
          <w:sz w:val="20"/>
          <w:szCs w:val="20"/>
        </w:rPr>
        <w:t>[six</w:t>
      </w:r>
      <w:r>
        <w:rPr>
          <w:sz w:val="20"/>
          <w:szCs w:val="20"/>
        </w:rPr>
        <w:t xml:space="preserve"> </w:t>
      </w:r>
      <w:r>
        <w:rPr>
          <w:color w:val="0000FF"/>
          <w:sz w:val="20"/>
          <w:szCs w:val="20"/>
        </w:rPr>
        <w:t>months]</w:t>
      </w:r>
      <w:r>
        <w:rPr>
          <w:sz w:val="20"/>
          <w:szCs w:val="20"/>
        </w:rPr>
        <w:t xml:space="preserve">. This period of </w:t>
      </w:r>
      <w:r>
        <w:rPr>
          <w:color w:val="0000FF"/>
          <w:sz w:val="20"/>
          <w:szCs w:val="20"/>
        </w:rPr>
        <w:t>[six months]</w:t>
      </w:r>
      <w:r>
        <w:rPr>
          <w:sz w:val="20"/>
          <w:szCs w:val="20"/>
        </w:rPr>
        <w:t xml:space="preserve"> has been determined based on an analysis that considers the likelihood of a financial instrument returning to default status after curing by using different possible definitions of cures. </w:t>
      </w:r>
    </w:p>
    <w:p w14:paraId="2A1831CA" w14:textId="77777777" w:rsidR="008E5DE4" w:rsidRDefault="00780368">
      <w:pPr>
        <w:widowControl w:val="0"/>
        <w:spacing w:before="200" w:after="200"/>
        <w:jc w:val="both"/>
        <w:rPr>
          <w:sz w:val="20"/>
          <w:szCs w:val="20"/>
        </w:rPr>
      </w:pPr>
      <w:r>
        <w:rPr>
          <w:sz w:val="20"/>
          <w:szCs w:val="20"/>
        </w:rPr>
        <w:t xml:space="preserve">The assessment </w:t>
      </w:r>
      <w:proofErr w:type="gramStart"/>
      <w:r>
        <w:rPr>
          <w:sz w:val="20"/>
          <w:szCs w:val="20"/>
        </w:rPr>
        <w:t>whether or not</w:t>
      </w:r>
      <w:proofErr w:type="gramEnd"/>
      <w:r>
        <w:rPr>
          <w:sz w:val="20"/>
          <w:szCs w:val="20"/>
        </w:rPr>
        <w:t xml:space="preserve"> there has been a significant increase in credit risk (“SICR”)</w:t>
      </w:r>
      <w:r>
        <w:rPr>
          <w:i/>
          <w:sz w:val="20"/>
          <w:szCs w:val="20"/>
        </w:rPr>
        <w:t xml:space="preserve"> </w:t>
      </w:r>
      <w:r>
        <w:rPr>
          <w:sz w:val="20"/>
          <w:szCs w:val="20"/>
        </w:rPr>
        <w:t>since initial recognition</w:t>
      </w:r>
      <w:r>
        <w:rPr>
          <w:i/>
          <w:sz w:val="20"/>
          <w:szCs w:val="20"/>
        </w:rPr>
        <w:t xml:space="preserve"> </w:t>
      </w:r>
      <w:r>
        <w:rPr>
          <w:sz w:val="20"/>
          <w:szCs w:val="20"/>
        </w:rPr>
        <w:t xml:space="preserve">is performed on an individual basis and on a portfolio basis. For </w:t>
      </w:r>
      <w:r>
        <w:rPr>
          <w:color w:val="0000FF"/>
          <w:sz w:val="20"/>
          <w:szCs w:val="20"/>
        </w:rPr>
        <w:t>[loans issued to corporate entities, debt securities at AC or at FVOCI]</w:t>
      </w:r>
      <w:r>
        <w:rPr>
          <w:sz w:val="20"/>
          <w:szCs w:val="20"/>
        </w:rPr>
        <w:t xml:space="preserve">, SICR is assessed on an individual basis by monitoring the triggers stated below. For </w:t>
      </w:r>
      <w:r>
        <w:rPr>
          <w:color w:val="0000FF"/>
          <w:sz w:val="20"/>
          <w:szCs w:val="20"/>
        </w:rPr>
        <w:t>[loans issued to individuals and other financial assets]</w:t>
      </w:r>
      <w:r>
        <w:rPr>
          <w:sz w:val="20"/>
          <w:szCs w:val="20"/>
        </w:rPr>
        <w:t xml:space="preserve">, SICR is assessed either on a portfolio basis or an individual basis, depending on the existence of scoring models. The criteria used to identify an SICR are monitored and reviewed periodically for appropriateness by the Group’s </w:t>
      </w:r>
      <w:r>
        <w:rPr>
          <w:color w:val="0000FF"/>
          <w:sz w:val="20"/>
          <w:szCs w:val="20"/>
        </w:rPr>
        <w:t>[Risk Management Department]</w:t>
      </w:r>
      <w:r>
        <w:rPr>
          <w:sz w:val="20"/>
          <w:szCs w:val="20"/>
        </w:rPr>
        <w:t>. The presumption, being that there have been significant increases in credit risk since initial recognition when financial assets are more than 30 days past due, has not been rebutted.</w:t>
      </w:r>
    </w:p>
    <w:p w14:paraId="7D3AD7C3" w14:textId="77777777" w:rsidR="008E5DE4" w:rsidRDefault="00780368">
      <w:pPr>
        <w:pBdr>
          <w:top w:val="nil"/>
          <w:left w:val="nil"/>
          <w:bottom w:val="nil"/>
          <w:right w:val="nil"/>
          <w:between w:val="nil"/>
        </w:pBdr>
        <w:spacing w:before="200" w:after="200"/>
        <w:jc w:val="both"/>
        <w:rPr>
          <w:color w:val="000000"/>
          <w:sz w:val="20"/>
          <w:szCs w:val="20"/>
        </w:rPr>
      </w:pPr>
      <w:r>
        <w:rPr>
          <w:color w:val="000000"/>
          <w:sz w:val="20"/>
          <w:szCs w:val="20"/>
        </w:rPr>
        <w:t xml:space="preserve">The Group decided not to use the low credit risk assessment exemption for investment grade financial assets. Hence, even assets of an investment grade are assessed whether there has been a SICR. </w:t>
      </w:r>
    </w:p>
    <w:p w14:paraId="55745BAF" w14:textId="1EA57850" w:rsidR="008E5DE4" w:rsidRDefault="00780368">
      <w:pPr>
        <w:widowControl w:val="0"/>
        <w:spacing w:before="200" w:after="200"/>
        <w:jc w:val="both"/>
        <w:rPr>
          <w:color w:val="FF0000"/>
          <w:sz w:val="20"/>
          <w:szCs w:val="20"/>
        </w:rPr>
      </w:pPr>
      <w:r>
        <w:rPr>
          <w:sz w:val="20"/>
          <w:szCs w:val="20"/>
        </w:rPr>
        <w:t xml:space="preserve">The Group considers a financial instrument to have experienced an SICR when one or more of the following quantitative, qualitative or backstop criteria have been met. </w:t>
      </w:r>
    </w:p>
    <w:p w14:paraId="6BEE2E8D" w14:textId="77777777" w:rsidR="008E5DE4" w:rsidRDefault="00780368">
      <w:pPr>
        <w:widowControl w:val="0"/>
        <w:spacing w:before="200" w:after="200"/>
        <w:jc w:val="both"/>
        <w:rPr>
          <w:sz w:val="20"/>
          <w:szCs w:val="20"/>
        </w:rPr>
      </w:pPr>
      <w:r>
        <w:rPr>
          <w:sz w:val="20"/>
          <w:szCs w:val="20"/>
        </w:rPr>
        <w:t>For loans issued to legal entities and bonds issued by corporate customers:</w:t>
      </w:r>
    </w:p>
    <w:p w14:paraId="2B7CB93B" w14:textId="77777777" w:rsidR="008E5DE4" w:rsidRDefault="00780368">
      <w:pPr>
        <w:widowControl w:val="0"/>
        <w:numPr>
          <w:ilvl w:val="0"/>
          <w:numId w:val="16"/>
        </w:numPr>
        <w:pBdr>
          <w:top w:val="nil"/>
          <w:left w:val="nil"/>
          <w:bottom w:val="nil"/>
          <w:right w:val="nil"/>
          <w:between w:val="nil"/>
        </w:pBdr>
        <w:spacing w:before="100" w:after="100"/>
        <w:jc w:val="both"/>
      </w:pPr>
      <w:r>
        <w:rPr>
          <w:color w:val="0000FF"/>
          <w:sz w:val="20"/>
          <w:szCs w:val="20"/>
        </w:rPr>
        <w:t>[30]</w:t>
      </w:r>
      <w:r>
        <w:rPr>
          <w:color w:val="000000"/>
          <w:sz w:val="20"/>
          <w:szCs w:val="20"/>
        </w:rPr>
        <w:t xml:space="preserve"> days past </w:t>
      </w:r>
      <w:proofErr w:type="gramStart"/>
      <w:r>
        <w:rPr>
          <w:color w:val="000000"/>
          <w:sz w:val="20"/>
          <w:szCs w:val="20"/>
        </w:rPr>
        <w:t>due;</w:t>
      </w:r>
      <w:proofErr w:type="gramEnd"/>
    </w:p>
    <w:p w14:paraId="6ADAD663"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award of risk grade “Special monitoring</w:t>
      </w:r>
      <w:proofErr w:type="gramStart"/>
      <w:r>
        <w:rPr>
          <w:color w:val="000000"/>
          <w:sz w:val="20"/>
          <w:szCs w:val="20"/>
        </w:rPr>
        <w:t>”;</w:t>
      </w:r>
      <w:proofErr w:type="gramEnd"/>
    </w:p>
    <w:p w14:paraId="685F7884"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SICR based on relative threshold based either on external ratings or internal ratings. The following thresholds are used for external ratings: decrease of rating by </w:t>
      </w:r>
      <w:r>
        <w:rPr>
          <w:color w:val="0000FF"/>
          <w:sz w:val="20"/>
          <w:szCs w:val="20"/>
        </w:rPr>
        <w:t>[2]</w:t>
      </w:r>
      <w:r>
        <w:rPr>
          <w:color w:val="FF0000"/>
          <w:sz w:val="20"/>
          <w:szCs w:val="20"/>
        </w:rPr>
        <w:t xml:space="preserve"> </w:t>
      </w:r>
      <w:r>
        <w:rPr>
          <w:color w:val="000000"/>
          <w:sz w:val="20"/>
          <w:szCs w:val="20"/>
        </w:rPr>
        <w:t xml:space="preserve">notches, for internal ratings by </w:t>
      </w:r>
      <w:r>
        <w:rPr>
          <w:color w:val="0000FF"/>
          <w:sz w:val="20"/>
          <w:szCs w:val="20"/>
        </w:rPr>
        <w:t>[5]</w:t>
      </w:r>
      <w:r>
        <w:rPr>
          <w:color w:val="FF0000"/>
          <w:sz w:val="20"/>
          <w:szCs w:val="20"/>
        </w:rPr>
        <w:t xml:space="preserve"> </w:t>
      </w:r>
      <w:r>
        <w:rPr>
          <w:color w:val="000000"/>
          <w:sz w:val="20"/>
          <w:szCs w:val="20"/>
        </w:rPr>
        <w:t xml:space="preserve">notches, which corresponds to approximate increase of PD by </w:t>
      </w:r>
      <w:r>
        <w:rPr>
          <w:color w:val="0000FF"/>
          <w:sz w:val="20"/>
          <w:szCs w:val="20"/>
        </w:rPr>
        <w:t>[2.5]</w:t>
      </w:r>
      <w:r>
        <w:rPr>
          <w:color w:val="FF0000"/>
          <w:sz w:val="20"/>
          <w:szCs w:val="20"/>
        </w:rPr>
        <w:t xml:space="preserve"> </w:t>
      </w:r>
      <w:proofErr w:type="gramStart"/>
      <w:r>
        <w:rPr>
          <w:color w:val="000000"/>
          <w:sz w:val="20"/>
          <w:szCs w:val="20"/>
        </w:rPr>
        <w:t>times;</w:t>
      </w:r>
      <w:proofErr w:type="gramEnd"/>
    </w:p>
    <w:p w14:paraId="319F572A"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inclusion of loan into a watch list according to the internal credit risk monitoring process.</w:t>
      </w:r>
    </w:p>
    <w:p w14:paraId="48DFBFB9" w14:textId="77777777" w:rsidR="008E5DE4" w:rsidRDefault="00780368">
      <w:pPr>
        <w:widowControl w:val="0"/>
        <w:spacing w:before="200" w:after="200"/>
        <w:jc w:val="both"/>
        <w:rPr>
          <w:sz w:val="20"/>
          <w:szCs w:val="20"/>
        </w:rPr>
      </w:pPr>
      <w:r>
        <w:rPr>
          <w:sz w:val="20"/>
          <w:szCs w:val="20"/>
        </w:rPr>
        <w:t xml:space="preserve">For trade and other receivable and contract assets: </w:t>
      </w:r>
    </w:p>
    <w:p w14:paraId="4ACAF166" w14:textId="77777777" w:rsidR="008E5DE4" w:rsidRDefault="00780368">
      <w:pPr>
        <w:widowControl w:val="0"/>
        <w:numPr>
          <w:ilvl w:val="0"/>
          <w:numId w:val="16"/>
        </w:numPr>
        <w:pBdr>
          <w:top w:val="nil"/>
          <w:left w:val="nil"/>
          <w:bottom w:val="nil"/>
          <w:right w:val="nil"/>
          <w:between w:val="nil"/>
        </w:pBdr>
        <w:spacing w:before="100" w:after="100"/>
        <w:ind w:left="567" w:hanging="567"/>
        <w:jc w:val="both"/>
        <w:rPr>
          <w:color w:val="0000FF"/>
          <w:sz w:val="20"/>
          <w:szCs w:val="20"/>
        </w:rPr>
      </w:pPr>
      <w:r>
        <w:rPr>
          <w:color w:val="0000FF"/>
          <w:sz w:val="20"/>
          <w:szCs w:val="20"/>
        </w:rPr>
        <w:t>[30]</w:t>
      </w:r>
      <w:r>
        <w:rPr>
          <w:color w:val="000000"/>
          <w:sz w:val="20"/>
          <w:szCs w:val="20"/>
        </w:rPr>
        <w:t xml:space="preserve"> days past </w:t>
      </w:r>
      <w:proofErr w:type="gramStart"/>
      <w:r>
        <w:rPr>
          <w:color w:val="000000"/>
          <w:sz w:val="20"/>
          <w:szCs w:val="20"/>
        </w:rPr>
        <w:t>due;</w:t>
      </w:r>
      <w:proofErr w:type="gramEnd"/>
    </w:p>
    <w:p w14:paraId="669BC40C" w14:textId="77777777" w:rsidR="008E5DE4" w:rsidRDefault="00780368">
      <w:pPr>
        <w:widowControl w:val="0"/>
        <w:numPr>
          <w:ilvl w:val="0"/>
          <w:numId w:val="16"/>
        </w:numPr>
        <w:pBdr>
          <w:top w:val="nil"/>
          <w:left w:val="nil"/>
          <w:bottom w:val="nil"/>
          <w:right w:val="nil"/>
          <w:between w:val="nil"/>
        </w:pBdr>
        <w:spacing w:before="100" w:after="100"/>
        <w:ind w:left="567" w:hanging="567"/>
        <w:jc w:val="both"/>
        <w:rPr>
          <w:color w:val="0000FF"/>
          <w:sz w:val="20"/>
          <w:szCs w:val="20"/>
        </w:rPr>
      </w:pPr>
      <w:r>
        <w:rPr>
          <w:color w:val="0000FF"/>
          <w:sz w:val="20"/>
          <w:szCs w:val="20"/>
        </w:rPr>
        <w:t>[Relative threshold defined on the basis of a portfolio for products without existing scoring models: the Group regularly monitors debtors with increased credit risk and considers such portfolios to have a SICR;] / [Relative threshold defined on individual basis for debtors with existing scoring models: increase of the remaining lifetime PD compared to remaining lifetime PD estimated as of the date of initial recognition by 2.5 times. In some circumstances, the Group uses a 12-month PD instead of a lifetime PD for calculating this ratio, if the effect of using 12-month PD is not materially different.]</w:t>
      </w:r>
    </w:p>
    <w:p w14:paraId="2591D99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67566587" w14:textId="77777777" w:rsidR="008E5DE4" w:rsidRDefault="00780368">
      <w:pPr>
        <w:widowControl w:val="0"/>
        <w:spacing w:before="200" w:after="200"/>
        <w:jc w:val="both"/>
        <w:rPr>
          <w:sz w:val="20"/>
          <w:szCs w:val="20"/>
        </w:rPr>
      </w:pPr>
      <w:r>
        <w:rPr>
          <w:sz w:val="20"/>
          <w:szCs w:val="20"/>
        </w:rPr>
        <w:t>The level of ECL that is recognised in these consolidated financial statements depends on whether the credit risk of the borrower has increased significantly since initial recognition. This is a three-stage model for ECL measurement. A financial instrument that is not credit-impaired on initial recognition and its credit risk has not increased significantly since initial recognition has a credit loss allowance based on 12-month ECLs (Stage 1). If a SICR since initial recognition is identified, the financial instrument is moved to Stage 2 but is not yet deemed to be credit-impaired and the loss allowance is based on lifetime ECLs. If a financial instrument is credit-impaired, the financial instrument is moved to Stage 3 and loss allowance is based on lifetime ECLs. The consequence of an asset being in Stage 3 is that the entity ceases to recognise interest income based on gross carrying value and applies the asset’s effective interest rate to the carrying amount, net of ECL, when calculating interest income.</w:t>
      </w:r>
    </w:p>
    <w:p w14:paraId="7881D1CB" w14:textId="215EC550" w:rsidR="008E5DE4" w:rsidRDefault="00780368">
      <w:pPr>
        <w:widowControl w:val="0"/>
        <w:spacing w:before="200" w:after="200"/>
        <w:jc w:val="both"/>
        <w:rPr>
          <w:sz w:val="20"/>
          <w:szCs w:val="20"/>
        </w:rPr>
      </w:pPr>
      <w:r>
        <w:rPr>
          <w:sz w:val="20"/>
          <w:szCs w:val="20"/>
        </w:rPr>
        <w:t xml:space="preserve">If there is evidence that the SICR criteria are no longer met, the instrument is transferred back to Stage 1. If an exposure has been transferred to Stage 2 based on a qualitative indicator, the Group monitors whether that indicator continues to exist or has changed. </w:t>
      </w:r>
    </w:p>
    <w:p w14:paraId="275A4C36" w14:textId="77777777" w:rsidR="008E5DE4" w:rsidRDefault="00780368">
      <w:pPr>
        <w:widowControl w:val="0"/>
        <w:spacing w:before="200" w:after="200"/>
        <w:jc w:val="both"/>
        <w:rPr>
          <w:sz w:val="20"/>
          <w:szCs w:val="20"/>
        </w:rPr>
      </w:pPr>
      <w:r>
        <w:rPr>
          <w:sz w:val="20"/>
          <w:szCs w:val="20"/>
        </w:rPr>
        <w:t xml:space="preserve">ECL for POCI financial assets is always measured on a lifetime basis. The Group therefore only recognises the cumulative changes in lifetime expected credit losses. </w:t>
      </w:r>
    </w:p>
    <w:p w14:paraId="4E2A8A02" w14:textId="15D21876" w:rsidR="008E5DE4" w:rsidRDefault="00780368">
      <w:pPr>
        <w:widowControl w:val="0"/>
        <w:spacing w:before="200" w:after="200"/>
        <w:jc w:val="both"/>
        <w:rPr>
          <w:sz w:val="20"/>
          <w:szCs w:val="20"/>
        </w:rPr>
      </w:pPr>
      <w:r>
        <w:rPr>
          <w:sz w:val="20"/>
          <w:szCs w:val="20"/>
        </w:rPr>
        <w:t>The Group has three approaches for ECL measurement: (</w:t>
      </w:r>
      <w:proofErr w:type="spellStart"/>
      <w:r>
        <w:rPr>
          <w:sz w:val="20"/>
          <w:szCs w:val="20"/>
        </w:rPr>
        <w:t>i</w:t>
      </w:r>
      <w:proofErr w:type="spellEnd"/>
      <w:r>
        <w:rPr>
          <w:sz w:val="20"/>
          <w:szCs w:val="20"/>
        </w:rPr>
        <w:t xml:space="preserve">) assessment on an individual basis; (ii) assessment on a portfolio basis: internal ratings are estimated on an individual basis but the same credit risk parameters (e.g. PD, LGD) will be applied during the process of ECL calculations for the same credit risk ratings and homogeneous segments of the loan portfolio; and (iii) assessment based on external ratings. The Group performs an assessment on an individual basis for the following types of loans: </w:t>
      </w:r>
      <w:r>
        <w:rPr>
          <w:color w:val="0000FF"/>
          <w:sz w:val="20"/>
          <w:szCs w:val="20"/>
        </w:rPr>
        <w:t xml:space="preserve">[loans with unique credit risk characteristics, individually significant loans, that is, individual exposures above EUR____ thousand and credit-impaired loans above EUR____ thousand]. </w:t>
      </w:r>
      <w:r>
        <w:rPr>
          <w:sz w:val="20"/>
          <w:szCs w:val="20"/>
        </w:rPr>
        <w:t xml:space="preserve">The Group performs an assessment on a portfolio basis for the following types of loans: </w:t>
      </w:r>
      <w:proofErr w:type="gramStart"/>
      <w:r>
        <w:rPr>
          <w:color w:val="0000FF"/>
          <w:sz w:val="20"/>
          <w:szCs w:val="20"/>
        </w:rPr>
        <w:t>[</w:t>
      </w:r>
      <w:r w:rsidR="00BC35D0">
        <w:rPr>
          <w:color w:val="0000FF"/>
          <w:sz w:val="20"/>
          <w:szCs w:val="20"/>
        </w:rPr>
        <w:t xml:space="preserve"> ]</w:t>
      </w:r>
      <w:proofErr w:type="gramEnd"/>
      <w:r w:rsidR="00BC35D0">
        <w:rPr>
          <w:color w:val="0000FF"/>
          <w:sz w:val="20"/>
          <w:szCs w:val="20"/>
        </w:rPr>
        <w:t xml:space="preserve"> [</w:t>
      </w:r>
      <w:r>
        <w:rPr>
          <w:color w:val="0000FF"/>
          <w:sz w:val="20"/>
          <w:szCs w:val="20"/>
        </w:rPr>
        <w:t>when no borrower-specific information is available]</w:t>
      </w:r>
      <w:r>
        <w:rPr>
          <w:sz w:val="20"/>
          <w:szCs w:val="20"/>
        </w:rPr>
        <w:t xml:space="preserve">. This approach stratifies the loan pool into homogeneous segments based on borrower-specific information, such as </w:t>
      </w:r>
      <w:r>
        <w:rPr>
          <w:color w:val="0000FF"/>
          <w:sz w:val="20"/>
          <w:szCs w:val="20"/>
        </w:rPr>
        <w:t xml:space="preserve">[delinquency status, the historical data on losses, location and other predictive information] </w:t>
      </w:r>
      <w:r>
        <w:rPr>
          <w:sz w:val="20"/>
          <w:szCs w:val="20"/>
        </w:rPr>
        <w:t xml:space="preserve">The Group also performs an assessment on a portfolio basis for </w:t>
      </w:r>
      <w:r>
        <w:rPr>
          <w:color w:val="0000FF"/>
          <w:sz w:val="20"/>
          <w:szCs w:val="20"/>
        </w:rPr>
        <w:t>[corporate loans, municipal loans, etc.]</w:t>
      </w:r>
      <w:r>
        <w:rPr>
          <w:color w:val="FF0000"/>
          <w:sz w:val="20"/>
          <w:szCs w:val="20"/>
        </w:rPr>
        <w:t xml:space="preserve"> </w:t>
      </w:r>
    </w:p>
    <w:p w14:paraId="50FD5920" w14:textId="77777777" w:rsidR="008E5DE4" w:rsidRDefault="00780368">
      <w:pPr>
        <w:widowControl w:val="0"/>
        <w:spacing w:before="200" w:after="200"/>
        <w:jc w:val="both"/>
        <w:rPr>
          <w:sz w:val="20"/>
          <w:szCs w:val="20"/>
        </w:rPr>
      </w:pPr>
      <w:r>
        <w:rPr>
          <w:sz w:val="20"/>
          <w:szCs w:val="20"/>
        </w:rPr>
        <w:t xml:space="preserve">The Group performs assessments based on external ratings for </w:t>
      </w:r>
      <w:r>
        <w:rPr>
          <w:color w:val="0000FF"/>
          <w:sz w:val="20"/>
          <w:szCs w:val="20"/>
        </w:rPr>
        <w:t>[debt securities issued by the banks and certain blue chip corporate customers, etc.]</w:t>
      </w:r>
      <w:r>
        <w:rPr>
          <w:sz w:val="20"/>
          <w:szCs w:val="20"/>
        </w:rPr>
        <w:t xml:space="preserve"> </w:t>
      </w:r>
    </w:p>
    <w:p w14:paraId="2250F7C5" w14:textId="77777777" w:rsidR="008E5DE4" w:rsidRDefault="00780368">
      <w:pPr>
        <w:widowControl w:val="0"/>
        <w:spacing w:before="200" w:after="200"/>
        <w:jc w:val="both"/>
        <w:rPr>
          <w:sz w:val="20"/>
          <w:szCs w:val="20"/>
        </w:rPr>
      </w:pPr>
      <w:r>
        <w:rPr>
          <w:sz w:val="20"/>
          <w:szCs w:val="20"/>
        </w:rPr>
        <w:t xml:space="preserve">ECL assessment on an individual basis is performed by weighting the estimates of credit losses for different possible outcomes against the probabilities of each outcome. The Group defines at least two possible outcomes for each assessed loan, one of which leads to a credit loss even if the probability of such a scenario may be very low. Individual assessment is primarily based on the expert judgement of experienced officers from the </w:t>
      </w:r>
      <w:r>
        <w:rPr>
          <w:color w:val="0000FF"/>
          <w:sz w:val="20"/>
          <w:szCs w:val="20"/>
        </w:rPr>
        <w:t>[Credit Risk and Non-Performing Loan Management Department]</w:t>
      </w:r>
      <w:r>
        <w:rPr>
          <w:sz w:val="20"/>
          <w:szCs w:val="20"/>
        </w:rPr>
        <w:t xml:space="preserve">. Expert judgements are regularly tested </w:t>
      </w:r>
      <w:proofErr w:type="gramStart"/>
      <w:r>
        <w:rPr>
          <w:sz w:val="20"/>
          <w:szCs w:val="20"/>
        </w:rPr>
        <w:t>in order to</w:t>
      </w:r>
      <w:proofErr w:type="gramEnd"/>
      <w:r>
        <w:rPr>
          <w:sz w:val="20"/>
          <w:szCs w:val="20"/>
        </w:rPr>
        <w:t xml:space="preserve"> decrease the difference between estimates and actual losses.</w:t>
      </w:r>
    </w:p>
    <w:p w14:paraId="40352B3E" w14:textId="4ECA44CF" w:rsidR="008E5DE4" w:rsidRDefault="00780368">
      <w:pPr>
        <w:widowControl w:val="0"/>
        <w:spacing w:before="200" w:after="200"/>
        <w:jc w:val="both"/>
        <w:rPr>
          <w:color w:val="FF0000"/>
          <w:sz w:val="20"/>
          <w:szCs w:val="20"/>
        </w:rPr>
      </w:pPr>
      <w:r>
        <w:rPr>
          <w:sz w:val="20"/>
          <w:szCs w:val="20"/>
        </w:rPr>
        <w:t xml:space="preserve">When assessment is performed on a portfolio basis, the Group determines the staging of the exposures and measures the loss allowance on a collective basis. The Group analyses its exposures by segments determined </w:t>
      </w:r>
      <w:proofErr w:type="gramStart"/>
      <w:r>
        <w:rPr>
          <w:sz w:val="20"/>
          <w:szCs w:val="20"/>
        </w:rPr>
        <w:t>on the basis of</w:t>
      </w:r>
      <w:proofErr w:type="gramEnd"/>
      <w:r>
        <w:rPr>
          <w:sz w:val="20"/>
          <w:szCs w:val="20"/>
        </w:rPr>
        <w:t xml:space="preserve"> shared credit risk characteristics, such that exposures within a group have homogeneous or similar risks. The key shared credit characteristics considered are: </w:t>
      </w:r>
      <w:r>
        <w:rPr>
          <w:color w:val="0000FF"/>
          <w:sz w:val="20"/>
          <w:szCs w:val="20"/>
        </w:rPr>
        <w:t xml:space="preserve">[type of customer (such as wholesale or retail), product type, credit risk rating, date of initial recognition, term to maturity, the quality of collateral and loan to value (LTV) ratio.]. </w:t>
      </w:r>
      <w:r>
        <w:rPr>
          <w:sz w:val="20"/>
          <w:szCs w:val="20"/>
        </w:rPr>
        <w:t xml:space="preserve">The different segments also reflect differences in credit risk parameters such as PD and LGD. The appropriateness of groupings is monitored and reviewed on a periodic basis by </w:t>
      </w:r>
      <w:r>
        <w:rPr>
          <w:color w:val="0000FF"/>
          <w:sz w:val="20"/>
          <w:szCs w:val="20"/>
        </w:rPr>
        <w:t>[the Risk Management Department]</w:t>
      </w:r>
      <w:r>
        <w:rPr>
          <w:sz w:val="20"/>
          <w:szCs w:val="20"/>
        </w:rPr>
        <w:t>.</w:t>
      </w:r>
    </w:p>
    <w:p w14:paraId="52C8D0A0"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7CF86190" w14:textId="77777777" w:rsidR="008E5DE4" w:rsidRDefault="00780368">
      <w:pPr>
        <w:widowControl w:val="0"/>
        <w:spacing w:before="200" w:after="200"/>
        <w:jc w:val="both"/>
        <w:rPr>
          <w:sz w:val="20"/>
          <w:szCs w:val="20"/>
        </w:rPr>
      </w:pPr>
      <w:r>
        <w:rPr>
          <w:sz w:val="20"/>
          <w:szCs w:val="20"/>
        </w:rPr>
        <w:t xml:space="preserve">In general, ECL is the sum of the multiplications of the following credit risk parameters: EAD, PD and LGD, that are defined as explained </w:t>
      </w:r>
      <w:proofErr w:type="gramStart"/>
      <w:r>
        <w:rPr>
          <w:sz w:val="20"/>
          <w:szCs w:val="20"/>
        </w:rPr>
        <w:t>above, and</w:t>
      </w:r>
      <w:proofErr w:type="gramEnd"/>
      <w:r>
        <w:rPr>
          <w:sz w:val="20"/>
          <w:szCs w:val="20"/>
        </w:rPr>
        <w:t xml:space="preserve"> discounted to present value using the instrument’s effective interest rate. The ECL is determined by predicting credit risk parameters (EAD, PD and LGD) for each future </w:t>
      </w:r>
      <w:r>
        <w:rPr>
          <w:color w:val="0000FF"/>
          <w:sz w:val="20"/>
          <w:szCs w:val="20"/>
        </w:rPr>
        <w:t>[month / year]</w:t>
      </w:r>
      <w:r>
        <w:rPr>
          <w:sz w:val="20"/>
          <w:szCs w:val="20"/>
        </w:rPr>
        <w:t xml:space="preserve"> during the lifetime period for each individual exposure or collective segment. These three components are multiplied together and adjusted for the likelihood of survival (i.e. the exposure has been repaid or defaulted in an earlier month). This effectively calculates an ECL for each future period, that is then discounted back to the reporting date and summed up. The discount rate used in the ECL calculation is the original effective interest rate or an approximation thereof.</w:t>
      </w:r>
    </w:p>
    <w:p w14:paraId="5FC3D08A" w14:textId="77777777" w:rsidR="008E5DE4" w:rsidRDefault="00780368">
      <w:pPr>
        <w:widowControl w:val="0"/>
        <w:spacing w:before="200" w:after="200"/>
        <w:jc w:val="both"/>
        <w:rPr>
          <w:sz w:val="20"/>
          <w:szCs w:val="20"/>
        </w:rPr>
      </w:pPr>
      <w:r>
        <w:rPr>
          <w:b/>
          <w:i/>
          <w:sz w:val="20"/>
          <w:szCs w:val="20"/>
        </w:rPr>
        <w:t xml:space="preserve">The key principles of calculating the credit risk parameters. </w:t>
      </w:r>
      <w:r>
        <w:rPr>
          <w:sz w:val="20"/>
          <w:szCs w:val="20"/>
        </w:rPr>
        <w:t>The EADs are determined based on the expected payment profile, that varies by product type. EAD is based on the contractual repayments owed by the borrower over a 12-month or lifetime basis for amortising products and bullet repayment loans. This will also be adjusted for any expected overpayments made by a borrower. Early repayment or refinancing assumptions are also incorporated into the calculation. For revolving products, the EAD is predicted by taking the current drawn balance and adding a "credit conversion factor" that accounts for the expected drawdown of the remaining limit by the time of default. These assumptions vary by product type, current limit utilisation and other borrower-specific behavioural characteristics.</w:t>
      </w:r>
    </w:p>
    <w:p w14:paraId="76242874" w14:textId="380122F6" w:rsidR="008E5DE4" w:rsidRDefault="00780368">
      <w:pPr>
        <w:widowControl w:val="0"/>
        <w:spacing w:before="200" w:after="200"/>
        <w:jc w:val="both"/>
        <w:rPr>
          <w:sz w:val="20"/>
          <w:szCs w:val="20"/>
        </w:rPr>
      </w:pPr>
      <w:r>
        <w:rPr>
          <w:sz w:val="20"/>
          <w:szCs w:val="20"/>
        </w:rPr>
        <w:t>Two types of PDs are used for calculating ECLs: 12-month and lifetime PD. An assessment of a 12-month PD is based on the latest available historic default data and adjusted for supportable forward-looking information when appropriate. Lifetime PDs represent the estimated probability of a default occurring over the remaining life of the financial instrument and it is a sum of the 12 months PDs over the life of the instrument. The Group uses different statistical approaches depending on the segment and product type to calculated lifetime PDs, such as the extrapolation of 12-month PDs based on migration matrixes, developing lifetime PD curves based on the historical default data, hazard rate approach or other</w:t>
      </w:r>
      <w:r w:rsidR="009D6ED6">
        <w:rPr>
          <w:sz w:val="20"/>
          <w:szCs w:val="20"/>
        </w:rPr>
        <w:t xml:space="preserve"> </w:t>
      </w:r>
      <w:proofErr w:type="gramStart"/>
      <w:r w:rsidR="009D6ED6" w:rsidRPr="007F183E">
        <w:rPr>
          <w:color w:val="0000FF"/>
          <w:sz w:val="20"/>
          <w:szCs w:val="20"/>
        </w:rPr>
        <w:t xml:space="preserve">[ </w:t>
      </w:r>
      <w:r w:rsidR="00AD4F80">
        <w:rPr>
          <w:color w:val="0000FF"/>
          <w:sz w:val="20"/>
          <w:szCs w:val="20"/>
        </w:rPr>
        <w:t xml:space="preserve"> </w:t>
      </w:r>
      <w:r w:rsidR="009D6ED6" w:rsidRPr="007F183E">
        <w:rPr>
          <w:color w:val="0000FF"/>
          <w:sz w:val="20"/>
          <w:szCs w:val="20"/>
        </w:rPr>
        <w:t>]</w:t>
      </w:r>
      <w:proofErr w:type="gramEnd"/>
      <w:r>
        <w:rPr>
          <w:sz w:val="20"/>
          <w:szCs w:val="20"/>
        </w:rPr>
        <w:t>.</w:t>
      </w:r>
    </w:p>
    <w:p w14:paraId="6430E0AD" w14:textId="77777777" w:rsidR="008E5DE4" w:rsidRDefault="00780368">
      <w:pPr>
        <w:widowControl w:val="0"/>
        <w:spacing w:before="200" w:after="200"/>
        <w:jc w:val="both"/>
        <w:rPr>
          <w:sz w:val="20"/>
          <w:szCs w:val="20"/>
        </w:rPr>
      </w:pPr>
      <w:r>
        <w:rPr>
          <w:sz w:val="20"/>
          <w:szCs w:val="20"/>
        </w:rPr>
        <w:t>LGD represents the Group's expectation of the extent of loss on a defaulted exposure. LGD varies by the type of counterparty, type and seniority of the claim, and the availability of collateral or other credit support. The 12-month and lifetime LGDs are determined based on the factors that impact the expected recoveries after a default event. The approach to LGD measurement can be divided into three possible approaches:</w:t>
      </w:r>
    </w:p>
    <w:p w14:paraId="42283479" w14:textId="77777777" w:rsidR="008E5DE4" w:rsidRDefault="00780368">
      <w:pPr>
        <w:widowControl w:val="0"/>
        <w:numPr>
          <w:ilvl w:val="0"/>
          <w:numId w:val="2"/>
        </w:numPr>
        <w:pBdr>
          <w:top w:val="nil"/>
          <w:left w:val="nil"/>
          <w:bottom w:val="nil"/>
          <w:right w:val="nil"/>
          <w:between w:val="nil"/>
        </w:pBdr>
        <w:spacing w:before="100" w:after="100"/>
        <w:ind w:left="567" w:hanging="567"/>
        <w:jc w:val="both"/>
      </w:pPr>
      <w:r>
        <w:rPr>
          <w:color w:val="000000"/>
          <w:sz w:val="20"/>
          <w:szCs w:val="20"/>
        </w:rPr>
        <w:t xml:space="preserve">measurement of LGD based on the specific characteristics of the </w:t>
      </w:r>
      <w:proofErr w:type="gramStart"/>
      <w:r>
        <w:rPr>
          <w:color w:val="000000"/>
          <w:sz w:val="20"/>
          <w:szCs w:val="20"/>
        </w:rPr>
        <w:t>collateral;</w:t>
      </w:r>
      <w:proofErr w:type="gramEnd"/>
      <w:r>
        <w:rPr>
          <w:color w:val="000000"/>
          <w:sz w:val="20"/>
          <w:szCs w:val="20"/>
        </w:rPr>
        <w:t xml:space="preserve"> </w:t>
      </w:r>
    </w:p>
    <w:p w14:paraId="1B71E7D1" w14:textId="77777777" w:rsidR="008E5DE4" w:rsidRDefault="00780368">
      <w:pPr>
        <w:widowControl w:val="0"/>
        <w:numPr>
          <w:ilvl w:val="0"/>
          <w:numId w:val="2"/>
        </w:numPr>
        <w:pBdr>
          <w:top w:val="nil"/>
          <w:left w:val="nil"/>
          <w:bottom w:val="nil"/>
          <w:right w:val="nil"/>
          <w:between w:val="nil"/>
        </w:pBdr>
        <w:spacing w:before="100" w:after="100"/>
        <w:ind w:left="567" w:hanging="567"/>
        <w:jc w:val="both"/>
      </w:pPr>
      <w:r>
        <w:rPr>
          <w:color w:val="000000"/>
          <w:sz w:val="20"/>
          <w:szCs w:val="20"/>
        </w:rPr>
        <w:t>calculation of LGD on a portfolio basis based on recovery statistics; or</w:t>
      </w:r>
    </w:p>
    <w:p w14:paraId="7BD6F8F1" w14:textId="77777777" w:rsidR="008E5DE4" w:rsidRDefault="00780368">
      <w:pPr>
        <w:widowControl w:val="0"/>
        <w:numPr>
          <w:ilvl w:val="0"/>
          <w:numId w:val="2"/>
        </w:numPr>
        <w:pBdr>
          <w:top w:val="nil"/>
          <w:left w:val="nil"/>
          <w:bottom w:val="nil"/>
          <w:right w:val="nil"/>
          <w:between w:val="nil"/>
        </w:pBdr>
        <w:spacing w:before="100" w:after="100"/>
        <w:ind w:left="567" w:hanging="567"/>
        <w:jc w:val="both"/>
      </w:pPr>
      <w:r>
        <w:rPr>
          <w:color w:val="000000"/>
          <w:sz w:val="20"/>
          <w:szCs w:val="20"/>
        </w:rPr>
        <w:t>individually defined LGD depending on different factors and scenarios.</w:t>
      </w:r>
    </w:p>
    <w:p w14:paraId="0119225A" w14:textId="77777777" w:rsidR="008E5DE4" w:rsidRDefault="00780368">
      <w:pPr>
        <w:widowControl w:val="0"/>
        <w:spacing w:before="200" w:after="200"/>
        <w:jc w:val="both"/>
        <w:rPr>
          <w:sz w:val="20"/>
          <w:szCs w:val="20"/>
        </w:rPr>
      </w:pPr>
      <w:r>
        <w:rPr>
          <w:sz w:val="20"/>
          <w:szCs w:val="20"/>
        </w:rPr>
        <w:t>The Group calculates LGD based on specific characteristics of the collateral, such as projected collateral values, historical discounts on sales and other factors for loans secured by real estate, cash and liquid securities. LGD is calculated on a collective basis based on the latest available recovery statistics for the remainder of the corporate loan portfolio and for retail secured and unsecured products.</w:t>
      </w:r>
    </w:p>
    <w:p w14:paraId="1E111CBB" w14:textId="77777777" w:rsidR="008E5DE4" w:rsidRDefault="00780368">
      <w:pPr>
        <w:widowControl w:val="0"/>
        <w:spacing w:before="200" w:after="200"/>
        <w:jc w:val="both"/>
        <w:rPr>
          <w:sz w:val="20"/>
          <w:szCs w:val="20"/>
        </w:rPr>
      </w:pPr>
      <w:r>
        <w:rPr>
          <w:b/>
          <w:i/>
          <w:sz w:val="20"/>
          <w:szCs w:val="20"/>
        </w:rPr>
        <w:t xml:space="preserve">ECL measurement for financial guarantees and loan commitments. </w:t>
      </w:r>
      <w:r>
        <w:rPr>
          <w:sz w:val="20"/>
          <w:szCs w:val="20"/>
        </w:rPr>
        <w:t>The ECL measurement for these instruments includes the same steps as described above for on-balance sheet exposures and differs with respect to EAD calculation. The EAD is a product of credit conversion factor (“CCF”) and amount of the commitment (“</w:t>
      </w:r>
      <w:r>
        <w:rPr>
          <w:i/>
          <w:sz w:val="20"/>
          <w:szCs w:val="20"/>
        </w:rPr>
        <w:t>E</w:t>
      </w:r>
      <m:oMath>
        <m:r>
          <w:rPr>
            <w:rFonts w:ascii="Cambria Math" w:eastAsia="Cambria Math" w:hAnsi="Cambria Math" w:cs="Cambria Math"/>
            <w:sz w:val="20"/>
            <w:szCs w:val="20"/>
          </w:rPr>
          <m:t>xOff</m:t>
        </m:r>
      </m:oMath>
      <w:r>
        <w:rPr>
          <w:sz w:val="20"/>
          <w:szCs w:val="20"/>
        </w:rPr>
        <w:t>”). CCF for financial guarantees is defined based on statistical analysis of past exposures at default.</w:t>
      </w:r>
    </w:p>
    <w:p w14:paraId="1187F752" w14:textId="77777777" w:rsidR="008E5DE4" w:rsidRDefault="00780368">
      <w:pPr>
        <w:widowControl w:val="0"/>
        <w:spacing w:before="200" w:after="200"/>
        <w:jc w:val="both"/>
        <w:rPr>
          <w:sz w:val="20"/>
          <w:szCs w:val="20"/>
        </w:rPr>
      </w:pPr>
      <w:r>
        <w:rPr>
          <w:b/>
          <w:i/>
          <w:sz w:val="20"/>
          <w:szCs w:val="20"/>
        </w:rPr>
        <w:t>Principles of assessment based on external ratings</w:t>
      </w:r>
      <w:r>
        <w:rPr>
          <w:i/>
          <w:sz w:val="20"/>
          <w:szCs w:val="20"/>
        </w:rPr>
        <w:t xml:space="preserve">. </w:t>
      </w:r>
      <w:r>
        <w:rPr>
          <w:sz w:val="20"/>
          <w:szCs w:val="20"/>
        </w:rPr>
        <w:t xml:space="preserve">Certain exposures have external credit risk </w:t>
      </w:r>
      <w:proofErr w:type="gramStart"/>
      <w:r>
        <w:rPr>
          <w:sz w:val="20"/>
          <w:szCs w:val="20"/>
        </w:rPr>
        <w:t>ratings</w:t>
      </w:r>
      <w:proofErr w:type="gramEnd"/>
      <w:r>
        <w:rPr>
          <w:sz w:val="20"/>
          <w:szCs w:val="20"/>
        </w:rPr>
        <w:t xml:space="preserve"> and these are used to estimate credit risk parameters PD and LGD from the default and recovery statistics published by the respective rating agencies. This approach is applied to government and </w:t>
      </w:r>
      <w:proofErr w:type="gramStart"/>
      <w:r>
        <w:rPr>
          <w:sz w:val="20"/>
          <w:szCs w:val="20"/>
        </w:rPr>
        <w:t>blue chip</w:t>
      </w:r>
      <w:proofErr w:type="gramEnd"/>
      <w:r>
        <w:rPr>
          <w:sz w:val="20"/>
          <w:szCs w:val="20"/>
        </w:rPr>
        <w:t xml:space="preserve"> corporate bonds exposures. </w:t>
      </w:r>
    </w:p>
    <w:p w14:paraId="2827BFE9"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17FA0D30" w14:textId="65794F38" w:rsidR="008E5DE4" w:rsidRDefault="00780368">
      <w:pPr>
        <w:widowControl w:val="0"/>
        <w:spacing w:before="200" w:after="200"/>
        <w:jc w:val="both"/>
        <w:rPr>
          <w:sz w:val="20"/>
          <w:szCs w:val="20"/>
        </w:rPr>
      </w:pPr>
      <w:r>
        <w:rPr>
          <w:b/>
          <w:i/>
          <w:sz w:val="20"/>
          <w:szCs w:val="20"/>
        </w:rPr>
        <w:t>Forward-looking information incorporated in the ECL models.</w:t>
      </w:r>
      <w:r>
        <w:rPr>
          <w:i/>
          <w:sz w:val="20"/>
          <w:szCs w:val="20"/>
        </w:rPr>
        <w:t xml:space="preserve"> </w:t>
      </w:r>
      <w:r>
        <w:rPr>
          <w:sz w:val="20"/>
          <w:szCs w:val="20"/>
        </w:rPr>
        <w:t xml:space="preserve">The assessment of SICR and the calculation of ECLs both incorporate supportable forward-looking information. The Group identified certain key economic variables that correlate with developments in credit risk and ECLs. Forecasts of economic variables (the "base economic scenario") are provided by the Group's </w:t>
      </w:r>
      <w:r w:rsidRPr="007F183E">
        <w:rPr>
          <w:color w:val="0000FF"/>
          <w:sz w:val="20"/>
          <w:szCs w:val="20"/>
        </w:rPr>
        <w:t>[economics team on a quarterly basis]</w:t>
      </w:r>
      <w:r>
        <w:rPr>
          <w:sz w:val="20"/>
          <w:szCs w:val="20"/>
        </w:rPr>
        <w:t xml:space="preserve"> and provide the best estimate of the expected macro-economic development over the next </w:t>
      </w:r>
      <w:r>
        <w:rPr>
          <w:color w:val="0000FF"/>
          <w:sz w:val="20"/>
          <w:szCs w:val="20"/>
        </w:rPr>
        <w:t>[five]</w:t>
      </w:r>
      <w:r>
        <w:rPr>
          <w:sz w:val="20"/>
          <w:szCs w:val="20"/>
        </w:rPr>
        <w:t xml:space="preserve"> years. After </w:t>
      </w:r>
      <w:r>
        <w:rPr>
          <w:color w:val="0000FF"/>
          <w:sz w:val="20"/>
          <w:szCs w:val="20"/>
        </w:rPr>
        <w:t xml:space="preserve">[five] </w:t>
      </w:r>
      <w:r>
        <w:rPr>
          <w:sz w:val="20"/>
          <w:szCs w:val="20"/>
        </w:rPr>
        <w:t xml:space="preserve">years, a </w:t>
      </w:r>
      <w:r>
        <w:rPr>
          <w:color w:val="000000"/>
          <w:sz w:val="20"/>
          <w:szCs w:val="20"/>
        </w:rPr>
        <w:t>mean reversion approach is used, which means that economic variables tend to revert to either a long run average rate (e.g. for unemployment) or a long run average growth rate (e.g. GDP).</w:t>
      </w:r>
      <w:r>
        <w:rPr>
          <w:sz w:val="20"/>
          <w:szCs w:val="20"/>
        </w:rPr>
        <w:t xml:space="preserve"> The impact of the relevant economic variables on the PD, EAD and LGD has been determined by performing statistical regression analysis to understand the impact that the changes in these variables historically had on the default rates and on the components of LGD and EAD.</w:t>
      </w:r>
    </w:p>
    <w:p w14:paraId="6ED89F1C" w14:textId="1FDE4F1D" w:rsidR="008E5DE4" w:rsidRDefault="00780368">
      <w:pPr>
        <w:widowControl w:val="0"/>
        <w:spacing w:before="200" w:after="200"/>
        <w:jc w:val="both"/>
        <w:rPr>
          <w:b/>
          <w:sz w:val="20"/>
          <w:szCs w:val="20"/>
        </w:rPr>
      </w:pPr>
      <w:r>
        <w:rPr>
          <w:sz w:val="20"/>
          <w:szCs w:val="20"/>
        </w:rPr>
        <w:t xml:space="preserve">In addition to the base economic scenario, the Group's </w:t>
      </w:r>
      <w:r>
        <w:rPr>
          <w:color w:val="0000FF"/>
          <w:sz w:val="20"/>
          <w:szCs w:val="20"/>
        </w:rPr>
        <w:t>[Risk Department]</w:t>
      </w:r>
      <w:r>
        <w:rPr>
          <w:sz w:val="20"/>
          <w:szCs w:val="20"/>
        </w:rPr>
        <w:t xml:space="preserve"> also provides other possible scenarios along with scenario weightings. The number of other scenarios used is set based on the analysis of each major product type to ensure that non-linearities are captured. The number of scenarios and their attributes are reassessed at each reporting date. The scenario weightings are determined by a combination of statistical analysis and expert credit judgement, </w:t>
      </w:r>
      <w:proofErr w:type="gramStart"/>
      <w:r>
        <w:rPr>
          <w:sz w:val="20"/>
          <w:szCs w:val="20"/>
        </w:rPr>
        <w:t>taking into account</w:t>
      </w:r>
      <w:proofErr w:type="gramEnd"/>
      <w:r>
        <w:rPr>
          <w:sz w:val="20"/>
          <w:szCs w:val="20"/>
        </w:rPr>
        <w:t xml:space="preserve"> the range of possible outcomes of which each chosen scenario is representative. The assessment of SICR is performed using the Lifetime PD under each of the bases and the other scenarios, multiplied by the associated scenario weighting, along with qualitative and backstop indicators. This determines whether the whole financial instrument is in Stage 1, Stage 2, or Stage 3 and hence whether a 12-month or lifetime ECL should be recorded. Following this assessment, the Group measures ECL as either a probability-weighted 12</w:t>
      </w:r>
      <w:r w:rsidR="00452273">
        <w:rPr>
          <w:sz w:val="20"/>
          <w:szCs w:val="20"/>
        </w:rPr>
        <w:t>-</w:t>
      </w:r>
      <w:r>
        <w:rPr>
          <w:sz w:val="20"/>
          <w:szCs w:val="20"/>
        </w:rPr>
        <w:t>month ECL (Stage 1), or a probability weighted lifetime ECL (Stages 2 and 3). These probability-weighted ECLs are determined by running each scenario through the relevant ECL model and multiplying it by the appropriate scenario weighting (as opposed to weighting the inputs).</w:t>
      </w:r>
    </w:p>
    <w:p w14:paraId="075CE99D" w14:textId="77777777" w:rsidR="008E5DE4" w:rsidRDefault="00780368">
      <w:pPr>
        <w:widowControl w:val="0"/>
        <w:spacing w:before="200" w:after="200"/>
        <w:jc w:val="both"/>
        <w:rPr>
          <w:sz w:val="20"/>
          <w:szCs w:val="20"/>
        </w:rPr>
      </w:pPr>
      <w:r>
        <w:rPr>
          <w:sz w:val="20"/>
          <w:szCs w:val="20"/>
        </w:rPr>
        <w:t>As with any economic forecast, the projections and likelihoods of occurrence are subject to a high degree of inherent uncertainty, and therefore the actual outcomes may be significantly different to those projected. The Group considers these forecasts to represent its best estimate of the possible outcomes and has analysed the non-linearities and asymmetries within the Group's different portfolios to establish that the chosen scenarios are appropriately representative of the range of possible scenarios.</w:t>
      </w:r>
    </w:p>
    <w:p w14:paraId="106FE429" w14:textId="4DED4B28" w:rsidR="008E5DE4" w:rsidRDefault="00780368">
      <w:pPr>
        <w:widowControl w:val="0"/>
        <w:spacing w:before="200" w:after="200"/>
        <w:jc w:val="both"/>
        <w:rPr>
          <w:sz w:val="20"/>
          <w:szCs w:val="20"/>
        </w:rPr>
      </w:pPr>
      <w:r>
        <w:rPr>
          <w:sz w:val="20"/>
          <w:szCs w:val="20"/>
        </w:rPr>
        <w:t>The Group regularly reviews its methodology and assumptions to reduce any difference between the estimates and the actual loss of credit. Such back</w:t>
      </w:r>
      <w:r w:rsidR="000621C9">
        <w:rPr>
          <w:sz w:val="20"/>
          <w:szCs w:val="20"/>
        </w:rPr>
        <w:t>-</w:t>
      </w:r>
      <w:r>
        <w:rPr>
          <w:sz w:val="20"/>
          <w:szCs w:val="20"/>
        </w:rPr>
        <w:t>testing is performed at least once a year.</w:t>
      </w:r>
    </w:p>
    <w:p w14:paraId="2F90AA6C" w14:textId="0E0884C0" w:rsidR="008E5DE4" w:rsidRDefault="00780368">
      <w:pPr>
        <w:widowControl w:val="0"/>
        <w:spacing w:before="200" w:after="200"/>
        <w:jc w:val="both"/>
        <w:rPr>
          <w:sz w:val="20"/>
          <w:szCs w:val="20"/>
        </w:rPr>
      </w:pPr>
      <w:r>
        <w:rPr>
          <w:sz w:val="20"/>
          <w:szCs w:val="20"/>
        </w:rPr>
        <w:t xml:space="preserve">The results of </w:t>
      </w:r>
      <w:proofErr w:type="gramStart"/>
      <w:r>
        <w:rPr>
          <w:sz w:val="20"/>
          <w:szCs w:val="20"/>
        </w:rPr>
        <w:t>back</w:t>
      </w:r>
      <w:r w:rsidR="0037263C">
        <w:rPr>
          <w:sz w:val="20"/>
          <w:szCs w:val="20"/>
        </w:rPr>
        <w:t>-</w:t>
      </w:r>
      <w:r>
        <w:rPr>
          <w:sz w:val="20"/>
          <w:szCs w:val="20"/>
        </w:rPr>
        <w:t>testing</w:t>
      </w:r>
      <w:proofErr w:type="gramEnd"/>
      <w:r>
        <w:rPr>
          <w:sz w:val="20"/>
          <w:szCs w:val="20"/>
        </w:rPr>
        <w:t xml:space="preserve"> the ECL measurement methodology are communicated to Group Management and further steps for tuning models and assumptions are defined after discussions between authorised persons.</w:t>
      </w:r>
    </w:p>
    <w:p w14:paraId="5BE6CD8B"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4068454F" w14:textId="77777777" w:rsidR="008E5DE4" w:rsidRDefault="00780368">
      <w:pPr>
        <w:pBdr>
          <w:top w:val="nil"/>
          <w:left w:val="nil"/>
          <w:bottom w:val="nil"/>
          <w:right w:val="nil"/>
          <w:between w:val="nil"/>
        </w:pBdr>
        <w:spacing w:after="240"/>
        <w:jc w:val="both"/>
        <w:rPr>
          <w:color w:val="000000"/>
          <w:sz w:val="20"/>
          <w:szCs w:val="20"/>
        </w:rPr>
      </w:pPr>
      <w:r>
        <w:rPr>
          <w:b/>
          <w:i/>
          <w:color w:val="000000"/>
          <w:sz w:val="20"/>
          <w:szCs w:val="20"/>
        </w:rPr>
        <w:t>Market risk.</w:t>
      </w:r>
      <w:r>
        <w:rPr>
          <w:color w:val="000000"/>
          <w:sz w:val="20"/>
          <w:szCs w:val="20"/>
        </w:rPr>
        <w:t xml:space="preserve"> The Group takes on exposure to market risks. Market risks arise from open positions in (a) currency, (b) interest rates and (c) equity products, all of which are exposed to general and specific market movements. Management sets limits on the value of risk that may be accepted, which is monitored </w:t>
      </w:r>
      <w:proofErr w:type="gramStart"/>
      <w:r>
        <w:rPr>
          <w:color w:val="000000"/>
          <w:sz w:val="20"/>
          <w:szCs w:val="20"/>
        </w:rPr>
        <w:t>on a daily basis</w:t>
      </w:r>
      <w:proofErr w:type="gramEnd"/>
      <w:r>
        <w:rPr>
          <w:color w:val="000000"/>
          <w:sz w:val="20"/>
          <w:szCs w:val="20"/>
        </w:rPr>
        <w:t xml:space="preserve">. However, the use of this approach does not prevent losses outside of these limits in the event of more significant market movements. </w:t>
      </w:r>
    </w:p>
    <w:p w14:paraId="7B37AC2E" w14:textId="77777777" w:rsidR="008E5DE4" w:rsidRDefault="00780368">
      <w:pPr>
        <w:pBdr>
          <w:top w:val="nil"/>
          <w:left w:val="nil"/>
          <w:bottom w:val="nil"/>
          <w:right w:val="nil"/>
          <w:between w:val="nil"/>
        </w:pBdr>
        <w:spacing w:after="240"/>
        <w:jc w:val="both"/>
        <w:rPr>
          <w:color w:val="000000"/>
          <w:sz w:val="20"/>
          <w:szCs w:val="20"/>
        </w:rPr>
      </w:pPr>
      <w:r>
        <w:rPr>
          <w:b/>
          <w:i/>
          <w:color w:val="000000"/>
          <w:sz w:val="20"/>
          <w:szCs w:val="20"/>
        </w:rPr>
        <w:t>Currency risk.</w:t>
      </w:r>
      <w:r>
        <w:rPr>
          <w:color w:val="000000"/>
          <w:sz w:val="20"/>
          <w:szCs w:val="20"/>
        </w:rPr>
        <w:t xml:space="preserve"> In respect of currency risk, management sets limits on the level of exposure by currency and in total for both overnight and intra-day positions, which are monitored daily. </w:t>
      </w:r>
    </w:p>
    <w:p w14:paraId="12108177" w14:textId="77777777" w:rsidR="008E5DE4" w:rsidRDefault="00780368">
      <w:pPr>
        <w:pBdr>
          <w:top w:val="nil"/>
          <w:left w:val="nil"/>
          <w:bottom w:val="nil"/>
          <w:right w:val="nil"/>
          <w:between w:val="nil"/>
        </w:pBdr>
        <w:spacing w:after="240" w:line="228" w:lineRule="auto"/>
        <w:jc w:val="both"/>
        <w:rPr>
          <w:color w:val="000000"/>
          <w:sz w:val="20"/>
          <w:szCs w:val="20"/>
        </w:rPr>
      </w:pPr>
      <w:r>
        <w:rPr>
          <w:color w:val="000000"/>
          <w:sz w:val="20"/>
          <w:szCs w:val="20"/>
        </w:rPr>
        <w:t>The table below summarises the Group’s exposure to foreign currency exchange rate risk at the end of the reporting period:</w:t>
      </w:r>
    </w:p>
    <w:tbl>
      <w:tblPr>
        <w:tblStyle w:val="afffffffffffff5"/>
        <w:tblW w:w="9409" w:type="dxa"/>
        <w:tblLayout w:type="fixed"/>
        <w:tblLook w:val="0000" w:firstRow="0" w:lastRow="0" w:firstColumn="0" w:lastColumn="0" w:noHBand="0" w:noVBand="0"/>
      </w:tblPr>
      <w:tblGrid>
        <w:gridCol w:w="1700"/>
        <w:gridCol w:w="964"/>
        <w:gridCol w:w="964"/>
        <w:gridCol w:w="964"/>
        <w:gridCol w:w="964"/>
        <w:gridCol w:w="961"/>
        <w:gridCol w:w="964"/>
        <w:gridCol w:w="964"/>
        <w:gridCol w:w="964"/>
      </w:tblGrid>
      <w:tr w:rsidR="008E5DE4" w14:paraId="06BDFA13" w14:textId="77777777">
        <w:trPr>
          <w:cantSplit/>
        </w:trPr>
        <w:tc>
          <w:tcPr>
            <w:tcW w:w="1701" w:type="dxa"/>
            <w:vAlign w:val="bottom"/>
          </w:tcPr>
          <w:p w14:paraId="1E436961" w14:textId="77777777" w:rsidR="008E5DE4" w:rsidRDefault="008E5DE4">
            <w:pPr>
              <w:pBdr>
                <w:top w:val="nil"/>
                <w:left w:val="nil"/>
                <w:bottom w:val="nil"/>
                <w:right w:val="nil"/>
                <w:between w:val="nil"/>
              </w:pBdr>
              <w:spacing w:line="228" w:lineRule="auto"/>
              <w:jc w:val="both"/>
              <w:rPr>
                <w:color w:val="000000"/>
              </w:rPr>
            </w:pPr>
          </w:p>
        </w:tc>
        <w:tc>
          <w:tcPr>
            <w:tcW w:w="3856" w:type="dxa"/>
            <w:gridSpan w:val="4"/>
            <w:tcBorders>
              <w:bottom w:val="single" w:sz="4" w:space="0" w:color="000000"/>
            </w:tcBorders>
          </w:tcPr>
          <w:p w14:paraId="1B2E7C17" w14:textId="113E6CBC" w:rsidR="008E5DE4" w:rsidRDefault="00780368">
            <w:pPr>
              <w:pBdr>
                <w:top w:val="nil"/>
                <w:left w:val="nil"/>
                <w:bottom w:val="nil"/>
                <w:right w:val="nil"/>
                <w:between w:val="nil"/>
              </w:pBdr>
              <w:spacing w:line="228" w:lineRule="auto"/>
              <w:ind w:right="57"/>
              <w:jc w:val="center"/>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3853" w:type="dxa"/>
            <w:gridSpan w:val="4"/>
            <w:tcBorders>
              <w:bottom w:val="single" w:sz="4" w:space="0" w:color="000000"/>
            </w:tcBorders>
          </w:tcPr>
          <w:p w14:paraId="615B4DA1" w14:textId="40F2C90A" w:rsidR="008E5DE4" w:rsidRDefault="00780368">
            <w:pPr>
              <w:pBdr>
                <w:top w:val="nil"/>
                <w:left w:val="nil"/>
                <w:bottom w:val="nil"/>
                <w:right w:val="nil"/>
                <w:between w:val="nil"/>
              </w:pBdr>
              <w:spacing w:line="228" w:lineRule="auto"/>
              <w:ind w:right="57"/>
              <w:jc w:val="center"/>
              <w:rPr>
                <w:b/>
                <w:color w:val="000000"/>
              </w:rPr>
            </w:pPr>
            <w:proofErr w:type="gramStart"/>
            <w:r>
              <w:rPr>
                <w:b/>
                <w:color w:val="000000"/>
              </w:rPr>
              <w:t>At</w:t>
            </w:r>
            <w:proofErr w:type="gramEnd"/>
            <w:r>
              <w:rPr>
                <w:b/>
                <w:color w:val="000000"/>
              </w:rPr>
              <w:t xml:space="preserve"> 31 December </w:t>
            </w:r>
            <w:r w:rsidR="00A46633">
              <w:rPr>
                <w:b/>
                <w:color w:val="000000"/>
              </w:rPr>
              <w:t>2024</w:t>
            </w:r>
          </w:p>
        </w:tc>
      </w:tr>
      <w:tr w:rsidR="008E5DE4" w14:paraId="3C721ED8" w14:textId="77777777">
        <w:trPr>
          <w:cantSplit/>
        </w:trPr>
        <w:tc>
          <w:tcPr>
            <w:tcW w:w="1701" w:type="dxa"/>
            <w:tcBorders>
              <w:bottom w:val="single" w:sz="4" w:space="0" w:color="000000"/>
            </w:tcBorders>
            <w:vAlign w:val="bottom"/>
          </w:tcPr>
          <w:p w14:paraId="412F638C" w14:textId="77777777" w:rsidR="008E5DE4" w:rsidRDefault="00780368">
            <w:pPr>
              <w:pBdr>
                <w:top w:val="nil"/>
                <w:left w:val="nil"/>
                <w:bottom w:val="nil"/>
                <w:right w:val="nil"/>
                <w:between w:val="nil"/>
              </w:pBdr>
              <w:spacing w:line="228" w:lineRule="auto"/>
              <w:ind w:left="86" w:hanging="86"/>
              <w:rPr>
                <w:b/>
                <w:i/>
                <w:color w:val="000000"/>
              </w:rPr>
            </w:pPr>
            <w:r>
              <w:rPr>
                <w:i/>
                <w:color w:val="000000"/>
              </w:rPr>
              <w:t>In thousands of EUR</w:t>
            </w:r>
          </w:p>
        </w:tc>
        <w:tc>
          <w:tcPr>
            <w:tcW w:w="964" w:type="dxa"/>
            <w:tcBorders>
              <w:bottom w:val="single" w:sz="4" w:space="0" w:color="000000"/>
            </w:tcBorders>
          </w:tcPr>
          <w:p w14:paraId="520AD7FC"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Mone-</w:t>
            </w:r>
            <w:proofErr w:type="spellStart"/>
            <w:r>
              <w:rPr>
                <w:b/>
                <w:color w:val="000000"/>
              </w:rPr>
              <w:t>tary</w:t>
            </w:r>
            <w:proofErr w:type="spellEnd"/>
            <w:r>
              <w:rPr>
                <w:b/>
                <w:color w:val="000000"/>
              </w:rPr>
              <w:t xml:space="preserve"> financial assets</w:t>
            </w:r>
          </w:p>
        </w:tc>
        <w:tc>
          <w:tcPr>
            <w:tcW w:w="964" w:type="dxa"/>
            <w:tcBorders>
              <w:bottom w:val="single" w:sz="4" w:space="0" w:color="000000"/>
            </w:tcBorders>
          </w:tcPr>
          <w:p w14:paraId="050CCE7E"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Mone-</w:t>
            </w:r>
            <w:proofErr w:type="spellStart"/>
            <w:r>
              <w:rPr>
                <w:b/>
                <w:color w:val="000000"/>
              </w:rPr>
              <w:t>tary</w:t>
            </w:r>
            <w:proofErr w:type="spellEnd"/>
            <w:r>
              <w:rPr>
                <w:b/>
                <w:color w:val="000000"/>
              </w:rPr>
              <w:t xml:space="preserve"> financial liabilities</w:t>
            </w:r>
          </w:p>
        </w:tc>
        <w:tc>
          <w:tcPr>
            <w:tcW w:w="964" w:type="dxa"/>
            <w:tcBorders>
              <w:bottom w:val="single" w:sz="4" w:space="0" w:color="000000"/>
            </w:tcBorders>
          </w:tcPr>
          <w:p w14:paraId="575A797C"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Deri-</w:t>
            </w:r>
            <w:proofErr w:type="spellStart"/>
            <w:r>
              <w:rPr>
                <w:b/>
                <w:color w:val="000000"/>
              </w:rPr>
              <w:t>vatives</w:t>
            </w:r>
            <w:proofErr w:type="spellEnd"/>
          </w:p>
        </w:tc>
        <w:tc>
          <w:tcPr>
            <w:tcW w:w="964" w:type="dxa"/>
            <w:tcBorders>
              <w:bottom w:val="single" w:sz="4" w:space="0" w:color="000000"/>
            </w:tcBorders>
          </w:tcPr>
          <w:p w14:paraId="44F36F5A"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Net position</w:t>
            </w:r>
          </w:p>
        </w:tc>
        <w:tc>
          <w:tcPr>
            <w:tcW w:w="961" w:type="dxa"/>
            <w:tcBorders>
              <w:bottom w:val="single" w:sz="4" w:space="0" w:color="000000"/>
            </w:tcBorders>
          </w:tcPr>
          <w:p w14:paraId="4A039959"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Mone-</w:t>
            </w:r>
            <w:proofErr w:type="spellStart"/>
            <w:r>
              <w:rPr>
                <w:b/>
                <w:color w:val="000000"/>
              </w:rPr>
              <w:t>tary</w:t>
            </w:r>
            <w:proofErr w:type="spellEnd"/>
            <w:r>
              <w:rPr>
                <w:b/>
                <w:color w:val="000000"/>
              </w:rPr>
              <w:t xml:space="preserve"> financial assets</w:t>
            </w:r>
          </w:p>
        </w:tc>
        <w:tc>
          <w:tcPr>
            <w:tcW w:w="964" w:type="dxa"/>
            <w:tcBorders>
              <w:bottom w:val="single" w:sz="4" w:space="0" w:color="000000"/>
            </w:tcBorders>
          </w:tcPr>
          <w:p w14:paraId="071EDA61"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Mone-</w:t>
            </w:r>
            <w:proofErr w:type="spellStart"/>
            <w:r>
              <w:rPr>
                <w:b/>
                <w:color w:val="000000"/>
              </w:rPr>
              <w:t>tary</w:t>
            </w:r>
            <w:proofErr w:type="spellEnd"/>
            <w:r>
              <w:rPr>
                <w:b/>
                <w:color w:val="000000"/>
              </w:rPr>
              <w:t xml:space="preserve"> financial liabilities</w:t>
            </w:r>
          </w:p>
        </w:tc>
        <w:tc>
          <w:tcPr>
            <w:tcW w:w="964" w:type="dxa"/>
            <w:tcBorders>
              <w:bottom w:val="single" w:sz="4" w:space="0" w:color="000000"/>
            </w:tcBorders>
          </w:tcPr>
          <w:p w14:paraId="45AC760F"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Deri-</w:t>
            </w:r>
            <w:proofErr w:type="spellStart"/>
            <w:r>
              <w:rPr>
                <w:b/>
                <w:color w:val="000000"/>
              </w:rPr>
              <w:t>vatives</w:t>
            </w:r>
            <w:proofErr w:type="spellEnd"/>
          </w:p>
        </w:tc>
        <w:tc>
          <w:tcPr>
            <w:tcW w:w="964" w:type="dxa"/>
            <w:tcBorders>
              <w:bottom w:val="single" w:sz="4" w:space="0" w:color="000000"/>
            </w:tcBorders>
          </w:tcPr>
          <w:p w14:paraId="0439E77B"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Net position</w:t>
            </w:r>
          </w:p>
        </w:tc>
      </w:tr>
      <w:tr w:rsidR="008E5DE4" w14:paraId="3BFD80BC" w14:textId="77777777">
        <w:trPr>
          <w:cantSplit/>
        </w:trPr>
        <w:tc>
          <w:tcPr>
            <w:tcW w:w="1701" w:type="dxa"/>
          </w:tcPr>
          <w:p w14:paraId="0116110D" w14:textId="77777777" w:rsidR="008E5DE4" w:rsidRDefault="008E5DE4">
            <w:pPr>
              <w:pBdr>
                <w:top w:val="nil"/>
                <w:left w:val="nil"/>
                <w:bottom w:val="nil"/>
                <w:right w:val="nil"/>
                <w:between w:val="nil"/>
              </w:pBdr>
              <w:spacing w:line="228" w:lineRule="auto"/>
              <w:ind w:left="85" w:hanging="85"/>
              <w:rPr>
                <w:color w:val="000000"/>
              </w:rPr>
            </w:pPr>
          </w:p>
        </w:tc>
        <w:tc>
          <w:tcPr>
            <w:tcW w:w="964" w:type="dxa"/>
          </w:tcPr>
          <w:p w14:paraId="4698C543" w14:textId="77777777" w:rsidR="008E5DE4" w:rsidRDefault="008E5DE4">
            <w:pPr>
              <w:pBdr>
                <w:top w:val="nil"/>
                <w:left w:val="nil"/>
                <w:bottom w:val="nil"/>
                <w:right w:val="nil"/>
                <w:between w:val="nil"/>
              </w:pBdr>
              <w:spacing w:line="228" w:lineRule="auto"/>
              <w:ind w:right="-56"/>
              <w:rPr>
                <w:color w:val="000000"/>
              </w:rPr>
            </w:pPr>
          </w:p>
        </w:tc>
        <w:tc>
          <w:tcPr>
            <w:tcW w:w="964" w:type="dxa"/>
          </w:tcPr>
          <w:p w14:paraId="6DD47541" w14:textId="77777777" w:rsidR="008E5DE4" w:rsidRDefault="008E5DE4">
            <w:pPr>
              <w:pBdr>
                <w:top w:val="nil"/>
                <w:left w:val="nil"/>
                <w:bottom w:val="nil"/>
                <w:right w:val="nil"/>
                <w:between w:val="nil"/>
              </w:pBdr>
              <w:spacing w:line="228" w:lineRule="auto"/>
              <w:ind w:right="-56"/>
              <w:rPr>
                <w:color w:val="000000"/>
              </w:rPr>
            </w:pPr>
          </w:p>
        </w:tc>
        <w:tc>
          <w:tcPr>
            <w:tcW w:w="964" w:type="dxa"/>
          </w:tcPr>
          <w:p w14:paraId="0AA322B9" w14:textId="77777777" w:rsidR="008E5DE4" w:rsidRDefault="008E5DE4">
            <w:pPr>
              <w:pBdr>
                <w:top w:val="nil"/>
                <w:left w:val="nil"/>
                <w:bottom w:val="nil"/>
                <w:right w:val="nil"/>
                <w:between w:val="nil"/>
              </w:pBdr>
              <w:spacing w:line="228" w:lineRule="auto"/>
              <w:ind w:right="-56"/>
              <w:rPr>
                <w:color w:val="000000"/>
              </w:rPr>
            </w:pPr>
          </w:p>
        </w:tc>
        <w:tc>
          <w:tcPr>
            <w:tcW w:w="964" w:type="dxa"/>
          </w:tcPr>
          <w:p w14:paraId="2F77BA19" w14:textId="77777777" w:rsidR="008E5DE4" w:rsidRDefault="008E5DE4">
            <w:pPr>
              <w:pBdr>
                <w:top w:val="nil"/>
                <w:left w:val="nil"/>
                <w:bottom w:val="nil"/>
                <w:right w:val="nil"/>
                <w:between w:val="nil"/>
              </w:pBdr>
              <w:spacing w:line="228" w:lineRule="auto"/>
              <w:ind w:right="-56"/>
              <w:rPr>
                <w:color w:val="000000"/>
              </w:rPr>
            </w:pPr>
          </w:p>
        </w:tc>
        <w:tc>
          <w:tcPr>
            <w:tcW w:w="961" w:type="dxa"/>
          </w:tcPr>
          <w:p w14:paraId="1F2B0EFA" w14:textId="77777777" w:rsidR="008E5DE4" w:rsidRDefault="008E5DE4">
            <w:pPr>
              <w:pBdr>
                <w:top w:val="nil"/>
                <w:left w:val="nil"/>
                <w:bottom w:val="nil"/>
                <w:right w:val="nil"/>
                <w:between w:val="nil"/>
              </w:pBdr>
              <w:spacing w:line="228" w:lineRule="auto"/>
              <w:ind w:right="-56"/>
              <w:rPr>
                <w:color w:val="000000"/>
              </w:rPr>
            </w:pPr>
          </w:p>
        </w:tc>
        <w:tc>
          <w:tcPr>
            <w:tcW w:w="964" w:type="dxa"/>
            <w:vAlign w:val="bottom"/>
          </w:tcPr>
          <w:p w14:paraId="51EA41A5" w14:textId="77777777" w:rsidR="008E5DE4" w:rsidRDefault="008E5DE4">
            <w:pPr>
              <w:pBdr>
                <w:top w:val="nil"/>
                <w:left w:val="nil"/>
                <w:bottom w:val="nil"/>
                <w:right w:val="nil"/>
                <w:between w:val="nil"/>
              </w:pBdr>
              <w:spacing w:line="228" w:lineRule="auto"/>
              <w:ind w:right="-56"/>
              <w:rPr>
                <w:color w:val="000000"/>
              </w:rPr>
            </w:pPr>
          </w:p>
        </w:tc>
        <w:tc>
          <w:tcPr>
            <w:tcW w:w="964" w:type="dxa"/>
          </w:tcPr>
          <w:p w14:paraId="22E532F5" w14:textId="77777777" w:rsidR="008E5DE4" w:rsidRDefault="008E5DE4">
            <w:pPr>
              <w:pBdr>
                <w:top w:val="nil"/>
                <w:left w:val="nil"/>
                <w:bottom w:val="nil"/>
                <w:right w:val="nil"/>
                <w:between w:val="nil"/>
              </w:pBdr>
              <w:spacing w:line="228" w:lineRule="auto"/>
              <w:ind w:right="-56"/>
              <w:rPr>
                <w:color w:val="000000"/>
              </w:rPr>
            </w:pPr>
          </w:p>
        </w:tc>
        <w:tc>
          <w:tcPr>
            <w:tcW w:w="964" w:type="dxa"/>
            <w:vAlign w:val="bottom"/>
          </w:tcPr>
          <w:p w14:paraId="4DE09694" w14:textId="77777777" w:rsidR="008E5DE4" w:rsidRDefault="008E5DE4">
            <w:pPr>
              <w:pBdr>
                <w:top w:val="nil"/>
                <w:left w:val="nil"/>
                <w:bottom w:val="nil"/>
                <w:right w:val="nil"/>
                <w:between w:val="nil"/>
              </w:pBdr>
              <w:spacing w:line="228" w:lineRule="auto"/>
              <w:ind w:right="-56"/>
              <w:rPr>
                <w:color w:val="000000"/>
              </w:rPr>
            </w:pPr>
          </w:p>
        </w:tc>
      </w:tr>
      <w:tr w:rsidR="008E5DE4" w14:paraId="51107661" w14:textId="77777777">
        <w:trPr>
          <w:cantSplit/>
        </w:trPr>
        <w:tc>
          <w:tcPr>
            <w:tcW w:w="1701" w:type="dxa"/>
          </w:tcPr>
          <w:p w14:paraId="07408564" w14:textId="77777777" w:rsidR="008E5DE4" w:rsidRDefault="00780368">
            <w:pPr>
              <w:pBdr>
                <w:top w:val="nil"/>
                <w:left w:val="nil"/>
                <w:bottom w:val="nil"/>
                <w:right w:val="nil"/>
                <w:between w:val="nil"/>
              </w:pBdr>
              <w:spacing w:line="228" w:lineRule="auto"/>
              <w:ind w:left="85" w:hanging="85"/>
              <w:rPr>
                <w:color w:val="000000"/>
              </w:rPr>
            </w:pPr>
            <w:r>
              <w:rPr>
                <w:color w:val="000000"/>
              </w:rPr>
              <w:t>EUR</w:t>
            </w:r>
          </w:p>
        </w:tc>
        <w:tc>
          <w:tcPr>
            <w:tcW w:w="964" w:type="dxa"/>
          </w:tcPr>
          <w:p w14:paraId="5149FFAE"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1EE29273"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75191041"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5D917C95" w14:textId="77777777" w:rsidR="008E5DE4" w:rsidRDefault="008E5DE4">
            <w:pPr>
              <w:pBdr>
                <w:top w:val="nil"/>
                <w:left w:val="nil"/>
                <w:bottom w:val="nil"/>
                <w:right w:val="nil"/>
                <w:between w:val="nil"/>
              </w:pBdr>
              <w:spacing w:line="228" w:lineRule="auto"/>
              <w:jc w:val="right"/>
              <w:rPr>
                <w:color w:val="000000"/>
              </w:rPr>
            </w:pPr>
          </w:p>
        </w:tc>
        <w:tc>
          <w:tcPr>
            <w:tcW w:w="961" w:type="dxa"/>
          </w:tcPr>
          <w:p w14:paraId="31653A6B"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137EEFFE"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07C9A3F1"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5DA2FEA9" w14:textId="77777777" w:rsidR="008E5DE4" w:rsidRDefault="008E5DE4">
            <w:pPr>
              <w:pBdr>
                <w:top w:val="nil"/>
                <w:left w:val="nil"/>
                <w:bottom w:val="nil"/>
                <w:right w:val="nil"/>
                <w:between w:val="nil"/>
              </w:pBdr>
              <w:spacing w:line="228" w:lineRule="auto"/>
              <w:jc w:val="right"/>
              <w:rPr>
                <w:color w:val="000000"/>
              </w:rPr>
            </w:pPr>
          </w:p>
        </w:tc>
      </w:tr>
      <w:tr w:rsidR="008E5DE4" w14:paraId="42E0C9A1" w14:textId="77777777">
        <w:trPr>
          <w:cantSplit/>
        </w:trPr>
        <w:tc>
          <w:tcPr>
            <w:tcW w:w="1701" w:type="dxa"/>
          </w:tcPr>
          <w:p w14:paraId="7F9A5109" w14:textId="77777777" w:rsidR="008E5DE4" w:rsidRDefault="00780368">
            <w:pPr>
              <w:pBdr>
                <w:top w:val="nil"/>
                <w:left w:val="nil"/>
                <w:bottom w:val="nil"/>
                <w:right w:val="nil"/>
                <w:between w:val="nil"/>
              </w:pBdr>
              <w:spacing w:line="228" w:lineRule="auto"/>
              <w:ind w:left="85" w:hanging="85"/>
              <w:rPr>
                <w:color w:val="000000"/>
              </w:rPr>
            </w:pPr>
            <w:r>
              <w:rPr>
                <w:color w:val="000000"/>
              </w:rPr>
              <w:t>US Dollars</w:t>
            </w:r>
          </w:p>
        </w:tc>
        <w:tc>
          <w:tcPr>
            <w:tcW w:w="964" w:type="dxa"/>
          </w:tcPr>
          <w:p w14:paraId="5E23B264"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1A7F845E"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2905BC0D"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5C0C1783" w14:textId="77777777" w:rsidR="008E5DE4" w:rsidRDefault="008E5DE4">
            <w:pPr>
              <w:pBdr>
                <w:top w:val="nil"/>
                <w:left w:val="nil"/>
                <w:bottom w:val="nil"/>
                <w:right w:val="nil"/>
                <w:between w:val="nil"/>
              </w:pBdr>
              <w:spacing w:line="228" w:lineRule="auto"/>
              <w:jc w:val="right"/>
              <w:rPr>
                <w:color w:val="000000"/>
              </w:rPr>
            </w:pPr>
          </w:p>
        </w:tc>
        <w:tc>
          <w:tcPr>
            <w:tcW w:w="961" w:type="dxa"/>
          </w:tcPr>
          <w:p w14:paraId="56EEDFCB"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250C5B78"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661DD392"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214A8519" w14:textId="77777777" w:rsidR="008E5DE4" w:rsidRDefault="008E5DE4">
            <w:pPr>
              <w:pBdr>
                <w:top w:val="nil"/>
                <w:left w:val="nil"/>
                <w:bottom w:val="nil"/>
                <w:right w:val="nil"/>
                <w:between w:val="nil"/>
              </w:pBdr>
              <w:spacing w:line="228" w:lineRule="auto"/>
              <w:jc w:val="right"/>
              <w:rPr>
                <w:color w:val="000000"/>
              </w:rPr>
            </w:pPr>
          </w:p>
        </w:tc>
      </w:tr>
      <w:tr w:rsidR="008E5DE4" w14:paraId="68340764" w14:textId="77777777">
        <w:trPr>
          <w:cantSplit/>
        </w:trPr>
        <w:tc>
          <w:tcPr>
            <w:tcW w:w="1701" w:type="dxa"/>
          </w:tcPr>
          <w:p w14:paraId="44A3EC25" w14:textId="77777777" w:rsidR="008E5DE4" w:rsidRDefault="00780368">
            <w:pPr>
              <w:pBdr>
                <w:top w:val="nil"/>
                <w:left w:val="nil"/>
                <w:bottom w:val="nil"/>
                <w:right w:val="nil"/>
                <w:between w:val="nil"/>
              </w:pBdr>
              <w:spacing w:line="228" w:lineRule="auto"/>
              <w:ind w:left="85" w:hanging="85"/>
              <w:rPr>
                <w:color w:val="000000"/>
              </w:rPr>
            </w:pPr>
            <w:r>
              <w:rPr>
                <w:color w:val="000000"/>
              </w:rPr>
              <w:t>Pound Sterling</w:t>
            </w:r>
          </w:p>
        </w:tc>
        <w:tc>
          <w:tcPr>
            <w:tcW w:w="964" w:type="dxa"/>
          </w:tcPr>
          <w:p w14:paraId="5FA72C4B"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2B5B25D2"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62C6A455"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799B2FCF" w14:textId="77777777" w:rsidR="008E5DE4" w:rsidRDefault="008E5DE4">
            <w:pPr>
              <w:pBdr>
                <w:top w:val="nil"/>
                <w:left w:val="nil"/>
                <w:bottom w:val="nil"/>
                <w:right w:val="nil"/>
                <w:between w:val="nil"/>
              </w:pBdr>
              <w:spacing w:line="228" w:lineRule="auto"/>
              <w:jc w:val="right"/>
              <w:rPr>
                <w:color w:val="000000"/>
              </w:rPr>
            </w:pPr>
          </w:p>
        </w:tc>
        <w:tc>
          <w:tcPr>
            <w:tcW w:w="961" w:type="dxa"/>
          </w:tcPr>
          <w:p w14:paraId="51861DB8"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212F100F"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2587DEBA"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68783FCA" w14:textId="77777777" w:rsidR="008E5DE4" w:rsidRDefault="008E5DE4">
            <w:pPr>
              <w:pBdr>
                <w:top w:val="nil"/>
                <w:left w:val="nil"/>
                <w:bottom w:val="nil"/>
                <w:right w:val="nil"/>
                <w:between w:val="nil"/>
              </w:pBdr>
              <w:spacing w:line="228" w:lineRule="auto"/>
              <w:jc w:val="right"/>
              <w:rPr>
                <w:color w:val="000000"/>
              </w:rPr>
            </w:pPr>
          </w:p>
        </w:tc>
      </w:tr>
      <w:tr w:rsidR="008E5DE4" w14:paraId="19C34CA4" w14:textId="77777777">
        <w:trPr>
          <w:cantSplit/>
        </w:trPr>
        <w:tc>
          <w:tcPr>
            <w:tcW w:w="1701" w:type="dxa"/>
          </w:tcPr>
          <w:p w14:paraId="2F0C6D75" w14:textId="77777777" w:rsidR="008E5DE4" w:rsidRDefault="00780368">
            <w:pPr>
              <w:pBdr>
                <w:top w:val="nil"/>
                <w:left w:val="nil"/>
                <w:bottom w:val="nil"/>
                <w:right w:val="nil"/>
                <w:between w:val="nil"/>
              </w:pBdr>
              <w:spacing w:line="228" w:lineRule="auto"/>
              <w:ind w:left="85" w:hanging="85"/>
              <w:rPr>
                <w:color w:val="000000"/>
              </w:rPr>
            </w:pPr>
            <w:r>
              <w:rPr>
                <w:color w:val="000000"/>
              </w:rPr>
              <w:t>Ukrainian Hryvnia</w:t>
            </w:r>
          </w:p>
        </w:tc>
        <w:tc>
          <w:tcPr>
            <w:tcW w:w="964" w:type="dxa"/>
          </w:tcPr>
          <w:p w14:paraId="0ACFEB16"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657A6CB4"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24A91AB2"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0671E853" w14:textId="77777777" w:rsidR="008E5DE4" w:rsidRDefault="008E5DE4">
            <w:pPr>
              <w:pBdr>
                <w:top w:val="nil"/>
                <w:left w:val="nil"/>
                <w:bottom w:val="nil"/>
                <w:right w:val="nil"/>
                <w:between w:val="nil"/>
              </w:pBdr>
              <w:spacing w:line="228" w:lineRule="auto"/>
              <w:jc w:val="right"/>
              <w:rPr>
                <w:color w:val="000000"/>
              </w:rPr>
            </w:pPr>
          </w:p>
        </w:tc>
        <w:tc>
          <w:tcPr>
            <w:tcW w:w="961" w:type="dxa"/>
          </w:tcPr>
          <w:p w14:paraId="5AEA5A78"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6B9D8EC6"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167B3253"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0F465F51" w14:textId="77777777" w:rsidR="008E5DE4" w:rsidRDefault="008E5DE4">
            <w:pPr>
              <w:pBdr>
                <w:top w:val="nil"/>
                <w:left w:val="nil"/>
                <w:bottom w:val="nil"/>
                <w:right w:val="nil"/>
                <w:between w:val="nil"/>
              </w:pBdr>
              <w:spacing w:line="228" w:lineRule="auto"/>
              <w:jc w:val="right"/>
              <w:rPr>
                <w:color w:val="000000"/>
              </w:rPr>
            </w:pPr>
          </w:p>
        </w:tc>
      </w:tr>
      <w:tr w:rsidR="008E5DE4" w14:paraId="43C0E57F" w14:textId="77777777">
        <w:trPr>
          <w:cantSplit/>
        </w:trPr>
        <w:tc>
          <w:tcPr>
            <w:tcW w:w="1701" w:type="dxa"/>
          </w:tcPr>
          <w:p w14:paraId="745FFB7A" w14:textId="77777777" w:rsidR="008E5DE4" w:rsidRDefault="00780368">
            <w:pPr>
              <w:pBdr>
                <w:top w:val="nil"/>
                <w:left w:val="nil"/>
                <w:bottom w:val="nil"/>
                <w:right w:val="nil"/>
                <w:between w:val="nil"/>
              </w:pBdr>
              <w:spacing w:line="228" w:lineRule="auto"/>
              <w:ind w:left="85" w:hanging="85"/>
              <w:rPr>
                <w:color w:val="000000"/>
              </w:rPr>
            </w:pPr>
            <w:r>
              <w:rPr>
                <w:color w:val="000000"/>
              </w:rPr>
              <w:t>Other</w:t>
            </w:r>
          </w:p>
        </w:tc>
        <w:tc>
          <w:tcPr>
            <w:tcW w:w="964" w:type="dxa"/>
          </w:tcPr>
          <w:p w14:paraId="213F779A"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1ADC013A"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0527BCFB"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6089916B" w14:textId="77777777" w:rsidR="008E5DE4" w:rsidRDefault="008E5DE4">
            <w:pPr>
              <w:pBdr>
                <w:top w:val="nil"/>
                <w:left w:val="nil"/>
                <w:bottom w:val="nil"/>
                <w:right w:val="nil"/>
                <w:between w:val="nil"/>
              </w:pBdr>
              <w:spacing w:line="228" w:lineRule="auto"/>
              <w:jc w:val="right"/>
              <w:rPr>
                <w:color w:val="000000"/>
              </w:rPr>
            </w:pPr>
          </w:p>
        </w:tc>
        <w:tc>
          <w:tcPr>
            <w:tcW w:w="961" w:type="dxa"/>
          </w:tcPr>
          <w:p w14:paraId="189CA478"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4C5E46F7"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57D5547C"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2E170253" w14:textId="77777777" w:rsidR="008E5DE4" w:rsidRDefault="008E5DE4">
            <w:pPr>
              <w:pBdr>
                <w:top w:val="nil"/>
                <w:left w:val="nil"/>
                <w:bottom w:val="nil"/>
                <w:right w:val="nil"/>
                <w:between w:val="nil"/>
              </w:pBdr>
              <w:spacing w:line="228" w:lineRule="auto"/>
              <w:jc w:val="right"/>
              <w:rPr>
                <w:color w:val="000000"/>
              </w:rPr>
            </w:pPr>
          </w:p>
        </w:tc>
      </w:tr>
      <w:tr w:rsidR="008E5DE4" w14:paraId="025E26ED" w14:textId="77777777">
        <w:trPr>
          <w:cantSplit/>
        </w:trPr>
        <w:tc>
          <w:tcPr>
            <w:tcW w:w="1701" w:type="dxa"/>
            <w:tcBorders>
              <w:bottom w:val="single" w:sz="4" w:space="0" w:color="000000"/>
            </w:tcBorders>
          </w:tcPr>
          <w:p w14:paraId="5A310D94" w14:textId="77777777" w:rsidR="008E5DE4" w:rsidRDefault="008E5DE4">
            <w:pPr>
              <w:pBdr>
                <w:top w:val="nil"/>
                <w:left w:val="nil"/>
                <w:bottom w:val="nil"/>
                <w:right w:val="nil"/>
                <w:between w:val="nil"/>
              </w:pBdr>
              <w:spacing w:line="228" w:lineRule="auto"/>
              <w:ind w:left="85" w:hanging="85"/>
              <w:rPr>
                <w:color w:val="000000"/>
              </w:rPr>
            </w:pPr>
          </w:p>
        </w:tc>
        <w:tc>
          <w:tcPr>
            <w:tcW w:w="964" w:type="dxa"/>
            <w:tcBorders>
              <w:bottom w:val="single" w:sz="4" w:space="0" w:color="000000"/>
            </w:tcBorders>
          </w:tcPr>
          <w:p w14:paraId="26E2DBCE"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4" w:space="0" w:color="000000"/>
            </w:tcBorders>
          </w:tcPr>
          <w:p w14:paraId="68173D08"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4" w:space="0" w:color="000000"/>
            </w:tcBorders>
          </w:tcPr>
          <w:p w14:paraId="5E8D5BE2"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4" w:space="0" w:color="000000"/>
            </w:tcBorders>
          </w:tcPr>
          <w:p w14:paraId="700AD03B" w14:textId="77777777" w:rsidR="008E5DE4" w:rsidRDefault="008E5DE4">
            <w:pPr>
              <w:pBdr>
                <w:top w:val="nil"/>
                <w:left w:val="nil"/>
                <w:bottom w:val="nil"/>
                <w:right w:val="nil"/>
                <w:between w:val="nil"/>
              </w:pBdr>
              <w:spacing w:line="228" w:lineRule="auto"/>
              <w:jc w:val="right"/>
              <w:rPr>
                <w:color w:val="000000"/>
              </w:rPr>
            </w:pPr>
          </w:p>
        </w:tc>
        <w:tc>
          <w:tcPr>
            <w:tcW w:w="961" w:type="dxa"/>
            <w:tcBorders>
              <w:bottom w:val="single" w:sz="4" w:space="0" w:color="000000"/>
            </w:tcBorders>
          </w:tcPr>
          <w:p w14:paraId="69E34D2F"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4" w:space="0" w:color="000000"/>
            </w:tcBorders>
            <w:vAlign w:val="bottom"/>
          </w:tcPr>
          <w:p w14:paraId="5014F7B0"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4" w:space="0" w:color="000000"/>
            </w:tcBorders>
          </w:tcPr>
          <w:p w14:paraId="4F6EFF31"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4" w:space="0" w:color="000000"/>
            </w:tcBorders>
            <w:vAlign w:val="bottom"/>
          </w:tcPr>
          <w:p w14:paraId="7040D5FC" w14:textId="77777777" w:rsidR="008E5DE4" w:rsidRDefault="008E5DE4">
            <w:pPr>
              <w:pBdr>
                <w:top w:val="nil"/>
                <w:left w:val="nil"/>
                <w:bottom w:val="nil"/>
                <w:right w:val="nil"/>
                <w:between w:val="nil"/>
              </w:pBdr>
              <w:spacing w:line="228" w:lineRule="auto"/>
              <w:jc w:val="right"/>
              <w:rPr>
                <w:color w:val="000000"/>
              </w:rPr>
            </w:pPr>
          </w:p>
        </w:tc>
      </w:tr>
      <w:tr w:rsidR="008E5DE4" w14:paraId="03CFBF16" w14:textId="77777777">
        <w:trPr>
          <w:cantSplit/>
        </w:trPr>
        <w:tc>
          <w:tcPr>
            <w:tcW w:w="1701" w:type="dxa"/>
            <w:tcBorders>
              <w:top w:val="single" w:sz="4" w:space="0" w:color="000000"/>
            </w:tcBorders>
          </w:tcPr>
          <w:p w14:paraId="710807AB" w14:textId="77777777" w:rsidR="008E5DE4" w:rsidRDefault="008E5DE4">
            <w:pPr>
              <w:pBdr>
                <w:top w:val="nil"/>
                <w:left w:val="nil"/>
                <w:bottom w:val="nil"/>
                <w:right w:val="nil"/>
                <w:between w:val="nil"/>
              </w:pBdr>
              <w:spacing w:line="228" w:lineRule="auto"/>
              <w:ind w:left="85" w:hanging="85"/>
              <w:rPr>
                <w:color w:val="000000"/>
              </w:rPr>
            </w:pPr>
          </w:p>
        </w:tc>
        <w:tc>
          <w:tcPr>
            <w:tcW w:w="964" w:type="dxa"/>
            <w:tcBorders>
              <w:top w:val="single" w:sz="4" w:space="0" w:color="000000"/>
            </w:tcBorders>
          </w:tcPr>
          <w:p w14:paraId="5C1B2674" w14:textId="77777777" w:rsidR="008E5DE4" w:rsidRDefault="008E5DE4">
            <w:pPr>
              <w:pBdr>
                <w:top w:val="nil"/>
                <w:left w:val="nil"/>
                <w:bottom w:val="nil"/>
                <w:right w:val="nil"/>
                <w:between w:val="nil"/>
              </w:pBdr>
              <w:spacing w:line="228" w:lineRule="auto"/>
              <w:jc w:val="right"/>
              <w:rPr>
                <w:color w:val="000000"/>
              </w:rPr>
            </w:pPr>
          </w:p>
        </w:tc>
        <w:tc>
          <w:tcPr>
            <w:tcW w:w="964" w:type="dxa"/>
            <w:tcBorders>
              <w:top w:val="single" w:sz="4" w:space="0" w:color="000000"/>
            </w:tcBorders>
          </w:tcPr>
          <w:p w14:paraId="189F2050" w14:textId="77777777" w:rsidR="008E5DE4" w:rsidRDefault="008E5DE4">
            <w:pPr>
              <w:pBdr>
                <w:top w:val="nil"/>
                <w:left w:val="nil"/>
                <w:bottom w:val="nil"/>
                <w:right w:val="nil"/>
                <w:between w:val="nil"/>
              </w:pBdr>
              <w:spacing w:line="228" w:lineRule="auto"/>
              <w:jc w:val="right"/>
              <w:rPr>
                <w:color w:val="000000"/>
              </w:rPr>
            </w:pPr>
          </w:p>
        </w:tc>
        <w:tc>
          <w:tcPr>
            <w:tcW w:w="964" w:type="dxa"/>
            <w:tcBorders>
              <w:top w:val="single" w:sz="4" w:space="0" w:color="000000"/>
            </w:tcBorders>
          </w:tcPr>
          <w:p w14:paraId="2BA74D51" w14:textId="77777777" w:rsidR="008E5DE4" w:rsidRDefault="008E5DE4">
            <w:pPr>
              <w:pBdr>
                <w:top w:val="nil"/>
                <w:left w:val="nil"/>
                <w:bottom w:val="nil"/>
                <w:right w:val="nil"/>
                <w:between w:val="nil"/>
              </w:pBdr>
              <w:spacing w:line="228" w:lineRule="auto"/>
              <w:jc w:val="right"/>
              <w:rPr>
                <w:color w:val="000000"/>
              </w:rPr>
            </w:pPr>
          </w:p>
        </w:tc>
        <w:tc>
          <w:tcPr>
            <w:tcW w:w="964" w:type="dxa"/>
            <w:tcBorders>
              <w:top w:val="single" w:sz="4" w:space="0" w:color="000000"/>
            </w:tcBorders>
          </w:tcPr>
          <w:p w14:paraId="4C4DF55E" w14:textId="77777777" w:rsidR="008E5DE4" w:rsidRDefault="008E5DE4">
            <w:pPr>
              <w:pBdr>
                <w:top w:val="nil"/>
                <w:left w:val="nil"/>
                <w:bottom w:val="nil"/>
                <w:right w:val="nil"/>
                <w:between w:val="nil"/>
              </w:pBdr>
              <w:spacing w:line="228" w:lineRule="auto"/>
              <w:jc w:val="right"/>
              <w:rPr>
                <w:color w:val="000000"/>
              </w:rPr>
            </w:pPr>
          </w:p>
        </w:tc>
        <w:tc>
          <w:tcPr>
            <w:tcW w:w="961" w:type="dxa"/>
            <w:tcBorders>
              <w:top w:val="single" w:sz="4" w:space="0" w:color="000000"/>
            </w:tcBorders>
          </w:tcPr>
          <w:p w14:paraId="65CAE1ED" w14:textId="77777777" w:rsidR="008E5DE4" w:rsidRDefault="008E5DE4">
            <w:pPr>
              <w:pBdr>
                <w:top w:val="nil"/>
                <w:left w:val="nil"/>
                <w:bottom w:val="nil"/>
                <w:right w:val="nil"/>
                <w:between w:val="nil"/>
              </w:pBdr>
              <w:spacing w:line="228" w:lineRule="auto"/>
              <w:jc w:val="right"/>
              <w:rPr>
                <w:color w:val="000000"/>
              </w:rPr>
            </w:pPr>
          </w:p>
        </w:tc>
        <w:tc>
          <w:tcPr>
            <w:tcW w:w="964" w:type="dxa"/>
            <w:tcBorders>
              <w:top w:val="single" w:sz="4" w:space="0" w:color="000000"/>
            </w:tcBorders>
            <w:vAlign w:val="bottom"/>
          </w:tcPr>
          <w:p w14:paraId="334A2594" w14:textId="77777777" w:rsidR="008E5DE4" w:rsidRDefault="008E5DE4">
            <w:pPr>
              <w:pBdr>
                <w:top w:val="nil"/>
                <w:left w:val="nil"/>
                <w:bottom w:val="nil"/>
                <w:right w:val="nil"/>
                <w:between w:val="nil"/>
              </w:pBdr>
              <w:spacing w:line="228" w:lineRule="auto"/>
              <w:jc w:val="right"/>
              <w:rPr>
                <w:color w:val="000000"/>
              </w:rPr>
            </w:pPr>
          </w:p>
        </w:tc>
        <w:tc>
          <w:tcPr>
            <w:tcW w:w="964" w:type="dxa"/>
            <w:tcBorders>
              <w:top w:val="single" w:sz="4" w:space="0" w:color="000000"/>
            </w:tcBorders>
          </w:tcPr>
          <w:p w14:paraId="3E90687F" w14:textId="77777777" w:rsidR="008E5DE4" w:rsidRDefault="008E5DE4">
            <w:pPr>
              <w:pBdr>
                <w:top w:val="nil"/>
                <w:left w:val="nil"/>
                <w:bottom w:val="nil"/>
                <w:right w:val="nil"/>
                <w:between w:val="nil"/>
              </w:pBdr>
              <w:spacing w:line="228" w:lineRule="auto"/>
              <w:jc w:val="right"/>
              <w:rPr>
                <w:color w:val="000000"/>
              </w:rPr>
            </w:pPr>
          </w:p>
        </w:tc>
        <w:tc>
          <w:tcPr>
            <w:tcW w:w="964" w:type="dxa"/>
            <w:tcBorders>
              <w:top w:val="single" w:sz="4" w:space="0" w:color="000000"/>
            </w:tcBorders>
            <w:vAlign w:val="bottom"/>
          </w:tcPr>
          <w:p w14:paraId="45059FC9" w14:textId="77777777" w:rsidR="008E5DE4" w:rsidRDefault="008E5DE4">
            <w:pPr>
              <w:pBdr>
                <w:top w:val="nil"/>
                <w:left w:val="nil"/>
                <w:bottom w:val="nil"/>
                <w:right w:val="nil"/>
                <w:between w:val="nil"/>
              </w:pBdr>
              <w:spacing w:line="228" w:lineRule="auto"/>
              <w:jc w:val="right"/>
              <w:rPr>
                <w:color w:val="000000"/>
              </w:rPr>
            </w:pPr>
          </w:p>
        </w:tc>
      </w:tr>
      <w:tr w:rsidR="008E5DE4" w14:paraId="0709F6B5" w14:textId="77777777">
        <w:trPr>
          <w:cantSplit/>
        </w:trPr>
        <w:tc>
          <w:tcPr>
            <w:tcW w:w="1701" w:type="dxa"/>
          </w:tcPr>
          <w:p w14:paraId="53E25308" w14:textId="77777777" w:rsidR="008E5DE4" w:rsidRDefault="00780368">
            <w:pPr>
              <w:pBdr>
                <w:top w:val="nil"/>
                <w:left w:val="nil"/>
                <w:bottom w:val="nil"/>
                <w:right w:val="nil"/>
                <w:between w:val="nil"/>
              </w:pBdr>
              <w:spacing w:line="228" w:lineRule="auto"/>
              <w:ind w:left="85" w:hanging="85"/>
              <w:rPr>
                <w:b/>
                <w:color w:val="000000"/>
              </w:rPr>
            </w:pPr>
            <w:r>
              <w:rPr>
                <w:b/>
                <w:color w:val="000000"/>
              </w:rPr>
              <w:t xml:space="preserve">Total </w:t>
            </w:r>
          </w:p>
        </w:tc>
        <w:tc>
          <w:tcPr>
            <w:tcW w:w="964" w:type="dxa"/>
          </w:tcPr>
          <w:p w14:paraId="2C9841E9"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68253F9D"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78065E2C"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2757ACA8" w14:textId="77777777" w:rsidR="008E5DE4" w:rsidRDefault="008E5DE4">
            <w:pPr>
              <w:pBdr>
                <w:top w:val="nil"/>
                <w:left w:val="nil"/>
                <w:bottom w:val="nil"/>
                <w:right w:val="nil"/>
                <w:between w:val="nil"/>
              </w:pBdr>
              <w:spacing w:line="228" w:lineRule="auto"/>
              <w:jc w:val="right"/>
              <w:rPr>
                <w:color w:val="000000"/>
              </w:rPr>
            </w:pPr>
          </w:p>
        </w:tc>
        <w:tc>
          <w:tcPr>
            <w:tcW w:w="961" w:type="dxa"/>
          </w:tcPr>
          <w:p w14:paraId="69876772"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0A986605" w14:textId="77777777" w:rsidR="008E5DE4" w:rsidRDefault="008E5DE4">
            <w:pPr>
              <w:pBdr>
                <w:top w:val="nil"/>
                <w:left w:val="nil"/>
                <w:bottom w:val="nil"/>
                <w:right w:val="nil"/>
                <w:between w:val="nil"/>
              </w:pBdr>
              <w:spacing w:line="228" w:lineRule="auto"/>
              <w:jc w:val="right"/>
              <w:rPr>
                <w:color w:val="000000"/>
              </w:rPr>
            </w:pPr>
          </w:p>
        </w:tc>
        <w:tc>
          <w:tcPr>
            <w:tcW w:w="964" w:type="dxa"/>
          </w:tcPr>
          <w:p w14:paraId="138E8CFC" w14:textId="77777777" w:rsidR="008E5DE4" w:rsidRDefault="008E5DE4">
            <w:pPr>
              <w:pBdr>
                <w:top w:val="nil"/>
                <w:left w:val="nil"/>
                <w:bottom w:val="nil"/>
                <w:right w:val="nil"/>
                <w:between w:val="nil"/>
              </w:pBdr>
              <w:spacing w:line="228" w:lineRule="auto"/>
              <w:jc w:val="right"/>
              <w:rPr>
                <w:color w:val="000000"/>
              </w:rPr>
            </w:pPr>
          </w:p>
        </w:tc>
        <w:tc>
          <w:tcPr>
            <w:tcW w:w="964" w:type="dxa"/>
            <w:vAlign w:val="bottom"/>
          </w:tcPr>
          <w:p w14:paraId="5EC357BE" w14:textId="77777777" w:rsidR="008E5DE4" w:rsidRDefault="008E5DE4">
            <w:pPr>
              <w:pBdr>
                <w:top w:val="nil"/>
                <w:left w:val="nil"/>
                <w:bottom w:val="nil"/>
                <w:right w:val="nil"/>
                <w:between w:val="nil"/>
              </w:pBdr>
              <w:spacing w:line="228" w:lineRule="auto"/>
              <w:jc w:val="right"/>
              <w:rPr>
                <w:color w:val="000000"/>
              </w:rPr>
            </w:pPr>
          </w:p>
        </w:tc>
      </w:tr>
      <w:tr w:rsidR="008E5DE4" w14:paraId="74648826" w14:textId="77777777">
        <w:trPr>
          <w:cantSplit/>
        </w:trPr>
        <w:tc>
          <w:tcPr>
            <w:tcW w:w="1701" w:type="dxa"/>
            <w:tcBorders>
              <w:bottom w:val="single" w:sz="12" w:space="0" w:color="000000"/>
            </w:tcBorders>
          </w:tcPr>
          <w:p w14:paraId="244A39B3" w14:textId="77777777" w:rsidR="008E5DE4" w:rsidRDefault="008E5DE4">
            <w:pPr>
              <w:pBdr>
                <w:top w:val="nil"/>
                <w:left w:val="nil"/>
                <w:bottom w:val="nil"/>
                <w:right w:val="nil"/>
                <w:between w:val="nil"/>
              </w:pBdr>
              <w:spacing w:line="228" w:lineRule="auto"/>
              <w:ind w:left="85" w:hanging="85"/>
              <w:rPr>
                <w:b/>
                <w:color w:val="000000"/>
              </w:rPr>
            </w:pPr>
          </w:p>
        </w:tc>
        <w:tc>
          <w:tcPr>
            <w:tcW w:w="964" w:type="dxa"/>
            <w:tcBorders>
              <w:bottom w:val="single" w:sz="12" w:space="0" w:color="000000"/>
            </w:tcBorders>
          </w:tcPr>
          <w:p w14:paraId="4E94477E"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12" w:space="0" w:color="000000"/>
            </w:tcBorders>
          </w:tcPr>
          <w:p w14:paraId="298780D8"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12" w:space="0" w:color="000000"/>
            </w:tcBorders>
          </w:tcPr>
          <w:p w14:paraId="4E66B0AA"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12" w:space="0" w:color="000000"/>
            </w:tcBorders>
          </w:tcPr>
          <w:p w14:paraId="54944D90" w14:textId="77777777" w:rsidR="008E5DE4" w:rsidRDefault="008E5DE4">
            <w:pPr>
              <w:pBdr>
                <w:top w:val="nil"/>
                <w:left w:val="nil"/>
                <w:bottom w:val="nil"/>
                <w:right w:val="nil"/>
                <w:between w:val="nil"/>
              </w:pBdr>
              <w:spacing w:line="228" w:lineRule="auto"/>
              <w:jc w:val="right"/>
              <w:rPr>
                <w:color w:val="000000"/>
              </w:rPr>
            </w:pPr>
          </w:p>
        </w:tc>
        <w:tc>
          <w:tcPr>
            <w:tcW w:w="961" w:type="dxa"/>
            <w:tcBorders>
              <w:bottom w:val="single" w:sz="12" w:space="0" w:color="000000"/>
            </w:tcBorders>
          </w:tcPr>
          <w:p w14:paraId="5870650D"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12" w:space="0" w:color="000000"/>
            </w:tcBorders>
            <w:vAlign w:val="bottom"/>
          </w:tcPr>
          <w:p w14:paraId="6AE19875"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12" w:space="0" w:color="000000"/>
            </w:tcBorders>
          </w:tcPr>
          <w:p w14:paraId="6BA2C08E" w14:textId="77777777" w:rsidR="008E5DE4" w:rsidRDefault="008E5DE4">
            <w:pPr>
              <w:pBdr>
                <w:top w:val="nil"/>
                <w:left w:val="nil"/>
                <w:bottom w:val="nil"/>
                <w:right w:val="nil"/>
                <w:between w:val="nil"/>
              </w:pBdr>
              <w:spacing w:line="228" w:lineRule="auto"/>
              <w:jc w:val="right"/>
              <w:rPr>
                <w:color w:val="000000"/>
              </w:rPr>
            </w:pPr>
          </w:p>
        </w:tc>
        <w:tc>
          <w:tcPr>
            <w:tcW w:w="964" w:type="dxa"/>
            <w:tcBorders>
              <w:bottom w:val="single" w:sz="12" w:space="0" w:color="000000"/>
            </w:tcBorders>
            <w:vAlign w:val="bottom"/>
          </w:tcPr>
          <w:p w14:paraId="5DC1F1C2" w14:textId="77777777" w:rsidR="008E5DE4" w:rsidRDefault="008E5DE4">
            <w:pPr>
              <w:pBdr>
                <w:top w:val="nil"/>
                <w:left w:val="nil"/>
                <w:bottom w:val="nil"/>
                <w:right w:val="nil"/>
                <w:between w:val="nil"/>
              </w:pBdr>
              <w:spacing w:line="228" w:lineRule="auto"/>
              <w:jc w:val="right"/>
              <w:rPr>
                <w:color w:val="000000"/>
              </w:rPr>
            </w:pPr>
          </w:p>
        </w:tc>
      </w:tr>
    </w:tbl>
    <w:p w14:paraId="4FC8107E" w14:textId="77777777" w:rsidR="008E5DE4" w:rsidRDefault="00780368">
      <w:pPr>
        <w:pBdr>
          <w:top w:val="nil"/>
          <w:left w:val="nil"/>
          <w:bottom w:val="nil"/>
          <w:right w:val="nil"/>
          <w:between w:val="nil"/>
        </w:pBdr>
        <w:spacing w:before="240" w:after="240" w:line="228" w:lineRule="auto"/>
        <w:jc w:val="both"/>
        <w:rPr>
          <w:color w:val="0000FF"/>
          <w:sz w:val="20"/>
          <w:szCs w:val="20"/>
        </w:rPr>
      </w:pPr>
      <w:r>
        <w:rPr>
          <w:color w:val="0000FF"/>
          <w:sz w:val="20"/>
          <w:szCs w:val="20"/>
        </w:rPr>
        <w:t xml:space="preserve">[Derivatives presented above are monetary financial assets or monetary financial </w:t>
      </w:r>
      <w:proofErr w:type="gramStart"/>
      <w:r>
        <w:rPr>
          <w:color w:val="0000FF"/>
          <w:sz w:val="20"/>
          <w:szCs w:val="20"/>
        </w:rPr>
        <w:t>liabilities, but</w:t>
      </w:r>
      <w:proofErr w:type="gramEnd"/>
      <w:r>
        <w:rPr>
          <w:color w:val="0000FF"/>
          <w:sz w:val="20"/>
          <w:szCs w:val="20"/>
        </w:rPr>
        <w:t xml:space="preserve"> are presented separately </w:t>
      </w:r>
      <w:proofErr w:type="gramStart"/>
      <w:r>
        <w:rPr>
          <w:color w:val="0000FF"/>
          <w:sz w:val="20"/>
          <w:szCs w:val="20"/>
        </w:rPr>
        <w:t>in order to</w:t>
      </w:r>
      <w:proofErr w:type="gramEnd"/>
      <w:r>
        <w:rPr>
          <w:color w:val="0000FF"/>
          <w:sz w:val="20"/>
          <w:szCs w:val="20"/>
        </w:rPr>
        <w:t xml:space="preserve"> show the Group’s gross exposure.]</w:t>
      </w:r>
    </w:p>
    <w:p w14:paraId="492D80D3" w14:textId="3F3C104F" w:rsidR="008E5DE4" w:rsidRDefault="00780368">
      <w:pPr>
        <w:pBdr>
          <w:top w:val="nil"/>
          <w:left w:val="nil"/>
          <w:bottom w:val="nil"/>
          <w:right w:val="nil"/>
          <w:between w:val="nil"/>
        </w:pBdr>
        <w:spacing w:after="120" w:line="228" w:lineRule="auto"/>
        <w:jc w:val="both"/>
        <w:rPr>
          <w:color w:val="000000"/>
          <w:sz w:val="20"/>
          <w:szCs w:val="20"/>
        </w:rPr>
      </w:pPr>
      <w:r>
        <w:rPr>
          <w:color w:val="000000"/>
          <w:sz w:val="20"/>
          <w:szCs w:val="20"/>
        </w:rPr>
        <w:t xml:space="preserve">Amounts disclosed in respect of derivatives represent the fair value, at the end of the reporting period, of the respective currency that the Group agreed to buy (positive amount) or sell (negative amount) before netting of positions and payments with the counterparty. The amounts by currency are presented gross as stated in Note 46. The net total represents the fair value of the currency derivatives. The above analysis includes only monetary assets and liabilities. Investments in equities and non-monetary assets are not considered to give rise to any material currency risk. </w:t>
      </w:r>
    </w:p>
    <w:p w14:paraId="71B3EA54"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1E3183E4" w14:textId="77777777" w:rsidR="008E5DE4" w:rsidRDefault="00780368">
      <w:pPr>
        <w:pBdr>
          <w:top w:val="nil"/>
          <w:left w:val="nil"/>
          <w:bottom w:val="nil"/>
          <w:right w:val="nil"/>
          <w:between w:val="nil"/>
        </w:pBdr>
        <w:spacing w:after="120" w:line="228" w:lineRule="auto"/>
        <w:jc w:val="both"/>
        <w:rPr>
          <w:color w:val="000000"/>
          <w:sz w:val="20"/>
          <w:szCs w:val="20"/>
        </w:rPr>
      </w:pPr>
      <w:r>
        <w:rPr>
          <w:color w:val="000000"/>
          <w:sz w:val="20"/>
          <w:szCs w:val="20"/>
        </w:rPr>
        <w:t>The following table presents sensitivities of profit or loss and equity to reasonably possible changes in exchange rates applied at the end of the reporting period relative to the functional currency of the respective Group entities, with all other variables held constant:</w:t>
      </w:r>
    </w:p>
    <w:tbl>
      <w:tblPr>
        <w:tblStyle w:val="afffffffffffff6"/>
        <w:tblW w:w="9354" w:type="dxa"/>
        <w:tblLayout w:type="fixed"/>
        <w:tblLook w:val="0000" w:firstRow="0" w:lastRow="0" w:firstColumn="0" w:lastColumn="0" w:noHBand="0" w:noVBand="0"/>
      </w:tblPr>
      <w:tblGrid>
        <w:gridCol w:w="3458"/>
        <w:gridCol w:w="1474"/>
        <w:gridCol w:w="1474"/>
        <w:gridCol w:w="1474"/>
        <w:gridCol w:w="1474"/>
      </w:tblGrid>
      <w:tr w:rsidR="008E5DE4" w14:paraId="3EE6749D" w14:textId="77777777">
        <w:tc>
          <w:tcPr>
            <w:tcW w:w="3458" w:type="dxa"/>
            <w:vAlign w:val="bottom"/>
          </w:tcPr>
          <w:p w14:paraId="6C9D808A" w14:textId="77777777" w:rsidR="008E5DE4" w:rsidRDefault="008E5DE4">
            <w:pPr>
              <w:pBdr>
                <w:top w:val="nil"/>
                <w:left w:val="nil"/>
                <w:bottom w:val="nil"/>
                <w:right w:val="nil"/>
                <w:between w:val="nil"/>
              </w:pBdr>
              <w:spacing w:line="228" w:lineRule="auto"/>
              <w:ind w:left="86" w:hanging="86"/>
              <w:rPr>
                <w:i/>
                <w:color w:val="000000"/>
              </w:rPr>
            </w:pPr>
          </w:p>
        </w:tc>
        <w:tc>
          <w:tcPr>
            <w:tcW w:w="2948" w:type="dxa"/>
            <w:gridSpan w:val="2"/>
            <w:tcBorders>
              <w:bottom w:val="single" w:sz="4" w:space="0" w:color="000000"/>
            </w:tcBorders>
          </w:tcPr>
          <w:p w14:paraId="71592F9B" w14:textId="397A6B5F" w:rsidR="008E5DE4" w:rsidRDefault="00780368">
            <w:pPr>
              <w:pBdr>
                <w:top w:val="nil"/>
                <w:left w:val="nil"/>
                <w:bottom w:val="nil"/>
                <w:right w:val="nil"/>
                <w:between w:val="nil"/>
              </w:pBdr>
              <w:spacing w:line="228" w:lineRule="auto"/>
              <w:ind w:right="57"/>
              <w:jc w:val="center"/>
              <w:rPr>
                <w:b/>
                <w:color w:val="000000"/>
              </w:rPr>
            </w:pPr>
            <w:proofErr w:type="gramStart"/>
            <w:r>
              <w:rPr>
                <w:b/>
                <w:color w:val="000000"/>
              </w:rPr>
              <w:t>At</w:t>
            </w:r>
            <w:proofErr w:type="gramEnd"/>
            <w:r>
              <w:rPr>
                <w:b/>
                <w:color w:val="000000"/>
              </w:rPr>
              <w:t xml:space="preserve"> 31 December </w:t>
            </w:r>
            <w:r w:rsidR="008614F8">
              <w:rPr>
                <w:b/>
                <w:color w:val="000000"/>
              </w:rPr>
              <w:t>2025</w:t>
            </w:r>
          </w:p>
        </w:tc>
        <w:tc>
          <w:tcPr>
            <w:tcW w:w="2948" w:type="dxa"/>
            <w:gridSpan w:val="2"/>
            <w:tcBorders>
              <w:bottom w:val="single" w:sz="4" w:space="0" w:color="000000"/>
            </w:tcBorders>
          </w:tcPr>
          <w:p w14:paraId="058448B8" w14:textId="5046CFE2" w:rsidR="008E5DE4" w:rsidRDefault="00780368">
            <w:pPr>
              <w:pBdr>
                <w:top w:val="nil"/>
                <w:left w:val="nil"/>
                <w:bottom w:val="nil"/>
                <w:right w:val="nil"/>
                <w:between w:val="nil"/>
              </w:pBdr>
              <w:spacing w:line="228" w:lineRule="auto"/>
              <w:ind w:right="57"/>
              <w:jc w:val="center"/>
              <w:rPr>
                <w:b/>
                <w:color w:val="000000"/>
              </w:rPr>
            </w:pPr>
            <w:proofErr w:type="gramStart"/>
            <w:r>
              <w:rPr>
                <w:b/>
                <w:color w:val="000000"/>
              </w:rPr>
              <w:t>At</w:t>
            </w:r>
            <w:proofErr w:type="gramEnd"/>
            <w:r>
              <w:rPr>
                <w:b/>
                <w:color w:val="000000"/>
              </w:rPr>
              <w:t xml:space="preserve"> 31 December </w:t>
            </w:r>
            <w:r w:rsidR="00A46633">
              <w:rPr>
                <w:b/>
                <w:color w:val="000000"/>
              </w:rPr>
              <w:t>2024</w:t>
            </w:r>
          </w:p>
        </w:tc>
      </w:tr>
      <w:tr w:rsidR="008E5DE4" w14:paraId="15625B1A" w14:textId="77777777">
        <w:tc>
          <w:tcPr>
            <w:tcW w:w="3458" w:type="dxa"/>
            <w:tcBorders>
              <w:bottom w:val="single" w:sz="4" w:space="0" w:color="000000"/>
            </w:tcBorders>
            <w:vAlign w:val="bottom"/>
          </w:tcPr>
          <w:p w14:paraId="2A148699" w14:textId="77777777" w:rsidR="008E5DE4" w:rsidRDefault="00780368">
            <w:pPr>
              <w:pBdr>
                <w:top w:val="nil"/>
                <w:left w:val="nil"/>
                <w:bottom w:val="nil"/>
                <w:right w:val="nil"/>
                <w:between w:val="nil"/>
              </w:pBdr>
              <w:spacing w:line="228" w:lineRule="auto"/>
              <w:ind w:left="86" w:hanging="86"/>
              <w:rPr>
                <w:b/>
                <w:i/>
                <w:color w:val="000000"/>
              </w:rPr>
            </w:pPr>
            <w:r>
              <w:rPr>
                <w:i/>
                <w:color w:val="000000"/>
              </w:rPr>
              <w:t>In thousands of EUR</w:t>
            </w:r>
          </w:p>
        </w:tc>
        <w:tc>
          <w:tcPr>
            <w:tcW w:w="1474" w:type="dxa"/>
            <w:tcBorders>
              <w:bottom w:val="single" w:sz="4" w:space="0" w:color="000000"/>
            </w:tcBorders>
          </w:tcPr>
          <w:p w14:paraId="707C7412"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Impact on profit or loss</w:t>
            </w:r>
          </w:p>
        </w:tc>
        <w:tc>
          <w:tcPr>
            <w:tcW w:w="1474" w:type="dxa"/>
            <w:tcBorders>
              <w:bottom w:val="single" w:sz="4" w:space="0" w:color="000000"/>
            </w:tcBorders>
          </w:tcPr>
          <w:p w14:paraId="717DC43B"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Impact on equity</w:t>
            </w:r>
          </w:p>
        </w:tc>
        <w:tc>
          <w:tcPr>
            <w:tcW w:w="1474" w:type="dxa"/>
            <w:tcBorders>
              <w:bottom w:val="single" w:sz="4" w:space="0" w:color="000000"/>
            </w:tcBorders>
          </w:tcPr>
          <w:p w14:paraId="00DE08A5"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Impact on profit or loss</w:t>
            </w:r>
          </w:p>
        </w:tc>
        <w:tc>
          <w:tcPr>
            <w:tcW w:w="1474" w:type="dxa"/>
            <w:tcBorders>
              <w:bottom w:val="single" w:sz="4" w:space="0" w:color="000000"/>
            </w:tcBorders>
          </w:tcPr>
          <w:p w14:paraId="60FE4322" w14:textId="77777777" w:rsidR="008E5DE4" w:rsidRDefault="00780368">
            <w:pPr>
              <w:pBdr>
                <w:top w:val="nil"/>
                <w:left w:val="nil"/>
                <w:bottom w:val="nil"/>
                <w:right w:val="nil"/>
                <w:between w:val="nil"/>
              </w:pBdr>
              <w:spacing w:line="228" w:lineRule="auto"/>
              <w:ind w:right="57"/>
              <w:jc w:val="right"/>
              <w:rPr>
                <w:b/>
                <w:color w:val="000000"/>
              </w:rPr>
            </w:pPr>
            <w:r>
              <w:rPr>
                <w:b/>
                <w:color w:val="000000"/>
              </w:rPr>
              <w:t>Impact on equity</w:t>
            </w:r>
          </w:p>
        </w:tc>
      </w:tr>
      <w:tr w:rsidR="008E5DE4" w14:paraId="6122AFD5" w14:textId="77777777">
        <w:tc>
          <w:tcPr>
            <w:tcW w:w="3458" w:type="dxa"/>
          </w:tcPr>
          <w:p w14:paraId="794DBB06" w14:textId="77777777" w:rsidR="008E5DE4" w:rsidRDefault="008E5DE4">
            <w:pPr>
              <w:pBdr>
                <w:top w:val="nil"/>
                <w:left w:val="nil"/>
                <w:bottom w:val="nil"/>
                <w:right w:val="nil"/>
                <w:between w:val="nil"/>
              </w:pBdr>
              <w:spacing w:line="228" w:lineRule="auto"/>
              <w:ind w:left="85" w:hanging="85"/>
              <w:rPr>
                <w:color w:val="000000"/>
              </w:rPr>
            </w:pPr>
          </w:p>
        </w:tc>
        <w:tc>
          <w:tcPr>
            <w:tcW w:w="1474" w:type="dxa"/>
          </w:tcPr>
          <w:p w14:paraId="360CD96E"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25FE1B5E"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206CA6CA"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03474B5C" w14:textId="77777777" w:rsidR="008E5DE4" w:rsidRDefault="008E5DE4">
            <w:pPr>
              <w:pBdr>
                <w:top w:val="nil"/>
                <w:left w:val="nil"/>
                <w:bottom w:val="nil"/>
                <w:right w:val="nil"/>
                <w:between w:val="nil"/>
              </w:pBdr>
              <w:spacing w:line="228" w:lineRule="auto"/>
              <w:ind w:right="-56"/>
              <w:rPr>
                <w:color w:val="000000"/>
              </w:rPr>
            </w:pPr>
          </w:p>
        </w:tc>
      </w:tr>
      <w:tr w:rsidR="008E5DE4" w14:paraId="52388F11" w14:textId="77777777">
        <w:trPr>
          <w:trHeight w:val="237"/>
        </w:trPr>
        <w:tc>
          <w:tcPr>
            <w:tcW w:w="3458" w:type="dxa"/>
          </w:tcPr>
          <w:p w14:paraId="0AC06D0E" w14:textId="2C26158C" w:rsidR="008E5DE4" w:rsidRDefault="00780368">
            <w:pPr>
              <w:pBdr>
                <w:top w:val="nil"/>
                <w:left w:val="nil"/>
                <w:bottom w:val="nil"/>
                <w:right w:val="nil"/>
                <w:between w:val="nil"/>
              </w:pBdr>
              <w:spacing w:line="228" w:lineRule="auto"/>
              <w:ind w:left="85" w:hanging="85"/>
              <w:rPr>
                <w:color w:val="000000"/>
              </w:rPr>
            </w:pPr>
            <w:r>
              <w:rPr>
                <w:color w:val="000000"/>
              </w:rPr>
              <w:t xml:space="preserve">US Dollar strengthening by </w:t>
            </w:r>
            <w:r w:rsidRPr="00AD4F80">
              <w:rPr>
                <w:color w:val="0000FF"/>
              </w:rPr>
              <w:t>20</w:t>
            </w:r>
            <w:r>
              <w:rPr>
                <w:color w:val="000000"/>
              </w:rPr>
              <w:t>% (</w:t>
            </w:r>
            <w:r w:rsidR="00A46633">
              <w:rPr>
                <w:color w:val="000000"/>
              </w:rPr>
              <w:t>2024</w:t>
            </w:r>
            <w:r>
              <w:rPr>
                <w:color w:val="000000"/>
              </w:rPr>
              <w:t xml:space="preserve">: strengthening by </w:t>
            </w:r>
            <w:r w:rsidRPr="00AD4F80">
              <w:rPr>
                <w:color w:val="0000FF"/>
              </w:rPr>
              <w:t>[</w:t>
            </w:r>
            <w:proofErr w:type="gramStart"/>
            <w:r w:rsidRPr="00AD4F80">
              <w:rPr>
                <w:color w:val="0000FF"/>
              </w:rPr>
              <w:t>20]</w:t>
            </w:r>
            <w:r>
              <w:rPr>
                <w:color w:val="000000"/>
              </w:rPr>
              <w:t>%</w:t>
            </w:r>
            <w:proofErr w:type="gramEnd"/>
            <w:r>
              <w:rPr>
                <w:color w:val="000000"/>
              </w:rPr>
              <w:t>)</w:t>
            </w:r>
          </w:p>
        </w:tc>
        <w:tc>
          <w:tcPr>
            <w:tcW w:w="1474" w:type="dxa"/>
          </w:tcPr>
          <w:p w14:paraId="13246112"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75AC9EBE"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7A52C97E"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5508EB52" w14:textId="77777777" w:rsidR="008E5DE4" w:rsidRDefault="008E5DE4">
            <w:pPr>
              <w:pBdr>
                <w:top w:val="nil"/>
                <w:left w:val="nil"/>
                <w:bottom w:val="nil"/>
                <w:right w:val="nil"/>
                <w:between w:val="nil"/>
              </w:pBdr>
              <w:spacing w:line="228" w:lineRule="auto"/>
              <w:ind w:right="-56"/>
              <w:rPr>
                <w:color w:val="000000"/>
              </w:rPr>
            </w:pPr>
          </w:p>
        </w:tc>
      </w:tr>
      <w:tr w:rsidR="008E5DE4" w14:paraId="1697137B" w14:textId="77777777">
        <w:trPr>
          <w:trHeight w:val="237"/>
        </w:trPr>
        <w:tc>
          <w:tcPr>
            <w:tcW w:w="3458" w:type="dxa"/>
          </w:tcPr>
          <w:p w14:paraId="5ED556B1" w14:textId="6E5125B2" w:rsidR="008E5DE4" w:rsidRDefault="00780368">
            <w:pPr>
              <w:pBdr>
                <w:top w:val="nil"/>
                <w:left w:val="nil"/>
                <w:bottom w:val="nil"/>
                <w:right w:val="nil"/>
                <w:between w:val="nil"/>
              </w:pBdr>
              <w:spacing w:line="228" w:lineRule="auto"/>
              <w:ind w:left="85" w:hanging="85"/>
              <w:rPr>
                <w:color w:val="000000"/>
              </w:rPr>
            </w:pPr>
            <w:r>
              <w:rPr>
                <w:color w:val="000000"/>
              </w:rPr>
              <w:t xml:space="preserve">US Dollar weakening by </w:t>
            </w:r>
            <w:r w:rsidRPr="00AD4F80">
              <w:rPr>
                <w:color w:val="0000FF"/>
              </w:rPr>
              <w:t>20</w:t>
            </w:r>
            <w:r>
              <w:rPr>
                <w:color w:val="000000"/>
              </w:rPr>
              <w:t>% (</w:t>
            </w:r>
            <w:r w:rsidR="00A46633">
              <w:rPr>
                <w:color w:val="000000"/>
              </w:rPr>
              <w:t>2024</w:t>
            </w:r>
            <w:r>
              <w:rPr>
                <w:color w:val="000000"/>
              </w:rPr>
              <w:t xml:space="preserve">: weakening by </w:t>
            </w:r>
            <w:r w:rsidRPr="00AD4F80">
              <w:rPr>
                <w:color w:val="0000FF"/>
              </w:rPr>
              <w:t>[</w:t>
            </w:r>
            <w:proofErr w:type="gramStart"/>
            <w:r w:rsidRPr="00AD4F80">
              <w:rPr>
                <w:color w:val="0000FF"/>
              </w:rPr>
              <w:t>20]</w:t>
            </w:r>
            <w:r>
              <w:rPr>
                <w:color w:val="000000"/>
              </w:rPr>
              <w:t>%</w:t>
            </w:r>
            <w:proofErr w:type="gramEnd"/>
            <w:r>
              <w:rPr>
                <w:color w:val="000000"/>
              </w:rPr>
              <w:t>)</w:t>
            </w:r>
          </w:p>
        </w:tc>
        <w:tc>
          <w:tcPr>
            <w:tcW w:w="1474" w:type="dxa"/>
          </w:tcPr>
          <w:p w14:paraId="396BA423"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71849267"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05F16265"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1858829A" w14:textId="77777777" w:rsidR="008E5DE4" w:rsidRDefault="008E5DE4">
            <w:pPr>
              <w:pBdr>
                <w:top w:val="nil"/>
                <w:left w:val="nil"/>
                <w:bottom w:val="nil"/>
                <w:right w:val="nil"/>
                <w:between w:val="nil"/>
              </w:pBdr>
              <w:spacing w:line="228" w:lineRule="auto"/>
              <w:ind w:right="-56"/>
              <w:rPr>
                <w:color w:val="000000"/>
              </w:rPr>
            </w:pPr>
          </w:p>
        </w:tc>
      </w:tr>
      <w:tr w:rsidR="008E5DE4" w14:paraId="3D5ED104" w14:textId="77777777">
        <w:trPr>
          <w:trHeight w:val="237"/>
        </w:trPr>
        <w:tc>
          <w:tcPr>
            <w:tcW w:w="3458" w:type="dxa"/>
          </w:tcPr>
          <w:p w14:paraId="3CD31EBD" w14:textId="1EA704C5" w:rsidR="008E5DE4" w:rsidRDefault="00780368">
            <w:pPr>
              <w:pBdr>
                <w:top w:val="nil"/>
                <w:left w:val="nil"/>
                <w:bottom w:val="nil"/>
                <w:right w:val="nil"/>
                <w:between w:val="nil"/>
              </w:pBdr>
              <w:spacing w:line="228" w:lineRule="auto"/>
              <w:ind w:left="85" w:hanging="85"/>
              <w:rPr>
                <w:color w:val="000000"/>
              </w:rPr>
            </w:pPr>
            <w:r>
              <w:rPr>
                <w:color w:val="000000"/>
              </w:rPr>
              <w:t xml:space="preserve">EUR strengthening by </w:t>
            </w:r>
            <w:r w:rsidRPr="00AD4F80">
              <w:rPr>
                <w:color w:val="0000FF"/>
              </w:rPr>
              <w:t>20</w:t>
            </w:r>
            <w:r>
              <w:rPr>
                <w:color w:val="000000"/>
              </w:rPr>
              <w:t>% (</w:t>
            </w:r>
            <w:r w:rsidR="00A46633">
              <w:rPr>
                <w:color w:val="000000"/>
              </w:rPr>
              <w:t>2024</w:t>
            </w:r>
            <w:r>
              <w:rPr>
                <w:color w:val="000000"/>
              </w:rPr>
              <w:t xml:space="preserve">: strengthening by </w:t>
            </w:r>
            <w:r w:rsidRPr="00AD4F80">
              <w:rPr>
                <w:color w:val="0000FF"/>
              </w:rPr>
              <w:t>[</w:t>
            </w:r>
            <w:proofErr w:type="gramStart"/>
            <w:r w:rsidRPr="00AD4F80">
              <w:rPr>
                <w:color w:val="0000FF"/>
              </w:rPr>
              <w:t>20]</w:t>
            </w:r>
            <w:r>
              <w:rPr>
                <w:color w:val="000000"/>
              </w:rPr>
              <w:t>%</w:t>
            </w:r>
            <w:proofErr w:type="gramEnd"/>
            <w:r>
              <w:rPr>
                <w:color w:val="000000"/>
              </w:rPr>
              <w:t>)</w:t>
            </w:r>
          </w:p>
        </w:tc>
        <w:tc>
          <w:tcPr>
            <w:tcW w:w="1474" w:type="dxa"/>
          </w:tcPr>
          <w:p w14:paraId="0A4F1653"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17182394"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1419ABCD"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37E09271" w14:textId="77777777" w:rsidR="008E5DE4" w:rsidRDefault="008E5DE4">
            <w:pPr>
              <w:pBdr>
                <w:top w:val="nil"/>
                <w:left w:val="nil"/>
                <w:bottom w:val="nil"/>
                <w:right w:val="nil"/>
                <w:between w:val="nil"/>
              </w:pBdr>
              <w:spacing w:line="228" w:lineRule="auto"/>
              <w:ind w:right="-56"/>
              <w:rPr>
                <w:color w:val="000000"/>
              </w:rPr>
            </w:pPr>
          </w:p>
        </w:tc>
      </w:tr>
      <w:tr w:rsidR="008E5DE4" w14:paraId="70DC1CA6" w14:textId="77777777">
        <w:trPr>
          <w:trHeight w:val="237"/>
        </w:trPr>
        <w:tc>
          <w:tcPr>
            <w:tcW w:w="3458" w:type="dxa"/>
          </w:tcPr>
          <w:p w14:paraId="798569BB" w14:textId="086EC566" w:rsidR="008E5DE4" w:rsidRDefault="00780368">
            <w:pPr>
              <w:pBdr>
                <w:top w:val="nil"/>
                <w:left w:val="nil"/>
                <w:bottom w:val="nil"/>
                <w:right w:val="nil"/>
                <w:between w:val="nil"/>
              </w:pBdr>
              <w:spacing w:line="228" w:lineRule="auto"/>
              <w:ind w:left="85" w:hanging="85"/>
              <w:rPr>
                <w:color w:val="000000"/>
              </w:rPr>
            </w:pPr>
            <w:r>
              <w:rPr>
                <w:color w:val="000000"/>
              </w:rPr>
              <w:t xml:space="preserve">EUR weakening by </w:t>
            </w:r>
            <w:r w:rsidRPr="00AD4F80">
              <w:rPr>
                <w:color w:val="0000FF"/>
              </w:rPr>
              <w:t>20</w:t>
            </w:r>
            <w:r>
              <w:rPr>
                <w:color w:val="000000"/>
              </w:rPr>
              <w:t>% (</w:t>
            </w:r>
            <w:r w:rsidR="00A46633">
              <w:rPr>
                <w:color w:val="000000"/>
              </w:rPr>
              <w:t>2024</w:t>
            </w:r>
            <w:r>
              <w:rPr>
                <w:color w:val="000000"/>
              </w:rPr>
              <w:t xml:space="preserve">: weakening by </w:t>
            </w:r>
            <w:r w:rsidRPr="00AD4F80">
              <w:rPr>
                <w:color w:val="0000FF"/>
              </w:rPr>
              <w:t>[</w:t>
            </w:r>
            <w:proofErr w:type="gramStart"/>
            <w:r w:rsidRPr="00AD4F80">
              <w:rPr>
                <w:color w:val="0000FF"/>
              </w:rPr>
              <w:t>20]</w:t>
            </w:r>
            <w:r>
              <w:rPr>
                <w:color w:val="000000"/>
              </w:rPr>
              <w:t>%</w:t>
            </w:r>
            <w:proofErr w:type="gramEnd"/>
            <w:r>
              <w:rPr>
                <w:color w:val="000000"/>
              </w:rPr>
              <w:t>)</w:t>
            </w:r>
          </w:p>
        </w:tc>
        <w:tc>
          <w:tcPr>
            <w:tcW w:w="1474" w:type="dxa"/>
          </w:tcPr>
          <w:p w14:paraId="0E361EA0"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4D41A4FC"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6A632E9C"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7A00196B" w14:textId="77777777" w:rsidR="008E5DE4" w:rsidRDefault="008E5DE4">
            <w:pPr>
              <w:pBdr>
                <w:top w:val="nil"/>
                <w:left w:val="nil"/>
                <w:bottom w:val="nil"/>
                <w:right w:val="nil"/>
                <w:between w:val="nil"/>
              </w:pBdr>
              <w:spacing w:line="228" w:lineRule="auto"/>
              <w:ind w:right="-56"/>
              <w:rPr>
                <w:color w:val="000000"/>
              </w:rPr>
            </w:pPr>
          </w:p>
        </w:tc>
      </w:tr>
      <w:tr w:rsidR="008E5DE4" w14:paraId="31B9DC68" w14:textId="77777777">
        <w:trPr>
          <w:trHeight w:val="237"/>
        </w:trPr>
        <w:tc>
          <w:tcPr>
            <w:tcW w:w="3458" w:type="dxa"/>
          </w:tcPr>
          <w:p w14:paraId="4743F308" w14:textId="4225E975" w:rsidR="008E5DE4" w:rsidRPr="00AD4F80" w:rsidRDefault="00780368">
            <w:pPr>
              <w:pBdr>
                <w:top w:val="nil"/>
                <w:left w:val="nil"/>
                <w:bottom w:val="nil"/>
                <w:right w:val="nil"/>
                <w:between w:val="nil"/>
              </w:pBdr>
              <w:spacing w:line="228" w:lineRule="auto"/>
              <w:ind w:left="85" w:hanging="85"/>
              <w:rPr>
                <w:color w:val="0000FF"/>
              </w:rPr>
            </w:pPr>
            <w:r w:rsidRPr="00AD4F80">
              <w:rPr>
                <w:color w:val="0000FF"/>
              </w:rPr>
              <w:t>Ukrainian Hryvnia strengthening by __% (</w:t>
            </w:r>
            <w:r w:rsidR="00A46633" w:rsidRPr="00AD4F80">
              <w:rPr>
                <w:color w:val="0000FF"/>
              </w:rPr>
              <w:t>2024</w:t>
            </w:r>
            <w:r w:rsidRPr="00AD4F80">
              <w:rPr>
                <w:color w:val="0000FF"/>
              </w:rPr>
              <w:t>: strengthening by [_</w:t>
            </w:r>
            <w:proofErr w:type="gramStart"/>
            <w:r w:rsidRPr="00AD4F80">
              <w:rPr>
                <w:color w:val="0000FF"/>
              </w:rPr>
              <w:t>_]%</w:t>
            </w:r>
            <w:proofErr w:type="gramEnd"/>
            <w:r w:rsidRPr="00AD4F80">
              <w:rPr>
                <w:color w:val="0000FF"/>
              </w:rPr>
              <w:t>)</w:t>
            </w:r>
          </w:p>
        </w:tc>
        <w:tc>
          <w:tcPr>
            <w:tcW w:w="1474" w:type="dxa"/>
          </w:tcPr>
          <w:p w14:paraId="14CF54F2"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70FA95FD"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5858EF17"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66D919A6" w14:textId="77777777" w:rsidR="008E5DE4" w:rsidRDefault="008E5DE4">
            <w:pPr>
              <w:pBdr>
                <w:top w:val="nil"/>
                <w:left w:val="nil"/>
                <w:bottom w:val="nil"/>
                <w:right w:val="nil"/>
                <w:between w:val="nil"/>
              </w:pBdr>
              <w:spacing w:line="228" w:lineRule="auto"/>
              <w:ind w:right="-56"/>
              <w:rPr>
                <w:color w:val="000000"/>
              </w:rPr>
            </w:pPr>
          </w:p>
        </w:tc>
      </w:tr>
      <w:tr w:rsidR="008E5DE4" w14:paraId="32D82E46" w14:textId="77777777">
        <w:tc>
          <w:tcPr>
            <w:tcW w:w="3458" w:type="dxa"/>
          </w:tcPr>
          <w:p w14:paraId="42495939" w14:textId="3D80D53C" w:rsidR="008E5DE4" w:rsidRPr="00AD4F80" w:rsidRDefault="00780368">
            <w:pPr>
              <w:pBdr>
                <w:top w:val="nil"/>
                <w:left w:val="nil"/>
                <w:bottom w:val="nil"/>
                <w:right w:val="nil"/>
                <w:between w:val="nil"/>
              </w:pBdr>
              <w:spacing w:line="228" w:lineRule="auto"/>
              <w:ind w:left="85" w:hanging="85"/>
              <w:rPr>
                <w:color w:val="0000FF"/>
              </w:rPr>
            </w:pPr>
            <w:r w:rsidRPr="00AD4F80">
              <w:rPr>
                <w:color w:val="0000FF"/>
              </w:rPr>
              <w:t>Ukrainian Hryvnia weakening by __% (</w:t>
            </w:r>
            <w:r w:rsidR="00A46633" w:rsidRPr="00AD4F80">
              <w:rPr>
                <w:color w:val="0000FF"/>
              </w:rPr>
              <w:t>2024</w:t>
            </w:r>
            <w:r w:rsidRPr="00AD4F80">
              <w:rPr>
                <w:color w:val="0000FF"/>
              </w:rPr>
              <w:t>: weakening by [_</w:t>
            </w:r>
            <w:proofErr w:type="gramStart"/>
            <w:r w:rsidRPr="00AD4F80">
              <w:rPr>
                <w:color w:val="0000FF"/>
              </w:rPr>
              <w:t>_]%</w:t>
            </w:r>
            <w:proofErr w:type="gramEnd"/>
            <w:r w:rsidRPr="00AD4F80">
              <w:rPr>
                <w:color w:val="0000FF"/>
              </w:rPr>
              <w:t>)</w:t>
            </w:r>
          </w:p>
        </w:tc>
        <w:tc>
          <w:tcPr>
            <w:tcW w:w="1474" w:type="dxa"/>
          </w:tcPr>
          <w:p w14:paraId="12F0B893"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37E5A337"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7FB33737"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195A28B4" w14:textId="77777777" w:rsidR="008E5DE4" w:rsidRDefault="008E5DE4">
            <w:pPr>
              <w:pBdr>
                <w:top w:val="nil"/>
                <w:left w:val="nil"/>
                <w:bottom w:val="nil"/>
                <w:right w:val="nil"/>
                <w:between w:val="nil"/>
              </w:pBdr>
              <w:spacing w:line="228" w:lineRule="auto"/>
              <w:ind w:right="-56"/>
              <w:rPr>
                <w:color w:val="000000"/>
              </w:rPr>
            </w:pPr>
          </w:p>
        </w:tc>
      </w:tr>
      <w:tr w:rsidR="008E5DE4" w14:paraId="5E188455" w14:textId="77777777">
        <w:tc>
          <w:tcPr>
            <w:tcW w:w="3458" w:type="dxa"/>
          </w:tcPr>
          <w:p w14:paraId="2A7405B4" w14:textId="7C14F7F9" w:rsidR="008E5DE4" w:rsidRPr="00AD4F80" w:rsidRDefault="00AD4F80">
            <w:pPr>
              <w:pBdr>
                <w:top w:val="nil"/>
                <w:left w:val="nil"/>
                <w:bottom w:val="nil"/>
                <w:right w:val="nil"/>
                <w:between w:val="nil"/>
              </w:pBdr>
              <w:spacing w:line="228" w:lineRule="auto"/>
              <w:ind w:left="85" w:hanging="85"/>
              <w:rPr>
                <w:color w:val="0000FF"/>
              </w:rPr>
            </w:pPr>
            <w:r w:rsidRPr="00AD4F80">
              <w:rPr>
                <w:color w:val="0000FF"/>
              </w:rPr>
              <w:t>[</w:t>
            </w:r>
            <w:r w:rsidR="00780368" w:rsidRPr="00AD4F80">
              <w:rPr>
                <w:color w:val="0000FF"/>
              </w:rPr>
              <w:t>Other</w:t>
            </w:r>
            <w:r w:rsidRPr="00AD4F80">
              <w:rPr>
                <w:color w:val="0000FF"/>
              </w:rPr>
              <w:t>]</w:t>
            </w:r>
            <w:r w:rsidR="00780368" w:rsidRPr="00AD4F80">
              <w:rPr>
                <w:color w:val="0000FF"/>
              </w:rPr>
              <w:t xml:space="preserve"> strengthening by 20% (</w:t>
            </w:r>
            <w:r w:rsidR="00A46633" w:rsidRPr="00AD4F80">
              <w:rPr>
                <w:color w:val="0000FF"/>
              </w:rPr>
              <w:t>2024</w:t>
            </w:r>
            <w:r w:rsidR="00780368" w:rsidRPr="00AD4F80">
              <w:rPr>
                <w:color w:val="0000FF"/>
              </w:rPr>
              <w:t>: strengthening by [</w:t>
            </w:r>
            <w:proofErr w:type="gramStart"/>
            <w:r w:rsidR="00780368" w:rsidRPr="00AD4F80">
              <w:rPr>
                <w:color w:val="0000FF"/>
              </w:rPr>
              <w:t>30]%</w:t>
            </w:r>
            <w:proofErr w:type="gramEnd"/>
            <w:r w:rsidR="00780368" w:rsidRPr="00AD4F80">
              <w:rPr>
                <w:color w:val="0000FF"/>
              </w:rPr>
              <w:t>)</w:t>
            </w:r>
          </w:p>
        </w:tc>
        <w:tc>
          <w:tcPr>
            <w:tcW w:w="1474" w:type="dxa"/>
          </w:tcPr>
          <w:p w14:paraId="400B8ECD"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16722218"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3392C178"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2014EEC3" w14:textId="77777777" w:rsidR="008E5DE4" w:rsidRDefault="008E5DE4">
            <w:pPr>
              <w:pBdr>
                <w:top w:val="nil"/>
                <w:left w:val="nil"/>
                <w:bottom w:val="nil"/>
                <w:right w:val="nil"/>
                <w:between w:val="nil"/>
              </w:pBdr>
              <w:spacing w:line="228" w:lineRule="auto"/>
              <w:ind w:right="-56"/>
              <w:rPr>
                <w:color w:val="000000"/>
              </w:rPr>
            </w:pPr>
          </w:p>
        </w:tc>
      </w:tr>
      <w:tr w:rsidR="008E5DE4" w14:paraId="1644887C" w14:textId="77777777">
        <w:tc>
          <w:tcPr>
            <w:tcW w:w="3458" w:type="dxa"/>
          </w:tcPr>
          <w:p w14:paraId="6D999462" w14:textId="23606CAE" w:rsidR="008E5DE4" w:rsidRPr="00AD4F80" w:rsidRDefault="00AD4F80">
            <w:pPr>
              <w:pBdr>
                <w:top w:val="nil"/>
                <w:left w:val="nil"/>
                <w:bottom w:val="nil"/>
                <w:right w:val="nil"/>
                <w:between w:val="nil"/>
              </w:pBdr>
              <w:spacing w:line="228" w:lineRule="auto"/>
              <w:ind w:left="85" w:hanging="85"/>
              <w:rPr>
                <w:color w:val="0000FF"/>
              </w:rPr>
            </w:pPr>
            <w:r w:rsidRPr="00AD4F80">
              <w:rPr>
                <w:color w:val="0000FF"/>
              </w:rPr>
              <w:t>[</w:t>
            </w:r>
            <w:r w:rsidR="00780368" w:rsidRPr="00AD4F80">
              <w:rPr>
                <w:color w:val="0000FF"/>
              </w:rPr>
              <w:t>Other</w:t>
            </w:r>
            <w:r w:rsidRPr="00AD4F80">
              <w:rPr>
                <w:color w:val="0000FF"/>
              </w:rPr>
              <w:t>]</w:t>
            </w:r>
            <w:r w:rsidR="00780368" w:rsidRPr="00AD4F80">
              <w:rPr>
                <w:color w:val="0000FF"/>
              </w:rPr>
              <w:t xml:space="preserve"> weakening by 20% (</w:t>
            </w:r>
            <w:r w:rsidR="00A46633" w:rsidRPr="00AD4F80">
              <w:rPr>
                <w:color w:val="0000FF"/>
              </w:rPr>
              <w:t>2024</w:t>
            </w:r>
            <w:r w:rsidR="00780368" w:rsidRPr="00AD4F80">
              <w:rPr>
                <w:color w:val="0000FF"/>
              </w:rPr>
              <w:t>: weakening by [</w:t>
            </w:r>
            <w:proofErr w:type="gramStart"/>
            <w:r w:rsidR="00780368" w:rsidRPr="00AD4F80">
              <w:rPr>
                <w:color w:val="0000FF"/>
              </w:rPr>
              <w:t>30]%</w:t>
            </w:r>
            <w:proofErr w:type="gramEnd"/>
            <w:r w:rsidR="00780368" w:rsidRPr="00AD4F80">
              <w:rPr>
                <w:color w:val="0000FF"/>
              </w:rPr>
              <w:t>)</w:t>
            </w:r>
          </w:p>
        </w:tc>
        <w:tc>
          <w:tcPr>
            <w:tcW w:w="1474" w:type="dxa"/>
          </w:tcPr>
          <w:p w14:paraId="37DE55D5"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678FAB50"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0DABFB3A"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19D18769" w14:textId="77777777" w:rsidR="008E5DE4" w:rsidRDefault="008E5DE4">
            <w:pPr>
              <w:pBdr>
                <w:top w:val="nil"/>
                <w:left w:val="nil"/>
                <w:bottom w:val="nil"/>
                <w:right w:val="nil"/>
                <w:between w:val="nil"/>
              </w:pBdr>
              <w:spacing w:line="228" w:lineRule="auto"/>
              <w:ind w:right="-56"/>
              <w:rPr>
                <w:color w:val="000000"/>
              </w:rPr>
            </w:pPr>
          </w:p>
        </w:tc>
      </w:tr>
      <w:tr w:rsidR="008E5DE4" w14:paraId="56BE0E59" w14:textId="77777777">
        <w:trPr>
          <w:trHeight w:val="191"/>
        </w:trPr>
        <w:tc>
          <w:tcPr>
            <w:tcW w:w="3458" w:type="dxa"/>
            <w:tcBorders>
              <w:bottom w:val="single" w:sz="4" w:space="0" w:color="000000"/>
            </w:tcBorders>
          </w:tcPr>
          <w:p w14:paraId="5E34BF82" w14:textId="77777777" w:rsidR="008E5DE4" w:rsidRDefault="008E5DE4">
            <w:pPr>
              <w:pBdr>
                <w:top w:val="nil"/>
                <w:left w:val="nil"/>
                <w:bottom w:val="nil"/>
                <w:right w:val="nil"/>
                <w:between w:val="nil"/>
              </w:pBdr>
              <w:spacing w:line="228" w:lineRule="auto"/>
              <w:ind w:left="85" w:hanging="85"/>
              <w:rPr>
                <w:color w:val="000000"/>
              </w:rPr>
            </w:pPr>
          </w:p>
        </w:tc>
        <w:tc>
          <w:tcPr>
            <w:tcW w:w="1474" w:type="dxa"/>
            <w:tcBorders>
              <w:bottom w:val="single" w:sz="4" w:space="0" w:color="000000"/>
            </w:tcBorders>
          </w:tcPr>
          <w:p w14:paraId="28A3BC7D" w14:textId="77777777" w:rsidR="008E5DE4" w:rsidRDefault="008E5DE4">
            <w:pPr>
              <w:pBdr>
                <w:top w:val="nil"/>
                <w:left w:val="nil"/>
                <w:bottom w:val="nil"/>
                <w:right w:val="nil"/>
                <w:between w:val="nil"/>
              </w:pBdr>
              <w:spacing w:line="228" w:lineRule="auto"/>
              <w:ind w:right="-56"/>
              <w:rPr>
                <w:color w:val="000000"/>
              </w:rPr>
            </w:pPr>
          </w:p>
        </w:tc>
        <w:tc>
          <w:tcPr>
            <w:tcW w:w="1474" w:type="dxa"/>
            <w:tcBorders>
              <w:bottom w:val="single" w:sz="4" w:space="0" w:color="000000"/>
            </w:tcBorders>
          </w:tcPr>
          <w:p w14:paraId="2C82CE38" w14:textId="77777777" w:rsidR="008E5DE4" w:rsidRDefault="008E5DE4">
            <w:pPr>
              <w:pBdr>
                <w:top w:val="nil"/>
                <w:left w:val="nil"/>
                <w:bottom w:val="nil"/>
                <w:right w:val="nil"/>
                <w:between w:val="nil"/>
              </w:pBdr>
              <w:spacing w:line="228" w:lineRule="auto"/>
              <w:ind w:right="-56"/>
              <w:rPr>
                <w:color w:val="000000"/>
              </w:rPr>
            </w:pPr>
          </w:p>
        </w:tc>
        <w:tc>
          <w:tcPr>
            <w:tcW w:w="1474" w:type="dxa"/>
            <w:tcBorders>
              <w:bottom w:val="single" w:sz="4" w:space="0" w:color="000000"/>
            </w:tcBorders>
          </w:tcPr>
          <w:p w14:paraId="312E06C6" w14:textId="77777777" w:rsidR="008E5DE4" w:rsidRDefault="008E5DE4">
            <w:pPr>
              <w:pBdr>
                <w:top w:val="nil"/>
                <w:left w:val="nil"/>
                <w:bottom w:val="nil"/>
                <w:right w:val="nil"/>
                <w:between w:val="nil"/>
              </w:pBdr>
              <w:spacing w:line="228" w:lineRule="auto"/>
              <w:ind w:right="-56"/>
              <w:rPr>
                <w:color w:val="000000"/>
              </w:rPr>
            </w:pPr>
          </w:p>
        </w:tc>
        <w:tc>
          <w:tcPr>
            <w:tcW w:w="1474" w:type="dxa"/>
            <w:tcBorders>
              <w:bottom w:val="single" w:sz="4" w:space="0" w:color="000000"/>
            </w:tcBorders>
            <w:vAlign w:val="bottom"/>
          </w:tcPr>
          <w:p w14:paraId="4DC697E5" w14:textId="77777777" w:rsidR="008E5DE4" w:rsidRDefault="008E5DE4">
            <w:pPr>
              <w:pBdr>
                <w:top w:val="nil"/>
                <w:left w:val="nil"/>
                <w:bottom w:val="nil"/>
                <w:right w:val="nil"/>
                <w:between w:val="nil"/>
              </w:pBdr>
              <w:spacing w:line="228" w:lineRule="auto"/>
              <w:ind w:right="-56"/>
              <w:rPr>
                <w:color w:val="000000"/>
              </w:rPr>
            </w:pPr>
          </w:p>
        </w:tc>
      </w:tr>
      <w:tr w:rsidR="008E5DE4" w14:paraId="696F702B" w14:textId="77777777">
        <w:trPr>
          <w:trHeight w:val="218"/>
        </w:trPr>
        <w:tc>
          <w:tcPr>
            <w:tcW w:w="3458" w:type="dxa"/>
            <w:tcBorders>
              <w:top w:val="single" w:sz="4" w:space="0" w:color="000000"/>
            </w:tcBorders>
          </w:tcPr>
          <w:p w14:paraId="54394439" w14:textId="77777777" w:rsidR="008E5DE4" w:rsidRDefault="008E5DE4">
            <w:pPr>
              <w:pBdr>
                <w:top w:val="nil"/>
                <w:left w:val="nil"/>
                <w:bottom w:val="nil"/>
                <w:right w:val="nil"/>
                <w:between w:val="nil"/>
              </w:pBdr>
              <w:spacing w:line="228" w:lineRule="auto"/>
              <w:ind w:left="85" w:hanging="85"/>
              <w:rPr>
                <w:color w:val="000000"/>
              </w:rPr>
            </w:pPr>
          </w:p>
        </w:tc>
        <w:tc>
          <w:tcPr>
            <w:tcW w:w="1474" w:type="dxa"/>
            <w:tcBorders>
              <w:top w:val="single" w:sz="4" w:space="0" w:color="000000"/>
            </w:tcBorders>
          </w:tcPr>
          <w:p w14:paraId="33FB1B05" w14:textId="77777777" w:rsidR="008E5DE4" w:rsidRDefault="008E5DE4">
            <w:pPr>
              <w:pBdr>
                <w:top w:val="nil"/>
                <w:left w:val="nil"/>
                <w:bottom w:val="nil"/>
                <w:right w:val="nil"/>
                <w:between w:val="nil"/>
              </w:pBdr>
              <w:spacing w:line="228" w:lineRule="auto"/>
              <w:ind w:right="-56"/>
              <w:rPr>
                <w:color w:val="000000"/>
              </w:rPr>
            </w:pPr>
          </w:p>
        </w:tc>
        <w:tc>
          <w:tcPr>
            <w:tcW w:w="1474" w:type="dxa"/>
            <w:tcBorders>
              <w:top w:val="single" w:sz="4" w:space="0" w:color="000000"/>
            </w:tcBorders>
          </w:tcPr>
          <w:p w14:paraId="43486043" w14:textId="77777777" w:rsidR="008E5DE4" w:rsidRDefault="008E5DE4">
            <w:pPr>
              <w:pBdr>
                <w:top w:val="nil"/>
                <w:left w:val="nil"/>
                <w:bottom w:val="nil"/>
                <w:right w:val="nil"/>
                <w:between w:val="nil"/>
              </w:pBdr>
              <w:spacing w:line="228" w:lineRule="auto"/>
              <w:ind w:right="-56"/>
              <w:rPr>
                <w:color w:val="000000"/>
              </w:rPr>
            </w:pPr>
          </w:p>
        </w:tc>
        <w:tc>
          <w:tcPr>
            <w:tcW w:w="1474" w:type="dxa"/>
            <w:tcBorders>
              <w:top w:val="single" w:sz="4" w:space="0" w:color="000000"/>
            </w:tcBorders>
          </w:tcPr>
          <w:p w14:paraId="4AA1D530" w14:textId="77777777" w:rsidR="008E5DE4" w:rsidRDefault="008E5DE4">
            <w:pPr>
              <w:pBdr>
                <w:top w:val="nil"/>
                <w:left w:val="nil"/>
                <w:bottom w:val="nil"/>
                <w:right w:val="nil"/>
                <w:between w:val="nil"/>
              </w:pBdr>
              <w:spacing w:line="228" w:lineRule="auto"/>
              <w:ind w:right="-56"/>
              <w:rPr>
                <w:color w:val="000000"/>
              </w:rPr>
            </w:pPr>
          </w:p>
        </w:tc>
        <w:tc>
          <w:tcPr>
            <w:tcW w:w="1474" w:type="dxa"/>
            <w:tcBorders>
              <w:top w:val="single" w:sz="4" w:space="0" w:color="000000"/>
            </w:tcBorders>
            <w:vAlign w:val="bottom"/>
          </w:tcPr>
          <w:p w14:paraId="3D7C6D07" w14:textId="77777777" w:rsidR="008E5DE4" w:rsidRDefault="008E5DE4">
            <w:pPr>
              <w:pBdr>
                <w:top w:val="nil"/>
                <w:left w:val="nil"/>
                <w:bottom w:val="nil"/>
                <w:right w:val="nil"/>
                <w:between w:val="nil"/>
              </w:pBdr>
              <w:spacing w:line="228" w:lineRule="auto"/>
              <w:ind w:right="-56"/>
              <w:rPr>
                <w:color w:val="000000"/>
              </w:rPr>
            </w:pPr>
          </w:p>
        </w:tc>
      </w:tr>
      <w:tr w:rsidR="008E5DE4" w14:paraId="308DA3A1" w14:textId="77777777">
        <w:tc>
          <w:tcPr>
            <w:tcW w:w="3458" w:type="dxa"/>
          </w:tcPr>
          <w:p w14:paraId="732F1E86" w14:textId="77777777" w:rsidR="008E5DE4" w:rsidRDefault="00780368">
            <w:pPr>
              <w:pBdr>
                <w:top w:val="nil"/>
                <w:left w:val="nil"/>
                <w:bottom w:val="nil"/>
                <w:right w:val="nil"/>
                <w:between w:val="nil"/>
              </w:pBdr>
              <w:spacing w:line="228" w:lineRule="auto"/>
              <w:ind w:left="85" w:hanging="85"/>
              <w:rPr>
                <w:b/>
                <w:color w:val="000000"/>
              </w:rPr>
            </w:pPr>
            <w:r>
              <w:rPr>
                <w:b/>
                <w:color w:val="000000"/>
              </w:rPr>
              <w:t xml:space="preserve">Total </w:t>
            </w:r>
          </w:p>
        </w:tc>
        <w:tc>
          <w:tcPr>
            <w:tcW w:w="1474" w:type="dxa"/>
          </w:tcPr>
          <w:p w14:paraId="71B2F303"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7921AF80" w14:textId="77777777" w:rsidR="008E5DE4" w:rsidRDefault="008E5DE4">
            <w:pPr>
              <w:pBdr>
                <w:top w:val="nil"/>
                <w:left w:val="nil"/>
                <w:bottom w:val="nil"/>
                <w:right w:val="nil"/>
                <w:between w:val="nil"/>
              </w:pBdr>
              <w:spacing w:line="228" w:lineRule="auto"/>
              <w:ind w:right="-56"/>
              <w:rPr>
                <w:color w:val="000000"/>
              </w:rPr>
            </w:pPr>
          </w:p>
        </w:tc>
        <w:tc>
          <w:tcPr>
            <w:tcW w:w="1474" w:type="dxa"/>
          </w:tcPr>
          <w:p w14:paraId="1C56B39E" w14:textId="77777777" w:rsidR="008E5DE4" w:rsidRDefault="008E5DE4">
            <w:pPr>
              <w:pBdr>
                <w:top w:val="nil"/>
                <w:left w:val="nil"/>
                <w:bottom w:val="nil"/>
                <w:right w:val="nil"/>
                <w:between w:val="nil"/>
              </w:pBdr>
              <w:spacing w:line="228" w:lineRule="auto"/>
              <w:ind w:right="-56"/>
              <w:rPr>
                <w:color w:val="000000"/>
              </w:rPr>
            </w:pPr>
          </w:p>
        </w:tc>
        <w:tc>
          <w:tcPr>
            <w:tcW w:w="1474" w:type="dxa"/>
            <w:vAlign w:val="bottom"/>
          </w:tcPr>
          <w:p w14:paraId="45358073" w14:textId="77777777" w:rsidR="008E5DE4" w:rsidRDefault="008E5DE4">
            <w:pPr>
              <w:pBdr>
                <w:top w:val="nil"/>
                <w:left w:val="nil"/>
                <w:bottom w:val="nil"/>
                <w:right w:val="nil"/>
                <w:between w:val="nil"/>
              </w:pBdr>
              <w:spacing w:line="228" w:lineRule="auto"/>
              <w:ind w:right="-56"/>
              <w:rPr>
                <w:color w:val="000000"/>
              </w:rPr>
            </w:pPr>
          </w:p>
        </w:tc>
      </w:tr>
      <w:tr w:rsidR="008E5DE4" w14:paraId="7E75618E" w14:textId="77777777">
        <w:trPr>
          <w:trHeight w:val="213"/>
        </w:trPr>
        <w:tc>
          <w:tcPr>
            <w:tcW w:w="3458" w:type="dxa"/>
            <w:tcBorders>
              <w:bottom w:val="single" w:sz="12" w:space="0" w:color="000000"/>
            </w:tcBorders>
          </w:tcPr>
          <w:p w14:paraId="44CB27E3" w14:textId="77777777" w:rsidR="008E5DE4" w:rsidRDefault="008E5DE4">
            <w:pPr>
              <w:pBdr>
                <w:top w:val="nil"/>
                <w:left w:val="nil"/>
                <w:bottom w:val="nil"/>
                <w:right w:val="nil"/>
                <w:between w:val="nil"/>
              </w:pBdr>
              <w:spacing w:line="228" w:lineRule="auto"/>
              <w:ind w:left="85" w:hanging="85"/>
              <w:rPr>
                <w:b/>
                <w:color w:val="000000"/>
              </w:rPr>
            </w:pPr>
          </w:p>
        </w:tc>
        <w:tc>
          <w:tcPr>
            <w:tcW w:w="1474" w:type="dxa"/>
            <w:tcBorders>
              <w:bottom w:val="single" w:sz="12" w:space="0" w:color="000000"/>
            </w:tcBorders>
          </w:tcPr>
          <w:p w14:paraId="40C6057C" w14:textId="77777777" w:rsidR="008E5DE4" w:rsidRDefault="008E5DE4">
            <w:pPr>
              <w:pBdr>
                <w:top w:val="nil"/>
                <w:left w:val="nil"/>
                <w:bottom w:val="nil"/>
                <w:right w:val="nil"/>
                <w:between w:val="nil"/>
              </w:pBdr>
              <w:spacing w:line="228" w:lineRule="auto"/>
              <w:ind w:right="-56"/>
              <w:rPr>
                <w:color w:val="000000"/>
              </w:rPr>
            </w:pPr>
          </w:p>
        </w:tc>
        <w:tc>
          <w:tcPr>
            <w:tcW w:w="1474" w:type="dxa"/>
            <w:tcBorders>
              <w:bottom w:val="single" w:sz="12" w:space="0" w:color="000000"/>
            </w:tcBorders>
          </w:tcPr>
          <w:p w14:paraId="07CD2D9B" w14:textId="77777777" w:rsidR="008E5DE4" w:rsidRDefault="008E5DE4">
            <w:pPr>
              <w:pBdr>
                <w:top w:val="nil"/>
                <w:left w:val="nil"/>
                <w:bottom w:val="nil"/>
                <w:right w:val="nil"/>
                <w:between w:val="nil"/>
              </w:pBdr>
              <w:spacing w:line="228" w:lineRule="auto"/>
              <w:ind w:right="-56"/>
              <w:rPr>
                <w:color w:val="000000"/>
              </w:rPr>
            </w:pPr>
          </w:p>
        </w:tc>
        <w:tc>
          <w:tcPr>
            <w:tcW w:w="1474" w:type="dxa"/>
            <w:tcBorders>
              <w:bottom w:val="single" w:sz="12" w:space="0" w:color="000000"/>
            </w:tcBorders>
          </w:tcPr>
          <w:p w14:paraId="655B58B1" w14:textId="77777777" w:rsidR="008E5DE4" w:rsidRDefault="008E5DE4">
            <w:pPr>
              <w:pBdr>
                <w:top w:val="nil"/>
                <w:left w:val="nil"/>
                <w:bottom w:val="nil"/>
                <w:right w:val="nil"/>
                <w:between w:val="nil"/>
              </w:pBdr>
              <w:spacing w:line="228" w:lineRule="auto"/>
              <w:ind w:right="-56"/>
              <w:rPr>
                <w:color w:val="000000"/>
              </w:rPr>
            </w:pPr>
          </w:p>
        </w:tc>
        <w:tc>
          <w:tcPr>
            <w:tcW w:w="1474" w:type="dxa"/>
            <w:tcBorders>
              <w:bottom w:val="single" w:sz="12" w:space="0" w:color="000000"/>
            </w:tcBorders>
            <w:vAlign w:val="bottom"/>
          </w:tcPr>
          <w:p w14:paraId="7C665FC7" w14:textId="77777777" w:rsidR="008E5DE4" w:rsidRDefault="008E5DE4">
            <w:pPr>
              <w:pBdr>
                <w:top w:val="nil"/>
                <w:left w:val="nil"/>
                <w:bottom w:val="nil"/>
                <w:right w:val="nil"/>
                <w:between w:val="nil"/>
              </w:pBdr>
              <w:spacing w:line="228" w:lineRule="auto"/>
              <w:ind w:right="-56"/>
              <w:rPr>
                <w:color w:val="000000"/>
              </w:rPr>
            </w:pPr>
          </w:p>
        </w:tc>
      </w:tr>
    </w:tbl>
    <w:p w14:paraId="5F1D090F" w14:textId="77777777" w:rsidR="008E5DE4" w:rsidRDefault="00780368">
      <w:pPr>
        <w:pBdr>
          <w:top w:val="nil"/>
          <w:left w:val="nil"/>
          <w:bottom w:val="nil"/>
          <w:right w:val="nil"/>
          <w:between w:val="nil"/>
        </w:pBdr>
        <w:spacing w:before="240" w:after="120"/>
        <w:jc w:val="both"/>
        <w:rPr>
          <w:color w:val="0000FF"/>
          <w:sz w:val="20"/>
          <w:szCs w:val="20"/>
        </w:rPr>
      </w:pPr>
      <w:r>
        <w:rPr>
          <w:color w:val="000000"/>
          <w:sz w:val="20"/>
          <w:szCs w:val="20"/>
        </w:rPr>
        <w:t>The exposure was calculated only for monetary balances denominated in currencies other than the functional currency of the respective entity of the Group.</w:t>
      </w:r>
      <w:r>
        <w:rPr>
          <w:color w:val="0000FF"/>
          <w:sz w:val="20"/>
          <w:szCs w:val="20"/>
        </w:rPr>
        <w:t xml:space="preserve"> [The Group’s exposure to currency risk at the end of the reporting period is not representative of the typical exposure during the year. The following table presents sensitivities of profit and loss and equity to reasonably possible changes in exchange rates applied to the average exposure to currency risk during the year, with all other variables held constant:]</w:t>
      </w:r>
    </w:p>
    <w:tbl>
      <w:tblPr>
        <w:tblStyle w:val="afffffffffffff7"/>
        <w:tblW w:w="9356" w:type="dxa"/>
        <w:tblLayout w:type="fixed"/>
        <w:tblLook w:val="0000" w:firstRow="0" w:lastRow="0" w:firstColumn="0" w:lastColumn="0" w:noHBand="0" w:noVBand="0"/>
      </w:tblPr>
      <w:tblGrid>
        <w:gridCol w:w="2693"/>
        <w:gridCol w:w="1558"/>
        <w:gridCol w:w="1700"/>
        <w:gridCol w:w="141"/>
        <w:gridCol w:w="1559"/>
        <w:gridCol w:w="1696"/>
        <w:gridCol w:w="9"/>
      </w:tblGrid>
      <w:tr w:rsidR="008E5DE4" w14:paraId="65E210A6" w14:textId="77777777">
        <w:trPr>
          <w:gridAfter w:val="1"/>
          <w:wAfter w:w="9" w:type="dxa"/>
        </w:trPr>
        <w:tc>
          <w:tcPr>
            <w:tcW w:w="2693" w:type="dxa"/>
            <w:vAlign w:val="bottom"/>
          </w:tcPr>
          <w:p w14:paraId="77F16FAB" w14:textId="77777777" w:rsidR="008E5DE4" w:rsidRDefault="008E5DE4">
            <w:pPr>
              <w:pBdr>
                <w:top w:val="nil"/>
                <w:left w:val="nil"/>
                <w:bottom w:val="nil"/>
                <w:right w:val="nil"/>
                <w:between w:val="nil"/>
              </w:pBdr>
              <w:ind w:left="86" w:hanging="86"/>
              <w:rPr>
                <w:i/>
                <w:color w:val="0000FF"/>
              </w:rPr>
            </w:pPr>
          </w:p>
        </w:tc>
        <w:tc>
          <w:tcPr>
            <w:tcW w:w="3258" w:type="dxa"/>
            <w:gridSpan w:val="2"/>
            <w:tcBorders>
              <w:bottom w:val="single" w:sz="4" w:space="0" w:color="000000"/>
            </w:tcBorders>
          </w:tcPr>
          <w:p w14:paraId="0455F08E" w14:textId="614C32B4" w:rsidR="008E5DE4" w:rsidRDefault="00780368">
            <w:pPr>
              <w:pBdr>
                <w:top w:val="nil"/>
                <w:left w:val="nil"/>
                <w:bottom w:val="nil"/>
                <w:right w:val="nil"/>
                <w:between w:val="nil"/>
              </w:pBdr>
              <w:spacing w:line="226" w:lineRule="auto"/>
              <w:ind w:right="57"/>
              <w:jc w:val="center"/>
              <w:rPr>
                <w:b/>
                <w:color w:val="0000FF"/>
              </w:rPr>
            </w:pPr>
            <w:r>
              <w:rPr>
                <w:b/>
                <w:color w:val="0000FF"/>
              </w:rPr>
              <w:t xml:space="preserve">Average exposure during </w:t>
            </w:r>
            <w:r w:rsidR="008614F8">
              <w:rPr>
                <w:b/>
                <w:color w:val="0000FF"/>
              </w:rPr>
              <w:t>2025</w:t>
            </w:r>
          </w:p>
        </w:tc>
        <w:tc>
          <w:tcPr>
            <w:tcW w:w="141" w:type="dxa"/>
          </w:tcPr>
          <w:p w14:paraId="6FFA2DC2" w14:textId="77777777" w:rsidR="008E5DE4" w:rsidRDefault="008E5DE4">
            <w:pPr>
              <w:pBdr>
                <w:top w:val="nil"/>
                <w:left w:val="nil"/>
                <w:bottom w:val="nil"/>
                <w:right w:val="nil"/>
                <w:between w:val="nil"/>
              </w:pBdr>
              <w:spacing w:line="226" w:lineRule="auto"/>
              <w:ind w:right="57"/>
              <w:jc w:val="center"/>
              <w:rPr>
                <w:b/>
                <w:color w:val="0000FF"/>
              </w:rPr>
            </w:pPr>
          </w:p>
        </w:tc>
        <w:tc>
          <w:tcPr>
            <w:tcW w:w="3255" w:type="dxa"/>
            <w:gridSpan w:val="2"/>
            <w:tcBorders>
              <w:bottom w:val="single" w:sz="4" w:space="0" w:color="000000"/>
            </w:tcBorders>
          </w:tcPr>
          <w:p w14:paraId="6BBA51D4" w14:textId="5A3FBCB1" w:rsidR="008E5DE4" w:rsidRDefault="00780368">
            <w:pPr>
              <w:pBdr>
                <w:top w:val="nil"/>
                <w:left w:val="nil"/>
                <w:bottom w:val="nil"/>
                <w:right w:val="nil"/>
                <w:between w:val="nil"/>
              </w:pBdr>
              <w:spacing w:line="226" w:lineRule="auto"/>
              <w:ind w:right="57"/>
              <w:jc w:val="center"/>
              <w:rPr>
                <w:b/>
                <w:color w:val="0000FF"/>
              </w:rPr>
            </w:pPr>
            <w:r>
              <w:rPr>
                <w:b/>
                <w:color w:val="0000FF"/>
              </w:rPr>
              <w:t xml:space="preserve">Average exposure during </w:t>
            </w:r>
            <w:r w:rsidR="00A46633">
              <w:rPr>
                <w:b/>
                <w:color w:val="0000FF"/>
              </w:rPr>
              <w:t>2024</w:t>
            </w:r>
          </w:p>
        </w:tc>
      </w:tr>
      <w:tr w:rsidR="008E5DE4" w14:paraId="36A3B6C1" w14:textId="77777777">
        <w:tc>
          <w:tcPr>
            <w:tcW w:w="2693" w:type="dxa"/>
            <w:tcBorders>
              <w:bottom w:val="single" w:sz="4" w:space="0" w:color="000000"/>
            </w:tcBorders>
            <w:vAlign w:val="bottom"/>
          </w:tcPr>
          <w:p w14:paraId="2CA59A08" w14:textId="77777777" w:rsidR="008E5DE4" w:rsidRDefault="00780368">
            <w:pPr>
              <w:pBdr>
                <w:top w:val="nil"/>
                <w:left w:val="nil"/>
                <w:bottom w:val="nil"/>
                <w:right w:val="nil"/>
                <w:between w:val="nil"/>
              </w:pBdr>
              <w:ind w:left="86" w:hanging="86"/>
              <w:rPr>
                <w:b/>
                <w:i/>
                <w:color w:val="0000FF"/>
              </w:rPr>
            </w:pPr>
            <w:r>
              <w:rPr>
                <w:i/>
                <w:color w:val="0000FF"/>
              </w:rPr>
              <w:t>In thousands of EUR</w:t>
            </w:r>
          </w:p>
        </w:tc>
        <w:tc>
          <w:tcPr>
            <w:tcW w:w="1558" w:type="dxa"/>
            <w:tcBorders>
              <w:bottom w:val="single" w:sz="4" w:space="0" w:color="000000"/>
            </w:tcBorders>
          </w:tcPr>
          <w:p w14:paraId="6812E3B2" w14:textId="77777777" w:rsidR="008E5DE4" w:rsidRDefault="00780368">
            <w:pPr>
              <w:pBdr>
                <w:top w:val="nil"/>
                <w:left w:val="nil"/>
                <w:bottom w:val="nil"/>
                <w:right w:val="nil"/>
                <w:between w:val="nil"/>
              </w:pBdr>
              <w:spacing w:line="226" w:lineRule="auto"/>
              <w:ind w:right="57"/>
              <w:jc w:val="right"/>
              <w:rPr>
                <w:b/>
                <w:color w:val="0000FF"/>
              </w:rPr>
            </w:pPr>
            <w:r>
              <w:rPr>
                <w:b/>
                <w:color w:val="0000FF"/>
              </w:rPr>
              <w:t>Impact on profit or loss</w:t>
            </w:r>
          </w:p>
        </w:tc>
        <w:tc>
          <w:tcPr>
            <w:tcW w:w="1700" w:type="dxa"/>
            <w:tcBorders>
              <w:bottom w:val="single" w:sz="4" w:space="0" w:color="000000"/>
            </w:tcBorders>
          </w:tcPr>
          <w:p w14:paraId="37B605BF" w14:textId="77777777" w:rsidR="008E5DE4" w:rsidRDefault="00780368">
            <w:pPr>
              <w:pBdr>
                <w:top w:val="nil"/>
                <w:left w:val="nil"/>
                <w:bottom w:val="nil"/>
                <w:right w:val="nil"/>
                <w:between w:val="nil"/>
              </w:pBdr>
              <w:spacing w:line="226" w:lineRule="auto"/>
              <w:ind w:right="57"/>
              <w:jc w:val="right"/>
              <w:rPr>
                <w:b/>
                <w:color w:val="0000FF"/>
              </w:rPr>
            </w:pPr>
            <w:r>
              <w:rPr>
                <w:b/>
                <w:color w:val="0000FF"/>
              </w:rPr>
              <w:t>Impact on equity</w:t>
            </w:r>
          </w:p>
        </w:tc>
        <w:tc>
          <w:tcPr>
            <w:tcW w:w="141" w:type="dxa"/>
            <w:tcBorders>
              <w:bottom w:val="single" w:sz="4" w:space="0" w:color="000000"/>
            </w:tcBorders>
          </w:tcPr>
          <w:p w14:paraId="5D07414F" w14:textId="77777777" w:rsidR="008E5DE4" w:rsidRDefault="008E5DE4">
            <w:pPr>
              <w:pBdr>
                <w:top w:val="nil"/>
                <w:left w:val="nil"/>
                <w:bottom w:val="nil"/>
                <w:right w:val="nil"/>
                <w:between w:val="nil"/>
              </w:pBdr>
              <w:spacing w:line="226" w:lineRule="auto"/>
              <w:ind w:right="57"/>
              <w:jc w:val="right"/>
              <w:rPr>
                <w:b/>
                <w:color w:val="0000FF"/>
              </w:rPr>
            </w:pPr>
          </w:p>
        </w:tc>
        <w:tc>
          <w:tcPr>
            <w:tcW w:w="1559" w:type="dxa"/>
            <w:tcBorders>
              <w:bottom w:val="single" w:sz="4" w:space="0" w:color="000000"/>
            </w:tcBorders>
          </w:tcPr>
          <w:p w14:paraId="7A615421" w14:textId="77777777" w:rsidR="008E5DE4" w:rsidRDefault="00780368">
            <w:pPr>
              <w:pBdr>
                <w:top w:val="nil"/>
                <w:left w:val="nil"/>
                <w:bottom w:val="nil"/>
                <w:right w:val="nil"/>
                <w:between w:val="nil"/>
              </w:pBdr>
              <w:spacing w:line="226" w:lineRule="auto"/>
              <w:ind w:right="57"/>
              <w:jc w:val="right"/>
              <w:rPr>
                <w:b/>
                <w:color w:val="0000FF"/>
              </w:rPr>
            </w:pPr>
            <w:r>
              <w:rPr>
                <w:b/>
                <w:color w:val="0000FF"/>
              </w:rPr>
              <w:t>Impact on profit or loss</w:t>
            </w:r>
          </w:p>
        </w:tc>
        <w:tc>
          <w:tcPr>
            <w:tcW w:w="1705" w:type="dxa"/>
            <w:gridSpan w:val="2"/>
            <w:tcBorders>
              <w:bottom w:val="single" w:sz="4" w:space="0" w:color="000000"/>
            </w:tcBorders>
          </w:tcPr>
          <w:p w14:paraId="02E56D6E" w14:textId="77777777" w:rsidR="008E5DE4" w:rsidRDefault="00780368">
            <w:pPr>
              <w:pBdr>
                <w:top w:val="nil"/>
                <w:left w:val="nil"/>
                <w:bottom w:val="nil"/>
                <w:right w:val="nil"/>
                <w:between w:val="nil"/>
              </w:pBdr>
              <w:spacing w:line="226" w:lineRule="auto"/>
              <w:ind w:right="57"/>
              <w:jc w:val="right"/>
              <w:rPr>
                <w:b/>
                <w:color w:val="0000FF"/>
              </w:rPr>
            </w:pPr>
            <w:r>
              <w:rPr>
                <w:b/>
                <w:color w:val="0000FF"/>
              </w:rPr>
              <w:t>Impact on equity</w:t>
            </w:r>
          </w:p>
        </w:tc>
      </w:tr>
      <w:tr w:rsidR="008E5DE4" w14:paraId="28690105" w14:textId="77777777">
        <w:tc>
          <w:tcPr>
            <w:tcW w:w="2693" w:type="dxa"/>
          </w:tcPr>
          <w:p w14:paraId="41A6E0E2" w14:textId="77777777" w:rsidR="008E5DE4" w:rsidRDefault="008E5DE4">
            <w:pPr>
              <w:pBdr>
                <w:top w:val="nil"/>
                <w:left w:val="nil"/>
                <w:bottom w:val="nil"/>
                <w:right w:val="nil"/>
                <w:between w:val="nil"/>
              </w:pBdr>
              <w:ind w:left="85" w:hanging="85"/>
              <w:rPr>
                <w:color w:val="0000FF"/>
              </w:rPr>
            </w:pPr>
          </w:p>
        </w:tc>
        <w:tc>
          <w:tcPr>
            <w:tcW w:w="1558" w:type="dxa"/>
          </w:tcPr>
          <w:p w14:paraId="3A0E159E" w14:textId="77777777" w:rsidR="008E5DE4" w:rsidRDefault="008E5DE4">
            <w:pPr>
              <w:pBdr>
                <w:top w:val="nil"/>
                <w:left w:val="nil"/>
                <w:bottom w:val="nil"/>
                <w:right w:val="nil"/>
                <w:between w:val="nil"/>
              </w:pBdr>
              <w:ind w:right="-56"/>
              <w:rPr>
                <w:color w:val="0000FF"/>
              </w:rPr>
            </w:pPr>
          </w:p>
        </w:tc>
        <w:tc>
          <w:tcPr>
            <w:tcW w:w="1700" w:type="dxa"/>
          </w:tcPr>
          <w:p w14:paraId="49602E3B" w14:textId="77777777" w:rsidR="008E5DE4" w:rsidRDefault="008E5DE4">
            <w:pPr>
              <w:pBdr>
                <w:top w:val="nil"/>
                <w:left w:val="nil"/>
                <w:bottom w:val="nil"/>
                <w:right w:val="nil"/>
                <w:between w:val="nil"/>
              </w:pBdr>
              <w:ind w:right="-56"/>
              <w:rPr>
                <w:color w:val="0000FF"/>
              </w:rPr>
            </w:pPr>
          </w:p>
        </w:tc>
        <w:tc>
          <w:tcPr>
            <w:tcW w:w="141" w:type="dxa"/>
          </w:tcPr>
          <w:p w14:paraId="09DA737D" w14:textId="77777777" w:rsidR="008E5DE4" w:rsidRDefault="008E5DE4">
            <w:pPr>
              <w:pBdr>
                <w:top w:val="nil"/>
                <w:left w:val="nil"/>
                <w:bottom w:val="nil"/>
                <w:right w:val="nil"/>
                <w:between w:val="nil"/>
              </w:pBdr>
              <w:ind w:right="-56"/>
              <w:rPr>
                <w:color w:val="0000FF"/>
              </w:rPr>
            </w:pPr>
          </w:p>
        </w:tc>
        <w:tc>
          <w:tcPr>
            <w:tcW w:w="1559" w:type="dxa"/>
          </w:tcPr>
          <w:p w14:paraId="1C8D4506"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729DBD03" w14:textId="77777777" w:rsidR="008E5DE4" w:rsidRDefault="008E5DE4">
            <w:pPr>
              <w:pBdr>
                <w:top w:val="nil"/>
                <w:left w:val="nil"/>
                <w:bottom w:val="nil"/>
                <w:right w:val="nil"/>
                <w:between w:val="nil"/>
              </w:pBdr>
              <w:ind w:right="-56"/>
              <w:rPr>
                <w:color w:val="0000FF"/>
              </w:rPr>
            </w:pPr>
          </w:p>
        </w:tc>
      </w:tr>
      <w:tr w:rsidR="008E5DE4" w14:paraId="06E1D4E9" w14:textId="77777777">
        <w:tc>
          <w:tcPr>
            <w:tcW w:w="2693" w:type="dxa"/>
          </w:tcPr>
          <w:p w14:paraId="5F58EA11" w14:textId="020BA980" w:rsidR="008E5DE4" w:rsidRDefault="00780368">
            <w:pPr>
              <w:pBdr>
                <w:top w:val="nil"/>
                <w:left w:val="nil"/>
                <w:bottom w:val="nil"/>
                <w:right w:val="nil"/>
                <w:between w:val="nil"/>
              </w:pBdr>
              <w:ind w:left="170" w:hanging="170"/>
              <w:rPr>
                <w:color w:val="0000FF"/>
              </w:rPr>
            </w:pPr>
            <w:r>
              <w:rPr>
                <w:color w:val="0000FF"/>
              </w:rPr>
              <w:t>US Dollar strengthening by 20% (</w:t>
            </w:r>
            <w:r w:rsidR="00A46633">
              <w:rPr>
                <w:color w:val="0000FF"/>
              </w:rPr>
              <w:t>2024</w:t>
            </w:r>
            <w:r>
              <w:rPr>
                <w:color w:val="0000FF"/>
              </w:rPr>
              <w:t>: by [</w:t>
            </w:r>
            <w:proofErr w:type="gramStart"/>
            <w:r>
              <w:rPr>
                <w:color w:val="0000FF"/>
              </w:rPr>
              <w:t>20]%</w:t>
            </w:r>
            <w:proofErr w:type="gramEnd"/>
            <w:r>
              <w:rPr>
                <w:color w:val="0000FF"/>
              </w:rPr>
              <w:t>)</w:t>
            </w:r>
          </w:p>
        </w:tc>
        <w:tc>
          <w:tcPr>
            <w:tcW w:w="1558" w:type="dxa"/>
          </w:tcPr>
          <w:p w14:paraId="7118726D" w14:textId="77777777" w:rsidR="008E5DE4" w:rsidRDefault="008E5DE4">
            <w:pPr>
              <w:pBdr>
                <w:top w:val="nil"/>
                <w:left w:val="nil"/>
                <w:bottom w:val="nil"/>
                <w:right w:val="nil"/>
                <w:between w:val="nil"/>
              </w:pBdr>
              <w:ind w:right="-56"/>
              <w:rPr>
                <w:color w:val="0000FF"/>
              </w:rPr>
            </w:pPr>
          </w:p>
        </w:tc>
        <w:tc>
          <w:tcPr>
            <w:tcW w:w="1700" w:type="dxa"/>
          </w:tcPr>
          <w:p w14:paraId="51EAC126" w14:textId="77777777" w:rsidR="008E5DE4" w:rsidRDefault="008E5DE4">
            <w:pPr>
              <w:pBdr>
                <w:top w:val="nil"/>
                <w:left w:val="nil"/>
                <w:bottom w:val="nil"/>
                <w:right w:val="nil"/>
                <w:between w:val="nil"/>
              </w:pBdr>
              <w:ind w:right="-56"/>
              <w:rPr>
                <w:color w:val="0000FF"/>
              </w:rPr>
            </w:pPr>
          </w:p>
        </w:tc>
        <w:tc>
          <w:tcPr>
            <w:tcW w:w="141" w:type="dxa"/>
          </w:tcPr>
          <w:p w14:paraId="3600AAE4" w14:textId="77777777" w:rsidR="008E5DE4" w:rsidRDefault="008E5DE4">
            <w:pPr>
              <w:pBdr>
                <w:top w:val="nil"/>
                <w:left w:val="nil"/>
                <w:bottom w:val="nil"/>
                <w:right w:val="nil"/>
                <w:between w:val="nil"/>
              </w:pBdr>
              <w:ind w:right="-56"/>
              <w:rPr>
                <w:color w:val="0000FF"/>
              </w:rPr>
            </w:pPr>
          </w:p>
        </w:tc>
        <w:tc>
          <w:tcPr>
            <w:tcW w:w="1559" w:type="dxa"/>
          </w:tcPr>
          <w:p w14:paraId="52A8CFBC"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31363025" w14:textId="77777777" w:rsidR="008E5DE4" w:rsidRDefault="008E5DE4">
            <w:pPr>
              <w:pBdr>
                <w:top w:val="nil"/>
                <w:left w:val="nil"/>
                <w:bottom w:val="nil"/>
                <w:right w:val="nil"/>
                <w:between w:val="nil"/>
              </w:pBdr>
              <w:ind w:right="-56"/>
              <w:rPr>
                <w:color w:val="0000FF"/>
              </w:rPr>
            </w:pPr>
          </w:p>
        </w:tc>
      </w:tr>
      <w:tr w:rsidR="008E5DE4" w14:paraId="51B2BFCF" w14:textId="77777777">
        <w:tc>
          <w:tcPr>
            <w:tcW w:w="2693" w:type="dxa"/>
          </w:tcPr>
          <w:p w14:paraId="20B19D7A" w14:textId="7D7EA8FC" w:rsidR="008E5DE4" w:rsidRDefault="00780368">
            <w:pPr>
              <w:pBdr>
                <w:top w:val="nil"/>
                <w:left w:val="nil"/>
                <w:bottom w:val="nil"/>
                <w:right w:val="nil"/>
                <w:between w:val="nil"/>
              </w:pBdr>
              <w:ind w:left="170" w:hanging="170"/>
              <w:rPr>
                <w:color w:val="0000FF"/>
              </w:rPr>
            </w:pPr>
            <w:r>
              <w:rPr>
                <w:color w:val="0000FF"/>
              </w:rPr>
              <w:t>US Dollar weakening by 20% (</w:t>
            </w:r>
            <w:r w:rsidR="00A46633">
              <w:rPr>
                <w:color w:val="0000FF"/>
              </w:rPr>
              <w:t>2024</w:t>
            </w:r>
            <w:r>
              <w:rPr>
                <w:color w:val="0000FF"/>
              </w:rPr>
              <w:t>: by [</w:t>
            </w:r>
            <w:proofErr w:type="gramStart"/>
            <w:r>
              <w:rPr>
                <w:color w:val="0000FF"/>
              </w:rPr>
              <w:t>20]%</w:t>
            </w:r>
            <w:proofErr w:type="gramEnd"/>
            <w:r>
              <w:rPr>
                <w:color w:val="0000FF"/>
              </w:rPr>
              <w:t>)</w:t>
            </w:r>
          </w:p>
        </w:tc>
        <w:tc>
          <w:tcPr>
            <w:tcW w:w="1558" w:type="dxa"/>
          </w:tcPr>
          <w:p w14:paraId="58F318F3" w14:textId="77777777" w:rsidR="008E5DE4" w:rsidRDefault="008E5DE4">
            <w:pPr>
              <w:pBdr>
                <w:top w:val="nil"/>
                <w:left w:val="nil"/>
                <w:bottom w:val="nil"/>
                <w:right w:val="nil"/>
                <w:between w:val="nil"/>
              </w:pBdr>
              <w:ind w:right="-56"/>
              <w:rPr>
                <w:color w:val="0000FF"/>
              </w:rPr>
            </w:pPr>
          </w:p>
        </w:tc>
        <w:tc>
          <w:tcPr>
            <w:tcW w:w="1700" w:type="dxa"/>
          </w:tcPr>
          <w:p w14:paraId="011114FF" w14:textId="77777777" w:rsidR="008E5DE4" w:rsidRDefault="008E5DE4">
            <w:pPr>
              <w:pBdr>
                <w:top w:val="nil"/>
                <w:left w:val="nil"/>
                <w:bottom w:val="nil"/>
                <w:right w:val="nil"/>
                <w:between w:val="nil"/>
              </w:pBdr>
              <w:ind w:right="-56"/>
              <w:rPr>
                <w:color w:val="0000FF"/>
              </w:rPr>
            </w:pPr>
          </w:p>
        </w:tc>
        <w:tc>
          <w:tcPr>
            <w:tcW w:w="141" w:type="dxa"/>
          </w:tcPr>
          <w:p w14:paraId="075F31A3" w14:textId="77777777" w:rsidR="008E5DE4" w:rsidRDefault="008E5DE4">
            <w:pPr>
              <w:pBdr>
                <w:top w:val="nil"/>
                <w:left w:val="nil"/>
                <w:bottom w:val="nil"/>
                <w:right w:val="nil"/>
                <w:between w:val="nil"/>
              </w:pBdr>
              <w:ind w:right="-56"/>
              <w:rPr>
                <w:color w:val="0000FF"/>
              </w:rPr>
            </w:pPr>
          </w:p>
        </w:tc>
        <w:tc>
          <w:tcPr>
            <w:tcW w:w="1559" w:type="dxa"/>
          </w:tcPr>
          <w:p w14:paraId="69FFFA21"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1C2BA702" w14:textId="77777777" w:rsidR="008E5DE4" w:rsidRDefault="008E5DE4">
            <w:pPr>
              <w:pBdr>
                <w:top w:val="nil"/>
                <w:left w:val="nil"/>
                <w:bottom w:val="nil"/>
                <w:right w:val="nil"/>
                <w:between w:val="nil"/>
              </w:pBdr>
              <w:ind w:right="-56"/>
              <w:rPr>
                <w:color w:val="0000FF"/>
              </w:rPr>
            </w:pPr>
          </w:p>
        </w:tc>
      </w:tr>
      <w:tr w:rsidR="008E5DE4" w14:paraId="40440686" w14:textId="77777777">
        <w:tc>
          <w:tcPr>
            <w:tcW w:w="2693" w:type="dxa"/>
          </w:tcPr>
          <w:p w14:paraId="517537FF" w14:textId="67BB99DB" w:rsidR="008E5DE4" w:rsidRDefault="00780368">
            <w:pPr>
              <w:pBdr>
                <w:top w:val="nil"/>
                <w:left w:val="nil"/>
                <w:bottom w:val="nil"/>
                <w:right w:val="nil"/>
                <w:between w:val="nil"/>
              </w:pBdr>
              <w:ind w:left="170" w:hanging="170"/>
              <w:rPr>
                <w:color w:val="0000FF"/>
              </w:rPr>
            </w:pPr>
            <w:r>
              <w:rPr>
                <w:color w:val="0000FF"/>
              </w:rPr>
              <w:t>EUR strengthening by 20% (</w:t>
            </w:r>
            <w:r w:rsidR="00A46633">
              <w:rPr>
                <w:color w:val="0000FF"/>
              </w:rPr>
              <w:t>2024</w:t>
            </w:r>
            <w:r>
              <w:rPr>
                <w:color w:val="0000FF"/>
              </w:rPr>
              <w:t>: by [</w:t>
            </w:r>
            <w:proofErr w:type="gramStart"/>
            <w:r>
              <w:rPr>
                <w:color w:val="0000FF"/>
              </w:rPr>
              <w:t>20]%</w:t>
            </w:r>
            <w:proofErr w:type="gramEnd"/>
            <w:r>
              <w:rPr>
                <w:color w:val="0000FF"/>
              </w:rPr>
              <w:t>)</w:t>
            </w:r>
          </w:p>
        </w:tc>
        <w:tc>
          <w:tcPr>
            <w:tcW w:w="1558" w:type="dxa"/>
          </w:tcPr>
          <w:p w14:paraId="18F21CA3" w14:textId="77777777" w:rsidR="008E5DE4" w:rsidRDefault="008E5DE4">
            <w:pPr>
              <w:pBdr>
                <w:top w:val="nil"/>
                <w:left w:val="nil"/>
                <w:bottom w:val="nil"/>
                <w:right w:val="nil"/>
                <w:between w:val="nil"/>
              </w:pBdr>
              <w:ind w:right="-56"/>
              <w:rPr>
                <w:color w:val="0000FF"/>
              </w:rPr>
            </w:pPr>
          </w:p>
        </w:tc>
        <w:tc>
          <w:tcPr>
            <w:tcW w:w="1700" w:type="dxa"/>
          </w:tcPr>
          <w:p w14:paraId="1B415B61" w14:textId="77777777" w:rsidR="008E5DE4" w:rsidRDefault="008E5DE4">
            <w:pPr>
              <w:pBdr>
                <w:top w:val="nil"/>
                <w:left w:val="nil"/>
                <w:bottom w:val="nil"/>
                <w:right w:val="nil"/>
                <w:between w:val="nil"/>
              </w:pBdr>
              <w:ind w:right="-56"/>
              <w:rPr>
                <w:color w:val="0000FF"/>
              </w:rPr>
            </w:pPr>
          </w:p>
        </w:tc>
        <w:tc>
          <w:tcPr>
            <w:tcW w:w="141" w:type="dxa"/>
          </w:tcPr>
          <w:p w14:paraId="355B5AA0" w14:textId="77777777" w:rsidR="008E5DE4" w:rsidRDefault="008E5DE4">
            <w:pPr>
              <w:pBdr>
                <w:top w:val="nil"/>
                <w:left w:val="nil"/>
                <w:bottom w:val="nil"/>
                <w:right w:val="nil"/>
                <w:between w:val="nil"/>
              </w:pBdr>
              <w:ind w:right="-56"/>
              <w:rPr>
                <w:color w:val="0000FF"/>
              </w:rPr>
            </w:pPr>
          </w:p>
        </w:tc>
        <w:tc>
          <w:tcPr>
            <w:tcW w:w="1559" w:type="dxa"/>
          </w:tcPr>
          <w:p w14:paraId="0CB0836B"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6AAE6ACC" w14:textId="77777777" w:rsidR="008E5DE4" w:rsidRDefault="008E5DE4">
            <w:pPr>
              <w:pBdr>
                <w:top w:val="nil"/>
                <w:left w:val="nil"/>
                <w:bottom w:val="nil"/>
                <w:right w:val="nil"/>
                <w:between w:val="nil"/>
              </w:pBdr>
              <w:ind w:right="-56"/>
              <w:rPr>
                <w:color w:val="0000FF"/>
              </w:rPr>
            </w:pPr>
          </w:p>
        </w:tc>
      </w:tr>
      <w:tr w:rsidR="008E5DE4" w14:paraId="26863E32" w14:textId="77777777">
        <w:tc>
          <w:tcPr>
            <w:tcW w:w="2693" w:type="dxa"/>
          </w:tcPr>
          <w:p w14:paraId="0CBB2A89" w14:textId="60E15AD6" w:rsidR="008E5DE4" w:rsidRDefault="00780368">
            <w:pPr>
              <w:pBdr>
                <w:top w:val="nil"/>
                <w:left w:val="nil"/>
                <w:bottom w:val="nil"/>
                <w:right w:val="nil"/>
                <w:between w:val="nil"/>
              </w:pBdr>
              <w:ind w:left="170" w:hanging="170"/>
              <w:rPr>
                <w:color w:val="0000FF"/>
              </w:rPr>
            </w:pPr>
            <w:r>
              <w:rPr>
                <w:color w:val="0000FF"/>
              </w:rPr>
              <w:t>EUR weakening by 20% (</w:t>
            </w:r>
            <w:r w:rsidR="00A46633">
              <w:rPr>
                <w:color w:val="0000FF"/>
              </w:rPr>
              <w:t>2024</w:t>
            </w:r>
            <w:r>
              <w:rPr>
                <w:color w:val="0000FF"/>
              </w:rPr>
              <w:t>: by [</w:t>
            </w:r>
            <w:proofErr w:type="gramStart"/>
            <w:r>
              <w:rPr>
                <w:color w:val="0000FF"/>
              </w:rPr>
              <w:t>30]%</w:t>
            </w:r>
            <w:proofErr w:type="gramEnd"/>
            <w:r>
              <w:rPr>
                <w:color w:val="0000FF"/>
              </w:rPr>
              <w:t>)</w:t>
            </w:r>
          </w:p>
        </w:tc>
        <w:tc>
          <w:tcPr>
            <w:tcW w:w="1558" w:type="dxa"/>
          </w:tcPr>
          <w:p w14:paraId="035B73CF" w14:textId="77777777" w:rsidR="008E5DE4" w:rsidRDefault="008E5DE4">
            <w:pPr>
              <w:pBdr>
                <w:top w:val="nil"/>
                <w:left w:val="nil"/>
                <w:bottom w:val="nil"/>
                <w:right w:val="nil"/>
                <w:between w:val="nil"/>
              </w:pBdr>
              <w:ind w:right="-56"/>
              <w:rPr>
                <w:color w:val="0000FF"/>
              </w:rPr>
            </w:pPr>
          </w:p>
        </w:tc>
        <w:tc>
          <w:tcPr>
            <w:tcW w:w="1700" w:type="dxa"/>
          </w:tcPr>
          <w:p w14:paraId="66767BDA" w14:textId="77777777" w:rsidR="008E5DE4" w:rsidRDefault="008E5DE4">
            <w:pPr>
              <w:pBdr>
                <w:top w:val="nil"/>
                <w:left w:val="nil"/>
                <w:bottom w:val="nil"/>
                <w:right w:val="nil"/>
                <w:between w:val="nil"/>
              </w:pBdr>
              <w:ind w:right="-56"/>
              <w:rPr>
                <w:color w:val="0000FF"/>
              </w:rPr>
            </w:pPr>
          </w:p>
        </w:tc>
        <w:tc>
          <w:tcPr>
            <w:tcW w:w="141" w:type="dxa"/>
          </w:tcPr>
          <w:p w14:paraId="6A7A481D" w14:textId="77777777" w:rsidR="008E5DE4" w:rsidRDefault="008E5DE4">
            <w:pPr>
              <w:pBdr>
                <w:top w:val="nil"/>
                <w:left w:val="nil"/>
                <w:bottom w:val="nil"/>
                <w:right w:val="nil"/>
                <w:between w:val="nil"/>
              </w:pBdr>
              <w:ind w:right="-56"/>
              <w:rPr>
                <w:color w:val="0000FF"/>
              </w:rPr>
            </w:pPr>
          </w:p>
        </w:tc>
        <w:tc>
          <w:tcPr>
            <w:tcW w:w="1559" w:type="dxa"/>
          </w:tcPr>
          <w:p w14:paraId="702D6C48"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199FE7A4" w14:textId="77777777" w:rsidR="008E5DE4" w:rsidRDefault="008E5DE4">
            <w:pPr>
              <w:pBdr>
                <w:top w:val="nil"/>
                <w:left w:val="nil"/>
                <w:bottom w:val="nil"/>
                <w:right w:val="nil"/>
                <w:between w:val="nil"/>
              </w:pBdr>
              <w:ind w:right="-56"/>
              <w:rPr>
                <w:color w:val="0000FF"/>
              </w:rPr>
            </w:pPr>
          </w:p>
        </w:tc>
      </w:tr>
      <w:tr w:rsidR="008E5DE4" w14:paraId="1F9671FD" w14:textId="77777777">
        <w:tc>
          <w:tcPr>
            <w:tcW w:w="2693" w:type="dxa"/>
          </w:tcPr>
          <w:p w14:paraId="070CBFD0" w14:textId="4104F1C2" w:rsidR="008E5DE4" w:rsidRDefault="00780368">
            <w:pPr>
              <w:pBdr>
                <w:top w:val="nil"/>
                <w:left w:val="nil"/>
                <w:bottom w:val="nil"/>
                <w:right w:val="nil"/>
                <w:between w:val="nil"/>
              </w:pBdr>
              <w:ind w:left="170" w:hanging="170"/>
              <w:rPr>
                <w:color w:val="0000FF"/>
              </w:rPr>
            </w:pPr>
            <w:r>
              <w:rPr>
                <w:color w:val="0000FF"/>
              </w:rPr>
              <w:t>Ukrainian Hryvnia strengthening by 20% (</w:t>
            </w:r>
            <w:r w:rsidR="00A46633">
              <w:rPr>
                <w:color w:val="0000FF"/>
              </w:rPr>
              <w:t>2024</w:t>
            </w:r>
            <w:r>
              <w:rPr>
                <w:color w:val="0000FF"/>
              </w:rPr>
              <w:t>: by [_</w:t>
            </w:r>
            <w:proofErr w:type="gramStart"/>
            <w:r>
              <w:rPr>
                <w:color w:val="0000FF"/>
              </w:rPr>
              <w:t>_]%</w:t>
            </w:r>
            <w:proofErr w:type="gramEnd"/>
            <w:r>
              <w:rPr>
                <w:color w:val="0000FF"/>
              </w:rPr>
              <w:t>)</w:t>
            </w:r>
          </w:p>
        </w:tc>
        <w:tc>
          <w:tcPr>
            <w:tcW w:w="1558" w:type="dxa"/>
          </w:tcPr>
          <w:p w14:paraId="0F273228" w14:textId="77777777" w:rsidR="008E5DE4" w:rsidRDefault="008E5DE4">
            <w:pPr>
              <w:pBdr>
                <w:top w:val="nil"/>
                <w:left w:val="nil"/>
                <w:bottom w:val="nil"/>
                <w:right w:val="nil"/>
                <w:between w:val="nil"/>
              </w:pBdr>
              <w:ind w:right="-56"/>
              <w:rPr>
                <w:color w:val="0000FF"/>
              </w:rPr>
            </w:pPr>
          </w:p>
        </w:tc>
        <w:tc>
          <w:tcPr>
            <w:tcW w:w="1700" w:type="dxa"/>
          </w:tcPr>
          <w:p w14:paraId="6DBBE6B8" w14:textId="77777777" w:rsidR="008E5DE4" w:rsidRDefault="008E5DE4">
            <w:pPr>
              <w:pBdr>
                <w:top w:val="nil"/>
                <w:left w:val="nil"/>
                <w:bottom w:val="nil"/>
                <w:right w:val="nil"/>
                <w:between w:val="nil"/>
              </w:pBdr>
              <w:ind w:right="-56"/>
              <w:rPr>
                <w:color w:val="0000FF"/>
              </w:rPr>
            </w:pPr>
          </w:p>
        </w:tc>
        <w:tc>
          <w:tcPr>
            <w:tcW w:w="141" w:type="dxa"/>
          </w:tcPr>
          <w:p w14:paraId="5C8F17E7" w14:textId="77777777" w:rsidR="008E5DE4" w:rsidRDefault="008E5DE4">
            <w:pPr>
              <w:pBdr>
                <w:top w:val="nil"/>
                <w:left w:val="nil"/>
                <w:bottom w:val="nil"/>
                <w:right w:val="nil"/>
                <w:between w:val="nil"/>
              </w:pBdr>
              <w:ind w:right="-56"/>
              <w:rPr>
                <w:color w:val="0000FF"/>
              </w:rPr>
            </w:pPr>
          </w:p>
        </w:tc>
        <w:tc>
          <w:tcPr>
            <w:tcW w:w="1559" w:type="dxa"/>
          </w:tcPr>
          <w:p w14:paraId="7894EAE1"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0403C482" w14:textId="77777777" w:rsidR="008E5DE4" w:rsidRDefault="008E5DE4">
            <w:pPr>
              <w:pBdr>
                <w:top w:val="nil"/>
                <w:left w:val="nil"/>
                <w:bottom w:val="nil"/>
                <w:right w:val="nil"/>
                <w:between w:val="nil"/>
              </w:pBdr>
              <w:ind w:right="-56"/>
              <w:rPr>
                <w:color w:val="0000FF"/>
              </w:rPr>
            </w:pPr>
          </w:p>
        </w:tc>
      </w:tr>
      <w:tr w:rsidR="008E5DE4" w14:paraId="58399E7C" w14:textId="77777777">
        <w:tc>
          <w:tcPr>
            <w:tcW w:w="2693" w:type="dxa"/>
          </w:tcPr>
          <w:p w14:paraId="699FCAAE" w14:textId="35CD9738" w:rsidR="008E5DE4" w:rsidRDefault="00780368">
            <w:pPr>
              <w:pBdr>
                <w:top w:val="nil"/>
                <w:left w:val="nil"/>
                <w:bottom w:val="nil"/>
                <w:right w:val="nil"/>
                <w:between w:val="nil"/>
              </w:pBdr>
              <w:ind w:left="170" w:hanging="170"/>
              <w:rPr>
                <w:color w:val="0000FF"/>
              </w:rPr>
            </w:pPr>
            <w:r>
              <w:rPr>
                <w:color w:val="0000FF"/>
              </w:rPr>
              <w:t>Ukrainian Hryvnia weakening by 20% (</w:t>
            </w:r>
            <w:r w:rsidR="00A46633">
              <w:rPr>
                <w:color w:val="0000FF"/>
              </w:rPr>
              <w:t>2024</w:t>
            </w:r>
            <w:r>
              <w:rPr>
                <w:color w:val="0000FF"/>
              </w:rPr>
              <w:t>: by [_</w:t>
            </w:r>
            <w:proofErr w:type="gramStart"/>
            <w:r>
              <w:rPr>
                <w:color w:val="0000FF"/>
              </w:rPr>
              <w:t>_]%</w:t>
            </w:r>
            <w:proofErr w:type="gramEnd"/>
            <w:r>
              <w:rPr>
                <w:color w:val="0000FF"/>
              </w:rPr>
              <w:t>)</w:t>
            </w:r>
          </w:p>
        </w:tc>
        <w:tc>
          <w:tcPr>
            <w:tcW w:w="1558" w:type="dxa"/>
          </w:tcPr>
          <w:p w14:paraId="322F51E6" w14:textId="77777777" w:rsidR="008E5DE4" w:rsidRDefault="008E5DE4">
            <w:pPr>
              <w:pBdr>
                <w:top w:val="nil"/>
                <w:left w:val="nil"/>
                <w:bottom w:val="nil"/>
                <w:right w:val="nil"/>
                <w:between w:val="nil"/>
              </w:pBdr>
              <w:ind w:right="-56"/>
              <w:rPr>
                <w:color w:val="0000FF"/>
              </w:rPr>
            </w:pPr>
          </w:p>
        </w:tc>
        <w:tc>
          <w:tcPr>
            <w:tcW w:w="1700" w:type="dxa"/>
          </w:tcPr>
          <w:p w14:paraId="5C65B27B" w14:textId="77777777" w:rsidR="008E5DE4" w:rsidRDefault="008E5DE4">
            <w:pPr>
              <w:pBdr>
                <w:top w:val="nil"/>
                <w:left w:val="nil"/>
                <w:bottom w:val="nil"/>
                <w:right w:val="nil"/>
                <w:between w:val="nil"/>
              </w:pBdr>
              <w:ind w:right="-56"/>
              <w:rPr>
                <w:color w:val="0000FF"/>
              </w:rPr>
            </w:pPr>
          </w:p>
        </w:tc>
        <w:tc>
          <w:tcPr>
            <w:tcW w:w="141" w:type="dxa"/>
          </w:tcPr>
          <w:p w14:paraId="447CEEED" w14:textId="77777777" w:rsidR="008E5DE4" w:rsidRDefault="008E5DE4">
            <w:pPr>
              <w:pBdr>
                <w:top w:val="nil"/>
                <w:left w:val="nil"/>
                <w:bottom w:val="nil"/>
                <w:right w:val="nil"/>
                <w:between w:val="nil"/>
              </w:pBdr>
              <w:ind w:right="-56"/>
              <w:rPr>
                <w:color w:val="0000FF"/>
              </w:rPr>
            </w:pPr>
          </w:p>
        </w:tc>
        <w:tc>
          <w:tcPr>
            <w:tcW w:w="1559" w:type="dxa"/>
          </w:tcPr>
          <w:p w14:paraId="07E6D690"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3DC20B55" w14:textId="77777777" w:rsidR="008E5DE4" w:rsidRDefault="008E5DE4">
            <w:pPr>
              <w:pBdr>
                <w:top w:val="nil"/>
                <w:left w:val="nil"/>
                <w:bottom w:val="nil"/>
                <w:right w:val="nil"/>
                <w:between w:val="nil"/>
              </w:pBdr>
              <w:ind w:right="-56"/>
              <w:rPr>
                <w:color w:val="0000FF"/>
              </w:rPr>
            </w:pPr>
          </w:p>
        </w:tc>
      </w:tr>
      <w:tr w:rsidR="008E5DE4" w14:paraId="7E074580" w14:textId="77777777">
        <w:tc>
          <w:tcPr>
            <w:tcW w:w="2693" w:type="dxa"/>
          </w:tcPr>
          <w:p w14:paraId="3581D663" w14:textId="44E69FC9" w:rsidR="008E5DE4" w:rsidRDefault="00780368">
            <w:pPr>
              <w:pBdr>
                <w:top w:val="nil"/>
                <w:left w:val="nil"/>
                <w:bottom w:val="nil"/>
                <w:right w:val="nil"/>
                <w:between w:val="nil"/>
              </w:pBdr>
              <w:ind w:left="170" w:hanging="170"/>
              <w:rPr>
                <w:color w:val="0000FF"/>
              </w:rPr>
            </w:pPr>
            <w:r>
              <w:rPr>
                <w:color w:val="0000FF"/>
              </w:rPr>
              <w:t>Other strengthening by 20% (</w:t>
            </w:r>
            <w:r w:rsidR="00A46633">
              <w:rPr>
                <w:color w:val="0000FF"/>
              </w:rPr>
              <w:t>2024</w:t>
            </w:r>
            <w:r>
              <w:rPr>
                <w:color w:val="0000FF"/>
              </w:rPr>
              <w:t>: by [</w:t>
            </w:r>
            <w:proofErr w:type="gramStart"/>
            <w:r>
              <w:rPr>
                <w:color w:val="0000FF"/>
              </w:rPr>
              <w:t>20]%</w:t>
            </w:r>
            <w:proofErr w:type="gramEnd"/>
            <w:r>
              <w:rPr>
                <w:color w:val="0000FF"/>
              </w:rPr>
              <w:t>)</w:t>
            </w:r>
          </w:p>
        </w:tc>
        <w:tc>
          <w:tcPr>
            <w:tcW w:w="1558" w:type="dxa"/>
          </w:tcPr>
          <w:p w14:paraId="510A578D" w14:textId="77777777" w:rsidR="008E5DE4" w:rsidRDefault="008E5DE4">
            <w:pPr>
              <w:pBdr>
                <w:top w:val="nil"/>
                <w:left w:val="nil"/>
                <w:bottom w:val="nil"/>
                <w:right w:val="nil"/>
                <w:between w:val="nil"/>
              </w:pBdr>
              <w:ind w:right="-56"/>
              <w:rPr>
                <w:color w:val="0000FF"/>
              </w:rPr>
            </w:pPr>
          </w:p>
        </w:tc>
        <w:tc>
          <w:tcPr>
            <w:tcW w:w="1700" w:type="dxa"/>
          </w:tcPr>
          <w:p w14:paraId="14CD8FEC" w14:textId="77777777" w:rsidR="008E5DE4" w:rsidRDefault="008E5DE4">
            <w:pPr>
              <w:pBdr>
                <w:top w:val="nil"/>
                <w:left w:val="nil"/>
                <w:bottom w:val="nil"/>
                <w:right w:val="nil"/>
                <w:between w:val="nil"/>
              </w:pBdr>
              <w:ind w:right="-56"/>
              <w:rPr>
                <w:color w:val="0000FF"/>
              </w:rPr>
            </w:pPr>
          </w:p>
        </w:tc>
        <w:tc>
          <w:tcPr>
            <w:tcW w:w="141" w:type="dxa"/>
          </w:tcPr>
          <w:p w14:paraId="2D170017" w14:textId="77777777" w:rsidR="008E5DE4" w:rsidRDefault="008E5DE4">
            <w:pPr>
              <w:pBdr>
                <w:top w:val="nil"/>
                <w:left w:val="nil"/>
                <w:bottom w:val="nil"/>
                <w:right w:val="nil"/>
                <w:between w:val="nil"/>
              </w:pBdr>
              <w:ind w:right="-56"/>
              <w:rPr>
                <w:color w:val="0000FF"/>
              </w:rPr>
            </w:pPr>
          </w:p>
        </w:tc>
        <w:tc>
          <w:tcPr>
            <w:tcW w:w="1559" w:type="dxa"/>
          </w:tcPr>
          <w:p w14:paraId="666B4466"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3C2BF949" w14:textId="77777777" w:rsidR="008E5DE4" w:rsidRDefault="008E5DE4">
            <w:pPr>
              <w:pBdr>
                <w:top w:val="nil"/>
                <w:left w:val="nil"/>
                <w:bottom w:val="nil"/>
                <w:right w:val="nil"/>
                <w:between w:val="nil"/>
              </w:pBdr>
              <w:ind w:right="-56"/>
              <w:rPr>
                <w:color w:val="0000FF"/>
              </w:rPr>
            </w:pPr>
          </w:p>
        </w:tc>
      </w:tr>
      <w:tr w:rsidR="008E5DE4" w14:paraId="68BBFF04" w14:textId="77777777">
        <w:tc>
          <w:tcPr>
            <w:tcW w:w="2693" w:type="dxa"/>
          </w:tcPr>
          <w:p w14:paraId="7802337C" w14:textId="5962E955" w:rsidR="008E5DE4" w:rsidRDefault="00780368">
            <w:pPr>
              <w:pBdr>
                <w:top w:val="nil"/>
                <w:left w:val="nil"/>
                <w:bottom w:val="nil"/>
                <w:right w:val="nil"/>
                <w:between w:val="nil"/>
              </w:pBdr>
              <w:ind w:left="170" w:hanging="170"/>
              <w:rPr>
                <w:color w:val="0000FF"/>
              </w:rPr>
            </w:pPr>
            <w:r>
              <w:rPr>
                <w:color w:val="0000FF"/>
              </w:rPr>
              <w:t>Other weakening by 20% (</w:t>
            </w:r>
            <w:r w:rsidR="00A46633">
              <w:rPr>
                <w:color w:val="0000FF"/>
              </w:rPr>
              <w:t>2024</w:t>
            </w:r>
            <w:r>
              <w:rPr>
                <w:color w:val="0000FF"/>
              </w:rPr>
              <w:t>: by [</w:t>
            </w:r>
            <w:proofErr w:type="gramStart"/>
            <w:r>
              <w:rPr>
                <w:color w:val="0000FF"/>
              </w:rPr>
              <w:t>20]%</w:t>
            </w:r>
            <w:proofErr w:type="gramEnd"/>
            <w:r>
              <w:rPr>
                <w:color w:val="0000FF"/>
              </w:rPr>
              <w:t>)</w:t>
            </w:r>
          </w:p>
        </w:tc>
        <w:tc>
          <w:tcPr>
            <w:tcW w:w="1558" w:type="dxa"/>
          </w:tcPr>
          <w:p w14:paraId="077E2325" w14:textId="77777777" w:rsidR="008E5DE4" w:rsidRDefault="008E5DE4">
            <w:pPr>
              <w:pBdr>
                <w:top w:val="nil"/>
                <w:left w:val="nil"/>
                <w:bottom w:val="nil"/>
                <w:right w:val="nil"/>
                <w:between w:val="nil"/>
              </w:pBdr>
              <w:ind w:right="-56"/>
              <w:rPr>
                <w:color w:val="0000FF"/>
              </w:rPr>
            </w:pPr>
          </w:p>
        </w:tc>
        <w:tc>
          <w:tcPr>
            <w:tcW w:w="1700" w:type="dxa"/>
          </w:tcPr>
          <w:p w14:paraId="0D17091A" w14:textId="77777777" w:rsidR="008E5DE4" w:rsidRDefault="008E5DE4">
            <w:pPr>
              <w:pBdr>
                <w:top w:val="nil"/>
                <w:left w:val="nil"/>
                <w:bottom w:val="nil"/>
                <w:right w:val="nil"/>
                <w:between w:val="nil"/>
              </w:pBdr>
              <w:ind w:right="-56"/>
              <w:rPr>
                <w:color w:val="0000FF"/>
              </w:rPr>
            </w:pPr>
          </w:p>
        </w:tc>
        <w:tc>
          <w:tcPr>
            <w:tcW w:w="141" w:type="dxa"/>
          </w:tcPr>
          <w:p w14:paraId="47C4E8EF" w14:textId="77777777" w:rsidR="008E5DE4" w:rsidRDefault="008E5DE4">
            <w:pPr>
              <w:pBdr>
                <w:top w:val="nil"/>
                <w:left w:val="nil"/>
                <w:bottom w:val="nil"/>
                <w:right w:val="nil"/>
                <w:between w:val="nil"/>
              </w:pBdr>
              <w:ind w:right="-56"/>
              <w:rPr>
                <w:color w:val="0000FF"/>
              </w:rPr>
            </w:pPr>
          </w:p>
        </w:tc>
        <w:tc>
          <w:tcPr>
            <w:tcW w:w="1559" w:type="dxa"/>
          </w:tcPr>
          <w:p w14:paraId="68290565"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08C0D51A" w14:textId="77777777" w:rsidR="008E5DE4" w:rsidRDefault="008E5DE4">
            <w:pPr>
              <w:pBdr>
                <w:top w:val="nil"/>
                <w:left w:val="nil"/>
                <w:bottom w:val="nil"/>
                <w:right w:val="nil"/>
                <w:between w:val="nil"/>
              </w:pBdr>
              <w:ind w:right="-56"/>
              <w:rPr>
                <w:color w:val="0000FF"/>
              </w:rPr>
            </w:pPr>
          </w:p>
        </w:tc>
      </w:tr>
      <w:tr w:rsidR="008E5DE4" w14:paraId="25A5708A" w14:textId="77777777">
        <w:tc>
          <w:tcPr>
            <w:tcW w:w="2693" w:type="dxa"/>
            <w:tcBorders>
              <w:bottom w:val="single" w:sz="4" w:space="0" w:color="000000"/>
            </w:tcBorders>
          </w:tcPr>
          <w:p w14:paraId="0F331B9E" w14:textId="77777777" w:rsidR="008E5DE4" w:rsidRDefault="008E5DE4">
            <w:pPr>
              <w:pBdr>
                <w:top w:val="nil"/>
                <w:left w:val="nil"/>
                <w:bottom w:val="nil"/>
                <w:right w:val="nil"/>
                <w:between w:val="nil"/>
              </w:pBdr>
              <w:ind w:left="85" w:hanging="85"/>
              <w:rPr>
                <w:color w:val="0000FF"/>
              </w:rPr>
            </w:pPr>
          </w:p>
        </w:tc>
        <w:tc>
          <w:tcPr>
            <w:tcW w:w="1558" w:type="dxa"/>
            <w:tcBorders>
              <w:bottom w:val="single" w:sz="4" w:space="0" w:color="000000"/>
            </w:tcBorders>
          </w:tcPr>
          <w:p w14:paraId="36B723BD" w14:textId="77777777" w:rsidR="008E5DE4" w:rsidRDefault="008E5DE4">
            <w:pPr>
              <w:pBdr>
                <w:top w:val="nil"/>
                <w:left w:val="nil"/>
                <w:bottom w:val="nil"/>
                <w:right w:val="nil"/>
                <w:between w:val="nil"/>
              </w:pBdr>
              <w:ind w:right="-56"/>
              <w:rPr>
                <w:color w:val="0000FF"/>
              </w:rPr>
            </w:pPr>
          </w:p>
        </w:tc>
        <w:tc>
          <w:tcPr>
            <w:tcW w:w="1700" w:type="dxa"/>
            <w:tcBorders>
              <w:bottom w:val="single" w:sz="4" w:space="0" w:color="000000"/>
            </w:tcBorders>
          </w:tcPr>
          <w:p w14:paraId="2AE2CB00" w14:textId="77777777" w:rsidR="008E5DE4" w:rsidRDefault="008E5DE4">
            <w:pPr>
              <w:pBdr>
                <w:top w:val="nil"/>
                <w:left w:val="nil"/>
                <w:bottom w:val="nil"/>
                <w:right w:val="nil"/>
                <w:between w:val="nil"/>
              </w:pBdr>
              <w:ind w:right="-56"/>
              <w:rPr>
                <w:color w:val="0000FF"/>
              </w:rPr>
            </w:pPr>
          </w:p>
        </w:tc>
        <w:tc>
          <w:tcPr>
            <w:tcW w:w="141" w:type="dxa"/>
            <w:tcBorders>
              <w:bottom w:val="single" w:sz="4" w:space="0" w:color="000000"/>
            </w:tcBorders>
          </w:tcPr>
          <w:p w14:paraId="59928176" w14:textId="77777777" w:rsidR="008E5DE4" w:rsidRDefault="008E5DE4">
            <w:pPr>
              <w:pBdr>
                <w:top w:val="nil"/>
                <w:left w:val="nil"/>
                <w:bottom w:val="nil"/>
                <w:right w:val="nil"/>
                <w:between w:val="nil"/>
              </w:pBdr>
              <w:ind w:right="-56"/>
              <w:rPr>
                <w:color w:val="0000FF"/>
              </w:rPr>
            </w:pPr>
          </w:p>
        </w:tc>
        <w:tc>
          <w:tcPr>
            <w:tcW w:w="1559" w:type="dxa"/>
            <w:tcBorders>
              <w:bottom w:val="single" w:sz="4" w:space="0" w:color="000000"/>
            </w:tcBorders>
          </w:tcPr>
          <w:p w14:paraId="647D6A20" w14:textId="77777777" w:rsidR="008E5DE4" w:rsidRDefault="008E5DE4">
            <w:pPr>
              <w:pBdr>
                <w:top w:val="nil"/>
                <w:left w:val="nil"/>
                <w:bottom w:val="nil"/>
                <w:right w:val="nil"/>
                <w:between w:val="nil"/>
              </w:pBdr>
              <w:ind w:right="-56"/>
              <w:rPr>
                <w:color w:val="0000FF"/>
              </w:rPr>
            </w:pPr>
          </w:p>
        </w:tc>
        <w:tc>
          <w:tcPr>
            <w:tcW w:w="1705" w:type="dxa"/>
            <w:gridSpan w:val="2"/>
            <w:tcBorders>
              <w:bottom w:val="single" w:sz="4" w:space="0" w:color="000000"/>
            </w:tcBorders>
            <w:vAlign w:val="bottom"/>
          </w:tcPr>
          <w:p w14:paraId="3A5D3ACC" w14:textId="77777777" w:rsidR="008E5DE4" w:rsidRDefault="008E5DE4">
            <w:pPr>
              <w:pBdr>
                <w:top w:val="nil"/>
                <w:left w:val="nil"/>
                <w:bottom w:val="nil"/>
                <w:right w:val="nil"/>
                <w:between w:val="nil"/>
              </w:pBdr>
              <w:ind w:right="-56"/>
              <w:rPr>
                <w:color w:val="0000FF"/>
              </w:rPr>
            </w:pPr>
          </w:p>
        </w:tc>
      </w:tr>
      <w:tr w:rsidR="008E5DE4" w14:paraId="6AEB9640" w14:textId="77777777">
        <w:tc>
          <w:tcPr>
            <w:tcW w:w="2693" w:type="dxa"/>
            <w:tcBorders>
              <w:top w:val="single" w:sz="4" w:space="0" w:color="000000"/>
            </w:tcBorders>
          </w:tcPr>
          <w:p w14:paraId="56DB1C19" w14:textId="77777777" w:rsidR="008E5DE4" w:rsidRDefault="008E5DE4">
            <w:pPr>
              <w:pBdr>
                <w:top w:val="nil"/>
                <w:left w:val="nil"/>
                <w:bottom w:val="nil"/>
                <w:right w:val="nil"/>
                <w:between w:val="nil"/>
              </w:pBdr>
              <w:ind w:left="85" w:hanging="85"/>
              <w:rPr>
                <w:color w:val="0000FF"/>
              </w:rPr>
            </w:pPr>
          </w:p>
        </w:tc>
        <w:tc>
          <w:tcPr>
            <w:tcW w:w="1558" w:type="dxa"/>
            <w:tcBorders>
              <w:top w:val="single" w:sz="4" w:space="0" w:color="000000"/>
            </w:tcBorders>
          </w:tcPr>
          <w:p w14:paraId="2ED1CD3D" w14:textId="77777777" w:rsidR="008E5DE4" w:rsidRDefault="008E5DE4">
            <w:pPr>
              <w:pBdr>
                <w:top w:val="nil"/>
                <w:left w:val="nil"/>
                <w:bottom w:val="nil"/>
                <w:right w:val="nil"/>
                <w:between w:val="nil"/>
              </w:pBdr>
              <w:ind w:right="-56"/>
              <w:rPr>
                <w:color w:val="0000FF"/>
              </w:rPr>
            </w:pPr>
          </w:p>
        </w:tc>
        <w:tc>
          <w:tcPr>
            <w:tcW w:w="1700" w:type="dxa"/>
            <w:tcBorders>
              <w:top w:val="single" w:sz="4" w:space="0" w:color="000000"/>
            </w:tcBorders>
          </w:tcPr>
          <w:p w14:paraId="41BB750D" w14:textId="77777777" w:rsidR="008E5DE4" w:rsidRDefault="008E5DE4">
            <w:pPr>
              <w:pBdr>
                <w:top w:val="nil"/>
                <w:left w:val="nil"/>
                <w:bottom w:val="nil"/>
                <w:right w:val="nil"/>
                <w:between w:val="nil"/>
              </w:pBdr>
              <w:ind w:right="-56"/>
              <w:rPr>
                <w:color w:val="0000FF"/>
              </w:rPr>
            </w:pPr>
          </w:p>
        </w:tc>
        <w:tc>
          <w:tcPr>
            <w:tcW w:w="141" w:type="dxa"/>
            <w:tcBorders>
              <w:top w:val="single" w:sz="4" w:space="0" w:color="000000"/>
            </w:tcBorders>
          </w:tcPr>
          <w:p w14:paraId="4F865009" w14:textId="77777777" w:rsidR="008E5DE4" w:rsidRDefault="008E5DE4">
            <w:pPr>
              <w:pBdr>
                <w:top w:val="nil"/>
                <w:left w:val="nil"/>
                <w:bottom w:val="nil"/>
                <w:right w:val="nil"/>
                <w:between w:val="nil"/>
              </w:pBdr>
              <w:ind w:right="-56"/>
              <w:rPr>
                <w:color w:val="0000FF"/>
              </w:rPr>
            </w:pPr>
          </w:p>
        </w:tc>
        <w:tc>
          <w:tcPr>
            <w:tcW w:w="1559" w:type="dxa"/>
            <w:tcBorders>
              <w:top w:val="single" w:sz="4" w:space="0" w:color="000000"/>
            </w:tcBorders>
          </w:tcPr>
          <w:p w14:paraId="6EB93AB7" w14:textId="77777777" w:rsidR="008E5DE4" w:rsidRDefault="008E5DE4">
            <w:pPr>
              <w:pBdr>
                <w:top w:val="nil"/>
                <w:left w:val="nil"/>
                <w:bottom w:val="nil"/>
                <w:right w:val="nil"/>
                <w:between w:val="nil"/>
              </w:pBdr>
              <w:ind w:right="-56"/>
              <w:rPr>
                <w:color w:val="0000FF"/>
              </w:rPr>
            </w:pPr>
          </w:p>
        </w:tc>
        <w:tc>
          <w:tcPr>
            <w:tcW w:w="1705" w:type="dxa"/>
            <w:gridSpan w:val="2"/>
            <w:tcBorders>
              <w:top w:val="single" w:sz="4" w:space="0" w:color="000000"/>
            </w:tcBorders>
            <w:vAlign w:val="bottom"/>
          </w:tcPr>
          <w:p w14:paraId="530E6954" w14:textId="77777777" w:rsidR="008E5DE4" w:rsidRDefault="008E5DE4">
            <w:pPr>
              <w:pBdr>
                <w:top w:val="nil"/>
                <w:left w:val="nil"/>
                <w:bottom w:val="nil"/>
                <w:right w:val="nil"/>
                <w:between w:val="nil"/>
              </w:pBdr>
              <w:ind w:right="-56"/>
              <w:rPr>
                <w:color w:val="0000FF"/>
              </w:rPr>
            </w:pPr>
          </w:p>
        </w:tc>
      </w:tr>
      <w:tr w:rsidR="008E5DE4" w14:paraId="0B90CEEA" w14:textId="77777777">
        <w:tc>
          <w:tcPr>
            <w:tcW w:w="2693" w:type="dxa"/>
          </w:tcPr>
          <w:p w14:paraId="6AF0142D" w14:textId="77777777" w:rsidR="008E5DE4" w:rsidRDefault="00780368">
            <w:pPr>
              <w:pBdr>
                <w:top w:val="nil"/>
                <w:left w:val="nil"/>
                <w:bottom w:val="nil"/>
                <w:right w:val="nil"/>
                <w:between w:val="nil"/>
              </w:pBdr>
              <w:ind w:left="85" w:hanging="85"/>
              <w:rPr>
                <w:b/>
                <w:color w:val="0000FF"/>
              </w:rPr>
            </w:pPr>
            <w:r>
              <w:rPr>
                <w:b/>
                <w:color w:val="0000FF"/>
              </w:rPr>
              <w:t xml:space="preserve">Total </w:t>
            </w:r>
          </w:p>
        </w:tc>
        <w:tc>
          <w:tcPr>
            <w:tcW w:w="1558" w:type="dxa"/>
          </w:tcPr>
          <w:p w14:paraId="1742F72A" w14:textId="77777777" w:rsidR="008E5DE4" w:rsidRDefault="008E5DE4">
            <w:pPr>
              <w:pBdr>
                <w:top w:val="nil"/>
                <w:left w:val="nil"/>
                <w:bottom w:val="nil"/>
                <w:right w:val="nil"/>
                <w:between w:val="nil"/>
              </w:pBdr>
              <w:ind w:right="-56"/>
              <w:rPr>
                <w:color w:val="0000FF"/>
              </w:rPr>
            </w:pPr>
          </w:p>
        </w:tc>
        <w:tc>
          <w:tcPr>
            <w:tcW w:w="1700" w:type="dxa"/>
          </w:tcPr>
          <w:p w14:paraId="7F10C0A0" w14:textId="77777777" w:rsidR="008E5DE4" w:rsidRDefault="008E5DE4">
            <w:pPr>
              <w:pBdr>
                <w:top w:val="nil"/>
                <w:left w:val="nil"/>
                <w:bottom w:val="nil"/>
                <w:right w:val="nil"/>
                <w:between w:val="nil"/>
              </w:pBdr>
              <w:ind w:right="-56"/>
              <w:rPr>
                <w:color w:val="0000FF"/>
              </w:rPr>
            </w:pPr>
          </w:p>
        </w:tc>
        <w:tc>
          <w:tcPr>
            <w:tcW w:w="141" w:type="dxa"/>
          </w:tcPr>
          <w:p w14:paraId="40BAA712" w14:textId="77777777" w:rsidR="008E5DE4" w:rsidRDefault="008E5DE4">
            <w:pPr>
              <w:pBdr>
                <w:top w:val="nil"/>
                <w:left w:val="nil"/>
                <w:bottom w:val="nil"/>
                <w:right w:val="nil"/>
                <w:between w:val="nil"/>
              </w:pBdr>
              <w:ind w:right="-56"/>
              <w:rPr>
                <w:color w:val="0000FF"/>
              </w:rPr>
            </w:pPr>
          </w:p>
        </w:tc>
        <w:tc>
          <w:tcPr>
            <w:tcW w:w="1559" w:type="dxa"/>
          </w:tcPr>
          <w:p w14:paraId="53A83B93" w14:textId="77777777" w:rsidR="008E5DE4" w:rsidRDefault="008E5DE4">
            <w:pPr>
              <w:pBdr>
                <w:top w:val="nil"/>
                <w:left w:val="nil"/>
                <w:bottom w:val="nil"/>
                <w:right w:val="nil"/>
                <w:between w:val="nil"/>
              </w:pBdr>
              <w:ind w:right="-56"/>
              <w:rPr>
                <w:color w:val="0000FF"/>
              </w:rPr>
            </w:pPr>
          </w:p>
        </w:tc>
        <w:tc>
          <w:tcPr>
            <w:tcW w:w="1705" w:type="dxa"/>
            <w:gridSpan w:val="2"/>
            <w:vAlign w:val="bottom"/>
          </w:tcPr>
          <w:p w14:paraId="78024EAA" w14:textId="77777777" w:rsidR="008E5DE4" w:rsidRDefault="008E5DE4">
            <w:pPr>
              <w:pBdr>
                <w:top w:val="nil"/>
                <w:left w:val="nil"/>
                <w:bottom w:val="nil"/>
                <w:right w:val="nil"/>
                <w:between w:val="nil"/>
              </w:pBdr>
              <w:ind w:right="-56"/>
              <w:rPr>
                <w:color w:val="0000FF"/>
              </w:rPr>
            </w:pPr>
          </w:p>
        </w:tc>
      </w:tr>
      <w:tr w:rsidR="008E5DE4" w14:paraId="3E3771D1" w14:textId="77777777">
        <w:tc>
          <w:tcPr>
            <w:tcW w:w="2693" w:type="dxa"/>
            <w:tcBorders>
              <w:bottom w:val="single" w:sz="12" w:space="0" w:color="000000"/>
            </w:tcBorders>
          </w:tcPr>
          <w:p w14:paraId="4D5EA3ED" w14:textId="77777777" w:rsidR="008E5DE4" w:rsidRDefault="008E5DE4">
            <w:pPr>
              <w:pBdr>
                <w:top w:val="nil"/>
                <w:left w:val="nil"/>
                <w:bottom w:val="nil"/>
                <w:right w:val="nil"/>
                <w:between w:val="nil"/>
              </w:pBdr>
              <w:ind w:left="85" w:hanging="85"/>
              <w:rPr>
                <w:b/>
                <w:color w:val="0000FF"/>
              </w:rPr>
            </w:pPr>
          </w:p>
        </w:tc>
        <w:tc>
          <w:tcPr>
            <w:tcW w:w="1558" w:type="dxa"/>
            <w:tcBorders>
              <w:bottom w:val="single" w:sz="12" w:space="0" w:color="000000"/>
            </w:tcBorders>
          </w:tcPr>
          <w:p w14:paraId="42C3886C" w14:textId="77777777" w:rsidR="008E5DE4" w:rsidRDefault="008E5DE4">
            <w:pPr>
              <w:pBdr>
                <w:top w:val="nil"/>
                <w:left w:val="nil"/>
                <w:bottom w:val="nil"/>
                <w:right w:val="nil"/>
                <w:between w:val="nil"/>
              </w:pBdr>
              <w:ind w:right="-56"/>
              <w:rPr>
                <w:color w:val="0000FF"/>
              </w:rPr>
            </w:pPr>
          </w:p>
        </w:tc>
        <w:tc>
          <w:tcPr>
            <w:tcW w:w="1700" w:type="dxa"/>
            <w:tcBorders>
              <w:bottom w:val="single" w:sz="12" w:space="0" w:color="000000"/>
            </w:tcBorders>
          </w:tcPr>
          <w:p w14:paraId="62558274" w14:textId="77777777" w:rsidR="008E5DE4" w:rsidRDefault="008E5DE4">
            <w:pPr>
              <w:pBdr>
                <w:top w:val="nil"/>
                <w:left w:val="nil"/>
                <w:bottom w:val="nil"/>
                <w:right w:val="nil"/>
                <w:between w:val="nil"/>
              </w:pBdr>
              <w:ind w:right="-56"/>
              <w:rPr>
                <w:color w:val="0000FF"/>
              </w:rPr>
            </w:pPr>
          </w:p>
        </w:tc>
        <w:tc>
          <w:tcPr>
            <w:tcW w:w="141" w:type="dxa"/>
            <w:tcBorders>
              <w:bottom w:val="single" w:sz="12" w:space="0" w:color="000000"/>
            </w:tcBorders>
          </w:tcPr>
          <w:p w14:paraId="057A9993" w14:textId="77777777" w:rsidR="008E5DE4" w:rsidRDefault="008E5DE4">
            <w:pPr>
              <w:pBdr>
                <w:top w:val="nil"/>
                <w:left w:val="nil"/>
                <w:bottom w:val="nil"/>
                <w:right w:val="nil"/>
                <w:between w:val="nil"/>
              </w:pBdr>
              <w:ind w:right="-56"/>
              <w:rPr>
                <w:color w:val="0000FF"/>
              </w:rPr>
            </w:pPr>
          </w:p>
        </w:tc>
        <w:tc>
          <w:tcPr>
            <w:tcW w:w="1559" w:type="dxa"/>
            <w:tcBorders>
              <w:bottom w:val="single" w:sz="12" w:space="0" w:color="000000"/>
            </w:tcBorders>
          </w:tcPr>
          <w:p w14:paraId="4B62526D" w14:textId="77777777" w:rsidR="008E5DE4" w:rsidRDefault="008E5DE4">
            <w:pPr>
              <w:pBdr>
                <w:top w:val="nil"/>
                <w:left w:val="nil"/>
                <w:bottom w:val="nil"/>
                <w:right w:val="nil"/>
                <w:between w:val="nil"/>
              </w:pBdr>
              <w:ind w:right="-56"/>
              <w:rPr>
                <w:color w:val="0000FF"/>
              </w:rPr>
            </w:pPr>
          </w:p>
        </w:tc>
        <w:tc>
          <w:tcPr>
            <w:tcW w:w="1705" w:type="dxa"/>
            <w:gridSpan w:val="2"/>
            <w:tcBorders>
              <w:bottom w:val="single" w:sz="12" w:space="0" w:color="000000"/>
            </w:tcBorders>
            <w:vAlign w:val="bottom"/>
          </w:tcPr>
          <w:p w14:paraId="1600F804" w14:textId="77777777" w:rsidR="008E5DE4" w:rsidRDefault="008E5DE4">
            <w:pPr>
              <w:pBdr>
                <w:top w:val="nil"/>
                <w:left w:val="nil"/>
                <w:bottom w:val="nil"/>
                <w:right w:val="nil"/>
                <w:between w:val="nil"/>
              </w:pBdr>
              <w:ind w:right="-56"/>
              <w:rPr>
                <w:color w:val="0000FF"/>
              </w:rPr>
            </w:pPr>
          </w:p>
        </w:tc>
      </w:tr>
    </w:tbl>
    <w:p w14:paraId="701639E3" w14:textId="77777777" w:rsidR="008E5DE4" w:rsidRDefault="008E5DE4">
      <w:pPr>
        <w:pBdr>
          <w:top w:val="nil"/>
          <w:left w:val="nil"/>
          <w:bottom w:val="nil"/>
          <w:right w:val="nil"/>
          <w:between w:val="nil"/>
        </w:pBdr>
        <w:jc w:val="both"/>
        <w:rPr>
          <w:b/>
          <w:i/>
          <w:color w:val="000000"/>
          <w:sz w:val="20"/>
          <w:szCs w:val="20"/>
        </w:rPr>
      </w:pPr>
    </w:p>
    <w:p w14:paraId="1FB7A6F0"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638C0733" w14:textId="45903A69" w:rsidR="008E5DE4" w:rsidRDefault="00780368">
      <w:pPr>
        <w:pBdr>
          <w:top w:val="nil"/>
          <w:left w:val="nil"/>
          <w:bottom w:val="nil"/>
          <w:right w:val="nil"/>
          <w:between w:val="nil"/>
        </w:pBdr>
        <w:spacing w:after="120"/>
        <w:jc w:val="both"/>
        <w:rPr>
          <w:color w:val="000000"/>
          <w:sz w:val="20"/>
          <w:szCs w:val="20"/>
        </w:rPr>
      </w:pPr>
      <w:r>
        <w:rPr>
          <w:b/>
          <w:i/>
          <w:color w:val="000000"/>
          <w:sz w:val="20"/>
          <w:szCs w:val="20"/>
        </w:rPr>
        <w:t xml:space="preserve">Interest rate risk. </w:t>
      </w:r>
      <w:r>
        <w:rPr>
          <w:color w:val="000000"/>
          <w:sz w:val="20"/>
          <w:szCs w:val="20"/>
        </w:rPr>
        <w:t xml:space="preserve">The Group takes on exposure to the effects of fluctuations in the prevailing levels of market interest rates on its financial position and cash flows. Interest margins may increase </w:t>
      </w:r>
      <w:proofErr w:type="gramStart"/>
      <w:r>
        <w:rPr>
          <w:color w:val="000000"/>
          <w:sz w:val="20"/>
          <w:szCs w:val="20"/>
        </w:rPr>
        <w:t>as a result of</w:t>
      </w:r>
      <w:proofErr w:type="gramEnd"/>
      <w:r>
        <w:rPr>
          <w:color w:val="000000"/>
          <w:sz w:val="20"/>
          <w:szCs w:val="20"/>
        </w:rPr>
        <w:t xml:space="preserve"> such </w:t>
      </w:r>
      <w:proofErr w:type="gramStart"/>
      <w:r>
        <w:rPr>
          <w:color w:val="000000"/>
          <w:sz w:val="20"/>
          <w:szCs w:val="20"/>
        </w:rPr>
        <w:t>changes,</w:t>
      </w:r>
      <w:r w:rsidR="00AD4F80">
        <w:rPr>
          <w:color w:val="000000"/>
          <w:sz w:val="20"/>
          <w:szCs w:val="20"/>
        </w:rPr>
        <w:t xml:space="preserve"> </w:t>
      </w:r>
      <w:r>
        <w:rPr>
          <w:color w:val="000000"/>
          <w:sz w:val="20"/>
          <w:szCs w:val="20"/>
        </w:rPr>
        <w:t>but</w:t>
      </w:r>
      <w:proofErr w:type="gramEnd"/>
      <w:r>
        <w:rPr>
          <w:color w:val="000000"/>
          <w:sz w:val="20"/>
          <w:szCs w:val="20"/>
        </w:rPr>
        <w:t xml:space="preserve"> may reduce or create losses </w:t>
      </w:r>
      <w:proofErr w:type="gramStart"/>
      <w:r>
        <w:rPr>
          <w:color w:val="000000"/>
          <w:sz w:val="20"/>
          <w:szCs w:val="20"/>
        </w:rPr>
        <w:t>in the event that</w:t>
      </w:r>
      <w:proofErr w:type="gramEnd"/>
      <w:r>
        <w:rPr>
          <w:color w:val="000000"/>
          <w:sz w:val="20"/>
          <w:szCs w:val="20"/>
        </w:rPr>
        <w:t xml:space="preserve"> unexpected movements arise. Management monitors </w:t>
      </w:r>
      <w:proofErr w:type="gramStart"/>
      <w:r>
        <w:rPr>
          <w:color w:val="000000"/>
          <w:sz w:val="20"/>
          <w:szCs w:val="20"/>
        </w:rPr>
        <w:t>on a daily basis</w:t>
      </w:r>
      <w:proofErr w:type="gramEnd"/>
      <w:r>
        <w:rPr>
          <w:color w:val="000000"/>
          <w:sz w:val="20"/>
          <w:szCs w:val="20"/>
        </w:rPr>
        <w:t xml:space="preserve"> and sets limits on the level of mismatch of interest rate repricing that may be undertaken. </w:t>
      </w:r>
    </w:p>
    <w:p w14:paraId="3F828B24" w14:textId="77777777" w:rsidR="008E5DE4" w:rsidRDefault="00780368">
      <w:pPr>
        <w:pBdr>
          <w:top w:val="nil"/>
          <w:left w:val="nil"/>
          <w:bottom w:val="nil"/>
          <w:right w:val="nil"/>
          <w:between w:val="nil"/>
        </w:pBdr>
        <w:spacing w:after="120"/>
        <w:jc w:val="both"/>
        <w:rPr>
          <w:color w:val="000000"/>
          <w:sz w:val="20"/>
          <w:szCs w:val="20"/>
        </w:rPr>
      </w:pPr>
      <w:r>
        <w:rPr>
          <w:color w:val="000000"/>
          <w:sz w:val="20"/>
          <w:szCs w:val="20"/>
        </w:rPr>
        <w:t>The table below summarises the Group’s exposure to interest rate risks. The table presents the aggregated amounts of the Group’s financial assets and liabilities at carrying amounts, categorised by the earlier of contractual interest repricing or maturity dates:</w:t>
      </w:r>
    </w:p>
    <w:tbl>
      <w:tblPr>
        <w:tblStyle w:val="afffffffffffff8"/>
        <w:tblW w:w="9356" w:type="dxa"/>
        <w:tblLayout w:type="fixed"/>
        <w:tblLook w:val="0000" w:firstRow="0" w:lastRow="0" w:firstColumn="0" w:lastColumn="0" w:noHBand="0" w:noVBand="0"/>
      </w:tblPr>
      <w:tblGrid>
        <w:gridCol w:w="2800"/>
        <w:gridCol w:w="1092"/>
        <w:gridCol w:w="1093"/>
        <w:gridCol w:w="1093"/>
        <w:gridCol w:w="1092"/>
        <w:gridCol w:w="1093"/>
        <w:gridCol w:w="1093"/>
      </w:tblGrid>
      <w:tr w:rsidR="008E5DE4" w14:paraId="6DEF19C1" w14:textId="77777777">
        <w:tc>
          <w:tcPr>
            <w:tcW w:w="2800" w:type="dxa"/>
            <w:tcBorders>
              <w:bottom w:val="single" w:sz="4" w:space="0" w:color="000000"/>
            </w:tcBorders>
            <w:vAlign w:val="bottom"/>
          </w:tcPr>
          <w:p w14:paraId="0E20AE43" w14:textId="77777777" w:rsidR="008E5DE4" w:rsidRDefault="00780368">
            <w:pPr>
              <w:keepNext/>
              <w:pBdr>
                <w:top w:val="nil"/>
                <w:left w:val="nil"/>
                <w:bottom w:val="nil"/>
                <w:right w:val="nil"/>
                <w:between w:val="nil"/>
              </w:pBdr>
              <w:spacing w:line="228" w:lineRule="auto"/>
              <w:ind w:left="86" w:hanging="86"/>
              <w:rPr>
                <w:b/>
                <w:i/>
                <w:color w:val="000000"/>
              </w:rPr>
            </w:pPr>
            <w:r>
              <w:rPr>
                <w:i/>
                <w:color w:val="000000"/>
              </w:rPr>
              <w:t>In thousands of EUR</w:t>
            </w:r>
          </w:p>
        </w:tc>
        <w:tc>
          <w:tcPr>
            <w:tcW w:w="1092" w:type="dxa"/>
            <w:tcBorders>
              <w:bottom w:val="single" w:sz="4" w:space="0" w:color="000000"/>
            </w:tcBorders>
          </w:tcPr>
          <w:p w14:paraId="16C9ED13" w14:textId="77777777" w:rsidR="008E5DE4" w:rsidRDefault="00780368">
            <w:pPr>
              <w:pBdr>
                <w:top w:val="nil"/>
                <w:left w:val="nil"/>
                <w:bottom w:val="nil"/>
                <w:right w:val="nil"/>
                <w:between w:val="nil"/>
              </w:pBdr>
              <w:spacing w:line="228" w:lineRule="auto"/>
              <w:ind w:right="8"/>
              <w:jc w:val="right"/>
              <w:rPr>
                <w:b/>
                <w:color w:val="000000"/>
              </w:rPr>
            </w:pPr>
            <w:r>
              <w:rPr>
                <w:b/>
                <w:color w:val="000000"/>
              </w:rPr>
              <w:t>Demand and less than 1 month</w:t>
            </w:r>
          </w:p>
        </w:tc>
        <w:tc>
          <w:tcPr>
            <w:tcW w:w="1093" w:type="dxa"/>
            <w:tcBorders>
              <w:bottom w:val="single" w:sz="4" w:space="0" w:color="000000"/>
            </w:tcBorders>
          </w:tcPr>
          <w:p w14:paraId="5B98B63C" w14:textId="77777777" w:rsidR="008E5DE4" w:rsidRDefault="00780368">
            <w:pPr>
              <w:pBdr>
                <w:top w:val="nil"/>
                <w:left w:val="nil"/>
                <w:bottom w:val="nil"/>
                <w:right w:val="nil"/>
                <w:between w:val="nil"/>
              </w:pBdr>
              <w:spacing w:line="228" w:lineRule="auto"/>
              <w:ind w:right="8"/>
              <w:jc w:val="right"/>
              <w:rPr>
                <w:b/>
                <w:color w:val="000000"/>
              </w:rPr>
            </w:pPr>
            <w:r>
              <w:rPr>
                <w:b/>
                <w:color w:val="000000"/>
              </w:rPr>
              <w:t>From 1 to 6 months</w:t>
            </w:r>
          </w:p>
        </w:tc>
        <w:tc>
          <w:tcPr>
            <w:tcW w:w="1093" w:type="dxa"/>
            <w:tcBorders>
              <w:bottom w:val="single" w:sz="4" w:space="0" w:color="000000"/>
            </w:tcBorders>
          </w:tcPr>
          <w:p w14:paraId="0C940ED1" w14:textId="77777777" w:rsidR="008E5DE4" w:rsidRDefault="00780368">
            <w:pPr>
              <w:pBdr>
                <w:top w:val="nil"/>
                <w:left w:val="nil"/>
                <w:bottom w:val="nil"/>
                <w:right w:val="nil"/>
                <w:between w:val="nil"/>
              </w:pBdr>
              <w:spacing w:line="228" w:lineRule="auto"/>
              <w:ind w:right="8"/>
              <w:jc w:val="right"/>
              <w:rPr>
                <w:b/>
                <w:color w:val="000000"/>
              </w:rPr>
            </w:pPr>
            <w:r>
              <w:rPr>
                <w:b/>
                <w:color w:val="000000"/>
              </w:rPr>
              <w:t>From 6 to 12 months</w:t>
            </w:r>
          </w:p>
        </w:tc>
        <w:tc>
          <w:tcPr>
            <w:tcW w:w="1092" w:type="dxa"/>
            <w:tcBorders>
              <w:bottom w:val="single" w:sz="4" w:space="0" w:color="000000"/>
            </w:tcBorders>
          </w:tcPr>
          <w:p w14:paraId="2709146F" w14:textId="77777777" w:rsidR="008E5DE4" w:rsidRDefault="00780368">
            <w:pPr>
              <w:pBdr>
                <w:top w:val="nil"/>
                <w:left w:val="nil"/>
                <w:bottom w:val="nil"/>
                <w:right w:val="nil"/>
                <w:between w:val="nil"/>
              </w:pBdr>
              <w:spacing w:line="228" w:lineRule="auto"/>
              <w:ind w:right="8"/>
              <w:jc w:val="right"/>
              <w:rPr>
                <w:b/>
                <w:color w:val="000000"/>
              </w:rPr>
            </w:pPr>
            <w:r>
              <w:rPr>
                <w:b/>
                <w:color w:val="000000"/>
              </w:rPr>
              <w:t>More than 1 year</w:t>
            </w:r>
          </w:p>
        </w:tc>
        <w:tc>
          <w:tcPr>
            <w:tcW w:w="1093" w:type="dxa"/>
            <w:tcBorders>
              <w:bottom w:val="single" w:sz="4" w:space="0" w:color="000000"/>
            </w:tcBorders>
          </w:tcPr>
          <w:p w14:paraId="2261BC1F" w14:textId="77777777" w:rsidR="008E5DE4" w:rsidRDefault="00780368">
            <w:pPr>
              <w:pBdr>
                <w:top w:val="nil"/>
                <w:left w:val="nil"/>
                <w:bottom w:val="nil"/>
                <w:right w:val="nil"/>
                <w:between w:val="nil"/>
              </w:pBdr>
              <w:spacing w:line="228" w:lineRule="auto"/>
              <w:ind w:right="8"/>
              <w:jc w:val="right"/>
              <w:rPr>
                <w:b/>
                <w:color w:val="000000"/>
              </w:rPr>
            </w:pPr>
            <w:r>
              <w:rPr>
                <w:b/>
                <w:color w:val="000000"/>
              </w:rPr>
              <w:t>Non-monetary</w:t>
            </w:r>
          </w:p>
        </w:tc>
        <w:tc>
          <w:tcPr>
            <w:tcW w:w="1093" w:type="dxa"/>
            <w:tcBorders>
              <w:bottom w:val="single" w:sz="4" w:space="0" w:color="000000"/>
            </w:tcBorders>
          </w:tcPr>
          <w:p w14:paraId="1A7AA3EA" w14:textId="77777777" w:rsidR="008E5DE4" w:rsidRDefault="00780368">
            <w:pPr>
              <w:pBdr>
                <w:top w:val="nil"/>
                <w:left w:val="nil"/>
                <w:bottom w:val="nil"/>
                <w:right w:val="nil"/>
                <w:between w:val="nil"/>
              </w:pBdr>
              <w:spacing w:line="228" w:lineRule="auto"/>
              <w:ind w:right="8"/>
              <w:jc w:val="right"/>
              <w:rPr>
                <w:b/>
                <w:color w:val="000000"/>
              </w:rPr>
            </w:pPr>
            <w:r>
              <w:rPr>
                <w:b/>
                <w:color w:val="000000"/>
              </w:rPr>
              <w:t>Total</w:t>
            </w:r>
          </w:p>
        </w:tc>
      </w:tr>
      <w:tr w:rsidR="008E5DE4" w14:paraId="13B4043F" w14:textId="77777777">
        <w:trPr>
          <w:trHeight w:val="198"/>
        </w:trPr>
        <w:tc>
          <w:tcPr>
            <w:tcW w:w="2800" w:type="dxa"/>
            <w:vAlign w:val="bottom"/>
          </w:tcPr>
          <w:p w14:paraId="08BBE17A" w14:textId="77777777" w:rsidR="008E5DE4" w:rsidRDefault="008E5DE4">
            <w:pPr>
              <w:ind w:left="85" w:hanging="85"/>
              <w:rPr>
                <w:b/>
              </w:rPr>
            </w:pPr>
          </w:p>
        </w:tc>
        <w:tc>
          <w:tcPr>
            <w:tcW w:w="1092" w:type="dxa"/>
            <w:vAlign w:val="bottom"/>
          </w:tcPr>
          <w:p w14:paraId="2AC5A936" w14:textId="77777777" w:rsidR="008E5DE4" w:rsidRDefault="008E5DE4">
            <w:pPr>
              <w:pBdr>
                <w:top w:val="nil"/>
                <w:left w:val="nil"/>
                <w:bottom w:val="nil"/>
                <w:right w:val="nil"/>
                <w:between w:val="nil"/>
              </w:pBdr>
              <w:ind w:left="85" w:hanging="85"/>
              <w:rPr>
                <w:color w:val="000000"/>
              </w:rPr>
            </w:pPr>
          </w:p>
        </w:tc>
        <w:tc>
          <w:tcPr>
            <w:tcW w:w="1093" w:type="dxa"/>
            <w:vAlign w:val="bottom"/>
          </w:tcPr>
          <w:p w14:paraId="7BF956AD" w14:textId="77777777" w:rsidR="008E5DE4" w:rsidRDefault="008E5DE4">
            <w:pPr>
              <w:pBdr>
                <w:top w:val="nil"/>
                <w:left w:val="nil"/>
                <w:bottom w:val="nil"/>
                <w:right w:val="nil"/>
                <w:between w:val="nil"/>
              </w:pBdr>
              <w:ind w:left="85" w:hanging="85"/>
              <w:rPr>
                <w:color w:val="000000"/>
              </w:rPr>
            </w:pPr>
          </w:p>
        </w:tc>
        <w:tc>
          <w:tcPr>
            <w:tcW w:w="1093" w:type="dxa"/>
            <w:vAlign w:val="bottom"/>
          </w:tcPr>
          <w:p w14:paraId="277F37CA" w14:textId="77777777" w:rsidR="008E5DE4" w:rsidRDefault="008E5DE4">
            <w:pPr>
              <w:pBdr>
                <w:top w:val="nil"/>
                <w:left w:val="nil"/>
                <w:bottom w:val="nil"/>
                <w:right w:val="nil"/>
                <w:between w:val="nil"/>
              </w:pBdr>
              <w:ind w:left="85" w:hanging="85"/>
              <w:rPr>
                <w:color w:val="000000"/>
              </w:rPr>
            </w:pPr>
          </w:p>
        </w:tc>
        <w:tc>
          <w:tcPr>
            <w:tcW w:w="1092" w:type="dxa"/>
            <w:vAlign w:val="bottom"/>
          </w:tcPr>
          <w:p w14:paraId="568C0D7C" w14:textId="77777777" w:rsidR="008E5DE4" w:rsidRDefault="008E5DE4">
            <w:pPr>
              <w:pBdr>
                <w:top w:val="nil"/>
                <w:left w:val="nil"/>
                <w:bottom w:val="nil"/>
                <w:right w:val="nil"/>
                <w:between w:val="nil"/>
              </w:pBdr>
              <w:ind w:left="85" w:hanging="85"/>
              <w:rPr>
                <w:color w:val="000000"/>
              </w:rPr>
            </w:pPr>
          </w:p>
        </w:tc>
        <w:tc>
          <w:tcPr>
            <w:tcW w:w="1093" w:type="dxa"/>
            <w:vAlign w:val="bottom"/>
          </w:tcPr>
          <w:p w14:paraId="55EE245D" w14:textId="77777777" w:rsidR="008E5DE4" w:rsidRDefault="008E5DE4">
            <w:pPr>
              <w:pBdr>
                <w:top w:val="nil"/>
                <w:left w:val="nil"/>
                <w:bottom w:val="nil"/>
                <w:right w:val="nil"/>
                <w:between w:val="nil"/>
              </w:pBdr>
              <w:ind w:left="85" w:hanging="85"/>
              <w:rPr>
                <w:color w:val="000000"/>
              </w:rPr>
            </w:pPr>
          </w:p>
        </w:tc>
        <w:tc>
          <w:tcPr>
            <w:tcW w:w="1093" w:type="dxa"/>
            <w:vAlign w:val="bottom"/>
          </w:tcPr>
          <w:p w14:paraId="2BF5E737" w14:textId="77777777" w:rsidR="008E5DE4" w:rsidRDefault="008E5DE4">
            <w:pPr>
              <w:pBdr>
                <w:top w:val="nil"/>
                <w:left w:val="nil"/>
                <w:bottom w:val="nil"/>
                <w:right w:val="nil"/>
                <w:between w:val="nil"/>
              </w:pBdr>
              <w:ind w:left="85" w:hanging="85"/>
              <w:rPr>
                <w:color w:val="000000"/>
              </w:rPr>
            </w:pPr>
          </w:p>
        </w:tc>
      </w:tr>
      <w:tr w:rsidR="008E5DE4" w14:paraId="6C88C8A7" w14:textId="77777777">
        <w:trPr>
          <w:trHeight w:val="198"/>
        </w:trPr>
        <w:tc>
          <w:tcPr>
            <w:tcW w:w="2800" w:type="dxa"/>
            <w:vAlign w:val="bottom"/>
          </w:tcPr>
          <w:p w14:paraId="7C13A180" w14:textId="4D31BED3" w:rsidR="008E5DE4" w:rsidRDefault="00780368">
            <w:pPr>
              <w:pBdr>
                <w:top w:val="nil"/>
                <w:left w:val="nil"/>
                <w:bottom w:val="nil"/>
                <w:right w:val="nil"/>
                <w:between w:val="nil"/>
              </w:pBdr>
              <w:ind w:left="85" w:hanging="85"/>
              <w:rPr>
                <w:b/>
                <w:color w:val="000000"/>
              </w:rPr>
            </w:pPr>
            <w:r>
              <w:rPr>
                <w:b/>
                <w:color w:val="000000"/>
              </w:rPr>
              <w:t xml:space="preserve">31 December </w:t>
            </w:r>
            <w:r w:rsidR="008614F8">
              <w:rPr>
                <w:b/>
                <w:color w:val="000000"/>
              </w:rPr>
              <w:t>2025</w:t>
            </w:r>
          </w:p>
        </w:tc>
        <w:tc>
          <w:tcPr>
            <w:tcW w:w="1092" w:type="dxa"/>
            <w:vAlign w:val="bottom"/>
          </w:tcPr>
          <w:p w14:paraId="1827A9AF"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44A54D8E"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149D1628" w14:textId="77777777" w:rsidR="008E5DE4" w:rsidRDefault="008E5DE4">
            <w:pPr>
              <w:pBdr>
                <w:top w:val="nil"/>
                <w:left w:val="nil"/>
                <w:bottom w:val="nil"/>
                <w:right w:val="nil"/>
                <w:between w:val="nil"/>
              </w:pBdr>
              <w:ind w:left="85" w:hanging="85"/>
              <w:rPr>
                <w:b/>
                <w:color w:val="000000"/>
              </w:rPr>
            </w:pPr>
          </w:p>
        </w:tc>
        <w:tc>
          <w:tcPr>
            <w:tcW w:w="1092" w:type="dxa"/>
            <w:vAlign w:val="bottom"/>
          </w:tcPr>
          <w:p w14:paraId="6967C0A4"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4C5631B0"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21BD0C2C" w14:textId="77777777" w:rsidR="008E5DE4" w:rsidRDefault="008E5DE4">
            <w:pPr>
              <w:pBdr>
                <w:top w:val="nil"/>
                <w:left w:val="nil"/>
                <w:bottom w:val="nil"/>
                <w:right w:val="nil"/>
                <w:between w:val="nil"/>
              </w:pBdr>
              <w:ind w:left="85" w:hanging="85"/>
              <w:rPr>
                <w:b/>
                <w:color w:val="000000"/>
              </w:rPr>
            </w:pPr>
          </w:p>
        </w:tc>
      </w:tr>
      <w:tr w:rsidR="008E5DE4" w14:paraId="26705E6F" w14:textId="77777777">
        <w:trPr>
          <w:trHeight w:val="198"/>
        </w:trPr>
        <w:tc>
          <w:tcPr>
            <w:tcW w:w="2800" w:type="dxa"/>
            <w:vAlign w:val="bottom"/>
          </w:tcPr>
          <w:p w14:paraId="5686923F" w14:textId="77777777" w:rsidR="008E5DE4" w:rsidRDefault="00780368">
            <w:pPr>
              <w:pBdr>
                <w:top w:val="nil"/>
                <w:left w:val="nil"/>
                <w:bottom w:val="nil"/>
                <w:right w:val="nil"/>
                <w:between w:val="nil"/>
              </w:pBdr>
              <w:ind w:left="85" w:hanging="85"/>
              <w:rPr>
                <w:color w:val="000000"/>
              </w:rPr>
            </w:pPr>
            <w:r>
              <w:rPr>
                <w:color w:val="000000"/>
              </w:rPr>
              <w:t>Total financial assets</w:t>
            </w:r>
          </w:p>
        </w:tc>
        <w:tc>
          <w:tcPr>
            <w:tcW w:w="1092" w:type="dxa"/>
            <w:vAlign w:val="bottom"/>
          </w:tcPr>
          <w:p w14:paraId="03A5642A"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7B005A99"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57A09A63" w14:textId="77777777" w:rsidR="008E5DE4" w:rsidRDefault="008E5DE4">
            <w:pPr>
              <w:pBdr>
                <w:top w:val="nil"/>
                <w:left w:val="nil"/>
                <w:bottom w:val="nil"/>
                <w:right w:val="nil"/>
                <w:between w:val="nil"/>
              </w:pBdr>
              <w:ind w:left="85" w:hanging="85"/>
              <w:rPr>
                <w:b/>
                <w:color w:val="000000"/>
              </w:rPr>
            </w:pPr>
          </w:p>
        </w:tc>
        <w:tc>
          <w:tcPr>
            <w:tcW w:w="1092" w:type="dxa"/>
            <w:vAlign w:val="bottom"/>
          </w:tcPr>
          <w:p w14:paraId="474FBD14"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59157E6F"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28A03DD2" w14:textId="77777777" w:rsidR="008E5DE4" w:rsidRDefault="008E5DE4">
            <w:pPr>
              <w:pBdr>
                <w:top w:val="nil"/>
                <w:left w:val="nil"/>
                <w:bottom w:val="nil"/>
                <w:right w:val="nil"/>
                <w:between w:val="nil"/>
              </w:pBdr>
              <w:ind w:left="85" w:hanging="85"/>
              <w:rPr>
                <w:b/>
                <w:color w:val="000000"/>
              </w:rPr>
            </w:pPr>
          </w:p>
        </w:tc>
      </w:tr>
      <w:tr w:rsidR="008E5DE4" w14:paraId="5D293FAF" w14:textId="77777777">
        <w:trPr>
          <w:trHeight w:val="198"/>
        </w:trPr>
        <w:tc>
          <w:tcPr>
            <w:tcW w:w="2800" w:type="dxa"/>
            <w:vAlign w:val="bottom"/>
          </w:tcPr>
          <w:p w14:paraId="3FE38431" w14:textId="77777777" w:rsidR="008E5DE4" w:rsidRDefault="00780368">
            <w:pPr>
              <w:pBdr>
                <w:top w:val="nil"/>
                <w:left w:val="nil"/>
                <w:bottom w:val="nil"/>
                <w:right w:val="nil"/>
                <w:between w:val="nil"/>
              </w:pBdr>
              <w:ind w:left="85" w:hanging="85"/>
              <w:rPr>
                <w:color w:val="000000"/>
              </w:rPr>
            </w:pPr>
            <w:r>
              <w:rPr>
                <w:color w:val="000000"/>
              </w:rPr>
              <w:t>Total financial liabilities</w:t>
            </w:r>
          </w:p>
        </w:tc>
        <w:tc>
          <w:tcPr>
            <w:tcW w:w="1092" w:type="dxa"/>
            <w:vAlign w:val="bottom"/>
          </w:tcPr>
          <w:p w14:paraId="16532AAA"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0F986D97"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65B0E550" w14:textId="77777777" w:rsidR="008E5DE4" w:rsidRDefault="008E5DE4">
            <w:pPr>
              <w:pBdr>
                <w:top w:val="nil"/>
                <w:left w:val="nil"/>
                <w:bottom w:val="nil"/>
                <w:right w:val="nil"/>
                <w:between w:val="nil"/>
              </w:pBdr>
              <w:ind w:left="85" w:hanging="85"/>
              <w:rPr>
                <w:b/>
                <w:color w:val="000000"/>
              </w:rPr>
            </w:pPr>
          </w:p>
        </w:tc>
        <w:tc>
          <w:tcPr>
            <w:tcW w:w="1092" w:type="dxa"/>
            <w:vAlign w:val="bottom"/>
          </w:tcPr>
          <w:p w14:paraId="4E5A1563"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70F3634F"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4435C090" w14:textId="77777777" w:rsidR="008E5DE4" w:rsidRDefault="008E5DE4">
            <w:pPr>
              <w:pBdr>
                <w:top w:val="nil"/>
                <w:left w:val="nil"/>
                <w:bottom w:val="nil"/>
                <w:right w:val="nil"/>
                <w:between w:val="nil"/>
              </w:pBdr>
              <w:ind w:left="85" w:hanging="85"/>
              <w:rPr>
                <w:b/>
                <w:color w:val="000000"/>
              </w:rPr>
            </w:pPr>
          </w:p>
        </w:tc>
      </w:tr>
      <w:tr w:rsidR="008E5DE4" w14:paraId="4D5ABFA5" w14:textId="77777777">
        <w:trPr>
          <w:trHeight w:val="198"/>
        </w:trPr>
        <w:tc>
          <w:tcPr>
            <w:tcW w:w="2800" w:type="dxa"/>
            <w:tcBorders>
              <w:bottom w:val="single" w:sz="4" w:space="0" w:color="000000"/>
            </w:tcBorders>
            <w:vAlign w:val="bottom"/>
          </w:tcPr>
          <w:p w14:paraId="127D0195" w14:textId="77777777" w:rsidR="008E5DE4" w:rsidRDefault="008E5DE4">
            <w:pPr>
              <w:pBdr>
                <w:top w:val="nil"/>
                <w:left w:val="nil"/>
                <w:bottom w:val="nil"/>
                <w:right w:val="nil"/>
                <w:between w:val="nil"/>
              </w:pBdr>
              <w:ind w:left="85" w:hanging="85"/>
              <w:rPr>
                <w:b/>
                <w:color w:val="000000"/>
              </w:rPr>
            </w:pPr>
          </w:p>
        </w:tc>
        <w:tc>
          <w:tcPr>
            <w:tcW w:w="1092" w:type="dxa"/>
            <w:tcBorders>
              <w:bottom w:val="single" w:sz="4" w:space="0" w:color="000000"/>
            </w:tcBorders>
            <w:vAlign w:val="bottom"/>
          </w:tcPr>
          <w:p w14:paraId="60B25EE9" w14:textId="77777777" w:rsidR="008E5DE4" w:rsidRDefault="008E5DE4">
            <w:pPr>
              <w:pBdr>
                <w:top w:val="nil"/>
                <w:left w:val="nil"/>
                <w:bottom w:val="nil"/>
                <w:right w:val="nil"/>
                <w:between w:val="nil"/>
              </w:pBdr>
              <w:ind w:left="85" w:hanging="85"/>
              <w:rPr>
                <w:b/>
                <w:color w:val="000000"/>
              </w:rPr>
            </w:pPr>
          </w:p>
        </w:tc>
        <w:tc>
          <w:tcPr>
            <w:tcW w:w="1093" w:type="dxa"/>
            <w:tcBorders>
              <w:bottom w:val="single" w:sz="4" w:space="0" w:color="000000"/>
            </w:tcBorders>
            <w:vAlign w:val="bottom"/>
          </w:tcPr>
          <w:p w14:paraId="35EFE9CF" w14:textId="77777777" w:rsidR="008E5DE4" w:rsidRDefault="008E5DE4">
            <w:pPr>
              <w:pBdr>
                <w:top w:val="nil"/>
                <w:left w:val="nil"/>
                <w:bottom w:val="nil"/>
                <w:right w:val="nil"/>
                <w:between w:val="nil"/>
              </w:pBdr>
              <w:ind w:left="85" w:hanging="85"/>
              <w:rPr>
                <w:b/>
                <w:color w:val="000000"/>
              </w:rPr>
            </w:pPr>
          </w:p>
        </w:tc>
        <w:tc>
          <w:tcPr>
            <w:tcW w:w="1093" w:type="dxa"/>
            <w:tcBorders>
              <w:bottom w:val="single" w:sz="4" w:space="0" w:color="000000"/>
            </w:tcBorders>
            <w:vAlign w:val="bottom"/>
          </w:tcPr>
          <w:p w14:paraId="4FE989E2" w14:textId="77777777" w:rsidR="008E5DE4" w:rsidRDefault="008E5DE4">
            <w:pPr>
              <w:pBdr>
                <w:top w:val="nil"/>
                <w:left w:val="nil"/>
                <w:bottom w:val="nil"/>
                <w:right w:val="nil"/>
                <w:between w:val="nil"/>
              </w:pBdr>
              <w:ind w:left="85" w:hanging="85"/>
              <w:rPr>
                <w:b/>
                <w:color w:val="000000"/>
              </w:rPr>
            </w:pPr>
          </w:p>
        </w:tc>
        <w:tc>
          <w:tcPr>
            <w:tcW w:w="1092" w:type="dxa"/>
            <w:tcBorders>
              <w:bottom w:val="single" w:sz="4" w:space="0" w:color="000000"/>
            </w:tcBorders>
            <w:vAlign w:val="bottom"/>
          </w:tcPr>
          <w:p w14:paraId="4D5B7B37" w14:textId="77777777" w:rsidR="008E5DE4" w:rsidRDefault="008E5DE4">
            <w:pPr>
              <w:pBdr>
                <w:top w:val="nil"/>
                <w:left w:val="nil"/>
                <w:bottom w:val="nil"/>
                <w:right w:val="nil"/>
                <w:between w:val="nil"/>
              </w:pBdr>
              <w:ind w:left="85" w:hanging="85"/>
              <w:rPr>
                <w:b/>
                <w:color w:val="000000"/>
              </w:rPr>
            </w:pPr>
          </w:p>
        </w:tc>
        <w:tc>
          <w:tcPr>
            <w:tcW w:w="1093" w:type="dxa"/>
            <w:tcBorders>
              <w:bottom w:val="single" w:sz="4" w:space="0" w:color="000000"/>
            </w:tcBorders>
            <w:vAlign w:val="bottom"/>
          </w:tcPr>
          <w:p w14:paraId="4992DE32" w14:textId="77777777" w:rsidR="008E5DE4" w:rsidRDefault="008E5DE4">
            <w:pPr>
              <w:pBdr>
                <w:top w:val="nil"/>
                <w:left w:val="nil"/>
                <w:bottom w:val="nil"/>
                <w:right w:val="nil"/>
                <w:between w:val="nil"/>
              </w:pBdr>
              <w:ind w:left="85" w:hanging="85"/>
              <w:rPr>
                <w:b/>
                <w:color w:val="000000"/>
              </w:rPr>
            </w:pPr>
          </w:p>
        </w:tc>
        <w:tc>
          <w:tcPr>
            <w:tcW w:w="1093" w:type="dxa"/>
            <w:tcBorders>
              <w:bottom w:val="single" w:sz="4" w:space="0" w:color="000000"/>
            </w:tcBorders>
            <w:vAlign w:val="bottom"/>
          </w:tcPr>
          <w:p w14:paraId="22630F9D" w14:textId="77777777" w:rsidR="008E5DE4" w:rsidRDefault="008E5DE4">
            <w:pPr>
              <w:pBdr>
                <w:top w:val="nil"/>
                <w:left w:val="nil"/>
                <w:bottom w:val="nil"/>
                <w:right w:val="nil"/>
                <w:between w:val="nil"/>
              </w:pBdr>
              <w:ind w:left="85" w:hanging="85"/>
              <w:rPr>
                <w:b/>
                <w:color w:val="000000"/>
              </w:rPr>
            </w:pPr>
          </w:p>
        </w:tc>
      </w:tr>
      <w:tr w:rsidR="008E5DE4" w14:paraId="5120F716" w14:textId="77777777">
        <w:trPr>
          <w:trHeight w:val="198"/>
        </w:trPr>
        <w:tc>
          <w:tcPr>
            <w:tcW w:w="2800" w:type="dxa"/>
            <w:tcBorders>
              <w:top w:val="single" w:sz="4" w:space="0" w:color="000000"/>
            </w:tcBorders>
            <w:vAlign w:val="bottom"/>
          </w:tcPr>
          <w:p w14:paraId="2D76ECF7" w14:textId="77777777" w:rsidR="008E5DE4" w:rsidRDefault="008E5DE4">
            <w:pPr>
              <w:pBdr>
                <w:top w:val="nil"/>
                <w:left w:val="nil"/>
                <w:bottom w:val="nil"/>
                <w:right w:val="nil"/>
                <w:between w:val="nil"/>
              </w:pBdr>
              <w:ind w:left="85" w:hanging="85"/>
              <w:rPr>
                <w:b/>
                <w:color w:val="000000"/>
              </w:rPr>
            </w:pPr>
          </w:p>
        </w:tc>
        <w:tc>
          <w:tcPr>
            <w:tcW w:w="1092" w:type="dxa"/>
            <w:tcBorders>
              <w:top w:val="single" w:sz="4" w:space="0" w:color="000000"/>
            </w:tcBorders>
            <w:vAlign w:val="bottom"/>
          </w:tcPr>
          <w:p w14:paraId="466D9945" w14:textId="77777777" w:rsidR="008E5DE4" w:rsidRDefault="008E5DE4">
            <w:pPr>
              <w:pBdr>
                <w:top w:val="nil"/>
                <w:left w:val="nil"/>
                <w:bottom w:val="nil"/>
                <w:right w:val="nil"/>
                <w:between w:val="nil"/>
              </w:pBdr>
              <w:ind w:left="85" w:hanging="85"/>
              <w:rPr>
                <w:b/>
                <w:color w:val="000000"/>
              </w:rPr>
            </w:pPr>
          </w:p>
        </w:tc>
        <w:tc>
          <w:tcPr>
            <w:tcW w:w="1093" w:type="dxa"/>
            <w:tcBorders>
              <w:top w:val="single" w:sz="4" w:space="0" w:color="000000"/>
            </w:tcBorders>
            <w:vAlign w:val="bottom"/>
          </w:tcPr>
          <w:p w14:paraId="759DC83A" w14:textId="77777777" w:rsidR="008E5DE4" w:rsidRDefault="008E5DE4">
            <w:pPr>
              <w:pBdr>
                <w:top w:val="nil"/>
                <w:left w:val="nil"/>
                <w:bottom w:val="nil"/>
                <w:right w:val="nil"/>
                <w:between w:val="nil"/>
              </w:pBdr>
              <w:ind w:left="85" w:hanging="85"/>
              <w:rPr>
                <w:b/>
                <w:color w:val="000000"/>
              </w:rPr>
            </w:pPr>
          </w:p>
        </w:tc>
        <w:tc>
          <w:tcPr>
            <w:tcW w:w="1093" w:type="dxa"/>
            <w:tcBorders>
              <w:top w:val="single" w:sz="4" w:space="0" w:color="000000"/>
            </w:tcBorders>
            <w:vAlign w:val="bottom"/>
          </w:tcPr>
          <w:p w14:paraId="411742F2" w14:textId="77777777" w:rsidR="008E5DE4" w:rsidRDefault="008E5DE4">
            <w:pPr>
              <w:pBdr>
                <w:top w:val="nil"/>
                <w:left w:val="nil"/>
                <w:bottom w:val="nil"/>
                <w:right w:val="nil"/>
                <w:between w:val="nil"/>
              </w:pBdr>
              <w:ind w:left="85" w:hanging="85"/>
              <w:rPr>
                <w:b/>
                <w:color w:val="000000"/>
              </w:rPr>
            </w:pPr>
          </w:p>
        </w:tc>
        <w:tc>
          <w:tcPr>
            <w:tcW w:w="1092" w:type="dxa"/>
            <w:tcBorders>
              <w:top w:val="single" w:sz="4" w:space="0" w:color="000000"/>
            </w:tcBorders>
            <w:vAlign w:val="bottom"/>
          </w:tcPr>
          <w:p w14:paraId="34700AB7" w14:textId="77777777" w:rsidR="008E5DE4" w:rsidRDefault="008E5DE4">
            <w:pPr>
              <w:pBdr>
                <w:top w:val="nil"/>
                <w:left w:val="nil"/>
                <w:bottom w:val="nil"/>
                <w:right w:val="nil"/>
                <w:between w:val="nil"/>
              </w:pBdr>
              <w:ind w:left="85" w:hanging="85"/>
              <w:rPr>
                <w:b/>
                <w:color w:val="000000"/>
              </w:rPr>
            </w:pPr>
          </w:p>
        </w:tc>
        <w:tc>
          <w:tcPr>
            <w:tcW w:w="1093" w:type="dxa"/>
            <w:tcBorders>
              <w:top w:val="single" w:sz="4" w:space="0" w:color="000000"/>
            </w:tcBorders>
            <w:vAlign w:val="bottom"/>
          </w:tcPr>
          <w:p w14:paraId="4957EF4A" w14:textId="77777777" w:rsidR="008E5DE4" w:rsidRDefault="008E5DE4">
            <w:pPr>
              <w:pBdr>
                <w:top w:val="nil"/>
                <w:left w:val="nil"/>
                <w:bottom w:val="nil"/>
                <w:right w:val="nil"/>
                <w:between w:val="nil"/>
              </w:pBdr>
              <w:ind w:left="85" w:hanging="85"/>
              <w:rPr>
                <w:b/>
                <w:color w:val="000000"/>
              </w:rPr>
            </w:pPr>
          </w:p>
        </w:tc>
        <w:tc>
          <w:tcPr>
            <w:tcW w:w="1093" w:type="dxa"/>
            <w:tcBorders>
              <w:top w:val="single" w:sz="4" w:space="0" w:color="000000"/>
            </w:tcBorders>
            <w:vAlign w:val="bottom"/>
          </w:tcPr>
          <w:p w14:paraId="4D83B76F" w14:textId="77777777" w:rsidR="008E5DE4" w:rsidRDefault="008E5DE4">
            <w:pPr>
              <w:pBdr>
                <w:top w:val="nil"/>
                <w:left w:val="nil"/>
                <w:bottom w:val="nil"/>
                <w:right w:val="nil"/>
                <w:between w:val="nil"/>
              </w:pBdr>
              <w:ind w:left="85" w:hanging="85"/>
              <w:rPr>
                <w:b/>
                <w:color w:val="000000"/>
              </w:rPr>
            </w:pPr>
          </w:p>
        </w:tc>
      </w:tr>
      <w:tr w:rsidR="008E5DE4" w14:paraId="33013857" w14:textId="77777777">
        <w:tc>
          <w:tcPr>
            <w:tcW w:w="2800" w:type="dxa"/>
            <w:vAlign w:val="bottom"/>
          </w:tcPr>
          <w:p w14:paraId="78B3F80E" w14:textId="2A4646A3" w:rsidR="008E5DE4" w:rsidRDefault="00780368">
            <w:pPr>
              <w:pBdr>
                <w:top w:val="nil"/>
                <w:left w:val="nil"/>
                <w:bottom w:val="nil"/>
                <w:right w:val="nil"/>
                <w:between w:val="nil"/>
              </w:pBdr>
              <w:ind w:left="85" w:hanging="85"/>
              <w:rPr>
                <w:b/>
                <w:color w:val="000000"/>
              </w:rPr>
            </w:pPr>
            <w:r>
              <w:rPr>
                <w:b/>
                <w:color w:val="000000"/>
              </w:rPr>
              <w:t xml:space="preserve">Net interest sensitivity gap </w:t>
            </w:r>
            <w:proofErr w:type="gramStart"/>
            <w:r>
              <w:rPr>
                <w:b/>
                <w:color w:val="000000"/>
              </w:rPr>
              <w:t>at</w:t>
            </w:r>
            <w:proofErr w:type="gramEnd"/>
            <w:r>
              <w:rPr>
                <w:b/>
                <w:color w:val="000000"/>
              </w:rPr>
              <w:t xml:space="preserve"> 31 December </w:t>
            </w:r>
            <w:r w:rsidR="008614F8">
              <w:rPr>
                <w:b/>
                <w:color w:val="000000"/>
              </w:rPr>
              <w:t>2025</w:t>
            </w:r>
          </w:p>
        </w:tc>
        <w:tc>
          <w:tcPr>
            <w:tcW w:w="1092" w:type="dxa"/>
            <w:vAlign w:val="bottom"/>
          </w:tcPr>
          <w:p w14:paraId="2B4034F6"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593C8F37"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034F269F" w14:textId="77777777" w:rsidR="008E5DE4" w:rsidRDefault="008E5DE4">
            <w:pPr>
              <w:pBdr>
                <w:top w:val="nil"/>
                <w:left w:val="nil"/>
                <w:bottom w:val="nil"/>
                <w:right w:val="nil"/>
                <w:between w:val="nil"/>
              </w:pBdr>
              <w:ind w:left="85" w:hanging="85"/>
              <w:rPr>
                <w:b/>
                <w:color w:val="000000"/>
              </w:rPr>
            </w:pPr>
          </w:p>
        </w:tc>
        <w:tc>
          <w:tcPr>
            <w:tcW w:w="1092" w:type="dxa"/>
            <w:vAlign w:val="bottom"/>
          </w:tcPr>
          <w:p w14:paraId="0E895BFC"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469A8B32"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31DAD3EF" w14:textId="77777777" w:rsidR="008E5DE4" w:rsidRDefault="008E5DE4">
            <w:pPr>
              <w:pBdr>
                <w:top w:val="nil"/>
                <w:left w:val="nil"/>
                <w:bottom w:val="nil"/>
                <w:right w:val="nil"/>
                <w:between w:val="nil"/>
              </w:pBdr>
              <w:ind w:left="85" w:hanging="85"/>
              <w:rPr>
                <w:b/>
                <w:color w:val="000000"/>
              </w:rPr>
            </w:pPr>
          </w:p>
        </w:tc>
      </w:tr>
      <w:tr w:rsidR="008E5DE4" w14:paraId="62BD56EB" w14:textId="77777777">
        <w:trPr>
          <w:trHeight w:val="198"/>
        </w:trPr>
        <w:tc>
          <w:tcPr>
            <w:tcW w:w="2800" w:type="dxa"/>
            <w:tcBorders>
              <w:bottom w:val="single" w:sz="12" w:space="0" w:color="000000"/>
            </w:tcBorders>
            <w:vAlign w:val="bottom"/>
          </w:tcPr>
          <w:p w14:paraId="50DB2424" w14:textId="77777777" w:rsidR="008E5DE4" w:rsidRDefault="008E5DE4">
            <w:pPr>
              <w:pBdr>
                <w:top w:val="nil"/>
                <w:left w:val="nil"/>
                <w:bottom w:val="nil"/>
                <w:right w:val="nil"/>
                <w:between w:val="nil"/>
              </w:pBdr>
              <w:ind w:left="85" w:hanging="85"/>
              <w:rPr>
                <w:b/>
                <w:color w:val="000000"/>
              </w:rPr>
            </w:pPr>
          </w:p>
        </w:tc>
        <w:tc>
          <w:tcPr>
            <w:tcW w:w="1092" w:type="dxa"/>
            <w:tcBorders>
              <w:bottom w:val="single" w:sz="12" w:space="0" w:color="000000"/>
            </w:tcBorders>
            <w:vAlign w:val="bottom"/>
          </w:tcPr>
          <w:p w14:paraId="02065E4F" w14:textId="77777777" w:rsidR="008E5DE4" w:rsidRDefault="008E5DE4">
            <w:pPr>
              <w:pBdr>
                <w:top w:val="nil"/>
                <w:left w:val="nil"/>
                <w:bottom w:val="nil"/>
                <w:right w:val="nil"/>
                <w:between w:val="nil"/>
              </w:pBdr>
              <w:ind w:left="85" w:hanging="85"/>
              <w:rPr>
                <w:b/>
                <w:color w:val="000000"/>
              </w:rPr>
            </w:pPr>
          </w:p>
        </w:tc>
        <w:tc>
          <w:tcPr>
            <w:tcW w:w="1093" w:type="dxa"/>
            <w:tcBorders>
              <w:bottom w:val="single" w:sz="12" w:space="0" w:color="000000"/>
            </w:tcBorders>
            <w:vAlign w:val="bottom"/>
          </w:tcPr>
          <w:p w14:paraId="495CBF63" w14:textId="77777777" w:rsidR="008E5DE4" w:rsidRDefault="008E5DE4">
            <w:pPr>
              <w:pBdr>
                <w:top w:val="nil"/>
                <w:left w:val="nil"/>
                <w:bottom w:val="nil"/>
                <w:right w:val="nil"/>
                <w:between w:val="nil"/>
              </w:pBdr>
              <w:ind w:left="85" w:hanging="85"/>
              <w:rPr>
                <w:b/>
                <w:color w:val="000000"/>
              </w:rPr>
            </w:pPr>
          </w:p>
        </w:tc>
        <w:tc>
          <w:tcPr>
            <w:tcW w:w="1093" w:type="dxa"/>
            <w:tcBorders>
              <w:bottom w:val="single" w:sz="12" w:space="0" w:color="000000"/>
            </w:tcBorders>
            <w:vAlign w:val="bottom"/>
          </w:tcPr>
          <w:p w14:paraId="062705C6" w14:textId="77777777" w:rsidR="008E5DE4" w:rsidRDefault="008E5DE4">
            <w:pPr>
              <w:pBdr>
                <w:top w:val="nil"/>
                <w:left w:val="nil"/>
                <w:bottom w:val="nil"/>
                <w:right w:val="nil"/>
                <w:between w:val="nil"/>
              </w:pBdr>
              <w:ind w:left="85" w:hanging="85"/>
              <w:rPr>
                <w:b/>
                <w:color w:val="000000"/>
              </w:rPr>
            </w:pPr>
          </w:p>
        </w:tc>
        <w:tc>
          <w:tcPr>
            <w:tcW w:w="1092" w:type="dxa"/>
            <w:tcBorders>
              <w:bottom w:val="single" w:sz="12" w:space="0" w:color="000000"/>
            </w:tcBorders>
            <w:vAlign w:val="bottom"/>
          </w:tcPr>
          <w:p w14:paraId="22152804" w14:textId="77777777" w:rsidR="008E5DE4" w:rsidRDefault="008E5DE4">
            <w:pPr>
              <w:pBdr>
                <w:top w:val="nil"/>
                <w:left w:val="nil"/>
                <w:bottom w:val="nil"/>
                <w:right w:val="nil"/>
                <w:between w:val="nil"/>
              </w:pBdr>
              <w:ind w:left="85" w:hanging="85"/>
              <w:rPr>
                <w:b/>
                <w:color w:val="000000"/>
              </w:rPr>
            </w:pPr>
          </w:p>
        </w:tc>
        <w:tc>
          <w:tcPr>
            <w:tcW w:w="1093" w:type="dxa"/>
            <w:tcBorders>
              <w:bottom w:val="single" w:sz="12" w:space="0" w:color="000000"/>
            </w:tcBorders>
            <w:vAlign w:val="bottom"/>
          </w:tcPr>
          <w:p w14:paraId="20ACE5F1" w14:textId="77777777" w:rsidR="008E5DE4" w:rsidRDefault="008E5DE4">
            <w:pPr>
              <w:pBdr>
                <w:top w:val="nil"/>
                <w:left w:val="nil"/>
                <w:bottom w:val="nil"/>
                <w:right w:val="nil"/>
                <w:between w:val="nil"/>
              </w:pBdr>
              <w:ind w:left="85" w:hanging="85"/>
              <w:rPr>
                <w:b/>
                <w:color w:val="000000"/>
              </w:rPr>
            </w:pPr>
          </w:p>
        </w:tc>
        <w:tc>
          <w:tcPr>
            <w:tcW w:w="1093" w:type="dxa"/>
            <w:tcBorders>
              <w:bottom w:val="single" w:sz="12" w:space="0" w:color="000000"/>
            </w:tcBorders>
            <w:vAlign w:val="bottom"/>
          </w:tcPr>
          <w:p w14:paraId="23FE02C7" w14:textId="77777777" w:rsidR="008E5DE4" w:rsidRDefault="008E5DE4">
            <w:pPr>
              <w:pBdr>
                <w:top w:val="nil"/>
                <w:left w:val="nil"/>
                <w:bottom w:val="nil"/>
                <w:right w:val="nil"/>
                <w:between w:val="nil"/>
              </w:pBdr>
              <w:ind w:left="85" w:hanging="85"/>
              <w:rPr>
                <w:b/>
                <w:color w:val="000000"/>
              </w:rPr>
            </w:pPr>
          </w:p>
        </w:tc>
      </w:tr>
      <w:tr w:rsidR="008E5DE4" w14:paraId="237C8DDA" w14:textId="77777777">
        <w:trPr>
          <w:trHeight w:val="198"/>
        </w:trPr>
        <w:tc>
          <w:tcPr>
            <w:tcW w:w="2800" w:type="dxa"/>
            <w:tcBorders>
              <w:top w:val="single" w:sz="12" w:space="0" w:color="000000"/>
            </w:tcBorders>
            <w:vAlign w:val="bottom"/>
          </w:tcPr>
          <w:p w14:paraId="14BC7248" w14:textId="77777777" w:rsidR="008E5DE4" w:rsidRDefault="008E5DE4">
            <w:pPr>
              <w:pBdr>
                <w:top w:val="nil"/>
                <w:left w:val="nil"/>
                <w:bottom w:val="nil"/>
                <w:right w:val="nil"/>
                <w:between w:val="nil"/>
              </w:pBdr>
              <w:ind w:left="85" w:hanging="85"/>
              <w:rPr>
                <w:b/>
                <w:color w:val="000000"/>
              </w:rPr>
            </w:pPr>
          </w:p>
        </w:tc>
        <w:tc>
          <w:tcPr>
            <w:tcW w:w="1092" w:type="dxa"/>
            <w:tcBorders>
              <w:top w:val="single" w:sz="12" w:space="0" w:color="000000"/>
            </w:tcBorders>
            <w:vAlign w:val="bottom"/>
          </w:tcPr>
          <w:p w14:paraId="1C78DFC4" w14:textId="77777777" w:rsidR="008E5DE4" w:rsidRDefault="008E5DE4">
            <w:pPr>
              <w:pBdr>
                <w:top w:val="nil"/>
                <w:left w:val="nil"/>
                <w:bottom w:val="nil"/>
                <w:right w:val="nil"/>
                <w:between w:val="nil"/>
              </w:pBdr>
              <w:ind w:left="85" w:hanging="85"/>
              <w:rPr>
                <w:b/>
                <w:color w:val="000000"/>
              </w:rPr>
            </w:pPr>
          </w:p>
        </w:tc>
        <w:tc>
          <w:tcPr>
            <w:tcW w:w="1093" w:type="dxa"/>
            <w:tcBorders>
              <w:top w:val="single" w:sz="12" w:space="0" w:color="000000"/>
            </w:tcBorders>
            <w:vAlign w:val="bottom"/>
          </w:tcPr>
          <w:p w14:paraId="642D311A" w14:textId="77777777" w:rsidR="008E5DE4" w:rsidRDefault="008E5DE4">
            <w:pPr>
              <w:pBdr>
                <w:top w:val="nil"/>
                <w:left w:val="nil"/>
                <w:bottom w:val="nil"/>
                <w:right w:val="nil"/>
                <w:between w:val="nil"/>
              </w:pBdr>
              <w:ind w:left="85" w:hanging="85"/>
              <w:rPr>
                <w:b/>
                <w:color w:val="000000"/>
              </w:rPr>
            </w:pPr>
          </w:p>
        </w:tc>
        <w:tc>
          <w:tcPr>
            <w:tcW w:w="1093" w:type="dxa"/>
            <w:tcBorders>
              <w:top w:val="single" w:sz="12" w:space="0" w:color="000000"/>
            </w:tcBorders>
            <w:vAlign w:val="bottom"/>
          </w:tcPr>
          <w:p w14:paraId="34C1968D" w14:textId="77777777" w:rsidR="008E5DE4" w:rsidRDefault="008E5DE4">
            <w:pPr>
              <w:pBdr>
                <w:top w:val="nil"/>
                <w:left w:val="nil"/>
                <w:bottom w:val="nil"/>
                <w:right w:val="nil"/>
                <w:between w:val="nil"/>
              </w:pBdr>
              <w:ind w:left="85" w:hanging="85"/>
              <w:rPr>
                <w:b/>
                <w:color w:val="000000"/>
              </w:rPr>
            </w:pPr>
          </w:p>
        </w:tc>
        <w:tc>
          <w:tcPr>
            <w:tcW w:w="1092" w:type="dxa"/>
            <w:tcBorders>
              <w:top w:val="single" w:sz="12" w:space="0" w:color="000000"/>
            </w:tcBorders>
            <w:vAlign w:val="bottom"/>
          </w:tcPr>
          <w:p w14:paraId="01B96C7A" w14:textId="77777777" w:rsidR="008E5DE4" w:rsidRDefault="008E5DE4">
            <w:pPr>
              <w:pBdr>
                <w:top w:val="nil"/>
                <w:left w:val="nil"/>
                <w:bottom w:val="nil"/>
                <w:right w:val="nil"/>
                <w:between w:val="nil"/>
              </w:pBdr>
              <w:ind w:left="85" w:hanging="85"/>
              <w:rPr>
                <w:b/>
                <w:color w:val="000000"/>
              </w:rPr>
            </w:pPr>
          </w:p>
        </w:tc>
        <w:tc>
          <w:tcPr>
            <w:tcW w:w="1093" w:type="dxa"/>
            <w:tcBorders>
              <w:top w:val="single" w:sz="12" w:space="0" w:color="000000"/>
            </w:tcBorders>
            <w:vAlign w:val="bottom"/>
          </w:tcPr>
          <w:p w14:paraId="41834236" w14:textId="77777777" w:rsidR="008E5DE4" w:rsidRDefault="008E5DE4">
            <w:pPr>
              <w:pBdr>
                <w:top w:val="nil"/>
                <w:left w:val="nil"/>
                <w:bottom w:val="nil"/>
                <w:right w:val="nil"/>
                <w:between w:val="nil"/>
              </w:pBdr>
              <w:ind w:left="85" w:hanging="85"/>
              <w:rPr>
                <w:b/>
                <w:color w:val="000000"/>
              </w:rPr>
            </w:pPr>
          </w:p>
        </w:tc>
        <w:tc>
          <w:tcPr>
            <w:tcW w:w="1093" w:type="dxa"/>
            <w:tcBorders>
              <w:top w:val="single" w:sz="12" w:space="0" w:color="000000"/>
            </w:tcBorders>
            <w:vAlign w:val="bottom"/>
          </w:tcPr>
          <w:p w14:paraId="638FECCE" w14:textId="77777777" w:rsidR="008E5DE4" w:rsidRDefault="008E5DE4">
            <w:pPr>
              <w:pBdr>
                <w:top w:val="nil"/>
                <w:left w:val="nil"/>
                <w:bottom w:val="nil"/>
                <w:right w:val="nil"/>
                <w:between w:val="nil"/>
              </w:pBdr>
              <w:ind w:left="85" w:hanging="85"/>
              <w:rPr>
                <w:b/>
                <w:color w:val="000000"/>
              </w:rPr>
            </w:pPr>
          </w:p>
        </w:tc>
      </w:tr>
      <w:tr w:rsidR="008E5DE4" w14:paraId="0AAD7481" w14:textId="77777777">
        <w:trPr>
          <w:trHeight w:val="198"/>
        </w:trPr>
        <w:tc>
          <w:tcPr>
            <w:tcW w:w="2800" w:type="dxa"/>
            <w:vAlign w:val="bottom"/>
          </w:tcPr>
          <w:p w14:paraId="7C5AB710" w14:textId="4CAE2F61" w:rsidR="008E5DE4" w:rsidRDefault="00780368">
            <w:pPr>
              <w:pBdr>
                <w:top w:val="nil"/>
                <w:left w:val="nil"/>
                <w:bottom w:val="nil"/>
                <w:right w:val="nil"/>
                <w:between w:val="nil"/>
              </w:pBdr>
              <w:ind w:left="85" w:hanging="85"/>
              <w:rPr>
                <w:b/>
                <w:color w:val="000000"/>
              </w:rPr>
            </w:pPr>
            <w:r>
              <w:rPr>
                <w:b/>
                <w:color w:val="000000"/>
              </w:rPr>
              <w:t xml:space="preserve">31 December </w:t>
            </w:r>
            <w:r w:rsidR="00A46633">
              <w:rPr>
                <w:b/>
                <w:color w:val="000000"/>
              </w:rPr>
              <w:t>2024</w:t>
            </w:r>
          </w:p>
        </w:tc>
        <w:tc>
          <w:tcPr>
            <w:tcW w:w="1092" w:type="dxa"/>
            <w:vAlign w:val="bottom"/>
          </w:tcPr>
          <w:p w14:paraId="3F2DDCF8"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5D82EF2F"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031EB6CB" w14:textId="77777777" w:rsidR="008E5DE4" w:rsidRDefault="008E5DE4">
            <w:pPr>
              <w:pBdr>
                <w:top w:val="nil"/>
                <w:left w:val="nil"/>
                <w:bottom w:val="nil"/>
                <w:right w:val="nil"/>
                <w:between w:val="nil"/>
              </w:pBdr>
              <w:ind w:left="85" w:hanging="85"/>
              <w:rPr>
                <w:b/>
                <w:color w:val="000000"/>
              </w:rPr>
            </w:pPr>
          </w:p>
        </w:tc>
        <w:tc>
          <w:tcPr>
            <w:tcW w:w="1092" w:type="dxa"/>
            <w:vAlign w:val="bottom"/>
          </w:tcPr>
          <w:p w14:paraId="4C573F9E"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4A30813E"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41DB0722" w14:textId="77777777" w:rsidR="008E5DE4" w:rsidRDefault="008E5DE4">
            <w:pPr>
              <w:pBdr>
                <w:top w:val="nil"/>
                <w:left w:val="nil"/>
                <w:bottom w:val="nil"/>
                <w:right w:val="nil"/>
                <w:between w:val="nil"/>
              </w:pBdr>
              <w:ind w:left="85" w:hanging="85"/>
              <w:rPr>
                <w:b/>
                <w:color w:val="000000"/>
              </w:rPr>
            </w:pPr>
          </w:p>
        </w:tc>
      </w:tr>
      <w:tr w:rsidR="008E5DE4" w14:paraId="4E458BA0" w14:textId="77777777">
        <w:trPr>
          <w:trHeight w:val="198"/>
        </w:trPr>
        <w:tc>
          <w:tcPr>
            <w:tcW w:w="2800" w:type="dxa"/>
            <w:vAlign w:val="bottom"/>
          </w:tcPr>
          <w:p w14:paraId="3B5B217A" w14:textId="77777777" w:rsidR="008E5DE4" w:rsidRDefault="00780368">
            <w:pPr>
              <w:pBdr>
                <w:top w:val="nil"/>
                <w:left w:val="nil"/>
                <w:bottom w:val="nil"/>
                <w:right w:val="nil"/>
                <w:between w:val="nil"/>
              </w:pBdr>
              <w:ind w:left="85" w:hanging="85"/>
              <w:rPr>
                <w:color w:val="000000"/>
              </w:rPr>
            </w:pPr>
            <w:r>
              <w:rPr>
                <w:color w:val="000000"/>
              </w:rPr>
              <w:t>Total financial assets</w:t>
            </w:r>
          </w:p>
        </w:tc>
        <w:tc>
          <w:tcPr>
            <w:tcW w:w="1092" w:type="dxa"/>
            <w:vAlign w:val="bottom"/>
          </w:tcPr>
          <w:p w14:paraId="32200A08"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122D9E0A"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7B14A3E5" w14:textId="77777777" w:rsidR="008E5DE4" w:rsidRDefault="008E5DE4">
            <w:pPr>
              <w:pBdr>
                <w:top w:val="nil"/>
                <w:left w:val="nil"/>
                <w:bottom w:val="nil"/>
                <w:right w:val="nil"/>
                <w:between w:val="nil"/>
              </w:pBdr>
              <w:ind w:left="85" w:hanging="85"/>
              <w:rPr>
                <w:b/>
                <w:color w:val="000000"/>
              </w:rPr>
            </w:pPr>
          </w:p>
        </w:tc>
        <w:tc>
          <w:tcPr>
            <w:tcW w:w="1092" w:type="dxa"/>
            <w:vAlign w:val="bottom"/>
          </w:tcPr>
          <w:p w14:paraId="61E08638"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7D8A0043"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3238F617" w14:textId="77777777" w:rsidR="008E5DE4" w:rsidRDefault="008E5DE4">
            <w:pPr>
              <w:pBdr>
                <w:top w:val="nil"/>
                <w:left w:val="nil"/>
                <w:bottom w:val="nil"/>
                <w:right w:val="nil"/>
                <w:between w:val="nil"/>
              </w:pBdr>
              <w:ind w:left="85" w:hanging="85"/>
              <w:rPr>
                <w:b/>
                <w:color w:val="000000"/>
              </w:rPr>
            </w:pPr>
          </w:p>
        </w:tc>
      </w:tr>
      <w:tr w:rsidR="008E5DE4" w14:paraId="54CBA03A" w14:textId="77777777">
        <w:trPr>
          <w:trHeight w:val="198"/>
        </w:trPr>
        <w:tc>
          <w:tcPr>
            <w:tcW w:w="2800" w:type="dxa"/>
            <w:vAlign w:val="bottom"/>
          </w:tcPr>
          <w:p w14:paraId="5D0A4699" w14:textId="77777777" w:rsidR="008E5DE4" w:rsidRDefault="00780368">
            <w:pPr>
              <w:pBdr>
                <w:top w:val="nil"/>
                <w:left w:val="nil"/>
                <w:bottom w:val="nil"/>
                <w:right w:val="nil"/>
                <w:between w:val="nil"/>
              </w:pBdr>
              <w:ind w:left="85" w:hanging="85"/>
              <w:rPr>
                <w:color w:val="000000"/>
              </w:rPr>
            </w:pPr>
            <w:r>
              <w:rPr>
                <w:color w:val="000000"/>
              </w:rPr>
              <w:t>Total financial liabilities</w:t>
            </w:r>
          </w:p>
        </w:tc>
        <w:tc>
          <w:tcPr>
            <w:tcW w:w="1092" w:type="dxa"/>
            <w:vAlign w:val="bottom"/>
          </w:tcPr>
          <w:p w14:paraId="6E4354BD"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2816CBDA"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0D9720F9" w14:textId="77777777" w:rsidR="008E5DE4" w:rsidRDefault="008E5DE4">
            <w:pPr>
              <w:pBdr>
                <w:top w:val="nil"/>
                <w:left w:val="nil"/>
                <w:bottom w:val="nil"/>
                <w:right w:val="nil"/>
                <w:between w:val="nil"/>
              </w:pBdr>
              <w:ind w:left="85" w:hanging="85"/>
              <w:rPr>
                <w:b/>
                <w:color w:val="000000"/>
              </w:rPr>
            </w:pPr>
          </w:p>
        </w:tc>
        <w:tc>
          <w:tcPr>
            <w:tcW w:w="1092" w:type="dxa"/>
            <w:vAlign w:val="bottom"/>
          </w:tcPr>
          <w:p w14:paraId="79D89B76"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05D1081D"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3F30F8F5" w14:textId="77777777" w:rsidR="008E5DE4" w:rsidRDefault="008E5DE4">
            <w:pPr>
              <w:pBdr>
                <w:top w:val="nil"/>
                <w:left w:val="nil"/>
                <w:bottom w:val="nil"/>
                <w:right w:val="nil"/>
                <w:between w:val="nil"/>
              </w:pBdr>
              <w:ind w:left="85" w:hanging="85"/>
              <w:rPr>
                <w:b/>
                <w:color w:val="000000"/>
              </w:rPr>
            </w:pPr>
          </w:p>
        </w:tc>
      </w:tr>
      <w:tr w:rsidR="008E5DE4" w14:paraId="0893E7E5" w14:textId="77777777">
        <w:trPr>
          <w:trHeight w:val="198"/>
        </w:trPr>
        <w:tc>
          <w:tcPr>
            <w:tcW w:w="2800" w:type="dxa"/>
            <w:tcBorders>
              <w:bottom w:val="single" w:sz="4" w:space="0" w:color="000000"/>
            </w:tcBorders>
            <w:vAlign w:val="bottom"/>
          </w:tcPr>
          <w:p w14:paraId="22CEA704" w14:textId="77777777" w:rsidR="008E5DE4" w:rsidRDefault="008E5DE4">
            <w:pPr>
              <w:pBdr>
                <w:top w:val="nil"/>
                <w:left w:val="nil"/>
                <w:bottom w:val="nil"/>
                <w:right w:val="nil"/>
                <w:between w:val="nil"/>
              </w:pBdr>
              <w:ind w:left="85" w:hanging="85"/>
              <w:rPr>
                <w:b/>
                <w:color w:val="000000"/>
              </w:rPr>
            </w:pPr>
          </w:p>
        </w:tc>
        <w:tc>
          <w:tcPr>
            <w:tcW w:w="1092" w:type="dxa"/>
            <w:tcBorders>
              <w:bottom w:val="single" w:sz="4" w:space="0" w:color="000000"/>
            </w:tcBorders>
            <w:vAlign w:val="bottom"/>
          </w:tcPr>
          <w:p w14:paraId="6CEA050A" w14:textId="77777777" w:rsidR="008E5DE4" w:rsidRDefault="008E5DE4">
            <w:pPr>
              <w:pBdr>
                <w:top w:val="nil"/>
                <w:left w:val="nil"/>
                <w:bottom w:val="nil"/>
                <w:right w:val="nil"/>
                <w:between w:val="nil"/>
              </w:pBdr>
              <w:ind w:left="85" w:hanging="85"/>
              <w:rPr>
                <w:b/>
                <w:color w:val="000000"/>
              </w:rPr>
            </w:pPr>
          </w:p>
        </w:tc>
        <w:tc>
          <w:tcPr>
            <w:tcW w:w="1093" w:type="dxa"/>
            <w:tcBorders>
              <w:bottom w:val="single" w:sz="4" w:space="0" w:color="000000"/>
            </w:tcBorders>
            <w:vAlign w:val="bottom"/>
          </w:tcPr>
          <w:p w14:paraId="68D04080" w14:textId="77777777" w:rsidR="008E5DE4" w:rsidRDefault="008E5DE4">
            <w:pPr>
              <w:pBdr>
                <w:top w:val="nil"/>
                <w:left w:val="nil"/>
                <w:bottom w:val="nil"/>
                <w:right w:val="nil"/>
                <w:between w:val="nil"/>
              </w:pBdr>
              <w:ind w:left="85" w:hanging="85"/>
              <w:rPr>
                <w:b/>
                <w:color w:val="000000"/>
              </w:rPr>
            </w:pPr>
          </w:p>
        </w:tc>
        <w:tc>
          <w:tcPr>
            <w:tcW w:w="1093" w:type="dxa"/>
            <w:tcBorders>
              <w:bottom w:val="single" w:sz="4" w:space="0" w:color="000000"/>
            </w:tcBorders>
            <w:vAlign w:val="bottom"/>
          </w:tcPr>
          <w:p w14:paraId="18474FAF" w14:textId="77777777" w:rsidR="008E5DE4" w:rsidRDefault="008E5DE4">
            <w:pPr>
              <w:pBdr>
                <w:top w:val="nil"/>
                <w:left w:val="nil"/>
                <w:bottom w:val="nil"/>
                <w:right w:val="nil"/>
                <w:between w:val="nil"/>
              </w:pBdr>
              <w:ind w:left="85" w:hanging="85"/>
              <w:rPr>
                <w:b/>
                <w:color w:val="000000"/>
              </w:rPr>
            </w:pPr>
          </w:p>
        </w:tc>
        <w:tc>
          <w:tcPr>
            <w:tcW w:w="1092" w:type="dxa"/>
            <w:tcBorders>
              <w:bottom w:val="single" w:sz="4" w:space="0" w:color="000000"/>
            </w:tcBorders>
            <w:vAlign w:val="bottom"/>
          </w:tcPr>
          <w:p w14:paraId="02C8B69C" w14:textId="77777777" w:rsidR="008E5DE4" w:rsidRDefault="008E5DE4">
            <w:pPr>
              <w:pBdr>
                <w:top w:val="nil"/>
                <w:left w:val="nil"/>
                <w:bottom w:val="nil"/>
                <w:right w:val="nil"/>
                <w:between w:val="nil"/>
              </w:pBdr>
              <w:ind w:left="85" w:hanging="85"/>
              <w:rPr>
                <w:b/>
                <w:color w:val="000000"/>
              </w:rPr>
            </w:pPr>
          </w:p>
        </w:tc>
        <w:tc>
          <w:tcPr>
            <w:tcW w:w="1093" w:type="dxa"/>
            <w:tcBorders>
              <w:bottom w:val="single" w:sz="4" w:space="0" w:color="000000"/>
            </w:tcBorders>
            <w:vAlign w:val="bottom"/>
          </w:tcPr>
          <w:p w14:paraId="69121D77" w14:textId="77777777" w:rsidR="008E5DE4" w:rsidRDefault="008E5DE4">
            <w:pPr>
              <w:pBdr>
                <w:top w:val="nil"/>
                <w:left w:val="nil"/>
                <w:bottom w:val="nil"/>
                <w:right w:val="nil"/>
                <w:between w:val="nil"/>
              </w:pBdr>
              <w:ind w:left="85" w:hanging="85"/>
              <w:rPr>
                <w:b/>
                <w:color w:val="000000"/>
              </w:rPr>
            </w:pPr>
          </w:p>
        </w:tc>
        <w:tc>
          <w:tcPr>
            <w:tcW w:w="1093" w:type="dxa"/>
            <w:tcBorders>
              <w:bottom w:val="single" w:sz="4" w:space="0" w:color="000000"/>
            </w:tcBorders>
            <w:vAlign w:val="bottom"/>
          </w:tcPr>
          <w:p w14:paraId="7701512B" w14:textId="77777777" w:rsidR="008E5DE4" w:rsidRDefault="008E5DE4">
            <w:pPr>
              <w:pBdr>
                <w:top w:val="nil"/>
                <w:left w:val="nil"/>
                <w:bottom w:val="nil"/>
                <w:right w:val="nil"/>
                <w:between w:val="nil"/>
              </w:pBdr>
              <w:ind w:left="85" w:hanging="85"/>
              <w:rPr>
                <w:b/>
                <w:color w:val="000000"/>
              </w:rPr>
            </w:pPr>
          </w:p>
        </w:tc>
      </w:tr>
      <w:tr w:rsidR="008E5DE4" w14:paraId="1F4F8CAA" w14:textId="77777777">
        <w:trPr>
          <w:trHeight w:val="198"/>
        </w:trPr>
        <w:tc>
          <w:tcPr>
            <w:tcW w:w="2800" w:type="dxa"/>
            <w:tcBorders>
              <w:top w:val="single" w:sz="4" w:space="0" w:color="000000"/>
            </w:tcBorders>
            <w:vAlign w:val="bottom"/>
          </w:tcPr>
          <w:p w14:paraId="2D33E6AD" w14:textId="77777777" w:rsidR="008E5DE4" w:rsidRDefault="008E5DE4">
            <w:pPr>
              <w:pBdr>
                <w:top w:val="nil"/>
                <w:left w:val="nil"/>
                <w:bottom w:val="nil"/>
                <w:right w:val="nil"/>
                <w:between w:val="nil"/>
              </w:pBdr>
              <w:ind w:left="85" w:hanging="85"/>
              <w:rPr>
                <w:b/>
                <w:color w:val="000000"/>
              </w:rPr>
            </w:pPr>
          </w:p>
        </w:tc>
        <w:tc>
          <w:tcPr>
            <w:tcW w:w="1092" w:type="dxa"/>
            <w:tcBorders>
              <w:top w:val="single" w:sz="4" w:space="0" w:color="000000"/>
            </w:tcBorders>
            <w:vAlign w:val="bottom"/>
          </w:tcPr>
          <w:p w14:paraId="3B255450" w14:textId="77777777" w:rsidR="008E5DE4" w:rsidRDefault="008E5DE4">
            <w:pPr>
              <w:pBdr>
                <w:top w:val="nil"/>
                <w:left w:val="nil"/>
                <w:bottom w:val="nil"/>
                <w:right w:val="nil"/>
                <w:between w:val="nil"/>
              </w:pBdr>
              <w:ind w:left="85" w:hanging="85"/>
              <w:rPr>
                <w:b/>
                <w:color w:val="000000"/>
              </w:rPr>
            </w:pPr>
          </w:p>
        </w:tc>
        <w:tc>
          <w:tcPr>
            <w:tcW w:w="1093" w:type="dxa"/>
            <w:tcBorders>
              <w:top w:val="single" w:sz="4" w:space="0" w:color="000000"/>
            </w:tcBorders>
            <w:vAlign w:val="bottom"/>
          </w:tcPr>
          <w:p w14:paraId="22205642" w14:textId="77777777" w:rsidR="008E5DE4" w:rsidRDefault="008E5DE4">
            <w:pPr>
              <w:pBdr>
                <w:top w:val="nil"/>
                <w:left w:val="nil"/>
                <w:bottom w:val="nil"/>
                <w:right w:val="nil"/>
                <w:between w:val="nil"/>
              </w:pBdr>
              <w:ind w:left="85" w:hanging="85"/>
              <w:rPr>
                <w:b/>
                <w:color w:val="000000"/>
              </w:rPr>
            </w:pPr>
          </w:p>
        </w:tc>
        <w:tc>
          <w:tcPr>
            <w:tcW w:w="1093" w:type="dxa"/>
            <w:tcBorders>
              <w:top w:val="single" w:sz="4" w:space="0" w:color="000000"/>
            </w:tcBorders>
            <w:vAlign w:val="bottom"/>
          </w:tcPr>
          <w:p w14:paraId="4D99E99C" w14:textId="77777777" w:rsidR="008E5DE4" w:rsidRDefault="008E5DE4">
            <w:pPr>
              <w:pBdr>
                <w:top w:val="nil"/>
                <w:left w:val="nil"/>
                <w:bottom w:val="nil"/>
                <w:right w:val="nil"/>
                <w:between w:val="nil"/>
              </w:pBdr>
              <w:ind w:left="85" w:hanging="85"/>
              <w:rPr>
                <w:b/>
                <w:color w:val="000000"/>
              </w:rPr>
            </w:pPr>
          </w:p>
        </w:tc>
        <w:tc>
          <w:tcPr>
            <w:tcW w:w="1092" w:type="dxa"/>
            <w:tcBorders>
              <w:top w:val="single" w:sz="4" w:space="0" w:color="000000"/>
            </w:tcBorders>
            <w:vAlign w:val="bottom"/>
          </w:tcPr>
          <w:p w14:paraId="24A3D207" w14:textId="77777777" w:rsidR="008E5DE4" w:rsidRDefault="008E5DE4">
            <w:pPr>
              <w:pBdr>
                <w:top w:val="nil"/>
                <w:left w:val="nil"/>
                <w:bottom w:val="nil"/>
                <w:right w:val="nil"/>
                <w:between w:val="nil"/>
              </w:pBdr>
              <w:ind w:left="85" w:hanging="85"/>
              <w:rPr>
                <w:b/>
                <w:color w:val="000000"/>
              </w:rPr>
            </w:pPr>
          </w:p>
        </w:tc>
        <w:tc>
          <w:tcPr>
            <w:tcW w:w="1093" w:type="dxa"/>
            <w:tcBorders>
              <w:top w:val="single" w:sz="4" w:space="0" w:color="000000"/>
            </w:tcBorders>
            <w:vAlign w:val="bottom"/>
          </w:tcPr>
          <w:p w14:paraId="3BBD0D8A" w14:textId="77777777" w:rsidR="008E5DE4" w:rsidRDefault="008E5DE4">
            <w:pPr>
              <w:pBdr>
                <w:top w:val="nil"/>
                <w:left w:val="nil"/>
                <w:bottom w:val="nil"/>
                <w:right w:val="nil"/>
                <w:between w:val="nil"/>
              </w:pBdr>
              <w:ind w:left="85" w:hanging="85"/>
              <w:rPr>
                <w:b/>
                <w:color w:val="000000"/>
              </w:rPr>
            </w:pPr>
          </w:p>
        </w:tc>
        <w:tc>
          <w:tcPr>
            <w:tcW w:w="1093" w:type="dxa"/>
            <w:tcBorders>
              <w:top w:val="single" w:sz="4" w:space="0" w:color="000000"/>
            </w:tcBorders>
            <w:vAlign w:val="bottom"/>
          </w:tcPr>
          <w:p w14:paraId="5EBD4D69" w14:textId="77777777" w:rsidR="008E5DE4" w:rsidRDefault="008E5DE4">
            <w:pPr>
              <w:pBdr>
                <w:top w:val="nil"/>
                <w:left w:val="nil"/>
                <w:bottom w:val="nil"/>
                <w:right w:val="nil"/>
                <w:between w:val="nil"/>
              </w:pBdr>
              <w:ind w:left="85" w:hanging="85"/>
              <w:rPr>
                <w:b/>
                <w:color w:val="000000"/>
              </w:rPr>
            </w:pPr>
          </w:p>
        </w:tc>
      </w:tr>
      <w:tr w:rsidR="008E5DE4" w14:paraId="06147D2E" w14:textId="77777777">
        <w:tc>
          <w:tcPr>
            <w:tcW w:w="2800" w:type="dxa"/>
            <w:vAlign w:val="bottom"/>
          </w:tcPr>
          <w:p w14:paraId="49D40F3A" w14:textId="6324EF32" w:rsidR="008E5DE4" w:rsidRDefault="00780368">
            <w:pPr>
              <w:pBdr>
                <w:top w:val="nil"/>
                <w:left w:val="nil"/>
                <w:bottom w:val="nil"/>
                <w:right w:val="nil"/>
                <w:between w:val="nil"/>
              </w:pBdr>
              <w:ind w:left="85" w:hanging="85"/>
              <w:rPr>
                <w:b/>
                <w:color w:val="000000"/>
              </w:rPr>
            </w:pPr>
            <w:r>
              <w:rPr>
                <w:b/>
                <w:color w:val="000000"/>
              </w:rPr>
              <w:t xml:space="preserve">Net interest sensitivity gap </w:t>
            </w:r>
            <w:proofErr w:type="gramStart"/>
            <w:r>
              <w:rPr>
                <w:b/>
                <w:color w:val="000000"/>
              </w:rPr>
              <w:t>at</w:t>
            </w:r>
            <w:proofErr w:type="gramEnd"/>
            <w:r>
              <w:rPr>
                <w:b/>
                <w:color w:val="000000"/>
              </w:rPr>
              <w:t xml:space="preserve"> 31 December </w:t>
            </w:r>
            <w:r w:rsidR="00A46633">
              <w:rPr>
                <w:b/>
                <w:color w:val="000000"/>
              </w:rPr>
              <w:t>2024</w:t>
            </w:r>
          </w:p>
        </w:tc>
        <w:tc>
          <w:tcPr>
            <w:tcW w:w="1092" w:type="dxa"/>
            <w:vAlign w:val="bottom"/>
          </w:tcPr>
          <w:p w14:paraId="67590A1F"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5DE6303C"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62D559FE" w14:textId="77777777" w:rsidR="008E5DE4" w:rsidRDefault="008E5DE4">
            <w:pPr>
              <w:pBdr>
                <w:top w:val="nil"/>
                <w:left w:val="nil"/>
                <w:bottom w:val="nil"/>
                <w:right w:val="nil"/>
                <w:between w:val="nil"/>
              </w:pBdr>
              <w:ind w:left="85" w:hanging="85"/>
              <w:rPr>
                <w:b/>
                <w:color w:val="000000"/>
              </w:rPr>
            </w:pPr>
          </w:p>
        </w:tc>
        <w:tc>
          <w:tcPr>
            <w:tcW w:w="1092" w:type="dxa"/>
            <w:vAlign w:val="bottom"/>
          </w:tcPr>
          <w:p w14:paraId="2DEA4A34"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102D7A12" w14:textId="77777777" w:rsidR="008E5DE4" w:rsidRDefault="008E5DE4">
            <w:pPr>
              <w:pBdr>
                <w:top w:val="nil"/>
                <w:left w:val="nil"/>
                <w:bottom w:val="nil"/>
                <w:right w:val="nil"/>
                <w:between w:val="nil"/>
              </w:pBdr>
              <w:ind w:left="85" w:hanging="85"/>
              <w:rPr>
                <w:b/>
                <w:color w:val="000000"/>
              </w:rPr>
            </w:pPr>
          </w:p>
        </w:tc>
        <w:tc>
          <w:tcPr>
            <w:tcW w:w="1093" w:type="dxa"/>
            <w:vAlign w:val="bottom"/>
          </w:tcPr>
          <w:p w14:paraId="3BB0BB76" w14:textId="77777777" w:rsidR="008E5DE4" w:rsidRDefault="008E5DE4">
            <w:pPr>
              <w:pBdr>
                <w:top w:val="nil"/>
                <w:left w:val="nil"/>
                <w:bottom w:val="nil"/>
                <w:right w:val="nil"/>
                <w:between w:val="nil"/>
              </w:pBdr>
              <w:ind w:left="85" w:hanging="85"/>
              <w:rPr>
                <w:b/>
                <w:color w:val="000000"/>
              </w:rPr>
            </w:pPr>
          </w:p>
        </w:tc>
      </w:tr>
      <w:tr w:rsidR="008E5DE4" w14:paraId="037D33BF" w14:textId="77777777">
        <w:trPr>
          <w:trHeight w:val="198"/>
        </w:trPr>
        <w:tc>
          <w:tcPr>
            <w:tcW w:w="2800" w:type="dxa"/>
            <w:tcBorders>
              <w:bottom w:val="single" w:sz="12" w:space="0" w:color="000000"/>
            </w:tcBorders>
            <w:vAlign w:val="bottom"/>
          </w:tcPr>
          <w:p w14:paraId="5B1302FC" w14:textId="77777777" w:rsidR="008E5DE4" w:rsidRDefault="008E5DE4">
            <w:pPr>
              <w:pBdr>
                <w:top w:val="nil"/>
                <w:left w:val="nil"/>
                <w:bottom w:val="nil"/>
                <w:right w:val="nil"/>
                <w:between w:val="nil"/>
              </w:pBdr>
              <w:ind w:left="85" w:hanging="85"/>
              <w:rPr>
                <w:b/>
                <w:color w:val="000000"/>
              </w:rPr>
            </w:pPr>
          </w:p>
        </w:tc>
        <w:tc>
          <w:tcPr>
            <w:tcW w:w="1092" w:type="dxa"/>
            <w:tcBorders>
              <w:bottom w:val="single" w:sz="12" w:space="0" w:color="000000"/>
            </w:tcBorders>
            <w:vAlign w:val="bottom"/>
          </w:tcPr>
          <w:p w14:paraId="03665D02" w14:textId="77777777" w:rsidR="008E5DE4" w:rsidRDefault="008E5DE4">
            <w:pPr>
              <w:pBdr>
                <w:top w:val="nil"/>
                <w:left w:val="nil"/>
                <w:bottom w:val="nil"/>
                <w:right w:val="nil"/>
                <w:between w:val="nil"/>
              </w:pBdr>
              <w:ind w:left="85" w:hanging="85"/>
              <w:rPr>
                <w:b/>
                <w:color w:val="000000"/>
              </w:rPr>
            </w:pPr>
          </w:p>
        </w:tc>
        <w:tc>
          <w:tcPr>
            <w:tcW w:w="1093" w:type="dxa"/>
            <w:tcBorders>
              <w:bottom w:val="single" w:sz="12" w:space="0" w:color="000000"/>
            </w:tcBorders>
            <w:vAlign w:val="bottom"/>
          </w:tcPr>
          <w:p w14:paraId="090AD8F1" w14:textId="77777777" w:rsidR="008E5DE4" w:rsidRDefault="008E5DE4">
            <w:pPr>
              <w:pBdr>
                <w:top w:val="nil"/>
                <w:left w:val="nil"/>
                <w:bottom w:val="nil"/>
                <w:right w:val="nil"/>
                <w:between w:val="nil"/>
              </w:pBdr>
              <w:ind w:left="85" w:hanging="85"/>
              <w:rPr>
                <w:b/>
                <w:color w:val="000000"/>
              </w:rPr>
            </w:pPr>
          </w:p>
        </w:tc>
        <w:tc>
          <w:tcPr>
            <w:tcW w:w="1093" w:type="dxa"/>
            <w:tcBorders>
              <w:bottom w:val="single" w:sz="12" w:space="0" w:color="000000"/>
            </w:tcBorders>
            <w:vAlign w:val="bottom"/>
          </w:tcPr>
          <w:p w14:paraId="00314669" w14:textId="77777777" w:rsidR="008E5DE4" w:rsidRDefault="008E5DE4">
            <w:pPr>
              <w:pBdr>
                <w:top w:val="nil"/>
                <w:left w:val="nil"/>
                <w:bottom w:val="nil"/>
                <w:right w:val="nil"/>
                <w:between w:val="nil"/>
              </w:pBdr>
              <w:ind w:left="85" w:hanging="85"/>
              <w:rPr>
                <w:b/>
                <w:color w:val="000000"/>
              </w:rPr>
            </w:pPr>
          </w:p>
        </w:tc>
        <w:tc>
          <w:tcPr>
            <w:tcW w:w="1092" w:type="dxa"/>
            <w:tcBorders>
              <w:bottom w:val="single" w:sz="12" w:space="0" w:color="000000"/>
            </w:tcBorders>
            <w:vAlign w:val="bottom"/>
          </w:tcPr>
          <w:p w14:paraId="7D66C7BD" w14:textId="77777777" w:rsidR="008E5DE4" w:rsidRDefault="008E5DE4">
            <w:pPr>
              <w:pBdr>
                <w:top w:val="nil"/>
                <w:left w:val="nil"/>
                <w:bottom w:val="nil"/>
                <w:right w:val="nil"/>
                <w:between w:val="nil"/>
              </w:pBdr>
              <w:ind w:left="85" w:hanging="85"/>
              <w:rPr>
                <w:b/>
                <w:color w:val="000000"/>
              </w:rPr>
            </w:pPr>
          </w:p>
        </w:tc>
        <w:tc>
          <w:tcPr>
            <w:tcW w:w="1093" w:type="dxa"/>
            <w:tcBorders>
              <w:bottom w:val="single" w:sz="12" w:space="0" w:color="000000"/>
            </w:tcBorders>
            <w:vAlign w:val="bottom"/>
          </w:tcPr>
          <w:p w14:paraId="6B099432" w14:textId="77777777" w:rsidR="008E5DE4" w:rsidRDefault="008E5DE4">
            <w:pPr>
              <w:pBdr>
                <w:top w:val="nil"/>
                <w:left w:val="nil"/>
                <w:bottom w:val="nil"/>
                <w:right w:val="nil"/>
                <w:between w:val="nil"/>
              </w:pBdr>
              <w:ind w:left="85" w:hanging="85"/>
              <w:rPr>
                <w:b/>
                <w:color w:val="000000"/>
              </w:rPr>
            </w:pPr>
          </w:p>
        </w:tc>
        <w:tc>
          <w:tcPr>
            <w:tcW w:w="1093" w:type="dxa"/>
            <w:tcBorders>
              <w:bottom w:val="single" w:sz="12" w:space="0" w:color="000000"/>
            </w:tcBorders>
            <w:vAlign w:val="bottom"/>
          </w:tcPr>
          <w:p w14:paraId="69873806" w14:textId="77777777" w:rsidR="008E5DE4" w:rsidRDefault="008E5DE4">
            <w:pPr>
              <w:pBdr>
                <w:top w:val="nil"/>
                <w:left w:val="nil"/>
                <w:bottom w:val="nil"/>
                <w:right w:val="nil"/>
                <w:between w:val="nil"/>
              </w:pBdr>
              <w:ind w:left="85" w:hanging="85"/>
              <w:rPr>
                <w:b/>
                <w:color w:val="000000"/>
              </w:rPr>
            </w:pPr>
          </w:p>
        </w:tc>
      </w:tr>
    </w:tbl>
    <w:p w14:paraId="7536D9A2" w14:textId="651E8995" w:rsidR="008E5DE4" w:rsidRDefault="00780368">
      <w:pPr>
        <w:pBdr>
          <w:top w:val="nil"/>
          <w:left w:val="nil"/>
          <w:bottom w:val="nil"/>
          <w:right w:val="nil"/>
          <w:between w:val="nil"/>
        </w:pBdr>
        <w:spacing w:before="240" w:after="240" w:line="228" w:lineRule="auto"/>
        <w:jc w:val="both"/>
        <w:rPr>
          <w:color w:val="0000FF"/>
          <w:sz w:val="20"/>
          <w:szCs w:val="20"/>
        </w:rPr>
      </w:pPr>
      <w:proofErr w:type="gramStart"/>
      <w:r>
        <w:rPr>
          <w:color w:val="000000"/>
          <w:sz w:val="20"/>
          <w:szCs w:val="20"/>
        </w:rPr>
        <w:t>All of</w:t>
      </w:r>
      <w:proofErr w:type="gramEnd"/>
      <w:r>
        <w:rPr>
          <w:color w:val="000000"/>
          <w:sz w:val="20"/>
          <w:szCs w:val="20"/>
        </w:rPr>
        <w:t xml:space="preserve"> the Group’s debt instruments reprice within 5 years </w:t>
      </w:r>
      <w:r>
        <w:rPr>
          <w:color w:val="0000FF"/>
          <w:sz w:val="20"/>
          <w:szCs w:val="20"/>
        </w:rPr>
        <w:t>[except fixed interest rate [</w:t>
      </w:r>
      <w:proofErr w:type="spellStart"/>
      <w:r>
        <w:rPr>
          <w:color w:val="0000FF"/>
          <w:sz w:val="20"/>
          <w:szCs w:val="20"/>
        </w:rPr>
        <w:t>eurobonds</w:t>
      </w:r>
      <w:proofErr w:type="spellEnd"/>
      <w:r>
        <w:rPr>
          <w:color w:val="0000FF"/>
          <w:sz w:val="20"/>
          <w:szCs w:val="20"/>
        </w:rPr>
        <w:t>] of EUR____ thousand, which mature in ___</w:t>
      </w:r>
      <w:proofErr w:type="gramStart"/>
      <w:r>
        <w:rPr>
          <w:color w:val="0000FF"/>
          <w:sz w:val="20"/>
          <w:szCs w:val="20"/>
        </w:rPr>
        <w:t>_ ]</w:t>
      </w:r>
      <w:proofErr w:type="gramEnd"/>
      <w:r>
        <w:rPr>
          <w:color w:val="0000FF"/>
          <w:sz w:val="20"/>
          <w:szCs w:val="20"/>
        </w:rPr>
        <w:t xml:space="preserve"> </w:t>
      </w:r>
      <w:r>
        <w:rPr>
          <w:color w:val="000000"/>
          <w:sz w:val="20"/>
          <w:szCs w:val="20"/>
        </w:rPr>
        <w:t>(</w:t>
      </w:r>
      <w:r w:rsidR="00A46633">
        <w:rPr>
          <w:color w:val="000000"/>
          <w:sz w:val="20"/>
          <w:szCs w:val="20"/>
        </w:rPr>
        <w:t>2024</w:t>
      </w:r>
      <w:r>
        <w:rPr>
          <w:color w:val="000000"/>
          <w:sz w:val="20"/>
          <w:szCs w:val="20"/>
        </w:rPr>
        <w:t xml:space="preserve">: all reprice within 5 years </w:t>
      </w:r>
      <w:r>
        <w:rPr>
          <w:color w:val="0000FF"/>
          <w:sz w:val="20"/>
          <w:szCs w:val="20"/>
        </w:rPr>
        <w:t>[except fixed interest rate [</w:t>
      </w:r>
      <w:proofErr w:type="spellStart"/>
      <w:r>
        <w:rPr>
          <w:color w:val="0000FF"/>
          <w:sz w:val="20"/>
          <w:szCs w:val="20"/>
        </w:rPr>
        <w:t>eurobonds</w:t>
      </w:r>
      <w:proofErr w:type="spellEnd"/>
      <w:r>
        <w:rPr>
          <w:color w:val="0000FF"/>
          <w:sz w:val="20"/>
          <w:szCs w:val="20"/>
        </w:rPr>
        <w:t>] of EUR____ thousand, which mature in ___</w:t>
      </w:r>
      <w:proofErr w:type="gramStart"/>
      <w:r>
        <w:rPr>
          <w:color w:val="0000FF"/>
          <w:sz w:val="20"/>
          <w:szCs w:val="20"/>
        </w:rPr>
        <w:t>_ ]</w:t>
      </w:r>
      <w:proofErr w:type="gramEnd"/>
      <w:r>
        <w:rPr>
          <w:color w:val="0000FF"/>
          <w:sz w:val="20"/>
          <w:szCs w:val="20"/>
        </w:rPr>
        <w:t>).</w:t>
      </w:r>
    </w:p>
    <w:p w14:paraId="54482558" w14:textId="16487750" w:rsidR="008E5DE4" w:rsidRDefault="00780368">
      <w:pPr>
        <w:pBdr>
          <w:top w:val="nil"/>
          <w:left w:val="nil"/>
          <w:bottom w:val="nil"/>
          <w:right w:val="nil"/>
          <w:between w:val="nil"/>
        </w:pBdr>
        <w:spacing w:after="240" w:line="228" w:lineRule="auto"/>
        <w:jc w:val="both"/>
        <w:rPr>
          <w:i/>
          <w:color w:val="FF0000"/>
          <w:sz w:val="20"/>
          <w:szCs w:val="20"/>
        </w:rPr>
      </w:pPr>
      <w:r>
        <w:rPr>
          <w:color w:val="000000"/>
          <w:sz w:val="20"/>
          <w:szCs w:val="20"/>
        </w:rPr>
        <w:t xml:space="preserve">At 31 December </w:t>
      </w:r>
      <w:r w:rsidR="008614F8">
        <w:rPr>
          <w:color w:val="000000"/>
          <w:sz w:val="20"/>
          <w:szCs w:val="20"/>
        </w:rPr>
        <w:t>2025</w:t>
      </w:r>
      <w:r>
        <w:rPr>
          <w:color w:val="000000"/>
          <w:sz w:val="20"/>
          <w:szCs w:val="20"/>
        </w:rPr>
        <w:t>, if interest rates at that date had been 200 basis points lower (</w:t>
      </w:r>
      <w:r w:rsidR="00A46633">
        <w:rPr>
          <w:color w:val="000000"/>
          <w:sz w:val="20"/>
          <w:szCs w:val="20"/>
        </w:rPr>
        <w:t>2024</w:t>
      </w:r>
      <w:r>
        <w:rPr>
          <w:color w:val="000000"/>
          <w:sz w:val="20"/>
          <w:szCs w:val="20"/>
        </w:rPr>
        <w:t>: [200] basis points lower) with all other variables held constant, profit for the year would have been EUR____ thousand (</w:t>
      </w:r>
      <w:r w:rsidR="00A46633">
        <w:rPr>
          <w:color w:val="000000"/>
          <w:sz w:val="20"/>
          <w:szCs w:val="20"/>
        </w:rPr>
        <w:t>2024</w:t>
      </w:r>
      <w:r>
        <w:rPr>
          <w:color w:val="000000"/>
          <w:sz w:val="20"/>
          <w:szCs w:val="20"/>
        </w:rPr>
        <w:t xml:space="preserve">: EUR____ thousand) higher, mainly as a result of lower interest expense on variable interest liabilities </w:t>
      </w:r>
      <w:r>
        <w:rPr>
          <w:color w:val="0000FF"/>
          <w:sz w:val="20"/>
          <w:szCs w:val="20"/>
        </w:rPr>
        <w:t>[and higher fair value of debt securities at fair value through profit or loss]</w:t>
      </w:r>
      <w:r>
        <w:rPr>
          <w:color w:val="000000"/>
          <w:sz w:val="20"/>
          <w:szCs w:val="20"/>
        </w:rPr>
        <w:t>. Other components of equity would have been EUR____ thousand (</w:t>
      </w:r>
      <w:r w:rsidR="00A46633">
        <w:rPr>
          <w:color w:val="000000"/>
          <w:sz w:val="20"/>
          <w:szCs w:val="20"/>
        </w:rPr>
        <w:t>2024</w:t>
      </w:r>
      <w:r>
        <w:rPr>
          <w:color w:val="000000"/>
          <w:sz w:val="20"/>
          <w:szCs w:val="20"/>
        </w:rPr>
        <w:t xml:space="preserve">: EUR____ thousand) higher, </w:t>
      </w:r>
      <w:r>
        <w:rPr>
          <w:color w:val="0000FF"/>
          <w:sz w:val="20"/>
          <w:szCs w:val="20"/>
        </w:rPr>
        <w:t>[mainly]</w:t>
      </w:r>
      <w:r>
        <w:rPr>
          <w:color w:val="000000"/>
          <w:sz w:val="20"/>
          <w:szCs w:val="20"/>
        </w:rPr>
        <w:t xml:space="preserve"> </w:t>
      </w:r>
      <w:proofErr w:type="gramStart"/>
      <w:r>
        <w:rPr>
          <w:color w:val="000000"/>
          <w:sz w:val="20"/>
          <w:szCs w:val="20"/>
        </w:rPr>
        <w:t>as a result of</w:t>
      </w:r>
      <w:proofErr w:type="gramEnd"/>
      <w:r>
        <w:rPr>
          <w:color w:val="000000"/>
          <w:sz w:val="20"/>
          <w:szCs w:val="20"/>
        </w:rPr>
        <w:t xml:space="preserve"> an increase in the fair value of fixed rate financial assets at fair value through other comprehensive income. </w:t>
      </w:r>
    </w:p>
    <w:p w14:paraId="6ECD86CB" w14:textId="751606BC" w:rsidR="008E5DE4" w:rsidRDefault="00780368">
      <w:pPr>
        <w:pBdr>
          <w:top w:val="nil"/>
          <w:left w:val="nil"/>
          <w:bottom w:val="nil"/>
          <w:right w:val="nil"/>
          <w:between w:val="nil"/>
        </w:pBdr>
        <w:spacing w:after="240" w:line="228" w:lineRule="auto"/>
        <w:jc w:val="both"/>
        <w:rPr>
          <w:i/>
          <w:color w:val="FF0000"/>
          <w:sz w:val="20"/>
          <w:szCs w:val="20"/>
        </w:rPr>
      </w:pPr>
      <w:r>
        <w:rPr>
          <w:color w:val="000000"/>
          <w:sz w:val="20"/>
          <w:szCs w:val="20"/>
        </w:rPr>
        <w:t>If interest rates had been 200 basis points higher (</w:t>
      </w:r>
      <w:r w:rsidR="00A46633">
        <w:rPr>
          <w:color w:val="000000"/>
          <w:sz w:val="20"/>
          <w:szCs w:val="20"/>
        </w:rPr>
        <w:t>2024</w:t>
      </w:r>
      <w:r>
        <w:rPr>
          <w:color w:val="000000"/>
          <w:sz w:val="20"/>
          <w:szCs w:val="20"/>
        </w:rPr>
        <w:t>: [200] basis points higher), with all other variables held constant, profit would have been EUR____ thousand (</w:t>
      </w:r>
      <w:r w:rsidR="00A46633">
        <w:rPr>
          <w:color w:val="000000"/>
          <w:sz w:val="20"/>
          <w:szCs w:val="20"/>
        </w:rPr>
        <w:t>2024</w:t>
      </w:r>
      <w:r>
        <w:rPr>
          <w:color w:val="000000"/>
          <w:sz w:val="20"/>
          <w:szCs w:val="20"/>
        </w:rPr>
        <w:t xml:space="preserve">: EUR____ thousand) lower, mainly as a result of higher interest expense on variable interest liabilities </w:t>
      </w:r>
      <w:r>
        <w:rPr>
          <w:color w:val="0000FF"/>
          <w:sz w:val="20"/>
          <w:szCs w:val="20"/>
        </w:rPr>
        <w:t>[and lower fair value of debt securities at fair value through profit or loss].</w:t>
      </w:r>
      <w:r>
        <w:rPr>
          <w:color w:val="000000"/>
          <w:sz w:val="20"/>
          <w:szCs w:val="20"/>
        </w:rPr>
        <w:t xml:space="preserve"> Other components of equity would have been EUR____ thousand (</w:t>
      </w:r>
      <w:r w:rsidR="00A46633">
        <w:rPr>
          <w:color w:val="000000"/>
          <w:sz w:val="20"/>
          <w:szCs w:val="20"/>
        </w:rPr>
        <w:t>2024</w:t>
      </w:r>
      <w:r>
        <w:rPr>
          <w:color w:val="000000"/>
          <w:sz w:val="20"/>
          <w:szCs w:val="20"/>
        </w:rPr>
        <w:t xml:space="preserve">: EUR____ thousand) lower, </w:t>
      </w:r>
      <w:r>
        <w:rPr>
          <w:color w:val="0000FF"/>
          <w:sz w:val="20"/>
          <w:szCs w:val="20"/>
        </w:rPr>
        <w:t xml:space="preserve">[mainly] </w:t>
      </w:r>
      <w:proofErr w:type="gramStart"/>
      <w:r>
        <w:rPr>
          <w:color w:val="000000"/>
          <w:sz w:val="20"/>
          <w:szCs w:val="20"/>
        </w:rPr>
        <w:t>as a result of</w:t>
      </w:r>
      <w:proofErr w:type="gramEnd"/>
      <w:r>
        <w:rPr>
          <w:color w:val="000000"/>
          <w:sz w:val="20"/>
          <w:szCs w:val="20"/>
        </w:rPr>
        <w:t xml:space="preserve"> a decrease in the fair value of fixed rate financial assets at fair value through other comprehensive income. </w:t>
      </w:r>
    </w:p>
    <w:p w14:paraId="5DB9142D" w14:textId="6129C65F" w:rsidR="008E5DE4" w:rsidRDefault="00780368">
      <w:pPr>
        <w:pBdr>
          <w:top w:val="nil"/>
          <w:left w:val="nil"/>
          <w:bottom w:val="nil"/>
          <w:right w:val="nil"/>
          <w:between w:val="nil"/>
        </w:pBdr>
        <w:spacing w:after="240" w:line="228" w:lineRule="auto"/>
        <w:jc w:val="both"/>
        <w:rPr>
          <w:color w:val="0000FF"/>
          <w:sz w:val="20"/>
          <w:szCs w:val="20"/>
        </w:rPr>
      </w:pPr>
      <w:r>
        <w:rPr>
          <w:color w:val="0000FF"/>
          <w:sz w:val="20"/>
          <w:szCs w:val="20"/>
        </w:rPr>
        <w:t xml:space="preserve">[The Group’s exposure to interest rate risk at the end of the reporting period is not representative of the typical exposure during the year. For the average exposure during </w:t>
      </w:r>
      <w:r w:rsidR="008614F8">
        <w:rPr>
          <w:color w:val="0000FF"/>
          <w:sz w:val="20"/>
          <w:szCs w:val="20"/>
        </w:rPr>
        <w:t>2025</w:t>
      </w:r>
      <w:r>
        <w:rPr>
          <w:color w:val="0000FF"/>
          <w:sz w:val="20"/>
          <w:szCs w:val="20"/>
        </w:rPr>
        <w:t>, if interest rates had been 200 basis points lower (</w:t>
      </w:r>
      <w:r w:rsidR="00A46633">
        <w:rPr>
          <w:color w:val="0000FF"/>
          <w:sz w:val="20"/>
          <w:szCs w:val="20"/>
        </w:rPr>
        <w:t>2024</w:t>
      </w:r>
      <w:r>
        <w:rPr>
          <w:color w:val="0000FF"/>
          <w:sz w:val="20"/>
          <w:szCs w:val="20"/>
        </w:rPr>
        <w:t>: [200] basis points lower) with all other variables held constant, profit for the year would have been EUR____ thousand (</w:t>
      </w:r>
      <w:r w:rsidR="00A46633">
        <w:rPr>
          <w:color w:val="0000FF"/>
          <w:sz w:val="20"/>
          <w:szCs w:val="20"/>
        </w:rPr>
        <w:t>2024</w:t>
      </w:r>
      <w:r>
        <w:rPr>
          <w:color w:val="0000FF"/>
          <w:sz w:val="20"/>
          <w:szCs w:val="20"/>
        </w:rPr>
        <w:t xml:space="preserve">: EUR____ thousand) higher, [mainly] as a result of lower interest expense on variable interest liabilities [and higher fair value of debt securities at fair value through profit or loss]. Other components of equity would have been EUR____ thousand (2022: EUR____ thousand) higher, [mainly] </w:t>
      </w:r>
      <w:proofErr w:type="gramStart"/>
      <w:r>
        <w:rPr>
          <w:color w:val="0000FF"/>
          <w:sz w:val="20"/>
          <w:szCs w:val="20"/>
        </w:rPr>
        <w:t>as a result of</w:t>
      </w:r>
      <w:proofErr w:type="gramEnd"/>
      <w:r>
        <w:rPr>
          <w:color w:val="0000FF"/>
          <w:sz w:val="20"/>
          <w:szCs w:val="20"/>
        </w:rPr>
        <w:t xml:space="preserve"> an increase in the fair value of fixed rate financial assets at fair value through other comprehensive income. </w:t>
      </w:r>
    </w:p>
    <w:p w14:paraId="2047FB0F" w14:textId="77777777" w:rsidR="008E5DE4" w:rsidRDefault="00780368">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047739D5" w14:textId="690D4FDB" w:rsidR="008E5DE4" w:rsidRDefault="00780368">
      <w:pPr>
        <w:pBdr>
          <w:top w:val="nil"/>
          <w:left w:val="nil"/>
          <w:bottom w:val="nil"/>
          <w:right w:val="nil"/>
          <w:between w:val="nil"/>
        </w:pBdr>
        <w:spacing w:before="200" w:after="200" w:line="228" w:lineRule="auto"/>
        <w:jc w:val="both"/>
        <w:rPr>
          <w:color w:val="FF0000"/>
          <w:sz w:val="20"/>
          <w:szCs w:val="20"/>
        </w:rPr>
      </w:pPr>
      <w:r>
        <w:rPr>
          <w:color w:val="0000FF"/>
          <w:sz w:val="20"/>
          <w:szCs w:val="20"/>
        </w:rPr>
        <w:t xml:space="preserve">For the average exposure during </w:t>
      </w:r>
      <w:r w:rsidR="00A46633">
        <w:rPr>
          <w:color w:val="0000FF"/>
          <w:sz w:val="20"/>
          <w:szCs w:val="20"/>
        </w:rPr>
        <w:t>2024</w:t>
      </w:r>
      <w:r>
        <w:rPr>
          <w:color w:val="0000FF"/>
          <w:sz w:val="20"/>
          <w:szCs w:val="20"/>
        </w:rPr>
        <w:t>, if interest rates had been 200 basis points higher (</w:t>
      </w:r>
      <w:r w:rsidR="00A46633">
        <w:rPr>
          <w:color w:val="0000FF"/>
          <w:sz w:val="20"/>
          <w:szCs w:val="20"/>
        </w:rPr>
        <w:t>2024</w:t>
      </w:r>
      <w:r>
        <w:rPr>
          <w:color w:val="0000FF"/>
          <w:sz w:val="20"/>
          <w:szCs w:val="20"/>
        </w:rPr>
        <w:t>: [200] basis points higher), with all other variables held constant, profit would have been EUR____ thousand (</w:t>
      </w:r>
      <w:r w:rsidR="00A46633">
        <w:rPr>
          <w:color w:val="0000FF"/>
          <w:sz w:val="20"/>
          <w:szCs w:val="20"/>
        </w:rPr>
        <w:t>2024</w:t>
      </w:r>
      <w:r>
        <w:rPr>
          <w:color w:val="0000FF"/>
          <w:sz w:val="20"/>
          <w:szCs w:val="20"/>
        </w:rPr>
        <w:t>: EUR____ thousand) lower, [mainly] as a result of higher interest expense on variable interest liabilities [and lower fair value of debt securities at fair value through profit or loss]. Other components of equity would have been EUR____ thousand (</w:t>
      </w:r>
      <w:r w:rsidR="00A46633">
        <w:rPr>
          <w:color w:val="0000FF"/>
          <w:sz w:val="20"/>
          <w:szCs w:val="20"/>
        </w:rPr>
        <w:t>2024</w:t>
      </w:r>
      <w:r>
        <w:rPr>
          <w:color w:val="0000FF"/>
          <w:sz w:val="20"/>
          <w:szCs w:val="20"/>
        </w:rPr>
        <w:t xml:space="preserve">: EUR____ thousand) lower, [mainly] </w:t>
      </w:r>
      <w:proofErr w:type="gramStart"/>
      <w:r>
        <w:rPr>
          <w:color w:val="0000FF"/>
          <w:sz w:val="20"/>
          <w:szCs w:val="20"/>
        </w:rPr>
        <w:t>as a result of</w:t>
      </w:r>
      <w:proofErr w:type="gramEnd"/>
      <w:r>
        <w:rPr>
          <w:color w:val="0000FF"/>
          <w:sz w:val="20"/>
          <w:szCs w:val="20"/>
        </w:rPr>
        <w:t xml:space="preserve"> a decrease in the fair value of fixed rate financial assets at fair value through other comprehensive income.] </w:t>
      </w:r>
    </w:p>
    <w:p w14:paraId="6CF24983" w14:textId="77777777" w:rsidR="008E5DE4" w:rsidRDefault="00780368">
      <w:pPr>
        <w:pBdr>
          <w:top w:val="nil"/>
          <w:left w:val="nil"/>
          <w:bottom w:val="nil"/>
          <w:right w:val="nil"/>
          <w:between w:val="nil"/>
        </w:pBdr>
        <w:spacing w:before="200" w:after="200" w:line="228" w:lineRule="auto"/>
        <w:jc w:val="both"/>
        <w:rPr>
          <w:color w:val="000000"/>
          <w:sz w:val="20"/>
          <w:szCs w:val="20"/>
        </w:rPr>
      </w:pPr>
      <w:r>
        <w:rPr>
          <w:color w:val="000000"/>
          <w:sz w:val="20"/>
          <w:szCs w:val="20"/>
        </w:rPr>
        <w:t>The Group monitors interest rates for its financial instruments. The table below summarises interest rates at the respective reporting date based on reports reviewed by key management personnel. For securities, the interest rates represent yields to maturity based on market quotations at the reporting date:</w:t>
      </w:r>
    </w:p>
    <w:tbl>
      <w:tblPr>
        <w:tblStyle w:val="afffffffffffff9"/>
        <w:tblW w:w="9412" w:type="dxa"/>
        <w:tblLayout w:type="fixed"/>
        <w:tblLook w:val="0000" w:firstRow="0" w:lastRow="0" w:firstColumn="0" w:lastColumn="0" w:noHBand="0" w:noVBand="0"/>
      </w:tblPr>
      <w:tblGrid>
        <w:gridCol w:w="2608"/>
        <w:gridCol w:w="850"/>
        <w:gridCol w:w="850"/>
        <w:gridCol w:w="850"/>
        <w:gridCol w:w="852"/>
        <w:gridCol w:w="850"/>
        <w:gridCol w:w="850"/>
        <w:gridCol w:w="850"/>
        <w:gridCol w:w="852"/>
      </w:tblGrid>
      <w:tr w:rsidR="008E5DE4" w14:paraId="7013C891" w14:textId="77777777">
        <w:trPr>
          <w:cantSplit/>
          <w:tblHeader/>
        </w:trPr>
        <w:tc>
          <w:tcPr>
            <w:tcW w:w="2608" w:type="dxa"/>
            <w:vMerge w:val="restart"/>
            <w:vAlign w:val="bottom"/>
          </w:tcPr>
          <w:p w14:paraId="25FB1C14"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i/>
                <w:color w:val="000000"/>
              </w:rPr>
              <w:t>In % p.a.</w:t>
            </w:r>
          </w:p>
        </w:tc>
        <w:tc>
          <w:tcPr>
            <w:tcW w:w="3402" w:type="dxa"/>
            <w:gridSpan w:val="4"/>
            <w:tcBorders>
              <w:bottom w:val="single" w:sz="4" w:space="0" w:color="000000"/>
            </w:tcBorders>
            <w:vAlign w:val="bottom"/>
          </w:tcPr>
          <w:p w14:paraId="2D70FDEA" w14:textId="5F5AB396" w:rsidR="008E5DE4" w:rsidRDefault="008614F8">
            <w:pPr>
              <w:widowControl w:val="0"/>
              <w:pBdr>
                <w:top w:val="nil"/>
                <w:left w:val="nil"/>
                <w:bottom w:val="nil"/>
                <w:right w:val="nil"/>
                <w:between w:val="nil"/>
              </w:pBdr>
              <w:spacing w:line="228" w:lineRule="auto"/>
              <w:jc w:val="center"/>
              <w:rPr>
                <w:b/>
                <w:color w:val="000000"/>
              </w:rPr>
            </w:pPr>
            <w:r>
              <w:rPr>
                <w:b/>
                <w:color w:val="000000"/>
              </w:rPr>
              <w:t>2025</w:t>
            </w:r>
          </w:p>
        </w:tc>
        <w:tc>
          <w:tcPr>
            <w:tcW w:w="3402" w:type="dxa"/>
            <w:gridSpan w:val="4"/>
            <w:tcBorders>
              <w:bottom w:val="single" w:sz="4" w:space="0" w:color="000000"/>
            </w:tcBorders>
            <w:vAlign w:val="bottom"/>
          </w:tcPr>
          <w:p w14:paraId="62C9BAE5" w14:textId="1B2B6ADC" w:rsidR="008E5DE4" w:rsidRDefault="00A46633">
            <w:pPr>
              <w:widowControl w:val="0"/>
              <w:pBdr>
                <w:top w:val="nil"/>
                <w:left w:val="nil"/>
                <w:bottom w:val="nil"/>
                <w:right w:val="nil"/>
                <w:between w:val="nil"/>
              </w:pBdr>
              <w:spacing w:line="228" w:lineRule="auto"/>
              <w:jc w:val="center"/>
              <w:rPr>
                <w:b/>
                <w:color w:val="000000"/>
              </w:rPr>
            </w:pPr>
            <w:r>
              <w:rPr>
                <w:b/>
                <w:color w:val="000000"/>
              </w:rPr>
              <w:t>2024</w:t>
            </w:r>
          </w:p>
        </w:tc>
      </w:tr>
      <w:tr w:rsidR="008E5DE4" w14:paraId="6C0662BE" w14:textId="77777777">
        <w:trPr>
          <w:cantSplit/>
          <w:tblHeader/>
        </w:trPr>
        <w:tc>
          <w:tcPr>
            <w:tcW w:w="2608" w:type="dxa"/>
            <w:vMerge/>
            <w:vAlign w:val="bottom"/>
          </w:tcPr>
          <w:p w14:paraId="420259A9" w14:textId="77777777" w:rsidR="008E5DE4" w:rsidRDefault="008E5DE4">
            <w:pPr>
              <w:widowControl w:val="0"/>
              <w:pBdr>
                <w:top w:val="nil"/>
                <w:left w:val="nil"/>
                <w:bottom w:val="nil"/>
                <w:right w:val="nil"/>
                <w:between w:val="nil"/>
              </w:pBdr>
              <w:spacing w:line="276" w:lineRule="auto"/>
              <w:rPr>
                <w:b/>
                <w:color w:val="000000"/>
              </w:rPr>
            </w:pPr>
          </w:p>
        </w:tc>
        <w:tc>
          <w:tcPr>
            <w:tcW w:w="850" w:type="dxa"/>
            <w:tcBorders>
              <w:bottom w:val="single" w:sz="4" w:space="0" w:color="000000"/>
            </w:tcBorders>
            <w:vAlign w:val="bottom"/>
          </w:tcPr>
          <w:p w14:paraId="6F369351" w14:textId="77777777" w:rsidR="008E5DE4" w:rsidRDefault="008E5DE4">
            <w:pPr>
              <w:widowControl w:val="0"/>
              <w:pBdr>
                <w:top w:val="nil"/>
                <w:left w:val="nil"/>
                <w:bottom w:val="nil"/>
                <w:right w:val="nil"/>
                <w:between w:val="nil"/>
              </w:pBdr>
              <w:spacing w:line="228" w:lineRule="auto"/>
              <w:jc w:val="right"/>
              <w:rPr>
                <w:b/>
                <w:color w:val="000000"/>
              </w:rPr>
            </w:pPr>
          </w:p>
          <w:p w14:paraId="1BBE6BFC" w14:textId="77777777" w:rsidR="008E5DE4" w:rsidRDefault="00780368">
            <w:pPr>
              <w:widowControl w:val="0"/>
              <w:pBdr>
                <w:top w:val="nil"/>
                <w:left w:val="nil"/>
                <w:bottom w:val="nil"/>
                <w:right w:val="nil"/>
                <w:between w:val="nil"/>
              </w:pBdr>
              <w:spacing w:line="228" w:lineRule="auto"/>
              <w:jc w:val="right"/>
              <w:rPr>
                <w:b/>
                <w:color w:val="000000"/>
              </w:rPr>
            </w:pPr>
            <w:r>
              <w:rPr>
                <w:b/>
                <w:color w:val="000000"/>
              </w:rPr>
              <w:t>EUR</w:t>
            </w:r>
          </w:p>
        </w:tc>
        <w:tc>
          <w:tcPr>
            <w:tcW w:w="850" w:type="dxa"/>
            <w:tcBorders>
              <w:bottom w:val="single" w:sz="4" w:space="0" w:color="000000"/>
            </w:tcBorders>
            <w:vAlign w:val="bottom"/>
          </w:tcPr>
          <w:p w14:paraId="73416934" w14:textId="77777777" w:rsidR="008E5DE4" w:rsidRDefault="00780368">
            <w:pPr>
              <w:widowControl w:val="0"/>
              <w:pBdr>
                <w:top w:val="nil"/>
                <w:left w:val="nil"/>
                <w:bottom w:val="nil"/>
                <w:right w:val="nil"/>
                <w:between w:val="nil"/>
              </w:pBdr>
              <w:spacing w:line="228" w:lineRule="auto"/>
              <w:jc w:val="right"/>
              <w:rPr>
                <w:b/>
                <w:color w:val="000000"/>
              </w:rPr>
            </w:pPr>
            <w:r w:rsidRPr="00181448">
              <w:rPr>
                <w:b/>
                <w:color w:val="0000FF"/>
              </w:rPr>
              <w:t>USD</w:t>
            </w:r>
          </w:p>
        </w:tc>
        <w:tc>
          <w:tcPr>
            <w:tcW w:w="850" w:type="dxa"/>
            <w:tcBorders>
              <w:bottom w:val="single" w:sz="4" w:space="0" w:color="000000"/>
            </w:tcBorders>
            <w:vAlign w:val="bottom"/>
          </w:tcPr>
          <w:p w14:paraId="2F6DD4BF" w14:textId="77777777" w:rsidR="008E5DE4" w:rsidRDefault="008E5DE4">
            <w:pPr>
              <w:widowControl w:val="0"/>
              <w:pBdr>
                <w:top w:val="nil"/>
                <w:left w:val="nil"/>
                <w:bottom w:val="nil"/>
                <w:right w:val="nil"/>
                <w:between w:val="nil"/>
              </w:pBdr>
              <w:spacing w:line="228" w:lineRule="auto"/>
              <w:jc w:val="right"/>
              <w:rPr>
                <w:b/>
                <w:color w:val="000000"/>
              </w:rPr>
            </w:pPr>
          </w:p>
          <w:p w14:paraId="238769BF" w14:textId="77777777" w:rsidR="008E5DE4" w:rsidRDefault="00780368">
            <w:pPr>
              <w:widowControl w:val="0"/>
              <w:pBdr>
                <w:top w:val="nil"/>
                <w:left w:val="nil"/>
                <w:bottom w:val="nil"/>
                <w:right w:val="nil"/>
                <w:between w:val="nil"/>
              </w:pBdr>
              <w:spacing w:line="228" w:lineRule="auto"/>
              <w:jc w:val="right"/>
              <w:rPr>
                <w:b/>
                <w:color w:val="000000"/>
              </w:rPr>
            </w:pPr>
            <w:r w:rsidRPr="00AD4F80">
              <w:rPr>
                <w:b/>
                <w:color w:val="0000FF"/>
              </w:rPr>
              <w:t>[   ]</w:t>
            </w:r>
          </w:p>
        </w:tc>
        <w:tc>
          <w:tcPr>
            <w:tcW w:w="852" w:type="dxa"/>
            <w:tcBorders>
              <w:bottom w:val="single" w:sz="4" w:space="0" w:color="000000"/>
            </w:tcBorders>
            <w:vAlign w:val="bottom"/>
          </w:tcPr>
          <w:p w14:paraId="1CF08D5F" w14:textId="77777777" w:rsidR="008E5DE4" w:rsidRDefault="00780368">
            <w:pPr>
              <w:widowControl w:val="0"/>
              <w:pBdr>
                <w:top w:val="nil"/>
                <w:left w:val="nil"/>
                <w:bottom w:val="nil"/>
                <w:right w:val="nil"/>
                <w:between w:val="nil"/>
              </w:pBdr>
              <w:spacing w:line="228" w:lineRule="auto"/>
              <w:jc w:val="right"/>
              <w:rPr>
                <w:b/>
                <w:color w:val="000000"/>
              </w:rPr>
            </w:pPr>
            <w:r>
              <w:rPr>
                <w:b/>
                <w:color w:val="000000"/>
              </w:rPr>
              <w:t xml:space="preserve">Other </w:t>
            </w:r>
          </w:p>
        </w:tc>
        <w:tc>
          <w:tcPr>
            <w:tcW w:w="850" w:type="dxa"/>
            <w:tcBorders>
              <w:bottom w:val="single" w:sz="4" w:space="0" w:color="000000"/>
            </w:tcBorders>
            <w:vAlign w:val="bottom"/>
          </w:tcPr>
          <w:p w14:paraId="536C25D7" w14:textId="77777777" w:rsidR="008E5DE4" w:rsidRDefault="008E5DE4">
            <w:pPr>
              <w:widowControl w:val="0"/>
              <w:pBdr>
                <w:top w:val="nil"/>
                <w:left w:val="nil"/>
                <w:bottom w:val="nil"/>
                <w:right w:val="nil"/>
                <w:between w:val="nil"/>
              </w:pBdr>
              <w:spacing w:line="228" w:lineRule="auto"/>
              <w:jc w:val="right"/>
              <w:rPr>
                <w:b/>
                <w:color w:val="000000"/>
              </w:rPr>
            </w:pPr>
          </w:p>
          <w:p w14:paraId="76F48903" w14:textId="77777777" w:rsidR="008E5DE4" w:rsidRDefault="00780368">
            <w:pPr>
              <w:widowControl w:val="0"/>
              <w:pBdr>
                <w:top w:val="nil"/>
                <w:left w:val="nil"/>
                <w:bottom w:val="nil"/>
                <w:right w:val="nil"/>
                <w:between w:val="nil"/>
              </w:pBdr>
              <w:spacing w:line="228" w:lineRule="auto"/>
              <w:jc w:val="right"/>
              <w:rPr>
                <w:b/>
                <w:color w:val="000000"/>
              </w:rPr>
            </w:pPr>
            <w:r>
              <w:rPr>
                <w:b/>
                <w:color w:val="000000"/>
              </w:rPr>
              <w:t>EUR</w:t>
            </w:r>
          </w:p>
        </w:tc>
        <w:tc>
          <w:tcPr>
            <w:tcW w:w="850" w:type="dxa"/>
            <w:tcBorders>
              <w:bottom w:val="single" w:sz="4" w:space="0" w:color="000000"/>
            </w:tcBorders>
            <w:vAlign w:val="bottom"/>
          </w:tcPr>
          <w:p w14:paraId="1E39251D" w14:textId="77777777" w:rsidR="008E5DE4" w:rsidRDefault="00780368">
            <w:pPr>
              <w:widowControl w:val="0"/>
              <w:pBdr>
                <w:top w:val="nil"/>
                <w:left w:val="nil"/>
                <w:bottom w:val="nil"/>
                <w:right w:val="nil"/>
                <w:between w:val="nil"/>
              </w:pBdr>
              <w:spacing w:line="228" w:lineRule="auto"/>
              <w:jc w:val="right"/>
              <w:rPr>
                <w:b/>
                <w:color w:val="000000"/>
              </w:rPr>
            </w:pPr>
            <w:r w:rsidRPr="00181448">
              <w:rPr>
                <w:b/>
                <w:color w:val="0000FF"/>
              </w:rPr>
              <w:t>USD</w:t>
            </w:r>
          </w:p>
        </w:tc>
        <w:tc>
          <w:tcPr>
            <w:tcW w:w="850" w:type="dxa"/>
            <w:tcBorders>
              <w:bottom w:val="single" w:sz="4" w:space="0" w:color="000000"/>
            </w:tcBorders>
            <w:vAlign w:val="bottom"/>
          </w:tcPr>
          <w:p w14:paraId="1151881A" w14:textId="77777777" w:rsidR="008E5DE4" w:rsidRDefault="008E5DE4">
            <w:pPr>
              <w:widowControl w:val="0"/>
              <w:pBdr>
                <w:top w:val="nil"/>
                <w:left w:val="nil"/>
                <w:bottom w:val="nil"/>
                <w:right w:val="nil"/>
                <w:between w:val="nil"/>
              </w:pBdr>
              <w:spacing w:line="228" w:lineRule="auto"/>
              <w:jc w:val="right"/>
              <w:rPr>
                <w:b/>
                <w:color w:val="000000"/>
              </w:rPr>
            </w:pPr>
          </w:p>
          <w:p w14:paraId="7FDF1A9E" w14:textId="77777777" w:rsidR="008E5DE4" w:rsidRDefault="00780368">
            <w:pPr>
              <w:widowControl w:val="0"/>
              <w:pBdr>
                <w:top w:val="nil"/>
                <w:left w:val="nil"/>
                <w:bottom w:val="nil"/>
                <w:right w:val="nil"/>
                <w:between w:val="nil"/>
              </w:pBdr>
              <w:spacing w:line="228" w:lineRule="auto"/>
              <w:jc w:val="right"/>
              <w:rPr>
                <w:b/>
                <w:color w:val="000000"/>
              </w:rPr>
            </w:pPr>
            <w:r>
              <w:rPr>
                <w:b/>
                <w:color w:val="000000"/>
              </w:rPr>
              <w:t xml:space="preserve"> </w:t>
            </w:r>
            <w:r w:rsidRPr="00AD4F80">
              <w:rPr>
                <w:b/>
                <w:color w:val="0000FF"/>
              </w:rPr>
              <w:t>[   ]</w:t>
            </w:r>
          </w:p>
        </w:tc>
        <w:tc>
          <w:tcPr>
            <w:tcW w:w="852" w:type="dxa"/>
            <w:tcBorders>
              <w:bottom w:val="single" w:sz="4" w:space="0" w:color="000000"/>
            </w:tcBorders>
            <w:vAlign w:val="bottom"/>
          </w:tcPr>
          <w:p w14:paraId="2D0D230D" w14:textId="77777777" w:rsidR="008E5DE4" w:rsidRDefault="00780368">
            <w:pPr>
              <w:widowControl w:val="0"/>
              <w:pBdr>
                <w:top w:val="nil"/>
                <w:left w:val="nil"/>
                <w:bottom w:val="nil"/>
                <w:right w:val="nil"/>
                <w:between w:val="nil"/>
              </w:pBdr>
              <w:spacing w:line="228" w:lineRule="auto"/>
              <w:jc w:val="right"/>
              <w:rPr>
                <w:b/>
                <w:color w:val="000000"/>
              </w:rPr>
            </w:pPr>
            <w:r>
              <w:rPr>
                <w:b/>
                <w:color w:val="000000"/>
              </w:rPr>
              <w:t xml:space="preserve">Other </w:t>
            </w:r>
          </w:p>
        </w:tc>
      </w:tr>
      <w:tr w:rsidR="008E5DE4" w14:paraId="55D6A835" w14:textId="77777777">
        <w:trPr>
          <w:cantSplit/>
          <w:tblHeader/>
        </w:trPr>
        <w:tc>
          <w:tcPr>
            <w:tcW w:w="2608" w:type="dxa"/>
            <w:vAlign w:val="bottom"/>
          </w:tcPr>
          <w:p w14:paraId="4C06F5A1" w14:textId="77777777" w:rsidR="008E5DE4" w:rsidRDefault="00780368">
            <w:pPr>
              <w:widowControl w:val="0"/>
              <w:spacing w:line="228" w:lineRule="auto"/>
              <w:ind w:left="113" w:right="-57" w:hanging="113"/>
              <w:rPr>
                <w:b/>
                <w:sz w:val="12"/>
                <w:szCs w:val="12"/>
              </w:rPr>
            </w:pPr>
            <w:r>
              <w:rPr>
                <w:color w:val="0000FF"/>
                <w:sz w:val="12"/>
                <w:szCs w:val="12"/>
              </w:rPr>
              <w:t> </w:t>
            </w:r>
          </w:p>
        </w:tc>
        <w:tc>
          <w:tcPr>
            <w:tcW w:w="850" w:type="dxa"/>
            <w:vAlign w:val="bottom"/>
          </w:tcPr>
          <w:p w14:paraId="4209FCD3"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vAlign w:val="bottom"/>
          </w:tcPr>
          <w:p w14:paraId="1435149B"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vAlign w:val="bottom"/>
          </w:tcPr>
          <w:p w14:paraId="53642BA4"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2" w:type="dxa"/>
            <w:vAlign w:val="bottom"/>
          </w:tcPr>
          <w:p w14:paraId="44EB084C"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vAlign w:val="bottom"/>
          </w:tcPr>
          <w:p w14:paraId="07AA1DA9"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vAlign w:val="bottom"/>
          </w:tcPr>
          <w:p w14:paraId="24408BE7"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vAlign w:val="bottom"/>
          </w:tcPr>
          <w:p w14:paraId="5B43D689"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2" w:type="dxa"/>
            <w:vAlign w:val="bottom"/>
          </w:tcPr>
          <w:p w14:paraId="548A39C2"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r>
      <w:tr w:rsidR="008E5DE4" w14:paraId="125754A1" w14:textId="77777777">
        <w:trPr>
          <w:cantSplit/>
          <w:tblHeader/>
        </w:trPr>
        <w:tc>
          <w:tcPr>
            <w:tcW w:w="2608" w:type="dxa"/>
            <w:vAlign w:val="bottom"/>
          </w:tcPr>
          <w:p w14:paraId="26FFE634"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Assets</w:t>
            </w:r>
          </w:p>
        </w:tc>
        <w:tc>
          <w:tcPr>
            <w:tcW w:w="850" w:type="dxa"/>
            <w:vAlign w:val="bottom"/>
          </w:tcPr>
          <w:p w14:paraId="422F106A"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22957CD7"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5BE2FEC6" w14:textId="77777777" w:rsidR="008E5DE4" w:rsidRDefault="008E5DE4">
            <w:pPr>
              <w:widowControl w:val="0"/>
              <w:pBdr>
                <w:top w:val="nil"/>
                <w:left w:val="nil"/>
                <w:bottom w:val="nil"/>
                <w:right w:val="nil"/>
                <w:between w:val="nil"/>
              </w:pBdr>
              <w:spacing w:line="228" w:lineRule="auto"/>
              <w:jc w:val="right"/>
              <w:rPr>
                <w:b/>
                <w:color w:val="000000"/>
              </w:rPr>
            </w:pPr>
          </w:p>
        </w:tc>
        <w:tc>
          <w:tcPr>
            <w:tcW w:w="852" w:type="dxa"/>
            <w:vAlign w:val="bottom"/>
          </w:tcPr>
          <w:p w14:paraId="2E54D463"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0764A75F"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3B758CFA"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27AE25C5" w14:textId="77777777" w:rsidR="008E5DE4" w:rsidRDefault="008E5DE4">
            <w:pPr>
              <w:widowControl w:val="0"/>
              <w:pBdr>
                <w:top w:val="nil"/>
                <w:left w:val="nil"/>
                <w:bottom w:val="nil"/>
                <w:right w:val="nil"/>
                <w:between w:val="nil"/>
              </w:pBdr>
              <w:spacing w:line="228" w:lineRule="auto"/>
              <w:jc w:val="right"/>
              <w:rPr>
                <w:b/>
                <w:color w:val="000000"/>
              </w:rPr>
            </w:pPr>
          </w:p>
        </w:tc>
        <w:tc>
          <w:tcPr>
            <w:tcW w:w="852" w:type="dxa"/>
            <w:vAlign w:val="bottom"/>
          </w:tcPr>
          <w:p w14:paraId="5EEBACF6"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34192BA0" w14:textId="77777777">
        <w:trPr>
          <w:cantSplit/>
          <w:tblHeader/>
        </w:trPr>
        <w:tc>
          <w:tcPr>
            <w:tcW w:w="2608" w:type="dxa"/>
            <w:vAlign w:val="bottom"/>
          </w:tcPr>
          <w:p w14:paraId="3B56503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Cash and cash equivalents</w:t>
            </w:r>
          </w:p>
        </w:tc>
        <w:tc>
          <w:tcPr>
            <w:tcW w:w="850" w:type="dxa"/>
            <w:vAlign w:val="bottom"/>
          </w:tcPr>
          <w:p w14:paraId="79515DB8"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41855E12"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3476A6B1" w14:textId="77777777" w:rsidR="008E5DE4" w:rsidRDefault="008E5DE4">
            <w:pPr>
              <w:widowControl w:val="0"/>
              <w:pBdr>
                <w:top w:val="nil"/>
                <w:left w:val="nil"/>
                <w:bottom w:val="nil"/>
                <w:right w:val="nil"/>
                <w:between w:val="nil"/>
              </w:pBdr>
              <w:spacing w:line="228" w:lineRule="auto"/>
              <w:jc w:val="right"/>
              <w:rPr>
                <w:color w:val="000000"/>
              </w:rPr>
            </w:pPr>
          </w:p>
        </w:tc>
        <w:tc>
          <w:tcPr>
            <w:tcW w:w="852" w:type="dxa"/>
            <w:vAlign w:val="bottom"/>
          </w:tcPr>
          <w:p w14:paraId="46E59916"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712EB116"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274C9FDD"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419DB953" w14:textId="77777777" w:rsidR="008E5DE4" w:rsidRDefault="008E5DE4">
            <w:pPr>
              <w:widowControl w:val="0"/>
              <w:pBdr>
                <w:top w:val="nil"/>
                <w:left w:val="nil"/>
                <w:bottom w:val="nil"/>
                <w:right w:val="nil"/>
                <w:between w:val="nil"/>
              </w:pBdr>
              <w:spacing w:line="228" w:lineRule="auto"/>
              <w:jc w:val="right"/>
              <w:rPr>
                <w:color w:val="000000"/>
              </w:rPr>
            </w:pPr>
          </w:p>
        </w:tc>
        <w:tc>
          <w:tcPr>
            <w:tcW w:w="852" w:type="dxa"/>
            <w:vAlign w:val="bottom"/>
          </w:tcPr>
          <w:p w14:paraId="5ADB8F6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4683BC2" w14:textId="77777777">
        <w:trPr>
          <w:cantSplit/>
          <w:tblHeader/>
        </w:trPr>
        <w:tc>
          <w:tcPr>
            <w:tcW w:w="2608" w:type="dxa"/>
            <w:vAlign w:val="bottom"/>
          </w:tcPr>
          <w:p w14:paraId="44AB5E5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Investments in debt securities</w:t>
            </w:r>
          </w:p>
        </w:tc>
        <w:tc>
          <w:tcPr>
            <w:tcW w:w="850" w:type="dxa"/>
            <w:vAlign w:val="bottom"/>
          </w:tcPr>
          <w:p w14:paraId="7D4FC2F7"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77F76BDF"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69F24AD0" w14:textId="77777777" w:rsidR="008E5DE4" w:rsidRDefault="008E5DE4">
            <w:pPr>
              <w:widowControl w:val="0"/>
              <w:pBdr>
                <w:top w:val="nil"/>
                <w:left w:val="nil"/>
                <w:bottom w:val="nil"/>
                <w:right w:val="nil"/>
                <w:between w:val="nil"/>
              </w:pBdr>
              <w:spacing w:line="228" w:lineRule="auto"/>
              <w:jc w:val="right"/>
              <w:rPr>
                <w:color w:val="000000"/>
              </w:rPr>
            </w:pPr>
          </w:p>
        </w:tc>
        <w:tc>
          <w:tcPr>
            <w:tcW w:w="852" w:type="dxa"/>
            <w:vAlign w:val="bottom"/>
          </w:tcPr>
          <w:p w14:paraId="0F2CF0B2"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4A1A9C0E"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79E1922F"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5DB211C1" w14:textId="77777777" w:rsidR="008E5DE4" w:rsidRDefault="008E5DE4">
            <w:pPr>
              <w:widowControl w:val="0"/>
              <w:pBdr>
                <w:top w:val="nil"/>
                <w:left w:val="nil"/>
                <w:bottom w:val="nil"/>
                <w:right w:val="nil"/>
                <w:between w:val="nil"/>
              </w:pBdr>
              <w:spacing w:line="228" w:lineRule="auto"/>
              <w:jc w:val="right"/>
              <w:rPr>
                <w:color w:val="000000"/>
              </w:rPr>
            </w:pPr>
          </w:p>
        </w:tc>
        <w:tc>
          <w:tcPr>
            <w:tcW w:w="852" w:type="dxa"/>
            <w:vAlign w:val="bottom"/>
          </w:tcPr>
          <w:p w14:paraId="135FFC8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344C895" w14:textId="77777777">
        <w:trPr>
          <w:cantSplit/>
          <w:tblHeader/>
        </w:trPr>
        <w:tc>
          <w:tcPr>
            <w:tcW w:w="2608" w:type="dxa"/>
            <w:vAlign w:val="bottom"/>
          </w:tcPr>
          <w:p w14:paraId="0DC96476"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Other assets</w:t>
            </w:r>
          </w:p>
        </w:tc>
        <w:tc>
          <w:tcPr>
            <w:tcW w:w="850" w:type="dxa"/>
            <w:vAlign w:val="bottom"/>
          </w:tcPr>
          <w:p w14:paraId="021FB453"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15558323"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0C9484ED" w14:textId="77777777" w:rsidR="008E5DE4" w:rsidRDefault="008E5DE4">
            <w:pPr>
              <w:widowControl w:val="0"/>
              <w:pBdr>
                <w:top w:val="nil"/>
                <w:left w:val="nil"/>
                <w:bottom w:val="nil"/>
                <w:right w:val="nil"/>
                <w:between w:val="nil"/>
              </w:pBdr>
              <w:spacing w:line="228" w:lineRule="auto"/>
              <w:jc w:val="right"/>
              <w:rPr>
                <w:color w:val="000000"/>
              </w:rPr>
            </w:pPr>
          </w:p>
        </w:tc>
        <w:tc>
          <w:tcPr>
            <w:tcW w:w="852" w:type="dxa"/>
            <w:vAlign w:val="bottom"/>
          </w:tcPr>
          <w:p w14:paraId="38BC2CD9"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261155E1"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02185270"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7A1F40EA" w14:textId="77777777" w:rsidR="008E5DE4" w:rsidRDefault="008E5DE4">
            <w:pPr>
              <w:widowControl w:val="0"/>
              <w:pBdr>
                <w:top w:val="nil"/>
                <w:left w:val="nil"/>
                <w:bottom w:val="nil"/>
                <w:right w:val="nil"/>
                <w:between w:val="nil"/>
              </w:pBdr>
              <w:spacing w:line="228" w:lineRule="auto"/>
              <w:jc w:val="right"/>
              <w:rPr>
                <w:color w:val="000000"/>
              </w:rPr>
            </w:pPr>
          </w:p>
        </w:tc>
        <w:tc>
          <w:tcPr>
            <w:tcW w:w="852" w:type="dxa"/>
            <w:vAlign w:val="bottom"/>
          </w:tcPr>
          <w:p w14:paraId="1C0A53F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D4548C9" w14:textId="77777777">
        <w:trPr>
          <w:cantSplit/>
          <w:tblHeader/>
        </w:trPr>
        <w:tc>
          <w:tcPr>
            <w:tcW w:w="2608" w:type="dxa"/>
            <w:vAlign w:val="bottom"/>
          </w:tcPr>
          <w:p w14:paraId="10CFD466"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Debt included in non-current assets held for sale (or disposal groups)</w:t>
            </w:r>
          </w:p>
        </w:tc>
        <w:tc>
          <w:tcPr>
            <w:tcW w:w="850" w:type="dxa"/>
            <w:vAlign w:val="bottom"/>
          </w:tcPr>
          <w:p w14:paraId="1013FF7C" w14:textId="77777777" w:rsidR="008E5DE4" w:rsidRDefault="008E5DE4">
            <w:pPr>
              <w:widowControl w:val="0"/>
              <w:pBdr>
                <w:top w:val="nil"/>
                <w:left w:val="nil"/>
                <w:bottom w:val="nil"/>
                <w:right w:val="nil"/>
                <w:between w:val="nil"/>
              </w:pBdr>
              <w:tabs>
                <w:tab w:val="right" w:pos="8782"/>
              </w:tabs>
              <w:spacing w:line="228" w:lineRule="auto"/>
              <w:jc w:val="right"/>
              <w:rPr>
                <w:color w:val="000000"/>
              </w:rPr>
            </w:pPr>
          </w:p>
        </w:tc>
        <w:tc>
          <w:tcPr>
            <w:tcW w:w="850" w:type="dxa"/>
            <w:vAlign w:val="bottom"/>
          </w:tcPr>
          <w:p w14:paraId="6A3CF4E3" w14:textId="77777777" w:rsidR="008E5DE4" w:rsidRDefault="008E5DE4">
            <w:pPr>
              <w:widowControl w:val="0"/>
              <w:pBdr>
                <w:top w:val="nil"/>
                <w:left w:val="nil"/>
                <w:bottom w:val="nil"/>
                <w:right w:val="nil"/>
                <w:between w:val="nil"/>
              </w:pBdr>
              <w:tabs>
                <w:tab w:val="right" w:pos="8782"/>
              </w:tabs>
              <w:spacing w:line="228" w:lineRule="auto"/>
              <w:jc w:val="right"/>
              <w:rPr>
                <w:color w:val="000000"/>
              </w:rPr>
            </w:pPr>
          </w:p>
        </w:tc>
        <w:tc>
          <w:tcPr>
            <w:tcW w:w="850" w:type="dxa"/>
            <w:vAlign w:val="bottom"/>
          </w:tcPr>
          <w:p w14:paraId="3F8B9530" w14:textId="77777777" w:rsidR="008E5DE4" w:rsidRDefault="008E5DE4">
            <w:pPr>
              <w:widowControl w:val="0"/>
              <w:pBdr>
                <w:top w:val="nil"/>
                <w:left w:val="nil"/>
                <w:bottom w:val="nil"/>
                <w:right w:val="nil"/>
                <w:between w:val="nil"/>
              </w:pBdr>
              <w:tabs>
                <w:tab w:val="right" w:pos="8782"/>
              </w:tabs>
              <w:spacing w:line="228" w:lineRule="auto"/>
              <w:jc w:val="right"/>
              <w:rPr>
                <w:color w:val="000000"/>
              </w:rPr>
            </w:pPr>
          </w:p>
        </w:tc>
        <w:tc>
          <w:tcPr>
            <w:tcW w:w="852" w:type="dxa"/>
            <w:vAlign w:val="bottom"/>
          </w:tcPr>
          <w:p w14:paraId="68E71B6A" w14:textId="77777777" w:rsidR="008E5DE4" w:rsidRDefault="008E5DE4">
            <w:pPr>
              <w:widowControl w:val="0"/>
              <w:pBdr>
                <w:top w:val="nil"/>
                <w:left w:val="nil"/>
                <w:bottom w:val="nil"/>
                <w:right w:val="nil"/>
                <w:between w:val="nil"/>
              </w:pBdr>
              <w:tabs>
                <w:tab w:val="right" w:pos="8782"/>
              </w:tabs>
              <w:spacing w:line="228" w:lineRule="auto"/>
              <w:jc w:val="right"/>
              <w:rPr>
                <w:color w:val="000000"/>
              </w:rPr>
            </w:pPr>
          </w:p>
        </w:tc>
        <w:tc>
          <w:tcPr>
            <w:tcW w:w="850" w:type="dxa"/>
            <w:vAlign w:val="bottom"/>
          </w:tcPr>
          <w:p w14:paraId="0513AE91" w14:textId="77777777" w:rsidR="008E5DE4" w:rsidRDefault="008E5DE4">
            <w:pPr>
              <w:widowControl w:val="0"/>
              <w:pBdr>
                <w:top w:val="nil"/>
                <w:left w:val="nil"/>
                <w:bottom w:val="nil"/>
                <w:right w:val="nil"/>
                <w:between w:val="nil"/>
              </w:pBdr>
              <w:tabs>
                <w:tab w:val="right" w:pos="8782"/>
              </w:tabs>
              <w:spacing w:line="228" w:lineRule="auto"/>
              <w:jc w:val="right"/>
              <w:rPr>
                <w:color w:val="000000"/>
              </w:rPr>
            </w:pPr>
          </w:p>
        </w:tc>
        <w:tc>
          <w:tcPr>
            <w:tcW w:w="850" w:type="dxa"/>
            <w:vAlign w:val="bottom"/>
          </w:tcPr>
          <w:p w14:paraId="5F1CAA38" w14:textId="77777777" w:rsidR="008E5DE4" w:rsidRDefault="008E5DE4">
            <w:pPr>
              <w:widowControl w:val="0"/>
              <w:pBdr>
                <w:top w:val="nil"/>
                <w:left w:val="nil"/>
                <w:bottom w:val="nil"/>
                <w:right w:val="nil"/>
                <w:between w:val="nil"/>
              </w:pBdr>
              <w:tabs>
                <w:tab w:val="right" w:pos="8782"/>
              </w:tabs>
              <w:spacing w:line="228" w:lineRule="auto"/>
              <w:jc w:val="right"/>
              <w:rPr>
                <w:color w:val="000000"/>
              </w:rPr>
            </w:pPr>
          </w:p>
        </w:tc>
        <w:tc>
          <w:tcPr>
            <w:tcW w:w="850" w:type="dxa"/>
            <w:vAlign w:val="bottom"/>
          </w:tcPr>
          <w:p w14:paraId="69BB135D" w14:textId="77777777" w:rsidR="008E5DE4" w:rsidRDefault="008E5DE4">
            <w:pPr>
              <w:widowControl w:val="0"/>
              <w:pBdr>
                <w:top w:val="nil"/>
                <w:left w:val="nil"/>
                <w:bottom w:val="nil"/>
                <w:right w:val="nil"/>
                <w:between w:val="nil"/>
              </w:pBdr>
              <w:tabs>
                <w:tab w:val="right" w:pos="8782"/>
              </w:tabs>
              <w:spacing w:line="228" w:lineRule="auto"/>
              <w:jc w:val="right"/>
              <w:rPr>
                <w:color w:val="000000"/>
              </w:rPr>
            </w:pPr>
          </w:p>
        </w:tc>
        <w:tc>
          <w:tcPr>
            <w:tcW w:w="852" w:type="dxa"/>
            <w:vAlign w:val="bottom"/>
          </w:tcPr>
          <w:p w14:paraId="48E2BBA3" w14:textId="77777777" w:rsidR="008E5DE4" w:rsidRDefault="008E5DE4">
            <w:pPr>
              <w:widowControl w:val="0"/>
              <w:pBdr>
                <w:top w:val="nil"/>
                <w:left w:val="nil"/>
                <w:bottom w:val="nil"/>
                <w:right w:val="nil"/>
                <w:between w:val="nil"/>
              </w:pBdr>
              <w:tabs>
                <w:tab w:val="right" w:pos="8782"/>
              </w:tabs>
              <w:spacing w:line="228" w:lineRule="auto"/>
              <w:jc w:val="right"/>
              <w:rPr>
                <w:color w:val="000000"/>
              </w:rPr>
            </w:pPr>
          </w:p>
        </w:tc>
      </w:tr>
      <w:tr w:rsidR="008E5DE4" w14:paraId="12CAAC1E" w14:textId="77777777">
        <w:trPr>
          <w:cantSplit/>
          <w:tblHeader/>
        </w:trPr>
        <w:tc>
          <w:tcPr>
            <w:tcW w:w="2608" w:type="dxa"/>
            <w:tcBorders>
              <w:bottom w:val="single" w:sz="4" w:space="0" w:color="000000"/>
            </w:tcBorders>
            <w:vAlign w:val="bottom"/>
          </w:tcPr>
          <w:p w14:paraId="2606286E" w14:textId="77777777" w:rsidR="008E5DE4" w:rsidRDefault="00780368">
            <w:pPr>
              <w:widowControl w:val="0"/>
              <w:pBdr>
                <w:top w:val="nil"/>
                <w:left w:val="nil"/>
                <w:bottom w:val="nil"/>
                <w:right w:val="nil"/>
                <w:between w:val="nil"/>
              </w:pBdr>
              <w:tabs>
                <w:tab w:val="right" w:pos="8782"/>
              </w:tabs>
              <w:spacing w:line="228" w:lineRule="auto"/>
              <w:ind w:left="113" w:right="-57" w:hanging="113"/>
              <w:rPr>
                <w:color w:val="000000"/>
                <w:sz w:val="12"/>
                <w:szCs w:val="12"/>
              </w:rPr>
            </w:pPr>
            <w:r>
              <w:rPr>
                <w:b/>
                <w:color w:val="0000FF"/>
                <w:sz w:val="12"/>
                <w:szCs w:val="12"/>
              </w:rPr>
              <w:t> </w:t>
            </w:r>
          </w:p>
        </w:tc>
        <w:tc>
          <w:tcPr>
            <w:tcW w:w="850" w:type="dxa"/>
            <w:tcBorders>
              <w:bottom w:val="single" w:sz="4" w:space="0" w:color="000000"/>
            </w:tcBorders>
            <w:vAlign w:val="bottom"/>
          </w:tcPr>
          <w:p w14:paraId="5549BC88" w14:textId="77777777" w:rsidR="008E5DE4" w:rsidRDefault="008E5DE4">
            <w:pPr>
              <w:widowControl w:val="0"/>
              <w:pBdr>
                <w:top w:val="nil"/>
                <w:left w:val="nil"/>
                <w:bottom w:val="nil"/>
                <w:right w:val="nil"/>
                <w:between w:val="nil"/>
              </w:pBdr>
              <w:tabs>
                <w:tab w:val="right" w:pos="8782"/>
              </w:tabs>
              <w:spacing w:line="228" w:lineRule="auto"/>
              <w:jc w:val="right"/>
              <w:rPr>
                <w:color w:val="000000"/>
                <w:sz w:val="12"/>
                <w:szCs w:val="12"/>
              </w:rPr>
            </w:pPr>
          </w:p>
        </w:tc>
        <w:tc>
          <w:tcPr>
            <w:tcW w:w="850" w:type="dxa"/>
            <w:tcBorders>
              <w:bottom w:val="single" w:sz="4" w:space="0" w:color="000000"/>
            </w:tcBorders>
            <w:vAlign w:val="bottom"/>
          </w:tcPr>
          <w:p w14:paraId="08D28C92" w14:textId="77777777" w:rsidR="008E5DE4" w:rsidRDefault="008E5DE4">
            <w:pPr>
              <w:widowControl w:val="0"/>
              <w:pBdr>
                <w:top w:val="nil"/>
                <w:left w:val="nil"/>
                <w:bottom w:val="nil"/>
                <w:right w:val="nil"/>
                <w:between w:val="nil"/>
              </w:pBdr>
              <w:tabs>
                <w:tab w:val="right" w:pos="8782"/>
              </w:tabs>
              <w:spacing w:line="228" w:lineRule="auto"/>
              <w:jc w:val="right"/>
              <w:rPr>
                <w:color w:val="000000"/>
                <w:sz w:val="12"/>
                <w:szCs w:val="12"/>
              </w:rPr>
            </w:pPr>
          </w:p>
        </w:tc>
        <w:tc>
          <w:tcPr>
            <w:tcW w:w="850" w:type="dxa"/>
            <w:tcBorders>
              <w:bottom w:val="single" w:sz="4" w:space="0" w:color="000000"/>
            </w:tcBorders>
            <w:vAlign w:val="bottom"/>
          </w:tcPr>
          <w:p w14:paraId="10676461" w14:textId="77777777" w:rsidR="008E5DE4" w:rsidRDefault="008E5DE4">
            <w:pPr>
              <w:widowControl w:val="0"/>
              <w:pBdr>
                <w:top w:val="nil"/>
                <w:left w:val="nil"/>
                <w:bottom w:val="nil"/>
                <w:right w:val="nil"/>
                <w:between w:val="nil"/>
              </w:pBdr>
              <w:tabs>
                <w:tab w:val="right" w:pos="8782"/>
              </w:tabs>
              <w:spacing w:line="228" w:lineRule="auto"/>
              <w:jc w:val="right"/>
              <w:rPr>
                <w:color w:val="000000"/>
                <w:sz w:val="12"/>
                <w:szCs w:val="12"/>
              </w:rPr>
            </w:pPr>
          </w:p>
        </w:tc>
        <w:tc>
          <w:tcPr>
            <w:tcW w:w="852" w:type="dxa"/>
            <w:tcBorders>
              <w:bottom w:val="single" w:sz="4" w:space="0" w:color="000000"/>
            </w:tcBorders>
            <w:vAlign w:val="bottom"/>
          </w:tcPr>
          <w:p w14:paraId="69829E93" w14:textId="77777777" w:rsidR="008E5DE4" w:rsidRDefault="008E5DE4">
            <w:pPr>
              <w:widowControl w:val="0"/>
              <w:pBdr>
                <w:top w:val="nil"/>
                <w:left w:val="nil"/>
                <w:bottom w:val="nil"/>
                <w:right w:val="nil"/>
                <w:between w:val="nil"/>
              </w:pBdr>
              <w:tabs>
                <w:tab w:val="right" w:pos="8782"/>
              </w:tabs>
              <w:spacing w:line="228" w:lineRule="auto"/>
              <w:jc w:val="right"/>
              <w:rPr>
                <w:color w:val="000000"/>
                <w:sz w:val="12"/>
                <w:szCs w:val="12"/>
              </w:rPr>
            </w:pPr>
          </w:p>
        </w:tc>
        <w:tc>
          <w:tcPr>
            <w:tcW w:w="850" w:type="dxa"/>
            <w:tcBorders>
              <w:bottom w:val="single" w:sz="4" w:space="0" w:color="000000"/>
            </w:tcBorders>
            <w:vAlign w:val="bottom"/>
          </w:tcPr>
          <w:p w14:paraId="530A563A" w14:textId="77777777" w:rsidR="008E5DE4" w:rsidRDefault="008E5DE4">
            <w:pPr>
              <w:widowControl w:val="0"/>
              <w:pBdr>
                <w:top w:val="nil"/>
                <w:left w:val="nil"/>
                <w:bottom w:val="nil"/>
                <w:right w:val="nil"/>
                <w:between w:val="nil"/>
              </w:pBdr>
              <w:tabs>
                <w:tab w:val="right" w:pos="8782"/>
              </w:tabs>
              <w:spacing w:line="228" w:lineRule="auto"/>
              <w:jc w:val="right"/>
              <w:rPr>
                <w:color w:val="000000"/>
                <w:sz w:val="12"/>
                <w:szCs w:val="12"/>
              </w:rPr>
            </w:pPr>
          </w:p>
        </w:tc>
        <w:tc>
          <w:tcPr>
            <w:tcW w:w="850" w:type="dxa"/>
            <w:tcBorders>
              <w:bottom w:val="single" w:sz="4" w:space="0" w:color="000000"/>
            </w:tcBorders>
            <w:vAlign w:val="bottom"/>
          </w:tcPr>
          <w:p w14:paraId="4E9ACD54" w14:textId="77777777" w:rsidR="008E5DE4" w:rsidRDefault="008E5DE4">
            <w:pPr>
              <w:widowControl w:val="0"/>
              <w:pBdr>
                <w:top w:val="nil"/>
                <w:left w:val="nil"/>
                <w:bottom w:val="nil"/>
                <w:right w:val="nil"/>
                <w:between w:val="nil"/>
              </w:pBdr>
              <w:tabs>
                <w:tab w:val="right" w:pos="8782"/>
              </w:tabs>
              <w:spacing w:line="228" w:lineRule="auto"/>
              <w:jc w:val="right"/>
              <w:rPr>
                <w:color w:val="000000"/>
                <w:sz w:val="12"/>
                <w:szCs w:val="12"/>
              </w:rPr>
            </w:pPr>
          </w:p>
        </w:tc>
        <w:tc>
          <w:tcPr>
            <w:tcW w:w="850" w:type="dxa"/>
            <w:tcBorders>
              <w:bottom w:val="single" w:sz="4" w:space="0" w:color="000000"/>
            </w:tcBorders>
            <w:vAlign w:val="bottom"/>
          </w:tcPr>
          <w:p w14:paraId="23C3FCB0" w14:textId="77777777" w:rsidR="008E5DE4" w:rsidRDefault="008E5DE4">
            <w:pPr>
              <w:widowControl w:val="0"/>
              <w:pBdr>
                <w:top w:val="nil"/>
                <w:left w:val="nil"/>
                <w:bottom w:val="nil"/>
                <w:right w:val="nil"/>
                <w:between w:val="nil"/>
              </w:pBdr>
              <w:tabs>
                <w:tab w:val="right" w:pos="8782"/>
              </w:tabs>
              <w:spacing w:line="228" w:lineRule="auto"/>
              <w:jc w:val="right"/>
              <w:rPr>
                <w:color w:val="000000"/>
                <w:sz w:val="12"/>
                <w:szCs w:val="12"/>
              </w:rPr>
            </w:pPr>
          </w:p>
        </w:tc>
        <w:tc>
          <w:tcPr>
            <w:tcW w:w="852" w:type="dxa"/>
            <w:tcBorders>
              <w:bottom w:val="single" w:sz="4" w:space="0" w:color="000000"/>
            </w:tcBorders>
            <w:vAlign w:val="bottom"/>
          </w:tcPr>
          <w:p w14:paraId="30C1B85E" w14:textId="77777777" w:rsidR="008E5DE4" w:rsidRDefault="008E5DE4">
            <w:pPr>
              <w:widowControl w:val="0"/>
              <w:pBdr>
                <w:top w:val="nil"/>
                <w:left w:val="nil"/>
                <w:bottom w:val="nil"/>
                <w:right w:val="nil"/>
                <w:between w:val="nil"/>
              </w:pBdr>
              <w:tabs>
                <w:tab w:val="right" w:pos="8782"/>
              </w:tabs>
              <w:spacing w:line="228" w:lineRule="auto"/>
              <w:jc w:val="right"/>
              <w:rPr>
                <w:color w:val="000000"/>
                <w:sz w:val="12"/>
                <w:szCs w:val="12"/>
              </w:rPr>
            </w:pPr>
          </w:p>
        </w:tc>
      </w:tr>
      <w:tr w:rsidR="008E5DE4" w14:paraId="303F2253" w14:textId="77777777">
        <w:trPr>
          <w:cantSplit/>
          <w:tblHeader/>
        </w:trPr>
        <w:tc>
          <w:tcPr>
            <w:tcW w:w="2608" w:type="dxa"/>
            <w:tcBorders>
              <w:top w:val="single" w:sz="4" w:space="0" w:color="000000"/>
            </w:tcBorders>
            <w:vAlign w:val="bottom"/>
          </w:tcPr>
          <w:p w14:paraId="0439B6B2" w14:textId="77777777" w:rsidR="008E5DE4" w:rsidRDefault="00780368">
            <w:pPr>
              <w:widowControl w:val="0"/>
              <w:spacing w:line="228" w:lineRule="auto"/>
              <w:ind w:left="113" w:right="-57" w:hanging="113"/>
              <w:rPr>
                <w:b/>
                <w:sz w:val="12"/>
                <w:szCs w:val="12"/>
              </w:rPr>
            </w:pPr>
            <w:r>
              <w:rPr>
                <w:color w:val="0000FF"/>
                <w:sz w:val="12"/>
                <w:szCs w:val="12"/>
              </w:rPr>
              <w:t> </w:t>
            </w:r>
          </w:p>
        </w:tc>
        <w:tc>
          <w:tcPr>
            <w:tcW w:w="850" w:type="dxa"/>
            <w:tcBorders>
              <w:top w:val="single" w:sz="4" w:space="0" w:color="000000"/>
            </w:tcBorders>
            <w:vAlign w:val="bottom"/>
          </w:tcPr>
          <w:p w14:paraId="35227C31"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top w:val="single" w:sz="4" w:space="0" w:color="000000"/>
            </w:tcBorders>
            <w:vAlign w:val="bottom"/>
          </w:tcPr>
          <w:p w14:paraId="0703401E"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top w:val="single" w:sz="4" w:space="0" w:color="000000"/>
            </w:tcBorders>
            <w:vAlign w:val="bottom"/>
          </w:tcPr>
          <w:p w14:paraId="22BF69FC"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2" w:type="dxa"/>
            <w:tcBorders>
              <w:top w:val="single" w:sz="4" w:space="0" w:color="000000"/>
            </w:tcBorders>
            <w:vAlign w:val="bottom"/>
          </w:tcPr>
          <w:p w14:paraId="2451AD09"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top w:val="single" w:sz="4" w:space="0" w:color="000000"/>
            </w:tcBorders>
            <w:vAlign w:val="bottom"/>
          </w:tcPr>
          <w:p w14:paraId="6C67E67E"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top w:val="single" w:sz="4" w:space="0" w:color="000000"/>
            </w:tcBorders>
            <w:vAlign w:val="bottom"/>
          </w:tcPr>
          <w:p w14:paraId="690260C3"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top w:val="single" w:sz="4" w:space="0" w:color="000000"/>
            </w:tcBorders>
            <w:vAlign w:val="bottom"/>
          </w:tcPr>
          <w:p w14:paraId="1B4715BF"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2" w:type="dxa"/>
            <w:tcBorders>
              <w:top w:val="single" w:sz="4" w:space="0" w:color="000000"/>
            </w:tcBorders>
            <w:vAlign w:val="bottom"/>
          </w:tcPr>
          <w:p w14:paraId="111A125D"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r>
      <w:tr w:rsidR="008E5DE4" w14:paraId="51A37D72" w14:textId="77777777">
        <w:trPr>
          <w:cantSplit/>
          <w:tblHeader/>
        </w:trPr>
        <w:tc>
          <w:tcPr>
            <w:tcW w:w="2608" w:type="dxa"/>
            <w:vAlign w:val="bottom"/>
          </w:tcPr>
          <w:p w14:paraId="011487E6" w14:textId="77777777" w:rsidR="008E5DE4" w:rsidRDefault="00780368">
            <w:pPr>
              <w:widowControl w:val="0"/>
              <w:pBdr>
                <w:top w:val="nil"/>
                <w:left w:val="nil"/>
                <w:bottom w:val="nil"/>
                <w:right w:val="nil"/>
                <w:between w:val="nil"/>
              </w:pBdr>
              <w:spacing w:line="228" w:lineRule="auto"/>
              <w:ind w:left="113" w:right="-57" w:hanging="113"/>
              <w:rPr>
                <w:b/>
                <w:color w:val="000000"/>
              </w:rPr>
            </w:pPr>
            <w:r>
              <w:rPr>
                <w:b/>
                <w:color w:val="000000"/>
              </w:rPr>
              <w:t>Liabilities</w:t>
            </w:r>
          </w:p>
        </w:tc>
        <w:tc>
          <w:tcPr>
            <w:tcW w:w="850" w:type="dxa"/>
            <w:vAlign w:val="bottom"/>
          </w:tcPr>
          <w:p w14:paraId="0BAE2972"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3378B84F"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39436F07" w14:textId="77777777" w:rsidR="008E5DE4" w:rsidRDefault="008E5DE4">
            <w:pPr>
              <w:widowControl w:val="0"/>
              <w:pBdr>
                <w:top w:val="nil"/>
                <w:left w:val="nil"/>
                <w:bottom w:val="nil"/>
                <w:right w:val="nil"/>
                <w:between w:val="nil"/>
              </w:pBdr>
              <w:spacing w:line="228" w:lineRule="auto"/>
              <w:jc w:val="right"/>
              <w:rPr>
                <w:b/>
                <w:color w:val="000000"/>
              </w:rPr>
            </w:pPr>
          </w:p>
        </w:tc>
        <w:tc>
          <w:tcPr>
            <w:tcW w:w="852" w:type="dxa"/>
            <w:vAlign w:val="bottom"/>
          </w:tcPr>
          <w:p w14:paraId="6B0723D6"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0BF6CB6C"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15E69952" w14:textId="77777777" w:rsidR="008E5DE4" w:rsidRDefault="008E5DE4">
            <w:pPr>
              <w:widowControl w:val="0"/>
              <w:pBdr>
                <w:top w:val="nil"/>
                <w:left w:val="nil"/>
                <w:bottom w:val="nil"/>
                <w:right w:val="nil"/>
                <w:between w:val="nil"/>
              </w:pBdr>
              <w:spacing w:line="228" w:lineRule="auto"/>
              <w:jc w:val="right"/>
              <w:rPr>
                <w:b/>
                <w:color w:val="000000"/>
              </w:rPr>
            </w:pPr>
          </w:p>
        </w:tc>
        <w:tc>
          <w:tcPr>
            <w:tcW w:w="850" w:type="dxa"/>
            <w:vAlign w:val="bottom"/>
          </w:tcPr>
          <w:p w14:paraId="4A94A346" w14:textId="77777777" w:rsidR="008E5DE4" w:rsidRDefault="008E5DE4">
            <w:pPr>
              <w:widowControl w:val="0"/>
              <w:pBdr>
                <w:top w:val="nil"/>
                <w:left w:val="nil"/>
                <w:bottom w:val="nil"/>
                <w:right w:val="nil"/>
                <w:between w:val="nil"/>
              </w:pBdr>
              <w:spacing w:line="228" w:lineRule="auto"/>
              <w:jc w:val="right"/>
              <w:rPr>
                <w:b/>
                <w:color w:val="000000"/>
              </w:rPr>
            </w:pPr>
          </w:p>
        </w:tc>
        <w:tc>
          <w:tcPr>
            <w:tcW w:w="852" w:type="dxa"/>
            <w:vAlign w:val="bottom"/>
          </w:tcPr>
          <w:p w14:paraId="43488F05"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18589FA7" w14:textId="77777777">
        <w:trPr>
          <w:cantSplit/>
          <w:tblHeader/>
        </w:trPr>
        <w:tc>
          <w:tcPr>
            <w:tcW w:w="2608" w:type="dxa"/>
            <w:vAlign w:val="bottom"/>
          </w:tcPr>
          <w:p w14:paraId="081054F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Borrowings</w:t>
            </w:r>
          </w:p>
        </w:tc>
        <w:tc>
          <w:tcPr>
            <w:tcW w:w="850" w:type="dxa"/>
            <w:vAlign w:val="bottom"/>
          </w:tcPr>
          <w:p w14:paraId="75980CF9"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6536A1B8"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7BE6F405" w14:textId="77777777" w:rsidR="008E5DE4" w:rsidRDefault="008E5DE4">
            <w:pPr>
              <w:widowControl w:val="0"/>
              <w:pBdr>
                <w:top w:val="nil"/>
                <w:left w:val="nil"/>
                <w:bottom w:val="nil"/>
                <w:right w:val="nil"/>
                <w:between w:val="nil"/>
              </w:pBdr>
              <w:spacing w:line="228" w:lineRule="auto"/>
              <w:jc w:val="right"/>
              <w:rPr>
                <w:color w:val="000000"/>
              </w:rPr>
            </w:pPr>
          </w:p>
        </w:tc>
        <w:tc>
          <w:tcPr>
            <w:tcW w:w="852" w:type="dxa"/>
            <w:vAlign w:val="bottom"/>
          </w:tcPr>
          <w:p w14:paraId="662C5E66"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4F2E4F30"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3EA0C000" w14:textId="77777777" w:rsidR="008E5DE4" w:rsidRDefault="008E5DE4">
            <w:pPr>
              <w:widowControl w:val="0"/>
              <w:pBdr>
                <w:top w:val="nil"/>
                <w:left w:val="nil"/>
                <w:bottom w:val="nil"/>
                <w:right w:val="nil"/>
                <w:between w:val="nil"/>
              </w:pBdr>
              <w:spacing w:line="228" w:lineRule="auto"/>
              <w:jc w:val="right"/>
              <w:rPr>
                <w:color w:val="000000"/>
              </w:rPr>
            </w:pPr>
          </w:p>
        </w:tc>
        <w:tc>
          <w:tcPr>
            <w:tcW w:w="850" w:type="dxa"/>
            <w:vAlign w:val="bottom"/>
          </w:tcPr>
          <w:p w14:paraId="37F2987E" w14:textId="77777777" w:rsidR="008E5DE4" w:rsidRDefault="008E5DE4">
            <w:pPr>
              <w:widowControl w:val="0"/>
              <w:pBdr>
                <w:top w:val="nil"/>
                <w:left w:val="nil"/>
                <w:bottom w:val="nil"/>
                <w:right w:val="nil"/>
                <w:between w:val="nil"/>
              </w:pBdr>
              <w:spacing w:line="228" w:lineRule="auto"/>
              <w:jc w:val="right"/>
              <w:rPr>
                <w:color w:val="000000"/>
              </w:rPr>
            </w:pPr>
          </w:p>
        </w:tc>
        <w:tc>
          <w:tcPr>
            <w:tcW w:w="852" w:type="dxa"/>
            <w:vAlign w:val="bottom"/>
          </w:tcPr>
          <w:p w14:paraId="70D0E11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BC77727" w14:textId="77777777">
        <w:trPr>
          <w:cantSplit/>
          <w:tblHeader/>
        </w:trPr>
        <w:tc>
          <w:tcPr>
            <w:tcW w:w="2608" w:type="dxa"/>
            <w:tcBorders>
              <w:bottom w:val="single" w:sz="12" w:space="0" w:color="000000"/>
            </w:tcBorders>
            <w:vAlign w:val="bottom"/>
          </w:tcPr>
          <w:p w14:paraId="1AF1913A" w14:textId="77777777" w:rsidR="008E5DE4" w:rsidRDefault="00780368">
            <w:pPr>
              <w:widowControl w:val="0"/>
              <w:spacing w:line="228" w:lineRule="auto"/>
              <w:ind w:left="113" w:right="-57" w:hanging="113"/>
              <w:rPr>
                <w:sz w:val="12"/>
                <w:szCs w:val="12"/>
              </w:rPr>
            </w:pPr>
            <w:r>
              <w:rPr>
                <w:color w:val="0000FF"/>
                <w:sz w:val="12"/>
                <w:szCs w:val="12"/>
              </w:rPr>
              <w:t> </w:t>
            </w:r>
          </w:p>
        </w:tc>
        <w:tc>
          <w:tcPr>
            <w:tcW w:w="850" w:type="dxa"/>
            <w:tcBorders>
              <w:bottom w:val="single" w:sz="12" w:space="0" w:color="000000"/>
            </w:tcBorders>
            <w:vAlign w:val="bottom"/>
          </w:tcPr>
          <w:p w14:paraId="405D2374"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bottom w:val="single" w:sz="12" w:space="0" w:color="000000"/>
            </w:tcBorders>
            <w:vAlign w:val="bottom"/>
          </w:tcPr>
          <w:p w14:paraId="5025FA9F"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bottom w:val="single" w:sz="12" w:space="0" w:color="000000"/>
            </w:tcBorders>
            <w:vAlign w:val="bottom"/>
          </w:tcPr>
          <w:p w14:paraId="5C0C8BAA"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2" w:type="dxa"/>
            <w:tcBorders>
              <w:bottom w:val="single" w:sz="12" w:space="0" w:color="000000"/>
            </w:tcBorders>
            <w:vAlign w:val="bottom"/>
          </w:tcPr>
          <w:p w14:paraId="6856D3CB"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bottom w:val="single" w:sz="12" w:space="0" w:color="000000"/>
            </w:tcBorders>
            <w:vAlign w:val="bottom"/>
          </w:tcPr>
          <w:p w14:paraId="6608072F"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bottom w:val="single" w:sz="12" w:space="0" w:color="000000"/>
            </w:tcBorders>
            <w:vAlign w:val="bottom"/>
          </w:tcPr>
          <w:p w14:paraId="5D087A40"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0" w:type="dxa"/>
            <w:tcBorders>
              <w:bottom w:val="single" w:sz="12" w:space="0" w:color="000000"/>
            </w:tcBorders>
            <w:vAlign w:val="bottom"/>
          </w:tcPr>
          <w:p w14:paraId="2946E3D6"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c>
          <w:tcPr>
            <w:tcW w:w="852" w:type="dxa"/>
            <w:tcBorders>
              <w:bottom w:val="single" w:sz="12" w:space="0" w:color="000000"/>
            </w:tcBorders>
            <w:vAlign w:val="bottom"/>
          </w:tcPr>
          <w:p w14:paraId="1F9F4284" w14:textId="77777777" w:rsidR="008E5DE4" w:rsidRDefault="008E5DE4">
            <w:pPr>
              <w:widowControl w:val="0"/>
              <w:pBdr>
                <w:top w:val="nil"/>
                <w:left w:val="nil"/>
                <w:bottom w:val="nil"/>
                <w:right w:val="nil"/>
                <w:between w:val="nil"/>
              </w:pBdr>
              <w:spacing w:line="228" w:lineRule="auto"/>
              <w:jc w:val="right"/>
              <w:rPr>
                <w:color w:val="000000"/>
                <w:sz w:val="12"/>
                <w:szCs w:val="12"/>
              </w:rPr>
            </w:pPr>
          </w:p>
        </w:tc>
      </w:tr>
    </w:tbl>
    <w:p w14:paraId="6E32EBA8" w14:textId="3EBD849D" w:rsidR="008E5DE4" w:rsidRDefault="008E5DE4">
      <w:pPr>
        <w:pBdr>
          <w:top w:val="nil"/>
          <w:left w:val="nil"/>
          <w:bottom w:val="nil"/>
          <w:right w:val="nil"/>
          <w:between w:val="nil"/>
        </w:pBdr>
        <w:spacing w:before="200" w:after="200" w:line="228" w:lineRule="auto"/>
        <w:jc w:val="both"/>
        <w:rPr>
          <w:i/>
          <w:color w:val="FF0000"/>
          <w:sz w:val="20"/>
          <w:szCs w:val="20"/>
        </w:rPr>
      </w:pPr>
    </w:p>
    <w:p w14:paraId="328779BA" w14:textId="77777777" w:rsidR="008E5DE4" w:rsidRDefault="00780368">
      <w:pPr>
        <w:pBdr>
          <w:top w:val="nil"/>
          <w:left w:val="nil"/>
          <w:bottom w:val="nil"/>
          <w:right w:val="nil"/>
          <w:between w:val="nil"/>
        </w:pBdr>
        <w:spacing w:before="200" w:after="200" w:line="228" w:lineRule="auto"/>
        <w:jc w:val="both"/>
        <w:rPr>
          <w:color w:val="000000"/>
          <w:sz w:val="20"/>
          <w:szCs w:val="20"/>
        </w:rPr>
      </w:pPr>
      <w:r>
        <w:rPr>
          <w:color w:val="000000"/>
          <w:sz w:val="20"/>
          <w:szCs w:val="20"/>
        </w:rPr>
        <w:t>The sign “</w:t>
      </w:r>
      <w:proofErr w:type="gramStart"/>
      <w:r>
        <w:rPr>
          <w:color w:val="000000"/>
          <w:sz w:val="20"/>
          <w:szCs w:val="20"/>
        </w:rPr>
        <w:t>-“ in</w:t>
      </w:r>
      <w:proofErr w:type="gramEnd"/>
      <w:r>
        <w:rPr>
          <w:color w:val="000000"/>
          <w:sz w:val="20"/>
          <w:szCs w:val="20"/>
        </w:rPr>
        <w:t xml:space="preserve"> the table above means that the Group does not have the respective assets or liabilities in the corresponding currency.</w:t>
      </w:r>
    </w:p>
    <w:p w14:paraId="1255AB6A" w14:textId="07953EC6" w:rsidR="008E5DE4" w:rsidRDefault="00780368">
      <w:pPr>
        <w:pBdr>
          <w:top w:val="nil"/>
          <w:left w:val="nil"/>
          <w:bottom w:val="nil"/>
          <w:right w:val="nil"/>
          <w:between w:val="nil"/>
        </w:pBdr>
        <w:spacing w:before="200" w:after="200" w:line="228" w:lineRule="auto"/>
        <w:jc w:val="both"/>
        <w:rPr>
          <w:color w:val="000000"/>
          <w:sz w:val="20"/>
          <w:szCs w:val="20"/>
        </w:rPr>
      </w:pPr>
      <w:r>
        <w:rPr>
          <w:b/>
          <w:i/>
          <w:color w:val="000000"/>
          <w:sz w:val="20"/>
          <w:szCs w:val="20"/>
        </w:rPr>
        <w:t>Other price risk.</w:t>
      </w:r>
      <w:r>
        <w:rPr>
          <w:b/>
          <w:color w:val="000000"/>
          <w:sz w:val="20"/>
          <w:szCs w:val="20"/>
        </w:rPr>
        <w:t xml:space="preserve"> </w:t>
      </w:r>
      <w:r>
        <w:rPr>
          <w:color w:val="000000"/>
          <w:sz w:val="20"/>
          <w:szCs w:val="20"/>
        </w:rPr>
        <w:t xml:space="preserve">The Group has </w:t>
      </w:r>
      <w:r>
        <w:rPr>
          <w:color w:val="0000FF"/>
          <w:sz w:val="20"/>
          <w:szCs w:val="20"/>
        </w:rPr>
        <w:t>[limited]</w:t>
      </w:r>
      <w:r>
        <w:rPr>
          <w:color w:val="000000"/>
          <w:sz w:val="20"/>
          <w:szCs w:val="20"/>
        </w:rPr>
        <w:t xml:space="preserve"> exposure to equity price risk. Transactions in equity products are monitored and authorised by the </w:t>
      </w:r>
      <w:r>
        <w:rPr>
          <w:color w:val="0000FF"/>
          <w:sz w:val="20"/>
          <w:szCs w:val="20"/>
        </w:rPr>
        <w:t>[Group treasury]</w:t>
      </w:r>
      <w:r>
        <w:rPr>
          <w:color w:val="000000"/>
          <w:sz w:val="20"/>
          <w:szCs w:val="20"/>
        </w:rPr>
        <w:t xml:space="preserve">. At 31 December </w:t>
      </w:r>
      <w:r w:rsidR="008614F8">
        <w:rPr>
          <w:color w:val="000000"/>
          <w:sz w:val="20"/>
          <w:szCs w:val="20"/>
        </w:rPr>
        <w:t>2025</w:t>
      </w:r>
      <w:r>
        <w:rPr>
          <w:color w:val="000000"/>
          <w:sz w:val="20"/>
          <w:szCs w:val="20"/>
        </w:rPr>
        <w:t xml:space="preserve">, if equity prices at that date had been </w:t>
      </w:r>
      <w:r>
        <w:rPr>
          <w:color w:val="0000FF"/>
          <w:sz w:val="20"/>
          <w:szCs w:val="20"/>
        </w:rPr>
        <w:t>[20% (</w:t>
      </w:r>
      <w:r w:rsidR="00A46633">
        <w:rPr>
          <w:color w:val="0000FF"/>
          <w:sz w:val="20"/>
          <w:szCs w:val="20"/>
        </w:rPr>
        <w:t>2024</w:t>
      </w:r>
      <w:r>
        <w:rPr>
          <w:color w:val="0000FF"/>
          <w:sz w:val="20"/>
          <w:szCs w:val="20"/>
        </w:rPr>
        <w:t>: 20%)]</w:t>
      </w:r>
      <w:r>
        <w:rPr>
          <w:color w:val="000000"/>
          <w:sz w:val="20"/>
          <w:szCs w:val="20"/>
        </w:rPr>
        <w:t xml:space="preserve"> lower with all other variables held constant, profit for the year would have been EUR____ thousand (</w:t>
      </w:r>
      <w:r w:rsidR="00A46633">
        <w:rPr>
          <w:color w:val="000000"/>
          <w:sz w:val="20"/>
          <w:szCs w:val="20"/>
        </w:rPr>
        <w:t>2024</w:t>
      </w:r>
      <w:r>
        <w:rPr>
          <w:color w:val="000000"/>
          <w:sz w:val="20"/>
          <w:szCs w:val="20"/>
        </w:rPr>
        <w:t xml:space="preserve">: EUR____ thousand) lower, </w:t>
      </w:r>
      <w:r>
        <w:rPr>
          <w:color w:val="0000FF"/>
          <w:sz w:val="20"/>
          <w:szCs w:val="20"/>
        </w:rPr>
        <w:t>[mainly as a result of impairment of ….,]</w:t>
      </w:r>
      <w:r>
        <w:rPr>
          <w:color w:val="000000"/>
          <w:sz w:val="20"/>
          <w:szCs w:val="20"/>
        </w:rPr>
        <w:t xml:space="preserve"> and other components of equity would have been EUR____ thousand (</w:t>
      </w:r>
      <w:r w:rsidR="00A46633">
        <w:rPr>
          <w:color w:val="000000"/>
          <w:sz w:val="20"/>
          <w:szCs w:val="20"/>
        </w:rPr>
        <w:t>2024</w:t>
      </w:r>
      <w:r>
        <w:rPr>
          <w:color w:val="000000"/>
          <w:sz w:val="20"/>
          <w:szCs w:val="20"/>
        </w:rPr>
        <w:t xml:space="preserve">: EUR____ thousand) lower, mainly as a result of a decrease in the fair value of corporate shares classified as available for sale. </w:t>
      </w:r>
    </w:p>
    <w:p w14:paraId="7B9DC8FC" w14:textId="29B98B01" w:rsidR="008E5DE4" w:rsidRDefault="00780368">
      <w:pPr>
        <w:pBdr>
          <w:top w:val="nil"/>
          <w:left w:val="nil"/>
          <w:bottom w:val="nil"/>
          <w:right w:val="nil"/>
          <w:between w:val="nil"/>
        </w:pBdr>
        <w:spacing w:before="200" w:after="200" w:line="228" w:lineRule="auto"/>
        <w:jc w:val="both"/>
        <w:rPr>
          <w:color w:val="000000"/>
          <w:sz w:val="20"/>
          <w:szCs w:val="20"/>
        </w:rPr>
      </w:pPr>
      <w:r>
        <w:rPr>
          <w:b/>
          <w:i/>
          <w:color w:val="000000"/>
          <w:sz w:val="20"/>
          <w:szCs w:val="20"/>
        </w:rPr>
        <w:t xml:space="preserve">Liquidity risk. </w:t>
      </w:r>
      <w:r>
        <w:rPr>
          <w:color w:val="000000"/>
          <w:sz w:val="20"/>
          <w:szCs w:val="20"/>
        </w:rPr>
        <w:t xml:space="preserve">Liquidity risk is the risk that an entity will encounter difficulty in meeting obligations associated with financial liabilities. The Group is exposed to daily calls on its available cash resources. Liquidity risk is managed by </w:t>
      </w:r>
      <w:r>
        <w:rPr>
          <w:color w:val="0000FF"/>
          <w:sz w:val="20"/>
          <w:szCs w:val="20"/>
        </w:rPr>
        <w:t>[the Asset/Liability Committee]</w:t>
      </w:r>
      <w:r>
        <w:rPr>
          <w:color w:val="000000"/>
          <w:sz w:val="20"/>
          <w:szCs w:val="20"/>
        </w:rPr>
        <w:t xml:space="preserve"> of the Group. Management monitors monthly rolling forecasts of the Group’s cash flows.</w:t>
      </w:r>
    </w:p>
    <w:p w14:paraId="30D481D1" w14:textId="77777777" w:rsidR="00CF3EC7"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The Group seeks to maintain a stable funding base primarily consisting of borrowings, leases, trade and other payables</w:t>
      </w:r>
      <w:r w:rsidR="00FD1B66">
        <w:rPr>
          <w:color w:val="000000"/>
          <w:sz w:val="20"/>
          <w:szCs w:val="20"/>
        </w:rPr>
        <w:t xml:space="preserve">, </w:t>
      </w:r>
      <w:r w:rsidR="00870140" w:rsidRPr="00CF3EC7">
        <w:rPr>
          <w:color w:val="000000"/>
          <w:sz w:val="20"/>
          <w:szCs w:val="20"/>
        </w:rPr>
        <w:t xml:space="preserve">including </w:t>
      </w:r>
      <w:r w:rsidR="00FD1B66" w:rsidRPr="00CF3EC7">
        <w:rPr>
          <w:color w:val="000000"/>
          <w:sz w:val="20"/>
          <w:szCs w:val="20"/>
        </w:rPr>
        <w:t>supplier finance arrangement</w:t>
      </w:r>
      <w:r>
        <w:rPr>
          <w:color w:val="000000"/>
          <w:sz w:val="20"/>
          <w:szCs w:val="20"/>
        </w:rPr>
        <w:t xml:space="preserve"> and </w:t>
      </w:r>
      <w:r>
        <w:rPr>
          <w:color w:val="0000FF"/>
          <w:sz w:val="20"/>
          <w:szCs w:val="20"/>
        </w:rPr>
        <w:t xml:space="preserve">[debt securities]. </w:t>
      </w:r>
      <w:r>
        <w:rPr>
          <w:color w:val="000000"/>
          <w:sz w:val="20"/>
          <w:szCs w:val="20"/>
        </w:rPr>
        <w:t xml:space="preserve">The Group invests the funds in diversified portfolios of liquid assets, </w:t>
      </w:r>
      <w:proofErr w:type="gramStart"/>
      <w:r>
        <w:rPr>
          <w:color w:val="000000"/>
          <w:sz w:val="20"/>
          <w:szCs w:val="20"/>
        </w:rPr>
        <w:t>in order to</w:t>
      </w:r>
      <w:proofErr w:type="gramEnd"/>
      <w:r>
        <w:rPr>
          <w:color w:val="000000"/>
          <w:sz w:val="20"/>
          <w:szCs w:val="20"/>
        </w:rPr>
        <w:t xml:space="preserve"> be able to respond quickly and smoothly to unforeseen liquidity requirements. The Group’s liquidity portfolio comprises cash and cash equivalents (Note 24) [and</w:t>
      </w:r>
      <w:proofErr w:type="gramStart"/>
      <w:r>
        <w:rPr>
          <w:color w:val="000000"/>
          <w:sz w:val="20"/>
          <w:szCs w:val="20"/>
        </w:rPr>
        <w:t>][</w:t>
      </w:r>
      <w:proofErr w:type="gramEnd"/>
      <w:r>
        <w:rPr>
          <w:color w:val="000000"/>
          <w:sz w:val="20"/>
          <w:szCs w:val="20"/>
        </w:rPr>
        <w:t>,] investments in debt securities (Note 23)</w:t>
      </w:r>
      <w:r>
        <w:rPr>
          <w:color w:val="0000FF"/>
          <w:sz w:val="20"/>
          <w:szCs w:val="20"/>
        </w:rPr>
        <w:t xml:space="preserve">. </w:t>
      </w:r>
      <w:r>
        <w:rPr>
          <w:color w:val="000000"/>
          <w:sz w:val="20"/>
          <w:szCs w:val="20"/>
        </w:rPr>
        <w:t xml:space="preserve">Management estimates that the liquidity portfolio cash, bank deposits </w:t>
      </w:r>
      <w:r>
        <w:rPr>
          <w:color w:val="0000FF"/>
          <w:sz w:val="20"/>
          <w:szCs w:val="20"/>
        </w:rPr>
        <w:t>[and bonds]</w:t>
      </w:r>
      <w:r>
        <w:rPr>
          <w:color w:val="000000"/>
          <w:sz w:val="20"/>
          <w:szCs w:val="20"/>
        </w:rPr>
        <w:t xml:space="preserve"> can be realised in cash </w:t>
      </w:r>
      <w:r>
        <w:rPr>
          <w:color w:val="0000FF"/>
          <w:sz w:val="20"/>
          <w:szCs w:val="20"/>
        </w:rPr>
        <w:t>[within a day]</w:t>
      </w:r>
      <w:r>
        <w:rPr>
          <w:color w:val="000000"/>
          <w:sz w:val="20"/>
          <w:szCs w:val="20"/>
        </w:rPr>
        <w:t xml:space="preserve"> </w:t>
      </w:r>
      <w:proofErr w:type="gramStart"/>
      <w:r>
        <w:rPr>
          <w:color w:val="000000"/>
          <w:sz w:val="20"/>
          <w:szCs w:val="20"/>
        </w:rPr>
        <w:t>in order to</w:t>
      </w:r>
      <w:proofErr w:type="gramEnd"/>
      <w:r>
        <w:rPr>
          <w:color w:val="000000"/>
          <w:sz w:val="20"/>
          <w:szCs w:val="20"/>
        </w:rPr>
        <w:t xml:space="preserve"> meet unforeseen liquidity requirements.</w:t>
      </w:r>
      <w:r w:rsidR="006423CA">
        <w:rPr>
          <w:color w:val="000000"/>
          <w:sz w:val="20"/>
          <w:szCs w:val="20"/>
        </w:rPr>
        <w:t xml:space="preserve"> </w:t>
      </w:r>
    </w:p>
    <w:p w14:paraId="7EB73B03" w14:textId="77777777" w:rsidR="00CF3EC7" w:rsidRDefault="00CF3EC7">
      <w:pPr>
        <w:widowControl w:val="0"/>
        <w:pBdr>
          <w:top w:val="nil"/>
          <w:left w:val="nil"/>
          <w:bottom w:val="nil"/>
          <w:right w:val="nil"/>
          <w:between w:val="nil"/>
        </w:pBdr>
        <w:spacing w:before="200" w:after="200" w:line="228" w:lineRule="auto"/>
        <w:jc w:val="both"/>
        <w:rPr>
          <w:color w:val="000000"/>
          <w:sz w:val="20"/>
          <w:szCs w:val="20"/>
        </w:rPr>
      </w:pPr>
    </w:p>
    <w:p w14:paraId="2BA31A84" w14:textId="77777777" w:rsidR="00CF3EC7" w:rsidRDefault="00CF3EC7" w:rsidP="00CF3EC7">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5382D5E4" w14:textId="1734466E" w:rsidR="006423CA" w:rsidRPr="00CF3EC7" w:rsidRDefault="006423CA">
      <w:pPr>
        <w:widowControl w:val="0"/>
        <w:pBdr>
          <w:top w:val="nil"/>
          <w:left w:val="nil"/>
          <w:bottom w:val="nil"/>
          <w:right w:val="nil"/>
          <w:between w:val="nil"/>
        </w:pBdr>
        <w:spacing w:before="200" w:after="200" w:line="228" w:lineRule="auto"/>
        <w:jc w:val="both"/>
        <w:rPr>
          <w:color w:val="0000FF"/>
          <w:sz w:val="20"/>
          <w:szCs w:val="20"/>
        </w:rPr>
      </w:pPr>
      <w:r w:rsidRPr="00CF3EC7">
        <w:rPr>
          <w:color w:val="000000"/>
          <w:sz w:val="20"/>
          <w:szCs w:val="20"/>
        </w:rPr>
        <w:t xml:space="preserve">The Group has also an access to facilities under supplier finance arrangements that provide </w:t>
      </w:r>
      <w:r w:rsidRPr="00CF3EC7">
        <w:rPr>
          <w:color w:val="0000FF"/>
          <w:sz w:val="20"/>
          <w:szCs w:val="20"/>
        </w:rPr>
        <w:t>[the Group</w:t>
      </w:r>
      <w:r w:rsidRPr="00CF3EC7">
        <w:rPr>
          <w:color w:val="000000"/>
          <w:sz w:val="20"/>
          <w:szCs w:val="20"/>
        </w:rPr>
        <w:t xml:space="preserve"> </w:t>
      </w:r>
      <w:r w:rsidRPr="00CF3EC7">
        <w:rPr>
          <w:color w:val="0000FF"/>
          <w:sz w:val="20"/>
          <w:szCs w:val="20"/>
        </w:rPr>
        <w:t xml:space="preserve">with extended payment terms / the Group's suppliers with early payment terms]. </w:t>
      </w:r>
      <w:r w:rsidR="00DF6F77" w:rsidRPr="00CF3EC7">
        <w:rPr>
          <w:color w:val="0000FF"/>
          <w:sz w:val="20"/>
          <w:szCs w:val="20"/>
        </w:rPr>
        <w:t xml:space="preserve">[As of 31 December </w:t>
      </w:r>
      <w:r w:rsidR="008614F8">
        <w:rPr>
          <w:color w:val="0000FF"/>
          <w:sz w:val="20"/>
          <w:szCs w:val="20"/>
        </w:rPr>
        <w:t>2025</w:t>
      </w:r>
      <w:r w:rsidR="00DF6F77" w:rsidRPr="00CF3EC7">
        <w:rPr>
          <w:color w:val="0000FF"/>
          <w:sz w:val="20"/>
          <w:szCs w:val="20"/>
        </w:rPr>
        <w:t xml:space="preserve"> [100%] of the payables from supplier finance arrangements are represented by [1] provider</w:t>
      </w:r>
      <w:r w:rsidR="00D2010C" w:rsidRPr="00CF3EC7">
        <w:rPr>
          <w:color w:val="0000FF"/>
          <w:sz w:val="20"/>
          <w:szCs w:val="20"/>
        </w:rPr>
        <w:t>[s]</w:t>
      </w:r>
      <w:r w:rsidR="00DF6F77" w:rsidRPr="00CF3EC7">
        <w:rPr>
          <w:color w:val="0000FF"/>
          <w:sz w:val="20"/>
          <w:szCs w:val="20"/>
        </w:rPr>
        <w:t xml:space="preserve"> of finance (</w:t>
      </w:r>
      <w:r w:rsidR="00A46633">
        <w:rPr>
          <w:color w:val="0000FF"/>
          <w:sz w:val="20"/>
          <w:szCs w:val="20"/>
        </w:rPr>
        <w:t>2024</w:t>
      </w:r>
      <w:r w:rsidR="00DF6F77" w:rsidRPr="00CF3EC7">
        <w:rPr>
          <w:color w:val="0000FF"/>
          <w:sz w:val="20"/>
          <w:szCs w:val="20"/>
        </w:rPr>
        <w:t>: [100%] payables from supplier finance arrangements</w:t>
      </w:r>
      <w:r w:rsidR="00D2010C" w:rsidRPr="00CF3EC7">
        <w:rPr>
          <w:color w:val="0000FF"/>
          <w:sz w:val="20"/>
          <w:szCs w:val="20"/>
        </w:rPr>
        <w:t xml:space="preserve"> are represented</w:t>
      </w:r>
      <w:r w:rsidR="00DF6F77" w:rsidRPr="00CF3EC7">
        <w:rPr>
          <w:color w:val="0000FF"/>
          <w:sz w:val="20"/>
          <w:szCs w:val="20"/>
        </w:rPr>
        <w:t xml:space="preserve"> by [1] provider</w:t>
      </w:r>
      <w:r w:rsidR="00D2010C" w:rsidRPr="00CF3EC7">
        <w:rPr>
          <w:color w:val="0000FF"/>
          <w:sz w:val="20"/>
          <w:szCs w:val="20"/>
        </w:rPr>
        <w:t>[s]</w:t>
      </w:r>
      <w:r w:rsidR="00DF6F77" w:rsidRPr="00CF3EC7">
        <w:rPr>
          <w:color w:val="0000FF"/>
          <w:sz w:val="20"/>
          <w:szCs w:val="20"/>
        </w:rPr>
        <w:t>)]</w:t>
      </w:r>
      <w:r w:rsidR="00DF6F77" w:rsidRPr="00CF3EC7">
        <w:rPr>
          <w:color w:val="000000"/>
          <w:sz w:val="20"/>
          <w:szCs w:val="20"/>
        </w:rPr>
        <w:t xml:space="preserve">. </w:t>
      </w:r>
      <w:r w:rsidRPr="00CF3EC7">
        <w:rPr>
          <w:color w:val="000000"/>
          <w:sz w:val="20"/>
          <w:szCs w:val="20"/>
        </w:rPr>
        <w:t xml:space="preserve">The amount of committed undrawn facilities under supplier finance arrangements as of 31 December </w:t>
      </w:r>
      <w:r w:rsidR="008614F8">
        <w:rPr>
          <w:color w:val="000000"/>
          <w:sz w:val="20"/>
          <w:szCs w:val="20"/>
        </w:rPr>
        <w:t>2025</w:t>
      </w:r>
      <w:r w:rsidRPr="00CF3EC7">
        <w:rPr>
          <w:color w:val="000000"/>
          <w:sz w:val="20"/>
          <w:szCs w:val="20"/>
        </w:rPr>
        <w:t xml:space="preserve"> was EUR______ thousand (</w:t>
      </w:r>
      <w:r w:rsidR="00A46633">
        <w:rPr>
          <w:color w:val="000000"/>
          <w:sz w:val="20"/>
          <w:szCs w:val="20"/>
        </w:rPr>
        <w:t>2024</w:t>
      </w:r>
      <w:r w:rsidRPr="00CF3EC7">
        <w:rPr>
          <w:color w:val="000000"/>
          <w:sz w:val="20"/>
          <w:szCs w:val="20"/>
        </w:rPr>
        <w:t xml:space="preserve">: EUR_____ thousand) which expire in </w:t>
      </w:r>
      <w:r w:rsidRPr="00CF3EC7">
        <w:rPr>
          <w:color w:val="0000FF"/>
          <w:sz w:val="20"/>
          <w:szCs w:val="20"/>
        </w:rPr>
        <w:t>[202</w:t>
      </w:r>
      <w:r w:rsidR="008614F8">
        <w:rPr>
          <w:color w:val="0000FF"/>
          <w:sz w:val="20"/>
          <w:szCs w:val="20"/>
        </w:rPr>
        <w:t>7</w:t>
      </w:r>
      <w:r w:rsidRPr="00CF3EC7">
        <w:rPr>
          <w:color w:val="0000FF"/>
          <w:sz w:val="20"/>
          <w:szCs w:val="20"/>
        </w:rPr>
        <w:t xml:space="preserve">]. </w:t>
      </w:r>
    </w:p>
    <w:p w14:paraId="1E909C9C" w14:textId="75AA29F0" w:rsidR="00CF3EC7" w:rsidRDefault="00CF3EC7" w:rsidP="00CF3EC7">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liquidity position is monitored and regular liquidity stress testing under a variety of scenarios covering both normal and more severe market conditions is performed by the </w:t>
      </w:r>
      <w:r w:rsidRPr="00890EB0">
        <w:rPr>
          <w:color w:val="0000FF"/>
          <w:sz w:val="20"/>
          <w:szCs w:val="20"/>
        </w:rPr>
        <w:t xml:space="preserve">[Treasury Department]. </w:t>
      </w:r>
    </w:p>
    <w:p w14:paraId="2CD4C1CC" w14:textId="4B7EA4C7" w:rsidR="00CF3EC7" w:rsidRDefault="00CF3EC7" w:rsidP="00CF3EC7">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table below shows liabilities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by their remaining contractual maturity. The amounts disclosed in the maturity table are the contractual undiscounted cash flows, including gross lease obligations (before deducting future finance charges), gross loan commitments and financial guarantees. Such undiscounted cash flows differ from the amount included in the consolidated statement of financial position because the consolidated statement of financial position amount is based on discounted cash flows. Financial derivatives are included at the contractual amounts to be paid or received, unless the Group expects to close the derivative position before its maturity date in which case the derivatives are included based on the expected cash flows. For the purposes of the maturity analysis, embedded derivatives are not separated from hybrid (combined) financial instruments.</w:t>
      </w:r>
    </w:p>
    <w:p w14:paraId="791B80A1" w14:textId="77777777" w:rsidR="00CF3EC7" w:rsidRDefault="00CF3EC7" w:rsidP="00CF3EC7">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When the amount payable is not fixed, the amount disclosed is determined by reference to the conditions existing at the end of the reporting period. Foreign currency payments are translated using the spot exchange rate at the end of the reporting period. </w:t>
      </w:r>
    </w:p>
    <w:p w14:paraId="2B1FD931" w14:textId="70D74A62" w:rsidR="00873AD4" w:rsidRDefault="00873AD4" w:rsidP="00873AD4">
      <w:pPr>
        <w:widowControl w:val="0"/>
        <w:pBdr>
          <w:top w:val="nil"/>
          <w:left w:val="nil"/>
          <w:bottom w:val="nil"/>
          <w:right w:val="nil"/>
          <w:between w:val="nil"/>
        </w:pBdr>
        <w:spacing w:before="200" w:after="200"/>
        <w:jc w:val="both"/>
        <w:rPr>
          <w:i/>
          <w:color w:val="FF0000"/>
          <w:sz w:val="20"/>
          <w:szCs w:val="20"/>
        </w:rPr>
      </w:pPr>
      <w:r>
        <w:rPr>
          <w:b/>
          <w:i/>
          <w:color w:val="000000"/>
          <w:sz w:val="20"/>
          <w:szCs w:val="20"/>
        </w:rPr>
        <w:t>Compliance with covenants.</w:t>
      </w:r>
      <w:r>
        <w:rPr>
          <w:color w:val="000000"/>
          <w:sz w:val="20"/>
          <w:szCs w:val="20"/>
        </w:rPr>
        <w:t xml:space="preserve"> The Group is subject to certain covenants related primarily to its </w:t>
      </w:r>
      <w:r>
        <w:rPr>
          <w:color w:val="0000FF"/>
          <w:sz w:val="20"/>
          <w:szCs w:val="20"/>
        </w:rPr>
        <w:t>[borrowings]</w:t>
      </w:r>
      <w:r>
        <w:rPr>
          <w:color w:val="000000"/>
          <w:sz w:val="20"/>
          <w:szCs w:val="20"/>
        </w:rPr>
        <w:t xml:space="preserve">. Non-compliance with such covenants may result in negative consequences for the Group including </w:t>
      </w:r>
      <w:r>
        <w:rPr>
          <w:color w:val="0000FF"/>
          <w:sz w:val="20"/>
          <w:szCs w:val="20"/>
        </w:rPr>
        <w:t xml:space="preserve">[growth in the cost of borrowings and declaration of default.] </w:t>
      </w:r>
      <w:r>
        <w:rPr>
          <w:color w:val="000000"/>
          <w:sz w:val="20"/>
          <w:szCs w:val="20"/>
        </w:rPr>
        <w:t xml:space="preserve">The Group </w:t>
      </w:r>
      <w:proofErr w:type="gramStart"/>
      <w:r>
        <w:rPr>
          <w:color w:val="000000"/>
          <w:sz w:val="20"/>
          <w:szCs w:val="20"/>
        </w:rPr>
        <w:t>was in compliance with</w:t>
      </w:r>
      <w:proofErr w:type="gramEnd"/>
      <w:r>
        <w:rPr>
          <w:color w:val="000000"/>
          <w:sz w:val="20"/>
          <w:szCs w:val="20"/>
        </w:rPr>
        <w:t xml:space="preserve"> covenants </w:t>
      </w:r>
      <w:proofErr w:type="gramStart"/>
      <w:r>
        <w:rPr>
          <w:color w:val="000000"/>
          <w:sz w:val="20"/>
          <w:szCs w:val="20"/>
        </w:rPr>
        <w:t>at</w:t>
      </w:r>
      <w:proofErr w:type="gramEnd"/>
      <w:r>
        <w:rPr>
          <w:color w:val="000000"/>
          <w:sz w:val="20"/>
          <w:szCs w:val="20"/>
        </w:rPr>
        <w:t xml:space="preserve"> 31 December 2025 and 31 December 2024.</w:t>
      </w:r>
      <w:r>
        <w:rPr>
          <w:i/>
          <w:color w:val="FF0000"/>
          <w:sz w:val="20"/>
          <w:szCs w:val="20"/>
        </w:rPr>
        <w:t xml:space="preserve"> </w:t>
      </w:r>
    </w:p>
    <w:p w14:paraId="157DC935" w14:textId="77777777" w:rsidR="00036920" w:rsidRDefault="00036920" w:rsidP="00036920">
      <w:pPr>
        <w:pageBreakBefore/>
        <w:pBdr>
          <w:top w:val="nil"/>
          <w:left w:val="nil"/>
          <w:bottom w:val="nil"/>
          <w:right w:val="nil"/>
          <w:between w:val="nil"/>
        </w:pBdr>
        <w:spacing w:after="240" w:line="228" w:lineRule="auto"/>
        <w:ind w:left="567" w:hanging="567"/>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573DA315" w14:textId="45B1B087" w:rsidR="00873AD4" w:rsidRPr="00873AD4" w:rsidRDefault="00873AD4" w:rsidP="00A60329">
      <w:pPr>
        <w:widowControl w:val="0"/>
        <w:pBdr>
          <w:top w:val="nil"/>
          <w:left w:val="nil"/>
          <w:bottom w:val="nil"/>
          <w:right w:val="nil"/>
          <w:between w:val="nil"/>
        </w:pBdr>
        <w:spacing w:before="200" w:after="200"/>
        <w:jc w:val="both"/>
        <w:rPr>
          <w:color w:val="000000"/>
          <w:sz w:val="20"/>
          <w:szCs w:val="20"/>
        </w:rPr>
      </w:pPr>
      <w:r w:rsidRPr="00873AD4">
        <w:rPr>
          <w:color w:val="000000"/>
          <w:sz w:val="20"/>
          <w:szCs w:val="20"/>
        </w:rPr>
        <w:t xml:space="preserve">The </w:t>
      </w:r>
      <w:r>
        <w:rPr>
          <w:color w:val="000000"/>
          <w:sz w:val="20"/>
          <w:szCs w:val="20"/>
        </w:rPr>
        <w:t xml:space="preserve">carrying value of borrowings </w:t>
      </w:r>
      <w:r w:rsidR="00A60329">
        <w:rPr>
          <w:color w:val="000000"/>
          <w:sz w:val="20"/>
          <w:szCs w:val="20"/>
        </w:rPr>
        <w:t xml:space="preserve">classified </w:t>
      </w:r>
      <w:r w:rsidR="00A60329" w:rsidRPr="00A60329">
        <w:rPr>
          <w:color w:val="000000"/>
          <w:sz w:val="20"/>
          <w:szCs w:val="20"/>
        </w:rPr>
        <w:t>as non-current when the entity’s right to defer</w:t>
      </w:r>
      <w:r w:rsidR="00A60329">
        <w:rPr>
          <w:color w:val="000000"/>
          <w:sz w:val="20"/>
          <w:szCs w:val="20"/>
        </w:rPr>
        <w:t xml:space="preserve"> </w:t>
      </w:r>
      <w:r w:rsidR="00A60329" w:rsidRPr="00A60329">
        <w:rPr>
          <w:color w:val="000000"/>
          <w:sz w:val="20"/>
          <w:szCs w:val="20"/>
        </w:rPr>
        <w:t>settlement of those liabilities is subject to the entity complying with</w:t>
      </w:r>
      <w:r w:rsidR="00A60329">
        <w:rPr>
          <w:color w:val="000000"/>
          <w:sz w:val="20"/>
          <w:szCs w:val="20"/>
        </w:rPr>
        <w:t xml:space="preserve"> </w:t>
      </w:r>
      <w:r w:rsidR="00A60329" w:rsidRPr="00A60329">
        <w:rPr>
          <w:color w:val="000000"/>
          <w:sz w:val="20"/>
          <w:szCs w:val="20"/>
        </w:rPr>
        <w:t xml:space="preserve">covenants within twelve months after the reporting period </w:t>
      </w:r>
      <w:r w:rsidR="00A60329">
        <w:rPr>
          <w:color w:val="000000"/>
          <w:sz w:val="20"/>
          <w:szCs w:val="20"/>
        </w:rPr>
        <w:t>is as follows:</w:t>
      </w:r>
    </w:p>
    <w:tbl>
      <w:tblPr>
        <w:tblStyle w:val="afffffffff6"/>
        <w:tblW w:w="9355" w:type="dxa"/>
        <w:tblLayout w:type="fixed"/>
        <w:tblLook w:val="0000" w:firstRow="0" w:lastRow="0" w:firstColumn="0" w:lastColumn="0" w:noHBand="0" w:noVBand="0"/>
      </w:tblPr>
      <w:tblGrid>
        <w:gridCol w:w="6293"/>
        <w:gridCol w:w="1531"/>
        <w:gridCol w:w="1531"/>
      </w:tblGrid>
      <w:tr w:rsidR="00873AD4" w14:paraId="355FE6FA" w14:textId="77777777" w:rsidTr="00C56A62">
        <w:trPr>
          <w:cantSplit/>
        </w:trPr>
        <w:tc>
          <w:tcPr>
            <w:tcW w:w="6293" w:type="dxa"/>
            <w:tcBorders>
              <w:bottom w:val="single" w:sz="4" w:space="0" w:color="000000"/>
            </w:tcBorders>
            <w:vAlign w:val="bottom"/>
          </w:tcPr>
          <w:p w14:paraId="230C0551" w14:textId="77777777" w:rsidR="00873AD4" w:rsidRDefault="00873AD4" w:rsidP="00C56A62">
            <w:pPr>
              <w:widowControl w:val="0"/>
              <w:pBdr>
                <w:top w:val="nil"/>
                <w:left w:val="nil"/>
                <w:bottom w:val="nil"/>
                <w:right w:val="nil"/>
                <w:between w:val="nil"/>
              </w:pBdr>
              <w:ind w:left="113" w:right="-57" w:hanging="113"/>
              <w:rPr>
                <w:i/>
                <w:color w:val="000000"/>
              </w:rPr>
            </w:pPr>
            <w:r>
              <w:rPr>
                <w:i/>
                <w:color w:val="000000"/>
              </w:rPr>
              <w:t>In thousands of EUR</w:t>
            </w:r>
          </w:p>
        </w:tc>
        <w:tc>
          <w:tcPr>
            <w:tcW w:w="1531" w:type="dxa"/>
            <w:tcBorders>
              <w:bottom w:val="single" w:sz="4" w:space="0" w:color="000000"/>
            </w:tcBorders>
            <w:vAlign w:val="bottom"/>
          </w:tcPr>
          <w:p w14:paraId="1F34B1AF" w14:textId="77777777" w:rsidR="00873AD4" w:rsidRDefault="00873AD4" w:rsidP="00C56A62">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439139B6" w14:textId="77777777" w:rsidR="00873AD4" w:rsidRDefault="00873AD4" w:rsidP="00C56A62">
            <w:pPr>
              <w:widowControl w:val="0"/>
              <w:pBdr>
                <w:top w:val="nil"/>
                <w:left w:val="nil"/>
                <w:bottom w:val="nil"/>
                <w:right w:val="nil"/>
                <w:between w:val="nil"/>
              </w:pBdr>
              <w:jc w:val="right"/>
              <w:rPr>
                <w:b/>
                <w:color w:val="000000"/>
              </w:rPr>
            </w:pPr>
            <w:r>
              <w:rPr>
                <w:b/>
                <w:color w:val="000000"/>
              </w:rPr>
              <w:t>2024</w:t>
            </w:r>
          </w:p>
        </w:tc>
      </w:tr>
      <w:tr w:rsidR="00873AD4" w14:paraId="4F203A10" w14:textId="77777777" w:rsidTr="00C56A62">
        <w:trPr>
          <w:cantSplit/>
        </w:trPr>
        <w:tc>
          <w:tcPr>
            <w:tcW w:w="6293" w:type="dxa"/>
            <w:vAlign w:val="bottom"/>
          </w:tcPr>
          <w:p w14:paraId="3B2CDD9C" w14:textId="77777777" w:rsidR="00873AD4" w:rsidRDefault="00873AD4" w:rsidP="00C56A62">
            <w:pPr>
              <w:widowControl w:val="0"/>
              <w:pBdr>
                <w:top w:val="nil"/>
                <w:left w:val="nil"/>
                <w:bottom w:val="nil"/>
                <w:right w:val="nil"/>
                <w:between w:val="nil"/>
              </w:pBdr>
              <w:ind w:left="113" w:right="-57" w:hanging="113"/>
              <w:rPr>
                <w:color w:val="000000"/>
              </w:rPr>
            </w:pPr>
            <w:r>
              <w:rPr>
                <w:color w:val="000000"/>
              </w:rPr>
              <w:t> </w:t>
            </w:r>
          </w:p>
        </w:tc>
        <w:tc>
          <w:tcPr>
            <w:tcW w:w="1531" w:type="dxa"/>
            <w:vAlign w:val="bottom"/>
          </w:tcPr>
          <w:p w14:paraId="433E8CE1" w14:textId="77777777" w:rsidR="00873AD4" w:rsidRDefault="00873AD4" w:rsidP="00C56A62">
            <w:pPr>
              <w:widowControl w:val="0"/>
              <w:pBdr>
                <w:top w:val="nil"/>
                <w:left w:val="nil"/>
                <w:bottom w:val="nil"/>
                <w:right w:val="nil"/>
                <w:between w:val="nil"/>
              </w:pBdr>
              <w:jc w:val="right"/>
              <w:rPr>
                <w:color w:val="000000"/>
              </w:rPr>
            </w:pPr>
          </w:p>
        </w:tc>
        <w:tc>
          <w:tcPr>
            <w:tcW w:w="1531" w:type="dxa"/>
            <w:vAlign w:val="bottom"/>
          </w:tcPr>
          <w:p w14:paraId="51AF5A18" w14:textId="77777777" w:rsidR="00873AD4" w:rsidRDefault="00873AD4" w:rsidP="00C56A62">
            <w:pPr>
              <w:widowControl w:val="0"/>
              <w:pBdr>
                <w:top w:val="nil"/>
                <w:left w:val="nil"/>
                <w:bottom w:val="nil"/>
                <w:right w:val="nil"/>
                <w:between w:val="nil"/>
              </w:pBdr>
              <w:jc w:val="right"/>
              <w:rPr>
                <w:color w:val="000000"/>
              </w:rPr>
            </w:pPr>
          </w:p>
        </w:tc>
      </w:tr>
      <w:tr w:rsidR="00873AD4" w14:paraId="57F92358" w14:textId="77777777" w:rsidTr="00C56A62">
        <w:trPr>
          <w:cantSplit/>
        </w:trPr>
        <w:tc>
          <w:tcPr>
            <w:tcW w:w="6293" w:type="dxa"/>
            <w:vAlign w:val="bottom"/>
          </w:tcPr>
          <w:p w14:paraId="22604E82" w14:textId="77777777" w:rsidR="00873AD4" w:rsidRDefault="00873AD4" w:rsidP="00C56A62">
            <w:pPr>
              <w:widowControl w:val="0"/>
              <w:pBdr>
                <w:top w:val="nil"/>
                <w:left w:val="nil"/>
                <w:bottom w:val="nil"/>
                <w:right w:val="nil"/>
                <w:between w:val="nil"/>
              </w:pBdr>
              <w:ind w:left="113" w:right="-57" w:hanging="113"/>
              <w:rPr>
                <w:color w:val="000000"/>
              </w:rPr>
            </w:pPr>
            <w:r>
              <w:rPr>
                <w:color w:val="000000"/>
              </w:rPr>
              <w:t xml:space="preserve">Bank overdrafts </w:t>
            </w:r>
          </w:p>
        </w:tc>
        <w:tc>
          <w:tcPr>
            <w:tcW w:w="1531" w:type="dxa"/>
            <w:vAlign w:val="bottom"/>
          </w:tcPr>
          <w:p w14:paraId="63B08AC5" w14:textId="77777777" w:rsidR="00873AD4" w:rsidRDefault="00873AD4" w:rsidP="00C56A62">
            <w:pPr>
              <w:widowControl w:val="0"/>
              <w:pBdr>
                <w:top w:val="nil"/>
                <w:left w:val="nil"/>
                <w:bottom w:val="nil"/>
                <w:right w:val="nil"/>
                <w:between w:val="nil"/>
              </w:pBdr>
              <w:jc w:val="right"/>
              <w:rPr>
                <w:color w:val="000000"/>
              </w:rPr>
            </w:pPr>
          </w:p>
        </w:tc>
        <w:tc>
          <w:tcPr>
            <w:tcW w:w="1531" w:type="dxa"/>
            <w:vAlign w:val="bottom"/>
          </w:tcPr>
          <w:p w14:paraId="06C89497" w14:textId="77777777" w:rsidR="00873AD4" w:rsidRDefault="00873AD4" w:rsidP="00C56A62">
            <w:pPr>
              <w:widowControl w:val="0"/>
              <w:pBdr>
                <w:top w:val="nil"/>
                <w:left w:val="nil"/>
                <w:bottom w:val="nil"/>
                <w:right w:val="nil"/>
                <w:between w:val="nil"/>
              </w:pBdr>
              <w:jc w:val="right"/>
              <w:rPr>
                <w:color w:val="000000"/>
              </w:rPr>
            </w:pPr>
          </w:p>
        </w:tc>
      </w:tr>
      <w:tr w:rsidR="00873AD4" w14:paraId="26F70A69" w14:textId="77777777" w:rsidTr="00C56A62">
        <w:trPr>
          <w:cantSplit/>
        </w:trPr>
        <w:tc>
          <w:tcPr>
            <w:tcW w:w="6293" w:type="dxa"/>
            <w:vAlign w:val="bottom"/>
          </w:tcPr>
          <w:p w14:paraId="0BCDD38B" w14:textId="77777777" w:rsidR="00873AD4" w:rsidRDefault="00873AD4" w:rsidP="00C56A62">
            <w:pPr>
              <w:widowControl w:val="0"/>
              <w:pBdr>
                <w:top w:val="nil"/>
                <w:left w:val="nil"/>
                <w:bottom w:val="nil"/>
                <w:right w:val="nil"/>
                <w:between w:val="nil"/>
              </w:pBdr>
              <w:ind w:left="113" w:right="-57" w:hanging="113"/>
              <w:rPr>
                <w:color w:val="000000"/>
              </w:rPr>
            </w:pPr>
            <w:r>
              <w:rPr>
                <w:color w:val="000000"/>
              </w:rPr>
              <w:t>Term loans</w:t>
            </w:r>
          </w:p>
        </w:tc>
        <w:tc>
          <w:tcPr>
            <w:tcW w:w="1531" w:type="dxa"/>
            <w:vAlign w:val="bottom"/>
          </w:tcPr>
          <w:p w14:paraId="72393689" w14:textId="77777777" w:rsidR="00873AD4" w:rsidRDefault="00873AD4" w:rsidP="00C56A62">
            <w:pPr>
              <w:widowControl w:val="0"/>
              <w:pBdr>
                <w:top w:val="nil"/>
                <w:left w:val="nil"/>
                <w:bottom w:val="nil"/>
                <w:right w:val="nil"/>
                <w:between w:val="nil"/>
              </w:pBdr>
              <w:jc w:val="right"/>
              <w:rPr>
                <w:color w:val="000000"/>
              </w:rPr>
            </w:pPr>
          </w:p>
        </w:tc>
        <w:tc>
          <w:tcPr>
            <w:tcW w:w="1531" w:type="dxa"/>
            <w:vAlign w:val="bottom"/>
          </w:tcPr>
          <w:p w14:paraId="17EE2B12" w14:textId="77777777" w:rsidR="00873AD4" w:rsidRDefault="00873AD4" w:rsidP="00C56A62">
            <w:pPr>
              <w:widowControl w:val="0"/>
              <w:pBdr>
                <w:top w:val="nil"/>
                <w:left w:val="nil"/>
                <w:bottom w:val="nil"/>
                <w:right w:val="nil"/>
                <w:between w:val="nil"/>
              </w:pBdr>
              <w:jc w:val="right"/>
              <w:rPr>
                <w:color w:val="000000"/>
              </w:rPr>
            </w:pPr>
          </w:p>
        </w:tc>
      </w:tr>
      <w:tr w:rsidR="00873AD4" w14:paraId="32C37567" w14:textId="77777777" w:rsidTr="00C56A62">
        <w:trPr>
          <w:cantSplit/>
        </w:trPr>
        <w:tc>
          <w:tcPr>
            <w:tcW w:w="6293" w:type="dxa"/>
            <w:vAlign w:val="bottom"/>
          </w:tcPr>
          <w:p w14:paraId="6E5732D0" w14:textId="77777777" w:rsidR="00873AD4" w:rsidRDefault="00873AD4" w:rsidP="00C56A62">
            <w:pPr>
              <w:widowControl w:val="0"/>
              <w:pBdr>
                <w:top w:val="nil"/>
                <w:left w:val="nil"/>
                <w:bottom w:val="nil"/>
                <w:right w:val="nil"/>
                <w:between w:val="nil"/>
              </w:pBdr>
              <w:ind w:left="113" w:right="-57" w:hanging="113"/>
              <w:rPr>
                <w:color w:val="000000"/>
              </w:rPr>
            </w:pPr>
            <w:r>
              <w:rPr>
                <w:color w:val="000000"/>
              </w:rPr>
              <w:t xml:space="preserve">Promissory notes issued </w:t>
            </w:r>
          </w:p>
        </w:tc>
        <w:tc>
          <w:tcPr>
            <w:tcW w:w="1531" w:type="dxa"/>
            <w:vAlign w:val="bottom"/>
          </w:tcPr>
          <w:p w14:paraId="22453925" w14:textId="77777777" w:rsidR="00873AD4" w:rsidRDefault="00873AD4" w:rsidP="00C56A62">
            <w:pPr>
              <w:widowControl w:val="0"/>
              <w:pBdr>
                <w:top w:val="nil"/>
                <w:left w:val="nil"/>
                <w:bottom w:val="nil"/>
                <w:right w:val="nil"/>
                <w:between w:val="nil"/>
              </w:pBdr>
              <w:jc w:val="right"/>
              <w:rPr>
                <w:color w:val="000000"/>
              </w:rPr>
            </w:pPr>
          </w:p>
        </w:tc>
        <w:tc>
          <w:tcPr>
            <w:tcW w:w="1531" w:type="dxa"/>
            <w:vAlign w:val="bottom"/>
          </w:tcPr>
          <w:p w14:paraId="54AE035A" w14:textId="77777777" w:rsidR="00873AD4" w:rsidRDefault="00873AD4" w:rsidP="00C56A62">
            <w:pPr>
              <w:widowControl w:val="0"/>
              <w:pBdr>
                <w:top w:val="nil"/>
                <w:left w:val="nil"/>
                <w:bottom w:val="nil"/>
                <w:right w:val="nil"/>
                <w:between w:val="nil"/>
              </w:pBdr>
              <w:jc w:val="right"/>
              <w:rPr>
                <w:color w:val="000000"/>
              </w:rPr>
            </w:pPr>
          </w:p>
        </w:tc>
      </w:tr>
      <w:tr w:rsidR="00873AD4" w14:paraId="388B304A" w14:textId="77777777" w:rsidTr="00C56A62">
        <w:trPr>
          <w:cantSplit/>
        </w:trPr>
        <w:tc>
          <w:tcPr>
            <w:tcW w:w="6293" w:type="dxa"/>
            <w:vAlign w:val="bottom"/>
          </w:tcPr>
          <w:p w14:paraId="0F7BC4DE" w14:textId="77777777" w:rsidR="00873AD4" w:rsidRDefault="00873AD4" w:rsidP="00C56A62">
            <w:pPr>
              <w:widowControl w:val="0"/>
              <w:pBdr>
                <w:top w:val="nil"/>
                <w:left w:val="nil"/>
                <w:bottom w:val="nil"/>
                <w:right w:val="nil"/>
                <w:between w:val="nil"/>
              </w:pBdr>
              <w:ind w:left="113" w:right="-57" w:hanging="113"/>
              <w:rPr>
                <w:color w:val="000000"/>
              </w:rPr>
            </w:pPr>
            <w:r>
              <w:rPr>
                <w:color w:val="000000"/>
              </w:rPr>
              <w:t>Eurobonds</w:t>
            </w:r>
          </w:p>
        </w:tc>
        <w:tc>
          <w:tcPr>
            <w:tcW w:w="1531" w:type="dxa"/>
            <w:vAlign w:val="bottom"/>
          </w:tcPr>
          <w:p w14:paraId="1A3C20F6" w14:textId="77777777" w:rsidR="00873AD4" w:rsidRDefault="00873AD4" w:rsidP="00C56A62">
            <w:pPr>
              <w:widowControl w:val="0"/>
              <w:pBdr>
                <w:top w:val="nil"/>
                <w:left w:val="nil"/>
                <w:bottom w:val="nil"/>
                <w:right w:val="nil"/>
                <w:between w:val="nil"/>
              </w:pBdr>
              <w:jc w:val="right"/>
              <w:rPr>
                <w:color w:val="000000"/>
              </w:rPr>
            </w:pPr>
          </w:p>
        </w:tc>
        <w:tc>
          <w:tcPr>
            <w:tcW w:w="1531" w:type="dxa"/>
            <w:vAlign w:val="bottom"/>
          </w:tcPr>
          <w:p w14:paraId="0FC94C92" w14:textId="77777777" w:rsidR="00873AD4" w:rsidRDefault="00873AD4" w:rsidP="00C56A62">
            <w:pPr>
              <w:widowControl w:val="0"/>
              <w:pBdr>
                <w:top w:val="nil"/>
                <w:left w:val="nil"/>
                <w:bottom w:val="nil"/>
                <w:right w:val="nil"/>
                <w:between w:val="nil"/>
              </w:pBdr>
              <w:jc w:val="right"/>
              <w:rPr>
                <w:color w:val="000000"/>
              </w:rPr>
            </w:pPr>
          </w:p>
        </w:tc>
      </w:tr>
      <w:tr w:rsidR="00873AD4" w14:paraId="6919806E" w14:textId="77777777" w:rsidTr="00C56A62">
        <w:trPr>
          <w:cantSplit/>
        </w:trPr>
        <w:tc>
          <w:tcPr>
            <w:tcW w:w="6293" w:type="dxa"/>
            <w:vAlign w:val="bottom"/>
          </w:tcPr>
          <w:p w14:paraId="4EC86A03" w14:textId="77777777" w:rsidR="00873AD4" w:rsidRDefault="00873AD4" w:rsidP="00C56A62">
            <w:pPr>
              <w:widowControl w:val="0"/>
              <w:pBdr>
                <w:top w:val="nil"/>
                <w:left w:val="nil"/>
                <w:bottom w:val="nil"/>
                <w:right w:val="nil"/>
                <w:between w:val="nil"/>
              </w:pBdr>
              <w:ind w:left="113" w:right="-57" w:hanging="113"/>
              <w:rPr>
                <w:color w:val="000000"/>
              </w:rPr>
            </w:pPr>
            <w:r>
              <w:rPr>
                <w:color w:val="000000"/>
              </w:rPr>
              <w:t>Sale and repurchase agreements</w:t>
            </w:r>
          </w:p>
        </w:tc>
        <w:tc>
          <w:tcPr>
            <w:tcW w:w="1531" w:type="dxa"/>
            <w:vAlign w:val="bottom"/>
          </w:tcPr>
          <w:p w14:paraId="7997DAD7" w14:textId="77777777" w:rsidR="00873AD4" w:rsidRDefault="00873AD4" w:rsidP="00C56A62">
            <w:pPr>
              <w:widowControl w:val="0"/>
              <w:pBdr>
                <w:top w:val="nil"/>
                <w:left w:val="nil"/>
                <w:bottom w:val="nil"/>
                <w:right w:val="nil"/>
                <w:between w:val="nil"/>
              </w:pBdr>
              <w:jc w:val="right"/>
              <w:rPr>
                <w:color w:val="000000"/>
              </w:rPr>
            </w:pPr>
          </w:p>
        </w:tc>
        <w:tc>
          <w:tcPr>
            <w:tcW w:w="1531" w:type="dxa"/>
            <w:vAlign w:val="bottom"/>
          </w:tcPr>
          <w:p w14:paraId="51B35D92" w14:textId="77777777" w:rsidR="00873AD4" w:rsidRDefault="00873AD4" w:rsidP="00C56A62">
            <w:pPr>
              <w:widowControl w:val="0"/>
              <w:pBdr>
                <w:top w:val="nil"/>
                <w:left w:val="nil"/>
                <w:bottom w:val="nil"/>
                <w:right w:val="nil"/>
                <w:between w:val="nil"/>
              </w:pBdr>
              <w:jc w:val="right"/>
              <w:rPr>
                <w:color w:val="000000"/>
              </w:rPr>
            </w:pPr>
          </w:p>
        </w:tc>
      </w:tr>
      <w:tr w:rsidR="00873AD4" w14:paraId="05F1CD6B" w14:textId="77777777" w:rsidTr="00C56A62">
        <w:trPr>
          <w:cantSplit/>
        </w:trPr>
        <w:tc>
          <w:tcPr>
            <w:tcW w:w="6293" w:type="dxa"/>
            <w:tcBorders>
              <w:bottom w:val="single" w:sz="4" w:space="0" w:color="000000"/>
            </w:tcBorders>
            <w:vAlign w:val="bottom"/>
          </w:tcPr>
          <w:p w14:paraId="1260E65D" w14:textId="77777777" w:rsidR="00873AD4" w:rsidRDefault="00873AD4" w:rsidP="00C56A62">
            <w:pPr>
              <w:widowControl w:val="0"/>
              <w:pBdr>
                <w:top w:val="nil"/>
                <w:left w:val="nil"/>
                <w:bottom w:val="nil"/>
                <w:right w:val="nil"/>
                <w:between w:val="nil"/>
              </w:pBdr>
              <w:ind w:left="113" w:right="-57" w:hanging="113"/>
              <w:rPr>
                <w:color w:val="000000"/>
              </w:rPr>
            </w:pPr>
            <w:r>
              <w:rPr>
                <w:color w:val="000000"/>
              </w:rPr>
              <w:t> </w:t>
            </w:r>
          </w:p>
        </w:tc>
        <w:tc>
          <w:tcPr>
            <w:tcW w:w="1531" w:type="dxa"/>
            <w:tcBorders>
              <w:bottom w:val="single" w:sz="4" w:space="0" w:color="000000"/>
            </w:tcBorders>
            <w:vAlign w:val="bottom"/>
          </w:tcPr>
          <w:p w14:paraId="2A722E91" w14:textId="77777777" w:rsidR="00873AD4" w:rsidRDefault="00873AD4" w:rsidP="00C56A62">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79712DAA" w14:textId="77777777" w:rsidR="00873AD4" w:rsidRDefault="00873AD4" w:rsidP="00C56A62">
            <w:pPr>
              <w:widowControl w:val="0"/>
              <w:pBdr>
                <w:top w:val="nil"/>
                <w:left w:val="nil"/>
                <w:bottom w:val="nil"/>
                <w:right w:val="nil"/>
                <w:between w:val="nil"/>
              </w:pBdr>
              <w:jc w:val="right"/>
              <w:rPr>
                <w:color w:val="000000"/>
              </w:rPr>
            </w:pPr>
          </w:p>
        </w:tc>
      </w:tr>
      <w:tr w:rsidR="00873AD4" w14:paraId="4930926E" w14:textId="77777777" w:rsidTr="00C56A62">
        <w:trPr>
          <w:cantSplit/>
        </w:trPr>
        <w:tc>
          <w:tcPr>
            <w:tcW w:w="6293" w:type="dxa"/>
            <w:tcBorders>
              <w:top w:val="single" w:sz="4" w:space="0" w:color="000000"/>
            </w:tcBorders>
            <w:vAlign w:val="bottom"/>
          </w:tcPr>
          <w:p w14:paraId="286242B0" w14:textId="77777777" w:rsidR="00873AD4" w:rsidRDefault="00873AD4" w:rsidP="00C56A62">
            <w:pPr>
              <w:widowControl w:val="0"/>
              <w:pBdr>
                <w:top w:val="nil"/>
                <w:left w:val="nil"/>
                <w:bottom w:val="nil"/>
                <w:right w:val="nil"/>
                <w:between w:val="nil"/>
              </w:pBdr>
              <w:ind w:left="113" w:right="-57" w:hanging="113"/>
              <w:rPr>
                <w:color w:val="000000"/>
              </w:rPr>
            </w:pPr>
            <w:r>
              <w:rPr>
                <w:color w:val="000000"/>
              </w:rPr>
              <w:t> </w:t>
            </w:r>
          </w:p>
        </w:tc>
        <w:tc>
          <w:tcPr>
            <w:tcW w:w="1531" w:type="dxa"/>
            <w:tcBorders>
              <w:top w:val="single" w:sz="4" w:space="0" w:color="000000"/>
            </w:tcBorders>
            <w:vAlign w:val="bottom"/>
          </w:tcPr>
          <w:p w14:paraId="5CA511FC" w14:textId="77777777" w:rsidR="00873AD4" w:rsidRDefault="00873AD4" w:rsidP="00C56A62">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3AFC54A" w14:textId="77777777" w:rsidR="00873AD4" w:rsidRDefault="00873AD4" w:rsidP="00C56A62">
            <w:pPr>
              <w:widowControl w:val="0"/>
              <w:pBdr>
                <w:top w:val="nil"/>
                <w:left w:val="nil"/>
                <w:bottom w:val="nil"/>
                <w:right w:val="nil"/>
                <w:between w:val="nil"/>
              </w:pBdr>
              <w:jc w:val="right"/>
              <w:rPr>
                <w:color w:val="000000"/>
              </w:rPr>
            </w:pPr>
          </w:p>
        </w:tc>
      </w:tr>
      <w:tr w:rsidR="00873AD4" w14:paraId="16DB4106" w14:textId="77777777" w:rsidTr="00C56A62">
        <w:trPr>
          <w:cantSplit/>
        </w:trPr>
        <w:tc>
          <w:tcPr>
            <w:tcW w:w="6293" w:type="dxa"/>
            <w:vAlign w:val="bottom"/>
          </w:tcPr>
          <w:p w14:paraId="676E6B0A" w14:textId="68FF7284" w:rsidR="00873AD4" w:rsidRDefault="00873AD4" w:rsidP="00C56A62">
            <w:pPr>
              <w:widowControl w:val="0"/>
              <w:pBdr>
                <w:top w:val="nil"/>
                <w:left w:val="nil"/>
                <w:bottom w:val="nil"/>
                <w:right w:val="nil"/>
                <w:between w:val="nil"/>
              </w:pBdr>
              <w:ind w:left="113" w:right="-57" w:hanging="113"/>
              <w:rPr>
                <w:b/>
                <w:color w:val="000000"/>
              </w:rPr>
            </w:pPr>
            <w:r>
              <w:rPr>
                <w:b/>
                <w:color w:val="000000"/>
              </w:rPr>
              <w:t xml:space="preserve">Total </w:t>
            </w:r>
            <w:r w:rsidR="00DC190B">
              <w:rPr>
                <w:b/>
                <w:color w:val="000000"/>
              </w:rPr>
              <w:t xml:space="preserve">non-current </w:t>
            </w:r>
            <w:r>
              <w:rPr>
                <w:b/>
                <w:color w:val="000000"/>
              </w:rPr>
              <w:t>borrowings</w:t>
            </w:r>
            <w:r w:rsidR="00DC190B">
              <w:rPr>
                <w:b/>
                <w:color w:val="000000"/>
              </w:rPr>
              <w:t xml:space="preserve"> subject to loan covenants</w:t>
            </w:r>
          </w:p>
        </w:tc>
        <w:tc>
          <w:tcPr>
            <w:tcW w:w="1531" w:type="dxa"/>
            <w:vAlign w:val="bottom"/>
          </w:tcPr>
          <w:p w14:paraId="120D39C0" w14:textId="77777777" w:rsidR="00873AD4" w:rsidRDefault="00873AD4" w:rsidP="00C56A62">
            <w:pPr>
              <w:widowControl w:val="0"/>
              <w:pBdr>
                <w:top w:val="nil"/>
                <w:left w:val="nil"/>
                <w:bottom w:val="nil"/>
                <w:right w:val="nil"/>
                <w:between w:val="nil"/>
              </w:pBdr>
              <w:jc w:val="right"/>
              <w:rPr>
                <w:b/>
                <w:smallCaps/>
                <w:color w:val="000000"/>
              </w:rPr>
            </w:pPr>
          </w:p>
        </w:tc>
        <w:tc>
          <w:tcPr>
            <w:tcW w:w="1531" w:type="dxa"/>
            <w:vAlign w:val="bottom"/>
          </w:tcPr>
          <w:p w14:paraId="206D296F" w14:textId="77777777" w:rsidR="00873AD4" w:rsidRDefault="00873AD4" w:rsidP="00C56A62">
            <w:pPr>
              <w:widowControl w:val="0"/>
              <w:pBdr>
                <w:top w:val="nil"/>
                <w:left w:val="nil"/>
                <w:bottom w:val="nil"/>
                <w:right w:val="nil"/>
                <w:between w:val="nil"/>
              </w:pBdr>
              <w:jc w:val="right"/>
              <w:rPr>
                <w:b/>
                <w:smallCaps/>
                <w:color w:val="000000"/>
              </w:rPr>
            </w:pPr>
          </w:p>
        </w:tc>
      </w:tr>
      <w:tr w:rsidR="00873AD4" w14:paraId="1C3D9EB1" w14:textId="77777777" w:rsidTr="00C56A62">
        <w:trPr>
          <w:cantSplit/>
        </w:trPr>
        <w:tc>
          <w:tcPr>
            <w:tcW w:w="6293" w:type="dxa"/>
            <w:tcBorders>
              <w:bottom w:val="single" w:sz="12" w:space="0" w:color="000000"/>
            </w:tcBorders>
            <w:vAlign w:val="bottom"/>
          </w:tcPr>
          <w:p w14:paraId="745A3168" w14:textId="77777777" w:rsidR="00873AD4" w:rsidRDefault="00873AD4" w:rsidP="00C56A62">
            <w:pPr>
              <w:widowControl w:val="0"/>
              <w:pBdr>
                <w:top w:val="nil"/>
                <w:left w:val="nil"/>
                <w:bottom w:val="nil"/>
                <w:right w:val="nil"/>
                <w:between w:val="nil"/>
              </w:pBdr>
              <w:ind w:left="113" w:right="-57" w:hanging="113"/>
              <w:rPr>
                <w:b/>
                <w:color w:val="000000"/>
              </w:rPr>
            </w:pPr>
            <w:r>
              <w:rPr>
                <w:b/>
                <w:color w:val="000000"/>
              </w:rPr>
              <w:t> </w:t>
            </w:r>
          </w:p>
        </w:tc>
        <w:tc>
          <w:tcPr>
            <w:tcW w:w="1531" w:type="dxa"/>
            <w:tcBorders>
              <w:bottom w:val="single" w:sz="12" w:space="0" w:color="000000"/>
            </w:tcBorders>
            <w:vAlign w:val="bottom"/>
          </w:tcPr>
          <w:p w14:paraId="432665C2" w14:textId="77777777" w:rsidR="00873AD4" w:rsidRDefault="00873AD4" w:rsidP="00C56A62">
            <w:pPr>
              <w:widowControl w:val="0"/>
              <w:pBdr>
                <w:top w:val="nil"/>
                <w:left w:val="nil"/>
                <w:bottom w:val="nil"/>
                <w:right w:val="nil"/>
                <w:between w:val="nil"/>
              </w:pBdr>
              <w:jc w:val="right"/>
              <w:rPr>
                <w:b/>
                <w:smallCaps/>
                <w:color w:val="000000"/>
              </w:rPr>
            </w:pPr>
          </w:p>
        </w:tc>
        <w:tc>
          <w:tcPr>
            <w:tcW w:w="1531" w:type="dxa"/>
            <w:tcBorders>
              <w:bottom w:val="single" w:sz="12" w:space="0" w:color="000000"/>
            </w:tcBorders>
            <w:vAlign w:val="bottom"/>
          </w:tcPr>
          <w:p w14:paraId="331A8A6F" w14:textId="77777777" w:rsidR="00873AD4" w:rsidRDefault="00873AD4" w:rsidP="00C56A62">
            <w:pPr>
              <w:widowControl w:val="0"/>
              <w:pBdr>
                <w:top w:val="nil"/>
                <w:left w:val="nil"/>
                <w:bottom w:val="nil"/>
                <w:right w:val="nil"/>
                <w:between w:val="nil"/>
              </w:pBdr>
              <w:jc w:val="right"/>
              <w:rPr>
                <w:b/>
                <w:smallCaps/>
                <w:color w:val="000000"/>
              </w:rPr>
            </w:pPr>
          </w:p>
        </w:tc>
      </w:tr>
    </w:tbl>
    <w:p w14:paraId="56BFDA70" w14:textId="34A95692" w:rsidR="0060707C" w:rsidRDefault="00A76CF1" w:rsidP="007F183E">
      <w:pPr>
        <w:pBdr>
          <w:top w:val="nil"/>
          <w:left w:val="nil"/>
          <w:bottom w:val="nil"/>
          <w:right w:val="nil"/>
          <w:between w:val="nil"/>
        </w:pBdr>
        <w:spacing w:before="200" w:after="120"/>
        <w:jc w:val="both"/>
        <w:rPr>
          <w:color w:val="000000"/>
          <w:sz w:val="20"/>
          <w:szCs w:val="20"/>
        </w:rPr>
      </w:pPr>
      <w:r>
        <w:rPr>
          <w:color w:val="0000FF"/>
          <w:sz w:val="20"/>
          <w:szCs w:val="20"/>
        </w:rPr>
        <w:t>[</w:t>
      </w:r>
      <w:r w:rsidR="00FD4447" w:rsidRPr="00150BDF">
        <w:rPr>
          <w:color w:val="0000FF"/>
          <w:sz w:val="20"/>
          <w:szCs w:val="20"/>
        </w:rPr>
        <w:t>Th</w:t>
      </w:r>
      <w:r w:rsidR="00036920">
        <w:rPr>
          <w:color w:val="0000FF"/>
          <w:sz w:val="20"/>
          <w:szCs w:val="20"/>
        </w:rPr>
        <w:t>e loan covenants</w:t>
      </w:r>
      <w:r w:rsidR="00FD4447" w:rsidRPr="00150BDF">
        <w:rPr>
          <w:color w:val="0000FF"/>
          <w:sz w:val="20"/>
          <w:szCs w:val="20"/>
        </w:rPr>
        <w:t xml:space="preserve"> expose the Group to </w:t>
      </w:r>
      <w:r w:rsidR="00BF6818" w:rsidRPr="00150BDF">
        <w:rPr>
          <w:color w:val="0000FF"/>
          <w:sz w:val="20"/>
          <w:szCs w:val="20"/>
        </w:rPr>
        <w:t>a</w:t>
      </w:r>
      <w:r w:rsidR="00FD4447" w:rsidRPr="00150BDF">
        <w:rPr>
          <w:color w:val="0000FF"/>
          <w:sz w:val="20"/>
          <w:szCs w:val="20"/>
        </w:rPr>
        <w:t xml:space="preserve"> risk that these </w:t>
      </w:r>
      <w:r w:rsidR="00036920">
        <w:rPr>
          <w:color w:val="0000FF"/>
          <w:sz w:val="20"/>
          <w:szCs w:val="20"/>
        </w:rPr>
        <w:t xml:space="preserve">borrowings </w:t>
      </w:r>
      <w:r w:rsidR="00FD4447" w:rsidRPr="00150BDF">
        <w:rPr>
          <w:color w:val="0000FF"/>
          <w:sz w:val="20"/>
          <w:szCs w:val="20"/>
        </w:rPr>
        <w:t xml:space="preserve">could become repayable on demand if the loan covenants are breached. In addition, </w:t>
      </w:r>
      <w:r w:rsidR="00036920">
        <w:rPr>
          <w:color w:val="0000FF"/>
          <w:sz w:val="20"/>
          <w:szCs w:val="20"/>
        </w:rPr>
        <w:t>[Eurobonds]</w:t>
      </w:r>
      <w:r w:rsidR="00FD4447" w:rsidRPr="00150BDF">
        <w:rPr>
          <w:color w:val="0000FF"/>
          <w:sz w:val="20"/>
          <w:szCs w:val="20"/>
        </w:rPr>
        <w:t xml:space="preserve"> of EUR ____ thousand (2024: EUR ____ thousand) include cross-default clauses, representing a risk that th</w:t>
      </w:r>
      <w:r w:rsidR="00BF6818" w:rsidRPr="00150BDF">
        <w:rPr>
          <w:color w:val="0000FF"/>
          <w:sz w:val="20"/>
          <w:szCs w:val="20"/>
        </w:rPr>
        <w:t>ese liabilities</w:t>
      </w:r>
      <w:r w:rsidR="00FD4447" w:rsidRPr="00150BDF">
        <w:rPr>
          <w:color w:val="0000FF"/>
          <w:sz w:val="20"/>
          <w:szCs w:val="20"/>
        </w:rPr>
        <w:t xml:space="preserve"> would also become due on demand in the event of a default on any other borrowings, including if the Group breaches covenants related to such other </w:t>
      </w:r>
      <w:r w:rsidR="003D6D19" w:rsidRPr="00150BDF">
        <w:rPr>
          <w:color w:val="0000FF"/>
          <w:sz w:val="20"/>
          <w:szCs w:val="20"/>
        </w:rPr>
        <w:t>borrowings</w:t>
      </w:r>
      <w:r w:rsidR="00FD4447" w:rsidRPr="00150BDF">
        <w:rPr>
          <w:color w:val="0000FF"/>
          <w:sz w:val="20"/>
          <w:szCs w:val="20"/>
        </w:rPr>
        <w:t>. The Group complied with the</w:t>
      </w:r>
      <w:r w:rsidR="000B4C99" w:rsidRPr="00150BDF">
        <w:rPr>
          <w:color w:val="0000FF"/>
          <w:sz w:val="20"/>
          <w:szCs w:val="20"/>
        </w:rPr>
        <w:t xml:space="preserve"> </w:t>
      </w:r>
      <w:r w:rsidR="00FD4447" w:rsidRPr="00150BDF">
        <w:rPr>
          <w:color w:val="0000FF"/>
          <w:sz w:val="20"/>
          <w:szCs w:val="20"/>
        </w:rPr>
        <w:t xml:space="preserve">covenants as of 31 December 2025 and 2024. Hence, these </w:t>
      </w:r>
      <w:r w:rsidR="006F2244" w:rsidRPr="00150BDF">
        <w:rPr>
          <w:color w:val="0000FF"/>
          <w:sz w:val="20"/>
          <w:szCs w:val="20"/>
        </w:rPr>
        <w:t>liabilities</w:t>
      </w:r>
      <w:r w:rsidR="00FD4447" w:rsidRPr="00150BDF">
        <w:rPr>
          <w:color w:val="0000FF"/>
          <w:sz w:val="20"/>
          <w:szCs w:val="20"/>
        </w:rPr>
        <w:t xml:space="preserve"> are reported based on their contractual maturities in the maturity analysis below.</w:t>
      </w:r>
      <w:r>
        <w:rPr>
          <w:color w:val="0000FF"/>
          <w:sz w:val="20"/>
          <w:szCs w:val="20"/>
        </w:rPr>
        <w:t>]</w:t>
      </w:r>
      <w:r w:rsidR="00FD4447" w:rsidRPr="00150BDF">
        <w:rPr>
          <w:color w:val="0000FF"/>
          <w:sz w:val="20"/>
          <w:szCs w:val="20"/>
        </w:rPr>
        <w:t xml:space="preserve"> </w:t>
      </w:r>
      <w:r>
        <w:rPr>
          <w:color w:val="0000FF"/>
          <w:sz w:val="20"/>
          <w:szCs w:val="20"/>
        </w:rPr>
        <w:t>[</w:t>
      </w:r>
      <w:r w:rsidR="00FD4447" w:rsidRPr="00150BDF">
        <w:rPr>
          <w:color w:val="0000FF"/>
          <w:sz w:val="20"/>
          <w:szCs w:val="20"/>
        </w:rPr>
        <w:t>The covenants to comply with include limit on leverage ratio of 3%, calculated as equity to total assets, and</w:t>
      </w:r>
      <w:r w:rsidR="00FD4447" w:rsidRPr="007F183E">
        <w:rPr>
          <w:color w:val="0000FF"/>
          <w:sz w:val="20"/>
          <w:szCs w:val="20"/>
        </w:rPr>
        <w:t xml:space="preserve"> </w:t>
      </w:r>
      <w:proofErr w:type="gramStart"/>
      <w:r w:rsidR="00AF5161" w:rsidRPr="007F183E">
        <w:rPr>
          <w:color w:val="0000FF"/>
          <w:sz w:val="20"/>
          <w:szCs w:val="20"/>
        </w:rPr>
        <w:t>[ ]</w:t>
      </w:r>
      <w:proofErr w:type="gramEnd"/>
      <w:r w:rsidR="00890EB0">
        <w:rPr>
          <w:color w:val="0000FF"/>
          <w:sz w:val="20"/>
          <w:szCs w:val="20"/>
        </w:rPr>
        <w:t>]</w:t>
      </w:r>
      <w:r w:rsidR="00AF5161" w:rsidRPr="007F183E">
        <w:rPr>
          <w:color w:val="0000FF"/>
          <w:sz w:val="20"/>
          <w:szCs w:val="20"/>
        </w:rPr>
        <w:t>.</w:t>
      </w:r>
    </w:p>
    <w:p w14:paraId="58E8E5FD" w14:textId="0ED1FD2D" w:rsidR="008E5DE4" w:rsidRDefault="00780368">
      <w:pPr>
        <w:widowControl w:val="0"/>
        <w:pBdr>
          <w:top w:val="nil"/>
          <w:left w:val="nil"/>
          <w:bottom w:val="nil"/>
          <w:right w:val="nil"/>
          <w:between w:val="nil"/>
        </w:pBdr>
        <w:spacing w:before="200" w:after="200" w:line="228" w:lineRule="auto"/>
        <w:jc w:val="both"/>
        <w:rPr>
          <w:color w:val="000000"/>
          <w:sz w:val="20"/>
          <w:szCs w:val="20"/>
        </w:rPr>
      </w:pPr>
      <w:r>
        <w:rPr>
          <w:color w:val="000000"/>
          <w:sz w:val="20"/>
          <w:szCs w:val="20"/>
        </w:rPr>
        <w:t xml:space="preserve">The maturity analysis of financial liabilities </w:t>
      </w:r>
      <w:proofErr w:type="gramStart"/>
      <w:r>
        <w:rPr>
          <w:color w:val="000000"/>
          <w:sz w:val="20"/>
          <w:szCs w:val="20"/>
        </w:rPr>
        <w:t>at</w:t>
      </w:r>
      <w:proofErr w:type="gramEnd"/>
      <w:r>
        <w:rPr>
          <w:color w:val="000000"/>
          <w:sz w:val="20"/>
          <w:szCs w:val="20"/>
        </w:rPr>
        <w:t xml:space="preserve"> 31 December </w:t>
      </w:r>
      <w:r w:rsidR="008614F8">
        <w:rPr>
          <w:color w:val="000000"/>
          <w:sz w:val="20"/>
          <w:szCs w:val="20"/>
        </w:rPr>
        <w:t>2025</w:t>
      </w:r>
      <w:r>
        <w:rPr>
          <w:color w:val="000000"/>
          <w:sz w:val="20"/>
          <w:szCs w:val="20"/>
        </w:rPr>
        <w:t xml:space="preserve"> is as follows:</w:t>
      </w:r>
    </w:p>
    <w:tbl>
      <w:tblPr>
        <w:tblStyle w:val="afffffffffffffa"/>
        <w:tblW w:w="9353" w:type="dxa"/>
        <w:tblLayout w:type="fixed"/>
        <w:tblLook w:val="0000" w:firstRow="0" w:lastRow="0" w:firstColumn="0" w:lastColumn="0" w:noHBand="0" w:noVBand="0"/>
      </w:tblPr>
      <w:tblGrid>
        <w:gridCol w:w="2891"/>
        <w:gridCol w:w="1077"/>
        <w:gridCol w:w="1077"/>
        <w:gridCol w:w="1077"/>
        <w:gridCol w:w="1077"/>
        <w:gridCol w:w="1077"/>
        <w:gridCol w:w="1077"/>
      </w:tblGrid>
      <w:tr w:rsidR="00CF3EC7" w14:paraId="40B170D9" w14:textId="77777777" w:rsidTr="001373A0">
        <w:trPr>
          <w:cantSplit/>
        </w:trPr>
        <w:tc>
          <w:tcPr>
            <w:tcW w:w="2891" w:type="dxa"/>
            <w:tcBorders>
              <w:bottom w:val="single" w:sz="4" w:space="0" w:color="000000"/>
            </w:tcBorders>
            <w:vAlign w:val="bottom"/>
          </w:tcPr>
          <w:p w14:paraId="73F1124F" w14:textId="77777777" w:rsidR="00CF3EC7" w:rsidRDefault="00CF3EC7" w:rsidP="001373A0">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077" w:type="dxa"/>
            <w:tcBorders>
              <w:bottom w:val="single" w:sz="4" w:space="0" w:color="000000"/>
            </w:tcBorders>
          </w:tcPr>
          <w:p w14:paraId="025857B0"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Demand and less than 1 month</w:t>
            </w:r>
          </w:p>
        </w:tc>
        <w:tc>
          <w:tcPr>
            <w:tcW w:w="1077" w:type="dxa"/>
            <w:tcBorders>
              <w:bottom w:val="single" w:sz="4" w:space="0" w:color="000000"/>
            </w:tcBorders>
          </w:tcPr>
          <w:p w14:paraId="1228BF80"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 xml:space="preserve">From </w:t>
            </w:r>
          </w:p>
          <w:p w14:paraId="40474CB2"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1 to 3 months</w:t>
            </w:r>
          </w:p>
        </w:tc>
        <w:tc>
          <w:tcPr>
            <w:tcW w:w="1077" w:type="dxa"/>
            <w:tcBorders>
              <w:bottom w:val="single" w:sz="4" w:space="0" w:color="000000"/>
            </w:tcBorders>
          </w:tcPr>
          <w:p w14:paraId="0A56262E"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 xml:space="preserve">From </w:t>
            </w:r>
            <w:r>
              <w:rPr>
                <w:b/>
                <w:color w:val="000000"/>
              </w:rPr>
              <w:br/>
              <w:t>3 to 12</w:t>
            </w:r>
          </w:p>
          <w:p w14:paraId="26035A33"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months</w:t>
            </w:r>
          </w:p>
        </w:tc>
        <w:tc>
          <w:tcPr>
            <w:tcW w:w="1077" w:type="dxa"/>
            <w:tcBorders>
              <w:bottom w:val="single" w:sz="4" w:space="0" w:color="000000"/>
            </w:tcBorders>
          </w:tcPr>
          <w:p w14:paraId="69A825CD"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From 12 months to 5 years</w:t>
            </w:r>
          </w:p>
        </w:tc>
        <w:tc>
          <w:tcPr>
            <w:tcW w:w="1077" w:type="dxa"/>
            <w:tcBorders>
              <w:bottom w:val="single" w:sz="4" w:space="0" w:color="000000"/>
            </w:tcBorders>
          </w:tcPr>
          <w:p w14:paraId="72BF0A0D"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 xml:space="preserve">Over </w:t>
            </w:r>
            <w:r>
              <w:rPr>
                <w:b/>
                <w:color w:val="000000"/>
              </w:rPr>
              <w:br/>
              <w:t>5 years</w:t>
            </w:r>
          </w:p>
        </w:tc>
        <w:tc>
          <w:tcPr>
            <w:tcW w:w="1077" w:type="dxa"/>
            <w:tcBorders>
              <w:bottom w:val="single" w:sz="4" w:space="0" w:color="000000"/>
            </w:tcBorders>
          </w:tcPr>
          <w:p w14:paraId="25F19A19"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Total</w:t>
            </w:r>
          </w:p>
        </w:tc>
      </w:tr>
      <w:tr w:rsidR="00CF3EC7" w14:paraId="7519E3D9" w14:textId="77777777" w:rsidTr="001373A0">
        <w:trPr>
          <w:cantSplit/>
        </w:trPr>
        <w:tc>
          <w:tcPr>
            <w:tcW w:w="2891" w:type="dxa"/>
            <w:vAlign w:val="bottom"/>
          </w:tcPr>
          <w:p w14:paraId="7242FE69" w14:textId="77777777" w:rsidR="00CF3EC7" w:rsidRDefault="00CF3EC7" w:rsidP="001373A0">
            <w:pPr>
              <w:widowControl w:val="0"/>
              <w:spacing w:line="228" w:lineRule="auto"/>
              <w:ind w:left="113" w:right="-57" w:hanging="113"/>
              <w:rPr>
                <w:b/>
              </w:rPr>
            </w:pPr>
            <w:r>
              <w:rPr>
                <w:color w:val="0000FF"/>
              </w:rPr>
              <w:t> </w:t>
            </w:r>
          </w:p>
        </w:tc>
        <w:tc>
          <w:tcPr>
            <w:tcW w:w="1077" w:type="dxa"/>
            <w:vAlign w:val="bottom"/>
          </w:tcPr>
          <w:p w14:paraId="0F26EA39"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2F44BB8"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5109C8D4"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7F6A57EF"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2DBC73BF"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1B12D0C"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5DC2F41D" w14:textId="77777777" w:rsidTr="001373A0">
        <w:trPr>
          <w:cantSplit/>
        </w:trPr>
        <w:tc>
          <w:tcPr>
            <w:tcW w:w="2891" w:type="dxa"/>
            <w:vAlign w:val="bottom"/>
          </w:tcPr>
          <w:p w14:paraId="7D46E866" w14:textId="77777777" w:rsidR="00CF3EC7" w:rsidRDefault="00CF3EC7" w:rsidP="001373A0">
            <w:pPr>
              <w:widowControl w:val="0"/>
              <w:pBdr>
                <w:top w:val="nil"/>
                <w:left w:val="nil"/>
                <w:bottom w:val="nil"/>
                <w:right w:val="nil"/>
                <w:between w:val="nil"/>
              </w:pBdr>
              <w:spacing w:line="228" w:lineRule="auto"/>
              <w:ind w:left="113" w:right="-57" w:hanging="113"/>
              <w:rPr>
                <w:b/>
                <w:color w:val="000000"/>
              </w:rPr>
            </w:pPr>
            <w:r>
              <w:rPr>
                <w:b/>
                <w:color w:val="000000"/>
              </w:rPr>
              <w:t>Liabilities</w:t>
            </w:r>
          </w:p>
        </w:tc>
        <w:tc>
          <w:tcPr>
            <w:tcW w:w="1077" w:type="dxa"/>
            <w:vAlign w:val="bottom"/>
          </w:tcPr>
          <w:p w14:paraId="244E98E7"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764C9587"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73116469"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7D460075"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18C9380"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90346E2"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23B19936" w14:textId="77777777" w:rsidTr="001373A0">
        <w:trPr>
          <w:cantSplit/>
        </w:trPr>
        <w:tc>
          <w:tcPr>
            <w:tcW w:w="2891" w:type="dxa"/>
            <w:vAlign w:val="bottom"/>
          </w:tcPr>
          <w:p w14:paraId="1B1BE1BA"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Borrowings (Note 28)</w:t>
            </w:r>
          </w:p>
        </w:tc>
        <w:tc>
          <w:tcPr>
            <w:tcW w:w="1077" w:type="dxa"/>
            <w:vAlign w:val="bottom"/>
          </w:tcPr>
          <w:p w14:paraId="17AF6EF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4041D89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3920172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1F248F9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8A4EFE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4A93D079"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05887D89" w14:textId="77777777" w:rsidTr="001373A0">
        <w:trPr>
          <w:cantSplit/>
        </w:trPr>
        <w:tc>
          <w:tcPr>
            <w:tcW w:w="2891" w:type="dxa"/>
            <w:vAlign w:val="bottom"/>
          </w:tcPr>
          <w:p w14:paraId="6F4F6BA1"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Lease liabilities (Note 11)</w:t>
            </w:r>
          </w:p>
        </w:tc>
        <w:tc>
          <w:tcPr>
            <w:tcW w:w="1077" w:type="dxa"/>
            <w:vAlign w:val="bottom"/>
          </w:tcPr>
          <w:p w14:paraId="54E0F679"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555C6AE1"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557D1B4B"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B8CF91E"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2A3DCAD1"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1F9A8261"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24AC851E" w14:textId="77777777" w:rsidTr="001373A0">
        <w:trPr>
          <w:cantSplit/>
        </w:trPr>
        <w:tc>
          <w:tcPr>
            <w:tcW w:w="2891" w:type="dxa"/>
            <w:vAlign w:val="bottom"/>
          </w:tcPr>
          <w:p w14:paraId="6044B062"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Trade payables (Note 34)</w:t>
            </w:r>
          </w:p>
        </w:tc>
        <w:tc>
          <w:tcPr>
            <w:tcW w:w="1077" w:type="dxa"/>
            <w:vAlign w:val="bottom"/>
          </w:tcPr>
          <w:p w14:paraId="462F819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78C07A1"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420D69AE"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179C08E9"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80E9E2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43D6DB6C"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36B25599" w14:textId="77777777" w:rsidTr="001373A0">
        <w:trPr>
          <w:cantSplit/>
        </w:trPr>
        <w:tc>
          <w:tcPr>
            <w:tcW w:w="2891" w:type="dxa"/>
            <w:vAlign w:val="bottom"/>
          </w:tcPr>
          <w:p w14:paraId="097BA34C"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Payables under supplier finance arrangement (Note 34)</w:t>
            </w:r>
          </w:p>
        </w:tc>
        <w:tc>
          <w:tcPr>
            <w:tcW w:w="1077" w:type="dxa"/>
            <w:vAlign w:val="bottom"/>
          </w:tcPr>
          <w:p w14:paraId="6734547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D98C8AB"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495742DA"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33AC934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7E9A6B05"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5089E6C"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27E120E9" w14:textId="77777777" w:rsidTr="001373A0">
        <w:trPr>
          <w:cantSplit/>
        </w:trPr>
        <w:tc>
          <w:tcPr>
            <w:tcW w:w="2891" w:type="dxa"/>
            <w:vAlign w:val="bottom"/>
          </w:tcPr>
          <w:p w14:paraId="728AA98B"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Other financial payables (Note 34)</w:t>
            </w:r>
          </w:p>
        </w:tc>
        <w:tc>
          <w:tcPr>
            <w:tcW w:w="1077" w:type="dxa"/>
            <w:vAlign w:val="bottom"/>
          </w:tcPr>
          <w:p w14:paraId="4C9726F7"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DBEBA1B"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78F6789E"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27E4B4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621B6CDD"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12C3459"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6A1D4B60" w14:textId="77777777" w:rsidTr="001373A0">
        <w:trPr>
          <w:cantSplit/>
        </w:trPr>
        <w:tc>
          <w:tcPr>
            <w:tcW w:w="2891" w:type="dxa"/>
            <w:vAlign w:val="bottom"/>
          </w:tcPr>
          <w:p w14:paraId="02B857AD" w14:textId="77777777" w:rsidR="00CF3EC7" w:rsidRDefault="00CF3EC7" w:rsidP="001373A0">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Gross settled swaps and forwards (Note 46)</w:t>
            </w:r>
          </w:p>
        </w:tc>
        <w:tc>
          <w:tcPr>
            <w:tcW w:w="1077" w:type="dxa"/>
            <w:vAlign w:val="bottom"/>
          </w:tcPr>
          <w:p w14:paraId="750830D5"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564642EE"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082966D"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0CD1B801"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48CC11F"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06D9BC66"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29739623" w14:textId="77777777" w:rsidTr="001373A0">
        <w:trPr>
          <w:cantSplit/>
        </w:trPr>
        <w:tc>
          <w:tcPr>
            <w:tcW w:w="2891" w:type="dxa"/>
            <w:vAlign w:val="bottom"/>
          </w:tcPr>
          <w:p w14:paraId="00E1962B" w14:textId="77777777" w:rsidR="00CF3EC7" w:rsidRDefault="00CF3EC7" w:rsidP="001373A0">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inflows</w:t>
            </w:r>
          </w:p>
        </w:tc>
        <w:tc>
          <w:tcPr>
            <w:tcW w:w="1077" w:type="dxa"/>
            <w:vAlign w:val="bottom"/>
          </w:tcPr>
          <w:p w14:paraId="694A9F80"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ED5CDF6"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1B4B4138"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111B5B8"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0F752C6A"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1D358672"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0C8F3B96" w14:textId="77777777" w:rsidTr="001373A0">
        <w:trPr>
          <w:cantSplit/>
        </w:trPr>
        <w:tc>
          <w:tcPr>
            <w:tcW w:w="2891" w:type="dxa"/>
            <w:vAlign w:val="bottom"/>
          </w:tcPr>
          <w:p w14:paraId="52538492" w14:textId="77777777" w:rsidR="00CF3EC7" w:rsidRDefault="00CF3EC7" w:rsidP="001373A0">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outflows</w:t>
            </w:r>
          </w:p>
        </w:tc>
        <w:tc>
          <w:tcPr>
            <w:tcW w:w="1077" w:type="dxa"/>
            <w:vAlign w:val="bottom"/>
          </w:tcPr>
          <w:p w14:paraId="6911B64B"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78B529B"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6ECEBB5"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2A1B7212"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79F3E4EB"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1CA1F70C"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483091E5" w14:textId="77777777" w:rsidTr="001373A0">
        <w:trPr>
          <w:cantSplit/>
        </w:trPr>
        <w:tc>
          <w:tcPr>
            <w:tcW w:w="2891" w:type="dxa"/>
            <w:vAlign w:val="bottom"/>
          </w:tcPr>
          <w:p w14:paraId="6DEDB41E" w14:textId="77777777" w:rsidR="00CF3EC7" w:rsidRDefault="00CF3EC7" w:rsidP="001373A0">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Net settled derivatives (Note 46)</w:t>
            </w:r>
          </w:p>
        </w:tc>
        <w:tc>
          <w:tcPr>
            <w:tcW w:w="1077" w:type="dxa"/>
            <w:vAlign w:val="bottom"/>
          </w:tcPr>
          <w:p w14:paraId="5323DFCE"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224DB3E2"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19FABAF9"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42E39C14"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0E778E5"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B15A390"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0E47D7EA" w14:textId="77777777" w:rsidTr="001373A0">
        <w:trPr>
          <w:cantSplit/>
        </w:trPr>
        <w:tc>
          <w:tcPr>
            <w:tcW w:w="2891" w:type="dxa"/>
            <w:vAlign w:val="bottom"/>
          </w:tcPr>
          <w:p w14:paraId="0A59DC15"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Gross commitments to provide loans</w:t>
            </w:r>
          </w:p>
        </w:tc>
        <w:tc>
          <w:tcPr>
            <w:tcW w:w="1077" w:type="dxa"/>
            <w:vAlign w:val="bottom"/>
          </w:tcPr>
          <w:p w14:paraId="345CB598"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63AF6940"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B659EB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64865327"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1030F15D"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40A8295E"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6A0931BA" w14:textId="77777777" w:rsidTr="001373A0">
        <w:trPr>
          <w:cantSplit/>
        </w:trPr>
        <w:tc>
          <w:tcPr>
            <w:tcW w:w="2891" w:type="dxa"/>
            <w:vAlign w:val="bottom"/>
          </w:tcPr>
          <w:p w14:paraId="7532DA89"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Financial guarantees</w:t>
            </w:r>
          </w:p>
        </w:tc>
        <w:tc>
          <w:tcPr>
            <w:tcW w:w="1077" w:type="dxa"/>
            <w:vAlign w:val="bottom"/>
          </w:tcPr>
          <w:p w14:paraId="3AF6B241"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521447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84BCBA5"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ED0209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717EAAF9"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372112A"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387FF878" w14:textId="77777777" w:rsidTr="001373A0">
        <w:trPr>
          <w:cantSplit/>
        </w:trPr>
        <w:tc>
          <w:tcPr>
            <w:tcW w:w="2891" w:type="dxa"/>
            <w:tcBorders>
              <w:bottom w:val="single" w:sz="4" w:space="0" w:color="000000"/>
            </w:tcBorders>
            <w:vAlign w:val="bottom"/>
          </w:tcPr>
          <w:p w14:paraId="7DC5929F"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FF"/>
              </w:rPr>
              <w:t> </w:t>
            </w:r>
          </w:p>
        </w:tc>
        <w:tc>
          <w:tcPr>
            <w:tcW w:w="1077" w:type="dxa"/>
            <w:tcBorders>
              <w:bottom w:val="single" w:sz="4" w:space="0" w:color="000000"/>
            </w:tcBorders>
            <w:vAlign w:val="bottom"/>
          </w:tcPr>
          <w:p w14:paraId="1F96C6BD"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tcBorders>
              <w:bottom w:val="single" w:sz="4" w:space="0" w:color="000000"/>
            </w:tcBorders>
            <w:vAlign w:val="bottom"/>
          </w:tcPr>
          <w:p w14:paraId="76530691"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tcBorders>
              <w:bottom w:val="single" w:sz="4" w:space="0" w:color="000000"/>
            </w:tcBorders>
            <w:vAlign w:val="bottom"/>
          </w:tcPr>
          <w:p w14:paraId="6A2FD492"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tcBorders>
              <w:bottom w:val="single" w:sz="4" w:space="0" w:color="000000"/>
            </w:tcBorders>
            <w:vAlign w:val="bottom"/>
          </w:tcPr>
          <w:p w14:paraId="47FAD475"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tcBorders>
              <w:bottom w:val="single" w:sz="4" w:space="0" w:color="000000"/>
            </w:tcBorders>
            <w:vAlign w:val="bottom"/>
          </w:tcPr>
          <w:p w14:paraId="7CB56A29"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tcBorders>
              <w:bottom w:val="single" w:sz="4" w:space="0" w:color="000000"/>
            </w:tcBorders>
            <w:vAlign w:val="bottom"/>
          </w:tcPr>
          <w:p w14:paraId="56B6A90B"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47076E31" w14:textId="77777777" w:rsidTr="001373A0">
        <w:trPr>
          <w:cantSplit/>
        </w:trPr>
        <w:tc>
          <w:tcPr>
            <w:tcW w:w="2891" w:type="dxa"/>
            <w:vAlign w:val="bottom"/>
          </w:tcPr>
          <w:p w14:paraId="206BD588" w14:textId="77777777" w:rsidR="00CF3EC7" w:rsidRDefault="00CF3EC7" w:rsidP="001373A0">
            <w:pPr>
              <w:widowControl w:val="0"/>
              <w:pBdr>
                <w:top w:val="nil"/>
                <w:left w:val="nil"/>
                <w:bottom w:val="nil"/>
                <w:right w:val="nil"/>
                <w:between w:val="nil"/>
              </w:pBdr>
              <w:spacing w:line="228" w:lineRule="auto"/>
              <w:ind w:left="113" w:right="-57" w:hanging="113"/>
              <w:rPr>
                <w:b/>
                <w:color w:val="000000"/>
              </w:rPr>
            </w:pPr>
            <w:r>
              <w:rPr>
                <w:b/>
                <w:color w:val="0000FF"/>
              </w:rPr>
              <w:t> </w:t>
            </w:r>
          </w:p>
        </w:tc>
        <w:tc>
          <w:tcPr>
            <w:tcW w:w="1077" w:type="dxa"/>
            <w:vAlign w:val="bottom"/>
          </w:tcPr>
          <w:p w14:paraId="63EB9640"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FEFF8E7"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142CA617"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FEC709D"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7CA8E99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7716F6D0"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4F91664B" w14:textId="77777777" w:rsidTr="001373A0">
        <w:trPr>
          <w:cantSplit/>
        </w:trPr>
        <w:tc>
          <w:tcPr>
            <w:tcW w:w="2891" w:type="dxa"/>
            <w:vAlign w:val="bottom"/>
          </w:tcPr>
          <w:p w14:paraId="031B258C" w14:textId="77777777" w:rsidR="00CF3EC7" w:rsidRDefault="00CF3EC7" w:rsidP="001373A0">
            <w:pPr>
              <w:widowControl w:val="0"/>
              <w:pBdr>
                <w:top w:val="nil"/>
                <w:left w:val="nil"/>
                <w:bottom w:val="nil"/>
                <w:right w:val="nil"/>
                <w:between w:val="nil"/>
              </w:pBdr>
              <w:spacing w:line="228" w:lineRule="auto"/>
              <w:ind w:left="113" w:right="-57" w:hanging="113"/>
              <w:rPr>
                <w:b/>
                <w:color w:val="000000"/>
              </w:rPr>
            </w:pPr>
            <w:r>
              <w:rPr>
                <w:b/>
                <w:color w:val="000000"/>
              </w:rPr>
              <w:t>Total future payments, including future principal and interest payments</w:t>
            </w:r>
          </w:p>
        </w:tc>
        <w:tc>
          <w:tcPr>
            <w:tcW w:w="1077" w:type="dxa"/>
            <w:vAlign w:val="bottom"/>
          </w:tcPr>
          <w:p w14:paraId="437C13D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A132BB5"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1C807322"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6CD918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1755C2E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022512F"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489AE199" w14:textId="77777777" w:rsidTr="001373A0">
        <w:trPr>
          <w:cantSplit/>
        </w:trPr>
        <w:tc>
          <w:tcPr>
            <w:tcW w:w="2891" w:type="dxa"/>
            <w:tcBorders>
              <w:bottom w:val="single" w:sz="12" w:space="0" w:color="000000"/>
            </w:tcBorders>
            <w:vAlign w:val="bottom"/>
          </w:tcPr>
          <w:p w14:paraId="180E2C81" w14:textId="77777777" w:rsidR="00CF3EC7" w:rsidRDefault="00CF3EC7" w:rsidP="001373A0">
            <w:pPr>
              <w:widowControl w:val="0"/>
              <w:pBdr>
                <w:top w:val="nil"/>
                <w:left w:val="nil"/>
                <w:bottom w:val="nil"/>
                <w:right w:val="nil"/>
                <w:between w:val="nil"/>
              </w:pBdr>
              <w:spacing w:line="228" w:lineRule="auto"/>
              <w:ind w:left="113" w:right="-57" w:hanging="113"/>
              <w:rPr>
                <w:b/>
                <w:color w:val="000000"/>
              </w:rPr>
            </w:pPr>
            <w:r>
              <w:rPr>
                <w:b/>
                <w:color w:val="0000FF"/>
              </w:rPr>
              <w:t> </w:t>
            </w:r>
          </w:p>
        </w:tc>
        <w:tc>
          <w:tcPr>
            <w:tcW w:w="1077" w:type="dxa"/>
            <w:tcBorders>
              <w:bottom w:val="single" w:sz="12" w:space="0" w:color="000000"/>
            </w:tcBorders>
            <w:vAlign w:val="bottom"/>
          </w:tcPr>
          <w:p w14:paraId="72CE21D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tcBorders>
              <w:bottom w:val="single" w:sz="12" w:space="0" w:color="000000"/>
            </w:tcBorders>
            <w:vAlign w:val="bottom"/>
          </w:tcPr>
          <w:p w14:paraId="68F5DC52"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tcBorders>
              <w:bottom w:val="single" w:sz="12" w:space="0" w:color="000000"/>
            </w:tcBorders>
            <w:vAlign w:val="bottom"/>
          </w:tcPr>
          <w:p w14:paraId="3B12291B"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tcBorders>
              <w:bottom w:val="single" w:sz="12" w:space="0" w:color="000000"/>
            </w:tcBorders>
            <w:vAlign w:val="bottom"/>
          </w:tcPr>
          <w:p w14:paraId="42BFB931"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tcBorders>
              <w:bottom w:val="single" w:sz="12" w:space="0" w:color="000000"/>
            </w:tcBorders>
            <w:vAlign w:val="bottom"/>
          </w:tcPr>
          <w:p w14:paraId="5030521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tcBorders>
              <w:bottom w:val="single" w:sz="12" w:space="0" w:color="000000"/>
            </w:tcBorders>
            <w:vAlign w:val="bottom"/>
          </w:tcPr>
          <w:p w14:paraId="68CAD6AF" w14:textId="77777777" w:rsidR="00CF3EC7" w:rsidRDefault="00CF3EC7" w:rsidP="001373A0">
            <w:pPr>
              <w:widowControl w:val="0"/>
              <w:pBdr>
                <w:top w:val="nil"/>
                <w:left w:val="nil"/>
                <w:bottom w:val="nil"/>
                <w:right w:val="nil"/>
                <w:between w:val="nil"/>
              </w:pBdr>
              <w:spacing w:line="228" w:lineRule="auto"/>
              <w:jc w:val="right"/>
              <w:rPr>
                <w:b/>
                <w:color w:val="000000"/>
              </w:rPr>
            </w:pPr>
          </w:p>
        </w:tc>
      </w:tr>
    </w:tbl>
    <w:p w14:paraId="509A86A0" w14:textId="77777777" w:rsidR="00CF3EC7" w:rsidRDefault="00CF3EC7">
      <w:pPr>
        <w:widowControl w:val="0"/>
        <w:pBdr>
          <w:top w:val="nil"/>
          <w:left w:val="nil"/>
          <w:bottom w:val="nil"/>
          <w:right w:val="nil"/>
          <w:between w:val="nil"/>
        </w:pBdr>
        <w:spacing w:before="200" w:after="200" w:line="228" w:lineRule="auto"/>
        <w:jc w:val="both"/>
        <w:rPr>
          <w:color w:val="000000"/>
          <w:sz w:val="20"/>
          <w:szCs w:val="20"/>
        </w:rPr>
      </w:pPr>
    </w:p>
    <w:p w14:paraId="02FCB6A7" w14:textId="77777777" w:rsidR="00A445F2" w:rsidRDefault="00A445F2" w:rsidP="00A445F2">
      <w:pPr>
        <w:pageBreakBefore/>
        <w:pBdr>
          <w:top w:val="nil"/>
          <w:left w:val="nil"/>
          <w:bottom w:val="nil"/>
          <w:right w:val="nil"/>
          <w:between w:val="nil"/>
        </w:pBdr>
        <w:spacing w:after="240" w:line="228" w:lineRule="auto"/>
        <w:jc w:val="both"/>
        <w:rPr>
          <w:b/>
          <w:color w:val="000000"/>
          <w:sz w:val="20"/>
          <w:szCs w:val="20"/>
        </w:rPr>
      </w:pPr>
      <w:r>
        <w:rPr>
          <w:b/>
          <w:color w:val="000000"/>
          <w:sz w:val="20"/>
          <w:szCs w:val="20"/>
        </w:rPr>
        <w:lastRenderedPageBreak/>
        <w:t>51</w:t>
      </w:r>
      <w:r>
        <w:rPr>
          <w:b/>
          <w:color w:val="000000"/>
          <w:sz w:val="20"/>
          <w:szCs w:val="20"/>
        </w:rPr>
        <w:tab/>
        <w:t>Financial Risk Management (Continued)</w:t>
      </w:r>
    </w:p>
    <w:p w14:paraId="0685469F" w14:textId="28EA5E92" w:rsidR="00CF3EC7" w:rsidRDefault="00CF3EC7" w:rsidP="00CF3EC7">
      <w:pPr>
        <w:widowControl w:val="0"/>
        <w:spacing w:before="200" w:after="200" w:line="228" w:lineRule="auto"/>
        <w:rPr>
          <w:sz w:val="20"/>
          <w:szCs w:val="20"/>
        </w:rPr>
      </w:pPr>
      <w:r>
        <w:rPr>
          <w:sz w:val="20"/>
          <w:szCs w:val="20"/>
        </w:rPr>
        <w:t xml:space="preserve">The maturity analysis of financial liabilities </w:t>
      </w:r>
      <w:proofErr w:type="gramStart"/>
      <w:r>
        <w:rPr>
          <w:sz w:val="20"/>
          <w:szCs w:val="20"/>
        </w:rPr>
        <w:t>at</w:t>
      </w:r>
      <w:proofErr w:type="gramEnd"/>
      <w:r>
        <w:rPr>
          <w:sz w:val="20"/>
          <w:szCs w:val="20"/>
        </w:rPr>
        <w:t xml:space="preserve"> 31 December </w:t>
      </w:r>
      <w:r w:rsidR="00A46633">
        <w:rPr>
          <w:sz w:val="20"/>
          <w:szCs w:val="20"/>
        </w:rPr>
        <w:t>2024</w:t>
      </w:r>
      <w:r>
        <w:rPr>
          <w:sz w:val="20"/>
          <w:szCs w:val="20"/>
        </w:rPr>
        <w:t xml:space="preserve"> is as follows:</w:t>
      </w:r>
    </w:p>
    <w:tbl>
      <w:tblPr>
        <w:tblStyle w:val="afffffffffffffb"/>
        <w:tblW w:w="9353" w:type="dxa"/>
        <w:tblLayout w:type="fixed"/>
        <w:tblLook w:val="0000" w:firstRow="0" w:lastRow="0" w:firstColumn="0" w:lastColumn="0" w:noHBand="0" w:noVBand="0"/>
      </w:tblPr>
      <w:tblGrid>
        <w:gridCol w:w="2891"/>
        <w:gridCol w:w="1077"/>
        <w:gridCol w:w="1077"/>
        <w:gridCol w:w="1077"/>
        <w:gridCol w:w="1077"/>
        <w:gridCol w:w="1077"/>
        <w:gridCol w:w="1077"/>
      </w:tblGrid>
      <w:tr w:rsidR="00CF3EC7" w14:paraId="5815C762" w14:textId="77777777" w:rsidTr="001373A0">
        <w:trPr>
          <w:cantSplit/>
        </w:trPr>
        <w:tc>
          <w:tcPr>
            <w:tcW w:w="2891" w:type="dxa"/>
            <w:tcBorders>
              <w:bottom w:val="single" w:sz="4" w:space="0" w:color="000000"/>
            </w:tcBorders>
            <w:vAlign w:val="bottom"/>
          </w:tcPr>
          <w:p w14:paraId="064481B7" w14:textId="77777777" w:rsidR="00CF3EC7" w:rsidRDefault="00CF3EC7" w:rsidP="001373A0">
            <w:pPr>
              <w:widowControl w:val="0"/>
              <w:pBdr>
                <w:top w:val="nil"/>
                <w:left w:val="nil"/>
                <w:bottom w:val="nil"/>
                <w:right w:val="nil"/>
                <w:between w:val="nil"/>
              </w:pBdr>
              <w:spacing w:line="228" w:lineRule="auto"/>
              <w:ind w:left="113" w:right="-57" w:hanging="113"/>
              <w:rPr>
                <w:b/>
                <w:i/>
                <w:color w:val="000000"/>
              </w:rPr>
            </w:pPr>
            <w:r>
              <w:rPr>
                <w:i/>
                <w:color w:val="000000"/>
              </w:rPr>
              <w:t>In thousands of EUR</w:t>
            </w:r>
          </w:p>
        </w:tc>
        <w:tc>
          <w:tcPr>
            <w:tcW w:w="1077" w:type="dxa"/>
            <w:tcBorders>
              <w:bottom w:val="single" w:sz="4" w:space="0" w:color="000000"/>
            </w:tcBorders>
          </w:tcPr>
          <w:p w14:paraId="0D31105E"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Demand and less than 1 month</w:t>
            </w:r>
          </w:p>
        </w:tc>
        <w:tc>
          <w:tcPr>
            <w:tcW w:w="1077" w:type="dxa"/>
            <w:tcBorders>
              <w:bottom w:val="single" w:sz="4" w:space="0" w:color="000000"/>
            </w:tcBorders>
          </w:tcPr>
          <w:p w14:paraId="2E4D932F"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 xml:space="preserve">From </w:t>
            </w:r>
          </w:p>
          <w:p w14:paraId="71142BEB"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1 to 3 months</w:t>
            </w:r>
          </w:p>
        </w:tc>
        <w:tc>
          <w:tcPr>
            <w:tcW w:w="1077" w:type="dxa"/>
            <w:tcBorders>
              <w:bottom w:val="single" w:sz="4" w:space="0" w:color="000000"/>
            </w:tcBorders>
          </w:tcPr>
          <w:p w14:paraId="2DE5B8E7"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 xml:space="preserve">From </w:t>
            </w:r>
            <w:r>
              <w:rPr>
                <w:b/>
                <w:color w:val="000000"/>
              </w:rPr>
              <w:br/>
              <w:t>3 to 12</w:t>
            </w:r>
          </w:p>
          <w:p w14:paraId="60F34A5C"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months</w:t>
            </w:r>
          </w:p>
        </w:tc>
        <w:tc>
          <w:tcPr>
            <w:tcW w:w="1077" w:type="dxa"/>
            <w:tcBorders>
              <w:bottom w:val="single" w:sz="4" w:space="0" w:color="000000"/>
            </w:tcBorders>
          </w:tcPr>
          <w:p w14:paraId="7078A075"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From 12 months to 5 years</w:t>
            </w:r>
          </w:p>
        </w:tc>
        <w:tc>
          <w:tcPr>
            <w:tcW w:w="1077" w:type="dxa"/>
            <w:tcBorders>
              <w:bottom w:val="single" w:sz="4" w:space="0" w:color="000000"/>
            </w:tcBorders>
          </w:tcPr>
          <w:p w14:paraId="5EB09E11"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Over 5 years</w:t>
            </w:r>
          </w:p>
        </w:tc>
        <w:tc>
          <w:tcPr>
            <w:tcW w:w="1077" w:type="dxa"/>
            <w:tcBorders>
              <w:bottom w:val="single" w:sz="4" w:space="0" w:color="000000"/>
            </w:tcBorders>
          </w:tcPr>
          <w:p w14:paraId="38ACCBDE" w14:textId="77777777" w:rsidR="00CF3EC7" w:rsidRDefault="00CF3EC7" w:rsidP="001373A0">
            <w:pPr>
              <w:widowControl w:val="0"/>
              <w:pBdr>
                <w:top w:val="nil"/>
                <w:left w:val="nil"/>
                <w:bottom w:val="nil"/>
                <w:right w:val="nil"/>
                <w:between w:val="nil"/>
              </w:pBdr>
              <w:spacing w:line="228" w:lineRule="auto"/>
              <w:ind w:left="-113"/>
              <w:jc w:val="right"/>
              <w:rPr>
                <w:b/>
                <w:color w:val="000000"/>
              </w:rPr>
            </w:pPr>
            <w:r>
              <w:rPr>
                <w:b/>
                <w:color w:val="000000"/>
              </w:rPr>
              <w:t>Total</w:t>
            </w:r>
          </w:p>
        </w:tc>
      </w:tr>
      <w:tr w:rsidR="00CF3EC7" w14:paraId="5714B9AD" w14:textId="77777777" w:rsidTr="001373A0">
        <w:trPr>
          <w:cantSplit/>
        </w:trPr>
        <w:tc>
          <w:tcPr>
            <w:tcW w:w="2891" w:type="dxa"/>
            <w:vAlign w:val="bottom"/>
          </w:tcPr>
          <w:p w14:paraId="568EDC3B" w14:textId="77777777" w:rsidR="00CF3EC7" w:rsidRDefault="00CF3EC7" w:rsidP="001373A0">
            <w:pPr>
              <w:widowControl w:val="0"/>
              <w:spacing w:line="228" w:lineRule="auto"/>
              <w:ind w:left="113" w:right="-57" w:hanging="113"/>
              <w:rPr>
                <w:b/>
                <w:sz w:val="12"/>
                <w:szCs w:val="12"/>
              </w:rPr>
            </w:pPr>
            <w:r>
              <w:rPr>
                <w:color w:val="0000FF"/>
                <w:sz w:val="12"/>
                <w:szCs w:val="12"/>
              </w:rPr>
              <w:t> </w:t>
            </w:r>
          </w:p>
        </w:tc>
        <w:tc>
          <w:tcPr>
            <w:tcW w:w="1077" w:type="dxa"/>
            <w:vAlign w:val="bottom"/>
          </w:tcPr>
          <w:p w14:paraId="41A3B746"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vAlign w:val="bottom"/>
          </w:tcPr>
          <w:p w14:paraId="40BACB3A"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vAlign w:val="bottom"/>
          </w:tcPr>
          <w:p w14:paraId="59133EE5"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vAlign w:val="bottom"/>
          </w:tcPr>
          <w:p w14:paraId="5260B454"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vAlign w:val="bottom"/>
          </w:tcPr>
          <w:p w14:paraId="62F2CBE3"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vAlign w:val="bottom"/>
          </w:tcPr>
          <w:p w14:paraId="1784A759"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r>
      <w:tr w:rsidR="00CF3EC7" w14:paraId="4DCD52D6" w14:textId="77777777" w:rsidTr="001373A0">
        <w:trPr>
          <w:cantSplit/>
        </w:trPr>
        <w:tc>
          <w:tcPr>
            <w:tcW w:w="2891" w:type="dxa"/>
            <w:vAlign w:val="bottom"/>
          </w:tcPr>
          <w:p w14:paraId="51241277" w14:textId="77777777" w:rsidR="00CF3EC7" w:rsidRDefault="00CF3EC7" w:rsidP="001373A0">
            <w:pPr>
              <w:widowControl w:val="0"/>
              <w:pBdr>
                <w:top w:val="nil"/>
                <w:left w:val="nil"/>
                <w:bottom w:val="nil"/>
                <w:right w:val="nil"/>
                <w:between w:val="nil"/>
              </w:pBdr>
              <w:spacing w:line="228" w:lineRule="auto"/>
              <w:ind w:left="113" w:right="-57" w:hanging="113"/>
              <w:rPr>
                <w:b/>
                <w:color w:val="000000"/>
              </w:rPr>
            </w:pPr>
            <w:r>
              <w:rPr>
                <w:b/>
                <w:color w:val="000000"/>
              </w:rPr>
              <w:t>Liabilities</w:t>
            </w:r>
          </w:p>
        </w:tc>
        <w:tc>
          <w:tcPr>
            <w:tcW w:w="1077" w:type="dxa"/>
            <w:vAlign w:val="bottom"/>
          </w:tcPr>
          <w:p w14:paraId="6FE5394B"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47D3D8D3"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531E3C1"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5FB396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11D71465"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3361B98"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7BFF177D" w14:textId="77777777" w:rsidTr="001373A0">
        <w:trPr>
          <w:cantSplit/>
        </w:trPr>
        <w:tc>
          <w:tcPr>
            <w:tcW w:w="2891" w:type="dxa"/>
            <w:vAlign w:val="bottom"/>
          </w:tcPr>
          <w:p w14:paraId="58EFB38F"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Borrowings (Note 28)</w:t>
            </w:r>
          </w:p>
        </w:tc>
        <w:tc>
          <w:tcPr>
            <w:tcW w:w="1077" w:type="dxa"/>
            <w:vAlign w:val="bottom"/>
          </w:tcPr>
          <w:p w14:paraId="7EC8614B"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68496D1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63EBB68B"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64C6D77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3B461DA5"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BEC1C1C"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495CF234" w14:textId="77777777" w:rsidTr="001373A0">
        <w:trPr>
          <w:cantSplit/>
        </w:trPr>
        <w:tc>
          <w:tcPr>
            <w:tcW w:w="2891" w:type="dxa"/>
            <w:vAlign w:val="bottom"/>
          </w:tcPr>
          <w:p w14:paraId="043514E5"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 xml:space="preserve">Lease liabilities (Note 11) </w:t>
            </w:r>
          </w:p>
        </w:tc>
        <w:tc>
          <w:tcPr>
            <w:tcW w:w="1077" w:type="dxa"/>
            <w:vAlign w:val="bottom"/>
          </w:tcPr>
          <w:p w14:paraId="036F39AF"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5D04B3A8"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186D2001"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2D719663"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79A32D80"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04158A07"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2D4AE5C6" w14:textId="77777777" w:rsidTr="001373A0">
        <w:trPr>
          <w:cantSplit/>
        </w:trPr>
        <w:tc>
          <w:tcPr>
            <w:tcW w:w="2891" w:type="dxa"/>
            <w:vAlign w:val="bottom"/>
          </w:tcPr>
          <w:p w14:paraId="0DC48F8F"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Trade payables (Note 34)</w:t>
            </w:r>
          </w:p>
        </w:tc>
        <w:tc>
          <w:tcPr>
            <w:tcW w:w="1077" w:type="dxa"/>
            <w:vAlign w:val="bottom"/>
          </w:tcPr>
          <w:p w14:paraId="48C40C2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414397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36EE8F7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7903536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FA44C1A"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D082A48"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3065B7C6" w14:textId="77777777" w:rsidTr="001373A0">
        <w:trPr>
          <w:cantSplit/>
        </w:trPr>
        <w:tc>
          <w:tcPr>
            <w:tcW w:w="2891" w:type="dxa"/>
            <w:vAlign w:val="bottom"/>
          </w:tcPr>
          <w:p w14:paraId="2D5D99B3"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Payables under supplier finance arrangement (Note 34)</w:t>
            </w:r>
          </w:p>
        </w:tc>
        <w:tc>
          <w:tcPr>
            <w:tcW w:w="1077" w:type="dxa"/>
            <w:vAlign w:val="bottom"/>
          </w:tcPr>
          <w:p w14:paraId="7ADE276A"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379B00F9"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08126D9"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05BC3D3C"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185D79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6AC05C2"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4B11BF53" w14:textId="77777777" w:rsidTr="001373A0">
        <w:trPr>
          <w:cantSplit/>
        </w:trPr>
        <w:tc>
          <w:tcPr>
            <w:tcW w:w="2891" w:type="dxa"/>
            <w:vAlign w:val="bottom"/>
          </w:tcPr>
          <w:p w14:paraId="4947E7AB"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Other financial payables (Note 34)</w:t>
            </w:r>
          </w:p>
        </w:tc>
        <w:tc>
          <w:tcPr>
            <w:tcW w:w="1077" w:type="dxa"/>
            <w:vAlign w:val="bottom"/>
          </w:tcPr>
          <w:p w14:paraId="668F628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5C5072E"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12B13386"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33125DEB"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62A9C9B9"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6ACB7BE"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69873FCE" w14:textId="77777777" w:rsidTr="001373A0">
        <w:trPr>
          <w:cantSplit/>
        </w:trPr>
        <w:tc>
          <w:tcPr>
            <w:tcW w:w="2891" w:type="dxa"/>
            <w:vAlign w:val="bottom"/>
          </w:tcPr>
          <w:p w14:paraId="02E5C20D" w14:textId="77777777" w:rsidR="00CF3EC7" w:rsidRDefault="00CF3EC7" w:rsidP="001373A0">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Gross settled swaps and forwards (Note 46)</w:t>
            </w:r>
          </w:p>
        </w:tc>
        <w:tc>
          <w:tcPr>
            <w:tcW w:w="1077" w:type="dxa"/>
            <w:vAlign w:val="bottom"/>
          </w:tcPr>
          <w:p w14:paraId="4352199B"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FAD2195"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FEE2C8A"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1F2F9B0D"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005C1160"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7134692"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368EB14D" w14:textId="77777777" w:rsidTr="001373A0">
        <w:trPr>
          <w:cantSplit/>
        </w:trPr>
        <w:tc>
          <w:tcPr>
            <w:tcW w:w="2891" w:type="dxa"/>
            <w:vAlign w:val="bottom"/>
          </w:tcPr>
          <w:p w14:paraId="04A7B83A" w14:textId="77777777" w:rsidR="00CF3EC7" w:rsidRDefault="00CF3EC7" w:rsidP="001373A0">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inflows</w:t>
            </w:r>
          </w:p>
        </w:tc>
        <w:tc>
          <w:tcPr>
            <w:tcW w:w="1077" w:type="dxa"/>
            <w:vAlign w:val="bottom"/>
          </w:tcPr>
          <w:p w14:paraId="31533C3F"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13B190C"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33CCB3C"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E4D8986"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FA1B385"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970C6FD"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1D552B64" w14:textId="77777777" w:rsidTr="001373A0">
        <w:trPr>
          <w:cantSplit/>
        </w:trPr>
        <w:tc>
          <w:tcPr>
            <w:tcW w:w="2891" w:type="dxa"/>
            <w:vAlign w:val="bottom"/>
          </w:tcPr>
          <w:p w14:paraId="1B34A533" w14:textId="77777777" w:rsidR="00CF3EC7" w:rsidRDefault="00CF3EC7" w:rsidP="001373A0">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 outflows</w:t>
            </w:r>
          </w:p>
        </w:tc>
        <w:tc>
          <w:tcPr>
            <w:tcW w:w="1077" w:type="dxa"/>
            <w:vAlign w:val="bottom"/>
          </w:tcPr>
          <w:p w14:paraId="4DB26148"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4F4AD322"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0492A03D"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0819F252"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671E311"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A20F49E"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5C51A096" w14:textId="77777777" w:rsidTr="001373A0">
        <w:trPr>
          <w:cantSplit/>
        </w:trPr>
        <w:tc>
          <w:tcPr>
            <w:tcW w:w="2891" w:type="dxa"/>
            <w:vAlign w:val="bottom"/>
          </w:tcPr>
          <w:p w14:paraId="676E5492" w14:textId="77777777" w:rsidR="00CF3EC7" w:rsidRDefault="00CF3EC7" w:rsidP="001373A0">
            <w:pPr>
              <w:widowControl w:val="0"/>
              <w:pBdr>
                <w:top w:val="nil"/>
                <w:left w:val="nil"/>
                <w:bottom w:val="nil"/>
                <w:right w:val="nil"/>
                <w:between w:val="nil"/>
              </w:pBdr>
              <w:tabs>
                <w:tab w:val="right" w:pos="8782"/>
              </w:tabs>
              <w:spacing w:line="228" w:lineRule="auto"/>
              <w:ind w:left="113" w:right="-57" w:hanging="113"/>
              <w:rPr>
                <w:color w:val="000000"/>
              </w:rPr>
            </w:pPr>
            <w:r>
              <w:rPr>
                <w:color w:val="000000"/>
              </w:rPr>
              <w:t>Net settled derivatives (Note 46)</w:t>
            </w:r>
          </w:p>
        </w:tc>
        <w:tc>
          <w:tcPr>
            <w:tcW w:w="1077" w:type="dxa"/>
            <w:vAlign w:val="bottom"/>
          </w:tcPr>
          <w:p w14:paraId="0EAF5C8E"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787E5C32"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22A3D53D"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02384E5F"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45233162"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722A5025"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0310CAC7" w14:textId="77777777" w:rsidTr="001373A0">
        <w:trPr>
          <w:cantSplit/>
        </w:trPr>
        <w:tc>
          <w:tcPr>
            <w:tcW w:w="2891" w:type="dxa"/>
            <w:vAlign w:val="bottom"/>
          </w:tcPr>
          <w:p w14:paraId="428A9227"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Gross commitments to provide loans</w:t>
            </w:r>
          </w:p>
        </w:tc>
        <w:tc>
          <w:tcPr>
            <w:tcW w:w="1077" w:type="dxa"/>
            <w:vAlign w:val="bottom"/>
          </w:tcPr>
          <w:p w14:paraId="5915BF1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32504519"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4C7799F6"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35A4FF4"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5ABA1875"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30493206"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3B2F1427" w14:textId="77777777" w:rsidTr="001373A0">
        <w:trPr>
          <w:cantSplit/>
        </w:trPr>
        <w:tc>
          <w:tcPr>
            <w:tcW w:w="2891" w:type="dxa"/>
            <w:vAlign w:val="bottom"/>
          </w:tcPr>
          <w:p w14:paraId="363FE96B" w14:textId="77777777" w:rsidR="00CF3EC7" w:rsidRDefault="00CF3EC7" w:rsidP="001373A0">
            <w:pPr>
              <w:widowControl w:val="0"/>
              <w:pBdr>
                <w:top w:val="nil"/>
                <w:left w:val="nil"/>
                <w:bottom w:val="nil"/>
                <w:right w:val="nil"/>
                <w:between w:val="nil"/>
              </w:pBdr>
              <w:spacing w:line="228" w:lineRule="auto"/>
              <w:ind w:left="113" w:right="-57" w:hanging="113"/>
              <w:rPr>
                <w:color w:val="000000"/>
              </w:rPr>
            </w:pPr>
            <w:r>
              <w:rPr>
                <w:color w:val="000000"/>
              </w:rPr>
              <w:t>Financial guarantees</w:t>
            </w:r>
          </w:p>
        </w:tc>
        <w:tc>
          <w:tcPr>
            <w:tcW w:w="1077" w:type="dxa"/>
            <w:vAlign w:val="bottom"/>
          </w:tcPr>
          <w:p w14:paraId="4CEA7F65"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5B262825"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61DF0734"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44244815"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3EEE2093" w14:textId="77777777" w:rsidR="00CF3EC7" w:rsidRDefault="00CF3EC7" w:rsidP="001373A0">
            <w:pPr>
              <w:widowControl w:val="0"/>
              <w:pBdr>
                <w:top w:val="nil"/>
                <w:left w:val="nil"/>
                <w:bottom w:val="nil"/>
                <w:right w:val="nil"/>
                <w:between w:val="nil"/>
              </w:pBdr>
              <w:spacing w:line="228" w:lineRule="auto"/>
              <w:jc w:val="right"/>
              <w:rPr>
                <w:color w:val="000000"/>
              </w:rPr>
            </w:pPr>
          </w:p>
        </w:tc>
        <w:tc>
          <w:tcPr>
            <w:tcW w:w="1077" w:type="dxa"/>
            <w:vAlign w:val="bottom"/>
          </w:tcPr>
          <w:p w14:paraId="5064842A" w14:textId="77777777" w:rsidR="00CF3EC7" w:rsidRDefault="00CF3EC7" w:rsidP="001373A0">
            <w:pPr>
              <w:widowControl w:val="0"/>
              <w:pBdr>
                <w:top w:val="nil"/>
                <w:left w:val="nil"/>
                <w:bottom w:val="nil"/>
                <w:right w:val="nil"/>
                <w:between w:val="nil"/>
              </w:pBdr>
              <w:spacing w:line="228" w:lineRule="auto"/>
              <w:jc w:val="right"/>
              <w:rPr>
                <w:color w:val="000000"/>
              </w:rPr>
            </w:pPr>
          </w:p>
        </w:tc>
      </w:tr>
      <w:tr w:rsidR="00CF3EC7" w14:paraId="5C97466F" w14:textId="77777777" w:rsidTr="001373A0">
        <w:trPr>
          <w:cantSplit/>
        </w:trPr>
        <w:tc>
          <w:tcPr>
            <w:tcW w:w="2891" w:type="dxa"/>
            <w:tcBorders>
              <w:bottom w:val="single" w:sz="4" w:space="0" w:color="000000"/>
            </w:tcBorders>
            <w:vAlign w:val="bottom"/>
          </w:tcPr>
          <w:p w14:paraId="1824EE4B" w14:textId="77777777" w:rsidR="00CF3EC7" w:rsidRDefault="00CF3EC7" w:rsidP="001373A0">
            <w:pPr>
              <w:widowControl w:val="0"/>
              <w:pBdr>
                <w:top w:val="nil"/>
                <w:left w:val="nil"/>
                <w:bottom w:val="nil"/>
                <w:right w:val="nil"/>
                <w:between w:val="nil"/>
              </w:pBdr>
              <w:spacing w:line="228" w:lineRule="auto"/>
              <w:ind w:left="113" w:right="-57" w:hanging="113"/>
              <w:rPr>
                <w:color w:val="000000"/>
                <w:sz w:val="12"/>
                <w:szCs w:val="12"/>
              </w:rPr>
            </w:pPr>
            <w:r>
              <w:rPr>
                <w:color w:val="0000FF"/>
                <w:sz w:val="12"/>
                <w:szCs w:val="12"/>
              </w:rPr>
              <w:t> </w:t>
            </w:r>
          </w:p>
        </w:tc>
        <w:tc>
          <w:tcPr>
            <w:tcW w:w="1077" w:type="dxa"/>
            <w:tcBorders>
              <w:bottom w:val="single" w:sz="4" w:space="0" w:color="000000"/>
            </w:tcBorders>
            <w:vAlign w:val="bottom"/>
          </w:tcPr>
          <w:p w14:paraId="5BD669B8"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tcBorders>
              <w:bottom w:val="single" w:sz="4" w:space="0" w:color="000000"/>
            </w:tcBorders>
            <w:vAlign w:val="bottom"/>
          </w:tcPr>
          <w:p w14:paraId="4BA293B5"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tcBorders>
              <w:bottom w:val="single" w:sz="4" w:space="0" w:color="000000"/>
            </w:tcBorders>
            <w:vAlign w:val="bottom"/>
          </w:tcPr>
          <w:p w14:paraId="370954C1"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tcBorders>
              <w:bottom w:val="single" w:sz="4" w:space="0" w:color="000000"/>
            </w:tcBorders>
            <w:vAlign w:val="bottom"/>
          </w:tcPr>
          <w:p w14:paraId="7C054D52"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tcBorders>
              <w:bottom w:val="single" w:sz="4" w:space="0" w:color="000000"/>
            </w:tcBorders>
            <w:vAlign w:val="bottom"/>
          </w:tcPr>
          <w:p w14:paraId="7274417D"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c>
          <w:tcPr>
            <w:tcW w:w="1077" w:type="dxa"/>
            <w:tcBorders>
              <w:bottom w:val="single" w:sz="4" w:space="0" w:color="000000"/>
            </w:tcBorders>
            <w:vAlign w:val="bottom"/>
          </w:tcPr>
          <w:p w14:paraId="71015E9B" w14:textId="77777777" w:rsidR="00CF3EC7" w:rsidRDefault="00CF3EC7" w:rsidP="001373A0">
            <w:pPr>
              <w:widowControl w:val="0"/>
              <w:pBdr>
                <w:top w:val="nil"/>
                <w:left w:val="nil"/>
                <w:bottom w:val="nil"/>
                <w:right w:val="nil"/>
                <w:between w:val="nil"/>
              </w:pBdr>
              <w:spacing w:line="228" w:lineRule="auto"/>
              <w:jc w:val="right"/>
              <w:rPr>
                <w:color w:val="000000"/>
                <w:sz w:val="12"/>
                <w:szCs w:val="12"/>
              </w:rPr>
            </w:pPr>
          </w:p>
        </w:tc>
      </w:tr>
      <w:tr w:rsidR="00CF3EC7" w14:paraId="00A02177" w14:textId="77777777" w:rsidTr="001373A0">
        <w:trPr>
          <w:cantSplit/>
        </w:trPr>
        <w:tc>
          <w:tcPr>
            <w:tcW w:w="2891" w:type="dxa"/>
            <w:vAlign w:val="bottom"/>
          </w:tcPr>
          <w:p w14:paraId="32760058" w14:textId="77777777" w:rsidR="00CF3EC7" w:rsidRDefault="00CF3EC7" w:rsidP="001373A0">
            <w:pPr>
              <w:widowControl w:val="0"/>
              <w:pBdr>
                <w:top w:val="nil"/>
                <w:left w:val="nil"/>
                <w:bottom w:val="nil"/>
                <w:right w:val="nil"/>
                <w:between w:val="nil"/>
              </w:pBdr>
              <w:spacing w:line="228" w:lineRule="auto"/>
              <w:ind w:left="113" w:right="-57" w:hanging="113"/>
              <w:rPr>
                <w:b/>
                <w:color w:val="000000"/>
                <w:sz w:val="12"/>
                <w:szCs w:val="12"/>
              </w:rPr>
            </w:pPr>
            <w:r>
              <w:rPr>
                <w:b/>
                <w:color w:val="0000FF"/>
                <w:sz w:val="12"/>
                <w:szCs w:val="12"/>
              </w:rPr>
              <w:t xml:space="preserve"> </w:t>
            </w:r>
          </w:p>
        </w:tc>
        <w:tc>
          <w:tcPr>
            <w:tcW w:w="1077" w:type="dxa"/>
            <w:vAlign w:val="bottom"/>
          </w:tcPr>
          <w:p w14:paraId="73F7F8A5"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vAlign w:val="bottom"/>
          </w:tcPr>
          <w:p w14:paraId="0B0AD97E"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vAlign w:val="bottom"/>
          </w:tcPr>
          <w:p w14:paraId="3A465A84"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vAlign w:val="bottom"/>
          </w:tcPr>
          <w:p w14:paraId="380B4615"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vAlign w:val="bottom"/>
          </w:tcPr>
          <w:p w14:paraId="238C5C16"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vAlign w:val="bottom"/>
          </w:tcPr>
          <w:p w14:paraId="5AB58445"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r>
      <w:tr w:rsidR="00CF3EC7" w14:paraId="63DD2215" w14:textId="77777777" w:rsidTr="001373A0">
        <w:trPr>
          <w:cantSplit/>
        </w:trPr>
        <w:tc>
          <w:tcPr>
            <w:tcW w:w="2891" w:type="dxa"/>
            <w:vAlign w:val="bottom"/>
          </w:tcPr>
          <w:p w14:paraId="1A306FE8" w14:textId="77777777" w:rsidR="00CF3EC7" w:rsidRDefault="00CF3EC7" w:rsidP="001373A0">
            <w:pPr>
              <w:widowControl w:val="0"/>
              <w:pBdr>
                <w:top w:val="nil"/>
                <w:left w:val="nil"/>
                <w:bottom w:val="nil"/>
                <w:right w:val="nil"/>
                <w:between w:val="nil"/>
              </w:pBdr>
              <w:spacing w:line="228" w:lineRule="auto"/>
              <w:ind w:left="113" w:right="-57" w:hanging="113"/>
              <w:rPr>
                <w:b/>
                <w:color w:val="000000"/>
              </w:rPr>
            </w:pPr>
            <w:r>
              <w:rPr>
                <w:b/>
                <w:color w:val="000000"/>
              </w:rPr>
              <w:t>Total future payments, including future principal and interest payments</w:t>
            </w:r>
          </w:p>
        </w:tc>
        <w:tc>
          <w:tcPr>
            <w:tcW w:w="1077" w:type="dxa"/>
            <w:vAlign w:val="bottom"/>
          </w:tcPr>
          <w:p w14:paraId="4F41C80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9A4D64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33BE513E"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73F885F"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4B5F7DFA" w14:textId="77777777" w:rsidR="00CF3EC7" w:rsidRDefault="00CF3EC7" w:rsidP="001373A0">
            <w:pPr>
              <w:widowControl w:val="0"/>
              <w:pBdr>
                <w:top w:val="nil"/>
                <w:left w:val="nil"/>
                <w:bottom w:val="nil"/>
                <w:right w:val="nil"/>
                <w:between w:val="nil"/>
              </w:pBdr>
              <w:spacing w:line="228" w:lineRule="auto"/>
              <w:jc w:val="right"/>
              <w:rPr>
                <w:b/>
                <w:color w:val="000000"/>
              </w:rPr>
            </w:pPr>
          </w:p>
        </w:tc>
        <w:tc>
          <w:tcPr>
            <w:tcW w:w="1077" w:type="dxa"/>
            <w:vAlign w:val="bottom"/>
          </w:tcPr>
          <w:p w14:paraId="2970B504" w14:textId="77777777" w:rsidR="00CF3EC7" w:rsidRDefault="00CF3EC7" w:rsidP="001373A0">
            <w:pPr>
              <w:widowControl w:val="0"/>
              <w:pBdr>
                <w:top w:val="nil"/>
                <w:left w:val="nil"/>
                <w:bottom w:val="nil"/>
                <w:right w:val="nil"/>
                <w:between w:val="nil"/>
              </w:pBdr>
              <w:spacing w:line="228" w:lineRule="auto"/>
              <w:jc w:val="right"/>
              <w:rPr>
                <w:b/>
                <w:color w:val="000000"/>
              </w:rPr>
            </w:pPr>
          </w:p>
        </w:tc>
      </w:tr>
      <w:tr w:rsidR="00CF3EC7" w14:paraId="032CCEB9" w14:textId="77777777" w:rsidTr="001373A0">
        <w:trPr>
          <w:cantSplit/>
        </w:trPr>
        <w:tc>
          <w:tcPr>
            <w:tcW w:w="2891" w:type="dxa"/>
            <w:tcBorders>
              <w:bottom w:val="single" w:sz="12" w:space="0" w:color="000000"/>
            </w:tcBorders>
            <w:vAlign w:val="bottom"/>
          </w:tcPr>
          <w:p w14:paraId="35717258" w14:textId="77777777" w:rsidR="00CF3EC7" w:rsidRDefault="00CF3EC7" w:rsidP="001373A0">
            <w:pPr>
              <w:widowControl w:val="0"/>
              <w:pBdr>
                <w:top w:val="nil"/>
                <w:left w:val="nil"/>
                <w:bottom w:val="nil"/>
                <w:right w:val="nil"/>
                <w:between w:val="nil"/>
              </w:pBdr>
              <w:spacing w:line="228" w:lineRule="auto"/>
              <w:ind w:left="113" w:right="-57" w:hanging="113"/>
              <w:rPr>
                <w:b/>
                <w:color w:val="000000"/>
                <w:sz w:val="12"/>
                <w:szCs w:val="12"/>
              </w:rPr>
            </w:pPr>
            <w:r>
              <w:rPr>
                <w:b/>
                <w:color w:val="0000FF"/>
                <w:sz w:val="12"/>
                <w:szCs w:val="12"/>
              </w:rPr>
              <w:t> </w:t>
            </w:r>
          </w:p>
        </w:tc>
        <w:tc>
          <w:tcPr>
            <w:tcW w:w="1077" w:type="dxa"/>
            <w:tcBorders>
              <w:bottom w:val="single" w:sz="12" w:space="0" w:color="000000"/>
            </w:tcBorders>
            <w:vAlign w:val="bottom"/>
          </w:tcPr>
          <w:p w14:paraId="5C3C7754"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tcBorders>
              <w:bottom w:val="single" w:sz="12" w:space="0" w:color="000000"/>
            </w:tcBorders>
            <w:vAlign w:val="bottom"/>
          </w:tcPr>
          <w:p w14:paraId="16BAB7CC"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tcBorders>
              <w:bottom w:val="single" w:sz="12" w:space="0" w:color="000000"/>
            </w:tcBorders>
            <w:vAlign w:val="bottom"/>
          </w:tcPr>
          <w:p w14:paraId="1429BE44"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tcBorders>
              <w:bottom w:val="single" w:sz="12" w:space="0" w:color="000000"/>
            </w:tcBorders>
            <w:vAlign w:val="bottom"/>
          </w:tcPr>
          <w:p w14:paraId="2074F02D"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tcBorders>
              <w:bottom w:val="single" w:sz="12" w:space="0" w:color="000000"/>
            </w:tcBorders>
            <w:vAlign w:val="bottom"/>
          </w:tcPr>
          <w:p w14:paraId="412EAE09"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c>
          <w:tcPr>
            <w:tcW w:w="1077" w:type="dxa"/>
            <w:tcBorders>
              <w:bottom w:val="single" w:sz="12" w:space="0" w:color="000000"/>
            </w:tcBorders>
            <w:vAlign w:val="bottom"/>
          </w:tcPr>
          <w:p w14:paraId="36D7783F" w14:textId="77777777" w:rsidR="00CF3EC7" w:rsidRDefault="00CF3EC7" w:rsidP="001373A0">
            <w:pPr>
              <w:widowControl w:val="0"/>
              <w:pBdr>
                <w:top w:val="nil"/>
                <w:left w:val="nil"/>
                <w:bottom w:val="nil"/>
                <w:right w:val="nil"/>
                <w:between w:val="nil"/>
              </w:pBdr>
              <w:spacing w:line="228" w:lineRule="auto"/>
              <w:jc w:val="right"/>
              <w:rPr>
                <w:b/>
                <w:color w:val="000000"/>
                <w:sz w:val="12"/>
                <w:szCs w:val="12"/>
              </w:rPr>
            </w:pPr>
          </w:p>
        </w:tc>
      </w:tr>
    </w:tbl>
    <w:p w14:paraId="0EFADBA9" w14:textId="77777777" w:rsidR="00CF3EC7" w:rsidRDefault="00CF3EC7" w:rsidP="00CF3EC7">
      <w:pPr>
        <w:widowControl w:val="0"/>
        <w:spacing w:before="200"/>
        <w:jc w:val="both"/>
        <w:rPr>
          <w:sz w:val="20"/>
          <w:szCs w:val="20"/>
        </w:rPr>
      </w:pPr>
      <w:r>
        <w:rPr>
          <w:sz w:val="20"/>
          <w:szCs w:val="20"/>
        </w:rPr>
        <w:t>Payments in respect of gross settled forwards will be accompanied by related cash inflows which are disclosed at their present values in Note 46. Gross commitments to provide loans are irrevocable or are revocable only in response to a material adverse change in the counterparty’s creditworthiness or other circumstances.</w:t>
      </w:r>
    </w:p>
    <w:p w14:paraId="773E036F" w14:textId="77777777" w:rsidR="00CF3EC7" w:rsidRDefault="00CF3EC7">
      <w:pPr>
        <w:widowControl w:val="0"/>
        <w:pBdr>
          <w:top w:val="nil"/>
          <w:left w:val="nil"/>
          <w:bottom w:val="nil"/>
          <w:right w:val="nil"/>
          <w:between w:val="nil"/>
        </w:pBdr>
        <w:spacing w:before="200" w:after="200" w:line="228" w:lineRule="auto"/>
        <w:jc w:val="both"/>
        <w:rPr>
          <w:color w:val="000000"/>
          <w:sz w:val="20"/>
          <w:szCs w:val="20"/>
        </w:rPr>
      </w:pPr>
    </w:p>
    <w:p w14:paraId="5986F3DD" w14:textId="6F9FCBC0" w:rsidR="008E5DE4" w:rsidRDefault="008E5DE4">
      <w:pPr>
        <w:widowControl w:val="0"/>
        <w:spacing w:before="200" w:after="200" w:line="228" w:lineRule="auto"/>
        <w:rPr>
          <w:sz w:val="20"/>
          <w:szCs w:val="20"/>
        </w:rPr>
      </w:pPr>
      <w:bookmarkStart w:id="84" w:name="_Hlk181279695"/>
    </w:p>
    <w:p w14:paraId="2173AF21" w14:textId="79BFDE71" w:rsidR="008E5DE4" w:rsidRDefault="00504BB1" w:rsidP="007F183E">
      <w:pPr>
        <w:pStyle w:val="Heading1"/>
        <w:pageBreakBefore/>
        <w:numPr>
          <w:ilvl w:val="0"/>
          <w:numId w:val="0"/>
        </w:numPr>
        <w:spacing w:before="240"/>
        <w:ind w:left="567" w:hanging="567"/>
      </w:pPr>
      <w:bookmarkStart w:id="85" w:name="_Toc149923651"/>
      <w:bookmarkEnd w:id="84"/>
      <w:r>
        <w:lastRenderedPageBreak/>
        <w:t xml:space="preserve">52 </w:t>
      </w:r>
      <w:r>
        <w:tab/>
      </w:r>
      <w:r w:rsidR="00780368">
        <w:t>Management of Capital</w:t>
      </w:r>
      <w:bookmarkEnd w:id="85"/>
    </w:p>
    <w:p w14:paraId="6E125755" w14:textId="297D6A69"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Group’s objectives when managing capital are to safeguard the Group’s ability to continue as a going concern </w:t>
      </w:r>
      <w:proofErr w:type="gramStart"/>
      <w:r>
        <w:rPr>
          <w:color w:val="000000"/>
          <w:sz w:val="20"/>
          <w:szCs w:val="20"/>
        </w:rPr>
        <w:t>in order to</w:t>
      </w:r>
      <w:proofErr w:type="gramEnd"/>
      <w:r>
        <w:rPr>
          <w:color w:val="000000"/>
          <w:sz w:val="20"/>
          <w:szCs w:val="20"/>
        </w:rPr>
        <w:t xml:space="preserve"> provide returns for shareholders and benefits for other stakeholders and to maintain an optimal capital structure to reduce the cost of capital. </w:t>
      </w:r>
      <w:proofErr w:type="gramStart"/>
      <w:r>
        <w:rPr>
          <w:color w:val="000000"/>
          <w:sz w:val="20"/>
          <w:szCs w:val="20"/>
        </w:rPr>
        <w:t>In order to</w:t>
      </w:r>
      <w:proofErr w:type="gramEnd"/>
      <w:r>
        <w:rPr>
          <w:color w:val="000000"/>
          <w:sz w:val="20"/>
          <w:szCs w:val="20"/>
        </w:rPr>
        <w:t xml:space="preserve"> maintain or adjust the capital structure, the Group may adjust the </w:t>
      </w:r>
      <w:proofErr w:type="gramStart"/>
      <w:r>
        <w:rPr>
          <w:color w:val="000000"/>
          <w:sz w:val="20"/>
          <w:szCs w:val="20"/>
        </w:rPr>
        <w:t>amount</w:t>
      </w:r>
      <w:proofErr w:type="gramEnd"/>
      <w:r>
        <w:rPr>
          <w:color w:val="000000"/>
          <w:sz w:val="20"/>
          <w:szCs w:val="20"/>
        </w:rPr>
        <w:t xml:space="preserve"> of dividends paid to shareholders, return capital to shareholders, issue new shares or sell assets to reduce debt. The amount of capital that the Group managed as of 31 December </w:t>
      </w:r>
      <w:r w:rsidR="008614F8">
        <w:rPr>
          <w:color w:val="000000"/>
          <w:sz w:val="20"/>
          <w:szCs w:val="20"/>
        </w:rPr>
        <w:t>2025</w:t>
      </w:r>
      <w:r>
        <w:rPr>
          <w:color w:val="000000"/>
          <w:sz w:val="20"/>
          <w:szCs w:val="20"/>
        </w:rPr>
        <w:t xml:space="preserve"> was EUR______ thousand (</w:t>
      </w:r>
      <w:r w:rsidR="00A46633">
        <w:rPr>
          <w:color w:val="000000"/>
          <w:sz w:val="20"/>
          <w:szCs w:val="20"/>
        </w:rPr>
        <w:t>2024</w:t>
      </w:r>
      <w:r>
        <w:rPr>
          <w:color w:val="000000"/>
          <w:sz w:val="20"/>
          <w:szCs w:val="20"/>
        </w:rPr>
        <w:t>: EUR_____ thousand).</w:t>
      </w:r>
    </w:p>
    <w:p w14:paraId="50AD499F" w14:textId="3D01405E"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Consistent with others in the industry, the Group monitors capital </w:t>
      </w:r>
      <w:proofErr w:type="gramStart"/>
      <w:r>
        <w:rPr>
          <w:color w:val="000000"/>
          <w:sz w:val="20"/>
          <w:szCs w:val="20"/>
        </w:rPr>
        <w:t>on the basis of</w:t>
      </w:r>
      <w:proofErr w:type="gramEnd"/>
      <w:r>
        <w:rPr>
          <w:color w:val="000000"/>
          <w:sz w:val="20"/>
          <w:szCs w:val="20"/>
        </w:rPr>
        <w:t xml:space="preserve"> the gearing ratio. This ratio is calculated as total liabilities divided by total capital under management. The Group considers total capital under management to be </w:t>
      </w:r>
      <w:r>
        <w:rPr>
          <w:color w:val="0000FF"/>
          <w:sz w:val="20"/>
          <w:szCs w:val="20"/>
        </w:rPr>
        <w:t>[equity as shown in the consolidated statement of financial position]</w:t>
      </w:r>
      <w:r>
        <w:rPr>
          <w:color w:val="000000"/>
          <w:sz w:val="20"/>
          <w:szCs w:val="20"/>
        </w:rPr>
        <w:t xml:space="preserve">. During </w:t>
      </w:r>
      <w:r w:rsidR="008614F8">
        <w:rPr>
          <w:color w:val="000000"/>
          <w:sz w:val="20"/>
          <w:szCs w:val="20"/>
        </w:rPr>
        <w:t>2025</w:t>
      </w:r>
      <w:r>
        <w:rPr>
          <w:color w:val="000000"/>
          <w:sz w:val="20"/>
          <w:szCs w:val="20"/>
        </w:rPr>
        <w:t xml:space="preserve">, the Group’s strategy, which was unchanged from </w:t>
      </w:r>
      <w:r w:rsidR="00A46633">
        <w:rPr>
          <w:color w:val="000000"/>
          <w:sz w:val="20"/>
          <w:szCs w:val="20"/>
        </w:rPr>
        <w:t>2024</w:t>
      </w:r>
      <w:r>
        <w:rPr>
          <w:color w:val="000000"/>
          <w:sz w:val="20"/>
          <w:szCs w:val="20"/>
        </w:rPr>
        <w:t xml:space="preserve">, was to maintain the gearing ratio within </w:t>
      </w:r>
      <w:r>
        <w:rPr>
          <w:color w:val="0000FF"/>
          <w:sz w:val="20"/>
          <w:szCs w:val="20"/>
        </w:rPr>
        <w:t>[40% to 60% and a BB]</w:t>
      </w:r>
      <w:r>
        <w:rPr>
          <w:color w:val="000000"/>
          <w:sz w:val="20"/>
          <w:szCs w:val="20"/>
        </w:rPr>
        <w:t xml:space="preserve"> credit rating. The gearing ratio </w:t>
      </w:r>
      <w:r>
        <w:rPr>
          <w:color w:val="0000FF"/>
          <w:sz w:val="20"/>
          <w:szCs w:val="20"/>
        </w:rPr>
        <w:t>[increased][decreased]</w:t>
      </w:r>
      <w:r>
        <w:rPr>
          <w:color w:val="000000"/>
          <w:sz w:val="20"/>
          <w:szCs w:val="20"/>
        </w:rPr>
        <w:t xml:space="preserve"> from </w:t>
      </w:r>
      <w:r>
        <w:rPr>
          <w:color w:val="0000FF"/>
          <w:sz w:val="20"/>
          <w:szCs w:val="20"/>
        </w:rPr>
        <w:t>[x]</w:t>
      </w:r>
      <w:r>
        <w:rPr>
          <w:color w:val="000000"/>
          <w:sz w:val="20"/>
          <w:szCs w:val="20"/>
        </w:rPr>
        <w:t xml:space="preserve">% to </w:t>
      </w:r>
      <w:r>
        <w:rPr>
          <w:color w:val="0000FF"/>
          <w:sz w:val="20"/>
          <w:szCs w:val="20"/>
        </w:rPr>
        <w:t>[x]</w:t>
      </w:r>
      <w:r>
        <w:rPr>
          <w:color w:val="000000"/>
          <w:sz w:val="20"/>
          <w:szCs w:val="20"/>
        </w:rPr>
        <w:t>% followin</w:t>
      </w:r>
      <w:r w:rsidRPr="007F183E">
        <w:rPr>
          <w:sz w:val="20"/>
          <w:szCs w:val="20"/>
        </w:rPr>
        <w:t>g</w:t>
      </w:r>
      <w:r w:rsidR="00AF5161" w:rsidRPr="007F183E">
        <w:rPr>
          <w:sz w:val="20"/>
          <w:szCs w:val="20"/>
        </w:rPr>
        <w:t>.</w:t>
      </w:r>
    </w:p>
    <w:p w14:paraId="4BB3B8A8" w14:textId="581FBDB1" w:rsidR="008E5DE4" w:rsidRDefault="00780368" w:rsidP="00AF5161">
      <w:pPr>
        <w:widowControl w:val="0"/>
        <w:pBdr>
          <w:top w:val="nil"/>
          <w:left w:val="nil"/>
          <w:bottom w:val="nil"/>
          <w:right w:val="nil"/>
          <w:between w:val="nil"/>
        </w:pBdr>
        <w:spacing w:before="120" w:after="120"/>
        <w:jc w:val="both"/>
        <w:rPr>
          <w:i/>
          <w:color w:val="FF0000"/>
          <w:sz w:val="20"/>
          <w:szCs w:val="20"/>
        </w:rPr>
      </w:pPr>
      <w:r>
        <w:rPr>
          <w:color w:val="000000"/>
          <w:sz w:val="20"/>
          <w:szCs w:val="20"/>
        </w:rPr>
        <w:t xml:space="preserve">The Group has complied with all externally imposed capital requirements throughout </w:t>
      </w:r>
      <w:r w:rsidR="008614F8">
        <w:rPr>
          <w:color w:val="000000"/>
          <w:sz w:val="20"/>
          <w:szCs w:val="20"/>
        </w:rPr>
        <w:t>2025</w:t>
      </w:r>
      <w:r>
        <w:rPr>
          <w:color w:val="000000"/>
          <w:sz w:val="20"/>
          <w:szCs w:val="20"/>
        </w:rPr>
        <w:t xml:space="preserve"> and </w:t>
      </w:r>
      <w:r w:rsidR="00A46633">
        <w:rPr>
          <w:color w:val="000000"/>
          <w:sz w:val="20"/>
          <w:szCs w:val="20"/>
        </w:rPr>
        <w:t>2024</w:t>
      </w:r>
      <w:r>
        <w:rPr>
          <w:color w:val="000000"/>
          <w:sz w:val="20"/>
          <w:szCs w:val="20"/>
        </w:rPr>
        <w:t>. These are set out in the Group’s loan agreements based on which the Group is required to maintain a gearing ratio at a level below 65%.</w:t>
      </w:r>
    </w:p>
    <w:p w14:paraId="48BFED08" w14:textId="4895AC1C" w:rsidR="008E5DE4" w:rsidRDefault="00504BB1" w:rsidP="007F183E">
      <w:pPr>
        <w:pStyle w:val="Heading1"/>
        <w:numPr>
          <w:ilvl w:val="0"/>
          <w:numId w:val="0"/>
        </w:numPr>
        <w:ind w:left="567" w:hanging="567"/>
      </w:pPr>
      <w:bookmarkStart w:id="86" w:name="_Toc149923652"/>
      <w:r>
        <w:t xml:space="preserve">53 </w:t>
      </w:r>
      <w:r>
        <w:tab/>
      </w:r>
      <w:r w:rsidR="00780368">
        <w:t>Fair Value Disclosures</w:t>
      </w:r>
      <w:bookmarkEnd w:id="86"/>
    </w:p>
    <w:p w14:paraId="29625A4D"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Fair value measurements are analysed by level in the fair value hierarchy as follows: (</w:t>
      </w:r>
      <w:proofErr w:type="spellStart"/>
      <w:r>
        <w:rPr>
          <w:color w:val="000000"/>
          <w:sz w:val="20"/>
          <w:szCs w:val="20"/>
        </w:rPr>
        <w:t>i</w:t>
      </w:r>
      <w:proofErr w:type="spellEnd"/>
      <w:r>
        <w:rPr>
          <w:color w:val="000000"/>
          <w:sz w:val="20"/>
          <w:szCs w:val="20"/>
        </w:rPr>
        <w:t xml:space="preserve">) level 1 are measurements at quoted prices (unadjusted) in active markets for identical assets or liabilities, (ii) level 2 measurements are valuations techniques with all material inputs observable for the asset or liability, either directly (that is, as prices) or indirectly (that is, derived from prices), and (iii) level 3 measurements are valuations not based on observable market data (that is, unobservable inputs). Management applies judgement in categorising financial instruments using the fair value hierarchy. If a fair value measurement uses observable inputs that require significant adjustment, that measurement is a Level 3 measurement. The significance of a valuation input is assessed against the fair value measurement in its entirety. </w:t>
      </w:r>
    </w:p>
    <w:p w14:paraId="3D2F0447"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a) </w:t>
      </w:r>
      <w:r>
        <w:rPr>
          <w:b/>
          <w:i/>
          <w:color w:val="000000"/>
          <w:sz w:val="20"/>
          <w:szCs w:val="20"/>
        </w:rPr>
        <w:tab/>
        <w:t>Recurring fair value measurements</w:t>
      </w:r>
    </w:p>
    <w:p w14:paraId="4FC3FC7F" w14:textId="194F0832" w:rsidR="00CF3EC7" w:rsidRDefault="00780368">
      <w:pPr>
        <w:widowControl w:val="0"/>
        <w:spacing w:before="200" w:after="200"/>
        <w:jc w:val="both"/>
        <w:rPr>
          <w:sz w:val="20"/>
          <w:szCs w:val="20"/>
        </w:rPr>
      </w:pPr>
      <w:r>
        <w:rPr>
          <w:sz w:val="20"/>
          <w:szCs w:val="20"/>
        </w:rPr>
        <w:t>Recurring fair value measurements are those that the accounting standards require or permit in the consolidated statement of financial position at the end of each reporting period. The level in the fair value hierarchy into which the recurring fair value measurements are categorised are as follows:</w:t>
      </w:r>
    </w:p>
    <w:p w14:paraId="07FA2901" w14:textId="77777777" w:rsidR="00CF3EC7" w:rsidRDefault="00CF3EC7">
      <w:pPr>
        <w:rPr>
          <w:sz w:val="20"/>
          <w:szCs w:val="20"/>
        </w:rPr>
      </w:pPr>
      <w:r>
        <w:rPr>
          <w:sz w:val="20"/>
          <w:szCs w:val="20"/>
        </w:rPr>
        <w:br w:type="page"/>
      </w:r>
    </w:p>
    <w:p w14:paraId="7615B5A6" w14:textId="77777777" w:rsidR="00CF3EC7" w:rsidRDefault="00CF3EC7" w:rsidP="00CF3EC7">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53</w:t>
      </w:r>
      <w:r>
        <w:rPr>
          <w:b/>
          <w:color w:val="000000"/>
          <w:sz w:val="20"/>
          <w:szCs w:val="20"/>
        </w:rPr>
        <w:tab/>
        <w:t>Fair Value Disclosures (Continued)</w:t>
      </w:r>
    </w:p>
    <w:tbl>
      <w:tblPr>
        <w:tblStyle w:val="afffffffffffffc"/>
        <w:tblW w:w="9391" w:type="dxa"/>
        <w:tblInd w:w="28" w:type="dxa"/>
        <w:tblLayout w:type="fixed"/>
        <w:tblLook w:val="0000" w:firstRow="0" w:lastRow="0" w:firstColumn="0" w:lastColumn="0" w:noHBand="0" w:noVBand="0"/>
      </w:tblPr>
      <w:tblGrid>
        <w:gridCol w:w="2778"/>
        <w:gridCol w:w="850"/>
        <w:gridCol w:w="851"/>
        <w:gridCol w:w="851"/>
        <w:gridCol w:w="712"/>
        <w:gridCol w:w="851"/>
        <w:gridCol w:w="851"/>
        <w:gridCol w:w="851"/>
        <w:gridCol w:w="796"/>
      </w:tblGrid>
      <w:tr w:rsidR="008E5DE4" w14:paraId="0BDEBE77" w14:textId="77777777">
        <w:trPr>
          <w:cantSplit/>
        </w:trPr>
        <w:tc>
          <w:tcPr>
            <w:tcW w:w="2778" w:type="dxa"/>
            <w:vMerge w:val="restart"/>
            <w:vAlign w:val="bottom"/>
          </w:tcPr>
          <w:p w14:paraId="2CBA72C6"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In thousands of EUR</w:t>
            </w:r>
          </w:p>
        </w:tc>
        <w:tc>
          <w:tcPr>
            <w:tcW w:w="3264" w:type="dxa"/>
            <w:gridSpan w:val="4"/>
            <w:tcBorders>
              <w:bottom w:val="single" w:sz="4" w:space="0" w:color="000000"/>
            </w:tcBorders>
            <w:vAlign w:val="bottom"/>
          </w:tcPr>
          <w:p w14:paraId="07D1D938" w14:textId="66284C51" w:rsidR="008E5DE4" w:rsidRDefault="008614F8">
            <w:pPr>
              <w:widowControl w:val="0"/>
              <w:pBdr>
                <w:top w:val="nil"/>
                <w:left w:val="nil"/>
                <w:bottom w:val="nil"/>
                <w:right w:val="nil"/>
                <w:between w:val="nil"/>
              </w:pBdr>
              <w:spacing w:line="228" w:lineRule="auto"/>
              <w:jc w:val="center"/>
              <w:rPr>
                <w:b/>
                <w:color w:val="000000"/>
              </w:rPr>
            </w:pPr>
            <w:r>
              <w:rPr>
                <w:b/>
                <w:color w:val="000000"/>
              </w:rPr>
              <w:t>2025</w:t>
            </w:r>
          </w:p>
        </w:tc>
        <w:tc>
          <w:tcPr>
            <w:tcW w:w="3349" w:type="dxa"/>
            <w:gridSpan w:val="4"/>
            <w:tcBorders>
              <w:bottom w:val="single" w:sz="4" w:space="0" w:color="000000"/>
            </w:tcBorders>
            <w:vAlign w:val="bottom"/>
          </w:tcPr>
          <w:p w14:paraId="1886F12B" w14:textId="54DFBBB3" w:rsidR="008E5DE4" w:rsidRDefault="00A46633">
            <w:pPr>
              <w:widowControl w:val="0"/>
              <w:pBdr>
                <w:top w:val="nil"/>
                <w:left w:val="nil"/>
                <w:bottom w:val="nil"/>
                <w:right w:val="nil"/>
                <w:between w:val="nil"/>
              </w:pBdr>
              <w:spacing w:line="228" w:lineRule="auto"/>
              <w:jc w:val="center"/>
              <w:rPr>
                <w:b/>
                <w:color w:val="000000"/>
              </w:rPr>
            </w:pPr>
            <w:r>
              <w:rPr>
                <w:b/>
                <w:color w:val="000000"/>
              </w:rPr>
              <w:t>2024</w:t>
            </w:r>
          </w:p>
        </w:tc>
      </w:tr>
      <w:tr w:rsidR="008E5DE4" w14:paraId="68BA063A" w14:textId="77777777">
        <w:trPr>
          <w:cantSplit/>
        </w:trPr>
        <w:tc>
          <w:tcPr>
            <w:tcW w:w="2778" w:type="dxa"/>
            <w:vMerge/>
            <w:vAlign w:val="bottom"/>
          </w:tcPr>
          <w:p w14:paraId="7B3D8569" w14:textId="77777777" w:rsidR="008E5DE4" w:rsidRDefault="008E5DE4">
            <w:pPr>
              <w:widowControl w:val="0"/>
              <w:pBdr>
                <w:top w:val="nil"/>
                <w:left w:val="nil"/>
                <w:bottom w:val="nil"/>
                <w:right w:val="nil"/>
                <w:between w:val="nil"/>
              </w:pBdr>
              <w:spacing w:line="276" w:lineRule="auto"/>
              <w:rPr>
                <w:b/>
                <w:color w:val="000000"/>
              </w:rPr>
            </w:pPr>
          </w:p>
        </w:tc>
        <w:tc>
          <w:tcPr>
            <w:tcW w:w="850" w:type="dxa"/>
            <w:tcBorders>
              <w:top w:val="single" w:sz="4" w:space="0" w:color="000000"/>
              <w:bottom w:val="single" w:sz="4" w:space="0" w:color="000000"/>
            </w:tcBorders>
          </w:tcPr>
          <w:p w14:paraId="02341777"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Level 1</w:t>
            </w:r>
          </w:p>
        </w:tc>
        <w:tc>
          <w:tcPr>
            <w:tcW w:w="851" w:type="dxa"/>
            <w:tcBorders>
              <w:top w:val="single" w:sz="4" w:space="0" w:color="000000"/>
              <w:bottom w:val="single" w:sz="4" w:space="0" w:color="000000"/>
            </w:tcBorders>
          </w:tcPr>
          <w:p w14:paraId="2374EFB2"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 Level 2</w:t>
            </w:r>
          </w:p>
        </w:tc>
        <w:tc>
          <w:tcPr>
            <w:tcW w:w="851" w:type="dxa"/>
            <w:tcBorders>
              <w:top w:val="single" w:sz="4" w:space="0" w:color="000000"/>
              <w:bottom w:val="single" w:sz="4" w:space="0" w:color="000000"/>
            </w:tcBorders>
          </w:tcPr>
          <w:p w14:paraId="581C53BC"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Level 3</w:t>
            </w:r>
          </w:p>
        </w:tc>
        <w:tc>
          <w:tcPr>
            <w:tcW w:w="712" w:type="dxa"/>
            <w:tcBorders>
              <w:top w:val="single" w:sz="4" w:space="0" w:color="000000"/>
              <w:bottom w:val="single" w:sz="4" w:space="0" w:color="000000"/>
            </w:tcBorders>
          </w:tcPr>
          <w:p w14:paraId="51C53C7F"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c>
          <w:tcPr>
            <w:tcW w:w="851" w:type="dxa"/>
            <w:tcBorders>
              <w:top w:val="single" w:sz="4" w:space="0" w:color="000000"/>
              <w:bottom w:val="single" w:sz="4" w:space="0" w:color="000000"/>
            </w:tcBorders>
          </w:tcPr>
          <w:p w14:paraId="16AEAEE1"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Level 1</w:t>
            </w:r>
          </w:p>
        </w:tc>
        <w:tc>
          <w:tcPr>
            <w:tcW w:w="851" w:type="dxa"/>
            <w:tcBorders>
              <w:top w:val="single" w:sz="4" w:space="0" w:color="000000"/>
              <w:bottom w:val="single" w:sz="4" w:space="0" w:color="000000"/>
            </w:tcBorders>
          </w:tcPr>
          <w:p w14:paraId="46779FF1"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Level 2</w:t>
            </w:r>
          </w:p>
        </w:tc>
        <w:tc>
          <w:tcPr>
            <w:tcW w:w="851" w:type="dxa"/>
            <w:tcBorders>
              <w:top w:val="single" w:sz="4" w:space="0" w:color="000000"/>
              <w:bottom w:val="single" w:sz="4" w:space="0" w:color="000000"/>
            </w:tcBorders>
          </w:tcPr>
          <w:p w14:paraId="763FAED9"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Level 3</w:t>
            </w:r>
          </w:p>
        </w:tc>
        <w:tc>
          <w:tcPr>
            <w:tcW w:w="796" w:type="dxa"/>
            <w:tcBorders>
              <w:top w:val="single" w:sz="4" w:space="0" w:color="000000"/>
              <w:bottom w:val="single" w:sz="4" w:space="0" w:color="000000"/>
            </w:tcBorders>
          </w:tcPr>
          <w:p w14:paraId="0423B3EC"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r>
      <w:tr w:rsidR="008E5DE4" w14:paraId="3D20B840" w14:textId="77777777">
        <w:trPr>
          <w:cantSplit/>
        </w:trPr>
        <w:tc>
          <w:tcPr>
            <w:tcW w:w="2778" w:type="dxa"/>
            <w:tcBorders>
              <w:top w:val="single" w:sz="4" w:space="0" w:color="000000"/>
            </w:tcBorders>
            <w:vAlign w:val="bottom"/>
          </w:tcPr>
          <w:p w14:paraId="438DC054"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FF"/>
              </w:rPr>
              <w:t> </w:t>
            </w:r>
          </w:p>
        </w:tc>
        <w:tc>
          <w:tcPr>
            <w:tcW w:w="850" w:type="dxa"/>
            <w:tcBorders>
              <w:top w:val="single" w:sz="4" w:space="0" w:color="000000"/>
            </w:tcBorders>
            <w:vAlign w:val="bottom"/>
          </w:tcPr>
          <w:p w14:paraId="30182784"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tcBorders>
              <w:top w:val="single" w:sz="4" w:space="0" w:color="000000"/>
            </w:tcBorders>
            <w:vAlign w:val="bottom"/>
          </w:tcPr>
          <w:p w14:paraId="29B0B3FE"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tcBorders>
              <w:top w:val="single" w:sz="4" w:space="0" w:color="000000"/>
            </w:tcBorders>
            <w:vAlign w:val="bottom"/>
          </w:tcPr>
          <w:p w14:paraId="7AF5E43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tcBorders>
              <w:top w:val="single" w:sz="4" w:space="0" w:color="000000"/>
            </w:tcBorders>
            <w:vAlign w:val="bottom"/>
          </w:tcPr>
          <w:p w14:paraId="46414D73"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tcBorders>
              <w:top w:val="single" w:sz="4" w:space="0" w:color="000000"/>
            </w:tcBorders>
            <w:vAlign w:val="bottom"/>
          </w:tcPr>
          <w:p w14:paraId="52452099"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top w:val="single" w:sz="4" w:space="0" w:color="000000"/>
            </w:tcBorders>
            <w:vAlign w:val="bottom"/>
          </w:tcPr>
          <w:p w14:paraId="41007608"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top w:val="single" w:sz="4" w:space="0" w:color="000000"/>
            </w:tcBorders>
            <w:vAlign w:val="bottom"/>
          </w:tcPr>
          <w:p w14:paraId="49BCF2B0"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796" w:type="dxa"/>
            <w:tcBorders>
              <w:top w:val="single" w:sz="4" w:space="0" w:color="000000"/>
            </w:tcBorders>
            <w:vAlign w:val="bottom"/>
          </w:tcPr>
          <w:p w14:paraId="70B72559" w14:textId="77777777" w:rsidR="008E5DE4" w:rsidRDefault="008E5DE4">
            <w:pPr>
              <w:widowControl w:val="0"/>
              <w:pBdr>
                <w:top w:val="nil"/>
                <w:left w:val="nil"/>
                <w:bottom w:val="nil"/>
                <w:right w:val="nil"/>
                <w:between w:val="nil"/>
              </w:pBdr>
              <w:spacing w:line="228" w:lineRule="auto"/>
              <w:ind w:left="-113"/>
              <w:jc w:val="right"/>
              <w:rPr>
                <w:b/>
                <w:color w:val="000000"/>
              </w:rPr>
            </w:pPr>
          </w:p>
        </w:tc>
      </w:tr>
      <w:tr w:rsidR="008E5DE4" w14:paraId="5460FB46" w14:textId="77777777">
        <w:trPr>
          <w:cantSplit/>
        </w:trPr>
        <w:tc>
          <w:tcPr>
            <w:tcW w:w="2778" w:type="dxa"/>
            <w:vAlign w:val="bottom"/>
          </w:tcPr>
          <w:p w14:paraId="2B493EE6" w14:textId="77777777" w:rsidR="008E5DE4" w:rsidRDefault="00780368">
            <w:pPr>
              <w:widowControl w:val="0"/>
              <w:pBdr>
                <w:top w:val="nil"/>
                <w:left w:val="nil"/>
                <w:bottom w:val="nil"/>
                <w:right w:val="nil"/>
                <w:between w:val="nil"/>
              </w:pBdr>
              <w:spacing w:line="228" w:lineRule="auto"/>
              <w:ind w:left="113" w:right="-57" w:hanging="113"/>
              <w:rPr>
                <w:b/>
                <w:smallCaps/>
                <w:color w:val="000000"/>
              </w:rPr>
            </w:pPr>
            <w:r>
              <w:rPr>
                <w:b/>
                <w:smallCaps/>
                <w:color w:val="000000"/>
              </w:rPr>
              <w:t xml:space="preserve">FINANCIAL ASSETS </w:t>
            </w:r>
          </w:p>
        </w:tc>
        <w:tc>
          <w:tcPr>
            <w:tcW w:w="850" w:type="dxa"/>
            <w:vAlign w:val="bottom"/>
          </w:tcPr>
          <w:p w14:paraId="33FEDA9E"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851" w:type="dxa"/>
            <w:vAlign w:val="bottom"/>
          </w:tcPr>
          <w:p w14:paraId="5315A9CD"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851" w:type="dxa"/>
            <w:vAlign w:val="bottom"/>
          </w:tcPr>
          <w:p w14:paraId="0120057A"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712" w:type="dxa"/>
            <w:vAlign w:val="bottom"/>
          </w:tcPr>
          <w:p w14:paraId="447ED14B"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851" w:type="dxa"/>
            <w:vAlign w:val="bottom"/>
          </w:tcPr>
          <w:p w14:paraId="502FF80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B4AD1F3"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06533F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258758A8"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7EAECFF2" w14:textId="77777777">
        <w:trPr>
          <w:cantSplit/>
        </w:trPr>
        <w:tc>
          <w:tcPr>
            <w:tcW w:w="2778" w:type="dxa"/>
            <w:vAlign w:val="bottom"/>
          </w:tcPr>
          <w:p w14:paraId="279488E5" w14:textId="77777777" w:rsidR="008E5DE4" w:rsidRDefault="008E5DE4">
            <w:pPr>
              <w:widowControl w:val="0"/>
              <w:pBdr>
                <w:top w:val="nil"/>
                <w:left w:val="nil"/>
                <w:bottom w:val="nil"/>
                <w:right w:val="nil"/>
                <w:between w:val="nil"/>
              </w:pBdr>
              <w:spacing w:line="228" w:lineRule="auto"/>
              <w:ind w:left="113" w:right="-57" w:hanging="113"/>
              <w:rPr>
                <w:b/>
                <w:smallCaps/>
                <w:color w:val="000000"/>
                <w:sz w:val="8"/>
                <w:szCs w:val="8"/>
              </w:rPr>
            </w:pPr>
          </w:p>
        </w:tc>
        <w:tc>
          <w:tcPr>
            <w:tcW w:w="850" w:type="dxa"/>
            <w:vAlign w:val="bottom"/>
          </w:tcPr>
          <w:p w14:paraId="08547237" w14:textId="77777777" w:rsidR="008E5DE4" w:rsidRDefault="008E5DE4">
            <w:pPr>
              <w:widowControl w:val="0"/>
              <w:pBdr>
                <w:top w:val="nil"/>
                <w:left w:val="nil"/>
                <w:bottom w:val="nil"/>
                <w:right w:val="nil"/>
                <w:between w:val="nil"/>
              </w:pBdr>
              <w:spacing w:line="228" w:lineRule="auto"/>
              <w:ind w:left="-113"/>
              <w:jc w:val="right"/>
              <w:rPr>
                <w:b/>
                <w:smallCaps/>
                <w:color w:val="000000"/>
                <w:sz w:val="8"/>
                <w:szCs w:val="8"/>
              </w:rPr>
            </w:pPr>
          </w:p>
        </w:tc>
        <w:tc>
          <w:tcPr>
            <w:tcW w:w="851" w:type="dxa"/>
            <w:vAlign w:val="bottom"/>
          </w:tcPr>
          <w:p w14:paraId="2AAE6439" w14:textId="77777777" w:rsidR="008E5DE4" w:rsidRDefault="008E5DE4">
            <w:pPr>
              <w:widowControl w:val="0"/>
              <w:pBdr>
                <w:top w:val="nil"/>
                <w:left w:val="nil"/>
                <w:bottom w:val="nil"/>
                <w:right w:val="nil"/>
                <w:between w:val="nil"/>
              </w:pBdr>
              <w:spacing w:line="228" w:lineRule="auto"/>
              <w:ind w:left="-113"/>
              <w:jc w:val="right"/>
              <w:rPr>
                <w:b/>
                <w:smallCaps/>
                <w:color w:val="000000"/>
                <w:sz w:val="8"/>
                <w:szCs w:val="8"/>
              </w:rPr>
            </w:pPr>
          </w:p>
        </w:tc>
        <w:tc>
          <w:tcPr>
            <w:tcW w:w="851" w:type="dxa"/>
            <w:vAlign w:val="bottom"/>
          </w:tcPr>
          <w:p w14:paraId="7F47BA0B" w14:textId="77777777" w:rsidR="008E5DE4" w:rsidRDefault="008E5DE4">
            <w:pPr>
              <w:widowControl w:val="0"/>
              <w:pBdr>
                <w:top w:val="nil"/>
                <w:left w:val="nil"/>
                <w:bottom w:val="nil"/>
                <w:right w:val="nil"/>
                <w:between w:val="nil"/>
              </w:pBdr>
              <w:spacing w:line="228" w:lineRule="auto"/>
              <w:ind w:left="-113"/>
              <w:jc w:val="right"/>
              <w:rPr>
                <w:b/>
                <w:smallCaps/>
                <w:color w:val="000000"/>
                <w:sz w:val="8"/>
                <w:szCs w:val="8"/>
              </w:rPr>
            </w:pPr>
          </w:p>
        </w:tc>
        <w:tc>
          <w:tcPr>
            <w:tcW w:w="712" w:type="dxa"/>
            <w:vAlign w:val="bottom"/>
          </w:tcPr>
          <w:p w14:paraId="7DB921F1" w14:textId="77777777" w:rsidR="008E5DE4" w:rsidRDefault="008E5DE4">
            <w:pPr>
              <w:widowControl w:val="0"/>
              <w:pBdr>
                <w:top w:val="nil"/>
                <w:left w:val="nil"/>
                <w:bottom w:val="nil"/>
                <w:right w:val="nil"/>
                <w:between w:val="nil"/>
              </w:pBdr>
              <w:spacing w:line="228" w:lineRule="auto"/>
              <w:ind w:left="-113"/>
              <w:jc w:val="right"/>
              <w:rPr>
                <w:b/>
                <w:smallCaps/>
                <w:color w:val="000000"/>
                <w:sz w:val="8"/>
                <w:szCs w:val="8"/>
              </w:rPr>
            </w:pPr>
          </w:p>
        </w:tc>
        <w:tc>
          <w:tcPr>
            <w:tcW w:w="851" w:type="dxa"/>
            <w:vAlign w:val="bottom"/>
          </w:tcPr>
          <w:p w14:paraId="425814C2" w14:textId="77777777" w:rsidR="008E5DE4" w:rsidRDefault="008E5DE4">
            <w:pPr>
              <w:widowControl w:val="0"/>
              <w:pBdr>
                <w:top w:val="nil"/>
                <w:left w:val="nil"/>
                <w:bottom w:val="nil"/>
                <w:right w:val="nil"/>
                <w:between w:val="nil"/>
              </w:pBdr>
              <w:spacing w:line="228" w:lineRule="auto"/>
              <w:ind w:left="-113"/>
              <w:jc w:val="right"/>
              <w:rPr>
                <w:color w:val="000000"/>
                <w:sz w:val="8"/>
                <w:szCs w:val="8"/>
              </w:rPr>
            </w:pPr>
          </w:p>
        </w:tc>
        <w:tc>
          <w:tcPr>
            <w:tcW w:w="851" w:type="dxa"/>
            <w:vAlign w:val="bottom"/>
          </w:tcPr>
          <w:p w14:paraId="48213A35" w14:textId="77777777" w:rsidR="008E5DE4" w:rsidRDefault="008E5DE4">
            <w:pPr>
              <w:widowControl w:val="0"/>
              <w:pBdr>
                <w:top w:val="nil"/>
                <w:left w:val="nil"/>
                <w:bottom w:val="nil"/>
                <w:right w:val="nil"/>
                <w:between w:val="nil"/>
              </w:pBdr>
              <w:spacing w:line="228" w:lineRule="auto"/>
              <w:ind w:left="-113"/>
              <w:jc w:val="right"/>
              <w:rPr>
                <w:color w:val="000000"/>
                <w:sz w:val="8"/>
                <w:szCs w:val="8"/>
              </w:rPr>
            </w:pPr>
          </w:p>
        </w:tc>
        <w:tc>
          <w:tcPr>
            <w:tcW w:w="851" w:type="dxa"/>
            <w:vAlign w:val="bottom"/>
          </w:tcPr>
          <w:p w14:paraId="3DC2D407" w14:textId="77777777" w:rsidR="008E5DE4" w:rsidRDefault="008E5DE4">
            <w:pPr>
              <w:widowControl w:val="0"/>
              <w:pBdr>
                <w:top w:val="nil"/>
                <w:left w:val="nil"/>
                <w:bottom w:val="nil"/>
                <w:right w:val="nil"/>
                <w:between w:val="nil"/>
              </w:pBdr>
              <w:spacing w:line="228" w:lineRule="auto"/>
              <w:ind w:left="-113"/>
              <w:jc w:val="right"/>
              <w:rPr>
                <w:color w:val="000000"/>
                <w:sz w:val="8"/>
                <w:szCs w:val="8"/>
              </w:rPr>
            </w:pPr>
          </w:p>
        </w:tc>
        <w:tc>
          <w:tcPr>
            <w:tcW w:w="796" w:type="dxa"/>
            <w:vAlign w:val="bottom"/>
          </w:tcPr>
          <w:p w14:paraId="764CE309" w14:textId="77777777" w:rsidR="008E5DE4" w:rsidRDefault="008E5DE4">
            <w:pPr>
              <w:widowControl w:val="0"/>
              <w:pBdr>
                <w:top w:val="nil"/>
                <w:left w:val="nil"/>
                <w:bottom w:val="nil"/>
                <w:right w:val="nil"/>
                <w:between w:val="nil"/>
              </w:pBdr>
              <w:spacing w:line="228" w:lineRule="auto"/>
              <w:ind w:left="-113"/>
              <w:jc w:val="right"/>
              <w:rPr>
                <w:color w:val="000000"/>
                <w:sz w:val="8"/>
                <w:szCs w:val="8"/>
              </w:rPr>
            </w:pPr>
          </w:p>
        </w:tc>
      </w:tr>
      <w:tr w:rsidR="008E5DE4" w14:paraId="0099D851" w14:textId="77777777">
        <w:trPr>
          <w:cantSplit/>
        </w:trPr>
        <w:tc>
          <w:tcPr>
            <w:tcW w:w="2778" w:type="dxa"/>
            <w:vAlign w:val="bottom"/>
          </w:tcPr>
          <w:p w14:paraId="136C648A"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 xml:space="preserve">Investments in debt securities </w:t>
            </w:r>
          </w:p>
        </w:tc>
        <w:tc>
          <w:tcPr>
            <w:tcW w:w="850" w:type="dxa"/>
            <w:vAlign w:val="bottom"/>
          </w:tcPr>
          <w:p w14:paraId="4059ABB8"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4B1D846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466DB6C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7A0A4CE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78344A5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091526DB"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0B80500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548B571D"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0A4F39BB" w14:textId="77777777">
        <w:trPr>
          <w:cantSplit/>
        </w:trPr>
        <w:tc>
          <w:tcPr>
            <w:tcW w:w="2778" w:type="dxa"/>
            <w:vAlign w:val="bottom"/>
          </w:tcPr>
          <w:p w14:paraId="290C5AAB"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 </w:t>
            </w:r>
            <w:r>
              <w:rPr>
                <w:color w:val="0000FF"/>
              </w:rPr>
              <w:t xml:space="preserve">[Country] </w:t>
            </w:r>
            <w:r>
              <w:rPr>
                <w:color w:val="000000"/>
              </w:rPr>
              <w:t>government bonds</w:t>
            </w:r>
          </w:p>
        </w:tc>
        <w:tc>
          <w:tcPr>
            <w:tcW w:w="850" w:type="dxa"/>
            <w:vAlign w:val="bottom"/>
          </w:tcPr>
          <w:p w14:paraId="59FF114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29470795"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24FAAA0F"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3F5ACD8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98A8F5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73AA401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569AEBC"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22615038"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03CD7855" w14:textId="77777777">
        <w:trPr>
          <w:cantSplit/>
        </w:trPr>
        <w:tc>
          <w:tcPr>
            <w:tcW w:w="2778" w:type="dxa"/>
            <w:vAlign w:val="bottom"/>
          </w:tcPr>
          <w:p w14:paraId="1C66760E"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Municipal bonds</w:t>
            </w:r>
          </w:p>
        </w:tc>
        <w:tc>
          <w:tcPr>
            <w:tcW w:w="850" w:type="dxa"/>
            <w:vAlign w:val="bottom"/>
          </w:tcPr>
          <w:p w14:paraId="21CBB6A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F29F32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2762605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0416811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E61F0AB"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E5AB04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828894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06263BB6"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65B603D2" w14:textId="77777777">
        <w:trPr>
          <w:cantSplit/>
        </w:trPr>
        <w:tc>
          <w:tcPr>
            <w:tcW w:w="2778" w:type="dxa"/>
            <w:vAlign w:val="bottom"/>
          </w:tcPr>
          <w:p w14:paraId="7C8E05BB"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Corporate bonds</w:t>
            </w:r>
          </w:p>
        </w:tc>
        <w:tc>
          <w:tcPr>
            <w:tcW w:w="850" w:type="dxa"/>
            <w:vAlign w:val="bottom"/>
          </w:tcPr>
          <w:p w14:paraId="6F7EC14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CC8D13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F0F663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3CD195E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4F70F99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C22F50F"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242021EF"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7FC28D5C"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657D5246" w14:textId="77777777">
        <w:trPr>
          <w:cantSplit/>
        </w:trPr>
        <w:tc>
          <w:tcPr>
            <w:tcW w:w="2778" w:type="dxa"/>
            <w:vAlign w:val="bottom"/>
          </w:tcPr>
          <w:p w14:paraId="12BD83CE"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Promissory notes</w:t>
            </w:r>
          </w:p>
        </w:tc>
        <w:tc>
          <w:tcPr>
            <w:tcW w:w="850" w:type="dxa"/>
            <w:vAlign w:val="bottom"/>
          </w:tcPr>
          <w:p w14:paraId="0B763AA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1B3B5DC"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7654996D"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268EE90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38D8F53"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78C03353"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007DDEA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77D29A7B"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70321FD8" w14:textId="77777777">
        <w:trPr>
          <w:cantSplit/>
        </w:trPr>
        <w:tc>
          <w:tcPr>
            <w:tcW w:w="2778" w:type="dxa"/>
            <w:vAlign w:val="bottom"/>
          </w:tcPr>
          <w:p w14:paraId="13CA3AE6"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Investments in equity securities</w:t>
            </w:r>
          </w:p>
        </w:tc>
        <w:tc>
          <w:tcPr>
            <w:tcW w:w="850" w:type="dxa"/>
            <w:vAlign w:val="bottom"/>
          </w:tcPr>
          <w:p w14:paraId="5042398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7A513A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2EFEF4C"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39BBF33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7A6ECFE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082A0CD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03A36D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6456C78C"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01216694" w14:textId="77777777">
        <w:trPr>
          <w:cantSplit/>
        </w:trPr>
        <w:tc>
          <w:tcPr>
            <w:tcW w:w="2778" w:type="dxa"/>
            <w:vAlign w:val="bottom"/>
          </w:tcPr>
          <w:p w14:paraId="4DFCA771"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Corporate shares</w:t>
            </w:r>
          </w:p>
        </w:tc>
        <w:tc>
          <w:tcPr>
            <w:tcW w:w="850" w:type="dxa"/>
            <w:vAlign w:val="bottom"/>
          </w:tcPr>
          <w:p w14:paraId="70B06B3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B0D528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0922E3B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1A87074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492EE4D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270CFE58"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8863655"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0FDF35D8"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43C4D0C9" w14:textId="77777777">
        <w:trPr>
          <w:cantSplit/>
        </w:trPr>
        <w:tc>
          <w:tcPr>
            <w:tcW w:w="2778" w:type="dxa"/>
            <w:vAlign w:val="bottom"/>
          </w:tcPr>
          <w:p w14:paraId="7968FDB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 American depositary receipts </w:t>
            </w:r>
          </w:p>
        </w:tc>
        <w:tc>
          <w:tcPr>
            <w:tcW w:w="850" w:type="dxa"/>
            <w:vAlign w:val="bottom"/>
          </w:tcPr>
          <w:p w14:paraId="4BD9B63C"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7A310B1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46825AE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11E60D9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41A3F9C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4AB2094E"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2B1BD02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650D2156"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4A33E54F" w14:textId="77777777">
        <w:trPr>
          <w:cantSplit/>
        </w:trPr>
        <w:tc>
          <w:tcPr>
            <w:tcW w:w="2778" w:type="dxa"/>
            <w:vAlign w:val="bottom"/>
          </w:tcPr>
          <w:p w14:paraId="708A821D"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Investments in mutual funds</w:t>
            </w:r>
          </w:p>
        </w:tc>
        <w:tc>
          <w:tcPr>
            <w:tcW w:w="850" w:type="dxa"/>
            <w:vAlign w:val="bottom"/>
          </w:tcPr>
          <w:p w14:paraId="0CAE7D3D"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D073373"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84D95A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1372D71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7B2B31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D8D97D4"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C06806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4077ACFB"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2B7C0A2D" w14:textId="77777777">
        <w:trPr>
          <w:cantSplit/>
        </w:trPr>
        <w:tc>
          <w:tcPr>
            <w:tcW w:w="2778" w:type="dxa"/>
            <w:vAlign w:val="bottom"/>
          </w:tcPr>
          <w:p w14:paraId="43F0F68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 Global depositary receipts </w:t>
            </w:r>
          </w:p>
        </w:tc>
        <w:tc>
          <w:tcPr>
            <w:tcW w:w="850" w:type="dxa"/>
            <w:vAlign w:val="bottom"/>
          </w:tcPr>
          <w:p w14:paraId="0E2E189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972559D"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24B2C1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28E685AF"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2EA3479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48FD59F8"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A71663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2B6A639B"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13544D74" w14:textId="77777777">
        <w:trPr>
          <w:cantSplit/>
        </w:trPr>
        <w:tc>
          <w:tcPr>
            <w:tcW w:w="2778" w:type="dxa"/>
            <w:vAlign w:val="bottom"/>
          </w:tcPr>
          <w:p w14:paraId="69B580B7"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 xml:space="preserve">Other financial assets </w:t>
            </w:r>
          </w:p>
        </w:tc>
        <w:tc>
          <w:tcPr>
            <w:tcW w:w="850" w:type="dxa"/>
            <w:vAlign w:val="bottom"/>
          </w:tcPr>
          <w:p w14:paraId="7317E90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7752ED94"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437150B5"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6D32190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5F7034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04482B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F56B55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7C7799CD"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241052C7" w14:textId="77777777">
        <w:trPr>
          <w:cantSplit/>
        </w:trPr>
        <w:tc>
          <w:tcPr>
            <w:tcW w:w="2778" w:type="dxa"/>
            <w:vAlign w:val="bottom"/>
          </w:tcPr>
          <w:p w14:paraId="242C17E9"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Foreign exchange forward contracts</w:t>
            </w:r>
          </w:p>
        </w:tc>
        <w:tc>
          <w:tcPr>
            <w:tcW w:w="850" w:type="dxa"/>
            <w:vAlign w:val="bottom"/>
          </w:tcPr>
          <w:p w14:paraId="4A9E050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2B33F75F"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03A5CDD5"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0AD62173"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3CDEDAD"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E23E8D5"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2A7E4D4"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5E0294B9"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32A89169" w14:textId="77777777">
        <w:trPr>
          <w:cantSplit/>
        </w:trPr>
        <w:tc>
          <w:tcPr>
            <w:tcW w:w="2778" w:type="dxa"/>
            <w:vAlign w:val="bottom"/>
          </w:tcPr>
          <w:p w14:paraId="21446068"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Other financial derivatives</w:t>
            </w:r>
          </w:p>
        </w:tc>
        <w:tc>
          <w:tcPr>
            <w:tcW w:w="850" w:type="dxa"/>
            <w:vAlign w:val="bottom"/>
          </w:tcPr>
          <w:p w14:paraId="57332D8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166734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2613F7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57CC757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9C27F9D"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5A684C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040787F"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345B6E70"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31ABF7A0" w14:textId="77777777">
        <w:trPr>
          <w:cantSplit/>
        </w:trPr>
        <w:tc>
          <w:tcPr>
            <w:tcW w:w="2778" w:type="dxa"/>
            <w:vAlign w:val="bottom"/>
          </w:tcPr>
          <w:p w14:paraId="07DF3101" w14:textId="77777777" w:rsidR="008E5DE4" w:rsidRDefault="008E5DE4">
            <w:pPr>
              <w:widowControl w:val="0"/>
              <w:pBdr>
                <w:top w:val="nil"/>
                <w:left w:val="nil"/>
                <w:bottom w:val="nil"/>
                <w:right w:val="nil"/>
                <w:between w:val="nil"/>
              </w:pBdr>
              <w:spacing w:line="228" w:lineRule="auto"/>
              <w:ind w:left="113" w:right="-57" w:hanging="113"/>
              <w:rPr>
                <w:b/>
                <w:smallCaps/>
                <w:color w:val="000000"/>
              </w:rPr>
            </w:pPr>
          </w:p>
        </w:tc>
        <w:tc>
          <w:tcPr>
            <w:tcW w:w="850" w:type="dxa"/>
            <w:vAlign w:val="bottom"/>
          </w:tcPr>
          <w:p w14:paraId="1867AE4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C94EAF9"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80739DB"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284379E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FA74EC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0852DC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03A5288"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387D156E"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3B62AECE" w14:textId="77777777">
        <w:trPr>
          <w:cantSplit/>
        </w:trPr>
        <w:tc>
          <w:tcPr>
            <w:tcW w:w="2778" w:type="dxa"/>
            <w:vAlign w:val="bottom"/>
          </w:tcPr>
          <w:p w14:paraId="2D4786B9" w14:textId="77777777" w:rsidR="008E5DE4" w:rsidRDefault="00780368">
            <w:pPr>
              <w:widowControl w:val="0"/>
              <w:pBdr>
                <w:top w:val="nil"/>
                <w:left w:val="nil"/>
                <w:bottom w:val="nil"/>
                <w:right w:val="nil"/>
                <w:between w:val="nil"/>
              </w:pBdr>
              <w:spacing w:line="228" w:lineRule="auto"/>
              <w:ind w:left="113" w:right="-57" w:hanging="113"/>
              <w:rPr>
                <w:color w:val="000000"/>
              </w:rPr>
            </w:pPr>
            <w:r>
              <w:rPr>
                <w:b/>
                <w:smallCaps/>
                <w:color w:val="000000"/>
              </w:rPr>
              <w:t>NON-FINANCIAL ASSETS</w:t>
            </w:r>
          </w:p>
        </w:tc>
        <w:tc>
          <w:tcPr>
            <w:tcW w:w="850" w:type="dxa"/>
            <w:vAlign w:val="bottom"/>
          </w:tcPr>
          <w:p w14:paraId="2C0839A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5297A7D5"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F0E881F"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0B88DCC4"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C89F3F7"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73611D6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FB0D32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6DA05826"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394A2019" w14:textId="77777777">
        <w:trPr>
          <w:cantSplit/>
        </w:trPr>
        <w:tc>
          <w:tcPr>
            <w:tcW w:w="2778" w:type="dxa"/>
            <w:vAlign w:val="bottom"/>
          </w:tcPr>
          <w:p w14:paraId="53D8D83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 Land and buildings </w:t>
            </w:r>
          </w:p>
        </w:tc>
        <w:tc>
          <w:tcPr>
            <w:tcW w:w="850" w:type="dxa"/>
            <w:vAlign w:val="bottom"/>
          </w:tcPr>
          <w:p w14:paraId="40EADB5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0CEC9483"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B0A102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7C1A623C"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1B378F4F"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D8198C0"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2FCDC96E"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04B545F9"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56E3A5EE" w14:textId="77777777">
        <w:trPr>
          <w:cantSplit/>
        </w:trPr>
        <w:tc>
          <w:tcPr>
            <w:tcW w:w="2778" w:type="dxa"/>
            <w:vAlign w:val="bottom"/>
          </w:tcPr>
          <w:p w14:paraId="6BBE3339"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Investment properties</w:t>
            </w:r>
          </w:p>
        </w:tc>
        <w:tc>
          <w:tcPr>
            <w:tcW w:w="850" w:type="dxa"/>
            <w:vAlign w:val="bottom"/>
          </w:tcPr>
          <w:p w14:paraId="7AC0113B"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35620AA2"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0D3EA89E"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vAlign w:val="bottom"/>
          </w:tcPr>
          <w:p w14:paraId="37D77EFB"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12F24E5"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68A74A7E"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vAlign w:val="bottom"/>
          </w:tcPr>
          <w:p w14:paraId="74E1B3C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vAlign w:val="bottom"/>
          </w:tcPr>
          <w:p w14:paraId="11BB3B6E"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4D020850" w14:textId="77777777">
        <w:trPr>
          <w:cantSplit/>
        </w:trPr>
        <w:tc>
          <w:tcPr>
            <w:tcW w:w="2778" w:type="dxa"/>
            <w:tcBorders>
              <w:bottom w:val="single" w:sz="4" w:space="0" w:color="000000"/>
            </w:tcBorders>
            <w:vAlign w:val="bottom"/>
          </w:tcPr>
          <w:p w14:paraId="7661736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FF"/>
              </w:rPr>
              <w:t> </w:t>
            </w:r>
          </w:p>
        </w:tc>
        <w:tc>
          <w:tcPr>
            <w:tcW w:w="850" w:type="dxa"/>
            <w:tcBorders>
              <w:bottom w:val="single" w:sz="4" w:space="0" w:color="000000"/>
            </w:tcBorders>
            <w:vAlign w:val="bottom"/>
          </w:tcPr>
          <w:p w14:paraId="1395FFE1"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tcBorders>
              <w:bottom w:val="single" w:sz="4" w:space="0" w:color="000000"/>
            </w:tcBorders>
            <w:vAlign w:val="bottom"/>
          </w:tcPr>
          <w:p w14:paraId="7C862823"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tcBorders>
              <w:bottom w:val="single" w:sz="4" w:space="0" w:color="000000"/>
            </w:tcBorders>
            <w:vAlign w:val="bottom"/>
          </w:tcPr>
          <w:p w14:paraId="41BEB8E8"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12" w:type="dxa"/>
            <w:tcBorders>
              <w:bottom w:val="single" w:sz="4" w:space="0" w:color="000000"/>
            </w:tcBorders>
            <w:vAlign w:val="bottom"/>
          </w:tcPr>
          <w:p w14:paraId="4CC86F3A"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tcBorders>
              <w:bottom w:val="single" w:sz="4" w:space="0" w:color="000000"/>
            </w:tcBorders>
            <w:vAlign w:val="bottom"/>
          </w:tcPr>
          <w:p w14:paraId="405FE0D5"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tcBorders>
              <w:bottom w:val="single" w:sz="4" w:space="0" w:color="000000"/>
            </w:tcBorders>
            <w:vAlign w:val="bottom"/>
          </w:tcPr>
          <w:p w14:paraId="39412046"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851" w:type="dxa"/>
            <w:tcBorders>
              <w:bottom w:val="single" w:sz="4" w:space="0" w:color="000000"/>
            </w:tcBorders>
            <w:vAlign w:val="bottom"/>
          </w:tcPr>
          <w:p w14:paraId="127FEF8E" w14:textId="77777777" w:rsidR="008E5DE4" w:rsidRDefault="008E5DE4">
            <w:pPr>
              <w:widowControl w:val="0"/>
              <w:pBdr>
                <w:top w:val="nil"/>
                <w:left w:val="nil"/>
                <w:bottom w:val="nil"/>
                <w:right w:val="nil"/>
                <w:between w:val="nil"/>
              </w:pBdr>
              <w:spacing w:line="228" w:lineRule="auto"/>
              <w:ind w:left="-113"/>
              <w:jc w:val="right"/>
              <w:rPr>
                <w:color w:val="000000"/>
              </w:rPr>
            </w:pPr>
          </w:p>
        </w:tc>
        <w:tc>
          <w:tcPr>
            <w:tcW w:w="796" w:type="dxa"/>
            <w:tcBorders>
              <w:bottom w:val="single" w:sz="4" w:space="0" w:color="000000"/>
            </w:tcBorders>
            <w:vAlign w:val="bottom"/>
          </w:tcPr>
          <w:p w14:paraId="5115D10F" w14:textId="77777777" w:rsidR="008E5DE4" w:rsidRDefault="008E5DE4">
            <w:pPr>
              <w:widowControl w:val="0"/>
              <w:pBdr>
                <w:top w:val="nil"/>
                <w:left w:val="nil"/>
                <w:bottom w:val="nil"/>
                <w:right w:val="nil"/>
                <w:between w:val="nil"/>
              </w:pBdr>
              <w:spacing w:line="228" w:lineRule="auto"/>
              <w:ind w:left="-113"/>
              <w:jc w:val="right"/>
              <w:rPr>
                <w:color w:val="000000"/>
              </w:rPr>
            </w:pPr>
          </w:p>
        </w:tc>
      </w:tr>
      <w:tr w:rsidR="008E5DE4" w14:paraId="3397062B" w14:textId="77777777">
        <w:trPr>
          <w:cantSplit/>
        </w:trPr>
        <w:tc>
          <w:tcPr>
            <w:tcW w:w="2778" w:type="dxa"/>
            <w:vAlign w:val="bottom"/>
          </w:tcPr>
          <w:p w14:paraId="6205B310"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FF"/>
              </w:rPr>
              <w:t> </w:t>
            </w:r>
          </w:p>
        </w:tc>
        <w:tc>
          <w:tcPr>
            <w:tcW w:w="850" w:type="dxa"/>
            <w:vAlign w:val="bottom"/>
          </w:tcPr>
          <w:p w14:paraId="0FB34A07"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vAlign w:val="bottom"/>
          </w:tcPr>
          <w:p w14:paraId="6C2BA085"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vAlign w:val="bottom"/>
          </w:tcPr>
          <w:p w14:paraId="60B9EE13"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712" w:type="dxa"/>
            <w:tcBorders>
              <w:top w:val="single" w:sz="4" w:space="0" w:color="000000"/>
            </w:tcBorders>
            <w:vAlign w:val="bottom"/>
          </w:tcPr>
          <w:p w14:paraId="57EF2E23"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top w:val="single" w:sz="4" w:space="0" w:color="000000"/>
            </w:tcBorders>
            <w:vAlign w:val="bottom"/>
          </w:tcPr>
          <w:p w14:paraId="0DC9C963"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top w:val="single" w:sz="4" w:space="0" w:color="000000"/>
            </w:tcBorders>
            <w:vAlign w:val="bottom"/>
          </w:tcPr>
          <w:p w14:paraId="113F982F"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top w:val="single" w:sz="4" w:space="0" w:color="000000"/>
            </w:tcBorders>
            <w:vAlign w:val="bottom"/>
          </w:tcPr>
          <w:p w14:paraId="4FBE05E9"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796" w:type="dxa"/>
            <w:tcBorders>
              <w:top w:val="single" w:sz="4" w:space="0" w:color="000000"/>
            </w:tcBorders>
            <w:vAlign w:val="bottom"/>
          </w:tcPr>
          <w:p w14:paraId="47F59662" w14:textId="77777777" w:rsidR="008E5DE4" w:rsidRDefault="008E5DE4">
            <w:pPr>
              <w:widowControl w:val="0"/>
              <w:pBdr>
                <w:top w:val="nil"/>
                <w:left w:val="nil"/>
                <w:bottom w:val="nil"/>
                <w:right w:val="nil"/>
                <w:between w:val="nil"/>
              </w:pBdr>
              <w:spacing w:line="228" w:lineRule="auto"/>
              <w:ind w:left="-113"/>
              <w:jc w:val="right"/>
              <w:rPr>
                <w:b/>
                <w:color w:val="000000"/>
              </w:rPr>
            </w:pPr>
          </w:p>
        </w:tc>
      </w:tr>
      <w:tr w:rsidR="008E5DE4" w14:paraId="7954B227" w14:textId="77777777">
        <w:trPr>
          <w:cantSplit/>
        </w:trPr>
        <w:tc>
          <w:tcPr>
            <w:tcW w:w="2778" w:type="dxa"/>
            <w:vAlign w:val="bottom"/>
          </w:tcPr>
          <w:p w14:paraId="43D46DEC" w14:textId="77777777" w:rsidR="008E5DE4" w:rsidRDefault="00780368">
            <w:pPr>
              <w:widowControl w:val="0"/>
              <w:pBdr>
                <w:top w:val="nil"/>
                <w:left w:val="nil"/>
                <w:bottom w:val="nil"/>
                <w:right w:val="nil"/>
                <w:between w:val="nil"/>
              </w:pBdr>
              <w:spacing w:line="228" w:lineRule="auto"/>
              <w:ind w:left="113" w:right="-57" w:hanging="113"/>
              <w:rPr>
                <w:b/>
                <w:smallCaps/>
                <w:color w:val="000000"/>
              </w:rPr>
            </w:pPr>
            <w:r>
              <w:rPr>
                <w:b/>
                <w:smallCaps/>
                <w:color w:val="000000"/>
              </w:rPr>
              <w:t xml:space="preserve">TOTAL ASSETS RECURRING FAIR VALUE MEASUREMENTS </w:t>
            </w:r>
            <w:proofErr w:type="gramStart"/>
            <w:r>
              <w:rPr>
                <w:b/>
                <w:smallCaps/>
                <w:color w:val="000000"/>
              </w:rPr>
              <w:t>AT</w:t>
            </w:r>
            <w:proofErr w:type="gramEnd"/>
            <w:r>
              <w:rPr>
                <w:b/>
                <w:smallCaps/>
                <w:color w:val="000000"/>
              </w:rPr>
              <w:t xml:space="preserve"> 31 DECEMBER</w:t>
            </w:r>
          </w:p>
        </w:tc>
        <w:tc>
          <w:tcPr>
            <w:tcW w:w="850" w:type="dxa"/>
            <w:vAlign w:val="bottom"/>
          </w:tcPr>
          <w:p w14:paraId="4789C974"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851" w:type="dxa"/>
            <w:vAlign w:val="bottom"/>
          </w:tcPr>
          <w:p w14:paraId="0C02555D"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851" w:type="dxa"/>
            <w:vAlign w:val="bottom"/>
          </w:tcPr>
          <w:p w14:paraId="50918BAE"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712" w:type="dxa"/>
            <w:vAlign w:val="bottom"/>
          </w:tcPr>
          <w:p w14:paraId="7AA86335"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851" w:type="dxa"/>
            <w:vAlign w:val="bottom"/>
          </w:tcPr>
          <w:p w14:paraId="28F2CFA8"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851" w:type="dxa"/>
            <w:vAlign w:val="bottom"/>
          </w:tcPr>
          <w:p w14:paraId="06152CFD"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851" w:type="dxa"/>
            <w:vAlign w:val="bottom"/>
          </w:tcPr>
          <w:p w14:paraId="756B87ED"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c>
          <w:tcPr>
            <w:tcW w:w="796" w:type="dxa"/>
            <w:vAlign w:val="bottom"/>
          </w:tcPr>
          <w:p w14:paraId="394A7AC5" w14:textId="77777777" w:rsidR="008E5DE4" w:rsidRDefault="008E5DE4">
            <w:pPr>
              <w:widowControl w:val="0"/>
              <w:pBdr>
                <w:top w:val="nil"/>
                <w:left w:val="nil"/>
                <w:bottom w:val="nil"/>
                <w:right w:val="nil"/>
                <w:between w:val="nil"/>
              </w:pBdr>
              <w:spacing w:line="228" w:lineRule="auto"/>
              <w:ind w:left="-113"/>
              <w:jc w:val="right"/>
              <w:rPr>
                <w:b/>
                <w:smallCaps/>
                <w:color w:val="000000"/>
              </w:rPr>
            </w:pPr>
          </w:p>
        </w:tc>
      </w:tr>
      <w:tr w:rsidR="008E5DE4" w14:paraId="3A87408E" w14:textId="77777777">
        <w:trPr>
          <w:cantSplit/>
        </w:trPr>
        <w:tc>
          <w:tcPr>
            <w:tcW w:w="2778" w:type="dxa"/>
            <w:tcBorders>
              <w:bottom w:val="single" w:sz="12" w:space="0" w:color="000000"/>
            </w:tcBorders>
            <w:vAlign w:val="bottom"/>
          </w:tcPr>
          <w:p w14:paraId="41437329" w14:textId="77777777" w:rsidR="008E5DE4" w:rsidRDefault="00780368">
            <w:pPr>
              <w:widowControl w:val="0"/>
              <w:spacing w:line="228" w:lineRule="auto"/>
              <w:ind w:left="113" w:right="-57" w:hanging="113"/>
            </w:pPr>
            <w:r>
              <w:rPr>
                <w:color w:val="0000FF"/>
              </w:rPr>
              <w:t> </w:t>
            </w:r>
          </w:p>
        </w:tc>
        <w:tc>
          <w:tcPr>
            <w:tcW w:w="850" w:type="dxa"/>
            <w:tcBorders>
              <w:bottom w:val="single" w:sz="12" w:space="0" w:color="000000"/>
            </w:tcBorders>
            <w:vAlign w:val="bottom"/>
          </w:tcPr>
          <w:p w14:paraId="53A5C270"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bottom w:val="single" w:sz="12" w:space="0" w:color="000000"/>
            </w:tcBorders>
            <w:vAlign w:val="bottom"/>
          </w:tcPr>
          <w:p w14:paraId="192114A9"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bottom w:val="single" w:sz="12" w:space="0" w:color="000000"/>
            </w:tcBorders>
            <w:vAlign w:val="bottom"/>
          </w:tcPr>
          <w:p w14:paraId="2522664C"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712" w:type="dxa"/>
            <w:tcBorders>
              <w:bottom w:val="single" w:sz="12" w:space="0" w:color="000000"/>
            </w:tcBorders>
            <w:vAlign w:val="bottom"/>
          </w:tcPr>
          <w:p w14:paraId="33BB2F5A"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bottom w:val="single" w:sz="12" w:space="0" w:color="000000"/>
            </w:tcBorders>
            <w:vAlign w:val="bottom"/>
          </w:tcPr>
          <w:p w14:paraId="2F145CF3"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bottom w:val="single" w:sz="12" w:space="0" w:color="000000"/>
            </w:tcBorders>
            <w:vAlign w:val="bottom"/>
          </w:tcPr>
          <w:p w14:paraId="3B3E942B"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851" w:type="dxa"/>
            <w:tcBorders>
              <w:bottom w:val="single" w:sz="12" w:space="0" w:color="000000"/>
            </w:tcBorders>
            <w:vAlign w:val="bottom"/>
          </w:tcPr>
          <w:p w14:paraId="6AC710CE" w14:textId="77777777" w:rsidR="008E5DE4" w:rsidRDefault="008E5DE4">
            <w:pPr>
              <w:widowControl w:val="0"/>
              <w:pBdr>
                <w:top w:val="nil"/>
                <w:left w:val="nil"/>
                <w:bottom w:val="nil"/>
                <w:right w:val="nil"/>
                <w:between w:val="nil"/>
              </w:pBdr>
              <w:spacing w:line="228" w:lineRule="auto"/>
              <w:ind w:left="-113"/>
              <w:jc w:val="right"/>
              <w:rPr>
                <w:b/>
                <w:color w:val="000000"/>
              </w:rPr>
            </w:pPr>
          </w:p>
        </w:tc>
        <w:tc>
          <w:tcPr>
            <w:tcW w:w="796" w:type="dxa"/>
            <w:tcBorders>
              <w:bottom w:val="single" w:sz="12" w:space="0" w:color="000000"/>
            </w:tcBorders>
            <w:vAlign w:val="bottom"/>
          </w:tcPr>
          <w:p w14:paraId="71DCB135" w14:textId="77777777" w:rsidR="008E5DE4" w:rsidRDefault="008E5DE4">
            <w:pPr>
              <w:widowControl w:val="0"/>
              <w:pBdr>
                <w:top w:val="nil"/>
                <w:left w:val="nil"/>
                <w:bottom w:val="nil"/>
                <w:right w:val="nil"/>
                <w:between w:val="nil"/>
              </w:pBdr>
              <w:spacing w:line="228" w:lineRule="auto"/>
              <w:ind w:left="-113"/>
              <w:jc w:val="right"/>
              <w:rPr>
                <w:b/>
                <w:color w:val="000000"/>
              </w:rPr>
            </w:pPr>
          </w:p>
        </w:tc>
      </w:tr>
      <w:tr w:rsidR="008E5DE4" w14:paraId="7A75DA51" w14:textId="77777777">
        <w:trPr>
          <w:cantSplit/>
        </w:trPr>
        <w:tc>
          <w:tcPr>
            <w:tcW w:w="2778" w:type="dxa"/>
            <w:vAlign w:val="bottom"/>
          </w:tcPr>
          <w:p w14:paraId="71C45CA0" w14:textId="77777777" w:rsidR="008E5DE4" w:rsidRDefault="00780368">
            <w:pPr>
              <w:widowControl w:val="0"/>
              <w:pBdr>
                <w:top w:val="nil"/>
                <w:left w:val="nil"/>
                <w:bottom w:val="nil"/>
                <w:right w:val="nil"/>
                <w:between w:val="nil"/>
              </w:pBdr>
              <w:spacing w:line="228" w:lineRule="auto"/>
              <w:ind w:left="113" w:right="-57" w:hanging="113"/>
              <w:rPr>
                <w:b/>
                <w:smallCaps/>
                <w:color w:val="000000"/>
              </w:rPr>
            </w:pPr>
            <w:r>
              <w:rPr>
                <w:b/>
                <w:color w:val="0000FF"/>
              </w:rPr>
              <w:t> </w:t>
            </w:r>
          </w:p>
        </w:tc>
        <w:tc>
          <w:tcPr>
            <w:tcW w:w="850" w:type="dxa"/>
            <w:vAlign w:val="bottom"/>
          </w:tcPr>
          <w:p w14:paraId="15226C8D" w14:textId="77777777" w:rsidR="008E5DE4" w:rsidRDefault="008E5DE4">
            <w:pPr>
              <w:widowControl w:val="0"/>
              <w:pBdr>
                <w:top w:val="nil"/>
                <w:left w:val="nil"/>
                <w:bottom w:val="nil"/>
                <w:right w:val="nil"/>
                <w:between w:val="nil"/>
              </w:pBdr>
              <w:spacing w:line="228" w:lineRule="auto"/>
              <w:jc w:val="right"/>
              <w:rPr>
                <w:smallCaps/>
                <w:color w:val="000000"/>
              </w:rPr>
            </w:pPr>
          </w:p>
        </w:tc>
        <w:tc>
          <w:tcPr>
            <w:tcW w:w="851" w:type="dxa"/>
            <w:vAlign w:val="bottom"/>
          </w:tcPr>
          <w:p w14:paraId="64AB0B9A"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10E8FD7F"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712" w:type="dxa"/>
            <w:vAlign w:val="bottom"/>
          </w:tcPr>
          <w:p w14:paraId="5551AFDA"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39D4194F"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18DBC0BF"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417E1915"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796" w:type="dxa"/>
            <w:vAlign w:val="bottom"/>
          </w:tcPr>
          <w:p w14:paraId="1D950F3A" w14:textId="77777777" w:rsidR="008E5DE4" w:rsidRDefault="008E5DE4">
            <w:pPr>
              <w:widowControl w:val="0"/>
              <w:pBdr>
                <w:top w:val="nil"/>
                <w:left w:val="nil"/>
                <w:bottom w:val="nil"/>
                <w:right w:val="nil"/>
                <w:between w:val="nil"/>
              </w:pBdr>
              <w:spacing w:line="228" w:lineRule="auto"/>
              <w:jc w:val="right"/>
              <w:rPr>
                <w:b/>
                <w:smallCaps/>
                <w:color w:val="000000"/>
              </w:rPr>
            </w:pPr>
          </w:p>
        </w:tc>
      </w:tr>
      <w:tr w:rsidR="008E5DE4" w14:paraId="030B1D81" w14:textId="77777777">
        <w:trPr>
          <w:cantSplit/>
        </w:trPr>
        <w:tc>
          <w:tcPr>
            <w:tcW w:w="2778" w:type="dxa"/>
            <w:vAlign w:val="bottom"/>
          </w:tcPr>
          <w:p w14:paraId="164542C0" w14:textId="77777777" w:rsidR="008E5DE4" w:rsidRDefault="00780368">
            <w:pPr>
              <w:widowControl w:val="0"/>
              <w:pBdr>
                <w:top w:val="nil"/>
                <w:left w:val="nil"/>
                <w:bottom w:val="nil"/>
                <w:right w:val="nil"/>
                <w:between w:val="nil"/>
              </w:pBdr>
              <w:spacing w:line="228" w:lineRule="auto"/>
              <w:ind w:left="113" w:right="-57" w:hanging="113"/>
              <w:rPr>
                <w:b/>
                <w:smallCaps/>
                <w:color w:val="000000"/>
              </w:rPr>
            </w:pPr>
            <w:r>
              <w:rPr>
                <w:b/>
                <w:smallCaps/>
                <w:color w:val="000000"/>
              </w:rPr>
              <w:t xml:space="preserve">FINANCIAL LIABILITIES </w:t>
            </w:r>
          </w:p>
        </w:tc>
        <w:tc>
          <w:tcPr>
            <w:tcW w:w="850" w:type="dxa"/>
            <w:vAlign w:val="bottom"/>
          </w:tcPr>
          <w:p w14:paraId="7A1E73D2" w14:textId="77777777" w:rsidR="008E5DE4" w:rsidRDefault="008E5DE4">
            <w:pPr>
              <w:widowControl w:val="0"/>
              <w:pBdr>
                <w:top w:val="nil"/>
                <w:left w:val="nil"/>
                <w:bottom w:val="nil"/>
                <w:right w:val="nil"/>
                <w:between w:val="nil"/>
              </w:pBdr>
              <w:spacing w:line="228" w:lineRule="auto"/>
              <w:jc w:val="right"/>
              <w:rPr>
                <w:smallCaps/>
                <w:color w:val="000000"/>
              </w:rPr>
            </w:pPr>
          </w:p>
        </w:tc>
        <w:tc>
          <w:tcPr>
            <w:tcW w:w="851" w:type="dxa"/>
            <w:vAlign w:val="bottom"/>
          </w:tcPr>
          <w:p w14:paraId="7D4E48B4"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3F4826B0"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712" w:type="dxa"/>
            <w:vAlign w:val="bottom"/>
          </w:tcPr>
          <w:p w14:paraId="4E010D2C"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196325A8"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0BA85B40"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54C16916"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796" w:type="dxa"/>
            <w:vAlign w:val="bottom"/>
          </w:tcPr>
          <w:p w14:paraId="1AE94BBC" w14:textId="77777777" w:rsidR="008E5DE4" w:rsidRDefault="008E5DE4">
            <w:pPr>
              <w:widowControl w:val="0"/>
              <w:pBdr>
                <w:top w:val="nil"/>
                <w:left w:val="nil"/>
                <w:bottom w:val="nil"/>
                <w:right w:val="nil"/>
                <w:between w:val="nil"/>
              </w:pBdr>
              <w:spacing w:line="228" w:lineRule="auto"/>
              <w:jc w:val="right"/>
              <w:rPr>
                <w:b/>
                <w:smallCaps/>
                <w:color w:val="000000"/>
              </w:rPr>
            </w:pPr>
          </w:p>
        </w:tc>
      </w:tr>
      <w:tr w:rsidR="008E5DE4" w14:paraId="5655407F" w14:textId="77777777">
        <w:trPr>
          <w:cantSplit/>
        </w:trPr>
        <w:tc>
          <w:tcPr>
            <w:tcW w:w="2778" w:type="dxa"/>
            <w:vAlign w:val="bottom"/>
          </w:tcPr>
          <w:p w14:paraId="5C7785CC" w14:textId="77777777" w:rsidR="008E5DE4" w:rsidRDefault="008E5DE4">
            <w:pPr>
              <w:widowControl w:val="0"/>
              <w:pBdr>
                <w:top w:val="nil"/>
                <w:left w:val="nil"/>
                <w:bottom w:val="nil"/>
                <w:right w:val="nil"/>
                <w:between w:val="nil"/>
              </w:pBdr>
              <w:spacing w:line="228" w:lineRule="auto"/>
              <w:ind w:left="113" w:right="-57" w:hanging="113"/>
              <w:rPr>
                <w:b/>
                <w:smallCaps/>
                <w:color w:val="000000"/>
              </w:rPr>
            </w:pPr>
          </w:p>
        </w:tc>
        <w:tc>
          <w:tcPr>
            <w:tcW w:w="850" w:type="dxa"/>
            <w:vAlign w:val="bottom"/>
          </w:tcPr>
          <w:p w14:paraId="7054DC31" w14:textId="77777777" w:rsidR="008E5DE4" w:rsidRDefault="008E5DE4">
            <w:pPr>
              <w:widowControl w:val="0"/>
              <w:pBdr>
                <w:top w:val="nil"/>
                <w:left w:val="nil"/>
                <w:bottom w:val="nil"/>
                <w:right w:val="nil"/>
                <w:between w:val="nil"/>
              </w:pBdr>
              <w:spacing w:line="228" w:lineRule="auto"/>
              <w:jc w:val="right"/>
              <w:rPr>
                <w:smallCaps/>
                <w:color w:val="000000"/>
              </w:rPr>
            </w:pPr>
          </w:p>
        </w:tc>
        <w:tc>
          <w:tcPr>
            <w:tcW w:w="851" w:type="dxa"/>
            <w:vAlign w:val="bottom"/>
          </w:tcPr>
          <w:p w14:paraId="02904907"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744E4384"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712" w:type="dxa"/>
            <w:vAlign w:val="bottom"/>
          </w:tcPr>
          <w:p w14:paraId="79812513"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6A784010"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223E90E3"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55491D98"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796" w:type="dxa"/>
            <w:vAlign w:val="bottom"/>
          </w:tcPr>
          <w:p w14:paraId="710134D8" w14:textId="77777777" w:rsidR="008E5DE4" w:rsidRDefault="008E5DE4">
            <w:pPr>
              <w:widowControl w:val="0"/>
              <w:pBdr>
                <w:top w:val="nil"/>
                <w:left w:val="nil"/>
                <w:bottom w:val="nil"/>
                <w:right w:val="nil"/>
                <w:between w:val="nil"/>
              </w:pBdr>
              <w:spacing w:line="228" w:lineRule="auto"/>
              <w:jc w:val="right"/>
              <w:rPr>
                <w:b/>
                <w:smallCaps/>
                <w:color w:val="000000"/>
              </w:rPr>
            </w:pPr>
          </w:p>
        </w:tc>
      </w:tr>
      <w:tr w:rsidR="008E5DE4" w14:paraId="1B8C4287" w14:textId="77777777">
        <w:trPr>
          <w:cantSplit/>
        </w:trPr>
        <w:tc>
          <w:tcPr>
            <w:tcW w:w="2778" w:type="dxa"/>
            <w:vAlign w:val="bottom"/>
          </w:tcPr>
          <w:p w14:paraId="1F98360F"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 xml:space="preserve">Other financial liabilities </w:t>
            </w:r>
          </w:p>
        </w:tc>
        <w:tc>
          <w:tcPr>
            <w:tcW w:w="850" w:type="dxa"/>
            <w:vAlign w:val="bottom"/>
          </w:tcPr>
          <w:p w14:paraId="2D5EA2D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299A6D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BA32BD2" w14:textId="77777777" w:rsidR="008E5DE4" w:rsidRDefault="008E5DE4">
            <w:pPr>
              <w:widowControl w:val="0"/>
              <w:pBdr>
                <w:top w:val="nil"/>
                <w:left w:val="nil"/>
                <w:bottom w:val="nil"/>
                <w:right w:val="nil"/>
                <w:between w:val="nil"/>
              </w:pBdr>
              <w:spacing w:line="228" w:lineRule="auto"/>
              <w:jc w:val="right"/>
              <w:rPr>
                <w:color w:val="000000"/>
              </w:rPr>
            </w:pPr>
          </w:p>
        </w:tc>
        <w:tc>
          <w:tcPr>
            <w:tcW w:w="712" w:type="dxa"/>
            <w:vAlign w:val="bottom"/>
          </w:tcPr>
          <w:p w14:paraId="3DD518B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3210C7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5E782E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D968E32" w14:textId="77777777" w:rsidR="008E5DE4" w:rsidRDefault="008E5DE4">
            <w:pPr>
              <w:widowControl w:val="0"/>
              <w:pBdr>
                <w:top w:val="nil"/>
                <w:left w:val="nil"/>
                <w:bottom w:val="nil"/>
                <w:right w:val="nil"/>
                <w:between w:val="nil"/>
              </w:pBdr>
              <w:spacing w:line="228" w:lineRule="auto"/>
              <w:jc w:val="right"/>
              <w:rPr>
                <w:color w:val="000000"/>
              </w:rPr>
            </w:pPr>
          </w:p>
        </w:tc>
        <w:tc>
          <w:tcPr>
            <w:tcW w:w="796" w:type="dxa"/>
            <w:vAlign w:val="bottom"/>
          </w:tcPr>
          <w:p w14:paraId="43D9F4A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0D3D88C" w14:textId="77777777">
        <w:trPr>
          <w:cantSplit/>
        </w:trPr>
        <w:tc>
          <w:tcPr>
            <w:tcW w:w="2778" w:type="dxa"/>
            <w:vAlign w:val="bottom"/>
          </w:tcPr>
          <w:p w14:paraId="6EE0F8ED"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Foreign exchange forward contracts</w:t>
            </w:r>
          </w:p>
        </w:tc>
        <w:tc>
          <w:tcPr>
            <w:tcW w:w="850" w:type="dxa"/>
            <w:vAlign w:val="bottom"/>
          </w:tcPr>
          <w:p w14:paraId="47BA8BA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A8CE46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A242A79" w14:textId="77777777" w:rsidR="008E5DE4" w:rsidRDefault="008E5DE4">
            <w:pPr>
              <w:widowControl w:val="0"/>
              <w:pBdr>
                <w:top w:val="nil"/>
                <w:left w:val="nil"/>
                <w:bottom w:val="nil"/>
                <w:right w:val="nil"/>
                <w:between w:val="nil"/>
              </w:pBdr>
              <w:spacing w:line="228" w:lineRule="auto"/>
              <w:jc w:val="right"/>
              <w:rPr>
                <w:color w:val="000000"/>
              </w:rPr>
            </w:pPr>
          </w:p>
        </w:tc>
        <w:tc>
          <w:tcPr>
            <w:tcW w:w="712" w:type="dxa"/>
            <w:vAlign w:val="bottom"/>
          </w:tcPr>
          <w:p w14:paraId="087E4DF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08270D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730066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8737C74" w14:textId="77777777" w:rsidR="008E5DE4" w:rsidRDefault="008E5DE4">
            <w:pPr>
              <w:widowControl w:val="0"/>
              <w:pBdr>
                <w:top w:val="nil"/>
                <w:left w:val="nil"/>
                <w:bottom w:val="nil"/>
                <w:right w:val="nil"/>
                <w:between w:val="nil"/>
              </w:pBdr>
              <w:spacing w:line="228" w:lineRule="auto"/>
              <w:jc w:val="right"/>
              <w:rPr>
                <w:color w:val="000000"/>
              </w:rPr>
            </w:pPr>
          </w:p>
        </w:tc>
        <w:tc>
          <w:tcPr>
            <w:tcW w:w="796" w:type="dxa"/>
            <w:vAlign w:val="bottom"/>
          </w:tcPr>
          <w:p w14:paraId="317A6DD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1DA8396" w14:textId="77777777">
        <w:trPr>
          <w:cantSplit/>
        </w:trPr>
        <w:tc>
          <w:tcPr>
            <w:tcW w:w="2778" w:type="dxa"/>
            <w:vAlign w:val="bottom"/>
          </w:tcPr>
          <w:p w14:paraId="1A2742B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Other derivative financial instruments</w:t>
            </w:r>
          </w:p>
        </w:tc>
        <w:tc>
          <w:tcPr>
            <w:tcW w:w="850" w:type="dxa"/>
            <w:vAlign w:val="bottom"/>
          </w:tcPr>
          <w:p w14:paraId="6F37F1E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047E8F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1C0E820" w14:textId="77777777" w:rsidR="008E5DE4" w:rsidRDefault="008E5DE4">
            <w:pPr>
              <w:widowControl w:val="0"/>
              <w:pBdr>
                <w:top w:val="nil"/>
                <w:left w:val="nil"/>
                <w:bottom w:val="nil"/>
                <w:right w:val="nil"/>
                <w:between w:val="nil"/>
              </w:pBdr>
              <w:spacing w:line="228" w:lineRule="auto"/>
              <w:jc w:val="right"/>
              <w:rPr>
                <w:color w:val="000000"/>
              </w:rPr>
            </w:pPr>
          </w:p>
        </w:tc>
        <w:tc>
          <w:tcPr>
            <w:tcW w:w="712" w:type="dxa"/>
            <w:vAlign w:val="bottom"/>
          </w:tcPr>
          <w:p w14:paraId="10960DC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79AA85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337E0E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1BCB21A" w14:textId="77777777" w:rsidR="008E5DE4" w:rsidRDefault="008E5DE4">
            <w:pPr>
              <w:widowControl w:val="0"/>
              <w:pBdr>
                <w:top w:val="nil"/>
                <w:left w:val="nil"/>
                <w:bottom w:val="nil"/>
                <w:right w:val="nil"/>
                <w:between w:val="nil"/>
              </w:pBdr>
              <w:spacing w:line="228" w:lineRule="auto"/>
              <w:jc w:val="right"/>
              <w:rPr>
                <w:color w:val="000000"/>
              </w:rPr>
            </w:pPr>
          </w:p>
        </w:tc>
        <w:tc>
          <w:tcPr>
            <w:tcW w:w="796" w:type="dxa"/>
            <w:vAlign w:val="bottom"/>
          </w:tcPr>
          <w:p w14:paraId="3F09464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B3B04B1" w14:textId="77777777">
        <w:trPr>
          <w:cantSplit/>
        </w:trPr>
        <w:tc>
          <w:tcPr>
            <w:tcW w:w="2778" w:type="dxa"/>
            <w:vAlign w:val="bottom"/>
          </w:tcPr>
          <w:p w14:paraId="16F7084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Other financial liabilities at FV</w:t>
            </w:r>
          </w:p>
        </w:tc>
        <w:tc>
          <w:tcPr>
            <w:tcW w:w="850" w:type="dxa"/>
            <w:vAlign w:val="bottom"/>
          </w:tcPr>
          <w:p w14:paraId="1E047BA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D07BD6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CFA2A88" w14:textId="77777777" w:rsidR="008E5DE4" w:rsidRDefault="008E5DE4">
            <w:pPr>
              <w:widowControl w:val="0"/>
              <w:pBdr>
                <w:top w:val="nil"/>
                <w:left w:val="nil"/>
                <w:bottom w:val="nil"/>
                <w:right w:val="nil"/>
                <w:between w:val="nil"/>
              </w:pBdr>
              <w:spacing w:line="228" w:lineRule="auto"/>
              <w:jc w:val="right"/>
              <w:rPr>
                <w:color w:val="000000"/>
              </w:rPr>
            </w:pPr>
          </w:p>
        </w:tc>
        <w:tc>
          <w:tcPr>
            <w:tcW w:w="712" w:type="dxa"/>
            <w:vAlign w:val="bottom"/>
          </w:tcPr>
          <w:p w14:paraId="443E5E8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7BD209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D97CF2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3F372B2" w14:textId="77777777" w:rsidR="008E5DE4" w:rsidRDefault="008E5DE4">
            <w:pPr>
              <w:widowControl w:val="0"/>
              <w:pBdr>
                <w:top w:val="nil"/>
                <w:left w:val="nil"/>
                <w:bottom w:val="nil"/>
                <w:right w:val="nil"/>
                <w:between w:val="nil"/>
              </w:pBdr>
              <w:spacing w:line="228" w:lineRule="auto"/>
              <w:jc w:val="right"/>
              <w:rPr>
                <w:color w:val="000000"/>
              </w:rPr>
            </w:pPr>
          </w:p>
        </w:tc>
        <w:tc>
          <w:tcPr>
            <w:tcW w:w="796" w:type="dxa"/>
            <w:vAlign w:val="bottom"/>
          </w:tcPr>
          <w:p w14:paraId="0D83FAD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E806EC8" w14:textId="77777777">
        <w:trPr>
          <w:cantSplit/>
        </w:trPr>
        <w:tc>
          <w:tcPr>
            <w:tcW w:w="2778" w:type="dxa"/>
            <w:tcBorders>
              <w:bottom w:val="single" w:sz="4" w:space="0" w:color="000000"/>
            </w:tcBorders>
            <w:vAlign w:val="bottom"/>
          </w:tcPr>
          <w:p w14:paraId="422FB41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FF"/>
              </w:rPr>
              <w:t> </w:t>
            </w:r>
          </w:p>
        </w:tc>
        <w:tc>
          <w:tcPr>
            <w:tcW w:w="850" w:type="dxa"/>
            <w:tcBorders>
              <w:bottom w:val="single" w:sz="4" w:space="0" w:color="000000"/>
            </w:tcBorders>
            <w:vAlign w:val="bottom"/>
          </w:tcPr>
          <w:p w14:paraId="3B1BF21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3A23A7F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04EE6986" w14:textId="77777777" w:rsidR="008E5DE4" w:rsidRDefault="008E5DE4">
            <w:pPr>
              <w:widowControl w:val="0"/>
              <w:pBdr>
                <w:top w:val="nil"/>
                <w:left w:val="nil"/>
                <w:bottom w:val="nil"/>
                <w:right w:val="nil"/>
                <w:between w:val="nil"/>
              </w:pBdr>
              <w:spacing w:line="228" w:lineRule="auto"/>
              <w:jc w:val="right"/>
              <w:rPr>
                <w:color w:val="000000"/>
              </w:rPr>
            </w:pPr>
          </w:p>
        </w:tc>
        <w:tc>
          <w:tcPr>
            <w:tcW w:w="712" w:type="dxa"/>
            <w:tcBorders>
              <w:bottom w:val="single" w:sz="4" w:space="0" w:color="000000"/>
            </w:tcBorders>
            <w:vAlign w:val="bottom"/>
          </w:tcPr>
          <w:p w14:paraId="4952EA2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0CEDEE6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1EDEBDA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621E9545" w14:textId="77777777" w:rsidR="008E5DE4" w:rsidRDefault="008E5DE4">
            <w:pPr>
              <w:widowControl w:val="0"/>
              <w:pBdr>
                <w:top w:val="nil"/>
                <w:left w:val="nil"/>
                <w:bottom w:val="nil"/>
                <w:right w:val="nil"/>
                <w:between w:val="nil"/>
              </w:pBdr>
              <w:spacing w:line="228" w:lineRule="auto"/>
              <w:jc w:val="right"/>
              <w:rPr>
                <w:color w:val="000000"/>
              </w:rPr>
            </w:pPr>
          </w:p>
        </w:tc>
        <w:tc>
          <w:tcPr>
            <w:tcW w:w="796" w:type="dxa"/>
            <w:tcBorders>
              <w:bottom w:val="single" w:sz="4" w:space="0" w:color="000000"/>
            </w:tcBorders>
            <w:vAlign w:val="bottom"/>
          </w:tcPr>
          <w:p w14:paraId="4A515D9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2EB1598" w14:textId="77777777">
        <w:trPr>
          <w:cantSplit/>
        </w:trPr>
        <w:tc>
          <w:tcPr>
            <w:tcW w:w="2778" w:type="dxa"/>
            <w:vAlign w:val="bottom"/>
          </w:tcPr>
          <w:p w14:paraId="1026AAFA"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FF"/>
              </w:rPr>
              <w:t> </w:t>
            </w:r>
          </w:p>
        </w:tc>
        <w:tc>
          <w:tcPr>
            <w:tcW w:w="850" w:type="dxa"/>
            <w:vAlign w:val="bottom"/>
          </w:tcPr>
          <w:p w14:paraId="3679F4C4" w14:textId="77777777" w:rsidR="008E5DE4" w:rsidRDefault="008E5DE4">
            <w:pPr>
              <w:widowControl w:val="0"/>
              <w:pBdr>
                <w:top w:val="nil"/>
                <w:left w:val="nil"/>
                <w:bottom w:val="nil"/>
                <w:right w:val="nil"/>
                <w:between w:val="nil"/>
              </w:pBdr>
              <w:spacing w:line="228" w:lineRule="auto"/>
              <w:jc w:val="right"/>
              <w:rPr>
                <w:b/>
                <w:color w:val="000000"/>
              </w:rPr>
            </w:pPr>
          </w:p>
        </w:tc>
        <w:tc>
          <w:tcPr>
            <w:tcW w:w="851" w:type="dxa"/>
            <w:vAlign w:val="bottom"/>
          </w:tcPr>
          <w:p w14:paraId="7FAFC2AA" w14:textId="77777777" w:rsidR="008E5DE4" w:rsidRDefault="008E5DE4">
            <w:pPr>
              <w:widowControl w:val="0"/>
              <w:pBdr>
                <w:top w:val="nil"/>
                <w:left w:val="nil"/>
                <w:bottom w:val="nil"/>
                <w:right w:val="nil"/>
                <w:between w:val="nil"/>
              </w:pBdr>
              <w:spacing w:line="228" w:lineRule="auto"/>
              <w:jc w:val="right"/>
              <w:rPr>
                <w:b/>
                <w:color w:val="000000"/>
              </w:rPr>
            </w:pPr>
          </w:p>
        </w:tc>
        <w:tc>
          <w:tcPr>
            <w:tcW w:w="851" w:type="dxa"/>
            <w:vAlign w:val="bottom"/>
          </w:tcPr>
          <w:p w14:paraId="14CBEE32" w14:textId="77777777" w:rsidR="008E5DE4" w:rsidRDefault="008E5DE4">
            <w:pPr>
              <w:widowControl w:val="0"/>
              <w:pBdr>
                <w:top w:val="nil"/>
                <w:left w:val="nil"/>
                <w:bottom w:val="nil"/>
                <w:right w:val="nil"/>
                <w:between w:val="nil"/>
              </w:pBdr>
              <w:spacing w:line="228" w:lineRule="auto"/>
              <w:jc w:val="right"/>
              <w:rPr>
                <w:b/>
                <w:color w:val="000000"/>
              </w:rPr>
            </w:pPr>
          </w:p>
        </w:tc>
        <w:tc>
          <w:tcPr>
            <w:tcW w:w="712" w:type="dxa"/>
            <w:tcBorders>
              <w:top w:val="single" w:sz="4" w:space="0" w:color="000000"/>
            </w:tcBorders>
            <w:vAlign w:val="bottom"/>
          </w:tcPr>
          <w:p w14:paraId="6E7DA025" w14:textId="77777777" w:rsidR="008E5DE4" w:rsidRDefault="008E5DE4">
            <w:pPr>
              <w:widowControl w:val="0"/>
              <w:pBdr>
                <w:top w:val="nil"/>
                <w:left w:val="nil"/>
                <w:bottom w:val="nil"/>
                <w:right w:val="nil"/>
                <w:between w:val="nil"/>
              </w:pBdr>
              <w:spacing w:line="228" w:lineRule="auto"/>
              <w:jc w:val="right"/>
              <w:rPr>
                <w:b/>
                <w:color w:val="000000"/>
              </w:rPr>
            </w:pPr>
          </w:p>
        </w:tc>
        <w:tc>
          <w:tcPr>
            <w:tcW w:w="851" w:type="dxa"/>
            <w:tcBorders>
              <w:top w:val="single" w:sz="4" w:space="0" w:color="000000"/>
            </w:tcBorders>
            <w:vAlign w:val="bottom"/>
          </w:tcPr>
          <w:p w14:paraId="64759D2E" w14:textId="77777777" w:rsidR="008E5DE4" w:rsidRDefault="008E5DE4">
            <w:pPr>
              <w:widowControl w:val="0"/>
              <w:pBdr>
                <w:top w:val="nil"/>
                <w:left w:val="nil"/>
                <w:bottom w:val="nil"/>
                <w:right w:val="nil"/>
                <w:between w:val="nil"/>
              </w:pBdr>
              <w:spacing w:line="228" w:lineRule="auto"/>
              <w:jc w:val="right"/>
              <w:rPr>
                <w:b/>
                <w:color w:val="000000"/>
              </w:rPr>
            </w:pPr>
          </w:p>
        </w:tc>
        <w:tc>
          <w:tcPr>
            <w:tcW w:w="851" w:type="dxa"/>
            <w:tcBorders>
              <w:top w:val="single" w:sz="4" w:space="0" w:color="000000"/>
            </w:tcBorders>
            <w:vAlign w:val="bottom"/>
          </w:tcPr>
          <w:p w14:paraId="0F1BE3BA" w14:textId="77777777" w:rsidR="008E5DE4" w:rsidRDefault="008E5DE4">
            <w:pPr>
              <w:widowControl w:val="0"/>
              <w:pBdr>
                <w:top w:val="nil"/>
                <w:left w:val="nil"/>
                <w:bottom w:val="nil"/>
                <w:right w:val="nil"/>
                <w:between w:val="nil"/>
              </w:pBdr>
              <w:spacing w:line="228" w:lineRule="auto"/>
              <w:jc w:val="right"/>
              <w:rPr>
                <w:b/>
                <w:color w:val="000000"/>
              </w:rPr>
            </w:pPr>
          </w:p>
        </w:tc>
        <w:tc>
          <w:tcPr>
            <w:tcW w:w="851" w:type="dxa"/>
            <w:tcBorders>
              <w:top w:val="single" w:sz="4" w:space="0" w:color="000000"/>
            </w:tcBorders>
            <w:vAlign w:val="bottom"/>
          </w:tcPr>
          <w:p w14:paraId="3BFC0D45" w14:textId="77777777" w:rsidR="008E5DE4" w:rsidRDefault="008E5DE4">
            <w:pPr>
              <w:widowControl w:val="0"/>
              <w:pBdr>
                <w:top w:val="nil"/>
                <w:left w:val="nil"/>
                <w:bottom w:val="nil"/>
                <w:right w:val="nil"/>
                <w:between w:val="nil"/>
              </w:pBdr>
              <w:spacing w:line="228" w:lineRule="auto"/>
              <w:jc w:val="right"/>
              <w:rPr>
                <w:b/>
                <w:color w:val="000000"/>
              </w:rPr>
            </w:pPr>
          </w:p>
        </w:tc>
        <w:tc>
          <w:tcPr>
            <w:tcW w:w="796" w:type="dxa"/>
            <w:tcBorders>
              <w:top w:val="single" w:sz="4" w:space="0" w:color="000000"/>
            </w:tcBorders>
            <w:vAlign w:val="bottom"/>
          </w:tcPr>
          <w:p w14:paraId="4F95DA78" w14:textId="77777777" w:rsidR="008E5DE4" w:rsidRDefault="008E5DE4">
            <w:pPr>
              <w:widowControl w:val="0"/>
              <w:pBdr>
                <w:top w:val="nil"/>
                <w:left w:val="nil"/>
                <w:bottom w:val="nil"/>
                <w:right w:val="nil"/>
                <w:between w:val="nil"/>
              </w:pBdr>
              <w:spacing w:line="228" w:lineRule="auto"/>
              <w:jc w:val="right"/>
              <w:rPr>
                <w:b/>
                <w:color w:val="000000"/>
              </w:rPr>
            </w:pPr>
          </w:p>
        </w:tc>
      </w:tr>
      <w:tr w:rsidR="008E5DE4" w14:paraId="1AE86A87" w14:textId="77777777">
        <w:trPr>
          <w:cantSplit/>
        </w:trPr>
        <w:tc>
          <w:tcPr>
            <w:tcW w:w="2778" w:type="dxa"/>
            <w:vAlign w:val="bottom"/>
          </w:tcPr>
          <w:p w14:paraId="4FA8468E" w14:textId="77777777" w:rsidR="008E5DE4" w:rsidRDefault="00780368">
            <w:pPr>
              <w:widowControl w:val="0"/>
              <w:pBdr>
                <w:top w:val="nil"/>
                <w:left w:val="nil"/>
                <w:bottom w:val="nil"/>
                <w:right w:val="nil"/>
                <w:between w:val="nil"/>
              </w:pBdr>
              <w:spacing w:line="228" w:lineRule="auto"/>
              <w:ind w:left="113" w:right="-57" w:hanging="113"/>
              <w:rPr>
                <w:b/>
                <w:smallCaps/>
                <w:color w:val="000000"/>
              </w:rPr>
            </w:pPr>
            <w:r>
              <w:rPr>
                <w:b/>
                <w:smallCaps/>
                <w:color w:val="000000"/>
              </w:rPr>
              <w:t xml:space="preserve">TOTAL LIABILITIES RECURRING FAIR VALUE MEASUREMENTS </w:t>
            </w:r>
            <w:proofErr w:type="gramStart"/>
            <w:r>
              <w:rPr>
                <w:b/>
                <w:smallCaps/>
                <w:color w:val="000000"/>
              </w:rPr>
              <w:t>AT</w:t>
            </w:r>
            <w:proofErr w:type="gramEnd"/>
            <w:r>
              <w:rPr>
                <w:b/>
                <w:smallCaps/>
                <w:color w:val="000000"/>
              </w:rPr>
              <w:t xml:space="preserve"> 31 DECEMBER</w:t>
            </w:r>
          </w:p>
        </w:tc>
        <w:tc>
          <w:tcPr>
            <w:tcW w:w="850" w:type="dxa"/>
            <w:vAlign w:val="bottom"/>
          </w:tcPr>
          <w:p w14:paraId="05A7835E"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06674F18"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44520A0F"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712" w:type="dxa"/>
            <w:vAlign w:val="bottom"/>
          </w:tcPr>
          <w:p w14:paraId="1A58C016"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59CDCF47"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4795B4FA"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554CC106"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796" w:type="dxa"/>
            <w:vAlign w:val="bottom"/>
          </w:tcPr>
          <w:p w14:paraId="7C95D3B9" w14:textId="77777777" w:rsidR="008E5DE4" w:rsidRDefault="008E5DE4">
            <w:pPr>
              <w:widowControl w:val="0"/>
              <w:pBdr>
                <w:top w:val="nil"/>
                <w:left w:val="nil"/>
                <w:bottom w:val="nil"/>
                <w:right w:val="nil"/>
                <w:between w:val="nil"/>
              </w:pBdr>
              <w:spacing w:line="228" w:lineRule="auto"/>
              <w:jc w:val="right"/>
              <w:rPr>
                <w:b/>
                <w:smallCaps/>
                <w:color w:val="000000"/>
              </w:rPr>
            </w:pPr>
          </w:p>
        </w:tc>
      </w:tr>
      <w:tr w:rsidR="008E5DE4" w14:paraId="3A9A09AF" w14:textId="77777777">
        <w:trPr>
          <w:cantSplit/>
        </w:trPr>
        <w:tc>
          <w:tcPr>
            <w:tcW w:w="2778" w:type="dxa"/>
            <w:tcBorders>
              <w:bottom w:val="single" w:sz="12" w:space="0" w:color="000000"/>
            </w:tcBorders>
            <w:vAlign w:val="bottom"/>
          </w:tcPr>
          <w:p w14:paraId="614B7C81" w14:textId="77777777" w:rsidR="008E5DE4" w:rsidRDefault="00780368">
            <w:pPr>
              <w:widowControl w:val="0"/>
              <w:pBdr>
                <w:top w:val="nil"/>
                <w:left w:val="nil"/>
                <w:bottom w:val="nil"/>
                <w:right w:val="nil"/>
                <w:between w:val="nil"/>
              </w:pBdr>
              <w:spacing w:line="228" w:lineRule="auto"/>
              <w:ind w:left="113" w:right="-57" w:hanging="113"/>
              <w:rPr>
                <w:b/>
                <w:smallCaps/>
                <w:color w:val="0000FF"/>
              </w:rPr>
            </w:pPr>
            <w:r>
              <w:rPr>
                <w:b/>
                <w:color w:val="0000FF"/>
              </w:rPr>
              <w:t> </w:t>
            </w:r>
          </w:p>
        </w:tc>
        <w:tc>
          <w:tcPr>
            <w:tcW w:w="850" w:type="dxa"/>
            <w:tcBorders>
              <w:bottom w:val="single" w:sz="12" w:space="0" w:color="000000"/>
            </w:tcBorders>
            <w:vAlign w:val="bottom"/>
          </w:tcPr>
          <w:p w14:paraId="27F45B4C" w14:textId="77777777" w:rsidR="008E5DE4" w:rsidRDefault="008E5DE4">
            <w:pPr>
              <w:widowControl w:val="0"/>
              <w:pBdr>
                <w:top w:val="nil"/>
                <w:left w:val="nil"/>
                <w:bottom w:val="nil"/>
                <w:right w:val="nil"/>
                <w:between w:val="nil"/>
              </w:pBdr>
              <w:spacing w:line="228" w:lineRule="auto"/>
              <w:jc w:val="right"/>
              <w:rPr>
                <w:b/>
                <w:smallCaps/>
                <w:color w:val="0000FF"/>
              </w:rPr>
            </w:pPr>
          </w:p>
        </w:tc>
        <w:tc>
          <w:tcPr>
            <w:tcW w:w="851" w:type="dxa"/>
            <w:tcBorders>
              <w:bottom w:val="single" w:sz="12" w:space="0" w:color="000000"/>
            </w:tcBorders>
            <w:vAlign w:val="bottom"/>
          </w:tcPr>
          <w:p w14:paraId="645F44CE" w14:textId="77777777" w:rsidR="008E5DE4" w:rsidRDefault="008E5DE4">
            <w:pPr>
              <w:widowControl w:val="0"/>
              <w:pBdr>
                <w:top w:val="nil"/>
                <w:left w:val="nil"/>
                <w:bottom w:val="nil"/>
                <w:right w:val="nil"/>
                <w:between w:val="nil"/>
              </w:pBdr>
              <w:spacing w:line="228" w:lineRule="auto"/>
              <w:jc w:val="right"/>
              <w:rPr>
                <w:b/>
                <w:smallCaps/>
                <w:color w:val="0000FF"/>
              </w:rPr>
            </w:pPr>
          </w:p>
        </w:tc>
        <w:tc>
          <w:tcPr>
            <w:tcW w:w="851" w:type="dxa"/>
            <w:tcBorders>
              <w:bottom w:val="single" w:sz="12" w:space="0" w:color="000000"/>
            </w:tcBorders>
            <w:vAlign w:val="bottom"/>
          </w:tcPr>
          <w:p w14:paraId="35DF76A4" w14:textId="77777777" w:rsidR="008E5DE4" w:rsidRDefault="008E5DE4">
            <w:pPr>
              <w:widowControl w:val="0"/>
              <w:pBdr>
                <w:top w:val="nil"/>
                <w:left w:val="nil"/>
                <w:bottom w:val="nil"/>
                <w:right w:val="nil"/>
                <w:between w:val="nil"/>
              </w:pBdr>
              <w:spacing w:line="228" w:lineRule="auto"/>
              <w:jc w:val="right"/>
              <w:rPr>
                <w:b/>
                <w:smallCaps/>
                <w:color w:val="0000FF"/>
              </w:rPr>
            </w:pPr>
          </w:p>
        </w:tc>
        <w:tc>
          <w:tcPr>
            <w:tcW w:w="712" w:type="dxa"/>
            <w:tcBorders>
              <w:bottom w:val="single" w:sz="12" w:space="0" w:color="000000"/>
            </w:tcBorders>
            <w:vAlign w:val="bottom"/>
          </w:tcPr>
          <w:p w14:paraId="58D74951" w14:textId="77777777" w:rsidR="008E5DE4" w:rsidRDefault="008E5DE4">
            <w:pPr>
              <w:widowControl w:val="0"/>
              <w:pBdr>
                <w:top w:val="nil"/>
                <w:left w:val="nil"/>
                <w:bottom w:val="nil"/>
                <w:right w:val="nil"/>
                <w:between w:val="nil"/>
              </w:pBdr>
              <w:spacing w:line="228" w:lineRule="auto"/>
              <w:jc w:val="right"/>
              <w:rPr>
                <w:b/>
                <w:smallCaps/>
                <w:color w:val="0000FF"/>
              </w:rPr>
            </w:pPr>
          </w:p>
        </w:tc>
        <w:tc>
          <w:tcPr>
            <w:tcW w:w="851" w:type="dxa"/>
            <w:tcBorders>
              <w:bottom w:val="single" w:sz="12" w:space="0" w:color="000000"/>
            </w:tcBorders>
            <w:vAlign w:val="bottom"/>
          </w:tcPr>
          <w:p w14:paraId="56249D2A" w14:textId="77777777" w:rsidR="008E5DE4" w:rsidRDefault="008E5DE4">
            <w:pPr>
              <w:widowControl w:val="0"/>
              <w:pBdr>
                <w:top w:val="nil"/>
                <w:left w:val="nil"/>
                <w:bottom w:val="nil"/>
                <w:right w:val="nil"/>
                <w:between w:val="nil"/>
              </w:pBdr>
              <w:spacing w:line="228" w:lineRule="auto"/>
              <w:jc w:val="right"/>
              <w:rPr>
                <w:b/>
                <w:smallCaps/>
                <w:color w:val="0000FF"/>
              </w:rPr>
            </w:pPr>
          </w:p>
        </w:tc>
        <w:tc>
          <w:tcPr>
            <w:tcW w:w="851" w:type="dxa"/>
            <w:tcBorders>
              <w:bottom w:val="single" w:sz="12" w:space="0" w:color="000000"/>
            </w:tcBorders>
            <w:vAlign w:val="bottom"/>
          </w:tcPr>
          <w:p w14:paraId="55AE2DF2" w14:textId="77777777" w:rsidR="008E5DE4" w:rsidRDefault="008E5DE4">
            <w:pPr>
              <w:widowControl w:val="0"/>
              <w:pBdr>
                <w:top w:val="nil"/>
                <w:left w:val="nil"/>
                <w:bottom w:val="nil"/>
                <w:right w:val="nil"/>
                <w:between w:val="nil"/>
              </w:pBdr>
              <w:spacing w:line="228" w:lineRule="auto"/>
              <w:jc w:val="right"/>
              <w:rPr>
                <w:b/>
                <w:smallCaps/>
                <w:color w:val="0000FF"/>
              </w:rPr>
            </w:pPr>
          </w:p>
        </w:tc>
        <w:tc>
          <w:tcPr>
            <w:tcW w:w="851" w:type="dxa"/>
            <w:tcBorders>
              <w:bottom w:val="single" w:sz="12" w:space="0" w:color="000000"/>
            </w:tcBorders>
            <w:vAlign w:val="bottom"/>
          </w:tcPr>
          <w:p w14:paraId="16258704" w14:textId="77777777" w:rsidR="008E5DE4" w:rsidRDefault="008E5DE4">
            <w:pPr>
              <w:widowControl w:val="0"/>
              <w:pBdr>
                <w:top w:val="nil"/>
                <w:left w:val="nil"/>
                <w:bottom w:val="nil"/>
                <w:right w:val="nil"/>
                <w:between w:val="nil"/>
              </w:pBdr>
              <w:spacing w:line="228" w:lineRule="auto"/>
              <w:jc w:val="right"/>
              <w:rPr>
                <w:b/>
                <w:smallCaps/>
                <w:color w:val="0000FF"/>
              </w:rPr>
            </w:pPr>
          </w:p>
        </w:tc>
        <w:tc>
          <w:tcPr>
            <w:tcW w:w="796" w:type="dxa"/>
            <w:tcBorders>
              <w:bottom w:val="single" w:sz="12" w:space="0" w:color="000000"/>
            </w:tcBorders>
            <w:vAlign w:val="bottom"/>
          </w:tcPr>
          <w:p w14:paraId="38B95FB9" w14:textId="77777777" w:rsidR="008E5DE4" w:rsidRDefault="008E5DE4">
            <w:pPr>
              <w:widowControl w:val="0"/>
              <w:pBdr>
                <w:top w:val="nil"/>
                <w:left w:val="nil"/>
                <w:bottom w:val="nil"/>
                <w:right w:val="nil"/>
                <w:between w:val="nil"/>
              </w:pBdr>
              <w:spacing w:line="228" w:lineRule="auto"/>
              <w:jc w:val="right"/>
              <w:rPr>
                <w:b/>
                <w:smallCaps/>
                <w:color w:val="0000FF"/>
              </w:rPr>
            </w:pPr>
          </w:p>
        </w:tc>
      </w:tr>
    </w:tbl>
    <w:p w14:paraId="4272515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53</w:t>
      </w:r>
      <w:r>
        <w:rPr>
          <w:b/>
          <w:color w:val="000000"/>
          <w:sz w:val="20"/>
          <w:szCs w:val="20"/>
        </w:rPr>
        <w:tab/>
        <w:t>Fair Value Disclosures (Continued)</w:t>
      </w:r>
    </w:p>
    <w:p w14:paraId="36A87856" w14:textId="31D86552" w:rsidR="008E5DE4" w:rsidRDefault="00780368">
      <w:pPr>
        <w:widowControl w:val="0"/>
        <w:spacing w:before="200" w:after="200"/>
        <w:jc w:val="both"/>
        <w:rPr>
          <w:sz w:val="20"/>
          <w:szCs w:val="20"/>
        </w:rPr>
      </w:pPr>
      <w:r>
        <w:rPr>
          <w:sz w:val="20"/>
          <w:szCs w:val="20"/>
        </w:rPr>
        <w:t xml:space="preserve">The valuation techniques and description of inputs used in the fair value measurement for level 2 measurements are as follows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w:t>
      </w:r>
    </w:p>
    <w:tbl>
      <w:tblPr>
        <w:tblStyle w:val="afffffffffffffd"/>
        <w:tblW w:w="9413" w:type="dxa"/>
        <w:tblLayout w:type="fixed"/>
        <w:tblLook w:val="0000" w:firstRow="0" w:lastRow="0" w:firstColumn="0" w:lastColumn="0" w:noHBand="0" w:noVBand="0"/>
      </w:tblPr>
      <w:tblGrid>
        <w:gridCol w:w="3119"/>
        <w:gridCol w:w="964"/>
        <w:gridCol w:w="2665"/>
        <w:gridCol w:w="2665"/>
      </w:tblGrid>
      <w:tr w:rsidR="008E5DE4" w14:paraId="22D40FDD" w14:textId="77777777">
        <w:trPr>
          <w:cantSplit/>
        </w:trPr>
        <w:tc>
          <w:tcPr>
            <w:tcW w:w="3119" w:type="dxa"/>
            <w:tcBorders>
              <w:bottom w:val="single" w:sz="4" w:space="0" w:color="000000"/>
            </w:tcBorders>
            <w:vAlign w:val="bottom"/>
          </w:tcPr>
          <w:p w14:paraId="781D5860"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964" w:type="dxa"/>
            <w:tcBorders>
              <w:bottom w:val="single" w:sz="4" w:space="0" w:color="000000"/>
            </w:tcBorders>
          </w:tcPr>
          <w:p w14:paraId="18D4529D"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2665" w:type="dxa"/>
            <w:tcBorders>
              <w:bottom w:val="single" w:sz="4" w:space="0" w:color="000000"/>
            </w:tcBorders>
          </w:tcPr>
          <w:p w14:paraId="24720EB4" w14:textId="77777777" w:rsidR="008E5DE4" w:rsidRDefault="00780368">
            <w:pPr>
              <w:widowControl w:val="0"/>
              <w:pBdr>
                <w:top w:val="nil"/>
                <w:left w:val="nil"/>
                <w:bottom w:val="nil"/>
                <w:right w:val="nil"/>
                <w:between w:val="nil"/>
              </w:pBdr>
              <w:ind w:left="-113"/>
              <w:jc w:val="right"/>
              <w:rPr>
                <w:b/>
                <w:color w:val="000000"/>
              </w:rPr>
            </w:pPr>
            <w:r>
              <w:rPr>
                <w:b/>
                <w:color w:val="000000"/>
              </w:rPr>
              <w:t>Valuation technique</w:t>
            </w:r>
          </w:p>
        </w:tc>
        <w:tc>
          <w:tcPr>
            <w:tcW w:w="2665" w:type="dxa"/>
            <w:tcBorders>
              <w:bottom w:val="single" w:sz="4" w:space="0" w:color="000000"/>
            </w:tcBorders>
          </w:tcPr>
          <w:p w14:paraId="46AAD5AC" w14:textId="77777777" w:rsidR="008E5DE4" w:rsidRDefault="00780368">
            <w:pPr>
              <w:widowControl w:val="0"/>
              <w:pBdr>
                <w:top w:val="nil"/>
                <w:left w:val="nil"/>
                <w:bottom w:val="nil"/>
                <w:right w:val="nil"/>
                <w:between w:val="nil"/>
              </w:pBdr>
              <w:ind w:left="-113"/>
              <w:jc w:val="right"/>
              <w:rPr>
                <w:b/>
                <w:color w:val="000000"/>
              </w:rPr>
            </w:pPr>
            <w:r>
              <w:rPr>
                <w:b/>
                <w:color w:val="000000"/>
              </w:rPr>
              <w:t>Inputs used</w:t>
            </w:r>
          </w:p>
        </w:tc>
      </w:tr>
      <w:tr w:rsidR="008E5DE4" w14:paraId="2382D6B2" w14:textId="77777777">
        <w:trPr>
          <w:cantSplit/>
        </w:trPr>
        <w:tc>
          <w:tcPr>
            <w:tcW w:w="3119" w:type="dxa"/>
            <w:tcBorders>
              <w:top w:val="single" w:sz="4" w:space="0" w:color="000000"/>
            </w:tcBorders>
            <w:vAlign w:val="bottom"/>
          </w:tcPr>
          <w:p w14:paraId="3C7145BC" w14:textId="77777777" w:rsidR="008E5DE4" w:rsidRDefault="00780368">
            <w:pPr>
              <w:widowControl w:val="0"/>
              <w:pBdr>
                <w:top w:val="nil"/>
                <w:left w:val="nil"/>
                <w:bottom w:val="nil"/>
                <w:right w:val="nil"/>
                <w:between w:val="nil"/>
              </w:pBdr>
              <w:ind w:left="113" w:right="-57" w:hanging="113"/>
              <w:rPr>
                <w:i/>
                <w:color w:val="000000"/>
              </w:rPr>
            </w:pPr>
            <w:r>
              <w:rPr>
                <w:i/>
                <w:color w:val="0000FF"/>
              </w:rPr>
              <w:t> </w:t>
            </w:r>
          </w:p>
        </w:tc>
        <w:tc>
          <w:tcPr>
            <w:tcW w:w="964" w:type="dxa"/>
            <w:tcBorders>
              <w:top w:val="single" w:sz="4" w:space="0" w:color="000000"/>
            </w:tcBorders>
            <w:vAlign w:val="bottom"/>
          </w:tcPr>
          <w:p w14:paraId="608D1CD4" w14:textId="77777777" w:rsidR="008E5DE4" w:rsidRDefault="008E5DE4">
            <w:pPr>
              <w:widowControl w:val="0"/>
              <w:pBdr>
                <w:top w:val="nil"/>
                <w:left w:val="nil"/>
                <w:bottom w:val="nil"/>
                <w:right w:val="nil"/>
                <w:between w:val="nil"/>
              </w:pBdr>
              <w:jc w:val="right"/>
              <w:rPr>
                <w:color w:val="000000"/>
              </w:rPr>
            </w:pPr>
          </w:p>
        </w:tc>
        <w:tc>
          <w:tcPr>
            <w:tcW w:w="2665" w:type="dxa"/>
            <w:tcBorders>
              <w:top w:val="single" w:sz="4" w:space="0" w:color="000000"/>
            </w:tcBorders>
            <w:vAlign w:val="bottom"/>
          </w:tcPr>
          <w:p w14:paraId="2097E18F" w14:textId="77777777" w:rsidR="008E5DE4" w:rsidRDefault="008E5DE4">
            <w:pPr>
              <w:widowControl w:val="0"/>
              <w:pBdr>
                <w:top w:val="nil"/>
                <w:left w:val="nil"/>
                <w:bottom w:val="nil"/>
                <w:right w:val="nil"/>
                <w:between w:val="nil"/>
              </w:pBdr>
              <w:jc w:val="right"/>
              <w:rPr>
                <w:color w:val="000000"/>
              </w:rPr>
            </w:pPr>
          </w:p>
        </w:tc>
        <w:tc>
          <w:tcPr>
            <w:tcW w:w="2665" w:type="dxa"/>
            <w:tcBorders>
              <w:top w:val="single" w:sz="4" w:space="0" w:color="000000"/>
            </w:tcBorders>
            <w:vAlign w:val="bottom"/>
          </w:tcPr>
          <w:p w14:paraId="7DB4FE0B" w14:textId="77777777" w:rsidR="008E5DE4" w:rsidRDefault="008E5DE4">
            <w:pPr>
              <w:widowControl w:val="0"/>
              <w:pBdr>
                <w:top w:val="nil"/>
                <w:left w:val="nil"/>
                <w:bottom w:val="nil"/>
                <w:right w:val="nil"/>
                <w:between w:val="nil"/>
              </w:pBdr>
              <w:jc w:val="right"/>
              <w:rPr>
                <w:color w:val="000000"/>
              </w:rPr>
            </w:pPr>
          </w:p>
        </w:tc>
      </w:tr>
      <w:tr w:rsidR="008E5DE4" w14:paraId="129AC5BA" w14:textId="77777777">
        <w:trPr>
          <w:cantSplit/>
        </w:trPr>
        <w:tc>
          <w:tcPr>
            <w:tcW w:w="3119" w:type="dxa"/>
            <w:vAlign w:val="bottom"/>
          </w:tcPr>
          <w:p w14:paraId="6D733750"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ASSETS AT FAIR VALUE</w:t>
            </w:r>
          </w:p>
        </w:tc>
        <w:tc>
          <w:tcPr>
            <w:tcW w:w="964" w:type="dxa"/>
            <w:vAlign w:val="bottom"/>
          </w:tcPr>
          <w:p w14:paraId="781DF14B" w14:textId="77777777" w:rsidR="008E5DE4" w:rsidRDefault="008E5DE4">
            <w:pPr>
              <w:widowControl w:val="0"/>
              <w:pBdr>
                <w:top w:val="nil"/>
                <w:left w:val="nil"/>
                <w:bottom w:val="nil"/>
                <w:right w:val="nil"/>
                <w:between w:val="nil"/>
              </w:pBdr>
              <w:jc w:val="right"/>
              <w:rPr>
                <w:b/>
                <w:smallCaps/>
                <w:color w:val="000000"/>
              </w:rPr>
            </w:pPr>
          </w:p>
        </w:tc>
        <w:tc>
          <w:tcPr>
            <w:tcW w:w="2665" w:type="dxa"/>
            <w:vAlign w:val="bottom"/>
          </w:tcPr>
          <w:p w14:paraId="2FBEC68E" w14:textId="77777777" w:rsidR="008E5DE4" w:rsidRDefault="008E5DE4">
            <w:pPr>
              <w:widowControl w:val="0"/>
              <w:pBdr>
                <w:top w:val="nil"/>
                <w:left w:val="nil"/>
                <w:bottom w:val="nil"/>
                <w:right w:val="nil"/>
                <w:between w:val="nil"/>
              </w:pBdr>
              <w:jc w:val="right"/>
              <w:rPr>
                <w:b/>
                <w:smallCaps/>
                <w:color w:val="000000"/>
              </w:rPr>
            </w:pPr>
          </w:p>
        </w:tc>
        <w:tc>
          <w:tcPr>
            <w:tcW w:w="2665" w:type="dxa"/>
            <w:vAlign w:val="bottom"/>
          </w:tcPr>
          <w:p w14:paraId="44D3F640" w14:textId="77777777" w:rsidR="008E5DE4" w:rsidRDefault="008E5DE4">
            <w:pPr>
              <w:widowControl w:val="0"/>
              <w:pBdr>
                <w:top w:val="nil"/>
                <w:left w:val="nil"/>
                <w:bottom w:val="nil"/>
                <w:right w:val="nil"/>
                <w:between w:val="nil"/>
              </w:pBdr>
              <w:jc w:val="right"/>
              <w:rPr>
                <w:b/>
                <w:smallCaps/>
                <w:color w:val="000000"/>
              </w:rPr>
            </w:pPr>
          </w:p>
        </w:tc>
      </w:tr>
      <w:tr w:rsidR="008E5DE4" w14:paraId="0575E5FF" w14:textId="77777777">
        <w:trPr>
          <w:cantSplit/>
        </w:trPr>
        <w:tc>
          <w:tcPr>
            <w:tcW w:w="3119" w:type="dxa"/>
            <w:vAlign w:val="bottom"/>
          </w:tcPr>
          <w:p w14:paraId="56A02731"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 xml:space="preserve">FINANCIAL ASSETS </w:t>
            </w:r>
          </w:p>
        </w:tc>
        <w:tc>
          <w:tcPr>
            <w:tcW w:w="964" w:type="dxa"/>
            <w:vAlign w:val="bottom"/>
          </w:tcPr>
          <w:p w14:paraId="590C6C99" w14:textId="77777777" w:rsidR="008E5DE4" w:rsidRDefault="008E5DE4">
            <w:pPr>
              <w:widowControl w:val="0"/>
              <w:pBdr>
                <w:top w:val="nil"/>
                <w:left w:val="nil"/>
                <w:bottom w:val="nil"/>
                <w:right w:val="nil"/>
                <w:between w:val="nil"/>
              </w:pBdr>
              <w:jc w:val="right"/>
              <w:rPr>
                <w:b/>
                <w:smallCaps/>
                <w:color w:val="000000"/>
              </w:rPr>
            </w:pPr>
          </w:p>
        </w:tc>
        <w:tc>
          <w:tcPr>
            <w:tcW w:w="2665" w:type="dxa"/>
            <w:vAlign w:val="bottom"/>
          </w:tcPr>
          <w:p w14:paraId="4CAF15B4" w14:textId="77777777" w:rsidR="008E5DE4" w:rsidRDefault="008E5DE4">
            <w:pPr>
              <w:widowControl w:val="0"/>
              <w:pBdr>
                <w:top w:val="nil"/>
                <w:left w:val="nil"/>
                <w:bottom w:val="nil"/>
                <w:right w:val="nil"/>
                <w:between w:val="nil"/>
              </w:pBdr>
              <w:jc w:val="right"/>
              <w:rPr>
                <w:b/>
                <w:smallCaps/>
                <w:color w:val="000000"/>
              </w:rPr>
            </w:pPr>
          </w:p>
        </w:tc>
        <w:tc>
          <w:tcPr>
            <w:tcW w:w="2665" w:type="dxa"/>
            <w:vAlign w:val="bottom"/>
          </w:tcPr>
          <w:p w14:paraId="73E07859" w14:textId="77777777" w:rsidR="008E5DE4" w:rsidRDefault="008E5DE4">
            <w:pPr>
              <w:widowControl w:val="0"/>
              <w:pBdr>
                <w:top w:val="nil"/>
                <w:left w:val="nil"/>
                <w:bottom w:val="nil"/>
                <w:right w:val="nil"/>
                <w:between w:val="nil"/>
              </w:pBdr>
              <w:jc w:val="right"/>
              <w:rPr>
                <w:b/>
                <w:smallCaps/>
                <w:color w:val="000000"/>
              </w:rPr>
            </w:pPr>
          </w:p>
        </w:tc>
      </w:tr>
      <w:tr w:rsidR="008E5DE4" w14:paraId="39EB71DF" w14:textId="77777777">
        <w:trPr>
          <w:cantSplit/>
        </w:trPr>
        <w:tc>
          <w:tcPr>
            <w:tcW w:w="3119" w:type="dxa"/>
            <w:vAlign w:val="bottom"/>
          </w:tcPr>
          <w:p w14:paraId="17051E43"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Investments in debt securities</w:t>
            </w:r>
          </w:p>
        </w:tc>
        <w:tc>
          <w:tcPr>
            <w:tcW w:w="964" w:type="dxa"/>
            <w:vAlign w:val="bottom"/>
          </w:tcPr>
          <w:p w14:paraId="3A66B3C7"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110B9F0E"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05E193B0" w14:textId="77777777" w:rsidR="008E5DE4" w:rsidRDefault="008E5DE4">
            <w:pPr>
              <w:widowControl w:val="0"/>
              <w:pBdr>
                <w:top w:val="nil"/>
                <w:left w:val="nil"/>
                <w:bottom w:val="nil"/>
                <w:right w:val="nil"/>
                <w:between w:val="nil"/>
              </w:pBdr>
              <w:jc w:val="right"/>
              <w:rPr>
                <w:color w:val="000000"/>
              </w:rPr>
            </w:pPr>
          </w:p>
        </w:tc>
      </w:tr>
      <w:tr w:rsidR="008E5DE4" w14:paraId="4ACA158B" w14:textId="77777777">
        <w:trPr>
          <w:cantSplit/>
        </w:trPr>
        <w:tc>
          <w:tcPr>
            <w:tcW w:w="3119" w:type="dxa"/>
            <w:vAlign w:val="bottom"/>
          </w:tcPr>
          <w:p w14:paraId="187C54E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w:t>
            </w:r>
            <w:r>
              <w:rPr>
                <w:color w:val="0000FF"/>
              </w:rPr>
              <w:t>[Country]</w:t>
            </w:r>
            <w:r>
              <w:rPr>
                <w:color w:val="000000"/>
              </w:rPr>
              <w:t xml:space="preserve"> government bonds</w:t>
            </w:r>
          </w:p>
        </w:tc>
        <w:tc>
          <w:tcPr>
            <w:tcW w:w="964" w:type="dxa"/>
            <w:vAlign w:val="bottom"/>
          </w:tcPr>
          <w:p w14:paraId="74D2C490" w14:textId="77777777" w:rsidR="008E5DE4" w:rsidRDefault="008E5DE4">
            <w:pPr>
              <w:widowControl w:val="0"/>
              <w:pBdr>
                <w:top w:val="nil"/>
                <w:left w:val="nil"/>
                <w:bottom w:val="nil"/>
                <w:right w:val="nil"/>
                <w:between w:val="nil"/>
              </w:pBdr>
              <w:jc w:val="right"/>
              <w:rPr>
                <w:color w:val="0000FF"/>
              </w:rPr>
            </w:pPr>
          </w:p>
        </w:tc>
        <w:tc>
          <w:tcPr>
            <w:tcW w:w="2665" w:type="dxa"/>
            <w:vAlign w:val="bottom"/>
          </w:tcPr>
          <w:p w14:paraId="54CBB88E" w14:textId="77777777" w:rsidR="008E5DE4" w:rsidRDefault="00780368">
            <w:pPr>
              <w:widowControl w:val="0"/>
              <w:pBdr>
                <w:top w:val="nil"/>
                <w:left w:val="nil"/>
                <w:bottom w:val="nil"/>
                <w:right w:val="nil"/>
                <w:between w:val="nil"/>
              </w:pBdr>
              <w:jc w:val="right"/>
              <w:rPr>
                <w:color w:val="0000FF"/>
              </w:rPr>
            </w:pPr>
            <w:r>
              <w:rPr>
                <w:color w:val="0000FF"/>
              </w:rPr>
              <w:t>[Discounted cash flows (“DCF”)]</w:t>
            </w:r>
          </w:p>
        </w:tc>
        <w:tc>
          <w:tcPr>
            <w:tcW w:w="2665" w:type="dxa"/>
            <w:vAlign w:val="bottom"/>
          </w:tcPr>
          <w:p w14:paraId="2673FD53" w14:textId="77777777" w:rsidR="008E5DE4" w:rsidRDefault="00780368">
            <w:pPr>
              <w:widowControl w:val="0"/>
              <w:pBdr>
                <w:top w:val="nil"/>
                <w:left w:val="nil"/>
                <w:bottom w:val="nil"/>
                <w:right w:val="nil"/>
                <w:between w:val="nil"/>
              </w:pBdr>
              <w:jc w:val="right"/>
              <w:rPr>
                <w:color w:val="0000FF"/>
              </w:rPr>
            </w:pPr>
            <w:r>
              <w:rPr>
                <w:color w:val="0000FF"/>
              </w:rPr>
              <w:t>[Government bonds yield curve]</w:t>
            </w:r>
          </w:p>
        </w:tc>
      </w:tr>
      <w:tr w:rsidR="008E5DE4" w14:paraId="19A6FBED" w14:textId="77777777">
        <w:trPr>
          <w:cantSplit/>
        </w:trPr>
        <w:tc>
          <w:tcPr>
            <w:tcW w:w="3119" w:type="dxa"/>
            <w:vAlign w:val="bottom"/>
          </w:tcPr>
          <w:p w14:paraId="45A95EC5" w14:textId="77777777" w:rsidR="008E5DE4" w:rsidRDefault="00780368">
            <w:pPr>
              <w:widowControl w:val="0"/>
              <w:pBdr>
                <w:top w:val="nil"/>
                <w:left w:val="nil"/>
                <w:bottom w:val="nil"/>
                <w:right w:val="nil"/>
                <w:between w:val="nil"/>
              </w:pBdr>
              <w:ind w:left="113" w:right="-57" w:hanging="113"/>
              <w:rPr>
                <w:color w:val="000000"/>
              </w:rPr>
            </w:pPr>
            <w:r>
              <w:rPr>
                <w:color w:val="000000"/>
              </w:rPr>
              <w:t>- Municipal bonds</w:t>
            </w:r>
          </w:p>
        </w:tc>
        <w:tc>
          <w:tcPr>
            <w:tcW w:w="964" w:type="dxa"/>
            <w:vAlign w:val="bottom"/>
          </w:tcPr>
          <w:p w14:paraId="0DA58D47" w14:textId="77777777" w:rsidR="008E5DE4" w:rsidRDefault="008E5DE4">
            <w:pPr>
              <w:widowControl w:val="0"/>
              <w:pBdr>
                <w:top w:val="nil"/>
                <w:left w:val="nil"/>
                <w:bottom w:val="nil"/>
                <w:right w:val="nil"/>
                <w:between w:val="nil"/>
              </w:pBdr>
              <w:jc w:val="right"/>
              <w:rPr>
                <w:color w:val="0000FF"/>
              </w:rPr>
            </w:pPr>
          </w:p>
        </w:tc>
        <w:tc>
          <w:tcPr>
            <w:tcW w:w="2665" w:type="dxa"/>
            <w:vAlign w:val="bottom"/>
          </w:tcPr>
          <w:p w14:paraId="23298AE0" w14:textId="77777777" w:rsidR="008E5DE4" w:rsidRDefault="00780368">
            <w:pPr>
              <w:widowControl w:val="0"/>
              <w:pBdr>
                <w:top w:val="nil"/>
                <w:left w:val="nil"/>
                <w:bottom w:val="nil"/>
                <w:right w:val="nil"/>
                <w:between w:val="nil"/>
              </w:pBdr>
              <w:jc w:val="right"/>
              <w:rPr>
                <w:color w:val="0000FF"/>
              </w:rPr>
            </w:pPr>
            <w:r>
              <w:rPr>
                <w:color w:val="0000FF"/>
              </w:rPr>
              <w:t>[DCF]</w:t>
            </w:r>
          </w:p>
        </w:tc>
        <w:tc>
          <w:tcPr>
            <w:tcW w:w="2665" w:type="dxa"/>
            <w:vAlign w:val="bottom"/>
          </w:tcPr>
          <w:p w14:paraId="0BC1820E" w14:textId="77777777" w:rsidR="008E5DE4" w:rsidRDefault="00780368">
            <w:pPr>
              <w:widowControl w:val="0"/>
              <w:pBdr>
                <w:top w:val="nil"/>
                <w:left w:val="nil"/>
                <w:bottom w:val="nil"/>
                <w:right w:val="nil"/>
                <w:between w:val="nil"/>
              </w:pBdr>
              <w:jc w:val="right"/>
              <w:rPr>
                <w:color w:val="0000FF"/>
              </w:rPr>
            </w:pPr>
            <w:r>
              <w:rPr>
                <w:color w:val="0000FF"/>
              </w:rPr>
              <w:t>[Comparable prices from less active markets]</w:t>
            </w:r>
          </w:p>
        </w:tc>
      </w:tr>
      <w:tr w:rsidR="008E5DE4" w14:paraId="22F5AB9B" w14:textId="77777777">
        <w:trPr>
          <w:cantSplit/>
        </w:trPr>
        <w:tc>
          <w:tcPr>
            <w:tcW w:w="3119" w:type="dxa"/>
            <w:vAlign w:val="bottom"/>
          </w:tcPr>
          <w:p w14:paraId="361B6659" w14:textId="77777777" w:rsidR="008E5DE4" w:rsidRDefault="00780368">
            <w:pPr>
              <w:widowControl w:val="0"/>
              <w:pBdr>
                <w:top w:val="nil"/>
                <w:left w:val="nil"/>
                <w:bottom w:val="nil"/>
                <w:right w:val="nil"/>
                <w:between w:val="nil"/>
              </w:pBdr>
              <w:ind w:left="113" w:right="-57" w:hanging="113"/>
              <w:rPr>
                <w:color w:val="000000"/>
              </w:rPr>
            </w:pPr>
            <w:r>
              <w:rPr>
                <w:color w:val="000000"/>
              </w:rPr>
              <w:t>- Corporate bonds</w:t>
            </w:r>
          </w:p>
        </w:tc>
        <w:tc>
          <w:tcPr>
            <w:tcW w:w="964" w:type="dxa"/>
            <w:vAlign w:val="bottom"/>
          </w:tcPr>
          <w:p w14:paraId="54324776" w14:textId="77777777" w:rsidR="008E5DE4" w:rsidRDefault="008E5DE4">
            <w:pPr>
              <w:widowControl w:val="0"/>
              <w:pBdr>
                <w:top w:val="nil"/>
                <w:left w:val="nil"/>
                <w:bottom w:val="nil"/>
                <w:right w:val="nil"/>
                <w:between w:val="nil"/>
              </w:pBdr>
              <w:jc w:val="right"/>
              <w:rPr>
                <w:color w:val="0000FF"/>
              </w:rPr>
            </w:pPr>
          </w:p>
        </w:tc>
        <w:tc>
          <w:tcPr>
            <w:tcW w:w="2665" w:type="dxa"/>
            <w:vAlign w:val="bottom"/>
          </w:tcPr>
          <w:p w14:paraId="27EC5F9F" w14:textId="77777777" w:rsidR="008E5DE4" w:rsidRDefault="00780368">
            <w:pPr>
              <w:widowControl w:val="0"/>
              <w:pBdr>
                <w:top w:val="nil"/>
                <w:left w:val="nil"/>
                <w:bottom w:val="nil"/>
                <w:right w:val="nil"/>
                <w:between w:val="nil"/>
              </w:pBdr>
              <w:jc w:val="right"/>
              <w:rPr>
                <w:color w:val="0000FF"/>
              </w:rPr>
            </w:pPr>
            <w:r>
              <w:rPr>
                <w:color w:val="0000FF"/>
              </w:rPr>
              <w:t>[DCF]</w:t>
            </w:r>
          </w:p>
        </w:tc>
        <w:tc>
          <w:tcPr>
            <w:tcW w:w="2665" w:type="dxa"/>
            <w:vAlign w:val="bottom"/>
          </w:tcPr>
          <w:p w14:paraId="321D23DD" w14:textId="77777777" w:rsidR="008E5DE4" w:rsidRDefault="00780368">
            <w:pPr>
              <w:widowControl w:val="0"/>
              <w:pBdr>
                <w:top w:val="nil"/>
                <w:left w:val="nil"/>
                <w:bottom w:val="nil"/>
                <w:right w:val="nil"/>
                <w:between w:val="nil"/>
              </w:pBdr>
              <w:jc w:val="right"/>
              <w:rPr>
                <w:color w:val="0000FF"/>
              </w:rPr>
            </w:pPr>
            <w:r>
              <w:rPr>
                <w:color w:val="0000FF"/>
              </w:rPr>
              <w:t>[Incremental borrowing rate]</w:t>
            </w:r>
          </w:p>
        </w:tc>
      </w:tr>
      <w:tr w:rsidR="008E5DE4" w14:paraId="04644D08" w14:textId="77777777">
        <w:trPr>
          <w:cantSplit/>
        </w:trPr>
        <w:tc>
          <w:tcPr>
            <w:tcW w:w="3119" w:type="dxa"/>
            <w:vAlign w:val="bottom"/>
          </w:tcPr>
          <w:p w14:paraId="45C51660" w14:textId="77777777" w:rsidR="008E5DE4" w:rsidRDefault="00780368">
            <w:pPr>
              <w:widowControl w:val="0"/>
              <w:pBdr>
                <w:top w:val="nil"/>
                <w:left w:val="nil"/>
                <w:bottom w:val="nil"/>
                <w:right w:val="nil"/>
                <w:between w:val="nil"/>
              </w:pBdr>
              <w:ind w:left="113" w:right="-57" w:hanging="113"/>
              <w:rPr>
                <w:color w:val="000000"/>
              </w:rPr>
            </w:pPr>
            <w:r>
              <w:rPr>
                <w:color w:val="000000"/>
              </w:rPr>
              <w:t>- Promissory notes</w:t>
            </w:r>
          </w:p>
        </w:tc>
        <w:tc>
          <w:tcPr>
            <w:tcW w:w="964" w:type="dxa"/>
            <w:vAlign w:val="bottom"/>
          </w:tcPr>
          <w:p w14:paraId="34F83C23" w14:textId="77777777" w:rsidR="008E5DE4" w:rsidRDefault="008E5DE4">
            <w:pPr>
              <w:widowControl w:val="0"/>
              <w:pBdr>
                <w:top w:val="nil"/>
                <w:left w:val="nil"/>
                <w:bottom w:val="nil"/>
                <w:right w:val="nil"/>
                <w:between w:val="nil"/>
              </w:pBdr>
              <w:jc w:val="right"/>
              <w:rPr>
                <w:color w:val="0000FF"/>
              </w:rPr>
            </w:pPr>
          </w:p>
        </w:tc>
        <w:tc>
          <w:tcPr>
            <w:tcW w:w="2665" w:type="dxa"/>
            <w:vAlign w:val="bottom"/>
          </w:tcPr>
          <w:p w14:paraId="3227EDB2" w14:textId="77777777" w:rsidR="008E5DE4" w:rsidRDefault="00780368">
            <w:pPr>
              <w:widowControl w:val="0"/>
              <w:pBdr>
                <w:top w:val="nil"/>
                <w:left w:val="nil"/>
                <w:bottom w:val="nil"/>
                <w:right w:val="nil"/>
                <w:between w:val="nil"/>
              </w:pBdr>
              <w:jc w:val="right"/>
              <w:rPr>
                <w:color w:val="0000FF"/>
              </w:rPr>
            </w:pPr>
            <w:r>
              <w:rPr>
                <w:color w:val="0000FF"/>
              </w:rPr>
              <w:t>[DCF]</w:t>
            </w:r>
          </w:p>
        </w:tc>
        <w:tc>
          <w:tcPr>
            <w:tcW w:w="2665" w:type="dxa"/>
            <w:vAlign w:val="bottom"/>
          </w:tcPr>
          <w:p w14:paraId="40D69D7B" w14:textId="77777777" w:rsidR="008E5DE4" w:rsidRDefault="00780368">
            <w:pPr>
              <w:widowControl w:val="0"/>
              <w:pBdr>
                <w:top w:val="nil"/>
                <w:left w:val="nil"/>
                <w:bottom w:val="nil"/>
                <w:right w:val="nil"/>
                <w:between w:val="nil"/>
              </w:pBdr>
              <w:jc w:val="right"/>
              <w:rPr>
                <w:color w:val="0000FF"/>
              </w:rPr>
            </w:pPr>
            <w:r>
              <w:rPr>
                <w:color w:val="0000FF"/>
              </w:rPr>
              <w:t>[Incremental borrowing rate]</w:t>
            </w:r>
          </w:p>
        </w:tc>
      </w:tr>
      <w:tr w:rsidR="008E5DE4" w14:paraId="113627C0" w14:textId="77777777">
        <w:trPr>
          <w:cantSplit/>
        </w:trPr>
        <w:tc>
          <w:tcPr>
            <w:tcW w:w="3119" w:type="dxa"/>
            <w:vAlign w:val="bottom"/>
          </w:tcPr>
          <w:p w14:paraId="16EBDB1D"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Investments in equity securities</w:t>
            </w:r>
          </w:p>
        </w:tc>
        <w:tc>
          <w:tcPr>
            <w:tcW w:w="964" w:type="dxa"/>
            <w:vAlign w:val="bottom"/>
          </w:tcPr>
          <w:p w14:paraId="7141ABA4"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7F62B70C"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09154CF6" w14:textId="77777777" w:rsidR="008E5DE4" w:rsidRDefault="008E5DE4">
            <w:pPr>
              <w:widowControl w:val="0"/>
              <w:pBdr>
                <w:top w:val="nil"/>
                <w:left w:val="nil"/>
                <w:bottom w:val="nil"/>
                <w:right w:val="nil"/>
                <w:between w:val="nil"/>
              </w:pBdr>
              <w:jc w:val="right"/>
              <w:rPr>
                <w:color w:val="000000"/>
              </w:rPr>
            </w:pPr>
          </w:p>
        </w:tc>
      </w:tr>
      <w:tr w:rsidR="008E5DE4" w14:paraId="2D185356" w14:textId="77777777">
        <w:trPr>
          <w:cantSplit/>
        </w:trPr>
        <w:tc>
          <w:tcPr>
            <w:tcW w:w="3119" w:type="dxa"/>
            <w:vAlign w:val="bottom"/>
          </w:tcPr>
          <w:p w14:paraId="659FB4EF" w14:textId="77777777" w:rsidR="008E5DE4" w:rsidRDefault="00780368">
            <w:pPr>
              <w:widowControl w:val="0"/>
              <w:pBdr>
                <w:top w:val="nil"/>
                <w:left w:val="nil"/>
                <w:bottom w:val="nil"/>
                <w:right w:val="nil"/>
                <w:between w:val="nil"/>
              </w:pBdr>
              <w:ind w:left="113" w:right="-57" w:hanging="113"/>
              <w:rPr>
                <w:b/>
                <w:i/>
                <w:color w:val="000000"/>
              </w:rPr>
            </w:pPr>
            <w:r>
              <w:rPr>
                <w:color w:val="000000"/>
              </w:rPr>
              <w:t>- Corporate shares</w:t>
            </w:r>
          </w:p>
        </w:tc>
        <w:tc>
          <w:tcPr>
            <w:tcW w:w="964" w:type="dxa"/>
            <w:vAlign w:val="bottom"/>
          </w:tcPr>
          <w:p w14:paraId="3AED19E7" w14:textId="77777777" w:rsidR="008E5DE4" w:rsidRDefault="008E5DE4">
            <w:pPr>
              <w:widowControl w:val="0"/>
              <w:pBdr>
                <w:top w:val="nil"/>
                <w:left w:val="nil"/>
                <w:bottom w:val="nil"/>
                <w:right w:val="nil"/>
                <w:between w:val="nil"/>
              </w:pBdr>
              <w:jc w:val="right"/>
              <w:rPr>
                <w:color w:val="0000FF"/>
              </w:rPr>
            </w:pPr>
          </w:p>
        </w:tc>
        <w:tc>
          <w:tcPr>
            <w:tcW w:w="2665" w:type="dxa"/>
            <w:vAlign w:val="bottom"/>
          </w:tcPr>
          <w:p w14:paraId="35078E08" w14:textId="77777777" w:rsidR="008E5DE4" w:rsidRDefault="00780368">
            <w:pPr>
              <w:widowControl w:val="0"/>
              <w:pBdr>
                <w:top w:val="nil"/>
                <w:left w:val="nil"/>
                <w:bottom w:val="nil"/>
                <w:right w:val="nil"/>
                <w:between w:val="nil"/>
              </w:pBdr>
              <w:jc w:val="right"/>
              <w:rPr>
                <w:color w:val="0000FF"/>
              </w:rPr>
            </w:pPr>
            <w:r>
              <w:rPr>
                <w:color w:val="0000FF"/>
              </w:rPr>
              <w:t>[Market comparable companies]</w:t>
            </w:r>
          </w:p>
        </w:tc>
        <w:tc>
          <w:tcPr>
            <w:tcW w:w="2665" w:type="dxa"/>
            <w:vAlign w:val="bottom"/>
          </w:tcPr>
          <w:p w14:paraId="7DE09DF2" w14:textId="77777777" w:rsidR="008E5DE4" w:rsidRDefault="00780368">
            <w:pPr>
              <w:widowControl w:val="0"/>
              <w:pBdr>
                <w:top w:val="nil"/>
                <w:left w:val="nil"/>
                <w:bottom w:val="nil"/>
                <w:right w:val="nil"/>
                <w:between w:val="nil"/>
              </w:pBdr>
              <w:jc w:val="right"/>
              <w:rPr>
                <w:color w:val="0000FF"/>
              </w:rPr>
            </w:pPr>
            <w:r>
              <w:rPr>
                <w:color w:val="0000FF"/>
              </w:rPr>
              <w:t>[EBITDA Multiple and Revenue multiple]</w:t>
            </w:r>
          </w:p>
        </w:tc>
      </w:tr>
      <w:tr w:rsidR="008E5DE4" w14:paraId="044AC1C1" w14:textId="77777777">
        <w:trPr>
          <w:cantSplit/>
        </w:trPr>
        <w:tc>
          <w:tcPr>
            <w:tcW w:w="3119" w:type="dxa"/>
            <w:vAlign w:val="bottom"/>
          </w:tcPr>
          <w:p w14:paraId="1941DEFD" w14:textId="77777777" w:rsidR="008E5DE4" w:rsidRDefault="00780368">
            <w:pPr>
              <w:widowControl w:val="0"/>
              <w:pBdr>
                <w:top w:val="nil"/>
                <w:left w:val="nil"/>
                <w:bottom w:val="nil"/>
                <w:right w:val="nil"/>
                <w:between w:val="nil"/>
              </w:pBdr>
              <w:ind w:left="113" w:right="-57" w:hanging="113"/>
              <w:rPr>
                <w:color w:val="000000"/>
              </w:rPr>
            </w:pPr>
            <w:r>
              <w:rPr>
                <w:color w:val="000000"/>
              </w:rPr>
              <w:t>- American depositary receipts (ADR)</w:t>
            </w:r>
          </w:p>
        </w:tc>
        <w:tc>
          <w:tcPr>
            <w:tcW w:w="964" w:type="dxa"/>
            <w:vAlign w:val="bottom"/>
          </w:tcPr>
          <w:p w14:paraId="0F145419" w14:textId="77777777" w:rsidR="008E5DE4" w:rsidRDefault="008E5DE4">
            <w:pPr>
              <w:widowControl w:val="0"/>
              <w:pBdr>
                <w:top w:val="nil"/>
                <w:left w:val="nil"/>
                <w:bottom w:val="nil"/>
                <w:right w:val="nil"/>
                <w:between w:val="nil"/>
              </w:pBdr>
              <w:jc w:val="right"/>
              <w:rPr>
                <w:color w:val="0000FF"/>
              </w:rPr>
            </w:pPr>
          </w:p>
        </w:tc>
        <w:tc>
          <w:tcPr>
            <w:tcW w:w="2665" w:type="dxa"/>
            <w:vAlign w:val="bottom"/>
          </w:tcPr>
          <w:p w14:paraId="19EB01CD" w14:textId="77777777" w:rsidR="008E5DE4" w:rsidRDefault="008E5DE4">
            <w:pPr>
              <w:widowControl w:val="0"/>
              <w:pBdr>
                <w:top w:val="nil"/>
                <w:left w:val="nil"/>
                <w:bottom w:val="nil"/>
                <w:right w:val="nil"/>
                <w:between w:val="nil"/>
              </w:pBdr>
              <w:jc w:val="right"/>
              <w:rPr>
                <w:color w:val="0000FF"/>
              </w:rPr>
            </w:pPr>
          </w:p>
        </w:tc>
        <w:tc>
          <w:tcPr>
            <w:tcW w:w="2665" w:type="dxa"/>
            <w:vAlign w:val="bottom"/>
          </w:tcPr>
          <w:p w14:paraId="67B0CA38" w14:textId="77777777" w:rsidR="008E5DE4" w:rsidRDefault="008E5DE4">
            <w:pPr>
              <w:widowControl w:val="0"/>
              <w:pBdr>
                <w:top w:val="nil"/>
                <w:left w:val="nil"/>
                <w:bottom w:val="nil"/>
                <w:right w:val="nil"/>
                <w:between w:val="nil"/>
              </w:pBdr>
              <w:jc w:val="right"/>
              <w:rPr>
                <w:color w:val="000000"/>
              </w:rPr>
            </w:pPr>
          </w:p>
        </w:tc>
      </w:tr>
      <w:tr w:rsidR="008E5DE4" w14:paraId="25FBDA9B" w14:textId="77777777">
        <w:trPr>
          <w:cantSplit/>
        </w:trPr>
        <w:tc>
          <w:tcPr>
            <w:tcW w:w="3119" w:type="dxa"/>
            <w:vAlign w:val="bottom"/>
          </w:tcPr>
          <w:p w14:paraId="42F7C2CF" w14:textId="77777777" w:rsidR="008E5DE4" w:rsidRDefault="00780368">
            <w:pPr>
              <w:widowControl w:val="0"/>
              <w:pBdr>
                <w:top w:val="nil"/>
                <w:left w:val="nil"/>
                <w:bottom w:val="nil"/>
                <w:right w:val="nil"/>
                <w:between w:val="nil"/>
              </w:pBdr>
              <w:ind w:left="113" w:right="-57" w:hanging="113"/>
              <w:rPr>
                <w:color w:val="000000"/>
              </w:rPr>
            </w:pPr>
            <w:r>
              <w:rPr>
                <w:color w:val="000000"/>
              </w:rPr>
              <w:t>- Investments in mutual funds</w:t>
            </w:r>
          </w:p>
        </w:tc>
        <w:tc>
          <w:tcPr>
            <w:tcW w:w="964" w:type="dxa"/>
            <w:vAlign w:val="bottom"/>
          </w:tcPr>
          <w:p w14:paraId="35F953CB"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39106F5C"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468CE361" w14:textId="77777777" w:rsidR="008E5DE4" w:rsidRDefault="008E5DE4">
            <w:pPr>
              <w:widowControl w:val="0"/>
              <w:pBdr>
                <w:top w:val="nil"/>
                <w:left w:val="nil"/>
                <w:bottom w:val="nil"/>
                <w:right w:val="nil"/>
                <w:between w:val="nil"/>
              </w:pBdr>
              <w:jc w:val="right"/>
              <w:rPr>
                <w:color w:val="000000"/>
              </w:rPr>
            </w:pPr>
          </w:p>
        </w:tc>
      </w:tr>
      <w:tr w:rsidR="008E5DE4" w14:paraId="440F5DDE" w14:textId="77777777">
        <w:trPr>
          <w:cantSplit/>
        </w:trPr>
        <w:tc>
          <w:tcPr>
            <w:tcW w:w="3119" w:type="dxa"/>
            <w:vAlign w:val="bottom"/>
          </w:tcPr>
          <w:p w14:paraId="49FE2208" w14:textId="77777777" w:rsidR="008E5DE4" w:rsidRDefault="00780368">
            <w:pPr>
              <w:widowControl w:val="0"/>
              <w:pBdr>
                <w:top w:val="nil"/>
                <w:left w:val="nil"/>
                <w:bottom w:val="nil"/>
                <w:right w:val="nil"/>
                <w:between w:val="nil"/>
              </w:pBdr>
              <w:ind w:left="113" w:right="-57" w:hanging="113"/>
              <w:rPr>
                <w:color w:val="000000"/>
              </w:rPr>
            </w:pPr>
            <w:r>
              <w:rPr>
                <w:color w:val="000000"/>
              </w:rPr>
              <w:t>- Global depositary receipts</w:t>
            </w:r>
          </w:p>
        </w:tc>
        <w:tc>
          <w:tcPr>
            <w:tcW w:w="964" w:type="dxa"/>
            <w:vAlign w:val="bottom"/>
          </w:tcPr>
          <w:p w14:paraId="356C6FD0"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1C0A4F6A"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5295489C" w14:textId="77777777" w:rsidR="008E5DE4" w:rsidRDefault="008E5DE4">
            <w:pPr>
              <w:widowControl w:val="0"/>
              <w:pBdr>
                <w:top w:val="nil"/>
                <w:left w:val="nil"/>
                <w:bottom w:val="nil"/>
                <w:right w:val="nil"/>
                <w:between w:val="nil"/>
              </w:pBdr>
              <w:jc w:val="right"/>
              <w:rPr>
                <w:color w:val="000000"/>
              </w:rPr>
            </w:pPr>
          </w:p>
        </w:tc>
      </w:tr>
      <w:tr w:rsidR="008E5DE4" w14:paraId="7BF6FDA4" w14:textId="77777777">
        <w:trPr>
          <w:cantSplit/>
        </w:trPr>
        <w:tc>
          <w:tcPr>
            <w:tcW w:w="3119" w:type="dxa"/>
            <w:vAlign w:val="bottom"/>
          </w:tcPr>
          <w:p w14:paraId="70F3613E" w14:textId="77777777" w:rsidR="008E5DE4" w:rsidRDefault="008E5DE4">
            <w:pPr>
              <w:widowControl w:val="0"/>
              <w:pBdr>
                <w:top w:val="nil"/>
                <w:left w:val="nil"/>
                <w:bottom w:val="nil"/>
                <w:right w:val="nil"/>
                <w:between w:val="nil"/>
              </w:pBdr>
              <w:ind w:left="113" w:right="-57" w:hanging="113"/>
              <w:rPr>
                <w:color w:val="000000"/>
              </w:rPr>
            </w:pPr>
          </w:p>
        </w:tc>
        <w:tc>
          <w:tcPr>
            <w:tcW w:w="964" w:type="dxa"/>
            <w:vAlign w:val="bottom"/>
          </w:tcPr>
          <w:p w14:paraId="43E66E53"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7A234815"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369136FB" w14:textId="77777777" w:rsidR="008E5DE4" w:rsidRDefault="008E5DE4">
            <w:pPr>
              <w:widowControl w:val="0"/>
              <w:pBdr>
                <w:top w:val="nil"/>
                <w:left w:val="nil"/>
                <w:bottom w:val="nil"/>
                <w:right w:val="nil"/>
                <w:between w:val="nil"/>
              </w:pBdr>
              <w:jc w:val="right"/>
              <w:rPr>
                <w:color w:val="000000"/>
              </w:rPr>
            </w:pPr>
          </w:p>
        </w:tc>
      </w:tr>
      <w:tr w:rsidR="008E5DE4" w14:paraId="2E9BA8E6" w14:textId="77777777">
        <w:trPr>
          <w:cantSplit/>
        </w:trPr>
        <w:tc>
          <w:tcPr>
            <w:tcW w:w="3119" w:type="dxa"/>
            <w:vAlign w:val="bottom"/>
          </w:tcPr>
          <w:p w14:paraId="4D6D8133"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 xml:space="preserve">Other financial assets </w:t>
            </w:r>
          </w:p>
        </w:tc>
        <w:tc>
          <w:tcPr>
            <w:tcW w:w="964" w:type="dxa"/>
            <w:vAlign w:val="bottom"/>
          </w:tcPr>
          <w:p w14:paraId="7D026ED8"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61635532"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3AC83B67" w14:textId="77777777" w:rsidR="008E5DE4" w:rsidRDefault="008E5DE4">
            <w:pPr>
              <w:widowControl w:val="0"/>
              <w:pBdr>
                <w:top w:val="nil"/>
                <w:left w:val="nil"/>
                <w:bottom w:val="nil"/>
                <w:right w:val="nil"/>
                <w:between w:val="nil"/>
              </w:pBdr>
              <w:jc w:val="right"/>
              <w:rPr>
                <w:color w:val="000000"/>
              </w:rPr>
            </w:pPr>
          </w:p>
        </w:tc>
      </w:tr>
      <w:tr w:rsidR="008E5DE4" w14:paraId="63CE6E49" w14:textId="77777777">
        <w:trPr>
          <w:cantSplit/>
        </w:trPr>
        <w:tc>
          <w:tcPr>
            <w:tcW w:w="3119" w:type="dxa"/>
            <w:vAlign w:val="bottom"/>
          </w:tcPr>
          <w:p w14:paraId="24AB482A" w14:textId="77777777" w:rsidR="008E5DE4" w:rsidRDefault="00780368">
            <w:pPr>
              <w:widowControl w:val="0"/>
              <w:pBdr>
                <w:top w:val="nil"/>
                <w:left w:val="nil"/>
                <w:bottom w:val="nil"/>
                <w:right w:val="nil"/>
                <w:between w:val="nil"/>
              </w:pBdr>
              <w:ind w:left="113" w:right="-57" w:hanging="113"/>
              <w:rPr>
                <w:color w:val="000000"/>
              </w:rPr>
            </w:pPr>
            <w:r>
              <w:rPr>
                <w:color w:val="000000"/>
              </w:rPr>
              <w:t>Foreign exchange forward contracts</w:t>
            </w:r>
          </w:p>
        </w:tc>
        <w:tc>
          <w:tcPr>
            <w:tcW w:w="964" w:type="dxa"/>
            <w:vAlign w:val="bottom"/>
          </w:tcPr>
          <w:p w14:paraId="59FC271B"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39752B53"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5F0BD3EF" w14:textId="77777777" w:rsidR="008E5DE4" w:rsidRDefault="008E5DE4">
            <w:pPr>
              <w:widowControl w:val="0"/>
              <w:pBdr>
                <w:top w:val="nil"/>
                <w:left w:val="nil"/>
                <w:bottom w:val="nil"/>
                <w:right w:val="nil"/>
                <w:between w:val="nil"/>
              </w:pBdr>
              <w:jc w:val="right"/>
              <w:rPr>
                <w:color w:val="000000"/>
              </w:rPr>
            </w:pPr>
          </w:p>
        </w:tc>
      </w:tr>
      <w:tr w:rsidR="008E5DE4" w14:paraId="7D3209DC" w14:textId="77777777">
        <w:trPr>
          <w:cantSplit/>
        </w:trPr>
        <w:tc>
          <w:tcPr>
            <w:tcW w:w="3119" w:type="dxa"/>
            <w:vAlign w:val="bottom"/>
          </w:tcPr>
          <w:p w14:paraId="0169C708" w14:textId="77777777" w:rsidR="008E5DE4" w:rsidRDefault="00780368">
            <w:pPr>
              <w:widowControl w:val="0"/>
              <w:pBdr>
                <w:top w:val="nil"/>
                <w:left w:val="nil"/>
                <w:bottom w:val="nil"/>
                <w:right w:val="nil"/>
                <w:between w:val="nil"/>
              </w:pBdr>
              <w:ind w:left="113" w:right="-57" w:hanging="113"/>
              <w:rPr>
                <w:color w:val="000000"/>
              </w:rPr>
            </w:pPr>
            <w:r>
              <w:rPr>
                <w:color w:val="000000"/>
              </w:rPr>
              <w:t>Other financial derivatives</w:t>
            </w:r>
          </w:p>
        </w:tc>
        <w:tc>
          <w:tcPr>
            <w:tcW w:w="964" w:type="dxa"/>
            <w:vAlign w:val="bottom"/>
          </w:tcPr>
          <w:p w14:paraId="52052F95"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2BFF5161"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7CE1CAE7" w14:textId="77777777" w:rsidR="008E5DE4" w:rsidRDefault="008E5DE4">
            <w:pPr>
              <w:widowControl w:val="0"/>
              <w:pBdr>
                <w:top w:val="nil"/>
                <w:left w:val="nil"/>
                <w:bottom w:val="nil"/>
                <w:right w:val="nil"/>
                <w:between w:val="nil"/>
              </w:pBdr>
              <w:jc w:val="right"/>
              <w:rPr>
                <w:color w:val="000000"/>
              </w:rPr>
            </w:pPr>
          </w:p>
        </w:tc>
      </w:tr>
      <w:tr w:rsidR="008E5DE4" w14:paraId="3EA9F71D" w14:textId="77777777">
        <w:trPr>
          <w:cantSplit/>
        </w:trPr>
        <w:tc>
          <w:tcPr>
            <w:tcW w:w="3119" w:type="dxa"/>
            <w:vAlign w:val="bottom"/>
          </w:tcPr>
          <w:p w14:paraId="03B12633" w14:textId="77777777" w:rsidR="008E5DE4" w:rsidRDefault="00780368">
            <w:pPr>
              <w:widowControl w:val="0"/>
              <w:pBdr>
                <w:top w:val="nil"/>
                <w:left w:val="nil"/>
                <w:bottom w:val="nil"/>
                <w:right w:val="nil"/>
                <w:between w:val="nil"/>
              </w:pBdr>
              <w:ind w:left="113" w:right="-57" w:hanging="113"/>
              <w:rPr>
                <w:b/>
                <w:i/>
                <w:color w:val="000000"/>
              </w:rPr>
            </w:pPr>
            <w:r>
              <w:rPr>
                <w:b/>
                <w:smallCaps/>
                <w:color w:val="000000"/>
              </w:rPr>
              <w:t>NON-FINANCIAL ASSETS</w:t>
            </w:r>
          </w:p>
        </w:tc>
        <w:tc>
          <w:tcPr>
            <w:tcW w:w="964" w:type="dxa"/>
            <w:vAlign w:val="bottom"/>
          </w:tcPr>
          <w:p w14:paraId="3E132DF2"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00D67855"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3ED2F912" w14:textId="77777777" w:rsidR="008E5DE4" w:rsidRDefault="008E5DE4">
            <w:pPr>
              <w:widowControl w:val="0"/>
              <w:pBdr>
                <w:top w:val="nil"/>
                <w:left w:val="nil"/>
                <w:bottom w:val="nil"/>
                <w:right w:val="nil"/>
                <w:between w:val="nil"/>
              </w:pBdr>
              <w:jc w:val="right"/>
              <w:rPr>
                <w:color w:val="000000"/>
              </w:rPr>
            </w:pPr>
          </w:p>
        </w:tc>
      </w:tr>
      <w:tr w:rsidR="008E5DE4" w14:paraId="02176115" w14:textId="77777777">
        <w:trPr>
          <w:cantSplit/>
        </w:trPr>
        <w:tc>
          <w:tcPr>
            <w:tcW w:w="3119" w:type="dxa"/>
            <w:vAlign w:val="bottom"/>
          </w:tcPr>
          <w:p w14:paraId="1979F51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Land and buildings </w:t>
            </w:r>
          </w:p>
        </w:tc>
        <w:tc>
          <w:tcPr>
            <w:tcW w:w="964" w:type="dxa"/>
            <w:vAlign w:val="bottom"/>
          </w:tcPr>
          <w:p w14:paraId="76BC6039"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33C467FD"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10D6235D" w14:textId="77777777" w:rsidR="008E5DE4" w:rsidRDefault="008E5DE4">
            <w:pPr>
              <w:widowControl w:val="0"/>
              <w:pBdr>
                <w:top w:val="nil"/>
                <w:left w:val="nil"/>
                <w:bottom w:val="nil"/>
                <w:right w:val="nil"/>
                <w:between w:val="nil"/>
              </w:pBdr>
              <w:jc w:val="right"/>
              <w:rPr>
                <w:color w:val="000000"/>
              </w:rPr>
            </w:pPr>
          </w:p>
        </w:tc>
      </w:tr>
      <w:tr w:rsidR="008E5DE4" w14:paraId="4A987DF4" w14:textId="77777777">
        <w:trPr>
          <w:cantSplit/>
        </w:trPr>
        <w:tc>
          <w:tcPr>
            <w:tcW w:w="3119" w:type="dxa"/>
            <w:vAlign w:val="bottom"/>
          </w:tcPr>
          <w:p w14:paraId="55F4223E" w14:textId="77777777" w:rsidR="008E5DE4" w:rsidRDefault="00780368">
            <w:pPr>
              <w:widowControl w:val="0"/>
              <w:pBdr>
                <w:top w:val="nil"/>
                <w:left w:val="nil"/>
                <w:bottom w:val="nil"/>
                <w:right w:val="nil"/>
                <w:between w:val="nil"/>
              </w:pBdr>
              <w:ind w:left="113" w:right="-57" w:hanging="113"/>
              <w:rPr>
                <w:color w:val="000000"/>
              </w:rPr>
            </w:pPr>
            <w:r>
              <w:rPr>
                <w:color w:val="000000"/>
              </w:rPr>
              <w:t>- Investment properties</w:t>
            </w:r>
          </w:p>
        </w:tc>
        <w:tc>
          <w:tcPr>
            <w:tcW w:w="964" w:type="dxa"/>
            <w:vAlign w:val="bottom"/>
          </w:tcPr>
          <w:p w14:paraId="11D28689"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547FF05D"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4B34FB46" w14:textId="77777777" w:rsidR="008E5DE4" w:rsidRDefault="008E5DE4">
            <w:pPr>
              <w:widowControl w:val="0"/>
              <w:pBdr>
                <w:top w:val="nil"/>
                <w:left w:val="nil"/>
                <w:bottom w:val="nil"/>
                <w:right w:val="nil"/>
                <w:between w:val="nil"/>
              </w:pBdr>
              <w:jc w:val="right"/>
              <w:rPr>
                <w:color w:val="000000"/>
              </w:rPr>
            </w:pPr>
          </w:p>
        </w:tc>
      </w:tr>
      <w:tr w:rsidR="008E5DE4" w14:paraId="52B9EC45" w14:textId="77777777">
        <w:trPr>
          <w:cantSplit/>
        </w:trPr>
        <w:tc>
          <w:tcPr>
            <w:tcW w:w="3119" w:type="dxa"/>
            <w:vAlign w:val="bottom"/>
          </w:tcPr>
          <w:p w14:paraId="5724C518" w14:textId="77777777" w:rsidR="008E5DE4" w:rsidRDefault="008E5DE4">
            <w:pPr>
              <w:widowControl w:val="0"/>
              <w:pBdr>
                <w:top w:val="nil"/>
                <w:left w:val="nil"/>
                <w:bottom w:val="nil"/>
                <w:right w:val="nil"/>
                <w:between w:val="nil"/>
              </w:pBdr>
              <w:ind w:left="113" w:right="-57" w:hanging="113"/>
              <w:rPr>
                <w:color w:val="000000"/>
              </w:rPr>
            </w:pPr>
          </w:p>
        </w:tc>
        <w:tc>
          <w:tcPr>
            <w:tcW w:w="964" w:type="dxa"/>
            <w:vAlign w:val="bottom"/>
          </w:tcPr>
          <w:p w14:paraId="38AA0030"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6CD5FC70"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68424E12" w14:textId="77777777" w:rsidR="008E5DE4" w:rsidRDefault="008E5DE4">
            <w:pPr>
              <w:widowControl w:val="0"/>
              <w:pBdr>
                <w:top w:val="nil"/>
                <w:left w:val="nil"/>
                <w:bottom w:val="nil"/>
                <w:right w:val="nil"/>
                <w:between w:val="nil"/>
              </w:pBdr>
              <w:jc w:val="right"/>
              <w:rPr>
                <w:color w:val="000000"/>
              </w:rPr>
            </w:pPr>
          </w:p>
        </w:tc>
      </w:tr>
      <w:tr w:rsidR="008E5DE4" w14:paraId="495A4475" w14:textId="77777777">
        <w:trPr>
          <w:cantSplit/>
        </w:trPr>
        <w:tc>
          <w:tcPr>
            <w:tcW w:w="3119" w:type="dxa"/>
            <w:vAlign w:val="bottom"/>
          </w:tcPr>
          <w:p w14:paraId="41A9E3D7" w14:textId="77777777" w:rsidR="008E5DE4" w:rsidRDefault="00780368">
            <w:pPr>
              <w:widowControl w:val="0"/>
              <w:pBdr>
                <w:top w:val="nil"/>
                <w:left w:val="nil"/>
                <w:bottom w:val="nil"/>
                <w:right w:val="nil"/>
                <w:between w:val="nil"/>
              </w:pBdr>
              <w:ind w:left="113" w:right="-57" w:hanging="113"/>
              <w:rPr>
                <w:b/>
                <w:color w:val="000000"/>
              </w:rPr>
            </w:pPr>
            <w:r>
              <w:rPr>
                <w:b/>
                <w:smallCaps/>
                <w:color w:val="000000"/>
              </w:rPr>
              <w:t>LIABILITIES CARRIED AT FAIR VALUE</w:t>
            </w:r>
          </w:p>
        </w:tc>
        <w:tc>
          <w:tcPr>
            <w:tcW w:w="964" w:type="dxa"/>
            <w:vAlign w:val="bottom"/>
          </w:tcPr>
          <w:p w14:paraId="2D96819A"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01F6CA44"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73BA3398" w14:textId="77777777" w:rsidR="008E5DE4" w:rsidRDefault="008E5DE4">
            <w:pPr>
              <w:widowControl w:val="0"/>
              <w:pBdr>
                <w:top w:val="nil"/>
                <w:left w:val="nil"/>
                <w:bottom w:val="nil"/>
                <w:right w:val="nil"/>
                <w:between w:val="nil"/>
              </w:pBdr>
              <w:jc w:val="right"/>
              <w:rPr>
                <w:color w:val="000000"/>
              </w:rPr>
            </w:pPr>
          </w:p>
        </w:tc>
      </w:tr>
      <w:tr w:rsidR="008E5DE4" w14:paraId="2D5B1A08" w14:textId="77777777">
        <w:trPr>
          <w:cantSplit/>
        </w:trPr>
        <w:tc>
          <w:tcPr>
            <w:tcW w:w="3119" w:type="dxa"/>
            <w:vAlign w:val="bottom"/>
          </w:tcPr>
          <w:p w14:paraId="27011F30" w14:textId="77777777" w:rsidR="008E5DE4" w:rsidRDefault="00780368">
            <w:pPr>
              <w:widowControl w:val="0"/>
              <w:pBdr>
                <w:top w:val="nil"/>
                <w:left w:val="nil"/>
                <w:bottom w:val="nil"/>
                <w:right w:val="nil"/>
                <w:between w:val="nil"/>
              </w:pBdr>
              <w:ind w:left="113" w:right="-57" w:hanging="113"/>
              <w:rPr>
                <w:b/>
                <w:color w:val="000000"/>
              </w:rPr>
            </w:pPr>
            <w:r>
              <w:rPr>
                <w:b/>
                <w:smallCaps/>
                <w:color w:val="000000"/>
              </w:rPr>
              <w:t xml:space="preserve">FINANCIAL LIABILITIES </w:t>
            </w:r>
          </w:p>
        </w:tc>
        <w:tc>
          <w:tcPr>
            <w:tcW w:w="964" w:type="dxa"/>
            <w:vAlign w:val="bottom"/>
          </w:tcPr>
          <w:p w14:paraId="71163061"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7B4ADF10"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025C6353" w14:textId="77777777" w:rsidR="008E5DE4" w:rsidRDefault="008E5DE4">
            <w:pPr>
              <w:widowControl w:val="0"/>
              <w:pBdr>
                <w:top w:val="nil"/>
                <w:left w:val="nil"/>
                <w:bottom w:val="nil"/>
                <w:right w:val="nil"/>
                <w:between w:val="nil"/>
              </w:pBdr>
              <w:jc w:val="right"/>
              <w:rPr>
                <w:color w:val="000000"/>
              </w:rPr>
            </w:pPr>
          </w:p>
        </w:tc>
      </w:tr>
      <w:tr w:rsidR="008E5DE4" w14:paraId="6E01EF0D" w14:textId="77777777">
        <w:trPr>
          <w:cantSplit/>
        </w:trPr>
        <w:tc>
          <w:tcPr>
            <w:tcW w:w="3119" w:type="dxa"/>
            <w:vAlign w:val="bottom"/>
          </w:tcPr>
          <w:p w14:paraId="1B026533" w14:textId="77777777" w:rsidR="008E5DE4" w:rsidRDefault="00780368">
            <w:pPr>
              <w:widowControl w:val="0"/>
              <w:pBdr>
                <w:top w:val="nil"/>
                <w:left w:val="nil"/>
                <w:bottom w:val="nil"/>
                <w:right w:val="nil"/>
                <w:between w:val="nil"/>
              </w:pBdr>
              <w:ind w:left="113" w:right="-57" w:hanging="113"/>
              <w:rPr>
                <w:color w:val="000000"/>
              </w:rPr>
            </w:pPr>
            <w:r>
              <w:rPr>
                <w:b/>
                <w:i/>
                <w:color w:val="000000"/>
              </w:rPr>
              <w:t xml:space="preserve">Other financial liabilities </w:t>
            </w:r>
          </w:p>
        </w:tc>
        <w:tc>
          <w:tcPr>
            <w:tcW w:w="964" w:type="dxa"/>
            <w:vAlign w:val="bottom"/>
          </w:tcPr>
          <w:p w14:paraId="45F11A29"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4D857F6B"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157614A0" w14:textId="77777777" w:rsidR="008E5DE4" w:rsidRDefault="008E5DE4">
            <w:pPr>
              <w:widowControl w:val="0"/>
              <w:pBdr>
                <w:top w:val="nil"/>
                <w:left w:val="nil"/>
                <w:bottom w:val="nil"/>
                <w:right w:val="nil"/>
                <w:between w:val="nil"/>
              </w:pBdr>
              <w:jc w:val="right"/>
              <w:rPr>
                <w:color w:val="000000"/>
              </w:rPr>
            </w:pPr>
          </w:p>
        </w:tc>
      </w:tr>
      <w:tr w:rsidR="008E5DE4" w14:paraId="55ACD5C1" w14:textId="77777777">
        <w:trPr>
          <w:cantSplit/>
        </w:trPr>
        <w:tc>
          <w:tcPr>
            <w:tcW w:w="3119" w:type="dxa"/>
            <w:vAlign w:val="bottom"/>
          </w:tcPr>
          <w:p w14:paraId="5B3CB703" w14:textId="77777777" w:rsidR="008E5DE4" w:rsidRDefault="00780368">
            <w:pPr>
              <w:widowControl w:val="0"/>
              <w:pBdr>
                <w:top w:val="nil"/>
                <w:left w:val="nil"/>
                <w:bottom w:val="nil"/>
                <w:right w:val="nil"/>
                <w:between w:val="nil"/>
              </w:pBdr>
              <w:ind w:left="113" w:right="-57" w:hanging="113"/>
              <w:rPr>
                <w:color w:val="000000"/>
              </w:rPr>
            </w:pPr>
            <w:r>
              <w:rPr>
                <w:color w:val="000000"/>
              </w:rPr>
              <w:t>- Foreign exchange forward contracts</w:t>
            </w:r>
          </w:p>
        </w:tc>
        <w:tc>
          <w:tcPr>
            <w:tcW w:w="964" w:type="dxa"/>
            <w:vAlign w:val="bottom"/>
          </w:tcPr>
          <w:p w14:paraId="4345E081"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6AC29CB6"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4702E8E1" w14:textId="77777777" w:rsidR="008E5DE4" w:rsidRDefault="008E5DE4">
            <w:pPr>
              <w:widowControl w:val="0"/>
              <w:pBdr>
                <w:top w:val="nil"/>
                <w:left w:val="nil"/>
                <w:bottom w:val="nil"/>
                <w:right w:val="nil"/>
                <w:between w:val="nil"/>
              </w:pBdr>
              <w:jc w:val="right"/>
              <w:rPr>
                <w:color w:val="000000"/>
              </w:rPr>
            </w:pPr>
          </w:p>
        </w:tc>
      </w:tr>
      <w:tr w:rsidR="008E5DE4" w14:paraId="28659EAA" w14:textId="77777777">
        <w:trPr>
          <w:cantSplit/>
        </w:trPr>
        <w:tc>
          <w:tcPr>
            <w:tcW w:w="3119" w:type="dxa"/>
            <w:vAlign w:val="bottom"/>
          </w:tcPr>
          <w:p w14:paraId="62913B08" w14:textId="77777777" w:rsidR="008E5DE4" w:rsidRDefault="00780368">
            <w:pPr>
              <w:widowControl w:val="0"/>
              <w:pBdr>
                <w:top w:val="nil"/>
                <w:left w:val="nil"/>
                <w:bottom w:val="nil"/>
                <w:right w:val="nil"/>
                <w:between w:val="nil"/>
              </w:pBdr>
              <w:ind w:left="113" w:right="-57" w:hanging="113"/>
              <w:rPr>
                <w:color w:val="000000"/>
              </w:rPr>
            </w:pPr>
            <w:r>
              <w:rPr>
                <w:color w:val="000000"/>
              </w:rPr>
              <w:t>- Other derivative financial instruments</w:t>
            </w:r>
          </w:p>
        </w:tc>
        <w:tc>
          <w:tcPr>
            <w:tcW w:w="964" w:type="dxa"/>
            <w:vAlign w:val="bottom"/>
          </w:tcPr>
          <w:p w14:paraId="78928DA6"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29512127"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287194C9" w14:textId="77777777" w:rsidR="008E5DE4" w:rsidRDefault="008E5DE4">
            <w:pPr>
              <w:widowControl w:val="0"/>
              <w:pBdr>
                <w:top w:val="nil"/>
                <w:left w:val="nil"/>
                <w:bottom w:val="nil"/>
                <w:right w:val="nil"/>
                <w:between w:val="nil"/>
              </w:pBdr>
              <w:jc w:val="right"/>
              <w:rPr>
                <w:color w:val="000000"/>
              </w:rPr>
            </w:pPr>
          </w:p>
        </w:tc>
      </w:tr>
      <w:tr w:rsidR="008E5DE4" w14:paraId="3ACA0962" w14:textId="77777777">
        <w:trPr>
          <w:cantSplit/>
        </w:trPr>
        <w:tc>
          <w:tcPr>
            <w:tcW w:w="3119" w:type="dxa"/>
            <w:vAlign w:val="bottom"/>
          </w:tcPr>
          <w:p w14:paraId="5D84A9B6" w14:textId="77777777" w:rsidR="008E5DE4" w:rsidRDefault="00780368">
            <w:pPr>
              <w:widowControl w:val="0"/>
              <w:pBdr>
                <w:top w:val="nil"/>
                <w:left w:val="nil"/>
                <w:bottom w:val="nil"/>
                <w:right w:val="nil"/>
                <w:between w:val="nil"/>
              </w:pBdr>
              <w:ind w:left="113" w:right="-57" w:hanging="113"/>
              <w:rPr>
                <w:color w:val="000000"/>
              </w:rPr>
            </w:pPr>
            <w:r>
              <w:rPr>
                <w:color w:val="000000"/>
              </w:rPr>
              <w:t>- Other financial liability at FV</w:t>
            </w:r>
          </w:p>
        </w:tc>
        <w:tc>
          <w:tcPr>
            <w:tcW w:w="964" w:type="dxa"/>
            <w:vAlign w:val="bottom"/>
          </w:tcPr>
          <w:p w14:paraId="456F8FAC"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63E78A2E" w14:textId="77777777" w:rsidR="008E5DE4" w:rsidRDefault="008E5DE4">
            <w:pPr>
              <w:widowControl w:val="0"/>
              <w:pBdr>
                <w:top w:val="nil"/>
                <w:left w:val="nil"/>
                <w:bottom w:val="nil"/>
                <w:right w:val="nil"/>
                <w:between w:val="nil"/>
              </w:pBdr>
              <w:jc w:val="right"/>
              <w:rPr>
                <w:color w:val="000000"/>
              </w:rPr>
            </w:pPr>
          </w:p>
        </w:tc>
        <w:tc>
          <w:tcPr>
            <w:tcW w:w="2665" w:type="dxa"/>
            <w:vAlign w:val="bottom"/>
          </w:tcPr>
          <w:p w14:paraId="44ACF89A" w14:textId="77777777" w:rsidR="008E5DE4" w:rsidRDefault="008E5DE4">
            <w:pPr>
              <w:widowControl w:val="0"/>
              <w:pBdr>
                <w:top w:val="nil"/>
                <w:left w:val="nil"/>
                <w:bottom w:val="nil"/>
                <w:right w:val="nil"/>
                <w:between w:val="nil"/>
              </w:pBdr>
              <w:jc w:val="right"/>
              <w:rPr>
                <w:color w:val="000000"/>
              </w:rPr>
            </w:pPr>
          </w:p>
        </w:tc>
      </w:tr>
      <w:tr w:rsidR="008E5DE4" w14:paraId="1FB3E17D" w14:textId="77777777">
        <w:trPr>
          <w:cantSplit/>
        </w:trPr>
        <w:tc>
          <w:tcPr>
            <w:tcW w:w="3119" w:type="dxa"/>
            <w:tcBorders>
              <w:bottom w:val="single" w:sz="4" w:space="0" w:color="000000"/>
            </w:tcBorders>
            <w:vAlign w:val="bottom"/>
          </w:tcPr>
          <w:p w14:paraId="73D6BB7B"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964" w:type="dxa"/>
            <w:tcBorders>
              <w:bottom w:val="single" w:sz="4" w:space="0" w:color="000000"/>
            </w:tcBorders>
            <w:vAlign w:val="bottom"/>
          </w:tcPr>
          <w:p w14:paraId="0FE35772" w14:textId="77777777" w:rsidR="008E5DE4" w:rsidRDefault="008E5DE4">
            <w:pPr>
              <w:widowControl w:val="0"/>
              <w:pBdr>
                <w:top w:val="nil"/>
                <w:left w:val="nil"/>
                <w:bottom w:val="nil"/>
                <w:right w:val="nil"/>
                <w:between w:val="nil"/>
              </w:pBdr>
              <w:jc w:val="right"/>
              <w:rPr>
                <w:color w:val="000000"/>
              </w:rPr>
            </w:pPr>
          </w:p>
        </w:tc>
        <w:tc>
          <w:tcPr>
            <w:tcW w:w="2665" w:type="dxa"/>
            <w:tcBorders>
              <w:bottom w:val="single" w:sz="4" w:space="0" w:color="000000"/>
            </w:tcBorders>
            <w:vAlign w:val="bottom"/>
          </w:tcPr>
          <w:p w14:paraId="1F9E6A56" w14:textId="77777777" w:rsidR="008E5DE4" w:rsidRDefault="008E5DE4">
            <w:pPr>
              <w:widowControl w:val="0"/>
              <w:pBdr>
                <w:top w:val="nil"/>
                <w:left w:val="nil"/>
                <w:bottom w:val="nil"/>
                <w:right w:val="nil"/>
                <w:between w:val="nil"/>
              </w:pBdr>
              <w:jc w:val="right"/>
              <w:rPr>
                <w:color w:val="000000"/>
              </w:rPr>
            </w:pPr>
          </w:p>
        </w:tc>
        <w:tc>
          <w:tcPr>
            <w:tcW w:w="2665" w:type="dxa"/>
            <w:tcBorders>
              <w:bottom w:val="single" w:sz="4" w:space="0" w:color="000000"/>
            </w:tcBorders>
            <w:vAlign w:val="bottom"/>
          </w:tcPr>
          <w:p w14:paraId="1B622861" w14:textId="77777777" w:rsidR="008E5DE4" w:rsidRDefault="008E5DE4">
            <w:pPr>
              <w:widowControl w:val="0"/>
              <w:pBdr>
                <w:top w:val="nil"/>
                <w:left w:val="nil"/>
                <w:bottom w:val="nil"/>
                <w:right w:val="nil"/>
                <w:between w:val="nil"/>
              </w:pBdr>
              <w:jc w:val="right"/>
              <w:rPr>
                <w:color w:val="000000"/>
              </w:rPr>
            </w:pPr>
          </w:p>
        </w:tc>
      </w:tr>
      <w:tr w:rsidR="008E5DE4" w14:paraId="0005D280" w14:textId="77777777">
        <w:trPr>
          <w:cantSplit/>
        </w:trPr>
        <w:tc>
          <w:tcPr>
            <w:tcW w:w="3119" w:type="dxa"/>
            <w:vAlign w:val="bottom"/>
          </w:tcPr>
          <w:p w14:paraId="52DE407E"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964" w:type="dxa"/>
            <w:vAlign w:val="bottom"/>
          </w:tcPr>
          <w:p w14:paraId="335CF193" w14:textId="77777777" w:rsidR="008E5DE4" w:rsidRDefault="008E5DE4">
            <w:pPr>
              <w:widowControl w:val="0"/>
              <w:pBdr>
                <w:top w:val="nil"/>
                <w:left w:val="nil"/>
                <w:bottom w:val="nil"/>
                <w:right w:val="nil"/>
                <w:between w:val="nil"/>
              </w:pBdr>
              <w:jc w:val="right"/>
              <w:rPr>
                <w:b/>
                <w:color w:val="000000"/>
              </w:rPr>
            </w:pPr>
          </w:p>
        </w:tc>
        <w:tc>
          <w:tcPr>
            <w:tcW w:w="2665" w:type="dxa"/>
            <w:vAlign w:val="bottom"/>
          </w:tcPr>
          <w:p w14:paraId="0FAC590A" w14:textId="77777777" w:rsidR="008E5DE4" w:rsidRDefault="008E5DE4">
            <w:pPr>
              <w:widowControl w:val="0"/>
              <w:pBdr>
                <w:top w:val="nil"/>
                <w:left w:val="nil"/>
                <w:bottom w:val="nil"/>
                <w:right w:val="nil"/>
                <w:between w:val="nil"/>
              </w:pBdr>
              <w:jc w:val="right"/>
              <w:rPr>
                <w:b/>
                <w:color w:val="000000"/>
              </w:rPr>
            </w:pPr>
          </w:p>
        </w:tc>
        <w:tc>
          <w:tcPr>
            <w:tcW w:w="2665" w:type="dxa"/>
            <w:vAlign w:val="bottom"/>
          </w:tcPr>
          <w:p w14:paraId="61E096CB" w14:textId="77777777" w:rsidR="008E5DE4" w:rsidRDefault="008E5DE4">
            <w:pPr>
              <w:widowControl w:val="0"/>
              <w:pBdr>
                <w:top w:val="nil"/>
                <w:left w:val="nil"/>
                <w:bottom w:val="nil"/>
                <w:right w:val="nil"/>
                <w:between w:val="nil"/>
              </w:pBdr>
              <w:jc w:val="right"/>
              <w:rPr>
                <w:b/>
                <w:color w:val="000000"/>
              </w:rPr>
            </w:pPr>
          </w:p>
        </w:tc>
      </w:tr>
      <w:tr w:rsidR="008E5DE4" w14:paraId="0AEF20EC" w14:textId="77777777">
        <w:trPr>
          <w:cantSplit/>
        </w:trPr>
        <w:tc>
          <w:tcPr>
            <w:tcW w:w="3119" w:type="dxa"/>
            <w:vAlign w:val="bottom"/>
          </w:tcPr>
          <w:p w14:paraId="7A69296D"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RECURRING FAIR VALUE MEASUREMENTS AT LEVEL 2</w:t>
            </w:r>
          </w:p>
        </w:tc>
        <w:tc>
          <w:tcPr>
            <w:tcW w:w="964" w:type="dxa"/>
            <w:vAlign w:val="bottom"/>
          </w:tcPr>
          <w:p w14:paraId="2F672BE4" w14:textId="77777777" w:rsidR="008E5DE4" w:rsidRDefault="008E5DE4">
            <w:pPr>
              <w:widowControl w:val="0"/>
              <w:pBdr>
                <w:top w:val="nil"/>
                <w:left w:val="nil"/>
                <w:bottom w:val="nil"/>
                <w:right w:val="nil"/>
                <w:between w:val="nil"/>
              </w:pBdr>
              <w:jc w:val="right"/>
              <w:rPr>
                <w:b/>
                <w:smallCaps/>
                <w:color w:val="000000"/>
              </w:rPr>
            </w:pPr>
          </w:p>
        </w:tc>
        <w:tc>
          <w:tcPr>
            <w:tcW w:w="2665" w:type="dxa"/>
            <w:vAlign w:val="bottom"/>
          </w:tcPr>
          <w:p w14:paraId="240BA3D2" w14:textId="77777777" w:rsidR="008E5DE4" w:rsidRDefault="008E5DE4">
            <w:pPr>
              <w:widowControl w:val="0"/>
              <w:pBdr>
                <w:top w:val="nil"/>
                <w:left w:val="nil"/>
                <w:bottom w:val="nil"/>
                <w:right w:val="nil"/>
                <w:between w:val="nil"/>
              </w:pBdr>
              <w:jc w:val="right"/>
              <w:rPr>
                <w:b/>
                <w:smallCaps/>
                <w:color w:val="000000"/>
              </w:rPr>
            </w:pPr>
          </w:p>
        </w:tc>
        <w:tc>
          <w:tcPr>
            <w:tcW w:w="2665" w:type="dxa"/>
            <w:vAlign w:val="bottom"/>
          </w:tcPr>
          <w:p w14:paraId="6D986888" w14:textId="77777777" w:rsidR="008E5DE4" w:rsidRDefault="008E5DE4">
            <w:pPr>
              <w:widowControl w:val="0"/>
              <w:pBdr>
                <w:top w:val="nil"/>
                <w:left w:val="nil"/>
                <w:bottom w:val="nil"/>
                <w:right w:val="nil"/>
                <w:between w:val="nil"/>
              </w:pBdr>
              <w:jc w:val="right"/>
              <w:rPr>
                <w:b/>
                <w:smallCaps/>
                <w:color w:val="000000"/>
              </w:rPr>
            </w:pPr>
          </w:p>
        </w:tc>
      </w:tr>
      <w:tr w:rsidR="008E5DE4" w14:paraId="3BA690A6" w14:textId="77777777">
        <w:trPr>
          <w:cantSplit/>
        </w:trPr>
        <w:tc>
          <w:tcPr>
            <w:tcW w:w="3119" w:type="dxa"/>
            <w:tcBorders>
              <w:bottom w:val="single" w:sz="12" w:space="0" w:color="000000"/>
            </w:tcBorders>
            <w:vAlign w:val="bottom"/>
          </w:tcPr>
          <w:p w14:paraId="12CEA66C" w14:textId="77777777" w:rsidR="008E5DE4" w:rsidRDefault="00780368">
            <w:pPr>
              <w:widowControl w:val="0"/>
              <w:ind w:left="113" w:right="-57" w:hanging="113"/>
            </w:pPr>
            <w:r>
              <w:rPr>
                <w:color w:val="0000FF"/>
              </w:rPr>
              <w:t> </w:t>
            </w:r>
          </w:p>
        </w:tc>
        <w:tc>
          <w:tcPr>
            <w:tcW w:w="964" w:type="dxa"/>
            <w:tcBorders>
              <w:bottom w:val="single" w:sz="12" w:space="0" w:color="000000"/>
            </w:tcBorders>
            <w:vAlign w:val="bottom"/>
          </w:tcPr>
          <w:p w14:paraId="1CD348EA" w14:textId="77777777" w:rsidR="008E5DE4" w:rsidRDefault="008E5DE4">
            <w:pPr>
              <w:widowControl w:val="0"/>
              <w:pBdr>
                <w:top w:val="nil"/>
                <w:left w:val="nil"/>
                <w:bottom w:val="nil"/>
                <w:right w:val="nil"/>
                <w:between w:val="nil"/>
              </w:pBdr>
              <w:jc w:val="right"/>
              <w:rPr>
                <w:b/>
                <w:color w:val="000000"/>
              </w:rPr>
            </w:pPr>
          </w:p>
        </w:tc>
        <w:tc>
          <w:tcPr>
            <w:tcW w:w="2665" w:type="dxa"/>
            <w:tcBorders>
              <w:bottom w:val="single" w:sz="12" w:space="0" w:color="000000"/>
            </w:tcBorders>
            <w:vAlign w:val="bottom"/>
          </w:tcPr>
          <w:p w14:paraId="70A0FE04" w14:textId="77777777" w:rsidR="008E5DE4" w:rsidRDefault="008E5DE4">
            <w:pPr>
              <w:widowControl w:val="0"/>
              <w:pBdr>
                <w:top w:val="nil"/>
                <w:left w:val="nil"/>
                <w:bottom w:val="nil"/>
                <w:right w:val="nil"/>
                <w:between w:val="nil"/>
              </w:pBdr>
              <w:jc w:val="right"/>
              <w:rPr>
                <w:b/>
                <w:color w:val="000000"/>
              </w:rPr>
            </w:pPr>
          </w:p>
        </w:tc>
        <w:tc>
          <w:tcPr>
            <w:tcW w:w="2665" w:type="dxa"/>
            <w:tcBorders>
              <w:bottom w:val="single" w:sz="12" w:space="0" w:color="000000"/>
            </w:tcBorders>
            <w:vAlign w:val="bottom"/>
          </w:tcPr>
          <w:p w14:paraId="6B3DC474" w14:textId="77777777" w:rsidR="008E5DE4" w:rsidRDefault="008E5DE4">
            <w:pPr>
              <w:widowControl w:val="0"/>
              <w:pBdr>
                <w:top w:val="nil"/>
                <w:left w:val="nil"/>
                <w:bottom w:val="nil"/>
                <w:right w:val="nil"/>
                <w:between w:val="nil"/>
              </w:pBdr>
              <w:jc w:val="right"/>
              <w:rPr>
                <w:b/>
                <w:color w:val="000000"/>
              </w:rPr>
            </w:pPr>
          </w:p>
        </w:tc>
      </w:tr>
    </w:tbl>
    <w:p w14:paraId="0008098C" w14:textId="7EDCC05F"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There were no changes in valuation techniques for level 2 recurring fair value measurements during the year ended 31 December </w:t>
      </w:r>
      <w:r w:rsidR="008614F8">
        <w:rPr>
          <w:color w:val="000000"/>
          <w:sz w:val="20"/>
          <w:szCs w:val="20"/>
        </w:rPr>
        <w:t>2025</w:t>
      </w:r>
      <w:r>
        <w:rPr>
          <w:color w:val="000000"/>
          <w:sz w:val="20"/>
          <w:szCs w:val="20"/>
        </w:rPr>
        <w:t xml:space="preserve"> (</w:t>
      </w:r>
      <w:r w:rsidR="00A46633">
        <w:rPr>
          <w:color w:val="000000"/>
          <w:sz w:val="20"/>
          <w:szCs w:val="20"/>
        </w:rPr>
        <w:t>2024</w:t>
      </w:r>
      <w:r>
        <w:rPr>
          <w:color w:val="000000"/>
          <w:sz w:val="20"/>
          <w:szCs w:val="20"/>
        </w:rPr>
        <w:t xml:space="preserve">: none). </w:t>
      </w:r>
    </w:p>
    <w:p w14:paraId="240985CD"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53</w:t>
      </w:r>
      <w:r>
        <w:rPr>
          <w:b/>
          <w:color w:val="000000"/>
          <w:sz w:val="20"/>
          <w:szCs w:val="20"/>
        </w:rPr>
        <w:tab/>
        <w:t>Fair Value Disclosures (Continued)</w:t>
      </w:r>
    </w:p>
    <w:p w14:paraId="1C5EE257" w14:textId="674CE281" w:rsidR="008E5DE4" w:rsidRDefault="00780368">
      <w:pPr>
        <w:widowControl w:val="0"/>
        <w:spacing w:before="200" w:after="200"/>
        <w:jc w:val="both"/>
        <w:rPr>
          <w:sz w:val="20"/>
          <w:szCs w:val="20"/>
        </w:rPr>
      </w:pPr>
      <w:r>
        <w:rPr>
          <w:sz w:val="20"/>
          <w:szCs w:val="20"/>
        </w:rPr>
        <w:t xml:space="preserve">The valuation technique, inputs used in the fair value measurement for level 3 measurements and related sensitivity to reasonably possible changes in those inputs are as follows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w:t>
      </w:r>
    </w:p>
    <w:tbl>
      <w:tblPr>
        <w:tblStyle w:val="afffffffffffffe"/>
        <w:tblW w:w="9411" w:type="dxa"/>
        <w:tblLayout w:type="fixed"/>
        <w:tblLook w:val="0000" w:firstRow="0" w:lastRow="0" w:firstColumn="0" w:lastColumn="0" w:noHBand="0" w:noVBand="0"/>
      </w:tblPr>
      <w:tblGrid>
        <w:gridCol w:w="3175"/>
        <w:gridCol w:w="964"/>
        <w:gridCol w:w="1077"/>
        <w:gridCol w:w="1077"/>
        <w:gridCol w:w="1077"/>
        <w:gridCol w:w="964"/>
        <w:gridCol w:w="1077"/>
      </w:tblGrid>
      <w:tr w:rsidR="008E5DE4" w14:paraId="077FF33B" w14:textId="77777777">
        <w:trPr>
          <w:cantSplit/>
        </w:trPr>
        <w:tc>
          <w:tcPr>
            <w:tcW w:w="3175" w:type="dxa"/>
            <w:tcBorders>
              <w:bottom w:val="single" w:sz="4" w:space="0" w:color="000000"/>
            </w:tcBorders>
            <w:vAlign w:val="bottom"/>
          </w:tcPr>
          <w:p w14:paraId="7F1DE769" w14:textId="77777777" w:rsidR="008E5DE4" w:rsidRDefault="008E5DE4">
            <w:pPr>
              <w:widowControl w:val="0"/>
              <w:pBdr>
                <w:top w:val="nil"/>
                <w:left w:val="nil"/>
                <w:bottom w:val="nil"/>
                <w:right w:val="nil"/>
                <w:between w:val="nil"/>
              </w:pBdr>
              <w:ind w:left="113" w:right="-57" w:hanging="113"/>
              <w:rPr>
                <w:i/>
                <w:color w:val="000000"/>
              </w:rPr>
            </w:pPr>
          </w:p>
          <w:p w14:paraId="3943B61C"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964" w:type="dxa"/>
            <w:tcBorders>
              <w:bottom w:val="single" w:sz="4" w:space="0" w:color="000000"/>
            </w:tcBorders>
          </w:tcPr>
          <w:p w14:paraId="75AE1986"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1077" w:type="dxa"/>
            <w:tcBorders>
              <w:bottom w:val="single" w:sz="4" w:space="0" w:color="000000"/>
            </w:tcBorders>
          </w:tcPr>
          <w:p w14:paraId="33162337" w14:textId="77777777" w:rsidR="008E5DE4" w:rsidRDefault="00780368">
            <w:pPr>
              <w:widowControl w:val="0"/>
              <w:pBdr>
                <w:top w:val="nil"/>
                <w:left w:val="nil"/>
                <w:bottom w:val="nil"/>
                <w:right w:val="nil"/>
                <w:between w:val="nil"/>
              </w:pBdr>
              <w:ind w:left="-113"/>
              <w:jc w:val="right"/>
              <w:rPr>
                <w:b/>
                <w:color w:val="000000"/>
              </w:rPr>
            </w:pPr>
            <w:r>
              <w:rPr>
                <w:b/>
                <w:color w:val="000000"/>
              </w:rPr>
              <w:t>Valuation technique</w:t>
            </w:r>
          </w:p>
        </w:tc>
        <w:tc>
          <w:tcPr>
            <w:tcW w:w="1077" w:type="dxa"/>
            <w:tcBorders>
              <w:bottom w:val="single" w:sz="4" w:space="0" w:color="000000"/>
            </w:tcBorders>
          </w:tcPr>
          <w:p w14:paraId="7351C06E" w14:textId="77777777" w:rsidR="008E5DE4" w:rsidRDefault="00780368">
            <w:pPr>
              <w:widowControl w:val="0"/>
              <w:pBdr>
                <w:top w:val="nil"/>
                <w:left w:val="nil"/>
                <w:bottom w:val="nil"/>
                <w:right w:val="nil"/>
                <w:between w:val="nil"/>
              </w:pBdr>
              <w:ind w:left="-113"/>
              <w:jc w:val="right"/>
              <w:rPr>
                <w:b/>
                <w:color w:val="000000"/>
              </w:rPr>
            </w:pPr>
            <w:r>
              <w:rPr>
                <w:b/>
                <w:color w:val="000000"/>
              </w:rPr>
              <w:t>Inputs used</w:t>
            </w:r>
          </w:p>
        </w:tc>
        <w:tc>
          <w:tcPr>
            <w:tcW w:w="1077" w:type="dxa"/>
            <w:tcBorders>
              <w:bottom w:val="single" w:sz="4" w:space="0" w:color="000000"/>
            </w:tcBorders>
          </w:tcPr>
          <w:p w14:paraId="225038CB" w14:textId="77777777" w:rsidR="008E5DE4" w:rsidRDefault="00780368">
            <w:pPr>
              <w:widowControl w:val="0"/>
              <w:pBdr>
                <w:top w:val="nil"/>
                <w:left w:val="nil"/>
                <w:bottom w:val="nil"/>
                <w:right w:val="nil"/>
                <w:between w:val="nil"/>
              </w:pBdr>
              <w:ind w:left="-113"/>
              <w:jc w:val="right"/>
              <w:rPr>
                <w:color w:val="000000"/>
              </w:rPr>
            </w:pPr>
            <w:r>
              <w:rPr>
                <w:b/>
                <w:color w:val="000000"/>
              </w:rPr>
              <w:t>Range of inputs (weighted average)</w:t>
            </w:r>
          </w:p>
        </w:tc>
        <w:tc>
          <w:tcPr>
            <w:tcW w:w="964" w:type="dxa"/>
            <w:tcBorders>
              <w:bottom w:val="single" w:sz="4" w:space="0" w:color="000000"/>
            </w:tcBorders>
          </w:tcPr>
          <w:p w14:paraId="7A9F8EE5" w14:textId="77777777" w:rsidR="008E5DE4" w:rsidRDefault="00780368">
            <w:pPr>
              <w:widowControl w:val="0"/>
              <w:pBdr>
                <w:top w:val="nil"/>
                <w:left w:val="nil"/>
                <w:bottom w:val="nil"/>
                <w:right w:val="nil"/>
                <w:between w:val="nil"/>
              </w:pBdr>
              <w:ind w:left="-113"/>
              <w:jc w:val="right"/>
              <w:rPr>
                <w:color w:val="000000"/>
              </w:rPr>
            </w:pPr>
            <w:proofErr w:type="spellStart"/>
            <w:r>
              <w:rPr>
                <w:b/>
                <w:color w:val="000000"/>
              </w:rPr>
              <w:t>Reaso-nable</w:t>
            </w:r>
            <w:proofErr w:type="spellEnd"/>
            <w:r>
              <w:rPr>
                <w:b/>
                <w:color w:val="000000"/>
              </w:rPr>
              <w:t xml:space="preserve"> change</w:t>
            </w:r>
          </w:p>
        </w:tc>
        <w:tc>
          <w:tcPr>
            <w:tcW w:w="1077" w:type="dxa"/>
            <w:tcBorders>
              <w:bottom w:val="single" w:sz="4" w:space="0" w:color="000000"/>
            </w:tcBorders>
          </w:tcPr>
          <w:p w14:paraId="5639EE83" w14:textId="77777777" w:rsidR="008E5DE4" w:rsidRDefault="00780368">
            <w:pPr>
              <w:widowControl w:val="0"/>
              <w:pBdr>
                <w:top w:val="nil"/>
                <w:left w:val="nil"/>
                <w:bottom w:val="nil"/>
                <w:right w:val="nil"/>
                <w:between w:val="nil"/>
              </w:pBdr>
              <w:ind w:left="-113"/>
              <w:jc w:val="right"/>
              <w:rPr>
                <w:color w:val="000000"/>
              </w:rPr>
            </w:pPr>
            <w:r>
              <w:rPr>
                <w:b/>
                <w:color w:val="000000"/>
              </w:rPr>
              <w:t xml:space="preserve">Sensitivity of fair value </w:t>
            </w:r>
            <w:proofErr w:type="spellStart"/>
            <w:r>
              <w:rPr>
                <w:b/>
                <w:color w:val="000000"/>
              </w:rPr>
              <w:t>measu-rement</w:t>
            </w:r>
            <w:proofErr w:type="spellEnd"/>
          </w:p>
        </w:tc>
      </w:tr>
      <w:tr w:rsidR="008E5DE4" w14:paraId="2329F5C1" w14:textId="77777777">
        <w:trPr>
          <w:cantSplit/>
        </w:trPr>
        <w:tc>
          <w:tcPr>
            <w:tcW w:w="3175" w:type="dxa"/>
            <w:tcBorders>
              <w:top w:val="single" w:sz="4" w:space="0" w:color="000000"/>
            </w:tcBorders>
            <w:vAlign w:val="bottom"/>
          </w:tcPr>
          <w:p w14:paraId="52A2D787" w14:textId="77777777" w:rsidR="008E5DE4" w:rsidRDefault="00780368">
            <w:pPr>
              <w:widowControl w:val="0"/>
              <w:pBdr>
                <w:top w:val="nil"/>
                <w:left w:val="nil"/>
                <w:bottom w:val="nil"/>
                <w:right w:val="nil"/>
                <w:between w:val="nil"/>
              </w:pBdr>
              <w:ind w:left="113" w:right="-57" w:hanging="113"/>
              <w:rPr>
                <w:i/>
                <w:color w:val="000000"/>
              </w:rPr>
            </w:pPr>
            <w:r>
              <w:rPr>
                <w:i/>
                <w:color w:val="0000FF"/>
              </w:rPr>
              <w:t> </w:t>
            </w:r>
          </w:p>
        </w:tc>
        <w:tc>
          <w:tcPr>
            <w:tcW w:w="964" w:type="dxa"/>
            <w:tcBorders>
              <w:top w:val="single" w:sz="4" w:space="0" w:color="000000"/>
            </w:tcBorders>
            <w:vAlign w:val="bottom"/>
          </w:tcPr>
          <w:p w14:paraId="4C333F9E" w14:textId="77777777" w:rsidR="008E5DE4" w:rsidRDefault="008E5DE4">
            <w:pPr>
              <w:widowControl w:val="0"/>
              <w:pBdr>
                <w:top w:val="nil"/>
                <w:left w:val="nil"/>
                <w:bottom w:val="nil"/>
                <w:right w:val="nil"/>
                <w:between w:val="nil"/>
              </w:pBdr>
              <w:ind w:left="-113"/>
              <w:jc w:val="right"/>
              <w:rPr>
                <w:color w:val="000000"/>
              </w:rPr>
            </w:pPr>
          </w:p>
        </w:tc>
        <w:tc>
          <w:tcPr>
            <w:tcW w:w="1077" w:type="dxa"/>
            <w:tcBorders>
              <w:top w:val="single" w:sz="4" w:space="0" w:color="000000"/>
            </w:tcBorders>
            <w:vAlign w:val="bottom"/>
          </w:tcPr>
          <w:p w14:paraId="651C679D" w14:textId="77777777" w:rsidR="008E5DE4" w:rsidRDefault="008E5DE4">
            <w:pPr>
              <w:widowControl w:val="0"/>
              <w:pBdr>
                <w:top w:val="nil"/>
                <w:left w:val="nil"/>
                <w:bottom w:val="nil"/>
                <w:right w:val="nil"/>
                <w:between w:val="nil"/>
              </w:pBdr>
              <w:ind w:left="-113"/>
              <w:jc w:val="right"/>
              <w:rPr>
                <w:color w:val="000000"/>
              </w:rPr>
            </w:pPr>
          </w:p>
        </w:tc>
        <w:tc>
          <w:tcPr>
            <w:tcW w:w="1077" w:type="dxa"/>
            <w:tcBorders>
              <w:top w:val="single" w:sz="4" w:space="0" w:color="000000"/>
            </w:tcBorders>
            <w:vAlign w:val="bottom"/>
          </w:tcPr>
          <w:p w14:paraId="0DBFDC5D" w14:textId="77777777" w:rsidR="008E5DE4" w:rsidRDefault="008E5DE4">
            <w:pPr>
              <w:widowControl w:val="0"/>
              <w:pBdr>
                <w:top w:val="nil"/>
                <w:left w:val="nil"/>
                <w:bottom w:val="nil"/>
                <w:right w:val="nil"/>
                <w:between w:val="nil"/>
              </w:pBdr>
              <w:ind w:left="-113"/>
              <w:jc w:val="right"/>
              <w:rPr>
                <w:color w:val="000000"/>
              </w:rPr>
            </w:pPr>
          </w:p>
        </w:tc>
        <w:tc>
          <w:tcPr>
            <w:tcW w:w="1077" w:type="dxa"/>
            <w:tcBorders>
              <w:top w:val="single" w:sz="4" w:space="0" w:color="000000"/>
            </w:tcBorders>
            <w:vAlign w:val="bottom"/>
          </w:tcPr>
          <w:p w14:paraId="14758599" w14:textId="77777777" w:rsidR="008E5DE4" w:rsidRDefault="008E5DE4">
            <w:pPr>
              <w:widowControl w:val="0"/>
              <w:pBdr>
                <w:top w:val="nil"/>
                <w:left w:val="nil"/>
                <w:bottom w:val="nil"/>
                <w:right w:val="nil"/>
                <w:between w:val="nil"/>
              </w:pBdr>
              <w:ind w:left="-113"/>
              <w:jc w:val="right"/>
              <w:rPr>
                <w:color w:val="000000"/>
              </w:rPr>
            </w:pPr>
          </w:p>
        </w:tc>
        <w:tc>
          <w:tcPr>
            <w:tcW w:w="964" w:type="dxa"/>
            <w:tcBorders>
              <w:top w:val="single" w:sz="4" w:space="0" w:color="000000"/>
            </w:tcBorders>
            <w:vAlign w:val="bottom"/>
          </w:tcPr>
          <w:p w14:paraId="7B92FFB1" w14:textId="77777777" w:rsidR="008E5DE4" w:rsidRDefault="008E5DE4">
            <w:pPr>
              <w:widowControl w:val="0"/>
              <w:pBdr>
                <w:top w:val="nil"/>
                <w:left w:val="nil"/>
                <w:bottom w:val="nil"/>
                <w:right w:val="nil"/>
                <w:between w:val="nil"/>
              </w:pBdr>
              <w:ind w:left="-113"/>
              <w:jc w:val="right"/>
              <w:rPr>
                <w:color w:val="000000"/>
              </w:rPr>
            </w:pPr>
          </w:p>
        </w:tc>
        <w:tc>
          <w:tcPr>
            <w:tcW w:w="1077" w:type="dxa"/>
            <w:tcBorders>
              <w:top w:val="single" w:sz="4" w:space="0" w:color="000000"/>
            </w:tcBorders>
            <w:vAlign w:val="bottom"/>
          </w:tcPr>
          <w:p w14:paraId="51682395" w14:textId="77777777" w:rsidR="008E5DE4" w:rsidRDefault="008E5DE4">
            <w:pPr>
              <w:widowControl w:val="0"/>
              <w:pBdr>
                <w:top w:val="nil"/>
                <w:left w:val="nil"/>
                <w:bottom w:val="nil"/>
                <w:right w:val="nil"/>
                <w:between w:val="nil"/>
              </w:pBdr>
              <w:ind w:left="-113"/>
              <w:jc w:val="right"/>
              <w:rPr>
                <w:color w:val="000000"/>
              </w:rPr>
            </w:pPr>
          </w:p>
        </w:tc>
      </w:tr>
      <w:tr w:rsidR="008E5DE4" w14:paraId="5B626762" w14:textId="77777777">
        <w:trPr>
          <w:cantSplit/>
        </w:trPr>
        <w:tc>
          <w:tcPr>
            <w:tcW w:w="3175" w:type="dxa"/>
            <w:vAlign w:val="bottom"/>
          </w:tcPr>
          <w:p w14:paraId="1BC5B2CD"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ASSETS AT FAIR VALUE</w:t>
            </w:r>
          </w:p>
        </w:tc>
        <w:tc>
          <w:tcPr>
            <w:tcW w:w="964" w:type="dxa"/>
            <w:vAlign w:val="bottom"/>
          </w:tcPr>
          <w:p w14:paraId="0A69131B"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7C0EA1DC"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586477D2"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215599B8" w14:textId="77777777" w:rsidR="008E5DE4" w:rsidRDefault="008E5DE4">
            <w:pPr>
              <w:widowControl w:val="0"/>
              <w:pBdr>
                <w:top w:val="nil"/>
                <w:left w:val="nil"/>
                <w:bottom w:val="nil"/>
                <w:right w:val="nil"/>
                <w:between w:val="nil"/>
              </w:pBdr>
              <w:ind w:left="-113"/>
              <w:jc w:val="right"/>
              <w:rPr>
                <w:b/>
                <w:smallCaps/>
                <w:color w:val="000000"/>
              </w:rPr>
            </w:pPr>
          </w:p>
        </w:tc>
        <w:tc>
          <w:tcPr>
            <w:tcW w:w="964" w:type="dxa"/>
            <w:vAlign w:val="bottom"/>
          </w:tcPr>
          <w:p w14:paraId="6BF6E6EE"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7A06366A" w14:textId="77777777" w:rsidR="008E5DE4" w:rsidRDefault="008E5DE4">
            <w:pPr>
              <w:widowControl w:val="0"/>
              <w:pBdr>
                <w:top w:val="nil"/>
                <w:left w:val="nil"/>
                <w:bottom w:val="nil"/>
                <w:right w:val="nil"/>
                <w:between w:val="nil"/>
              </w:pBdr>
              <w:ind w:left="-113"/>
              <w:jc w:val="right"/>
              <w:rPr>
                <w:b/>
                <w:smallCaps/>
                <w:color w:val="000000"/>
              </w:rPr>
            </w:pPr>
          </w:p>
        </w:tc>
      </w:tr>
      <w:tr w:rsidR="008E5DE4" w14:paraId="6D458C24" w14:textId="77777777">
        <w:trPr>
          <w:cantSplit/>
        </w:trPr>
        <w:tc>
          <w:tcPr>
            <w:tcW w:w="3175" w:type="dxa"/>
            <w:vAlign w:val="bottom"/>
          </w:tcPr>
          <w:p w14:paraId="69250393"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 xml:space="preserve">FINANCIAL ASSETS </w:t>
            </w:r>
          </w:p>
        </w:tc>
        <w:tc>
          <w:tcPr>
            <w:tcW w:w="964" w:type="dxa"/>
            <w:vAlign w:val="bottom"/>
          </w:tcPr>
          <w:p w14:paraId="4C070A99"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452E7483"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223892C5"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6F63467C" w14:textId="77777777" w:rsidR="008E5DE4" w:rsidRDefault="008E5DE4">
            <w:pPr>
              <w:widowControl w:val="0"/>
              <w:pBdr>
                <w:top w:val="nil"/>
                <w:left w:val="nil"/>
                <w:bottom w:val="nil"/>
                <w:right w:val="nil"/>
                <w:between w:val="nil"/>
              </w:pBdr>
              <w:ind w:left="-113"/>
              <w:jc w:val="right"/>
              <w:rPr>
                <w:b/>
                <w:smallCaps/>
                <w:color w:val="000000"/>
              </w:rPr>
            </w:pPr>
          </w:p>
        </w:tc>
        <w:tc>
          <w:tcPr>
            <w:tcW w:w="964" w:type="dxa"/>
            <w:vAlign w:val="bottom"/>
          </w:tcPr>
          <w:p w14:paraId="4E9408B8"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201F567C" w14:textId="77777777" w:rsidR="008E5DE4" w:rsidRDefault="008E5DE4">
            <w:pPr>
              <w:widowControl w:val="0"/>
              <w:pBdr>
                <w:top w:val="nil"/>
                <w:left w:val="nil"/>
                <w:bottom w:val="nil"/>
                <w:right w:val="nil"/>
                <w:between w:val="nil"/>
              </w:pBdr>
              <w:ind w:left="-113"/>
              <w:jc w:val="right"/>
              <w:rPr>
                <w:b/>
                <w:smallCaps/>
                <w:color w:val="000000"/>
              </w:rPr>
            </w:pPr>
          </w:p>
        </w:tc>
      </w:tr>
      <w:tr w:rsidR="008E5DE4" w14:paraId="6D2781B0" w14:textId="77777777">
        <w:trPr>
          <w:cantSplit/>
        </w:trPr>
        <w:tc>
          <w:tcPr>
            <w:tcW w:w="3175" w:type="dxa"/>
            <w:vAlign w:val="bottom"/>
          </w:tcPr>
          <w:p w14:paraId="201E2AA8"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Investments in debt securities</w:t>
            </w:r>
          </w:p>
        </w:tc>
        <w:tc>
          <w:tcPr>
            <w:tcW w:w="964" w:type="dxa"/>
            <w:vAlign w:val="bottom"/>
          </w:tcPr>
          <w:p w14:paraId="40571FF6"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971EB4B"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25C8EA9"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3D9D13F"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163D2E4A"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4257C8A" w14:textId="77777777" w:rsidR="008E5DE4" w:rsidRDefault="008E5DE4">
            <w:pPr>
              <w:widowControl w:val="0"/>
              <w:pBdr>
                <w:top w:val="nil"/>
                <w:left w:val="nil"/>
                <w:bottom w:val="nil"/>
                <w:right w:val="nil"/>
                <w:between w:val="nil"/>
              </w:pBdr>
              <w:ind w:left="-113"/>
              <w:jc w:val="right"/>
              <w:rPr>
                <w:color w:val="000000"/>
              </w:rPr>
            </w:pPr>
          </w:p>
        </w:tc>
      </w:tr>
      <w:tr w:rsidR="008E5DE4" w14:paraId="5C3A1466" w14:textId="77777777">
        <w:trPr>
          <w:cantSplit/>
        </w:trPr>
        <w:tc>
          <w:tcPr>
            <w:tcW w:w="3175" w:type="dxa"/>
            <w:vAlign w:val="bottom"/>
          </w:tcPr>
          <w:p w14:paraId="1FA728B0" w14:textId="77777777" w:rsidR="008E5DE4" w:rsidRDefault="00780368">
            <w:pPr>
              <w:widowControl w:val="0"/>
              <w:pBdr>
                <w:top w:val="nil"/>
                <w:left w:val="nil"/>
                <w:bottom w:val="nil"/>
                <w:right w:val="nil"/>
                <w:between w:val="nil"/>
              </w:pBdr>
              <w:ind w:left="113" w:right="-57" w:hanging="113"/>
              <w:rPr>
                <w:b/>
                <w:color w:val="000000"/>
              </w:rPr>
            </w:pPr>
            <w:r>
              <w:rPr>
                <w:color w:val="000000"/>
              </w:rPr>
              <w:t xml:space="preserve">- </w:t>
            </w:r>
            <w:r>
              <w:rPr>
                <w:color w:val="0000FF"/>
              </w:rPr>
              <w:t>[Country]</w:t>
            </w:r>
            <w:r>
              <w:rPr>
                <w:color w:val="000000"/>
              </w:rPr>
              <w:t xml:space="preserve"> government bonds</w:t>
            </w:r>
          </w:p>
        </w:tc>
        <w:tc>
          <w:tcPr>
            <w:tcW w:w="964" w:type="dxa"/>
            <w:vAlign w:val="bottom"/>
          </w:tcPr>
          <w:p w14:paraId="6AD0A334" w14:textId="77777777" w:rsidR="008E5DE4" w:rsidRDefault="008E5DE4">
            <w:pPr>
              <w:widowControl w:val="0"/>
              <w:pBdr>
                <w:top w:val="nil"/>
                <w:left w:val="nil"/>
                <w:bottom w:val="nil"/>
                <w:right w:val="nil"/>
                <w:between w:val="nil"/>
              </w:pBdr>
              <w:ind w:left="-113"/>
              <w:jc w:val="right"/>
              <w:rPr>
                <w:color w:val="0000FF"/>
              </w:rPr>
            </w:pPr>
          </w:p>
        </w:tc>
        <w:tc>
          <w:tcPr>
            <w:tcW w:w="1077" w:type="dxa"/>
            <w:vAlign w:val="bottom"/>
          </w:tcPr>
          <w:p w14:paraId="6111F5BA" w14:textId="77777777" w:rsidR="008E5DE4" w:rsidRDefault="00780368">
            <w:pPr>
              <w:widowControl w:val="0"/>
              <w:pBdr>
                <w:top w:val="nil"/>
                <w:left w:val="nil"/>
                <w:bottom w:val="nil"/>
                <w:right w:val="nil"/>
                <w:between w:val="nil"/>
              </w:pBdr>
              <w:ind w:left="-113"/>
              <w:jc w:val="right"/>
              <w:rPr>
                <w:b/>
                <w:color w:val="0000FF"/>
              </w:rPr>
            </w:pPr>
            <w:r>
              <w:rPr>
                <w:color w:val="0000FF"/>
              </w:rPr>
              <w:t>[Discounted cash flows (“DCF”)]</w:t>
            </w:r>
          </w:p>
        </w:tc>
        <w:tc>
          <w:tcPr>
            <w:tcW w:w="1077" w:type="dxa"/>
            <w:vAlign w:val="bottom"/>
          </w:tcPr>
          <w:p w14:paraId="090CD9E2" w14:textId="77777777" w:rsidR="008E5DE4" w:rsidRDefault="00780368">
            <w:pPr>
              <w:widowControl w:val="0"/>
              <w:pBdr>
                <w:top w:val="nil"/>
                <w:left w:val="nil"/>
                <w:bottom w:val="nil"/>
                <w:right w:val="nil"/>
                <w:between w:val="nil"/>
              </w:pBdr>
              <w:ind w:left="-113"/>
              <w:jc w:val="right"/>
              <w:rPr>
                <w:b/>
                <w:color w:val="0000FF"/>
              </w:rPr>
            </w:pPr>
            <w:r>
              <w:rPr>
                <w:color w:val="0000FF"/>
              </w:rPr>
              <w:t>[Government bonds yield curve]</w:t>
            </w:r>
          </w:p>
        </w:tc>
        <w:tc>
          <w:tcPr>
            <w:tcW w:w="1077" w:type="dxa"/>
            <w:vAlign w:val="bottom"/>
          </w:tcPr>
          <w:p w14:paraId="4D0F6980" w14:textId="77777777" w:rsidR="008E5DE4" w:rsidRDefault="00780368">
            <w:pPr>
              <w:widowControl w:val="0"/>
              <w:pBdr>
                <w:top w:val="nil"/>
                <w:left w:val="nil"/>
                <w:bottom w:val="nil"/>
                <w:right w:val="nil"/>
                <w:between w:val="nil"/>
              </w:pBdr>
              <w:ind w:left="-113"/>
              <w:jc w:val="right"/>
              <w:rPr>
                <w:b/>
                <w:color w:val="0000FF"/>
              </w:rPr>
            </w:pPr>
            <w:r>
              <w:rPr>
                <w:color w:val="0000FF"/>
              </w:rPr>
              <w:t>[5.0 – 6.0% (5.5%)]</w:t>
            </w:r>
          </w:p>
        </w:tc>
        <w:tc>
          <w:tcPr>
            <w:tcW w:w="964" w:type="dxa"/>
            <w:vAlign w:val="bottom"/>
          </w:tcPr>
          <w:p w14:paraId="634F2864" w14:textId="77777777" w:rsidR="008E5DE4" w:rsidRDefault="00780368">
            <w:pPr>
              <w:widowControl w:val="0"/>
              <w:pBdr>
                <w:top w:val="nil"/>
                <w:left w:val="nil"/>
                <w:bottom w:val="nil"/>
                <w:right w:val="nil"/>
                <w:between w:val="nil"/>
              </w:pBdr>
              <w:ind w:left="-113"/>
              <w:jc w:val="right"/>
              <w:rPr>
                <w:color w:val="0000FF"/>
              </w:rPr>
            </w:pPr>
            <w:r>
              <w:rPr>
                <w:color w:val="0000FF"/>
              </w:rPr>
              <w:t>[± 10 %]</w:t>
            </w:r>
          </w:p>
        </w:tc>
        <w:tc>
          <w:tcPr>
            <w:tcW w:w="1077" w:type="dxa"/>
            <w:vAlign w:val="bottom"/>
          </w:tcPr>
          <w:p w14:paraId="6ECD7CCF" w14:textId="77777777" w:rsidR="008E5DE4" w:rsidRDefault="00780368">
            <w:pPr>
              <w:widowControl w:val="0"/>
              <w:pBdr>
                <w:top w:val="nil"/>
                <w:left w:val="nil"/>
                <w:bottom w:val="nil"/>
                <w:right w:val="nil"/>
                <w:between w:val="nil"/>
              </w:pBdr>
              <w:ind w:left="-113"/>
              <w:jc w:val="right"/>
              <w:rPr>
                <w:color w:val="0000FF"/>
              </w:rPr>
            </w:pPr>
            <w:r>
              <w:rPr>
                <w:color w:val="0000FF"/>
              </w:rPr>
              <w:t>± [100,000]</w:t>
            </w:r>
          </w:p>
        </w:tc>
      </w:tr>
      <w:tr w:rsidR="008E5DE4" w14:paraId="0CA1331E" w14:textId="77777777">
        <w:trPr>
          <w:cantSplit/>
        </w:trPr>
        <w:tc>
          <w:tcPr>
            <w:tcW w:w="3175" w:type="dxa"/>
            <w:vAlign w:val="bottom"/>
          </w:tcPr>
          <w:p w14:paraId="3B2D68FE" w14:textId="77777777" w:rsidR="008E5DE4" w:rsidRDefault="00780368">
            <w:pPr>
              <w:widowControl w:val="0"/>
              <w:pBdr>
                <w:top w:val="nil"/>
                <w:left w:val="nil"/>
                <w:bottom w:val="nil"/>
                <w:right w:val="nil"/>
                <w:between w:val="nil"/>
              </w:pBdr>
              <w:ind w:left="113" w:right="-57" w:hanging="113"/>
              <w:rPr>
                <w:b/>
                <w:color w:val="000000"/>
              </w:rPr>
            </w:pPr>
            <w:r>
              <w:rPr>
                <w:color w:val="000000"/>
              </w:rPr>
              <w:t>- Municipal bonds</w:t>
            </w:r>
          </w:p>
        </w:tc>
        <w:tc>
          <w:tcPr>
            <w:tcW w:w="964" w:type="dxa"/>
            <w:vAlign w:val="bottom"/>
          </w:tcPr>
          <w:p w14:paraId="5821AD3E" w14:textId="77777777" w:rsidR="008E5DE4" w:rsidRDefault="008E5DE4">
            <w:pPr>
              <w:widowControl w:val="0"/>
              <w:pBdr>
                <w:top w:val="nil"/>
                <w:left w:val="nil"/>
                <w:bottom w:val="nil"/>
                <w:right w:val="nil"/>
                <w:between w:val="nil"/>
              </w:pBdr>
              <w:ind w:left="-113"/>
              <w:jc w:val="right"/>
              <w:rPr>
                <w:color w:val="0000FF"/>
              </w:rPr>
            </w:pPr>
          </w:p>
        </w:tc>
        <w:tc>
          <w:tcPr>
            <w:tcW w:w="1077" w:type="dxa"/>
            <w:vAlign w:val="bottom"/>
          </w:tcPr>
          <w:p w14:paraId="1EFFFC9E"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5D8AEBC0"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358300FD" w14:textId="77777777" w:rsidR="008E5DE4" w:rsidRDefault="008E5DE4">
            <w:pPr>
              <w:widowControl w:val="0"/>
              <w:pBdr>
                <w:top w:val="nil"/>
                <w:left w:val="nil"/>
                <w:bottom w:val="nil"/>
                <w:right w:val="nil"/>
                <w:between w:val="nil"/>
              </w:pBdr>
              <w:ind w:left="-113"/>
              <w:jc w:val="right"/>
              <w:rPr>
                <w:b/>
                <w:color w:val="0000FF"/>
              </w:rPr>
            </w:pPr>
          </w:p>
        </w:tc>
        <w:tc>
          <w:tcPr>
            <w:tcW w:w="964" w:type="dxa"/>
            <w:vAlign w:val="bottom"/>
          </w:tcPr>
          <w:p w14:paraId="7DC9B463"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3E1A28EF" w14:textId="77777777" w:rsidR="008E5DE4" w:rsidRDefault="008E5DE4">
            <w:pPr>
              <w:widowControl w:val="0"/>
              <w:pBdr>
                <w:top w:val="nil"/>
                <w:left w:val="nil"/>
                <w:bottom w:val="nil"/>
                <w:right w:val="nil"/>
                <w:between w:val="nil"/>
              </w:pBdr>
              <w:ind w:left="-113"/>
              <w:jc w:val="right"/>
              <w:rPr>
                <w:b/>
                <w:color w:val="0000FF"/>
              </w:rPr>
            </w:pPr>
          </w:p>
        </w:tc>
      </w:tr>
      <w:tr w:rsidR="008E5DE4" w14:paraId="34B422DD" w14:textId="77777777">
        <w:trPr>
          <w:cantSplit/>
        </w:trPr>
        <w:tc>
          <w:tcPr>
            <w:tcW w:w="3175" w:type="dxa"/>
            <w:vAlign w:val="bottom"/>
          </w:tcPr>
          <w:p w14:paraId="1F32B4A8" w14:textId="77777777" w:rsidR="008E5DE4" w:rsidRDefault="00780368">
            <w:pPr>
              <w:widowControl w:val="0"/>
              <w:pBdr>
                <w:top w:val="nil"/>
                <w:left w:val="nil"/>
                <w:bottom w:val="nil"/>
                <w:right w:val="nil"/>
                <w:between w:val="nil"/>
              </w:pBdr>
              <w:ind w:left="113" w:right="-57" w:hanging="113"/>
              <w:rPr>
                <w:b/>
                <w:color w:val="000000"/>
              </w:rPr>
            </w:pPr>
            <w:r>
              <w:rPr>
                <w:color w:val="000000"/>
              </w:rPr>
              <w:t>- Corporate bonds</w:t>
            </w:r>
          </w:p>
        </w:tc>
        <w:tc>
          <w:tcPr>
            <w:tcW w:w="964" w:type="dxa"/>
            <w:vAlign w:val="bottom"/>
          </w:tcPr>
          <w:p w14:paraId="774951B1" w14:textId="77777777" w:rsidR="008E5DE4" w:rsidRDefault="008E5DE4">
            <w:pPr>
              <w:widowControl w:val="0"/>
              <w:pBdr>
                <w:top w:val="nil"/>
                <w:left w:val="nil"/>
                <w:bottom w:val="nil"/>
                <w:right w:val="nil"/>
                <w:between w:val="nil"/>
              </w:pBdr>
              <w:ind w:left="-113"/>
              <w:jc w:val="right"/>
              <w:rPr>
                <w:color w:val="0000FF"/>
              </w:rPr>
            </w:pPr>
          </w:p>
        </w:tc>
        <w:tc>
          <w:tcPr>
            <w:tcW w:w="1077" w:type="dxa"/>
            <w:vAlign w:val="bottom"/>
          </w:tcPr>
          <w:p w14:paraId="52CFEA23"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0D561DDB"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3BC40591" w14:textId="77777777" w:rsidR="008E5DE4" w:rsidRDefault="008E5DE4">
            <w:pPr>
              <w:widowControl w:val="0"/>
              <w:pBdr>
                <w:top w:val="nil"/>
                <w:left w:val="nil"/>
                <w:bottom w:val="nil"/>
                <w:right w:val="nil"/>
                <w:between w:val="nil"/>
              </w:pBdr>
              <w:ind w:left="-113"/>
              <w:jc w:val="right"/>
              <w:rPr>
                <w:b/>
                <w:color w:val="0000FF"/>
              </w:rPr>
            </w:pPr>
          </w:p>
        </w:tc>
        <w:tc>
          <w:tcPr>
            <w:tcW w:w="964" w:type="dxa"/>
            <w:vAlign w:val="bottom"/>
          </w:tcPr>
          <w:p w14:paraId="6A166F8E"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79C2794B" w14:textId="77777777" w:rsidR="008E5DE4" w:rsidRDefault="008E5DE4">
            <w:pPr>
              <w:widowControl w:val="0"/>
              <w:pBdr>
                <w:top w:val="nil"/>
                <w:left w:val="nil"/>
                <w:bottom w:val="nil"/>
                <w:right w:val="nil"/>
                <w:between w:val="nil"/>
              </w:pBdr>
              <w:ind w:left="-113"/>
              <w:jc w:val="right"/>
              <w:rPr>
                <w:b/>
                <w:color w:val="0000FF"/>
              </w:rPr>
            </w:pPr>
          </w:p>
        </w:tc>
      </w:tr>
      <w:tr w:rsidR="008E5DE4" w14:paraId="254C038A" w14:textId="77777777">
        <w:trPr>
          <w:cantSplit/>
        </w:trPr>
        <w:tc>
          <w:tcPr>
            <w:tcW w:w="3175" w:type="dxa"/>
            <w:vAlign w:val="bottom"/>
          </w:tcPr>
          <w:p w14:paraId="7DAA526C" w14:textId="77777777" w:rsidR="008E5DE4" w:rsidRDefault="00780368">
            <w:pPr>
              <w:widowControl w:val="0"/>
              <w:pBdr>
                <w:top w:val="nil"/>
                <w:left w:val="nil"/>
                <w:bottom w:val="nil"/>
                <w:right w:val="nil"/>
                <w:between w:val="nil"/>
              </w:pBdr>
              <w:ind w:left="113" w:right="-57" w:hanging="113"/>
              <w:rPr>
                <w:b/>
                <w:color w:val="000000"/>
              </w:rPr>
            </w:pPr>
            <w:r>
              <w:rPr>
                <w:color w:val="000000"/>
              </w:rPr>
              <w:t>- Promissory notes</w:t>
            </w:r>
          </w:p>
        </w:tc>
        <w:tc>
          <w:tcPr>
            <w:tcW w:w="964" w:type="dxa"/>
            <w:vAlign w:val="bottom"/>
          </w:tcPr>
          <w:p w14:paraId="0A28E6C8" w14:textId="77777777" w:rsidR="008E5DE4" w:rsidRDefault="008E5DE4">
            <w:pPr>
              <w:widowControl w:val="0"/>
              <w:pBdr>
                <w:top w:val="nil"/>
                <w:left w:val="nil"/>
                <w:bottom w:val="nil"/>
                <w:right w:val="nil"/>
                <w:between w:val="nil"/>
              </w:pBdr>
              <w:ind w:left="-113"/>
              <w:jc w:val="right"/>
              <w:rPr>
                <w:color w:val="0000FF"/>
              </w:rPr>
            </w:pPr>
          </w:p>
        </w:tc>
        <w:tc>
          <w:tcPr>
            <w:tcW w:w="1077" w:type="dxa"/>
            <w:vAlign w:val="bottom"/>
          </w:tcPr>
          <w:p w14:paraId="5E2A4FB6"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1840D6C8"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0A7C6C15" w14:textId="77777777" w:rsidR="008E5DE4" w:rsidRDefault="008E5DE4">
            <w:pPr>
              <w:widowControl w:val="0"/>
              <w:pBdr>
                <w:top w:val="nil"/>
                <w:left w:val="nil"/>
                <w:bottom w:val="nil"/>
                <w:right w:val="nil"/>
                <w:between w:val="nil"/>
              </w:pBdr>
              <w:ind w:left="-113"/>
              <w:jc w:val="right"/>
              <w:rPr>
                <w:b/>
                <w:color w:val="0000FF"/>
              </w:rPr>
            </w:pPr>
          </w:p>
        </w:tc>
        <w:tc>
          <w:tcPr>
            <w:tcW w:w="964" w:type="dxa"/>
            <w:vAlign w:val="bottom"/>
          </w:tcPr>
          <w:p w14:paraId="624B28A9"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7863BCB9" w14:textId="77777777" w:rsidR="008E5DE4" w:rsidRDefault="008E5DE4">
            <w:pPr>
              <w:widowControl w:val="0"/>
              <w:pBdr>
                <w:top w:val="nil"/>
                <w:left w:val="nil"/>
                <w:bottom w:val="nil"/>
                <w:right w:val="nil"/>
                <w:between w:val="nil"/>
              </w:pBdr>
              <w:ind w:left="-113"/>
              <w:jc w:val="right"/>
              <w:rPr>
                <w:b/>
                <w:color w:val="0000FF"/>
              </w:rPr>
            </w:pPr>
          </w:p>
        </w:tc>
      </w:tr>
      <w:tr w:rsidR="008E5DE4" w14:paraId="65C5322C" w14:textId="77777777">
        <w:trPr>
          <w:cantSplit/>
        </w:trPr>
        <w:tc>
          <w:tcPr>
            <w:tcW w:w="3175" w:type="dxa"/>
            <w:vAlign w:val="bottom"/>
          </w:tcPr>
          <w:p w14:paraId="70308232"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Investments in equity securities</w:t>
            </w:r>
          </w:p>
        </w:tc>
        <w:tc>
          <w:tcPr>
            <w:tcW w:w="964" w:type="dxa"/>
            <w:vAlign w:val="bottom"/>
          </w:tcPr>
          <w:p w14:paraId="0FFFB9CB"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0875D83"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41B5058"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6E60D11"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229041DC"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33B51FE" w14:textId="77777777" w:rsidR="008E5DE4" w:rsidRDefault="008E5DE4">
            <w:pPr>
              <w:widowControl w:val="0"/>
              <w:pBdr>
                <w:top w:val="nil"/>
                <w:left w:val="nil"/>
                <w:bottom w:val="nil"/>
                <w:right w:val="nil"/>
                <w:between w:val="nil"/>
              </w:pBdr>
              <w:ind w:left="-113"/>
              <w:jc w:val="right"/>
              <w:rPr>
                <w:color w:val="000000"/>
              </w:rPr>
            </w:pPr>
          </w:p>
        </w:tc>
      </w:tr>
      <w:tr w:rsidR="008E5DE4" w14:paraId="445A4BE4" w14:textId="77777777">
        <w:trPr>
          <w:cantSplit/>
        </w:trPr>
        <w:tc>
          <w:tcPr>
            <w:tcW w:w="3175" w:type="dxa"/>
            <w:vAlign w:val="bottom"/>
          </w:tcPr>
          <w:p w14:paraId="5922A4F7" w14:textId="77777777" w:rsidR="008E5DE4" w:rsidRDefault="00780368">
            <w:pPr>
              <w:widowControl w:val="0"/>
              <w:pBdr>
                <w:top w:val="nil"/>
                <w:left w:val="nil"/>
                <w:bottom w:val="nil"/>
                <w:right w:val="nil"/>
                <w:between w:val="nil"/>
              </w:pBdr>
              <w:ind w:left="113" w:right="-57" w:hanging="113"/>
              <w:rPr>
                <w:b/>
                <w:i/>
                <w:color w:val="000000"/>
              </w:rPr>
            </w:pPr>
            <w:r>
              <w:rPr>
                <w:color w:val="000000"/>
              </w:rPr>
              <w:t>- Corporate shares</w:t>
            </w:r>
          </w:p>
        </w:tc>
        <w:tc>
          <w:tcPr>
            <w:tcW w:w="964" w:type="dxa"/>
            <w:vAlign w:val="bottom"/>
          </w:tcPr>
          <w:p w14:paraId="211F6F8C" w14:textId="77777777" w:rsidR="008E5DE4" w:rsidRDefault="008E5DE4">
            <w:pPr>
              <w:widowControl w:val="0"/>
              <w:pBdr>
                <w:top w:val="nil"/>
                <w:left w:val="nil"/>
                <w:bottom w:val="nil"/>
                <w:right w:val="nil"/>
                <w:between w:val="nil"/>
              </w:pBdr>
              <w:ind w:left="-113"/>
              <w:jc w:val="right"/>
              <w:rPr>
                <w:color w:val="0000FF"/>
              </w:rPr>
            </w:pPr>
          </w:p>
        </w:tc>
        <w:tc>
          <w:tcPr>
            <w:tcW w:w="1077" w:type="dxa"/>
            <w:vAlign w:val="bottom"/>
          </w:tcPr>
          <w:p w14:paraId="4E072334" w14:textId="77777777" w:rsidR="008E5DE4" w:rsidRDefault="00780368">
            <w:pPr>
              <w:widowControl w:val="0"/>
              <w:pBdr>
                <w:top w:val="nil"/>
                <w:left w:val="nil"/>
                <w:bottom w:val="nil"/>
                <w:right w:val="nil"/>
                <w:between w:val="nil"/>
              </w:pBdr>
              <w:ind w:left="-113"/>
              <w:jc w:val="right"/>
              <w:rPr>
                <w:b/>
                <w:color w:val="0000FF"/>
              </w:rPr>
            </w:pPr>
            <w:r>
              <w:rPr>
                <w:color w:val="0000FF"/>
              </w:rPr>
              <w:t>[Market comparable companies]</w:t>
            </w:r>
          </w:p>
        </w:tc>
        <w:tc>
          <w:tcPr>
            <w:tcW w:w="1077" w:type="dxa"/>
            <w:vAlign w:val="bottom"/>
          </w:tcPr>
          <w:p w14:paraId="02DE5776" w14:textId="77777777" w:rsidR="008E5DE4" w:rsidRDefault="00780368">
            <w:pPr>
              <w:widowControl w:val="0"/>
              <w:pBdr>
                <w:top w:val="nil"/>
                <w:left w:val="nil"/>
                <w:bottom w:val="nil"/>
                <w:right w:val="nil"/>
                <w:between w:val="nil"/>
              </w:pBdr>
              <w:ind w:left="-113"/>
              <w:jc w:val="right"/>
              <w:rPr>
                <w:b/>
                <w:color w:val="0000FF"/>
              </w:rPr>
            </w:pPr>
            <w:r>
              <w:rPr>
                <w:color w:val="0000FF"/>
              </w:rPr>
              <w:t>[EBITDA multiple Revenue multiple]</w:t>
            </w:r>
          </w:p>
        </w:tc>
        <w:tc>
          <w:tcPr>
            <w:tcW w:w="1077" w:type="dxa"/>
            <w:vAlign w:val="bottom"/>
          </w:tcPr>
          <w:p w14:paraId="26CE0DFB" w14:textId="77777777" w:rsidR="008E5DE4" w:rsidRDefault="00780368">
            <w:pPr>
              <w:widowControl w:val="0"/>
              <w:pBdr>
                <w:top w:val="nil"/>
                <w:left w:val="nil"/>
                <w:bottom w:val="nil"/>
                <w:right w:val="nil"/>
                <w:between w:val="nil"/>
              </w:pBdr>
              <w:ind w:left="-113"/>
              <w:jc w:val="right"/>
              <w:rPr>
                <w:b/>
                <w:color w:val="0000FF"/>
              </w:rPr>
            </w:pPr>
            <w:r>
              <w:rPr>
                <w:color w:val="0000FF"/>
              </w:rPr>
              <w:t>[7 -12 (10)]</w:t>
            </w:r>
          </w:p>
          <w:p w14:paraId="49FB0DEF" w14:textId="77777777" w:rsidR="008E5DE4" w:rsidRDefault="00780368">
            <w:pPr>
              <w:widowControl w:val="0"/>
              <w:pBdr>
                <w:top w:val="nil"/>
                <w:left w:val="nil"/>
                <w:bottom w:val="nil"/>
                <w:right w:val="nil"/>
                <w:between w:val="nil"/>
              </w:pBdr>
              <w:ind w:left="-113"/>
              <w:jc w:val="right"/>
              <w:rPr>
                <w:b/>
                <w:color w:val="0000FF"/>
              </w:rPr>
            </w:pPr>
            <w:r>
              <w:rPr>
                <w:color w:val="0000FF"/>
              </w:rPr>
              <w:t>[5 -6 (5.4)]</w:t>
            </w:r>
          </w:p>
        </w:tc>
        <w:tc>
          <w:tcPr>
            <w:tcW w:w="964" w:type="dxa"/>
            <w:vAlign w:val="bottom"/>
          </w:tcPr>
          <w:p w14:paraId="3F5259B3" w14:textId="77777777" w:rsidR="008E5DE4" w:rsidRDefault="008E5DE4">
            <w:pPr>
              <w:widowControl w:val="0"/>
              <w:pBdr>
                <w:top w:val="nil"/>
                <w:left w:val="nil"/>
                <w:bottom w:val="nil"/>
                <w:right w:val="nil"/>
                <w:between w:val="nil"/>
              </w:pBdr>
              <w:ind w:left="-113"/>
              <w:jc w:val="right"/>
              <w:rPr>
                <w:b/>
                <w:color w:val="0000FF"/>
              </w:rPr>
            </w:pPr>
          </w:p>
        </w:tc>
        <w:tc>
          <w:tcPr>
            <w:tcW w:w="1077" w:type="dxa"/>
            <w:vAlign w:val="bottom"/>
          </w:tcPr>
          <w:p w14:paraId="5547F3A1" w14:textId="77777777" w:rsidR="008E5DE4" w:rsidRDefault="008E5DE4">
            <w:pPr>
              <w:widowControl w:val="0"/>
              <w:pBdr>
                <w:top w:val="nil"/>
                <w:left w:val="nil"/>
                <w:bottom w:val="nil"/>
                <w:right w:val="nil"/>
                <w:between w:val="nil"/>
              </w:pBdr>
              <w:ind w:left="-113"/>
              <w:jc w:val="right"/>
              <w:rPr>
                <w:b/>
                <w:color w:val="0000FF"/>
              </w:rPr>
            </w:pPr>
          </w:p>
        </w:tc>
      </w:tr>
      <w:tr w:rsidR="008E5DE4" w14:paraId="5F4B4BBF" w14:textId="77777777">
        <w:trPr>
          <w:cantSplit/>
        </w:trPr>
        <w:tc>
          <w:tcPr>
            <w:tcW w:w="3175" w:type="dxa"/>
            <w:vAlign w:val="bottom"/>
          </w:tcPr>
          <w:p w14:paraId="571E52F4" w14:textId="77777777" w:rsidR="008E5DE4" w:rsidRDefault="00780368">
            <w:pPr>
              <w:widowControl w:val="0"/>
              <w:pBdr>
                <w:top w:val="nil"/>
                <w:left w:val="nil"/>
                <w:bottom w:val="nil"/>
                <w:right w:val="nil"/>
                <w:between w:val="nil"/>
              </w:pBdr>
              <w:ind w:left="113" w:right="-57" w:hanging="113"/>
              <w:rPr>
                <w:color w:val="000000"/>
              </w:rPr>
            </w:pPr>
            <w:r>
              <w:rPr>
                <w:color w:val="000000"/>
              </w:rPr>
              <w:t>- American depositary receipts (ADR)</w:t>
            </w:r>
          </w:p>
        </w:tc>
        <w:tc>
          <w:tcPr>
            <w:tcW w:w="964" w:type="dxa"/>
            <w:vAlign w:val="bottom"/>
          </w:tcPr>
          <w:p w14:paraId="41612E69"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83E4ED5"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9630F4F"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084EF995"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58C97F3A"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522B374" w14:textId="77777777" w:rsidR="008E5DE4" w:rsidRDefault="008E5DE4">
            <w:pPr>
              <w:widowControl w:val="0"/>
              <w:pBdr>
                <w:top w:val="nil"/>
                <w:left w:val="nil"/>
                <w:bottom w:val="nil"/>
                <w:right w:val="nil"/>
                <w:between w:val="nil"/>
              </w:pBdr>
              <w:ind w:left="-113"/>
              <w:jc w:val="right"/>
              <w:rPr>
                <w:color w:val="000000"/>
              </w:rPr>
            </w:pPr>
          </w:p>
        </w:tc>
      </w:tr>
      <w:tr w:rsidR="008E5DE4" w14:paraId="3788DA33" w14:textId="77777777">
        <w:trPr>
          <w:cantSplit/>
        </w:trPr>
        <w:tc>
          <w:tcPr>
            <w:tcW w:w="3175" w:type="dxa"/>
            <w:vAlign w:val="bottom"/>
          </w:tcPr>
          <w:p w14:paraId="66A5B9B9" w14:textId="77777777" w:rsidR="008E5DE4" w:rsidRDefault="00780368">
            <w:pPr>
              <w:widowControl w:val="0"/>
              <w:pBdr>
                <w:top w:val="nil"/>
                <w:left w:val="nil"/>
                <w:bottom w:val="nil"/>
                <w:right w:val="nil"/>
                <w:between w:val="nil"/>
              </w:pBdr>
              <w:ind w:left="113" w:right="-57" w:hanging="113"/>
              <w:rPr>
                <w:color w:val="000000"/>
              </w:rPr>
            </w:pPr>
            <w:r>
              <w:rPr>
                <w:color w:val="000000"/>
              </w:rPr>
              <w:t>- Investments in mutual funds</w:t>
            </w:r>
          </w:p>
        </w:tc>
        <w:tc>
          <w:tcPr>
            <w:tcW w:w="964" w:type="dxa"/>
            <w:vAlign w:val="bottom"/>
          </w:tcPr>
          <w:p w14:paraId="7ED2D827"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79BB4A39"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211B68DE"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3392BF60"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1FC49E98"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504E317" w14:textId="77777777" w:rsidR="008E5DE4" w:rsidRDefault="008E5DE4">
            <w:pPr>
              <w:widowControl w:val="0"/>
              <w:pBdr>
                <w:top w:val="nil"/>
                <w:left w:val="nil"/>
                <w:bottom w:val="nil"/>
                <w:right w:val="nil"/>
                <w:between w:val="nil"/>
              </w:pBdr>
              <w:ind w:left="-113"/>
              <w:jc w:val="right"/>
              <w:rPr>
                <w:color w:val="000000"/>
              </w:rPr>
            </w:pPr>
          </w:p>
        </w:tc>
      </w:tr>
      <w:tr w:rsidR="008E5DE4" w14:paraId="6821EB35" w14:textId="77777777">
        <w:trPr>
          <w:cantSplit/>
        </w:trPr>
        <w:tc>
          <w:tcPr>
            <w:tcW w:w="3175" w:type="dxa"/>
            <w:vAlign w:val="bottom"/>
          </w:tcPr>
          <w:p w14:paraId="18279F23" w14:textId="77777777" w:rsidR="008E5DE4" w:rsidRDefault="00780368">
            <w:pPr>
              <w:widowControl w:val="0"/>
              <w:pBdr>
                <w:top w:val="nil"/>
                <w:left w:val="nil"/>
                <w:bottom w:val="nil"/>
                <w:right w:val="nil"/>
                <w:between w:val="nil"/>
              </w:pBdr>
              <w:ind w:left="113" w:right="-57" w:hanging="113"/>
              <w:rPr>
                <w:color w:val="000000"/>
              </w:rPr>
            </w:pPr>
            <w:r>
              <w:rPr>
                <w:color w:val="000000"/>
              </w:rPr>
              <w:t>- Global depositary receipts (GDR)</w:t>
            </w:r>
          </w:p>
        </w:tc>
        <w:tc>
          <w:tcPr>
            <w:tcW w:w="964" w:type="dxa"/>
            <w:vAlign w:val="bottom"/>
          </w:tcPr>
          <w:p w14:paraId="4310B591"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731249D3"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FA70ECD"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6EF9EB8"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11A8E74B"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7BDD1AF" w14:textId="77777777" w:rsidR="008E5DE4" w:rsidRDefault="008E5DE4">
            <w:pPr>
              <w:widowControl w:val="0"/>
              <w:pBdr>
                <w:top w:val="nil"/>
                <w:left w:val="nil"/>
                <w:bottom w:val="nil"/>
                <w:right w:val="nil"/>
                <w:between w:val="nil"/>
              </w:pBdr>
              <w:ind w:left="-113"/>
              <w:jc w:val="right"/>
              <w:rPr>
                <w:color w:val="000000"/>
              </w:rPr>
            </w:pPr>
          </w:p>
        </w:tc>
      </w:tr>
      <w:tr w:rsidR="008E5DE4" w14:paraId="62B03B1F" w14:textId="77777777">
        <w:trPr>
          <w:cantSplit/>
        </w:trPr>
        <w:tc>
          <w:tcPr>
            <w:tcW w:w="3175" w:type="dxa"/>
            <w:vAlign w:val="bottom"/>
          </w:tcPr>
          <w:p w14:paraId="7733EE33" w14:textId="77777777" w:rsidR="008E5DE4" w:rsidRDefault="008E5DE4">
            <w:pPr>
              <w:widowControl w:val="0"/>
              <w:pBdr>
                <w:top w:val="nil"/>
                <w:left w:val="nil"/>
                <w:bottom w:val="nil"/>
                <w:right w:val="nil"/>
                <w:between w:val="nil"/>
              </w:pBdr>
              <w:ind w:left="113" w:right="-57" w:hanging="113"/>
              <w:rPr>
                <w:i/>
                <w:color w:val="FF0000"/>
              </w:rPr>
            </w:pPr>
          </w:p>
        </w:tc>
        <w:tc>
          <w:tcPr>
            <w:tcW w:w="964" w:type="dxa"/>
            <w:vAlign w:val="bottom"/>
          </w:tcPr>
          <w:p w14:paraId="1E46096C"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7FE4477A"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73970BF4"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04B27A91"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4E14C7F2"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0E475C65" w14:textId="77777777" w:rsidR="008E5DE4" w:rsidRDefault="008E5DE4">
            <w:pPr>
              <w:widowControl w:val="0"/>
              <w:pBdr>
                <w:top w:val="nil"/>
                <w:left w:val="nil"/>
                <w:bottom w:val="nil"/>
                <w:right w:val="nil"/>
                <w:between w:val="nil"/>
              </w:pBdr>
              <w:ind w:left="-113"/>
              <w:jc w:val="right"/>
              <w:rPr>
                <w:color w:val="000000"/>
              </w:rPr>
            </w:pPr>
          </w:p>
        </w:tc>
      </w:tr>
      <w:tr w:rsidR="008E5DE4" w14:paraId="7A92286A" w14:textId="77777777">
        <w:trPr>
          <w:cantSplit/>
        </w:trPr>
        <w:tc>
          <w:tcPr>
            <w:tcW w:w="3175" w:type="dxa"/>
            <w:vAlign w:val="bottom"/>
          </w:tcPr>
          <w:p w14:paraId="1DD90974" w14:textId="77777777" w:rsidR="008E5DE4" w:rsidRDefault="00780368">
            <w:pPr>
              <w:widowControl w:val="0"/>
              <w:pBdr>
                <w:top w:val="nil"/>
                <w:left w:val="nil"/>
                <w:bottom w:val="nil"/>
                <w:right w:val="nil"/>
                <w:between w:val="nil"/>
              </w:pBdr>
              <w:ind w:left="113" w:right="-57" w:hanging="113"/>
              <w:rPr>
                <w:b/>
                <w:i/>
                <w:color w:val="000000"/>
              </w:rPr>
            </w:pPr>
            <w:r>
              <w:rPr>
                <w:b/>
                <w:i/>
                <w:color w:val="000000"/>
              </w:rPr>
              <w:t xml:space="preserve">Other financial assets </w:t>
            </w:r>
          </w:p>
        </w:tc>
        <w:tc>
          <w:tcPr>
            <w:tcW w:w="964" w:type="dxa"/>
            <w:vAlign w:val="bottom"/>
          </w:tcPr>
          <w:p w14:paraId="2A4C5DEA"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EBBAB61"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0AA8C1F"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79CE399B"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7784DFEC"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3F8F613D" w14:textId="77777777" w:rsidR="008E5DE4" w:rsidRDefault="008E5DE4">
            <w:pPr>
              <w:widowControl w:val="0"/>
              <w:pBdr>
                <w:top w:val="nil"/>
                <w:left w:val="nil"/>
                <w:bottom w:val="nil"/>
                <w:right w:val="nil"/>
                <w:between w:val="nil"/>
              </w:pBdr>
              <w:ind w:left="-113"/>
              <w:jc w:val="right"/>
              <w:rPr>
                <w:color w:val="000000"/>
              </w:rPr>
            </w:pPr>
          </w:p>
        </w:tc>
      </w:tr>
      <w:tr w:rsidR="008E5DE4" w14:paraId="44F4C206" w14:textId="77777777">
        <w:trPr>
          <w:cantSplit/>
        </w:trPr>
        <w:tc>
          <w:tcPr>
            <w:tcW w:w="3175" w:type="dxa"/>
            <w:vAlign w:val="bottom"/>
          </w:tcPr>
          <w:p w14:paraId="542560BE" w14:textId="77777777" w:rsidR="008E5DE4" w:rsidRDefault="00780368">
            <w:pPr>
              <w:widowControl w:val="0"/>
              <w:pBdr>
                <w:top w:val="nil"/>
                <w:left w:val="nil"/>
                <w:bottom w:val="nil"/>
                <w:right w:val="nil"/>
                <w:between w:val="nil"/>
              </w:pBdr>
              <w:ind w:left="113" w:right="-57" w:hanging="113"/>
              <w:rPr>
                <w:b/>
                <w:color w:val="000000"/>
              </w:rPr>
            </w:pPr>
            <w:r>
              <w:rPr>
                <w:color w:val="000000"/>
              </w:rPr>
              <w:t>Foreign exchange forward contracts</w:t>
            </w:r>
          </w:p>
        </w:tc>
        <w:tc>
          <w:tcPr>
            <w:tcW w:w="964" w:type="dxa"/>
            <w:vAlign w:val="bottom"/>
          </w:tcPr>
          <w:p w14:paraId="38FD4B24"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838700E"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82FA9F8"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3798639D"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6C3253AD"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1C1054A" w14:textId="77777777" w:rsidR="008E5DE4" w:rsidRDefault="008E5DE4">
            <w:pPr>
              <w:widowControl w:val="0"/>
              <w:pBdr>
                <w:top w:val="nil"/>
                <w:left w:val="nil"/>
                <w:bottom w:val="nil"/>
                <w:right w:val="nil"/>
                <w:between w:val="nil"/>
              </w:pBdr>
              <w:ind w:left="-113"/>
              <w:jc w:val="right"/>
              <w:rPr>
                <w:color w:val="000000"/>
              </w:rPr>
            </w:pPr>
          </w:p>
        </w:tc>
      </w:tr>
      <w:tr w:rsidR="008E5DE4" w14:paraId="27DDF5C3" w14:textId="77777777">
        <w:trPr>
          <w:cantSplit/>
        </w:trPr>
        <w:tc>
          <w:tcPr>
            <w:tcW w:w="3175" w:type="dxa"/>
            <w:vAlign w:val="bottom"/>
          </w:tcPr>
          <w:p w14:paraId="7CC4275C" w14:textId="77777777" w:rsidR="008E5DE4" w:rsidRDefault="00780368">
            <w:pPr>
              <w:widowControl w:val="0"/>
              <w:pBdr>
                <w:top w:val="nil"/>
                <w:left w:val="nil"/>
                <w:bottom w:val="nil"/>
                <w:right w:val="nil"/>
                <w:between w:val="nil"/>
              </w:pBdr>
              <w:ind w:left="113" w:right="-57" w:hanging="113"/>
              <w:rPr>
                <w:b/>
                <w:color w:val="000000"/>
              </w:rPr>
            </w:pPr>
            <w:r>
              <w:rPr>
                <w:color w:val="000000"/>
              </w:rPr>
              <w:t>Precious metals forward contracts</w:t>
            </w:r>
          </w:p>
        </w:tc>
        <w:tc>
          <w:tcPr>
            <w:tcW w:w="964" w:type="dxa"/>
            <w:vAlign w:val="bottom"/>
          </w:tcPr>
          <w:p w14:paraId="0C26E3B2"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AF9CD19"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C3E2314"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26D49ECB"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45DC9435"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3A2E9384" w14:textId="77777777" w:rsidR="008E5DE4" w:rsidRDefault="008E5DE4">
            <w:pPr>
              <w:widowControl w:val="0"/>
              <w:pBdr>
                <w:top w:val="nil"/>
                <w:left w:val="nil"/>
                <w:bottom w:val="nil"/>
                <w:right w:val="nil"/>
                <w:between w:val="nil"/>
              </w:pBdr>
              <w:ind w:left="-113"/>
              <w:jc w:val="right"/>
              <w:rPr>
                <w:color w:val="000000"/>
              </w:rPr>
            </w:pPr>
          </w:p>
        </w:tc>
      </w:tr>
      <w:tr w:rsidR="008E5DE4" w14:paraId="4F809371" w14:textId="77777777">
        <w:trPr>
          <w:cantSplit/>
        </w:trPr>
        <w:tc>
          <w:tcPr>
            <w:tcW w:w="3175" w:type="dxa"/>
            <w:vAlign w:val="bottom"/>
          </w:tcPr>
          <w:p w14:paraId="092A0645" w14:textId="77777777" w:rsidR="008E5DE4" w:rsidRDefault="00780368">
            <w:pPr>
              <w:widowControl w:val="0"/>
              <w:pBdr>
                <w:top w:val="nil"/>
                <w:left w:val="nil"/>
                <w:bottom w:val="nil"/>
                <w:right w:val="nil"/>
                <w:between w:val="nil"/>
              </w:pBdr>
              <w:ind w:left="113" w:right="-57" w:hanging="113"/>
              <w:rPr>
                <w:b/>
                <w:color w:val="000000"/>
              </w:rPr>
            </w:pPr>
            <w:r>
              <w:rPr>
                <w:color w:val="000000"/>
              </w:rPr>
              <w:t>Other financial derivatives</w:t>
            </w:r>
          </w:p>
        </w:tc>
        <w:tc>
          <w:tcPr>
            <w:tcW w:w="964" w:type="dxa"/>
            <w:vAlign w:val="bottom"/>
          </w:tcPr>
          <w:p w14:paraId="2C3F4309"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1FB6C11"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756D79B3"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03E2CAB5"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2E872CD7"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2CFF898" w14:textId="77777777" w:rsidR="008E5DE4" w:rsidRDefault="008E5DE4">
            <w:pPr>
              <w:widowControl w:val="0"/>
              <w:pBdr>
                <w:top w:val="nil"/>
                <w:left w:val="nil"/>
                <w:bottom w:val="nil"/>
                <w:right w:val="nil"/>
                <w:between w:val="nil"/>
              </w:pBdr>
              <w:ind w:left="-113"/>
              <w:jc w:val="right"/>
              <w:rPr>
                <w:color w:val="000000"/>
              </w:rPr>
            </w:pPr>
          </w:p>
        </w:tc>
      </w:tr>
      <w:tr w:rsidR="008E5DE4" w14:paraId="6B303058" w14:textId="77777777">
        <w:trPr>
          <w:cantSplit/>
        </w:trPr>
        <w:tc>
          <w:tcPr>
            <w:tcW w:w="3175" w:type="dxa"/>
            <w:vAlign w:val="bottom"/>
          </w:tcPr>
          <w:p w14:paraId="12A5470C" w14:textId="77777777" w:rsidR="008E5DE4" w:rsidRDefault="00780368">
            <w:pPr>
              <w:widowControl w:val="0"/>
              <w:pBdr>
                <w:top w:val="nil"/>
                <w:left w:val="nil"/>
                <w:bottom w:val="nil"/>
                <w:right w:val="nil"/>
                <w:between w:val="nil"/>
              </w:pBdr>
              <w:ind w:left="113" w:right="-57" w:hanging="113"/>
              <w:rPr>
                <w:b/>
                <w:i/>
                <w:color w:val="000000"/>
              </w:rPr>
            </w:pPr>
            <w:r>
              <w:rPr>
                <w:b/>
                <w:smallCaps/>
                <w:color w:val="000000"/>
              </w:rPr>
              <w:t>NON-FINANCIAL ASSETS</w:t>
            </w:r>
          </w:p>
        </w:tc>
        <w:tc>
          <w:tcPr>
            <w:tcW w:w="964" w:type="dxa"/>
            <w:vAlign w:val="bottom"/>
          </w:tcPr>
          <w:p w14:paraId="69A34789"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37FC4B1B"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4DA19B5"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E1918DC"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43DB7D2C"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65DE53D" w14:textId="77777777" w:rsidR="008E5DE4" w:rsidRDefault="008E5DE4">
            <w:pPr>
              <w:widowControl w:val="0"/>
              <w:pBdr>
                <w:top w:val="nil"/>
                <w:left w:val="nil"/>
                <w:bottom w:val="nil"/>
                <w:right w:val="nil"/>
                <w:between w:val="nil"/>
              </w:pBdr>
              <w:ind w:left="-113"/>
              <w:jc w:val="right"/>
              <w:rPr>
                <w:color w:val="000000"/>
              </w:rPr>
            </w:pPr>
          </w:p>
        </w:tc>
      </w:tr>
      <w:tr w:rsidR="008E5DE4" w14:paraId="0C887BCA" w14:textId="77777777">
        <w:trPr>
          <w:cantSplit/>
        </w:trPr>
        <w:tc>
          <w:tcPr>
            <w:tcW w:w="3175" w:type="dxa"/>
            <w:vAlign w:val="bottom"/>
          </w:tcPr>
          <w:p w14:paraId="32BBA258" w14:textId="77777777" w:rsidR="008E5DE4" w:rsidRDefault="00780368">
            <w:pPr>
              <w:widowControl w:val="0"/>
              <w:pBdr>
                <w:top w:val="nil"/>
                <w:left w:val="nil"/>
                <w:bottom w:val="nil"/>
                <w:right w:val="nil"/>
                <w:between w:val="nil"/>
              </w:pBdr>
              <w:ind w:left="113" w:right="-57" w:hanging="113"/>
              <w:rPr>
                <w:b/>
                <w:color w:val="000000"/>
              </w:rPr>
            </w:pPr>
            <w:r>
              <w:rPr>
                <w:color w:val="000000"/>
              </w:rPr>
              <w:t xml:space="preserve">- Land and buildings </w:t>
            </w:r>
          </w:p>
        </w:tc>
        <w:tc>
          <w:tcPr>
            <w:tcW w:w="964" w:type="dxa"/>
            <w:vAlign w:val="bottom"/>
          </w:tcPr>
          <w:p w14:paraId="634FE5E7"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0B33CA41"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CE2D257"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04AC2C53"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5C2D2206"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A7F3105" w14:textId="77777777" w:rsidR="008E5DE4" w:rsidRDefault="008E5DE4">
            <w:pPr>
              <w:widowControl w:val="0"/>
              <w:pBdr>
                <w:top w:val="nil"/>
                <w:left w:val="nil"/>
                <w:bottom w:val="nil"/>
                <w:right w:val="nil"/>
                <w:between w:val="nil"/>
              </w:pBdr>
              <w:ind w:left="-113"/>
              <w:jc w:val="right"/>
              <w:rPr>
                <w:color w:val="000000"/>
              </w:rPr>
            </w:pPr>
          </w:p>
        </w:tc>
      </w:tr>
      <w:tr w:rsidR="008E5DE4" w14:paraId="7BDAE3DD" w14:textId="77777777">
        <w:trPr>
          <w:cantSplit/>
        </w:trPr>
        <w:tc>
          <w:tcPr>
            <w:tcW w:w="3175" w:type="dxa"/>
            <w:vAlign w:val="bottom"/>
          </w:tcPr>
          <w:p w14:paraId="6B01A83B" w14:textId="77777777" w:rsidR="008E5DE4" w:rsidRDefault="00780368">
            <w:pPr>
              <w:widowControl w:val="0"/>
              <w:pBdr>
                <w:top w:val="nil"/>
                <w:left w:val="nil"/>
                <w:bottom w:val="nil"/>
                <w:right w:val="nil"/>
                <w:between w:val="nil"/>
              </w:pBdr>
              <w:ind w:left="113" w:right="-57" w:hanging="113"/>
              <w:rPr>
                <w:b/>
                <w:color w:val="000000"/>
              </w:rPr>
            </w:pPr>
            <w:r>
              <w:rPr>
                <w:color w:val="000000"/>
              </w:rPr>
              <w:t>- Investment properties</w:t>
            </w:r>
          </w:p>
        </w:tc>
        <w:tc>
          <w:tcPr>
            <w:tcW w:w="964" w:type="dxa"/>
            <w:vAlign w:val="bottom"/>
          </w:tcPr>
          <w:p w14:paraId="399FD3F3"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392D623"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732DD3C7"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0227C0B"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05FD8A7E"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AB6A4BD" w14:textId="77777777" w:rsidR="008E5DE4" w:rsidRDefault="008E5DE4">
            <w:pPr>
              <w:widowControl w:val="0"/>
              <w:pBdr>
                <w:top w:val="nil"/>
                <w:left w:val="nil"/>
                <w:bottom w:val="nil"/>
                <w:right w:val="nil"/>
                <w:between w:val="nil"/>
              </w:pBdr>
              <w:ind w:left="-113"/>
              <w:jc w:val="right"/>
              <w:rPr>
                <w:color w:val="000000"/>
              </w:rPr>
            </w:pPr>
          </w:p>
        </w:tc>
      </w:tr>
      <w:tr w:rsidR="008E5DE4" w14:paraId="32FB05F6" w14:textId="77777777">
        <w:trPr>
          <w:cantSplit/>
        </w:trPr>
        <w:tc>
          <w:tcPr>
            <w:tcW w:w="3175" w:type="dxa"/>
            <w:vAlign w:val="bottom"/>
          </w:tcPr>
          <w:p w14:paraId="17648322" w14:textId="77777777" w:rsidR="008E5DE4" w:rsidRDefault="008E5DE4">
            <w:pPr>
              <w:widowControl w:val="0"/>
              <w:pBdr>
                <w:top w:val="nil"/>
                <w:left w:val="nil"/>
                <w:bottom w:val="nil"/>
                <w:right w:val="nil"/>
                <w:between w:val="nil"/>
              </w:pBdr>
              <w:ind w:left="113" w:right="-57" w:hanging="113"/>
              <w:rPr>
                <w:color w:val="000000"/>
              </w:rPr>
            </w:pPr>
          </w:p>
        </w:tc>
        <w:tc>
          <w:tcPr>
            <w:tcW w:w="964" w:type="dxa"/>
            <w:vAlign w:val="bottom"/>
          </w:tcPr>
          <w:p w14:paraId="06076DEC"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6109D8C"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2678E126"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066227C1"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7E9BCC62"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39FCD16D" w14:textId="77777777" w:rsidR="008E5DE4" w:rsidRDefault="008E5DE4">
            <w:pPr>
              <w:widowControl w:val="0"/>
              <w:pBdr>
                <w:top w:val="nil"/>
                <w:left w:val="nil"/>
                <w:bottom w:val="nil"/>
                <w:right w:val="nil"/>
                <w:between w:val="nil"/>
              </w:pBdr>
              <w:ind w:left="-113"/>
              <w:jc w:val="right"/>
              <w:rPr>
                <w:color w:val="000000"/>
              </w:rPr>
            </w:pPr>
          </w:p>
        </w:tc>
      </w:tr>
      <w:tr w:rsidR="008E5DE4" w14:paraId="4408DB83" w14:textId="77777777">
        <w:trPr>
          <w:cantSplit/>
        </w:trPr>
        <w:tc>
          <w:tcPr>
            <w:tcW w:w="3175" w:type="dxa"/>
            <w:vAlign w:val="bottom"/>
          </w:tcPr>
          <w:p w14:paraId="63206D28" w14:textId="77777777" w:rsidR="008E5DE4" w:rsidRDefault="00780368">
            <w:pPr>
              <w:widowControl w:val="0"/>
              <w:pBdr>
                <w:top w:val="nil"/>
                <w:left w:val="nil"/>
                <w:bottom w:val="nil"/>
                <w:right w:val="nil"/>
                <w:between w:val="nil"/>
              </w:pBdr>
              <w:ind w:left="113" w:right="-57" w:hanging="113"/>
              <w:rPr>
                <w:b/>
                <w:color w:val="000000"/>
              </w:rPr>
            </w:pPr>
            <w:r>
              <w:rPr>
                <w:b/>
                <w:smallCaps/>
                <w:color w:val="000000"/>
              </w:rPr>
              <w:t>LIABILITIES AT FAIR VALUE</w:t>
            </w:r>
          </w:p>
        </w:tc>
        <w:tc>
          <w:tcPr>
            <w:tcW w:w="964" w:type="dxa"/>
            <w:vAlign w:val="bottom"/>
          </w:tcPr>
          <w:p w14:paraId="6E08799C"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62E4CF5"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494B3370"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50120C2"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7752A0D8"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37F16DAA" w14:textId="77777777" w:rsidR="008E5DE4" w:rsidRDefault="008E5DE4">
            <w:pPr>
              <w:widowControl w:val="0"/>
              <w:pBdr>
                <w:top w:val="nil"/>
                <w:left w:val="nil"/>
                <w:bottom w:val="nil"/>
                <w:right w:val="nil"/>
                <w:between w:val="nil"/>
              </w:pBdr>
              <w:ind w:left="-113"/>
              <w:jc w:val="right"/>
              <w:rPr>
                <w:color w:val="000000"/>
              </w:rPr>
            </w:pPr>
          </w:p>
        </w:tc>
      </w:tr>
      <w:tr w:rsidR="008E5DE4" w14:paraId="54BCFEBE" w14:textId="77777777">
        <w:trPr>
          <w:cantSplit/>
        </w:trPr>
        <w:tc>
          <w:tcPr>
            <w:tcW w:w="3175" w:type="dxa"/>
            <w:vAlign w:val="bottom"/>
          </w:tcPr>
          <w:p w14:paraId="22DA18BE" w14:textId="77777777" w:rsidR="008E5DE4" w:rsidRDefault="00780368">
            <w:pPr>
              <w:widowControl w:val="0"/>
              <w:pBdr>
                <w:top w:val="nil"/>
                <w:left w:val="nil"/>
                <w:bottom w:val="nil"/>
                <w:right w:val="nil"/>
                <w:between w:val="nil"/>
              </w:pBdr>
              <w:ind w:left="113" w:right="-57" w:hanging="113"/>
              <w:rPr>
                <w:b/>
                <w:color w:val="000000"/>
              </w:rPr>
            </w:pPr>
            <w:r>
              <w:rPr>
                <w:b/>
                <w:smallCaps/>
                <w:color w:val="000000"/>
              </w:rPr>
              <w:t xml:space="preserve">FINANCIAL LIABILITIES </w:t>
            </w:r>
          </w:p>
        </w:tc>
        <w:tc>
          <w:tcPr>
            <w:tcW w:w="964" w:type="dxa"/>
            <w:vAlign w:val="bottom"/>
          </w:tcPr>
          <w:p w14:paraId="23F3F6EF"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154F45B"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32F367B"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549C3FC"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49F04FF8"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2338CA7E" w14:textId="77777777" w:rsidR="008E5DE4" w:rsidRDefault="008E5DE4">
            <w:pPr>
              <w:widowControl w:val="0"/>
              <w:pBdr>
                <w:top w:val="nil"/>
                <w:left w:val="nil"/>
                <w:bottom w:val="nil"/>
                <w:right w:val="nil"/>
                <w:between w:val="nil"/>
              </w:pBdr>
              <w:ind w:left="-113"/>
              <w:jc w:val="right"/>
              <w:rPr>
                <w:color w:val="000000"/>
              </w:rPr>
            </w:pPr>
          </w:p>
        </w:tc>
      </w:tr>
      <w:tr w:rsidR="008E5DE4" w14:paraId="19B6B442" w14:textId="77777777">
        <w:trPr>
          <w:cantSplit/>
        </w:trPr>
        <w:tc>
          <w:tcPr>
            <w:tcW w:w="3175" w:type="dxa"/>
            <w:vAlign w:val="bottom"/>
          </w:tcPr>
          <w:p w14:paraId="718596FD" w14:textId="77777777" w:rsidR="008E5DE4" w:rsidRDefault="00780368">
            <w:pPr>
              <w:widowControl w:val="0"/>
              <w:pBdr>
                <w:top w:val="nil"/>
                <w:left w:val="nil"/>
                <w:bottom w:val="nil"/>
                <w:right w:val="nil"/>
                <w:between w:val="nil"/>
              </w:pBdr>
              <w:ind w:left="113" w:right="-57" w:hanging="113"/>
              <w:rPr>
                <w:b/>
                <w:color w:val="000000"/>
              </w:rPr>
            </w:pPr>
            <w:r>
              <w:rPr>
                <w:b/>
                <w:i/>
                <w:color w:val="000000"/>
              </w:rPr>
              <w:t xml:space="preserve">Other financial liabilities </w:t>
            </w:r>
          </w:p>
        </w:tc>
        <w:tc>
          <w:tcPr>
            <w:tcW w:w="964" w:type="dxa"/>
            <w:vAlign w:val="bottom"/>
          </w:tcPr>
          <w:p w14:paraId="2CFE4B31"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32976434"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74EBEAB7"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99867CB"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06D28D39"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6807934" w14:textId="77777777" w:rsidR="008E5DE4" w:rsidRDefault="008E5DE4">
            <w:pPr>
              <w:widowControl w:val="0"/>
              <w:pBdr>
                <w:top w:val="nil"/>
                <w:left w:val="nil"/>
                <w:bottom w:val="nil"/>
                <w:right w:val="nil"/>
                <w:between w:val="nil"/>
              </w:pBdr>
              <w:ind w:left="-113"/>
              <w:jc w:val="right"/>
              <w:rPr>
                <w:color w:val="000000"/>
              </w:rPr>
            </w:pPr>
          </w:p>
        </w:tc>
      </w:tr>
      <w:tr w:rsidR="008E5DE4" w14:paraId="730FFF75" w14:textId="77777777">
        <w:trPr>
          <w:cantSplit/>
        </w:trPr>
        <w:tc>
          <w:tcPr>
            <w:tcW w:w="3175" w:type="dxa"/>
            <w:vAlign w:val="bottom"/>
          </w:tcPr>
          <w:p w14:paraId="112DFED4" w14:textId="77777777" w:rsidR="008E5DE4" w:rsidRDefault="00780368">
            <w:pPr>
              <w:widowControl w:val="0"/>
              <w:pBdr>
                <w:top w:val="nil"/>
                <w:left w:val="nil"/>
                <w:bottom w:val="nil"/>
                <w:right w:val="nil"/>
                <w:between w:val="nil"/>
              </w:pBdr>
              <w:ind w:left="113" w:right="-57" w:hanging="113"/>
              <w:rPr>
                <w:b/>
                <w:color w:val="000000"/>
              </w:rPr>
            </w:pPr>
            <w:r>
              <w:rPr>
                <w:color w:val="000000"/>
              </w:rPr>
              <w:t>- Foreign exchange forward contracts</w:t>
            </w:r>
          </w:p>
        </w:tc>
        <w:tc>
          <w:tcPr>
            <w:tcW w:w="964" w:type="dxa"/>
            <w:vAlign w:val="bottom"/>
          </w:tcPr>
          <w:p w14:paraId="2C95BCFF"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07803C09"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D8BDDFD"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9D02001"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2068B230"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6B889D86" w14:textId="77777777" w:rsidR="008E5DE4" w:rsidRDefault="008E5DE4">
            <w:pPr>
              <w:widowControl w:val="0"/>
              <w:pBdr>
                <w:top w:val="nil"/>
                <w:left w:val="nil"/>
                <w:bottom w:val="nil"/>
                <w:right w:val="nil"/>
                <w:between w:val="nil"/>
              </w:pBdr>
              <w:ind w:left="-113"/>
              <w:jc w:val="right"/>
              <w:rPr>
                <w:color w:val="000000"/>
              </w:rPr>
            </w:pPr>
          </w:p>
        </w:tc>
      </w:tr>
      <w:tr w:rsidR="008E5DE4" w14:paraId="48C63AB7" w14:textId="77777777">
        <w:trPr>
          <w:cantSplit/>
        </w:trPr>
        <w:tc>
          <w:tcPr>
            <w:tcW w:w="3175" w:type="dxa"/>
            <w:vAlign w:val="bottom"/>
          </w:tcPr>
          <w:p w14:paraId="47C82D5B" w14:textId="77777777" w:rsidR="008E5DE4" w:rsidRDefault="00780368">
            <w:pPr>
              <w:widowControl w:val="0"/>
              <w:pBdr>
                <w:top w:val="nil"/>
                <w:left w:val="nil"/>
                <w:bottom w:val="nil"/>
                <w:right w:val="nil"/>
                <w:between w:val="nil"/>
              </w:pBdr>
              <w:ind w:left="113" w:right="-57" w:hanging="113"/>
              <w:rPr>
                <w:b/>
                <w:color w:val="000000"/>
              </w:rPr>
            </w:pPr>
            <w:r>
              <w:rPr>
                <w:color w:val="000000"/>
              </w:rPr>
              <w:t>- Other derivative financial instruments</w:t>
            </w:r>
          </w:p>
        </w:tc>
        <w:tc>
          <w:tcPr>
            <w:tcW w:w="964" w:type="dxa"/>
            <w:vAlign w:val="bottom"/>
          </w:tcPr>
          <w:p w14:paraId="6580CDA7"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95E7874"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83FCC7C"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2294A2CA"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3B35EEE2"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F1A233A" w14:textId="77777777" w:rsidR="008E5DE4" w:rsidRDefault="008E5DE4">
            <w:pPr>
              <w:widowControl w:val="0"/>
              <w:pBdr>
                <w:top w:val="nil"/>
                <w:left w:val="nil"/>
                <w:bottom w:val="nil"/>
                <w:right w:val="nil"/>
                <w:between w:val="nil"/>
              </w:pBdr>
              <w:ind w:left="-113"/>
              <w:jc w:val="right"/>
              <w:rPr>
                <w:color w:val="000000"/>
              </w:rPr>
            </w:pPr>
          </w:p>
        </w:tc>
      </w:tr>
      <w:tr w:rsidR="008E5DE4" w14:paraId="40E7E646" w14:textId="77777777">
        <w:trPr>
          <w:cantSplit/>
        </w:trPr>
        <w:tc>
          <w:tcPr>
            <w:tcW w:w="3175" w:type="dxa"/>
            <w:vAlign w:val="bottom"/>
          </w:tcPr>
          <w:p w14:paraId="77C765BB" w14:textId="77777777" w:rsidR="008E5DE4" w:rsidRDefault="00780368">
            <w:pPr>
              <w:widowControl w:val="0"/>
              <w:pBdr>
                <w:top w:val="nil"/>
                <w:left w:val="nil"/>
                <w:bottom w:val="nil"/>
                <w:right w:val="nil"/>
                <w:between w:val="nil"/>
              </w:pBdr>
              <w:ind w:left="113" w:right="-57" w:hanging="113"/>
              <w:rPr>
                <w:b/>
                <w:color w:val="000000"/>
              </w:rPr>
            </w:pPr>
            <w:r>
              <w:rPr>
                <w:color w:val="000000"/>
              </w:rPr>
              <w:t>- Other liabilities at fair value</w:t>
            </w:r>
          </w:p>
        </w:tc>
        <w:tc>
          <w:tcPr>
            <w:tcW w:w="964" w:type="dxa"/>
            <w:vAlign w:val="bottom"/>
          </w:tcPr>
          <w:p w14:paraId="37969C50"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27F779C3"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5C06F95E"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12996896" w14:textId="77777777" w:rsidR="008E5DE4" w:rsidRDefault="008E5DE4">
            <w:pPr>
              <w:widowControl w:val="0"/>
              <w:pBdr>
                <w:top w:val="nil"/>
                <w:left w:val="nil"/>
                <w:bottom w:val="nil"/>
                <w:right w:val="nil"/>
                <w:between w:val="nil"/>
              </w:pBdr>
              <w:ind w:left="-113"/>
              <w:jc w:val="right"/>
              <w:rPr>
                <w:color w:val="000000"/>
              </w:rPr>
            </w:pPr>
          </w:p>
        </w:tc>
        <w:tc>
          <w:tcPr>
            <w:tcW w:w="964" w:type="dxa"/>
            <w:vAlign w:val="bottom"/>
          </w:tcPr>
          <w:p w14:paraId="224E0960" w14:textId="77777777" w:rsidR="008E5DE4" w:rsidRDefault="008E5DE4">
            <w:pPr>
              <w:widowControl w:val="0"/>
              <w:pBdr>
                <w:top w:val="nil"/>
                <w:left w:val="nil"/>
                <w:bottom w:val="nil"/>
                <w:right w:val="nil"/>
                <w:between w:val="nil"/>
              </w:pBdr>
              <w:ind w:left="-113"/>
              <w:jc w:val="right"/>
              <w:rPr>
                <w:color w:val="000000"/>
              </w:rPr>
            </w:pPr>
          </w:p>
        </w:tc>
        <w:tc>
          <w:tcPr>
            <w:tcW w:w="1077" w:type="dxa"/>
            <w:vAlign w:val="bottom"/>
          </w:tcPr>
          <w:p w14:paraId="26CA7B46" w14:textId="77777777" w:rsidR="008E5DE4" w:rsidRDefault="008E5DE4">
            <w:pPr>
              <w:widowControl w:val="0"/>
              <w:pBdr>
                <w:top w:val="nil"/>
                <w:left w:val="nil"/>
                <w:bottom w:val="nil"/>
                <w:right w:val="nil"/>
                <w:between w:val="nil"/>
              </w:pBdr>
              <w:ind w:left="-113"/>
              <w:jc w:val="right"/>
              <w:rPr>
                <w:color w:val="000000"/>
              </w:rPr>
            </w:pPr>
          </w:p>
        </w:tc>
      </w:tr>
      <w:tr w:rsidR="008E5DE4" w14:paraId="6B4AA238" w14:textId="77777777">
        <w:trPr>
          <w:cantSplit/>
        </w:trPr>
        <w:tc>
          <w:tcPr>
            <w:tcW w:w="3175" w:type="dxa"/>
            <w:tcBorders>
              <w:bottom w:val="single" w:sz="4" w:space="0" w:color="000000"/>
            </w:tcBorders>
            <w:vAlign w:val="bottom"/>
          </w:tcPr>
          <w:p w14:paraId="1B79EDF7"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964" w:type="dxa"/>
            <w:tcBorders>
              <w:bottom w:val="single" w:sz="4" w:space="0" w:color="000000"/>
            </w:tcBorders>
            <w:vAlign w:val="bottom"/>
          </w:tcPr>
          <w:p w14:paraId="2FAACABD" w14:textId="77777777" w:rsidR="008E5DE4" w:rsidRDefault="008E5DE4">
            <w:pPr>
              <w:widowControl w:val="0"/>
              <w:pBdr>
                <w:top w:val="nil"/>
                <w:left w:val="nil"/>
                <w:bottom w:val="nil"/>
                <w:right w:val="nil"/>
                <w:between w:val="nil"/>
              </w:pBdr>
              <w:ind w:left="-113"/>
              <w:jc w:val="right"/>
              <w:rPr>
                <w:color w:val="000000"/>
              </w:rPr>
            </w:pPr>
          </w:p>
        </w:tc>
        <w:tc>
          <w:tcPr>
            <w:tcW w:w="1077" w:type="dxa"/>
            <w:tcBorders>
              <w:bottom w:val="single" w:sz="4" w:space="0" w:color="000000"/>
            </w:tcBorders>
            <w:vAlign w:val="bottom"/>
          </w:tcPr>
          <w:p w14:paraId="46307C5E" w14:textId="77777777" w:rsidR="008E5DE4" w:rsidRDefault="008E5DE4">
            <w:pPr>
              <w:widowControl w:val="0"/>
              <w:pBdr>
                <w:top w:val="nil"/>
                <w:left w:val="nil"/>
                <w:bottom w:val="nil"/>
                <w:right w:val="nil"/>
                <w:between w:val="nil"/>
              </w:pBdr>
              <w:ind w:left="-113"/>
              <w:jc w:val="right"/>
              <w:rPr>
                <w:color w:val="000000"/>
              </w:rPr>
            </w:pPr>
          </w:p>
        </w:tc>
        <w:tc>
          <w:tcPr>
            <w:tcW w:w="1077" w:type="dxa"/>
            <w:tcBorders>
              <w:bottom w:val="single" w:sz="4" w:space="0" w:color="000000"/>
            </w:tcBorders>
            <w:vAlign w:val="bottom"/>
          </w:tcPr>
          <w:p w14:paraId="4D1FF578" w14:textId="77777777" w:rsidR="008E5DE4" w:rsidRDefault="008E5DE4">
            <w:pPr>
              <w:widowControl w:val="0"/>
              <w:pBdr>
                <w:top w:val="nil"/>
                <w:left w:val="nil"/>
                <w:bottom w:val="nil"/>
                <w:right w:val="nil"/>
                <w:between w:val="nil"/>
              </w:pBdr>
              <w:ind w:left="-113"/>
              <w:jc w:val="right"/>
              <w:rPr>
                <w:color w:val="000000"/>
              </w:rPr>
            </w:pPr>
          </w:p>
        </w:tc>
        <w:tc>
          <w:tcPr>
            <w:tcW w:w="1077" w:type="dxa"/>
            <w:tcBorders>
              <w:bottom w:val="single" w:sz="4" w:space="0" w:color="000000"/>
            </w:tcBorders>
            <w:vAlign w:val="bottom"/>
          </w:tcPr>
          <w:p w14:paraId="5E18D5D5" w14:textId="77777777" w:rsidR="008E5DE4" w:rsidRDefault="008E5DE4">
            <w:pPr>
              <w:widowControl w:val="0"/>
              <w:pBdr>
                <w:top w:val="nil"/>
                <w:left w:val="nil"/>
                <w:bottom w:val="nil"/>
                <w:right w:val="nil"/>
                <w:between w:val="nil"/>
              </w:pBdr>
              <w:ind w:left="-113"/>
              <w:jc w:val="right"/>
              <w:rPr>
                <w:color w:val="000000"/>
              </w:rPr>
            </w:pPr>
          </w:p>
        </w:tc>
        <w:tc>
          <w:tcPr>
            <w:tcW w:w="964" w:type="dxa"/>
            <w:tcBorders>
              <w:bottom w:val="single" w:sz="4" w:space="0" w:color="000000"/>
            </w:tcBorders>
            <w:vAlign w:val="bottom"/>
          </w:tcPr>
          <w:p w14:paraId="79D03307" w14:textId="77777777" w:rsidR="008E5DE4" w:rsidRDefault="008E5DE4">
            <w:pPr>
              <w:widowControl w:val="0"/>
              <w:pBdr>
                <w:top w:val="nil"/>
                <w:left w:val="nil"/>
                <w:bottom w:val="nil"/>
                <w:right w:val="nil"/>
                <w:between w:val="nil"/>
              </w:pBdr>
              <w:ind w:left="-113"/>
              <w:jc w:val="right"/>
              <w:rPr>
                <w:color w:val="000000"/>
              </w:rPr>
            </w:pPr>
          </w:p>
        </w:tc>
        <w:tc>
          <w:tcPr>
            <w:tcW w:w="1077" w:type="dxa"/>
            <w:tcBorders>
              <w:bottom w:val="single" w:sz="4" w:space="0" w:color="000000"/>
            </w:tcBorders>
            <w:vAlign w:val="bottom"/>
          </w:tcPr>
          <w:p w14:paraId="43428DE7" w14:textId="77777777" w:rsidR="008E5DE4" w:rsidRDefault="008E5DE4">
            <w:pPr>
              <w:widowControl w:val="0"/>
              <w:pBdr>
                <w:top w:val="nil"/>
                <w:left w:val="nil"/>
                <w:bottom w:val="nil"/>
                <w:right w:val="nil"/>
                <w:between w:val="nil"/>
              </w:pBdr>
              <w:ind w:left="-113"/>
              <w:jc w:val="right"/>
              <w:rPr>
                <w:color w:val="000000"/>
              </w:rPr>
            </w:pPr>
          </w:p>
        </w:tc>
      </w:tr>
      <w:tr w:rsidR="008E5DE4" w14:paraId="683379CD" w14:textId="77777777">
        <w:trPr>
          <w:cantSplit/>
        </w:trPr>
        <w:tc>
          <w:tcPr>
            <w:tcW w:w="3175" w:type="dxa"/>
            <w:vAlign w:val="bottom"/>
          </w:tcPr>
          <w:p w14:paraId="293E2D3D"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964" w:type="dxa"/>
            <w:vAlign w:val="bottom"/>
          </w:tcPr>
          <w:p w14:paraId="515A5068" w14:textId="77777777" w:rsidR="008E5DE4" w:rsidRDefault="008E5DE4">
            <w:pPr>
              <w:widowControl w:val="0"/>
              <w:pBdr>
                <w:top w:val="nil"/>
                <w:left w:val="nil"/>
                <w:bottom w:val="nil"/>
                <w:right w:val="nil"/>
                <w:between w:val="nil"/>
              </w:pBdr>
              <w:ind w:left="-113"/>
              <w:jc w:val="right"/>
              <w:rPr>
                <w:b/>
                <w:color w:val="000000"/>
              </w:rPr>
            </w:pPr>
          </w:p>
        </w:tc>
        <w:tc>
          <w:tcPr>
            <w:tcW w:w="1077" w:type="dxa"/>
            <w:vAlign w:val="bottom"/>
          </w:tcPr>
          <w:p w14:paraId="10CB780E" w14:textId="77777777" w:rsidR="008E5DE4" w:rsidRDefault="008E5DE4">
            <w:pPr>
              <w:widowControl w:val="0"/>
              <w:pBdr>
                <w:top w:val="nil"/>
                <w:left w:val="nil"/>
                <w:bottom w:val="nil"/>
                <w:right w:val="nil"/>
                <w:between w:val="nil"/>
              </w:pBdr>
              <w:ind w:left="-113"/>
              <w:jc w:val="right"/>
              <w:rPr>
                <w:b/>
                <w:color w:val="000000"/>
              </w:rPr>
            </w:pPr>
          </w:p>
        </w:tc>
        <w:tc>
          <w:tcPr>
            <w:tcW w:w="1077" w:type="dxa"/>
            <w:vAlign w:val="bottom"/>
          </w:tcPr>
          <w:p w14:paraId="68C9757E" w14:textId="77777777" w:rsidR="008E5DE4" w:rsidRDefault="008E5DE4">
            <w:pPr>
              <w:widowControl w:val="0"/>
              <w:pBdr>
                <w:top w:val="nil"/>
                <w:left w:val="nil"/>
                <w:bottom w:val="nil"/>
                <w:right w:val="nil"/>
                <w:between w:val="nil"/>
              </w:pBdr>
              <w:ind w:left="-113"/>
              <w:jc w:val="right"/>
              <w:rPr>
                <w:b/>
                <w:color w:val="000000"/>
              </w:rPr>
            </w:pPr>
          </w:p>
        </w:tc>
        <w:tc>
          <w:tcPr>
            <w:tcW w:w="1077" w:type="dxa"/>
            <w:vAlign w:val="bottom"/>
          </w:tcPr>
          <w:p w14:paraId="13AD5CC2" w14:textId="77777777" w:rsidR="008E5DE4" w:rsidRDefault="008E5DE4">
            <w:pPr>
              <w:widowControl w:val="0"/>
              <w:pBdr>
                <w:top w:val="nil"/>
                <w:left w:val="nil"/>
                <w:bottom w:val="nil"/>
                <w:right w:val="nil"/>
                <w:between w:val="nil"/>
              </w:pBdr>
              <w:ind w:left="-113"/>
              <w:jc w:val="right"/>
              <w:rPr>
                <w:b/>
                <w:color w:val="000000"/>
              </w:rPr>
            </w:pPr>
          </w:p>
        </w:tc>
        <w:tc>
          <w:tcPr>
            <w:tcW w:w="964" w:type="dxa"/>
            <w:vAlign w:val="bottom"/>
          </w:tcPr>
          <w:p w14:paraId="7CCC4D39" w14:textId="77777777" w:rsidR="008E5DE4" w:rsidRDefault="008E5DE4">
            <w:pPr>
              <w:widowControl w:val="0"/>
              <w:pBdr>
                <w:top w:val="nil"/>
                <w:left w:val="nil"/>
                <w:bottom w:val="nil"/>
                <w:right w:val="nil"/>
                <w:between w:val="nil"/>
              </w:pBdr>
              <w:ind w:left="-113"/>
              <w:jc w:val="right"/>
              <w:rPr>
                <w:b/>
                <w:color w:val="000000"/>
              </w:rPr>
            </w:pPr>
          </w:p>
        </w:tc>
        <w:tc>
          <w:tcPr>
            <w:tcW w:w="1077" w:type="dxa"/>
            <w:vAlign w:val="bottom"/>
          </w:tcPr>
          <w:p w14:paraId="44BB803D" w14:textId="77777777" w:rsidR="008E5DE4" w:rsidRDefault="008E5DE4">
            <w:pPr>
              <w:widowControl w:val="0"/>
              <w:pBdr>
                <w:top w:val="nil"/>
                <w:left w:val="nil"/>
                <w:bottom w:val="nil"/>
                <w:right w:val="nil"/>
                <w:between w:val="nil"/>
              </w:pBdr>
              <w:ind w:left="-113"/>
              <w:jc w:val="right"/>
              <w:rPr>
                <w:b/>
                <w:color w:val="000000"/>
              </w:rPr>
            </w:pPr>
          </w:p>
        </w:tc>
      </w:tr>
      <w:tr w:rsidR="008E5DE4" w14:paraId="626D9D9D" w14:textId="77777777">
        <w:trPr>
          <w:cantSplit/>
        </w:trPr>
        <w:tc>
          <w:tcPr>
            <w:tcW w:w="3175" w:type="dxa"/>
            <w:vAlign w:val="bottom"/>
          </w:tcPr>
          <w:p w14:paraId="19D49EEB" w14:textId="77777777" w:rsidR="008E5DE4" w:rsidRDefault="00780368">
            <w:pPr>
              <w:widowControl w:val="0"/>
              <w:pBdr>
                <w:top w:val="nil"/>
                <w:left w:val="nil"/>
                <w:bottom w:val="nil"/>
                <w:right w:val="nil"/>
                <w:between w:val="nil"/>
              </w:pBdr>
              <w:ind w:left="113" w:right="-57" w:hanging="113"/>
              <w:rPr>
                <w:smallCaps/>
                <w:color w:val="000000"/>
              </w:rPr>
            </w:pPr>
            <w:r>
              <w:rPr>
                <w:b/>
                <w:smallCaps/>
                <w:color w:val="000000"/>
              </w:rPr>
              <w:t>TOTAL RECURRING FAIR VALUE MEASUREMENTS AT LEVEL 3</w:t>
            </w:r>
          </w:p>
        </w:tc>
        <w:tc>
          <w:tcPr>
            <w:tcW w:w="964" w:type="dxa"/>
            <w:vAlign w:val="bottom"/>
          </w:tcPr>
          <w:p w14:paraId="0CE15100"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3AED263F"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36E11009"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7330F83E" w14:textId="77777777" w:rsidR="008E5DE4" w:rsidRDefault="008E5DE4">
            <w:pPr>
              <w:widowControl w:val="0"/>
              <w:pBdr>
                <w:top w:val="nil"/>
                <w:left w:val="nil"/>
                <w:bottom w:val="nil"/>
                <w:right w:val="nil"/>
                <w:between w:val="nil"/>
              </w:pBdr>
              <w:ind w:left="-113"/>
              <w:jc w:val="right"/>
              <w:rPr>
                <w:b/>
                <w:smallCaps/>
                <w:color w:val="000000"/>
              </w:rPr>
            </w:pPr>
          </w:p>
        </w:tc>
        <w:tc>
          <w:tcPr>
            <w:tcW w:w="964" w:type="dxa"/>
            <w:vAlign w:val="bottom"/>
          </w:tcPr>
          <w:p w14:paraId="38B04D99" w14:textId="77777777" w:rsidR="008E5DE4" w:rsidRDefault="008E5DE4">
            <w:pPr>
              <w:widowControl w:val="0"/>
              <w:pBdr>
                <w:top w:val="nil"/>
                <w:left w:val="nil"/>
                <w:bottom w:val="nil"/>
                <w:right w:val="nil"/>
                <w:between w:val="nil"/>
              </w:pBdr>
              <w:ind w:left="-113"/>
              <w:jc w:val="right"/>
              <w:rPr>
                <w:b/>
                <w:smallCaps/>
                <w:color w:val="000000"/>
              </w:rPr>
            </w:pPr>
          </w:p>
        </w:tc>
        <w:tc>
          <w:tcPr>
            <w:tcW w:w="1077" w:type="dxa"/>
            <w:vAlign w:val="bottom"/>
          </w:tcPr>
          <w:p w14:paraId="5E9DAFC9" w14:textId="77777777" w:rsidR="008E5DE4" w:rsidRDefault="008E5DE4">
            <w:pPr>
              <w:widowControl w:val="0"/>
              <w:pBdr>
                <w:top w:val="nil"/>
                <w:left w:val="nil"/>
                <w:bottom w:val="nil"/>
                <w:right w:val="nil"/>
                <w:between w:val="nil"/>
              </w:pBdr>
              <w:ind w:left="-113"/>
              <w:jc w:val="right"/>
              <w:rPr>
                <w:b/>
                <w:smallCaps/>
                <w:color w:val="000000"/>
              </w:rPr>
            </w:pPr>
          </w:p>
        </w:tc>
      </w:tr>
      <w:tr w:rsidR="008E5DE4" w14:paraId="146E17DF" w14:textId="77777777">
        <w:trPr>
          <w:cantSplit/>
        </w:trPr>
        <w:tc>
          <w:tcPr>
            <w:tcW w:w="3175" w:type="dxa"/>
            <w:tcBorders>
              <w:bottom w:val="single" w:sz="12" w:space="0" w:color="000000"/>
            </w:tcBorders>
            <w:vAlign w:val="bottom"/>
          </w:tcPr>
          <w:p w14:paraId="224489F2" w14:textId="77777777" w:rsidR="008E5DE4" w:rsidRDefault="00780368">
            <w:pPr>
              <w:widowControl w:val="0"/>
              <w:ind w:left="113" w:right="-57" w:hanging="113"/>
            </w:pPr>
            <w:r>
              <w:rPr>
                <w:color w:val="0000FF"/>
              </w:rPr>
              <w:t> </w:t>
            </w:r>
          </w:p>
        </w:tc>
        <w:tc>
          <w:tcPr>
            <w:tcW w:w="964" w:type="dxa"/>
            <w:tcBorders>
              <w:bottom w:val="single" w:sz="12" w:space="0" w:color="000000"/>
            </w:tcBorders>
            <w:vAlign w:val="bottom"/>
          </w:tcPr>
          <w:p w14:paraId="3A6CD0B2" w14:textId="77777777" w:rsidR="008E5DE4" w:rsidRDefault="008E5DE4">
            <w:pPr>
              <w:widowControl w:val="0"/>
              <w:pBdr>
                <w:top w:val="nil"/>
                <w:left w:val="nil"/>
                <w:bottom w:val="nil"/>
                <w:right w:val="nil"/>
                <w:between w:val="nil"/>
              </w:pBdr>
              <w:ind w:left="-113"/>
              <w:jc w:val="right"/>
              <w:rPr>
                <w:b/>
                <w:color w:val="000000"/>
              </w:rPr>
            </w:pPr>
          </w:p>
        </w:tc>
        <w:tc>
          <w:tcPr>
            <w:tcW w:w="1077" w:type="dxa"/>
            <w:tcBorders>
              <w:bottom w:val="single" w:sz="12" w:space="0" w:color="000000"/>
            </w:tcBorders>
            <w:vAlign w:val="bottom"/>
          </w:tcPr>
          <w:p w14:paraId="7B8F16F3" w14:textId="77777777" w:rsidR="008E5DE4" w:rsidRDefault="008E5DE4">
            <w:pPr>
              <w:widowControl w:val="0"/>
              <w:pBdr>
                <w:top w:val="nil"/>
                <w:left w:val="nil"/>
                <w:bottom w:val="nil"/>
                <w:right w:val="nil"/>
                <w:between w:val="nil"/>
              </w:pBdr>
              <w:ind w:left="-113"/>
              <w:jc w:val="right"/>
              <w:rPr>
                <w:b/>
                <w:color w:val="000000"/>
              </w:rPr>
            </w:pPr>
          </w:p>
        </w:tc>
        <w:tc>
          <w:tcPr>
            <w:tcW w:w="1077" w:type="dxa"/>
            <w:tcBorders>
              <w:bottom w:val="single" w:sz="12" w:space="0" w:color="000000"/>
            </w:tcBorders>
            <w:vAlign w:val="bottom"/>
          </w:tcPr>
          <w:p w14:paraId="3B7063C3" w14:textId="77777777" w:rsidR="008E5DE4" w:rsidRDefault="008E5DE4">
            <w:pPr>
              <w:widowControl w:val="0"/>
              <w:pBdr>
                <w:top w:val="nil"/>
                <w:left w:val="nil"/>
                <w:bottom w:val="nil"/>
                <w:right w:val="nil"/>
                <w:between w:val="nil"/>
              </w:pBdr>
              <w:ind w:left="-113"/>
              <w:jc w:val="right"/>
              <w:rPr>
                <w:b/>
                <w:color w:val="000000"/>
              </w:rPr>
            </w:pPr>
          </w:p>
        </w:tc>
        <w:tc>
          <w:tcPr>
            <w:tcW w:w="1077" w:type="dxa"/>
            <w:tcBorders>
              <w:bottom w:val="single" w:sz="12" w:space="0" w:color="000000"/>
            </w:tcBorders>
            <w:vAlign w:val="bottom"/>
          </w:tcPr>
          <w:p w14:paraId="61AFF080" w14:textId="77777777" w:rsidR="008E5DE4" w:rsidRDefault="008E5DE4">
            <w:pPr>
              <w:widowControl w:val="0"/>
              <w:pBdr>
                <w:top w:val="nil"/>
                <w:left w:val="nil"/>
                <w:bottom w:val="nil"/>
                <w:right w:val="nil"/>
                <w:between w:val="nil"/>
              </w:pBdr>
              <w:ind w:left="-113"/>
              <w:jc w:val="right"/>
              <w:rPr>
                <w:b/>
                <w:color w:val="000000"/>
              </w:rPr>
            </w:pPr>
          </w:p>
        </w:tc>
        <w:tc>
          <w:tcPr>
            <w:tcW w:w="964" w:type="dxa"/>
            <w:tcBorders>
              <w:bottom w:val="single" w:sz="12" w:space="0" w:color="000000"/>
            </w:tcBorders>
            <w:vAlign w:val="bottom"/>
          </w:tcPr>
          <w:p w14:paraId="35AA5556" w14:textId="77777777" w:rsidR="008E5DE4" w:rsidRDefault="008E5DE4">
            <w:pPr>
              <w:widowControl w:val="0"/>
              <w:pBdr>
                <w:top w:val="nil"/>
                <w:left w:val="nil"/>
                <w:bottom w:val="nil"/>
                <w:right w:val="nil"/>
                <w:between w:val="nil"/>
              </w:pBdr>
              <w:ind w:left="-113"/>
              <w:jc w:val="right"/>
              <w:rPr>
                <w:b/>
                <w:color w:val="000000"/>
              </w:rPr>
            </w:pPr>
          </w:p>
        </w:tc>
        <w:tc>
          <w:tcPr>
            <w:tcW w:w="1077" w:type="dxa"/>
            <w:tcBorders>
              <w:bottom w:val="single" w:sz="12" w:space="0" w:color="000000"/>
            </w:tcBorders>
            <w:vAlign w:val="bottom"/>
          </w:tcPr>
          <w:p w14:paraId="6298A13A" w14:textId="77777777" w:rsidR="008E5DE4" w:rsidRDefault="008E5DE4">
            <w:pPr>
              <w:widowControl w:val="0"/>
              <w:pBdr>
                <w:top w:val="nil"/>
                <w:left w:val="nil"/>
                <w:bottom w:val="nil"/>
                <w:right w:val="nil"/>
                <w:between w:val="nil"/>
              </w:pBdr>
              <w:ind w:left="-113"/>
              <w:jc w:val="right"/>
              <w:rPr>
                <w:b/>
                <w:color w:val="000000"/>
              </w:rPr>
            </w:pPr>
          </w:p>
        </w:tc>
      </w:tr>
    </w:tbl>
    <w:p w14:paraId="5E968BC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above tables disclose the sensitivity to valuation inputs for financial assets and financial liabilities, if changing one or more of the unobservable inputs to reflect reasonably possible alternative assumptions would change the fair value significantly. For this purpose, significance was judged with respect to profit or loss, and total assets or total liabilities, or, when changes in the fair value are recognised in other comprehensive income or total equity.</w:t>
      </w:r>
    </w:p>
    <w:p w14:paraId="507CE287" w14:textId="3AAED2FE"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There were no changes in the valuation technique for level 3 recurring fair value measurements during the year ended 31 December </w:t>
      </w:r>
      <w:r w:rsidR="008614F8">
        <w:rPr>
          <w:color w:val="000000"/>
          <w:sz w:val="20"/>
          <w:szCs w:val="20"/>
        </w:rPr>
        <w:t>2025</w:t>
      </w:r>
      <w:r>
        <w:rPr>
          <w:color w:val="000000"/>
          <w:sz w:val="20"/>
          <w:szCs w:val="20"/>
        </w:rPr>
        <w:t xml:space="preserve"> (</w:t>
      </w:r>
      <w:r w:rsidR="00A46633">
        <w:rPr>
          <w:color w:val="000000"/>
          <w:sz w:val="20"/>
          <w:szCs w:val="20"/>
        </w:rPr>
        <w:t>2024</w:t>
      </w:r>
      <w:r>
        <w:rPr>
          <w:color w:val="000000"/>
          <w:sz w:val="20"/>
          <w:szCs w:val="20"/>
        </w:rPr>
        <w:t>: none). Investment property represents industrial land and buildings that the Group valued using its expectation to convert them into a residential complex.</w:t>
      </w:r>
    </w:p>
    <w:p w14:paraId="620B2657"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53</w:t>
      </w:r>
      <w:r>
        <w:rPr>
          <w:b/>
          <w:color w:val="000000"/>
          <w:sz w:val="20"/>
          <w:szCs w:val="20"/>
        </w:rPr>
        <w:tab/>
        <w:t>Fair Value Disclosures (Continued)</w:t>
      </w:r>
    </w:p>
    <w:p w14:paraId="60CAB484" w14:textId="6713EF83"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sensitivity of fair value measurements disclosed in the above table shows the direction that an increase or decrease in the respective input variables would have on the valuation result. For equity securities, increases in the EBITDA multiple would each lead to an increase in the estimated value. However, an increase in the discount for lack of marketability would lead to a decrease in value. For debt securities, increases in discount rates and the probability of default would both lead to a decrease in the estimated value. No interrelationships between unobservable inputs used in the Group’s valuation of its Level 3 equity investments have been identified. However, for Level 3 debt securities, a change in the assumption used for the probability of the default is expected to be accompanied by a directionally similar change in the discount rate. A reconciliation of movements in Level 3 of the fair value hierarchy by class of instruments for the year ended 31 December </w:t>
      </w:r>
      <w:r w:rsidR="008614F8">
        <w:rPr>
          <w:color w:val="000000"/>
          <w:sz w:val="20"/>
          <w:szCs w:val="20"/>
        </w:rPr>
        <w:t>2025</w:t>
      </w:r>
      <w:r>
        <w:rPr>
          <w:color w:val="000000"/>
          <w:sz w:val="20"/>
          <w:szCs w:val="20"/>
        </w:rPr>
        <w:t xml:space="preserve"> is as follows: </w:t>
      </w:r>
    </w:p>
    <w:tbl>
      <w:tblPr>
        <w:tblStyle w:val="affffffffffffff"/>
        <w:tblW w:w="9401" w:type="dxa"/>
        <w:tblLayout w:type="fixed"/>
        <w:tblLook w:val="0000" w:firstRow="0" w:lastRow="0" w:firstColumn="0" w:lastColumn="0" w:noHBand="0" w:noVBand="0"/>
      </w:tblPr>
      <w:tblGrid>
        <w:gridCol w:w="3345"/>
        <w:gridCol w:w="1010"/>
        <w:gridCol w:w="1010"/>
        <w:gridCol w:w="1009"/>
        <w:gridCol w:w="1009"/>
        <w:gridCol w:w="1009"/>
        <w:gridCol w:w="1009"/>
      </w:tblGrid>
      <w:tr w:rsidR="008E5DE4" w14:paraId="0E57C2B7" w14:textId="77777777">
        <w:trPr>
          <w:cantSplit/>
        </w:trPr>
        <w:tc>
          <w:tcPr>
            <w:tcW w:w="3345" w:type="dxa"/>
            <w:vAlign w:val="bottom"/>
          </w:tcPr>
          <w:p w14:paraId="5B7C0EC8" w14:textId="77777777" w:rsidR="008E5DE4" w:rsidRDefault="008E5DE4">
            <w:pPr>
              <w:widowControl w:val="0"/>
              <w:pBdr>
                <w:top w:val="nil"/>
                <w:left w:val="nil"/>
                <w:bottom w:val="nil"/>
                <w:right w:val="nil"/>
                <w:between w:val="nil"/>
              </w:pBdr>
              <w:ind w:left="113" w:right="-57" w:hanging="113"/>
              <w:rPr>
                <w:i/>
                <w:color w:val="000000"/>
              </w:rPr>
            </w:pPr>
          </w:p>
        </w:tc>
        <w:tc>
          <w:tcPr>
            <w:tcW w:w="2020" w:type="dxa"/>
            <w:gridSpan w:val="2"/>
            <w:tcBorders>
              <w:bottom w:val="single" w:sz="4" w:space="0" w:color="000000"/>
            </w:tcBorders>
          </w:tcPr>
          <w:p w14:paraId="414FFEE6" w14:textId="77777777" w:rsidR="008E5DE4" w:rsidRDefault="00780368">
            <w:pPr>
              <w:widowControl w:val="0"/>
              <w:pBdr>
                <w:top w:val="nil"/>
                <w:left w:val="nil"/>
                <w:bottom w:val="nil"/>
                <w:right w:val="nil"/>
                <w:between w:val="nil"/>
              </w:pBdr>
              <w:ind w:left="-113"/>
              <w:jc w:val="center"/>
              <w:rPr>
                <w:b/>
                <w:color w:val="000000"/>
              </w:rPr>
            </w:pPr>
            <w:r>
              <w:rPr>
                <w:b/>
                <w:color w:val="000000"/>
              </w:rPr>
              <w:t>Securities at FVTPL</w:t>
            </w:r>
          </w:p>
        </w:tc>
        <w:tc>
          <w:tcPr>
            <w:tcW w:w="2018" w:type="dxa"/>
            <w:gridSpan w:val="2"/>
            <w:tcBorders>
              <w:bottom w:val="single" w:sz="4" w:space="0" w:color="000000"/>
            </w:tcBorders>
          </w:tcPr>
          <w:p w14:paraId="34F29B24" w14:textId="77777777" w:rsidR="008E5DE4" w:rsidRDefault="00780368">
            <w:pPr>
              <w:widowControl w:val="0"/>
              <w:pBdr>
                <w:top w:val="nil"/>
                <w:left w:val="nil"/>
                <w:bottom w:val="nil"/>
                <w:right w:val="nil"/>
                <w:between w:val="nil"/>
              </w:pBdr>
              <w:ind w:left="-113"/>
              <w:jc w:val="center"/>
              <w:rPr>
                <w:b/>
                <w:color w:val="000000"/>
              </w:rPr>
            </w:pPr>
            <w:r>
              <w:rPr>
                <w:b/>
                <w:color w:val="000000"/>
              </w:rPr>
              <w:t>Securities at FVOCI</w:t>
            </w:r>
          </w:p>
        </w:tc>
        <w:tc>
          <w:tcPr>
            <w:tcW w:w="1009" w:type="dxa"/>
            <w:vMerge w:val="restart"/>
          </w:tcPr>
          <w:p w14:paraId="5A3688E5"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Financial derivative assets </w:t>
            </w:r>
          </w:p>
        </w:tc>
        <w:tc>
          <w:tcPr>
            <w:tcW w:w="1009" w:type="dxa"/>
            <w:vMerge w:val="restart"/>
          </w:tcPr>
          <w:p w14:paraId="792EAAB4" w14:textId="5FE1328A" w:rsidR="008E5DE4" w:rsidRDefault="00780368">
            <w:pPr>
              <w:widowControl w:val="0"/>
              <w:pBdr>
                <w:top w:val="nil"/>
                <w:left w:val="nil"/>
                <w:bottom w:val="nil"/>
                <w:right w:val="nil"/>
                <w:between w:val="nil"/>
              </w:pBdr>
              <w:ind w:left="-113"/>
              <w:jc w:val="right"/>
              <w:rPr>
                <w:b/>
                <w:color w:val="000000"/>
              </w:rPr>
            </w:pPr>
            <w:r>
              <w:rPr>
                <w:b/>
                <w:color w:val="000000"/>
              </w:rPr>
              <w:t>Financial derivative liabilities</w:t>
            </w:r>
            <w:r>
              <w:rPr>
                <w:b/>
                <w:color w:val="0000FF"/>
              </w:rPr>
              <w:t xml:space="preserve"> </w:t>
            </w:r>
          </w:p>
        </w:tc>
      </w:tr>
      <w:tr w:rsidR="008E5DE4" w14:paraId="5F29DAA7" w14:textId="77777777">
        <w:trPr>
          <w:cantSplit/>
        </w:trPr>
        <w:tc>
          <w:tcPr>
            <w:tcW w:w="3345" w:type="dxa"/>
            <w:vAlign w:val="bottom"/>
          </w:tcPr>
          <w:p w14:paraId="57D59BC1" w14:textId="77777777" w:rsidR="008E5DE4" w:rsidRDefault="008E5DE4">
            <w:pPr>
              <w:widowControl w:val="0"/>
              <w:pBdr>
                <w:top w:val="nil"/>
                <w:left w:val="nil"/>
                <w:bottom w:val="nil"/>
                <w:right w:val="nil"/>
                <w:between w:val="nil"/>
              </w:pBdr>
              <w:ind w:left="113" w:right="-57" w:hanging="113"/>
              <w:rPr>
                <w:i/>
                <w:color w:val="000000"/>
              </w:rPr>
            </w:pPr>
          </w:p>
          <w:p w14:paraId="38C51A93"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010" w:type="dxa"/>
            <w:tcBorders>
              <w:top w:val="single" w:sz="4" w:space="0" w:color="000000"/>
            </w:tcBorders>
          </w:tcPr>
          <w:p w14:paraId="7C993C9C" w14:textId="77777777" w:rsidR="008E5DE4" w:rsidRDefault="00780368">
            <w:pPr>
              <w:widowControl w:val="0"/>
              <w:pBdr>
                <w:top w:val="nil"/>
                <w:left w:val="nil"/>
                <w:bottom w:val="nil"/>
                <w:right w:val="nil"/>
                <w:between w:val="nil"/>
              </w:pBdr>
              <w:ind w:left="-113"/>
              <w:jc w:val="right"/>
              <w:rPr>
                <w:b/>
                <w:color w:val="000000"/>
              </w:rPr>
            </w:pPr>
            <w:r>
              <w:rPr>
                <w:b/>
                <w:color w:val="000000"/>
              </w:rPr>
              <w:t>Corpo-rate shares</w:t>
            </w:r>
          </w:p>
        </w:tc>
        <w:tc>
          <w:tcPr>
            <w:tcW w:w="1010" w:type="dxa"/>
            <w:tcBorders>
              <w:top w:val="single" w:sz="4" w:space="0" w:color="000000"/>
            </w:tcBorders>
          </w:tcPr>
          <w:p w14:paraId="1DB72A41" w14:textId="77777777" w:rsidR="008E5DE4" w:rsidRDefault="00780368">
            <w:pPr>
              <w:widowControl w:val="0"/>
              <w:pBdr>
                <w:top w:val="nil"/>
                <w:left w:val="nil"/>
                <w:bottom w:val="nil"/>
                <w:right w:val="nil"/>
                <w:between w:val="nil"/>
              </w:pBdr>
              <w:ind w:left="-113"/>
              <w:jc w:val="right"/>
              <w:rPr>
                <w:b/>
                <w:color w:val="000000"/>
              </w:rPr>
            </w:pPr>
            <w:proofErr w:type="spellStart"/>
            <w:r>
              <w:rPr>
                <w:b/>
                <w:color w:val="000000"/>
              </w:rPr>
              <w:t>Promi-ssory</w:t>
            </w:r>
            <w:proofErr w:type="spellEnd"/>
            <w:r>
              <w:rPr>
                <w:b/>
                <w:color w:val="000000"/>
              </w:rPr>
              <w:t xml:space="preserve"> notes</w:t>
            </w:r>
          </w:p>
        </w:tc>
        <w:tc>
          <w:tcPr>
            <w:tcW w:w="1009" w:type="dxa"/>
            <w:tcBorders>
              <w:top w:val="single" w:sz="4" w:space="0" w:color="000000"/>
            </w:tcBorders>
          </w:tcPr>
          <w:p w14:paraId="16DCC393" w14:textId="77777777" w:rsidR="008E5DE4" w:rsidRDefault="00780368">
            <w:pPr>
              <w:widowControl w:val="0"/>
              <w:pBdr>
                <w:top w:val="nil"/>
                <w:left w:val="nil"/>
                <w:bottom w:val="nil"/>
                <w:right w:val="nil"/>
                <w:between w:val="nil"/>
              </w:pBdr>
              <w:ind w:left="-113"/>
              <w:jc w:val="right"/>
              <w:rPr>
                <w:b/>
                <w:color w:val="000000"/>
              </w:rPr>
            </w:pPr>
            <w:proofErr w:type="spellStart"/>
            <w:r>
              <w:rPr>
                <w:b/>
                <w:color w:val="000000"/>
              </w:rPr>
              <w:t>Promi-ssory</w:t>
            </w:r>
            <w:proofErr w:type="spellEnd"/>
            <w:r>
              <w:rPr>
                <w:b/>
                <w:color w:val="000000"/>
              </w:rPr>
              <w:t xml:space="preserve"> notes</w:t>
            </w:r>
          </w:p>
        </w:tc>
        <w:tc>
          <w:tcPr>
            <w:tcW w:w="1009" w:type="dxa"/>
            <w:tcBorders>
              <w:top w:val="single" w:sz="4" w:space="0" w:color="000000"/>
            </w:tcBorders>
          </w:tcPr>
          <w:p w14:paraId="2E47AE94" w14:textId="77777777" w:rsidR="008E5DE4" w:rsidRDefault="00780368">
            <w:pPr>
              <w:widowControl w:val="0"/>
              <w:pBdr>
                <w:top w:val="nil"/>
                <w:left w:val="nil"/>
                <w:bottom w:val="nil"/>
                <w:right w:val="nil"/>
                <w:between w:val="nil"/>
              </w:pBdr>
              <w:ind w:left="-113"/>
              <w:jc w:val="right"/>
              <w:rPr>
                <w:b/>
                <w:color w:val="000000"/>
              </w:rPr>
            </w:pPr>
            <w:r>
              <w:rPr>
                <w:b/>
                <w:color w:val="000000"/>
              </w:rPr>
              <w:t>Corpo-rate shares</w:t>
            </w:r>
          </w:p>
        </w:tc>
        <w:tc>
          <w:tcPr>
            <w:tcW w:w="1009" w:type="dxa"/>
            <w:vMerge/>
          </w:tcPr>
          <w:p w14:paraId="0F0124E2" w14:textId="77777777" w:rsidR="008E5DE4" w:rsidRDefault="008E5DE4">
            <w:pPr>
              <w:widowControl w:val="0"/>
              <w:pBdr>
                <w:top w:val="nil"/>
                <w:left w:val="nil"/>
                <w:bottom w:val="nil"/>
                <w:right w:val="nil"/>
                <w:between w:val="nil"/>
              </w:pBdr>
              <w:spacing w:line="276" w:lineRule="auto"/>
              <w:rPr>
                <w:b/>
                <w:color w:val="000000"/>
              </w:rPr>
            </w:pPr>
          </w:p>
        </w:tc>
        <w:tc>
          <w:tcPr>
            <w:tcW w:w="1009" w:type="dxa"/>
            <w:vMerge/>
          </w:tcPr>
          <w:p w14:paraId="39F09FA9" w14:textId="77777777" w:rsidR="008E5DE4" w:rsidRDefault="008E5DE4">
            <w:pPr>
              <w:widowControl w:val="0"/>
              <w:pBdr>
                <w:top w:val="nil"/>
                <w:left w:val="nil"/>
                <w:bottom w:val="nil"/>
                <w:right w:val="nil"/>
                <w:between w:val="nil"/>
              </w:pBdr>
              <w:spacing w:line="276" w:lineRule="auto"/>
              <w:rPr>
                <w:b/>
                <w:color w:val="000000"/>
              </w:rPr>
            </w:pPr>
          </w:p>
        </w:tc>
      </w:tr>
      <w:tr w:rsidR="008E5DE4" w14:paraId="0DE96CAF" w14:textId="77777777">
        <w:trPr>
          <w:cantSplit/>
        </w:trPr>
        <w:tc>
          <w:tcPr>
            <w:tcW w:w="3345" w:type="dxa"/>
            <w:tcBorders>
              <w:top w:val="single" w:sz="4" w:space="0" w:color="000000"/>
            </w:tcBorders>
            <w:vAlign w:val="bottom"/>
          </w:tcPr>
          <w:p w14:paraId="63B624B6"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010" w:type="dxa"/>
            <w:tcBorders>
              <w:top w:val="single" w:sz="4" w:space="0" w:color="000000"/>
            </w:tcBorders>
            <w:vAlign w:val="bottom"/>
          </w:tcPr>
          <w:p w14:paraId="5DAB5779" w14:textId="77777777" w:rsidR="008E5DE4" w:rsidRDefault="008E5DE4">
            <w:pPr>
              <w:widowControl w:val="0"/>
              <w:pBdr>
                <w:top w:val="nil"/>
                <w:left w:val="nil"/>
                <w:bottom w:val="nil"/>
                <w:right w:val="nil"/>
                <w:between w:val="nil"/>
              </w:pBdr>
              <w:jc w:val="right"/>
              <w:rPr>
                <w:color w:val="000000"/>
              </w:rPr>
            </w:pPr>
          </w:p>
        </w:tc>
        <w:tc>
          <w:tcPr>
            <w:tcW w:w="1010" w:type="dxa"/>
            <w:tcBorders>
              <w:top w:val="single" w:sz="4" w:space="0" w:color="000000"/>
            </w:tcBorders>
            <w:vAlign w:val="bottom"/>
          </w:tcPr>
          <w:p w14:paraId="11479261" w14:textId="77777777" w:rsidR="008E5DE4" w:rsidRDefault="008E5DE4">
            <w:pPr>
              <w:widowControl w:val="0"/>
              <w:pBdr>
                <w:top w:val="nil"/>
                <w:left w:val="nil"/>
                <w:bottom w:val="nil"/>
                <w:right w:val="nil"/>
                <w:between w:val="nil"/>
              </w:pBdr>
              <w:jc w:val="right"/>
              <w:rPr>
                <w:color w:val="000000"/>
              </w:rPr>
            </w:pPr>
          </w:p>
        </w:tc>
        <w:tc>
          <w:tcPr>
            <w:tcW w:w="1009" w:type="dxa"/>
            <w:tcBorders>
              <w:top w:val="single" w:sz="4" w:space="0" w:color="000000"/>
            </w:tcBorders>
            <w:vAlign w:val="bottom"/>
          </w:tcPr>
          <w:p w14:paraId="01C7496A" w14:textId="77777777" w:rsidR="008E5DE4" w:rsidRDefault="008E5DE4">
            <w:pPr>
              <w:widowControl w:val="0"/>
              <w:pBdr>
                <w:top w:val="nil"/>
                <w:left w:val="nil"/>
                <w:bottom w:val="nil"/>
                <w:right w:val="nil"/>
                <w:between w:val="nil"/>
              </w:pBdr>
              <w:jc w:val="right"/>
              <w:rPr>
                <w:color w:val="000000"/>
              </w:rPr>
            </w:pPr>
          </w:p>
        </w:tc>
        <w:tc>
          <w:tcPr>
            <w:tcW w:w="1009" w:type="dxa"/>
            <w:tcBorders>
              <w:top w:val="single" w:sz="4" w:space="0" w:color="000000"/>
            </w:tcBorders>
            <w:vAlign w:val="bottom"/>
          </w:tcPr>
          <w:p w14:paraId="5558277F" w14:textId="77777777" w:rsidR="008E5DE4" w:rsidRDefault="008E5DE4">
            <w:pPr>
              <w:widowControl w:val="0"/>
              <w:pBdr>
                <w:top w:val="nil"/>
                <w:left w:val="nil"/>
                <w:bottom w:val="nil"/>
                <w:right w:val="nil"/>
                <w:between w:val="nil"/>
              </w:pBdr>
              <w:jc w:val="right"/>
              <w:rPr>
                <w:color w:val="000000"/>
              </w:rPr>
            </w:pPr>
          </w:p>
        </w:tc>
        <w:tc>
          <w:tcPr>
            <w:tcW w:w="1009" w:type="dxa"/>
            <w:tcBorders>
              <w:top w:val="single" w:sz="4" w:space="0" w:color="000000"/>
            </w:tcBorders>
            <w:vAlign w:val="bottom"/>
          </w:tcPr>
          <w:p w14:paraId="31F011A0" w14:textId="77777777" w:rsidR="008E5DE4" w:rsidRDefault="008E5DE4">
            <w:pPr>
              <w:widowControl w:val="0"/>
              <w:pBdr>
                <w:top w:val="nil"/>
                <w:left w:val="nil"/>
                <w:bottom w:val="nil"/>
                <w:right w:val="nil"/>
                <w:between w:val="nil"/>
              </w:pBdr>
              <w:jc w:val="right"/>
              <w:rPr>
                <w:color w:val="000000"/>
              </w:rPr>
            </w:pPr>
          </w:p>
        </w:tc>
        <w:tc>
          <w:tcPr>
            <w:tcW w:w="1009" w:type="dxa"/>
            <w:tcBorders>
              <w:top w:val="single" w:sz="4" w:space="0" w:color="000000"/>
            </w:tcBorders>
            <w:vAlign w:val="bottom"/>
          </w:tcPr>
          <w:p w14:paraId="61E0F37A" w14:textId="77777777" w:rsidR="008E5DE4" w:rsidRDefault="008E5DE4">
            <w:pPr>
              <w:widowControl w:val="0"/>
              <w:pBdr>
                <w:top w:val="nil"/>
                <w:left w:val="nil"/>
                <w:bottom w:val="nil"/>
                <w:right w:val="nil"/>
                <w:between w:val="nil"/>
              </w:pBdr>
              <w:jc w:val="right"/>
              <w:rPr>
                <w:color w:val="000000"/>
              </w:rPr>
            </w:pPr>
          </w:p>
        </w:tc>
      </w:tr>
      <w:tr w:rsidR="008E5DE4" w14:paraId="1DDFAFB6" w14:textId="77777777">
        <w:trPr>
          <w:cantSplit/>
        </w:trPr>
        <w:tc>
          <w:tcPr>
            <w:tcW w:w="3345" w:type="dxa"/>
            <w:vAlign w:val="bottom"/>
          </w:tcPr>
          <w:p w14:paraId="4EFB357D" w14:textId="4344F598" w:rsidR="008E5DE4" w:rsidRDefault="00780368">
            <w:pPr>
              <w:widowControl w:val="0"/>
              <w:pBdr>
                <w:top w:val="nil"/>
                <w:left w:val="nil"/>
                <w:bottom w:val="nil"/>
                <w:right w:val="nil"/>
                <w:between w:val="nil"/>
              </w:pBdr>
              <w:ind w:left="113" w:right="-57" w:hanging="113"/>
              <w:rPr>
                <w:b/>
                <w:color w:val="000000"/>
              </w:rPr>
            </w:pPr>
            <w:r>
              <w:rPr>
                <w:b/>
                <w:color w:val="000000"/>
              </w:rPr>
              <w:t xml:space="preserve">Fair value </w:t>
            </w:r>
            <w:proofErr w:type="gramStart"/>
            <w:r>
              <w:rPr>
                <w:b/>
                <w:color w:val="000000"/>
              </w:rPr>
              <w:t>at</w:t>
            </w:r>
            <w:proofErr w:type="gramEnd"/>
            <w:r>
              <w:rPr>
                <w:b/>
                <w:color w:val="000000"/>
              </w:rPr>
              <w:t xml:space="preserve"> 1 January </w:t>
            </w:r>
            <w:r w:rsidR="008614F8">
              <w:rPr>
                <w:b/>
                <w:color w:val="000000"/>
              </w:rPr>
              <w:t>2025</w:t>
            </w:r>
          </w:p>
        </w:tc>
        <w:tc>
          <w:tcPr>
            <w:tcW w:w="1010" w:type="dxa"/>
            <w:vAlign w:val="bottom"/>
          </w:tcPr>
          <w:p w14:paraId="163FD3EE" w14:textId="77777777" w:rsidR="008E5DE4" w:rsidRDefault="008E5DE4">
            <w:pPr>
              <w:widowControl w:val="0"/>
              <w:pBdr>
                <w:top w:val="nil"/>
                <w:left w:val="nil"/>
                <w:bottom w:val="nil"/>
                <w:right w:val="nil"/>
                <w:between w:val="nil"/>
              </w:pBdr>
              <w:jc w:val="right"/>
              <w:rPr>
                <w:b/>
                <w:smallCaps/>
                <w:color w:val="000000"/>
              </w:rPr>
            </w:pPr>
          </w:p>
        </w:tc>
        <w:tc>
          <w:tcPr>
            <w:tcW w:w="1010" w:type="dxa"/>
            <w:vAlign w:val="bottom"/>
          </w:tcPr>
          <w:p w14:paraId="29B20AEF"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2E5A3284"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5550B490"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142BE483"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2EA3427" w14:textId="77777777" w:rsidR="008E5DE4" w:rsidRDefault="008E5DE4">
            <w:pPr>
              <w:widowControl w:val="0"/>
              <w:pBdr>
                <w:top w:val="nil"/>
                <w:left w:val="nil"/>
                <w:bottom w:val="nil"/>
                <w:right w:val="nil"/>
                <w:between w:val="nil"/>
              </w:pBdr>
              <w:jc w:val="right"/>
              <w:rPr>
                <w:color w:val="000000"/>
              </w:rPr>
            </w:pPr>
          </w:p>
        </w:tc>
      </w:tr>
      <w:tr w:rsidR="008E5DE4" w14:paraId="7D830A2E" w14:textId="77777777">
        <w:trPr>
          <w:cantSplit/>
        </w:trPr>
        <w:tc>
          <w:tcPr>
            <w:tcW w:w="3345" w:type="dxa"/>
            <w:vAlign w:val="bottom"/>
          </w:tcPr>
          <w:p w14:paraId="29649031" w14:textId="77777777" w:rsidR="008E5DE4" w:rsidRDefault="008E5DE4">
            <w:pPr>
              <w:widowControl w:val="0"/>
              <w:pBdr>
                <w:top w:val="nil"/>
                <w:left w:val="nil"/>
                <w:bottom w:val="nil"/>
                <w:right w:val="nil"/>
                <w:between w:val="nil"/>
              </w:pBdr>
              <w:ind w:left="113" w:right="-57" w:hanging="113"/>
              <w:rPr>
                <w:b/>
                <w:i/>
                <w:color w:val="000000"/>
              </w:rPr>
            </w:pPr>
          </w:p>
        </w:tc>
        <w:tc>
          <w:tcPr>
            <w:tcW w:w="1010" w:type="dxa"/>
            <w:vAlign w:val="bottom"/>
          </w:tcPr>
          <w:p w14:paraId="11FC6EB0"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1C2F02F9"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5291C44D"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D24A081"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12E493C"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27BC4A81" w14:textId="77777777" w:rsidR="008E5DE4" w:rsidRDefault="008E5DE4">
            <w:pPr>
              <w:widowControl w:val="0"/>
              <w:pBdr>
                <w:top w:val="nil"/>
                <w:left w:val="nil"/>
                <w:bottom w:val="nil"/>
                <w:right w:val="nil"/>
                <w:between w:val="nil"/>
              </w:pBdr>
              <w:jc w:val="right"/>
              <w:rPr>
                <w:color w:val="000000"/>
              </w:rPr>
            </w:pPr>
          </w:p>
        </w:tc>
      </w:tr>
      <w:tr w:rsidR="008E5DE4" w14:paraId="41A6CD5F" w14:textId="77777777">
        <w:trPr>
          <w:cantSplit/>
        </w:trPr>
        <w:tc>
          <w:tcPr>
            <w:tcW w:w="3345" w:type="dxa"/>
            <w:vAlign w:val="bottom"/>
          </w:tcPr>
          <w:p w14:paraId="272A8651" w14:textId="77777777" w:rsidR="008E5DE4" w:rsidRDefault="00780368">
            <w:pPr>
              <w:widowControl w:val="0"/>
              <w:pBdr>
                <w:top w:val="nil"/>
                <w:left w:val="nil"/>
                <w:bottom w:val="nil"/>
                <w:right w:val="nil"/>
                <w:between w:val="nil"/>
              </w:pBdr>
              <w:ind w:left="113" w:right="-57" w:hanging="113"/>
              <w:rPr>
                <w:color w:val="000000"/>
              </w:rPr>
            </w:pPr>
            <w:r>
              <w:rPr>
                <w:color w:val="000000"/>
              </w:rPr>
              <w:t>Gains or losses recognised in profit or loss for the year</w:t>
            </w:r>
          </w:p>
        </w:tc>
        <w:tc>
          <w:tcPr>
            <w:tcW w:w="1010" w:type="dxa"/>
            <w:vAlign w:val="bottom"/>
          </w:tcPr>
          <w:p w14:paraId="256F91CB"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4438CD59"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522A9670"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6DA2EFD"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B4973C1"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0BEA96C5" w14:textId="77777777" w:rsidR="008E5DE4" w:rsidRDefault="008E5DE4">
            <w:pPr>
              <w:widowControl w:val="0"/>
              <w:pBdr>
                <w:top w:val="nil"/>
                <w:left w:val="nil"/>
                <w:bottom w:val="nil"/>
                <w:right w:val="nil"/>
                <w:between w:val="nil"/>
              </w:pBdr>
              <w:jc w:val="right"/>
              <w:rPr>
                <w:color w:val="000000"/>
              </w:rPr>
            </w:pPr>
          </w:p>
        </w:tc>
      </w:tr>
      <w:tr w:rsidR="008E5DE4" w14:paraId="364BAA19" w14:textId="77777777">
        <w:trPr>
          <w:cantSplit/>
        </w:trPr>
        <w:tc>
          <w:tcPr>
            <w:tcW w:w="3345" w:type="dxa"/>
            <w:vAlign w:val="bottom"/>
          </w:tcPr>
          <w:p w14:paraId="37218C21" w14:textId="77777777" w:rsidR="008E5DE4" w:rsidRDefault="00780368">
            <w:pPr>
              <w:widowControl w:val="0"/>
              <w:pBdr>
                <w:top w:val="nil"/>
                <w:left w:val="nil"/>
                <w:bottom w:val="nil"/>
                <w:right w:val="nil"/>
                <w:between w:val="nil"/>
              </w:pBdr>
              <w:ind w:left="113" w:right="-57" w:hanging="113"/>
              <w:rPr>
                <w:color w:val="000000"/>
              </w:rPr>
            </w:pPr>
            <w:r>
              <w:rPr>
                <w:color w:val="000000"/>
              </w:rPr>
              <w:t>Gains or losses recognised in other comprehensive income</w:t>
            </w:r>
          </w:p>
        </w:tc>
        <w:tc>
          <w:tcPr>
            <w:tcW w:w="1010" w:type="dxa"/>
            <w:vAlign w:val="bottom"/>
          </w:tcPr>
          <w:p w14:paraId="1D09A6EE"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1655C33E"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32FDFA3"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0EA36050"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2CB28659"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57D8E164" w14:textId="77777777" w:rsidR="008E5DE4" w:rsidRDefault="008E5DE4">
            <w:pPr>
              <w:widowControl w:val="0"/>
              <w:pBdr>
                <w:top w:val="nil"/>
                <w:left w:val="nil"/>
                <w:bottom w:val="nil"/>
                <w:right w:val="nil"/>
                <w:between w:val="nil"/>
              </w:pBdr>
              <w:jc w:val="right"/>
              <w:rPr>
                <w:color w:val="000000"/>
              </w:rPr>
            </w:pPr>
          </w:p>
        </w:tc>
      </w:tr>
      <w:tr w:rsidR="008E5DE4" w14:paraId="55BC489A" w14:textId="77777777">
        <w:trPr>
          <w:cantSplit/>
        </w:trPr>
        <w:tc>
          <w:tcPr>
            <w:tcW w:w="3345" w:type="dxa"/>
            <w:vAlign w:val="bottom"/>
          </w:tcPr>
          <w:p w14:paraId="0FC942B9" w14:textId="77777777" w:rsidR="008E5DE4" w:rsidRDefault="00780368">
            <w:pPr>
              <w:widowControl w:val="0"/>
              <w:pBdr>
                <w:top w:val="nil"/>
                <w:left w:val="nil"/>
                <w:bottom w:val="nil"/>
                <w:right w:val="nil"/>
                <w:between w:val="nil"/>
              </w:pBdr>
              <w:ind w:left="113" w:right="-57" w:hanging="113"/>
              <w:rPr>
                <w:color w:val="000000"/>
              </w:rPr>
            </w:pPr>
            <w:r>
              <w:rPr>
                <w:color w:val="000000"/>
              </w:rPr>
              <w:t>Purchases</w:t>
            </w:r>
          </w:p>
        </w:tc>
        <w:tc>
          <w:tcPr>
            <w:tcW w:w="1010" w:type="dxa"/>
            <w:vAlign w:val="bottom"/>
          </w:tcPr>
          <w:p w14:paraId="37116B2E"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3249917D"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B5F30B7"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1DDCC130"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8EC06B6"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51CA3767" w14:textId="77777777" w:rsidR="008E5DE4" w:rsidRDefault="008E5DE4">
            <w:pPr>
              <w:widowControl w:val="0"/>
              <w:pBdr>
                <w:top w:val="nil"/>
                <w:left w:val="nil"/>
                <w:bottom w:val="nil"/>
                <w:right w:val="nil"/>
                <w:between w:val="nil"/>
              </w:pBdr>
              <w:jc w:val="right"/>
              <w:rPr>
                <w:color w:val="000000"/>
              </w:rPr>
            </w:pPr>
          </w:p>
        </w:tc>
      </w:tr>
      <w:tr w:rsidR="008E5DE4" w14:paraId="7107725A" w14:textId="77777777">
        <w:trPr>
          <w:cantSplit/>
        </w:trPr>
        <w:tc>
          <w:tcPr>
            <w:tcW w:w="3345" w:type="dxa"/>
            <w:vAlign w:val="bottom"/>
          </w:tcPr>
          <w:p w14:paraId="333A2226"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Issues or origination </w:t>
            </w:r>
          </w:p>
        </w:tc>
        <w:tc>
          <w:tcPr>
            <w:tcW w:w="1010" w:type="dxa"/>
            <w:vAlign w:val="bottom"/>
          </w:tcPr>
          <w:p w14:paraId="583CDC5A"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31DE4CA7"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82F61FC"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0CCEC6AF"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3A8DBA6"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2FFF525C" w14:textId="77777777" w:rsidR="008E5DE4" w:rsidRDefault="008E5DE4">
            <w:pPr>
              <w:widowControl w:val="0"/>
              <w:pBdr>
                <w:top w:val="nil"/>
                <w:left w:val="nil"/>
                <w:bottom w:val="nil"/>
                <w:right w:val="nil"/>
                <w:between w:val="nil"/>
              </w:pBdr>
              <w:jc w:val="right"/>
              <w:rPr>
                <w:color w:val="000000"/>
              </w:rPr>
            </w:pPr>
          </w:p>
        </w:tc>
      </w:tr>
      <w:tr w:rsidR="008E5DE4" w14:paraId="5354DE53" w14:textId="77777777">
        <w:trPr>
          <w:cantSplit/>
        </w:trPr>
        <w:tc>
          <w:tcPr>
            <w:tcW w:w="3345" w:type="dxa"/>
            <w:vAlign w:val="bottom"/>
          </w:tcPr>
          <w:p w14:paraId="45BAEC38" w14:textId="77777777" w:rsidR="008E5DE4" w:rsidRDefault="00780368">
            <w:pPr>
              <w:widowControl w:val="0"/>
              <w:pBdr>
                <w:top w:val="nil"/>
                <w:left w:val="nil"/>
                <w:bottom w:val="nil"/>
                <w:right w:val="nil"/>
                <w:between w:val="nil"/>
              </w:pBdr>
              <w:ind w:left="113" w:right="-57" w:hanging="113"/>
              <w:rPr>
                <w:color w:val="000000"/>
              </w:rPr>
            </w:pPr>
            <w:r>
              <w:rPr>
                <w:color w:val="000000"/>
              </w:rPr>
              <w:t>Sales</w:t>
            </w:r>
          </w:p>
        </w:tc>
        <w:tc>
          <w:tcPr>
            <w:tcW w:w="1010" w:type="dxa"/>
            <w:vAlign w:val="bottom"/>
          </w:tcPr>
          <w:p w14:paraId="2F04EE32"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6B32C370"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15808046"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DC5B626"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24E9BCE7"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600AF61" w14:textId="77777777" w:rsidR="008E5DE4" w:rsidRDefault="008E5DE4">
            <w:pPr>
              <w:widowControl w:val="0"/>
              <w:pBdr>
                <w:top w:val="nil"/>
                <w:left w:val="nil"/>
                <w:bottom w:val="nil"/>
                <w:right w:val="nil"/>
                <w:between w:val="nil"/>
              </w:pBdr>
              <w:jc w:val="right"/>
              <w:rPr>
                <w:color w:val="000000"/>
              </w:rPr>
            </w:pPr>
          </w:p>
        </w:tc>
      </w:tr>
      <w:tr w:rsidR="008E5DE4" w14:paraId="5AA6B075" w14:textId="77777777">
        <w:trPr>
          <w:cantSplit/>
        </w:trPr>
        <w:tc>
          <w:tcPr>
            <w:tcW w:w="3345" w:type="dxa"/>
            <w:vAlign w:val="bottom"/>
          </w:tcPr>
          <w:p w14:paraId="79E1F7EE" w14:textId="77777777" w:rsidR="008E5DE4" w:rsidRDefault="00780368">
            <w:pPr>
              <w:widowControl w:val="0"/>
              <w:pBdr>
                <w:top w:val="nil"/>
                <w:left w:val="nil"/>
                <w:bottom w:val="nil"/>
                <w:right w:val="nil"/>
                <w:between w:val="nil"/>
              </w:pBdr>
              <w:ind w:left="113" w:right="-57" w:hanging="113"/>
              <w:rPr>
                <w:b/>
                <w:i/>
                <w:color w:val="000000"/>
              </w:rPr>
            </w:pPr>
            <w:r>
              <w:rPr>
                <w:color w:val="000000"/>
              </w:rPr>
              <w:t>Settlements</w:t>
            </w:r>
          </w:p>
        </w:tc>
        <w:tc>
          <w:tcPr>
            <w:tcW w:w="1010" w:type="dxa"/>
            <w:vAlign w:val="bottom"/>
          </w:tcPr>
          <w:p w14:paraId="6CF1673C"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041259B8"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F089121"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16B47C0D"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2507C921"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6BBB8A0" w14:textId="77777777" w:rsidR="008E5DE4" w:rsidRDefault="008E5DE4">
            <w:pPr>
              <w:widowControl w:val="0"/>
              <w:pBdr>
                <w:top w:val="nil"/>
                <w:left w:val="nil"/>
                <w:bottom w:val="nil"/>
                <w:right w:val="nil"/>
                <w:between w:val="nil"/>
              </w:pBdr>
              <w:jc w:val="right"/>
              <w:rPr>
                <w:color w:val="000000"/>
              </w:rPr>
            </w:pPr>
          </w:p>
        </w:tc>
      </w:tr>
      <w:tr w:rsidR="008E5DE4" w14:paraId="799A2EA1" w14:textId="77777777">
        <w:trPr>
          <w:cantSplit/>
        </w:trPr>
        <w:tc>
          <w:tcPr>
            <w:tcW w:w="3345" w:type="dxa"/>
            <w:vAlign w:val="bottom"/>
          </w:tcPr>
          <w:p w14:paraId="47CC6CA5" w14:textId="77777777" w:rsidR="008E5DE4" w:rsidRDefault="00780368">
            <w:pPr>
              <w:widowControl w:val="0"/>
              <w:pBdr>
                <w:top w:val="nil"/>
                <w:left w:val="nil"/>
                <w:bottom w:val="nil"/>
                <w:right w:val="nil"/>
                <w:between w:val="nil"/>
              </w:pBdr>
              <w:ind w:left="113" w:right="-57" w:hanging="113"/>
              <w:rPr>
                <w:color w:val="000000"/>
              </w:rPr>
            </w:pPr>
            <w:r>
              <w:rPr>
                <w:color w:val="000000"/>
              </w:rPr>
              <w:t>Transfers out of level 3</w:t>
            </w:r>
          </w:p>
        </w:tc>
        <w:tc>
          <w:tcPr>
            <w:tcW w:w="1010" w:type="dxa"/>
            <w:vAlign w:val="bottom"/>
          </w:tcPr>
          <w:p w14:paraId="0870BE40"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683F5B97"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61A98E7D"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0CC3B0F"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6028CA2"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5ADA090D" w14:textId="77777777" w:rsidR="008E5DE4" w:rsidRDefault="008E5DE4">
            <w:pPr>
              <w:widowControl w:val="0"/>
              <w:pBdr>
                <w:top w:val="nil"/>
                <w:left w:val="nil"/>
                <w:bottom w:val="nil"/>
                <w:right w:val="nil"/>
                <w:between w:val="nil"/>
              </w:pBdr>
              <w:jc w:val="right"/>
              <w:rPr>
                <w:color w:val="000000"/>
              </w:rPr>
            </w:pPr>
          </w:p>
        </w:tc>
      </w:tr>
      <w:tr w:rsidR="008E5DE4" w14:paraId="54C719DA" w14:textId="77777777">
        <w:trPr>
          <w:cantSplit/>
        </w:trPr>
        <w:tc>
          <w:tcPr>
            <w:tcW w:w="3345" w:type="dxa"/>
            <w:vAlign w:val="bottom"/>
          </w:tcPr>
          <w:p w14:paraId="2AFBE0CF" w14:textId="77777777" w:rsidR="008E5DE4" w:rsidRDefault="00780368">
            <w:pPr>
              <w:widowControl w:val="0"/>
              <w:pBdr>
                <w:top w:val="nil"/>
                <w:left w:val="nil"/>
                <w:bottom w:val="nil"/>
                <w:right w:val="nil"/>
                <w:between w:val="nil"/>
              </w:pBdr>
              <w:ind w:left="113" w:right="-57" w:hanging="113"/>
              <w:rPr>
                <w:color w:val="000000"/>
              </w:rPr>
            </w:pPr>
            <w:r>
              <w:rPr>
                <w:color w:val="000000"/>
              </w:rPr>
              <w:t>Transfers into level 3</w:t>
            </w:r>
          </w:p>
        </w:tc>
        <w:tc>
          <w:tcPr>
            <w:tcW w:w="1010" w:type="dxa"/>
            <w:vAlign w:val="bottom"/>
          </w:tcPr>
          <w:p w14:paraId="1BEC24AA"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4D4761D4"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680D436"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5759FF6C"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2A8A9FA"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0B8DAA33" w14:textId="77777777" w:rsidR="008E5DE4" w:rsidRDefault="008E5DE4">
            <w:pPr>
              <w:widowControl w:val="0"/>
              <w:pBdr>
                <w:top w:val="nil"/>
                <w:left w:val="nil"/>
                <w:bottom w:val="nil"/>
                <w:right w:val="nil"/>
                <w:between w:val="nil"/>
              </w:pBdr>
              <w:jc w:val="right"/>
              <w:rPr>
                <w:color w:val="000000"/>
              </w:rPr>
            </w:pPr>
          </w:p>
        </w:tc>
      </w:tr>
      <w:tr w:rsidR="008E5DE4" w14:paraId="082595F1" w14:textId="77777777">
        <w:trPr>
          <w:cantSplit/>
        </w:trPr>
        <w:tc>
          <w:tcPr>
            <w:tcW w:w="3345" w:type="dxa"/>
            <w:tcBorders>
              <w:bottom w:val="single" w:sz="4" w:space="0" w:color="000000"/>
            </w:tcBorders>
            <w:vAlign w:val="bottom"/>
          </w:tcPr>
          <w:p w14:paraId="7537AA4A"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010" w:type="dxa"/>
            <w:tcBorders>
              <w:bottom w:val="single" w:sz="4" w:space="0" w:color="000000"/>
            </w:tcBorders>
            <w:vAlign w:val="bottom"/>
          </w:tcPr>
          <w:p w14:paraId="738CE0E0" w14:textId="77777777" w:rsidR="008E5DE4" w:rsidRDefault="008E5DE4">
            <w:pPr>
              <w:widowControl w:val="0"/>
              <w:pBdr>
                <w:top w:val="nil"/>
                <w:left w:val="nil"/>
                <w:bottom w:val="nil"/>
                <w:right w:val="nil"/>
                <w:between w:val="nil"/>
              </w:pBdr>
              <w:jc w:val="right"/>
              <w:rPr>
                <w:color w:val="000000"/>
              </w:rPr>
            </w:pPr>
          </w:p>
        </w:tc>
        <w:tc>
          <w:tcPr>
            <w:tcW w:w="1010" w:type="dxa"/>
            <w:tcBorders>
              <w:bottom w:val="single" w:sz="4" w:space="0" w:color="000000"/>
            </w:tcBorders>
            <w:vAlign w:val="bottom"/>
          </w:tcPr>
          <w:p w14:paraId="7E9BE549" w14:textId="77777777" w:rsidR="008E5DE4" w:rsidRDefault="008E5DE4">
            <w:pPr>
              <w:widowControl w:val="0"/>
              <w:pBdr>
                <w:top w:val="nil"/>
                <w:left w:val="nil"/>
                <w:bottom w:val="nil"/>
                <w:right w:val="nil"/>
                <w:between w:val="nil"/>
              </w:pBdr>
              <w:jc w:val="right"/>
              <w:rPr>
                <w:color w:val="000000"/>
              </w:rPr>
            </w:pPr>
          </w:p>
        </w:tc>
        <w:tc>
          <w:tcPr>
            <w:tcW w:w="1009" w:type="dxa"/>
            <w:tcBorders>
              <w:bottom w:val="single" w:sz="4" w:space="0" w:color="000000"/>
            </w:tcBorders>
            <w:vAlign w:val="bottom"/>
          </w:tcPr>
          <w:p w14:paraId="3DB821B9" w14:textId="77777777" w:rsidR="008E5DE4" w:rsidRDefault="008E5DE4">
            <w:pPr>
              <w:widowControl w:val="0"/>
              <w:pBdr>
                <w:top w:val="nil"/>
                <w:left w:val="nil"/>
                <w:bottom w:val="nil"/>
                <w:right w:val="nil"/>
                <w:between w:val="nil"/>
              </w:pBdr>
              <w:jc w:val="right"/>
              <w:rPr>
                <w:color w:val="000000"/>
              </w:rPr>
            </w:pPr>
          </w:p>
        </w:tc>
        <w:tc>
          <w:tcPr>
            <w:tcW w:w="1009" w:type="dxa"/>
            <w:tcBorders>
              <w:bottom w:val="single" w:sz="4" w:space="0" w:color="000000"/>
            </w:tcBorders>
            <w:vAlign w:val="bottom"/>
          </w:tcPr>
          <w:p w14:paraId="5BF287F4" w14:textId="77777777" w:rsidR="008E5DE4" w:rsidRDefault="008E5DE4">
            <w:pPr>
              <w:widowControl w:val="0"/>
              <w:pBdr>
                <w:top w:val="nil"/>
                <w:left w:val="nil"/>
                <w:bottom w:val="nil"/>
                <w:right w:val="nil"/>
                <w:between w:val="nil"/>
              </w:pBdr>
              <w:jc w:val="right"/>
              <w:rPr>
                <w:color w:val="000000"/>
              </w:rPr>
            </w:pPr>
          </w:p>
        </w:tc>
        <w:tc>
          <w:tcPr>
            <w:tcW w:w="1009" w:type="dxa"/>
            <w:tcBorders>
              <w:bottom w:val="single" w:sz="4" w:space="0" w:color="000000"/>
            </w:tcBorders>
            <w:vAlign w:val="bottom"/>
          </w:tcPr>
          <w:p w14:paraId="02567C01" w14:textId="77777777" w:rsidR="008E5DE4" w:rsidRDefault="008E5DE4">
            <w:pPr>
              <w:widowControl w:val="0"/>
              <w:pBdr>
                <w:top w:val="nil"/>
                <w:left w:val="nil"/>
                <w:bottom w:val="nil"/>
                <w:right w:val="nil"/>
                <w:between w:val="nil"/>
              </w:pBdr>
              <w:jc w:val="right"/>
              <w:rPr>
                <w:color w:val="000000"/>
              </w:rPr>
            </w:pPr>
          </w:p>
        </w:tc>
        <w:tc>
          <w:tcPr>
            <w:tcW w:w="1009" w:type="dxa"/>
            <w:tcBorders>
              <w:bottom w:val="single" w:sz="4" w:space="0" w:color="000000"/>
            </w:tcBorders>
            <w:vAlign w:val="bottom"/>
          </w:tcPr>
          <w:p w14:paraId="4ADFD61B" w14:textId="77777777" w:rsidR="008E5DE4" w:rsidRDefault="008E5DE4">
            <w:pPr>
              <w:widowControl w:val="0"/>
              <w:pBdr>
                <w:top w:val="nil"/>
                <w:left w:val="nil"/>
                <w:bottom w:val="nil"/>
                <w:right w:val="nil"/>
                <w:between w:val="nil"/>
              </w:pBdr>
              <w:jc w:val="right"/>
              <w:rPr>
                <w:color w:val="000000"/>
              </w:rPr>
            </w:pPr>
          </w:p>
        </w:tc>
      </w:tr>
      <w:tr w:rsidR="008E5DE4" w14:paraId="5977944E" w14:textId="77777777">
        <w:trPr>
          <w:cantSplit/>
        </w:trPr>
        <w:tc>
          <w:tcPr>
            <w:tcW w:w="3345" w:type="dxa"/>
            <w:vAlign w:val="bottom"/>
          </w:tcPr>
          <w:p w14:paraId="24F5F7A6" w14:textId="77777777" w:rsidR="008E5DE4" w:rsidRDefault="008E5DE4">
            <w:pPr>
              <w:widowControl w:val="0"/>
              <w:pBdr>
                <w:top w:val="nil"/>
                <w:left w:val="nil"/>
                <w:bottom w:val="nil"/>
                <w:right w:val="nil"/>
                <w:between w:val="nil"/>
              </w:pBdr>
              <w:ind w:left="113" w:right="-57" w:hanging="113"/>
              <w:rPr>
                <w:color w:val="000000"/>
              </w:rPr>
            </w:pPr>
          </w:p>
        </w:tc>
        <w:tc>
          <w:tcPr>
            <w:tcW w:w="1010" w:type="dxa"/>
            <w:vAlign w:val="bottom"/>
          </w:tcPr>
          <w:p w14:paraId="0B2A5E85" w14:textId="77777777" w:rsidR="008E5DE4" w:rsidRDefault="008E5DE4">
            <w:pPr>
              <w:widowControl w:val="0"/>
              <w:pBdr>
                <w:top w:val="nil"/>
                <w:left w:val="nil"/>
                <w:bottom w:val="nil"/>
                <w:right w:val="nil"/>
                <w:between w:val="nil"/>
              </w:pBdr>
              <w:jc w:val="right"/>
              <w:rPr>
                <w:b/>
                <w:color w:val="000000"/>
              </w:rPr>
            </w:pPr>
          </w:p>
        </w:tc>
        <w:tc>
          <w:tcPr>
            <w:tcW w:w="1010" w:type="dxa"/>
            <w:vAlign w:val="bottom"/>
          </w:tcPr>
          <w:p w14:paraId="7378C52B" w14:textId="77777777" w:rsidR="008E5DE4" w:rsidRDefault="008E5DE4">
            <w:pPr>
              <w:widowControl w:val="0"/>
              <w:pBdr>
                <w:top w:val="nil"/>
                <w:left w:val="nil"/>
                <w:bottom w:val="nil"/>
                <w:right w:val="nil"/>
                <w:between w:val="nil"/>
              </w:pBdr>
              <w:jc w:val="right"/>
              <w:rPr>
                <w:b/>
                <w:color w:val="000000"/>
              </w:rPr>
            </w:pPr>
          </w:p>
        </w:tc>
        <w:tc>
          <w:tcPr>
            <w:tcW w:w="1009" w:type="dxa"/>
            <w:tcBorders>
              <w:top w:val="single" w:sz="4" w:space="0" w:color="000000"/>
            </w:tcBorders>
            <w:vAlign w:val="bottom"/>
          </w:tcPr>
          <w:p w14:paraId="7B30ECF1" w14:textId="77777777" w:rsidR="008E5DE4" w:rsidRDefault="008E5DE4">
            <w:pPr>
              <w:widowControl w:val="0"/>
              <w:pBdr>
                <w:top w:val="nil"/>
                <w:left w:val="nil"/>
                <w:bottom w:val="nil"/>
                <w:right w:val="nil"/>
                <w:between w:val="nil"/>
              </w:pBdr>
              <w:jc w:val="right"/>
              <w:rPr>
                <w:b/>
                <w:color w:val="000000"/>
              </w:rPr>
            </w:pPr>
          </w:p>
        </w:tc>
        <w:tc>
          <w:tcPr>
            <w:tcW w:w="1009" w:type="dxa"/>
            <w:tcBorders>
              <w:top w:val="single" w:sz="4" w:space="0" w:color="000000"/>
            </w:tcBorders>
            <w:vAlign w:val="bottom"/>
          </w:tcPr>
          <w:p w14:paraId="1EFED02A" w14:textId="77777777" w:rsidR="008E5DE4" w:rsidRDefault="008E5DE4">
            <w:pPr>
              <w:widowControl w:val="0"/>
              <w:pBdr>
                <w:top w:val="nil"/>
                <w:left w:val="nil"/>
                <w:bottom w:val="nil"/>
                <w:right w:val="nil"/>
                <w:between w:val="nil"/>
              </w:pBdr>
              <w:jc w:val="right"/>
              <w:rPr>
                <w:b/>
                <w:color w:val="000000"/>
              </w:rPr>
            </w:pPr>
          </w:p>
        </w:tc>
        <w:tc>
          <w:tcPr>
            <w:tcW w:w="1009" w:type="dxa"/>
            <w:tcBorders>
              <w:top w:val="single" w:sz="4" w:space="0" w:color="000000"/>
            </w:tcBorders>
            <w:vAlign w:val="bottom"/>
          </w:tcPr>
          <w:p w14:paraId="3084A36A" w14:textId="77777777" w:rsidR="008E5DE4" w:rsidRDefault="008E5DE4">
            <w:pPr>
              <w:widowControl w:val="0"/>
              <w:pBdr>
                <w:top w:val="nil"/>
                <w:left w:val="nil"/>
                <w:bottom w:val="nil"/>
                <w:right w:val="nil"/>
                <w:between w:val="nil"/>
              </w:pBdr>
              <w:jc w:val="right"/>
              <w:rPr>
                <w:b/>
                <w:color w:val="000000"/>
              </w:rPr>
            </w:pPr>
          </w:p>
        </w:tc>
        <w:tc>
          <w:tcPr>
            <w:tcW w:w="1009" w:type="dxa"/>
            <w:tcBorders>
              <w:top w:val="single" w:sz="4" w:space="0" w:color="000000"/>
            </w:tcBorders>
            <w:vAlign w:val="bottom"/>
          </w:tcPr>
          <w:p w14:paraId="6B7DF046" w14:textId="77777777" w:rsidR="008E5DE4" w:rsidRDefault="008E5DE4">
            <w:pPr>
              <w:widowControl w:val="0"/>
              <w:pBdr>
                <w:top w:val="nil"/>
                <w:left w:val="nil"/>
                <w:bottom w:val="nil"/>
                <w:right w:val="nil"/>
                <w:between w:val="nil"/>
              </w:pBdr>
              <w:jc w:val="right"/>
              <w:rPr>
                <w:b/>
                <w:color w:val="000000"/>
              </w:rPr>
            </w:pPr>
          </w:p>
        </w:tc>
      </w:tr>
      <w:tr w:rsidR="008E5DE4" w14:paraId="4889EC90" w14:textId="77777777">
        <w:trPr>
          <w:cantSplit/>
        </w:trPr>
        <w:tc>
          <w:tcPr>
            <w:tcW w:w="3345" w:type="dxa"/>
            <w:vAlign w:val="bottom"/>
          </w:tcPr>
          <w:p w14:paraId="5B815D4F" w14:textId="447652F0" w:rsidR="008E5DE4" w:rsidRDefault="00780368">
            <w:pPr>
              <w:widowControl w:val="0"/>
              <w:pBdr>
                <w:top w:val="nil"/>
                <w:left w:val="nil"/>
                <w:bottom w:val="nil"/>
                <w:right w:val="nil"/>
                <w:between w:val="nil"/>
              </w:pBdr>
              <w:ind w:left="113" w:right="-57" w:hanging="113"/>
              <w:rPr>
                <w:b/>
                <w:smallCaps/>
                <w:color w:val="000000"/>
              </w:rPr>
            </w:pPr>
            <w:r>
              <w:rPr>
                <w:b/>
                <w:color w:val="000000"/>
              </w:rPr>
              <w:t xml:space="preserve">Fair value </w:t>
            </w:r>
            <w:proofErr w:type="gramStart"/>
            <w:r>
              <w:rPr>
                <w:b/>
                <w:color w:val="000000"/>
              </w:rPr>
              <w:t>at</w:t>
            </w:r>
            <w:proofErr w:type="gramEnd"/>
            <w:r>
              <w:rPr>
                <w:b/>
                <w:color w:val="000000"/>
              </w:rPr>
              <w:t xml:space="preserve"> 31 December </w:t>
            </w:r>
            <w:r w:rsidR="008614F8">
              <w:rPr>
                <w:b/>
                <w:color w:val="000000"/>
              </w:rPr>
              <w:t>2025</w:t>
            </w:r>
          </w:p>
        </w:tc>
        <w:tc>
          <w:tcPr>
            <w:tcW w:w="1010" w:type="dxa"/>
            <w:vAlign w:val="bottom"/>
          </w:tcPr>
          <w:p w14:paraId="0CE58BE6" w14:textId="77777777" w:rsidR="008E5DE4" w:rsidRDefault="008E5DE4">
            <w:pPr>
              <w:widowControl w:val="0"/>
              <w:pBdr>
                <w:top w:val="nil"/>
                <w:left w:val="nil"/>
                <w:bottom w:val="nil"/>
                <w:right w:val="nil"/>
                <w:between w:val="nil"/>
              </w:pBdr>
              <w:jc w:val="right"/>
              <w:rPr>
                <w:b/>
                <w:smallCaps/>
                <w:color w:val="000000"/>
              </w:rPr>
            </w:pPr>
          </w:p>
        </w:tc>
        <w:tc>
          <w:tcPr>
            <w:tcW w:w="1010" w:type="dxa"/>
            <w:vAlign w:val="bottom"/>
          </w:tcPr>
          <w:p w14:paraId="5D34B51E"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4A153370"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2A632CFA"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39C12BC4"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42B8D9D7" w14:textId="77777777" w:rsidR="008E5DE4" w:rsidRDefault="008E5DE4">
            <w:pPr>
              <w:widowControl w:val="0"/>
              <w:pBdr>
                <w:top w:val="nil"/>
                <w:left w:val="nil"/>
                <w:bottom w:val="nil"/>
                <w:right w:val="nil"/>
                <w:between w:val="nil"/>
              </w:pBdr>
              <w:jc w:val="right"/>
              <w:rPr>
                <w:b/>
                <w:smallCaps/>
                <w:color w:val="000000"/>
              </w:rPr>
            </w:pPr>
          </w:p>
        </w:tc>
      </w:tr>
      <w:tr w:rsidR="008E5DE4" w14:paraId="299E3CB3" w14:textId="77777777">
        <w:trPr>
          <w:cantSplit/>
        </w:trPr>
        <w:tc>
          <w:tcPr>
            <w:tcW w:w="3345" w:type="dxa"/>
            <w:tcBorders>
              <w:bottom w:val="single" w:sz="12" w:space="0" w:color="000000"/>
            </w:tcBorders>
            <w:vAlign w:val="bottom"/>
          </w:tcPr>
          <w:p w14:paraId="6E4539E2" w14:textId="77777777" w:rsidR="008E5DE4" w:rsidRDefault="00780368">
            <w:pPr>
              <w:widowControl w:val="0"/>
              <w:ind w:left="113" w:right="-57" w:hanging="113"/>
            </w:pPr>
            <w:r>
              <w:rPr>
                <w:color w:val="0000FF"/>
              </w:rPr>
              <w:t> </w:t>
            </w:r>
          </w:p>
        </w:tc>
        <w:tc>
          <w:tcPr>
            <w:tcW w:w="1010" w:type="dxa"/>
            <w:tcBorders>
              <w:bottom w:val="single" w:sz="12" w:space="0" w:color="000000"/>
            </w:tcBorders>
            <w:vAlign w:val="bottom"/>
          </w:tcPr>
          <w:p w14:paraId="70CA90AE" w14:textId="77777777" w:rsidR="008E5DE4" w:rsidRDefault="008E5DE4">
            <w:pPr>
              <w:widowControl w:val="0"/>
              <w:pBdr>
                <w:top w:val="nil"/>
                <w:left w:val="nil"/>
                <w:bottom w:val="nil"/>
                <w:right w:val="nil"/>
                <w:between w:val="nil"/>
              </w:pBdr>
              <w:jc w:val="right"/>
              <w:rPr>
                <w:b/>
                <w:color w:val="000000"/>
              </w:rPr>
            </w:pPr>
          </w:p>
        </w:tc>
        <w:tc>
          <w:tcPr>
            <w:tcW w:w="1010" w:type="dxa"/>
            <w:tcBorders>
              <w:bottom w:val="single" w:sz="12" w:space="0" w:color="000000"/>
            </w:tcBorders>
            <w:vAlign w:val="bottom"/>
          </w:tcPr>
          <w:p w14:paraId="261D4D89"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4D345104"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6B14F4E5"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1E03EB5B"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1768C6C5" w14:textId="77777777" w:rsidR="008E5DE4" w:rsidRDefault="008E5DE4">
            <w:pPr>
              <w:widowControl w:val="0"/>
              <w:pBdr>
                <w:top w:val="nil"/>
                <w:left w:val="nil"/>
                <w:bottom w:val="nil"/>
                <w:right w:val="nil"/>
                <w:between w:val="nil"/>
              </w:pBdr>
              <w:jc w:val="right"/>
              <w:rPr>
                <w:b/>
                <w:color w:val="000000"/>
              </w:rPr>
            </w:pPr>
          </w:p>
        </w:tc>
      </w:tr>
      <w:tr w:rsidR="008E5DE4" w14:paraId="742505E9" w14:textId="77777777">
        <w:trPr>
          <w:cantSplit/>
        </w:trPr>
        <w:tc>
          <w:tcPr>
            <w:tcW w:w="3345" w:type="dxa"/>
            <w:vAlign w:val="bottom"/>
          </w:tcPr>
          <w:p w14:paraId="368B5D4B" w14:textId="77777777" w:rsidR="008E5DE4" w:rsidRDefault="00780368">
            <w:pPr>
              <w:widowControl w:val="0"/>
              <w:ind w:left="113" w:right="-57" w:hanging="113"/>
            </w:pPr>
            <w:r>
              <w:rPr>
                <w:color w:val="0000FF"/>
              </w:rPr>
              <w:t> </w:t>
            </w:r>
          </w:p>
        </w:tc>
        <w:tc>
          <w:tcPr>
            <w:tcW w:w="1010" w:type="dxa"/>
            <w:vAlign w:val="bottom"/>
          </w:tcPr>
          <w:p w14:paraId="1B86DDEA" w14:textId="77777777" w:rsidR="008E5DE4" w:rsidRDefault="008E5DE4">
            <w:pPr>
              <w:widowControl w:val="0"/>
              <w:pBdr>
                <w:top w:val="nil"/>
                <w:left w:val="nil"/>
                <w:bottom w:val="nil"/>
                <w:right w:val="nil"/>
                <w:between w:val="nil"/>
              </w:pBdr>
              <w:jc w:val="right"/>
              <w:rPr>
                <w:b/>
                <w:color w:val="000000"/>
              </w:rPr>
            </w:pPr>
          </w:p>
        </w:tc>
        <w:tc>
          <w:tcPr>
            <w:tcW w:w="1010" w:type="dxa"/>
            <w:vAlign w:val="bottom"/>
          </w:tcPr>
          <w:p w14:paraId="1FFC216B"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269ABD52"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195DB627"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3B21B4F5"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1727FD16" w14:textId="77777777" w:rsidR="008E5DE4" w:rsidRDefault="008E5DE4">
            <w:pPr>
              <w:widowControl w:val="0"/>
              <w:pBdr>
                <w:top w:val="nil"/>
                <w:left w:val="nil"/>
                <w:bottom w:val="nil"/>
                <w:right w:val="nil"/>
                <w:between w:val="nil"/>
              </w:pBdr>
              <w:jc w:val="right"/>
              <w:rPr>
                <w:b/>
                <w:color w:val="000000"/>
              </w:rPr>
            </w:pPr>
          </w:p>
        </w:tc>
      </w:tr>
      <w:tr w:rsidR="008E5DE4" w14:paraId="58CFBE98" w14:textId="77777777">
        <w:trPr>
          <w:cantSplit/>
        </w:trPr>
        <w:tc>
          <w:tcPr>
            <w:tcW w:w="3345" w:type="dxa"/>
            <w:vAlign w:val="bottom"/>
          </w:tcPr>
          <w:p w14:paraId="4B60C271" w14:textId="0A58902A" w:rsidR="008E5DE4" w:rsidRDefault="00780368">
            <w:pPr>
              <w:widowControl w:val="0"/>
              <w:ind w:left="113" w:right="-57" w:hanging="113"/>
            </w:pPr>
            <w:r>
              <w:rPr>
                <w:b/>
              </w:rPr>
              <w:t xml:space="preserve">Unrealised revaluation gains less losses recognised in profit or loss for the year for assets held </w:t>
            </w:r>
            <w:proofErr w:type="gramStart"/>
            <w:r>
              <w:rPr>
                <w:b/>
              </w:rPr>
              <w:t>at</w:t>
            </w:r>
            <w:proofErr w:type="gramEnd"/>
            <w:r>
              <w:rPr>
                <w:b/>
              </w:rPr>
              <w:t xml:space="preserve"> 31 December </w:t>
            </w:r>
            <w:r w:rsidR="00A46633">
              <w:rPr>
                <w:b/>
              </w:rPr>
              <w:t>202</w:t>
            </w:r>
            <w:r w:rsidR="00A76CF1">
              <w:rPr>
                <w:b/>
              </w:rPr>
              <w:t>5</w:t>
            </w:r>
          </w:p>
        </w:tc>
        <w:tc>
          <w:tcPr>
            <w:tcW w:w="1010" w:type="dxa"/>
            <w:vAlign w:val="bottom"/>
          </w:tcPr>
          <w:p w14:paraId="5A103A32" w14:textId="77777777" w:rsidR="008E5DE4" w:rsidRDefault="008E5DE4">
            <w:pPr>
              <w:widowControl w:val="0"/>
              <w:pBdr>
                <w:top w:val="nil"/>
                <w:left w:val="nil"/>
                <w:bottom w:val="nil"/>
                <w:right w:val="nil"/>
                <w:between w:val="nil"/>
              </w:pBdr>
              <w:jc w:val="right"/>
              <w:rPr>
                <w:b/>
                <w:color w:val="000000"/>
              </w:rPr>
            </w:pPr>
          </w:p>
        </w:tc>
        <w:tc>
          <w:tcPr>
            <w:tcW w:w="1010" w:type="dxa"/>
            <w:vAlign w:val="bottom"/>
          </w:tcPr>
          <w:p w14:paraId="3B958581"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722F6A92"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20185289"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60231009"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3C2B00F0" w14:textId="77777777" w:rsidR="008E5DE4" w:rsidRDefault="008E5DE4">
            <w:pPr>
              <w:widowControl w:val="0"/>
              <w:pBdr>
                <w:top w:val="nil"/>
                <w:left w:val="nil"/>
                <w:bottom w:val="nil"/>
                <w:right w:val="nil"/>
                <w:between w:val="nil"/>
              </w:pBdr>
              <w:jc w:val="right"/>
              <w:rPr>
                <w:b/>
                <w:color w:val="000000"/>
              </w:rPr>
            </w:pPr>
          </w:p>
        </w:tc>
      </w:tr>
      <w:tr w:rsidR="008E5DE4" w14:paraId="3C482F6F" w14:textId="77777777">
        <w:trPr>
          <w:cantSplit/>
        </w:trPr>
        <w:tc>
          <w:tcPr>
            <w:tcW w:w="3345" w:type="dxa"/>
            <w:tcBorders>
              <w:bottom w:val="single" w:sz="12" w:space="0" w:color="000000"/>
            </w:tcBorders>
            <w:vAlign w:val="bottom"/>
          </w:tcPr>
          <w:p w14:paraId="34CFAB08" w14:textId="77777777" w:rsidR="008E5DE4" w:rsidRDefault="00780368">
            <w:pPr>
              <w:widowControl w:val="0"/>
              <w:ind w:left="113" w:right="-57" w:hanging="113"/>
            </w:pPr>
            <w:r>
              <w:rPr>
                <w:color w:val="0000FF"/>
              </w:rPr>
              <w:t> </w:t>
            </w:r>
          </w:p>
        </w:tc>
        <w:tc>
          <w:tcPr>
            <w:tcW w:w="1010" w:type="dxa"/>
            <w:tcBorders>
              <w:bottom w:val="single" w:sz="12" w:space="0" w:color="000000"/>
            </w:tcBorders>
            <w:vAlign w:val="bottom"/>
          </w:tcPr>
          <w:p w14:paraId="1DE11545" w14:textId="77777777" w:rsidR="008E5DE4" w:rsidRDefault="008E5DE4">
            <w:pPr>
              <w:widowControl w:val="0"/>
              <w:pBdr>
                <w:top w:val="nil"/>
                <w:left w:val="nil"/>
                <w:bottom w:val="nil"/>
                <w:right w:val="nil"/>
                <w:between w:val="nil"/>
              </w:pBdr>
              <w:jc w:val="right"/>
              <w:rPr>
                <w:b/>
                <w:color w:val="000000"/>
              </w:rPr>
            </w:pPr>
          </w:p>
        </w:tc>
        <w:tc>
          <w:tcPr>
            <w:tcW w:w="1010" w:type="dxa"/>
            <w:tcBorders>
              <w:bottom w:val="single" w:sz="12" w:space="0" w:color="000000"/>
            </w:tcBorders>
            <w:vAlign w:val="bottom"/>
          </w:tcPr>
          <w:p w14:paraId="5EF9B6DB"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2CE8D1A4"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7ABF517F"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18A67BEF"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45ED50F9" w14:textId="77777777" w:rsidR="008E5DE4" w:rsidRDefault="008E5DE4">
            <w:pPr>
              <w:widowControl w:val="0"/>
              <w:pBdr>
                <w:top w:val="nil"/>
                <w:left w:val="nil"/>
                <w:bottom w:val="nil"/>
                <w:right w:val="nil"/>
                <w:between w:val="nil"/>
              </w:pBdr>
              <w:jc w:val="right"/>
              <w:rPr>
                <w:b/>
                <w:color w:val="000000"/>
              </w:rPr>
            </w:pPr>
          </w:p>
        </w:tc>
      </w:tr>
    </w:tbl>
    <w:p w14:paraId="38507A09" w14:textId="5D5CB0EC"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Gains and losses on derivatives are included in </w:t>
      </w:r>
      <w:r>
        <w:rPr>
          <w:color w:val="0000FF"/>
          <w:sz w:val="20"/>
          <w:szCs w:val="20"/>
        </w:rPr>
        <w:t>[other income in profit or loss for the year.]</w:t>
      </w:r>
      <w:r>
        <w:rPr>
          <w:color w:val="000000"/>
          <w:sz w:val="20"/>
          <w:szCs w:val="20"/>
        </w:rPr>
        <w:t xml:space="preserve"> </w:t>
      </w:r>
    </w:p>
    <w:p w14:paraId="02667467" w14:textId="47FC30F0" w:rsidR="008E5DE4" w:rsidRDefault="00780368">
      <w:pPr>
        <w:widowControl w:val="0"/>
        <w:pBdr>
          <w:top w:val="nil"/>
          <w:left w:val="nil"/>
          <w:bottom w:val="nil"/>
          <w:right w:val="nil"/>
          <w:between w:val="nil"/>
        </w:pBdr>
        <w:spacing w:before="200" w:after="200"/>
        <w:jc w:val="both"/>
        <w:rPr>
          <w:i/>
          <w:color w:val="FF0000"/>
          <w:sz w:val="20"/>
          <w:szCs w:val="20"/>
        </w:rPr>
      </w:pPr>
      <w:r>
        <w:rPr>
          <w:color w:val="0000FF"/>
          <w:sz w:val="20"/>
          <w:szCs w:val="20"/>
        </w:rPr>
        <w:t xml:space="preserve">[Certain derivatives and promissory notes were reclassified from level 3 to level 2 instruments due to the increased activity in financial markets in </w:t>
      </w:r>
      <w:r w:rsidR="008614F8">
        <w:rPr>
          <w:color w:val="0000FF"/>
          <w:sz w:val="20"/>
          <w:szCs w:val="20"/>
        </w:rPr>
        <w:t>2025</w:t>
      </w:r>
      <w:r>
        <w:rPr>
          <w:color w:val="0000FF"/>
          <w:sz w:val="20"/>
          <w:szCs w:val="20"/>
        </w:rPr>
        <w:t>.]</w:t>
      </w:r>
      <w:r>
        <w:rPr>
          <w:color w:val="000000"/>
          <w:sz w:val="20"/>
          <w:szCs w:val="20"/>
        </w:rPr>
        <w:t xml:space="preserve"> </w:t>
      </w:r>
    </w:p>
    <w:p w14:paraId="2F8C51AF"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53</w:t>
      </w:r>
      <w:r>
        <w:rPr>
          <w:b/>
          <w:color w:val="000000"/>
          <w:sz w:val="20"/>
          <w:szCs w:val="20"/>
        </w:rPr>
        <w:tab/>
        <w:t>Fair Value Disclosures (Continued)</w:t>
      </w:r>
    </w:p>
    <w:p w14:paraId="35267E3E" w14:textId="0450CAEA" w:rsidR="008E5DE4" w:rsidRDefault="00780368">
      <w:pPr>
        <w:widowControl w:val="0"/>
        <w:spacing w:before="200" w:after="200"/>
        <w:jc w:val="both"/>
        <w:rPr>
          <w:sz w:val="20"/>
          <w:szCs w:val="20"/>
        </w:rPr>
      </w:pPr>
      <w:r>
        <w:rPr>
          <w:sz w:val="20"/>
          <w:szCs w:val="20"/>
        </w:rPr>
        <w:t xml:space="preserve">A reconciliation of movements in Level 3 of the fair value hierarchy by class of instruments for the year ended 31 December </w:t>
      </w:r>
      <w:r w:rsidR="00A46633">
        <w:rPr>
          <w:sz w:val="20"/>
          <w:szCs w:val="20"/>
        </w:rPr>
        <w:t>2024</w:t>
      </w:r>
      <w:r>
        <w:rPr>
          <w:sz w:val="20"/>
          <w:szCs w:val="20"/>
        </w:rPr>
        <w:t xml:space="preserve"> is as follows: </w:t>
      </w:r>
    </w:p>
    <w:tbl>
      <w:tblPr>
        <w:tblStyle w:val="affffffffffffff0"/>
        <w:tblW w:w="9458" w:type="dxa"/>
        <w:tblLayout w:type="fixed"/>
        <w:tblLook w:val="0000" w:firstRow="0" w:lastRow="0" w:firstColumn="0" w:lastColumn="0" w:noHBand="0" w:noVBand="0"/>
      </w:tblPr>
      <w:tblGrid>
        <w:gridCol w:w="3402"/>
        <w:gridCol w:w="1010"/>
        <w:gridCol w:w="1010"/>
        <w:gridCol w:w="1009"/>
        <w:gridCol w:w="1009"/>
        <w:gridCol w:w="1009"/>
        <w:gridCol w:w="1009"/>
      </w:tblGrid>
      <w:tr w:rsidR="008E5DE4" w14:paraId="35462A65" w14:textId="77777777">
        <w:trPr>
          <w:cantSplit/>
        </w:trPr>
        <w:tc>
          <w:tcPr>
            <w:tcW w:w="3402" w:type="dxa"/>
            <w:vAlign w:val="bottom"/>
          </w:tcPr>
          <w:p w14:paraId="20C5EEEF" w14:textId="77777777" w:rsidR="008E5DE4" w:rsidRDefault="008E5DE4">
            <w:pPr>
              <w:widowControl w:val="0"/>
              <w:pBdr>
                <w:top w:val="nil"/>
                <w:left w:val="nil"/>
                <w:bottom w:val="nil"/>
                <w:right w:val="nil"/>
                <w:between w:val="nil"/>
              </w:pBdr>
              <w:ind w:left="113" w:right="-57" w:hanging="113"/>
              <w:rPr>
                <w:i/>
                <w:color w:val="000000"/>
              </w:rPr>
            </w:pPr>
          </w:p>
        </w:tc>
        <w:tc>
          <w:tcPr>
            <w:tcW w:w="2020" w:type="dxa"/>
            <w:gridSpan w:val="2"/>
            <w:tcBorders>
              <w:bottom w:val="single" w:sz="4" w:space="0" w:color="000000"/>
            </w:tcBorders>
          </w:tcPr>
          <w:p w14:paraId="646C1B91" w14:textId="77777777" w:rsidR="008E5DE4" w:rsidRDefault="00780368">
            <w:pPr>
              <w:widowControl w:val="0"/>
              <w:pBdr>
                <w:top w:val="nil"/>
                <w:left w:val="nil"/>
                <w:bottom w:val="nil"/>
                <w:right w:val="nil"/>
                <w:between w:val="nil"/>
              </w:pBdr>
              <w:ind w:left="-113"/>
              <w:jc w:val="center"/>
              <w:rPr>
                <w:b/>
                <w:color w:val="000000"/>
              </w:rPr>
            </w:pPr>
            <w:r>
              <w:rPr>
                <w:b/>
                <w:color w:val="000000"/>
              </w:rPr>
              <w:t>Other securities at fair value through profit or loss</w:t>
            </w:r>
          </w:p>
        </w:tc>
        <w:tc>
          <w:tcPr>
            <w:tcW w:w="2018" w:type="dxa"/>
            <w:gridSpan w:val="2"/>
            <w:tcBorders>
              <w:bottom w:val="single" w:sz="4" w:space="0" w:color="000000"/>
            </w:tcBorders>
          </w:tcPr>
          <w:p w14:paraId="226A743A" w14:textId="77777777" w:rsidR="008E5DE4" w:rsidRDefault="00780368">
            <w:pPr>
              <w:widowControl w:val="0"/>
              <w:pBdr>
                <w:top w:val="nil"/>
                <w:left w:val="nil"/>
                <w:bottom w:val="nil"/>
                <w:right w:val="nil"/>
                <w:between w:val="nil"/>
              </w:pBdr>
              <w:ind w:left="-113"/>
              <w:jc w:val="center"/>
              <w:rPr>
                <w:b/>
                <w:color w:val="000000"/>
              </w:rPr>
            </w:pPr>
            <w:r>
              <w:rPr>
                <w:b/>
                <w:color w:val="000000"/>
              </w:rPr>
              <w:t>Securities available for sale</w:t>
            </w:r>
          </w:p>
        </w:tc>
        <w:tc>
          <w:tcPr>
            <w:tcW w:w="1009" w:type="dxa"/>
            <w:vMerge w:val="restart"/>
          </w:tcPr>
          <w:p w14:paraId="68F993C8"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Financial derivative assets </w:t>
            </w:r>
          </w:p>
        </w:tc>
        <w:tc>
          <w:tcPr>
            <w:tcW w:w="1009" w:type="dxa"/>
            <w:vMerge w:val="restart"/>
          </w:tcPr>
          <w:p w14:paraId="49A76122" w14:textId="30EE53E9" w:rsidR="008E5DE4" w:rsidRDefault="00780368">
            <w:pPr>
              <w:widowControl w:val="0"/>
              <w:pBdr>
                <w:top w:val="nil"/>
                <w:left w:val="nil"/>
                <w:bottom w:val="nil"/>
                <w:right w:val="nil"/>
                <w:between w:val="nil"/>
              </w:pBdr>
              <w:ind w:left="-113"/>
              <w:jc w:val="right"/>
              <w:rPr>
                <w:b/>
                <w:color w:val="000000"/>
              </w:rPr>
            </w:pPr>
            <w:r>
              <w:rPr>
                <w:b/>
                <w:color w:val="000000"/>
              </w:rPr>
              <w:t>Financial derivative liabilities</w:t>
            </w:r>
            <w:r>
              <w:rPr>
                <w:b/>
                <w:color w:val="0000FF"/>
              </w:rPr>
              <w:t xml:space="preserve"> </w:t>
            </w:r>
          </w:p>
        </w:tc>
      </w:tr>
      <w:tr w:rsidR="008E5DE4" w14:paraId="3B50592D" w14:textId="77777777">
        <w:trPr>
          <w:cantSplit/>
        </w:trPr>
        <w:tc>
          <w:tcPr>
            <w:tcW w:w="3402" w:type="dxa"/>
            <w:vAlign w:val="bottom"/>
          </w:tcPr>
          <w:p w14:paraId="5FD544BF" w14:textId="77777777" w:rsidR="008E5DE4" w:rsidRDefault="008E5DE4">
            <w:pPr>
              <w:widowControl w:val="0"/>
              <w:pBdr>
                <w:top w:val="nil"/>
                <w:left w:val="nil"/>
                <w:bottom w:val="nil"/>
                <w:right w:val="nil"/>
                <w:between w:val="nil"/>
              </w:pBdr>
              <w:ind w:left="113" w:right="-57" w:hanging="113"/>
              <w:rPr>
                <w:i/>
                <w:color w:val="000000"/>
              </w:rPr>
            </w:pPr>
          </w:p>
          <w:p w14:paraId="13BB4E59"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010" w:type="dxa"/>
            <w:tcBorders>
              <w:top w:val="single" w:sz="4" w:space="0" w:color="000000"/>
            </w:tcBorders>
          </w:tcPr>
          <w:p w14:paraId="13B96295" w14:textId="77777777" w:rsidR="008E5DE4" w:rsidRDefault="00780368">
            <w:pPr>
              <w:widowControl w:val="0"/>
              <w:pBdr>
                <w:top w:val="nil"/>
                <w:left w:val="nil"/>
                <w:bottom w:val="nil"/>
                <w:right w:val="nil"/>
                <w:between w:val="nil"/>
              </w:pBdr>
              <w:ind w:left="-113"/>
              <w:jc w:val="right"/>
              <w:rPr>
                <w:b/>
                <w:color w:val="000000"/>
              </w:rPr>
            </w:pPr>
            <w:r>
              <w:rPr>
                <w:b/>
                <w:color w:val="000000"/>
              </w:rPr>
              <w:t>Corpo-rate shares</w:t>
            </w:r>
          </w:p>
        </w:tc>
        <w:tc>
          <w:tcPr>
            <w:tcW w:w="1010" w:type="dxa"/>
            <w:tcBorders>
              <w:top w:val="single" w:sz="4" w:space="0" w:color="000000"/>
            </w:tcBorders>
          </w:tcPr>
          <w:p w14:paraId="4A07B516" w14:textId="77777777" w:rsidR="008E5DE4" w:rsidRDefault="00780368">
            <w:pPr>
              <w:widowControl w:val="0"/>
              <w:pBdr>
                <w:top w:val="nil"/>
                <w:left w:val="nil"/>
                <w:bottom w:val="nil"/>
                <w:right w:val="nil"/>
                <w:between w:val="nil"/>
              </w:pBdr>
              <w:ind w:left="-113"/>
              <w:jc w:val="right"/>
              <w:rPr>
                <w:b/>
                <w:color w:val="000000"/>
              </w:rPr>
            </w:pPr>
            <w:proofErr w:type="spellStart"/>
            <w:r>
              <w:rPr>
                <w:b/>
                <w:color w:val="000000"/>
              </w:rPr>
              <w:t>Promi-ssory</w:t>
            </w:r>
            <w:proofErr w:type="spellEnd"/>
            <w:r>
              <w:rPr>
                <w:b/>
                <w:color w:val="000000"/>
              </w:rPr>
              <w:t xml:space="preserve"> notes</w:t>
            </w:r>
          </w:p>
        </w:tc>
        <w:tc>
          <w:tcPr>
            <w:tcW w:w="1009" w:type="dxa"/>
            <w:tcBorders>
              <w:top w:val="single" w:sz="4" w:space="0" w:color="000000"/>
            </w:tcBorders>
          </w:tcPr>
          <w:p w14:paraId="24BAE75C" w14:textId="77777777" w:rsidR="008E5DE4" w:rsidRDefault="00780368">
            <w:pPr>
              <w:widowControl w:val="0"/>
              <w:pBdr>
                <w:top w:val="nil"/>
                <w:left w:val="nil"/>
                <w:bottom w:val="nil"/>
                <w:right w:val="nil"/>
                <w:between w:val="nil"/>
              </w:pBdr>
              <w:ind w:left="-113"/>
              <w:jc w:val="right"/>
              <w:rPr>
                <w:b/>
                <w:color w:val="000000"/>
              </w:rPr>
            </w:pPr>
            <w:proofErr w:type="spellStart"/>
            <w:r>
              <w:rPr>
                <w:b/>
                <w:color w:val="000000"/>
              </w:rPr>
              <w:t>Promi-ssory</w:t>
            </w:r>
            <w:proofErr w:type="spellEnd"/>
            <w:r>
              <w:rPr>
                <w:b/>
                <w:color w:val="000000"/>
              </w:rPr>
              <w:t xml:space="preserve"> notes</w:t>
            </w:r>
          </w:p>
        </w:tc>
        <w:tc>
          <w:tcPr>
            <w:tcW w:w="1009" w:type="dxa"/>
            <w:tcBorders>
              <w:top w:val="single" w:sz="4" w:space="0" w:color="000000"/>
            </w:tcBorders>
          </w:tcPr>
          <w:p w14:paraId="314A6A26" w14:textId="77777777" w:rsidR="008E5DE4" w:rsidRDefault="00780368">
            <w:pPr>
              <w:widowControl w:val="0"/>
              <w:pBdr>
                <w:top w:val="nil"/>
                <w:left w:val="nil"/>
                <w:bottom w:val="nil"/>
                <w:right w:val="nil"/>
                <w:between w:val="nil"/>
              </w:pBdr>
              <w:ind w:left="-113"/>
              <w:jc w:val="right"/>
              <w:rPr>
                <w:b/>
                <w:color w:val="000000"/>
              </w:rPr>
            </w:pPr>
            <w:r>
              <w:rPr>
                <w:b/>
                <w:color w:val="000000"/>
              </w:rPr>
              <w:t>Corpo-rate shares</w:t>
            </w:r>
          </w:p>
        </w:tc>
        <w:tc>
          <w:tcPr>
            <w:tcW w:w="1009" w:type="dxa"/>
            <w:vMerge/>
          </w:tcPr>
          <w:p w14:paraId="0ED6F05A" w14:textId="77777777" w:rsidR="008E5DE4" w:rsidRDefault="008E5DE4">
            <w:pPr>
              <w:widowControl w:val="0"/>
              <w:pBdr>
                <w:top w:val="nil"/>
                <w:left w:val="nil"/>
                <w:bottom w:val="nil"/>
                <w:right w:val="nil"/>
                <w:between w:val="nil"/>
              </w:pBdr>
              <w:spacing w:line="276" w:lineRule="auto"/>
              <w:rPr>
                <w:b/>
                <w:color w:val="000000"/>
              </w:rPr>
            </w:pPr>
          </w:p>
        </w:tc>
        <w:tc>
          <w:tcPr>
            <w:tcW w:w="1009" w:type="dxa"/>
            <w:vMerge/>
          </w:tcPr>
          <w:p w14:paraId="66CF572D" w14:textId="77777777" w:rsidR="008E5DE4" w:rsidRDefault="008E5DE4">
            <w:pPr>
              <w:widowControl w:val="0"/>
              <w:pBdr>
                <w:top w:val="nil"/>
                <w:left w:val="nil"/>
                <w:bottom w:val="nil"/>
                <w:right w:val="nil"/>
                <w:between w:val="nil"/>
              </w:pBdr>
              <w:spacing w:line="276" w:lineRule="auto"/>
              <w:rPr>
                <w:b/>
                <w:color w:val="000000"/>
              </w:rPr>
            </w:pPr>
          </w:p>
        </w:tc>
      </w:tr>
      <w:tr w:rsidR="008E5DE4" w14:paraId="309CFB01" w14:textId="77777777">
        <w:trPr>
          <w:cantSplit/>
        </w:trPr>
        <w:tc>
          <w:tcPr>
            <w:tcW w:w="3402" w:type="dxa"/>
            <w:tcBorders>
              <w:top w:val="single" w:sz="4" w:space="0" w:color="000000"/>
            </w:tcBorders>
            <w:vAlign w:val="bottom"/>
          </w:tcPr>
          <w:p w14:paraId="1479E88B"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010" w:type="dxa"/>
            <w:tcBorders>
              <w:top w:val="single" w:sz="4" w:space="0" w:color="000000"/>
            </w:tcBorders>
            <w:vAlign w:val="bottom"/>
          </w:tcPr>
          <w:p w14:paraId="23DAE421" w14:textId="77777777" w:rsidR="008E5DE4" w:rsidRDefault="008E5DE4">
            <w:pPr>
              <w:widowControl w:val="0"/>
              <w:pBdr>
                <w:top w:val="nil"/>
                <w:left w:val="nil"/>
                <w:bottom w:val="nil"/>
                <w:right w:val="nil"/>
                <w:between w:val="nil"/>
              </w:pBdr>
              <w:jc w:val="right"/>
              <w:rPr>
                <w:color w:val="000000"/>
              </w:rPr>
            </w:pPr>
          </w:p>
        </w:tc>
        <w:tc>
          <w:tcPr>
            <w:tcW w:w="1010" w:type="dxa"/>
            <w:tcBorders>
              <w:top w:val="single" w:sz="4" w:space="0" w:color="000000"/>
            </w:tcBorders>
            <w:vAlign w:val="bottom"/>
          </w:tcPr>
          <w:p w14:paraId="1F6E9258" w14:textId="77777777" w:rsidR="008E5DE4" w:rsidRDefault="008E5DE4">
            <w:pPr>
              <w:widowControl w:val="0"/>
              <w:pBdr>
                <w:top w:val="nil"/>
                <w:left w:val="nil"/>
                <w:bottom w:val="nil"/>
                <w:right w:val="nil"/>
                <w:between w:val="nil"/>
              </w:pBdr>
              <w:jc w:val="right"/>
              <w:rPr>
                <w:color w:val="000000"/>
              </w:rPr>
            </w:pPr>
          </w:p>
        </w:tc>
        <w:tc>
          <w:tcPr>
            <w:tcW w:w="1009" w:type="dxa"/>
            <w:tcBorders>
              <w:top w:val="single" w:sz="4" w:space="0" w:color="000000"/>
            </w:tcBorders>
            <w:vAlign w:val="bottom"/>
          </w:tcPr>
          <w:p w14:paraId="6FF0F0F7" w14:textId="77777777" w:rsidR="008E5DE4" w:rsidRDefault="008E5DE4">
            <w:pPr>
              <w:widowControl w:val="0"/>
              <w:pBdr>
                <w:top w:val="nil"/>
                <w:left w:val="nil"/>
                <w:bottom w:val="nil"/>
                <w:right w:val="nil"/>
                <w:between w:val="nil"/>
              </w:pBdr>
              <w:jc w:val="right"/>
              <w:rPr>
                <w:color w:val="000000"/>
              </w:rPr>
            </w:pPr>
          </w:p>
        </w:tc>
        <w:tc>
          <w:tcPr>
            <w:tcW w:w="1009" w:type="dxa"/>
            <w:tcBorders>
              <w:top w:val="single" w:sz="4" w:space="0" w:color="000000"/>
            </w:tcBorders>
            <w:vAlign w:val="bottom"/>
          </w:tcPr>
          <w:p w14:paraId="09591A03" w14:textId="77777777" w:rsidR="008E5DE4" w:rsidRDefault="008E5DE4">
            <w:pPr>
              <w:widowControl w:val="0"/>
              <w:pBdr>
                <w:top w:val="nil"/>
                <w:left w:val="nil"/>
                <w:bottom w:val="nil"/>
                <w:right w:val="nil"/>
                <w:between w:val="nil"/>
              </w:pBdr>
              <w:jc w:val="right"/>
              <w:rPr>
                <w:color w:val="000000"/>
              </w:rPr>
            </w:pPr>
          </w:p>
        </w:tc>
        <w:tc>
          <w:tcPr>
            <w:tcW w:w="1009" w:type="dxa"/>
            <w:tcBorders>
              <w:top w:val="single" w:sz="4" w:space="0" w:color="000000"/>
            </w:tcBorders>
            <w:vAlign w:val="bottom"/>
          </w:tcPr>
          <w:p w14:paraId="3A479652" w14:textId="77777777" w:rsidR="008E5DE4" w:rsidRDefault="008E5DE4">
            <w:pPr>
              <w:widowControl w:val="0"/>
              <w:pBdr>
                <w:top w:val="nil"/>
                <w:left w:val="nil"/>
                <w:bottom w:val="nil"/>
                <w:right w:val="nil"/>
                <w:between w:val="nil"/>
              </w:pBdr>
              <w:jc w:val="right"/>
              <w:rPr>
                <w:color w:val="000000"/>
              </w:rPr>
            </w:pPr>
          </w:p>
        </w:tc>
        <w:tc>
          <w:tcPr>
            <w:tcW w:w="1009" w:type="dxa"/>
            <w:tcBorders>
              <w:top w:val="single" w:sz="4" w:space="0" w:color="000000"/>
            </w:tcBorders>
            <w:vAlign w:val="bottom"/>
          </w:tcPr>
          <w:p w14:paraId="675E883A" w14:textId="77777777" w:rsidR="008E5DE4" w:rsidRDefault="008E5DE4">
            <w:pPr>
              <w:widowControl w:val="0"/>
              <w:pBdr>
                <w:top w:val="nil"/>
                <w:left w:val="nil"/>
                <w:bottom w:val="nil"/>
                <w:right w:val="nil"/>
                <w:between w:val="nil"/>
              </w:pBdr>
              <w:jc w:val="right"/>
              <w:rPr>
                <w:color w:val="000000"/>
              </w:rPr>
            </w:pPr>
          </w:p>
        </w:tc>
      </w:tr>
      <w:tr w:rsidR="008E5DE4" w14:paraId="507BAD17" w14:textId="77777777">
        <w:trPr>
          <w:cantSplit/>
        </w:trPr>
        <w:tc>
          <w:tcPr>
            <w:tcW w:w="3402" w:type="dxa"/>
            <w:vAlign w:val="bottom"/>
          </w:tcPr>
          <w:p w14:paraId="1156185A" w14:textId="52C5E1D6" w:rsidR="008E5DE4" w:rsidRDefault="00780368">
            <w:pPr>
              <w:widowControl w:val="0"/>
              <w:pBdr>
                <w:top w:val="nil"/>
                <w:left w:val="nil"/>
                <w:bottom w:val="nil"/>
                <w:right w:val="nil"/>
                <w:between w:val="nil"/>
              </w:pBdr>
              <w:ind w:left="113" w:right="-57" w:hanging="113"/>
              <w:rPr>
                <w:b/>
                <w:color w:val="000000"/>
              </w:rPr>
            </w:pPr>
            <w:r>
              <w:rPr>
                <w:b/>
                <w:color w:val="000000"/>
              </w:rPr>
              <w:t xml:space="preserve">Fair value </w:t>
            </w:r>
            <w:proofErr w:type="gramStart"/>
            <w:r>
              <w:rPr>
                <w:b/>
                <w:color w:val="000000"/>
              </w:rPr>
              <w:t>at</w:t>
            </w:r>
            <w:proofErr w:type="gramEnd"/>
            <w:r>
              <w:rPr>
                <w:b/>
                <w:color w:val="000000"/>
              </w:rPr>
              <w:t xml:space="preserve"> 1 January </w:t>
            </w:r>
            <w:r w:rsidR="00A46633">
              <w:rPr>
                <w:b/>
                <w:color w:val="000000"/>
              </w:rPr>
              <w:t>2024</w:t>
            </w:r>
          </w:p>
        </w:tc>
        <w:tc>
          <w:tcPr>
            <w:tcW w:w="1010" w:type="dxa"/>
            <w:vAlign w:val="bottom"/>
          </w:tcPr>
          <w:p w14:paraId="2EF0F702" w14:textId="77777777" w:rsidR="008E5DE4" w:rsidRDefault="008E5DE4">
            <w:pPr>
              <w:widowControl w:val="0"/>
              <w:pBdr>
                <w:top w:val="nil"/>
                <w:left w:val="nil"/>
                <w:bottom w:val="nil"/>
                <w:right w:val="nil"/>
                <w:between w:val="nil"/>
              </w:pBdr>
              <w:jc w:val="right"/>
              <w:rPr>
                <w:b/>
                <w:smallCaps/>
                <w:color w:val="000000"/>
              </w:rPr>
            </w:pPr>
          </w:p>
        </w:tc>
        <w:tc>
          <w:tcPr>
            <w:tcW w:w="1010" w:type="dxa"/>
            <w:vAlign w:val="bottom"/>
          </w:tcPr>
          <w:p w14:paraId="6D40D80C"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6BAD39C5"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6F8E2CAE"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C5501A1"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242C3F0D" w14:textId="77777777" w:rsidR="008E5DE4" w:rsidRDefault="008E5DE4">
            <w:pPr>
              <w:widowControl w:val="0"/>
              <w:pBdr>
                <w:top w:val="nil"/>
                <w:left w:val="nil"/>
                <w:bottom w:val="nil"/>
                <w:right w:val="nil"/>
                <w:between w:val="nil"/>
              </w:pBdr>
              <w:jc w:val="right"/>
              <w:rPr>
                <w:color w:val="000000"/>
              </w:rPr>
            </w:pPr>
          </w:p>
        </w:tc>
      </w:tr>
      <w:tr w:rsidR="008E5DE4" w14:paraId="2039B9D0" w14:textId="77777777">
        <w:trPr>
          <w:cantSplit/>
        </w:trPr>
        <w:tc>
          <w:tcPr>
            <w:tcW w:w="3402" w:type="dxa"/>
            <w:vAlign w:val="bottom"/>
          </w:tcPr>
          <w:p w14:paraId="33AC1D41" w14:textId="77777777" w:rsidR="008E5DE4" w:rsidRDefault="00780368">
            <w:pPr>
              <w:widowControl w:val="0"/>
              <w:pBdr>
                <w:top w:val="nil"/>
                <w:left w:val="nil"/>
                <w:bottom w:val="nil"/>
                <w:right w:val="nil"/>
                <w:between w:val="nil"/>
              </w:pBdr>
              <w:ind w:left="113" w:right="-57" w:hanging="113"/>
              <w:rPr>
                <w:b/>
                <w:i/>
                <w:color w:val="000000"/>
              </w:rPr>
            </w:pPr>
            <w:r>
              <w:rPr>
                <w:color w:val="0000FF"/>
              </w:rPr>
              <w:t> </w:t>
            </w:r>
          </w:p>
        </w:tc>
        <w:tc>
          <w:tcPr>
            <w:tcW w:w="1010" w:type="dxa"/>
            <w:vAlign w:val="bottom"/>
          </w:tcPr>
          <w:p w14:paraId="6CEB0E8B"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1099D2B9"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835D028"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37F7D47"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0CF5D241"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D8FC9B3" w14:textId="77777777" w:rsidR="008E5DE4" w:rsidRDefault="008E5DE4">
            <w:pPr>
              <w:widowControl w:val="0"/>
              <w:pBdr>
                <w:top w:val="nil"/>
                <w:left w:val="nil"/>
                <w:bottom w:val="nil"/>
                <w:right w:val="nil"/>
                <w:between w:val="nil"/>
              </w:pBdr>
              <w:jc w:val="right"/>
              <w:rPr>
                <w:color w:val="000000"/>
              </w:rPr>
            </w:pPr>
          </w:p>
        </w:tc>
      </w:tr>
      <w:tr w:rsidR="008E5DE4" w14:paraId="3C4DC65A" w14:textId="77777777">
        <w:trPr>
          <w:cantSplit/>
        </w:trPr>
        <w:tc>
          <w:tcPr>
            <w:tcW w:w="3402" w:type="dxa"/>
            <w:vAlign w:val="bottom"/>
          </w:tcPr>
          <w:p w14:paraId="619A159C" w14:textId="77777777" w:rsidR="008E5DE4" w:rsidRDefault="00780368">
            <w:pPr>
              <w:widowControl w:val="0"/>
              <w:pBdr>
                <w:top w:val="nil"/>
                <w:left w:val="nil"/>
                <w:bottom w:val="nil"/>
                <w:right w:val="nil"/>
                <w:between w:val="nil"/>
              </w:pBdr>
              <w:ind w:left="113" w:right="-57" w:hanging="113"/>
              <w:rPr>
                <w:color w:val="000000"/>
              </w:rPr>
            </w:pPr>
            <w:r>
              <w:rPr>
                <w:color w:val="000000"/>
              </w:rPr>
              <w:t>Gains or losses recognised in profit or loss for the year</w:t>
            </w:r>
          </w:p>
        </w:tc>
        <w:tc>
          <w:tcPr>
            <w:tcW w:w="1010" w:type="dxa"/>
            <w:vAlign w:val="bottom"/>
          </w:tcPr>
          <w:p w14:paraId="6F3BF296"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69D65A6D"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5F580434"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EA61B5A"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55742B14"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64A580DF" w14:textId="77777777" w:rsidR="008E5DE4" w:rsidRDefault="008E5DE4">
            <w:pPr>
              <w:widowControl w:val="0"/>
              <w:pBdr>
                <w:top w:val="nil"/>
                <w:left w:val="nil"/>
                <w:bottom w:val="nil"/>
                <w:right w:val="nil"/>
                <w:between w:val="nil"/>
              </w:pBdr>
              <w:jc w:val="right"/>
              <w:rPr>
                <w:color w:val="000000"/>
              </w:rPr>
            </w:pPr>
          </w:p>
        </w:tc>
      </w:tr>
      <w:tr w:rsidR="008E5DE4" w14:paraId="3963C5B0" w14:textId="77777777">
        <w:trPr>
          <w:cantSplit/>
        </w:trPr>
        <w:tc>
          <w:tcPr>
            <w:tcW w:w="3402" w:type="dxa"/>
            <w:vAlign w:val="bottom"/>
          </w:tcPr>
          <w:p w14:paraId="0EBF2E49" w14:textId="77777777" w:rsidR="008E5DE4" w:rsidRDefault="00780368">
            <w:pPr>
              <w:widowControl w:val="0"/>
              <w:pBdr>
                <w:top w:val="nil"/>
                <w:left w:val="nil"/>
                <w:bottom w:val="nil"/>
                <w:right w:val="nil"/>
                <w:between w:val="nil"/>
              </w:pBdr>
              <w:ind w:left="113" w:right="-57" w:hanging="113"/>
              <w:rPr>
                <w:color w:val="000000"/>
              </w:rPr>
            </w:pPr>
            <w:r>
              <w:rPr>
                <w:color w:val="000000"/>
              </w:rPr>
              <w:t>Gains or losses recognised in other comprehensive income</w:t>
            </w:r>
          </w:p>
        </w:tc>
        <w:tc>
          <w:tcPr>
            <w:tcW w:w="1010" w:type="dxa"/>
            <w:vAlign w:val="bottom"/>
          </w:tcPr>
          <w:p w14:paraId="575F53DA"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7F20A7E9"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22D68E0E"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1C148508"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5A40447E"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6E9085A4" w14:textId="77777777" w:rsidR="008E5DE4" w:rsidRDefault="008E5DE4">
            <w:pPr>
              <w:widowControl w:val="0"/>
              <w:pBdr>
                <w:top w:val="nil"/>
                <w:left w:val="nil"/>
                <w:bottom w:val="nil"/>
                <w:right w:val="nil"/>
                <w:between w:val="nil"/>
              </w:pBdr>
              <w:jc w:val="right"/>
              <w:rPr>
                <w:color w:val="000000"/>
              </w:rPr>
            </w:pPr>
          </w:p>
        </w:tc>
      </w:tr>
      <w:tr w:rsidR="008E5DE4" w14:paraId="1876B77A" w14:textId="77777777">
        <w:trPr>
          <w:cantSplit/>
        </w:trPr>
        <w:tc>
          <w:tcPr>
            <w:tcW w:w="3402" w:type="dxa"/>
            <w:vAlign w:val="bottom"/>
          </w:tcPr>
          <w:p w14:paraId="43A3B400" w14:textId="77777777" w:rsidR="008E5DE4" w:rsidRDefault="00780368">
            <w:pPr>
              <w:widowControl w:val="0"/>
              <w:pBdr>
                <w:top w:val="nil"/>
                <w:left w:val="nil"/>
                <w:bottom w:val="nil"/>
                <w:right w:val="nil"/>
                <w:between w:val="nil"/>
              </w:pBdr>
              <w:ind w:left="113" w:right="-57" w:hanging="113"/>
              <w:rPr>
                <w:color w:val="000000"/>
              </w:rPr>
            </w:pPr>
            <w:r>
              <w:rPr>
                <w:color w:val="000000"/>
              </w:rPr>
              <w:t>Purchases</w:t>
            </w:r>
          </w:p>
        </w:tc>
        <w:tc>
          <w:tcPr>
            <w:tcW w:w="1010" w:type="dxa"/>
            <w:vAlign w:val="bottom"/>
          </w:tcPr>
          <w:p w14:paraId="7A3D2D47"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17FEEF5C"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2A316BEC"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5060BDC"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1401C992"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239EA6EE" w14:textId="77777777" w:rsidR="008E5DE4" w:rsidRDefault="008E5DE4">
            <w:pPr>
              <w:widowControl w:val="0"/>
              <w:pBdr>
                <w:top w:val="nil"/>
                <w:left w:val="nil"/>
                <w:bottom w:val="nil"/>
                <w:right w:val="nil"/>
                <w:between w:val="nil"/>
              </w:pBdr>
              <w:jc w:val="right"/>
              <w:rPr>
                <w:color w:val="000000"/>
              </w:rPr>
            </w:pPr>
          </w:p>
        </w:tc>
      </w:tr>
      <w:tr w:rsidR="008E5DE4" w14:paraId="009FA23F" w14:textId="77777777">
        <w:trPr>
          <w:cantSplit/>
        </w:trPr>
        <w:tc>
          <w:tcPr>
            <w:tcW w:w="3402" w:type="dxa"/>
            <w:vAlign w:val="bottom"/>
          </w:tcPr>
          <w:p w14:paraId="1D6993F2"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Issues or origination </w:t>
            </w:r>
          </w:p>
        </w:tc>
        <w:tc>
          <w:tcPr>
            <w:tcW w:w="1010" w:type="dxa"/>
            <w:vAlign w:val="bottom"/>
          </w:tcPr>
          <w:p w14:paraId="765D6F78"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798A5683"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B25CC9C"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0427619B"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5D81E1E"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F08688B" w14:textId="77777777" w:rsidR="008E5DE4" w:rsidRDefault="008E5DE4">
            <w:pPr>
              <w:widowControl w:val="0"/>
              <w:pBdr>
                <w:top w:val="nil"/>
                <w:left w:val="nil"/>
                <w:bottom w:val="nil"/>
                <w:right w:val="nil"/>
                <w:between w:val="nil"/>
              </w:pBdr>
              <w:jc w:val="right"/>
              <w:rPr>
                <w:color w:val="000000"/>
              </w:rPr>
            </w:pPr>
          </w:p>
        </w:tc>
      </w:tr>
      <w:tr w:rsidR="008E5DE4" w14:paraId="75C99CA6" w14:textId="77777777">
        <w:trPr>
          <w:cantSplit/>
        </w:trPr>
        <w:tc>
          <w:tcPr>
            <w:tcW w:w="3402" w:type="dxa"/>
            <w:vAlign w:val="bottom"/>
          </w:tcPr>
          <w:p w14:paraId="07200735" w14:textId="77777777" w:rsidR="008E5DE4" w:rsidRDefault="00780368">
            <w:pPr>
              <w:widowControl w:val="0"/>
              <w:pBdr>
                <w:top w:val="nil"/>
                <w:left w:val="nil"/>
                <w:bottom w:val="nil"/>
                <w:right w:val="nil"/>
                <w:between w:val="nil"/>
              </w:pBdr>
              <w:ind w:left="113" w:right="-57" w:hanging="113"/>
              <w:rPr>
                <w:color w:val="000000"/>
              </w:rPr>
            </w:pPr>
            <w:r>
              <w:rPr>
                <w:color w:val="000000"/>
              </w:rPr>
              <w:t>Sales</w:t>
            </w:r>
          </w:p>
        </w:tc>
        <w:tc>
          <w:tcPr>
            <w:tcW w:w="1010" w:type="dxa"/>
            <w:vAlign w:val="bottom"/>
          </w:tcPr>
          <w:p w14:paraId="72C13832"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7995C77D"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02130F9C"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04A7744"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3CE29E6"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072A1DE5" w14:textId="77777777" w:rsidR="008E5DE4" w:rsidRDefault="008E5DE4">
            <w:pPr>
              <w:widowControl w:val="0"/>
              <w:pBdr>
                <w:top w:val="nil"/>
                <w:left w:val="nil"/>
                <w:bottom w:val="nil"/>
                <w:right w:val="nil"/>
                <w:between w:val="nil"/>
              </w:pBdr>
              <w:jc w:val="right"/>
              <w:rPr>
                <w:color w:val="000000"/>
              </w:rPr>
            </w:pPr>
          </w:p>
        </w:tc>
      </w:tr>
      <w:tr w:rsidR="008E5DE4" w14:paraId="7717E6EF" w14:textId="77777777">
        <w:trPr>
          <w:cantSplit/>
        </w:trPr>
        <w:tc>
          <w:tcPr>
            <w:tcW w:w="3402" w:type="dxa"/>
            <w:vAlign w:val="bottom"/>
          </w:tcPr>
          <w:p w14:paraId="528B90ED" w14:textId="77777777" w:rsidR="008E5DE4" w:rsidRDefault="00780368">
            <w:pPr>
              <w:widowControl w:val="0"/>
              <w:pBdr>
                <w:top w:val="nil"/>
                <w:left w:val="nil"/>
                <w:bottom w:val="nil"/>
                <w:right w:val="nil"/>
                <w:between w:val="nil"/>
              </w:pBdr>
              <w:ind w:left="113" w:right="-57" w:hanging="113"/>
              <w:rPr>
                <w:b/>
                <w:i/>
                <w:color w:val="000000"/>
              </w:rPr>
            </w:pPr>
            <w:r>
              <w:rPr>
                <w:color w:val="000000"/>
              </w:rPr>
              <w:t>Settlements</w:t>
            </w:r>
          </w:p>
        </w:tc>
        <w:tc>
          <w:tcPr>
            <w:tcW w:w="1010" w:type="dxa"/>
            <w:vAlign w:val="bottom"/>
          </w:tcPr>
          <w:p w14:paraId="4F43C16B"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7560003B"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EF5D9E1"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8B49615"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02EE7B86"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120579A2" w14:textId="77777777" w:rsidR="008E5DE4" w:rsidRDefault="008E5DE4">
            <w:pPr>
              <w:widowControl w:val="0"/>
              <w:pBdr>
                <w:top w:val="nil"/>
                <w:left w:val="nil"/>
                <w:bottom w:val="nil"/>
                <w:right w:val="nil"/>
                <w:between w:val="nil"/>
              </w:pBdr>
              <w:jc w:val="right"/>
              <w:rPr>
                <w:color w:val="000000"/>
              </w:rPr>
            </w:pPr>
          </w:p>
        </w:tc>
      </w:tr>
      <w:tr w:rsidR="008E5DE4" w14:paraId="0B7ED8DF" w14:textId="77777777">
        <w:trPr>
          <w:cantSplit/>
        </w:trPr>
        <w:tc>
          <w:tcPr>
            <w:tcW w:w="3402" w:type="dxa"/>
            <w:vAlign w:val="bottom"/>
          </w:tcPr>
          <w:p w14:paraId="6B0360AC" w14:textId="77777777" w:rsidR="008E5DE4" w:rsidRDefault="00780368">
            <w:pPr>
              <w:widowControl w:val="0"/>
              <w:pBdr>
                <w:top w:val="nil"/>
                <w:left w:val="nil"/>
                <w:bottom w:val="nil"/>
                <w:right w:val="nil"/>
                <w:between w:val="nil"/>
              </w:pBdr>
              <w:ind w:left="113" w:right="-57" w:hanging="113"/>
              <w:rPr>
                <w:color w:val="000000"/>
              </w:rPr>
            </w:pPr>
            <w:r>
              <w:rPr>
                <w:color w:val="000000"/>
              </w:rPr>
              <w:t>Transfers out of level 3</w:t>
            </w:r>
          </w:p>
        </w:tc>
        <w:tc>
          <w:tcPr>
            <w:tcW w:w="1010" w:type="dxa"/>
            <w:vAlign w:val="bottom"/>
          </w:tcPr>
          <w:p w14:paraId="7BA09E71"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5BEB4DE9"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6D18BD08"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6918D07E"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780363E3"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51BEDCE" w14:textId="77777777" w:rsidR="008E5DE4" w:rsidRDefault="008E5DE4">
            <w:pPr>
              <w:widowControl w:val="0"/>
              <w:pBdr>
                <w:top w:val="nil"/>
                <w:left w:val="nil"/>
                <w:bottom w:val="nil"/>
                <w:right w:val="nil"/>
                <w:between w:val="nil"/>
              </w:pBdr>
              <w:jc w:val="right"/>
              <w:rPr>
                <w:color w:val="000000"/>
              </w:rPr>
            </w:pPr>
          </w:p>
        </w:tc>
      </w:tr>
      <w:tr w:rsidR="008E5DE4" w14:paraId="24B1C6D2" w14:textId="77777777">
        <w:trPr>
          <w:cantSplit/>
        </w:trPr>
        <w:tc>
          <w:tcPr>
            <w:tcW w:w="3402" w:type="dxa"/>
            <w:vAlign w:val="bottom"/>
          </w:tcPr>
          <w:p w14:paraId="1C529F1B" w14:textId="77777777" w:rsidR="008E5DE4" w:rsidRDefault="00780368">
            <w:pPr>
              <w:widowControl w:val="0"/>
              <w:pBdr>
                <w:top w:val="nil"/>
                <w:left w:val="nil"/>
                <w:bottom w:val="nil"/>
                <w:right w:val="nil"/>
                <w:between w:val="nil"/>
              </w:pBdr>
              <w:ind w:left="113" w:right="-57" w:hanging="113"/>
              <w:rPr>
                <w:color w:val="000000"/>
              </w:rPr>
            </w:pPr>
            <w:r>
              <w:rPr>
                <w:color w:val="000000"/>
              </w:rPr>
              <w:t>Transfers into level 3</w:t>
            </w:r>
          </w:p>
        </w:tc>
        <w:tc>
          <w:tcPr>
            <w:tcW w:w="1010" w:type="dxa"/>
            <w:vAlign w:val="bottom"/>
          </w:tcPr>
          <w:p w14:paraId="28AE9C36" w14:textId="77777777" w:rsidR="008E5DE4" w:rsidRDefault="008E5DE4">
            <w:pPr>
              <w:widowControl w:val="0"/>
              <w:pBdr>
                <w:top w:val="nil"/>
                <w:left w:val="nil"/>
                <w:bottom w:val="nil"/>
                <w:right w:val="nil"/>
                <w:between w:val="nil"/>
              </w:pBdr>
              <w:jc w:val="right"/>
              <w:rPr>
                <w:color w:val="000000"/>
              </w:rPr>
            </w:pPr>
          </w:p>
        </w:tc>
        <w:tc>
          <w:tcPr>
            <w:tcW w:w="1010" w:type="dxa"/>
            <w:vAlign w:val="bottom"/>
          </w:tcPr>
          <w:p w14:paraId="4DAB8F72"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9AADB5C"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3AAE352F"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483B20F8" w14:textId="77777777" w:rsidR="008E5DE4" w:rsidRDefault="008E5DE4">
            <w:pPr>
              <w:widowControl w:val="0"/>
              <w:pBdr>
                <w:top w:val="nil"/>
                <w:left w:val="nil"/>
                <w:bottom w:val="nil"/>
                <w:right w:val="nil"/>
                <w:between w:val="nil"/>
              </w:pBdr>
              <w:jc w:val="right"/>
              <w:rPr>
                <w:color w:val="000000"/>
              </w:rPr>
            </w:pPr>
          </w:p>
        </w:tc>
        <w:tc>
          <w:tcPr>
            <w:tcW w:w="1009" w:type="dxa"/>
            <w:vAlign w:val="bottom"/>
          </w:tcPr>
          <w:p w14:paraId="1F6C9C38" w14:textId="77777777" w:rsidR="008E5DE4" w:rsidRDefault="008E5DE4">
            <w:pPr>
              <w:widowControl w:val="0"/>
              <w:pBdr>
                <w:top w:val="nil"/>
                <w:left w:val="nil"/>
                <w:bottom w:val="nil"/>
                <w:right w:val="nil"/>
                <w:between w:val="nil"/>
              </w:pBdr>
              <w:jc w:val="right"/>
              <w:rPr>
                <w:color w:val="000000"/>
              </w:rPr>
            </w:pPr>
          </w:p>
        </w:tc>
      </w:tr>
      <w:tr w:rsidR="008E5DE4" w14:paraId="4F960368" w14:textId="77777777">
        <w:trPr>
          <w:cantSplit/>
        </w:trPr>
        <w:tc>
          <w:tcPr>
            <w:tcW w:w="3402" w:type="dxa"/>
            <w:tcBorders>
              <w:bottom w:val="single" w:sz="4" w:space="0" w:color="000000"/>
            </w:tcBorders>
            <w:vAlign w:val="bottom"/>
          </w:tcPr>
          <w:p w14:paraId="53251BC9"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010" w:type="dxa"/>
            <w:tcBorders>
              <w:bottom w:val="single" w:sz="4" w:space="0" w:color="000000"/>
            </w:tcBorders>
            <w:vAlign w:val="bottom"/>
          </w:tcPr>
          <w:p w14:paraId="51A7E262" w14:textId="77777777" w:rsidR="008E5DE4" w:rsidRDefault="008E5DE4">
            <w:pPr>
              <w:widowControl w:val="0"/>
              <w:pBdr>
                <w:top w:val="nil"/>
                <w:left w:val="nil"/>
                <w:bottom w:val="nil"/>
                <w:right w:val="nil"/>
                <w:between w:val="nil"/>
              </w:pBdr>
              <w:jc w:val="right"/>
              <w:rPr>
                <w:color w:val="000000"/>
              </w:rPr>
            </w:pPr>
          </w:p>
        </w:tc>
        <w:tc>
          <w:tcPr>
            <w:tcW w:w="1010" w:type="dxa"/>
            <w:tcBorders>
              <w:bottom w:val="single" w:sz="4" w:space="0" w:color="000000"/>
            </w:tcBorders>
            <w:vAlign w:val="bottom"/>
          </w:tcPr>
          <w:p w14:paraId="30A4A6D0" w14:textId="77777777" w:rsidR="008E5DE4" w:rsidRDefault="008E5DE4">
            <w:pPr>
              <w:widowControl w:val="0"/>
              <w:pBdr>
                <w:top w:val="nil"/>
                <w:left w:val="nil"/>
                <w:bottom w:val="nil"/>
                <w:right w:val="nil"/>
                <w:between w:val="nil"/>
              </w:pBdr>
              <w:jc w:val="right"/>
              <w:rPr>
                <w:color w:val="000000"/>
              </w:rPr>
            </w:pPr>
          </w:p>
        </w:tc>
        <w:tc>
          <w:tcPr>
            <w:tcW w:w="1009" w:type="dxa"/>
            <w:tcBorders>
              <w:bottom w:val="single" w:sz="4" w:space="0" w:color="000000"/>
            </w:tcBorders>
            <w:vAlign w:val="bottom"/>
          </w:tcPr>
          <w:p w14:paraId="37A051E7" w14:textId="77777777" w:rsidR="008E5DE4" w:rsidRDefault="008E5DE4">
            <w:pPr>
              <w:widowControl w:val="0"/>
              <w:pBdr>
                <w:top w:val="nil"/>
                <w:left w:val="nil"/>
                <w:bottom w:val="nil"/>
                <w:right w:val="nil"/>
                <w:between w:val="nil"/>
              </w:pBdr>
              <w:jc w:val="right"/>
              <w:rPr>
                <w:color w:val="000000"/>
              </w:rPr>
            </w:pPr>
          </w:p>
        </w:tc>
        <w:tc>
          <w:tcPr>
            <w:tcW w:w="1009" w:type="dxa"/>
            <w:tcBorders>
              <w:bottom w:val="single" w:sz="4" w:space="0" w:color="000000"/>
            </w:tcBorders>
            <w:vAlign w:val="bottom"/>
          </w:tcPr>
          <w:p w14:paraId="1C72EAAE" w14:textId="77777777" w:rsidR="008E5DE4" w:rsidRDefault="008E5DE4">
            <w:pPr>
              <w:widowControl w:val="0"/>
              <w:pBdr>
                <w:top w:val="nil"/>
                <w:left w:val="nil"/>
                <w:bottom w:val="nil"/>
                <w:right w:val="nil"/>
                <w:between w:val="nil"/>
              </w:pBdr>
              <w:jc w:val="right"/>
              <w:rPr>
                <w:color w:val="000000"/>
              </w:rPr>
            </w:pPr>
          </w:p>
        </w:tc>
        <w:tc>
          <w:tcPr>
            <w:tcW w:w="1009" w:type="dxa"/>
            <w:tcBorders>
              <w:bottom w:val="single" w:sz="4" w:space="0" w:color="000000"/>
            </w:tcBorders>
            <w:vAlign w:val="bottom"/>
          </w:tcPr>
          <w:p w14:paraId="7FA1CDEE" w14:textId="77777777" w:rsidR="008E5DE4" w:rsidRDefault="008E5DE4">
            <w:pPr>
              <w:widowControl w:val="0"/>
              <w:pBdr>
                <w:top w:val="nil"/>
                <w:left w:val="nil"/>
                <w:bottom w:val="nil"/>
                <w:right w:val="nil"/>
                <w:between w:val="nil"/>
              </w:pBdr>
              <w:jc w:val="right"/>
              <w:rPr>
                <w:color w:val="000000"/>
              </w:rPr>
            </w:pPr>
          </w:p>
        </w:tc>
        <w:tc>
          <w:tcPr>
            <w:tcW w:w="1009" w:type="dxa"/>
            <w:tcBorders>
              <w:bottom w:val="single" w:sz="4" w:space="0" w:color="000000"/>
            </w:tcBorders>
            <w:vAlign w:val="bottom"/>
          </w:tcPr>
          <w:p w14:paraId="7D66108E" w14:textId="77777777" w:rsidR="008E5DE4" w:rsidRDefault="008E5DE4">
            <w:pPr>
              <w:widowControl w:val="0"/>
              <w:pBdr>
                <w:top w:val="nil"/>
                <w:left w:val="nil"/>
                <w:bottom w:val="nil"/>
                <w:right w:val="nil"/>
                <w:between w:val="nil"/>
              </w:pBdr>
              <w:jc w:val="right"/>
              <w:rPr>
                <w:color w:val="000000"/>
              </w:rPr>
            </w:pPr>
          </w:p>
        </w:tc>
      </w:tr>
      <w:tr w:rsidR="008E5DE4" w14:paraId="4317AE61" w14:textId="77777777">
        <w:trPr>
          <w:cantSplit/>
        </w:trPr>
        <w:tc>
          <w:tcPr>
            <w:tcW w:w="3402" w:type="dxa"/>
            <w:vAlign w:val="bottom"/>
          </w:tcPr>
          <w:p w14:paraId="490D954E"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010" w:type="dxa"/>
            <w:vAlign w:val="bottom"/>
          </w:tcPr>
          <w:p w14:paraId="2925BA16" w14:textId="77777777" w:rsidR="008E5DE4" w:rsidRDefault="008E5DE4">
            <w:pPr>
              <w:widowControl w:val="0"/>
              <w:pBdr>
                <w:top w:val="nil"/>
                <w:left w:val="nil"/>
                <w:bottom w:val="nil"/>
                <w:right w:val="nil"/>
                <w:between w:val="nil"/>
              </w:pBdr>
              <w:jc w:val="right"/>
              <w:rPr>
                <w:b/>
                <w:color w:val="000000"/>
              </w:rPr>
            </w:pPr>
          </w:p>
        </w:tc>
        <w:tc>
          <w:tcPr>
            <w:tcW w:w="1010" w:type="dxa"/>
            <w:vAlign w:val="bottom"/>
          </w:tcPr>
          <w:p w14:paraId="2760B549" w14:textId="77777777" w:rsidR="008E5DE4" w:rsidRDefault="008E5DE4">
            <w:pPr>
              <w:widowControl w:val="0"/>
              <w:pBdr>
                <w:top w:val="nil"/>
                <w:left w:val="nil"/>
                <w:bottom w:val="nil"/>
                <w:right w:val="nil"/>
                <w:between w:val="nil"/>
              </w:pBdr>
              <w:jc w:val="right"/>
              <w:rPr>
                <w:b/>
                <w:color w:val="000000"/>
              </w:rPr>
            </w:pPr>
          </w:p>
        </w:tc>
        <w:tc>
          <w:tcPr>
            <w:tcW w:w="1009" w:type="dxa"/>
            <w:tcBorders>
              <w:top w:val="single" w:sz="4" w:space="0" w:color="000000"/>
            </w:tcBorders>
            <w:vAlign w:val="bottom"/>
          </w:tcPr>
          <w:p w14:paraId="44177C73" w14:textId="77777777" w:rsidR="008E5DE4" w:rsidRDefault="008E5DE4">
            <w:pPr>
              <w:widowControl w:val="0"/>
              <w:pBdr>
                <w:top w:val="nil"/>
                <w:left w:val="nil"/>
                <w:bottom w:val="nil"/>
                <w:right w:val="nil"/>
                <w:between w:val="nil"/>
              </w:pBdr>
              <w:jc w:val="right"/>
              <w:rPr>
                <w:b/>
                <w:color w:val="000000"/>
              </w:rPr>
            </w:pPr>
          </w:p>
        </w:tc>
        <w:tc>
          <w:tcPr>
            <w:tcW w:w="1009" w:type="dxa"/>
            <w:tcBorders>
              <w:top w:val="single" w:sz="4" w:space="0" w:color="000000"/>
            </w:tcBorders>
            <w:vAlign w:val="bottom"/>
          </w:tcPr>
          <w:p w14:paraId="540E13D4" w14:textId="77777777" w:rsidR="008E5DE4" w:rsidRDefault="008E5DE4">
            <w:pPr>
              <w:widowControl w:val="0"/>
              <w:pBdr>
                <w:top w:val="nil"/>
                <w:left w:val="nil"/>
                <w:bottom w:val="nil"/>
                <w:right w:val="nil"/>
                <w:between w:val="nil"/>
              </w:pBdr>
              <w:jc w:val="right"/>
              <w:rPr>
                <w:b/>
                <w:color w:val="000000"/>
              </w:rPr>
            </w:pPr>
          </w:p>
        </w:tc>
        <w:tc>
          <w:tcPr>
            <w:tcW w:w="1009" w:type="dxa"/>
            <w:tcBorders>
              <w:top w:val="single" w:sz="4" w:space="0" w:color="000000"/>
            </w:tcBorders>
            <w:vAlign w:val="bottom"/>
          </w:tcPr>
          <w:p w14:paraId="3B1B93DE" w14:textId="77777777" w:rsidR="008E5DE4" w:rsidRDefault="008E5DE4">
            <w:pPr>
              <w:widowControl w:val="0"/>
              <w:pBdr>
                <w:top w:val="nil"/>
                <w:left w:val="nil"/>
                <w:bottom w:val="nil"/>
                <w:right w:val="nil"/>
                <w:between w:val="nil"/>
              </w:pBdr>
              <w:jc w:val="right"/>
              <w:rPr>
                <w:b/>
                <w:color w:val="000000"/>
              </w:rPr>
            </w:pPr>
          </w:p>
        </w:tc>
        <w:tc>
          <w:tcPr>
            <w:tcW w:w="1009" w:type="dxa"/>
            <w:tcBorders>
              <w:top w:val="single" w:sz="4" w:space="0" w:color="000000"/>
            </w:tcBorders>
            <w:vAlign w:val="bottom"/>
          </w:tcPr>
          <w:p w14:paraId="2C047C0C" w14:textId="77777777" w:rsidR="008E5DE4" w:rsidRDefault="008E5DE4">
            <w:pPr>
              <w:widowControl w:val="0"/>
              <w:pBdr>
                <w:top w:val="nil"/>
                <w:left w:val="nil"/>
                <w:bottom w:val="nil"/>
                <w:right w:val="nil"/>
                <w:between w:val="nil"/>
              </w:pBdr>
              <w:jc w:val="right"/>
              <w:rPr>
                <w:b/>
                <w:color w:val="000000"/>
              </w:rPr>
            </w:pPr>
          </w:p>
        </w:tc>
      </w:tr>
      <w:tr w:rsidR="008E5DE4" w14:paraId="7BF373FD" w14:textId="77777777">
        <w:trPr>
          <w:cantSplit/>
        </w:trPr>
        <w:tc>
          <w:tcPr>
            <w:tcW w:w="3402" w:type="dxa"/>
            <w:vAlign w:val="bottom"/>
          </w:tcPr>
          <w:p w14:paraId="7E8986CB" w14:textId="1A9199A1" w:rsidR="008E5DE4" w:rsidRDefault="00780368">
            <w:pPr>
              <w:widowControl w:val="0"/>
              <w:pBdr>
                <w:top w:val="nil"/>
                <w:left w:val="nil"/>
                <w:bottom w:val="nil"/>
                <w:right w:val="nil"/>
                <w:between w:val="nil"/>
              </w:pBdr>
              <w:ind w:left="113" w:right="-57" w:hanging="113"/>
              <w:rPr>
                <w:b/>
                <w:smallCaps/>
                <w:color w:val="000000"/>
              </w:rPr>
            </w:pPr>
            <w:r>
              <w:rPr>
                <w:b/>
                <w:color w:val="000000"/>
              </w:rPr>
              <w:t xml:space="preserve">Fair value </w:t>
            </w:r>
            <w:proofErr w:type="gramStart"/>
            <w:r>
              <w:rPr>
                <w:b/>
                <w:color w:val="000000"/>
              </w:rPr>
              <w:t>at</w:t>
            </w:r>
            <w:proofErr w:type="gramEnd"/>
            <w:r>
              <w:rPr>
                <w:b/>
                <w:color w:val="000000"/>
              </w:rPr>
              <w:t xml:space="preserve"> 31 December </w:t>
            </w:r>
            <w:r w:rsidR="00A46633">
              <w:rPr>
                <w:b/>
                <w:color w:val="000000"/>
              </w:rPr>
              <w:t>2024</w:t>
            </w:r>
          </w:p>
        </w:tc>
        <w:tc>
          <w:tcPr>
            <w:tcW w:w="1010" w:type="dxa"/>
            <w:vAlign w:val="bottom"/>
          </w:tcPr>
          <w:p w14:paraId="7D05057D" w14:textId="77777777" w:rsidR="008E5DE4" w:rsidRDefault="008E5DE4">
            <w:pPr>
              <w:widowControl w:val="0"/>
              <w:pBdr>
                <w:top w:val="nil"/>
                <w:left w:val="nil"/>
                <w:bottom w:val="nil"/>
                <w:right w:val="nil"/>
                <w:between w:val="nil"/>
              </w:pBdr>
              <w:jc w:val="right"/>
              <w:rPr>
                <w:b/>
                <w:smallCaps/>
                <w:color w:val="000000"/>
              </w:rPr>
            </w:pPr>
          </w:p>
        </w:tc>
        <w:tc>
          <w:tcPr>
            <w:tcW w:w="1010" w:type="dxa"/>
            <w:vAlign w:val="bottom"/>
          </w:tcPr>
          <w:p w14:paraId="44B09468"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453A2755"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6303C1A4"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2228A1A6" w14:textId="77777777" w:rsidR="008E5DE4" w:rsidRDefault="008E5DE4">
            <w:pPr>
              <w:widowControl w:val="0"/>
              <w:pBdr>
                <w:top w:val="nil"/>
                <w:left w:val="nil"/>
                <w:bottom w:val="nil"/>
                <w:right w:val="nil"/>
                <w:between w:val="nil"/>
              </w:pBdr>
              <w:jc w:val="right"/>
              <w:rPr>
                <w:b/>
                <w:smallCaps/>
                <w:color w:val="000000"/>
              </w:rPr>
            </w:pPr>
          </w:p>
        </w:tc>
        <w:tc>
          <w:tcPr>
            <w:tcW w:w="1009" w:type="dxa"/>
            <w:vAlign w:val="bottom"/>
          </w:tcPr>
          <w:p w14:paraId="0BCE1475" w14:textId="77777777" w:rsidR="008E5DE4" w:rsidRDefault="008E5DE4">
            <w:pPr>
              <w:widowControl w:val="0"/>
              <w:pBdr>
                <w:top w:val="nil"/>
                <w:left w:val="nil"/>
                <w:bottom w:val="nil"/>
                <w:right w:val="nil"/>
                <w:between w:val="nil"/>
              </w:pBdr>
              <w:jc w:val="right"/>
              <w:rPr>
                <w:b/>
                <w:smallCaps/>
                <w:color w:val="000000"/>
              </w:rPr>
            </w:pPr>
          </w:p>
        </w:tc>
      </w:tr>
      <w:tr w:rsidR="008E5DE4" w14:paraId="7589C9CE" w14:textId="77777777">
        <w:trPr>
          <w:cantSplit/>
        </w:trPr>
        <w:tc>
          <w:tcPr>
            <w:tcW w:w="3402" w:type="dxa"/>
            <w:tcBorders>
              <w:bottom w:val="single" w:sz="12" w:space="0" w:color="000000"/>
            </w:tcBorders>
            <w:vAlign w:val="bottom"/>
          </w:tcPr>
          <w:p w14:paraId="45B5A68C" w14:textId="77777777" w:rsidR="008E5DE4" w:rsidRDefault="00780368">
            <w:pPr>
              <w:widowControl w:val="0"/>
              <w:ind w:left="113" w:right="-57" w:hanging="113"/>
            </w:pPr>
            <w:r>
              <w:rPr>
                <w:color w:val="0000FF"/>
              </w:rPr>
              <w:t> </w:t>
            </w:r>
          </w:p>
        </w:tc>
        <w:tc>
          <w:tcPr>
            <w:tcW w:w="1010" w:type="dxa"/>
            <w:tcBorders>
              <w:bottom w:val="single" w:sz="12" w:space="0" w:color="000000"/>
            </w:tcBorders>
            <w:vAlign w:val="bottom"/>
          </w:tcPr>
          <w:p w14:paraId="64C32997" w14:textId="77777777" w:rsidR="008E5DE4" w:rsidRDefault="008E5DE4">
            <w:pPr>
              <w:widowControl w:val="0"/>
              <w:pBdr>
                <w:top w:val="nil"/>
                <w:left w:val="nil"/>
                <w:bottom w:val="nil"/>
                <w:right w:val="nil"/>
                <w:between w:val="nil"/>
              </w:pBdr>
              <w:jc w:val="right"/>
              <w:rPr>
                <w:b/>
                <w:color w:val="000000"/>
              </w:rPr>
            </w:pPr>
          </w:p>
        </w:tc>
        <w:tc>
          <w:tcPr>
            <w:tcW w:w="1010" w:type="dxa"/>
            <w:tcBorders>
              <w:bottom w:val="single" w:sz="12" w:space="0" w:color="000000"/>
            </w:tcBorders>
            <w:vAlign w:val="bottom"/>
          </w:tcPr>
          <w:p w14:paraId="2E1F72CD"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0784005D"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6E0E93C0"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40470DC8"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00E89431" w14:textId="77777777" w:rsidR="008E5DE4" w:rsidRDefault="008E5DE4">
            <w:pPr>
              <w:widowControl w:val="0"/>
              <w:pBdr>
                <w:top w:val="nil"/>
                <w:left w:val="nil"/>
                <w:bottom w:val="nil"/>
                <w:right w:val="nil"/>
                <w:between w:val="nil"/>
              </w:pBdr>
              <w:jc w:val="right"/>
              <w:rPr>
                <w:b/>
                <w:color w:val="000000"/>
              </w:rPr>
            </w:pPr>
          </w:p>
        </w:tc>
      </w:tr>
      <w:tr w:rsidR="008E5DE4" w14:paraId="699D8783" w14:textId="77777777">
        <w:trPr>
          <w:cantSplit/>
        </w:trPr>
        <w:tc>
          <w:tcPr>
            <w:tcW w:w="3402" w:type="dxa"/>
            <w:vAlign w:val="bottom"/>
          </w:tcPr>
          <w:p w14:paraId="420FD1E8" w14:textId="77777777" w:rsidR="008E5DE4" w:rsidRDefault="00780368">
            <w:pPr>
              <w:widowControl w:val="0"/>
              <w:ind w:left="113" w:right="-57" w:hanging="113"/>
            </w:pPr>
            <w:r>
              <w:rPr>
                <w:color w:val="0000FF"/>
              </w:rPr>
              <w:t> </w:t>
            </w:r>
          </w:p>
        </w:tc>
        <w:tc>
          <w:tcPr>
            <w:tcW w:w="1010" w:type="dxa"/>
            <w:vAlign w:val="bottom"/>
          </w:tcPr>
          <w:p w14:paraId="73F49036" w14:textId="77777777" w:rsidR="008E5DE4" w:rsidRDefault="008E5DE4">
            <w:pPr>
              <w:widowControl w:val="0"/>
              <w:pBdr>
                <w:top w:val="nil"/>
                <w:left w:val="nil"/>
                <w:bottom w:val="nil"/>
                <w:right w:val="nil"/>
                <w:between w:val="nil"/>
              </w:pBdr>
              <w:jc w:val="right"/>
              <w:rPr>
                <w:b/>
                <w:color w:val="000000"/>
              </w:rPr>
            </w:pPr>
          </w:p>
        </w:tc>
        <w:tc>
          <w:tcPr>
            <w:tcW w:w="1010" w:type="dxa"/>
            <w:vAlign w:val="bottom"/>
          </w:tcPr>
          <w:p w14:paraId="084D6D25"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1D60CBEE"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257C38BD"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299964E2"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7CBFEABE" w14:textId="77777777" w:rsidR="008E5DE4" w:rsidRDefault="008E5DE4">
            <w:pPr>
              <w:widowControl w:val="0"/>
              <w:pBdr>
                <w:top w:val="nil"/>
                <w:left w:val="nil"/>
                <w:bottom w:val="nil"/>
                <w:right w:val="nil"/>
                <w:between w:val="nil"/>
              </w:pBdr>
              <w:jc w:val="right"/>
              <w:rPr>
                <w:b/>
                <w:color w:val="000000"/>
              </w:rPr>
            </w:pPr>
          </w:p>
        </w:tc>
      </w:tr>
      <w:tr w:rsidR="008E5DE4" w14:paraId="6C11818E" w14:textId="77777777">
        <w:trPr>
          <w:cantSplit/>
        </w:trPr>
        <w:tc>
          <w:tcPr>
            <w:tcW w:w="3402" w:type="dxa"/>
            <w:vAlign w:val="bottom"/>
          </w:tcPr>
          <w:p w14:paraId="5B649C9B" w14:textId="717DCE24" w:rsidR="008E5DE4" w:rsidRDefault="00780368">
            <w:pPr>
              <w:widowControl w:val="0"/>
              <w:ind w:left="113" w:right="-57" w:hanging="113"/>
            </w:pPr>
            <w:r>
              <w:rPr>
                <w:b/>
              </w:rPr>
              <w:t xml:space="preserve">Unrealised revaluation gains less losses recognised in profit or loss for the year for assets held </w:t>
            </w:r>
            <w:proofErr w:type="gramStart"/>
            <w:r>
              <w:rPr>
                <w:b/>
              </w:rPr>
              <w:t>at</w:t>
            </w:r>
            <w:proofErr w:type="gramEnd"/>
            <w:r>
              <w:rPr>
                <w:b/>
              </w:rPr>
              <w:t xml:space="preserve"> 31 December </w:t>
            </w:r>
            <w:r w:rsidR="00A46633">
              <w:rPr>
                <w:b/>
              </w:rPr>
              <w:t>2024</w:t>
            </w:r>
          </w:p>
        </w:tc>
        <w:tc>
          <w:tcPr>
            <w:tcW w:w="1010" w:type="dxa"/>
            <w:vAlign w:val="bottom"/>
          </w:tcPr>
          <w:p w14:paraId="3DD8D55A" w14:textId="77777777" w:rsidR="008E5DE4" w:rsidRDefault="008E5DE4">
            <w:pPr>
              <w:widowControl w:val="0"/>
              <w:pBdr>
                <w:top w:val="nil"/>
                <w:left w:val="nil"/>
                <w:bottom w:val="nil"/>
                <w:right w:val="nil"/>
                <w:between w:val="nil"/>
              </w:pBdr>
              <w:jc w:val="right"/>
              <w:rPr>
                <w:b/>
                <w:color w:val="000000"/>
              </w:rPr>
            </w:pPr>
          </w:p>
        </w:tc>
        <w:tc>
          <w:tcPr>
            <w:tcW w:w="1010" w:type="dxa"/>
            <w:vAlign w:val="bottom"/>
          </w:tcPr>
          <w:p w14:paraId="427DBEE1"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6D1087C4"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2E3555BA"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4F268D39" w14:textId="77777777" w:rsidR="008E5DE4" w:rsidRDefault="008E5DE4">
            <w:pPr>
              <w:widowControl w:val="0"/>
              <w:pBdr>
                <w:top w:val="nil"/>
                <w:left w:val="nil"/>
                <w:bottom w:val="nil"/>
                <w:right w:val="nil"/>
                <w:between w:val="nil"/>
              </w:pBdr>
              <w:jc w:val="right"/>
              <w:rPr>
                <w:b/>
                <w:color w:val="000000"/>
              </w:rPr>
            </w:pPr>
          </w:p>
        </w:tc>
        <w:tc>
          <w:tcPr>
            <w:tcW w:w="1009" w:type="dxa"/>
            <w:vAlign w:val="bottom"/>
          </w:tcPr>
          <w:p w14:paraId="15049695" w14:textId="77777777" w:rsidR="008E5DE4" w:rsidRDefault="008E5DE4">
            <w:pPr>
              <w:widowControl w:val="0"/>
              <w:pBdr>
                <w:top w:val="nil"/>
                <w:left w:val="nil"/>
                <w:bottom w:val="nil"/>
                <w:right w:val="nil"/>
                <w:between w:val="nil"/>
              </w:pBdr>
              <w:jc w:val="right"/>
              <w:rPr>
                <w:b/>
                <w:color w:val="000000"/>
              </w:rPr>
            </w:pPr>
          </w:p>
        </w:tc>
      </w:tr>
      <w:tr w:rsidR="008E5DE4" w14:paraId="0A7B5CCF" w14:textId="77777777">
        <w:trPr>
          <w:cantSplit/>
        </w:trPr>
        <w:tc>
          <w:tcPr>
            <w:tcW w:w="3402" w:type="dxa"/>
            <w:tcBorders>
              <w:bottom w:val="single" w:sz="12" w:space="0" w:color="000000"/>
            </w:tcBorders>
            <w:vAlign w:val="bottom"/>
          </w:tcPr>
          <w:p w14:paraId="76A423F6" w14:textId="77777777" w:rsidR="008E5DE4" w:rsidRDefault="00780368">
            <w:pPr>
              <w:widowControl w:val="0"/>
              <w:ind w:left="113" w:right="-57" w:hanging="113"/>
            </w:pPr>
            <w:r>
              <w:rPr>
                <w:color w:val="0000FF"/>
              </w:rPr>
              <w:t> </w:t>
            </w:r>
          </w:p>
        </w:tc>
        <w:tc>
          <w:tcPr>
            <w:tcW w:w="1010" w:type="dxa"/>
            <w:tcBorders>
              <w:bottom w:val="single" w:sz="12" w:space="0" w:color="000000"/>
            </w:tcBorders>
            <w:vAlign w:val="bottom"/>
          </w:tcPr>
          <w:p w14:paraId="12048C7B" w14:textId="77777777" w:rsidR="008E5DE4" w:rsidRDefault="008E5DE4">
            <w:pPr>
              <w:widowControl w:val="0"/>
              <w:pBdr>
                <w:top w:val="nil"/>
                <w:left w:val="nil"/>
                <w:bottom w:val="nil"/>
                <w:right w:val="nil"/>
                <w:between w:val="nil"/>
              </w:pBdr>
              <w:jc w:val="right"/>
              <w:rPr>
                <w:b/>
                <w:color w:val="000000"/>
              </w:rPr>
            </w:pPr>
          </w:p>
        </w:tc>
        <w:tc>
          <w:tcPr>
            <w:tcW w:w="1010" w:type="dxa"/>
            <w:tcBorders>
              <w:bottom w:val="single" w:sz="12" w:space="0" w:color="000000"/>
            </w:tcBorders>
            <w:vAlign w:val="bottom"/>
          </w:tcPr>
          <w:p w14:paraId="538E04C1"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0A593130"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1AC0C672"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7089CC3E" w14:textId="77777777" w:rsidR="008E5DE4" w:rsidRDefault="008E5DE4">
            <w:pPr>
              <w:widowControl w:val="0"/>
              <w:pBdr>
                <w:top w:val="nil"/>
                <w:left w:val="nil"/>
                <w:bottom w:val="nil"/>
                <w:right w:val="nil"/>
                <w:between w:val="nil"/>
              </w:pBdr>
              <w:jc w:val="right"/>
              <w:rPr>
                <w:b/>
                <w:color w:val="000000"/>
              </w:rPr>
            </w:pPr>
          </w:p>
        </w:tc>
        <w:tc>
          <w:tcPr>
            <w:tcW w:w="1009" w:type="dxa"/>
            <w:tcBorders>
              <w:bottom w:val="single" w:sz="12" w:space="0" w:color="000000"/>
            </w:tcBorders>
            <w:vAlign w:val="bottom"/>
          </w:tcPr>
          <w:p w14:paraId="716D55A4" w14:textId="77777777" w:rsidR="008E5DE4" w:rsidRDefault="008E5DE4">
            <w:pPr>
              <w:widowControl w:val="0"/>
              <w:pBdr>
                <w:top w:val="nil"/>
                <w:left w:val="nil"/>
                <w:bottom w:val="nil"/>
                <w:right w:val="nil"/>
                <w:between w:val="nil"/>
              </w:pBdr>
              <w:jc w:val="right"/>
              <w:rPr>
                <w:b/>
                <w:color w:val="000000"/>
              </w:rPr>
            </w:pPr>
          </w:p>
        </w:tc>
      </w:tr>
    </w:tbl>
    <w:p w14:paraId="39A417CA" w14:textId="4215DAA0"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Certain derivatives and promissory notes were reclassified from level 3 to level 2 instruments due to the increased activity in financial markets in </w:t>
      </w:r>
      <w:r w:rsidR="00A46633">
        <w:rPr>
          <w:color w:val="000000"/>
          <w:sz w:val="20"/>
          <w:szCs w:val="20"/>
        </w:rPr>
        <w:t>2024</w:t>
      </w:r>
      <w:r>
        <w:rPr>
          <w:color w:val="000000"/>
          <w:sz w:val="20"/>
          <w:szCs w:val="20"/>
        </w:rPr>
        <w:t xml:space="preserve">. </w:t>
      </w:r>
    </w:p>
    <w:p w14:paraId="673168C3"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(b) </w:t>
      </w:r>
      <w:r>
        <w:rPr>
          <w:b/>
          <w:i/>
          <w:color w:val="000000"/>
          <w:sz w:val="20"/>
          <w:szCs w:val="20"/>
        </w:rPr>
        <w:tab/>
        <w:t>Non-recurring fair value measurements</w:t>
      </w:r>
    </w:p>
    <w:p w14:paraId="6D8CEC82" w14:textId="01F0DD88" w:rsidR="008E5DE4" w:rsidRDefault="00780368">
      <w:pPr>
        <w:widowControl w:val="0"/>
        <w:spacing w:before="200" w:after="200"/>
        <w:jc w:val="both"/>
        <w:rPr>
          <w:sz w:val="20"/>
          <w:szCs w:val="20"/>
        </w:rPr>
      </w:pPr>
      <w:r>
        <w:rPr>
          <w:sz w:val="20"/>
          <w:szCs w:val="20"/>
        </w:rPr>
        <w:t xml:space="preserve">The Group has written down its non-current assets held for sale to fair value less costs of disposal. The fair value belongs to level 3 measurements in the fair value hierarchy. The valuation technique and inputs used in the fair value measurement </w:t>
      </w:r>
      <w:proofErr w:type="gramStart"/>
      <w:r>
        <w:rPr>
          <w:sz w:val="20"/>
          <w:szCs w:val="20"/>
        </w:rPr>
        <w:t>at</w:t>
      </w:r>
      <w:proofErr w:type="gramEnd"/>
      <w:r>
        <w:rPr>
          <w:sz w:val="20"/>
          <w:szCs w:val="20"/>
        </w:rPr>
        <w:t xml:space="preserve"> 31 December </w:t>
      </w:r>
      <w:r w:rsidR="008614F8">
        <w:rPr>
          <w:sz w:val="20"/>
          <w:szCs w:val="20"/>
        </w:rPr>
        <w:t>2025</w:t>
      </w:r>
      <w:r>
        <w:rPr>
          <w:sz w:val="20"/>
          <w:szCs w:val="20"/>
        </w:rPr>
        <w:t xml:space="preserve"> were as follows:</w:t>
      </w:r>
    </w:p>
    <w:tbl>
      <w:tblPr>
        <w:tblStyle w:val="affffffffffffff1"/>
        <w:tblW w:w="9441" w:type="dxa"/>
        <w:tblLayout w:type="fixed"/>
        <w:tblLook w:val="0000" w:firstRow="0" w:lastRow="0" w:firstColumn="0" w:lastColumn="0" w:noHBand="0" w:noVBand="0"/>
      </w:tblPr>
      <w:tblGrid>
        <w:gridCol w:w="2948"/>
        <w:gridCol w:w="964"/>
        <w:gridCol w:w="1588"/>
        <w:gridCol w:w="1588"/>
        <w:gridCol w:w="1176"/>
        <w:gridCol w:w="1177"/>
      </w:tblGrid>
      <w:tr w:rsidR="008E5DE4" w14:paraId="01F547E0" w14:textId="77777777">
        <w:trPr>
          <w:cantSplit/>
        </w:trPr>
        <w:tc>
          <w:tcPr>
            <w:tcW w:w="2948" w:type="dxa"/>
            <w:vMerge w:val="restart"/>
            <w:vAlign w:val="bottom"/>
          </w:tcPr>
          <w:p w14:paraId="525A381A"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964" w:type="dxa"/>
            <w:vMerge w:val="restart"/>
          </w:tcPr>
          <w:p w14:paraId="6A272777" w14:textId="77777777" w:rsidR="008E5DE4" w:rsidRDefault="00780368">
            <w:pPr>
              <w:widowControl w:val="0"/>
              <w:ind w:left="-113"/>
              <w:jc w:val="right"/>
              <w:rPr>
                <w:b/>
              </w:rPr>
            </w:pPr>
            <w:r>
              <w:rPr>
                <w:b/>
              </w:rPr>
              <w:t>Fair value</w:t>
            </w:r>
          </w:p>
        </w:tc>
        <w:tc>
          <w:tcPr>
            <w:tcW w:w="1588" w:type="dxa"/>
            <w:vMerge w:val="restart"/>
          </w:tcPr>
          <w:p w14:paraId="7B220141" w14:textId="77777777" w:rsidR="008E5DE4" w:rsidRDefault="00780368">
            <w:pPr>
              <w:widowControl w:val="0"/>
              <w:pBdr>
                <w:top w:val="nil"/>
                <w:left w:val="nil"/>
                <w:bottom w:val="nil"/>
                <w:right w:val="nil"/>
                <w:between w:val="nil"/>
              </w:pBdr>
              <w:ind w:left="-113"/>
              <w:jc w:val="right"/>
              <w:rPr>
                <w:b/>
                <w:color w:val="000000"/>
              </w:rPr>
            </w:pPr>
            <w:r>
              <w:rPr>
                <w:b/>
                <w:color w:val="000000"/>
              </w:rPr>
              <w:t>Valuation technique</w:t>
            </w:r>
          </w:p>
        </w:tc>
        <w:tc>
          <w:tcPr>
            <w:tcW w:w="1588" w:type="dxa"/>
            <w:vMerge w:val="restart"/>
          </w:tcPr>
          <w:p w14:paraId="62971292" w14:textId="77777777" w:rsidR="008E5DE4" w:rsidRDefault="00780368">
            <w:pPr>
              <w:widowControl w:val="0"/>
              <w:pBdr>
                <w:top w:val="nil"/>
                <w:left w:val="nil"/>
                <w:bottom w:val="nil"/>
                <w:right w:val="nil"/>
                <w:between w:val="nil"/>
              </w:pBdr>
              <w:ind w:left="-113"/>
              <w:jc w:val="right"/>
              <w:rPr>
                <w:b/>
                <w:color w:val="000000"/>
              </w:rPr>
            </w:pPr>
            <w:r>
              <w:rPr>
                <w:b/>
                <w:color w:val="000000"/>
              </w:rPr>
              <w:t>Inputs used</w:t>
            </w:r>
          </w:p>
        </w:tc>
        <w:tc>
          <w:tcPr>
            <w:tcW w:w="2353" w:type="dxa"/>
            <w:gridSpan w:val="2"/>
            <w:tcBorders>
              <w:bottom w:val="single" w:sz="4" w:space="0" w:color="000000"/>
            </w:tcBorders>
          </w:tcPr>
          <w:p w14:paraId="58B063E6" w14:textId="77777777" w:rsidR="008E5DE4" w:rsidRDefault="00780368">
            <w:pPr>
              <w:widowControl w:val="0"/>
              <w:pBdr>
                <w:top w:val="nil"/>
                <w:left w:val="nil"/>
                <w:bottom w:val="nil"/>
                <w:right w:val="nil"/>
                <w:between w:val="nil"/>
              </w:pBdr>
              <w:ind w:left="-113"/>
              <w:jc w:val="right"/>
              <w:rPr>
                <w:b/>
                <w:color w:val="000000"/>
              </w:rPr>
            </w:pPr>
            <w:r>
              <w:rPr>
                <w:b/>
                <w:color w:val="000000"/>
              </w:rPr>
              <w:t>Range of inputs (weighted average)</w:t>
            </w:r>
          </w:p>
        </w:tc>
      </w:tr>
      <w:tr w:rsidR="008E5DE4" w14:paraId="79609453" w14:textId="77777777">
        <w:trPr>
          <w:cantSplit/>
        </w:trPr>
        <w:tc>
          <w:tcPr>
            <w:tcW w:w="2948" w:type="dxa"/>
            <w:vMerge/>
            <w:vAlign w:val="bottom"/>
          </w:tcPr>
          <w:p w14:paraId="39D2FD45" w14:textId="77777777" w:rsidR="008E5DE4" w:rsidRDefault="008E5DE4">
            <w:pPr>
              <w:widowControl w:val="0"/>
              <w:pBdr>
                <w:top w:val="nil"/>
                <w:left w:val="nil"/>
                <w:bottom w:val="nil"/>
                <w:right w:val="nil"/>
                <w:between w:val="nil"/>
              </w:pBdr>
              <w:spacing w:line="276" w:lineRule="auto"/>
              <w:rPr>
                <w:b/>
                <w:color w:val="000000"/>
              </w:rPr>
            </w:pPr>
          </w:p>
        </w:tc>
        <w:tc>
          <w:tcPr>
            <w:tcW w:w="964" w:type="dxa"/>
            <w:vMerge/>
          </w:tcPr>
          <w:p w14:paraId="6E4B0FF1" w14:textId="77777777" w:rsidR="008E5DE4" w:rsidRDefault="008E5DE4">
            <w:pPr>
              <w:widowControl w:val="0"/>
              <w:pBdr>
                <w:top w:val="nil"/>
                <w:left w:val="nil"/>
                <w:bottom w:val="nil"/>
                <w:right w:val="nil"/>
                <w:between w:val="nil"/>
              </w:pBdr>
              <w:spacing w:line="276" w:lineRule="auto"/>
              <w:rPr>
                <w:b/>
                <w:color w:val="000000"/>
              </w:rPr>
            </w:pPr>
          </w:p>
        </w:tc>
        <w:tc>
          <w:tcPr>
            <w:tcW w:w="1588" w:type="dxa"/>
            <w:vMerge/>
          </w:tcPr>
          <w:p w14:paraId="50AF7328" w14:textId="77777777" w:rsidR="008E5DE4" w:rsidRDefault="008E5DE4">
            <w:pPr>
              <w:widowControl w:val="0"/>
              <w:pBdr>
                <w:top w:val="nil"/>
                <w:left w:val="nil"/>
                <w:bottom w:val="nil"/>
                <w:right w:val="nil"/>
                <w:between w:val="nil"/>
              </w:pBdr>
              <w:spacing w:line="276" w:lineRule="auto"/>
              <w:rPr>
                <w:b/>
                <w:color w:val="000000"/>
              </w:rPr>
            </w:pPr>
          </w:p>
        </w:tc>
        <w:tc>
          <w:tcPr>
            <w:tcW w:w="1588" w:type="dxa"/>
            <w:vMerge/>
          </w:tcPr>
          <w:p w14:paraId="75E1A0DE" w14:textId="77777777" w:rsidR="008E5DE4" w:rsidRDefault="008E5DE4">
            <w:pPr>
              <w:widowControl w:val="0"/>
              <w:pBdr>
                <w:top w:val="nil"/>
                <w:left w:val="nil"/>
                <w:bottom w:val="nil"/>
                <w:right w:val="nil"/>
                <w:between w:val="nil"/>
              </w:pBdr>
              <w:spacing w:line="276" w:lineRule="auto"/>
              <w:rPr>
                <w:b/>
                <w:color w:val="000000"/>
              </w:rPr>
            </w:pPr>
          </w:p>
        </w:tc>
        <w:tc>
          <w:tcPr>
            <w:tcW w:w="1176" w:type="dxa"/>
            <w:tcBorders>
              <w:top w:val="single" w:sz="4" w:space="0" w:color="000000"/>
              <w:bottom w:val="single" w:sz="4" w:space="0" w:color="000000"/>
            </w:tcBorders>
          </w:tcPr>
          <w:p w14:paraId="6BE54E98" w14:textId="19D38B67" w:rsidR="008E5DE4" w:rsidRDefault="00780368">
            <w:pPr>
              <w:widowControl w:val="0"/>
              <w:pBdr>
                <w:top w:val="nil"/>
                <w:left w:val="nil"/>
                <w:bottom w:val="nil"/>
                <w:right w:val="nil"/>
                <w:between w:val="nil"/>
              </w:pBdr>
              <w:ind w:left="-113"/>
              <w:jc w:val="right"/>
              <w:rPr>
                <w:b/>
                <w:color w:val="000000"/>
              </w:rPr>
            </w:pPr>
            <w:r>
              <w:rPr>
                <w:b/>
                <w:color w:val="000000"/>
              </w:rPr>
              <w:t xml:space="preserve">31 Dec </w:t>
            </w:r>
            <w:r w:rsidR="008614F8">
              <w:rPr>
                <w:b/>
                <w:color w:val="000000"/>
              </w:rPr>
              <w:t>2025</w:t>
            </w:r>
          </w:p>
        </w:tc>
        <w:tc>
          <w:tcPr>
            <w:tcW w:w="1177" w:type="dxa"/>
            <w:tcBorders>
              <w:top w:val="single" w:sz="4" w:space="0" w:color="000000"/>
              <w:bottom w:val="single" w:sz="4" w:space="0" w:color="000000"/>
            </w:tcBorders>
          </w:tcPr>
          <w:p w14:paraId="5705176D" w14:textId="4B7DFC1D" w:rsidR="008E5DE4" w:rsidRDefault="00780368">
            <w:pPr>
              <w:widowControl w:val="0"/>
              <w:pBdr>
                <w:top w:val="nil"/>
                <w:left w:val="nil"/>
                <w:bottom w:val="nil"/>
                <w:right w:val="nil"/>
                <w:between w:val="nil"/>
              </w:pBdr>
              <w:ind w:left="-113"/>
              <w:jc w:val="right"/>
              <w:rPr>
                <w:b/>
                <w:color w:val="000000"/>
              </w:rPr>
            </w:pPr>
            <w:r>
              <w:rPr>
                <w:b/>
                <w:color w:val="000000"/>
              </w:rPr>
              <w:t xml:space="preserve">31 Dec </w:t>
            </w:r>
            <w:r w:rsidR="00A46633">
              <w:rPr>
                <w:b/>
                <w:color w:val="000000"/>
              </w:rPr>
              <w:t>2024</w:t>
            </w:r>
          </w:p>
        </w:tc>
      </w:tr>
      <w:tr w:rsidR="008E5DE4" w14:paraId="0675C842" w14:textId="77777777">
        <w:trPr>
          <w:cantSplit/>
        </w:trPr>
        <w:tc>
          <w:tcPr>
            <w:tcW w:w="2948" w:type="dxa"/>
            <w:tcBorders>
              <w:top w:val="single" w:sz="4" w:space="0" w:color="000000"/>
            </w:tcBorders>
            <w:vAlign w:val="bottom"/>
          </w:tcPr>
          <w:p w14:paraId="09272B4B" w14:textId="77777777" w:rsidR="008E5DE4" w:rsidRDefault="00780368">
            <w:pPr>
              <w:widowControl w:val="0"/>
              <w:pBdr>
                <w:top w:val="nil"/>
                <w:left w:val="nil"/>
                <w:bottom w:val="nil"/>
                <w:right w:val="nil"/>
                <w:between w:val="nil"/>
              </w:pBdr>
              <w:ind w:left="113" w:right="-57" w:hanging="113"/>
              <w:rPr>
                <w:i/>
                <w:color w:val="000000"/>
              </w:rPr>
            </w:pPr>
            <w:r>
              <w:rPr>
                <w:i/>
                <w:color w:val="0000FF"/>
              </w:rPr>
              <w:t> </w:t>
            </w:r>
          </w:p>
        </w:tc>
        <w:tc>
          <w:tcPr>
            <w:tcW w:w="964" w:type="dxa"/>
            <w:tcBorders>
              <w:top w:val="single" w:sz="4" w:space="0" w:color="000000"/>
            </w:tcBorders>
            <w:vAlign w:val="bottom"/>
          </w:tcPr>
          <w:p w14:paraId="3EB48887" w14:textId="77777777" w:rsidR="008E5DE4" w:rsidRDefault="008E5DE4">
            <w:pPr>
              <w:widowControl w:val="0"/>
              <w:pBdr>
                <w:top w:val="nil"/>
                <w:left w:val="nil"/>
                <w:bottom w:val="nil"/>
                <w:right w:val="nil"/>
                <w:between w:val="nil"/>
              </w:pBdr>
              <w:jc w:val="right"/>
              <w:rPr>
                <w:color w:val="000000"/>
              </w:rPr>
            </w:pPr>
          </w:p>
        </w:tc>
        <w:tc>
          <w:tcPr>
            <w:tcW w:w="1588" w:type="dxa"/>
            <w:tcBorders>
              <w:top w:val="single" w:sz="4" w:space="0" w:color="000000"/>
            </w:tcBorders>
            <w:vAlign w:val="bottom"/>
          </w:tcPr>
          <w:p w14:paraId="2EE68A4C" w14:textId="77777777" w:rsidR="008E5DE4" w:rsidRDefault="008E5DE4">
            <w:pPr>
              <w:widowControl w:val="0"/>
              <w:pBdr>
                <w:top w:val="nil"/>
                <w:left w:val="nil"/>
                <w:bottom w:val="nil"/>
                <w:right w:val="nil"/>
                <w:between w:val="nil"/>
              </w:pBdr>
              <w:jc w:val="right"/>
              <w:rPr>
                <w:color w:val="000000"/>
              </w:rPr>
            </w:pPr>
          </w:p>
        </w:tc>
        <w:tc>
          <w:tcPr>
            <w:tcW w:w="1588" w:type="dxa"/>
            <w:tcBorders>
              <w:top w:val="single" w:sz="4" w:space="0" w:color="000000"/>
            </w:tcBorders>
            <w:vAlign w:val="bottom"/>
          </w:tcPr>
          <w:p w14:paraId="5D54449F" w14:textId="77777777" w:rsidR="008E5DE4" w:rsidRDefault="008E5DE4">
            <w:pPr>
              <w:widowControl w:val="0"/>
              <w:pBdr>
                <w:top w:val="nil"/>
                <w:left w:val="nil"/>
                <w:bottom w:val="nil"/>
                <w:right w:val="nil"/>
                <w:between w:val="nil"/>
              </w:pBdr>
              <w:jc w:val="right"/>
              <w:rPr>
                <w:color w:val="000000"/>
              </w:rPr>
            </w:pPr>
          </w:p>
        </w:tc>
        <w:tc>
          <w:tcPr>
            <w:tcW w:w="1176" w:type="dxa"/>
            <w:tcBorders>
              <w:top w:val="single" w:sz="4" w:space="0" w:color="000000"/>
            </w:tcBorders>
            <w:vAlign w:val="bottom"/>
          </w:tcPr>
          <w:p w14:paraId="04D97EC0" w14:textId="77777777" w:rsidR="008E5DE4" w:rsidRDefault="008E5DE4">
            <w:pPr>
              <w:widowControl w:val="0"/>
              <w:pBdr>
                <w:top w:val="nil"/>
                <w:left w:val="nil"/>
                <w:bottom w:val="nil"/>
                <w:right w:val="nil"/>
                <w:between w:val="nil"/>
              </w:pBdr>
              <w:jc w:val="right"/>
              <w:rPr>
                <w:color w:val="000000"/>
              </w:rPr>
            </w:pPr>
          </w:p>
        </w:tc>
        <w:tc>
          <w:tcPr>
            <w:tcW w:w="1177" w:type="dxa"/>
            <w:tcBorders>
              <w:top w:val="single" w:sz="4" w:space="0" w:color="000000"/>
            </w:tcBorders>
            <w:vAlign w:val="bottom"/>
          </w:tcPr>
          <w:p w14:paraId="26E05050" w14:textId="77777777" w:rsidR="008E5DE4" w:rsidRDefault="008E5DE4">
            <w:pPr>
              <w:widowControl w:val="0"/>
              <w:pBdr>
                <w:top w:val="nil"/>
                <w:left w:val="nil"/>
                <w:bottom w:val="nil"/>
                <w:right w:val="nil"/>
                <w:between w:val="nil"/>
              </w:pBdr>
              <w:jc w:val="right"/>
              <w:rPr>
                <w:color w:val="000000"/>
              </w:rPr>
            </w:pPr>
          </w:p>
        </w:tc>
      </w:tr>
      <w:tr w:rsidR="008E5DE4" w14:paraId="26DEF597" w14:textId="77777777">
        <w:trPr>
          <w:cantSplit/>
        </w:trPr>
        <w:tc>
          <w:tcPr>
            <w:tcW w:w="2948" w:type="dxa"/>
            <w:vAlign w:val="bottom"/>
          </w:tcPr>
          <w:p w14:paraId="6F90527B" w14:textId="77777777" w:rsidR="008E5DE4" w:rsidRDefault="00780368">
            <w:pPr>
              <w:widowControl w:val="0"/>
              <w:pBdr>
                <w:top w:val="nil"/>
                <w:left w:val="nil"/>
                <w:bottom w:val="nil"/>
                <w:right w:val="nil"/>
                <w:between w:val="nil"/>
              </w:pBdr>
              <w:ind w:left="113" w:right="-57" w:hanging="113"/>
              <w:rPr>
                <w:b/>
                <w:color w:val="000000"/>
              </w:rPr>
            </w:pPr>
            <w:r>
              <w:rPr>
                <w:color w:val="000000"/>
              </w:rPr>
              <w:t>Non-current assets held for sale</w:t>
            </w:r>
          </w:p>
        </w:tc>
        <w:tc>
          <w:tcPr>
            <w:tcW w:w="964" w:type="dxa"/>
            <w:vAlign w:val="bottom"/>
          </w:tcPr>
          <w:p w14:paraId="0EB935F8" w14:textId="77777777" w:rsidR="008E5DE4" w:rsidRDefault="008E5DE4">
            <w:pPr>
              <w:widowControl w:val="0"/>
              <w:pBdr>
                <w:top w:val="nil"/>
                <w:left w:val="nil"/>
                <w:bottom w:val="nil"/>
                <w:right w:val="nil"/>
                <w:between w:val="nil"/>
              </w:pBdr>
              <w:jc w:val="right"/>
              <w:rPr>
                <w:color w:val="0000FF"/>
              </w:rPr>
            </w:pPr>
          </w:p>
        </w:tc>
        <w:tc>
          <w:tcPr>
            <w:tcW w:w="1588" w:type="dxa"/>
            <w:vAlign w:val="bottom"/>
          </w:tcPr>
          <w:p w14:paraId="7258132D" w14:textId="77777777" w:rsidR="008E5DE4" w:rsidRDefault="00780368">
            <w:pPr>
              <w:widowControl w:val="0"/>
              <w:pBdr>
                <w:top w:val="nil"/>
                <w:left w:val="nil"/>
                <w:bottom w:val="nil"/>
                <w:right w:val="nil"/>
                <w:between w:val="nil"/>
              </w:pBdr>
              <w:jc w:val="right"/>
              <w:rPr>
                <w:color w:val="0000FF"/>
              </w:rPr>
            </w:pPr>
            <w:r>
              <w:rPr>
                <w:color w:val="0000FF"/>
              </w:rPr>
              <w:t>[Discounted cash flows (“DCF”)]</w:t>
            </w:r>
          </w:p>
        </w:tc>
        <w:tc>
          <w:tcPr>
            <w:tcW w:w="1588" w:type="dxa"/>
            <w:vAlign w:val="bottom"/>
          </w:tcPr>
          <w:p w14:paraId="37E4AC5F" w14:textId="77777777" w:rsidR="008E5DE4" w:rsidRDefault="00780368">
            <w:pPr>
              <w:widowControl w:val="0"/>
              <w:pBdr>
                <w:top w:val="nil"/>
                <w:left w:val="nil"/>
                <w:bottom w:val="nil"/>
                <w:right w:val="nil"/>
                <w:between w:val="nil"/>
              </w:pBdr>
              <w:jc w:val="right"/>
              <w:rPr>
                <w:color w:val="0000FF"/>
              </w:rPr>
            </w:pPr>
            <w:r>
              <w:rPr>
                <w:color w:val="0000FF"/>
              </w:rPr>
              <w:t>WACC</w:t>
            </w:r>
          </w:p>
        </w:tc>
        <w:tc>
          <w:tcPr>
            <w:tcW w:w="1176" w:type="dxa"/>
            <w:vAlign w:val="bottom"/>
          </w:tcPr>
          <w:p w14:paraId="5AB57846" w14:textId="77777777" w:rsidR="008E5DE4" w:rsidRDefault="00780368">
            <w:pPr>
              <w:widowControl w:val="0"/>
              <w:pBdr>
                <w:top w:val="nil"/>
                <w:left w:val="nil"/>
                <w:bottom w:val="nil"/>
                <w:right w:val="nil"/>
                <w:between w:val="nil"/>
              </w:pBdr>
              <w:jc w:val="right"/>
              <w:rPr>
                <w:color w:val="0000FF"/>
              </w:rPr>
            </w:pPr>
            <w:r>
              <w:rPr>
                <w:color w:val="0000FF"/>
              </w:rPr>
              <w:t>[5.0 -6.0% (5.5%)]</w:t>
            </w:r>
          </w:p>
        </w:tc>
        <w:tc>
          <w:tcPr>
            <w:tcW w:w="1177" w:type="dxa"/>
            <w:vAlign w:val="bottom"/>
          </w:tcPr>
          <w:p w14:paraId="7ED4055E" w14:textId="77777777" w:rsidR="008E5DE4" w:rsidRDefault="00780368">
            <w:pPr>
              <w:widowControl w:val="0"/>
              <w:pBdr>
                <w:top w:val="nil"/>
                <w:left w:val="nil"/>
                <w:bottom w:val="nil"/>
                <w:right w:val="nil"/>
                <w:between w:val="nil"/>
              </w:pBdr>
              <w:jc w:val="right"/>
              <w:rPr>
                <w:color w:val="0000FF"/>
              </w:rPr>
            </w:pPr>
            <w:r>
              <w:rPr>
                <w:color w:val="0000FF"/>
              </w:rPr>
              <w:t>[5.0 -6.0% (5.5%)]</w:t>
            </w:r>
          </w:p>
        </w:tc>
      </w:tr>
      <w:tr w:rsidR="008E5DE4" w14:paraId="1B551C57" w14:textId="77777777">
        <w:trPr>
          <w:cantSplit/>
        </w:trPr>
        <w:tc>
          <w:tcPr>
            <w:tcW w:w="2948" w:type="dxa"/>
            <w:vAlign w:val="bottom"/>
          </w:tcPr>
          <w:p w14:paraId="528060DF" w14:textId="77777777" w:rsidR="008E5DE4" w:rsidRDefault="008E5DE4">
            <w:pPr>
              <w:widowControl w:val="0"/>
              <w:pBdr>
                <w:top w:val="nil"/>
                <w:left w:val="nil"/>
                <w:bottom w:val="nil"/>
                <w:right w:val="nil"/>
                <w:between w:val="nil"/>
              </w:pBdr>
              <w:ind w:left="113" w:right="-57" w:hanging="113"/>
              <w:rPr>
                <w:color w:val="000000"/>
              </w:rPr>
            </w:pPr>
          </w:p>
        </w:tc>
        <w:tc>
          <w:tcPr>
            <w:tcW w:w="964" w:type="dxa"/>
            <w:vAlign w:val="bottom"/>
          </w:tcPr>
          <w:p w14:paraId="22111BA3" w14:textId="77777777" w:rsidR="008E5DE4" w:rsidRDefault="008E5DE4">
            <w:pPr>
              <w:widowControl w:val="0"/>
              <w:pBdr>
                <w:top w:val="nil"/>
                <w:left w:val="nil"/>
                <w:bottom w:val="nil"/>
                <w:right w:val="nil"/>
                <w:between w:val="nil"/>
              </w:pBdr>
              <w:jc w:val="right"/>
              <w:rPr>
                <w:color w:val="0000FF"/>
              </w:rPr>
            </w:pPr>
          </w:p>
        </w:tc>
        <w:tc>
          <w:tcPr>
            <w:tcW w:w="1588" w:type="dxa"/>
            <w:vAlign w:val="bottom"/>
          </w:tcPr>
          <w:p w14:paraId="055E00C7" w14:textId="77777777" w:rsidR="008E5DE4" w:rsidRDefault="008E5DE4">
            <w:pPr>
              <w:widowControl w:val="0"/>
              <w:pBdr>
                <w:top w:val="nil"/>
                <w:left w:val="nil"/>
                <w:bottom w:val="nil"/>
                <w:right w:val="nil"/>
                <w:between w:val="nil"/>
              </w:pBdr>
              <w:jc w:val="right"/>
              <w:rPr>
                <w:color w:val="0000FF"/>
              </w:rPr>
            </w:pPr>
          </w:p>
        </w:tc>
        <w:tc>
          <w:tcPr>
            <w:tcW w:w="1588" w:type="dxa"/>
            <w:vAlign w:val="bottom"/>
          </w:tcPr>
          <w:p w14:paraId="02508D7E" w14:textId="77777777" w:rsidR="008E5DE4" w:rsidRDefault="00780368">
            <w:pPr>
              <w:widowControl w:val="0"/>
              <w:pBdr>
                <w:top w:val="nil"/>
                <w:left w:val="nil"/>
                <w:bottom w:val="nil"/>
                <w:right w:val="nil"/>
                <w:between w:val="nil"/>
              </w:pBdr>
              <w:jc w:val="right"/>
              <w:rPr>
                <w:color w:val="0000FF"/>
              </w:rPr>
            </w:pPr>
            <w:r>
              <w:rPr>
                <w:color w:val="0000FF"/>
              </w:rPr>
              <w:t>Terminal growth</w:t>
            </w:r>
          </w:p>
        </w:tc>
        <w:tc>
          <w:tcPr>
            <w:tcW w:w="1176" w:type="dxa"/>
            <w:vAlign w:val="bottom"/>
          </w:tcPr>
          <w:p w14:paraId="6750BAEA" w14:textId="77777777" w:rsidR="008E5DE4" w:rsidRDefault="008E5DE4">
            <w:pPr>
              <w:widowControl w:val="0"/>
              <w:pBdr>
                <w:top w:val="nil"/>
                <w:left w:val="nil"/>
                <w:bottom w:val="nil"/>
                <w:right w:val="nil"/>
                <w:between w:val="nil"/>
              </w:pBdr>
              <w:jc w:val="right"/>
              <w:rPr>
                <w:color w:val="0000FF"/>
              </w:rPr>
            </w:pPr>
          </w:p>
        </w:tc>
        <w:tc>
          <w:tcPr>
            <w:tcW w:w="1177" w:type="dxa"/>
            <w:vAlign w:val="bottom"/>
          </w:tcPr>
          <w:p w14:paraId="1F1FA04B" w14:textId="77777777" w:rsidR="008E5DE4" w:rsidRDefault="008E5DE4">
            <w:pPr>
              <w:widowControl w:val="0"/>
              <w:pBdr>
                <w:top w:val="nil"/>
                <w:left w:val="nil"/>
                <w:bottom w:val="nil"/>
                <w:right w:val="nil"/>
                <w:between w:val="nil"/>
              </w:pBdr>
              <w:jc w:val="right"/>
              <w:rPr>
                <w:color w:val="0000FF"/>
              </w:rPr>
            </w:pPr>
          </w:p>
        </w:tc>
      </w:tr>
      <w:tr w:rsidR="008E5DE4" w14:paraId="4B63669B" w14:textId="77777777">
        <w:trPr>
          <w:cantSplit/>
        </w:trPr>
        <w:tc>
          <w:tcPr>
            <w:tcW w:w="2948" w:type="dxa"/>
            <w:vAlign w:val="bottom"/>
          </w:tcPr>
          <w:p w14:paraId="2B2CE6D6" w14:textId="77777777" w:rsidR="008E5DE4" w:rsidRDefault="008E5DE4">
            <w:pPr>
              <w:widowControl w:val="0"/>
              <w:pBdr>
                <w:top w:val="nil"/>
                <w:left w:val="nil"/>
                <w:bottom w:val="nil"/>
                <w:right w:val="nil"/>
                <w:between w:val="nil"/>
              </w:pBdr>
              <w:ind w:left="113" w:right="-57" w:hanging="113"/>
              <w:rPr>
                <w:color w:val="000000"/>
              </w:rPr>
            </w:pPr>
          </w:p>
        </w:tc>
        <w:tc>
          <w:tcPr>
            <w:tcW w:w="964" w:type="dxa"/>
            <w:vAlign w:val="bottom"/>
          </w:tcPr>
          <w:p w14:paraId="74A0602D" w14:textId="77777777" w:rsidR="008E5DE4" w:rsidRDefault="008E5DE4">
            <w:pPr>
              <w:widowControl w:val="0"/>
              <w:pBdr>
                <w:top w:val="nil"/>
                <w:left w:val="nil"/>
                <w:bottom w:val="nil"/>
                <w:right w:val="nil"/>
                <w:between w:val="nil"/>
              </w:pBdr>
              <w:jc w:val="right"/>
              <w:rPr>
                <w:color w:val="0000FF"/>
              </w:rPr>
            </w:pPr>
          </w:p>
        </w:tc>
        <w:tc>
          <w:tcPr>
            <w:tcW w:w="1588" w:type="dxa"/>
            <w:vAlign w:val="bottom"/>
          </w:tcPr>
          <w:p w14:paraId="4796A6A4" w14:textId="77777777" w:rsidR="008E5DE4" w:rsidRDefault="008E5DE4">
            <w:pPr>
              <w:widowControl w:val="0"/>
              <w:pBdr>
                <w:top w:val="nil"/>
                <w:left w:val="nil"/>
                <w:bottom w:val="nil"/>
                <w:right w:val="nil"/>
                <w:between w:val="nil"/>
              </w:pBdr>
              <w:jc w:val="right"/>
              <w:rPr>
                <w:color w:val="0000FF"/>
              </w:rPr>
            </w:pPr>
          </w:p>
        </w:tc>
        <w:tc>
          <w:tcPr>
            <w:tcW w:w="1588" w:type="dxa"/>
            <w:vAlign w:val="bottom"/>
          </w:tcPr>
          <w:p w14:paraId="7983CB00" w14:textId="77777777" w:rsidR="008E5DE4" w:rsidRDefault="00780368">
            <w:pPr>
              <w:widowControl w:val="0"/>
              <w:pBdr>
                <w:top w:val="nil"/>
                <w:left w:val="nil"/>
                <w:bottom w:val="nil"/>
                <w:right w:val="nil"/>
                <w:between w:val="nil"/>
              </w:pBdr>
              <w:jc w:val="right"/>
              <w:rPr>
                <w:color w:val="0000FF"/>
              </w:rPr>
            </w:pPr>
            <w:r>
              <w:rPr>
                <w:color w:val="0000FF"/>
              </w:rPr>
              <w:t>Growth rate for years 1 to 5</w:t>
            </w:r>
          </w:p>
        </w:tc>
        <w:tc>
          <w:tcPr>
            <w:tcW w:w="1176" w:type="dxa"/>
            <w:vAlign w:val="bottom"/>
          </w:tcPr>
          <w:p w14:paraId="500FAEA4" w14:textId="77777777" w:rsidR="008E5DE4" w:rsidRDefault="008E5DE4">
            <w:pPr>
              <w:widowControl w:val="0"/>
              <w:pBdr>
                <w:top w:val="nil"/>
                <w:left w:val="nil"/>
                <w:bottom w:val="nil"/>
                <w:right w:val="nil"/>
                <w:between w:val="nil"/>
              </w:pBdr>
              <w:jc w:val="right"/>
              <w:rPr>
                <w:color w:val="0000FF"/>
              </w:rPr>
            </w:pPr>
          </w:p>
        </w:tc>
        <w:tc>
          <w:tcPr>
            <w:tcW w:w="1177" w:type="dxa"/>
            <w:vAlign w:val="bottom"/>
          </w:tcPr>
          <w:p w14:paraId="04ABBC4C" w14:textId="77777777" w:rsidR="008E5DE4" w:rsidRDefault="008E5DE4">
            <w:pPr>
              <w:widowControl w:val="0"/>
              <w:pBdr>
                <w:top w:val="nil"/>
                <w:left w:val="nil"/>
                <w:bottom w:val="nil"/>
                <w:right w:val="nil"/>
                <w:between w:val="nil"/>
              </w:pBdr>
              <w:jc w:val="right"/>
              <w:rPr>
                <w:color w:val="0000FF"/>
              </w:rPr>
            </w:pPr>
          </w:p>
        </w:tc>
      </w:tr>
      <w:tr w:rsidR="008E5DE4" w14:paraId="75A120DD" w14:textId="77777777">
        <w:trPr>
          <w:cantSplit/>
        </w:trPr>
        <w:tc>
          <w:tcPr>
            <w:tcW w:w="2948" w:type="dxa"/>
            <w:tcBorders>
              <w:bottom w:val="single" w:sz="4" w:space="0" w:color="000000"/>
            </w:tcBorders>
            <w:vAlign w:val="bottom"/>
          </w:tcPr>
          <w:p w14:paraId="3F642E96"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964" w:type="dxa"/>
            <w:tcBorders>
              <w:bottom w:val="single" w:sz="4" w:space="0" w:color="000000"/>
            </w:tcBorders>
            <w:vAlign w:val="bottom"/>
          </w:tcPr>
          <w:p w14:paraId="015C0803" w14:textId="77777777" w:rsidR="008E5DE4" w:rsidRDefault="008E5DE4">
            <w:pPr>
              <w:widowControl w:val="0"/>
              <w:pBdr>
                <w:top w:val="nil"/>
                <w:left w:val="nil"/>
                <w:bottom w:val="nil"/>
                <w:right w:val="nil"/>
                <w:between w:val="nil"/>
              </w:pBdr>
              <w:jc w:val="right"/>
              <w:rPr>
                <w:color w:val="0000FF"/>
              </w:rPr>
            </w:pPr>
          </w:p>
        </w:tc>
        <w:tc>
          <w:tcPr>
            <w:tcW w:w="1588" w:type="dxa"/>
            <w:tcBorders>
              <w:bottom w:val="single" w:sz="4" w:space="0" w:color="000000"/>
            </w:tcBorders>
            <w:vAlign w:val="bottom"/>
          </w:tcPr>
          <w:p w14:paraId="42AC148F" w14:textId="77777777" w:rsidR="008E5DE4" w:rsidRDefault="008E5DE4">
            <w:pPr>
              <w:widowControl w:val="0"/>
              <w:pBdr>
                <w:top w:val="nil"/>
                <w:left w:val="nil"/>
                <w:bottom w:val="nil"/>
                <w:right w:val="nil"/>
                <w:between w:val="nil"/>
              </w:pBdr>
              <w:jc w:val="right"/>
              <w:rPr>
                <w:color w:val="0000FF"/>
              </w:rPr>
            </w:pPr>
          </w:p>
        </w:tc>
        <w:tc>
          <w:tcPr>
            <w:tcW w:w="1588" w:type="dxa"/>
            <w:tcBorders>
              <w:bottom w:val="single" w:sz="4" w:space="0" w:color="000000"/>
            </w:tcBorders>
            <w:vAlign w:val="bottom"/>
          </w:tcPr>
          <w:p w14:paraId="5E9D9800" w14:textId="77777777" w:rsidR="008E5DE4" w:rsidRDefault="008E5DE4">
            <w:pPr>
              <w:widowControl w:val="0"/>
              <w:pBdr>
                <w:top w:val="nil"/>
                <w:left w:val="nil"/>
                <w:bottom w:val="nil"/>
                <w:right w:val="nil"/>
                <w:between w:val="nil"/>
              </w:pBdr>
              <w:jc w:val="right"/>
              <w:rPr>
                <w:color w:val="0000FF"/>
              </w:rPr>
            </w:pPr>
          </w:p>
        </w:tc>
        <w:tc>
          <w:tcPr>
            <w:tcW w:w="1176" w:type="dxa"/>
            <w:tcBorders>
              <w:bottom w:val="single" w:sz="4" w:space="0" w:color="000000"/>
            </w:tcBorders>
            <w:vAlign w:val="bottom"/>
          </w:tcPr>
          <w:p w14:paraId="5EDD2C70" w14:textId="77777777" w:rsidR="008E5DE4" w:rsidRDefault="008E5DE4">
            <w:pPr>
              <w:widowControl w:val="0"/>
              <w:pBdr>
                <w:top w:val="nil"/>
                <w:left w:val="nil"/>
                <w:bottom w:val="nil"/>
                <w:right w:val="nil"/>
                <w:between w:val="nil"/>
              </w:pBdr>
              <w:jc w:val="right"/>
              <w:rPr>
                <w:color w:val="0000FF"/>
              </w:rPr>
            </w:pPr>
          </w:p>
        </w:tc>
        <w:tc>
          <w:tcPr>
            <w:tcW w:w="1177" w:type="dxa"/>
            <w:tcBorders>
              <w:bottom w:val="single" w:sz="4" w:space="0" w:color="000000"/>
            </w:tcBorders>
            <w:vAlign w:val="bottom"/>
          </w:tcPr>
          <w:p w14:paraId="65FEA8DD" w14:textId="77777777" w:rsidR="008E5DE4" w:rsidRDefault="008E5DE4">
            <w:pPr>
              <w:widowControl w:val="0"/>
              <w:pBdr>
                <w:top w:val="nil"/>
                <w:left w:val="nil"/>
                <w:bottom w:val="nil"/>
                <w:right w:val="nil"/>
                <w:between w:val="nil"/>
              </w:pBdr>
              <w:jc w:val="right"/>
              <w:rPr>
                <w:color w:val="0000FF"/>
              </w:rPr>
            </w:pPr>
          </w:p>
        </w:tc>
      </w:tr>
    </w:tbl>
    <w:p w14:paraId="4176C4C8" w14:textId="5B7102D1" w:rsidR="008E5DE4" w:rsidRDefault="00780368">
      <w:pPr>
        <w:widowControl w:val="0"/>
        <w:pBdr>
          <w:top w:val="nil"/>
          <w:left w:val="nil"/>
          <w:bottom w:val="nil"/>
          <w:right w:val="nil"/>
          <w:between w:val="nil"/>
        </w:pBdr>
        <w:spacing w:before="200" w:after="200"/>
        <w:jc w:val="both"/>
        <w:rPr>
          <w:i/>
          <w:color w:val="FF0000"/>
          <w:sz w:val="20"/>
          <w:szCs w:val="20"/>
        </w:rPr>
      </w:pPr>
      <w:r>
        <w:rPr>
          <w:color w:val="0000FF"/>
          <w:sz w:val="20"/>
          <w:szCs w:val="20"/>
        </w:rPr>
        <w:t>[Non-current assets held for sale include an investment property that represents industrial land and buildings. The Group valued it using its expectation to convert it into a residential complex.]</w:t>
      </w:r>
      <w:r>
        <w:rPr>
          <w:color w:val="000000"/>
          <w:sz w:val="20"/>
          <w:szCs w:val="20"/>
        </w:rPr>
        <w:t xml:space="preserve"> </w:t>
      </w:r>
    </w:p>
    <w:p w14:paraId="0468084C"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53</w:t>
      </w:r>
      <w:r>
        <w:rPr>
          <w:b/>
          <w:color w:val="000000"/>
          <w:sz w:val="20"/>
          <w:szCs w:val="20"/>
        </w:rPr>
        <w:tab/>
        <w:t>Fair Value Disclosures (Continued)</w:t>
      </w:r>
    </w:p>
    <w:p w14:paraId="261304B5"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(c) </w:t>
      </w:r>
      <w:r>
        <w:rPr>
          <w:b/>
          <w:i/>
          <w:color w:val="000000"/>
          <w:sz w:val="20"/>
          <w:szCs w:val="20"/>
        </w:rPr>
        <w:tab/>
        <w:t>Valuation processes for recurring and non-recurring level 3 fair value measurements</w:t>
      </w:r>
    </w:p>
    <w:p w14:paraId="42A856F7"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Level 3 valuations are reviewed </w:t>
      </w:r>
      <w:proofErr w:type="gramStart"/>
      <w:r>
        <w:rPr>
          <w:color w:val="000000"/>
          <w:sz w:val="20"/>
          <w:szCs w:val="20"/>
        </w:rPr>
        <w:t>on a monthly basis</w:t>
      </w:r>
      <w:proofErr w:type="gramEnd"/>
      <w:r>
        <w:rPr>
          <w:color w:val="000000"/>
          <w:sz w:val="20"/>
          <w:szCs w:val="20"/>
        </w:rPr>
        <w:t xml:space="preserve"> by the Group’s financial director who reports to the Board of Directors on a quarterly basis. The financial director considers the appropriateness of the valuation model inputs, as well as the valuation result using various valuation methods and techniques. In selecting the most appropriate valuation model the director performs back testing and considers which model’s results have historically aligned most closely to actual market transactions. </w:t>
      </w:r>
      <w:proofErr w:type="gramStart"/>
      <w:r>
        <w:rPr>
          <w:color w:val="000000"/>
          <w:sz w:val="20"/>
          <w:szCs w:val="20"/>
        </w:rPr>
        <w:t>In order to</w:t>
      </w:r>
      <w:proofErr w:type="gramEnd"/>
      <w:r>
        <w:rPr>
          <w:color w:val="000000"/>
          <w:sz w:val="20"/>
          <w:szCs w:val="20"/>
        </w:rPr>
        <w:t xml:space="preserve"> value level three equity investments, the Group utilises comparable trading multiples. Management determines comparable public companies (peers) based on industry, size, developmental stage and strategy. Management then calculates a trading multiple for each comparable company identified. The multiple is calculated by dividing the enterprise value of the comparable company by its earnings before interest, taxes, depreciation and amortisation (EBITDA). The trading multiple is then discounted for considerations such as illiquidity and differences between the comparable companies based on company-specific facts and circumstances.</w:t>
      </w:r>
    </w:p>
    <w:p w14:paraId="4F1D18F2"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level three debt instruments are valued at the net present value of estimated future cash flows. The Group also considers liquidity, credit and market risk factors, and adjusts the valuation model as deemed necessary. </w:t>
      </w:r>
    </w:p>
    <w:p w14:paraId="49578255"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(d) </w:t>
      </w:r>
      <w:r>
        <w:rPr>
          <w:b/>
          <w:i/>
          <w:color w:val="000000"/>
          <w:sz w:val="20"/>
          <w:szCs w:val="20"/>
        </w:rPr>
        <w:tab/>
        <w:t>Assets and liabilities not measured at fair value but for which fair value is disclosed</w:t>
      </w:r>
    </w:p>
    <w:p w14:paraId="3D2FDE5B"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Fair values analysed by level in the fair value hierarchy and the carrying value of assets and liabilities not measured at fair value are as follows:</w:t>
      </w:r>
    </w:p>
    <w:tbl>
      <w:tblPr>
        <w:tblStyle w:val="affffffffffffff2"/>
        <w:tblW w:w="9356" w:type="dxa"/>
        <w:tblLayout w:type="fixed"/>
        <w:tblLook w:val="0000" w:firstRow="0" w:lastRow="0" w:firstColumn="0" w:lastColumn="0" w:noHBand="0" w:noVBand="0"/>
      </w:tblPr>
      <w:tblGrid>
        <w:gridCol w:w="3004"/>
        <w:gridCol w:w="794"/>
        <w:gridCol w:w="794"/>
        <w:gridCol w:w="794"/>
        <w:gridCol w:w="794"/>
        <w:gridCol w:w="794"/>
        <w:gridCol w:w="794"/>
        <w:gridCol w:w="794"/>
        <w:gridCol w:w="794"/>
      </w:tblGrid>
      <w:tr w:rsidR="008E5DE4" w14:paraId="3AB3B9F2" w14:textId="77777777">
        <w:trPr>
          <w:cantSplit/>
        </w:trPr>
        <w:tc>
          <w:tcPr>
            <w:tcW w:w="3005" w:type="dxa"/>
            <w:vAlign w:val="bottom"/>
          </w:tcPr>
          <w:p w14:paraId="70721CFA" w14:textId="77777777" w:rsidR="008E5DE4" w:rsidRDefault="008E5DE4">
            <w:pPr>
              <w:widowControl w:val="0"/>
              <w:pBdr>
                <w:top w:val="nil"/>
                <w:left w:val="nil"/>
                <w:bottom w:val="nil"/>
                <w:right w:val="nil"/>
                <w:between w:val="nil"/>
              </w:pBdr>
              <w:ind w:left="113" w:right="-57" w:hanging="113"/>
              <w:rPr>
                <w:i/>
                <w:color w:val="000000"/>
              </w:rPr>
            </w:pPr>
          </w:p>
        </w:tc>
        <w:tc>
          <w:tcPr>
            <w:tcW w:w="3176" w:type="dxa"/>
            <w:gridSpan w:val="4"/>
            <w:tcBorders>
              <w:bottom w:val="single" w:sz="4" w:space="0" w:color="000000"/>
            </w:tcBorders>
            <w:vAlign w:val="bottom"/>
          </w:tcPr>
          <w:p w14:paraId="64CE8D71" w14:textId="4A0262F4" w:rsidR="008E5DE4" w:rsidRDefault="00780368">
            <w:pPr>
              <w:widowControl w:val="0"/>
              <w:pBdr>
                <w:top w:val="nil"/>
                <w:left w:val="nil"/>
                <w:bottom w:val="nil"/>
                <w:right w:val="nil"/>
                <w:between w:val="nil"/>
              </w:pBdr>
              <w:jc w:val="center"/>
              <w:rPr>
                <w:b/>
                <w:color w:val="000000"/>
              </w:rPr>
            </w:pPr>
            <w:r>
              <w:rPr>
                <w:b/>
                <w:color w:val="000000"/>
              </w:rPr>
              <w:t xml:space="preserve">31 December </w:t>
            </w:r>
            <w:r w:rsidR="008614F8">
              <w:rPr>
                <w:b/>
                <w:color w:val="000000"/>
              </w:rPr>
              <w:t>2025</w:t>
            </w:r>
          </w:p>
        </w:tc>
        <w:tc>
          <w:tcPr>
            <w:tcW w:w="3176" w:type="dxa"/>
            <w:gridSpan w:val="4"/>
            <w:tcBorders>
              <w:bottom w:val="single" w:sz="4" w:space="0" w:color="000000"/>
            </w:tcBorders>
            <w:vAlign w:val="bottom"/>
          </w:tcPr>
          <w:p w14:paraId="6315142C" w14:textId="4DDC964B" w:rsidR="008E5DE4" w:rsidRDefault="00780368">
            <w:pPr>
              <w:widowControl w:val="0"/>
              <w:pBdr>
                <w:top w:val="nil"/>
                <w:left w:val="nil"/>
                <w:bottom w:val="nil"/>
                <w:right w:val="nil"/>
                <w:between w:val="nil"/>
              </w:pBdr>
              <w:jc w:val="center"/>
              <w:rPr>
                <w:b/>
                <w:color w:val="000000"/>
              </w:rPr>
            </w:pPr>
            <w:r>
              <w:rPr>
                <w:b/>
                <w:color w:val="000000"/>
              </w:rPr>
              <w:t xml:space="preserve">31 December </w:t>
            </w:r>
            <w:r w:rsidR="00A46633">
              <w:rPr>
                <w:b/>
                <w:color w:val="000000"/>
              </w:rPr>
              <w:t>2024</w:t>
            </w:r>
          </w:p>
        </w:tc>
      </w:tr>
      <w:tr w:rsidR="008E5DE4" w14:paraId="1E83FC86" w14:textId="77777777">
        <w:trPr>
          <w:cantSplit/>
        </w:trPr>
        <w:tc>
          <w:tcPr>
            <w:tcW w:w="3005" w:type="dxa"/>
            <w:tcBorders>
              <w:bottom w:val="single" w:sz="4" w:space="0" w:color="000000"/>
            </w:tcBorders>
            <w:vAlign w:val="bottom"/>
          </w:tcPr>
          <w:p w14:paraId="1BF14A37" w14:textId="77777777" w:rsidR="008E5DE4" w:rsidRDefault="008E5DE4">
            <w:pPr>
              <w:widowControl w:val="0"/>
              <w:pBdr>
                <w:top w:val="nil"/>
                <w:left w:val="nil"/>
                <w:bottom w:val="nil"/>
                <w:right w:val="nil"/>
                <w:between w:val="nil"/>
              </w:pBdr>
              <w:ind w:left="113" w:right="-57" w:hanging="113"/>
              <w:rPr>
                <w:i/>
                <w:color w:val="000000"/>
              </w:rPr>
            </w:pPr>
          </w:p>
          <w:p w14:paraId="12B8D688"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794" w:type="dxa"/>
            <w:tcBorders>
              <w:top w:val="single" w:sz="4" w:space="0" w:color="000000"/>
              <w:bottom w:val="single" w:sz="4" w:space="0" w:color="000000"/>
            </w:tcBorders>
          </w:tcPr>
          <w:p w14:paraId="580ADBDF" w14:textId="77777777" w:rsidR="008E5DE4" w:rsidRDefault="00780368">
            <w:pPr>
              <w:widowControl w:val="0"/>
              <w:pBdr>
                <w:top w:val="nil"/>
                <w:left w:val="nil"/>
                <w:bottom w:val="nil"/>
                <w:right w:val="nil"/>
                <w:between w:val="nil"/>
              </w:pBdr>
              <w:ind w:left="-113"/>
              <w:jc w:val="right"/>
              <w:rPr>
                <w:b/>
                <w:color w:val="000000"/>
              </w:rPr>
            </w:pPr>
            <w:r>
              <w:rPr>
                <w:b/>
                <w:color w:val="000000"/>
              </w:rPr>
              <w:t>Level 1</w:t>
            </w:r>
          </w:p>
          <w:p w14:paraId="33A1EA41"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65A49D32" w14:textId="77777777" w:rsidR="008E5DE4" w:rsidRDefault="00780368">
            <w:pPr>
              <w:widowControl w:val="0"/>
              <w:pBdr>
                <w:top w:val="nil"/>
                <w:left w:val="nil"/>
                <w:bottom w:val="nil"/>
                <w:right w:val="nil"/>
                <w:between w:val="nil"/>
              </w:pBdr>
              <w:ind w:left="-113"/>
              <w:jc w:val="right"/>
              <w:rPr>
                <w:b/>
                <w:color w:val="000000"/>
              </w:rPr>
            </w:pPr>
            <w:r>
              <w:rPr>
                <w:b/>
                <w:color w:val="000000"/>
              </w:rPr>
              <w:t>Level 2</w:t>
            </w:r>
          </w:p>
          <w:p w14:paraId="772F8258"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74A85B7B" w14:textId="77777777" w:rsidR="008E5DE4" w:rsidRDefault="00780368">
            <w:pPr>
              <w:widowControl w:val="0"/>
              <w:pBdr>
                <w:top w:val="nil"/>
                <w:left w:val="nil"/>
                <w:bottom w:val="nil"/>
                <w:right w:val="nil"/>
                <w:between w:val="nil"/>
              </w:pBdr>
              <w:ind w:left="-113"/>
              <w:jc w:val="right"/>
              <w:rPr>
                <w:b/>
                <w:color w:val="000000"/>
              </w:rPr>
            </w:pPr>
            <w:r>
              <w:rPr>
                <w:b/>
                <w:color w:val="000000"/>
              </w:rPr>
              <w:t>Level 3</w:t>
            </w:r>
          </w:p>
          <w:p w14:paraId="79CA8513"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696032CB" w14:textId="77777777" w:rsidR="008E5DE4" w:rsidRDefault="00780368">
            <w:pPr>
              <w:widowControl w:val="0"/>
              <w:pBdr>
                <w:top w:val="nil"/>
                <w:left w:val="nil"/>
                <w:bottom w:val="nil"/>
                <w:right w:val="nil"/>
                <w:between w:val="nil"/>
              </w:pBdr>
              <w:ind w:left="-113"/>
              <w:jc w:val="right"/>
              <w:rPr>
                <w:b/>
                <w:color w:val="000000"/>
              </w:rPr>
            </w:pPr>
            <w:r>
              <w:rPr>
                <w:b/>
                <w:color w:val="000000"/>
              </w:rPr>
              <w:t>Carry-</w:t>
            </w:r>
            <w:proofErr w:type="spellStart"/>
            <w:r>
              <w:rPr>
                <w:b/>
                <w:color w:val="000000"/>
              </w:rPr>
              <w:t>ing</w:t>
            </w:r>
            <w:proofErr w:type="spellEnd"/>
            <w:r>
              <w:rPr>
                <w:b/>
                <w:color w:val="000000"/>
              </w:rPr>
              <w:t xml:space="preserve"> value</w:t>
            </w:r>
          </w:p>
        </w:tc>
        <w:tc>
          <w:tcPr>
            <w:tcW w:w="794" w:type="dxa"/>
            <w:tcBorders>
              <w:top w:val="single" w:sz="4" w:space="0" w:color="000000"/>
              <w:bottom w:val="single" w:sz="4" w:space="0" w:color="000000"/>
            </w:tcBorders>
          </w:tcPr>
          <w:p w14:paraId="2A89908E" w14:textId="77777777" w:rsidR="008E5DE4" w:rsidRDefault="00780368">
            <w:pPr>
              <w:widowControl w:val="0"/>
              <w:pBdr>
                <w:top w:val="nil"/>
                <w:left w:val="nil"/>
                <w:bottom w:val="nil"/>
                <w:right w:val="nil"/>
                <w:between w:val="nil"/>
              </w:pBdr>
              <w:ind w:left="-113"/>
              <w:jc w:val="right"/>
              <w:rPr>
                <w:b/>
                <w:color w:val="000000"/>
              </w:rPr>
            </w:pPr>
            <w:r>
              <w:rPr>
                <w:b/>
                <w:color w:val="000000"/>
              </w:rPr>
              <w:t>Level 1</w:t>
            </w:r>
          </w:p>
          <w:p w14:paraId="7A7B6642"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6B0EE789" w14:textId="77777777" w:rsidR="008E5DE4" w:rsidRDefault="00780368">
            <w:pPr>
              <w:widowControl w:val="0"/>
              <w:pBdr>
                <w:top w:val="nil"/>
                <w:left w:val="nil"/>
                <w:bottom w:val="nil"/>
                <w:right w:val="nil"/>
                <w:between w:val="nil"/>
              </w:pBdr>
              <w:ind w:left="-113"/>
              <w:jc w:val="right"/>
              <w:rPr>
                <w:b/>
                <w:color w:val="000000"/>
              </w:rPr>
            </w:pPr>
            <w:r>
              <w:rPr>
                <w:b/>
                <w:color w:val="000000"/>
              </w:rPr>
              <w:t>Level 2</w:t>
            </w:r>
          </w:p>
          <w:p w14:paraId="35D572D3"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58A2CC76" w14:textId="77777777" w:rsidR="008E5DE4" w:rsidRDefault="00780368">
            <w:pPr>
              <w:widowControl w:val="0"/>
              <w:pBdr>
                <w:top w:val="nil"/>
                <w:left w:val="nil"/>
                <w:bottom w:val="nil"/>
                <w:right w:val="nil"/>
                <w:between w:val="nil"/>
              </w:pBdr>
              <w:ind w:left="-113"/>
              <w:jc w:val="right"/>
              <w:rPr>
                <w:b/>
                <w:color w:val="000000"/>
              </w:rPr>
            </w:pPr>
            <w:r>
              <w:rPr>
                <w:b/>
                <w:color w:val="000000"/>
              </w:rPr>
              <w:t>Level 3</w:t>
            </w:r>
          </w:p>
          <w:p w14:paraId="788AB377"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7C13CBF2" w14:textId="77777777" w:rsidR="008E5DE4" w:rsidRDefault="00780368">
            <w:pPr>
              <w:widowControl w:val="0"/>
              <w:pBdr>
                <w:top w:val="nil"/>
                <w:left w:val="nil"/>
                <w:bottom w:val="nil"/>
                <w:right w:val="nil"/>
                <w:between w:val="nil"/>
              </w:pBdr>
              <w:ind w:left="-113"/>
              <w:jc w:val="right"/>
              <w:rPr>
                <w:b/>
                <w:color w:val="000000"/>
              </w:rPr>
            </w:pPr>
            <w:r>
              <w:rPr>
                <w:b/>
                <w:color w:val="000000"/>
              </w:rPr>
              <w:t>Carry-</w:t>
            </w:r>
            <w:proofErr w:type="spellStart"/>
            <w:r>
              <w:rPr>
                <w:b/>
                <w:color w:val="000000"/>
              </w:rPr>
              <w:t>ing</w:t>
            </w:r>
            <w:proofErr w:type="spellEnd"/>
            <w:r>
              <w:rPr>
                <w:b/>
                <w:color w:val="000000"/>
              </w:rPr>
              <w:t xml:space="preserve"> value</w:t>
            </w:r>
          </w:p>
        </w:tc>
      </w:tr>
      <w:tr w:rsidR="008E5DE4" w14:paraId="2C5BE07C" w14:textId="77777777">
        <w:trPr>
          <w:cantSplit/>
        </w:trPr>
        <w:tc>
          <w:tcPr>
            <w:tcW w:w="3005" w:type="dxa"/>
            <w:tcBorders>
              <w:top w:val="single" w:sz="4" w:space="0" w:color="000000"/>
            </w:tcBorders>
            <w:vAlign w:val="bottom"/>
          </w:tcPr>
          <w:p w14:paraId="487B7307" w14:textId="77777777" w:rsidR="008E5DE4" w:rsidRDefault="00780368">
            <w:pPr>
              <w:widowControl w:val="0"/>
              <w:pBdr>
                <w:top w:val="nil"/>
                <w:left w:val="nil"/>
                <w:bottom w:val="nil"/>
                <w:right w:val="nil"/>
                <w:between w:val="nil"/>
              </w:pBdr>
              <w:ind w:left="113" w:right="-57" w:hanging="113"/>
              <w:rPr>
                <w:i/>
                <w:color w:val="000000"/>
              </w:rPr>
            </w:pPr>
            <w:r>
              <w:rPr>
                <w:i/>
                <w:color w:val="0000FF"/>
              </w:rPr>
              <w:t> </w:t>
            </w:r>
          </w:p>
        </w:tc>
        <w:tc>
          <w:tcPr>
            <w:tcW w:w="794" w:type="dxa"/>
            <w:tcBorders>
              <w:top w:val="single" w:sz="4" w:space="0" w:color="000000"/>
            </w:tcBorders>
            <w:vAlign w:val="bottom"/>
          </w:tcPr>
          <w:p w14:paraId="42F89EEC" w14:textId="77777777" w:rsidR="008E5DE4" w:rsidRDefault="008E5DE4">
            <w:pPr>
              <w:widowControl w:val="0"/>
              <w:pBdr>
                <w:top w:val="nil"/>
                <w:left w:val="nil"/>
                <w:bottom w:val="nil"/>
                <w:right w:val="nil"/>
                <w:between w:val="nil"/>
              </w:pBdr>
              <w:ind w:left="-113"/>
              <w:jc w:val="right"/>
              <w:rPr>
                <w:color w:val="000000"/>
              </w:rPr>
            </w:pPr>
          </w:p>
        </w:tc>
        <w:tc>
          <w:tcPr>
            <w:tcW w:w="794" w:type="dxa"/>
            <w:tcBorders>
              <w:top w:val="single" w:sz="4" w:space="0" w:color="000000"/>
            </w:tcBorders>
            <w:vAlign w:val="bottom"/>
          </w:tcPr>
          <w:p w14:paraId="56F5933B" w14:textId="77777777" w:rsidR="008E5DE4" w:rsidRDefault="008E5DE4">
            <w:pPr>
              <w:widowControl w:val="0"/>
              <w:pBdr>
                <w:top w:val="nil"/>
                <w:left w:val="nil"/>
                <w:bottom w:val="nil"/>
                <w:right w:val="nil"/>
                <w:between w:val="nil"/>
              </w:pBdr>
              <w:ind w:left="-113"/>
              <w:jc w:val="right"/>
              <w:rPr>
                <w:color w:val="000000"/>
              </w:rPr>
            </w:pPr>
          </w:p>
        </w:tc>
        <w:tc>
          <w:tcPr>
            <w:tcW w:w="794" w:type="dxa"/>
            <w:tcBorders>
              <w:top w:val="single" w:sz="4" w:space="0" w:color="000000"/>
            </w:tcBorders>
            <w:vAlign w:val="bottom"/>
          </w:tcPr>
          <w:p w14:paraId="261E33EC" w14:textId="77777777" w:rsidR="008E5DE4" w:rsidRDefault="008E5DE4">
            <w:pPr>
              <w:widowControl w:val="0"/>
              <w:pBdr>
                <w:top w:val="nil"/>
                <w:left w:val="nil"/>
                <w:bottom w:val="nil"/>
                <w:right w:val="nil"/>
                <w:between w:val="nil"/>
              </w:pBdr>
              <w:ind w:left="-113"/>
              <w:jc w:val="right"/>
              <w:rPr>
                <w:color w:val="000000"/>
              </w:rPr>
            </w:pPr>
          </w:p>
        </w:tc>
        <w:tc>
          <w:tcPr>
            <w:tcW w:w="794" w:type="dxa"/>
            <w:tcBorders>
              <w:top w:val="single" w:sz="4" w:space="0" w:color="000000"/>
            </w:tcBorders>
            <w:vAlign w:val="bottom"/>
          </w:tcPr>
          <w:p w14:paraId="6FBAB761"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6919EB7D"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226BFFF1"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244678C0"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3E931A11" w14:textId="77777777" w:rsidR="008E5DE4" w:rsidRDefault="008E5DE4">
            <w:pPr>
              <w:widowControl w:val="0"/>
              <w:pBdr>
                <w:top w:val="nil"/>
                <w:left w:val="nil"/>
                <w:bottom w:val="nil"/>
                <w:right w:val="nil"/>
                <w:between w:val="nil"/>
              </w:pBdr>
              <w:ind w:left="-113"/>
              <w:jc w:val="right"/>
              <w:rPr>
                <w:b/>
                <w:color w:val="000000"/>
              </w:rPr>
            </w:pPr>
          </w:p>
        </w:tc>
      </w:tr>
      <w:tr w:rsidR="008E5DE4" w14:paraId="2864FA2C" w14:textId="77777777">
        <w:trPr>
          <w:cantSplit/>
        </w:trPr>
        <w:tc>
          <w:tcPr>
            <w:tcW w:w="3005" w:type="dxa"/>
            <w:vAlign w:val="bottom"/>
          </w:tcPr>
          <w:p w14:paraId="5BBFB483"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 xml:space="preserve">ASSETS </w:t>
            </w:r>
          </w:p>
        </w:tc>
        <w:tc>
          <w:tcPr>
            <w:tcW w:w="794" w:type="dxa"/>
            <w:vAlign w:val="bottom"/>
          </w:tcPr>
          <w:p w14:paraId="647CD9A8"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24B6FA98"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1AB856AA"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2CE16923"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E8B3217"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D0D760C"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8766E19"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626A7059" w14:textId="77777777" w:rsidR="008E5DE4" w:rsidRDefault="008E5DE4">
            <w:pPr>
              <w:widowControl w:val="0"/>
              <w:pBdr>
                <w:top w:val="nil"/>
                <w:left w:val="nil"/>
                <w:bottom w:val="nil"/>
                <w:right w:val="nil"/>
                <w:between w:val="nil"/>
              </w:pBdr>
              <w:ind w:left="-113"/>
              <w:jc w:val="right"/>
              <w:rPr>
                <w:color w:val="000000"/>
              </w:rPr>
            </w:pPr>
          </w:p>
        </w:tc>
      </w:tr>
      <w:tr w:rsidR="008E5DE4" w14:paraId="4DCD0FE8" w14:textId="77777777">
        <w:trPr>
          <w:cantSplit/>
        </w:trPr>
        <w:tc>
          <w:tcPr>
            <w:tcW w:w="3005" w:type="dxa"/>
            <w:vAlign w:val="bottom"/>
          </w:tcPr>
          <w:p w14:paraId="44DE3CC8" w14:textId="77777777" w:rsidR="008E5DE4" w:rsidRDefault="008E5DE4">
            <w:pPr>
              <w:widowControl w:val="0"/>
              <w:pBdr>
                <w:top w:val="nil"/>
                <w:left w:val="nil"/>
                <w:bottom w:val="nil"/>
                <w:right w:val="nil"/>
                <w:between w:val="nil"/>
              </w:pBdr>
              <w:ind w:left="113" w:right="-57" w:hanging="113"/>
              <w:rPr>
                <w:b/>
                <w:i/>
                <w:color w:val="000000"/>
              </w:rPr>
            </w:pPr>
          </w:p>
        </w:tc>
        <w:tc>
          <w:tcPr>
            <w:tcW w:w="794" w:type="dxa"/>
            <w:vAlign w:val="bottom"/>
          </w:tcPr>
          <w:p w14:paraId="1CCE937C"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3BFCB2D2"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6864F3A9"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03E47E47"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6FCD2223"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BA38955"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3BD85C05"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764EF2FF" w14:textId="77777777" w:rsidR="008E5DE4" w:rsidRDefault="008E5DE4">
            <w:pPr>
              <w:widowControl w:val="0"/>
              <w:pBdr>
                <w:top w:val="nil"/>
                <w:left w:val="nil"/>
                <w:bottom w:val="nil"/>
                <w:right w:val="nil"/>
                <w:between w:val="nil"/>
              </w:pBdr>
              <w:ind w:left="-113"/>
              <w:jc w:val="right"/>
              <w:rPr>
                <w:color w:val="000000"/>
              </w:rPr>
            </w:pPr>
          </w:p>
        </w:tc>
      </w:tr>
      <w:tr w:rsidR="008E5DE4" w14:paraId="23677B00" w14:textId="77777777">
        <w:trPr>
          <w:cantSplit/>
        </w:trPr>
        <w:tc>
          <w:tcPr>
            <w:tcW w:w="3005" w:type="dxa"/>
            <w:vAlign w:val="bottom"/>
          </w:tcPr>
          <w:p w14:paraId="4EE80714" w14:textId="77777777" w:rsidR="008E5DE4" w:rsidRDefault="00780368">
            <w:pPr>
              <w:widowControl w:val="0"/>
              <w:pBdr>
                <w:top w:val="nil"/>
                <w:left w:val="nil"/>
                <w:bottom w:val="nil"/>
                <w:right w:val="nil"/>
                <w:between w:val="nil"/>
              </w:pBdr>
              <w:ind w:left="113" w:right="-57" w:hanging="113"/>
              <w:rPr>
                <w:color w:val="000000"/>
              </w:rPr>
            </w:pPr>
            <w:r>
              <w:rPr>
                <w:b/>
                <w:i/>
                <w:color w:val="000000"/>
              </w:rPr>
              <w:t>Financial assets at AC</w:t>
            </w:r>
          </w:p>
        </w:tc>
        <w:tc>
          <w:tcPr>
            <w:tcW w:w="794" w:type="dxa"/>
            <w:vAlign w:val="bottom"/>
          </w:tcPr>
          <w:p w14:paraId="36647544"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46F373DD"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04B0CE0A"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0DDD0690"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73518D3D"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AA44F94"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C8DA254"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09947E2" w14:textId="77777777" w:rsidR="008E5DE4" w:rsidRDefault="008E5DE4">
            <w:pPr>
              <w:widowControl w:val="0"/>
              <w:pBdr>
                <w:top w:val="nil"/>
                <w:left w:val="nil"/>
                <w:bottom w:val="nil"/>
                <w:right w:val="nil"/>
                <w:between w:val="nil"/>
              </w:pBdr>
              <w:ind w:left="-113"/>
              <w:jc w:val="right"/>
              <w:rPr>
                <w:color w:val="000000"/>
              </w:rPr>
            </w:pPr>
          </w:p>
        </w:tc>
      </w:tr>
      <w:tr w:rsidR="008E5DE4" w14:paraId="6E37E808" w14:textId="77777777">
        <w:trPr>
          <w:cantSplit/>
        </w:trPr>
        <w:tc>
          <w:tcPr>
            <w:tcW w:w="3005" w:type="dxa"/>
            <w:vAlign w:val="bottom"/>
          </w:tcPr>
          <w:p w14:paraId="53E676EE" w14:textId="77777777" w:rsidR="008E5DE4" w:rsidRDefault="00780368">
            <w:pPr>
              <w:widowControl w:val="0"/>
              <w:pBdr>
                <w:top w:val="nil"/>
                <w:left w:val="nil"/>
                <w:bottom w:val="nil"/>
                <w:right w:val="nil"/>
                <w:between w:val="nil"/>
              </w:pBdr>
              <w:ind w:left="113" w:right="-57" w:hanging="113"/>
              <w:rPr>
                <w:color w:val="000000"/>
              </w:rPr>
            </w:pPr>
            <w:r>
              <w:rPr>
                <w:color w:val="000000"/>
              </w:rPr>
              <w:t>- Trade receivables</w:t>
            </w:r>
          </w:p>
        </w:tc>
        <w:tc>
          <w:tcPr>
            <w:tcW w:w="794" w:type="dxa"/>
            <w:vAlign w:val="bottom"/>
          </w:tcPr>
          <w:p w14:paraId="4B6D70B0"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4088DCD0"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D8BFF56"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ECF7609"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7F01168"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FD8B054"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6F14F6C"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280B1F6" w14:textId="77777777" w:rsidR="008E5DE4" w:rsidRDefault="008E5DE4">
            <w:pPr>
              <w:widowControl w:val="0"/>
              <w:pBdr>
                <w:top w:val="nil"/>
                <w:left w:val="nil"/>
                <w:bottom w:val="nil"/>
                <w:right w:val="nil"/>
                <w:between w:val="nil"/>
              </w:pBdr>
              <w:ind w:left="-113"/>
              <w:jc w:val="right"/>
              <w:rPr>
                <w:color w:val="000000"/>
              </w:rPr>
            </w:pPr>
          </w:p>
        </w:tc>
      </w:tr>
      <w:tr w:rsidR="008E5DE4" w14:paraId="06D32225" w14:textId="77777777">
        <w:trPr>
          <w:cantSplit/>
        </w:trPr>
        <w:tc>
          <w:tcPr>
            <w:tcW w:w="3005" w:type="dxa"/>
            <w:vAlign w:val="bottom"/>
          </w:tcPr>
          <w:p w14:paraId="71CD678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Finance lease receivables </w:t>
            </w:r>
          </w:p>
        </w:tc>
        <w:tc>
          <w:tcPr>
            <w:tcW w:w="794" w:type="dxa"/>
            <w:vAlign w:val="bottom"/>
          </w:tcPr>
          <w:p w14:paraId="700A74BF"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C2DAC36"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F3471F3"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7A046B6A"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699B02E"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1089321"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6101183A"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020B4E9A" w14:textId="77777777" w:rsidR="008E5DE4" w:rsidRDefault="008E5DE4">
            <w:pPr>
              <w:widowControl w:val="0"/>
              <w:pBdr>
                <w:top w:val="nil"/>
                <w:left w:val="nil"/>
                <w:bottom w:val="nil"/>
                <w:right w:val="nil"/>
                <w:between w:val="nil"/>
              </w:pBdr>
              <w:ind w:left="-113"/>
              <w:jc w:val="right"/>
              <w:rPr>
                <w:color w:val="000000"/>
              </w:rPr>
            </w:pPr>
          </w:p>
        </w:tc>
      </w:tr>
      <w:tr w:rsidR="008E5DE4" w14:paraId="59D1622C" w14:textId="77777777">
        <w:trPr>
          <w:cantSplit/>
        </w:trPr>
        <w:tc>
          <w:tcPr>
            <w:tcW w:w="3005" w:type="dxa"/>
            <w:vAlign w:val="bottom"/>
          </w:tcPr>
          <w:p w14:paraId="6CD1A1C2" w14:textId="77777777" w:rsidR="008E5DE4" w:rsidRDefault="00780368">
            <w:pPr>
              <w:widowControl w:val="0"/>
              <w:pBdr>
                <w:top w:val="nil"/>
                <w:left w:val="nil"/>
                <w:bottom w:val="nil"/>
                <w:right w:val="nil"/>
                <w:between w:val="nil"/>
              </w:pBdr>
              <w:ind w:left="113" w:right="-57" w:hanging="113"/>
              <w:rPr>
                <w:color w:val="000000"/>
              </w:rPr>
            </w:pPr>
            <w:r>
              <w:rPr>
                <w:color w:val="000000"/>
              </w:rPr>
              <w:t>- Loan provided</w:t>
            </w:r>
          </w:p>
        </w:tc>
        <w:tc>
          <w:tcPr>
            <w:tcW w:w="794" w:type="dxa"/>
            <w:vAlign w:val="bottom"/>
          </w:tcPr>
          <w:p w14:paraId="413788C7"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0A8707D9"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7944C33B"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E029F80"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5ADCF16"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7EE53D0"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D121DB8"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B0AD670" w14:textId="77777777" w:rsidR="008E5DE4" w:rsidRDefault="008E5DE4">
            <w:pPr>
              <w:widowControl w:val="0"/>
              <w:pBdr>
                <w:top w:val="nil"/>
                <w:left w:val="nil"/>
                <w:bottom w:val="nil"/>
                <w:right w:val="nil"/>
                <w:between w:val="nil"/>
              </w:pBdr>
              <w:ind w:left="-113"/>
              <w:jc w:val="right"/>
              <w:rPr>
                <w:color w:val="000000"/>
              </w:rPr>
            </w:pPr>
          </w:p>
        </w:tc>
      </w:tr>
      <w:tr w:rsidR="008E5DE4" w14:paraId="21B5AD58" w14:textId="77777777">
        <w:trPr>
          <w:cantSplit/>
        </w:trPr>
        <w:tc>
          <w:tcPr>
            <w:tcW w:w="3005" w:type="dxa"/>
            <w:vAlign w:val="bottom"/>
          </w:tcPr>
          <w:p w14:paraId="50B029DE" w14:textId="77777777" w:rsidR="008E5DE4" w:rsidRDefault="00780368">
            <w:pPr>
              <w:widowControl w:val="0"/>
              <w:pBdr>
                <w:top w:val="nil"/>
                <w:left w:val="nil"/>
                <w:bottom w:val="nil"/>
                <w:right w:val="nil"/>
                <w:between w:val="nil"/>
              </w:pBdr>
              <w:ind w:left="113" w:right="-57" w:hanging="113"/>
              <w:rPr>
                <w:color w:val="000000"/>
              </w:rPr>
            </w:pPr>
            <w:r>
              <w:rPr>
                <w:color w:val="000000"/>
              </w:rPr>
              <w:t>- Other</w:t>
            </w:r>
          </w:p>
        </w:tc>
        <w:tc>
          <w:tcPr>
            <w:tcW w:w="794" w:type="dxa"/>
            <w:vAlign w:val="bottom"/>
          </w:tcPr>
          <w:p w14:paraId="11431B78"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6817AB2"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404CF008"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62A135ED"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D9EA8D3"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ABF9DCA"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41520E2"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099B310E" w14:textId="77777777" w:rsidR="008E5DE4" w:rsidRDefault="008E5DE4">
            <w:pPr>
              <w:widowControl w:val="0"/>
              <w:pBdr>
                <w:top w:val="nil"/>
                <w:left w:val="nil"/>
                <w:bottom w:val="nil"/>
                <w:right w:val="nil"/>
                <w:between w:val="nil"/>
              </w:pBdr>
              <w:ind w:left="-113"/>
              <w:jc w:val="right"/>
              <w:rPr>
                <w:color w:val="000000"/>
              </w:rPr>
            </w:pPr>
          </w:p>
        </w:tc>
      </w:tr>
      <w:tr w:rsidR="008E5DE4" w14:paraId="1B56C086" w14:textId="77777777">
        <w:trPr>
          <w:cantSplit/>
        </w:trPr>
        <w:tc>
          <w:tcPr>
            <w:tcW w:w="3005" w:type="dxa"/>
            <w:vAlign w:val="bottom"/>
          </w:tcPr>
          <w:p w14:paraId="51C7D8D7" w14:textId="77777777" w:rsidR="008E5DE4" w:rsidRDefault="008E5DE4">
            <w:pPr>
              <w:widowControl w:val="0"/>
              <w:pBdr>
                <w:top w:val="nil"/>
                <w:left w:val="nil"/>
                <w:bottom w:val="nil"/>
                <w:right w:val="nil"/>
                <w:between w:val="nil"/>
              </w:pBdr>
              <w:ind w:left="113" w:right="-57" w:hanging="113"/>
              <w:rPr>
                <w:b/>
                <w:smallCaps/>
                <w:color w:val="000000"/>
              </w:rPr>
            </w:pPr>
          </w:p>
        </w:tc>
        <w:tc>
          <w:tcPr>
            <w:tcW w:w="794" w:type="dxa"/>
            <w:vAlign w:val="bottom"/>
          </w:tcPr>
          <w:p w14:paraId="7AD6A211"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71470F2"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063DB6AE"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0895DE9F"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788A3015"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686389EA"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4DAED29D"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46D2AD7F" w14:textId="77777777" w:rsidR="008E5DE4" w:rsidRDefault="008E5DE4">
            <w:pPr>
              <w:widowControl w:val="0"/>
              <w:pBdr>
                <w:top w:val="nil"/>
                <w:left w:val="nil"/>
                <w:bottom w:val="nil"/>
                <w:right w:val="nil"/>
                <w:between w:val="nil"/>
              </w:pBdr>
              <w:ind w:left="-113"/>
              <w:jc w:val="right"/>
              <w:rPr>
                <w:color w:val="000000"/>
              </w:rPr>
            </w:pPr>
          </w:p>
        </w:tc>
      </w:tr>
      <w:tr w:rsidR="008E5DE4" w14:paraId="75F903D4" w14:textId="77777777">
        <w:trPr>
          <w:cantSplit/>
        </w:trPr>
        <w:tc>
          <w:tcPr>
            <w:tcW w:w="3005" w:type="dxa"/>
            <w:vAlign w:val="bottom"/>
          </w:tcPr>
          <w:p w14:paraId="6A2490EB" w14:textId="77777777" w:rsidR="008E5DE4" w:rsidRDefault="00780368">
            <w:pPr>
              <w:widowControl w:val="0"/>
              <w:pBdr>
                <w:top w:val="nil"/>
                <w:left w:val="nil"/>
                <w:bottom w:val="nil"/>
                <w:right w:val="nil"/>
                <w:between w:val="nil"/>
              </w:pBdr>
              <w:ind w:left="113" w:right="-57" w:hanging="113"/>
              <w:rPr>
                <w:color w:val="000000"/>
              </w:rPr>
            </w:pPr>
            <w:r>
              <w:rPr>
                <w:b/>
                <w:smallCaps/>
                <w:color w:val="000000"/>
              </w:rPr>
              <w:t>NON-FINANCIAL ASSETS</w:t>
            </w:r>
          </w:p>
        </w:tc>
        <w:tc>
          <w:tcPr>
            <w:tcW w:w="794" w:type="dxa"/>
            <w:vAlign w:val="bottom"/>
          </w:tcPr>
          <w:p w14:paraId="17D88913"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690F617C"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0E1BCC1C"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B71FD86"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3F17F617"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548A63A"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F1DB8B1"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2432BED" w14:textId="77777777" w:rsidR="008E5DE4" w:rsidRDefault="008E5DE4">
            <w:pPr>
              <w:widowControl w:val="0"/>
              <w:pBdr>
                <w:top w:val="nil"/>
                <w:left w:val="nil"/>
                <w:bottom w:val="nil"/>
                <w:right w:val="nil"/>
                <w:between w:val="nil"/>
              </w:pBdr>
              <w:ind w:left="-113"/>
              <w:jc w:val="right"/>
              <w:rPr>
                <w:color w:val="000000"/>
              </w:rPr>
            </w:pPr>
          </w:p>
        </w:tc>
      </w:tr>
      <w:tr w:rsidR="008E5DE4" w14:paraId="6F3925B9" w14:textId="77777777">
        <w:trPr>
          <w:cantSplit/>
        </w:trPr>
        <w:tc>
          <w:tcPr>
            <w:tcW w:w="3005" w:type="dxa"/>
            <w:vAlign w:val="bottom"/>
          </w:tcPr>
          <w:p w14:paraId="6D14C8F5" w14:textId="77777777" w:rsidR="008E5DE4" w:rsidRDefault="00780368">
            <w:pPr>
              <w:widowControl w:val="0"/>
              <w:pBdr>
                <w:top w:val="nil"/>
                <w:left w:val="nil"/>
                <w:bottom w:val="nil"/>
                <w:right w:val="nil"/>
                <w:between w:val="nil"/>
              </w:pBdr>
              <w:ind w:left="113" w:right="-57" w:hanging="113"/>
              <w:rPr>
                <w:b/>
                <w:i/>
                <w:color w:val="000000"/>
              </w:rPr>
            </w:pPr>
            <w:r>
              <w:rPr>
                <w:color w:val="000000"/>
              </w:rPr>
              <w:t>- Investment properties at cost</w:t>
            </w:r>
          </w:p>
        </w:tc>
        <w:tc>
          <w:tcPr>
            <w:tcW w:w="794" w:type="dxa"/>
            <w:vAlign w:val="bottom"/>
          </w:tcPr>
          <w:p w14:paraId="516E6367"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2E83EC3"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72BC783B"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435D74E2"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7359C8E8"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567D5F12"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22B519DF" w14:textId="77777777" w:rsidR="008E5DE4" w:rsidRDefault="008E5DE4">
            <w:pPr>
              <w:widowControl w:val="0"/>
              <w:pBdr>
                <w:top w:val="nil"/>
                <w:left w:val="nil"/>
                <w:bottom w:val="nil"/>
                <w:right w:val="nil"/>
                <w:between w:val="nil"/>
              </w:pBdr>
              <w:ind w:left="-113"/>
              <w:jc w:val="right"/>
              <w:rPr>
                <w:color w:val="000000"/>
              </w:rPr>
            </w:pPr>
          </w:p>
        </w:tc>
        <w:tc>
          <w:tcPr>
            <w:tcW w:w="794" w:type="dxa"/>
            <w:vAlign w:val="bottom"/>
          </w:tcPr>
          <w:p w14:paraId="18AE3BCF" w14:textId="77777777" w:rsidR="008E5DE4" w:rsidRDefault="008E5DE4">
            <w:pPr>
              <w:widowControl w:val="0"/>
              <w:pBdr>
                <w:top w:val="nil"/>
                <w:left w:val="nil"/>
                <w:bottom w:val="nil"/>
                <w:right w:val="nil"/>
                <w:between w:val="nil"/>
              </w:pBdr>
              <w:ind w:left="-113"/>
              <w:jc w:val="right"/>
              <w:rPr>
                <w:color w:val="000000"/>
              </w:rPr>
            </w:pPr>
          </w:p>
        </w:tc>
      </w:tr>
      <w:tr w:rsidR="008E5DE4" w14:paraId="3394D473" w14:textId="77777777">
        <w:trPr>
          <w:cantSplit/>
        </w:trPr>
        <w:tc>
          <w:tcPr>
            <w:tcW w:w="3005" w:type="dxa"/>
            <w:tcBorders>
              <w:bottom w:val="single" w:sz="4" w:space="0" w:color="000000"/>
            </w:tcBorders>
            <w:vAlign w:val="bottom"/>
          </w:tcPr>
          <w:p w14:paraId="7E692CE1"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794" w:type="dxa"/>
            <w:tcBorders>
              <w:bottom w:val="single" w:sz="4" w:space="0" w:color="000000"/>
            </w:tcBorders>
            <w:vAlign w:val="bottom"/>
          </w:tcPr>
          <w:p w14:paraId="23EBAB8D" w14:textId="77777777" w:rsidR="008E5DE4" w:rsidRDefault="008E5DE4">
            <w:pPr>
              <w:widowControl w:val="0"/>
              <w:pBdr>
                <w:top w:val="nil"/>
                <w:left w:val="nil"/>
                <w:bottom w:val="nil"/>
                <w:right w:val="nil"/>
                <w:between w:val="nil"/>
              </w:pBdr>
              <w:ind w:left="-113"/>
              <w:jc w:val="right"/>
              <w:rPr>
                <w:color w:val="000000"/>
              </w:rPr>
            </w:pPr>
          </w:p>
        </w:tc>
        <w:tc>
          <w:tcPr>
            <w:tcW w:w="794" w:type="dxa"/>
            <w:tcBorders>
              <w:bottom w:val="single" w:sz="4" w:space="0" w:color="000000"/>
            </w:tcBorders>
            <w:vAlign w:val="bottom"/>
          </w:tcPr>
          <w:p w14:paraId="232104C9" w14:textId="77777777" w:rsidR="008E5DE4" w:rsidRDefault="008E5DE4">
            <w:pPr>
              <w:widowControl w:val="0"/>
              <w:pBdr>
                <w:top w:val="nil"/>
                <w:left w:val="nil"/>
                <w:bottom w:val="nil"/>
                <w:right w:val="nil"/>
                <w:between w:val="nil"/>
              </w:pBdr>
              <w:ind w:left="-113"/>
              <w:jc w:val="right"/>
              <w:rPr>
                <w:color w:val="000000"/>
              </w:rPr>
            </w:pPr>
          </w:p>
        </w:tc>
        <w:tc>
          <w:tcPr>
            <w:tcW w:w="794" w:type="dxa"/>
            <w:tcBorders>
              <w:bottom w:val="single" w:sz="4" w:space="0" w:color="000000"/>
            </w:tcBorders>
            <w:vAlign w:val="bottom"/>
          </w:tcPr>
          <w:p w14:paraId="44C14E37" w14:textId="77777777" w:rsidR="008E5DE4" w:rsidRDefault="008E5DE4">
            <w:pPr>
              <w:widowControl w:val="0"/>
              <w:pBdr>
                <w:top w:val="nil"/>
                <w:left w:val="nil"/>
                <w:bottom w:val="nil"/>
                <w:right w:val="nil"/>
                <w:between w:val="nil"/>
              </w:pBdr>
              <w:ind w:left="-113"/>
              <w:jc w:val="right"/>
              <w:rPr>
                <w:color w:val="000000"/>
              </w:rPr>
            </w:pPr>
          </w:p>
        </w:tc>
        <w:tc>
          <w:tcPr>
            <w:tcW w:w="794" w:type="dxa"/>
            <w:tcBorders>
              <w:bottom w:val="single" w:sz="4" w:space="0" w:color="000000"/>
            </w:tcBorders>
            <w:vAlign w:val="bottom"/>
          </w:tcPr>
          <w:p w14:paraId="46E25A7D" w14:textId="77777777" w:rsidR="008E5DE4" w:rsidRDefault="008E5DE4">
            <w:pPr>
              <w:widowControl w:val="0"/>
              <w:pBdr>
                <w:top w:val="nil"/>
                <w:left w:val="nil"/>
                <w:bottom w:val="nil"/>
                <w:right w:val="nil"/>
                <w:between w:val="nil"/>
              </w:pBdr>
              <w:ind w:left="-113"/>
              <w:jc w:val="right"/>
              <w:rPr>
                <w:color w:val="000000"/>
              </w:rPr>
            </w:pPr>
          </w:p>
        </w:tc>
        <w:tc>
          <w:tcPr>
            <w:tcW w:w="794" w:type="dxa"/>
            <w:tcBorders>
              <w:bottom w:val="single" w:sz="4" w:space="0" w:color="000000"/>
            </w:tcBorders>
            <w:vAlign w:val="bottom"/>
          </w:tcPr>
          <w:p w14:paraId="74B64453" w14:textId="77777777" w:rsidR="008E5DE4" w:rsidRDefault="008E5DE4">
            <w:pPr>
              <w:widowControl w:val="0"/>
              <w:pBdr>
                <w:top w:val="nil"/>
                <w:left w:val="nil"/>
                <w:bottom w:val="nil"/>
                <w:right w:val="nil"/>
                <w:between w:val="nil"/>
              </w:pBdr>
              <w:ind w:left="-113"/>
              <w:jc w:val="right"/>
              <w:rPr>
                <w:color w:val="000000"/>
              </w:rPr>
            </w:pPr>
          </w:p>
        </w:tc>
        <w:tc>
          <w:tcPr>
            <w:tcW w:w="794" w:type="dxa"/>
            <w:tcBorders>
              <w:bottom w:val="single" w:sz="4" w:space="0" w:color="000000"/>
            </w:tcBorders>
            <w:vAlign w:val="bottom"/>
          </w:tcPr>
          <w:p w14:paraId="0F6818F8" w14:textId="77777777" w:rsidR="008E5DE4" w:rsidRDefault="008E5DE4">
            <w:pPr>
              <w:widowControl w:val="0"/>
              <w:pBdr>
                <w:top w:val="nil"/>
                <w:left w:val="nil"/>
                <w:bottom w:val="nil"/>
                <w:right w:val="nil"/>
                <w:between w:val="nil"/>
              </w:pBdr>
              <w:ind w:left="-113"/>
              <w:jc w:val="right"/>
              <w:rPr>
                <w:color w:val="000000"/>
              </w:rPr>
            </w:pPr>
          </w:p>
        </w:tc>
        <w:tc>
          <w:tcPr>
            <w:tcW w:w="794" w:type="dxa"/>
            <w:tcBorders>
              <w:bottom w:val="single" w:sz="4" w:space="0" w:color="000000"/>
            </w:tcBorders>
            <w:vAlign w:val="bottom"/>
          </w:tcPr>
          <w:p w14:paraId="27929C77" w14:textId="77777777" w:rsidR="008E5DE4" w:rsidRDefault="008E5DE4">
            <w:pPr>
              <w:widowControl w:val="0"/>
              <w:pBdr>
                <w:top w:val="nil"/>
                <w:left w:val="nil"/>
                <w:bottom w:val="nil"/>
                <w:right w:val="nil"/>
                <w:between w:val="nil"/>
              </w:pBdr>
              <w:ind w:left="-113"/>
              <w:jc w:val="right"/>
              <w:rPr>
                <w:color w:val="000000"/>
              </w:rPr>
            </w:pPr>
          </w:p>
        </w:tc>
        <w:tc>
          <w:tcPr>
            <w:tcW w:w="794" w:type="dxa"/>
            <w:tcBorders>
              <w:bottom w:val="single" w:sz="4" w:space="0" w:color="000000"/>
            </w:tcBorders>
            <w:vAlign w:val="bottom"/>
          </w:tcPr>
          <w:p w14:paraId="3E8947D0" w14:textId="77777777" w:rsidR="008E5DE4" w:rsidRDefault="008E5DE4">
            <w:pPr>
              <w:widowControl w:val="0"/>
              <w:pBdr>
                <w:top w:val="nil"/>
                <w:left w:val="nil"/>
                <w:bottom w:val="nil"/>
                <w:right w:val="nil"/>
                <w:between w:val="nil"/>
              </w:pBdr>
              <w:ind w:left="-113"/>
              <w:jc w:val="right"/>
              <w:rPr>
                <w:color w:val="000000"/>
              </w:rPr>
            </w:pPr>
          </w:p>
        </w:tc>
      </w:tr>
      <w:tr w:rsidR="008E5DE4" w14:paraId="3CE16C3B" w14:textId="77777777">
        <w:trPr>
          <w:cantSplit/>
        </w:trPr>
        <w:tc>
          <w:tcPr>
            <w:tcW w:w="3005" w:type="dxa"/>
            <w:vAlign w:val="bottom"/>
          </w:tcPr>
          <w:p w14:paraId="6FA70A1B"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794" w:type="dxa"/>
            <w:vAlign w:val="bottom"/>
          </w:tcPr>
          <w:p w14:paraId="763B8ED6"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5E3B0A2"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6AFC31A8"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6809EF11"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602554E3"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13367005"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2A742458"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4" w:space="0" w:color="000000"/>
            </w:tcBorders>
            <w:vAlign w:val="bottom"/>
          </w:tcPr>
          <w:p w14:paraId="44A3041B" w14:textId="77777777" w:rsidR="008E5DE4" w:rsidRDefault="008E5DE4">
            <w:pPr>
              <w:widowControl w:val="0"/>
              <w:pBdr>
                <w:top w:val="nil"/>
                <w:left w:val="nil"/>
                <w:bottom w:val="nil"/>
                <w:right w:val="nil"/>
                <w:between w:val="nil"/>
              </w:pBdr>
              <w:ind w:left="-113"/>
              <w:jc w:val="right"/>
              <w:rPr>
                <w:b/>
                <w:color w:val="000000"/>
              </w:rPr>
            </w:pPr>
          </w:p>
        </w:tc>
      </w:tr>
      <w:tr w:rsidR="008E5DE4" w14:paraId="5BAE9CCE" w14:textId="77777777">
        <w:trPr>
          <w:cantSplit/>
        </w:trPr>
        <w:tc>
          <w:tcPr>
            <w:tcW w:w="3005" w:type="dxa"/>
            <w:vAlign w:val="bottom"/>
          </w:tcPr>
          <w:p w14:paraId="2F01E6E8" w14:textId="77777777" w:rsidR="008E5DE4" w:rsidRDefault="00780368">
            <w:pPr>
              <w:widowControl w:val="0"/>
              <w:pBdr>
                <w:top w:val="nil"/>
                <w:left w:val="nil"/>
                <w:bottom w:val="nil"/>
                <w:right w:val="nil"/>
                <w:between w:val="nil"/>
              </w:pBdr>
              <w:ind w:left="113" w:right="-57" w:hanging="113"/>
              <w:rPr>
                <w:smallCaps/>
                <w:color w:val="000000"/>
              </w:rPr>
            </w:pPr>
            <w:r>
              <w:rPr>
                <w:b/>
                <w:smallCaps/>
                <w:color w:val="000000"/>
              </w:rPr>
              <w:t>TOTAL ASSETS</w:t>
            </w:r>
          </w:p>
        </w:tc>
        <w:tc>
          <w:tcPr>
            <w:tcW w:w="794" w:type="dxa"/>
            <w:vAlign w:val="bottom"/>
          </w:tcPr>
          <w:p w14:paraId="77041317"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725D5E20"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02F0ECBC"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6FB6AC8E"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4E06AFA2"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718CC7EB"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40DE7C0E" w14:textId="77777777" w:rsidR="008E5DE4" w:rsidRDefault="008E5DE4">
            <w:pPr>
              <w:widowControl w:val="0"/>
              <w:pBdr>
                <w:top w:val="nil"/>
                <w:left w:val="nil"/>
                <w:bottom w:val="nil"/>
                <w:right w:val="nil"/>
                <w:between w:val="nil"/>
              </w:pBdr>
              <w:ind w:left="-113"/>
              <w:jc w:val="right"/>
              <w:rPr>
                <w:b/>
                <w:smallCaps/>
                <w:color w:val="000000"/>
              </w:rPr>
            </w:pPr>
          </w:p>
        </w:tc>
        <w:tc>
          <w:tcPr>
            <w:tcW w:w="794" w:type="dxa"/>
            <w:vAlign w:val="bottom"/>
          </w:tcPr>
          <w:p w14:paraId="3249FE54" w14:textId="77777777" w:rsidR="008E5DE4" w:rsidRDefault="008E5DE4">
            <w:pPr>
              <w:widowControl w:val="0"/>
              <w:pBdr>
                <w:top w:val="nil"/>
                <w:left w:val="nil"/>
                <w:bottom w:val="nil"/>
                <w:right w:val="nil"/>
                <w:between w:val="nil"/>
              </w:pBdr>
              <w:ind w:left="-113"/>
              <w:jc w:val="right"/>
              <w:rPr>
                <w:b/>
                <w:smallCaps/>
                <w:color w:val="000000"/>
              </w:rPr>
            </w:pPr>
          </w:p>
        </w:tc>
      </w:tr>
      <w:tr w:rsidR="008E5DE4" w14:paraId="70A7BF6F" w14:textId="77777777">
        <w:trPr>
          <w:cantSplit/>
        </w:trPr>
        <w:tc>
          <w:tcPr>
            <w:tcW w:w="3005" w:type="dxa"/>
            <w:tcBorders>
              <w:bottom w:val="single" w:sz="8" w:space="0" w:color="000000"/>
            </w:tcBorders>
            <w:vAlign w:val="bottom"/>
          </w:tcPr>
          <w:p w14:paraId="54C25ED4" w14:textId="77777777" w:rsidR="008E5DE4" w:rsidRDefault="00780368">
            <w:pPr>
              <w:widowControl w:val="0"/>
              <w:ind w:left="113" w:right="-57" w:hanging="113"/>
              <w:rPr>
                <w:b/>
                <w:i/>
              </w:rPr>
            </w:pPr>
            <w:r>
              <w:rPr>
                <w:color w:val="0000FF"/>
              </w:rPr>
              <w:t> </w:t>
            </w:r>
          </w:p>
        </w:tc>
        <w:tc>
          <w:tcPr>
            <w:tcW w:w="794" w:type="dxa"/>
            <w:tcBorders>
              <w:bottom w:val="single" w:sz="8" w:space="0" w:color="000000"/>
            </w:tcBorders>
            <w:vAlign w:val="bottom"/>
          </w:tcPr>
          <w:p w14:paraId="3FBCDC9B"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4B680E3C"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71F6EB29"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28A87C28"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62AFD289"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0E2CC0F7"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65F38C7C"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4B615932" w14:textId="77777777" w:rsidR="008E5DE4" w:rsidRDefault="008E5DE4">
            <w:pPr>
              <w:widowControl w:val="0"/>
              <w:pBdr>
                <w:top w:val="nil"/>
                <w:left w:val="nil"/>
                <w:bottom w:val="nil"/>
                <w:right w:val="nil"/>
                <w:between w:val="nil"/>
              </w:pBdr>
              <w:ind w:left="-113"/>
              <w:jc w:val="right"/>
              <w:rPr>
                <w:b/>
                <w:color w:val="000000"/>
              </w:rPr>
            </w:pPr>
          </w:p>
        </w:tc>
      </w:tr>
    </w:tbl>
    <w:p w14:paraId="6E67F138"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53</w:t>
      </w:r>
      <w:r>
        <w:rPr>
          <w:b/>
          <w:color w:val="000000"/>
          <w:sz w:val="20"/>
          <w:szCs w:val="20"/>
        </w:rPr>
        <w:tab/>
        <w:t>Fair Value Disclosures (Continued)</w:t>
      </w:r>
    </w:p>
    <w:tbl>
      <w:tblPr>
        <w:tblStyle w:val="affffffffffffff3"/>
        <w:tblW w:w="9356" w:type="dxa"/>
        <w:tblLayout w:type="fixed"/>
        <w:tblLook w:val="0000" w:firstRow="0" w:lastRow="0" w:firstColumn="0" w:lastColumn="0" w:noHBand="0" w:noVBand="0"/>
      </w:tblPr>
      <w:tblGrid>
        <w:gridCol w:w="3004"/>
        <w:gridCol w:w="794"/>
        <w:gridCol w:w="794"/>
        <w:gridCol w:w="794"/>
        <w:gridCol w:w="794"/>
        <w:gridCol w:w="794"/>
        <w:gridCol w:w="794"/>
        <w:gridCol w:w="794"/>
        <w:gridCol w:w="794"/>
      </w:tblGrid>
      <w:tr w:rsidR="008E5DE4" w14:paraId="23DC8FCF" w14:textId="77777777">
        <w:trPr>
          <w:cantSplit/>
        </w:trPr>
        <w:tc>
          <w:tcPr>
            <w:tcW w:w="3005" w:type="dxa"/>
            <w:vAlign w:val="bottom"/>
          </w:tcPr>
          <w:p w14:paraId="249DE0C4" w14:textId="77777777" w:rsidR="008E5DE4" w:rsidRDefault="008E5DE4">
            <w:pPr>
              <w:widowControl w:val="0"/>
              <w:pBdr>
                <w:top w:val="nil"/>
                <w:left w:val="nil"/>
                <w:bottom w:val="nil"/>
                <w:right w:val="nil"/>
                <w:between w:val="nil"/>
              </w:pBdr>
              <w:ind w:left="113" w:right="-57" w:hanging="113"/>
              <w:rPr>
                <w:i/>
                <w:color w:val="000000"/>
              </w:rPr>
            </w:pPr>
          </w:p>
        </w:tc>
        <w:tc>
          <w:tcPr>
            <w:tcW w:w="3176" w:type="dxa"/>
            <w:gridSpan w:val="4"/>
            <w:tcBorders>
              <w:bottom w:val="single" w:sz="4" w:space="0" w:color="000000"/>
            </w:tcBorders>
            <w:vAlign w:val="bottom"/>
          </w:tcPr>
          <w:p w14:paraId="57C47693" w14:textId="709CB6F5" w:rsidR="008E5DE4" w:rsidRDefault="00780368">
            <w:pPr>
              <w:widowControl w:val="0"/>
              <w:pBdr>
                <w:top w:val="nil"/>
                <w:left w:val="nil"/>
                <w:bottom w:val="nil"/>
                <w:right w:val="nil"/>
                <w:between w:val="nil"/>
              </w:pBdr>
              <w:jc w:val="center"/>
              <w:rPr>
                <w:b/>
                <w:color w:val="000000"/>
              </w:rPr>
            </w:pPr>
            <w:r>
              <w:rPr>
                <w:b/>
                <w:color w:val="000000"/>
              </w:rPr>
              <w:t xml:space="preserve">31 December </w:t>
            </w:r>
            <w:r w:rsidR="008614F8">
              <w:rPr>
                <w:b/>
                <w:color w:val="000000"/>
              </w:rPr>
              <w:t>2025</w:t>
            </w:r>
          </w:p>
        </w:tc>
        <w:tc>
          <w:tcPr>
            <w:tcW w:w="3176" w:type="dxa"/>
            <w:gridSpan w:val="4"/>
            <w:tcBorders>
              <w:bottom w:val="single" w:sz="4" w:space="0" w:color="000000"/>
            </w:tcBorders>
            <w:vAlign w:val="bottom"/>
          </w:tcPr>
          <w:p w14:paraId="2705C829" w14:textId="44C58347" w:rsidR="008E5DE4" w:rsidRDefault="00780368">
            <w:pPr>
              <w:widowControl w:val="0"/>
              <w:pBdr>
                <w:top w:val="nil"/>
                <w:left w:val="nil"/>
                <w:bottom w:val="nil"/>
                <w:right w:val="nil"/>
                <w:between w:val="nil"/>
              </w:pBdr>
              <w:jc w:val="center"/>
              <w:rPr>
                <w:b/>
                <w:color w:val="000000"/>
              </w:rPr>
            </w:pPr>
            <w:r>
              <w:rPr>
                <w:b/>
                <w:color w:val="000000"/>
              </w:rPr>
              <w:t xml:space="preserve">31 December </w:t>
            </w:r>
            <w:r w:rsidR="00A46633">
              <w:rPr>
                <w:b/>
                <w:color w:val="000000"/>
              </w:rPr>
              <w:t>2024</w:t>
            </w:r>
          </w:p>
        </w:tc>
      </w:tr>
      <w:tr w:rsidR="008E5DE4" w14:paraId="733FD74F" w14:textId="77777777">
        <w:trPr>
          <w:cantSplit/>
        </w:trPr>
        <w:tc>
          <w:tcPr>
            <w:tcW w:w="3005" w:type="dxa"/>
            <w:tcBorders>
              <w:bottom w:val="single" w:sz="4" w:space="0" w:color="000000"/>
            </w:tcBorders>
            <w:vAlign w:val="bottom"/>
          </w:tcPr>
          <w:p w14:paraId="5F85B38A" w14:textId="77777777" w:rsidR="008E5DE4" w:rsidRDefault="008E5DE4">
            <w:pPr>
              <w:widowControl w:val="0"/>
              <w:pBdr>
                <w:top w:val="nil"/>
                <w:left w:val="nil"/>
                <w:bottom w:val="nil"/>
                <w:right w:val="nil"/>
                <w:between w:val="nil"/>
              </w:pBdr>
              <w:ind w:left="113" w:right="-57" w:hanging="113"/>
              <w:rPr>
                <w:i/>
                <w:color w:val="000000"/>
              </w:rPr>
            </w:pPr>
          </w:p>
          <w:p w14:paraId="2745AFF1"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794" w:type="dxa"/>
            <w:tcBorders>
              <w:top w:val="single" w:sz="4" w:space="0" w:color="000000"/>
              <w:bottom w:val="single" w:sz="4" w:space="0" w:color="000000"/>
            </w:tcBorders>
          </w:tcPr>
          <w:p w14:paraId="377B7F3A" w14:textId="77777777" w:rsidR="008E5DE4" w:rsidRDefault="00780368">
            <w:pPr>
              <w:widowControl w:val="0"/>
              <w:pBdr>
                <w:top w:val="nil"/>
                <w:left w:val="nil"/>
                <w:bottom w:val="nil"/>
                <w:right w:val="nil"/>
                <w:between w:val="nil"/>
              </w:pBdr>
              <w:ind w:left="-113"/>
              <w:jc w:val="right"/>
              <w:rPr>
                <w:b/>
                <w:color w:val="000000"/>
              </w:rPr>
            </w:pPr>
            <w:r>
              <w:rPr>
                <w:b/>
                <w:color w:val="000000"/>
              </w:rPr>
              <w:t>Level 1</w:t>
            </w:r>
          </w:p>
          <w:p w14:paraId="17CCA346"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20A067AF" w14:textId="77777777" w:rsidR="008E5DE4" w:rsidRDefault="00780368">
            <w:pPr>
              <w:widowControl w:val="0"/>
              <w:pBdr>
                <w:top w:val="nil"/>
                <w:left w:val="nil"/>
                <w:bottom w:val="nil"/>
                <w:right w:val="nil"/>
                <w:between w:val="nil"/>
              </w:pBdr>
              <w:ind w:left="-113"/>
              <w:jc w:val="right"/>
              <w:rPr>
                <w:b/>
                <w:color w:val="000000"/>
              </w:rPr>
            </w:pPr>
            <w:r>
              <w:rPr>
                <w:b/>
                <w:color w:val="000000"/>
              </w:rPr>
              <w:t>Level 2</w:t>
            </w:r>
          </w:p>
          <w:p w14:paraId="44B66157"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23C12C5C" w14:textId="77777777" w:rsidR="008E5DE4" w:rsidRDefault="00780368">
            <w:pPr>
              <w:widowControl w:val="0"/>
              <w:pBdr>
                <w:top w:val="nil"/>
                <w:left w:val="nil"/>
                <w:bottom w:val="nil"/>
                <w:right w:val="nil"/>
                <w:between w:val="nil"/>
              </w:pBdr>
              <w:ind w:left="-113"/>
              <w:jc w:val="right"/>
              <w:rPr>
                <w:b/>
                <w:color w:val="000000"/>
              </w:rPr>
            </w:pPr>
            <w:r>
              <w:rPr>
                <w:b/>
                <w:color w:val="000000"/>
              </w:rPr>
              <w:t>Level 3</w:t>
            </w:r>
          </w:p>
          <w:p w14:paraId="44CF9286"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6A34F4FF" w14:textId="77777777" w:rsidR="008E5DE4" w:rsidRDefault="00780368">
            <w:pPr>
              <w:widowControl w:val="0"/>
              <w:pBdr>
                <w:top w:val="nil"/>
                <w:left w:val="nil"/>
                <w:bottom w:val="nil"/>
                <w:right w:val="nil"/>
                <w:between w:val="nil"/>
              </w:pBdr>
              <w:ind w:left="-113"/>
              <w:jc w:val="right"/>
              <w:rPr>
                <w:b/>
                <w:color w:val="000000"/>
              </w:rPr>
            </w:pPr>
            <w:r>
              <w:rPr>
                <w:b/>
                <w:color w:val="000000"/>
              </w:rPr>
              <w:t>Carry-</w:t>
            </w:r>
            <w:proofErr w:type="spellStart"/>
            <w:r>
              <w:rPr>
                <w:b/>
                <w:color w:val="000000"/>
              </w:rPr>
              <w:t>ing</w:t>
            </w:r>
            <w:proofErr w:type="spellEnd"/>
            <w:r>
              <w:rPr>
                <w:b/>
                <w:color w:val="000000"/>
              </w:rPr>
              <w:t xml:space="preserve"> value</w:t>
            </w:r>
          </w:p>
        </w:tc>
        <w:tc>
          <w:tcPr>
            <w:tcW w:w="794" w:type="dxa"/>
            <w:tcBorders>
              <w:top w:val="single" w:sz="4" w:space="0" w:color="000000"/>
              <w:bottom w:val="single" w:sz="4" w:space="0" w:color="000000"/>
            </w:tcBorders>
          </w:tcPr>
          <w:p w14:paraId="0CA7BE12" w14:textId="77777777" w:rsidR="008E5DE4" w:rsidRDefault="00780368">
            <w:pPr>
              <w:widowControl w:val="0"/>
              <w:pBdr>
                <w:top w:val="nil"/>
                <w:left w:val="nil"/>
                <w:bottom w:val="nil"/>
                <w:right w:val="nil"/>
                <w:between w:val="nil"/>
              </w:pBdr>
              <w:ind w:left="-113"/>
              <w:jc w:val="right"/>
              <w:rPr>
                <w:b/>
                <w:color w:val="000000"/>
              </w:rPr>
            </w:pPr>
            <w:r>
              <w:rPr>
                <w:b/>
                <w:color w:val="000000"/>
              </w:rPr>
              <w:t>Level 1</w:t>
            </w:r>
          </w:p>
          <w:p w14:paraId="1A336D71"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41FA44AB" w14:textId="77777777" w:rsidR="008E5DE4" w:rsidRDefault="00780368">
            <w:pPr>
              <w:widowControl w:val="0"/>
              <w:pBdr>
                <w:top w:val="nil"/>
                <w:left w:val="nil"/>
                <w:bottom w:val="nil"/>
                <w:right w:val="nil"/>
                <w:between w:val="nil"/>
              </w:pBdr>
              <w:ind w:left="-113"/>
              <w:jc w:val="right"/>
              <w:rPr>
                <w:b/>
                <w:color w:val="000000"/>
              </w:rPr>
            </w:pPr>
            <w:r>
              <w:rPr>
                <w:b/>
                <w:color w:val="000000"/>
              </w:rPr>
              <w:t>Level 2</w:t>
            </w:r>
          </w:p>
          <w:p w14:paraId="39292BF0"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7B876B87" w14:textId="77777777" w:rsidR="008E5DE4" w:rsidRDefault="00780368">
            <w:pPr>
              <w:widowControl w:val="0"/>
              <w:pBdr>
                <w:top w:val="nil"/>
                <w:left w:val="nil"/>
                <w:bottom w:val="nil"/>
                <w:right w:val="nil"/>
                <w:between w:val="nil"/>
              </w:pBdr>
              <w:ind w:left="-113"/>
              <w:jc w:val="right"/>
              <w:rPr>
                <w:b/>
                <w:color w:val="000000"/>
              </w:rPr>
            </w:pPr>
            <w:r>
              <w:rPr>
                <w:b/>
                <w:color w:val="000000"/>
              </w:rPr>
              <w:t>Level 3</w:t>
            </w:r>
          </w:p>
          <w:p w14:paraId="153515FA" w14:textId="77777777" w:rsidR="008E5DE4" w:rsidRDefault="00780368">
            <w:pPr>
              <w:widowControl w:val="0"/>
              <w:pBdr>
                <w:top w:val="nil"/>
                <w:left w:val="nil"/>
                <w:bottom w:val="nil"/>
                <w:right w:val="nil"/>
                <w:between w:val="nil"/>
              </w:pBdr>
              <w:ind w:left="-113"/>
              <w:jc w:val="right"/>
              <w:rPr>
                <w:b/>
                <w:color w:val="000000"/>
              </w:rPr>
            </w:pPr>
            <w:r>
              <w:rPr>
                <w:b/>
                <w:color w:val="000000"/>
              </w:rPr>
              <w:t>fair value</w:t>
            </w:r>
          </w:p>
        </w:tc>
        <w:tc>
          <w:tcPr>
            <w:tcW w:w="794" w:type="dxa"/>
            <w:tcBorders>
              <w:top w:val="single" w:sz="4" w:space="0" w:color="000000"/>
              <w:bottom w:val="single" w:sz="4" w:space="0" w:color="000000"/>
            </w:tcBorders>
          </w:tcPr>
          <w:p w14:paraId="3098DC15" w14:textId="77777777" w:rsidR="008E5DE4" w:rsidRDefault="00780368">
            <w:pPr>
              <w:widowControl w:val="0"/>
              <w:pBdr>
                <w:top w:val="nil"/>
                <w:left w:val="nil"/>
                <w:bottom w:val="nil"/>
                <w:right w:val="nil"/>
                <w:between w:val="nil"/>
              </w:pBdr>
              <w:ind w:left="-113"/>
              <w:jc w:val="right"/>
              <w:rPr>
                <w:b/>
                <w:color w:val="000000"/>
              </w:rPr>
            </w:pPr>
            <w:r>
              <w:rPr>
                <w:b/>
                <w:color w:val="000000"/>
              </w:rPr>
              <w:t>Carry-</w:t>
            </w:r>
            <w:proofErr w:type="spellStart"/>
            <w:r>
              <w:rPr>
                <w:b/>
                <w:color w:val="000000"/>
              </w:rPr>
              <w:t>ing</w:t>
            </w:r>
            <w:proofErr w:type="spellEnd"/>
            <w:r>
              <w:rPr>
                <w:b/>
                <w:color w:val="000000"/>
              </w:rPr>
              <w:t xml:space="preserve"> value</w:t>
            </w:r>
          </w:p>
        </w:tc>
      </w:tr>
      <w:tr w:rsidR="008E5DE4" w14:paraId="1815D320" w14:textId="77777777">
        <w:trPr>
          <w:cantSplit/>
        </w:trPr>
        <w:tc>
          <w:tcPr>
            <w:tcW w:w="3005" w:type="dxa"/>
            <w:tcBorders>
              <w:top w:val="single" w:sz="8" w:space="0" w:color="000000"/>
            </w:tcBorders>
            <w:vAlign w:val="bottom"/>
          </w:tcPr>
          <w:p w14:paraId="7333EF0D" w14:textId="77777777" w:rsidR="008E5DE4" w:rsidRDefault="00780368">
            <w:pPr>
              <w:widowControl w:val="0"/>
              <w:ind w:left="113" w:right="-57" w:hanging="113"/>
              <w:rPr>
                <w:b/>
                <w:i/>
              </w:rPr>
            </w:pPr>
            <w:r>
              <w:rPr>
                <w:color w:val="0000FF"/>
              </w:rPr>
              <w:t> </w:t>
            </w:r>
          </w:p>
        </w:tc>
        <w:tc>
          <w:tcPr>
            <w:tcW w:w="794" w:type="dxa"/>
            <w:tcBorders>
              <w:top w:val="single" w:sz="8" w:space="0" w:color="000000"/>
            </w:tcBorders>
            <w:vAlign w:val="bottom"/>
          </w:tcPr>
          <w:p w14:paraId="2A66C195"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431D2E58"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5187CF2B"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62237F5C"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06D9C4FE"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6B66EC35"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6680A656"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707A1F76" w14:textId="77777777" w:rsidR="008E5DE4" w:rsidRDefault="008E5DE4">
            <w:pPr>
              <w:widowControl w:val="0"/>
              <w:pBdr>
                <w:top w:val="nil"/>
                <w:left w:val="nil"/>
                <w:bottom w:val="nil"/>
                <w:right w:val="nil"/>
                <w:between w:val="nil"/>
              </w:pBdr>
              <w:ind w:left="-113"/>
              <w:jc w:val="right"/>
              <w:rPr>
                <w:b/>
                <w:color w:val="000000"/>
              </w:rPr>
            </w:pPr>
          </w:p>
        </w:tc>
      </w:tr>
      <w:tr w:rsidR="008E5DE4" w14:paraId="56A67C19" w14:textId="77777777">
        <w:trPr>
          <w:cantSplit/>
        </w:trPr>
        <w:tc>
          <w:tcPr>
            <w:tcW w:w="3005" w:type="dxa"/>
            <w:vAlign w:val="bottom"/>
          </w:tcPr>
          <w:p w14:paraId="185143C6" w14:textId="77777777" w:rsidR="008E5DE4" w:rsidRDefault="00780368">
            <w:pPr>
              <w:widowControl w:val="0"/>
              <w:ind w:left="113" w:right="-57" w:hanging="113"/>
              <w:rPr>
                <w:b/>
                <w:i/>
              </w:rPr>
            </w:pPr>
            <w:r>
              <w:rPr>
                <w:b/>
                <w:i/>
              </w:rPr>
              <w:t>LIABILITIES</w:t>
            </w:r>
          </w:p>
        </w:tc>
        <w:tc>
          <w:tcPr>
            <w:tcW w:w="794" w:type="dxa"/>
            <w:vAlign w:val="bottom"/>
          </w:tcPr>
          <w:p w14:paraId="00A1D1E9"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AFE75FD"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F015A67"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1F61183"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80A9E3C"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A656739"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F35C043"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C1D99EA" w14:textId="77777777" w:rsidR="008E5DE4" w:rsidRDefault="008E5DE4">
            <w:pPr>
              <w:widowControl w:val="0"/>
              <w:pBdr>
                <w:top w:val="nil"/>
                <w:left w:val="nil"/>
                <w:bottom w:val="nil"/>
                <w:right w:val="nil"/>
                <w:between w:val="nil"/>
              </w:pBdr>
              <w:ind w:left="-113"/>
              <w:jc w:val="right"/>
              <w:rPr>
                <w:b/>
                <w:color w:val="000000"/>
              </w:rPr>
            </w:pPr>
          </w:p>
        </w:tc>
      </w:tr>
      <w:tr w:rsidR="008E5DE4" w14:paraId="44FB99D1" w14:textId="77777777">
        <w:trPr>
          <w:cantSplit/>
        </w:trPr>
        <w:tc>
          <w:tcPr>
            <w:tcW w:w="3005" w:type="dxa"/>
            <w:vAlign w:val="bottom"/>
          </w:tcPr>
          <w:p w14:paraId="4BF3BFF8" w14:textId="77777777" w:rsidR="008E5DE4" w:rsidRDefault="008E5DE4">
            <w:pPr>
              <w:widowControl w:val="0"/>
              <w:ind w:left="113" w:right="-57" w:hanging="113"/>
              <w:rPr>
                <w:b/>
                <w:i/>
              </w:rPr>
            </w:pPr>
          </w:p>
        </w:tc>
        <w:tc>
          <w:tcPr>
            <w:tcW w:w="794" w:type="dxa"/>
            <w:vAlign w:val="bottom"/>
          </w:tcPr>
          <w:p w14:paraId="611874B8"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24298B4"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FE8ED68"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5E89B95"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7A563B8"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EEF5359"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1E5D5E71"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EFCD81C" w14:textId="77777777" w:rsidR="008E5DE4" w:rsidRDefault="008E5DE4">
            <w:pPr>
              <w:widowControl w:val="0"/>
              <w:pBdr>
                <w:top w:val="nil"/>
                <w:left w:val="nil"/>
                <w:bottom w:val="nil"/>
                <w:right w:val="nil"/>
                <w:between w:val="nil"/>
              </w:pBdr>
              <w:ind w:left="-113"/>
              <w:jc w:val="right"/>
              <w:rPr>
                <w:b/>
                <w:color w:val="000000"/>
              </w:rPr>
            </w:pPr>
          </w:p>
        </w:tc>
      </w:tr>
      <w:tr w:rsidR="008E5DE4" w14:paraId="47AA00BE" w14:textId="77777777">
        <w:trPr>
          <w:cantSplit/>
        </w:trPr>
        <w:tc>
          <w:tcPr>
            <w:tcW w:w="3005" w:type="dxa"/>
            <w:vAlign w:val="bottom"/>
          </w:tcPr>
          <w:p w14:paraId="0348B348" w14:textId="77777777" w:rsidR="008E5DE4" w:rsidRDefault="00780368">
            <w:pPr>
              <w:widowControl w:val="0"/>
              <w:ind w:left="113" w:right="-57" w:hanging="113"/>
              <w:rPr>
                <w:b/>
              </w:rPr>
            </w:pPr>
            <w:r>
              <w:rPr>
                <w:b/>
                <w:i/>
              </w:rPr>
              <w:t>Borrowings</w:t>
            </w:r>
          </w:p>
        </w:tc>
        <w:tc>
          <w:tcPr>
            <w:tcW w:w="794" w:type="dxa"/>
            <w:vAlign w:val="bottom"/>
          </w:tcPr>
          <w:p w14:paraId="17128828"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CFE2673"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D15D1EE"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9239497"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5084BE1"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A53ED93"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0CDFD89"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9846881" w14:textId="77777777" w:rsidR="008E5DE4" w:rsidRDefault="008E5DE4">
            <w:pPr>
              <w:widowControl w:val="0"/>
              <w:pBdr>
                <w:top w:val="nil"/>
                <w:left w:val="nil"/>
                <w:bottom w:val="nil"/>
                <w:right w:val="nil"/>
                <w:between w:val="nil"/>
              </w:pBdr>
              <w:ind w:left="-113"/>
              <w:jc w:val="right"/>
              <w:rPr>
                <w:b/>
                <w:color w:val="000000"/>
              </w:rPr>
            </w:pPr>
          </w:p>
        </w:tc>
      </w:tr>
      <w:tr w:rsidR="008E5DE4" w14:paraId="4246ED7D" w14:textId="77777777">
        <w:trPr>
          <w:cantSplit/>
        </w:trPr>
        <w:tc>
          <w:tcPr>
            <w:tcW w:w="3005" w:type="dxa"/>
            <w:vAlign w:val="bottom"/>
          </w:tcPr>
          <w:p w14:paraId="5FEB57BB" w14:textId="77777777" w:rsidR="008E5DE4" w:rsidRDefault="00780368">
            <w:pPr>
              <w:widowControl w:val="0"/>
              <w:ind w:left="113" w:right="-57" w:hanging="113"/>
              <w:rPr>
                <w:i/>
              </w:rPr>
            </w:pPr>
            <w:r>
              <w:t>- Bank loan</w:t>
            </w:r>
          </w:p>
        </w:tc>
        <w:tc>
          <w:tcPr>
            <w:tcW w:w="794" w:type="dxa"/>
            <w:vAlign w:val="bottom"/>
          </w:tcPr>
          <w:p w14:paraId="6291918D"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589A84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D09DF1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EC08F1C"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C3EF485"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63779DF"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94B148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105FB246" w14:textId="77777777" w:rsidR="008E5DE4" w:rsidRDefault="008E5DE4">
            <w:pPr>
              <w:widowControl w:val="0"/>
              <w:pBdr>
                <w:top w:val="nil"/>
                <w:left w:val="nil"/>
                <w:bottom w:val="nil"/>
                <w:right w:val="nil"/>
                <w:between w:val="nil"/>
              </w:pBdr>
              <w:ind w:left="-113"/>
              <w:jc w:val="right"/>
              <w:rPr>
                <w:b/>
                <w:color w:val="000000"/>
              </w:rPr>
            </w:pPr>
          </w:p>
        </w:tc>
      </w:tr>
      <w:tr w:rsidR="008E5DE4" w14:paraId="6161C86C" w14:textId="77777777">
        <w:trPr>
          <w:cantSplit/>
        </w:trPr>
        <w:tc>
          <w:tcPr>
            <w:tcW w:w="3005" w:type="dxa"/>
            <w:vAlign w:val="bottom"/>
          </w:tcPr>
          <w:p w14:paraId="3611A7E2" w14:textId="77777777" w:rsidR="008E5DE4" w:rsidRDefault="00780368">
            <w:pPr>
              <w:widowControl w:val="0"/>
              <w:ind w:left="113" w:right="-57" w:hanging="113"/>
            </w:pPr>
            <w:r>
              <w:t xml:space="preserve">- Other loan </w:t>
            </w:r>
          </w:p>
        </w:tc>
        <w:tc>
          <w:tcPr>
            <w:tcW w:w="794" w:type="dxa"/>
            <w:vAlign w:val="bottom"/>
          </w:tcPr>
          <w:p w14:paraId="5E6249E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BBA746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B11019E"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1677CEA9"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D3FEF15"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8C3A941"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5411E65"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1E37E53B" w14:textId="77777777" w:rsidR="008E5DE4" w:rsidRDefault="008E5DE4">
            <w:pPr>
              <w:widowControl w:val="0"/>
              <w:pBdr>
                <w:top w:val="nil"/>
                <w:left w:val="nil"/>
                <w:bottom w:val="nil"/>
                <w:right w:val="nil"/>
                <w:between w:val="nil"/>
              </w:pBdr>
              <w:ind w:left="-113"/>
              <w:jc w:val="right"/>
              <w:rPr>
                <w:b/>
                <w:color w:val="000000"/>
              </w:rPr>
            </w:pPr>
          </w:p>
        </w:tc>
      </w:tr>
      <w:tr w:rsidR="008E5DE4" w14:paraId="46EE986E" w14:textId="77777777">
        <w:trPr>
          <w:cantSplit/>
        </w:trPr>
        <w:tc>
          <w:tcPr>
            <w:tcW w:w="3005" w:type="dxa"/>
            <w:vAlign w:val="bottom"/>
          </w:tcPr>
          <w:p w14:paraId="7F52B5B7" w14:textId="77777777" w:rsidR="008E5DE4" w:rsidRDefault="00780368">
            <w:pPr>
              <w:widowControl w:val="0"/>
              <w:ind w:left="113" w:right="-57" w:hanging="113"/>
            </w:pPr>
            <w:r>
              <w:t>- Bonds issued</w:t>
            </w:r>
          </w:p>
        </w:tc>
        <w:tc>
          <w:tcPr>
            <w:tcW w:w="794" w:type="dxa"/>
            <w:vAlign w:val="bottom"/>
          </w:tcPr>
          <w:p w14:paraId="23122F8F"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BB74104"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1045F58C"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6E9AD16"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DA20BCC"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CAB4CAE"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12A97233"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98ED0D8" w14:textId="77777777" w:rsidR="008E5DE4" w:rsidRDefault="008E5DE4">
            <w:pPr>
              <w:widowControl w:val="0"/>
              <w:pBdr>
                <w:top w:val="nil"/>
                <w:left w:val="nil"/>
                <w:bottom w:val="nil"/>
                <w:right w:val="nil"/>
                <w:between w:val="nil"/>
              </w:pBdr>
              <w:ind w:left="-113"/>
              <w:jc w:val="right"/>
              <w:rPr>
                <w:b/>
                <w:color w:val="000000"/>
              </w:rPr>
            </w:pPr>
          </w:p>
        </w:tc>
      </w:tr>
      <w:tr w:rsidR="008E5DE4" w14:paraId="2B734551" w14:textId="77777777">
        <w:trPr>
          <w:cantSplit/>
        </w:trPr>
        <w:tc>
          <w:tcPr>
            <w:tcW w:w="3005" w:type="dxa"/>
            <w:vAlign w:val="bottom"/>
          </w:tcPr>
          <w:p w14:paraId="4A5A8303" w14:textId="77777777" w:rsidR="008E5DE4" w:rsidRDefault="008E5DE4">
            <w:pPr>
              <w:widowControl w:val="0"/>
              <w:ind w:left="113" w:right="-57" w:hanging="113"/>
              <w:rPr>
                <w:b/>
                <w:i/>
              </w:rPr>
            </w:pPr>
          </w:p>
        </w:tc>
        <w:tc>
          <w:tcPr>
            <w:tcW w:w="794" w:type="dxa"/>
            <w:vAlign w:val="bottom"/>
          </w:tcPr>
          <w:p w14:paraId="0D60D5C5"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6F5AB93"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9C40B68"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0F668ED"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8242543"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DB65B06"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7CECD4B"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3A6A777" w14:textId="77777777" w:rsidR="008E5DE4" w:rsidRDefault="008E5DE4">
            <w:pPr>
              <w:widowControl w:val="0"/>
              <w:pBdr>
                <w:top w:val="nil"/>
                <w:left w:val="nil"/>
                <w:bottom w:val="nil"/>
                <w:right w:val="nil"/>
                <w:between w:val="nil"/>
              </w:pBdr>
              <w:ind w:left="-113"/>
              <w:jc w:val="right"/>
              <w:rPr>
                <w:b/>
                <w:color w:val="000000"/>
              </w:rPr>
            </w:pPr>
          </w:p>
        </w:tc>
      </w:tr>
      <w:tr w:rsidR="008E5DE4" w14:paraId="6B23212C" w14:textId="77777777">
        <w:trPr>
          <w:cantSplit/>
        </w:trPr>
        <w:tc>
          <w:tcPr>
            <w:tcW w:w="3005" w:type="dxa"/>
            <w:vAlign w:val="bottom"/>
          </w:tcPr>
          <w:p w14:paraId="0036FA0A" w14:textId="77777777" w:rsidR="008E5DE4" w:rsidRDefault="00780368">
            <w:pPr>
              <w:widowControl w:val="0"/>
              <w:ind w:left="113" w:right="-57" w:hanging="113"/>
            </w:pPr>
            <w:r>
              <w:rPr>
                <w:b/>
                <w:i/>
              </w:rPr>
              <w:t xml:space="preserve">Other financial liabilities </w:t>
            </w:r>
          </w:p>
        </w:tc>
        <w:tc>
          <w:tcPr>
            <w:tcW w:w="794" w:type="dxa"/>
            <w:vAlign w:val="bottom"/>
          </w:tcPr>
          <w:p w14:paraId="5822FB4B"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10F45C9"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1F51A91"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30911C1"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DFAF43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F782A1E"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FF47A98"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10FEDD0" w14:textId="77777777" w:rsidR="008E5DE4" w:rsidRDefault="008E5DE4">
            <w:pPr>
              <w:widowControl w:val="0"/>
              <w:pBdr>
                <w:top w:val="nil"/>
                <w:left w:val="nil"/>
                <w:bottom w:val="nil"/>
                <w:right w:val="nil"/>
                <w:between w:val="nil"/>
              </w:pBdr>
              <w:ind w:left="-113"/>
              <w:jc w:val="right"/>
              <w:rPr>
                <w:b/>
                <w:color w:val="000000"/>
              </w:rPr>
            </w:pPr>
          </w:p>
        </w:tc>
      </w:tr>
      <w:tr w:rsidR="008E5DE4" w14:paraId="14D74B1C" w14:textId="77777777">
        <w:trPr>
          <w:cantSplit/>
        </w:trPr>
        <w:tc>
          <w:tcPr>
            <w:tcW w:w="3005" w:type="dxa"/>
            <w:vAlign w:val="bottom"/>
          </w:tcPr>
          <w:p w14:paraId="3DBC824E" w14:textId="77777777" w:rsidR="008E5DE4" w:rsidRDefault="00780368">
            <w:pPr>
              <w:widowControl w:val="0"/>
              <w:ind w:left="113" w:right="-57" w:hanging="113"/>
              <w:rPr>
                <w:b/>
                <w:i/>
              </w:rPr>
            </w:pPr>
            <w:r>
              <w:t>- Trade payables</w:t>
            </w:r>
          </w:p>
        </w:tc>
        <w:tc>
          <w:tcPr>
            <w:tcW w:w="794" w:type="dxa"/>
            <w:vAlign w:val="bottom"/>
          </w:tcPr>
          <w:p w14:paraId="03DFC4C7"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A8CC2FC"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5211C55"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248BA1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B184D63"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E5DB5E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C18C1DF"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CD28F7B" w14:textId="77777777" w:rsidR="008E5DE4" w:rsidRDefault="008E5DE4">
            <w:pPr>
              <w:widowControl w:val="0"/>
              <w:pBdr>
                <w:top w:val="nil"/>
                <w:left w:val="nil"/>
                <w:bottom w:val="nil"/>
                <w:right w:val="nil"/>
                <w:between w:val="nil"/>
              </w:pBdr>
              <w:ind w:left="-113"/>
              <w:jc w:val="right"/>
              <w:rPr>
                <w:b/>
                <w:color w:val="000000"/>
              </w:rPr>
            </w:pPr>
          </w:p>
        </w:tc>
      </w:tr>
      <w:tr w:rsidR="008E5DE4" w14:paraId="31B33813" w14:textId="77777777">
        <w:trPr>
          <w:cantSplit/>
        </w:trPr>
        <w:tc>
          <w:tcPr>
            <w:tcW w:w="3005" w:type="dxa"/>
            <w:vAlign w:val="bottom"/>
          </w:tcPr>
          <w:p w14:paraId="22693A74" w14:textId="77777777" w:rsidR="008E5DE4" w:rsidRDefault="00780368">
            <w:pPr>
              <w:widowControl w:val="0"/>
              <w:ind w:left="113" w:right="-57" w:hanging="113"/>
            </w:pPr>
            <w:r>
              <w:t>- Dividends payable</w:t>
            </w:r>
          </w:p>
        </w:tc>
        <w:tc>
          <w:tcPr>
            <w:tcW w:w="794" w:type="dxa"/>
            <w:vAlign w:val="bottom"/>
          </w:tcPr>
          <w:p w14:paraId="39F44058"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A553F64"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36DCDD8"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67ED49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AAED875"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0B2E968"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AB0F9A5"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26617FD" w14:textId="77777777" w:rsidR="008E5DE4" w:rsidRDefault="008E5DE4">
            <w:pPr>
              <w:widowControl w:val="0"/>
              <w:pBdr>
                <w:top w:val="nil"/>
                <w:left w:val="nil"/>
                <w:bottom w:val="nil"/>
                <w:right w:val="nil"/>
                <w:between w:val="nil"/>
              </w:pBdr>
              <w:ind w:left="-113"/>
              <w:jc w:val="right"/>
              <w:rPr>
                <w:b/>
                <w:color w:val="000000"/>
              </w:rPr>
            </w:pPr>
          </w:p>
        </w:tc>
      </w:tr>
      <w:tr w:rsidR="008E5DE4" w14:paraId="517CEEA5" w14:textId="77777777">
        <w:trPr>
          <w:cantSplit/>
        </w:trPr>
        <w:tc>
          <w:tcPr>
            <w:tcW w:w="3005" w:type="dxa"/>
            <w:vAlign w:val="bottom"/>
          </w:tcPr>
          <w:p w14:paraId="437B11B6" w14:textId="77777777" w:rsidR="008E5DE4" w:rsidRDefault="00780368">
            <w:pPr>
              <w:widowControl w:val="0"/>
              <w:ind w:left="113" w:right="-57" w:hanging="113"/>
            </w:pPr>
            <w:r>
              <w:t>- Other accrued liabilities</w:t>
            </w:r>
          </w:p>
        </w:tc>
        <w:tc>
          <w:tcPr>
            <w:tcW w:w="794" w:type="dxa"/>
            <w:vAlign w:val="bottom"/>
          </w:tcPr>
          <w:p w14:paraId="636340AB"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1B4B9E2"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3D4C042B"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848C335"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A759D14"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5D17AD0E"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056D30A"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DEB287C" w14:textId="77777777" w:rsidR="008E5DE4" w:rsidRDefault="008E5DE4">
            <w:pPr>
              <w:widowControl w:val="0"/>
              <w:pBdr>
                <w:top w:val="nil"/>
                <w:left w:val="nil"/>
                <w:bottom w:val="nil"/>
                <w:right w:val="nil"/>
                <w:between w:val="nil"/>
              </w:pBdr>
              <w:ind w:left="-113"/>
              <w:jc w:val="right"/>
              <w:rPr>
                <w:b/>
                <w:color w:val="000000"/>
              </w:rPr>
            </w:pPr>
          </w:p>
        </w:tc>
      </w:tr>
      <w:tr w:rsidR="008E5DE4" w14:paraId="47829C33" w14:textId="77777777">
        <w:trPr>
          <w:cantSplit/>
        </w:trPr>
        <w:tc>
          <w:tcPr>
            <w:tcW w:w="3005" w:type="dxa"/>
            <w:tcBorders>
              <w:bottom w:val="single" w:sz="8" w:space="0" w:color="000000"/>
            </w:tcBorders>
            <w:vAlign w:val="bottom"/>
          </w:tcPr>
          <w:p w14:paraId="40DC025D" w14:textId="77777777" w:rsidR="008E5DE4" w:rsidRDefault="00780368">
            <w:pPr>
              <w:widowControl w:val="0"/>
              <w:ind w:left="113" w:right="-57" w:hanging="113"/>
            </w:pPr>
            <w:r>
              <w:rPr>
                <w:color w:val="0000FF"/>
              </w:rPr>
              <w:t> </w:t>
            </w:r>
          </w:p>
        </w:tc>
        <w:tc>
          <w:tcPr>
            <w:tcW w:w="794" w:type="dxa"/>
            <w:tcBorders>
              <w:bottom w:val="single" w:sz="8" w:space="0" w:color="000000"/>
            </w:tcBorders>
            <w:vAlign w:val="bottom"/>
          </w:tcPr>
          <w:p w14:paraId="53537C21"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44CDEFBB"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2B72A86F"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68B47972"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6EA4036C"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25242D7D"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77F1D392"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8" w:space="0" w:color="000000"/>
            </w:tcBorders>
            <w:vAlign w:val="bottom"/>
          </w:tcPr>
          <w:p w14:paraId="134E8CF7" w14:textId="77777777" w:rsidR="008E5DE4" w:rsidRDefault="008E5DE4">
            <w:pPr>
              <w:widowControl w:val="0"/>
              <w:pBdr>
                <w:top w:val="nil"/>
                <w:left w:val="nil"/>
                <w:bottom w:val="nil"/>
                <w:right w:val="nil"/>
                <w:between w:val="nil"/>
              </w:pBdr>
              <w:ind w:left="-113"/>
              <w:jc w:val="right"/>
              <w:rPr>
                <w:b/>
                <w:color w:val="000000"/>
              </w:rPr>
            </w:pPr>
          </w:p>
        </w:tc>
      </w:tr>
      <w:tr w:rsidR="008E5DE4" w14:paraId="139B2064" w14:textId="77777777">
        <w:trPr>
          <w:cantSplit/>
        </w:trPr>
        <w:tc>
          <w:tcPr>
            <w:tcW w:w="3005" w:type="dxa"/>
            <w:tcBorders>
              <w:top w:val="single" w:sz="8" w:space="0" w:color="000000"/>
            </w:tcBorders>
            <w:vAlign w:val="bottom"/>
          </w:tcPr>
          <w:p w14:paraId="78AF1A67" w14:textId="77777777" w:rsidR="008E5DE4" w:rsidRDefault="00780368">
            <w:pPr>
              <w:widowControl w:val="0"/>
              <w:ind w:left="113" w:right="-57" w:hanging="113"/>
            </w:pPr>
            <w:r>
              <w:rPr>
                <w:color w:val="0000FF"/>
              </w:rPr>
              <w:t> </w:t>
            </w:r>
          </w:p>
        </w:tc>
        <w:tc>
          <w:tcPr>
            <w:tcW w:w="794" w:type="dxa"/>
            <w:tcBorders>
              <w:top w:val="single" w:sz="8" w:space="0" w:color="000000"/>
            </w:tcBorders>
            <w:vAlign w:val="bottom"/>
          </w:tcPr>
          <w:p w14:paraId="7094E55D"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1B301C0B"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1FB0A432"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5697CF9B"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1904450D"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53D9D219"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665DE2C5"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top w:val="single" w:sz="8" w:space="0" w:color="000000"/>
            </w:tcBorders>
            <w:vAlign w:val="bottom"/>
          </w:tcPr>
          <w:p w14:paraId="3AD189AA" w14:textId="77777777" w:rsidR="008E5DE4" w:rsidRDefault="008E5DE4">
            <w:pPr>
              <w:widowControl w:val="0"/>
              <w:pBdr>
                <w:top w:val="nil"/>
                <w:left w:val="nil"/>
                <w:bottom w:val="nil"/>
                <w:right w:val="nil"/>
                <w:between w:val="nil"/>
              </w:pBdr>
              <w:ind w:left="-113"/>
              <w:jc w:val="right"/>
              <w:rPr>
                <w:b/>
                <w:color w:val="000000"/>
              </w:rPr>
            </w:pPr>
          </w:p>
        </w:tc>
      </w:tr>
      <w:tr w:rsidR="008E5DE4" w14:paraId="138F73F8" w14:textId="77777777">
        <w:trPr>
          <w:cantSplit/>
        </w:trPr>
        <w:tc>
          <w:tcPr>
            <w:tcW w:w="3005" w:type="dxa"/>
            <w:vAlign w:val="bottom"/>
          </w:tcPr>
          <w:p w14:paraId="413669CE" w14:textId="77777777" w:rsidR="008E5DE4" w:rsidRDefault="00780368">
            <w:pPr>
              <w:widowControl w:val="0"/>
              <w:ind w:left="113" w:right="-57" w:hanging="113"/>
              <w:rPr>
                <w:b/>
              </w:rPr>
            </w:pPr>
            <w:r>
              <w:rPr>
                <w:b/>
                <w:smallCaps/>
              </w:rPr>
              <w:t>TOTAL LIABILITIES</w:t>
            </w:r>
          </w:p>
        </w:tc>
        <w:tc>
          <w:tcPr>
            <w:tcW w:w="794" w:type="dxa"/>
            <w:vAlign w:val="bottom"/>
          </w:tcPr>
          <w:p w14:paraId="5F85D6A1"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2C87D3AD"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1D070FB"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648B44EB"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4DDFCF66"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1E2468B4"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75D18366" w14:textId="77777777" w:rsidR="008E5DE4" w:rsidRDefault="008E5DE4">
            <w:pPr>
              <w:widowControl w:val="0"/>
              <w:pBdr>
                <w:top w:val="nil"/>
                <w:left w:val="nil"/>
                <w:bottom w:val="nil"/>
                <w:right w:val="nil"/>
                <w:between w:val="nil"/>
              </w:pBdr>
              <w:ind w:left="-113"/>
              <w:jc w:val="right"/>
              <w:rPr>
                <w:b/>
                <w:color w:val="000000"/>
              </w:rPr>
            </w:pPr>
          </w:p>
        </w:tc>
        <w:tc>
          <w:tcPr>
            <w:tcW w:w="794" w:type="dxa"/>
            <w:vAlign w:val="bottom"/>
          </w:tcPr>
          <w:p w14:paraId="01AAE13C" w14:textId="77777777" w:rsidR="008E5DE4" w:rsidRDefault="008E5DE4">
            <w:pPr>
              <w:widowControl w:val="0"/>
              <w:pBdr>
                <w:top w:val="nil"/>
                <w:left w:val="nil"/>
                <w:bottom w:val="nil"/>
                <w:right w:val="nil"/>
                <w:between w:val="nil"/>
              </w:pBdr>
              <w:ind w:left="-113"/>
              <w:jc w:val="right"/>
              <w:rPr>
                <w:b/>
                <w:color w:val="000000"/>
              </w:rPr>
            </w:pPr>
          </w:p>
        </w:tc>
      </w:tr>
      <w:tr w:rsidR="008E5DE4" w14:paraId="2C842442" w14:textId="77777777">
        <w:trPr>
          <w:cantSplit/>
        </w:trPr>
        <w:tc>
          <w:tcPr>
            <w:tcW w:w="3005" w:type="dxa"/>
            <w:tcBorders>
              <w:bottom w:val="single" w:sz="12" w:space="0" w:color="000000"/>
            </w:tcBorders>
            <w:vAlign w:val="bottom"/>
          </w:tcPr>
          <w:p w14:paraId="0160BB47" w14:textId="77777777" w:rsidR="008E5DE4" w:rsidRDefault="00780368">
            <w:pPr>
              <w:widowControl w:val="0"/>
              <w:ind w:left="113" w:right="-57" w:hanging="113"/>
              <w:rPr>
                <w:b/>
                <w:smallCaps/>
              </w:rPr>
            </w:pPr>
            <w:r>
              <w:rPr>
                <w:color w:val="0000FF"/>
              </w:rPr>
              <w:t> </w:t>
            </w:r>
          </w:p>
        </w:tc>
        <w:tc>
          <w:tcPr>
            <w:tcW w:w="794" w:type="dxa"/>
            <w:tcBorders>
              <w:bottom w:val="single" w:sz="12" w:space="0" w:color="000000"/>
            </w:tcBorders>
            <w:vAlign w:val="bottom"/>
          </w:tcPr>
          <w:p w14:paraId="76FD5686"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12" w:space="0" w:color="000000"/>
            </w:tcBorders>
            <w:vAlign w:val="bottom"/>
          </w:tcPr>
          <w:p w14:paraId="6FED5AAC"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12" w:space="0" w:color="000000"/>
            </w:tcBorders>
            <w:vAlign w:val="bottom"/>
          </w:tcPr>
          <w:p w14:paraId="7FBC77EF"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12" w:space="0" w:color="000000"/>
            </w:tcBorders>
            <w:vAlign w:val="bottom"/>
          </w:tcPr>
          <w:p w14:paraId="7C520AF9"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12" w:space="0" w:color="000000"/>
            </w:tcBorders>
            <w:vAlign w:val="bottom"/>
          </w:tcPr>
          <w:p w14:paraId="727BFC19"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12" w:space="0" w:color="000000"/>
            </w:tcBorders>
            <w:vAlign w:val="bottom"/>
          </w:tcPr>
          <w:p w14:paraId="19833ED9"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12" w:space="0" w:color="000000"/>
            </w:tcBorders>
            <w:vAlign w:val="bottom"/>
          </w:tcPr>
          <w:p w14:paraId="5B0ED6BC" w14:textId="77777777" w:rsidR="008E5DE4" w:rsidRDefault="008E5DE4">
            <w:pPr>
              <w:widowControl w:val="0"/>
              <w:pBdr>
                <w:top w:val="nil"/>
                <w:left w:val="nil"/>
                <w:bottom w:val="nil"/>
                <w:right w:val="nil"/>
                <w:between w:val="nil"/>
              </w:pBdr>
              <w:ind w:left="-113"/>
              <w:jc w:val="right"/>
              <w:rPr>
                <w:b/>
                <w:color w:val="000000"/>
              </w:rPr>
            </w:pPr>
          </w:p>
        </w:tc>
        <w:tc>
          <w:tcPr>
            <w:tcW w:w="794" w:type="dxa"/>
            <w:tcBorders>
              <w:bottom w:val="single" w:sz="12" w:space="0" w:color="000000"/>
            </w:tcBorders>
            <w:vAlign w:val="bottom"/>
          </w:tcPr>
          <w:p w14:paraId="6350C436" w14:textId="77777777" w:rsidR="008E5DE4" w:rsidRDefault="008E5DE4">
            <w:pPr>
              <w:widowControl w:val="0"/>
              <w:pBdr>
                <w:top w:val="nil"/>
                <w:left w:val="nil"/>
                <w:bottom w:val="nil"/>
                <w:right w:val="nil"/>
                <w:between w:val="nil"/>
              </w:pBdr>
              <w:ind w:left="-113"/>
              <w:jc w:val="right"/>
              <w:rPr>
                <w:b/>
                <w:color w:val="000000"/>
              </w:rPr>
            </w:pPr>
          </w:p>
        </w:tc>
      </w:tr>
    </w:tbl>
    <w:p w14:paraId="3021B87D"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fair values in level 2 and level 3 of the fair value hierarchy were estimated using the discounted cash flows valuation technique. The fair value of floating rate instruments that are not quoted in an active market was estimated to be equal to their carrying amount. The fair value of unquoted fixed interest rate instruments was estimated based on estimated future cash flows expected to be received discounted at current interest rates for new instruments with similar credit risks and remaining maturities. </w:t>
      </w:r>
    </w:p>
    <w:p w14:paraId="18AF5BA5"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Financial assets carried at amortised cost. </w:t>
      </w:r>
      <w:r>
        <w:rPr>
          <w:color w:val="000000"/>
          <w:sz w:val="20"/>
          <w:szCs w:val="20"/>
        </w:rPr>
        <w:t>The fair value of floating rate instruments is normally their carrying amount. The estimated fair value of fixed interest rate instruments is based on estimated future cash flows expected to be received discounted at current interest rates for new instruments with similar credit risks and remaining maturities. Discount rates used depend on the credit risk of the counterparty.</w:t>
      </w:r>
    </w:p>
    <w:p w14:paraId="1A5B8051"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Liabilities carried at amortised cost. </w:t>
      </w:r>
      <w:r>
        <w:rPr>
          <w:color w:val="000000"/>
          <w:sz w:val="20"/>
          <w:szCs w:val="20"/>
        </w:rPr>
        <w:t xml:space="preserve">The fair value of Eurobonds is based on quoted market prices. Fair values of other liabilities were determined using valuation techniques. The estimated fair value of fixed interest rate instruments with stated maturities were estimated based on expected cash flows discounted at current interest rates for new instruments with similar credit risks and remaining maturities. The fair value of liabilities repayable on demand or after a notice period (“demandable liabilities”) is estimated as the amount payable on demand, discounted from the first date on which the amount could be required to be paid. The discount rates used ranged from </w:t>
      </w:r>
      <w:r w:rsidRPr="00890EB0">
        <w:rPr>
          <w:color w:val="0000FF"/>
          <w:sz w:val="20"/>
          <w:szCs w:val="20"/>
        </w:rPr>
        <w:t xml:space="preserve">___ % p.a. to ___ % p.a. </w:t>
      </w:r>
      <w:r>
        <w:rPr>
          <w:color w:val="000000"/>
          <w:sz w:val="20"/>
          <w:szCs w:val="20"/>
        </w:rPr>
        <w:t xml:space="preserve">depending on the length and currency of the liability. </w:t>
      </w:r>
    </w:p>
    <w:p w14:paraId="43565FD1" w14:textId="0D98B69F" w:rsidR="008E5DE4" w:rsidRDefault="00504BB1" w:rsidP="007F183E">
      <w:pPr>
        <w:pStyle w:val="Heading1"/>
        <w:pageBreakBefore/>
        <w:numPr>
          <w:ilvl w:val="0"/>
          <w:numId w:val="0"/>
        </w:numPr>
        <w:spacing w:before="240"/>
        <w:ind w:left="567" w:hanging="567"/>
      </w:pPr>
      <w:bookmarkStart w:id="87" w:name="_Toc149923653"/>
      <w:r>
        <w:lastRenderedPageBreak/>
        <w:t xml:space="preserve">54 </w:t>
      </w:r>
      <w:r>
        <w:tab/>
      </w:r>
      <w:r w:rsidR="00780368">
        <w:t>Presentation of Financial Instruments by Measurement Category</w:t>
      </w:r>
      <w:bookmarkEnd w:id="87"/>
    </w:p>
    <w:p w14:paraId="0EDB8C3D" w14:textId="30B26C1D" w:rsidR="008E5DE4" w:rsidRDefault="00090491" w:rsidP="007F183E">
      <w:pPr>
        <w:shd w:val="clear" w:color="auto" w:fill="DBE5F1"/>
        <w:rPr>
          <w:i/>
          <w:color w:val="FF0000"/>
          <w:sz w:val="20"/>
          <w:szCs w:val="20"/>
        </w:rPr>
      </w:pPr>
      <w:r>
        <w:rPr>
          <w:b/>
          <w:i/>
          <w:sz w:val="20"/>
          <w:szCs w:val="20"/>
        </w:rPr>
        <w:t>Material accounting policy information</w:t>
      </w:r>
      <w:r w:rsidR="00780368">
        <w:rPr>
          <w:b/>
          <w:i/>
          <w:sz w:val="20"/>
          <w:szCs w:val="20"/>
        </w:rPr>
        <w:t xml:space="preserve"> </w:t>
      </w:r>
    </w:p>
    <w:p w14:paraId="63EC4F32" w14:textId="77777777" w:rsidR="008E5DE4" w:rsidRDefault="00780368">
      <w:pPr>
        <w:widowControl w:val="0"/>
        <w:pBdr>
          <w:top w:val="nil"/>
          <w:left w:val="nil"/>
          <w:bottom w:val="nil"/>
          <w:right w:val="nil"/>
          <w:between w:val="nil"/>
        </w:pBdr>
        <w:shd w:val="clear" w:color="auto" w:fill="DBE5F1"/>
        <w:spacing w:before="200" w:after="200"/>
        <w:jc w:val="both"/>
        <w:rPr>
          <w:color w:val="000000"/>
          <w:sz w:val="20"/>
          <w:szCs w:val="20"/>
        </w:rPr>
      </w:pPr>
      <w:r>
        <w:rPr>
          <w:color w:val="000000"/>
          <w:sz w:val="20"/>
          <w:szCs w:val="20"/>
        </w:rPr>
        <w:t>For the purposes of measurement, IFRS 9 “Financial Instruments” classifies financial assets into the following categories: (a) financial assets at FVTPL; (b) debt instruments at FVOCI, (c) equity instruments at FVOCI and (c) financial assets at AC. Financial assets at FVTPL have two sub-categories: (</w:t>
      </w:r>
      <w:proofErr w:type="spellStart"/>
      <w:r>
        <w:rPr>
          <w:color w:val="000000"/>
          <w:sz w:val="20"/>
          <w:szCs w:val="20"/>
        </w:rPr>
        <w:t>i</w:t>
      </w:r>
      <w:proofErr w:type="spellEnd"/>
      <w:r>
        <w:rPr>
          <w:color w:val="000000"/>
          <w:sz w:val="20"/>
          <w:szCs w:val="20"/>
        </w:rPr>
        <w:t>) assets mandatorily measured at FVTPL, and (ii) assets designated as such upon initial recognition. In addition, finance lease receivables form a separate category.</w:t>
      </w:r>
    </w:p>
    <w:p w14:paraId="5685872F" w14:textId="7F9E5EA5" w:rsidR="008E5DE4" w:rsidRDefault="00780368">
      <w:pPr>
        <w:widowControl w:val="0"/>
        <w:spacing w:before="200" w:after="200" w:line="228" w:lineRule="auto"/>
        <w:jc w:val="both"/>
        <w:rPr>
          <w:sz w:val="20"/>
          <w:szCs w:val="20"/>
        </w:rPr>
      </w:pPr>
      <w:r>
        <w:rPr>
          <w:sz w:val="20"/>
          <w:szCs w:val="20"/>
        </w:rPr>
        <w:t xml:space="preserve">The following table provides a reconciliation of financial assets with these measurement categories as of 31 December </w:t>
      </w:r>
      <w:r w:rsidR="008614F8">
        <w:rPr>
          <w:sz w:val="20"/>
          <w:szCs w:val="20"/>
        </w:rPr>
        <w:t>2025</w:t>
      </w:r>
      <w:r>
        <w:rPr>
          <w:sz w:val="20"/>
          <w:szCs w:val="20"/>
        </w:rPr>
        <w:t>:</w:t>
      </w:r>
    </w:p>
    <w:tbl>
      <w:tblPr>
        <w:tblStyle w:val="affffffffffffff4"/>
        <w:tblW w:w="9415" w:type="dxa"/>
        <w:tblLayout w:type="fixed"/>
        <w:tblLook w:val="0000" w:firstRow="0" w:lastRow="0" w:firstColumn="0" w:lastColumn="0" w:noHBand="0" w:noVBand="0"/>
      </w:tblPr>
      <w:tblGrid>
        <w:gridCol w:w="3458"/>
        <w:gridCol w:w="851"/>
        <w:gridCol w:w="851"/>
        <w:gridCol w:w="851"/>
        <w:gridCol w:w="851"/>
        <w:gridCol w:w="851"/>
        <w:gridCol w:w="851"/>
        <w:gridCol w:w="851"/>
      </w:tblGrid>
      <w:tr w:rsidR="008E5DE4" w14:paraId="0B676586" w14:textId="77777777">
        <w:trPr>
          <w:cantSplit/>
          <w:tblHeader/>
        </w:trPr>
        <w:tc>
          <w:tcPr>
            <w:tcW w:w="3458" w:type="dxa"/>
            <w:tcBorders>
              <w:bottom w:val="single" w:sz="4" w:space="0" w:color="000000"/>
            </w:tcBorders>
            <w:vAlign w:val="bottom"/>
          </w:tcPr>
          <w:p w14:paraId="5B9FF934"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In thousands of EUR</w:t>
            </w:r>
          </w:p>
        </w:tc>
        <w:tc>
          <w:tcPr>
            <w:tcW w:w="851" w:type="dxa"/>
            <w:tcBorders>
              <w:bottom w:val="single" w:sz="4" w:space="0" w:color="000000"/>
            </w:tcBorders>
          </w:tcPr>
          <w:p w14:paraId="232825A5"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FVTPL (</w:t>
            </w:r>
            <w:proofErr w:type="spellStart"/>
            <w:r>
              <w:rPr>
                <w:b/>
                <w:color w:val="000000"/>
              </w:rPr>
              <w:t>manda</w:t>
            </w:r>
            <w:proofErr w:type="spellEnd"/>
            <w:r>
              <w:rPr>
                <w:b/>
                <w:color w:val="000000"/>
              </w:rPr>
              <w:t>-tory)</w:t>
            </w:r>
          </w:p>
        </w:tc>
        <w:tc>
          <w:tcPr>
            <w:tcW w:w="851" w:type="dxa"/>
            <w:tcBorders>
              <w:bottom w:val="single" w:sz="4" w:space="0" w:color="000000"/>
            </w:tcBorders>
          </w:tcPr>
          <w:p w14:paraId="5638F80B"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FVTPL (</w:t>
            </w:r>
            <w:proofErr w:type="spellStart"/>
            <w:r>
              <w:rPr>
                <w:b/>
                <w:color w:val="000000"/>
              </w:rPr>
              <w:t>desig-nated</w:t>
            </w:r>
            <w:proofErr w:type="spellEnd"/>
            <w:r>
              <w:rPr>
                <w:b/>
                <w:color w:val="000000"/>
              </w:rPr>
              <w:t>)</w:t>
            </w:r>
          </w:p>
        </w:tc>
        <w:tc>
          <w:tcPr>
            <w:tcW w:w="851" w:type="dxa"/>
            <w:tcBorders>
              <w:bottom w:val="single" w:sz="4" w:space="0" w:color="000000"/>
            </w:tcBorders>
          </w:tcPr>
          <w:p w14:paraId="62909450"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Debt </w:t>
            </w:r>
            <w:proofErr w:type="spellStart"/>
            <w:r>
              <w:rPr>
                <w:b/>
                <w:color w:val="000000"/>
              </w:rPr>
              <w:t>instru-ments</w:t>
            </w:r>
            <w:proofErr w:type="spellEnd"/>
            <w:r>
              <w:rPr>
                <w:b/>
                <w:color w:val="000000"/>
              </w:rPr>
              <w:t xml:space="preserve"> at FVOCI</w:t>
            </w:r>
          </w:p>
        </w:tc>
        <w:tc>
          <w:tcPr>
            <w:tcW w:w="851" w:type="dxa"/>
            <w:tcBorders>
              <w:bottom w:val="single" w:sz="4" w:space="0" w:color="000000"/>
            </w:tcBorders>
          </w:tcPr>
          <w:p w14:paraId="5F96A47E"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Equity </w:t>
            </w:r>
            <w:proofErr w:type="spellStart"/>
            <w:r>
              <w:rPr>
                <w:b/>
                <w:color w:val="000000"/>
              </w:rPr>
              <w:t>instru-ments</w:t>
            </w:r>
            <w:proofErr w:type="spellEnd"/>
            <w:r>
              <w:rPr>
                <w:b/>
                <w:color w:val="000000"/>
              </w:rPr>
              <w:t xml:space="preserve"> at FVOCI</w:t>
            </w:r>
          </w:p>
        </w:tc>
        <w:tc>
          <w:tcPr>
            <w:tcW w:w="851" w:type="dxa"/>
            <w:tcBorders>
              <w:bottom w:val="single" w:sz="4" w:space="0" w:color="000000"/>
            </w:tcBorders>
          </w:tcPr>
          <w:p w14:paraId="3131510A"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AC</w:t>
            </w:r>
          </w:p>
        </w:tc>
        <w:tc>
          <w:tcPr>
            <w:tcW w:w="851" w:type="dxa"/>
            <w:tcBorders>
              <w:bottom w:val="single" w:sz="4" w:space="0" w:color="000000"/>
            </w:tcBorders>
          </w:tcPr>
          <w:p w14:paraId="4BFEA940"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Leases</w:t>
            </w:r>
          </w:p>
        </w:tc>
        <w:tc>
          <w:tcPr>
            <w:tcW w:w="851" w:type="dxa"/>
            <w:tcBorders>
              <w:bottom w:val="single" w:sz="4" w:space="0" w:color="000000"/>
            </w:tcBorders>
          </w:tcPr>
          <w:p w14:paraId="03AFD412"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r>
      <w:tr w:rsidR="008E5DE4" w14:paraId="227DF5FF" w14:textId="77777777">
        <w:trPr>
          <w:cantSplit/>
        </w:trPr>
        <w:tc>
          <w:tcPr>
            <w:tcW w:w="3458" w:type="dxa"/>
            <w:vAlign w:val="bottom"/>
          </w:tcPr>
          <w:p w14:paraId="18AE74E3" w14:textId="77777777" w:rsidR="008E5DE4" w:rsidRDefault="00780368">
            <w:pPr>
              <w:pBdr>
                <w:top w:val="nil"/>
                <w:left w:val="nil"/>
                <w:bottom w:val="nil"/>
                <w:right w:val="nil"/>
                <w:between w:val="nil"/>
              </w:pBdr>
              <w:spacing w:line="228" w:lineRule="auto"/>
              <w:ind w:left="-28" w:right="-57" w:hanging="85"/>
              <w:jc w:val="center"/>
              <w:rPr>
                <w:i/>
                <w:color w:val="000000"/>
              </w:rPr>
            </w:pPr>
            <w:r>
              <w:rPr>
                <w:i/>
                <w:color w:val="000000"/>
              </w:rPr>
              <w:t> </w:t>
            </w:r>
          </w:p>
        </w:tc>
        <w:tc>
          <w:tcPr>
            <w:tcW w:w="851" w:type="dxa"/>
            <w:vAlign w:val="bottom"/>
          </w:tcPr>
          <w:p w14:paraId="77C6EC9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56EA18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036FDD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8B45C5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A46995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176946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D28D4F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A231AFB" w14:textId="77777777">
        <w:trPr>
          <w:cantSplit/>
        </w:trPr>
        <w:tc>
          <w:tcPr>
            <w:tcW w:w="3458" w:type="dxa"/>
            <w:vAlign w:val="bottom"/>
          </w:tcPr>
          <w:p w14:paraId="55530663" w14:textId="77777777" w:rsidR="008E5DE4" w:rsidRDefault="00780368">
            <w:pPr>
              <w:widowControl w:val="0"/>
              <w:pBdr>
                <w:top w:val="nil"/>
                <w:left w:val="nil"/>
                <w:bottom w:val="nil"/>
                <w:right w:val="nil"/>
                <w:between w:val="nil"/>
              </w:pBdr>
              <w:spacing w:line="228" w:lineRule="auto"/>
              <w:ind w:left="113" w:right="-57" w:hanging="113"/>
              <w:rPr>
                <w:b/>
                <w:smallCaps/>
                <w:color w:val="000000"/>
              </w:rPr>
            </w:pPr>
            <w:r>
              <w:rPr>
                <w:b/>
                <w:smallCaps/>
                <w:color w:val="000000"/>
              </w:rPr>
              <w:t>ASSETS</w:t>
            </w:r>
          </w:p>
        </w:tc>
        <w:tc>
          <w:tcPr>
            <w:tcW w:w="851" w:type="dxa"/>
            <w:vAlign w:val="bottom"/>
          </w:tcPr>
          <w:p w14:paraId="6D28DA21"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53451FD8"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1DE3850D"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tcPr>
          <w:p w14:paraId="3C74068F"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4A2C76B0"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tcPr>
          <w:p w14:paraId="26D21681"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64B62129" w14:textId="77777777" w:rsidR="008E5DE4" w:rsidRDefault="008E5DE4">
            <w:pPr>
              <w:widowControl w:val="0"/>
              <w:pBdr>
                <w:top w:val="nil"/>
                <w:left w:val="nil"/>
                <w:bottom w:val="nil"/>
                <w:right w:val="nil"/>
                <w:between w:val="nil"/>
              </w:pBdr>
              <w:spacing w:line="228" w:lineRule="auto"/>
              <w:jc w:val="right"/>
              <w:rPr>
                <w:b/>
                <w:smallCaps/>
                <w:color w:val="000000"/>
              </w:rPr>
            </w:pPr>
          </w:p>
        </w:tc>
      </w:tr>
      <w:tr w:rsidR="008E5DE4" w14:paraId="03FBA8B9" w14:textId="77777777">
        <w:trPr>
          <w:cantSplit/>
        </w:trPr>
        <w:tc>
          <w:tcPr>
            <w:tcW w:w="3458" w:type="dxa"/>
            <w:vAlign w:val="bottom"/>
          </w:tcPr>
          <w:p w14:paraId="6FCED70A"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6D1C7BE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8C9AAF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BB107D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187C1C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021484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7DDCD7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3202A1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A54DE1D" w14:textId="77777777">
        <w:trPr>
          <w:cantSplit/>
        </w:trPr>
        <w:tc>
          <w:tcPr>
            <w:tcW w:w="3458" w:type="dxa"/>
            <w:vAlign w:val="bottom"/>
          </w:tcPr>
          <w:p w14:paraId="6884780E"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Cash and cash equivalents</w:t>
            </w:r>
          </w:p>
        </w:tc>
        <w:tc>
          <w:tcPr>
            <w:tcW w:w="851" w:type="dxa"/>
            <w:vAlign w:val="bottom"/>
          </w:tcPr>
          <w:p w14:paraId="3CFEA06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F5D16A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13A6F6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9D012B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E69CF1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C3A92E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E2270F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7E0155C" w14:textId="77777777">
        <w:trPr>
          <w:cantSplit/>
        </w:trPr>
        <w:tc>
          <w:tcPr>
            <w:tcW w:w="3458" w:type="dxa"/>
            <w:vAlign w:val="bottom"/>
          </w:tcPr>
          <w:p w14:paraId="24DA00B0"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5A59270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93BB94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3406C7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98D81C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4B9391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0CEFF5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02789D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54CB47A" w14:textId="77777777">
        <w:trPr>
          <w:cantSplit/>
        </w:trPr>
        <w:tc>
          <w:tcPr>
            <w:tcW w:w="3458" w:type="dxa"/>
            <w:vAlign w:val="bottom"/>
          </w:tcPr>
          <w:p w14:paraId="7AA047DB"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Investments in debt securities</w:t>
            </w:r>
          </w:p>
        </w:tc>
        <w:tc>
          <w:tcPr>
            <w:tcW w:w="851" w:type="dxa"/>
            <w:vAlign w:val="bottom"/>
          </w:tcPr>
          <w:p w14:paraId="71F189C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A40776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630B27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53B13C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671F0F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C36E8E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191112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668C50D" w14:textId="77777777">
        <w:trPr>
          <w:cantSplit/>
        </w:trPr>
        <w:tc>
          <w:tcPr>
            <w:tcW w:w="3458" w:type="dxa"/>
            <w:vAlign w:val="bottom"/>
          </w:tcPr>
          <w:p w14:paraId="1AB490F4"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 </w:t>
            </w:r>
            <w:r>
              <w:rPr>
                <w:color w:val="0000FF"/>
                <w:sz w:val="20"/>
                <w:szCs w:val="20"/>
              </w:rPr>
              <w:t>[Country]</w:t>
            </w:r>
            <w:r>
              <w:rPr>
                <w:color w:val="000000"/>
              </w:rPr>
              <w:t xml:space="preserve"> government bonds</w:t>
            </w:r>
          </w:p>
        </w:tc>
        <w:tc>
          <w:tcPr>
            <w:tcW w:w="851" w:type="dxa"/>
            <w:vAlign w:val="bottom"/>
          </w:tcPr>
          <w:p w14:paraId="1C29920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1D3983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D82697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F15CA8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206D5D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B4743D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802970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5BB47A3" w14:textId="77777777">
        <w:trPr>
          <w:cantSplit/>
        </w:trPr>
        <w:tc>
          <w:tcPr>
            <w:tcW w:w="3458" w:type="dxa"/>
            <w:vAlign w:val="bottom"/>
          </w:tcPr>
          <w:p w14:paraId="2C5C77F0"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Municipal bonds</w:t>
            </w:r>
          </w:p>
        </w:tc>
        <w:tc>
          <w:tcPr>
            <w:tcW w:w="851" w:type="dxa"/>
            <w:vAlign w:val="bottom"/>
          </w:tcPr>
          <w:p w14:paraId="7272018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AB1CC5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1F840D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BDBD31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B3DFD8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43444F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4477E0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5F480F2" w14:textId="77777777">
        <w:trPr>
          <w:cantSplit/>
        </w:trPr>
        <w:tc>
          <w:tcPr>
            <w:tcW w:w="3458" w:type="dxa"/>
            <w:vAlign w:val="bottom"/>
          </w:tcPr>
          <w:p w14:paraId="4CB7F14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Corporate bonds</w:t>
            </w:r>
          </w:p>
        </w:tc>
        <w:tc>
          <w:tcPr>
            <w:tcW w:w="851" w:type="dxa"/>
            <w:vAlign w:val="bottom"/>
          </w:tcPr>
          <w:p w14:paraId="47B14D4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7EE4DA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C259D4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A0F09F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DFD9DB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598920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9261B5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31C84EF" w14:textId="77777777">
        <w:trPr>
          <w:cantSplit/>
        </w:trPr>
        <w:tc>
          <w:tcPr>
            <w:tcW w:w="3458" w:type="dxa"/>
            <w:vAlign w:val="bottom"/>
          </w:tcPr>
          <w:p w14:paraId="7003ACA9"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Promissory notes</w:t>
            </w:r>
          </w:p>
        </w:tc>
        <w:tc>
          <w:tcPr>
            <w:tcW w:w="851" w:type="dxa"/>
            <w:vAlign w:val="bottom"/>
          </w:tcPr>
          <w:p w14:paraId="5803CD0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4DE36B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BE6509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DAE949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D870F5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164561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146C5B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C609BE4" w14:textId="77777777">
        <w:trPr>
          <w:cantSplit/>
        </w:trPr>
        <w:tc>
          <w:tcPr>
            <w:tcW w:w="3458" w:type="dxa"/>
            <w:vAlign w:val="bottom"/>
          </w:tcPr>
          <w:p w14:paraId="48247650"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39DBB01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BFE6BF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A80E33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D9A3BF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0FBD51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82AA31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6BF1A4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8A97CBE" w14:textId="77777777">
        <w:trPr>
          <w:cantSplit/>
        </w:trPr>
        <w:tc>
          <w:tcPr>
            <w:tcW w:w="3458" w:type="dxa"/>
            <w:vAlign w:val="bottom"/>
          </w:tcPr>
          <w:p w14:paraId="51496234"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Investments in equity securities</w:t>
            </w:r>
          </w:p>
        </w:tc>
        <w:tc>
          <w:tcPr>
            <w:tcW w:w="851" w:type="dxa"/>
            <w:vAlign w:val="bottom"/>
          </w:tcPr>
          <w:p w14:paraId="07493FC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0209BC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E05A72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9EAF01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509898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9EE04D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B3B9AA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5B32852" w14:textId="77777777">
        <w:trPr>
          <w:cantSplit/>
        </w:trPr>
        <w:tc>
          <w:tcPr>
            <w:tcW w:w="3458" w:type="dxa"/>
            <w:vAlign w:val="bottom"/>
          </w:tcPr>
          <w:p w14:paraId="19237113" w14:textId="77777777" w:rsidR="008E5DE4" w:rsidRDefault="00780368">
            <w:pPr>
              <w:widowControl w:val="0"/>
              <w:spacing w:line="228" w:lineRule="auto"/>
              <w:ind w:left="113" w:right="-57" w:hanging="113"/>
            </w:pPr>
            <w:r>
              <w:t>- Corporate shares</w:t>
            </w:r>
          </w:p>
        </w:tc>
        <w:tc>
          <w:tcPr>
            <w:tcW w:w="851" w:type="dxa"/>
            <w:vAlign w:val="bottom"/>
          </w:tcPr>
          <w:p w14:paraId="7FB596A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462749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01EB32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4CA7B0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6DDF84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C89DFD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05DB34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F1DF7A7" w14:textId="77777777">
        <w:trPr>
          <w:cantSplit/>
        </w:trPr>
        <w:tc>
          <w:tcPr>
            <w:tcW w:w="3458" w:type="dxa"/>
            <w:vAlign w:val="bottom"/>
          </w:tcPr>
          <w:p w14:paraId="551EABED" w14:textId="77777777" w:rsidR="008E5DE4" w:rsidRDefault="00780368">
            <w:pPr>
              <w:widowControl w:val="0"/>
              <w:spacing w:line="228" w:lineRule="auto"/>
              <w:ind w:left="113" w:right="-57" w:hanging="113"/>
            </w:pPr>
            <w:r>
              <w:t>- American depositary receipts (ADR)</w:t>
            </w:r>
          </w:p>
        </w:tc>
        <w:tc>
          <w:tcPr>
            <w:tcW w:w="851" w:type="dxa"/>
            <w:vAlign w:val="bottom"/>
          </w:tcPr>
          <w:p w14:paraId="14B690A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AD7D2D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4C09E8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6C8F919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AD220A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A3C9BB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22F640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8F0AFC5" w14:textId="77777777">
        <w:trPr>
          <w:cantSplit/>
        </w:trPr>
        <w:tc>
          <w:tcPr>
            <w:tcW w:w="3458" w:type="dxa"/>
            <w:vAlign w:val="bottom"/>
          </w:tcPr>
          <w:p w14:paraId="7BB28C98" w14:textId="77777777" w:rsidR="008E5DE4" w:rsidRDefault="00780368">
            <w:pPr>
              <w:widowControl w:val="0"/>
              <w:spacing w:line="228" w:lineRule="auto"/>
              <w:ind w:left="113" w:right="-57" w:hanging="113"/>
            </w:pPr>
            <w:r>
              <w:t>- Investments in mutual funds</w:t>
            </w:r>
          </w:p>
        </w:tc>
        <w:tc>
          <w:tcPr>
            <w:tcW w:w="851" w:type="dxa"/>
            <w:vAlign w:val="bottom"/>
          </w:tcPr>
          <w:p w14:paraId="0BC895A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9214FC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DFE5CA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235914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C13B24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AAA307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E114E2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B0ACA19" w14:textId="77777777">
        <w:trPr>
          <w:cantSplit/>
        </w:trPr>
        <w:tc>
          <w:tcPr>
            <w:tcW w:w="3458" w:type="dxa"/>
            <w:vAlign w:val="bottom"/>
          </w:tcPr>
          <w:p w14:paraId="549404D6" w14:textId="02D20E2A" w:rsidR="008E5DE4" w:rsidRDefault="00780368">
            <w:pPr>
              <w:widowControl w:val="0"/>
              <w:spacing w:line="228" w:lineRule="auto"/>
              <w:ind w:left="113" w:right="-57" w:hanging="113"/>
            </w:pPr>
            <w:r>
              <w:t xml:space="preserve">- Global depositary receipts (GDR) </w:t>
            </w:r>
          </w:p>
        </w:tc>
        <w:tc>
          <w:tcPr>
            <w:tcW w:w="851" w:type="dxa"/>
            <w:vAlign w:val="bottom"/>
          </w:tcPr>
          <w:p w14:paraId="4D8A71A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33669A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97F498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334026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D4C0A4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932DA6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EF1530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8EBF351" w14:textId="77777777">
        <w:trPr>
          <w:cantSplit/>
        </w:trPr>
        <w:tc>
          <w:tcPr>
            <w:tcW w:w="3458" w:type="dxa"/>
            <w:vAlign w:val="bottom"/>
          </w:tcPr>
          <w:p w14:paraId="27F7EE7C"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6D84D6D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C34225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71580A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EF455F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E9398E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F5DFFD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42D4CE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B30508D" w14:textId="77777777">
        <w:trPr>
          <w:cantSplit/>
        </w:trPr>
        <w:tc>
          <w:tcPr>
            <w:tcW w:w="3458" w:type="dxa"/>
            <w:vAlign w:val="bottom"/>
          </w:tcPr>
          <w:p w14:paraId="2EE22326"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Loans issued</w:t>
            </w:r>
          </w:p>
        </w:tc>
        <w:tc>
          <w:tcPr>
            <w:tcW w:w="851" w:type="dxa"/>
            <w:vAlign w:val="bottom"/>
          </w:tcPr>
          <w:p w14:paraId="346B2F8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F0B869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837374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9518D1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89F935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CE32E9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28032F8"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20850E7" w14:textId="77777777">
        <w:trPr>
          <w:cantSplit/>
        </w:trPr>
        <w:tc>
          <w:tcPr>
            <w:tcW w:w="3458" w:type="dxa"/>
            <w:vAlign w:val="bottom"/>
          </w:tcPr>
          <w:p w14:paraId="670F438B"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4F9F206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6AA373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B158DE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4F29F7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ADCF83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6A2A46B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2E7CF4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D750C46" w14:textId="77777777">
        <w:trPr>
          <w:cantSplit/>
        </w:trPr>
        <w:tc>
          <w:tcPr>
            <w:tcW w:w="3458" w:type="dxa"/>
            <w:vAlign w:val="bottom"/>
          </w:tcPr>
          <w:p w14:paraId="5414940B"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Other financial assets:</w:t>
            </w:r>
          </w:p>
        </w:tc>
        <w:tc>
          <w:tcPr>
            <w:tcW w:w="851" w:type="dxa"/>
            <w:vAlign w:val="bottom"/>
          </w:tcPr>
          <w:p w14:paraId="348059F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B07344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E6CD3A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0002A9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16EF84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937038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E8EF5B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84ECAF0" w14:textId="77777777">
        <w:trPr>
          <w:cantSplit/>
        </w:trPr>
        <w:tc>
          <w:tcPr>
            <w:tcW w:w="3458" w:type="dxa"/>
            <w:vAlign w:val="bottom"/>
          </w:tcPr>
          <w:p w14:paraId="3E64CC5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Trade receivables</w:t>
            </w:r>
          </w:p>
        </w:tc>
        <w:tc>
          <w:tcPr>
            <w:tcW w:w="851" w:type="dxa"/>
            <w:vAlign w:val="bottom"/>
          </w:tcPr>
          <w:p w14:paraId="3C01249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2E4902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57B6BA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ADDE20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D35D44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51D938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AB1F69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6C22099" w14:textId="77777777">
        <w:trPr>
          <w:cantSplit/>
        </w:trPr>
        <w:tc>
          <w:tcPr>
            <w:tcW w:w="3458" w:type="dxa"/>
            <w:vAlign w:val="bottom"/>
          </w:tcPr>
          <w:p w14:paraId="11CC343B"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Finance lease receivables</w:t>
            </w:r>
          </w:p>
        </w:tc>
        <w:tc>
          <w:tcPr>
            <w:tcW w:w="851" w:type="dxa"/>
            <w:vAlign w:val="bottom"/>
          </w:tcPr>
          <w:p w14:paraId="61FC632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A74669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E91B5F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6FF3E5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90684F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A28B66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6EA54C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D706A63" w14:textId="77777777">
        <w:trPr>
          <w:cantSplit/>
        </w:trPr>
        <w:tc>
          <w:tcPr>
            <w:tcW w:w="3458" w:type="dxa"/>
            <w:vAlign w:val="bottom"/>
          </w:tcPr>
          <w:p w14:paraId="60692EB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Restricted cash</w:t>
            </w:r>
          </w:p>
        </w:tc>
        <w:tc>
          <w:tcPr>
            <w:tcW w:w="851" w:type="dxa"/>
            <w:vAlign w:val="bottom"/>
          </w:tcPr>
          <w:p w14:paraId="3E316DC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94E5D7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E63773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68E1578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7E82BD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0E5ACD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625A67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3BF52F9" w14:textId="77777777">
        <w:trPr>
          <w:cantSplit/>
        </w:trPr>
        <w:tc>
          <w:tcPr>
            <w:tcW w:w="3458" w:type="dxa"/>
            <w:vAlign w:val="bottom"/>
          </w:tcPr>
          <w:p w14:paraId="5CAE508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Foreign exchange forward contracts</w:t>
            </w:r>
          </w:p>
        </w:tc>
        <w:tc>
          <w:tcPr>
            <w:tcW w:w="851" w:type="dxa"/>
            <w:vAlign w:val="bottom"/>
          </w:tcPr>
          <w:p w14:paraId="2654089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0D934A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7C601A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23A175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99F633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2AE83D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C0555F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DA8C04A" w14:textId="77777777">
        <w:trPr>
          <w:cantSplit/>
        </w:trPr>
        <w:tc>
          <w:tcPr>
            <w:tcW w:w="3458" w:type="dxa"/>
            <w:vAlign w:val="bottom"/>
          </w:tcPr>
          <w:p w14:paraId="7DDEF27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Other financial derivatives</w:t>
            </w:r>
          </w:p>
        </w:tc>
        <w:tc>
          <w:tcPr>
            <w:tcW w:w="851" w:type="dxa"/>
            <w:vAlign w:val="bottom"/>
          </w:tcPr>
          <w:p w14:paraId="6D09DC6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E588B5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5E59C0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49FD78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31CB3E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F2E9EE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A92D2A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ADFF080" w14:textId="77777777">
        <w:trPr>
          <w:cantSplit/>
        </w:trPr>
        <w:tc>
          <w:tcPr>
            <w:tcW w:w="3458" w:type="dxa"/>
            <w:vAlign w:val="bottom"/>
          </w:tcPr>
          <w:p w14:paraId="5DE5AC60"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 Other</w:t>
            </w:r>
          </w:p>
        </w:tc>
        <w:tc>
          <w:tcPr>
            <w:tcW w:w="851" w:type="dxa"/>
            <w:vAlign w:val="bottom"/>
          </w:tcPr>
          <w:p w14:paraId="4F12C26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DB7E57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2EB0B7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E23395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85B43B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041115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B43960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46F0F57" w14:textId="77777777">
        <w:trPr>
          <w:cantSplit/>
        </w:trPr>
        <w:tc>
          <w:tcPr>
            <w:tcW w:w="3458" w:type="dxa"/>
            <w:tcBorders>
              <w:bottom w:val="single" w:sz="4" w:space="0" w:color="000000"/>
            </w:tcBorders>
            <w:vAlign w:val="bottom"/>
          </w:tcPr>
          <w:p w14:paraId="1C1A238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851" w:type="dxa"/>
            <w:tcBorders>
              <w:bottom w:val="single" w:sz="4" w:space="0" w:color="000000"/>
            </w:tcBorders>
            <w:vAlign w:val="bottom"/>
          </w:tcPr>
          <w:p w14:paraId="31D1173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3D75069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4D8A34E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tcPr>
          <w:p w14:paraId="4A1D6E2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6617598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tcPr>
          <w:p w14:paraId="28D38DC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56F3DCE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4415317" w14:textId="77777777">
        <w:trPr>
          <w:cantSplit/>
        </w:trPr>
        <w:tc>
          <w:tcPr>
            <w:tcW w:w="3458" w:type="dxa"/>
            <w:tcBorders>
              <w:top w:val="single" w:sz="4" w:space="0" w:color="000000"/>
            </w:tcBorders>
            <w:vAlign w:val="bottom"/>
          </w:tcPr>
          <w:p w14:paraId="13AC72FF"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851" w:type="dxa"/>
            <w:tcBorders>
              <w:top w:val="single" w:sz="4" w:space="0" w:color="000000"/>
            </w:tcBorders>
            <w:vAlign w:val="bottom"/>
          </w:tcPr>
          <w:p w14:paraId="59C453D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vAlign w:val="bottom"/>
          </w:tcPr>
          <w:p w14:paraId="5BD02EB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vAlign w:val="bottom"/>
          </w:tcPr>
          <w:p w14:paraId="5C9D591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tcPr>
          <w:p w14:paraId="1B6F475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vAlign w:val="bottom"/>
          </w:tcPr>
          <w:p w14:paraId="171147E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tcPr>
          <w:p w14:paraId="0D00143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vAlign w:val="bottom"/>
          </w:tcPr>
          <w:p w14:paraId="5714CE7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2BA1D3C" w14:textId="77777777">
        <w:trPr>
          <w:cantSplit/>
        </w:trPr>
        <w:tc>
          <w:tcPr>
            <w:tcW w:w="3458" w:type="dxa"/>
            <w:vAlign w:val="bottom"/>
          </w:tcPr>
          <w:p w14:paraId="691D8B78" w14:textId="77777777" w:rsidR="008E5DE4" w:rsidRDefault="00780368">
            <w:pPr>
              <w:widowControl w:val="0"/>
              <w:pBdr>
                <w:top w:val="nil"/>
                <w:left w:val="nil"/>
                <w:bottom w:val="nil"/>
                <w:right w:val="nil"/>
                <w:between w:val="nil"/>
              </w:pBdr>
              <w:spacing w:line="228" w:lineRule="auto"/>
              <w:ind w:left="113" w:right="-57" w:hanging="113"/>
              <w:rPr>
                <w:b/>
                <w:smallCaps/>
                <w:color w:val="000000"/>
              </w:rPr>
            </w:pPr>
            <w:r>
              <w:rPr>
                <w:b/>
                <w:smallCaps/>
                <w:color w:val="000000"/>
              </w:rPr>
              <w:t>TOTAL FINANCIAL ASSETS</w:t>
            </w:r>
          </w:p>
        </w:tc>
        <w:tc>
          <w:tcPr>
            <w:tcW w:w="851" w:type="dxa"/>
            <w:vAlign w:val="bottom"/>
          </w:tcPr>
          <w:p w14:paraId="2D7C6CF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96BEDB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C8B0D4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D890C1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DA0FFF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4891A2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ABDE9AB"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FB423DC" w14:textId="77777777">
        <w:trPr>
          <w:cantSplit/>
        </w:trPr>
        <w:tc>
          <w:tcPr>
            <w:tcW w:w="3458" w:type="dxa"/>
            <w:tcBorders>
              <w:bottom w:val="single" w:sz="12" w:space="0" w:color="000000"/>
            </w:tcBorders>
            <w:vAlign w:val="bottom"/>
          </w:tcPr>
          <w:p w14:paraId="49007803"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851" w:type="dxa"/>
            <w:tcBorders>
              <w:bottom w:val="single" w:sz="12" w:space="0" w:color="000000"/>
            </w:tcBorders>
            <w:vAlign w:val="bottom"/>
          </w:tcPr>
          <w:p w14:paraId="3208F68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vAlign w:val="bottom"/>
          </w:tcPr>
          <w:p w14:paraId="1CE6D1B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vAlign w:val="bottom"/>
          </w:tcPr>
          <w:p w14:paraId="5E09360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tcPr>
          <w:p w14:paraId="226B43E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vAlign w:val="bottom"/>
          </w:tcPr>
          <w:p w14:paraId="0818AAB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tcPr>
          <w:p w14:paraId="355A185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vAlign w:val="bottom"/>
          </w:tcPr>
          <w:p w14:paraId="5C6527C9" w14:textId="77777777" w:rsidR="008E5DE4" w:rsidRDefault="008E5DE4">
            <w:pPr>
              <w:widowControl w:val="0"/>
              <w:pBdr>
                <w:top w:val="nil"/>
                <w:left w:val="nil"/>
                <w:bottom w:val="nil"/>
                <w:right w:val="nil"/>
                <w:between w:val="nil"/>
              </w:pBdr>
              <w:spacing w:line="228" w:lineRule="auto"/>
              <w:jc w:val="right"/>
              <w:rPr>
                <w:color w:val="000000"/>
              </w:rPr>
            </w:pPr>
          </w:p>
        </w:tc>
      </w:tr>
    </w:tbl>
    <w:p w14:paraId="55E2209B"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bookmarkStart w:id="88" w:name="_heading=h.pkwqa1" w:colFirst="0" w:colLast="0"/>
      <w:bookmarkEnd w:id="88"/>
      <w:r>
        <w:rPr>
          <w:b/>
          <w:color w:val="000000"/>
          <w:sz w:val="20"/>
          <w:szCs w:val="20"/>
        </w:rPr>
        <w:lastRenderedPageBreak/>
        <w:t>54</w:t>
      </w:r>
      <w:r>
        <w:rPr>
          <w:b/>
          <w:color w:val="000000"/>
          <w:sz w:val="20"/>
          <w:szCs w:val="20"/>
        </w:rPr>
        <w:tab/>
        <w:t>Presentation of Financial Instruments by Measurement Category (Continued)</w:t>
      </w:r>
    </w:p>
    <w:p w14:paraId="5F09CEE5" w14:textId="45D33622" w:rsidR="008E5DE4" w:rsidRDefault="00780368">
      <w:pPr>
        <w:widowControl w:val="0"/>
        <w:spacing w:before="200" w:after="200"/>
        <w:jc w:val="both"/>
      </w:pPr>
      <w:r>
        <w:rPr>
          <w:sz w:val="20"/>
          <w:szCs w:val="20"/>
        </w:rPr>
        <w:t xml:space="preserve">The following table provides a reconciliation of financial assets with these measurement categories as of 31 December </w:t>
      </w:r>
      <w:r w:rsidR="00A46633">
        <w:rPr>
          <w:sz w:val="20"/>
          <w:szCs w:val="20"/>
        </w:rPr>
        <w:t>2024</w:t>
      </w:r>
      <w:r>
        <w:rPr>
          <w:sz w:val="20"/>
          <w:szCs w:val="20"/>
        </w:rPr>
        <w:t>:</w:t>
      </w:r>
    </w:p>
    <w:tbl>
      <w:tblPr>
        <w:tblStyle w:val="affffffffffffff5"/>
        <w:tblW w:w="9415" w:type="dxa"/>
        <w:tblLayout w:type="fixed"/>
        <w:tblLook w:val="0000" w:firstRow="0" w:lastRow="0" w:firstColumn="0" w:lastColumn="0" w:noHBand="0" w:noVBand="0"/>
      </w:tblPr>
      <w:tblGrid>
        <w:gridCol w:w="3458"/>
        <w:gridCol w:w="851"/>
        <w:gridCol w:w="851"/>
        <w:gridCol w:w="851"/>
        <w:gridCol w:w="851"/>
        <w:gridCol w:w="851"/>
        <w:gridCol w:w="851"/>
        <w:gridCol w:w="851"/>
      </w:tblGrid>
      <w:tr w:rsidR="008E5DE4" w14:paraId="2A7800F4" w14:textId="77777777">
        <w:trPr>
          <w:cantSplit/>
          <w:tblHeader/>
        </w:trPr>
        <w:tc>
          <w:tcPr>
            <w:tcW w:w="3458" w:type="dxa"/>
            <w:tcBorders>
              <w:bottom w:val="single" w:sz="4" w:space="0" w:color="000000"/>
            </w:tcBorders>
            <w:vAlign w:val="bottom"/>
          </w:tcPr>
          <w:p w14:paraId="1653194F"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In thousands of EUR</w:t>
            </w:r>
          </w:p>
        </w:tc>
        <w:tc>
          <w:tcPr>
            <w:tcW w:w="851" w:type="dxa"/>
            <w:tcBorders>
              <w:bottom w:val="single" w:sz="4" w:space="0" w:color="000000"/>
            </w:tcBorders>
          </w:tcPr>
          <w:p w14:paraId="0CFEB7AE"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FVTPL (</w:t>
            </w:r>
            <w:proofErr w:type="spellStart"/>
            <w:r>
              <w:rPr>
                <w:b/>
                <w:color w:val="000000"/>
              </w:rPr>
              <w:t>manda</w:t>
            </w:r>
            <w:proofErr w:type="spellEnd"/>
            <w:r>
              <w:rPr>
                <w:b/>
                <w:color w:val="000000"/>
              </w:rPr>
              <w:t>-tory)</w:t>
            </w:r>
          </w:p>
        </w:tc>
        <w:tc>
          <w:tcPr>
            <w:tcW w:w="851" w:type="dxa"/>
            <w:tcBorders>
              <w:bottom w:val="single" w:sz="4" w:space="0" w:color="000000"/>
            </w:tcBorders>
          </w:tcPr>
          <w:p w14:paraId="22D948BB"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FVTPL (</w:t>
            </w:r>
            <w:proofErr w:type="spellStart"/>
            <w:r>
              <w:rPr>
                <w:b/>
                <w:color w:val="000000"/>
              </w:rPr>
              <w:t>desig-nated</w:t>
            </w:r>
            <w:proofErr w:type="spellEnd"/>
            <w:r>
              <w:rPr>
                <w:b/>
                <w:color w:val="000000"/>
              </w:rPr>
              <w:t>)</w:t>
            </w:r>
          </w:p>
        </w:tc>
        <w:tc>
          <w:tcPr>
            <w:tcW w:w="851" w:type="dxa"/>
            <w:tcBorders>
              <w:bottom w:val="single" w:sz="4" w:space="0" w:color="000000"/>
            </w:tcBorders>
          </w:tcPr>
          <w:p w14:paraId="04C80275"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Debt </w:t>
            </w:r>
            <w:proofErr w:type="spellStart"/>
            <w:r>
              <w:rPr>
                <w:b/>
                <w:color w:val="000000"/>
              </w:rPr>
              <w:t>instru-ments</w:t>
            </w:r>
            <w:proofErr w:type="spellEnd"/>
            <w:r>
              <w:rPr>
                <w:b/>
                <w:color w:val="000000"/>
              </w:rPr>
              <w:t xml:space="preserve"> at FVOCI</w:t>
            </w:r>
          </w:p>
        </w:tc>
        <w:tc>
          <w:tcPr>
            <w:tcW w:w="851" w:type="dxa"/>
            <w:tcBorders>
              <w:bottom w:val="single" w:sz="4" w:space="0" w:color="000000"/>
            </w:tcBorders>
          </w:tcPr>
          <w:p w14:paraId="0812F1CA"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 xml:space="preserve">Equity </w:t>
            </w:r>
            <w:proofErr w:type="spellStart"/>
            <w:r>
              <w:rPr>
                <w:b/>
                <w:color w:val="000000"/>
              </w:rPr>
              <w:t>instru-ments</w:t>
            </w:r>
            <w:proofErr w:type="spellEnd"/>
            <w:r>
              <w:rPr>
                <w:b/>
                <w:color w:val="000000"/>
              </w:rPr>
              <w:t xml:space="preserve"> at FVOCI</w:t>
            </w:r>
          </w:p>
        </w:tc>
        <w:tc>
          <w:tcPr>
            <w:tcW w:w="851" w:type="dxa"/>
            <w:tcBorders>
              <w:bottom w:val="single" w:sz="4" w:space="0" w:color="000000"/>
            </w:tcBorders>
          </w:tcPr>
          <w:p w14:paraId="59D27719"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AC</w:t>
            </w:r>
          </w:p>
        </w:tc>
        <w:tc>
          <w:tcPr>
            <w:tcW w:w="851" w:type="dxa"/>
            <w:tcBorders>
              <w:bottom w:val="single" w:sz="4" w:space="0" w:color="000000"/>
            </w:tcBorders>
          </w:tcPr>
          <w:p w14:paraId="7A2FD411"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Leases</w:t>
            </w:r>
          </w:p>
        </w:tc>
        <w:tc>
          <w:tcPr>
            <w:tcW w:w="851" w:type="dxa"/>
            <w:tcBorders>
              <w:bottom w:val="single" w:sz="4" w:space="0" w:color="000000"/>
            </w:tcBorders>
          </w:tcPr>
          <w:p w14:paraId="17E79626" w14:textId="77777777" w:rsidR="008E5DE4" w:rsidRDefault="00780368">
            <w:pPr>
              <w:widowControl w:val="0"/>
              <w:pBdr>
                <w:top w:val="nil"/>
                <w:left w:val="nil"/>
                <w:bottom w:val="nil"/>
                <w:right w:val="nil"/>
                <w:between w:val="nil"/>
              </w:pBdr>
              <w:spacing w:line="228" w:lineRule="auto"/>
              <w:ind w:left="-113"/>
              <w:jc w:val="right"/>
              <w:rPr>
                <w:b/>
                <w:color w:val="000000"/>
              </w:rPr>
            </w:pPr>
            <w:r>
              <w:rPr>
                <w:b/>
                <w:color w:val="000000"/>
              </w:rPr>
              <w:t>Total</w:t>
            </w:r>
          </w:p>
        </w:tc>
      </w:tr>
      <w:tr w:rsidR="008E5DE4" w14:paraId="41F9C4FC" w14:textId="77777777">
        <w:trPr>
          <w:cantSplit/>
        </w:trPr>
        <w:tc>
          <w:tcPr>
            <w:tcW w:w="3458" w:type="dxa"/>
            <w:vAlign w:val="bottom"/>
          </w:tcPr>
          <w:p w14:paraId="58C95F9D" w14:textId="77777777" w:rsidR="008E5DE4" w:rsidRDefault="00780368">
            <w:pPr>
              <w:pBdr>
                <w:top w:val="nil"/>
                <w:left w:val="nil"/>
                <w:bottom w:val="nil"/>
                <w:right w:val="nil"/>
                <w:between w:val="nil"/>
              </w:pBdr>
              <w:spacing w:line="228" w:lineRule="auto"/>
              <w:ind w:left="-28" w:right="-57" w:hanging="85"/>
              <w:jc w:val="center"/>
              <w:rPr>
                <w:i/>
                <w:color w:val="000000"/>
              </w:rPr>
            </w:pPr>
            <w:r>
              <w:rPr>
                <w:i/>
                <w:color w:val="000000"/>
              </w:rPr>
              <w:t> </w:t>
            </w:r>
          </w:p>
        </w:tc>
        <w:tc>
          <w:tcPr>
            <w:tcW w:w="851" w:type="dxa"/>
            <w:vAlign w:val="bottom"/>
          </w:tcPr>
          <w:p w14:paraId="4065F51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278FC4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673FA9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A61BD9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2B3F77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D2887F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6F3CC8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9C70DCE" w14:textId="77777777">
        <w:trPr>
          <w:cantSplit/>
        </w:trPr>
        <w:tc>
          <w:tcPr>
            <w:tcW w:w="3458" w:type="dxa"/>
            <w:vAlign w:val="bottom"/>
          </w:tcPr>
          <w:p w14:paraId="2606DA01" w14:textId="77777777" w:rsidR="008E5DE4" w:rsidRDefault="00780368">
            <w:pPr>
              <w:widowControl w:val="0"/>
              <w:pBdr>
                <w:top w:val="nil"/>
                <w:left w:val="nil"/>
                <w:bottom w:val="nil"/>
                <w:right w:val="nil"/>
                <w:between w:val="nil"/>
              </w:pBdr>
              <w:spacing w:line="228" w:lineRule="auto"/>
              <w:ind w:left="113" w:right="-57" w:hanging="113"/>
              <w:rPr>
                <w:b/>
                <w:smallCaps/>
                <w:color w:val="000000"/>
              </w:rPr>
            </w:pPr>
            <w:r>
              <w:rPr>
                <w:b/>
                <w:smallCaps/>
                <w:color w:val="000000"/>
              </w:rPr>
              <w:t>ASSETS</w:t>
            </w:r>
          </w:p>
        </w:tc>
        <w:tc>
          <w:tcPr>
            <w:tcW w:w="851" w:type="dxa"/>
            <w:vAlign w:val="bottom"/>
          </w:tcPr>
          <w:p w14:paraId="6FE625C3"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6B439C07"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1BC5B1DB"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tcPr>
          <w:p w14:paraId="0A44D509"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0DAD6FC6"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tcPr>
          <w:p w14:paraId="51A5A691" w14:textId="77777777" w:rsidR="008E5DE4" w:rsidRDefault="008E5DE4">
            <w:pPr>
              <w:widowControl w:val="0"/>
              <w:pBdr>
                <w:top w:val="nil"/>
                <w:left w:val="nil"/>
                <w:bottom w:val="nil"/>
                <w:right w:val="nil"/>
                <w:between w:val="nil"/>
              </w:pBdr>
              <w:spacing w:line="228" w:lineRule="auto"/>
              <w:jc w:val="right"/>
              <w:rPr>
                <w:b/>
                <w:smallCaps/>
                <w:color w:val="000000"/>
              </w:rPr>
            </w:pPr>
          </w:p>
        </w:tc>
        <w:tc>
          <w:tcPr>
            <w:tcW w:w="851" w:type="dxa"/>
            <w:vAlign w:val="bottom"/>
          </w:tcPr>
          <w:p w14:paraId="5AF3E5E3" w14:textId="77777777" w:rsidR="008E5DE4" w:rsidRDefault="008E5DE4">
            <w:pPr>
              <w:widowControl w:val="0"/>
              <w:pBdr>
                <w:top w:val="nil"/>
                <w:left w:val="nil"/>
                <w:bottom w:val="nil"/>
                <w:right w:val="nil"/>
                <w:between w:val="nil"/>
              </w:pBdr>
              <w:spacing w:line="228" w:lineRule="auto"/>
              <w:jc w:val="right"/>
              <w:rPr>
                <w:b/>
                <w:smallCaps/>
                <w:color w:val="000000"/>
              </w:rPr>
            </w:pPr>
          </w:p>
        </w:tc>
      </w:tr>
      <w:tr w:rsidR="008E5DE4" w14:paraId="69152454" w14:textId="77777777">
        <w:trPr>
          <w:cantSplit/>
        </w:trPr>
        <w:tc>
          <w:tcPr>
            <w:tcW w:w="3458" w:type="dxa"/>
            <w:vAlign w:val="bottom"/>
          </w:tcPr>
          <w:p w14:paraId="44697798"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1D1DE14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E59341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F2F5BF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6E92E1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A99E3C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6CC3FE5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601408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32E3310" w14:textId="77777777">
        <w:trPr>
          <w:cantSplit/>
        </w:trPr>
        <w:tc>
          <w:tcPr>
            <w:tcW w:w="3458" w:type="dxa"/>
            <w:vAlign w:val="bottom"/>
          </w:tcPr>
          <w:p w14:paraId="6B1F8793"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Cash and cash equivalents</w:t>
            </w:r>
          </w:p>
        </w:tc>
        <w:tc>
          <w:tcPr>
            <w:tcW w:w="851" w:type="dxa"/>
            <w:vAlign w:val="bottom"/>
          </w:tcPr>
          <w:p w14:paraId="33A1032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30370B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60741F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F7A90C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C0FDE8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7D7E30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02CD682"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6EB6FE3" w14:textId="77777777">
        <w:trPr>
          <w:cantSplit/>
        </w:trPr>
        <w:tc>
          <w:tcPr>
            <w:tcW w:w="3458" w:type="dxa"/>
            <w:vAlign w:val="bottom"/>
          </w:tcPr>
          <w:p w14:paraId="1E69ADC7"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573C714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4D2944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D9009D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9D65BF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F92EAE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24B31A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9BBDBC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AC51CDC" w14:textId="77777777">
        <w:trPr>
          <w:cantSplit/>
        </w:trPr>
        <w:tc>
          <w:tcPr>
            <w:tcW w:w="3458" w:type="dxa"/>
            <w:vAlign w:val="bottom"/>
          </w:tcPr>
          <w:p w14:paraId="112FFDFB"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Investments in debt securities</w:t>
            </w:r>
          </w:p>
        </w:tc>
        <w:tc>
          <w:tcPr>
            <w:tcW w:w="851" w:type="dxa"/>
            <w:vAlign w:val="bottom"/>
          </w:tcPr>
          <w:p w14:paraId="792F479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5DA820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ABA873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0E2A99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291DB4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0970F2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E2C765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99BE314" w14:textId="77777777">
        <w:trPr>
          <w:cantSplit/>
        </w:trPr>
        <w:tc>
          <w:tcPr>
            <w:tcW w:w="3458" w:type="dxa"/>
            <w:vAlign w:val="bottom"/>
          </w:tcPr>
          <w:p w14:paraId="36F0E66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xml:space="preserve">- </w:t>
            </w:r>
            <w:r>
              <w:rPr>
                <w:color w:val="0000FF"/>
                <w:sz w:val="20"/>
                <w:szCs w:val="20"/>
              </w:rPr>
              <w:t>[Country]</w:t>
            </w:r>
            <w:r>
              <w:rPr>
                <w:color w:val="000000"/>
              </w:rPr>
              <w:t xml:space="preserve"> government bonds</w:t>
            </w:r>
          </w:p>
        </w:tc>
        <w:tc>
          <w:tcPr>
            <w:tcW w:w="851" w:type="dxa"/>
            <w:vAlign w:val="bottom"/>
          </w:tcPr>
          <w:p w14:paraId="52C31BD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210B41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5D9C92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F0674C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5BA8BC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091EFF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9AFD56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BD0C8D2" w14:textId="77777777">
        <w:trPr>
          <w:cantSplit/>
        </w:trPr>
        <w:tc>
          <w:tcPr>
            <w:tcW w:w="3458" w:type="dxa"/>
            <w:vAlign w:val="bottom"/>
          </w:tcPr>
          <w:p w14:paraId="6C637BB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Municipal bonds</w:t>
            </w:r>
          </w:p>
        </w:tc>
        <w:tc>
          <w:tcPr>
            <w:tcW w:w="851" w:type="dxa"/>
            <w:vAlign w:val="bottom"/>
          </w:tcPr>
          <w:p w14:paraId="3F8DE24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12EFD6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2BB83E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EBFEC9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3E4352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4D6BF0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D6C38EE"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0BAF2AC" w14:textId="77777777">
        <w:trPr>
          <w:cantSplit/>
        </w:trPr>
        <w:tc>
          <w:tcPr>
            <w:tcW w:w="3458" w:type="dxa"/>
            <w:vAlign w:val="bottom"/>
          </w:tcPr>
          <w:p w14:paraId="03B4E94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Corporate bonds</w:t>
            </w:r>
          </w:p>
        </w:tc>
        <w:tc>
          <w:tcPr>
            <w:tcW w:w="851" w:type="dxa"/>
            <w:vAlign w:val="bottom"/>
          </w:tcPr>
          <w:p w14:paraId="4E65D2C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3533C6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B4068A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0FA809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524F39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5A262B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1B1E56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193BA03" w14:textId="77777777">
        <w:trPr>
          <w:cantSplit/>
        </w:trPr>
        <w:tc>
          <w:tcPr>
            <w:tcW w:w="3458" w:type="dxa"/>
            <w:vAlign w:val="bottom"/>
          </w:tcPr>
          <w:p w14:paraId="1EFC57D3"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Promissory notes</w:t>
            </w:r>
          </w:p>
        </w:tc>
        <w:tc>
          <w:tcPr>
            <w:tcW w:w="851" w:type="dxa"/>
            <w:vAlign w:val="bottom"/>
          </w:tcPr>
          <w:p w14:paraId="51C1FAF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9C6B03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663DAB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6FCB88E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E501D0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2773D7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37CB0B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D86F252" w14:textId="77777777">
        <w:trPr>
          <w:cantSplit/>
        </w:trPr>
        <w:tc>
          <w:tcPr>
            <w:tcW w:w="3458" w:type="dxa"/>
            <w:vAlign w:val="bottom"/>
          </w:tcPr>
          <w:p w14:paraId="7B53F002"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5E2B84A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68C9AF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B21B43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70BB4E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728566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187FF7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95F7135"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59F4E10" w14:textId="77777777">
        <w:trPr>
          <w:cantSplit/>
        </w:trPr>
        <w:tc>
          <w:tcPr>
            <w:tcW w:w="3458" w:type="dxa"/>
            <w:vAlign w:val="bottom"/>
          </w:tcPr>
          <w:p w14:paraId="7D0B0096"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Investments in equity securities</w:t>
            </w:r>
          </w:p>
        </w:tc>
        <w:tc>
          <w:tcPr>
            <w:tcW w:w="851" w:type="dxa"/>
            <w:vAlign w:val="bottom"/>
          </w:tcPr>
          <w:p w14:paraId="2A2281A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8D5245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3DEC47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423D3E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D86556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58771F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82BDBE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015346C" w14:textId="77777777">
        <w:trPr>
          <w:cantSplit/>
        </w:trPr>
        <w:tc>
          <w:tcPr>
            <w:tcW w:w="3458" w:type="dxa"/>
            <w:vAlign w:val="bottom"/>
          </w:tcPr>
          <w:p w14:paraId="1B8270F0" w14:textId="77777777" w:rsidR="008E5DE4" w:rsidRDefault="00780368">
            <w:pPr>
              <w:widowControl w:val="0"/>
              <w:spacing w:line="228" w:lineRule="auto"/>
              <w:ind w:left="113" w:right="-57" w:hanging="113"/>
            </w:pPr>
            <w:r>
              <w:t>- Corporate shares</w:t>
            </w:r>
          </w:p>
        </w:tc>
        <w:tc>
          <w:tcPr>
            <w:tcW w:w="851" w:type="dxa"/>
            <w:vAlign w:val="bottom"/>
          </w:tcPr>
          <w:p w14:paraId="763378B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FAAA99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1381C9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0AD521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4337E5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682DA1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4F4D82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0979C58" w14:textId="77777777">
        <w:trPr>
          <w:cantSplit/>
        </w:trPr>
        <w:tc>
          <w:tcPr>
            <w:tcW w:w="3458" w:type="dxa"/>
            <w:vAlign w:val="bottom"/>
          </w:tcPr>
          <w:p w14:paraId="5888EE6C" w14:textId="77777777" w:rsidR="008E5DE4" w:rsidRDefault="00780368">
            <w:pPr>
              <w:widowControl w:val="0"/>
              <w:spacing w:line="228" w:lineRule="auto"/>
              <w:ind w:left="113" w:right="-57" w:hanging="113"/>
            </w:pPr>
            <w:r>
              <w:t>- American depositary receipts (ADR)</w:t>
            </w:r>
          </w:p>
        </w:tc>
        <w:tc>
          <w:tcPr>
            <w:tcW w:w="851" w:type="dxa"/>
            <w:vAlign w:val="bottom"/>
          </w:tcPr>
          <w:p w14:paraId="182F814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17E29D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01758A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6AAFA50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F59D7A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64B2F5A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087461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51844A6" w14:textId="77777777">
        <w:trPr>
          <w:cantSplit/>
        </w:trPr>
        <w:tc>
          <w:tcPr>
            <w:tcW w:w="3458" w:type="dxa"/>
            <w:vAlign w:val="bottom"/>
          </w:tcPr>
          <w:p w14:paraId="7355AF36" w14:textId="77777777" w:rsidR="008E5DE4" w:rsidRDefault="00780368">
            <w:pPr>
              <w:widowControl w:val="0"/>
              <w:spacing w:line="228" w:lineRule="auto"/>
              <w:ind w:left="113" w:right="-57" w:hanging="113"/>
            </w:pPr>
            <w:r>
              <w:t>- Investments in mutual funds</w:t>
            </w:r>
          </w:p>
        </w:tc>
        <w:tc>
          <w:tcPr>
            <w:tcW w:w="851" w:type="dxa"/>
            <w:vAlign w:val="bottom"/>
          </w:tcPr>
          <w:p w14:paraId="392FA34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396B92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84AAE8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6416D12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A62AA1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6244E4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9DB1744"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69DB623" w14:textId="77777777">
        <w:trPr>
          <w:cantSplit/>
        </w:trPr>
        <w:tc>
          <w:tcPr>
            <w:tcW w:w="3458" w:type="dxa"/>
            <w:vAlign w:val="bottom"/>
          </w:tcPr>
          <w:p w14:paraId="7F0E6FF0" w14:textId="4F76236B" w:rsidR="008E5DE4" w:rsidRDefault="00780368">
            <w:pPr>
              <w:widowControl w:val="0"/>
              <w:spacing w:line="228" w:lineRule="auto"/>
              <w:ind w:left="113" w:right="-57" w:hanging="113"/>
            </w:pPr>
            <w:r>
              <w:t xml:space="preserve">- Global depositary receipts (GDR) </w:t>
            </w:r>
          </w:p>
        </w:tc>
        <w:tc>
          <w:tcPr>
            <w:tcW w:w="851" w:type="dxa"/>
            <w:vAlign w:val="bottom"/>
          </w:tcPr>
          <w:p w14:paraId="67E9500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CAF467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B2E8EE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42E22B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8F5BF3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6B6400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8C3479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2F46DDB" w14:textId="77777777">
        <w:trPr>
          <w:cantSplit/>
        </w:trPr>
        <w:tc>
          <w:tcPr>
            <w:tcW w:w="3458" w:type="dxa"/>
            <w:vAlign w:val="bottom"/>
          </w:tcPr>
          <w:p w14:paraId="6B61071F"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045B292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84563A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90CCBE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AF6DBF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B609EE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54BC71B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C6327A3"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A379AE3" w14:textId="77777777">
        <w:trPr>
          <w:cantSplit/>
        </w:trPr>
        <w:tc>
          <w:tcPr>
            <w:tcW w:w="3458" w:type="dxa"/>
            <w:vAlign w:val="bottom"/>
          </w:tcPr>
          <w:p w14:paraId="56275C00"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Loans issued</w:t>
            </w:r>
          </w:p>
        </w:tc>
        <w:tc>
          <w:tcPr>
            <w:tcW w:w="851" w:type="dxa"/>
            <w:vAlign w:val="bottom"/>
          </w:tcPr>
          <w:p w14:paraId="3F0145F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EE6DA8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959F17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A91313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F1982F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0C206D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E8E0A8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647CB4D1" w14:textId="77777777">
        <w:trPr>
          <w:cantSplit/>
        </w:trPr>
        <w:tc>
          <w:tcPr>
            <w:tcW w:w="3458" w:type="dxa"/>
            <w:vAlign w:val="bottom"/>
          </w:tcPr>
          <w:p w14:paraId="2FEF6A3F" w14:textId="77777777" w:rsidR="008E5DE4" w:rsidRDefault="008E5DE4">
            <w:pPr>
              <w:widowControl w:val="0"/>
              <w:pBdr>
                <w:top w:val="nil"/>
                <w:left w:val="nil"/>
                <w:bottom w:val="nil"/>
                <w:right w:val="nil"/>
                <w:between w:val="nil"/>
              </w:pBdr>
              <w:spacing w:line="228" w:lineRule="auto"/>
              <w:ind w:left="113" w:right="-57" w:hanging="113"/>
              <w:rPr>
                <w:b/>
                <w:i/>
                <w:color w:val="000000"/>
              </w:rPr>
            </w:pPr>
          </w:p>
        </w:tc>
        <w:tc>
          <w:tcPr>
            <w:tcW w:w="851" w:type="dxa"/>
            <w:vAlign w:val="bottom"/>
          </w:tcPr>
          <w:p w14:paraId="0ECBD26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C54436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7AB0C9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80F5AA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015389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928F21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2DC3226"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7423504" w14:textId="77777777">
        <w:trPr>
          <w:cantSplit/>
        </w:trPr>
        <w:tc>
          <w:tcPr>
            <w:tcW w:w="3458" w:type="dxa"/>
            <w:vAlign w:val="bottom"/>
          </w:tcPr>
          <w:p w14:paraId="1F31AE0A" w14:textId="77777777" w:rsidR="008E5DE4" w:rsidRDefault="00780368">
            <w:pPr>
              <w:widowControl w:val="0"/>
              <w:pBdr>
                <w:top w:val="nil"/>
                <w:left w:val="nil"/>
                <w:bottom w:val="nil"/>
                <w:right w:val="nil"/>
                <w:between w:val="nil"/>
              </w:pBdr>
              <w:spacing w:line="228" w:lineRule="auto"/>
              <w:ind w:left="113" w:right="-57" w:hanging="113"/>
              <w:rPr>
                <w:b/>
                <w:i/>
                <w:color w:val="000000"/>
              </w:rPr>
            </w:pPr>
            <w:r>
              <w:rPr>
                <w:b/>
                <w:i/>
                <w:color w:val="000000"/>
              </w:rPr>
              <w:t>Other financial assets:</w:t>
            </w:r>
          </w:p>
        </w:tc>
        <w:tc>
          <w:tcPr>
            <w:tcW w:w="851" w:type="dxa"/>
            <w:vAlign w:val="bottom"/>
          </w:tcPr>
          <w:p w14:paraId="4FEE6FA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93D3D9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D70BC5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8F66AC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06B93A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A0C90C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F1B596A"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B4DBD3A" w14:textId="77777777">
        <w:trPr>
          <w:cantSplit/>
        </w:trPr>
        <w:tc>
          <w:tcPr>
            <w:tcW w:w="3458" w:type="dxa"/>
            <w:vAlign w:val="bottom"/>
          </w:tcPr>
          <w:p w14:paraId="11F8978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Trade receivables</w:t>
            </w:r>
          </w:p>
        </w:tc>
        <w:tc>
          <w:tcPr>
            <w:tcW w:w="851" w:type="dxa"/>
            <w:vAlign w:val="bottom"/>
          </w:tcPr>
          <w:p w14:paraId="08D9A49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08BA4C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83C0B3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22869F3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197965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F70584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3F6BA17"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34431751" w14:textId="77777777">
        <w:trPr>
          <w:cantSplit/>
        </w:trPr>
        <w:tc>
          <w:tcPr>
            <w:tcW w:w="3458" w:type="dxa"/>
            <w:vAlign w:val="bottom"/>
          </w:tcPr>
          <w:p w14:paraId="00612EBE"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Finance lease receivables</w:t>
            </w:r>
          </w:p>
        </w:tc>
        <w:tc>
          <w:tcPr>
            <w:tcW w:w="851" w:type="dxa"/>
            <w:vAlign w:val="bottom"/>
          </w:tcPr>
          <w:p w14:paraId="2B4AEC3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455C95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A1AB78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E0049B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C18620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E76302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72291D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D9139D3" w14:textId="77777777">
        <w:trPr>
          <w:cantSplit/>
        </w:trPr>
        <w:tc>
          <w:tcPr>
            <w:tcW w:w="3458" w:type="dxa"/>
            <w:vAlign w:val="bottom"/>
          </w:tcPr>
          <w:p w14:paraId="0CE24935"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Restricted cash</w:t>
            </w:r>
          </w:p>
        </w:tc>
        <w:tc>
          <w:tcPr>
            <w:tcW w:w="851" w:type="dxa"/>
            <w:vAlign w:val="bottom"/>
          </w:tcPr>
          <w:p w14:paraId="601F345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828EA3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4AF1C2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0CD8A10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6DA713C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DAE07D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86FA170"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721D3C76" w14:textId="77777777">
        <w:trPr>
          <w:cantSplit/>
        </w:trPr>
        <w:tc>
          <w:tcPr>
            <w:tcW w:w="3458" w:type="dxa"/>
            <w:vAlign w:val="bottom"/>
          </w:tcPr>
          <w:p w14:paraId="57644252"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Foreign exchange forward contracts</w:t>
            </w:r>
          </w:p>
        </w:tc>
        <w:tc>
          <w:tcPr>
            <w:tcW w:w="851" w:type="dxa"/>
            <w:vAlign w:val="bottom"/>
          </w:tcPr>
          <w:p w14:paraId="3C51287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08B486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4A65A76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8D5052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F3342A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C90847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F37935D"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333A31A" w14:textId="77777777">
        <w:trPr>
          <w:cantSplit/>
        </w:trPr>
        <w:tc>
          <w:tcPr>
            <w:tcW w:w="3458" w:type="dxa"/>
            <w:vAlign w:val="bottom"/>
          </w:tcPr>
          <w:p w14:paraId="66A5675C"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Other financial derivatives</w:t>
            </w:r>
          </w:p>
        </w:tc>
        <w:tc>
          <w:tcPr>
            <w:tcW w:w="851" w:type="dxa"/>
            <w:vAlign w:val="bottom"/>
          </w:tcPr>
          <w:p w14:paraId="727B353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BB5AEC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03FE4DC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4DFA842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EAD13E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0E24EA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4F12C0C"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1CA7CF2D" w14:textId="77777777">
        <w:trPr>
          <w:cantSplit/>
        </w:trPr>
        <w:tc>
          <w:tcPr>
            <w:tcW w:w="3458" w:type="dxa"/>
            <w:vAlign w:val="bottom"/>
          </w:tcPr>
          <w:p w14:paraId="0F04CEA7" w14:textId="77777777" w:rsidR="008E5DE4" w:rsidRDefault="00780368">
            <w:pPr>
              <w:widowControl w:val="0"/>
              <w:pBdr>
                <w:top w:val="nil"/>
                <w:left w:val="nil"/>
                <w:bottom w:val="nil"/>
                <w:right w:val="nil"/>
                <w:between w:val="nil"/>
              </w:pBdr>
              <w:spacing w:line="228" w:lineRule="auto"/>
              <w:ind w:left="113" w:right="-57" w:hanging="113"/>
              <w:rPr>
                <w:i/>
                <w:color w:val="000000"/>
              </w:rPr>
            </w:pPr>
            <w:r>
              <w:rPr>
                <w:i/>
                <w:color w:val="000000"/>
              </w:rPr>
              <w:t>- Other</w:t>
            </w:r>
          </w:p>
        </w:tc>
        <w:tc>
          <w:tcPr>
            <w:tcW w:w="851" w:type="dxa"/>
            <w:vAlign w:val="bottom"/>
          </w:tcPr>
          <w:p w14:paraId="4678849B"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884010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B2857C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5BBB51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D1F5114"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757653B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577773F1"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5DC55626" w14:textId="77777777">
        <w:trPr>
          <w:cantSplit/>
        </w:trPr>
        <w:tc>
          <w:tcPr>
            <w:tcW w:w="3458" w:type="dxa"/>
            <w:tcBorders>
              <w:bottom w:val="single" w:sz="4" w:space="0" w:color="000000"/>
            </w:tcBorders>
            <w:vAlign w:val="bottom"/>
          </w:tcPr>
          <w:p w14:paraId="6CC3B707"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851" w:type="dxa"/>
            <w:tcBorders>
              <w:bottom w:val="single" w:sz="4" w:space="0" w:color="000000"/>
            </w:tcBorders>
            <w:vAlign w:val="bottom"/>
          </w:tcPr>
          <w:p w14:paraId="2B5184E6"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7164410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2E204CD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tcPr>
          <w:p w14:paraId="28319C8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124E52D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tcPr>
          <w:p w14:paraId="61CBCDC0"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4" w:space="0" w:color="000000"/>
            </w:tcBorders>
            <w:vAlign w:val="bottom"/>
          </w:tcPr>
          <w:p w14:paraId="62A136EF"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21931932" w14:textId="77777777">
        <w:trPr>
          <w:cantSplit/>
        </w:trPr>
        <w:tc>
          <w:tcPr>
            <w:tcW w:w="3458" w:type="dxa"/>
            <w:tcBorders>
              <w:top w:val="single" w:sz="4" w:space="0" w:color="000000"/>
            </w:tcBorders>
            <w:vAlign w:val="bottom"/>
          </w:tcPr>
          <w:p w14:paraId="7686DC26" w14:textId="77777777" w:rsidR="008E5DE4" w:rsidRDefault="00780368">
            <w:pPr>
              <w:widowControl w:val="0"/>
              <w:pBdr>
                <w:top w:val="nil"/>
                <w:left w:val="nil"/>
                <w:bottom w:val="nil"/>
                <w:right w:val="nil"/>
                <w:between w:val="nil"/>
              </w:pBdr>
              <w:spacing w:line="228" w:lineRule="auto"/>
              <w:ind w:left="113" w:right="-57" w:hanging="113"/>
              <w:rPr>
                <w:color w:val="000000"/>
              </w:rPr>
            </w:pPr>
            <w:r>
              <w:rPr>
                <w:color w:val="000000"/>
              </w:rPr>
              <w:t> </w:t>
            </w:r>
          </w:p>
        </w:tc>
        <w:tc>
          <w:tcPr>
            <w:tcW w:w="851" w:type="dxa"/>
            <w:tcBorders>
              <w:top w:val="single" w:sz="4" w:space="0" w:color="000000"/>
            </w:tcBorders>
            <w:vAlign w:val="bottom"/>
          </w:tcPr>
          <w:p w14:paraId="2EB890A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vAlign w:val="bottom"/>
          </w:tcPr>
          <w:p w14:paraId="7992DB7D"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vAlign w:val="bottom"/>
          </w:tcPr>
          <w:p w14:paraId="11FB55C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tcPr>
          <w:p w14:paraId="7216876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vAlign w:val="bottom"/>
          </w:tcPr>
          <w:p w14:paraId="6556ACDA"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tcPr>
          <w:p w14:paraId="49320707"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top w:val="single" w:sz="4" w:space="0" w:color="000000"/>
            </w:tcBorders>
            <w:vAlign w:val="bottom"/>
          </w:tcPr>
          <w:p w14:paraId="1F447D9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03D85568" w14:textId="77777777">
        <w:trPr>
          <w:cantSplit/>
        </w:trPr>
        <w:tc>
          <w:tcPr>
            <w:tcW w:w="3458" w:type="dxa"/>
            <w:vAlign w:val="bottom"/>
          </w:tcPr>
          <w:p w14:paraId="233A5900" w14:textId="77777777" w:rsidR="008E5DE4" w:rsidRDefault="00780368">
            <w:pPr>
              <w:widowControl w:val="0"/>
              <w:pBdr>
                <w:top w:val="nil"/>
                <w:left w:val="nil"/>
                <w:bottom w:val="nil"/>
                <w:right w:val="nil"/>
                <w:between w:val="nil"/>
              </w:pBdr>
              <w:spacing w:line="228" w:lineRule="auto"/>
              <w:ind w:left="113" w:right="-57" w:hanging="113"/>
              <w:rPr>
                <w:b/>
                <w:smallCaps/>
                <w:color w:val="000000"/>
              </w:rPr>
            </w:pPr>
            <w:r>
              <w:rPr>
                <w:b/>
                <w:smallCaps/>
                <w:color w:val="000000"/>
              </w:rPr>
              <w:t>TOTAL FINANCIAL ASSETS</w:t>
            </w:r>
          </w:p>
        </w:tc>
        <w:tc>
          <w:tcPr>
            <w:tcW w:w="851" w:type="dxa"/>
            <w:vAlign w:val="bottom"/>
          </w:tcPr>
          <w:p w14:paraId="1075139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767C6ED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1EB57E7C"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33C21412"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3788B2C8"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Pr>
          <w:p w14:paraId="123F7DFF"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vAlign w:val="bottom"/>
          </w:tcPr>
          <w:p w14:paraId="28D16339" w14:textId="77777777" w:rsidR="008E5DE4" w:rsidRDefault="008E5DE4">
            <w:pPr>
              <w:widowControl w:val="0"/>
              <w:pBdr>
                <w:top w:val="nil"/>
                <w:left w:val="nil"/>
                <w:bottom w:val="nil"/>
                <w:right w:val="nil"/>
                <w:between w:val="nil"/>
              </w:pBdr>
              <w:spacing w:line="228" w:lineRule="auto"/>
              <w:jc w:val="right"/>
              <w:rPr>
                <w:color w:val="000000"/>
              </w:rPr>
            </w:pPr>
          </w:p>
        </w:tc>
      </w:tr>
      <w:tr w:rsidR="008E5DE4" w14:paraId="4CBAA90D" w14:textId="77777777">
        <w:trPr>
          <w:cantSplit/>
        </w:trPr>
        <w:tc>
          <w:tcPr>
            <w:tcW w:w="3458" w:type="dxa"/>
            <w:tcBorders>
              <w:bottom w:val="single" w:sz="12" w:space="0" w:color="000000"/>
            </w:tcBorders>
            <w:vAlign w:val="bottom"/>
          </w:tcPr>
          <w:p w14:paraId="1D512623" w14:textId="77777777" w:rsidR="008E5DE4" w:rsidRDefault="008E5DE4">
            <w:pPr>
              <w:widowControl w:val="0"/>
              <w:pBdr>
                <w:top w:val="nil"/>
                <w:left w:val="nil"/>
                <w:bottom w:val="nil"/>
                <w:right w:val="nil"/>
                <w:between w:val="nil"/>
              </w:pBdr>
              <w:spacing w:line="228" w:lineRule="auto"/>
              <w:ind w:left="113" w:right="-57" w:hanging="113"/>
              <w:rPr>
                <w:color w:val="000000"/>
              </w:rPr>
            </w:pPr>
          </w:p>
        </w:tc>
        <w:tc>
          <w:tcPr>
            <w:tcW w:w="851" w:type="dxa"/>
            <w:tcBorders>
              <w:bottom w:val="single" w:sz="12" w:space="0" w:color="000000"/>
            </w:tcBorders>
            <w:vAlign w:val="bottom"/>
          </w:tcPr>
          <w:p w14:paraId="4D30DEC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vAlign w:val="bottom"/>
          </w:tcPr>
          <w:p w14:paraId="66DEB4B5"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vAlign w:val="bottom"/>
          </w:tcPr>
          <w:p w14:paraId="08C763BE"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tcPr>
          <w:p w14:paraId="644A1749"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vAlign w:val="bottom"/>
          </w:tcPr>
          <w:p w14:paraId="096C2C41"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tcPr>
          <w:p w14:paraId="15EA8033" w14:textId="77777777" w:rsidR="008E5DE4" w:rsidRDefault="008E5DE4">
            <w:pPr>
              <w:widowControl w:val="0"/>
              <w:pBdr>
                <w:top w:val="nil"/>
                <w:left w:val="nil"/>
                <w:bottom w:val="nil"/>
                <w:right w:val="nil"/>
                <w:between w:val="nil"/>
              </w:pBdr>
              <w:spacing w:line="228" w:lineRule="auto"/>
              <w:jc w:val="right"/>
              <w:rPr>
                <w:color w:val="000000"/>
              </w:rPr>
            </w:pPr>
          </w:p>
        </w:tc>
        <w:tc>
          <w:tcPr>
            <w:tcW w:w="851" w:type="dxa"/>
            <w:tcBorders>
              <w:bottom w:val="single" w:sz="12" w:space="0" w:color="000000"/>
            </w:tcBorders>
            <w:vAlign w:val="bottom"/>
          </w:tcPr>
          <w:p w14:paraId="6044DC0C" w14:textId="77777777" w:rsidR="008E5DE4" w:rsidRDefault="008E5DE4">
            <w:pPr>
              <w:widowControl w:val="0"/>
              <w:pBdr>
                <w:top w:val="nil"/>
                <w:left w:val="nil"/>
                <w:bottom w:val="nil"/>
                <w:right w:val="nil"/>
                <w:between w:val="nil"/>
              </w:pBdr>
              <w:spacing w:line="228" w:lineRule="auto"/>
              <w:jc w:val="right"/>
              <w:rPr>
                <w:color w:val="000000"/>
              </w:rPr>
            </w:pPr>
          </w:p>
        </w:tc>
      </w:tr>
    </w:tbl>
    <w:p w14:paraId="2FF438C2" w14:textId="6C0F81F9" w:rsidR="008E5DE4" w:rsidRDefault="00780368">
      <w:pPr>
        <w:widowControl w:val="0"/>
        <w:pBdr>
          <w:top w:val="nil"/>
          <w:left w:val="nil"/>
          <w:bottom w:val="nil"/>
          <w:right w:val="nil"/>
          <w:between w:val="nil"/>
        </w:pBdr>
        <w:spacing w:before="200" w:after="200" w:line="228" w:lineRule="auto"/>
        <w:jc w:val="both"/>
        <w:rPr>
          <w:color w:val="0000FF"/>
          <w:sz w:val="20"/>
          <w:szCs w:val="20"/>
        </w:rPr>
      </w:pPr>
      <w:r>
        <w:rPr>
          <w:color w:val="000000"/>
          <w:sz w:val="20"/>
          <w:szCs w:val="20"/>
        </w:rPr>
        <w:t xml:space="preserve">As of </w:t>
      </w:r>
      <w:proofErr w:type="gramStart"/>
      <w:r>
        <w:rPr>
          <w:color w:val="000000"/>
          <w:sz w:val="20"/>
          <w:szCs w:val="20"/>
        </w:rPr>
        <w:t xml:space="preserve">31 December </w:t>
      </w:r>
      <w:r w:rsidR="008614F8">
        <w:rPr>
          <w:color w:val="000000"/>
          <w:sz w:val="20"/>
          <w:szCs w:val="20"/>
        </w:rPr>
        <w:t>2025</w:t>
      </w:r>
      <w:proofErr w:type="gramEnd"/>
      <w:r>
        <w:rPr>
          <w:color w:val="000000"/>
          <w:sz w:val="20"/>
          <w:szCs w:val="20"/>
        </w:rPr>
        <w:t xml:space="preserve"> and 31 December </w:t>
      </w:r>
      <w:r w:rsidR="00A46633">
        <w:rPr>
          <w:color w:val="000000"/>
          <w:sz w:val="20"/>
          <w:szCs w:val="20"/>
        </w:rPr>
        <w:t>2024</w:t>
      </w:r>
      <w:r>
        <w:rPr>
          <w:color w:val="000000"/>
          <w:sz w:val="20"/>
          <w:szCs w:val="20"/>
        </w:rPr>
        <w:t xml:space="preserve">, </w:t>
      </w:r>
      <w:proofErr w:type="gramStart"/>
      <w:r>
        <w:rPr>
          <w:color w:val="000000"/>
          <w:sz w:val="20"/>
          <w:szCs w:val="20"/>
        </w:rPr>
        <w:t>all of</w:t>
      </w:r>
      <w:proofErr w:type="gramEnd"/>
      <w:r>
        <w:rPr>
          <w:color w:val="000000"/>
          <w:sz w:val="20"/>
          <w:szCs w:val="20"/>
        </w:rPr>
        <w:t xml:space="preserve"> the Group’s financial liabilities except for derivatives were carried at AC.</w:t>
      </w:r>
    </w:p>
    <w:p w14:paraId="47322692" w14:textId="0609B98C" w:rsidR="008E5DE4" w:rsidRDefault="00504BB1" w:rsidP="007F183E">
      <w:pPr>
        <w:pStyle w:val="Heading1"/>
        <w:numPr>
          <w:ilvl w:val="0"/>
          <w:numId w:val="0"/>
        </w:numPr>
        <w:ind w:left="567" w:hanging="567"/>
      </w:pPr>
      <w:bookmarkStart w:id="89" w:name="_Toc149923654"/>
      <w:r>
        <w:t xml:space="preserve">55 </w:t>
      </w:r>
      <w:r>
        <w:tab/>
      </w:r>
      <w:r w:rsidR="00780368">
        <w:t>Events after the Reporting Period</w:t>
      </w:r>
      <w:bookmarkEnd w:id="89"/>
    </w:p>
    <w:p w14:paraId="62F8C6E0" w14:textId="77777777"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Dividends. </w:t>
      </w:r>
      <w:r>
        <w:rPr>
          <w:color w:val="000000"/>
          <w:sz w:val="20"/>
          <w:szCs w:val="20"/>
        </w:rPr>
        <w:t xml:space="preserve">Management proposed to the </w:t>
      </w:r>
      <w:r>
        <w:rPr>
          <w:color w:val="0000FF"/>
          <w:sz w:val="20"/>
          <w:szCs w:val="20"/>
        </w:rPr>
        <w:t>[Annual General Meeting of Shareholders]</w:t>
      </w:r>
      <w:r>
        <w:rPr>
          <w:color w:val="000000"/>
          <w:sz w:val="20"/>
          <w:szCs w:val="20"/>
        </w:rPr>
        <w:t xml:space="preserve"> a dividend on ordinary shares of EUR_____ thousand (EUR_____ per ordinary share) and a dividend on preference shares of EUR_____ thousand (EUR_____ per preference share or _____% of the nominal value of the underlying preference shares).</w:t>
      </w:r>
    </w:p>
    <w:p w14:paraId="7CF278AE" w14:textId="29FA305C"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[On _____202</w:t>
      </w:r>
      <w:r w:rsidR="008614F8">
        <w:rPr>
          <w:color w:val="0000FF"/>
          <w:sz w:val="20"/>
          <w:szCs w:val="20"/>
        </w:rPr>
        <w:t>6</w:t>
      </w:r>
      <w:r>
        <w:rPr>
          <w:color w:val="0000FF"/>
          <w:sz w:val="20"/>
          <w:szCs w:val="20"/>
        </w:rPr>
        <w:t xml:space="preserve"> an [Annual General Meeting of Shareholders] declared a dividend on ordinary shares of EUR_____ thousand (EUR_____ per ordinary share) and a dividend on preference shares of EUR_____ thousand (EUR_____ per preference share or _____% of the nominal value of the underlying preference shares).]</w:t>
      </w:r>
    </w:p>
    <w:p w14:paraId="7D0CAE55"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55</w:t>
      </w:r>
      <w:r>
        <w:rPr>
          <w:b/>
          <w:color w:val="000000"/>
          <w:sz w:val="20"/>
          <w:szCs w:val="20"/>
        </w:rPr>
        <w:tab/>
        <w:t>Events after Reporting Period (Continued)</w:t>
      </w:r>
    </w:p>
    <w:p w14:paraId="6A88EE49" w14:textId="3D301B64" w:rsidR="008E5DE4" w:rsidRDefault="00780368">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Business combinations. </w:t>
      </w:r>
      <w:r>
        <w:rPr>
          <w:color w:val="000000"/>
          <w:sz w:val="20"/>
          <w:szCs w:val="20"/>
        </w:rPr>
        <w:t>On _____ 202</w:t>
      </w:r>
      <w:r w:rsidR="008614F8">
        <w:rPr>
          <w:color w:val="000000"/>
          <w:sz w:val="20"/>
          <w:szCs w:val="20"/>
        </w:rPr>
        <w:t>6</w:t>
      </w:r>
      <w:r>
        <w:rPr>
          <w:color w:val="000000"/>
          <w:sz w:val="20"/>
          <w:szCs w:val="20"/>
        </w:rPr>
        <w:t xml:space="preserve"> the Group acquired _____% of the share capital of _____ and obtained control through its ability to cast a majority of votes in the general meeting of shareholders. The acquired subsidiary will increase the Group’s penetration of its chosen retail and corporate markets and is expected to improve profitability through the economies of scale.</w:t>
      </w:r>
    </w:p>
    <w:p w14:paraId="222A46A8"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acquisition-date fair value of the total purchase consideration and its components are as follows:</w:t>
      </w:r>
    </w:p>
    <w:tbl>
      <w:tblPr>
        <w:tblStyle w:val="affffffffffffff6"/>
        <w:tblW w:w="9356" w:type="dxa"/>
        <w:tblLayout w:type="fixed"/>
        <w:tblLook w:val="0000" w:firstRow="0" w:lastRow="0" w:firstColumn="0" w:lastColumn="0" w:noHBand="0" w:noVBand="0"/>
      </w:tblPr>
      <w:tblGrid>
        <w:gridCol w:w="7513"/>
        <w:gridCol w:w="1843"/>
      </w:tblGrid>
      <w:tr w:rsidR="008E5DE4" w14:paraId="7426AE6D" w14:textId="77777777">
        <w:trPr>
          <w:cantSplit/>
        </w:trPr>
        <w:tc>
          <w:tcPr>
            <w:tcW w:w="7513" w:type="dxa"/>
            <w:tcBorders>
              <w:bottom w:val="single" w:sz="4" w:space="0" w:color="000000"/>
            </w:tcBorders>
            <w:vAlign w:val="bottom"/>
          </w:tcPr>
          <w:p w14:paraId="4AE5503B"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843" w:type="dxa"/>
            <w:tcBorders>
              <w:bottom w:val="single" w:sz="4" w:space="0" w:color="000000"/>
            </w:tcBorders>
          </w:tcPr>
          <w:p w14:paraId="5A43BFEC" w14:textId="77777777" w:rsidR="008E5DE4" w:rsidRDefault="00780368">
            <w:pPr>
              <w:widowControl w:val="0"/>
              <w:pBdr>
                <w:top w:val="nil"/>
                <w:left w:val="nil"/>
                <w:bottom w:val="nil"/>
                <w:right w:val="nil"/>
                <w:between w:val="nil"/>
              </w:pBdr>
              <w:ind w:left="-113"/>
              <w:jc w:val="right"/>
              <w:rPr>
                <w:color w:val="0000FF"/>
              </w:rPr>
            </w:pPr>
            <w:r>
              <w:rPr>
                <w:color w:val="000000"/>
              </w:rPr>
              <w:t xml:space="preserve">At </w:t>
            </w:r>
            <w:r>
              <w:rPr>
                <w:color w:val="0000FF"/>
              </w:rPr>
              <w:t>[Acquisition date]</w:t>
            </w:r>
          </w:p>
        </w:tc>
      </w:tr>
      <w:tr w:rsidR="008E5DE4" w14:paraId="78DBFE12" w14:textId="77777777">
        <w:trPr>
          <w:cantSplit/>
        </w:trPr>
        <w:tc>
          <w:tcPr>
            <w:tcW w:w="7513" w:type="dxa"/>
            <w:tcBorders>
              <w:top w:val="single" w:sz="4" w:space="0" w:color="000000"/>
            </w:tcBorders>
            <w:vAlign w:val="bottom"/>
          </w:tcPr>
          <w:p w14:paraId="0AFE88CE"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843" w:type="dxa"/>
            <w:tcBorders>
              <w:top w:val="single" w:sz="4" w:space="0" w:color="000000"/>
            </w:tcBorders>
            <w:vAlign w:val="bottom"/>
          </w:tcPr>
          <w:p w14:paraId="61D30E64" w14:textId="77777777" w:rsidR="008E5DE4" w:rsidRDefault="008E5DE4">
            <w:pPr>
              <w:widowControl w:val="0"/>
              <w:pBdr>
                <w:top w:val="nil"/>
                <w:left w:val="nil"/>
                <w:bottom w:val="nil"/>
                <w:right w:val="nil"/>
                <w:between w:val="nil"/>
              </w:pBdr>
              <w:jc w:val="right"/>
              <w:rPr>
                <w:color w:val="000000"/>
              </w:rPr>
            </w:pPr>
          </w:p>
        </w:tc>
      </w:tr>
      <w:tr w:rsidR="008E5DE4" w14:paraId="42AD30C6" w14:textId="77777777">
        <w:trPr>
          <w:cantSplit/>
        </w:trPr>
        <w:tc>
          <w:tcPr>
            <w:tcW w:w="7513" w:type="dxa"/>
            <w:vAlign w:val="bottom"/>
          </w:tcPr>
          <w:p w14:paraId="2AAF0063" w14:textId="77777777" w:rsidR="008E5DE4" w:rsidRDefault="00780368">
            <w:pPr>
              <w:widowControl w:val="0"/>
              <w:pBdr>
                <w:top w:val="nil"/>
                <w:left w:val="nil"/>
                <w:bottom w:val="nil"/>
                <w:right w:val="nil"/>
                <w:between w:val="nil"/>
              </w:pBdr>
              <w:ind w:left="113" w:right="-57" w:hanging="113"/>
              <w:rPr>
                <w:color w:val="000000"/>
              </w:rPr>
            </w:pPr>
            <w:r>
              <w:rPr>
                <w:color w:val="000000"/>
              </w:rPr>
              <w:t>Cash consideration paid</w:t>
            </w:r>
          </w:p>
        </w:tc>
        <w:tc>
          <w:tcPr>
            <w:tcW w:w="1843" w:type="dxa"/>
            <w:vAlign w:val="bottom"/>
          </w:tcPr>
          <w:p w14:paraId="16AE9595" w14:textId="77777777" w:rsidR="008E5DE4" w:rsidRDefault="008E5DE4">
            <w:pPr>
              <w:widowControl w:val="0"/>
              <w:pBdr>
                <w:top w:val="nil"/>
                <w:left w:val="nil"/>
                <w:bottom w:val="nil"/>
                <w:right w:val="nil"/>
                <w:between w:val="nil"/>
              </w:pBdr>
              <w:jc w:val="right"/>
              <w:rPr>
                <w:b/>
                <w:color w:val="000000"/>
              </w:rPr>
            </w:pPr>
          </w:p>
        </w:tc>
      </w:tr>
      <w:tr w:rsidR="008E5DE4" w14:paraId="0E8744BB" w14:textId="77777777">
        <w:trPr>
          <w:cantSplit/>
        </w:trPr>
        <w:tc>
          <w:tcPr>
            <w:tcW w:w="7513" w:type="dxa"/>
            <w:vAlign w:val="bottom"/>
          </w:tcPr>
          <w:p w14:paraId="0934E5E3"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Fair value of new issued shares of the acquirer </w:t>
            </w:r>
          </w:p>
        </w:tc>
        <w:tc>
          <w:tcPr>
            <w:tcW w:w="1843" w:type="dxa"/>
            <w:vAlign w:val="bottom"/>
          </w:tcPr>
          <w:p w14:paraId="4D63F3A8" w14:textId="77777777" w:rsidR="008E5DE4" w:rsidRDefault="008E5DE4">
            <w:pPr>
              <w:widowControl w:val="0"/>
              <w:pBdr>
                <w:top w:val="nil"/>
                <w:left w:val="nil"/>
                <w:bottom w:val="nil"/>
                <w:right w:val="nil"/>
                <w:between w:val="nil"/>
              </w:pBdr>
              <w:jc w:val="right"/>
              <w:rPr>
                <w:color w:val="000000"/>
              </w:rPr>
            </w:pPr>
          </w:p>
        </w:tc>
      </w:tr>
      <w:tr w:rsidR="008E5DE4" w14:paraId="6416C04B" w14:textId="77777777">
        <w:trPr>
          <w:cantSplit/>
        </w:trPr>
        <w:tc>
          <w:tcPr>
            <w:tcW w:w="7513" w:type="dxa"/>
            <w:vAlign w:val="bottom"/>
          </w:tcPr>
          <w:p w14:paraId="76648575" w14:textId="77777777" w:rsidR="008E5DE4" w:rsidRDefault="00780368">
            <w:pPr>
              <w:widowControl w:val="0"/>
              <w:pBdr>
                <w:top w:val="nil"/>
                <w:left w:val="nil"/>
                <w:bottom w:val="nil"/>
                <w:right w:val="nil"/>
                <w:between w:val="nil"/>
              </w:pBdr>
              <w:ind w:left="113" w:right="-57" w:hanging="113"/>
              <w:rPr>
                <w:color w:val="000000"/>
              </w:rPr>
            </w:pPr>
            <w:r>
              <w:rPr>
                <w:color w:val="000000"/>
              </w:rPr>
              <w:t>Tangible or intangible assets of acquirer transferred</w:t>
            </w:r>
          </w:p>
        </w:tc>
        <w:tc>
          <w:tcPr>
            <w:tcW w:w="1843" w:type="dxa"/>
            <w:vAlign w:val="bottom"/>
          </w:tcPr>
          <w:p w14:paraId="0960DD4E" w14:textId="77777777" w:rsidR="008E5DE4" w:rsidRDefault="008E5DE4">
            <w:pPr>
              <w:widowControl w:val="0"/>
              <w:pBdr>
                <w:top w:val="nil"/>
                <w:left w:val="nil"/>
                <w:bottom w:val="nil"/>
                <w:right w:val="nil"/>
                <w:between w:val="nil"/>
              </w:pBdr>
              <w:jc w:val="right"/>
              <w:rPr>
                <w:color w:val="000000"/>
              </w:rPr>
            </w:pPr>
          </w:p>
        </w:tc>
      </w:tr>
      <w:tr w:rsidR="008E5DE4" w14:paraId="0A929063" w14:textId="77777777">
        <w:trPr>
          <w:cantSplit/>
        </w:trPr>
        <w:tc>
          <w:tcPr>
            <w:tcW w:w="7513" w:type="dxa"/>
            <w:vAlign w:val="bottom"/>
          </w:tcPr>
          <w:p w14:paraId="57DBD79C" w14:textId="77777777" w:rsidR="008E5DE4" w:rsidRDefault="00780368">
            <w:pPr>
              <w:widowControl w:val="0"/>
              <w:pBdr>
                <w:top w:val="nil"/>
                <w:left w:val="nil"/>
                <w:bottom w:val="nil"/>
                <w:right w:val="nil"/>
                <w:between w:val="nil"/>
              </w:pBdr>
              <w:ind w:left="113" w:right="-57" w:hanging="113"/>
              <w:rPr>
                <w:color w:val="000000"/>
              </w:rPr>
            </w:pPr>
            <w:r>
              <w:rPr>
                <w:color w:val="000000"/>
              </w:rPr>
              <w:t>Liability for contingent consideration incurred</w:t>
            </w:r>
          </w:p>
        </w:tc>
        <w:tc>
          <w:tcPr>
            <w:tcW w:w="1843" w:type="dxa"/>
            <w:vAlign w:val="bottom"/>
          </w:tcPr>
          <w:p w14:paraId="27EB57C3" w14:textId="77777777" w:rsidR="008E5DE4" w:rsidRDefault="008E5DE4">
            <w:pPr>
              <w:widowControl w:val="0"/>
              <w:pBdr>
                <w:top w:val="nil"/>
                <w:left w:val="nil"/>
                <w:bottom w:val="nil"/>
                <w:right w:val="nil"/>
                <w:between w:val="nil"/>
              </w:pBdr>
              <w:jc w:val="right"/>
              <w:rPr>
                <w:color w:val="000000"/>
              </w:rPr>
            </w:pPr>
          </w:p>
        </w:tc>
      </w:tr>
      <w:tr w:rsidR="008E5DE4" w14:paraId="679610B7" w14:textId="77777777">
        <w:trPr>
          <w:cantSplit/>
        </w:trPr>
        <w:tc>
          <w:tcPr>
            <w:tcW w:w="7513" w:type="dxa"/>
            <w:tcBorders>
              <w:bottom w:val="single" w:sz="4" w:space="0" w:color="000000"/>
            </w:tcBorders>
            <w:vAlign w:val="bottom"/>
          </w:tcPr>
          <w:p w14:paraId="33B9D073"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843" w:type="dxa"/>
            <w:tcBorders>
              <w:bottom w:val="single" w:sz="4" w:space="0" w:color="000000"/>
            </w:tcBorders>
            <w:vAlign w:val="bottom"/>
          </w:tcPr>
          <w:p w14:paraId="7A7EA53D" w14:textId="77777777" w:rsidR="008E5DE4" w:rsidRDefault="008E5DE4">
            <w:pPr>
              <w:widowControl w:val="0"/>
              <w:pBdr>
                <w:top w:val="nil"/>
                <w:left w:val="nil"/>
                <w:bottom w:val="nil"/>
                <w:right w:val="nil"/>
                <w:between w:val="nil"/>
              </w:pBdr>
              <w:jc w:val="right"/>
              <w:rPr>
                <w:color w:val="000000"/>
              </w:rPr>
            </w:pPr>
          </w:p>
        </w:tc>
      </w:tr>
      <w:tr w:rsidR="008E5DE4" w14:paraId="363E4BBD" w14:textId="77777777">
        <w:trPr>
          <w:cantSplit/>
        </w:trPr>
        <w:tc>
          <w:tcPr>
            <w:tcW w:w="7513" w:type="dxa"/>
            <w:vAlign w:val="bottom"/>
          </w:tcPr>
          <w:p w14:paraId="030C2A8E"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843" w:type="dxa"/>
            <w:vAlign w:val="bottom"/>
          </w:tcPr>
          <w:p w14:paraId="04C9368C" w14:textId="77777777" w:rsidR="008E5DE4" w:rsidRDefault="008E5DE4">
            <w:pPr>
              <w:widowControl w:val="0"/>
              <w:pBdr>
                <w:top w:val="nil"/>
                <w:left w:val="nil"/>
                <w:bottom w:val="nil"/>
                <w:right w:val="nil"/>
                <w:between w:val="nil"/>
              </w:pBdr>
              <w:jc w:val="right"/>
              <w:rPr>
                <w:color w:val="000000"/>
              </w:rPr>
            </w:pPr>
          </w:p>
        </w:tc>
      </w:tr>
      <w:tr w:rsidR="008E5DE4" w14:paraId="1A2E82E8" w14:textId="77777777">
        <w:trPr>
          <w:cantSplit/>
        </w:trPr>
        <w:tc>
          <w:tcPr>
            <w:tcW w:w="7513" w:type="dxa"/>
            <w:vAlign w:val="bottom"/>
          </w:tcPr>
          <w:p w14:paraId="0EEC68F2"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consideration transferred</w:t>
            </w:r>
          </w:p>
        </w:tc>
        <w:tc>
          <w:tcPr>
            <w:tcW w:w="1843" w:type="dxa"/>
            <w:vAlign w:val="bottom"/>
          </w:tcPr>
          <w:p w14:paraId="1E82C78F" w14:textId="77777777" w:rsidR="008E5DE4" w:rsidRDefault="008E5DE4">
            <w:pPr>
              <w:widowControl w:val="0"/>
              <w:pBdr>
                <w:top w:val="nil"/>
                <w:left w:val="nil"/>
                <w:bottom w:val="nil"/>
                <w:right w:val="nil"/>
                <w:between w:val="nil"/>
              </w:pBdr>
              <w:jc w:val="right"/>
              <w:rPr>
                <w:b/>
                <w:color w:val="000000"/>
              </w:rPr>
            </w:pPr>
          </w:p>
        </w:tc>
      </w:tr>
      <w:tr w:rsidR="008E5DE4" w14:paraId="750F7E8E" w14:textId="77777777">
        <w:trPr>
          <w:cantSplit/>
        </w:trPr>
        <w:tc>
          <w:tcPr>
            <w:tcW w:w="7513" w:type="dxa"/>
            <w:tcBorders>
              <w:bottom w:val="single" w:sz="4" w:space="0" w:color="000000"/>
            </w:tcBorders>
            <w:vAlign w:val="bottom"/>
          </w:tcPr>
          <w:p w14:paraId="0560BC7A" w14:textId="77777777" w:rsidR="008E5DE4" w:rsidRDefault="00780368">
            <w:pPr>
              <w:widowControl w:val="0"/>
              <w:pBdr>
                <w:top w:val="nil"/>
                <w:left w:val="nil"/>
                <w:bottom w:val="nil"/>
                <w:right w:val="nil"/>
                <w:between w:val="nil"/>
              </w:pBdr>
              <w:ind w:left="113" w:right="-57" w:hanging="113"/>
              <w:rPr>
                <w:b/>
                <w:color w:val="000000"/>
              </w:rPr>
            </w:pPr>
            <w:r>
              <w:rPr>
                <w:color w:val="0000FF"/>
              </w:rPr>
              <w:t> </w:t>
            </w:r>
          </w:p>
        </w:tc>
        <w:tc>
          <w:tcPr>
            <w:tcW w:w="1843" w:type="dxa"/>
            <w:tcBorders>
              <w:bottom w:val="single" w:sz="4" w:space="0" w:color="000000"/>
            </w:tcBorders>
            <w:vAlign w:val="bottom"/>
          </w:tcPr>
          <w:p w14:paraId="6B2B3EA7" w14:textId="77777777" w:rsidR="008E5DE4" w:rsidRDefault="008E5DE4">
            <w:pPr>
              <w:widowControl w:val="0"/>
              <w:pBdr>
                <w:top w:val="nil"/>
                <w:left w:val="nil"/>
                <w:bottom w:val="nil"/>
                <w:right w:val="nil"/>
                <w:between w:val="nil"/>
              </w:pBdr>
              <w:jc w:val="right"/>
              <w:rPr>
                <w:b/>
                <w:color w:val="000000"/>
              </w:rPr>
            </w:pPr>
          </w:p>
        </w:tc>
      </w:tr>
      <w:tr w:rsidR="008E5DE4" w14:paraId="5F693D2C" w14:textId="77777777">
        <w:trPr>
          <w:cantSplit/>
        </w:trPr>
        <w:tc>
          <w:tcPr>
            <w:tcW w:w="7513" w:type="dxa"/>
            <w:tcBorders>
              <w:top w:val="single" w:sz="4" w:space="0" w:color="000000"/>
            </w:tcBorders>
            <w:vAlign w:val="bottom"/>
          </w:tcPr>
          <w:p w14:paraId="6E771162" w14:textId="77777777" w:rsidR="008E5DE4" w:rsidRDefault="00780368">
            <w:pPr>
              <w:widowControl w:val="0"/>
              <w:pBdr>
                <w:top w:val="nil"/>
                <w:left w:val="nil"/>
                <w:bottom w:val="nil"/>
                <w:right w:val="nil"/>
                <w:between w:val="nil"/>
              </w:pBdr>
              <w:ind w:left="113" w:right="-57" w:hanging="113"/>
              <w:rPr>
                <w:b/>
                <w:color w:val="000000"/>
              </w:rPr>
            </w:pPr>
            <w:r>
              <w:rPr>
                <w:color w:val="0000FF"/>
              </w:rPr>
              <w:t> </w:t>
            </w:r>
          </w:p>
        </w:tc>
        <w:tc>
          <w:tcPr>
            <w:tcW w:w="1843" w:type="dxa"/>
            <w:tcBorders>
              <w:top w:val="single" w:sz="4" w:space="0" w:color="000000"/>
            </w:tcBorders>
            <w:vAlign w:val="bottom"/>
          </w:tcPr>
          <w:p w14:paraId="68E2C9EB" w14:textId="77777777" w:rsidR="008E5DE4" w:rsidRDefault="008E5DE4">
            <w:pPr>
              <w:widowControl w:val="0"/>
              <w:pBdr>
                <w:top w:val="nil"/>
                <w:left w:val="nil"/>
                <w:bottom w:val="nil"/>
                <w:right w:val="nil"/>
                <w:between w:val="nil"/>
              </w:pBdr>
              <w:jc w:val="right"/>
              <w:rPr>
                <w:b/>
                <w:color w:val="000000"/>
              </w:rPr>
            </w:pPr>
          </w:p>
        </w:tc>
      </w:tr>
      <w:tr w:rsidR="008E5DE4" w14:paraId="5619C418" w14:textId="77777777">
        <w:trPr>
          <w:cantSplit/>
        </w:trPr>
        <w:tc>
          <w:tcPr>
            <w:tcW w:w="7513" w:type="dxa"/>
            <w:vAlign w:val="bottom"/>
          </w:tcPr>
          <w:p w14:paraId="635CA40A" w14:textId="77777777" w:rsidR="008E5DE4" w:rsidRDefault="00780368">
            <w:pPr>
              <w:widowControl w:val="0"/>
              <w:pBdr>
                <w:top w:val="nil"/>
                <w:left w:val="nil"/>
                <w:bottom w:val="nil"/>
                <w:right w:val="nil"/>
                <w:between w:val="nil"/>
              </w:pBdr>
              <w:ind w:left="113" w:right="-57" w:hanging="113"/>
              <w:rPr>
                <w:color w:val="000000"/>
              </w:rPr>
            </w:pPr>
            <w:r>
              <w:rPr>
                <w:color w:val="000000"/>
              </w:rPr>
              <w:t>Less remuneration for future services of the former owner</w:t>
            </w:r>
          </w:p>
        </w:tc>
        <w:tc>
          <w:tcPr>
            <w:tcW w:w="1843" w:type="dxa"/>
            <w:vAlign w:val="bottom"/>
          </w:tcPr>
          <w:p w14:paraId="740DF26A" w14:textId="77777777" w:rsidR="008E5DE4" w:rsidRDefault="008E5DE4">
            <w:pPr>
              <w:widowControl w:val="0"/>
              <w:pBdr>
                <w:top w:val="nil"/>
                <w:left w:val="nil"/>
                <w:bottom w:val="nil"/>
                <w:right w:val="nil"/>
                <w:between w:val="nil"/>
              </w:pBdr>
              <w:jc w:val="right"/>
              <w:rPr>
                <w:color w:val="000000"/>
              </w:rPr>
            </w:pPr>
          </w:p>
        </w:tc>
      </w:tr>
      <w:tr w:rsidR="008E5DE4" w14:paraId="735663D5" w14:textId="77777777">
        <w:trPr>
          <w:cantSplit/>
        </w:trPr>
        <w:tc>
          <w:tcPr>
            <w:tcW w:w="7513" w:type="dxa"/>
            <w:vAlign w:val="bottom"/>
          </w:tcPr>
          <w:p w14:paraId="3584A2AA" w14:textId="77777777" w:rsidR="008E5DE4" w:rsidRDefault="00780368">
            <w:pPr>
              <w:widowControl w:val="0"/>
              <w:pBdr>
                <w:top w:val="nil"/>
                <w:left w:val="nil"/>
                <w:bottom w:val="nil"/>
                <w:right w:val="nil"/>
                <w:between w:val="nil"/>
              </w:pBdr>
              <w:ind w:left="113" w:right="-57" w:hanging="113"/>
              <w:rPr>
                <w:color w:val="000000"/>
              </w:rPr>
            </w:pPr>
            <w:r>
              <w:rPr>
                <w:color w:val="000000"/>
              </w:rPr>
              <w:t>Less indemnification asset</w:t>
            </w:r>
          </w:p>
        </w:tc>
        <w:tc>
          <w:tcPr>
            <w:tcW w:w="1843" w:type="dxa"/>
            <w:vAlign w:val="bottom"/>
          </w:tcPr>
          <w:p w14:paraId="3C611459" w14:textId="77777777" w:rsidR="008E5DE4" w:rsidRDefault="008E5DE4">
            <w:pPr>
              <w:widowControl w:val="0"/>
              <w:pBdr>
                <w:top w:val="nil"/>
                <w:left w:val="nil"/>
                <w:bottom w:val="nil"/>
                <w:right w:val="nil"/>
                <w:between w:val="nil"/>
              </w:pBdr>
              <w:jc w:val="right"/>
              <w:rPr>
                <w:color w:val="000000"/>
              </w:rPr>
            </w:pPr>
          </w:p>
        </w:tc>
      </w:tr>
      <w:tr w:rsidR="008E5DE4" w14:paraId="22E79442" w14:textId="77777777">
        <w:trPr>
          <w:cantSplit/>
        </w:trPr>
        <w:tc>
          <w:tcPr>
            <w:tcW w:w="7513" w:type="dxa"/>
            <w:vAlign w:val="bottom"/>
          </w:tcPr>
          <w:p w14:paraId="5440E9D9"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Investment in the acquiree prior to the acquisition </w:t>
            </w:r>
          </w:p>
        </w:tc>
        <w:tc>
          <w:tcPr>
            <w:tcW w:w="1843" w:type="dxa"/>
            <w:vAlign w:val="bottom"/>
          </w:tcPr>
          <w:p w14:paraId="59581341" w14:textId="77777777" w:rsidR="008E5DE4" w:rsidRDefault="008E5DE4">
            <w:pPr>
              <w:widowControl w:val="0"/>
              <w:pBdr>
                <w:top w:val="nil"/>
                <w:left w:val="nil"/>
                <w:bottom w:val="nil"/>
                <w:right w:val="nil"/>
                <w:between w:val="nil"/>
              </w:pBdr>
              <w:jc w:val="right"/>
              <w:rPr>
                <w:color w:val="000000"/>
              </w:rPr>
            </w:pPr>
          </w:p>
        </w:tc>
      </w:tr>
      <w:tr w:rsidR="008E5DE4" w14:paraId="48D87EDF" w14:textId="77777777">
        <w:trPr>
          <w:cantSplit/>
        </w:trPr>
        <w:tc>
          <w:tcPr>
            <w:tcW w:w="7513" w:type="dxa"/>
            <w:tcBorders>
              <w:bottom w:val="single" w:sz="4" w:space="0" w:color="000000"/>
            </w:tcBorders>
            <w:vAlign w:val="bottom"/>
          </w:tcPr>
          <w:p w14:paraId="292F742E"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843" w:type="dxa"/>
            <w:tcBorders>
              <w:bottom w:val="single" w:sz="4" w:space="0" w:color="000000"/>
            </w:tcBorders>
            <w:vAlign w:val="bottom"/>
          </w:tcPr>
          <w:p w14:paraId="1C88D823" w14:textId="77777777" w:rsidR="008E5DE4" w:rsidRDefault="008E5DE4">
            <w:pPr>
              <w:widowControl w:val="0"/>
              <w:pBdr>
                <w:top w:val="nil"/>
                <w:left w:val="nil"/>
                <w:bottom w:val="nil"/>
                <w:right w:val="nil"/>
                <w:between w:val="nil"/>
              </w:pBdr>
              <w:jc w:val="right"/>
              <w:rPr>
                <w:color w:val="000000"/>
              </w:rPr>
            </w:pPr>
          </w:p>
        </w:tc>
      </w:tr>
      <w:tr w:rsidR="008E5DE4" w14:paraId="36070E86" w14:textId="77777777">
        <w:trPr>
          <w:cantSplit/>
        </w:trPr>
        <w:tc>
          <w:tcPr>
            <w:tcW w:w="7513" w:type="dxa"/>
            <w:tcBorders>
              <w:top w:val="single" w:sz="4" w:space="0" w:color="000000"/>
            </w:tcBorders>
            <w:vAlign w:val="bottom"/>
          </w:tcPr>
          <w:p w14:paraId="348807C8"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843" w:type="dxa"/>
            <w:tcBorders>
              <w:top w:val="single" w:sz="4" w:space="0" w:color="000000"/>
            </w:tcBorders>
            <w:vAlign w:val="bottom"/>
          </w:tcPr>
          <w:p w14:paraId="619F442B" w14:textId="77777777" w:rsidR="008E5DE4" w:rsidRDefault="008E5DE4">
            <w:pPr>
              <w:widowControl w:val="0"/>
              <w:pBdr>
                <w:top w:val="nil"/>
                <w:left w:val="nil"/>
                <w:bottom w:val="nil"/>
                <w:right w:val="nil"/>
                <w:between w:val="nil"/>
              </w:pBdr>
              <w:jc w:val="right"/>
              <w:rPr>
                <w:b/>
                <w:color w:val="000000"/>
              </w:rPr>
            </w:pPr>
          </w:p>
        </w:tc>
      </w:tr>
      <w:tr w:rsidR="008E5DE4" w14:paraId="091161AA" w14:textId="77777777">
        <w:trPr>
          <w:cantSplit/>
        </w:trPr>
        <w:tc>
          <w:tcPr>
            <w:tcW w:w="7513" w:type="dxa"/>
            <w:vAlign w:val="bottom"/>
          </w:tcPr>
          <w:p w14:paraId="47C4E98B"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purchase consideration and previously held interest in the acquiree</w:t>
            </w:r>
          </w:p>
        </w:tc>
        <w:tc>
          <w:tcPr>
            <w:tcW w:w="1843" w:type="dxa"/>
            <w:vAlign w:val="bottom"/>
          </w:tcPr>
          <w:p w14:paraId="6840628B" w14:textId="77777777" w:rsidR="008E5DE4" w:rsidRDefault="008E5DE4">
            <w:pPr>
              <w:widowControl w:val="0"/>
              <w:pBdr>
                <w:top w:val="nil"/>
                <w:left w:val="nil"/>
                <w:bottom w:val="nil"/>
                <w:right w:val="nil"/>
                <w:between w:val="nil"/>
              </w:pBdr>
              <w:jc w:val="right"/>
              <w:rPr>
                <w:b/>
                <w:color w:val="000000"/>
              </w:rPr>
            </w:pPr>
          </w:p>
        </w:tc>
      </w:tr>
      <w:tr w:rsidR="008E5DE4" w14:paraId="05AAB9E5" w14:textId="77777777">
        <w:trPr>
          <w:cantSplit/>
        </w:trPr>
        <w:tc>
          <w:tcPr>
            <w:tcW w:w="7513" w:type="dxa"/>
            <w:tcBorders>
              <w:bottom w:val="single" w:sz="12" w:space="0" w:color="000000"/>
            </w:tcBorders>
            <w:vAlign w:val="bottom"/>
          </w:tcPr>
          <w:p w14:paraId="7ADC7133"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843" w:type="dxa"/>
            <w:tcBorders>
              <w:bottom w:val="single" w:sz="12" w:space="0" w:color="000000"/>
            </w:tcBorders>
            <w:vAlign w:val="bottom"/>
          </w:tcPr>
          <w:p w14:paraId="75EFA570" w14:textId="77777777" w:rsidR="008E5DE4" w:rsidRDefault="008E5DE4">
            <w:pPr>
              <w:widowControl w:val="0"/>
              <w:pBdr>
                <w:top w:val="nil"/>
                <w:left w:val="nil"/>
                <w:bottom w:val="nil"/>
                <w:right w:val="nil"/>
                <w:between w:val="nil"/>
              </w:pBdr>
              <w:jc w:val="right"/>
              <w:rPr>
                <w:b/>
                <w:color w:val="000000"/>
              </w:rPr>
            </w:pPr>
          </w:p>
        </w:tc>
      </w:tr>
    </w:tbl>
    <w:p w14:paraId="01AA3194"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investment in the acquiree held prior to the acquisition was remeasured to its fair value at the acquisition date and a gain of EUR____ thousand was recognised in gains less losses on the disposal of </w:t>
      </w:r>
      <w:r>
        <w:rPr>
          <w:color w:val="0000FF"/>
          <w:sz w:val="20"/>
          <w:szCs w:val="20"/>
        </w:rPr>
        <w:t>[available for sale investments]</w:t>
      </w:r>
      <w:r>
        <w:rPr>
          <w:color w:val="000000"/>
          <w:sz w:val="20"/>
          <w:szCs w:val="20"/>
        </w:rPr>
        <w:t xml:space="preserve">. The fair value of the new issued shares of the acquirer was determined </w:t>
      </w:r>
      <w:proofErr w:type="gramStart"/>
      <w:r>
        <w:rPr>
          <w:color w:val="000000"/>
          <w:sz w:val="20"/>
          <w:szCs w:val="20"/>
        </w:rPr>
        <w:t>on the basis of</w:t>
      </w:r>
      <w:proofErr w:type="gramEnd"/>
      <w:r>
        <w:rPr>
          <w:color w:val="000000"/>
          <w:sz w:val="20"/>
          <w:szCs w:val="20"/>
        </w:rPr>
        <w:t xml:space="preserve"> the closing market price of the ordinary shares on the acquisition date.</w:t>
      </w:r>
    </w:p>
    <w:p w14:paraId="793CB4C2" w14:textId="4871C243" w:rsidR="008E5DE4" w:rsidRDefault="00780368">
      <w:pPr>
        <w:widowControl w:val="0"/>
        <w:pBdr>
          <w:top w:val="nil"/>
          <w:left w:val="nil"/>
          <w:bottom w:val="nil"/>
          <w:right w:val="nil"/>
          <w:between w:val="nil"/>
        </w:pBdr>
        <w:spacing w:before="200" w:after="200"/>
        <w:jc w:val="both"/>
        <w:rPr>
          <w:i/>
          <w:color w:val="FF0000"/>
          <w:sz w:val="20"/>
          <w:szCs w:val="20"/>
        </w:rPr>
      </w:pPr>
      <w:r>
        <w:rPr>
          <w:color w:val="0000FF"/>
          <w:sz w:val="20"/>
          <w:szCs w:val="20"/>
        </w:rPr>
        <w:t xml:space="preserve"> [The contingent consideration arrangement requires the Group to pay the former owners of the acquiree ____ per cent of the revenues of an unconsolidated equity investment owned by the acquiree, </w:t>
      </w:r>
      <w:proofErr w:type="gramStart"/>
      <w:r>
        <w:rPr>
          <w:color w:val="0000FF"/>
          <w:sz w:val="20"/>
          <w:szCs w:val="20"/>
        </w:rPr>
        <w:t>in excess of</w:t>
      </w:r>
      <w:proofErr w:type="gramEnd"/>
      <w:r>
        <w:rPr>
          <w:color w:val="0000FF"/>
          <w:sz w:val="20"/>
          <w:szCs w:val="20"/>
        </w:rPr>
        <w:t xml:space="preserve"> EUR____ thousand for 202</w:t>
      </w:r>
      <w:r w:rsidR="008614F8">
        <w:rPr>
          <w:color w:val="0000FF"/>
          <w:sz w:val="20"/>
          <w:szCs w:val="20"/>
        </w:rPr>
        <w:t>6</w:t>
      </w:r>
      <w:r>
        <w:rPr>
          <w:color w:val="0000FF"/>
          <w:sz w:val="20"/>
          <w:szCs w:val="20"/>
        </w:rPr>
        <w:t>, up to a maximum amount of EUR_____ thousand (undiscounted). The potential undiscounted amount of all future payments that the Group could be required to make under the contingent consideration arrangement is between EUR_____ thousand and EUR_____ thousand. The fair value of the contingent consideration arrangement of EUR_____ thousand was estimated by applying the income approach. The fair value estimates are based on an assumed discount rate range of ____–____ per cent and assumed probability-adjusted revenues in the equity investee of EUR_____ thousand to EUR_____ thousand.]</w:t>
      </w:r>
      <w:r>
        <w:rPr>
          <w:color w:val="000000"/>
          <w:sz w:val="20"/>
          <w:szCs w:val="20"/>
        </w:rPr>
        <w:t xml:space="preserve"> </w:t>
      </w:r>
    </w:p>
    <w:p w14:paraId="28EF66F2" w14:textId="7171F748"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Acquisition related transaction costs of EUR____ thousand were expensed as general and administrative expenses. The contractual acquisition arrangement included remuneration of EUR____ thousand for future services of the former owner. This amount was separated and will be expensed as employee benefits expense over a period of three years from acquisition. </w:t>
      </w:r>
    </w:p>
    <w:p w14:paraId="034D29A9"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55</w:t>
      </w:r>
      <w:r>
        <w:rPr>
          <w:b/>
          <w:color w:val="000000"/>
          <w:sz w:val="20"/>
          <w:szCs w:val="20"/>
        </w:rPr>
        <w:tab/>
        <w:t>Events after Reporting Period (Continued)</w:t>
      </w:r>
    </w:p>
    <w:p w14:paraId="4243E068" w14:textId="75B9D865"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consideration paid by the Group was based on results of an external appraisal </w:t>
      </w:r>
      <w:r>
        <w:rPr>
          <w:color w:val="0000FF"/>
          <w:sz w:val="20"/>
          <w:szCs w:val="20"/>
        </w:rPr>
        <w:t>[, by an internationally recognised investment bank,]</w:t>
      </w:r>
      <w:r>
        <w:rPr>
          <w:color w:val="000000"/>
          <w:sz w:val="20"/>
          <w:szCs w:val="20"/>
        </w:rPr>
        <w:t xml:space="preserve"> of the acquiree’s business taken as a whole. However, in accordance with IFRS 3 “Business Combinations”, the Group must account for acquisitions based on fair values of the identifiable assets acquired and liabilities and contingent liabilities assumed. These two different approaches can lead to differences; and, as set out in the table below, recognition of </w:t>
      </w:r>
      <w:r>
        <w:rPr>
          <w:color w:val="0000FF"/>
          <w:sz w:val="20"/>
          <w:szCs w:val="20"/>
        </w:rPr>
        <w:t>[goodwill] [the excess of the net fair value of the acquiree’s identifiable assets, liabilities and contingent liabilities over cost (“negative goodwill”, “bargain purchase”) immediately in profit or loss for the year (as ‘excess of the net fair value of the acquiree’s identifiable assets, liabilities and contingent liabilities over cost of the business combination’)]</w:t>
      </w:r>
      <w:r>
        <w:rPr>
          <w:color w:val="000000"/>
          <w:sz w:val="20"/>
          <w:szCs w:val="20"/>
        </w:rPr>
        <w:t>.</w:t>
      </w:r>
    </w:p>
    <w:p w14:paraId="4104CF79"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Details of the assets and liabilities </w:t>
      </w:r>
      <w:proofErr w:type="gramStart"/>
      <w:r>
        <w:rPr>
          <w:color w:val="000000"/>
          <w:sz w:val="20"/>
          <w:szCs w:val="20"/>
        </w:rPr>
        <w:t>acquired</w:t>
      </w:r>
      <w:proofErr w:type="gramEnd"/>
      <w:r>
        <w:rPr>
          <w:color w:val="000000"/>
          <w:sz w:val="20"/>
          <w:szCs w:val="20"/>
        </w:rPr>
        <w:t xml:space="preserve"> and goodwill arising are as follows:</w:t>
      </w:r>
    </w:p>
    <w:tbl>
      <w:tblPr>
        <w:tblStyle w:val="affffffffffffff7"/>
        <w:tblW w:w="9356" w:type="dxa"/>
        <w:tblLayout w:type="fixed"/>
        <w:tblLook w:val="0000" w:firstRow="0" w:lastRow="0" w:firstColumn="0" w:lastColumn="0" w:noHBand="0" w:noVBand="0"/>
      </w:tblPr>
      <w:tblGrid>
        <w:gridCol w:w="6946"/>
        <w:gridCol w:w="708"/>
        <w:gridCol w:w="1702"/>
      </w:tblGrid>
      <w:tr w:rsidR="008E5DE4" w14:paraId="52FD8374" w14:textId="77777777">
        <w:trPr>
          <w:cantSplit/>
        </w:trPr>
        <w:tc>
          <w:tcPr>
            <w:tcW w:w="6946" w:type="dxa"/>
            <w:tcBorders>
              <w:bottom w:val="single" w:sz="4" w:space="0" w:color="000000"/>
            </w:tcBorders>
            <w:vAlign w:val="bottom"/>
          </w:tcPr>
          <w:p w14:paraId="70982FB1"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708" w:type="dxa"/>
            <w:tcBorders>
              <w:bottom w:val="single" w:sz="4" w:space="0" w:color="000000"/>
            </w:tcBorders>
            <w:vAlign w:val="bottom"/>
          </w:tcPr>
          <w:p w14:paraId="196A983B" w14:textId="77777777" w:rsidR="008E5DE4" w:rsidRDefault="00780368">
            <w:pPr>
              <w:widowControl w:val="0"/>
              <w:pBdr>
                <w:top w:val="nil"/>
                <w:left w:val="nil"/>
                <w:bottom w:val="nil"/>
                <w:right w:val="nil"/>
                <w:between w:val="nil"/>
              </w:pBdr>
              <w:jc w:val="center"/>
              <w:rPr>
                <w:b/>
                <w:color w:val="000000"/>
              </w:rPr>
            </w:pPr>
            <w:r>
              <w:rPr>
                <w:b/>
                <w:color w:val="000000"/>
              </w:rPr>
              <w:t>Note</w:t>
            </w:r>
          </w:p>
        </w:tc>
        <w:tc>
          <w:tcPr>
            <w:tcW w:w="1702" w:type="dxa"/>
            <w:tcBorders>
              <w:bottom w:val="single" w:sz="4" w:space="0" w:color="000000"/>
            </w:tcBorders>
            <w:vAlign w:val="bottom"/>
          </w:tcPr>
          <w:p w14:paraId="295EDDE3" w14:textId="77777777" w:rsidR="008E5DE4" w:rsidRDefault="00780368">
            <w:pPr>
              <w:widowControl w:val="0"/>
              <w:pBdr>
                <w:top w:val="nil"/>
                <w:left w:val="nil"/>
                <w:bottom w:val="nil"/>
                <w:right w:val="nil"/>
                <w:between w:val="nil"/>
              </w:pBdr>
              <w:jc w:val="right"/>
              <w:rPr>
                <w:b/>
                <w:color w:val="000000"/>
              </w:rPr>
            </w:pPr>
            <w:r>
              <w:rPr>
                <w:b/>
                <w:color w:val="000000"/>
              </w:rPr>
              <w:t xml:space="preserve">Attributed </w:t>
            </w:r>
          </w:p>
          <w:p w14:paraId="377307C3" w14:textId="77777777" w:rsidR="008E5DE4" w:rsidRDefault="00780368">
            <w:pPr>
              <w:widowControl w:val="0"/>
              <w:pBdr>
                <w:top w:val="nil"/>
                <w:left w:val="nil"/>
                <w:bottom w:val="nil"/>
                <w:right w:val="nil"/>
                <w:between w:val="nil"/>
              </w:pBdr>
              <w:jc w:val="right"/>
              <w:rPr>
                <w:b/>
                <w:color w:val="000000"/>
              </w:rPr>
            </w:pPr>
            <w:r>
              <w:rPr>
                <w:b/>
                <w:color w:val="000000"/>
              </w:rPr>
              <w:t xml:space="preserve">fair value </w:t>
            </w:r>
          </w:p>
        </w:tc>
      </w:tr>
      <w:tr w:rsidR="008E5DE4" w14:paraId="38AC989B" w14:textId="77777777">
        <w:trPr>
          <w:cantSplit/>
        </w:trPr>
        <w:tc>
          <w:tcPr>
            <w:tcW w:w="6946" w:type="dxa"/>
            <w:vAlign w:val="bottom"/>
          </w:tcPr>
          <w:p w14:paraId="62A8DB25" w14:textId="77777777" w:rsidR="008E5DE4" w:rsidRDefault="00780368">
            <w:pPr>
              <w:widowControl w:val="0"/>
              <w:pBdr>
                <w:top w:val="nil"/>
                <w:left w:val="nil"/>
                <w:bottom w:val="nil"/>
                <w:right w:val="nil"/>
                <w:between w:val="nil"/>
              </w:pBdr>
              <w:ind w:left="113" w:right="-57" w:hanging="113"/>
              <w:rPr>
                <w:color w:val="000000"/>
                <w:sz w:val="10"/>
                <w:szCs w:val="10"/>
              </w:rPr>
            </w:pPr>
            <w:r>
              <w:rPr>
                <w:color w:val="0000FF"/>
                <w:sz w:val="10"/>
                <w:szCs w:val="10"/>
              </w:rPr>
              <w:t> </w:t>
            </w:r>
          </w:p>
        </w:tc>
        <w:tc>
          <w:tcPr>
            <w:tcW w:w="708" w:type="dxa"/>
            <w:vAlign w:val="bottom"/>
          </w:tcPr>
          <w:p w14:paraId="02EC0AC3" w14:textId="77777777" w:rsidR="008E5DE4" w:rsidRDefault="008E5DE4">
            <w:pPr>
              <w:widowControl w:val="0"/>
              <w:pBdr>
                <w:top w:val="nil"/>
                <w:left w:val="nil"/>
                <w:bottom w:val="nil"/>
                <w:right w:val="nil"/>
                <w:between w:val="nil"/>
              </w:pBdr>
              <w:jc w:val="center"/>
              <w:rPr>
                <w:color w:val="000000"/>
                <w:sz w:val="10"/>
                <w:szCs w:val="10"/>
              </w:rPr>
            </w:pPr>
          </w:p>
        </w:tc>
        <w:tc>
          <w:tcPr>
            <w:tcW w:w="1702" w:type="dxa"/>
            <w:vAlign w:val="bottom"/>
          </w:tcPr>
          <w:p w14:paraId="34659908" w14:textId="77777777" w:rsidR="008E5DE4" w:rsidRDefault="008E5DE4">
            <w:pPr>
              <w:widowControl w:val="0"/>
              <w:pBdr>
                <w:top w:val="nil"/>
                <w:left w:val="nil"/>
                <w:bottom w:val="nil"/>
                <w:right w:val="nil"/>
                <w:between w:val="nil"/>
              </w:pBdr>
              <w:jc w:val="right"/>
              <w:rPr>
                <w:color w:val="000000"/>
                <w:sz w:val="10"/>
                <w:szCs w:val="10"/>
              </w:rPr>
            </w:pPr>
          </w:p>
        </w:tc>
      </w:tr>
      <w:tr w:rsidR="008E5DE4" w14:paraId="2595BFDD" w14:textId="77777777">
        <w:trPr>
          <w:cantSplit/>
        </w:trPr>
        <w:tc>
          <w:tcPr>
            <w:tcW w:w="6946" w:type="dxa"/>
            <w:vAlign w:val="bottom"/>
          </w:tcPr>
          <w:p w14:paraId="506754D7" w14:textId="77777777" w:rsidR="008E5DE4" w:rsidRDefault="00780368">
            <w:pPr>
              <w:widowControl w:val="0"/>
              <w:pBdr>
                <w:top w:val="nil"/>
                <w:left w:val="nil"/>
                <w:bottom w:val="nil"/>
                <w:right w:val="nil"/>
                <w:between w:val="nil"/>
              </w:pBdr>
              <w:ind w:left="113" w:right="-57" w:hanging="113"/>
              <w:rPr>
                <w:i/>
                <w:color w:val="000000"/>
              </w:rPr>
            </w:pPr>
            <w:r>
              <w:rPr>
                <w:color w:val="000000"/>
              </w:rPr>
              <w:t xml:space="preserve">Cash and cash equivalents </w:t>
            </w:r>
          </w:p>
        </w:tc>
        <w:tc>
          <w:tcPr>
            <w:tcW w:w="708" w:type="dxa"/>
            <w:vAlign w:val="bottom"/>
          </w:tcPr>
          <w:p w14:paraId="272E907A"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40696007" w14:textId="77777777" w:rsidR="008E5DE4" w:rsidRDefault="008E5DE4">
            <w:pPr>
              <w:widowControl w:val="0"/>
              <w:pBdr>
                <w:top w:val="nil"/>
                <w:left w:val="nil"/>
                <w:bottom w:val="nil"/>
                <w:right w:val="nil"/>
                <w:between w:val="nil"/>
              </w:pBdr>
              <w:jc w:val="right"/>
              <w:rPr>
                <w:color w:val="000000"/>
              </w:rPr>
            </w:pPr>
          </w:p>
        </w:tc>
      </w:tr>
      <w:tr w:rsidR="008E5DE4" w14:paraId="7F094157" w14:textId="77777777">
        <w:trPr>
          <w:cantSplit/>
        </w:trPr>
        <w:tc>
          <w:tcPr>
            <w:tcW w:w="6946" w:type="dxa"/>
            <w:vAlign w:val="bottom"/>
          </w:tcPr>
          <w:p w14:paraId="7CEE5A85" w14:textId="77777777" w:rsidR="008E5DE4" w:rsidRDefault="00780368">
            <w:pPr>
              <w:widowControl w:val="0"/>
              <w:pBdr>
                <w:top w:val="nil"/>
                <w:left w:val="nil"/>
                <w:bottom w:val="nil"/>
                <w:right w:val="nil"/>
                <w:between w:val="nil"/>
              </w:pBdr>
              <w:ind w:left="113" w:right="-57" w:hanging="113"/>
              <w:rPr>
                <w:i/>
                <w:color w:val="000000"/>
              </w:rPr>
            </w:pPr>
            <w:r>
              <w:rPr>
                <w:color w:val="000000"/>
              </w:rPr>
              <w:t>Property, plant and equipment</w:t>
            </w:r>
          </w:p>
        </w:tc>
        <w:tc>
          <w:tcPr>
            <w:tcW w:w="708" w:type="dxa"/>
            <w:vAlign w:val="bottom"/>
          </w:tcPr>
          <w:p w14:paraId="5F13AD54"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10ED6A07" w14:textId="77777777" w:rsidR="008E5DE4" w:rsidRDefault="008E5DE4">
            <w:pPr>
              <w:widowControl w:val="0"/>
              <w:pBdr>
                <w:top w:val="nil"/>
                <w:left w:val="nil"/>
                <w:bottom w:val="nil"/>
                <w:right w:val="nil"/>
                <w:between w:val="nil"/>
              </w:pBdr>
              <w:jc w:val="right"/>
              <w:rPr>
                <w:color w:val="000000"/>
              </w:rPr>
            </w:pPr>
          </w:p>
        </w:tc>
      </w:tr>
      <w:tr w:rsidR="008E5DE4" w14:paraId="7E320F59" w14:textId="77777777">
        <w:trPr>
          <w:cantSplit/>
        </w:trPr>
        <w:tc>
          <w:tcPr>
            <w:tcW w:w="6946" w:type="dxa"/>
            <w:vAlign w:val="bottom"/>
          </w:tcPr>
          <w:p w14:paraId="211CACA8"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property</w:t>
            </w:r>
          </w:p>
        </w:tc>
        <w:tc>
          <w:tcPr>
            <w:tcW w:w="708" w:type="dxa"/>
            <w:vAlign w:val="bottom"/>
          </w:tcPr>
          <w:p w14:paraId="64185ADB"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15627BBF" w14:textId="77777777" w:rsidR="008E5DE4" w:rsidRDefault="008E5DE4">
            <w:pPr>
              <w:widowControl w:val="0"/>
              <w:pBdr>
                <w:top w:val="nil"/>
                <w:left w:val="nil"/>
                <w:bottom w:val="nil"/>
                <w:right w:val="nil"/>
                <w:between w:val="nil"/>
              </w:pBdr>
              <w:jc w:val="right"/>
              <w:rPr>
                <w:color w:val="000000"/>
              </w:rPr>
            </w:pPr>
          </w:p>
        </w:tc>
      </w:tr>
      <w:tr w:rsidR="008E5DE4" w14:paraId="2DAC0153" w14:textId="77777777">
        <w:trPr>
          <w:cantSplit/>
        </w:trPr>
        <w:tc>
          <w:tcPr>
            <w:tcW w:w="6946" w:type="dxa"/>
            <w:vAlign w:val="bottom"/>
          </w:tcPr>
          <w:p w14:paraId="6183B5AD" w14:textId="77777777" w:rsidR="008E5DE4" w:rsidRDefault="00780368">
            <w:pPr>
              <w:widowControl w:val="0"/>
              <w:pBdr>
                <w:top w:val="nil"/>
                <w:left w:val="nil"/>
                <w:bottom w:val="nil"/>
                <w:right w:val="nil"/>
                <w:between w:val="nil"/>
              </w:pBdr>
              <w:ind w:left="113" w:right="-57" w:hanging="113"/>
              <w:rPr>
                <w:color w:val="000000"/>
              </w:rPr>
            </w:pPr>
            <w:r>
              <w:rPr>
                <w:color w:val="000000"/>
              </w:rPr>
              <w:t>Right-of-use assets</w:t>
            </w:r>
          </w:p>
        </w:tc>
        <w:tc>
          <w:tcPr>
            <w:tcW w:w="708" w:type="dxa"/>
            <w:vAlign w:val="bottom"/>
          </w:tcPr>
          <w:p w14:paraId="14DDA0DE"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15711129" w14:textId="77777777" w:rsidR="008E5DE4" w:rsidRDefault="008E5DE4">
            <w:pPr>
              <w:widowControl w:val="0"/>
              <w:pBdr>
                <w:top w:val="nil"/>
                <w:left w:val="nil"/>
                <w:bottom w:val="nil"/>
                <w:right w:val="nil"/>
                <w:between w:val="nil"/>
              </w:pBdr>
              <w:jc w:val="right"/>
              <w:rPr>
                <w:color w:val="000000"/>
              </w:rPr>
            </w:pPr>
          </w:p>
        </w:tc>
      </w:tr>
      <w:tr w:rsidR="008E5DE4" w14:paraId="7D607C54" w14:textId="77777777">
        <w:trPr>
          <w:cantSplit/>
        </w:trPr>
        <w:tc>
          <w:tcPr>
            <w:tcW w:w="6946" w:type="dxa"/>
            <w:vAlign w:val="bottom"/>
          </w:tcPr>
          <w:p w14:paraId="3ABBA62B" w14:textId="77777777" w:rsidR="008E5DE4" w:rsidRDefault="00780368">
            <w:pPr>
              <w:widowControl w:val="0"/>
              <w:pBdr>
                <w:top w:val="nil"/>
                <w:left w:val="nil"/>
                <w:bottom w:val="nil"/>
                <w:right w:val="nil"/>
                <w:between w:val="nil"/>
              </w:pBdr>
              <w:ind w:left="113" w:right="-57" w:hanging="113"/>
              <w:rPr>
                <w:i/>
                <w:color w:val="000000"/>
              </w:rPr>
            </w:pPr>
            <w:r>
              <w:rPr>
                <w:color w:val="000000"/>
              </w:rPr>
              <w:t>Other assets</w:t>
            </w:r>
          </w:p>
        </w:tc>
        <w:tc>
          <w:tcPr>
            <w:tcW w:w="708" w:type="dxa"/>
            <w:vAlign w:val="bottom"/>
          </w:tcPr>
          <w:p w14:paraId="4BE2915E"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4DEFA381" w14:textId="77777777" w:rsidR="008E5DE4" w:rsidRDefault="008E5DE4">
            <w:pPr>
              <w:widowControl w:val="0"/>
              <w:pBdr>
                <w:top w:val="nil"/>
                <w:left w:val="nil"/>
                <w:bottom w:val="nil"/>
                <w:right w:val="nil"/>
                <w:between w:val="nil"/>
              </w:pBdr>
              <w:jc w:val="right"/>
              <w:rPr>
                <w:color w:val="000000"/>
              </w:rPr>
            </w:pPr>
          </w:p>
        </w:tc>
      </w:tr>
      <w:tr w:rsidR="008E5DE4" w14:paraId="0733B409" w14:textId="77777777">
        <w:trPr>
          <w:cantSplit/>
        </w:trPr>
        <w:tc>
          <w:tcPr>
            <w:tcW w:w="6946" w:type="dxa"/>
            <w:vAlign w:val="bottom"/>
          </w:tcPr>
          <w:p w14:paraId="798E9501" w14:textId="77777777" w:rsidR="008E5DE4" w:rsidRDefault="00780368">
            <w:pPr>
              <w:widowControl w:val="0"/>
              <w:pBdr>
                <w:top w:val="nil"/>
                <w:left w:val="nil"/>
                <w:bottom w:val="nil"/>
                <w:right w:val="nil"/>
                <w:between w:val="nil"/>
              </w:pBdr>
              <w:ind w:left="113" w:right="-57" w:hanging="113"/>
              <w:rPr>
                <w:i/>
                <w:color w:val="000000"/>
              </w:rPr>
            </w:pPr>
            <w:r>
              <w:rPr>
                <w:color w:val="000000"/>
              </w:rPr>
              <w:t>Borrowings</w:t>
            </w:r>
          </w:p>
        </w:tc>
        <w:tc>
          <w:tcPr>
            <w:tcW w:w="708" w:type="dxa"/>
            <w:vAlign w:val="bottom"/>
          </w:tcPr>
          <w:p w14:paraId="6DF7362E"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3FE6756D" w14:textId="77777777" w:rsidR="008E5DE4" w:rsidRDefault="008E5DE4">
            <w:pPr>
              <w:widowControl w:val="0"/>
              <w:pBdr>
                <w:top w:val="nil"/>
                <w:left w:val="nil"/>
                <w:bottom w:val="nil"/>
                <w:right w:val="nil"/>
                <w:between w:val="nil"/>
              </w:pBdr>
              <w:jc w:val="right"/>
              <w:rPr>
                <w:color w:val="000000"/>
              </w:rPr>
            </w:pPr>
          </w:p>
        </w:tc>
      </w:tr>
      <w:tr w:rsidR="008E5DE4" w14:paraId="51ACCBD9" w14:textId="77777777">
        <w:trPr>
          <w:cantSplit/>
        </w:trPr>
        <w:tc>
          <w:tcPr>
            <w:tcW w:w="6946" w:type="dxa"/>
            <w:vAlign w:val="bottom"/>
          </w:tcPr>
          <w:p w14:paraId="658E8426" w14:textId="77777777" w:rsidR="008E5DE4" w:rsidRDefault="00780368">
            <w:pPr>
              <w:widowControl w:val="0"/>
              <w:pBdr>
                <w:top w:val="nil"/>
                <w:left w:val="nil"/>
                <w:bottom w:val="nil"/>
                <w:right w:val="nil"/>
                <w:between w:val="nil"/>
              </w:pBdr>
              <w:ind w:left="113" w:right="-57" w:hanging="113"/>
              <w:rPr>
                <w:color w:val="000000"/>
              </w:rPr>
            </w:pPr>
            <w:r>
              <w:rPr>
                <w:color w:val="000000"/>
              </w:rPr>
              <w:t>Trade and other payables</w:t>
            </w:r>
          </w:p>
        </w:tc>
        <w:tc>
          <w:tcPr>
            <w:tcW w:w="708" w:type="dxa"/>
            <w:vAlign w:val="bottom"/>
          </w:tcPr>
          <w:p w14:paraId="27709F91"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26A63786" w14:textId="77777777" w:rsidR="008E5DE4" w:rsidRDefault="008E5DE4">
            <w:pPr>
              <w:widowControl w:val="0"/>
              <w:pBdr>
                <w:top w:val="nil"/>
                <w:left w:val="nil"/>
                <w:bottom w:val="nil"/>
                <w:right w:val="nil"/>
                <w:between w:val="nil"/>
              </w:pBdr>
              <w:jc w:val="right"/>
              <w:rPr>
                <w:color w:val="000000"/>
              </w:rPr>
            </w:pPr>
          </w:p>
        </w:tc>
      </w:tr>
      <w:tr w:rsidR="008E5DE4" w14:paraId="0AC93108" w14:textId="77777777">
        <w:trPr>
          <w:cantSplit/>
        </w:trPr>
        <w:tc>
          <w:tcPr>
            <w:tcW w:w="6946" w:type="dxa"/>
            <w:vAlign w:val="bottom"/>
          </w:tcPr>
          <w:p w14:paraId="6D151833" w14:textId="77777777" w:rsidR="008E5DE4" w:rsidRDefault="00780368">
            <w:pPr>
              <w:widowControl w:val="0"/>
              <w:pBdr>
                <w:top w:val="nil"/>
                <w:left w:val="nil"/>
                <w:bottom w:val="nil"/>
                <w:right w:val="nil"/>
                <w:between w:val="nil"/>
              </w:pBdr>
              <w:ind w:left="113" w:right="-57" w:hanging="113"/>
              <w:rPr>
                <w:i/>
                <w:color w:val="000000"/>
              </w:rPr>
            </w:pPr>
            <w:r>
              <w:rPr>
                <w:color w:val="000000"/>
              </w:rPr>
              <w:t>Other liabilities</w:t>
            </w:r>
          </w:p>
        </w:tc>
        <w:tc>
          <w:tcPr>
            <w:tcW w:w="708" w:type="dxa"/>
            <w:vAlign w:val="bottom"/>
          </w:tcPr>
          <w:p w14:paraId="5D4E4A98"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1F90A2FB" w14:textId="77777777" w:rsidR="008E5DE4" w:rsidRDefault="008E5DE4">
            <w:pPr>
              <w:widowControl w:val="0"/>
              <w:pBdr>
                <w:top w:val="nil"/>
                <w:left w:val="nil"/>
                <w:bottom w:val="nil"/>
                <w:right w:val="nil"/>
                <w:between w:val="nil"/>
              </w:pBdr>
              <w:jc w:val="right"/>
              <w:rPr>
                <w:color w:val="000000"/>
              </w:rPr>
            </w:pPr>
          </w:p>
        </w:tc>
      </w:tr>
      <w:tr w:rsidR="008E5DE4" w14:paraId="55267D86" w14:textId="77777777">
        <w:trPr>
          <w:cantSplit/>
        </w:trPr>
        <w:tc>
          <w:tcPr>
            <w:tcW w:w="6946" w:type="dxa"/>
            <w:tcBorders>
              <w:bottom w:val="single" w:sz="4" w:space="0" w:color="000000"/>
            </w:tcBorders>
            <w:vAlign w:val="bottom"/>
          </w:tcPr>
          <w:p w14:paraId="06BEC683" w14:textId="77777777" w:rsidR="008E5DE4" w:rsidRDefault="00780368">
            <w:pPr>
              <w:widowControl w:val="0"/>
              <w:pBdr>
                <w:top w:val="nil"/>
                <w:left w:val="nil"/>
                <w:bottom w:val="nil"/>
                <w:right w:val="nil"/>
                <w:between w:val="nil"/>
              </w:pBdr>
              <w:ind w:left="113" w:right="-57" w:hanging="113"/>
              <w:rPr>
                <w:i/>
                <w:color w:val="000000"/>
                <w:sz w:val="10"/>
                <w:szCs w:val="10"/>
              </w:rPr>
            </w:pPr>
            <w:r>
              <w:rPr>
                <w:color w:val="0000FF"/>
                <w:sz w:val="10"/>
                <w:szCs w:val="10"/>
              </w:rPr>
              <w:t> </w:t>
            </w:r>
          </w:p>
        </w:tc>
        <w:tc>
          <w:tcPr>
            <w:tcW w:w="708" w:type="dxa"/>
            <w:tcBorders>
              <w:bottom w:val="single" w:sz="4" w:space="0" w:color="000000"/>
            </w:tcBorders>
            <w:vAlign w:val="bottom"/>
          </w:tcPr>
          <w:p w14:paraId="5FD24FE0" w14:textId="77777777" w:rsidR="008E5DE4" w:rsidRDefault="008E5DE4">
            <w:pPr>
              <w:widowControl w:val="0"/>
              <w:pBdr>
                <w:top w:val="nil"/>
                <w:left w:val="nil"/>
                <w:bottom w:val="nil"/>
                <w:right w:val="nil"/>
                <w:between w:val="nil"/>
              </w:pBdr>
              <w:jc w:val="center"/>
              <w:rPr>
                <w:color w:val="000000"/>
                <w:sz w:val="10"/>
                <w:szCs w:val="10"/>
              </w:rPr>
            </w:pPr>
          </w:p>
        </w:tc>
        <w:tc>
          <w:tcPr>
            <w:tcW w:w="1702" w:type="dxa"/>
            <w:tcBorders>
              <w:bottom w:val="single" w:sz="4" w:space="0" w:color="000000"/>
            </w:tcBorders>
            <w:vAlign w:val="bottom"/>
          </w:tcPr>
          <w:p w14:paraId="224F3EBC" w14:textId="77777777" w:rsidR="008E5DE4" w:rsidRDefault="008E5DE4">
            <w:pPr>
              <w:widowControl w:val="0"/>
              <w:pBdr>
                <w:top w:val="nil"/>
                <w:left w:val="nil"/>
                <w:bottom w:val="nil"/>
                <w:right w:val="nil"/>
                <w:between w:val="nil"/>
              </w:pBdr>
              <w:jc w:val="right"/>
              <w:rPr>
                <w:color w:val="000000"/>
                <w:sz w:val="10"/>
                <w:szCs w:val="10"/>
              </w:rPr>
            </w:pPr>
          </w:p>
        </w:tc>
      </w:tr>
      <w:tr w:rsidR="008E5DE4" w14:paraId="788ABF51" w14:textId="77777777">
        <w:trPr>
          <w:cantSplit/>
        </w:trPr>
        <w:tc>
          <w:tcPr>
            <w:tcW w:w="6946" w:type="dxa"/>
            <w:tcBorders>
              <w:top w:val="single" w:sz="4" w:space="0" w:color="000000"/>
            </w:tcBorders>
            <w:vAlign w:val="bottom"/>
          </w:tcPr>
          <w:p w14:paraId="40AA659B" w14:textId="77777777" w:rsidR="008E5DE4" w:rsidRDefault="00780368">
            <w:pPr>
              <w:widowControl w:val="0"/>
              <w:pBdr>
                <w:top w:val="nil"/>
                <w:left w:val="nil"/>
                <w:bottom w:val="nil"/>
                <w:right w:val="nil"/>
                <w:between w:val="nil"/>
              </w:pBdr>
              <w:ind w:left="113" w:right="-57" w:hanging="113"/>
              <w:rPr>
                <w:i/>
                <w:color w:val="000000"/>
                <w:sz w:val="10"/>
                <w:szCs w:val="10"/>
              </w:rPr>
            </w:pPr>
            <w:r>
              <w:rPr>
                <w:color w:val="0000FF"/>
                <w:sz w:val="10"/>
                <w:szCs w:val="10"/>
              </w:rPr>
              <w:t> </w:t>
            </w:r>
          </w:p>
        </w:tc>
        <w:tc>
          <w:tcPr>
            <w:tcW w:w="708" w:type="dxa"/>
            <w:tcBorders>
              <w:top w:val="single" w:sz="4" w:space="0" w:color="000000"/>
            </w:tcBorders>
            <w:vAlign w:val="bottom"/>
          </w:tcPr>
          <w:p w14:paraId="6408C2AC" w14:textId="77777777" w:rsidR="008E5DE4" w:rsidRDefault="008E5DE4">
            <w:pPr>
              <w:widowControl w:val="0"/>
              <w:pBdr>
                <w:top w:val="nil"/>
                <w:left w:val="nil"/>
                <w:bottom w:val="nil"/>
                <w:right w:val="nil"/>
                <w:between w:val="nil"/>
              </w:pBdr>
              <w:jc w:val="center"/>
              <w:rPr>
                <w:color w:val="000000"/>
                <w:sz w:val="10"/>
                <w:szCs w:val="10"/>
              </w:rPr>
            </w:pPr>
          </w:p>
        </w:tc>
        <w:tc>
          <w:tcPr>
            <w:tcW w:w="1702" w:type="dxa"/>
            <w:tcBorders>
              <w:top w:val="single" w:sz="4" w:space="0" w:color="000000"/>
            </w:tcBorders>
            <w:vAlign w:val="bottom"/>
          </w:tcPr>
          <w:p w14:paraId="3F2138BF" w14:textId="77777777" w:rsidR="008E5DE4" w:rsidRDefault="008E5DE4">
            <w:pPr>
              <w:widowControl w:val="0"/>
              <w:pBdr>
                <w:top w:val="nil"/>
                <w:left w:val="nil"/>
                <w:bottom w:val="nil"/>
                <w:right w:val="nil"/>
                <w:between w:val="nil"/>
              </w:pBdr>
              <w:jc w:val="right"/>
              <w:rPr>
                <w:color w:val="000000"/>
                <w:sz w:val="10"/>
                <w:szCs w:val="10"/>
              </w:rPr>
            </w:pPr>
          </w:p>
        </w:tc>
      </w:tr>
      <w:tr w:rsidR="008E5DE4" w14:paraId="5637AD9F" w14:textId="77777777">
        <w:trPr>
          <w:cantSplit/>
        </w:trPr>
        <w:tc>
          <w:tcPr>
            <w:tcW w:w="6946" w:type="dxa"/>
            <w:vAlign w:val="bottom"/>
          </w:tcPr>
          <w:p w14:paraId="7DDA6EA6" w14:textId="77777777" w:rsidR="008E5DE4" w:rsidRDefault="00780368">
            <w:pPr>
              <w:widowControl w:val="0"/>
              <w:pBdr>
                <w:top w:val="nil"/>
                <w:left w:val="nil"/>
                <w:bottom w:val="nil"/>
                <w:right w:val="nil"/>
                <w:between w:val="nil"/>
              </w:pBdr>
              <w:ind w:left="113" w:right="-57" w:hanging="113"/>
              <w:rPr>
                <w:b/>
                <w:i/>
                <w:color w:val="000000"/>
              </w:rPr>
            </w:pPr>
            <w:r>
              <w:rPr>
                <w:b/>
                <w:color w:val="000000"/>
              </w:rPr>
              <w:t>Fair value of identifiable net assets of subsidiary</w:t>
            </w:r>
          </w:p>
        </w:tc>
        <w:tc>
          <w:tcPr>
            <w:tcW w:w="708" w:type="dxa"/>
            <w:vAlign w:val="bottom"/>
          </w:tcPr>
          <w:p w14:paraId="3FD3C99F"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3AEAA138" w14:textId="77777777" w:rsidR="008E5DE4" w:rsidRDefault="008E5DE4">
            <w:pPr>
              <w:widowControl w:val="0"/>
              <w:pBdr>
                <w:top w:val="nil"/>
                <w:left w:val="nil"/>
                <w:bottom w:val="nil"/>
                <w:right w:val="nil"/>
                <w:between w:val="nil"/>
              </w:pBdr>
              <w:jc w:val="right"/>
              <w:rPr>
                <w:b/>
                <w:color w:val="000000"/>
              </w:rPr>
            </w:pPr>
          </w:p>
        </w:tc>
      </w:tr>
      <w:tr w:rsidR="008E5DE4" w14:paraId="25CBC348" w14:textId="77777777">
        <w:trPr>
          <w:cantSplit/>
        </w:trPr>
        <w:tc>
          <w:tcPr>
            <w:tcW w:w="6946" w:type="dxa"/>
            <w:vAlign w:val="bottom"/>
          </w:tcPr>
          <w:p w14:paraId="310C8328"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Less: non-controlling interest </w:t>
            </w:r>
          </w:p>
        </w:tc>
        <w:tc>
          <w:tcPr>
            <w:tcW w:w="708" w:type="dxa"/>
            <w:vAlign w:val="bottom"/>
          </w:tcPr>
          <w:p w14:paraId="48105991"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3648E6D1" w14:textId="77777777" w:rsidR="008E5DE4" w:rsidRDefault="008E5DE4">
            <w:pPr>
              <w:widowControl w:val="0"/>
              <w:pBdr>
                <w:top w:val="nil"/>
                <w:left w:val="nil"/>
                <w:bottom w:val="nil"/>
                <w:right w:val="nil"/>
                <w:between w:val="nil"/>
              </w:pBdr>
              <w:jc w:val="right"/>
              <w:rPr>
                <w:color w:val="000000"/>
              </w:rPr>
            </w:pPr>
          </w:p>
        </w:tc>
      </w:tr>
      <w:tr w:rsidR="008E5DE4" w14:paraId="37AFAB94" w14:textId="77777777">
        <w:trPr>
          <w:cantSplit/>
        </w:trPr>
        <w:tc>
          <w:tcPr>
            <w:tcW w:w="6946" w:type="dxa"/>
            <w:vAlign w:val="bottom"/>
          </w:tcPr>
          <w:p w14:paraId="150F7574"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Goodwill arising from the acquisition </w:t>
            </w:r>
          </w:p>
        </w:tc>
        <w:tc>
          <w:tcPr>
            <w:tcW w:w="708" w:type="dxa"/>
            <w:vAlign w:val="bottom"/>
          </w:tcPr>
          <w:p w14:paraId="0D19A3E2"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2BB0C62E" w14:textId="77777777" w:rsidR="008E5DE4" w:rsidRDefault="008E5DE4">
            <w:pPr>
              <w:widowControl w:val="0"/>
              <w:pBdr>
                <w:top w:val="nil"/>
                <w:left w:val="nil"/>
                <w:bottom w:val="nil"/>
                <w:right w:val="nil"/>
                <w:between w:val="nil"/>
              </w:pBdr>
              <w:jc w:val="right"/>
              <w:rPr>
                <w:color w:val="000000"/>
              </w:rPr>
            </w:pPr>
          </w:p>
        </w:tc>
      </w:tr>
      <w:tr w:rsidR="008E5DE4" w14:paraId="7F21F903" w14:textId="77777777">
        <w:trPr>
          <w:cantSplit/>
        </w:trPr>
        <w:tc>
          <w:tcPr>
            <w:tcW w:w="6946" w:type="dxa"/>
            <w:tcBorders>
              <w:bottom w:val="single" w:sz="4" w:space="0" w:color="000000"/>
            </w:tcBorders>
            <w:vAlign w:val="bottom"/>
          </w:tcPr>
          <w:p w14:paraId="69561093" w14:textId="77777777" w:rsidR="008E5DE4" w:rsidRDefault="00780368">
            <w:pPr>
              <w:widowControl w:val="0"/>
              <w:pBdr>
                <w:top w:val="nil"/>
                <w:left w:val="nil"/>
                <w:bottom w:val="nil"/>
                <w:right w:val="nil"/>
                <w:between w:val="nil"/>
              </w:pBdr>
              <w:ind w:left="113" w:right="-57" w:hanging="113"/>
              <w:rPr>
                <w:color w:val="000000"/>
                <w:sz w:val="10"/>
                <w:szCs w:val="10"/>
              </w:rPr>
            </w:pPr>
            <w:r>
              <w:rPr>
                <w:color w:val="0000FF"/>
                <w:sz w:val="10"/>
                <w:szCs w:val="10"/>
              </w:rPr>
              <w:t> </w:t>
            </w:r>
          </w:p>
        </w:tc>
        <w:tc>
          <w:tcPr>
            <w:tcW w:w="708" w:type="dxa"/>
            <w:tcBorders>
              <w:bottom w:val="single" w:sz="4" w:space="0" w:color="000000"/>
            </w:tcBorders>
            <w:vAlign w:val="bottom"/>
          </w:tcPr>
          <w:p w14:paraId="25C6C001" w14:textId="77777777" w:rsidR="008E5DE4" w:rsidRDefault="008E5DE4">
            <w:pPr>
              <w:widowControl w:val="0"/>
              <w:pBdr>
                <w:top w:val="nil"/>
                <w:left w:val="nil"/>
                <w:bottom w:val="nil"/>
                <w:right w:val="nil"/>
                <w:between w:val="nil"/>
              </w:pBdr>
              <w:jc w:val="center"/>
              <w:rPr>
                <w:color w:val="000000"/>
                <w:sz w:val="10"/>
                <w:szCs w:val="10"/>
              </w:rPr>
            </w:pPr>
          </w:p>
        </w:tc>
        <w:tc>
          <w:tcPr>
            <w:tcW w:w="1702" w:type="dxa"/>
            <w:tcBorders>
              <w:bottom w:val="single" w:sz="4" w:space="0" w:color="000000"/>
            </w:tcBorders>
            <w:vAlign w:val="bottom"/>
          </w:tcPr>
          <w:p w14:paraId="54C0AFB8" w14:textId="77777777" w:rsidR="008E5DE4" w:rsidRDefault="008E5DE4">
            <w:pPr>
              <w:widowControl w:val="0"/>
              <w:pBdr>
                <w:top w:val="nil"/>
                <w:left w:val="nil"/>
                <w:bottom w:val="nil"/>
                <w:right w:val="nil"/>
                <w:between w:val="nil"/>
              </w:pBdr>
              <w:jc w:val="right"/>
              <w:rPr>
                <w:color w:val="000000"/>
                <w:sz w:val="10"/>
                <w:szCs w:val="10"/>
              </w:rPr>
            </w:pPr>
          </w:p>
        </w:tc>
      </w:tr>
      <w:tr w:rsidR="008E5DE4" w14:paraId="6EB0FF9E" w14:textId="77777777">
        <w:trPr>
          <w:cantSplit/>
        </w:trPr>
        <w:tc>
          <w:tcPr>
            <w:tcW w:w="6946" w:type="dxa"/>
            <w:tcBorders>
              <w:top w:val="single" w:sz="4" w:space="0" w:color="000000"/>
            </w:tcBorders>
            <w:vAlign w:val="bottom"/>
          </w:tcPr>
          <w:p w14:paraId="555AD9C1" w14:textId="77777777" w:rsidR="008E5DE4" w:rsidRDefault="00780368">
            <w:pPr>
              <w:widowControl w:val="0"/>
              <w:pBdr>
                <w:top w:val="nil"/>
                <w:left w:val="nil"/>
                <w:bottom w:val="nil"/>
                <w:right w:val="nil"/>
                <w:between w:val="nil"/>
              </w:pBdr>
              <w:ind w:left="113" w:right="-57" w:hanging="113"/>
              <w:rPr>
                <w:color w:val="000000"/>
                <w:sz w:val="10"/>
                <w:szCs w:val="10"/>
              </w:rPr>
            </w:pPr>
            <w:r>
              <w:rPr>
                <w:color w:val="0000FF"/>
                <w:sz w:val="10"/>
                <w:szCs w:val="10"/>
              </w:rPr>
              <w:t> </w:t>
            </w:r>
          </w:p>
        </w:tc>
        <w:tc>
          <w:tcPr>
            <w:tcW w:w="708" w:type="dxa"/>
            <w:tcBorders>
              <w:top w:val="single" w:sz="4" w:space="0" w:color="000000"/>
            </w:tcBorders>
            <w:vAlign w:val="bottom"/>
          </w:tcPr>
          <w:p w14:paraId="1960B016" w14:textId="77777777" w:rsidR="008E5DE4" w:rsidRDefault="008E5DE4">
            <w:pPr>
              <w:widowControl w:val="0"/>
              <w:pBdr>
                <w:top w:val="nil"/>
                <w:left w:val="nil"/>
                <w:bottom w:val="nil"/>
                <w:right w:val="nil"/>
                <w:between w:val="nil"/>
              </w:pBdr>
              <w:jc w:val="center"/>
              <w:rPr>
                <w:color w:val="000000"/>
                <w:sz w:val="10"/>
                <w:szCs w:val="10"/>
              </w:rPr>
            </w:pPr>
          </w:p>
        </w:tc>
        <w:tc>
          <w:tcPr>
            <w:tcW w:w="1702" w:type="dxa"/>
            <w:tcBorders>
              <w:top w:val="single" w:sz="4" w:space="0" w:color="000000"/>
            </w:tcBorders>
            <w:vAlign w:val="bottom"/>
          </w:tcPr>
          <w:p w14:paraId="2D4FEFD8" w14:textId="77777777" w:rsidR="008E5DE4" w:rsidRDefault="008E5DE4">
            <w:pPr>
              <w:widowControl w:val="0"/>
              <w:pBdr>
                <w:top w:val="nil"/>
                <w:left w:val="nil"/>
                <w:bottom w:val="nil"/>
                <w:right w:val="nil"/>
                <w:between w:val="nil"/>
              </w:pBdr>
              <w:jc w:val="right"/>
              <w:rPr>
                <w:color w:val="000000"/>
                <w:sz w:val="10"/>
                <w:szCs w:val="10"/>
              </w:rPr>
            </w:pPr>
          </w:p>
        </w:tc>
      </w:tr>
      <w:tr w:rsidR="008E5DE4" w14:paraId="0654E96A" w14:textId="77777777">
        <w:trPr>
          <w:cantSplit/>
        </w:trPr>
        <w:tc>
          <w:tcPr>
            <w:tcW w:w="6946" w:type="dxa"/>
            <w:vAlign w:val="bottom"/>
          </w:tcPr>
          <w:p w14:paraId="174B3B8C"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purchase consideration and previously held interest in the acquiree</w:t>
            </w:r>
          </w:p>
        </w:tc>
        <w:tc>
          <w:tcPr>
            <w:tcW w:w="708" w:type="dxa"/>
            <w:vAlign w:val="bottom"/>
          </w:tcPr>
          <w:p w14:paraId="3C383A1C" w14:textId="77777777" w:rsidR="008E5DE4" w:rsidRDefault="008E5DE4">
            <w:pPr>
              <w:widowControl w:val="0"/>
              <w:pBdr>
                <w:top w:val="nil"/>
                <w:left w:val="nil"/>
                <w:bottom w:val="nil"/>
                <w:right w:val="nil"/>
                <w:between w:val="nil"/>
              </w:pBdr>
              <w:jc w:val="center"/>
              <w:rPr>
                <w:b/>
                <w:color w:val="000000"/>
              </w:rPr>
            </w:pPr>
          </w:p>
        </w:tc>
        <w:tc>
          <w:tcPr>
            <w:tcW w:w="1702" w:type="dxa"/>
            <w:vAlign w:val="bottom"/>
          </w:tcPr>
          <w:p w14:paraId="541A0C41" w14:textId="77777777" w:rsidR="008E5DE4" w:rsidRDefault="008E5DE4">
            <w:pPr>
              <w:widowControl w:val="0"/>
              <w:pBdr>
                <w:top w:val="nil"/>
                <w:left w:val="nil"/>
                <w:bottom w:val="nil"/>
                <w:right w:val="nil"/>
                <w:between w:val="nil"/>
              </w:pBdr>
              <w:jc w:val="right"/>
              <w:rPr>
                <w:b/>
                <w:color w:val="000000"/>
              </w:rPr>
            </w:pPr>
          </w:p>
        </w:tc>
      </w:tr>
      <w:tr w:rsidR="008E5DE4" w14:paraId="09F217F6" w14:textId="77777777">
        <w:trPr>
          <w:cantSplit/>
        </w:trPr>
        <w:tc>
          <w:tcPr>
            <w:tcW w:w="6946" w:type="dxa"/>
            <w:vAlign w:val="bottom"/>
          </w:tcPr>
          <w:p w14:paraId="028B4C25" w14:textId="77777777" w:rsidR="008E5DE4" w:rsidRDefault="00780368">
            <w:pPr>
              <w:widowControl w:val="0"/>
              <w:pBdr>
                <w:top w:val="nil"/>
                <w:left w:val="nil"/>
                <w:bottom w:val="nil"/>
                <w:right w:val="nil"/>
                <w:between w:val="nil"/>
              </w:pBdr>
              <w:ind w:left="113" w:right="-57" w:hanging="113"/>
              <w:rPr>
                <w:color w:val="000000"/>
              </w:rPr>
            </w:pPr>
            <w:r>
              <w:rPr>
                <w:color w:val="000000"/>
              </w:rPr>
              <w:t>Less: Non-cash consideration (items as disclosed above)</w:t>
            </w:r>
          </w:p>
        </w:tc>
        <w:tc>
          <w:tcPr>
            <w:tcW w:w="708" w:type="dxa"/>
            <w:vAlign w:val="bottom"/>
          </w:tcPr>
          <w:p w14:paraId="34F4E99B"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32B2A1B3" w14:textId="77777777" w:rsidR="008E5DE4" w:rsidRDefault="008E5DE4">
            <w:pPr>
              <w:widowControl w:val="0"/>
              <w:pBdr>
                <w:top w:val="nil"/>
                <w:left w:val="nil"/>
                <w:bottom w:val="nil"/>
                <w:right w:val="nil"/>
                <w:between w:val="nil"/>
              </w:pBdr>
              <w:jc w:val="right"/>
              <w:rPr>
                <w:color w:val="000000"/>
              </w:rPr>
            </w:pPr>
          </w:p>
        </w:tc>
      </w:tr>
      <w:tr w:rsidR="008E5DE4" w14:paraId="7877BDBF" w14:textId="77777777">
        <w:trPr>
          <w:cantSplit/>
        </w:trPr>
        <w:tc>
          <w:tcPr>
            <w:tcW w:w="6946" w:type="dxa"/>
            <w:vAlign w:val="bottom"/>
          </w:tcPr>
          <w:p w14:paraId="278DFA3B" w14:textId="77777777" w:rsidR="008E5DE4" w:rsidRDefault="00780368">
            <w:pPr>
              <w:widowControl w:val="0"/>
              <w:pBdr>
                <w:top w:val="nil"/>
                <w:left w:val="nil"/>
                <w:bottom w:val="nil"/>
                <w:right w:val="nil"/>
                <w:between w:val="nil"/>
              </w:pBdr>
              <w:ind w:left="113" w:right="-57" w:hanging="113"/>
              <w:rPr>
                <w:color w:val="000000"/>
              </w:rPr>
            </w:pPr>
            <w:r>
              <w:rPr>
                <w:color w:val="000000"/>
              </w:rPr>
              <w:t>Less: Cash and cash equivalents of subsidiary acquired</w:t>
            </w:r>
          </w:p>
        </w:tc>
        <w:tc>
          <w:tcPr>
            <w:tcW w:w="708" w:type="dxa"/>
            <w:vAlign w:val="bottom"/>
          </w:tcPr>
          <w:p w14:paraId="0CC57650" w14:textId="77777777" w:rsidR="008E5DE4" w:rsidRDefault="008E5DE4">
            <w:pPr>
              <w:widowControl w:val="0"/>
              <w:pBdr>
                <w:top w:val="nil"/>
                <w:left w:val="nil"/>
                <w:bottom w:val="nil"/>
                <w:right w:val="nil"/>
                <w:between w:val="nil"/>
              </w:pBdr>
              <w:jc w:val="center"/>
              <w:rPr>
                <w:color w:val="000000"/>
              </w:rPr>
            </w:pPr>
          </w:p>
        </w:tc>
        <w:tc>
          <w:tcPr>
            <w:tcW w:w="1702" w:type="dxa"/>
            <w:vAlign w:val="bottom"/>
          </w:tcPr>
          <w:p w14:paraId="0E589C7A" w14:textId="77777777" w:rsidR="008E5DE4" w:rsidRDefault="008E5DE4">
            <w:pPr>
              <w:widowControl w:val="0"/>
              <w:pBdr>
                <w:top w:val="nil"/>
                <w:left w:val="nil"/>
                <w:bottom w:val="nil"/>
                <w:right w:val="nil"/>
                <w:between w:val="nil"/>
              </w:pBdr>
              <w:jc w:val="right"/>
              <w:rPr>
                <w:color w:val="000000"/>
              </w:rPr>
            </w:pPr>
          </w:p>
        </w:tc>
      </w:tr>
      <w:tr w:rsidR="008E5DE4" w14:paraId="22644941" w14:textId="77777777">
        <w:trPr>
          <w:cantSplit/>
        </w:trPr>
        <w:tc>
          <w:tcPr>
            <w:tcW w:w="6946" w:type="dxa"/>
            <w:tcBorders>
              <w:bottom w:val="single" w:sz="4" w:space="0" w:color="000000"/>
            </w:tcBorders>
            <w:vAlign w:val="bottom"/>
          </w:tcPr>
          <w:p w14:paraId="24B748E4" w14:textId="77777777" w:rsidR="008E5DE4" w:rsidRDefault="00780368">
            <w:pPr>
              <w:widowControl w:val="0"/>
              <w:pBdr>
                <w:top w:val="nil"/>
                <w:left w:val="nil"/>
                <w:bottom w:val="nil"/>
                <w:right w:val="nil"/>
                <w:between w:val="nil"/>
              </w:pBdr>
              <w:ind w:left="113" w:right="-57" w:hanging="113"/>
              <w:rPr>
                <w:color w:val="000000"/>
                <w:sz w:val="10"/>
                <w:szCs w:val="10"/>
              </w:rPr>
            </w:pPr>
            <w:r>
              <w:rPr>
                <w:color w:val="0000FF"/>
                <w:sz w:val="10"/>
                <w:szCs w:val="10"/>
              </w:rPr>
              <w:t> </w:t>
            </w:r>
          </w:p>
        </w:tc>
        <w:tc>
          <w:tcPr>
            <w:tcW w:w="708" w:type="dxa"/>
            <w:tcBorders>
              <w:bottom w:val="single" w:sz="4" w:space="0" w:color="000000"/>
            </w:tcBorders>
            <w:vAlign w:val="bottom"/>
          </w:tcPr>
          <w:p w14:paraId="26741A16" w14:textId="77777777" w:rsidR="008E5DE4" w:rsidRDefault="008E5DE4">
            <w:pPr>
              <w:widowControl w:val="0"/>
              <w:pBdr>
                <w:top w:val="nil"/>
                <w:left w:val="nil"/>
                <w:bottom w:val="nil"/>
                <w:right w:val="nil"/>
                <w:between w:val="nil"/>
              </w:pBdr>
              <w:jc w:val="center"/>
              <w:rPr>
                <w:color w:val="000000"/>
                <w:sz w:val="10"/>
                <w:szCs w:val="10"/>
              </w:rPr>
            </w:pPr>
          </w:p>
        </w:tc>
        <w:tc>
          <w:tcPr>
            <w:tcW w:w="1702" w:type="dxa"/>
            <w:tcBorders>
              <w:bottom w:val="single" w:sz="4" w:space="0" w:color="000000"/>
            </w:tcBorders>
            <w:vAlign w:val="bottom"/>
          </w:tcPr>
          <w:p w14:paraId="4F198DDD" w14:textId="77777777" w:rsidR="008E5DE4" w:rsidRDefault="008E5DE4">
            <w:pPr>
              <w:widowControl w:val="0"/>
              <w:pBdr>
                <w:top w:val="nil"/>
                <w:left w:val="nil"/>
                <w:bottom w:val="nil"/>
                <w:right w:val="nil"/>
                <w:between w:val="nil"/>
              </w:pBdr>
              <w:jc w:val="right"/>
              <w:rPr>
                <w:color w:val="000000"/>
                <w:sz w:val="10"/>
                <w:szCs w:val="10"/>
              </w:rPr>
            </w:pPr>
          </w:p>
        </w:tc>
      </w:tr>
      <w:tr w:rsidR="008E5DE4" w14:paraId="0E360E83" w14:textId="77777777">
        <w:trPr>
          <w:cantSplit/>
        </w:trPr>
        <w:tc>
          <w:tcPr>
            <w:tcW w:w="6946" w:type="dxa"/>
            <w:tcBorders>
              <w:top w:val="single" w:sz="4" w:space="0" w:color="000000"/>
            </w:tcBorders>
            <w:vAlign w:val="bottom"/>
          </w:tcPr>
          <w:p w14:paraId="7C5B00A7" w14:textId="77777777" w:rsidR="008E5DE4" w:rsidRDefault="00780368">
            <w:pPr>
              <w:widowControl w:val="0"/>
              <w:pBdr>
                <w:top w:val="nil"/>
                <w:left w:val="nil"/>
                <w:bottom w:val="nil"/>
                <w:right w:val="nil"/>
                <w:between w:val="nil"/>
              </w:pBdr>
              <w:ind w:left="113" w:right="-57" w:hanging="113"/>
              <w:rPr>
                <w:color w:val="000000"/>
                <w:sz w:val="10"/>
                <w:szCs w:val="10"/>
              </w:rPr>
            </w:pPr>
            <w:r>
              <w:rPr>
                <w:color w:val="0000FF"/>
                <w:sz w:val="10"/>
                <w:szCs w:val="10"/>
              </w:rPr>
              <w:t> </w:t>
            </w:r>
          </w:p>
        </w:tc>
        <w:tc>
          <w:tcPr>
            <w:tcW w:w="708" w:type="dxa"/>
            <w:tcBorders>
              <w:top w:val="single" w:sz="4" w:space="0" w:color="000000"/>
            </w:tcBorders>
            <w:vAlign w:val="bottom"/>
          </w:tcPr>
          <w:p w14:paraId="4A34EFCB" w14:textId="77777777" w:rsidR="008E5DE4" w:rsidRDefault="008E5DE4">
            <w:pPr>
              <w:widowControl w:val="0"/>
              <w:pBdr>
                <w:top w:val="nil"/>
                <w:left w:val="nil"/>
                <w:bottom w:val="nil"/>
                <w:right w:val="nil"/>
                <w:between w:val="nil"/>
              </w:pBdr>
              <w:jc w:val="center"/>
              <w:rPr>
                <w:color w:val="000000"/>
                <w:sz w:val="10"/>
                <w:szCs w:val="10"/>
              </w:rPr>
            </w:pPr>
          </w:p>
        </w:tc>
        <w:tc>
          <w:tcPr>
            <w:tcW w:w="1702" w:type="dxa"/>
            <w:tcBorders>
              <w:top w:val="single" w:sz="4" w:space="0" w:color="000000"/>
            </w:tcBorders>
            <w:vAlign w:val="bottom"/>
          </w:tcPr>
          <w:p w14:paraId="6BE01297" w14:textId="77777777" w:rsidR="008E5DE4" w:rsidRDefault="008E5DE4">
            <w:pPr>
              <w:widowControl w:val="0"/>
              <w:pBdr>
                <w:top w:val="nil"/>
                <w:left w:val="nil"/>
                <w:bottom w:val="nil"/>
                <w:right w:val="nil"/>
                <w:between w:val="nil"/>
              </w:pBdr>
              <w:jc w:val="right"/>
              <w:rPr>
                <w:b/>
                <w:color w:val="000000"/>
                <w:sz w:val="10"/>
                <w:szCs w:val="10"/>
              </w:rPr>
            </w:pPr>
          </w:p>
        </w:tc>
      </w:tr>
      <w:tr w:rsidR="008E5DE4" w14:paraId="007897C4" w14:textId="77777777">
        <w:trPr>
          <w:cantSplit/>
        </w:trPr>
        <w:tc>
          <w:tcPr>
            <w:tcW w:w="6946" w:type="dxa"/>
            <w:vAlign w:val="bottom"/>
          </w:tcPr>
          <w:p w14:paraId="4AD7818B" w14:textId="77777777" w:rsidR="008E5DE4" w:rsidRDefault="00780368">
            <w:pPr>
              <w:widowControl w:val="0"/>
              <w:pBdr>
                <w:top w:val="nil"/>
                <w:left w:val="nil"/>
                <w:bottom w:val="nil"/>
                <w:right w:val="nil"/>
                <w:between w:val="nil"/>
              </w:pBdr>
              <w:ind w:left="113" w:right="-57" w:hanging="113"/>
              <w:rPr>
                <w:b/>
                <w:color w:val="000000"/>
              </w:rPr>
            </w:pPr>
            <w:r>
              <w:rPr>
                <w:b/>
                <w:color w:val="000000"/>
              </w:rPr>
              <w:t>Outflow of cash and cash equivalents on acquisition</w:t>
            </w:r>
          </w:p>
        </w:tc>
        <w:tc>
          <w:tcPr>
            <w:tcW w:w="708" w:type="dxa"/>
            <w:vAlign w:val="bottom"/>
          </w:tcPr>
          <w:p w14:paraId="4891960D" w14:textId="77777777" w:rsidR="008E5DE4" w:rsidRDefault="008E5DE4">
            <w:pPr>
              <w:widowControl w:val="0"/>
              <w:pBdr>
                <w:top w:val="nil"/>
                <w:left w:val="nil"/>
                <w:bottom w:val="nil"/>
                <w:right w:val="nil"/>
                <w:between w:val="nil"/>
              </w:pBdr>
              <w:jc w:val="center"/>
              <w:rPr>
                <w:b/>
                <w:color w:val="000000"/>
              </w:rPr>
            </w:pPr>
          </w:p>
        </w:tc>
        <w:tc>
          <w:tcPr>
            <w:tcW w:w="1702" w:type="dxa"/>
            <w:vAlign w:val="bottom"/>
          </w:tcPr>
          <w:p w14:paraId="1436416C" w14:textId="77777777" w:rsidR="008E5DE4" w:rsidRDefault="008E5DE4">
            <w:pPr>
              <w:widowControl w:val="0"/>
              <w:pBdr>
                <w:top w:val="nil"/>
                <w:left w:val="nil"/>
                <w:bottom w:val="nil"/>
                <w:right w:val="nil"/>
                <w:between w:val="nil"/>
              </w:pBdr>
              <w:jc w:val="right"/>
              <w:rPr>
                <w:b/>
                <w:color w:val="000000"/>
              </w:rPr>
            </w:pPr>
          </w:p>
        </w:tc>
      </w:tr>
      <w:tr w:rsidR="008E5DE4" w14:paraId="313E15EB" w14:textId="77777777">
        <w:trPr>
          <w:cantSplit/>
        </w:trPr>
        <w:tc>
          <w:tcPr>
            <w:tcW w:w="6946" w:type="dxa"/>
            <w:tcBorders>
              <w:bottom w:val="single" w:sz="12" w:space="0" w:color="000000"/>
            </w:tcBorders>
            <w:vAlign w:val="bottom"/>
          </w:tcPr>
          <w:p w14:paraId="2D62F147" w14:textId="77777777" w:rsidR="008E5DE4" w:rsidRDefault="00780368">
            <w:pPr>
              <w:widowControl w:val="0"/>
              <w:pBdr>
                <w:top w:val="nil"/>
                <w:left w:val="nil"/>
                <w:bottom w:val="nil"/>
                <w:right w:val="nil"/>
                <w:between w:val="nil"/>
              </w:pBdr>
              <w:ind w:left="113" w:right="-57" w:hanging="113"/>
              <w:rPr>
                <w:color w:val="000000"/>
                <w:sz w:val="10"/>
                <w:szCs w:val="10"/>
              </w:rPr>
            </w:pPr>
            <w:r>
              <w:rPr>
                <w:color w:val="0000FF"/>
                <w:sz w:val="10"/>
                <w:szCs w:val="10"/>
              </w:rPr>
              <w:t> </w:t>
            </w:r>
          </w:p>
        </w:tc>
        <w:tc>
          <w:tcPr>
            <w:tcW w:w="708" w:type="dxa"/>
            <w:tcBorders>
              <w:bottom w:val="single" w:sz="12" w:space="0" w:color="000000"/>
            </w:tcBorders>
            <w:vAlign w:val="bottom"/>
          </w:tcPr>
          <w:p w14:paraId="47CEF7AD" w14:textId="77777777" w:rsidR="008E5DE4" w:rsidRDefault="008E5DE4">
            <w:pPr>
              <w:widowControl w:val="0"/>
              <w:pBdr>
                <w:top w:val="nil"/>
                <w:left w:val="nil"/>
                <w:bottom w:val="nil"/>
                <w:right w:val="nil"/>
                <w:between w:val="nil"/>
              </w:pBdr>
              <w:jc w:val="center"/>
              <w:rPr>
                <w:color w:val="000000"/>
                <w:sz w:val="10"/>
                <w:szCs w:val="10"/>
              </w:rPr>
            </w:pPr>
          </w:p>
        </w:tc>
        <w:tc>
          <w:tcPr>
            <w:tcW w:w="1702" w:type="dxa"/>
            <w:tcBorders>
              <w:bottom w:val="single" w:sz="12" w:space="0" w:color="000000"/>
            </w:tcBorders>
            <w:vAlign w:val="bottom"/>
          </w:tcPr>
          <w:p w14:paraId="6A0086BE" w14:textId="77777777" w:rsidR="008E5DE4" w:rsidRDefault="008E5DE4">
            <w:pPr>
              <w:widowControl w:val="0"/>
              <w:pBdr>
                <w:top w:val="nil"/>
                <w:left w:val="nil"/>
                <w:bottom w:val="nil"/>
                <w:right w:val="nil"/>
                <w:between w:val="nil"/>
              </w:pBdr>
              <w:jc w:val="right"/>
              <w:rPr>
                <w:b/>
                <w:color w:val="000000"/>
                <w:sz w:val="10"/>
                <w:szCs w:val="10"/>
              </w:rPr>
            </w:pPr>
          </w:p>
        </w:tc>
      </w:tr>
    </w:tbl>
    <w:p w14:paraId="35DBAB9E" w14:textId="75AF975E"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non-controlling interest represents a share in net assets of the acquiree attributable to the owners of the non-controlling interest. </w:t>
      </w:r>
      <w:r>
        <w:rPr>
          <w:color w:val="0000FF"/>
          <w:sz w:val="20"/>
          <w:szCs w:val="20"/>
        </w:rPr>
        <w:t>[The non-controlling interest was measured at its market value. The fair value of the non-controlling interest was estimated by applying an income approach. The fair value estimates are based on: (a) an assumed discount rate range of [____–____] per cent; (b) an assumed terminal value based on a range of terminal EBITDA multiples between [____ and ____] times; (c) assumed financial multiples of companies deemed to be similar to the acquiree; and (d) assumed adjustments because of the lack of control or lack of marketability that market participants would consider when estimating the fair value of the non-controlling interest.]</w:t>
      </w:r>
      <w:r>
        <w:rPr>
          <w:color w:val="000000"/>
          <w:sz w:val="20"/>
          <w:szCs w:val="20"/>
        </w:rPr>
        <w:t xml:space="preserve"> </w:t>
      </w:r>
    </w:p>
    <w:p w14:paraId="47539EAB"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fair values of assets and liabilities acquired are based on </w:t>
      </w:r>
      <w:r>
        <w:rPr>
          <w:color w:val="0000FF"/>
          <w:sz w:val="20"/>
          <w:szCs w:val="20"/>
        </w:rPr>
        <w:t>[discounted cash flow models]</w:t>
      </w:r>
      <w:r>
        <w:rPr>
          <w:color w:val="000000"/>
          <w:sz w:val="20"/>
          <w:szCs w:val="20"/>
        </w:rPr>
        <w:t>. The valuation of identifiable intangible assets was performed by an independent professional appraiser. Based on the appraisal report the following items were included in the purchase price allocation:</w:t>
      </w:r>
    </w:p>
    <w:p w14:paraId="6DFAF0E4" w14:textId="77777777" w:rsidR="008E5DE4" w:rsidRDefault="00780368">
      <w:pPr>
        <w:widowControl w:val="0"/>
        <w:numPr>
          <w:ilvl w:val="0"/>
          <w:numId w:val="16"/>
        </w:numPr>
        <w:pBdr>
          <w:top w:val="nil"/>
          <w:left w:val="nil"/>
          <w:bottom w:val="nil"/>
          <w:right w:val="nil"/>
          <w:between w:val="nil"/>
        </w:pBdr>
        <w:spacing w:before="100" w:after="100"/>
        <w:jc w:val="both"/>
        <w:rPr>
          <w:color w:val="0000FF"/>
          <w:sz w:val="20"/>
          <w:szCs w:val="20"/>
        </w:rPr>
      </w:pPr>
      <w:r>
        <w:rPr>
          <w:color w:val="0000FF"/>
          <w:sz w:val="20"/>
          <w:szCs w:val="20"/>
        </w:rPr>
        <w:t>[operating licences valued at EUR____ thousands;]</w:t>
      </w:r>
    </w:p>
    <w:p w14:paraId="4EF854D0" w14:textId="77777777" w:rsidR="008E5DE4" w:rsidRDefault="00780368">
      <w:pPr>
        <w:widowControl w:val="0"/>
        <w:numPr>
          <w:ilvl w:val="0"/>
          <w:numId w:val="16"/>
        </w:numPr>
        <w:pBdr>
          <w:top w:val="nil"/>
          <w:left w:val="nil"/>
          <w:bottom w:val="nil"/>
          <w:right w:val="nil"/>
          <w:between w:val="nil"/>
        </w:pBdr>
        <w:spacing w:before="100" w:after="100"/>
        <w:jc w:val="both"/>
        <w:rPr>
          <w:color w:val="0000FF"/>
          <w:sz w:val="20"/>
          <w:szCs w:val="20"/>
        </w:rPr>
      </w:pPr>
      <w:r>
        <w:rPr>
          <w:color w:val="0000FF"/>
          <w:sz w:val="20"/>
          <w:szCs w:val="20"/>
        </w:rPr>
        <w:t>[brand name valued at EUR____ thousands; and]</w:t>
      </w:r>
    </w:p>
    <w:p w14:paraId="27DA7E50" w14:textId="77777777" w:rsidR="008E5DE4" w:rsidRDefault="00780368">
      <w:pPr>
        <w:widowControl w:val="0"/>
        <w:numPr>
          <w:ilvl w:val="0"/>
          <w:numId w:val="16"/>
        </w:numPr>
        <w:pBdr>
          <w:top w:val="nil"/>
          <w:left w:val="nil"/>
          <w:bottom w:val="nil"/>
          <w:right w:val="nil"/>
          <w:between w:val="nil"/>
        </w:pBdr>
        <w:spacing w:before="100" w:after="100"/>
        <w:jc w:val="both"/>
        <w:rPr>
          <w:color w:val="0000FF"/>
          <w:sz w:val="20"/>
          <w:szCs w:val="20"/>
        </w:rPr>
      </w:pPr>
      <w:r>
        <w:rPr>
          <w:color w:val="0000FF"/>
          <w:sz w:val="20"/>
          <w:szCs w:val="20"/>
        </w:rPr>
        <w:t>[proprietary software valued at EUR____ thousands.]</w:t>
      </w:r>
    </w:p>
    <w:p w14:paraId="042C993C" w14:textId="77777777"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The fair value of the acquired identifiable intangible assets of EUR_____ thousand is provisional pending receipt of the final valuations for those assets.</w:t>
      </w:r>
    </w:p>
    <w:p w14:paraId="3DFF41ED" w14:textId="77777777" w:rsidR="008E5DE4" w:rsidRDefault="00780368">
      <w:pPr>
        <w:pageBreakBefore/>
        <w:pBdr>
          <w:top w:val="nil"/>
          <w:left w:val="nil"/>
          <w:bottom w:val="nil"/>
          <w:right w:val="nil"/>
          <w:between w:val="nil"/>
        </w:pBdr>
        <w:spacing w:after="240"/>
        <w:ind w:left="567" w:hanging="567"/>
        <w:jc w:val="both"/>
        <w:rPr>
          <w:b/>
          <w:color w:val="000000"/>
          <w:sz w:val="20"/>
          <w:szCs w:val="20"/>
        </w:rPr>
      </w:pPr>
      <w:r>
        <w:rPr>
          <w:b/>
          <w:color w:val="000000"/>
          <w:sz w:val="20"/>
          <w:szCs w:val="20"/>
        </w:rPr>
        <w:lastRenderedPageBreak/>
        <w:t>55</w:t>
      </w:r>
      <w:r>
        <w:rPr>
          <w:b/>
          <w:color w:val="000000"/>
          <w:sz w:val="20"/>
          <w:szCs w:val="20"/>
        </w:rPr>
        <w:tab/>
        <w:t>Events after Reporting Period (Continued)</w:t>
      </w:r>
    </w:p>
    <w:p w14:paraId="0491049B" w14:textId="6C4EFAF0"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Contingent tax exposures are attributable to [transfer pricing tax risks] and expire within </w:t>
      </w:r>
      <w:r w:rsidRPr="00890EB0">
        <w:rPr>
          <w:color w:val="0000FF"/>
          <w:sz w:val="20"/>
          <w:szCs w:val="20"/>
        </w:rPr>
        <w:t>[three]</w:t>
      </w:r>
      <w:r>
        <w:rPr>
          <w:color w:val="000000"/>
          <w:sz w:val="20"/>
          <w:szCs w:val="20"/>
        </w:rPr>
        <w:t xml:space="preserve"> years from acquisition. Refer to Note 43. </w:t>
      </w:r>
    </w:p>
    <w:p w14:paraId="4A6A6A2D" w14:textId="1F5D507E"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The goodwill is primarily attributable to the profitability of the acquired business, the significant synergies and combined cost savings expected to arise.</w:t>
      </w:r>
      <w:r>
        <w:rPr>
          <w:i/>
          <w:color w:val="FF0000"/>
          <w:sz w:val="20"/>
          <w:szCs w:val="20"/>
        </w:rPr>
        <w:t xml:space="preserve"> </w:t>
      </w:r>
      <w:r>
        <w:rPr>
          <w:color w:val="000000"/>
          <w:sz w:val="20"/>
          <w:szCs w:val="20"/>
        </w:rPr>
        <w:t>The goodwill will not be deductible for tax purposes in future periods.</w:t>
      </w:r>
      <w:r>
        <w:rPr>
          <w:color w:val="FF0000"/>
          <w:sz w:val="20"/>
          <w:szCs w:val="20"/>
        </w:rPr>
        <w:t xml:space="preserve"> </w:t>
      </w:r>
    </w:p>
    <w:p w14:paraId="6F781F34" w14:textId="59E5A612" w:rsidR="008E5DE4" w:rsidRDefault="00780368">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Non-current assets held for sale (or disposal groups). </w:t>
      </w:r>
      <w:r>
        <w:rPr>
          <w:color w:val="000000"/>
          <w:sz w:val="20"/>
          <w:szCs w:val="20"/>
        </w:rPr>
        <w:t>After the reporting period, the Group reclassified EUR_____ thousand to non-current assets held for sale (or disposal groups). Management approved a plan to sell _____ assets on _____ due to _____. The Group is actively marketing these assets and expects the sale to complete by _____202</w:t>
      </w:r>
      <w:r w:rsidR="008614F8">
        <w:rPr>
          <w:color w:val="000000"/>
          <w:sz w:val="20"/>
          <w:szCs w:val="20"/>
        </w:rPr>
        <w:t>6</w:t>
      </w:r>
      <w:r>
        <w:rPr>
          <w:color w:val="000000"/>
          <w:sz w:val="20"/>
          <w:szCs w:val="20"/>
        </w:rPr>
        <w:t xml:space="preserve">. </w:t>
      </w:r>
    </w:p>
    <w:p w14:paraId="6E520C71" w14:textId="77777777" w:rsidR="008E5DE4" w:rsidRDefault="00780368">
      <w:pPr>
        <w:widowControl w:val="0"/>
        <w:spacing w:before="200" w:after="200"/>
        <w:jc w:val="both"/>
        <w:rPr>
          <w:sz w:val="20"/>
          <w:szCs w:val="20"/>
        </w:rPr>
      </w:pPr>
      <w:r>
        <w:rPr>
          <w:sz w:val="20"/>
          <w:szCs w:val="20"/>
        </w:rPr>
        <w:t>The reclassified assets belong to _________ segment operating in _________ region.</w:t>
      </w:r>
    </w:p>
    <w:p w14:paraId="5CB4434F" w14:textId="5A20F87F"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Refinancing. </w:t>
      </w:r>
    </w:p>
    <w:p w14:paraId="23BDB045" w14:textId="2DA86D45" w:rsidR="008E5DE4" w:rsidRDefault="00780368" w:rsidP="00CB22C7">
      <w:pPr>
        <w:widowControl w:val="0"/>
        <w:pBdr>
          <w:top w:val="nil"/>
          <w:left w:val="nil"/>
          <w:bottom w:val="nil"/>
          <w:right w:val="nil"/>
          <w:between w:val="nil"/>
        </w:pBdr>
        <w:spacing w:before="200" w:after="200"/>
        <w:jc w:val="both"/>
        <w:rPr>
          <w:i/>
          <w:color w:val="FF0000"/>
          <w:sz w:val="20"/>
          <w:szCs w:val="20"/>
        </w:rPr>
        <w:sectPr w:rsidR="008E5DE4">
          <w:headerReference w:type="default" r:id="rId25"/>
          <w:footerReference w:type="default" r:id="rId26"/>
          <w:pgSz w:w="11907" w:h="16840"/>
          <w:pgMar w:top="1418" w:right="851" w:bottom="1134" w:left="1701" w:header="737" w:footer="567" w:gutter="0"/>
          <w:cols w:space="708"/>
        </w:sectPr>
      </w:pPr>
      <w:r>
        <w:rPr>
          <w:b/>
          <w:i/>
          <w:color w:val="000000"/>
          <w:sz w:val="20"/>
          <w:szCs w:val="20"/>
        </w:rPr>
        <w:t>Transactions with shareholders.</w:t>
      </w:r>
      <w:r>
        <w:rPr>
          <w:i/>
          <w:color w:val="000000"/>
          <w:sz w:val="20"/>
          <w:szCs w:val="20"/>
        </w:rPr>
        <w:t xml:space="preserve"> </w:t>
      </w:r>
    </w:p>
    <w:p w14:paraId="3F2008EE" w14:textId="77777777" w:rsidR="008E5DE4" w:rsidRDefault="00780368">
      <w:pPr>
        <w:widowControl w:val="0"/>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before="200" w:after="200"/>
        <w:jc w:val="both"/>
        <w:rPr>
          <w:b/>
          <w:color w:val="000000"/>
          <w:sz w:val="20"/>
          <w:szCs w:val="20"/>
        </w:rPr>
      </w:pPr>
      <w:r>
        <w:rPr>
          <w:b/>
          <w:color w:val="000000"/>
          <w:sz w:val="20"/>
          <w:szCs w:val="20"/>
        </w:rPr>
        <w:lastRenderedPageBreak/>
        <w:t>Formatting instructions:</w:t>
      </w:r>
    </w:p>
    <w:p w14:paraId="4B035F56" w14:textId="77777777"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b/>
          <w:color w:val="000000"/>
          <w:sz w:val="20"/>
          <w:szCs w:val="20"/>
        </w:rPr>
        <w:t xml:space="preserve">The document’s default format is font ARIAL, with font size of 10 pts for the text and 9 pts for the tables. </w:t>
      </w:r>
    </w:p>
    <w:p w14:paraId="5B6D4E04" w14:textId="77777777"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b/>
          <w:color w:val="000000"/>
          <w:sz w:val="20"/>
          <w:szCs w:val="20"/>
        </w:rPr>
        <w:t>Do NOT change the size of the margins.</w:t>
      </w:r>
    </w:p>
    <w:p w14:paraId="0B56DF40" w14:textId="77777777"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b/>
          <w:color w:val="000000"/>
          <w:sz w:val="20"/>
          <w:szCs w:val="20"/>
        </w:rPr>
        <w:t>Do NOT change the size or width of tables, since all of them have a standard size, unless you really need to do so.</w:t>
      </w:r>
    </w:p>
    <w:p w14:paraId="1EBF4E07" w14:textId="77777777"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b/>
          <w:color w:val="000000"/>
          <w:sz w:val="20"/>
          <w:szCs w:val="20"/>
        </w:rPr>
        <w:t>Use the styles to format the document. You can find them at the top left of your screen, or you can copy them using the brush.</w:t>
      </w:r>
    </w:p>
    <w:p w14:paraId="2C2129BA" w14:textId="77777777"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b/>
          <w:color w:val="000000"/>
          <w:sz w:val="20"/>
          <w:szCs w:val="20"/>
        </w:rPr>
        <w:t>Do NOT add page numbers manually in the Table of Contents. We have an automated Table of Contents. There are two ways to update it, depending on if only the page number has changed or if the notes' titles have changed also. In the first case, click on the table with the right button of the mouse, then click on "Update fields" and on "Update page number only". In the second case, click on "Update the entire table" at the last step – you might have to do a little bit of formatting in this case to have all the Notes aligned.</w:t>
      </w:r>
    </w:p>
    <w:p w14:paraId="0F4A8D7B" w14:textId="77777777"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b/>
          <w:color w:val="000000"/>
          <w:sz w:val="20"/>
          <w:szCs w:val="20"/>
        </w:rPr>
        <w:t>When printing a portion of your document, you may save time by specifying what you want to print, for example, section 3 only (see help topic in “Print” window).</w:t>
      </w:r>
    </w:p>
    <w:p w14:paraId="3A22510B" w14:textId="77777777"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b/>
          <w:color w:val="000000"/>
          <w:sz w:val="20"/>
          <w:szCs w:val="20"/>
        </w:rPr>
        <w:t>Use the command “Replace” to change all “ABC GROUP” for the name of your client (“Edit”, “Replace”, then specify your needs, or use “CTRL+H).</w:t>
      </w:r>
    </w:p>
    <w:p w14:paraId="518BF706" w14:textId="77777777"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b/>
          <w:color w:val="000000"/>
          <w:sz w:val="20"/>
          <w:szCs w:val="20"/>
        </w:rPr>
        <w:t xml:space="preserve">Do not use the function "replace all" for changing "Group" to "Company"" – we are often ending up with phrases like "This evidence may include observable data indicating that there has been an adverse change in the payment status of borrowers in a Company, or national or local economic conditions that correlate with defaults on assets in the Company. " </w:t>
      </w:r>
    </w:p>
    <w:p w14:paraId="01908DD4" w14:textId="77777777" w:rsidR="008E5DE4" w:rsidRDefault="00780368">
      <w:pPr>
        <w:widowControl w:val="0"/>
        <w:numPr>
          <w:ilvl w:val="0"/>
          <w:numId w:val="16"/>
        </w:numPr>
        <w:pBdr>
          <w:top w:val="nil"/>
          <w:left w:val="nil"/>
          <w:bottom w:val="nil"/>
          <w:right w:val="nil"/>
          <w:between w:val="nil"/>
        </w:pBdr>
        <w:spacing w:before="100" w:after="100"/>
        <w:jc w:val="both"/>
        <w:rPr>
          <w:b/>
          <w:color w:val="000000"/>
          <w:sz w:val="20"/>
          <w:szCs w:val="20"/>
        </w:rPr>
      </w:pPr>
      <w:r>
        <w:rPr>
          <w:b/>
          <w:color w:val="000000"/>
          <w:sz w:val="20"/>
          <w:szCs w:val="20"/>
        </w:rPr>
        <w:t>Note that all comments in brackets or written in Italic font should be removed or included as appropriate.</w:t>
      </w:r>
    </w:p>
    <w:p w14:paraId="219DC008" w14:textId="77777777" w:rsidR="008E5DE4" w:rsidRDefault="008E5DE4">
      <w:pPr>
        <w:widowControl w:val="0"/>
        <w:spacing w:before="200" w:after="200"/>
        <w:jc w:val="center"/>
        <w:rPr>
          <w:sz w:val="20"/>
          <w:szCs w:val="20"/>
        </w:rPr>
      </w:pPr>
    </w:p>
    <w:p w14:paraId="3BDCA75C" w14:textId="77777777" w:rsidR="008E5DE4" w:rsidRDefault="008E5DE4">
      <w:pPr>
        <w:widowControl w:val="0"/>
        <w:spacing w:before="200" w:after="200"/>
        <w:rPr>
          <w:sz w:val="20"/>
          <w:szCs w:val="20"/>
        </w:rPr>
        <w:sectPr w:rsidR="008E5DE4">
          <w:headerReference w:type="default" r:id="rId27"/>
          <w:footerReference w:type="default" r:id="rId28"/>
          <w:pgSz w:w="11907" w:h="16840"/>
          <w:pgMar w:top="1418" w:right="851" w:bottom="1134" w:left="1701" w:header="737" w:footer="567" w:gutter="0"/>
          <w:pgNumType w:start="1"/>
          <w:cols w:space="708"/>
        </w:sectPr>
      </w:pPr>
    </w:p>
    <w:p w14:paraId="1B0D3919" w14:textId="77777777" w:rsidR="008E5DE4" w:rsidRDefault="00780368">
      <w:pPr>
        <w:widowControl w:val="0"/>
        <w:spacing w:before="200" w:after="200"/>
        <w:rPr>
          <w:b/>
          <w:i/>
          <w:sz w:val="20"/>
          <w:szCs w:val="20"/>
        </w:rPr>
      </w:pPr>
      <w:r>
        <w:rPr>
          <w:b/>
          <w:i/>
          <w:sz w:val="20"/>
          <w:szCs w:val="20"/>
        </w:rPr>
        <w:lastRenderedPageBreak/>
        <w:t>Applicable version of IFRS Accounting Standards</w:t>
      </w:r>
    </w:p>
    <w:p w14:paraId="65542695" w14:textId="1A609677" w:rsidR="008E5DE4" w:rsidRDefault="00780368">
      <w:pPr>
        <w:widowControl w:val="0"/>
        <w:spacing w:before="200" w:after="200"/>
        <w:jc w:val="both"/>
        <w:rPr>
          <w:sz w:val="20"/>
          <w:szCs w:val="20"/>
        </w:rPr>
      </w:pPr>
      <w:r>
        <w:rPr>
          <w:sz w:val="20"/>
          <w:szCs w:val="20"/>
        </w:rPr>
        <w:t xml:space="preserve">This template of the consolidated financial statements is based on IFRS Accounting Standards effective for the reporting year ending 31 December </w:t>
      </w:r>
      <w:r w:rsidR="008614F8">
        <w:rPr>
          <w:sz w:val="20"/>
          <w:szCs w:val="20"/>
        </w:rPr>
        <w:t>2025</w:t>
      </w:r>
      <w:r>
        <w:rPr>
          <w:sz w:val="20"/>
          <w:szCs w:val="20"/>
        </w:rPr>
        <w:t>. Early adoption of the standards or interpretations listed in Note 6 is not assumed.</w:t>
      </w:r>
    </w:p>
    <w:p w14:paraId="68590C4D" w14:textId="77777777" w:rsidR="008E5DE4" w:rsidRDefault="00780368">
      <w:pPr>
        <w:widowControl w:val="0"/>
        <w:spacing w:before="200" w:after="200"/>
        <w:rPr>
          <w:b/>
          <w:i/>
          <w:sz w:val="20"/>
          <w:szCs w:val="20"/>
        </w:rPr>
      </w:pPr>
      <w:r>
        <w:rPr>
          <w:b/>
          <w:i/>
          <w:sz w:val="20"/>
          <w:szCs w:val="20"/>
        </w:rPr>
        <w:t xml:space="preserve">First-time adoption </w:t>
      </w:r>
      <w:proofErr w:type="gramStart"/>
      <w:r>
        <w:rPr>
          <w:b/>
          <w:i/>
          <w:sz w:val="20"/>
          <w:szCs w:val="20"/>
        </w:rPr>
        <w:t>note</w:t>
      </w:r>
      <w:proofErr w:type="gramEnd"/>
    </w:p>
    <w:p w14:paraId="3B39CE93" w14:textId="5EE49129" w:rsidR="008E5DE4" w:rsidRDefault="00780368">
      <w:pPr>
        <w:widowControl w:val="0"/>
        <w:spacing w:before="200" w:after="200"/>
        <w:jc w:val="both"/>
        <w:rPr>
          <w:sz w:val="20"/>
          <w:szCs w:val="20"/>
        </w:rPr>
      </w:pPr>
      <w:r>
        <w:rPr>
          <w:sz w:val="20"/>
          <w:szCs w:val="20"/>
        </w:rPr>
        <w:t>These illustrative consolidated financial statements include a first</w:t>
      </w:r>
      <w:r w:rsidR="00831ED1">
        <w:rPr>
          <w:sz w:val="20"/>
          <w:szCs w:val="20"/>
        </w:rPr>
        <w:t>-</w:t>
      </w:r>
      <w:r>
        <w:rPr>
          <w:sz w:val="20"/>
          <w:szCs w:val="20"/>
        </w:rPr>
        <w:t>time adoption of IFRS Accounting Standards note in appendix C. This note replaces Note 5, Adoption of New or Revised IFRS</w:t>
      </w:r>
      <w:r>
        <w:t xml:space="preserve"> </w:t>
      </w:r>
      <w:r>
        <w:rPr>
          <w:sz w:val="20"/>
          <w:szCs w:val="20"/>
        </w:rPr>
        <w:t>Accounting Standards, which is applicable for existing preparers only. Other disclosures requiring amendment for first-time adopters are also detailed in Appendix C.</w:t>
      </w:r>
    </w:p>
    <w:p w14:paraId="33B6A6C2" w14:textId="77777777" w:rsidR="008E5DE4" w:rsidRDefault="00780368">
      <w:pPr>
        <w:widowControl w:val="0"/>
        <w:spacing w:before="200" w:after="200"/>
        <w:rPr>
          <w:sz w:val="20"/>
          <w:szCs w:val="20"/>
        </w:rPr>
      </w:pPr>
      <w:r>
        <w:rPr>
          <w:b/>
          <w:i/>
          <w:sz w:val="20"/>
          <w:szCs w:val="20"/>
        </w:rPr>
        <w:t>Disclaimer and key events or transactions that are not covered</w:t>
      </w:r>
    </w:p>
    <w:p w14:paraId="012833A7" w14:textId="77777777" w:rsidR="008E5DE4" w:rsidRDefault="00780368">
      <w:pPr>
        <w:widowControl w:val="0"/>
        <w:spacing w:before="200" w:after="200"/>
        <w:jc w:val="both"/>
        <w:rPr>
          <w:sz w:val="20"/>
          <w:szCs w:val="20"/>
        </w:rPr>
      </w:pPr>
      <w:r>
        <w:rPr>
          <w:sz w:val="20"/>
          <w:szCs w:val="20"/>
        </w:rPr>
        <w:t>These pro forma consolidated financial statements are not a substitute for reading the Standards and Interpretations themselves or for professional judgement as to the fairness of presentation. They do not cover, for example:</w:t>
      </w:r>
    </w:p>
    <w:p w14:paraId="7E52329B"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Hedge </w:t>
      </w:r>
      <w:proofErr w:type="gramStart"/>
      <w:r>
        <w:rPr>
          <w:color w:val="000000"/>
          <w:sz w:val="20"/>
          <w:szCs w:val="20"/>
        </w:rPr>
        <w:t>accounting;</w:t>
      </w:r>
      <w:proofErr w:type="gramEnd"/>
    </w:p>
    <w:p w14:paraId="326C5334" w14:textId="77777777" w:rsidR="008E5DE4" w:rsidRDefault="00780368">
      <w:pPr>
        <w:widowControl w:val="0"/>
        <w:numPr>
          <w:ilvl w:val="0"/>
          <w:numId w:val="16"/>
        </w:numPr>
        <w:pBdr>
          <w:top w:val="nil"/>
          <w:left w:val="nil"/>
          <w:bottom w:val="nil"/>
          <w:right w:val="nil"/>
          <w:between w:val="nil"/>
        </w:pBdr>
        <w:spacing w:before="100" w:after="100"/>
        <w:jc w:val="both"/>
      </w:pPr>
      <w:proofErr w:type="gramStart"/>
      <w:r>
        <w:rPr>
          <w:color w:val="000000"/>
          <w:sz w:val="20"/>
          <w:szCs w:val="20"/>
        </w:rPr>
        <w:t>Agriculture;</w:t>
      </w:r>
      <w:proofErr w:type="gramEnd"/>
    </w:p>
    <w:p w14:paraId="00C0D0AE" w14:textId="77777777" w:rsidR="008E5DE4" w:rsidRDefault="00780368">
      <w:pPr>
        <w:widowControl w:val="0"/>
        <w:numPr>
          <w:ilvl w:val="0"/>
          <w:numId w:val="16"/>
        </w:numPr>
        <w:pBdr>
          <w:top w:val="nil"/>
          <w:left w:val="nil"/>
          <w:bottom w:val="nil"/>
          <w:right w:val="nil"/>
          <w:between w:val="nil"/>
        </w:pBdr>
        <w:spacing w:before="100" w:after="100"/>
        <w:jc w:val="both"/>
      </w:pPr>
      <w:proofErr w:type="gramStart"/>
      <w:r>
        <w:rPr>
          <w:color w:val="000000"/>
          <w:sz w:val="20"/>
          <w:szCs w:val="20"/>
        </w:rPr>
        <w:t>Insurance;</w:t>
      </w:r>
      <w:proofErr w:type="gramEnd"/>
    </w:p>
    <w:p w14:paraId="00124E13"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Embedded </w:t>
      </w:r>
      <w:proofErr w:type="gramStart"/>
      <w:r>
        <w:rPr>
          <w:color w:val="000000"/>
          <w:sz w:val="20"/>
          <w:szCs w:val="20"/>
        </w:rPr>
        <w:t>derivatives;</w:t>
      </w:r>
      <w:proofErr w:type="gramEnd"/>
    </w:p>
    <w:p w14:paraId="5949DE7B"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Defined benefit </w:t>
      </w:r>
      <w:proofErr w:type="gramStart"/>
      <w:r>
        <w:rPr>
          <w:color w:val="000000"/>
          <w:sz w:val="20"/>
          <w:szCs w:val="20"/>
        </w:rPr>
        <w:t>plans;</w:t>
      </w:r>
      <w:proofErr w:type="gramEnd"/>
    </w:p>
    <w:p w14:paraId="01E90723"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Share-based </w:t>
      </w:r>
      <w:proofErr w:type="gramStart"/>
      <w:r>
        <w:rPr>
          <w:color w:val="000000"/>
          <w:sz w:val="20"/>
          <w:szCs w:val="20"/>
        </w:rPr>
        <w:t>payments;</w:t>
      </w:r>
      <w:proofErr w:type="gramEnd"/>
    </w:p>
    <w:p w14:paraId="63C38D00"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Joint </w:t>
      </w:r>
      <w:proofErr w:type="gramStart"/>
      <w:r>
        <w:rPr>
          <w:color w:val="000000"/>
          <w:sz w:val="20"/>
          <w:szCs w:val="20"/>
        </w:rPr>
        <w:t>arrangements;</w:t>
      </w:r>
      <w:proofErr w:type="gramEnd"/>
    </w:p>
    <w:p w14:paraId="60051730"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Accounting for joint arrangements</w:t>
      </w:r>
    </w:p>
    <w:p w14:paraId="3E576348"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Accounting for construction </w:t>
      </w:r>
      <w:proofErr w:type="gramStart"/>
      <w:r>
        <w:rPr>
          <w:color w:val="000000"/>
          <w:sz w:val="20"/>
          <w:szCs w:val="20"/>
        </w:rPr>
        <w:t>contracts;</w:t>
      </w:r>
      <w:proofErr w:type="gramEnd"/>
    </w:p>
    <w:p w14:paraId="398888A3" w14:textId="77777777" w:rsidR="008E5DE4" w:rsidRDefault="00780368">
      <w:pPr>
        <w:widowControl w:val="0"/>
        <w:numPr>
          <w:ilvl w:val="0"/>
          <w:numId w:val="16"/>
        </w:numPr>
        <w:pBdr>
          <w:top w:val="nil"/>
          <w:left w:val="nil"/>
          <w:bottom w:val="nil"/>
          <w:right w:val="nil"/>
          <w:between w:val="nil"/>
        </w:pBdr>
        <w:spacing w:before="200" w:after="200"/>
        <w:jc w:val="both"/>
      </w:pPr>
      <w:r>
        <w:rPr>
          <w:color w:val="000000"/>
          <w:sz w:val="20"/>
          <w:szCs w:val="20"/>
        </w:rPr>
        <w:t xml:space="preserve">Presentation of financial statements of companies with puttable </w:t>
      </w:r>
      <w:proofErr w:type="gramStart"/>
      <w:r>
        <w:rPr>
          <w:color w:val="000000"/>
          <w:sz w:val="20"/>
          <w:szCs w:val="20"/>
        </w:rPr>
        <w:t>shares;</w:t>
      </w:r>
      <w:proofErr w:type="gramEnd"/>
    </w:p>
    <w:p w14:paraId="45EEB9FE" w14:textId="77777777" w:rsidR="008E5DE4" w:rsidRDefault="00780368">
      <w:pPr>
        <w:widowControl w:val="0"/>
        <w:numPr>
          <w:ilvl w:val="0"/>
          <w:numId w:val="16"/>
        </w:numPr>
        <w:pBdr>
          <w:top w:val="nil"/>
          <w:left w:val="nil"/>
          <w:bottom w:val="nil"/>
          <w:right w:val="nil"/>
          <w:between w:val="nil"/>
        </w:pBdr>
        <w:spacing w:before="200" w:after="200"/>
        <w:jc w:val="both"/>
      </w:pPr>
      <w:r>
        <w:rPr>
          <w:color w:val="000000"/>
          <w:sz w:val="20"/>
          <w:szCs w:val="20"/>
        </w:rPr>
        <w:t xml:space="preserve">and other possible disclosures required by IFRS Accounting Standards. </w:t>
      </w:r>
    </w:p>
    <w:p w14:paraId="72622AE0" w14:textId="77777777" w:rsidR="008E5DE4" w:rsidRDefault="00780368">
      <w:pPr>
        <w:widowControl w:val="0"/>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before="200" w:after="200"/>
        <w:jc w:val="both"/>
        <w:rPr>
          <w:color w:val="000000"/>
          <w:sz w:val="20"/>
          <w:szCs w:val="20"/>
        </w:rPr>
      </w:pPr>
      <w:r>
        <w:rPr>
          <w:color w:val="000000"/>
          <w:sz w:val="20"/>
          <w:szCs w:val="20"/>
        </w:rPr>
        <w:t xml:space="preserve">Further specific information may be required </w:t>
      </w:r>
      <w:proofErr w:type="gramStart"/>
      <w:r>
        <w:rPr>
          <w:color w:val="000000"/>
          <w:sz w:val="20"/>
          <w:szCs w:val="20"/>
        </w:rPr>
        <w:t>in order to</w:t>
      </w:r>
      <w:proofErr w:type="gramEnd"/>
      <w:r>
        <w:rPr>
          <w:color w:val="000000"/>
          <w:sz w:val="20"/>
          <w:szCs w:val="20"/>
        </w:rPr>
        <w:t xml:space="preserve"> ensure fair presentation under IFRS Accounting </w:t>
      </w:r>
      <w:proofErr w:type="gramStart"/>
      <w:r>
        <w:rPr>
          <w:color w:val="000000"/>
          <w:sz w:val="20"/>
          <w:szCs w:val="20"/>
        </w:rPr>
        <w:t>Standards</w:t>
      </w:r>
      <w:proofErr w:type="gramEnd"/>
      <w:r>
        <w:rPr>
          <w:color w:val="000000"/>
          <w:sz w:val="20"/>
          <w:szCs w:val="20"/>
        </w:rPr>
        <w:t xml:space="preserve"> and we recommend that reference is made to the separate publications:</w:t>
      </w:r>
    </w:p>
    <w:p w14:paraId="3B13B8E7" w14:textId="31AB9F1C"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IFRS Disclosure Checklist </w:t>
      </w:r>
      <w:r w:rsidR="008614F8">
        <w:rPr>
          <w:color w:val="000000"/>
          <w:sz w:val="20"/>
          <w:szCs w:val="20"/>
        </w:rPr>
        <w:t>2025</w:t>
      </w:r>
      <w:r>
        <w:rPr>
          <w:color w:val="000000"/>
          <w:sz w:val="20"/>
          <w:szCs w:val="20"/>
        </w:rPr>
        <w:t xml:space="preserve"> (available as Global IFRS e-Check - interactive disclosure checklist </w:t>
      </w:r>
      <w:r w:rsidR="008614F8">
        <w:rPr>
          <w:color w:val="000000"/>
          <w:sz w:val="20"/>
          <w:szCs w:val="20"/>
        </w:rPr>
        <w:t>2025</w:t>
      </w:r>
      <w:r>
        <w:rPr>
          <w:color w:val="000000"/>
          <w:sz w:val="20"/>
          <w:szCs w:val="20"/>
        </w:rPr>
        <w:t>)</w:t>
      </w:r>
    </w:p>
    <w:p w14:paraId="7EA9548D"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IFRS Illustrative Bank Financial Statements</w:t>
      </w:r>
    </w:p>
    <w:p w14:paraId="411D8EDF"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IFRS Illustrative Corporate Financial Statements</w:t>
      </w:r>
    </w:p>
    <w:p w14:paraId="25FEDF59"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IFRS Illustrative Financial Statements – Investment Funds </w:t>
      </w:r>
    </w:p>
    <w:p w14:paraId="3DCB271C"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Illustrative Consolidated Financial Statements – Investment Property</w:t>
      </w:r>
    </w:p>
    <w:p w14:paraId="35A8257B" w14:textId="77777777" w:rsidR="008E5DE4" w:rsidRDefault="00780368">
      <w:pPr>
        <w:widowControl w:val="0"/>
        <w:numPr>
          <w:ilvl w:val="0"/>
          <w:numId w:val="16"/>
        </w:numPr>
        <w:pBdr>
          <w:top w:val="nil"/>
          <w:left w:val="nil"/>
          <w:bottom w:val="nil"/>
          <w:right w:val="nil"/>
          <w:between w:val="nil"/>
        </w:pBdr>
        <w:spacing w:before="100" w:after="100"/>
        <w:jc w:val="both"/>
      </w:pPr>
      <w:r>
        <w:rPr>
          <w:color w:val="000000"/>
          <w:sz w:val="20"/>
          <w:szCs w:val="20"/>
        </w:rPr>
        <w:t xml:space="preserve">IFRS Illustrative Consolidated Financial Statements – Insurance </w:t>
      </w:r>
    </w:p>
    <w:p w14:paraId="0EB29E07" w14:textId="77777777" w:rsidR="008E5DE4" w:rsidRDefault="00780368">
      <w:pPr>
        <w:widowControl w:val="0"/>
        <w:spacing w:before="200" w:after="200"/>
        <w:jc w:val="both"/>
        <w:rPr>
          <w:sz w:val="20"/>
          <w:szCs w:val="20"/>
        </w:rPr>
        <w:sectPr w:rsidR="008E5DE4">
          <w:headerReference w:type="default" r:id="rId29"/>
          <w:pgSz w:w="11907" w:h="16840"/>
          <w:pgMar w:top="1418" w:right="851" w:bottom="1134" w:left="1701" w:header="737" w:footer="567" w:gutter="0"/>
          <w:cols w:space="708"/>
        </w:sectPr>
      </w:pPr>
      <w:r>
        <w:rPr>
          <w:sz w:val="20"/>
          <w:szCs w:val="20"/>
        </w:rPr>
        <w:t>Use of these pro forma consolidated financial statements does not exempt you from completion of the IFRS disclosure checklist.</w:t>
      </w:r>
    </w:p>
    <w:p w14:paraId="75652AD0"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lastRenderedPageBreak/>
        <w:t xml:space="preserve">Certain disclosures do not apply to first-time adopters because they </w:t>
      </w:r>
      <w:proofErr w:type="gramStart"/>
      <w:r>
        <w:rPr>
          <w:color w:val="000000"/>
          <w:sz w:val="20"/>
          <w:szCs w:val="20"/>
        </w:rPr>
        <w:t>have to</w:t>
      </w:r>
      <w:proofErr w:type="gramEnd"/>
      <w:r>
        <w:rPr>
          <w:color w:val="000000"/>
          <w:sz w:val="20"/>
          <w:szCs w:val="20"/>
        </w:rPr>
        <w:t xml:space="preserve"> apply accounting policies consistently throughout all periods presented in the first consolidated financial statements prepared in compliance with IFRS Accounting Standards. Replace Note 5 with the below text and amend other relevant disclosures, when required:</w:t>
      </w:r>
    </w:p>
    <w:p w14:paraId="45285736" w14:textId="77777777" w:rsidR="008E5DE4" w:rsidRDefault="00780368">
      <w:pPr>
        <w:widowControl w:val="0"/>
        <w:pBdr>
          <w:top w:val="nil"/>
          <w:left w:val="nil"/>
          <w:bottom w:val="nil"/>
          <w:right w:val="nil"/>
          <w:between w:val="nil"/>
        </w:pBdr>
        <w:spacing w:before="480" w:after="240"/>
        <w:jc w:val="both"/>
        <w:rPr>
          <w:b/>
          <w:color w:val="000000"/>
          <w:sz w:val="20"/>
          <w:szCs w:val="20"/>
        </w:rPr>
      </w:pPr>
      <w:r>
        <w:rPr>
          <w:b/>
          <w:color w:val="000000"/>
          <w:sz w:val="20"/>
          <w:szCs w:val="20"/>
        </w:rPr>
        <w:t>5</w:t>
      </w:r>
      <w:r>
        <w:rPr>
          <w:b/>
          <w:color w:val="000000"/>
          <w:sz w:val="20"/>
          <w:szCs w:val="20"/>
        </w:rPr>
        <w:tab/>
        <w:t>First-time Adoption of IFRS</w:t>
      </w:r>
      <w:r>
        <w:rPr>
          <w:color w:val="000000"/>
        </w:rPr>
        <w:t xml:space="preserve"> </w:t>
      </w:r>
      <w:r>
        <w:rPr>
          <w:b/>
          <w:color w:val="000000"/>
          <w:sz w:val="20"/>
          <w:szCs w:val="20"/>
        </w:rPr>
        <w:t>Accounting Standards</w:t>
      </w:r>
    </w:p>
    <w:p w14:paraId="37A690F4" w14:textId="3174C9AF"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These consolidated financial statements are the Group’s first annual consolidated financial statements that comply with IFRS</w:t>
      </w:r>
      <w:r>
        <w:rPr>
          <w:color w:val="000000"/>
        </w:rPr>
        <w:t xml:space="preserve"> </w:t>
      </w:r>
      <w:r>
        <w:rPr>
          <w:color w:val="000000"/>
          <w:sz w:val="20"/>
          <w:szCs w:val="20"/>
        </w:rPr>
        <w:t xml:space="preserve">Accounting Standards. The Group’s transition date to IFRS Accounting Standards is 1 January </w:t>
      </w:r>
      <w:r w:rsidR="00A46633">
        <w:rPr>
          <w:color w:val="000000"/>
          <w:sz w:val="20"/>
          <w:szCs w:val="20"/>
        </w:rPr>
        <w:t>2024</w:t>
      </w:r>
      <w:r>
        <w:rPr>
          <w:color w:val="000000"/>
          <w:sz w:val="20"/>
          <w:szCs w:val="20"/>
        </w:rPr>
        <w:t xml:space="preserve">. Subject to certain exceptions, IFRS 1 requires retrospective application of the version of standards and interpretations effective as of 31 December </w:t>
      </w:r>
      <w:r w:rsidR="008614F8">
        <w:rPr>
          <w:color w:val="000000"/>
          <w:sz w:val="20"/>
          <w:szCs w:val="20"/>
        </w:rPr>
        <w:t>2025</w:t>
      </w:r>
      <w:r>
        <w:rPr>
          <w:color w:val="000000"/>
          <w:sz w:val="20"/>
          <w:szCs w:val="20"/>
        </w:rPr>
        <w:t xml:space="preserve"> in preparing the opening consolidated statement of financial position </w:t>
      </w:r>
      <w:proofErr w:type="gramStart"/>
      <w:r>
        <w:rPr>
          <w:color w:val="000000"/>
          <w:sz w:val="20"/>
          <w:szCs w:val="20"/>
        </w:rPr>
        <w:t>at</w:t>
      </w:r>
      <w:proofErr w:type="gramEnd"/>
      <w:r>
        <w:rPr>
          <w:color w:val="000000"/>
          <w:sz w:val="20"/>
          <w:szCs w:val="20"/>
        </w:rPr>
        <w:t xml:space="preserve"> 1 January </w:t>
      </w:r>
      <w:r w:rsidR="00A46633">
        <w:rPr>
          <w:color w:val="000000"/>
          <w:sz w:val="20"/>
          <w:szCs w:val="20"/>
        </w:rPr>
        <w:t>2024</w:t>
      </w:r>
      <w:r>
        <w:rPr>
          <w:color w:val="000000"/>
          <w:sz w:val="20"/>
          <w:szCs w:val="20"/>
        </w:rPr>
        <w:t xml:space="preserve"> and throughout all periods presented in its first consolidated financial statements prepared in compliance with IFRS Accounting Standards. In preparing these consolidated financial statements, the Group has applied the mandatory exceptions to the retrospective application of other IFRSs and has elected to apply the following optional exemptions: </w:t>
      </w:r>
    </w:p>
    <w:p w14:paraId="0C13AE6B" w14:textId="0FDB07C4" w:rsidR="008E5DE4" w:rsidRDefault="00780368">
      <w:pPr>
        <w:widowControl w:val="0"/>
        <w:numPr>
          <w:ilvl w:val="0"/>
          <w:numId w:val="13"/>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 xml:space="preserve">Fair value as deemed cost exemption. </w:t>
      </w:r>
      <w:r>
        <w:rPr>
          <w:color w:val="000000"/>
          <w:sz w:val="20"/>
          <w:szCs w:val="20"/>
        </w:rPr>
        <w:t xml:space="preserve">The Group has elected to measure certain items of property, plant and equipment at fair value </w:t>
      </w:r>
      <w:proofErr w:type="gramStart"/>
      <w:r>
        <w:rPr>
          <w:color w:val="000000"/>
          <w:sz w:val="20"/>
          <w:szCs w:val="20"/>
        </w:rPr>
        <w:t>at</w:t>
      </w:r>
      <w:proofErr w:type="gramEnd"/>
      <w:r>
        <w:rPr>
          <w:color w:val="000000"/>
          <w:sz w:val="20"/>
          <w:szCs w:val="20"/>
        </w:rPr>
        <w:t xml:space="preserve"> 1 January </w:t>
      </w:r>
      <w:r w:rsidR="00A46633">
        <w:rPr>
          <w:color w:val="000000"/>
          <w:sz w:val="20"/>
          <w:szCs w:val="20"/>
        </w:rPr>
        <w:t>2024</w:t>
      </w:r>
      <w:r>
        <w:rPr>
          <w:color w:val="000000"/>
          <w:sz w:val="20"/>
          <w:szCs w:val="20"/>
        </w:rPr>
        <w:t xml:space="preserve"> and use that fair value as its deemed cost at that date. The effect of the exemption was to increase </w:t>
      </w:r>
      <w:proofErr w:type="gramStart"/>
      <w:r>
        <w:rPr>
          <w:color w:val="000000"/>
          <w:sz w:val="20"/>
          <w:szCs w:val="20"/>
        </w:rPr>
        <w:t>the  previous</w:t>
      </w:r>
      <w:proofErr w:type="gramEnd"/>
      <w:r>
        <w:rPr>
          <w:color w:val="000000"/>
          <w:sz w:val="20"/>
          <w:szCs w:val="20"/>
        </w:rPr>
        <w:t xml:space="preserve"> GAAP carrying </w:t>
      </w:r>
      <w:proofErr w:type="gramStart"/>
      <w:r>
        <w:rPr>
          <w:color w:val="000000"/>
          <w:sz w:val="20"/>
          <w:szCs w:val="20"/>
        </w:rPr>
        <w:t>amount</w:t>
      </w:r>
      <w:proofErr w:type="gramEnd"/>
      <w:r>
        <w:rPr>
          <w:color w:val="000000"/>
          <w:sz w:val="20"/>
          <w:szCs w:val="20"/>
        </w:rPr>
        <w:t xml:space="preserve"> of </w:t>
      </w:r>
      <w:r>
        <w:rPr>
          <w:color w:val="0000FF"/>
          <w:sz w:val="20"/>
          <w:szCs w:val="20"/>
        </w:rPr>
        <w:t>[equipment]</w:t>
      </w:r>
      <w:r>
        <w:rPr>
          <w:color w:val="000000"/>
          <w:sz w:val="20"/>
          <w:szCs w:val="20"/>
        </w:rPr>
        <w:t xml:space="preserve"> by EUR_____ thousand to EUR_____ thousand under IFRS Accounting Standards on the date of transition, 1 January </w:t>
      </w:r>
      <w:r w:rsidR="00A46633">
        <w:rPr>
          <w:color w:val="000000"/>
          <w:sz w:val="20"/>
          <w:szCs w:val="20"/>
        </w:rPr>
        <w:t>2024</w:t>
      </w:r>
      <w:r>
        <w:rPr>
          <w:color w:val="000000"/>
          <w:sz w:val="20"/>
          <w:szCs w:val="20"/>
        </w:rPr>
        <w:t xml:space="preserve">. </w:t>
      </w:r>
    </w:p>
    <w:p w14:paraId="6A17072D" w14:textId="6869FB57" w:rsidR="008E5DE4" w:rsidRDefault="00780368">
      <w:pPr>
        <w:widowControl w:val="0"/>
        <w:numPr>
          <w:ilvl w:val="0"/>
          <w:numId w:val="13"/>
        </w:numPr>
        <w:pBdr>
          <w:top w:val="nil"/>
          <w:left w:val="nil"/>
          <w:bottom w:val="nil"/>
          <w:right w:val="nil"/>
          <w:between w:val="nil"/>
        </w:pBdr>
        <w:spacing w:before="200" w:after="200"/>
        <w:ind w:left="426" w:hanging="426"/>
        <w:jc w:val="both"/>
        <w:rPr>
          <w:color w:val="FF0000"/>
          <w:sz w:val="20"/>
          <w:szCs w:val="20"/>
        </w:rPr>
      </w:pPr>
      <w:r>
        <w:rPr>
          <w:b/>
          <w:i/>
          <w:color w:val="000000"/>
          <w:sz w:val="20"/>
          <w:szCs w:val="20"/>
        </w:rPr>
        <w:t>Cumulative translation differences exemption.</w:t>
      </w:r>
      <w:r>
        <w:rPr>
          <w:i/>
          <w:color w:val="000000"/>
          <w:sz w:val="20"/>
          <w:szCs w:val="20"/>
        </w:rPr>
        <w:t xml:space="preserve"> </w:t>
      </w:r>
      <w:r>
        <w:rPr>
          <w:color w:val="000000"/>
          <w:sz w:val="20"/>
          <w:szCs w:val="20"/>
        </w:rPr>
        <w:t xml:space="preserve">The Group has elected to set the previous cumulative currency translation reserve to zero </w:t>
      </w:r>
      <w:proofErr w:type="gramStart"/>
      <w:r>
        <w:rPr>
          <w:color w:val="000000"/>
          <w:sz w:val="20"/>
          <w:szCs w:val="20"/>
        </w:rPr>
        <w:t>at</w:t>
      </w:r>
      <w:proofErr w:type="gramEnd"/>
      <w:r>
        <w:rPr>
          <w:color w:val="000000"/>
          <w:sz w:val="20"/>
          <w:szCs w:val="20"/>
        </w:rPr>
        <w:t xml:space="preserve"> 1 January </w:t>
      </w:r>
      <w:r w:rsidR="00A46633">
        <w:rPr>
          <w:color w:val="000000"/>
          <w:sz w:val="20"/>
          <w:szCs w:val="20"/>
        </w:rPr>
        <w:t>2024</w:t>
      </w:r>
      <w:r>
        <w:rPr>
          <w:color w:val="000000"/>
          <w:sz w:val="20"/>
          <w:szCs w:val="20"/>
        </w:rPr>
        <w:t xml:space="preserve">. This exemption has been applied to all subsidiaries in accordance with IFRS 1. </w:t>
      </w:r>
    </w:p>
    <w:p w14:paraId="107B2E0E" w14:textId="77777777" w:rsidR="008E5DE4" w:rsidRDefault="00780368">
      <w:pPr>
        <w:widowControl w:val="0"/>
        <w:numPr>
          <w:ilvl w:val="0"/>
          <w:numId w:val="13"/>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Borrowing costs.</w:t>
      </w:r>
      <w:r>
        <w:rPr>
          <w:color w:val="FF0000"/>
          <w:sz w:val="20"/>
          <w:szCs w:val="20"/>
        </w:rPr>
        <w:t xml:space="preserve"> </w:t>
      </w:r>
      <w:r>
        <w:rPr>
          <w:color w:val="000000"/>
          <w:sz w:val="20"/>
          <w:szCs w:val="20"/>
        </w:rPr>
        <w:t>The Group has elected to apply the guidance in IAS 23 which requires capitalisation of borrowing costs from the date of transition to IFRS</w:t>
      </w:r>
      <w:r>
        <w:rPr>
          <w:color w:val="000000"/>
        </w:rPr>
        <w:t xml:space="preserve"> </w:t>
      </w:r>
      <w:r>
        <w:rPr>
          <w:color w:val="000000"/>
          <w:sz w:val="20"/>
          <w:szCs w:val="20"/>
        </w:rPr>
        <w:t>Accounting Standards.</w:t>
      </w:r>
    </w:p>
    <w:p w14:paraId="60A2875B" w14:textId="77777777" w:rsidR="008E5DE4" w:rsidRDefault="00780368">
      <w:pPr>
        <w:widowControl w:val="0"/>
        <w:pBdr>
          <w:top w:val="nil"/>
          <w:left w:val="nil"/>
          <w:bottom w:val="nil"/>
          <w:right w:val="nil"/>
          <w:between w:val="nil"/>
        </w:pBdr>
        <w:spacing w:before="200" w:after="200"/>
        <w:ind w:left="426" w:hanging="426"/>
        <w:jc w:val="both"/>
        <w:rPr>
          <w:color w:val="000000"/>
          <w:sz w:val="20"/>
          <w:szCs w:val="20"/>
        </w:rPr>
      </w:pPr>
      <w:r>
        <w:rPr>
          <w:color w:val="000000"/>
          <w:sz w:val="20"/>
          <w:szCs w:val="20"/>
        </w:rPr>
        <w:t>Exceptions to the retrospective application, which are mandatory under IFRS 1 are:</w:t>
      </w:r>
    </w:p>
    <w:p w14:paraId="562F97B5" w14:textId="7A3ED392" w:rsidR="008E5DE4" w:rsidRDefault="00780368">
      <w:pPr>
        <w:widowControl w:val="0"/>
        <w:numPr>
          <w:ilvl w:val="0"/>
          <w:numId w:val="30"/>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 xml:space="preserve">Estimates exception. </w:t>
      </w:r>
      <w:r>
        <w:rPr>
          <w:color w:val="000000"/>
          <w:sz w:val="20"/>
          <w:szCs w:val="20"/>
        </w:rPr>
        <w:t>Estimates under IFRS</w:t>
      </w:r>
      <w:r>
        <w:rPr>
          <w:color w:val="000000"/>
        </w:rPr>
        <w:t xml:space="preserve"> </w:t>
      </w:r>
      <w:r>
        <w:rPr>
          <w:color w:val="000000"/>
          <w:sz w:val="20"/>
          <w:szCs w:val="20"/>
        </w:rPr>
        <w:t xml:space="preserve">Accounting Standards </w:t>
      </w:r>
      <w:proofErr w:type="gramStart"/>
      <w:r>
        <w:rPr>
          <w:color w:val="000000"/>
          <w:sz w:val="20"/>
          <w:szCs w:val="20"/>
        </w:rPr>
        <w:t>at</w:t>
      </w:r>
      <w:proofErr w:type="gramEnd"/>
      <w:r>
        <w:rPr>
          <w:color w:val="000000"/>
          <w:sz w:val="20"/>
          <w:szCs w:val="20"/>
        </w:rPr>
        <w:t xml:space="preserve"> 1 January </w:t>
      </w:r>
      <w:r w:rsidR="00A46633">
        <w:rPr>
          <w:color w:val="000000"/>
          <w:sz w:val="20"/>
          <w:szCs w:val="20"/>
        </w:rPr>
        <w:t>2024</w:t>
      </w:r>
      <w:r>
        <w:rPr>
          <w:color w:val="000000"/>
          <w:sz w:val="20"/>
          <w:szCs w:val="20"/>
        </w:rPr>
        <w:t xml:space="preserve"> and 31 December </w:t>
      </w:r>
      <w:r w:rsidR="00A46633">
        <w:rPr>
          <w:color w:val="000000"/>
          <w:sz w:val="20"/>
          <w:szCs w:val="20"/>
        </w:rPr>
        <w:t>2024</w:t>
      </w:r>
      <w:r>
        <w:rPr>
          <w:color w:val="000000"/>
          <w:sz w:val="20"/>
          <w:szCs w:val="20"/>
        </w:rPr>
        <w:t xml:space="preserve"> should be consistent with estimates made for the same dates under the previous GAAP, unless there is evidence that those estimates were an error.</w:t>
      </w:r>
    </w:p>
    <w:p w14:paraId="7ADBD8EF" w14:textId="77777777" w:rsidR="008E5DE4" w:rsidRDefault="00780368">
      <w:pPr>
        <w:widowControl w:val="0"/>
        <w:numPr>
          <w:ilvl w:val="0"/>
          <w:numId w:val="30"/>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 xml:space="preserve">Derecognition of financial assets and liabilities exception. </w:t>
      </w:r>
      <w:r>
        <w:rPr>
          <w:color w:val="000000"/>
          <w:sz w:val="20"/>
          <w:szCs w:val="20"/>
        </w:rPr>
        <w:t>Financial assets and liabilities derecognised before the transition to IFRS</w:t>
      </w:r>
      <w:r>
        <w:rPr>
          <w:color w:val="000000"/>
        </w:rPr>
        <w:t xml:space="preserve"> </w:t>
      </w:r>
      <w:r>
        <w:rPr>
          <w:color w:val="000000"/>
          <w:sz w:val="20"/>
          <w:szCs w:val="20"/>
        </w:rPr>
        <w:t>Accounting Standards are not re-recognised. Management did not choose to apply the IFRS 9 derecognition criteria from an earlier date.</w:t>
      </w:r>
    </w:p>
    <w:p w14:paraId="5F1E5563" w14:textId="77777777" w:rsidR="008E5DE4" w:rsidRDefault="00780368">
      <w:pPr>
        <w:widowControl w:val="0"/>
        <w:numPr>
          <w:ilvl w:val="0"/>
          <w:numId w:val="30"/>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 xml:space="preserve">Hedge accounting exception. </w:t>
      </w:r>
      <w:r>
        <w:rPr>
          <w:color w:val="000000"/>
          <w:sz w:val="20"/>
          <w:szCs w:val="20"/>
        </w:rPr>
        <w:t>The Group does not apply hedge accounting.</w:t>
      </w:r>
    </w:p>
    <w:p w14:paraId="29BEADE1" w14:textId="77777777" w:rsidR="008E5DE4" w:rsidRDefault="00780368">
      <w:pPr>
        <w:widowControl w:val="0"/>
        <w:numPr>
          <w:ilvl w:val="0"/>
          <w:numId w:val="30"/>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 xml:space="preserve">Non-controlling </w:t>
      </w:r>
      <w:proofErr w:type="gramStart"/>
      <w:r>
        <w:rPr>
          <w:b/>
          <w:i/>
          <w:color w:val="000000"/>
          <w:sz w:val="20"/>
          <w:szCs w:val="20"/>
        </w:rPr>
        <w:t>interests</w:t>
      </w:r>
      <w:proofErr w:type="gramEnd"/>
      <w:r>
        <w:rPr>
          <w:b/>
          <w:i/>
          <w:color w:val="000000"/>
          <w:sz w:val="20"/>
          <w:szCs w:val="20"/>
        </w:rPr>
        <w:t xml:space="preserve"> exception.</w:t>
      </w:r>
      <w:r>
        <w:rPr>
          <w:color w:val="000000"/>
          <w:sz w:val="20"/>
          <w:szCs w:val="20"/>
        </w:rPr>
        <w:t xml:space="preserve"> Certain requirements of IFRS 10 in relation to accounting for equity in a subsidiary not attributable, directly or indirectly, to a parent are applied prospectively from the date of transition to IFRS</w:t>
      </w:r>
      <w:r>
        <w:rPr>
          <w:color w:val="000000"/>
        </w:rPr>
        <w:t xml:space="preserve"> </w:t>
      </w:r>
      <w:r>
        <w:rPr>
          <w:color w:val="000000"/>
          <w:sz w:val="20"/>
          <w:szCs w:val="20"/>
        </w:rPr>
        <w:t xml:space="preserve">Accounting Standards. Management did not elect to apply IFRS 3 retrospectively to past business combinations. </w:t>
      </w:r>
    </w:p>
    <w:p w14:paraId="13214E55" w14:textId="77777777" w:rsidR="008E5DE4" w:rsidRDefault="00780368">
      <w:pPr>
        <w:widowControl w:val="0"/>
        <w:numPr>
          <w:ilvl w:val="0"/>
          <w:numId w:val="30"/>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Classification and measurement of financial instruments.</w:t>
      </w:r>
      <w:r>
        <w:rPr>
          <w:color w:val="000000"/>
          <w:sz w:val="20"/>
          <w:szCs w:val="20"/>
        </w:rPr>
        <w:t xml:space="preserve"> The Group assesses whether its financial assets meet the conditions for measurement at AC or at FVOCI </w:t>
      </w:r>
      <w:proofErr w:type="gramStart"/>
      <w:r>
        <w:rPr>
          <w:color w:val="000000"/>
          <w:sz w:val="20"/>
          <w:szCs w:val="20"/>
        </w:rPr>
        <w:t>on the basis of</w:t>
      </w:r>
      <w:proofErr w:type="gramEnd"/>
      <w:r>
        <w:rPr>
          <w:color w:val="000000"/>
          <w:sz w:val="20"/>
          <w:szCs w:val="20"/>
        </w:rPr>
        <w:t xml:space="preserve"> the facts and circumstances that exist at the date of transition to IFRSs. In cases when retrospective application of the effective interest method is impracticable for the Group, the fair value of the financial assets or (and) the financial liabilities at the date of transition to IFRSs is the new gross carrying amount of those financial assets or the new amortised cost of those financial liabilities at the date of transition to IFRSs.</w:t>
      </w:r>
    </w:p>
    <w:p w14:paraId="7FC6D231" w14:textId="77777777" w:rsidR="008E5DE4" w:rsidRDefault="00780368">
      <w:pPr>
        <w:widowControl w:val="0"/>
        <w:numPr>
          <w:ilvl w:val="0"/>
          <w:numId w:val="30"/>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Impairment of financial assets.</w:t>
      </w:r>
      <w:r>
        <w:rPr>
          <w:color w:val="000000"/>
          <w:sz w:val="20"/>
          <w:szCs w:val="20"/>
        </w:rPr>
        <w:t xml:space="preserve"> The impairment requirements of IFRS 9 are applied retrospectively. In cases when determination of a significant increase in credit risk since the initial recognition of a financial instrument requires undue cost or effort, the management decided to recognise a lifetime expected credit losses allowance at each reporting date until the financial instrument is derecognised (unless that financial instrument is low credit risk at a reporting date).</w:t>
      </w:r>
    </w:p>
    <w:p w14:paraId="097A8E4D" w14:textId="77777777" w:rsidR="008E5DE4" w:rsidRDefault="00780368">
      <w:pPr>
        <w:widowControl w:val="0"/>
        <w:numPr>
          <w:ilvl w:val="0"/>
          <w:numId w:val="30"/>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Embedded derivatives.</w:t>
      </w:r>
      <w:r>
        <w:rPr>
          <w:color w:val="000000"/>
          <w:sz w:val="20"/>
          <w:szCs w:val="20"/>
        </w:rPr>
        <w:t xml:space="preserve"> The Group does not have embedded derivatives.</w:t>
      </w:r>
    </w:p>
    <w:p w14:paraId="3DB1D40C" w14:textId="77777777" w:rsidR="008E5DE4" w:rsidRDefault="00780368">
      <w:pPr>
        <w:widowControl w:val="0"/>
        <w:numPr>
          <w:ilvl w:val="0"/>
          <w:numId w:val="30"/>
        </w:numPr>
        <w:pBdr>
          <w:top w:val="nil"/>
          <w:left w:val="nil"/>
          <w:bottom w:val="nil"/>
          <w:right w:val="nil"/>
          <w:between w:val="nil"/>
        </w:pBdr>
        <w:spacing w:before="200" w:after="200"/>
        <w:ind w:left="426" w:hanging="426"/>
        <w:jc w:val="both"/>
        <w:rPr>
          <w:color w:val="000000"/>
          <w:sz w:val="20"/>
          <w:szCs w:val="20"/>
        </w:rPr>
      </w:pPr>
      <w:r>
        <w:rPr>
          <w:b/>
          <w:i/>
          <w:color w:val="000000"/>
          <w:sz w:val="20"/>
          <w:szCs w:val="20"/>
        </w:rPr>
        <w:t>Government loans.</w:t>
      </w:r>
      <w:r>
        <w:rPr>
          <w:color w:val="000000"/>
          <w:sz w:val="20"/>
          <w:szCs w:val="20"/>
        </w:rPr>
        <w:t xml:space="preserve"> The Group does not have government loans.</w:t>
      </w:r>
    </w:p>
    <w:p w14:paraId="6A20B36A" w14:textId="3890FF70"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lastRenderedPageBreak/>
        <w:t xml:space="preserve">The following reconciliations provide a quantification of the effect of the transition from </w:t>
      </w:r>
      <w:r>
        <w:rPr>
          <w:color w:val="0000FF"/>
          <w:sz w:val="20"/>
          <w:szCs w:val="20"/>
        </w:rPr>
        <w:t>[Country]</w:t>
      </w:r>
      <w:r>
        <w:rPr>
          <w:color w:val="000000"/>
          <w:sz w:val="20"/>
          <w:szCs w:val="20"/>
        </w:rPr>
        <w:t xml:space="preserve"> Accounting Regulations (“CAR”) to IFRS Accounting Standards </w:t>
      </w:r>
      <w:proofErr w:type="gramStart"/>
      <w:r>
        <w:rPr>
          <w:color w:val="000000"/>
          <w:sz w:val="20"/>
          <w:szCs w:val="20"/>
        </w:rPr>
        <w:t>at</w:t>
      </w:r>
      <w:proofErr w:type="gramEnd"/>
      <w:r>
        <w:rPr>
          <w:color w:val="000000"/>
          <w:sz w:val="20"/>
          <w:szCs w:val="20"/>
        </w:rPr>
        <w:t xml:space="preserve"> 1 January </w:t>
      </w:r>
      <w:r w:rsidR="00A46633">
        <w:rPr>
          <w:color w:val="000000"/>
          <w:sz w:val="20"/>
          <w:szCs w:val="20"/>
        </w:rPr>
        <w:t>2024</w:t>
      </w:r>
      <w:r>
        <w:rPr>
          <w:color w:val="000000"/>
          <w:sz w:val="20"/>
          <w:szCs w:val="20"/>
        </w:rPr>
        <w:t xml:space="preserve">, 31 December </w:t>
      </w:r>
      <w:r w:rsidR="00A46633">
        <w:rPr>
          <w:color w:val="000000"/>
          <w:sz w:val="20"/>
          <w:szCs w:val="20"/>
        </w:rPr>
        <w:t>2024</w:t>
      </w:r>
      <w:r>
        <w:rPr>
          <w:color w:val="000000"/>
          <w:sz w:val="20"/>
          <w:szCs w:val="20"/>
        </w:rPr>
        <w:t xml:space="preserve"> and for the year ended 31 December </w:t>
      </w:r>
      <w:r w:rsidR="00A46633">
        <w:rPr>
          <w:color w:val="000000"/>
          <w:sz w:val="20"/>
          <w:szCs w:val="20"/>
        </w:rPr>
        <w:t>2024</w:t>
      </w:r>
      <w:r>
        <w:rPr>
          <w:color w:val="000000"/>
          <w:sz w:val="20"/>
          <w:szCs w:val="20"/>
        </w:rPr>
        <w:t xml:space="preserve">: </w:t>
      </w:r>
    </w:p>
    <w:tbl>
      <w:tblPr>
        <w:tblStyle w:val="affffffffffffff8"/>
        <w:tblW w:w="9355" w:type="dxa"/>
        <w:tblLayout w:type="fixed"/>
        <w:tblLook w:val="0000" w:firstRow="0" w:lastRow="0" w:firstColumn="0" w:lastColumn="0" w:noHBand="0" w:noVBand="0"/>
      </w:tblPr>
      <w:tblGrid>
        <w:gridCol w:w="6293"/>
        <w:gridCol w:w="1531"/>
        <w:gridCol w:w="1531"/>
      </w:tblGrid>
      <w:tr w:rsidR="008E5DE4" w14:paraId="46C46A39" w14:textId="77777777">
        <w:trPr>
          <w:cantSplit/>
          <w:tblHeader/>
        </w:trPr>
        <w:tc>
          <w:tcPr>
            <w:tcW w:w="6293" w:type="dxa"/>
            <w:tcBorders>
              <w:bottom w:val="single" w:sz="4" w:space="0" w:color="000000"/>
            </w:tcBorders>
            <w:vAlign w:val="bottom"/>
          </w:tcPr>
          <w:p w14:paraId="038FC84C" w14:textId="77777777" w:rsidR="008E5DE4" w:rsidRDefault="00780368">
            <w:pPr>
              <w:keepNext/>
              <w:keepLines/>
              <w:widowControl w:val="0"/>
              <w:pBdr>
                <w:top w:val="nil"/>
                <w:left w:val="nil"/>
                <w:bottom w:val="nil"/>
                <w:right w:val="nil"/>
                <w:between w:val="nil"/>
              </w:pBdr>
              <w:ind w:left="113" w:right="-57" w:hanging="113"/>
              <w:rPr>
                <w:i/>
                <w:color w:val="000000"/>
              </w:rPr>
            </w:pPr>
            <w:r>
              <w:rPr>
                <w:i/>
                <w:color w:val="000000"/>
              </w:rPr>
              <w:t>In thousands of EUR</w:t>
            </w:r>
          </w:p>
        </w:tc>
        <w:tc>
          <w:tcPr>
            <w:tcW w:w="1531" w:type="dxa"/>
            <w:tcBorders>
              <w:bottom w:val="single" w:sz="4" w:space="0" w:color="000000"/>
            </w:tcBorders>
          </w:tcPr>
          <w:p w14:paraId="3E03B678"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 xml:space="preserve">31 December </w:t>
            </w:r>
          </w:p>
          <w:p w14:paraId="2F7BEF8A" w14:textId="36134C23" w:rsidR="008E5DE4" w:rsidRDefault="00A46633">
            <w:pPr>
              <w:keepNext/>
              <w:keepLines/>
              <w:widowControl w:val="0"/>
              <w:pBdr>
                <w:top w:val="nil"/>
                <w:left w:val="nil"/>
                <w:bottom w:val="nil"/>
                <w:right w:val="nil"/>
                <w:between w:val="nil"/>
              </w:pBdr>
              <w:ind w:left="-113"/>
              <w:jc w:val="right"/>
              <w:rPr>
                <w:b/>
                <w:color w:val="000000"/>
              </w:rPr>
            </w:pPr>
            <w:r>
              <w:rPr>
                <w:b/>
                <w:color w:val="000000"/>
              </w:rPr>
              <w:t>2024</w:t>
            </w:r>
          </w:p>
        </w:tc>
        <w:tc>
          <w:tcPr>
            <w:tcW w:w="1531" w:type="dxa"/>
            <w:tcBorders>
              <w:bottom w:val="single" w:sz="4" w:space="0" w:color="000000"/>
            </w:tcBorders>
          </w:tcPr>
          <w:p w14:paraId="40A141B9"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1 January</w:t>
            </w:r>
          </w:p>
          <w:p w14:paraId="05631FB7" w14:textId="0950B435" w:rsidR="008E5DE4" w:rsidRDefault="00A46633">
            <w:pPr>
              <w:keepNext/>
              <w:keepLines/>
              <w:widowControl w:val="0"/>
              <w:pBdr>
                <w:top w:val="nil"/>
                <w:left w:val="nil"/>
                <w:bottom w:val="nil"/>
                <w:right w:val="nil"/>
                <w:between w:val="nil"/>
              </w:pBdr>
              <w:ind w:left="-113"/>
              <w:jc w:val="right"/>
              <w:rPr>
                <w:b/>
                <w:color w:val="000000"/>
              </w:rPr>
            </w:pPr>
            <w:r>
              <w:rPr>
                <w:b/>
                <w:color w:val="000000"/>
              </w:rPr>
              <w:t>2024</w:t>
            </w:r>
          </w:p>
        </w:tc>
      </w:tr>
      <w:tr w:rsidR="008E5DE4" w14:paraId="3E910640" w14:textId="77777777">
        <w:trPr>
          <w:cantSplit/>
          <w:tblHeader/>
        </w:trPr>
        <w:tc>
          <w:tcPr>
            <w:tcW w:w="6293" w:type="dxa"/>
            <w:vAlign w:val="bottom"/>
          </w:tcPr>
          <w:p w14:paraId="782BF621" w14:textId="77777777" w:rsidR="008E5DE4" w:rsidRDefault="00780368">
            <w:pPr>
              <w:keepNext/>
              <w:keepLines/>
              <w:widowControl w:val="0"/>
              <w:pBdr>
                <w:top w:val="nil"/>
                <w:left w:val="nil"/>
                <w:bottom w:val="nil"/>
                <w:right w:val="nil"/>
                <w:between w:val="nil"/>
              </w:pBdr>
              <w:ind w:left="113" w:right="-57" w:hanging="113"/>
              <w:rPr>
                <w:i/>
                <w:color w:val="000000"/>
              </w:rPr>
            </w:pPr>
            <w:r>
              <w:rPr>
                <w:i/>
                <w:color w:val="0000FF"/>
              </w:rPr>
              <w:t> </w:t>
            </w:r>
          </w:p>
        </w:tc>
        <w:tc>
          <w:tcPr>
            <w:tcW w:w="1531" w:type="dxa"/>
            <w:vAlign w:val="bottom"/>
          </w:tcPr>
          <w:p w14:paraId="498E3FA2"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12BF633" w14:textId="77777777" w:rsidR="008E5DE4" w:rsidRDefault="008E5DE4">
            <w:pPr>
              <w:keepNext/>
              <w:keepLines/>
              <w:widowControl w:val="0"/>
              <w:pBdr>
                <w:top w:val="nil"/>
                <w:left w:val="nil"/>
                <w:bottom w:val="nil"/>
                <w:right w:val="nil"/>
                <w:between w:val="nil"/>
              </w:pBdr>
              <w:jc w:val="right"/>
              <w:rPr>
                <w:color w:val="000000"/>
              </w:rPr>
            </w:pPr>
          </w:p>
        </w:tc>
      </w:tr>
      <w:tr w:rsidR="008E5DE4" w14:paraId="07D0F131" w14:textId="77777777">
        <w:trPr>
          <w:cantSplit/>
          <w:tblHeader/>
        </w:trPr>
        <w:tc>
          <w:tcPr>
            <w:tcW w:w="6293" w:type="dxa"/>
            <w:vAlign w:val="bottom"/>
          </w:tcPr>
          <w:p w14:paraId="5CA9ABAD" w14:textId="77777777" w:rsidR="008E5DE4" w:rsidRDefault="00780368">
            <w:pPr>
              <w:keepNext/>
              <w:keepLines/>
              <w:widowControl w:val="0"/>
              <w:pBdr>
                <w:top w:val="nil"/>
                <w:left w:val="nil"/>
                <w:bottom w:val="nil"/>
                <w:right w:val="nil"/>
                <w:between w:val="nil"/>
              </w:pBdr>
              <w:ind w:left="113" w:right="-57" w:hanging="113"/>
              <w:rPr>
                <w:b/>
                <w:smallCaps/>
                <w:color w:val="000000"/>
              </w:rPr>
            </w:pPr>
            <w:r>
              <w:rPr>
                <w:b/>
                <w:smallCaps/>
                <w:color w:val="000000"/>
              </w:rPr>
              <w:t>EQUITY UNDER CAR</w:t>
            </w:r>
          </w:p>
        </w:tc>
        <w:tc>
          <w:tcPr>
            <w:tcW w:w="1531" w:type="dxa"/>
            <w:vAlign w:val="bottom"/>
          </w:tcPr>
          <w:p w14:paraId="742BF14C" w14:textId="77777777" w:rsidR="008E5DE4" w:rsidRDefault="008E5DE4">
            <w:pPr>
              <w:keepNext/>
              <w:keepLines/>
              <w:widowControl w:val="0"/>
              <w:pBdr>
                <w:top w:val="nil"/>
                <w:left w:val="nil"/>
                <w:bottom w:val="nil"/>
                <w:right w:val="nil"/>
                <w:between w:val="nil"/>
              </w:pBdr>
              <w:jc w:val="right"/>
              <w:rPr>
                <w:smallCaps/>
                <w:color w:val="000000"/>
              </w:rPr>
            </w:pPr>
          </w:p>
        </w:tc>
        <w:tc>
          <w:tcPr>
            <w:tcW w:w="1531" w:type="dxa"/>
            <w:vAlign w:val="bottom"/>
          </w:tcPr>
          <w:p w14:paraId="54D4EE90" w14:textId="77777777" w:rsidR="008E5DE4" w:rsidRDefault="008E5DE4">
            <w:pPr>
              <w:keepNext/>
              <w:keepLines/>
              <w:widowControl w:val="0"/>
              <w:pBdr>
                <w:top w:val="nil"/>
                <w:left w:val="nil"/>
                <w:bottom w:val="nil"/>
                <w:right w:val="nil"/>
                <w:between w:val="nil"/>
              </w:pBdr>
              <w:jc w:val="right"/>
              <w:rPr>
                <w:b/>
                <w:smallCaps/>
                <w:color w:val="000000"/>
              </w:rPr>
            </w:pPr>
          </w:p>
        </w:tc>
      </w:tr>
      <w:tr w:rsidR="008E5DE4" w14:paraId="4F5F859D" w14:textId="77777777">
        <w:trPr>
          <w:cantSplit/>
          <w:tblHeader/>
        </w:trPr>
        <w:tc>
          <w:tcPr>
            <w:tcW w:w="6293" w:type="dxa"/>
            <w:vAlign w:val="bottom"/>
          </w:tcPr>
          <w:p w14:paraId="75C1A756"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FF"/>
              </w:rPr>
              <w:t> </w:t>
            </w:r>
          </w:p>
        </w:tc>
        <w:tc>
          <w:tcPr>
            <w:tcW w:w="1531" w:type="dxa"/>
            <w:vAlign w:val="bottom"/>
          </w:tcPr>
          <w:p w14:paraId="213D7379"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4D83ABB8" w14:textId="77777777" w:rsidR="008E5DE4" w:rsidRDefault="008E5DE4">
            <w:pPr>
              <w:keepNext/>
              <w:keepLines/>
              <w:widowControl w:val="0"/>
              <w:pBdr>
                <w:top w:val="nil"/>
                <w:left w:val="nil"/>
                <w:bottom w:val="nil"/>
                <w:right w:val="nil"/>
                <w:between w:val="nil"/>
              </w:pBdr>
              <w:jc w:val="right"/>
              <w:rPr>
                <w:color w:val="000000"/>
              </w:rPr>
            </w:pPr>
          </w:p>
        </w:tc>
      </w:tr>
      <w:tr w:rsidR="008E5DE4" w14:paraId="7B049CC0" w14:textId="77777777">
        <w:trPr>
          <w:cantSplit/>
          <w:tblHeader/>
        </w:trPr>
        <w:tc>
          <w:tcPr>
            <w:tcW w:w="6293" w:type="dxa"/>
            <w:vAlign w:val="bottom"/>
          </w:tcPr>
          <w:p w14:paraId="1E95B4B9" w14:textId="77777777" w:rsidR="008E5DE4" w:rsidRDefault="00780368">
            <w:pPr>
              <w:keepNext/>
              <w:keepLines/>
              <w:widowControl w:val="0"/>
              <w:ind w:left="113" w:right="-57" w:hanging="113"/>
              <w:rPr>
                <w:b/>
                <w:i/>
              </w:rPr>
            </w:pPr>
            <w:r>
              <w:rPr>
                <w:b/>
                <w:i/>
              </w:rPr>
              <w:t>Effects of changes in accounting policies:</w:t>
            </w:r>
          </w:p>
        </w:tc>
        <w:tc>
          <w:tcPr>
            <w:tcW w:w="1531" w:type="dxa"/>
            <w:vAlign w:val="bottom"/>
          </w:tcPr>
          <w:p w14:paraId="7042EB21"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52434D98" w14:textId="77777777" w:rsidR="008E5DE4" w:rsidRDefault="008E5DE4">
            <w:pPr>
              <w:keepNext/>
              <w:keepLines/>
              <w:widowControl w:val="0"/>
              <w:pBdr>
                <w:top w:val="nil"/>
                <w:left w:val="nil"/>
                <w:bottom w:val="nil"/>
                <w:right w:val="nil"/>
                <w:between w:val="nil"/>
              </w:pBdr>
              <w:jc w:val="right"/>
              <w:rPr>
                <w:color w:val="000000"/>
              </w:rPr>
            </w:pPr>
          </w:p>
        </w:tc>
      </w:tr>
      <w:tr w:rsidR="008E5DE4" w14:paraId="65A01AE1" w14:textId="77777777">
        <w:trPr>
          <w:cantSplit/>
          <w:tblHeader/>
        </w:trPr>
        <w:tc>
          <w:tcPr>
            <w:tcW w:w="6293" w:type="dxa"/>
            <w:vAlign w:val="bottom"/>
          </w:tcPr>
          <w:p w14:paraId="7AFE7E76" w14:textId="77777777" w:rsidR="008E5DE4" w:rsidRDefault="00780368">
            <w:pPr>
              <w:keepNext/>
              <w:keepLines/>
              <w:widowControl w:val="0"/>
              <w:numPr>
                <w:ilvl w:val="0"/>
                <w:numId w:val="33"/>
              </w:numPr>
              <w:ind w:left="113" w:right="-57" w:hanging="113"/>
            </w:pPr>
            <w:r>
              <w:t>Consolidation of subsidiaries</w:t>
            </w:r>
          </w:p>
        </w:tc>
        <w:tc>
          <w:tcPr>
            <w:tcW w:w="1531" w:type="dxa"/>
            <w:vAlign w:val="bottom"/>
          </w:tcPr>
          <w:p w14:paraId="104679DE"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ABDFD01" w14:textId="77777777" w:rsidR="008E5DE4" w:rsidRDefault="008E5DE4">
            <w:pPr>
              <w:keepNext/>
              <w:keepLines/>
              <w:widowControl w:val="0"/>
              <w:pBdr>
                <w:top w:val="nil"/>
                <w:left w:val="nil"/>
                <w:bottom w:val="nil"/>
                <w:right w:val="nil"/>
                <w:between w:val="nil"/>
              </w:pBdr>
              <w:jc w:val="right"/>
              <w:rPr>
                <w:color w:val="000000"/>
              </w:rPr>
            </w:pPr>
          </w:p>
        </w:tc>
      </w:tr>
      <w:tr w:rsidR="008E5DE4" w14:paraId="405C0433" w14:textId="77777777">
        <w:trPr>
          <w:cantSplit/>
          <w:tblHeader/>
        </w:trPr>
        <w:tc>
          <w:tcPr>
            <w:tcW w:w="6293" w:type="dxa"/>
            <w:vAlign w:val="bottom"/>
          </w:tcPr>
          <w:p w14:paraId="4A340BF8" w14:textId="77777777" w:rsidR="008E5DE4" w:rsidRDefault="00780368">
            <w:pPr>
              <w:keepNext/>
              <w:keepLines/>
              <w:widowControl w:val="0"/>
              <w:numPr>
                <w:ilvl w:val="0"/>
                <w:numId w:val="33"/>
              </w:numPr>
              <w:ind w:left="113" w:right="-57" w:hanging="113"/>
            </w:pPr>
            <w:r>
              <w:t>Property, plant and equipment: restatement for hyperinflation</w:t>
            </w:r>
          </w:p>
        </w:tc>
        <w:tc>
          <w:tcPr>
            <w:tcW w:w="1531" w:type="dxa"/>
            <w:vAlign w:val="bottom"/>
          </w:tcPr>
          <w:p w14:paraId="49BC07F4"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4D89F3D5" w14:textId="77777777" w:rsidR="008E5DE4" w:rsidRDefault="008E5DE4">
            <w:pPr>
              <w:keepNext/>
              <w:keepLines/>
              <w:widowControl w:val="0"/>
              <w:pBdr>
                <w:top w:val="nil"/>
                <w:left w:val="nil"/>
                <w:bottom w:val="nil"/>
                <w:right w:val="nil"/>
                <w:between w:val="nil"/>
              </w:pBdr>
              <w:jc w:val="right"/>
              <w:rPr>
                <w:color w:val="000000"/>
              </w:rPr>
            </w:pPr>
          </w:p>
        </w:tc>
      </w:tr>
      <w:tr w:rsidR="008E5DE4" w14:paraId="522ACC02" w14:textId="77777777">
        <w:trPr>
          <w:cantSplit/>
          <w:tblHeader/>
        </w:trPr>
        <w:tc>
          <w:tcPr>
            <w:tcW w:w="6293" w:type="dxa"/>
            <w:vAlign w:val="bottom"/>
          </w:tcPr>
          <w:p w14:paraId="2519FFDB" w14:textId="77777777" w:rsidR="008E5DE4" w:rsidRDefault="00780368">
            <w:pPr>
              <w:keepNext/>
              <w:keepLines/>
              <w:widowControl w:val="0"/>
              <w:numPr>
                <w:ilvl w:val="0"/>
                <w:numId w:val="33"/>
              </w:numPr>
              <w:ind w:left="113" w:right="-57" w:hanging="113"/>
            </w:pPr>
            <w:r>
              <w:t>Property, plant and equipment: fair value as deemed cost</w:t>
            </w:r>
          </w:p>
        </w:tc>
        <w:tc>
          <w:tcPr>
            <w:tcW w:w="1531" w:type="dxa"/>
            <w:vAlign w:val="bottom"/>
          </w:tcPr>
          <w:p w14:paraId="71793A8A"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52C7B2FF" w14:textId="77777777" w:rsidR="008E5DE4" w:rsidRDefault="008E5DE4">
            <w:pPr>
              <w:keepNext/>
              <w:keepLines/>
              <w:widowControl w:val="0"/>
              <w:pBdr>
                <w:top w:val="nil"/>
                <w:left w:val="nil"/>
                <w:bottom w:val="nil"/>
                <w:right w:val="nil"/>
                <w:between w:val="nil"/>
              </w:pBdr>
              <w:jc w:val="right"/>
              <w:rPr>
                <w:color w:val="000000"/>
              </w:rPr>
            </w:pPr>
          </w:p>
        </w:tc>
      </w:tr>
      <w:tr w:rsidR="008E5DE4" w14:paraId="71827EA4" w14:textId="77777777">
        <w:trPr>
          <w:cantSplit/>
          <w:tblHeader/>
        </w:trPr>
        <w:tc>
          <w:tcPr>
            <w:tcW w:w="6293" w:type="dxa"/>
            <w:vAlign w:val="bottom"/>
          </w:tcPr>
          <w:p w14:paraId="4EE14DBB" w14:textId="77777777" w:rsidR="008E5DE4" w:rsidRDefault="00780368">
            <w:pPr>
              <w:keepNext/>
              <w:keepLines/>
              <w:widowControl w:val="0"/>
              <w:numPr>
                <w:ilvl w:val="0"/>
                <w:numId w:val="33"/>
              </w:numPr>
              <w:ind w:left="113" w:right="-57" w:hanging="113"/>
            </w:pPr>
            <w:r>
              <w:t>Net impairment losses on financial and contract assets</w:t>
            </w:r>
          </w:p>
        </w:tc>
        <w:tc>
          <w:tcPr>
            <w:tcW w:w="1531" w:type="dxa"/>
            <w:vAlign w:val="bottom"/>
          </w:tcPr>
          <w:p w14:paraId="346FD314"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41017F6E" w14:textId="77777777" w:rsidR="008E5DE4" w:rsidRDefault="008E5DE4">
            <w:pPr>
              <w:keepNext/>
              <w:keepLines/>
              <w:widowControl w:val="0"/>
              <w:pBdr>
                <w:top w:val="nil"/>
                <w:left w:val="nil"/>
                <w:bottom w:val="nil"/>
                <w:right w:val="nil"/>
                <w:between w:val="nil"/>
              </w:pBdr>
              <w:jc w:val="right"/>
              <w:rPr>
                <w:color w:val="000000"/>
              </w:rPr>
            </w:pPr>
          </w:p>
        </w:tc>
      </w:tr>
      <w:tr w:rsidR="008E5DE4" w14:paraId="079507D9" w14:textId="77777777">
        <w:trPr>
          <w:cantSplit/>
          <w:tblHeader/>
        </w:trPr>
        <w:tc>
          <w:tcPr>
            <w:tcW w:w="6293" w:type="dxa"/>
            <w:vAlign w:val="bottom"/>
          </w:tcPr>
          <w:p w14:paraId="3641580F" w14:textId="77777777" w:rsidR="008E5DE4" w:rsidRDefault="00780368">
            <w:pPr>
              <w:keepNext/>
              <w:keepLines/>
              <w:widowControl w:val="0"/>
              <w:numPr>
                <w:ilvl w:val="0"/>
                <w:numId w:val="33"/>
              </w:numPr>
              <w:ind w:left="113" w:right="-57" w:hanging="113"/>
            </w:pPr>
            <w:r>
              <w:t>Borrowings: gains/(losses) on initial recognition</w:t>
            </w:r>
          </w:p>
        </w:tc>
        <w:tc>
          <w:tcPr>
            <w:tcW w:w="1531" w:type="dxa"/>
            <w:vAlign w:val="bottom"/>
          </w:tcPr>
          <w:p w14:paraId="03DC024E"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2A512F6C" w14:textId="77777777" w:rsidR="008E5DE4" w:rsidRDefault="008E5DE4">
            <w:pPr>
              <w:keepNext/>
              <w:keepLines/>
              <w:widowControl w:val="0"/>
              <w:pBdr>
                <w:top w:val="nil"/>
                <w:left w:val="nil"/>
                <w:bottom w:val="nil"/>
                <w:right w:val="nil"/>
                <w:between w:val="nil"/>
              </w:pBdr>
              <w:jc w:val="right"/>
              <w:rPr>
                <w:color w:val="000000"/>
              </w:rPr>
            </w:pPr>
          </w:p>
        </w:tc>
      </w:tr>
      <w:tr w:rsidR="008E5DE4" w14:paraId="259B9974" w14:textId="77777777">
        <w:trPr>
          <w:cantSplit/>
          <w:tblHeader/>
        </w:trPr>
        <w:tc>
          <w:tcPr>
            <w:tcW w:w="6293" w:type="dxa"/>
            <w:vAlign w:val="bottom"/>
          </w:tcPr>
          <w:p w14:paraId="7B5AB97D" w14:textId="77777777" w:rsidR="008E5DE4" w:rsidRDefault="00780368">
            <w:pPr>
              <w:keepNext/>
              <w:keepLines/>
              <w:widowControl w:val="0"/>
              <w:numPr>
                <w:ilvl w:val="0"/>
                <w:numId w:val="33"/>
              </w:numPr>
              <w:ind w:left="113" w:right="-57" w:hanging="113"/>
            </w:pPr>
            <w:r>
              <w:t>Investments in debt securities: _____</w:t>
            </w:r>
          </w:p>
        </w:tc>
        <w:tc>
          <w:tcPr>
            <w:tcW w:w="1531" w:type="dxa"/>
            <w:vAlign w:val="bottom"/>
          </w:tcPr>
          <w:p w14:paraId="628AF050"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0732094E" w14:textId="77777777" w:rsidR="008E5DE4" w:rsidRDefault="008E5DE4">
            <w:pPr>
              <w:keepNext/>
              <w:keepLines/>
              <w:widowControl w:val="0"/>
              <w:pBdr>
                <w:top w:val="nil"/>
                <w:left w:val="nil"/>
                <w:bottom w:val="nil"/>
                <w:right w:val="nil"/>
                <w:between w:val="nil"/>
              </w:pBdr>
              <w:jc w:val="right"/>
              <w:rPr>
                <w:color w:val="000000"/>
              </w:rPr>
            </w:pPr>
          </w:p>
        </w:tc>
      </w:tr>
      <w:tr w:rsidR="008E5DE4" w14:paraId="288859F1" w14:textId="77777777">
        <w:trPr>
          <w:cantSplit/>
          <w:tblHeader/>
        </w:trPr>
        <w:tc>
          <w:tcPr>
            <w:tcW w:w="6293" w:type="dxa"/>
            <w:vAlign w:val="bottom"/>
          </w:tcPr>
          <w:p w14:paraId="5D5ABFBF" w14:textId="77777777" w:rsidR="008E5DE4" w:rsidRDefault="00780368">
            <w:pPr>
              <w:keepNext/>
              <w:keepLines/>
              <w:widowControl w:val="0"/>
              <w:numPr>
                <w:ilvl w:val="0"/>
                <w:numId w:val="33"/>
              </w:numPr>
              <w:ind w:left="113" w:right="-57" w:hanging="113"/>
            </w:pPr>
            <w:r>
              <w:t>Intangible assets: _____</w:t>
            </w:r>
          </w:p>
        </w:tc>
        <w:tc>
          <w:tcPr>
            <w:tcW w:w="1531" w:type="dxa"/>
            <w:vAlign w:val="bottom"/>
          </w:tcPr>
          <w:p w14:paraId="7D7ADC99"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D6DCE18" w14:textId="77777777" w:rsidR="008E5DE4" w:rsidRDefault="008E5DE4">
            <w:pPr>
              <w:keepNext/>
              <w:keepLines/>
              <w:widowControl w:val="0"/>
              <w:pBdr>
                <w:top w:val="nil"/>
                <w:left w:val="nil"/>
                <w:bottom w:val="nil"/>
                <w:right w:val="nil"/>
                <w:between w:val="nil"/>
              </w:pBdr>
              <w:jc w:val="right"/>
              <w:rPr>
                <w:color w:val="000000"/>
              </w:rPr>
            </w:pPr>
          </w:p>
        </w:tc>
      </w:tr>
      <w:tr w:rsidR="008E5DE4" w14:paraId="53389241" w14:textId="77777777">
        <w:trPr>
          <w:cantSplit/>
          <w:tblHeader/>
        </w:trPr>
        <w:tc>
          <w:tcPr>
            <w:tcW w:w="6293" w:type="dxa"/>
            <w:vAlign w:val="bottom"/>
          </w:tcPr>
          <w:p w14:paraId="11EF49B2" w14:textId="77777777" w:rsidR="008E5DE4" w:rsidRDefault="00780368">
            <w:pPr>
              <w:keepNext/>
              <w:keepLines/>
              <w:widowControl w:val="0"/>
              <w:numPr>
                <w:ilvl w:val="0"/>
                <w:numId w:val="33"/>
              </w:numPr>
              <w:ind w:left="113" w:right="-57" w:hanging="113"/>
            </w:pPr>
            <w:r>
              <w:t>Deferred tax: recognition under the balance sheet liability method</w:t>
            </w:r>
          </w:p>
        </w:tc>
        <w:tc>
          <w:tcPr>
            <w:tcW w:w="1531" w:type="dxa"/>
            <w:vAlign w:val="bottom"/>
          </w:tcPr>
          <w:p w14:paraId="23EAEEA8"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06D27754" w14:textId="77777777" w:rsidR="008E5DE4" w:rsidRDefault="008E5DE4">
            <w:pPr>
              <w:keepNext/>
              <w:keepLines/>
              <w:widowControl w:val="0"/>
              <w:pBdr>
                <w:top w:val="nil"/>
                <w:left w:val="nil"/>
                <w:bottom w:val="nil"/>
                <w:right w:val="nil"/>
                <w:between w:val="nil"/>
              </w:pBdr>
              <w:jc w:val="right"/>
              <w:rPr>
                <w:color w:val="000000"/>
              </w:rPr>
            </w:pPr>
          </w:p>
        </w:tc>
      </w:tr>
      <w:tr w:rsidR="008E5DE4" w14:paraId="52EFFC60" w14:textId="77777777">
        <w:trPr>
          <w:cantSplit/>
          <w:tblHeader/>
        </w:trPr>
        <w:tc>
          <w:tcPr>
            <w:tcW w:w="6293" w:type="dxa"/>
            <w:vAlign w:val="bottom"/>
          </w:tcPr>
          <w:p w14:paraId="3C4F9F0E" w14:textId="77777777" w:rsidR="008E5DE4" w:rsidRDefault="00780368">
            <w:pPr>
              <w:keepNext/>
              <w:keepLines/>
              <w:widowControl w:val="0"/>
              <w:numPr>
                <w:ilvl w:val="0"/>
                <w:numId w:val="33"/>
              </w:numPr>
              <w:ind w:left="113" w:right="-57" w:hanging="113"/>
            </w:pPr>
            <w:r>
              <w:t>Other: _____</w:t>
            </w:r>
          </w:p>
        </w:tc>
        <w:tc>
          <w:tcPr>
            <w:tcW w:w="1531" w:type="dxa"/>
            <w:vAlign w:val="bottom"/>
          </w:tcPr>
          <w:p w14:paraId="5595B4F3"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B4BB873" w14:textId="77777777" w:rsidR="008E5DE4" w:rsidRDefault="008E5DE4">
            <w:pPr>
              <w:keepNext/>
              <w:keepLines/>
              <w:widowControl w:val="0"/>
              <w:pBdr>
                <w:top w:val="nil"/>
                <w:left w:val="nil"/>
                <w:bottom w:val="nil"/>
                <w:right w:val="nil"/>
                <w:between w:val="nil"/>
              </w:pBdr>
              <w:jc w:val="right"/>
              <w:rPr>
                <w:color w:val="000000"/>
              </w:rPr>
            </w:pPr>
          </w:p>
        </w:tc>
      </w:tr>
      <w:tr w:rsidR="008E5DE4" w14:paraId="04D75AF8" w14:textId="77777777">
        <w:trPr>
          <w:cantSplit/>
          <w:tblHeader/>
        </w:trPr>
        <w:tc>
          <w:tcPr>
            <w:tcW w:w="6293" w:type="dxa"/>
            <w:vAlign w:val="bottom"/>
          </w:tcPr>
          <w:p w14:paraId="2E1074D9" w14:textId="77777777" w:rsidR="008E5DE4" w:rsidRDefault="00780368">
            <w:pPr>
              <w:keepNext/>
              <w:keepLines/>
              <w:widowControl w:val="0"/>
              <w:ind w:left="113" w:right="-57" w:hanging="113"/>
              <w:rPr>
                <w:i/>
                <w:color w:val="FF0000"/>
              </w:rPr>
            </w:pPr>
            <w:r>
              <w:rPr>
                <w:color w:val="0000FF"/>
              </w:rPr>
              <w:t> </w:t>
            </w:r>
          </w:p>
        </w:tc>
        <w:tc>
          <w:tcPr>
            <w:tcW w:w="1531" w:type="dxa"/>
            <w:vAlign w:val="bottom"/>
          </w:tcPr>
          <w:p w14:paraId="485F7B1A"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12027F39" w14:textId="77777777" w:rsidR="008E5DE4" w:rsidRDefault="008E5DE4">
            <w:pPr>
              <w:keepNext/>
              <w:keepLines/>
              <w:widowControl w:val="0"/>
              <w:pBdr>
                <w:top w:val="nil"/>
                <w:left w:val="nil"/>
                <w:bottom w:val="nil"/>
                <w:right w:val="nil"/>
                <w:between w:val="nil"/>
              </w:pBdr>
              <w:jc w:val="right"/>
              <w:rPr>
                <w:color w:val="000000"/>
              </w:rPr>
            </w:pPr>
          </w:p>
        </w:tc>
      </w:tr>
      <w:tr w:rsidR="008E5DE4" w14:paraId="3B7EBB71" w14:textId="77777777">
        <w:trPr>
          <w:cantSplit/>
          <w:tblHeader/>
        </w:trPr>
        <w:tc>
          <w:tcPr>
            <w:tcW w:w="6293" w:type="dxa"/>
            <w:vAlign w:val="bottom"/>
          </w:tcPr>
          <w:p w14:paraId="54C9847B" w14:textId="77777777" w:rsidR="008E5DE4" w:rsidRDefault="00780368">
            <w:pPr>
              <w:keepNext/>
              <w:keepLines/>
              <w:widowControl w:val="0"/>
              <w:ind w:left="113" w:right="-57" w:hanging="113"/>
              <w:rPr>
                <w:i/>
                <w:color w:val="FF0000"/>
              </w:rPr>
            </w:pPr>
            <w:r>
              <w:rPr>
                <w:b/>
                <w:i/>
              </w:rPr>
              <w:t>Corrections of errors:</w:t>
            </w:r>
          </w:p>
        </w:tc>
        <w:tc>
          <w:tcPr>
            <w:tcW w:w="1531" w:type="dxa"/>
            <w:vAlign w:val="bottom"/>
          </w:tcPr>
          <w:p w14:paraId="51EC38DA"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E4DD8B0" w14:textId="77777777" w:rsidR="008E5DE4" w:rsidRDefault="008E5DE4">
            <w:pPr>
              <w:keepNext/>
              <w:keepLines/>
              <w:widowControl w:val="0"/>
              <w:pBdr>
                <w:top w:val="nil"/>
                <w:left w:val="nil"/>
                <w:bottom w:val="nil"/>
                <w:right w:val="nil"/>
                <w:between w:val="nil"/>
              </w:pBdr>
              <w:jc w:val="right"/>
              <w:rPr>
                <w:color w:val="000000"/>
              </w:rPr>
            </w:pPr>
          </w:p>
        </w:tc>
      </w:tr>
      <w:tr w:rsidR="008E5DE4" w14:paraId="47B709C3" w14:textId="77777777">
        <w:trPr>
          <w:cantSplit/>
          <w:tblHeader/>
        </w:trPr>
        <w:tc>
          <w:tcPr>
            <w:tcW w:w="6293" w:type="dxa"/>
            <w:vAlign w:val="bottom"/>
          </w:tcPr>
          <w:p w14:paraId="07E9C049" w14:textId="77777777" w:rsidR="008E5DE4" w:rsidRDefault="00780368">
            <w:pPr>
              <w:keepNext/>
              <w:keepLines/>
              <w:widowControl w:val="0"/>
              <w:numPr>
                <w:ilvl w:val="0"/>
                <w:numId w:val="33"/>
              </w:numPr>
              <w:ind w:left="113" w:right="-57" w:hanging="113"/>
            </w:pPr>
            <w:r>
              <w:t>Correction of _____</w:t>
            </w:r>
          </w:p>
        </w:tc>
        <w:tc>
          <w:tcPr>
            <w:tcW w:w="1531" w:type="dxa"/>
            <w:vAlign w:val="bottom"/>
          </w:tcPr>
          <w:p w14:paraId="2D826904"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F0396A4" w14:textId="77777777" w:rsidR="008E5DE4" w:rsidRDefault="008E5DE4">
            <w:pPr>
              <w:keepNext/>
              <w:keepLines/>
              <w:widowControl w:val="0"/>
              <w:pBdr>
                <w:top w:val="nil"/>
                <w:left w:val="nil"/>
                <w:bottom w:val="nil"/>
                <w:right w:val="nil"/>
                <w:between w:val="nil"/>
              </w:pBdr>
              <w:jc w:val="right"/>
              <w:rPr>
                <w:color w:val="000000"/>
              </w:rPr>
            </w:pPr>
          </w:p>
        </w:tc>
      </w:tr>
      <w:tr w:rsidR="008E5DE4" w14:paraId="6CB7467E" w14:textId="77777777">
        <w:trPr>
          <w:cantSplit/>
          <w:tblHeader/>
        </w:trPr>
        <w:tc>
          <w:tcPr>
            <w:tcW w:w="6293" w:type="dxa"/>
            <w:tcBorders>
              <w:bottom w:val="single" w:sz="4" w:space="0" w:color="000000"/>
            </w:tcBorders>
            <w:vAlign w:val="bottom"/>
          </w:tcPr>
          <w:p w14:paraId="53FE652A"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FF"/>
              </w:rPr>
              <w:t> </w:t>
            </w:r>
          </w:p>
        </w:tc>
        <w:tc>
          <w:tcPr>
            <w:tcW w:w="1531" w:type="dxa"/>
            <w:tcBorders>
              <w:bottom w:val="single" w:sz="4" w:space="0" w:color="000000"/>
            </w:tcBorders>
            <w:vAlign w:val="bottom"/>
          </w:tcPr>
          <w:p w14:paraId="617BE89A" w14:textId="77777777" w:rsidR="008E5DE4" w:rsidRDefault="008E5DE4">
            <w:pPr>
              <w:keepNext/>
              <w:keepLines/>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69974ECF" w14:textId="77777777" w:rsidR="008E5DE4" w:rsidRDefault="008E5DE4">
            <w:pPr>
              <w:keepNext/>
              <w:keepLines/>
              <w:widowControl w:val="0"/>
              <w:pBdr>
                <w:top w:val="nil"/>
                <w:left w:val="nil"/>
                <w:bottom w:val="nil"/>
                <w:right w:val="nil"/>
                <w:between w:val="nil"/>
              </w:pBdr>
              <w:jc w:val="right"/>
              <w:rPr>
                <w:color w:val="000000"/>
              </w:rPr>
            </w:pPr>
          </w:p>
        </w:tc>
      </w:tr>
      <w:tr w:rsidR="008E5DE4" w14:paraId="252810BB" w14:textId="77777777">
        <w:trPr>
          <w:cantSplit/>
          <w:tblHeader/>
        </w:trPr>
        <w:tc>
          <w:tcPr>
            <w:tcW w:w="6293" w:type="dxa"/>
            <w:tcBorders>
              <w:top w:val="single" w:sz="4" w:space="0" w:color="000000"/>
            </w:tcBorders>
            <w:vAlign w:val="bottom"/>
          </w:tcPr>
          <w:p w14:paraId="4E18542C" w14:textId="77777777" w:rsidR="008E5DE4" w:rsidRDefault="00780368">
            <w:pPr>
              <w:widowControl w:val="0"/>
              <w:pBdr>
                <w:top w:val="nil"/>
                <w:left w:val="nil"/>
                <w:bottom w:val="nil"/>
                <w:right w:val="nil"/>
                <w:between w:val="nil"/>
              </w:pBdr>
              <w:ind w:left="113" w:right="-57" w:hanging="113"/>
              <w:rPr>
                <w:b/>
                <w:smallCaps/>
                <w:color w:val="000000"/>
              </w:rPr>
            </w:pPr>
            <w:r>
              <w:rPr>
                <w:b/>
                <w:color w:val="0000FF"/>
              </w:rPr>
              <w:t> </w:t>
            </w:r>
          </w:p>
        </w:tc>
        <w:tc>
          <w:tcPr>
            <w:tcW w:w="1531" w:type="dxa"/>
            <w:tcBorders>
              <w:top w:val="single" w:sz="4" w:space="0" w:color="000000"/>
            </w:tcBorders>
            <w:vAlign w:val="bottom"/>
          </w:tcPr>
          <w:p w14:paraId="1661F454" w14:textId="77777777" w:rsidR="008E5DE4" w:rsidRDefault="008E5DE4">
            <w:pPr>
              <w:widowControl w:val="0"/>
              <w:pBdr>
                <w:top w:val="nil"/>
                <w:left w:val="nil"/>
                <w:bottom w:val="nil"/>
                <w:right w:val="nil"/>
                <w:between w:val="nil"/>
              </w:pBdr>
              <w:jc w:val="right"/>
              <w:rPr>
                <w:smallCaps/>
                <w:color w:val="000000"/>
              </w:rPr>
            </w:pPr>
          </w:p>
        </w:tc>
        <w:tc>
          <w:tcPr>
            <w:tcW w:w="1531" w:type="dxa"/>
            <w:tcBorders>
              <w:top w:val="single" w:sz="4" w:space="0" w:color="000000"/>
            </w:tcBorders>
            <w:vAlign w:val="bottom"/>
          </w:tcPr>
          <w:p w14:paraId="46E6F3E9" w14:textId="77777777" w:rsidR="008E5DE4" w:rsidRDefault="008E5DE4">
            <w:pPr>
              <w:widowControl w:val="0"/>
              <w:pBdr>
                <w:top w:val="nil"/>
                <w:left w:val="nil"/>
                <w:bottom w:val="nil"/>
                <w:right w:val="nil"/>
                <w:between w:val="nil"/>
              </w:pBdr>
              <w:jc w:val="right"/>
              <w:rPr>
                <w:b/>
                <w:smallCaps/>
                <w:color w:val="000000"/>
              </w:rPr>
            </w:pPr>
          </w:p>
        </w:tc>
      </w:tr>
      <w:tr w:rsidR="008E5DE4" w14:paraId="301F76C3" w14:textId="77777777">
        <w:trPr>
          <w:cantSplit/>
          <w:tblHeader/>
        </w:trPr>
        <w:tc>
          <w:tcPr>
            <w:tcW w:w="6293" w:type="dxa"/>
            <w:vAlign w:val="bottom"/>
          </w:tcPr>
          <w:p w14:paraId="0D169CAB"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EQUITY UNDER IFRS ACCOUNTING STANDARDS</w:t>
            </w:r>
          </w:p>
        </w:tc>
        <w:tc>
          <w:tcPr>
            <w:tcW w:w="1531" w:type="dxa"/>
            <w:vAlign w:val="bottom"/>
          </w:tcPr>
          <w:p w14:paraId="37851195" w14:textId="77777777" w:rsidR="008E5DE4" w:rsidRDefault="008E5DE4">
            <w:pPr>
              <w:widowControl w:val="0"/>
              <w:pBdr>
                <w:top w:val="nil"/>
                <w:left w:val="nil"/>
                <w:bottom w:val="nil"/>
                <w:right w:val="nil"/>
                <w:between w:val="nil"/>
              </w:pBdr>
              <w:jc w:val="right"/>
              <w:rPr>
                <w:smallCaps/>
                <w:color w:val="000000"/>
              </w:rPr>
            </w:pPr>
          </w:p>
        </w:tc>
        <w:tc>
          <w:tcPr>
            <w:tcW w:w="1531" w:type="dxa"/>
            <w:vAlign w:val="bottom"/>
          </w:tcPr>
          <w:p w14:paraId="07004338" w14:textId="77777777" w:rsidR="008E5DE4" w:rsidRDefault="008E5DE4">
            <w:pPr>
              <w:widowControl w:val="0"/>
              <w:pBdr>
                <w:top w:val="nil"/>
                <w:left w:val="nil"/>
                <w:bottom w:val="nil"/>
                <w:right w:val="nil"/>
                <w:between w:val="nil"/>
              </w:pBdr>
              <w:jc w:val="right"/>
              <w:rPr>
                <w:b/>
                <w:smallCaps/>
                <w:color w:val="000000"/>
              </w:rPr>
            </w:pPr>
          </w:p>
        </w:tc>
      </w:tr>
      <w:tr w:rsidR="008E5DE4" w14:paraId="416D7342" w14:textId="77777777">
        <w:trPr>
          <w:cantSplit/>
          <w:tblHeader/>
        </w:trPr>
        <w:tc>
          <w:tcPr>
            <w:tcW w:w="6293" w:type="dxa"/>
            <w:tcBorders>
              <w:bottom w:val="single" w:sz="12" w:space="0" w:color="000000"/>
            </w:tcBorders>
            <w:vAlign w:val="bottom"/>
          </w:tcPr>
          <w:p w14:paraId="421BF241"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531" w:type="dxa"/>
            <w:tcBorders>
              <w:bottom w:val="single" w:sz="12" w:space="0" w:color="000000"/>
            </w:tcBorders>
            <w:vAlign w:val="bottom"/>
          </w:tcPr>
          <w:p w14:paraId="4529722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620DAB31" w14:textId="77777777" w:rsidR="008E5DE4" w:rsidRDefault="008E5DE4">
            <w:pPr>
              <w:widowControl w:val="0"/>
              <w:pBdr>
                <w:top w:val="nil"/>
                <w:left w:val="nil"/>
                <w:bottom w:val="nil"/>
                <w:right w:val="nil"/>
                <w:between w:val="nil"/>
              </w:pBdr>
              <w:jc w:val="right"/>
              <w:rPr>
                <w:color w:val="000000"/>
              </w:rPr>
            </w:pPr>
          </w:p>
        </w:tc>
      </w:tr>
    </w:tbl>
    <w:p w14:paraId="1EEB7981" w14:textId="2DA44EAB" w:rsidR="008E5DE4" w:rsidRDefault="008E5DE4">
      <w:pPr>
        <w:widowControl w:val="0"/>
        <w:pBdr>
          <w:top w:val="nil"/>
          <w:left w:val="nil"/>
          <w:bottom w:val="nil"/>
          <w:right w:val="nil"/>
          <w:between w:val="nil"/>
        </w:pBdr>
        <w:spacing w:before="200" w:after="200"/>
        <w:jc w:val="both"/>
        <w:rPr>
          <w:i/>
          <w:color w:val="FF0000"/>
          <w:sz w:val="20"/>
          <w:szCs w:val="20"/>
        </w:rPr>
      </w:pPr>
    </w:p>
    <w:tbl>
      <w:tblPr>
        <w:tblStyle w:val="affffffffffffff9"/>
        <w:tblW w:w="9355" w:type="dxa"/>
        <w:tblLayout w:type="fixed"/>
        <w:tblLook w:val="0000" w:firstRow="0" w:lastRow="0" w:firstColumn="0" w:lastColumn="0" w:noHBand="0" w:noVBand="0"/>
      </w:tblPr>
      <w:tblGrid>
        <w:gridCol w:w="7824"/>
        <w:gridCol w:w="1531"/>
      </w:tblGrid>
      <w:tr w:rsidR="008E5DE4" w14:paraId="42C9CD11" w14:textId="77777777">
        <w:trPr>
          <w:cantSplit/>
        </w:trPr>
        <w:tc>
          <w:tcPr>
            <w:tcW w:w="7824" w:type="dxa"/>
            <w:tcBorders>
              <w:bottom w:val="single" w:sz="4" w:space="0" w:color="000000"/>
            </w:tcBorders>
            <w:vAlign w:val="bottom"/>
          </w:tcPr>
          <w:p w14:paraId="4AA10B20"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1531" w:type="dxa"/>
            <w:tcBorders>
              <w:bottom w:val="single" w:sz="4" w:space="0" w:color="000000"/>
            </w:tcBorders>
            <w:vAlign w:val="bottom"/>
          </w:tcPr>
          <w:p w14:paraId="1F34AC7C" w14:textId="35F3A091" w:rsidR="008E5DE4" w:rsidRDefault="00A46633">
            <w:pPr>
              <w:widowControl w:val="0"/>
              <w:pBdr>
                <w:top w:val="nil"/>
                <w:left w:val="nil"/>
                <w:bottom w:val="nil"/>
                <w:right w:val="nil"/>
                <w:between w:val="nil"/>
              </w:pBdr>
              <w:jc w:val="right"/>
              <w:rPr>
                <w:b/>
                <w:color w:val="000000"/>
              </w:rPr>
            </w:pPr>
            <w:r>
              <w:rPr>
                <w:b/>
                <w:color w:val="000000"/>
              </w:rPr>
              <w:t>2024</w:t>
            </w:r>
          </w:p>
        </w:tc>
      </w:tr>
      <w:tr w:rsidR="008E5DE4" w14:paraId="00147956" w14:textId="77777777">
        <w:trPr>
          <w:cantSplit/>
        </w:trPr>
        <w:tc>
          <w:tcPr>
            <w:tcW w:w="7824" w:type="dxa"/>
            <w:vAlign w:val="bottom"/>
          </w:tcPr>
          <w:p w14:paraId="52CCCB9C" w14:textId="77777777" w:rsidR="008E5DE4" w:rsidRDefault="00780368">
            <w:pPr>
              <w:widowControl w:val="0"/>
              <w:pBdr>
                <w:top w:val="nil"/>
                <w:left w:val="nil"/>
                <w:bottom w:val="nil"/>
                <w:right w:val="nil"/>
                <w:between w:val="nil"/>
              </w:pBdr>
              <w:ind w:left="113" w:right="-57" w:hanging="113"/>
              <w:rPr>
                <w:i/>
                <w:color w:val="000000"/>
              </w:rPr>
            </w:pPr>
            <w:r>
              <w:rPr>
                <w:i/>
                <w:color w:val="0000FF"/>
              </w:rPr>
              <w:t> </w:t>
            </w:r>
          </w:p>
        </w:tc>
        <w:tc>
          <w:tcPr>
            <w:tcW w:w="1531" w:type="dxa"/>
            <w:vAlign w:val="bottom"/>
          </w:tcPr>
          <w:p w14:paraId="15ABEFA0" w14:textId="77777777" w:rsidR="008E5DE4" w:rsidRDefault="008E5DE4">
            <w:pPr>
              <w:widowControl w:val="0"/>
              <w:pBdr>
                <w:top w:val="nil"/>
                <w:left w:val="nil"/>
                <w:bottom w:val="nil"/>
                <w:right w:val="nil"/>
                <w:between w:val="nil"/>
              </w:pBdr>
              <w:jc w:val="right"/>
              <w:rPr>
                <w:color w:val="000000"/>
              </w:rPr>
            </w:pPr>
          </w:p>
        </w:tc>
      </w:tr>
      <w:tr w:rsidR="008E5DE4" w14:paraId="520FB893" w14:textId="77777777">
        <w:trPr>
          <w:cantSplit/>
        </w:trPr>
        <w:tc>
          <w:tcPr>
            <w:tcW w:w="7824" w:type="dxa"/>
            <w:vAlign w:val="bottom"/>
          </w:tcPr>
          <w:p w14:paraId="2C7F922A"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PROFIT [LOSS] UNDER CAR</w:t>
            </w:r>
          </w:p>
        </w:tc>
        <w:tc>
          <w:tcPr>
            <w:tcW w:w="1531" w:type="dxa"/>
            <w:vAlign w:val="bottom"/>
          </w:tcPr>
          <w:p w14:paraId="35171865" w14:textId="77777777" w:rsidR="008E5DE4" w:rsidRDefault="008E5DE4">
            <w:pPr>
              <w:widowControl w:val="0"/>
              <w:pBdr>
                <w:top w:val="nil"/>
                <w:left w:val="nil"/>
                <w:bottom w:val="nil"/>
                <w:right w:val="nil"/>
                <w:between w:val="nil"/>
              </w:pBdr>
              <w:jc w:val="right"/>
              <w:rPr>
                <w:b/>
                <w:smallCaps/>
                <w:color w:val="000000"/>
              </w:rPr>
            </w:pPr>
          </w:p>
        </w:tc>
      </w:tr>
      <w:tr w:rsidR="008E5DE4" w14:paraId="13B6ED35" w14:textId="77777777">
        <w:trPr>
          <w:cantSplit/>
        </w:trPr>
        <w:tc>
          <w:tcPr>
            <w:tcW w:w="7824" w:type="dxa"/>
            <w:vAlign w:val="bottom"/>
          </w:tcPr>
          <w:p w14:paraId="4028D018"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531" w:type="dxa"/>
            <w:vAlign w:val="bottom"/>
          </w:tcPr>
          <w:p w14:paraId="78C409BF" w14:textId="77777777" w:rsidR="008E5DE4" w:rsidRDefault="008E5DE4">
            <w:pPr>
              <w:widowControl w:val="0"/>
              <w:pBdr>
                <w:top w:val="nil"/>
                <w:left w:val="nil"/>
                <w:bottom w:val="nil"/>
                <w:right w:val="nil"/>
                <w:between w:val="nil"/>
              </w:pBdr>
              <w:jc w:val="right"/>
              <w:rPr>
                <w:color w:val="000000"/>
              </w:rPr>
            </w:pPr>
          </w:p>
        </w:tc>
      </w:tr>
      <w:tr w:rsidR="008E5DE4" w14:paraId="6F9F85CC" w14:textId="77777777">
        <w:trPr>
          <w:cantSplit/>
        </w:trPr>
        <w:tc>
          <w:tcPr>
            <w:tcW w:w="7824" w:type="dxa"/>
            <w:vAlign w:val="bottom"/>
          </w:tcPr>
          <w:p w14:paraId="6BB6D7CD" w14:textId="77777777" w:rsidR="008E5DE4" w:rsidRDefault="00780368">
            <w:pPr>
              <w:widowControl w:val="0"/>
              <w:ind w:left="113" w:right="-57" w:hanging="113"/>
              <w:rPr>
                <w:b/>
                <w:i/>
              </w:rPr>
            </w:pPr>
            <w:r>
              <w:rPr>
                <w:b/>
                <w:i/>
              </w:rPr>
              <w:t>Effects of changes in accounting policies:</w:t>
            </w:r>
          </w:p>
        </w:tc>
        <w:tc>
          <w:tcPr>
            <w:tcW w:w="1531" w:type="dxa"/>
            <w:vAlign w:val="bottom"/>
          </w:tcPr>
          <w:p w14:paraId="6081D399" w14:textId="77777777" w:rsidR="008E5DE4" w:rsidRDefault="008E5DE4">
            <w:pPr>
              <w:widowControl w:val="0"/>
              <w:pBdr>
                <w:top w:val="nil"/>
                <w:left w:val="nil"/>
                <w:bottom w:val="nil"/>
                <w:right w:val="nil"/>
                <w:between w:val="nil"/>
              </w:pBdr>
              <w:jc w:val="right"/>
              <w:rPr>
                <w:color w:val="000000"/>
              </w:rPr>
            </w:pPr>
          </w:p>
        </w:tc>
      </w:tr>
      <w:tr w:rsidR="008E5DE4" w14:paraId="2A9A42B7" w14:textId="77777777">
        <w:trPr>
          <w:cantSplit/>
        </w:trPr>
        <w:tc>
          <w:tcPr>
            <w:tcW w:w="7824" w:type="dxa"/>
            <w:vAlign w:val="bottom"/>
          </w:tcPr>
          <w:p w14:paraId="55DCCE8E" w14:textId="77777777" w:rsidR="008E5DE4" w:rsidRDefault="00780368">
            <w:pPr>
              <w:widowControl w:val="0"/>
              <w:numPr>
                <w:ilvl w:val="0"/>
                <w:numId w:val="34"/>
              </w:numPr>
              <w:ind w:left="113" w:right="-57" w:hanging="113"/>
            </w:pPr>
            <w:r>
              <w:t xml:space="preserve">Consolidation of subsidiaries </w:t>
            </w:r>
          </w:p>
        </w:tc>
        <w:tc>
          <w:tcPr>
            <w:tcW w:w="1531" w:type="dxa"/>
            <w:vAlign w:val="bottom"/>
          </w:tcPr>
          <w:p w14:paraId="12ED09B6" w14:textId="77777777" w:rsidR="008E5DE4" w:rsidRDefault="008E5DE4">
            <w:pPr>
              <w:widowControl w:val="0"/>
              <w:pBdr>
                <w:top w:val="nil"/>
                <w:left w:val="nil"/>
                <w:bottom w:val="nil"/>
                <w:right w:val="nil"/>
                <w:between w:val="nil"/>
              </w:pBdr>
              <w:jc w:val="right"/>
              <w:rPr>
                <w:color w:val="000000"/>
              </w:rPr>
            </w:pPr>
          </w:p>
        </w:tc>
      </w:tr>
      <w:tr w:rsidR="008E5DE4" w14:paraId="18C46FB9" w14:textId="77777777">
        <w:trPr>
          <w:cantSplit/>
        </w:trPr>
        <w:tc>
          <w:tcPr>
            <w:tcW w:w="7824" w:type="dxa"/>
            <w:vAlign w:val="bottom"/>
          </w:tcPr>
          <w:p w14:paraId="7AFE37C6" w14:textId="77777777" w:rsidR="008E5DE4" w:rsidRDefault="00780368">
            <w:pPr>
              <w:widowControl w:val="0"/>
              <w:numPr>
                <w:ilvl w:val="0"/>
                <w:numId w:val="34"/>
              </w:numPr>
              <w:ind w:left="113" w:right="-57" w:hanging="113"/>
            </w:pPr>
            <w:r>
              <w:t>Depreciation: restatement of property, plant and equipment for hyperinflation</w:t>
            </w:r>
          </w:p>
        </w:tc>
        <w:tc>
          <w:tcPr>
            <w:tcW w:w="1531" w:type="dxa"/>
            <w:vAlign w:val="bottom"/>
          </w:tcPr>
          <w:p w14:paraId="05AEAA35" w14:textId="77777777" w:rsidR="008E5DE4" w:rsidRDefault="008E5DE4">
            <w:pPr>
              <w:widowControl w:val="0"/>
              <w:pBdr>
                <w:top w:val="nil"/>
                <w:left w:val="nil"/>
                <w:bottom w:val="nil"/>
                <w:right w:val="nil"/>
                <w:between w:val="nil"/>
              </w:pBdr>
              <w:jc w:val="right"/>
              <w:rPr>
                <w:color w:val="000000"/>
              </w:rPr>
            </w:pPr>
          </w:p>
        </w:tc>
      </w:tr>
      <w:tr w:rsidR="008E5DE4" w14:paraId="3E2BED96" w14:textId="77777777">
        <w:trPr>
          <w:cantSplit/>
        </w:trPr>
        <w:tc>
          <w:tcPr>
            <w:tcW w:w="7824" w:type="dxa"/>
            <w:vAlign w:val="bottom"/>
          </w:tcPr>
          <w:p w14:paraId="42FED616" w14:textId="77777777" w:rsidR="008E5DE4" w:rsidRDefault="00780368">
            <w:pPr>
              <w:widowControl w:val="0"/>
              <w:numPr>
                <w:ilvl w:val="0"/>
                <w:numId w:val="34"/>
              </w:numPr>
              <w:ind w:left="113" w:right="-57" w:hanging="113"/>
            </w:pPr>
            <w:r>
              <w:t>Depreciation: fair value as deemed cost</w:t>
            </w:r>
          </w:p>
        </w:tc>
        <w:tc>
          <w:tcPr>
            <w:tcW w:w="1531" w:type="dxa"/>
            <w:vAlign w:val="bottom"/>
          </w:tcPr>
          <w:p w14:paraId="4567E794" w14:textId="77777777" w:rsidR="008E5DE4" w:rsidRDefault="008E5DE4">
            <w:pPr>
              <w:widowControl w:val="0"/>
              <w:pBdr>
                <w:top w:val="nil"/>
                <w:left w:val="nil"/>
                <w:bottom w:val="nil"/>
                <w:right w:val="nil"/>
                <w:between w:val="nil"/>
              </w:pBdr>
              <w:jc w:val="right"/>
              <w:rPr>
                <w:color w:val="000000"/>
              </w:rPr>
            </w:pPr>
          </w:p>
        </w:tc>
      </w:tr>
      <w:tr w:rsidR="008E5DE4" w14:paraId="3F5A130B" w14:textId="77777777">
        <w:trPr>
          <w:cantSplit/>
        </w:trPr>
        <w:tc>
          <w:tcPr>
            <w:tcW w:w="7824" w:type="dxa"/>
            <w:vAlign w:val="bottom"/>
          </w:tcPr>
          <w:p w14:paraId="36465EA5" w14:textId="77777777" w:rsidR="008E5DE4" w:rsidRDefault="00780368">
            <w:pPr>
              <w:widowControl w:val="0"/>
              <w:numPr>
                <w:ilvl w:val="0"/>
                <w:numId w:val="34"/>
              </w:numPr>
              <w:ind w:left="113" w:right="-57" w:hanging="113"/>
            </w:pPr>
            <w:r>
              <w:t>Net impairment losses on financial and contract assets</w:t>
            </w:r>
          </w:p>
        </w:tc>
        <w:tc>
          <w:tcPr>
            <w:tcW w:w="1531" w:type="dxa"/>
            <w:vAlign w:val="bottom"/>
          </w:tcPr>
          <w:p w14:paraId="44A9C0E6" w14:textId="77777777" w:rsidR="008E5DE4" w:rsidRDefault="008E5DE4">
            <w:pPr>
              <w:widowControl w:val="0"/>
              <w:pBdr>
                <w:top w:val="nil"/>
                <w:left w:val="nil"/>
                <w:bottom w:val="nil"/>
                <w:right w:val="nil"/>
                <w:between w:val="nil"/>
              </w:pBdr>
              <w:jc w:val="right"/>
              <w:rPr>
                <w:color w:val="000000"/>
              </w:rPr>
            </w:pPr>
          </w:p>
        </w:tc>
      </w:tr>
      <w:tr w:rsidR="008E5DE4" w14:paraId="4B545F1C" w14:textId="77777777">
        <w:trPr>
          <w:cantSplit/>
        </w:trPr>
        <w:tc>
          <w:tcPr>
            <w:tcW w:w="7824" w:type="dxa"/>
            <w:vAlign w:val="bottom"/>
          </w:tcPr>
          <w:p w14:paraId="7D995E84" w14:textId="77777777" w:rsidR="008E5DE4" w:rsidRDefault="00780368">
            <w:pPr>
              <w:widowControl w:val="0"/>
              <w:numPr>
                <w:ilvl w:val="0"/>
                <w:numId w:val="34"/>
              </w:numPr>
              <w:ind w:left="113" w:right="-57" w:hanging="113"/>
            </w:pPr>
            <w:r>
              <w:t>Interest expense: effect of gains/(losses) on initial recognition</w:t>
            </w:r>
          </w:p>
        </w:tc>
        <w:tc>
          <w:tcPr>
            <w:tcW w:w="1531" w:type="dxa"/>
            <w:vAlign w:val="bottom"/>
          </w:tcPr>
          <w:p w14:paraId="7FCBDFC4" w14:textId="77777777" w:rsidR="008E5DE4" w:rsidRDefault="008E5DE4">
            <w:pPr>
              <w:widowControl w:val="0"/>
              <w:pBdr>
                <w:top w:val="nil"/>
                <w:left w:val="nil"/>
                <w:bottom w:val="nil"/>
                <w:right w:val="nil"/>
                <w:between w:val="nil"/>
              </w:pBdr>
              <w:jc w:val="right"/>
              <w:rPr>
                <w:color w:val="000000"/>
              </w:rPr>
            </w:pPr>
          </w:p>
        </w:tc>
      </w:tr>
      <w:tr w:rsidR="008E5DE4" w14:paraId="149508C1" w14:textId="77777777">
        <w:trPr>
          <w:cantSplit/>
        </w:trPr>
        <w:tc>
          <w:tcPr>
            <w:tcW w:w="7824" w:type="dxa"/>
            <w:vAlign w:val="bottom"/>
          </w:tcPr>
          <w:p w14:paraId="7ED18737" w14:textId="77777777" w:rsidR="008E5DE4" w:rsidRDefault="00780368">
            <w:pPr>
              <w:widowControl w:val="0"/>
              <w:numPr>
                <w:ilvl w:val="0"/>
                <w:numId w:val="34"/>
              </w:numPr>
              <w:ind w:left="113" w:right="-57" w:hanging="113"/>
            </w:pPr>
            <w:r>
              <w:t>[Investments in debt securities]: _____</w:t>
            </w:r>
          </w:p>
        </w:tc>
        <w:tc>
          <w:tcPr>
            <w:tcW w:w="1531" w:type="dxa"/>
            <w:vAlign w:val="bottom"/>
          </w:tcPr>
          <w:p w14:paraId="473D4536" w14:textId="77777777" w:rsidR="008E5DE4" w:rsidRDefault="008E5DE4">
            <w:pPr>
              <w:widowControl w:val="0"/>
              <w:pBdr>
                <w:top w:val="nil"/>
                <w:left w:val="nil"/>
                <w:bottom w:val="nil"/>
                <w:right w:val="nil"/>
                <w:between w:val="nil"/>
              </w:pBdr>
              <w:jc w:val="right"/>
              <w:rPr>
                <w:color w:val="000000"/>
              </w:rPr>
            </w:pPr>
          </w:p>
        </w:tc>
      </w:tr>
      <w:tr w:rsidR="008E5DE4" w14:paraId="3E7B00EB" w14:textId="77777777">
        <w:trPr>
          <w:cantSplit/>
        </w:trPr>
        <w:tc>
          <w:tcPr>
            <w:tcW w:w="7824" w:type="dxa"/>
            <w:vAlign w:val="bottom"/>
          </w:tcPr>
          <w:p w14:paraId="347D8950" w14:textId="77777777" w:rsidR="008E5DE4" w:rsidRDefault="00780368">
            <w:pPr>
              <w:widowControl w:val="0"/>
              <w:numPr>
                <w:ilvl w:val="0"/>
                <w:numId w:val="34"/>
              </w:numPr>
              <w:ind w:left="113" w:right="-57" w:hanging="113"/>
            </w:pPr>
            <w:r>
              <w:t>[Intangible assets]: _____</w:t>
            </w:r>
          </w:p>
        </w:tc>
        <w:tc>
          <w:tcPr>
            <w:tcW w:w="1531" w:type="dxa"/>
            <w:vAlign w:val="bottom"/>
          </w:tcPr>
          <w:p w14:paraId="4F099A8D" w14:textId="77777777" w:rsidR="008E5DE4" w:rsidRDefault="008E5DE4">
            <w:pPr>
              <w:widowControl w:val="0"/>
              <w:pBdr>
                <w:top w:val="nil"/>
                <w:left w:val="nil"/>
                <w:bottom w:val="nil"/>
                <w:right w:val="nil"/>
                <w:between w:val="nil"/>
              </w:pBdr>
              <w:jc w:val="right"/>
              <w:rPr>
                <w:color w:val="000000"/>
              </w:rPr>
            </w:pPr>
          </w:p>
        </w:tc>
      </w:tr>
      <w:tr w:rsidR="008E5DE4" w14:paraId="25F762A6" w14:textId="77777777">
        <w:trPr>
          <w:cantSplit/>
        </w:trPr>
        <w:tc>
          <w:tcPr>
            <w:tcW w:w="7824" w:type="dxa"/>
            <w:vAlign w:val="bottom"/>
          </w:tcPr>
          <w:p w14:paraId="0FDF0E37" w14:textId="77777777" w:rsidR="008E5DE4" w:rsidRDefault="00780368">
            <w:pPr>
              <w:widowControl w:val="0"/>
              <w:numPr>
                <w:ilvl w:val="0"/>
                <w:numId w:val="34"/>
              </w:numPr>
              <w:ind w:left="113" w:right="-57" w:hanging="113"/>
            </w:pPr>
            <w:r>
              <w:t>Deferred tax: recognition under the balance sheet liability method</w:t>
            </w:r>
          </w:p>
        </w:tc>
        <w:tc>
          <w:tcPr>
            <w:tcW w:w="1531" w:type="dxa"/>
            <w:vAlign w:val="bottom"/>
          </w:tcPr>
          <w:p w14:paraId="7B311B75" w14:textId="77777777" w:rsidR="008E5DE4" w:rsidRDefault="008E5DE4">
            <w:pPr>
              <w:widowControl w:val="0"/>
              <w:pBdr>
                <w:top w:val="nil"/>
                <w:left w:val="nil"/>
                <w:bottom w:val="nil"/>
                <w:right w:val="nil"/>
                <w:between w:val="nil"/>
              </w:pBdr>
              <w:jc w:val="right"/>
              <w:rPr>
                <w:color w:val="000000"/>
              </w:rPr>
            </w:pPr>
          </w:p>
        </w:tc>
      </w:tr>
      <w:tr w:rsidR="008E5DE4" w14:paraId="668281A1" w14:textId="77777777">
        <w:trPr>
          <w:cantSplit/>
        </w:trPr>
        <w:tc>
          <w:tcPr>
            <w:tcW w:w="7824" w:type="dxa"/>
            <w:vAlign w:val="bottom"/>
          </w:tcPr>
          <w:p w14:paraId="1E90399F" w14:textId="77777777" w:rsidR="008E5DE4" w:rsidRDefault="00780368">
            <w:pPr>
              <w:widowControl w:val="0"/>
              <w:numPr>
                <w:ilvl w:val="0"/>
                <w:numId w:val="34"/>
              </w:numPr>
              <w:ind w:left="113" w:right="-57" w:hanging="113"/>
            </w:pPr>
            <w:r>
              <w:t>Other: _____</w:t>
            </w:r>
          </w:p>
        </w:tc>
        <w:tc>
          <w:tcPr>
            <w:tcW w:w="1531" w:type="dxa"/>
            <w:vAlign w:val="bottom"/>
          </w:tcPr>
          <w:p w14:paraId="1DFF4EE6" w14:textId="77777777" w:rsidR="008E5DE4" w:rsidRDefault="008E5DE4">
            <w:pPr>
              <w:widowControl w:val="0"/>
              <w:pBdr>
                <w:top w:val="nil"/>
                <w:left w:val="nil"/>
                <w:bottom w:val="nil"/>
                <w:right w:val="nil"/>
                <w:between w:val="nil"/>
              </w:pBdr>
              <w:jc w:val="right"/>
              <w:rPr>
                <w:color w:val="000000"/>
              </w:rPr>
            </w:pPr>
          </w:p>
        </w:tc>
      </w:tr>
      <w:tr w:rsidR="008E5DE4" w14:paraId="79362369" w14:textId="77777777">
        <w:trPr>
          <w:cantSplit/>
        </w:trPr>
        <w:tc>
          <w:tcPr>
            <w:tcW w:w="7824" w:type="dxa"/>
            <w:vAlign w:val="bottom"/>
          </w:tcPr>
          <w:p w14:paraId="6CD0992E" w14:textId="77777777" w:rsidR="008E5DE4" w:rsidRDefault="00780368">
            <w:pPr>
              <w:widowControl w:val="0"/>
              <w:ind w:left="113" w:right="-57" w:hanging="113"/>
              <w:rPr>
                <w:b/>
                <w:i/>
              </w:rPr>
            </w:pPr>
            <w:r>
              <w:rPr>
                <w:color w:val="0000FF"/>
              </w:rPr>
              <w:t> </w:t>
            </w:r>
          </w:p>
        </w:tc>
        <w:tc>
          <w:tcPr>
            <w:tcW w:w="1531" w:type="dxa"/>
            <w:vAlign w:val="bottom"/>
          </w:tcPr>
          <w:p w14:paraId="199160AA" w14:textId="77777777" w:rsidR="008E5DE4" w:rsidRDefault="008E5DE4">
            <w:pPr>
              <w:widowControl w:val="0"/>
              <w:pBdr>
                <w:top w:val="nil"/>
                <w:left w:val="nil"/>
                <w:bottom w:val="nil"/>
                <w:right w:val="nil"/>
                <w:between w:val="nil"/>
              </w:pBdr>
              <w:jc w:val="right"/>
              <w:rPr>
                <w:color w:val="000000"/>
              </w:rPr>
            </w:pPr>
          </w:p>
        </w:tc>
      </w:tr>
      <w:tr w:rsidR="008E5DE4" w14:paraId="7748D987" w14:textId="77777777">
        <w:trPr>
          <w:cantSplit/>
        </w:trPr>
        <w:tc>
          <w:tcPr>
            <w:tcW w:w="7824" w:type="dxa"/>
            <w:vAlign w:val="bottom"/>
          </w:tcPr>
          <w:p w14:paraId="2CF96231" w14:textId="77777777" w:rsidR="008E5DE4" w:rsidRDefault="00780368">
            <w:pPr>
              <w:widowControl w:val="0"/>
              <w:ind w:left="113" w:right="-57" w:hanging="113"/>
              <w:rPr>
                <w:i/>
                <w:color w:val="FF0000"/>
              </w:rPr>
            </w:pPr>
            <w:r>
              <w:rPr>
                <w:b/>
                <w:i/>
              </w:rPr>
              <w:t>Corrections of errors:</w:t>
            </w:r>
          </w:p>
        </w:tc>
        <w:tc>
          <w:tcPr>
            <w:tcW w:w="1531" w:type="dxa"/>
            <w:vAlign w:val="bottom"/>
          </w:tcPr>
          <w:p w14:paraId="7638ACC4" w14:textId="77777777" w:rsidR="008E5DE4" w:rsidRDefault="008E5DE4">
            <w:pPr>
              <w:widowControl w:val="0"/>
              <w:pBdr>
                <w:top w:val="nil"/>
                <w:left w:val="nil"/>
                <w:bottom w:val="nil"/>
                <w:right w:val="nil"/>
                <w:between w:val="nil"/>
              </w:pBdr>
              <w:jc w:val="right"/>
              <w:rPr>
                <w:color w:val="000000"/>
              </w:rPr>
            </w:pPr>
          </w:p>
        </w:tc>
      </w:tr>
      <w:tr w:rsidR="008E5DE4" w14:paraId="56D6A337" w14:textId="77777777">
        <w:trPr>
          <w:cantSplit/>
        </w:trPr>
        <w:tc>
          <w:tcPr>
            <w:tcW w:w="7824" w:type="dxa"/>
            <w:vAlign w:val="bottom"/>
          </w:tcPr>
          <w:p w14:paraId="40CE19D6" w14:textId="77777777" w:rsidR="008E5DE4" w:rsidRDefault="00780368">
            <w:pPr>
              <w:widowControl w:val="0"/>
              <w:numPr>
                <w:ilvl w:val="0"/>
                <w:numId w:val="34"/>
              </w:numPr>
              <w:ind w:left="113" w:right="-57" w:hanging="113"/>
            </w:pPr>
            <w:r>
              <w:t>Correction of _____</w:t>
            </w:r>
          </w:p>
        </w:tc>
        <w:tc>
          <w:tcPr>
            <w:tcW w:w="1531" w:type="dxa"/>
            <w:vAlign w:val="bottom"/>
          </w:tcPr>
          <w:p w14:paraId="3DC20215" w14:textId="77777777" w:rsidR="008E5DE4" w:rsidRDefault="008E5DE4">
            <w:pPr>
              <w:widowControl w:val="0"/>
              <w:pBdr>
                <w:top w:val="nil"/>
                <w:left w:val="nil"/>
                <w:bottom w:val="nil"/>
                <w:right w:val="nil"/>
                <w:between w:val="nil"/>
              </w:pBdr>
              <w:jc w:val="right"/>
              <w:rPr>
                <w:color w:val="000000"/>
              </w:rPr>
            </w:pPr>
          </w:p>
        </w:tc>
      </w:tr>
      <w:tr w:rsidR="008E5DE4" w14:paraId="73A38EB9" w14:textId="77777777">
        <w:trPr>
          <w:cantSplit/>
        </w:trPr>
        <w:tc>
          <w:tcPr>
            <w:tcW w:w="7824" w:type="dxa"/>
            <w:tcBorders>
              <w:bottom w:val="single" w:sz="4" w:space="0" w:color="000000"/>
            </w:tcBorders>
            <w:vAlign w:val="bottom"/>
          </w:tcPr>
          <w:p w14:paraId="034048AE"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531" w:type="dxa"/>
            <w:tcBorders>
              <w:bottom w:val="single" w:sz="4" w:space="0" w:color="000000"/>
            </w:tcBorders>
            <w:vAlign w:val="bottom"/>
          </w:tcPr>
          <w:p w14:paraId="5430EA91" w14:textId="77777777" w:rsidR="008E5DE4" w:rsidRDefault="008E5DE4">
            <w:pPr>
              <w:widowControl w:val="0"/>
              <w:pBdr>
                <w:top w:val="nil"/>
                <w:left w:val="nil"/>
                <w:bottom w:val="nil"/>
                <w:right w:val="nil"/>
                <w:between w:val="nil"/>
              </w:pBdr>
              <w:jc w:val="right"/>
              <w:rPr>
                <w:color w:val="000000"/>
              </w:rPr>
            </w:pPr>
          </w:p>
        </w:tc>
      </w:tr>
      <w:tr w:rsidR="008E5DE4" w14:paraId="0C359366" w14:textId="77777777">
        <w:trPr>
          <w:cantSplit/>
        </w:trPr>
        <w:tc>
          <w:tcPr>
            <w:tcW w:w="7824" w:type="dxa"/>
            <w:tcBorders>
              <w:top w:val="single" w:sz="4" w:space="0" w:color="000000"/>
            </w:tcBorders>
            <w:vAlign w:val="bottom"/>
          </w:tcPr>
          <w:p w14:paraId="64A73C13" w14:textId="77777777" w:rsidR="008E5DE4" w:rsidRDefault="00780368">
            <w:pPr>
              <w:widowControl w:val="0"/>
              <w:pBdr>
                <w:top w:val="nil"/>
                <w:left w:val="nil"/>
                <w:bottom w:val="nil"/>
                <w:right w:val="nil"/>
                <w:between w:val="nil"/>
              </w:pBdr>
              <w:ind w:left="113" w:right="-57" w:hanging="113"/>
              <w:rPr>
                <w:b/>
                <w:smallCaps/>
                <w:color w:val="000000"/>
              </w:rPr>
            </w:pPr>
            <w:r>
              <w:rPr>
                <w:b/>
                <w:color w:val="0000FF"/>
              </w:rPr>
              <w:t> </w:t>
            </w:r>
          </w:p>
        </w:tc>
        <w:tc>
          <w:tcPr>
            <w:tcW w:w="1531" w:type="dxa"/>
            <w:tcBorders>
              <w:top w:val="single" w:sz="4" w:space="0" w:color="000000"/>
            </w:tcBorders>
            <w:vAlign w:val="bottom"/>
          </w:tcPr>
          <w:p w14:paraId="7EB8A241" w14:textId="77777777" w:rsidR="008E5DE4" w:rsidRDefault="008E5DE4">
            <w:pPr>
              <w:widowControl w:val="0"/>
              <w:pBdr>
                <w:top w:val="nil"/>
                <w:left w:val="nil"/>
                <w:bottom w:val="nil"/>
                <w:right w:val="nil"/>
                <w:between w:val="nil"/>
              </w:pBdr>
              <w:jc w:val="right"/>
              <w:rPr>
                <w:b/>
                <w:smallCaps/>
                <w:color w:val="000000"/>
              </w:rPr>
            </w:pPr>
          </w:p>
        </w:tc>
      </w:tr>
      <w:tr w:rsidR="008E5DE4" w14:paraId="1C80FEDF" w14:textId="77777777">
        <w:trPr>
          <w:cantSplit/>
        </w:trPr>
        <w:tc>
          <w:tcPr>
            <w:tcW w:w="7824" w:type="dxa"/>
            <w:vAlign w:val="bottom"/>
          </w:tcPr>
          <w:p w14:paraId="7E646639"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COMPREHENSIVE INCOME [LOSS] UNDER IFRS</w:t>
            </w:r>
            <w:r>
              <w:rPr>
                <w:b/>
                <w:color w:val="000000"/>
              </w:rPr>
              <w:t xml:space="preserve"> </w:t>
            </w:r>
            <w:r>
              <w:rPr>
                <w:b/>
                <w:smallCaps/>
                <w:color w:val="000000"/>
              </w:rPr>
              <w:t>ACCOUNTING STANDARDS</w:t>
            </w:r>
          </w:p>
        </w:tc>
        <w:tc>
          <w:tcPr>
            <w:tcW w:w="1531" w:type="dxa"/>
            <w:vAlign w:val="bottom"/>
          </w:tcPr>
          <w:p w14:paraId="6CB2A56C" w14:textId="77777777" w:rsidR="008E5DE4" w:rsidRDefault="008E5DE4">
            <w:pPr>
              <w:widowControl w:val="0"/>
              <w:pBdr>
                <w:top w:val="nil"/>
                <w:left w:val="nil"/>
                <w:bottom w:val="nil"/>
                <w:right w:val="nil"/>
                <w:between w:val="nil"/>
              </w:pBdr>
              <w:jc w:val="right"/>
              <w:rPr>
                <w:b/>
                <w:smallCaps/>
                <w:color w:val="000000"/>
              </w:rPr>
            </w:pPr>
          </w:p>
        </w:tc>
      </w:tr>
      <w:tr w:rsidR="008E5DE4" w14:paraId="6B146CD6" w14:textId="77777777">
        <w:trPr>
          <w:cantSplit/>
        </w:trPr>
        <w:tc>
          <w:tcPr>
            <w:tcW w:w="7824" w:type="dxa"/>
            <w:tcBorders>
              <w:bottom w:val="single" w:sz="12" w:space="0" w:color="000000"/>
            </w:tcBorders>
            <w:vAlign w:val="bottom"/>
          </w:tcPr>
          <w:p w14:paraId="1BBE7460" w14:textId="77777777" w:rsidR="008E5DE4" w:rsidRDefault="00780368">
            <w:pPr>
              <w:widowControl w:val="0"/>
              <w:pBdr>
                <w:top w:val="nil"/>
                <w:left w:val="nil"/>
                <w:bottom w:val="nil"/>
                <w:right w:val="nil"/>
                <w:between w:val="nil"/>
              </w:pBdr>
              <w:ind w:left="113" w:right="-57" w:hanging="113"/>
              <w:rPr>
                <w:color w:val="000000"/>
              </w:rPr>
            </w:pPr>
            <w:r>
              <w:rPr>
                <w:color w:val="0000FF"/>
              </w:rPr>
              <w:t> </w:t>
            </w:r>
          </w:p>
        </w:tc>
        <w:tc>
          <w:tcPr>
            <w:tcW w:w="1531" w:type="dxa"/>
            <w:tcBorders>
              <w:bottom w:val="single" w:sz="12" w:space="0" w:color="000000"/>
            </w:tcBorders>
            <w:vAlign w:val="bottom"/>
          </w:tcPr>
          <w:p w14:paraId="748345A9" w14:textId="77777777" w:rsidR="008E5DE4" w:rsidRDefault="008E5DE4">
            <w:pPr>
              <w:widowControl w:val="0"/>
              <w:pBdr>
                <w:top w:val="nil"/>
                <w:left w:val="nil"/>
                <w:bottom w:val="nil"/>
                <w:right w:val="nil"/>
                <w:between w:val="nil"/>
              </w:pBdr>
              <w:jc w:val="right"/>
              <w:rPr>
                <w:color w:val="000000"/>
              </w:rPr>
            </w:pPr>
          </w:p>
        </w:tc>
      </w:tr>
    </w:tbl>
    <w:p w14:paraId="09A0451B" w14:textId="036B4589"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key adjustments for the differences between CAR and IFRS</w:t>
      </w:r>
      <w:r>
        <w:rPr>
          <w:color w:val="000000"/>
        </w:rPr>
        <w:t xml:space="preserve"> </w:t>
      </w:r>
      <w:r>
        <w:rPr>
          <w:color w:val="000000"/>
          <w:sz w:val="20"/>
          <w:szCs w:val="20"/>
        </w:rPr>
        <w:t>Accounting Standards were attributable to the following:</w:t>
      </w:r>
    </w:p>
    <w:p w14:paraId="6487DDEB" w14:textId="455747F9" w:rsidR="008E5DE4" w:rsidRDefault="00780368">
      <w:pPr>
        <w:widowControl w:val="0"/>
        <w:numPr>
          <w:ilvl w:val="0"/>
          <w:numId w:val="31"/>
        </w:numPr>
        <w:pBdr>
          <w:top w:val="nil"/>
          <w:left w:val="nil"/>
          <w:bottom w:val="nil"/>
          <w:right w:val="nil"/>
          <w:between w:val="nil"/>
        </w:pBdr>
        <w:spacing w:before="200" w:after="200"/>
        <w:ind w:left="0" w:firstLine="0"/>
        <w:jc w:val="both"/>
        <w:rPr>
          <w:color w:val="000000"/>
          <w:sz w:val="20"/>
          <w:szCs w:val="20"/>
        </w:rPr>
      </w:pPr>
      <w:r>
        <w:rPr>
          <w:b/>
          <w:i/>
          <w:color w:val="000000"/>
          <w:sz w:val="20"/>
          <w:szCs w:val="20"/>
        </w:rPr>
        <w:t xml:space="preserve">Consolidation of subsidiaries. </w:t>
      </w:r>
      <w:r>
        <w:rPr>
          <w:color w:val="000000"/>
          <w:sz w:val="20"/>
          <w:szCs w:val="20"/>
        </w:rPr>
        <w:t xml:space="preserve">The Company’s </w:t>
      </w:r>
      <w:r>
        <w:rPr>
          <w:color w:val="0000FF"/>
          <w:sz w:val="20"/>
          <w:szCs w:val="20"/>
        </w:rPr>
        <w:t>[Country]</w:t>
      </w:r>
      <w:r>
        <w:rPr>
          <w:color w:val="000000"/>
          <w:sz w:val="20"/>
          <w:szCs w:val="20"/>
        </w:rPr>
        <w:t xml:space="preserve"> statutory financial statements include only assets, liabilities, equity and income and expense items of the Company. IFRS 10 “Consolidated Financial Statements” requires consolidation of all subsidiaries. </w:t>
      </w:r>
    </w:p>
    <w:p w14:paraId="4B597AA7" w14:textId="77777777" w:rsidR="008E5DE4" w:rsidRDefault="00780368">
      <w:pPr>
        <w:keepLines/>
        <w:widowControl w:val="0"/>
        <w:numPr>
          <w:ilvl w:val="0"/>
          <w:numId w:val="31"/>
        </w:numPr>
        <w:pBdr>
          <w:top w:val="nil"/>
          <w:left w:val="nil"/>
          <w:bottom w:val="nil"/>
          <w:right w:val="nil"/>
          <w:between w:val="nil"/>
        </w:pBdr>
        <w:spacing w:before="200" w:after="200"/>
        <w:ind w:left="567" w:hanging="567"/>
        <w:jc w:val="both"/>
        <w:rPr>
          <w:color w:val="000000"/>
          <w:sz w:val="20"/>
          <w:szCs w:val="20"/>
        </w:rPr>
      </w:pPr>
      <w:r>
        <w:rPr>
          <w:b/>
          <w:i/>
          <w:color w:val="000000"/>
          <w:sz w:val="20"/>
          <w:szCs w:val="20"/>
        </w:rPr>
        <w:lastRenderedPageBreak/>
        <w:t>Property, plant and equipment: restatement for hyperinflation</w:t>
      </w:r>
      <w:r>
        <w:rPr>
          <w:color w:val="000000"/>
          <w:sz w:val="20"/>
          <w:szCs w:val="20"/>
        </w:rPr>
        <w:t xml:space="preserve">. </w:t>
      </w:r>
      <w:r>
        <w:rPr>
          <w:color w:val="0000FF"/>
          <w:sz w:val="20"/>
          <w:szCs w:val="20"/>
        </w:rPr>
        <w:t>[Country]</w:t>
      </w:r>
      <w:r>
        <w:rPr>
          <w:color w:val="000000"/>
          <w:sz w:val="20"/>
          <w:szCs w:val="20"/>
        </w:rPr>
        <w:t xml:space="preserve"> has previously experienced relatively high levels of inflation and </w:t>
      </w:r>
      <w:proofErr w:type="gramStart"/>
      <w:r>
        <w:rPr>
          <w:color w:val="000000"/>
          <w:sz w:val="20"/>
          <w:szCs w:val="20"/>
        </w:rPr>
        <w:t>was considered to be</w:t>
      </w:r>
      <w:proofErr w:type="gramEnd"/>
      <w:r>
        <w:rPr>
          <w:color w:val="000000"/>
          <w:sz w:val="20"/>
          <w:szCs w:val="20"/>
        </w:rPr>
        <w:t xml:space="preserve"> hyperinflationary as defined by IAS 29. As part of the Group’s transition to IFRS</w:t>
      </w:r>
      <w:r>
        <w:rPr>
          <w:color w:val="000000"/>
        </w:rPr>
        <w:t xml:space="preserve"> </w:t>
      </w:r>
      <w:r>
        <w:rPr>
          <w:color w:val="000000"/>
          <w:sz w:val="20"/>
          <w:szCs w:val="20"/>
        </w:rPr>
        <w:t xml:space="preserve">Accounting Standards, non-monetary assets, non-monetary liabilities and equity items arising from transactions prior to 1 January 2003 were restated in accordance with IAS 29 for the changes in the general purchasing power of the EUR from the dates of the transactions until 31 December 2002. The amounts expressed in the measuring unit current as </w:t>
      </w:r>
      <w:proofErr w:type="gramStart"/>
      <w:r>
        <w:rPr>
          <w:color w:val="000000"/>
          <w:sz w:val="20"/>
          <w:szCs w:val="20"/>
        </w:rPr>
        <w:t>at</w:t>
      </w:r>
      <w:proofErr w:type="gramEnd"/>
      <w:r>
        <w:rPr>
          <w:color w:val="000000"/>
          <w:sz w:val="20"/>
          <w:szCs w:val="20"/>
        </w:rPr>
        <w:t xml:space="preserve"> 31 December 2002 are treated as the basis for the carrying amounts in these consolidated financial statements. As the characteristics of the economic environment of </w:t>
      </w:r>
      <w:r>
        <w:rPr>
          <w:color w:val="0000FF"/>
          <w:sz w:val="20"/>
          <w:szCs w:val="20"/>
        </w:rPr>
        <w:t>[Country]</w:t>
      </w:r>
      <w:r>
        <w:rPr>
          <w:color w:val="000000"/>
          <w:sz w:val="20"/>
          <w:szCs w:val="20"/>
        </w:rPr>
        <w:t xml:space="preserve"> indicate that hyperinflation has ceased, transactions after 1 January 2003 are not subject to restatement in accordance with the provisions of IAS 29.</w:t>
      </w:r>
    </w:p>
    <w:p w14:paraId="42C3434B" w14:textId="3341AFEB" w:rsidR="008E5DE4" w:rsidRDefault="00780368">
      <w:pPr>
        <w:widowControl w:val="0"/>
        <w:numPr>
          <w:ilvl w:val="0"/>
          <w:numId w:val="31"/>
        </w:numPr>
        <w:pBdr>
          <w:top w:val="nil"/>
          <w:left w:val="nil"/>
          <w:bottom w:val="nil"/>
          <w:right w:val="nil"/>
          <w:between w:val="nil"/>
        </w:pBdr>
        <w:spacing w:before="200" w:after="200"/>
        <w:ind w:left="567" w:hanging="567"/>
        <w:jc w:val="both"/>
        <w:rPr>
          <w:color w:val="000000"/>
          <w:sz w:val="20"/>
          <w:szCs w:val="20"/>
        </w:rPr>
      </w:pPr>
      <w:r>
        <w:rPr>
          <w:b/>
          <w:i/>
          <w:color w:val="000000"/>
          <w:sz w:val="20"/>
          <w:szCs w:val="20"/>
        </w:rPr>
        <w:t xml:space="preserve">Property, plant and equipment: fair value as deemed cost. </w:t>
      </w:r>
      <w:r>
        <w:rPr>
          <w:color w:val="000000"/>
          <w:sz w:val="20"/>
          <w:szCs w:val="20"/>
        </w:rPr>
        <w:t xml:space="preserve">The Group has elected to measure </w:t>
      </w:r>
      <w:r>
        <w:rPr>
          <w:color w:val="0000FF"/>
          <w:sz w:val="20"/>
          <w:szCs w:val="20"/>
        </w:rPr>
        <w:t>[equipment]</w:t>
      </w:r>
      <w:r>
        <w:rPr>
          <w:color w:val="3366FF"/>
          <w:sz w:val="20"/>
          <w:szCs w:val="20"/>
        </w:rPr>
        <w:t xml:space="preserve"> </w:t>
      </w:r>
      <w:r>
        <w:rPr>
          <w:color w:val="000000"/>
          <w:sz w:val="20"/>
          <w:szCs w:val="20"/>
        </w:rPr>
        <w:t xml:space="preserve">at fair value of EUR_____ thousand </w:t>
      </w:r>
      <w:proofErr w:type="gramStart"/>
      <w:r>
        <w:rPr>
          <w:color w:val="000000"/>
          <w:sz w:val="20"/>
          <w:szCs w:val="20"/>
        </w:rPr>
        <w:t>at</w:t>
      </w:r>
      <w:proofErr w:type="gramEnd"/>
      <w:r>
        <w:rPr>
          <w:color w:val="000000"/>
          <w:sz w:val="20"/>
          <w:szCs w:val="20"/>
        </w:rPr>
        <w:t xml:space="preserve"> 1 January </w:t>
      </w:r>
      <w:r w:rsidR="00A46633">
        <w:rPr>
          <w:color w:val="000000"/>
          <w:sz w:val="20"/>
          <w:szCs w:val="20"/>
        </w:rPr>
        <w:t>2024</w:t>
      </w:r>
      <w:r>
        <w:rPr>
          <w:color w:val="000000"/>
          <w:sz w:val="20"/>
          <w:szCs w:val="20"/>
        </w:rPr>
        <w:t xml:space="preserve">. This fair value represents the </w:t>
      </w:r>
      <w:proofErr w:type="gramStart"/>
      <w:r>
        <w:rPr>
          <w:color w:val="000000"/>
          <w:sz w:val="20"/>
          <w:szCs w:val="20"/>
        </w:rPr>
        <w:t>assets’</w:t>
      </w:r>
      <w:proofErr w:type="gramEnd"/>
      <w:r>
        <w:rPr>
          <w:color w:val="000000"/>
          <w:sz w:val="20"/>
          <w:szCs w:val="20"/>
        </w:rPr>
        <w:t xml:space="preserve"> deemed cost and is the basis for future depreciation.</w:t>
      </w:r>
    </w:p>
    <w:p w14:paraId="57F959EE" w14:textId="407105EE" w:rsidR="008E5DE4" w:rsidRDefault="00780368">
      <w:pPr>
        <w:widowControl w:val="0"/>
        <w:numPr>
          <w:ilvl w:val="0"/>
          <w:numId w:val="31"/>
        </w:numPr>
        <w:pBdr>
          <w:top w:val="nil"/>
          <w:left w:val="nil"/>
          <w:bottom w:val="nil"/>
          <w:right w:val="nil"/>
          <w:between w:val="nil"/>
        </w:pBdr>
        <w:spacing w:before="200" w:after="200"/>
        <w:ind w:left="567" w:hanging="567"/>
        <w:jc w:val="both"/>
        <w:rPr>
          <w:color w:val="000000"/>
          <w:sz w:val="20"/>
          <w:szCs w:val="20"/>
        </w:rPr>
      </w:pPr>
      <w:r>
        <w:rPr>
          <w:b/>
          <w:i/>
          <w:color w:val="000000"/>
          <w:sz w:val="20"/>
          <w:szCs w:val="20"/>
        </w:rPr>
        <w:t>Net impairment losses on financial and contract assets:</w:t>
      </w:r>
      <w:r>
        <w:rPr>
          <w:color w:val="000000"/>
          <w:sz w:val="20"/>
          <w:szCs w:val="20"/>
        </w:rPr>
        <w:t xml:space="preserve"> ______________</w:t>
      </w:r>
      <w:r>
        <w:rPr>
          <w:b/>
          <w:i/>
          <w:color w:val="000000"/>
          <w:sz w:val="20"/>
          <w:szCs w:val="20"/>
        </w:rPr>
        <w:t>.</w:t>
      </w:r>
      <w:r>
        <w:rPr>
          <w:color w:val="000000"/>
          <w:sz w:val="20"/>
          <w:szCs w:val="20"/>
        </w:rPr>
        <w:t xml:space="preserve"> </w:t>
      </w:r>
    </w:p>
    <w:p w14:paraId="13FBD675" w14:textId="77777777" w:rsidR="008E5DE4" w:rsidRDefault="00780368">
      <w:pPr>
        <w:widowControl w:val="0"/>
        <w:numPr>
          <w:ilvl w:val="0"/>
          <w:numId w:val="31"/>
        </w:numPr>
        <w:pBdr>
          <w:top w:val="nil"/>
          <w:left w:val="nil"/>
          <w:bottom w:val="nil"/>
          <w:right w:val="nil"/>
          <w:between w:val="nil"/>
        </w:pBdr>
        <w:spacing w:before="200" w:after="200"/>
        <w:ind w:left="567" w:hanging="567"/>
        <w:jc w:val="both"/>
        <w:rPr>
          <w:color w:val="000000"/>
          <w:sz w:val="20"/>
          <w:szCs w:val="20"/>
        </w:rPr>
      </w:pPr>
      <w:r>
        <w:rPr>
          <w:b/>
          <w:i/>
          <w:color w:val="000000"/>
          <w:sz w:val="20"/>
          <w:szCs w:val="20"/>
        </w:rPr>
        <w:t xml:space="preserve">Borrowings: gains/(losses) on initial recognition. </w:t>
      </w:r>
      <w:r>
        <w:rPr>
          <w:color w:val="000000"/>
          <w:sz w:val="20"/>
          <w:szCs w:val="20"/>
        </w:rPr>
        <w:t>Under CAR low or zero interest bearing loans issued solely for cash and if no other right or privilege is exchanged, are recognised at transaction price. Conversely, IFRS</w:t>
      </w:r>
      <w:r>
        <w:rPr>
          <w:color w:val="000000"/>
        </w:rPr>
        <w:t xml:space="preserve"> </w:t>
      </w:r>
      <w:r>
        <w:rPr>
          <w:color w:val="000000"/>
          <w:sz w:val="20"/>
          <w:szCs w:val="20"/>
        </w:rPr>
        <w:t>Accounting Standards requires initial recognition of the loan at its fair value plus transactions costs and the difference to transaction price is recognised in profit or loss immediately unless it qualifies for recognition as an asset or liability under other applicable IFRS</w:t>
      </w:r>
      <w:r>
        <w:rPr>
          <w:color w:val="000000"/>
        </w:rPr>
        <w:t xml:space="preserve"> </w:t>
      </w:r>
      <w:r>
        <w:rPr>
          <w:color w:val="000000"/>
          <w:sz w:val="20"/>
          <w:szCs w:val="20"/>
        </w:rPr>
        <w:t>Accounting Standards.</w:t>
      </w:r>
    </w:p>
    <w:p w14:paraId="3F5EF58F" w14:textId="4AFD5992" w:rsidR="008E5DE4" w:rsidRDefault="00780368">
      <w:pPr>
        <w:widowControl w:val="0"/>
        <w:numPr>
          <w:ilvl w:val="0"/>
          <w:numId w:val="31"/>
        </w:numPr>
        <w:pBdr>
          <w:top w:val="nil"/>
          <w:left w:val="nil"/>
          <w:bottom w:val="nil"/>
          <w:right w:val="nil"/>
          <w:between w:val="nil"/>
        </w:pBdr>
        <w:spacing w:before="200" w:after="200"/>
        <w:ind w:left="567" w:hanging="567"/>
        <w:jc w:val="both"/>
        <w:rPr>
          <w:color w:val="000000"/>
          <w:sz w:val="20"/>
          <w:szCs w:val="20"/>
        </w:rPr>
      </w:pPr>
      <w:r>
        <w:rPr>
          <w:b/>
          <w:i/>
          <w:color w:val="000000"/>
          <w:sz w:val="20"/>
          <w:szCs w:val="20"/>
        </w:rPr>
        <w:t>Investments in debt securities</w:t>
      </w:r>
      <w:r>
        <w:rPr>
          <w:color w:val="000000"/>
          <w:sz w:val="20"/>
          <w:szCs w:val="20"/>
        </w:rPr>
        <w:t>: _____</w:t>
      </w:r>
      <w:r>
        <w:rPr>
          <w:b/>
          <w:i/>
          <w:color w:val="000000"/>
          <w:sz w:val="20"/>
          <w:szCs w:val="20"/>
        </w:rPr>
        <w:t>.</w:t>
      </w:r>
      <w:r>
        <w:rPr>
          <w:color w:val="000000"/>
          <w:sz w:val="20"/>
          <w:szCs w:val="20"/>
        </w:rPr>
        <w:t xml:space="preserve"> </w:t>
      </w:r>
    </w:p>
    <w:p w14:paraId="38FF4B7D" w14:textId="74621545" w:rsidR="008E5DE4" w:rsidRDefault="00780368">
      <w:pPr>
        <w:widowControl w:val="0"/>
        <w:numPr>
          <w:ilvl w:val="0"/>
          <w:numId w:val="31"/>
        </w:numPr>
        <w:pBdr>
          <w:top w:val="nil"/>
          <w:left w:val="nil"/>
          <w:bottom w:val="nil"/>
          <w:right w:val="nil"/>
          <w:between w:val="nil"/>
        </w:pBdr>
        <w:spacing w:before="200" w:after="200"/>
        <w:ind w:left="567" w:hanging="567"/>
        <w:jc w:val="both"/>
        <w:rPr>
          <w:color w:val="000000"/>
          <w:sz w:val="20"/>
          <w:szCs w:val="20"/>
        </w:rPr>
      </w:pPr>
      <w:r>
        <w:rPr>
          <w:b/>
          <w:i/>
          <w:color w:val="000000"/>
          <w:sz w:val="20"/>
          <w:szCs w:val="20"/>
        </w:rPr>
        <w:t>Intangible assets</w:t>
      </w:r>
      <w:r>
        <w:rPr>
          <w:color w:val="000000"/>
          <w:sz w:val="20"/>
          <w:szCs w:val="20"/>
        </w:rPr>
        <w:t>: _____</w:t>
      </w:r>
      <w:r>
        <w:rPr>
          <w:b/>
          <w:i/>
          <w:color w:val="000000"/>
          <w:sz w:val="20"/>
          <w:szCs w:val="20"/>
        </w:rPr>
        <w:t xml:space="preserve"> </w:t>
      </w:r>
    </w:p>
    <w:p w14:paraId="34FFBA66" w14:textId="71D6F319" w:rsidR="008E5DE4" w:rsidRDefault="00780368">
      <w:pPr>
        <w:widowControl w:val="0"/>
        <w:numPr>
          <w:ilvl w:val="0"/>
          <w:numId w:val="31"/>
        </w:numPr>
        <w:pBdr>
          <w:top w:val="nil"/>
          <w:left w:val="nil"/>
          <w:bottom w:val="nil"/>
          <w:right w:val="nil"/>
          <w:between w:val="nil"/>
        </w:pBdr>
        <w:spacing w:before="200" w:after="200"/>
        <w:ind w:left="567" w:hanging="567"/>
        <w:jc w:val="both"/>
        <w:rPr>
          <w:color w:val="000000"/>
          <w:sz w:val="20"/>
          <w:szCs w:val="20"/>
        </w:rPr>
      </w:pPr>
      <w:r>
        <w:rPr>
          <w:b/>
          <w:i/>
          <w:color w:val="000000"/>
          <w:sz w:val="20"/>
          <w:szCs w:val="20"/>
        </w:rPr>
        <w:t xml:space="preserve">Deferred tax: recognition under the balance sheet liability method. </w:t>
      </w:r>
      <w:r>
        <w:rPr>
          <w:color w:val="000000"/>
          <w:sz w:val="20"/>
          <w:szCs w:val="20"/>
        </w:rPr>
        <w:t xml:space="preserve">The adjustment was required to recognise deferred taxes under the balance sheet liability method for temporary differences detailed in Note 39. </w:t>
      </w:r>
    </w:p>
    <w:p w14:paraId="519EB98A" w14:textId="5E38E9CF" w:rsidR="008E5DE4" w:rsidRDefault="00780368">
      <w:pPr>
        <w:widowControl w:val="0"/>
        <w:numPr>
          <w:ilvl w:val="0"/>
          <w:numId w:val="31"/>
        </w:numPr>
        <w:pBdr>
          <w:top w:val="nil"/>
          <w:left w:val="nil"/>
          <w:bottom w:val="nil"/>
          <w:right w:val="nil"/>
          <w:between w:val="nil"/>
        </w:pBdr>
        <w:spacing w:before="200" w:after="200"/>
        <w:ind w:left="567" w:hanging="567"/>
        <w:jc w:val="both"/>
        <w:rPr>
          <w:color w:val="000000"/>
          <w:sz w:val="20"/>
          <w:szCs w:val="20"/>
        </w:rPr>
      </w:pPr>
      <w:r>
        <w:rPr>
          <w:b/>
          <w:i/>
          <w:color w:val="000000"/>
          <w:sz w:val="20"/>
          <w:szCs w:val="20"/>
        </w:rPr>
        <w:t>Other</w:t>
      </w:r>
      <w:r>
        <w:rPr>
          <w:color w:val="000000"/>
          <w:sz w:val="20"/>
          <w:szCs w:val="20"/>
        </w:rPr>
        <w:t xml:space="preserve">: _____. …. </w:t>
      </w:r>
    </w:p>
    <w:p w14:paraId="5140BED8" w14:textId="486EA169" w:rsidR="008E5DE4" w:rsidRDefault="00780368">
      <w:pPr>
        <w:widowControl w:val="0"/>
        <w:numPr>
          <w:ilvl w:val="0"/>
          <w:numId w:val="31"/>
        </w:numPr>
        <w:pBdr>
          <w:top w:val="nil"/>
          <w:left w:val="nil"/>
          <w:bottom w:val="nil"/>
          <w:right w:val="nil"/>
          <w:between w:val="nil"/>
        </w:pBdr>
        <w:spacing w:before="200" w:after="200"/>
        <w:ind w:left="567" w:hanging="567"/>
        <w:jc w:val="both"/>
        <w:rPr>
          <w:color w:val="000000"/>
          <w:sz w:val="20"/>
          <w:szCs w:val="20"/>
        </w:rPr>
      </w:pPr>
      <w:r>
        <w:rPr>
          <w:b/>
          <w:i/>
          <w:color w:val="000000"/>
          <w:sz w:val="20"/>
          <w:szCs w:val="20"/>
        </w:rPr>
        <w:t xml:space="preserve">Correction of _____. </w:t>
      </w:r>
    </w:p>
    <w:p w14:paraId="3BE64AE5" w14:textId="5D5DBFDD" w:rsidR="008E5DE4" w:rsidRDefault="00780368">
      <w:pPr>
        <w:widowControl w:val="0"/>
        <w:pBdr>
          <w:top w:val="nil"/>
          <w:left w:val="nil"/>
          <w:bottom w:val="nil"/>
          <w:right w:val="nil"/>
          <w:between w:val="nil"/>
        </w:pBdr>
        <w:spacing w:before="200" w:after="200"/>
        <w:jc w:val="both"/>
        <w:rPr>
          <w:i/>
          <w:color w:val="FF0000"/>
          <w:sz w:val="20"/>
          <w:szCs w:val="20"/>
        </w:rPr>
      </w:pPr>
      <w:r>
        <w:rPr>
          <w:color w:val="000000"/>
          <w:sz w:val="20"/>
          <w:szCs w:val="20"/>
        </w:rPr>
        <w:t>The Group’s operating, investing and financing cash flows reported under [</w:t>
      </w:r>
      <w:r>
        <w:rPr>
          <w:color w:val="0000FF"/>
          <w:sz w:val="20"/>
          <w:szCs w:val="20"/>
        </w:rPr>
        <w:t>Country]</w:t>
      </w:r>
      <w:r>
        <w:rPr>
          <w:color w:val="000000"/>
          <w:sz w:val="20"/>
          <w:szCs w:val="20"/>
        </w:rPr>
        <w:t xml:space="preserve"> Accounting </w:t>
      </w:r>
      <w:proofErr w:type="gramStart"/>
      <w:r>
        <w:rPr>
          <w:color w:val="000000"/>
          <w:sz w:val="20"/>
          <w:szCs w:val="20"/>
        </w:rPr>
        <w:t>Regulation  did</w:t>
      </w:r>
      <w:proofErr w:type="gramEnd"/>
      <w:r>
        <w:rPr>
          <w:color w:val="000000"/>
          <w:sz w:val="20"/>
          <w:szCs w:val="20"/>
        </w:rPr>
        <w:t xml:space="preserve"> not significantly differ from IFRS</w:t>
      </w:r>
      <w:r>
        <w:rPr>
          <w:color w:val="000000"/>
        </w:rPr>
        <w:t xml:space="preserve"> </w:t>
      </w:r>
      <w:r>
        <w:rPr>
          <w:color w:val="000000"/>
          <w:sz w:val="20"/>
          <w:szCs w:val="20"/>
        </w:rPr>
        <w:t>Accounting Standards.</w:t>
      </w:r>
    </w:p>
    <w:p w14:paraId="0CD418A6" w14:textId="77777777" w:rsidR="008E5DE4" w:rsidRDefault="008E5DE4">
      <w:pPr>
        <w:widowControl w:val="0"/>
        <w:pBdr>
          <w:top w:val="nil"/>
          <w:left w:val="nil"/>
          <w:bottom w:val="nil"/>
          <w:right w:val="nil"/>
          <w:between w:val="nil"/>
        </w:pBdr>
        <w:spacing w:before="200" w:after="200"/>
        <w:jc w:val="both"/>
        <w:rPr>
          <w:i/>
          <w:color w:val="FF0000"/>
          <w:sz w:val="20"/>
          <w:szCs w:val="20"/>
        </w:rPr>
      </w:pPr>
    </w:p>
    <w:p w14:paraId="3FC24988" w14:textId="77777777" w:rsidR="008E5DE4" w:rsidRDefault="008E5DE4">
      <w:pPr>
        <w:widowControl w:val="0"/>
        <w:spacing w:before="200" w:after="200"/>
        <w:rPr>
          <w:sz w:val="20"/>
          <w:szCs w:val="20"/>
        </w:rPr>
        <w:sectPr w:rsidR="008E5DE4">
          <w:headerReference w:type="default" r:id="rId30"/>
          <w:pgSz w:w="11907" w:h="16840"/>
          <w:pgMar w:top="1418" w:right="851" w:bottom="1134" w:left="1701" w:header="737" w:footer="567" w:gutter="0"/>
          <w:cols w:space="708"/>
        </w:sectPr>
      </w:pPr>
    </w:p>
    <w:p w14:paraId="1B8BCD36" w14:textId="079AAF4B" w:rsidR="008E5DE4" w:rsidRDefault="00780368">
      <w:pPr>
        <w:widowControl w:val="0"/>
        <w:pBdr>
          <w:top w:val="nil"/>
          <w:left w:val="nil"/>
          <w:bottom w:val="nil"/>
          <w:right w:val="nil"/>
          <w:between w:val="nil"/>
        </w:pBdr>
        <w:spacing w:before="200" w:after="200"/>
        <w:jc w:val="both"/>
        <w:rPr>
          <w:i/>
          <w:color w:val="FF0000"/>
          <w:sz w:val="20"/>
          <w:szCs w:val="20"/>
        </w:rPr>
        <w:sectPr w:rsidR="008E5DE4">
          <w:headerReference w:type="default" r:id="rId31"/>
          <w:pgSz w:w="11907" w:h="16840"/>
          <w:pgMar w:top="1418" w:right="851" w:bottom="1134" w:left="1701" w:header="737" w:footer="567" w:gutter="0"/>
          <w:cols w:space="708"/>
        </w:sectPr>
      </w:pPr>
      <w:proofErr w:type="gramStart"/>
      <w:r>
        <w:rPr>
          <w:color w:val="000000"/>
          <w:sz w:val="20"/>
          <w:szCs w:val="20"/>
        </w:rPr>
        <w:lastRenderedPageBreak/>
        <w:t>Puttable shares,</w:t>
      </w:r>
      <w:proofErr w:type="gramEnd"/>
      <w:r>
        <w:rPr>
          <w:color w:val="000000"/>
          <w:sz w:val="20"/>
          <w:szCs w:val="20"/>
        </w:rPr>
        <w:t xml:space="preserve"> may give rise to a liability for the redemption amount. Presentation of the statement of financial position, statement of profit or loss and other comprehensive income and statement of changes in equity may differ from companies without puttable shares. Refer to the illustrative examples in IAS 32 – Example 7, paragraph IE32 and Example 8, paragraph IE33. </w:t>
      </w:r>
    </w:p>
    <w:p w14:paraId="5D4C4C2F" w14:textId="77777777" w:rsidR="008E5DE4" w:rsidRDefault="008E5DE4">
      <w:pPr>
        <w:widowControl w:val="0"/>
        <w:pBdr>
          <w:top w:val="nil"/>
          <w:left w:val="nil"/>
          <w:bottom w:val="nil"/>
          <w:right w:val="nil"/>
          <w:between w:val="nil"/>
        </w:pBdr>
        <w:spacing w:line="276" w:lineRule="auto"/>
        <w:rPr>
          <w:i/>
          <w:color w:val="FF0000"/>
          <w:sz w:val="20"/>
          <w:szCs w:val="20"/>
        </w:rPr>
      </w:pPr>
    </w:p>
    <w:tbl>
      <w:tblPr>
        <w:tblStyle w:val="affffffffffffffa"/>
        <w:tblW w:w="9412" w:type="dxa"/>
        <w:tblLayout w:type="fixed"/>
        <w:tblLook w:val="0000" w:firstRow="0" w:lastRow="0" w:firstColumn="0" w:lastColumn="0" w:noHBand="0" w:noVBand="0"/>
      </w:tblPr>
      <w:tblGrid>
        <w:gridCol w:w="5499"/>
        <w:gridCol w:w="851"/>
        <w:gridCol w:w="1531"/>
        <w:gridCol w:w="1531"/>
      </w:tblGrid>
      <w:tr w:rsidR="008E5DE4" w14:paraId="18D21F13" w14:textId="77777777">
        <w:trPr>
          <w:cantSplit/>
          <w:tblHeader/>
        </w:trPr>
        <w:tc>
          <w:tcPr>
            <w:tcW w:w="5499" w:type="dxa"/>
            <w:tcBorders>
              <w:bottom w:val="single" w:sz="4" w:space="0" w:color="000000"/>
            </w:tcBorders>
            <w:vAlign w:val="bottom"/>
          </w:tcPr>
          <w:p w14:paraId="5313906C"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851" w:type="dxa"/>
            <w:tcBorders>
              <w:bottom w:val="single" w:sz="4" w:space="0" w:color="000000"/>
            </w:tcBorders>
            <w:vAlign w:val="bottom"/>
          </w:tcPr>
          <w:p w14:paraId="309867E9"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61D725F7" w14:textId="77777777" w:rsidR="008E5DE4" w:rsidRDefault="00780368">
            <w:pPr>
              <w:widowControl w:val="0"/>
              <w:pBdr>
                <w:top w:val="nil"/>
                <w:left w:val="nil"/>
                <w:bottom w:val="nil"/>
                <w:right w:val="nil"/>
                <w:between w:val="nil"/>
              </w:pBdr>
              <w:jc w:val="right"/>
              <w:rPr>
                <w:b/>
                <w:color w:val="000000"/>
              </w:rPr>
            </w:pPr>
            <w:r>
              <w:rPr>
                <w:b/>
                <w:color w:val="000000"/>
              </w:rPr>
              <w:t xml:space="preserve">31 December </w:t>
            </w:r>
          </w:p>
          <w:p w14:paraId="15D86A25" w14:textId="55667982"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2A6CD91F" w14:textId="77777777" w:rsidR="008E5DE4" w:rsidRDefault="00780368">
            <w:pPr>
              <w:widowControl w:val="0"/>
              <w:pBdr>
                <w:top w:val="nil"/>
                <w:left w:val="nil"/>
                <w:bottom w:val="nil"/>
                <w:right w:val="nil"/>
                <w:between w:val="nil"/>
              </w:pBdr>
              <w:jc w:val="right"/>
              <w:rPr>
                <w:b/>
                <w:color w:val="000000"/>
              </w:rPr>
            </w:pPr>
            <w:r>
              <w:rPr>
                <w:b/>
                <w:color w:val="000000"/>
              </w:rPr>
              <w:t xml:space="preserve">31 December </w:t>
            </w:r>
          </w:p>
          <w:p w14:paraId="2CD23F46" w14:textId="3F69D203" w:rsidR="008E5DE4" w:rsidRDefault="00A46633">
            <w:pPr>
              <w:widowControl w:val="0"/>
              <w:pBdr>
                <w:top w:val="nil"/>
                <w:left w:val="nil"/>
                <w:bottom w:val="nil"/>
                <w:right w:val="nil"/>
                <w:between w:val="nil"/>
              </w:pBdr>
              <w:jc w:val="right"/>
              <w:rPr>
                <w:b/>
                <w:color w:val="000000"/>
              </w:rPr>
            </w:pPr>
            <w:r>
              <w:rPr>
                <w:b/>
                <w:color w:val="000000"/>
              </w:rPr>
              <w:t>2024</w:t>
            </w:r>
          </w:p>
        </w:tc>
      </w:tr>
      <w:tr w:rsidR="008E5DE4" w14:paraId="31AE93B8" w14:textId="77777777">
        <w:trPr>
          <w:cantSplit/>
        </w:trPr>
        <w:tc>
          <w:tcPr>
            <w:tcW w:w="5499" w:type="dxa"/>
            <w:vAlign w:val="bottom"/>
          </w:tcPr>
          <w:p w14:paraId="4FFEC9AF" w14:textId="77777777" w:rsidR="008E5DE4" w:rsidRDefault="00780368">
            <w:pPr>
              <w:widowControl w:val="0"/>
              <w:pBdr>
                <w:top w:val="nil"/>
                <w:left w:val="nil"/>
                <w:bottom w:val="nil"/>
                <w:right w:val="nil"/>
                <w:between w:val="nil"/>
              </w:pBdr>
              <w:ind w:left="113" w:right="-57" w:hanging="113"/>
              <w:rPr>
                <w:i/>
                <w:color w:val="000000"/>
              </w:rPr>
            </w:pPr>
            <w:r>
              <w:rPr>
                <w:i/>
                <w:color w:val="0000FF"/>
              </w:rPr>
              <w:t> </w:t>
            </w:r>
          </w:p>
        </w:tc>
        <w:tc>
          <w:tcPr>
            <w:tcW w:w="851" w:type="dxa"/>
            <w:vAlign w:val="bottom"/>
          </w:tcPr>
          <w:p w14:paraId="7C8C17B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5778D58"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6764128" w14:textId="77777777" w:rsidR="008E5DE4" w:rsidRDefault="008E5DE4">
            <w:pPr>
              <w:widowControl w:val="0"/>
              <w:pBdr>
                <w:top w:val="nil"/>
                <w:left w:val="nil"/>
                <w:bottom w:val="nil"/>
                <w:right w:val="nil"/>
                <w:between w:val="nil"/>
              </w:pBdr>
              <w:jc w:val="right"/>
              <w:rPr>
                <w:color w:val="000000"/>
              </w:rPr>
            </w:pPr>
          </w:p>
        </w:tc>
      </w:tr>
      <w:tr w:rsidR="008E5DE4" w14:paraId="696A3B10" w14:textId="77777777">
        <w:trPr>
          <w:cantSplit/>
        </w:trPr>
        <w:tc>
          <w:tcPr>
            <w:tcW w:w="5499" w:type="dxa"/>
            <w:vAlign w:val="bottom"/>
          </w:tcPr>
          <w:p w14:paraId="1165BACF"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ASSETS</w:t>
            </w:r>
          </w:p>
        </w:tc>
        <w:tc>
          <w:tcPr>
            <w:tcW w:w="851" w:type="dxa"/>
            <w:vAlign w:val="bottom"/>
          </w:tcPr>
          <w:p w14:paraId="06BC5D30"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034FA094" w14:textId="77777777" w:rsidR="008E5DE4" w:rsidRDefault="008E5DE4">
            <w:pPr>
              <w:widowControl w:val="0"/>
              <w:pBdr>
                <w:top w:val="nil"/>
                <w:left w:val="nil"/>
                <w:bottom w:val="nil"/>
                <w:right w:val="nil"/>
                <w:between w:val="nil"/>
              </w:pBdr>
              <w:jc w:val="right"/>
              <w:rPr>
                <w:smallCaps/>
                <w:color w:val="000000"/>
              </w:rPr>
            </w:pPr>
          </w:p>
        </w:tc>
        <w:tc>
          <w:tcPr>
            <w:tcW w:w="1531" w:type="dxa"/>
            <w:vAlign w:val="bottom"/>
          </w:tcPr>
          <w:p w14:paraId="20D012B4" w14:textId="77777777" w:rsidR="008E5DE4" w:rsidRDefault="008E5DE4">
            <w:pPr>
              <w:widowControl w:val="0"/>
              <w:pBdr>
                <w:top w:val="nil"/>
                <w:left w:val="nil"/>
                <w:bottom w:val="nil"/>
                <w:right w:val="nil"/>
                <w:between w:val="nil"/>
              </w:pBdr>
              <w:jc w:val="right"/>
              <w:rPr>
                <w:b/>
                <w:smallCaps/>
                <w:color w:val="000000"/>
              </w:rPr>
            </w:pPr>
          </w:p>
        </w:tc>
      </w:tr>
      <w:tr w:rsidR="008E5DE4" w14:paraId="67239184" w14:textId="77777777">
        <w:trPr>
          <w:cantSplit/>
        </w:trPr>
        <w:tc>
          <w:tcPr>
            <w:tcW w:w="5499" w:type="dxa"/>
            <w:vAlign w:val="bottom"/>
          </w:tcPr>
          <w:p w14:paraId="2B68C415"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vAlign w:val="bottom"/>
          </w:tcPr>
          <w:p w14:paraId="6D37295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83A45B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E91B6ED" w14:textId="77777777" w:rsidR="008E5DE4" w:rsidRDefault="008E5DE4">
            <w:pPr>
              <w:widowControl w:val="0"/>
              <w:pBdr>
                <w:top w:val="nil"/>
                <w:left w:val="nil"/>
                <w:bottom w:val="nil"/>
                <w:right w:val="nil"/>
                <w:between w:val="nil"/>
              </w:pBdr>
              <w:jc w:val="right"/>
              <w:rPr>
                <w:color w:val="000000"/>
              </w:rPr>
            </w:pPr>
          </w:p>
        </w:tc>
      </w:tr>
      <w:tr w:rsidR="008E5DE4" w14:paraId="0F060E9F" w14:textId="77777777">
        <w:trPr>
          <w:cantSplit/>
        </w:trPr>
        <w:tc>
          <w:tcPr>
            <w:tcW w:w="5499" w:type="dxa"/>
            <w:vAlign w:val="bottom"/>
          </w:tcPr>
          <w:p w14:paraId="5A9252B0" w14:textId="77777777" w:rsidR="008E5DE4" w:rsidRDefault="00780368">
            <w:pPr>
              <w:widowControl w:val="0"/>
              <w:pBdr>
                <w:top w:val="nil"/>
                <w:left w:val="nil"/>
                <w:bottom w:val="nil"/>
                <w:right w:val="nil"/>
                <w:between w:val="nil"/>
              </w:pBdr>
              <w:ind w:left="113" w:right="-57" w:hanging="113"/>
              <w:rPr>
                <w:b/>
                <w:color w:val="000000"/>
              </w:rPr>
            </w:pPr>
            <w:r>
              <w:rPr>
                <w:b/>
                <w:color w:val="000000"/>
              </w:rPr>
              <w:t>Current assets</w:t>
            </w:r>
          </w:p>
        </w:tc>
        <w:tc>
          <w:tcPr>
            <w:tcW w:w="851" w:type="dxa"/>
            <w:vAlign w:val="bottom"/>
          </w:tcPr>
          <w:p w14:paraId="3A7B0CB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DA2CB9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968A81D" w14:textId="77777777" w:rsidR="008E5DE4" w:rsidRDefault="008E5DE4">
            <w:pPr>
              <w:widowControl w:val="0"/>
              <w:pBdr>
                <w:top w:val="nil"/>
                <w:left w:val="nil"/>
                <w:bottom w:val="nil"/>
                <w:right w:val="nil"/>
                <w:between w:val="nil"/>
              </w:pBdr>
              <w:jc w:val="right"/>
              <w:rPr>
                <w:color w:val="000000"/>
              </w:rPr>
            </w:pPr>
          </w:p>
        </w:tc>
      </w:tr>
      <w:tr w:rsidR="008E5DE4" w14:paraId="2B3C4869" w14:textId="77777777">
        <w:trPr>
          <w:cantSplit/>
        </w:trPr>
        <w:tc>
          <w:tcPr>
            <w:tcW w:w="5499" w:type="dxa"/>
            <w:vAlign w:val="bottom"/>
          </w:tcPr>
          <w:p w14:paraId="766B9212" w14:textId="77777777" w:rsidR="008E5DE4" w:rsidRDefault="00780368">
            <w:pPr>
              <w:widowControl w:val="0"/>
              <w:pBdr>
                <w:top w:val="nil"/>
                <w:left w:val="nil"/>
                <w:bottom w:val="nil"/>
                <w:right w:val="nil"/>
                <w:between w:val="nil"/>
              </w:pBdr>
              <w:ind w:left="113" w:right="-57" w:hanging="113"/>
              <w:rPr>
                <w:color w:val="000000"/>
              </w:rPr>
            </w:pPr>
            <w:r>
              <w:rPr>
                <w:color w:val="000000"/>
              </w:rPr>
              <w:t>Cash and cash equivalents</w:t>
            </w:r>
          </w:p>
        </w:tc>
        <w:tc>
          <w:tcPr>
            <w:tcW w:w="851" w:type="dxa"/>
            <w:vAlign w:val="bottom"/>
          </w:tcPr>
          <w:p w14:paraId="17CFB21B"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5F0692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2FE2773" w14:textId="77777777" w:rsidR="008E5DE4" w:rsidRDefault="008E5DE4">
            <w:pPr>
              <w:widowControl w:val="0"/>
              <w:pBdr>
                <w:top w:val="nil"/>
                <w:left w:val="nil"/>
                <w:bottom w:val="nil"/>
                <w:right w:val="nil"/>
                <w:between w:val="nil"/>
              </w:pBdr>
              <w:jc w:val="right"/>
              <w:rPr>
                <w:color w:val="000000"/>
              </w:rPr>
            </w:pPr>
          </w:p>
        </w:tc>
      </w:tr>
      <w:tr w:rsidR="008E5DE4" w14:paraId="1686FD8D" w14:textId="77777777">
        <w:trPr>
          <w:cantSplit/>
        </w:trPr>
        <w:tc>
          <w:tcPr>
            <w:tcW w:w="5499" w:type="dxa"/>
            <w:vAlign w:val="bottom"/>
          </w:tcPr>
          <w:p w14:paraId="42B2B19F" w14:textId="77777777" w:rsidR="008E5DE4" w:rsidRDefault="00780368">
            <w:pPr>
              <w:widowControl w:val="0"/>
              <w:pBdr>
                <w:top w:val="nil"/>
                <w:left w:val="nil"/>
                <w:bottom w:val="nil"/>
                <w:right w:val="nil"/>
                <w:between w:val="nil"/>
              </w:pBdr>
              <w:ind w:left="113" w:right="-57" w:hanging="113"/>
              <w:rPr>
                <w:color w:val="000000"/>
              </w:rPr>
            </w:pPr>
            <w:r>
              <w:rPr>
                <w:color w:val="000000"/>
              </w:rPr>
              <w:t>Investments in debt securities</w:t>
            </w:r>
          </w:p>
        </w:tc>
        <w:tc>
          <w:tcPr>
            <w:tcW w:w="851" w:type="dxa"/>
            <w:vAlign w:val="bottom"/>
          </w:tcPr>
          <w:p w14:paraId="5C54F38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21083C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E9C2012" w14:textId="77777777" w:rsidR="008E5DE4" w:rsidRDefault="008E5DE4">
            <w:pPr>
              <w:widowControl w:val="0"/>
              <w:pBdr>
                <w:top w:val="nil"/>
                <w:left w:val="nil"/>
                <w:bottom w:val="nil"/>
                <w:right w:val="nil"/>
                <w:between w:val="nil"/>
              </w:pBdr>
              <w:jc w:val="right"/>
              <w:rPr>
                <w:color w:val="000000"/>
              </w:rPr>
            </w:pPr>
          </w:p>
        </w:tc>
      </w:tr>
      <w:tr w:rsidR="008E5DE4" w14:paraId="065BEE6F" w14:textId="77777777">
        <w:trPr>
          <w:cantSplit/>
        </w:trPr>
        <w:tc>
          <w:tcPr>
            <w:tcW w:w="5499" w:type="dxa"/>
            <w:vAlign w:val="bottom"/>
          </w:tcPr>
          <w:p w14:paraId="53B9C7BD" w14:textId="77777777" w:rsidR="008E5DE4" w:rsidRDefault="00780368">
            <w:pPr>
              <w:widowControl w:val="0"/>
              <w:pBdr>
                <w:top w:val="nil"/>
                <w:left w:val="nil"/>
                <w:bottom w:val="nil"/>
                <w:right w:val="nil"/>
                <w:between w:val="nil"/>
              </w:pBdr>
              <w:ind w:left="113" w:right="-57" w:hanging="113"/>
              <w:rPr>
                <w:color w:val="000000"/>
              </w:rPr>
            </w:pPr>
            <w:r>
              <w:rPr>
                <w:color w:val="000000"/>
              </w:rPr>
              <w:t>Trade and other receivables</w:t>
            </w:r>
          </w:p>
        </w:tc>
        <w:tc>
          <w:tcPr>
            <w:tcW w:w="851" w:type="dxa"/>
            <w:vAlign w:val="bottom"/>
          </w:tcPr>
          <w:p w14:paraId="19307C5F"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42012C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D7CC345" w14:textId="77777777" w:rsidR="008E5DE4" w:rsidRDefault="008E5DE4">
            <w:pPr>
              <w:widowControl w:val="0"/>
              <w:pBdr>
                <w:top w:val="nil"/>
                <w:left w:val="nil"/>
                <w:bottom w:val="nil"/>
                <w:right w:val="nil"/>
                <w:between w:val="nil"/>
              </w:pBdr>
              <w:jc w:val="right"/>
              <w:rPr>
                <w:color w:val="000000"/>
              </w:rPr>
            </w:pPr>
          </w:p>
        </w:tc>
      </w:tr>
      <w:tr w:rsidR="008E5DE4" w14:paraId="763CCA98" w14:textId="77777777">
        <w:trPr>
          <w:cantSplit/>
        </w:trPr>
        <w:tc>
          <w:tcPr>
            <w:tcW w:w="5499" w:type="dxa"/>
            <w:vAlign w:val="bottom"/>
          </w:tcPr>
          <w:p w14:paraId="0FD6CCED" w14:textId="77777777" w:rsidR="008E5DE4" w:rsidRDefault="00780368">
            <w:pPr>
              <w:widowControl w:val="0"/>
              <w:pBdr>
                <w:top w:val="nil"/>
                <w:left w:val="nil"/>
                <w:bottom w:val="nil"/>
                <w:right w:val="nil"/>
                <w:between w:val="nil"/>
              </w:pBdr>
              <w:ind w:left="113" w:right="-57" w:hanging="113"/>
              <w:rPr>
                <w:color w:val="000000"/>
              </w:rPr>
            </w:pPr>
            <w:r>
              <w:rPr>
                <w:color w:val="000000"/>
              </w:rPr>
              <w:t>Contract assets</w:t>
            </w:r>
          </w:p>
        </w:tc>
        <w:tc>
          <w:tcPr>
            <w:tcW w:w="851" w:type="dxa"/>
            <w:vAlign w:val="bottom"/>
          </w:tcPr>
          <w:p w14:paraId="3E80673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F041E3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C0711A5" w14:textId="77777777" w:rsidR="008E5DE4" w:rsidRDefault="008E5DE4">
            <w:pPr>
              <w:widowControl w:val="0"/>
              <w:pBdr>
                <w:top w:val="nil"/>
                <w:left w:val="nil"/>
                <w:bottom w:val="nil"/>
                <w:right w:val="nil"/>
                <w:between w:val="nil"/>
              </w:pBdr>
              <w:jc w:val="right"/>
              <w:rPr>
                <w:color w:val="000000"/>
              </w:rPr>
            </w:pPr>
          </w:p>
        </w:tc>
      </w:tr>
      <w:tr w:rsidR="008E5DE4" w14:paraId="50BDDB1B" w14:textId="77777777">
        <w:trPr>
          <w:cantSplit/>
        </w:trPr>
        <w:tc>
          <w:tcPr>
            <w:tcW w:w="5499" w:type="dxa"/>
            <w:vAlign w:val="bottom"/>
          </w:tcPr>
          <w:p w14:paraId="15351964" w14:textId="77777777" w:rsidR="008E5DE4" w:rsidRDefault="00780368">
            <w:pPr>
              <w:widowControl w:val="0"/>
              <w:pBdr>
                <w:top w:val="nil"/>
                <w:left w:val="nil"/>
                <w:bottom w:val="nil"/>
                <w:right w:val="nil"/>
                <w:between w:val="nil"/>
              </w:pBdr>
              <w:ind w:left="113" w:right="-57" w:hanging="113"/>
              <w:rPr>
                <w:color w:val="000000"/>
              </w:rPr>
            </w:pPr>
            <w:r>
              <w:rPr>
                <w:color w:val="000000"/>
              </w:rPr>
              <w:t>Finance lease receivables</w:t>
            </w:r>
          </w:p>
        </w:tc>
        <w:tc>
          <w:tcPr>
            <w:tcW w:w="851" w:type="dxa"/>
            <w:vAlign w:val="bottom"/>
          </w:tcPr>
          <w:p w14:paraId="311BC1A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0E129F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912C936" w14:textId="77777777" w:rsidR="008E5DE4" w:rsidRDefault="008E5DE4">
            <w:pPr>
              <w:widowControl w:val="0"/>
              <w:pBdr>
                <w:top w:val="nil"/>
                <w:left w:val="nil"/>
                <w:bottom w:val="nil"/>
                <w:right w:val="nil"/>
                <w:between w:val="nil"/>
              </w:pBdr>
              <w:jc w:val="right"/>
              <w:rPr>
                <w:color w:val="000000"/>
              </w:rPr>
            </w:pPr>
          </w:p>
        </w:tc>
      </w:tr>
      <w:tr w:rsidR="008E5DE4" w14:paraId="1CEFA679" w14:textId="77777777">
        <w:trPr>
          <w:cantSplit/>
        </w:trPr>
        <w:tc>
          <w:tcPr>
            <w:tcW w:w="5499" w:type="dxa"/>
            <w:vAlign w:val="bottom"/>
          </w:tcPr>
          <w:p w14:paraId="1E8B8762" w14:textId="77777777" w:rsidR="008E5DE4" w:rsidRDefault="00780368">
            <w:pPr>
              <w:widowControl w:val="0"/>
              <w:pBdr>
                <w:top w:val="nil"/>
                <w:left w:val="nil"/>
                <w:bottom w:val="nil"/>
                <w:right w:val="nil"/>
                <w:between w:val="nil"/>
              </w:pBdr>
              <w:ind w:left="113" w:right="-57" w:hanging="113"/>
              <w:rPr>
                <w:color w:val="000000"/>
              </w:rPr>
            </w:pPr>
            <w:r>
              <w:rPr>
                <w:color w:val="000000"/>
              </w:rPr>
              <w:t>Current income tax prepayments</w:t>
            </w:r>
          </w:p>
        </w:tc>
        <w:tc>
          <w:tcPr>
            <w:tcW w:w="851" w:type="dxa"/>
            <w:vAlign w:val="bottom"/>
          </w:tcPr>
          <w:p w14:paraId="69D575A5"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D0F19E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760858A" w14:textId="77777777" w:rsidR="008E5DE4" w:rsidRDefault="008E5DE4">
            <w:pPr>
              <w:widowControl w:val="0"/>
              <w:pBdr>
                <w:top w:val="nil"/>
                <w:left w:val="nil"/>
                <w:bottom w:val="nil"/>
                <w:right w:val="nil"/>
                <w:between w:val="nil"/>
              </w:pBdr>
              <w:jc w:val="right"/>
              <w:rPr>
                <w:color w:val="000000"/>
              </w:rPr>
            </w:pPr>
          </w:p>
        </w:tc>
      </w:tr>
      <w:tr w:rsidR="008E5DE4" w14:paraId="5FC08895" w14:textId="77777777">
        <w:trPr>
          <w:cantSplit/>
        </w:trPr>
        <w:tc>
          <w:tcPr>
            <w:tcW w:w="5499" w:type="dxa"/>
            <w:vAlign w:val="bottom"/>
          </w:tcPr>
          <w:p w14:paraId="30D2314C" w14:textId="77777777" w:rsidR="008E5DE4" w:rsidRDefault="00780368">
            <w:pPr>
              <w:widowControl w:val="0"/>
              <w:pBdr>
                <w:top w:val="nil"/>
                <w:left w:val="nil"/>
                <w:bottom w:val="nil"/>
                <w:right w:val="nil"/>
                <w:between w:val="nil"/>
              </w:pBdr>
              <w:ind w:left="113" w:right="-57" w:hanging="113"/>
              <w:rPr>
                <w:color w:val="000000"/>
              </w:rPr>
            </w:pPr>
            <w:r>
              <w:rPr>
                <w:color w:val="000000"/>
              </w:rPr>
              <w:t>Inventories</w:t>
            </w:r>
          </w:p>
        </w:tc>
        <w:tc>
          <w:tcPr>
            <w:tcW w:w="851" w:type="dxa"/>
            <w:vAlign w:val="bottom"/>
          </w:tcPr>
          <w:p w14:paraId="0AB9F313"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AAED7C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0999A48" w14:textId="77777777" w:rsidR="008E5DE4" w:rsidRDefault="008E5DE4">
            <w:pPr>
              <w:widowControl w:val="0"/>
              <w:pBdr>
                <w:top w:val="nil"/>
                <w:left w:val="nil"/>
                <w:bottom w:val="nil"/>
                <w:right w:val="nil"/>
                <w:between w:val="nil"/>
              </w:pBdr>
              <w:jc w:val="right"/>
              <w:rPr>
                <w:color w:val="000000"/>
              </w:rPr>
            </w:pPr>
          </w:p>
        </w:tc>
      </w:tr>
      <w:tr w:rsidR="008E5DE4" w14:paraId="602F018D" w14:textId="77777777">
        <w:trPr>
          <w:cantSplit/>
        </w:trPr>
        <w:tc>
          <w:tcPr>
            <w:tcW w:w="5499" w:type="dxa"/>
            <w:tcBorders>
              <w:bottom w:val="single" w:sz="4" w:space="0" w:color="000000"/>
            </w:tcBorders>
            <w:vAlign w:val="bottom"/>
          </w:tcPr>
          <w:p w14:paraId="7844A074"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tcBorders>
              <w:bottom w:val="single" w:sz="4" w:space="0" w:color="000000"/>
            </w:tcBorders>
            <w:vAlign w:val="bottom"/>
          </w:tcPr>
          <w:p w14:paraId="7BCC8AA8"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70F04D6F"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DD785A6" w14:textId="77777777" w:rsidR="008E5DE4" w:rsidRDefault="008E5DE4">
            <w:pPr>
              <w:widowControl w:val="0"/>
              <w:pBdr>
                <w:top w:val="nil"/>
                <w:left w:val="nil"/>
                <w:bottom w:val="nil"/>
                <w:right w:val="nil"/>
                <w:between w:val="nil"/>
              </w:pBdr>
              <w:jc w:val="right"/>
              <w:rPr>
                <w:color w:val="000000"/>
              </w:rPr>
            </w:pPr>
          </w:p>
        </w:tc>
      </w:tr>
      <w:tr w:rsidR="008E5DE4" w14:paraId="3A1CFE3C" w14:textId="77777777">
        <w:trPr>
          <w:cantSplit/>
        </w:trPr>
        <w:tc>
          <w:tcPr>
            <w:tcW w:w="5499" w:type="dxa"/>
            <w:tcBorders>
              <w:top w:val="single" w:sz="4" w:space="0" w:color="000000"/>
            </w:tcBorders>
            <w:vAlign w:val="bottom"/>
          </w:tcPr>
          <w:p w14:paraId="065B6CAC"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tcBorders>
              <w:top w:val="single" w:sz="4" w:space="0" w:color="000000"/>
            </w:tcBorders>
            <w:vAlign w:val="bottom"/>
          </w:tcPr>
          <w:p w14:paraId="7C64ABEB"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3D24415F" w14:textId="77777777" w:rsidR="008E5DE4" w:rsidRDefault="00780368">
            <w:pPr>
              <w:widowControl w:val="0"/>
              <w:pBdr>
                <w:top w:val="nil"/>
                <w:left w:val="nil"/>
                <w:bottom w:val="nil"/>
                <w:right w:val="nil"/>
                <w:between w:val="nil"/>
              </w:pBdr>
              <w:jc w:val="right"/>
              <w:rPr>
                <w:color w:val="000000"/>
              </w:rPr>
            </w:pPr>
            <w:r>
              <w:rPr>
                <w:color w:val="000000"/>
              </w:rPr>
              <w:t>Σ….</w:t>
            </w:r>
          </w:p>
        </w:tc>
        <w:tc>
          <w:tcPr>
            <w:tcW w:w="1531" w:type="dxa"/>
            <w:tcBorders>
              <w:top w:val="single" w:sz="4" w:space="0" w:color="000000"/>
            </w:tcBorders>
            <w:vAlign w:val="bottom"/>
          </w:tcPr>
          <w:p w14:paraId="32EC9BAD" w14:textId="77777777" w:rsidR="008E5DE4" w:rsidRDefault="00780368">
            <w:pPr>
              <w:widowControl w:val="0"/>
              <w:pBdr>
                <w:top w:val="nil"/>
                <w:left w:val="nil"/>
                <w:bottom w:val="nil"/>
                <w:right w:val="nil"/>
                <w:between w:val="nil"/>
              </w:pBdr>
              <w:jc w:val="right"/>
              <w:rPr>
                <w:color w:val="000000"/>
              </w:rPr>
            </w:pPr>
            <w:r>
              <w:rPr>
                <w:color w:val="000000"/>
              </w:rPr>
              <w:t>Σ….</w:t>
            </w:r>
          </w:p>
        </w:tc>
      </w:tr>
      <w:tr w:rsidR="008E5DE4" w14:paraId="6ECE7B39" w14:textId="77777777">
        <w:trPr>
          <w:cantSplit/>
        </w:trPr>
        <w:tc>
          <w:tcPr>
            <w:tcW w:w="5499" w:type="dxa"/>
            <w:vAlign w:val="bottom"/>
          </w:tcPr>
          <w:p w14:paraId="05521B18" w14:textId="77777777" w:rsidR="008E5DE4" w:rsidRDefault="00780368">
            <w:pPr>
              <w:widowControl w:val="0"/>
              <w:pBdr>
                <w:top w:val="nil"/>
                <w:left w:val="nil"/>
                <w:bottom w:val="nil"/>
                <w:right w:val="nil"/>
                <w:between w:val="nil"/>
              </w:pBdr>
              <w:ind w:left="113" w:right="-57" w:hanging="113"/>
              <w:rPr>
                <w:color w:val="000000"/>
              </w:rPr>
            </w:pPr>
            <w:r>
              <w:rPr>
                <w:color w:val="000000"/>
              </w:rPr>
              <w:t>Non-current assets classified as held for sale (or disposal groups)</w:t>
            </w:r>
          </w:p>
        </w:tc>
        <w:tc>
          <w:tcPr>
            <w:tcW w:w="851" w:type="dxa"/>
            <w:vAlign w:val="bottom"/>
          </w:tcPr>
          <w:p w14:paraId="39E60C49"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9721892" w14:textId="77777777" w:rsidR="008E5DE4" w:rsidRDefault="00780368">
            <w:pPr>
              <w:widowControl w:val="0"/>
              <w:pBdr>
                <w:top w:val="nil"/>
                <w:left w:val="nil"/>
                <w:bottom w:val="nil"/>
                <w:right w:val="nil"/>
                <w:between w:val="nil"/>
              </w:pBdr>
              <w:jc w:val="right"/>
              <w:rPr>
                <w:color w:val="000000"/>
              </w:rPr>
            </w:pPr>
            <w:r>
              <w:rPr>
                <w:color w:val="000000"/>
              </w:rPr>
              <w:t>….</w:t>
            </w:r>
          </w:p>
        </w:tc>
        <w:tc>
          <w:tcPr>
            <w:tcW w:w="1531" w:type="dxa"/>
            <w:vAlign w:val="bottom"/>
          </w:tcPr>
          <w:p w14:paraId="392580E4" w14:textId="77777777" w:rsidR="008E5DE4" w:rsidRDefault="00780368">
            <w:pPr>
              <w:widowControl w:val="0"/>
              <w:pBdr>
                <w:top w:val="nil"/>
                <w:left w:val="nil"/>
                <w:bottom w:val="nil"/>
                <w:right w:val="nil"/>
                <w:between w:val="nil"/>
              </w:pBdr>
              <w:jc w:val="right"/>
              <w:rPr>
                <w:color w:val="000000"/>
              </w:rPr>
            </w:pPr>
            <w:r>
              <w:rPr>
                <w:color w:val="000000"/>
              </w:rPr>
              <w:t>….</w:t>
            </w:r>
          </w:p>
        </w:tc>
      </w:tr>
      <w:tr w:rsidR="008E5DE4" w14:paraId="1451E567" w14:textId="77777777">
        <w:trPr>
          <w:cantSplit/>
        </w:trPr>
        <w:tc>
          <w:tcPr>
            <w:tcW w:w="5499" w:type="dxa"/>
            <w:tcBorders>
              <w:bottom w:val="single" w:sz="4" w:space="0" w:color="000000"/>
            </w:tcBorders>
            <w:vAlign w:val="bottom"/>
          </w:tcPr>
          <w:p w14:paraId="025A3618"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tcBorders>
              <w:bottom w:val="single" w:sz="4" w:space="0" w:color="000000"/>
            </w:tcBorders>
            <w:vAlign w:val="bottom"/>
          </w:tcPr>
          <w:p w14:paraId="59D9D7E9"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153CF166"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E0581D0" w14:textId="77777777" w:rsidR="008E5DE4" w:rsidRDefault="008E5DE4">
            <w:pPr>
              <w:widowControl w:val="0"/>
              <w:pBdr>
                <w:top w:val="nil"/>
                <w:left w:val="nil"/>
                <w:bottom w:val="nil"/>
                <w:right w:val="nil"/>
                <w:between w:val="nil"/>
              </w:pBdr>
              <w:jc w:val="right"/>
              <w:rPr>
                <w:color w:val="000000"/>
              </w:rPr>
            </w:pPr>
          </w:p>
        </w:tc>
      </w:tr>
      <w:tr w:rsidR="008E5DE4" w14:paraId="286AA69F" w14:textId="77777777">
        <w:trPr>
          <w:cantSplit/>
        </w:trPr>
        <w:tc>
          <w:tcPr>
            <w:tcW w:w="5499" w:type="dxa"/>
            <w:tcBorders>
              <w:top w:val="single" w:sz="4" w:space="0" w:color="000000"/>
            </w:tcBorders>
            <w:vAlign w:val="bottom"/>
          </w:tcPr>
          <w:p w14:paraId="24DA55EB"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top w:val="single" w:sz="4" w:space="0" w:color="000000"/>
            </w:tcBorders>
            <w:vAlign w:val="bottom"/>
          </w:tcPr>
          <w:p w14:paraId="671EE65F"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tcBorders>
              <w:top w:val="single" w:sz="4" w:space="0" w:color="000000"/>
            </w:tcBorders>
            <w:vAlign w:val="bottom"/>
          </w:tcPr>
          <w:p w14:paraId="2778A7B9"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5AC73C8C" w14:textId="77777777" w:rsidR="008E5DE4" w:rsidRDefault="008E5DE4">
            <w:pPr>
              <w:widowControl w:val="0"/>
              <w:pBdr>
                <w:top w:val="nil"/>
                <w:left w:val="nil"/>
                <w:bottom w:val="nil"/>
                <w:right w:val="nil"/>
                <w:between w:val="nil"/>
              </w:pBdr>
              <w:jc w:val="right"/>
              <w:rPr>
                <w:b/>
                <w:color w:val="000000"/>
              </w:rPr>
            </w:pPr>
          </w:p>
        </w:tc>
      </w:tr>
      <w:tr w:rsidR="008E5DE4" w14:paraId="1A4ED455" w14:textId="77777777">
        <w:trPr>
          <w:cantSplit/>
        </w:trPr>
        <w:tc>
          <w:tcPr>
            <w:tcW w:w="5499" w:type="dxa"/>
            <w:vAlign w:val="bottom"/>
          </w:tcPr>
          <w:p w14:paraId="1E86DA7C"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current assets</w:t>
            </w:r>
          </w:p>
        </w:tc>
        <w:tc>
          <w:tcPr>
            <w:tcW w:w="851" w:type="dxa"/>
            <w:vAlign w:val="bottom"/>
          </w:tcPr>
          <w:p w14:paraId="36788DC8"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49E3F71D"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498BFBFC" w14:textId="77777777" w:rsidR="008E5DE4" w:rsidRDefault="008E5DE4">
            <w:pPr>
              <w:widowControl w:val="0"/>
              <w:pBdr>
                <w:top w:val="nil"/>
                <w:left w:val="nil"/>
                <w:bottom w:val="nil"/>
                <w:right w:val="nil"/>
                <w:between w:val="nil"/>
              </w:pBdr>
              <w:jc w:val="right"/>
              <w:rPr>
                <w:b/>
                <w:color w:val="000000"/>
              </w:rPr>
            </w:pPr>
          </w:p>
        </w:tc>
      </w:tr>
      <w:tr w:rsidR="008E5DE4" w14:paraId="1F0994BE" w14:textId="77777777">
        <w:trPr>
          <w:cantSplit/>
        </w:trPr>
        <w:tc>
          <w:tcPr>
            <w:tcW w:w="5499" w:type="dxa"/>
            <w:tcBorders>
              <w:bottom w:val="single" w:sz="4" w:space="0" w:color="000000"/>
            </w:tcBorders>
            <w:vAlign w:val="bottom"/>
          </w:tcPr>
          <w:p w14:paraId="5D3475ED"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bottom w:val="single" w:sz="4" w:space="0" w:color="000000"/>
            </w:tcBorders>
            <w:vAlign w:val="bottom"/>
          </w:tcPr>
          <w:p w14:paraId="409CF604"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tcBorders>
              <w:bottom w:val="single" w:sz="4" w:space="0" w:color="000000"/>
            </w:tcBorders>
            <w:vAlign w:val="bottom"/>
          </w:tcPr>
          <w:p w14:paraId="6096C706"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4" w:space="0" w:color="000000"/>
            </w:tcBorders>
            <w:vAlign w:val="bottom"/>
          </w:tcPr>
          <w:p w14:paraId="135E2DA3" w14:textId="77777777" w:rsidR="008E5DE4" w:rsidRDefault="008E5DE4">
            <w:pPr>
              <w:widowControl w:val="0"/>
              <w:pBdr>
                <w:top w:val="nil"/>
                <w:left w:val="nil"/>
                <w:bottom w:val="nil"/>
                <w:right w:val="nil"/>
                <w:between w:val="nil"/>
              </w:pBdr>
              <w:jc w:val="right"/>
              <w:rPr>
                <w:b/>
                <w:color w:val="000000"/>
              </w:rPr>
            </w:pPr>
          </w:p>
        </w:tc>
      </w:tr>
      <w:tr w:rsidR="008E5DE4" w14:paraId="4E04D2F7" w14:textId="77777777">
        <w:trPr>
          <w:cantSplit/>
        </w:trPr>
        <w:tc>
          <w:tcPr>
            <w:tcW w:w="5499" w:type="dxa"/>
            <w:tcBorders>
              <w:top w:val="single" w:sz="4" w:space="0" w:color="000000"/>
            </w:tcBorders>
            <w:vAlign w:val="bottom"/>
          </w:tcPr>
          <w:p w14:paraId="4D9BFE49"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top w:val="single" w:sz="4" w:space="0" w:color="000000"/>
            </w:tcBorders>
            <w:vAlign w:val="bottom"/>
          </w:tcPr>
          <w:p w14:paraId="7477185F"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17EEFD4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676937C" w14:textId="77777777" w:rsidR="008E5DE4" w:rsidRDefault="008E5DE4">
            <w:pPr>
              <w:widowControl w:val="0"/>
              <w:pBdr>
                <w:top w:val="nil"/>
                <w:left w:val="nil"/>
                <w:bottom w:val="nil"/>
                <w:right w:val="nil"/>
                <w:between w:val="nil"/>
              </w:pBdr>
              <w:jc w:val="right"/>
              <w:rPr>
                <w:color w:val="000000"/>
              </w:rPr>
            </w:pPr>
          </w:p>
        </w:tc>
      </w:tr>
      <w:tr w:rsidR="008E5DE4" w14:paraId="209E7ACF" w14:textId="77777777">
        <w:trPr>
          <w:cantSplit/>
        </w:trPr>
        <w:tc>
          <w:tcPr>
            <w:tcW w:w="5499" w:type="dxa"/>
            <w:vAlign w:val="bottom"/>
          </w:tcPr>
          <w:p w14:paraId="2A1E1C2F"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Non-current assets </w:t>
            </w:r>
          </w:p>
        </w:tc>
        <w:tc>
          <w:tcPr>
            <w:tcW w:w="851" w:type="dxa"/>
            <w:vAlign w:val="bottom"/>
          </w:tcPr>
          <w:p w14:paraId="602BF15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0D7892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7B472A2" w14:textId="77777777" w:rsidR="008E5DE4" w:rsidRDefault="008E5DE4">
            <w:pPr>
              <w:widowControl w:val="0"/>
              <w:pBdr>
                <w:top w:val="nil"/>
                <w:left w:val="nil"/>
                <w:bottom w:val="nil"/>
                <w:right w:val="nil"/>
                <w:between w:val="nil"/>
              </w:pBdr>
              <w:jc w:val="right"/>
              <w:rPr>
                <w:color w:val="000000"/>
              </w:rPr>
            </w:pPr>
          </w:p>
        </w:tc>
      </w:tr>
      <w:tr w:rsidR="008E5DE4" w14:paraId="2CE15898" w14:textId="77777777">
        <w:trPr>
          <w:cantSplit/>
        </w:trPr>
        <w:tc>
          <w:tcPr>
            <w:tcW w:w="5499" w:type="dxa"/>
            <w:vAlign w:val="bottom"/>
          </w:tcPr>
          <w:p w14:paraId="7ADA1563" w14:textId="77777777" w:rsidR="008E5DE4" w:rsidRDefault="00780368">
            <w:pPr>
              <w:widowControl w:val="0"/>
              <w:pBdr>
                <w:top w:val="nil"/>
                <w:left w:val="nil"/>
                <w:bottom w:val="nil"/>
                <w:right w:val="nil"/>
                <w:between w:val="nil"/>
              </w:pBdr>
              <w:ind w:left="113" w:right="-57" w:hanging="113"/>
              <w:rPr>
                <w:color w:val="000000"/>
              </w:rPr>
            </w:pPr>
            <w:r>
              <w:rPr>
                <w:color w:val="000000"/>
              </w:rPr>
              <w:t>Property, plant and equipment</w:t>
            </w:r>
          </w:p>
        </w:tc>
        <w:tc>
          <w:tcPr>
            <w:tcW w:w="851" w:type="dxa"/>
            <w:vAlign w:val="bottom"/>
          </w:tcPr>
          <w:p w14:paraId="1B736E0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650CE26"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50145D8" w14:textId="77777777" w:rsidR="008E5DE4" w:rsidRDefault="008E5DE4">
            <w:pPr>
              <w:widowControl w:val="0"/>
              <w:pBdr>
                <w:top w:val="nil"/>
                <w:left w:val="nil"/>
                <w:bottom w:val="nil"/>
                <w:right w:val="nil"/>
                <w:between w:val="nil"/>
              </w:pBdr>
              <w:jc w:val="right"/>
              <w:rPr>
                <w:color w:val="000000"/>
              </w:rPr>
            </w:pPr>
          </w:p>
        </w:tc>
      </w:tr>
      <w:tr w:rsidR="008E5DE4" w14:paraId="6FF23F0E" w14:textId="77777777">
        <w:trPr>
          <w:cantSplit/>
        </w:trPr>
        <w:tc>
          <w:tcPr>
            <w:tcW w:w="5499" w:type="dxa"/>
            <w:vAlign w:val="bottom"/>
          </w:tcPr>
          <w:p w14:paraId="5C1092FD" w14:textId="77777777" w:rsidR="008E5DE4" w:rsidRDefault="00780368">
            <w:pPr>
              <w:widowControl w:val="0"/>
              <w:pBdr>
                <w:top w:val="nil"/>
                <w:left w:val="nil"/>
                <w:bottom w:val="nil"/>
                <w:right w:val="nil"/>
                <w:between w:val="nil"/>
              </w:pBdr>
              <w:ind w:left="113" w:right="-57" w:hanging="113"/>
              <w:rPr>
                <w:color w:val="000000"/>
              </w:rPr>
            </w:pPr>
            <w:r>
              <w:rPr>
                <w:color w:val="000000"/>
              </w:rPr>
              <w:t>Investment property</w:t>
            </w:r>
          </w:p>
        </w:tc>
        <w:tc>
          <w:tcPr>
            <w:tcW w:w="851" w:type="dxa"/>
            <w:vAlign w:val="bottom"/>
          </w:tcPr>
          <w:p w14:paraId="02E3D09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8C64B8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A4B9078" w14:textId="77777777" w:rsidR="008E5DE4" w:rsidRDefault="008E5DE4">
            <w:pPr>
              <w:widowControl w:val="0"/>
              <w:pBdr>
                <w:top w:val="nil"/>
                <w:left w:val="nil"/>
                <w:bottom w:val="nil"/>
                <w:right w:val="nil"/>
                <w:between w:val="nil"/>
              </w:pBdr>
              <w:jc w:val="right"/>
              <w:rPr>
                <w:color w:val="000000"/>
              </w:rPr>
            </w:pPr>
          </w:p>
        </w:tc>
      </w:tr>
      <w:tr w:rsidR="008E5DE4" w14:paraId="2D1B4283" w14:textId="77777777">
        <w:trPr>
          <w:cantSplit/>
        </w:trPr>
        <w:tc>
          <w:tcPr>
            <w:tcW w:w="5499" w:type="dxa"/>
            <w:vAlign w:val="bottom"/>
          </w:tcPr>
          <w:p w14:paraId="3B69F8C4" w14:textId="77777777" w:rsidR="008E5DE4" w:rsidRDefault="00780368">
            <w:pPr>
              <w:widowControl w:val="0"/>
              <w:pBdr>
                <w:top w:val="nil"/>
                <w:left w:val="nil"/>
                <w:bottom w:val="nil"/>
                <w:right w:val="nil"/>
                <w:between w:val="nil"/>
              </w:pBdr>
              <w:ind w:left="113" w:right="-57" w:hanging="113"/>
              <w:rPr>
                <w:color w:val="000000"/>
              </w:rPr>
            </w:pPr>
            <w:r>
              <w:rPr>
                <w:color w:val="000000"/>
              </w:rPr>
              <w:t>Right-of-use assets</w:t>
            </w:r>
          </w:p>
        </w:tc>
        <w:tc>
          <w:tcPr>
            <w:tcW w:w="851" w:type="dxa"/>
            <w:vAlign w:val="bottom"/>
          </w:tcPr>
          <w:p w14:paraId="6B795AA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996D41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A543FAB" w14:textId="77777777" w:rsidR="008E5DE4" w:rsidRDefault="008E5DE4">
            <w:pPr>
              <w:widowControl w:val="0"/>
              <w:pBdr>
                <w:top w:val="nil"/>
                <w:left w:val="nil"/>
                <w:bottom w:val="nil"/>
                <w:right w:val="nil"/>
                <w:between w:val="nil"/>
              </w:pBdr>
              <w:jc w:val="right"/>
              <w:rPr>
                <w:color w:val="000000"/>
              </w:rPr>
            </w:pPr>
          </w:p>
        </w:tc>
      </w:tr>
      <w:tr w:rsidR="008E5DE4" w14:paraId="08276AC7" w14:textId="77777777">
        <w:trPr>
          <w:cantSplit/>
        </w:trPr>
        <w:tc>
          <w:tcPr>
            <w:tcW w:w="5499" w:type="dxa"/>
            <w:vAlign w:val="bottom"/>
          </w:tcPr>
          <w:p w14:paraId="09D368B2" w14:textId="77777777" w:rsidR="008E5DE4" w:rsidRDefault="00780368">
            <w:pPr>
              <w:widowControl w:val="0"/>
              <w:pBdr>
                <w:top w:val="nil"/>
                <w:left w:val="nil"/>
                <w:bottom w:val="nil"/>
                <w:right w:val="nil"/>
                <w:between w:val="nil"/>
              </w:pBdr>
              <w:ind w:left="113" w:right="-57" w:hanging="113"/>
              <w:rPr>
                <w:color w:val="000000"/>
              </w:rPr>
            </w:pPr>
            <w:r>
              <w:rPr>
                <w:color w:val="000000"/>
              </w:rPr>
              <w:t>Goodwill</w:t>
            </w:r>
          </w:p>
        </w:tc>
        <w:tc>
          <w:tcPr>
            <w:tcW w:w="851" w:type="dxa"/>
            <w:vAlign w:val="bottom"/>
          </w:tcPr>
          <w:p w14:paraId="0E64249F"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2DDA4D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C093446" w14:textId="77777777" w:rsidR="008E5DE4" w:rsidRDefault="008E5DE4">
            <w:pPr>
              <w:widowControl w:val="0"/>
              <w:pBdr>
                <w:top w:val="nil"/>
                <w:left w:val="nil"/>
                <w:bottom w:val="nil"/>
                <w:right w:val="nil"/>
                <w:between w:val="nil"/>
              </w:pBdr>
              <w:jc w:val="right"/>
              <w:rPr>
                <w:color w:val="000000"/>
              </w:rPr>
            </w:pPr>
          </w:p>
        </w:tc>
      </w:tr>
      <w:tr w:rsidR="008E5DE4" w14:paraId="5AFD09EF" w14:textId="77777777">
        <w:trPr>
          <w:cantSplit/>
        </w:trPr>
        <w:tc>
          <w:tcPr>
            <w:tcW w:w="5499" w:type="dxa"/>
            <w:vAlign w:val="bottom"/>
          </w:tcPr>
          <w:p w14:paraId="6B3805D1" w14:textId="77777777" w:rsidR="008E5DE4" w:rsidRDefault="00780368">
            <w:pPr>
              <w:widowControl w:val="0"/>
              <w:pBdr>
                <w:top w:val="nil"/>
                <w:left w:val="nil"/>
                <w:bottom w:val="nil"/>
                <w:right w:val="nil"/>
                <w:between w:val="nil"/>
              </w:pBdr>
              <w:ind w:left="113" w:right="-57" w:hanging="113"/>
              <w:rPr>
                <w:color w:val="000000"/>
              </w:rPr>
            </w:pPr>
            <w:r>
              <w:rPr>
                <w:color w:val="000000"/>
              </w:rPr>
              <w:t>Other intangible assets</w:t>
            </w:r>
          </w:p>
        </w:tc>
        <w:tc>
          <w:tcPr>
            <w:tcW w:w="851" w:type="dxa"/>
            <w:vAlign w:val="bottom"/>
          </w:tcPr>
          <w:p w14:paraId="5F442599"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463566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1F6252E" w14:textId="77777777" w:rsidR="008E5DE4" w:rsidRDefault="008E5DE4">
            <w:pPr>
              <w:widowControl w:val="0"/>
              <w:pBdr>
                <w:top w:val="nil"/>
                <w:left w:val="nil"/>
                <w:bottom w:val="nil"/>
                <w:right w:val="nil"/>
                <w:between w:val="nil"/>
              </w:pBdr>
              <w:jc w:val="right"/>
              <w:rPr>
                <w:color w:val="000000"/>
              </w:rPr>
            </w:pPr>
          </w:p>
        </w:tc>
      </w:tr>
      <w:tr w:rsidR="008E5DE4" w14:paraId="237F81C2" w14:textId="77777777">
        <w:trPr>
          <w:cantSplit/>
        </w:trPr>
        <w:tc>
          <w:tcPr>
            <w:tcW w:w="5499" w:type="dxa"/>
            <w:vAlign w:val="bottom"/>
          </w:tcPr>
          <w:p w14:paraId="387306D2" w14:textId="77777777" w:rsidR="008E5DE4" w:rsidRDefault="00780368">
            <w:pPr>
              <w:widowControl w:val="0"/>
              <w:pBdr>
                <w:top w:val="nil"/>
                <w:left w:val="nil"/>
                <w:bottom w:val="nil"/>
                <w:right w:val="nil"/>
                <w:between w:val="nil"/>
              </w:pBdr>
              <w:ind w:left="113" w:right="-57" w:hanging="113"/>
              <w:rPr>
                <w:color w:val="000000"/>
              </w:rPr>
            </w:pPr>
            <w:r>
              <w:rPr>
                <w:color w:val="000000"/>
              </w:rPr>
              <w:t>Investments in associates and joint ventures accounted for using equity method</w:t>
            </w:r>
          </w:p>
        </w:tc>
        <w:tc>
          <w:tcPr>
            <w:tcW w:w="851" w:type="dxa"/>
            <w:vAlign w:val="bottom"/>
          </w:tcPr>
          <w:p w14:paraId="2FD96D79"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34983D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6548502" w14:textId="77777777" w:rsidR="008E5DE4" w:rsidRDefault="008E5DE4">
            <w:pPr>
              <w:widowControl w:val="0"/>
              <w:pBdr>
                <w:top w:val="nil"/>
                <w:left w:val="nil"/>
                <w:bottom w:val="nil"/>
                <w:right w:val="nil"/>
                <w:between w:val="nil"/>
              </w:pBdr>
              <w:jc w:val="right"/>
              <w:rPr>
                <w:color w:val="000000"/>
              </w:rPr>
            </w:pPr>
          </w:p>
        </w:tc>
      </w:tr>
      <w:tr w:rsidR="008E5DE4" w14:paraId="453E388A" w14:textId="77777777">
        <w:trPr>
          <w:cantSplit/>
        </w:trPr>
        <w:tc>
          <w:tcPr>
            <w:tcW w:w="5499" w:type="dxa"/>
            <w:vAlign w:val="bottom"/>
          </w:tcPr>
          <w:p w14:paraId="6DA1B5D5"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Investments in equity securities </w:t>
            </w:r>
          </w:p>
        </w:tc>
        <w:tc>
          <w:tcPr>
            <w:tcW w:w="851" w:type="dxa"/>
            <w:vAlign w:val="bottom"/>
          </w:tcPr>
          <w:p w14:paraId="6FC99BB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467DF0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FE4BD48" w14:textId="77777777" w:rsidR="008E5DE4" w:rsidRDefault="008E5DE4">
            <w:pPr>
              <w:widowControl w:val="0"/>
              <w:pBdr>
                <w:top w:val="nil"/>
                <w:left w:val="nil"/>
                <w:bottom w:val="nil"/>
                <w:right w:val="nil"/>
                <w:between w:val="nil"/>
              </w:pBdr>
              <w:jc w:val="right"/>
              <w:rPr>
                <w:color w:val="000000"/>
              </w:rPr>
            </w:pPr>
          </w:p>
        </w:tc>
      </w:tr>
      <w:tr w:rsidR="008E5DE4" w14:paraId="17D927A0" w14:textId="77777777">
        <w:trPr>
          <w:cantSplit/>
        </w:trPr>
        <w:tc>
          <w:tcPr>
            <w:tcW w:w="5499" w:type="dxa"/>
            <w:vAlign w:val="bottom"/>
          </w:tcPr>
          <w:p w14:paraId="7F0BE79C"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Investments in debt securities </w:t>
            </w:r>
          </w:p>
        </w:tc>
        <w:tc>
          <w:tcPr>
            <w:tcW w:w="851" w:type="dxa"/>
            <w:vAlign w:val="bottom"/>
          </w:tcPr>
          <w:p w14:paraId="06C157F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2576D3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F061826" w14:textId="77777777" w:rsidR="008E5DE4" w:rsidRDefault="008E5DE4">
            <w:pPr>
              <w:widowControl w:val="0"/>
              <w:pBdr>
                <w:top w:val="nil"/>
                <w:left w:val="nil"/>
                <w:bottom w:val="nil"/>
                <w:right w:val="nil"/>
                <w:between w:val="nil"/>
              </w:pBdr>
              <w:jc w:val="right"/>
              <w:rPr>
                <w:color w:val="000000"/>
              </w:rPr>
            </w:pPr>
          </w:p>
        </w:tc>
      </w:tr>
      <w:tr w:rsidR="008E5DE4" w14:paraId="1AA63DF0" w14:textId="77777777">
        <w:trPr>
          <w:cantSplit/>
        </w:trPr>
        <w:tc>
          <w:tcPr>
            <w:tcW w:w="5499" w:type="dxa"/>
            <w:vAlign w:val="bottom"/>
          </w:tcPr>
          <w:p w14:paraId="00D1D2FC" w14:textId="77777777" w:rsidR="008E5DE4" w:rsidRDefault="00780368">
            <w:pPr>
              <w:widowControl w:val="0"/>
              <w:pBdr>
                <w:top w:val="nil"/>
                <w:left w:val="nil"/>
                <w:bottom w:val="nil"/>
                <w:right w:val="nil"/>
                <w:between w:val="nil"/>
              </w:pBdr>
              <w:ind w:left="113" w:right="-57" w:hanging="113"/>
              <w:rPr>
                <w:color w:val="000000"/>
              </w:rPr>
            </w:pPr>
            <w:r>
              <w:rPr>
                <w:color w:val="000000"/>
              </w:rPr>
              <w:t>Deferred income tax asset</w:t>
            </w:r>
          </w:p>
        </w:tc>
        <w:tc>
          <w:tcPr>
            <w:tcW w:w="851" w:type="dxa"/>
            <w:vAlign w:val="bottom"/>
          </w:tcPr>
          <w:p w14:paraId="0C97C75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5C649F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31152E8" w14:textId="77777777" w:rsidR="008E5DE4" w:rsidRDefault="008E5DE4">
            <w:pPr>
              <w:widowControl w:val="0"/>
              <w:pBdr>
                <w:top w:val="nil"/>
                <w:left w:val="nil"/>
                <w:bottom w:val="nil"/>
                <w:right w:val="nil"/>
                <w:between w:val="nil"/>
              </w:pBdr>
              <w:jc w:val="right"/>
              <w:rPr>
                <w:color w:val="000000"/>
              </w:rPr>
            </w:pPr>
          </w:p>
        </w:tc>
      </w:tr>
      <w:tr w:rsidR="008E5DE4" w14:paraId="059ACD2A" w14:textId="77777777">
        <w:trPr>
          <w:cantSplit/>
        </w:trPr>
        <w:tc>
          <w:tcPr>
            <w:tcW w:w="5499" w:type="dxa"/>
            <w:vAlign w:val="bottom"/>
          </w:tcPr>
          <w:p w14:paraId="76A2E7BE" w14:textId="77777777" w:rsidR="008E5DE4" w:rsidRDefault="00780368">
            <w:pPr>
              <w:widowControl w:val="0"/>
              <w:pBdr>
                <w:top w:val="nil"/>
                <w:left w:val="nil"/>
                <w:bottom w:val="nil"/>
                <w:right w:val="nil"/>
                <w:between w:val="nil"/>
              </w:pBdr>
              <w:ind w:left="113" w:right="-57" w:hanging="113"/>
              <w:rPr>
                <w:color w:val="000000"/>
              </w:rPr>
            </w:pPr>
            <w:r>
              <w:rPr>
                <w:color w:val="000000"/>
              </w:rPr>
              <w:t>Finance lease receivables</w:t>
            </w:r>
          </w:p>
        </w:tc>
        <w:tc>
          <w:tcPr>
            <w:tcW w:w="851" w:type="dxa"/>
            <w:vAlign w:val="bottom"/>
          </w:tcPr>
          <w:p w14:paraId="62A14FC5"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17E1A3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DBFE401" w14:textId="77777777" w:rsidR="008E5DE4" w:rsidRDefault="008E5DE4">
            <w:pPr>
              <w:widowControl w:val="0"/>
              <w:pBdr>
                <w:top w:val="nil"/>
                <w:left w:val="nil"/>
                <w:bottom w:val="nil"/>
                <w:right w:val="nil"/>
                <w:between w:val="nil"/>
              </w:pBdr>
              <w:jc w:val="right"/>
              <w:rPr>
                <w:color w:val="000000"/>
              </w:rPr>
            </w:pPr>
          </w:p>
        </w:tc>
      </w:tr>
      <w:tr w:rsidR="008E5DE4" w14:paraId="1B5407F1" w14:textId="77777777">
        <w:trPr>
          <w:cantSplit/>
        </w:trPr>
        <w:tc>
          <w:tcPr>
            <w:tcW w:w="5499" w:type="dxa"/>
            <w:vAlign w:val="bottom"/>
          </w:tcPr>
          <w:p w14:paraId="1EBD6CB9" w14:textId="77777777" w:rsidR="008E5DE4" w:rsidRDefault="00780368">
            <w:pPr>
              <w:widowControl w:val="0"/>
              <w:pBdr>
                <w:top w:val="nil"/>
                <w:left w:val="nil"/>
                <w:bottom w:val="nil"/>
                <w:right w:val="nil"/>
                <w:between w:val="nil"/>
              </w:pBdr>
              <w:ind w:left="113" w:right="-57" w:hanging="113"/>
              <w:rPr>
                <w:color w:val="000000"/>
              </w:rPr>
            </w:pPr>
            <w:r>
              <w:rPr>
                <w:color w:val="000000"/>
              </w:rPr>
              <w:t>Other non-current assets</w:t>
            </w:r>
          </w:p>
        </w:tc>
        <w:tc>
          <w:tcPr>
            <w:tcW w:w="851" w:type="dxa"/>
            <w:vAlign w:val="bottom"/>
          </w:tcPr>
          <w:p w14:paraId="6400ABF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8D28D8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08D6478" w14:textId="77777777" w:rsidR="008E5DE4" w:rsidRDefault="008E5DE4">
            <w:pPr>
              <w:widowControl w:val="0"/>
              <w:pBdr>
                <w:top w:val="nil"/>
                <w:left w:val="nil"/>
                <w:bottom w:val="nil"/>
                <w:right w:val="nil"/>
                <w:between w:val="nil"/>
              </w:pBdr>
              <w:jc w:val="right"/>
              <w:rPr>
                <w:color w:val="000000"/>
              </w:rPr>
            </w:pPr>
          </w:p>
        </w:tc>
      </w:tr>
      <w:tr w:rsidR="008E5DE4" w14:paraId="6A0979E2" w14:textId="77777777">
        <w:trPr>
          <w:cantSplit/>
        </w:trPr>
        <w:tc>
          <w:tcPr>
            <w:tcW w:w="5499" w:type="dxa"/>
            <w:tcBorders>
              <w:bottom w:val="single" w:sz="4" w:space="0" w:color="000000"/>
            </w:tcBorders>
            <w:vAlign w:val="bottom"/>
          </w:tcPr>
          <w:p w14:paraId="01C172CF"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tcBorders>
              <w:bottom w:val="single" w:sz="4" w:space="0" w:color="000000"/>
            </w:tcBorders>
            <w:vAlign w:val="bottom"/>
          </w:tcPr>
          <w:p w14:paraId="755E22E6"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376DB82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073DD462" w14:textId="77777777" w:rsidR="008E5DE4" w:rsidRDefault="008E5DE4">
            <w:pPr>
              <w:widowControl w:val="0"/>
              <w:pBdr>
                <w:top w:val="nil"/>
                <w:left w:val="nil"/>
                <w:bottom w:val="nil"/>
                <w:right w:val="nil"/>
                <w:between w:val="nil"/>
              </w:pBdr>
              <w:jc w:val="right"/>
              <w:rPr>
                <w:color w:val="000000"/>
              </w:rPr>
            </w:pPr>
          </w:p>
        </w:tc>
      </w:tr>
      <w:tr w:rsidR="008E5DE4" w14:paraId="0FA18BE9" w14:textId="77777777">
        <w:trPr>
          <w:cantSplit/>
        </w:trPr>
        <w:tc>
          <w:tcPr>
            <w:tcW w:w="5499" w:type="dxa"/>
            <w:vAlign w:val="bottom"/>
          </w:tcPr>
          <w:p w14:paraId="0895BB7B"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vAlign w:val="bottom"/>
          </w:tcPr>
          <w:p w14:paraId="7346122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23281E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6ADABB8" w14:textId="77777777" w:rsidR="008E5DE4" w:rsidRDefault="008E5DE4">
            <w:pPr>
              <w:widowControl w:val="0"/>
              <w:pBdr>
                <w:top w:val="nil"/>
                <w:left w:val="nil"/>
                <w:bottom w:val="nil"/>
                <w:right w:val="nil"/>
                <w:between w:val="nil"/>
              </w:pBdr>
              <w:jc w:val="right"/>
              <w:rPr>
                <w:color w:val="000000"/>
              </w:rPr>
            </w:pPr>
          </w:p>
        </w:tc>
      </w:tr>
      <w:tr w:rsidR="008E5DE4" w14:paraId="31A392BD" w14:textId="77777777">
        <w:trPr>
          <w:cantSplit/>
        </w:trPr>
        <w:tc>
          <w:tcPr>
            <w:tcW w:w="5499" w:type="dxa"/>
            <w:vAlign w:val="bottom"/>
          </w:tcPr>
          <w:p w14:paraId="438129DC"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non-current assets</w:t>
            </w:r>
          </w:p>
        </w:tc>
        <w:tc>
          <w:tcPr>
            <w:tcW w:w="851" w:type="dxa"/>
            <w:vAlign w:val="bottom"/>
          </w:tcPr>
          <w:p w14:paraId="4D2FA9F3"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8979EA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BAD47AD" w14:textId="77777777" w:rsidR="008E5DE4" w:rsidRDefault="008E5DE4">
            <w:pPr>
              <w:widowControl w:val="0"/>
              <w:pBdr>
                <w:top w:val="nil"/>
                <w:left w:val="nil"/>
                <w:bottom w:val="nil"/>
                <w:right w:val="nil"/>
                <w:between w:val="nil"/>
              </w:pBdr>
              <w:jc w:val="right"/>
              <w:rPr>
                <w:color w:val="000000"/>
              </w:rPr>
            </w:pPr>
          </w:p>
        </w:tc>
      </w:tr>
      <w:tr w:rsidR="008E5DE4" w14:paraId="0A452787" w14:textId="77777777">
        <w:trPr>
          <w:cantSplit/>
        </w:trPr>
        <w:tc>
          <w:tcPr>
            <w:tcW w:w="5499" w:type="dxa"/>
            <w:tcBorders>
              <w:bottom w:val="single" w:sz="4" w:space="0" w:color="000000"/>
            </w:tcBorders>
            <w:vAlign w:val="bottom"/>
          </w:tcPr>
          <w:p w14:paraId="6B411CCC"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bottom w:val="single" w:sz="4" w:space="0" w:color="000000"/>
            </w:tcBorders>
            <w:vAlign w:val="bottom"/>
          </w:tcPr>
          <w:p w14:paraId="3BFAAA88"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1A6CF6F4"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614AB66C" w14:textId="77777777" w:rsidR="008E5DE4" w:rsidRDefault="008E5DE4">
            <w:pPr>
              <w:widowControl w:val="0"/>
              <w:pBdr>
                <w:top w:val="nil"/>
                <w:left w:val="nil"/>
                <w:bottom w:val="nil"/>
                <w:right w:val="nil"/>
                <w:between w:val="nil"/>
              </w:pBdr>
              <w:jc w:val="right"/>
              <w:rPr>
                <w:color w:val="000000"/>
              </w:rPr>
            </w:pPr>
          </w:p>
        </w:tc>
      </w:tr>
      <w:tr w:rsidR="008E5DE4" w14:paraId="3C62A709" w14:textId="77777777">
        <w:trPr>
          <w:cantSplit/>
        </w:trPr>
        <w:tc>
          <w:tcPr>
            <w:tcW w:w="5499" w:type="dxa"/>
            <w:tcBorders>
              <w:top w:val="single" w:sz="4" w:space="0" w:color="000000"/>
            </w:tcBorders>
            <w:vAlign w:val="bottom"/>
          </w:tcPr>
          <w:p w14:paraId="1A0A14CD"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851" w:type="dxa"/>
            <w:tcBorders>
              <w:top w:val="single" w:sz="4" w:space="0" w:color="000000"/>
            </w:tcBorders>
            <w:vAlign w:val="bottom"/>
          </w:tcPr>
          <w:p w14:paraId="0FCCBD24"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top w:val="single" w:sz="4" w:space="0" w:color="000000"/>
            </w:tcBorders>
            <w:vAlign w:val="bottom"/>
          </w:tcPr>
          <w:p w14:paraId="3C80B830" w14:textId="77777777" w:rsidR="008E5DE4" w:rsidRDefault="008E5DE4">
            <w:pPr>
              <w:widowControl w:val="0"/>
              <w:pBdr>
                <w:top w:val="nil"/>
                <w:left w:val="nil"/>
                <w:bottom w:val="nil"/>
                <w:right w:val="nil"/>
                <w:between w:val="nil"/>
              </w:pBdr>
              <w:jc w:val="right"/>
              <w:rPr>
                <w:b/>
                <w:smallCaps/>
                <w:color w:val="000000"/>
              </w:rPr>
            </w:pPr>
          </w:p>
        </w:tc>
        <w:tc>
          <w:tcPr>
            <w:tcW w:w="1531" w:type="dxa"/>
            <w:tcBorders>
              <w:top w:val="single" w:sz="4" w:space="0" w:color="000000"/>
            </w:tcBorders>
            <w:vAlign w:val="bottom"/>
          </w:tcPr>
          <w:p w14:paraId="3126E66D" w14:textId="77777777" w:rsidR="008E5DE4" w:rsidRDefault="008E5DE4">
            <w:pPr>
              <w:widowControl w:val="0"/>
              <w:pBdr>
                <w:top w:val="nil"/>
                <w:left w:val="nil"/>
                <w:bottom w:val="nil"/>
                <w:right w:val="nil"/>
                <w:between w:val="nil"/>
              </w:pBdr>
              <w:jc w:val="right"/>
              <w:rPr>
                <w:b/>
                <w:smallCaps/>
                <w:color w:val="000000"/>
              </w:rPr>
            </w:pPr>
          </w:p>
        </w:tc>
      </w:tr>
      <w:tr w:rsidR="008E5DE4" w14:paraId="6A9370AA" w14:textId="77777777">
        <w:trPr>
          <w:cantSplit/>
        </w:trPr>
        <w:tc>
          <w:tcPr>
            <w:tcW w:w="5499" w:type="dxa"/>
            <w:vAlign w:val="bottom"/>
          </w:tcPr>
          <w:p w14:paraId="2FAECA07"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ASSETS</w:t>
            </w:r>
          </w:p>
        </w:tc>
        <w:tc>
          <w:tcPr>
            <w:tcW w:w="851" w:type="dxa"/>
            <w:vAlign w:val="bottom"/>
          </w:tcPr>
          <w:p w14:paraId="5F894C80"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3148C229"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4F4D7BCE" w14:textId="77777777" w:rsidR="008E5DE4" w:rsidRDefault="008E5DE4">
            <w:pPr>
              <w:widowControl w:val="0"/>
              <w:pBdr>
                <w:top w:val="nil"/>
                <w:left w:val="nil"/>
                <w:bottom w:val="nil"/>
                <w:right w:val="nil"/>
                <w:between w:val="nil"/>
              </w:pBdr>
              <w:jc w:val="right"/>
              <w:rPr>
                <w:b/>
                <w:smallCaps/>
                <w:color w:val="000000"/>
              </w:rPr>
            </w:pPr>
          </w:p>
        </w:tc>
      </w:tr>
      <w:tr w:rsidR="008E5DE4" w14:paraId="1C7B58F1" w14:textId="77777777">
        <w:trPr>
          <w:cantSplit/>
        </w:trPr>
        <w:tc>
          <w:tcPr>
            <w:tcW w:w="5499" w:type="dxa"/>
            <w:vAlign w:val="bottom"/>
          </w:tcPr>
          <w:p w14:paraId="35561A00" w14:textId="77777777" w:rsidR="008E5DE4" w:rsidRDefault="00780368">
            <w:pPr>
              <w:widowControl w:val="0"/>
              <w:ind w:left="113" w:right="-57" w:hanging="113"/>
            </w:pPr>
            <w:r>
              <w:t> </w:t>
            </w:r>
          </w:p>
        </w:tc>
        <w:tc>
          <w:tcPr>
            <w:tcW w:w="851" w:type="dxa"/>
            <w:vAlign w:val="bottom"/>
          </w:tcPr>
          <w:p w14:paraId="43304F9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F6A025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0E78238" w14:textId="77777777" w:rsidR="008E5DE4" w:rsidRDefault="008E5DE4">
            <w:pPr>
              <w:widowControl w:val="0"/>
              <w:pBdr>
                <w:top w:val="nil"/>
                <w:left w:val="nil"/>
                <w:bottom w:val="nil"/>
                <w:right w:val="nil"/>
                <w:between w:val="nil"/>
              </w:pBdr>
              <w:jc w:val="right"/>
              <w:rPr>
                <w:color w:val="000000"/>
              </w:rPr>
            </w:pPr>
          </w:p>
        </w:tc>
      </w:tr>
      <w:tr w:rsidR="008E5DE4" w14:paraId="184BC089" w14:textId="77777777">
        <w:trPr>
          <w:cantSplit/>
        </w:trPr>
        <w:tc>
          <w:tcPr>
            <w:tcW w:w="5499" w:type="dxa"/>
            <w:tcBorders>
              <w:top w:val="single" w:sz="12" w:space="0" w:color="000000"/>
            </w:tcBorders>
            <w:vAlign w:val="bottom"/>
          </w:tcPr>
          <w:p w14:paraId="430FCAAD" w14:textId="77777777" w:rsidR="008E5DE4" w:rsidRDefault="00780368">
            <w:pPr>
              <w:widowControl w:val="0"/>
              <w:ind w:left="113" w:right="-57" w:hanging="113"/>
            </w:pPr>
            <w:r>
              <w:t> </w:t>
            </w:r>
          </w:p>
        </w:tc>
        <w:tc>
          <w:tcPr>
            <w:tcW w:w="851" w:type="dxa"/>
            <w:tcBorders>
              <w:top w:val="single" w:sz="12" w:space="0" w:color="000000"/>
            </w:tcBorders>
            <w:vAlign w:val="bottom"/>
          </w:tcPr>
          <w:p w14:paraId="4FDF205E"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12" w:space="0" w:color="000000"/>
            </w:tcBorders>
            <w:vAlign w:val="bottom"/>
          </w:tcPr>
          <w:p w14:paraId="3DE9A7F7"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12" w:space="0" w:color="000000"/>
            </w:tcBorders>
            <w:vAlign w:val="bottom"/>
          </w:tcPr>
          <w:p w14:paraId="47DD8533" w14:textId="77777777" w:rsidR="008E5DE4" w:rsidRDefault="008E5DE4">
            <w:pPr>
              <w:widowControl w:val="0"/>
              <w:pBdr>
                <w:top w:val="nil"/>
                <w:left w:val="nil"/>
                <w:bottom w:val="nil"/>
                <w:right w:val="nil"/>
                <w:between w:val="nil"/>
              </w:pBdr>
              <w:jc w:val="right"/>
              <w:rPr>
                <w:color w:val="000000"/>
              </w:rPr>
            </w:pPr>
          </w:p>
        </w:tc>
      </w:tr>
      <w:tr w:rsidR="008E5DE4" w14:paraId="58A0378D" w14:textId="77777777">
        <w:trPr>
          <w:cantSplit/>
        </w:trPr>
        <w:tc>
          <w:tcPr>
            <w:tcW w:w="5499" w:type="dxa"/>
            <w:vAlign w:val="bottom"/>
          </w:tcPr>
          <w:p w14:paraId="2D25F46E"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LIABILITIES</w:t>
            </w:r>
          </w:p>
        </w:tc>
        <w:tc>
          <w:tcPr>
            <w:tcW w:w="851" w:type="dxa"/>
            <w:vAlign w:val="bottom"/>
          </w:tcPr>
          <w:p w14:paraId="241EDD54"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4F1DB04A" w14:textId="77777777" w:rsidR="008E5DE4" w:rsidRDefault="008E5DE4">
            <w:pPr>
              <w:widowControl w:val="0"/>
              <w:pBdr>
                <w:top w:val="nil"/>
                <w:left w:val="nil"/>
                <w:bottom w:val="nil"/>
                <w:right w:val="nil"/>
                <w:between w:val="nil"/>
              </w:pBdr>
              <w:jc w:val="right"/>
              <w:rPr>
                <w:smallCaps/>
                <w:color w:val="000000"/>
              </w:rPr>
            </w:pPr>
          </w:p>
        </w:tc>
        <w:tc>
          <w:tcPr>
            <w:tcW w:w="1531" w:type="dxa"/>
            <w:vAlign w:val="bottom"/>
          </w:tcPr>
          <w:p w14:paraId="4100D961" w14:textId="77777777" w:rsidR="008E5DE4" w:rsidRDefault="008E5DE4">
            <w:pPr>
              <w:widowControl w:val="0"/>
              <w:pBdr>
                <w:top w:val="nil"/>
                <w:left w:val="nil"/>
                <w:bottom w:val="nil"/>
                <w:right w:val="nil"/>
                <w:between w:val="nil"/>
              </w:pBdr>
              <w:jc w:val="right"/>
              <w:rPr>
                <w:smallCaps/>
                <w:color w:val="000000"/>
              </w:rPr>
            </w:pPr>
          </w:p>
        </w:tc>
      </w:tr>
      <w:tr w:rsidR="008E5DE4" w14:paraId="49AD9B0C" w14:textId="77777777">
        <w:trPr>
          <w:cantSplit/>
        </w:trPr>
        <w:tc>
          <w:tcPr>
            <w:tcW w:w="5499" w:type="dxa"/>
            <w:vAlign w:val="bottom"/>
          </w:tcPr>
          <w:p w14:paraId="158009D8"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vAlign w:val="bottom"/>
          </w:tcPr>
          <w:p w14:paraId="6C06735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E83C29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FCC3F85" w14:textId="77777777" w:rsidR="008E5DE4" w:rsidRDefault="008E5DE4">
            <w:pPr>
              <w:widowControl w:val="0"/>
              <w:pBdr>
                <w:top w:val="nil"/>
                <w:left w:val="nil"/>
                <w:bottom w:val="nil"/>
                <w:right w:val="nil"/>
                <w:between w:val="nil"/>
              </w:pBdr>
              <w:jc w:val="right"/>
              <w:rPr>
                <w:color w:val="000000"/>
              </w:rPr>
            </w:pPr>
          </w:p>
        </w:tc>
      </w:tr>
      <w:tr w:rsidR="008E5DE4" w14:paraId="4C229827" w14:textId="77777777">
        <w:trPr>
          <w:cantSplit/>
        </w:trPr>
        <w:tc>
          <w:tcPr>
            <w:tcW w:w="5499" w:type="dxa"/>
            <w:vAlign w:val="bottom"/>
          </w:tcPr>
          <w:p w14:paraId="2421EB03" w14:textId="77777777" w:rsidR="008E5DE4" w:rsidRDefault="00780368">
            <w:pPr>
              <w:widowControl w:val="0"/>
              <w:pBdr>
                <w:top w:val="nil"/>
                <w:left w:val="nil"/>
                <w:bottom w:val="nil"/>
                <w:right w:val="nil"/>
                <w:between w:val="nil"/>
              </w:pBdr>
              <w:ind w:left="113" w:right="-57" w:hanging="113"/>
              <w:rPr>
                <w:b/>
                <w:color w:val="000000"/>
              </w:rPr>
            </w:pPr>
            <w:r>
              <w:rPr>
                <w:b/>
                <w:color w:val="000000"/>
              </w:rPr>
              <w:t>Current liabilities</w:t>
            </w:r>
          </w:p>
        </w:tc>
        <w:tc>
          <w:tcPr>
            <w:tcW w:w="851" w:type="dxa"/>
            <w:vAlign w:val="bottom"/>
          </w:tcPr>
          <w:p w14:paraId="444188C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12977C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EE54205" w14:textId="77777777" w:rsidR="008E5DE4" w:rsidRDefault="008E5DE4">
            <w:pPr>
              <w:widowControl w:val="0"/>
              <w:pBdr>
                <w:top w:val="nil"/>
                <w:left w:val="nil"/>
                <w:bottom w:val="nil"/>
                <w:right w:val="nil"/>
                <w:between w:val="nil"/>
              </w:pBdr>
              <w:jc w:val="right"/>
              <w:rPr>
                <w:color w:val="000000"/>
              </w:rPr>
            </w:pPr>
          </w:p>
        </w:tc>
      </w:tr>
      <w:tr w:rsidR="008E5DE4" w14:paraId="39F5B5EC" w14:textId="77777777">
        <w:trPr>
          <w:cantSplit/>
        </w:trPr>
        <w:tc>
          <w:tcPr>
            <w:tcW w:w="5499" w:type="dxa"/>
            <w:vAlign w:val="bottom"/>
          </w:tcPr>
          <w:p w14:paraId="6633DDF1" w14:textId="77777777" w:rsidR="008E5DE4" w:rsidRDefault="00780368">
            <w:pPr>
              <w:widowControl w:val="0"/>
              <w:pBdr>
                <w:top w:val="nil"/>
                <w:left w:val="nil"/>
                <w:bottom w:val="nil"/>
                <w:right w:val="nil"/>
                <w:between w:val="nil"/>
              </w:pBdr>
              <w:ind w:left="113" w:right="-57" w:hanging="113"/>
              <w:rPr>
                <w:color w:val="000000"/>
              </w:rPr>
            </w:pPr>
            <w:r>
              <w:rPr>
                <w:color w:val="000000"/>
              </w:rPr>
              <w:t>Trade and other payables</w:t>
            </w:r>
          </w:p>
        </w:tc>
        <w:tc>
          <w:tcPr>
            <w:tcW w:w="851" w:type="dxa"/>
            <w:vAlign w:val="bottom"/>
          </w:tcPr>
          <w:p w14:paraId="6ED6553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F902A0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8A9ECFE" w14:textId="77777777" w:rsidR="008E5DE4" w:rsidRDefault="008E5DE4">
            <w:pPr>
              <w:widowControl w:val="0"/>
              <w:pBdr>
                <w:top w:val="nil"/>
                <w:left w:val="nil"/>
                <w:bottom w:val="nil"/>
                <w:right w:val="nil"/>
                <w:between w:val="nil"/>
              </w:pBdr>
              <w:jc w:val="right"/>
              <w:rPr>
                <w:color w:val="000000"/>
              </w:rPr>
            </w:pPr>
          </w:p>
        </w:tc>
      </w:tr>
      <w:tr w:rsidR="008E5DE4" w14:paraId="5CC32F1C" w14:textId="77777777">
        <w:trPr>
          <w:cantSplit/>
        </w:trPr>
        <w:tc>
          <w:tcPr>
            <w:tcW w:w="5499" w:type="dxa"/>
            <w:vAlign w:val="bottom"/>
          </w:tcPr>
          <w:p w14:paraId="2250FCEC" w14:textId="77777777" w:rsidR="008E5DE4" w:rsidRDefault="00780368">
            <w:pPr>
              <w:widowControl w:val="0"/>
              <w:pBdr>
                <w:top w:val="nil"/>
                <w:left w:val="nil"/>
                <w:bottom w:val="nil"/>
                <w:right w:val="nil"/>
                <w:between w:val="nil"/>
              </w:pBdr>
              <w:ind w:left="113" w:right="-57" w:hanging="113"/>
              <w:rPr>
                <w:color w:val="000000"/>
              </w:rPr>
            </w:pPr>
            <w:r>
              <w:rPr>
                <w:color w:val="000000"/>
              </w:rPr>
              <w:t>Contract liabilities</w:t>
            </w:r>
          </w:p>
        </w:tc>
        <w:tc>
          <w:tcPr>
            <w:tcW w:w="851" w:type="dxa"/>
            <w:vAlign w:val="bottom"/>
          </w:tcPr>
          <w:p w14:paraId="1803A993"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F8D3CF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8681A3B" w14:textId="77777777" w:rsidR="008E5DE4" w:rsidRDefault="008E5DE4">
            <w:pPr>
              <w:widowControl w:val="0"/>
              <w:pBdr>
                <w:top w:val="nil"/>
                <w:left w:val="nil"/>
                <w:bottom w:val="nil"/>
                <w:right w:val="nil"/>
                <w:between w:val="nil"/>
              </w:pBdr>
              <w:jc w:val="right"/>
              <w:rPr>
                <w:color w:val="000000"/>
              </w:rPr>
            </w:pPr>
          </w:p>
        </w:tc>
      </w:tr>
      <w:tr w:rsidR="008E5DE4" w14:paraId="7AA20FD7" w14:textId="77777777">
        <w:trPr>
          <w:cantSplit/>
        </w:trPr>
        <w:tc>
          <w:tcPr>
            <w:tcW w:w="5499" w:type="dxa"/>
            <w:vAlign w:val="bottom"/>
          </w:tcPr>
          <w:p w14:paraId="46F331AB" w14:textId="77777777" w:rsidR="008E5DE4" w:rsidRDefault="00780368">
            <w:pPr>
              <w:widowControl w:val="0"/>
              <w:pBdr>
                <w:top w:val="nil"/>
                <w:left w:val="nil"/>
                <w:bottom w:val="nil"/>
                <w:right w:val="nil"/>
                <w:between w:val="nil"/>
              </w:pBdr>
              <w:ind w:left="113" w:right="-57" w:hanging="113"/>
              <w:rPr>
                <w:color w:val="000000"/>
              </w:rPr>
            </w:pPr>
            <w:r>
              <w:rPr>
                <w:color w:val="000000"/>
              </w:rPr>
              <w:t>Borrowings</w:t>
            </w:r>
          </w:p>
        </w:tc>
        <w:tc>
          <w:tcPr>
            <w:tcW w:w="851" w:type="dxa"/>
            <w:vAlign w:val="bottom"/>
          </w:tcPr>
          <w:p w14:paraId="7AC5478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D571C0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1DA314D" w14:textId="77777777" w:rsidR="008E5DE4" w:rsidRDefault="008E5DE4">
            <w:pPr>
              <w:widowControl w:val="0"/>
              <w:pBdr>
                <w:top w:val="nil"/>
                <w:left w:val="nil"/>
                <w:bottom w:val="nil"/>
                <w:right w:val="nil"/>
                <w:between w:val="nil"/>
              </w:pBdr>
              <w:jc w:val="right"/>
              <w:rPr>
                <w:color w:val="000000"/>
              </w:rPr>
            </w:pPr>
          </w:p>
        </w:tc>
      </w:tr>
      <w:tr w:rsidR="008E5DE4" w14:paraId="15918724" w14:textId="77777777">
        <w:trPr>
          <w:cantSplit/>
        </w:trPr>
        <w:tc>
          <w:tcPr>
            <w:tcW w:w="5499" w:type="dxa"/>
            <w:vAlign w:val="bottom"/>
          </w:tcPr>
          <w:p w14:paraId="3646A623" w14:textId="77777777" w:rsidR="008E5DE4" w:rsidRDefault="00780368">
            <w:pPr>
              <w:widowControl w:val="0"/>
              <w:pBdr>
                <w:top w:val="nil"/>
                <w:left w:val="nil"/>
                <w:bottom w:val="nil"/>
                <w:right w:val="nil"/>
                <w:between w:val="nil"/>
              </w:pBdr>
              <w:ind w:left="113" w:right="-57" w:hanging="113"/>
              <w:rPr>
                <w:color w:val="000000"/>
              </w:rPr>
            </w:pPr>
            <w:r>
              <w:rPr>
                <w:color w:val="000000"/>
              </w:rPr>
              <w:t>Lease liabilities</w:t>
            </w:r>
          </w:p>
        </w:tc>
        <w:tc>
          <w:tcPr>
            <w:tcW w:w="851" w:type="dxa"/>
            <w:vAlign w:val="bottom"/>
          </w:tcPr>
          <w:p w14:paraId="4F60707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1C6963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A7C81EE" w14:textId="77777777" w:rsidR="008E5DE4" w:rsidRDefault="008E5DE4">
            <w:pPr>
              <w:widowControl w:val="0"/>
              <w:pBdr>
                <w:top w:val="nil"/>
                <w:left w:val="nil"/>
                <w:bottom w:val="nil"/>
                <w:right w:val="nil"/>
                <w:between w:val="nil"/>
              </w:pBdr>
              <w:jc w:val="right"/>
              <w:rPr>
                <w:color w:val="000000"/>
              </w:rPr>
            </w:pPr>
          </w:p>
        </w:tc>
      </w:tr>
      <w:tr w:rsidR="008E5DE4" w14:paraId="1977910C" w14:textId="77777777">
        <w:trPr>
          <w:cantSplit/>
        </w:trPr>
        <w:tc>
          <w:tcPr>
            <w:tcW w:w="5499" w:type="dxa"/>
            <w:vAlign w:val="bottom"/>
          </w:tcPr>
          <w:p w14:paraId="0AFA3757" w14:textId="77777777" w:rsidR="008E5DE4" w:rsidRDefault="00780368">
            <w:pPr>
              <w:widowControl w:val="0"/>
              <w:pBdr>
                <w:top w:val="nil"/>
                <w:left w:val="nil"/>
                <w:bottom w:val="nil"/>
                <w:right w:val="nil"/>
                <w:between w:val="nil"/>
              </w:pBdr>
              <w:ind w:left="113" w:right="-57" w:hanging="113"/>
              <w:rPr>
                <w:color w:val="000000"/>
              </w:rPr>
            </w:pPr>
            <w:r>
              <w:rPr>
                <w:color w:val="000000"/>
              </w:rPr>
              <w:t>Derivative financial instruments</w:t>
            </w:r>
          </w:p>
        </w:tc>
        <w:tc>
          <w:tcPr>
            <w:tcW w:w="851" w:type="dxa"/>
            <w:vAlign w:val="bottom"/>
          </w:tcPr>
          <w:p w14:paraId="3C29AE1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609808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59392E7" w14:textId="77777777" w:rsidR="008E5DE4" w:rsidRDefault="008E5DE4">
            <w:pPr>
              <w:widowControl w:val="0"/>
              <w:pBdr>
                <w:top w:val="nil"/>
                <w:left w:val="nil"/>
                <w:bottom w:val="nil"/>
                <w:right w:val="nil"/>
                <w:between w:val="nil"/>
              </w:pBdr>
              <w:jc w:val="right"/>
              <w:rPr>
                <w:color w:val="000000"/>
              </w:rPr>
            </w:pPr>
          </w:p>
        </w:tc>
      </w:tr>
      <w:tr w:rsidR="008E5DE4" w14:paraId="59A2DE85" w14:textId="77777777">
        <w:trPr>
          <w:cantSplit/>
        </w:trPr>
        <w:tc>
          <w:tcPr>
            <w:tcW w:w="5499" w:type="dxa"/>
            <w:vAlign w:val="bottom"/>
          </w:tcPr>
          <w:p w14:paraId="1B0426C5" w14:textId="77777777" w:rsidR="008E5DE4" w:rsidRDefault="00780368">
            <w:pPr>
              <w:widowControl w:val="0"/>
              <w:pBdr>
                <w:top w:val="nil"/>
                <w:left w:val="nil"/>
                <w:bottom w:val="nil"/>
                <w:right w:val="nil"/>
                <w:between w:val="nil"/>
              </w:pBdr>
              <w:ind w:left="113" w:right="-57" w:hanging="113"/>
              <w:rPr>
                <w:color w:val="000000"/>
              </w:rPr>
            </w:pPr>
            <w:r>
              <w:rPr>
                <w:color w:val="000000"/>
              </w:rPr>
              <w:t>Current income tax payable</w:t>
            </w:r>
          </w:p>
        </w:tc>
        <w:tc>
          <w:tcPr>
            <w:tcW w:w="851" w:type="dxa"/>
            <w:vAlign w:val="bottom"/>
          </w:tcPr>
          <w:p w14:paraId="095009E5"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E983DC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185EB5C" w14:textId="77777777" w:rsidR="008E5DE4" w:rsidRDefault="008E5DE4">
            <w:pPr>
              <w:widowControl w:val="0"/>
              <w:pBdr>
                <w:top w:val="nil"/>
                <w:left w:val="nil"/>
                <w:bottom w:val="nil"/>
                <w:right w:val="nil"/>
                <w:between w:val="nil"/>
              </w:pBdr>
              <w:jc w:val="right"/>
              <w:rPr>
                <w:color w:val="000000"/>
              </w:rPr>
            </w:pPr>
          </w:p>
        </w:tc>
      </w:tr>
      <w:tr w:rsidR="008E5DE4" w14:paraId="34ED96A9" w14:textId="77777777">
        <w:trPr>
          <w:cantSplit/>
        </w:trPr>
        <w:tc>
          <w:tcPr>
            <w:tcW w:w="5499" w:type="dxa"/>
            <w:vAlign w:val="bottom"/>
          </w:tcPr>
          <w:p w14:paraId="583F73B3" w14:textId="77777777" w:rsidR="008E5DE4" w:rsidRDefault="00780368">
            <w:pPr>
              <w:widowControl w:val="0"/>
              <w:pBdr>
                <w:top w:val="nil"/>
                <w:left w:val="nil"/>
                <w:bottom w:val="nil"/>
                <w:right w:val="nil"/>
                <w:between w:val="nil"/>
              </w:pBdr>
              <w:ind w:left="113" w:right="-57" w:hanging="113"/>
              <w:rPr>
                <w:color w:val="000000"/>
              </w:rPr>
            </w:pPr>
            <w:r>
              <w:rPr>
                <w:color w:val="000000"/>
              </w:rPr>
              <w:t>Other taxes payable</w:t>
            </w:r>
          </w:p>
        </w:tc>
        <w:tc>
          <w:tcPr>
            <w:tcW w:w="851" w:type="dxa"/>
            <w:vAlign w:val="bottom"/>
          </w:tcPr>
          <w:p w14:paraId="15467CA3"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C282E3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C80D163" w14:textId="77777777" w:rsidR="008E5DE4" w:rsidRDefault="008E5DE4">
            <w:pPr>
              <w:widowControl w:val="0"/>
              <w:pBdr>
                <w:top w:val="nil"/>
                <w:left w:val="nil"/>
                <w:bottom w:val="nil"/>
                <w:right w:val="nil"/>
                <w:between w:val="nil"/>
              </w:pBdr>
              <w:jc w:val="right"/>
              <w:rPr>
                <w:color w:val="000000"/>
              </w:rPr>
            </w:pPr>
          </w:p>
        </w:tc>
      </w:tr>
      <w:tr w:rsidR="008E5DE4" w14:paraId="0DC01065" w14:textId="77777777">
        <w:trPr>
          <w:cantSplit/>
        </w:trPr>
        <w:tc>
          <w:tcPr>
            <w:tcW w:w="5499" w:type="dxa"/>
            <w:vAlign w:val="bottom"/>
          </w:tcPr>
          <w:p w14:paraId="19B9A71D" w14:textId="77777777" w:rsidR="008E5DE4" w:rsidRDefault="00780368">
            <w:pPr>
              <w:widowControl w:val="0"/>
              <w:pBdr>
                <w:top w:val="nil"/>
                <w:left w:val="nil"/>
                <w:bottom w:val="nil"/>
                <w:right w:val="nil"/>
                <w:between w:val="nil"/>
              </w:pBdr>
              <w:ind w:left="113" w:right="-57" w:hanging="113"/>
              <w:rPr>
                <w:color w:val="000000"/>
              </w:rPr>
            </w:pPr>
            <w:r>
              <w:rPr>
                <w:color w:val="000000"/>
              </w:rPr>
              <w:t>Other provisions for liabilities and charges</w:t>
            </w:r>
          </w:p>
        </w:tc>
        <w:tc>
          <w:tcPr>
            <w:tcW w:w="851" w:type="dxa"/>
            <w:vAlign w:val="bottom"/>
          </w:tcPr>
          <w:p w14:paraId="024CD59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8AA8AF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1A338A0" w14:textId="77777777" w:rsidR="008E5DE4" w:rsidRDefault="008E5DE4">
            <w:pPr>
              <w:widowControl w:val="0"/>
              <w:pBdr>
                <w:top w:val="nil"/>
                <w:left w:val="nil"/>
                <w:bottom w:val="nil"/>
                <w:right w:val="nil"/>
                <w:between w:val="nil"/>
              </w:pBdr>
              <w:jc w:val="right"/>
              <w:rPr>
                <w:color w:val="000000"/>
              </w:rPr>
            </w:pPr>
          </w:p>
        </w:tc>
      </w:tr>
      <w:tr w:rsidR="008E5DE4" w14:paraId="3E6FDF1A" w14:textId="77777777">
        <w:trPr>
          <w:cantSplit/>
        </w:trPr>
        <w:tc>
          <w:tcPr>
            <w:tcW w:w="5499" w:type="dxa"/>
            <w:tcBorders>
              <w:bottom w:val="single" w:sz="4" w:space="0" w:color="000000"/>
            </w:tcBorders>
            <w:vAlign w:val="bottom"/>
          </w:tcPr>
          <w:p w14:paraId="1C41A3F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4" w:space="0" w:color="000000"/>
            </w:tcBorders>
            <w:vAlign w:val="bottom"/>
          </w:tcPr>
          <w:p w14:paraId="1D3D350C"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5028C4CE"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712FC8F" w14:textId="77777777" w:rsidR="008E5DE4" w:rsidRDefault="008E5DE4">
            <w:pPr>
              <w:widowControl w:val="0"/>
              <w:pBdr>
                <w:top w:val="nil"/>
                <w:left w:val="nil"/>
                <w:bottom w:val="nil"/>
                <w:right w:val="nil"/>
                <w:between w:val="nil"/>
              </w:pBdr>
              <w:jc w:val="right"/>
              <w:rPr>
                <w:color w:val="000000"/>
              </w:rPr>
            </w:pPr>
          </w:p>
        </w:tc>
      </w:tr>
      <w:tr w:rsidR="008E5DE4" w14:paraId="3C0BB5C2" w14:textId="77777777">
        <w:trPr>
          <w:cantSplit/>
        </w:trPr>
        <w:tc>
          <w:tcPr>
            <w:tcW w:w="5499" w:type="dxa"/>
            <w:vAlign w:val="bottom"/>
          </w:tcPr>
          <w:p w14:paraId="64CECA86"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vAlign w:val="bottom"/>
          </w:tcPr>
          <w:p w14:paraId="6C3C6DF7"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5537D29" w14:textId="77777777" w:rsidR="008E5DE4" w:rsidRDefault="00780368">
            <w:pPr>
              <w:widowControl w:val="0"/>
              <w:pBdr>
                <w:top w:val="nil"/>
                <w:left w:val="nil"/>
                <w:bottom w:val="nil"/>
                <w:right w:val="nil"/>
                <w:between w:val="nil"/>
              </w:pBdr>
              <w:jc w:val="right"/>
              <w:rPr>
                <w:color w:val="000000"/>
              </w:rPr>
            </w:pPr>
            <w:r>
              <w:rPr>
                <w:color w:val="000000"/>
              </w:rPr>
              <w:t>Σ….</w:t>
            </w:r>
          </w:p>
        </w:tc>
        <w:tc>
          <w:tcPr>
            <w:tcW w:w="1531" w:type="dxa"/>
            <w:vAlign w:val="bottom"/>
          </w:tcPr>
          <w:p w14:paraId="4EF58568" w14:textId="77777777" w:rsidR="008E5DE4" w:rsidRDefault="00780368">
            <w:pPr>
              <w:widowControl w:val="0"/>
              <w:pBdr>
                <w:top w:val="nil"/>
                <w:left w:val="nil"/>
                <w:bottom w:val="nil"/>
                <w:right w:val="nil"/>
                <w:between w:val="nil"/>
              </w:pBdr>
              <w:jc w:val="right"/>
              <w:rPr>
                <w:color w:val="000000"/>
              </w:rPr>
            </w:pPr>
            <w:r>
              <w:rPr>
                <w:color w:val="000000"/>
              </w:rPr>
              <w:t>Σ….</w:t>
            </w:r>
          </w:p>
        </w:tc>
      </w:tr>
      <w:tr w:rsidR="008E5DE4" w14:paraId="5ED826C5" w14:textId="77777777">
        <w:trPr>
          <w:cantSplit/>
        </w:trPr>
        <w:tc>
          <w:tcPr>
            <w:tcW w:w="5499" w:type="dxa"/>
            <w:vAlign w:val="bottom"/>
          </w:tcPr>
          <w:p w14:paraId="28489830" w14:textId="77777777" w:rsidR="008E5DE4" w:rsidRDefault="00780368">
            <w:pPr>
              <w:widowControl w:val="0"/>
              <w:pBdr>
                <w:top w:val="nil"/>
                <w:left w:val="nil"/>
                <w:bottom w:val="nil"/>
                <w:right w:val="nil"/>
                <w:between w:val="nil"/>
              </w:pBdr>
              <w:ind w:left="113" w:right="-57" w:hanging="113"/>
              <w:rPr>
                <w:color w:val="000000"/>
              </w:rPr>
            </w:pPr>
            <w:r>
              <w:rPr>
                <w:color w:val="000000"/>
              </w:rPr>
              <w:t>Liabilities directly associated with non-current assets classified as held for sale (or disposal groups)</w:t>
            </w:r>
          </w:p>
        </w:tc>
        <w:tc>
          <w:tcPr>
            <w:tcW w:w="851" w:type="dxa"/>
            <w:vAlign w:val="bottom"/>
          </w:tcPr>
          <w:p w14:paraId="0403329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9B7C94F" w14:textId="77777777" w:rsidR="008E5DE4" w:rsidRDefault="00780368">
            <w:pPr>
              <w:widowControl w:val="0"/>
              <w:pBdr>
                <w:top w:val="nil"/>
                <w:left w:val="nil"/>
                <w:bottom w:val="nil"/>
                <w:right w:val="nil"/>
                <w:between w:val="nil"/>
              </w:pBdr>
              <w:jc w:val="right"/>
              <w:rPr>
                <w:color w:val="000000"/>
              </w:rPr>
            </w:pPr>
            <w:r>
              <w:rPr>
                <w:color w:val="000000"/>
              </w:rPr>
              <w:t>….</w:t>
            </w:r>
          </w:p>
        </w:tc>
        <w:tc>
          <w:tcPr>
            <w:tcW w:w="1531" w:type="dxa"/>
            <w:vAlign w:val="bottom"/>
          </w:tcPr>
          <w:p w14:paraId="6AB28D00" w14:textId="77777777" w:rsidR="008E5DE4" w:rsidRDefault="00780368">
            <w:pPr>
              <w:widowControl w:val="0"/>
              <w:pBdr>
                <w:top w:val="nil"/>
                <w:left w:val="nil"/>
                <w:bottom w:val="nil"/>
                <w:right w:val="nil"/>
                <w:between w:val="nil"/>
              </w:pBdr>
              <w:jc w:val="right"/>
              <w:rPr>
                <w:color w:val="000000"/>
              </w:rPr>
            </w:pPr>
            <w:r>
              <w:rPr>
                <w:color w:val="000000"/>
              </w:rPr>
              <w:t>….</w:t>
            </w:r>
          </w:p>
        </w:tc>
      </w:tr>
      <w:tr w:rsidR="008E5DE4" w14:paraId="789ECF28" w14:textId="77777777">
        <w:trPr>
          <w:cantSplit/>
        </w:trPr>
        <w:tc>
          <w:tcPr>
            <w:tcW w:w="5499" w:type="dxa"/>
            <w:tcBorders>
              <w:bottom w:val="single" w:sz="4" w:space="0" w:color="000000"/>
            </w:tcBorders>
            <w:vAlign w:val="bottom"/>
          </w:tcPr>
          <w:p w14:paraId="2554316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4" w:space="0" w:color="000000"/>
            </w:tcBorders>
            <w:vAlign w:val="bottom"/>
          </w:tcPr>
          <w:p w14:paraId="29F7199A"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079DE7B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FCFF961" w14:textId="77777777" w:rsidR="008E5DE4" w:rsidRDefault="008E5DE4">
            <w:pPr>
              <w:widowControl w:val="0"/>
              <w:pBdr>
                <w:top w:val="nil"/>
                <w:left w:val="nil"/>
                <w:bottom w:val="nil"/>
                <w:right w:val="nil"/>
                <w:between w:val="nil"/>
              </w:pBdr>
              <w:jc w:val="right"/>
              <w:rPr>
                <w:color w:val="000000"/>
              </w:rPr>
            </w:pPr>
          </w:p>
        </w:tc>
      </w:tr>
      <w:tr w:rsidR="008E5DE4" w14:paraId="6ABA4FBF" w14:textId="77777777">
        <w:trPr>
          <w:cantSplit/>
        </w:trPr>
        <w:tc>
          <w:tcPr>
            <w:tcW w:w="5499" w:type="dxa"/>
            <w:tcBorders>
              <w:top w:val="single" w:sz="4" w:space="0" w:color="000000"/>
            </w:tcBorders>
            <w:vAlign w:val="bottom"/>
          </w:tcPr>
          <w:p w14:paraId="7F7E3853"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851" w:type="dxa"/>
            <w:tcBorders>
              <w:top w:val="single" w:sz="4" w:space="0" w:color="000000"/>
            </w:tcBorders>
            <w:vAlign w:val="bottom"/>
          </w:tcPr>
          <w:p w14:paraId="2843BFAA"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4A1CABCF"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8F7EFE0" w14:textId="77777777" w:rsidR="008E5DE4" w:rsidRDefault="008E5DE4">
            <w:pPr>
              <w:widowControl w:val="0"/>
              <w:pBdr>
                <w:top w:val="nil"/>
                <w:left w:val="nil"/>
                <w:bottom w:val="nil"/>
                <w:right w:val="nil"/>
                <w:between w:val="nil"/>
              </w:pBdr>
              <w:jc w:val="right"/>
              <w:rPr>
                <w:color w:val="000000"/>
              </w:rPr>
            </w:pPr>
          </w:p>
        </w:tc>
      </w:tr>
      <w:tr w:rsidR="008E5DE4" w14:paraId="5F58D9C5" w14:textId="77777777">
        <w:trPr>
          <w:cantSplit/>
        </w:trPr>
        <w:tc>
          <w:tcPr>
            <w:tcW w:w="5499" w:type="dxa"/>
            <w:vAlign w:val="bottom"/>
          </w:tcPr>
          <w:p w14:paraId="08923765"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current liabilities</w:t>
            </w:r>
          </w:p>
        </w:tc>
        <w:tc>
          <w:tcPr>
            <w:tcW w:w="851" w:type="dxa"/>
            <w:vAlign w:val="bottom"/>
          </w:tcPr>
          <w:p w14:paraId="6C63CB7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B81BA1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ACE1718" w14:textId="77777777" w:rsidR="008E5DE4" w:rsidRDefault="008E5DE4">
            <w:pPr>
              <w:widowControl w:val="0"/>
              <w:pBdr>
                <w:top w:val="nil"/>
                <w:left w:val="nil"/>
                <w:bottom w:val="nil"/>
                <w:right w:val="nil"/>
                <w:between w:val="nil"/>
              </w:pBdr>
              <w:jc w:val="right"/>
              <w:rPr>
                <w:color w:val="000000"/>
              </w:rPr>
            </w:pPr>
          </w:p>
        </w:tc>
      </w:tr>
      <w:tr w:rsidR="008E5DE4" w14:paraId="78D5E023" w14:textId="77777777">
        <w:trPr>
          <w:cantSplit/>
        </w:trPr>
        <w:tc>
          <w:tcPr>
            <w:tcW w:w="5499" w:type="dxa"/>
            <w:tcBorders>
              <w:bottom w:val="single" w:sz="4" w:space="0" w:color="000000"/>
            </w:tcBorders>
            <w:vAlign w:val="bottom"/>
          </w:tcPr>
          <w:p w14:paraId="6EA7438A"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851" w:type="dxa"/>
            <w:tcBorders>
              <w:bottom w:val="single" w:sz="4" w:space="0" w:color="000000"/>
            </w:tcBorders>
            <w:vAlign w:val="bottom"/>
          </w:tcPr>
          <w:p w14:paraId="21D6F155"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4DF5087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C51CA97" w14:textId="77777777" w:rsidR="008E5DE4" w:rsidRDefault="008E5DE4">
            <w:pPr>
              <w:widowControl w:val="0"/>
              <w:pBdr>
                <w:top w:val="nil"/>
                <w:left w:val="nil"/>
                <w:bottom w:val="nil"/>
                <w:right w:val="nil"/>
                <w:between w:val="nil"/>
              </w:pBdr>
              <w:jc w:val="right"/>
              <w:rPr>
                <w:color w:val="000000"/>
              </w:rPr>
            </w:pPr>
          </w:p>
        </w:tc>
      </w:tr>
      <w:tr w:rsidR="008E5DE4" w14:paraId="7EC8037D" w14:textId="77777777">
        <w:trPr>
          <w:cantSplit/>
        </w:trPr>
        <w:tc>
          <w:tcPr>
            <w:tcW w:w="5499" w:type="dxa"/>
            <w:tcBorders>
              <w:top w:val="single" w:sz="4" w:space="0" w:color="000000"/>
            </w:tcBorders>
            <w:vAlign w:val="bottom"/>
          </w:tcPr>
          <w:p w14:paraId="4004A463" w14:textId="77777777" w:rsidR="008E5DE4" w:rsidRDefault="00780368">
            <w:pPr>
              <w:keepNext/>
              <w:keepLines/>
              <w:widowControl w:val="0"/>
              <w:pBdr>
                <w:top w:val="nil"/>
                <w:left w:val="nil"/>
                <w:bottom w:val="nil"/>
                <w:right w:val="nil"/>
                <w:between w:val="nil"/>
              </w:pBdr>
              <w:ind w:left="113" w:right="-57" w:hanging="113"/>
              <w:rPr>
                <w:b/>
                <w:color w:val="000000"/>
              </w:rPr>
            </w:pPr>
            <w:r>
              <w:rPr>
                <w:color w:val="000000"/>
              </w:rPr>
              <w:lastRenderedPageBreak/>
              <w:t> </w:t>
            </w:r>
          </w:p>
        </w:tc>
        <w:tc>
          <w:tcPr>
            <w:tcW w:w="851" w:type="dxa"/>
            <w:tcBorders>
              <w:top w:val="single" w:sz="4" w:space="0" w:color="000000"/>
            </w:tcBorders>
            <w:vAlign w:val="bottom"/>
          </w:tcPr>
          <w:p w14:paraId="0D23459B"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1D320468" w14:textId="77777777" w:rsidR="008E5DE4" w:rsidRDefault="008E5DE4">
            <w:pPr>
              <w:keepNext/>
              <w:keepLines/>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22DFCCFE" w14:textId="77777777" w:rsidR="008E5DE4" w:rsidRDefault="008E5DE4">
            <w:pPr>
              <w:keepNext/>
              <w:keepLines/>
              <w:widowControl w:val="0"/>
              <w:pBdr>
                <w:top w:val="nil"/>
                <w:left w:val="nil"/>
                <w:bottom w:val="nil"/>
                <w:right w:val="nil"/>
                <w:between w:val="nil"/>
              </w:pBdr>
              <w:jc w:val="right"/>
              <w:rPr>
                <w:color w:val="000000"/>
              </w:rPr>
            </w:pPr>
          </w:p>
        </w:tc>
      </w:tr>
      <w:tr w:rsidR="008E5DE4" w14:paraId="430E1454" w14:textId="77777777">
        <w:trPr>
          <w:cantSplit/>
        </w:trPr>
        <w:tc>
          <w:tcPr>
            <w:tcW w:w="5499" w:type="dxa"/>
            <w:vAlign w:val="bottom"/>
          </w:tcPr>
          <w:p w14:paraId="5A3ABCBB" w14:textId="77777777" w:rsidR="008E5DE4" w:rsidRDefault="00780368">
            <w:pPr>
              <w:keepNext/>
              <w:keepLines/>
              <w:widowControl w:val="0"/>
              <w:pBdr>
                <w:top w:val="nil"/>
                <w:left w:val="nil"/>
                <w:bottom w:val="nil"/>
                <w:right w:val="nil"/>
                <w:between w:val="nil"/>
              </w:pBdr>
              <w:ind w:left="113" w:right="-57" w:hanging="113"/>
              <w:rPr>
                <w:b/>
                <w:color w:val="000000"/>
              </w:rPr>
            </w:pPr>
            <w:r>
              <w:rPr>
                <w:b/>
                <w:color w:val="000000"/>
              </w:rPr>
              <w:t>Non-current liabilities</w:t>
            </w:r>
          </w:p>
        </w:tc>
        <w:tc>
          <w:tcPr>
            <w:tcW w:w="851" w:type="dxa"/>
            <w:vAlign w:val="bottom"/>
          </w:tcPr>
          <w:p w14:paraId="1A67488C"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0756EAF2"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2C7FEF5A" w14:textId="77777777" w:rsidR="008E5DE4" w:rsidRDefault="008E5DE4">
            <w:pPr>
              <w:keepNext/>
              <w:keepLines/>
              <w:widowControl w:val="0"/>
              <w:pBdr>
                <w:top w:val="nil"/>
                <w:left w:val="nil"/>
                <w:bottom w:val="nil"/>
                <w:right w:val="nil"/>
                <w:between w:val="nil"/>
              </w:pBdr>
              <w:jc w:val="right"/>
              <w:rPr>
                <w:color w:val="000000"/>
              </w:rPr>
            </w:pPr>
          </w:p>
        </w:tc>
      </w:tr>
      <w:tr w:rsidR="008E5DE4" w14:paraId="530B0E50" w14:textId="77777777">
        <w:trPr>
          <w:cantSplit/>
        </w:trPr>
        <w:tc>
          <w:tcPr>
            <w:tcW w:w="5499" w:type="dxa"/>
            <w:vAlign w:val="bottom"/>
          </w:tcPr>
          <w:p w14:paraId="0E2EC30B"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Borrowings</w:t>
            </w:r>
          </w:p>
        </w:tc>
        <w:tc>
          <w:tcPr>
            <w:tcW w:w="851" w:type="dxa"/>
            <w:vAlign w:val="bottom"/>
          </w:tcPr>
          <w:p w14:paraId="32FD3F62"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387569E5"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0B6C4120" w14:textId="77777777" w:rsidR="008E5DE4" w:rsidRDefault="008E5DE4">
            <w:pPr>
              <w:keepNext/>
              <w:keepLines/>
              <w:widowControl w:val="0"/>
              <w:pBdr>
                <w:top w:val="nil"/>
                <w:left w:val="nil"/>
                <w:bottom w:val="nil"/>
                <w:right w:val="nil"/>
                <w:between w:val="nil"/>
              </w:pBdr>
              <w:jc w:val="right"/>
              <w:rPr>
                <w:color w:val="000000"/>
              </w:rPr>
            </w:pPr>
          </w:p>
        </w:tc>
      </w:tr>
      <w:tr w:rsidR="008E5DE4" w14:paraId="1173FA4B" w14:textId="77777777">
        <w:trPr>
          <w:cantSplit/>
        </w:trPr>
        <w:tc>
          <w:tcPr>
            <w:tcW w:w="5499" w:type="dxa"/>
            <w:vAlign w:val="bottom"/>
          </w:tcPr>
          <w:p w14:paraId="6A30FAE9"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Lease liabilities</w:t>
            </w:r>
          </w:p>
        </w:tc>
        <w:tc>
          <w:tcPr>
            <w:tcW w:w="851" w:type="dxa"/>
            <w:vAlign w:val="bottom"/>
          </w:tcPr>
          <w:p w14:paraId="7416B367"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25ED72CD"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2159EA08" w14:textId="77777777" w:rsidR="008E5DE4" w:rsidRDefault="008E5DE4">
            <w:pPr>
              <w:keepNext/>
              <w:keepLines/>
              <w:widowControl w:val="0"/>
              <w:pBdr>
                <w:top w:val="nil"/>
                <w:left w:val="nil"/>
                <w:bottom w:val="nil"/>
                <w:right w:val="nil"/>
                <w:between w:val="nil"/>
              </w:pBdr>
              <w:jc w:val="right"/>
              <w:rPr>
                <w:color w:val="000000"/>
              </w:rPr>
            </w:pPr>
          </w:p>
        </w:tc>
      </w:tr>
      <w:tr w:rsidR="008E5DE4" w14:paraId="10668686" w14:textId="77777777">
        <w:trPr>
          <w:cantSplit/>
        </w:trPr>
        <w:tc>
          <w:tcPr>
            <w:tcW w:w="5499" w:type="dxa"/>
            <w:vAlign w:val="bottom"/>
          </w:tcPr>
          <w:p w14:paraId="2955CA5E"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Deferred income tax liability</w:t>
            </w:r>
          </w:p>
        </w:tc>
        <w:tc>
          <w:tcPr>
            <w:tcW w:w="851" w:type="dxa"/>
            <w:vAlign w:val="bottom"/>
          </w:tcPr>
          <w:p w14:paraId="5B4137B0"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700235F9"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1FDD85E6" w14:textId="77777777" w:rsidR="008E5DE4" w:rsidRDefault="008E5DE4">
            <w:pPr>
              <w:keepNext/>
              <w:keepLines/>
              <w:widowControl w:val="0"/>
              <w:pBdr>
                <w:top w:val="nil"/>
                <w:left w:val="nil"/>
                <w:bottom w:val="nil"/>
                <w:right w:val="nil"/>
                <w:between w:val="nil"/>
              </w:pBdr>
              <w:jc w:val="right"/>
              <w:rPr>
                <w:color w:val="000000"/>
              </w:rPr>
            </w:pPr>
          </w:p>
        </w:tc>
      </w:tr>
      <w:tr w:rsidR="008E5DE4" w14:paraId="3CAF3F50" w14:textId="77777777">
        <w:trPr>
          <w:cantSplit/>
        </w:trPr>
        <w:tc>
          <w:tcPr>
            <w:tcW w:w="5499" w:type="dxa"/>
            <w:vAlign w:val="bottom"/>
          </w:tcPr>
          <w:p w14:paraId="48437E79"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Other taxes payable</w:t>
            </w:r>
          </w:p>
        </w:tc>
        <w:tc>
          <w:tcPr>
            <w:tcW w:w="851" w:type="dxa"/>
            <w:vAlign w:val="bottom"/>
          </w:tcPr>
          <w:p w14:paraId="6057BFD9"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2167C425"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24DC90E4" w14:textId="77777777" w:rsidR="008E5DE4" w:rsidRDefault="008E5DE4">
            <w:pPr>
              <w:keepNext/>
              <w:keepLines/>
              <w:widowControl w:val="0"/>
              <w:pBdr>
                <w:top w:val="nil"/>
                <w:left w:val="nil"/>
                <w:bottom w:val="nil"/>
                <w:right w:val="nil"/>
                <w:between w:val="nil"/>
              </w:pBdr>
              <w:jc w:val="right"/>
              <w:rPr>
                <w:color w:val="000000"/>
              </w:rPr>
            </w:pPr>
          </w:p>
        </w:tc>
      </w:tr>
      <w:tr w:rsidR="008E5DE4" w14:paraId="2B3C6EFB" w14:textId="77777777">
        <w:trPr>
          <w:cantSplit/>
        </w:trPr>
        <w:tc>
          <w:tcPr>
            <w:tcW w:w="5499" w:type="dxa"/>
            <w:vAlign w:val="bottom"/>
          </w:tcPr>
          <w:p w14:paraId="2A1CBAA7"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Provision for asset retirement obligations</w:t>
            </w:r>
          </w:p>
        </w:tc>
        <w:tc>
          <w:tcPr>
            <w:tcW w:w="851" w:type="dxa"/>
            <w:vAlign w:val="bottom"/>
          </w:tcPr>
          <w:p w14:paraId="2B31634C"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20BB3127"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48597724" w14:textId="77777777" w:rsidR="008E5DE4" w:rsidRDefault="008E5DE4">
            <w:pPr>
              <w:keepNext/>
              <w:keepLines/>
              <w:widowControl w:val="0"/>
              <w:pBdr>
                <w:top w:val="nil"/>
                <w:left w:val="nil"/>
                <w:bottom w:val="nil"/>
                <w:right w:val="nil"/>
                <w:between w:val="nil"/>
              </w:pBdr>
              <w:jc w:val="right"/>
              <w:rPr>
                <w:color w:val="000000"/>
              </w:rPr>
            </w:pPr>
          </w:p>
        </w:tc>
      </w:tr>
      <w:tr w:rsidR="008E5DE4" w14:paraId="0C493F3A" w14:textId="77777777">
        <w:trPr>
          <w:cantSplit/>
        </w:trPr>
        <w:tc>
          <w:tcPr>
            <w:tcW w:w="5499" w:type="dxa"/>
            <w:vAlign w:val="bottom"/>
          </w:tcPr>
          <w:p w14:paraId="487A50ED"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Deferred income</w:t>
            </w:r>
          </w:p>
        </w:tc>
        <w:tc>
          <w:tcPr>
            <w:tcW w:w="851" w:type="dxa"/>
            <w:vAlign w:val="bottom"/>
          </w:tcPr>
          <w:p w14:paraId="177F615A"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0CC67797"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34E690AE" w14:textId="77777777" w:rsidR="008E5DE4" w:rsidRDefault="008E5DE4">
            <w:pPr>
              <w:keepNext/>
              <w:keepLines/>
              <w:widowControl w:val="0"/>
              <w:pBdr>
                <w:top w:val="nil"/>
                <w:left w:val="nil"/>
                <w:bottom w:val="nil"/>
                <w:right w:val="nil"/>
                <w:between w:val="nil"/>
              </w:pBdr>
              <w:jc w:val="right"/>
              <w:rPr>
                <w:color w:val="000000"/>
              </w:rPr>
            </w:pPr>
          </w:p>
        </w:tc>
      </w:tr>
      <w:tr w:rsidR="008E5DE4" w14:paraId="61F76E1B" w14:textId="77777777">
        <w:trPr>
          <w:cantSplit/>
        </w:trPr>
        <w:tc>
          <w:tcPr>
            <w:tcW w:w="5499" w:type="dxa"/>
            <w:tcBorders>
              <w:bottom w:val="single" w:sz="4" w:space="0" w:color="000000"/>
            </w:tcBorders>
            <w:vAlign w:val="bottom"/>
          </w:tcPr>
          <w:p w14:paraId="710B49A4"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4" w:space="0" w:color="000000"/>
            </w:tcBorders>
            <w:vAlign w:val="bottom"/>
          </w:tcPr>
          <w:p w14:paraId="591513E9"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18A9AAE3" w14:textId="77777777" w:rsidR="008E5DE4" w:rsidRDefault="008E5DE4">
            <w:pPr>
              <w:keepNext/>
              <w:keepLines/>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00D86C1" w14:textId="77777777" w:rsidR="008E5DE4" w:rsidRDefault="008E5DE4">
            <w:pPr>
              <w:keepNext/>
              <w:keepLines/>
              <w:widowControl w:val="0"/>
              <w:pBdr>
                <w:top w:val="nil"/>
                <w:left w:val="nil"/>
                <w:bottom w:val="nil"/>
                <w:right w:val="nil"/>
                <w:between w:val="nil"/>
              </w:pBdr>
              <w:jc w:val="right"/>
              <w:rPr>
                <w:color w:val="000000"/>
              </w:rPr>
            </w:pPr>
          </w:p>
        </w:tc>
      </w:tr>
      <w:tr w:rsidR="008E5DE4" w14:paraId="6B8F8515" w14:textId="77777777">
        <w:trPr>
          <w:cantSplit/>
        </w:trPr>
        <w:tc>
          <w:tcPr>
            <w:tcW w:w="5499" w:type="dxa"/>
            <w:vAlign w:val="bottom"/>
          </w:tcPr>
          <w:p w14:paraId="6C47F366"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851" w:type="dxa"/>
            <w:vAlign w:val="bottom"/>
          </w:tcPr>
          <w:p w14:paraId="1F5177FC"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1374AFA1"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7E8265FD" w14:textId="77777777" w:rsidR="008E5DE4" w:rsidRDefault="008E5DE4">
            <w:pPr>
              <w:keepNext/>
              <w:keepLines/>
              <w:widowControl w:val="0"/>
              <w:pBdr>
                <w:top w:val="nil"/>
                <w:left w:val="nil"/>
                <w:bottom w:val="nil"/>
                <w:right w:val="nil"/>
                <w:between w:val="nil"/>
              </w:pBdr>
              <w:jc w:val="right"/>
              <w:rPr>
                <w:color w:val="000000"/>
              </w:rPr>
            </w:pPr>
          </w:p>
        </w:tc>
      </w:tr>
      <w:tr w:rsidR="008E5DE4" w14:paraId="04B375C5" w14:textId="77777777">
        <w:trPr>
          <w:cantSplit/>
        </w:trPr>
        <w:tc>
          <w:tcPr>
            <w:tcW w:w="5499" w:type="dxa"/>
            <w:vAlign w:val="bottom"/>
          </w:tcPr>
          <w:p w14:paraId="7BF15F4D" w14:textId="77777777" w:rsidR="008E5DE4" w:rsidRDefault="00780368">
            <w:pPr>
              <w:keepNext/>
              <w:keepLines/>
              <w:widowControl w:val="0"/>
              <w:pBdr>
                <w:top w:val="nil"/>
                <w:left w:val="nil"/>
                <w:bottom w:val="nil"/>
                <w:right w:val="nil"/>
                <w:between w:val="nil"/>
              </w:pBdr>
              <w:ind w:left="113" w:right="-57" w:hanging="113"/>
              <w:rPr>
                <w:color w:val="000000"/>
              </w:rPr>
            </w:pPr>
            <w:r>
              <w:rPr>
                <w:b/>
                <w:color w:val="000000"/>
              </w:rPr>
              <w:t>Total non-current liabilities</w:t>
            </w:r>
          </w:p>
        </w:tc>
        <w:tc>
          <w:tcPr>
            <w:tcW w:w="851" w:type="dxa"/>
            <w:vAlign w:val="bottom"/>
          </w:tcPr>
          <w:p w14:paraId="75E203BB"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7AB61963"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36F8DFEE" w14:textId="77777777" w:rsidR="008E5DE4" w:rsidRDefault="008E5DE4">
            <w:pPr>
              <w:keepNext/>
              <w:keepLines/>
              <w:widowControl w:val="0"/>
              <w:pBdr>
                <w:top w:val="nil"/>
                <w:left w:val="nil"/>
                <w:bottom w:val="nil"/>
                <w:right w:val="nil"/>
                <w:between w:val="nil"/>
              </w:pBdr>
              <w:jc w:val="right"/>
              <w:rPr>
                <w:color w:val="000000"/>
              </w:rPr>
            </w:pPr>
          </w:p>
        </w:tc>
      </w:tr>
      <w:tr w:rsidR="008E5DE4" w14:paraId="53100513" w14:textId="77777777">
        <w:trPr>
          <w:cantSplit/>
        </w:trPr>
        <w:tc>
          <w:tcPr>
            <w:tcW w:w="5499" w:type="dxa"/>
            <w:vAlign w:val="bottom"/>
          </w:tcPr>
          <w:p w14:paraId="73B9C4E7"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851" w:type="dxa"/>
            <w:vAlign w:val="bottom"/>
          </w:tcPr>
          <w:p w14:paraId="38C3D6EB" w14:textId="77777777" w:rsidR="008E5DE4" w:rsidRDefault="008E5DE4">
            <w:pPr>
              <w:keepNext/>
              <w:keepLines/>
              <w:widowControl w:val="0"/>
              <w:pBdr>
                <w:top w:val="nil"/>
                <w:left w:val="nil"/>
                <w:bottom w:val="nil"/>
                <w:right w:val="nil"/>
                <w:between w:val="nil"/>
              </w:pBdr>
              <w:ind w:left="-57" w:right="-57"/>
              <w:jc w:val="center"/>
              <w:rPr>
                <w:color w:val="000000"/>
              </w:rPr>
            </w:pPr>
          </w:p>
        </w:tc>
        <w:tc>
          <w:tcPr>
            <w:tcW w:w="1531" w:type="dxa"/>
            <w:vAlign w:val="bottom"/>
          </w:tcPr>
          <w:p w14:paraId="4C18B8BB" w14:textId="77777777" w:rsidR="008E5DE4" w:rsidRDefault="008E5DE4">
            <w:pPr>
              <w:keepNext/>
              <w:keepLines/>
              <w:widowControl w:val="0"/>
              <w:pBdr>
                <w:top w:val="nil"/>
                <w:left w:val="nil"/>
                <w:bottom w:val="nil"/>
                <w:right w:val="nil"/>
                <w:between w:val="nil"/>
              </w:pBdr>
              <w:jc w:val="right"/>
              <w:rPr>
                <w:color w:val="000000"/>
              </w:rPr>
            </w:pPr>
          </w:p>
        </w:tc>
        <w:tc>
          <w:tcPr>
            <w:tcW w:w="1531" w:type="dxa"/>
            <w:vAlign w:val="bottom"/>
          </w:tcPr>
          <w:p w14:paraId="6B73C316" w14:textId="77777777" w:rsidR="008E5DE4" w:rsidRDefault="008E5DE4">
            <w:pPr>
              <w:keepNext/>
              <w:keepLines/>
              <w:widowControl w:val="0"/>
              <w:pBdr>
                <w:top w:val="nil"/>
                <w:left w:val="nil"/>
                <w:bottom w:val="nil"/>
                <w:right w:val="nil"/>
                <w:between w:val="nil"/>
              </w:pBdr>
              <w:jc w:val="right"/>
              <w:rPr>
                <w:color w:val="000000"/>
              </w:rPr>
            </w:pPr>
          </w:p>
        </w:tc>
      </w:tr>
      <w:tr w:rsidR="008E5DE4" w14:paraId="112D0947" w14:textId="77777777">
        <w:trPr>
          <w:cantSplit/>
        </w:trPr>
        <w:tc>
          <w:tcPr>
            <w:tcW w:w="5499" w:type="dxa"/>
            <w:vAlign w:val="bottom"/>
          </w:tcPr>
          <w:p w14:paraId="289F7AE7" w14:textId="77777777" w:rsidR="008E5DE4" w:rsidRDefault="00780368">
            <w:pPr>
              <w:keepNext/>
              <w:keepLines/>
              <w:widowControl w:val="0"/>
              <w:pBdr>
                <w:top w:val="nil"/>
                <w:left w:val="nil"/>
                <w:bottom w:val="nil"/>
                <w:right w:val="nil"/>
                <w:between w:val="nil"/>
              </w:pBdr>
              <w:ind w:left="113" w:right="-57" w:hanging="113"/>
              <w:rPr>
                <w:b/>
                <w:smallCaps/>
                <w:color w:val="000000"/>
              </w:rPr>
            </w:pPr>
            <w:r>
              <w:rPr>
                <w:b/>
                <w:smallCaps/>
                <w:color w:val="000000"/>
              </w:rPr>
              <w:t>TOTAL LIABILITIES</w:t>
            </w:r>
          </w:p>
        </w:tc>
        <w:tc>
          <w:tcPr>
            <w:tcW w:w="851" w:type="dxa"/>
            <w:vAlign w:val="bottom"/>
          </w:tcPr>
          <w:p w14:paraId="093AB0F6" w14:textId="77777777" w:rsidR="008E5DE4" w:rsidRDefault="008E5DE4">
            <w:pPr>
              <w:keepNext/>
              <w:keepLines/>
              <w:widowControl w:val="0"/>
              <w:pBdr>
                <w:top w:val="nil"/>
                <w:left w:val="nil"/>
                <w:bottom w:val="nil"/>
                <w:right w:val="nil"/>
                <w:between w:val="nil"/>
              </w:pBdr>
              <w:ind w:left="-57" w:right="-57"/>
              <w:jc w:val="center"/>
              <w:rPr>
                <w:b/>
                <w:smallCaps/>
                <w:color w:val="000000"/>
              </w:rPr>
            </w:pPr>
          </w:p>
        </w:tc>
        <w:tc>
          <w:tcPr>
            <w:tcW w:w="1531" w:type="dxa"/>
            <w:vAlign w:val="bottom"/>
          </w:tcPr>
          <w:p w14:paraId="2BA373F5" w14:textId="77777777" w:rsidR="008E5DE4" w:rsidRDefault="008E5DE4">
            <w:pPr>
              <w:keepNext/>
              <w:keepLines/>
              <w:widowControl w:val="0"/>
              <w:pBdr>
                <w:top w:val="nil"/>
                <w:left w:val="nil"/>
                <w:bottom w:val="nil"/>
                <w:right w:val="nil"/>
                <w:between w:val="nil"/>
              </w:pBdr>
              <w:jc w:val="right"/>
              <w:rPr>
                <w:b/>
                <w:smallCaps/>
                <w:color w:val="000000"/>
              </w:rPr>
            </w:pPr>
          </w:p>
        </w:tc>
        <w:tc>
          <w:tcPr>
            <w:tcW w:w="1531" w:type="dxa"/>
            <w:vAlign w:val="bottom"/>
          </w:tcPr>
          <w:p w14:paraId="38A44663" w14:textId="77777777" w:rsidR="008E5DE4" w:rsidRDefault="008E5DE4">
            <w:pPr>
              <w:keepNext/>
              <w:keepLines/>
              <w:widowControl w:val="0"/>
              <w:pBdr>
                <w:top w:val="nil"/>
                <w:left w:val="nil"/>
                <w:bottom w:val="nil"/>
                <w:right w:val="nil"/>
                <w:between w:val="nil"/>
              </w:pBdr>
              <w:jc w:val="right"/>
              <w:rPr>
                <w:b/>
                <w:smallCaps/>
                <w:color w:val="000000"/>
              </w:rPr>
            </w:pPr>
          </w:p>
        </w:tc>
      </w:tr>
      <w:tr w:rsidR="008E5DE4" w14:paraId="78943859" w14:textId="77777777">
        <w:trPr>
          <w:cantSplit/>
        </w:trPr>
        <w:tc>
          <w:tcPr>
            <w:tcW w:w="5499" w:type="dxa"/>
            <w:tcBorders>
              <w:bottom w:val="single" w:sz="4" w:space="0" w:color="000000"/>
            </w:tcBorders>
            <w:vAlign w:val="bottom"/>
          </w:tcPr>
          <w:p w14:paraId="07C99CF2" w14:textId="77777777" w:rsidR="008E5DE4" w:rsidRDefault="00780368">
            <w:pPr>
              <w:keepNext/>
              <w:keepLines/>
              <w:widowControl w:val="0"/>
              <w:pBdr>
                <w:top w:val="nil"/>
                <w:left w:val="nil"/>
                <w:bottom w:val="nil"/>
                <w:right w:val="nil"/>
                <w:between w:val="nil"/>
              </w:pBdr>
              <w:ind w:left="113" w:right="-57" w:hanging="113"/>
              <w:rPr>
                <w:b/>
                <w:smallCaps/>
                <w:color w:val="000000"/>
              </w:rPr>
            </w:pPr>
            <w:r>
              <w:rPr>
                <w:b/>
                <w:color w:val="000000"/>
              </w:rPr>
              <w:t> </w:t>
            </w:r>
          </w:p>
        </w:tc>
        <w:tc>
          <w:tcPr>
            <w:tcW w:w="851" w:type="dxa"/>
            <w:tcBorders>
              <w:bottom w:val="single" w:sz="4" w:space="0" w:color="000000"/>
            </w:tcBorders>
            <w:vAlign w:val="bottom"/>
          </w:tcPr>
          <w:p w14:paraId="5C96B393" w14:textId="77777777" w:rsidR="008E5DE4" w:rsidRDefault="008E5DE4">
            <w:pPr>
              <w:keepNext/>
              <w:keepLines/>
              <w:widowControl w:val="0"/>
              <w:pBdr>
                <w:top w:val="nil"/>
                <w:left w:val="nil"/>
                <w:bottom w:val="nil"/>
                <w:right w:val="nil"/>
                <w:between w:val="nil"/>
              </w:pBdr>
              <w:ind w:left="-57" w:right="-57"/>
              <w:jc w:val="center"/>
              <w:rPr>
                <w:b/>
                <w:smallCaps/>
                <w:color w:val="000000"/>
              </w:rPr>
            </w:pPr>
          </w:p>
        </w:tc>
        <w:tc>
          <w:tcPr>
            <w:tcW w:w="1531" w:type="dxa"/>
            <w:tcBorders>
              <w:bottom w:val="single" w:sz="4" w:space="0" w:color="000000"/>
            </w:tcBorders>
            <w:vAlign w:val="bottom"/>
          </w:tcPr>
          <w:p w14:paraId="1C73E911" w14:textId="77777777" w:rsidR="008E5DE4" w:rsidRDefault="008E5DE4">
            <w:pPr>
              <w:keepNext/>
              <w:keepLines/>
              <w:widowControl w:val="0"/>
              <w:pBdr>
                <w:top w:val="nil"/>
                <w:left w:val="nil"/>
                <w:bottom w:val="nil"/>
                <w:right w:val="nil"/>
                <w:between w:val="nil"/>
              </w:pBdr>
              <w:jc w:val="right"/>
              <w:rPr>
                <w:b/>
                <w:smallCaps/>
                <w:color w:val="000000"/>
              </w:rPr>
            </w:pPr>
          </w:p>
        </w:tc>
        <w:tc>
          <w:tcPr>
            <w:tcW w:w="1531" w:type="dxa"/>
            <w:tcBorders>
              <w:bottom w:val="single" w:sz="4" w:space="0" w:color="000000"/>
            </w:tcBorders>
            <w:vAlign w:val="bottom"/>
          </w:tcPr>
          <w:p w14:paraId="25C102C6" w14:textId="77777777" w:rsidR="008E5DE4" w:rsidRDefault="008E5DE4">
            <w:pPr>
              <w:keepNext/>
              <w:keepLines/>
              <w:widowControl w:val="0"/>
              <w:pBdr>
                <w:top w:val="nil"/>
                <w:left w:val="nil"/>
                <w:bottom w:val="nil"/>
                <w:right w:val="nil"/>
                <w:between w:val="nil"/>
              </w:pBdr>
              <w:jc w:val="right"/>
              <w:rPr>
                <w:b/>
                <w:smallCaps/>
                <w:color w:val="000000"/>
              </w:rPr>
            </w:pPr>
          </w:p>
        </w:tc>
      </w:tr>
      <w:tr w:rsidR="008E5DE4" w14:paraId="3E161AD9" w14:textId="77777777">
        <w:trPr>
          <w:cantSplit/>
        </w:trPr>
        <w:tc>
          <w:tcPr>
            <w:tcW w:w="5499" w:type="dxa"/>
            <w:tcBorders>
              <w:top w:val="single" w:sz="4" w:space="0" w:color="000000"/>
            </w:tcBorders>
            <w:vAlign w:val="bottom"/>
          </w:tcPr>
          <w:p w14:paraId="6942A70A"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top w:val="single" w:sz="4" w:space="0" w:color="000000"/>
            </w:tcBorders>
            <w:vAlign w:val="bottom"/>
          </w:tcPr>
          <w:p w14:paraId="3D0F1C73"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07C33E40"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6837C1E3" w14:textId="77777777" w:rsidR="008E5DE4" w:rsidRDefault="008E5DE4">
            <w:pPr>
              <w:widowControl w:val="0"/>
              <w:pBdr>
                <w:top w:val="nil"/>
                <w:left w:val="nil"/>
                <w:bottom w:val="nil"/>
                <w:right w:val="nil"/>
                <w:between w:val="nil"/>
              </w:pBdr>
              <w:jc w:val="right"/>
              <w:rPr>
                <w:b/>
                <w:color w:val="000000"/>
              </w:rPr>
            </w:pPr>
          </w:p>
        </w:tc>
      </w:tr>
      <w:tr w:rsidR="008E5DE4" w14:paraId="05FFBFC3" w14:textId="77777777">
        <w:trPr>
          <w:cantSplit/>
        </w:trPr>
        <w:tc>
          <w:tcPr>
            <w:tcW w:w="5499" w:type="dxa"/>
            <w:vAlign w:val="bottom"/>
          </w:tcPr>
          <w:p w14:paraId="7110DA8F"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EQUITY </w:t>
            </w:r>
          </w:p>
        </w:tc>
        <w:tc>
          <w:tcPr>
            <w:tcW w:w="851" w:type="dxa"/>
            <w:vAlign w:val="bottom"/>
          </w:tcPr>
          <w:p w14:paraId="2E9D971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EB9F9A3"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FAAC977" w14:textId="77777777" w:rsidR="008E5DE4" w:rsidRDefault="008E5DE4">
            <w:pPr>
              <w:widowControl w:val="0"/>
              <w:pBdr>
                <w:top w:val="nil"/>
                <w:left w:val="nil"/>
                <w:bottom w:val="nil"/>
                <w:right w:val="nil"/>
                <w:between w:val="nil"/>
              </w:pBdr>
              <w:jc w:val="right"/>
              <w:rPr>
                <w:b/>
                <w:color w:val="000000"/>
              </w:rPr>
            </w:pPr>
          </w:p>
        </w:tc>
      </w:tr>
      <w:tr w:rsidR="008E5DE4" w14:paraId="4E807E71" w14:textId="77777777">
        <w:trPr>
          <w:cantSplit/>
        </w:trPr>
        <w:tc>
          <w:tcPr>
            <w:tcW w:w="5499" w:type="dxa"/>
            <w:vAlign w:val="bottom"/>
          </w:tcPr>
          <w:p w14:paraId="3F6C541D"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vAlign w:val="bottom"/>
          </w:tcPr>
          <w:p w14:paraId="39E39FD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C77197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0191D29" w14:textId="77777777" w:rsidR="008E5DE4" w:rsidRDefault="008E5DE4">
            <w:pPr>
              <w:widowControl w:val="0"/>
              <w:pBdr>
                <w:top w:val="nil"/>
                <w:left w:val="nil"/>
                <w:bottom w:val="nil"/>
                <w:right w:val="nil"/>
                <w:between w:val="nil"/>
              </w:pBdr>
              <w:jc w:val="right"/>
              <w:rPr>
                <w:color w:val="000000"/>
              </w:rPr>
            </w:pPr>
          </w:p>
        </w:tc>
      </w:tr>
      <w:tr w:rsidR="008E5DE4" w14:paraId="5A4745A7" w14:textId="77777777">
        <w:trPr>
          <w:cantSplit/>
        </w:trPr>
        <w:tc>
          <w:tcPr>
            <w:tcW w:w="5499" w:type="dxa"/>
            <w:vAlign w:val="bottom"/>
          </w:tcPr>
          <w:p w14:paraId="327F9902" w14:textId="77777777" w:rsidR="008E5DE4" w:rsidRDefault="00780368">
            <w:pPr>
              <w:widowControl w:val="0"/>
              <w:pBdr>
                <w:top w:val="nil"/>
                <w:left w:val="nil"/>
                <w:bottom w:val="nil"/>
                <w:right w:val="nil"/>
                <w:between w:val="nil"/>
              </w:pBdr>
              <w:ind w:left="113" w:right="-57" w:hanging="113"/>
              <w:rPr>
                <w:color w:val="000000"/>
              </w:rPr>
            </w:pPr>
            <w:r>
              <w:rPr>
                <w:color w:val="000000"/>
              </w:rPr>
              <w:t>Share capital</w:t>
            </w:r>
          </w:p>
        </w:tc>
        <w:tc>
          <w:tcPr>
            <w:tcW w:w="851" w:type="dxa"/>
            <w:vAlign w:val="bottom"/>
          </w:tcPr>
          <w:p w14:paraId="641DA10A"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5FB7E921"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D77716E" w14:textId="77777777" w:rsidR="008E5DE4" w:rsidRDefault="008E5DE4">
            <w:pPr>
              <w:widowControl w:val="0"/>
              <w:pBdr>
                <w:top w:val="nil"/>
                <w:left w:val="nil"/>
                <w:bottom w:val="nil"/>
                <w:right w:val="nil"/>
                <w:between w:val="nil"/>
              </w:pBdr>
              <w:jc w:val="right"/>
              <w:rPr>
                <w:color w:val="000000"/>
              </w:rPr>
            </w:pPr>
          </w:p>
        </w:tc>
      </w:tr>
      <w:tr w:rsidR="008E5DE4" w14:paraId="0EF34E30" w14:textId="77777777">
        <w:trPr>
          <w:cantSplit/>
        </w:trPr>
        <w:tc>
          <w:tcPr>
            <w:tcW w:w="5499" w:type="dxa"/>
            <w:vAlign w:val="bottom"/>
          </w:tcPr>
          <w:p w14:paraId="7B47F673" w14:textId="01A1B687" w:rsidR="008E5DE4" w:rsidRDefault="00780368">
            <w:pPr>
              <w:widowControl w:val="0"/>
              <w:pBdr>
                <w:top w:val="nil"/>
                <w:left w:val="nil"/>
                <w:bottom w:val="nil"/>
                <w:right w:val="nil"/>
                <w:between w:val="nil"/>
              </w:pBdr>
              <w:ind w:left="113" w:right="-57" w:hanging="113"/>
              <w:rPr>
                <w:color w:val="000000"/>
              </w:rPr>
            </w:pPr>
            <w:r>
              <w:rPr>
                <w:color w:val="000000"/>
              </w:rPr>
              <w:t>Retained earnings</w:t>
            </w:r>
            <w:r w:rsidR="00831ED1">
              <w:rPr>
                <w:color w:val="000000"/>
              </w:rPr>
              <w:t xml:space="preserve"> </w:t>
            </w:r>
            <w:r w:rsidRPr="00831ED1">
              <w:rPr>
                <w:color w:val="0000FF"/>
              </w:rPr>
              <w:t>[</w:t>
            </w:r>
            <w:proofErr w:type="gramStart"/>
            <w:r w:rsidRPr="00831ED1">
              <w:rPr>
                <w:color w:val="0000FF"/>
              </w:rPr>
              <w:t>/(</w:t>
            </w:r>
            <w:proofErr w:type="gramEnd"/>
            <w:r w:rsidRPr="00831ED1">
              <w:rPr>
                <w:color w:val="0000FF"/>
              </w:rPr>
              <w:t>Accumulated deficit)]</w:t>
            </w:r>
          </w:p>
        </w:tc>
        <w:tc>
          <w:tcPr>
            <w:tcW w:w="851" w:type="dxa"/>
            <w:vAlign w:val="bottom"/>
          </w:tcPr>
          <w:p w14:paraId="12C6915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6C372BA"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3153085" w14:textId="77777777" w:rsidR="008E5DE4" w:rsidRDefault="008E5DE4">
            <w:pPr>
              <w:widowControl w:val="0"/>
              <w:pBdr>
                <w:top w:val="nil"/>
                <w:left w:val="nil"/>
                <w:bottom w:val="nil"/>
                <w:right w:val="nil"/>
                <w:between w:val="nil"/>
              </w:pBdr>
              <w:jc w:val="right"/>
              <w:rPr>
                <w:color w:val="000000"/>
              </w:rPr>
            </w:pPr>
          </w:p>
        </w:tc>
      </w:tr>
      <w:tr w:rsidR="008E5DE4" w14:paraId="5108DFC5" w14:textId="77777777">
        <w:trPr>
          <w:cantSplit/>
        </w:trPr>
        <w:tc>
          <w:tcPr>
            <w:tcW w:w="5499" w:type="dxa"/>
            <w:vAlign w:val="bottom"/>
          </w:tcPr>
          <w:p w14:paraId="270B4242" w14:textId="77777777" w:rsidR="008E5DE4" w:rsidRDefault="00780368">
            <w:pPr>
              <w:widowControl w:val="0"/>
              <w:pBdr>
                <w:top w:val="nil"/>
                <w:left w:val="nil"/>
                <w:bottom w:val="nil"/>
                <w:right w:val="nil"/>
                <w:between w:val="nil"/>
              </w:pBdr>
              <w:ind w:left="113" w:right="-57" w:hanging="113"/>
              <w:rPr>
                <w:color w:val="000000"/>
              </w:rPr>
            </w:pPr>
            <w:r>
              <w:rPr>
                <w:color w:val="000000"/>
              </w:rPr>
              <w:t>Other reserves</w:t>
            </w:r>
          </w:p>
        </w:tc>
        <w:tc>
          <w:tcPr>
            <w:tcW w:w="851" w:type="dxa"/>
            <w:vAlign w:val="bottom"/>
          </w:tcPr>
          <w:p w14:paraId="75F9A80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5AF19E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980E61E" w14:textId="77777777" w:rsidR="008E5DE4" w:rsidRDefault="008E5DE4">
            <w:pPr>
              <w:widowControl w:val="0"/>
              <w:pBdr>
                <w:top w:val="nil"/>
                <w:left w:val="nil"/>
                <w:bottom w:val="nil"/>
                <w:right w:val="nil"/>
                <w:between w:val="nil"/>
              </w:pBdr>
              <w:jc w:val="right"/>
              <w:rPr>
                <w:color w:val="000000"/>
              </w:rPr>
            </w:pPr>
          </w:p>
        </w:tc>
      </w:tr>
      <w:tr w:rsidR="008E5DE4" w14:paraId="705C0FAD" w14:textId="77777777">
        <w:trPr>
          <w:cantSplit/>
        </w:trPr>
        <w:tc>
          <w:tcPr>
            <w:tcW w:w="5499" w:type="dxa"/>
            <w:tcBorders>
              <w:bottom w:val="single" w:sz="4" w:space="0" w:color="000000"/>
            </w:tcBorders>
            <w:vAlign w:val="bottom"/>
          </w:tcPr>
          <w:p w14:paraId="5C7D5E5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4" w:space="0" w:color="000000"/>
            </w:tcBorders>
            <w:vAlign w:val="bottom"/>
          </w:tcPr>
          <w:p w14:paraId="5099C870"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36AB426F"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63207CAE" w14:textId="77777777" w:rsidR="008E5DE4" w:rsidRDefault="008E5DE4">
            <w:pPr>
              <w:widowControl w:val="0"/>
              <w:pBdr>
                <w:top w:val="nil"/>
                <w:left w:val="nil"/>
                <w:bottom w:val="nil"/>
                <w:right w:val="nil"/>
                <w:between w:val="nil"/>
              </w:pBdr>
              <w:jc w:val="right"/>
              <w:rPr>
                <w:color w:val="000000"/>
              </w:rPr>
            </w:pPr>
          </w:p>
        </w:tc>
      </w:tr>
      <w:tr w:rsidR="008E5DE4" w14:paraId="69DFFFC8" w14:textId="77777777">
        <w:trPr>
          <w:cantSplit/>
        </w:trPr>
        <w:tc>
          <w:tcPr>
            <w:tcW w:w="5499" w:type="dxa"/>
            <w:tcBorders>
              <w:top w:val="single" w:sz="4" w:space="0" w:color="000000"/>
            </w:tcBorders>
            <w:vAlign w:val="bottom"/>
          </w:tcPr>
          <w:p w14:paraId="16D25257"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tcBorders>
              <w:top w:val="single" w:sz="4" w:space="0" w:color="000000"/>
            </w:tcBorders>
            <w:vAlign w:val="bottom"/>
          </w:tcPr>
          <w:p w14:paraId="1DAD9C10"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2848DE17" w14:textId="77777777" w:rsidR="008E5DE4" w:rsidRDefault="008E5DE4">
            <w:pPr>
              <w:widowControl w:val="0"/>
              <w:pBdr>
                <w:top w:val="nil"/>
                <w:left w:val="nil"/>
                <w:bottom w:val="nil"/>
                <w:right w:val="nil"/>
                <w:between w:val="nil"/>
              </w:pBdr>
              <w:jc w:val="right"/>
              <w:rPr>
                <w:b/>
                <w:color w:val="000000"/>
              </w:rPr>
            </w:pPr>
          </w:p>
        </w:tc>
        <w:tc>
          <w:tcPr>
            <w:tcW w:w="1531" w:type="dxa"/>
            <w:tcBorders>
              <w:top w:val="single" w:sz="4" w:space="0" w:color="000000"/>
            </w:tcBorders>
            <w:vAlign w:val="bottom"/>
          </w:tcPr>
          <w:p w14:paraId="0E7CEEC0" w14:textId="77777777" w:rsidR="008E5DE4" w:rsidRDefault="008E5DE4">
            <w:pPr>
              <w:widowControl w:val="0"/>
              <w:pBdr>
                <w:top w:val="nil"/>
                <w:left w:val="nil"/>
                <w:bottom w:val="nil"/>
                <w:right w:val="nil"/>
                <w:between w:val="nil"/>
              </w:pBdr>
              <w:jc w:val="right"/>
              <w:rPr>
                <w:b/>
                <w:color w:val="000000"/>
              </w:rPr>
            </w:pPr>
          </w:p>
        </w:tc>
      </w:tr>
      <w:tr w:rsidR="008E5DE4" w14:paraId="290EC806" w14:textId="77777777">
        <w:trPr>
          <w:cantSplit/>
        </w:trPr>
        <w:tc>
          <w:tcPr>
            <w:tcW w:w="5499" w:type="dxa"/>
            <w:vAlign w:val="bottom"/>
          </w:tcPr>
          <w:p w14:paraId="51649929" w14:textId="77777777" w:rsidR="008E5DE4" w:rsidRDefault="00780368">
            <w:pPr>
              <w:widowControl w:val="0"/>
              <w:pBdr>
                <w:top w:val="nil"/>
                <w:left w:val="nil"/>
                <w:bottom w:val="nil"/>
                <w:right w:val="nil"/>
                <w:between w:val="nil"/>
              </w:pBdr>
              <w:ind w:left="113" w:right="-57" w:hanging="113"/>
              <w:rPr>
                <w:b/>
                <w:color w:val="000000"/>
              </w:rPr>
            </w:pPr>
            <w:r>
              <w:rPr>
                <w:b/>
                <w:color w:val="000000"/>
              </w:rPr>
              <w:t>Equity attributable to the Company’s owners</w:t>
            </w:r>
          </w:p>
        </w:tc>
        <w:tc>
          <w:tcPr>
            <w:tcW w:w="851" w:type="dxa"/>
            <w:vAlign w:val="bottom"/>
          </w:tcPr>
          <w:p w14:paraId="1B549D4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821748C"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680DF99" w14:textId="77777777" w:rsidR="008E5DE4" w:rsidRDefault="008E5DE4">
            <w:pPr>
              <w:widowControl w:val="0"/>
              <w:pBdr>
                <w:top w:val="nil"/>
                <w:left w:val="nil"/>
                <w:bottom w:val="nil"/>
                <w:right w:val="nil"/>
                <w:between w:val="nil"/>
              </w:pBdr>
              <w:jc w:val="right"/>
              <w:rPr>
                <w:b/>
                <w:color w:val="000000"/>
              </w:rPr>
            </w:pPr>
          </w:p>
        </w:tc>
      </w:tr>
      <w:tr w:rsidR="008E5DE4" w14:paraId="31544DFC" w14:textId="77777777">
        <w:trPr>
          <w:cantSplit/>
        </w:trPr>
        <w:tc>
          <w:tcPr>
            <w:tcW w:w="5499" w:type="dxa"/>
            <w:vAlign w:val="bottom"/>
          </w:tcPr>
          <w:p w14:paraId="371C670C" w14:textId="77777777" w:rsidR="008E5DE4" w:rsidRDefault="00780368">
            <w:pPr>
              <w:widowControl w:val="0"/>
              <w:pBdr>
                <w:top w:val="nil"/>
                <w:left w:val="nil"/>
                <w:bottom w:val="nil"/>
                <w:right w:val="nil"/>
                <w:between w:val="nil"/>
              </w:pBdr>
              <w:ind w:left="113" w:right="-57" w:hanging="113"/>
              <w:rPr>
                <w:b/>
                <w:color w:val="000000"/>
              </w:rPr>
            </w:pPr>
            <w:r>
              <w:rPr>
                <w:b/>
                <w:color w:val="000000"/>
              </w:rPr>
              <w:t>Non-controlling interest</w:t>
            </w:r>
          </w:p>
        </w:tc>
        <w:tc>
          <w:tcPr>
            <w:tcW w:w="851" w:type="dxa"/>
            <w:vAlign w:val="bottom"/>
          </w:tcPr>
          <w:p w14:paraId="57A9FB2B"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F158939"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83E190F" w14:textId="77777777" w:rsidR="008E5DE4" w:rsidRDefault="008E5DE4">
            <w:pPr>
              <w:widowControl w:val="0"/>
              <w:pBdr>
                <w:top w:val="nil"/>
                <w:left w:val="nil"/>
                <w:bottom w:val="nil"/>
                <w:right w:val="nil"/>
                <w:between w:val="nil"/>
              </w:pBdr>
              <w:jc w:val="right"/>
              <w:rPr>
                <w:b/>
                <w:color w:val="000000"/>
              </w:rPr>
            </w:pPr>
          </w:p>
        </w:tc>
      </w:tr>
      <w:tr w:rsidR="008E5DE4" w14:paraId="3B8DB4F0" w14:textId="77777777">
        <w:trPr>
          <w:cantSplit/>
        </w:trPr>
        <w:tc>
          <w:tcPr>
            <w:tcW w:w="5499" w:type="dxa"/>
            <w:vAlign w:val="bottom"/>
          </w:tcPr>
          <w:p w14:paraId="0A4087DA"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851" w:type="dxa"/>
            <w:vAlign w:val="bottom"/>
          </w:tcPr>
          <w:p w14:paraId="68A87EB9"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231278D1"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16B1BC33" w14:textId="77777777" w:rsidR="008E5DE4" w:rsidRDefault="008E5DE4">
            <w:pPr>
              <w:widowControl w:val="0"/>
              <w:pBdr>
                <w:top w:val="nil"/>
                <w:left w:val="nil"/>
                <w:bottom w:val="nil"/>
                <w:right w:val="nil"/>
                <w:between w:val="nil"/>
              </w:pBdr>
              <w:jc w:val="right"/>
              <w:rPr>
                <w:b/>
                <w:smallCaps/>
                <w:color w:val="000000"/>
              </w:rPr>
            </w:pPr>
          </w:p>
        </w:tc>
      </w:tr>
      <w:tr w:rsidR="008E5DE4" w14:paraId="27E296CA" w14:textId="77777777">
        <w:trPr>
          <w:cantSplit/>
        </w:trPr>
        <w:tc>
          <w:tcPr>
            <w:tcW w:w="5499" w:type="dxa"/>
            <w:vAlign w:val="bottom"/>
          </w:tcPr>
          <w:p w14:paraId="46632ECF"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EQUITY</w:t>
            </w:r>
          </w:p>
        </w:tc>
        <w:tc>
          <w:tcPr>
            <w:tcW w:w="851" w:type="dxa"/>
            <w:vAlign w:val="bottom"/>
          </w:tcPr>
          <w:p w14:paraId="660789F2"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4A440572"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2E91BBE9" w14:textId="77777777" w:rsidR="008E5DE4" w:rsidRDefault="008E5DE4">
            <w:pPr>
              <w:widowControl w:val="0"/>
              <w:pBdr>
                <w:top w:val="nil"/>
                <w:left w:val="nil"/>
                <w:bottom w:val="nil"/>
                <w:right w:val="nil"/>
                <w:between w:val="nil"/>
              </w:pBdr>
              <w:jc w:val="right"/>
              <w:rPr>
                <w:b/>
                <w:smallCaps/>
                <w:color w:val="000000"/>
              </w:rPr>
            </w:pPr>
          </w:p>
        </w:tc>
      </w:tr>
      <w:tr w:rsidR="008E5DE4" w14:paraId="6F5515A2" w14:textId="77777777">
        <w:trPr>
          <w:cantSplit/>
        </w:trPr>
        <w:tc>
          <w:tcPr>
            <w:tcW w:w="5499" w:type="dxa"/>
            <w:tcBorders>
              <w:bottom w:val="single" w:sz="12" w:space="0" w:color="000000"/>
            </w:tcBorders>
            <w:vAlign w:val="bottom"/>
          </w:tcPr>
          <w:p w14:paraId="3ABF7F40"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 </w:t>
            </w:r>
          </w:p>
        </w:tc>
        <w:tc>
          <w:tcPr>
            <w:tcW w:w="851" w:type="dxa"/>
            <w:tcBorders>
              <w:bottom w:val="single" w:sz="12" w:space="0" w:color="000000"/>
            </w:tcBorders>
            <w:vAlign w:val="bottom"/>
          </w:tcPr>
          <w:p w14:paraId="5F81991C"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bottom w:val="single" w:sz="12" w:space="0" w:color="000000"/>
            </w:tcBorders>
            <w:vAlign w:val="bottom"/>
          </w:tcPr>
          <w:p w14:paraId="09DB9F5E" w14:textId="77777777" w:rsidR="008E5DE4" w:rsidRDefault="008E5DE4">
            <w:pPr>
              <w:widowControl w:val="0"/>
              <w:pBdr>
                <w:top w:val="nil"/>
                <w:left w:val="nil"/>
                <w:bottom w:val="nil"/>
                <w:right w:val="nil"/>
                <w:between w:val="nil"/>
              </w:pBdr>
              <w:jc w:val="right"/>
              <w:rPr>
                <w:b/>
                <w:smallCaps/>
                <w:color w:val="000000"/>
              </w:rPr>
            </w:pPr>
          </w:p>
        </w:tc>
        <w:tc>
          <w:tcPr>
            <w:tcW w:w="1531" w:type="dxa"/>
            <w:tcBorders>
              <w:bottom w:val="single" w:sz="12" w:space="0" w:color="000000"/>
            </w:tcBorders>
            <w:vAlign w:val="bottom"/>
          </w:tcPr>
          <w:p w14:paraId="497D849B" w14:textId="77777777" w:rsidR="008E5DE4" w:rsidRDefault="008E5DE4">
            <w:pPr>
              <w:widowControl w:val="0"/>
              <w:pBdr>
                <w:top w:val="nil"/>
                <w:left w:val="nil"/>
                <w:bottom w:val="nil"/>
                <w:right w:val="nil"/>
                <w:between w:val="nil"/>
              </w:pBdr>
              <w:jc w:val="right"/>
              <w:rPr>
                <w:b/>
                <w:smallCaps/>
                <w:color w:val="000000"/>
              </w:rPr>
            </w:pPr>
          </w:p>
        </w:tc>
      </w:tr>
      <w:tr w:rsidR="008E5DE4" w14:paraId="7F6413BF" w14:textId="77777777">
        <w:trPr>
          <w:cantSplit/>
        </w:trPr>
        <w:tc>
          <w:tcPr>
            <w:tcW w:w="5499" w:type="dxa"/>
            <w:tcBorders>
              <w:top w:val="single" w:sz="4" w:space="0" w:color="000000"/>
            </w:tcBorders>
            <w:vAlign w:val="bottom"/>
          </w:tcPr>
          <w:p w14:paraId="2E2BD433"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 </w:t>
            </w:r>
          </w:p>
        </w:tc>
        <w:tc>
          <w:tcPr>
            <w:tcW w:w="851" w:type="dxa"/>
            <w:tcBorders>
              <w:top w:val="single" w:sz="4" w:space="0" w:color="000000"/>
            </w:tcBorders>
            <w:vAlign w:val="bottom"/>
          </w:tcPr>
          <w:p w14:paraId="6278752D"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top w:val="single" w:sz="4" w:space="0" w:color="000000"/>
            </w:tcBorders>
            <w:vAlign w:val="bottom"/>
          </w:tcPr>
          <w:p w14:paraId="42343895" w14:textId="77777777" w:rsidR="008E5DE4" w:rsidRDefault="008E5DE4">
            <w:pPr>
              <w:widowControl w:val="0"/>
              <w:pBdr>
                <w:top w:val="nil"/>
                <w:left w:val="nil"/>
                <w:bottom w:val="nil"/>
                <w:right w:val="nil"/>
                <w:between w:val="nil"/>
              </w:pBdr>
              <w:jc w:val="right"/>
              <w:rPr>
                <w:b/>
                <w:smallCaps/>
                <w:color w:val="000000"/>
              </w:rPr>
            </w:pPr>
          </w:p>
        </w:tc>
        <w:tc>
          <w:tcPr>
            <w:tcW w:w="1531" w:type="dxa"/>
            <w:tcBorders>
              <w:top w:val="single" w:sz="4" w:space="0" w:color="000000"/>
            </w:tcBorders>
            <w:vAlign w:val="bottom"/>
          </w:tcPr>
          <w:p w14:paraId="686B81EB" w14:textId="77777777" w:rsidR="008E5DE4" w:rsidRDefault="008E5DE4">
            <w:pPr>
              <w:widowControl w:val="0"/>
              <w:pBdr>
                <w:top w:val="nil"/>
                <w:left w:val="nil"/>
                <w:bottom w:val="nil"/>
                <w:right w:val="nil"/>
                <w:between w:val="nil"/>
              </w:pBdr>
              <w:jc w:val="right"/>
              <w:rPr>
                <w:b/>
                <w:smallCaps/>
                <w:color w:val="000000"/>
              </w:rPr>
            </w:pPr>
          </w:p>
        </w:tc>
      </w:tr>
      <w:tr w:rsidR="008E5DE4" w14:paraId="01F06555" w14:textId="77777777">
        <w:trPr>
          <w:cantSplit/>
        </w:trPr>
        <w:tc>
          <w:tcPr>
            <w:tcW w:w="5499" w:type="dxa"/>
            <w:vAlign w:val="bottom"/>
          </w:tcPr>
          <w:p w14:paraId="3D567E7F"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TOTAL LIABILITIES AND EQUITY</w:t>
            </w:r>
          </w:p>
        </w:tc>
        <w:tc>
          <w:tcPr>
            <w:tcW w:w="851" w:type="dxa"/>
            <w:vAlign w:val="bottom"/>
          </w:tcPr>
          <w:p w14:paraId="3A3FAE92"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3818E81D" w14:textId="77777777" w:rsidR="008E5DE4" w:rsidRDefault="008E5DE4">
            <w:pPr>
              <w:widowControl w:val="0"/>
              <w:pBdr>
                <w:top w:val="nil"/>
                <w:left w:val="nil"/>
                <w:bottom w:val="nil"/>
                <w:right w:val="nil"/>
                <w:between w:val="nil"/>
              </w:pBdr>
              <w:jc w:val="right"/>
              <w:rPr>
                <w:b/>
                <w:smallCaps/>
                <w:color w:val="000000"/>
              </w:rPr>
            </w:pPr>
          </w:p>
        </w:tc>
        <w:tc>
          <w:tcPr>
            <w:tcW w:w="1531" w:type="dxa"/>
            <w:vAlign w:val="bottom"/>
          </w:tcPr>
          <w:p w14:paraId="2E8D688B" w14:textId="77777777" w:rsidR="008E5DE4" w:rsidRDefault="008E5DE4">
            <w:pPr>
              <w:widowControl w:val="0"/>
              <w:pBdr>
                <w:top w:val="nil"/>
                <w:left w:val="nil"/>
                <w:bottom w:val="nil"/>
                <w:right w:val="nil"/>
                <w:between w:val="nil"/>
              </w:pBdr>
              <w:jc w:val="right"/>
              <w:rPr>
                <w:b/>
                <w:smallCaps/>
                <w:color w:val="000000"/>
              </w:rPr>
            </w:pPr>
          </w:p>
        </w:tc>
      </w:tr>
      <w:tr w:rsidR="008E5DE4" w14:paraId="7E5EBD2E" w14:textId="77777777">
        <w:trPr>
          <w:cantSplit/>
        </w:trPr>
        <w:tc>
          <w:tcPr>
            <w:tcW w:w="5499" w:type="dxa"/>
            <w:tcBorders>
              <w:bottom w:val="single" w:sz="12" w:space="0" w:color="000000"/>
            </w:tcBorders>
            <w:vAlign w:val="bottom"/>
          </w:tcPr>
          <w:p w14:paraId="7E6C1044"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 </w:t>
            </w:r>
          </w:p>
        </w:tc>
        <w:tc>
          <w:tcPr>
            <w:tcW w:w="851" w:type="dxa"/>
            <w:tcBorders>
              <w:bottom w:val="single" w:sz="12" w:space="0" w:color="000000"/>
            </w:tcBorders>
            <w:vAlign w:val="bottom"/>
          </w:tcPr>
          <w:p w14:paraId="12B90F39"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bottom w:val="single" w:sz="12" w:space="0" w:color="000000"/>
            </w:tcBorders>
            <w:vAlign w:val="bottom"/>
          </w:tcPr>
          <w:p w14:paraId="6089B454" w14:textId="77777777" w:rsidR="008E5DE4" w:rsidRDefault="008E5DE4">
            <w:pPr>
              <w:widowControl w:val="0"/>
              <w:pBdr>
                <w:top w:val="nil"/>
                <w:left w:val="nil"/>
                <w:bottom w:val="nil"/>
                <w:right w:val="nil"/>
                <w:between w:val="nil"/>
              </w:pBdr>
              <w:jc w:val="right"/>
              <w:rPr>
                <w:b/>
                <w:smallCaps/>
                <w:color w:val="000000"/>
              </w:rPr>
            </w:pPr>
          </w:p>
        </w:tc>
        <w:tc>
          <w:tcPr>
            <w:tcW w:w="1531" w:type="dxa"/>
            <w:tcBorders>
              <w:bottom w:val="single" w:sz="12" w:space="0" w:color="000000"/>
            </w:tcBorders>
            <w:vAlign w:val="bottom"/>
          </w:tcPr>
          <w:p w14:paraId="1DD7E451" w14:textId="77777777" w:rsidR="008E5DE4" w:rsidRDefault="008E5DE4">
            <w:pPr>
              <w:widowControl w:val="0"/>
              <w:pBdr>
                <w:top w:val="nil"/>
                <w:left w:val="nil"/>
                <w:bottom w:val="nil"/>
                <w:right w:val="nil"/>
                <w:between w:val="nil"/>
              </w:pBdr>
              <w:jc w:val="right"/>
              <w:rPr>
                <w:b/>
                <w:smallCaps/>
                <w:color w:val="000000"/>
              </w:rPr>
            </w:pPr>
          </w:p>
        </w:tc>
      </w:tr>
    </w:tbl>
    <w:p w14:paraId="138C920A" w14:textId="77777777" w:rsidR="008E5DE4" w:rsidRDefault="008E5DE4">
      <w:pPr>
        <w:widowControl w:val="0"/>
        <w:spacing w:before="200" w:after="200"/>
        <w:rPr>
          <w:sz w:val="20"/>
          <w:szCs w:val="20"/>
        </w:rPr>
        <w:sectPr w:rsidR="008E5DE4">
          <w:headerReference w:type="default" r:id="rId32"/>
          <w:pgSz w:w="11907" w:h="16840"/>
          <w:pgMar w:top="1418" w:right="851" w:bottom="1134" w:left="1701" w:header="737" w:footer="567" w:gutter="0"/>
          <w:cols w:space="708"/>
        </w:sectPr>
      </w:pPr>
    </w:p>
    <w:p w14:paraId="12CB34B8" w14:textId="77777777" w:rsidR="008E5DE4" w:rsidRDefault="00780368">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lastRenderedPageBreak/>
        <w:t>Alternatively, entities may present the statement of profit or loss and statement of comprehensive income as two separate statements:</w:t>
      </w:r>
    </w:p>
    <w:p w14:paraId="18B23B55" w14:textId="77777777" w:rsidR="008E5DE4" w:rsidRDefault="00780368">
      <w:pPr>
        <w:widowControl w:val="0"/>
        <w:spacing w:before="200" w:after="200"/>
        <w:rPr>
          <w:b/>
          <w:i/>
          <w:sz w:val="20"/>
          <w:szCs w:val="20"/>
        </w:rPr>
      </w:pPr>
      <w:r>
        <w:rPr>
          <w:b/>
          <w:i/>
          <w:sz w:val="20"/>
          <w:szCs w:val="20"/>
        </w:rPr>
        <w:t>Consolidated Statement of Profit or Loss</w:t>
      </w:r>
    </w:p>
    <w:tbl>
      <w:tblPr>
        <w:tblStyle w:val="affffffffffffffb"/>
        <w:tblW w:w="9412" w:type="dxa"/>
        <w:tblLayout w:type="fixed"/>
        <w:tblLook w:val="0000" w:firstRow="0" w:lastRow="0" w:firstColumn="0" w:lastColumn="0" w:noHBand="0" w:noVBand="0"/>
      </w:tblPr>
      <w:tblGrid>
        <w:gridCol w:w="5499"/>
        <w:gridCol w:w="851"/>
        <w:gridCol w:w="1531"/>
        <w:gridCol w:w="1531"/>
      </w:tblGrid>
      <w:tr w:rsidR="008E5DE4" w14:paraId="59CAAEAE" w14:textId="77777777">
        <w:trPr>
          <w:cantSplit/>
          <w:tblHeader/>
        </w:trPr>
        <w:tc>
          <w:tcPr>
            <w:tcW w:w="5499" w:type="dxa"/>
            <w:tcBorders>
              <w:bottom w:val="single" w:sz="4" w:space="0" w:color="000000"/>
            </w:tcBorders>
            <w:vAlign w:val="bottom"/>
          </w:tcPr>
          <w:p w14:paraId="089AE01C" w14:textId="77777777" w:rsidR="008E5DE4" w:rsidRDefault="00780368">
            <w:pPr>
              <w:widowControl w:val="0"/>
              <w:pBdr>
                <w:top w:val="nil"/>
                <w:left w:val="nil"/>
                <w:bottom w:val="nil"/>
                <w:right w:val="nil"/>
                <w:between w:val="nil"/>
              </w:pBdr>
              <w:ind w:left="113" w:right="-57" w:hanging="113"/>
              <w:rPr>
                <w:i/>
                <w:color w:val="000000"/>
              </w:rPr>
            </w:pPr>
            <w:r>
              <w:rPr>
                <w:i/>
                <w:color w:val="000000"/>
              </w:rPr>
              <w:t>In thousands of EUR</w:t>
            </w:r>
          </w:p>
        </w:tc>
        <w:tc>
          <w:tcPr>
            <w:tcW w:w="851" w:type="dxa"/>
            <w:tcBorders>
              <w:bottom w:val="single" w:sz="4" w:space="0" w:color="000000"/>
            </w:tcBorders>
            <w:vAlign w:val="bottom"/>
          </w:tcPr>
          <w:p w14:paraId="38943670"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28F93D3B" w14:textId="7D847BA0"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7CAED267" w14:textId="1460F9BC" w:rsidR="008E5DE4" w:rsidRDefault="00A46633">
            <w:pPr>
              <w:widowControl w:val="0"/>
              <w:pBdr>
                <w:top w:val="nil"/>
                <w:left w:val="nil"/>
                <w:bottom w:val="nil"/>
                <w:right w:val="nil"/>
                <w:between w:val="nil"/>
              </w:pBdr>
              <w:jc w:val="right"/>
              <w:rPr>
                <w:b/>
                <w:color w:val="000000"/>
              </w:rPr>
            </w:pPr>
            <w:r>
              <w:rPr>
                <w:b/>
                <w:color w:val="000000"/>
              </w:rPr>
              <w:t>2024</w:t>
            </w:r>
          </w:p>
        </w:tc>
      </w:tr>
      <w:tr w:rsidR="008E5DE4" w14:paraId="23BB4062" w14:textId="77777777">
        <w:trPr>
          <w:cantSplit/>
        </w:trPr>
        <w:tc>
          <w:tcPr>
            <w:tcW w:w="5499" w:type="dxa"/>
            <w:vAlign w:val="bottom"/>
          </w:tcPr>
          <w:p w14:paraId="4F9C2D6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vAlign w:val="bottom"/>
          </w:tcPr>
          <w:p w14:paraId="3586298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6F4BFF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6764ED6" w14:textId="77777777" w:rsidR="008E5DE4" w:rsidRDefault="008E5DE4">
            <w:pPr>
              <w:widowControl w:val="0"/>
              <w:pBdr>
                <w:top w:val="nil"/>
                <w:left w:val="nil"/>
                <w:bottom w:val="nil"/>
                <w:right w:val="nil"/>
                <w:between w:val="nil"/>
              </w:pBdr>
              <w:jc w:val="right"/>
              <w:rPr>
                <w:color w:val="000000"/>
              </w:rPr>
            </w:pPr>
          </w:p>
        </w:tc>
      </w:tr>
      <w:tr w:rsidR="008E5DE4" w14:paraId="57C2E971" w14:textId="77777777">
        <w:trPr>
          <w:cantSplit/>
        </w:trPr>
        <w:tc>
          <w:tcPr>
            <w:tcW w:w="5499" w:type="dxa"/>
            <w:vAlign w:val="bottom"/>
          </w:tcPr>
          <w:p w14:paraId="61A1C4DE"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[Continuing operations:]</w:t>
            </w:r>
          </w:p>
        </w:tc>
        <w:tc>
          <w:tcPr>
            <w:tcW w:w="851" w:type="dxa"/>
            <w:vAlign w:val="bottom"/>
          </w:tcPr>
          <w:p w14:paraId="160A6D9D" w14:textId="77777777" w:rsidR="008E5DE4" w:rsidRDefault="008E5DE4">
            <w:pPr>
              <w:widowControl w:val="0"/>
              <w:pBdr>
                <w:top w:val="nil"/>
                <w:left w:val="nil"/>
                <w:bottom w:val="nil"/>
                <w:right w:val="nil"/>
                <w:between w:val="nil"/>
              </w:pBdr>
              <w:ind w:left="-57" w:right="-57"/>
              <w:jc w:val="center"/>
              <w:rPr>
                <w:i/>
                <w:color w:val="000000"/>
              </w:rPr>
            </w:pPr>
          </w:p>
        </w:tc>
        <w:tc>
          <w:tcPr>
            <w:tcW w:w="1531" w:type="dxa"/>
            <w:vAlign w:val="bottom"/>
          </w:tcPr>
          <w:p w14:paraId="291BE845"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2EAA5671" w14:textId="77777777" w:rsidR="008E5DE4" w:rsidRDefault="008E5DE4">
            <w:pPr>
              <w:widowControl w:val="0"/>
              <w:pBdr>
                <w:top w:val="nil"/>
                <w:left w:val="nil"/>
                <w:bottom w:val="nil"/>
                <w:right w:val="nil"/>
                <w:between w:val="nil"/>
              </w:pBdr>
              <w:jc w:val="right"/>
              <w:rPr>
                <w:i/>
                <w:color w:val="000000"/>
              </w:rPr>
            </w:pPr>
          </w:p>
        </w:tc>
      </w:tr>
      <w:tr w:rsidR="008E5DE4" w14:paraId="43F40FDA" w14:textId="77777777">
        <w:trPr>
          <w:cantSplit/>
        </w:trPr>
        <w:tc>
          <w:tcPr>
            <w:tcW w:w="5499" w:type="dxa"/>
            <w:vAlign w:val="bottom"/>
          </w:tcPr>
          <w:p w14:paraId="6B827D53"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851" w:type="dxa"/>
            <w:vAlign w:val="bottom"/>
          </w:tcPr>
          <w:p w14:paraId="080EBADD"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8235E5E"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FE80AD3" w14:textId="77777777" w:rsidR="008E5DE4" w:rsidRDefault="008E5DE4">
            <w:pPr>
              <w:widowControl w:val="0"/>
              <w:pBdr>
                <w:top w:val="nil"/>
                <w:left w:val="nil"/>
                <w:bottom w:val="nil"/>
                <w:right w:val="nil"/>
                <w:between w:val="nil"/>
              </w:pBdr>
              <w:jc w:val="right"/>
              <w:rPr>
                <w:b/>
                <w:color w:val="000000"/>
              </w:rPr>
            </w:pPr>
          </w:p>
        </w:tc>
      </w:tr>
      <w:tr w:rsidR="008E5DE4" w14:paraId="60BDA6AE" w14:textId="77777777">
        <w:trPr>
          <w:cantSplit/>
        </w:trPr>
        <w:tc>
          <w:tcPr>
            <w:tcW w:w="5499" w:type="dxa"/>
            <w:vAlign w:val="bottom"/>
          </w:tcPr>
          <w:p w14:paraId="0510F7D0" w14:textId="77777777" w:rsidR="008E5DE4" w:rsidRDefault="00780368">
            <w:pPr>
              <w:widowControl w:val="0"/>
              <w:pBdr>
                <w:top w:val="nil"/>
                <w:left w:val="nil"/>
                <w:bottom w:val="nil"/>
                <w:right w:val="nil"/>
                <w:between w:val="nil"/>
              </w:pBdr>
              <w:ind w:left="113" w:right="-57" w:hanging="113"/>
              <w:rPr>
                <w:b/>
                <w:color w:val="000000"/>
              </w:rPr>
            </w:pPr>
            <w:r>
              <w:rPr>
                <w:b/>
                <w:color w:val="000000"/>
              </w:rPr>
              <w:t xml:space="preserve">Revenue </w:t>
            </w:r>
          </w:p>
        </w:tc>
        <w:tc>
          <w:tcPr>
            <w:tcW w:w="851" w:type="dxa"/>
            <w:vAlign w:val="bottom"/>
          </w:tcPr>
          <w:p w14:paraId="76FFA35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829B34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2CF2B52" w14:textId="77777777" w:rsidR="008E5DE4" w:rsidRDefault="008E5DE4">
            <w:pPr>
              <w:widowControl w:val="0"/>
              <w:pBdr>
                <w:top w:val="nil"/>
                <w:left w:val="nil"/>
                <w:bottom w:val="nil"/>
                <w:right w:val="nil"/>
                <w:between w:val="nil"/>
              </w:pBdr>
              <w:jc w:val="right"/>
              <w:rPr>
                <w:b/>
                <w:color w:val="000000"/>
              </w:rPr>
            </w:pPr>
          </w:p>
        </w:tc>
      </w:tr>
      <w:tr w:rsidR="008E5DE4" w14:paraId="69EA1233" w14:textId="77777777">
        <w:trPr>
          <w:cantSplit/>
        </w:trPr>
        <w:tc>
          <w:tcPr>
            <w:tcW w:w="5499" w:type="dxa"/>
            <w:vAlign w:val="bottom"/>
          </w:tcPr>
          <w:p w14:paraId="66B03C66" w14:textId="77777777" w:rsidR="008E5DE4" w:rsidRDefault="00780368">
            <w:pPr>
              <w:widowControl w:val="0"/>
              <w:pBdr>
                <w:top w:val="nil"/>
                <w:left w:val="nil"/>
                <w:bottom w:val="nil"/>
                <w:right w:val="nil"/>
                <w:between w:val="nil"/>
              </w:pBdr>
              <w:ind w:left="113" w:right="-57" w:hanging="113"/>
              <w:rPr>
                <w:color w:val="000000"/>
              </w:rPr>
            </w:pPr>
            <w:r>
              <w:rPr>
                <w:color w:val="000000"/>
              </w:rPr>
              <w:t>Other income</w:t>
            </w:r>
          </w:p>
        </w:tc>
        <w:tc>
          <w:tcPr>
            <w:tcW w:w="851" w:type="dxa"/>
            <w:vAlign w:val="bottom"/>
          </w:tcPr>
          <w:p w14:paraId="120A0813"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5E46D6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7462AF0" w14:textId="77777777" w:rsidR="008E5DE4" w:rsidRDefault="008E5DE4">
            <w:pPr>
              <w:widowControl w:val="0"/>
              <w:pBdr>
                <w:top w:val="nil"/>
                <w:left w:val="nil"/>
                <w:bottom w:val="nil"/>
                <w:right w:val="nil"/>
                <w:between w:val="nil"/>
              </w:pBdr>
              <w:jc w:val="right"/>
              <w:rPr>
                <w:color w:val="000000"/>
              </w:rPr>
            </w:pPr>
          </w:p>
        </w:tc>
      </w:tr>
      <w:tr w:rsidR="008E5DE4" w14:paraId="6A65D683" w14:textId="77777777">
        <w:trPr>
          <w:cantSplit/>
        </w:trPr>
        <w:tc>
          <w:tcPr>
            <w:tcW w:w="5499" w:type="dxa"/>
            <w:vAlign w:val="bottom"/>
          </w:tcPr>
          <w:p w14:paraId="53C926A3" w14:textId="77777777" w:rsidR="008E5DE4" w:rsidRDefault="00780368">
            <w:pPr>
              <w:widowControl w:val="0"/>
              <w:pBdr>
                <w:top w:val="nil"/>
                <w:left w:val="nil"/>
                <w:bottom w:val="nil"/>
                <w:right w:val="nil"/>
                <w:between w:val="nil"/>
              </w:pBdr>
              <w:ind w:left="113" w:right="-57" w:hanging="113"/>
              <w:rPr>
                <w:color w:val="000000"/>
              </w:rPr>
            </w:pPr>
            <w:r>
              <w:rPr>
                <w:color w:val="000000"/>
              </w:rPr>
              <w:t>Interest income calculated using the effective interest method</w:t>
            </w:r>
          </w:p>
        </w:tc>
        <w:tc>
          <w:tcPr>
            <w:tcW w:w="851" w:type="dxa"/>
            <w:vAlign w:val="bottom"/>
          </w:tcPr>
          <w:p w14:paraId="66DC1B9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51AA08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98C675B" w14:textId="77777777" w:rsidR="008E5DE4" w:rsidRDefault="008E5DE4">
            <w:pPr>
              <w:widowControl w:val="0"/>
              <w:pBdr>
                <w:top w:val="nil"/>
                <w:left w:val="nil"/>
                <w:bottom w:val="nil"/>
                <w:right w:val="nil"/>
                <w:between w:val="nil"/>
              </w:pBdr>
              <w:jc w:val="right"/>
              <w:rPr>
                <w:color w:val="000000"/>
              </w:rPr>
            </w:pPr>
          </w:p>
        </w:tc>
      </w:tr>
      <w:tr w:rsidR="008E5DE4" w14:paraId="1BA7EAB8" w14:textId="77777777">
        <w:trPr>
          <w:cantSplit/>
        </w:trPr>
        <w:tc>
          <w:tcPr>
            <w:tcW w:w="5499" w:type="dxa"/>
            <w:vAlign w:val="bottom"/>
          </w:tcPr>
          <w:p w14:paraId="5FE3523A" w14:textId="77777777" w:rsidR="008E5DE4" w:rsidRDefault="00780368">
            <w:pPr>
              <w:widowControl w:val="0"/>
              <w:pBdr>
                <w:top w:val="nil"/>
                <w:left w:val="nil"/>
                <w:bottom w:val="nil"/>
                <w:right w:val="nil"/>
                <w:between w:val="nil"/>
              </w:pBdr>
              <w:ind w:left="113" w:right="-57" w:hanging="113"/>
              <w:rPr>
                <w:color w:val="000000"/>
              </w:rPr>
            </w:pPr>
            <w:r>
              <w:rPr>
                <w:color w:val="000000"/>
              </w:rPr>
              <w:t>Changes in inventories of finished goods and work in progress</w:t>
            </w:r>
          </w:p>
        </w:tc>
        <w:tc>
          <w:tcPr>
            <w:tcW w:w="851" w:type="dxa"/>
            <w:vAlign w:val="bottom"/>
          </w:tcPr>
          <w:p w14:paraId="2ED677D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4BFC40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BD0FDDC" w14:textId="77777777" w:rsidR="008E5DE4" w:rsidRDefault="008E5DE4">
            <w:pPr>
              <w:widowControl w:val="0"/>
              <w:pBdr>
                <w:top w:val="nil"/>
                <w:left w:val="nil"/>
                <w:bottom w:val="nil"/>
                <w:right w:val="nil"/>
                <w:between w:val="nil"/>
              </w:pBdr>
              <w:jc w:val="right"/>
              <w:rPr>
                <w:color w:val="000000"/>
              </w:rPr>
            </w:pPr>
          </w:p>
        </w:tc>
      </w:tr>
      <w:tr w:rsidR="008E5DE4" w14:paraId="1E9D2B07" w14:textId="77777777">
        <w:trPr>
          <w:cantSplit/>
        </w:trPr>
        <w:tc>
          <w:tcPr>
            <w:tcW w:w="5499" w:type="dxa"/>
            <w:vAlign w:val="bottom"/>
          </w:tcPr>
          <w:p w14:paraId="13E449D2" w14:textId="77777777" w:rsidR="008E5DE4" w:rsidRDefault="00780368">
            <w:pPr>
              <w:widowControl w:val="0"/>
              <w:pBdr>
                <w:top w:val="nil"/>
                <w:left w:val="nil"/>
                <w:bottom w:val="nil"/>
                <w:right w:val="nil"/>
                <w:between w:val="nil"/>
              </w:pBdr>
              <w:ind w:left="113" w:right="-57" w:hanging="113"/>
              <w:rPr>
                <w:color w:val="000000"/>
              </w:rPr>
            </w:pPr>
            <w:r>
              <w:rPr>
                <w:color w:val="000000"/>
              </w:rPr>
              <w:t>Raw materials and consumables used</w:t>
            </w:r>
          </w:p>
        </w:tc>
        <w:tc>
          <w:tcPr>
            <w:tcW w:w="851" w:type="dxa"/>
            <w:vAlign w:val="bottom"/>
          </w:tcPr>
          <w:p w14:paraId="37F0C0E0"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A24251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7AEF942" w14:textId="77777777" w:rsidR="008E5DE4" w:rsidRDefault="008E5DE4">
            <w:pPr>
              <w:widowControl w:val="0"/>
              <w:pBdr>
                <w:top w:val="nil"/>
                <w:left w:val="nil"/>
                <w:bottom w:val="nil"/>
                <w:right w:val="nil"/>
                <w:between w:val="nil"/>
              </w:pBdr>
              <w:jc w:val="right"/>
              <w:rPr>
                <w:color w:val="000000"/>
              </w:rPr>
            </w:pPr>
          </w:p>
        </w:tc>
      </w:tr>
      <w:tr w:rsidR="008E5DE4" w14:paraId="57B84E39" w14:textId="77777777">
        <w:trPr>
          <w:cantSplit/>
        </w:trPr>
        <w:tc>
          <w:tcPr>
            <w:tcW w:w="5499" w:type="dxa"/>
            <w:vAlign w:val="bottom"/>
          </w:tcPr>
          <w:p w14:paraId="0E885B0D" w14:textId="77777777" w:rsidR="008E5DE4" w:rsidRDefault="00780368">
            <w:pPr>
              <w:widowControl w:val="0"/>
              <w:pBdr>
                <w:top w:val="nil"/>
                <w:left w:val="nil"/>
                <w:bottom w:val="nil"/>
                <w:right w:val="nil"/>
                <w:between w:val="nil"/>
              </w:pBdr>
              <w:ind w:left="113" w:right="-57" w:hanging="113"/>
              <w:rPr>
                <w:color w:val="000000"/>
              </w:rPr>
            </w:pPr>
            <w:r>
              <w:rPr>
                <w:color w:val="000000"/>
              </w:rPr>
              <w:t>Employee benefits expense</w:t>
            </w:r>
          </w:p>
        </w:tc>
        <w:tc>
          <w:tcPr>
            <w:tcW w:w="851" w:type="dxa"/>
            <w:vAlign w:val="bottom"/>
          </w:tcPr>
          <w:p w14:paraId="2019BB58"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634EC9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76563F4" w14:textId="77777777" w:rsidR="008E5DE4" w:rsidRDefault="008E5DE4">
            <w:pPr>
              <w:widowControl w:val="0"/>
              <w:pBdr>
                <w:top w:val="nil"/>
                <w:left w:val="nil"/>
                <w:bottom w:val="nil"/>
                <w:right w:val="nil"/>
                <w:between w:val="nil"/>
              </w:pBdr>
              <w:jc w:val="right"/>
              <w:rPr>
                <w:color w:val="000000"/>
              </w:rPr>
            </w:pPr>
          </w:p>
        </w:tc>
      </w:tr>
      <w:tr w:rsidR="008E5DE4" w14:paraId="48955CEC" w14:textId="77777777">
        <w:trPr>
          <w:cantSplit/>
        </w:trPr>
        <w:tc>
          <w:tcPr>
            <w:tcW w:w="5499" w:type="dxa"/>
            <w:vAlign w:val="bottom"/>
          </w:tcPr>
          <w:p w14:paraId="549DBE97" w14:textId="77777777" w:rsidR="008E5DE4" w:rsidRDefault="00780368">
            <w:pPr>
              <w:widowControl w:val="0"/>
              <w:pBdr>
                <w:top w:val="nil"/>
                <w:left w:val="nil"/>
                <w:bottom w:val="nil"/>
                <w:right w:val="nil"/>
                <w:between w:val="nil"/>
              </w:pBdr>
              <w:ind w:left="113" w:right="-57" w:hanging="113"/>
              <w:rPr>
                <w:color w:val="000000"/>
              </w:rPr>
            </w:pPr>
            <w:r>
              <w:rPr>
                <w:color w:val="000000"/>
              </w:rPr>
              <w:t>Depreciation of property, plant and equipment</w:t>
            </w:r>
          </w:p>
        </w:tc>
        <w:tc>
          <w:tcPr>
            <w:tcW w:w="851" w:type="dxa"/>
            <w:vAlign w:val="bottom"/>
          </w:tcPr>
          <w:p w14:paraId="42A5978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5B3B6E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A7C2B49" w14:textId="77777777" w:rsidR="008E5DE4" w:rsidRDefault="008E5DE4">
            <w:pPr>
              <w:widowControl w:val="0"/>
              <w:pBdr>
                <w:top w:val="nil"/>
                <w:left w:val="nil"/>
                <w:bottom w:val="nil"/>
                <w:right w:val="nil"/>
                <w:between w:val="nil"/>
              </w:pBdr>
              <w:jc w:val="right"/>
              <w:rPr>
                <w:color w:val="000000"/>
              </w:rPr>
            </w:pPr>
          </w:p>
        </w:tc>
      </w:tr>
      <w:tr w:rsidR="008E5DE4" w14:paraId="4F46ACC8" w14:textId="77777777">
        <w:trPr>
          <w:cantSplit/>
        </w:trPr>
        <w:tc>
          <w:tcPr>
            <w:tcW w:w="5499" w:type="dxa"/>
            <w:vAlign w:val="bottom"/>
          </w:tcPr>
          <w:p w14:paraId="251A9590" w14:textId="77777777" w:rsidR="008E5DE4" w:rsidRDefault="00780368">
            <w:pPr>
              <w:widowControl w:val="0"/>
              <w:pBdr>
                <w:top w:val="nil"/>
                <w:left w:val="nil"/>
                <w:bottom w:val="nil"/>
                <w:right w:val="nil"/>
                <w:between w:val="nil"/>
              </w:pBdr>
              <w:ind w:left="113" w:right="-57" w:hanging="113"/>
              <w:rPr>
                <w:color w:val="000000"/>
              </w:rPr>
            </w:pPr>
            <w:r>
              <w:rPr>
                <w:color w:val="000000"/>
              </w:rPr>
              <w:t>Impairment of property, plant and equipment</w:t>
            </w:r>
          </w:p>
        </w:tc>
        <w:tc>
          <w:tcPr>
            <w:tcW w:w="851" w:type="dxa"/>
            <w:vAlign w:val="bottom"/>
          </w:tcPr>
          <w:p w14:paraId="07E88843"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EC028B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CE7AF8E" w14:textId="77777777" w:rsidR="008E5DE4" w:rsidRDefault="008E5DE4">
            <w:pPr>
              <w:widowControl w:val="0"/>
              <w:pBdr>
                <w:top w:val="nil"/>
                <w:left w:val="nil"/>
                <w:bottom w:val="nil"/>
                <w:right w:val="nil"/>
                <w:between w:val="nil"/>
              </w:pBdr>
              <w:jc w:val="right"/>
              <w:rPr>
                <w:color w:val="000000"/>
              </w:rPr>
            </w:pPr>
          </w:p>
        </w:tc>
      </w:tr>
      <w:tr w:rsidR="008E5DE4" w14:paraId="24A86176" w14:textId="77777777">
        <w:trPr>
          <w:cantSplit/>
        </w:trPr>
        <w:tc>
          <w:tcPr>
            <w:tcW w:w="5499" w:type="dxa"/>
            <w:vAlign w:val="bottom"/>
          </w:tcPr>
          <w:p w14:paraId="655F5875" w14:textId="77777777" w:rsidR="008E5DE4" w:rsidRDefault="00780368">
            <w:pPr>
              <w:widowControl w:val="0"/>
              <w:pBdr>
                <w:top w:val="nil"/>
                <w:left w:val="nil"/>
                <w:bottom w:val="nil"/>
                <w:right w:val="nil"/>
                <w:between w:val="nil"/>
              </w:pBdr>
              <w:ind w:left="113" w:right="-57" w:hanging="113"/>
              <w:rPr>
                <w:color w:val="000000"/>
              </w:rPr>
            </w:pPr>
            <w:r>
              <w:rPr>
                <w:color w:val="000000"/>
              </w:rPr>
              <w:t>Impairment of goodwill</w:t>
            </w:r>
          </w:p>
        </w:tc>
        <w:tc>
          <w:tcPr>
            <w:tcW w:w="851" w:type="dxa"/>
            <w:vAlign w:val="bottom"/>
          </w:tcPr>
          <w:p w14:paraId="15D17E9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0F2F50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3AFA70D" w14:textId="77777777" w:rsidR="008E5DE4" w:rsidRDefault="008E5DE4">
            <w:pPr>
              <w:widowControl w:val="0"/>
              <w:pBdr>
                <w:top w:val="nil"/>
                <w:left w:val="nil"/>
                <w:bottom w:val="nil"/>
                <w:right w:val="nil"/>
                <w:between w:val="nil"/>
              </w:pBdr>
              <w:jc w:val="right"/>
              <w:rPr>
                <w:color w:val="000000"/>
              </w:rPr>
            </w:pPr>
          </w:p>
        </w:tc>
      </w:tr>
      <w:tr w:rsidR="008E5DE4" w14:paraId="6B2C2BC9" w14:textId="77777777">
        <w:trPr>
          <w:cantSplit/>
        </w:trPr>
        <w:tc>
          <w:tcPr>
            <w:tcW w:w="5499" w:type="dxa"/>
            <w:vAlign w:val="bottom"/>
          </w:tcPr>
          <w:p w14:paraId="6AAFA722" w14:textId="77777777" w:rsidR="008E5DE4" w:rsidRDefault="00780368">
            <w:pPr>
              <w:widowControl w:val="0"/>
              <w:pBdr>
                <w:top w:val="nil"/>
                <w:left w:val="nil"/>
                <w:bottom w:val="nil"/>
                <w:right w:val="nil"/>
                <w:between w:val="nil"/>
              </w:pBdr>
              <w:ind w:left="113" w:right="-57" w:hanging="113"/>
              <w:rPr>
                <w:color w:val="000000"/>
              </w:rPr>
            </w:pPr>
            <w:r>
              <w:rPr>
                <w:color w:val="000000"/>
              </w:rPr>
              <w:t>Net impairment losses on financial and contract assets</w:t>
            </w:r>
          </w:p>
        </w:tc>
        <w:tc>
          <w:tcPr>
            <w:tcW w:w="851" w:type="dxa"/>
            <w:vAlign w:val="bottom"/>
          </w:tcPr>
          <w:p w14:paraId="6FABB730"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99FA59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CA0AD7B" w14:textId="77777777" w:rsidR="008E5DE4" w:rsidRDefault="008E5DE4">
            <w:pPr>
              <w:widowControl w:val="0"/>
              <w:pBdr>
                <w:top w:val="nil"/>
                <w:left w:val="nil"/>
                <w:bottom w:val="nil"/>
                <w:right w:val="nil"/>
                <w:between w:val="nil"/>
              </w:pBdr>
              <w:jc w:val="right"/>
              <w:rPr>
                <w:color w:val="000000"/>
              </w:rPr>
            </w:pPr>
          </w:p>
        </w:tc>
      </w:tr>
      <w:tr w:rsidR="008E5DE4" w14:paraId="0EEF8473" w14:textId="77777777">
        <w:trPr>
          <w:cantSplit/>
        </w:trPr>
        <w:tc>
          <w:tcPr>
            <w:tcW w:w="5499" w:type="dxa"/>
            <w:vAlign w:val="bottom"/>
          </w:tcPr>
          <w:p w14:paraId="1898B1A3" w14:textId="3C4F4B52" w:rsidR="008E5DE4" w:rsidRDefault="00780368">
            <w:pPr>
              <w:widowControl w:val="0"/>
              <w:pBdr>
                <w:top w:val="nil"/>
                <w:left w:val="nil"/>
                <w:bottom w:val="nil"/>
                <w:right w:val="nil"/>
                <w:between w:val="nil"/>
              </w:pBdr>
              <w:ind w:left="113" w:right="-57" w:hanging="113"/>
              <w:rPr>
                <w:color w:val="000000"/>
              </w:rPr>
            </w:pPr>
            <w:r>
              <w:rPr>
                <w:color w:val="000000"/>
              </w:rPr>
              <w:t>Services</w:t>
            </w:r>
          </w:p>
        </w:tc>
        <w:tc>
          <w:tcPr>
            <w:tcW w:w="851" w:type="dxa"/>
            <w:vAlign w:val="bottom"/>
          </w:tcPr>
          <w:p w14:paraId="34E3782E"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5865ED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EF2428A" w14:textId="77777777" w:rsidR="008E5DE4" w:rsidRDefault="008E5DE4">
            <w:pPr>
              <w:widowControl w:val="0"/>
              <w:pBdr>
                <w:top w:val="nil"/>
                <w:left w:val="nil"/>
                <w:bottom w:val="nil"/>
                <w:right w:val="nil"/>
                <w:between w:val="nil"/>
              </w:pBdr>
              <w:jc w:val="right"/>
              <w:rPr>
                <w:color w:val="000000"/>
              </w:rPr>
            </w:pPr>
          </w:p>
        </w:tc>
      </w:tr>
      <w:tr w:rsidR="008E5DE4" w14:paraId="79F9A461" w14:textId="77777777">
        <w:trPr>
          <w:cantSplit/>
        </w:trPr>
        <w:tc>
          <w:tcPr>
            <w:tcW w:w="5499" w:type="dxa"/>
            <w:vAlign w:val="bottom"/>
          </w:tcPr>
          <w:p w14:paraId="15B8DADD"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Gain </w:t>
            </w:r>
            <w:r>
              <w:rPr>
                <w:color w:val="0000FF"/>
              </w:rPr>
              <w:t>[Loss]</w:t>
            </w:r>
            <w:r>
              <w:rPr>
                <w:color w:val="000000"/>
              </w:rPr>
              <w:t xml:space="preserve"> on sale of a subsidiary</w:t>
            </w:r>
          </w:p>
        </w:tc>
        <w:tc>
          <w:tcPr>
            <w:tcW w:w="851" w:type="dxa"/>
            <w:vAlign w:val="bottom"/>
          </w:tcPr>
          <w:p w14:paraId="6FB114C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776A42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D845D3D" w14:textId="77777777" w:rsidR="008E5DE4" w:rsidRDefault="008E5DE4">
            <w:pPr>
              <w:widowControl w:val="0"/>
              <w:pBdr>
                <w:top w:val="nil"/>
                <w:left w:val="nil"/>
                <w:bottom w:val="nil"/>
                <w:right w:val="nil"/>
                <w:between w:val="nil"/>
              </w:pBdr>
              <w:jc w:val="right"/>
              <w:rPr>
                <w:color w:val="000000"/>
              </w:rPr>
            </w:pPr>
          </w:p>
        </w:tc>
      </w:tr>
      <w:tr w:rsidR="008E5DE4" w14:paraId="3F79BB11" w14:textId="77777777">
        <w:trPr>
          <w:cantSplit/>
        </w:trPr>
        <w:tc>
          <w:tcPr>
            <w:tcW w:w="5499" w:type="dxa"/>
            <w:vAlign w:val="bottom"/>
          </w:tcPr>
          <w:p w14:paraId="7924186B" w14:textId="77777777" w:rsidR="008E5DE4" w:rsidRDefault="00780368">
            <w:pPr>
              <w:widowControl w:val="0"/>
              <w:pBdr>
                <w:top w:val="nil"/>
                <w:left w:val="nil"/>
                <w:bottom w:val="nil"/>
                <w:right w:val="nil"/>
                <w:between w:val="nil"/>
              </w:pBdr>
              <w:ind w:left="113" w:right="-57" w:hanging="113"/>
              <w:rPr>
                <w:color w:val="000000"/>
              </w:rPr>
            </w:pPr>
            <w:r>
              <w:rPr>
                <w:color w:val="000000"/>
              </w:rPr>
              <w:t>Gains less losses on disposals of property, plant and equipment</w:t>
            </w:r>
          </w:p>
        </w:tc>
        <w:tc>
          <w:tcPr>
            <w:tcW w:w="851" w:type="dxa"/>
            <w:vAlign w:val="bottom"/>
          </w:tcPr>
          <w:p w14:paraId="78C9B26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CCD60F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E0EF92B" w14:textId="77777777" w:rsidR="008E5DE4" w:rsidRDefault="008E5DE4">
            <w:pPr>
              <w:widowControl w:val="0"/>
              <w:pBdr>
                <w:top w:val="nil"/>
                <w:left w:val="nil"/>
                <w:bottom w:val="nil"/>
                <w:right w:val="nil"/>
                <w:between w:val="nil"/>
              </w:pBdr>
              <w:jc w:val="right"/>
              <w:rPr>
                <w:color w:val="000000"/>
              </w:rPr>
            </w:pPr>
          </w:p>
        </w:tc>
      </w:tr>
      <w:tr w:rsidR="008E5DE4" w14:paraId="73DAF90E" w14:textId="77777777">
        <w:trPr>
          <w:cantSplit/>
        </w:trPr>
        <w:tc>
          <w:tcPr>
            <w:tcW w:w="5499" w:type="dxa"/>
            <w:vAlign w:val="bottom"/>
          </w:tcPr>
          <w:p w14:paraId="3C0A49DA" w14:textId="071F776A" w:rsidR="008E5DE4" w:rsidRDefault="00780368">
            <w:pPr>
              <w:widowControl w:val="0"/>
              <w:pBdr>
                <w:top w:val="nil"/>
                <w:left w:val="nil"/>
                <w:bottom w:val="nil"/>
                <w:right w:val="nil"/>
                <w:between w:val="nil"/>
              </w:pBdr>
              <w:ind w:left="113" w:right="-57" w:hanging="113"/>
              <w:rPr>
                <w:color w:val="000000"/>
              </w:rPr>
            </w:pPr>
            <w:r>
              <w:rPr>
                <w:color w:val="000000"/>
              </w:rPr>
              <w:t>Other gains/(losses), net</w:t>
            </w:r>
          </w:p>
        </w:tc>
        <w:tc>
          <w:tcPr>
            <w:tcW w:w="851" w:type="dxa"/>
            <w:vAlign w:val="bottom"/>
          </w:tcPr>
          <w:p w14:paraId="71BFFF6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DB59F4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BAD5677" w14:textId="77777777" w:rsidR="008E5DE4" w:rsidRDefault="008E5DE4">
            <w:pPr>
              <w:widowControl w:val="0"/>
              <w:pBdr>
                <w:top w:val="nil"/>
                <w:left w:val="nil"/>
                <w:bottom w:val="nil"/>
                <w:right w:val="nil"/>
                <w:between w:val="nil"/>
              </w:pBdr>
              <w:jc w:val="right"/>
              <w:rPr>
                <w:color w:val="000000"/>
              </w:rPr>
            </w:pPr>
          </w:p>
        </w:tc>
      </w:tr>
      <w:tr w:rsidR="008E5DE4" w14:paraId="63359F45" w14:textId="77777777">
        <w:trPr>
          <w:cantSplit/>
        </w:trPr>
        <w:tc>
          <w:tcPr>
            <w:tcW w:w="5499" w:type="dxa"/>
            <w:tcBorders>
              <w:bottom w:val="single" w:sz="4" w:space="0" w:color="000000"/>
            </w:tcBorders>
            <w:vAlign w:val="bottom"/>
          </w:tcPr>
          <w:p w14:paraId="32918898"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4" w:space="0" w:color="000000"/>
            </w:tcBorders>
            <w:vAlign w:val="bottom"/>
          </w:tcPr>
          <w:p w14:paraId="14320876"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5E7B5727"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CCB6D87" w14:textId="77777777" w:rsidR="008E5DE4" w:rsidRDefault="008E5DE4">
            <w:pPr>
              <w:widowControl w:val="0"/>
              <w:pBdr>
                <w:top w:val="nil"/>
                <w:left w:val="nil"/>
                <w:bottom w:val="nil"/>
                <w:right w:val="nil"/>
                <w:between w:val="nil"/>
              </w:pBdr>
              <w:jc w:val="right"/>
              <w:rPr>
                <w:color w:val="000000"/>
              </w:rPr>
            </w:pPr>
          </w:p>
        </w:tc>
      </w:tr>
      <w:tr w:rsidR="008E5DE4" w14:paraId="0D77077B" w14:textId="77777777">
        <w:trPr>
          <w:cantSplit/>
        </w:trPr>
        <w:tc>
          <w:tcPr>
            <w:tcW w:w="5499" w:type="dxa"/>
            <w:tcBorders>
              <w:top w:val="single" w:sz="4" w:space="0" w:color="000000"/>
            </w:tcBorders>
            <w:vAlign w:val="bottom"/>
          </w:tcPr>
          <w:p w14:paraId="1B2C01FF"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top w:val="single" w:sz="4" w:space="0" w:color="000000"/>
            </w:tcBorders>
            <w:vAlign w:val="bottom"/>
          </w:tcPr>
          <w:p w14:paraId="025544A5"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1C37197A"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08D92542" w14:textId="77777777" w:rsidR="008E5DE4" w:rsidRDefault="008E5DE4">
            <w:pPr>
              <w:widowControl w:val="0"/>
              <w:pBdr>
                <w:top w:val="nil"/>
                <w:left w:val="nil"/>
                <w:bottom w:val="nil"/>
                <w:right w:val="nil"/>
                <w:between w:val="nil"/>
              </w:pBdr>
              <w:jc w:val="right"/>
              <w:rPr>
                <w:color w:val="000000"/>
              </w:rPr>
            </w:pPr>
          </w:p>
        </w:tc>
      </w:tr>
      <w:tr w:rsidR="008E5DE4" w14:paraId="446A929D" w14:textId="77777777">
        <w:trPr>
          <w:cantSplit/>
        </w:trPr>
        <w:tc>
          <w:tcPr>
            <w:tcW w:w="5499" w:type="dxa"/>
            <w:vAlign w:val="bottom"/>
          </w:tcPr>
          <w:p w14:paraId="2A66BD7F" w14:textId="77777777" w:rsidR="008E5DE4" w:rsidRDefault="00780368">
            <w:pPr>
              <w:widowControl w:val="0"/>
              <w:pBdr>
                <w:top w:val="nil"/>
                <w:left w:val="nil"/>
                <w:bottom w:val="nil"/>
                <w:right w:val="nil"/>
                <w:between w:val="nil"/>
              </w:pBdr>
              <w:ind w:left="113" w:right="-57" w:hanging="113"/>
              <w:rPr>
                <w:b/>
                <w:color w:val="000000"/>
              </w:rPr>
            </w:pPr>
            <w:r>
              <w:rPr>
                <w:b/>
                <w:color w:val="000000"/>
              </w:rPr>
              <w:t>Operating profit</w:t>
            </w:r>
          </w:p>
        </w:tc>
        <w:tc>
          <w:tcPr>
            <w:tcW w:w="851" w:type="dxa"/>
            <w:vAlign w:val="bottom"/>
          </w:tcPr>
          <w:p w14:paraId="42807360"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54D6F33B"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53DF19A" w14:textId="77777777" w:rsidR="008E5DE4" w:rsidRDefault="008E5DE4">
            <w:pPr>
              <w:widowControl w:val="0"/>
              <w:pBdr>
                <w:top w:val="nil"/>
                <w:left w:val="nil"/>
                <w:bottom w:val="nil"/>
                <w:right w:val="nil"/>
                <w:between w:val="nil"/>
              </w:pBdr>
              <w:jc w:val="right"/>
              <w:rPr>
                <w:b/>
                <w:color w:val="000000"/>
              </w:rPr>
            </w:pPr>
          </w:p>
        </w:tc>
      </w:tr>
      <w:tr w:rsidR="008E5DE4" w14:paraId="52C05956" w14:textId="77777777">
        <w:trPr>
          <w:cantSplit/>
        </w:trPr>
        <w:tc>
          <w:tcPr>
            <w:tcW w:w="5499" w:type="dxa"/>
            <w:vAlign w:val="bottom"/>
          </w:tcPr>
          <w:p w14:paraId="47875991"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vAlign w:val="bottom"/>
          </w:tcPr>
          <w:p w14:paraId="2E83E2EC"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4A54A0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414F323" w14:textId="77777777" w:rsidR="008E5DE4" w:rsidRDefault="008E5DE4">
            <w:pPr>
              <w:widowControl w:val="0"/>
              <w:pBdr>
                <w:top w:val="nil"/>
                <w:left w:val="nil"/>
                <w:bottom w:val="nil"/>
                <w:right w:val="nil"/>
                <w:between w:val="nil"/>
              </w:pBdr>
              <w:jc w:val="right"/>
              <w:rPr>
                <w:color w:val="000000"/>
              </w:rPr>
            </w:pPr>
          </w:p>
        </w:tc>
      </w:tr>
      <w:tr w:rsidR="008E5DE4" w14:paraId="46FD023B" w14:textId="77777777">
        <w:trPr>
          <w:cantSplit/>
        </w:trPr>
        <w:tc>
          <w:tcPr>
            <w:tcW w:w="5499" w:type="dxa"/>
            <w:vAlign w:val="bottom"/>
          </w:tcPr>
          <w:p w14:paraId="383006FE" w14:textId="77777777" w:rsidR="008E5DE4" w:rsidRDefault="00780368">
            <w:pPr>
              <w:widowControl w:val="0"/>
              <w:pBdr>
                <w:top w:val="nil"/>
                <w:left w:val="nil"/>
                <w:bottom w:val="nil"/>
                <w:right w:val="nil"/>
                <w:between w:val="nil"/>
              </w:pBdr>
              <w:ind w:left="113" w:right="-57" w:hanging="113"/>
              <w:rPr>
                <w:color w:val="000000"/>
              </w:rPr>
            </w:pPr>
            <w:r>
              <w:rPr>
                <w:color w:val="000000"/>
              </w:rPr>
              <w:t>Finance income</w:t>
            </w:r>
          </w:p>
        </w:tc>
        <w:tc>
          <w:tcPr>
            <w:tcW w:w="851" w:type="dxa"/>
            <w:vAlign w:val="bottom"/>
          </w:tcPr>
          <w:p w14:paraId="2589147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16E2088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86E9FFF" w14:textId="77777777" w:rsidR="008E5DE4" w:rsidRDefault="008E5DE4">
            <w:pPr>
              <w:widowControl w:val="0"/>
              <w:pBdr>
                <w:top w:val="nil"/>
                <w:left w:val="nil"/>
                <w:bottom w:val="nil"/>
                <w:right w:val="nil"/>
                <w:between w:val="nil"/>
              </w:pBdr>
              <w:jc w:val="right"/>
              <w:rPr>
                <w:color w:val="000000"/>
              </w:rPr>
            </w:pPr>
          </w:p>
        </w:tc>
      </w:tr>
      <w:tr w:rsidR="008E5DE4" w14:paraId="541615B8" w14:textId="77777777">
        <w:trPr>
          <w:cantSplit/>
        </w:trPr>
        <w:tc>
          <w:tcPr>
            <w:tcW w:w="5499" w:type="dxa"/>
            <w:vAlign w:val="bottom"/>
          </w:tcPr>
          <w:p w14:paraId="734B705D" w14:textId="77777777" w:rsidR="008E5DE4" w:rsidRDefault="00780368">
            <w:pPr>
              <w:widowControl w:val="0"/>
              <w:pBdr>
                <w:top w:val="nil"/>
                <w:left w:val="nil"/>
                <w:bottom w:val="nil"/>
                <w:right w:val="nil"/>
                <w:between w:val="nil"/>
              </w:pBdr>
              <w:ind w:left="113" w:right="-57" w:hanging="113"/>
              <w:rPr>
                <w:color w:val="000000"/>
              </w:rPr>
            </w:pPr>
            <w:r>
              <w:rPr>
                <w:color w:val="000000"/>
              </w:rPr>
              <w:t>Finance costs</w:t>
            </w:r>
          </w:p>
        </w:tc>
        <w:tc>
          <w:tcPr>
            <w:tcW w:w="851" w:type="dxa"/>
            <w:vAlign w:val="bottom"/>
          </w:tcPr>
          <w:p w14:paraId="3022A54F"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C2C958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5721180" w14:textId="77777777" w:rsidR="008E5DE4" w:rsidRDefault="008E5DE4">
            <w:pPr>
              <w:widowControl w:val="0"/>
              <w:pBdr>
                <w:top w:val="nil"/>
                <w:left w:val="nil"/>
                <w:bottom w:val="nil"/>
                <w:right w:val="nil"/>
                <w:between w:val="nil"/>
              </w:pBdr>
              <w:jc w:val="right"/>
              <w:rPr>
                <w:color w:val="000000"/>
              </w:rPr>
            </w:pPr>
          </w:p>
        </w:tc>
      </w:tr>
      <w:tr w:rsidR="008E5DE4" w14:paraId="72F039DD" w14:textId="77777777">
        <w:trPr>
          <w:cantSplit/>
        </w:trPr>
        <w:tc>
          <w:tcPr>
            <w:tcW w:w="5499" w:type="dxa"/>
            <w:vAlign w:val="bottom"/>
          </w:tcPr>
          <w:p w14:paraId="6E4C12DA" w14:textId="77777777" w:rsidR="008E5DE4" w:rsidRDefault="00780368">
            <w:pPr>
              <w:widowControl w:val="0"/>
              <w:pBdr>
                <w:top w:val="nil"/>
                <w:left w:val="nil"/>
                <w:bottom w:val="nil"/>
                <w:right w:val="nil"/>
                <w:between w:val="nil"/>
              </w:pBdr>
              <w:ind w:left="113" w:right="-57" w:hanging="113"/>
              <w:rPr>
                <w:color w:val="000000"/>
              </w:rPr>
            </w:pPr>
            <w:r>
              <w:rPr>
                <w:color w:val="000000"/>
              </w:rPr>
              <w:t>Share of result of associates and joint ventures accounted for using equity method</w:t>
            </w:r>
          </w:p>
        </w:tc>
        <w:tc>
          <w:tcPr>
            <w:tcW w:w="851" w:type="dxa"/>
            <w:vAlign w:val="bottom"/>
          </w:tcPr>
          <w:p w14:paraId="777C1B52"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F3108C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72BB5F4" w14:textId="77777777" w:rsidR="008E5DE4" w:rsidRDefault="008E5DE4">
            <w:pPr>
              <w:widowControl w:val="0"/>
              <w:pBdr>
                <w:top w:val="nil"/>
                <w:left w:val="nil"/>
                <w:bottom w:val="nil"/>
                <w:right w:val="nil"/>
                <w:between w:val="nil"/>
              </w:pBdr>
              <w:jc w:val="right"/>
              <w:rPr>
                <w:color w:val="000000"/>
              </w:rPr>
            </w:pPr>
          </w:p>
        </w:tc>
      </w:tr>
      <w:tr w:rsidR="008E5DE4" w14:paraId="418D180F" w14:textId="77777777">
        <w:trPr>
          <w:cantSplit/>
        </w:trPr>
        <w:tc>
          <w:tcPr>
            <w:tcW w:w="5499" w:type="dxa"/>
            <w:tcBorders>
              <w:bottom w:val="single" w:sz="4" w:space="0" w:color="000000"/>
            </w:tcBorders>
            <w:vAlign w:val="bottom"/>
          </w:tcPr>
          <w:p w14:paraId="04E8C687"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4" w:space="0" w:color="000000"/>
            </w:tcBorders>
            <w:vAlign w:val="bottom"/>
          </w:tcPr>
          <w:p w14:paraId="7114EA9A"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4A7913A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21F4A5E5" w14:textId="77777777" w:rsidR="008E5DE4" w:rsidRDefault="008E5DE4">
            <w:pPr>
              <w:widowControl w:val="0"/>
              <w:pBdr>
                <w:top w:val="nil"/>
                <w:left w:val="nil"/>
                <w:bottom w:val="nil"/>
                <w:right w:val="nil"/>
                <w:between w:val="nil"/>
              </w:pBdr>
              <w:jc w:val="right"/>
              <w:rPr>
                <w:color w:val="000000"/>
              </w:rPr>
            </w:pPr>
          </w:p>
        </w:tc>
      </w:tr>
      <w:tr w:rsidR="008E5DE4" w14:paraId="45D8EE5F" w14:textId="77777777">
        <w:trPr>
          <w:cantSplit/>
        </w:trPr>
        <w:tc>
          <w:tcPr>
            <w:tcW w:w="5499" w:type="dxa"/>
            <w:tcBorders>
              <w:top w:val="single" w:sz="4" w:space="0" w:color="000000"/>
            </w:tcBorders>
            <w:vAlign w:val="bottom"/>
          </w:tcPr>
          <w:p w14:paraId="5CE0D76E"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851" w:type="dxa"/>
            <w:tcBorders>
              <w:top w:val="single" w:sz="4" w:space="0" w:color="000000"/>
            </w:tcBorders>
            <w:vAlign w:val="bottom"/>
          </w:tcPr>
          <w:p w14:paraId="38B58AF3"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27A06D03"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082D2AC" w14:textId="77777777" w:rsidR="008E5DE4" w:rsidRDefault="008E5DE4">
            <w:pPr>
              <w:widowControl w:val="0"/>
              <w:pBdr>
                <w:top w:val="nil"/>
                <w:left w:val="nil"/>
                <w:bottom w:val="nil"/>
                <w:right w:val="nil"/>
                <w:between w:val="nil"/>
              </w:pBdr>
              <w:jc w:val="right"/>
              <w:rPr>
                <w:color w:val="000000"/>
              </w:rPr>
            </w:pPr>
          </w:p>
        </w:tc>
      </w:tr>
      <w:tr w:rsidR="008E5DE4" w14:paraId="703DF4CA" w14:textId="77777777">
        <w:trPr>
          <w:cantSplit/>
        </w:trPr>
        <w:tc>
          <w:tcPr>
            <w:tcW w:w="5499" w:type="dxa"/>
            <w:vAlign w:val="bottom"/>
          </w:tcPr>
          <w:p w14:paraId="2E3D7CD8" w14:textId="77777777" w:rsidR="008E5DE4" w:rsidRDefault="00780368">
            <w:pPr>
              <w:widowControl w:val="0"/>
              <w:pBdr>
                <w:top w:val="nil"/>
                <w:left w:val="nil"/>
                <w:bottom w:val="nil"/>
                <w:right w:val="nil"/>
                <w:between w:val="nil"/>
              </w:pBdr>
              <w:ind w:left="113" w:right="-57" w:hanging="113"/>
              <w:rPr>
                <w:b/>
                <w:color w:val="000000"/>
              </w:rPr>
            </w:pPr>
            <w:r>
              <w:rPr>
                <w:b/>
                <w:color w:val="000000"/>
              </w:rPr>
              <w:t>Profit/(Loss) before income tax</w:t>
            </w:r>
          </w:p>
        </w:tc>
        <w:tc>
          <w:tcPr>
            <w:tcW w:w="851" w:type="dxa"/>
            <w:vAlign w:val="bottom"/>
          </w:tcPr>
          <w:p w14:paraId="07EB2524"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62FC922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E806F63" w14:textId="77777777" w:rsidR="008E5DE4" w:rsidRDefault="008E5DE4">
            <w:pPr>
              <w:widowControl w:val="0"/>
              <w:pBdr>
                <w:top w:val="nil"/>
                <w:left w:val="nil"/>
                <w:bottom w:val="nil"/>
                <w:right w:val="nil"/>
                <w:between w:val="nil"/>
              </w:pBdr>
              <w:jc w:val="right"/>
              <w:rPr>
                <w:color w:val="000000"/>
              </w:rPr>
            </w:pPr>
          </w:p>
        </w:tc>
      </w:tr>
      <w:tr w:rsidR="008E5DE4" w14:paraId="2771466A" w14:textId="77777777">
        <w:trPr>
          <w:cantSplit/>
        </w:trPr>
        <w:tc>
          <w:tcPr>
            <w:tcW w:w="5499" w:type="dxa"/>
            <w:vAlign w:val="bottom"/>
          </w:tcPr>
          <w:p w14:paraId="13E4E2B2" w14:textId="77777777" w:rsidR="008E5DE4" w:rsidRDefault="00780368">
            <w:pPr>
              <w:widowControl w:val="0"/>
              <w:pBdr>
                <w:top w:val="nil"/>
                <w:left w:val="nil"/>
                <w:bottom w:val="nil"/>
                <w:right w:val="nil"/>
                <w:between w:val="nil"/>
              </w:pBdr>
              <w:ind w:left="113" w:right="-57" w:hanging="113"/>
              <w:rPr>
                <w:color w:val="000000"/>
              </w:rPr>
            </w:pPr>
            <w:r>
              <w:rPr>
                <w:color w:val="000000"/>
              </w:rPr>
              <w:t>Income tax expense</w:t>
            </w:r>
          </w:p>
        </w:tc>
        <w:tc>
          <w:tcPr>
            <w:tcW w:w="851" w:type="dxa"/>
            <w:vAlign w:val="bottom"/>
          </w:tcPr>
          <w:p w14:paraId="4ED97D23"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08A2839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D9E92C4" w14:textId="77777777" w:rsidR="008E5DE4" w:rsidRDefault="008E5DE4">
            <w:pPr>
              <w:widowControl w:val="0"/>
              <w:pBdr>
                <w:top w:val="nil"/>
                <w:left w:val="nil"/>
                <w:bottom w:val="nil"/>
                <w:right w:val="nil"/>
                <w:between w:val="nil"/>
              </w:pBdr>
              <w:jc w:val="right"/>
              <w:rPr>
                <w:color w:val="000000"/>
              </w:rPr>
            </w:pPr>
          </w:p>
        </w:tc>
      </w:tr>
      <w:tr w:rsidR="008E5DE4" w14:paraId="24E6DCFB" w14:textId="77777777">
        <w:trPr>
          <w:cantSplit/>
        </w:trPr>
        <w:tc>
          <w:tcPr>
            <w:tcW w:w="5499" w:type="dxa"/>
            <w:tcBorders>
              <w:bottom w:val="single" w:sz="4" w:space="0" w:color="000000"/>
            </w:tcBorders>
            <w:vAlign w:val="bottom"/>
          </w:tcPr>
          <w:p w14:paraId="3FA728D9"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4" w:space="0" w:color="000000"/>
            </w:tcBorders>
            <w:vAlign w:val="bottom"/>
          </w:tcPr>
          <w:p w14:paraId="0AD6EC98"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723F3BF0"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7EEB5348" w14:textId="77777777" w:rsidR="008E5DE4" w:rsidRDefault="008E5DE4">
            <w:pPr>
              <w:widowControl w:val="0"/>
              <w:pBdr>
                <w:top w:val="nil"/>
                <w:left w:val="nil"/>
                <w:bottom w:val="nil"/>
                <w:right w:val="nil"/>
                <w:between w:val="nil"/>
              </w:pBdr>
              <w:jc w:val="right"/>
              <w:rPr>
                <w:color w:val="000000"/>
              </w:rPr>
            </w:pPr>
          </w:p>
        </w:tc>
      </w:tr>
      <w:tr w:rsidR="008E5DE4" w14:paraId="22EAB7FF" w14:textId="77777777">
        <w:trPr>
          <w:cantSplit/>
        </w:trPr>
        <w:tc>
          <w:tcPr>
            <w:tcW w:w="5499" w:type="dxa"/>
            <w:tcBorders>
              <w:top w:val="single" w:sz="4" w:space="0" w:color="000000"/>
            </w:tcBorders>
            <w:vAlign w:val="bottom"/>
          </w:tcPr>
          <w:p w14:paraId="47B84B58" w14:textId="77777777" w:rsidR="008E5DE4" w:rsidRDefault="00780368">
            <w:pPr>
              <w:widowControl w:val="0"/>
              <w:pBdr>
                <w:top w:val="nil"/>
                <w:left w:val="nil"/>
                <w:bottom w:val="nil"/>
                <w:right w:val="nil"/>
                <w:between w:val="nil"/>
              </w:pBdr>
              <w:ind w:left="113" w:right="-57" w:hanging="113"/>
              <w:rPr>
                <w:b/>
                <w:color w:val="0000FF"/>
              </w:rPr>
            </w:pPr>
            <w:r>
              <w:rPr>
                <w:color w:val="000000"/>
              </w:rPr>
              <w:t> </w:t>
            </w:r>
          </w:p>
        </w:tc>
        <w:tc>
          <w:tcPr>
            <w:tcW w:w="851" w:type="dxa"/>
            <w:tcBorders>
              <w:top w:val="single" w:sz="4" w:space="0" w:color="000000"/>
            </w:tcBorders>
            <w:vAlign w:val="bottom"/>
          </w:tcPr>
          <w:p w14:paraId="042F57B9"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27450523"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DE2DAA5" w14:textId="77777777" w:rsidR="008E5DE4" w:rsidRDefault="008E5DE4">
            <w:pPr>
              <w:widowControl w:val="0"/>
              <w:pBdr>
                <w:top w:val="nil"/>
                <w:left w:val="nil"/>
                <w:bottom w:val="nil"/>
                <w:right w:val="nil"/>
                <w:between w:val="nil"/>
              </w:pBdr>
              <w:jc w:val="right"/>
              <w:rPr>
                <w:color w:val="000000"/>
              </w:rPr>
            </w:pPr>
          </w:p>
        </w:tc>
      </w:tr>
      <w:tr w:rsidR="008E5DE4" w14:paraId="4663D873" w14:textId="77777777">
        <w:trPr>
          <w:cantSplit/>
        </w:trPr>
        <w:tc>
          <w:tcPr>
            <w:tcW w:w="5499" w:type="dxa"/>
            <w:vAlign w:val="bottom"/>
          </w:tcPr>
          <w:p w14:paraId="21A17320" w14:textId="77777777" w:rsidR="008E5DE4" w:rsidRDefault="00780368">
            <w:pPr>
              <w:widowControl w:val="0"/>
              <w:pBdr>
                <w:top w:val="nil"/>
                <w:left w:val="nil"/>
                <w:bottom w:val="nil"/>
                <w:right w:val="nil"/>
                <w:between w:val="nil"/>
              </w:pBdr>
              <w:ind w:left="113" w:right="-57" w:hanging="113"/>
              <w:rPr>
                <w:b/>
                <w:color w:val="0000FF"/>
              </w:rPr>
            </w:pPr>
            <w:r>
              <w:rPr>
                <w:b/>
                <w:color w:val="0000FF"/>
              </w:rPr>
              <w:t>[Profit/(Loss) for the year from continuing operations]</w:t>
            </w:r>
          </w:p>
        </w:tc>
        <w:tc>
          <w:tcPr>
            <w:tcW w:w="851" w:type="dxa"/>
            <w:vAlign w:val="bottom"/>
          </w:tcPr>
          <w:p w14:paraId="49CA630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7445B332"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0F87316" w14:textId="77777777" w:rsidR="008E5DE4" w:rsidRDefault="008E5DE4">
            <w:pPr>
              <w:widowControl w:val="0"/>
              <w:pBdr>
                <w:top w:val="nil"/>
                <w:left w:val="nil"/>
                <w:bottom w:val="nil"/>
                <w:right w:val="nil"/>
                <w:between w:val="nil"/>
              </w:pBdr>
              <w:jc w:val="right"/>
              <w:rPr>
                <w:color w:val="000000"/>
              </w:rPr>
            </w:pPr>
          </w:p>
        </w:tc>
      </w:tr>
      <w:tr w:rsidR="008E5DE4" w14:paraId="792FF588" w14:textId="77777777">
        <w:trPr>
          <w:cantSplit/>
        </w:trPr>
        <w:tc>
          <w:tcPr>
            <w:tcW w:w="5499" w:type="dxa"/>
            <w:tcBorders>
              <w:bottom w:val="single" w:sz="4" w:space="0" w:color="000000"/>
            </w:tcBorders>
            <w:vAlign w:val="bottom"/>
          </w:tcPr>
          <w:p w14:paraId="7F739C39" w14:textId="77777777" w:rsidR="008E5DE4" w:rsidRDefault="00780368">
            <w:pPr>
              <w:widowControl w:val="0"/>
              <w:pBdr>
                <w:top w:val="nil"/>
                <w:left w:val="nil"/>
                <w:bottom w:val="nil"/>
                <w:right w:val="nil"/>
                <w:between w:val="nil"/>
              </w:pBdr>
              <w:ind w:left="113" w:right="-57" w:hanging="113"/>
              <w:rPr>
                <w:b/>
                <w:color w:val="0000FF"/>
              </w:rPr>
            </w:pPr>
            <w:r>
              <w:rPr>
                <w:color w:val="000000"/>
              </w:rPr>
              <w:t> </w:t>
            </w:r>
          </w:p>
        </w:tc>
        <w:tc>
          <w:tcPr>
            <w:tcW w:w="851" w:type="dxa"/>
            <w:tcBorders>
              <w:bottom w:val="single" w:sz="4" w:space="0" w:color="000000"/>
            </w:tcBorders>
            <w:vAlign w:val="bottom"/>
          </w:tcPr>
          <w:p w14:paraId="113D3EDB"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75A10CAE"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3E706719" w14:textId="77777777" w:rsidR="008E5DE4" w:rsidRDefault="008E5DE4">
            <w:pPr>
              <w:widowControl w:val="0"/>
              <w:pBdr>
                <w:top w:val="nil"/>
                <w:left w:val="nil"/>
                <w:bottom w:val="nil"/>
                <w:right w:val="nil"/>
                <w:between w:val="nil"/>
              </w:pBdr>
              <w:jc w:val="right"/>
              <w:rPr>
                <w:color w:val="000000"/>
              </w:rPr>
            </w:pPr>
          </w:p>
        </w:tc>
      </w:tr>
      <w:tr w:rsidR="008E5DE4" w14:paraId="21FF58DC" w14:textId="77777777">
        <w:trPr>
          <w:cantSplit/>
        </w:trPr>
        <w:tc>
          <w:tcPr>
            <w:tcW w:w="5499" w:type="dxa"/>
            <w:tcBorders>
              <w:top w:val="single" w:sz="4" w:space="0" w:color="000000"/>
            </w:tcBorders>
            <w:vAlign w:val="bottom"/>
          </w:tcPr>
          <w:p w14:paraId="3FEB5F3D" w14:textId="77777777" w:rsidR="008E5DE4" w:rsidRDefault="00780368">
            <w:pPr>
              <w:widowControl w:val="0"/>
              <w:pBdr>
                <w:top w:val="nil"/>
                <w:left w:val="nil"/>
                <w:bottom w:val="nil"/>
                <w:right w:val="nil"/>
                <w:between w:val="nil"/>
              </w:pBdr>
              <w:ind w:left="113" w:right="-57" w:hanging="113"/>
              <w:rPr>
                <w:b/>
                <w:color w:val="000000"/>
              </w:rPr>
            </w:pPr>
            <w:r>
              <w:rPr>
                <w:color w:val="000000"/>
              </w:rPr>
              <w:t> </w:t>
            </w:r>
          </w:p>
        </w:tc>
        <w:tc>
          <w:tcPr>
            <w:tcW w:w="851" w:type="dxa"/>
            <w:tcBorders>
              <w:top w:val="single" w:sz="4" w:space="0" w:color="000000"/>
            </w:tcBorders>
            <w:vAlign w:val="bottom"/>
          </w:tcPr>
          <w:p w14:paraId="43B17250"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097B4806"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986C34D" w14:textId="77777777" w:rsidR="008E5DE4" w:rsidRDefault="008E5DE4">
            <w:pPr>
              <w:widowControl w:val="0"/>
              <w:pBdr>
                <w:top w:val="nil"/>
                <w:left w:val="nil"/>
                <w:bottom w:val="nil"/>
                <w:right w:val="nil"/>
                <w:between w:val="nil"/>
              </w:pBdr>
              <w:jc w:val="right"/>
              <w:rPr>
                <w:color w:val="000000"/>
              </w:rPr>
            </w:pPr>
          </w:p>
        </w:tc>
      </w:tr>
      <w:tr w:rsidR="008E5DE4" w14:paraId="7764F50C" w14:textId="77777777">
        <w:trPr>
          <w:cantSplit/>
        </w:trPr>
        <w:tc>
          <w:tcPr>
            <w:tcW w:w="5499" w:type="dxa"/>
            <w:vAlign w:val="bottom"/>
          </w:tcPr>
          <w:p w14:paraId="5C00BB60" w14:textId="77777777" w:rsidR="008E5DE4" w:rsidRDefault="00780368">
            <w:pPr>
              <w:widowControl w:val="0"/>
              <w:pBdr>
                <w:top w:val="nil"/>
                <w:left w:val="nil"/>
                <w:bottom w:val="nil"/>
                <w:right w:val="nil"/>
                <w:between w:val="nil"/>
              </w:pBdr>
              <w:ind w:left="113" w:right="-57" w:hanging="113"/>
              <w:rPr>
                <w:b/>
                <w:i/>
                <w:color w:val="0000FF"/>
              </w:rPr>
            </w:pPr>
            <w:r>
              <w:rPr>
                <w:b/>
                <w:i/>
                <w:color w:val="0000FF"/>
              </w:rPr>
              <w:t>[Discontinued operations:]</w:t>
            </w:r>
          </w:p>
        </w:tc>
        <w:tc>
          <w:tcPr>
            <w:tcW w:w="851" w:type="dxa"/>
            <w:vAlign w:val="bottom"/>
          </w:tcPr>
          <w:p w14:paraId="23212858" w14:textId="77777777" w:rsidR="008E5DE4" w:rsidRDefault="008E5DE4">
            <w:pPr>
              <w:widowControl w:val="0"/>
              <w:pBdr>
                <w:top w:val="nil"/>
                <w:left w:val="nil"/>
                <w:bottom w:val="nil"/>
                <w:right w:val="nil"/>
                <w:between w:val="nil"/>
              </w:pBdr>
              <w:ind w:left="-57" w:right="-57"/>
              <w:jc w:val="center"/>
              <w:rPr>
                <w:i/>
                <w:color w:val="000000"/>
              </w:rPr>
            </w:pPr>
          </w:p>
        </w:tc>
        <w:tc>
          <w:tcPr>
            <w:tcW w:w="1531" w:type="dxa"/>
            <w:vAlign w:val="bottom"/>
          </w:tcPr>
          <w:p w14:paraId="4A1582F9"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364E5D7A" w14:textId="77777777" w:rsidR="008E5DE4" w:rsidRDefault="008E5DE4">
            <w:pPr>
              <w:widowControl w:val="0"/>
              <w:pBdr>
                <w:top w:val="nil"/>
                <w:left w:val="nil"/>
                <w:bottom w:val="nil"/>
                <w:right w:val="nil"/>
                <w:between w:val="nil"/>
              </w:pBdr>
              <w:jc w:val="right"/>
              <w:rPr>
                <w:i/>
                <w:color w:val="000000"/>
              </w:rPr>
            </w:pPr>
          </w:p>
        </w:tc>
      </w:tr>
      <w:tr w:rsidR="008E5DE4" w14:paraId="0AF35010" w14:textId="77777777">
        <w:trPr>
          <w:cantSplit/>
        </w:trPr>
        <w:tc>
          <w:tcPr>
            <w:tcW w:w="5499" w:type="dxa"/>
            <w:vAlign w:val="bottom"/>
          </w:tcPr>
          <w:p w14:paraId="7719C47E" w14:textId="77777777" w:rsidR="008E5DE4" w:rsidRDefault="00780368">
            <w:pPr>
              <w:widowControl w:val="0"/>
              <w:pBdr>
                <w:top w:val="nil"/>
                <w:left w:val="nil"/>
                <w:bottom w:val="nil"/>
                <w:right w:val="nil"/>
                <w:between w:val="nil"/>
              </w:pBdr>
              <w:ind w:left="113" w:right="-57" w:hanging="113"/>
              <w:rPr>
                <w:b/>
                <w:i/>
                <w:color w:val="000000"/>
              </w:rPr>
            </w:pPr>
            <w:r>
              <w:rPr>
                <w:color w:val="000000"/>
              </w:rPr>
              <w:t> </w:t>
            </w:r>
          </w:p>
        </w:tc>
        <w:tc>
          <w:tcPr>
            <w:tcW w:w="851" w:type="dxa"/>
            <w:vAlign w:val="bottom"/>
          </w:tcPr>
          <w:p w14:paraId="32940EC9" w14:textId="77777777" w:rsidR="008E5DE4" w:rsidRDefault="008E5DE4">
            <w:pPr>
              <w:widowControl w:val="0"/>
              <w:pBdr>
                <w:top w:val="nil"/>
                <w:left w:val="nil"/>
                <w:bottom w:val="nil"/>
                <w:right w:val="nil"/>
                <w:between w:val="nil"/>
              </w:pBdr>
              <w:ind w:left="-57" w:right="-57"/>
              <w:jc w:val="center"/>
              <w:rPr>
                <w:i/>
                <w:color w:val="000000"/>
              </w:rPr>
            </w:pPr>
          </w:p>
        </w:tc>
        <w:tc>
          <w:tcPr>
            <w:tcW w:w="1531" w:type="dxa"/>
            <w:vAlign w:val="bottom"/>
          </w:tcPr>
          <w:p w14:paraId="7507F5FB"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4D748A88" w14:textId="77777777" w:rsidR="008E5DE4" w:rsidRDefault="008E5DE4">
            <w:pPr>
              <w:widowControl w:val="0"/>
              <w:pBdr>
                <w:top w:val="nil"/>
                <w:left w:val="nil"/>
                <w:bottom w:val="nil"/>
                <w:right w:val="nil"/>
                <w:between w:val="nil"/>
              </w:pBdr>
              <w:jc w:val="right"/>
              <w:rPr>
                <w:i/>
                <w:color w:val="000000"/>
              </w:rPr>
            </w:pPr>
          </w:p>
        </w:tc>
      </w:tr>
      <w:tr w:rsidR="008E5DE4" w14:paraId="52A78CCB" w14:textId="77777777">
        <w:trPr>
          <w:cantSplit/>
        </w:trPr>
        <w:tc>
          <w:tcPr>
            <w:tcW w:w="5499" w:type="dxa"/>
            <w:vAlign w:val="bottom"/>
          </w:tcPr>
          <w:p w14:paraId="33532252" w14:textId="77777777" w:rsidR="008E5DE4" w:rsidRDefault="00780368">
            <w:pPr>
              <w:widowControl w:val="0"/>
              <w:pBdr>
                <w:top w:val="nil"/>
                <w:left w:val="nil"/>
                <w:bottom w:val="nil"/>
                <w:right w:val="nil"/>
                <w:between w:val="nil"/>
              </w:pBdr>
              <w:ind w:left="113" w:right="-57" w:hanging="113"/>
              <w:rPr>
                <w:color w:val="0000FF"/>
              </w:rPr>
            </w:pPr>
            <w:r>
              <w:rPr>
                <w:color w:val="0000FF"/>
              </w:rPr>
              <w:t>[Profit/(Loss) for the year from discontinued operations]</w:t>
            </w:r>
          </w:p>
        </w:tc>
        <w:tc>
          <w:tcPr>
            <w:tcW w:w="851" w:type="dxa"/>
            <w:vAlign w:val="bottom"/>
          </w:tcPr>
          <w:p w14:paraId="1758799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383D222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53B731" w14:textId="77777777" w:rsidR="008E5DE4" w:rsidRDefault="008E5DE4">
            <w:pPr>
              <w:widowControl w:val="0"/>
              <w:pBdr>
                <w:top w:val="nil"/>
                <w:left w:val="nil"/>
                <w:bottom w:val="nil"/>
                <w:right w:val="nil"/>
                <w:between w:val="nil"/>
              </w:pBdr>
              <w:jc w:val="right"/>
              <w:rPr>
                <w:color w:val="000000"/>
              </w:rPr>
            </w:pPr>
          </w:p>
        </w:tc>
      </w:tr>
      <w:tr w:rsidR="008E5DE4" w14:paraId="50CFB1A0" w14:textId="77777777">
        <w:trPr>
          <w:cantSplit/>
        </w:trPr>
        <w:tc>
          <w:tcPr>
            <w:tcW w:w="5499" w:type="dxa"/>
            <w:tcBorders>
              <w:bottom w:val="single" w:sz="4" w:space="0" w:color="000000"/>
            </w:tcBorders>
            <w:vAlign w:val="bottom"/>
          </w:tcPr>
          <w:p w14:paraId="00D13838" w14:textId="77777777" w:rsidR="008E5DE4" w:rsidRDefault="00780368">
            <w:pPr>
              <w:widowControl w:val="0"/>
              <w:pBdr>
                <w:top w:val="nil"/>
                <w:left w:val="nil"/>
                <w:bottom w:val="nil"/>
                <w:right w:val="nil"/>
                <w:between w:val="nil"/>
              </w:pBdr>
              <w:ind w:left="113" w:right="-57" w:hanging="113"/>
              <w:rPr>
                <w:color w:val="0000FF"/>
              </w:rPr>
            </w:pPr>
            <w:r>
              <w:rPr>
                <w:color w:val="000000"/>
              </w:rPr>
              <w:t> </w:t>
            </w:r>
          </w:p>
        </w:tc>
        <w:tc>
          <w:tcPr>
            <w:tcW w:w="851" w:type="dxa"/>
            <w:tcBorders>
              <w:bottom w:val="single" w:sz="4" w:space="0" w:color="000000"/>
            </w:tcBorders>
            <w:vAlign w:val="bottom"/>
          </w:tcPr>
          <w:p w14:paraId="7566621B"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4" w:space="0" w:color="000000"/>
            </w:tcBorders>
            <w:vAlign w:val="bottom"/>
          </w:tcPr>
          <w:p w14:paraId="73CE94A0"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5728BC61" w14:textId="77777777" w:rsidR="008E5DE4" w:rsidRDefault="008E5DE4">
            <w:pPr>
              <w:widowControl w:val="0"/>
              <w:pBdr>
                <w:top w:val="nil"/>
                <w:left w:val="nil"/>
                <w:bottom w:val="nil"/>
                <w:right w:val="nil"/>
                <w:between w:val="nil"/>
              </w:pBdr>
              <w:jc w:val="right"/>
              <w:rPr>
                <w:color w:val="000000"/>
              </w:rPr>
            </w:pPr>
          </w:p>
        </w:tc>
      </w:tr>
      <w:tr w:rsidR="008E5DE4" w14:paraId="63609D56" w14:textId="77777777">
        <w:trPr>
          <w:cantSplit/>
        </w:trPr>
        <w:tc>
          <w:tcPr>
            <w:tcW w:w="5499" w:type="dxa"/>
            <w:tcBorders>
              <w:top w:val="single" w:sz="4" w:space="0" w:color="000000"/>
            </w:tcBorders>
            <w:vAlign w:val="bottom"/>
          </w:tcPr>
          <w:p w14:paraId="4ADE1F8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top w:val="single" w:sz="4" w:space="0" w:color="000000"/>
            </w:tcBorders>
            <w:vAlign w:val="bottom"/>
          </w:tcPr>
          <w:p w14:paraId="466CD7DC"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top w:val="single" w:sz="4" w:space="0" w:color="000000"/>
            </w:tcBorders>
            <w:vAlign w:val="bottom"/>
          </w:tcPr>
          <w:p w14:paraId="58A1EDE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72FE492" w14:textId="77777777" w:rsidR="008E5DE4" w:rsidRDefault="008E5DE4">
            <w:pPr>
              <w:widowControl w:val="0"/>
              <w:pBdr>
                <w:top w:val="nil"/>
                <w:left w:val="nil"/>
                <w:bottom w:val="nil"/>
                <w:right w:val="nil"/>
                <w:between w:val="nil"/>
              </w:pBdr>
              <w:jc w:val="right"/>
              <w:rPr>
                <w:color w:val="000000"/>
              </w:rPr>
            </w:pPr>
          </w:p>
        </w:tc>
      </w:tr>
      <w:tr w:rsidR="008E5DE4" w14:paraId="19B3E841" w14:textId="77777777">
        <w:trPr>
          <w:cantSplit/>
        </w:trPr>
        <w:tc>
          <w:tcPr>
            <w:tcW w:w="5499" w:type="dxa"/>
            <w:vAlign w:val="bottom"/>
          </w:tcPr>
          <w:p w14:paraId="0C80E674" w14:textId="77777777" w:rsidR="008E5DE4" w:rsidRDefault="00780368">
            <w:pPr>
              <w:widowControl w:val="0"/>
              <w:pBdr>
                <w:top w:val="nil"/>
                <w:left w:val="nil"/>
                <w:bottom w:val="nil"/>
                <w:right w:val="nil"/>
                <w:between w:val="nil"/>
              </w:pBdr>
              <w:ind w:left="113" w:right="-57" w:hanging="113"/>
              <w:rPr>
                <w:b/>
                <w:smallCaps/>
                <w:color w:val="000000"/>
              </w:rPr>
            </w:pPr>
            <w:r>
              <w:rPr>
                <w:b/>
                <w:smallCaps/>
                <w:color w:val="000000"/>
              </w:rPr>
              <w:t>PROFIT/(LOSS) FOR THE YEAR</w:t>
            </w:r>
          </w:p>
        </w:tc>
        <w:tc>
          <w:tcPr>
            <w:tcW w:w="851" w:type="dxa"/>
            <w:vAlign w:val="bottom"/>
          </w:tcPr>
          <w:p w14:paraId="4815AD6F"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02AB4522" w14:textId="77777777" w:rsidR="008E5DE4" w:rsidRDefault="008E5DE4">
            <w:pPr>
              <w:widowControl w:val="0"/>
              <w:pBdr>
                <w:top w:val="nil"/>
                <w:left w:val="nil"/>
                <w:bottom w:val="nil"/>
                <w:right w:val="nil"/>
                <w:between w:val="nil"/>
              </w:pBdr>
              <w:jc w:val="right"/>
              <w:rPr>
                <w:smallCaps/>
                <w:color w:val="000000"/>
              </w:rPr>
            </w:pPr>
          </w:p>
        </w:tc>
        <w:tc>
          <w:tcPr>
            <w:tcW w:w="1531" w:type="dxa"/>
            <w:vAlign w:val="bottom"/>
          </w:tcPr>
          <w:p w14:paraId="7F87D99A" w14:textId="77777777" w:rsidR="008E5DE4" w:rsidRDefault="008E5DE4">
            <w:pPr>
              <w:widowControl w:val="0"/>
              <w:pBdr>
                <w:top w:val="nil"/>
                <w:left w:val="nil"/>
                <w:bottom w:val="nil"/>
                <w:right w:val="nil"/>
                <w:between w:val="nil"/>
              </w:pBdr>
              <w:jc w:val="right"/>
              <w:rPr>
                <w:smallCaps/>
                <w:color w:val="000000"/>
              </w:rPr>
            </w:pPr>
          </w:p>
        </w:tc>
      </w:tr>
      <w:tr w:rsidR="008E5DE4" w14:paraId="740DD8BC" w14:textId="77777777">
        <w:trPr>
          <w:cantSplit/>
        </w:trPr>
        <w:tc>
          <w:tcPr>
            <w:tcW w:w="5499" w:type="dxa"/>
            <w:vAlign w:val="bottom"/>
          </w:tcPr>
          <w:p w14:paraId="25E1C109" w14:textId="77777777" w:rsidR="008E5DE4" w:rsidRDefault="00780368">
            <w:pPr>
              <w:widowControl w:val="0"/>
              <w:pBdr>
                <w:top w:val="nil"/>
                <w:left w:val="nil"/>
                <w:bottom w:val="nil"/>
                <w:right w:val="nil"/>
                <w:between w:val="nil"/>
              </w:pBdr>
              <w:ind w:left="113" w:right="-57" w:hanging="113"/>
              <w:rPr>
                <w:b/>
                <w:color w:val="000000"/>
              </w:rPr>
            </w:pPr>
            <w:r>
              <w:rPr>
                <w:b/>
                <w:color w:val="000000"/>
              </w:rPr>
              <w:t> </w:t>
            </w:r>
          </w:p>
        </w:tc>
        <w:tc>
          <w:tcPr>
            <w:tcW w:w="851" w:type="dxa"/>
            <w:vAlign w:val="bottom"/>
          </w:tcPr>
          <w:p w14:paraId="60B72B51"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6E05B357"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BBE068A" w14:textId="77777777" w:rsidR="008E5DE4" w:rsidRDefault="008E5DE4">
            <w:pPr>
              <w:widowControl w:val="0"/>
              <w:pBdr>
                <w:top w:val="nil"/>
                <w:left w:val="nil"/>
                <w:bottom w:val="nil"/>
                <w:right w:val="nil"/>
                <w:between w:val="nil"/>
              </w:pBdr>
              <w:jc w:val="right"/>
              <w:rPr>
                <w:b/>
                <w:color w:val="000000"/>
              </w:rPr>
            </w:pPr>
          </w:p>
        </w:tc>
      </w:tr>
      <w:tr w:rsidR="008E5DE4" w14:paraId="0B34B4B0" w14:textId="77777777">
        <w:trPr>
          <w:cantSplit/>
        </w:trPr>
        <w:tc>
          <w:tcPr>
            <w:tcW w:w="5499" w:type="dxa"/>
            <w:tcBorders>
              <w:top w:val="single" w:sz="12" w:space="0" w:color="000000"/>
            </w:tcBorders>
            <w:vAlign w:val="bottom"/>
          </w:tcPr>
          <w:p w14:paraId="5240A732"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851" w:type="dxa"/>
            <w:tcBorders>
              <w:top w:val="single" w:sz="12" w:space="0" w:color="000000"/>
            </w:tcBorders>
            <w:vAlign w:val="bottom"/>
          </w:tcPr>
          <w:p w14:paraId="155B0F98"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12" w:space="0" w:color="000000"/>
            </w:tcBorders>
            <w:vAlign w:val="bottom"/>
          </w:tcPr>
          <w:p w14:paraId="6171F94F"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12" w:space="0" w:color="000000"/>
            </w:tcBorders>
            <w:vAlign w:val="bottom"/>
          </w:tcPr>
          <w:p w14:paraId="6C76234A" w14:textId="77777777" w:rsidR="008E5DE4" w:rsidRDefault="008E5DE4">
            <w:pPr>
              <w:widowControl w:val="0"/>
              <w:pBdr>
                <w:top w:val="nil"/>
                <w:left w:val="nil"/>
                <w:bottom w:val="nil"/>
                <w:right w:val="nil"/>
                <w:between w:val="nil"/>
              </w:pBdr>
              <w:jc w:val="right"/>
              <w:rPr>
                <w:color w:val="000000"/>
              </w:rPr>
            </w:pPr>
          </w:p>
        </w:tc>
      </w:tr>
      <w:tr w:rsidR="008E5DE4" w14:paraId="5034162A" w14:textId="77777777">
        <w:trPr>
          <w:cantSplit/>
        </w:trPr>
        <w:tc>
          <w:tcPr>
            <w:tcW w:w="5499" w:type="dxa"/>
            <w:vAlign w:val="bottom"/>
          </w:tcPr>
          <w:p w14:paraId="00047F82" w14:textId="77777777" w:rsidR="008E5DE4" w:rsidRDefault="00780368">
            <w:pPr>
              <w:widowControl w:val="0"/>
              <w:pBdr>
                <w:top w:val="nil"/>
                <w:left w:val="nil"/>
                <w:bottom w:val="nil"/>
                <w:right w:val="nil"/>
                <w:between w:val="nil"/>
              </w:pBdr>
              <w:ind w:left="113" w:right="-57" w:hanging="113"/>
              <w:rPr>
                <w:b/>
                <w:color w:val="000000"/>
              </w:rPr>
            </w:pPr>
            <w:r>
              <w:rPr>
                <w:b/>
                <w:color w:val="000000"/>
              </w:rPr>
              <w:t>Profit/(loss) is attributable to:</w:t>
            </w:r>
          </w:p>
        </w:tc>
        <w:tc>
          <w:tcPr>
            <w:tcW w:w="851" w:type="dxa"/>
            <w:vAlign w:val="bottom"/>
          </w:tcPr>
          <w:p w14:paraId="479C6136"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554A3D4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C1E446F" w14:textId="77777777" w:rsidR="008E5DE4" w:rsidRDefault="008E5DE4">
            <w:pPr>
              <w:widowControl w:val="0"/>
              <w:pBdr>
                <w:top w:val="nil"/>
                <w:left w:val="nil"/>
                <w:bottom w:val="nil"/>
                <w:right w:val="nil"/>
                <w:between w:val="nil"/>
              </w:pBdr>
              <w:jc w:val="right"/>
              <w:rPr>
                <w:color w:val="000000"/>
              </w:rPr>
            </w:pPr>
          </w:p>
        </w:tc>
      </w:tr>
      <w:tr w:rsidR="008E5DE4" w14:paraId="11878723" w14:textId="77777777">
        <w:trPr>
          <w:cantSplit/>
        </w:trPr>
        <w:tc>
          <w:tcPr>
            <w:tcW w:w="5499" w:type="dxa"/>
            <w:vAlign w:val="bottom"/>
          </w:tcPr>
          <w:p w14:paraId="794319CD" w14:textId="77777777" w:rsidR="008E5DE4" w:rsidRDefault="00780368">
            <w:pPr>
              <w:widowControl w:val="0"/>
              <w:pBdr>
                <w:top w:val="nil"/>
                <w:left w:val="nil"/>
                <w:bottom w:val="nil"/>
                <w:right w:val="nil"/>
                <w:between w:val="nil"/>
              </w:pBdr>
              <w:ind w:left="113" w:right="-57" w:hanging="113"/>
              <w:rPr>
                <w:color w:val="000000"/>
              </w:rPr>
            </w:pPr>
            <w:r>
              <w:rPr>
                <w:color w:val="000000"/>
              </w:rPr>
              <w:t>- Owners of the Company</w:t>
            </w:r>
          </w:p>
        </w:tc>
        <w:tc>
          <w:tcPr>
            <w:tcW w:w="851" w:type="dxa"/>
            <w:vAlign w:val="bottom"/>
          </w:tcPr>
          <w:p w14:paraId="1E41D7CB"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5F00463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89259B0" w14:textId="77777777" w:rsidR="008E5DE4" w:rsidRDefault="008E5DE4">
            <w:pPr>
              <w:widowControl w:val="0"/>
              <w:pBdr>
                <w:top w:val="nil"/>
                <w:left w:val="nil"/>
                <w:bottom w:val="nil"/>
                <w:right w:val="nil"/>
                <w:between w:val="nil"/>
              </w:pBdr>
              <w:jc w:val="right"/>
              <w:rPr>
                <w:color w:val="000000"/>
              </w:rPr>
            </w:pPr>
          </w:p>
        </w:tc>
      </w:tr>
      <w:tr w:rsidR="008E5DE4" w14:paraId="5E389EC7" w14:textId="77777777">
        <w:trPr>
          <w:cantSplit/>
        </w:trPr>
        <w:tc>
          <w:tcPr>
            <w:tcW w:w="5499" w:type="dxa"/>
            <w:vAlign w:val="bottom"/>
          </w:tcPr>
          <w:p w14:paraId="17580729" w14:textId="77777777" w:rsidR="008E5DE4" w:rsidRDefault="00780368">
            <w:pPr>
              <w:widowControl w:val="0"/>
              <w:ind w:left="113" w:right="-57" w:hanging="113"/>
            </w:pPr>
            <w:r>
              <w:t>- Non-controlling interest</w:t>
            </w:r>
          </w:p>
        </w:tc>
        <w:tc>
          <w:tcPr>
            <w:tcW w:w="851" w:type="dxa"/>
            <w:vAlign w:val="bottom"/>
          </w:tcPr>
          <w:p w14:paraId="27176146"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46FB88C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ABC2087" w14:textId="77777777" w:rsidR="008E5DE4" w:rsidRDefault="008E5DE4">
            <w:pPr>
              <w:widowControl w:val="0"/>
              <w:pBdr>
                <w:top w:val="nil"/>
                <w:left w:val="nil"/>
                <w:bottom w:val="nil"/>
                <w:right w:val="nil"/>
                <w:between w:val="nil"/>
              </w:pBdr>
              <w:jc w:val="right"/>
              <w:rPr>
                <w:color w:val="000000"/>
              </w:rPr>
            </w:pPr>
          </w:p>
        </w:tc>
      </w:tr>
      <w:tr w:rsidR="008E5DE4" w14:paraId="227928B4" w14:textId="77777777">
        <w:trPr>
          <w:cantSplit/>
        </w:trPr>
        <w:tc>
          <w:tcPr>
            <w:tcW w:w="5499" w:type="dxa"/>
            <w:tcBorders>
              <w:bottom w:val="single" w:sz="4" w:space="0" w:color="000000"/>
            </w:tcBorders>
            <w:vAlign w:val="bottom"/>
          </w:tcPr>
          <w:p w14:paraId="3D3019ED"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w:t>
            </w:r>
          </w:p>
        </w:tc>
        <w:tc>
          <w:tcPr>
            <w:tcW w:w="851" w:type="dxa"/>
            <w:tcBorders>
              <w:bottom w:val="single" w:sz="4" w:space="0" w:color="000000"/>
            </w:tcBorders>
            <w:vAlign w:val="bottom"/>
          </w:tcPr>
          <w:p w14:paraId="795F6692"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bottom w:val="single" w:sz="4" w:space="0" w:color="000000"/>
            </w:tcBorders>
            <w:vAlign w:val="bottom"/>
          </w:tcPr>
          <w:p w14:paraId="5BEEE832"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774EBB6C" w14:textId="77777777" w:rsidR="008E5DE4" w:rsidRDefault="008E5DE4">
            <w:pPr>
              <w:widowControl w:val="0"/>
              <w:pBdr>
                <w:top w:val="nil"/>
                <w:left w:val="nil"/>
                <w:bottom w:val="nil"/>
                <w:right w:val="nil"/>
                <w:between w:val="nil"/>
              </w:pBdr>
              <w:jc w:val="right"/>
              <w:rPr>
                <w:color w:val="000000"/>
              </w:rPr>
            </w:pPr>
          </w:p>
        </w:tc>
      </w:tr>
      <w:tr w:rsidR="008E5DE4" w14:paraId="18B130E1" w14:textId="77777777">
        <w:trPr>
          <w:cantSplit/>
        </w:trPr>
        <w:tc>
          <w:tcPr>
            <w:tcW w:w="5499" w:type="dxa"/>
            <w:tcBorders>
              <w:top w:val="single" w:sz="4" w:space="0" w:color="000000"/>
            </w:tcBorders>
            <w:vAlign w:val="bottom"/>
          </w:tcPr>
          <w:p w14:paraId="1D1B4EA5"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w:t>
            </w:r>
          </w:p>
        </w:tc>
        <w:tc>
          <w:tcPr>
            <w:tcW w:w="851" w:type="dxa"/>
            <w:tcBorders>
              <w:top w:val="single" w:sz="4" w:space="0" w:color="000000"/>
            </w:tcBorders>
            <w:vAlign w:val="bottom"/>
          </w:tcPr>
          <w:p w14:paraId="3BA4CDD5"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top w:val="single" w:sz="4" w:space="0" w:color="000000"/>
            </w:tcBorders>
            <w:vAlign w:val="bottom"/>
          </w:tcPr>
          <w:p w14:paraId="3C793F91"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28879B1" w14:textId="77777777" w:rsidR="008E5DE4" w:rsidRDefault="008E5DE4">
            <w:pPr>
              <w:widowControl w:val="0"/>
              <w:pBdr>
                <w:top w:val="nil"/>
                <w:left w:val="nil"/>
                <w:bottom w:val="nil"/>
                <w:right w:val="nil"/>
                <w:between w:val="nil"/>
              </w:pBdr>
              <w:jc w:val="right"/>
              <w:rPr>
                <w:color w:val="000000"/>
              </w:rPr>
            </w:pPr>
          </w:p>
        </w:tc>
      </w:tr>
      <w:tr w:rsidR="008E5DE4" w14:paraId="152FB8B1" w14:textId="77777777">
        <w:trPr>
          <w:cantSplit/>
        </w:trPr>
        <w:tc>
          <w:tcPr>
            <w:tcW w:w="5499" w:type="dxa"/>
            <w:vAlign w:val="bottom"/>
          </w:tcPr>
          <w:p w14:paraId="60ACD658"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b/>
                <w:color w:val="000000"/>
              </w:rPr>
              <w:t>Profit/(loss) for the year</w:t>
            </w:r>
          </w:p>
        </w:tc>
        <w:tc>
          <w:tcPr>
            <w:tcW w:w="851" w:type="dxa"/>
            <w:vAlign w:val="bottom"/>
          </w:tcPr>
          <w:p w14:paraId="61A7C70F"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7C8C6329" w14:textId="77777777" w:rsidR="008E5DE4" w:rsidRDefault="00000000">
            <w:pPr>
              <w:widowControl w:val="0"/>
              <w:pBdr>
                <w:top w:val="nil"/>
                <w:left w:val="nil"/>
                <w:bottom w:val="nil"/>
                <w:right w:val="nil"/>
                <w:between w:val="nil"/>
              </w:pBdr>
              <w:jc w:val="right"/>
              <w:rPr>
                <w:color w:val="000000"/>
              </w:rPr>
            </w:pPr>
            <w:sdt>
              <w:sdtPr>
                <w:tag w:val="goog_rdk_12"/>
                <w:id w:val="-1369295128"/>
              </w:sdtPr>
              <w:sdtContent>
                <w:r w:rsidR="00780368">
                  <w:rPr>
                    <w:rFonts w:ascii="Arial Unicode MS" w:eastAsia="Arial Unicode MS" w:hAnsi="Arial Unicode MS" w:cs="Arial Unicode MS"/>
                    <w:color w:val="000000"/>
                  </w:rPr>
                  <w:t>∑</w:t>
                </w:r>
              </w:sdtContent>
            </w:sdt>
          </w:p>
        </w:tc>
        <w:tc>
          <w:tcPr>
            <w:tcW w:w="1531" w:type="dxa"/>
            <w:vAlign w:val="bottom"/>
          </w:tcPr>
          <w:p w14:paraId="30C51E7F" w14:textId="77777777" w:rsidR="008E5DE4" w:rsidRDefault="00000000">
            <w:pPr>
              <w:widowControl w:val="0"/>
              <w:pBdr>
                <w:top w:val="nil"/>
                <w:left w:val="nil"/>
                <w:bottom w:val="nil"/>
                <w:right w:val="nil"/>
                <w:between w:val="nil"/>
              </w:pBdr>
              <w:jc w:val="right"/>
              <w:rPr>
                <w:color w:val="000000"/>
              </w:rPr>
            </w:pPr>
            <w:sdt>
              <w:sdtPr>
                <w:tag w:val="goog_rdk_13"/>
                <w:id w:val="-1592926330"/>
              </w:sdtPr>
              <w:sdtContent>
                <w:r w:rsidR="00780368">
                  <w:rPr>
                    <w:rFonts w:ascii="Arial Unicode MS" w:eastAsia="Arial Unicode MS" w:hAnsi="Arial Unicode MS" w:cs="Arial Unicode MS"/>
                    <w:color w:val="000000"/>
                  </w:rPr>
                  <w:t>∑</w:t>
                </w:r>
              </w:sdtContent>
            </w:sdt>
          </w:p>
        </w:tc>
      </w:tr>
      <w:tr w:rsidR="008E5DE4" w14:paraId="45E25E9C" w14:textId="77777777">
        <w:trPr>
          <w:cantSplit/>
        </w:trPr>
        <w:tc>
          <w:tcPr>
            <w:tcW w:w="5499" w:type="dxa"/>
            <w:tcBorders>
              <w:bottom w:val="single" w:sz="12" w:space="0" w:color="000000"/>
            </w:tcBorders>
            <w:vAlign w:val="bottom"/>
          </w:tcPr>
          <w:p w14:paraId="62CD2DDF"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w:t>
            </w:r>
          </w:p>
        </w:tc>
        <w:tc>
          <w:tcPr>
            <w:tcW w:w="851" w:type="dxa"/>
            <w:tcBorders>
              <w:bottom w:val="single" w:sz="12" w:space="0" w:color="000000"/>
            </w:tcBorders>
            <w:vAlign w:val="bottom"/>
          </w:tcPr>
          <w:p w14:paraId="7465C077"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bottom w:val="single" w:sz="12" w:space="0" w:color="000000"/>
            </w:tcBorders>
            <w:vAlign w:val="bottom"/>
          </w:tcPr>
          <w:p w14:paraId="7E958A1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49E08886" w14:textId="77777777" w:rsidR="008E5DE4" w:rsidRDefault="008E5DE4">
            <w:pPr>
              <w:widowControl w:val="0"/>
              <w:pBdr>
                <w:top w:val="nil"/>
                <w:left w:val="nil"/>
                <w:bottom w:val="nil"/>
                <w:right w:val="nil"/>
                <w:between w:val="nil"/>
              </w:pBdr>
              <w:jc w:val="right"/>
              <w:rPr>
                <w:color w:val="000000"/>
              </w:rPr>
            </w:pPr>
          </w:p>
        </w:tc>
      </w:tr>
      <w:tr w:rsidR="008E5DE4" w14:paraId="65F9F41A" w14:textId="77777777">
        <w:trPr>
          <w:cantSplit/>
        </w:trPr>
        <w:tc>
          <w:tcPr>
            <w:tcW w:w="5499" w:type="dxa"/>
            <w:tcBorders>
              <w:top w:val="single" w:sz="12" w:space="0" w:color="000000"/>
            </w:tcBorders>
            <w:vAlign w:val="bottom"/>
          </w:tcPr>
          <w:p w14:paraId="18547006" w14:textId="77777777" w:rsidR="008E5DE4" w:rsidRDefault="00780368">
            <w:pPr>
              <w:widowControl w:val="0"/>
              <w:ind w:left="113" w:right="-57" w:hanging="113"/>
            </w:pPr>
            <w:r>
              <w:t> </w:t>
            </w:r>
          </w:p>
        </w:tc>
        <w:tc>
          <w:tcPr>
            <w:tcW w:w="851" w:type="dxa"/>
            <w:tcBorders>
              <w:top w:val="single" w:sz="12" w:space="0" w:color="000000"/>
            </w:tcBorders>
            <w:vAlign w:val="bottom"/>
          </w:tcPr>
          <w:p w14:paraId="7A5A587D"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top w:val="single" w:sz="12" w:space="0" w:color="000000"/>
            </w:tcBorders>
            <w:vAlign w:val="bottom"/>
          </w:tcPr>
          <w:p w14:paraId="7701AA18"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12" w:space="0" w:color="000000"/>
            </w:tcBorders>
            <w:vAlign w:val="bottom"/>
          </w:tcPr>
          <w:p w14:paraId="15E75022" w14:textId="77777777" w:rsidR="008E5DE4" w:rsidRDefault="008E5DE4">
            <w:pPr>
              <w:widowControl w:val="0"/>
              <w:pBdr>
                <w:top w:val="nil"/>
                <w:left w:val="nil"/>
                <w:bottom w:val="nil"/>
                <w:right w:val="nil"/>
                <w:between w:val="nil"/>
              </w:pBdr>
              <w:jc w:val="right"/>
              <w:rPr>
                <w:color w:val="000000"/>
              </w:rPr>
            </w:pPr>
          </w:p>
        </w:tc>
      </w:tr>
      <w:tr w:rsidR="008E5DE4" w14:paraId="22A0D5F6" w14:textId="77777777">
        <w:trPr>
          <w:cantSplit/>
        </w:trPr>
        <w:tc>
          <w:tcPr>
            <w:tcW w:w="5499" w:type="dxa"/>
            <w:vAlign w:val="bottom"/>
          </w:tcPr>
          <w:p w14:paraId="41167BC9" w14:textId="33E40A59" w:rsidR="008E5DE4" w:rsidRDefault="00780368">
            <w:pPr>
              <w:widowControl w:val="0"/>
              <w:pBdr>
                <w:top w:val="nil"/>
                <w:left w:val="nil"/>
                <w:bottom w:val="nil"/>
                <w:right w:val="nil"/>
                <w:between w:val="nil"/>
              </w:pBdr>
              <w:ind w:left="113" w:right="-57" w:hanging="113"/>
              <w:rPr>
                <w:color w:val="000000"/>
              </w:rPr>
            </w:pPr>
            <w:r>
              <w:rPr>
                <w:color w:val="000000"/>
              </w:rPr>
              <w:t>Earnings/(Loss) per ordinary share for profit/(loss) from continuing operations attributable to the owners of the Company, basic and diluted (in EUR</w:t>
            </w:r>
            <w:r w:rsidR="00831ED1">
              <w:rPr>
                <w:color w:val="000000"/>
              </w:rPr>
              <w:t xml:space="preserve"> </w:t>
            </w:r>
            <w:r>
              <w:rPr>
                <w:color w:val="000000"/>
              </w:rPr>
              <w:t>per share)</w:t>
            </w:r>
          </w:p>
        </w:tc>
        <w:tc>
          <w:tcPr>
            <w:tcW w:w="851" w:type="dxa"/>
            <w:vAlign w:val="bottom"/>
          </w:tcPr>
          <w:p w14:paraId="1697AEE8"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541DA870"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10D3A655" w14:textId="77777777" w:rsidR="008E5DE4" w:rsidRDefault="008E5DE4">
            <w:pPr>
              <w:widowControl w:val="0"/>
              <w:pBdr>
                <w:top w:val="nil"/>
                <w:left w:val="nil"/>
                <w:bottom w:val="nil"/>
                <w:right w:val="nil"/>
                <w:between w:val="nil"/>
              </w:pBdr>
              <w:jc w:val="right"/>
              <w:rPr>
                <w:b/>
                <w:color w:val="000000"/>
              </w:rPr>
            </w:pPr>
          </w:p>
        </w:tc>
      </w:tr>
      <w:tr w:rsidR="008E5DE4" w14:paraId="0AA556C8" w14:textId="77777777">
        <w:trPr>
          <w:cantSplit/>
        </w:trPr>
        <w:tc>
          <w:tcPr>
            <w:tcW w:w="5499" w:type="dxa"/>
            <w:tcBorders>
              <w:bottom w:val="single" w:sz="12" w:space="0" w:color="000000"/>
            </w:tcBorders>
            <w:vAlign w:val="bottom"/>
          </w:tcPr>
          <w:p w14:paraId="0F3CF1FF"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tcBorders>
              <w:bottom w:val="single" w:sz="12" w:space="0" w:color="000000"/>
            </w:tcBorders>
            <w:vAlign w:val="bottom"/>
          </w:tcPr>
          <w:p w14:paraId="301C7CE2"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tcBorders>
              <w:bottom w:val="single" w:sz="12" w:space="0" w:color="000000"/>
            </w:tcBorders>
            <w:vAlign w:val="bottom"/>
          </w:tcPr>
          <w:p w14:paraId="4FEFBB40"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3AEF553A" w14:textId="77777777" w:rsidR="008E5DE4" w:rsidRDefault="008E5DE4">
            <w:pPr>
              <w:widowControl w:val="0"/>
              <w:pBdr>
                <w:top w:val="nil"/>
                <w:left w:val="nil"/>
                <w:bottom w:val="nil"/>
                <w:right w:val="nil"/>
                <w:between w:val="nil"/>
              </w:pBdr>
              <w:jc w:val="right"/>
              <w:rPr>
                <w:b/>
                <w:color w:val="000000"/>
              </w:rPr>
            </w:pPr>
          </w:p>
        </w:tc>
      </w:tr>
      <w:tr w:rsidR="008E5DE4" w14:paraId="74784418" w14:textId="77777777">
        <w:trPr>
          <w:cantSplit/>
        </w:trPr>
        <w:tc>
          <w:tcPr>
            <w:tcW w:w="5499" w:type="dxa"/>
            <w:vAlign w:val="bottom"/>
          </w:tcPr>
          <w:p w14:paraId="03FEFFCA"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vAlign w:val="bottom"/>
          </w:tcPr>
          <w:p w14:paraId="68A7A6A5"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02B105FA"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C3EE8DD" w14:textId="77777777" w:rsidR="008E5DE4" w:rsidRDefault="008E5DE4">
            <w:pPr>
              <w:widowControl w:val="0"/>
              <w:pBdr>
                <w:top w:val="nil"/>
                <w:left w:val="nil"/>
                <w:bottom w:val="nil"/>
                <w:right w:val="nil"/>
                <w:between w:val="nil"/>
              </w:pBdr>
              <w:jc w:val="right"/>
              <w:rPr>
                <w:b/>
                <w:color w:val="000000"/>
              </w:rPr>
            </w:pPr>
          </w:p>
        </w:tc>
      </w:tr>
      <w:tr w:rsidR="008E5DE4" w14:paraId="2C2D935C" w14:textId="77777777">
        <w:trPr>
          <w:cantSplit/>
        </w:trPr>
        <w:tc>
          <w:tcPr>
            <w:tcW w:w="5499" w:type="dxa"/>
            <w:vAlign w:val="bottom"/>
          </w:tcPr>
          <w:p w14:paraId="44D94D72" w14:textId="4E6DBFBD" w:rsidR="008E5DE4" w:rsidRDefault="00780368">
            <w:pPr>
              <w:widowControl w:val="0"/>
              <w:pBdr>
                <w:top w:val="nil"/>
                <w:left w:val="nil"/>
                <w:bottom w:val="nil"/>
                <w:right w:val="nil"/>
                <w:between w:val="nil"/>
              </w:pBdr>
              <w:ind w:left="113" w:right="-57" w:hanging="113"/>
              <w:rPr>
                <w:color w:val="000000"/>
              </w:rPr>
            </w:pPr>
            <w:r>
              <w:rPr>
                <w:color w:val="000000"/>
              </w:rPr>
              <w:t>Earnings/(Loss) per ordinary share for profit/(loss) from discontinued operations attributable to the owners of the Company, basic and diluted (in EUR</w:t>
            </w:r>
            <w:r w:rsidR="00831ED1">
              <w:rPr>
                <w:color w:val="000000"/>
              </w:rPr>
              <w:t xml:space="preserve"> </w:t>
            </w:r>
            <w:r>
              <w:rPr>
                <w:color w:val="000000"/>
              </w:rPr>
              <w:t>per share)</w:t>
            </w:r>
          </w:p>
        </w:tc>
        <w:tc>
          <w:tcPr>
            <w:tcW w:w="851" w:type="dxa"/>
            <w:vAlign w:val="bottom"/>
          </w:tcPr>
          <w:p w14:paraId="5F7CEAA6"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5642D32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5CAB2169" w14:textId="77777777" w:rsidR="008E5DE4" w:rsidRDefault="008E5DE4">
            <w:pPr>
              <w:widowControl w:val="0"/>
              <w:pBdr>
                <w:top w:val="nil"/>
                <w:left w:val="nil"/>
                <w:bottom w:val="nil"/>
                <w:right w:val="nil"/>
                <w:between w:val="nil"/>
              </w:pBdr>
              <w:jc w:val="right"/>
              <w:rPr>
                <w:b/>
                <w:color w:val="000000"/>
              </w:rPr>
            </w:pPr>
          </w:p>
        </w:tc>
      </w:tr>
      <w:tr w:rsidR="008E5DE4" w14:paraId="65523A9D" w14:textId="77777777">
        <w:trPr>
          <w:cantSplit/>
        </w:trPr>
        <w:tc>
          <w:tcPr>
            <w:tcW w:w="5499" w:type="dxa"/>
            <w:tcBorders>
              <w:bottom w:val="single" w:sz="12" w:space="0" w:color="000000"/>
            </w:tcBorders>
            <w:vAlign w:val="bottom"/>
          </w:tcPr>
          <w:p w14:paraId="6B7AFE92"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tcBorders>
              <w:bottom w:val="single" w:sz="12" w:space="0" w:color="000000"/>
            </w:tcBorders>
            <w:vAlign w:val="bottom"/>
          </w:tcPr>
          <w:p w14:paraId="6885122F"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tcBorders>
              <w:bottom w:val="single" w:sz="12" w:space="0" w:color="000000"/>
            </w:tcBorders>
            <w:vAlign w:val="bottom"/>
          </w:tcPr>
          <w:p w14:paraId="54178BAF"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2656A705" w14:textId="77777777" w:rsidR="008E5DE4" w:rsidRDefault="008E5DE4">
            <w:pPr>
              <w:widowControl w:val="0"/>
              <w:pBdr>
                <w:top w:val="nil"/>
                <w:left w:val="nil"/>
                <w:bottom w:val="nil"/>
                <w:right w:val="nil"/>
                <w:between w:val="nil"/>
              </w:pBdr>
              <w:jc w:val="right"/>
              <w:rPr>
                <w:b/>
                <w:color w:val="000000"/>
              </w:rPr>
            </w:pPr>
          </w:p>
        </w:tc>
      </w:tr>
      <w:tr w:rsidR="008E5DE4" w14:paraId="0199DF14" w14:textId="77777777">
        <w:trPr>
          <w:cantSplit/>
        </w:trPr>
        <w:tc>
          <w:tcPr>
            <w:tcW w:w="5499" w:type="dxa"/>
            <w:tcBorders>
              <w:top w:val="single" w:sz="12" w:space="0" w:color="000000"/>
            </w:tcBorders>
            <w:vAlign w:val="bottom"/>
          </w:tcPr>
          <w:p w14:paraId="1E9F8409" w14:textId="77777777" w:rsidR="008E5DE4" w:rsidRDefault="00780368">
            <w:pPr>
              <w:keepNext/>
              <w:keepLines/>
              <w:widowControl w:val="0"/>
              <w:pBdr>
                <w:top w:val="nil"/>
                <w:left w:val="nil"/>
                <w:bottom w:val="nil"/>
                <w:right w:val="nil"/>
                <w:between w:val="nil"/>
              </w:pBdr>
              <w:ind w:left="113" w:right="-57" w:hanging="113"/>
              <w:rPr>
                <w:color w:val="000000"/>
              </w:rPr>
            </w:pPr>
            <w:r>
              <w:rPr>
                <w:b/>
                <w:color w:val="000000"/>
              </w:rPr>
              <w:lastRenderedPageBreak/>
              <w:t> </w:t>
            </w:r>
          </w:p>
        </w:tc>
        <w:tc>
          <w:tcPr>
            <w:tcW w:w="851" w:type="dxa"/>
            <w:tcBorders>
              <w:top w:val="single" w:sz="12" w:space="0" w:color="000000"/>
            </w:tcBorders>
            <w:vAlign w:val="bottom"/>
          </w:tcPr>
          <w:p w14:paraId="68990F6E" w14:textId="77777777" w:rsidR="008E5DE4" w:rsidRDefault="008E5DE4">
            <w:pPr>
              <w:keepNext/>
              <w:keepLines/>
              <w:widowControl w:val="0"/>
              <w:pBdr>
                <w:top w:val="nil"/>
                <w:left w:val="nil"/>
                <w:bottom w:val="nil"/>
                <w:right w:val="nil"/>
                <w:between w:val="nil"/>
              </w:pBdr>
              <w:ind w:left="-57" w:right="-57"/>
              <w:jc w:val="center"/>
              <w:rPr>
                <w:smallCaps/>
                <w:color w:val="000000"/>
              </w:rPr>
            </w:pPr>
          </w:p>
        </w:tc>
        <w:tc>
          <w:tcPr>
            <w:tcW w:w="1531" w:type="dxa"/>
            <w:tcBorders>
              <w:top w:val="single" w:sz="12" w:space="0" w:color="000000"/>
            </w:tcBorders>
            <w:vAlign w:val="bottom"/>
          </w:tcPr>
          <w:p w14:paraId="52F1D7B6" w14:textId="77777777" w:rsidR="008E5DE4" w:rsidRDefault="008E5DE4">
            <w:pPr>
              <w:keepNext/>
              <w:keepLines/>
              <w:widowControl w:val="0"/>
              <w:pBdr>
                <w:top w:val="nil"/>
                <w:left w:val="nil"/>
                <w:bottom w:val="nil"/>
                <w:right w:val="nil"/>
                <w:between w:val="nil"/>
              </w:pBdr>
              <w:jc w:val="right"/>
              <w:rPr>
                <w:b/>
                <w:color w:val="000000"/>
              </w:rPr>
            </w:pPr>
          </w:p>
        </w:tc>
        <w:tc>
          <w:tcPr>
            <w:tcW w:w="1531" w:type="dxa"/>
            <w:tcBorders>
              <w:top w:val="single" w:sz="12" w:space="0" w:color="000000"/>
            </w:tcBorders>
            <w:vAlign w:val="bottom"/>
          </w:tcPr>
          <w:p w14:paraId="22ED3869" w14:textId="77777777" w:rsidR="008E5DE4" w:rsidRDefault="008E5DE4">
            <w:pPr>
              <w:keepNext/>
              <w:keepLines/>
              <w:widowControl w:val="0"/>
              <w:pBdr>
                <w:top w:val="nil"/>
                <w:left w:val="nil"/>
                <w:bottom w:val="nil"/>
                <w:right w:val="nil"/>
                <w:between w:val="nil"/>
              </w:pBdr>
              <w:jc w:val="right"/>
              <w:rPr>
                <w:b/>
                <w:color w:val="000000"/>
              </w:rPr>
            </w:pPr>
          </w:p>
        </w:tc>
      </w:tr>
      <w:tr w:rsidR="008E5DE4" w14:paraId="78A922F1" w14:textId="77777777">
        <w:trPr>
          <w:cantSplit/>
        </w:trPr>
        <w:tc>
          <w:tcPr>
            <w:tcW w:w="5499" w:type="dxa"/>
            <w:vAlign w:val="bottom"/>
          </w:tcPr>
          <w:p w14:paraId="070FA7F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Earnings/(Loss) per preference share for profit/(loss) from continuing operations attributable to the owners of the Company, basic and diluted (in EUR per share)</w:t>
            </w:r>
          </w:p>
        </w:tc>
        <w:tc>
          <w:tcPr>
            <w:tcW w:w="851" w:type="dxa"/>
            <w:vAlign w:val="bottom"/>
          </w:tcPr>
          <w:p w14:paraId="7EAB237D" w14:textId="77777777" w:rsidR="008E5DE4" w:rsidRDefault="008E5DE4">
            <w:pPr>
              <w:keepNext/>
              <w:keepLines/>
              <w:widowControl w:val="0"/>
              <w:pBdr>
                <w:top w:val="nil"/>
                <w:left w:val="nil"/>
                <w:bottom w:val="nil"/>
                <w:right w:val="nil"/>
                <w:between w:val="nil"/>
              </w:pBdr>
              <w:ind w:left="-57" w:right="-57"/>
              <w:jc w:val="center"/>
              <w:rPr>
                <w:smallCaps/>
                <w:color w:val="000000"/>
              </w:rPr>
            </w:pPr>
          </w:p>
        </w:tc>
        <w:tc>
          <w:tcPr>
            <w:tcW w:w="1531" w:type="dxa"/>
            <w:vAlign w:val="bottom"/>
          </w:tcPr>
          <w:p w14:paraId="067D74AD" w14:textId="77777777" w:rsidR="008E5DE4" w:rsidRDefault="008E5DE4">
            <w:pPr>
              <w:keepNext/>
              <w:keepLines/>
              <w:widowControl w:val="0"/>
              <w:pBdr>
                <w:top w:val="nil"/>
                <w:left w:val="nil"/>
                <w:bottom w:val="nil"/>
                <w:right w:val="nil"/>
                <w:between w:val="nil"/>
              </w:pBdr>
              <w:jc w:val="right"/>
              <w:rPr>
                <w:b/>
                <w:color w:val="000000"/>
              </w:rPr>
            </w:pPr>
          </w:p>
        </w:tc>
        <w:tc>
          <w:tcPr>
            <w:tcW w:w="1531" w:type="dxa"/>
            <w:vAlign w:val="bottom"/>
          </w:tcPr>
          <w:p w14:paraId="15F1CF44" w14:textId="77777777" w:rsidR="008E5DE4" w:rsidRDefault="008E5DE4">
            <w:pPr>
              <w:keepNext/>
              <w:keepLines/>
              <w:widowControl w:val="0"/>
              <w:pBdr>
                <w:top w:val="nil"/>
                <w:left w:val="nil"/>
                <w:bottom w:val="nil"/>
                <w:right w:val="nil"/>
                <w:between w:val="nil"/>
              </w:pBdr>
              <w:jc w:val="right"/>
              <w:rPr>
                <w:b/>
                <w:color w:val="000000"/>
              </w:rPr>
            </w:pPr>
          </w:p>
        </w:tc>
      </w:tr>
      <w:tr w:rsidR="008E5DE4" w14:paraId="18338B1B" w14:textId="77777777">
        <w:trPr>
          <w:cantSplit/>
        </w:trPr>
        <w:tc>
          <w:tcPr>
            <w:tcW w:w="5499" w:type="dxa"/>
            <w:tcBorders>
              <w:bottom w:val="single" w:sz="12" w:space="0" w:color="000000"/>
            </w:tcBorders>
            <w:vAlign w:val="bottom"/>
          </w:tcPr>
          <w:p w14:paraId="0BAE5D15" w14:textId="77777777" w:rsidR="008E5DE4" w:rsidRDefault="00780368">
            <w:pPr>
              <w:keepNext/>
              <w:keepLines/>
              <w:widowControl w:val="0"/>
              <w:pBdr>
                <w:top w:val="nil"/>
                <w:left w:val="nil"/>
                <w:bottom w:val="nil"/>
                <w:right w:val="nil"/>
                <w:between w:val="nil"/>
              </w:pBdr>
              <w:ind w:left="113" w:right="-57" w:hanging="113"/>
              <w:rPr>
                <w:color w:val="000000"/>
              </w:rPr>
            </w:pPr>
            <w:r>
              <w:rPr>
                <w:b/>
                <w:color w:val="000000"/>
              </w:rPr>
              <w:t> </w:t>
            </w:r>
          </w:p>
        </w:tc>
        <w:tc>
          <w:tcPr>
            <w:tcW w:w="851" w:type="dxa"/>
            <w:tcBorders>
              <w:bottom w:val="single" w:sz="12" w:space="0" w:color="000000"/>
            </w:tcBorders>
            <w:vAlign w:val="bottom"/>
          </w:tcPr>
          <w:p w14:paraId="3B35A6E7" w14:textId="77777777" w:rsidR="008E5DE4" w:rsidRDefault="008E5DE4">
            <w:pPr>
              <w:keepNext/>
              <w:keepLines/>
              <w:widowControl w:val="0"/>
              <w:pBdr>
                <w:top w:val="nil"/>
                <w:left w:val="nil"/>
                <w:bottom w:val="nil"/>
                <w:right w:val="nil"/>
                <w:between w:val="nil"/>
              </w:pBdr>
              <w:ind w:left="-57" w:right="-57"/>
              <w:jc w:val="center"/>
              <w:rPr>
                <w:smallCaps/>
                <w:color w:val="000000"/>
              </w:rPr>
            </w:pPr>
          </w:p>
        </w:tc>
        <w:tc>
          <w:tcPr>
            <w:tcW w:w="1531" w:type="dxa"/>
            <w:tcBorders>
              <w:bottom w:val="single" w:sz="12" w:space="0" w:color="000000"/>
            </w:tcBorders>
            <w:vAlign w:val="bottom"/>
          </w:tcPr>
          <w:p w14:paraId="1450AF35" w14:textId="77777777" w:rsidR="008E5DE4" w:rsidRDefault="008E5DE4">
            <w:pPr>
              <w:keepNext/>
              <w:keepLines/>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765E3C13" w14:textId="77777777" w:rsidR="008E5DE4" w:rsidRDefault="008E5DE4">
            <w:pPr>
              <w:keepNext/>
              <w:keepLines/>
              <w:widowControl w:val="0"/>
              <w:pBdr>
                <w:top w:val="nil"/>
                <w:left w:val="nil"/>
                <w:bottom w:val="nil"/>
                <w:right w:val="nil"/>
                <w:between w:val="nil"/>
              </w:pBdr>
              <w:jc w:val="right"/>
              <w:rPr>
                <w:b/>
                <w:color w:val="000000"/>
              </w:rPr>
            </w:pPr>
          </w:p>
        </w:tc>
      </w:tr>
      <w:tr w:rsidR="008E5DE4" w14:paraId="2328F278" w14:textId="77777777">
        <w:trPr>
          <w:cantSplit/>
        </w:trPr>
        <w:tc>
          <w:tcPr>
            <w:tcW w:w="5499" w:type="dxa"/>
            <w:vAlign w:val="bottom"/>
          </w:tcPr>
          <w:p w14:paraId="0C6C5B5C"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vAlign w:val="bottom"/>
          </w:tcPr>
          <w:p w14:paraId="33F99604"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08FCD6C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66C809B2" w14:textId="77777777" w:rsidR="008E5DE4" w:rsidRDefault="008E5DE4">
            <w:pPr>
              <w:widowControl w:val="0"/>
              <w:pBdr>
                <w:top w:val="nil"/>
                <w:left w:val="nil"/>
                <w:bottom w:val="nil"/>
                <w:right w:val="nil"/>
                <w:between w:val="nil"/>
              </w:pBdr>
              <w:jc w:val="right"/>
              <w:rPr>
                <w:b/>
                <w:color w:val="000000"/>
              </w:rPr>
            </w:pPr>
          </w:p>
        </w:tc>
      </w:tr>
      <w:tr w:rsidR="008E5DE4" w14:paraId="703F68AB" w14:textId="77777777">
        <w:trPr>
          <w:cantSplit/>
        </w:trPr>
        <w:tc>
          <w:tcPr>
            <w:tcW w:w="5499" w:type="dxa"/>
            <w:vAlign w:val="bottom"/>
          </w:tcPr>
          <w:p w14:paraId="74EAA248" w14:textId="77777777" w:rsidR="008E5DE4" w:rsidRDefault="00780368">
            <w:pPr>
              <w:widowControl w:val="0"/>
              <w:pBdr>
                <w:top w:val="nil"/>
                <w:left w:val="nil"/>
                <w:bottom w:val="nil"/>
                <w:right w:val="nil"/>
                <w:between w:val="nil"/>
              </w:pBdr>
              <w:ind w:left="113" w:right="-57" w:hanging="113"/>
              <w:rPr>
                <w:color w:val="000000"/>
              </w:rPr>
            </w:pPr>
            <w:r>
              <w:rPr>
                <w:color w:val="000000"/>
              </w:rPr>
              <w:t>Earnings/(Loss) per preference share for profit/(loss) from discontinued operations attributable to the owners of the Company, basic and diluted (in EUR per share)</w:t>
            </w:r>
          </w:p>
        </w:tc>
        <w:tc>
          <w:tcPr>
            <w:tcW w:w="851" w:type="dxa"/>
            <w:vAlign w:val="bottom"/>
          </w:tcPr>
          <w:p w14:paraId="6860A94D"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5F4BE6A2"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DDBB1C2" w14:textId="77777777" w:rsidR="008E5DE4" w:rsidRDefault="008E5DE4">
            <w:pPr>
              <w:widowControl w:val="0"/>
              <w:pBdr>
                <w:top w:val="nil"/>
                <w:left w:val="nil"/>
                <w:bottom w:val="nil"/>
                <w:right w:val="nil"/>
                <w:between w:val="nil"/>
              </w:pBdr>
              <w:jc w:val="right"/>
              <w:rPr>
                <w:b/>
                <w:color w:val="000000"/>
              </w:rPr>
            </w:pPr>
          </w:p>
        </w:tc>
      </w:tr>
      <w:tr w:rsidR="008E5DE4" w14:paraId="026BD570" w14:textId="77777777">
        <w:trPr>
          <w:cantSplit/>
        </w:trPr>
        <w:tc>
          <w:tcPr>
            <w:tcW w:w="5499" w:type="dxa"/>
            <w:tcBorders>
              <w:bottom w:val="single" w:sz="12" w:space="0" w:color="000000"/>
            </w:tcBorders>
            <w:vAlign w:val="bottom"/>
          </w:tcPr>
          <w:p w14:paraId="4B9F5870" w14:textId="77777777" w:rsidR="008E5DE4" w:rsidRDefault="00780368">
            <w:pPr>
              <w:widowControl w:val="0"/>
              <w:pBdr>
                <w:top w:val="nil"/>
                <w:left w:val="nil"/>
                <w:bottom w:val="nil"/>
                <w:right w:val="nil"/>
                <w:between w:val="nil"/>
              </w:pBdr>
              <w:ind w:left="113" w:right="-57" w:hanging="113"/>
              <w:rPr>
                <w:color w:val="000000"/>
              </w:rPr>
            </w:pPr>
            <w:r>
              <w:rPr>
                <w:b/>
                <w:color w:val="000000"/>
              </w:rPr>
              <w:t> </w:t>
            </w:r>
          </w:p>
        </w:tc>
        <w:tc>
          <w:tcPr>
            <w:tcW w:w="851" w:type="dxa"/>
            <w:tcBorders>
              <w:bottom w:val="single" w:sz="12" w:space="0" w:color="000000"/>
            </w:tcBorders>
            <w:vAlign w:val="bottom"/>
          </w:tcPr>
          <w:p w14:paraId="3B10A551"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tcBorders>
              <w:bottom w:val="single" w:sz="12" w:space="0" w:color="000000"/>
            </w:tcBorders>
            <w:vAlign w:val="bottom"/>
          </w:tcPr>
          <w:p w14:paraId="08A2EC18" w14:textId="77777777" w:rsidR="008E5DE4" w:rsidRDefault="008E5DE4">
            <w:pPr>
              <w:widowControl w:val="0"/>
              <w:pBdr>
                <w:top w:val="nil"/>
                <w:left w:val="nil"/>
                <w:bottom w:val="nil"/>
                <w:right w:val="nil"/>
                <w:between w:val="nil"/>
              </w:pBdr>
              <w:jc w:val="right"/>
              <w:rPr>
                <w:b/>
                <w:color w:val="000000"/>
              </w:rPr>
            </w:pPr>
          </w:p>
        </w:tc>
        <w:tc>
          <w:tcPr>
            <w:tcW w:w="1531" w:type="dxa"/>
            <w:tcBorders>
              <w:bottom w:val="single" w:sz="12" w:space="0" w:color="000000"/>
            </w:tcBorders>
            <w:vAlign w:val="bottom"/>
          </w:tcPr>
          <w:p w14:paraId="6D481C1F" w14:textId="77777777" w:rsidR="008E5DE4" w:rsidRDefault="008E5DE4">
            <w:pPr>
              <w:widowControl w:val="0"/>
              <w:pBdr>
                <w:top w:val="nil"/>
                <w:left w:val="nil"/>
                <w:bottom w:val="nil"/>
                <w:right w:val="nil"/>
                <w:between w:val="nil"/>
              </w:pBdr>
              <w:jc w:val="right"/>
              <w:rPr>
                <w:b/>
                <w:color w:val="000000"/>
              </w:rPr>
            </w:pPr>
          </w:p>
        </w:tc>
      </w:tr>
    </w:tbl>
    <w:p w14:paraId="7DE7ED0B" w14:textId="77777777" w:rsidR="008E5DE4" w:rsidRDefault="00780368">
      <w:pPr>
        <w:widowControl w:val="0"/>
        <w:spacing w:before="200" w:after="200"/>
        <w:rPr>
          <w:b/>
          <w:i/>
          <w:sz w:val="20"/>
          <w:szCs w:val="20"/>
        </w:rPr>
      </w:pPr>
      <w:r>
        <w:rPr>
          <w:b/>
          <w:i/>
          <w:sz w:val="20"/>
          <w:szCs w:val="20"/>
        </w:rPr>
        <w:t>Statement of Comprehensive Income</w:t>
      </w:r>
    </w:p>
    <w:tbl>
      <w:tblPr>
        <w:tblStyle w:val="affffffffffffffc"/>
        <w:tblW w:w="9412" w:type="dxa"/>
        <w:tblLayout w:type="fixed"/>
        <w:tblLook w:val="0000" w:firstRow="0" w:lastRow="0" w:firstColumn="0" w:lastColumn="0" w:noHBand="0" w:noVBand="0"/>
      </w:tblPr>
      <w:tblGrid>
        <w:gridCol w:w="5499"/>
        <w:gridCol w:w="851"/>
        <w:gridCol w:w="1531"/>
        <w:gridCol w:w="1531"/>
      </w:tblGrid>
      <w:tr w:rsidR="008E5DE4" w14:paraId="1C7A7395" w14:textId="77777777">
        <w:trPr>
          <w:cantSplit/>
        </w:trPr>
        <w:tc>
          <w:tcPr>
            <w:tcW w:w="5499" w:type="dxa"/>
            <w:tcBorders>
              <w:bottom w:val="single" w:sz="4" w:space="0" w:color="000000"/>
            </w:tcBorders>
            <w:vAlign w:val="bottom"/>
          </w:tcPr>
          <w:p w14:paraId="457DCA84" w14:textId="77777777" w:rsidR="008E5DE4" w:rsidRDefault="00780368">
            <w:pPr>
              <w:widowControl w:val="0"/>
              <w:pBdr>
                <w:top w:val="nil"/>
                <w:left w:val="nil"/>
                <w:bottom w:val="nil"/>
                <w:right w:val="nil"/>
                <w:between w:val="nil"/>
              </w:pBdr>
              <w:ind w:left="113" w:right="-57" w:hanging="113"/>
              <w:rPr>
                <w:b/>
                <w:i/>
                <w:color w:val="000000"/>
              </w:rPr>
            </w:pPr>
            <w:r>
              <w:rPr>
                <w:i/>
                <w:color w:val="000000"/>
              </w:rPr>
              <w:t>In thousands of EUR</w:t>
            </w:r>
          </w:p>
        </w:tc>
        <w:tc>
          <w:tcPr>
            <w:tcW w:w="851" w:type="dxa"/>
            <w:tcBorders>
              <w:bottom w:val="single" w:sz="4" w:space="0" w:color="000000"/>
            </w:tcBorders>
            <w:vAlign w:val="bottom"/>
          </w:tcPr>
          <w:p w14:paraId="05CEFCC1" w14:textId="77777777" w:rsidR="008E5DE4" w:rsidRDefault="00780368">
            <w:pPr>
              <w:widowControl w:val="0"/>
              <w:pBdr>
                <w:top w:val="nil"/>
                <w:left w:val="nil"/>
                <w:bottom w:val="nil"/>
                <w:right w:val="nil"/>
                <w:between w:val="nil"/>
              </w:pBdr>
              <w:ind w:left="-57" w:right="-57"/>
              <w:jc w:val="center"/>
              <w:rPr>
                <w:b/>
                <w:color w:val="000000"/>
              </w:rPr>
            </w:pPr>
            <w:r>
              <w:rPr>
                <w:b/>
                <w:color w:val="000000"/>
              </w:rPr>
              <w:t>Note</w:t>
            </w:r>
          </w:p>
        </w:tc>
        <w:tc>
          <w:tcPr>
            <w:tcW w:w="1531" w:type="dxa"/>
            <w:tcBorders>
              <w:bottom w:val="single" w:sz="4" w:space="0" w:color="000000"/>
            </w:tcBorders>
            <w:vAlign w:val="bottom"/>
          </w:tcPr>
          <w:p w14:paraId="70C32092" w14:textId="2A64B956" w:rsidR="008E5DE4" w:rsidRDefault="008614F8">
            <w:pPr>
              <w:widowControl w:val="0"/>
              <w:pBdr>
                <w:top w:val="nil"/>
                <w:left w:val="nil"/>
                <w:bottom w:val="nil"/>
                <w:right w:val="nil"/>
                <w:between w:val="nil"/>
              </w:pBdr>
              <w:jc w:val="right"/>
              <w:rPr>
                <w:b/>
                <w:color w:val="000000"/>
              </w:rPr>
            </w:pPr>
            <w:r>
              <w:rPr>
                <w:b/>
                <w:color w:val="000000"/>
              </w:rPr>
              <w:t>2025</w:t>
            </w:r>
          </w:p>
        </w:tc>
        <w:tc>
          <w:tcPr>
            <w:tcW w:w="1531" w:type="dxa"/>
            <w:tcBorders>
              <w:bottom w:val="single" w:sz="4" w:space="0" w:color="000000"/>
            </w:tcBorders>
            <w:vAlign w:val="bottom"/>
          </w:tcPr>
          <w:p w14:paraId="08C5848B" w14:textId="6F72E035" w:rsidR="008E5DE4" w:rsidRDefault="00A46633">
            <w:pPr>
              <w:widowControl w:val="0"/>
              <w:pBdr>
                <w:top w:val="nil"/>
                <w:left w:val="nil"/>
                <w:bottom w:val="nil"/>
                <w:right w:val="nil"/>
                <w:between w:val="nil"/>
              </w:pBdr>
              <w:jc w:val="right"/>
              <w:rPr>
                <w:b/>
                <w:color w:val="000000"/>
              </w:rPr>
            </w:pPr>
            <w:r>
              <w:rPr>
                <w:b/>
                <w:color w:val="000000"/>
              </w:rPr>
              <w:t>2024</w:t>
            </w:r>
          </w:p>
        </w:tc>
      </w:tr>
      <w:tr w:rsidR="008E5DE4" w14:paraId="7D4C5113" w14:textId="77777777">
        <w:trPr>
          <w:cantSplit/>
        </w:trPr>
        <w:tc>
          <w:tcPr>
            <w:tcW w:w="5499" w:type="dxa"/>
            <w:vAlign w:val="bottom"/>
          </w:tcPr>
          <w:p w14:paraId="20B0DF9E" w14:textId="77777777" w:rsidR="008E5DE4" w:rsidRDefault="00780368">
            <w:pPr>
              <w:widowControl w:val="0"/>
              <w:ind w:left="113" w:right="-57" w:hanging="113"/>
            </w:pPr>
            <w:r>
              <w:t> </w:t>
            </w:r>
          </w:p>
        </w:tc>
        <w:tc>
          <w:tcPr>
            <w:tcW w:w="851" w:type="dxa"/>
            <w:vAlign w:val="bottom"/>
          </w:tcPr>
          <w:p w14:paraId="3C7F64A0"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4" w:space="0" w:color="000000"/>
            </w:tcBorders>
            <w:vAlign w:val="bottom"/>
          </w:tcPr>
          <w:p w14:paraId="7E4418C0"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15767AA9" w14:textId="77777777" w:rsidR="008E5DE4" w:rsidRDefault="008E5DE4">
            <w:pPr>
              <w:widowControl w:val="0"/>
              <w:pBdr>
                <w:top w:val="nil"/>
                <w:left w:val="nil"/>
                <w:bottom w:val="nil"/>
                <w:right w:val="nil"/>
                <w:between w:val="nil"/>
              </w:pBdr>
              <w:jc w:val="right"/>
              <w:rPr>
                <w:color w:val="000000"/>
              </w:rPr>
            </w:pPr>
          </w:p>
        </w:tc>
      </w:tr>
      <w:tr w:rsidR="008E5DE4" w14:paraId="0036BB5B" w14:textId="77777777">
        <w:trPr>
          <w:cantSplit/>
        </w:trPr>
        <w:tc>
          <w:tcPr>
            <w:tcW w:w="5499" w:type="dxa"/>
            <w:vAlign w:val="bottom"/>
          </w:tcPr>
          <w:p w14:paraId="73CF4221" w14:textId="77777777" w:rsidR="008E5DE4" w:rsidRDefault="00780368">
            <w:pPr>
              <w:widowControl w:val="0"/>
              <w:pBdr>
                <w:top w:val="nil"/>
                <w:left w:val="nil"/>
                <w:bottom w:val="nil"/>
                <w:right w:val="nil"/>
                <w:between w:val="nil"/>
              </w:pBdr>
              <w:ind w:left="113" w:right="-57" w:hanging="113"/>
              <w:rPr>
                <w:b/>
                <w:color w:val="000000"/>
              </w:rPr>
            </w:pPr>
            <w:r>
              <w:rPr>
                <w:b/>
                <w:color w:val="000000"/>
              </w:rPr>
              <w:t>Profit/(Loss) for the year</w:t>
            </w:r>
          </w:p>
        </w:tc>
        <w:tc>
          <w:tcPr>
            <w:tcW w:w="851" w:type="dxa"/>
            <w:vAlign w:val="bottom"/>
          </w:tcPr>
          <w:p w14:paraId="7128F27B"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4AEB5AAF"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4202CB1C" w14:textId="77777777" w:rsidR="008E5DE4" w:rsidRDefault="008E5DE4">
            <w:pPr>
              <w:widowControl w:val="0"/>
              <w:pBdr>
                <w:top w:val="nil"/>
                <w:left w:val="nil"/>
                <w:bottom w:val="nil"/>
                <w:right w:val="nil"/>
                <w:between w:val="nil"/>
              </w:pBdr>
              <w:jc w:val="right"/>
              <w:rPr>
                <w:b/>
                <w:color w:val="000000"/>
              </w:rPr>
            </w:pPr>
          </w:p>
        </w:tc>
      </w:tr>
      <w:tr w:rsidR="008E5DE4" w14:paraId="258BC64A" w14:textId="77777777">
        <w:trPr>
          <w:cantSplit/>
        </w:trPr>
        <w:tc>
          <w:tcPr>
            <w:tcW w:w="5499" w:type="dxa"/>
            <w:tcBorders>
              <w:bottom w:val="single" w:sz="4" w:space="0" w:color="000000"/>
            </w:tcBorders>
            <w:vAlign w:val="bottom"/>
          </w:tcPr>
          <w:p w14:paraId="4EBE3ECA" w14:textId="77777777" w:rsidR="008E5DE4" w:rsidRDefault="00780368">
            <w:pPr>
              <w:widowControl w:val="0"/>
              <w:ind w:left="113" w:right="-57" w:hanging="113"/>
            </w:pPr>
            <w:r>
              <w:t> </w:t>
            </w:r>
          </w:p>
        </w:tc>
        <w:tc>
          <w:tcPr>
            <w:tcW w:w="851" w:type="dxa"/>
            <w:tcBorders>
              <w:bottom w:val="single" w:sz="4" w:space="0" w:color="000000"/>
            </w:tcBorders>
            <w:vAlign w:val="bottom"/>
          </w:tcPr>
          <w:p w14:paraId="737BB614"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bottom w:val="single" w:sz="4" w:space="0" w:color="000000"/>
            </w:tcBorders>
            <w:vAlign w:val="bottom"/>
          </w:tcPr>
          <w:p w14:paraId="6C051EAA"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1B765446" w14:textId="77777777" w:rsidR="008E5DE4" w:rsidRDefault="008E5DE4">
            <w:pPr>
              <w:widowControl w:val="0"/>
              <w:pBdr>
                <w:top w:val="nil"/>
                <w:left w:val="nil"/>
                <w:bottom w:val="nil"/>
                <w:right w:val="nil"/>
                <w:between w:val="nil"/>
              </w:pBdr>
              <w:jc w:val="right"/>
              <w:rPr>
                <w:color w:val="000000"/>
              </w:rPr>
            </w:pPr>
          </w:p>
        </w:tc>
      </w:tr>
      <w:tr w:rsidR="008E5DE4" w14:paraId="212FDBF9" w14:textId="77777777">
        <w:trPr>
          <w:cantSplit/>
        </w:trPr>
        <w:tc>
          <w:tcPr>
            <w:tcW w:w="5499" w:type="dxa"/>
            <w:vAlign w:val="bottom"/>
          </w:tcPr>
          <w:p w14:paraId="7E42DBF2" w14:textId="77777777" w:rsidR="008E5DE4" w:rsidRDefault="00780368">
            <w:pPr>
              <w:widowControl w:val="0"/>
              <w:pBdr>
                <w:top w:val="nil"/>
                <w:left w:val="nil"/>
                <w:bottom w:val="nil"/>
                <w:right w:val="nil"/>
                <w:between w:val="nil"/>
              </w:pBdr>
              <w:ind w:left="113" w:right="-57" w:hanging="113"/>
              <w:rPr>
                <w:i/>
                <w:color w:val="000000"/>
              </w:rPr>
            </w:pPr>
            <w:r>
              <w:rPr>
                <w:i/>
                <w:color w:val="000000"/>
              </w:rPr>
              <w:t> </w:t>
            </w:r>
          </w:p>
        </w:tc>
        <w:tc>
          <w:tcPr>
            <w:tcW w:w="851" w:type="dxa"/>
            <w:vAlign w:val="bottom"/>
          </w:tcPr>
          <w:p w14:paraId="65FCD5A9"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2F9DB34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FF26595" w14:textId="77777777" w:rsidR="008E5DE4" w:rsidRDefault="008E5DE4">
            <w:pPr>
              <w:widowControl w:val="0"/>
              <w:pBdr>
                <w:top w:val="nil"/>
                <w:left w:val="nil"/>
                <w:bottom w:val="nil"/>
                <w:right w:val="nil"/>
                <w:between w:val="nil"/>
              </w:pBdr>
              <w:jc w:val="right"/>
              <w:rPr>
                <w:color w:val="000000"/>
              </w:rPr>
            </w:pPr>
          </w:p>
        </w:tc>
      </w:tr>
      <w:tr w:rsidR="008E5DE4" w14:paraId="73010C57" w14:textId="77777777">
        <w:trPr>
          <w:cantSplit/>
        </w:trPr>
        <w:tc>
          <w:tcPr>
            <w:tcW w:w="5499" w:type="dxa"/>
            <w:vAlign w:val="bottom"/>
          </w:tcPr>
          <w:p w14:paraId="4416A6F0" w14:textId="77777777" w:rsidR="008E5DE4" w:rsidRDefault="00780368">
            <w:pPr>
              <w:widowControl w:val="0"/>
              <w:pBdr>
                <w:top w:val="nil"/>
                <w:left w:val="nil"/>
                <w:bottom w:val="nil"/>
                <w:right w:val="nil"/>
                <w:between w:val="nil"/>
              </w:pBdr>
              <w:ind w:left="113" w:right="-57" w:hanging="113"/>
              <w:rPr>
                <w:b/>
                <w:color w:val="000000"/>
              </w:rPr>
            </w:pPr>
            <w:r>
              <w:rPr>
                <w:b/>
                <w:color w:val="000000"/>
              </w:rPr>
              <w:t>Other comprehensive income/ (loss):</w:t>
            </w:r>
          </w:p>
        </w:tc>
        <w:tc>
          <w:tcPr>
            <w:tcW w:w="851" w:type="dxa"/>
            <w:vAlign w:val="bottom"/>
          </w:tcPr>
          <w:p w14:paraId="340F29F8"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44C9CE55"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0CFD7869" w14:textId="77777777" w:rsidR="008E5DE4" w:rsidRDefault="008E5DE4">
            <w:pPr>
              <w:widowControl w:val="0"/>
              <w:pBdr>
                <w:top w:val="nil"/>
                <w:left w:val="nil"/>
                <w:bottom w:val="nil"/>
                <w:right w:val="nil"/>
                <w:between w:val="nil"/>
              </w:pBdr>
              <w:jc w:val="right"/>
              <w:rPr>
                <w:b/>
                <w:color w:val="000000"/>
              </w:rPr>
            </w:pPr>
          </w:p>
        </w:tc>
      </w:tr>
      <w:tr w:rsidR="008E5DE4" w14:paraId="78718E96" w14:textId="77777777">
        <w:trPr>
          <w:cantSplit/>
        </w:trPr>
        <w:tc>
          <w:tcPr>
            <w:tcW w:w="5499" w:type="dxa"/>
            <w:vAlign w:val="bottom"/>
          </w:tcPr>
          <w:p w14:paraId="0A43484A"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vAlign w:val="bottom"/>
          </w:tcPr>
          <w:p w14:paraId="5238FAE6"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6EFE365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977EAA5" w14:textId="77777777" w:rsidR="008E5DE4" w:rsidRDefault="008E5DE4">
            <w:pPr>
              <w:widowControl w:val="0"/>
              <w:pBdr>
                <w:top w:val="nil"/>
                <w:left w:val="nil"/>
                <w:bottom w:val="nil"/>
                <w:right w:val="nil"/>
                <w:between w:val="nil"/>
              </w:pBdr>
              <w:jc w:val="right"/>
              <w:rPr>
                <w:color w:val="000000"/>
              </w:rPr>
            </w:pPr>
          </w:p>
        </w:tc>
      </w:tr>
      <w:tr w:rsidR="008E5DE4" w14:paraId="3EB2088C" w14:textId="77777777">
        <w:trPr>
          <w:cantSplit/>
        </w:trPr>
        <w:tc>
          <w:tcPr>
            <w:tcW w:w="5499" w:type="dxa"/>
            <w:vAlign w:val="bottom"/>
          </w:tcPr>
          <w:p w14:paraId="3777F7BF"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i/>
                <w:color w:val="000000"/>
              </w:rPr>
              <w:t xml:space="preserve">Items that may be reclassified subsequently to profit or loss: </w:t>
            </w:r>
          </w:p>
        </w:tc>
        <w:tc>
          <w:tcPr>
            <w:tcW w:w="851" w:type="dxa"/>
            <w:vAlign w:val="bottom"/>
          </w:tcPr>
          <w:p w14:paraId="1068198E"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04A914C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58F1F56" w14:textId="77777777" w:rsidR="008E5DE4" w:rsidRDefault="008E5DE4">
            <w:pPr>
              <w:widowControl w:val="0"/>
              <w:pBdr>
                <w:top w:val="nil"/>
                <w:left w:val="nil"/>
                <w:bottom w:val="nil"/>
                <w:right w:val="nil"/>
                <w:between w:val="nil"/>
              </w:pBdr>
              <w:jc w:val="right"/>
              <w:rPr>
                <w:color w:val="000000"/>
              </w:rPr>
            </w:pPr>
          </w:p>
        </w:tc>
      </w:tr>
      <w:tr w:rsidR="008E5DE4" w14:paraId="789EFCDF" w14:textId="77777777">
        <w:trPr>
          <w:cantSplit/>
        </w:trPr>
        <w:tc>
          <w:tcPr>
            <w:tcW w:w="5499" w:type="dxa"/>
            <w:vAlign w:val="bottom"/>
          </w:tcPr>
          <w:p w14:paraId="4EFEC8B0"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Debt securities at fair value through other comprehensive income:</w:t>
            </w:r>
          </w:p>
        </w:tc>
        <w:tc>
          <w:tcPr>
            <w:tcW w:w="851" w:type="dxa"/>
            <w:vAlign w:val="bottom"/>
          </w:tcPr>
          <w:p w14:paraId="1F65DC02"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21B60AED"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FCDE38A" w14:textId="77777777" w:rsidR="008E5DE4" w:rsidRDefault="008E5DE4">
            <w:pPr>
              <w:widowControl w:val="0"/>
              <w:pBdr>
                <w:top w:val="nil"/>
                <w:left w:val="nil"/>
                <w:bottom w:val="nil"/>
                <w:right w:val="nil"/>
                <w:between w:val="nil"/>
              </w:pBdr>
              <w:jc w:val="right"/>
              <w:rPr>
                <w:color w:val="000000"/>
              </w:rPr>
            </w:pPr>
          </w:p>
        </w:tc>
      </w:tr>
      <w:tr w:rsidR="008E5DE4" w14:paraId="6D79EC4A" w14:textId="77777777">
        <w:trPr>
          <w:cantSplit/>
        </w:trPr>
        <w:tc>
          <w:tcPr>
            <w:tcW w:w="5499" w:type="dxa"/>
            <w:vAlign w:val="bottom"/>
          </w:tcPr>
          <w:p w14:paraId="0657EBC1"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 xml:space="preserve">- </w:t>
            </w:r>
            <w:r>
              <w:rPr>
                <w:color w:val="000000"/>
              </w:rPr>
              <w:tab/>
              <w:t>Gains less losses arising during the year</w:t>
            </w:r>
          </w:p>
        </w:tc>
        <w:tc>
          <w:tcPr>
            <w:tcW w:w="851" w:type="dxa"/>
            <w:vAlign w:val="bottom"/>
          </w:tcPr>
          <w:p w14:paraId="75FBFE96"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5F62B887"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94DEC95" w14:textId="77777777" w:rsidR="008E5DE4" w:rsidRDefault="008E5DE4">
            <w:pPr>
              <w:widowControl w:val="0"/>
              <w:pBdr>
                <w:top w:val="nil"/>
                <w:left w:val="nil"/>
                <w:bottom w:val="nil"/>
                <w:right w:val="nil"/>
                <w:between w:val="nil"/>
              </w:pBdr>
              <w:jc w:val="right"/>
              <w:rPr>
                <w:color w:val="000000"/>
              </w:rPr>
            </w:pPr>
          </w:p>
        </w:tc>
      </w:tr>
      <w:tr w:rsidR="008E5DE4" w14:paraId="739083CA" w14:textId="77777777">
        <w:trPr>
          <w:cantSplit/>
        </w:trPr>
        <w:tc>
          <w:tcPr>
            <w:tcW w:w="5499" w:type="dxa"/>
            <w:vAlign w:val="bottom"/>
          </w:tcPr>
          <w:p w14:paraId="796ABCC1"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xml:space="preserve">- </w:t>
            </w:r>
            <w:r>
              <w:rPr>
                <w:color w:val="000000"/>
              </w:rPr>
              <w:tab/>
              <w:t>Gains less losses reclassified to profit or loss upon disposal</w:t>
            </w:r>
          </w:p>
        </w:tc>
        <w:tc>
          <w:tcPr>
            <w:tcW w:w="851" w:type="dxa"/>
            <w:vAlign w:val="bottom"/>
          </w:tcPr>
          <w:p w14:paraId="0ED82B48"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160123A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4C2785E" w14:textId="77777777" w:rsidR="008E5DE4" w:rsidRDefault="008E5DE4">
            <w:pPr>
              <w:widowControl w:val="0"/>
              <w:pBdr>
                <w:top w:val="nil"/>
                <w:left w:val="nil"/>
                <w:bottom w:val="nil"/>
                <w:right w:val="nil"/>
                <w:between w:val="nil"/>
              </w:pBdr>
              <w:jc w:val="right"/>
              <w:rPr>
                <w:color w:val="000000"/>
              </w:rPr>
            </w:pPr>
          </w:p>
        </w:tc>
      </w:tr>
      <w:tr w:rsidR="008E5DE4" w14:paraId="5937A3DF" w14:textId="77777777">
        <w:trPr>
          <w:cantSplit/>
        </w:trPr>
        <w:tc>
          <w:tcPr>
            <w:tcW w:w="5499" w:type="dxa"/>
            <w:vAlign w:val="bottom"/>
          </w:tcPr>
          <w:p w14:paraId="0A1CCDD4"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Translation of financial information of foreign operations to presentation currency</w:t>
            </w:r>
          </w:p>
        </w:tc>
        <w:tc>
          <w:tcPr>
            <w:tcW w:w="851" w:type="dxa"/>
            <w:vAlign w:val="bottom"/>
          </w:tcPr>
          <w:p w14:paraId="0E10F1CB"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3B18BFEE"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F87D65E" w14:textId="77777777" w:rsidR="008E5DE4" w:rsidRDefault="008E5DE4">
            <w:pPr>
              <w:widowControl w:val="0"/>
              <w:pBdr>
                <w:top w:val="nil"/>
                <w:left w:val="nil"/>
                <w:bottom w:val="nil"/>
                <w:right w:val="nil"/>
                <w:between w:val="nil"/>
              </w:pBdr>
              <w:jc w:val="right"/>
              <w:rPr>
                <w:color w:val="000000"/>
              </w:rPr>
            </w:pPr>
          </w:p>
        </w:tc>
      </w:tr>
      <w:tr w:rsidR="008E5DE4" w14:paraId="2AB68BDC" w14:textId="77777777">
        <w:trPr>
          <w:cantSplit/>
        </w:trPr>
        <w:tc>
          <w:tcPr>
            <w:tcW w:w="5499" w:type="dxa"/>
            <w:vAlign w:val="bottom"/>
          </w:tcPr>
          <w:p w14:paraId="4696860A"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Share of other comprehensive income of associates and joint ventures</w:t>
            </w:r>
          </w:p>
        </w:tc>
        <w:tc>
          <w:tcPr>
            <w:tcW w:w="851" w:type="dxa"/>
            <w:vAlign w:val="bottom"/>
          </w:tcPr>
          <w:p w14:paraId="17A11A48"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1A79FE2C"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518926F" w14:textId="77777777" w:rsidR="008E5DE4" w:rsidRDefault="008E5DE4">
            <w:pPr>
              <w:widowControl w:val="0"/>
              <w:pBdr>
                <w:top w:val="nil"/>
                <w:left w:val="nil"/>
                <w:bottom w:val="nil"/>
                <w:right w:val="nil"/>
                <w:between w:val="nil"/>
              </w:pBdr>
              <w:jc w:val="right"/>
              <w:rPr>
                <w:color w:val="000000"/>
              </w:rPr>
            </w:pPr>
          </w:p>
        </w:tc>
      </w:tr>
      <w:tr w:rsidR="008E5DE4" w14:paraId="4BC4DEC7" w14:textId="77777777">
        <w:trPr>
          <w:cantSplit/>
        </w:trPr>
        <w:tc>
          <w:tcPr>
            <w:tcW w:w="5499" w:type="dxa"/>
            <w:vAlign w:val="bottom"/>
          </w:tcPr>
          <w:p w14:paraId="3820411A"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Income tax recorded directly in other comprehensive income</w:t>
            </w:r>
          </w:p>
        </w:tc>
        <w:tc>
          <w:tcPr>
            <w:tcW w:w="851" w:type="dxa"/>
            <w:vAlign w:val="bottom"/>
          </w:tcPr>
          <w:p w14:paraId="486E558A"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4BD479D5"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3152AD08" w14:textId="77777777" w:rsidR="008E5DE4" w:rsidRDefault="008E5DE4">
            <w:pPr>
              <w:widowControl w:val="0"/>
              <w:pBdr>
                <w:top w:val="nil"/>
                <w:left w:val="nil"/>
                <w:bottom w:val="nil"/>
                <w:right w:val="nil"/>
                <w:between w:val="nil"/>
              </w:pBdr>
              <w:jc w:val="right"/>
              <w:rPr>
                <w:color w:val="000000"/>
              </w:rPr>
            </w:pPr>
          </w:p>
        </w:tc>
      </w:tr>
      <w:tr w:rsidR="008E5DE4" w14:paraId="75089C87" w14:textId="77777777">
        <w:trPr>
          <w:cantSplit/>
        </w:trPr>
        <w:tc>
          <w:tcPr>
            <w:tcW w:w="5499" w:type="dxa"/>
            <w:vAlign w:val="bottom"/>
          </w:tcPr>
          <w:p w14:paraId="5AA34E16" w14:textId="77777777" w:rsidR="008E5DE4" w:rsidRDefault="008E5DE4">
            <w:pPr>
              <w:widowControl w:val="0"/>
              <w:pBdr>
                <w:top w:val="nil"/>
                <w:left w:val="nil"/>
                <w:bottom w:val="nil"/>
                <w:right w:val="nil"/>
                <w:between w:val="nil"/>
              </w:pBdr>
              <w:tabs>
                <w:tab w:val="right" w:pos="8782"/>
              </w:tabs>
              <w:ind w:left="113" w:right="-57" w:hanging="113"/>
              <w:rPr>
                <w:color w:val="000000"/>
              </w:rPr>
            </w:pPr>
          </w:p>
        </w:tc>
        <w:tc>
          <w:tcPr>
            <w:tcW w:w="851" w:type="dxa"/>
            <w:vAlign w:val="bottom"/>
          </w:tcPr>
          <w:p w14:paraId="45F77B02"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4236CD79"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B757B50" w14:textId="77777777" w:rsidR="008E5DE4" w:rsidRDefault="008E5DE4">
            <w:pPr>
              <w:widowControl w:val="0"/>
              <w:pBdr>
                <w:top w:val="nil"/>
                <w:left w:val="nil"/>
                <w:bottom w:val="nil"/>
                <w:right w:val="nil"/>
                <w:between w:val="nil"/>
              </w:pBdr>
              <w:jc w:val="right"/>
              <w:rPr>
                <w:color w:val="000000"/>
              </w:rPr>
            </w:pPr>
          </w:p>
        </w:tc>
      </w:tr>
      <w:tr w:rsidR="008E5DE4" w14:paraId="0B3A7D9C" w14:textId="77777777">
        <w:trPr>
          <w:cantSplit/>
        </w:trPr>
        <w:tc>
          <w:tcPr>
            <w:tcW w:w="5499" w:type="dxa"/>
            <w:vAlign w:val="bottom"/>
          </w:tcPr>
          <w:p w14:paraId="6669D988" w14:textId="77777777" w:rsidR="008E5DE4" w:rsidRDefault="00780368">
            <w:pPr>
              <w:widowControl w:val="0"/>
              <w:pBdr>
                <w:top w:val="nil"/>
                <w:left w:val="nil"/>
                <w:bottom w:val="nil"/>
                <w:right w:val="nil"/>
                <w:between w:val="nil"/>
              </w:pBdr>
              <w:tabs>
                <w:tab w:val="right" w:pos="8782"/>
              </w:tabs>
              <w:ind w:left="113" w:right="-57" w:hanging="113"/>
              <w:rPr>
                <w:i/>
                <w:color w:val="000000"/>
              </w:rPr>
            </w:pPr>
            <w:r>
              <w:rPr>
                <w:i/>
                <w:color w:val="000000"/>
              </w:rPr>
              <w:t>Items that will not be reclassified to profit or loss:</w:t>
            </w:r>
          </w:p>
        </w:tc>
        <w:tc>
          <w:tcPr>
            <w:tcW w:w="851" w:type="dxa"/>
            <w:vAlign w:val="bottom"/>
          </w:tcPr>
          <w:p w14:paraId="05CB253B" w14:textId="77777777" w:rsidR="008E5DE4" w:rsidRDefault="008E5DE4">
            <w:pPr>
              <w:widowControl w:val="0"/>
              <w:pBdr>
                <w:top w:val="nil"/>
                <w:left w:val="nil"/>
                <w:bottom w:val="nil"/>
                <w:right w:val="nil"/>
                <w:between w:val="nil"/>
              </w:pBdr>
              <w:ind w:left="-57" w:right="-57"/>
              <w:jc w:val="center"/>
              <w:rPr>
                <w:i/>
                <w:smallCaps/>
                <w:color w:val="000000"/>
              </w:rPr>
            </w:pPr>
          </w:p>
        </w:tc>
        <w:tc>
          <w:tcPr>
            <w:tcW w:w="1531" w:type="dxa"/>
            <w:vAlign w:val="bottom"/>
          </w:tcPr>
          <w:p w14:paraId="5D5FEE59" w14:textId="77777777" w:rsidR="008E5DE4" w:rsidRDefault="008E5DE4">
            <w:pPr>
              <w:widowControl w:val="0"/>
              <w:pBdr>
                <w:top w:val="nil"/>
                <w:left w:val="nil"/>
                <w:bottom w:val="nil"/>
                <w:right w:val="nil"/>
                <w:between w:val="nil"/>
              </w:pBdr>
              <w:jc w:val="right"/>
              <w:rPr>
                <w:i/>
                <w:color w:val="000000"/>
              </w:rPr>
            </w:pPr>
          </w:p>
        </w:tc>
        <w:tc>
          <w:tcPr>
            <w:tcW w:w="1531" w:type="dxa"/>
            <w:vAlign w:val="bottom"/>
          </w:tcPr>
          <w:p w14:paraId="4447A2B9" w14:textId="77777777" w:rsidR="008E5DE4" w:rsidRDefault="008E5DE4">
            <w:pPr>
              <w:widowControl w:val="0"/>
              <w:pBdr>
                <w:top w:val="nil"/>
                <w:left w:val="nil"/>
                <w:bottom w:val="nil"/>
                <w:right w:val="nil"/>
                <w:between w:val="nil"/>
              </w:pBdr>
              <w:jc w:val="right"/>
              <w:rPr>
                <w:i/>
                <w:color w:val="000000"/>
              </w:rPr>
            </w:pPr>
          </w:p>
        </w:tc>
      </w:tr>
      <w:tr w:rsidR="008E5DE4" w14:paraId="54F77B70" w14:textId="77777777">
        <w:trPr>
          <w:cantSplit/>
        </w:trPr>
        <w:tc>
          <w:tcPr>
            <w:tcW w:w="5499" w:type="dxa"/>
            <w:vAlign w:val="bottom"/>
          </w:tcPr>
          <w:p w14:paraId="5DF17A73"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Revaluation of property, plant and equipment</w:t>
            </w:r>
          </w:p>
        </w:tc>
        <w:tc>
          <w:tcPr>
            <w:tcW w:w="851" w:type="dxa"/>
            <w:vAlign w:val="bottom"/>
          </w:tcPr>
          <w:p w14:paraId="13F37123"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7D47F9A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D41160B" w14:textId="77777777" w:rsidR="008E5DE4" w:rsidRDefault="008E5DE4">
            <w:pPr>
              <w:widowControl w:val="0"/>
              <w:pBdr>
                <w:top w:val="nil"/>
                <w:left w:val="nil"/>
                <w:bottom w:val="nil"/>
                <w:right w:val="nil"/>
                <w:between w:val="nil"/>
              </w:pBdr>
              <w:jc w:val="right"/>
              <w:rPr>
                <w:color w:val="000000"/>
              </w:rPr>
            </w:pPr>
          </w:p>
        </w:tc>
      </w:tr>
      <w:tr w:rsidR="008E5DE4" w14:paraId="17903F1E" w14:textId="77777777">
        <w:trPr>
          <w:cantSplit/>
        </w:trPr>
        <w:tc>
          <w:tcPr>
            <w:tcW w:w="5499" w:type="dxa"/>
            <w:vAlign w:val="bottom"/>
          </w:tcPr>
          <w:p w14:paraId="3547508E"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 xml:space="preserve">Gains less losses on instruments in equity securities at fair value through other comprehensive income </w:t>
            </w:r>
          </w:p>
        </w:tc>
        <w:tc>
          <w:tcPr>
            <w:tcW w:w="851" w:type="dxa"/>
            <w:vAlign w:val="bottom"/>
          </w:tcPr>
          <w:p w14:paraId="0BEA1B66"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2F29DA4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73A83899" w14:textId="77777777" w:rsidR="008E5DE4" w:rsidRDefault="008E5DE4">
            <w:pPr>
              <w:widowControl w:val="0"/>
              <w:pBdr>
                <w:top w:val="nil"/>
                <w:left w:val="nil"/>
                <w:bottom w:val="nil"/>
                <w:right w:val="nil"/>
                <w:between w:val="nil"/>
              </w:pBdr>
              <w:jc w:val="right"/>
              <w:rPr>
                <w:color w:val="000000"/>
              </w:rPr>
            </w:pPr>
          </w:p>
        </w:tc>
      </w:tr>
      <w:tr w:rsidR="008E5DE4" w14:paraId="7A7EA3A6" w14:textId="77777777">
        <w:trPr>
          <w:cantSplit/>
        </w:trPr>
        <w:tc>
          <w:tcPr>
            <w:tcW w:w="5499" w:type="dxa"/>
            <w:vAlign w:val="bottom"/>
          </w:tcPr>
          <w:p w14:paraId="13D22D5B"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Change in fair value attributable to change in the credit risk of financial liabilities designated at fair value through profit or loss</w:t>
            </w:r>
          </w:p>
        </w:tc>
        <w:tc>
          <w:tcPr>
            <w:tcW w:w="851" w:type="dxa"/>
            <w:vAlign w:val="bottom"/>
          </w:tcPr>
          <w:p w14:paraId="0122AC2B"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2A339243"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77EE75D" w14:textId="77777777" w:rsidR="008E5DE4" w:rsidRDefault="008E5DE4">
            <w:pPr>
              <w:widowControl w:val="0"/>
              <w:pBdr>
                <w:top w:val="nil"/>
                <w:left w:val="nil"/>
                <w:bottom w:val="nil"/>
                <w:right w:val="nil"/>
                <w:between w:val="nil"/>
              </w:pBdr>
              <w:jc w:val="right"/>
              <w:rPr>
                <w:color w:val="000000"/>
              </w:rPr>
            </w:pPr>
          </w:p>
        </w:tc>
      </w:tr>
      <w:tr w:rsidR="008E5DE4" w14:paraId="693AA2FF" w14:textId="77777777">
        <w:trPr>
          <w:cantSplit/>
        </w:trPr>
        <w:tc>
          <w:tcPr>
            <w:tcW w:w="5499" w:type="dxa"/>
            <w:vAlign w:val="bottom"/>
          </w:tcPr>
          <w:p w14:paraId="67591D16"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Remeasurements of post-employment benefit obligations</w:t>
            </w:r>
          </w:p>
        </w:tc>
        <w:tc>
          <w:tcPr>
            <w:tcW w:w="851" w:type="dxa"/>
            <w:vAlign w:val="bottom"/>
          </w:tcPr>
          <w:p w14:paraId="60BDCE4D"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6CA03CB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5A46CD30" w14:textId="77777777" w:rsidR="008E5DE4" w:rsidRDefault="008E5DE4">
            <w:pPr>
              <w:widowControl w:val="0"/>
              <w:pBdr>
                <w:top w:val="nil"/>
                <w:left w:val="nil"/>
                <w:bottom w:val="nil"/>
                <w:right w:val="nil"/>
                <w:between w:val="nil"/>
              </w:pBdr>
              <w:jc w:val="right"/>
              <w:rPr>
                <w:color w:val="000000"/>
              </w:rPr>
            </w:pPr>
          </w:p>
        </w:tc>
      </w:tr>
      <w:tr w:rsidR="008E5DE4" w14:paraId="24B5B661" w14:textId="77777777">
        <w:trPr>
          <w:cantSplit/>
        </w:trPr>
        <w:tc>
          <w:tcPr>
            <w:tcW w:w="5499" w:type="dxa"/>
            <w:vAlign w:val="bottom"/>
          </w:tcPr>
          <w:p w14:paraId="098BF472" w14:textId="77777777" w:rsidR="008E5DE4" w:rsidRDefault="00780368">
            <w:pPr>
              <w:widowControl w:val="0"/>
              <w:pBdr>
                <w:top w:val="nil"/>
                <w:left w:val="nil"/>
                <w:bottom w:val="nil"/>
                <w:right w:val="nil"/>
                <w:between w:val="nil"/>
              </w:pBdr>
              <w:tabs>
                <w:tab w:val="right" w:pos="8782"/>
              </w:tabs>
              <w:ind w:left="113" w:right="-57" w:hanging="113"/>
              <w:rPr>
                <w:b/>
                <w:color w:val="000000"/>
              </w:rPr>
            </w:pPr>
            <w:r>
              <w:rPr>
                <w:color w:val="000000"/>
              </w:rPr>
              <w:t>Share of other comprehensive income of associates and joint ventures</w:t>
            </w:r>
          </w:p>
        </w:tc>
        <w:tc>
          <w:tcPr>
            <w:tcW w:w="851" w:type="dxa"/>
            <w:vAlign w:val="bottom"/>
          </w:tcPr>
          <w:p w14:paraId="592D6ACA"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3E66BC1F"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064BCAF4" w14:textId="77777777" w:rsidR="008E5DE4" w:rsidRDefault="008E5DE4">
            <w:pPr>
              <w:widowControl w:val="0"/>
              <w:pBdr>
                <w:top w:val="nil"/>
                <w:left w:val="nil"/>
                <w:bottom w:val="nil"/>
                <w:right w:val="nil"/>
                <w:between w:val="nil"/>
              </w:pBdr>
              <w:jc w:val="right"/>
              <w:rPr>
                <w:color w:val="000000"/>
              </w:rPr>
            </w:pPr>
          </w:p>
        </w:tc>
      </w:tr>
      <w:tr w:rsidR="008E5DE4" w14:paraId="24977D7A" w14:textId="77777777">
        <w:trPr>
          <w:cantSplit/>
        </w:trPr>
        <w:tc>
          <w:tcPr>
            <w:tcW w:w="5499" w:type="dxa"/>
            <w:vAlign w:val="bottom"/>
          </w:tcPr>
          <w:p w14:paraId="6A226281" w14:textId="77777777" w:rsidR="008E5DE4" w:rsidRDefault="00780368">
            <w:pPr>
              <w:widowControl w:val="0"/>
              <w:pBdr>
                <w:top w:val="nil"/>
                <w:left w:val="nil"/>
                <w:bottom w:val="nil"/>
                <w:right w:val="nil"/>
                <w:between w:val="nil"/>
              </w:pBdr>
              <w:tabs>
                <w:tab w:val="right" w:pos="8782"/>
              </w:tabs>
              <w:ind w:left="113" w:right="-57" w:hanging="113"/>
              <w:rPr>
                <w:color w:val="000000"/>
              </w:rPr>
            </w:pPr>
            <w:r>
              <w:rPr>
                <w:color w:val="000000"/>
              </w:rPr>
              <w:t>Income tax recorded directly in other comprehensive income</w:t>
            </w:r>
          </w:p>
        </w:tc>
        <w:tc>
          <w:tcPr>
            <w:tcW w:w="851" w:type="dxa"/>
            <w:vAlign w:val="bottom"/>
          </w:tcPr>
          <w:p w14:paraId="4429E2B4"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15EAE63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6F8D8E42" w14:textId="77777777" w:rsidR="008E5DE4" w:rsidRDefault="008E5DE4">
            <w:pPr>
              <w:widowControl w:val="0"/>
              <w:pBdr>
                <w:top w:val="nil"/>
                <w:left w:val="nil"/>
                <w:bottom w:val="nil"/>
                <w:right w:val="nil"/>
                <w:between w:val="nil"/>
              </w:pBdr>
              <w:jc w:val="right"/>
              <w:rPr>
                <w:color w:val="000000"/>
              </w:rPr>
            </w:pPr>
          </w:p>
        </w:tc>
      </w:tr>
      <w:tr w:rsidR="008E5DE4" w14:paraId="2CCA30D8" w14:textId="77777777">
        <w:trPr>
          <w:cantSplit/>
        </w:trPr>
        <w:tc>
          <w:tcPr>
            <w:tcW w:w="5499" w:type="dxa"/>
            <w:tcBorders>
              <w:bottom w:val="single" w:sz="4" w:space="0" w:color="000000"/>
            </w:tcBorders>
            <w:vAlign w:val="bottom"/>
          </w:tcPr>
          <w:p w14:paraId="62B582C4"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4" w:space="0" w:color="000000"/>
            </w:tcBorders>
            <w:vAlign w:val="bottom"/>
          </w:tcPr>
          <w:p w14:paraId="6866840C"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tcBorders>
              <w:bottom w:val="single" w:sz="4" w:space="0" w:color="000000"/>
            </w:tcBorders>
            <w:vAlign w:val="bottom"/>
          </w:tcPr>
          <w:p w14:paraId="3FE4C150"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45D8E4B1" w14:textId="77777777" w:rsidR="008E5DE4" w:rsidRDefault="008E5DE4">
            <w:pPr>
              <w:widowControl w:val="0"/>
              <w:pBdr>
                <w:top w:val="nil"/>
                <w:left w:val="nil"/>
                <w:bottom w:val="nil"/>
                <w:right w:val="nil"/>
                <w:between w:val="nil"/>
              </w:pBdr>
              <w:jc w:val="right"/>
              <w:rPr>
                <w:color w:val="000000"/>
              </w:rPr>
            </w:pPr>
          </w:p>
        </w:tc>
      </w:tr>
      <w:tr w:rsidR="008E5DE4" w14:paraId="75BD2A72" w14:textId="77777777">
        <w:trPr>
          <w:cantSplit/>
        </w:trPr>
        <w:tc>
          <w:tcPr>
            <w:tcW w:w="5499" w:type="dxa"/>
            <w:tcBorders>
              <w:top w:val="single" w:sz="4" w:space="0" w:color="000000"/>
            </w:tcBorders>
            <w:vAlign w:val="bottom"/>
          </w:tcPr>
          <w:p w14:paraId="63C0A070"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top w:val="single" w:sz="4" w:space="0" w:color="000000"/>
            </w:tcBorders>
            <w:vAlign w:val="bottom"/>
          </w:tcPr>
          <w:p w14:paraId="6FD7DDF3"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top w:val="single" w:sz="4" w:space="0" w:color="000000"/>
            </w:tcBorders>
            <w:vAlign w:val="bottom"/>
          </w:tcPr>
          <w:p w14:paraId="476A9762"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5F3E57DA" w14:textId="77777777" w:rsidR="008E5DE4" w:rsidRDefault="008E5DE4">
            <w:pPr>
              <w:widowControl w:val="0"/>
              <w:pBdr>
                <w:top w:val="nil"/>
                <w:left w:val="nil"/>
                <w:bottom w:val="nil"/>
                <w:right w:val="nil"/>
                <w:between w:val="nil"/>
              </w:pBdr>
              <w:jc w:val="right"/>
              <w:rPr>
                <w:color w:val="000000"/>
              </w:rPr>
            </w:pPr>
          </w:p>
        </w:tc>
      </w:tr>
      <w:tr w:rsidR="008E5DE4" w14:paraId="1130476E" w14:textId="77777777">
        <w:trPr>
          <w:cantSplit/>
        </w:trPr>
        <w:tc>
          <w:tcPr>
            <w:tcW w:w="5499" w:type="dxa"/>
            <w:vAlign w:val="bottom"/>
          </w:tcPr>
          <w:p w14:paraId="751258F6" w14:textId="77777777" w:rsidR="008E5DE4" w:rsidRDefault="00780368">
            <w:pPr>
              <w:widowControl w:val="0"/>
              <w:pBdr>
                <w:top w:val="nil"/>
                <w:left w:val="nil"/>
                <w:bottom w:val="nil"/>
                <w:right w:val="nil"/>
                <w:between w:val="nil"/>
              </w:pBdr>
              <w:ind w:left="113" w:right="-57" w:hanging="113"/>
              <w:rPr>
                <w:b/>
                <w:color w:val="000000"/>
              </w:rPr>
            </w:pPr>
            <w:r>
              <w:rPr>
                <w:b/>
                <w:color w:val="000000"/>
              </w:rPr>
              <w:t>Other comprehensive income / (loss) for the year</w:t>
            </w:r>
          </w:p>
        </w:tc>
        <w:tc>
          <w:tcPr>
            <w:tcW w:w="851" w:type="dxa"/>
            <w:vAlign w:val="bottom"/>
          </w:tcPr>
          <w:p w14:paraId="5BEBD7D1"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vAlign w:val="bottom"/>
          </w:tcPr>
          <w:p w14:paraId="01C34FE9"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3CDD4F19" w14:textId="77777777" w:rsidR="008E5DE4" w:rsidRDefault="008E5DE4">
            <w:pPr>
              <w:widowControl w:val="0"/>
              <w:pBdr>
                <w:top w:val="nil"/>
                <w:left w:val="nil"/>
                <w:bottom w:val="nil"/>
                <w:right w:val="nil"/>
                <w:between w:val="nil"/>
              </w:pBdr>
              <w:jc w:val="right"/>
              <w:rPr>
                <w:b/>
                <w:color w:val="000000"/>
              </w:rPr>
            </w:pPr>
          </w:p>
        </w:tc>
      </w:tr>
      <w:tr w:rsidR="008E5DE4" w14:paraId="40262662" w14:textId="77777777">
        <w:trPr>
          <w:cantSplit/>
        </w:trPr>
        <w:tc>
          <w:tcPr>
            <w:tcW w:w="5499" w:type="dxa"/>
            <w:tcBorders>
              <w:bottom w:val="single" w:sz="4" w:space="0" w:color="000000"/>
            </w:tcBorders>
            <w:vAlign w:val="bottom"/>
          </w:tcPr>
          <w:p w14:paraId="04310D2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4" w:space="0" w:color="000000"/>
            </w:tcBorders>
            <w:vAlign w:val="bottom"/>
          </w:tcPr>
          <w:p w14:paraId="68D30C07"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bottom w:val="single" w:sz="4" w:space="0" w:color="000000"/>
            </w:tcBorders>
            <w:vAlign w:val="bottom"/>
          </w:tcPr>
          <w:p w14:paraId="0381477B"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4" w:space="0" w:color="000000"/>
            </w:tcBorders>
            <w:vAlign w:val="bottom"/>
          </w:tcPr>
          <w:p w14:paraId="119FF27B" w14:textId="77777777" w:rsidR="008E5DE4" w:rsidRDefault="008E5DE4">
            <w:pPr>
              <w:widowControl w:val="0"/>
              <w:pBdr>
                <w:top w:val="nil"/>
                <w:left w:val="nil"/>
                <w:bottom w:val="nil"/>
                <w:right w:val="nil"/>
                <w:between w:val="nil"/>
              </w:pBdr>
              <w:jc w:val="right"/>
              <w:rPr>
                <w:color w:val="000000"/>
              </w:rPr>
            </w:pPr>
          </w:p>
        </w:tc>
      </w:tr>
      <w:tr w:rsidR="008E5DE4" w14:paraId="5A368BF5" w14:textId="77777777">
        <w:trPr>
          <w:cantSplit/>
        </w:trPr>
        <w:tc>
          <w:tcPr>
            <w:tcW w:w="5499" w:type="dxa"/>
            <w:tcBorders>
              <w:top w:val="single" w:sz="4" w:space="0" w:color="000000"/>
            </w:tcBorders>
            <w:vAlign w:val="bottom"/>
          </w:tcPr>
          <w:p w14:paraId="129B654E"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top w:val="single" w:sz="4" w:space="0" w:color="000000"/>
            </w:tcBorders>
            <w:vAlign w:val="bottom"/>
          </w:tcPr>
          <w:p w14:paraId="6E8A23CB" w14:textId="77777777" w:rsidR="008E5DE4" w:rsidRDefault="008E5DE4">
            <w:pPr>
              <w:widowControl w:val="0"/>
              <w:pBdr>
                <w:top w:val="nil"/>
                <w:left w:val="nil"/>
                <w:bottom w:val="nil"/>
                <w:right w:val="nil"/>
                <w:between w:val="nil"/>
              </w:pBdr>
              <w:ind w:left="-57" w:right="-57"/>
              <w:jc w:val="center"/>
              <w:rPr>
                <w:b/>
                <w:smallCaps/>
                <w:color w:val="000000"/>
              </w:rPr>
            </w:pPr>
          </w:p>
        </w:tc>
        <w:tc>
          <w:tcPr>
            <w:tcW w:w="1531" w:type="dxa"/>
            <w:tcBorders>
              <w:top w:val="single" w:sz="4" w:space="0" w:color="000000"/>
            </w:tcBorders>
            <w:vAlign w:val="bottom"/>
          </w:tcPr>
          <w:p w14:paraId="448C275F"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4" w:space="0" w:color="000000"/>
            </w:tcBorders>
            <w:vAlign w:val="bottom"/>
          </w:tcPr>
          <w:p w14:paraId="4FCF2E78" w14:textId="77777777" w:rsidR="008E5DE4" w:rsidRDefault="008E5DE4">
            <w:pPr>
              <w:widowControl w:val="0"/>
              <w:pBdr>
                <w:top w:val="nil"/>
                <w:left w:val="nil"/>
                <w:bottom w:val="nil"/>
                <w:right w:val="nil"/>
                <w:between w:val="nil"/>
              </w:pBdr>
              <w:jc w:val="right"/>
              <w:rPr>
                <w:color w:val="000000"/>
              </w:rPr>
            </w:pPr>
          </w:p>
        </w:tc>
      </w:tr>
      <w:tr w:rsidR="008E5DE4" w14:paraId="5F7E6342" w14:textId="77777777">
        <w:trPr>
          <w:cantSplit/>
        </w:trPr>
        <w:tc>
          <w:tcPr>
            <w:tcW w:w="5499" w:type="dxa"/>
            <w:vAlign w:val="bottom"/>
          </w:tcPr>
          <w:p w14:paraId="79A41216" w14:textId="77777777" w:rsidR="008E5DE4" w:rsidRDefault="00780368">
            <w:pPr>
              <w:widowControl w:val="0"/>
              <w:pBdr>
                <w:top w:val="nil"/>
                <w:left w:val="nil"/>
                <w:bottom w:val="nil"/>
                <w:right w:val="nil"/>
                <w:between w:val="nil"/>
              </w:pBdr>
              <w:ind w:left="113" w:right="-57" w:hanging="113"/>
              <w:rPr>
                <w:b/>
                <w:color w:val="000000"/>
              </w:rPr>
            </w:pPr>
            <w:r>
              <w:rPr>
                <w:b/>
                <w:color w:val="000000"/>
              </w:rPr>
              <w:t>Total comprehensive income / (loss) for the year</w:t>
            </w:r>
          </w:p>
        </w:tc>
        <w:tc>
          <w:tcPr>
            <w:tcW w:w="851" w:type="dxa"/>
            <w:vAlign w:val="bottom"/>
          </w:tcPr>
          <w:p w14:paraId="2656DF43" w14:textId="77777777" w:rsidR="008E5DE4" w:rsidRDefault="008E5DE4">
            <w:pPr>
              <w:widowControl w:val="0"/>
              <w:pBdr>
                <w:top w:val="nil"/>
                <w:left w:val="nil"/>
                <w:bottom w:val="nil"/>
                <w:right w:val="nil"/>
                <w:between w:val="nil"/>
              </w:pBdr>
              <w:ind w:left="-57" w:right="-57"/>
              <w:jc w:val="center"/>
              <w:rPr>
                <w:b/>
                <w:color w:val="000000"/>
              </w:rPr>
            </w:pPr>
          </w:p>
        </w:tc>
        <w:tc>
          <w:tcPr>
            <w:tcW w:w="1531" w:type="dxa"/>
            <w:vAlign w:val="bottom"/>
          </w:tcPr>
          <w:p w14:paraId="6DBFDE2F" w14:textId="77777777" w:rsidR="008E5DE4" w:rsidRDefault="008E5DE4">
            <w:pPr>
              <w:widowControl w:val="0"/>
              <w:pBdr>
                <w:top w:val="nil"/>
                <w:left w:val="nil"/>
                <w:bottom w:val="nil"/>
                <w:right w:val="nil"/>
                <w:between w:val="nil"/>
              </w:pBdr>
              <w:jc w:val="right"/>
              <w:rPr>
                <w:b/>
                <w:color w:val="000000"/>
              </w:rPr>
            </w:pPr>
          </w:p>
        </w:tc>
        <w:tc>
          <w:tcPr>
            <w:tcW w:w="1531" w:type="dxa"/>
            <w:vAlign w:val="bottom"/>
          </w:tcPr>
          <w:p w14:paraId="74BBB0E6" w14:textId="77777777" w:rsidR="008E5DE4" w:rsidRDefault="008E5DE4">
            <w:pPr>
              <w:widowControl w:val="0"/>
              <w:pBdr>
                <w:top w:val="nil"/>
                <w:left w:val="nil"/>
                <w:bottom w:val="nil"/>
                <w:right w:val="nil"/>
                <w:between w:val="nil"/>
              </w:pBdr>
              <w:jc w:val="right"/>
              <w:rPr>
                <w:b/>
                <w:color w:val="000000"/>
              </w:rPr>
            </w:pPr>
          </w:p>
        </w:tc>
      </w:tr>
      <w:tr w:rsidR="008E5DE4" w14:paraId="701C8475" w14:textId="77777777">
        <w:trPr>
          <w:cantSplit/>
        </w:trPr>
        <w:tc>
          <w:tcPr>
            <w:tcW w:w="5499" w:type="dxa"/>
            <w:tcBorders>
              <w:bottom w:val="single" w:sz="12" w:space="0" w:color="000000"/>
            </w:tcBorders>
            <w:vAlign w:val="bottom"/>
          </w:tcPr>
          <w:p w14:paraId="0EB2D6FC" w14:textId="77777777" w:rsidR="008E5DE4" w:rsidRDefault="00780368">
            <w:pPr>
              <w:widowControl w:val="0"/>
              <w:pBdr>
                <w:top w:val="nil"/>
                <w:left w:val="nil"/>
                <w:bottom w:val="nil"/>
                <w:right w:val="nil"/>
                <w:between w:val="nil"/>
              </w:pBdr>
              <w:ind w:left="113" w:right="-57" w:hanging="113"/>
              <w:rPr>
                <w:color w:val="000000"/>
              </w:rPr>
            </w:pPr>
            <w:r>
              <w:rPr>
                <w:color w:val="000000"/>
              </w:rPr>
              <w:t> </w:t>
            </w:r>
          </w:p>
        </w:tc>
        <w:tc>
          <w:tcPr>
            <w:tcW w:w="851" w:type="dxa"/>
            <w:tcBorders>
              <w:bottom w:val="single" w:sz="12" w:space="0" w:color="000000"/>
            </w:tcBorders>
            <w:vAlign w:val="bottom"/>
          </w:tcPr>
          <w:p w14:paraId="7DEE4C9F"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39FE701D"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711FE837" w14:textId="77777777" w:rsidR="008E5DE4" w:rsidRDefault="008E5DE4">
            <w:pPr>
              <w:widowControl w:val="0"/>
              <w:pBdr>
                <w:top w:val="nil"/>
                <w:left w:val="nil"/>
                <w:bottom w:val="nil"/>
                <w:right w:val="nil"/>
                <w:between w:val="nil"/>
              </w:pBdr>
              <w:jc w:val="right"/>
              <w:rPr>
                <w:color w:val="000000"/>
              </w:rPr>
            </w:pPr>
          </w:p>
        </w:tc>
      </w:tr>
      <w:tr w:rsidR="008E5DE4" w14:paraId="3F5CFFDF" w14:textId="77777777">
        <w:trPr>
          <w:cantSplit/>
        </w:trPr>
        <w:tc>
          <w:tcPr>
            <w:tcW w:w="5499" w:type="dxa"/>
            <w:tcBorders>
              <w:top w:val="single" w:sz="12" w:space="0" w:color="000000"/>
            </w:tcBorders>
            <w:vAlign w:val="bottom"/>
          </w:tcPr>
          <w:p w14:paraId="11126DB9" w14:textId="77777777" w:rsidR="008E5DE4" w:rsidRDefault="00780368">
            <w:pPr>
              <w:widowControl w:val="0"/>
              <w:pBdr>
                <w:top w:val="nil"/>
                <w:left w:val="nil"/>
                <w:bottom w:val="nil"/>
                <w:right w:val="nil"/>
                <w:between w:val="nil"/>
              </w:pBdr>
              <w:ind w:left="113" w:right="-57" w:hanging="113"/>
              <w:rPr>
                <w:i/>
                <w:color w:val="000000"/>
              </w:rPr>
            </w:pPr>
            <w:r>
              <w:rPr>
                <w:color w:val="000000"/>
              </w:rPr>
              <w:t> </w:t>
            </w:r>
          </w:p>
        </w:tc>
        <w:tc>
          <w:tcPr>
            <w:tcW w:w="851" w:type="dxa"/>
            <w:tcBorders>
              <w:top w:val="single" w:sz="12" w:space="0" w:color="000000"/>
            </w:tcBorders>
            <w:vAlign w:val="bottom"/>
          </w:tcPr>
          <w:p w14:paraId="0B08175F"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top w:val="single" w:sz="12" w:space="0" w:color="000000"/>
            </w:tcBorders>
            <w:vAlign w:val="bottom"/>
          </w:tcPr>
          <w:p w14:paraId="50753DB9" w14:textId="77777777" w:rsidR="008E5DE4" w:rsidRDefault="008E5DE4">
            <w:pPr>
              <w:widowControl w:val="0"/>
              <w:pBdr>
                <w:top w:val="nil"/>
                <w:left w:val="nil"/>
                <w:bottom w:val="nil"/>
                <w:right w:val="nil"/>
                <w:between w:val="nil"/>
              </w:pBdr>
              <w:jc w:val="right"/>
              <w:rPr>
                <w:color w:val="000000"/>
              </w:rPr>
            </w:pPr>
          </w:p>
        </w:tc>
        <w:tc>
          <w:tcPr>
            <w:tcW w:w="1531" w:type="dxa"/>
            <w:tcBorders>
              <w:top w:val="single" w:sz="12" w:space="0" w:color="000000"/>
            </w:tcBorders>
            <w:vAlign w:val="bottom"/>
          </w:tcPr>
          <w:p w14:paraId="3CCDD479" w14:textId="77777777" w:rsidR="008E5DE4" w:rsidRDefault="008E5DE4">
            <w:pPr>
              <w:widowControl w:val="0"/>
              <w:pBdr>
                <w:top w:val="nil"/>
                <w:left w:val="nil"/>
                <w:bottom w:val="nil"/>
                <w:right w:val="nil"/>
                <w:between w:val="nil"/>
              </w:pBdr>
              <w:jc w:val="right"/>
              <w:rPr>
                <w:color w:val="000000"/>
              </w:rPr>
            </w:pPr>
          </w:p>
        </w:tc>
      </w:tr>
      <w:tr w:rsidR="008E5DE4" w14:paraId="1FE9C28F" w14:textId="77777777">
        <w:trPr>
          <w:cantSplit/>
        </w:trPr>
        <w:tc>
          <w:tcPr>
            <w:tcW w:w="5499" w:type="dxa"/>
            <w:vAlign w:val="bottom"/>
          </w:tcPr>
          <w:p w14:paraId="6DD0E6A6" w14:textId="77777777" w:rsidR="008E5DE4" w:rsidRDefault="00780368">
            <w:pPr>
              <w:widowControl w:val="0"/>
              <w:pBdr>
                <w:top w:val="nil"/>
                <w:left w:val="nil"/>
                <w:bottom w:val="nil"/>
                <w:right w:val="nil"/>
                <w:between w:val="nil"/>
              </w:pBdr>
              <w:ind w:left="113" w:right="-57" w:hanging="113"/>
              <w:rPr>
                <w:color w:val="000000"/>
              </w:rPr>
            </w:pPr>
            <w:r>
              <w:rPr>
                <w:b/>
                <w:color w:val="000000"/>
              </w:rPr>
              <w:t>Total comprehensive income / (loss) is attributable to:</w:t>
            </w:r>
          </w:p>
        </w:tc>
        <w:tc>
          <w:tcPr>
            <w:tcW w:w="851" w:type="dxa"/>
            <w:vAlign w:val="bottom"/>
          </w:tcPr>
          <w:p w14:paraId="022D69F1" w14:textId="77777777" w:rsidR="008E5DE4" w:rsidRDefault="008E5DE4">
            <w:pPr>
              <w:widowControl w:val="0"/>
              <w:pBdr>
                <w:top w:val="nil"/>
                <w:left w:val="nil"/>
                <w:bottom w:val="nil"/>
                <w:right w:val="nil"/>
                <w:between w:val="nil"/>
              </w:pBdr>
              <w:ind w:left="-57" w:right="-57"/>
              <w:jc w:val="center"/>
              <w:rPr>
                <w:color w:val="000000"/>
              </w:rPr>
            </w:pPr>
          </w:p>
        </w:tc>
        <w:tc>
          <w:tcPr>
            <w:tcW w:w="1531" w:type="dxa"/>
            <w:vAlign w:val="bottom"/>
          </w:tcPr>
          <w:p w14:paraId="2345EAF0"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4C52CF5B" w14:textId="77777777" w:rsidR="008E5DE4" w:rsidRDefault="008E5DE4">
            <w:pPr>
              <w:widowControl w:val="0"/>
              <w:pBdr>
                <w:top w:val="nil"/>
                <w:left w:val="nil"/>
                <w:bottom w:val="nil"/>
                <w:right w:val="nil"/>
                <w:between w:val="nil"/>
              </w:pBdr>
              <w:jc w:val="right"/>
              <w:rPr>
                <w:color w:val="000000"/>
              </w:rPr>
            </w:pPr>
          </w:p>
        </w:tc>
      </w:tr>
      <w:tr w:rsidR="008E5DE4" w14:paraId="65ABC8A3" w14:textId="77777777">
        <w:trPr>
          <w:cantSplit/>
        </w:trPr>
        <w:tc>
          <w:tcPr>
            <w:tcW w:w="5499" w:type="dxa"/>
            <w:vAlign w:val="bottom"/>
          </w:tcPr>
          <w:p w14:paraId="65D99C06" w14:textId="77777777" w:rsidR="008E5DE4" w:rsidRDefault="00780368">
            <w:pPr>
              <w:widowControl w:val="0"/>
              <w:pBdr>
                <w:top w:val="nil"/>
                <w:left w:val="nil"/>
                <w:bottom w:val="nil"/>
                <w:right w:val="nil"/>
                <w:between w:val="nil"/>
              </w:pBdr>
              <w:ind w:left="113" w:right="-57" w:hanging="113"/>
              <w:rPr>
                <w:i/>
                <w:color w:val="000000"/>
              </w:rPr>
            </w:pPr>
            <w:r>
              <w:rPr>
                <w:color w:val="000000"/>
              </w:rPr>
              <w:t>Owners of the Company</w:t>
            </w:r>
          </w:p>
        </w:tc>
        <w:tc>
          <w:tcPr>
            <w:tcW w:w="851" w:type="dxa"/>
            <w:vAlign w:val="bottom"/>
          </w:tcPr>
          <w:p w14:paraId="6843753C"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7EF55D94"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2613EE5A" w14:textId="77777777" w:rsidR="008E5DE4" w:rsidRDefault="008E5DE4">
            <w:pPr>
              <w:widowControl w:val="0"/>
              <w:pBdr>
                <w:top w:val="nil"/>
                <w:left w:val="nil"/>
                <w:bottom w:val="nil"/>
                <w:right w:val="nil"/>
                <w:between w:val="nil"/>
              </w:pBdr>
              <w:jc w:val="right"/>
              <w:rPr>
                <w:color w:val="000000"/>
              </w:rPr>
            </w:pPr>
          </w:p>
        </w:tc>
      </w:tr>
      <w:tr w:rsidR="008E5DE4" w14:paraId="40F554B4" w14:textId="77777777">
        <w:trPr>
          <w:cantSplit/>
        </w:trPr>
        <w:tc>
          <w:tcPr>
            <w:tcW w:w="5499" w:type="dxa"/>
            <w:vAlign w:val="bottom"/>
          </w:tcPr>
          <w:p w14:paraId="0A3CFC2C" w14:textId="77777777" w:rsidR="008E5DE4" w:rsidRDefault="00780368">
            <w:pPr>
              <w:widowControl w:val="0"/>
              <w:pBdr>
                <w:top w:val="nil"/>
                <w:left w:val="nil"/>
                <w:bottom w:val="nil"/>
                <w:right w:val="nil"/>
                <w:between w:val="nil"/>
              </w:pBdr>
              <w:ind w:left="113" w:right="-57" w:hanging="113"/>
              <w:rPr>
                <w:color w:val="000000"/>
              </w:rPr>
            </w:pPr>
            <w:r>
              <w:rPr>
                <w:color w:val="000000"/>
              </w:rPr>
              <w:t>Non-controlling interest</w:t>
            </w:r>
          </w:p>
        </w:tc>
        <w:tc>
          <w:tcPr>
            <w:tcW w:w="851" w:type="dxa"/>
            <w:vAlign w:val="bottom"/>
          </w:tcPr>
          <w:p w14:paraId="60A2C720" w14:textId="77777777" w:rsidR="008E5DE4" w:rsidRDefault="008E5DE4">
            <w:pPr>
              <w:widowControl w:val="0"/>
              <w:pBdr>
                <w:top w:val="nil"/>
                <w:left w:val="nil"/>
                <w:bottom w:val="nil"/>
                <w:right w:val="nil"/>
                <w:between w:val="nil"/>
              </w:pBdr>
              <w:ind w:left="-57" w:right="-57"/>
              <w:jc w:val="center"/>
              <w:rPr>
                <w:smallCaps/>
                <w:color w:val="000000"/>
              </w:rPr>
            </w:pPr>
          </w:p>
        </w:tc>
        <w:tc>
          <w:tcPr>
            <w:tcW w:w="1531" w:type="dxa"/>
            <w:vAlign w:val="bottom"/>
          </w:tcPr>
          <w:p w14:paraId="5FBDF7BB" w14:textId="77777777" w:rsidR="008E5DE4" w:rsidRDefault="008E5DE4">
            <w:pPr>
              <w:widowControl w:val="0"/>
              <w:pBdr>
                <w:top w:val="nil"/>
                <w:left w:val="nil"/>
                <w:bottom w:val="nil"/>
                <w:right w:val="nil"/>
                <w:between w:val="nil"/>
              </w:pBdr>
              <w:jc w:val="right"/>
              <w:rPr>
                <w:color w:val="000000"/>
              </w:rPr>
            </w:pPr>
          </w:p>
        </w:tc>
        <w:tc>
          <w:tcPr>
            <w:tcW w:w="1531" w:type="dxa"/>
            <w:vAlign w:val="bottom"/>
          </w:tcPr>
          <w:p w14:paraId="15D5AA5C" w14:textId="77777777" w:rsidR="008E5DE4" w:rsidRDefault="008E5DE4">
            <w:pPr>
              <w:widowControl w:val="0"/>
              <w:pBdr>
                <w:top w:val="nil"/>
                <w:left w:val="nil"/>
                <w:bottom w:val="nil"/>
                <w:right w:val="nil"/>
                <w:between w:val="nil"/>
              </w:pBdr>
              <w:jc w:val="right"/>
              <w:rPr>
                <w:color w:val="000000"/>
              </w:rPr>
            </w:pPr>
          </w:p>
        </w:tc>
      </w:tr>
      <w:tr w:rsidR="008E5DE4" w14:paraId="0D2A25B6" w14:textId="77777777">
        <w:trPr>
          <w:cantSplit/>
        </w:trPr>
        <w:tc>
          <w:tcPr>
            <w:tcW w:w="5499" w:type="dxa"/>
            <w:tcBorders>
              <w:bottom w:val="single" w:sz="12" w:space="0" w:color="000000"/>
            </w:tcBorders>
            <w:vAlign w:val="bottom"/>
          </w:tcPr>
          <w:p w14:paraId="1EBF4998" w14:textId="77777777" w:rsidR="008E5DE4" w:rsidRDefault="00780368">
            <w:pPr>
              <w:widowControl w:val="0"/>
              <w:ind w:left="113" w:right="-57" w:hanging="113"/>
            </w:pPr>
            <w:r>
              <w:t> </w:t>
            </w:r>
          </w:p>
        </w:tc>
        <w:tc>
          <w:tcPr>
            <w:tcW w:w="851" w:type="dxa"/>
            <w:tcBorders>
              <w:bottom w:val="single" w:sz="12" w:space="0" w:color="000000"/>
            </w:tcBorders>
            <w:vAlign w:val="bottom"/>
          </w:tcPr>
          <w:p w14:paraId="2B771BA5" w14:textId="77777777" w:rsidR="008E5DE4" w:rsidRDefault="008E5DE4">
            <w:pPr>
              <w:widowControl w:val="0"/>
              <w:pBdr>
                <w:top w:val="nil"/>
                <w:left w:val="nil"/>
                <w:bottom w:val="nil"/>
                <w:right w:val="nil"/>
                <w:between w:val="nil"/>
              </w:pBdr>
              <w:ind w:left="-57" w:right="-57"/>
              <w:jc w:val="center"/>
              <w:rPr>
                <w:color w:val="000000"/>
              </w:rPr>
            </w:pPr>
          </w:p>
        </w:tc>
        <w:tc>
          <w:tcPr>
            <w:tcW w:w="1531" w:type="dxa"/>
            <w:tcBorders>
              <w:bottom w:val="single" w:sz="12" w:space="0" w:color="000000"/>
            </w:tcBorders>
            <w:vAlign w:val="bottom"/>
          </w:tcPr>
          <w:p w14:paraId="136C511A" w14:textId="77777777" w:rsidR="008E5DE4" w:rsidRDefault="008E5DE4">
            <w:pPr>
              <w:widowControl w:val="0"/>
              <w:pBdr>
                <w:top w:val="nil"/>
                <w:left w:val="nil"/>
                <w:bottom w:val="nil"/>
                <w:right w:val="nil"/>
                <w:between w:val="nil"/>
              </w:pBdr>
              <w:jc w:val="right"/>
              <w:rPr>
                <w:color w:val="000000"/>
              </w:rPr>
            </w:pPr>
          </w:p>
        </w:tc>
        <w:tc>
          <w:tcPr>
            <w:tcW w:w="1531" w:type="dxa"/>
            <w:tcBorders>
              <w:bottom w:val="single" w:sz="12" w:space="0" w:color="000000"/>
            </w:tcBorders>
            <w:vAlign w:val="bottom"/>
          </w:tcPr>
          <w:p w14:paraId="3D7002D9" w14:textId="77777777" w:rsidR="008E5DE4" w:rsidRDefault="008E5DE4">
            <w:pPr>
              <w:widowControl w:val="0"/>
              <w:pBdr>
                <w:top w:val="nil"/>
                <w:left w:val="nil"/>
                <w:bottom w:val="nil"/>
                <w:right w:val="nil"/>
                <w:between w:val="nil"/>
              </w:pBdr>
              <w:jc w:val="right"/>
              <w:rPr>
                <w:color w:val="000000"/>
              </w:rPr>
            </w:pPr>
          </w:p>
        </w:tc>
      </w:tr>
    </w:tbl>
    <w:p w14:paraId="24F579A8" w14:textId="77777777" w:rsidR="008E5DE4" w:rsidRDefault="008E5DE4">
      <w:pPr>
        <w:widowControl w:val="0"/>
        <w:spacing w:before="200" w:after="200"/>
        <w:rPr>
          <w:color w:val="000000"/>
          <w:sz w:val="20"/>
          <w:szCs w:val="20"/>
        </w:rPr>
      </w:pPr>
    </w:p>
    <w:p w14:paraId="7848E0E5" w14:textId="77777777" w:rsidR="008E5DE4" w:rsidRDefault="008E5DE4">
      <w:pPr>
        <w:widowControl w:val="0"/>
        <w:pBdr>
          <w:top w:val="nil"/>
          <w:left w:val="nil"/>
          <w:bottom w:val="nil"/>
          <w:right w:val="nil"/>
          <w:between w:val="nil"/>
        </w:pBdr>
        <w:spacing w:before="200" w:after="200"/>
        <w:jc w:val="both"/>
        <w:rPr>
          <w:b/>
          <w:color w:val="000000"/>
          <w:sz w:val="20"/>
          <w:szCs w:val="20"/>
        </w:rPr>
        <w:sectPr w:rsidR="008E5DE4">
          <w:headerReference w:type="default" r:id="rId33"/>
          <w:pgSz w:w="11907" w:h="16840"/>
          <w:pgMar w:top="1418" w:right="851" w:bottom="1134" w:left="1701" w:header="737" w:footer="567" w:gutter="0"/>
          <w:cols w:space="708"/>
        </w:sectPr>
      </w:pPr>
    </w:p>
    <w:p w14:paraId="5C720979" w14:textId="004D3232" w:rsidR="008E5DE4" w:rsidRDefault="00090491">
      <w:pPr>
        <w:shd w:val="clear" w:color="auto" w:fill="DBE5F1"/>
        <w:rPr>
          <w:i/>
          <w:color w:val="FF0000"/>
          <w:highlight w:val="yellow"/>
        </w:rPr>
      </w:pPr>
      <w:r>
        <w:rPr>
          <w:b/>
          <w:i/>
          <w:sz w:val="20"/>
          <w:szCs w:val="20"/>
        </w:rPr>
        <w:lastRenderedPageBreak/>
        <w:t>Material accounting policy information</w:t>
      </w:r>
      <w:r w:rsidR="00780368">
        <w:rPr>
          <w:b/>
          <w:i/>
          <w:sz w:val="20"/>
          <w:szCs w:val="20"/>
        </w:rPr>
        <w:t xml:space="preserve"> </w:t>
      </w:r>
    </w:p>
    <w:p w14:paraId="1DE255B4" w14:textId="77777777" w:rsidR="008E5DE4" w:rsidRDefault="00780368">
      <w:pPr>
        <w:widowControl w:val="0"/>
        <w:pBdr>
          <w:top w:val="nil"/>
          <w:left w:val="nil"/>
          <w:bottom w:val="nil"/>
          <w:right w:val="nil"/>
          <w:between w:val="nil"/>
        </w:pBdr>
        <w:shd w:val="clear" w:color="auto" w:fill="DBE5F1"/>
        <w:spacing w:before="200" w:after="200"/>
        <w:jc w:val="both"/>
        <w:rPr>
          <w:color w:val="000000"/>
          <w:sz w:val="20"/>
          <w:szCs w:val="20"/>
        </w:rPr>
      </w:pPr>
      <w:r>
        <w:rPr>
          <w:color w:val="000000"/>
          <w:sz w:val="20"/>
          <w:szCs w:val="20"/>
        </w:rPr>
        <w:t xml:space="preserve">The Group operates </w:t>
      </w:r>
      <w:proofErr w:type="gramStart"/>
      <w:r>
        <w:rPr>
          <w:color w:val="000000"/>
          <w:sz w:val="20"/>
          <w:szCs w:val="20"/>
        </w:rPr>
        <w:t>a number of</w:t>
      </w:r>
      <w:proofErr w:type="gramEnd"/>
      <w:r>
        <w:rPr>
          <w:color w:val="000000"/>
          <w:sz w:val="20"/>
          <w:szCs w:val="20"/>
        </w:rPr>
        <w:t xml:space="preserve"> cash-settled and equity-settled share-based compensation plans, under which the entity receives goods or services from employees and third parties as consideration for equity instruments (options or shares) of the Group. </w:t>
      </w:r>
    </w:p>
    <w:p w14:paraId="0EFE9FB4" w14:textId="77777777" w:rsidR="008E5DE4" w:rsidRDefault="00780368">
      <w:pPr>
        <w:widowControl w:val="0"/>
        <w:pBdr>
          <w:top w:val="nil"/>
          <w:left w:val="nil"/>
          <w:bottom w:val="nil"/>
          <w:right w:val="nil"/>
          <w:between w:val="nil"/>
        </w:pBdr>
        <w:shd w:val="clear" w:color="auto" w:fill="DBE5F1"/>
        <w:spacing w:before="200" w:after="200"/>
        <w:jc w:val="both"/>
        <w:rPr>
          <w:i/>
          <w:color w:val="000000"/>
          <w:sz w:val="20"/>
          <w:szCs w:val="20"/>
        </w:rPr>
      </w:pPr>
      <w:r>
        <w:rPr>
          <w:i/>
          <w:color w:val="000000"/>
          <w:sz w:val="20"/>
          <w:szCs w:val="20"/>
        </w:rPr>
        <w:t xml:space="preserve">Employee services settled in equity instruments. </w:t>
      </w:r>
      <w:r>
        <w:rPr>
          <w:color w:val="000000"/>
          <w:sz w:val="20"/>
          <w:szCs w:val="20"/>
        </w:rPr>
        <w:t xml:space="preserve">The fair value of the employee services received in exchange for the grant of options or shares is recognised as an expense. The total amount to be expensed over the vesting period is determined by reference to the fair value of the options or shares determined at the grant date, excluding the impact of any non-market vesting conditions (for example, profitability and sales growth targets). The attainment of any service and non-market performance vesting conditions </w:t>
      </w:r>
      <w:proofErr w:type="gramStart"/>
      <w:r>
        <w:rPr>
          <w:color w:val="000000"/>
          <w:sz w:val="20"/>
          <w:szCs w:val="20"/>
        </w:rPr>
        <w:t>are</w:t>
      </w:r>
      <w:proofErr w:type="gramEnd"/>
      <w:r>
        <w:rPr>
          <w:color w:val="000000"/>
          <w:sz w:val="20"/>
          <w:szCs w:val="20"/>
        </w:rPr>
        <w:t xml:space="preserve"> included in assumptions about the number of options that are expected to become exercisable or the number of shares that the employee will ultimately receive. This estimate is revised at each balance sheet </w:t>
      </w:r>
      <w:proofErr w:type="gramStart"/>
      <w:r>
        <w:rPr>
          <w:color w:val="000000"/>
          <w:sz w:val="20"/>
          <w:szCs w:val="20"/>
        </w:rPr>
        <w:t>date</w:t>
      </w:r>
      <w:proofErr w:type="gramEnd"/>
      <w:r>
        <w:rPr>
          <w:color w:val="000000"/>
          <w:sz w:val="20"/>
          <w:szCs w:val="20"/>
        </w:rPr>
        <w:t xml:space="preserve"> and the difference is charged or credited to profit or loss, with a corresponding adjustment to equity. No changes to the charge are made when the expected or actual level of awards vesting differs from the original estimate due to non-attainment of market performance conditions, e.g., the appropriate total shareholder return or share price. The proceeds received on exercise of the options net of any directly attributable transaction costs are credited to share capital (nominal value) and share premium. Cancelled awards are deemed to have vested upon cancellation. Any unamortised expense associated with such awards is charged to profit or loss immediately.</w:t>
      </w:r>
    </w:p>
    <w:p w14:paraId="5941708A" w14:textId="77777777" w:rsidR="008E5DE4" w:rsidRDefault="00780368">
      <w:pPr>
        <w:widowControl w:val="0"/>
        <w:pBdr>
          <w:top w:val="nil"/>
          <w:left w:val="nil"/>
          <w:bottom w:val="nil"/>
          <w:right w:val="nil"/>
          <w:between w:val="nil"/>
        </w:pBdr>
        <w:shd w:val="clear" w:color="auto" w:fill="DBE5F1"/>
        <w:spacing w:before="200" w:after="200"/>
        <w:jc w:val="both"/>
        <w:rPr>
          <w:color w:val="0000FF"/>
          <w:sz w:val="20"/>
          <w:szCs w:val="20"/>
        </w:rPr>
      </w:pPr>
      <w:r>
        <w:rPr>
          <w:color w:val="0000FF"/>
          <w:sz w:val="20"/>
          <w:szCs w:val="20"/>
        </w:rPr>
        <w:t xml:space="preserve">[The grant by the Company of options over its equity instruments to the employees of subsidiary undertakings in the Group is treated as a capital contribution. The fair value of employee services received, measured by reference to the grant date fair value, is recognised over the vesting period as an increase to investment in subsidiary undertakings, with a corresponding credit to equity in the parent entity separate financial statements.] </w:t>
      </w:r>
    </w:p>
    <w:p w14:paraId="3E874828" w14:textId="77777777" w:rsidR="008E5DE4" w:rsidRDefault="00780368">
      <w:pPr>
        <w:widowControl w:val="0"/>
        <w:pBdr>
          <w:top w:val="nil"/>
          <w:left w:val="nil"/>
          <w:bottom w:val="nil"/>
          <w:right w:val="nil"/>
          <w:between w:val="nil"/>
        </w:pBdr>
        <w:shd w:val="clear" w:color="auto" w:fill="DBE5F1"/>
        <w:spacing w:before="200" w:after="200"/>
        <w:jc w:val="both"/>
        <w:rPr>
          <w:i/>
          <w:color w:val="000000"/>
          <w:sz w:val="20"/>
          <w:szCs w:val="20"/>
        </w:rPr>
      </w:pPr>
      <w:r>
        <w:rPr>
          <w:color w:val="0000FF"/>
          <w:sz w:val="20"/>
          <w:szCs w:val="20"/>
        </w:rPr>
        <w:t>[According to the tax legislation the Group is obliged to withhold an amount for an employee’s tax associated with a share-based payment remuneration benefit and transfer that amount [in cash] to the tax authority on the employee’s behalf. In order to fulfil this obligation, the terms of the share-based payment arrangement [permit] [require] the Group to withhold a variable number of equity instruments equal to the monetary value of the employee’s tax obligation from the total number of equity instruments that otherwise would have been issued to the employee upon exercise (or vesting) of the share-based payment (</w:t>
      </w:r>
      <w:proofErr w:type="spellStart"/>
      <w:r>
        <w:rPr>
          <w:color w:val="0000FF"/>
          <w:sz w:val="20"/>
          <w:szCs w:val="20"/>
        </w:rPr>
        <w:t>ie</w:t>
      </w:r>
      <w:proofErr w:type="spellEnd"/>
      <w:r>
        <w:rPr>
          <w:color w:val="0000FF"/>
          <w:sz w:val="20"/>
          <w:szCs w:val="20"/>
        </w:rPr>
        <w:t xml:space="preserve"> the share-based payment arrangement has a ‘net settlement feature’). The transaction is classified in its entirety as an equity-settled share-based payment transaction if it would have been so classified in the absence of the net settlement feature.] </w:t>
      </w:r>
    </w:p>
    <w:p w14:paraId="66E80131" w14:textId="77777777" w:rsidR="008E5DE4" w:rsidRDefault="00780368">
      <w:pPr>
        <w:widowControl w:val="0"/>
        <w:pBdr>
          <w:top w:val="nil"/>
          <w:left w:val="nil"/>
          <w:bottom w:val="nil"/>
          <w:right w:val="nil"/>
          <w:between w:val="nil"/>
        </w:pBdr>
        <w:shd w:val="clear" w:color="auto" w:fill="DBE5F1"/>
        <w:spacing w:before="200" w:after="200"/>
        <w:jc w:val="both"/>
        <w:rPr>
          <w:color w:val="000000"/>
          <w:sz w:val="20"/>
          <w:szCs w:val="20"/>
        </w:rPr>
      </w:pPr>
      <w:r>
        <w:rPr>
          <w:i/>
          <w:color w:val="000000"/>
          <w:sz w:val="20"/>
          <w:szCs w:val="20"/>
        </w:rPr>
        <w:t xml:space="preserve">Other goods or services settled in equity instruments. </w:t>
      </w:r>
      <w:r>
        <w:rPr>
          <w:color w:val="000000"/>
          <w:sz w:val="20"/>
          <w:szCs w:val="20"/>
        </w:rPr>
        <w:t>Goods or services (other than employee services) received in exchange for an equity-settled share-based payment are measured directly at their fair value and are recognised as an expense</w:t>
      </w:r>
      <w:r>
        <w:rPr>
          <w:i/>
          <w:color w:val="000000"/>
          <w:sz w:val="20"/>
          <w:szCs w:val="20"/>
        </w:rPr>
        <w:t xml:space="preserve"> </w:t>
      </w:r>
      <w:r>
        <w:rPr>
          <w:color w:val="000000"/>
          <w:sz w:val="20"/>
          <w:szCs w:val="20"/>
        </w:rPr>
        <w:t>when consumed or capitalised as assets. The proceeds received on exercise of the options, net of</w:t>
      </w:r>
      <w:r>
        <w:rPr>
          <w:i/>
          <w:color w:val="000000"/>
          <w:sz w:val="20"/>
          <w:szCs w:val="20"/>
        </w:rPr>
        <w:t xml:space="preserve"> </w:t>
      </w:r>
      <w:r>
        <w:rPr>
          <w:color w:val="000000"/>
          <w:sz w:val="20"/>
          <w:szCs w:val="20"/>
        </w:rPr>
        <w:t>any directly attributable transaction costs, are credited to share capital (nominal value) and share</w:t>
      </w:r>
      <w:r>
        <w:rPr>
          <w:i/>
          <w:color w:val="000000"/>
          <w:sz w:val="20"/>
          <w:szCs w:val="20"/>
        </w:rPr>
        <w:t xml:space="preserve"> </w:t>
      </w:r>
      <w:r>
        <w:rPr>
          <w:color w:val="000000"/>
          <w:sz w:val="20"/>
          <w:szCs w:val="20"/>
        </w:rPr>
        <w:t>premium when the options are exercised.</w:t>
      </w:r>
    </w:p>
    <w:p w14:paraId="6D82ACC2" w14:textId="77777777" w:rsidR="008E5DE4" w:rsidRDefault="00780368">
      <w:pPr>
        <w:widowControl w:val="0"/>
        <w:pBdr>
          <w:top w:val="nil"/>
          <w:left w:val="nil"/>
          <w:bottom w:val="nil"/>
          <w:right w:val="nil"/>
          <w:between w:val="nil"/>
        </w:pBdr>
        <w:shd w:val="clear" w:color="auto" w:fill="DBE5F1"/>
        <w:spacing w:before="200" w:after="200"/>
        <w:jc w:val="both"/>
        <w:rPr>
          <w:color w:val="000000"/>
          <w:sz w:val="20"/>
          <w:szCs w:val="20"/>
          <w:highlight w:val="yellow"/>
        </w:rPr>
      </w:pPr>
      <w:r>
        <w:rPr>
          <w:i/>
          <w:color w:val="000000"/>
          <w:sz w:val="20"/>
          <w:szCs w:val="20"/>
        </w:rPr>
        <w:t xml:space="preserve">Goods or services settled in cash. </w:t>
      </w:r>
      <w:r>
        <w:rPr>
          <w:color w:val="000000"/>
          <w:sz w:val="20"/>
          <w:szCs w:val="20"/>
        </w:rPr>
        <w:t>Goods or services, including employee services received in exchange for cash-settled share-based</w:t>
      </w:r>
      <w:r>
        <w:rPr>
          <w:i/>
          <w:color w:val="000000"/>
          <w:sz w:val="20"/>
          <w:szCs w:val="20"/>
        </w:rPr>
        <w:t xml:space="preserve"> </w:t>
      </w:r>
      <w:r>
        <w:rPr>
          <w:color w:val="000000"/>
          <w:sz w:val="20"/>
          <w:szCs w:val="20"/>
        </w:rPr>
        <w:t>payments, are recognised at the fair value of the liability incurred and are expensed</w:t>
      </w:r>
      <w:r>
        <w:rPr>
          <w:i/>
          <w:color w:val="000000"/>
          <w:sz w:val="20"/>
          <w:szCs w:val="20"/>
        </w:rPr>
        <w:t xml:space="preserve"> </w:t>
      </w:r>
      <w:r>
        <w:rPr>
          <w:color w:val="000000"/>
          <w:sz w:val="20"/>
          <w:szCs w:val="20"/>
        </w:rPr>
        <w:t xml:space="preserve">when consumed or capitalised as assets, which are depreciated or amortised. Until the liability is settled, the Group remeasures the fair value of the liability at the end of each reporting period and at the date of settlement, with any changes in fair value recognised in profit or loss for the period. Market conditions, such as </w:t>
      </w:r>
      <w:r>
        <w:rPr>
          <w:color w:val="0000FF"/>
          <w:sz w:val="20"/>
          <w:szCs w:val="20"/>
        </w:rPr>
        <w:t>[a target share price]</w:t>
      </w:r>
      <w:r>
        <w:rPr>
          <w:color w:val="000000"/>
          <w:sz w:val="20"/>
          <w:szCs w:val="20"/>
        </w:rPr>
        <w:t xml:space="preserve"> upon which vesting (or exercisability) is conditioned, as well as non-vesting conditions, are </w:t>
      </w:r>
      <w:proofErr w:type="gramStart"/>
      <w:r>
        <w:rPr>
          <w:color w:val="000000"/>
          <w:sz w:val="20"/>
          <w:szCs w:val="20"/>
        </w:rPr>
        <w:t>taken into account</w:t>
      </w:r>
      <w:proofErr w:type="gramEnd"/>
      <w:r>
        <w:rPr>
          <w:color w:val="000000"/>
          <w:sz w:val="20"/>
          <w:szCs w:val="20"/>
        </w:rPr>
        <w:t xml:space="preserve"> when estimating the fair value of the cash-settled share-based payment granted and when remeasuring the fair value at the end of each reporting period and at the date of settlement. Vesting conditions, other than market conditions, are not </w:t>
      </w:r>
      <w:proofErr w:type="gramStart"/>
      <w:r>
        <w:rPr>
          <w:color w:val="000000"/>
          <w:sz w:val="20"/>
          <w:szCs w:val="20"/>
        </w:rPr>
        <w:t>taken into account</w:t>
      </w:r>
      <w:proofErr w:type="gramEnd"/>
      <w:r>
        <w:rPr>
          <w:color w:val="000000"/>
          <w:sz w:val="20"/>
          <w:szCs w:val="20"/>
        </w:rPr>
        <w:t xml:space="preserve"> when estimating the fair value of the cash-settled share-based payment at the measurement date, </w:t>
      </w:r>
      <w:proofErr w:type="gramStart"/>
      <w:r>
        <w:rPr>
          <w:color w:val="000000"/>
          <w:sz w:val="20"/>
          <w:szCs w:val="20"/>
        </w:rPr>
        <w:t>however</w:t>
      </w:r>
      <w:proofErr w:type="gramEnd"/>
      <w:r>
        <w:rPr>
          <w:color w:val="000000"/>
          <w:sz w:val="20"/>
          <w:szCs w:val="20"/>
        </w:rPr>
        <w:t xml:space="preserve"> are </w:t>
      </w:r>
      <w:proofErr w:type="gramStart"/>
      <w:r>
        <w:rPr>
          <w:color w:val="000000"/>
          <w:sz w:val="20"/>
          <w:szCs w:val="20"/>
        </w:rPr>
        <w:t>taken into account</w:t>
      </w:r>
      <w:proofErr w:type="gramEnd"/>
      <w:r>
        <w:rPr>
          <w:color w:val="000000"/>
          <w:sz w:val="20"/>
          <w:szCs w:val="20"/>
        </w:rPr>
        <w:t xml:space="preserve"> by adjusting the number of awards included in the measurement of the liability arising from the transaction. The amount recognised for the goods or services received during the vesting period is based on the best available estimate of the number of awards that are expected to vest. The Group revises that estimate, if necessary, if subsequent information indicates that the number of awards that are expected to vest differs from previous estimates. On the vesting date, the Group revises the estimate to equal the number of awards that ultimately vested. The cumulative amount ultimately recognised for goods or services received as consideration for the cash-settled share-based payment is equal to the cash that is paid. </w:t>
      </w:r>
    </w:p>
    <w:p w14:paraId="492A8743" w14:textId="7C235D7E" w:rsidR="008E5DE4" w:rsidRDefault="00780368">
      <w:pPr>
        <w:keepNext/>
        <w:keepLines/>
        <w:widowControl w:val="0"/>
        <w:pBdr>
          <w:top w:val="nil"/>
          <w:left w:val="nil"/>
          <w:bottom w:val="nil"/>
          <w:right w:val="nil"/>
          <w:between w:val="nil"/>
        </w:pBdr>
        <w:spacing w:before="200" w:after="200"/>
        <w:jc w:val="both"/>
        <w:rPr>
          <w:color w:val="000000"/>
          <w:sz w:val="20"/>
          <w:szCs w:val="20"/>
        </w:rPr>
      </w:pPr>
      <w:r>
        <w:rPr>
          <w:color w:val="000000"/>
          <w:sz w:val="20"/>
          <w:szCs w:val="20"/>
        </w:rPr>
        <w:lastRenderedPageBreak/>
        <w:t xml:space="preserve">During the period ended 31 December </w:t>
      </w:r>
      <w:r w:rsidR="008614F8">
        <w:rPr>
          <w:color w:val="000000"/>
          <w:sz w:val="20"/>
          <w:szCs w:val="20"/>
        </w:rPr>
        <w:t>2025</w:t>
      </w:r>
      <w:r>
        <w:rPr>
          <w:color w:val="000000"/>
          <w:sz w:val="20"/>
          <w:szCs w:val="20"/>
        </w:rPr>
        <w:t xml:space="preserve">, the Group had __ share-based payment arrangements with </w:t>
      </w:r>
      <w:r>
        <w:rPr>
          <w:color w:val="0000FF"/>
          <w:sz w:val="20"/>
          <w:szCs w:val="20"/>
        </w:rPr>
        <w:t>[directors and selected employees]</w:t>
      </w:r>
      <w:r>
        <w:rPr>
          <w:color w:val="002060"/>
          <w:sz w:val="20"/>
          <w:szCs w:val="20"/>
        </w:rPr>
        <w:t xml:space="preserve"> </w:t>
      </w:r>
      <w:r>
        <w:rPr>
          <w:color w:val="000000"/>
          <w:sz w:val="20"/>
          <w:szCs w:val="20"/>
        </w:rPr>
        <w:t>and __ other share-based transactions. The details of the arrangements are described below:</w:t>
      </w:r>
    </w:p>
    <w:tbl>
      <w:tblPr>
        <w:tblStyle w:val="affffffffffffffd"/>
        <w:tblW w:w="9411" w:type="dxa"/>
        <w:tblBorders>
          <w:insideH w:val="single" w:sz="4" w:space="0" w:color="000000"/>
          <w:insideV w:val="single" w:sz="4" w:space="0" w:color="000000"/>
        </w:tblBorders>
        <w:tblLayout w:type="fixed"/>
        <w:tblLook w:val="0000" w:firstRow="0" w:lastRow="0" w:firstColumn="0" w:lastColumn="0" w:noHBand="0" w:noVBand="0"/>
      </w:tblPr>
      <w:tblGrid>
        <w:gridCol w:w="3288"/>
        <w:gridCol w:w="2041"/>
        <w:gridCol w:w="2041"/>
        <w:gridCol w:w="2041"/>
      </w:tblGrid>
      <w:tr w:rsidR="008E5DE4" w14:paraId="5BE76E41" w14:textId="77777777">
        <w:trPr>
          <w:cantSplit/>
          <w:tblHeader/>
        </w:trPr>
        <w:tc>
          <w:tcPr>
            <w:tcW w:w="3288" w:type="dxa"/>
            <w:tcBorders>
              <w:top w:val="nil"/>
              <w:bottom w:val="single" w:sz="4" w:space="0" w:color="000000"/>
              <w:right w:val="nil"/>
            </w:tcBorders>
            <w:vAlign w:val="bottom"/>
          </w:tcPr>
          <w:p w14:paraId="7F93E7AF" w14:textId="77777777" w:rsidR="008E5DE4" w:rsidRDefault="00780368">
            <w:pPr>
              <w:keepNext/>
              <w:keepLines/>
              <w:widowControl w:val="0"/>
              <w:pBdr>
                <w:top w:val="nil"/>
                <w:left w:val="nil"/>
                <w:bottom w:val="nil"/>
                <w:right w:val="nil"/>
                <w:between w:val="nil"/>
              </w:pBdr>
              <w:ind w:left="113" w:right="-57" w:hanging="113"/>
              <w:rPr>
                <w:b/>
                <w:color w:val="000000"/>
              </w:rPr>
            </w:pPr>
            <w:r>
              <w:rPr>
                <w:b/>
                <w:color w:val="000000"/>
              </w:rPr>
              <w:t>Arrangement</w:t>
            </w:r>
          </w:p>
        </w:tc>
        <w:tc>
          <w:tcPr>
            <w:tcW w:w="2041" w:type="dxa"/>
            <w:tcBorders>
              <w:top w:val="nil"/>
              <w:left w:val="nil"/>
              <w:bottom w:val="single" w:sz="4" w:space="0" w:color="000000"/>
              <w:right w:val="nil"/>
            </w:tcBorders>
          </w:tcPr>
          <w:p w14:paraId="682C1650"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Share</w:t>
            </w:r>
          </w:p>
          <w:p w14:paraId="7E60F112"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 xml:space="preserve">appreciation </w:t>
            </w:r>
          </w:p>
          <w:p w14:paraId="5FCEC848" w14:textId="7733AC2C" w:rsidR="008E5DE4" w:rsidRDefault="00780368" w:rsidP="00CB22C7">
            <w:pPr>
              <w:keepNext/>
              <w:keepLines/>
              <w:widowControl w:val="0"/>
              <w:pBdr>
                <w:top w:val="nil"/>
                <w:left w:val="nil"/>
                <w:bottom w:val="nil"/>
                <w:right w:val="nil"/>
                <w:between w:val="nil"/>
              </w:pBdr>
              <w:ind w:left="-113"/>
              <w:jc w:val="right"/>
              <w:rPr>
                <w:color w:val="000000"/>
              </w:rPr>
            </w:pPr>
            <w:r>
              <w:rPr>
                <w:b/>
                <w:color w:val="000000"/>
              </w:rPr>
              <w:t>rights</w:t>
            </w:r>
          </w:p>
        </w:tc>
        <w:tc>
          <w:tcPr>
            <w:tcW w:w="2041" w:type="dxa"/>
            <w:tcBorders>
              <w:top w:val="nil"/>
              <w:left w:val="nil"/>
              <w:bottom w:val="single" w:sz="4" w:space="0" w:color="000000"/>
              <w:right w:val="nil"/>
            </w:tcBorders>
          </w:tcPr>
          <w:p w14:paraId="143436D0" w14:textId="210CE355" w:rsidR="008E5DE4" w:rsidRDefault="00780368" w:rsidP="00CB22C7">
            <w:pPr>
              <w:keepNext/>
              <w:keepLines/>
              <w:widowControl w:val="0"/>
              <w:pBdr>
                <w:top w:val="nil"/>
                <w:left w:val="nil"/>
                <w:bottom w:val="nil"/>
                <w:right w:val="nil"/>
                <w:between w:val="nil"/>
              </w:pBdr>
              <w:ind w:left="-113"/>
              <w:jc w:val="right"/>
              <w:rPr>
                <w:color w:val="000000"/>
              </w:rPr>
            </w:pPr>
            <w:r>
              <w:rPr>
                <w:b/>
                <w:color w:val="000000"/>
              </w:rPr>
              <w:t>Share options granted to key executives</w:t>
            </w:r>
          </w:p>
        </w:tc>
        <w:tc>
          <w:tcPr>
            <w:tcW w:w="2041" w:type="dxa"/>
            <w:tcBorders>
              <w:top w:val="nil"/>
              <w:left w:val="nil"/>
              <w:bottom w:val="single" w:sz="4" w:space="0" w:color="000000"/>
            </w:tcBorders>
          </w:tcPr>
          <w:p w14:paraId="34026B9E" w14:textId="12C0A547" w:rsidR="008E5DE4" w:rsidRDefault="00780368" w:rsidP="00CB22C7">
            <w:pPr>
              <w:keepNext/>
              <w:keepLines/>
              <w:widowControl w:val="0"/>
              <w:pBdr>
                <w:top w:val="nil"/>
                <w:left w:val="nil"/>
                <w:bottom w:val="nil"/>
                <w:right w:val="nil"/>
                <w:between w:val="nil"/>
              </w:pBdr>
              <w:ind w:left="-113"/>
              <w:jc w:val="right"/>
              <w:rPr>
                <w:color w:val="000000"/>
              </w:rPr>
            </w:pPr>
            <w:r>
              <w:rPr>
                <w:b/>
                <w:color w:val="000000"/>
              </w:rPr>
              <w:t>Transaction with settlement alternatives</w:t>
            </w:r>
          </w:p>
        </w:tc>
      </w:tr>
      <w:tr w:rsidR="008E5DE4" w14:paraId="1EDE5E78" w14:textId="77777777">
        <w:trPr>
          <w:cantSplit/>
          <w:tblHeader/>
        </w:trPr>
        <w:tc>
          <w:tcPr>
            <w:tcW w:w="3288" w:type="dxa"/>
            <w:tcBorders>
              <w:top w:val="single" w:sz="4" w:space="0" w:color="000000"/>
              <w:bottom w:val="nil"/>
              <w:right w:val="nil"/>
            </w:tcBorders>
            <w:vAlign w:val="bottom"/>
          </w:tcPr>
          <w:p w14:paraId="587D95FE" w14:textId="77777777" w:rsidR="008E5DE4" w:rsidRDefault="008E5DE4">
            <w:pPr>
              <w:keepNext/>
              <w:keepLines/>
              <w:widowControl w:val="0"/>
              <w:pBdr>
                <w:top w:val="nil"/>
                <w:left w:val="nil"/>
                <w:bottom w:val="nil"/>
                <w:right w:val="nil"/>
                <w:between w:val="nil"/>
              </w:pBdr>
              <w:ind w:left="113" w:right="-57" w:hanging="113"/>
              <w:rPr>
                <w:color w:val="000000"/>
              </w:rPr>
            </w:pPr>
          </w:p>
        </w:tc>
        <w:tc>
          <w:tcPr>
            <w:tcW w:w="2041" w:type="dxa"/>
            <w:tcBorders>
              <w:top w:val="single" w:sz="4" w:space="0" w:color="000000"/>
              <w:left w:val="nil"/>
              <w:bottom w:val="nil"/>
              <w:right w:val="nil"/>
            </w:tcBorders>
            <w:vAlign w:val="bottom"/>
          </w:tcPr>
          <w:p w14:paraId="64F01E11"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single" w:sz="4" w:space="0" w:color="000000"/>
              <w:left w:val="nil"/>
              <w:bottom w:val="nil"/>
              <w:right w:val="nil"/>
            </w:tcBorders>
            <w:vAlign w:val="bottom"/>
          </w:tcPr>
          <w:p w14:paraId="6ABE687C"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single" w:sz="4" w:space="0" w:color="000000"/>
              <w:left w:val="nil"/>
              <w:bottom w:val="nil"/>
            </w:tcBorders>
            <w:vAlign w:val="bottom"/>
          </w:tcPr>
          <w:p w14:paraId="25BB55FC" w14:textId="77777777" w:rsidR="008E5DE4" w:rsidRDefault="008E5DE4">
            <w:pPr>
              <w:keepNext/>
              <w:keepLines/>
              <w:widowControl w:val="0"/>
              <w:pBdr>
                <w:top w:val="nil"/>
                <w:left w:val="nil"/>
                <w:bottom w:val="nil"/>
                <w:right w:val="nil"/>
                <w:between w:val="nil"/>
              </w:pBdr>
              <w:jc w:val="right"/>
              <w:rPr>
                <w:color w:val="000000"/>
              </w:rPr>
            </w:pPr>
          </w:p>
        </w:tc>
      </w:tr>
      <w:tr w:rsidR="008E5DE4" w14:paraId="66465483" w14:textId="77777777">
        <w:trPr>
          <w:cantSplit/>
          <w:tblHeader/>
        </w:trPr>
        <w:tc>
          <w:tcPr>
            <w:tcW w:w="3288" w:type="dxa"/>
            <w:tcBorders>
              <w:top w:val="nil"/>
              <w:bottom w:val="nil"/>
              <w:right w:val="nil"/>
            </w:tcBorders>
            <w:vAlign w:val="bottom"/>
          </w:tcPr>
          <w:p w14:paraId="53DAE4BB"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Nature of the arrangement</w:t>
            </w:r>
          </w:p>
        </w:tc>
        <w:tc>
          <w:tcPr>
            <w:tcW w:w="2041" w:type="dxa"/>
            <w:tcBorders>
              <w:top w:val="nil"/>
              <w:left w:val="nil"/>
              <w:bottom w:val="nil"/>
              <w:right w:val="nil"/>
            </w:tcBorders>
            <w:vAlign w:val="bottom"/>
          </w:tcPr>
          <w:p w14:paraId="0F85AA2F" w14:textId="77777777" w:rsidR="008E5DE4" w:rsidRDefault="00780368">
            <w:pPr>
              <w:keepNext/>
              <w:keepLines/>
              <w:widowControl w:val="0"/>
              <w:pBdr>
                <w:top w:val="nil"/>
                <w:left w:val="nil"/>
                <w:bottom w:val="nil"/>
                <w:right w:val="nil"/>
                <w:between w:val="nil"/>
              </w:pBdr>
              <w:jc w:val="right"/>
              <w:rPr>
                <w:color w:val="000000"/>
              </w:rPr>
            </w:pPr>
            <w:r>
              <w:rPr>
                <w:color w:val="000000"/>
              </w:rPr>
              <w:t>Share appreciation rights</w:t>
            </w:r>
          </w:p>
        </w:tc>
        <w:tc>
          <w:tcPr>
            <w:tcW w:w="2041" w:type="dxa"/>
            <w:tcBorders>
              <w:top w:val="nil"/>
              <w:left w:val="nil"/>
              <w:bottom w:val="nil"/>
              <w:right w:val="nil"/>
            </w:tcBorders>
            <w:vAlign w:val="bottom"/>
          </w:tcPr>
          <w:p w14:paraId="15DE9528" w14:textId="77777777" w:rsidR="008E5DE4" w:rsidRDefault="00780368">
            <w:pPr>
              <w:keepNext/>
              <w:keepLines/>
              <w:widowControl w:val="0"/>
              <w:pBdr>
                <w:top w:val="nil"/>
                <w:left w:val="nil"/>
                <w:bottom w:val="nil"/>
                <w:right w:val="nil"/>
                <w:between w:val="nil"/>
              </w:pBdr>
              <w:jc w:val="right"/>
              <w:rPr>
                <w:color w:val="000000"/>
              </w:rPr>
            </w:pPr>
            <w:r>
              <w:rPr>
                <w:color w:val="000000"/>
              </w:rPr>
              <w:t>Grant of share options</w:t>
            </w:r>
          </w:p>
        </w:tc>
        <w:tc>
          <w:tcPr>
            <w:tcW w:w="2041" w:type="dxa"/>
            <w:tcBorders>
              <w:top w:val="nil"/>
              <w:left w:val="nil"/>
              <w:bottom w:val="nil"/>
            </w:tcBorders>
            <w:vAlign w:val="bottom"/>
          </w:tcPr>
          <w:p w14:paraId="170CEF55" w14:textId="77777777" w:rsidR="008E5DE4" w:rsidRDefault="00780368">
            <w:pPr>
              <w:keepNext/>
              <w:keepLines/>
              <w:widowControl w:val="0"/>
              <w:pBdr>
                <w:top w:val="nil"/>
                <w:left w:val="nil"/>
                <w:bottom w:val="nil"/>
                <w:right w:val="nil"/>
                <w:between w:val="nil"/>
              </w:pBdr>
              <w:jc w:val="right"/>
              <w:rPr>
                <w:color w:val="000000"/>
              </w:rPr>
            </w:pPr>
            <w:r>
              <w:rPr>
                <w:color w:val="000000"/>
              </w:rPr>
              <w:t>Arrangement with a settlement alternative</w:t>
            </w:r>
          </w:p>
        </w:tc>
      </w:tr>
      <w:tr w:rsidR="008E5DE4" w14:paraId="4C32FDD3" w14:textId="77777777">
        <w:trPr>
          <w:cantSplit/>
          <w:tblHeader/>
        </w:trPr>
        <w:tc>
          <w:tcPr>
            <w:tcW w:w="3288" w:type="dxa"/>
            <w:tcBorders>
              <w:top w:val="nil"/>
              <w:bottom w:val="nil"/>
              <w:right w:val="nil"/>
            </w:tcBorders>
            <w:vAlign w:val="bottom"/>
          </w:tcPr>
          <w:p w14:paraId="33250E1E"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xml:space="preserve">Granted to </w:t>
            </w:r>
          </w:p>
        </w:tc>
        <w:tc>
          <w:tcPr>
            <w:tcW w:w="2041" w:type="dxa"/>
            <w:tcBorders>
              <w:top w:val="nil"/>
              <w:left w:val="nil"/>
              <w:bottom w:val="nil"/>
              <w:right w:val="nil"/>
            </w:tcBorders>
            <w:vAlign w:val="bottom"/>
          </w:tcPr>
          <w:p w14:paraId="2F9B5749" w14:textId="77777777" w:rsidR="008E5DE4" w:rsidRDefault="00780368">
            <w:pPr>
              <w:keepNext/>
              <w:keepLines/>
              <w:widowControl w:val="0"/>
              <w:pBdr>
                <w:top w:val="nil"/>
                <w:left w:val="nil"/>
                <w:bottom w:val="nil"/>
                <w:right w:val="nil"/>
                <w:between w:val="nil"/>
              </w:pBdr>
              <w:jc w:val="right"/>
              <w:rPr>
                <w:color w:val="000000"/>
              </w:rPr>
            </w:pPr>
            <w:r>
              <w:rPr>
                <w:color w:val="000000"/>
              </w:rPr>
              <w:t>Selected employees</w:t>
            </w:r>
          </w:p>
        </w:tc>
        <w:tc>
          <w:tcPr>
            <w:tcW w:w="2041" w:type="dxa"/>
            <w:tcBorders>
              <w:top w:val="nil"/>
              <w:left w:val="nil"/>
              <w:bottom w:val="nil"/>
              <w:right w:val="nil"/>
            </w:tcBorders>
            <w:vAlign w:val="bottom"/>
          </w:tcPr>
          <w:p w14:paraId="757062CF" w14:textId="77777777" w:rsidR="008E5DE4" w:rsidRDefault="00780368">
            <w:pPr>
              <w:keepNext/>
              <w:keepLines/>
              <w:widowControl w:val="0"/>
              <w:pBdr>
                <w:top w:val="nil"/>
                <w:left w:val="nil"/>
                <w:bottom w:val="nil"/>
                <w:right w:val="nil"/>
                <w:between w:val="nil"/>
              </w:pBdr>
              <w:jc w:val="right"/>
              <w:rPr>
                <w:color w:val="000000"/>
              </w:rPr>
            </w:pPr>
            <w:r>
              <w:rPr>
                <w:color w:val="000000"/>
              </w:rPr>
              <w:t>Directors</w:t>
            </w:r>
          </w:p>
        </w:tc>
        <w:tc>
          <w:tcPr>
            <w:tcW w:w="2041" w:type="dxa"/>
            <w:tcBorders>
              <w:top w:val="nil"/>
              <w:left w:val="nil"/>
              <w:bottom w:val="nil"/>
            </w:tcBorders>
            <w:vAlign w:val="bottom"/>
          </w:tcPr>
          <w:p w14:paraId="738B907D" w14:textId="77777777" w:rsidR="008E5DE4" w:rsidRDefault="00780368">
            <w:pPr>
              <w:keepNext/>
              <w:keepLines/>
              <w:widowControl w:val="0"/>
              <w:pBdr>
                <w:top w:val="nil"/>
                <w:left w:val="nil"/>
                <w:bottom w:val="nil"/>
                <w:right w:val="nil"/>
                <w:between w:val="nil"/>
              </w:pBdr>
              <w:jc w:val="right"/>
              <w:rPr>
                <w:color w:val="000000"/>
              </w:rPr>
            </w:pPr>
            <w:r>
              <w:rPr>
                <w:color w:val="000000"/>
              </w:rPr>
              <w:t>Third parties</w:t>
            </w:r>
          </w:p>
        </w:tc>
      </w:tr>
      <w:tr w:rsidR="008E5DE4" w14:paraId="23FBC1F0" w14:textId="77777777">
        <w:trPr>
          <w:cantSplit/>
          <w:tblHeader/>
        </w:trPr>
        <w:tc>
          <w:tcPr>
            <w:tcW w:w="3288" w:type="dxa"/>
            <w:tcBorders>
              <w:top w:val="nil"/>
              <w:bottom w:val="nil"/>
              <w:right w:val="nil"/>
            </w:tcBorders>
            <w:vAlign w:val="bottom"/>
          </w:tcPr>
          <w:p w14:paraId="5B406F94"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Date of grant</w:t>
            </w:r>
          </w:p>
        </w:tc>
        <w:tc>
          <w:tcPr>
            <w:tcW w:w="2041" w:type="dxa"/>
            <w:tcBorders>
              <w:top w:val="nil"/>
              <w:left w:val="nil"/>
              <w:bottom w:val="nil"/>
              <w:right w:val="nil"/>
            </w:tcBorders>
            <w:vAlign w:val="bottom"/>
          </w:tcPr>
          <w:p w14:paraId="52055822"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nil"/>
              <w:left w:val="nil"/>
              <w:bottom w:val="nil"/>
              <w:right w:val="nil"/>
            </w:tcBorders>
            <w:vAlign w:val="bottom"/>
          </w:tcPr>
          <w:p w14:paraId="3212E240"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nil"/>
              <w:left w:val="nil"/>
              <w:bottom w:val="nil"/>
            </w:tcBorders>
            <w:vAlign w:val="bottom"/>
          </w:tcPr>
          <w:p w14:paraId="197E792F" w14:textId="77777777" w:rsidR="008E5DE4" w:rsidRDefault="008E5DE4">
            <w:pPr>
              <w:keepNext/>
              <w:keepLines/>
              <w:widowControl w:val="0"/>
              <w:pBdr>
                <w:top w:val="nil"/>
                <w:left w:val="nil"/>
                <w:bottom w:val="nil"/>
                <w:right w:val="nil"/>
                <w:between w:val="nil"/>
              </w:pBdr>
              <w:jc w:val="right"/>
              <w:rPr>
                <w:color w:val="000000"/>
              </w:rPr>
            </w:pPr>
          </w:p>
        </w:tc>
      </w:tr>
      <w:tr w:rsidR="008E5DE4" w14:paraId="28C4E894" w14:textId="77777777">
        <w:trPr>
          <w:cantSplit/>
          <w:tblHeader/>
        </w:trPr>
        <w:tc>
          <w:tcPr>
            <w:tcW w:w="3288" w:type="dxa"/>
            <w:tcBorders>
              <w:top w:val="nil"/>
              <w:bottom w:val="nil"/>
              <w:right w:val="nil"/>
            </w:tcBorders>
            <w:vAlign w:val="bottom"/>
          </w:tcPr>
          <w:p w14:paraId="0C4BE111"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Number of instruments granted</w:t>
            </w:r>
          </w:p>
        </w:tc>
        <w:tc>
          <w:tcPr>
            <w:tcW w:w="2041" w:type="dxa"/>
            <w:tcBorders>
              <w:top w:val="nil"/>
              <w:left w:val="nil"/>
              <w:bottom w:val="nil"/>
              <w:right w:val="nil"/>
            </w:tcBorders>
            <w:vAlign w:val="bottom"/>
          </w:tcPr>
          <w:p w14:paraId="56060A96"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nil"/>
              <w:left w:val="nil"/>
              <w:bottom w:val="nil"/>
              <w:right w:val="nil"/>
            </w:tcBorders>
            <w:vAlign w:val="bottom"/>
          </w:tcPr>
          <w:p w14:paraId="40D10C49"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nil"/>
              <w:left w:val="nil"/>
              <w:bottom w:val="nil"/>
            </w:tcBorders>
            <w:vAlign w:val="bottom"/>
          </w:tcPr>
          <w:p w14:paraId="2ED126A9" w14:textId="77777777" w:rsidR="008E5DE4" w:rsidRDefault="008E5DE4">
            <w:pPr>
              <w:keepNext/>
              <w:keepLines/>
              <w:widowControl w:val="0"/>
              <w:pBdr>
                <w:top w:val="nil"/>
                <w:left w:val="nil"/>
                <w:bottom w:val="nil"/>
                <w:right w:val="nil"/>
                <w:between w:val="nil"/>
              </w:pBdr>
              <w:jc w:val="right"/>
              <w:rPr>
                <w:color w:val="000000"/>
              </w:rPr>
            </w:pPr>
          </w:p>
        </w:tc>
      </w:tr>
      <w:tr w:rsidR="008E5DE4" w14:paraId="578987D9" w14:textId="77777777">
        <w:trPr>
          <w:cantSplit/>
          <w:tblHeader/>
        </w:trPr>
        <w:tc>
          <w:tcPr>
            <w:tcW w:w="3288" w:type="dxa"/>
            <w:tcBorders>
              <w:top w:val="nil"/>
              <w:bottom w:val="nil"/>
              <w:right w:val="nil"/>
            </w:tcBorders>
            <w:vAlign w:val="bottom"/>
          </w:tcPr>
          <w:p w14:paraId="251B3EAC"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Exercise price</w:t>
            </w:r>
          </w:p>
        </w:tc>
        <w:tc>
          <w:tcPr>
            <w:tcW w:w="2041" w:type="dxa"/>
            <w:tcBorders>
              <w:top w:val="nil"/>
              <w:left w:val="nil"/>
              <w:bottom w:val="nil"/>
              <w:right w:val="nil"/>
            </w:tcBorders>
            <w:vAlign w:val="bottom"/>
          </w:tcPr>
          <w:p w14:paraId="21401C36" w14:textId="77777777" w:rsidR="008E5DE4" w:rsidRDefault="00780368">
            <w:pPr>
              <w:keepNext/>
              <w:keepLines/>
              <w:widowControl w:val="0"/>
              <w:pBdr>
                <w:top w:val="nil"/>
                <w:left w:val="nil"/>
                <w:bottom w:val="nil"/>
                <w:right w:val="nil"/>
                <w:between w:val="nil"/>
              </w:pBdr>
              <w:jc w:val="right"/>
              <w:rPr>
                <w:color w:val="000000"/>
              </w:rPr>
            </w:pPr>
            <w:r>
              <w:rPr>
                <w:color w:val="000000"/>
              </w:rPr>
              <w:t>n/a</w:t>
            </w:r>
          </w:p>
        </w:tc>
        <w:tc>
          <w:tcPr>
            <w:tcW w:w="2041" w:type="dxa"/>
            <w:tcBorders>
              <w:top w:val="nil"/>
              <w:left w:val="nil"/>
              <w:bottom w:val="nil"/>
              <w:right w:val="nil"/>
            </w:tcBorders>
            <w:vAlign w:val="bottom"/>
          </w:tcPr>
          <w:p w14:paraId="33870149" w14:textId="77777777" w:rsidR="008E5DE4" w:rsidRDefault="00780368">
            <w:pPr>
              <w:keepNext/>
              <w:keepLines/>
              <w:widowControl w:val="0"/>
              <w:pBdr>
                <w:top w:val="nil"/>
                <w:left w:val="nil"/>
                <w:bottom w:val="nil"/>
                <w:right w:val="nil"/>
                <w:between w:val="nil"/>
              </w:pBdr>
              <w:jc w:val="right"/>
              <w:rPr>
                <w:color w:val="000000"/>
              </w:rPr>
            </w:pPr>
            <w:r>
              <w:rPr>
                <w:color w:val="000000"/>
              </w:rPr>
              <w:t xml:space="preserve"> EUR</w:t>
            </w:r>
          </w:p>
        </w:tc>
        <w:tc>
          <w:tcPr>
            <w:tcW w:w="2041" w:type="dxa"/>
            <w:tcBorders>
              <w:top w:val="nil"/>
              <w:left w:val="nil"/>
              <w:bottom w:val="nil"/>
            </w:tcBorders>
            <w:vAlign w:val="bottom"/>
          </w:tcPr>
          <w:p w14:paraId="5D4913CD" w14:textId="77777777" w:rsidR="008E5DE4" w:rsidRDefault="00780368">
            <w:pPr>
              <w:keepNext/>
              <w:keepLines/>
              <w:widowControl w:val="0"/>
              <w:pBdr>
                <w:top w:val="nil"/>
                <w:left w:val="nil"/>
                <w:bottom w:val="nil"/>
                <w:right w:val="nil"/>
                <w:between w:val="nil"/>
              </w:pBdr>
              <w:jc w:val="right"/>
              <w:rPr>
                <w:color w:val="000000"/>
              </w:rPr>
            </w:pPr>
            <w:r>
              <w:rPr>
                <w:color w:val="000000"/>
              </w:rPr>
              <w:t>n/a</w:t>
            </w:r>
          </w:p>
        </w:tc>
      </w:tr>
      <w:tr w:rsidR="008E5DE4" w14:paraId="7E96B7EA" w14:textId="77777777">
        <w:trPr>
          <w:cantSplit/>
          <w:tblHeader/>
        </w:trPr>
        <w:tc>
          <w:tcPr>
            <w:tcW w:w="3288" w:type="dxa"/>
            <w:tcBorders>
              <w:top w:val="nil"/>
              <w:bottom w:val="nil"/>
              <w:right w:val="nil"/>
            </w:tcBorders>
            <w:vAlign w:val="bottom"/>
          </w:tcPr>
          <w:p w14:paraId="522D6AA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Share price at the date of grant</w:t>
            </w:r>
          </w:p>
        </w:tc>
        <w:tc>
          <w:tcPr>
            <w:tcW w:w="2041" w:type="dxa"/>
            <w:tcBorders>
              <w:top w:val="nil"/>
              <w:left w:val="nil"/>
              <w:bottom w:val="nil"/>
              <w:right w:val="nil"/>
            </w:tcBorders>
            <w:vAlign w:val="bottom"/>
          </w:tcPr>
          <w:p w14:paraId="33611B7A" w14:textId="77777777" w:rsidR="008E5DE4" w:rsidRDefault="00780368">
            <w:pPr>
              <w:keepNext/>
              <w:keepLines/>
              <w:widowControl w:val="0"/>
              <w:pBdr>
                <w:top w:val="nil"/>
                <w:left w:val="nil"/>
                <w:bottom w:val="nil"/>
                <w:right w:val="nil"/>
                <w:between w:val="nil"/>
              </w:pBdr>
              <w:jc w:val="right"/>
              <w:rPr>
                <w:color w:val="000000"/>
              </w:rPr>
            </w:pPr>
            <w:r>
              <w:rPr>
                <w:color w:val="000000"/>
              </w:rPr>
              <w:t>EUR</w:t>
            </w:r>
          </w:p>
        </w:tc>
        <w:tc>
          <w:tcPr>
            <w:tcW w:w="2041" w:type="dxa"/>
            <w:tcBorders>
              <w:top w:val="nil"/>
              <w:left w:val="nil"/>
              <w:bottom w:val="nil"/>
              <w:right w:val="nil"/>
            </w:tcBorders>
            <w:vAlign w:val="bottom"/>
          </w:tcPr>
          <w:p w14:paraId="2F67E180" w14:textId="77777777" w:rsidR="008E5DE4" w:rsidRDefault="00780368">
            <w:pPr>
              <w:keepNext/>
              <w:keepLines/>
              <w:widowControl w:val="0"/>
              <w:pBdr>
                <w:top w:val="nil"/>
                <w:left w:val="nil"/>
                <w:bottom w:val="nil"/>
                <w:right w:val="nil"/>
                <w:between w:val="nil"/>
              </w:pBdr>
              <w:jc w:val="right"/>
              <w:rPr>
                <w:color w:val="000000"/>
              </w:rPr>
            </w:pPr>
            <w:r>
              <w:rPr>
                <w:color w:val="000000"/>
              </w:rPr>
              <w:t>EUR</w:t>
            </w:r>
          </w:p>
        </w:tc>
        <w:tc>
          <w:tcPr>
            <w:tcW w:w="2041" w:type="dxa"/>
            <w:tcBorders>
              <w:top w:val="nil"/>
              <w:left w:val="nil"/>
              <w:bottom w:val="nil"/>
            </w:tcBorders>
            <w:vAlign w:val="bottom"/>
          </w:tcPr>
          <w:p w14:paraId="3F42BE99" w14:textId="77777777" w:rsidR="008E5DE4" w:rsidRDefault="00780368">
            <w:pPr>
              <w:keepNext/>
              <w:keepLines/>
              <w:widowControl w:val="0"/>
              <w:pBdr>
                <w:top w:val="nil"/>
                <w:left w:val="nil"/>
                <w:bottom w:val="nil"/>
                <w:right w:val="nil"/>
                <w:between w:val="nil"/>
              </w:pBdr>
              <w:jc w:val="right"/>
              <w:rPr>
                <w:color w:val="000000"/>
              </w:rPr>
            </w:pPr>
            <w:r>
              <w:rPr>
                <w:color w:val="000000"/>
              </w:rPr>
              <w:t>EUR</w:t>
            </w:r>
          </w:p>
        </w:tc>
      </w:tr>
      <w:tr w:rsidR="008E5DE4" w14:paraId="202929F0" w14:textId="77777777">
        <w:trPr>
          <w:cantSplit/>
          <w:tblHeader/>
        </w:trPr>
        <w:tc>
          <w:tcPr>
            <w:tcW w:w="3288" w:type="dxa"/>
            <w:tcBorders>
              <w:top w:val="nil"/>
              <w:bottom w:val="nil"/>
              <w:right w:val="nil"/>
            </w:tcBorders>
            <w:vAlign w:val="bottom"/>
          </w:tcPr>
          <w:p w14:paraId="771A7F0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Contractual life (years)</w:t>
            </w:r>
          </w:p>
        </w:tc>
        <w:tc>
          <w:tcPr>
            <w:tcW w:w="2041" w:type="dxa"/>
            <w:tcBorders>
              <w:top w:val="nil"/>
              <w:left w:val="nil"/>
              <w:bottom w:val="nil"/>
              <w:right w:val="nil"/>
            </w:tcBorders>
            <w:vAlign w:val="bottom"/>
          </w:tcPr>
          <w:p w14:paraId="4E87DC20"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nil"/>
              <w:left w:val="nil"/>
              <w:bottom w:val="nil"/>
              <w:right w:val="nil"/>
            </w:tcBorders>
            <w:vAlign w:val="bottom"/>
          </w:tcPr>
          <w:p w14:paraId="4D149476"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nil"/>
              <w:left w:val="nil"/>
              <w:bottom w:val="nil"/>
            </w:tcBorders>
            <w:vAlign w:val="bottom"/>
          </w:tcPr>
          <w:p w14:paraId="29904EBB" w14:textId="77777777" w:rsidR="008E5DE4" w:rsidRDefault="008E5DE4">
            <w:pPr>
              <w:keepNext/>
              <w:keepLines/>
              <w:widowControl w:val="0"/>
              <w:pBdr>
                <w:top w:val="nil"/>
                <w:left w:val="nil"/>
                <w:bottom w:val="nil"/>
                <w:right w:val="nil"/>
                <w:between w:val="nil"/>
              </w:pBdr>
              <w:jc w:val="right"/>
              <w:rPr>
                <w:color w:val="000000"/>
              </w:rPr>
            </w:pPr>
          </w:p>
        </w:tc>
      </w:tr>
      <w:tr w:rsidR="008E5DE4" w14:paraId="0A7C99D6" w14:textId="77777777">
        <w:trPr>
          <w:cantSplit/>
          <w:tblHeader/>
        </w:trPr>
        <w:tc>
          <w:tcPr>
            <w:tcW w:w="3288" w:type="dxa"/>
            <w:tcBorders>
              <w:top w:val="nil"/>
              <w:bottom w:val="nil"/>
              <w:right w:val="nil"/>
            </w:tcBorders>
            <w:vAlign w:val="bottom"/>
          </w:tcPr>
          <w:p w14:paraId="663A9308"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Vesting conditions</w:t>
            </w:r>
          </w:p>
        </w:tc>
        <w:tc>
          <w:tcPr>
            <w:tcW w:w="2041" w:type="dxa"/>
            <w:tcBorders>
              <w:top w:val="nil"/>
              <w:left w:val="nil"/>
              <w:bottom w:val="nil"/>
              <w:right w:val="nil"/>
            </w:tcBorders>
            <w:vAlign w:val="bottom"/>
          </w:tcPr>
          <w:p w14:paraId="7027989B" w14:textId="77777777" w:rsidR="008E5DE4" w:rsidRDefault="00780368">
            <w:pPr>
              <w:keepNext/>
              <w:keepLines/>
              <w:widowControl w:val="0"/>
              <w:pBdr>
                <w:top w:val="nil"/>
                <w:left w:val="nil"/>
                <w:bottom w:val="nil"/>
                <w:right w:val="nil"/>
                <w:between w:val="nil"/>
              </w:pBdr>
              <w:jc w:val="right"/>
              <w:rPr>
                <w:color w:val="000000"/>
              </w:rPr>
            </w:pPr>
            <w:r>
              <w:rPr>
                <w:color w:val="000000"/>
              </w:rPr>
              <w:t xml:space="preserve">__ -year service period [and savings requirements] </w:t>
            </w:r>
          </w:p>
        </w:tc>
        <w:tc>
          <w:tcPr>
            <w:tcW w:w="2041" w:type="dxa"/>
            <w:tcBorders>
              <w:top w:val="nil"/>
              <w:left w:val="nil"/>
              <w:bottom w:val="nil"/>
              <w:right w:val="nil"/>
            </w:tcBorders>
            <w:vAlign w:val="bottom"/>
          </w:tcPr>
          <w:p w14:paraId="3A16786E" w14:textId="77777777" w:rsidR="008E5DE4" w:rsidRDefault="00780368">
            <w:pPr>
              <w:keepNext/>
              <w:keepLines/>
              <w:widowControl w:val="0"/>
              <w:pBdr>
                <w:top w:val="nil"/>
                <w:left w:val="nil"/>
                <w:bottom w:val="nil"/>
                <w:right w:val="nil"/>
                <w:between w:val="nil"/>
              </w:pBdr>
              <w:jc w:val="right"/>
              <w:rPr>
                <w:color w:val="000000"/>
              </w:rPr>
            </w:pPr>
            <w:r>
              <w:rPr>
                <w:color w:val="000000"/>
              </w:rPr>
              <w:t>__ -year service period [and __% increase in the share price by 20__]</w:t>
            </w:r>
          </w:p>
        </w:tc>
        <w:tc>
          <w:tcPr>
            <w:tcW w:w="2041" w:type="dxa"/>
            <w:tcBorders>
              <w:top w:val="nil"/>
              <w:left w:val="nil"/>
              <w:bottom w:val="nil"/>
            </w:tcBorders>
            <w:vAlign w:val="bottom"/>
          </w:tcPr>
          <w:p w14:paraId="0B16F333" w14:textId="77777777" w:rsidR="008E5DE4" w:rsidRDefault="00780368">
            <w:pPr>
              <w:keepNext/>
              <w:keepLines/>
              <w:widowControl w:val="0"/>
              <w:pBdr>
                <w:top w:val="nil"/>
                <w:left w:val="nil"/>
                <w:bottom w:val="nil"/>
                <w:right w:val="nil"/>
                <w:between w:val="nil"/>
              </w:pBdr>
              <w:jc w:val="right"/>
              <w:rPr>
                <w:color w:val="000000"/>
              </w:rPr>
            </w:pPr>
            <w:r>
              <w:rPr>
                <w:color w:val="000000"/>
              </w:rPr>
              <w:t>__ -year service period [and non-</w:t>
            </w:r>
            <w:proofErr w:type="gramStart"/>
            <w:r>
              <w:rPr>
                <w:color w:val="000000"/>
              </w:rPr>
              <w:t>market based</w:t>
            </w:r>
            <w:proofErr w:type="gramEnd"/>
            <w:r>
              <w:rPr>
                <w:color w:val="000000"/>
              </w:rPr>
              <w:t xml:space="preserve"> service conditions]</w:t>
            </w:r>
          </w:p>
        </w:tc>
      </w:tr>
      <w:tr w:rsidR="008E5DE4" w14:paraId="679DE7E3" w14:textId="77777777">
        <w:trPr>
          <w:cantSplit/>
          <w:tblHeader/>
        </w:trPr>
        <w:tc>
          <w:tcPr>
            <w:tcW w:w="3288" w:type="dxa"/>
            <w:tcBorders>
              <w:top w:val="nil"/>
              <w:bottom w:val="nil"/>
              <w:right w:val="nil"/>
            </w:tcBorders>
            <w:vAlign w:val="bottom"/>
          </w:tcPr>
          <w:p w14:paraId="692663F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Settlement</w:t>
            </w:r>
          </w:p>
        </w:tc>
        <w:tc>
          <w:tcPr>
            <w:tcW w:w="2041" w:type="dxa"/>
            <w:tcBorders>
              <w:top w:val="nil"/>
              <w:left w:val="nil"/>
              <w:bottom w:val="nil"/>
              <w:right w:val="nil"/>
            </w:tcBorders>
            <w:vAlign w:val="bottom"/>
          </w:tcPr>
          <w:p w14:paraId="00D59735" w14:textId="77777777" w:rsidR="008E5DE4" w:rsidRDefault="00780368">
            <w:pPr>
              <w:keepNext/>
              <w:keepLines/>
              <w:widowControl w:val="0"/>
              <w:pBdr>
                <w:top w:val="nil"/>
                <w:left w:val="nil"/>
                <w:bottom w:val="nil"/>
                <w:right w:val="nil"/>
                <w:between w:val="nil"/>
              </w:pBdr>
              <w:jc w:val="right"/>
              <w:rPr>
                <w:color w:val="000000"/>
              </w:rPr>
            </w:pPr>
            <w:r>
              <w:rPr>
                <w:color w:val="000000"/>
              </w:rPr>
              <w:t>Cash</w:t>
            </w:r>
          </w:p>
        </w:tc>
        <w:tc>
          <w:tcPr>
            <w:tcW w:w="2041" w:type="dxa"/>
            <w:tcBorders>
              <w:top w:val="nil"/>
              <w:left w:val="nil"/>
              <w:bottom w:val="nil"/>
              <w:right w:val="nil"/>
            </w:tcBorders>
            <w:vAlign w:val="bottom"/>
          </w:tcPr>
          <w:p w14:paraId="1D1680A2" w14:textId="77777777" w:rsidR="008E5DE4" w:rsidRDefault="00780368">
            <w:pPr>
              <w:keepNext/>
              <w:keepLines/>
              <w:widowControl w:val="0"/>
              <w:pBdr>
                <w:top w:val="nil"/>
                <w:left w:val="nil"/>
                <w:bottom w:val="nil"/>
                <w:right w:val="nil"/>
                <w:between w:val="nil"/>
              </w:pBdr>
              <w:jc w:val="right"/>
              <w:rPr>
                <w:color w:val="000000"/>
              </w:rPr>
            </w:pPr>
            <w:r>
              <w:rPr>
                <w:color w:val="000000"/>
              </w:rPr>
              <w:t xml:space="preserve">Shares </w:t>
            </w:r>
          </w:p>
        </w:tc>
        <w:tc>
          <w:tcPr>
            <w:tcW w:w="2041" w:type="dxa"/>
            <w:tcBorders>
              <w:top w:val="nil"/>
              <w:left w:val="nil"/>
              <w:bottom w:val="nil"/>
            </w:tcBorders>
            <w:vAlign w:val="bottom"/>
          </w:tcPr>
          <w:p w14:paraId="0351790F" w14:textId="77777777" w:rsidR="008E5DE4" w:rsidRDefault="00780368">
            <w:pPr>
              <w:keepNext/>
              <w:keepLines/>
              <w:widowControl w:val="0"/>
              <w:pBdr>
                <w:top w:val="nil"/>
                <w:left w:val="nil"/>
                <w:bottom w:val="nil"/>
                <w:right w:val="nil"/>
                <w:between w:val="nil"/>
              </w:pBdr>
              <w:jc w:val="right"/>
              <w:rPr>
                <w:color w:val="000000"/>
              </w:rPr>
            </w:pPr>
            <w:r>
              <w:rPr>
                <w:color w:val="000000"/>
              </w:rPr>
              <w:t>Cash or shares</w:t>
            </w:r>
          </w:p>
        </w:tc>
      </w:tr>
      <w:tr w:rsidR="008E5DE4" w14:paraId="1F9E9C1D" w14:textId="77777777">
        <w:trPr>
          <w:cantSplit/>
          <w:tblHeader/>
        </w:trPr>
        <w:tc>
          <w:tcPr>
            <w:tcW w:w="3288" w:type="dxa"/>
            <w:tcBorders>
              <w:top w:val="nil"/>
              <w:bottom w:val="nil"/>
              <w:right w:val="nil"/>
            </w:tcBorders>
            <w:vAlign w:val="bottom"/>
          </w:tcPr>
          <w:p w14:paraId="2FD5D0D6"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Expected option life at grant date (years)</w:t>
            </w:r>
          </w:p>
        </w:tc>
        <w:tc>
          <w:tcPr>
            <w:tcW w:w="2041" w:type="dxa"/>
            <w:tcBorders>
              <w:top w:val="nil"/>
              <w:left w:val="nil"/>
              <w:bottom w:val="nil"/>
              <w:right w:val="nil"/>
            </w:tcBorders>
            <w:vAlign w:val="bottom"/>
          </w:tcPr>
          <w:p w14:paraId="38B980FA"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nil"/>
              <w:left w:val="nil"/>
              <w:bottom w:val="nil"/>
              <w:right w:val="nil"/>
            </w:tcBorders>
            <w:vAlign w:val="bottom"/>
          </w:tcPr>
          <w:p w14:paraId="3F95CB7D" w14:textId="77777777" w:rsidR="008E5DE4" w:rsidRDefault="008E5DE4">
            <w:pPr>
              <w:keepNext/>
              <w:keepLines/>
              <w:widowControl w:val="0"/>
              <w:pBdr>
                <w:top w:val="nil"/>
                <w:left w:val="nil"/>
                <w:bottom w:val="nil"/>
                <w:right w:val="nil"/>
                <w:between w:val="nil"/>
              </w:pBdr>
              <w:jc w:val="right"/>
              <w:rPr>
                <w:color w:val="000000"/>
              </w:rPr>
            </w:pPr>
          </w:p>
        </w:tc>
        <w:tc>
          <w:tcPr>
            <w:tcW w:w="2041" w:type="dxa"/>
            <w:tcBorders>
              <w:top w:val="nil"/>
              <w:left w:val="nil"/>
              <w:bottom w:val="nil"/>
            </w:tcBorders>
            <w:vAlign w:val="bottom"/>
          </w:tcPr>
          <w:p w14:paraId="70AC5DFD" w14:textId="77777777" w:rsidR="008E5DE4" w:rsidRDefault="008E5DE4">
            <w:pPr>
              <w:keepNext/>
              <w:keepLines/>
              <w:widowControl w:val="0"/>
              <w:pBdr>
                <w:top w:val="nil"/>
                <w:left w:val="nil"/>
                <w:bottom w:val="nil"/>
                <w:right w:val="nil"/>
                <w:between w:val="nil"/>
              </w:pBdr>
              <w:jc w:val="right"/>
              <w:rPr>
                <w:color w:val="000000"/>
              </w:rPr>
            </w:pPr>
          </w:p>
        </w:tc>
      </w:tr>
      <w:tr w:rsidR="008E5DE4" w14:paraId="76E4D692" w14:textId="77777777">
        <w:trPr>
          <w:cantSplit/>
          <w:tblHeader/>
        </w:trPr>
        <w:tc>
          <w:tcPr>
            <w:tcW w:w="3288" w:type="dxa"/>
            <w:tcBorders>
              <w:top w:val="nil"/>
              <w:bottom w:val="nil"/>
              <w:right w:val="nil"/>
            </w:tcBorders>
            <w:vAlign w:val="bottom"/>
          </w:tcPr>
          <w:p w14:paraId="22D7B8EA"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Expected departures (grant date)</w:t>
            </w:r>
          </w:p>
        </w:tc>
        <w:tc>
          <w:tcPr>
            <w:tcW w:w="2041" w:type="dxa"/>
            <w:tcBorders>
              <w:top w:val="nil"/>
              <w:left w:val="nil"/>
              <w:bottom w:val="nil"/>
              <w:right w:val="nil"/>
            </w:tcBorders>
            <w:vAlign w:val="bottom"/>
          </w:tcPr>
          <w:p w14:paraId="48DD9B36" w14:textId="77777777" w:rsidR="008E5DE4" w:rsidRDefault="00780368">
            <w:pPr>
              <w:keepNext/>
              <w:keepLines/>
              <w:widowControl w:val="0"/>
              <w:pBdr>
                <w:top w:val="nil"/>
                <w:left w:val="nil"/>
                <w:bottom w:val="nil"/>
                <w:right w:val="nil"/>
                <w:between w:val="nil"/>
              </w:pBdr>
              <w:jc w:val="right"/>
              <w:rPr>
                <w:color w:val="000000"/>
              </w:rPr>
            </w:pPr>
            <w:r>
              <w:rPr>
                <w:color w:val="000000"/>
              </w:rPr>
              <w:t>__% evenly over __ years</w:t>
            </w:r>
          </w:p>
        </w:tc>
        <w:tc>
          <w:tcPr>
            <w:tcW w:w="2041" w:type="dxa"/>
            <w:tcBorders>
              <w:top w:val="nil"/>
              <w:left w:val="nil"/>
              <w:bottom w:val="nil"/>
              <w:right w:val="nil"/>
            </w:tcBorders>
            <w:vAlign w:val="bottom"/>
          </w:tcPr>
          <w:p w14:paraId="789834EA" w14:textId="77777777" w:rsidR="008E5DE4" w:rsidRDefault="00780368">
            <w:pPr>
              <w:keepNext/>
              <w:keepLines/>
              <w:widowControl w:val="0"/>
              <w:pBdr>
                <w:top w:val="nil"/>
                <w:left w:val="nil"/>
                <w:bottom w:val="nil"/>
                <w:right w:val="nil"/>
                <w:between w:val="nil"/>
              </w:pBdr>
              <w:jc w:val="right"/>
              <w:rPr>
                <w:color w:val="000000"/>
              </w:rPr>
            </w:pPr>
            <w:r>
              <w:rPr>
                <w:color w:val="000000"/>
              </w:rPr>
              <w:t>__% evenly over __ years</w:t>
            </w:r>
          </w:p>
        </w:tc>
        <w:tc>
          <w:tcPr>
            <w:tcW w:w="2041" w:type="dxa"/>
            <w:tcBorders>
              <w:top w:val="nil"/>
              <w:left w:val="nil"/>
              <w:bottom w:val="nil"/>
            </w:tcBorders>
            <w:vAlign w:val="bottom"/>
          </w:tcPr>
          <w:p w14:paraId="0232EE19" w14:textId="77777777" w:rsidR="008E5DE4" w:rsidRDefault="00780368">
            <w:pPr>
              <w:keepNext/>
              <w:keepLines/>
              <w:widowControl w:val="0"/>
              <w:pBdr>
                <w:top w:val="nil"/>
                <w:left w:val="nil"/>
                <w:bottom w:val="nil"/>
                <w:right w:val="nil"/>
                <w:between w:val="nil"/>
              </w:pBdr>
              <w:jc w:val="right"/>
              <w:rPr>
                <w:color w:val="000000"/>
              </w:rPr>
            </w:pPr>
            <w:r>
              <w:rPr>
                <w:color w:val="000000"/>
              </w:rPr>
              <w:t>__% over __ years</w:t>
            </w:r>
          </w:p>
        </w:tc>
      </w:tr>
      <w:tr w:rsidR="008E5DE4" w14:paraId="217BE6CC" w14:textId="77777777">
        <w:trPr>
          <w:cantSplit/>
          <w:tblHeader/>
        </w:trPr>
        <w:tc>
          <w:tcPr>
            <w:tcW w:w="3288" w:type="dxa"/>
            <w:tcBorders>
              <w:top w:val="nil"/>
              <w:bottom w:val="nil"/>
              <w:right w:val="nil"/>
            </w:tcBorders>
            <w:vAlign w:val="bottom"/>
          </w:tcPr>
          <w:p w14:paraId="4408A6A9"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xml:space="preserve">Expected outcome of meeting </w:t>
            </w:r>
          </w:p>
          <w:p w14:paraId="1AEE8979"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performance criteria (at the grant date)</w:t>
            </w:r>
          </w:p>
        </w:tc>
        <w:tc>
          <w:tcPr>
            <w:tcW w:w="2041" w:type="dxa"/>
            <w:tcBorders>
              <w:top w:val="nil"/>
              <w:left w:val="nil"/>
              <w:bottom w:val="nil"/>
              <w:right w:val="nil"/>
            </w:tcBorders>
            <w:vAlign w:val="bottom"/>
          </w:tcPr>
          <w:p w14:paraId="4C1CA5E5" w14:textId="77777777" w:rsidR="008E5DE4" w:rsidRDefault="00780368">
            <w:pPr>
              <w:keepNext/>
              <w:keepLines/>
              <w:widowControl w:val="0"/>
              <w:pBdr>
                <w:top w:val="nil"/>
                <w:left w:val="nil"/>
                <w:bottom w:val="nil"/>
                <w:right w:val="nil"/>
                <w:between w:val="nil"/>
              </w:pBdr>
              <w:jc w:val="right"/>
              <w:rPr>
                <w:color w:val="000000"/>
              </w:rPr>
            </w:pPr>
            <w:r>
              <w:rPr>
                <w:color w:val="000000"/>
              </w:rPr>
              <w:t>n/a</w:t>
            </w:r>
          </w:p>
        </w:tc>
        <w:tc>
          <w:tcPr>
            <w:tcW w:w="2041" w:type="dxa"/>
            <w:tcBorders>
              <w:top w:val="nil"/>
              <w:left w:val="nil"/>
              <w:bottom w:val="nil"/>
              <w:right w:val="nil"/>
            </w:tcBorders>
            <w:vAlign w:val="bottom"/>
          </w:tcPr>
          <w:p w14:paraId="02153237" w14:textId="77777777" w:rsidR="008E5DE4" w:rsidRDefault="00780368">
            <w:pPr>
              <w:keepNext/>
              <w:keepLines/>
              <w:widowControl w:val="0"/>
              <w:pBdr>
                <w:top w:val="nil"/>
                <w:left w:val="nil"/>
                <w:bottom w:val="nil"/>
                <w:right w:val="nil"/>
                <w:between w:val="nil"/>
              </w:pBdr>
              <w:jc w:val="right"/>
              <w:rPr>
                <w:color w:val="000000"/>
              </w:rPr>
            </w:pPr>
            <w:r>
              <w:rPr>
                <w:color w:val="000000"/>
              </w:rPr>
              <w:t>n/a (allowed for in determining fair value)</w:t>
            </w:r>
          </w:p>
        </w:tc>
        <w:tc>
          <w:tcPr>
            <w:tcW w:w="2041" w:type="dxa"/>
            <w:tcBorders>
              <w:top w:val="nil"/>
              <w:left w:val="nil"/>
              <w:bottom w:val="nil"/>
            </w:tcBorders>
            <w:vAlign w:val="bottom"/>
          </w:tcPr>
          <w:p w14:paraId="02340A4D" w14:textId="77777777" w:rsidR="008E5DE4" w:rsidRDefault="00780368">
            <w:pPr>
              <w:keepNext/>
              <w:keepLines/>
              <w:widowControl w:val="0"/>
              <w:pBdr>
                <w:top w:val="nil"/>
                <w:left w:val="nil"/>
                <w:bottom w:val="nil"/>
                <w:right w:val="nil"/>
                <w:between w:val="nil"/>
              </w:pBdr>
              <w:jc w:val="right"/>
              <w:rPr>
                <w:color w:val="000000"/>
              </w:rPr>
            </w:pPr>
            <w:r>
              <w:rPr>
                <w:color w:val="000000"/>
              </w:rPr>
              <w:t>n/a</w:t>
            </w:r>
          </w:p>
        </w:tc>
      </w:tr>
      <w:tr w:rsidR="008E5DE4" w14:paraId="294BCD16" w14:textId="77777777">
        <w:trPr>
          <w:cantSplit/>
          <w:tblHeader/>
        </w:trPr>
        <w:tc>
          <w:tcPr>
            <w:tcW w:w="3288" w:type="dxa"/>
            <w:tcBorders>
              <w:top w:val="nil"/>
              <w:bottom w:val="nil"/>
              <w:right w:val="nil"/>
            </w:tcBorders>
            <w:vAlign w:val="bottom"/>
          </w:tcPr>
          <w:p w14:paraId="2951DAC6"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Fair value per granted instrument determined at grant date</w:t>
            </w:r>
          </w:p>
        </w:tc>
        <w:tc>
          <w:tcPr>
            <w:tcW w:w="2041" w:type="dxa"/>
            <w:tcBorders>
              <w:top w:val="nil"/>
              <w:left w:val="nil"/>
              <w:bottom w:val="nil"/>
              <w:right w:val="nil"/>
            </w:tcBorders>
            <w:vAlign w:val="bottom"/>
          </w:tcPr>
          <w:p w14:paraId="4442B8BE" w14:textId="77777777" w:rsidR="008E5DE4" w:rsidRDefault="00780368">
            <w:pPr>
              <w:keepNext/>
              <w:keepLines/>
              <w:widowControl w:val="0"/>
              <w:pBdr>
                <w:top w:val="nil"/>
                <w:left w:val="nil"/>
                <w:bottom w:val="nil"/>
                <w:right w:val="nil"/>
                <w:between w:val="nil"/>
              </w:pBdr>
              <w:jc w:val="right"/>
              <w:rPr>
                <w:color w:val="000000"/>
              </w:rPr>
            </w:pPr>
            <w:r>
              <w:rPr>
                <w:color w:val="000000"/>
              </w:rPr>
              <w:t>EUR</w:t>
            </w:r>
          </w:p>
        </w:tc>
        <w:tc>
          <w:tcPr>
            <w:tcW w:w="2041" w:type="dxa"/>
            <w:tcBorders>
              <w:top w:val="nil"/>
              <w:left w:val="nil"/>
              <w:bottom w:val="nil"/>
              <w:right w:val="nil"/>
            </w:tcBorders>
            <w:vAlign w:val="bottom"/>
          </w:tcPr>
          <w:p w14:paraId="4EB6308E" w14:textId="77777777" w:rsidR="008E5DE4" w:rsidRDefault="00780368">
            <w:pPr>
              <w:keepNext/>
              <w:keepLines/>
              <w:widowControl w:val="0"/>
              <w:pBdr>
                <w:top w:val="nil"/>
                <w:left w:val="nil"/>
                <w:bottom w:val="nil"/>
                <w:right w:val="nil"/>
                <w:between w:val="nil"/>
              </w:pBdr>
              <w:jc w:val="right"/>
              <w:rPr>
                <w:color w:val="000000"/>
              </w:rPr>
            </w:pPr>
            <w:r>
              <w:rPr>
                <w:color w:val="000000"/>
              </w:rPr>
              <w:t>EUR</w:t>
            </w:r>
          </w:p>
        </w:tc>
        <w:tc>
          <w:tcPr>
            <w:tcW w:w="2041" w:type="dxa"/>
            <w:tcBorders>
              <w:top w:val="nil"/>
              <w:left w:val="nil"/>
              <w:bottom w:val="nil"/>
            </w:tcBorders>
            <w:vAlign w:val="bottom"/>
          </w:tcPr>
          <w:p w14:paraId="3E71A821" w14:textId="77777777" w:rsidR="008E5DE4" w:rsidRDefault="00780368">
            <w:pPr>
              <w:keepNext/>
              <w:keepLines/>
              <w:widowControl w:val="0"/>
              <w:pBdr>
                <w:top w:val="nil"/>
                <w:left w:val="nil"/>
                <w:bottom w:val="nil"/>
                <w:right w:val="nil"/>
                <w:between w:val="nil"/>
              </w:pBdr>
              <w:jc w:val="right"/>
              <w:rPr>
                <w:color w:val="000000"/>
              </w:rPr>
            </w:pPr>
            <w:r>
              <w:rPr>
                <w:color w:val="000000"/>
              </w:rPr>
              <w:t>EUR</w:t>
            </w:r>
          </w:p>
        </w:tc>
      </w:tr>
      <w:tr w:rsidR="008E5DE4" w14:paraId="22433AB1" w14:textId="77777777">
        <w:trPr>
          <w:cantSplit/>
          <w:tblHeader/>
        </w:trPr>
        <w:tc>
          <w:tcPr>
            <w:tcW w:w="3288" w:type="dxa"/>
            <w:tcBorders>
              <w:top w:val="nil"/>
              <w:bottom w:val="nil"/>
              <w:right w:val="nil"/>
            </w:tcBorders>
            <w:vAlign w:val="bottom"/>
          </w:tcPr>
          <w:p w14:paraId="5C078953" w14:textId="77777777" w:rsidR="008E5DE4" w:rsidRDefault="00780368">
            <w:pPr>
              <w:widowControl w:val="0"/>
              <w:pBdr>
                <w:top w:val="nil"/>
                <w:left w:val="nil"/>
                <w:bottom w:val="nil"/>
                <w:right w:val="nil"/>
                <w:between w:val="nil"/>
              </w:pBdr>
              <w:ind w:left="113" w:right="-57" w:hanging="113"/>
              <w:rPr>
                <w:color w:val="000000"/>
              </w:rPr>
            </w:pPr>
            <w:r>
              <w:rPr>
                <w:color w:val="000000"/>
              </w:rPr>
              <w:t>Valuation model</w:t>
            </w:r>
          </w:p>
        </w:tc>
        <w:tc>
          <w:tcPr>
            <w:tcW w:w="2041" w:type="dxa"/>
            <w:tcBorders>
              <w:top w:val="nil"/>
              <w:left w:val="nil"/>
              <w:bottom w:val="nil"/>
              <w:right w:val="nil"/>
            </w:tcBorders>
            <w:vAlign w:val="bottom"/>
          </w:tcPr>
          <w:p w14:paraId="282C282B" w14:textId="77777777" w:rsidR="008E5DE4" w:rsidRDefault="00780368">
            <w:pPr>
              <w:widowControl w:val="0"/>
              <w:pBdr>
                <w:top w:val="nil"/>
                <w:left w:val="nil"/>
                <w:bottom w:val="nil"/>
                <w:right w:val="nil"/>
                <w:between w:val="nil"/>
              </w:pBdr>
              <w:jc w:val="right"/>
              <w:rPr>
                <w:color w:val="000000"/>
              </w:rPr>
            </w:pPr>
            <w:r>
              <w:rPr>
                <w:color w:val="000000"/>
              </w:rPr>
              <w:t>Black-Scholes</w:t>
            </w:r>
          </w:p>
        </w:tc>
        <w:tc>
          <w:tcPr>
            <w:tcW w:w="2041" w:type="dxa"/>
            <w:tcBorders>
              <w:top w:val="nil"/>
              <w:left w:val="nil"/>
              <w:bottom w:val="nil"/>
              <w:right w:val="nil"/>
            </w:tcBorders>
            <w:vAlign w:val="bottom"/>
          </w:tcPr>
          <w:p w14:paraId="410DCC7E" w14:textId="77777777" w:rsidR="008E5DE4" w:rsidRDefault="00780368">
            <w:pPr>
              <w:widowControl w:val="0"/>
              <w:pBdr>
                <w:top w:val="nil"/>
                <w:left w:val="nil"/>
                <w:bottom w:val="nil"/>
                <w:right w:val="nil"/>
                <w:between w:val="nil"/>
              </w:pBdr>
              <w:jc w:val="right"/>
              <w:rPr>
                <w:color w:val="000000"/>
              </w:rPr>
            </w:pPr>
            <w:r>
              <w:rPr>
                <w:color w:val="231F20"/>
              </w:rPr>
              <w:t>Monte-Carlo model</w:t>
            </w:r>
          </w:p>
        </w:tc>
        <w:tc>
          <w:tcPr>
            <w:tcW w:w="2041" w:type="dxa"/>
            <w:tcBorders>
              <w:top w:val="nil"/>
              <w:left w:val="nil"/>
              <w:bottom w:val="nil"/>
            </w:tcBorders>
            <w:vAlign w:val="bottom"/>
          </w:tcPr>
          <w:p w14:paraId="496AD391" w14:textId="77777777" w:rsidR="008E5DE4" w:rsidRDefault="00780368">
            <w:pPr>
              <w:widowControl w:val="0"/>
              <w:pBdr>
                <w:top w:val="nil"/>
                <w:left w:val="nil"/>
                <w:bottom w:val="nil"/>
                <w:right w:val="nil"/>
                <w:between w:val="nil"/>
              </w:pBdr>
              <w:jc w:val="right"/>
              <w:rPr>
                <w:color w:val="000000"/>
              </w:rPr>
            </w:pPr>
            <w:r>
              <w:rPr>
                <w:color w:val="231F20"/>
              </w:rPr>
              <w:t>Binomial model</w:t>
            </w:r>
          </w:p>
        </w:tc>
      </w:tr>
      <w:tr w:rsidR="008E5DE4" w14:paraId="50A21E3C" w14:textId="77777777">
        <w:trPr>
          <w:cantSplit/>
          <w:tblHeader/>
        </w:trPr>
        <w:tc>
          <w:tcPr>
            <w:tcW w:w="3288" w:type="dxa"/>
            <w:tcBorders>
              <w:top w:val="nil"/>
              <w:bottom w:val="single" w:sz="4" w:space="0" w:color="000000"/>
              <w:right w:val="nil"/>
            </w:tcBorders>
            <w:vAlign w:val="bottom"/>
          </w:tcPr>
          <w:p w14:paraId="082F6A0D" w14:textId="77777777" w:rsidR="008E5DE4" w:rsidRDefault="008E5DE4">
            <w:pPr>
              <w:widowControl w:val="0"/>
              <w:pBdr>
                <w:top w:val="nil"/>
                <w:left w:val="nil"/>
                <w:bottom w:val="nil"/>
                <w:right w:val="nil"/>
                <w:between w:val="nil"/>
              </w:pBdr>
              <w:ind w:left="113" w:right="-57" w:hanging="113"/>
              <w:rPr>
                <w:color w:val="000000"/>
              </w:rPr>
            </w:pPr>
          </w:p>
        </w:tc>
        <w:tc>
          <w:tcPr>
            <w:tcW w:w="2041" w:type="dxa"/>
            <w:tcBorders>
              <w:top w:val="nil"/>
              <w:left w:val="nil"/>
              <w:bottom w:val="single" w:sz="4" w:space="0" w:color="000000"/>
              <w:right w:val="nil"/>
            </w:tcBorders>
            <w:vAlign w:val="bottom"/>
          </w:tcPr>
          <w:p w14:paraId="1E042EB8" w14:textId="77777777" w:rsidR="008E5DE4" w:rsidRDefault="008E5DE4">
            <w:pPr>
              <w:widowControl w:val="0"/>
              <w:pBdr>
                <w:top w:val="nil"/>
                <w:left w:val="nil"/>
                <w:bottom w:val="nil"/>
                <w:right w:val="nil"/>
                <w:between w:val="nil"/>
              </w:pBdr>
              <w:jc w:val="right"/>
              <w:rPr>
                <w:color w:val="000000"/>
              </w:rPr>
            </w:pPr>
          </w:p>
        </w:tc>
        <w:tc>
          <w:tcPr>
            <w:tcW w:w="2041" w:type="dxa"/>
            <w:tcBorders>
              <w:top w:val="nil"/>
              <w:left w:val="nil"/>
              <w:bottom w:val="single" w:sz="4" w:space="0" w:color="000000"/>
              <w:right w:val="nil"/>
            </w:tcBorders>
            <w:vAlign w:val="bottom"/>
          </w:tcPr>
          <w:p w14:paraId="218112F3" w14:textId="77777777" w:rsidR="008E5DE4" w:rsidRDefault="008E5DE4">
            <w:pPr>
              <w:widowControl w:val="0"/>
              <w:pBdr>
                <w:top w:val="nil"/>
                <w:left w:val="nil"/>
                <w:bottom w:val="nil"/>
                <w:right w:val="nil"/>
                <w:between w:val="nil"/>
              </w:pBdr>
              <w:jc w:val="right"/>
              <w:rPr>
                <w:color w:val="231F20"/>
              </w:rPr>
            </w:pPr>
          </w:p>
        </w:tc>
        <w:tc>
          <w:tcPr>
            <w:tcW w:w="2041" w:type="dxa"/>
            <w:tcBorders>
              <w:top w:val="nil"/>
              <w:left w:val="nil"/>
              <w:bottom w:val="single" w:sz="4" w:space="0" w:color="000000"/>
            </w:tcBorders>
            <w:vAlign w:val="bottom"/>
          </w:tcPr>
          <w:p w14:paraId="6FC0C067" w14:textId="77777777" w:rsidR="008E5DE4" w:rsidRDefault="008E5DE4">
            <w:pPr>
              <w:widowControl w:val="0"/>
              <w:pBdr>
                <w:top w:val="nil"/>
                <w:left w:val="nil"/>
                <w:bottom w:val="nil"/>
                <w:right w:val="nil"/>
                <w:between w:val="nil"/>
              </w:pBdr>
              <w:jc w:val="right"/>
              <w:rPr>
                <w:color w:val="231F20"/>
              </w:rPr>
            </w:pPr>
          </w:p>
        </w:tc>
      </w:tr>
    </w:tbl>
    <w:p w14:paraId="15283CF4" w14:textId="40624A6D" w:rsidR="008E5DE4" w:rsidRDefault="00780368">
      <w:pPr>
        <w:widowControl w:val="0"/>
        <w:pBdr>
          <w:top w:val="nil"/>
          <w:left w:val="nil"/>
          <w:bottom w:val="nil"/>
          <w:right w:val="nil"/>
          <w:between w:val="nil"/>
        </w:pBdr>
        <w:spacing w:before="200" w:after="200"/>
        <w:jc w:val="both"/>
        <w:rPr>
          <w:color w:val="000000"/>
          <w:sz w:val="20"/>
          <w:szCs w:val="20"/>
        </w:rPr>
      </w:pPr>
      <w:r w:rsidRPr="00831ED1">
        <w:rPr>
          <w:color w:val="0000FF"/>
          <w:sz w:val="20"/>
          <w:szCs w:val="20"/>
        </w:rPr>
        <w:t>[Share options are granted to [</w:t>
      </w:r>
      <w:r>
        <w:rPr>
          <w:color w:val="0000FF"/>
          <w:sz w:val="20"/>
          <w:szCs w:val="20"/>
        </w:rPr>
        <w:t>directors and selected employees] [under the Executive Share Option Scheme / Savings-Related Share Option Scheme / Share Matching Plan</w:t>
      </w:r>
      <w:r>
        <w:rPr>
          <w:color w:val="002060"/>
          <w:sz w:val="20"/>
          <w:szCs w:val="20"/>
        </w:rPr>
        <w:t>]</w:t>
      </w:r>
      <w:r>
        <w:rPr>
          <w:color w:val="000000"/>
          <w:sz w:val="20"/>
          <w:szCs w:val="20"/>
        </w:rPr>
        <w:t xml:space="preserve">. </w:t>
      </w:r>
      <w:r>
        <w:rPr>
          <w:color w:val="0000FF"/>
          <w:sz w:val="20"/>
          <w:szCs w:val="20"/>
        </w:rPr>
        <w:t>[Under the __ plan/scheme, [directors and employees]</w:t>
      </w:r>
      <w:r>
        <w:rPr>
          <w:color w:val="002060"/>
          <w:sz w:val="20"/>
          <w:szCs w:val="20"/>
        </w:rPr>
        <w:t xml:space="preserve"> </w:t>
      </w:r>
      <w:proofErr w:type="gramStart"/>
      <w:r>
        <w:rPr>
          <w:color w:val="0000FF"/>
          <w:sz w:val="20"/>
          <w:szCs w:val="20"/>
        </w:rPr>
        <w:t>have the opportunity to</w:t>
      </w:r>
      <w:proofErr w:type="gramEnd"/>
      <w:r>
        <w:rPr>
          <w:color w:val="0000FF"/>
          <w:sz w:val="20"/>
          <w:szCs w:val="20"/>
        </w:rPr>
        <w:t xml:space="preserve"> purchase shares at a discount of __%. / The exercise price of the granted options is equal </w:t>
      </w:r>
      <w:r w:rsidRPr="00CB22C7">
        <w:rPr>
          <w:color w:val="0000FF"/>
          <w:sz w:val="20"/>
          <w:szCs w:val="20"/>
        </w:rPr>
        <w:t>to</w:t>
      </w:r>
      <w:r w:rsidR="00CB22C7" w:rsidRPr="007F183E">
        <w:rPr>
          <w:color w:val="0000FF"/>
          <w:sz w:val="20"/>
          <w:szCs w:val="20"/>
        </w:rPr>
        <w:t xml:space="preserve"> </w:t>
      </w:r>
      <w:proofErr w:type="gramStart"/>
      <w:r w:rsidR="00CB22C7" w:rsidRPr="007F183E">
        <w:rPr>
          <w:color w:val="0000FF"/>
          <w:sz w:val="20"/>
          <w:szCs w:val="20"/>
        </w:rPr>
        <w:t>[ ]</w:t>
      </w:r>
      <w:proofErr w:type="gramEnd"/>
      <w:r w:rsidR="00CB22C7">
        <w:rPr>
          <w:color w:val="0000FF"/>
          <w:sz w:val="20"/>
          <w:szCs w:val="20"/>
        </w:rPr>
        <w:t xml:space="preserve"> </w:t>
      </w:r>
      <w:r>
        <w:rPr>
          <w:color w:val="002060"/>
          <w:sz w:val="20"/>
          <w:szCs w:val="20"/>
        </w:rPr>
        <w:t>]</w:t>
      </w:r>
      <w:r w:rsidR="00CB22C7">
        <w:rPr>
          <w:color w:val="002060"/>
          <w:sz w:val="20"/>
          <w:szCs w:val="20"/>
        </w:rPr>
        <w:t>.</w:t>
      </w:r>
      <w:r>
        <w:rPr>
          <w:color w:val="0000FF"/>
          <w:sz w:val="20"/>
          <w:szCs w:val="20"/>
        </w:rPr>
        <w:t xml:space="preserve"> [The number of shares an eligible director and employee may purchase through the plan/scheme is limited to</w:t>
      </w:r>
      <w:r w:rsidR="00CB22C7">
        <w:rPr>
          <w:color w:val="0000FF"/>
          <w:sz w:val="20"/>
          <w:szCs w:val="20"/>
        </w:rPr>
        <w:t xml:space="preserve"> </w:t>
      </w:r>
      <w:proofErr w:type="gramStart"/>
      <w:r w:rsidR="00CB22C7" w:rsidRPr="00486EFA">
        <w:rPr>
          <w:color w:val="0000FF"/>
          <w:sz w:val="20"/>
          <w:szCs w:val="20"/>
        </w:rPr>
        <w:t>[ ]</w:t>
      </w:r>
      <w:proofErr w:type="gramEnd"/>
      <w:r w:rsidR="00CB22C7">
        <w:rPr>
          <w:color w:val="0000FF"/>
          <w:sz w:val="20"/>
          <w:szCs w:val="20"/>
        </w:rPr>
        <w:t xml:space="preserve"> </w:t>
      </w:r>
      <w:r>
        <w:rPr>
          <w:color w:val="002060"/>
          <w:sz w:val="20"/>
          <w:szCs w:val="20"/>
        </w:rPr>
        <w:t>]</w:t>
      </w:r>
      <w:r w:rsidR="00CB22C7">
        <w:rPr>
          <w:color w:val="002060"/>
          <w:sz w:val="20"/>
          <w:szCs w:val="20"/>
        </w:rPr>
        <w:t>.</w:t>
      </w:r>
      <w:r>
        <w:rPr>
          <w:color w:val="000000"/>
          <w:sz w:val="20"/>
          <w:szCs w:val="20"/>
        </w:rPr>
        <w:t xml:space="preserve"> </w:t>
      </w:r>
      <w:r>
        <w:rPr>
          <w:color w:val="0000FF"/>
          <w:sz w:val="20"/>
          <w:szCs w:val="20"/>
        </w:rPr>
        <w:t>[Directors and employees are allowed to cash out their awards by receiving cash or selling their shares to __.]</w:t>
      </w:r>
    </w:p>
    <w:p w14:paraId="43B71CB4"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Options are conditional on the employee completing </w:t>
      </w:r>
      <w:r>
        <w:rPr>
          <w:color w:val="0000FF"/>
          <w:sz w:val="20"/>
          <w:szCs w:val="20"/>
        </w:rPr>
        <w:t>[three years’]</w:t>
      </w:r>
      <w:r>
        <w:rPr>
          <w:color w:val="000000"/>
          <w:sz w:val="20"/>
          <w:szCs w:val="20"/>
        </w:rPr>
        <w:t xml:space="preserve"> service (the vesting period [and (the vesting criteria)]. The options are exercisable starting </w:t>
      </w:r>
      <w:r>
        <w:rPr>
          <w:color w:val="0000FF"/>
          <w:sz w:val="20"/>
          <w:szCs w:val="20"/>
        </w:rPr>
        <w:t>[three years from the grant date, subject to the group achieving its target growth in earnings per share over the period of inflation plus 4%]</w:t>
      </w:r>
      <w:r>
        <w:rPr>
          <w:color w:val="002060"/>
          <w:sz w:val="20"/>
          <w:szCs w:val="20"/>
        </w:rPr>
        <w:t>,</w:t>
      </w:r>
      <w:r>
        <w:rPr>
          <w:color w:val="000000"/>
          <w:sz w:val="20"/>
          <w:szCs w:val="20"/>
        </w:rPr>
        <w:t xml:space="preserve"> the options have a contractual option term of </w:t>
      </w:r>
      <w:r>
        <w:rPr>
          <w:color w:val="0000FF"/>
          <w:sz w:val="20"/>
          <w:szCs w:val="20"/>
        </w:rPr>
        <w:t>[five]</w:t>
      </w:r>
      <w:r>
        <w:rPr>
          <w:color w:val="000000"/>
          <w:sz w:val="20"/>
          <w:szCs w:val="20"/>
        </w:rPr>
        <w:t xml:space="preserve"> years</w:t>
      </w:r>
      <w:r>
        <w:rPr>
          <w:color w:val="366091"/>
          <w:sz w:val="20"/>
          <w:szCs w:val="20"/>
        </w:rPr>
        <w:t xml:space="preserve">. </w:t>
      </w:r>
      <w:r>
        <w:rPr>
          <w:color w:val="0000FF"/>
          <w:sz w:val="20"/>
          <w:szCs w:val="20"/>
        </w:rPr>
        <w:t>[The Group has no legal or constructive obligation to repurchase or settle the options in cash.]</w:t>
      </w:r>
    </w:p>
    <w:p w14:paraId="62D50AD7" w14:textId="77777777" w:rsidR="008E5DE4" w:rsidRDefault="00780368">
      <w:pPr>
        <w:widowControl w:val="0"/>
        <w:pBdr>
          <w:top w:val="nil"/>
          <w:left w:val="nil"/>
          <w:bottom w:val="nil"/>
          <w:right w:val="nil"/>
          <w:between w:val="nil"/>
        </w:pBdr>
        <w:spacing w:before="200" w:after="200"/>
        <w:jc w:val="both"/>
        <w:rPr>
          <w:b/>
          <w:color w:val="000000"/>
          <w:sz w:val="20"/>
          <w:szCs w:val="20"/>
        </w:rPr>
      </w:pPr>
      <w:r>
        <w:rPr>
          <w:color w:val="000000"/>
          <w:sz w:val="20"/>
          <w:szCs w:val="20"/>
        </w:rPr>
        <w:t xml:space="preserve">The fair value of shares and share options has been calculated using the </w:t>
      </w:r>
      <w:r>
        <w:rPr>
          <w:color w:val="0000FF"/>
          <w:sz w:val="20"/>
          <w:szCs w:val="20"/>
        </w:rPr>
        <w:t>[Black-Scholes option pricing model / Monte-Carlo Simulation model / Binomial model].]</w:t>
      </w:r>
      <w:r>
        <w:rPr>
          <w:b/>
          <w:color w:val="000000"/>
          <w:sz w:val="20"/>
          <w:szCs w:val="20"/>
        </w:rPr>
        <w:t xml:space="preserve"> </w:t>
      </w:r>
    </w:p>
    <w:p w14:paraId="08269E41" w14:textId="77777777" w:rsidR="008E5DE4" w:rsidRDefault="00780368">
      <w:pPr>
        <w:keepNext/>
        <w:keepLines/>
        <w:widowControl w:val="0"/>
        <w:pBdr>
          <w:top w:val="nil"/>
          <w:left w:val="nil"/>
          <w:bottom w:val="nil"/>
          <w:right w:val="nil"/>
          <w:between w:val="nil"/>
        </w:pBdr>
        <w:spacing w:before="200" w:after="200"/>
        <w:jc w:val="both"/>
        <w:rPr>
          <w:color w:val="000000"/>
          <w:sz w:val="20"/>
          <w:szCs w:val="20"/>
        </w:rPr>
      </w:pPr>
      <w:r>
        <w:rPr>
          <w:color w:val="000000"/>
          <w:sz w:val="20"/>
          <w:szCs w:val="20"/>
        </w:rPr>
        <w:lastRenderedPageBreak/>
        <w:t xml:space="preserve">Movements in the number of share options outstanding and their related weighted average exercise prices are as follows: </w:t>
      </w:r>
    </w:p>
    <w:tbl>
      <w:tblPr>
        <w:tblStyle w:val="affffffffffffffe"/>
        <w:tblW w:w="9413" w:type="dxa"/>
        <w:tblLayout w:type="fixed"/>
        <w:tblLook w:val="0000" w:firstRow="0" w:lastRow="0" w:firstColumn="0" w:lastColumn="0" w:noHBand="0" w:noVBand="0"/>
      </w:tblPr>
      <w:tblGrid>
        <w:gridCol w:w="2948"/>
        <w:gridCol w:w="1701"/>
        <w:gridCol w:w="1418"/>
        <w:gridCol w:w="1899"/>
        <w:gridCol w:w="29"/>
        <w:gridCol w:w="1418"/>
      </w:tblGrid>
      <w:tr w:rsidR="008E5DE4" w14:paraId="05373CF4" w14:textId="77777777">
        <w:trPr>
          <w:cantSplit/>
          <w:tblHeader/>
        </w:trPr>
        <w:tc>
          <w:tcPr>
            <w:tcW w:w="2948" w:type="dxa"/>
            <w:vAlign w:val="bottom"/>
          </w:tcPr>
          <w:p w14:paraId="4C91DF2E" w14:textId="77777777" w:rsidR="008E5DE4" w:rsidRDefault="008E5DE4">
            <w:pPr>
              <w:keepNext/>
              <w:keepLines/>
              <w:widowControl w:val="0"/>
              <w:pBdr>
                <w:top w:val="nil"/>
                <w:left w:val="nil"/>
                <w:bottom w:val="nil"/>
                <w:right w:val="nil"/>
                <w:between w:val="nil"/>
              </w:pBdr>
              <w:ind w:left="113" w:right="-57" w:hanging="113"/>
              <w:rPr>
                <w:b/>
                <w:color w:val="000000"/>
              </w:rPr>
            </w:pPr>
          </w:p>
        </w:tc>
        <w:tc>
          <w:tcPr>
            <w:tcW w:w="3119" w:type="dxa"/>
            <w:gridSpan w:val="2"/>
            <w:vAlign w:val="bottom"/>
          </w:tcPr>
          <w:p w14:paraId="132BD110" w14:textId="2591C1E7" w:rsidR="008E5DE4" w:rsidRDefault="008614F8">
            <w:pPr>
              <w:keepNext/>
              <w:keepLines/>
              <w:widowControl w:val="0"/>
              <w:pBdr>
                <w:top w:val="nil"/>
                <w:left w:val="nil"/>
                <w:bottom w:val="nil"/>
                <w:right w:val="nil"/>
                <w:between w:val="nil"/>
              </w:pBdr>
              <w:jc w:val="center"/>
              <w:rPr>
                <w:b/>
                <w:color w:val="000000"/>
              </w:rPr>
            </w:pPr>
            <w:r>
              <w:rPr>
                <w:b/>
                <w:color w:val="000000"/>
              </w:rPr>
              <w:t>2025</w:t>
            </w:r>
          </w:p>
        </w:tc>
        <w:tc>
          <w:tcPr>
            <w:tcW w:w="3346" w:type="dxa"/>
            <w:gridSpan w:val="3"/>
            <w:vAlign w:val="bottom"/>
          </w:tcPr>
          <w:p w14:paraId="13001521" w14:textId="1DBE0DA8" w:rsidR="008E5DE4" w:rsidRDefault="00A46633">
            <w:pPr>
              <w:keepNext/>
              <w:keepLines/>
              <w:widowControl w:val="0"/>
              <w:pBdr>
                <w:top w:val="nil"/>
                <w:left w:val="nil"/>
                <w:bottom w:val="nil"/>
                <w:right w:val="nil"/>
                <w:between w:val="nil"/>
              </w:pBdr>
              <w:jc w:val="center"/>
              <w:rPr>
                <w:b/>
                <w:color w:val="000000"/>
              </w:rPr>
            </w:pPr>
            <w:r>
              <w:rPr>
                <w:b/>
                <w:color w:val="000000"/>
              </w:rPr>
              <w:t>2024</w:t>
            </w:r>
          </w:p>
        </w:tc>
      </w:tr>
      <w:tr w:rsidR="008E5DE4" w14:paraId="6647B024" w14:textId="77777777">
        <w:trPr>
          <w:cantSplit/>
          <w:tblHeader/>
        </w:trPr>
        <w:tc>
          <w:tcPr>
            <w:tcW w:w="2948" w:type="dxa"/>
            <w:tcBorders>
              <w:bottom w:val="single" w:sz="4" w:space="0" w:color="000000"/>
            </w:tcBorders>
            <w:vAlign w:val="bottom"/>
          </w:tcPr>
          <w:p w14:paraId="332A0554" w14:textId="77777777" w:rsidR="008E5DE4" w:rsidRDefault="008E5DE4">
            <w:pPr>
              <w:keepNext/>
              <w:keepLines/>
              <w:widowControl w:val="0"/>
              <w:pBdr>
                <w:top w:val="nil"/>
                <w:left w:val="nil"/>
                <w:bottom w:val="nil"/>
                <w:right w:val="nil"/>
                <w:between w:val="nil"/>
              </w:pBdr>
              <w:ind w:left="113" w:right="-57" w:hanging="113"/>
              <w:rPr>
                <w:b/>
                <w:color w:val="000000"/>
              </w:rPr>
            </w:pPr>
          </w:p>
        </w:tc>
        <w:tc>
          <w:tcPr>
            <w:tcW w:w="1701" w:type="dxa"/>
            <w:tcBorders>
              <w:top w:val="single" w:sz="4" w:space="0" w:color="000000"/>
            </w:tcBorders>
          </w:tcPr>
          <w:p w14:paraId="6E1B3331"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Weighted average exercise price per share</w:t>
            </w:r>
          </w:p>
        </w:tc>
        <w:tc>
          <w:tcPr>
            <w:tcW w:w="1418" w:type="dxa"/>
            <w:tcBorders>
              <w:top w:val="single" w:sz="4" w:space="0" w:color="000000"/>
            </w:tcBorders>
          </w:tcPr>
          <w:p w14:paraId="2487CA2D"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Share options (thousands)</w:t>
            </w:r>
          </w:p>
        </w:tc>
        <w:tc>
          <w:tcPr>
            <w:tcW w:w="1928" w:type="dxa"/>
            <w:gridSpan w:val="2"/>
            <w:tcBorders>
              <w:top w:val="single" w:sz="4" w:space="0" w:color="000000"/>
            </w:tcBorders>
          </w:tcPr>
          <w:p w14:paraId="0863DF11"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 xml:space="preserve">Weighted average exercise price per share </w:t>
            </w:r>
          </w:p>
        </w:tc>
        <w:tc>
          <w:tcPr>
            <w:tcW w:w="1418" w:type="dxa"/>
            <w:tcBorders>
              <w:top w:val="single" w:sz="4" w:space="0" w:color="000000"/>
            </w:tcBorders>
          </w:tcPr>
          <w:p w14:paraId="7A7143EC"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Share options (thousands)</w:t>
            </w:r>
          </w:p>
        </w:tc>
      </w:tr>
      <w:tr w:rsidR="008E5DE4" w14:paraId="2FBCECC8" w14:textId="77777777">
        <w:trPr>
          <w:cantSplit/>
          <w:tblHeader/>
        </w:trPr>
        <w:tc>
          <w:tcPr>
            <w:tcW w:w="2948" w:type="dxa"/>
            <w:tcBorders>
              <w:top w:val="single" w:sz="4" w:space="0" w:color="000000"/>
            </w:tcBorders>
            <w:vAlign w:val="bottom"/>
          </w:tcPr>
          <w:p w14:paraId="673D3536" w14:textId="77777777" w:rsidR="008E5DE4" w:rsidRDefault="00780368">
            <w:pPr>
              <w:keepNext/>
              <w:keepLines/>
              <w:widowControl w:val="0"/>
              <w:pBdr>
                <w:top w:val="nil"/>
                <w:left w:val="nil"/>
                <w:bottom w:val="nil"/>
                <w:right w:val="nil"/>
                <w:between w:val="nil"/>
              </w:pBdr>
              <w:ind w:left="113" w:right="-57" w:hanging="113"/>
              <w:rPr>
                <w:i/>
                <w:color w:val="000000"/>
              </w:rPr>
            </w:pPr>
            <w:r>
              <w:rPr>
                <w:i/>
                <w:color w:val="000000"/>
              </w:rPr>
              <w:t> </w:t>
            </w:r>
          </w:p>
        </w:tc>
        <w:tc>
          <w:tcPr>
            <w:tcW w:w="1701" w:type="dxa"/>
            <w:tcBorders>
              <w:top w:val="single" w:sz="4" w:space="0" w:color="000000"/>
            </w:tcBorders>
            <w:vAlign w:val="bottom"/>
          </w:tcPr>
          <w:p w14:paraId="322F342E" w14:textId="77777777" w:rsidR="008E5DE4" w:rsidRDefault="008E5DE4">
            <w:pPr>
              <w:keepNext/>
              <w:keepLines/>
              <w:widowControl w:val="0"/>
              <w:pBdr>
                <w:top w:val="nil"/>
                <w:left w:val="nil"/>
                <w:bottom w:val="nil"/>
                <w:right w:val="nil"/>
                <w:between w:val="nil"/>
              </w:pBdr>
              <w:jc w:val="right"/>
              <w:rPr>
                <w:b/>
                <w:color w:val="000000"/>
              </w:rPr>
            </w:pPr>
          </w:p>
        </w:tc>
        <w:tc>
          <w:tcPr>
            <w:tcW w:w="1418" w:type="dxa"/>
            <w:tcBorders>
              <w:top w:val="single" w:sz="4" w:space="0" w:color="000000"/>
            </w:tcBorders>
            <w:vAlign w:val="bottom"/>
          </w:tcPr>
          <w:p w14:paraId="57F1A133" w14:textId="77777777" w:rsidR="008E5DE4" w:rsidRDefault="008E5DE4">
            <w:pPr>
              <w:keepNext/>
              <w:keepLines/>
              <w:widowControl w:val="0"/>
              <w:pBdr>
                <w:top w:val="nil"/>
                <w:left w:val="nil"/>
                <w:bottom w:val="nil"/>
                <w:right w:val="nil"/>
                <w:between w:val="nil"/>
              </w:pBdr>
              <w:jc w:val="right"/>
              <w:rPr>
                <w:b/>
                <w:color w:val="000000"/>
              </w:rPr>
            </w:pPr>
          </w:p>
        </w:tc>
        <w:tc>
          <w:tcPr>
            <w:tcW w:w="1899" w:type="dxa"/>
            <w:tcBorders>
              <w:top w:val="single" w:sz="4" w:space="0" w:color="000000"/>
            </w:tcBorders>
            <w:vAlign w:val="bottom"/>
          </w:tcPr>
          <w:p w14:paraId="6BC20F38" w14:textId="77777777" w:rsidR="008E5DE4" w:rsidRDefault="008E5DE4">
            <w:pPr>
              <w:keepNext/>
              <w:keepLines/>
              <w:widowControl w:val="0"/>
              <w:pBdr>
                <w:top w:val="nil"/>
                <w:left w:val="nil"/>
                <w:bottom w:val="nil"/>
                <w:right w:val="nil"/>
                <w:between w:val="nil"/>
              </w:pBdr>
              <w:jc w:val="right"/>
              <w:rPr>
                <w:b/>
                <w:color w:val="000000"/>
              </w:rPr>
            </w:pPr>
          </w:p>
        </w:tc>
        <w:tc>
          <w:tcPr>
            <w:tcW w:w="1447" w:type="dxa"/>
            <w:gridSpan w:val="2"/>
            <w:tcBorders>
              <w:top w:val="single" w:sz="4" w:space="0" w:color="000000"/>
            </w:tcBorders>
            <w:vAlign w:val="bottom"/>
          </w:tcPr>
          <w:p w14:paraId="0ECED48D" w14:textId="77777777" w:rsidR="008E5DE4" w:rsidRDefault="008E5DE4">
            <w:pPr>
              <w:keepNext/>
              <w:keepLines/>
              <w:widowControl w:val="0"/>
              <w:pBdr>
                <w:top w:val="nil"/>
                <w:left w:val="nil"/>
                <w:bottom w:val="nil"/>
                <w:right w:val="nil"/>
                <w:between w:val="nil"/>
              </w:pBdr>
              <w:jc w:val="right"/>
              <w:rPr>
                <w:b/>
                <w:color w:val="000000"/>
              </w:rPr>
            </w:pPr>
          </w:p>
        </w:tc>
      </w:tr>
      <w:tr w:rsidR="008E5DE4" w14:paraId="5B5A1B52" w14:textId="77777777">
        <w:trPr>
          <w:cantSplit/>
          <w:tblHeader/>
        </w:trPr>
        <w:tc>
          <w:tcPr>
            <w:tcW w:w="2948" w:type="dxa"/>
            <w:vAlign w:val="bottom"/>
          </w:tcPr>
          <w:p w14:paraId="7DD47A09"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xml:space="preserve">Outstanding </w:t>
            </w:r>
            <w:proofErr w:type="gramStart"/>
            <w:r>
              <w:rPr>
                <w:color w:val="000000"/>
              </w:rPr>
              <w:t>at</w:t>
            </w:r>
            <w:proofErr w:type="gramEnd"/>
            <w:r>
              <w:rPr>
                <w:color w:val="000000"/>
              </w:rPr>
              <w:t xml:space="preserve"> 1 January</w:t>
            </w:r>
          </w:p>
        </w:tc>
        <w:tc>
          <w:tcPr>
            <w:tcW w:w="1701" w:type="dxa"/>
            <w:vAlign w:val="bottom"/>
          </w:tcPr>
          <w:p w14:paraId="5B5AB31D" w14:textId="77777777" w:rsidR="008E5DE4" w:rsidRDefault="008E5DE4">
            <w:pPr>
              <w:keepNext/>
              <w:keepLines/>
              <w:widowControl w:val="0"/>
              <w:pBdr>
                <w:top w:val="nil"/>
                <w:left w:val="nil"/>
                <w:bottom w:val="nil"/>
                <w:right w:val="nil"/>
                <w:between w:val="nil"/>
              </w:pBdr>
              <w:jc w:val="right"/>
              <w:rPr>
                <w:color w:val="000000"/>
              </w:rPr>
            </w:pPr>
          </w:p>
        </w:tc>
        <w:tc>
          <w:tcPr>
            <w:tcW w:w="1418" w:type="dxa"/>
            <w:vAlign w:val="bottom"/>
          </w:tcPr>
          <w:p w14:paraId="41964583" w14:textId="77777777" w:rsidR="008E5DE4" w:rsidRDefault="008E5DE4">
            <w:pPr>
              <w:keepNext/>
              <w:keepLines/>
              <w:widowControl w:val="0"/>
              <w:pBdr>
                <w:top w:val="nil"/>
                <w:left w:val="nil"/>
                <w:bottom w:val="nil"/>
                <w:right w:val="nil"/>
                <w:between w:val="nil"/>
              </w:pBdr>
              <w:jc w:val="right"/>
              <w:rPr>
                <w:color w:val="000000"/>
              </w:rPr>
            </w:pPr>
          </w:p>
        </w:tc>
        <w:tc>
          <w:tcPr>
            <w:tcW w:w="1899" w:type="dxa"/>
            <w:vAlign w:val="bottom"/>
          </w:tcPr>
          <w:p w14:paraId="3CF59499" w14:textId="77777777" w:rsidR="008E5DE4" w:rsidRDefault="008E5DE4">
            <w:pPr>
              <w:keepNext/>
              <w:keepLines/>
              <w:widowControl w:val="0"/>
              <w:pBdr>
                <w:top w:val="nil"/>
                <w:left w:val="nil"/>
                <w:bottom w:val="nil"/>
                <w:right w:val="nil"/>
                <w:between w:val="nil"/>
              </w:pBdr>
              <w:jc w:val="right"/>
              <w:rPr>
                <w:color w:val="000000"/>
              </w:rPr>
            </w:pPr>
          </w:p>
        </w:tc>
        <w:tc>
          <w:tcPr>
            <w:tcW w:w="1447" w:type="dxa"/>
            <w:gridSpan w:val="2"/>
            <w:vAlign w:val="bottom"/>
          </w:tcPr>
          <w:p w14:paraId="34527B8A" w14:textId="77777777" w:rsidR="008E5DE4" w:rsidRDefault="008E5DE4">
            <w:pPr>
              <w:keepNext/>
              <w:keepLines/>
              <w:widowControl w:val="0"/>
              <w:pBdr>
                <w:top w:val="nil"/>
                <w:left w:val="nil"/>
                <w:bottom w:val="nil"/>
                <w:right w:val="nil"/>
                <w:between w:val="nil"/>
              </w:pBdr>
              <w:jc w:val="right"/>
              <w:rPr>
                <w:color w:val="000000"/>
              </w:rPr>
            </w:pPr>
          </w:p>
        </w:tc>
      </w:tr>
      <w:tr w:rsidR="008E5DE4" w14:paraId="76C0BD90" w14:textId="77777777">
        <w:trPr>
          <w:cantSplit/>
          <w:tblHeader/>
        </w:trPr>
        <w:tc>
          <w:tcPr>
            <w:tcW w:w="2948" w:type="dxa"/>
            <w:vAlign w:val="bottom"/>
          </w:tcPr>
          <w:p w14:paraId="2AD70FDA"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Granted</w:t>
            </w:r>
          </w:p>
        </w:tc>
        <w:tc>
          <w:tcPr>
            <w:tcW w:w="1701" w:type="dxa"/>
            <w:vAlign w:val="bottom"/>
          </w:tcPr>
          <w:p w14:paraId="1787E9BA" w14:textId="77777777" w:rsidR="008E5DE4" w:rsidRDefault="008E5DE4">
            <w:pPr>
              <w:keepNext/>
              <w:keepLines/>
              <w:widowControl w:val="0"/>
              <w:pBdr>
                <w:top w:val="nil"/>
                <w:left w:val="nil"/>
                <w:bottom w:val="nil"/>
                <w:right w:val="nil"/>
                <w:between w:val="nil"/>
              </w:pBdr>
              <w:jc w:val="right"/>
              <w:rPr>
                <w:color w:val="000000"/>
              </w:rPr>
            </w:pPr>
          </w:p>
        </w:tc>
        <w:tc>
          <w:tcPr>
            <w:tcW w:w="1418" w:type="dxa"/>
            <w:vAlign w:val="bottom"/>
          </w:tcPr>
          <w:p w14:paraId="541E3BA4" w14:textId="77777777" w:rsidR="008E5DE4" w:rsidRDefault="008E5DE4">
            <w:pPr>
              <w:keepNext/>
              <w:keepLines/>
              <w:widowControl w:val="0"/>
              <w:pBdr>
                <w:top w:val="nil"/>
                <w:left w:val="nil"/>
                <w:bottom w:val="nil"/>
                <w:right w:val="nil"/>
                <w:between w:val="nil"/>
              </w:pBdr>
              <w:jc w:val="right"/>
              <w:rPr>
                <w:color w:val="000000"/>
              </w:rPr>
            </w:pPr>
          </w:p>
        </w:tc>
        <w:tc>
          <w:tcPr>
            <w:tcW w:w="1899" w:type="dxa"/>
            <w:vAlign w:val="bottom"/>
          </w:tcPr>
          <w:p w14:paraId="26E2EFD3" w14:textId="77777777" w:rsidR="008E5DE4" w:rsidRDefault="008E5DE4">
            <w:pPr>
              <w:keepNext/>
              <w:keepLines/>
              <w:widowControl w:val="0"/>
              <w:pBdr>
                <w:top w:val="nil"/>
                <w:left w:val="nil"/>
                <w:bottom w:val="nil"/>
                <w:right w:val="nil"/>
                <w:between w:val="nil"/>
              </w:pBdr>
              <w:jc w:val="center"/>
              <w:rPr>
                <w:color w:val="000000"/>
              </w:rPr>
            </w:pPr>
          </w:p>
        </w:tc>
        <w:tc>
          <w:tcPr>
            <w:tcW w:w="1447" w:type="dxa"/>
            <w:gridSpan w:val="2"/>
            <w:vAlign w:val="bottom"/>
          </w:tcPr>
          <w:p w14:paraId="6B17450C" w14:textId="77777777" w:rsidR="008E5DE4" w:rsidRDefault="008E5DE4">
            <w:pPr>
              <w:keepNext/>
              <w:keepLines/>
              <w:widowControl w:val="0"/>
              <w:pBdr>
                <w:top w:val="nil"/>
                <w:left w:val="nil"/>
                <w:bottom w:val="nil"/>
                <w:right w:val="nil"/>
                <w:between w:val="nil"/>
              </w:pBdr>
              <w:jc w:val="right"/>
              <w:rPr>
                <w:color w:val="000000"/>
              </w:rPr>
            </w:pPr>
          </w:p>
        </w:tc>
      </w:tr>
      <w:tr w:rsidR="008E5DE4" w14:paraId="0F8200BA" w14:textId="77777777">
        <w:trPr>
          <w:cantSplit/>
          <w:tblHeader/>
        </w:trPr>
        <w:tc>
          <w:tcPr>
            <w:tcW w:w="2948" w:type="dxa"/>
            <w:vAlign w:val="bottom"/>
          </w:tcPr>
          <w:p w14:paraId="5B35463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Forfeited</w:t>
            </w:r>
          </w:p>
        </w:tc>
        <w:tc>
          <w:tcPr>
            <w:tcW w:w="1701" w:type="dxa"/>
            <w:vAlign w:val="bottom"/>
          </w:tcPr>
          <w:p w14:paraId="25D333B3" w14:textId="77777777" w:rsidR="008E5DE4" w:rsidRDefault="008E5DE4">
            <w:pPr>
              <w:keepNext/>
              <w:keepLines/>
              <w:widowControl w:val="0"/>
              <w:pBdr>
                <w:top w:val="nil"/>
                <w:left w:val="nil"/>
                <w:bottom w:val="nil"/>
                <w:right w:val="nil"/>
                <w:between w:val="nil"/>
              </w:pBdr>
              <w:jc w:val="right"/>
              <w:rPr>
                <w:color w:val="000000"/>
              </w:rPr>
            </w:pPr>
          </w:p>
        </w:tc>
        <w:tc>
          <w:tcPr>
            <w:tcW w:w="1418" w:type="dxa"/>
            <w:vAlign w:val="bottom"/>
          </w:tcPr>
          <w:p w14:paraId="327328B4" w14:textId="77777777" w:rsidR="008E5DE4" w:rsidRDefault="008E5DE4">
            <w:pPr>
              <w:keepNext/>
              <w:keepLines/>
              <w:widowControl w:val="0"/>
              <w:pBdr>
                <w:top w:val="nil"/>
                <w:left w:val="nil"/>
                <w:bottom w:val="nil"/>
                <w:right w:val="nil"/>
                <w:between w:val="nil"/>
              </w:pBdr>
              <w:jc w:val="right"/>
              <w:rPr>
                <w:color w:val="000000"/>
              </w:rPr>
            </w:pPr>
          </w:p>
        </w:tc>
        <w:tc>
          <w:tcPr>
            <w:tcW w:w="1899" w:type="dxa"/>
            <w:vAlign w:val="bottom"/>
          </w:tcPr>
          <w:p w14:paraId="06ED5098" w14:textId="77777777" w:rsidR="008E5DE4" w:rsidRDefault="008E5DE4">
            <w:pPr>
              <w:keepNext/>
              <w:keepLines/>
              <w:widowControl w:val="0"/>
              <w:pBdr>
                <w:top w:val="nil"/>
                <w:left w:val="nil"/>
                <w:bottom w:val="nil"/>
                <w:right w:val="nil"/>
                <w:between w:val="nil"/>
              </w:pBdr>
              <w:jc w:val="right"/>
              <w:rPr>
                <w:color w:val="000000"/>
              </w:rPr>
            </w:pPr>
          </w:p>
        </w:tc>
        <w:tc>
          <w:tcPr>
            <w:tcW w:w="1447" w:type="dxa"/>
            <w:gridSpan w:val="2"/>
            <w:vAlign w:val="bottom"/>
          </w:tcPr>
          <w:p w14:paraId="59398A78" w14:textId="77777777" w:rsidR="008E5DE4" w:rsidRDefault="008E5DE4">
            <w:pPr>
              <w:keepNext/>
              <w:keepLines/>
              <w:widowControl w:val="0"/>
              <w:pBdr>
                <w:top w:val="nil"/>
                <w:left w:val="nil"/>
                <w:bottom w:val="nil"/>
                <w:right w:val="nil"/>
                <w:between w:val="nil"/>
              </w:pBdr>
              <w:jc w:val="right"/>
              <w:rPr>
                <w:color w:val="000000"/>
              </w:rPr>
            </w:pPr>
          </w:p>
        </w:tc>
      </w:tr>
      <w:tr w:rsidR="008E5DE4" w14:paraId="6746753C" w14:textId="77777777">
        <w:trPr>
          <w:cantSplit/>
          <w:tblHeader/>
        </w:trPr>
        <w:tc>
          <w:tcPr>
            <w:tcW w:w="2948" w:type="dxa"/>
            <w:vAlign w:val="bottom"/>
          </w:tcPr>
          <w:p w14:paraId="09629EF7"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Exercised</w:t>
            </w:r>
          </w:p>
        </w:tc>
        <w:tc>
          <w:tcPr>
            <w:tcW w:w="1701" w:type="dxa"/>
            <w:vAlign w:val="bottom"/>
          </w:tcPr>
          <w:p w14:paraId="27791078" w14:textId="77777777" w:rsidR="008E5DE4" w:rsidRDefault="008E5DE4">
            <w:pPr>
              <w:keepNext/>
              <w:keepLines/>
              <w:widowControl w:val="0"/>
              <w:pBdr>
                <w:top w:val="nil"/>
                <w:left w:val="nil"/>
                <w:bottom w:val="nil"/>
                <w:right w:val="nil"/>
                <w:between w:val="nil"/>
              </w:pBdr>
              <w:jc w:val="right"/>
              <w:rPr>
                <w:color w:val="000000"/>
              </w:rPr>
            </w:pPr>
          </w:p>
        </w:tc>
        <w:tc>
          <w:tcPr>
            <w:tcW w:w="1418" w:type="dxa"/>
            <w:vAlign w:val="bottom"/>
          </w:tcPr>
          <w:p w14:paraId="6A79A1E9" w14:textId="77777777" w:rsidR="008E5DE4" w:rsidRDefault="008E5DE4">
            <w:pPr>
              <w:keepNext/>
              <w:keepLines/>
              <w:widowControl w:val="0"/>
              <w:pBdr>
                <w:top w:val="nil"/>
                <w:left w:val="nil"/>
                <w:bottom w:val="nil"/>
                <w:right w:val="nil"/>
                <w:between w:val="nil"/>
              </w:pBdr>
              <w:jc w:val="right"/>
              <w:rPr>
                <w:color w:val="000000"/>
              </w:rPr>
            </w:pPr>
          </w:p>
        </w:tc>
        <w:tc>
          <w:tcPr>
            <w:tcW w:w="1899" w:type="dxa"/>
            <w:vAlign w:val="bottom"/>
          </w:tcPr>
          <w:p w14:paraId="57454B13" w14:textId="77777777" w:rsidR="008E5DE4" w:rsidRDefault="008E5DE4">
            <w:pPr>
              <w:keepNext/>
              <w:keepLines/>
              <w:widowControl w:val="0"/>
              <w:pBdr>
                <w:top w:val="nil"/>
                <w:left w:val="nil"/>
                <w:bottom w:val="nil"/>
                <w:right w:val="nil"/>
                <w:between w:val="nil"/>
              </w:pBdr>
              <w:jc w:val="right"/>
              <w:rPr>
                <w:color w:val="000000"/>
              </w:rPr>
            </w:pPr>
          </w:p>
        </w:tc>
        <w:tc>
          <w:tcPr>
            <w:tcW w:w="1447" w:type="dxa"/>
            <w:gridSpan w:val="2"/>
            <w:vAlign w:val="bottom"/>
          </w:tcPr>
          <w:p w14:paraId="185DF32B" w14:textId="77777777" w:rsidR="008E5DE4" w:rsidRDefault="008E5DE4">
            <w:pPr>
              <w:keepNext/>
              <w:keepLines/>
              <w:widowControl w:val="0"/>
              <w:pBdr>
                <w:top w:val="nil"/>
                <w:left w:val="nil"/>
                <w:bottom w:val="nil"/>
                <w:right w:val="nil"/>
                <w:between w:val="nil"/>
              </w:pBdr>
              <w:jc w:val="right"/>
              <w:rPr>
                <w:color w:val="000000"/>
              </w:rPr>
            </w:pPr>
          </w:p>
        </w:tc>
      </w:tr>
      <w:tr w:rsidR="008E5DE4" w14:paraId="36687988" w14:textId="77777777">
        <w:trPr>
          <w:cantSplit/>
          <w:tblHeader/>
        </w:trPr>
        <w:tc>
          <w:tcPr>
            <w:tcW w:w="2948" w:type="dxa"/>
            <w:vAlign w:val="bottom"/>
          </w:tcPr>
          <w:p w14:paraId="150C7CFB"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Expired</w:t>
            </w:r>
          </w:p>
        </w:tc>
        <w:tc>
          <w:tcPr>
            <w:tcW w:w="1701" w:type="dxa"/>
            <w:vAlign w:val="bottom"/>
          </w:tcPr>
          <w:p w14:paraId="1B23582B" w14:textId="77777777" w:rsidR="008E5DE4" w:rsidRDefault="008E5DE4">
            <w:pPr>
              <w:keepNext/>
              <w:keepLines/>
              <w:widowControl w:val="0"/>
              <w:pBdr>
                <w:top w:val="nil"/>
                <w:left w:val="nil"/>
                <w:bottom w:val="nil"/>
                <w:right w:val="nil"/>
                <w:between w:val="nil"/>
              </w:pBdr>
              <w:jc w:val="right"/>
              <w:rPr>
                <w:color w:val="000000"/>
              </w:rPr>
            </w:pPr>
          </w:p>
        </w:tc>
        <w:tc>
          <w:tcPr>
            <w:tcW w:w="1418" w:type="dxa"/>
            <w:vAlign w:val="bottom"/>
          </w:tcPr>
          <w:p w14:paraId="35FA18D4" w14:textId="77777777" w:rsidR="008E5DE4" w:rsidRDefault="008E5DE4">
            <w:pPr>
              <w:keepNext/>
              <w:keepLines/>
              <w:widowControl w:val="0"/>
              <w:pBdr>
                <w:top w:val="nil"/>
                <w:left w:val="nil"/>
                <w:bottom w:val="nil"/>
                <w:right w:val="nil"/>
                <w:between w:val="nil"/>
              </w:pBdr>
              <w:jc w:val="right"/>
              <w:rPr>
                <w:color w:val="000000"/>
              </w:rPr>
            </w:pPr>
          </w:p>
        </w:tc>
        <w:tc>
          <w:tcPr>
            <w:tcW w:w="1899" w:type="dxa"/>
            <w:vAlign w:val="bottom"/>
          </w:tcPr>
          <w:p w14:paraId="56974120" w14:textId="77777777" w:rsidR="008E5DE4" w:rsidRDefault="008E5DE4">
            <w:pPr>
              <w:keepNext/>
              <w:keepLines/>
              <w:widowControl w:val="0"/>
              <w:pBdr>
                <w:top w:val="nil"/>
                <w:left w:val="nil"/>
                <w:bottom w:val="nil"/>
                <w:right w:val="nil"/>
                <w:between w:val="nil"/>
              </w:pBdr>
              <w:jc w:val="right"/>
              <w:rPr>
                <w:color w:val="000000"/>
              </w:rPr>
            </w:pPr>
          </w:p>
        </w:tc>
        <w:tc>
          <w:tcPr>
            <w:tcW w:w="1447" w:type="dxa"/>
            <w:gridSpan w:val="2"/>
            <w:vAlign w:val="bottom"/>
          </w:tcPr>
          <w:p w14:paraId="03AA46BD" w14:textId="77777777" w:rsidR="008E5DE4" w:rsidRDefault="008E5DE4">
            <w:pPr>
              <w:keepNext/>
              <w:keepLines/>
              <w:widowControl w:val="0"/>
              <w:pBdr>
                <w:top w:val="nil"/>
                <w:left w:val="nil"/>
                <w:bottom w:val="nil"/>
                <w:right w:val="nil"/>
                <w:between w:val="nil"/>
              </w:pBdr>
              <w:jc w:val="right"/>
              <w:rPr>
                <w:color w:val="000000"/>
              </w:rPr>
            </w:pPr>
          </w:p>
        </w:tc>
      </w:tr>
      <w:tr w:rsidR="008E5DE4" w14:paraId="3267DAC9" w14:textId="77777777">
        <w:trPr>
          <w:cantSplit/>
          <w:tblHeader/>
        </w:trPr>
        <w:tc>
          <w:tcPr>
            <w:tcW w:w="2948" w:type="dxa"/>
            <w:vAlign w:val="bottom"/>
          </w:tcPr>
          <w:p w14:paraId="610B2B13"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Effect of modifications and cancellations</w:t>
            </w:r>
          </w:p>
        </w:tc>
        <w:tc>
          <w:tcPr>
            <w:tcW w:w="1701" w:type="dxa"/>
            <w:vAlign w:val="bottom"/>
          </w:tcPr>
          <w:p w14:paraId="04805B7C" w14:textId="77777777" w:rsidR="008E5DE4" w:rsidRDefault="008E5DE4">
            <w:pPr>
              <w:keepNext/>
              <w:keepLines/>
              <w:widowControl w:val="0"/>
              <w:pBdr>
                <w:top w:val="nil"/>
                <w:left w:val="nil"/>
                <w:bottom w:val="nil"/>
                <w:right w:val="nil"/>
                <w:between w:val="nil"/>
              </w:pBdr>
              <w:jc w:val="right"/>
              <w:rPr>
                <w:color w:val="000000"/>
              </w:rPr>
            </w:pPr>
          </w:p>
        </w:tc>
        <w:tc>
          <w:tcPr>
            <w:tcW w:w="1418" w:type="dxa"/>
            <w:vAlign w:val="bottom"/>
          </w:tcPr>
          <w:p w14:paraId="4B4266E2" w14:textId="77777777" w:rsidR="008E5DE4" w:rsidRDefault="008E5DE4">
            <w:pPr>
              <w:keepNext/>
              <w:keepLines/>
              <w:widowControl w:val="0"/>
              <w:pBdr>
                <w:top w:val="nil"/>
                <w:left w:val="nil"/>
                <w:bottom w:val="nil"/>
                <w:right w:val="nil"/>
                <w:between w:val="nil"/>
              </w:pBdr>
              <w:jc w:val="right"/>
              <w:rPr>
                <w:color w:val="000000"/>
              </w:rPr>
            </w:pPr>
          </w:p>
        </w:tc>
        <w:tc>
          <w:tcPr>
            <w:tcW w:w="1899" w:type="dxa"/>
            <w:vAlign w:val="bottom"/>
          </w:tcPr>
          <w:p w14:paraId="4D71C6D7" w14:textId="77777777" w:rsidR="008E5DE4" w:rsidRDefault="008E5DE4">
            <w:pPr>
              <w:keepNext/>
              <w:keepLines/>
              <w:widowControl w:val="0"/>
              <w:pBdr>
                <w:top w:val="nil"/>
                <w:left w:val="nil"/>
                <w:bottom w:val="nil"/>
                <w:right w:val="nil"/>
                <w:between w:val="nil"/>
              </w:pBdr>
              <w:jc w:val="right"/>
              <w:rPr>
                <w:color w:val="000000"/>
              </w:rPr>
            </w:pPr>
          </w:p>
        </w:tc>
        <w:tc>
          <w:tcPr>
            <w:tcW w:w="1447" w:type="dxa"/>
            <w:gridSpan w:val="2"/>
            <w:vAlign w:val="bottom"/>
          </w:tcPr>
          <w:p w14:paraId="20E5FEAC" w14:textId="77777777" w:rsidR="008E5DE4" w:rsidRDefault="008E5DE4">
            <w:pPr>
              <w:keepNext/>
              <w:keepLines/>
              <w:widowControl w:val="0"/>
              <w:pBdr>
                <w:top w:val="nil"/>
                <w:left w:val="nil"/>
                <w:bottom w:val="nil"/>
                <w:right w:val="nil"/>
                <w:between w:val="nil"/>
              </w:pBdr>
              <w:jc w:val="right"/>
              <w:rPr>
                <w:color w:val="000000"/>
              </w:rPr>
            </w:pPr>
          </w:p>
        </w:tc>
      </w:tr>
      <w:tr w:rsidR="008E5DE4" w14:paraId="45BF5E91" w14:textId="77777777">
        <w:trPr>
          <w:cantSplit/>
          <w:tblHeader/>
        </w:trPr>
        <w:tc>
          <w:tcPr>
            <w:tcW w:w="2948" w:type="dxa"/>
            <w:tcBorders>
              <w:bottom w:val="single" w:sz="4" w:space="0" w:color="000000"/>
            </w:tcBorders>
            <w:vAlign w:val="bottom"/>
          </w:tcPr>
          <w:p w14:paraId="554123BD"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1701" w:type="dxa"/>
            <w:tcBorders>
              <w:bottom w:val="single" w:sz="4" w:space="0" w:color="000000"/>
            </w:tcBorders>
            <w:vAlign w:val="bottom"/>
          </w:tcPr>
          <w:p w14:paraId="3F04F7E1" w14:textId="77777777" w:rsidR="008E5DE4" w:rsidRDefault="008E5DE4">
            <w:pPr>
              <w:keepNext/>
              <w:keepLines/>
              <w:widowControl w:val="0"/>
              <w:pBdr>
                <w:top w:val="nil"/>
                <w:left w:val="nil"/>
                <w:bottom w:val="nil"/>
                <w:right w:val="nil"/>
                <w:between w:val="nil"/>
              </w:pBdr>
              <w:jc w:val="right"/>
              <w:rPr>
                <w:color w:val="000000"/>
              </w:rPr>
            </w:pPr>
          </w:p>
        </w:tc>
        <w:tc>
          <w:tcPr>
            <w:tcW w:w="1418" w:type="dxa"/>
            <w:tcBorders>
              <w:bottom w:val="single" w:sz="4" w:space="0" w:color="000000"/>
            </w:tcBorders>
            <w:vAlign w:val="bottom"/>
          </w:tcPr>
          <w:p w14:paraId="3CA653FF" w14:textId="77777777" w:rsidR="008E5DE4" w:rsidRDefault="008E5DE4">
            <w:pPr>
              <w:keepNext/>
              <w:keepLines/>
              <w:widowControl w:val="0"/>
              <w:pBdr>
                <w:top w:val="nil"/>
                <w:left w:val="nil"/>
                <w:bottom w:val="nil"/>
                <w:right w:val="nil"/>
                <w:between w:val="nil"/>
              </w:pBdr>
              <w:jc w:val="right"/>
              <w:rPr>
                <w:color w:val="000000"/>
              </w:rPr>
            </w:pPr>
          </w:p>
        </w:tc>
        <w:tc>
          <w:tcPr>
            <w:tcW w:w="1899" w:type="dxa"/>
            <w:tcBorders>
              <w:bottom w:val="single" w:sz="4" w:space="0" w:color="000000"/>
            </w:tcBorders>
            <w:vAlign w:val="bottom"/>
          </w:tcPr>
          <w:p w14:paraId="53F12EA2" w14:textId="77777777" w:rsidR="008E5DE4" w:rsidRDefault="008E5DE4">
            <w:pPr>
              <w:keepNext/>
              <w:keepLines/>
              <w:widowControl w:val="0"/>
              <w:pBdr>
                <w:top w:val="nil"/>
                <w:left w:val="nil"/>
                <w:bottom w:val="nil"/>
                <w:right w:val="nil"/>
                <w:between w:val="nil"/>
              </w:pBdr>
              <w:jc w:val="right"/>
              <w:rPr>
                <w:color w:val="000000"/>
              </w:rPr>
            </w:pPr>
          </w:p>
        </w:tc>
        <w:tc>
          <w:tcPr>
            <w:tcW w:w="1447" w:type="dxa"/>
            <w:gridSpan w:val="2"/>
            <w:tcBorders>
              <w:bottom w:val="single" w:sz="4" w:space="0" w:color="000000"/>
            </w:tcBorders>
            <w:vAlign w:val="bottom"/>
          </w:tcPr>
          <w:p w14:paraId="6696E440" w14:textId="77777777" w:rsidR="008E5DE4" w:rsidRDefault="008E5DE4">
            <w:pPr>
              <w:keepNext/>
              <w:keepLines/>
              <w:widowControl w:val="0"/>
              <w:pBdr>
                <w:top w:val="nil"/>
                <w:left w:val="nil"/>
                <w:bottom w:val="nil"/>
                <w:right w:val="nil"/>
                <w:between w:val="nil"/>
              </w:pBdr>
              <w:jc w:val="right"/>
              <w:rPr>
                <w:color w:val="000000"/>
              </w:rPr>
            </w:pPr>
          </w:p>
        </w:tc>
      </w:tr>
      <w:tr w:rsidR="008E5DE4" w14:paraId="1425AC03" w14:textId="77777777">
        <w:trPr>
          <w:cantSplit/>
          <w:tblHeader/>
        </w:trPr>
        <w:tc>
          <w:tcPr>
            <w:tcW w:w="2948" w:type="dxa"/>
            <w:vAlign w:val="bottom"/>
          </w:tcPr>
          <w:p w14:paraId="599BA90E"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1701" w:type="dxa"/>
            <w:vAlign w:val="bottom"/>
          </w:tcPr>
          <w:p w14:paraId="43B169C2" w14:textId="77777777" w:rsidR="008E5DE4" w:rsidRDefault="008E5DE4">
            <w:pPr>
              <w:keepNext/>
              <w:keepLines/>
              <w:widowControl w:val="0"/>
              <w:pBdr>
                <w:top w:val="nil"/>
                <w:left w:val="nil"/>
                <w:bottom w:val="nil"/>
                <w:right w:val="nil"/>
                <w:between w:val="nil"/>
              </w:pBdr>
              <w:jc w:val="right"/>
              <w:rPr>
                <w:b/>
                <w:color w:val="000000"/>
              </w:rPr>
            </w:pPr>
          </w:p>
        </w:tc>
        <w:tc>
          <w:tcPr>
            <w:tcW w:w="1418" w:type="dxa"/>
            <w:vAlign w:val="bottom"/>
          </w:tcPr>
          <w:p w14:paraId="083311FE" w14:textId="77777777" w:rsidR="008E5DE4" w:rsidRDefault="008E5DE4">
            <w:pPr>
              <w:keepNext/>
              <w:keepLines/>
              <w:widowControl w:val="0"/>
              <w:pBdr>
                <w:top w:val="nil"/>
                <w:left w:val="nil"/>
                <w:bottom w:val="nil"/>
                <w:right w:val="nil"/>
                <w:between w:val="nil"/>
              </w:pBdr>
              <w:jc w:val="right"/>
              <w:rPr>
                <w:b/>
                <w:color w:val="000000"/>
              </w:rPr>
            </w:pPr>
          </w:p>
        </w:tc>
        <w:tc>
          <w:tcPr>
            <w:tcW w:w="1899" w:type="dxa"/>
            <w:vAlign w:val="bottom"/>
          </w:tcPr>
          <w:p w14:paraId="2A4600EF" w14:textId="77777777" w:rsidR="008E5DE4" w:rsidRDefault="008E5DE4">
            <w:pPr>
              <w:keepNext/>
              <w:keepLines/>
              <w:widowControl w:val="0"/>
              <w:pBdr>
                <w:top w:val="nil"/>
                <w:left w:val="nil"/>
                <w:bottom w:val="nil"/>
                <w:right w:val="nil"/>
                <w:between w:val="nil"/>
              </w:pBdr>
              <w:jc w:val="right"/>
              <w:rPr>
                <w:b/>
                <w:color w:val="000000"/>
              </w:rPr>
            </w:pPr>
          </w:p>
        </w:tc>
        <w:tc>
          <w:tcPr>
            <w:tcW w:w="1447" w:type="dxa"/>
            <w:gridSpan w:val="2"/>
            <w:vAlign w:val="bottom"/>
          </w:tcPr>
          <w:p w14:paraId="5A9EAB7C" w14:textId="77777777" w:rsidR="008E5DE4" w:rsidRDefault="008E5DE4">
            <w:pPr>
              <w:keepNext/>
              <w:keepLines/>
              <w:widowControl w:val="0"/>
              <w:pBdr>
                <w:top w:val="nil"/>
                <w:left w:val="nil"/>
                <w:bottom w:val="nil"/>
                <w:right w:val="nil"/>
                <w:between w:val="nil"/>
              </w:pBdr>
              <w:jc w:val="right"/>
              <w:rPr>
                <w:b/>
                <w:color w:val="000000"/>
              </w:rPr>
            </w:pPr>
          </w:p>
        </w:tc>
      </w:tr>
      <w:tr w:rsidR="008E5DE4" w14:paraId="084B1182" w14:textId="77777777">
        <w:trPr>
          <w:cantSplit/>
          <w:tblHeader/>
        </w:trPr>
        <w:tc>
          <w:tcPr>
            <w:tcW w:w="2948" w:type="dxa"/>
            <w:vAlign w:val="bottom"/>
          </w:tcPr>
          <w:p w14:paraId="04449B27" w14:textId="77777777" w:rsidR="008E5DE4" w:rsidRDefault="00780368">
            <w:pPr>
              <w:keepNext/>
              <w:keepLines/>
              <w:widowControl w:val="0"/>
              <w:pBdr>
                <w:top w:val="nil"/>
                <w:left w:val="nil"/>
                <w:bottom w:val="nil"/>
                <w:right w:val="nil"/>
                <w:between w:val="nil"/>
              </w:pBdr>
              <w:ind w:left="113" w:right="-57" w:hanging="113"/>
              <w:rPr>
                <w:b/>
                <w:smallCaps/>
                <w:color w:val="000000"/>
              </w:rPr>
            </w:pPr>
            <w:r>
              <w:rPr>
                <w:b/>
                <w:color w:val="000000"/>
              </w:rPr>
              <w:t xml:space="preserve">Outstanding </w:t>
            </w:r>
            <w:proofErr w:type="gramStart"/>
            <w:r>
              <w:rPr>
                <w:b/>
                <w:color w:val="000000"/>
              </w:rPr>
              <w:t>at</w:t>
            </w:r>
            <w:proofErr w:type="gramEnd"/>
            <w:r>
              <w:rPr>
                <w:b/>
                <w:color w:val="000000"/>
              </w:rPr>
              <w:t xml:space="preserve"> 31 December</w:t>
            </w:r>
          </w:p>
        </w:tc>
        <w:tc>
          <w:tcPr>
            <w:tcW w:w="1701" w:type="dxa"/>
            <w:vAlign w:val="bottom"/>
          </w:tcPr>
          <w:p w14:paraId="5700D326" w14:textId="77777777" w:rsidR="008E5DE4" w:rsidRDefault="008E5DE4">
            <w:pPr>
              <w:keepNext/>
              <w:keepLines/>
              <w:widowControl w:val="0"/>
              <w:pBdr>
                <w:top w:val="nil"/>
                <w:left w:val="nil"/>
                <w:bottom w:val="nil"/>
                <w:right w:val="nil"/>
                <w:between w:val="nil"/>
              </w:pBdr>
              <w:jc w:val="right"/>
              <w:rPr>
                <w:b/>
                <w:smallCaps/>
                <w:color w:val="000000"/>
              </w:rPr>
            </w:pPr>
          </w:p>
        </w:tc>
        <w:tc>
          <w:tcPr>
            <w:tcW w:w="1418" w:type="dxa"/>
            <w:vAlign w:val="bottom"/>
          </w:tcPr>
          <w:p w14:paraId="55B14A8B" w14:textId="77777777" w:rsidR="008E5DE4" w:rsidRDefault="008E5DE4">
            <w:pPr>
              <w:keepNext/>
              <w:keepLines/>
              <w:widowControl w:val="0"/>
              <w:pBdr>
                <w:top w:val="nil"/>
                <w:left w:val="nil"/>
                <w:bottom w:val="nil"/>
                <w:right w:val="nil"/>
                <w:between w:val="nil"/>
              </w:pBdr>
              <w:jc w:val="right"/>
              <w:rPr>
                <w:b/>
                <w:smallCaps/>
                <w:color w:val="000000"/>
              </w:rPr>
            </w:pPr>
          </w:p>
        </w:tc>
        <w:tc>
          <w:tcPr>
            <w:tcW w:w="1899" w:type="dxa"/>
            <w:vAlign w:val="bottom"/>
          </w:tcPr>
          <w:p w14:paraId="0D85AC5D" w14:textId="77777777" w:rsidR="008E5DE4" w:rsidRDefault="008E5DE4">
            <w:pPr>
              <w:keepNext/>
              <w:keepLines/>
              <w:widowControl w:val="0"/>
              <w:pBdr>
                <w:top w:val="nil"/>
                <w:left w:val="nil"/>
                <w:bottom w:val="nil"/>
                <w:right w:val="nil"/>
                <w:between w:val="nil"/>
              </w:pBdr>
              <w:jc w:val="right"/>
              <w:rPr>
                <w:b/>
                <w:smallCaps/>
                <w:color w:val="000000"/>
              </w:rPr>
            </w:pPr>
          </w:p>
        </w:tc>
        <w:tc>
          <w:tcPr>
            <w:tcW w:w="1447" w:type="dxa"/>
            <w:gridSpan w:val="2"/>
            <w:vAlign w:val="bottom"/>
          </w:tcPr>
          <w:p w14:paraId="5C32148B" w14:textId="77777777" w:rsidR="008E5DE4" w:rsidRDefault="008E5DE4">
            <w:pPr>
              <w:keepNext/>
              <w:keepLines/>
              <w:widowControl w:val="0"/>
              <w:pBdr>
                <w:top w:val="nil"/>
                <w:left w:val="nil"/>
                <w:bottom w:val="nil"/>
                <w:right w:val="nil"/>
                <w:between w:val="nil"/>
              </w:pBdr>
              <w:jc w:val="right"/>
              <w:rPr>
                <w:b/>
                <w:smallCaps/>
                <w:color w:val="000000"/>
              </w:rPr>
            </w:pPr>
          </w:p>
        </w:tc>
      </w:tr>
      <w:tr w:rsidR="008E5DE4" w14:paraId="5070D2E6" w14:textId="77777777">
        <w:trPr>
          <w:cantSplit/>
          <w:tblHeader/>
        </w:trPr>
        <w:tc>
          <w:tcPr>
            <w:tcW w:w="2948" w:type="dxa"/>
            <w:tcBorders>
              <w:bottom w:val="single" w:sz="4" w:space="0" w:color="000000"/>
            </w:tcBorders>
            <w:vAlign w:val="bottom"/>
          </w:tcPr>
          <w:p w14:paraId="42EB691D"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1701" w:type="dxa"/>
            <w:tcBorders>
              <w:bottom w:val="single" w:sz="4" w:space="0" w:color="000000"/>
            </w:tcBorders>
            <w:vAlign w:val="bottom"/>
          </w:tcPr>
          <w:p w14:paraId="5C2C62E9" w14:textId="77777777" w:rsidR="008E5DE4" w:rsidRDefault="008E5DE4">
            <w:pPr>
              <w:widowControl w:val="0"/>
              <w:pBdr>
                <w:top w:val="nil"/>
                <w:left w:val="nil"/>
                <w:bottom w:val="nil"/>
                <w:right w:val="nil"/>
                <w:between w:val="nil"/>
              </w:pBdr>
              <w:jc w:val="right"/>
              <w:rPr>
                <w:b/>
                <w:smallCaps/>
                <w:color w:val="000000"/>
              </w:rPr>
            </w:pPr>
          </w:p>
        </w:tc>
        <w:tc>
          <w:tcPr>
            <w:tcW w:w="1418" w:type="dxa"/>
            <w:tcBorders>
              <w:bottom w:val="single" w:sz="4" w:space="0" w:color="000000"/>
            </w:tcBorders>
            <w:vAlign w:val="bottom"/>
          </w:tcPr>
          <w:p w14:paraId="2DDB7BA2" w14:textId="77777777" w:rsidR="008E5DE4" w:rsidRDefault="008E5DE4">
            <w:pPr>
              <w:widowControl w:val="0"/>
              <w:pBdr>
                <w:top w:val="nil"/>
                <w:left w:val="nil"/>
                <w:bottom w:val="nil"/>
                <w:right w:val="nil"/>
                <w:between w:val="nil"/>
              </w:pBdr>
              <w:jc w:val="right"/>
              <w:rPr>
                <w:b/>
                <w:smallCaps/>
                <w:color w:val="000000"/>
              </w:rPr>
            </w:pPr>
          </w:p>
        </w:tc>
        <w:tc>
          <w:tcPr>
            <w:tcW w:w="1899" w:type="dxa"/>
            <w:tcBorders>
              <w:bottom w:val="single" w:sz="4" w:space="0" w:color="000000"/>
            </w:tcBorders>
            <w:vAlign w:val="bottom"/>
          </w:tcPr>
          <w:p w14:paraId="5822BA69" w14:textId="77777777" w:rsidR="008E5DE4" w:rsidRDefault="008E5DE4">
            <w:pPr>
              <w:widowControl w:val="0"/>
              <w:pBdr>
                <w:top w:val="nil"/>
                <w:left w:val="nil"/>
                <w:bottom w:val="nil"/>
                <w:right w:val="nil"/>
                <w:between w:val="nil"/>
              </w:pBdr>
              <w:jc w:val="right"/>
              <w:rPr>
                <w:b/>
                <w:smallCaps/>
                <w:color w:val="000000"/>
              </w:rPr>
            </w:pPr>
          </w:p>
        </w:tc>
        <w:tc>
          <w:tcPr>
            <w:tcW w:w="1447" w:type="dxa"/>
            <w:gridSpan w:val="2"/>
            <w:tcBorders>
              <w:bottom w:val="single" w:sz="4" w:space="0" w:color="000000"/>
            </w:tcBorders>
            <w:vAlign w:val="bottom"/>
          </w:tcPr>
          <w:p w14:paraId="47562FB3" w14:textId="77777777" w:rsidR="008E5DE4" w:rsidRDefault="008E5DE4">
            <w:pPr>
              <w:widowControl w:val="0"/>
              <w:pBdr>
                <w:top w:val="nil"/>
                <w:left w:val="nil"/>
                <w:bottom w:val="nil"/>
                <w:right w:val="nil"/>
                <w:between w:val="nil"/>
              </w:pBdr>
              <w:jc w:val="right"/>
              <w:rPr>
                <w:b/>
                <w:smallCaps/>
                <w:color w:val="000000"/>
              </w:rPr>
            </w:pPr>
          </w:p>
        </w:tc>
      </w:tr>
      <w:tr w:rsidR="008E5DE4" w14:paraId="57A6CC28" w14:textId="77777777">
        <w:trPr>
          <w:cantSplit/>
          <w:tblHeader/>
        </w:trPr>
        <w:tc>
          <w:tcPr>
            <w:tcW w:w="2948" w:type="dxa"/>
            <w:tcBorders>
              <w:top w:val="single" w:sz="4" w:space="0" w:color="000000"/>
            </w:tcBorders>
            <w:vAlign w:val="bottom"/>
          </w:tcPr>
          <w:p w14:paraId="13579879"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1701" w:type="dxa"/>
            <w:tcBorders>
              <w:top w:val="single" w:sz="4" w:space="0" w:color="000000"/>
            </w:tcBorders>
            <w:vAlign w:val="bottom"/>
          </w:tcPr>
          <w:p w14:paraId="22812869" w14:textId="77777777" w:rsidR="008E5DE4" w:rsidRDefault="008E5DE4">
            <w:pPr>
              <w:widowControl w:val="0"/>
              <w:pBdr>
                <w:top w:val="nil"/>
                <w:left w:val="nil"/>
                <w:bottom w:val="nil"/>
                <w:right w:val="nil"/>
                <w:between w:val="nil"/>
              </w:pBdr>
              <w:jc w:val="right"/>
              <w:rPr>
                <w:b/>
                <w:smallCaps/>
                <w:color w:val="000000"/>
              </w:rPr>
            </w:pPr>
          </w:p>
        </w:tc>
        <w:tc>
          <w:tcPr>
            <w:tcW w:w="1418" w:type="dxa"/>
            <w:tcBorders>
              <w:top w:val="single" w:sz="4" w:space="0" w:color="000000"/>
            </w:tcBorders>
            <w:vAlign w:val="bottom"/>
          </w:tcPr>
          <w:p w14:paraId="4FF7FE70" w14:textId="77777777" w:rsidR="008E5DE4" w:rsidRDefault="008E5DE4">
            <w:pPr>
              <w:widowControl w:val="0"/>
              <w:pBdr>
                <w:top w:val="nil"/>
                <w:left w:val="nil"/>
                <w:bottom w:val="nil"/>
                <w:right w:val="nil"/>
                <w:between w:val="nil"/>
              </w:pBdr>
              <w:jc w:val="right"/>
              <w:rPr>
                <w:b/>
                <w:smallCaps/>
                <w:color w:val="000000"/>
              </w:rPr>
            </w:pPr>
          </w:p>
        </w:tc>
        <w:tc>
          <w:tcPr>
            <w:tcW w:w="1899" w:type="dxa"/>
            <w:tcBorders>
              <w:top w:val="single" w:sz="4" w:space="0" w:color="000000"/>
            </w:tcBorders>
            <w:vAlign w:val="bottom"/>
          </w:tcPr>
          <w:p w14:paraId="77E8F4A9" w14:textId="77777777" w:rsidR="008E5DE4" w:rsidRDefault="008E5DE4">
            <w:pPr>
              <w:widowControl w:val="0"/>
              <w:pBdr>
                <w:top w:val="nil"/>
                <w:left w:val="nil"/>
                <w:bottom w:val="nil"/>
                <w:right w:val="nil"/>
                <w:between w:val="nil"/>
              </w:pBdr>
              <w:jc w:val="right"/>
              <w:rPr>
                <w:b/>
                <w:smallCaps/>
                <w:color w:val="000000"/>
              </w:rPr>
            </w:pPr>
          </w:p>
        </w:tc>
        <w:tc>
          <w:tcPr>
            <w:tcW w:w="1447" w:type="dxa"/>
            <w:gridSpan w:val="2"/>
            <w:tcBorders>
              <w:top w:val="single" w:sz="4" w:space="0" w:color="000000"/>
            </w:tcBorders>
            <w:vAlign w:val="bottom"/>
          </w:tcPr>
          <w:p w14:paraId="3EFEFFC4" w14:textId="77777777" w:rsidR="008E5DE4" w:rsidRDefault="008E5DE4">
            <w:pPr>
              <w:widowControl w:val="0"/>
              <w:pBdr>
                <w:top w:val="nil"/>
                <w:left w:val="nil"/>
                <w:bottom w:val="nil"/>
                <w:right w:val="nil"/>
                <w:between w:val="nil"/>
              </w:pBdr>
              <w:jc w:val="right"/>
              <w:rPr>
                <w:b/>
                <w:smallCaps/>
                <w:color w:val="000000"/>
              </w:rPr>
            </w:pPr>
          </w:p>
        </w:tc>
      </w:tr>
      <w:tr w:rsidR="008E5DE4" w14:paraId="766F5492" w14:textId="77777777">
        <w:trPr>
          <w:cantSplit/>
          <w:tblHeader/>
        </w:trPr>
        <w:tc>
          <w:tcPr>
            <w:tcW w:w="2948" w:type="dxa"/>
            <w:vAlign w:val="bottom"/>
          </w:tcPr>
          <w:p w14:paraId="34F2FF16" w14:textId="77777777" w:rsidR="008E5DE4" w:rsidRDefault="00780368">
            <w:pPr>
              <w:widowControl w:val="0"/>
              <w:pBdr>
                <w:top w:val="nil"/>
                <w:left w:val="nil"/>
                <w:bottom w:val="nil"/>
                <w:right w:val="nil"/>
                <w:between w:val="nil"/>
              </w:pBdr>
              <w:ind w:left="113" w:right="-57" w:hanging="113"/>
              <w:rPr>
                <w:color w:val="000000"/>
              </w:rPr>
            </w:pPr>
            <w:r>
              <w:rPr>
                <w:b/>
                <w:color w:val="000000"/>
              </w:rPr>
              <w:t xml:space="preserve">Exercisable </w:t>
            </w:r>
            <w:proofErr w:type="gramStart"/>
            <w:r>
              <w:rPr>
                <w:b/>
                <w:color w:val="000000"/>
              </w:rPr>
              <w:t>at</w:t>
            </w:r>
            <w:proofErr w:type="gramEnd"/>
            <w:r>
              <w:rPr>
                <w:b/>
                <w:color w:val="000000"/>
              </w:rPr>
              <w:t xml:space="preserve"> 31 December</w:t>
            </w:r>
          </w:p>
        </w:tc>
        <w:tc>
          <w:tcPr>
            <w:tcW w:w="1701" w:type="dxa"/>
            <w:vAlign w:val="bottom"/>
          </w:tcPr>
          <w:p w14:paraId="6930BFB0" w14:textId="77777777" w:rsidR="008E5DE4" w:rsidRDefault="008E5DE4">
            <w:pPr>
              <w:widowControl w:val="0"/>
              <w:pBdr>
                <w:top w:val="nil"/>
                <w:left w:val="nil"/>
                <w:bottom w:val="nil"/>
                <w:right w:val="nil"/>
                <w:between w:val="nil"/>
              </w:pBdr>
              <w:jc w:val="right"/>
              <w:rPr>
                <w:color w:val="000000"/>
              </w:rPr>
            </w:pPr>
          </w:p>
        </w:tc>
        <w:tc>
          <w:tcPr>
            <w:tcW w:w="1418" w:type="dxa"/>
            <w:vAlign w:val="bottom"/>
          </w:tcPr>
          <w:p w14:paraId="0E36B4D5" w14:textId="77777777" w:rsidR="008E5DE4" w:rsidRDefault="008E5DE4">
            <w:pPr>
              <w:widowControl w:val="0"/>
              <w:pBdr>
                <w:top w:val="nil"/>
                <w:left w:val="nil"/>
                <w:bottom w:val="nil"/>
                <w:right w:val="nil"/>
                <w:between w:val="nil"/>
              </w:pBdr>
              <w:jc w:val="right"/>
              <w:rPr>
                <w:color w:val="000000"/>
              </w:rPr>
            </w:pPr>
          </w:p>
        </w:tc>
        <w:tc>
          <w:tcPr>
            <w:tcW w:w="1899" w:type="dxa"/>
            <w:vAlign w:val="bottom"/>
          </w:tcPr>
          <w:p w14:paraId="63C40673" w14:textId="77777777" w:rsidR="008E5DE4" w:rsidRDefault="008E5DE4">
            <w:pPr>
              <w:widowControl w:val="0"/>
              <w:pBdr>
                <w:top w:val="nil"/>
                <w:left w:val="nil"/>
                <w:bottom w:val="nil"/>
                <w:right w:val="nil"/>
                <w:between w:val="nil"/>
              </w:pBdr>
              <w:jc w:val="right"/>
              <w:rPr>
                <w:color w:val="000000"/>
              </w:rPr>
            </w:pPr>
          </w:p>
        </w:tc>
        <w:tc>
          <w:tcPr>
            <w:tcW w:w="1447" w:type="dxa"/>
            <w:gridSpan w:val="2"/>
            <w:vAlign w:val="bottom"/>
          </w:tcPr>
          <w:p w14:paraId="72385705" w14:textId="77777777" w:rsidR="008E5DE4" w:rsidRDefault="008E5DE4">
            <w:pPr>
              <w:widowControl w:val="0"/>
              <w:pBdr>
                <w:top w:val="nil"/>
                <w:left w:val="nil"/>
                <w:bottom w:val="nil"/>
                <w:right w:val="nil"/>
                <w:between w:val="nil"/>
              </w:pBdr>
              <w:jc w:val="right"/>
              <w:rPr>
                <w:color w:val="000000"/>
              </w:rPr>
            </w:pPr>
          </w:p>
        </w:tc>
      </w:tr>
      <w:tr w:rsidR="008E5DE4" w14:paraId="724E88B9" w14:textId="77777777">
        <w:trPr>
          <w:cantSplit/>
          <w:tblHeader/>
        </w:trPr>
        <w:tc>
          <w:tcPr>
            <w:tcW w:w="2948" w:type="dxa"/>
            <w:tcBorders>
              <w:bottom w:val="single" w:sz="12" w:space="0" w:color="000000"/>
            </w:tcBorders>
            <w:vAlign w:val="bottom"/>
          </w:tcPr>
          <w:p w14:paraId="280C6BB0" w14:textId="77777777" w:rsidR="008E5DE4" w:rsidRDefault="00780368">
            <w:pPr>
              <w:widowControl w:val="0"/>
              <w:pBdr>
                <w:top w:val="nil"/>
                <w:left w:val="nil"/>
                <w:bottom w:val="nil"/>
                <w:right w:val="nil"/>
                <w:between w:val="nil"/>
              </w:pBdr>
              <w:ind w:left="113" w:right="-57" w:hanging="113"/>
              <w:rPr>
                <w:b/>
                <w:smallCaps/>
                <w:color w:val="000000"/>
              </w:rPr>
            </w:pPr>
            <w:r>
              <w:rPr>
                <w:color w:val="000000"/>
              </w:rPr>
              <w:t> </w:t>
            </w:r>
          </w:p>
        </w:tc>
        <w:tc>
          <w:tcPr>
            <w:tcW w:w="1701" w:type="dxa"/>
            <w:tcBorders>
              <w:bottom w:val="single" w:sz="12" w:space="0" w:color="000000"/>
            </w:tcBorders>
            <w:vAlign w:val="bottom"/>
          </w:tcPr>
          <w:p w14:paraId="7F8C0225" w14:textId="77777777" w:rsidR="008E5DE4" w:rsidRDefault="008E5DE4">
            <w:pPr>
              <w:widowControl w:val="0"/>
              <w:pBdr>
                <w:top w:val="nil"/>
                <w:left w:val="nil"/>
                <w:bottom w:val="nil"/>
                <w:right w:val="nil"/>
                <w:between w:val="nil"/>
              </w:pBdr>
              <w:jc w:val="right"/>
              <w:rPr>
                <w:color w:val="000000"/>
              </w:rPr>
            </w:pPr>
          </w:p>
        </w:tc>
        <w:tc>
          <w:tcPr>
            <w:tcW w:w="1418" w:type="dxa"/>
            <w:tcBorders>
              <w:bottom w:val="single" w:sz="12" w:space="0" w:color="000000"/>
            </w:tcBorders>
            <w:vAlign w:val="bottom"/>
          </w:tcPr>
          <w:p w14:paraId="393B4306" w14:textId="77777777" w:rsidR="008E5DE4" w:rsidRDefault="008E5DE4">
            <w:pPr>
              <w:widowControl w:val="0"/>
              <w:pBdr>
                <w:top w:val="nil"/>
                <w:left w:val="nil"/>
                <w:bottom w:val="nil"/>
                <w:right w:val="nil"/>
                <w:between w:val="nil"/>
              </w:pBdr>
              <w:jc w:val="right"/>
              <w:rPr>
                <w:color w:val="000000"/>
              </w:rPr>
            </w:pPr>
          </w:p>
        </w:tc>
        <w:tc>
          <w:tcPr>
            <w:tcW w:w="1899" w:type="dxa"/>
            <w:tcBorders>
              <w:bottom w:val="single" w:sz="12" w:space="0" w:color="000000"/>
            </w:tcBorders>
            <w:vAlign w:val="bottom"/>
          </w:tcPr>
          <w:p w14:paraId="31870124" w14:textId="77777777" w:rsidR="008E5DE4" w:rsidRDefault="008E5DE4">
            <w:pPr>
              <w:widowControl w:val="0"/>
              <w:pBdr>
                <w:top w:val="nil"/>
                <w:left w:val="nil"/>
                <w:bottom w:val="nil"/>
                <w:right w:val="nil"/>
                <w:between w:val="nil"/>
              </w:pBdr>
              <w:jc w:val="right"/>
              <w:rPr>
                <w:color w:val="000000"/>
              </w:rPr>
            </w:pPr>
          </w:p>
        </w:tc>
        <w:tc>
          <w:tcPr>
            <w:tcW w:w="1447" w:type="dxa"/>
            <w:gridSpan w:val="2"/>
            <w:tcBorders>
              <w:bottom w:val="single" w:sz="12" w:space="0" w:color="000000"/>
            </w:tcBorders>
            <w:vAlign w:val="bottom"/>
          </w:tcPr>
          <w:p w14:paraId="23439241" w14:textId="77777777" w:rsidR="008E5DE4" w:rsidRDefault="008E5DE4">
            <w:pPr>
              <w:widowControl w:val="0"/>
              <w:pBdr>
                <w:top w:val="nil"/>
                <w:left w:val="nil"/>
                <w:bottom w:val="nil"/>
                <w:right w:val="nil"/>
                <w:between w:val="nil"/>
              </w:pBdr>
              <w:jc w:val="right"/>
              <w:rPr>
                <w:color w:val="000000"/>
              </w:rPr>
            </w:pPr>
          </w:p>
        </w:tc>
      </w:tr>
    </w:tbl>
    <w:p w14:paraId="49E01B7D" w14:textId="74C2D896"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weighted average fair value of options granted during the period was EUR</w:t>
      </w:r>
      <w:r>
        <w:rPr>
          <w:i/>
          <w:color w:val="000000"/>
          <w:sz w:val="20"/>
          <w:szCs w:val="20"/>
        </w:rPr>
        <w:t>__</w:t>
      </w:r>
      <w:r>
        <w:rPr>
          <w:color w:val="000000"/>
          <w:sz w:val="20"/>
          <w:szCs w:val="20"/>
        </w:rPr>
        <w:t xml:space="preserve"> per option (</w:t>
      </w:r>
      <w:r w:rsidR="00A46633">
        <w:rPr>
          <w:color w:val="000000"/>
          <w:sz w:val="20"/>
          <w:szCs w:val="20"/>
        </w:rPr>
        <w:t>2024</w:t>
      </w:r>
      <w:r>
        <w:rPr>
          <w:color w:val="000000"/>
          <w:sz w:val="20"/>
          <w:szCs w:val="20"/>
        </w:rPr>
        <w:t xml:space="preserve">: </w:t>
      </w:r>
      <w:r>
        <w:rPr>
          <w:i/>
          <w:color w:val="000000"/>
          <w:sz w:val="20"/>
          <w:szCs w:val="20"/>
        </w:rPr>
        <w:t>__</w:t>
      </w:r>
      <w:r>
        <w:rPr>
          <w:color w:val="000000"/>
          <w:sz w:val="20"/>
          <w:szCs w:val="20"/>
        </w:rPr>
        <w:t>).</w:t>
      </w:r>
    </w:p>
    <w:p w14:paraId="358B7509" w14:textId="64D4FAB4"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Options exercised in </w:t>
      </w:r>
      <w:r w:rsidR="008614F8">
        <w:rPr>
          <w:color w:val="000000"/>
          <w:sz w:val="20"/>
          <w:szCs w:val="20"/>
        </w:rPr>
        <w:t>2025</w:t>
      </w:r>
      <w:r>
        <w:rPr>
          <w:color w:val="000000"/>
          <w:sz w:val="20"/>
          <w:szCs w:val="20"/>
        </w:rPr>
        <w:t xml:space="preserve"> resulted in </w:t>
      </w:r>
      <w:r>
        <w:rPr>
          <w:i/>
          <w:color w:val="000000"/>
          <w:sz w:val="20"/>
          <w:szCs w:val="20"/>
        </w:rPr>
        <w:t>__</w:t>
      </w:r>
      <w:r>
        <w:rPr>
          <w:color w:val="000000"/>
          <w:sz w:val="20"/>
          <w:szCs w:val="20"/>
        </w:rPr>
        <w:t xml:space="preserve"> shares (</w:t>
      </w:r>
      <w:r w:rsidR="00A46633">
        <w:rPr>
          <w:color w:val="000000"/>
          <w:sz w:val="20"/>
          <w:szCs w:val="20"/>
        </w:rPr>
        <w:t>2024</w:t>
      </w:r>
      <w:r>
        <w:rPr>
          <w:color w:val="000000"/>
          <w:sz w:val="20"/>
          <w:szCs w:val="20"/>
        </w:rPr>
        <w:t xml:space="preserve">: </w:t>
      </w:r>
      <w:r>
        <w:rPr>
          <w:i/>
          <w:color w:val="000000"/>
          <w:sz w:val="20"/>
          <w:szCs w:val="20"/>
        </w:rPr>
        <w:t>__</w:t>
      </w:r>
      <w:r>
        <w:rPr>
          <w:color w:val="000000"/>
          <w:sz w:val="20"/>
          <w:szCs w:val="20"/>
        </w:rPr>
        <w:t xml:space="preserve"> shares) being issued at a weighted average price of EUR</w:t>
      </w:r>
      <w:r>
        <w:rPr>
          <w:i/>
          <w:color w:val="000000"/>
          <w:sz w:val="20"/>
          <w:szCs w:val="20"/>
        </w:rPr>
        <w:t>__</w:t>
      </w:r>
      <w:r>
        <w:rPr>
          <w:color w:val="000000"/>
          <w:sz w:val="20"/>
          <w:szCs w:val="20"/>
        </w:rPr>
        <w:t xml:space="preserve"> each (</w:t>
      </w:r>
      <w:r w:rsidR="00A46633">
        <w:rPr>
          <w:color w:val="000000"/>
          <w:sz w:val="20"/>
          <w:szCs w:val="20"/>
        </w:rPr>
        <w:t>2024</w:t>
      </w:r>
      <w:r>
        <w:rPr>
          <w:color w:val="000000"/>
          <w:sz w:val="20"/>
          <w:szCs w:val="20"/>
        </w:rPr>
        <w:t>: EUR</w:t>
      </w:r>
      <w:r>
        <w:rPr>
          <w:i/>
          <w:color w:val="000000"/>
          <w:sz w:val="20"/>
          <w:szCs w:val="20"/>
        </w:rPr>
        <w:t>__</w:t>
      </w:r>
      <w:r>
        <w:rPr>
          <w:color w:val="000000"/>
          <w:sz w:val="20"/>
          <w:szCs w:val="20"/>
        </w:rPr>
        <w:t xml:space="preserve"> each). The related weighted average share price at the time of exercise was EUR</w:t>
      </w:r>
      <w:r>
        <w:rPr>
          <w:i/>
          <w:color w:val="000000"/>
          <w:sz w:val="20"/>
          <w:szCs w:val="20"/>
        </w:rPr>
        <w:t>__</w:t>
      </w:r>
      <w:r>
        <w:rPr>
          <w:color w:val="000000"/>
          <w:sz w:val="20"/>
          <w:szCs w:val="20"/>
        </w:rPr>
        <w:t xml:space="preserve"> (</w:t>
      </w:r>
      <w:r w:rsidR="00A46633">
        <w:rPr>
          <w:color w:val="000000"/>
          <w:sz w:val="20"/>
          <w:szCs w:val="20"/>
        </w:rPr>
        <w:t>2024</w:t>
      </w:r>
      <w:r>
        <w:rPr>
          <w:color w:val="000000"/>
          <w:sz w:val="20"/>
          <w:szCs w:val="20"/>
        </w:rPr>
        <w:t>: EUR</w:t>
      </w:r>
      <w:r>
        <w:rPr>
          <w:i/>
          <w:color w:val="000000"/>
          <w:sz w:val="20"/>
          <w:szCs w:val="20"/>
        </w:rPr>
        <w:t>__</w:t>
      </w:r>
      <w:r>
        <w:rPr>
          <w:color w:val="000000"/>
          <w:sz w:val="20"/>
          <w:szCs w:val="20"/>
        </w:rPr>
        <w:t>) per share. The related transaction costs amounting to EUR</w:t>
      </w:r>
      <w:r>
        <w:rPr>
          <w:i/>
          <w:color w:val="000000"/>
          <w:sz w:val="20"/>
          <w:szCs w:val="20"/>
        </w:rPr>
        <w:t>__</w:t>
      </w:r>
      <w:r>
        <w:rPr>
          <w:color w:val="000000"/>
          <w:sz w:val="20"/>
          <w:szCs w:val="20"/>
        </w:rPr>
        <w:t xml:space="preserve"> (</w:t>
      </w:r>
      <w:r w:rsidR="00A46633">
        <w:rPr>
          <w:color w:val="000000"/>
          <w:sz w:val="20"/>
          <w:szCs w:val="20"/>
        </w:rPr>
        <w:t>2024</w:t>
      </w:r>
      <w:r>
        <w:rPr>
          <w:color w:val="000000"/>
          <w:sz w:val="20"/>
          <w:szCs w:val="20"/>
        </w:rPr>
        <w:t>: EUR</w:t>
      </w:r>
      <w:r>
        <w:rPr>
          <w:i/>
          <w:color w:val="000000"/>
          <w:sz w:val="20"/>
          <w:szCs w:val="20"/>
        </w:rPr>
        <w:t>__</w:t>
      </w:r>
      <w:r>
        <w:rPr>
          <w:color w:val="000000"/>
          <w:sz w:val="20"/>
          <w:szCs w:val="20"/>
        </w:rPr>
        <w:t xml:space="preserve">) have been netted off with the proceeds received. </w:t>
      </w:r>
    </w:p>
    <w:p w14:paraId="42159FF4"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Share options (in thousands) outstanding at the end of the year:</w:t>
      </w:r>
    </w:p>
    <w:tbl>
      <w:tblPr>
        <w:tblStyle w:val="afffffffffffffff"/>
        <w:tblW w:w="9440" w:type="dxa"/>
        <w:tblLayout w:type="fixed"/>
        <w:tblLook w:val="0000" w:firstRow="0" w:lastRow="0" w:firstColumn="0" w:lastColumn="0" w:noHBand="0" w:noVBand="0"/>
      </w:tblPr>
      <w:tblGrid>
        <w:gridCol w:w="1417"/>
        <w:gridCol w:w="993"/>
        <w:gridCol w:w="850"/>
        <w:gridCol w:w="993"/>
        <w:gridCol w:w="1133"/>
        <w:gridCol w:w="950"/>
        <w:gridCol w:w="893"/>
        <w:gridCol w:w="992"/>
        <w:gridCol w:w="1219"/>
      </w:tblGrid>
      <w:tr w:rsidR="008E5DE4" w14:paraId="0A014F4D" w14:textId="77777777">
        <w:trPr>
          <w:cantSplit/>
          <w:tblHeader/>
        </w:trPr>
        <w:tc>
          <w:tcPr>
            <w:tcW w:w="1417" w:type="dxa"/>
            <w:vAlign w:val="bottom"/>
          </w:tcPr>
          <w:p w14:paraId="52A62AA2" w14:textId="77777777" w:rsidR="008E5DE4" w:rsidRDefault="008E5DE4">
            <w:pPr>
              <w:widowControl w:val="0"/>
              <w:pBdr>
                <w:top w:val="nil"/>
                <w:left w:val="nil"/>
                <w:bottom w:val="nil"/>
                <w:right w:val="nil"/>
                <w:between w:val="nil"/>
              </w:pBdr>
              <w:rPr>
                <w:b/>
                <w:color w:val="000000"/>
              </w:rPr>
            </w:pPr>
          </w:p>
        </w:tc>
        <w:tc>
          <w:tcPr>
            <w:tcW w:w="3969" w:type="dxa"/>
            <w:gridSpan w:val="4"/>
            <w:vAlign w:val="bottom"/>
          </w:tcPr>
          <w:p w14:paraId="4BBE5E45" w14:textId="50F14B5D" w:rsidR="008E5DE4" w:rsidRDefault="008614F8">
            <w:pPr>
              <w:widowControl w:val="0"/>
              <w:pBdr>
                <w:top w:val="nil"/>
                <w:left w:val="nil"/>
                <w:bottom w:val="nil"/>
                <w:right w:val="nil"/>
                <w:between w:val="nil"/>
              </w:pBdr>
              <w:jc w:val="center"/>
              <w:rPr>
                <w:b/>
                <w:color w:val="000000"/>
              </w:rPr>
            </w:pPr>
            <w:r>
              <w:rPr>
                <w:b/>
                <w:color w:val="000000"/>
              </w:rPr>
              <w:t>2025</w:t>
            </w:r>
          </w:p>
        </w:tc>
        <w:tc>
          <w:tcPr>
            <w:tcW w:w="4054" w:type="dxa"/>
            <w:gridSpan w:val="4"/>
            <w:vAlign w:val="bottom"/>
          </w:tcPr>
          <w:p w14:paraId="6133599A" w14:textId="130D44DF" w:rsidR="008E5DE4" w:rsidRDefault="00A46633">
            <w:pPr>
              <w:widowControl w:val="0"/>
              <w:pBdr>
                <w:top w:val="nil"/>
                <w:left w:val="nil"/>
                <w:bottom w:val="nil"/>
                <w:right w:val="nil"/>
                <w:between w:val="nil"/>
              </w:pBdr>
              <w:jc w:val="center"/>
              <w:rPr>
                <w:b/>
                <w:color w:val="000000"/>
              </w:rPr>
            </w:pPr>
            <w:r>
              <w:rPr>
                <w:b/>
                <w:color w:val="000000"/>
              </w:rPr>
              <w:t>2024</w:t>
            </w:r>
          </w:p>
        </w:tc>
      </w:tr>
      <w:tr w:rsidR="008E5DE4" w14:paraId="3CAA4513" w14:textId="77777777">
        <w:trPr>
          <w:cantSplit/>
          <w:tblHeader/>
        </w:trPr>
        <w:tc>
          <w:tcPr>
            <w:tcW w:w="1417" w:type="dxa"/>
            <w:vMerge w:val="restart"/>
          </w:tcPr>
          <w:p w14:paraId="6F4BF517" w14:textId="77777777" w:rsidR="008E5DE4" w:rsidRDefault="00780368">
            <w:pPr>
              <w:widowControl w:val="0"/>
              <w:pBdr>
                <w:top w:val="nil"/>
                <w:left w:val="nil"/>
                <w:bottom w:val="nil"/>
                <w:right w:val="nil"/>
                <w:between w:val="nil"/>
              </w:pBdr>
              <w:ind w:left="113" w:right="-57" w:hanging="113"/>
              <w:rPr>
                <w:b/>
                <w:color w:val="000000"/>
              </w:rPr>
            </w:pPr>
            <w:r>
              <w:rPr>
                <w:b/>
                <w:color w:val="000000"/>
              </w:rPr>
              <w:t>Range of exercise prices</w:t>
            </w:r>
          </w:p>
        </w:tc>
        <w:tc>
          <w:tcPr>
            <w:tcW w:w="993" w:type="dxa"/>
            <w:vMerge w:val="restart"/>
            <w:tcBorders>
              <w:top w:val="single" w:sz="4" w:space="0" w:color="000000"/>
            </w:tcBorders>
          </w:tcPr>
          <w:p w14:paraId="5006756E"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Weighted average exercise price </w:t>
            </w:r>
          </w:p>
        </w:tc>
        <w:tc>
          <w:tcPr>
            <w:tcW w:w="850" w:type="dxa"/>
            <w:vMerge w:val="restart"/>
            <w:tcBorders>
              <w:top w:val="single" w:sz="4" w:space="0" w:color="000000"/>
            </w:tcBorders>
          </w:tcPr>
          <w:p w14:paraId="22D3E364" w14:textId="77777777" w:rsidR="008E5DE4" w:rsidRDefault="00780368">
            <w:pPr>
              <w:widowControl w:val="0"/>
              <w:pBdr>
                <w:top w:val="nil"/>
                <w:left w:val="nil"/>
                <w:bottom w:val="nil"/>
                <w:right w:val="nil"/>
                <w:between w:val="nil"/>
              </w:pBdr>
              <w:ind w:left="-113"/>
              <w:jc w:val="right"/>
              <w:rPr>
                <w:b/>
                <w:color w:val="000000"/>
              </w:rPr>
            </w:pPr>
            <w:r>
              <w:rPr>
                <w:b/>
                <w:color w:val="000000"/>
              </w:rPr>
              <w:t xml:space="preserve">Number of options </w:t>
            </w:r>
          </w:p>
        </w:tc>
        <w:tc>
          <w:tcPr>
            <w:tcW w:w="2126" w:type="dxa"/>
            <w:gridSpan w:val="2"/>
            <w:tcBorders>
              <w:top w:val="single" w:sz="4" w:space="0" w:color="000000"/>
              <w:bottom w:val="single" w:sz="4" w:space="0" w:color="000000"/>
            </w:tcBorders>
          </w:tcPr>
          <w:p w14:paraId="35C7326B" w14:textId="77777777" w:rsidR="008E5DE4" w:rsidRDefault="00780368">
            <w:pPr>
              <w:widowControl w:val="0"/>
              <w:pBdr>
                <w:top w:val="nil"/>
                <w:left w:val="nil"/>
                <w:bottom w:val="nil"/>
                <w:right w:val="nil"/>
                <w:between w:val="nil"/>
              </w:pBdr>
              <w:ind w:left="-113"/>
              <w:jc w:val="right"/>
              <w:rPr>
                <w:b/>
                <w:color w:val="000000"/>
              </w:rPr>
            </w:pPr>
            <w:r>
              <w:rPr>
                <w:b/>
                <w:color w:val="000000"/>
              </w:rPr>
              <w:t>Weighted average remaining life</w:t>
            </w:r>
          </w:p>
        </w:tc>
        <w:tc>
          <w:tcPr>
            <w:tcW w:w="950" w:type="dxa"/>
            <w:vMerge w:val="restart"/>
            <w:tcBorders>
              <w:top w:val="single" w:sz="4" w:space="0" w:color="000000"/>
            </w:tcBorders>
          </w:tcPr>
          <w:p w14:paraId="35E60A77" w14:textId="77777777" w:rsidR="008E5DE4" w:rsidRDefault="00780368">
            <w:pPr>
              <w:widowControl w:val="0"/>
              <w:pBdr>
                <w:top w:val="nil"/>
                <w:left w:val="nil"/>
                <w:bottom w:val="nil"/>
                <w:right w:val="nil"/>
                <w:between w:val="nil"/>
              </w:pBdr>
              <w:ind w:left="-113"/>
              <w:jc w:val="right"/>
              <w:rPr>
                <w:b/>
                <w:color w:val="000000"/>
              </w:rPr>
            </w:pPr>
            <w:r>
              <w:rPr>
                <w:b/>
                <w:color w:val="000000"/>
              </w:rPr>
              <w:t>Weighted average exercise price</w:t>
            </w:r>
          </w:p>
        </w:tc>
        <w:tc>
          <w:tcPr>
            <w:tcW w:w="893" w:type="dxa"/>
            <w:vMerge w:val="restart"/>
            <w:tcBorders>
              <w:top w:val="single" w:sz="4" w:space="0" w:color="000000"/>
            </w:tcBorders>
          </w:tcPr>
          <w:p w14:paraId="552C37AB" w14:textId="77777777" w:rsidR="008E5DE4" w:rsidRDefault="00780368">
            <w:pPr>
              <w:widowControl w:val="0"/>
              <w:pBdr>
                <w:top w:val="nil"/>
                <w:left w:val="nil"/>
                <w:bottom w:val="nil"/>
                <w:right w:val="nil"/>
                <w:between w:val="nil"/>
              </w:pBdr>
              <w:ind w:left="-113"/>
              <w:jc w:val="right"/>
              <w:rPr>
                <w:b/>
                <w:color w:val="000000"/>
              </w:rPr>
            </w:pPr>
            <w:r>
              <w:rPr>
                <w:b/>
                <w:color w:val="000000"/>
              </w:rPr>
              <w:t>Number of options</w:t>
            </w:r>
          </w:p>
        </w:tc>
        <w:tc>
          <w:tcPr>
            <w:tcW w:w="2211" w:type="dxa"/>
            <w:gridSpan w:val="2"/>
            <w:tcBorders>
              <w:top w:val="single" w:sz="4" w:space="0" w:color="000000"/>
              <w:bottom w:val="single" w:sz="4" w:space="0" w:color="000000"/>
            </w:tcBorders>
          </w:tcPr>
          <w:p w14:paraId="1C607D0E" w14:textId="77777777" w:rsidR="008E5DE4" w:rsidRDefault="00780368">
            <w:pPr>
              <w:widowControl w:val="0"/>
              <w:pBdr>
                <w:top w:val="nil"/>
                <w:left w:val="nil"/>
                <w:bottom w:val="nil"/>
                <w:right w:val="nil"/>
                <w:between w:val="nil"/>
              </w:pBdr>
              <w:ind w:left="-113"/>
              <w:jc w:val="right"/>
              <w:rPr>
                <w:b/>
                <w:color w:val="000000"/>
              </w:rPr>
            </w:pPr>
            <w:r>
              <w:rPr>
                <w:b/>
                <w:color w:val="000000"/>
              </w:rPr>
              <w:t>Weighted average remaining life</w:t>
            </w:r>
          </w:p>
        </w:tc>
      </w:tr>
      <w:tr w:rsidR="008E5DE4" w14:paraId="45F0C28A" w14:textId="77777777">
        <w:trPr>
          <w:cantSplit/>
          <w:tblHeader/>
        </w:trPr>
        <w:tc>
          <w:tcPr>
            <w:tcW w:w="1417" w:type="dxa"/>
            <w:vMerge/>
          </w:tcPr>
          <w:p w14:paraId="6B28AC36" w14:textId="77777777" w:rsidR="008E5DE4" w:rsidRDefault="008E5DE4">
            <w:pPr>
              <w:widowControl w:val="0"/>
              <w:pBdr>
                <w:top w:val="nil"/>
                <w:left w:val="nil"/>
                <w:bottom w:val="nil"/>
                <w:right w:val="nil"/>
                <w:between w:val="nil"/>
              </w:pBdr>
              <w:spacing w:line="276" w:lineRule="auto"/>
              <w:rPr>
                <w:b/>
                <w:color w:val="000000"/>
              </w:rPr>
            </w:pPr>
          </w:p>
        </w:tc>
        <w:tc>
          <w:tcPr>
            <w:tcW w:w="993" w:type="dxa"/>
            <w:vMerge/>
            <w:tcBorders>
              <w:top w:val="single" w:sz="4" w:space="0" w:color="000000"/>
            </w:tcBorders>
          </w:tcPr>
          <w:p w14:paraId="12638A4F" w14:textId="77777777" w:rsidR="008E5DE4" w:rsidRDefault="008E5DE4">
            <w:pPr>
              <w:widowControl w:val="0"/>
              <w:pBdr>
                <w:top w:val="nil"/>
                <w:left w:val="nil"/>
                <w:bottom w:val="nil"/>
                <w:right w:val="nil"/>
                <w:between w:val="nil"/>
              </w:pBdr>
              <w:spacing w:line="276" w:lineRule="auto"/>
              <w:rPr>
                <w:b/>
                <w:color w:val="000000"/>
              </w:rPr>
            </w:pPr>
          </w:p>
        </w:tc>
        <w:tc>
          <w:tcPr>
            <w:tcW w:w="850" w:type="dxa"/>
            <w:vMerge/>
            <w:tcBorders>
              <w:top w:val="single" w:sz="4" w:space="0" w:color="000000"/>
            </w:tcBorders>
          </w:tcPr>
          <w:p w14:paraId="0FBDA163" w14:textId="77777777" w:rsidR="008E5DE4" w:rsidRDefault="008E5DE4">
            <w:pPr>
              <w:widowControl w:val="0"/>
              <w:pBdr>
                <w:top w:val="nil"/>
                <w:left w:val="nil"/>
                <w:bottom w:val="nil"/>
                <w:right w:val="nil"/>
                <w:between w:val="nil"/>
              </w:pBdr>
              <w:spacing w:line="276" w:lineRule="auto"/>
              <w:rPr>
                <w:b/>
                <w:color w:val="000000"/>
              </w:rPr>
            </w:pPr>
          </w:p>
        </w:tc>
        <w:tc>
          <w:tcPr>
            <w:tcW w:w="993" w:type="dxa"/>
            <w:tcBorders>
              <w:top w:val="single" w:sz="4" w:space="0" w:color="000000"/>
              <w:bottom w:val="single" w:sz="4" w:space="0" w:color="000000"/>
            </w:tcBorders>
          </w:tcPr>
          <w:p w14:paraId="78E51EA4" w14:textId="77777777" w:rsidR="008E5DE4" w:rsidRDefault="00780368">
            <w:pPr>
              <w:widowControl w:val="0"/>
              <w:pBdr>
                <w:top w:val="nil"/>
                <w:left w:val="nil"/>
                <w:bottom w:val="nil"/>
                <w:right w:val="nil"/>
                <w:between w:val="nil"/>
              </w:pBdr>
              <w:ind w:left="-113"/>
              <w:jc w:val="right"/>
              <w:rPr>
                <w:b/>
                <w:color w:val="000000"/>
              </w:rPr>
            </w:pPr>
            <w:r>
              <w:rPr>
                <w:b/>
                <w:color w:val="000000"/>
              </w:rPr>
              <w:t>Expected</w:t>
            </w:r>
          </w:p>
        </w:tc>
        <w:tc>
          <w:tcPr>
            <w:tcW w:w="1133" w:type="dxa"/>
            <w:tcBorders>
              <w:top w:val="single" w:sz="4" w:space="0" w:color="000000"/>
              <w:bottom w:val="single" w:sz="4" w:space="0" w:color="000000"/>
            </w:tcBorders>
          </w:tcPr>
          <w:p w14:paraId="08D564F4" w14:textId="77777777" w:rsidR="008E5DE4" w:rsidRDefault="00780368">
            <w:pPr>
              <w:widowControl w:val="0"/>
              <w:pBdr>
                <w:top w:val="nil"/>
                <w:left w:val="nil"/>
                <w:bottom w:val="nil"/>
                <w:right w:val="nil"/>
                <w:between w:val="nil"/>
              </w:pBdr>
              <w:ind w:left="-113"/>
              <w:jc w:val="right"/>
              <w:rPr>
                <w:b/>
                <w:color w:val="000000"/>
              </w:rPr>
            </w:pPr>
            <w:r>
              <w:rPr>
                <w:b/>
                <w:color w:val="000000"/>
              </w:rPr>
              <w:t>Contractual</w:t>
            </w:r>
          </w:p>
        </w:tc>
        <w:tc>
          <w:tcPr>
            <w:tcW w:w="950" w:type="dxa"/>
            <w:vMerge/>
            <w:tcBorders>
              <w:top w:val="single" w:sz="4" w:space="0" w:color="000000"/>
            </w:tcBorders>
          </w:tcPr>
          <w:p w14:paraId="7D8EA35A" w14:textId="77777777" w:rsidR="008E5DE4" w:rsidRDefault="008E5DE4">
            <w:pPr>
              <w:widowControl w:val="0"/>
              <w:pBdr>
                <w:top w:val="nil"/>
                <w:left w:val="nil"/>
                <w:bottom w:val="nil"/>
                <w:right w:val="nil"/>
                <w:between w:val="nil"/>
              </w:pBdr>
              <w:spacing w:line="276" w:lineRule="auto"/>
              <w:rPr>
                <w:b/>
                <w:color w:val="000000"/>
              </w:rPr>
            </w:pPr>
          </w:p>
        </w:tc>
        <w:tc>
          <w:tcPr>
            <w:tcW w:w="893" w:type="dxa"/>
            <w:vMerge/>
            <w:tcBorders>
              <w:top w:val="single" w:sz="4" w:space="0" w:color="000000"/>
            </w:tcBorders>
          </w:tcPr>
          <w:p w14:paraId="641DB52B" w14:textId="77777777" w:rsidR="008E5DE4" w:rsidRDefault="008E5DE4">
            <w:pPr>
              <w:widowControl w:val="0"/>
              <w:pBdr>
                <w:top w:val="nil"/>
                <w:left w:val="nil"/>
                <w:bottom w:val="nil"/>
                <w:right w:val="nil"/>
                <w:between w:val="nil"/>
              </w:pBdr>
              <w:spacing w:line="276" w:lineRule="auto"/>
              <w:rPr>
                <w:b/>
                <w:color w:val="000000"/>
              </w:rPr>
            </w:pPr>
          </w:p>
        </w:tc>
        <w:tc>
          <w:tcPr>
            <w:tcW w:w="992" w:type="dxa"/>
            <w:tcBorders>
              <w:bottom w:val="single" w:sz="4" w:space="0" w:color="000000"/>
            </w:tcBorders>
          </w:tcPr>
          <w:p w14:paraId="62BC2E07" w14:textId="77777777" w:rsidR="008E5DE4" w:rsidRDefault="00780368">
            <w:pPr>
              <w:widowControl w:val="0"/>
              <w:pBdr>
                <w:top w:val="nil"/>
                <w:left w:val="nil"/>
                <w:bottom w:val="nil"/>
                <w:right w:val="nil"/>
                <w:between w:val="nil"/>
              </w:pBdr>
              <w:ind w:left="-113"/>
              <w:jc w:val="right"/>
              <w:rPr>
                <w:b/>
                <w:color w:val="000000"/>
              </w:rPr>
            </w:pPr>
            <w:r>
              <w:rPr>
                <w:b/>
                <w:color w:val="000000"/>
              </w:rPr>
              <w:t>Expected</w:t>
            </w:r>
          </w:p>
        </w:tc>
        <w:tc>
          <w:tcPr>
            <w:tcW w:w="1219" w:type="dxa"/>
            <w:tcBorders>
              <w:bottom w:val="single" w:sz="4" w:space="0" w:color="000000"/>
            </w:tcBorders>
          </w:tcPr>
          <w:p w14:paraId="683EA299" w14:textId="77777777" w:rsidR="008E5DE4" w:rsidRDefault="00780368">
            <w:pPr>
              <w:widowControl w:val="0"/>
              <w:pBdr>
                <w:top w:val="nil"/>
                <w:left w:val="nil"/>
                <w:bottom w:val="nil"/>
                <w:right w:val="nil"/>
                <w:between w:val="nil"/>
              </w:pBdr>
              <w:ind w:left="-113"/>
              <w:jc w:val="right"/>
              <w:rPr>
                <w:b/>
                <w:color w:val="000000"/>
              </w:rPr>
            </w:pPr>
            <w:r>
              <w:rPr>
                <w:b/>
                <w:color w:val="000000"/>
              </w:rPr>
              <w:t>Contractual</w:t>
            </w:r>
          </w:p>
        </w:tc>
      </w:tr>
      <w:tr w:rsidR="008E5DE4" w14:paraId="70F08537" w14:textId="77777777">
        <w:trPr>
          <w:cantSplit/>
          <w:tblHeader/>
        </w:trPr>
        <w:tc>
          <w:tcPr>
            <w:tcW w:w="1417" w:type="dxa"/>
            <w:tcBorders>
              <w:top w:val="single" w:sz="4" w:space="0" w:color="000000"/>
            </w:tcBorders>
            <w:vAlign w:val="bottom"/>
          </w:tcPr>
          <w:p w14:paraId="406404BF" w14:textId="77777777" w:rsidR="008E5DE4" w:rsidRDefault="008E5DE4">
            <w:pPr>
              <w:widowControl w:val="0"/>
              <w:pBdr>
                <w:top w:val="nil"/>
                <w:left w:val="nil"/>
                <w:bottom w:val="nil"/>
                <w:right w:val="nil"/>
                <w:between w:val="nil"/>
              </w:pBdr>
              <w:ind w:left="113" w:right="-57" w:hanging="113"/>
              <w:rPr>
                <w:i/>
                <w:color w:val="000000"/>
              </w:rPr>
            </w:pPr>
          </w:p>
        </w:tc>
        <w:tc>
          <w:tcPr>
            <w:tcW w:w="993" w:type="dxa"/>
            <w:tcBorders>
              <w:top w:val="single" w:sz="4" w:space="0" w:color="000000"/>
            </w:tcBorders>
            <w:vAlign w:val="bottom"/>
          </w:tcPr>
          <w:p w14:paraId="5816DA58" w14:textId="77777777" w:rsidR="008E5DE4" w:rsidRDefault="008E5DE4">
            <w:pPr>
              <w:widowControl w:val="0"/>
              <w:pBdr>
                <w:top w:val="nil"/>
                <w:left w:val="nil"/>
                <w:bottom w:val="nil"/>
                <w:right w:val="nil"/>
                <w:between w:val="nil"/>
              </w:pBdr>
              <w:jc w:val="right"/>
              <w:rPr>
                <w:b/>
                <w:color w:val="000000"/>
              </w:rPr>
            </w:pPr>
          </w:p>
        </w:tc>
        <w:tc>
          <w:tcPr>
            <w:tcW w:w="850" w:type="dxa"/>
            <w:tcBorders>
              <w:top w:val="single" w:sz="4" w:space="0" w:color="000000"/>
            </w:tcBorders>
            <w:vAlign w:val="bottom"/>
          </w:tcPr>
          <w:p w14:paraId="7FC33C54" w14:textId="77777777" w:rsidR="008E5DE4" w:rsidRDefault="008E5DE4">
            <w:pPr>
              <w:widowControl w:val="0"/>
              <w:pBdr>
                <w:top w:val="nil"/>
                <w:left w:val="nil"/>
                <w:bottom w:val="nil"/>
                <w:right w:val="nil"/>
                <w:between w:val="nil"/>
              </w:pBdr>
              <w:jc w:val="right"/>
              <w:rPr>
                <w:b/>
                <w:color w:val="000000"/>
              </w:rPr>
            </w:pPr>
          </w:p>
        </w:tc>
        <w:tc>
          <w:tcPr>
            <w:tcW w:w="993" w:type="dxa"/>
            <w:tcBorders>
              <w:top w:val="single" w:sz="4" w:space="0" w:color="000000"/>
            </w:tcBorders>
            <w:vAlign w:val="bottom"/>
          </w:tcPr>
          <w:p w14:paraId="7FEE64F6" w14:textId="77777777" w:rsidR="008E5DE4" w:rsidRDefault="008E5DE4">
            <w:pPr>
              <w:widowControl w:val="0"/>
              <w:pBdr>
                <w:top w:val="nil"/>
                <w:left w:val="nil"/>
                <w:bottom w:val="nil"/>
                <w:right w:val="nil"/>
                <w:between w:val="nil"/>
              </w:pBdr>
              <w:jc w:val="right"/>
              <w:rPr>
                <w:b/>
                <w:color w:val="000000"/>
              </w:rPr>
            </w:pPr>
          </w:p>
        </w:tc>
        <w:tc>
          <w:tcPr>
            <w:tcW w:w="1133" w:type="dxa"/>
            <w:tcBorders>
              <w:top w:val="single" w:sz="4" w:space="0" w:color="000000"/>
            </w:tcBorders>
            <w:vAlign w:val="bottom"/>
          </w:tcPr>
          <w:p w14:paraId="77A43AB5" w14:textId="77777777" w:rsidR="008E5DE4" w:rsidRDefault="008E5DE4">
            <w:pPr>
              <w:widowControl w:val="0"/>
              <w:pBdr>
                <w:top w:val="nil"/>
                <w:left w:val="nil"/>
                <w:bottom w:val="nil"/>
                <w:right w:val="nil"/>
                <w:between w:val="nil"/>
              </w:pBdr>
              <w:jc w:val="right"/>
              <w:rPr>
                <w:b/>
                <w:color w:val="000000"/>
              </w:rPr>
            </w:pPr>
          </w:p>
        </w:tc>
        <w:tc>
          <w:tcPr>
            <w:tcW w:w="950" w:type="dxa"/>
            <w:tcBorders>
              <w:top w:val="single" w:sz="4" w:space="0" w:color="000000"/>
            </w:tcBorders>
            <w:vAlign w:val="bottom"/>
          </w:tcPr>
          <w:p w14:paraId="726D3001" w14:textId="77777777" w:rsidR="008E5DE4" w:rsidRDefault="008E5DE4">
            <w:pPr>
              <w:widowControl w:val="0"/>
              <w:pBdr>
                <w:top w:val="nil"/>
                <w:left w:val="nil"/>
                <w:bottom w:val="nil"/>
                <w:right w:val="nil"/>
                <w:between w:val="nil"/>
              </w:pBdr>
              <w:jc w:val="right"/>
              <w:rPr>
                <w:b/>
                <w:color w:val="000000"/>
              </w:rPr>
            </w:pPr>
          </w:p>
        </w:tc>
        <w:tc>
          <w:tcPr>
            <w:tcW w:w="893" w:type="dxa"/>
            <w:tcBorders>
              <w:top w:val="single" w:sz="4" w:space="0" w:color="000000"/>
            </w:tcBorders>
            <w:vAlign w:val="bottom"/>
          </w:tcPr>
          <w:p w14:paraId="61D7991D" w14:textId="77777777" w:rsidR="008E5DE4" w:rsidRDefault="008E5DE4">
            <w:pPr>
              <w:widowControl w:val="0"/>
              <w:pBdr>
                <w:top w:val="nil"/>
                <w:left w:val="nil"/>
                <w:bottom w:val="nil"/>
                <w:right w:val="nil"/>
                <w:between w:val="nil"/>
              </w:pBdr>
              <w:jc w:val="right"/>
              <w:rPr>
                <w:b/>
                <w:color w:val="000000"/>
              </w:rPr>
            </w:pPr>
          </w:p>
        </w:tc>
        <w:tc>
          <w:tcPr>
            <w:tcW w:w="992" w:type="dxa"/>
            <w:tcBorders>
              <w:top w:val="single" w:sz="4" w:space="0" w:color="000000"/>
            </w:tcBorders>
            <w:vAlign w:val="bottom"/>
          </w:tcPr>
          <w:p w14:paraId="2719C607" w14:textId="77777777" w:rsidR="008E5DE4" w:rsidRDefault="008E5DE4">
            <w:pPr>
              <w:widowControl w:val="0"/>
              <w:pBdr>
                <w:top w:val="nil"/>
                <w:left w:val="nil"/>
                <w:bottom w:val="nil"/>
                <w:right w:val="nil"/>
                <w:between w:val="nil"/>
              </w:pBdr>
              <w:jc w:val="right"/>
              <w:rPr>
                <w:b/>
                <w:color w:val="000000"/>
              </w:rPr>
            </w:pPr>
          </w:p>
        </w:tc>
        <w:tc>
          <w:tcPr>
            <w:tcW w:w="1219" w:type="dxa"/>
            <w:tcBorders>
              <w:top w:val="single" w:sz="4" w:space="0" w:color="000000"/>
            </w:tcBorders>
            <w:vAlign w:val="bottom"/>
          </w:tcPr>
          <w:p w14:paraId="22CEC1E0" w14:textId="77777777" w:rsidR="008E5DE4" w:rsidRDefault="008E5DE4">
            <w:pPr>
              <w:widowControl w:val="0"/>
              <w:pBdr>
                <w:top w:val="nil"/>
                <w:left w:val="nil"/>
                <w:bottom w:val="nil"/>
                <w:right w:val="nil"/>
                <w:between w:val="nil"/>
              </w:pBdr>
              <w:jc w:val="right"/>
              <w:rPr>
                <w:b/>
                <w:color w:val="000000"/>
              </w:rPr>
            </w:pPr>
          </w:p>
        </w:tc>
      </w:tr>
      <w:tr w:rsidR="008E5DE4" w14:paraId="42F341BF" w14:textId="77777777">
        <w:trPr>
          <w:cantSplit/>
          <w:tblHeader/>
        </w:trPr>
        <w:tc>
          <w:tcPr>
            <w:tcW w:w="1417" w:type="dxa"/>
            <w:vAlign w:val="bottom"/>
          </w:tcPr>
          <w:p w14:paraId="56337CD3"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EUR10 – 15</w:t>
            </w:r>
          </w:p>
        </w:tc>
        <w:tc>
          <w:tcPr>
            <w:tcW w:w="993" w:type="dxa"/>
            <w:vAlign w:val="bottom"/>
          </w:tcPr>
          <w:p w14:paraId="10488F96" w14:textId="77777777" w:rsidR="008E5DE4" w:rsidRDefault="00780368">
            <w:pPr>
              <w:widowControl w:val="0"/>
              <w:pBdr>
                <w:top w:val="nil"/>
                <w:left w:val="nil"/>
                <w:bottom w:val="nil"/>
                <w:right w:val="nil"/>
                <w:between w:val="nil"/>
              </w:pBdr>
              <w:jc w:val="right"/>
              <w:rPr>
                <w:color w:val="000000"/>
              </w:rPr>
            </w:pPr>
            <w:r>
              <w:rPr>
                <w:color w:val="000000"/>
              </w:rPr>
              <w:t xml:space="preserve"> EUR__</w:t>
            </w:r>
          </w:p>
        </w:tc>
        <w:tc>
          <w:tcPr>
            <w:tcW w:w="850" w:type="dxa"/>
            <w:vAlign w:val="bottom"/>
          </w:tcPr>
          <w:p w14:paraId="4AB9144E" w14:textId="77777777" w:rsidR="008E5DE4" w:rsidRDefault="008E5DE4">
            <w:pPr>
              <w:widowControl w:val="0"/>
              <w:pBdr>
                <w:top w:val="nil"/>
                <w:left w:val="nil"/>
                <w:bottom w:val="nil"/>
                <w:right w:val="nil"/>
                <w:between w:val="nil"/>
              </w:pBdr>
              <w:jc w:val="right"/>
              <w:rPr>
                <w:color w:val="000000"/>
              </w:rPr>
            </w:pPr>
          </w:p>
        </w:tc>
        <w:tc>
          <w:tcPr>
            <w:tcW w:w="993" w:type="dxa"/>
            <w:vAlign w:val="bottom"/>
          </w:tcPr>
          <w:p w14:paraId="394CD19F" w14:textId="77777777" w:rsidR="008E5DE4" w:rsidRDefault="008E5DE4">
            <w:pPr>
              <w:widowControl w:val="0"/>
              <w:pBdr>
                <w:top w:val="nil"/>
                <w:left w:val="nil"/>
                <w:bottom w:val="nil"/>
                <w:right w:val="nil"/>
                <w:between w:val="nil"/>
              </w:pBdr>
              <w:jc w:val="right"/>
              <w:rPr>
                <w:color w:val="000000"/>
              </w:rPr>
            </w:pPr>
          </w:p>
        </w:tc>
        <w:tc>
          <w:tcPr>
            <w:tcW w:w="1133" w:type="dxa"/>
            <w:vAlign w:val="bottom"/>
          </w:tcPr>
          <w:p w14:paraId="5312A012" w14:textId="77777777" w:rsidR="008E5DE4" w:rsidRDefault="008E5DE4">
            <w:pPr>
              <w:widowControl w:val="0"/>
              <w:pBdr>
                <w:top w:val="nil"/>
                <w:left w:val="nil"/>
                <w:bottom w:val="nil"/>
                <w:right w:val="nil"/>
                <w:between w:val="nil"/>
              </w:pBdr>
              <w:jc w:val="right"/>
              <w:rPr>
                <w:color w:val="000000"/>
              </w:rPr>
            </w:pPr>
          </w:p>
        </w:tc>
        <w:tc>
          <w:tcPr>
            <w:tcW w:w="950" w:type="dxa"/>
            <w:vAlign w:val="bottom"/>
          </w:tcPr>
          <w:p w14:paraId="0C93AE2E" w14:textId="77777777" w:rsidR="008E5DE4" w:rsidRDefault="00780368">
            <w:pPr>
              <w:widowControl w:val="0"/>
              <w:pBdr>
                <w:top w:val="nil"/>
                <w:left w:val="nil"/>
                <w:bottom w:val="nil"/>
                <w:right w:val="nil"/>
                <w:between w:val="nil"/>
              </w:pBdr>
              <w:jc w:val="right"/>
              <w:rPr>
                <w:color w:val="000000"/>
              </w:rPr>
            </w:pPr>
            <w:r>
              <w:rPr>
                <w:color w:val="000000"/>
              </w:rPr>
              <w:t xml:space="preserve"> EUR__</w:t>
            </w:r>
          </w:p>
        </w:tc>
        <w:tc>
          <w:tcPr>
            <w:tcW w:w="893" w:type="dxa"/>
            <w:vAlign w:val="bottom"/>
          </w:tcPr>
          <w:p w14:paraId="188DD3CF" w14:textId="77777777" w:rsidR="008E5DE4" w:rsidRDefault="008E5DE4">
            <w:pPr>
              <w:widowControl w:val="0"/>
              <w:pBdr>
                <w:top w:val="nil"/>
                <w:left w:val="nil"/>
                <w:bottom w:val="nil"/>
                <w:right w:val="nil"/>
                <w:between w:val="nil"/>
              </w:pBdr>
              <w:jc w:val="right"/>
              <w:rPr>
                <w:color w:val="000000"/>
              </w:rPr>
            </w:pPr>
          </w:p>
        </w:tc>
        <w:tc>
          <w:tcPr>
            <w:tcW w:w="992" w:type="dxa"/>
            <w:vAlign w:val="bottom"/>
          </w:tcPr>
          <w:p w14:paraId="14036F6A" w14:textId="77777777" w:rsidR="008E5DE4" w:rsidRDefault="008E5DE4">
            <w:pPr>
              <w:widowControl w:val="0"/>
              <w:pBdr>
                <w:top w:val="nil"/>
                <w:left w:val="nil"/>
                <w:bottom w:val="nil"/>
                <w:right w:val="nil"/>
                <w:between w:val="nil"/>
              </w:pBdr>
              <w:jc w:val="right"/>
              <w:rPr>
                <w:color w:val="000000"/>
              </w:rPr>
            </w:pPr>
          </w:p>
        </w:tc>
        <w:tc>
          <w:tcPr>
            <w:tcW w:w="1219" w:type="dxa"/>
            <w:vAlign w:val="bottom"/>
          </w:tcPr>
          <w:p w14:paraId="62D5E65C" w14:textId="77777777" w:rsidR="008E5DE4" w:rsidRDefault="008E5DE4">
            <w:pPr>
              <w:widowControl w:val="0"/>
              <w:pBdr>
                <w:top w:val="nil"/>
                <w:left w:val="nil"/>
                <w:bottom w:val="nil"/>
                <w:right w:val="nil"/>
                <w:between w:val="nil"/>
              </w:pBdr>
              <w:jc w:val="right"/>
              <w:rPr>
                <w:color w:val="000000"/>
              </w:rPr>
            </w:pPr>
          </w:p>
        </w:tc>
      </w:tr>
      <w:tr w:rsidR="008E5DE4" w14:paraId="7F0D95AA" w14:textId="77777777">
        <w:trPr>
          <w:cantSplit/>
          <w:tblHeader/>
        </w:trPr>
        <w:tc>
          <w:tcPr>
            <w:tcW w:w="1417" w:type="dxa"/>
            <w:vAlign w:val="bottom"/>
          </w:tcPr>
          <w:p w14:paraId="092E0C90"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EUR5 – 10 </w:t>
            </w:r>
          </w:p>
        </w:tc>
        <w:tc>
          <w:tcPr>
            <w:tcW w:w="993" w:type="dxa"/>
            <w:vAlign w:val="bottom"/>
          </w:tcPr>
          <w:p w14:paraId="46A4B16D" w14:textId="77777777" w:rsidR="008E5DE4" w:rsidRDefault="00780368">
            <w:pPr>
              <w:widowControl w:val="0"/>
              <w:pBdr>
                <w:top w:val="nil"/>
                <w:left w:val="nil"/>
                <w:bottom w:val="nil"/>
                <w:right w:val="nil"/>
                <w:between w:val="nil"/>
              </w:pBdr>
              <w:jc w:val="right"/>
              <w:rPr>
                <w:color w:val="000000"/>
              </w:rPr>
            </w:pPr>
            <w:r>
              <w:rPr>
                <w:color w:val="000000"/>
              </w:rPr>
              <w:t xml:space="preserve"> EUR__</w:t>
            </w:r>
          </w:p>
        </w:tc>
        <w:tc>
          <w:tcPr>
            <w:tcW w:w="850" w:type="dxa"/>
            <w:vAlign w:val="bottom"/>
          </w:tcPr>
          <w:p w14:paraId="37377685" w14:textId="77777777" w:rsidR="008E5DE4" w:rsidRDefault="008E5DE4">
            <w:pPr>
              <w:widowControl w:val="0"/>
              <w:pBdr>
                <w:top w:val="nil"/>
                <w:left w:val="nil"/>
                <w:bottom w:val="nil"/>
                <w:right w:val="nil"/>
                <w:between w:val="nil"/>
              </w:pBdr>
              <w:jc w:val="right"/>
              <w:rPr>
                <w:color w:val="000000"/>
              </w:rPr>
            </w:pPr>
          </w:p>
        </w:tc>
        <w:tc>
          <w:tcPr>
            <w:tcW w:w="993" w:type="dxa"/>
            <w:vAlign w:val="bottom"/>
          </w:tcPr>
          <w:p w14:paraId="65CA9093" w14:textId="77777777" w:rsidR="008E5DE4" w:rsidRDefault="008E5DE4">
            <w:pPr>
              <w:widowControl w:val="0"/>
              <w:pBdr>
                <w:top w:val="nil"/>
                <w:left w:val="nil"/>
                <w:bottom w:val="nil"/>
                <w:right w:val="nil"/>
                <w:between w:val="nil"/>
              </w:pBdr>
              <w:jc w:val="right"/>
              <w:rPr>
                <w:color w:val="000000"/>
              </w:rPr>
            </w:pPr>
          </w:p>
        </w:tc>
        <w:tc>
          <w:tcPr>
            <w:tcW w:w="1133" w:type="dxa"/>
            <w:vAlign w:val="bottom"/>
          </w:tcPr>
          <w:p w14:paraId="27194373" w14:textId="77777777" w:rsidR="008E5DE4" w:rsidRDefault="008E5DE4">
            <w:pPr>
              <w:widowControl w:val="0"/>
              <w:pBdr>
                <w:top w:val="nil"/>
                <w:left w:val="nil"/>
                <w:bottom w:val="nil"/>
                <w:right w:val="nil"/>
                <w:between w:val="nil"/>
              </w:pBdr>
              <w:jc w:val="right"/>
              <w:rPr>
                <w:color w:val="000000"/>
              </w:rPr>
            </w:pPr>
          </w:p>
        </w:tc>
        <w:tc>
          <w:tcPr>
            <w:tcW w:w="950" w:type="dxa"/>
            <w:vAlign w:val="bottom"/>
          </w:tcPr>
          <w:p w14:paraId="0F3D69C6" w14:textId="77777777" w:rsidR="008E5DE4" w:rsidRDefault="00780368">
            <w:pPr>
              <w:widowControl w:val="0"/>
              <w:pBdr>
                <w:top w:val="nil"/>
                <w:left w:val="nil"/>
                <w:bottom w:val="nil"/>
                <w:right w:val="nil"/>
                <w:between w:val="nil"/>
              </w:pBdr>
              <w:jc w:val="right"/>
              <w:rPr>
                <w:color w:val="000000"/>
              </w:rPr>
            </w:pPr>
            <w:r>
              <w:rPr>
                <w:color w:val="000000"/>
              </w:rPr>
              <w:t xml:space="preserve"> EUR__</w:t>
            </w:r>
          </w:p>
        </w:tc>
        <w:tc>
          <w:tcPr>
            <w:tcW w:w="893" w:type="dxa"/>
            <w:vAlign w:val="bottom"/>
          </w:tcPr>
          <w:p w14:paraId="420F7FFC" w14:textId="77777777" w:rsidR="008E5DE4" w:rsidRDefault="008E5DE4">
            <w:pPr>
              <w:widowControl w:val="0"/>
              <w:pBdr>
                <w:top w:val="nil"/>
                <w:left w:val="nil"/>
                <w:bottom w:val="nil"/>
                <w:right w:val="nil"/>
                <w:between w:val="nil"/>
              </w:pBdr>
              <w:jc w:val="right"/>
              <w:rPr>
                <w:color w:val="000000"/>
              </w:rPr>
            </w:pPr>
          </w:p>
        </w:tc>
        <w:tc>
          <w:tcPr>
            <w:tcW w:w="992" w:type="dxa"/>
            <w:vAlign w:val="bottom"/>
          </w:tcPr>
          <w:p w14:paraId="67ADC315" w14:textId="77777777" w:rsidR="008E5DE4" w:rsidRDefault="008E5DE4">
            <w:pPr>
              <w:widowControl w:val="0"/>
              <w:pBdr>
                <w:top w:val="nil"/>
                <w:left w:val="nil"/>
                <w:bottom w:val="nil"/>
                <w:right w:val="nil"/>
                <w:between w:val="nil"/>
              </w:pBdr>
              <w:jc w:val="right"/>
              <w:rPr>
                <w:color w:val="000000"/>
              </w:rPr>
            </w:pPr>
          </w:p>
        </w:tc>
        <w:tc>
          <w:tcPr>
            <w:tcW w:w="1219" w:type="dxa"/>
            <w:vAlign w:val="bottom"/>
          </w:tcPr>
          <w:p w14:paraId="1021E2FC" w14:textId="77777777" w:rsidR="008E5DE4" w:rsidRDefault="008E5DE4">
            <w:pPr>
              <w:widowControl w:val="0"/>
              <w:pBdr>
                <w:top w:val="nil"/>
                <w:left w:val="nil"/>
                <w:bottom w:val="nil"/>
                <w:right w:val="nil"/>
                <w:between w:val="nil"/>
              </w:pBdr>
              <w:jc w:val="right"/>
              <w:rPr>
                <w:color w:val="000000"/>
              </w:rPr>
            </w:pPr>
          </w:p>
        </w:tc>
      </w:tr>
      <w:tr w:rsidR="008E5DE4" w14:paraId="3DDC06AE" w14:textId="77777777">
        <w:trPr>
          <w:cantSplit/>
          <w:tblHeader/>
        </w:trPr>
        <w:tc>
          <w:tcPr>
            <w:tcW w:w="1417" w:type="dxa"/>
            <w:vAlign w:val="bottom"/>
          </w:tcPr>
          <w:p w14:paraId="47339CD5" w14:textId="77777777" w:rsidR="008E5DE4" w:rsidRDefault="00780368">
            <w:pPr>
              <w:widowControl w:val="0"/>
              <w:pBdr>
                <w:top w:val="nil"/>
                <w:left w:val="nil"/>
                <w:bottom w:val="nil"/>
                <w:right w:val="nil"/>
                <w:between w:val="nil"/>
              </w:pBdr>
              <w:ind w:left="113" w:right="-57" w:hanging="113"/>
              <w:rPr>
                <w:color w:val="000000"/>
              </w:rPr>
            </w:pPr>
            <w:r>
              <w:rPr>
                <w:color w:val="000000"/>
              </w:rPr>
              <w:t xml:space="preserve"> EUR0 – 5</w:t>
            </w:r>
          </w:p>
        </w:tc>
        <w:tc>
          <w:tcPr>
            <w:tcW w:w="993" w:type="dxa"/>
            <w:vAlign w:val="bottom"/>
          </w:tcPr>
          <w:p w14:paraId="22147DCF" w14:textId="77777777" w:rsidR="008E5DE4" w:rsidRDefault="00780368">
            <w:pPr>
              <w:widowControl w:val="0"/>
              <w:pBdr>
                <w:top w:val="nil"/>
                <w:left w:val="nil"/>
                <w:bottom w:val="nil"/>
                <w:right w:val="nil"/>
                <w:between w:val="nil"/>
              </w:pBdr>
              <w:jc w:val="right"/>
              <w:rPr>
                <w:color w:val="000000"/>
              </w:rPr>
            </w:pPr>
            <w:r>
              <w:rPr>
                <w:color w:val="000000"/>
              </w:rPr>
              <w:t xml:space="preserve"> EUR__</w:t>
            </w:r>
          </w:p>
        </w:tc>
        <w:tc>
          <w:tcPr>
            <w:tcW w:w="850" w:type="dxa"/>
            <w:vAlign w:val="bottom"/>
          </w:tcPr>
          <w:p w14:paraId="072B2D4B" w14:textId="77777777" w:rsidR="008E5DE4" w:rsidRDefault="008E5DE4">
            <w:pPr>
              <w:widowControl w:val="0"/>
              <w:pBdr>
                <w:top w:val="nil"/>
                <w:left w:val="nil"/>
                <w:bottom w:val="nil"/>
                <w:right w:val="nil"/>
                <w:between w:val="nil"/>
              </w:pBdr>
              <w:jc w:val="right"/>
              <w:rPr>
                <w:color w:val="000000"/>
              </w:rPr>
            </w:pPr>
          </w:p>
        </w:tc>
        <w:tc>
          <w:tcPr>
            <w:tcW w:w="993" w:type="dxa"/>
            <w:vAlign w:val="bottom"/>
          </w:tcPr>
          <w:p w14:paraId="1E75477A" w14:textId="77777777" w:rsidR="008E5DE4" w:rsidRDefault="008E5DE4">
            <w:pPr>
              <w:widowControl w:val="0"/>
              <w:pBdr>
                <w:top w:val="nil"/>
                <w:left w:val="nil"/>
                <w:bottom w:val="nil"/>
                <w:right w:val="nil"/>
                <w:between w:val="nil"/>
              </w:pBdr>
              <w:jc w:val="right"/>
              <w:rPr>
                <w:color w:val="000000"/>
              </w:rPr>
            </w:pPr>
          </w:p>
        </w:tc>
        <w:tc>
          <w:tcPr>
            <w:tcW w:w="1133" w:type="dxa"/>
            <w:vAlign w:val="bottom"/>
          </w:tcPr>
          <w:p w14:paraId="1443D3C3" w14:textId="77777777" w:rsidR="008E5DE4" w:rsidRDefault="008E5DE4">
            <w:pPr>
              <w:widowControl w:val="0"/>
              <w:pBdr>
                <w:top w:val="nil"/>
                <w:left w:val="nil"/>
                <w:bottom w:val="nil"/>
                <w:right w:val="nil"/>
                <w:between w:val="nil"/>
              </w:pBdr>
              <w:jc w:val="right"/>
              <w:rPr>
                <w:color w:val="000000"/>
              </w:rPr>
            </w:pPr>
          </w:p>
        </w:tc>
        <w:tc>
          <w:tcPr>
            <w:tcW w:w="950" w:type="dxa"/>
            <w:vAlign w:val="bottom"/>
          </w:tcPr>
          <w:p w14:paraId="091F9B69" w14:textId="77777777" w:rsidR="008E5DE4" w:rsidRDefault="00780368">
            <w:pPr>
              <w:widowControl w:val="0"/>
              <w:pBdr>
                <w:top w:val="nil"/>
                <w:left w:val="nil"/>
                <w:bottom w:val="nil"/>
                <w:right w:val="nil"/>
                <w:between w:val="nil"/>
              </w:pBdr>
              <w:jc w:val="right"/>
              <w:rPr>
                <w:color w:val="000000"/>
              </w:rPr>
            </w:pPr>
            <w:r>
              <w:rPr>
                <w:color w:val="000000"/>
              </w:rPr>
              <w:t xml:space="preserve"> EUR__</w:t>
            </w:r>
          </w:p>
        </w:tc>
        <w:tc>
          <w:tcPr>
            <w:tcW w:w="893" w:type="dxa"/>
            <w:vAlign w:val="bottom"/>
          </w:tcPr>
          <w:p w14:paraId="1C99CE22" w14:textId="77777777" w:rsidR="008E5DE4" w:rsidRDefault="008E5DE4">
            <w:pPr>
              <w:widowControl w:val="0"/>
              <w:pBdr>
                <w:top w:val="nil"/>
                <w:left w:val="nil"/>
                <w:bottom w:val="nil"/>
                <w:right w:val="nil"/>
                <w:between w:val="nil"/>
              </w:pBdr>
              <w:jc w:val="right"/>
              <w:rPr>
                <w:color w:val="000000"/>
              </w:rPr>
            </w:pPr>
          </w:p>
        </w:tc>
        <w:tc>
          <w:tcPr>
            <w:tcW w:w="992" w:type="dxa"/>
            <w:vAlign w:val="bottom"/>
          </w:tcPr>
          <w:p w14:paraId="5385B0AA" w14:textId="77777777" w:rsidR="008E5DE4" w:rsidRDefault="008E5DE4">
            <w:pPr>
              <w:widowControl w:val="0"/>
              <w:pBdr>
                <w:top w:val="nil"/>
                <w:left w:val="nil"/>
                <w:bottom w:val="nil"/>
                <w:right w:val="nil"/>
                <w:between w:val="nil"/>
              </w:pBdr>
              <w:jc w:val="right"/>
              <w:rPr>
                <w:color w:val="000000"/>
              </w:rPr>
            </w:pPr>
          </w:p>
        </w:tc>
        <w:tc>
          <w:tcPr>
            <w:tcW w:w="1219" w:type="dxa"/>
            <w:vAlign w:val="bottom"/>
          </w:tcPr>
          <w:p w14:paraId="4AD73A15" w14:textId="77777777" w:rsidR="008E5DE4" w:rsidRDefault="008E5DE4">
            <w:pPr>
              <w:widowControl w:val="0"/>
              <w:pBdr>
                <w:top w:val="nil"/>
                <w:left w:val="nil"/>
                <w:bottom w:val="nil"/>
                <w:right w:val="nil"/>
                <w:between w:val="nil"/>
              </w:pBdr>
              <w:jc w:val="right"/>
              <w:rPr>
                <w:color w:val="000000"/>
              </w:rPr>
            </w:pPr>
          </w:p>
        </w:tc>
      </w:tr>
      <w:tr w:rsidR="008E5DE4" w14:paraId="3AD94C2C" w14:textId="77777777">
        <w:trPr>
          <w:cantSplit/>
          <w:tblHeader/>
        </w:trPr>
        <w:tc>
          <w:tcPr>
            <w:tcW w:w="1417" w:type="dxa"/>
            <w:tcBorders>
              <w:bottom w:val="single" w:sz="4" w:space="0" w:color="000000"/>
            </w:tcBorders>
            <w:vAlign w:val="bottom"/>
          </w:tcPr>
          <w:p w14:paraId="3CF90CE4" w14:textId="77777777" w:rsidR="008E5DE4" w:rsidRDefault="008E5DE4">
            <w:pPr>
              <w:widowControl w:val="0"/>
              <w:pBdr>
                <w:top w:val="nil"/>
                <w:left w:val="nil"/>
                <w:bottom w:val="nil"/>
                <w:right w:val="nil"/>
                <w:between w:val="nil"/>
              </w:pBdr>
              <w:rPr>
                <w:color w:val="000000"/>
              </w:rPr>
            </w:pPr>
          </w:p>
        </w:tc>
        <w:tc>
          <w:tcPr>
            <w:tcW w:w="993" w:type="dxa"/>
            <w:tcBorders>
              <w:bottom w:val="single" w:sz="4" w:space="0" w:color="000000"/>
            </w:tcBorders>
            <w:vAlign w:val="bottom"/>
          </w:tcPr>
          <w:p w14:paraId="39704BD6" w14:textId="77777777" w:rsidR="008E5DE4" w:rsidRDefault="008E5DE4">
            <w:pPr>
              <w:widowControl w:val="0"/>
              <w:pBdr>
                <w:top w:val="nil"/>
                <w:left w:val="nil"/>
                <w:bottom w:val="nil"/>
                <w:right w:val="nil"/>
                <w:between w:val="nil"/>
              </w:pBdr>
              <w:jc w:val="right"/>
              <w:rPr>
                <w:color w:val="000000"/>
              </w:rPr>
            </w:pPr>
          </w:p>
        </w:tc>
        <w:tc>
          <w:tcPr>
            <w:tcW w:w="850" w:type="dxa"/>
            <w:tcBorders>
              <w:bottom w:val="single" w:sz="4" w:space="0" w:color="000000"/>
            </w:tcBorders>
            <w:vAlign w:val="bottom"/>
          </w:tcPr>
          <w:p w14:paraId="241A35BF" w14:textId="77777777" w:rsidR="008E5DE4" w:rsidRDefault="008E5DE4">
            <w:pPr>
              <w:widowControl w:val="0"/>
              <w:pBdr>
                <w:top w:val="nil"/>
                <w:left w:val="nil"/>
                <w:bottom w:val="nil"/>
                <w:right w:val="nil"/>
                <w:between w:val="nil"/>
              </w:pBdr>
              <w:jc w:val="right"/>
              <w:rPr>
                <w:color w:val="000000"/>
              </w:rPr>
            </w:pPr>
          </w:p>
        </w:tc>
        <w:tc>
          <w:tcPr>
            <w:tcW w:w="993" w:type="dxa"/>
            <w:tcBorders>
              <w:bottom w:val="single" w:sz="4" w:space="0" w:color="000000"/>
            </w:tcBorders>
            <w:vAlign w:val="bottom"/>
          </w:tcPr>
          <w:p w14:paraId="1C8CB489" w14:textId="77777777" w:rsidR="008E5DE4" w:rsidRDefault="008E5DE4">
            <w:pPr>
              <w:widowControl w:val="0"/>
              <w:pBdr>
                <w:top w:val="nil"/>
                <w:left w:val="nil"/>
                <w:bottom w:val="nil"/>
                <w:right w:val="nil"/>
                <w:between w:val="nil"/>
              </w:pBdr>
              <w:jc w:val="right"/>
              <w:rPr>
                <w:color w:val="000000"/>
              </w:rPr>
            </w:pPr>
          </w:p>
        </w:tc>
        <w:tc>
          <w:tcPr>
            <w:tcW w:w="1133" w:type="dxa"/>
            <w:tcBorders>
              <w:bottom w:val="single" w:sz="4" w:space="0" w:color="000000"/>
            </w:tcBorders>
            <w:vAlign w:val="bottom"/>
          </w:tcPr>
          <w:p w14:paraId="5CF69E92" w14:textId="77777777" w:rsidR="008E5DE4" w:rsidRDefault="008E5DE4">
            <w:pPr>
              <w:widowControl w:val="0"/>
              <w:pBdr>
                <w:top w:val="nil"/>
                <w:left w:val="nil"/>
                <w:bottom w:val="nil"/>
                <w:right w:val="nil"/>
                <w:between w:val="nil"/>
              </w:pBdr>
              <w:jc w:val="right"/>
              <w:rPr>
                <w:color w:val="000000"/>
              </w:rPr>
            </w:pPr>
          </w:p>
        </w:tc>
        <w:tc>
          <w:tcPr>
            <w:tcW w:w="950" w:type="dxa"/>
            <w:tcBorders>
              <w:bottom w:val="single" w:sz="4" w:space="0" w:color="000000"/>
            </w:tcBorders>
            <w:vAlign w:val="bottom"/>
          </w:tcPr>
          <w:p w14:paraId="7C2E26B8" w14:textId="77777777" w:rsidR="008E5DE4" w:rsidRDefault="008E5DE4">
            <w:pPr>
              <w:widowControl w:val="0"/>
              <w:pBdr>
                <w:top w:val="nil"/>
                <w:left w:val="nil"/>
                <w:bottom w:val="nil"/>
                <w:right w:val="nil"/>
                <w:between w:val="nil"/>
              </w:pBdr>
              <w:jc w:val="right"/>
              <w:rPr>
                <w:color w:val="000000"/>
              </w:rPr>
            </w:pPr>
          </w:p>
        </w:tc>
        <w:tc>
          <w:tcPr>
            <w:tcW w:w="893" w:type="dxa"/>
            <w:tcBorders>
              <w:bottom w:val="single" w:sz="4" w:space="0" w:color="000000"/>
            </w:tcBorders>
            <w:vAlign w:val="bottom"/>
          </w:tcPr>
          <w:p w14:paraId="11905F53" w14:textId="77777777" w:rsidR="008E5DE4" w:rsidRDefault="008E5DE4">
            <w:pPr>
              <w:widowControl w:val="0"/>
              <w:pBdr>
                <w:top w:val="nil"/>
                <w:left w:val="nil"/>
                <w:bottom w:val="nil"/>
                <w:right w:val="nil"/>
                <w:between w:val="nil"/>
              </w:pBdr>
              <w:jc w:val="right"/>
              <w:rPr>
                <w:color w:val="000000"/>
              </w:rPr>
            </w:pPr>
          </w:p>
        </w:tc>
        <w:tc>
          <w:tcPr>
            <w:tcW w:w="992" w:type="dxa"/>
            <w:tcBorders>
              <w:bottom w:val="single" w:sz="4" w:space="0" w:color="000000"/>
            </w:tcBorders>
            <w:vAlign w:val="bottom"/>
          </w:tcPr>
          <w:p w14:paraId="6AA5BE01" w14:textId="77777777" w:rsidR="008E5DE4" w:rsidRDefault="008E5DE4">
            <w:pPr>
              <w:widowControl w:val="0"/>
              <w:pBdr>
                <w:top w:val="nil"/>
                <w:left w:val="nil"/>
                <w:bottom w:val="nil"/>
                <w:right w:val="nil"/>
                <w:between w:val="nil"/>
              </w:pBdr>
              <w:jc w:val="right"/>
              <w:rPr>
                <w:color w:val="000000"/>
              </w:rPr>
            </w:pPr>
          </w:p>
        </w:tc>
        <w:tc>
          <w:tcPr>
            <w:tcW w:w="1219" w:type="dxa"/>
            <w:tcBorders>
              <w:bottom w:val="single" w:sz="4" w:space="0" w:color="000000"/>
            </w:tcBorders>
            <w:vAlign w:val="bottom"/>
          </w:tcPr>
          <w:p w14:paraId="737717CF" w14:textId="77777777" w:rsidR="008E5DE4" w:rsidRDefault="008E5DE4">
            <w:pPr>
              <w:widowControl w:val="0"/>
              <w:pBdr>
                <w:top w:val="nil"/>
                <w:left w:val="nil"/>
                <w:bottom w:val="nil"/>
                <w:right w:val="nil"/>
                <w:between w:val="nil"/>
              </w:pBdr>
              <w:jc w:val="right"/>
              <w:rPr>
                <w:color w:val="000000"/>
              </w:rPr>
            </w:pPr>
          </w:p>
        </w:tc>
      </w:tr>
    </w:tbl>
    <w:p w14:paraId="3D4C041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The significant inputs into the valuation model were:</w:t>
      </w:r>
    </w:p>
    <w:tbl>
      <w:tblPr>
        <w:tblStyle w:val="afffffffffffffff0"/>
        <w:tblW w:w="9354" w:type="dxa"/>
        <w:tblLayout w:type="fixed"/>
        <w:tblLook w:val="0000" w:firstRow="0" w:lastRow="0" w:firstColumn="0" w:lastColumn="0" w:noHBand="0" w:noVBand="0"/>
      </w:tblPr>
      <w:tblGrid>
        <w:gridCol w:w="3231"/>
        <w:gridCol w:w="1020"/>
        <w:gridCol w:w="1021"/>
        <w:gridCol w:w="1020"/>
        <w:gridCol w:w="1021"/>
        <w:gridCol w:w="1020"/>
        <w:gridCol w:w="1021"/>
      </w:tblGrid>
      <w:tr w:rsidR="008E5DE4" w14:paraId="45913DC6" w14:textId="77777777">
        <w:trPr>
          <w:cantSplit/>
          <w:tblHeader/>
        </w:trPr>
        <w:tc>
          <w:tcPr>
            <w:tcW w:w="3231" w:type="dxa"/>
            <w:tcBorders>
              <w:bottom w:val="single" w:sz="4" w:space="0" w:color="000000"/>
            </w:tcBorders>
            <w:vAlign w:val="bottom"/>
          </w:tcPr>
          <w:p w14:paraId="28457A23" w14:textId="77777777" w:rsidR="008E5DE4" w:rsidRDefault="00780368">
            <w:pPr>
              <w:widowControl w:val="0"/>
              <w:pBdr>
                <w:top w:val="nil"/>
                <w:left w:val="nil"/>
                <w:bottom w:val="nil"/>
                <w:right w:val="nil"/>
                <w:between w:val="nil"/>
              </w:pBdr>
              <w:ind w:left="113" w:right="-57" w:hanging="113"/>
              <w:rPr>
                <w:b/>
                <w:color w:val="000000"/>
              </w:rPr>
            </w:pPr>
            <w:r>
              <w:rPr>
                <w:b/>
                <w:color w:val="000000"/>
              </w:rPr>
              <w:t>Arrangement</w:t>
            </w:r>
          </w:p>
        </w:tc>
        <w:tc>
          <w:tcPr>
            <w:tcW w:w="2041" w:type="dxa"/>
            <w:gridSpan w:val="2"/>
            <w:tcBorders>
              <w:bottom w:val="single" w:sz="4" w:space="0" w:color="000000"/>
            </w:tcBorders>
          </w:tcPr>
          <w:p w14:paraId="0C6B68C2" w14:textId="77777777" w:rsidR="008E5DE4" w:rsidRDefault="00780368">
            <w:pPr>
              <w:widowControl w:val="0"/>
              <w:pBdr>
                <w:top w:val="nil"/>
                <w:left w:val="nil"/>
                <w:bottom w:val="nil"/>
                <w:right w:val="nil"/>
                <w:between w:val="nil"/>
              </w:pBdr>
              <w:ind w:left="-113"/>
              <w:jc w:val="right"/>
              <w:rPr>
                <w:b/>
                <w:color w:val="000000"/>
              </w:rPr>
            </w:pPr>
            <w:r>
              <w:rPr>
                <w:b/>
                <w:color w:val="000000"/>
              </w:rPr>
              <w:t>Share appreciation</w:t>
            </w:r>
          </w:p>
          <w:p w14:paraId="0F9E9E5D" w14:textId="77777777" w:rsidR="008E5DE4" w:rsidRDefault="00780368">
            <w:pPr>
              <w:widowControl w:val="0"/>
              <w:pBdr>
                <w:top w:val="nil"/>
                <w:left w:val="nil"/>
                <w:bottom w:val="nil"/>
                <w:right w:val="nil"/>
                <w:between w:val="nil"/>
              </w:pBdr>
              <w:ind w:left="-113"/>
              <w:jc w:val="right"/>
              <w:rPr>
                <w:b/>
                <w:color w:val="000000"/>
              </w:rPr>
            </w:pPr>
            <w:r>
              <w:rPr>
                <w:b/>
                <w:color w:val="000000"/>
              </w:rPr>
              <w:t>rights</w:t>
            </w:r>
          </w:p>
        </w:tc>
        <w:tc>
          <w:tcPr>
            <w:tcW w:w="2041" w:type="dxa"/>
            <w:gridSpan w:val="2"/>
            <w:tcBorders>
              <w:bottom w:val="single" w:sz="4" w:space="0" w:color="000000"/>
            </w:tcBorders>
          </w:tcPr>
          <w:p w14:paraId="532E1EFD" w14:textId="77777777" w:rsidR="008E5DE4" w:rsidRDefault="00780368">
            <w:pPr>
              <w:widowControl w:val="0"/>
              <w:pBdr>
                <w:top w:val="nil"/>
                <w:left w:val="nil"/>
                <w:bottom w:val="nil"/>
                <w:right w:val="nil"/>
                <w:between w:val="nil"/>
              </w:pBdr>
              <w:ind w:left="-113"/>
              <w:jc w:val="right"/>
              <w:rPr>
                <w:b/>
                <w:color w:val="000000"/>
              </w:rPr>
            </w:pPr>
            <w:r>
              <w:rPr>
                <w:b/>
                <w:color w:val="000000"/>
              </w:rPr>
              <w:t>Share options granted to key executives</w:t>
            </w:r>
          </w:p>
        </w:tc>
        <w:tc>
          <w:tcPr>
            <w:tcW w:w="2041" w:type="dxa"/>
            <w:gridSpan w:val="2"/>
            <w:tcBorders>
              <w:bottom w:val="single" w:sz="4" w:space="0" w:color="000000"/>
            </w:tcBorders>
          </w:tcPr>
          <w:p w14:paraId="2B67BB82" w14:textId="77777777" w:rsidR="008E5DE4" w:rsidRDefault="00780368">
            <w:pPr>
              <w:widowControl w:val="0"/>
              <w:pBdr>
                <w:top w:val="nil"/>
                <w:left w:val="nil"/>
                <w:bottom w:val="nil"/>
                <w:right w:val="nil"/>
                <w:between w:val="nil"/>
              </w:pBdr>
              <w:ind w:left="-113"/>
              <w:jc w:val="right"/>
              <w:rPr>
                <w:b/>
                <w:color w:val="000000"/>
              </w:rPr>
            </w:pPr>
            <w:r>
              <w:rPr>
                <w:b/>
                <w:color w:val="000000"/>
              </w:rPr>
              <w:t>Transaction with settlement alternatives</w:t>
            </w:r>
          </w:p>
        </w:tc>
      </w:tr>
      <w:tr w:rsidR="008E5DE4" w14:paraId="59237820" w14:textId="77777777">
        <w:trPr>
          <w:cantSplit/>
          <w:tblHeader/>
        </w:trPr>
        <w:tc>
          <w:tcPr>
            <w:tcW w:w="3231" w:type="dxa"/>
            <w:tcBorders>
              <w:top w:val="single" w:sz="4" w:space="0" w:color="000000"/>
            </w:tcBorders>
            <w:vAlign w:val="bottom"/>
          </w:tcPr>
          <w:p w14:paraId="6FFB9CB5" w14:textId="77777777" w:rsidR="008E5DE4" w:rsidRDefault="008E5DE4">
            <w:pPr>
              <w:widowControl w:val="0"/>
              <w:pBdr>
                <w:top w:val="nil"/>
                <w:left w:val="nil"/>
                <w:bottom w:val="nil"/>
                <w:right w:val="nil"/>
                <w:between w:val="nil"/>
              </w:pBdr>
              <w:ind w:left="113" w:right="-57" w:hanging="113"/>
              <w:rPr>
                <w:color w:val="000000"/>
              </w:rPr>
            </w:pPr>
          </w:p>
        </w:tc>
        <w:tc>
          <w:tcPr>
            <w:tcW w:w="1020" w:type="dxa"/>
            <w:tcBorders>
              <w:top w:val="single" w:sz="4" w:space="0" w:color="000000"/>
            </w:tcBorders>
            <w:vAlign w:val="bottom"/>
          </w:tcPr>
          <w:p w14:paraId="22B7CC68" w14:textId="77777777" w:rsidR="008E5DE4" w:rsidRDefault="008E5DE4">
            <w:pPr>
              <w:widowControl w:val="0"/>
              <w:pBdr>
                <w:top w:val="nil"/>
                <w:left w:val="nil"/>
                <w:bottom w:val="nil"/>
                <w:right w:val="nil"/>
                <w:between w:val="nil"/>
              </w:pBdr>
              <w:jc w:val="right"/>
              <w:rPr>
                <w:b/>
                <w:color w:val="000000"/>
              </w:rPr>
            </w:pPr>
          </w:p>
          <w:p w14:paraId="002986FB" w14:textId="50EA0BF6" w:rsidR="008E5DE4" w:rsidRDefault="008614F8">
            <w:pPr>
              <w:widowControl w:val="0"/>
              <w:pBdr>
                <w:top w:val="nil"/>
                <w:left w:val="nil"/>
                <w:bottom w:val="nil"/>
                <w:right w:val="nil"/>
                <w:between w:val="nil"/>
              </w:pBdr>
              <w:jc w:val="right"/>
              <w:rPr>
                <w:b/>
                <w:color w:val="000000"/>
              </w:rPr>
            </w:pPr>
            <w:r>
              <w:rPr>
                <w:b/>
                <w:color w:val="000000"/>
              </w:rPr>
              <w:t>2025</w:t>
            </w:r>
          </w:p>
        </w:tc>
        <w:tc>
          <w:tcPr>
            <w:tcW w:w="1021" w:type="dxa"/>
            <w:tcBorders>
              <w:top w:val="single" w:sz="4" w:space="0" w:color="000000"/>
            </w:tcBorders>
            <w:vAlign w:val="bottom"/>
          </w:tcPr>
          <w:p w14:paraId="542BEC73" w14:textId="62BFF17A" w:rsidR="008E5DE4" w:rsidRDefault="00A46633">
            <w:pPr>
              <w:widowControl w:val="0"/>
              <w:pBdr>
                <w:top w:val="nil"/>
                <w:left w:val="nil"/>
                <w:bottom w:val="nil"/>
                <w:right w:val="nil"/>
                <w:between w:val="nil"/>
              </w:pBdr>
              <w:jc w:val="right"/>
              <w:rPr>
                <w:b/>
                <w:color w:val="000000"/>
              </w:rPr>
            </w:pPr>
            <w:r>
              <w:rPr>
                <w:b/>
                <w:color w:val="000000"/>
              </w:rPr>
              <w:t>2024</w:t>
            </w:r>
          </w:p>
        </w:tc>
        <w:tc>
          <w:tcPr>
            <w:tcW w:w="1020" w:type="dxa"/>
            <w:tcBorders>
              <w:top w:val="single" w:sz="4" w:space="0" w:color="000000"/>
            </w:tcBorders>
            <w:vAlign w:val="bottom"/>
          </w:tcPr>
          <w:p w14:paraId="341AEA7F" w14:textId="254E18AF" w:rsidR="008E5DE4" w:rsidRDefault="008614F8">
            <w:pPr>
              <w:widowControl w:val="0"/>
              <w:pBdr>
                <w:top w:val="nil"/>
                <w:left w:val="nil"/>
                <w:bottom w:val="nil"/>
                <w:right w:val="nil"/>
                <w:between w:val="nil"/>
              </w:pBdr>
              <w:jc w:val="right"/>
              <w:rPr>
                <w:b/>
                <w:color w:val="000000"/>
              </w:rPr>
            </w:pPr>
            <w:r>
              <w:rPr>
                <w:b/>
                <w:color w:val="000000"/>
              </w:rPr>
              <w:t>2025</w:t>
            </w:r>
          </w:p>
        </w:tc>
        <w:tc>
          <w:tcPr>
            <w:tcW w:w="1021" w:type="dxa"/>
            <w:tcBorders>
              <w:top w:val="single" w:sz="4" w:space="0" w:color="000000"/>
            </w:tcBorders>
            <w:vAlign w:val="bottom"/>
          </w:tcPr>
          <w:p w14:paraId="07A2CF86" w14:textId="1B9D1C0D" w:rsidR="008E5DE4" w:rsidRDefault="00A46633">
            <w:pPr>
              <w:widowControl w:val="0"/>
              <w:pBdr>
                <w:top w:val="nil"/>
                <w:left w:val="nil"/>
                <w:bottom w:val="nil"/>
                <w:right w:val="nil"/>
                <w:between w:val="nil"/>
              </w:pBdr>
              <w:jc w:val="right"/>
              <w:rPr>
                <w:b/>
                <w:color w:val="000000"/>
              </w:rPr>
            </w:pPr>
            <w:r>
              <w:rPr>
                <w:b/>
                <w:color w:val="000000"/>
              </w:rPr>
              <w:t>2024</w:t>
            </w:r>
          </w:p>
        </w:tc>
        <w:tc>
          <w:tcPr>
            <w:tcW w:w="1020" w:type="dxa"/>
            <w:tcBorders>
              <w:top w:val="single" w:sz="4" w:space="0" w:color="000000"/>
            </w:tcBorders>
            <w:vAlign w:val="bottom"/>
          </w:tcPr>
          <w:p w14:paraId="0C0002CD" w14:textId="2BB00499" w:rsidR="008E5DE4" w:rsidRDefault="008614F8">
            <w:pPr>
              <w:widowControl w:val="0"/>
              <w:pBdr>
                <w:top w:val="nil"/>
                <w:left w:val="nil"/>
                <w:bottom w:val="nil"/>
                <w:right w:val="nil"/>
                <w:between w:val="nil"/>
              </w:pBdr>
              <w:jc w:val="right"/>
              <w:rPr>
                <w:b/>
                <w:color w:val="000000"/>
              </w:rPr>
            </w:pPr>
            <w:r>
              <w:rPr>
                <w:b/>
                <w:color w:val="000000"/>
              </w:rPr>
              <w:t>2025</w:t>
            </w:r>
          </w:p>
        </w:tc>
        <w:tc>
          <w:tcPr>
            <w:tcW w:w="1021" w:type="dxa"/>
            <w:tcBorders>
              <w:top w:val="single" w:sz="4" w:space="0" w:color="000000"/>
            </w:tcBorders>
            <w:vAlign w:val="bottom"/>
          </w:tcPr>
          <w:p w14:paraId="77783202" w14:textId="00BC87B5" w:rsidR="008E5DE4" w:rsidRDefault="00A46633">
            <w:pPr>
              <w:widowControl w:val="0"/>
              <w:pBdr>
                <w:top w:val="nil"/>
                <w:left w:val="nil"/>
                <w:bottom w:val="nil"/>
                <w:right w:val="nil"/>
                <w:between w:val="nil"/>
              </w:pBdr>
              <w:jc w:val="right"/>
              <w:rPr>
                <w:b/>
                <w:color w:val="000000"/>
              </w:rPr>
            </w:pPr>
            <w:r>
              <w:rPr>
                <w:b/>
                <w:color w:val="000000"/>
              </w:rPr>
              <w:t>2024</w:t>
            </w:r>
          </w:p>
        </w:tc>
      </w:tr>
      <w:tr w:rsidR="008E5DE4" w14:paraId="654D69CA" w14:textId="77777777">
        <w:trPr>
          <w:cantSplit/>
          <w:tblHeader/>
        </w:trPr>
        <w:tc>
          <w:tcPr>
            <w:tcW w:w="3231" w:type="dxa"/>
            <w:vAlign w:val="bottom"/>
          </w:tcPr>
          <w:p w14:paraId="40C45824" w14:textId="77777777" w:rsidR="008E5DE4" w:rsidRDefault="00780368">
            <w:pPr>
              <w:widowControl w:val="0"/>
              <w:pBdr>
                <w:top w:val="nil"/>
                <w:left w:val="nil"/>
                <w:bottom w:val="nil"/>
                <w:right w:val="nil"/>
                <w:between w:val="nil"/>
              </w:pBdr>
              <w:ind w:left="113" w:right="-57" w:hanging="113"/>
              <w:rPr>
                <w:color w:val="000000"/>
              </w:rPr>
            </w:pPr>
            <w:r>
              <w:rPr>
                <w:color w:val="000000"/>
              </w:rPr>
              <w:t>Expected volatility</w:t>
            </w:r>
          </w:p>
        </w:tc>
        <w:tc>
          <w:tcPr>
            <w:tcW w:w="1020" w:type="dxa"/>
            <w:vAlign w:val="bottom"/>
          </w:tcPr>
          <w:p w14:paraId="477621DD"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1" w:type="dxa"/>
            <w:vAlign w:val="bottom"/>
          </w:tcPr>
          <w:p w14:paraId="19FDEB63"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0" w:type="dxa"/>
            <w:vAlign w:val="bottom"/>
          </w:tcPr>
          <w:p w14:paraId="3D3BEF1C"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1" w:type="dxa"/>
            <w:vAlign w:val="bottom"/>
          </w:tcPr>
          <w:p w14:paraId="3F50DD37"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0" w:type="dxa"/>
            <w:vAlign w:val="bottom"/>
          </w:tcPr>
          <w:p w14:paraId="1C434ADE"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1" w:type="dxa"/>
            <w:vAlign w:val="bottom"/>
          </w:tcPr>
          <w:p w14:paraId="5C9BEFDA" w14:textId="77777777" w:rsidR="008E5DE4" w:rsidRDefault="00780368">
            <w:pPr>
              <w:widowControl w:val="0"/>
              <w:pBdr>
                <w:top w:val="nil"/>
                <w:left w:val="nil"/>
                <w:bottom w:val="nil"/>
                <w:right w:val="nil"/>
                <w:between w:val="nil"/>
              </w:pBdr>
              <w:jc w:val="right"/>
              <w:rPr>
                <w:color w:val="000000"/>
              </w:rPr>
            </w:pPr>
            <w:r>
              <w:rPr>
                <w:color w:val="000000"/>
              </w:rPr>
              <w:t>__%</w:t>
            </w:r>
          </w:p>
        </w:tc>
      </w:tr>
      <w:tr w:rsidR="008E5DE4" w14:paraId="2CB94F8A" w14:textId="77777777">
        <w:trPr>
          <w:cantSplit/>
          <w:tblHeader/>
        </w:trPr>
        <w:tc>
          <w:tcPr>
            <w:tcW w:w="3231" w:type="dxa"/>
            <w:vAlign w:val="bottom"/>
          </w:tcPr>
          <w:p w14:paraId="65E0644A" w14:textId="77777777" w:rsidR="008E5DE4" w:rsidRDefault="00780368">
            <w:pPr>
              <w:widowControl w:val="0"/>
              <w:pBdr>
                <w:top w:val="nil"/>
                <w:left w:val="nil"/>
                <w:bottom w:val="nil"/>
                <w:right w:val="nil"/>
                <w:between w:val="nil"/>
              </w:pBdr>
              <w:ind w:left="113" w:right="-57" w:hanging="113"/>
              <w:rPr>
                <w:color w:val="000000"/>
              </w:rPr>
            </w:pPr>
            <w:r>
              <w:rPr>
                <w:color w:val="000000"/>
              </w:rPr>
              <w:t>Risk-free interest rate</w:t>
            </w:r>
          </w:p>
        </w:tc>
        <w:tc>
          <w:tcPr>
            <w:tcW w:w="1020" w:type="dxa"/>
            <w:vAlign w:val="bottom"/>
          </w:tcPr>
          <w:p w14:paraId="6C745906"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1" w:type="dxa"/>
            <w:vAlign w:val="bottom"/>
          </w:tcPr>
          <w:p w14:paraId="46883BD5"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0" w:type="dxa"/>
            <w:vAlign w:val="bottom"/>
          </w:tcPr>
          <w:p w14:paraId="736C2F92"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1" w:type="dxa"/>
            <w:vAlign w:val="bottom"/>
          </w:tcPr>
          <w:p w14:paraId="1869E209"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0" w:type="dxa"/>
            <w:vAlign w:val="bottom"/>
          </w:tcPr>
          <w:p w14:paraId="31113F9F"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1" w:type="dxa"/>
            <w:vAlign w:val="bottom"/>
          </w:tcPr>
          <w:p w14:paraId="7DC2941E" w14:textId="77777777" w:rsidR="008E5DE4" w:rsidRDefault="00780368">
            <w:pPr>
              <w:widowControl w:val="0"/>
              <w:pBdr>
                <w:top w:val="nil"/>
                <w:left w:val="nil"/>
                <w:bottom w:val="nil"/>
                <w:right w:val="nil"/>
                <w:between w:val="nil"/>
              </w:pBdr>
              <w:jc w:val="right"/>
              <w:rPr>
                <w:color w:val="000000"/>
              </w:rPr>
            </w:pPr>
            <w:r>
              <w:rPr>
                <w:color w:val="000000"/>
              </w:rPr>
              <w:t>__%</w:t>
            </w:r>
          </w:p>
        </w:tc>
      </w:tr>
      <w:tr w:rsidR="008E5DE4" w14:paraId="7082A29A" w14:textId="77777777">
        <w:trPr>
          <w:cantSplit/>
          <w:tblHeader/>
        </w:trPr>
        <w:tc>
          <w:tcPr>
            <w:tcW w:w="3231" w:type="dxa"/>
            <w:vAlign w:val="bottom"/>
          </w:tcPr>
          <w:p w14:paraId="5C2D38B9" w14:textId="77777777" w:rsidR="008E5DE4" w:rsidRDefault="00780368">
            <w:pPr>
              <w:widowControl w:val="0"/>
              <w:pBdr>
                <w:top w:val="nil"/>
                <w:left w:val="nil"/>
                <w:bottom w:val="nil"/>
                <w:right w:val="nil"/>
                <w:between w:val="nil"/>
              </w:pBdr>
              <w:ind w:left="113" w:right="-57" w:hanging="113"/>
              <w:rPr>
                <w:color w:val="000000"/>
              </w:rPr>
            </w:pPr>
            <w:r>
              <w:rPr>
                <w:color w:val="000000"/>
              </w:rPr>
              <w:t>Expected dividend (dividend yield)</w:t>
            </w:r>
          </w:p>
        </w:tc>
        <w:tc>
          <w:tcPr>
            <w:tcW w:w="1020" w:type="dxa"/>
            <w:vAlign w:val="bottom"/>
          </w:tcPr>
          <w:p w14:paraId="4DE5F802"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1" w:type="dxa"/>
            <w:vAlign w:val="bottom"/>
          </w:tcPr>
          <w:p w14:paraId="0A6846A9"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0" w:type="dxa"/>
            <w:vAlign w:val="bottom"/>
          </w:tcPr>
          <w:p w14:paraId="5D6B8461"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1" w:type="dxa"/>
            <w:vAlign w:val="bottom"/>
          </w:tcPr>
          <w:p w14:paraId="00C265EB"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0" w:type="dxa"/>
            <w:vAlign w:val="bottom"/>
          </w:tcPr>
          <w:p w14:paraId="3CCC9255" w14:textId="77777777" w:rsidR="008E5DE4" w:rsidRDefault="00780368">
            <w:pPr>
              <w:widowControl w:val="0"/>
              <w:pBdr>
                <w:top w:val="nil"/>
                <w:left w:val="nil"/>
                <w:bottom w:val="nil"/>
                <w:right w:val="nil"/>
                <w:between w:val="nil"/>
              </w:pBdr>
              <w:jc w:val="right"/>
              <w:rPr>
                <w:color w:val="000000"/>
              </w:rPr>
            </w:pPr>
            <w:r>
              <w:rPr>
                <w:color w:val="000000"/>
              </w:rPr>
              <w:t>__%</w:t>
            </w:r>
          </w:p>
        </w:tc>
        <w:tc>
          <w:tcPr>
            <w:tcW w:w="1021" w:type="dxa"/>
            <w:vAlign w:val="bottom"/>
          </w:tcPr>
          <w:p w14:paraId="0F1695EF" w14:textId="77777777" w:rsidR="008E5DE4" w:rsidRDefault="00780368">
            <w:pPr>
              <w:widowControl w:val="0"/>
              <w:pBdr>
                <w:top w:val="nil"/>
                <w:left w:val="nil"/>
                <w:bottom w:val="nil"/>
                <w:right w:val="nil"/>
                <w:between w:val="nil"/>
              </w:pBdr>
              <w:jc w:val="right"/>
              <w:rPr>
                <w:color w:val="000000"/>
              </w:rPr>
            </w:pPr>
            <w:r>
              <w:rPr>
                <w:color w:val="000000"/>
              </w:rPr>
              <w:t>__%</w:t>
            </w:r>
          </w:p>
        </w:tc>
      </w:tr>
      <w:tr w:rsidR="008E5DE4" w14:paraId="51D1AC97" w14:textId="77777777">
        <w:trPr>
          <w:cantSplit/>
          <w:tblHeader/>
        </w:trPr>
        <w:tc>
          <w:tcPr>
            <w:tcW w:w="3231" w:type="dxa"/>
            <w:tcBorders>
              <w:bottom w:val="single" w:sz="4" w:space="0" w:color="000000"/>
            </w:tcBorders>
            <w:vAlign w:val="bottom"/>
          </w:tcPr>
          <w:p w14:paraId="5EA4D14C" w14:textId="77777777" w:rsidR="008E5DE4" w:rsidRDefault="008E5DE4">
            <w:pPr>
              <w:widowControl w:val="0"/>
              <w:pBdr>
                <w:top w:val="nil"/>
                <w:left w:val="nil"/>
                <w:bottom w:val="nil"/>
                <w:right w:val="nil"/>
                <w:between w:val="nil"/>
              </w:pBdr>
              <w:ind w:left="113" w:right="-57" w:hanging="113"/>
              <w:rPr>
                <w:color w:val="000000"/>
              </w:rPr>
            </w:pPr>
          </w:p>
        </w:tc>
        <w:tc>
          <w:tcPr>
            <w:tcW w:w="1020" w:type="dxa"/>
            <w:tcBorders>
              <w:bottom w:val="single" w:sz="4" w:space="0" w:color="000000"/>
            </w:tcBorders>
            <w:vAlign w:val="bottom"/>
          </w:tcPr>
          <w:p w14:paraId="73FE4B6A" w14:textId="77777777" w:rsidR="008E5DE4" w:rsidRDefault="008E5DE4">
            <w:pPr>
              <w:widowControl w:val="0"/>
              <w:pBdr>
                <w:top w:val="nil"/>
                <w:left w:val="nil"/>
                <w:bottom w:val="nil"/>
                <w:right w:val="nil"/>
                <w:between w:val="nil"/>
              </w:pBdr>
              <w:jc w:val="right"/>
              <w:rPr>
                <w:color w:val="000000"/>
              </w:rPr>
            </w:pPr>
          </w:p>
        </w:tc>
        <w:tc>
          <w:tcPr>
            <w:tcW w:w="1021" w:type="dxa"/>
            <w:tcBorders>
              <w:bottom w:val="single" w:sz="4" w:space="0" w:color="000000"/>
            </w:tcBorders>
            <w:vAlign w:val="bottom"/>
          </w:tcPr>
          <w:p w14:paraId="7DA0168B"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4" w:space="0" w:color="000000"/>
            </w:tcBorders>
            <w:vAlign w:val="bottom"/>
          </w:tcPr>
          <w:p w14:paraId="018DC836" w14:textId="77777777" w:rsidR="008E5DE4" w:rsidRDefault="008E5DE4">
            <w:pPr>
              <w:widowControl w:val="0"/>
              <w:pBdr>
                <w:top w:val="nil"/>
                <w:left w:val="nil"/>
                <w:bottom w:val="nil"/>
                <w:right w:val="nil"/>
                <w:between w:val="nil"/>
              </w:pBdr>
              <w:jc w:val="right"/>
              <w:rPr>
                <w:color w:val="000000"/>
              </w:rPr>
            </w:pPr>
          </w:p>
        </w:tc>
        <w:tc>
          <w:tcPr>
            <w:tcW w:w="1021" w:type="dxa"/>
            <w:tcBorders>
              <w:bottom w:val="single" w:sz="4" w:space="0" w:color="000000"/>
            </w:tcBorders>
            <w:vAlign w:val="bottom"/>
          </w:tcPr>
          <w:p w14:paraId="374680E1" w14:textId="77777777" w:rsidR="008E5DE4" w:rsidRDefault="008E5DE4">
            <w:pPr>
              <w:widowControl w:val="0"/>
              <w:pBdr>
                <w:top w:val="nil"/>
                <w:left w:val="nil"/>
                <w:bottom w:val="nil"/>
                <w:right w:val="nil"/>
                <w:between w:val="nil"/>
              </w:pBdr>
              <w:jc w:val="right"/>
              <w:rPr>
                <w:color w:val="000000"/>
              </w:rPr>
            </w:pPr>
          </w:p>
        </w:tc>
        <w:tc>
          <w:tcPr>
            <w:tcW w:w="1020" w:type="dxa"/>
            <w:tcBorders>
              <w:bottom w:val="single" w:sz="4" w:space="0" w:color="000000"/>
            </w:tcBorders>
            <w:vAlign w:val="bottom"/>
          </w:tcPr>
          <w:p w14:paraId="26CB1999" w14:textId="77777777" w:rsidR="008E5DE4" w:rsidRDefault="008E5DE4">
            <w:pPr>
              <w:widowControl w:val="0"/>
              <w:pBdr>
                <w:top w:val="nil"/>
                <w:left w:val="nil"/>
                <w:bottom w:val="nil"/>
                <w:right w:val="nil"/>
                <w:between w:val="nil"/>
              </w:pBdr>
              <w:jc w:val="right"/>
              <w:rPr>
                <w:color w:val="000000"/>
              </w:rPr>
            </w:pPr>
          </w:p>
        </w:tc>
        <w:tc>
          <w:tcPr>
            <w:tcW w:w="1021" w:type="dxa"/>
            <w:tcBorders>
              <w:bottom w:val="single" w:sz="4" w:space="0" w:color="000000"/>
            </w:tcBorders>
            <w:vAlign w:val="bottom"/>
          </w:tcPr>
          <w:p w14:paraId="58A1CA10" w14:textId="77777777" w:rsidR="008E5DE4" w:rsidRDefault="008E5DE4">
            <w:pPr>
              <w:widowControl w:val="0"/>
              <w:pBdr>
                <w:top w:val="nil"/>
                <w:left w:val="nil"/>
                <w:bottom w:val="nil"/>
                <w:right w:val="nil"/>
                <w:between w:val="nil"/>
              </w:pBdr>
              <w:jc w:val="right"/>
              <w:rPr>
                <w:color w:val="000000"/>
              </w:rPr>
            </w:pPr>
          </w:p>
        </w:tc>
      </w:tr>
    </w:tbl>
    <w:p w14:paraId="73D70275"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volatility measured at the standard deviation of continuously compounded share returns is based on a statistical analysis of daily share price movements over the last </w:t>
      </w:r>
      <w:r>
        <w:rPr>
          <w:i/>
          <w:color w:val="000000"/>
          <w:sz w:val="20"/>
          <w:szCs w:val="20"/>
        </w:rPr>
        <w:t>__</w:t>
      </w:r>
      <w:r>
        <w:rPr>
          <w:color w:val="000000"/>
          <w:sz w:val="20"/>
          <w:szCs w:val="20"/>
        </w:rPr>
        <w:t xml:space="preserve"> years. The risk-free rate has been taken as the yield on __ government treasury bonds with a maturity date approximating to the expected or contracted vesting date of the share or share option as published in the __ on the grant date. The fair value of the shares for the arrangements in which shares are granted was based on the quoted share price. </w:t>
      </w:r>
      <w:r>
        <w:rPr>
          <w:color w:val="0000FF"/>
          <w:sz w:val="20"/>
          <w:szCs w:val="20"/>
        </w:rPr>
        <w:t>[No dividend payments were expected; consequently, the measurement of the options’ fair value did not consider dividends.]</w:t>
      </w:r>
    </w:p>
    <w:p w14:paraId="1A862809" w14:textId="77777777" w:rsidR="008E5DE4" w:rsidRDefault="00780368">
      <w:pPr>
        <w:keepNext/>
        <w:keepLines/>
        <w:widowControl w:val="0"/>
        <w:pBdr>
          <w:top w:val="nil"/>
          <w:left w:val="nil"/>
          <w:bottom w:val="nil"/>
          <w:right w:val="nil"/>
          <w:between w:val="nil"/>
        </w:pBdr>
        <w:spacing w:before="200" w:after="200"/>
        <w:jc w:val="both"/>
        <w:rPr>
          <w:color w:val="000000"/>
          <w:sz w:val="20"/>
          <w:szCs w:val="20"/>
        </w:rPr>
      </w:pPr>
      <w:r>
        <w:rPr>
          <w:color w:val="000000"/>
          <w:sz w:val="20"/>
          <w:szCs w:val="20"/>
        </w:rPr>
        <w:lastRenderedPageBreak/>
        <w:t xml:space="preserve">The total charge to profit or loss was as follows (see Note __): </w:t>
      </w:r>
    </w:p>
    <w:tbl>
      <w:tblPr>
        <w:tblStyle w:val="afffffffffffffff1"/>
        <w:tblW w:w="9354" w:type="dxa"/>
        <w:tblLayout w:type="fixed"/>
        <w:tblLook w:val="0000" w:firstRow="0" w:lastRow="0" w:firstColumn="0" w:lastColumn="0" w:noHBand="0" w:noVBand="0"/>
      </w:tblPr>
      <w:tblGrid>
        <w:gridCol w:w="4138"/>
        <w:gridCol w:w="1304"/>
        <w:gridCol w:w="1304"/>
        <w:gridCol w:w="1304"/>
        <w:gridCol w:w="1304"/>
      </w:tblGrid>
      <w:tr w:rsidR="008E5DE4" w14:paraId="4188684F" w14:textId="77777777">
        <w:trPr>
          <w:cantSplit/>
          <w:tblHeader/>
        </w:trPr>
        <w:tc>
          <w:tcPr>
            <w:tcW w:w="4139" w:type="dxa"/>
            <w:vAlign w:val="bottom"/>
          </w:tcPr>
          <w:p w14:paraId="27BA998B" w14:textId="77777777" w:rsidR="008E5DE4" w:rsidRDefault="008E5DE4">
            <w:pPr>
              <w:keepNext/>
              <w:keepLines/>
              <w:widowControl w:val="0"/>
              <w:pBdr>
                <w:top w:val="nil"/>
                <w:left w:val="nil"/>
                <w:bottom w:val="nil"/>
                <w:right w:val="nil"/>
                <w:between w:val="nil"/>
              </w:pBdr>
              <w:ind w:left="113" w:right="-57" w:hanging="113"/>
              <w:rPr>
                <w:b/>
                <w:color w:val="000000"/>
              </w:rPr>
            </w:pPr>
          </w:p>
        </w:tc>
        <w:tc>
          <w:tcPr>
            <w:tcW w:w="2608" w:type="dxa"/>
            <w:gridSpan w:val="2"/>
            <w:vAlign w:val="bottom"/>
          </w:tcPr>
          <w:p w14:paraId="3CA12CC8" w14:textId="5D261F66" w:rsidR="008E5DE4" w:rsidRDefault="008614F8">
            <w:pPr>
              <w:keepNext/>
              <w:keepLines/>
              <w:widowControl w:val="0"/>
              <w:pBdr>
                <w:top w:val="nil"/>
                <w:left w:val="nil"/>
                <w:bottom w:val="nil"/>
                <w:right w:val="nil"/>
                <w:between w:val="nil"/>
              </w:pBdr>
              <w:jc w:val="center"/>
              <w:rPr>
                <w:b/>
                <w:color w:val="000000"/>
              </w:rPr>
            </w:pPr>
            <w:r>
              <w:rPr>
                <w:b/>
                <w:color w:val="000000"/>
              </w:rPr>
              <w:t>2025</w:t>
            </w:r>
          </w:p>
        </w:tc>
        <w:tc>
          <w:tcPr>
            <w:tcW w:w="2608" w:type="dxa"/>
            <w:gridSpan w:val="2"/>
            <w:vAlign w:val="bottom"/>
          </w:tcPr>
          <w:p w14:paraId="0E3FD2D8" w14:textId="0EFEFD6C" w:rsidR="008E5DE4" w:rsidRDefault="00A46633">
            <w:pPr>
              <w:keepNext/>
              <w:keepLines/>
              <w:widowControl w:val="0"/>
              <w:pBdr>
                <w:top w:val="nil"/>
                <w:left w:val="nil"/>
                <w:bottom w:val="nil"/>
                <w:right w:val="nil"/>
                <w:between w:val="nil"/>
              </w:pBdr>
              <w:jc w:val="center"/>
              <w:rPr>
                <w:b/>
                <w:color w:val="000000"/>
              </w:rPr>
            </w:pPr>
            <w:r>
              <w:rPr>
                <w:b/>
                <w:color w:val="000000"/>
              </w:rPr>
              <w:t>2024</w:t>
            </w:r>
          </w:p>
        </w:tc>
      </w:tr>
      <w:tr w:rsidR="008E5DE4" w14:paraId="4DF27C5D" w14:textId="77777777">
        <w:trPr>
          <w:cantSplit/>
          <w:tblHeader/>
        </w:trPr>
        <w:tc>
          <w:tcPr>
            <w:tcW w:w="4139" w:type="dxa"/>
            <w:tcBorders>
              <w:bottom w:val="single" w:sz="4" w:space="0" w:color="000000"/>
            </w:tcBorders>
            <w:vAlign w:val="bottom"/>
          </w:tcPr>
          <w:p w14:paraId="29166F40" w14:textId="77777777" w:rsidR="008E5DE4" w:rsidRDefault="00780368">
            <w:pPr>
              <w:keepNext/>
              <w:keepLines/>
              <w:widowControl w:val="0"/>
              <w:pBdr>
                <w:top w:val="nil"/>
                <w:left w:val="nil"/>
                <w:bottom w:val="nil"/>
                <w:right w:val="nil"/>
                <w:between w:val="nil"/>
              </w:pBdr>
              <w:ind w:left="113" w:right="-57" w:hanging="113"/>
              <w:rPr>
                <w:i/>
                <w:color w:val="000000"/>
              </w:rPr>
            </w:pPr>
            <w:r>
              <w:rPr>
                <w:b/>
                <w:color w:val="000000"/>
              </w:rPr>
              <w:t>Expense</w:t>
            </w:r>
          </w:p>
        </w:tc>
        <w:tc>
          <w:tcPr>
            <w:tcW w:w="1304" w:type="dxa"/>
            <w:tcBorders>
              <w:top w:val="single" w:sz="4" w:space="0" w:color="000000"/>
            </w:tcBorders>
          </w:tcPr>
          <w:p w14:paraId="5CB6A7D7"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Directors and employees</w:t>
            </w:r>
          </w:p>
        </w:tc>
        <w:tc>
          <w:tcPr>
            <w:tcW w:w="1304" w:type="dxa"/>
            <w:tcBorders>
              <w:top w:val="single" w:sz="4" w:space="0" w:color="000000"/>
            </w:tcBorders>
          </w:tcPr>
          <w:p w14:paraId="6651C8C8"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Other</w:t>
            </w:r>
          </w:p>
        </w:tc>
        <w:tc>
          <w:tcPr>
            <w:tcW w:w="1304" w:type="dxa"/>
            <w:tcBorders>
              <w:top w:val="single" w:sz="4" w:space="0" w:color="000000"/>
            </w:tcBorders>
          </w:tcPr>
          <w:p w14:paraId="6A908D26"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Directors and employees</w:t>
            </w:r>
          </w:p>
        </w:tc>
        <w:tc>
          <w:tcPr>
            <w:tcW w:w="1304" w:type="dxa"/>
            <w:tcBorders>
              <w:top w:val="single" w:sz="4" w:space="0" w:color="000000"/>
            </w:tcBorders>
          </w:tcPr>
          <w:p w14:paraId="4683EB9B" w14:textId="77777777" w:rsidR="008E5DE4" w:rsidRDefault="00780368">
            <w:pPr>
              <w:keepNext/>
              <w:keepLines/>
              <w:widowControl w:val="0"/>
              <w:pBdr>
                <w:top w:val="nil"/>
                <w:left w:val="nil"/>
                <w:bottom w:val="nil"/>
                <w:right w:val="nil"/>
                <w:between w:val="nil"/>
              </w:pBdr>
              <w:ind w:left="-113"/>
              <w:jc w:val="right"/>
              <w:rPr>
                <w:b/>
                <w:color w:val="000000"/>
              </w:rPr>
            </w:pPr>
            <w:r>
              <w:rPr>
                <w:b/>
                <w:color w:val="000000"/>
              </w:rPr>
              <w:t>Other</w:t>
            </w:r>
          </w:p>
        </w:tc>
      </w:tr>
      <w:tr w:rsidR="008E5DE4" w14:paraId="03C579F5" w14:textId="77777777">
        <w:trPr>
          <w:cantSplit/>
          <w:tblHeader/>
        </w:trPr>
        <w:tc>
          <w:tcPr>
            <w:tcW w:w="4139" w:type="dxa"/>
            <w:tcBorders>
              <w:top w:val="single" w:sz="4" w:space="0" w:color="000000"/>
            </w:tcBorders>
            <w:vAlign w:val="bottom"/>
          </w:tcPr>
          <w:p w14:paraId="6A99DA91" w14:textId="77777777" w:rsidR="008E5DE4" w:rsidRDefault="00780368">
            <w:pPr>
              <w:keepNext/>
              <w:keepLines/>
              <w:widowControl w:val="0"/>
              <w:pBdr>
                <w:top w:val="nil"/>
                <w:left w:val="nil"/>
                <w:bottom w:val="nil"/>
                <w:right w:val="nil"/>
                <w:between w:val="nil"/>
              </w:pBdr>
              <w:ind w:left="113" w:right="-57" w:hanging="113"/>
              <w:rPr>
                <w:i/>
                <w:color w:val="000000"/>
              </w:rPr>
            </w:pPr>
            <w:r>
              <w:rPr>
                <w:i/>
                <w:color w:val="000000"/>
              </w:rPr>
              <w:t> </w:t>
            </w:r>
          </w:p>
        </w:tc>
        <w:tc>
          <w:tcPr>
            <w:tcW w:w="1304" w:type="dxa"/>
            <w:tcBorders>
              <w:top w:val="single" w:sz="4" w:space="0" w:color="000000"/>
            </w:tcBorders>
            <w:vAlign w:val="bottom"/>
          </w:tcPr>
          <w:p w14:paraId="2B62E443" w14:textId="77777777" w:rsidR="008E5DE4" w:rsidRDefault="008E5DE4">
            <w:pPr>
              <w:keepNext/>
              <w:keepLines/>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0BDBB449" w14:textId="77777777" w:rsidR="008E5DE4" w:rsidRDefault="008E5DE4">
            <w:pPr>
              <w:keepNext/>
              <w:keepLines/>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06A0151D" w14:textId="77777777" w:rsidR="008E5DE4" w:rsidRDefault="008E5DE4">
            <w:pPr>
              <w:keepNext/>
              <w:keepLines/>
              <w:widowControl w:val="0"/>
              <w:pBdr>
                <w:top w:val="nil"/>
                <w:left w:val="nil"/>
                <w:bottom w:val="nil"/>
                <w:right w:val="nil"/>
                <w:between w:val="nil"/>
              </w:pBdr>
              <w:jc w:val="right"/>
              <w:rPr>
                <w:b/>
                <w:color w:val="000000"/>
              </w:rPr>
            </w:pPr>
          </w:p>
        </w:tc>
        <w:tc>
          <w:tcPr>
            <w:tcW w:w="1304" w:type="dxa"/>
            <w:tcBorders>
              <w:top w:val="single" w:sz="4" w:space="0" w:color="000000"/>
            </w:tcBorders>
            <w:vAlign w:val="bottom"/>
          </w:tcPr>
          <w:p w14:paraId="46569CAD" w14:textId="77777777" w:rsidR="008E5DE4" w:rsidRDefault="008E5DE4">
            <w:pPr>
              <w:keepNext/>
              <w:keepLines/>
              <w:widowControl w:val="0"/>
              <w:pBdr>
                <w:top w:val="nil"/>
                <w:left w:val="nil"/>
                <w:bottom w:val="nil"/>
                <w:right w:val="nil"/>
                <w:between w:val="nil"/>
              </w:pBdr>
              <w:jc w:val="right"/>
              <w:rPr>
                <w:b/>
                <w:color w:val="000000"/>
              </w:rPr>
            </w:pPr>
          </w:p>
        </w:tc>
      </w:tr>
      <w:tr w:rsidR="008E5DE4" w14:paraId="6F970A6A" w14:textId="77777777">
        <w:trPr>
          <w:cantSplit/>
          <w:tblHeader/>
        </w:trPr>
        <w:tc>
          <w:tcPr>
            <w:tcW w:w="4139" w:type="dxa"/>
            <w:vAlign w:val="bottom"/>
          </w:tcPr>
          <w:p w14:paraId="49E46F10"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Equity-settled arrangements</w:t>
            </w:r>
          </w:p>
        </w:tc>
        <w:tc>
          <w:tcPr>
            <w:tcW w:w="1304" w:type="dxa"/>
            <w:vAlign w:val="bottom"/>
          </w:tcPr>
          <w:p w14:paraId="5B85A874"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319C5CB5"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569D5B2D"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6DBFBBDD" w14:textId="77777777" w:rsidR="008E5DE4" w:rsidRDefault="008E5DE4">
            <w:pPr>
              <w:keepNext/>
              <w:keepLines/>
              <w:widowControl w:val="0"/>
              <w:pBdr>
                <w:top w:val="nil"/>
                <w:left w:val="nil"/>
                <w:bottom w:val="nil"/>
                <w:right w:val="nil"/>
                <w:between w:val="nil"/>
              </w:pBdr>
              <w:jc w:val="right"/>
              <w:rPr>
                <w:color w:val="000000"/>
              </w:rPr>
            </w:pPr>
          </w:p>
        </w:tc>
      </w:tr>
      <w:tr w:rsidR="008E5DE4" w14:paraId="4B94804D" w14:textId="77777777">
        <w:trPr>
          <w:cantSplit/>
          <w:tblHeader/>
        </w:trPr>
        <w:tc>
          <w:tcPr>
            <w:tcW w:w="4139" w:type="dxa"/>
            <w:vAlign w:val="bottom"/>
          </w:tcPr>
          <w:p w14:paraId="10776B8A"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Cash-settled arrangements</w:t>
            </w:r>
          </w:p>
        </w:tc>
        <w:tc>
          <w:tcPr>
            <w:tcW w:w="1304" w:type="dxa"/>
            <w:vAlign w:val="bottom"/>
          </w:tcPr>
          <w:p w14:paraId="50653751"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56080261"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0C5028EB" w14:textId="77777777" w:rsidR="008E5DE4" w:rsidRDefault="008E5DE4">
            <w:pPr>
              <w:keepNext/>
              <w:keepLines/>
              <w:widowControl w:val="0"/>
              <w:pBdr>
                <w:top w:val="nil"/>
                <w:left w:val="nil"/>
                <w:bottom w:val="nil"/>
                <w:right w:val="nil"/>
                <w:between w:val="nil"/>
              </w:pBdr>
              <w:jc w:val="center"/>
              <w:rPr>
                <w:color w:val="000000"/>
              </w:rPr>
            </w:pPr>
          </w:p>
        </w:tc>
        <w:tc>
          <w:tcPr>
            <w:tcW w:w="1304" w:type="dxa"/>
            <w:vAlign w:val="bottom"/>
          </w:tcPr>
          <w:p w14:paraId="7A3E8580" w14:textId="77777777" w:rsidR="008E5DE4" w:rsidRDefault="008E5DE4">
            <w:pPr>
              <w:keepNext/>
              <w:keepLines/>
              <w:widowControl w:val="0"/>
              <w:pBdr>
                <w:top w:val="nil"/>
                <w:left w:val="nil"/>
                <w:bottom w:val="nil"/>
                <w:right w:val="nil"/>
                <w:between w:val="nil"/>
              </w:pBdr>
              <w:jc w:val="right"/>
              <w:rPr>
                <w:color w:val="000000"/>
              </w:rPr>
            </w:pPr>
          </w:p>
        </w:tc>
      </w:tr>
      <w:tr w:rsidR="008E5DE4" w14:paraId="1EA6050B" w14:textId="77777777">
        <w:trPr>
          <w:cantSplit/>
          <w:tblHeader/>
        </w:trPr>
        <w:tc>
          <w:tcPr>
            <w:tcW w:w="4139" w:type="dxa"/>
            <w:vAlign w:val="bottom"/>
          </w:tcPr>
          <w:p w14:paraId="1B0AED1B"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Arrangements with settlement alternatives</w:t>
            </w:r>
          </w:p>
        </w:tc>
        <w:tc>
          <w:tcPr>
            <w:tcW w:w="1304" w:type="dxa"/>
            <w:vAlign w:val="bottom"/>
          </w:tcPr>
          <w:p w14:paraId="0D36E434"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0DDD45A2"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7CC507CD" w14:textId="77777777" w:rsidR="008E5DE4" w:rsidRDefault="008E5DE4">
            <w:pPr>
              <w:keepNext/>
              <w:keepLines/>
              <w:widowControl w:val="0"/>
              <w:pBdr>
                <w:top w:val="nil"/>
                <w:left w:val="nil"/>
                <w:bottom w:val="nil"/>
                <w:right w:val="nil"/>
                <w:between w:val="nil"/>
              </w:pBdr>
              <w:jc w:val="right"/>
              <w:rPr>
                <w:color w:val="000000"/>
              </w:rPr>
            </w:pPr>
          </w:p>
        </w:tc>
        <w:tc>
          <w:tcPr>
            <w:tcW w:w="1304" w:type="dxa"/>
            <w:vAlign w:val="bottom"/>
          </w:tcPr>
          <w:p w14:paraId="2DC94D44" w14:textId="77777777" w:rsidR="008E5DE4" w:rsidRDefault="008E5DE4">
            <w:pPr>
              <w:keepNext/>
              <w:keepLines/>
              <w:widowControl w:val="0"/>
              <w:pBdr>
                <w:top w:val="nil"/>
                <w:left w:val="nil"/>
                <w:bottom w:val="nil"/>
                <w:right w:val="nil"/>
                <w:between w:val="nil"/>
              </w:pBdr>
              <w:jc w:val="right"/>
              <w:rPr>
                <w:color w:val="000000"/>
              </w:rPr>
            </w:pPr>
          </w:p>
        </w:tc>
      </w:tr>
      <w:tr w:rsidR="008E5DE4" w14:paraId="45C053E9" w14:textId="77777777">
        <w:trPr>
          <w:cantSplit/>
          <w:tblHeader/>
        </w:trPr>
        <w:tc>
          <w:tcPr>
            <w:tcW w:w="4139" w:type="dxa"/>
            <w:tcBorders>
              <w:bottom w:val="single" w:sz="4" w:space="0" w:color="000000"/>
            </w:tcBorders>
            <w:vAlign w:val="bottom"/>
          </w:tcPr>
          <w:p w14:paraId="621C3A94"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1304" w:type="dxa"/>
            <w:tcBorders>
              <w:bottom w:val="single" w:sz="4" w:space="0" w:color="000000"/>
            </w:tcBorders>
            <w:vAlign w:val="bottom"/>
          </w:tcPr>
          <w:p w14:paraId="700039D2"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53B7295F"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34BAF38F" w14:textId="77777777" w:rsidR="008E5DE4" w:rsidRDefault="008E5DE4">
            <w:pPr>
              <w:keepNext/>
              <w:keepLines/>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031E8AD2" w14:textId="77777777" w:rsidR="008E5DE4" w:rsidRDefault="008E5DE4">
            <w:pPr>
              <w:keepNext/>
              <w:keepLines/>
              <w:widowControl w:val="0"/>
              <w:pBdr>
                <w:top w:val="nil"/>
                <w:left w:val="nil"/>
                <w:bottom w:val="nil"/>
                <w:right w:val="nil"/>
                <w:between w:val="nil"/>
              </w:pBdr>
              <w:jc w:val="right"/>
              <w:rPr>
                <w:color w:val="000000"/>
              </w:rPr>
            </w:pPr>
          </w:p>
        </w:tc>
      </w:tr>
      <w:tr w:rsidR="008E5DE4" w14:paraId="37BE53BD" w14:textId="77777777">
        <w:trPr>
          <w:cantSplit/>
          <w:tblHeader/>
        </w:trPr>
        <w:tc>
          <w:tcPr>
            <w:tcW w:w="4139" w:type="dxa"/>
            <w:vAlign w:val="bottom"/>
          </w:tcPr>
          <w:p w14:paraId="7E5FDF45" w14:textId="77777777" w:rsidR="008E5DE4" w:rsidRDefault="00780368">
            <w:pPr>
              <w:keepNext/>
              <w:keepLines/>
              <w:widowControl w:val="0"/>
              <w:pBdr>
                <w:top w:val="nil"/>
                <w:left w:val="nil"/>
                <w:bottom w:val="nil"/>
                <w:right w:val="nil"/>
                <w:between w:val="nil"/>
              </w:pBdr>
              <w:ind w:left="113" w:right="-57" w:hanging="113"/>
              <w:rPr>
                <w:color w:val="000000"/>
              </w:rPr>
            </w:pPr>
            <w:r>
              <w:rPr>
                <w:color w:val="000000"/>
              </w:rPr>
              <w:t> </w:t>
            </w:r>
          </w:p>
        </w:tc>
        <w:tc>
          <w:tcPr>
            <w:tcW w:w="1304" w:type="dxa"/>
            <w:vAlign w:val="bottom"/>
          </w:tcPr>
          <w:p w14:paraId="3F0551CD" w14:textId="77777777" w:rsidR="008E5DE4" w:rsidRDefault="008E5DE4">
            <w:pPr>
              <w:keepNext/>
              <w:keepLines/>
              <w:widowControl w:val="0"/>
              <w:pBdr>
                <w:top w:val="nil"/>
                <w:left w:val="nil"/>
                <w:bottom w:val="nil"/>
                <w:right w:val="nil"/>
                <w:between w:val="nil"/>
              </w:pBdr>
              <w:jc w:val="right"/>
              <w:rPr>
                <w:b/>
                <w:color w:val="000000"/>
              </w:rPr>
            </w:pPr>
          </w:p>
        </w:tc>
        <w:tc>
          <w:tcPr>
            <w:tcW w:w="1304" w:type="dxa"/>
            <w:vAlign w:val="bottom"/>
          </w:tcPr>
          <w:p w14:paraId="4A200980" w14:textId="77777777" w:rsidR="008E5DE4" w:rsidRDefault="008E5DE4">
            <w:pPr>
              <w:keepNext/>
              <w:keepLines/>
              <w:widowControl w:val="0"/>
              <w:pBdr>
                <w:top w:val="nil"/>
                <w:left w:val="nil"/>
                <w:bottom w:val="nil"/>
                <w:right w:val="nil"/>
                <w:between w:val="nil"/>
              </w:pBdr>
              <w:jc w:val="right"/>
              <w:rPr>
                <w:b/>
                <w:color w:val="000000"/>
              </w:rPr>
            </w:pPr>
          </w:p>
        </w:tc>
        <w:tc>
          <w:tcPr>
            <w:tcW w:w="1304" w:type="dxa"/>
            <w:vAlign w:val="bottom"/>
          </w:tcPr>
          <w:p w14:paraId="4A196025" w14:textId="77777777" w:rsidR="008E5DE4" w:rsidRDefault="008E5DE4">
            <w:pPr>
              <w:keepNext/>
              <w:keepLines/>
              <w:widowControl w:val="0"/>
              <w:pBdr>
                <w:top w:val="nil"/>
                <w:left w:val="nil"/>
                <w:bottom w:val="nil"/>
                <w:right w:val="nil"/>
                <w:between w:val="nil"/>
              </w:pBdr>
              <w:jc w:val="right"/>
              <w:rPr>
                <w:b/>
                <w:color w:val="000000"/>
              </w:rPr>
            </w:pPr>
          </w:p>
        </w:tc>
        <w:tc>
          <w:tcPr>
            <w:tcW w:w="1304" w:type="dxa"/>
            <w:vAlign w:val="bottom"/>
          </w:tcPr>
          <w:p w14:paraId="4A8A53D1" w14:textId="77777777" w:rsidR="008E5DE4" w:rsidRDefault="008E5DE4">
            <w:pPr>
              <w:keepNext/>
              <w:keepLines/>
              <w:widowControl w:val="0"/>
              <w:pBdr>
                <w:top w:val="nil"/>
                <w:left w:val="nil"/>
                <w:bottom w:val="nil"/>
                <w:right w:val="nil"/>
                <w:between w:val="nil"/>
              </w:pBdr>
              <w:jc w:val="right"/>
              <w:rPr>
                <w:b/>
                <w:color w:val="000000"/>
              </w:rPr>
            </w:pPr>
          </w:p>
        </w:tc>
      </w:tr>
      <w:tr w:rsidR="008E5DE4" w14:paraId="308A1F65" w14:textId="77777777">
        <w:trPr>
          <w:cantSplit/>
          <w:tblHeader/>
        </w:trPr>
        <w:tc>
          <w:tcPr>
            <w:tcW w:w="4139" w:type="dxa"/>
            <w:vAlign w:val="bottom"/>
          </w:tcPr>
          <w:p w14:paraId="1B9F5932" w14:textId="77777777" w:rsidR="008E5DE4" w:rsidRDefault="00780368">
            <w:pPr>
              <w:keepNext/>
              <w:keepLines/>
              <w:widowControl w:val="0"/>
              <w:pBdr>
                <w:top w:val="nil"/>
                <w:left w:val="nil"/>
                <w:bottom w:val="nil"/>
                <w:right w:val="nil"/>
                <w:between w:val="nil"/>
              </w:pBdr>
              <w:ind w:left="113" w:right="-57" w:hanging="113"/>
              <w:rPr>
                <w:b/>
                <w:smallCaps/>
                <w:color w:val="000000"/>
              </w:rPr>
            </w:pPr>
            <w:r>
              <w:rPr>
                <w:b/>
                <w:color w:val="000000"/>
              </w:rPr>
              <w:t>Total expense</w:t>
            </w:r>
          </w:p>
        </w:tc>
        <w:tc>
          <w:tcPr>
            <w:tcW w:w="1304" w:type="dxa"/>
            <w:vAlign w:val="bottom"/>
          </w:tcPr>
          <w:p w14:paraId="4B2D9D58" w14:textId="77777777" w:rsidR="008E5DE4" w:rsidRDefault="008E5DE4">
            <w:pPr>
              <w:keepNext/>
              <w:keepLines/>
              <w:widowControl w:val="0"/>
              <w:pBdr>
                <w:top w:val="nil"/>
                <w:left w:val="nil"/>
                <w:bottom w:val="nil"/>
                <w:right w:val="nil"/>
                <w:between w:val="nil"/>
              </w:pBdr>
              <w:jc w:val="right"/>
              <w:rPr>
                <w:b/>
                <w:smallCaps/>
                <w:color w:val="000000"/>
              </w:rPr>
            </w:pPr>
          </w:p>
        </w:tc>
        <w:tc>
          <w:tcPr>
            <w:tcW w:w="1304" w:type="dxa"/>
            <w:vAlign w:val="bottom"/>
          </w:tcPr>
          <w:p w14:paraId="2FFA0C11" w14:textId="77777777" w:rsidR="008E5DE4" w:rsidRDefault="008E5DE4">
            <w:pPr>
              <w:keepNext/>
              <w:keepLines/>
              <w:widowControl w:val="0"/>
              <w:pBdr>
                <w:top w:val="nil"/>
                <w:left w:val="nil"/>
                <w:bottom w:val="nil"/>
                <w:right w:val="nil"/>
                <w:between w:val="nil"/>
              </w:pBdr>
              <w:jc w:val="right"/>
              <w:rPr>
                <w:b/>
                <w:smallCaps/>
                <w:color w:val="000000"/>
              </w:rPr>
            </w:pPr>
          </w:p>
        </w:tc>
        <w:tc>
          <w:tcPr>
            <w:tcW w:w="1304" w:type="dxa"/>
            <w:vAlign w:val="bottom"/>
          </w:tcPr>
          <w:p w14:paraId="26ADAC83" w14:textId="77777777" w:rsidR="008E5DE4" w:rsidRDefault="008E5DE4">
            <w:pPr>
              <w:keepNext/>
              <w:keepLines/>
              <w:widowControl w:val="0"/>
              <w:pBdr>
                <w:top w:val="nil"/>
                <w:left w:val="nil"/>
                <w:bottom w:val="nil"/>
                <w:right w:val="nil"/>
                <w:between w:val="nil"/>
              </w:pBdr>
              <w:jc w:val="right"/>
              <w:rPr>
                <w:b/>
                <w:smallCaps/>
                <w:color w:val="000000"/>
              </w:rPr>
            </w:pPr>
          </w:p>
        </w:tc>
        <w:tc>
          <w:tcPr>
            <w:tcW w:w="1304" w:type="dxa"/>
            <w:vAlign w:val="bottom"/>
          </w:tcPr>
          <w:p w14:paraId="6FBFEA3D" w14:textId="77777777" w:rsidR="008E5DE4" w:rsidRDefault="008E5DE4">
            <w:pPr>
              <w:keepNext/>
              <w:keepLines/>
              <w:widowControl w:val="0"/>
              <w:pBdr>
                <w:top w:val="nil"/>
                <w:left w:val="nil"/>
                <w:bottom w:val="nil"/>
                <w:right w:val="nil"/>
                <w:between w:val="nil"/>
              </w:pBdr>
              <w:jc w:val="right"/>
              <w:rPr>
                <w:b/>
                <w:smallCaps/>
                <w:color w:val="000000"/>
              </w:rPr>
            </w:pPr>
          </w:p>
        </w:tc>
      </w:tr>
      <w:tr w:rsidR="008E5DE4" w14:paraId="0D100EC8" w14:textId="77777777">
        <w:trPr>
          <w:cantSplit/>
          <w:tblHeader/>
        </w:trPr>
        <w:tc>
          <w:tcPr>
            <w:tcW w:w="4139" w:type="dxa"/>
            <w:tcBorders>
              <w:bottom w:val="single" w:sz="4" w:space="0" w:color="000000"/>
            </w:tcBorders>
            <w:vAlign w:val="bottom"/>
          </w:tcPr>
          <w:p w14:paraId="3DE33BA2" w14:textId="77777777" w:rsidR="008E5DE4" w:rsidRDefault="00780368">
            <w:pPr>
              <w:keepNext/>
              <w:keepLines/>
              <w:widowControl w:val="0"/>
              <w:pBdr>
                <w:top w:val="nil"/>
                <w:left w:val="nil"/>
                <w:bottom w:val="nil"/>
                <w:right w:val="nil"/>
                <w:between w:val="nil"/>
              </w:pBdr>
              <w:ind w:left="113" w:right="-57" w:hanging="113"/>
              <w:rPr>
                <w:b/>
                <w:smallCaps/>
                <w:color w:val="000000"/>
              </w:rPr>
            </w:pPr>
            <w:r>
              <w:rPr>
                <w:b/>
                <w:color w:val="000000"/>
              </w:rPr>
              <w:t> </w:t>
            </w:r>
          </w:p>
        </w:tc>
        <w:tc>
          <w:tcPr>
            <w:tcW w:w="1304" w:type="dxa"/>
            <w:tcBorders>
              <w:bottom w:val="single" w:sz="4" w:space="0" w:color="000000"/>
            </w:tcBorders>
            <w:vAlign w:val="bottom"/>
          </w:tcPr>
          <w:p w14:paraId="51739CCD" w14:textId="77777777" w:rsidR="008E5DE4" w:rsidRDefault="008E5DE4">
            <w:pPr>
              <w:keepNext/>
              <w:keepLines/>
              <w:widowControl w:val="0"/>
              <w:pBdr>
                <w:top w:val="nil"/>
                <w:left w:val="nil"/>
                <w:bottom w:val="nil"/>
                <w:right w:val="nil"/>
                <w:between w:val="nil"/>
              </w:pBdr>
              <w:jc w:val="right"/>
              <w:rPr>
                <w:b/>
                <w:smallCaps/>
                <w:color w:val="000000"/>
              </w:rPr>
            </w:pPr>
          </w:p>
        </w:tc>
        <w:tc>
          <w:tcPr>
            <w:tcW w:w="1304" w:type="dxa"/>
            <w:tcBorders>
              <w:bottom w:val="single" w:sz="4" w:space="0" w:color="000000"/>
            </w:tcBorders>
            <w:vAlign w:val="bottom"/>
          </w:tcPr>
          <w:p w14:paraId="5B535457" w14:textId="77777777" w:rsidR="008E5DE4" w:rsidRDefault="008E5DE4">
            <w:pPr>
              <w:keepNext/>
              <w:keepLines/>
              <w:widowControl w:val="0"/>
              <w:pBdr>
                <w:top w:val="nil"/>
                <w:left w:val="nil"/>
                <w:bottom w:val="nil"/>
                <w:right w:val="nil"/>
                <w:between w:val="nil"/>
              </w:pBdr>
              <w:jc w:val="right"/>
              <w:rPr>
                <w:b/>
                <w:smallCaps/>
                <w:color w:val="000000"/>
              </w:rPr>
            </w:pPr>
          </w:p>
        </w:tc>
        <w:tc>
          <w:tcPr>
            <w:tcW w:w="1304" w:type="dxa"/>
            <w:tcBorders>
              <w:bottom w:val="single" w:sz="4" w:space="0" w:color="000000"/>
            </w:tcBorders>
            <w:vAlign w:val="bottom"/>
          </w:tcPr>
          <w:p w14:paraId="26D76EB7" w14:textId="77777777" w:rsidR="008E5DE4" w:rsidRDefault="008E5DE4">
            <w:pPr>
              <w:keepNext/>
              <w:keepLines/>
              <w:widowControl w:val="0"/>
              <w:pBdr>
                <w:top w:val="nil"/>
                <w:left w:val="nil"/>
                <w:bottom w:val="nil"/>
                <w:right w:val="nil"/>
                <w:between w:val="nil"/>
              </w:pBdr>
              <w:jc w:val="right"/>
              <w:rPr>
                <w:b/>
                <w:smallCaps/>
                <w:color w:val="000000"/>
              </w:rPr>
            </w:pPr>
          </w:p>
        </w:tc>
        <w:tc>
          <w:tcPr>
            <w:tcW w:w="1304" w:type="dxa"/>
            <w:tcBorders>
              <w:bottom w:val="single" w:sz="4" w:space="0" w:color="000000"/>
            </w:tcBorders>
            <w:vAlign w:val="bottom"/>
          </w:tcPr>
          <w:p w14:paraId="31BF258B" w14:textId="77777777" w:rsidR="008E5DE4" w:rsidRDefault="008E5DE4">
            <w:pPr>
              <w:keepNext/>
              <w:keepLines/>
              <w:widowControl w:val="0"/>
              <w:pBdr>
                <w:top w:val="nil"/>
                <w:left w:val="nil"/>
                <w:bottom w:val="nil"/>
                <w:right w:val="nil"/>
                <w:between w:val="nil"/>
              </w:pBdr>
              <w:jc w:val="right"/>
              <w:rPr>
                <w:b/>
                <w:smallCaps/>
                <w:color w:val="000000"/>
              </w:rPr>
            </w:pPr>
          </w:p>
        </w:tc>
      </w:tr>
      <w:tr w:rsidR="008E5DE4" w14:paraId="1AA01583" w14:textId="77777777">
        <w:trPr>
          <w:cantSplit/>
          <w:tblHeader/>
        </w:trPr>
        <w:tc>
          <w:tcPr>
            <w:tcW w:w="4139" w:type="dxa"/>
            <w:tcBorders>
              <w:top w:val="single" w:sz="4" w:space="0" w:color="000000"/>
            </w:tcBorders>
            <w:vAlign w:val="bottom"/>
          </w:tcPr>
          <w:p w14:paraId="3C13B47F"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1304" w:type="dxa"/>
            <w:tcBorders>
              <w:top w:val="single" w:sz="4" w:space="0" w:color="000000"/>
            </w:tcBorders>
            <w:vAlign w:val="bottom"/>
          </w:tcPr>
          <w:p w14:paraId="5B003B8F" w14:textId="77777777" w:rsidR="008E5DE4" w:rsidRDefault="008E5DE4">
            <w:pPr>
              <w:widowControl w:val="0"/>
              <w:pBdr>
                <w:top w:val="nil"/>
                <w:left w:val="nil"/>
                <w:bottom w:val="nil"/>
                <w:right w:val="nil"/>
                <w:between w:val="nil"/>
              </w:pBdr>
              <w:jc w:val="right"/>
              <w:rPr>
                <w:b/>
                <w:smallCaps/>
                <w:color w:val="000000"/>
              </w:rPr>
            </w:pPr>
          </w:p>
        </w:tc>
        <w:tc>
          <w:tcPr>
            <w:tcW w:w="1304" w:type="dxa"/>
            <w:tcBorders>
              <w:top w:val="single" w:sz="4" w:space="0" w:color="000000"/>
            </w:tcBorders>
            <w:vAlign w:val="bottom"/>
          </w:tcPr>
          <w:p w14:paraId="32F9CB78" w14:textId="77777777" w:rsidR="008E5DE4" w:rsidRDefault="008E5DE4">
            <w:pPr>
              <w:widowControl w:val="0"/>
              <w:pBdr>
                <w:top w:val="nil"/>
                <w:left w:val="nil"/>
                <w:bottom w:val="nil"/>
                <w:right w:val="nil"/>
                <w:between w:val="nil"/>
              </w:pBdr>
              <w:jc w:val="right"/>
              <w:rPr>
                <w:b/>
                <w:smallCaps/>
                <w:color w:val="000000"/>
              </w:rPr>
            </w:pPr>
          </w:p>
        </w:tc>
        <w:tc>
          <w:tcPr>
            <w:tcW w:w="1304" w:type="dxa"/>
            <w:tcBorders>
              <w:top w:val="single" w:sz="4" w:space="0" w:color="000000"/>
            </w:tcBorders>
            <w:vAlign w:val="bottom"/>
          </w:tcPr>
          <w:p w14:paraId="33FF915D" w14:textId="77777777" w:rsidR="008E5DE4" w:rsidRDefault="008E5DE4">
            <w:pPr>
              <w:widowControl w:val="0"/>
              <w:pBdr>
                <w:top w:val="nil"/>
                <w:left w:val="nil"/>
                <w:bottom w:val="nil"/>
                <w:right w:val="nil"/>
                <w:between w:val="nil"/>
              </w:pBdr>
              <w:jc w:val="right"/>
              <w:rPr>
                <w:b/>
                <w:smallCaps/>
                <w:color w:val="000000"/>
              </w:rPr>
            </w:pPr>
          </w:p>
        </w:tc>
        <w:tc>
          <w:tcPr>
            <w:tcW w:w="1304" w:type="dxa"/>
            <w:tcBorders>
              <w:top w:val="single" w:sz="4" w:space="0" w:color="000000"/>
            </w:tcBorders>
            <w:vAlign w:val="bottom"/>
          </w:tcPr>
          <w:p w14:paraId="6E785D4C" w14:textId="77777777" w:rsidR="008E5DE4" w:rsidRDefault="008E5DE4">
            <w:pPr>
              <w:widowControl w:val="0"/>
              <w:pBdr>
                <w:top w:val="nil"/>
                <w:left w:val="nil"/>
                <w:bottom w:val="nil"/>
                <w:right w:val="nil"/>
                <w:between w:val="nil"/>
              </w:pBdr>
              <w:jc w:val="right"/>
              <w:rPr>
                <w:b/>
                <w:smallCaps/>
                <w:color w:val="000000"/>
              </w:rPr>
            </w:pPr>
          </w:p>
        </w:tc>
      </w:tr>
      <w:tr w:rsidR="008E5DE4" w14:paraId="6BBAF885" w14:textId="77777777">
        <w:trPr>
          <w:cantSplit/>
          <w:tblHeader/>
        </w:trPr>
        <w:tc>
          <w:tcPr>
            <w:tcW w:w="4139" w:type="dxa"/>
            <w:vAlign w:val="bottom"/>
          </w:tcPr>
          <w:p w14:paraId="0A660175"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Total expense after deferred tax</w:t>
            </w:r>
          </w:p>
        </w:tc>
        <w:tc>
          <w:tcPr>
            <w:tcW w:w="1304" w:type="dxa"/>
            <w:vAlign w:val="bottom"/>
          </w:tcPr>
          <w:p w14:paraId="0652A832"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2C0B2C9B"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43BAF0C1"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75B2E9A9" w14:textId="77777777" w:rsidR="008E5DE4" w:rsidRDefault="008E5DE4">
            <w:pPr>
              <w:widowControl w:val="0"/>
              <w:pBdr>
                <w:top w:val="nil"/>
                <w:left w:val="nil"/>
                <w:bottom w:val="nil"/>
                <w:right w:val="nil"/>
                <w:between w:val="nil"/>
              </w:pBdr>
              <w:jc w:val="right"/>
              <w:rPr>
                <w:b/>
                <w:smallCaps/>
                <w:color w:val="000000"/>
              </w:rPr>
            </w:pPr>
          </w:p>
        </w:tc>
      </w:tr>
      <w:tr w:rsidR="008E5DE4" w14:paraId="3C7CD641" w14:textId="77777777">
        <w:trPr>
          <w:cantSplit/>
          <w:tblHeader/>
        </w:trPr>
        <w:tc>
          <w:tcPr>
            <w:tcW w:w="4139" w:type="dxa"/>
            <w:tcBorders>
              <w:bottom w:val="single" w:sz="12" w:space="0" w:color="000000"/>
            </w:tcBorders>
            <w:vAlign w:val="bottom"/>
          </w:tcPr>
          <w:p w14:paraId="7EDCF788" w14:textId="77777777" w:rsidR="008E5DE4" w:rsidRDefault="00780368">
            <w:pPr>
              <w:widowControl w:val="0"/>
              <w:pBdr>
                <w:top w:val="nil"/>
                <w:left w:val="nil"/>
                <w:bottom w:val="nil"/>
                <w:right w:val="nil"/>
                <w:between w:val="nil"/>
              </w:pBdr>
              <w:ind w:left="113" w:right="-57" w:hanging="113"/>
              <w:rPr>
                <w:b/>
                <w:smallCaps/>
                <w:color w:val="000000"/>
              </w:rPr>
            </w:pPr>
            <w:r>
              <w:rPr>
                <w:b/>
                <w:color w:val="000000"/>
              </w:rPr>
              <w:t> </w:t>
            </w:r>
          </w:p>
        </w:tc>
        <w:tc>
          <w:tcPr>
            <w:tcW w:w="1304" w:type="dxa"/>
            <w:tcBorders>
              <w:bottom w:val="single" w:sz="12" w:space="0" w:color="000000"/>
            </w:tcBorders>
            <w:vAlign w:val="bottom"/>
          </w:tcPr>
          <w:p w14:paraId="7E1107ED"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6E6A021C"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73DFE57A"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6F737C84" w14:textId="77777777" w:rsidR="008E5DE4" w:rsidRDefault="008E5DE4">
            <w:pPr>
              <w:widowControl w:val="0"/>
              <w:pBdr>
                <w:top w:val="nil"/>
                <w:left w:val="nil"/>
                <w:bottom w:val="nil"/>
                <w:right w:val="nil"/>
                <w:between w:val="nil"/>
              </w:pBdr>
              <w:jc w:val="right"/>
              <w:rPr>
                <w:b/>
                <w:smallCaps/>
                <w:color w:val="000000"/>
              </w:rPr>
            </w:pPr>
          </w:p>
        </w:tc>
      </w:tr>
    </w:tbl>
    <w:p w14:paraId="1C3450A9" w14:textId="77777777" w:rsidR="008E5DE4" w:rsidRDefault="0078036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Liability for cash-settled arrangements: </w:t>
      </w:r>
    </w:p>
    <w:tbl>
      <w:tblPr>
        <w:tblStyle w:val="afffffffffffffff2"/>
        <w:tblW w:w="9354" w:type="dxa"/>
        <w:tblLayout w:type="fixed"/>
        <w:tblLook w:val="0000" w:firstRow="0" w:lastRow="0" w:firstColumn="0" w:lastColumn="0" w:noHBand="0" w:noVBand="0"/>
      </w:tblPr>
      <w:tblGrid>
        <w:gridCol w:w="4138"/>
        <w:gridCol w:w="1304"/>
        <w:gridCol w:w="1304"/>
        <w:gridCol w:w="1304"/>
        <w:gridCol w:w="1304"/>
      </w:tblGrid>
      <w:tr w:rsidR="008E5DE4" w14:paraId="57D78762" w14:textId="77777777">
        <w:trPr>
          <w:cantSplit/>
          <w:tblHeader/>
        </w:trPr>
        <w:tc>
          <w:tcPr>
            <w:tcW w:w="4139" w:type="dxa"/>
            <w:vAlign w:val="bottom"/>
          </w:tcPr>
          <w:p w14:paraId="1E071D17" w14:textId="77777777" w:rsidR="008E5DE4" w:rsidRDefault="008E5DE4">
            <w:pPr>
              <w:widowControl w:val="0"/>
              <w:pBdr>
                <w:top w:val="nil"/>
                <w:left w:val="nil"/>
                <w:bottom w:val="nil"/>
                <w:right w:val="nil"/>
                <w:between w:val="nil"/>
              </w:pBdr>
              <w:rPr>
                <w:b/>
                <w:color w:val="000000"/>
              </w:rPr>
            </w:pPr>
          </w:p>
        </w:tc>
        <w:tc>
          <w:tcPr>
            <w:tcW w:w="2608" w:type="dxa"/>
            <w:gridSpan w:val="2"/>
            <w:vAlign w:val="bottom"/>
          </w:tcPr>
          <w:p w14:paraId="517D79E3" w14:textId="06D40671" w:rsidR="008E5DE4" w:rsidRDefault="008614F8" w:rsidP="00A22F50">
            <w:pPr>
              <w:widowControl w:val="0"/>
              <w:pBdr>
                <w:top w:val="nil"/>
                <w:left w:val="nil"/>
                <w:bottom w:val="nil"/>
                <w:right w:val="nil"/>
                <w:between w:val="nil"/>
              </w:pBdr>
              <w:jc w:val="center"/>
              <w:rPr>
                <w:b/>
                <w:color w:val="000000"/>
              </w:rPr>
            </w:pPr>
            <w:r>
              <w:rPr>
                <w:b/>
                <w:color w:val="000000"/>
              </w:rPr>
              <w:t>2025</w:t>
            </w:r>
          </w:p>
        </w:tc>
        <w:tc>
          <w:tcPr>
            <w:tcW w:w="2608" w:type="dxa"/>
            <w:gridSpan w:val="2"/>
            <w:vAlign w:val="bottom"/>
          </w:tcPr>
          <w:p w14:paraId="55B9E6C9" w14:textId="39C37D9F" w:rsidR="008E5DE4" w:rsidRDefault="00A46633">
            <w:pPr>
              <w:widowControl w:val="0"/>
              <w:pBdr>
                <w:top w:val="nil"/>
                <w:left w:val="nil"/>
                <w:bottom w:val="nil"/>
                <w:right w:val="nil"/>
                <w:between w:val="nil"/>
              </w:pBdr>
              <w:jc w:val="center"/>
              <w:rPr>
                <w:b/>
                <w:color w:val="000000"/>
              </w:rPr>
            </w:pPr>
            <w:r>
              <w:rPr>
                <w:b/>
                <w:color w:val="000000"/>
              </w:rPr>
              <w:t>2024</w:t>
            </w:r>
          </w:p>
        </w:tc>
      </w:tr>
      <w:tr w:rsidR="008E5DE4" w14:paraId="59C3111D" w14:textId="77777777">
        <w:trPr>
          <w:cantSplit/>
          <w:tblHeader/>
        </w:trPr>
        <w:tc>
          <w:tcPr>
            <w:tcW w:w="4139" w:type="dxa"/>
            <w:tcBorders>
              <w:bottom w:val="single" w:sz="4" w:space="0" w:color="000000"/>
            </w:tcBorders>
            <w:vAlign w:val="bottom"/>
          </w:tcPr>
          <w:p w14:paraId="027196B1" w14:textId="77777777" w:rsidR="008E5DE4" w:rsidRDefault="008E5DE4">
            <w:pPr>
              <w:widowControl w:val="0"/>
              <w:pBdr>
                <w:top w:val="nil"/>
                <w:left w:val="nil"/>
                <w:bottom w:val="nil"/>
                <w:right w:val="nil"/>
                <w:between w:val="nil"/>
              </w:pBdr>
              <w:rPr>
                <w:i/>
                <w:color w:val="000000"/>
              </w:rPr>
            </w:pPr>
          </w:p>
        </w:tc>
        <w:tc>
          <w:tcPr>
            <w:tcW w:w="1304" w:type="dxa"/>
            <w:tcBorders>
              <w:top w:val="single" w:sz="4" w:space="0" w:color="000000"/>
              <w:bottom w:val="single" w:sz="4" w:space="0" w:color="000000"/>
            </w:tcBorders>
          </w:tcPr>
          <w:p w14:paraId="5AAEC0D7" w14:textId="77777777" w:rsidR="008E5DE4" w:rsidRDefault="00780368">
            <w:pPr>
              <w:widowControl w:val="0"/>
              <w:pBdr>
                <w:top w:val="nil"/>
                <w:left w:val="nil"/>
                <w:bottom w:val="nil"/>
                <w:right w:val="nil"/>
                <w:between w:val="nil"/>
              </w:pBdr>
              <w:ind w:left="-113"/>
              <w:jc w:val="right"/>
              <w:rPr>
                <w:b/>
                <w:color w:val="000000"/>
              </w:rPr>
            </w:pPr>
            <w:r>
              <w:rPr>
                <w:b/>
                <w:color w:val="000000"/>
              </w:rPr>
              <w:t>Directors and employees</w:t>
            </w:r>
          </w:p>
        </w:tc>
        <w:tc>
          <w:tcPr>
            <w:tcW w:w="1304" w:type="dxa"/>
            <w:tcBorders>
              <w:top w:val="single" w:sz="4" w:space="0" w:color="000000"/>
              <w:bottom w:val="single" w:sz="4" w:space="0" w:color="000000"/>
            </w:tcBorders>
          </w:tcPr>
          <w:p w14:paraId="7D28EF51" w14:textId="77777777" w:rsidR="008E5DE4" w:rsidRDefault="00780368">
            <w:pPr>
              <w:widowControl w:val="0"/>
              <w:pBdr>
                <w:top w:val="nil"/>
                <w:left w:val="nil"/>
                <w:bottom w:val="nil"/>
                <w:right w:val="nil"/>
                <w:between w:val="nil"/>
              </w:pBdr>
              <w:ind w:left="-113"/>
              <w:jc w:val="right"/>
              <w:rPr>
                <w:b/>
                <w:color w:val="000000"/>
              </w:rPr>
            </w:pPr>
            <w:r>
              <w:rPr>
                <w:b/>
                <w:color w:val="000000"/>
              </w:rPr>
              <w:t>Other</w:t>
            </w:r>
          </w:p>
        </w:tc>
        <w:tc>
          <w:tcPr>
            <w:tcW w:w="1304" w:type="dxa"/>
            <w:tcBorders>
              <w:top w:val="single" w:sz="4" w:space="0" w:color="000000"/>
              <w:bottom w:val="single" w:sz="4" w:space="0" w:color="000000"/>
            </w:tcBorders>
          </w:tcPr>
          <w:p w14:paraId="2671E6E5" w14:textId="77777777" w:rsidR="008E5DE4" w:rsidRDefault="00780368">
            <w:pPr>
              <w:widowControl w:val="0"/>
              <w:pBdr>
                <w:top w:val="nil"/>
                <w:left w:val="nil"/>
                <w:bottom w:val="nil"/>
                <w:right w:val="nil"/>
                <w:between w:val="nil"/>
              </w:pBdr>
              <w:ind w:left="-113"/>
              <w:jc w:val="right"/>
              <w:rPr>
                <w:b/>
                <w:color w:val="000000"/>
              </w:rPr>
            </w:pPr>
            <w:r>
              <w:rPr>
                <w:b/>
                <w:color w:val="000000"/>
              </w:rPr>
              <w:t>Directors and employees</w:t>
            </w:r>
          </w:p>
        </w:tc>
        <w:tc>
          <w:tcPr>
            <w:tcW w:w="1304" w:type="dxa"/>
            <w:tcBorders>
              <w:top w:val="single" w:sz="4" w:space="0" w:color="000000"/>
              <w:bottom w:val="single" w:sz="4" w:space="0" w:color="000000"/>
            </w:tcBorders>
          </w:tcPr>
          <w:p w14:paraId="7AB3AB64" w14:textId="77777777" w:rsidR="008E5DE4" w:rsidRDefault="00780368">
            <w:pPr>
              <w:widowControl w:val="0"/>
              <w:pBdr>
                <w:top w:val="nil"/>
                <w:left w:val="nil"/>
                <w:bottom w:val="nil"/>
                <w:right w:val="nil"/>
                <w:between w:val="nil"/>
              </w:pBdr>
              <w:ind w:left="-113"/>
              <w:jc w:val="right"/>
              <w:rPr>
                <w:b/>
                <w:color w:val="000000"/>
              </w:rPr>
            </w:pPr>
            <w:r>
              <w:rPr>
                <w:b/>
                <w:color w:val="000000"/>
              </w:rPr>
              <w:t>Other</w:t>
            </w:r>
          </w:p>
        </w:tc>
      </w:tr>
      <w:tr w:rsidR="008E5DE4" w14:paraId="4FA2E30F" w14:textId="77777777">
        <w:trPr>
          <w:cantSplit/>
          <w:tblHeader/>
        </w:trPr>
        <w:tc>
          <w:tcPr>
            <w:tcW w:w="4139" w:type="dxa"/>
            <w:tcBorders>
              <w:top w:val="single" w:sz="4" w:space="0" w:color="000000"/>
            </w:tcBorders>
            <w:vAlign w:val="bottom"/>
          </w:tcPr>
          <w:p w14:paraId="2B74740E" w14:textId="77777777" w:rsidR="008E5DE4" w:rsidRDefault="00780368">
            <w:pPr>
              <w:widowControl w:val="0"/>
              <w:pBdr>
                <w:top w:val="nil"/>
                <w:left w:val="nil"/>
                <w:bottom w:val="nil"/>
                <w:right w:val="nil"/>
                <w:between w:val="nil"/>
              </w:pBdr>
              <w:rPr>
                <w:color w:val="000000"/>
              </w:rPr>
            </w:pPr>
            <w:r>
              <w:rPr>
                <w:color w:val="000000"/>
              </w:rPr>
              <w:t> </w:t>
            </w:r>
          </w:p>
        </w:tc>
        <w:tc>
          <w:tcPr>
            <w:tcW w:w="1304" w:type="dxa"/>
            <w:tcBorders>
              <w:top w:val="single" w:sz="4" w:space="0" w:color="000000"/>
            </w:tcBorders>
            <w:vAlign w:val="bottom"/>
          </w:tcPr>
          <w:p w14:paraId="2D9513DB"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4B277912" w14:textId="77777777" w:rsidR="008E5DE4" w:rsidRDefault="008E5DE4">
            <w:pPr>
              <w:widowControl w:val="0"/>
              <w:pBdr>
                <w:top w:val="nil"/>
                <w:left w:val="nil"/>
                <w:bottom w:val="nil"/>
                <w:right w:val="nil"/>
                <w:between w:val="nil"/>
              </w:pBdr>
              <w:jc w:val="right"/>
              <w:rPr>
                <w:color w:val="000000"/>
              </w:rPr>
            </w:pPr>
          </w:p>
        </w:tc>
        <w:tc>
          <w:tcPr>
            <w:tcW w:w="1304" w:type="dxa"/>
            <w:tcBorders>
              <w:top w:val="single" w:sz="4" w:space="0" w:color="000000"/>
            </w:tcBorders>
            <w:vAlign w:val="bottom"/>
          </w:tcPr>
          <w:p w14:paraId="445C9070" w14:textId="77777777" w:rsidR="008E5DE4" w:rsidRDefault="008E5DE4">
            <w:pPr>
              <w:widowControl w:val="0"/>
              <w:pBdr>
                <w:top w:val="nil"/>
                <w:left w:val="nil"/>
                <w:bottom w:val="nil"/>
                <w:right w:val="nil"/>
                <w:between w:val="nil"/>
              </w:pBdr>
              <w:jc w:val="center"/>
              <w:rPr>
                <w:color w:val="000000"/>
              </w:rPr>
            </w:pPr>
          </w:p>
        </w:tc>
        <w:tc>
          <w:tcPr>
            <w:tcW w:w="1304" w:type="dxa"/>
            <w:tcBorders>
              <w:top w:val="single" w:sz="4" w:space="0" w:color="000000"/>
            </w:tcBorders>
            <w:vAlign w:val="bottom"/>
          </w:tcPr>
          <w:p w14:paraId="2E1DFDEB" w14:textId="77777777" w:rsidR="008E5DE4" w:rsidRDefault="008E5DE4">
            <w:pPr>
              <w:widowControl w:val="0"/>
              <w:pBdr>
                <w:top w:val="nil"/>
                <w:left w:val="nil"/>
                <w:bottom w:val="nil"/>
                <w:right w:val="nil"/>
                <w:between w:val="nil"/>
              </w:pBdr>
              <w:jc w:val="right"/>
              <w:rPr>
                <w:color w:val="000000"/>
              </w:rPr>
            </w:pPr>
          </w:p>
        </w:tc>
      </w:tr>
      <w:tr w:rsidR="008E5DE4" w14:paraId="54112788" w14:textId="77777777">
        <w:trPr>
          <w:cantSplit/>
          <w:tblHeader/>
        </w:trPr>
        <w:tc>
          <w:tcPr>
            <w:tcW w:w="4139" w:type="dxa"/>
            <w:vAlign w:val="bottom"/>
          </w:tcPr>
          <w:p w14:paraId="36ED8340" w14:textId="77777777" w:rsidR="008E5DE4" w:rsidRDefault="00780368">
            <w:pPr>
              <w:widowControl w:val="0"/>
              <w:pBdr>
                <w:top w:val="nil"/>
                <w:left w:val="nil"/>
                <w:bottom w:val="nil"/>
                <w:right w:val="nil"/>
                <w:between w:val="nil"/>
              </w:pBdr>
              <w:rPr>
                <w:color w:val="000000"/>
              </w:rPr>
            </w:pPr>
            <w:r>
              <w:rPr>
                <w:color w:val="000000"/>
              </w:rPr>
              <w:t>Cash-settled arrangements</w:t>
            </w:r>
          </w:p>
        </w:tc>
        <w:tc>
          <w:tcPr>
            <w:tcW w:w="1304" w:type="dxa"/>
            <w:vAlign w:val="bottom"/>
          </w:tcPr>
          <w:p w14:paraId="50D10F0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7F3B7FFF"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8AA59C4" w14:textId="77777777" w:rsidR="008E5DE4" w:rsidRDefault="008E5DE4">
            <w:pPr>
              <w:widowControl w:val="0"/>
              <w:pBdr>
                <w:top w:val="nil"/>
                <w:left w:val="nil"/>
                <w:bottom w:val="nil"/>
                <w:right w:val="nil"/>
                <w:between w:val="nil"/>
              </w:pBdr>
              <w:jc w:val="center"/>
              <w:rPr>
                <w:color w:val="000000"/>
              </w:rPr>
            </w:pPr>
          </w:p>
        </w:tc>
        <w:tc>
          <w:tcPr>
            <w:tcW w:w="1304" w:type="dxa"/>
            <w:vAlign w:val="bottom"/>
          </w:tcPr>
          <w:p w14:paraId="2A427F0F" w14:textId="77777777" w:rsidR="008E5DE4" w:rsidRDefault="008E5DE4">
            <w:pPr>
              <w:widowControl w:val="0"/>
              <w:pBdr>
                <w:top w:val="nil"/>
                <w:left w:val="nil"/>
                <w:bottom w:val="nil"/>
                <w:right w:val="nil"/>
                <w:between w:val="nil"/>
              </w:pBdr>
              <w:jc w:val="right"/>
              <w:rPr>
                <w:color w:val="000000"/>
              </w:rPr>
            </w:pPr>
          </w:p>
        </w:tc>
      </w:tr>
      <w:tr w:rsidR="008E5DE4" w14:paraId="7F7C20AF" w14:textId="77777777">
        <w:trPr>
          <w:cantSplit/>
          <w:tblHeader/>
        </w:trPr>
        <w:tc>
          <w:tcPr>
            <w:tcW w:w="4139" w:type="dxa"/>
            <w:vAlign w:val="bottom"/>
          </w:tcPr>
          <w:p w14:paraId="31267861" w14:textId="77777777" w:rsidR="008E5DE4" w:rsidRDefault="00780368">
            <w:pPr>
              <w:widowControl w:val="0"/>
              <w:pBdr>
                <w:top w:val="nil"/>
                <w:left w:val="nil"/>
                <w:bottom w:val="nil"/>
                <w:right w:val="nil"/>
                <w:between w:val="nil"/>
              </w:pBdr>
              <w:rPr>
                <w:color w:val="000000"/>
              </w:rPr>
            </w:pPr>
            <w:r>
              <w:rPr>
                <w:color w:val="000000"/>
              </w:rPr>
              <w:t>Arrangements with settlement alternatives</w:t>
            </w:r>
          </w:p>
        </w:tc>
        <w:tc>
          <w:tcPr>
            <w:tcW w:w="1304" w:type="dxa"/>
            <w:vAlign w:val="bottom"/>
          </w:tcPr>
          <w:p w14:paraId="2BE4F143"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090870E2"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23DF43E7" w14:textId="77777777" w:rsidR="008E5DE4" w:rsidRDefault="008E5DE4">
            <w:pPr>
              <w:widowControl w:val="0"/>
              <w:pBdr>
                <w:top w:val="nil"/>
                <w:left w:val="nil"/>
                <w:bottom w:val="nil"/>
                <w:right w:val="nil"/>
                <w:between w:val="nil"/>
              </w:pBdr>
              <w:jc w:val="right"/>
              <w:rPr>
                <w:color w:val="000000"/>
              </w:rPr>
            </w:pPr>
          </w:p>
        </w:tc>
        <w:tc>
          <w:tcPr>
            <w:tcW w:w="1304" w:type="dxa"/>
            <w:vAlign w:val="bottom"/>
          </w:tcPr>
          <w:p w14:paraId="473CB86E" w14:textId="77777777" w:rsidR="008E5DE4" w:rsidRDefault="008E5DE4">
            <w:pPr>
              <w:widowControl w:val="0"/>
              <w:pBdr>
                <w:top w:val="nil"/>
                <w:left w:val="nil"/>
                <w:bottom w:val="nil"/>
                <w:right w:val="nil"/>
                <w:between w:val="nil"/>
              </w:pBdr>
              <w:jc w:val="right"/>
              <w:rPr>
                <w:color w:val="000000"/>
              </w:rPr>
            </w:pPr>
          </w:p>
        </w:tc>
      </w:tr>
      <w:tr w:rsidR="008E5DE4" w14:paraId="0F1F6D7A" w14:textId="77777777">
        <w:trPr>
          <w:cantSplit/>
          <w:tblHeader/>
        </w:trPr>
        <w:tc>
          <w:tcPr>
            <w:tcW w:w="4139" w:type="dxa"/>
            <w:tcBorders>
              <w:bottom w:val="single" w:sz="4" w:space="0" w:color="000000"/>
            </w:tcBorders>
            <w:vAlign w:val="bottom"/>
          </w:tcPr>
          <w:p w14:paraId="57FED9C7" w14:textId="77777777" w:rsidR="008E5DE4" w:rsidRDefault="00780368">
            <w:pPr>
              <w:widowControl w:val="0"/>
              <w:pBdr>
                <w:top w:val="nil"/>
                <w:left w:val="nil"/>
                <w:bottom w:val="nil"/>
                <w:right w:val="nil"/>
                <w:between w:val="nil"/>
              </w:pBdr>
              <w:rPr>
                <w:color w:val="000000"/>
              </w:rPr>
            </w:pPr>
            <w:r>
              <w:rPr>
                <w:color w:val="000000"/>
              </w:rPr>
              <w:t> </w:t>
            </w:r>
          </w:p>
        </w:tc>
        <w:tc>
          <w:tcPr>
            <w:tcW w:w="1304" w:type="dxa"/>
            <w:tcBorders>
              <w:bottom w:val="single" w:sz="4" w:space="0" w:color="000000"/>
            </w:tcBorders>
            <w:vAlign w:val="bottom"/>
          </w:tcPr>
          <w:p w14:paraId="66F5790A"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723154FD"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69965E60" w14:textId="77777777" w:rsidR="008E5DE4" w:rsidRDefault="008E5DE4">
            <w:pPr>
              <w:widowControl w:val="0"/>
              <w:pBdr>
                <w:top w:val="nil"/>
                <w:left w:val="nil"/>
                <w:bottom w:val="nil"/>
                <w:right w:val="nil"/>
                <w:between w:val="nil"/>
              </w:pBdr>
              <w:jc w:val="right"/>
              <w:rPr>
                <w:color w:val="000000"/>
              </w:rPr>
            </w:pPr>
          </w:p>
        </w:tc>
        <w:tc>
          <w:tcPr>
            <w:tcW w:w="1304" w:type="dxa"/>
            <w:tcBorders>
              <w:bottom w:val="single" w:sz="4" w:space="0" w:color="000000"/>
            </w:tcBorders>
            <w:vAlign w:val="bottom"/>
          </w:tcPr>
          <w:p w14:paraId="48AF7B71" w14:textId="77777777" w:rsidR="008E5DE4" w:rsidRDefault="008E5DE4">
            <w:pPr>
              <w:widowControl w:val="0"/>
              <w:pBdr>
                <w:top w:val="nil"/>
                <w:left w:val="nil"/>
                <w:bottom w:val="nil"/>
                <w:right w:val="nil"/>
                <w:between w:val="nil"/>
              </w:pBdr>
              <w:jc w:val="right"/>
              <w:rPr>
                <w:color w:val="000000"/>
              </w:rPr>
            </w:pPr>
          </w:p>
        </w:tc>
      </w:tr>
      <w:tr w:rsidR="008E5DE4" w14:paraId="4AC7F1CD" w14:textId="77777777">
        <w:trPr>
          <w:cantSplit/>
          <w:tblHeader/>
        </w:trPr>
        <w:tc>
          <w:tcPr>
            <w:tcW w:w="4139" w:type="dxa"/>
            <w:vAlign w:val="bottom"/>
          </w:tcPr>
          <w:p w14:paraId="43B7A97A" w14:textId="77777777" w:rsidR="008E5DE4" w:rsidRDefault="00780368">
            <w:pPr>
              <w:widowControl w:val="0"/>
              <w:pBdr>
                <w:top w:val="nil"/>
                <w:left w:val="nil"/>
                <w:bottom w:val="nil"/>
                <w:right w:val="nil"/>
                <w:between w:val="nil"/>
              </w:pBdr>
              <w:rPr>
                <w:color w:val="000000"/>
              </w:rPr>
            </w:pPr>
            <w:r>
              <w:rPr>
                <w:color w:val="000000"/>
              </w:rPr>
              <w:t> </w:t>
            </w:r>
          </w:p>
        </w:tc>
        <w:tc>
          <w:tcPr>
            <w:tcW w:w="1304" w:type="dxa"/>
            <w:vAlign w:val="bottom"/>
          </w:tcPr>
          <w:p w14:paraId="77ED8416"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6DF126DE"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576CFB9F" w14:textId="77777777" w:rsidR="008E5DE4" w:rsidRDefault="008E5DE4">
            <w:pPr>
              <w:widowControl w:val="0"/>
              <w:pBdr>
                <w:top w:val="nil"/>
                <w:left w:val="nil"/>
                <w:bottom w:val="nil"/>
                <w:right w:val="nil"/>
                <w:between w:val="nil"/>
              </w:pBdr>
              <w:jc w:val="right"/>
              <w:rPr>
                <w:b/>
                <w:color w:val="000000"/>
              </w:rPr>
            </w:pPr>
          </w:p>
        </w:tc>
        <w:tc>
          <w:tcPr>
            <w:tcW w:w="1304" w:type="dxa"/>
            <w:vAlign w:val="bottom"/>
          </w:tcPr>
          <w:p w14:paraId="0AFDEF09" w14:textId="77777777" w:rsidR="008E5DE4" w:rsidRDefault="008E5DE4">
            <w:pPr>
              <w:widowControl w:val="0"/>
              <w:pBdr>
                <w:top w:val="nil"/>
                <w:left w:val="nil"/>
                <w:bottom w:val="nil"/>
                <w:right w:val="nil"/>
                <w:between w:val="nil"/>
              </w:pBdr>
              <w:jc w:val="right"/>
              <w:rPr>
                <w:b/>
                <w:color w:val="000000"/>
              </w:rPr>
            </w:pPr>
          </w:p>
        </w:tc>
      </w:tr>
      <w:tr w:rsidR="008E5DE4" w14:paraId="36855745" w14:textId="77777777">
        <w:trPr>
          <w:cantSplit/>
          <w:tblHeader/>
        </w:trPr>
        <w:tc>
          <w:tcPr>
            <w:tcW w:w="4139" w:type="dxa"/>
            <w:vAlign w:val="bottom"/>
          </w:tcPr>
          <w:p w14:paraId="739434E3" w14:textId="77777777" w:rsidR="008E5DE4" w:rsidRDefault="00780368">
            <w:pPr>
              <w:widowControl w:val="0"/>
              <w:pBdr>
                <w:top w:val="nil"/>
                <w:left w:val="nil"/>
                <w:bottom w:val="nil"/>
                <w:right w:val="nil"/>
                <w:between w:val="nil"/>
              </w:pBdr>
              <w:rPr>
                <w:b/>
                <w:smallCaps/>
                <w:color w:val="000000"/>
              </w:rPr>
            </w:pPr>
            <w:r>
              <w:rPr>
                <w:b/>
                <w:color w:val="000000"/>
              </w:rPr>
              <w:t xml:space="preserve">Total liability </w:t>
            </w:r>
            <w:proofErr w:type="gramStart"/>
            <w:r>
              <w:rPr>
                <w:b/>
                <w:color w:val="000000"/>
              </w:rPr>
              <w:t>at</w:t>
            </w:r>
            <w:proofErr w:type="gramEnd"/>
            <w:r>
              <w:rPr>
                <w:b/>
                <w:color w:val="000000"/>
              </w:rPr>
              <w:t xml:space="preserve"> 31 December</w:t>
            </w:r>
          </w:p>
        </w:tc>
        <w:tc>
          <w:tcPr>
            <w:tcW w:w="1304" w:type="dxa"/>
            <w:vAlign w:val="bottom"/>
          </w:tcPr>
          <w:p w14:paraId="17BDEC7E"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6C265358"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1558524E" w14:textId="77777777" w:rsidR="008E5DE4" w:rsidRDefault="008E5DE4">
            <w:pPr>
              <w:widowControl w:val="0"/>
              <w:pBdr>
                <w:top w:val="nil"/>
                <w:left w:val="nil"/>
                <w:bottom w:val="nil"/>
                <w:right w:val="nil"/>
                <w:between w:val="nil"/>
              </w:pBdr>
              <w:jc w:val="right"/>
              <w:rPr>
                <w:b/>
                <w:smallCaps/>
                <w:color w:val="000000"/>
              </w:rPr>
            </w:pPr>
          </w:p>
        </w:tc>
        <w:tc>
          <w:tcPr>
            <w:tcW w:w="1304" w:type="dxa"/>
            <w:vAlign w:val="bottom"/>
          </w:tcPr>
          <w:p w14:paraId="785A2D36" w14:textId="77777777" w:rsidR="008E5DE4" w:rsidRDefault="008E5DE4">
            <w:pPr>
              <w:widowControl w:val="0"/>
              <w:pBdr>
                <w:top w:val="nil"/>
                <w:left w:val="nil"/>
                <w:bottom w:val="nil"/>
                <w:right w:val="nil"/>
                <w:between w:val="nil"/>
              </w:pBdr>
              <w:jc w:val="right"/>
              <w:rPr>
                <w:b/>
                <w:smallCaps/>
                <w:color w:val="000000"/>
              </w:rPr>
            </w:pPr>
          </w:p>
        </w:tc>
      </w:tr>
      <w:tr w:rsidR="008E5DE4" w14:paraId="7DC83DE5" w14:textId="77777777">
        <w:trPr>
          <w:cantSplit/>
          <w:tblHeader/>
        </w:trPr>
        <w:tc>
          <w:tcPr>
            <w:tcW w:w="4139" w:type="dxa"/>
            <w:tcBorders>
              <w:bottom w:val="single" w:sz="12" w:space="0" w:color="000000"/>
            </w:tcBorders>
            <w:vAlign w:val="bottom"/>
          </w:tcPr>
          <w:p w14:paraId="3471C636" w14:textId="77777777" w:rsidR="008E5DE4" w:rsidRDefault="00780368">
            <w:pPr>
              <w:widowControl w:val="0"/>
              <w:pBdr>
                <w:top w:val="nil"/>
                <w:left w:val="nil"/>
                <w:bottom w:val="nil"/>
                <w:right w:val="nil"/>
                <w:between w:val="nil"/>
              </w:pBdr>
              <w:rPr>
                <w:b/>
                <w:smallCaps/>
                <w:color w:val="000000"/>
              </w:rPr>
            </w:pPr>
            <w:r>
              <w:rPr>
                <w:b/>
                <w:color w:val="000000"/>
              </w:rPr>
              <w:t> </w:t>
            </w:r>
          </w:p>
        </w:tc>
        <w:tc>
          <w:tcPr>
            <w:tcW w:w="1304" w:type="dxa"/>
            <w:tcBorders>
              <w:bottom w:val="single" w:sz="12" w:space="0" w:color="000000"/>
            </w:tcBorders>
            <w:vAlign w:val="bottom"/>
          </w:tcPr>
          <w:p w14:paraId="0BCDDEC9"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73E87E56"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3943A7B9" w14:textId="77777777" w:rsidR="008E5DE4" w:rsidRDefault="008E5DE4">
            <w:pPr>
              <w:widowControl w:val="0"/>
              <w:pBdr>
                <w:top w:val="nil"/>
                <w:left w:val="nil"/>
                <w:bottom w:val="nil"/>
                <w:right w:val="nil"/>
                <w:between w:val="nil"/>
              </w:pBdr>
              <w:jc w:val="right"/>
              <w:rPr>
                <w:b/>
                <w:smallCaps/>
                <w:color w:val="000000"/>
              </w:rPr>
            </w:pPr>
          </w:p>
        </w:tc>
        <w:tc>
          <w:tcPr>
            <w:tcW w:w="1304" w:type="dxa"/>
            <w:tcBorders>
              <w:bottom w:val="single" w:sz="12" w:space="0" w:color="000000"/>
            </w:tcBorders>
            <w:vAlign w:val="bottom"/>
          </w:tcPr>
          <w:p w14:paraId="73862F0F" w14:textId="77777777" w:rsidR="008E5DE4" w:rsidRDefault="008E5DE4">
            <w:pPr>
              <w:widowControl w:val="0"/>
              <w:pBdr>
                <w:top w:val="nil"/>
                <w:left w:val="nil"/>
                <w:bottom w:val="nil"/>
                <w:right w:val="nil"/>
                <w:between w:val="nil"/>
              </w:pBdr>
              <w:jc w:val="right"/>
              <w:rPr>
                <w:b/>
                <w:smallCaps/>
                <w:color w:val="000000"/>
              </w:rPr>
            </w:pPr>
          </w:p>
        </w:tc>
      </w:tr>
    </w:tbl>
    <w:p w14:paraId="05FB6651" w14:textId="77777777"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[Share options granted in 20__ were repriced at __ due to the decrease in share price. The exercise price at __ is EUR__ instead of the original exercise price of EUR__. The incremental value </w:t>
      </w:r>
      <w:proofErr w:type="gramStart"/>
      <w:r>
        <w:rPr>
          <w:color w:val="0000FF"/>
          <w:sz w:val="20"/>
          <w:szCs w:val="20"/>
        </w:rPr>
        <w:t>as a result of</w:t>
      </w:r>
      <w:proofErr w:type="gramEnd"/>
      <w:r>
        <w:rPr>
          <w:color w:val="0000FF"/>
          <w:sz w:val="20"/>
          <w:szCs w:val="20"/>
        </w:rPr>
        <w:t xml:space="preserve"> the repricing was determined to be EUR__.]</w:t>
      </w:r>
    </w:p>
    <w:p w14:paraId="1890E91A" w14:textId="4AAFEA52" w:rsidR="008E5DE4" w:rsidRDefault="00780368">
      <w:pPr>
        <w:widowControl w:val="0"/>
        <w:pBdr>
          <w:top w:val="nil"/>
          <w:left w:val="nil"/>
          <w:bottom w:val="nil"/>
          <w:right w:val="nil"/>
          <w:between w:val="nil"/>
        </w:pBdr>
        <w:spacing w:before="200" w:after="200"/>
        <w:jc w:val="both"/>
        <w:rPr>
          <w:color w:val="0000FF"/>
          <w:sz w:val="20"/>
          <w:szCs w:val="20"/>
        </w:rPr>
      </w:pPr>
      <w:r>
        <w:rPr>
          <w:color w:val="0000FF"/>
          <w:sz w:val="20"/>
          <w:szCs w:val="20"/>
        </w:rPr>
        <w:t>[The entity issued __ shares on __ in exchange for an in-kind contribution of an office building with a fair value of EUR__. The fair value was based on a report prepared by an independent professional valuator. The entity also issued __ shares in exchange for consulting services recognised as an expense and a corresponding increase in equity at a fair value of __. The fair value of the service was determined based on bids submitted by other potential suppliers</w:t>
      </w:r>
      <w:r w:rsidR="001F5F14">
        <w:rPr>
          <w:color w:val="0000FF"/>
          <w:sz w:val="20"/>
          <w:szCs w:val="20"/>
        </w:rPr>
        <w:t>]</w:t>
      </w:r>
      <w:r>
        <w:rPr>
          <w:color w:val="0000FF"/>
          <w:sz w:val="20"/>
          <w:szCs w:val="20"/>
        </w:rPr>
        <w:t>.</w:t>
      </w:r>
    </w:p>
    <w:p w14:paraId="0A4B3C5A" w14:textId="77777777" w:rsidR="008E5DE4" w:rsidRDefault="008E5DE4">
      <w:pPr>
        <w:widowControl w:val="0"/>
        <w:pBdr>
          <w:top w:val="nil"/>
          <w:left w:val="nil"/>
          <w:bottom w:val="nil"/>
          <w:right w:val="nil"/>
          <w:between w:val="nil"/>
        </w:pBdr>
        <w:spacing w:before="200" w:after="200"/>
        <w:jc w:val="both"/>
        <w:rPr>
          <w:color w:val="FF0000"/>
          <w:sz w:val="20"/>
          <w:szCs w:val="20"/>
        </w:rPr>
      </w:pPr>
    </w:p>
    <w:sectPr w:rsidR="008E5DE4">
      <w:headerReference w:type="default" r:id="rId34"/>
      <w:pgSz w:w="11907" w:h="16840"/>
      <w:pgMar w:top="1418" w:right="851" w:bottom="1134" w:left="1701" w:header="73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6F9E" w14:textId="77777777" w:rsidR="00144E7E" w:rsidRDefault="00144E7E">
      <w:r>
        <w:separator/>
      </w:r>
    </w:p>
  </w:endnote>
  <w:endnote w:type="continuationSeparator" w:id="0">
    <w:p w14:paraId="5E020CD1" w14:textId="77777777" w:rsidR="00144E7E" w:rsidRDefault="0014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Light 10pt">
    <w:altName w:val="Arial"/>
    <w:panose1 w:val="020B0604020202020204"/>
    <w:charset w:val="00"/>
    <w:family w:val="swiss"/>
    <w:notTrueType/>
    <w:pitch w:val="default"/>
    <w:sig w:usb0="00000003" w:usb1="00000000" w:usb2="00000000" w:usb3="00000000" w:csb0="00000001" w:csb1="00000000"/>
  </w:font>
  <w:font w:name="NTTimes/Cyrillic">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Swis721 Lt BT">
    <w:altName w:val="Times New Roman"/>
    <w:panose1 w:val="020B0604020202020204"/>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Times">
    <w:panose1 w:val="020B0604020202020204"/>
    <w:charset w:val="CC"/>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9E7B" w14:textId="77777777" w:rsidR="008A5D34" w:rsidRDefault="008A5D3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25E59C64" w14:textId="77777777" w:rsidR="008A5D34" w:rsidRDefault="008A5D34">
    <w:pPr>
      <w:pBdr>
        <w:top w:val="nil"/>
        <w:left w:val="nil"/>
        <w:bottom w:val="nil"/>
        <w:right w:val="nil"/>
        <w:between w:val="nil"/>
      </w:pBdr>
      <w:tabs>
        <w:tab w:val="center" w:pos="4153"/>
        <w:tab w:val="right" w:pos="8306"/>
      </w:tabs>
      <w:ind w:right="36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688B" w14:textId="77777777" w:rsidR="008A5D34" w:rsidRDefault="008A5D34">
    <w:pPr>
      <w:pBdr>
        <w:top w:val="nil"/>
        <w:left w:val="nil"/>
        <w:bottom w:val="nil"/>
        <w:right w:val="nil"/>
        <w:between w:val="nil"/>
      </w:pBdr>
      <w:tabs>
        <w:tab w:val="center" w:pos="4153"/>
        <w:tab w:val="right" w:pos="8306"/>
      </w:tabs>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9136" w14:textId="77777777" w:rsidR="008A5D34" w:rsidRDefault="008A5D3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12969B3D" w14:textId="77777777" w:rsidR="008A5D34" w:rsidRDefault="008A5D34">
    <w:pPr>
      <w:pBdr>
        <w:top w:val="nil"/>
        <w:left w:val="nil"/>
        <w:bottom w:val="nil"/>
        <w:right w:val="nil"/>
        <w:between w:val="nil"/>
      </w:pBdr>
      <w:tabs>
        <w:tab w:val="center" w:pos="4153"/>
        <w:tab w:val="right" w:pos="8306"/>
      </w:tabs>
      <w:jc w:val="both"/>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925A" w14:textId="77777777" w:rsidR="008A5D34" w:rsidRDefault="008A5D34">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5F5C" w14:textId="77777777" w:rsidR="008A5D34" w:rsidRDefault="008A5D34">
    <w:pPr>
      <w:pBdr>
        <w:top w:val="single" w:sz="4" w:space="1" w:color="000000"/>
        <w:left w:val="nil"/>
        <w:bottom w:val="nil"/>
        <w:right w:val="nil"/>
        <w:between w:val="nil"/>
      </w:pBdr>
      <w:tabs>
        <w:tab w:val="center" w:pos="4153"/>
        <w:tab w:val="right" w:pos="8306"/>
      </w:tabs>
      <w:jc w:val="center"/>
      <w:rPr>
        <w:color w:val="000000"/>
      </w:rPr>
    </w:pPr>
    <w:r>
      <w:rPr>
        <w:color w:val="000000"/>
      </w:rPr>
      <w:t xml:space="preserve">The accompanying notes on pages ___ to ___ are an integral part of these consolidated financial statements. </w:t>
    </w:r>
  </w:p>
  <w:p w14:paraId="5B7A07EA" w14:textId="5A0638C8" w:rsidR="008A5D34" w:rsidRDefault="008A5D3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A914" w14:textId="3BBD2879" w:rsidR="008A5D34" w:rsidRDefault="008A5D3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15</w:t>
    </w:r>
    <w:r>
      <w:rPr>
        <w:color w:val="00000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EAED" w14:textId="0F8C81CC" w:rsidR="008A5D34" w:rsidRDefault="008A5D34">
    <w:pPr>
      <w:pBdr>
        <w:top w:val="single" w:sz="4" w:space="1" w:color="000000"/>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0211" w14:textId="77777777" w:rsidR="00144E7E" w:rsidRDefault="00144E7E">
      <w:r>
        <w:separator/>
      </w:r>
    </w:p>
  </w:footnote>
  <w:footnote w:type="continuationSeparator" w:id="0">
    <w:p w14:paraId="4F58F04D" w14:textId="77777777" w:rsidR="00144E7E" w:rsidRDefault="00144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AEBE" w14:textId="77777777" w:rsidR="008A5D34" w:rsidRDefault="008A5D34">
    <w:pPr>
      <w:pBdr>
        <w:top w:val="nil"/>
        <w:left w:val="nil"/>
        <w:bottom w:val="single" w:sz="6" w:space="1" w:color="000000"/>
        <w:right w:val="nil"/>
        <w:between w:val="nil"/>
      </w:pBdr>
      <w:tabs>
        <w:tab w:val="center" w:pos="4153"/>
        <w:tab w:val="right" w:pos="8306"/>
      </w:tabs>
      <w:jc w:val="both"/>
      <w:rPr>
        <w:color w:val="00000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6CBC" w14:textId="77777777" w:rsidR="008A5D34" w:rsidRDefault="008A5D34">
    <w:pPr>
      <w:pBdr>
        <w:top w:val="nil"/>
        <w:left w:val="nil"/>
        <w:bottom w:val="single" w:sz="4" w:space="0" w:color="000000"/>
        <w:right w:val="nil"/>
        <w:between w:val="nil"/>
      </w:pBdr>
      <w:ind w:right="-57"/>
      <w:rPr>
        <w:b/>
        <w:i/>
        <w:color w:val="000000"/>
        <w:sz w:val="20"/>
        <w:szCs w:val="20"/>
      </w:rPr>
    </w:pPr>
    <w:r>
      <w:rPr>
        <w:b/>
        <w:i/>
        <w:smallCaps/>
        <w:color w:val="000000"/>
        <w:sz w:val="20"/>
        <w:szCs w:val="20"/>
      </w:rPr>
      <w:t>Appendix A – Formatting Instructions</w:t>
    </w:r>
  </w:p>
  <w:p w14:paraId="012F4C08"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1271"/>
        <w:tab w:val="left" w:pos="-551"/>
        <w:tab w:val="left" w:pos="169"/>
      </w:tabs>
      <w:spacing w:line="224" w:lineRule="auto"/>
      <w:jc w:val="both"/>
      <w:rPr>
        <w:b/>
        <w:smallCaps/>
        <w:color w:val="000000"/>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AB21" w14:textId="77777777" w:rsidR="008A5D34" w:rsidRDefault="008A5D34">
    <w:pPr>
      <w:pBdr>
        <w:top w:val="nil"/>
        <w:left w:val="nil"/>
        <w:bottom w:val="single" w:sz="4" w:space="0" w:color="000000"/>
        <w:right w:val="nil"/>
        <w:between w:val="nil"/>
      </w:pBdr>
      <w:ind w:right="-57"/>
      <w:rPr>
        <w:b/>
        <w:i/>
        <w:color w:val="000000"/>
        <w:sz w:val="20"/>
        <w:szCs w:val="20"/>
      </w:rPr>
    </w:pPr>
    <w:r>
      <w:rPr>
        <w:b/>
        <w:i/>
        <w:smallCaps/>
        <w:color w:val="000000"/>
        <w:sz w:val="20"/>
        <w:szCs w:val="20"/>
      </w:rPr>
      <w:t>Appendix B – Guidance Note</w:t>
    </w:r>
  </w:p>
  <w:p w14:paraId="756AE145"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1271"/>
        <w:tab w:val="left" w:pos="-551"/>
        <w:tab w:val="left" w:pos="169"/>
      </w:tabs>
      <w:spacing w:line="224" w:lineRule="auto"/>
      <w:jc w:val="both"/>
      <w:rPr>
        <w:b/>
        <w:smallCaps/>
        <w:color w:val="000000"/>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B461" w14:textId="77777777" w:rsidR="008A5D34" w:rsidRDefault="008A5D34">
    <w:pPr>
      <w:pBdr>
        <w:top w:val="nil"/>
        <w:left w:val="nil"/>
        <w:bottom w:val="single" w:sz="4" w:space="0" w:color="000000"/>
        <w:right w:val="nil"/>
        <w:between w:val="nil"/>
      </w:pBdr>
      <w:ind w:right="-57"/>
      <w:rPr>
        <w:b/>
        <w:i/>
        <w:color w:val="000000"/>
        <w:sz w:val="20"/>
        <w:szCs w:val="20"/>
      </w:rPr>
    </w:pPr>
    <w:r>
      <w:rPr>
        <w:b/>
        <w:i/>
        <w:smallCaps/>
        <w:color w:val="000000"/>
        <w:sz w:val="20"/>
        <w:szCs w:val="20"/>
      </w:rPr>
      <w:t>Appendix C – First Time Adoption Supplement</w:t>
    </w:r>
  </w:p>
  <w:p w14:paraId="40F7CFB2"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1271"/>
        <w:tab w:val="left" w:pos="-551"/>
        <w:tab w:val="left" w:pos="169"/>
      </w:tabs>
      <w:spacing w:line="224" w:lineRule="auto"/>
      <w:jc w:val="both"/>
      <w:rPr>
        <w:b/>
        <w:smallCaps/>
        <w:color w:val="000000"/>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3101" w14:textId="77777777" w:rsidR="008A5D34" w:rsidRDefault="008A5D34">
    <w:pPr>
      <w:pBdr>
        <w:top w:val="nil"/>
        <w:left w:val="nil"/>
        <w:bottom w:val="single" w:sz="4" w:space="0" w:color="000000"/>
        <w:right w:val="nil"/>
        <w:between w:val="nil"/>
      </w:pBdr>
      <w:ind w:right="-57"/>
      <w:rPr>
        <w:b/>
        <w:i/>
        <w:color w:val="000000"/>
        <w:sz w:val="20"/>
        <w:szCs w:val="20"/>
      </w:rPr>
    </w:pPr>
    <w:r>
      <w:rPr>
        <w:b/>
        <w:i/>
        <w:smallCaps/>
        <w:color w:val="000000"/>
        <w:sz w:val="20"/>
        <w:szCs w:val="20"/>
      </w:rPr>
      <w:t>Appendix D – Entities With Puttable Shares</w:t>
    </w:r>
  </w:p>
  <w:p w14:paraId="2F4FC64F"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1271"/>
        <w:tab w:val="left" w:pos="-551"/>
        <w:tab w:val="left" w:pos="169"/>
      </w:tabs>
      <w:spacing w:line="224" w:lineRule="auto"/>
      <w:jc w:val="both"/>
      <w:rPr>
        <w:b/>
        <w:smallCaps/>
        <w:color w:val="000000"/>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00C2" w14:textId="77777777" w:rsidR="008A5D34" w:rsidRDefault="008A5D34">
    <w:pPr>
      <w:pBdr>
        <w:top w:val="nil"/>
        <w:left w:val="nil"/>
        <w:bottom w:val="single" w:sz="4" w:space="0" w:color="000000"/>
        <w:right w:val="nil"/>
        <w:between w:val="nil"/>
      </w:pBdr>
      <w:ind w:right="-57"/>
      <w:rPr>
        <w:b/>
        <w:i/>
        <w:color w:val="000000"/>
        <w:sz w:val="20"/>
        <w:szCs w:val="20"/>
      </w:rPr>
    </w:pPr>
    <w:r>
      <w:rPr>
        <w:b/>
        <w:i/>
        <w:smallCaps/>
        <w:color w:val="000000"/>
        <w:sz w:val="20"/>
        <w:szCs w:val="20"/>
      </w:rPr>
      <w:t>Appendix E – Alternative Statement of Financial Position / Balance Sheet Format</w:t>
    </w:r>
  </w:p>
  <w:p w14:paraId="7D7C0AF5"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1271"/>
        <w:tab w:val="left" w:pos="-551"/>
        <w:tab w:val="left" w:pos="169"/>
      </w:tabs>
      <w:spacing w:line="224" w:lineRule="auto"/>
      <w:jc w:val="both"/>
      <w:rPr>
        <w:b/>
        <w:smallCaps/>
        <w:color w:val="000000"/>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12D3" w14:textId="77777777" w:rsidR="008A5D34" w:rsidRDefault="008A5D34">
    <w:pPr>
      <w:pBdr>
        <w:top w:val="nil"/>
        <w:left w:val="nil"/>
        <w:bottom w:val="single" w:sz="4" w:space="0" w:color="000000"/>
        <w:right w:val="nil"/>
        <w:between w:val="nil"/>
      </w:pBdr>
      <w:ind w:right="-57"/>
      <w:rPr>
        <w:i/>
        <w:color w:val="000000"/>
        <w:sz w:val="20"/>
        <w:szCs w:val="20"/>
      </w:rPr>
    </w:pPr>
    <w:r>
      <w:rPr>
        <w:b/>
        <w:i/>
        <w:smallCaps/>
        <w:color w:val="000000"/>
        <w:sz w:val="20"/>
        <w:szCs w:val="20"/>
      </w:rPr>
      <w:t>Appendix F – ALTERNATIVE INCOME STATEMENT / STATEMENT OF COMPR. INCOME FORMAT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53C9" w14:textId="77777777" w:rsidR="008A5D34" w:rsidRDefault="008A5D34">
    <w:pPr>
      <w:pBdr>
        <w:top w:val="nil"/>
        <w:left w:val="nil"/>
        <w:bottom w:val="single" w:sz="4" w:space="0" w:color="000000"/>
        <w:right w:val="nil"/>
        <w:between w:val="nil"/>
      </w:pBdr>
      <w:ind w:right="-57"/>
      <w:rPr>
        <w:i/>
        <w:color w:val="000000"/>
        <w:sz w:val="20"/>
        <w:szCs w:val="20"/>
      </w:rPr>
    </w:pPr>
    <w:r>
      <w:rPr>
        <w:b/>
        <w:i/>
        <w:smallCaps/>
        <w:color w:val="000000"/>
        <w:sz w:val="20"/>
        <w:szCs w:val="20"/>
      </w:rPr>
      <w:t>Appendix G – Share Based Payments</w:t>
    </w:r>
  </w:p>
  <w:p w14:paraId="69622CBE" w14:textId="77777777" w:rsidR="008A5D34" w:rsidRDefault="008A5D34">
    <w:pPr>
      <w:pBdr>
        <w:top w:val="nil"/>
        <w:left w:val="nil"/>
        <w:bottom w:val="single" w:sz="4" w:space="0" w:color="000000"/>
        <w:right w:val="nil"/>
        <w:between w:val="nil"/>
      </w:pBdr>
      <w:ind w:right="-57"/>
      <w:rPr>
        <w: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2314" w14:textId="77777777" w:rsidR="008A5D34" w:rsidRDefault="008A5D34">
    <w:pPr>
      <w:pBdr>
        <w:top w:val="nil"/>
        <w:left w:val="nil"/>
        <w:bottom w:val="none" w:sz="0" w:space="0" w:color="000000"/>
        <w:right w:val="nil"/>
        <w:between w:val="nil"/>
      </w:pBdr>
      <w:tabs>
        <w:tab w:val="center" w:pos="4153"/>
        <w:tab w:val="right" w:pos="8306"/>
      </w:tabs>
      <w:jc w:val="both"/>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FCAB"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ABC Group</w:t>
    </w:r>
  </w:p>
  <w:p w14:paraId="41D81997"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Notes to the Consolidated Financial Statements – 31 December 2022</w:t>
    </w:r>
  </w:p>
  <w:p w14:paraId="1A5A9E29" w14:textId="77777777" w:rsidR="008A5D34" w:rsidRDefault="008A5D34">
    <w:pPr>
      <w:pBdr>
        <w:top w:val="nil"/>
        <w:left w:val="nil"/>
        <w:bottom w:val="single" w:sz="4" w:space="1" w:color="000000"/>
        <w:right w:val="nil"/>
        <w:between w:val="nil"/>
      </w:pBdr>
      <w:tabs>
        <w:tab w:val="center" w:pos="4153"/>
        <w:tab w:val="right" w:pos="8306"/>
      </w:tabs>
      <w:jc w:val="both"/>
      <w:rPr>
        <w:color w:val="000000"/>
        <w:sz w:val="4"/>
        <w:szCs w:val="4"/>
      </w:rPr>
    </w:pPr>
  </w:p>
  <w:p w14:paraId="21723861" w14:textId="77777777" w:rsidR="008A5D34" w:rsidRDefault="008A5D34">
    <w:pPr>
      <w:pBdr>
        <w:top w:val="nil"/>
        <w:left w:val="nil"/>
        <w:bottom w:val="none" w:sz="0" w:space="0" w:color="000000"/>
        <w:right w:val="nil"/>
        <w:between w:val="nil"/>
      </w:pBdr>
      <w:tabs>
        <w:tab w:val="center" w:pos="4153"/>
        <w:tab w:val="right" w:pos="8306"/>
      </w:tabs>
      <w:jc w:val="both"/>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8E71" w14:textId="77777777" w:rsidR="008A5D34" w:rsidRDefault="008A5D34">
    <w:pPr>
      <w:pBdr>
        <w:top w:val="nil"/>
        <w:left w:val="nil"/>
        <w:bottom w:val="none" w:sz="0" w:space="0" w:color="000000"/>
        <w:right w:val="nil"/>
        <w:between w:val="nil"/>
      </w:pBdr>
      <w:tabs>
        <w:tab w:val="center" w:pos="4153"/>
        <w:tab w:val="right" w:pos="8306"/>
      </w:tabs>
      <w:jc w:val="both"/>
      <w:rPr>
        <w:color w:val="000000"/>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4B08"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ABC Group</w:t>
    </w:r>
  </w:p>
  <w:p w14:paraId="5E8F4A71" w14:textId="36409A26" w:rsidR="008A5D34" w:rsidRDefault="008A5D34" w:rsidP="007F183E">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i/>
        <w:color w:val="000000"/>
        <w:sz w:val="4"/>
        <w:szCs w:val="4"/>
      </w:rPr>
    </w:pPr>
    <w:r>
      <w:rPr>
        <w:b/>
        <w:i/>
        <w:color w:val="000000"/>
        <w:sz w:val="20"/>
        <w:szCs w:val="20"/>
      </w:rPr>
      <w:t>Consolidated Statement of Financial Position</w:t>
    </w:r>
  </w:p>
  <w:p w14:paraId="3A27A725" w14:textId="77777777" w:rsidR="008A5D34" w:rsidRDefault="008A5D3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88C3"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ABC Group</w:t>
    </w:r>
  </w:p>
  <w:p w14:paraId="02F270CB"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Consolidated Statement of Profit or Loss and Other Comprehensive Income</w:t>
    </w:r>
  </w:p>
  <w:p w14:paraId="29DDC7F5" w14:textId="77777777" w:rsidR="008A5D34" w:rsidRDefault="008A5D34">
    <w:pPr>
      <w:pBdr>
        <w:top w:val="nil"/>
        <w:left w:val="nil"/>
        <w:bottom w:val="single" w:sz="4" w:space="1" w:color="000000"/>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
        <w:szCs w:val="2"/>
      </w:rPr>
    </w:pPr>
  </w:p>
  <w:p w14:paraId="3C4CBBED" w14:textId="77777777" w:rsidR="008A5D34" w:rsidRDefault="008A5D34">
    <w:pPr>
      <w:pBdr>
        <w:top w:val="nil"/>
        <w:left w:val="nil"/>
        <w:bottom w:val="single" w:sz="4" w:space="1" w:color="000000"/>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
        <w:szCs w:val="2"/>
      </w:rPr>
    </w:pPr>
  </w:p>
  <w:p w14:paraId="66D24D3C"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2CE9E458"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23E9CCE0"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5B657D19"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5F7D0C1C"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8C4D"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ABC Group</w:t>
    </w:r>
  </w:p>
  <w:p w14:paraId="432D40C9"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Consolidated Statement of Profit or Loss and Other Comprehensive Income</w:t>
    </w:r>
  </w:p>
  <w:p w14:paraId="3A1B3E8E" w14:textId="77777777" w:rsidR="008A5D34" w:rsidRDefault="008A5D34">
    <w:pPr>
      <w:pBdr>
        <w:top w:val="nil"/>
        <w:left w:val="nil"/>
        <w:bottom w:val="single" w:sz="4" w:space="1" w:color="000000"/>
        <w:right w:val="nil"/>
        <w:between w:val="nil"/>
      </w:pBdr>
      <w:tabs>
        <w:tab w:val="center" w:pos="4153"/>
        <w:tab w:val="right" w:pos="8306"/>
      </w:tabs>
      <w:ind w:right="-57"/>
      <w:rPr>
        <w:i/>
        <w:color w:val="000000"/>
        <w:sz w:val="4"/>
        <w:szCs w:val="4"/>
      </w:rPr>
    </w:pPr>
  </w:p>
  <w:p w14:paraId="423B97C4"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033A0D4D"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651D074E"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25AE2E5B"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26351C92"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32AE"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ABC Group</w:t>
    </w:r>
  </w:p>
  <w:p w14:paraId="4FC30930"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Consolidated Statement of Cash Flows</w:t>
    </w:r>
  </w:p>
  <w:p w14:paraId="08445753" w14:textId="77777777" w:rsidR="008A5D34" w:rsidRDefault="008A5D34">
    <w:pPr>
      <w:pBdr>
        <w:top w:val="nil"/>
        <w:left w:val="nil"/>
        <w:bottom w:val="single" w:sz="4" w:space="1" w:color="000000"/>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
        <w:szCs w:val="2"/>
      </w:rPr>
    </w:pPr>
  </w:p>
  <w:p w14:paraId="40D6B94F" w14:textId="77777777" w:rsidR="008A5D34" w:rsidRDefault="008A5D34">
    <w:pPr>
      <w:pBdr>
        <w:top w:val="nil"/>
        <w:left w:val="nil"/>
        <w:bottom w:val="single" w:sz="4" w:space="1" w:color="000000"/>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
        <w:szCs w:val="2"/>
      </w:rPr>
    </w:pPr>
  </w:p>
  <w:p w14:paraId="088FE159"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p>
  <w:p w14:paraId="12C4B80D"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FBF0" w14:textId="77777777"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ABC Group</w:t>
    </w:r>
  </w:p>
  <w:p w14:paraId="763A1DB2" w14:textId="1BB70CA3" w:rsidR="008A5D34" w:rsidRDefault="008A5D34">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pacing w:line="224" w:lineRule="auto"/>
      <w:rPr>
        <w:b/>
        <w:i/>
        <w:color w:val="000000"/>
        <w:sz w:val="20"/>
        <w:szCs w:val="20"/>
      </w:rPr>
    </w:pPr>
    <w:r>
      <w:rPr>
        <w:b/>
        <w:i/>
        <w:color w:val="000000"/>
        <w:sz w:val="20"/>
        <w:szCs w:val="20"/>
      </w:rPr>
      <w:t>Notes to the Consolidated Financial Statements – 31 December 202</w:t>
    </w:r>
    <w:r w:rsidR="00127CEE">
      <w:rPr>
        <w:b/>
        <w:i/>
        <w:color w:val="000000"/>
        <w:sz w:val="20"/>
        <w:szCs w:val="20"/>
      </w:rPr>
      <w:t>5</w:t>
    </w:r>
  </w:p>
  <w:p w14:paraId="2E922B01" w14:textId="77777777" w:rsidR="008A5D34" w:rsidRDefault="008A5D34">
    <w:pPr>
      <w:pBdr>
        <w:top w:val="nil"/>
        <w:left w:val="nil"/>
        <w:bottom w:val="single" w:sz="4" w:space="1" w:color="000000"/>
        <w:right w:val="nil"/>
        <w:between w:val="nil"/>
      </w:pBdr>
      <w:tabs>
        <w:tab w:val="center" w:pos="4153"/>
        <w:tab w:val="right" w:pos="8306"/>
      </w:tabs>
      <w:ind w:right="-57"/>
      <w:rPr>
        <w:i/>
        <w:color w:val="000000"/>
        <w:sz w:val="4"/>
        <w:szCs w:val="4"/>
      </w:rPr>
    </w:pPr>
  </w:p>
  <w:p w14:paraId="38888A39"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692B83C6"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456B1F51"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399D3ED8"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p w14:paraId="6080A4D5" w14:textId="77777777" w:rsidR="008A5D34" w:rsidRDefault="008A5D34">
    <w:pPr>
      <w:pBdr>
        <w:top w:val="nil"/>
        <w:left w:val="nil"/>
        <w:bottom w:val="none" w:sz="0" w:space="0" w:color="000000"/>
        <w:right w:val="nil"/>
        <w:between w:val="nil"/>
      </w:pBdr>
      <w:tabs>
        <w:tab w:val="center" w:pos="4153"/>
        <w:tab w:val="right" w:pos="8306"/>
      </w:tabs>
      <w:ind w:right="-57"/>
      <w:rPr>
        <w:i/>
        <w:color w:val="00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B4F"/>
    <w:multiLevelType w:val="hybridMultilevel"/>
    <w:tmpl w:val="6A2E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6CE4"/>
    <w:multiLevelType w:val="multilevel"/>
    <w:tmpl w:val="820A2592"/>
    <w:lvl w:ilvl="0">
      <w:start w:val="1"/>
      <w:numFmt w:val="lowerLetter"/>
      <w:pStyle w:val="Reportbullet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1682A"/>
    <w:multiLevelType w:val="hybridMultilevel"/>
    <w:tmpl w:val="526C50A8"/>
    <w:lvl w:ilvl="0" w:tplc="C67C3540">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10FF0"/>
    <w:multiLevelType w:val="multilevel"/>
    <w:tmpl w:val="536A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C3A41"/>
    <w:multiLevelType w:val="multilevel"/>
    <w:tmpl w:val="7CC06CF0"/>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45505C"/>
    <w:multiLevelType w:val="multilevel"/>
    <w:tmpl w:val="3746EF46"/>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9DC71EA"/>
    <w:multiLevelType w:val="multilevel"/>
    <w:tmpl w:val="E2CA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33C33"/>
    <w:multiLevelType w:val="hybridMultilevel"/>
    <w:tmpl w:val="8196D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D52FE"/>
    <w:multiLevelType w:val="multilevel"/>
    <w:tmpl w:val="30CA3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D5B5DE3"/>
    <w:multiLevelType w:val="multilevel"/>
    <w:tmpl w:val="116A599E"/>
    <w:lvl w:ilvl="0">
      <w:start w:val="31"/>
      <w:numFmt w:val="bullet"/>
      <w:pStyle w:val="Heading3"/>
      <w:lvlText w:val="-"/>
      <w:lvlJc w:val="left"/>
      <w:pPr>
        <w:ind w:left="360" w:hanging="360"/>
      </w:pPr>
      <w:rPr>
        <w:rFonts w:ascii="Arial" w:eastAsia="Arial" w:hAnsi="Arial" w:cs="Arial"/>
        <w:color w:val="0000F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5900C3"/>
    <w:multiLevelType w:val="multilevel"/>
    <w:tmpl w:val="C2246F6E"/>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D9474D"/>
    <w:multiLevelType w:val="multilevel"/>
    <w:tmpl w:val="1D2EDF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3D85B41"/>
    <w:multiLevelType w:val="multilevel"/>
    <w:tmpl w:val="1DFCCBE0"/>
    <w:lvl w:ilvl="0">
      <w:start w:val="1"/>
      <w:numFmt w:val="bullet"/>
      <w:lvlText w:val="●"/>
      <w:lvlJc w:val="left"/>
      <w:pPr>
        <w:ind w:left="720" w:hanging="360"/>
      </w:pPr>
      <w:rPr>
        <w:rFonts w:ascii="Noto Sans Symbols" w:eastAsia="Noto Sans Symbols" w:hAnsi="Noto Sans Symbols" w:cs="Noto Sans Symbols"/>
        <w:color w:val="DC69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6B5C89"/>
    <w:multiLevelType w:val="multilevel"/>
    <w:tmpl w:val="97E0E3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93C267E"/>
    <w:multiLevelType w:val="hybridMultilevel"/>
    <w:tmpl w:val="B726A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7D1106"/>
    <w:multiLevelType w:val="multilevel"/>
    <w:tmpl w:val="F28C7A96"/>
    <w:lvl w:ilvl="0">
      <w:start w:val="1"/>
      <w:numFmt w:val="bullet"/>
      <w:pStyle w:val="Repor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6662FA1"/>
    <w:multiLevelType w:val="multilevel"/>
    <w:tmpl w:val="ED50A6F4"/>
    <w:lvl w:ilvl="0">
      <w:start w:val="3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462048"/>
    <w:multiLevelType w:val="multilevel"/>
    <w:tmpl w:val="3B0ED526"/>
    <w:lvl w:ilvl="0">
      <w:start w:val="1"/>
      <w:numFmt w:val="lowerRoman"/>
      <w:pStyle w:val="ListBullet"/>
      <w:lvlText w:val="(%1)"/>
      <w:lvlJc w:val="left"/>
      <w:pPr>
        <w:ind w:left="1080" w:hanging="720"/>
      </w:pPr>
    </w:lvl>
    <w:lvl w:ilvl="1">
      <w:start w:val="1"/>
      <w:numFmt w:val="lowerLetter"/>
      <w:pStyle w:val="ListBullet2"/>
      <w:lvlText w:val="%2."/>
      <w:lvlJc w:val="left"/>
      <w:pPr>
        <w:ind w:left="1440" w:hanging="360"/>
      </w:pPr>
    </w:lvl>
    <w:lvl w:ilvl="2">
      <w:start w:val="1"/>
      <w:numFmt w:val="lowerRoman"/>
      <w:pStyle w:val="ListBullet3"/>
      <w:lvlText w:val="%3."/>
      <w:lvlJc w:val="right"/>
      <w:pPr>
        <w:ind w:left="2160" w:hanging="180"/>
      </w:pPr>
    </w:lvl>
    <w:lvl w:ilvl="3">
      <w:start w:val="1"/>
      <w:numFmt w:val="decimal"/>
      <w:pStyle w:val="ListBullet4"/>
      <w:lvlText w:val="%4."/>
      <w:lvlJc w:val="left"/>
      <w:pPr>
        <w:ind w:left="2880" w:hanging="360"/>
      </w:pPr>
    </w:lvl>
    <w:lvl w:ilvl="4">
      <w:start w:val="1"/>
      <w:numFmt w:val="lowerLetter"/>
      <w:pStyle w:val="ListBullet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916D14"/>
    <w:multiLevelType w:val="multilevel"/>
    <w:tmpl w:val="CEC85A2A"/>
    <w:lvl w:ilvl="0">
      <w:start w:val="1"/>
      <w:numFmt w:val="lowerLetter"/>
      <w:pStyle w:val="Heading1"/>
      <w:lvlText w:val="(%1)"/>
      <w:lvlJc w:val="left"/>
      <w:pPr>
        <w:ind w:left="689" w:hanging="359"/>
      </w:pPr>
      <w:rPr>
        <w:b/>
        <w:i w:val="0"/>
        <w:color w:val="000000"/>
      </w:r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19" w15:restartNumberingAfterBreak="0">
    <w:nsid w:val="42FB6A49"/>
    <w:multiLevelType w:val="multilevel"/>
    <w:tmpl w:val="A51806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4053172"/>
    <w:multiLevelType w:val="hybridMultilevel"/>
    <w:tmpl w:val="452C3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115AC4"/>
    <w:multiLevelType w:val="multilevel"/>
    <w:tmpl w:val="C1A6A640"/>
    <w:lvl w:ilvl="0">
      <w:start w:val="1"/>
      <w:numFmt w:val="lowerRoman"/>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66233"/>
    <w:multiLevelType w:val="multilevel"/>
    <w:tmpl w:val="18A4A026"/>
    <w:lvl w:ilvl="0">
      <w:start w:val="1"/>
      <w:numFmt w:val="bullet"/>
      <w:pStyle w:val="ABCNotes"/>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FE321E"/>
    <w:multiLevelType w:val="multilevel"/>
    <w:tmpl w:val="DDC6AC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0E6273"/>
    <w:multiLevelType w:val="multilevel"/>
    <w:tmpl w:val="63C288D4"/>
    <w:lvl w:ilvl="0">
      <w:start w:val="1"/>
      <w:numFmt w:val="lowerRoman"/>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9D64FA"/>
    <w:multiLevelType w:val="multilevel"/>
    <w:tmpl w:val="8EDAA9BA"/>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80C0CCF"/>
    <w:multiLevelType w:val="multilevel"/>
    <w:tmpl w:val="073249F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1616D9"/>
    <w:multiLevelType w:val="multilevel"/>
    <w:tmpl w:val="C79AD18A"/>
    <w:lvl w:ilvl="0">
      <w:start w:val="1"/>
      <w:numFmt w:val="bullet"/>
      <w:pStyle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DDD22BD"/>
    <w:multiLevelType w:val="multilevel"/>
    <w:tmpl w:val="A75E65F2"/>
    <w:lvl w:ilvl="0">
      <w:start w:val="1"/>
      <w:numFmt w:val="decimal"/>
      <w:pStyle w:val="Bullet0"/>
      <w:lvlText w:val="%1"/>
      <w:lvlJc w:val="left"/>
      <w:pPr>
        <w:ind w:left="5039" w:hanging="360"/>
      </w:pPr>
      <w:rPr>
        <w:b/>
        <w:i w:val="0"/>
        <w:color w:val="000000"/>
        <w:sz w:val="20"/>
        <w:szCs w:val="20"/>
      </w:r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634F27F4"/>
    <w:multiLevelType w:val="multilevel"/>
    <w:tmpl w:val="C6A4FFD0"/>
    <w:lvl w:ilvl="0">
      <w:start w:val="4"/>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5B34CC2"/>
    <w:multiLevelType w:val="hybridMultilevel"/>
    <w:tmpl w:val="F124A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02576B"/>
    <w:multiLevelType w:val="multilevel"/>
    <w:tmpl w:val="FEB89074"/>
    <w:lvl w:ilvl="0">
      <w:start w:val="1"/>
      <w:numFmt w:val="lowerRoman"/>
      <w:pStyle w:val="ListNumber"/>
      <w:lvlText w:val="(%1)"/>
      <w:lvlJc w:val="left"/>
      <w:pPr>
        <w:ind w:left="1080" w:hanging="720"/>
      </w:p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pStyle w:val="ListNumber4"/>
      <w:lvlText w:val="%4."/>
      <w:lvlJc w:val="left"/>
      <w:pPr>
        <w:ind w:left="2880" w:hanging="360"/>
      </w:pPr>
    </w:lvl>
    <w:lvl w:ilvl="4">
      <w:start w:val="1"/>
      <w:numFmt w:val="lowerLetter"/>
      <w:pStyle w:val="ListNumber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8A0E57"/>
    <w:multiLevelType w:val="multilevel"/>
    <w:tmpl w:val="86003E50"/>
    <w:lvl w:ilvl="0">
      <w:start w:val="1"/>
      <w:numFmt w:val="bullet"/>
      <w:pStyle w:val="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B9045F3"/>
    <w:multiLevelType w:val="multilevel"/>
    <w:tmpl w:val="8242A338"/>
    <w:lvl w:ilvl="0">
      <w:start w:val="1"/>
      <w:numFmt w:val="lowerLetter"/>
      <w:pStyle w:val="bullets0"/>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C682A3D"/>
    <w:multiLevelType w:val="multilevel"/>
    <w:tmpl w:val="4810E2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6DFD5E25"/>
    <w:multiLevelType w:val="hybridMultilevel"/>
    <w:tmpl w:val="05A86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464CF0"/>
    <w:multiLevelType w:val="multilevel"/>
    <w:tmpl w:val="A7724BE2"/>
    <w:lvl w:ilvl="0">
      <w:start w:val="1"/>
      <w:numFmt w:val="lowerLetter"/>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891435"/>
    <w:multiLevelType w:val="multilevel"/>
    <w:tmpl w:val="E6DAF37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D7074B"/>
    <w:multiLevelType w:val="multilevel"/>
    <w:tmpl w:val="D9D20E1C"/>
    <w:lvl w:ilvl="0">
      <w:start w:val="21"/>
      <w:numFmt w:val="bullet"/>
      <w:pStyle w:val="Bullet1"/>
      <w:lvlText w:val="-"/>
      <w:lvlJc w:val="left"/>
      <w:pPr>
        <w:ind w:left="360" w:hanging="360"/>
      </w:pPr>
      <w:rPr>
        <w:rFonts w:ascii="Arial" w:eastAsia="Arial" w:hAnsi="Arial" w:cs="Arial"/>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DC6381"/>
    <w:multiLevelType w:val="multilevel"/>
    <w:tmpl w:val="4C524CA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7023BE"/>
    <w:multiLevelType w:val="multilevel"/>
    <w:tmpl w:val="B328845E"/>
    <w:lvl w:ilvl="0">
      <w:start w:val="1"/>
      <w:numFmt w:val="bullet"/>
      <w:pStyle w:val="ABC-BulletsinNotes"/>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92C66C1"/>
    <w:multiLevelType w:val="hybridMultilevel"/>
    <w:tmpl w:val="AD700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1423D4"/>
    <w:multiLevelType w:val="multilevel"/>
    <w:tmpl w:val="766A5F86"/>
    <w:lvl w:ilvl="0">
      <w:start w:val="1"/>
      <w:numFmt w:val="bullet"/>
      <w:pStyle w:val="ABCNumbered"/>
      <w:lvlText w:val="●"/>
      <w:lvlJc w:val="left"/>
      <w:pPr>
        <w:ind w:left="720" w:hanging="360"/>
      </w:pPr>
      <w:rPr>
        <w:rFonts w:ascii="Noto Sans Symbols" w:eastAsia="Noto Sans Symbols" w:hAnsi="Noto Sans Symbols" w:cs="Noto Sans Symbols"/>
      </w:rPr>
    </w:lvl>
    <w:lvl w:ilvl="1">
      <w:start w:val="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674F1E"/>
    <w:multiLevelType w:val="multilevel"/>
    <w:tmpl w:val="00A03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847144">
    <w:abstractNumId w:val="40"/>
  </w:num>
  <w:num w:numId="2" w16cid:durableId="358892289">
    <w:abstractNumId w:val="22"/>
  </w:num>
  <w:num w:numId="3" w16cid:durableId="573785131">
    <w:abstractNumId w:val="28"/>
  </w:num>
  <w:num w:numId="4" w16cid:durableId="35855877">
    <w:abstractNumId w:val="15"/>
  </w:num>
  <w:num w:numId="5" w16cid:durableId="960037303">
    <w:abstractNumId w:val="1"/>
  </w:num>
  <w:num w:numId="6" w16cid:durableId="174728204">
    <w:abstractNumId w:val="18"/>
  </w:num>
  <w:num w:numId="7" w16cid:durableId="1692603522">
    <w:abstractNumId w:val="42"/>
  </w:num>
  <w:num w:numId="8" w16cid:durableId="1623881908">
    <w:abstractNumId w:val="16"/>
  </w:num>
  <w:num w:numId="9" w16cid:durableId="1775514803">
    <w:abstractNumId w:val="38"/>
  </w:num>
  <w:num w:numId="10" w16cid:durableId="404841351">
    <w:abstractNumId w:val="27"/>
  </w:num>
  <w:num w:numId="11" w16cid:durableId="1284072666">
    <w:abstractNumId w:val="34"/>
  </w:num>
  <w:num w:numId="12" w16cid:durableId="405424662">
    <w:abstractNumId w:val="8"/>
  </w:num>
  <w:num w:numId="13" w16cid:durableId="1643655216">
    <w:abstractNumId w:val="5"/>
  </w:num>
  <w:num w:numId="14" w16cid:durableId="1607616394">
    <w:abstractNumId w:val="29"/>
  </w:num>
  <w:num w:numId="15" w16cid:durableId="1774594890">
    <w:abstractNumId w:val="4"/>
  </w:num>
  <w:num w:numId="16" w16cid:durableId="1170021648">
    <w:abstractNumId w:val="26"/>
  </w:num>
  <w:num w:numId="17" w16cid:durableId="1489250818">
    <w:abstractNumId w:val="12"/>
  </w:num>
  <w:num w:numId="18" w16cid:durableId="1285771460">
    <w:abstractNumId w:val="23"/>
  </w:num>
  <w:num w:numId="19" w16cid:durableId="795218782">
    <w:abstractNumId w:val="9"/>
  </w:num>
  <w:num w:numId="20" w16cid:durableId="1751653218">
    <w:abstractNumId w:val="19"/>
  </w:num>
  <w:num w:numId="21" w16cid:durableId="1586839004">
    <w:abstractNumId w:val="36"/>
  </w:num>
  <w:num w:numId="22" w16cid:durableId="1517308098">
    <w:abstractNumId w:val="11"/>
  </w:num>
  <w:num w:numId="23" w16cid:durableId="1057239270">
    <w:abstractNumId w:val="43"/>
  </w:num>
  <w:num w:numId="24" w16cid:durableId="40519846">
    <w:abstractNumId w:val="39"/>
  </w:num>
  <w:num w:numId="25" w16cid:durableId="227309388">
    <w:abstractNumId w:val="37"/>
  </w:num>
  <w:num w:numId="26" w16cid:durableId="1596669867">
    <w:abstractNumId w:val="17"/>
  </w:num>
  <w:num w:numId="27" w16cid:durableId="58750821">
    <w:abstractNumId w:val="31"/>
  </w:num>
  <w:num w:numId="28" w16cid:durableId="743452777">
    <w:abstractNumId w:val="32"/>
  </w:num>
  <w:num w:numId="29" w16cid:durableId="1251739012">
    <w:abstractNumId w:val="25"/>
  </w:num>
  <w:num w:numId="30" w16cid:durableId="681514219">
    <w:abstractNumId w:val="33"/>
  </w:num>
  <w:num w:numId="31" w16cid:durableId="1639989820">
    <w:abstractNumId w:val="10"/>
  </w:num>
  <w:num w:numId="32" w16cid:durableId="1136030204">
    <w:abstractNumId w:val="13"/>
  </w:num>
  <w:num w:numId="33" w16cid:durableId="1874728038">
    <w:abstractNumId w:val="24"/>
  </w:num>
  <w:num w:numId="34" w16cid:durableId="1417483646">
    <w:abstractNumId w:val="21"/>
  </w:num>
  <w:num w:numId="35" w16cid:durableId="577055527">
    <w:abstractNumId w:val="20"/>
  </w:num>
  <w:num w:numId="36" w16cid:durableId="1278485856">
    <w:abstractNumId w:val="7"/>
  </w:num>
  <w:num w:numId="37" w16cid:durableId="949700655">
    <w:abstractNumId w:val="9"/>
  </w:num>
  <w:num w:numId="38" w16cid:durableId="1066604706">
    <w:abstractNumId w:val="9"/>
  </w:num>
  <w:num w:numId="39" w16cid:durableId="1499997723">
    <w:abstractNumId w:val="9"/>
  </w:num>
  <w:num w:numId="40" w16cid:durableId="185825565">
    <w:abstractNumId w:val="14"/>
  </w:num>
  <w:num w:numId="41" w16cid:durableId="2037655844">
    <w:abstractNumId w:val="41"/>
  </w:num>
  <w:num w:numId="42" w16cid:durableId="1243830594">
    <w:abstractNumId w:val="2"/>
  </w:num>
  <w:num w:numId="43" w16cid:durableId="1652976679">
    <w:abstractNumId w:val="30"/>
  </w:num>
  <w:num w:numId="44" w16cid:durableId="525219039">
    <w:abstractNumId w:val="3"/>
  </w:num>
  <w:num w:numId="45" w16cid:durableId="2035115067">
    <w:abstractNumId w:val="6"/>
  </w:num>
  <w:num w:numId="46" w16cid:durableId="1846552387">
    <w:abstractNumId w:val="0"/>
  </w:num>
  <w:num w:numId="47" w16cid:durableId="17819952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DE4"/>
    <w:rsid w:val="00004CF2"/>
    <w:rsid w:val="00007E91"/>
    <w:rsid w:val="00010D4F"/>
    <w:rsid w:val="0001564D"/>
    <w:rsid w:val="0001595A"/>
    <w:rsid w:val="00021B20"/>
    <w:rsid w:val="00021E57"/>
    <w:rsid w:val="00024122"/>
    <w:rsid w:val="00036920"/>
    <w:rsid w:val="00047D66"/>
    <w:rsid w:val="00055CF1"/>
    <w:rsid w:val="000621C9"/>
    <w:rsid w:val="00063A87"/>
    <w:rsid w:val="00072FBF"/>
    <w:rsid w:val="00080B6A"/>
    <w:rsid w:val="00081021"/>
    <w:rsid w:val="00084BC3"/>
    <w:rsid w:val="00090491"/>
    <w:rsid w:val="000A1EF4"/>
    <w:rsid w:val="000A3016"/>
    <w:rsid w:val="000B2120"/>
    <w:rsid w:val="000B4C99"/>
    <w:rsid w:val="000C0F2E"/>
    <w:rsid w:val="000C1F8F"/>
    <w:rsid w:val="000F1FB6"/>
    <w:rsid w:val="000F4F1B"/>
    <w:rsid w:val="000F6169"/>
    <w:rsid w:val="00120C03"/>
    <w:rsid w:val="00127CEE"/>
    <w:rsid w:val="00144E7E"/>
    <w:rsid w:val="001466A4"/>
    <w:rsid w:val="00147C37"/>
    <w:rsid w:val="00150BDF"/>
    <w:rsid w:val="00153D88"/>
    <w:rsid w:val="0015428A"/>
    <w:rsid w:val="00160220"/>
    <w:rsid w:val="00162A99"/>
    <w:rsid w:val="0016339B"/>
    <w:rsid w:val="0016725E"/>
    <w:rsid w:val="001759D5"/>
    <w:rsid w:val="00176789"/>
    <w:rsid w:val="00181448"/>
    <w:rsid w:val="00192AAD"/>
    <w:rsid w:val="001A4C43"/>
    <w:rsid w:val="001E1D86"/>
    <w:rsid w:val="001E2226"/>
    <w:rsid w:val="001E241C"/>
    <w:rsid w:val="001F5F14"/>
    <w:rsid w:val="00203DA9"/>
    <w:rsid w:val="002170CE"/>
    <w:rsid w:val="002320B9"/>
    <w:rsid w:val="002337C5"/>
    <w:rsid w:val="002753D3"/>
    <w:rsid w:val="002756E4"/>
    <w:rsid w:val="002A32E6"/>
    <w:rsid w:val="002C4090"/>
    <w:rsid w:val="002D1669"/>
    <w:rsid w:val="002E6FE7"/>
    <w:rsid w:val="00301EAF"/>
    <w:rsid w:val="00321446"/>
    <w:rsid w:val="00323185"/>
    <w:rsid w:val="00327B7A"/>
    <w:rsid w:val="0033095C"/>
    <w:rsid w:val="00344DF9"/>
    <w:rsid w:val="00354B26"/>
    <w:rsid w:val="00357DE9"/>
    <w:rsid w:val="0036079A"/>
    <w:rsid w:val="003631AC"/>
    <w:rsid w:val="00363EFD"/>
    <w:rsid w:val="00364A88"/>
    <w:rsid w:val="0037263C"/>
    <w:rsid w:val="00380C79"/>
    <w:rsid w:val="00384C09"/>
    <w:rsid w:val="00386AA7"/>
    <w:rsid w:val="00391DA7"/>
    <w:rsid w:val="00393E99"/>
    <w:rsid w:val="00397FE6"/>
    <w:rsid w:val="003A249D"/>
    <w:rsid w:val="003A5D52"/>
    <w:rsid w:val="003C1F1F"/>
    <w:rsid w:val="003C72D1"/>
    <w:rsid w:val="003D6D19"/>
    <w:rsid w:val="003E2A11"/>
    <w:rsid w:val="004131BB"/>
    <w:rsid w:val="004301A1"/>
    <w:rsid w:val="00431618"/>
    <w:rsid w:val="00435D5B"/>
    <w:rsid w:val="00436EC4"/>
    <w:rsid w:val="004461E9"/>
    <w:rsid w:val="00450444"/>
    <w:rsid w:val="00450EEF"/>
    <w:rsid w:val="00452273"/>
    <w:rsid w:val="00455137"/>
    <w:rsid w:val="004553AF"/>
    <w:rsid w:val="00455E5C"/>
    <w:rsid w:val="00480895"/>
    <w:rsid w:val="00480EED"/>
    <w:rsid w:val="00487572"/>
    <w:rsid w:val="004A07DC"/>
    <w:rsid w:val="004A4AE1"/>
    <w:rsid w:val="004B15B2"/>
    <w:rsid w:val="004D01D4"/>
    <w:rsid w:val="004D30F4"/>
    <w:rsid w:val="004E025D"/>
    <w:rsid w:val="004E4CE3"/>
    <w:rsid w:val="004F41E2"/>
    <w:rsid w:val="004F73E7"/>
    <w:rsid w:val="004F7B96"/>
    <w:rsid w:val="00504BB1"/>
    <w:rsid w:val="00515099"/>
    <w:rsid w:val="00515E7A"/>
    <w:rsid w:val="00516424"/>
    <w:rsid w:val="00522705"/>
    <w:rsid w:val="00531851"/>
    <w:rsid w:val="00531F06"/>
    <w:rsid w:val="00562B99"/>
    <w:rsid w:val="00566DD2"/>
    <w:rsid w:val="00584412"/>
    <w:rsid w:val="00597485"/>
    <w:rsid w:val="005A779C"/>
    <w:rsid w:val="005B7FD0"/>
    <w:rsid w:val="005C5333"/>
    <w:rsid w:val="005E1C93"/>
    <w:rsid w:val="005E3E0D"/>
    <w:rsid w:val="005E5929"/>
    <w:rsid w:val="005E6923"/>
    <w:rsid w:val="005F557E"/>
    <w:rsid w:val="005F67FE"/>
    <w:rsid w:val="00607011"/>
    <w:rsid w:val="0060707C"/>
    <w:rsid w:val="00612FB5"/>
    <w:rsid w:val="00622667"/>
    <w:rsid w:val="00641927"/>
    <w:rsid w:val="006423CA"/>
    <w:rsid w:val="00646553"/>
    <w:rsid w:val="00671EB8"/>
    <w:rsid w:val="0068263C"/>
    <w:rsid w:val="006A15AF"/>
    <w:rsid w:val="006C0EBD"/>
    <w:rsid w:val="006C0F26"/>
    <w:rsid w:val="006E52C3"/>
    <w:rsid w:val="006E7E51"/>
    <w:rsid w:val="006F2244"/>
    <w:rsid w:val="006F68D0"/>
    <w:rsid w:val="00700EC4"/>
    <w:rsid w:val="00703EAB"/>
    <w:rsid w:val="00706FCB"/>
    <w:rsid w:val="007101D0"/>
    <w:rsid w:val="00726AE8"/>
    <w:rsid w:val="0073399A"/>
    <w:rsid w:val="00734002"/>
    <w:rsid w:val="00735363"/>
    <w:rsid w:val="007356C2"/>
    <w:rsid w:val="00736A5E"/>
    <w:rsid w:val="00740675"/>
    <w:rsid w:val="00743785"/>
    <w:rsid w:val="00744F8B"/>
    <w:rsid w:val="00746612"/>
    <w:rsid w:val="007506C0"/>
    <w:rsid w:val="00762DDC"/>
    <w:rsid w:val="007652E2"/>
    <w:rsid w:val="00766359"/>
    <w:rsid w:val="007724D6"/>
    <w:rsid w:val="00776315"/>
    <w:rsid w:val="00780368"/>
    <w:rsid w:val="007B41E4"/>
    <w:rsid w:val="007B5FEB"/>
    <w:rsid w:val="007F183E"/>
    <w:rsid w:val="007F33CC"/>
    <w:rsid w:val="007F5B50"/>
    <w:rsid w:val="007F5C08"/>
    <w:rsid w:val="00806C4F"/>
    <w:rsid w:val="00831ED1"/>
    <w:rsid w:val="00837DC9"/>
    <w:rsid w:val="00844C35"/>
    <w:rsid w:val="0085674F"/>
    <w:rsid w:val="008614F8"/>
    <w:rsid w:val="00870140"/>
    <w:rsid w:val="00870F0D"/>
    <w:rsid w:val="00873AD4"/>
    <w:rsid w:val="0088327A"/>
    <w:rsid w:val="008841ED"/>
    <w:rsid w:val="00890EB0"/>
    <w:rsid w:val="008A5D34"/>
    <w:rsid w:val="008B5A35"/>
    <w:rsid w:val="008C36DE"/>
    <w:rsid w:val="008C59AA"/>
    <w:rsid w:val="008D4BA7"/>
    <w:rsid w:val="008D7B0C"/>
    <w:rsid w:val="008E3A2D"/>
    <w:rsid w:val="008E5DE4"/>
    <w:rsid w:val="008F49E3"/>
    <w:rsid w:val="008F604A"/>
    <w:rsid w:val="008F66B0"/>
    <w:rsid w:val="008F66B6"/>
    <w:rsid w:val="0090435C"/>
    <w:rsid w:val="00912B42"/>
    <w:rsid w:val="00924C07"/>
    <w:rsid w:val="00940E55"/>
    <w:rsid w:val="00947512"/>
    <w:rsid w:val="009573F8"/>
    <w:rsid w:val="009846A6"/>
    <w:rsid w:val="00984A81"/>
    <w:rsid w:val="009D6ED6"/>
    <w:rsid w:val="009E271D"/>
    <w:rsid w:val="009E2AA8"/>
    <w:rsid w:val="009E5EF8"/>
    <w:rsid w:val="009E6792"/>
    <w:rsid w:val="009F0991"/>
    <w:rsid w:val="009F2BAA"/>
    <w:rsid w:val="009F7F0D"/>
    <w:rsid w:val="00A05C32"/>
    <w:rsid w:val="00A0666E"/>
    <w:rsid w:val="00A22147"/>
    <w:rsid w:val="00A22F50"/>
    <w:rsid w:val="00A445F2"/>
    <w:rsid w:val="00A4561E"/>
    <w:rsid w:val="00A46633"/>
    <w:rsid w:val="00A53874"/>
    <w:rsid w:val="00A60329"/>
    <w:rsid w:val="00A76CF1"/>
    <w:rsid w:val="00A92F1C"/>
    <w:rsid w:val="00A978C6"/>
    <w:rsid w:val="00AA37EE"/>
    <w:rsid w:val="00AC0D9D"/>
    <w:rsid w:val="00AC0EA9"/>
    <w:rsid w:val="00AC11B9"/>
    <w:rsid w:val="00AC7FF8"/>
    <w:rsid w:val="00AD3465"/>
    <w:rsid w:val="00AD4F80"/>
    <w:rsid w:val="00AE2E64"/>
    <w:rsid w:val="00AF048E"/>
    <w:rsid w:val="00AF148B"/>
    <w:rsid w:val="00AF5161"/>
    <w:rsid w:val="00B02E2F"/>
    <w:rsid w:val="00B034AB"/>
    <w:rsid w:val="00B31175"/>
    <w:rsid w:val="00B352B9"/>
    <w:rsid w:val="00B42BAF"/>
    <w:rsid w:val="00B46135"/>
    <w:rsid w:val="00B51387"/>
    <w:rsid w:val="00B520AA"/>
    <w:rsid w:val="00B53BA3"/>
    <w:rsid w:val="00B63D4E"/>
    <w:rsid w:val="00B801D8"/>
    <w:rsid w:val="00B97E0C"/>
    <w:rsid w:val="00BA59C4"/>
    <w:rsid w:val="00BB1486"/>
    <w:rsid w:val="00BB4A35"/>
    <w:rsid w:val="00BB70ED"/>
    <w:rsid w:val="00BC35D0"/>
    <w:rsid w:val="00BC7E7A"/>
    <w:rsid w:val="00BD62D7"/>
    <w:rsid w:val="00BF6818"/>
    <w:rsid w:val="00BF6E60"/>
    <w:rsid w:val="00C07603"/>
    <w:rsid w:val="00C17D95"/>
    <w:rsid w:val="00C30AB4"/>
    <w:rsid w:val="00C41251"/>
    <w:rsid w:val="00C41B8C"/>
    <w:rsid w:val="00C5375F"/>
    <w:rsid w:val="00C91077"/>
    <w:rsid w:val="00CA137B"/>
    <w:rsid w:val="00CA4A7E"/>
    <w:rsid w:val="00CA5426"/>
    <w:rsid w:val="00CB22C7"/>
    <w:rsid w:val="00CB358C"/>
    <w:rsid w:val="00CC026D"/>
    <w:rsid w:val="00CC51B7"/>
    <w:rsid w:val="00CD2065"/>
    <w:rsid w:val="00CE3B98"/>
    <w:rsid w:val="00CE62BB"/>
    <w:rsid w:val="00CF281D"/>
    <w:rsid w:val="00CF2E40"/>
    <w:rsid w:val="00CF3327"/>
    <w:rsid w:val="00CF3EC7"/>
    <w:rsid w:val="00CF4449"/>
    <w:rsid w:val="00D133FF"/>
    <w:rsid w:val="00D14A17"/>
    <w:rsid w:val="00D2010C"/>
    <w:rsid w:val="00D21182"/>
    <w:rsid w:val="00D266F1"/>
    <w:rsid w:val="00D32D8C"/>
    <w:rsid w:val="00D34C81"/>
    <w:rsid w:val="00D713AE"/>
    <w:rsid w:val="00D73283"/>
    <w:rsid w:val="00D772C7"/>
    <w:rsid w:val="00D77795"/>
    <w:rsid w:val="00D80024"/>
    <w:rsid w:val="00D85411"/>
    <w:rsid w:val="00D901F3"/>
    <w:rsid w:val="00D92DD7"/>
    <w:rsid w:val="00D939BF"/>
    <w:rsid w:val="00D96385"/>
    <w:rsid w:val="00DA0EC1"/>
    <w:rsid w:val="00DA27B2"/>
    <w:rsid w:val="00DA63C4"/>
    <w:rsid w:val="00DB020A"/>
    <w:rsid w:val="00DC190B"/>
    <w:rsid w:val="00DC46B1"/>
    <w:rsid w:val="00DF1222"/>
    <w:rsid w:val="00DF6F77"/>
    <w:rsid w:val="00DF742A"/>
    <w:rsid w:val="00E02179"/>
    <w:rsid w:val="00E03406"/>
    <w:rsid w:val="00E06A92"/>
    <w:rsid w:val="00E07C8F"/>
    <w:rsid w:val="00E15FDC"/>
    <w:rsid w:val="00E17CF9"/>
    <w:rsid w:val="00E23555"/>
    <w:rsid w:val="00E303C0"/>
    <w:rsid w:val="00E65794"/>
    <w:rsid w:val="00E75BE1"/>
    <w:rsid w:val="00E76722"/>
    <w:rsid w:val="00E76D85"/>
    <w:rsid w:val="00E81556"/>
    <w:rsid w:val="00E85803"/>
    <w:rsid w:val="00E87E9A"/>
    <w:rsid w:val="00E939BE"/>
    <w:rsid w:val="00E95131"/>
    <w:rsid w:val="00EB4C16"/>
    <w:rsid w:val="00EC0459"/>
    <w:rsid w:val="00ED0930"/>
    <w:rsid w:val="00ED1344"/>
    <w:rsid w:val="00EE0312"/>
    <w:rsid w:val="00EF0D5B"/>
    <w:rsid w:val="00EF5651"/>
    <w:rsid w:val="00F36B13"/>
    <w:rsid w:val="00F42E9D"/>
    <w:rsid w:val="00F438C2"/>
    <w:rsid w:val="00F478C6"/>
    <w:rsid w:val="00F560BE"/>
    <w:rsid w:val="00F87C38"/>
    <w:rsid w:val="00F93586"/>
    <w:rsid w:val="00FA3B9A"/>
    <w:rsid w:val="00FC134E"/>
    <w:rsid w:val="00FD1361"/>
    <w:rsid w:val="00FD1B66"/>
    <w:rsid w:val="00FD4447"/>
    <w:rsid w:val="00FF468A"/>
    <w:rsid w:val="00FF4E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D75D7"/>
  <w15:docId w15:val="{B7E60D77-D551-4466-BB18-CA0CFA18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GB"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988"/>
    <w:rPr>
      <w:lang w:eastAsia="en-US"/>
    </w:rPr>
  </w:style>
  <w:style w:type="paragraph" w:styleId="Heading1">
    <w:name w:val="heading 1"/>
    <w:basedOn w:val="Normal"/>
    <w:next w:val="Normal"/>
    <w:link w:val="Heading1Char1"/>
    <w:uiPriority w:val="9"/>
    <w:qFormat/>
    <w:rsid w:val="00D607E9"/>
    <w:pPr>
      <w:keepNext/>
      <w:widowControl w:val="0"/>
      <w:numPr>
        <w:numId w:val="6"/>
      </w:numPr>
      <w:spacing w:before="480" w:after="240"/>
      <w:outlineLvl w:val="0"/>
    </w:pPr>
    <w:rPr>
      <w:b/>
      <w:kern w:val="28"/>
      <w:sz w:val="20"/>
    </w:rPr>
  </w:style>
  <w:style w:type="paragraph" w:styleId="Heading2">
    <w:name w:val="heading 2"/>
    <w:basedOn w:val="Normal"/>
    <w:next w:val="Normal"/>
    <w:link w:val="Heading2Char"/>
    <w:uiPriority w:val="9"/>
    <w:semiHidden/>
    <w:unhideWhenUsed/>
    <w:qFormat/>
    <w:rsid w:val="005F5D7E"/>
    <w:pPr>
      <w:keepNext/>
      <w:spacing w:before="240" w:after="60"/>
      <w:outlineLvl w:val="1"/>
    </w:pPr>
    <w:rPr>
      <w:b/>
      <w:i/>
      <w:sz w:val="24"/>
    </w:rPr>
  </w:style>
  <w:style w:type="paragraph" w:styleId="Heading3">
    <w:name w:val="heading 3"/>
    <w:basedOn w:val="Normal"/>
    <w:next w:val="Normal"/>
    <w:link w:val="Heading3Char"/>
    <w:uiPriority w:val="9"/>
    <w:unhideWhenUsed/>
    <w:qFormat/>
    <w:rsid w:val="00467E40"/>
    <w:pPr>
      <w:keepNext/>
      <w:keepLines/>
      <w:numPr>
        <w:numId w:val="19"/>
      </w:numPr>
      <w:tabs>
        <w:tab w:val="left" w:pos="2483"/>
        <w:tab w:val="left" w:pos="2597"/>
        <w:tab w:val="left" w:pos="4154"/>
        <w:tab w:val="left" w:pos="5963"/>
        <w:tab w:val="left" w:pos="7495"/>
        <w:tab w:val="left" w:pos="9192"/>
      </w:tabs>
      <w:outlineLvl w:val="2"/>
    </w:pPr>
    <w:rPr>
      <w:b/>
    </w:rPr>
  </w:style>
  <w:style w:type="paragraph" w:styleId="Heading4">
    <w:name w:val="heading 4"/>
    <w:basedOn w:val="Normal"/>
    <w:next w:val="Normal"/>
    <w:link w:val="Heading4Char"/>
    <w:uiPriority w:val="9"/>
    <w:semiHidden/>
    <w:unhideWhenUsed/>
    <w:qFormat/>
    <w:rsid w:val="005F5D7E"/>
    <w:pPr>
      <w:keepNext/>
      <w:outlineLvl w:val="3"/>
    </w:pPr>
    <w:rPr>
      <w:u w:val="single"/>
    </w:rPr>
  </w:style>
  <w:style w:type="paragraph" w:styleId="Heading5">
    <w:name w:val="heading 5"/>
    <w:basedOn w:val="Normal"/>
    <w:next w:val="Normal"/>
    <w:link w:val="Heading5Char"/>
    <w:uiPriority w:val="9"/>
    <w:semiHidden/>
    <w:unhideWhenUsed/>
    <w:qFormat/>
    <w:rsid w:val="005F5D7E"/>
    <w:pPr>
      <w:keepNext/>
      <w:spacing w:after="240"/>
      <w:ind w:left="709"/>
      <w:jc w:val="both"/>
      <w:outlineLvl w:val="4"/>
    </w:pPr>
    <w:rPr>
      <w:sz w:val="24"/>
    </w:rPr>
  </w:style>
  <w:style w:type="paragraph" w:styleId="Heading6">
    <w:name w:val="heading 6"/>
    <w:basedOn w:val="Normal"/>
    <w:next w:val="Normal"/>
    <w:link w:val="Heading6Char"/>
    <w:uiPriority w:val="9"/>
    <w:semiHidden/>
    <w:unhideWhenUsed/>
    <w:qFormat/>
    <w:rsid w:val="005F5D7E"/>
    <w:pPr>
      <w:keepNext/>
      <w:keepLines/>
      <w:ind w:left="228" w:hanging="228"/>
      <w:outlineLvl w:val="5"/>
    </w:pPr>
    <w:rPr>
      <w:b/>
    </w:rPr>
  </w:style>
  <w:style w:type="paragraph" w:styleId="Heading7">
    <w:name w:val="heading 7"/>
    <w:basedOn w:val="Normal"/>
    <w:next w:val="Normal"/>
    <w:link w:val="Heading7Char"/>
    <w:rsid w:val="005F5D7E"/>
    <w:pPr>
      <w:keepNext/>
      <w:ind w:left="228" w:hanging="228"/>
      <w:outlineLvl w:val="6"/>
    </w:pPr>
    <w:rPr>
      <w:b/>
      <w:sz w:val="24"/>
    </w:rPr>
  </w:style>
  <w:style w:type="paragraph" w:styleId="Heading8">
    <w:name w:val="heading 8"/>
    <w:basedOn w:val="Normal"/>
    <w:next w:val="Normal"/>
    <w:link w:val="Heading8Char"/>
    <w:rsid w:val="005F5D7E"/>
    <w:pPr>
      <w:keepNext/>
      <w:keepLines/>
      <w:ind w:left="228" w:hanging="228"/>
      <w:outlineLvl w:val="7"/>
    </w:pPr>
    <w:rPr>
      <w:b/>
    </w:rPr>
  </w:style>
  <w:style w:type="paragraph" w:styleId="Heading9">
    <w:name w:val="heading 9"/>
    <w:basedOn w:val="Normal"/>
    <w:next w:val="Normal"/>
    <w:link w:val="Heading9Char"/>
    <w:rsid w:val="005F5D7E"/>
    <w:pPr>
      <w:keepNext/>
      <w:keepLines/>
      <w:ind w:right="7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itreABC2">
    <w:name w:val="Titre ABC2"/>
    <w:basedOn w:val="Index2"/>
    <w:rsid w:val="005F5D7E"/>
    <w:pPr>
      <w:ind w:left="198" w:hanging="198"/>
    </w:pPr>
    <w:rPr>
      <w:b/>
      <w:lang w:val="en-US"/>
    </w:rPr>
  </w:style>
  <w:style w:type="paragraph" w:styleId="Index2">
    <w:name w:val="index 2"/>
    <w:basedOn w:val="Normal"/>
    <w:next w:val="Normal"/>
    <w:semiHidden/>
    <w:rsid w:val="005F5D7E"/>
    <w:pPr>
      <w:tabs>
        <w:tab w:val="right" w:leader="dot" w:pos="8782"/>
      </w:tabs>
      <w:ind w:left="400" w:hanging="200"/>
    </w:pPr>
  </w:style>
  <w:style w:type="paragraph" w:customStyle="1" w:styleId="ABCTitle">
    <w:name w:val="ABC Title"/>
    <w:basedOn w:val="Heading2"/>
    <w:rsid w:val="004E3CFE"/>
    <w:pPr>
      <w:tabs>
        <w:tab w:val="left" w:pos="2268"/>
      </w:tabs>
      <w:spacing w:before="60" w:after="0"/>
      <w:outlineLvl w:val="9"/>
    </w:pPr>
    <w:rPr>
      <w:i w:val="0"/>
      <w:smallCaps/>
      <w:sz w:val="20"/>
      <w:lang w:val="en-US"/>
    </w:rPr>
  </w:style>
  <w:style w:type="paragraph" w:customStyle="1" w:styleId="Name">
    <w:name w:val="Name"/>
    <w:rsid w:val="004E3CFE"/>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b/>
      <w:smallCaps/>
      <w:spacing w:val="-2"/>
      <w:lang w:eastAsia="en-US"/>
    </w:rPr>
  </w:style>
  <w:style w:type="paragraph" w:styleId="Index1">
    <w:name w:val="index 1"/>
    <w:basedOn w:val="Normal"/>
    <w:next w:val="Normal"/>
    <w:autoRedefine/>
    <w:semiHidden/>
    <w:rsid w:val="00DC784F"/>
    <w:pPr>
      <w:ind w:left="-28" w:hanging="85"/>
      <w:jc w:val="center"/>
    </w:pPr>
    <w:rPr>
      <w:i/>
      <w:lang w:val="en-US"/>
    </w:rPr>
  </w:style>
  <w:style w:type="paragraph" w:styleId="TOC1">
    <w:name w:val="toc 1"/>
    <w:basedOn w:val="Normal"/>
    <w:next w:val="Normal"/>
    <w:autoRedefine/>
    <w:uiPriority w:val="39"/>
    <w:rsid w:val="006168C2"/>
    <w:pPr>
      <w:tabs>
        <w:tab w:val="right" w:leader="dot" w:pos="9345"/>
      </w:tabs>
      <w:ind w:left="567" w:hanging="567"/>
    </w:pPr>
    <w:rPr>
      <w:sz w:val="20"/>
    </w:rPr>
  </w:style>
  <w:style w:type="paragraph" w:styleId="TOC2">
    <w:name w:val="toc 2"/>
    <w:basedOn w:val="Normal"/>
    <w:next w:val="Normal"/>
    <w:autoRedefine/>
    <w:semiHidden/>
    <w:rsid w:val="005F5D7E"/>
    <w:pPr>
      <w:ind w:left="200"/>
    </w:pPr>
    <w:rPr>
      <w:smallCaps/>
    </w:rPr>
  </w:style>
  <w:style w:type="paragraph" w:styleId="Header">
    <w:name w:val="header"/>
    <w:basedOn w:val="Normal"/>
    <w:link w:val="HeaderChar"/>
    <w:uiPriority w:val="99"/>
    <w:rsid w:val="004E3CFE"/>
    <w:pPr>
      <w:pBdr>
        <w:bottom w:val="single" w:sz="6" w:space="1" w:color="auto"/>
      </w:pBdr>
      <w:tabs>
        <w:tab w:val="center" w:pos="4153"/>
        <w:tab w:val="right" w:pos="8306"/>
      </w:tabs>
      <w:jc w:val="both"/>
    </w:pPr>
    <w:rPr>
      <w:sz w:val="16"/>
    </w:rPr>
  </w:style>
  <w:style w:type="character" w:styleId="PageNumber">
    <w:name w:val="page number"/>
    <w:basedOn w:val="DefaultParagraphFont"/>
    <w:rsid w:val="005F5D7E"/>
  </w:style>
  <w:style w:type="paragraph" w:styleId="Footer">
    <w:name w:val="footer"/>
    <w:basedOn w:val="Normal"/>
    <w:link w:val="FooterChar"/>
    <w:uiPriority w:val="99"/>
    <w:rsid w:val="00A2285E"/>
    <w:pPr>
      <w:tabs>
        <w:tab w:val="center" w:pos="4153"/>
        <w:tab w:val="right" w:pos="8306"/>
      </w:tabs>
      <w:jc w:val="both"/>
    </w:pPr>
  </w:style>
  <w:style w:type="paragraph" w:styleId="FootnoteText">
    <w:name w:val="footnote text"/>
    <w:basedOn w:val="Normal"/>
    <w:link w:val="FootnoteTextChar"/>
    <w:semiHidden/>
    <w:rsid w:val="005F5D7E"/>
  </w:style>
  <w:style w:type="character" w:styleId="FootnoteReference">
    <w:name w:val="footnote reference"/>
    <w:basedOn w:val="DefaultParagraphFont"/>
    <w:semiHidden/>
    <w:rsid w:val="005F5D7E"/>
    <w:rPr>
      <w:vertAlign w:val="superscript"/>
    </w:rPr>
  </w:style>
  <w:style w:type="paragraph" w:styleId="TOC3">
    <w:name w:val="toc 3"/>
    <w:basedOn w:val="Normal"/>
    <w:next w:val="Normal"/>
    <w:autoRedefine/>
    <w:semiHidden/>
    <w:rsid w:val="005F5D7E"/>
    <w:pPr>
      <w:ind w:left="400"/>
    </w:pPr>
    <w:rPr>
      <w:i/>
    </w:rPr>
  </w:style>
  <w:style w:type="paragraph" w:customStyle="1" w:styleId="ABC-paragrahinNotes">
    <w:name w:val="ABC - paragrah in Notes"/>
    <w:link w:val="ABC-paragrahinNotesChar"/>
    <w:qFormat/>
    <w:rsid w:val="004E3CFE"/>
    <w:pPr>
      <w:spacing w:after="240"/>
      <w:jc w:val="both"/>
    </w:pPr>
    <w:rPr>
      <w:lang w:eastAsia="en-US"/>
    </w:rPr>
  </w:style>
  <w:style w:type="paragraph" w:customStyle="1" w:styleId="ABC-BulletsinNotes">
    <w:name w:val="ABC - Bullets in Notes"/>
    <w:rsid w:val="004E3CFE"/>
    <w:pPr>
      <w:numPr>
        <w:numId w:val="1"/>
      </w:numPr>
      <w:tabs>
        <w:tab w:val="left" w:pos="851"/>
      </w:tabs>
      <w:spacing w:after="240"/>
      <w:jc w:val="both"/>
    </w:pPr>
    <w:rPr>
      <w:lang w:eastAsia="en-US"/>
    </w:rPr>
  </w:style>
  <w:style w:type="paragraph" w:styleId="TOC4">
    <w:name w:val="toc 4"/>
    <w:basedOn w:val="Normal"/>
    <w:next w:val="Normal"/>
    <w:autoRedefine/>
    <w:semiHidden/>
    <w:rsid w:val="005F5D7E"/>
    <w:pPr>
      <w:ind w:left="600"/>
    </w:pPr>
  </w:style>
  <w:style w:type="paragraph" w:styleId="TOC5">
    <w:name w:val="toc 5"/>
    <w:basedOn w:val="Normal"/>
    <w:next w:val="Normal"/>
    <w:autoRedefine/>
    <w:semiHidden/>
    <w:rsid w:val="005F5D7E"/>
    <w:pPr>
      <w:ind w:left="800"/>
    </w:pPr>
  </w:style>
  <w:style w:type="paragraph" w:styleId="TOC6">
    <w:name w:val="toc 6"/>
    <w:basedOn w:val="Normal"/>
    <w:next w:val="Normal"/>
    <w:autoRedefine/>
    <w:semiHidden/>
    <w:rsid w:val="005F5D7E"/>
    <w:pPr>
      <w:ind w:left="1000"/>
    </w:pPr>
  </w:style>
  <w:style w:type="paragraph" w:styleId="TOC7">
    <w:name w:val="toc 7"/>
    <w:basedOn w:val="Normal"/>
    <w:next w:val="Normal"/>
    <w:autoRedefine/>
    <w:semiHidden/>
    <w:rsid w:val="005F5D7E"/>
    <w:pPr>
      <w:ind w:left="1200"/>
    </w:pPr>
  </w:style>
  <w:style w:type="paragraph" w:styleId="TOC8">
    <w:name w:val="toc 8"/>
    <w:basedOn w:val="Normal"/>
    <w:next w:val="Normal"/>
    <w:autoRedefine/>
    <w:semiHidden/>
    <w:rsid w:val="005F5D7E"/>
    <w:pPr>
      <w:ind w:left="1400"/>
    </w:pPr>
  </w:style>
  <w:style w:type="paragraph" w:styleId="TOC9">
    <w:name w:val="toc 9"/>
    <w:basedOn w:val="Normal"/>
    <w:next w:val="Normal"/>
    <w:autoRedefine/>
    <w:semiHidden/>
    <w:rsid w:val="005F5D7E"/>
    <w:pPr>
      <w:ind w:left="1600"/>
    </w:pPr>
  </w:style>
  <w:style w:type="paragraph" w:customStyle="1" w:styleId="Address">
    <w:name w:val="Address"/>
    <w:basedOn w:val="Normal"/>
    <w:rsid w:val="005F5D7E"/>
    <w:pPr>
      <w:framePr w:w="3005" w:hSpace="181" w:vSpace="181" w:wrap="around" w:hAnchor="page" w:xAlign="right" w:yAlign="top"/>
      <w:pBdr>
        <w:left w:val="single" w:sz="4" w:space="9" w:color="auto"/>
      </w:pBdr>
      <w:spacing w:line="200" w:lineRule="exact"/>
    </w:pPr>
    <w:rPr>
      <w:sz w:val="16"/>
    </w:rPr>
  </w:style>
  <w:style w:type="paragraph" w:customStyle="1" w:styleId="ABCFootnote">
    <w:name w:val="ABC Footnote"/>
    <w:basedOn w:val="FootnoteText"/>
    <w:rsid w:val="005F5D7E"/>
  </w:style>
  <w:style w:type="paragraph" w:customStyle="1" w:styleId="ABCNotes">
    <w:name w:val="ABC Notes"/>
    <w:basedOn w:val="Normal"/>
    <w:rsid w:val="005F5D7E"/>
    <w:pPr>
      <w:keepNext/>
      <w:keepLines/>
      <w:numPr>
        <w:numId w:val="2"/>
      </w:numPr>
      <w:spacing w:before="240" w:after="240"/>
    </w:pPr>
    <w:rPr>
      <w:b/>
    </w:rPr>
  </w:style>
  <w:style w:type="paragraph" w:styleId="DocumentMap">
    <w:name w:val="Document Map"/>
    <w:basedOn w:val="Normal"/>
    <w:link w:val="DocumentMapChar"/>
    <w:semiHidden/>
    <w:rsid w:val="005F5D7E"/>
    <w:pPr>
      <w:shd w:val="clear" w:color="auto" w:fill="000080"/>
    </w:pPr>
    <w:rPr>
      <w:rFonts w:ascii="Tahoma" w:hAnsi="Tahoma"/>
    </w:rPr>
  </w:style>
  <w:style w:type="paragraph" w:styleId="BodyText">
    <w:name w:val="Body Text"/>
    <w:basedOn w:val="Normal"/>
    <w:link w:val="BodyTextChar"/>
    <w:rsid w:val="005F5D7E"/>
    <w:pPr>
      <w:widowControl w:val="0"/>
      <w:suppressLineNumbers/>
      <w:ind w:right="1"/>
      <w:jc w:val="both"/>
    </w:pPr>
  </w:style>
  <w:style w:type="paragraph" w:styleId="BodyText2">
    <w:name w:val="Body Text 2"/>
    <w:basedOn w:val="Normal"/>
    <w:link w:val="BodyText2Char"/>
    <w:rsid w:val="005F5D7E"/>
    <w:pPr>
      <w:tabs>
        <w:tab w:val="center" w:pos="2835"/>
        <w:tab w:val="right" w:pos="5529"/>
        <w:tab w:val="center" w:pos="5812"/>
        <w:tab w:val="right" w:pos="8788"/>
      </w:tabs>
    </w:pPr>
    <w:rPr>
      <w:i/>
    </w:rPr>
  </w:style>
  <w:style w:type="paragraph" w:styleId="BodyText3">
    <w:name w:val="Body Text 3"/>
    <w:basedOn w:val="Normal"/>
    <w:link w:val="BodyText3Char"/>
    <w:rsid w:val="005F5D7E"/>
    <w:pPr>
      <w:jc w:val="both"/>
    </w:pPr>
    <w:rPr>
      <w:i/>
    </w:rPr>
  </w:style>
  <w:style w:type="paragraph" w:customStyle="1" w:styleId="RICK1">
    <w:name w:val="RICK 1"/>
    <w:rsid w:val="005F5D7E"/>
    <w:pPr>
      <w:tabs>
        <w:tab w:val="left" w:pos="-720"/>
      </w:tabs>
      <w:suppressAutoHyphens/>
    </w:pPr>
    <w:rPr>
      <w:lang w:val="en-US" w:eastAsia="en-US"/>
    </w:rPr>
  </w:style>
  <w:style w:type="paragraph" w:customStyle="1" w:styleId="RightPar4">
    <w:name w:val="Right Par 4"/>
    <w:rsid w:val="005F5D7E"/>
    <w:pPr>
      <w:tabs>
        <w:tab w:val="left" w:pos="-720"/>
        <w:tab w:val="left" w:pos="0"/>
        <w:tab w:val="left" w:pos="720"/>
        <w:tab w:val="left" w:pos="1440"/>
        <w:tab w:val="left" w:pos="2160"/>
        <w:tab w:val="decimal" w:pos="2880"/>
      </w:tabs>
      <w:suppressAutoHyphens/>
      <w:ind w:left="2880" w:hanging="432"/>
    </w:pPr>
    <w:rPr>
      <w:rFonts w:ascii="Swiss Light 10pt" w:hAnsi="Swiss Light 10pt"/>
      <w:lang w:val="en-US" w:eastAsia="en-US"/>
    </w:rPr>
  </w:style>
  <w:style w:type="paragraph" w:customStyle="1" w:styleId="Bullet0">
    <w:name w:val="Bullet"/>
    <w:basedOn w:val="Normal"/>
    <w:rsid w:val="005F5D7E"/>
    <w:pPr>
      <w:numPr>
        <w:numId w:val="3"/>
      </w:numPr>
    </w:pPr>
  </w:style>
  <w:style w:type="paragraph" w:styleId="BodyTextIndent">
    <w:name w:val="Body Text Indent"/>
    <w:basedOn w:val="Normal"/>
    <w:link w:val="BodyTextIndentChar"/>
    <w:rsid w:val="005F5D7E"/>
    <w:pPr>
      <w:spacing w:after="240"/>
      <w:ind w:left="357"/>
      <w:jc w:val="both"/>
    </w:pPr>
  </w:style>
  <w:style w:type="paragraph" w:customStyle="1" w:styleId="Continued">
    <w:name w:val="Continued"/>
    <w:qFormat/>
    <w:rsid w:val="00C57488"/>
    <w:pPr>
      <w:pageBreakBefore/>
      <w:spacing w:after="240"/>
      <w:ind w:left="567" w:hanging="567"/>
      <w:jc w:val="both"/>
    </w:pPr>
    <w:rPr>
      <w:b/>
      <w:lang w:eastAsia="en-US"/>
    </w:rPr>
  </w:style>
  <w:style w:type="paragraph" w:customStyle="1" w:styleId="Report">
    <w:name w:val="Report"/>
    <w:rsid w:val="005F5D7E"/>
    <w:pPr>
      <w:numPr>
        <w:numId w:val="4"/>
      </w:numPr>
      <w:spacing w:after="240"/>
      <w:jc w:val="both"/>
    </w:pPr>
    <w:rPr>
      <w:snapToGrid w:val="0"/>
      <w:lang w:eastAsia="en-US"/>
    </w:rPr>
  </w:style>
  <w:style w:type="paragraph" w:customStyle="1" w:styleId="ABC-Aftertable">
    <w:name w:val="ABC - After table"/>
    <w:next w:val="ABC-paragrahinNotes"/>
    <w:rsid w:val="0036474F"/>
    <w:pPr>
      <w:spacing w:before="240" w:after="240"/>
      <w:jc w:val="both"/>
    </w:pPr>
    <w:rPr>
      <w:noProof/>
      <w:lang w:eastAsia="en-US"/>
    </w:rPr>
  </w:style>
  <w:style w:type="paragraph" w:customStyle="1" w:styleId="ABC-rBullets">
    <w:name w:val="ABC -r Bullets"/>
    <w:basedOn w:val="ABC-BulletsinNotes"/>
    <w:rsid w:val="005F5D7E"/>
    <w:pPr>
      <w:numPr>
        <w:numId w:val="0"/>
      </w:numPr>
      <w:tabs>
        <w:tab w:val="num" w:pos="360"/>
      </w:tabs>
      <w:ind w:left="360" w:hanging="360"/>
    </w:pPr>
    <w:rPr>
      <w:lang w:val="ru-RU"/>
    </w:rPr>
  </w:style>
  <w:style w:type="paragraph" w:customStyle="1" w:styleId="Reportbullets">
    <w:name w:val="Report bullets"/>
    <w:rsid w:val="005F5D7E"/>
    <w:pPr>
      <w:numPr>
        <w:numId w:val="5"/>
      </w:numPr>
      <w:tabs>
        <w:tab w:val="left" w:pos="567"/>
      </w:tabs>
      <w:spacing w:after="240"/>
      <w:ind w:left="567" w:hanging="567"/>
      <w:jc w:val="both"/>
    </w:pPr>
    <w:rPr>
      <w:lang w:eastAsia="en-US"/>
    </w:rPr>
  </w:style>
  <w:style w:type="paragraph" w:customStyle="1" w:styleId="Iiiaeuiue">
    <w:name w:val="Ii?iaeuiue"/>
    <w:rsid w:val="005F5D7E"/>
    <w:pPr>
      <w:widowControl w:val="0"/>
      <w:tabs>
        <w:tab w:val="left" w:pos="-720"/>
        <w:tab w:val="left" w:pos="0"/>
      </w:tabs>
      <w:suppressAutoHyphens/>
      <w:ind w:hanging="720"/>
      <w:jc w:val="both"/>
    </w:pPr>
    <w:rPr>
      <w:rFonts w:ascii="NTTimes/Cyrillic" w:hAnsi="NTTimes/Cyrillic"/>
      <w:spacing w:val="-3"/>
      <w:sz w:val="22"/>
      <w:lang w:val="en-US" w:eastAsia="en-US"/>
    </w:rPr>
  </w:style>
  <w:style w:type="paragraph" w:customStyle="1" w:styleId="content">
    <w:name w:val="content"/>
    <w:basedOn w:val="Normal"/>
    <w:rsid w:val="005F5D7E"/>
    <w:rPr>
      <w:rFonts w:ascii="Times New Roman Bold" w:hAnsi="Times New Roman Bold"/>
      <w:b/>
      <w:color w:val="0000FF"/>
      <w:sz w:val="24"/>
    </w:rPr>
  </w:style>
  <w:style w:type="paragraph" w:styleId="Caption">
    <w:name w:val="caption"/>
    <w:basedOn w:val="Normal"/>
    <w:next w:val="Normal"/>
    <w:rsid w:val="005F5D7E"/>
    <w:pPr>
      <w:widowControl w:val="0"/>
    </w:pPr>
    <w:rPr>
      <w:rFonts w:ascii="Swis721 Lt BT" w:hAnsi="Swis721 Lt BT"/>
      <w:sz w:val="24"/>
      <w:lang w:val="en-US"/>
    </w:rPr>
  </w:style>
  <w:style w:type="paragraph" w:styleId="BlockText">
    <w:name w:val="Block Text"/>
    <w:basedOn w:val="Normal"/>
    <w:rsid w:val="005F5D7E"/>
    <w:pPr>
      <w:widowControl w:val="0"/>
      <w:spacing w:line="240" w:lineRule="atLeast"/>
      <w:ind w:left="720" w:right="690"/>
    </w:pPr>
    <w:rPr>
      <w:snapToGrid w:val="0"/>
      <w:color w:val="000000"/>
      <w:lang w:val="en-US"/>
    </w:rPr>
  </w:style>
  <w:style w:type="character" w:styleId="Hyperlink">
    <w:name w:val="Hyperlink"/>
    <w:basedOn w:val="DefaultParagraphFont"/>
    <w:uiPriority w:val="99"/>
    <w:rsid w:val="005F5D7E"/>
    <w:rPr>
      <w:color w:val="0000FF"/>
      <w:u w:val="single"/>
    </w:rPr>
  </w:style>
  <w:style w:type="paragraph" w:customStyle="1" w:styleId="BodySingle">
    <w:name w:val="Body Single"/>
    <w:basedOn w:val="BodyText"/>
    <w:rsid w:val="005F5D7E"/>
    <w:pPr>
      <w:widowControl/>
      <w:suppressLineNumbers w:val="0"/>
      <w:spacing w:line="290" w:lineRule="atLeast"/>
      <w:ind w:right="0"/>
      <w:jc w:val="left"/>
    </w:pPr>
    <w:rPr>
      <w:rFonts w:ascii="Times New Roman" w:hAnsi="Times New Roman"/>
      <w:sz w:val="24"/>
    </w:rPr>
  </w:style>
  <w:style w:type="paragraph" w:customStyle="1" w:styleId="Headingprimo">
    <w:name w:val="Heading primo"/>
    <w:basedOn w:val="Heading1"/>
    <w:rsid w:val="005F5D7E"/>
    <w:pPr>
      <w:numPr>
        <w:numId w:val="0"/>
      </w:numPr>
    </w:pPr>
    <w:rPr>
      <w:sz w:val="24"/>
    </w:rPr>
  </w:style>
  <w:style w:type="paragraph" w:styleId="MacroText">
    <w:name w:val="macro"/>
    <w:semiHidden/>
    <w:rsid w:val="005F5D7E"/>
    <w:pPr>
      <w:tabs>
        <w:tab w:val="left" w:pos="480"/>
        <w:tab w:val="left" w:pos="960"/>
        <w:tab w:val="left" w:pos="1440"/>
        <w:tab w:val="left" w:pos="1920"/>
        <w:tab w:val="left" w:pos="2400"/>
        <w:tab w:val="left" w:pos="2880"/>
        <w:tab w:val="left" w:pos="3360"/>
        <w:tab w:val="left" w:pos="3840"/>
        <w:tab w:val="left" w:pos="4320"/>
      </w:tabs>
    </w:pPr>
    <w:rPr>
      <w:lang w:eastAsia="en-US"/>
    </w:rPr>
  </w:style>
  <w:style w:type="paragraph" w:customStyle="1" w:styleId="Style2">
    <w:name w:val="Style2"/>
    <w:basedOn w:val="Normal"/>
    <w:rsid w:val="005F5D7E"/>
    <w:pPr>
      <w:tabs>
        <w:tab w:val="left" w:pos="1134"/>
        <w:tab w:val="left" w:pos="1276"/>
        <w:tab w:val="center" w:pos="3402"/>
        <w:tab w:val="center" w:pos="4536"/>
        <w:tab w:val="center" w:pos="5670"/>
        <w:tab w:val="center" w:pos="6804"/>
        <w:tab w:val="right" w:pos="7655"/>
      </w:tabs>
      <w:spacing w:line="240" w:lineRule="exact"/>
      <w:ind w:hanging="567"/>
    </w:pPr>
    <w:rPr>
      <w:b/>
      <w:caps/>
    </w:rPr>
  </w:style>
  <w:style w:type="paragraph" w:customStyle="1" w:styleId="Style3">
    <w:name w:val="Style3"/>
    <w:basedOn w:val="Normal"/>
    <w:rsid w:val="005F5D7E"/>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pPr>
    <w:rPr>
      <w:sz w:val="16"/>
    </w:rPr>
  </w:style>
  <w:style w:type="character" w:styleId="CommentReference">
    <w:name w:val="annotation reference"/>
    <w:basedOn w:val="DefaultParagraphFont"/>
    <w:semiHidden/>
    <w:rsid w:val="005F5D7E"/>
    <w:rPr>
      <w:sz w:val="16"/>
    </w:rPr>
  </w:style>
  <w:style w:type="paragraph" w:styleId="CommentText">
    <w:name w:val="annotation text"/>
    <w:basedOn w:val="Normal"/>
    <w:link w:val="CommentTextChar"/>
    <w:rsid w:val="005F5D7E"/>
    <w:pPr>
      <w:spacing w:line="240" w:lineRule="atLeast"/>
    </w:pPr>
  </w:style>
  <w:style w:type="paragraph" w:styleId="BodyTextIndent2">
    <w:name w:val="Body Text Indent 2"/>
    <w:basedOn w:val="Normal"/>
    <w:rsid w:val="005F5D7E"/>
    <w:pPr>
      <w:tabs>
        <w:tab w:val="left" w:pos="1134"/>
        <w:tab w:val="center" w:pos="5103"/>
        <w:tab w:val="center" w:pos="6804"/>
        <w:tab w:val="right" w:pos="7655"/>
      </w:tabs>
      <w:spacing w:line="240" w:lineRule="exact"/>
      <w:ind w:left="1134" w:hanging="1134"/>
    </w:pPr>
  </w:style>
  <w:style w:type="paragraph" w:styleId="BodyTextIndent3">
    <w:name w:val="Body Text Indent 3"/>
    <w:basedOn w:val="Normal"/>
    <w:rsid w:val="005F5D7E"/>
    <w:pPr>
      <w:tabs>
        <w:tab w:val="left" w:pos="162"/>
        <w:tab w:val="left" w:pos="1134"/>
        <w:tab w:val="left" w:pos="1276"/>
        <w:tab w:val="center" w:pos="3402"/>
        <w:tab w:val="center" w:pos="4536"/>
        <w:tab w:val="center" w:pos="5670"/>
        <w:tab w:val="center" w:pos="6804"/>
        <w:tab w:val="right" w:pos="7655"/>
      </w:tabs>
      <w:spacing w:line="240" w:lineRule="exact"/>
      <w:ind w:left="162" w:hanging="162"/>
    </w:pPr>
  </w:style>
  <w:style w:type="character" w:styleId="FollowedHyperlink">
    <w:name w:val="FollowedHyperlink"/>
    <w:basedOn w:val="DefaultParagraphFont"/>
    <w:rsid w:val="005F5D7E"/>
    <w:rPr>
      <w:color w:val="800080"/>
      <w:u w:val="single"/>
    </w:rPr>
  </w:style>
  <w:style w:type="paragraph" w:styleId="NormalWeb">
    <w:name w:val="Normal (Web)"/>
    <w:basedOn w:val="Normal"/>
    <w:uiPriority w:val="99"/>
    <w:rsid w:val="005F5D7E"/>
    <w:pPr>
      <w:spacing w:before="100" w:beforeAutospacing="1" w:after="100" w:afterAutospacing="1"/>
    </w:pPr>
    <w:rPr>
      <w:rFonts w:ascii="Arial Unicode MS" w:eastAsia="Arial Unicode MS" w:hAnsi="Arial Unicode MS" w:cs="Arial Unicode MS"/>
      <w:sz w:val="24"/>
      <w:szCs w:val="24"/>
    </w:rPr>
  </w:style>
  <w:style w:type="paragraph" w:customStyle="1" w:styleId="StyleHeader16ptBoldLeftBottomNoborder">
    <w:name w:val="Style Header + 16 pt Bold Left Bottom: (No border)"/>
    <w:basedOn w:val="Header"/>
    <w:rsid w:val="004E3CFE"/>
    <w:pPr>
      <w:pBdr>
        <w:bottom w:val="none" w:sz="0" w:space="0" w:color="auto"/>
      </w:pBdr>
      <w:jc w:val="left"/>
    </w:pPr>
    <w:rPr>
      <w:b/>
      <w:bCs/>
      <w:sz w:val="32"/>
    </w:rPr>
  </w:style>
  <w:style w:type="paragraph" w:customStyle="1" w:styleId="StyleABC-AftertableItalicRed">
    <w:name w:val="Style ABC - After table + Italic Red"/>
    <w:basedOn w:val="ABC-Aftertable"/>
    <w:rsid w:val="004E3CFE"/>
    <w:rPr>
      <w:i/>
      <w:iCs/>
      <w:color w:val="FF0000"/>
    </w:rPr>
  </w:style>
  <w:style w:type="paragraph" w:customStyle="1" w:styleId="StyleTimesNewRomanBold9ptBoldItalicJustified">
    <w:name w:val="Style Times New Roman Bold 9 pt Bold Italic Justified"/>
    <w:basedOn w:val="Normal"/>
    <w:rsid w:val="004E3CFE"/>
    <w:pPr>
      <w:jc w:val="both"/>
    </w:pPr>
    <w:rPr>
      <w:b/>
      <w:bCs/>
      <w:i/>
      <w:iCs/>
      <w:spacing w:val="-2"/>
    </w:rPr>
  </w:style>
  <w:style w:type="paragraph" w:customStyle="1" w:styleId="StyleNormalWebTimesNewRoman10ptJustified">
    <w:name w:val="Style Normal (Web) + Times New Roman 10 pt Justified"/>
    <w:basedOn w:val="NormalWeb"/>
    <w:rsid w:val="004E3CFE"/>
    <w:pPr>
      <w:jc w:val="both"/>
    </w:pPr>
    <w:rPr>
      <w:rFonts w:ascii="Arial" w:eastAsia="Times New Roman" w:hAnsi="Arial" w:cs="Times New Roman"/>
      <w:sz w:val="18"/>
      <w:szCs w:val="20"/>
    </w:rPr>
  </w:style>
  <w:style w:type="paragraph" w:customStyle="1" w:styleId="StyleNormalWebTimesNewRoman10ptItalicRed">
    <w:name w:val="Style Normal (Web) + Times New Roman 10 pt Italic Red"/>
    <w:basedOn w:val="NormalWeb"/>
    <w:rsid w:val="004E3CFE"/>
    <w:rPr>
      <w:rFonts w:ascii="Arial" w:hAnsi="Arial"/>
      <w:i/>
      <w:iCs/>
      <w:color w:val="FF0000"/>
      <w:sz w:val="18"/>
    </w:rPr>
  </w:style>
  <w:style w:type="paragraph" w:customStyle="1" w:styleId="StyleHeading1TimesNewRoman">
    <w:name w:val="Style Heading 1 + Times New Roman"/>
    <w:basedOn w:val="Heading1"/>
    <w:rsid w:val="004E3CFE"/>
    <w:rPr>
      <w:bCs/>
    </w:rPr>
  </w:style>
  <w:style w:type="paragraph" w:customStyle="1" w:styleId="StyleName12ptNotBoldItalicNotSmallcaps">
    <w:name w:val="Style Name + 12 pt Not Bold Italic Not Small caps"/>
    <w:basedOn w:val="Name"/>
    <w:rsid w:val="004E3CFE"/>
    <w:rPr>
      <w:b w:val="0"/>
      <w:i/>
      <w:iCs/>
      <w:smallCaps w:val="0"/>
    </w:rPr>
  </w:style>
  <w:style w:type="paragraph" w:customStyle="1" w:styleId="StyleNormalWebTimesNewRoman10pt">
    <w:name w:val="Style Normal (Web) + Times New Roman 10 pt"/>
    <w:basedOn w:val="NormalWeb"/>
    <w:rsid w:val="004E3CFE"/>
    <w:rPr>
      <w:rFonts w:ascii="Arial" w:hAnsi="Arial"/>
      <w:sz w:val="18"/>
    </w:rPr>
  </w:style>
  <w:style w:type="paragraph" w:customStyle="1" w:styleId="ABC-Comments">
    <w:name w:val="ABC - Comments"/>
    <w:basedOn w:val="ABC-paragrahinNotes"/>
    <w:link w:val="ABC-CommentsChar"/>
    <w:rsid w:val="004D1AC5"/>
    <w:pPr>
      <w:spacing w:after="120"/>
    </w:pPr>
    <w:rPr>
      <w:i/>
      <w:color w:val="FF0000"/>
    </w:rPr>
  </w:style>
  <w:style w:type="character" w:customStyle="1" w:styleId="ABC-paragrahinNotesChar">
    <w:name w:val="ABC - paragrah in Notes Char"/>
    <w:basedOn w:val="DefaultParagraphFont"/>
    <w:link w:val="ABC-paragrahinNotes"/>
    <w:rsid w:val="004D1AC5"/>
    <w:rPr>
      <w:rFonts w:ascii="Arial" w:hAnsi="Arial"/>
      <w:sz w:val="18"/>
      <w:lang w:val="en-GB" w:eastAsia="en-US" w:bidi="ar-SA"/>
    </w:rPr>
  </w:style>
  <w:style w:type="character" w:customStyle="1" w:styleId="ABC-CommentsChar">
    <w:name w:val="ABC - Comments Char"/>
    <w:basedOn w:val="ABC-paragrahinNotesChar"/>
    <w:link w:val="ABC-Comments"/>
    <w:rsid w:val="004D1AC5"/>
    <w:rPr>
      <w:rFonts w:ascii="Arial" w:hAnsi="Arial"/>
      <w:i/>
      <w:color w:val="FF0000"/>
      <w:sz w:val="18"/>
      <w:lang w:val="en-GB" w:eastAsia="en-US" w:bidi="ar-SA"/>
    </w:rPr>
  </w:style>
  <w:style w:type="paragraph" w:customStyle="1" w:styleId="ABCNumbered">
    <w:name w:val="ABC Numbered"/>
    <w:basedOn w:val="ABCFootnote"/>
    <w:rsid w:val="004D1AC5"/>
    <w:pPr>
      <w:numPr>
        <w:numId w:val="7"/>
      </w:numPr>
      <w:spacing w:before="120" w:after="120"/>
    </w:pPr>
  </w:style>
  <w:style w:type="paragraph" w:customStyle="1" w:styleId="Tabletext">
    <w:name w:val="Table text"/>
    <w:basedOn w:val="Normal"/>
    <w:rsid w:val="00F22DB0"/>
    <w:pPr>
      <w:ind w:left="85" w:hanging="85"/>
    </w:pPr>
  </w:style>
  <w:style w:type="paragraph" w:customStyle="1" w:styleId="Rowheader">
    <w:name w:val="Row header"/>
    <w:basedOn w:val="Normal"/>
    <w:rsid w:val="00F22DB0"/>
    <w:pPr>
      <w:ind w:left="85" w:hanging="85"/>
    </w:pPr>
    <w:rPr>
      <w:b/>
    </w:rPr>
  </w:style>
  <w:style w:type="paragraph" w:customStyle="1" w:styleId="Columnheader">
    <w:name w:val="Column header"/>
    <w:basedOn w:val="Normal"/>
    <w:rsid w:val="00F22DB0"/>
    <w:pPr>
      <w:tabs>
        <w:tab w:val="decimal" w:pos="1503"/>
      </w:tabs>
      <w:spacing w:line="228" w:lineRule="auto"/>
      <w:ind w:right="-56"/>
    </w:pPr>
    <w:rPr>
      <w:b/>
    </w:rPr>
  </w:style>
  <w:style w:type="paragraph" w:customStyle="1" w:styleId="Tablenumbers1">
    <w:name w:val="Table numbers1"/>
    <w:rsid w:val="00F22DB0"/>
    <w:pPr>
      <w:tabs>
        <w:tab w:val="decimal" w:pos="1503"/>
      </w:tabs>
      <w:ind w:right="-56"/>
    </w:pPr>
    <w:rPr>
      <w:lang w:eastAsia="en-US"/>
    </w:rPr>
  </w:style>
  <w:style w:type="paragraph" w:customStyle="1" w:styleId="RowHeader0">
    <w:name w:val="Row Header +"/>
    <w:basedOn w:val="Rowheader"/>
    <w:rsid w:val="00F22DB0"/>
    <w:pPr>
      <w:spacing w:before="60" w:after="60"/>
    </w:pPr>
  </w:style>
  <w:style w:type="paragraph" w:customStyle="1" w:styleId="RRthousands">
    <w:name w:val="RR thousands"/>
    <w:basedOn w:val="Normal"/>
    <w:link w:val="RRthousandsChar"/>
    <w:rsid w:val="007D58A5"/>
    <w:pPr>
      <w:ind w:left="86" w:hanging="86"/>
    </w:pPr>
    <w:rPr>
      <w:i/>
    </w:rPr>
  </w:style>
  <w:style w:type="paragraph" w:customStyle="1" w:styleId="StyleRowheaderLinespacingMultiple095li">
    <w:name w:val="Style Row header + Line spacing:  Multiple 0.95 li"/>
    <w:basedOn w:val="Rowheader"/>
    <w:rsid w:val="00FF47B6"/>
    <w:pPr>
      <w:spacing w:before="20" w:line="228" w:lineRule="auto"/>
    </w:pPr>
    <w:rPr>
      <w:bCs/>
    </w:rPr>
  </w:style>
  <w:style w:type="paragraph" w:customStyle="1" w:styleId="StyleTabletextLinespacingMultiple095li">
    <w:name w:val="Style Table text + Line spacing:  Multiple 0.95 li"/>
    <w:basedOn w:val="Normal"/>
    <w:rsid w:val="00FF47B6"/>
    <w:pPr>
      <w:spacing w:before="20" w:line="228" w:lineRule="auto"/>
      <w:ind w:left="85" w:hanging="85"/>
    </w:pPr>
  </w:style>
  <w:style w:type="character" w:customStyle="1" w:styleId="RRthousandsChar">
    <w:name w:val="RR thousands Char"/>
    <w:basedOn w:val="DefaultParagraphFont"/>
    <w:link w:val="RRthousands"/>
    <w:rsid w:val="007D58A5"/>
    <w:rPr>
      <w:rFonts w:ascii="Arial" w:hAnsi="Arial" w:cs="Arial"/>
      <w:i/>
      <w:sz w:val="18"/>
      <w:lang w:val="en-GB" w:eastAsia="en-US" w:bidi="ar-SA"/>
    </w:rPr>
  </w:style>
  <w:style w:type="paragraph" w:customStyle="1" w:styleId="Bullet1">
    <w:name w:val="Bullet1"/>
    <w:basedOn w:val="Normal"/>
    <w:rsid w:val="00D95D50"/>
    <w:pPr>
      <w:numPr>
        <w:numId w:val="9"/>
      </w:numPr>
    </w:pPr>
  </w:style>
  <w:style w:type="paragraph" w:customStyle="1" w:styleId="TitleABC">
    <w:name w:val="Title ABC"/>
    <w:basedOn w:val="ABC-paragrahinNotes"/>
    <w:rsid w:val="00D95D50"/>
    <w:pPr>
      <w:outlineLvl w:val="0"/>
    </w:pPr>
    <w:rPr>
      <w:b/>
      <w:sz w:val="32"/>
    </w:rPr>
  </w:style>
  <w:style w:type="paragraph" w:customStyle="1" w:styleId="Header1">
    <w:name w:val="Header1"/>
    <w:rsid w:val="00D95D50"/>
    <w:pPr>
      <w:tabs>
        <w:tab w:val="left" w:pos="-528"/>
      </w:tabs>
    </w:pPr>
    <w:rPr>
      <w:b/>
      <w:bCs/>
      <w:i/>
      <w:lang w:eastAsia="en-US"/>
    </w:rPr>
  </w:style>
  <w:style w:type="paragraph" w:customStyle="1" w:styleId="Header2">
    <w:name w:val="Header2"/>
    <w:rsid w:val="00D95D50"/>
    <w:pPr>
      <w:pBdr>
        <w:bottom w:val="single" w:sz="4" w:space="1" w:color="auto"/>
      </w:pBdr>
      <w:ind w:right="-57"/>
    </w:pPr>
    <w:rPr>
      <w:i/>
      <w:spacing w:val="-4"/>
      <w:sz w:val="16"/>
      <w:lang w:eastAsia="en-US"/>
    </w:rPr>
  </w:style>
  <w:style w:type="paragraph" w:customStyle="1" w:styleId="1stpage">
    <w:name w:val="1st page"/>
    <w:basedOn w:val="ABC-paragrahinNotes"/>
    <w:rsid w:val="00D95D50"/>
    <w:pPr>
      <w:spacing w:after="0"/>
    </w:pPr>
    <w:rPr>
      <w:b/>
      <w:bCs/>
      <w:sz w:val="32"/>
    </w:rPr>
  </w:style>
  <w:style w:type="paragraph" w:customStyle="1" w:styleId="StyleSymbolTimesNewRomanBold9ptBoldLeft0cmHangi7">
    <w:name w:val="Style (Symbol) Times New Roman Bold 9 pt Bold Left:  0 cm Hangi...7"/>
    <w:basedOn w:val="Normal"/>
    <w:autoRedefine/>
    <w:rsid w:val="00D95D50"/>
    <w:pPr>
      <w:spacing w:line="228" w:lineRule="auto"/>
      <w:ind w:left="228" w:hanging="228"/>
    </w:pPr>
    <w:rPr>
      <w:b/>
      <w:bCs/>
      <w:spacing w:val="-6"/>
    </w:rPr>
  </w:style>
  <w:style w:type="paragraph" w:customStyle="1" w:styleId="Aftertable">
    <w:name w:val="After table"/>
    <w:next w:val="ABC-paragrahinNotes"/>
    <w:rsid w:val="00D95D50"/>
    <w:rPr>
      <w:noProof/>
      <w:lang w:eastAsia="en-US"/>
    </w:rPr>
  </w:style>
  <w:style w:type="paragraph" w:customStyle="1" w:styleId="Disclaimer">
    <w:name w:val="Disclaimer"/>
    <w:link w:val="DisclaimerChar"/>
    <w:rsid w:val="00D95D50"/>
    <w:pPr>
      <w:spacing w:after="60"/>
    </w:pPr>
    <w:rPr>
      <w:noProof/>
      <w:sz w:val="12"/>
      <w:lang w:eastAsia="en-US"/>
    </w:rPr>
  </w:style>
  <w:style w:type="paragraph" w:customStyle="1" w:styleId="ABC-r-paragraphinNotes">
    <w:name w:val="ABC-r - paragraph in Notes"/>
    <w:rsid w:val="00D95D50"/>
    <w:pPr>
      <w:spacing w:after="240"/>
      <w:jc w:val="both"/>
    </w:pPr>
    <w:rPr>
      <w:lang w:eastAsia="en-US"/>
    </w:rPr>
  </w:style>
  <w:style w:type="paragraph" w:customStyle="1" w:styleId="bullet">
    <w:name w:val="bullet"/>
    <w:basedOn w:val="Normal"/>
    <w:rsid w:val="00D95D50"/>
    <w:pPr>
      <w:numPr>
        <w:numId w:val="10"/>
      </w:numPr>
      <w:spacing w:before="40" w:line="200" w:lineRule="exact"/>
    </w:pPr>
    <w:rPr>
      <w:rFonts w:eastAsia="Times"/>
      <w:sz w:val="17"/>
    </w:rPr>
  </w:style>
  <w:style w:type="paragraph" w:customStyle="1" w:styleId="wfxRecipient">
    <w:name w:val="wfxRecipient"/>
    <w:basedOn w:val="Normal"/>
    <w:rsid w:val="00D95D50"/>
    <w:pPr>
      <w:widowControl w:val="0"/>
    </w:pPr>
    <w:rPr>
      <w:lang w:val="en-US"/>
    </w:rPr>
  </w:style>
  <w:style w:type="paragraph" w:styleId="BalloonText">
    <w:name w:val="Balloon Text"/>
    <w:basedOn w:val="Normal"/>
    <w:link w:val="BalloonTextChar"/>
    <w:semiHidden/>
    <w:rsid w:val="00D95D50"/>
    <w:rPr>
      <w:rFonts w:ascii="Tahoma" w:hAnsi="Tahoma" w:cs="Tahoma"/>
      <w:sz w:val="16"/>
      <w:szCs w:val="16"/>
    </w:rPr>
  </w:style>
  <w:style w:type="paragraph" w:customStyle="1" w:styleId="StyleSymbolTimesNewRomanBold9ptBoldLeft0cmHangi">
    <w:name w:val="Style (Symbol) Times New Roman Bold 9 pt Bold Left:  0 cm Hangi..."/>
    <w:basedOn w:val="Normal"/>
    <w:rsid w:val="00D95D50"/>
    <w:pPr>
      <w:spacing w:line="228" w:lineRule="auto"/>
      <w:ind w:left="228" w:hanging="228"/>
    </w:pPr>
    <w:rPr>
      <w:b/>
      <w:bCs/>
      <w:spacing w:val="-6"/>
    </w:rPr>
  </w:style>
  <w:style w:type="paragraph" w:customStyle="1" w:styleId="StyleSymbolTimesNewRomanBold9ptBoldLeft0cmHangi1">
    <w:name w:val="Style (Symbol) Times New Roman Bold 9 pt Bold Left:  0 cm Hangi...1"/>
    <w:basedOn w:val="Normal"/>
    <w:rsid w:val="00D95D50"/>
    <w:pPr>
      <w:spacing w:line="228" w:lineRule="auto"/>
      <w:ind w:left="228" w:hanging="228"/>
    </w:pPr>
    <w:rPr>
      <w:b/>
      <w:bCs/>
      <w:spacing w:val="-6"/>
    </w:rPr>
  </w:style>
  <w:style w:type="paragraph" w:customStyle="1" w:styleId="StyleSymbolTimesNewRomanBold9ptBoldLeft0cmHangi2">
    <w:name w:val="Style (Symbol) Times New Roman Bold 9 pt Bold Left:  0 cm Hangi...2"/>
    <w:basedOn w:val="Normal"/>
    <w:rsid w:val="00D95D50"/>
    <w:pPr>
      <w:spacing w:line="228" w:lineRule="auto"/>
      <w:ind w:left="228" w:hanging="228"/>
    </w:pPr>
    <w:rPr>
      <w:b/>
      <w:bCs/>
      <w:spacing w:val="-6"/>
    </w:rPr>
  </w:style>
  <w:style w:type="paragraph" w:customStyle="1" w:styleId="StyleSymbolTimesNewRomanBold9ptBoldLeft0cmHangi3">
    <w:name w:val="Style (Symbol) Times New Roman Bold 9 pt Bold Left:  0 cm Hangi...3"/>
    <w:basedOn w:val="Normal"/>
    <w:rsid w:val="00D95D50"/>
    <w:pPr>
      <w:spacing w:line="228" w:lineRule="auto"/>
      <w:ind w:left="228" w:hanging="228"/>
    </w:pPr>
    <w:rPr>
      <w:b/>
      <w:bCs/>
      <w:spacing w:val="-6"/>
    </w:rPr>
  </w:style>
  <w:style w:type="character" w:customStyle="1" w:styleId="Style9pt">
    <w:name w:val="Style 9 pt"/>
    <w:basedOn w:val="DefaultParagraphFont"/>
    <w:rsid w:val="00D95D50"/>
    <w:rPr>
      <w:rFonts w:ascii="Arial" w:hAnsi="Arial"/>
      <w:sz w:val="18"/>
    </w:rPr>
  </w:style>
  <w:style w:type="paragraph" w:customStyle="1" w:styleId="Style9ptBoldCentered">
    <w:name w:val="Style 9 pt Bold Centered"/>
    <w:basedOn w:val="Normal"/>
    <w:rsid w:val="00D95D50"/>
    <w:pPr>
      <w:jc w:val="center"/>
    </w:pPr>
    <w:rPr>
      <w:b/>
      <w:bCs/>
    </w:rPr>
  </w:style>
  <w:style w:type="paragraph" w:customStyle="1" w:styleId="StyleSymbolTimesNewRomanBold9ptBoldLeft0cmHangi4">
    <w:name w:val="Style (Symbol) Times New Roman Bold 9 pt Bold Left:  0 cm Hangi...4"/>
    <w:basedOn w:val="Normal"/>
    <w:rsid w:val="00D95D50"/>
    <w:pPr>
      <w:spacing w:line="228" w:lineRule="auto"/>
      <w:ind w:left="228" w:hanging="228"/>
    </w:pPr>
    <w:rPr>
      <w:b/>
      <w:bCs/>
      <w:spacing w:val="-6"/>
    </w:rPr>
  </w:style>
  <w:style w:type="character" w:customStyle="1" w:styleId="Style14ptItalicBlueSmallcaps">
    <w:name w:val="Style 14 pt Italic Blue Small caps"/>
    <w:basedOn w:val="DefaultParagraphFont"/>
    <w:rsid w:val="00D95D50"/>
    <w:rPr>
      <w:rFonts w:ascii="Arial" w:hAnsi="Arial"/>
      <w:i/>
      <w:iCs/>
      <w:smallCaps/>
      <w:color w:val="0000FF"/>
      <w:sz w:val="28"/>
    </w:rPr>
  </w:style>
  <w:style w:type="paragraph" w:customStyle="1" w:styleId="StyleSymbolTimesNewRomanBold9ptBoldLeft0cmHangi5">
    <w:name w:val="Style (Symbol) Times New Roman Bold 9 pt Bold Left:  0 cm Hangi...5"/>
    <w:basedOn w:val="Normal"/>
    <w:rsid w:val="00D95D50"/>
    <w:pPr>
      <w:spacing w:line="228" w:lineRule="auto"/>
      <w:ind w:left="228" w:hanging="228"/>
    </w:pPr>
    <w:rPr>
      <w:b/>
      <w:bCs/>
      <w:spacing w:val="-6"/>
    </w:rPr>
  </w:style>
  <w:style w:type="character" w:customStyle="1" w:styleId="Style14ptItalicRedSmallcaps">
    <w:name w:val="Style 14 pt Italic Red Small caps"/>
    <w:basedOn w:val="DefaultParagraphFont"/>
    <w:rsid w:val="00D95D50"/>
    <w:rPr>
      <w:rFonts w:ascii="Arial" w:hAnsi="Arial"/>
      <w:i/>
      <w:iCs/>
      <w:smallCaps/>
      <w:color w:val="FF0000"/>
      <w:sz w:val="28"/>
    </w:rPr>
  </w:style>
  <w:style w:type="paragraph" w:customStyle="1" w:styleId="StyleTablenumbers1BoldAllcapsCentered">
    <w:name w:val="Style Table numbers1 + Bold All caps Centered"/>
    <w:basedOn w:val="Tablenumbers1"/>
    <w:rsid w:val="00D95D50"/>
    <w:pPr>
      <w:jc w:val="center"/>
    </w:pPr>
    <w:rPr>
      <w:b/>
      <w:bCs/>
      <w:caps/>
    </w:rPr>
  </w:style>
  <w:style w:type="paragraph" w:customStyle="1" w:styleId="StyleSymbolTimesNewRomanBold9ptBoldLeft0cmHangi6">
    <w:name w:val="Style (Symbol) Times New Roman Bold 9 pt Bold Left:  0 cm Hangi...6"/>
    <w:basedOn w:val="Normal"/>
    <w:rsid w:val="00D95D50"/>
    <w:pPr>
      <w:spacing w:line="228" w:lineRule="auto"/>
      <w:ind w:left="228" w:hanging="228"/>
    </w:pPr>
    <w:rPr>
      <w:b/>
      <w:bCs/>
      <w:spacing w:val="-6"/>
    </w:rPr>
  </w:style>
  <w:style w:type="paragraph" w:customStyle="1" w:styleId="Style9ptBoldCentered1">
    <w:name w:val="Style 9 pt Bold Centered1"/>
    <w:basedOn w:val="Normal"/>
    <w:rsid w:val="00D95D50"/>
    <w:pPr>
      <w:jc w:val="center"/>
    </w:pPr>
    <w:rPr>
      <w:b/>
      <w:bCs/>
    </w:rPr>
  </w:style>
  <w:style w:type="paragraph" w:customStyle="1" w:styleId="Style9ptBoldCentered2">
    <w:name w:val="Style 9 pt Bold Centered2"/>
    <w:basedOn w:val="Normal"/>
    <w:rsid w:val="00D95D50"/>
    <w:pPr>
      <w:jc w:val="center"/>
    </w:pPr>
    <w:rPr>
      <w:b/>
      <w:bCs/>
      <w:spacing w:val="-2"/>
    </w:rPr>
  </w:style>
  <w:style w:type="numbering" w:styleId="111111">
    <w:name w:val="Outline List 2"/>
    <w:basedOn w:val="NoList"/>
    <w:rsid w:val="00D95D50"/>
  </w:style>
  <w:style w:type="numbering" w:styleId="1ai">
    <w:name w:val="Outline List 1"/>
    <w:basedOn w:val="NoList"/>
    <w:rsid w:val="00D95D50"/>
  </w:style>
  <w:style w:type="numbering" w:styleId="ArticleSection">
    <w:name w:val="Outline List 3"/>
    <w:basedOn w:val="NoList"/>
    <w:rsid w:val="00D95D50"/>
  </w:style>
  <w:style w:type="paragraph" w:styleId="BodyTextFirstIndent">
    <w:name w:val="Body Text First Indent"/>
    <w:basedOn w:val="BodyText"/>
    <w:link w:val="BodyTextFirstIndentChar"/>
    <w:rsid w:val="00D95D50"/>
    <w:pPr>
      <w:widowControl/>
      <w:suppressLineNumbers w:val="0"/>
      <w:spacing w:after="120"/>
      <w:ind w:right="0" w:firstLine="210"/>
      <w:jc w:val="left"/>
    </w:pPr>
  </w:style>
  <w:style w:type="paragraph" w:customStyle="1" w:styleId="text">
    <w:name w:val="text"/>
    <w:basedOn w:val="Normal"/>
    <w:rsid w:val="00D95D50"/>
    <w:pPr>
      <w:spacing w:after="100" w:line="300" w:lineRule="atLeast"/>
      <w:jc w:val="both"/>
    </w:pPr>
    <w:rPr>
      <w:rFonts w:ascii="Times" w:hAnsi="Times"/>
      <w:sz w:val="22"/>
      <w:lang w:val="en-US" w:eastAsia="cs-CZ"/>
    </w:rPr>
  </w:style>
  <w:style w:type="paragraph" w:customStyle="1" w:styleId="StyleABC-paragrahinNotesAfter10pt">
    <w:name w:val="Style ABC - paragrah in Notes + After:  10 pt"/>
    <w:basedOn w:val="ABC-paragrahinNotes"/>
    <w:rsid w:val="00D95D50"/>
    <w:pPr>
      <w:spacing w:after="200"/>
    </w:pPr>
  </w:style>
  <w:style w:type="paragraph" w:customStyle="1" w:styleId="StyleABC-paragrahinNotesAfter0pt">
    <w:name w:val="Style ABC - paragrah in Notes + After:  0 pt"/>
    <w:basedOn w:val="ABC-paragrahinNotes"/>
    <w:rsid w:val="00D95D50"/>
    <w:pPr>
      <w:spacing w:after="0"/>
    </w:pPr>
  </w:style>
  <w:style w:type="paragraph" w:styleId="CommentSubject">
    <w:name w:val="annotation subject"/>
    <w:basedOn w:val="CommentText"/>
    <w:next w:val="CommentText"/>
    <w:link w:val="CommentSubjectChar"/>
    <w:semiHidden/>
    <w:rsid w:val="00D95D50"/>
    <w:pPr>
      <w:spacing w:line="240" w:lineRule="auto"/>
    </w:pPr>
    <w:rPr>
      <w:b/>
      <w:bCs/>
    </w:rPr>
  </w:style>
  <w:style w:type="paragraph" w:customStyle="1" w:styleId="a">
    <w:name w:val="Îáû÷íûé"/>
    <w:rsid w:val="00D95D50"/>
    <w:rPr>
      <w:lang w:eastAsia="en-US"/>
    </w:rPr>
  </w:style>
  <w:style w:type="paragraph" w:customStyle="1" w:styleId="StyleABC-paragrahinNotesBold">
    <w:name w:val="Style ABC - paragrah in Notes + Bold"/>
    <w:basedOn w:val="ABC-paragrahinNotes"/>
    <w:link w:val="StyleABC-paragrahinNotesBoldChar"/>
    <w:rsid w:val="0079284C"/>
    <w:rPr>
      <w:b/>
      <w:bCs/>
      <w:sz w:val="20"/>
    </w:rPr>
  </w:style>
  <w:style w:type="character" w:customStyle="1" w:styleId="StyleABC-paragrahinNotesBoldChar">
    <w:name w:val="Style ABC - paragrah in Notes + Bold Char"/>
    <w:basedOn w:val="ABC-paragrahinNotesChar"/>
    <w:link w:val="StyleABC-paragrahinNotesBold"/>
    <w:rsid w:val="0079284C"/>
    <w:rPr>
      <w:rFonts w:ascii="Arial" w:hAnsi="Arial"/>
      <w:b/>
      <w:bCs/>
      <w:sz w:val="18"/>
      <w:lang w:val="en-GB" w:eastAsia="en-US" w:bidi="ar-SA"/>
    </w:rPr>
  </w:style>
  <w:style w:type="character" w:customStyle="1" w:styleId="StyleContinued9ptChar">
    <w:name w:val="Style Continued + 9 pt Char"/>
    <w:basedOn w:val="DefaultParagraphFont"/>
    <w:rsid w:val="00356028"/>
    <w:rPr>
      <w:rFonts w:ascii="Arial" w:hAnsi="Arial"/>
      <w:b/>
      <w:bCs/>
      <w:lang w:val="en-US" w:eastAsia="en-US" w:bidi="ar-SA"/>
    </w:rPr>
  </w:style>
  <w:style w:type="paragraph" w:customStyle="1" w:styleId="xl50">
    <w:name w:val="xl50"/>
    <w:basedOn w:val="Normal"/>
    <w:rsid w:val="00260738"/>
    <w:pPr>
      <w:spacing w:before="100" w:beforeAutospacing="1" w:after="100" w:afterAutospacing="1"/>
    </w:pPr>
    <w:rPr>
      <w:rFonts w:ascii="Times New Roman" w:eastAsia="Arial Unicode MS" w:hAnsi="Times New Roman"/>
      <w:b/>
      <w:bCs/>
    </w:rPr>
  </w:style>
  <w:style w:type="paragraph" w:customStyle="1" w:styleId="StyleContinued9pt">
    <w:name w:val="Style Continued + 9 pt"/>
    <w:basedOn w:val="Continued"/>
    <w:rsid w:val="00260738"/>
    <w:pPr>
      <w:tabs>
        <w:tab w:val="left" w:pos="567"/>
      </w:tabs>
    </w:pPr>
    <w:rPr>
      <w:rFonts w:cs="Times New Roman"/>
      <w:bCs/>
      <w:lang w:val="en-US"/>
    </w:rPr>
  </w:style>
  <w:style w:type="character" w:customStyle="1" w:styleId="ContinuedChar">
    <w:name w:val="Continued Char"/>
    <w:basedOn w:val="DefaultParagraphFont"/>
    <w:rsid w:val="00260738"/>
    <w:rPr>
      <w:rFonts w:ascii="Arial" w:hAnsi="Arial"/>
      <w:b/>
      <w:lang w:val="en-US" w:eastAsia="en-US" w:bidi="ar-SA"/>
    </w:rPr>
  </w:style>
  <w:style w:type="character" w:customStyle="1" w:styleId="ABC-r-paragraphinNotesChar">
    <w:name w:val="ABC-r - paragraph in Notes Char"/>
    <w:basedOn w:val="DefaultParagraphFont"/>
    <w:rsid w:val="00260738"/>
    <w:rPr>
      <w:rFonts w:ascii="Arial" w:hAnsi="Arial"/>
      <w:sz w:val="18"/>
      <w:lang w:val="ru-RU" w:eastAsia="en-US" w:bidi="ar-SA"/>
    </w:rPr>
  </w:style>
  <w:style w:type="character" w:customStyle="1" w:styleId="Heading1Char">
    <w:name w:val="Heading 1 Char"/>
    <w:basedOn w:val="DefaultParagraphFont"/>
    <w:rsid w:val="00260738"/>
    <w:rPr>
      <w:rFonts w:ascii="Arial" w:hAnsi="Arial"/>
      <w:b/>
      <w:kern w:val="28"/>
      <w:lang w:val="en-GB" w:eastAsia="en-US" w:bidi="ar-SA"/>
    </w:rPr>
  </w:style>
  <w:style w:type="paragraph" w:customStyle="1" w:styleId="ABCLatinnumbering">
    <w:name w:val="ABC Latin numbering"/>
    <w:basedOn w:val="ABC-paragrahinNotes"/>
    <w:rsid w:val="00260738"/>
    <w:rPr>
      <w:snapToGrid w:val="0"/>
      <w:spacing w:val="-4"/>
      <w:sz w:val="20"/>
    </w:rPr>
  </w:style>
  <w:style w:type="paragraph" w:customStyle="1" w:styleId="Notesindent">
    <w:name w:val="Notes indent"/>
    <w:basedOn w:val="Normal"/>
    <w:link w:val="NotesindentChar"/>
    <w:rsid w:val="006E533D"/>
    <w:pPr>
      <w:tabs>
        <w:tab w:val="left" w:pos="340"/>
      </w:tabs>
      <w:spacing w:before="80" w:line="220" w:lineRule="exact"/>
      <w:ind w:left="340"/>
    </w:pPr>
    <w:rPr>
      <w:rFonts w:ascii="Helvetica" w:eastAsia="Times" w:hAnsi="Helvetica"/>
      <w:noProof/>
      <w:sz w:val="16"/>
      <w:lang w:eastAsia="en-GB"/>
    </w:rPr>
  </w:style>
  <w:style w:type="character" w:customStyle="1" w:styleId="NotesindentChar">
    <w:name w:val="Notes indent Char"/>
    <w:basedOn w:val="DefaultParagraphFont"/>
    <w:link w:val="Notesindent"/>
    <w:rsid w:val="006E533D"/>
    <w:rPr>
      <w:rFonts w:ascii="Helvetica" w:eastAsia="Times" w:hAnsi="Helvetica"/>
      <w:noProof/>
      <w:sz w:val="16"/>
      <w:lang w:val="en-GB" w:eastAsia="en-GB" w:bidi="ar-SA"/>
    </w:rPr>
  </w:style>
  <w:style w:type="character" w:customStyle="1" w:styleId="ABC-paragrahinNotesChar1">
    <w:name w:val="ABC - paragrah in Notes Char1"/>
    <w:basedOn w:val="DefaultParagraphFont"/>
    <w:rsid w:val="00351299"/>
    <w:rPr>
      <w:rFonts w:ascii="Arial" w:hAnsi="Arial"/>
      <w:lang w:val="en-GB" w:eastAsia="en-US" w:bidi="ar-SA"/>
    </w:rPr>
  </w:style>
  <w:style w:type="paragraph" w:customStyle="1" w:styleId="Address0">
    <w:name w:val="|Address"/>
    <w:basedOn w:val="Normal"/>
    <w:rsid w:val="00954E83"/>
    <w:pPr>
      <w:framePr w:w="3005" w:h="567" w:hSpace="181" w:vSpace="181" w:wrap="around" w:hAnchor="page" w:xAlign="right" w:yAlign="top"/>
      <w:spacing w:line="200" w:lineRule="exact"/>
      <w:ind w:right="288"/>
    </w:pPr>
    <w:rPr>
      <w:rFonts w:ascii="Times New Roman" w:hAnsi="Times New Roman"/>
      <w:sz w:val="16"/>
      <w:szCs w:val="24"/>
      <w:lang w:val="ru-RU" w:eastAsia="ru-RU"/>
    </w:rPr>
  </w:style>
  <w:style w:type="paragraph" w:styleId="Revision">
    <w:name w:val="Revision"/>
    <w:hidden/>
    <w:uiPriority w:val="99"/>
    <w:semiHidden/>
    <w:rsid w:val="004C7DE2"/>
    <w:rPr>
      <w:lang w:eastAsia="en-US"/>
    </w:rPr>
  </w:style>
  <w:style w:type="character" w:customStyle="1" w:styleId="FooterChar">
    <w:name w:val="Footer Char"/>
    <w:basedOn w:val="DefaultParagraphFont"/>
    <w:link w:val="Footer"/>
    <w:uiPriority w:val="99"/>
    <w:rsid w:val="00DB395C"/>
    <w:rPr>
      <w:rFonts w:ascii="Arial" w:hAnsi="Arial"/>
      <w:sz w:val="18"/>
      <w:lang w:val="en-GB" w:eastAsia="en-US"/>
    </w:rPr>
  </w:style>
  <w:style w:type="paragraph" w:customStyle="1" w:styleId="PwCAddress">
    <w:name w:val="PwC Address"/>
    <w:basedOn w:val="Normal"/>
    <w:link w:val="PwCAddressChar"/>
    <w:rsid w:val="00DB395C"/>
    <w:pPr>
      <w:spacing w:line="200" w:lineRule="atLeast"/>
    </w:pPr>
    <w:rPr>
      <w:rFonts w:ascii="Georgia" w:eastAsia="Calibri" w:hAnsi="Georgia"/>
      <w:i/>
      <w:noProof/>
      <w:szCs w:val="22"/>
      <w:lang w:eastAsia="en-GB"/>
    </w:rPr>
  </w:style>
  <w:style w:type="character" w:customStyle="1" w:styleId="PwCAddressChar">
    <w:name w:val="PwC Address Char"/>
    <w:basedOn w:val="DefaultParagraphFont"/>
    <w:link w:val="PwCAddress"/>
    <w:rsid w:val="00DB395C"/>
    <w:rPr>
      <w:rFonts w:ascii="Georgia" w:eastAsia="Calibri" w:hAnsi="Georgia"/>
      <w:i/>
      <w:noProof/>
      <w:sz w:val="18"/>
      <w:szCs w:val="22"/>
      <w:lang w:val="en-GB" w:eastAsia="en-GB"/>
    </w:rPr>
  </w:style>
  <w:style w:type="character" w:customStyle="1" w:styleId="HeaderChar">
    <w:name w:val="Header Char"/>
    <w:basedOn w:val="DefaultParagraphFont"/>
    <w:link w:val="Header"/>
    <w:uiPriority w:val="99"/>
    <w:rsid w:val="00DB395C"/>
    <w:rPr>
      <w:rFonts w:ascii="Arial" w:hAnsi="Arial"/>
      <w:sz w:val="16"/>
      <w:lang w:val="en-GB" w:eastAsia="en-US"/>
    </w:rPr>
  </w:style>
  <w:style w:type="paragraph" w:styleId="ListParagraph">
    <w:name w:val="List Paragraph"/>
    <w:basedOn w:val="Normal"/>
    <w:uiPriority w:val="34"/>
    <w:qFormat/>
    <w:rsid w:val="00DB4CE8"/>
    <w:pPr>
      <w:ind w:left="720"/>
      <w:contextualSpacing/>
    </w:pPr>
  </w:style>
  <w:style w:type="paragraph" w:styleId="ListBullet">
    <w:name w:val="List Bullet"/>
    <w:basedOn w:val="Normal"/>
    <w:uiPriority w:val="13"/>
    <w:unhideWhenUsed/>
    <w:rsid w:val="00635C8A"/>
    <w:pPr>
      <w:numPr>
        <w:numId w:val="26"/>
      </w:numPr>
      <w:spacing w:after="240" w:line="240" w:lineRule="atLeast"/>
      <w:contextualSpacing/>
    </w:pPr>
    <w:rPr>
      <w:rFonts w:ascii="Georgia" w:eastAsiaTheme="minorHAnsi" w:hAnsi="Georgia" w:cstheme="minorBidi"/>
      <w:sz w:val="20"/>
    </w:rPr>
  </w:style>
  <w:style w:type="numbering" w:customStyle="1" w:styleId="PwCListBullets1">
    <w:name w:val="PwC List Bullets 1"/>
    <w:uiPriority w:val="99"/>
    <w:rsid w:val="00635C8A"/>
  </w:style>
  <w:style w:type="numbering" w:customStyle="1" w:styleId="PwCListNumbers1">
    <w:name w:val="PwC List Numbers 1"/>
    <w:uiPriority w:val="99"/>
    <w:rsid w:val="00635C8A"/>
  </w:style>
  <w:style w:type="paragraph" w:styleId="ListNumber">
    <w:name w:val="List Number"/>
    <w:basedOn w:val="Normal"/>
    <w:uiPriority w:val="13"/>
    <w:unhideWhenUsed/>
    <w:rsid w:val="00635C8A"/>
    <w:pPr>
      <w:numPr>
        <w:numId w:val="27"/>
      </w:numPr>
      <w:spacing w:after="240" w:line="240" w:lineRule="atLeast"/>
      <w:contextualSpacing/>
    </w:pPr>
    <w:rPr>
      <w:rFonts w:ascii="Georgia" w:eastAsiaTheme="minorHAnsi" w:hAnsi="Georgia" w:cstheme="minorBidi"/>
      <w:sz w:val="20"/>
    </w:rPr>
  </w:style>
  <w:style w:type="paragraph" w:styleId="ListBullet2">
    <w:name w:val="List Bullet 2"/>
    <w:basedOn w:val="Normal"/>
    <w:uiPriority w:val="13"/>
    <w:unhideWhenUsed/>
    <w:rsid w:val="00635C8A"/>
    <w:pPr>
      <w:numPr>
        <w:ilvl w:val="1"/>
        <w:numId w:val="26"/>
      </w:numPr>
      <w:spacing w:after="240" w:line="240" w:lineRule="atLeast"/>
      <w:contextualSpacing/>
    </w:pPr>
    <w:rPr>
      <w:rFonts w:ascii="Georgia" w:eastAsiaTheme="minorHAnsi" w:hAnsi="Georgia" w:cstheme="minorBidi"/>
      <w:sz w:val="20"/>
    </w:rPr>
  </w:style>
  <w:style w:type="paragraph" w:styleId="ListBullet3">
    <w:name w:val="List Bullet 3"/>
    <w:basedOn w:val="Normal"/>
    <w:uiPriority w:val="13"/>
    <w:unhideWhenUsed/>
    <w:rsid w:val="00635C8A"/>
    <w:pPr>
      <w:numPr>
        <w:ilvl w:val="2"/>
        <w:numId w:val="26"/>
      </w:numPr>
      <w:spacing w:after="240" w:line="240" w:lineRule="atLeast"/>
      <w:contextualSpacing/>
    </w:pPr>
    <w:rPr>
      <w:rFonts w:ascii="Georgia" w:eastAsiaTheme="minorHAnsi" w:hAnsi="Georgia" w:cstheme="minorBidi"/>
      <w:sz w:val="20"/>
    </w:rPr>
  </w:style>
  <w:style w:type="paragraph" w:styleId="ListBullet4">
    <w:name w:val="List Bullet 4"/>
    <w:basedOn w:val="Normal"/>
    <w:uiPriority w:val="13"/>
    <w:unhideWhenUsed/>
    <w:rsid w:val="00635C8A"/>
    <w:pPr>
      <w:numPr>
        <w:ilvl w:val="3"/>
        <w:numId w:val="26"/>
      </w:numPr>
      <w:spacing w:after="240" w:line="240" w:lineRule="atLeast"/>
      <w:contextualSpacing/>
    </w:pPr>
    <w:rPr>
      <w:rFonts w:ascii="Georgia" w:eastAsiaTheme="minorHAnsi" w:hAnsi="Georgia" w:cstheme="minorBidi"/>
      <w:sz w:val="20"/>
    </w:rPr>
  </w:style>
  <w:style w:type="paragraph" w:styleId="ListBullet5">
    <w:name w:val="List Bullet 5"/>
    <w:basedOn w:val="Normal"/>
    <w:uiPriority w:val="13"/>
    <w:unhideWhenUsed/>
    <w:rsid w:val="00635C8A"/>
    <w:pPr>
      <w:numPr>
        <w:ilvl w:val="4"/>
        <w:numId w:val="26"/>
      </w:numPr>
      <w:spacing w:after="240" w:line="240" w:lineRule="atLeast"/>
      <w:contextualSpacing/>
    </w:pPr>
    <w:rPr>
      <w:rFonts w:ascii="Georgia" w:eastAsiaTheme="minorHAnsi" w:hAnsi="Georgia" w:cstheme="minorBidi"/>
      <w:sz w:val="20"/>
    </w:rPr>
  </w:style>
  <w:style w:type="paragraph" w:styleId="ListNumber2">
    <w:name w:val="List Number 2"/>
    <w:basedOn w:val="Normal"/>
    <w:uiPriority w:val="13"/>
    <w:unhideWhenUsed/>
    <w:rsid w:val="00635C8A"/>
    <w:pPr>
      <w:numPr>
        <w:ilvl w:val="1"/>
        <w:numId w:val="27"/>
      </w:numPr>
      <w:spacing w:after="240" w:line="240" w:lineRule="atLeast"/>
      <w:contextualSpacing/>
    </w:pPr>
    <w:rPr>
      <w:rFonts w:ascii="Georgia" w:eastAsiaTheme="minorHAnsi" w:hAnsi="Georgia" w:cstheme="minorBidi"/>
      <w:sz w:val="20"/>
    </w:rPr>
  </w:style>
  <w:style w:type="paragraph" w:styleId="ListNumber3">
    <w:name w:val="List Number 3"/>
    <w:basedOn w:val="Normal"/>
    <w:uiPriority w:val="13"/>
    <w:unhideWhenUsed/>
    <w:rsid w:val="00635C8A"/>
    <w:pPr>
      <w:numPr>
        <w:ilvl w:val="2"/>
        <w:numId w:val="27"/>
      </w:numPr>
      <w:spacing w:after="240" w:line="240" w:lineRule="atLeast"/>
      <w:contextualSpacing/>
    </w:pPr>
    <w:rPr>
      <w:rFonts w:ascii="Georgia" w:eastAsiaTheme="minorHAnsi" w:hAnsi="Georgia" w:cstheme="minorBidi"/>
      <w:sz w:val="20"/>
    </w:rPr>
  </w:style>
  <w:style w:type="paragraph" w:styleId="ListNumber4">
    <w:name w:val="List Number 4"/>
    <w:basedOn w:val="Normal"/>
    <w:uiPriority w:val="13"/>
    <w:unhideWhenUsed/>
    <w:rsid w:val="00635C8A"/>
    <w:pPr>
      <w:numPr>
        <w:ilvl w:val="3"/>
        <w:numId w:val="27"/>
      </w:numPr>
      <w:spacing w:after="240" w:line="240" w:lineRule="atLeast"/>
      <w:contextualSpacing/>
    </w:pPr>
    <w:rPr>
      <w:rFonts w:ascii="Georgia" w:eastAsiaTheme="minorHAnsi" w:hAnsi="Georgia" w:cstheme="minorBidi"/>
      <w:sz w:val="20"/>
    </w:rPr>
  </w:style>
  <w:style w:type="paragraph" w:styleId="ListNumber5">
    <w:name w:val="List Number 5"/>
    <w:basedOn w:val="Normal"/>
    <w:uiPriority w:val="13"/>
    <w:unhideWhenUsed/>
    <w:rsid w:val="00635C8A"/>
    <w:pPr>
      <w:numPr>
        <w:ilvl w:val="4"/>
        <w:numId w:val="27"/>
      </w:numPr>
      <w:spacing w:after="240" w:line="240" w:lineRule="atLeast"/>
      <w:contextualSpacing/>
    </w:pPr>
    <w:rPr>
      <w:rFonts w:ascii="Georgia" w:eastAsiaTheme="minorHAnsi" w:hAnsi="Georgia" w:cstheme="minorBidi"/>
      <w:sz w:val="20"/>
    </w:rPr>
  </w:style>
  <w:style w:type="character" w:customStyle="1" w:styleId="FootnoteTextChar">
    <w:name w:val="Footnote Text Char"/>
    <w:basedOn w:val="DefaultParagraphFont"/>
    <w:link w:val="FootnoteText"/>
    <w:semiHidden/>
    <w:rsid w:val="00635C8A"/>
    <w:rPr>
      <w:rFonts w:ascii="Arial" w:hAnsi="Arial"/>
      <w:sz w:val="18"/>
      <w:lang w:val="en-GB" w:eastAsia="en-US"/>
    </w:rPr>
  </w:style>
  <w:style w:type="character" w:customStyle="1" w:styleId="DisclaimerChar">
    <w:name w:val="Disclaimer Char"/>
    <w:basedOn w:val="DefaultParagraphFont"/>
    <w:link w:val="Disclaimer"/>
    <w:rsid w:val="008423F5"/>
    <w:rPr>
      <w:rFonts w:ascii="Arial" w:hAnsi="Arial"/>
      <w:noProof/>
      <w:sz w:val="12"/>
      <w:lang w:val="en-GB" w:eastAsia="en-US"/>
    </w:rPr>
  </w:style>
  <w:style w:type="character" w:customStyle="1" w:styleId="Heading1Char1">
    <w:name w:val="Heading 1 Char1"/>
    <w:basedOn w:val="DefaultParagraphFont"/>
    <w:link w:val="Heading1"/>
    <w:rsid w:val="00D607E9"/>
    <w:rPr>
      <w:rFonts w:ascii="Arial" w:hAnsi="Arial"/>
      <w:b/>
      <w:kern w:val="28"/>
      <w:lang w:val="en-GB" w:eastAsia="en-US"/>
    </w:rPr>
  </w:style>
  <w:style w:type="paragraph" w:customStyle="1" w:styleId="ABC-paragrahinNotes0">
    <w:name w:val="ABC - paragrah in Notes Знак"/>
    <w:link w:val="ABC-paragrahinNotes1"/>
    <w:rsid w:val="00E54D67"/>
    <w:pPr>
      <w:spacing w:after="240"/>
      <w:jc w:val="both"/>
    </w:pPr>
    <w:rPr>
      <w:lang w:eastAsia="en-US"/>
    </w:rPr>
  </w:style>
  <w:style w:type="character" w:customStyle="1" w:styleId="ABC-paragrahinNotes1">
    <w:name w:val="ABC - paragrah in Notes Знак Знак"/>
    <w:basedOn w:val="DefaultParagraphFont"/>
    <w:link w:val="ABC-paragrahinNotes0"/>
    <w:rsid w:val="00E54D67"/>
    <w:rPr>
      <w:rFonts w:ascii="Arial" w:hAnsi="Arial"/>
      <w:sz w:val="18"/>
      <w:lang w:val="en-GB" w:eastAsia="en-US"/>
    </w:rPr>
  </w:style>
  <w:style w:type="character" w:styleId="Emphasis">
    <w:name w:val="Emphasis"/>
    <w:basedOn w:val="DefaultParagraphFont"/>
    <w:uiPriority w:val="20"/>
    <w:qFormat/>
    <w:rsid w:val="00307BA8"/>
    <w:rPr>
      <w:i/>
      <w:iCs/>
    </w:rPr>
  </w:style>
  <w:style w:type="character" w:customStyle="1" w:styleId="st">
    <w:name w:val="st"/>
    <w:basedOn w:val="DefaultParagraphFont"/>
    <w:rsid w:val="0056404F"/>
  </w:style>
  <w:style w:type="table" w:styleId="TableGrid">
    <w:name w:val="Table Grid"/>
    <w:basedOn w:val="TableNormal"/>
    <w:uiPriority w:val="39"/>
    <w:rsid w:val="002F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14C"/>
    <w:pPr>
      <w:autoSpaceDE w:val="0"/>
      <w:autoSpaceDN w:val="0"/>
      <w:adjustRightInd w:val="0"/>
    </w:pPr>
    <w:rPr>
      <w:rFonts w:eastAsiaTheme="minorHAnsi"/>
      <w:color w:val="000000"/>
      <w:sz w:val="24"/>
      <w:szCs w:val="24"/>
      <w:lang w:eastAsia="en-US"/>
    </w:rPr>
  </w:style>
  <w:style w:type="paragraph" w:customStyle="1" w:styleId="Bullets">
    <w:name w:val="Bullets"/>
    <w:basedOn w:val="ABC-paragrahinNotes"/>
    <w:link w:val="BulletsChar"/>
    <w:qFormat/>
    <w:rsid w:val="00131A11"/>
    <w:pPr>
      <w:widowControl w:val="0"/>
      <w:numPr>
        <w:numId w:val="28"/>
      </w:numPr>
      <w:spacing w:before="100" w:after="100"/>
    </w:pPr>
    <w:rPr>
      <w:sz w:val="20"/>
    </w:rPr>
  </w:style>
  <w:style w:type="character" w:customStyle="1" w:styleId="BulletsChar">
    <w:name w:val="Bullets Char"/>
    <w:basedOn w:val="ABC-paragrahinNotesChar"/>
    <w:link w:val="Bullets"/>
    <w:rsid w:val="00131A11"/>
    <w:rPr>
      <w:rFonts w:ascii="Arial" w:hAnsi="Arial" w:cs="Arial"/>
      <w:sz w:val="18"/>
      <w:lang w:val="en-GB" w:eastAsia="en-US" w:bidi="ar-SA"/>
    </w:rPr>
  </w:style>
  <w:style w:type="paragraph" w:customStyle="1" w:styleId="bullets0">
    <w:name w:val="bullets"/>
    <w:basedOn w:val="ABC-paragrahinNotes"/>
    <w:qFormat/>
    <w:rsid w:val="00510E2E"/>
    <w:pPr>
      <w:widowControl w:val="0"/>
      <w:numPr>
        <w:numId w:val="30"/>
      </w:numPr>
      <w:spacing w:before="100" w:after="100"/>
    </w:pPr>
    <w:rPr>
      <w:sz w:val="20"/>
    </w:rPr>
  </w:style>
  <w:style w:type="paragraph" w:customStyle="1" w:styleId="Style1">
    <w:name w:val="Style1"/>
    <w:basedOn w:val="ABC-paragrahinNotes"/>
    <w:next w:val="bullets0"/>
    <w:rsid w:val="00510E2E"/>
    <w:pPr>
      <w:widowControl w:val="0"/>
      <w:spacing w:before="240"/>
    </w:pPr>
    <w:rPr>
      <w:sz w:val="20"/>
    </w:rPr>
  </w:style>
  <w:style w:type="character" w:customStyle="1" w:styleId="CommentTextChar">
    <w:name w:val="Comment Text Char"/>
    <w:basedOn w:val="DefaultParagraphFont"/>
    <w:link w:val="CommentText"/>
    <w:rsid w:val="00510E2E"/>
    <w:rPr>
      <w:rFonts w:ascii="Arial" w:hAnsi="Arial"/>
      <w:sz w:val="18"/>
      <w:lang w:val="en-GB" w:eastAsia="en-US"/>
    </w:rPr>
  </w:style>
  <w:style w:type="table" w:styleId="PlainTable2">
    <w:name w:val="Plain Table 2"/>
    <w:basedOn w:val="TableNormal"/>
    <w:uiPriority w:val="42"/>
    <w:rsid w:val="00510E2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510E2E"/>
    <w:rPr>
      <w:b/>
      <w:bCs/>
    </w:rPr>
  </w:style>
  <w:style w:type="character" w:customStyle="1" w:styleId="Heading2Char">
    <w:name w:val="Heading 2 Char"/>
    <w:basedOn w:val="DefaultParagraphFont"/>
    <w:link w:val="Heading2"/>
    <w:rsid w:val="00510E2E"/>
    <w:rPr>
      <w:rFonts w:ascii="Arial" w:hAnsi="Arial"/>
      <w:b/>
      <w:i/>
      <w:sz w:val="24"/>
      <w:lang w:val="en-GB" w:eastAsia="en-US"/>
    </w:rPr>
  </w:style>
  <w:style w:type="character" w:customStyle="1" w:styleId="Heading3Char">
    <w:name w:val="Heading 3 Char"/>
    <w:basedOn w:val="DefaultParagraphFont"/>
    <w:link w:val="Heading3"/>
    <w:rsid w:val="00510E2E"/>
    <w:rPr>
      <w:rFonts w:ascii="Arial" w:hAnsi="Arial"/>
      <w:b/>
      <w:sz w:val="18"/>
      <w:lang w:val="en-GB" w:eastAsia="en-US"/>
    </w:rPr>
  </w:style>
  <w:style w:type="character" w:customStyle="1" w:styleId="Heading4Char">
    <w:name w:val="Heading 4 Char"/>
    <w:basedOn w:val="DefaultParagraphFont"/>
    <w:link w:val="Heading4"/>
    <w:rsid w:val="00510E2E"/>
    <w:rPr>
      <w:rFonts w:ascii="Arial" w:hAnsi="Arial"/>
      <w:sz w:val="18"/>
      <w:u w:val="single"/>
      <w:lang w:val="en-GB" w:eastAsia="en-US"/>
    </w:rPr>
  </w:style>
  <w:style w:type="character" w:customStyle="1" w:styleId="Heading5Char">
    <w:name w:val="Heading 5 Char"/>
    <w:basedOn w:val="DefaultParagraphFont"/>
    <w:link w:val="Heading5"/>
    <w:rsid w:val="00510E2E"/>
    <w:rPr>
      <w:rFonts w:ascii="Arial" w:hAnsi="Arial"/>
      <w:sz w:val="24"/>
      <w:lang w:val="en-GB" w:eastAsia="en-US"/>
    </w:rPr>
  </w:style>
  <w:style w:type="character" w:customStyle="1" w:styleId="Heading6Char">
    <w:name w:val="Heading 6 Char"/>
    <w:basedOn w:val="DefaultParagraphFont"/>
    <w:link w:val="Heading6"/>
    <w:rsid w:val="00510E2E"/>
    <w:rPr>
      <w:rFonts w:ascii="Arial" w:hAnsi="Arial"/>
      <w:b/>
      <w:sz w:val="18"/>
      <w:lang w:val="en-GB" w:eastAsia="en-US"/>
    </w:rPr>
  </w:style>
  <w:style w:type="character" w:customStyle="1" w:styleId="Heading7Char">
    <w:name w:val="Heading 7 Char"/>
    <w:basedOn w:val="DefaultParagraphFont"/>
    <w:link w:val="Heading7"/>
    <w:rsid w:val="00510E2E"/>
    <w:rPr>
      <w:rFonts w:ascii="Arial" w:hAnsi="Arial"/>
      <w:b/>
      <w:sz w:val="24"/>
      <w:lang w:val="en-GB" w:eastAsia="en-US"/>
    </w:rPr>
  </w:style>
  <w:style w:type="character" w:customStyle="1" w:styleId="Heading8Char">
    <w:name w:val="Heading 8 Char"/>
    <w:basedOn w:val="DefaultParagraphFont"/>
    <w:link w:val="Heading8"/>
    <w:rsid w:val="00510E2E"/>
    <w:rPr>
      <w:rFonts w:ascii="Arial" w:hAnsi="Arial"/>
      <w:b/>
      <w:sz w:val="18"/>
      <w:lang w:val="en-GB" w:eastAsia="en-US"/>
    </w:rPr>
  </w:style>
  <w:style w:type="character" w:customStyle="1" w:styleId="Heading9Char">
    <w:name w:val="Heading 9 Char"/>
    <w:basedOn w:val="DefaultParagraphFont"/>
    <w:link w:val="Heading9"/>
    <w:rsid w:val="00510E2E"/>
    <w:rPr>
      <w:rFonts w:ascii="Arial" w:hAnsi="Arial"/>
      <w:b/>
      <w:sz w:val="18"/>
      <w:lang w:val="en-GB" w:eastAsia="en-US"/>
    </w:rPr>
  </w:style>
  <w:style w:type="character" w:customStyle="1" w:styleId="DocumentMapChar">
    <w:name w:val="Document Map Char"/>
    <w:basedOn w:val="DefaultParagraphFont"/>
    <w:link w:val="DocumentMap"/>
    <w:semiHidden/>
    <w:rsid w:val="00510E2E"/>
    <w:rPr>
      <w:rFonts w:ascii="Tahoma" w:hAnsi="Tahoma"/>
      <w:sz w:val="18"/>
      <w:shd w:val="clear" w:color="auto" w:fill="000080"/>
      <w:lang w:val="en-GB" w:eastAsia="en-US"/>
    </w:rPr>
  </w:style>
  <w:style w:type="character" w:customStyle="1" w:styleId="BodyTextChar">
    <w:name w:val="Body Text Char"/>
    <w:basedOn w:val="DefaultParagraphFont"/>
    <w:link w:val="BodyText"/>
    <w:rsid w:val="00510E2E"/>
    <w:rPr>
      <w:rFonts w:ascii="Arial" w:hAnsi="Arial"/>
      <w:sz w:val="18"/>
      <w:lang w:val="en-GB" w:eastAsia="en-US"/>
    </w:rPr>
  </w:style>
  <w:style w:type="character" w:customStyle="1" w:styleId="BodyText2Char">
    <w:name w:val="Body Text 2 Char"/>
    <w:basedOn w:val="DefaultParagraphFont"/>
    <w:link w:val="BodyText2"/>
    <w:rsid w:val="00510E2E"/>
    <w:rPr>
      <w:rFonts w:ascii="Arial" w:hAnsi="Arial"/>
      <w:i/>
      <w:sz w:val="18"/>
      <w:lang w:val="en-GB" w:eastAsia="en-US"/>
    </w:rPr>
  </w:style>
  <w:style w:type="character" w:customStyle="1" w:styleId="BodyText3Char">
    <w:name w:val="Body Text 3 Char"/>
    <w:basedOn w:val="DefaultParagraphFont"/>
    <w:link w:val="BodyText3"/>
    <w:rsid w:val="00510E2E"/>
    <w:rPr>
      <w:rFonts w:ascii="Arial" w:hAnsi="Arial"/>
      <w:i/>
      <w:sz w:val="18"/>
      <w:lang w:val="en-GB" w:eastAsia="en-US"/>
    </w:rPr>
  </w:style>
  <w:style w:type="character" w:customStyle="1" w:styleId="BodyTextIndentChar">
    <w:name w:val="Body Text Indent Char"/>
    <w:basedOn w:val="DefaultParagraphFont"/>
    <w:link w:val="BodyTextIndent"/>
    <w:rsid w:val="00510E2E"/>
    <w:rPr>
      <w:rFonts w:ascii="Arial" w:hAnsi="Arial"/>
      <w:sz w:val="18"/>
      <w:lang w:val="en-GB" w:eastAsia="en-US"/>
    </w:rPr>
  </w:style>
  <w:style w:type="character" w:customStyle="1" w:styleId="BalloonTextChar">
    <w:name w:val="Balloon Text Char"/>
    <w:basedOn w:val="DefaultParagraphFont"/>
    <w:link w:val="BalloonText"/>
    <w:semiHidden/>
    <w:rsid w:val="00510E2E"/>
    <w:rPr>
      <w:rFonts w:ascii="Tahoma" w:hAnsi="Tahoma" w:cs="Tahoma"/>
      <w:sz w:val="16"/>
      <w:szCs w:val="16"/>
      <w:lang w:val="en-GB" w:eastAsia="en-US"/>
    </w:rPr>
  </w:style>
  <w:style w:type="character" w:customStyle="1" w:styleId="BodyTextFirstIndentChar">
    <w:name w:val="Body Text First Indent Char"/>
    <w:basedOn w:val="BodyTextChar"/>
    <w:link w:val="BodyTextFirstIndent"/>
    <w:rsid w:val="00510E2E"/>
    <w:rPr>
      <w:rFonts w:ascii="Arial" w:hAnsi="Arial"/>
      <w:sz w:val="18"/>
      <w:lang w:val="en-GB" w:eastAsia="en-US"/>
    </w:rPr>
  </w:style>
  <w:style w:type="character" w:customStyle="1" w:styleId="CommentSubjectChar">
    <w:name w:val="Comment Subject Char"/>
    <w:basedOn w:val="CommentTextChar"/>
    <w:link w:val="CommentSubject"/>
    <w:semiHidden/>
    <w:rsid w:val="00510E2E"/>
    <w:rPr>
      <w:rFonts w:ascii="Arial" w:hAnsi="Arial"/>
      <w:b/>
      <w:bCs/>
      <w:sz w:val="18"/>
      <w:lang w:val="en-GB" w:eastAsia="en-US"/>
    </w:rPr>
  </w:style>
  <w:style w:type="character" w:customStyle="1" w:styleId="EndnoteTextChar">
    <w:name w:val="Endnote Text Char"/>
    <w:basedOn w:val="DefaultParagraphFont"/>
    <w:link w:val="EndnoteText"/>
    <w:semiHidden/>
    <w:rsid w:val="00510E2E"/>
    <w:rPr>
      <w:rFonts w:ascii="Arial" w:hAnsi="Arial"/>
      <w:lang w:val="en-GB"/>
    </w:rPr>
  </w:style>
  <w:style w:type="paragraph" w:styleId="EndnoteText">
    <w:name w:val="endnote text"/>
    <w:basedOn w:val="Normal"/>
    <w:link w:val="EndnoteTextChar"/>
    <w:semiHidden/>
    <w:unhideWhenUsed/>
    <w:rsid w:val="00510E2E"/>
    <w:rPr>
      <w:sz w:val="20"/>
      <w:lang w:eastAsia="ru-RU"/>
    </w:rPr>
  </w:style>
  <w:style w:type="character" w:customStyle="1" w:styleId="EndnoteTextChar1">
    <w:name w:val="Endnote Text Char1"/>
    <w:basedOn w:val="DefaultParagraphFont"/>
    <w:semiHidden/>
    <w:rsid w:val="00510E2E"/>
    <w:rPr>
      <w:rFonts w:ascii="Arial" w:hAnsi="Arial"/>
      <w:lang w:val="en-GB" w:eastAsia="en-US"/>
    </w:rPr>
  </w:style>
  <w:style w:type="paragraph" w:customStyle="1" w:styleId="NoteText">
    <w:name w:val="NoteText"/>
    <w:link w:val="NoteText0"/>
    <w:rsid w:val="00510E2E"/>
    <w:pPr>
      <w:spacing w:before="120"/>
      <w:jc w:val="both"/>
    </w:pPr>
    <w:rPr>
      <w:rFonts w:asciiTheme="minorHAnsi" w:hAnsiTheme="minorHAnsi"/>
      <w:lang w:eastAsia="en-US"/>
    </w:rPr>
  </w:style>
  <w:style w:type="character" w:customStyle="1" w:styleId="NoteText0">
    <w:name w:val="NoteText Знак"/>
    <w:link w:val="NoteText"/>
    <w:locked/>
    <w:rsid w:val="00510E2E"/>
    <w:rPr>
      <w:rFonts w:asciiTheme="minorHAnsi" w:hAnsiTheme="minorHAnsi"/>
      <w:lang w:val="en-GB" w:eastAsia="en-US"/>
    </w:rPr>
  </w:style>
  <w:style w:type="character" w:styleId="UnresolvedMention">
    <w:name w:val="Unresolved Mention"/>
    <w:basedOn w:val="DefaultParagraphFont"/>
    <w:uiPriority w:val="99"/>
    <w:semiHidden/>
    <w:unhideWhenUsed/>
    <w:rsid w:val="00CF6D6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 w:type="table" w:customStyle="1" w:styleId="a3">
    <w:basedOn w:val="TableNormal"/>
    <w:tblPr>
      <w:tblStyleRowBandSize w:val="1"/>
      <w:tblStyleColBandSize w:val="1"/>
      <w:tblCellMar>
        <w:left w:w="85" w:type="dxa"/>
        <w:right w:w="85" w:type="dxa"/>
      </w:tblCellMar>
    </w:tblPr>
  </w:style>
  <w:style w:type="table" w:customStyle="1" w:styleId="a4">
    <w:basedOn w:val="TableNormal"/>
    <w:tblPr>
      <w:tblStyleRowBandSize w:val="1"/>
      <w:tblStyleColBandSize w:val="1"/>
      <w:tblCellMar>
        <w:left w:w="113" w:type="dxa"/>
        <w:right w:w="113" w:type="dxa"/>
      </w:tblCellMar>
    </w:tblPr>
  </w:style>
  <w:style w:type="table" w:customStyle="1" w:styleId="a5">
    <w:basedOn w:val="TableNormal"/>
    <w:tblPr>
      <w:tblStyleRowBandSize w:val="1"/>
      <w:tblStyleColBandSize w:val="1"/>
      <w:tblCellMar>
        <w:left w:w="113" w:type="dxa"/>
        <w:right w:w="115" w:type="dxa"/>
      </w:tblCellMar>
    </w:tblPr>
  </w:style>
  <w:style w:type="table" w:customStyle="1" w:styleId="a6">
    <w:basedOn w:val="TableNormal"/>
    <w:tblPr>
      <w:tblStyleRowBandSize w:val="1"/>
      <w:tblStyleColBandSize w:val="1"/>
      <w:tblCellMar>
        <w:left w:w="113" w:type="dxa"/>
        <w:right w:w="115" w:type="dxa"/>
      </w:tblCellMar>
    </w:tblPr>
  </w:style>
  <w:style w:type="table" w:customStyle="1" w:styleId="a7">
    <w:basedOn w:val="TableNormal"/>
    <w:tblPr>
      <w:tblStyleRowBandSize w:val="1"/>
      <w:tblStyleColBandSize w:val="1"/>
      <w:tblCellMar>
        <w:left w:w="113" w:type="dxa"/>
        <w:right w:w="115" w:type="dxa"/>
      </w:tblCellMar>
    </w:tblPr>
  </w:style>
  <w:style w:type="table" w:customStyle="1" w:styleId="a8">
    <w:basedOn w:val="TableNormal"/>
    <w:tblPr>
      <w:tblStyleRowBandSize w:val="1"/>
      <w:tblStyleColBandSize w:val="1"/>
      <w:tblCellMar>
        <w:left w:w="113" w:type="dxa"/>
        <w:right w:w="115" w:type="dxa"/>
      </w:tblCellMar>
    </w:tblPr>
  </w:style>
  <w:style w:type="table" w:customStyle="1" w:styleId="a9">
    <w:basedOn w:val="TableNormal"/>
    <w:tblPr>
      <w:tblStyleRowBandSize w:val="1"/>
      <w:tblStyleColBandSize w:val="1"/>
      <w:tblCellMar>
        <w:left w:w="113" w:type="dxa"/>
        <w:right w:w="115" w:type="dxa"/>
      </w:tblCellMar>
    </w:tblPr>
  </w:style>
  <w:style w:type="table" w:customStyle="1" w:styleId="aa">
    <w:basedOn w:val="TableNormal"/>
    <w:tblPr>
      <w:tblStyleRowBandSize w:val="1"/>
      <w:tblStyleColBandSize w:val="1"/>
      <w:tblCellMar>
        <w:left w:w="113" w:type="dxa"/>
        <w:right w:w="115" w:type="dxa"/>
      </w:tblCellMar>
    </w:tblPr>
  </w:style>
  <w:style w:type="table" w:customStyle="1" w:styleId="ab">
    <w:basedOn w:val="TableNormal"/>
    <w:tblPr>
      <w:tblStyleRowBandSize w:val="1"/>
      <w:tblStyleColBandSize w:val="1"/>
      <w:tblCellMar>
        <w:left w:w="113" w:type="dxa"/>
        <w:right w:w="113" w:type="dxa"/>
      </w:tblCellMar>
    </w:tblPr>
  </w:style>
  <w:style w:type="table" w:customStyle="1" w:styleId="ac">
    <w:basedOn w:val="TableNormal"/>
    <w:tblPr>
      <w:tblStyleRowBandSize w:val="1"/>
      <w:tblStyleColBandSize w:val="1"/>
      <w:tblCellMar>
        <w:left w:w="113" w:type="dxa"/>
        <w:right w:w="113" w:type="dxa"/>
      </w:tblCellMar>
    </w:tblPr>
  </w:style>
  <w:style w:type="table" w:customStyle="1" w:styleId="ad">
    <w:basedOn w:val="TableNormal"/>
    <w:tblPr>
      <w:tblStyleRowBandSize w:val="1"/>
      <w:tblStyleColBandSize w:val="1"/>
      <w:tblCellMar>
        <w:left w:w="113" w:type="dxa"/>
        <w:right w:w="113" w:type="dxa"/>
      </w:tblCellMar>
    </w:tblPr>
  </w:style>
  <w:style w:type="table" w:customStyle="1" w:styleId="ae">
    <w:basedOn w:val="TableNormal"/>
    <w:tblPr>
      <w:tblStyleRowBandSize w:val="1"/>
      <w:tblStyleColBandSize w:val="1"/>
      <w:tblCellMar>
        <w:left w:w="113" w:type="dxa"/>
        <w:right w:w="113" w:type="dxa"/>
      </w:tblCellMar>
    </w:tblPr>
  </w:style>
  <w:style w:type="table" w:customStyle="1" w:styleId="af">
    <w:basedOn w:val="TableNormal"/>
    <w:tblPr>
      <w:tblStyleRowBandSize w:val="1"/>
      <w:tblStyleColBandSize w:val="1"/>
      <w:tblCellMar>
        <w:left w:w="113" w:type="dxa"/>
        <w:right w:w="113" w:type="dxa"/>
      </w:tblCellMar>
    </w:tblPr>
  </w:style>
  <w:style w:type="table" w:customStyle="1" w:styleId="af0">
    <w:basedOn w:val="TableNormal"/>
    <w:tblPr>
      <w:tblStyleRowBandSize w:val="1"/>
      <w:tblStyleColBandSize w:val="1"/>
      <w:tblCellMar>
        <w:left w:w="113" w:type="dxa"/>
        <w:right w:w="113" w:type="dxa"/>
      </w:tblCellMar>
    </w:tblPr>
  </w:style>
  <w:style w:type="table" w:customStyle="1" w:styleId="af1">
    <w:basedOn w:val="TableNormal"/>
    <w:tblPr>
      <w:tblStyleRowBandSize w:val="1"/>
      <w:tblStyleColBandSize w:val="1"/>
      <w:tblCellMar>
        <w:left w:w="113" w:type="dxa"/>
        <w:right w:w="113" w:type="dxa"/>
      </w:tblCellMar>
    </w:tblPr>
  </w:style>
  <w:style w:type="table" w:customStyle="1" w:styleId="af2">
    <w:basedOn w:val="TableNormal"/>
    <w:tblPr>
      <w:tblStyleRowBandSize w:val="1"/>
      <w:tblStyleColBandSize w:val="1"/>
      <w:tblCellMar>
        <w:left w:w="113" w:type="dxa"/>
        <w:right w:w="113" w:type="dxa"/>
      </w:tblCellMar>
    </w:tblPr>
  </w:style>
  <w:style w:type="table" w:customStyle="1" w:styleId="af3">
    <w:basedOn w:val="TableNormal"/>
    <w:tblPr>
      <w:tblStyleRowBandSize w:val="1"/>
      <w:tblStyleColBandSize w:val="1"/>
      <w:tblCellMar>
        <w:left w:w="113" w:type="dxa"/>
        <w:right w:w="113" w:type="dxa"/>
      </w:tblCellMar>
    </w:tblPr>
  </w:style>
  <w:style w:type="table" w:customStyle="1" w:styleId="af4">
    <w:basedOn w:val="TableNormal"/>
    <w:tblPr>
      <w:tblStyleRowBandSize w:val="1"/>
      <w:tblStyleColBandSize w:val="1"/>
      <w:tblCellMar>
        <w:left w:w="113" w:type="dxa"/>
        <w:right w:w="113" w:type="dxa"/>
      </w:tblCellMar>
    </w:tblPr>
  </w:style>
  <w:style w:type="table" w:customStyle="1" w:styleId="af5">
    <w:basedOn w:val="TableNormal"/>
    <w:tblPr>
      <w:tblStyleRowBandSize w:val="1"/>
      <w:tblStyleColBandSize w:val="1"/>
      <w:tblCellMar>
        <w:left w:w="113" w:type="dxa"/>
        <w:right w:w="113" w:type="dxa"/>
      </w:tblCellMar>
    </w:tblPr>
  </w:style>
  <w:style w:type="table" w:customStyle="1" w:styleId="af6">
    <w:basedOn w:val="TableNormal"/>
    <w:tblPr>
      <w:tblStyleRowBandSize w:val="1"/>
      <w:tblStyleColBandSize w:val="1"/>
      <w:tblCellMar>
        <w:left w:w="113" w:type="dxa"/>
        <w:right w:w="113"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CellMar>
        <w:left w:w="113" w:type="dxa"/>
        <w:right w:w="113" w:type="dxa"/>
      </w:tblCellMar>
    </w:tblPr>
  </w:style>
  <w:style w:type="table" w:customStyle="1" w:styleId="af9">
    <w:basedOn w:val="TableNormal"/>
    <w:tblPr>
      <w:tblStyleRowBandSize w:val="1"/>
      <w:tblStyleColBandSize w:val="1"/>
      <w:tblCellMar>
        <w:left w:w="113" w:type="dxa"/>
        <w:right w:w="113" w:type="dxa"/>
      </w:tblCellMar>
    </w:tblPr>
  </w:style>
  <w:style w:type="table" w:customStyle="1" w:styleId="afa">
    <w:basedOn w:val="TableNormal"/>
    <w:tblPr>
      <w:tblStyleRowBandSize w:val="1"/>
      <w:tblStyleColBandSize w:val="1"/>
      <w:tblCellMar>
        <w:left w:w="113" w:type="dxa"/>
        <w:right w:w="113" w:type="dxa"/>
      </w:tblCellMar>
    </w:tblPr>
  </w:style>
  <w:style w:type="table" w:customStyle="1" w:styleId="afb">
    <w:basedOn w:val="TableNormal"/>
    <w:tblPr>
      <w:tblStyleRowBandSize w:val="1"/>
      <w:tblStyleColBandSize w:val="1"/>
      <w:tblCellMar>
        <w:left w:w="113" w:type="dxa"/>
        <w:right w:w="113" w:type="dxa"/>
      </w:tblCellMar>
    </w:tblPr>
  </w:style>
  <w:style w:type="table" w:customStyle="1" w:styleId="afc">
    <w:basedOn w:val="TableNormal"/>
    <w:tblPr>
      <w:tblStyleRowBandSize w:val="1"/>
      <w:tblStyleColBandSize w:val="1"/>
      <w:tblCellMar>
        <w:left w:w="113" w:type="dxa"/>
        <w:right w:w="113" w:type="dxa"/>
      </w:tblCellMar>
    </w:tblPr>
  </w:style>
  <w:style w:type="table" w:customStyle="1" w:styleId="afd">
    <w:basedOn w:val="TableNormal"/>
    <w:tblPr>
      <w:tblStyleRowBandSize w:val="1"/>
      <w:tblStyleColBandSize w:val="1"/>
      <w:tblCellMar>
        <w:left w:w="113" w:type="dxa"/>
        <w:right w:w="113" w:type="dxa"/>
      </w:tblCellMar>
    </w:tblPr>
  </w:style>
  <w:style w:type="table" w:customStyle="1" w:styleId="afe">
    <w:basedOn w:val="TableNormal"/>
    <w:tblPr>
      <w:tblStyleRowBandSize w:val="1"/>
      <w:tblStyleColBandSize w:val="1"/>
      <w:tblCellMar>
        <w:left w:w="113" w:type="dxa"/>
        <w:right w:w="113" w:type="dxa"/>
      </w:tblCellMar>
    </w:tblPr>
  </w:style>
  <w:style w:type="table" w:customStyle="1" w:styleId="aff">
    <w:basedOn w:val="TableNormal"/>
    <w:tblPr>
      <w:tblStyleRowBandSize w:val="1"/>
      <w:tblStyleColBandSize w:val="1"/>
      <w:tblCellMar>
        <w:left w:w="113" w:type="dxa"/>
        <w:right w:w="113" w:type="dxa"/>
      </w:tblCellMar>
    </w:tblPr>
  </w:style>
  <w:style w:type="table" w:customStyle="1" w:styleId="aff0">
    <w:basedOn w:val="TableNormal"/>
    <w:tblPr>
      <w:tblStyleRowBandSize w:val="1"/>
      <w:tblStyleColBandSize w:val="1"/>
      <w:tblCellMar>
        <w:left w:w="113" w:type="dxa"/>
        <w:right w:w="113" w:type="dxa"/>
      </w:tblCellMar>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CellMar>
        <w:left w:w="113" w:type="dxa"/>
        <w:right w:w="113" w:type="dxa"/>
      </w:tblCellMar>
    </w:tblPr>
  </w:style>
  <w:style w:type="table" w:customStyle="1" w:styleId="aff3">
    <w:basedOn w:val="TableNormal"/>
    <w:tblPr>
      <w:tblStyleRowBandSize w:val="1"/>
      <w:tblStyleColBandSize w:val="1"/>
      <w:tblCellMar>
        <w:left w:w="113" w:type="dxa"/>
        <w:right w:w="113" w:type="dxa"/>
      </w:tblCellMar>
    </w:tblPr>
  </w:style>
  <w:style w:type="table" w:customStyle="1" w:styleId="aff4">
    <w:basedOn w:val="TableNormal"/>
    <w:tblPr>
      <w:tblStyleRowBandSize w:val="1"/>
      <w:tblStyleColBandSize w:val="1"/>
      <w:tblCellMar>
        <w:left w:w="113" w:type="dxa"/>
        <w:right w:w="113" w:type="dxa"/>
      </w:tblCellMar>
    </w:tblPr>
  </w:style>
  <w:style w:type="table" w:customStyle="1" w:styleId="aff5">
    <w:basedOn w:val="TableNormal"/>
    <w:tblPr>
      <w:tblStyleRowBandSize w:val="1"/>
      <w:tblStyleColBandSize w:val="1"/>
      <w:tblCellMar>
        <w:left w:w="113" w:type="dxa"/>
        <w:right w:w="113" w:type="dxa"/>
      </w:tblCellMar>
    </w:tblPr>
  </w:style>
  <w:style w:type="table" w:customStyle="1" w:styleId="aff6">
    <w:basedOn w:val="TableNormal"/>
    <w:tblPr>
      <w:tblStyleRowBandSize w:val="1"/>
      <w:tblStyleColBandSize w:val="1"/>
      <w:tblCellMar>
        <w:left w:w="113" w:type="dxa"/>
        <w:right w:w="113" w:type="dxa"/>
      </w:tblCellMar>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CellMar>
        <w:left w:w="113" w:type="dxa"/>
        <w:right w:w="113" w:type="dxa"/>
      </w:tblCellMar>
    </w:tblPr>
  </w:style>
  <w:style w:type="table" w:customStyle="1" w:styleId="aff9">
    <w:basedOn w:val="TableNormal"/>
    <w:tblPr>
      <w:tblStyleRowBandSize w:val="1"/>
      <w:tblStyleColBandSize w:val="1"/>
      <w:tblCellMar>
        <w:left w:w="113" w:type="dxa"/>
        <w:right w:w="113" w:type="dxa"/>
      </w:tblCellMar>
    </w:tblPr>
  </w:style>
  <w:style w:type="table" w:customStyle="1" w:styleId="affa">
    <w:basedOn w:val="TableNormal"/>
    <w:tblPr>
      <w:tblStyleRowBandSize w:val="1"/>
      <w:tblStyleColBandSize w:val="1"/>
      <w:tblCellMar>
        <w:left w:w="113" w:type="dxa"/>
        <w:right w:w="113" w:type="dxa"/>
      </w:tblCellMar>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CellMar>
        <w:left w:w="113" w:type="dxa"/>
        <w:right w:w="113" w:type="dxa"/>
      </w:tblCellMar>
    </w:tblPr>
  </w:style>
  <w:style w:type="table" w:customStyle="1" w:styleId="affd">
    <w:basedOn w:val="TableNormal"/>
    <w:tblPr>
      <w:tblStyleRowBandSize w:val="1"/>
      <w:tblStyleColBandSize w:val="1"/>
      <w:tblCellMar>
        <w:left w:w="113" w:type="dxa"/>
        <w:right w:w="113" w:type="dxa"/>
      </w:tblCellMar>
    </w:tblPr>
  </w:style>
  <w:style w:type="table" w:customStyle="1" w:styleId="affe">
    <w:basedOn w:val="TableNormal"/>
    <w:tblPr>
      <w:tblStyleRowBandSize w:val="1"/>
      <w:tblStyleColBandSize w:val="1"/>
      <w:tblCellMar>
        <w:left w:w="113" w:type="dxa"/>
        <w:right w:w="113" w:type="dxa"/>
      </w:tblCellMar>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CellMar>
        <w:left w:w="113" w:type="dxa"/>
        <w:right w:w="113" w:type="dxa"/>
      </w:tblCellMar>
    </w:tblPr>
  </w:style>
  <w:style w:type="table" w:customStyle="1" w:styleId="afff1">
    <w:basedOn w:val="TableNormal"/>
    <w:tblPr>
      <w:tblStyleRowBandSize w:val="1"/>
      <w:tblStyleColBandSize w:val="1"/>
      <w:tblCellMar>
        <w:left w:w="113" w:type="dxa"/>
        <w:right w:w="113" w:type="dxa"/>
      </w:tblCellMar>
    </w:tblPr>
  </w:style>
  <w:style w:type="table" w:customStyle="1" w:styleId="afff2">
    <w:basedOn w:val="TableNormal"/>
    <w:tblPr>
      <w:tblStyleRowBandSize w:val="1"/>
      <w:tblStyleColBandSize w:val="1"/>
      <w:tblCellMar>
        <w:left w:w="113" w:type="dxa"/>
        <w:right w:w="113" w:type="dxa"/>
      </w:tblCellMar>
    </w:tblPr>
  </w:style>
  <w:style w:type="table" w:customStyle="1" w:styleId="afff3">
    <w:basedOn w:val="TableNormal"/>
    <w:tblPr>
      <w:tblStyleRowBandSize w:val="1"/>
      <w:tblStyleColBandSize w:val="1"/>
      <w:tblCellMar>
        <w:left w:w="113" w:type="dxa"/>
        <w:right w:w="113" w:type="dxa"/>
      </w:tblCellMar>
    </w:tblPr>
  </w:style>
  <w:style w:type="table" w:customStyle="1" w:styleId="afff4">
    <w:basedOn w:val="TableNormal"/>
    <w:tblPr>
      <w:tblStyleRowBandSize w:val="1"/>
      <w:tblStyleColBandSize w:val="1"/>
      <w:tblCellMar>
        <w:left w:w="113" w:type="dxa"/>
        <w:right w:w="113" w:type="dxa"/>
      </w:tblCellMar>
    </w:tblPr>
  </w:style>
  <w:style w:type="table" w:customStyle="1" w:styleId="afff5">
    <w:basedOn w:val="TableNormal"/>
    <w:tblPr>
      <w:tblStyleRowBandSize w:val="1"/>
      <w:tblStyleColBandSize w:val="1"/>
      <w:tblCellMar>
        <w:left w:w="113" w:type="dxa"/>
        <w:right w:w="113" w:type="dxa"/>
      </w:tblCellMar>
    </w:tblPr>
  </w:style>
  <w:style w:type="table" w:customStyle="1" w:styleId="afff6">
    <w:basedOn w:val="TableNormal"/>
    <w:tblPr>
      <w:tblStyleRowBandSize w:val="1"/>
      <w:tblStyleColBandSize w:val="1"/>
      <w:tblCellMar>
        <w:left w:w="113" w:type="dxa"/>
        <w:right w:w="113" w:type="dxa"/>
      </w:tblCellMar>
    </w:tblPr>
  </w:style>
  <w:style w:type="table" w:customStyle="1" w:styleId="afff7">
    <w:basedOn w:val="TableNormal"/>
    <w:tblPr>
      <w:tblStyleRowBandSize w:val="1"/>
      <w:tblStyleColBandSize w:val="1"/>
      <w:tblCellMar>
        <w:left w:w="113" w:type="dxa"/>
        <w:right w:w="113" w:type="dxa"/>
      </w:tblCellMar>
    </w:tblPr>
  </w:style>
  <w:style w:type="table" w:customStyle="1" w:styleId="afff8">
    <w:basedOn w:val="TableNormal"/>
    <w:tblPr>
      <w:tblStyleRowBandSize w:val="1"/>
      <w:tblStyleColBandSize w:val="1"/>
      <w:tblCellMar>
        <w:left w:w="113" w:type="dxa"/>
        <w:right w:w="113" w:type="dxa"/>
      </w:tblCellMar>
    </w:tblPr>
  </w:style>
  <w:style w:type="table" w:customStyle="1" w:styleId="afff9">
    <w:basedOn w:val="TableNormal"/>
    <w:tblPr>
      <w:tblStyleRowBandSize w:val="1"/>
      <w:tblStyleColBandSize w:val="1"/>
      <w:tblCellMar>
        <w:left w:w="113" w:type="dxa"/>
        <w:right w:w="113" w:type="dxa"/>
      </w:tblCellMar>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CellMar>
        <w:left w:w="113" w:type="dxa"/>
        <w:right w:w="113" w:type="dxa"/>
      </w:tblCellMar>
    </w:tblPr>
  </w:style>
  <w:style w:type="table" w:customStyle="1" w:styleId="afffc">
    <w:basedOn w:val="TableNormal"/>
    <w:tblPr>
      <w:tblStyleRowBandSize w:val="1"/>
      <w:tblStyleColBandSize w:val="1"/>
      <w:tblCellMar>
        <w:left w:w="113" w:type="dxa"/>
        <w:right w:w="113" w:type="dxa"/>
      </w:tblCellMar>
    </w:tblPr>
  </w:style>
  <w:style w:type="table" w:customStyle="1" w:styleId="afffd">
    <w:basedOn w:val="TableNormal"/>
    <w:tblPr>
      <w:tblStyleRowBandSize w:val="1"/>
      <w:tblStyleColBandSize w:val="1"/>
      <w:tblCellMar>
        <w:left w:w="113" w:type="dxa"/>
        <w:right w:w="113" w:type="dxa"/>
      </w:tblCellMar>
    </w:tblPr>
  </w:style>
  <w:style w:type="table" w:customStyle="1" w:styleId="afffe">
    <w:basedOn w:val="TableNormal"/>
    <w:tblPr>
      <w:tblStyleRowBandSize w:val="1"/>
      <w:tblStyleColBandSize w:val="1"/>
      <w:tblCellMar>
        <w:left w:w="113" w:type="dxa"/>
        <w:right w:w="113" w:type="dxa"/>
      </w:tblCellMar>
    </w:tblPr>
  </w:style>
  <w:style w:type="table" w:customStyle="1" w:styleId="affff">
    <w:basedOn w:val="TableNormal"/>
    <w:tblPr>
      <w:tblStyleRowBandSize w:val="1"/>
      <w:tblStyleColBandSize w:val="1"/>
      <w:tblCellMar>
        <w:left w:w="113" w:type="dxa"/>
        <w:right w:w="113" w:type="dxa"/>
      </w:tblCellMar>
    </w:tblPr>
  </w:style>
  <w:style w:type="table" w:customStyle="1" w:styleId="affff0">
    <w:basedOn w:val="TableNormal"/>
    <w:tblPr>
      <w:tblStyleRowBandSize w:val="1"/>
      <w:tblStyleColBandSize w:val="1"/>
      <w:tblCellMar>
        <w:left w:w="113" w:type="dxa"/>
        <w:right w:w="113" w:type="dxa"/>
      </w:tblCellMar>
    </w:tblPr>
  </w:style>
  <w:style w:type="table" w:customStyle="1" w:styleId="affff1">
    <w:basedOn w:val="TableNormal"/>
    <w:tblPr>
      <w:tblStyleRowBandSize w:val="1"/>
      <w:tblStyleColBandSize w:val="1"/>
      <w:tblCellMar>
        <w:left w:w="113" w:type="dxa"/>
        <w:right w:w="113" w:type="dxa"/>
      </w:tblCellMar>
    </w:tblPr>
  </w:style>
  <w:style w:type="table" w:customStyle="1" w:styleId="affff2">
    <w:basedOn w:val="TableNormal"/>
    <w:tblPr>
      <w:tblStyleRowBandSize w:val="1"/>
      <w:tblStyleColBandSize w:val="1"/>
      <w:tblCellMar>
        <w:left w:w="113" w:type="dxa"/>
        <w:right w:w="113" w:type="dxa"/>
      </w:tblCellMar>
    </w:tblPr>
  </w:style>
  <w:style w:type="table" w:customStyle="1" w:styleId="affff3">
    <w:basedOn w:val="TableNormal"/>
    <w:tblPr>
      <w:tblStyleRowBandSize w:val="1"/>
      <w:tblStyleColBandSize w:val="1"/>
      <w:tblCellMar>
        <w:left w:w="113" w:type="dxa"/>
        <w:right w:w="113" w:type="dxa"/>
      </w:tblCellMar>
    </w:tblPr>
  </w:style>
  <w:style w:type="table" w:customStyle="1" w:styleId="affff4">
    <w:basedOn w:val="TableNormal"/>
    <w:tblPr>
      <w:tblStyleRowBandSize w:val="1"/>
      <w:tblStyleColBandSize w:val="1"/>
      <w:tblCellMar>
        <w:left w:w="113" w:type="dxa"/>
        <w:right w:w="113" w:type="dxa"/>
      </w:tblCellMar>
    </w:tblPr>
  </w:style>
  <w:style w:type="table" w:customStyle="1" w:styleId="affff5">
    <w:basedOn w:val="TableNormal"/>
    <w:tblPr>
      <w:tblStyleRowBandSize w:val="1"/>
      <w:tblStyleColBandSize w:val="1"/>
      <w:tblCellMar>
        <w:left w:w="113" w:type="dxa"/>
        <w:right w:w="113" w:type="dxa"/>
      </w:tblCellMar>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CellMar>
        <w:left w:w="113" w:type="dxa"/>
        <w:right w:w="113" w:type="dxa"/>
      </w:tblCellMar>
    </w:tblPr>
  </w:style>
  <w:style w:type="table" w:customStyle="1" w:styleId="affff8">
    <w:basedOn w:val="TableNormal"/>
    <w:tblPr>
      <w:tblStyleRowBandSize w:val="1"/>
      <w:tblStyleColBandSize w:val="1"/>
      <w:tblCellMar>
        <w:left w:w="113" w:type="dxa"/>
        <w:right w:w="113" w:type="dxa"/>
      </w:tblCellMar>
    </w:tblPr>
  </w:style>
  <w:style w:type="table" w:customStyle="1" w:styleId="affff9">
    <w:basedOn w:val="TableNormal"/>
    <w:tblPr>
      <w:tblStyleRowBandSize w:val="1"/>
      <w:tblStyleColBandSize w:val="1"/>
      <w:tblCellMar>
        <w:left w:w="113" w:type="dxa"/>
        <w:right w:w="113" w:type="dxa"/>
      </w:tblCellMar>
    </w:tblPr>
  </w:style>
  <w:style w:type="table" w:customStyle="1" w:styleId="affffa">
    <w:basedOn w:val="TableNormal"/>
    <w:tblPr>
      <w:tblStyleRowBandSize w:val="1"/>
      <w:tblStyleColBandSize w:val="1"/>
      <w:tblCellMar>
        <w:left w:w="113" w:type="dxa"/>
        <w:right w:w="113" w:type="dxa"/>
      </w:tblCellMar>
    </w:tblPr>
  </w:style>
  <w:style w:type="table" w:customStyle="1" w:styleId="affffb">
    <w:basedOn w:val="TableNormal"/>
    <w:tblPr>
      <w:tblStyleRowBandSize w:val="1"/>
      <w:tblStyleColBandSize w:val="1"/>
      <w:tblCellMar>
        <w:left w:w="113" w:type="dxa"/>
        <w:right w:w="113" w:type="dxa"/>
      </w:tblCellMar>
    </w:tblPr>
  </w:style>
  <w:style w:type="table" w:customStyle="1" w:styleId="affffc">
    <w:basedOn w:val="TableNormal"/>
    <w:tblPr>
      <w:tblStyleRowBandSize w:val="1"/>
      <w:tblStyleColBandSize w:val="1"/>
      <w:tblCellMar>
        <w:left w:w="113" w:type="dxa"/>
        <w:right w:w="113" w:type="dxa"/>
      </w:tblCellMar>
    </w:tblPr>
  </w:style>
  <w:style w:type="table" w:customStyle="1" w:styleId="affffd">
    <w:basedOn w:val="TableNormal"/>
    <w:tblPr>
      <w:tblStyleRowBandSize w:val="1"/>
      <w:tblStyleColBandSize w:val="1"/>
      <w:tblCellMar>
        <w:left w:w="113" w:type="dxa"/>
        <w:right w:w="113" w:type="dxa"/>
      </w:tblCellMar>
    </w:tblPr>
  </w:style>
  <w:style w:type="table" w:customStyle="1" w:styleId="affffe">
    <w:basedOn w:val="TableNormal"/>
    <w:tblPr>
      <w:tblStyleRowBandSize w:val="1"/>
      <w:tblStyleColBandSize w:val="1"/>
      <w:tblCellMar>
        <w:left w:w="113" w:type="dxa"/>
        <w:right w:w="113" w:type="dxa"/>
      </w:tblCellMar>
    </w:tblPr>
  </w:style>
  <w:style w:type="table" w:customStyle="1" w:styleId="afffff">
    <w:basedOn w:val="TableNormal"/>
    <w:tblPr>
      <w:tblStyleRowBandSize w:val="1"/>
      <w:tblStyleColBandSize w:val="1"/>
      <w:tblCellMar>
        <w:left w:w="113" w:type="dxa"/>
        <w:right w:w="113" w:type="dxa"/>
      </w:tblCellMar>
    </w:tblPr>
  </w:style>
  <w:style w:type="table" w:customStyle="1" w:styleId="afffff0">
    <w:basedOn w:val="TableNormal"/>
    <w:tblPr>
      <w:tblStyleRowBandSize w:val="1"/>
      <w:tblStyleColBandSize w:val="1"/>
      <w:tblCellMar>
        <w:left w:w="113" w:type="dxa"/>
        <w:right w:w="113" w:type="dxa"/>
      </w:tblCellMar>
    </w:tblPr>
  </w:style>
  <w:style w:type="table" w:customStyle="1" w:styleId="afffff1">
    <w:basedOn w:val="TableNormal"/>
    <w:tblPr>
      <w:tblStyleRowBandSize w:val="1"/>
      <w:tblStyleColBandSize w:val="1"/>
      <w:tblCellMar>
        <w:left w:w="113" w:type="dxa"/>
        <w:right w:w="113" w:type="dxa"/>
      </w:tblCellMar>
    </w:tblPr>
  </w:style>
  <w:style w:type="table" w:customStyle="1" w:styleId="afffff2">
    <w:basedOn w:val="TableNormal"/>
    <w:tblPr>
      <w:tblStyleRowBandSize w:val="1"/>
      <w:tblStyleColBandSize w:val="1"/>
      <w:tblCellMar>
        <w:left w:w="113" w:type="dxa"/>
        <w:right w:w="113" w:type="dxa"/>
      </w:tblCellMar>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CellMar>
        <w:left w:w="113" w:type="dxa"/>
        <w:right w:w="113" w:type="dxa"/>
      </w:tblCellMar>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CellMar>
        <w:left w:w="113" w:type="dxa"/>
        <w:right w:w="113" w:type="dxa"/>
      </w:tblCellMar>
    </w:tblPr>
  </w:style>
  <w:style w:type="table" w:customStyle="1" w:styleId="afffff7">
    <w:basedOn w:val="TableNormal"/>
    <w:tblPr>
      <w:tblStyleRowBandSize w:val="1"/>
      <w:tblStyleColBandSize w:val="1"/>
      <w:tblCellMar>
        <w:left w:w="113" w:type="dxa"/>
        <w:right w:w="113" w:type="dxa"/>
      </w:tblCellMar>
    </w:tblPr>
  </w:style>
  <w:style w:type="table" w:customStyle="1" w:styleId="afffff8">
    <w:basedOn w:val="TableNormal"/>
    <w:tblPr>
      <w:tblStyleRowBandSize w:val="1"/>
      <w:tblStyleColBandSize w:val="1"/>
      <w:tblCellMar>
        <w:left w:w="113" w:type="dxa"/>
        <w:right w:w="113" w:type="dxa"/>
      </w:tblCellMar>
    </w:tblPr>
  </w:style>
  <w:style w:type="table" w:customStyle="1" w:styleId="afffff9">
    <w:basedOn w:val="TableNormal"/>
    <w:tblPr>
      <w:tblStyleRowBandSize w:val="1"/>
      <w:tblStyleColBandSize w:val="1"/>
      <w:tblCellMar>
        <w:left w:w="113" w:type="dxa"/>
        <w:right w:w="113" w:type="dxa"/>
      </w:tblCellMar>
    </w:tblPr>
  </w:style>
  <w:style w:type="table" w:customStyle="1" w:styleId="afffffa">
    <w:basedOn w:val="TableNormal"/>
    <w:tblPr>
      <w:tblStyleRowBandSize w:val="1"/>
      <w:tblStyleColBandSize w:val="1"/>
      <w:tblCellMar>
        <w:left w:w="113" w:type="dxa"/>
        <w:right w:w="113" w:type="dxa"/>
      </w:tblCellMar>
    </w:tblPr>
  </w:style>
  <w:style w:type="table" w:customStyle="1" w:styleId="afffffb">
    <w:basedOn w:val="TableNormal"/>
    <w:tblPr>
      <w:tblStyleRowBandSize w:val="1"/>
      <w:tblStyleColBandSize w:val="1"/>
      <w:tblCellMar>
        <w:left w:w="113" w:type="dxa"/>
        <w:right w:w="113" w:type="dxa"/>
      </w:tblCellMar>
    </w:tblPr>
  </w:style>
  <w:style w:type="table" w:customStyle="1" w:styleId="afffffc">
    <w:basedOn w:val="TableNormal"/>
    <w:tblPr>
      <w:tblStyleRowBandSize w:val="1"/>
      <w:tblStyleColBandSize w:val="1"/>
      <w:tblCellMar>
        <w:left w:w="113" w:type="dxa"/>
        <w:right w:w="113" w:type="dxa"/>
      </w:tblCellMar>
    </w:tblPr>
  </w:style>
  <w:style w:type="table" w:customStyle="1" w:styleId="afffffd">
    <w:basedOn w:val="TableNormal"/>
    <w:tblPr>
      <w:tblStyleRowBandSize w:val="1"/>
      <w:tblStyleColBandSize w:val="1"/>
      <w:tblCellMar>
        <w:left w:w="113" w:type="dxa"/>
        <w:right w:w="113" w:type="dxa"/>
      </w:tblCellMar>
    </w:tblPr>
  </w:style>
  <w:style w:type="table" w:customStyle="1" w:styleId="afffffe">
    <w:basedOn w:val="TableNormal"/>
    <w:tblPr>
      <w:tblStyleRowBandSize w:val="1"/>
      <w:tblStyleColBandSize w:val="1"/>
      <w:tblCellMar>
        <w:left w:w="113" w:type="dxa"/>
        <w:right w:w="113" w:type="dxa"/>
      </w:tblCellMar>
    </w:tblPr>
  </w:style>
  <w:style w:type="table" w:customStyle="1" w:styleId="affffff">
    <w:basedOn w:val="TableNormal"/>
    <w:tblPr>
      <w:tblStyleRowBandSize w:val="1"/>
      <w:tblStyleColBandSize w:val="1"/>
      <w:tblCellMar>
        <w:left w:w="113" w:type="dxa"/>
        <w:right w:w="113" w:type="dxa"/>
      </w:tblCellMar>
    </w:tblPr>
  </w:style>
  <w:style w:type="table" w:customStyle="1" w:styleId="affffff0">
    <w:basedOn w:val="TableNormal"/>
    <w:tblPr>
      <w:tblStyleRowBandSize w:val="1"/>
      <w:tblStyleColBandSize w:val="1"/>
      <w:tblCellMar>
        <w:left w:w="113" w:type="dxa"/>
        <w:right w:w="113" w:type="dxa"/>
      </w:tblCellMar>
    </w:tblPr>
  </w:style>
  <w:style w:type="table" w:customStyle="1" w:styleId="affffff1">
    <w:basedOn w:val="TableNormal"/>
    <w:tblPr>
      <w:tblStyleRowBandSize w:val="1"/>
      <w:tblStyleColBandSize w:val="1"/>
      <w:tblCellMar>
        <w:left w:w="113" w:type="dxa"/>
        <w:right w:w="115" w:type="dxa"/>
      </w:tblCellMar>
    </w:tblPr>
  </w:style>
  <w:style w:type="table" w:customStyle="1" w:styleId="affffff2">
    <w:basedOn w:val="TableNormal"/>
    <w:tblPr>
      <w:tblStyleRowBandSize w:val="1"/>
      <w:tblStyleColBandSize w:val="1"/>
      <w:tblCellMar>
        <w:left w:w="113" w:type="dxa"/>
        <w:right w:w="113" w:type="dxa"/>
      </w:tblCellMar>
    </w:tblPr>
  </w:style>
  <w:style w:type="table" w:customStyle="1" w:styleId="affffff3">
    <w:basedOn w:val="TableNormal"/>
    <w:tblPr>
      <w:tblStyleRowBandSize w:val="1"/>
      <w:tblStyleColBandSize w:val="1"/>
      <w:tblCellMar>
        <w:left w:w="113" w:type="dxa"/>
        <w:right w:w="113" w:type="dxa"/>
      </w:tblCellMar>
    </w:tblPr>
  </w:style>
  <w:style w:type="table" w:customStyle="1" w:styleId="affffff4">
    <w:basedOn w:val="TableNormal"/>
    <w:tblPr>
      <w:tblStyleRowBandSize w:val="1"/>
      <w:tblStyleColBandSize w:val="1"/>
      <w:tblCellMar>
        <w:left w:w="113" w:type="dxa"/>
        <w:right w:w="115" w:type="dxa"/>
      </w:tblCellMar>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CellMar>
        <w:left w:w="113" w:type="dxa"/>
        <w:right w:w="113" w:type="dxa"/>
      </w:tblCellMar>
    </w:tblPr>
  </w:style>
  <w:style w:type="table" w:customStyle="1" w:styleId="affffff7">
    <w:basedOn w:val="TableNormal"/>
    <w:tblPr>
      <w:tblStyleRowBandSize w:val="1"/>
      <w:tblStyleColBandSize w:val="1"/>
      <w:tblCellMar>
        <w:left w:w="113" w:type="dxa"/>
        <w:right w:w="113" w:type="dxa"/>
      </w:tblCellMar>
    </w:tblPr>
  </w:style>
  <w:style w:type="table" w:customStyle="1" w:styleId="affffff8">
    <w:basedOn w:val="TableNormal"/>
    <w:tblPr>
      <w:tblStyleRowBandSize w:val="1"/>
      <w:tblStyleColBandSize w:val="1"/>
      <w:tblCellMar>
        <w:left w:w="110" w:type="dxa"/>
        <w:right w:w="110" w:type="dxa"/>
      </w:tblCellMar>
    </w:tblPr>
  </w:style>
  <w:style w:type="table" w:customStyle="1" w:styleId="affffff9">
    <w:basedOn w:val="TableNormal"/>
    <w:tblPr>
      <w:tblStyleRowBandSize w:val="1"/>
      <w:tblStyleColBandSize w:val="1"/>
      <w:tblCellMar>
        <w:left w:w="113" w:type="dxa"/>
        <w:right w:w="113" w:type="dxa"/>
      </w:tblCellMar>
    </w:tblPr>
  </w:style>
  <w:style w:type="table" w:customStyle="1" w:styleId="affffffa">
    <w:basedOn w:val="TableNormal"/>
    <w:tblPr>
      <w:tblStyleRowBandSize w:val="1"/>
      <w:tblStyleColBandSize w:val="1"/>
      <w:tblCellMar>
        <w:left w:w="113" w:type="dxa"/>
        <w:right w:w="113" w:type="dxa"/>
      </w:tblCellMar>
    </w:tblPr>
  </w:style>
  <w:style w:type="table" w:customStyle="1" w:styleId="affffffb">
    <w:basedOn w:val="TableNormal"/>
    <w:tblPr>
      <w:tblStyleRowBandSize w:val="1"/>
      <w:tblStyleColBandSize w:val="1"/>
      <w:tblCellMar>
        <w:left w:w="113" w:type="dxa"/>
        <w:right w:w="113" w:type="dxa"/>
      </w:tblCellMar>
    </w:tblPr>
  </w:style>
  <w:style w:type="table" w:customStyle="1" w:styleId="affffffc">
    <w:basedOn w:val="TableNormal"/>
    <w:tblPr>
      <w:tblStyleRowBandSize w:val="1"/>
      <w:tblStyleColBandSize w:val="1"/>
      <w:tblCellMar>
        <w:left w:w="113" w:type="dxa"/>
        <w:right w:w="113" w:type="dxa"/>
      </w:tblCellMar>
    </w:tblPr>
  </w:style>
  <w:style w:type="table" w:customStyle="1" w:styleId="affffffd">
    <w:basedOn w:val="TableNormal"/>
    <w:tblPr>
      <w:tblStyleRowBandSize w:val="1"/>
      <w:tblStyleColBandSize w:val="1"/>
      <w:tblCellMar>
        <w:left w:w="113" w:type="dxa"/>
        <w:right w:w="113" w:type="dxa"/>
      </w:tblCellMar>
    </w:tblPr>
  </w:style>
  <w:style w:type="table" w:customStyle="1" w:styleId="affffffe">
    <w:basedOn w:val="TableNormal"/>
    <w:tblPr>
      <w:tblStyleRowBandSize w:val="1"/>
      <w:tblStyleColBandSize w:val="1"/>
      <w:tblCellMar>
        <w:left w:w="113" w:type="dxa"/>
        <w:right w:w="113" w:type="dxa"/>
      </w:tblCellMar>
    </w:tblPr>
  </w:style>
  <w:style w:type="table" w:customStyle="1" w:styleId="afffffff">
    <w:basedOn w:val="TableNormal"/>
    <w:tblPr>
      <w:tblStyleRowBandSize w:val="1"/>
      <w:tblStyleColBandSize w:val="1"/>
      <w:tblCellMar>
        <w:left w:w="113" w:type="dxa"/>
        <w:right w:w="113" w:type="dxa"/>
      </w:tblCellMar>
    </w:tblPr>
  </w:style>
  <w:style w:type="table" w:customStyle="1" w:styleId="afffffff0">
    <w:basedOn w:val="TableNormal"/>
    <w:tblPr>
      <w:tblStyleRowBandSize w:val="1"/>
      <w:tblStyleColBandSize w:val="1"/>
      <w:tblCellMar>
        <w:left w:w="113" w:type="dxa"/>
        <w:right w:w="113" w:type="dxa"/>
      </w:tblCellMar>
    </w:tblPr>
  </w:style>
  <w:style w:type="table" w:customStyle="1" w:styleId="afffffff1">
    <w:basedOn w:val="TableNormal"/>
    <w:tblPr>
      <w:tblStyleRowBandSize w:val="1"/>
      <w:tblStyleColBandSize w:val="1"/>
      <w:tblCellMar>
        <w:left w:w="113" w:type="dxa"/>
        <w:right w:w="113" w:type="dxa"/>
      </w:tblCellMar>
    </w:tblPr>
  </w:style>
  <w:style w:type="table" w:customStyle="1" w:styleId="afffffff2">
    <w:basedOn w:val="TableNormal"/>
    <w:tblPr>
      <w:tblStyleRowBandSize w:val="1"/>
      <w:tblStyleColBandSize w:val="1"/>
      <w:tblCellMar>
        <w:left w:w="113" w:type="dxa"/>
        <w:right w:w="113" w:type="dxa"/>
      </w:tblCellMar>
    </w:tblPr>
  </w:style>
  <w:style w:type="table" w:customStyle="1" w:styleId="afffffff3">
    <w:basedOn w:val="TableNormal"/>
    <w:tblPr>
      <w:tblStyleRowBandSize w:val="1"/>
      <w:tblStyleColBandSize w:val="1"/>
      <w:tblCellMar>
        <w:left w:w="113" w:type="dxa"/>
        <w:right w:w="113" w:type="dxa"/>
      </w:tblCellMar>
    </w:tblPr>
  </w:style>
  <w:style w:type="table" w:customStyle="1" w:styleId="afffffff4">
    <w:basedOn w:val="TableNormal"/>
    <w:tblPr>
      <w:tblStyleRowBandSize w:val="1"/>
      <w:tblStyleColBandSize w:val="1"/>
      <w:tblCellMar>
        <w:left w:w="113" w:type="dxa"/>
        <w:right w:w="113" w:type="dxa"/>
      </w:tblCellMar>
    </w:tblPr>
  </w:style>
  <w:style w:type="table" w:customStyle="1" w:styleId="afffffff5">
    <w:basedOn w:val="TableNormal"/>
    <w:tblPr>
      <w:tblStyleRowBandSize w:val="1"/>
      <w:tblStyleColBandSize w:val="1"/>
      <w:tblCellMar>
        <w:left w:w="113" w:type="dxa"/>
        <w:right w:w="113" w:type="dxa"/>
      </w:tblCellMar>
    </w:tblPr>
  </w:style>
  <w:style w:type="table" w:customStyle="1" w:styleId="afffffff6">
    <w:basedOn w:val="TableNormal"/>
    <w:tblPr>
      <w:tblStyleRowBandSize w:val="1"/>
      <w:tblStyleColBandSize w:val="1"/>
      <w:tblCellMar>
        <w:left w:w="113" w:type="dxa"/>
        <w:right w:w="113" w:type="dxa"/>
      </w:tblCellMar>
    </w:tblPr>
  </w:style>
  <w:style w:type="table" w:customStyle="1" w:styleId="afffffff7">
    <w:basedOn w:val="TableNormal"/>
    <w:tblPr>
      <w:tblStyleRowBandSize w:val="1"/>
      <w:tblStyleColBandSize w:val="1"/>
      <w:tblCellMar>
        <w:left w:w="113" w:type="dxa"/>
        <w:right w:w="113" w:type="dxa"/>
      </w:tblCellMar>
    </w:tblPr>
  </w:style>
  <w:style w:type="table" w:customStyle="1" w:styleId="afffffff8">
    <w:basedOn w:val="TableNormal"/>
    <w:tblPr>
      <w:tblStyleRowBandSize w:val="1"/>
      <w:tblStyleColBandSize w:val="1"/>
      <w:tblCellMar>
        <w:left w:w="113" w:type="dxa"/>
        <w:right w:w="113" w:type="dxa"/>
      </w:tblCellMar>
    </w:tblPr>
  </w:style>
  <w:style w:type="table" w:customStyle="1" w:styleId="afffffff9">
    <w:basedOn w:val="TableNormal"/>
    <w:tblPr>
      <w:tblStyleRowBandSize w:val="1"/>
      <w:tblStyleColBandSize w:val="1"/>
      <w:tblCellMar>
        <w:left w:w="113" w:type="dxa"/>
        <w:right w:w="113" w:type="dxa"/>
      </w:tblCellMar>
    </w:tblPr>
  </w:style>
  <w:style w:type="table" w:customStyle="1" w:styleId="afffffffa">
    <w:basedOn w:val="TableNormal"/>
    <w:tblPr>
      <w:tblStyleRowBandSize w:val="1"/>
      <w:tblStyleColBandSize w:val="1"/>
      <w:tblCellMar>
        <w:left w:w="113" w:type="dxa"/>
        <w:right w:w="113" w:type="dxa"/>
      </w:tblCellMar>
    </w:tblPr>
  </w:style>
  <w:style w:type="table" w:customStyle="1" w:styleId="afffffffb">
    <w:basedOn w:val="TableNormal"/>
    <w:tblPr>
      <w:tblStyleRowBandSize w:val="1"/>
      <w:tblStyleColBandSize w:val="1"/>
      <w:tblCellMar>
        <w:left w:w="113" w:type="dxa"/>
        <w:right w:w="113" w:type="dxa"/>
      </w:tblCellMar>
    </w:tblPr>
  </w:style>
  <w:style w:type="table" w:customStyle="1" w:styleId="afffffffc">
    <w:basedOn w:val="TableNormal"/>
    <w:tblPr>
      <w:tblStyleRowBandSize w:val="1"/>
      <w:tblStyleColBandSize w:val="1"/>
      <w:tblCellMar>
        <w:left w:w="113" w:type="dxa"/>
        <w:right w:w="113" w:type="dxa"/>
      </w:tblCellMar>
    </w:tblPr>
  </w:style>
  <w:style w:type="table" w:customStyle="1" w:styleId="afffffffd">
    <w:basedOn w:val="TableNormal"/>
    <w:tblPr>
      <w:tblStyleRowBandSize w:val="1"/>
      <w:tblStyleColBandSize w:val="1"/>
      <w:tblCellMar>
        <w:left w:w="113" w:type="dxa"/>
        <w:right w:w="113" w:type="dxa"/>
      </w:tblCellMar>
    </w:tblPr>
  </w:style>
  <w:style w:type="table" w:customStyle="1" w:styleId="afffffffe">
    <w:basedOn w:val="TableNormal"/>
    <w:tblPr>
      <w:tblStyleRowBandSize w:val="1"/>
      <w:tblStyleColBandSize w:val="1"/>
      <w:tblCellMar>
        <w:left w:w="113" w:type="dxa"/>
        <w:right w:w="113" w:type="dxa"/>
      </w:tblCellMar>
    </w:tblPr>
  </w:style>
  <w:style w:type="table" w:customStyle="1" w:styleId="affffffff">
    <w:basedOn w:val="TableNormal"/>
    <w:tblPr>
      <w:tblStyleRowBandSize w:val="1"/>
      <w:tblStyleColBandSize w:val="1"/>
      <w:tblCellMar>
        <w:left w:w="113" w:type="dxa"/>
        <w:right w:w="113" w:type="dxa"/>
      </w:tblCellMar>
    </w:tblPr>
  </w:style>
  <w:style w:type="table" w:customStyle="1" w:styleId="affffffff0">
    <w:basedOn w:val="TableNormal"/>
    <w:tblPr>
      <w:tblStyleRowBandSize w:val="1"/>
      <w:tblStyleColBandSize w:val="1"/>
      <w:tblCellMar>
        <w:left w:w="113" w:type="dxa"/>
        <w:right w:w="113" w:type="dxa"/>
      </w:tblCellMar>
    </w:tblPr>
  </w:style>
  <w:style w:type="table" w:customStyle="1" w:styleId="affffffff1">
    <w:basedOn w:val="TableNormal"/>
    <w:tblPr>
      <w:tblStyleRowBandSize w:val="1"/>
      <w:tblStyleColBandSize w:val="1"/>
      <w:tblCellMar>
        <w:left w:w="113" w:type="dxa"/>
        <w:right w:w="113" w:type="dxa"/>
      </w:tblCellMar>
    </w:tblPr>
  </w:style>
  <w:style w:type="table" w:customStyle="1" w:styleId="affffffff2">
    <w:basedOn w:val="TableNormal"/>
    <w:tblPr>
      <w:tblStyleRowBandSize w:val="1"/>
      <w:tblStyleColBandSize w:val="1"/>
      <w:tblCellMar>
        <w:left w:w="113" w:type="dxa"/>
        <w:right w:w="113" w:type="dxa"/>
      </w:tblCellMar>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CellMar>
        <w:left w:w="113" w:type="dxa"/>
        <w:right w:w="113" w:type="dxa"/>
      </w:tblCellMar>
    </w:tblPr>
  </w:style>
  <w:style w:type="table" w:customStyle="1" w:styleId="affffffff5">
    <w:basedOn w:val="TableNormal"/>
    <w:tblPr>
      <w:tblStyleRowBandSize w:val="1"/>
      <w:tblStyleColBandSize w:val="1"/>
      <w:tblCellMar>
        <w:left w:w="113" w:type="dxa"/>
        <w:right w:w="113" w:type="dxa"/>
      </w:tblCellMar>
    </w:tblPr>
  </w:style>
  <w:style w:type="table" w:customStyle="1" w:styleId="affffffff6">
    <w:basedOn w:val="TableNormal"/>
    <w:tblPr>
      <w:tblStyleRowBandSize w:val="1"/>
      <w:tblStyleColBandSize w:val="1"/>
      <w:tblCellMar>
        <w:left w:w="113" w:type="dxa"/>
        <w:right w:w="113" w:type="dxa"/>
      </w:tblCellMar>
    </w:tblPr>
  </w:style>
  <w:style w:type="table" w:customStyle="1" w:styleId="affffffff7">
    <w:basedOn w:val="TableNormal"/>
    <w:tblPr>
      <w:tblStyleRowBandSize w:val="1"/>
      <w:tblStyleColBandSize w:val="1"/>
      <w:tblCellMar>
        <w:left w:w="113" w:type="dxa"/>
        <w:right w:w="113" w:type="dxa"/>
      </w:tblCellMar>
    </w:tblPr>
  </w:style>
  <w:style w:type="table" w:customStyle="1" w:styleId="affffffff8">
    <w:basedOn w:val="TableNormal"/>
    <w:tblPr>
      <w:tblStyleRowBandSize w:val="1"/>
      <w:tblStyleColBandSize w:val="1"/>
      <w:tblCellMar>
        <w:left w:w="113" w:type="dxa"/>
        <w:right w:w="113" w:type="dxa"/>
      </w:tblCellMar>
    </w:tblPr>
  </w:style>
  <w:style w:type="table" w:customStyle="1" w:styleId="affffffff9">
    <w:basedOn w:val="TableNormal"/>
    <w:tblPr>
      <w:tblStyleRowBandSize w:val="1"/>
      <w:tblStyleColBandSize w:val="1"/>
      <w:tblCellMar>
        <w:left w:w="113" w:type="dxa"/>
        <w:right w:w="113" w:type="dxa"/>
      </w:tblCellMar>
    </w:tblPr>
  </w:style>
  <w:style w:type="table" w:customStyle="1" w:styleId="affffffffa">
    <w:basedOn w:val="TableNormal"/>
    <w:tblPr>
      <w:tblStyleRowBandSize w:val="1"/>
      <w:tblStyleColBandSize w:val="1"/>
      <w:tblCellMar>
        <w:left w:w="113" w:type="dxa"/>
        <w:right w:w="113" w:type="dxa"/>
      </w:tblCellMar>
    </w:tblPr>
  </w:style>
  <w:style w:type="table" w:customStyle="1" w:styleId="affffffffb">
    <w:basedOn w:val="TableNormal"/>
    <w:tblPr>
      <w:tblStyleRowBandSize w:val="1"/>
      <w:tblStyleColBandSize w:val="1"/>
      <w:tblCellMar>
        <w:left w:w="113" w:type="dxa"/>
        <w:right w:w="113" w:type="dxa"/>
      </w:tblCellMar>
    </w:tblPr>
  </w:style>
  <w:style w:type="table" w:customStyle="1" w:styleId="affffffffc">
    <w:basedOn w:val="TableNormal"/>
    <w:tblPr>
      <w:tblStyleRowBandSize w:val="1"/>
      <w:tblStyleColBandSize w:val="1"/>
      <w:tblCellMar>
        <w:left w:w="113" w:type="dxa"/>
        <w:right w:w="113" w:type="dxa"/>
      </w:tblCellMar>
    </w:tblPr>
  </w:style>
  <w:style w:type="table" w:customStyle="1" w:styleId="affffffffd">
    <w:basedOn w:val="TableNormal"/>
    <w:tblPr>
      <w:tblStyleRowBandSize w:val="1"/>
      <w:tblStyleColBandSize w:val="1"/>
      <w:tblCellMar>
        <w:left w:w="113" w:type="dxa"/>
        <w:right w:w="113" w:type="dxa"/>
      </w:tblCellMar>
    </w:tblPr>
  </w:style>
  <w:style w:type="table" w:customStyle="1" w:styleId="affffffffe">
    <w:basedOn w:val="TableNormal"/>
    <w:tblPr>
      <w:tblStyleRowBandSize w:val="1"/>
      <w:tblStyleColBandSize w:val="1"/>
      <w:tblCellMar>
        <w:left w:w="113" w:type="dxa"/>
        <w:right w:w="113" w:type="dxa"/>
      </w:tblCellMar>
    </w:tblPr>
  </w:style>
  <w:style w:type="table" w:customStyle="1" w:styleId="afffffffff">
    <w:basedOn w:val="TableNormal"/>
    <w:tblPr>
      <w:tblStyleRowBandSize w:val="1"/>
      <w:tblStyleColBandSize w:val="1"/>
      <w:tblCellMar>
        <w:left w:w="113" w:type="dxa"/>
        <w:right w:w="113" w:type="dxa"/>
      </w:tblCellMar>
    </w:tblPr>
  </w:style>
  <w:style w:type="table" w:customStyle="1" w:styleId="afffffffff0">
    <w:basedOn w:val="TableNormal"/>
    <w:tblPr>
      <w:tblStyleRowBandSize w:val="1"/>
      <w:tblStyleColBandSize w:val="1"/>
      <w:tblCellMar>
        <w:left w:w="113" w:type="dxa"/>
        <w:right w:w="113" w:type="dxa"/>
      </w:tblCellMar>
    </w:tblPr>
  </w:style>
  <w:style w:type="table" w:customStyle="1" w:styleId="afffffffff1">
    <w:basedOn w:val="TableNormal"/>
    <w:tblPr>
      <w:tblStyleRowBandSize w:val="1"/>
      <w:tblStyleColBandSize w:val="1"/>
      <w:tblCellMar>
        <w:left w:w="113" w:type="dxa"/>
        <w:right w:w="113" w:type="dxa"/>
      </w:tblCellMar>
    </w:tblPr>
  </w:style>
  <w:style w:type="table" w:customStyle="1" w:styleId="afffffffff2">
    <w:basedOn w:val="TableNormal"/>
    <w:tblPr>
      <w:tblStyleRowBandSize w:val="1"/>
      <w:tblStyleColBandSize w:val="1"/>
      <w:tblCellMar>
        <w:left w:w="113" w:type="dxa"/>
        <w:right w:w="113" w:type="dxa"/>
      </w:tblCellMar>
    </w:tblPr>
  </w:style>
  <w:style w:type="table" w:customStyle="1" w:styleId="afffffffff3">
    <w:basedOn w:val="TableNormal"/>
    <w:tblPr>
      <w:tblStyleRowBandSize w:val="1"/>
      <w:tblStyleColBandSize w:val="1"/>
      <w:tblCellMar>
        <w:left w:w="85" w:type="dxa"/>
        <w:right w:w="85" w:type="dxa"/>
      </w:tblCellMar>
    </w:tblPr>
  </w:style>
  <w:style w:type="table" w:customStyle="1" w:styleId="afffffffff4">
    <w:basedOn w:val="TableNormal"/>
    <w:tblPr>
      <w:tblStyleRowBandSize w:val="1"/>
      <w:tblStyleColBandSize w:val="1"/>
      <w:tblCellMar>
        <w:left w:w="85" w:type="dxa"/>
        <w:right w:w="85" w:type="dxa"/>
      </w:tblCellMar>
    </w:tblPr>
  </w:style>
  <w:style w:type="table" w:customStyle="1" w:styleId="afffffffff5">
    <w:basedOn w:val="TableNormal"/>
    <w:tblPr>
      <w:tblStyleRowBandSize w:val="1"/>
      <w:tblStyleColBandSize w:val="1"/>
      <w:tblCellMar>
        <w:left w:w="113" w:type="dxa"/>
        <w:right w:w="113" w:type="dxa"/>
      </w:tblCellMar>
    </w:tblPr>
  </w:style>
  <w:style w:type="table" w:customStyle="1" w:styleId="afffffffff6">
    <w:basedOn w:val="TableNormal"/>
    <w:tblPr>
      <w:tblStyleRowBandSize w:val="1"/>
      <w:tblStyleColBandSize w:val="1"/>
      <w:tblCellMar>
        <w:left w:w="113" w:type="dxa"/>
        <w:right w:w="113" w:type="dxa"/>
      </w:tblCellMar>
    </w:tblPr>
  </w:style>
  <w:style w:type="table" w:customStyle="1" w:styleId="afffffffff7">
    <w:basedOn w:val="TableNormal"/>
    <w:tblPr>
      <w:tblStyleRowBandSize w:val="1"/>
      <w:tblStyleColBandSize w:val="1"/>
      <w:tblCellMar>
        <w:left w:w="113" w:type="dxa"/>
        <w:right w:w="113" w:type="dxa"/>
      </w:tblCellMar>
    </w:tblPr>
  </w:style>
  <w:style w:type="table" w:customStyle="1" w:styleId="afffffffff8">
    <w:basedOn w:val="TableNormal"/>
    <w:tblPr>
      <w:tblStyleRowBandSize w:val="1"/>
      <w:tblStyleColBandSize w:val="1"/>
      <w:tblCellMar>
        <w:left w:w="113" w:type="dxa"/>
        <w:right w:w="113" w:type="dxa"/>
      </w:tblCellMar>
    </w:tblPr>
  </w:style>
  <w:style w:type="table" w:customStyle="1" w:styleId="afffffffff9">
    <w:basedOn w:val="TableNormal"/>
    <w:tblPr>
      <w:tblStyleRowBandSize w:val="1"/>
      <w:tblStyleColBandSize w:val="1"/>
      <w:tblCellMar>
        <w:left w:w="113" w:type="dxa"/>
        <w:right w:w="113" w:type="dxa"/>
      </w:tblCellMar>
    </w:tblPr>
  </w:style>
  <w:style w:type="table" w:customStyle="1" w:styleId="afffffffffa">
    <w:basedOn w:val="TableNormal"/>
    <w:tblPr>
      <w:tblStyleRowBandSize w:val="1"/>
      <w:tblStyleColBandSize w:val="1"/>
      <w:tblCellMar>
        <w:left w:w="113" w:type="dxa"/>
        <w:right w:w="113" w:type="dxa"/>
      </w:tblCellMar>
    </w:tblPr>
  </w:style>
  <w:style w:type="table" w:customStyle="1" w:styleId="afffffffffb">
    <w:basedOn w:val="TableNormal"/>
    <w:tblPr>
      <w:tblStyleRowBandSize w:val="1"/>
      <w:tblStyleColBandSize w:val="1"/>
      <w:tblCellMar>
        <w:left w:w="113" w:type="dxa"/>
        <w:right w:w="113" w:type="dxa"/>
      </w:tblCellMar>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CellMar>
        <w:left w:w="113" w:type="dxa"/>
        <w:right w:w="113" w:type="dxa"/>
      </w:tblCellMar>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CellMar>
        <w:left w:w="113" w:type="dxa"/>
        <w:right w:w="113" w:type="dxa"/>
      </w:tblCellMar>
    </w:tblPr>
  </w:style>
  <w:style w:type="table" w:customStyle="1" w:styleId="affffffffff0">
    <w:basedOn w:val="TableNormal"/>
    <w:tblPr>
      <w:tblStyleRowBandSize w:val="1"/>
      <w:tblStyleColBandSize w:val="1"/>
      <w:tblCellMar>
        <w:left w:w="113" w:type="dxa"/>
        <w:right w:w="113" w:type="dxa"/>
      </w:tblCellMar>
    </w:tblPr>
  </w:style>
  <w:style w:type="table" w:customStyle="1" w:styleId="affffffffff1">
    <w:basedOn w:val="TableNormal"/>
    <w:tblPr>
      <w:tblStyleRowBandSize w:val="1"/>
      <w:tblStyleColBandSize w:val="1"/>
      <w:tblCellMar>
        <w:left w:w="113" w:type="dxa"/>
        <w:right w:w="113" w:type="dxa"/>
      </w:tblCellMar>
    </w:tblPr>
  </w:style>
  <w:style w:type="table" w:customStyle="1" w:styleId="affffffffff2">
    <w:basedOn w:val="TableNormal"/>
    <w:tblPr>
      <w:tblStyleRowBandSize w:val="1"/>
      <w:tblStyleColBandSize w:val="1"/>
      <w:tblCellMar>
        <w:left w:w="113" w:type="dxa"/>
        <w:right w:w="113" w:type="dxa"/>
      </w:tblCellMar>
    </w:tblPr>
  </w:style>
  <w:style w:type="table" w:customStyle="1" w:styleId="affffffffff3">
    <w:basedOn w:val="TableNormal"/>
    <w:tblPr>
      <w:tblStyleRowBandSize w:val="1"/>
      <w:tblStyleColBandSize w:val="1"/>
      <w:tblCellMar>
        <w:left w:w="113" w:type="dxa"/>
        <w:right w:w="113" w:type="dxa"/>
      </w:tblCellMar>
    </w:tblPr>
  </w:style>
  <w:style w:type="table" w:customStyle="1" w:styleId="affffffffff4">
    <w:basedOn w:val="TableNormal"/>
    <w:tblPr>
      <w:tblStyleRowBandSize w:val="1"/>
      <w:tblStyleColBandSize w:val="1"/>
      <w:tblCellMar>
        <w:left w:w="113" w:type="dxa"/>
        <w:right w:w="113" w:type="dxa"/>
      </w:tblCellMar>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CellMar>
        <w:left w:w="113" w:type="dxa"/>
        <w:right w:w="115" w:type="dxa"/>
      </w:tblCellMar>
    </w:tblPr>
  </w:style>
  <w:style w:type="table" w:customStyle="1" w:styleId="affffffffff7">
    <w:basedOn w:val="TableNormal"/>
    <w:tblPr>
      <w:tblStyleRowBandSize w:val="1"/>
      <w:tblStyleColBandSize w:val="1"/>
      <w:tblCellMar>
        <w:left w:w="113" w:type="dxa"/>
        <w:right w:w="115" w:type="dxa"/>
      </w:tblCellMar>
    </w:tblPr>
  </w:style>
  <w:style w:type="table" w:customStyle="1" w:styleId="affffffffff8">
    <w:basedOn w:val="TableNormal"/>
    <w:tblPr>
      <w:tblStyleRowBandSize w:val="1"/>
      <w:tblStyleColBandSize w:val="1"/>
      <w:tblCellMar>
        <w:left w:w="113" w:type="dxa"/>
        <w:right w:w="115" w:type="dxa"/>
      </w:tblCellMar>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CellMar>
        <w:left w:w="113" w:type="dxa"/>
        <w:right w:w="113" w:type="dxa"/>
      </w:tblCellMar>
    </w:tblPr>
  </w:style>
  <w:style w:type="table" w:customStyle="1" w:styleId="affffffffffb">
    <w:basedOn w:val="TableNormal"/>
    <w:tblPr>
      <w:tblStyleRowBandSize w:val="1"/>
      <w:tblStyleColBandSize w:val="1"/>
      <w:tblCellMar>
        <w:left w:w="113" w:type="dxa"/>
        <w:right w:w="113" w:type="dxa"/>
      </w:tblCellMar>
    </w:tblPr>
  </w:style>
  <w:style w:type="table" w:customStyle="1" w:styleId="affffffffffc">
    <w:basedOn w:val="TableNormal"/>
    <w:tblPr>
      <w:tblStyleRowBandSize w:val="1"/>
      <w:tblStyleColBandSize w:val="1"/>
      <w:tblCellMar>
        <w:left w:w="113" w:type="dxa"/>
        <w:right w:w="113" w:type="dxa"/>
      </w:tblCellMar>
    </w:tblPr>
  </w:style>
  <w:style w:type="table" w:customStyle="1" w:styleId="affffffffffd">
    <w:basedOn w:val="TableNormal"/>
    <w:tblPr>
      <w:tblStyleRowBandSize w:val="1"/>
      <w:tblStyleColBandSize w:val="1"/>
      <w:tblCellMar>
        <w:left w:w="113" w:type="dxa"/>
        <w:right w:w="113" w:type="dxa"/>
      </w:tblCellMar>
    </w:tblPr>
  </w:style>
  <w:style w:type="table" w:customStyle="1" w:styleId="affffffffffe">
    <w:basedOn w:val="TableNormal"/>
    <w:tblPr>
      <w:tblStyleRowBandSize w:val="1"/>
      <w:tblStyleColBandSize w:val="1"/>
      <w:tblCellMar>
        <w:left w:w="113" w:type="dxa"/>
        <w:right w:w="113" w:type="dxa"/>
      </w:tblCellMar>
    </w:tblPr>
  </w:style>
  <w:style w:type="table" w:customStyle="1" w:styleId="afffffffffff">
    <w:basedOn w:val="TableNormal"/>
    <w:tblPr>
      <w:tblStyleRowBandSize w:val="1"/>
      <w:tblStyleColBandSize w:val="1"/>
      <w:tblCellMar>
        <w:left w:w="113" w:type="dxa"/>
        <w:right w:w="113" w:type="dxa"/>
      </w:tblCellMar>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CellMar>
        <w:left w:w="113" w:type="dxa"/>
        <w:right w:w="113" w:type="dxa"/>
      </w:tblCellMar>
    </w:tblPr>
  </w:style>
  <w:style w:type="table" w:customStyle="1" w:styleId="afffffffffff2">
    <w:basedOn w:val="TableNormal"/>
    <w:tblPr>
      <w:tblStyleRowBandSize w:val="1"/>
      <w:tblStyleColBandSize w:val="1"/>
      <w:tblCellMar>
        <w:left w:w="113" w:type="dxa"/>
        <w:right w:w="113" w:type="dxa"/>
      </w:tblCellMar>
    </w:tblPr>
  </w:style>
  <w:style w:type="table" w:customStyle="1" w:styleId="afffffffffff3">
    <w:basedOn w:val="TableNormal"/>
    <w:tblPr>
      <w:tblStyleRowBandSize w:val="1"/>
      <w:tblStyleColBandSize w:val="1"/>
      <w:tblCellMar>
        <w:left w:w="113" w:type="dxa"/>
        <w:right w:w="113" w:type="dxa"/>
      </w:tblCellMar>
    </w:tblPr>
  </w:style>
  <w:style w:type="table" w:customStyle="1" w:styleId="afffffffffff4">
    <w:basedOn w:val="TableNormal"/>
    <w:tblPr>
      <w:tblStyleRowBandSize w:val="1"/>
      <w:tblStyleColBandSize w:val="1"/>
      <w:tblCellMar>
        <w:left w:w="113" w:type="dxa"/>
        <w:right w:w="113" w:type="dxa"/>
      </w:tblCellMar>
    </w:tblPr>
  </w:style>
  <w:style w:type="table" w:customStyle="1" w:styleId="afffffffffff5">
    <w:basedOn w:val="TableNormal"/>
    <w:tblPr>
      <w:tblStyleRowBandSize w:val="1"/>
      <w:tblStyleColBandSize w:val="1"/>
      <w:tblCellMar>
        <w:left w:w="113" w:type="dxa"/>
        <w:right w:w="113" w:type="dxa"/>
      </w:tblCellMar>
    </w:tblPr>
  </w:style>
  <w:style w:type="table" w:customStyle="1" w:styleId="afffffffffff6">
    <w:basedOn w:val="TableNormal"/>
    <w:tblPr>
      <w:tblStyleRowBandSize w:val="1"/>
      <w:tblStyleColBandSize w:val="1"/>
      <w:tblCellMar>
        <w:left w:w="113" w:type="dxa"/>
        <w:right w:w="113" w:type="dxa"/>
      </w:tblCellMar>
    </w:tblPr>
  </w:style>
  <w:style w:type="table" w:customStyle="1" w:styleId="afffffffffff7">
    <w:basedOn w:val="TableNormal"/>
    <w:tblPr>
      <w:tblStyleRowBandSize w:val="1"/>
      <w:tblStyleColBandSize w:val="1"/>
      <w:tblCellMar>
        <w:left w:w="113" w:type="dxa"/>
        <w:right w:w="113" w:type="dxa"/>
      </w:tblCellMar>
    </w:tblPr>
  </w:style>
  <w:style w:type="table" w:customStyle="1" w:styleId="afffffffffff8">
    <w:basedOn w:val="TableNormal"/>
    <w:tblPr>
      <w:tblStyleRowBandSize w:val="1"/>
      <w:tblStyleColBandSize w:val="1"/>
      <w:tblCellMar>
        <w:left w:w="113" w:type="dxa"/>
        <w:right w:w="113" w:type="dxa"/>
      </w:tblCellMar>
    </w:tblPr>
  </w:style>
  <w:style w:type="table" w:customStyle="1" w:styleId="afffffffffff9">
    <w:basedOn w:val="TableNormal"/>
    <w:tblPr>
      <w:tblStyleRowBandSize w:val="1"/>
      <w:tblStyleColBandSize w:val="1"/>
      <w:tblCellMar>
        <w:left w:w="113" w:type="dxa"/>
        <w:right w:w="113" w:type="dxa"/>
      </w:tblCellMar>
    </w:tblPr>
  </w:style>
  <w:style w:type="table" w:customStyle="1" w:styleId="afffffffffffa">
    <w:basedOn w:val="TableNormal"/>
    <w:tblPr>
      <w:tblStyleRowBandSize w:val="1"/>
      <w:tblStyleColBandSize w:val="1"/>
      <w:tblCellMar>
        <w:left w:w="113" w:type="dxa"/>
        <w:right w:w="113" w:type="dxa"/>
      </w:tblCellMar>
    </w:tblPr>
  </w:style>
  <w:style w:type="table" w:customStyle="1" w:styleId="afffffffffffb">
    <w:basedOn w:val="TableNormal"/>
    <w:tblPr>
      <w:tblStyleRowBandSize w:val="1"/>
      <w:tblStyleColBandSize w:val="1"/>
      <w:tblCellMar>
        <w:left w:w="113" w:type="dxa"/>
        <w:right w:w="113" w:type="dxa"/>
      </w:tblCellMar>
    </w:tblPr>
  </w:style>
  <w:style w:type="table" w:customStyle="1" w:styleId="afffffffffffc">
    <w:basedOn w:val="TableNormal"/>
    <w:tblPr>
      <w:tblStyleRowBandSize w:val="1"/>
      <w:tblStyleColBandSize w:val="1"/>
      <w:tblCellMar>
        <w:left w:w="113" w:type="dxa"/>
        <w:right w:w="113" w:type="dxa"/>
      </w:tblCellMar>
    </w:tblPr>
  </w:style>
  <w:style w:type="table" w:customStyle="1" w:styleId="afffffffffffd">
    <w:basedOn w:val="TableNormal"/>
    <w:tblPr>
      <w:tblStyleRowBandSize w:val="1"/>
      <w:tblStyleColBandSize w:val="1"/>
      <w:tblCellMar>
        <w:left w:w="113" w:type="dxa"/>
        <w:right w:w="113" w:type="dxa"/>
      </w:tblCellMar>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CellMar>
        <w:left w:w="113" w:type="dxa"/>
        <w:right w:w="113" w:type="dxa"/>
      </w:tblCellMar>
    </w:tblPr>
  </w:style>
  <w:style w:type="table" w:customStyle="1" w:styleId="affffffffffff0">
    <w:basedOn w:val="TableNormal"/>
    <w:tblPr>
      <w:tblStyleRowBandSize w:val="1"/>
      <w:tblStyleColBandSize w:val="1"/>
      <w:tblCellMar>
        <w:left w:w="113" w:type="dxa"/>
        <w:right w:w="115" w:type="dxa"/>
      </w:tblCellMar>
    </w:tblPr>
  </w:style>
  <w:style w:type="table" w:customStyle="1" w:styleId="affffffffffff1">
    <w:basedOn w:val="TableNormal"/>
    <w:tblPr>
      <w:tblStyleRowBandSize w:val="1"/>
      <w:tblStyleColBandSize w:val="1"/>
      <w:tblCellMar>
        <w:left w:w="113" w:type="dxa"/>
        <w:right w:w="115" w:type="dxa"/>
      </w:tblCellMar>
    </w:tblPr>
  </w:style>
  <w:style w:type="table" w:customStyle="1" w:styleId="affffffffffff2">
    <w:basedOn w:val="TableNormal"/>
    <w:tblPr>
      <w:tblStyleRowBandSize w:val="1"/>
      <w:tblStyleColBandSize w:val="1"/>
      <w:tblCellMar>
        <w:left w:w="113" w:type="dxa"/>
        <w:right w:w="115" w:type="dxa"/>
      </w:tblCellMar>
    </w:tblPr>
  </w:style>
  <w:style w:type="table" w:customStyle="1" w:styleId="affffffffffff3">
    <w:basedOn w:val="TableNormal"/>
    <w:tblPr>
      <w:tblStyleRowBandSize w:val="1"/>
      <w:tblStyleColBandSize w:val="1"/>
      <w:tblCellMar>
        <w:left w:w="113" w:type="dxa"/>
        <w:right w:w="115" w:type="dxa"/>
      </w:tblCellMar>
    </w:tblPr>
  </w:style>
  <w:style w:type="table" w:customStyle="1" w:styleId="affffffffffff4">
    <w:basedOn w:val="TableNormal"/>
    <w:tblPr>
      <w:tblStyleRowBandSize w:val="1"/>
      <w:tblStyleColBandSize w:val="1"/>
      <w:tblCellMar>
        <w:left w:w="113" w:type="dxa"/>
        <w:right w:w="115" w:type="dxa"/>
      </w:tblCellMar>
    </w:tblPr>
  </w:style>
  <w:style w:type="table" w:customStyle="1" w:styleId="affffffffffff5">
    <w:basedOn w:val="TableNormal"/>
    <w:tblPr>
      <w:tblStyleRowBandSize w:val="1"/>
      <w:tblStyleColBandSize w:val="1"/>
      <w:tblCellMar>
        <w:left w:w="113" w:type="dxa"/>
        <w:right w:w="115" w:type="dxa"/>
      </w:tblCellMar>
    </w:tblPr>
  </w:style>
  <w:style w:type="table" w:customStyle="1" w:styleId="affffffffffff6">
    <w:basedOn w:val="TableNormal"/>
    <w:tblPr>
      <w:tblStyleRowBandSize w:val="1"/>
      <w:tblStyleColBandSize w:val="1"/>
      <w:tblCellMar>
        <w:left w:w="113" w:type="dxa"/>
        <w:right w:w="113" w:type="dxa"/>
      </w:tblCellMar>
    </w:tblPr>
  </w:style>
  <w:style w:type="table" w:customStyle="1" w:styleId="affffffffffff7">
    <w:basedOn w:val="TableNormal"/>
    <w:tblPr>
      <w:tblStyleRowBandSize w:val="1"/>
      <w:tblStyleColBandSize w:val="1"/>
      <w:tblCellMar>
        <w:left w:w="113" w:type="dxa"/>
        <w:right w:w="113" w:type="dxa"/>
      </w:tblCellMar>
    </w:tblPr>
  </w:style>
  <w:style w:type="table" w:customStyle="1" w:styleId="affffffffffff8">
    <w:basedOn w:val="TableNormal"/>
    <w:tblPr>
      <w:tblStyleRowBandSize w:val="1"/>
      <w:tblStyleColBandSize w:val="1"/>
      <w:tblCellMar>
        <w:left w:w="113" w:type="dxa"/>
        <w:right w:w="113" w:type="dxa"/>
      </w:tblCellMar>
    </w:tblPr>
  </w:style>
  <w:style w:type="table" w:customStyle="1" w:styleId="affffffffffff9">
    <w:basedOn w:val="TableNormal"/>
    <w:tblPr>
      <w:tblStyleRowBandSize w:val="1"/>
      <w:tblStyleColBandSize w:val="1"/>
      <w:tblCellMar>
        <w:left w:w="113" w:type="dxa"/>
        <w:right w:w="113" w:type="dxa"/>
      </w:tblCellMar>
    </w:tblPr>
  </w:style>
  <w:style w:type="table" w:customStyle="1" w:styleId="affffffffffffa">
    <w:basedOn w:val="TableNormal"/>
    <w:tblPr>
      <w:tblStyleRowBandSize w:val="1"/>
      <w:tblStyleColBandSize w:val="1"/>
      <w:tblCellMar>
        <w:left w:w="113" w:type="dxa"/>
        <w:right w:w="113" w:type="dxa"/>
      </w:tblCellMar>
    </w:tblPr>
  </w:style>
  <w:style w:type="table" w:customStyle="1" w:styleId="affffffffffffb">
    <w:basedOn w:val="TableNormal"/>
    <w:tblPr>
      <w:tblStyleRowBandSize w:val="1"/>
      <w:tblStyleColBandSize w:val="1"/>
      <w:tblCellMar>
        <w:left w:w="113" w:type="dxa"/>
        <w:right w:w="113" w:type="dxa"/>
      </w:tblCellMar>
    </w:tblPr>
  </w:style>
  <w:style w:type="table" w:customStyle="1" w:styleId="affffffffffffc">
    <w:basedOn w:val="TableNormal"/>
    <w:tblPr>
      <w:tblStyleRowBandSize w:val="1"/>
      <w:tblStyleColBandSize w:val="1"/>
      <w:tblCellMar>
        <w:left w:w="113" w:type="dxa"/>
        <w:right w:w="113" w:type="dxa"/>
      </w:tblCellMar>
    </w:tblPr>
  </w:style>
  <w:style w:type="table" w:customStyle="1" w:styleId="affffffffffffd">
    <w:basedOn w:val="TableNormal"/>
    <w:tblPr>
      <w:tblStyleRowBandSize w:val="1"/>
      <w:tblStyleColBandSize w:val="1"/>
      <w:tblCellMar>
        <w:left w:w="113" w:type="dxa"/>
        <w:right w:w="113" w:type="dxa"/>
      </w:tblCellMar>
    </w:tblPr>
  </w:style>
  <w:style w:type="table" w:customStyle="1" w:styleId="affffffffffffe">
    <w:basedOn w:val="TableNormal"/>
    <w:tblPr>
      <w:tblStyleRowBandSize w:val="1"/>
      <w:tblStyleColBandSize w:val="1"/>
      <w:tblCellMar>
        <w:left w:w="113" w:type="dxa"/>
        <w:right w:w="113" w:type="dxa"/>
      </w:tblCellMar>
    </w:tblPr>
  </w:style>
  <w:style w:type="table" w:customStyle="1" w:styleId="afffffffffffff">
    <w:basedOn w:val="TableNormal"/>
    <w:tblPr>
      <w:tblStyleRowBandSize w:val="1"/>
      <w:tblStyleColBandSize w:val="1"/>
      <w:tblCellMar>
        <w:left w:w="113" w:type="dxa"/>
        <w:right w:w="113" w:type="dxa"/>
      </w:tblCellMar>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CellMar>
        <w:left w:w="113" w:type="dxa"/>
        <w:right w:w="113" w:type="dxa"/>
      </w:tblCellMar>
    </w:tblPr>
  </w:style>
  <w:style w:type="table" w:customStyle="1" w:styleId="afffffffffffff2">
    <w:basedOn w:val="TableNormal"/>
    <w:tblPr>
      <w:tblStyleRowBandSize w:val="1"/>
      <w:tblStyleColBandSize w:val="1"/>
      <w:tblCellMar>
        <w:left w:w="113" w:type="dxa"/>
        <w:right w:w="113" w:type="dxa"/>
      </w:tblCellMar>
    </w:tblPr>
  </w:style>
  <w:style w:type="table" w:customStyle="1" w:styleId="afffffffffffff3">
    <w:basedOn w:val="TableNormal"/>
    <w:tblPr>
      <w:tblStyleRowBandSize w:val="1"/>
      <w:tblStyleColBandSize w:val="1"/>
      <w:tblCellMar>
        <w:left w:w="113" w:type="dxa"/>
        <w:right w:w="113" w:type="dxa"/>
      </w:tblCellMar>
    </w:tblPr>
  </w:style>
  <w:style w:type="table" w:customStyle="1" w:styleId="afffffffffffff4">
    <w:basedOn w:val="TableNormal"/>
    <w:tblPr>
      <w:tblStyleRowBandSize w:val="1"/>
      <w:tblStyleColBandSize w:val="1"/>
      <w:tblCellMar>
        <w:left w:w="113" w:type="dxa"/>
        <w:right w:w="113" w:type="dxa"/>
      </w:tblCellMar>
    </w:tblPr>
  </w:style>
  <w:style w:type="table" w:customStyle="1" w:styleId="afffffffffffff5">
    <w:basedOn w:val="TableNormal"/>
    <w:tblPr>
      <w:tblStyleRowBandSize w:val="1"/>
      <w:tblStyleColBandSize w:val="1"/>
      <w:tblCellMar>
        <w:left w:w="56" w:type="dxa"/>
        <w:right w:w="56" w:type="dxa"/>
      </w:tblCellMar>
    </w:tblPr>
  </w:style>
  <w:style w:type="table" w:customStyle="1" w:styleId="afffffffffffff6">
    <w:basedOn w:val="TableNormal"/>
    <w:tblPr>
      <w:tblStyleRowBandSize w:val="1"/>
      <w:tblStyleColBandSize w:val="1"/>
      <w:tblCellMar>
        <w:left w:w="113" w:type="dxa"/>
        <w:right w:w="113" w:type="dxa"/>
      </w:tblCellMar>
    </w:tblPr>
  </w:style>
  <w:style w:type="table" w:customStyle="1" w:styleId="afffffffffffff7">
    <w:basedOn w:val="TableNormal"/>
    <w:tblPr>
      <w:tblStyleRowBandSize w:val="1"/>
      <w:tblStyleColBandSize w:val="1"/>
      <w:tblCellMar>
        <w:left w:w="56" w:type="dxa"/>
        <w:right w:w="56" w:type="dxa"/>
      </w:tblCellMar>
    </w:tblPr>
  </w:style>
  <w:style w:type="table" w:customStyle="1" w:styleId="afffffffffffff8">
    <w:basedOn w:val="TableNormal"/>
    <w:tblPr>
      <w:tblStyleRowBandSize w:val="1"/>
      <w:tblStyleColBandSize w:val="1"/>
      <w:tblCellMar>
        <w:left w:w="56" w:type="dxa"/>
        <w:right w:w="56" w:type="dxa"/>
      </w:tblCellMar>
    </w:tblPr>
  </w:style>
  <w:style w:type="table" w:customStyle="1" w:styleId="afffffffffffff9">
    <w:basedOn w:val="TableNormal"/>
    <w:tblPr>
      <w:tblStyleRowBandSize w:val="1"/>
      <w:tblStyleColBandSize w:val="1"/>
      <w:tblCellMar>
        <w:left w:w="113" w:type="dxa"/>
        <w:right w:w="113" w:type="dxa"/>
      </w:tblCellMar>
    </w:tblPr>
  </w:style>
  <w:style w:type="table" w:customStyle="1" w:styleId="afffffffffffffa">
    <w:basedOn w:val="TableNormal"/>
    <w:tblPr>
      <w:tblStyleRowBandSize w:val="1"/>
      <w:tblStyleColBandSize w:val="1"/>
      <w:tblCellMar>
        <w:left w:w="113" w:type="dxa"/>
        <w:right w:w="113" w:type="dxa"/>
      </w:tblCellMar>
    </w:tblPr>
  </w:style>
  <w:style w:type="table" w:customStyle="1" w:styleId="afffffffffffffb">
    <w:basedOn w:val="TableNormal"/>
    <w:tblPr>
      <w:tblStyleRowBandSize w:val="1"/>
      <w:tblStyleColBandSize w:val="1"/>
      <w:tblCellMar>
        <w:left w:w="113" w:type="dxa"/>
        <w:right w:w="113" w:type="dxa"/>
      </w:tblCellMar>
    </w:tblPr>
  </w:style>
  <w:style w:type="table" w:customStyle="1" w:styleId="afffffffffffffc">
    <w:basedOn w:val="TableNormal"/>
    <w:tblPr>
      <w:tblStyleRowBandSize w:val="1"/>
      <w:tblStyleColBandSize w:val="1"/>
      <w:tblCellMar>
        <w:left w:w="85" w:type="dxa"/>
        <w:right w:w="85" w:type="dxa"/>
      </w:tblCellMar>
    </w:tblPr>
  </w:style>
  <w:style w:type="table" w:customStyle="1" w:styleId="afffffffffffffd">
    <w:basedOn w:val="TableNormal"/>
    <w:tblPr>
      <w:tblStyleRowBandSize w:val="1"/>
      <w:tblStyleColBandSize w:val="1"/>
      <w:tblCellMar>
        <w:left w:w="113" w:type="dxa"/>
        <w:right w:w="113" w:type="dxa"/>
      </w:tblCellMar>
    </w:tblPr>
  </w:style>
  <w:style w:type="table" w:customStyle="1" w:styleId="afffffffffffffe">
    <w:basedOn w:val="TableNormal"/>
    <w:tblPr>
      <w:tblStyleRowBandSize w:val="1"/>
      <w:tblStyleColBandSize w:val="1"/>
      <w:tblCellMar>
        <w:left w:w="113" w:type="dxa"/>
        <w:right w:w="113" w:type="dxa"/>
      </w:tblCellMar>
    </w:tblPr>
  </w:style>
  <w:style w:type="table" w:customStyle="1" w:styleId="affffffffffffff">
    <w:basedOn w:val="TableNormal"/>
    <w:tblPr>
      <w:tblStyleRowBandSize w:val="1"/>
      <w:tblStyleColBandSize w:val="1"/>
      <w:tblCellMar>
        <w:left w:w="113" w:type="dxa"/>
        <w:right w:w="113" w:type="dxa"/>
      </w:tblCellMar>
    </w:tblPr>
  </w:style>
  <w:style w:type="table" w:customStyle="1" w:styleId="affffffffffffff0">
    <w:basedOn w:val="TableNormal"/>
    <w:tblPr>
      <w:tblStyleRowBandSize w:val="1"/>
      <w:tblStyleColBandSize w:val="1"/>
      <w:tblCellMar>
        <w:left w:w="113" w:type="dxa"/>
        <w:right w:w="113" w:type="dxa"/>
      </w:tblCellMar>
    </w:tblPr>
  </w:style>
  <w:style w:type="table" w:customStyle="1" w:styleId="affffffffffffff1">
    <w:basedOn w:val="TableNormal"/>
    <w:tblPr>
      <w:tblStyleRowBandSize w:val="1"/>
      <w:tblStyleColBandSize w:val="1"/>
      <w:tblCellMar>
        <w:left w:w="113" w:type="dxa"/>
        <w:right w:w="113" w:type="dxa"/>
      </w:tblCellMar>
    </w:tblPr>
  </w:style>
  <w:style w:type="table" w:customStyle="1" w:styleId="affffffffffffff2">
    <w:basedOn w:val="TableNormal"/>
    <w:tblPr>
      <w:tblStyleRowBandSize w:val="1"/>
      <w:tblStyleColBandSize w:val="1"/>
      <w:tblCellMar>
        <w:left w:w="113" w:type="dxa"/>
        <w:right w:w="113" w:type="dxa"/>
      </w:tblCellMar>
    </w:tblPr>
  </w:style>
  <w:style w:type="table" w:customStyle="1" w:styleId="affffffffffffff3">
    <w:basedOn w:val="TableNormal"/>
    <w:tblPr>
      <w:tblStyleRowBandSize w:val="1"/>
      <w:tblStyleColBandSize w:val="1"/>
      <w:tblCellMar>
        <w:left w:w="113" w:type="dxa"/>
        <w:right w:w="113" w:type="dxa"/>
      </w:tblCellMar>
    </w:tblPr>
  </w:style>
  <w:style w:type="table" w:customStyle="1" w:styleId="affffffffffffff4">
    <w:basedOn w:val="TableNormal"/>
    <w:tblPr>
      <w:tblStyleRowBandSize w:val="1"/>
      <w:tblStyleColBandSize w:val="1"/>
      <w:tblCellMar>
        <w:left w:w="113" w:type="dxa"/>
        <w:right w:w="113" w:type="dxa"/>
      </w:tblCellMar>
    </w:tblPr>
  </w:style>
  <w:style w:type="table" w:customStyle="1" w:styleId="affffffffffffff5">
    <w:basedOn w:val="TableNormal"/>
    <w:tblPr>
      <w:tblStyleRowBandSize w:val="1"/>
      <w:tblStyleColBandSize w:val="1"/>
      <w:tblCellMar>
        <w:left w:w="113" w:type="dxa"/>
        <w:right w:w="113" w:type="dxa"/>
      </w:tblCellMar>
    </w:tblPr>
  </w:style>
  <w:style w:type="table" w:customStyle="1" w:styleId="affffffffffffff6">
    <w:basedOn w:val="TableNormal"/>
    <w:tblPr>
      <w:tblStyleRowBandSize w:val="1"/>
      <w:tblStyleColBandSize w:val="1"/>
      <w:tblCellMar>
        <w:left w:w="113" w:type="dxa"/>
        <w:right w:w="113" w:type="dxa"/>
      </w:tblCellMar>
    </w:tblPr>
  </w:style>
  <w:style w:type="table" w:customStyle="1" w:styleId="affffffffffffff7">
    <w:basedOn w:val="TableNormal"/>
    <w:tblPr>
      <w:tblStyleRowBandSize w:val="1"/>
      <w:tblStyleColBandSize w:val="1"/>
      <w:tblCellMar>
        <w:left w:w="113" w:type="dxa"/>
        <w:right w:w="113" w:type="dxa"/>
      </w:tblCellMar>
    </w:tblPr>
  </w:style>
  <w:style w:type="table" w:customStyle="1" w:styleId="affffffffffffff8">
    <w:basedOn w:val="TableNormal"/>
    <w:tblPr>
      <w:tblStyleRowBandSize w:val="1"/>
      <w:tblStyleColBandSize w:val="1"/>
      <w:tblCellMar>
        <w:left w:w="113" w:type="dxa"/>
        <w:right w:w="113" w:type="dxa"/>
      </w:tblCellMar>
    </w:tblPr>
  </w:style>
  <w:style w:type="table" w:customStyle="1" w:styleId="affffffffffffff9">
    <w:basedOn w:val="TableNormal"/>
    <w:tblPr>
      <w:tblStyleRowBandSize w:val="1"/>
      <w:tblStyleColBandSize w:val="1"/>
      <w:tblCellMar>
        <w:left w:w="113" w:type="dxa"/>
        <w:right w:w="113" w:type="dxa"/>
      </w:tblCellMar>
    </w:tblPr>
  </w:style>
  <w:style w:type="table" w:customStyle="1" w:styleId="affffffffffffffa">
    <w:basedOn w:val="TableNormal"/>
    <w:tblPr>
      <w:tblStyleRowBandSize w:val="1"/>
      <w:tblStyleColBandSize w:val="1"/>
      <w:tblCellMar>
        <w:left w:w="113" w:type="dxa"/>
        <w:right w:w="113" w:type="dxa"/>
      </w:tblCellMar>
    </w:tblPr>
  </w:style>
  <w:style w:type="table" w:customStyle="1" w:styleId="affffffffffffffb">
    <w:basedOn w:val="TableNormal"/>
    <w:tblPr>
      <w:tblStyleRowBandSize w:val="1"/>
      <w:tblStyleColBandSize w:val="1"/>
      <w:tblCellMar>
        <w:left w:w="113" w:type="dxa"/>
        <w:right w:w="113" w:type="dxa"/>
      </w:tblCellMar>
    </w:tblPr>
  </w:style>
  <w:style w:type="table" w:customStyle="1" w:styleId="affffffffffffffc">
    <w:basedOn w:val="TableNormal"/>
    <w:tblPr>
      <w:tblStyleRowBandSize w:val="1"/>
      <w:tblStyleColBandSize w:val="1"/>
      <w:tblCellMar>
        <w:left w:w="113" w:type="dxa"/>
        <w:right w:w="113" w:type="dxa"/>
      </w:tblCellMar>
    </w:tblPr>
  </w:style>
  <w:style w:type="table" w:customStyle="1" w:styleId="affffffffffffffd">
    <w:basedOn w:val="TableNormal"/>
    <w:tblPr>
      <w:tblStyleRowBandSize w:val="1"/>
      <w:tblStyleColBandSize w:val="1"/>
      <w:tblCellMar>
        <w:left w:w="113" w:type="dxa"/>
        <w:right w:w="113" w:type="dxa"/>
      </w:tblCellMar>
    </w:tblPr>
  </w:style>
  <w:style w:type="table" w:customStyle="1" w:styleId="affffffffffffffe">
    <w:basedOn w:val="TableNormal"/>
    <w:tblPr>
      <w:tblStyleRowBandSize w:val="1"/>
      <w:tblStyleColBandSize w:val="1"/>
      <w:tblCellMar>
        <w:left w:w="113" w:type="dxa"/>
        <w:right w:w="113" w:type="dxa"/>
      </w:tblCellMar>
    </w:tblPr>
  </w:style>
  <w:style w:type="table" w:customStyle="1" w:styleId="afffffffffffffff">
    <w:basedOn w:val="TableNormal"/>
    <w:tblPr>
      <w:tblStyleRowBandSize w:val="1"/>
      <w:tblStyleColBandSize w:val="1"/>
      <w:tblCellMar>
        <w:left w:w="113" w:type="dxa"/>
        <w:right w:w="113" w:type="dxa"/>
      </w:tblCellMar>
    </w:tblPr>
  </w:style>
  <w:style w:type="table" w:customStyle="1" w:styleId="afffffffffffffff0">
    <w:basedOn w:val="TableNormal"/>
    <w:tblPr>
      <w:tblStyleRowBandSize w:val="1"/>
      <w:tblStyleColBandSize w:val="1"/>
      <w:tblCellMar>
        <w:left w:w="113" w:type="dxa"/>
        <w:right w:w="113" w:type="dxa"/>
      </w:tblCellMar>
    </w:tblPr>
  </w:style>
  <w:style w:type="table" w:customStyle="1" w:styleId="afffffffffffffff1">
    <w:basedOn w:val="TableNormal"/>
    <w:tblPr>
      <w:tblStyleRowBandSize w:val="1"/>
      <w:tblStyleColBandSize w:val="1"/>
      <w:tblCellMar>
        <w:left w:w="113" w:type="dxa"/>
        <w:right w:w="113" w:type="dxa"/>
      </w:tblCellMar>
    </w:tblPr>
  </w:style>
  <w:style w:type="table" w:customStyle="1" w:styleId="afffffffffffffff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1103">
      <w:bodyDiv w:val="1"/>
      <w:marLeft w:val="0"/>
      <w:marRight w:val="0"/>
      <w:marTop w:val="0"/>
      <w:marBottom w:val="0"/>
      <w:divBdr>
        <w:top w:val="none" w:sz="0" w:space="0" w:color="auto"/>
        <w:left w:val="none" w:sz="0" w:space="0" w:color="auto"/>
        <w:bottom w:val="none" w:sz="0" w:space="0" w:color="auto"/>
        <w:right w:val="none" w:sz="0" w:space="0" w:color="auto"/>
      </w:divBdr>
    </w:div>
    <w:div w:id="413943082">
      <w:bodyDiv w:val="1"/>
      <w:marLeft w:val="0"/>
      <w:marRight w:val="0"/>
      <w:marTop w:val="0"/>
      <w:marBottom w:val="0"/>
      <w:divBdr>
        <w:top w:val="none" w:sz="0" w:space="0" w:color="auto"/>
        <w:left w:val="none" w:sz="0" w:space="0" w:color="auto"/>
        <w:bottom w:val="none" w:sz="0" w:space="0" w:color="auto"/>
        <w:right w:val="none" w:sz="0" w:space="0" w:color="auto"/>
      </w:divBdr>
    </w:div>
    <w:div w:id="1029645721">
      <w:bodyDiv w:val="1"/>
      <w:marLeft w:val="0"/>
      <w:marRight w:val="0"/>
      <w:marTop w:val="0"/>
      <w:marBottom w:val="0"/>
      <w:divBdr>
        <w:top w:val="none" w:sz="0" w:space="0" w:color="auto"/>
        <w:left w:val="none" w:sz="0" w:space="0" w:color="auto"/>
        <w:bottom w:val="none" w:sz="0" w:space="0" w:color="auto"/>
        <w:right w:val="none" w:sz="0" w:space="0" w:color="auto"/>
      </w:divBdr>
    </w:div>
    <w:div w:id="1442995196">
      <w:bodyDiv w:val="1"/>
      <w:marLeft w:val="0"/>
      <w:marRight w:val="0"/>
      <w:marTop w:val="0"/>
      <w:marBottom w:val="0"/>
      <w:divBdr>
        <w:top w:val="none" w:sz="0" w:space="0" w:color="auto"/>
        <w:left w:val="none" w:sz="0" w:space="0" w:color="auto"/>
        <w:bottom w:val="none" w:sz="0" w:space="0" w:color="auto"/>
        <w:right w:val="none" w:sz="0" w:space="0" w:color="auto"/>
      </w:divBdr>
    </w:div>
    <w:div w:id="1670599375">
      <w:bodyDiv w:val="1"/>
      <w:marLeft w:val="0"/>
      <w:marRight w:val="0"/>
      <w:marTop w:val="0"/>
      <w:marBottom w:val="0"/>
      <w:divBdr>
        <w:top w:val="none" w:sz="0" w:space="0" w:color="auto"/>
        <w:left w:val="none" w:sz="0" w:space="0" w:color="auto"/>
        <w:bottom w:val="none" w:sz="0" w:space="0" w:color="auto"/>
        <w:right w:val="none" w:sz="0" w:space="0" w:color="auto"/>
      </w:divBdr>
    </w:div>
    <w:div w:id="1925457711">
      <w:bodyDiv w:val="1"/>
      <w:marLeft w:val="0"/>
      <w:marRight w:val="0"/>
      <w:marTop w:val="0"/>
      <w:marBottom w:val="0"/>
      <w:divBdr>
        <w:top w:val="none" w:sz="0" w:space="0" w:color="auto"/>
        <w:left w:val="none" w:sz="0" w:space="0" w:color="auto"/>
        <w:bottom w:val="none" w:sz="0" w:space="0" w:color="auto"/>
        <w:right w:val="none" w:sz="0" w:space="0" w:color="auto"/>
      </w:divBdr>
    </w:div>
    <w:div w:id="1950045985">
      <w:bodyDiv w:val="1"/>
      <w:marLeft w:val="0"/>
      <w:marRight w:val="0"/>
      <w:marTop w:val="0"/>
      <w:marBottom w:val="0"/>
      <w:divBdr>
        <w:top w:val="none" w:sz="0" w:space="0" w:color="auto"/>
        <w:left w:val="none" w:sz="0" w:space="0" w:color="auto"/>
        <w:bottom w:val="none" w:sz="0" w:space="0" w:color="auto"/>
        <w:right w:val="none" w:sz="0" w:space="0" w:color="auto"/>
      </w:divBdr>
    </w:div>
    <w:div w:id="2081636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84219-2495-4ee5-85a9-b2bb6c712e09" xsi:nil="true"/>
    <lcf76f155ced4ddcb4097134ff3c332f xmlns="a6b41d26-135c-452f-9d47-b2efb258708c">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yz4lK60kT20PDBsCvyNLOUx44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zIIaC5namRneHMyCWguMzBqMHpsbDIJaC4xZm9iOXRlMgloLjN6bnlzaDcyCWguMmV0OTJwMDIIaC50eWpjd3QyCWguMXQzaDVzZjIJaC4zZHk2dmttMgloLjF0M2g1c2YyCWguNGQzNG9nODIKaWQuMTdkcDh2dTIJaC4yczhleW8x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4AHIhMXpxaWxlTkNzZi1kTXZDN0ZEdWlhSlBTcjVrYXFYZXB3</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1B2D473A5094CA0556F6FD4A42E4E" ma:contentTypeVersion="12" ma:contentTypeDescription="Create a new document." ma:contentTypeScope="" ma:versionID="c17529dafd02879e72d49591588305e8">
  <xsd:schema xmlns:xsd="http://www.w3.org/2001/XMLSchema" xmlns:xs="http://www.w3.org/2001/XMLSchema" xmlns:p="http://schemas.microsoft.com/office/2006/metadata/properties" xmlns:ns2="a6b41d26-135c-452f-9d47-b2efb258708c" xmlns:ns3="62d84219-2495-4ee5-85a9-b2bb6c712e09" targetNamespace="http://schemas.microsoft.com/office/2006/metadata/properties" ma:root="true" ma:fieldsID="aabc6e830299d4867c3bd6b9768f34c2" ns2:_="" ns3:_="">
    <xsd:import namespace="a6b41d26-135c-452f-9d47-b2efb258708c"/>
    <xsd:import namespace="62d84219-2495-4ee5-85a9-b2bb6c712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1d26-135c-452f-9d47-b2efb2587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d84219-2495-4ee5-85a9-b2bb6c712e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7c050d-4f5e-45a5-8fac-c1187f401e97}" ma:internalName="TaxCatchAll" ma:showField="CatchAllData" ma:web="62d84219-2495-4ee5-85a9-b2bb6c712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582A-E768-4381-B834-5C61A5B4468F}">
  <ds:schemaRefs>
    <ds:schemaRef ds:uri="http://schemas.microsoft.com/office/2006/metadata/properties"/>
    <ds:schemaRef ds:uri="http://schemas.microsoft.com/office/infopath/2007/PartnerControls"/>
    <ds:schemaRef ds:uri="62d84219-2495-4ee5-85a9-b2bb6c712e09"/>
    <ds:schemaRef ds:uri="a6b41d26-135c-452f-9d47-b2efb258708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BED5925-15C8-4134-BDEA-BFA51D4EBFA1}">
  <ds:schemaRefs>
    <ds:schemaRef ds:uri="http://schemas.microsoft.com/sharepoint/v3/contenttype/forms"/>
  </ds:schemaRefs>
</ds:datastoreItem>
</file>

<file path=customXml/itemProps4.xml><?xml version="1.0" encoding="utf-8"?>
<ds:datastoreItem xmlns:ds="http://schemas.openxmlformats.org/officeDocument/2006/customXml" ds:itemID="{40344C5D-A19B-4984-AC86-BC77428B7736}"/>
</file>

<file path=customXml/itemProps5.xml><?xml version="1.0" encoding="utf-8"?>
<ds:datastoreItem xmlns:ds="http://schemas.openxmlformats.org/officeDocument/2006/customXml" ds:itemID="{81B04D5D-6966-410E-89E4-1B91C5E6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246</Pages>
  <Words>79796</Words>
  <Characters>454838</Characters>
  <Application>Microsoft Office Word</Application>
  <DocSecurity>0</DocSecurity>
  <Lines>3790</Lines>
  <Paragraphs>1067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CEE ACS</dc:creator>
  <cp:lastModifiedBy>Juraj Tucny (SK)</cp:lastModifiedBy>
  <cp:revision>16</cp:revision>
  <dcterms:created xsi:type="dcterms:W3CDTF">2025-11-13T04:59:00Z</dcterms:created>
  <dcterms:modified xsi:type="dcterms:W3CDTF">2025-11-13T13:04:00Z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0x01010048B1B2D473A5094CA0556F6FD4A42E4E</vt:lpwstr>
  </property>
  <property fmtid="{D5CDD505-2E9C-101B-9397-08002B2CF9AE}" pid="3" name="MediaServiceImageTags">
    <vt:lpwstr/>
  </property>
  <property fmtid="{D5CDD505-2E9C-101B-9397-08002B2CF9AE}" pid="5" name="docLang">
    <vt:lpwstr>en</vt:lpwstr>
  </property>
</Properties>
</file>